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F8A" w:rsidRPr="003D407B" w:rsidRDefault="003D407B" w:rsidP="00D14F8A">
      <w:pPr>
        <w:widowControl w:val="0"/>
        <w:tabs>
          <w:tab w:val="center" w:pos="4512"/>
        </w:tabs>
        <w:autoSpaceDE w:val="0"/>
        <w:autoSpaceDN w:val="0"/>
        <w:adjustRightInd w:val="0"/>
        <w:spacing w:after="0" w:line="240" w:lineRule="auto"/>
        <w:jc w:val="both"/>
        <w:rPr>
          <w:rFonts w:ascii="Arial" w:eastAsia="Times New Roman" w:hAnsi="Arial" w:cs="Arial"/>
          <w:sz w:val="24"/>
          <w:szCs w:val="24"/>
          <w:lang w:eastAsia="en-GB"/>
        </w:rPr>
      </w:pPr>
      <w:r w:rsidRPr="003D407B">
        <w:rPr>
          <w:rFonts w:ascii="Arial" w:hAnsi="Arial" w:cs="Arial"/>
          <w:noProof/>
          <w:sz w:val="24"/>
          <w:szCs w:val="24"/>
          <w:lang w:val="en-US"/>
        </w:rPr>
        <w:drawing>
          <wp:anchor distT="0" distB="0" distL="114300" distR="114300" simplePos="0" relativeHeight="251659264" behindDoc="0" locked="0" layoutInCell="1" allowOverlap="1" wp14:anchorId="044D0DDE" wp14:editId="1B19ABBB">
            <wp:simplePos x="0" y="0"/>
            <wp:positionH relativeFrom="margin">
              <wp:posOffset>2339340</wp:posOffset>
            </wp:positionH>
            <wp:positionV relativeFrom="paragraph">
              <wp:posOffset>-862965</wp:posOffset>
            </wp:positionV>
            <wp:extent cx="1162050" cy="1189990"/>
            <wp:effectExtent l="0" t="0" r="0" b="0"/>
            <wp:wrapNone/>
            <wp:docPr id="1" name="Picture 1" descr="Description: Description: cid:image002.jpg@01D019DE.127D2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cid:image002.jpg@01D019DE.127D25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62050" cy="1189990"/>
                    </a:xfrm>
                    <a:prstGeom prst="rect">
                      <a:avLst/>
                    </a:prstGeom>
                    <a:noFill/>
                  </pic:spPr>
                </pic:pic>
              </a:graphicData>
            </a:graphic>
            <wp14:sizeRelH relativeFrom="page">
              <wp14:pctWidth>0</wp14:pctWidth>
            </wp14:sizeRelH>
            <wp14:sizeRelV relativeFrom="page">
              <wp14:pctHeight>0</wp14:pctHeight>
            </wp14:sizeRelV>
          </wp:anchor>
        </w:drawing>
      </w:r>
      <w:r w:rsidR="00D14F8A" w:rsidRPr="00D14F8A">
        <w:rPr>
          <w:rFonts w:ascii="Arial" w:eastAsia="Times New Roman" w:hAnsi="Arial" w:cs="Arial"/>
          <w:sz w:val="24"/>
          <w:szCs w:val="24"/>
          <w:lang w:eastAsia="en-GB"/>
        </w:rPr>
        <w:tab/>
      </w:r>
    </w:p>
    <w:p w:rsidR="00FE5D3A" w:rsidRPr="003D407B" w:rsidRDefault="00D14F8A" w:rsidP="00FE5D3A">
      <w:pPr>
        <w:spacing w:after="0" w:line="240" w:lineRule="auto"/>
        <w:jc w:val="center"/>
        <w:rPr>
          <w:rFonts w:ascii="Arial" w:hAnsi="Arial" w:cs="Arial"/>
          <w:b/>
          <w:sz w:val="24"/>
          <w:szCs w:val="24"/>
        </w:rPr>
      </w:pPr>
      <w:r w:rsidRPr="003D407B">
        <w:rPr>
          <w:rFonts w:ascii="Arial" w:eastAsia="Times New Roman" w:hAnsi="Arial" w:cs="Arial"/>
          <w:sz w:val="24"/>
          <w:szCs w:val="24"/>
          <w:lang w:eastAsia="en-GB"/>
        </w:rPr>
        <w:tab/>
      </w:r>
    </w:p>
    <w:p w:rsidR="00FE5D3A" w:rsidRPr="003D407B" w:rsidRDefault="00FE5D3A" w:rsidP="00FE5D3A">
      <w:pPr>
        <w:spacing w:after="0" w:line="240" w:lineRule="auto"/>
        <w:jc w:val="center"/>
        <w:rPr>
          <w:rFonts w:ascii="Arial" w:hAnsi="Arial" w:cs="Arial"/>
          <w:b/>
          <w:sz w:val="24"/>
          <w:szCs w:val="24"/>
        </w:rPr>
      </w:pPr>
    </w:p>
    <w:p w:rsidR="00FE5D3A" w:rsidRPr="003D407B" w:rsidRDefault="00FE5D3A" w:rsidP="00FE5D3A">
      <w:pPr>
        <w:spacing w:after="0" w:line="240" w:lineRule="auto"/>
        <w:jc w:val="center"/>
        <w:rPr>
          <w:rFonts w:ascii="Arial" w:eastAsia="Times New Roman" w:hAnsi="Arial" w:cs="Arial"/>
          <w:b/>
          <w:sz w:val="24"/>
          <w:szCs w:val="24"/>
          <w:lang w:eastAsia="en-GB"/>
        </w:rPr>
      </w:pPr>
      <w:r w:rsidRPr="003D407B">
        <w:rPr>
          <w:rFonts w:ascii="Arial" w:eastAsia="Times New Roman" w:hAnsi="Arial" w:cs="Arial"/>
          <w:b/>
          <w:sz w:val="24"/>
          <w:szCs w:val="24"/>
          <w:lang w:eastAsia="en-GB"/>
        </w:rPr>
        <w:t>IN THE HIGH COURT OF SOUTH AFRICA</w:t>
      </w:r>
    </w:p>
    <w:p w:rsidR="00FE5D3A" w:rsidRPr="003D407B" w:rsidRDefault="00FE5D3A" w:rsidP="00FE5D3A">
      <w:pPr>
        <w:spacing w:after="0" w:line="240" w:lineRule="auto"/>
        <w:jc w:val="center"/>
        <w:rPr>
          <w:rFonts w:ascii="Arial" w:eastAsia="Times New Roman" w:hAnsi="Arial" w:cs="Arial"/>
          <w:b/>
          <w:sz w:val="24"/>
          <w:szCs w:val="24"/>
          <w:lang w:eastAsia="en-GB"/>
        </w:rPr>
      </w:pPr>
    </w:p>
    <w:p w:rsidR="00FE5D3A" w:rsidRPr="003D407B" w:rsidRDefault="00FE5D3A" w:rsidP="00FE5D3A">
      <w:pPr>
        <w:spacing w:after="0" w:line="240" w:lineRule="auto"/>
        <w:jc w:val="center"/>
        <w:rPr>
          <w:rFonts w:ascii="Arial" w:eastAsia="Times New Roman" w:hAnsi="Arial" w:cs="Arial"/>
          <w:b/>
          <w:sz w:val="24"/>
          <w:szCs w:val="24"/>
          <w:lang w:eastAsia="en-GB"/>
        </w:rPr>
      </w:pPr>
      <w:r w:rsidRPr="003D407B">
        <w:rPr>
          <w:rFonts w:ascii="Arial" w:eastAsia="Times New Roman" w:hAnsi="Arial" w:cs="Arial"/>
          <w:b/>
          <w:sz w:val="24"/>
          <w:szCs w:val="24"/>
          <w:lang w:eastAsia="en-GB"/>
        </w:rPr>
        <w:t>(GAUTENG DIVISION, PRETORIA)</w:t>
      </w:r>
    </w:p>
    <w:p w:rsidR="00FE5D3A" w:rsidRPr="003D407B" w:rsidRDefault="00FE5D3A" w:rsidP="00FE5D3A">
      <w:pPr>
        <w:spacing w:after="0" w:line="240" w:lineRule="auto"/>
        <w:rPr>
          <w:rFonts w:ascii="Arial" w:eastAsia="Times New Roman" w:hAnsi="Arial" w:cs="Arial"/>
          <w:b/>
          <w:sz w:val="24"/>
          <w:szCs w:val="24"/>
          <w:lang w:eastAsia="en-GB"/>
        </w:rPr>
      </w:pPr>
    </w:p>
    <w:p w:rsidR="00FE5D3A" w:rsidRPr="003D407B" w:rsidRDefault="003D407B" w:rsidP="00FE5D3A">
      <w:pPr>
        <w:pStyle w:val="NormalWeb"/>
        <w:ind w:left="4320"/>
        <w:rPr>
          <w:rFonts w:ascii="Arial" w:hAnsi="Arial" w:cs="Arial"/>
        </w:rPr>
      </w:pPr>
      <w:r w:rsidRPr="003D407B">
        <w:rPr>
          <w:rFonts w:ascii="Arial" w:eastAsia="Calibri" w:hAnsi="Arial" w:cs="Arial"/>
          <w:b/>
        </w:rPr>
        <w:t xml:space="preserve">               </w:t>
      </w:r>
      <w:r w:rsidR="00FE5D3A" w:rsidRPr="003D407B">
        <w:rPr>
          <w:rFonts w:ascii="Arial" w:eastAsia="Calibri" w:hAnsi="Arial" w:cs="Arial"/>
          <w:b/>
        </w:rPr>
        <w:t>Case Number</w:t>
      </w:r>
      <w:r w:rsidR="00FE5D3A" w:rsidRPr="003D407B">
        <w:rPr>
          <w:rFonts w:ascii="Arial" w:eastAsia="Calibri" w:hAnsi="Arial" w:cs="Arial"/>
        </w:rPr>
        <w:t xml:space="preserve">: </w:t>
      </w:r>
      <w:r w:rsidR="00FE5D3A" w:rsidRPr="003D407B">
        <w:rPr>
          <w:rFonts w:ascii="Arial" w:eastAsia="Calibri" w:hAnsi="Arial" w:cs="Arial"/>
          <w:noProof/>
        </w:rPr>
        <w:t>2023 - 002870</w:t>
      </w:r>
      <w:r w:rsidR="00FE5D3A" w:rsidRPr="003D407B">
        <w:rPr>
          <w:rFonts w:ascii="Arial" w:eastAsia="Calibri" w:hAnsi="Arial" w:cs="Arial"/>
        </w:rPr>
        <w:tab/>
      </w:r>
    </w:p>
    <w:p w:rsidR="00FE5D3A" w:rsidRPr="003D407B" w:rsidRDefault="00FE5D3A" w:rsidP="00FE5D3A">
      <w:pPr>
        <w:pStyle w:val="NormalWeb"/>
        <w:spacing w:line="360" w:lineRule="auto"/>
        <w:ind w:left="5760" w:firstLine="720"/>
        <w:rPr>
          <w:rFonts w:ascii="Arial" w:hAnsi="Arial" w:cs="Arial"/>
        </w:rPr>
      </w:pPr>
      <w:r w:rsidRPr="003D407B">
        <w:rPr>
          <w:rFonts w:ascii="Arial" w:hAnsi="Arial" w:cs="Arial"/>
          <w:noProof/>
          <w:lang w:val="en-US" w:eastAsia="en-US"/>
        </w:rPr>
        <mc:AlternateContent>
          <mc:Choice Requires="wps">
            <w:drawing>
              <wp:anchor distT="0" distB="0" distL="114300" distR="114300" simplePos="0" relativeHeight="251660288" behindDoc="0" locked="0" layoutInCell="1" allowOverlap="1" wp14:anchorId="0C3B603D" wp14:editId="5CE7AA26">
                <wp:simplePos x="0" y="0"/>
                <wp:positionH relativeFrom="column">
                  <wp:posOffset>-47625</wp:posOffset>
                </wp:positionH>
                <wp:positionV relativeFrom="paragraph">
                  <wp:posOffset>161290</wp:posOffset>
                </wp:positionV>
                <wp:extent cx="3314700" cy="1266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66825"/>
                        </a:xfrm>
                        <a:prstGeom prst="rect">
                          <a:avLst/>
                        </a:prstGeom>
                        <a:solidFill>
                          <a:srgbClr val="FFFFFF"/>
                        </a:solidFill>
                        <a:ln w="9525">
                          <a:solidFill>
                            <a:srgbClr val="000000"/>
                          </a:solidFill>
                          <a:miter lim="800000"/>
                          <a:headEnd/>
                          <a:tailEnd/>
                        </a:ln>
                      </wps:spPr>
                      <wps:txbx>
                        <w:txbxContent>
                          <w:p w:rsidR="00EE2283" w:rsidRDefault="00EE2283" w:rsidP="00FE5D3A">
                            <w:pPr>
                              <w:jc w:val="center"/>
                              <w:rPr>
                                <w:rFonts w:ascii="Century Gothic" w:hAnsi="Century Gothic"/>
                                <w:b/>
                                <w:sz w:val="2"/>
                                <w:szCs w:val="18"/>
                              </w:rPr>
                            </w:pPr>
                          </w:p>
                          <w:p w:rsidR="00EE2283" w:rsidRDefault="00EE2283" w:rsidP="00FE5D3A">
                            <w:pPr>
                              <w:numPr>
                                <w:ilvl w:val="0"/>
                                <w:numId w:val="3"/>
                              </w:numPr>
                              <w:spacing w:after="0" w:line="240" w:lineRule="auto"/>
                              <w:rPr>
                                <w:rFonts w:ascii="Century Gothic" w:hAnsi="Century Gothic"/>
                                <w:sz w:val="18"/>
                                <w:szCs w:val="18"/>
                              </w:rPr>
                            </w:pPr>
                            <w:r>
                              <w:rPr>
                                <w:rFonts w:ascii="Century Gothic" w:hAnsi="Century Gothic"/>
                                <w:sz w:val="18"/>
                                <w:szCs w:val="18"/>
                              </w:rPr>
                              <w:t>REPORTABLE: NO</w:t>
                            </w:r>
                          </w:p>
                          <w:p w:rsidR="00EE2283" w:rsidRDefault="00EE2283" w:rsidP="00FE5D3A">
                            <w:pPr>
                              <w:numPr>
                                <w:ilvl w:val="0"/>
                                <w:numId w:val="3"/>
                              </w:numPr>
                              <w:spacing w:after="0" w:line="240" w:lineRule="auto"/>
                              <w:rPr>
                                <w:rFonts w:ascii="Century Gothic" w:hAnsi="Century Gothic"/>
                                <w:sz w:val="18"/>
                                <w:szCs w:val="18"/>
                              </w:rPr>
                            </w:pPr>
                            <w:r>
                              <w:rPr>
                                <w:rFonts w:ascii="Century Gothic" w:hAnsi="Century Gothic"/>
                                <w:sz w:val="18"/>
                                <w:szCs w:val="18"/>
                              </w:rPr>
                              <w:t>OF INTEREST TO OTHER JUDGES: NO</w:t>
                            </w:r>
                          </w:p>
                          <w:p w:rsidR="00EE2283" w:rsidRDefault="00EE2283" w:rsidP="00FE5D3A">
                            <w:pPr>
                              <w:rPr>
                                <w:rFonts w:ascii="Century Gothic" w:hAnsi="Century Gothic"/>
                                <w:b/>
                                <w:sz w:val="18"/>
                                <w:szCs w:val="18"/>
                              </w:rPr>
                            </w:pPr>
                          </w:p>
                          <w:p w:rsidR="00EE2283" w:rsidRDefault="00EE2283" w:rsidP="00FE5D3A">
                            <w:pPr>
                              <w:rPr>
                                <w:rFonts w:ascii="Century Gothic" w:hAnsi="Century Gothic"/>
                                <w:b/>
                                <w:sz w:val="18"/>
                                <w:szCs w:val="18"/>
                              </w:rPr>
                            </w:pPr>
                            <w:r>
                              <w:rPr>
                                <w:rFonts w:ascii="Century Gothic" w:hAnsi="Century Gothic"/>
                                <w:b/>
                                <w:sz w:val="18"/>
                                <w:szCs w:val="18"/>
                              </w:rPr>
                              <w:t xml:space="preserve"> …………..………….............</w:t>
                            </w:r>
                          </w:p>
                          <w:p w:rsidR="00EE2283" w:rsidRDefault="00FF5CDA" w:rsidP="00FE5D3A">
                            <w:pPr>
                              <w:rPr>
                                <w:rFonts w:ascii="Century Gothic" w:hAnsi="Century Gothic"/>
                                <w:b/>
                                <w:sz w:val="18"/>
                                <w:szCs w:val="18"/>
                              </w:rPr>
                            </w:pPr>
                            <w:r>
                              <w:rPr>
                                <w:rFonts w:ascii="Century Gothic" w:hAnsi="Century Gothic"/>
                                <w:b/>
                                <w:sz w:val="18"/>
                                <w:szCs w:val="18"/>
                              </w:rPr>
                              <w:t>JM</w:t>
                            </w:r>
                            <w:r w:rsidR="00EE2283">
                              <w:rPr>
                                <w:rFonts w:ascii="Century Gothic" w:hAnsi="Century Gothic"/>
                                <w:b/>
                                <w:sz w:val="18"/>
                                <w:szCs w:val="18"/>
                              </w:rPr>
                              <w:t xml:space="preserve"> MOGOTSI</w:t>
                            </w:r>
                            <w:r w:rsidR="00EE2283">
                              <w:rPr>
                                <w:rFonts w:ascii="Century Gothic" w:hAnsi="Century Gothic"/>
                                <w:b/>
                                <w:sz w:val="18"/>
                                <w:szCs w:val="18"/>
                              </w:rPr>
                              <w:tab/>
                            </w:r>
                            <w:r w:rsidR="00EE2283">
                              <w:rPr>
                                <w:rFonts w:ascii="Century Gothic" w:hAnsi="Century Gothic"/>
                                <w:b/>
                                <w:sz w:val="18"/>
                                <w:szCs w:val="18"/>
                              </w:rPr>
                              <w:tab/>
                              <w:t xml:space="preserve">DATE:  </w:t>
                            </w:r>
                            <w:r>
                              <w:rPr>
                                <w:rFonts w:ascii="Century Gothic" w:hAnsi="Century Gothic"/>
                                <w:b/>
                                <w:sz w:val="18"/>
                                <w:szCs w:val="18"/>
                              </w:rPr>
                              <w:t>15</w:t>
                            </w:r>
                            <w:r w:rsidR="00EE2283">
                              <w:rPr>
                                <w:rFonts w:ascii="Century Gothic" w:hAnsi="Century Gothic"/>
                                <w:b/>
                                <w:sz w:val="18"/>
                                <w:szCs w:val="18"/>
                              </w:rPr>
                              <w:t xml:space="preserve"> JUNE 2023 </w:t>
                            </w:r>
                          </w:p>
                          <w:p w:rsidR="00EE2283" w:rsidRDefault="00EE2283" w:rsidP="00FE5D3A">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C3B603D" id="_x0000_t202" coordsize="21600,21600" o:spt="202" path="m,l,21600r21600,l21600,xe">
                <v:stroke joinstyle="miter"/>
                <v:path gradientshapeok="t" o:connecttype="rect"/>
              </v:shapetype>
              <v:shape id="Text Box 9" o:spid="_x0000_s1026" type="#_x0000_t202" style="position:absolute;left:0;text-align:left;margin-left:-3.75pt;margin-top:12.7pt;width:261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">
                <v:textbox>
                  <w:txbxContent>
                    <w:p w:rsidR="00EE2283" w:rsidRDefault="00EE2283" w:rsidP="00FE5D3A">
                      <w:pPr>
                        <w:jc w:val="center"/>
                        <w:rPr>
                          <w:rFonts w:ascii="Century Gothic" w:hAnsi="Century Gothic"/>
                          <w:b/>
                          <w:sz w:val="2"/>
                          <w:szCs w:val="18"/>
                        </w:rPr>
                      </w:pPr>
                    </w:p>
                    <w:p w:rsidR="00EE2283" w:rsidRDefault="00EE2283" w:rsidP="00FE5D3A">
                      <w:pPr>
                        <w:numPr>
                          <w:ilvl w:val="0"/>
                          <w:numId w:val="3"/>
                        </w:numPr>
                        <w:spacing w:after="0" w:line="240" w:lineRule="auto"/>
                        <w:rPr>
                          <w:rFonts w:ascii="Century Gothic" w:hAnsi="Century Gothic"/>
                          <w:sz w:val="18"/>
                          <w:szCs w:val="18"/>
                        </w:rPr>
                      </w:pPr>
                      <w:r>
                        <w:rPr>
                          <w:rFonts w:ascii="Century Gothic" w:hAnsi="Century Gothic"/>
                          <w:sz w:val="18"/>
                          <w:szCs w:val="18"/>
                        </w:rPr>
                        <w:t>REPORTABLE: NO</w:t>
                      </w:r>
                    </w:p>
                    <w:p w:rsidR="00EE2283" w:rsidRDefault="00EE2283" w:rsidP="00FE5D3A">
                      <w:pPr>
                        <w:numPr>
                          <w:ilvl w:val="0"/>
                          <w:numId w:val="3"/>
                        </w:numPr>
                        <w:spacing w:after="0" w:line="240" w:lineRule="auto"/>
                        <w:rPr>
                          <w:rFonts w:ascii="Century Gothic" w:hAnsi="Century Gothic"/>
                          <w:sz w:val="18"/>
                          <w:szCs w:val="18"/>
                        </w:rPr>
                      </w:pPr>
                      <w:r>
                        <w:rPr>
                          <w:rFonts w:ascii="Century Gothic" w:hAnsi="Century Gothic"/>
                          <w:sz w:val="18"/>
                          <w:szCs w:val="18"/>
                        </w:rPr>
                        <w:t>OF INTEREST TO OTHER JUDGES: NO</w:t>
                      </w:r>
                    </w:p>
                    <w:p w:rsidR="00EE2283" w:rsidRDefault="00EE2283" w:rsidP="00FE5D3A">
                      <w:pPr>
                        <w:rPr>
                          <w:rFonts w:ascii="Century Gothic" w:hAnsi="Century Gothic"/>
                          <w:b/>
                          <w:sz w:val="18"/>
                          <w:szCs w:val="18"/>
                        </w:rPr>
                      </w:pPr>
                    </w:p>
                    <w:p w:rsidR="00EE2283" w:rsidRDefault="00EE2283" w:rsidP="00FE5D3A">
                      <w:pPr>
                        <w:rPr>
                          <w:rFonts w:ascii="Century Gothic" w:hAnsi="Century Gothic"/>
                          <w:b/>
                          <w:sz w:val="18"/>
                          <w:szCs w:val="18"/>
                        </w:rPr>
                      </w:pPr>
                      <w:r>
                        <w:rPr>
                          <w:rFonts w:ascii="Century Gothic" w:hAnsi="Century Gothic"/>
                          <w:b/>
                          <w:sz w:val="18"/>
                          <w:szCs w:val="18"/>
                        </w:rPr>
                        <w:t xml:space="preserve"> …………..………….............</w:t>
                      </w:r>
                    </w:p>
                    <w:p w:rsidR="00EE2283" w:rsidRDefault="00FF5CDA" w:rsidP="00FE5D3A">
                      <w:pPr>
                        <w:rPr>
                          <w:rFonts w:ascii="Century Gothic" w:hAnsi="Century Gothic"/>
                          <w:b/>
                          <w:sz w:val="18"/>
                          <w:szCs w:val="18"/>
                        </w:rPr>
                      </w:pPr>
                      <w:r>
                        <w:rPr>
                          <w:rFonts w:ascii="Century Gothic" w:hAnsi="Century Gothic"/>
                          <w:b/>
                          <w:sz w:val="18"/>
                          <w:szCs w:val="18"/>
                        </w:rPr>
                        <w:t>JM</w:t>
                      </w:r>
                      <w:r w:rsidR="00EE2283">
                        <w:rPr>
                          <w:rFonts w:ascii="Century Gothic" w:hAnsi="Century Gothic"/>
                          <w:b/>
                          <w:sz w:val="18"/>
                          <w:szCs w:val="18"/>
                        </w:rPr>
                        <w:t xml:space="preserve"> MOGOTSI</w:t>
                      </w:r>
                      <w:r w:rsidR="00EE2283">
                        <w:rPr>
                          <w:rFonts w:ascii="Century Gothic" w:hAnsi="Century Gothic"/>
                          <w:b/>
                          <w:sz w:val="18"/>
                          <w:szCs w:val="18"/>
                        </w:rPr>
                        <w:tab/>
                      </w:r>
                      <w:r w:rsidR="00EE2283">
                        <w:rPr>
                          <w:rFonts w:ascii="Century Gothic" w:hAnsi="Century Gothic"/>
                          <w:b/>
                          <w:sz w:val="18"/>
                          <w:szCs w:val="18"/>
                        </w:rPr>
                        <w:tab/>
                        <w:t xml:space="preserve">DATE:  </w:t>
                      </w:r>
                      <w:r>
                        <w:rPr>
                          <w:rFonts w:ascii="Century Gothic" w:hAnsi="Century Gothic"/>
                          <w:b/>
                          <w:sz w:val="18"/>
                          <w:szCs w:val="18"/>
                        </w:rPr>
                        <w:t>15</w:t>
                      </w:r>
                      <w:r w:rsidR="00EE2283">
                        <w:rPr>
                          <w:rFonts w:ascii="Century Gothic" w:hAnsi="Century Gothic"/>
                          <w:b/>
                          <w:sz w:val="18"/>
                          <w:szCs w:val="18"/>
                        </w:rPr>
                        <w:t xml:space="preserve"> JUNE 2023 </w:t>
                      </w:r>
                    </w:p>
                    <w:p w:rsidR="00EE2283" w:rsidRDefault="00EE2283" w:rsidP="00FE5D3A">
                      <w:pPr>
                        <w:rPr>
                          <w:rFonts w:ascii="Century Gothic" w:hAnsi="Century Gothic"/>
                          <w:b/>
                          <w:sz w:val="2"/>
                          <w:szCs w:val="18"/>
                        </w:rPr>
                      </w:pPr>
                    </w:p>
                  </w:txbxContent>
                </v:textbox>
              </v:shape>
            </w:pict>
          </mc:Fallback>
        </mc:AlternateContent>
      </w:r>
    </w:p>
    <w:p w:rsidR="00FE5D3A" w:rsidRPr="003D407B" w:rsidRDefault="00FE5D3A" w:rsidP="00FE5D3A">
      <w:pPr>
        <w:pStyle w:val="NormalWeb"/>
        <w:spacing w:line="360" w:lineRule="auto"/>
        <w:ind w:left="5760" w:firstLine="720"/>
        <w:rPr>
          <w:rFonts w:ascii="Arial" w:hAnsi="Arial" w:cs="Arial"/>
        </w:rPr>
      </w:pPr>
    </w:p>
    <w:p w:rsidR="00FE5D3A" w:rsidRPr="003D407B" w:rsidRDefault="00FE5D3A" w:rsidP="00FE5D3A">
      <w:pPr>
        <w:spacing w:after="0" w:line="240" w:lineRule="auto"/>
        <w:jc w:val="center"/>
        <w:rPr>
          <w:rFonts w:ascii="Arial" w:hAnsi="Arial" w:cs="Arial"/>
          <w:b/>
          <w:sz w:val="24"/>
          <w:szCs w:val="24"/>
        </w:rPr>
      </w:pPr>
    </w:p>
    <w:p w:rsidR="00FE5D3A" w:rsidRPr="003D407B" w:rsidRDefault="00FE5D3A" w:rsidP="00FE5D3A">
      <w:pPr>
        <w:spacing w:after="0" w:line="240" w:lineRule="auto"/>
        <w:jc w:val="center"/>
        <w:rPr>
          <w:rFonts w:ascii="Arial" w:hAnsi="Arial" w:cs="Arial"/>
          <w:b/>
          <w:sz w:val="24"/>
          <w:szCs w:val="24"/>
        </w:rPr>
      </w:pPr>
    </w:p>
    <w:p w:rsidR="00FE5D3A" w:rsidRPr="003D407B" w:rsidRDefault="00FE5D3A" w:rsidP="00FE5D3A">
      <w:pPr>
        <w:pStyle w:val="NormalWeb"/>
        <w:spacing w:line="360" w:lineRule="auto"/>
        <w:jc w:val="center"/>
        <w:rPr>
          <w:rFonts w:ascii="Arial" w:eastAsia="Calibri" w:hAnsi="Arial" w:cs="Arial"/>
          <w:b/>
        </w:rPr>
      </w:pPr>
      <w:r w:rsidRPr="003D407B">
        <w:rPr>
          <w:rFonts w:ascii="Arial" w:eastAsia="Calibri" w:hAnsi="Arial" w:cs="Arial"/>
          <w:b/>
        </w:rPr>
        <w:t xml:space="preserve">   </w:t>
      </w:r>
      <w:r w:rsidRPr="003D407B">
        <w:rPr>
          <w:rFonts w:ascii="Arial" w:eastAsia="Calibri" w:hAnsi="Arial" w:cs="Arial"/>
          <w:b/>
        </w:rPr>
        <w:tab/>
      </w:r>
      <w:r w:rsidRPr="003D407B">
        <w:rPr>
          <w:rFonts w:ascii="Arial" w:eastAsia="Calibri" w:hAnsi="Arial" w:cs="Arial"/>
          <w:b/>
        </w:rPr>
        <w:tab/>
      </w:r>
      <w:r w:rsidRPr="003D407B">
        <w:rPr>
          <w:rFonts w:ascii="Arial" w:eastAsia="Calibri" w:hAnsi="Arial" w:cs="Arial"/>
          <w:b/>
        </w:rPr>
        <w:tab/>
      </w:r>
      <w:r w:rsidRPr="003D407B">
        <w:rPr>
          <w:rFonts w:ascii="Arial" w:eastAsia="Calibri" w:hAnsi="Arial" w:cs="Arial"/>
          <w:b/>
        </w:rPr>
        <w:tab/>
      </w:r>
    </w:p>
    <w:p w:rsidR="00D14F8A" w:rsidRPr="003D407B" w:rsidRDefault="00D14F8A" w:rsidP="00FE5D3A">
      <w:pPr>
        <w:widowControl w:val="0"/>
        <w:tabs>
          <w:tab w:val="center" w:pos="4512"/>
        </w:tabs>
        <w:autoSpaceDE w:val="0"/>
        <w:autoSpaceDN w:val="0"/>
        <w:adjustRightInd w:val="0"/>
        <w:spacing w:after="0" w:line="240" w:lineRule="auto"/>
        <w:jc w:val="both"/>
        <w:rPr>
          <w:rFonts w:ascii="Arial" w:hAnsi="Arial" w:cs="Arial"/>
          <w:sz w:val="24"/>
          <w:szCs w:val="24"/>
          <w:lang w:val="en-ZA"/>
        </w:rPr>
      </w:pPr>
      <w:r w:rsidRPr="003D407B">
        <w:rPr>
          <w:rFonts w:ascii="Arial" w:hAnsi="Arial" w:cs="Arial"/>
          <w:sz w:val="24"/>
          <w:szCs w:val="24"/>
          <w:lang w:val="en-ZA"/>
        </w:rPr>
        <w:t>In the matter between:</w:t>
      </w:r>
    </w:p>
    <w:p w:rsidR="00D14F8A" w:rsidRPr="003D407B" w:rsidRDefault="00D14F8A" w:rsidP="00D14F8A">
      <w:pPr>
        <w:spacing w:line="259" w:lineRule="auto"/>
        <w:jc w:val="both"/>
        <w:rPr>
          <w:rFonts w:ascii="Arial" w:hAnsi="Arial" w:cs="Arial"/>
          <w:sz w:val="24"/>
          <w:szCs w:val="24"/>
          <w:lang w:val="en-ZA"/>
        </w:rPr>
      </w:pPr>
    </w:p>
    <w:p w:rsidR="00D14F8A" w:rsidRPr="003D407B" w:rsidRDefault="00D14F8A" w:rsidP="00D14F8A">
      <w:pPr>
        <w:spacing w:line="259" w:lineRule="auto"/>
        <w:jc w:val="both"/>
        <w:rPr>
          <w:rFonts w:ascii="Arial" w:hAnsi="Arial" w:cs="Arial"/>
          <w:sz w:val="24"/>
          <w:szCs w:val="24"/>
          <w:lang w:val="en-ZA"/>
        </w:rPr>
      </w:pPr>
      <w:r w:rsidRPr="003D407B">
        <w:rPr>
          <w:rFonts w:ascii="Arial" w:hAnsi="Arial" w:cs="Arial"/>
          <w:b/>
          <w:sz w:val="24"/>
          <w:szCs w:val="24"/>
          <w:lang w:val="en-ZA"/>
        </w:rPr>
        <w:t>KOOPKRAG (PTY) LTD</w:t>
      </w:r>
      <w:r w:rsidR="003D407B">
        <w:rPr>
          <w:rFonts w:ascii="Arial" w:hAnsi="Arial" w:cs="Arial"/>
          <w:b/>
          <w:sz w:val="24"/>
          <w:szCs w:val="24"/>
          <w:lang w:val="en-ZA"/>
        </w:rPr>
        <w:tab/>
      </w:r>
      <w:r w:rsidR="003D407B">
        <w:rPr>
          <w:rFonts w:ascii="Arial" w:hAnsi="Arial" w:cs="Arial"/>
          <w:b/>
          <w:sz w:val="24"/>
          <w:szCs w:val="24"/>
          <w:lang w:val="en-ZA"/>
        </w:rPr>
        <w:tab/>
      </w:r>
      <w:r w:rsidR="003D407B">
        <w:rPr>
          <w:rFonts w:ascii="Arial" w:hAnsi="Arial" w:cs="Arial"/>
          <w:b/>
          <w:sz w:val="24"/>
          <w:szCs w:val="24"/>
          <w:lang w:val="en-ZA"/>
        </w:rPr>
        <w:tab/>
      </w:r>
      <w:r w:rsidR="003D407B">
        <w:rPr>
          <w:rFonts w:ascii="Arial" w:hAnsi="Arial" w:cs="Arial"/>
          <w:b/>
          <w:sz w:val="24"/>
          <w:szCs w:val="24"/>
          <w:lang w:val="en-ZA"/>
        </w:rPr>
        <w:tab/>
      </w:r>
      <w:r w:rsidR="00DB2A4E" w:rsidRPr="003D407B">
        <w:rPr>
          <w:rFonts w:ascii="Arial" w:hAnsi="Arial" w:cs="Arial"/>
          <w:b/>
          <w:sz w:val="24"/>
          <w:szCs w:val="24"/>
          <w:lang w:val="en-ZA"/>
        </w:rPr>
        <w:t>APPLICANT</w:t>
      </w:r>
    </w:p>
    <w:p w:rsidR="00D14F8A" w:rsidRPr="003D407B" w:rsidRDefault="00D14F8A" w:rsidP="00D14F8A">
      <w:pPr>
        <w:spacing w:line="259" w:lineRule="auto"/>
        <w:jc w:val="both"/>
        <w:rPr>
          <w:rFonts w:ascii="Arial" w:hAnsi="Arial" w:cs="Arial"/>
          <w:sz w:val="24"/>
          <w:szCs w:val="24"/>
          <w:lang w:val="en-ZA"/>
        </w:rPr>
      </w:pPr>
      <w:r w:rsidRPr="003D407B">
        <w:rPr>
          <w:rFonts w:ascii="Arial" w:hAnsi="Arial" w:cs="Arial"/>
          <w:sz w:val="24"/>
          <w:szCs w:val="24"/>
          <w:lang w:val="en-ZA"/>
        </w:rPr>
        <w:t>and</w:t>
      </w:r>
    </w:p>
    <w:p w:rsidR="00304EC1" w:rsidRPr="003D407B" w:rsidRDefault="00D14F8A" w:rsidP="00D14F8A">
      <w:pPr>
        <w:spacing w:line="259" w:lineRule="auto"/>
        <w:jc w:val="both"/>
        <w:rPr>
          <w:rFonts w:ascii="Arial" w:hAnsi="Arial" w:cs="Arial"/>
          <w:b/>
          <w:sz w:val="24"/>
          <w:szCs w:val="24"/>
          <w:lang w:val="en-ZA"/>
        </w:rPr>
      </w:pPr>
      <w:bookmarkStart w:id="0" w:name="_GoBack"/>
      <w:r w:rsidRPr="003D407B">
        <w:rPr>
          <w:rFonts w:ascii="Arial" w:hAnsi="Arial" w:cs="Arial"/>
          <w:b/>
          <w:sz w:val="24"/>
          <w:szCs w:val="24"/>
          <w:lang w:val="en-ZA"/>
        </w:rPr>
        <w:t>TAUTE BOUWER AND CILLIERS INC</w:t>
      </w:r>
      <w:bookmarkEnd w:id="0"/>
      <w:r w:rsidR="003D407B">
        <w:rPr>
          <w:rFonts w:ascii="Arial" w:hAnsi="Arial" w:cs="Arial"/>
          <w:b/>
          <w:sz w:val="24"/>
          <w:szCs w:val="24"/>
          <w:lang w:val="en-ZA"/>
        </w:rPr>
        <w:tab/>
      </w:r>
      <w:r w:rsidR="003D407B">
        <w:rPr>
          <w:rFonts w:ascii="Arial" w:hAnsi="Arial" w:cs="Arial"/>
          <w:b/>
          <w:sz w:val="24"/>
          <w:szCs w:val="24"/>
          <w:lang w:val="en-ZA"/>
        </w:rPr>
        <w:tab/>
      </w:r>
      <w:r w:rsidRPr="003D407B">
        <w:rPr>
          <w:rFonts w:ascii="Arial" w:hAnsi="Arial" w:cs="Arial"/>
          <w:b/>
          <w:sz w:val="24"/>
          <w:szCs w:val="24"/>
          <w:lang w:val="en-ZA"/>
        </w:rPr>
        <w:t xml:space="preserve">FIRST </w:t>
      </w:r>
      <w:r w:rsidR="005C4B73" w:rsidRPr="003D407B">
        <w:rPr>
          <w:rFonts w:ascii="Arial" w:hAnsi="Arial" w:cs="Arial"/>
          <w:b/>
          <w:sz w:val="24"/>
          <w:szCs w:val="24"/>
          <w:lang w:val="en-ZA"/>
        </w:rPr>
        <w:t>RESPONDENT</w:t>
      </w:r>
    </w:p>
    <w:p w:rsidR="00304EC1" w:rsidRPr="003D407B" w:rsidRDefault="00D14F8A" w:rsidP="00D14F8A">
      <w:pPr>
        <w:spacing w:line="259" w:lineRule="auto"/>
        <w:jc w:val="both"/>
        <w:rPr>
          <w:rFonts w:ascii="Arial" w:hAnsi="Arial" w:cs="Arial"/>
          <w:b/>
          <w:sz w:val="24"/>
          <w:szCs w:val="24"/>
          <w:lang w:val="en-ZA"/>
        </w:rPr>
      </w:pPr>
      <w:r w:rsidRPr="003D407B">
        <w:rPr>
          <w:rFonts w:ascii="Arial" w:hAnsi="Arial" w:cs="Arial"/>
          <w:b/>
          <w:sz w:val="24"/>
          <w:szCs w:val="24"/>
          <w:lang w:val="en-ZA"/>
        </w:rPr>
        <w:t xml:space="preserve">CATHARINA </w:t>
      </w:r>
      <w:r w:rsidR="005C4B73" w:rsidRPr="003D407B">
        <w:rPr>
          <w:rFonts w:ascii="Arial" w:hAnsi="Arial" w:cs="Arial"/>
          <w:b/>
          <w:sz w:val="24"/>
          <w:szCs w:val="24"/>
          <w:lang w:val="en-ZA"/>
        </w:rPr>
        <w:t>ELIZABETH</w:t>
      </w:r>
      <w:r w:rsidR="003D407B">
        <w:rPr>
          <w:rFonts w:ascii="Arial" w:hAnsi="Arial" w:cs="Arial"/>
          <w:b/>
          <w:sz w:val="24"/>
          <w:szCs w:val="24"/>
          <w:lang w:val="en-ZA"/>
        </w:rPr>
        <w:tab/>
      </w:r>
      <w:r w:rsidR="003D407B">
        <w:rPr>
          <w:rFonts w:ascii="Arial" w:hAnsi="Arial" w:cs="Arial"/>
          <w:b/>
          <w:sz w:val="24"/>
          <w:szCs w:val="24"/>
          <w:lang w:val="en-ZA"/>
        </w:rPr>
        <w:tab/>
      </w:r>
      <w:r w:rsidR="003D407B">
        <w:rPr>
          <w:rFonts w:ascii="Arial" w:hAnsi="Arial" w:cs="Arial"/>
          <w:b/>
          <w:sz w:val="24"/>
          <w:szCs w:val="24"/>
          <w:lang w:val="en-ZA"/>
        </w:rPr>
        <w:tab/>
      </w:r>
      <w:r w:rsidR="003D407B">
        <w:rPr>
          <w:rFonts w:ascii="Arial" w:hAnsi="Arial" w:cs="Arial"/>
          <w:b/>
          <w:sz w:val="24"/>
          <w:szCs w:val="24"/>
          <w:lang w:val="en-ZA"/>
        </w:rPr>
        <w:tab/>
      </w:r>
      <w:r w:rsidRPr="003D407B">
        <w:rPr>
          <w:rFonts w:ascii="Arial" w:hAnsi="Arial" w:cs="Arial"/>
          <w:b/>
          <w:sz w:val="24"/>
          <w:szCs w:val="24"/>
          <w:lang w:val="en-ZA"/>
        </w:rPr>
        <w:t>SEC</w:t>
      </w:r>
      <w:r w:rsidR="005C4B73" w:rsidRPr="003D407B">
        <w:rPr>
          <w:rFonts w:ascii="Arial" w:hAnsi="Arial" w:cs="Arial"/>
          <w:b/>
          <w:sz w:val="24"/>
          <w:szCs w:val="24"/>
          <w:lang w:val="en-ZA"/>
        </w:rPr>
        <w:t xml:space="preserve">OND </w:t>
      </w:r>
      <w:r w:rsidRPr="003D407B">
        <w:rPr>
          <w:rFonts w:ascii="Arial" w:hAnsi="Arial" w:cs="Arial"/>
          <w:b/>
          <w:sz w:val="24"/>
          <w:szCs w:val="24"/>
          <w:lang w:val="en-ZA"/>
        </w:rPr>
        <w:t>RESPONDENT</w:t>
      </w:r>
    </w:p>
    <w:p w:rsidR="00304EC1" w:rsidRPr="003D407B" w:rsidRDefault="003D407B" w:rsidP="00D14F8A">
      <w:pPr>
        <w:spacing w:line="259" w:lineRule="auto"/>
        <w:jc w:val="both"/>
        <w:rPr>
          <w:rFonts w:ascii="Arial" w:hAnsi="Arial" w:cs="Arial"/>
          <w:b/>
          <w:sz w:val="24"/>
          <w:szCs w:val="24"/>
          <w:lang w:val="en-ZA"/>
        </w:rPr>
      </w:pPr>
      <w:r>
        <w:rPr>
          <w:rFonts w:ascii="Arial" w:hAnsi="Arial" w:cs="Arial"/>
          <w:b/>
          <w:sz w:val="24"/>
          <w:szCs w:val="24"/>
          <w:lang w:val="en-ZA"/>
        </w:rPr>
        <w:t>HURSION PATHER</w:t>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sidR="00D14F8A" w:rsidRPr="003D407B">
        <w:rPr>
          <w:rFonts w:ascii="Arial" w:hAnsi="Arial" w:cs="Arial"/>
          <w:b/>
          <w:sz w:val="24"/>
          <w:szCs w:val="24"/>
          <w:lang w:val="en-ZA"/>
        </w:rPr>
        <w:t xml:space="preserve">THIRD RESPONDENT </w:t>
      </w:r>
    </w:p>
    <w:p w:rsidR="00D14F8A" w:rsidRPr="003D407B" w:rsidRDefault="00D14F8A" w:rsidP="00D14F8A">
      <w:pPr>
        <w:spacing w:line="259" w:lineRule="auto"/>
        <w:jc w:val="both"/>
        <w:rPr>
          <w:rFonts w:ascii="Arial" w:hAnsi="Arial" w:cs="Arial"/>
          <w:b/>
          <w:sz w:val="24"/>
          <w:szCs w:val="24"/>
          <w:lang w:val="en-ZA"/>
        </w:rPr>
      </w:pPr>
      <w:r w:rsidRPr="003D407B">
        <w:rPr>
          <w:rFonts w:ascii="Arial" w:hAnsi="Arial" w:cs="Arial"/>
          <w:b/>
          <w:sz w:val="24"/>
          <w:szCs w:val="24"/>
          <w:lang w:val="en-ZA"/>
        </w:rPr>
        <w:t>SHE</w:t>
      </w:r>
      <w:r w:rsidR="003D407B">
        <w:rPr>
          <w:rFonts w:ascii="Arial" w:hAnsi="Arial" w:cs="Arial"/>
          <w:b/>
          <w:sz w:val="24"/>
          <w:szCs w:val="24"/>
          <w:lang w:val="en-ZA"/>
        </w:rPr>
        <w:t>RIFF OF THE HIGH COURT, UMZINTO</w:t>
      </w:r>
      <w:r w:rsidR="003D407B">
        <w:rPr>
          <w:rFonts w:ascii="Arial" w:hAnsi="Arial" w:cs="Arial"/>
          <w:b/>
          <w:sz w:val="24"/>
          <w:szCs w:val="24"/>
          <w:lang w:val="en-ZA"/>
        </w:rPr>
        <w:tab/>
      </w:r>
      <w:r w:rsidRPr="003D407B">
        <w:rPr>
          <w:rFonts w:ascii="Arial" w:hAnsi="Arial" w:cs="Arial"/>
          <w:b/>
          <w:sz w:val="24"/>
          <w:szCs w:val="24"/>
          <w:lang w:val="en-ZA"/>
        </w:rPr>
        <w:t>FOUTH RESPONDENT</w:t>
      </w:r>
    </w:p>
    <w:p w:rsidR="00D14F8A" w:rsidRPr="00D14F8A" w:rsidRDefault="00D14F8A" w:rsidP="00D14F8A">
      <w:pPr>
        <w:spacing w:line="259" w:lineRule="auto"/>
        <w:jc w:val="center"/>
        <w:rPr>
          <w:rFonts w:ascii="Arial" w:hAnsi="Arial" w:cs="Arial"/>
          <w:sz w:val="28"/>
          <w:szCs w:val="28"/>
          <w:lang w:val="en-ZA"/>
        </w:rPr>
      </w:pPr>
    </w:p>
    <w:p w:rsidR="00D14F8A" w:rsidRPr="00D14F8A" w:rsidRDefault="00D14F8A" w:rsidP="00D14F8A">
      <w:pPr>
        <w:pBdr>
          <w:top w:val="single" w:sz="12" w:space="1" w:color="auto"/>
          <w:bottom w:val="single" w:sz="12" w:space="1" w:color="auto"/>
        </w:pBdr>
        <w:tabs>
          <w:tab w:val="center" w:pos="4513"/>
          <w:tab w:val="right" w:pos="9026"/>
        </w:tabs>
        <w:spacing w:line="259" w:lineRule="auto"/>
        <w:rPr>
          <w:rFonts w:ascii="Arial" w:hAnsi="Arial" w:cs="Arial"/>
          <w:sz w:val="28"/>
          <w:szCs w:val="28"/>
          <w:lang w:val="en-ZA"/>
        </w:rPr>
      </w:pPr>
      <w:r w:rsidRPr="00D14F8A">
        <w:rPr>
          <w:rFonts w:ascii="Arial" w:hAnsi="Arial" w:cs="Arial"/>
          <w:sz w:val="28"/>
          <w:szCs w:val="28"/>
          <w:lang w:val="en-ZA"/>
        </w:rPr>
        <w:tab/>
      </w:r>
    </w:p>
    <w:p w:rsidR="00D14F8A" w:rsidRPr="00304EC1" w:rsidRDefault="00D14F8A" w:rsidP="00D14F8A">
      <w:pPr>
        <w:pBdr>
          <w:top w:val="single" w:sz="12" w:space="1" w:color="auto"/>
          <w:bottom w:val="single" w:sz="12" w:space="1" w:color="auto"/>
        </w:pBdr>
        <w:tabs>
          <w:tab w:val="center" w:pos="4513"/>
          <w:tab w:val="right" w:pos="9026"/>
        </w:tabs>
        <w:spacing w:line="259" w:lineRule="auto"/>
        <w:jc w:val="center"/>
        <w:rPr>
          <w:rFonts w:ascii="Arial" w:hAnsi="Arial" w:cs="Arial"/>
          <w:b/>
          <w:sz w:val="24"/>
          <w:szCs w:val="24"/>
          <w:lang w:val="en-ZA"/>
        </w:rPr>
      </w:pPr>
      <w:r w:rsidRPr="00304EC1">
        <w:rPr>
          <w:rFonts w:ascii="Arial" w:hAnsi="Arial" w:cs="Arial"/>
          <w:b/>
          <w:sz w:val="24"/>
          <w:szCs w:val="24"/>
          <w:lang w:val="en-ZA"/>
        </w:rPr>
        <w:t>JUDGMENT</w:t>
      </w:r>
    </w:p>
    <w:p w:rsidR="00D14F8A" w:rsidRPr="00D14F8A" w:rsidRDefault="00D14F8A" w:rsidP="00D14F8A">
      <w:pPr>
        <w:pBdr>
          <w:top w:val="single" w:sz="12" w:space="1" w:color="auto"/>
          <w:bottom w:val="single" w:sz="12" w:space="1" w:color="auto"/>
        </w:pBdr>
        <w:tabs>
          <w:tab w:val="center" w:pos="4513"/>
          <w:tab w:val="right" w:pos="9026"/>
        </w:tabs>
        <w:spacing w:line="259" w:lineRule="auto"/>
        <w:rPr>
          <w:rFonts w:ascii="Arial" w:hAnsi="Arial" w:cs="Arial"/>
          <w:sz w:val="28"/>
          <w:szCs w:val="28"/>
          <w:lang w:val="en-ZA"/>
        </w:rPr>
      </w:pPr>
      <w:r w:rsidRPr="00D14F8A">
        <w:rPr>
          <w:rFonts w:ascii="Arial" w:hAnsi="Arial" w:cs="Arial"/>
          <w:sz w:val="28"/>
          <w:szCs w:val="28"/>
          <w:lang w:val="en-ZA"/>
        </w:rPr>
        <w:tab/>
      </w:r>
    </w:p>
    <w:p w:rsidR="00304EC1" w:rsidRDefault="00304EC1" w:rsidP="00304EC1">
      <w:pPr>
        <w:spacing w:line="360" w:lineRule="auto"/>
        <w:jc w:val="both"/>
        <w:rPr>
          <w:rFonts w:ascii="Arial" w:hAnsi="Arial" w:cs="Arial"/>
          <w:b/>
          <w:color w:val="000000"/>
          <w:sz w:val="24"/>
          <w:szCs w:val="24"/>
        </w:rPr>
      </w:pPr>
    </w:p>
    <w:p w:rsidR="00304EC1" w:rsidRDefault="00304EC1" w:rsidP="00304EC1">
      <w:pPr>
        <w:spacing w:line="360" w:lineRule="auto"/>
        <w:jc w:val="both"/>
        <w:rPr>
          <w:rFonts w:ascii="Arial" w:hAnsi="Arial" w:cs="Arial"/>
          <w:color w:val="000000"/>
          <w:sz w:val="24"/>
          <w:szCs w:val="24"/>
        </w:rPr>
      </w:pPr>
      <w:r w:rsidRPr="0076605C">
        <w:rPr>
          <w:rFonts w:ascii="Arial" w:hAnsi="Arial" w:cs="Arial"/>
          <w:b/>
          <w:color w:val="000000"/>
          <w:sz w:val="24"/>
          <w:szCs w:val="24"/>
        </w:rPr>
        <w:t>Delivered</w:t>
      </w:r>
      <w:r w:rsidRPr="0076605C">
        <w:rPr>
          <w:rFonts w:ascii="Arial" w:hAnsi="Arial" w:cs="Arial"/>
          <w:color w:val="000000"/>
          <w:sz w:val="24"/>
          <w:szCs w:val="24"/>
        </w:rPr>
        <w:t xml:space="preserve">:  </w:t>
      </w:r>
      <w:r w:rsidRPr="0076605C">
        <w:rPr>
          <w:rFonts w:ascii="Arial" w:hAnsi="Arial" w:cs="Arial"/>
          <w:color w:val="000000"/>
          <w:sz w:val="24"/>
          <w:szCs w:val="24"/>
        </w:rPr>
        <w:tab/>
        <w:t xml:space="preserve">This judgment was handed down electronically by circulation to the parties’ legal representatives by e-mail. The date and time for hand-down is deemed to be 10h00 on </w:t>
      </w:r>
      <w:r w:rsidR="00FF5CDA">
        <w:rPr>
          <w:rFonts w:ascii="Arial" w:hAnsi="Arial" w:cs="Arial"/>
          <w:color w:val="000000"/>
          <w:sz w:val="24"/>
          <w:szCs w:val="24"/>
        </w:rPr>
        <w:t>15</w:t>
      </w:r>
      <w:r>
        <w:rPr>
          <w:rFonts w:ascii="Arial" w:hAnsi="Arial" w:cs="Arial"/>
          <w:color w:val="000000"/>
          <w:sz w:val="24"/>
          <w:szCs w:val="24"/>
        </w:rPr>
        <w:t xml:space="preserve"> June 2023</w:t>
      </w:r>
      <w:r w:rsidRPr="0076605C">
        <w:rPr>
          <w:rFonts w:ascii="Arial" w:hAnsi="Arial" w:cs="Arial"/>
          <w:color w:val="000000"/>
          <w:sz w:val="24"/>
          <w:szCs w:val="24"/>
        </w:rPr>
        <w:t>.</w:t>
      </w:r>
    </w:p>
    <w:p w:rsidR="00304EC1" w:rsidRDefault="00304EC1" w:rsidP="00304EC1">
      <w:pPr>
        <w:spacing w:line="360" w:lineRule="auto"/>
        <w:jc w:val="both"/>
        <w:rPr>
          <w:rFonts w:ascii="Arial" w:hAnsi="Arial" w:cs="Arial"/>
          <w:b/>
          <w:color w:val="000000" w:themeColor="text1"/>
          <w:sz w:val="24"/>
          <w:szCs w:val="24"/>
          <w:lang w:val="en-ZA"/>
        </w:rPr>
      </w:pPr>
    </w:p>
    <w:p w:rsidR="00304EC1" w:rsidRDefault="00304EC1" w:rsidP="00E122AB">
      <w:pPr>
        <w:jc w:val="both"/>
        <w:rPr>
          <w:rFonts w:ascii="Arial" w:hAnsi="Arial" w:cs="Arial"/>
          <w:b/>
          <w:color w:val="000000" w:themeColor="text1"/>
          <w:sz w:val="24"/>
          <w:szCs w:val="24"/>
          <w:lang w:val="en-ZA"/>
        </w:rPr>
      </w:pPr>
    </w:p>
    <w:p w:rsidR="00E568A6" w:rsidRPr="00304EC1" w:rsidRDefault="003A3C81" w:rsidP="00E122AB">
      <w:pPr>
        <w:jc w:val="both"/>
        <w:rPr>
          <w:rFonts w:ascii="Arial" w:hAnsi="Arial" w:cs="Arial"/>
          <w:b/>
          <w:color w:val="000000" w:themeColor="text1"/>
          <w:sz w:val="24"/>
          <w:szCs w:val="24"/>
          <w:lang w:val="en-ZA"/>
        </w:rPr>
      </w:pPr>
      <w:r w:rsidRPr="00304EC1">
        <w:rPr>
          <w:rFonts w:ascii="Arial" w:hAnsi="Arial" w:cs="Arial"/>
          <w:b/>
          <w:color w:val="000000" w:themeColor="text1"/>
          <w:sz w:val="24"/>
          <w:szCs w:val="24"/>
          <w:lang w:val="en-ZA"/>
        </w:rPr>
        <w:t>INTRODUCTION</w:t>
      </w:r>
    </w:p>
    <w:p w:rsidR="00E568A6" w:rsidRPr="00304EC1" w:rsidRDefault="00D268FB" w:rsidP="004979AC">
      <w:pPr>
        <w:jc w:val="both"/>
        <w:rPr>
          <w:rFonts w:ascii="Arial" w:hAnsi="Arial" w:cs="Arial"/>
          <w:color w:val="000000" w:themeColor="text1"/>
          <w:sz w:val="24"/>
          <w:szCs w:val="24"/>
          <w:lang w:val="en-ZA"/>
        </w:rPr>
      </w:pPr>
      <w:r w:rsidRPr="00304EC1">
        <w:rPr>
          <w:rFonts w:ascii="Arial" w:hAnsi="Arial" w:cs="Arial"/>
          <w:color w:val="000000" w:themeColor="text1"/>
          <w:sz w:val="24"/>
          <w:szCs w:val="24"/>
          <w:lang w:val="en-ZA"/>
        </w:rPr>
        <w:t xml:space="preserve">[1] </w:t>
      </w:r>
      <w:r w:rsidR="00E568A6" w:rsidRPr="00304EC1">
        <w:rPr>
          <w:rFonts w:ascii="Arial" w:hAnsi="Arial" w:cs="Arial"/>
          <w:color w:val="000000" w:themeColor="text1"/>
          <w:sz w:val="24"/>
          <w:szCs w:val="24"/>
          <w:lang w:val="en-ZA"/>
        </w:rPr>
        <w:t xml:space="preserve">This is an </w:t>
      </w:r>
      <w:r w:rsidR="000C259B" w:rsidRPr="00304EC1">
        <w:rPr>
          <w:rFonts w:ascii="Arial" w:hAnsi="Arial" w:cs="Arial"/>
          <w:color w:val="000000" w:themeColor="text1"/>
          <w:sz w:val="24"/>
          <w:szCs w:val="24"/>
          <w:lang w:val="en-ZA"/>
        </w:rPr>
        <w:t xml:space="preserve">opposed </w:t>
      </w:r>
      <w:r w:rsidR="00E568A6" w:rsidRPr="00304EC1">
        <w:rPr>
          <w:rFonts w:ascii="Arial" w:hAnsi="Arial" w:cs="Arial"/>
          <w:color w:val="000000" w:themeColor="text1"/>
          <w:sz w:val="24"/>
          <w:szCs w:val="24"/>
          <w:lang w:val="en-ZA"/>
        </w:rPr>
        <w:t>application to set aside</w:t>
      </w:r>
      <w:r w:rsidR="000C259B" w:rsidRPr="00304EC1">
        <w:rPr>
          <w:rFonts w:ascii="Arial" w:hAnsi="Arial" w:cs="Arial"/>
          <w:color w:val="000000" w:themeColor="text1"/>
          <w:sz w:val="24"/>
          <w:szCs w:val="24"/>
          <w:lang w:val="en-ZA"/>
        </w:rPr>
        <w:t xml:space="preserve"> the sale in </w:t>
      </w:r>
      <w:r w:rsidR="00136549" w:rsidRPr="00304EC1">
        <w:rPr>
          <w:rFonts w:ascii="Arial" w:hAnsi="Arial" w:cs="Arial"/>
          <w:color w:val="000000" w:themeColor="text1"/>
          <w:sz w:val="24"/>
          <w:szCs w:val="24"/>
          <w:lang w:val="en-ZA"/>
        </w:rPr>
        <w:t>execution</w:t>
      </w:r>
      <w:r w:rsidR="000C259B" w:rsidRPr="00304EC1">
        <w:rPr>
          <w:rFonts w:ascii="Arial" w:hAnsi="Arial" w:cs="Arial"/>
          <w:color w:val="000000" w:themeColor="text1"/>
          <w:sz w:val="24"/>
          <w:szCs w:val="24"/>
          <w:lang w:val="en-ZA"/>
        </w:rPr>
        <w:t xml:space="preserve"> as well as an application for the </w:t>
      </w:r>
      <w:r w:rsidR="000C259B" w:rsidRPr="004860DD">
        <w:rPr>
          <w:rFonts w:ascii="Arial" w:hAnsi="Arial" w:cs="Arial"/>
          <w:color w:val="000000" w:themeColor="text1"/>
          <w:sz w:val="24"/>
          <w:szCs w:val="24"/>
          <w:lang w:val="en-ZA"/>
        </w:rPr>
        <w:t>rei vindicatio</w:t>
      </w:r>
      <w:r w:rsidR="000C259B" w:rsidRPr="00304EC1">
        <w:rPr>
          <w:rFonts w:ascii="Arial" w:hAnsi="Arial" w:cs="Arial"/>
          <w:color w:val="000000" w:themeColor="text1"/>
          <w:sz w:val="24"/>
          <w:szCs w:val="24"/>
          <w:lang w:val="en-ZA"/>
        </w:rPr>
        <w:t xml:space="preserve"> for the return of a motor vehicle sold on sale in exec</w:t>
      </w:r>
      <w:r w:rsidR="004979AC" w:rsidRPr="00304EC1">
        <w:rPr>
          <w:rFonts w:ascii="Arial" w:hAnsi="Arial" w:cs="Arial"/>
          <w:color w:val="000000" w:themeColor="text1"/>
          <w:sz w:val="24"/>
          <w:szCs w:val="24"/>
          <w:lang w:val="en-ZA"/>
        </w:rPr>
        <w:t>ution by the fourth respondent.</w:t>
      </w:r>
    </w:p>
    <w:p w:rsidR="00414D31" w:rsidRPr="00304EC1" w:rsidRDefault="00414D31" w:rsidP="004979AC">
      <w:pPr>
        <w:jc w:val="both"/>
        <w:rPr>
          <w:rFonts w:ascii="Arial" w:hAnsi="Arial" w:cs="Arial"/>
          <w:color w:val="000000" w:themeColor="text1"/>
          <w:sz w:val="24"/>
          <w:szCs w:val="24"/>
          <w:lang w:val="en-ZA"/>
        </w:rPr>
      </w:pPr>
    </w:p>
    <w:p w:rsidR="008919EF" w:rsidRPr="00304EC1" w:rsidRDefault="008919EF" w:rsidP="00E122AB">
      <w:pPr>
        <w:jc w:val="both"/>
        <w:rPr>
          <w:rFonts w:ascii="Arial" w:hAnsi="Arial" w:cs="Arial"/>
          <w:b/>
          <w:color w:val="000000" w:themeColor="text1"/>
          <w:sz w:val="24"/>
          <w:szCs w:val="24"/>
          <w:lang w:val="en-ZA"/>
        </w:rPr>
      </w:pPr>
      <w:r w:rsidRPr="00304EC1">
        <w:rPr>
          <w:rFonts w:ascii="Arial" w:hAnsi="Arial" w:cs="Arial"/>
          <w:b/>
          <w:color w:val="000000" w:themeColor="text1"/>
          <w:sz w:val="24"/>
          <w:szCs w:val="24"/>
          <w:lang w:val="en-ZA"/>
        </w:rPr>
        <w:t>BACKGROUND</w:t>
      </w:r>
      <w:r w:rsidR="0008232F" w:rsidRPr="00304EC1">
        <w:rPr>
          <w:rFonts w:ascii="Arial" w:hAnsi="Arial" w:cs="Arial"/>
          <w:b/>
          <w:color w:val="000000" w:themeColor="text1"/>
          <w:sz w:val="24"/>
          <w:szCs w:val="24"/>
          <w:lang w:val="en-ZA"/>
        </w:rPr>
        <w:t>.</w:t>
      </w:r>
    </w:p>
    <w:p w:rsidR="00E568A6" w:rsidRPr="00304EC1" w:rsidRDefault="004979AC" w:rsidP="00E122AB">
      <w:pPr>
        <w:jc w:val="both"/>
        <w:rPr>
          <w:rFonts w:ascii="Arial" w:hAnsi="Arial" w:cs="Arial"/>
          <w:color w:val="000000" w:themeColor="text1"/>
          <w:sz w:val="24"/>
          <w:szCs w:val="24"/>
          <w:lang w:val="en-ZA"/>
        </w:rPr>
      </w:pPr>
      <w:r w:rsidRPr="00304EC1">
        <w:rPr>
          <w:rFonts w:ascii="Arial" w:hAnsi="Arial" w:cs="Arial"/>
          <w:color w:val="000000" w:themeColor="text1"/>
          <w:sz w:val="24"/>
          <w:szCs w:val="24"/>
          <w:lang w:val="en-ZA"/>
        </w:rPr>
        <w:t>[2</w:t>
      </w:r>
      <w:r w:rsidR="00D268FB" w:rsidRPr="00304EC1">
        <w:rPr>
          <w:rFonts w:ascii="Arial" w:hAnsi="Arial" w:cs="Arial"/>
          <w:color w:val="000000" w:themeColor="text1"/>
          <w:sz w:val="24"/>
          <w:szCs w:val="24"/>
          <w:lang w:val="en-ZA"/>
        </w:rPr>
        <w:t xml:space="preserve">] </w:t>
      </w:r>
      <w:r w:rsidR="008919EF" w:rsidRPr="00304EC1">
        <w:rPr>
          <w:rFonts w:ascii="Arial" w:hAnsi="Arial" w:cs="Arial"/>
          <w:color w:val="000000" w:themeColor="text1"/>
          <w:sz w:val="24"/>
          <w:szCs w:val="24"/>
          <w:lang w:val="en-ZA"/>
        </w:rPr>
        <w:t>The seco</w:t>
      </w:r>
      <w:r w:rsidR="003A3C81" w:rsidRPr="00304EC1">
        <w:rPr>
          <w:rFonts w:ascii="Arial" w:hAnsi="Arial" w:cs="Arial"/>
          <w:color w:val="000000" w:themeColor="text1"/>
          <w:sz w:val="24"/>
          <w:szCs w:val="24"/>
          <w:lang w:val="en-ZA"/>
        </w:rPr>
        <w:t>nd respondent, a</w:t>
      </w:r>
      <w:r w:rsidR="00E122AB" w:rsidRPr="00304EC1">
        <w:rPr>
          <w:rFonts w:ascii="Arial" w:hAnsi="Arial" w:cs="Arial"/>
          <w:color w:val="000000" w:themeColor="text1"/>
          <w:sz w:val="24"/>
          <w:szCs w:val="24"/>
          <w:lang w:val="en-ZA"/>
        </w:rPr>
        <w:t xml:space="preserve"> pensioner</w:t>
      </w:r>
      <w:r w:rsidR="003A3C81" w:rsidRPr="00304EC1">
        <w:rPr>
          <w:rFonts w:ascii="Arial" w:hAnsi="Arial" w:cs="Arial"/>
          <w:color w:val="000000" w:themeColor="text1"/>
          <w:sz w:val="24"/>
          <w:szCs w:val="24"/>
          <w:lang w:val="en-ZA"/>
        </w:rPr>
        <w:t>,</w:t>
      </w:r>
      <w:r w:rsidR="008919EF" w:rsidRPr="00304EC1">
        <w:rPr>
          <w:rFonts w:ascii="Arial" w:hAnsi="Arial" w:cs="Arial"/>
          <w:color w:val="000000" w:themeColor="text1"/>
          <w:sz w:val="24"/>
          <w:szCs w:val="24"/>
          <w:lang w:val="en-ZA"/>
        </w:rPr>
        <w:t xml:space="preserve"> relies on rental income. She leased a vehicle in issue to Mrs Schaal and Mr</w:t>
      </w:r>
      <w:r w:rsidR="003A3C81" w:rsidRPr="00304EC1">
        <w:rPr>
          <w:rFonts w:ascii="Arial" w:hAnsi="Arial" w:cs="Arial"/>
          <w:color w:val="000000" w:themeColor="text1"/>
          <w:sz w:val="24"/>
          <w:szCs w:val="24"/>
          <w:lang w:val="en-ZA"/>
        </w:rPr>
        <w:t>. Lun</w:t>
      </w:r>
      <w:r w:rsidR="00414D31" w:rsidRPr="00304EC1">
        <w:rPr>
          <w:rFonts w:ascii="Arial" w:hAnsi="Arial" w:cs="Arial"/>
          <w:color w:val="000000" w:themeColor="text1"/>
          <w:sz w:val="24"/>
          <w:szCs w:val="24"/>
          <w:lang w:val="en-ZA"/>
        </w:rPr>
        <w:t>di who refused to pay rent and she</w:t>
      </w:r>
      <w:r w:rsidR="008919EF" w:rsidRPr="00304EC1">
        <w:rPr>
          <w:rFonts w:ascii="Arial" w:hAnsi="Arial" w:cs="Arial"/>
          <w:color w:val="000000" w:themeColor="text1"/>
          <w:sz w:val="24"/>
          <w:szCs w:val="24"/>
          <w:lang w:val="en-ZA"/>
        </w:rPr>
        <w:t xml:space="preserve"> instructed the first respondent </w:t>
      </w:r>
      <w:r w:rsidR="00CA32D4" w:rsidRPr="00304EC1">
        <w:rPr>
          <w:rFonts w:ascii="Arial" w:hAnsi="Arial" w:cs="Arial"/>
          <w:color w:val="000000" w:themeColor="text1"/>
          <w:sz w:val="24"/>
          <w:szCs w:val="24"/>
          <w:lang w:val="en-ZA"/>
        </w:rPr>
        <w:t xml:space="preserve">to recover </w:t>
      </w:r>
      <w:r w:rsidR="00D62A96" w:rsidRPr="00304EC1">
        <w:rPr>
          <w:rFonts w:ascii="Arial" w:hAnsi="Arial" w:cs="Arial"/>
          <w:color w:val="000000" w:themeColor="text1"/>
          <w:sz w:val="24"/>
          <w:szCs w:val="24"/>
          <w:lang w:val="en-ZA"/>
        </w:rPr>
        <w:t xml:space="preserve">the </w:t>
      </w:r>
      <w:r w:rsidR="00CA32D4" w:rsidRPr="00304EC1">
        <w:rPr>
          <w:rFonts w:ascii="Arial" w:hAnsi="Arial" w:cs="Arial"/>
          <w:color w:val="000000" w:themeColor="text1"/>
          <w:sz w:val="24"/>
          <w:szCs w:val="24"/>
          <w:lang w:val="en-ZA"/>
        </w:rPr>
        <w:t xml:space="preserve">damages she suffered. The latter obtained </w:t>
      </w:r>
      <w:r w:rsidR="00D62A96" w:rsidRPr="00304EC1">
        <w:rPr>
          <w:rFonts w:ascii="Arial" w:hAnsi="Arial" w:cs="Arial"/>
          <w:color w:val="000000" w:themeColor="text1"/>
          <w:sz w:val="24"/>
          <w:szCs w:val="24"/>
          <w:lang w:val="en-ZA"/>
        </w:rPr>
        <w:t xml:space="preserve">a </w:t>
      </w:r>
      <w:r w:rsidR="00CA32D4" w:rsidRPr="00304EC1">
        <w:rPr>
          <w:rFonts w:ascii="Arial" w:hAnsi="Arial" w:cs="Arial"/>
          <w:color w:val="000000" w:themeColor="text1"/>
          <w:sz w:val="24"/>
          <w:szCs w:val="24"/>
          <w:lang w:val="en-ZA"/>
        </w:rPr>
        <w:t xml:space="preserve">default </w:t>
      </w:r>
      <w:r w:rsidR="00B164CA" w:rsidRPr="00304EC1">
        <w:rPr>
          <w:rFonts w:ascii="Arial" w:hAnsi="Arial" w:cs="Arial"/>
          <w:color w:val="000000" w:themeColor="text1"/>
          <w:sz w:val="24"/>
          <w:szCs w:val="24"/>
          <w:lang w:val="en-ZA"/>
        </w:rPr>
        <w:t>judgment</w:t>
      </w:r>
      <w:r w:rsidR="00CA32D4" w:rsidRPr="00304EC1">
        <w:rPr>
          <w:rFonts w:ascii="Arial" w:hAnsi="Arial" w:cs="Arial"/>
          <w:color w:val="000000" w:themeColor="text1"/>
          <w:sz w:val="24"/>
          <w:szCs w:val="24"/>
          <w:lang w:val="en-ZA"/>
        </w:rPr>
        <w:t xml:space="preserve"> against Mrs. Schaal and Mr. Lundi in the Magistrate Court Pretoria for the amount of R42 000.00 for arrear rental. The sheriff attached the vehicle and the second respondent instructed him to </w:t>
      </w:r>
      <w:r w:rsidR="00D62A96" w:rsidRPr="00304EC1">
        <w:rPr>
          <w:rFonts w:ascii="Arial" w:hAnsi="Arial" w:cs="Arial"/>
          <w:color w:val="000000" w:themeColor="text1"/>
          <w:sz w:val="24"/>
          <w:szCs w:val="24"/>
          <w:lang w:val="en-ZA"/>
        </w:rPr>
        <w:t>sell</w:t>
      </w:r>
      <w:r w:rsidR="00CA32D4" w:rsidRPr="00304EC1">
        <w:rPr>
          <w:rFonts w:ascii="Arial" w:hAnsi="Arial" w:cs="Arial"/>
          <w:color w:val="000000" w:themeColor="text1"/>
          <w:sz w:val="24"/>
          <w:szCs w:val="24"/>
          <w:lang w:val="en-ZA"/>
        </w:rPr>
        <w:t xml:space="preserve"> </w:t>
      </w:r>
      <w:r w:rsidR="00AD1F98" w:rsidRPr="00304EC1">
        <w:rPr>
          <w:rFonts w:ascii="Arial" w:hAnsi="Arial" w:cs="Arial"/>
          <w:color w:val="000000" w:themeColor="text1"/>
          <w:sz w:val="24"/>
          <w:szCs w:val="24"/>
          <w:lang w:val="en-ZA"/>
        </w:rPr>
        <w:t xml:space="preserve">the </w:t>
      </w:r>
      <w:r w:rsidR="00CA32D4" w:rsidRPr="00304EC1">
        <w:rPr>
          <w:rFonts w:ascii="Arial" w:hAnsi="Arial" w:cs="Arial"/>
          <w:color w:val="000000" w:themeColor="text1"/>
          <w:sz w:val="24"/>
          <w:szCs w:val="24"/>
          <w:lang w:val="en-ZA"/>
        </w:rPr>
        <w:t xml:space="preserve">same </w:t>
      </w:r>
      <w:r w:rsidR="00E568A6" w:rsidRPr="00304EC1">
        <w:rPr>
          <w:rFonts w:ascii="Arial" w:hAnsi="Arial" w:cs="Arial"/>
          <w:color w:val="000000" w:themeColor="text1"/>
          <w:sz w:val="24"/>
          <w:szCs w:val="24"/>
          <w:lang w:val="en-ZA"/>
        </w:rPr>
        <w:t xml:space="preserve">in satisfaction of the debt owed to her by </w:t>
      </w:r>
      <w:r w:rsidR="00136549" w:rsidRPr="00304EC1">
        <w:rPr>
          <w:rFonts w:ascii="Arial" w:hAnsi="Arial" w:cs="Arial"/>
          <w:color w:val="000000" w:themeColor="text1"/>
          <w:sz w:val="24"/>
          <w:szCs w:val="24"/>
          <w:lang w:val="en-ZA"/>
        </w:rPr>
        <w:t>Mrs</w:t>
      </w:r>
      <w:r w:rsidR="00E568A6" w:rsidRPr="00304EC1">
        <w:rPr>
          <w:rFonts w:ascii="Arial" w:hAnsi="Arial" w:cs="Arial"/>
          <w:color w:val="000000" w:themeColor="text1"/>
          <w:sz w:val="24"/>
          <w:szCs w:val="24"/>
          <w:lang w:val="en-ZA"/>
        </w:rPr>
        <w:t>. S</w:t>
      </w:r>
      <w:r w:rsidR="007207EE">
        <w:rPr>
          <w:rFonts w:ascii="Arial" w:hAnsi="Arial" w:cs="Arial"/>
          <w:color w:val="000000" w:themeColor="text1"/>
          <w:sz w:val="24"/>
          <w:szCs w:val="24"/>
          <w:lang w:val="en-ZA"/>
        </w:rPr>
        <w:t>ch</w:t>
      </w:r>
      <w:r w:rsidR="00E568A6" w:rsidRPr="00304EC1">
        <w:rPr>
          <w:rFonts w:ascii="Arial" w:hAnsi="Arial" w:cs="Arial"/>
          <w:color w:val="000000" w:themeColor="text1"/>
          <w:sz w:val="24"/>
          <w:szCs w:val="24"/>
          <w:lang w:val="en-ZA"/>
        </w:rPr>
        <w:t>aal and Mr. Lundi</w:t>
      </w:r>
      <w:r w:rsidR="001E0154" w:rsidRPr="00304EC1">
        <w:rPr>
          <w:rFonts w:ascii="Arial" w:hAnsi="Arial" w:cs="Arial"/>
          <w:color w:val="000000" w:themeColor="text1"/>
          <w:sz w:val="24"/>
          <w:szCs w:val="24"/>
          <w:lang w:val="en-ZA"/>
        </w:rPr>
        <w:t xml:space="preserve"> and it was sold to the third respondent </w:t>
      </w:r>
      <w:r w:rsidR="0008232F" w:rsidRPr="00304EC1">
        <w:rPr>
          <w:rFonts w:ascii="Arial" w:hAnsi="Arial" w:cs="Arial"/>
          <w:color w:val="000000" w:themeColor="text1"/>
          <w:sz w:val="24"/>
          <w:szCs w:val="24"/>
          <w:lang w:val="en-ZA"/>
        </w:rPr>
        <w:t xml:space="preserve">at </w:t>
      </w:r>
      <w:r w:rsidR="005E7CBC" w:rsidRPr="00304EC1">
        <w:rPr>
          <w:rFonts w:ascii="Arial" w:hAnsi="Arial" w:cs="Arial"/>
          <w:color w:val="000000" w:themeColor="text1"/>
          <w:sz w:val="24"/>
          <w:szCs w:val="24"/>
          <w:lang w:val="en-ZA"/>
        </w:rPr>
        <w:t>an auction held</w:t>
      </w:r>
      <w:r w:rsidR="00E568A6" w:rsidRPr="00304EC1">
        <w:rPr>
          <w:rFonts w:ascii="Arial" w:hAnsi="Arial" w:cs="Arial"/>
          <w:color w:val="000000" w:themeColor="text1"/>
          <w:sz w:val="24"/>
          <w:szCs w:val="24"/>
          <w:lang w:val="en-ZA"/>
        </w:rPr>
        <w:t xml:space="preserve"> on 11 October 2022. </w:t>
      </w:r>
    </w:p>
    <w:p w:rsidR="00414D31" w:rsidRPr="00304EC1" w:rsidRDefault="004979AC" w:rsidP="00E122AB">
      <w:pPr>
        <w:jc w:val="both"/>
        <w:rPr>
          <w:rFonts w:ascii="Arial" w:hAnsi="Arial" w:cs="Arial"/>
          <w:color w:val="000000" w:themeColor="text1"/>
          <w:sz w:val="24"/>
          <w:szCs w:val="24"/>
          <w:lang w:val="en-ZA"/>
        </w:rPr>
      </w:pPr>
      <w:r w:rsidRPr="00304EC1">
        <w:rPr>
          <w:rFonts w:ascii="Arial" w:hAnsi="Arial" w:cs="Arial"/>
          <w:color w:val="000000" w:themeColor="text1"/>
          <w:sz w:val="24"/>
          <w:szCs w:val="24"/>
          <w:lang w:val="en-ZA"/>
        </w:rPr>
        <w:t>[3</w:t>
      </w:r>
      <w:r w:rsidR="00D268FB" w:rsidRPr="00304EC1">
        <w:rPr>
          <w:rFonts w:ascii="Arial" w:hAnsi="Arial" w:cs="Arial"/>
          <w:color w:val="000000" w:themeColor="text1"/>
          <w:sz w:val="24"/>
          <w:szCs w:val="24"/>
          <w:lang w:val="en-ZA"/>
        </w:rPr>
        <w:t xml:space="preserve">] </w:t>
      </w:r>
      <w:r w:rsidR="00E568A6" w:rsidRPr="00304EC1">
        <w:rPr>
          <w:rFonts w:ascii="Arial" w:hAnsi="Arial" w:cs="Arial"/>
          <w:color w:val="000000" w:themeColor="text1"/>
          <w:sz w:val="24"/>
          <w:szCs w:val="24"/>
          <w:lang w:val="en-ZA"/>
        </w:rPr>
        <w:t xml:space="preserve">It appears that the applicant became aware of the sale of the </w:t>
      </w:r>
      <w:r w:rsidR="00136549" w:rsidRPr="00304EC1">
        <w:rPr>
          <w:rFonts w:ascii="Arial" w:hAnsi="Arial" w:cs="Arial"/>
          <w:color w:val="000000" w:themeColor="text1"/>
          <w:sz w:val="24"/>
          <w:szCs w:val="24"/>
          <w:lang w:val="en-ZA"/>
        </w:rPr>
        <w:t>vehicle</w:t>
      </w:r>
      <w:r w:rsidR="00E568A6" w:rsidRPr="00304EC1">
        <w:rPr>
          <w:rFonts w:ascii="Arial" w:hAnsi="Arial" w:cs="Arial"/>
          <w:color w:val="000000" w:themeColor="text1"/>
          <w:sz w:val="24"/>
          <w:szCs w:val="24"/>
          <w:lang w:val="en-ZA"/>
        </w:rPr>
        <w:t xml:space="preserve"> on the 11</w:t>
      </w:r>
      <w:r w:rsidR="00E568A6" w:rsidRPr="00304EC1">
        <w:rPr>
          <w:rFonts w:ascii="Arial" w:hAnsi="Arial" w:cs="Arial"/>
          <w:color w:val="000000" w:themeColor="text1"/>
          <w:sz w:val="24"/>
          <w:szCs w:val="24"/>
          <w:vertAlign w:val="superscript"/>
          <w:lang w:val="en-ZA"/>
        </w:rPr>
        <w:t>th</w:t>
      </w:r>
      <w:r w:rsidR="00E568A6" w:rsidRPr="00304EC1">
        <w:rPr>
          <w:rFonts w:ascii="Arial" w:hAnsi="Arial" w:cs="Arial"/>
          <w:color w:val="000000" w:themeColor="text1"/>
          <w:sz w:val="24"/>
          <w:szCs w:val="24"/>
          <w:lang w:val="en-ZA"/>
        </w:rPr>
        <w:t xml:space="preserve"> of September 2022. The applicant contacted the fourth respondent in this regard and the latter advised him to </w:t>
      </w:r>
      <w:r w:rsidR="00D62A96" w:rsidRPr="00304EC1">
        <w:rPr>
          <w:rFonts w:ascii="Arial" w:hAnsi="Arial" w:cs="Arial"/>
          <w:color w:val="000000" w:themeColor="text1"/>
          <w:sz w:val="24"/>
          <w:szCs w:val="24"/>
          <w:lang w:val="en-ZA"/>
        </w:rPr>
        <w:t>file</w:t>
      </w:r>
      <w:r w:rsidR="00E568A6" w:rsidRPr="00304EC1">
        <w:rPr>
          <w:rFonts w:ascii="Arial" w:hAnsi="Arial" w:cs="Arial"/>
          <w:color w:val="000000" w:themeColor="text1"/>
          <w:sz w:val="24"/>
          <w:szCs w:val="24"/>
          <w:lang w:val="en-ZA"/>
        </w:rPr>
        <w:t xml:space="preserve"> an affidavit. The applicant failed to comply and </w:t>
      </w:r>
      <w:r w:rsidR="00414D31" w:rsidRPr="00304EC1">
        <w:rPr>
          <w:rFonts w:ascii="Arial" w:hAnsi="Arial" w:cs="Arial"/>
          <w:color w:val="000000" w:themeColor="text1"/>
          <w:sz w:val="24"/>
          <w:szCs w:val="24"/>
          <w:lang w:val="en-ZA"/>
        </w:rPr>
        <w:t xml:space="preserve">instead </w:t>
      </w:r>
      <w:r w:rsidR="00E568A6" w:rsidRPr="00304EC1">
        <w:rPr>
          <w:rFonts w:ascii="Arial" w:hAnsi="Arial" w:cs="Arial"/>
          <w:color w:val="000000" w:themeColor="text1"/>
          <w:sz w:val="24"/>
          <w:szCs w:val="24"/>
          <w:lang w:val="en-ZA"/>
        </w:rPr>
        <w:t>transmitted an email to the first respondent and provided the registration of the vehicle</w:t>
      </w:r>
      <w:r w:rsidR="00414D31" w:rsidRPr="00304EC1">
        <w:rPr>
          <w:rFonts w:ascii="Arial" w:hAnsi="Arial" w:cs="Arial"/>
          <w:color w:val="000000" w:themeColor="text1"/>
          <w:sz w:val="24"/>
          <w:szCs w:val="24"/>
          <w:lang w:val="en-ZA"/>
        </w:rPr>
        <w:t xml:space="preserve"> with the view to </w:t>
      </w:r>
      <w:r w:rsidR="00967565" w:rsidRPr="00304EC1">
        <w:rPr>
          <w:rFonts w:ascii="Arial" w:hAnsi="Arial" w:cs="Arial"/>
          <w:color w:val="000000" w:themeColor="text1"/>
          <w:sz w:val="24"/>
          <w:szCs w:val="24"/>
          <w:lang w:val="en-ZA"/>
        </w:rPr>
        <w:t>proving</w:t>
      </w:r>
      <w:r w:rsidR="00414D31" w:rsidRPr="00304EC1">
        <w:rPr>
          <w:rFonts w:ascii="Arial" w:hAnsi="Arial" w:cs="Arial"/>
          <w:color w:val="000000" w:themeColor="text1"/>
          <w:sz w:val="24"/>
          <w:szCs w:val="24"/>
          <w:lang w:val="en-ZA"/>
        </w:rPr>
        <w:t xml:space="preserve"> its</w:t>
      </w:r>
      <w:r w:rsidR="001E0154" w:rsidRPr="00304EC1">
        <w:rPr>
          <w:rFonts w:ascii="Arial" w:hAnsi="Arial" w:cs="Arial"/>
          <w:color w:val="000000" w:themeColor="text1"/>
          <w:sz w:val="24"/>
          <w:szCs w:val="24"/>
          <w:lang w:val="en-ZA"/>
        </w:rPr>
        <w:t xml:space="preserve"> owner</w:t>
      </w:r>
      <w:r w:rsidR="00414D31" w:rsidRPr="00304EC1">
        <w:rPr>
          <w:rFonts w:ascii="Arial" w:hAnsi="Arial" w:cs="Arial"/>
          <w:color w:val="000000" w:themeColor="text1"/>
          <w:sz w:val="24"/>
          <w:szCs w:val="24"/>
          <w:lang w:val="en-ZA"/>
        </w:rPr>
        <w:t>ship</w:t>
      </w:r>
      <w:r w:rsidR="001E0154" w:rsidRPr="00304EC1">
        <w:rPr>
          <w:rFonts w:ascii="Arial" w:hAnsi="Arial" w:cs="Arial"/>
          <w:color w:val="000000" w:themeColor="text1"/>
          <w:sz w:val="24"/>
          <w:szCs w:val="24"/>
          <w:lang w:val="en-ZA"/>
        </w:rPr>
        <w:t xml:space="preserve"> of the vehicle</w:t>
      </w:r>
      <w:r w:rsidR="00E568A6" w:rsidRPr="00304EC1">
        <w:rPr>
          <w:rFonts w:ascii="Arial" w:hAnsi="Arial" w:cs="Arial"/>
          <w:color w:val="000000" w:themeColor="text1"/>
          <w:sz w:val="24"/>
          <w:szCs w:val="24"/>
          <w:lang w:val="en-ZA"/>
        </w:rPr>
        <w:t>.</w:t>
      </w:r>
    </w:p>
    <w:p w:rsidR="008919EF" w:rsidRPr="00304EC1" w:rsidRDefault="00E568A6" w:rsidP="00E122AB">
      <w:pPr>
        <w:jc w:val="both"/>
        <w:rPr>
          <w:rFonts w:ascii="Arial" w:hAnsi="Arial" w:cs="Arial"/>
          <w:color w:val="000000" w:themeColor="text1"/>
          <w:sz w:val="24"/>
          <w:szCs w:val="24"/>
          <w:lang w:val="en-ZA"/>
        </w:rPr>
      </w:pPr>
      <w:r w:rsidRPr="00304EC1">
        <w:rPr>
          <w:rFonts w:ascii="Arial" w:hAnsi="Arial" w:cs="Arial"/>
          <w:color w:val="000000" w:themeColor="text1"/>
          <w:sz w:val="24"/>
          <w:szCs w:val="24"/>
          <w:lang w:val="en-ZA"/>
        </w:rPr>
        <w:t xml:space="preserve"> </w:t>
      </w:r>
      <w:r w:rsidR="008919EF" w:rsidRPr="00304EC1">
        <w:rPr>
          <w:rFonts w:ascii="Arial" w:hAnsi="Arial" w:cs="Arial"/>
          <w:color w:val="000000" w:themeColor="text1"/>
          <w:sz w:val="24"/>
          <w:szCs w:val="24"/>
          <w:lang w:val="en-ZA"/>
        </w:rPr>
        <w:t xml:space="preserve">   </w:t>
      </w:r>
    </w:p>
    <w:p w:rsidR="00414D31" w:rsidRPr="00304EC1" w:rsidRDefault="004979AC" w:rsidP="00E122AB">
      <w:pPr>
        <w:jc w:val="both"/>
        <w:rPr>
          <w:rFonts w:ascii="Arial" w:hAnsi="Arial" w:cs="Arial"/>
          <w:b/>
          <w:color w:val="000000" w:themeColor="text1"/>
          <w:sz w:val="24"/>
          <w:szCs w:val="24"/>
          <w:lang w:val="en-ZA"/>
        </w:rPr>
      </w:pPr>
      <w:r w:rsidRPr="00304EC1">
        <w:rPr>
          <w:rFonts w:ascii="Arial" w:hAnsi="Arial" w:cs="Arial"/>
          <w:b/>
          <w:color w:val="000000" w:themeColor="text1"/>
          <w:sz w:val="24"/>
          <w:szCs w:val="24"/>
          <w:lang w:val="en-ZA"/>
        </w:rPr>
        <w:t xml:space="preserve"> RELIEF SOUGHT.</w:t>
      </w:r>
    </w:p>
    <w:p w:rsidR="004979AC" w:rsidRPr="00304EC1" w:rsidRDefault="00505E01" w:rsidP="004979AC">
      <w:pPr>
        <w:jc w:val="both"/>
        <w:rPr>
          <w:rFonts w:ascii="Arial" w:hAnsi="Arial" w:cs="Arial"/>
          <w:color w:val="000000" w:themeColor="text1"/>
          <w:sz w:val="24"/>
          <w:szCs w:val="24"/>
          <w:lang w:val="en-ZA"/>
        </w:rPr>
      </w:pPr>
      <w:r w:rsidRPr="00304EC1">
        <w:rPr>
          <w:rFonts w:ascii="Arial" w:hAnsi="Arial" w:cs="Arial"/>
          <w:color w:val="000000" w:themeColor="text1"/>
          <w:sz w:val="24"/>
          <w:szCs w:val="24"/>
          <w:lang w:val="en-ZA"/>
        </w:rPr>
        <w:t>[</w:t>
      </w:r>
      <w:r w:rsidR="00175A10">
        <w:rPr>
          <w:rFonts w:ascii="Arial" w:hAnsi="Arial" w:cs="Arial"/>
          <w:color w:val="000000" w:themeColor="text1"/>
          <w:sz w:val="24"/>
          <w:szCs w:val="24"/>
          <w:lang w:val="en-ZA"/>
        </w:rPr>
        <w:t>4]</w:t>
      </w:r>
      <w:r w:rsidRPr="00304EC1">
        <w:rPr>
          <w:rFonts w:ascii="Arial" w:hAnsi="Arial" w:cs="Arial"/>
          <w:color w:val="000000" w:themeColor="text1"/>
          <w:sz w:val="24"/>
          <w:szCs w:val="24"/>
          <w:lang w:val="en-ZA"/>
        </w:rPr>
        <w:t xml:space="preserve"> </w:t>
      </w:r>
      <w:r w:rsidR="004979AC" w:rsidRPr="00304EC1">
        <w:rPr>
          <w:rFonts w:ascii="Arial" w:hAnsi="Arial" w:cs="Arial"/>
          <w:color w:val="000000" w:themeColor="text1"/>
          <w:sz w:val="24"/>
          <w:szCs w:val="24"/>
          <w:lang w:val="en-ZA"/>
        </w:rPr>
        <w:t>The sale in execution held on 11 October 2022 is set aside.</w:t>
      </w:r>
    </w:p>
    <w:p w:rsidR="004979AC" w:rsidRPr="00304EC1" w:rsidRDefault="00193042" w:rsidP="004979AC">
      <w:pPr>
        <w:jc w:val="both"/>
        <w:rPr>
          <w:rFonts w:ascii="Arial" w:hAnsi="Arial" w:cs="Arial"/>
          <w:color w:val="000000" w:themeColor="text1"/>
          <w:sz w:val="24"/>
          <w:szCs w:val="24"/>
          <w:lang w:val="en-ZA"/>
        </w:rPr>
      </w:pPr>
      <w:r w:rsidRPr="00304EC1">
        <w:rPr>
          <w:rFonts w:ascii="Arial" w:hAnsi="Arial" w:cs="Arial"/>
          <w:color w:val="000000" w:themeColor="text1"/>
          <w:sz w:val="24"/>
          <w:szCs w:val="24"/>
          <w:lang w:val="en-ZA"/>
        </w:rPr>
        <w:t>[</w:t>
      </w:r>
      <w:r w:rsidR="00175A10">
        <w:rPr>
          <w:rFonts w:ascii="Arial" w:hAnsi="Arial" w:cs="Arial"/>
          <w:color w:val="000000" w:themeColor="text1"/>
          <w:sz w:val="24"/>
          <w:szCs w:val="24"/>
          <w:lang w:val="en-ZA"/>
        </w:rPr>
        <w:t>5]</w:t>
      </w:r>
      <w:r w:rsidRPr="00304EC1">
        <w:rPr>
          <w:rFonts w:ascii="Arial" w:hAnsi="Arial" w:cs="Arial"/>
          <w:color w:val="000000" w:themeColor="text1"/>
          <w:sz w:val="24"/>
          <w:szCs w:val="24"/>
          <w:lang w:val="en-ZA"/>
        </w:rPr>
        <w:t xml:space="preserve"> </w:t>
      </w:r>
      <w:r w:rsidR="004979AC" w:rsidRPr="00304EC1">
        <w:rPr>
          <w:rFonts w:ascii="Arial" w:hAnsi="Arial" w:cs="Arial"/>
          <w:color w:val="000000" w:themeColor="text1"/>
          <w:sz w:val="24"/>
          <w:szCs w:val="24"/>
          <w:lang w:val="en-ZA"/>
        </w:rPr>
        <w:t>The third respondent be ordered to return the applicant’s Nissan Juke, with registration number JR87BTGP, VNN SJNFBAF15NFBAF6335934 and engine number HR16073548R within 10 days of the service of this order.</w:t>
      </w:r>
    </w:p>
    <w:p w:rsidR="00414D31" w:rsidRPr="00304EC1" w:rsidRDefault="00193042" w:rsidP="00E122AB">
      <w:pPr>
        <w:jc w:val="both"/>
        <w:rPr>
          <w:rFonts w:ascii="Arial" w:hAnsi="Arial" w:cs="Arial"/>
          <w:color w:val="000000" w:themeColor="text1"/>
          <w:sz w:val="24"/>
          <w:szCs w:val="24"/>
          <w:lang w:val="en-ZA"/>
        </w:rPr>
      </w:pPr>
      <w:r w:rsidRPr="00304EC1">
        <w:rPr>
          <w:rFonts w:ascii="Arial" w:hAnsi="Arial" w:cs="Arial"/>
          <w:color w:val="000000" w:themeColor="text1"/>
          <w:sz w:val="24"/>
          <w:szCs w:val="24"/>
          <w:lang w:val="en-ZA"/>
        </w:rPr>
        <w:t>[</w:t>
      </w:r>
      <w:r w:rsidR="00175A10">
        <w:rPr>
          <w:rFonts w:ascii="Arial" w:hAnsi="Arial" w:cs="Arial"/>
          <w:color w:val="000000" w:themeColor="text1"/>
          <w:sz w:val="24"/>
          <w:szCs w:val="24"/>
          <w:lang w:val="en-ZA"/>
        </w:rPr>
        <w:t>6]</w:t>
      </w:r>
      <w:r w:rsidRPr="00304EC1">
        <w:rPr>
          <w:rFonts w:ascii="Arial" w:hAnsi="Arial" w:cs="Arial"/>
          <w:color w:val="000000" w:themeColor="text1"/>
          <w:sz w:val="24"/>
          <w:szCs w:val="24"/>
          <w:lang w:val="en-ZA"/>
        </w:rPr>
        <w:t xml:space="preserve"> </w:t>
      </w:r>
      <w:r w:rsidR="004979AC" w:rsidRPr="00304EC1">
        <w:rPr>
          <w:rFonts w:ascii="Arial" w:hAnsi="Arial" w:cs="Arial"/>
          <w:color w:val="000000" w:themeColor="text1"/>
          <w:sz w:val="24"/>
          <w:szCs w:val="24"/>
          <w:lang w:val="en-ZA"/>
        </w:rPr>
        <w:t xml:space="preserve">The first respondent be ordered to pay the costs of the application de bonis propiis on an attorney and client scale, alternatively, the second respondent is ordered to pay the costs of this application on an attorney and client scale. </w:t>
      </w:r>
    </w:p>
    <w:p w:rsidR="004979AC" w:rsidRPr="00304EC1" w:rsidRDefault="004979AC" w:rsidP="00E122AB">
      <w:pPr>
        <w:jc w:val="both"/>
        <w:rPr>
          <w:rFonts w:ascii="Arial" w:hAnsi="Arial" w:cs="Arial"/>
          <w:color w:val="000000" w:themeColor="text1"/>
          <w:sz w:val="24"/>
          <w:szCs w:val="24"/>
          <w:lang w:val="en-ZA"/>
        </w:rPr>
      </w:pPr>
      <w:r w:rsidRPr="00304EC1">
        <w:rPr>
          <w:rFonts w:ascii="Arial" w:hAnsi="Arial" w:cs="Arial"/>
          <w:color w:val="000000" w:themeColor="text1"/>
          <w:sz w:val="24"/>
          <w:szCs w:val="24"/>
          <w:lang w:val="en-ZA"/>
        </w:rPr>
        <w:t xml:space="preserve"> </w:t>
      </w:r>
    </w:p>
    <w:p w:rsidR="00414D31" w:rsidRPr="00304EC1" w:rsidRDefault="00505E01" w:rsidP="00E122AB">
      <w:pPr>
        <w:jc w:val="both"/>
        <w:rPr>
          <w:rFonts w:ascii="Arial" w:hAnsi="Arial" w:cs="Arial"/>
          <w:b/>
          <w:color w:val="000000" w:themeColor="text1"/>
          <w:sz w:val="24"/>
          <w:szCs w:val="24"/>
          <w:lang w:val="en-ZA"/>
        </w:rPr>
      </w:pPr>
      <w:r w:rsidRPr="00304EC1">
        <w:rPr>
          <w:rFonts w:ascii="Arial" w:hAnsi="Arial" w:cs="Arial"/>
          <w:b/>
          <w:color w:val="000000" w:themeColor="text1"/>
          <w:sz w:val="24"/>
          <w:szCs w:val="24"/>
          <w:lang w:val="en-ZA"/>
        </w:rPr>
        <w:t>APPLICANT’S FOUNDING AFFIDAVIT.</w:t>
      </w:r>
    </w:p>
    <w:p w:rsidR="000D210B" w:rsidRPr="00304EC1" w:rsidRDefault="00D648B7" w:rsidP="00E122AB">
      <w:pPr>
        <w:jc w:val="both"/>
        <w:rPr>
          <w:rFonts w:ascii="Arial" w:hAnsi="Arial" w:cs="Arial"/>
          <w:color w:val="000000" w:themeColor="text1"/>
          <w:sz w:val="24"/>
          <w:szCs w:val="24"/>
          <w:lang w:val="en-ZA"/>
        </w:rPr>
      </w:pPr>
      <w:r w:rsidRPr="00304EC1">
        <w:rPr>
          <w:rFonts w:ascii="Arial" w:hAnsi="Arial" w:cs="Arial"/>
          <w:color w:val="000000" w:themeColor="text1"/>
          <w:sz w:val="24"/>
          <w:szCs w:val="24"/>
          <w:lang w:val="en-ZA"/>
        </w:rPr>
        <w:t>[</w:t>
      </w:r>
      <w:r w:rsidR="00175A10">
        <w:rPr>
          <w:rFonts w:ascii="Arial" w:hAnsi="Arial" w:cs="Arial"/>
          <w:color w:val="000000" w:themeColor="text1"/>
          <w:sz w:val="24"/>
          <w:szCs w:val="24"/>
          <w:lang w:val="en-ZA"/>
        </w:rPr>
        <w:t>7]</w:t>
      </w:r>
      <w:r w:rsidR="00D268FB" w:rsidRPr="00304EC1">
        <w:rPr>
          <w:rFonts w:ascii="Arial" w:hAnsi="Arial" w:cs="Arial"/>
          <w:color w:val="000000" w:themeColor="text1"/>
          <w:sz w:val="24"/>
          <w:szCs w:val="24"/>
          <w:lang w:val="en-ZA"/>
        </w:rPr>
        <w:t xml:space="preserve"> </w:t>
      </w:r>
      <w:r w:rsidR="00951563" w:rsidRPr="00304EC1">
        <w:rPr>
          <w:rFonts w:ascii="Arial" w:hAnsi="Arial" w:cs="Arial"/>
          <w:color w:val="000000" w:themeColor="text1"/>
          <w:sz w:val="24"/>
          <w:szCs w:val="24"/>
          <w:lang w:val="en-ZA"/>
        </w:rPr>
        <w:t>The Applicant</w:t>
      </w:r>
      <w:r w:rsidR="00193042" w:rsidRPr="00304EC1">
        <w:rPr>
          <w:rFonts w:ascii="Arial" w:hAnsi="Arial" w:cs="Arial"/>
          <w:color w:val="000000" w:themeColor="text1"/>
          <w:sz w:val="24"/>
          <w:szCs w:val="24"/>
          <w:lang w:val="en-ZA"/>
        </w:rPr>
        <w:t xml:space="preserve">’s </w:t>
      </w:r>
      <w:r w:rsidR="00951563" w:rsidRPr="00304EC1">
        <w:rPr>
          <w:rFonts w:ascii="Arial" w:hAnsi="Arial" w:cs="Arial"/>
          <w:color w:val="000000" w:themeColor="text1"/>
          <w:sz w:val="24"/>
          <w:szCs w:val="24"/>
          <w:lang w:val="en-ZA"/>
        </w:rPr>
        <w:t>fou</w:t>
      </w:r>
      <w:r w:rsidR="002743D3" w:rsidRPr="00304EC1">
        <w:rPr>
          <w:rFonts w:ascii="Arial" w:hAnsi="Arial" w:cs="Arial"/>
          <w:color w:val="000000" w:themeColor="text1"/>
          <w:sz w:val="24"/>
          <w:szCs w:val="24"/>
          <w:lang w:val="en-ZA"/>
        </w:rPr>
        <w:t>n</w:t>
      </w:r>
      <w:r w:rsidR="00951563" w:rsidRPr="00304EC1">
        <w:rPr>
          <w:rFonts w:ascii="Arial" w:hAnsi="Arial" w:cs="Arial"/>
          <w:color w:val="000000" w:themeColor="text1"/>
          <w:sz w:val="24"/>
          <w:szCs w:val="24"/>
          <w:lang w:val="en-ZA"/>
        </w:rPr>
        <w:t>ding affidavit</w:t>
      </w:r>
      <w:r w:rsidR="00193042" w:rsidRPr="00304EC1">
        <w:rPr>
          <w:rFonts w:ascii="Arial" w:hAnsi="Arial" w:cs="Arial"/>
          <w:color w:val="000000" w:themeColor="text1"/>
          <w:sz w:val="24"/>
          <w:szCs w:val="24"/>
          <w:lang w:val="en-ZA"/>
        </w:rPr>
        <w:t xml:space="preserve"> has been deposed</w:t>
      </w:r>
      <w:r w:rsidR="00951563" w:rsidRPr="00304EC1">
        <w:rPr>
          <w:rFonts w:ascii="Arial" w:hAnsi="Arial" w:cs="Arial"/>
          <w:color w:val="000000" w:themeColor="text1"/>
          <w:sz w:val="24"/>
          <w:szCs w:val="24"/>
          <w:lang w:val="en-ZA"/>
        </w:rPr>
        <w:t xml:space="preserve"> by </w:t>
      </w:r>
      <w:r w:rsidR="00E122AB" w:rsidRPr="00304EC1">
        <w:rPr>
          <w:rFonts w:ascii="Arial" w:hAnsi="Arial" w:cs="Arial"/>
          <w:color w:val="000000" w:themeColor="text1"/>
          <w:sz w:val="24"/>
          <w:szCs w:val="24"/>
          <w:lang w:val="en-ZA"/>
        </w:rPr>
        <w:t xml:space="preserve">Pierre Naude, </w:t>
      </w:r>
      <w:r w:rsidR="00414D31" w:rsidRPr="00304EC1">
        <w:rPr>
          <w:rFonts w:ascii="Arial" w:hAnsi="Arial" w:cs="Arial"/>
          <w:color w:val="000000" w:themeColor="text1"/>
          <w:sz w:val="24"/>
          <w:szCs w:val="24"/>
          <w:lang w:val="en-ZA"/>
        </w:rPr>
        <w:t>a General M</w:t>
      </w:r>
      <w:r w:rsidR="009879F3" w:rsidRPr="00304EC1">
        <w:rPr>
          <w:rFonts w:ascii="Arial" w:hAnsi="Arial" w:cs="Arial"/>
          <w:color w:val="000000" w:themeColor="text1"/>
          <w:sz w:val="24"/>
          <w:szCs w:val="24"/>
          <w:lang w:val="en-ZA"/>
        </w:rPr>
        <w:t xml:space="preserve">anager of the </w:t>
      </w:r>
      <w:r w:rsidR="00967565" w:rsidRPr="00304EC1">
        <w:rPr>
          <w:rFonts w:ascii="Arial" w:hAnsi="Arial" w:cs="Arial"/>
          <w:color w:val="000000" w:themeColor="text1"/>
          <w:sz w:val="24"/>
          <w:szCs w:val="24"/>
          <w:lang w:val="en-ZA"/>
        </w:rPr>
        <w:t>Applicant</w:t>
      </w:r>
      <w:r w:rsidR="009879F3" w:rsidRPr="00304EC1">
        <w:rPr>
          <w:rFonts w:ascii="Arial" w:hAnsi="Arial" w:cs="Arial"/>
          <w:color w:val="000000" w:themeColor="text1"/>
          <w:sz w:val="24"/>
          <w:szCs w:val="24"/>
          <w:lang w:val="en-ZA"/>
        </w:rPr>
        <w:t xml:space="preserve"> </w:t>
      </w:r>
      <w:r w:rsidR="0008232F" w:rsidRPr="00304EC1">
        <w:rPr>
          <w:rFonts w:ascii="Arial" w:hAnsi="Arial" w:cs="Arial"/>
          <w:color w:val="000000" w:themeColor="text1"/>
          <w:sz w:val="24"/>
          <w:szCs w:val="24"/>
          <w:lang w:val="en-ZA"/>
        </w:rPr>
        <w:t>with</w:t>
      </w:r>
      <w:r w:rsidR="009879F3" w:rsidRPr="00304EC1">
        <w:rPr>
          <w:rFonts w:ascii="Arial" w:hAnsi="Arial" w:cs="Arial"/>
          <w:color w:val="000000" w:themeColor="text1"/>
          <w:sz w:val="24"/>
          <w:szCs w:val="24"/>
          <w:lang w:val="en-ZA"/>
        </w:rPr>
        <w:t xml:space="preserve"> </w:t>
      </w:r>
      <w:r w:rsidR="00414D31" w:rsidRPr="00304EC1">
        <w:rPr>
          <w:rFonts w:ascii="Arial" w:hAnsi="Arial" w:cs="Arial"/>
          <w:color w:val="000000" w:themeColor="text1"/>
          <w:sz w:val="24"/>
          <w:szCs w:val="24"/>
          <w:lang w:val="en-ZA"/>
        </w:rPr>
        <w:t>its</w:t>
      </w:r>
      <w:r w:rsidR="0008232F" w:rsidRPr="00304EC1">
        <w:rPr>
          <w:rFonts w:ascii="Arial" w:hAnsi="Arial" w:cs="Arial"/>
          <w:color w:val="000000" w:themeColor="text1"/>
          <w:sz w:val="24"/>
          <w:szCs w:val="24"/>
          <w:lang w:val="en-ZA"/>
        </w:rPr>
        <w:t xml:space="preserve"> </w:t>
      </w:r>
      <w:r w:rsidR="009879F3" w:rsidRPr="00304EC1">
        <w:rPr>
          <w:rFonts w:ascii="Arial" w:hAnsi="Arial" w:cs="Arial"/>
          <w:color w:val="000000" w:themeColor="text1"/>
          <w:sz w:val="24"/>
          <w:szCs w:val="24"/>
          <w:lang w:val="en-ZA"/>
        </w:rPr>
        <w:t xml:space="preserve">principal place of </w:t>
      </w:r>
      <w:r w:rsidR="0008232F" w:rsidRPr="00304EC1">
        <w:rPr>
          <w:rFonts w:ascii="Arial" w:hAnsi="Arial" w:cs="Arial"/>
          <w:color w:val="000000" w:themeColor="text1"/>
          <w:sz w:val="24"/>
          <w:szCs w:val="24"/>
          <w:lang w:val="en-ZA"/>
        </w:rPr>
        <w:t>employment</w:t>
      </w:r>
      <w:r w:rsidR="009879F3" w:rsidRPr="00304EC1">
        <w:rPr>
          <w:rFonts w:ascii="Arial" w:hAnsi="Arial" w:cs="Arial"/>
          <w:color w:val="000000" w:themeColor="text1"/>
          <w:sz w:val="24"/>
          <w:szCs w:val="24"/>
          <w:lang w:val="en-ZA"/>
        </w:rPr>
        <w:t xml:space="preserve"> situated at 433 Rod</w:t>
      </w:r>
      <w:r w:rsidR="000D210B" w:rsidRPr="00304EC1">
        <w:rPr>
          <w:rFonts w:ascii="Arial" w:hAnsi="Arial" w:cs="Arial"/>
          <w:color w:val="000000" w:themeColor="text1"/>
          <w:sz w:val="24"/>
          <w:szCs w:val="24"/>
          <w:lang w:val="en-ZA"/>
        </w:rPr>
        <w:t>ericks Road, Lynwood, Pretoria.</w:t>
      </w:r>
      <w:r w:rsidR="009879F3" w:rsidRPr="00304EC1">
        <w:rPr>
          <w:rFonts w:ascii="Arial" w:hAnsi="Arial" w:cs="Arial"/>
          <w:color w:val="000000" w:themeColor="text1"/>
          <w:sz w:val="24"/>
          <w:szCs w:val="24"/>
          <w:lang w:val="en-ZA"/>
        </w:rPr>
        <w:t xml:space="preserve"> He </w:t>
      </w:r>
      <w:r w:rsidR="00414D31" w:rsidRPr="00304EC1">
        <w:rPr>
          <w:rFonts w:ascii="Arial" w:hAnsi="Arial" w:cs="Arial"/>
          <w:color w:val="000000" w:themeColor="text1"/>
          <w:sz w:val="24"/>
          <w:szCs w:val="24"/>
          <w:lang w:val="en-ZA"/>
        </w:rPr>
        <w:t>stated</w:t>
      </w:r>
      <w:r w:rsidR="00E122AB" w:rsidRPr="00304EC1">
        <w:rPr>
          <w:rFonts w:ascii="Arial" w:hAnsi="Arial" w:cs="Arial"/>
          <w:color w:val="000000" w:themeColor="text1"/>
          <w:sz w:val="24"/>
          <w:szCs w:val="24"/>
          <w:lang w:val="en-ZA"/>
        </w:rPr>
        <w:t xml:space="preserve"> that </w:t>
      </w:r>
      <w:r w:rsidR="009879F3" w:rsidRPr="00304EC1">
        <w:rPr>
          <w:rFonts w:ascii="Arial" w:hAnsi="Arial" w:cs="Arial"/>
          <w:color w:val="000000" w:themeColor="text1"/>
          <w:sz w:val="24"/>
          <w:szCs w:val="24"/>
          <w:lang w:val="en-ZA"/>
        </w:rPr>
        <w:t xml:space="preserve">by virtue of his position as </w:t>
      </w:r>
      <w:r w:rsidR="00193042" w:rsidRPr="00304EC1">
        <w:rPr>
          <w:rFonts w:ascii="Arial" w:hAnsi="Arial" w:cs="Arial"/>
          <w:color w:val="000000" w:themeColor="text1"/>
          <w:sz w:val="24"/>
          <w:szCs w:val="24"/>
          <w:lang w:val="en-ZA"/>
        </w:rPr>
        <w:t xml:space="preserve">a </w:t>
      </w:r>
      <w:r w:rsidR="009879F3" w:rsidRPr="00304EC1">
        <w:rPr>
          <w:rFonts w:ascii="Arial" w:hAnsi="Arial" w:cs="Arial"/>
          <w:color w:val="000000" w:themeColor="text1"/>
          <w:sz w:val="24"/>
          <w:szCs w:val="24"/>
          <w:lang w:val="en-ZA"/>
        </w:rPr>
        <w:t xml:space="preserve">General Manager, he is </w:t>
      </w:r>
      <w:r w:rsidR="0008232F" w:rsidRPr="00304EC1">
        <w:rPr>
          <w:rFonts w:ascii="Arial" w:hAnsi="Arial" w:cs="Arial"/>
          <w:color w:val="000000" w:themeColor="text1"/>
          <w:sz w:val="24"/>
          <w:szCs w:val="24"/>
          <w:lang w:val="en-ZA"/>
        </w:rPr>
        <w:t>authorized</w:t>
      </w:r>
      <w:r w:rsidR="009879F3" w:rsidRPr="00304EC1">
        <w:rPr>
          <w:rFonts w:ascii="Arial" w:hAnsi="Arial" w:cs="Arial"/>
          <w:color w:val="000000" w:themeColor="text1"/>
          <w:sz w:val="24"/>
          <w:szCs w:val="24"/>
          <w:lang w:val="en-ZA"/>
        </w:rPr>
        <w:t xml:space="preserve"> to depose to this affidavit and has access to the applicant’s files and </w:t>
      </w:r>
      <w:r w:rsidR="000D210B" w:rsidRPr="00304EC1">
        <w:rPr>
          <w:rFonts w:ascii="Arial" w:hAnsi="Arial" w:cs="Arial"/>
          <w:color w:val="000000" w:themeColor="text1"/>
          <w:sz w:val="24"/>
          <w:szCs w:val="24"/>
          <w:lang w:val="en-ZA"/>
        </w:rPr>
        <w:t>reco</w:t>
      </w:r>
      <w:r w:rsidR="00C10D48" w:rsidRPr="00304EC1">
        <w:rPr>
          <w:rFonts w:ascii="Arial" w:hAnsi="Arial" w:cs="Arial"/>
          <w:color w:val="000000" w:themeColor="text1"/>
          <w:sz w:val="24"/>
          <w:szCs w:val="24"/>
          <w:lang w:val="en-ZA"/>
        </w:rPr>
        <w:t>rds relevant to this application</w:t>
      </w:r>
      <w:r w:rsidR="000D210B" w:rsidRPr="00304EC1">
        <w:rPr>
          <w:rFonts w:ascii="Arial" w:hAnsi="Arial" w:cs="Arial"/>
          <w:color w:val="000000" w:themeColor="text1"/>
          <w:sz w:val="24"/>
          <w:szCs w:val="24"/>
          <w:lang w:val="en-ZA"/>
        </w:rPr>
        <w:t>.</w:t>
      </w:r>
      <w:r w:rsidR="009879F3" w:rsidRPr="00304EC1">
        <w:rPr>
          <w:rFonts w:ascii="Arial" w:hAnsi="Arial" w:cs="Arial"/>
          <w:color w:val="000000" w:themeColor="text1"/>
          <w:sz w:val="24"/>
          <w:szCs w:val="24"/>
          <w:lang w:val="en-ZA"/>
        </w:rPr>
        <w:t xml:space="preserve"> </w:t>
      </w:r>
    </w:p>
    <w:p w:rsidR="000D210B" w:rsidRPr="00304EC1" w:rsidRDefault="00D648B7" w:rsidP="00E122AB">
      <w:pPr>
        <w:jc w:val="both"/>
        <w:rPr>
          <w:rFonts w:ascii="Arial" w:hAnsi="Arial" w:cs="Arial"/>
          <w:color w:val="000000" w:themeColor="text1"/>
          <w:sz w:val="24"/>
          <w:szCs w:val="24"/>
          <w:lang w:val="en-ZA"/>
        </w:rPr>
      </w:pPr>
      <w:r w:rsidRPr="00304EC1">
        <w:rPr>
          <w:rFonts w:ascii="Arial" w:hAnsi="Arial" w:cs="Arial"/>
          <w:color w:val="000000" w:themeColor="text1"/>
          <w:sz w:val="24"/>
          <w:szCs w:val="24"/>
          <w:lang w:val="en-ZA"/>
        </w:rPr>
        <w:t>[</w:t>
      </w:r>
      <w:r w:rsidR="00DD7962">
        <w:rPr>
          <w:rFonts w:ascii="Arial" w:hAnsi="Arial" w:cs="Arial"/>
          <w:color w:val="000000" w:themeColor="text1"/>
          <w:sz w:val="24"/>
          <w:szCs w:val="24"/>
          <w:lang w:val="en-ZA"/>
        </w:rPr>
        <w:t>8]</w:t>
      </w:r>
      <w:r w:rsidR="00D268FB" w:rsidRPr="00304EC1">
        <w:rPr>
          <w:rFonts w:ascii="Arial" w:hAnsi="Arial" w:cs="Arial"/>
          <w:color w:val="000000" w:themeColor="text1"/>
          <w:sz w:val="24"/>
          <w:szCs w:val="24"/>
          <w:lang w:val="en-ZA"/>
        </w:rPr>
        <w:t xml:space="preserve"> </w:t>
      </w:r>
      <w:r w:rsidR="00193042" w:rsidRPr="00304EC1">
        <w:rPr>
          <w:rFonts w:ascii="Arial" w:hAnsi="Arial" w:cs="Arial"/>
          <w:color w:val="000000" w:themeColor="text1"/>
          <w:sz w:val="24"/>
          <w:szCs w:val="24"/>
          <w:lang w:val="en-ZA"/>
        </w:rPr>
        <w:t>He</w:t>
      </w:r>
      <w:r w:rsidR="000D210B" w:rsidRPr="00304EC1">
        <w:rPr>
          <w:rFonts w:ascii="Arial" w:hAnsi="Arial" w:cs="Arial"/>
          <w:color w:val="000000" w:themeColor="text1"/>
          <w:sz w:val="24"/>
          <w:szCs w:val="24"/>
          <w:lang w:val="en-ZA"/>
        </w:rPr>
        <w:t xml:space="preserve"> stated that the further purpose of this application is to seek de bonis propiis costs order against the </w:t>
      </w:r>
      <w:r w:rsidR="00E122AB" w:rsidRPr="00304EC1">
        <w:rPr>
          <w:rFonts w:ascii="Arial" w:hAnsi="Arial" w:cs="Arial"/>
          <w:color w:val="000000" w:themeColor="text1"/>
          <w:sz w:val="24"/>
          <w:szCs w:val="24"/>
          <w:lang w:val="en-ZA"/>
        </w:rPr>
        <w:t>first r</w:t>
      </w:r>
      <w:r w:rsidR="00951563" w:rsidRPr="00304EC1">
        <w:rPr>
          <w:rFonts w:ascii="Arial" w:hAnsi="Arial" w:cs="Arial"/>
          <w:color w:val="000000" w:themeColor="text1"/>
          <w:sz w:val="24"/>
          <w:szCs w:val="24"/>
          <w:lang w:val="en-ZA"/>
        </w:rPr>
        <w:t xml:space="preserve">espondent </w:t>
      </w:r>
      <w:r w:rsidR="000D210B" w:rsidRPr="00304EC1">
        <w:rPr>
          <w:rFonts w:ascii="Arial" w:hAnsi="Arial" w:cs="Arial"/>
          <w:color w:val="000000" w:themeColor="text1"/>
          <w:sz w:val="24"/>
          <w:szCs w:val="24"/>
          <w:lang w:val="en-ZA"/>
        </w:rPr>
        <w:t>for his actions preceding the sale of the vehicle at an a</w:t>
      </w:r>
      <w:r w:rsidR="00193042" w:rsidRPr="00304EC1">
        <w:rPr>
          <w:rFonts w:ascii="Arial" w:hAnsi="Arial" w:cs="Arial"/>
          <w:color w:val="000000" w:themeColor="text1"/>
          <w:sz w:val="24"/>
          <w:szCs w:val="24"/>
          <w:lang w:val="en-ZA"/>
        </w:rPr>
        <w:t>u</w:t>
      </w:r>
      <w:r w:rsidR="000D210B" w:rsidRPr="00304EC1">
        <w:rPr>
          <w:rFonts w:ascii="Arial" w:hAnsi="Arial" w:cs="Arial"/>
          <w:color w:val="000000" w:themeColor="text1"/>
          <w:sz w:val="24"/>
          <w:szCs w:val="24"/>
          <w:lang w:val="en-ZA"/>
        </w:rPr>
        <w:t>ction whilst he was aware that the applicant is the owner of the</w:t>
      </w:r>
      <w:r w:rsidR="00193042" w:rsidRPr="00304EC1">
        <w:rPr>
          <w:rFonts w:ascii="Arial" w:hAnsi="Arial" w:cs="Arial"/>
          <w:color w:val="000000" w:themeColor="text1"/>
          <w:sz w:val="24"/>
          <w:szCs w:val="24"/>
          <w:lang w:val="en-ZA"/>
        </w:rPr>
        <w:t xml:space="preserve"> same</w:t>
      </w:r>
      <w:r w:rsidR="000D210B" w:rsidRPr="00304EC1">
        <w:rPr>
          <w:rFonts w:ascii="Arial" w:hAnsi="Arial" w:cs="Arial"/>
          <w:color w:val="000000" w:themeColor="text1"/>
          <w:sz w:val="24"/>
          <w:szCs w:val="24"/>
          <w:lang w:val="en-ZA"/>
        </w:rPr>
        <w:t xml:space="preserve">. </w:t>
      </w:r>
    </w:p>
    <w:p w:rsidR="00971B8B" w:rsidRPr="00304EC1" w:rsidRDefault="00D648B7" w:rsidP="00E122AB">
      <w:pPr>
        <w:jc w:val="both"/>
        <w:rPr>
          <w:rFonts w:ascii="Arial" w:hAnsi="Arial" w:cs="Arial"/>
          <w:color w:val="000000" w:themeColor="text1"/>
          <w:sz w:val="24"/>
          <w:szCs w:val="24"/>
          <w:lang w:val="en-ZA"/>
        </w:rPr>
      </w:pPr>
      <w:r w:rsidRPr="00304EC1">
        <w:rPr>
          <w:rFonts w:ascii="Arial" w:hAnsi="Arial" w:cs="Arial"/>
          <w:color w:val="000000" w:themeColor="text1"/>
          <w:sz w:val="24"/>
          <w:szCs w:val="24"/>
          <w:lang w:val="en-ZA"/>
        </w:rPr>
        <w:lastRenderedPageBreak/>
        <w:t>[</w:t>
      </w:r>
      <w:r w:rsidR="00DD7962">
        <w:rPr>
          <w:rFonts w:ascii="Arial" w:hAnsi="Arial" w:cs="Arial"/>
          <w:color w:val="000000" w:themeColor="text1"/>
          <w:sz w:val="24"/>
          <w:szCs w:val="24"/>
          <w:lang w:val="en-ZA"/>
        </w:rPr>
        <w:t>9]</w:t>
      </w:r>
      <w:r w:rsidR="00D268FB" w:rsidRPr="00304EC1">
        <w:rPr>
          <w:rFonts w:ascii="Arial" w:hAnsi="Arial" w:cs="Arial"/>
          <w:color w:val="000000" w:themeColor="text1"/>
          <w:sz w:val="24"/>
          <w:szCs w:val="24"/>
          <w:lang w:val="en-ZA"/>
        </w:rPr>
        <w:t xml:space="preserve"> </w:t>
      </w:r>
      <w:r w:rsidR="007E0385" w:rsidRPr="00304EC1">
        <w:rPr>
          <w:rFonts w:ascii="Arial" w:hAnsi="Arial" w:cs="Arial"/>
          <w:color w:val="000000" w:themeColor="text1"/>
          <w:sz w:val="24"/>
          <w:szCs w:val="24"/>
          <w:lang w:val="en-ZA"/>
        </w:rPr>
        <w:t>The first respondent, acting on instructions of the second respondent, caused a rent interdict summon</w:t>
      </w:r>
      <w:r w:rsidR="00193042" w:rsidRPr="00304EC1">
        <w:rPr>
          <w:rFonts w:ascii="Arial" w:hAnsi="Arial" w:cs="Arial"/>
          <w:color w:val="000000" w:themeColor="text1"/>
          <w:sz w:val="24"/>
          <w:szCs w:val="24"/>
          <w:lang w:val="en-ZA"/>
        </w:rPr>
        <w:t>s to be issued in the Pretoria Magistrates C</w:t>
      </w:r>
      <w:r w:rsidR="007E0385" w:rsidRPr="00304EC1">
        <w:rPr>
          <w:rFonts w:ascii="Arial" w:hAnsi="Arial" w:cs="Arial"/>
          <w:color w:val="000000" w:themeColor="text1"/>
          <w:sz w:val="24"/>
          <w:szCs w:val="24"/>
          <w:lang w:val="en-ZA"/>
        </w:rPr>
        <w:t>ourt for the District of Tshwane against the first and second defendants</w:t>
      </w:r>
      <w:r w:rsidR="00C1738C" w:rsidRPr="00304EC1">
        <w:rPr>
          <w:rFonts w:ascii="Arial" w:hAnsi="Arial" w:cs="Arial"/>
          <w:color w:val="000000" w:themeColor="text1"/>
          <w:sz w:val="24"/>
          <w:szCs w:val="24"/>
          <w:lang w:val="en-ZA"/>
        </w:rPr>
        <w:t xml:space="preserve">, </w:t>
      </w:r>
      <w:r w:rsidR="00193042" w:rsidRPr="00304EC1">
        <w:rPr>
          <w:rFonts w:ascii="Arial" w:hAnsi="Arial" w:cs="Arial"/>
          <w:color w:val="000000" w:themeColor="text1"/>
          <w:sz w:val="24"/>
          <w:szCs w:val="24"/>
          <w:lang w:val="en-ZA"/>
        </w:rPr>
        <w:t>Ms. Sheree S</w:t>
      </w:r>
      <w:r w:rsidR="007207EE">
        <w:rPr>
          <w:rFonts w:ascii="Arial" w:hAnsi="Arial" w:cs="Arial"/>
          <w:color w:val="000000" w:themeColor="text1"/>
          <w:sz w:val="24"/>
          <w:szCs w:val="24"/>
          <w:lang w:val="en-ZA"/>
        </w:rPr>
        <w:t>c</w:t>
      </w:r>
      <w:r w:rsidR="00193042" w:rsidRPr="00304EC1">
        <w:rPr>
          <w:rFonts w:ascii="Arial" w:hAnsi="Arial" w:cs="Arial"/>
          <w:color w:val="000000" w:themeColor="text1"/>
          <w:sz w:val="24"/>
          <w:szCs w:val="24"/>
          <w:lang w:val="en-ZA"/>
        </w:rPr>
        <w:t>haal a</w:t>
      </w:r>
      <w:r w:rsidR="007E0385" w:rsidRPr="00304EC1">
        <w:rPr>
          <w:rFonts w:ascii="Arial" w:hAnsi="Arial" w:cs="Arial"/>
          <w:color w:val="000000" w:themeColor="text1"/>
          <w:sz w:val="24"/>
          <w:szCs w:val="24"/>
          <w:lang w:val="en-ZA"/>
        </w:rPr>
        <w:t>nd Mr. Christo Lundi. A default judgment was granted on or about the 28</w:t>
      </w:r>
      <w:r w:rsidR="007E0385" w:rsidRPr="00304EC1">
        <w:rPr>
          <w:rFonts w:ascii="Arial" w:hAnsi="Arial" w:cs="Arial"/>
          <w:color w:val="000000" w:themeColor="text1"/>
          <w:sz w:val="24"/>
          <w:szCs w:val="24"/>
          <w:vertAlign w:val="superscript"/>
          <w:lang w:val="en-ZA"/>
        </w:rPr>
        <w:t>th</w:t>
      </w:r>
      <w:r w:rsidR="007E0385" w:rsidRPr="00304EC1">
        <w:rPr>
          <w:rFonts w:ascii="Arial" w:hAnsi="Arial" w:cs="Arial"/>
          <w:color w:val="000000" w:themeColor="text1"/>
          <w:sz w:val="24"/>
          <w:szCs w:val="24"/>
          <w:lang w:val="en-ZA"/>
        </w:rPr>
        <w:t xml:space="preserve"> of April 2022. The vehicle was under the </w:t>
      </w:r>
      <w:r w:rsidR="008F656E" w:rsidRPr="00304EC1">
        <w:rPr>
          <w:rFonts w:ascii="Arial" w:hAnsi="Arial" w:cs="Arial"/>
          <w:color w:val="000000" w:themeColor="text1"/>
          <w:sz w:val="24"/>
          <w:szCs w:val="24"/>
          <w:lang w:val="en-ZA"/>
        </w:rPr>
        <w:t>instalment</w:t>
      </w:r>
      <w:r w:rsidR="00971B8B" w:rsidRPr="00304EC1">
        <w:rPr>
          <w:rFonts w:ascii="Arial" w:hAnsi="Arial" w:cs="Arial"/>
          <w:color w:val="000000" w:themeColor="text1"/>
          <w:sz w:val="24"/>
          <w:szCs w:val="24"/>
          <w:lang w:val="en-ZA"/>
        </w:rPr>
        <w:t xml:space="preserve"> sale agreement.</w:t>
      </w:r>
      <w:r w:rsidR="00193042" w:rsidRPr="00304EC1">
        <w:rPr>
          <w:rFonts w:ascii="Arial" w:hAnsi="Arial" w:cs="Arial"/>
          <w:color w:val="000000" w:themeColor="text1"/>
          <w:sz w:val="24"/>
          <w:szCs w:val="24"/>
          <w:lang w:val="en-ZA"/>
        </w:rPr>
        <w:t xml:space="preserve"> The first respondent, at the time of the said application</w:t>
      </w:r>
      <w:r w:rsidR="00AA1FC8" w:rsidRPr="00304EC1">
        <w:rPr>
          <w:rFonts w:ascii="Arial" w:hAnsi="Arial" w:cs="Arial"/>
          <w:color w:val="000000" w:themeColor="text1"/>
          <w:sz w:val="24"/>
          <w:szCs w:val="24"/>
          <w:lang w:val="en-ZA"/>
        </w:rPr>
        <w:t>,</w:t>
      </w:r>
      <w:r w:rsidR="00193042" w:rsidRPr="00304EC1">
        <w:rPr>
          <w:rFonts w:ascii="Arial" w:hAnsi="Arial" w:cs="Arial"/>
          <w:color w:val="000000" w:themeColor="text1"/>
          <w:sz w:val="24"/>
          <w:szCs w:val="24"/>
          <w:lang w:val="en-ZA"/>
        </w:rPr>
        <w:t xml:space="preserve"> failed to disclose to the court that the applicant was the owner of the vehicle.</w:t>
      </w:r>
    </w:p>
    <w:p w:rsidR="007E0385" w:rsidRPr="00304EC1" w:rsidRDefault="00D648B7" w:rsidP="00E122AB">
      <w:pPr>
        <w:jc w:val="both"/>
        <w:rPr>
          <w:rFonts w:ascii="Arial" w:hAnsi="Arial" w:cs="Arial"/>
          <w:color w:val="000000" w:themeColor="text1"/>
          <w:sz w:val="24"/>
          <w:szCs w:val="24"/>
          <w:lang w:val="en-ZA"/>
        </w:rPr>
      </w:pPr>
      <w:r w:rsidRPr="00304EC1">
        <w:rPr>
          <w:rFonts w:ascii="Arial" w:hAnsi="Arial" w:cs="Arial"/>
          <w:color w:val="000000" w:themeColor="text1"/>
          <w:sz w:val="24"/>
          <w:szCs w:val="24"/>
          <w:lang w:val="en-ZA"/>
        </w:rPr>
        <w:t>[</w:t>
      </w:r>
      <w:r w:rsidR="00DD7962">
        <w:rPr>
          <w:rFonts w:ascii="Arial" w:hAnsi="Arial" w:cs="Arial"/>
          <w:color w:val="000000" w:themeColor="text1"/>
          <w:sz w:val="24"/>
          <w:szCs w:val="24"/>
          <w:lang w:val="en-ZA"/>
        </w:rPr>
        <w:t>10]</w:t>
      </w:r>
      <w:r w:rsidR="00D268FB" w:rsidRPr="00304EC1">
        <w:rPr>
          <w:rFonts w:ascii="Arial" w:hAnsi="Arial" w:cs="Arial"/>
          <w:color w:val="000000" w:themeColor="text1"/>
          <w:sz w:val="24"/>
          <w:szCs w:val="24"/>
          <w:lang w:val="en-ZA"/>
        </w:rPr>
        <w:t xml:space="preserve"> </w:t>
      </w:r>
      <w:r w:rsidR="00971B8B" w:rsidRPr="00304EC1">
        <w:rPr>
          <w:rFonts w:ascii="Arial" w:hAnsi="Arial" w:cs="Arial"/>
          <w:color w:val="000000" w:themeColor="text1"/>
          <w:sz w:val="24"/>
          <w:szCs w:val="24"/>
          <w:lang w:val="en-ZA"/>
        </w:rPr>
        <w:t xml:space="preserve">In September 2022 he obtained information to the effect that the fourth respondent has attached the vehicle. He immediately contacted the fourth respondent informing him that the vehicle is the property of the applicant and that it cannot be sold on auction. The fourth respondent advised him to depose an affidavit confirming the ownership of the vehicle and that it is currently </w:t>
      </w:r>
      <w:r w:rsidR="00DE5A34" w:rsidRPr="00304EC1">
        <w:rPr>
          <w:rFonts w:ascii="Arial" w:hAnsi="Arial" w:cs="Arial"/>
          <w:color w:val="000000" w:themeColor="text1"/>
          <w:sz w:val="24"/>
          <w:szCs w:val="24"/>
          <w:lang w:val="en-ZA"/>
        </w:rPr>
        <w:t xml:space="preserve">under </w:t>
      </w:r>
      <w:r w:rsidR="0008232F" w:rsidRPr="00304EC1">
        <w:rPr>
          <w:rFonts w:ascii="Arial" w:hAnsi="Arial" w:cs="Arial"/>
          <w:color w:val="000000" w:themeColor="text1"/>
          <w:sz w:val="24"/>
          <w:szCs w:val="24"/>
          <w:lang w:val="en-ZA"/>
        </w:rPr>
        <w:t xml:space="preserve">an </w:t>
      </w:r>
      <w:r w:rsidR="008F656E" w:rsidRPr="00304EC1">
        <w:rPr>
          <w:rFonts w:ascii="Arial" w:hAnsi="Arial" w:cs="Arial"/>
          <w:color w:val="000000" w:themeColor="text1"/>
          <w:sz w:val="24"/>
          <w:szCs w:val="24"/>
          <w:lang w:val="en-ZA"/>
        </w:rPr>
        <w:t>instalment</w:t>
      </w:r>
      <w:r w:rsidR="00DE5A34" w:rsidRPr="00304EC1">
        <w:rPr>
          <w:rFonts w:ascii="Arial" w:hAnsi="Arial" w:cs="Arial"/>
          <w:color w:val="000000" w:themeColor="text1"/>
          <w:sz w:val="24"/>
          <w:szCs w:val="24"/>
          <w:lang w:val="en-ZA"/>
        </w:rPr>
        <w:t xml:space="preserve"> sale agreement. The applicant </w:t>
      </w:r>
      <w:r w:rsidR="00476220" w:rsidRPr="00304EC1">
        <w:rPr>
          <w:rFonts w:ascii="Arial" w:hAnsi="Arial" w:cs="Arial"/>
          <w:color w:val="000000" w:themeColor="text1"/>
          <w:sz w:val="24"/>
          <w:szCs w:val="24"/>
          <w:lang w:val="en-ZA"/>
        </w:rPr>
        <w:t>transmitted an email to</w:t>
      </w:r>
      <w:r w:rsidR="00DE5A34" w:rsidRPr="00304EC1">
        <w:rPr>
          <w:rFonts w:ascii="Arial" w:hAnsi="Arial" w:cs="Arial"/>
          <w:color w:val="000000" w:themeColor="text1"/>
          <w:sz w:val="24"/>
          <w:szCs w:val="24"/>
          <w:lang w:val="en-ZA"/>
        </w:rPr>
        <w:t xml:space="preserve"> the first respondent and advised him that the vehicle belongs to the applicant and that it should be returned to Ms</w:t>
      </w:r>
      <w:r w:rsidR="0008232F" w:rsidRPr="00304EC1">
        <w:rPr>
          <w:rFonts w:ascii="Arial" w:hAnsi="Arial" w:cs="Arial"/>
          <w:color w:val="000000" w:themeColor="text1"/>
          <w:sz w:val="24"/>
          <w:szCs w:val="24"/>
          <w:lang w:val="en-ZA"/>
        </w:rPr>
        <w:t>.</w:t>
      </w:r>
      <w:r w:rsidR="00DE5A34" w:rsidRPr="00304EC1">
        <w:rPr>
          <w:rFonts w:ascii="Arial" w:hAnsi="Arial" w:cs="Arial"/>
          <w:color w:val="000000" w:themeColor="text1"/>
          <w:sz w:val="24"/>
          <w:szCs w:val="24"/>
          <w:lang w:val="en-ZA"/>
        </w:rPr>
        <w:t xml:space="preserve"> </w:t>
      </w:r>
      <w:r w:rsidR="00476220" w:rsidRPr="00304EC1">
        <w:rPr>
          <w:rFonts w:ascii="Arial" w:hAnsi="Arial" w:cs="Arial"/>
          <w:color w:val="000000" w:themeColor="text1"/>
          <w:sz w:val="24"/>
          <w:szCs w:val="24"/>
          <w:lang w:val="en-ZA"/>
        </w:rPr>
        <w:t xml:space="preserve">Sheree </w:t>
      </w:r>
      <w:r w:rsidR="008F656E" w:rsidRPr="00304EC1">
        <w:rPr>
          <w:rFonts w:ascii="Arial" w:hAnsi="Arial" w:cs="Arial"/>
          <w:color w:val="000000" w:themeColor="text1"/>
          <w:sz w:val="24"/>
          <w:szCs w:val="24"/>
          <w:lang w:val="en-ZA"/>
        </w:rPr>
        <w:t>Sc</w:t>
      </w:r>
      <w:r w:rsidR="00476220" w:rsidRPr="00304EC1">
        <w:rPr>
          <w:rFonts w:ascii="Arial" w:hAnsi="Arial" w:cs="Arial"/>
          <w:color w:val="000000" w:themeColor="text1"/>
          <w:sz w:val="24"/>
          <w:szCs w:val="24"/>
          <w:lang w:val="en-ZA"/>
        </w:rPr>
        <w:t>haal</w:t>
      </w:r>
      <w:r w:rsidR="00DE5A34" w:rsidRPr="00304EC1">
        <w:rPr>
          <w:rFonts w:ascii="Arial" w:hAnsi="Arial" w:cs="Arial"/>
          <w:color w:val="000000" w:themeColor="text1"/>
          <w:sz w:val="24"/>
          <w:szCs w:val="24"/>
          <w:lang w:val="en-ZA"/>
        </w:rPr>
        <w:t xml:space="preserve">. The vehicle was not returned as per request.  </w:t>
      </w:r>
    </w:p>
    <w:p w:rsidR="00476220" w:rsidRPr="00304EC1" w:rsidRDefault="00D648B7" w:rsidP="00E122AB">
      <w:pPr>
        <w:jc w:val="both"/>
        <w:rPr>
          <w:rFonts w:ascii="Arial" w:hAnsi="Arial" w:cs="Arial"/>
          <w:color w:val="000000" w:themeColor="text1"/>
          <w:sz w:val="24"/>
          <w:szCs w:val="24"/>
          <w:lang w:val="en-ZA"/>
        </w:rPr>
      </w:pPr>
      <w:r w:rsidRPr="00304EC1">
        <w:rPr>
          <w:rFonts w:ascii="Arial" w:hAnsi="Arial" w:cs="Arial"/>
          <w:color w:val="000000" w:themeColor="text1"/>
          <w:sz w:val="24"/>
          <w:szCs w:val="24"/>
          <w:lang w:val="en-ZA"/>
        </w:rPr>
        <w:t>[</w:t>
      </w:r>
      <w:r w:rsidR="00DD7962">
        <w:rPr>
          <w:rFonts w:ascii="Arial" w:hAnsi="Arial" w:cs="Arial"/>
          <w:color w:val="000000" w:themeColor="text1"/>
          <w:sz w:val="24"/>
          <w:szCs w:val="24"/>
          <w:lang w:val="en-ZA"/>
        </w:rPr>
        <w:t>11]</w:t>
      </w:r>
      <w:r w:rsidR="00D268FB" w:rsidRPr="00304EC1">
        <w:rPr>
          <w:rFonts w:ascii="Arial" w:hAnsi="Arial" w:cs="Arial"/>
          <w:color w:val="000000" w:themeColor="text1"/>
          <w:sz w:val="24"/>
          <w:szCs w:val="24"/>
          <w:lang w:val="en-ZA"/>
        </w:rPr>
        <w:t xml:space="preserve"> </w:t>
      </w:r>
      <w:r w:rsidR="00DE5A34" w:rsidRPr="00304EC1">
        <w:rPr>
          <w:rFonts w:ascii="Arial" w:hAnsi="Arial" w:cs="Arial"/>
          <w:color w:val="000000" w:themeColor="text1"/>
          <w:sz w:val="24"/>
          <w:szCs w:val="24"/>
          <w:lang w:val="en-ZA"/>
        </w:rPr>
        <w:t>The applicant drew the attention of the first respondent to th</w:t>
      </w:r>
      <w:r w:rsidR="00D063FC" w:rsidRPr="00304EC1">
        <w:rPr>
          <w:rFonts w:ascii="Arial" w:hAnsi="Arial" w:cs="Arial"/>
          <w:color w:val="000000" w:themeColor="text1"/>
          <w:sz w:val="24"/>
          <w:szCs w:val="24"/>
          <w:lang w:val="en-ZA"/>
        </w:rPr>
        <w:t>e provisions of section 2 (1) (b</w:t>
      </w:r>
      <w:r w:rsidR="00DE5A34" w:rsidRPr="00304EC1">
        <w:rPr>
          <w:rFonts w:ascii="Arial" w:hAnsi="Arial" w:cs="Arial"/>
          <w:color w:val="000000" w:themeColor="text1"/>
          <w:sz w:val="24"/>
          <w:szCs w:val="24"/>
          <w:lang w:val="en-ZA"/>
        </w:rPr>
        <w:t xml:space="preserve">) of </w:t>
      </w:r>
      <w:r w:rsidR="001643DE" w:rsidRPr="00304EC1">
        <w:rPr>
          <w:rFonts w:ascii="Arial" w:hAnsi="Arial" w:cs="Arial"/>
          <w:color w:val="000000" w:themeColor="text1"/>
          <w:sz w:val="24"/>
          <w:szCs w:val="24"/>
          <w:lang w:val="en-ZA"/>
        </w:rPr>
        <w:t xml:space="preserve">the Security by </w:t>
      </w:r>
      <w:r w:rsidR="008D484E" w:rsidRPr="00304EC1">
        <w:rPr>
          <w:rFonts w:ascii="Arial" w:hAnsi="Arial" w:cs="Arial"/>
          <w:color w:val="000000" w:themeColor="text1"/>
          <w:sz w:val="24"/>
          <w:szCs w:val="24"/>
          <w:lang w:val="en-ZA"/>
        </w:rPr>
        <w:t>Means</w:t>
      </w:r>
      <w:r w:rsidR="001643DE" w:rsidRPr="00304EC1">
        <w:rPr>
          <w:rFonts w:ascii="Arial" w:hAnsi="Arial" w:cs="Arial"/>
          <w:color w:val="000000" w:themeColor="text1"/>
          <w:sz w:val="24"/>
          <w:szCs w:val="24"/>
          <w:lang w:val="en-ZA"/>
        </w:rPr>
        <w:t xml:space="preserve"> of Movable Property </w:t>
      </w:r>
      <w:r w:rsidR="00DE5A34" w:rsidRPr="00304EC1">
        <w:rPr>
          <w:rFonts w:ascii="Arial" w:hAnsi="Arial" w:cs="Arial"/>
          <w:color w:val="000000" w:themeColor="text1"/>
          <w:sz w:val="24"/>
          <w:szCs w:val="24"/>
          <w:lang w:val="en-ZA"/>
        </w:rPr>
        <w:t xml:space="preserve">Act 57 of 1993. </w:t>
      </w:r>
      <w:r w:rsidR="0008232F" w:rsidRPr="00304EC1">
        <w:rPr>
          <w:rFonts w:ascii="Arial" w:hAnsi="Arial" w:cs="Arial"/>
          <w:color w:val="000000" w:themeColor="text1"/>
          <w:sz w:val="24"/>
          <w:szCs w:val="24"/>
          <w:lang w:val="en-ZA"/>
        </w:rPr>
        <w:t>Several</w:t>
      </w:r>
      <w:r w:rsidR="00DE5A34" w:rsidRPr="00304EC1">
        <w:rPr>
          <w:rFonts w:ascii="Arial" w:hAnsi="Arial" w:cs="Arial"/>
          <w:color w:val="000000" w:themeColor="text1"/>
          <w:sz w:val="24"/>
          <w:szCs w:val="24"/>
          <w:lang w:val="en-ZA"/>
        </w:rPr>
        <w:t xml:space="preserve"> emails were exchanged and the first respondent remained of the view that the vehicle belong to the second respondent</w:t>
      </w:r>
      <w:r w:rsidR="001E0154" w:rsidRPr="00304EC1">
        <w:rPr>
          <w:rFonts w:ascii="Arial" w:hAnsi="Arial" w:cs="Arial"/>
          <w:color w:val="000000" w:themeColor="text1"/>
          <w:sz w:val="24"/>
          <w:szCs w:val="24"/>
          <w:lang w:val="en-ZA"/>
        </w:rPr>
        <w:t>. The applicant</w:t>
      </w:r>
      <w:r w:rsidR="00E057F0" w:rsidRPr="00304EC1">
        <w:rPr>
          <w:rFonts w:ascii="Arial" w:hAnsi="Arial" w:cs="Arial"/>
          <w:color w:val="000000" w:themeColor="text1"/>
          <w:sz w:val="24"/>
          <w:szCs w:val="24"/>
          <w:lang w:val="en-ZA"/>
        </w:rPr>
        <w:t xml:space="preserve"> was not impressed by the first respondent’s attitude that the vehicle has been sold and </w:t>
      </w:r>
      <w:r w:rsidR="001301D2" w:rsidRPr="00304EC1">
        <w:rPr>
          <w:rFonts w:ascii="Arial" w:hAnsi="Arial" w:cs="Arial"/>
          <w:color w:val="000000" w:themeColor="text1"/>
          <w:sz w:val="24"/>
          <w:szCs w:val="24"/>
          <w:lang w:val="en-ZA"/>
        </w:rPr>
        <w:t xml:space="preserve">that </w:t>
      </w:r>
      <w:r w:rsidR="00E057F0" w:rsidRPr="00304EC1">
        <w:rPr>
          <w:rFonts w:ascii="Arial" w:hAnsi="Arial" w:cs="Arial"/>
          <w:color w:val="000000" w:themeColor="text1"/>
          <w:sz w:val="24"/>
          <w:szCs w:val="24"/>
          <w:lang w:val="en-ZA"/>
        </w:rPr>
        <w:t>the applicant is not entitled to any information relating to the sale.</w:t>
      </w:r>
      <w:r w:rsidR="00476220" w:rsidRPr="00304EC1">
        <w:rPr>
          <w:rFonts w:ascii="Arial" w:hAnsi="Arial" w:cs="Arial"/>
          <w:color w:val="000000" w:themeColor="text1"/>
          <w:sz w:val="24"/>
          <w:szCs w:val="24"/>
          <w:lang w:val="en-ZA"/>
        </w:rPr>
        <w:t xml:space="preserve"> </w:t>
      </w:r>
      <w:r w:rsidR="00E057F0" w:rsidRPr="00304EC1">
        <w:rPr>
          <w:rFonts w:ascii="Arial" w:hAnsi="Arial" w:cs="Arial"/>
          <w:color w:val="000000" w:themeColor="text1"/>
          <w:sz w:val="24"/>
          <w:szCs w:val="24"/>
          <w:lang w:val="en-ZA"/>
        </w:rPr>
        <w:t>The applicant could not ascertain the purchaser until th</w:t>
      </w:r>
      <w:r w:rsidR="001301D2" w:rsidRPr="00304EC1">
        <w:rPr>
          <w:rFonts w:ascii="Arial" w:hAnsi="Arial" w:cs="Arial"/>
          <w:color w:val="000000" w:themeColor="text1"/>
          <w:sz w:val="24"/>
          <w:szCs w:val="24"/>
          <w:lang w:val="en-ZA"/>
        </w:rPr>
        <w:t>e first respondent provided it</w:t>
      </w:r>
      <w:r w:rsidR="00E057F0" w:rsidRPr="00304EC1">
        <w:rPr>
          <w:rFonts w:ascii="Arial" w:hAnsi="Arial" w:cs="Arial"/>
          <w:color w:val="000000" w:themeColor="text1"/>
          <w:sz w:val="24"/>
          <w:szCs w:val="24"/>
          <w:lang w:val="en-ZA"/>
        </w:rPr>
        <w:t xml:space="preserve"> with a Vendu Roll on 1 November 2022. </w:t>
      </w:r>
      <w:r w:rsidR="00D268FB" w:rsidRPr="00304EC1">
        <w:rPr>
          <w:rFonts w:ascii="Arial" w:hAnsi="Arial" w:cs="Arial"/>
          <w:color w:val="000000" w:themeColor="text1"/>
          <w:sz w:val="24"/>
          <w:szCs w:val="24"/>
          <w:lang w:val="en-ZA"/>
        </w:rPr>
        <w:t xml:space="preserve"> </w:t>
      </w:r>
    </w:p>
    <w:p w:rsidR="003D68B9" w:rsidRPr="00304EC1" w:rsidRDefault="00476220" w:rsidP="00E122AB">
      <w:pPr>
        <w:jc w:val="both"/>
        <w:rPr>
          <w:rFonts w:ascii="Arial" w:hAnsi="Arial" w:cs="Arial"/>
          <w:color w:val="000000" w:themeColor="text1"/>
          <w:sz w:val="24"/>
          <w:szCs w:val="24"/>
          <w:lang w:val="en-ZA"/>
        </w:rPr>
      </w:pPr>
      <w:r w:rsidRPr="00304EC1">
        <w:rPr>
          <w:rFonts w:ascii="Arial" w:hAnsi="Arial" w:cs="Arial"/>
          <w:color w:val="000000" w:themeColor="text1"/>
          <w:sz w:val="24"/>
          <w:szCs w:val="24"/>
          <w:lang w:val="en-ZA"/>
        </w:rPr>
        <w:t>[</w:t>
      </w:r>
      <w:r w:rsidR="00DD7962">
        <w:rPr>
          <w:rFonts w:ascii="Arial" w:hAnsi="Arial" w:cs="Arial"/>
          <w:color w:val="000000" w:themeColor="text1"/>
          <w:sz w:val="24"/>
          <w:szCs w:val="24"/>
          <w:lang w:val="en-ZA"/>
        </w:rPr>
        <w:t>12]</w:t>
      </w:r>
      <w:r w:rsidRPr="00304EC1">
        <w:rPr>
          <w:rFonts w:ascii="Arial" w:hAnsi="Arial" w:cs="Arial"/>
          <w:color w:val="000000" w:themeColor="text1"/>
          <w:sz w:val="24"/>
          <w:szCs w:val="24"/>
          <w:lang w:val="en-ZA"/>
        </w:rPr>
        <w:t xml:space="preserve"> </w:t>
      </w:r>
      <w:r w:rsidR="00951563" w:rsidRPr="00304EC1">
        <w:rPr>
          <w:rFonts w:ascii="Arial" w:hAnsi="Arial" w:cs="Arial"/>
          <w:color w:val="000000" w:themeColor="text1"/>
          <w:sz w:val="24"/>
          <w:szCs w:val="24"/>
          <w:lang w:val="en-ZA"/>
        </w:rPr>
        <w:t>The basis of the</w:t>
      </w:r>
      <w:r w:rsidR="00777EC2" w:rsidRPr="00304EC1">
        <w:rPr>
          <w:rFonts w:ascii="Arial" w:hAnsi="Arial" w:cs="Arial"/>
          <w:color w:val="000000" w:themeColor="text1"/>
          <w:sz w:val="24"/>
          <w:szCs w:val="24"/>
          <w:lang w:val="en-ZA"/>
        </w:rPr>
        <w:t xml:space="preserve"> applicant’s </w:t>
      </w:r>
      <w:r w:rsidR="00951563" w:rsidRPr="00304EC1">
        <w:rPr>
          <w:rFonts w:ascii="Arial" w:hAnsi="Arial" w:cs="Arial"/>
          <w:color w:val="000000" w:themeColor="text1"/>
          <w:sz w:val="24"/>
          <w:szCs w:val="24"/>
          <w:lang w:val="en-ZA"/>
        </w:rPr>
        <w:t>complaint against the first respondent is as</w:t>
      </w:r>
      <w:r w:rsidR="005E7CBC" w:rsidRPr="00304EC1">
        <w:rPr>
          <w:rFonts w:ascii="Arial" w:hAnsi="Arial" w:cs="Arial"/>
          <w:color w:val="000000" w:themeColor="text1"/>
          <w:sz w:val="24"/>
          <w:szCs w:val="24"/>
          <w:lang w:val="en-ZA"/>
        </w:rPr>
        <w:t xml:space="preserve"> follows: </w:t>
      </w:r>
      <w:r w:rsidR="00951563" w:rsidRPr="00304EC1">
        <w:rPr>
          <w:rFonts w:ascii="Arial" w:hAnsi="Arial" w:cs="Arial"/>
          <w:color w:val="000000" w:themeColor="text1"/>
          <w:sz w:val="24"/>
          <w:szCs w:val="24"/>
          <w:lang w:val="en-ZA"/>
        </w:rPr>
        <w:t xml:space="preserve">Firstly, the </w:t>
      </w:r>
      <w:r w:rsidR="001301D2" w:rsidRPr="00304EC1">
        <w:rPr>
          <w:rFonts w:ascii="Arial" w:hAnsi="Arial" w:cs="Arial"/>
          <w:color w:val="000000" w:themeColor="text1"/>
          <w:sz w:val="24"/>
          <w:szCs w:val="24"/>
          <w:lang w:val="en-ZA"/>
        </w:rPr>
        <w:t>applicant stated that</w:t>
      </w:r>
      <w:r w:rsidR="001E0154" w:rsidRPr="00304EC1">
        <w:rPr>
          <w:rFonts w:ascii="Arial" w:hAnsi="Arial" w:cs="Arial"/>
          <w:color w:val="000000" w:themeColor="text1"/>
          <w:sz w:val="24"/>
          <w:szCs w:val="24"/>
          <w:lang w:val="en-ZA"/>
        </w:rPr>
        <w:t xml:space="preserve"> the </w:t>
      </w:r>
      <w:r w:rsidR="00951563" w:rsidRPr="00304EC1">
        <w:rPr>
          <w:rFonts w:ascii="Arial" w:hAnsi="Arial" w:cs="Arial"/>
          <w:color w:val="000000" w:themeColor="text1"/>
          <w:sz w:val="24"/>
          <w:szCs w:val="24"/>
          <w:lang w:val="en-ZA"/>
        </w:rPr>
        <w:t>first respondent disregarded the law</w:t>
      </w:r>
      <w:r w:rsidR="001E0154" w:rsidRPr="00304EC1">
        <w:rPr>
          <w:rFonts w:ascii="Arial" w:hAnsi="Arial" w:cs="Arial"/>
          <w:color w:val="000000" w:themeColor="text1"/>
          <w:sz w:val="24"/>
          <w:szCs w:val="24"/>
          <w:lang w:val="en-ZA"/>
        </w:rPr>
        <w:t xml:space="preserve"> to enhance the interests of its</w:t>
      </w:r>
      <w:r w:rsidR="00951563" w:rsidRPr="00304EC1">
        <w:rPr>
          <w:rFonts w:ascii="Arial" w:hAnsi="Arial" w:cs="Arial"/>
          <w:color w:val="000000" w:themeColor="text1"/>
          <w:sz w:val="24"/>
          <w:szCs w:val="24"/>
          <w:lang w:val="en-ZA"/>
        </w:rPr>
        <w:t xml:space="preserve"> </w:t>
      </w:r>
      <w:r w:rsidR="005E7CBC" w:rsidRPr="00304EC1">
        <w:rPr>
          <w:rFonts w:ascii="Arial" w:hAnsi="Arial" w:cs="Arial"/>
          <w:color w:val="000000" w:themeColor="text1"/>
          <w:sz w:val="24"/>
          <w:szCs w:val="24"/>
          <w:lang w:val="en-ZA"/>
        </w:rPr>
        <w:t>clie</w:t>
      </w:r>
      <w:r w:rsidRPr="00304EC1">
        <w:rPr>
          <w:rFonts w:ascii="Arial" w:hAnsi="Arial" w:cs="Arial"/>
          <w:color w:val="000000" w:themeColor="text1"/>
          <w:sz w:val="24"/>
          <w:szCs w:val="24"/>
          <w:lang w:val="en-ZA"/>
        </w:rPr>
        <w:t>nt,</w:t>
      </w:r>
      <w:r w:rsidR="001E0154" w:rsidRPr="00304EC1">
        <w:rPr>
          <w:rFonts w:ascii="Arial" w:hAnsi="Arial" w:cs="Arial"/>
          <w:color w:val="000000" w:themeColor="text1"/>
          <w:sz w:val="24"/>
          <w:szCs w:val="24"/>
          <w:lang w:val="en-ZA"/>
        </w:rPr>
        <w:t xml:space="preserve"> the second respondent. </w:t>
      </w:r>
      <w:r w:rsidR="00777EC2" w:rsidRPr="00304EC1">
        <w:rPr>
          <w:rFonts w:ascii="Arial" w:hAnsi="Arial" w:cs="Arial"/>
          <w:color w:val="000000" w:themeColor="text1"/>
          <w:sz w:val="24"/>
          <w:szCs w:val="24"/>
          <w:lang w:val="en-ZA"/>
        </w:rPr>
        <w:t>Secondly, t</w:t>
      </w:r>
      <w:r w:rsidR="00951563" w:rsidRPr="00304EC1">
        <w:rPr>
          <w:rFonts w:ascii="Arial" w:hAnsi="Arial" w:cs="Arial"/>
          <w:color w:val="000000" w:themeColor="text1"/>
          <w:sz w:val="24"/>
          <w:szCs w:val="24"/>
          <w:lang w:val="en-ZA"/>
        </w:rPr>
        <w:t>he</w:t>
      </w:r>
      <w:r w:rsidR="00E122AB" w:rsidRPr="00304EC1">
        <w:rPr>
          <w:rFonts w:ascii="Arial" w:hAnsi="Arial" w:cs="Arial"/>
          <w:color w:val="000000" w:themeColor="text1"/>
          <w:sz w:val="24"/>
          <w:szCs w:val="24"/>
          <w:lang w:val="en-ZA"/>
        </w:rPr>
        <w:t xml:space="preserve"> first r</w:t>
      </w:r>
      <w:r w:rsidR="005E7CBC" w:rsidRPr="00304EC1">
        <w:rPr>
          <w:rFonts w:ascii="Arial" w:hAnsi="Arial" w:cs="Arial"/>
          <w:color w:val="000000" w:themeColor="text1"/>
          <w:sz w:val="24"/>
          <w:szCs w:val="24"/>
          <w:lang w:val="en-ZA"/>
        </w:rPr>
        <w:t>espondent</w:t>
      </w:r>
      <w:r w:rsidR="00951563" w:rsidRPr="00304EC1">
        <w:rPr>
          <w:rFonts w:ascii="Arial" w:hAnsi="Arial" w:cs="Arial"/>
          <w:color w:val="000000" w:themeColor="text1"/>
          <w:sz w:val="24"/>
          <w:szCs w:val="24"/>
          <w:lang w:val="en-ZA"/>
        </w:rPr>
        <w:t xml:space="preserve"> failed to disclose to the court that the applicant was th</w:t>
      </w:r>
      <w:r w:rsidR="001301D2" w:rsidRPr="00304EC1">
        <w:rPr>
          <w:rFonts w:ascii="Arial" w:hAnsi="Arial" w:cs="Arial"/>
          <w:color w:val="000000" w:themeColor="text1"/>
          <w:sz w:val="24"/>
          <w:szCs w:val="24"/>
          <w:lang w:val="en-ZA"/>
        </w:rPr>
        <w:t>e rightful owner of the vehicle</w:t>
      </w:r>
      <w:r w:rsidR="00951563" w:rsidRPr="00304EC1">
        <w:rPr>
          <w:rFonts w:ascii="Arial" w:hAnsi="Arial" w:cs="Arial"/>
          <w:color w:val="000000" w:themeColor="text1"/>
          <w:sz w:val="24"/>
          <w:szCs w:val="24"/>
          <w:lang w:val="en-ZA"/>
        </w:rPr>
        <w:t>.</w:t>
      </w:r>
    </w:p>
    <w:p w:rsidR="001301D2" w:rsidRPr="00304EC1" w:rsidRDefault="001301D2" w:rsidP="00E122AB">
      <w:pPr>
        <w:jc w:val="both"/>
        <w:rPr>
          <w:rFonts w:ascii="Arial" w:hAnsi="Arial" w:cs="Arial"/>
          <w:color w:val="000000" w:themeColor="text1"/>
          <w:sz w:val="24"/>
          <w:szCs w:val="24"/>
          <w:lang w:val="en-ZA"/>
        </w:rPr>
      </w:pPr>
    </w:p>
    <w:p w:rsidR="00922CD6" w:rsidRPr="00304EC1" w:rsidRDefault="00922CD6" w:rsidP="00E122AB">
      <w:pPr>
        <w:jc w:val="both"/>
        <w:rPr>
          <w:rFonts w:ascii="Arial" w:hAnsi="Arial" w:cs="Arial"/>
          <w:b/>
          <w:color w:val="000000" w:themeColor="text1"/>
          <w:sz w:val="24"/>
          <w:szCs w:val="24"/>
          <w:lang w:val="en-ZA"/>
        </w:rPr>
      </w:pPr>
      <w:r w:rsidRPr="00304EC1">
        <w:rPr>
          <w:rFonts w:ascii="Arial" w:hAnsi="Arial" w:cs="Arial"/>
          <w:b/>
          <w:color w:val="000000" w:themeColor="text1"/>
          <w:sz w:val="24"/>
          <w:szCs w:val="24"/>
          <w:lang w:val="en-ZA"/>
        </w:rPr>
        <w:t>FIRST RESPONDENT’S ANSWERING AFFIDAVIT.</w:t>
      </w:r>
    </w:p>
    <w:p w:rsidR="00E74BA3" w:rsidRPr="00304EC1" w:rsidRDefault="00D648B7" w:rsidP="00E122AB">
      <w:pPr>
        <w:jc w:val="both"/>
        <w:rPr>
          <w:rFonts w:ascii="Arial" w:hAnsi="Arial" w:cs="Arial"/>
          <w:color w:val="000000" w:themeColor="text1"/>
          <w:sz w:val="24"/>
          <w:szCs w:val="24"/>
          <w:lang w:val="en-ZA"/>
        </w:rPr>
      </w:pPr>
      <w:r w:rsidRPr="00304EC1">
        <w:rPr>
          <w:rFonts w:ascii="Arial" w:hAnsi="Arial" w:cs="Arial"/>
          <w:color w:val="000000" w:themeColor="text1"/>
          <w:sz w:val="24"/>
          <w:szCs w:val="24"/>
          <w:lang w:val="en-ZA"/>
        </w:rPr>
        <w:t>[</w:t>
      </w:r>
      <w:r w:rsidR="00DD7962">
        <w:rPr>
          <w:rFonts w:ascii="Arial" w:hAnsi="Arial" w:cs="Arial"/>
          <w:color w:val="000000" w:themeColor="text1"/>
          <w:sz w:val="24"/>
          <w:szCs w:val="24"/>
          <w:lang w:val="en-ZA"/>
        </w:rPr>
        <w:t>13]</w:t>
      </w:r>
      <w:r w:rsidR="00D268FB" w:rsidRPr="00304EC1">
        <w:rPr>
          <w:rFonts w:ascii="Arial" w:hAnsi="Arial" w:cs="Arial"/>
          <w:color w:val="000000" w:themeColor="text1"/>
          <w:sz w:val="24"/>
          <w:szCs w:val="24"/>
          <w:lang w:val="en-ZA"/>
        </w:rPr>
        <w:t xml:space="preserve"> </w:t>
      </w:r>
      <w:r w:rsidR="006C518D" w:rsidRPr="00304EC1">
        <w:rPr>
          <w:rFonts w:ascii="Arial" w:hAnsi="Arial" w:cs="Arial"/>
          <w:color w:val="000000" w:themeColor="text1"/>
          <w:sz w:val="24"/>
          <w:szCs w:val="24"/>
          <w:lang w:val="en-ZA"/>
        </w:rPr>
        <w:t xml:space="preserve">The first respondent’s affidavit was deposed </w:t>
      </w:r>
      <w:r w:rsidR="00DD7962">
        <w:rPr>
          <w:rFonts w:ascii="Arial" w:hAnsi="Arial" w:cs="Arial"/>
          <w:color w:val="000000" w:themeColor="text1"/>
          <w:sz w:val="24"/>
          <w:szCs w:val="24"/>
          <w:lang w:val="en-ZA"/>
        </w:rPr>
        <w:t xml:space="preserve">by </w:t>
      </w:r>
      <w:r w:rsidR="006C518D" w:rsidRPr="00304EC1">
        <w:rPr>
          <w:rFonts w:ascii="Arial" w:hAnsi="Arial" w:cs="Arial"/>
          <w:color w:val="000000" w:themeColor="text1"/>
          <w:sz w:val="24"/>
          <w:szCs w:val="24"/>
          <w:lang w:val="en-ZA"/>
        </w:rPr>
        <w:t xml:space="preserve">Jonatan Johanan </w:t>
      </w:r>
      <w:r w:rsidR="00BB081A" w:rsidRPr="00304EC1">
        <w:rPr>
          <w:rFonts w:ascii="Arial" w:hAnsi="Arial" w:cs="Arial"/>
          <w:color w:val="000000" w:themeColor="text1"/>
          <w:sz w:val="24"/>
          <w:szCs w:val="24"/>
          <w:lang w:val="en-ZA"/>
        </w:rPr>
        <w:t>Bouwer a director at the firm</w:t>
      </w:r>
      <w:r w:rsidR="001301D2" w:rsidRPr="00304EC1">
        <w:rPr>
          <w:rFonts w:ascii="Arial" w:hAnsi="Arial" w:cs="Arial"/>
          <w:color w:val="000000" w:themeColor="text1"/>
          <w:sz w:val="24"/>
          <w:szCs w:val="24"/>
          <w:lang w:val="en-ZA"/>
        </w:rPr>
        <w:t xml:space="preserve"> of attorneys</w:t>
      </w:r>
      <w:r w:rsidR="00BB081A" w:rsidRPr="00304EC1">
        <w:rPr>
          <w:rFonts w:ascii="Arial" w:hAnsi="Arial" w:cs="Arial"/>
          <w:color w:val="000000" w:themeColor="text1"/>
          <w:sz w:val="24"/>
          <w:szCs w:val="24"/>
          <w:lang w:val="en-ZA"/>
        </w:rPr>
        <w:t xml:space="preserve"> cited as the first respondent in this application. The first respondent stated </w:t>
      </w:r>
      <w:r w:rsidR="00E727F4" w:rsidRPr="00304EC1">
        <w:rPr>
          <w:rFonts w:ascii="Arial" w:hAnsi="Arial" w:cs="Arial"/>
          <w:color w:val="000000" w:themeColor="text1"/>
          <w:sz w:val="24"/>
          <w:szCs w:val="24"/>
          <w:lang w:val="en-ZA"/>
        </w:rPr>
        <w:t xml:space="preserve">that </w:t>
      </w:r>
      <w:r w:rsidR="00BB081A" w:rsidRPr="00304EC1">
        <w:rPr>
          <w:rFonts w:ascii="Arial" w:hAnsi="Arial" w:cs="Arial"/>
          <w:color w:val="000000" w:themeColor="text1"/>
          <w:sz w:val="24"/>
          <w:szCs w:val="24"/>
          <w:lang w:val="en-ZA"/>
        </w:rPr>
        <w:t xml:space="preserve">the applicant was aware of the sale in execution. The applicant was at liberty to file an interpleader at any stage and was </w:t>
      </w:r>
      <w:r w:rsidR="00E74BA3" w:rsidRPr="00304EC1">
        <w:rPr>
          <w:rFonts w:ascii="Arial" w:hAnsi="Arial" w:cs="Arial"/>
          <w:color w:val="000000" w:themeColor="text1"/>
          <w:sz w:val="24"/>
          <w:szCs w:val="24"/>
          <w:lang w:val="en-ZA"/>
        </w:rPr>
        <w:t xml:space="preserve">further, </w:t>
      </w:r>
      <w:r w:rsidR="00BB081A" w:rsidRPr="00304EC1">
        <w:rPr>
          <w:rFonts w:ascii="Arial" w:hAnsi="Arial" w:cs="Arial"/>
          <w:color w:val="000000" w:themeColor="text1"/>
          <w:sz w:val="24"/>
          <w:szCs w:val="24"/>
          <w:lang w:val="en-ZA"/>
        </w:rPr>
        <w:t xml:space="preserve">advised by the fourth respondent </w:t>
      </w:r>
      <w:r w:rsidR="001301D2" w:rsidRPr="00304EC1">
        <w:rPr>
          <w:rFonts w:ascii="Arial" w:hAnsi="Arial" w:cs="Arial"/>
          <w:color w:val="000000" w:themeColor="text1"/>
          <w:sz w:val="24"/>
          <w:szCs w:val="24"/>
          <w:lang w:val="en-ZA"/>
        </w:rPr>
        <w:t>to transmit</w:t>
      </w:r>
      <w:r w:rsidR="00E74BA3" w:rsidRPr="00304EC1">
        <w:rPr>
          <w:rFonts w:ascii="Arial" w:hAnsi="Arial" w:cs="Arial"/>
          <w:color w:val="000000" w:themeColor="text1"/>
          <w:sz w:val="24"/>
          <w:szCs w:val="24"/>
          <w:lang w:val="en-ZA"/>
        </w:rPr>
        <w:t xml:space="preserve"> </w:t>
      </w:r>
      <w:r w:rsidR="00BB081A" w:rsidRPr="00304EC1">
        <w:rPr>
          <w:rFonts w:ascii="Arial" w:hAnsi="Arial" w:cs="Arial"/>
          <w:color w:val="000000" w:themeColor="text1"/>
          <w:sz w:val="24"/>
          <w:szCs w:val="24"/>
          <w:lang w:val="en-ZA"/>
        </w:rPr>
        <w:t>an affidavit</w:t>
      </w:r>
      <w:r w:rsidR="00E74BA3" w:rsidRPr="00304EC1">
        <w:rPr>
          <w:rFonts w:ascii="Arial" w:hAnsi="Arial" w:cs="Arial"/>
          <w:color w:val="000000" w:themeColor="text1"/>
          <w:sz w:val="24"/>
          <w:szCs w:val="24"/>
          <w:lang w:val="en-ZA"/>
        </w:rPr>
        <w:t xml:space="preserve"> stating that he was the rightful owner and elected not to </w:t>
      </w:r>
      <w:r w:rsidR="00D62A96" w:rsidRPr="00304EC1">
        <w:rPr>
          <w:rFonts w:ascii="Arial" w:hAnsi="Arial" w:cs="Arial"/>
          <w:color w:val="000000" w:themeColor="text1"/>
          <w:sz w:val="24"/>
          <w:szCs w:val="24"/>
          <w:lang w:val="en-ZA"/>
        </w:rPr>
        <w:t xml:space="preserve">do </w:t>
      </w:r>
      <w:r w:rsidR="00E74BA3" w:rsidRPr="00304EC1">
        <w:rPr>
          <w:rFonts w:ascii="Arial" w:hAnsi="Arial" w:cs="Arial"/>
          <w:color w:val="000000" w:themeColor="text1"/>
          <w:sz w:val="24"/>
          <w:szCs w:val="24"/>
          <w:lang w:val="en-ZA"/>
        </w:rPr>
        <w:t>so.</w:t>
      </w:r>
    </w:p>
    <w:p w:rsidR="004C6E49" w:rsidRPr="00304EC1" w:rsidRDefault="00D648B7" w:rsidP="00E122AB">
      <w:pPr>
        <w:jc w:val="both"/>
        <w:rPr>
          <w:rFonts w:ascii="Arial" w:hAnsi="Arial" w:cs="Arial"/>
          <w:color w:val="000000" w:themeColor="text1"/>
          <w:sz w:val="24"/>
          <w:szCs w:val="24"/>
          <w:lang w:val="en-ZA"/>
        </w:rPr>
      </w:pPr>
      <w:r w:rsidRPr="00304EC1">
        <w:rPr>
          <w:rFonts w:ascii="Arial" w:hAnsi="Arial" w:cs="Arial"/>
          <w:color w:val="000000" w:themeColor="text1"/>
          <w:sz w:val="24"/>
          <w:szCs w:val="24"/>
          <w:lang w:val="en-ZA"/>
        </w:rPr>
        <w:t>[1</w:t>
      </w:r>
      <w:r w:rsidR="00DD7962">
        <w:rPr>
          <w:rFonts w:ascii="Arial" w:hAnsi="Arial" w:cs="Arial"/>
          <w:color w:val="000000" w:themeColor="text1"/>
          <w:sz w:val="24"/>
          <w:szCs w:val="24"/>
          <w:lang w:val="en-ZA"/>
        </w:rPr>
        <w:t>4]</w:t>
      </w:r>
      <w:r w:rsidR="00795D07" w:rsidRPr="00304EC1">
        <w:rPr>
          <w:rFonts w:ascii="Arial" w:hAnsi="Arial" w:cs="Arial"/>
          <w:color w:val="000000" w:themeColor="text1"/>
          <w:sz w:val="24"/>
          <w:szCs w:val="24"/>
          <w:lang w:val="en-ZA"/>
        </w:rPr>
        <w:t xml:space="preserve"> </w:t>
      </w:r>
      <w:r w:rsidR="00E74BA3" w:rsidRPr="00304EC1">
        <w:rPr>
          <w:rFonts w:ascii="Arial" w:hAnsi="Arial" w:cs="Arial"/>
          <w:color w:val="000000" w:themeColor="text1"/>
          <w:sz w:val="24"/>
          <w:szCs w:val="24"/>
          <w:lang w:val="en-ZA"/>
        </w:rPr>
        <w:t>The first respondent denies that the deponent of</w:t>
      </w:r>
      <w:r w:rsidR="00476220" w:rsidRPr="00304EC1">
        <w:rPr>
          <w:rFonts w:ascii="Arial" w:hAnsi="Arial" w:cs="Arial"/>
          <w:color w:val="000000" w:themeColor="text1"/>
          <w:sz w:val="24"/>
          <w:szCs w:val="24"/>
          <w:lang w:val="en-ZA"/>
        </w:rPr>
        <w:t xml:space="preserve"> the plaintiff’s affidavit has locus standi to bring the application on its behalf</w:t>
      </w:r>
      <w:r w:rsidR="00E74BA3" w:rsidRPr="00304EC1">
        <w:rPr>
          <w:rFonts w:ascii="Arial" w:hAnsi="Arial" w:cs="Arial"/>
          <w:color w:val="000000" w:themeColor="text1"/>
          <w:sz w:val="24"/>
          <w:szCs w:val="24"/>
          <w:lang w:val="en-ZA"/>
        </w:rPr>
        <w:t xml:space="preserve">. The </w:t>
      </w:r>
      <w:r w:rsidR="00DD7962">
        <w:rPr>
          <w:rFonts w:ascii="Arial" w:hAnsi="Arial" w:cs="Arial"/>
          <w:color w:val="000000" w:themeColor="text1"/>
          <w:sz w:val="24"/>
          <w:szCs w:val="24"/>
          <w:lang w:val="en-ZA"/>
        </w:rPr>
        <w:t>CIPC</w:t>
      </w:r>
      <w:r w:rsidR="00DD7962" w:rsidRPr="00304EC1">
        <w:rPr>
          <w:rFonts w:ascii="Arial" w:hAnsi="Arial" w:cs="Arial"/>
          <w:color w:val="000000" w:themeColor="text1"/>
          <w:sz w:val="24"/>
          <w:szCs w:val="24"/>
          <w:lang w:val="en-ZA"/>
        </w:rPr>
        <w:t xml:space="preserve"> </w:t>
      </w:r>
      <w:r w:rsidR="00E74BA3" w:rsidRPr="00304EC1">
        <w:rPr>
          <w:rFonts w:ascii="Arial" w:hAnsi="Arial" w:cs="Arial"/>
          <w:color w:val="000000" w:themeColor="text1"/>
          <w:sz w:val="24"/>
          <w:szCs w:val="24"/>
          <w:lang w:val="en-ZA"/>
        </w:rPr>
        <w:t>search shows no resolution empowering the deponent to either instruct an attorney or bring the application</w:t>
      </w:r>
      <w:r w:rsidR="00922CD6" w:rsidRPr="00304EC1">
        <w:rPr>
          <w:rFonts w:ascii="Arial" w:hAnsi="Arial" w:cs="Arial"/>
          <w:color w:val="000000" w:themeColor="text1"/>
          <w:sz w:val="24"/>
          <w:szCs w:val="24"/>
          <w:lang w:val="en-ZA"/>
        </w:rPr>
        <w:t xml:space="preserve"> on its behalf</w:t>
      </w:r>
      <w:r w:rsidR="00E74BA3" w:rsidRPr="00304EC1">
        <w:rPr>
          <w:rFonts w:ascii="Arial" w:hAnsi="Arial" w:cs="Arial"/>
          <w:color w:val="000000" w:themeColor="text1"/>
          <w:sz w:val="24"/>
          <w:szCs w:val="24"/>
          <w:lang w:val="en-ZA"/>
        </w:rPr>
        <w:t>.</w:t>
      </w:r>
    </w:p>
    <w:p w:rsidR="001301D2" w:rsidRPr="00304EC1" w:rsidRDefault="00D648B7" w:rsidP="00E122AB">
      <w:pPr>
        <w:jc w:val="both"/>
        <w:rPr>
          <w:rFonts w:ascii="Arial" w:hAnsi="Arial" w:cs="Arial"/>
          <w:color w:val="000000" w:themeColor="text1"/>
          <w:sz w:val="24"/>
          <w:szCs w:val="24"/>
          <w:lang w:val="en-ZA"/>
        </w:rPr>
      </w:pPr>
      <w:r w:rsidRPr="00304EC1">
        <w:rPr>
          <w:rFonts w:ascii="Arial" w:hAnsi="Arial" w:cs="Arial"/>
          <w:color w:val="000000" w:themeColor="text1"/>
          <w:sz w:val="24"/>
          <w:szCs w:val="24"/>
          <w:lang w:val="en-ZA"/>
        </w:rPr>
        <w:t>[1</w:t>
      </w:r>
      <w:r w:rsidR="00DD7962">
        <w:rPr>
          <w:rFonts w:ascii="Arial" w:hAnsi="Arial" w:cs="Arial"/>
          <w:color w:val="000000" w:themeColor="text1"/>
          <w:sz w:val="24"/>
          <w:szCs w:val="24"/>
          <w:lang w:val="en-ZA"/>
        </w:rPr>
        <w:t>5]</w:t>
      </w:r>
      <w:r w:rsidR="00795D07" w:rsidRPr="00304EC1">
        <w:rPr>
          <w:rFonts w:ascii="Arial" w:hAnsi="Arial" w:cs="Arial"/>
          <w:color w:val="000000" w:themeColor="text1"/>
          <w:sz w:val="24"/>
          <w:szCs w:val="24"/>
          <w:lang w:val="en-ZA"/>
        </w:rPr>
        <w:t xml:space="preserve"> </w:t>
      </w:r>
      <w:r w:rsidR="00C80EC8" w:rsidRPr="00304EC1">
        <w:rPr>
          <w:rFonts w:ascii="Arial" w:hAnsi="Arial" w:cs="Arial"/>
          <w:color w:val="000000" w:themeColor="text1"/>
          <w:sz w:val="24"/>
          <w:szCs w:val="24"/>
          <w:lang w:val="en-ZA"/>
        </w:rPr>
        <w:t>The first respondent</w:t>
      </w:r>
      <w:r w:rsidR="004C6E49" w:rsidRPr="00304EC1">
        <w:rPr>
          <w:rFonts w:ascii="Arial" w:hAnsi="Arial" w:cs="Arial"/>
          <w:color w:val="000000" w:themeColor="text1"/>
          <w:sz w:val="24"/>
          <w:szCs w:val="24"/>
          <w:lang w:val="en-ZA"/>
        </w:rPr>
        <w:t xml:space="preserve"> further states that the vehicle was sold pursuant to a </w:t>
      </w:r>
      <w:r w:rsidR="00B164CA" w:rsidRPr="00304EC1">
        <w:rPr>
          <w:rFonts w:ascii="Arial" w:hAnsi="Arial" w:cs="Arial"/>
          <w:color w:val="000000" w:themeColor="text1"/>
          <w:sz w:val="24"/>
          <w:szCs w:val="24"/>
          <w:lang w:val="en-ZA"/>
        </w:rPr>
        <w:t>judgment</w:t>
      </w:r>
      <w:r w:rsidR="007207EE">
        <w:rPr>
          <w:rFonts w:ascii="Arial" w:hAnsi="Arial" w:cs="Arial"/>
          <w:color w:val="000000" w:themeColor="text1"/>
          <w:sz w:val="24"/>
          <w:szCs w:val="24"/>
          <w:lang w:val="en-ZA"/>
        </w:rPr>
        <w:t>, not</w:t>
      </w:r>
      <w:r w:rsidR="004C6E49" w:rsidRPr="00304EC1">
        <w:rPr>
          <w:rFonts w:ascii="Arial" w:hAnsi="Arial" w:cs="Arial"/>
          <w:color w:val="000000" w:themeColor="text1"/>
          <w:sz w:val="24"/>
          <w:szCs w:val="24"/>
          <w:lang w:val="en-ZA"/>
        </w:rPr>
        <w:t xml:space="preserve"> </w:t>
      </w:r>
      <w:r w:rsidR="00B164CA" w:rsidRPr="00304EC1">
        <w:rPr>
          <w:rFonts w:ascii="Arial" w:hAnsi="Arial" w:cs="Arial"/>
          <w:color w:val="000000" w:themeColor="text1"/>
          <w:sz w:val="24"/>
          <w:szCs w:val="24"/>
          <w:lang w:val="en-ZA"/>
        </w:rPr>
        <w:t xml:space="preserve">a </w:t>
      </w:r>
      <w:r w:rsidR="004C6E49" w:rsidRPr="00304EC1">
        <w:rPr>
          <w:rFonts w:ascii="Arial" w:hAnsi="Arial" w:cs="Arial"/>
          <w:color w:val="000000" w:themeColor="text1"/>
          <w:sz w:val="24"/>
          <w:szCs w:val="24"/>
          <w:lang w:val="en-ZA"/>
        </w:rPr>
        <w:t>rental int</w:t>
      </w:r>
      <w:r w:rsidR="00C80EC8" w:rsidRPr="00304EC1">
        <w:rPr>
          <w:rFonts w:ascii="Arial" w:hAnsi="Arial" w:cs="Arial"/>
          <w:color w:val="000000" w:themeColor="text1"/>
          <w:sz w:val="24"/>
          <w:szCs w:val="24"/>
          <w:lang w:val="en-ZA"/>
        </w:rPr>
        <w:t>erdict.</w:t>
      </w:r>
      <w:r w:rsidR="004C6E49" w:rsidRPr="00304EC1">
        <w:rPr>
          <w:rFonts w:ascii="Arial" w:hAnsi="Arial" w:cs="Arial"/>
          <w:color w:val="000000" w:themeColor="text1"/>
          <w:sz w:val="24"/>
          <w:szCs w:val="24"/>
          <w:lang w:val="en-ZA"/>
        </w:rPr>
        <w:t xml:space="preserve"> A tender to settle the debt was made to the applicant by Mrs Hopgood in exchange for the p</w:t>
      </w:r>
      <w:r w:rsidR="00476220" w:rsidRPr="00304EC1">
        <w:rPr>
          <w:rFonts w:ascii="Arial" w:hAnsi="Arial" w:cs="Arial"/>
          <w:color w:val="000000" w:themeColor="text1"/>
          <w:sz w:val="24"/>
          <w:szCs w:val="24"/>
          <w:lang w:val="en-ZA"/>
        </w:rPr>
        <w:t>apers of the vehicle and</w:t>
      </w:r>
      <w:r w:rsidR="004C6E49" w:rsidRPr="00304EC1">
        <w:rPr>
          <w:rFonts w:ascii="Arial" w:hAnsi="Arial" w:cs="Arial"/>
          <w:color w:val="000000" w:themeColor="text1"/>
          <w:sz w:val="24"/>
          <w:szCs w:val="24"/>
          <w:lang w:val="en-ZA"/>
        </w:rPr>
        <w:t xml:space="preserve"> the applicant elected to remain silent</w:t>
      </w:r>
      <w:r w:rsidR="00476220" w:rsidRPr="00304EC1">
        <w:rPr>
          <w:rFonts w:ascii="Arial" w:hAnsi="Arial" w:cs="Arial"/>
          <w:color w:val="000000" w:themeColor="text1"/>
          <w:sz w:val="24"/>
          <w:szCs w:val="24"/>
          <w:lang w:val="en-ZA"/>
        </w:rPr>
        <w:t xml:space="preserve"> thereby declining the offer</w:t>
      </w:r>
      <w:r w:rsidR="004C6E49" w:rsidRPr="00304EC1">
        <w:rPr>
          <w:rFonts w:ascii="Arial" w:hAnsi="Arial" w:cs="Arial"/>
          <w:color w:val="000000" w:themeColor="text1"/>
          <w:sz w:val="24"/>
          <w:szCs w:val="24"/>
          <w:lang w:val="en-ZA"/>
        </w:rPr>
        <w:t>.</w:t>
      </w:r>
    </w:p>
    <w:p w:rsidR="004C6E49" w:rsidRPr="00304EC1" w:rsidRDefault="004C6E49" w:rsidP="00E122AB">
      <w:pPr>
        <w:jc w:val="both"/>
        <w:rPr>
          <w:rFonts w:ascii="Arial" w:hAnsi="Arial" w:cs="Arial"/>
          <w:color w:val="000000" w:themeColor="text1"/>
          <w:sz w:val="24"/>
          <w:szCs w:val="24"/>
          <w:lang w:val="en-ZA"/>
        </w:rPr>
      </w:pPr>
      <w:r w:rsidRPr="00304EC1">
        <w:rPr>
          <w:rFonts w:ascii="Arial" w:hAnsi="Arial" w:cs="Arial"/>
          <w:color w:val="000000" w:themeColor="text1"/>
          <w:sz w:val="24"/>
          <w:szCs w:val="24"/>
          <w:lang w:val="en-ZA"/>
        </w:rPr>
        <w:t xml:space="preserve"> </w:t>
      </w:r>
    </w:p>
    <w:p w:rsidR="00D648B7" w:rsidRPr="00304EC1" w:rsidRDefault="00D648B7" w:rsidP="00E122AB">
      <w:pPr>
        <w:jc w:val="both"/>
        <w:rPr>
          <w:rFonts w:ascii="Arial" w:hAnsi="Arial" w:cs="Arial"/>
          <w:b/>
          <w:color w:val="000000" w:themeColor="text1"/>
          <w:sz w:val="24"/>
          <w:szCs w:val="24"/>
          <w:lang w:val="en-ZA"/>
        </w:rPr>
      </w:pPr>
      <w:r w:rsidRPr="00304EC1">
        <w:rPr>
          <w:rFonts w:ascii="Arial" w:hAnsi="Arial" w:cs="Arial"/>
          <w:b/>
          <w:color w:val="000000" w:themeColor="text1"/>
          <w:sz w:val="24"/>
          <w:szCs w:val="24"/>
          <w:lang w:val="en-ZA"/>
        </w:rPr>
        <w:t>THE SECOND RESPONDENT’S ANSWERING AFFIDAVIT</w:t>
      </w:r>
    </w:p>
    <w:p w:rsidR="00576EBC" w:rsidRPr="00304EC1" w:rsidRDefault="00D648B7" w:rsidP="00E122AB">
      <w:pPr>
        <w:jc w:val="both"/>
        <w:rPr>
          <w:rFonts w:ascii="Arial" w:hAnsi="Arial" w:cs="Arial"/>
          <w:color w:val="000000" w:themeColor="text1"/>
          <w:sz w:val="24"/>
          <w:szCs w:val="24"/>
          <w:lang w:val="en-ZA"/>
        </w:rPr>
      </w:pPr>
      <w:r w:rsidRPr="00304EC1">
        <w:rPr>
          <w:rFonts w:ascii="Arial" w:hAnsi="Arial" w:cs="Arial"/>
          <w:color w:val="000000" w:themeColor="text1"/>
          <w:sz w:val="24"/>
          <w:szCs w:val="24"/>
          <w:lang w:val="en-ZA"/>
        </w:rPr>
        <w:lastRenderedPageBreak/>
        <w:t>[1</w:t>
      </w:r>
      <w:r w:rsidR="00DD7962">
        <w:rPr>
          <w:rFonts w:ascii="Arial" w:hAnsi="Arial" w:cs="Arial"/>
          <w:color w:val="000000" w:themeColor="text1"/>
          <w:sz w:val="24"/>
          <w:szCs w:val="24"/>
          <w:lang w:val="en-ZA"/>
        </w:rPr>
        <w:t>6]</w:t>
      </w:r>
      <w:r w:rsidR="00795D07" w:rsidRPr="00304EC1">
        <w:rPr>
          <w:rFonts w:ascii="Arial" w:hAnsi="Arial" w:cs="Arial"/>
          <w:color w:val="000000" w:themeColor="text1"/>
          <w:sz w:val="24"/>
          <w:szCs w:val="24"/>
          <w:lang w:val="en-ZA"/>
        </w:rPr>
        <w:t xml:space="preserve"> </w:t>
      </w:r>
      <w:r w:rsidR="004C6E49" w:rsidRPr="00304EC1">
        <w:rPr>
          <w:rFonts w:ascii="Arial" w:hAnsi="Arial" w:cs="Arial"/>
          <w:color w:val="000000" w:themeColor="text1"/>
          <w:sz w:val="24"/>
          <w:szCs w:val="24"/>
          <w:lang w:val="en-ZA"/>
        </w:rPr>
        <w:t>The secon</w:t>
      </w:r>
      <w:r w:rsidR="00B00F84" w:rsidRPr="00304EC1">
        <w:rPr>
          <w:rFonts w:ascii="Arial" w:hAnsi="Arial" w:cs="Arial"/>
          <w:color w:val="000000" w:themeColor="text1"/>
          <w:sz w:val="24"/>
          <w:szCs w:val="24"/>
          <w:lang w:val="en-ZA"/>
        </w:rPr>
        <w:t>d respon</w:t>
      </w:r>
      <w:r w:rsidR="00476220" w:rsidRPr="00304EC1">
        <w:rPr>
          <w:rFonts w:ascii="Arial" w:hAnsi="Arial" w:cs="Arial"/>
          <w:color w:val="000000" w:themeColor="text1"/>
          <w:sz w:val="24"/>
          <w:szCs w:val="24"/>
          <w:lang w:val="en-ZA"/>
        </w:rPr>
        <w:t xml:space="preserve">dent’s affidavit was deposed </w:t>
      </w:r>
      <w:r w:rsidR="00B00F84" w:rsidRPr="00304EC1">
        <w:rPr>
          <w:rFonts w:ascii="Arial" w:hAnsi="Arial" w:cs="Arial"/>
          <w:color w:val="000000" w:themeColor="text1"/>
          <w:sz w:val="24"/>
          <w:szCs w:val="24"/>
          <w:lang w:val="en-ZA"/>
        </w:rPr>
        <w:t>by Cathrina Elizabet</w:t>
      </w:r>
      <w:r w:rsidR="00C80EC8" w:rsidRPr="00304EC1">
        <w:rPr>
          <w:rFonts w:ascii="Arial" w:hAnsi="Arial" w:cs="Arial"/>
          <w:color w:val="000000" w:themeColor="text1"/>
          <w:sz w:val="24"/>
          <w:szCs w:val="24"/>
          <w:lang w:val="en-ZA"/>
        </w:rPr>
        <w:t xml:space="preserve">h Jean Joubert and </w:t>
      </w:r>
      <w:r w:rsidR="00B00F84" w:rsidRPr="00304EC1">
        <w:rPr>
          <w:rFonts w:ascii="Arial" w:hAnsi="Arial" w:cs="Arial"/>
          <w:color w:val="000000" w:themeColor="text1"/>
          <w:sz w:val="24"/>
          <w:szCs w:val="24"/>
          <w:lang w:val="en-ZA"/>
        </w:rPr>
        <w:t>avers</w:t>
      </w:r>
      <w:r w:rsidR="00C80EC8" w:rsidRPr="00304EC1">
        <w:rPr>
          <w:rFonts w:ascii="Arial" w:hAnsi="Arial" w:cs="Arial"/>
          <w:color w:val="000000" w:themeColor="text1"/>
          <w:sz w:val="24"/>
          <w:szCs w:val="24"/>
          <w:lang w:val="en-ZA"/>
        </w:rPr>
        <w:t xml:space="preserve"> the applicant’s deponent of the</w:t>
      </w:r>
      <w:r w:rsidR="001301D2" w:rsidRPr="00304EC1">
        <w:rPr>
          <w:rFonts w:ascii="Arial" w:hAnsi="Arial" w:cs="Arial"/>
          <w:color w:val="000000" w:themeColor="text1"/>
          <w:sz w:val="24"/>
          <w:szCs w:val="24"/>
          <w:lang w:val="en-ZA"/>
        </w:rPr>
        <w:t xml:space="preserve"> applicant’s</w:t>
      </w:r>
      <w:r w:rsidR="00C80EC8" w:rsidRPr="00304EC1">
        <w:rPr>
          <w:rFonts w:ascii="Arial" w:hAnsi="Arial" w:cs="Arial"/>
          <w:color w:val="000000" w:themeColor="text1"/>
          <w:sz w:val="24"/>
          <w:szCs w:val="24"/>
          <w:lang w:val="en-ZA"/>
        </w:rPr>
        <w:t xml:space="preserve"> founding affidavit lacks locus standi.</w:t>
      </w:r>
      <w:r w:rsidR="00795D07" w:rsidRPr="00304EC1">
        <w:rPr>
          <w:rFonts w:ascii="Arial" w:hAnsi="Arial" w:cs="Arial"/>
          <w:color w:val="000000" w:themeColor="text1"/>
          <w:sz w:val="24"/>
          <w:szCs w:val="24"/>
          <w:lang w:val="en-ZA"/>
        </w:rPr>
        <w:t xml:space="preserve"> </w:t>
      </w:r>
      <w:r w:rsidR="00D063FC" w:rsidRPr="00304EC1">
        <w:rPr>
          <w:rFonts w:ascii="Arial" w:hAnsi="Arial" w:cs="Arial"/>
          <w:color w:val="000000" w:themeColor="text1"/>
          <w:sz w:val="24"/>
          <w:szCs w:val="24"/>
          <w:lang w:val="en-ZA"/>
        </w:rPr>
        <w:t>She further stated that t</w:t>
      </w:r>
      <w:r w:rsidR="00795D07" w:rsidRPr="00304EC1">
        <w:rPr>
          <w:rFonts w:ascii="Arial" w:hAnsi="Arial" w:cs="Arial"/>
          <w:color w:val="000000" w:themeColor="text1"/>
          <w:sz w:val="24"/>
          <w:szCs w:val="24"/>
          <w:lang w:val="en-ZA"/>
        </w:rPr>
        <w:t>he</w:t>
      </w:r>
      <w:r w:rsidR="00B00F84" w:rsidRPr="00304EC1">
        <w:rPr>
          <w:rFonts w:ascii="Arial" w:hAnsi="Arial" w:cs="Arial"/>
          <w:color w:val="000000" w:themeColor="text1"/>
          <w:sz w:val="24"/>
          <w:szCs w:val="24"/>
          <w:lang w:val="en-ZA"/>
        </w:rPr>
        <w:t xml:space="preserve"> applicant failed to join Ms. </w:t>
      </w:r>
      <w:r w:rsidR="00476220" w:rsidRPr="00304EC1">
        <w:rPr>
          <w:rFonts w:ascii="Arial" w:hAnsi="Arial" w:cs="Arial"/>
          <w:color w:val="000000" w:themeColor="text1"/>
          <w:sz w:val="24"/>
          <w:szCs w:val="24"/>
          <w:lang w:val="en-ZA"/>
        </w:rPr>
        <w:t xml:space="preserve">Sheree </w:t>
      </w:r>
      <w:r w:rsidR="00B00F84" w:rsidRPr="00304EC1">
        <w:rPr>
          <w:rFonts w:ascii="Arial" w:hAnsi="Arial" w:cs="Arial"/>
          <w:color w:val="000000" w:themeColor="text1"/>
          <w:sz w:val="24"/>
          <w:szCs w:val="24"/>
          <w:lang w:val="en-ZA"/>
        </w:rPr>
        <w:t xml:space="preserve">Schaal, who is the </w:t>
      </w:r>
      <w:r w:rsidR="00B164CA" w:rsidRPr="00304EC1">
        <w:rPr>
          <w:rFonts w:ascii="Arial" w:hAnsi="Arial" w:cs="Arial"/>
          <w:color w:val="000000" w:themeColor="text1"/>
          <w:sz w:val="24"/>
          <w:szCs w:val="24"/>
          <w:lang w:val="en-ZA"/>
        </w:rPr>
        <w:t>judgment</w:t>
      </w:r>
      <w:r w:rsidR="00B00F84" w:rsidRPr="00304EC1">
        <w:rPr>
          <w:rFonts w:ascii="Arial" w:hAnsi="Arial" w:cs="Arial"/>
          <w:color w:val="000000" w:themeColor="text1"/>
          <w:sz w:val="24"/>
          <w:szCs w:val="24"/>
          <w:lang w:val="en-ZA"/>
        </w:rPr>
        <w:t xml:space="preserve"> debtor in the main action</w:t>
      </w:r>
      <w:r w:rsidR="001301D2" w:rsidRPr="00304EC1">
        <w:rPr>
          <w:rFonts w:ascii="Arial" w:hAnsi="Arial" w:cs="Arial"/>
          <w:color w:val="000000" w:themeColor="text1"/>
          <w:sz w:val="24"/>
          <w:szCs w:val="24"/>
          <w:lang w:val="en-ZA"/>
        </w:rPr>
        <w:t>. The latter</w:t>
      </w:r>
      <w:r w:rsidR="00B00F84" w:rsidRPr="00304EC1">
        <w:rPr>
          <w:rFonts w:ascii="Arial" w:hAnsi="Arial" w:cs="Arial"/>
          <w:color w:val="000000" w:themeColor="text1"/>
          <w:sz w:val="24"/>
          <w:szCs w:val="24"/>
          <w:lang w:val="en-ZA"/>
        </w:rPr>
        <w:t xml:space="preserve"> has an interest in the matter and this application. It is evident from the letters sent by the applicant that </w:t>
      </w:r>
      <w:r w:rsidR="00576EBC" w:rsidRPr="00304EC1">
        <w:rPr>
          <w:rFonts w:ascii="Arial" w:hAnsi="Arial" w:cs="Arial"/>
          <w:color w:val="000000" w:themeColor="text1"/>
          <w:sz w:val="24"/>
          <w:szCs w:val="24"/>
          <w:lang w:val="en-ZA"/>
        </w:rPr>
        <w:t>the latter requested the vehicle to be returned to Ms. Schaal</w:t>
      </w:r>
      <w:r w:rsidR="001301D2" w:rsidRPr="00304EC1">
        <w:rPr>
          <w:rFonts w:ascii="Arial" w:hAnsi="Arial" w:cs="Arial"/>
          <w:color w:val="000000" w:themeColor="text1"/>
          <w:sz w:val="24"/>
          <w:szCs w:val="24"/>
          <w:lang w:val="en-ZA"/>
        </w:rPr>
        <w:t xml:space="preserve"> who </w:t>
      </w:r>
      <w:r w:rsidR="00D063FC" w:rsidRPr="00304EC1">
        <w:rPr>
          <w:rFonts w:ascii="Arial" w:hAnsi="Arial" w:cs="Arial"/>
          <w:color w:val="000000" w:themeColor="text1"/>
          <w:sz w:val="24"/>
          <w:szCs w:val="24"/>
          <w:lang w:val="en-ZA"/>
        </w:rPr>
        <w:t>wa</w:t>
      </w:r>
      <w:r w:rsidR="001301D2" w:rsidRPr="00304EC1">
        <w:rPr>
          <w:rFonts w:ascii="Arial" w:hAnsi="Arial" w:cs="Arial"/>
          <w:color w:val="000000" w:themeColor="text1"/>
          <w:sz w:val="24"/>
          <w:szCs w:val="24"/>
          <w:lang w:val="en-ZA"/>
        </w:rPr>
        <w:t xml:space="preserve">s employed by </w:t>
      </w:r>
      <w:r w:rsidR="002743D3" w:rsidRPr="00304EC1">
        <w:rPr>
          <w:rFonts w:ascii="Arial" w:hAnsi="Arial" w:cs="Arial"/>
          <w:color w:val="000000" w:themeColor="text1"/>
          <w:sz w:val="24"/>
          <w:szCs w:val="24"/>
          <w:lang w:val="en-ZA"/>
        </w:rPr>
        <w:t>the applicant</w:t>
      </w:r>
      <w:r w:rsidR="00D063FC" w:rsidRPr="00304EC1">
        <w:rPr>
          <w:rFonts w:ascii="Arial" w:hAnsi="Arial" w:cs="Arial"/>
          <w:color w:val="000000" w:themeColor="text1"/>
          <w:sz w:val="24"/>
          <w:szCs w:val="24"/>
          <w:lang w:val="en-ZA"/>
        </w:rPr>
        <w:t>.</w:t>
      </w:r>
      <w:r w:rsidR="00576EBC" w:rsidRPr="00304EC1">
        <w:rPr>
          <w:rFonts w:ascii="Arial" w:hAnsi="Arial" w:cs="Arial"/>
          <w:color w:val="000000" w:themeColor="text1"/>
          <w:sz w:val="24"/>
          <w:szCs w:val="24"/>
          <w:lang w:val="en-ZA"/>
        </w:rPr>
        <w:t xml:space="preserve"> The applicant deliberately failed to join her because </w:t>
      </w:r>
      <w:r w:rsidR="00B164CA" w:rsidRPr="00304EC1">
        <w:rPr>
          <w:rFonts w:ascii="Arial" w:hAnsi="Arial" w:cs="Arial"/>
          <w:color w:val="000000" w:themeColor="text1"/>
          <w:sz w:val="24"/>
          <w:szCs w:val="24"/>
          <w:lang w:val="en-ZA"/>
        </w:rPr>
        <w:t>she</w:t>
      </w:r>
      <w:r w:rsidR="00576EBC" w:rsidRPr="00304EC1">
        <w:rPr>
          <w:rFonts w:ascii="Arial" w:hAnsi="Arial" w:cs="Arial"/>
          <w:color w:val="000000" w:themeColor="text1"/>
          <w:sz w:val="24"/>
          <w:szCs w:val="24"/>
          <w:lang w:val="en-ZA"/>
        </w:rPr>
        <w:t xml:space="preserve"> feared that she will stop </w:t>
      </w:r>
      <w:r w:rsidR="00B164CA" w:rsidRPr="00304EC1">
        <w:rPr>
          <w:rFonts w:ascii="Arial" w:hAnsi="Arial" w:cs="Arial"/>
          <w:color w:val="000000" w:themeColor="text1"/>
          <w:sz w:val="24"/>
          <w:szCs w:val="24"/>
          <w:lang w:val="en-ZA"/>
        </w:rPr>
        <w:t>making</w:t>
      </w:r>
      <w:r w:rsidR="00576EBC" w:rsidRPr="00304EC1">
        <w:rPr>
          <w:rFonts w:ascii="Arial" w:hAnsi="Arial" w:cs="Arial"/>
          <w:color w:val="000000" w:themeColor="text1"/>
          <w:sz w:val="24"/>
          <w:szCs w:val="24"/>
          <w:lang w:val="en-ZA"/>
        </w:rPr>
        <w:t xml:space="preserve"> payments inclusive of insurance payments.</w:t>
      </w:r>
    </w:p>
    <w:p w:rsidR="00C65B89" w:rsidRPr="00304EC1" w:rsidRDefault="00D648B7" w:rsidP="00E122AB">
      <w:pPr>
        <w:jc w:val="both"/>
        <w:rPr>
          <w:rFonts w:ascii="Arial" w:hAnsi="Arial" w:cs="Arial"/>
          <w:color w:val="000000" w:themeColor="text1"/>
          <w:sz w:val="24"/>
          <w:szCs w:val="24"/>
          <w:lang w:val="en-ZA"/>
        </w:rPr>
      </w:pPr>
      <w:r w:rsidRPr="00304EC1">
        <w:rPr>
          <w:rFonts w:ascii="Arial" w:hAnsi="Arial" w:cs="Arial"/>
          <w:color w:val="000000" w:themeColor="text1"/>
          <w:sz w:val="24"/>
          <w:szCs w:val="24"/>
          <w:lang w:val="en-ZA"/>
        </w:rPr>
        <w:t>[1</w:t>
      </w:r>
      <w:r w:rsidR="00DD7962">
        <w:rPr>
          <w:rFonts w:ascii="Arial" w:hAnsi="Arial" w:cs="Arial"/>
          <w:color w:val="000000" w:themeColor="text1"/>
          <w:sz w:val="24"/>
          <w:szCs w:val="24"/>
          <w:lang w:val="en-ZA"/>
        </w:rPr>
        <w:t>7</w:t>
      </w:r>
      <w:r w:rsidR="00795D07" w:rsidRPr="00304EC1">
        <w:rPr>
          <w:rFonts w:ascii="Arial" w:hAnsi="Arial" w:cs="Arial"/>
          <w:color w:val="000000" w:themeColor="text1"/>
          <w:sz w:val="24"/>
          <w:szCs w:val="24"/>
          <w:lang w:val="en-ZA"/>
        </w:rPr>
        <w:t xml:space="preserve">] </w:t>
      </w:r>
      <w:r w:rsidR="00576EBC" w:rsidRPr="00304EC1">
        <w:rPr>
          <w:rFonts w:ascii="Arial" w:hAnsi="Arial" w:cs="Arial"/>
          <w:color w:val="000000" w:themeColor="text1"/>
          <w:sz w:val="24"/>
          <w:szCs w:val="24"/>
          <w:lang w:val="en-ZA"/>
        </w:rPr>
        <w:t>On the 19</w:t>
      </w:r>
      <w:r w:rsidR="00576EBC" w:rsidRPr="00304EC1">
        <w:rPr>
          <w:rFonts w:ascii="Arial" w:hAnsi="Arial" w:cs="Arial"/>
          <w:color w:val="000000" w:themeColor="text1"/>
          <w:sz w:val="24"/>
          <w:szCs w:val="24"/>
          <w:vertAlign w:val="superscript"/>
          <w:lang w:val="en-ZA"/>
        </w:rPr>
        <w:t>th</w:t>
      </w:r>
      <w:r w:rsidR="00576EBC" w:rsidRPr="00304EC1">
        <w:rPr>
          <w:rFonts w:ascii="Arial" w:hAnsi="Arial" w:cs="Arial"/>
          <w:color w:val="000000" w:themeColor="text1"/>
          <w:sz w:val="24"/>
          <w:szCs w:val="24"/>
          <w:lang w:val="en-ZA"/>
        </w:rPr>
        <w:t xml:space="preserve"> </w:t>
      </w:r>
      <w:r w:rsidR="00B164CA" w:rsidRPr="00304EC1">
        <w:rPr>
          <w:rFonts w:ascii="Arial" w:hAnsi="Arial" w:cs="Arial"/>
          <w:color w:val="000000" w:themeColor="text1"/>
          <w:sz w:val="24"/>
          <w:szCs w:val="24"/>
          <w:lang w:val="en-ZA"/>
        </w:rPr>
        <w:t xml:space="preserve">of </w:t>
      </w:r>
      <w:r w:rsidR="00576EBC" w:rsidRPr="00304EC1">
        <w:rPr>
          <w:rFonts w:ascii="Arial" w:hAnsi="Arial" w:cs="Arial"/>
          <w:color w:val="000000" w:themeColor="text1"/>
          <w:sz w:val="24"/>
          <w:szCs w:val="24"/>
          <w:lang w:val="en-ZA"/>
        </w:rPr>
        <w:t>September 2022</w:t>
      </w:r>
      <w:r w:rsidR="00B164CA" w:rsidRPr="00304EC1">
        <w:rPr>
          <w:rFonts w:ascii="Arial" w:hAnsi="Arial" w:cs="Arial"/>
          <w:color w:val="000000" w:themeColor="text1"/>
          <w:sz w:val="24"/>
          <w:szCs w:val="24"/>
          <w:lang w:val="en-ZA"/>
        </w:rPr>
        <w:t>,</w:t>
      </w:r>
      <w:r w:rsidR="00576EBC" w:rsidRPr="00304EC1">
        <w:rPr>
          <w:rFonts w:ascii="Arial" w:hAnsi="Arial" w:cs="Arial"/>
          <w:color w:val="000000" w:themeColor="text1"/>
          <w:sz w:val="24"/>
          <w:szCs w:val="24"/>
          <w:lang w:val="en-ZA"/>
        </w:rPr>
        <w:t xml:space="preserve"> the fourth respondent advised the applicant to file an affidavit</w:t>
      </w:r>
      <w:r w:rsidR="00C80EC8" w:rsidRPr="00304EC1">
        <w:rPr>
          <w:rFonts w:ascii="Arial" w:hAnsi="Arial" w:cs="Arial"/>
          <w:color w:val="000000" w:themeColor="text1"/>
          <w:sz w:val="24"/>
          <w:szCs w:val="24"/>
          <w:lang w:val="en-ZA"/>
        </w:rPr>
        <w:t xml:space="preserve"> and</w:t>
      </w:r>
      <w:r w:rsidR="00576EBC" w:rsidRPr="00304EC1">
        <w:rPr>
          <w:rFonts w:ascii="Arial" w:hAnsi="Arial" w:cs="Arial"/>
          <w:color w:val="000000" w:themeColor="text1"/>
          <w:sz w:val="24"/>
          <w:szCs w:val="24"/>
          <w:lang w:val="en-ZA"/>
        </w:rPr>
        <w:t xml:space="preserve"> this was the remedy available to him in law and the applicant</w:t>
      </w:r>
      <w:r w:rsidR="00922CD6" w:rsidRPr="00304EC1">
        <w:rPr>
          <w:rFonts w:ascii="Arial" w:hAnsi="Arial" w:cs="Arial"/>
          <w:color w:val="000000" w:themeColor="text1"/>
          <w:sz w:val="24"/>
          <w:szCs w:val="24"/>
          <w:lang w:val="en-ZA"/>
        </w:rPr>
        <w:t xml:space="preserve"> ele</w:t>
      </w:r>
      <w:r w:rsidR="00D063FC" w:rsidRPr="00304EC1">
        <w:rPr>
          <w:rFonts w:ascii="Arial" w:hAnsi="Arial" w:cs="Arial"/>
          <w:color w:val="000000" w:themeColor="text1"/>
          <w:sz w:val="24"/>
          <w:szCs w:val="24"/>
          <w:lang w:val="en-ZA"/>
        </w:rPr>
        <w:t>cted not to comply</w:t>
      </w:r>
      <w:r w:rsidR="00C80EC8" w:rsidRPr="00304EC1">
        <w:rPr>
          <w:rFonts w:ascii="Arial" w:hAnsi="Arial" w:cs="Arial"/>
          <w:color w:val="000000" w:themeColor="text1"/>
          <w:sz w:val="24"/>
          <w:szCs w:val="24"/>
          <w:lang w:val="en-ZA"/>
        </w:rPr>
        <w:t>. Consequen</w:t>
      </w:r>
      <w:r w:rsidR="00D063FC" w:rsidRPr="00304EC1">
        <w:rPr>
          <w:rFonts w:ascii="Arial" w:hAnsi="Arial" w:cs="Arial"/>
          <w:color w:val="000000" w:themeColor="text1"/>
          <w:sz w:val="24"/>
          <w:szCs w:val="24"/>
          <w:lang w:val="en-ZA"/>
        </w:rPr>
        <w:t xml:space="preserve">tly, interpleader </w:t>
      </w:r>
      <w:r w:rsidR="00AA1FC8" w:rsidRPr="00304EC1">
        <w:rPr>
          <w:rFonts w:ascii="Arial" w:hAnsi="Arial" w:cs="Arial"/>
          <w:color w:val="000000" w:themeColor="text1"/>
          <w:sz w:val="24"/>
          <w:szCs w:val="24"/>
          <w:lang w:val="en-ZA"/>
        </w:rPr>
        <w:t>proceedings</w:t>
      </w:r>
      <w:r w:rsidR="00D063FC" w:rsidRPr="00304EC1">
        <w:rPr>
          <w:rFonts w:ascii="Arial" w:hAnsi="Arial" w:cs="Arial"/>
          <w:color w:val="000000" w:themeColor="text1"/>
          <w:sz w:val="24"/>
          <w:szCs w:val="24"/>
          <w:lang w:val="en-ZA"/>
        </w:rPr>
        <w:t xml:space="preserve"> could</w:t>
      </w:r>
      <w:r w:rsidR="00C80EC8" w:rsidRPr="00304EC1">
        <w:rPr>
          <w:rFonts w:ascii="Arial" w:hAnsi="Arial" w:cs="Arial"/>
          <w:color w:val="000000" w:themeColor="text1"/>
          <w:sz w:val="24"/>
          <w:szCs w:val="24"/>
          <w:lang w:val="en-ZA"/>
        </w:rPr>
        <w:t xml:space="preserve"> not</w:t>
      </w:r>
      <w:r w:rsidR="00D063FC" w:rsidRPr="00304EC1">
        <w:rPr>
          <w:rFonts w:ascii="Arial" w:hAnsi="Arial" w:cs="Arial"/>
          <w:color w:val="000000" w:themeColor="text1"/>
          <w:sz w:val="24"/>
          <w:szCs w:val="24"/>
          <w:lang w:val="en-ZA"/>
        </w:rPr>
        <w:t xml:space="preserve"> be</w:t>
      </w:r>
      <w:r w:rsidR="00C80EC8" w:rsidRPr="00304EC1">
        <w:rPr>
          <w:rFonts w:ascii="Arial" w:hAnsi="Arial" w:cs="Arial"/>
          <w:color w:val="000000" w:themeColor="text1"/>
          <w:sz w:val="24"/>
          <w:szCs w:val="24"/>
          <w:lang w:val="en-ZA"/>
        </w:rPr>
        <w:t xml:space="preserve"> initiated.</w:t>
      </w:r>
      <w:r w:rsidR="00576EBC" w:rsidRPr="00304EC1">
        <w:rPr>
          <w:rFonts w:ascii="Arial" w:hAnsi="Arial" w:cs="Arial"/>
          <w:color w:val="000000" w:themeColor="text1"/>
          <w:sz w:val="24"/>
          <w:szCs w:val="24"/>
          <w:lang w:val="en-ZA"/>
        </w:rPr>
        <w:t xml:space="preserve"> </w:t>
      </w:r>
    </w:p>
    <w:p w:rsidR="002743D3" w:rsidRPr="00304EC1" w:rsidRDefault="00D648B7" w:rsidP="00E122AB">
      <w:pPr>
        <w:jc w:val="both"/>
        <w:rPr>
          <w:rFonts w:ascii="Arial" w:hAnsi="Arial" w:cs="Arial"/>
          <w:color w:val="000000" w:themeColor="text1"/>
          <w:sz w:val="24"/>
          <w:szCs w:val="24"/>
          <w:lang w:val="en-ZA"/>
        </w:rPr>
      </w:pPr>
      <w:r w:rsidRPr="00304EC1">
        <w:rPr>
          <w:rFonts w:ascii="Arial" w:hAnsi="Arial" w:cs="Arial"/>
          <w:color w:val="000000" w:themeColor="text1"/>
          <w:sz w:val="24"/>
          <w:szCs w:val="24"/>
          <w:lang w:val="en-ZA"/>
        </w:rPr>
        <w:t>[1</w:t>
      </w:r>
      <w:r w:rsidR="00DD7962">
        <w:rPr>
          <w:rFonts w:ascii="Arial" w:hAnsi="Arial" w:cs="Arial"/>
          <w:color w:val="000000" w:themeColor="text1"/>
          <w:sz w:val="24"/>
          <w:szCs w:val="24"/>
          <w:lang w:val="en-ZA"/>
        </w:rPr>
        <w:t>8</w:t>
      </w:r>
      <w:r w:rsidR="00795D07" w:rsidRPr="00304EC1">
        <w:rPr>
          <w:rFonts w:ascii="Arial" w:hAnsi="Arial" w:cs="Arial"/>
          <w:color w:val="000000" w:themeColor="text1"/>
          <w:sz w:val="24"/>
          <w:szCs w:val="24"/>
          <w:lang w:val="en-ZA"/>
        </w:rPr>
        <w:t xml:space="preserve">] </w:t>
      </w:r>
      <w:r w:rsidR="00922CD6" w:rsidRPr="00304EC1">
        <w:rPr>
          <w:rFonts w:ascii="Arial" w:hAnsi="Arial" w:cs="Arial"/>
          <w:color w:val="000000" w:themeColor="text1"/>
          <w:sz w:val="24"/>
          <w:szCs w:val="24"/>
          <w:lang w:val="en-ZA"/>
        </w:rPr>
        <w:t xml:space="preserve">The applicant was made aware </w:t>
      </w:r>
      <w:r w:rsidR="001643DE" w:rsidRPr="00304EC1">
        <w:rPr>
          <w:rFonts w:ascii="Arial" w:hAnsi="Arial" w:cs="Arial"/>
          <w:color w:val="000000" w:themeColor="text1"/>
          <w:sz w:val="24"/>
          <w:szCs w:val="24"/>
          <w:lang w:val="en-ZA"/>
        </w:rPr>
        <w:t>that</w:t>
      </w:r>
      <w:r w:rsidR="00B164CA" w:rsidRPr="00304EC1">
        <w:rPr>
          <w:rFonts w:ascii="Arial" w:hAnsi="Arial" w:cs="Arial"/>
          <w:color w:val="000000" w:themeColor="text1"/>
          <w:sz w:val="24"/>
          <w:szCs w:val="24"/>
          <w:lang w:val="en-ZA"/>
        </w:rPr>
        <w:t xml:space="preserve"> </w:t>
      </w:r>
      <w:r w:rsidR="00C65B89" w:rsidRPr="00304EC1">
        <w:rPr>
          <w:rFonts w:ascii="Arial" w:hAnsi="Arial" w:cs="Arial"/>
          <w:color w:val="000000" w:themeColor="text1"/>
          <w:sz w:val="24"/>
          <w:szCs w:val="24"/>
          <w:lang w:val="en-ZA"/>
        </w:rPr>
        <w:t xml:space="preserve">the attachment and sale </w:t>
      </w:r>
      <w:r w:rsidR="00B164CA" w:rsidRPr="00304EC1">
        <w:rPr>
          <w:rFonts w:ascii="Arial" w:hAnsi="Arial" w:cs="Arial"/>
          <w:color w:val="000000" w:themeColor="text1"/>
          <w:sz w:val="24"/>
          <w:szCs w:val="24"/>
          <w:lang w:val="en-ZA"/>
        </w:rPr>
        <w:t>were</w:t>
      </w:r>
      <w:r w:rsidR="00C65B89" w:rsidRPr="00304EC1">
        <w:rPr>
          <w:rFonts w:ascii="Arial" w:hAnsi="Arial" w:cs="Arial"/>
          <w:color w:val="000000" w:themeColor="text1"/>
          <w:sz w:val="24"/>
          <w:szCs w:val="24"/>
          <w:lang w:val="en-ZA"/>
        </w:rPr>
        <w:t xml:space="preserve"> under a court order and warrant of execution. The applicant was advised that se</w:t>
      </w:r>
      <w:r w:rsidR="001643DE" w:rsidRPr="00304EC1">
        <w:rPr>
          <w:rFonts w:ascii="Arial" w:hAnsi="Arial" w:cs="Arial"/>
          <w:color w:val="000000" w:themeColor="text1"/>
          <w:sz w:val="24"/>
          <w:szCs w:val="24"/>
          <w:lang w:val="en-ZA"/>
        </w:rPr>
        <w:t xml:space="preserve">ction 2 (1) (b) of </w:t>
      </w:r>
      <w:r w:rsidR="00C65B89" w:rsidRPr="00304EC1">
        <w:rPr>
          <w:rFonts w:ascii="Arial" w:hAnsi="Arial" w:cs="Arial"/>
          <w:color w:val="000000" w:themeColor="text1"/>
          <w:sz w:val="24"/>
          <w:szCs w:val="24"/>
          <w:lang w:val="en-ZA"/>
        </w:rPr>
        <w:t>Act</w:t>
      </w:r>
      <w:r w:rsidR="001643DE" w:rsidRPr="00304EC1">
        <w:rPr>
          <w:rFonts w:ascii="Arial" w:hAnsi="Arial" w:cs="Arial"/>
          <w:color w:val="000000" w:themeColor="text1"/>
          <w:sz w:val="24"/>
          <w:szCs w:val="24"/>
          <w:lang w:val="en-ZA"/>
        </w:rPr>
        <w:t xml:space="preserve"> 57 of 1993</w:t>
      </w:r>
      <w:r w:rsidR="00C65B89" w:rsidRPr="00304EC1">
        <w:rPr>
          <w:rFonts w:ascii="Arial" w:hAnsi="Arial" w:cs="Arial"/>
          <w:color w:val="000000" w:themeColor="text1"/>
          <w:sz w:val="24"/>
          <w:szCs w:val="24"/>
          <w:lang w:val="en-ZA"/>
        </w:rPr>
        <w:t xml:space="preserve"> is not applicable, however, he is still relying on </w:t>
      </w:r>
      <w:r w:rsidR="00074F00" w:rsidRPr="00304EC1">
        <w:rPr>
          <w:rFonts w:ascii="Arial" w:hAnsi="Arial" w:cs="Arial"/>
          <w:color w:val="000000" w:themeColor="text1"/>
          <w:sz w:val="24"/>
          <w:szCs w:val="24"/>
          <w:lang w:val="en-ZA"/>
        </w:rPr>
        <w:t xml:space="preserve">the </w:t>
      </w:r>
      <w:r w:rsidR="00C65B89" w:rsidRPr="00304EC1">
        <w:rPr>
          <w:rFonts w:ascii="Arial" w:hAnsi="Arial" w:cs="Arial"/>
          <w:color w:val="000000" w:themeColor="text1"/>
          <w:sz w:val="24"/>
          <w:szCs w:val="24"/>
          <w:lang w:val="en-ZA"/>
        </w:rPr>
        <w:t>same.</w:t>
      </w:r>
    </w:p>
    <w:p w:rsidR="001301D2" w:rsidRPr="00304EC1" w:rsidRDefault="00D648B7" w:rsidP="00E122AB">
      <w:pPr>
        <w:jc w:val="both"/>
        <w:rPr>
          <w:rFonts w:ascii="Arial" w:hAnsi="Arial" w:cs="Arial"/>
          <w:color w:val="000000" w:themeColor="text1"/>
          <w:sz w:val="24"/>
          <w:szCs w:val="24"/>
          <w:lang w:val="en-ZA"/>
        </w:rPr>
      </w:pPr>
      <w:r w:rsidRPr="00304EC1">
        <w:rPr>
          <w:rFonts w:ascii="Arial" w:hAnsi="Arial" w:cs="Arial"/>
          <w:color w:val="000000" w:themeColor="text1"/>
          <w:sz w:val="24"/>
          <w:szCs w:val="24"/>
          <w:lang w:val="en-ZA"/>
        </w:rPr>
        <w:t>[1</w:t>
      </w:r>
      <w:r w:rsidR="00DD7962">
        <w:rPr>
          <w:rFonts w:ascii="Arial" w:hAnsi="Arial" w:cs="Arial"/>
          <w:color w:val="000000" w:themeColor="text1"/>
          <w:sz w:val="24"/>
          <w:szCs w:val="24"/>
          <w:lang w:val="en-ZA"/>
        </w:rPr>
        <w:t>9</w:t>
      </w:r>
      <w:r w:rsidR="00795D07" w:rsidRPr="00304EC1">
        <w:rPr>
          <w:rFonts w:ascii="Arial" w:hAnsi="Arial" w:cs="Arial"/>
          <w:color w:val="000000" w:themeColor="text1"/>
          <w:sz w:val="24"/>
          <w:szCs w:val="24"/>
          <w:lang w:val="en-ZA"/>
        </w:rPr>
        <w:t xml:space="preserve">] </w:t>
      </w:r>
      <w:r w:rsidR="002743D3" w:rsidRPr="00304EC1">
        <w:rPr>
          <w:rFonts w:ascii="Arial" w:hAnsi="Arial" w:cs="Arial"/>
          <w:color w:val="000000" w:themeColor="text1"/>
          <w:sz w:val="24"/>
          <w:szCs w:val="24"/>
          <w:lang w:val="en-ZA"/>
        </w:rPr>
        <w:t>A settlement offer was made to the applicant</w:t>
      </w:r>
      <w:r w:rsidR="00C1738C" w:rsidRPr="00304EC1">
        <w:rPr>
          <w:rFonts w:ascii="Arial" w:hAnsi="Arial" w:cs="Arial"/>
          <w:color w:val="000000" w:themeColor="text1"/>
          <w:sz w:val="24"/>
          <w:szCs w:val="24"/>
          <w:lang w:val="en-ZA"/>
        </w:rPr>
        <w:t>, who</w:t>
      </w:r>
      <w:r w:rsidR="002743D3" w:rsidRPr="00304EC1">
        <w:rPr>
          <w:rFonts w:ascii="Arial" w:hAnsi="Arial" w:cs="Arial"/>
          <w:color w:val="000000" w:themeColor="text1"/>
          <w:sz w:val="24"/>
          <w:szCs w:val="24"/>
          <w:lang w:val="en-ZA"/>
        </w:rPr>
        <w:t xml:space="preserve"> refused to accept </w:t>
      </w:r>
      <w:r w:rsidR="00074F00" w:rsidRPr="00304EC1">
        <w:rPr>
          <w:rFonts w:ascii="Arial" w:hAnsi="Arial" w:cs="Arial"/>
          <w:color w:val="000000" w:themeColor="text1"/>
          <w:sz w:val="24"/>
          <w:szCs w:val="24"/>
          <w:lang w:val="en-ZA"/>
        </w:rPr>
        <w:t xml:space="preserve">the </w:t>
      </w:r>
      <w:r w:rsidR="002743D3" w:rsidRPr="00304EC1">
        <w:rPr>
          <w:rFonts w:ascii="Arial" w:hAnsi="Arial" w:cs="Arial"/>
          <w:color w:val="000000" w:themeColor="text1"/>
          <w:sz w:val="24"/>
          <w:szCs w:val="24"/>
          <w:lang w:val="en-ZA"/>
        </w:rPr>
        <w:t xml:space="preserve">same. The vehicle was </w:t>
      </w:r>
      <w:r w:rsidR="002153BD" w:rsidRPr="00304EC1">
        <w:rPr>
          <w:rFonts w:ascii="Arial" w:hAnsi="Arial" w:cs="Arial"/>
          <w:color w:val="000000" w:themeColor="text1"/>
          <w:sz w:val="24"/>
          <w:szCs w:val="24"/>
          <w:lang w:val="en-ZA"/>
        </w:rPr>
        <w:t xml:space="preserve">sold at a less price due to the </w:t>
      </w:r>
      <w:r w:rsidR="002743D3" w:rsidRPr="00304EC1">
        <w:rPr>
          <w:rFonts w:ascii="Arial" w:hAnsi="Arial" w:cs="Arial"/>
          <w:color w:val="000000" w:themeColor="text1"/>
          <w:sz w:val="24"/>
          <w:szCs w:val="24"/>
          <w:lang w:val="en-ZA"/>
        </w:rPr>
        <w:t xml:space="preserve">applicant’s refusal to accept the offer. </w:t>
      </w:r>
      <w:r w:rsidR="00C65B89" w:rsidRPr="00304EC1">
        <w:rPr>
          <w:rFonts w:ascii="Arial" w:hAnsi="Arial" w:cs="Arial"/>
          <w:color w:val="000000" w:themeColor="text1"/>
          <w:sz w:val="24"/>
          <w:szCs w:val="24"/>
          <w:lang w:val="en-ZA"/>
        </w:rPr>
        <w:t xml:space="preserve"> </w:t>
      </w:r>
    </w:p>
    <w:p w:rsidR="006C518D" w:rsidRPr="00304EC1" w:rsidRDefault="00576EBC" w:rsidP="00E122AB">
      <w:pPr>
        <w:jc w:val="both"/>
        <w:rPr>
          <w:rFonts w:ascii="Arial" w:hAnsi="Arial" w:cs="Arial"/>
          <w:color w:val="000000" w:themeColor="text1"/>
          <w:sz w:val="24"/>
          <w:szCs w:val="24"/>
          <w:lang w:val="en-ZA"/>
        </w:rPr>
      </w:pPr>
      <w:r w:rsidRPr="00304EC1">
        <w:rPr>
          <w:rFonts w:ascii="Arial" w:hAnsi="Arial" w:cs="Arial"/>
          <w:color w:val="000000" w:themeColor="text1"/>
          <w:sz w:val="24"/>
          <w:szCs w:val="24"/>
          <w:lang w:val="en-ZA"/>
        </w:rPr>
        <w:t xml:space="preserve"> </w:t>
      </w:r>
      <w:r w:rsidR="00E74BA3" w:rsidRPr="00304EC1">
        <w:rPr>
          <w:rFonts w:ascii="Arial" w:hAnsi="Arial" w:cs="Arial"/>
          <w:color w:val="000000" w:themeColor="text1"/>
          <w:sz w:val="24"/>
          <w:szCs w:val="24"/>
          <w:lang w:val="en-ZA"/>
        </w:rPr>
        <w:t xml:space="preserve">  </w:t>
      </w:r>
    </w:p>
    <w:p w:rsidR="00EE2283" w:rsidRPr="00304EC1" w:rsidRDefault="00AC1334" w:rsidP="00E122AB">
      <w:pPr>
        <w:jc w:val="both"/>
        <w:rPr>
          <w:rFonts w:ascii="Arial" w:hAnsi="Arial" w:cs="Arial"/>
          <w:b/>
          <w:color w:val="000000" w:themeColor="text1"/>
          <w:sz w:val="24"/>
          <w:szCs w:val="24"/>
          <w:lang w:val="en-ZA"/>
        </w:rPr>
      </w:pPr>
      <w:r w:rsidRPr="00304EC1">
        <w:rPr>
          <w:rFonts w:ascii="Arial" w:hAnsi="Arial" w:cs="Arial"/>
          <w:b/>
          <w:color w:val="000000" w:themeColor="text1"/>
          <w:sz w:val="24"/>
          <w:szCs w:val="24"/>
          <w:lang w:val="en-ZA"/>
        </w:rPr>
        <w:t xml:space="preserve"> THE APPLICANT</w:t>
      </w:r>
      <w:r w:rsidR="00505E01" w:rsidRPr="00304EC1">
        <w:rPr>
          <w:rFonts w:ascii="Arial" w:hAnsi="Arial" w:cs="Arial"/>
          <w:b/>
          <w:color w:val="000000" w:themeColor="text1"/>
          <w:sz w:val="24"/>
          <w:szCs w:val="24"/>
          <w:lang w:val="en-ZA"/>
        </w:rPr>
        <w:t>’S SUBMISSION.</w:t>
      </w:r>
    </w:p>
    <w:p w:rsidR="00AC1334" w:rsidRPr="00304EC1" w:rsidRDefault="00194C22" w:rsidP="00E122AB">
      <w:pPr>
        <w:jc w:val="both"/>
        <w:rPr>
          <w:rFonts w:ascii="Arial" w:hAnsi="Arial" w:cs="Arial"/>
          <w:color w:val="000000" w:themeColor="text1"/>
          <w:sz w:val="24"/>
          <w:szCs w:val="24"/>
          <w:lang w:val="en-ZA"/>
        </w:rPr>
      </w:pPr>
      <w:r w:rsidRPr="00304EC1">
        <w:rPr>
          <w:rFonts w:ascii="Arial" w:hAnsi="Arial" w:cs="Arial"/>
          <w:color w:val="000000" w:themeColor="text1"/>
          <w:sz w:val="24"/>
          <w:szCs w:val="24"/>
          <w:lang w:val="en-ZA"/>
        </w:rPr>
        <w:t>[</w:t>
      </w:r>
      <w:r w:rsidR="00DD7962">
        <w:rPr>
          <w:rFonts w:ascii="Arial" w:hAnsi="Arial" w:cs="Arial"/>
          <w:color w:val="000000" w:themeColor="text1"/>
          <w:sz w:val="24"/>
          <w:szCs w:val="24"/>
          <w:lang w:val="en-ZA"/>
        </w:rPr>
        <w:t>20</w:t>
      </w:r>
      <w:r w:rsidRPr="00304EC1">
        <w:rPr>
          <w:rFonts w:ascii="Arial" w:hAnsi="Arial" w:cs="Arial"/>
          <w:color w:val="000000" w:themeColor="text1"/>
          <w:sz w:val="24"/>
          <w:szCs w:val="24"/>
          <w:lang w:val="en-ZA"/>
        </w:rPr>
        <w:t xml:space="preserve">] </w:t>
      </w:r>
      <w:r w:rsidR="00AC1334" w:rsidRPr="00304EC1">
        <w:rPr>
          <w:rFonts w:ascii="Arial" w:hAnsi="Arial" w:cs="Arial"/>
          <w:color w:val="000000" w:themeColor="text1"/>
          <w:sz w:val="24"/>
          <w:szCs w:val="24"/>
          <w:lang w:val="en-ZA"/>
        </w:rPr>
        <w:t>Counsel for the applicant submitted as follows:</w:t>
      </w:r>
    </w:p>
    <w:p w:rsidR="00194C22" w:rsidRPr="00304EC1" w:rsidRDefault="003B62E4" w:rsidP="00E11EF4">
      <w:pPr>
        <w:ind w:left="140"/>
        <w:jc w:val="both"/>
        <w:rPr>
          <w:rFonts w:ascii="Arial" w:hAnsi="Arial" w:cs="Arial"/>
          <w:color w:val="000000" w:themeColor="text1"/>
          <w:sz w:val="24"/>
          <w:szCs w:val="24"/>
          <w:lang w:val="en-ZA"/>
        </w:rPr>
      </w:pPr>
      <w:r>
        <w:rPr>
          <w:rFonts w:ascii="Arial" w:hAnsi="Arial" w:cs="Arial"/>
          <w:color w:val="000000" w:themeColor="text1"/>
          <w:sz w:val="24"/>
          <w:szCs w:val="24"/>
          <w:lang w:val="en-ZA"/>
        </w:rPr>
        <w:t>20.1.</w:t>
      </w:r>
      <w:r w:rsidR="00194C22" w:rsidRPr="00304EC1">
        <w:rPr>
          <w:rFonts w:ascii="Arial" w:hAnsi="Arial" w:cs="Arial"/>
          <w:color w:val="000000" w:themeColor="text1"/>
          <w:sz w:val="24"/>
          <w:szCs w:val="24"/>
          <w:lang w:val="en-ZA"/>
        </w:rPr>
        <w:t xml:space="preserve"> </w:t>
      </w:r>
      <w:r w:rsidR="00D063FC" w:rsidRPr="00304EC1">
        <w:rPr>
          <w:rFonts w:ascii="Arial" w:hAnsi="Arial" w:cs="Arial"/>
          <w:color w:val="000000" w:themeColor="text1"/>
          <w:sz w:val="24"/>
          <w:szCs w:val="24"/>
          <w:lang w:val="en-ZA"/>
        </w:rPr>
        <w:t>Firstly, t</w:t>
      </w:r>
      <w:r w:rsidR="00AC1334" w:rsidRPr="00304EC1">
        <w:rPr>
          <w:rFonts w:ascii="Arial" w:hAnsi="Arial" w:cs="Arial"/>
          <w:color w:val="000000" w:themeColor="text1"/>
          <w:sz w:val="24"/>
          <w:szCs w:val="24"/>
          <w:lang w:val="en-ZA"/>
        </w:rPr>
        <w:t>hat</w:t>
      </w:r>
      <w:r w:rsidR="00D063FC" w:rsidRPr="00304EC1">
        <w:rPr>
          <w:rFonts w:ascii="Arial" w:hAnsi="Arial" w:cs="Arial"/>
          <w:color w:val="000000" w:themeColor="text1"/>
          <w:sz w:val="24"/>
          <w:szCs w:val="24"/>
          <w:lang w:val="en-ZA"/>
        </w:rPr>
        <w:t xml:space="preserve"> the respondents failed to deal with the issue of jurisdiction in their respective answering affidavits. I</w:t>
      </w:r>
      <w:r w:rsidR="00AC1334" w:rsidRPr="00304EC1">
        <w:rPr>
          <w:rFonts w:ascii="Arial" w:hAnsi="Arial" w:cs="Arial"/>
          <w:color w:val="000000" w:themeColor="text1"/>
          <w:sz w:val="24"/>
          <w:szCs w:val="24"/>
          <w:lang w:val="en-ZA"/>
        </w:rPr>
        <w:t xml:space="preserve">t is trite </w:t>
      </w:r>
      <w:r w:rsidR="000C6730" w:rsidRPr="00304EC1">
        <w:rPr>
          <w:rFonts w:ascii="Arial" w:hAnsi="Arial" w:cs="Arial"/>
          <w:color w:val="000000" w:themeColor="text1"/>
          <w:sz w:val="24"/>
          <w:szCs w:val="24"/>
          <w:lang w:val="en-ZA"/>
        </w:rPr>
        <w:t xml:space="preserve">law </w:t>
      </w:r>
      <w:r w:rsidR="00AC1334" w:rsidRPr="00304EC1">
        <w:rPr>
          <w:rFonts w:ascii="Arial" w:hAnsi="Arial" w:cs="Arial"/>
          <w:color w:val="000000" w:themeColor="text1"/>
          <w:sz w:val="24"/>
          <w:szCs w:val="24"/>
          <w:lang w:val="en-ZA"/>
        </w:rPr>
        <w:t xml:space="preserve">that a party that fails to raise jurisdiction </w:t>
      </w:r>
      <w:r w:rsidR="00074F00" w:rsidRPr="00304EC1">
        <w:rPr>
          <w:rFonts w:ascii="Arial" w:hAnsi="Arial" w:cs="Arial"/>
          <w:color w:val="000000" w:themeColor="text1"/>
          <w:sz w:val="24"/>
          <w:szCs w:val="24"/>
          <w:lang w:val="en-ZA"/>
        </w:rPr>
        <w:t>before</w:t>
      </w:r>
      <w:r w:rsidR="00AC1334" w:rsidRPr="00304EC1">
        <w:rPr>
          <w:rFonts w:ascii="Arial" w:hAnsi="Arial" w:cs="Arial"/>
          <w:color w:val="000000" w:themeColor="text1"/>
          <w:sz w:val="24"/>
          <w:szCs w:val="24"/>
          <w:lang w:val="en-ZA"/>
        </w:rPr>
        <w:t xml:space="preserve"> </w:t>
      </w:r>
      <w:r w:rsidR="00AC1334" w:rsidRPr="004860DD">
        <w:rPr>
          <w:rFonts w:ascii="Arial" w:hAnsi="Arial" w:cs="Arial"/>
          <w:color w:val="000000" w:themeColor="text1"/>
          <w:sz w:val="24"/>
          <w:szCs w:val="24"/>
          <w:lang w:val="en-ZA"/>
        </w:rPr>
        <w:t>litis contenstatio</w:t>
      </w:r>
      <w:r w:rsidR="00AC1334" w:rsidRPr="00304EC1">
        <w:rPr>
          <w:rFonts w:ascii="Arial" w:hAnsi="Arial" w:cs="Arial"/>
          <w:color w:val="000000" w:themeColor="text1"/>
          <w:sz w:val="24"/>
          <w:szCs w:val="24"/>
          <w:lang w:val="en-ZA"/>
        </w:rPr>
        <w:t xml:space="preserve"> is de</w:t>
      </w:r>
      <w:r w:rsidR="002153BD" w:rsidRPr="00304EC1">
        <w:rPr>
          <w:rFonts w:ascii="Arial" w:hAnsi="Arial" w:cs="Arial"/>
          <w:color w:val="000000" w:themeColor="text1"/>
          <w:sz w:val="24"/>
          <w:szCs w:val="24"/>
          <w:lang w:val="en-ZA"/>
        </w:rPr>
        <w:t>e</w:t>
      </w:r>
      <w:r w:rsidR="00AC1334" w:rsidRPr="00304EC1">
        <w:rPr>
          <w:rFonts w:ascii="Arial" w:hAnsi="Arial" w:cs="Arial"/>
          <w:color w:val="000000" w:themeColor="text1"/>
          <w:sz w:val="24"/>
          <w:szCs w:val="24"/>
          <w:lang w:val="en-ZA"/>
        </w:rPr>
        <w:t xml:space="preserve">med to have submitted to the Court’s jurisdiction. The first and second defendants </w:t>
      </w:r>
      <w:r w:rsidR="00074F00" w:rsidRPr="00304EC1">
        <w:rPr>
          <w:rFonts w:ascii="Arial" w:hAnsi="Arial" w:cs="Arial"/>
          <w:color w:val="000000" w:themeColor="text1"/>
          <w:sz w:val="24"/>
          <w:szCs w:val="24"/>
          <w:lang w:val="en-ZA"/>
        </w:rPr>
        <w:t>reside</w:t>
      </w:r>
      <w:r w:rsidR="00AC1334" w:rsidRPr="00304EC1">
        <w:rPr>
          <w:rFonts w:ascii="Arial" w:hAnsi="Arial" w:cs="Arial"/>
          <w:color w:val="000000" w:themeColor="text1"/>
          <w:sz w:val="24"/>
          <w:szCs w:val="24"/>
          <w:lang w:val="en-ZA"/>
        </w:rPr>
        <w:t xml:space="preserve"> within the court’s area of jurisdic</w:t>
      </w:r>
      <w:r w:rsidR="00746D5D" w:rsidRPr="00304EC1">
        <w:rPr>
          <w:rFonts w:ascii="Arial" w:hAnsi="Arial" w:cs="Arial"/>
          <w:color w:val="000000" w:themeColor="text1"/>
          <w:sz w:val="24"/>
          <w:szCs w:val="24"/>
          <w:lang w:val="en-ZA"/>
        </w:rPr>
        <w:t xml:space="preserve">tion </w:t>
      </w:r>
      <w:r w:rsidR="00D063FC" w:rsidRPr="00304EC1">
        <w:rPr>
          <w:rFonts w:ascii="Arial" w:hAnsi="Arial" w:cs="Arial"/>
          <w:color w:val="000000" w:themeColor="text1"/>
          <w:sz w:val="24"/>
          <w:szCs w:val="24"/>
          <w:lang w:val="en-ZA"/>
        </w:rPr>
        <w:t>and therefore the court has jurisdiction to hear the application</w:t>
      </w:r>
      <w:r w:rsidR="00AC1334" w:rsidRPr="00304EC1">
        <w:rPr>
          <w:rFonts w:ascii="Arial" w:hAnsi="Arial" w:cs="Arial"/>
          <w:color w:val="000000" w:themeColor="text1"/>
          <w:sz w:val="24"/>
          <w:szCs w:val="24"/>
          <w:lang w:val="en-ZA"/>
        </w:rPr>
        <w:t>.</w:t>
      </w:r>
      <w:r w:rsidR="004D3372" w:rsidRPr="00304EC1">
        <w:rPr>
          <w:rFonts w:ascii="Arial" w:hAnsi="Arial" w:cs="Arial"/>
          <w:color w:val="000000" w:themeColor="text1"/>
          <w:sz w:val="24"/>
          <w:szCs w:val="24"/>
          <w:lang w:val="en-ZA"/>
        </w:rPr>
        <w:t xml:space="preserve"> </w:t>
      </w:r>
    </w:p>
    <w:p w:rsidR="00070784" w:rsidRPr="00304EC1" w:rsidRDefault="003B62E4" w:rsidP="00E11EF4">
      <w:pPr>
        <w:ind w:left="140"/>
        <w:jc w:val="both"/>
        <w:rPr>
          <w:rFonts w:ascii="Arial" w:hAnsi="Arial" w:cs="Arial"/>
          <w:color w:val="000000" w:themeColor="text1"/>
          <w:sz w:val="24"/>
          <w:szCs w:val="24"/>
          <w:lang w:val="en-ZA"/>
        </w:rPr>
      </w:pPr>
      <w:r>
        <w:rPr>
          <w:rFonts w:ascii="Arial" w:hAnsi="Arial" w:cs="Arial"/>
          <w:color w:val="000000" w:themeColor="text1"/>
          <w:sz w:val="24"/>
          <w:szCs w:val="24"/>
          <w:lang w:val="en-ZA"/>
        </w:rPr>
        <w:t>20.2.</w:t>
      </w:r>
      <w:r w:rsidR="00070784" w:rsidRPr="00304EC1">
        <w:rPr>
          <w:rFonts w:ascii="Arial" w:hAnsi="Arial" w:cs="Arial"/>
          <w:color w:val="000000" w:themeColor="text1"/>
          <w:sz w:val="24"/>
          <w:szCs w:val="24"/>
          <w:lang w:val="en-ZA"/>
        </w:rPr>
        <w:t xml:space="preserve"> </w:t>
      </w:r>
      <w:r w:rsidR="00D063FC" w:rsidRPr="00304EC1">
        <w:rPr>
          <w:rFonts w:ascii="Arial" w:hAnsi="Arial" w:cs="Arial"/>
          <w:color w:val="000000" w:themeColor="text1"/>
          <w:sz w:val="24"/>
          <w:szCs w:val="24"/>
          <w:lang w:val="en-ZA"/>
        </w:rPr>
        <w:t>Secondly,</w:t>
      </w:r>
      <w:r w:rsidR="00D512E5" w:rsidRPr="00304EC1">
        <w:rPr>
          <w:rFonts w:ascii="Arial" w:hAnsi="Arial" w:cs="Arial"/>
          <w:color w:val="000000" w:themeColor="text1"/>
          <w:sz w:val="24"/>
          <w:szCs w:val="24"/>
          <w:lang w:val="en-ZA"/>
        </w:rPr>
        <w:t xml:space="preserve"> </w:t>
      </w:r>
      <w:r w:rsidR="00D063FC" w:rsidRPr="00304EC1">
        <w:rPr>
          <w:rFonts w:ascii="Arial" w:hAnsi="Arial" w:cs="Arial"/>
          <w:color w:val="000000" w:themeColor="text1"/>
          <w:sz w:val="24"/>
          <w:szCs w:val="24"/>
          <w:lang w:val="en-ZA"/>
        </w:rPr>
        <w:t>t</w:t>
      </w:r>
      <w:r w:rsidR="00070784" w:rsidRPr="00304EC1">
        <w:rPr>
          <w:rFonts w:ascii="Arial" w:hAnsi="Arial" w:cs="Arial"/>
          <w:color w:val="000000" w:themeColor="text1"/>
          <w:sz w:val="24"/>
          <w:szCs w:val="24"/>
          <w:lang w:val="en-ZA"/>
        </w:rPr>
        <w:t>he third respondent is currently in possession of the vehicle over which the applicant holds security and has no knowledge of the status of the</w:t>
      </w:r>
      <w:r w:rsidR="00746D5D" w:rsidRPr="00304EC1">
        <w:rPr>
          <w:rFonts w:ascii="Arial" w:hAnsi="Arial" w:cs="Arial"/>
          <w:color w:val="000000" w:themeColor="text1"/>
          <w:sz w:val="24"/>
          <w:szCs w:val="24"/>
          <w:lang w:val="en-ZA"/>
        </w:rPr>
        <w:t xml:space="preserve"> vehicle and/or whether it</w:t>
      </w:r>
      <w:r w:rsidR="00070784" w:rsidRPr="00304EC1">
        <w:rPr>
          <w:rFonts w:ascii="Arial" w:hAnsi="Arial" w:cs="Arial"/>
          <w:color w:val="000000" w:themeColor="text1"/>
          <w:sz w:val="24"/>
          <w:szCs w:val="24"/>
          <w:lang w:val="en-ZA"/>
        </w:rPr>
        <w:t xml:space="preserve"> is insured.  The ownership of the vehicle could not have passed to the third respondent</w:t>
      </w:r>
      <w:r w:rsidR="00A3261C" w:rsidRPr="00304EC1">
        <w:rPr>
          <w:rFonts w:ascii="Arial" w:hAnsi="Arial" w:cs="Arial"/>
          <w:color w:val="000000" w:themeColor="text1"/>
          <w:sz w:val="24"/>
          <w:szCs w:val="24"/>
          <w:lang w:val="en-ZA"/>
        </w:rPr>
        <w:t xml:space="preserve"> because </w:t>
      </w:r>
      <w:r w:rsidR="00C1738C" w:rsidRPr="00304EC1">
        <w:rPr>
          <w:rFonts w:ascii="Arial" w:hAnsi="Arial" w:cs="Arial"/>
          <w:color w:val="000000" w:themeColor="text1"/>
          <w:sz w:val="24"/>
          <w:szCs w:val="24"/>
          <w:lang w:val="en-ZA"/>
        </w:rPr>
        <w:t xml:space="preserve">the </w:t>
      </w:r>
      <w:r w:rsidR="00A3261C" w:rsidRPr="00304EC1">
        <w:rPr>
          <w:rFonts w:ascii="Arial" w:hAnsi="Arial" w:cs="Arial"/>
          <w:color w:val="000000" w:themeColor="text1"/>
          <w:sz w:val="24"/>
          <w:szCs w:val="24"/>
          <w:lang w:val="en-ZA"/>
        </w:rPr>
        <w:t>eNatis documents required for the transfer of the vehicle were never signed by the applicant.</w:t>
      </w:r>
    </w:p>
    <w:p w:rsidR="00746D5D" w:rsidRPr="00304EC1" w:rsidRDefault="003B62E4" w:rsidP="00E11EF4">
      <w:pPr>
        <w:ind w:left="140"/>
        <w:jc w:val="both"/>
        <w:rPr>
          <w:rFonts w:ascii="Arial" w:hAnsi="Arial" w:cs="Arial"/>
          <w:color w:val="000000" w:themeColor="text1"/>
          <w:sz w:val="24"/>
          <w:szCs w:val="24"/>
          <w:lang w:val="en-ZA"/>
        </w:rPr>
      </w:pPr>
      <w:r>
        <w:rPr>
          <w:rFonts w:ascii="Arial" w:hAnsi="Arial" w:cs="Arial"/>
          <w:color w:val="000000" w:themeColor="text1"/>
          <w:sz w:val="24"/>
          <w:szCs w:val="24"/>
          <w:lang w:val="en-ZA"/>
        </w:rPr>
        <w:t>20.3.</w:t>
      </w:r>
      <w:r w:rsidR="00194C22" w:rsidRPr="00304EC1">
        <w:rPr>
          <w:rFonts w:ascii="Arial" w:hAnsi="Arial" w:cs="Arial"/>
          <w:color w:val="000000" w:themeColor="text1"/>
          <w:sz w:val="24"/>
          <w:szCs w:val="24"/>
          <w:lang w:val="en-ZA"/>
        </w:rPr>
        <w:t xml:space="preserve"> </w:t>
      </w:r>
      <w:r w:rsidR="00D512E5" w:rsidRPr="00304EC1">
        <w:rPr>
          <w:rFonts w:ascii="Arial" w:hAnsi="Arial" w:cs="Arial"/>
          <w:color w:val="000000" w:themeColor="text1"/>
          <w:sz w:val="24"/>
          <w:szCs w:val="24"/>
          <w:lang w:val="en-ZA"/>
        </w:rPr>
        <w:t>Thirdly, the</w:t>
      </w:r>
      <w:r w:rsidR="004D3372" w:rsidRPr="00304EC1">
        <w:rPr>
          <w:rFonts w:ascii="Arial" w:hAnsi="Arial" w:cs="Arial"/>
          <w:color w:val="000000" w:themeColor="text1"/>
          <w:sz w:val="24"/>
          <w:szCs w:val="24"/>
          <w:lang w:val="en-ZA"/>
        </w:rPr>
        <w:t xml:space="preserve"> first respondent acted </w:t>
      </w:r>
      <w:r w:rsidR="004D3372" w:rsidRPr="004860DD">
        <w:rPr>
          <w:rFonts w:ascii="Arial" w:hAnsi="Arial" w:cs="Arial"/>
          <w:color w:val="000000" w:themeColor="text1"/>
          <w:sz w:val="24"/>
          <w:szCs w:val="24"/>
          <w:lang w:val="en-ZA"/>
        </w:rPr>
        <w:t>mala fide</w:t>
      </w:r>
      <w:r w:rsidR="001643DE" w:rsidRPr="00304EC1">
        <w:rPr>
          <w:rFonts w:ascii="Arial" w:hAnsi="Arial" w:cs="Arial"/>
          <w:color w:val="000000" w:themeColor="text1"/>
          <w:sz w:val="24"/>
          <w:szCs w:val="24"/>
          <w:lang w:val="en-ZA"/>
        </w:rPr>
        <w:t xml:space="preserve"> purposefully in an attempt</w:t>
      </w:r>
      <w:r w:rsidR="004D3372" w:rsidRPr="00304EC1">
        <w:rPr>
          <w:rFonts w:ascii="Arial" w:hAnsi="Arial" w:cs="Arial"/>
          <w:color w:val="000000" w:themeColor="text1"/>
          <w:sz w:val="24"/>
          <w:szCs w:val="24"/>
          <w:lang w:val="en-ZA"/>
        </w:rPr>
        <w:t xml:space="preserve"> to protect the interests of the second respondent, </w:t>
      </w:r>
      <w:r w:rsidR="00496E91" w:rsidRPr="00304EC1">
        <w:rPr>
          <w:rFonts w:ascii="Arial" w:hAnsi="Arial" w:cs="Arial"/>
          <w:color w:val="000000" w:themeColor="text1"/>
          <w:sz w:val="24"/>
          <w:szCs w:val="24"/>
          <w:lang w:val="en-ZA"/>
        </w:rPr>
        <w:t xml:space="preserve">its client. </w:t>
      </w:r>
      <w:r w:rsidR="004D3372" w:rsidRPr="00304EC1">
        <w:rPr>
          <w:rFonts w:ascii="Arial" w:hAnsi="Arial" w:cs="Arial"/>
          <w:color w:val="000000" w:themeColor="text1"/>
          <w:sz w:val="24"/>
          <w:szCs w:val="24"/>
          <w:lang w:val="en-ZA"/>
        </w:rPr>
        <w:t>They were aware</w:t>
      </w:r>
      <w:r w:rsidR="005F59FE" w:rsidRPr="00304EC1">
        <w:rPr>
          <w:rFonts w:ascii="Arial" w:hAnsi="Arial" w:cs="Arial"/>
          <w:color w:val="000000" w:themeColor="text1"/>
          <w:sz w:val="24"/>
          <w:szCs w:val="24"/>
          <w:lang w:val="en-ZA"/>
        </w:rPr>
        <w:t xml:space="preserve"> that</w:t>
      </w:r>
      <w:r w:rsidR="004D3372" w:rsidRPr="00304EC1">
        <w:rPr>
          <w:rFonts w:ascii="Arial" w:hAnsi="Arial" w:cs="Arial"/>
          <w:color w:val="000000" w:themeColor="text1"/>
          <w:sz w:val="24"/>
          <w:szCs w:val="24"/>
          <w:lang w:val="en-ZA"/>
        </w:rPr>
        <w:t xml:space="preserve"> the a</w:t>
      </w:r>
      <w:r w:rsidR="00496E91" w:rsidRPr="00304EC1">
        <w:rPr>
          <w:rFonts w:ascii="Arial" w:hAnsi="Arial" w:cs="Arial"/>
          <w:color w:val="000000" w:themeColor="text1"/>
          <w:sz w:val="24"/>
          <w:szCs w:val="24"/>
          <w:lang w:val="en-ZA"/>
        </w:rPr>
        <w:t>pplicant is the ow</w:t>
      </w:r>
      <w:r w:rsidR="00D512E5" w:rsidRPr="00304EC1">
        <w:rPr>
          <w:rFonts w:ascii="Arial" w:hAnsi="Arial" w:cs="Arial"/>
          <w:color w:val="000000" w:themeColor="text1"/>
          <w:sz w:val="24"/>
          <w:szCs w:val="24"/>
          <w:lang w:val="en-ZA"/>
        </w:rPr>
        <w:t xml:space="preserve">ner of the vehicle prior to the sale in execution. </w:t>
      </w:r>
      <w:r w:rsidR="00496E91" w:rsidRPr="00304EC1">
        <w:rPr>
          <w:rFonts w:ascii="Arial" w:hAnsi="Arial" w:cs="Arial"/>
          <w:color w:val="000000" w:themeColor="text1"/>
          <w:sz w:val="24"/>
          <w:szCs w:val="24"/>
          <w:lang w:val="en-ZA"/>
        </w:rPr>
        <w:t xml:space="preserve">It is for this reason that the applicant is seeking a cost order against the first respondent on the scale between attorney and client alternatively, against the second respondent in the event the court </w:t>
      </w:r>
      <w:r w:rsidR="00074F00" w:rsidRPr="00304EC1">
        <w:rPr>
          <w:rFonts w:ascii="Arial" w:hAnsi="Arial" w:cs="Arial"/>
          <w:color w:val="000000" w:themeColor="text1"/>
          <w:sz w:val="24"/>
          <w:szCs w:val="24"/>
          <w:lang w:val="en-ZA"/>
        </w:rPr>
        <w:t>found</w:t>
      </w:r>
      <w:r w:rsidR="00496E91" w:rsidRPr="00304EC1">
        <w:rPr>
          <w:rFonts w:ascii="Arial" w:hAnsi="Arial" w:cs="Arial"/>
          <w:color w:val="000000" w:themeColor="text1"/>
          <w:sz w:val="24"/>
          <w:szCs w:val="24"/>
          <w:lang w:val="en-ZA"/>
        </w:rPr>
        <w:t xml:space="preserve"> that the former acted within the scope of its mandate.</w:t>
      </w:r>
      <w:r w:rsidR="00F411AC" w:rsidRPr="00304EC1">
        <w:rPr>
          <w:rFonts w:ascii="Arial" w:hAnsi="Arial" w:cs="Arial"/>
          <w:color w:val="000000" w:themeColor="text1"/>
          <w:sz w:val="24"/>
          <w:szCs w:val="24"/>
          <w:lang w:val="en-ZA"/>
        </w:rPr>
        <w:t xml:space="preserve"> </w:t>
      </w:r>
    </w:p>
    <w:p w:rsidR="00AC1334" w:rsidRPr="00304EC1" w:rsidRDefault="00F411AC" w:rsidP="00E122AB">
      <w:pPr>
        <w:jc w:val="both"/>
        <w:rPr>
          <w:rFonts w:ascii="Arial" w:hAnsi="Arial" w:cs="Arial"/>
          <w:color w:val="000000" w:themeColor="text1"/>
          <w:sz w:val="24"/>
          <w:szCs w:val="24"/>
          <w:lang w:val="en-ZA"/>
        </w:rPr>
      </w:pPr>
      <w:r w:rsidRPr="00304EC1">
        <w:rPr>
          <w:rFonts w:ascii="Arial" w:hAnsi="Arial" w:cs="Arial"/>
          <w:color w:val="000000" w:themeColor="text1"/>
          <w:sz w:val="24"/>
          <w:szCs w:val="24"/>
          <w:lang w:val="en-ZA"/>
        </w:rPr>
        <w:t xml:space="preserve"> </w:t>
      </w:r>
      <w:r w:rsidR="00247CE6" w:rsidRPr="00304EC1">
        <w:rPr>
          <w:rFonts w:ascii="Arial" w:hAnsi="Arial" w:cs="Arial"/>
          <w:color w:val="000000" w:themeColor="text1"/>
          <w:sz w:val="24"/>
          <w:szCs w:val="24"/>
          <w:lang w:val="en-ZA"/>
        </w:rPr>
        <w:t xml:space="preserve">    </w:t>
      </w:r>
      <w:r w:rsidR="00496E91" w:rsidRPr="00304EC1">
        <w:rPr>
          <w:rFonts w:ascii="Arial" w:hAnsi="Arial" w:cs="Arial"/>
          <w:color w:val="000000" w:themeColor="text1"/>
          <w:sz w:val="24"/>
          <w:szCs w:val="24"/>
          <w:lang w:val="en-ZA"/>
        </w:rPr>
        <w:t xml:space="preserve"> </w:t>
      </w:r>
    </w:p>
    <w:p w:rsidR="00AC1334" w:rsidRPr="00304EC1" w:rsidRDefault="00AC1334" w:rsidP="00E122AB">
      <w:pPr>
        <w:jc w:val="both"/>
        <w:rPr>
          <w:rFonts w:ascii="Arial" w:hAnsi="Arial" w:cs="Arial"/>
          <w:b/>
          <w:color w:val="000000" w:themeColor="text1"/>
          <w:sz w:val="24"/>
          <w:szCs w:val="24"/>
          <w:lang w:val="en-ZA"/>
        </w:rPr>
      </w:pPr>
      <w:r w:rsidRPr="00304EC1">
        <w:rPr>
          <w:rFonts w:ascii="Arial" w:hAnsi="Arial" w:cs="Arial"/>
          <w:b/>
          <w:color w:val="000000" w:themeColor="text1"/>
          <w:sz w:val="24"/>
          <w:szCs w:val="24"/>
          <w:lang w:val="en-ZA"/>
        </w:rPr>
        <w:t xml:space="preserve">  </w:t>
      </w:r>
      <w:r w:rsidR="002153BD" w:rsidRPr="00304EC1">
        <w:rPr>
          <w:rFonts w:ascii="Arial" w:hAnsi="Arial" w:cs="Arial"/>
          <w:b/>
          <w:color w:val="000000" w:themeColor="text1"/>
          <w:sz w:val="24"/>
          <w:szCs w:val="24"/>
          <w:lang w:val="en-ZA"/>
        </w:rPr>
        <w:t xml:space="preserve">FIRST </w:t>
      </w:r>
      <w:r w:rsidR="00074F00" w:rsidRPr="00304EC1">
        <w:rPr>
          <w:rFonts w:ascii="Arial" w:hAnsi="Arial" w:cs="Arial"/>
          <w:b/>
          <w:color w:val="000000" w:themeColor="text1"/>
          <w:sz w:val="24"/>
          <w:szCs w:val="24"/>
          <w:lang w:val="en-ZA"/>
        </w:rPr>
        <w:t>RESPONDENT’S</w:t>
      </w:r>
      <w:r w:rsidR="002153BD" w:rsidRPr="00304EC1">
        <w:rPr>
          <w:rFonts w:ascii="Arial" w:hAnsi="Arial" w:cs="Arial"/>
          <w:b/>
          <w:color w:val="000000" w:themeColor="text1"/>
          <w:sz w:val="24"/>
          <w:szCs w:val="24"/>
          <w:lang w:val="en-ZA"/>
        </w:rPr>
        <w:t xml:space="preserve"> SUBMISSIONS</w:t>
      </w:r>
    </w:p>
    <w:p w:rsidR="00194C22" w:rsidRPr="00304EC1" w:rsidRDefault="00194C22" w:rsidP="00E122AB">
      <w:pPr>
        <w:jc w:val="both"/>
        <w:rPr>
          <w:rFonts w:ascii="Arial" w:hAnsi="Arial" w:cs="Arial"/>
          <w:color w:val="000000" w:themeColor="text1"/>
          <w:sz w:val="24"/>
          <w:szCs w:val="24"/>
          <w:lang w:val="en-ZA"/>
        </w:rPr>
      </w:pPr>
      <w:r w:rsidRPr="00304EC1">
        <w:rPr>
          <w:rFonts w:ascii="Arial" w:hAnsi="Arial" w:cs="Arial"/>
          <w:color w:val="000000" w:themeColor="text1"/>
          <w:sz w:val="24"/>
          <w:szCs w:val="24"/>
          <w:lang w:val="en-ZA"/>
        </w:rPr>
        <w:t>[</w:t>
      </w:r>
      <w:r w:rsidR="004860DD">
        <w:rPr>
          <w:rFonts w:ascii="Arial" w:hAnsi="Arial" w:cs="Arial"/>
          <w:color w:val="000000" w:themeColor="text1"/>
          <w:sz w:val="24"/>
          <w:szCs w:val="24"/>
          <w:lang w:val="en-ZA"/>
        </w:rPr>
        <w:t>21</w:t>
      </w:r>
      <w:r w:rsidRPr="00304EC1">
        <w:rPr>
          <w:rFonts w:ascii="Arial" w:hAnsi="Arial" w:cs="Arial"/>
          <w:color w:val="000000" w:themeColor="text1"/>
          <w:sz w:val="24"/>
          <w:szCs w:val="24"/>
          <w:lang w:val="en-ZA"/>
        </w:rPr>
        <w:t>] Counsel for the first respondent submitted as follows:</w:t>
      </w:r>
    </w:p>
    <w:p w:rsidR="00D23528" w:rsidRPr="00304EC1" w:rsidRDefault="004860DD" w:rsidP="00E11EF4">
      <w:pPr>
        <w:ind w:left="720"/>
        <w:jc w:val="both"/>
        <w:rPr>
          <w:rFonts w:ascii="Arial" w:hAnsi="Arial" w:cs="Arial"/>
          <w:color w:val="000000" w:themeColor="text1"/>
          <w:sz w:val="24"/>
          <w:szCs w:val="24"/>
          <w:lang w:val="en-ZA"/>
        </w:rPr>
      </w:pPr>
      <w:r>
        <w:rPr>
          <w:rFonts w:ascii="Arial" w:hAnsi="Arial" w:cs="Arial"/>
          <w:color w:val="000000" w:themeColor="text1"/>
          <w:sz w:val="24"/>
          <w:szCs w:val="24"/>
          <w:lang w:val="en-ZA"/>
        </w:rPr>
        <w:t>21.1.</w:t>
      </w:r>
      <w:r w:rsidR="00D512E5" w:rsidRPr="00304EC1">
        <w:rPr>
          <w:rFonts w:ascii="Arial" w:hAnsi="Arial" w:cs="Arial"/>
          <w:color w:val="000000" w:themeColor="text1"/>
          <w:sz w:val="24"/>
          <w:szCs w:val="24"/>
          <w:lang w:val="en-ZA"/>
        </w:rPr>
        <w:t xml:space="preserve"> Firstly</w:t>
      </w:r>
      <w:r w:rsidR="00EE2283">
        <w:rPr>
          <w:rFonts w:ascii="Arial" w:hAnsi="Arial" w:cs="Arial"/>
          <w:color w:val="000000" w:themeColor="text1"/>
          <w:sz w:val="24"/>
          <w:szCs w:val="24"/>
          <w:lang w:val="en-ZA"/>
        </w:rPr>
        <w:t>,</w:t>
      </w:r>
      <w:r w:rsidR="00D512E5" w:rsidRPr="00304EC1">
        <w:rPr>
          <w:rFonts w:ascii="Arial" w:hAnsi="Arial" w:cs="Arial"/>
          <w:color w:val="000000" w:themeColor="text1"/>
          <w:sz w:val="24"/>
          <w:szCs w:val="24"/>
          <w:lang w:val="en-ZA"/>
        </w:rPr>
        <w:t xml:space="preserve"> that</w:t>
      </w:r>
      <w:r w:rsidR="002153BD" w:rsidRPr="00304EC1">
        <w:rPr>
          <w:rFonts w:ascii="Arial" w:hAnsi="Arial" w:cs="Arial"/>
          <w:color w:val="000000" w:themeColor="text1"/>
          <w:sz w:val="24"/>
          <w:szCs w:val="24"/>
          <w:lang w:val="en-ZA"/>
        </w:rPr>
        <w:t xml:space="preserve"> </w:t>
      </w:r>
      <w:r w:rsidR="002F1E2B" w:rsidRPr="00304EC1">
        <w:rPr>
          <w:rFonts w:ascii="Arial" w:hAnsi="Arial" w:cs="Arial"/>
          <w:color w:val="000000" w:themeColor="text1"/>
          <w:sz w:val="24"/>
          <w:szCs w:val="24"/>
          <w:lang w:val="en-ZA"/>
        </w:rPr>
        <w:t xml:space="preserve">Mr. Naude, who deposed to the applicant’s founding affidavit is </w:t>
      </w:r>
      <w:r w:rsidR="00D512E5" w:rsidRPr="00304EC1">
        <w:rPr>
          <w:rFonts w:ascii="Arial" w:hAnsi="Arial" w:cs="Arial"/>
          <w:color w:val="000000" w:themeColor="text1"/>
          <w:sz w:val="24"/>
          <w:szCs w:val="24"/>
          <w:lang w:val="en-ZA"/>
        </w:rPr>
        <w:t>a General M</w:t>
      </w:r>
      <w:r w:rsidR="00074F00" w:rsidRPr="00304EC1">
        <w:rPr>
          <w:rFonts w:ascii="Arial" w:hAnsi="Arial" w:cs="Arial"/>
          <w:color w:val="000000" w:themeColor="text1"/>
          <w:sz w:val="24"/>
          <w:szCs w:val="24"/>
          <w:lang w:val="en-ZA"/>
        </w:rPr>
        <w:t>anager</w:t>
      </w:r>
      <w:r w:rsidR="00D512E5" w:rsidRPr="00304EC1">
        <w:rPr>
          <w:rFonts w:ascii="Arial" w:hAnsi="Arial" w:cs="Arial"/>
          <w:color w:val="000000" w:themeColor="text1"/>
          <w:sz w:val="24"/>
          <w:szCs w:val="24"/>
          <w:lang w:val="en-ZA"/>
        </w:rPr>
        <w:t xml:space="preserve"> and not a D</w:t>
      </w:r>
      <w:r w:rsidR="002F1E2B" w:rsidRPr="00304EC1">
        <w:rPr>
          <w:rFonts w:ascii="Arial" w:hAnsi="Arial" w:cs="Arial"/>
          <w:color w:val="000000" w:themeColor="text1"/>
          <w:sz w:val="24"/>
          <w:szCs w:val="24"/>
          <w:lang w:val="en-ZA"/>
        </w:rPr>
        <w:t xml:space="preserve">irector of the applicant. </w:t>
      </w:r>
      <w:r w:rsidR="001643DE" w:rsidRPr="00304EC1">
        <w:rPr>
          <w:rFonts w:ascii="Arial" w:hAnsi="Arial" w:cs="Arial"/>
          <w:color w:val="000000" w:themeColor="text1"/>
          <w:sz w:val="24"/>
          <w:szCs w:val="24"/>
          <w:lang w:val="en-ZA"/>
        </w:rPr>
        <w:t xml:space="preserve"> Therefore, h</w:t>
      </w:r>
      <w:r w:rsidR="002F1E2B" w:rsidRPr="00304EC1">
        <w:rPr>
          <w:rFonts w:ascii="Arial" w:hAnsi="Arial" w:cs="Arial"/>
          <w:color w:val="000000" w:themeColor="text1"/>
          <w:sz w:val="24"/>
          <w:szCs w:val="24"/>
          <w:lang w:val="en-ZA"/>
        </w:rPr>
        <w:t xml:space="preserve">e does not </w:t>
      </w:r>
      <w:r w:rsidR="002F1E2B" w:rsidRPr="00304EC1">
        <w:rPr>
          <w:rFonts w:ascii="Arial" w:hAnsi="Arial" w:cs="Arial"/>
          <w:color w:val="000000" w:themeColor="text1"/>
          <w:sz w:val="24"/>
          <w:szCs w:val="24"/>
          <w:lang w:val="en-ZA"/>
        </w:rPr>
        <w:lastRenderedPageBreak/>
        <w:t xml:space="preserve">have </w:t>
      </w:r>
      <w:r w:rsidR="00074F00" w:rsidRPr="00304EC1">
        <w:rPr>
          <w:rFonts w:ascii="Arial" w:hAnsi="Arial" w:cs="Arial"/>
          <w:color w:val="000000" w:themeColor="text1"/>
          <w:sz w:val="24"/>
          <w:szCs w:val="24"/>
          <w:lang w:val="en-ZA"/>
        </w:rPr>
        <w:t xml:space="preserve">the </w:t>
      </w:r>
      <w:r w:rsidR="002F1E2B" w:rsidRPr="00304EC1">
        <w:rPr>
          <w:rFonts w:ascii="Arial" w:hAnsi="Arial" w:cs="Arial"/>
          <w:color w:val="000000" w:themeColor="text1"/>
          <w:sz w:val="24"/>
          <w:szCs w:val="24"/>
          <w:lang w:val="en-ZA"/>
        </w:rPr>
        <w:t>authority to depose a founding affidavit on behalf of the applicant because there is no resolution empowering</w:t>
      </w:r>
      <w:r w:rsidR="00CA5838" w:rsidRPr="00304EC1">
        <w:rPr>
          <w:rFonts w:ascii="Arial" w:hAnsi="Arial" w:cs="Arial"/>
          <w:color w:val="000000" w:themeColor="text1"/>
          <w:sz w:val="24"/>
          <w:szCs w:val="24"/>
          <w:lang w:val="en-ZA"/>
        </w:rPr>
        <w:t xml:space="preserve"> him</w:t>
      </w:r>
      <w:r w:rsidR="002F1E2B" w:rsidRPr="00304EC1">
        <w:rPr>
          <w:rFonts w:ascii="Arial" w:hAnsi="Arial" w:cs="Arial"/>
          <w:color w:val="000000" w:themeColor="text1"/>
          <w:sz w:val="24"/>
          <w:szCs w:val="24"/>
          <w:lang w:val="en-ZA"/>
        </w:rPr>
        <w:t xml:space="preserve"> to </w:t>
      </w:r>
      <w:r w:rsidR="00D512E5" w:rsidRPr="00304EC1">
        <w:rPr>
          <w:rFonts w:ascii="Arial" w:hAnsi="Arial" w:cs="Arial"/>
          <w:color w:val="000000" w:themeColor="text1"/>
          <w:sz w:val="24"/>
          <w:szCs w:val="24"/>
          <w:lang w:val="en-ZA"/>
        </w:rPr>
        <w:t>depose to the same</w:t>
      </w:r>
      <w:r w:rsidR="00194C22" w:rsidRPr="00304EC1">
        <w:rPr>
          <w:rFonts w:ascii="Arial" w:hAnsi="Arial" w:cs="Arial"/>
          <w:color w:val="000000" w:themeColor="text1"/>
          <w:sz w:val="24"/>
          <w:szCs w:val="24"/>
          <w:lang w:val="en-ZA"/>
        </w:rPr>
        <w:t>.</w:t>
      </w:r>
      <w:r w:rsidR="001643DE" w:rsidRPr="00304EC1">
        <w:rPr>
          <w:rFonts w:ascii="Arial" w:hAnsi="Arial" w:cs="Arial"/>
          <w:color w:val="000000" w:themeColor="text1"/>
          <w:sz w:val="24"/>
          <w:szCs w:val="24"/>
          <w:lang w:val="en-ZA"/>
        </w:rPr>
        <w:t xml:space="preserve"> A R</w:t>
      </w:r>
      <w:r w:rsidR="002F1E2B" w:rsidRPr="00304EC1">
        <w:rPr>
          <w:rFonts w:ascii="Arial" w:hAnsi="Arial" w:cs="Arial"/>
          <w:color w:val="000000" w:themeColor="text1"/>
          <w:sz w:val="24"/>
          <w:szCs w:val="24"/>
          <w:lang w:val="en-ZA"/>
        </w:rPr>
        <w:t>ule 7</w:t>
      </w:r>
      <w:r w:rsidR="001643DE" w:rsidRPr="00304EC1">
        <w:rPr>
          <w:rFonts w:ascii="Arial" w:hAnsi="Arial" w:cs="Arial"/>
          <w:color w:val="000000" w:themeColor="text1"/>
          <w:sz w:val="24"/>
          <w:szCs w:val="24"/>
          <w:lang w:val="en-ZA"/>
        </w:rPr>
        <w:t xml:space="preserve"> of the Uniform Rules</w:t>
      </w:r>
      <w:r w:rsidR="002F1E2B" w:rsidRPr="00304EC1">
        <w:rPr>
          <w:rFonts w:ascii="Arial" w:hAnsi="Arial" w:cs="Arial"/>
          <w:color w:val="000000" w:themeColor="text1"/>
          <w:sz w:val="24"/>
          <w:szCs w:val="24"/>
          <w:lang w:val="en-ZA"/>
        </w:rPr>
        <w:t xml:space="preserve"> notice was filed and a power of attorney, which the first applicant does not dispute, was served. The applicant faile</w:t>
      </w:r>
      <w:r w:rsidR="00D23528" w:rsidRPr="00304EC1">
        <w:rPr>
          <w:rFonts w:ascii="Arial" w:hAnsi="Arial" w:cs="Arial"/>
          <w:color w:val="000000" w:themeColor="text1"/>
          <w:sz w:val="24"/>
          <w:szCs w:val="24"/>
          <w:lang w:val="en-ZA"/>
        </w:rPr>
        <w:t>d to substantiate and/or submit written proof that Mr. Naude is aut</w:t>
      </w:r>
      <w:r w:rsidR="007233A0" w:rsidRPr="00304EC1">
        <w:rPr>
          <w:rFonts w:ascii="Arial" w:hAnsi="Arial" w:cs="Arial"/>
          <w:color w:val="000000" w:themeColor="text1"/>
          <w:sz w:val="24"/>
          <w:szCs w:val="24"/>
          <w:lang w:val="en-ZA"/>
        </w:rPr>
        <w:t>ho</w:t>
      </w:r>
      <w:r w:rsidR="00D23528" w:rsidRPr="00304EC1">
        <w:rPr>
          <w:rFonts w:ascii="Arial" w:hAnsi="Arial" w:cs="Arial"/>
          <w:color w:val="000000" w:themeColor="text1"/>
          <w:sz w:val="24"/>
          <w:szCs w:val="24"/>
          <w:lang w:val="en-ZA"/>
        </w:rPr>
        <w:t>rized to act on behalf of the applicant. Therefore, the applicant failed to prove that Mr. Naude had the authority to act on behalf of the applicant.</w:t>
      </w:r>
    </w:p>
    <w:p w:rsidR="00CD64B4" w:rsidRPr="00304EC1" w:rsidRDefault="004860DD" w:rsidP="00E11EF4">
      <w:pPr>
        <w:ind w:left="720"/>
        <w:jc w:val="both"/>
        <w:rPr>
          <w:rFonts w:ascii="Arial" w:hAnsi="Arial" w:cs="Arial"/>
          <w:color w:val="000000" w:themeColor="text1"/>
          <w:sz w:val="24"/>
          <w:szCs w:val="24"/>
          <w:lang w:val="en-ZA"/>
        </w:rPr>
      </w:pPr>
      <w:r>
        <w:rPr>
          <w:rFonts w:ascii="Arial" w:hAnsi="Arial" w:cs="Arial"/>
          <w:color w:val="000000" w:themeColor="text1"/>
          <w:sz w:val="24"/>
          <w:szCs w:val="24"/>
          <w:lang w:val="en-ZA"/>
        </w:rPr>
        <w:t>21.2.</w:t>
      </w:r>
      <w:r w:rsidR="00347669" w:rsidRPr="00304EC1">
        <w:rPr>
          <w:rFonts w:ascii="Arial" w:hAnsi="Arial" w:cs="Arial"/>
          <w:color w:val="000000" w:themeColor="text1"/>
          <w:sz w:val="24"/>
          <w:szCs w:val="24"/>
          <w:lang w:val="en-ZA"/>
        </w:rPr>
        <w:t xml:space="preserve"> </w:t>
      </w:r>
      <w:r w:rsidR="00D512E5" w:rsidRPr="00304EC1">
        <w:rPr>
          <w:rFonts w:ascii="Arial" w:hAnsi="Arial" w:cs="Arial"/>
          <w:color w:val="000000" w:themeColor="text1"/>
          <w:sz w:val="24"/>
          <w:szCs w:val="24"/>
          <w:lang w:val="en-ZA"/>
        </w:rPr>
        <w:t xml:space="preserve">Secondly, that </w:t>
      </w:r>
      <w:r w:rsidR="00347669" w:rsidRPr="00304EC1">
        <w:rPr>
          <w:rFonts w:ascii="Arial" w:hAnsi="Arial" w:cs="Arial"/>
          <w:color w:val="000000" w:themeColor="text1"/>
          <w:sz w:val="24"/>
          <w:szCs w:val="24"/>
          <w:lang w:val="en-ZA"/>
        </w:rPr>
        <w:t>Section (2) (1) (b)</w:t>
      </w:r>
      <w:r w:rsidR="00CD64B4" w:rsidRPr="00304EC1">
        <w:rPr>
          <w:rFonts w:ascii="Arial" w:hAnsi="Arial" w:cs="Arial"/>
          <w:color w:val="000000" w:themeColor="text1"/>
          <w:sz w:val="24"/>
          <w:szCs w:val="24"/>
          <w:lang w:val="en-ZA"/>
        </w:rPr>
        <w:t xml:space="preserve"> </w:t>
      </w:r>
      <w:r w:rsidR="00347669" w:rsidRPr="00304EC1">
        <w:rPr>
          <w:rFonts w:ascii="Arial" w:hAnsi="Arial" w:cs="Arial"/>
          <w:color w:val="000000" w:themeColor="text1"/>
          <w:sz w:val="24"/>
          <w:szCs w:val="24"/>
          <w:lang w:val="en-ZA"/>
        </w:rPr>
        <w:t xml:space="preserve">of </w:t>
      </w:r>
      <w:r w:rsidR="00CD64B4" w:rsidRPr="00304EC1">
        <w:rPr>
          <w:rFonts w:ascii="Arial" w:hAnsi="Arial" w:cs="Arial"/>
          <w:color w:val="000000" w:themeColor="text1"/>
          <w:sz w:val="24"/>
          <w:szCs w:val="24"/>
          <w:lang w:val="en-ZA"/>
        </w:rPr>
        <w:t>Act</w:t>
      </w:r>
      <w:r w:rsidR="00347669" w:rsidRPr="00304EC1">
        <w:rPr>
          <w:rFonts w:ascii="Arial" w:hAnsi="Arial" w:cs="Arial"/>
          <w:color w:val="000000" w:themeColor="text1"/>
          <w:sz w:val="24"/>
          <w:szCs w:val="24"/>
          <w:lang w:val="en-ZA"/>
        </w:rPr>
        <w:t xml:space="preserve"> 57 of 1993</w:t>
      </w:r>
      <w:r w:rsidR="00CD64B4" w:rsidRPr="00304EC1">
        <w:rPr>
          <w:rFonts w:ascii="Arial" w:hAnsi="Arial" w:cs="Arial"/>
          <w:color w:val="000000" w:themeColor="text1"/>
          <w:sz w:val="24"/>
          <w:szCs w:val="24"/>
          <w:lang w:val="en-ZA"/>
        </w:rPr>
        <w:t xml:space="preserve"> is not applicable because default judgment has been obtained</w:t>
      </w:r>
      <w:r w:rsidR="00194C22" w:rsidRPr="00304EC1">
        <w:rPr>
          <w:rFonts w:ascii="Arial" w:hAnsi="Arial" w:cs="Arial"/>
          <w:color w:val="000000" w:themeColor="text1"/>
          <w:sz w:val="24"/>
          <w:szCs w:val="24"/>
          <w:lang w:val="en-ZA"/>
        </w:rPr>
        <w:t xml:space="preserve">. </w:t>
      </w:r>
    </w:p>
    <w:p w:rsidR="00746D5D" w:rsidRPr="00304EC1" w:rsidRDefault="004860DD" w:rsidP="00E11EF4">
      <w:pPr>
        <w:ind w:left="720"/>
        <w:jc w:val="both"/>
        <w:rPr>
          <w:rFonts w:ascii="Arial" w:hAnsi="Arial" w:cs="Arial"/>
          <w:color w:val="000000" w:themeColor="text1"/>
          <w:sz w:val="24"/>
          <w:szCs w:val="24"/>
          <w:lang w:val="en-ZA"/>
        </w:rPr>
      </w:pPr>
      <w:r>
        <w:rPr>
          <w:rFonts w:ascii="Arial" w:hAnsi="Arial" w:cs="Arial"/>
          <w:color w:val="000000" w:themeColor="text1"/>
          <w:sz w:val="24"/>
          <w:szCs w:val="24"/>
          <w:lang w:val="en-ZA"/>
        </w:rPr>
        <w:t>21.</w:t>
      </w:r>
      <w:r w:rsidR="00B302E0">
        <w:rPr>
          <w:rFonts w:ascii="Arial" w:hAnsi="Arial" w:cs="Arial"/>
          <w:color w:val="000000" w:themeColor="text1"/>
          <w:sz w:val="24"/>
          <w:szCs w:val="24"/>
          <w:lang w:val="en-ZA"/>
        </w:rPr>
        <w:t>3.</w:t>
      </w:r>
      <w:r w:rsidR="00B302E0" w:rsidRPr="00304EC1">
        <w:rPr>
          <w:rFonts w:ascii="Arial" w:hAnsi="Arial" w:cs="Arial"/>
          <w:color w:val="000000" w:themeColor="text1"/>
          <w:sz w:val="24"/>
          <w:szCs w:val="24"/>
          <w:lang w:val="en-ZA"/>
        </w:rPr>
        <w:t xml:space="preserve"> Thirdly</w:t>
      </w:r>
      <w:r w:rsidR="00D512E5" w:rsidRPr="00304EC1">
        <w:rPr>
          <w:rFonts w:ascii="Arial" w:hAnsi="Arial" w:cs="Arial"/>
          <w:color w:val="000000" w:themeColor="text1"/>
          <w:sz w:val="24"/>
          <w:szCs w:val="24"/>
          <w:lang w:val="en-ZA"/>
        </w:rPr>
        <w:t>, the</w:t>
      </w:r>
      <w:r w:rsidR="00CD64B4" w:rsidRPr="00304EC1">
        <w:rPr>
          <w:rFonts w:ascii="Arial" w:hAnsi="Arial" w:cs="Arial"/>
          <w:color w:val="000000" w:themeColor="text1"/>
          <w:sz w:val="24"/>
          <w:szCs w:val="24"/>
          <w:lang w:val="en-ZA"/>
        </w:rPr>
        <w:t xml:space="preserve"> </w:t>
      </w:r>
      <w:r w:rsidR="00D62A80" w:rsidRPr="00304EC1">
        <w:rPr>
          <w:rFonts w:ascii="Arial" w:hAnsi="Arial" w:cs="Arial"/>
          <w:color w:val="000000" w:themeColor="text1"/>
          <w:sz w:val="24"/>
          <w:szCs w:val="24"/>
          <w:lang w:val="en-ZA"/>
        </w:rPr>
        <w:t>applicant’s application for the cost order has no merit. The applicant failed to make out a case in its founding affidavit that there are exceptional circumstances indicati</w:t>
      </w:r>
      <w:r w:rsidR="00746D5D" w:rsidRPr="00304EC1">
        <w:rPr>
          <w:rFonts w:ascii="Arial" w:hAnsi="Arial" w:cs="Arial"/>
          <w:color w:val="000000" w:themeColor="text1"/>
          <w:sz w:val="24"/>
          <w:szCs w:val="24"/>
          <w:lang w:val="en-ZA"/>
        </w:rPr>
        <w:t xml:space="preserve">ng </w:t>
      </w:r>
      <w:r w:rsidR="00D62A80" w:rsidRPr="00304EC1">
        <w:rPr>
          <w:rFonts w:ascii="Arial" w:hAnsi="Arial" w:cs="Arial"/>
          <w:color w:val="000000" w:themeColor="text1"/>
          <w:sz w:val="24"/>
          <w:szCs w:val="24"/>
          <w:lang w:val="en-ZA"/>
        </w:rPr>
        <w:t>dishonest</w:t>
      </w:r>
      <w:r w:rsidR="00746D5D" w:rsidRPr="00304EC1">
        <w:rPr>
          <w:rFonts w:ascii="Arial" w:hAnsi="Arial" w:cs="Arial"/>
          <w:color w:val="000000" w:themeColor="text1"/>
          <w:sz w:val="24"/>
          <w:szCs w:val="24"/>
          <w:lang w:val="en-ZA"/>
        </w:rPr>
        <w:t>y</w:t>
      </w:r>
      <w:r w:rsidR="00D62A80" w:rsidRPr="00304EC1">
        <w:rPr>
          <w:rFonts w:ascii="Arial" w:hAnsi="Arial" w:cs="Arial"/>
          <w:color w:val="000000" w:themeColor="text1"/>
          <w:sz w:val="24"/>
          <w:szCs w:val="24"/>
          <w:lang w:val="en-ZA"/>
        </w:rPr>
        <w:t>, malice</w:t>
      </w:r>
      <w:r w:rsidR="00074F00" w:rsidRPr="00304EC1">
        <w:rPr>
          <w:rFonts w:ascii="Arial" w:hAnsi="Arial" w:cs="Arial"/>
          <w:color w:val="000000" w:themeColor="text1"/>
          <w:sz w:val="24"/>
          <w:szCs w:val="24"/>
          <w:lang w:val="en-ZA"/>
        </w:rPr>
        <w:t>,</w:t>
      </w:r>
      <w:r w:rsidR="00746D5D" w:rsidRPr="00304EC1">
        <w:rPr>
          <w:rFonts w:ascii="Arial" w:hAnsi="Arial" w:cs="Arial"/>
          <w:color w:val="000000" w:themeColor="text1"/>
          <w:sz w:val="24"/>
          <w:szCs w:val="24"/>
          <w:lang w:val="en-ZA"/>
        </w:rPr>
        <w:t xml:space="preserve"> or serious negligence on </w:t>
      </w:r>
      <w:r w:rsidR="00967565" w:rsidRPr="00304EC1">
        <w:rPr>
          <w:rFonts w:ascii="Arial" w:hAnsi="Arial" w:cs="Arial"/>
          <w:color w:val="000000" w:themeColor="text1"/>
          <w:sz w:val="24"/>
          <w:szCs w:val="24"/>
          <w:lang w:val="en-ZA"/>
        </w:rPr>
        <w:t xml:space="preserve">the </w:t>
      </w:r>
      <w:r w:rsidR="00746D5D" w:rsidRPr="00304EC1">
        <w:rPr>
          <w:rFonts w:ascii="Arial" w:hAnsi="Arial" w:cs="Arial"/>
          <w:color w:val="000000" w:themeColor="text1"/>
          <w:sz w:val="24"/>
          <w:szCs w:val="24"/>
          <w:lang w:val="en-ZA"/>
        </w:rPr>
        <w:t>part of the first respondent</w:t>
      </w:r>
      <w:r w:rsidR="00D62A80" w:rsidRPr="00304EC1">
        <w:rPr>
          <w:rFonts w:ascii="Arial" w:hAnsi="Arial" w:cs="Arial"/>
          <w:color w:val="000000" w:themeColor="text1"/>
          <w:sz w:val="24"/>
          <w:szCs w:val="24"/>
          <w:lang w:val="en-ZA"/>
        </w:rPr>
        <w:t xml:space="preserve">. </w:t>
      </w:r>
      <w:r w:rsidR="00096038" w:rsidRPr="00304EC1">
        <w:rPr>
          <w:rFonts w:ascii="Arial" w:hAnsi="Arial" w:cs="Arial"/>
          <w:color w:val="000000" w:themeColor="text1"/>
          <w:sz w:val="24"/>
          <w:szCs w:val="24"/>
          <w:lang w:val="en-ZA"/>
        </w:rPr>
        <w:t xml:space="preserve">The first respondent, acting on </w:t>
      </w:r>
      <w:r w:rsidR="00074F00" w:rsidRPr="00304EC1">
        <w:rPr>
          <w:rFonts w:ascii="Arial" w:hAnsi="Arial" w:cs="Arial"/>
          <w:color w:val="000000" w:themeColor="text1"/>
          <w:sz w:val="24"/>
          <w:szCs w:val="24"/>
          <w:lang w:val="en-ZA"/>
        </w:rPr>
        <w:t xml:space="preserve">the </w:t>
      </w:r>
      <w:r w:rsidR="00096038" w:rsidRPr="00304EC1">
        <w:rPr>
          <w:rFonts w:ascii="Arial" w:hAnsi="Arial" w:cs="Arial"/>
          <w:color w:val="000000" w:themeColor="text1"/>
          <w:sz w:val="24"/>
          <w:szCs w:val="24"/>
          <w:lang w:val="en-ZA"/>
        </w:rPr>
        <w:t>instructions of its client, acted in terms of the rules.  The applicant was requested to fil</w:t>
      </w:r>
      <w:r w:rsidR="00347669" w:rsidRPr="00304EC1">
        <w:rPr>
          <w:rFonts w:ascii="Arial" w:hAnsi="Arial" w:cs="Arial"/>
          <w:color w:val="000000" w:themeColor="text1"/>
          <w:sz w:val="24"/>
          <w:szCs w:val="24"/>
          <w:lang w:val="en-ZA"/>
        </w:rPr>
        <w:t xml:space="preserve">e an affidavit to commence the </w:t>
      </w:r>
      <w:r w:rsidR="00096038" w:rsidRPr="00304EC1">
        <w:rPr>
          <w:rFonts w:ascii="Arial" w:hAnsi="Arial" w:cs="Arial"/>
          <w:color w:val="000000" w:themeColor="text1"/>
          <w:sz w:val="24"/>
          <w:szCs w:val="24"/>
          <w:lang w:val="en-ZA"/>
        </w:rPr>
        <w:t xml:space="preserve">interpleader proceedings and failed to do so. A tender was made to the applicant for payment of the outstanding amount and </w:t>
      </w:r>
      <w:r w:rsidR="00074F00" w:rsidRPr="00304EC1">
        <w:rPr>
          <w:rFonts w:ascii="Arial" w:hAnsi="Arial" w:cs="Arial"/>
          <w:color w:val="000000" w:themeColor="text1"/>
          <w:sz w:val="24"/>
          <w:szCs w:val="24"/>
          <w:lang w:val="en-ZA"/>
        </w:rPr>
        <w:t xml:space="preserve">the </w:t>
      </w:r>
      <w:r w:rsidR="00096038" w:rsidRPr="00304EC1">
        <w:rPr>
          <w:rFonts w:ascii="Arial" w:hAnsi="Arial" w:cs="Arial"/>
          <w:color w:val="000000" w:themeColor="text1"/>
          <w:sz w:val="24"/>
          <w:szCs w:val="24"/>
          <w:lang w:val="en-ZA"/>
        </w:rPr>
        <w:t xml:space="preserve">same was declined. </w:t>
      </w:r>
      <w:r w:rsidR="00746D5D" w:rsidRPr="00304EC1">
        <w:rPr>
          <w:rFonts w:ascii="Arial" w:hAnsi="Arial" w:cs="Arial"/>
          <w:color w:val="000000" w:themeColor="text1"/>
          <w:sz w:val="24"/>
          <w:szCs w:val="24"/>
          <w:lang w:val="en-ZA"/>
        </w:rPr>
        <w:t xml:space="preserve">The applicant did not withhold information </w:t>
      </w:r>
      <w:r w:rsidR="00967565" w:rsidRPr="00304EC1">
        <w:rPr>
          <w:rFonts w:ascii="Arial" w:hAnsi="Arial" w:cs="Arial"/>
          <w:color w:val="000000" w:themeColor="text1"/>
          <w:sz w:val="24"/>
          <w:szCs w:val="24"/>
          <w:lang w:val="en-ZA"/>
        </w:rPr>
        <w:t>from</w:t>
      </w:r>
      <w:r w:rsidR="00746D5D" w:rsidRPr="00304EC1">
        <w:rPr>
          <w:rFonts w:ascii="Arial" w:hAnsi="Arial" w:cs="Arial"/>
          <w:color w:val="000000" w:themeColor="text1"/>
          <w:sz w:val="24"/>
          <w:szCs w:val="24"/>
          <w:lang w:val="en-ZA"/>
        </w:rPr>
        <w:t xml:space="preserve"> the applicant.</w:t>
      </w:r>
    </w:p>
    <w:p w:rsidR="002F1E2B" w:rsidRPr="00304EC1" w:rsidRDefault="00096038" w:rsidP="00E122AB">
      <w:pPr>
        <w:jc w:val="both"/>
        <w:rPr>
          <w:rFonts w:ascii="Arial" w:hAnsi="Arial" w:cs="Arial"/>
          <w:color w:val="000000" w:themeColor="text1"/>
          <w:sz w:val="24"/>
          <w:szCs w:val="24"/>
          <w:lang w:val="en-ZA"/>
        </w:rPr>
      </w:pPr>
      <w:r w:rsidRPr="00304EC1">
        <w:rPr>
          <w:rFonts w:ascii="Arial" w:hAnsi="Arial" w:cs="Arial"/>
          <w:color w:val="000000" w:themeColor="text1"/>
          <w:sz w:val="24"/>
          <w:szCs w:val="24"/>
          <w:lang w:val="en-ZA"/>
        </w:rPr>
        <w:t xml:space="preserve"> </w:t>
      </w:r>
      <w:r w:rsidR="00D62A80" w:rsidRPr="00304EC1">
        <w:rPr>
          <w:rFonts w:ascii="Arial" w:hAnsi="Arial" w:cs="Arial"/>
          <w:color w:val="000000" w:themeColor="text1"/>
          <w:sz w:val="24"/>
          <w:szCs w:val="24"/>
          <w:lang w:val="en-ZA"/>
        </w:rPr>
        <w:t xml:space="preserve"> </w:t>
      </w:r>
      <w:r w:rsidR="00CD64B4" w:rsidRPr="00304EC1">
        <w:rPr>
          <w:rFonts w:ascii="Arial" w:hAnsi="Arial" w:cs="Arial"/>
          <w:color w:val="000000" w:themeColor="text1"/>
          <w:sz w:val="24"/>
          <w:szCs w:val="24"/>
          <w:lang w:val="en-ZA"/>
        </w:rPr>
        <w:t xml:space="preserve"> </w:t>
      </w:r>
      <w:r w:rsidR="007233A0" w:rsidRPr="00304EC1">
        <w:rPr>
          <w:rFonts w:ascii="Arial" w:hAnsi="Arial" w:cs="Arial"/>
          <w:color w:val="000000" w:themeColor="text1"/>
          <w:sz w:val="24"/>
          <w:szCs w:val="24"/>
          <w:lang w:val="en-ZA"/>
        </w:rPr>
        <w:t xml:space="preserve"> </w:t>
      </w:r>
      <w:r w:rsidR="00157DDC" w:rsidRPr="00304EC1">
        <w:rPr>
          <w:rFonts w:ascii="Arial" w:hAnsi="Arial" w:cs="Arial"/>
          <w:color w:val="000000" w:themeColor="text1"/>
          <w:sz w:val="24"/>
          <w:szCs w:val="24"/>
          <w:lang w:val="en-ZA"/>
        </w:rPr>
        <w:t xml:space="preserve">   </w:t>
      </w:r>
      <w:r w:rsidR="00D23528" w:rsidRPr="00304EC1">
        <w:rPr>
          <w:rFonts w:ascii="Arial" w:hAnsi="Arial" w:cs="Arial"/>
          <w:color w:val="000000" w:themeColor="text1"/>
          <w:sz w:val="24"/>
          <w:szCs w:val="24"/>
          <w:lang w:val="en-ZA"/>
        </w:rPr>
        <w:t xml:space="preserve">  </w:t>
      </w:r>
    </w:p>
    <w:p w:rsidR="002153BD" w:rsidRPr="00304EC1" w:rsidRDefault="00F411AC" w:rsidP="00E122AB">
      <w:pPr>
        <w:jc w:val="both"/>
        <w:rPr>
          <w:rFonts w:ascii="Arial" w:hAnsi="Arial" w:cs="Arial"/>
          <w:b/>
          <w:color w:val="000000" w:themeColor="text1"/>
          <w:sz w:val="24"/>
          <w:szCs w:val="24"/>
          <w:lang w:val="en-ZA"/>
        </w:rPr>
      </w:pPr>
      <w:r w:rsidRPr="00304EC1">
        <w:rPr>
          <w:rFonts w:ascii="Arial" w:hAnsi="Arial" w:cs="Arial"/>
          <w:b/>
          <w:color w:val="000000" w:themeColor="text1"/>
          <w:sz w:val="24"/>
          <w:szCs w:val="24"/>
          <w:lang w:val="en-ZA"/>
        </w:rPr>
        <w:t>THE SECOND RESPONDENT</w:t>
      </w:r>
      <w:r w:rsidR="00505E01" w:rsidRPr="00304EC1">
        <w:rPr>
          <w:rFonts w:ascii="Arial" w:hAnsi="Arial" w:cs="Arial"/>
          <w:b/>
          <w:color w:val="000000" w:themeColor="text1"/>
          <w:sz w:val="24"/>
          <w:szCs w:val="24"/>
          <w:lang w:val="en-ZA"/>
        </w:rPr>
        <w:t>’S SUBMISSION</w:t>
      </w:r>
      <w:r w:rsidRPr="00304EC1">
        <w:rPr>
          <w:rFonts w:ascii="Arial" w:hAnsi="Arial" w:cs="Arial"/>
          <w:b/>
          <w:color w:val="000000" w:themeColor="text1"/>
          <w:sz w:val="24"/>
          <w:szCs w:val="24"/>
          <w:lang w:val="en-ZA"/>
        </w:rPr>
        <w:t>.</w:t>
      </w:r>
    </w:p>
    <w:p w:rsidR="005508BE" w:rsidRPr="00304EC1" w:rsidRDefault="00754996" w:rsidP="00E122AB">
      <w:pPr>
        <w:jc w:val="both"/>
        <w:rPr>
          <w:rFonts w:ascii="Arial" w:hAnsi="Arial" w:cs="Arial"/>
          <w:color w:val="000000" w:themeColor="text1"/>
          <w:sz w:val="24"/>
          <w:szCs w:val="24"/>
          <w:lang w:val="en-ZA"/>
        </w:rPr>
      </w:pPr>
      <w:r>
        <w:rPr>
          <w:rFonts w:ascii="Arial" w:hAnsi="Arial" w:cs="Arial"/>
          <w:color w:val="000000" w:themeColor="text1"/>
          <w:sz w:val="24"/>
          <w:szCs w:val="24"/>
          <w:lang w:val="en-ZA"/>
        </w:rPr>
        <w:t xml:space="preserve">[22] </w:t>
      </w:r>
      <w:r w:rsidR="005508BE" w:rsidRPr="00304EC1">
        <w:rPr>
          <w:rFonts w:ascii="Arial" w:hAnsi="Arial" w:cs="Arial"/>
          <w:color w:val="000000" w:themeColor="text1"/>
          <w:sz w:val="24"/>
          <w:szCs w:val="24"/>
          <w:lang w:val="en-ZA"/>
        </w:rPr>
        <w:t>Counsel for</w:t>
      </w:r>
      <w:r w:rsidR="00AA022C" w:rsidRPr="00304EC1">
        <w:rPr>
          <w:rFonts w:ascii="Arial" w:hAnsi="Arial" w:cs="Arial"/>
          <w:color w:val="000000" w:themeColor="text1"/>
          <w:sz w:val="24"/>
          <w:szCs w:val="24"/>
          <w:lang w:val="en-ZA"/>
        </w:rPr>
        <w:t xml:space="preserve"> the second respondent submitted</w:t>
      </w:r>
      <w:r w:rsidR="00E727F4" w:rsidRPr="00304EC1">
        <w:rPr>
          <w:rFonts w:ascii="Arial" w:hAnsi="Arial" w:cs="Arial"/>
          <w:color w:val="000000" w:themeColor="text1"/>
          <w:sz w:val="24"/>
          <w:szCs w:val="24"/>
          <w:lang w:val="en-ZA"/>
        </w:rPr>
        <w:t xml:space="preserve"> that</w:t>
      </w:r>
      <w:r w:rsidR="005508BE" w:rsidRPr="00304EC1">
        <w:rPr>
          <w:rFonts w:ascii="Arial" w:hAnsi="Arial" w:cs="Arial"/>
          <w:color w:val="000000" w:themeColor="text1"/>
          <w:sz w:val="24"/>
          <w:szCs w:val="24"/>
          <w:lang w:val="en-ZA"/>
        </w:rPr>
        <w:t>:</w:t>
      </w:r>
    </w:p>
    <w:p w:rsidR="00C94FA1" w:rsidRPr="00304EC1" w:rsidRDefault="00754996" w:rsidP="00E11EF4">
      <w:pPr>
        <w:ind w:left="720"/>
        <w:jc w:val="both"/>
        <w:rPr>
          <w:rFonts w:ascii="Arial" w:hAnsi="Arial" w:cs="Arial"/>
          <w:color w:val="000000" w:themeColor="text1"/>
          <w:sz w:val="24"/>
          <w:szCs w:val="24"/>
          <w:lang w:val="en-ZA"/>
        </w:rPr>
      </w:pPr>
      <w:r>
        <w:rPr>
          <w:rFonts w:ascii="Arial" w:hAnsi="Arial" w:cs="Arial"/>
          <w:color w:val="000000" w:themeColor="text1"/>
          <w:sz w:val="24"/>
          <w:szCs w:val="24"/>
          <w:lang w:val="en-ZA"/>
        </w:rPr>
        <w:t>22.1.</w:t>
      </w:r>
      <w:r w:rsidR="00347669" w:rsidRPr="00304EC1">
        <w:rPr>
          <w:rFonts w:ascii="Arial" w:hAnsi="Arial" w:cs="Arial"/>
          <w:color w:val="000000" w:themeColor="text1"/>
          <w:sz w:val="24"/>
          <w:szCs w:val="24"/>
          <w:lang w:val="en-ZA"/>
        </w:rPr>
        <w:t xml:space="preserve"> </w:t>
      </w:r>
      <w:r w:rsidR="00D512E5" w:rsidRPr="00304EC1">
        <w:rPr>
          <w:rFonts w:ascii="Arial" w:hAnsi="Arial" w:cs="Arial"/>
          <w:color w:val="000000" w:themeColor="text1"/>
          <w:sz w:val="24"/>
          <w:szCs w:val="24"/>
          <w:lang w:val="en-ZA"/>
        </w:rPr>
        <w:t>Firstly, t</w:t>
      </w:r>
      <w:r w:rsidR="00347669" w:rsidRPr="00304EC1">
        <w:rPr>
          <w:rFonts w:ascii="Arial" w:hAnsi="Arial" w:cs="Arial"/>
          <w:color w:val="000000" w:themeColor="text1"/>
          <w:sz w:val="24"/>
          <w:szCs w:val="24"/>
          <w:lang w:val="en-ZA"/>
        </w:rPr>
        <w:t>he</w:t>
      </w:r>
      <w:r w:rsidR="00AA022C" w:rsidRPr="00304EC1">
        <w:rPr>
          <w:rFonts w:ascii="Arial" w:hAnsi="Arial" w:cs="Arial"/>
          <w:color w:val="000000" w:themeColor="text1"/>
          <w:sz w:val="24"/>
          <w:szCs w:val="24"/>
          <w:lang w:val="en-ZA"/>
        </w:rPr>
        <w:t xml:space="preserve"> applicant’s reliance on Section 2 (1) </w:t>
      </w:r>
      <w:r w:rsidR="00347669" w:rsidRPr="00304EC1">
        <w:rPr>
          <w:rFonts w:ascii="Arial" w:hAnsi="Arial" w:cs="Arial"/>
          <w:color w:val="000000" w:themeColor="text1"/>
          <w:sz w:val="24"/>
          <w:szCs w:val="24"/>
          <w:lang w:val="en-ZA"/>
        </w:rPr>
        <w:t>(b) of Act</w:t>
      </w:r>
      <w:r w:rsidR="00D512E5" w:rsidRPr="00304EC1">
        <w:rPr>
          <w:rFonts w:ascii="Arial" w:hAnsi="Arial" w:cs="Arial"/>
          <w:color w:val="000000" w:themeColor="text1"/>
          <w:sz w:val="24"/>
          <w:szCs w:val="24"/>
          <w:lang w:val="en-ZA"/>
        </w:rPr>
        <w:t xml:space="preserve"> 57 of 1993 is misplaced because t</w:t>
      </w:r>
      <w:r w:rsidR="005508BE" w:rsidRPr="00304EC1">
        <w:rPr>
          <w:rFonts w:ascii="Arial" w:hAnsi="Arial" w:cs="Arial"/>
          <w:color w:val="000000" w:themeColor="text1"/>
          <w:sz w:val="24"/>
          <w:szCs w:val="24"/>
          <w:lang w:val="en-ZA"/>
        </w:rPr>
        <w:t>he subject matter in the</w:t>
      </w:r>
      <w:r w:rsidR="00C94FA1" w:rsidRPr="00304EC1">
        <w:rPr>
          <w:rFonts w:ascii="Arial" w:hAnsi="Arial" w:cs="Arial"/>
          <w:color w:val="000000" w:themeColor="text1"/>
          <w:sz w:val="24"/>
          <w:szCs w:val="24"/>
          <w:lang w:val="en-ZA"/>
        </w:rPr>
        <w:t>s</w:t>
      </w:r>
      <w:r w:rsidR="005508BE" w:rsidRPr="00304EC1">
        <w:rPr>
          <w:rFonts w:ascii="Arial" w:hAnsi="Arial" w:cs="Arial"/>
          <w:color w:val="000000" w:themeColor="text1"/>
          <w:sz w:val="24"/>
          <w:szCs w:val="24"/>
          <w:lang w:val="en-ZA"/>
        </w:rPr>
        <w:t>e</w:t>
      </w:r>
      <w:r w:rsidR="00C94FA1" w:rsidRPr="00304EC1">
        <w:rPr>
          <w:rFonts w:ascii="Arial" w:hAnsi="Arial" w:cs="Arial"/>
          <w:color w:val="000000" w:themeColor="text1"/>
          <w:sz w:val="24"/>
          <w:szCs w:val="24"/>
          <w:lang w:val="en-ZA"/>
        </w:rPr>
        <w:t xml:space="preserve"> </w:t>
      </w:r>
      <w:r w:rsidR="005508BE" w:rsidRPr="00304EC1">
        <w:rPr>
          <w:rFonts w:ascii="Arial" w:hAnsi="Arial" w:cs="Arial"/>
          <w:color w:val="000000" w:themeColor="text1"/>
          <w:sz w:val="24"/>
          <w:szCs w:val="24"/>
          <w:lang w:val="en-ZA"/>
        </w:rPr>
        <w:t>proceedings</w:t>
      </w:r>
      <w:r w:rsidR="00D512E5" w:rsidRPr="00304EC1">
        <w:rPr>
          <w:rFonts w:ascii="Arial" w:hAnsi="Arial" w:cs="Arial"/>
          <w:color w:val="000000" w:themeColor="text1"/>
          <w:sz w:val="24"/>
          <w:szCs w:val="24"/>
          <w:lang w:val="en-ZA"/>
        </w:rPr>
        <w:t xml:space="preserve"> was attached pursuant to a</w:t>
      </w:r>
      <w:r w:rsidR="00C94FA1" w:rsidRPr="00304EC1">
        <w:rPr>
          <w:rFonts w:ascii="Arial" w:hAnsi="Arial" w:cs="Arial"/>
          <w:color w:val="000000" w:themeColor="text1"/>
          <w:sz w:val="24"/>
          <w:szCs w:val="24"/>
          <w:lang w:val="en-ZA"/>
        </w:rPr>
        <w:t xml:space="preserve"> default judgment and not the </w:t>
      </w:r>
      <w:r w:rsidR="00074F00" w:rsidRPr="00304EC1">
        <w:rPr>
          <w:rFonts w:ascii="Arial" w:hAnsi="Arial" w:cs="Arial"/>
          <w:color w:val="000000" w:themeColor="text1"/>
          <w:sz w:val="24"/>
          <w:szCs w:val="24"/>
          <w:lang w:val="en-ZA"/>
        </w:rPr>
        <w:t>landlord’s</w:t>
      </w:r>
      <w:r w:rsidR="00347669" w:rsidRPr="00304EC1">
        <w:rPr>
          <w:rFonts w:ascii="Arial" w:hAnsi="Arial" w:cs="Arial"/>
          <w:color w:val="000000" w:themeColor="text1"/>
          <w:sz w:val="24"/>
          <w:szCs w:val="24"/>
          <w:lang w:val="en-ZA"/>
        </w:rPr>
        <w:t xml:space="preserve"> hypothec</w:t>
      </w:r>
      <w:r w:rsidR="00746D5D" w:rsidRPr="00304EC1">
        <w:rPr>
          <w:rFonts w:ascii="Arial" w:hAnsi="Arial" w:cs="Arial"/>
          <w:color w:val="000000" w:themeColor="text1"/>
          <w:sz w:val="24"/>
          <w:szCs w:val="24"/>
          <w:lang w:val="en-ZA"/>
        </w:rPr>
        <w:t>.</w:t>
      </w:r>
    </w:p>
    <w:p w:rsidR="001C1BF6" w:rsidRPr="00304EC1" w:rsidRDefault="00754996" w:rsidP="00E11EF4">
      <w:pPr>
        <w:ind w:left="720"/>
        <w:jc w:val="both"/>
        <w:rPr>
          <w:rFonts w:ascii="Arial" w:hAnsi="Arial" w:cs="Arial"/>
          <w:color w:val="000000" w:themeColor="text1"/>
          <w:sz w:val="24"/>
          <w:szCs w:val="24"/>
          <w:lang w:val="en-ZA"/>
        </w:rPr>
      </w:pPr>
      <w:r>
        <w:rPr>
          <w:rFonts w:ascii="Arial" w:hAnsi="Arial" w:cs="Arial"/>
          <w:color w:val="000000" w:themeColor="text1"/>
          <w:sz w:val="24"/>
          <w:szCs w:val="24"/>
          <w:lang w:val="en-ZA"/>
        </w:rPr>
        <w:t>22.2.</w:t>
      </w:r>
      <w:r w:rsidR="005508BE" w:rsidRPr="00304EC1">
        <w:rPr>
          <w:rFonts w:ascii="Arial" w:hAnsi="Arial" w:cs="Arial"/>
          <w:color w:val="000000" w:themeColor="text1"/>
          <w:sz w:val="24"/>
          <w:szCs w:val="24"/>
          <w:lang w:val="en-ZA"/>
        </w:rPr>
        <w:t xml:space="preserve"> </w:t>
      </w:r>
      <w:r w:rsidR="00D512E5" w:rsidRPr="00304EC1">
        <w:rPr>
          <w:rFonts w:ascii="Arial" w:hAnsi="Arial" w:cs="Arial"/>
          <w:color w:val="000000" w:themeColor="text1"/>
          <w:sz w:val="24"/>
          <w:szCs w:val="24"/>
          <w:lang w:val="en-ZA"/>
        </w:rPr>
        <w:t>Secondly, i</w:t>
      </w:r>
      <w:r w:rsidR="00C94FA1" w:rsidRPr="00304EC1">
        <w:rPr>
          <w:rFonts w:ascii="Arial" w:hAnsi="Arial" w:cs="Arial"/>
          <w:color w:val="000000" w:themeColor="text1"/>
          <w:sz w:val="24"/>
          <w:szCs w:val="24"/>
          <w:lang w:val="en-ZA"/>
        </w:rPr>
        <w:t>t is conceded that this court has jurisdiction over the seco</w:t>
      </w:r>
      <w:r w:rsidR="00347669" w:rsidRPr="00304EC1">
        <w:rPr>
          <w:rFonts w:ascii="Arial" w:hAnsi="Arial" w:cs="Arial"/>
          <w:color w:val="000000" w:themeColor="text1"/>
          <w:sz w:val="24"/>
          <w:szCs w:val="24"/>
          <w:lang w:val="en-ZA"/>
        </w:rPr>
        <w:t>nd respondent and not the third and fourth</w:t>
      </w:r>
      <w:r w:rsidR="00C94FA1" w:rsidRPr="00304EC1">
        <w:rPr>
          <w:rFonts w:ascii="Arial" w:hAnsi="Arial" w:cs="Arial"/>
          <w:color w:val="000000" w:themeColor="text1"/>
          <w:sz w:val="24"/>
          <w:szCs w:val="24"/>
          <w:lang w:val="en-ZA"/>
        </w:rPr>
        <w:t xml:space="preserve"> respondents.</w:t>
      </w:r>
      <w:r w:rsidR="00923D39" w:rsidRPr="00304EC1">
        <w:rPr>
          <w:rFonts w:ascii="Arial" w:hAnsi="Arial" w:cs="Arial"/>
          <w:color w:val="000000" w:themeColor="text1"/>
          <w:sz w:val="24"/>
          <w:szCs w:val="24"/>
          <w:lang w:val="en-ZA"/>
        </w:rPr>
        <w:t xml:space="preserve"> Both are situated and/or </w:t>
      </w:r>
      <w:r w:rsidR="00074F00" w:rsidRPr="00304EC1">
        <w:rPr>
          <w:rFonts w:ascii="Arial" w:hAnsi="Arial" w:cs="Arial"/>
          <w:color w:val="000000" w:themeColor="text1"/>
          <w:sz w:val="24"/>
          <w:szCs w:val="24"/>
          <w:lang w:val="en-ZA"/>
        </w:rPr>
        <w:t>carry</w:t>
      </w:r>
      <w:r w:rsidR="00923D39" w:rsidRPr="00304EC1">
        <w:rPr>
          <w:rFonts w:ascii="Arial" w:hAnsi="Arial" w:cs="Arial"/>
          <w:color w:val="000000" w:themeColor="text1"/>
          <w:sz w:val="24"/>
          <w:szCs w:val="24"/>
          <w:lang w:val="en-ZA"/>
        </w:rPr>
        <w:t xml:space="preserve"> business in KwaZulu Natal where the attachment and the execution auction took place and the applicant failed to allege that the vehicle is within this court’s area of jurisdiction. The applicant bears the onus of establishing that this court has jurisdiction. </w:t>
      </w:r>
      <w:r w:rsidR="0008232F" w:rsidRPr="00304EC1">
        <w:rPr>
          <w:rFonts w:ascii="Arial" w:hAnsi="Arial" w:cs="Arial"/>
          <w:color w:val="000000" w:themeColor="text1"/>
          <w:sz w:val="24"/>
          <w:szCs w:val="24"/>
          <w:lang w:val="en-ZA"/>
        </w:rPr>
        <w:t xml:space="preserve">The first and second respondents did not mention jurisdictional issues, and counsel concedes that this may be interpreted as </w:t>
      </w:r>
      <w:r w:rsidR="00923D39" w:rsidRPr="00304EC1">
        <w:rPr>
          <w:rFonts w:ascii="Arial" w:hAnsi="Arial" w:cs="Arial"/>
          <w:color w:val="000000" w:themeColor="text1"/>
          <w:sz w:val="24"/>
          <w:szCs w:val="24"/>
          <w:lang w:val="en-ZA"/>
        </w:rPr>
        <w:t xml:space="preserve">consent to jurisdiction. </w:t>
      </w:r>
      <w:r w:rsidR="005D04E9" w:rsidRPr="00304EC1">
        <w:rPr>
          <w:rFonts w:ascii="Arial" w:hAnsi="Arial" w:cs="Arial"/>
          <w:color w:val="000000" w:themeColor="text1"/>
          <w:sz w:val="24"/>
          <w:szCs w:val="24"/>
          <w:lang w:val="en-ZA"/>
        </w:rPr>
        <w:t>Counsel submits that this concession does not confer jurisdiction on this court over the third and fourth respondents regarding the relief sought in the absence of a jurisdictional ground and failure by the third and fourth respondents to oppose this application does not imply that both consented to jurisdiction. The domina</w:t>
      </w:r>
      <w:r w:rsidR="001C1BF6" w:rsidRPr="00304EC1">
        <w:rPr>
          <w:rFonts w:ascii="Arial" w:hAnsi="Arial" w:cs="Arial"/>
          <w:color w:val="000000" w:themeColor="text1"/>
          <w:sz w:val="24"/>
          <w:szCs w:val="24"/>
          <w:lang w:val="en-ZA"/>
        </w:rPr>
        <w:t>n</w:t>
      </w:r>
      <w:r w:rsidR="005D04E9" w:rsidRPr="00304EC1">
        <w:rPr>
          <w:rFonts w:ascii="Arial" w:hAnsi="Arial" w:cs="Arial"/>
          <w:color w:val="000000" w:themeColor="text1"/>
          <w:sz w:val="24"/>
          <w:szCs w:val="24"/>
          <w:lang w:val="en-ZA"/>
        </w:rPr>
        <w:t>t co</w:t>
      </w:r>
      <w:r w:rsidR="001C1BF6" w:rsidRPr="00304EC1">
        <w:rPr>
          <w:rFonts w:ascii="Arial" w:hAnsi="Arial" w:cs="Arial"/>
          <w:color w:val="000000" w:themeColor="text1"/>
          <w:sz w:val="24"/>
          <w:szCs w:val="24"/>
          <w:lang w:val="en-ZA"/>
        </w:rPr>
        <w:t>n</w:t>
      </w:r>
      <w:r w:rsidR="005D04E9" w:rsidRPr="00304EC1">
        <w:rPr>
          <w:rFonts w:ascii="Arial" w:hAnsi="Arial" w:cs="Arial"/>
          <w:color w:val="000000" w:themeColor="text1"/>
          <w:sz w:val="24"/>
          <w:szCs w:val="24"/>
          <w:lang w:val="en-ZA"/>
        </w:rPr>
        <w:t>sider</w:t>
      </w:r>
      <w:r w:rsidR="001C1BF6" w:rsidRPr="00304EC1">
        <w:rPr>
          <w:rFonts w:ascii="Arial" w:hAnsi="Arial" w:cs="Arial"/>
          <w:color w:val="000000" w:themeColor="text1"/>
          <w:sz w:val="24"/>
          <w:szCs w:val="24"/>
          <w:lang w:val="en-ZA"/>
        </w:rPr>
        <w:t>a</w:t>
      </w:r>
      <w:r w:rsidR="005D04E9" w:rsidRPr="00304EC1">
        <w:rPr>
          <w:rFonts w:ascii="Arial" w:hAnsi="Arial" w:cs="Arial"/>
          <w:color w:val="000000" w:themeColor="text1"/>
          <w:sz w:val="24"/>
          <w:szCs w:val="24"/>
          <w:lang w:val="en-ZA"/>
        </w:rPr>
        <w:t>tion rela</w:t>
      </w:r>
      <w:r w:rsidR="001C1BF6" w:rsidRPr="00304EC1">
        <w:rPr>
          <w:rFonts w:ascii="Arial" w:hAnsi="Arial" w:cs="Arial"/>
          <w:color w:val="000000" w:themeColor="text1"/>
          <w:sz w:val="24"/>
          <w:szCs w:val="24"/>
          <w:lang w:val="en-ZA"/>
        </w:rPr>
        <w:t xml:space="preserve">ting to jurisdiction is effectiveness </w:t>
      </w:r>
      <w:r w:rsidR="00074F00" w:rsidRPr="00304EC1">
        <w:rPr>
          <w:rFonts w:ascii="Arial" w:hAnsi="Arial" w:cs="Arial"/>
          <w:color w:val="000000" w:themeColor="text1"/>
          <w:sz w:val="24"/>
          <w:szCs w:val="24"/>
          <w:lang w:val="en-ZA"/>
        </w:rPr>
        <w:t>which</w:t>
      </w:r>
      <w:r w:rsidR="001C1BF6" w:rsidRPr="00304EC1">
        <w:rPr>
          <w:rFonts w:ascii="Arial" w:hAnsi="Arial" w:cs="Arial"/>
          <w:color w:val="000000" w:themeColor="text1"/>
          <w:sz w:val="24"/>
          <w:szCs w:val="24"/>
          <w:lang w:val="en-ZA"/>
        </w:rPr>
        <w:t xml:space="preserve"> is lacking in </w:t>
      </w:r>
      <w:r w:rsidR="00074F00" w:rsidRPr="00304EC1">
        <w:rPr>
          <w:rFonts w:ascii="Arial" w:hAnsi="Arial" w:cs="Arial"/>
          <w:color w:val="000000" w:themeColor="text1"/>
          <w:sz w:val="24"/>
          <w:szCs w:val="24"/>
          <w:lang w:val="en-ZA"/>
        </w:rPr>
        <w:t xml:space="preserve">the </w:t>
      </w:r>
      <w:r w:rsidR="001C1BF6" w:rsidRPr="00304EC1">
        <w:rPr>
          <w:rFonts w:ascii="Arial" w:hAnsi="Arial" w:cs="Arial"/>
          <w:color w:val="000000" w:themeColor="text1"/>
          <w:sz w:val="24"/>
          <w:szCs w:val="24"/>
          <w:lang w:val="en-ZA"/>
        </w:rPr>
        <w:t>casu.</w:t>
      </w:r>
    </w:p>
    <w:p w:rsidR="0023592A" w:rsidRPr="00304EC1" w:rsidRDefault="00FA080B" w:rsidP="00E11EF4">
      <w:pPr>
        <w:ind w:left="720"/>
        <w:jc w:val="both"/>
        <w:rPr>
          <w:rFonts w:ascii="Arial" w:hAnsi="Arial" w:cs="Arial"/>
          <w:color w:val="000000" w:themeColor="text1"/>
          <w:sz w:val="24"/>
          <w:szCs w:val="24"/>
          <w:lang w:val="en-ZA"/>
        </w:rPr>
      </w:pPr>
      <w:r>
        <w:rPr>
          <w:rFonts w:ascii="Arial" w:hAnsi="Arial" w:cs="Arial"/>
          <w:color w:val="000000" w:themeColor="text1"/>
          <w:sz w:val="24"/>
          <w:szCs w:val="24"/>
          <w:lang w:val="en-ZA"/>
        </w:rPr>
        <w:t>22.3.</w:t>
      </w:r>
      <w:r w:rsidR="004C0761" w:rsidRPr="00304EC1">
        <w:rPr>
          <w:rFonts w:ascii="Arial" w:hAnsi="Arial" w:cs="Arial"/>
          <w:color w:val="000000" w:themeColor="text1"/>
          <w:sz w:val="24"/>
          <w:szCs w:val="24"/>
          <w:lang w:val="en-ZA"/>
        </w:rPr>
        <w:t xml:space="preserve"> T</w:t>
      </w:r>
      <w:r w:rsidR="00D512E5" w:rsidRPr="00304EC1">
        <w:rPr>
          <w:rFonts w:ascii="Arial" w:hAnsi="Arial" w:cs="Arial"/>
          <w:color w:val="000000" w:themeColor="text1"/>
          <w:sz w:val="24"/>
          <w:szCs w:val="24"/>
          <w:lang w:val="en-ZA"/>
        </w:rPr>
        <w:t>hirdly, the</w:t>
      </w:r>
      <w:r w:rsidR="0023592A" w:rsidRPr="00304EC1">
        <w:rPr>
          <w:rFonts w:ascii="Arial" w:hAnsi="Arial" w:cs="Arial"/>
          <w:color w:val="000000" w:themeColor="text1"/>
          <w:sz w:val="24"/>
          <w:szCs w:val="24"/>
          <w:lang w:val="en-ZA"/>
        </w:rPr>
        <w:t xml:space="preserve"> applicant failed to prove owne</w:t>
      </w:r>
      <w:r w:rsidR="004C0761" w:rsidRPr="00304EC1">
        <w:rPr>
          <w:rFonts w:ascii="Arial" w:hAnsi="Arial" w:cs="Arial"/>
          <w:color w:val="000000" w:themeColor="text1"/>
          <w:sz w:val="24"/>
          <w:szCs w:val="24"/>
          <w:lang w:val="en-ZA"/>
        </w:rPr>
        <w:t>rship</w:t>
      </w:r>
      <w:r w:rsidR="00746D5D" w:rsidRPr="00304EC1">
        <w:rPr>
          <w:rFonts w:ascii="Arial" w:hAnsi="Arial" w:cs="Arial"/>
          <w:color w:val="000000" w:themeColor="text1"/>
          <w:sz w:val="24"/>
          <w:szCs w:val="24"/>
          <w:lang w:val="en-ZA"/>
        </w:rPr>
        <w:t xml:space="preserve"> of the vehicle</w:t>
      </w:r>
      <w:r w:rsidR="004C0761" w:rsidRPr="00304EC1">
        <w:rPr>
          <w:rFonts w:ascii="Arial" w:hAnsi="Arial" w:cs="Arial"/>
          <w:color w:val="000000" w:themeColor="text1"/>
          <w:sz w:val="24"/>
          <w:szCs w:val="24"/>
          <w:lang w:val="en-ZA"/>
        </w:rPr>
        <w:t xml:space="preserve">. </w:t>
      </w:r>
      <w:r w:rsidR="008B56D7" w:rsidRPr="00304EC1">
        <w:rPr>
          <w:rFonts w:ascii="Arial" w:hAnsi="Arial" w:cs="Arial"/>
          <w:color w:val="000000" w:themeColor="text1"/>
          <w:sz w:val="24"/>
          <w:szCs w:val="24"/>
          <w:lang w:val="en-ZA"/>
        </w:rPr>
        <w:t>She further</w:t>
      </w:r>
      <w:r w:rsidR="0023592A" w:rsidRPr="00304EC1">
        <w:rPr>
          <w:rFonts w:ascii="Arial" w:hAnsi="Arial" w:cs="Arial"/>
          <w:color w:val="000000" w:themeColor="text1"/>
          <w:sz w:val="24"/>
          <w:szCs w:val="24"/>
          <w:lang w:val="en-ZA"/>
        </w:rPr>
        <w:t xml:space="preserve"> submitted that a legal sa</w:t>
      </w:r>
      <w:r w:rsidR="008B56D7" w:rsidRPr="00304EC1">
        <w:rPr>
          <w:rFonts w:ascii="Arial" w:hAnsi="Arial" w:cs="Arial"/>
          <w:color w:val="000000" w:themeColor="text1"/>
          <w:sz w:val="24"/>
          <w:szCs w:val="24"/>
          <w:lang w:val="en-ZA"/>
        </w:rPr>
        <w:t xml:space="preserve">le of the vehicle by the </w:t>
      </w:r>
      <w:r w:rsidR="00AA1FC8" w:rsidRPr="00304EC1">
        <w:rPr>
          <w:rFonts w:ascii="Arial" w:hAnsi="Arial" w:cs="Arial"/>
          <w:color w:val="000000" w:themeColor="text1"/>
          <w:sz w:val="24"/>
          <w:szCs w:val="24"/>
          <w:lang w:val="en-ZA"/>
        </w:rPr>
        <w:t>fourth</w:t>
      </w:r>
      <w:r w:rsidR="008B56D7" w:rsidRPr="00304EC1">
        <w:rPr>
          <w:rFonts w:ascii="Arial" w:hAnsi="Arial" w:cs="Arial"/>
          <w:color w:val="000000" w:themeColor="text1"/>
          <w:sz w:val="24"/>
          <w:szCs w:val="24"/>
          <w:lang w:val="en-ZA"/>
        </w:rPr>
        <w:t xml:space="preserve"> respondent</w:t>
      </w:r>
      <w:r w:rsidR="0023592A" w:rsidRPr="00304EC1">
        <w:rPr>
          <w:rFonts w:ascii="Arial" w:hAnsi="Arial" w:cs="Arial"/>
          <w:color w:val="000000" w:themeColor="text1"/>
          <w:sz w:val="24"/>
          <w:szCs w:val="24"/>
          <w:lang w:val="en-ZA"/>
        </w:rPr>
        <w:t xml:space="preserve"> interfered with the plaintiff’s alleged ownership </w:t>
      </w:r>
      <w:r w:rsidR="00746D5D" w:rsidRPr="00304EC1">
        <w:rPr>
          <w:rFonts w:ascii="Arial" w:hAnsi="Arial" w:cs="Arial"/>
          <w:color w:val="000000" w:themeColor="text1"/>
          <w:sz w:val="24"/>
          <w:szCs w:val="24"/>
          <w:lang w:val="en-ZA"/>
        </w:rPr>
        <w:t>thereof</w:t>
      </w:r>
      <w:r w:rsidR="008B56D7" w:rsidRPr="00304EC1">
        <w:rPr>
          <w:rFonts w:ascii="Arial" w:hAnsi="Arial" w:cs="Arial"/>
          <w:color w:val="000000" w:themeColor="text1"/>
          <w:sz w:val="24"/>
          <w:szCs w:val="24"/>
          <w:lang w:val="en-ZA"/>
        </w:rPr>
        <w:t xml:space="preserve"> </w:t>
      </w:r>
      <w:r w:rsidR="001E71F5" w:rsidRPr="00304EC1">
        <w:rPr>
          <w:rFonts w:ascii="Arial" w:hAnsi="Arial" w:cs="Arial"/>
          <w:color w:val="000000" w:themeColor="text1"/>
          <w:sz w:val="24"/>
          <w:szCs w:val="24"/>
          <w:lang w:val="en-ZA"/>
        </w:rPr>
        <w:t>and rei vindicatio is not the appropri</w:t>
      </w:r>
      <w:r w:rsidR="00746D5D" w:rsidRPr="00304EC1">
        <w:rPr>
          <w:rFonts w:ascii="Arial" w:hAnsi="Arial" w:cs="Arial"/>
          <w:color w:val="000000" w:themeColor="text1"/>
          <w:sz w:val="24"/>
          <w:szCs w:val="24"/>
          <w:lang w:val="en-ZA"/>
        </w:rPr>
        <w:t>ate remedy open to the applicant</w:t>
      </w:r>
      <w:r w:rsidR="001E71F5" w:rsidRPr="00304EC1">
        <w:rPr>
          <w:rFonts w:ascii="Arial" w:hAnsi="Arial" w:cs="Arial"/>
          <w:color w:val="000000" w:themeColor="text1"/>
          <w:sz w:val="24"/>
          <w:szCs w:val="24"/>
          <w:lang w:val="en-ZA"/>
        </w:rPr>
        <w:t>.</w:t>
      </w:r>
      <w:r w:rsidR="0023592A" w:rsidRPr="00304EC1">
        <w:rPr>
          <w:rFonts w:ascii="Arial" w:hAnsi="Arial" w:cs="Arial"/>
          <w:color w:val="000000" w:themeColor="text1"/>
          <w:sz w:val="24"/>
          <w:szCs w:val="24"/>
          <w:lang w:val="en-ZA"/>
        </w:rPr>
        <w:t xml:space="preserve">  </w:t>
      </w:r>
    </w:p>
    <w:p w:rsidR="00944108" w:rsidRPr="00304EC1" w:rsidRDefault="00FA080B" w:rsidP="00E11EF4">
      <w:pPr>
        <w:ind w:left="720"/>
        <w:jc w:val="both"/>
        <w:rPr>
          <w:rFonts w:ascii="Arial" w:hAnsi="Arial" w:cs="Arial"/>
          <w:color w:val="000000" w:themeColor="text1"/>
          <w:sz w:val="24"/>
          <w:szCs w:val="24"/>
          <w:lang w:val="en-ZA"/>
        </w:rPr>
      </w:pPr>
      <w:r>
        <w:rPr>
          <w:rFonts w:ascii="Arial" w:hAnsi="Arial" w:cs="Arial"/>
          <w:color w:val="000000" w:themeColor="text1"/>
          <w:sz w:val="24"/>
          <w:szCs w:val="24"/>
          <w:lang w:val="en-ZA"/>
        </w:rPr>
        <w:t>22.4.</w:t>
      </w:r>
      <w:r w:rsidR="005508BE" w:rsidRPr="00304EC1">
        <w:rPr>
          <w:rFonts w:ascii="Arial" w:hAnsi="Arial" w:cs="Arial"/>
          <w:color w:val="000000" w:themeColor="text1"/>
          <w:sz w:val="24"/>
          <w:szCs w:val="24"/>
          <w:lang w:val="en-ZA"/>
        </w:rPr>
        <w:t xml:space="preserve"> </w:t>
      </w:r>
      <w:r w:rsidR="008B56D7" w:rsidRPr="00304EC1">
        <w:rPr>
          <w:rFonts w:ascii="Arial" w:hAnsi="Arial" w:cs="Arial"/>
          <w:color w:val="000000" w:themeColor="text1"/>
          <w:sz w:val="24"/>
          <w:szCs w:val="24"/>
          <w:lang w:val="en-ZA"/>
        </w:rPr>
        <w:t>Lastly, t</w:t>
      </w:r>
      <w:r w:rsidR="001C1BF6" w:rsidRPr="00304EC1">
        <w:rPr>
          <w:rFonts w:ascii="Arial" w:hAnsi="Arial" w:cs="Arial"/>
          <w:color w:val="000000" w:themeColor="text1"/>
          <w:sz w:val="24"/>
          <w:szCs w:val="24"/>
          <w:lang w:val="en-ZA"/>
        </w:rPr>
        <w:t xml:space="preserve">he applicant is seeking to blame the first and second respondents for </w:t>
      </w:r>
      <w:r w:rsidR="00074F00" w:rsidRPr="00304EC1">
        <w:rPr>
          <w:rFonts w:ascii="Arial" w:hAnsi="Arial" w:cs="Arial"/>
          <w:color w:val="000000" w:themeColor="text1"/>
          <w:sz w:val="24"/>
          <w:szCs w:val="24"/>
          <w:lang w:val="en-ZA"/>
        </w:rPr>
        <w:t>their</w:t>
      </w:r>
      <w:r w:rsidR="001C1BF6" w:rsidRPr="00304EC1">
        <w:rPr>
          <w:rFonts w:ascii="Arial" w:hAnsi="Arial" w:cs="Arial"/>
          <w:color w:val="000000" w:themeColor="text1"/>
          <w:sz w:val="24"/>
          <w:szCs w:val="24"/>
          <w:lang w:val="en-ZA"/>
        </w:rPr>
        <w:t xml:space="preserve"> inaction and failure to provide an affidavit to commence the interpleader </w:t>
      </w:r>
      <w:r w:rsidR="001C1BF6" w:rsidRPr="00304EC1">
        <w:rPr>
          <w:rFonts w:ascii="Arial" w:hAnsi="Arial" w:cs="Arial"/>
          <w:color w:val="000000" w:themeColor="text1"/>
          <w:sz w:val="24"/>
          <w:szCs w:val="24"/>
          <w:lang w:val="en-ZA"/>
        </w:rPr>
        <w:lastRenderedPageBreak/>
        <w:t>procedure</w:t>
      </w:r>
      <w:r w:rsidR="00746D5D" w:rsidRPr="00304EC1">
        <w:rPr>
          <w:rFonts w:ascii="Arial" w:hAnsi="Arial" w:cs="Arial"/>
          <w:color w:val="000000" w:themeColor="text1"/>
          <w:sz w:val="24"/>
          <w:szCs w:val="24"/>
          <w:lang w:val="en-ZA"/>
        </w:rPr>
        <w:t>. T</w:t>
      </w:r>
      <w:r w:rsidR="008B56D7" w:rsidRPr="00304EC1">
        <w:rPr>
          <w:rFonts w:ascii="Arial" w:hAnsi="Arial" w:cs="Arial"/>
          <w:color w:val="000000" w:themeColor="text1"/>
          <w:sz w:val="24"/>
          <w:szCs w:val="24"/>
          <w:lang w:val="en-ZA"/>
        </w:rPr>
        <w:t>he applicant has failed to make out a proper case for the court to grant a punitive c</w:t>
      </w:r>
      <w:r w:rsidR="00263825" w:rsidRPr="00304EC1">
        <w:rPr>
          <w:rFonts w:ascii="Arial" w:hAnsi="Arial" w:cs="Arial"/>
          <w:color w:val="000000" w:themeColor="text1"/>
          <w:sz w:val="24"/>
          <w:szCs w:val="24"/>
          <w:lang w:val="en-ZA"/>
        </w:rPr>
        <w:t>ost order against the second respondent.</w:t>
      </w:r>
    </w:p>
    <w:p w:rsidR="00263825" w:rsidRPr="00304EC1" w:rsidRDefault="00263825" w:rsidP="00E122AB">
      <w:pPr>
        <w:jc w:val="both"/>
        <w:rPr>
          <w:rFonts w:ascii="Arial" w:hAnsi="Arial" w:cs="Arial"/>
          <w:color w:val="000000" w:themeColor="text1"/>
          <w:sz w:val="24"/>
          <w:szCs w:val="24"/>
          <w:lang w:val="en-ZA"/>
        </w:rPr>
      </w:pPr>
    </w:p>
    <w:p w:rsidR="00D648B7" w:rsidRPr="00304EC1" w:rsidRDefault="00D648B7" w:rsidP="00E122AB">
      <w:pPr>
        <w:jc w:val="both"/>
        <w:rPr>
          <w:rFonts w:ascii="Arial" w:hAnsi="Arial" w:cs="Arial"/>
          <w:b/>
          <w:color w:val="000000" w:themeColor="text1"/>
          <w:sz w:val="24"/>
          <w:szCs w:val="24"/>
          <w:lang w:val="en-ZA"/>
        </w:rPr>
      </w:pPr>
      <w:r w:rsidRPr="00304EC1">
        <w:rPr>
          <w:rFonts w:ascii="Arial" w:hAnsi="Arial" w:cs="Arial"/>
          <w:b/>
          <w:color w:val="000000" w:themeColor="text1"/>
          <w:sz w:val="24"/>
          <w:szCs w:val="24"/>
          <w:lang w:val="en-ZA"/>
        </w:rPr>
        <w:t>ANALYSIS</w:t>
      </w:r>
      <w:r w:rsidR="008B56D7" w:rsidRPr="00304EC1">
        <w:rPr>
          <w:rFonts w:ascii="Arial" w:hAnsi="Arial" w:cs="Arial"/>
          <w:b/>
          <w:color w:val="000000" w:themeColor="text1"/>
          <w:sz w:val="24"/>
          <w:szCs w:val="24"/>
          <w:lang w:val="en-ZA"/>
        </w:rPr>
        <w:t>.</w:t>
      </w:r>
    </w:p>
    <w:p w:rsidR="00505E01" w:rsidRPr="00304EC1" w:rsidRDefault="004C0761" w:rsidP="00E122AB">
      <w:pPr>
        <w:jc w:val="both"/>
        <w:rPr>
          <w:rFonts w:ascii="Arial" w:hAnsi="Arial" w:cs="Arial"/>
          <w:color w:val="000000" w:themeColor="text1"/>
          <w:sz w:val="24"/>
          <w:szCs w:val="24"/>
          <w:lang w:val="en-ZA"/>
        </w:rPr>
      </w:pPr>
      <w:r w:rsidRPr="00304EC1">
        <w:rPr>
          <w:rFonts w:ascii="Arial" w:hAnsi="Arial" w:cs="Arial"/>
          <w:color w:val="000000" w:themeColor="text1"/>
          <w:sz w:val="24"/>
          <w:szCs w:val="24"/>
          <w:lang w:val="en-ZA"/>
        </w:rPr>
        <w:t>[</w:t>
      </w:r>
      <w:r w:rsidR="00C3105F">
        <w:rPr>
          <w:rFonts w:ascii="Arial" w:hAnsi="Arial" w:cs="Arial"/>
          <w:color w:val="000000" w:themeColor="text1"/>
          <w:sz w:val="24"/>
          <w:szCs w:val="24"/>
          <w:lang w:val="en-ZA"/>
        </w:rPr>
        <w:t>23</w:t>
      </w:r>
      <w:r w:rsidR="00505E01" w:rsidRPr="00304EC1">
        <w:rPr>
          <w:rFonts w:ascii="Arial" w:hAnsi="Arial" w:cs="Arial"/>
          <w:color w:val="000000" w:themeColor="text1"/>
          <w:sz w:val="24"/>
          <w:szCs w:val="24"/>
          <w:lang w:val="en-ZA"/>
        </w:rPr>
        <w:t>] The parties</w:t>
      </w:r>
      <w:r w:rsidR="00D648B7" w:rsidRPr="00304EC1">
        <w:rPr>
          <w:rFonts w:ascii="Arial" w:hAnsi="Arial" w:cs="Arial"/>
          <w:color w:val="000000" w:themeColor="text1"/>
          <w:sz w:val="24"/>
          <w:szCs w:val="24"/>
          <w:lang w:val="en-ZA"/>
        </w:rPr>
        <w:t xml:space="preserve"> raised </w:t>
      </w:r>
      <w:r w:rsidR="00BF58BF" w:rsidRPr="00304EC1">
        <w:rPr>
          <w:rFonts w:ascii="Arial" w:hAnsi="Arial" w:cs="Arial"/>
          <w:color w:val="000000" w:themeColor="text1"/>
          <w:sz w:val="24"/>
          <w:szCs w:val="24"/>
          <w:lang w:val="en-ZA"/>
        </w:rPr>
        <w:t>several</w:t>
      </w:r>
      <w:r w:rsidR="00D648B7" w:rsidRPr="00304EC1">
        <w:rPr>
          <w:rFonts w:ascii="Arial" w:hAnsi="Arial" w:cs="Arial"/>
          <w:color w:val="000000" w:themeColor="text1"/>
          <w:sz w:val="24"/>
          <w:szCs w:val="24"/>
          <w:lang w:val="en-ZA"/>
        </w:rPr>
        <w:t xml:space="preserve"> issues and I shall deal with each hereunder.</w:t>
      </w:r>
    </w:p>
    <w:p w:rsidR="005508BE" w:rsidRPr="00304EC1" w:rsidRDefault="0071434B" w:rsidP="00E122AB">
      <w:pPr>
        <w:jc w:val="both"/>
        <w:rPr>
          <w:rFonts w:ascii="Arial" w:hAnsi="Arial" w:cs="Arial"/>
          <w:b/>
          <w:color w:val="000000" w:themeColor="text1"/>
          <w:sz w:val="24"/>
          <w:szCs w:val="24"/>
          <w:lang w:val="en-ZA"/>
        </w:rPr>
      </w:pPr>
      <w:r w:rsidRPr="00304EC1">
        <w:rPr>
          <w:rFonts w:ascii="Arial" w:hAnsi="Arial" w:cs="Arial"/>
          <w:b/>
          <w:color w:val="000000" w:themeColor="text1"/>
          <w:sz w:val="24"/>
          <w:szCs w:val="24"/>
          <w:lang w:val="en-ZA"/>
        </w:rPr>
        <w:t>JURISDICTION.</w:t>
      </w:r>
    </w:p>
    <w:p w:rsidR="00125523" w:rsidRPr="00304EC1" w:rsidRDefault="004C0761" w:rsidP="00707B90">
      <w:pPr>
        <w:spacing w:line="360" w:lineRule="auto"/>
        <w:jc w:val="both"/>
        <w:rPr>
          <w:rFonts w:ascii="Arial" w:hAnsi="Arial" w:cs="Arial"/>
          <w:color w:val="000000" w:themeColor="text1"/>
          <w:sz w:val="24"/>
          <w:szCs w:val="24"/>
          <w:lang w:val="en-ZA"/>
        </w:rPr>
      </w:pPr>
      <w:r w:rsidRPr="00304EC1">
        <w:rPr>
          <w:rFonts w:ascii="Arial" w:hAnsi="Arial" w:cs="Arial"/>
          <w:color w:val="000000" w:themeColor="text1"/>
          <w:sz w:val="24"/>
          <w:szCs w:val="24"/>
          <w:lang w:val="en-ZA"/>
        </w:rPr>
        <w:t>[</w:t>
      </w:r>
      <w:r w:rsidR="00E86E80">
        <w:rPr>
          <w:rFonts w:ascii="Arial" w:hAnsi="Arial" w:cs="Arial"/>
          <w:color w:val="000000" w:themeColor="text1"/>
          <w:sz w:val="24"/>
          <w:szCs w:val="24"/>
          <w:lang w:val="en-ZA"/>
        </w:rPr>
        <w:t>24</w:t>
      </w:r>
      <w:r w:rsidR="004F0650" w:rsidRPr="00304EC1">
        <w:rPr>
          <w:rFonts w:ascii="Arial" w:hAnsi="Arial" w:cs="Arial"/>
          <w:color w:val="000000" w:themeColor="text1"/>
          <w:sz w:val="24"/>
          <w:szCs w:val="24"/>
          <w:lang w:val="en-ZA"/>
        </w:rPr>
        <w:t xml:space="preserve">] </w:t>
      </w:r>
      <w:r w:rsidR="00E72554" w:rsidRPr="00304EC1">
        <w:rPr>
          <w:rFonts w:ascii="Arial" w:hAnsi="Arial" w:cs="Arial"/>
          <w:color w:val="000000" w:themeColor="text1"/>
          <w:sz w:val="24"/>
          <w:szCs w:val="24"/>
          <w:lang w:val="en-ZA"/>
        </w:rPr>
        <w:t xml:space="preserve">In motion proceedings, the affidavit </w:t>
      </w:r>
      <w:r w:rsidR="00074F00" w:rsidRPr="00304EC1">
        <w:rPr>
          <w:rFonts w:ascii="Arial" w:hAnsi="Arial" w:cs="Arial"/>
          <w:color w:val="000000" w:themeColor="text1"/>
          <w:sz w:val="24"/>
          <w:szCs w:val="24"/>
          <w:lang w:val="en-ZA"/>
        </w:rPr>
        <w:t>constitutes</w:t>
      </w:r>
      <w:r w:rsidR="00E72554" w:rsidRPr="00304EC1">
        <w:rPr>
          <w:rFonts w:ascii="Arial" w:hAnsi="Arial" w:cs="Arial"/>
          <w:color w:val="000000" w:themeColor="text1"/>
          <w:sz w:val="24"/>
          <w:szCs w:val="24"/>
          <w:lang w:val="en-ZA"/>
        </w:rPr>
        <w:t xml:space="preserve"> the pleadings and the evidence.  It is required that the issues and averments a party relies on must appear clearly in its affidavits. It is trite law that the applicant must make out its case in its founding affidavit and it must contain sufficient facts upon which the court may find in his </w:t>
      </w:r>
      <w:r w:rsidR="0071434B" w:rsidRPr="00304EC1">
        <w:rPr>
          <w:rFonts w:ascii="Arial" w:hAnsi="Arial" w:cs="Arial"/>
          <w:color w:val="000000" w:themeColor="text1"/>
          <w:sz w:val="24"/>
          <w:szCs w:val="24"/>
          <w:lang w:val="en-ZA"/>
        </w:rPr>
        <w:t>favour</w:t>
      </w:r>
      <w:r w:rsidR="00E72554" w:rsidRPr="00304EC1">
        <w:rPr>
          <w:rFonts w:ascii="Arial" w:hAnsi="Arial" w:cs="Arial"/>
          <w:color w:val="000000" w:themeColor="text1"/>
          <w:sz w:val="24"/>
          <w:szCs w:val="24"/>
          <w:lang w:val="en-ZA"/>
        </w:rPr>
        <w:t>.</w:t>
      </w:r>
    </w:p>
    <w:p w:rsidR="00AE513A" w:rsidRPr="00304EC1" w:rsidRDefault="004C0761" w:rsidP="00707B90">
      <w:pPr>
        <w:spacing w:line="360" w:lineRule="auto"/>
        <w:jc w:val="both"/>
        <w:rPr>
          <w:rFonts w:ascii="Arial" w:hAnsi="Arial" w:cs="Arial"/>
          <w:color w:val="000000" w:themeColor="text1"/>
          <w:sz w:val="24"/>
          <w:szCs w:val="24"/>
          <w:lang w:val="en-ZA"/>
        </w:rPr>
      </w:pPr>
      <w:r w:rsidRPr="00304EC1">
        <w:rPr>
          <w:rFonts w:ascii="Arial" w:hAnsi="Arial" w:cs="Arial"/>
          <w:color w:val="000000" w:themeColor="text1"/>
          <w:sz w:val="24"/>
          <w:szCs w:val="24"/>
          <w:lang w:val="en-ZA"/>
        </w:rPr>
        <w:t>[</w:t>
      </w:r>
      <w:r w:rsidR="00E86E80">
        <w:rPr>
          <w:rFonts w:ascii="Arial" w:hAnsi="Arial" w:cs="Arial"/>
          <w:color w:val="000000" w:themeColor="text1"/>
          <w:sz w:val="24"/>
          <w:szCs w:val="24"/>
          <w:lang w:val="en-ZA"/>
        </w:rPr>
        <w:t>25</w:t>
      </w:r>
      <w:r w:rsidR="00A36A18" w:rsidRPr="00304EC1">
        <w:rPr>
          <w:rFonts w:ascii="Arial" w:hAnsi="Arial" w:cs="Arial"/>
          <w:color w:val="000000" w:themeColor="text1"/>
          <w:sz w:val="24"/>
          <w:szCs w:val="24"/>
          <w:lang w:val="en-ZA"/>
        </w:rPr>
        <w:t>] In Minister of Land Affairs</w:t>
      </w:r>
      <w:r w:rsidR="004E4BB4" w:rsidRPr="00304EC1">
        <w:rPr>
          <w:rFonts w:ascii="Arial" w:hAnsi="Arial" w:cs="Arial"/>
          <w:color w:val="000000" w:themeColor="text1"/>
          <w:sz w:val="24"/>
          <w:szCs w:val="24"/>
          <w:lang w:val="en-ZA"/>
        </w:rPr>
        <w:t xml:space="preserve"> and </w:t>
      </w:r>
      <w:r w:rsidR="00D20028" w:rsidRPr="00304EC1">
        <w:rPr>
          <w:rFonts w:ascii="Arial" w:hAnsi="Arial" w:cs="Arial"/>
          <w:color w:val="000000" w:themeColor="text1"/>
          <w:sz w:val="24"/>
          <w:szCs w:val="24"/>
          <w:lang w:val="en-ZA"/>
        </w:rPr>
        <w:t>Agriculture</w:t>
      </w:r>
      <w:r w:rsidR="004E4BB4" w:rsidRPr="00304EC1">
        <w:rPr>
          <w:rFonts w:ascii="Arial" w:hAnsi="Arial" w:cs="Arial"/>
          <w:color w:val="000000" w:themeColor="text1"/>
          <w:sz w:val="24"/>
          <w:szCs w:val="24"/>
          <w:lang w:val="en-ZA"/>
        </w:rPr>
        <w:t xml:space="preserve"> v D &amp; Wevel Trust and others</w:t>
      </w:r>
      <w:r w:rsidR="00A36A18" w:rsidRPr="00304EC1">
        <w:rPr>
          <w:rStyle w:val="FootnoteReference"/>
          <w:rFonts w:ascii="Arial" w:hAnsi="Arial" w:cs="Arial"/>
          <w:color w:val="000000" w:themeColor="text1"/>
          <w:sz w:val="24"/>
          <w:szCs w:val="24"/>
          <w:lang w:val="en-ZA"/>
        </w:rPr>
        <w:footnoteReference w:id="1"/>
      </w:r>
    </w:p>
    <w:p w:rsidR="0071434B" w:rsidRPr="00304EC1" w:rsidRDefault="005B21E9" w:rsidP="00245D8E">
      <w:pPr>
        <w:pStyle w:val="ListParagraph"/>
        <w:spacing w:line="360" w:lineRule="auto"/>
        <w:rPr>
          <w:rFonts w:ascii="Arial" w:hAnsi="Arial" w:cs="Arial"/>
          <w:sz w:val="24"/>
          <w:szCs w:val="24"/>
          <w:lang w:val="en-ZA"/>
        </w:rPr>
      </w:pPr>
      <w:r w:rsidRPr="00304EC1">
        <w:rPr>
          <w:rFonts w:ascii="Arial" w:hAnsi="Arial" w:cs="Arial"/>
          <w:sz w:val="24"/>
          <w:szCs w:val="24"/>
          <w:lang w:val="en-ZA"/>
        </w:rPr>
        <w:t>“In motion proceedings, the affidavits constitute both the pleadings and the evidence … and the issues and averments in support of the parties' cases s</w:t>
      </w:r>
      <w:r w:rsidR="00245D8E" w:rsidRPr="00304EC1">
        <w:rPr>
          <w:rFonts w:ascii="Arial" w:hAnsi="Arial" w:cs="Arial"/>
          <w:sz w:val="24"/>
          <w:szCs w:val="24"/>
          <w:lang w:val="en-ZA"/>
        </w:rPr>
        <w:t>hould appear clearly therefrom”</w:t>
      </w:r>
    </w:p>
    <w:p w:rsidR="004C0761" w:rsidRPr="00304EC1" w:rsidRDefault="0071434B" w:rsidP="00707B90">
      <w:pPr>
        <w:spacing w:line="360" w:lineRule="auto"/>
        <w:jc w:val="both"/>
        <w:rPr>
          <w:rFonts w:ascii="Arial" w:hAnsi="Arial" w:cs="Arial"/>
          <w:color w:val="000000" w:themeColor="text1"/>
          <w:sz w:val="24"/>
          <w:szCs w:val="24"/>
          <w:lang w:val="en-ZA"/>
        </w:rPr>
      </w:pPr>
      <w:r w:rsidRPr="00304EC1">
        <w:rPr>
          <w:rFonts w:ascii="Arial" w:hAnsi="Arial" w:cs="Arial"/>
          <w:color w:val="000000" w:themeColor="text1"/>
          <w:sz w:val="24"/>
          <w:szCs w:val="24"/>
          <w:lang w:val="en-ZA"/>
        </w:rPr>
        <w:t>[</w:t>
      </w:r>
      <w:r w:rsidR="00E86E80">
        <w:rPr>
          <w:rFonts w:ascii="Arial" w:hAnsi="Arial" w:cs="Arial"/>
          <w:color w:val="000000" w:themeColor="text1"/>
          <w:sz w:val="24"/>
          <w:szCs w:val="24"/>
          <w:lang w:val="en-ZA"/>
        </w:rPr>
        <w:t>26</w:t>
      </w:r>
      <w:r w:rsidR="00245D8E" w:rsidRPr="00304EC1">
        <w:rPr>
          <w:rFonts w:ascii="Arial" w:hAnsi="Arial" w:cs="Arial"/>
          <w:color w:val="000000" w:themeColor="text1"/>
          <w:sz w:val="24"/>
          <w:szCs w:val="24"/>
          <w:lang w:val="en-ZA"/>
        </w:rPr>
        <w:t xml:space="preserve">] Both the first and the second respondents did not raise the issue of jurisdiction in their respective affidavits. The issue was raised by the second respondent’s counsel in her </w:t>
      </w:r>
      <w:r w:rsidR="00D20028" w:rsidRPr="00304EC1">
        <w:rPr>
          <w:rFonts w:ascii="Arial" w:hAnsi="Arial" w:cs="Arial"/>
          <w:color w:val="000000" w:themeColor="text1"/>
          <w:sz w:val="24"/>
          <w:szCs w:val="24"/>
          <w:lang w:val="en-ZA"/>
        </w:rPr>
        <w:t>heads</w:t>
      </w:r>
      <w:r w:rsidR="00245D8E" w:rsidRPr="00304EC1">
        <w:rPr>
          <w:rFonts w:ascii="Arial" w:hAnsi="Arial" w:cs="Arial"/>
          <w:color w:val="000000" w:themeColor="text1"/>
          <w:sz w:val="24"/>
          <w:szCs w:val="24"/>
          <w:lang w:val="en-ZA"/>
        </w:rPr>
        <w:t xml:space="preserve"> of arguments. I am persuaded by the submissions of the applicant’s counsel to the effect that both the first and the second respondents did not make </w:t>
      </w:r>
      <w:r w:rsidR="00BF58BF" w:rsidRPr="00304EC1">
        <w:rPr>
          <w:rFonts w:ascii="Arial" w:hAnsi="Arial" w:cs="Arial"/>
          <w:color w:val="000000" w:themeColor="text1"/>
          <w:sz w:val="24"/>
          <w:szCs w:val="24"/>
          <w:lang w:val="en-ZA"/>
        </w:rPr>
        <w:t xml:space="preserve">out </w:t>
      </w:r>
      <w:r w:rsidR="00245D8E" w:rsidRPr="00304EC1">
        <w:rPr>
          <w:rFonts w:ascii="Arial" w:hAnsi="Arial" w:cs="Arial"/>
          <w:color w:val="000000" w:themeColor="text1"/>
          <w:sz w:val="24"/>
          <w:szCs w:val="24"/>
          <w:lang w:val="en-ZA"/>
        </w:rPr>
        <w:t xml:space="preserve">a case in this regard in their </w:t>
      </w:r>
      <w:r w:rsidR="004C0761" w:rsidRPr="00304EC1">
        <w:rPr>
          <w:rFonts w:ascii="Arial" w:hAnsi="Arial" w:cs="Arial"/>
          <w:color w:val="000000" w:themeColor="text1"/>
          <w:sz w:val="24"/>
          <w:szCs w:val="24"/>
          <w:lang w:val="en-ZA"/>
        </w:rPr>
        <w:t xml:space="preserve">respective </w:t>
      </w:r>
      <w:r w:rsidR="00245D8E" w:rsidRPr="00304EC1">
        <w:rPr>
          <w:rFonts w:ascii="Arial" w:hAnsi="Arial" w:cs="Arial"/>
          <w:color w:val="000000" w:themeColor="text1"/>
          <w:sz w:val="24"/>
          <w:szCs w:val="24"/>
          <w:lang w:val="en-ZA"/>
        </w:rPr>
        <w:t xml:space="preserve">affidavits. </w:t>
      </w:r>
      <w:r w:rsidR="004C0761" w:rsidRPr="00304EC1">
        <w:rPr>
          <w:rFonts w:ascii="Arial" w:hAnsi="Arial" w:cs="Arial"/>
          <w:color w:val="000000" w:themeColor="text1"/>
          <w:sz w:val="24"/>
          <w:szCs w:val="24"/>
          <w:lang w:val="en-ZA"/>
        </w:rPr>
        <w:t>In my view, this amounts to trial by ambush.</w:t>
      </w:r>
      <w:r w:rsidR="00C807D5" w:rsidRPr="00304EC1">
        <w:rPr>
          <w:rFonts w:ascii="Arial" w:hAnsi="Arial" w:cs="Arial"/>
          <w:color w:val="000000" w:themeColor="text1"/>
          <w:sz w:val="24"/>
          <w:szCs w:val="24"/>
          <w:lang w:val="en-ZA"/>
        </w:rPr>
        <w:t xml:space="preserve"> The</w:t>
      </w:r>
      <w:r w:rsidR="004C0761" w:rsidRPr="00304EC1">
        <w:rPr>
          <w:rFonts w:ascii="Arial" w:hAnsi="Arial" w:cs="Arial"/>
          <w:color w:val="000000" w:themeColor="text1"/>
          <w:sz w:val="24"/>
          <w:szCs w:val="24"/>
          <w:lang w:val="en-ZA"/>
        </w:rPr>
        <w:t>refore, the</w:t>
      </w:r>
      <w:r w:rsidR="00C807D5" w:rsidRPr="00304EC1">
        <w:rPr>
          <w:rFonts w:ascii="Arial" w:hAnsi="Arial" w:cs="Arial"/>
          <w:color w:val="000000" w:themeColor="text1"/>
          <w:sz w:val="24"/>
          <w:szCs w:val="24"/>
          <w:lang w:val="en-ZA"/>
        </w:rPr>
        <w:t xml:space="preserve"> submissions of </w:t>
      </w:r>
      <w:r w:rsidR="00BF58BF" w:rsidRPr="00304EC1">
        <w:rPr>
          <w:rFonts w:ascii="Arial" w:hAnsi="Arial" w:cs="Arial"/>
          <w:color w:val="000000" w:themeColor="text1"/>
          <w:sz w:val="24"/>
          <w:szCs w:val="24"/>
          <w:lang w:val="en-ZA"/>
        </w:rPr>
        <w:t xml:space="preserve">the </w:t>
      </w:r>
      <w:r w:rsidR="00C807D5" w:rsidRPr="00304EC1">
        <w:rPr>
          <w:rFonts w:ascii="Arial" w:hAnsi="Arial" w:cs="Arial"/>
          <w:color w:val="000000" w:themeColor="text1"/>
          <w:sz w:val="24"/>
          <w:szCs w:val="24"/>
          <w:lang w:val="en-ZA"/>
        </w:rPr>
        <w:t xml:space="preserve">first and </w:t>
      </w:r>
      <w:r w:rsidR="004E4BB4" w:rsidRPr="00304EC1">
        <w:rPr>
          <w:rFonts w:ascii="Arial" w:hAnsi="Arial" w:cs="Arial"/>
          <w:color w:val="000000" w:themeColor="text1"/>
          <w:sz w:val="24"/>
          <w:szCs w:val="24"/>
          <w:lang w:val="en-ZA"/>
        </w:rPr>
        <w:t>second respondent</w:t>
      </w:r>
      <w:r w:rsidR="00C807D5" w:rsidRPr="00304EC1">
        <w:rPr>
          <w:rFonts w:ascii="Arial" w:hAnsi="Arial" w:cs="Arial"/>
          <w:color w:val="000000" w:themeColor="text1"/>
          <w:sz w:val="24"/>
          <w:szCs w:val="24"/>
          <w:lang w:val="en-ZA"/>
        </w:rPr>
        <w:t>’</w:t>
      </w:r>
      <w:r w:rsidR="004E4BB4" w:rsidRPr="00304EC1">
        <w:rPr>
          <w:rFonts w:ascii="Arial" w:hAnsi="Arial" w:cs="Arial"/>
          <w:color w:val="000000" w:themeColor="text1"/>
          <w:sz w:val="24"/>
          <w:szCs w:val="24"/>
          <w:lang w:val="en-ZA"/>
        </w:rPr>
        <w:t xml:space="preserve">s </w:t>
      </w:r>
      <w:r w:rsidR="00C807D5" w:rsidRPr="00304EC1">
        <w:rPr>
          <w:rFonts w:ascii="Arial" w:hAnsi="Arial" w:cs="Arial"/>
          <w:color w:val="000000" w:themeColor="text1"/>
          <w:sz w:val="24"/>
          <w:szCs w:val="24"/>
          <w:lang w:val="en-ZA"/>
        </w:rPr>
        <w:t xml:space="preserve">counsels </w:t>
      </w:r>
      <w:r w:rsidR="004C0761" w:rsidRPr="00304EC1">
        <w:rPr>
          <w:rFonts w:ascii="Arial" w:hAnsi="Arial" w:cs="Arial"/>
          <w:color w:val="000000" w:themeColor="text1"/>
          <w:sz w:val="24"/>
          <w:szCs w:val="24"/>
          <w:lang w:val="en-ZA"/>
        </w:rPr>
        <w:t>are</w:t>
      </w:r>
      <w:r w:rsidR="004E4BB4" w:rsidRPr="00304EC1">
        <w:rPr>
          <w:rFonts w:ascii="Arial" w:hAnsi="Arial" w:cs="Arial"/>
          <w:color w:val="000000" w:themeColor="text1"/>
          <w:sz w:val="24"/>
          <w:szCs w:val="24"/>
          <w:lang w:val="en-ZA"/>
        </w:rPr>
        <w:t xml:space="preserve"> rejected.</w:t>
      </w:r>
      <w:r w:rsidR="00245D8E" w:rsidRPr="00304EC1">
        <w:rPr>
          <w:rFonts w:ascii="Arial" w:hAnsi="Arial" w:cs="Arial"/>
          <w:color w:val="000000" w:themeColor="text1"/>
          <w:sz w:val="24"/>
          <w:szCs w:val="24"/>
          <w:lang w:val="en-ZA"/>
        </w:rPr>
        <w:t xml:space="preserve"> </w:t>
      </w:r>
    </w:p>
    <w:p w:rsidR="00263825" w:rsidRPr="00304EC1" w:rsidRDefault="00263825" w:rsidP="00707B90">
      <w:pPr>
        <w:spacing w:line="360" w:lineRule="auto"/>
        <w:jc w:val="both"/>
        <w:rPr>
          <w:rFonts w:ascii="Arial" w:hAnsi="Arial" w:cs="Arial"/>
          <w:color w:val="000000" w:themeColor="text1"/>
          <w:sz w:val="24"/>
          <w:szCs w:val="24"/>
          <w:lang w:val="en-ZA"/>
        </w:rPr>
      </w:pPr>
    </w:p>
    <w:p w:rsidR="00CC389F" w:rsidRPr="00304EC1" w:rsidRDefault="00CC389F" w:rsidP="00707B90">
      <w:pPr>
        <w:spacing w:line="360" w:lineRule="auto"/>
        <w:jc w:val="both"/>
        <w:rPr>
          <w:rFonts w:ascii="Arial" w:hAnsi="Arial" w:cs="Arial"/>
          <w:b/>
          <w:color w:val="000000" w:themeColor="text1"/>
          <w:sz w:val="24"/>
          <w:szCs w:val="24"/>
          <w:lang w:val="en-ZA"/>
        </w:rPr>
      </w:pPr>
      <w:r w:rsidRPr="00304EC1">
        <w:rPr>
          <w:rFonts w:ascii="Arial" w:hAnsi="Arial" w:cs="Arial"/>
          <w:b/>
          <w:color w:val="000000" w:themeColor="text1"/>
          <w:sz w:val="24"/>
          <w:szCs w:val="24"/>
          <w:lang w:val="en-ZA"/>
        </w:rPr>
        <w:t xml:space="preserve"> LOCUS STANDI.</w:t>
      </w:r>
    </w:p>
    <w:p w:rsidR="00BC5039" w:rsidRPr="00304EC1" w:rsidRDefault="004C0761" w:rsidP="00707B90">
      <w:pPr>
        <w:spacing w:line="360" w:lineRule="auto"/>
        <w:jc w:val="both"/>
        <w:rPr>
          <w:rFonts w:ascii="Arial" w:hAnsi="Arial" w:cs="Arial"/>
          <w:color w:val="000000" w:themeColor="text1"/>
          <w:sz w:val="24"/>
          <w:szCs w:val="24"/>
          <w:lang w:val="en-ZA"/>
        </w:rPr>
      </w:pPr>
      <w:r w:rsidRPr="00304EC1">
        <w:rPr>
          <w:rFonts w:ascii="Arial" w:hAnsi="Arial" w:cs="Arial"/>
          <w:color w:val="000000" w:themeColor="text1"/>
          <w:sz w:val="24"/>
          <w:szCs w:val="24"/>
          <w:lang w:val="en-ZA"/>
        </w:rPr>
        <w:t>[2</w:t>
      </w:r>
      <w:r w:rsidR="00E86E80">
        <w:rPr>
          <w:rFonts w:ascii="Arial" w:hAnsi="Arial" w:cs="Arial"/>
          <w:color w:val="000000" w:themeColor="text1"/>
          <w:sz w:val="24"/>
          <w:szCs w:val="24"/>
          <w:lang w:val="en-ZA"/>
        </w:rPr>
        <w:t>7</w:t>
      </w:r>
      <w:r w:rsidRPr="00304EC1">
        <w:rPr>
          <w:rFonts w:ascii="Arial" w:hAnsi="Arial" w:cs="Arial"/>
          <w:color w:val="000000" w:themeColor="text1"/>
          <w:sz w:val="24"/>
          <w:szCs w:val="24"/>
          <w:lang w:val="en-ZA"/>
        </w:rPr>
        <w:t xml:space="preserve">] </w:t>
      </w:r>
      <w:r w:rsidR="00FA3F45" w:rsidRPr="00304EC1">
        <w:rPr>
          <w:rFonts w:ascii="Arial" w:hAnsi="Arial" w:cs="Arial"/>
          <w:color w:val="000000" w:themeColor="text1"/>
          <w:sz w:val="24"/>
          <w:szCs w:val="24"/>
          <w:lang w:val="en-ZA"/>
        </w:rPr>
        <w:t>The applicant’s counsel is relying on the matter of Ganes and Another v. Telecom Namibia Ltd</w:t>
      </w:r>
      <w:r w:rsidR="00FA3F45" w:rsidRPr="00304EC1">
        <w:rPr>
          <w:rStyle w:val="FootnoteReference"/>
          <w:rFonts w:ascii="Arial" w:hAnsi="Arial" w:cs="Arial"/>
          <w:color w:val="000000" w:themeColor="text1"/>
          <w:sz w:val="24"/>
          <w:szCs w:val="24"/>
          <w:lang w:val="en-ZA"/>
        </w:rPr>
        <w:footnoteReference w:id="2"/>
      </w:r>
      <w:r w:rsidR="00FA3F45" w:rsidRPr="00304EC1">
        <w:rPr>
          <w:rFonts w:ascii="Arial" w:hAnsi="Arial" w:cs="Arial"/>
          <w:color w:val="000000" w:themeColor="text1"/>
          <w:sz w:val="24"/>
          <w:szCs w:val="24"/>
          <w:lang w:val="en-ZA"/>
        </w:rPr>
        <w:t xml:space="preserve"> and submitted a power of attorney.</w:t>
      </w:r>
      <w:r w:rsidR="00263825" w:rsidRPr="00304EC1">
        <w:rPr>
          <w:rFonts w:ascii="Arial" w:hAnsi="Arial" w:cs="Arial"/>
          <w:color w:val="000000" w:themeColor="text1"/>
          <w:sz w:val="24"/>
          <w:szCs w:val="24"/>
          <w:lang w:val="en-ZA"/>
        </w:rPr>
        <w:t xml:space="preserve"> The facts </w:t>
      </w:r>
      <w:r w:rsidR="00967565" w:rsidRPr="00304EC1">
        <w:rPr>
          <w:rFonts w:ascii="Arial" w:hAnsi="Arial" w:cs="Arial"/>
          <w:color w:val="000000" w:themeColor="text1"/>
          <w:sz w:val="24"/>
          <w:szCs w:val="24"/>
          <w:lang w:val="en-ZA"/>
        </w:rPr>
        <w:t xml:space="preserve">of </w:t>
      </w:r>
      <w:r w:rsidR="00263825" w:rsidRPr="00304EC1">
        <w:rPr>
          <w:rFonts w:ascii="Arial" w:hAnsi="Arial" w:cs="Arial"/>
          <w:color w:val="000000" w:themeColor="text1"/>
          <w:sz w:val="24"/>
          <w:szCs w:val="24"/>
          <w:lang w:val="en-ZA"/>
        </w:rPr>
        <w:t>the</w:t>
      </w:r>
      <w:r w:rsidR="001F0FD8" w:rsidRPr="00304EC1">
        <w:rPr>
          <w:rFonts w:ascii="Arial" w:hAnsi="Arial" w:cs="Arial"/>
          <w:color w:val="000000" w:themeColor="text1"/>
          <w:sz w:val="24"/>
          <w:szCs w:val="24"/>
          <w:lang w:val="en-ZA"/>
        </w:rPr>
        <w:t xml:space="preserve"> matter</w:t>
      </w:r>
      <w:r w:rsidR="00263825" w:rsidRPr="00304EC1">
        <w:rPr>
          <w:rFonts w:ascii="Arial" w:hAnsi="Arial" w:cs="Arial"/>
          <w:color w:val="000000" w:themeColor="text1"/>
          <w:sz w:val="24"/>
          <w:szCs w:val="24"/>
          <w:lang w:val="en-ZA"/>
        </w:rPr>
        <w:t xml:space="preserve"> the applicant is referring to</w:t>
      </w:r>
      <w:r w:rsidR="00F701F2" w:rsidRPr="00304EC1">
        <w:rPr>
          <w:rFonts w:ascii="Arial" w:hAnsi="Arial" w:cs="Arial"/>
          <w:color w:val="000000" w:themeColor="text1"/>
          <w:sz w:val="24"/>
          <w:szCs w:val="24"/>
          <w:lang w:val="en-ZA"/>
        </w:rPr>
        <w:t>, in my view,</w:t>
      </w:r>
      <w:r w:rsidR="001F0FD8" w:rsidRPr="00304EC1">
        <w:rPr>
          <w:rFonts w:ascii="Arial" w:hAnsi="Arial" w:cs="Arial"/>
          <w:color w:val="000000" w:themeColor="text1"/>
          <w:sz w:val="24"/>
          <w:szCs w:val="24"/>
          <w:lang w:val="en-ZA"/>
        </w:rPr>
        <w:t xml:space="preserve"> </w:t>
      </w:r>
      <w:r w:rsidR="00AA1FC8" w:rsidRPr="00304EC1">
        <w:rPr>
          <w:rFonts w:ascii="Arial" w:hAnsi="Arial" w:cs="Arial"/>
          <w:color w:val="000000" w:themeColor="text1"/>
          <w:sz w:val="24"/>
          <w:szCs w:val="24"/>
          <w:lang w:val="en-ZA"/>
        </w:rPr>
        <w:t>are</w:t>
      </w:r>
      <w:r w:rsidR="00C028DA" w:rsidRPr="00304EC1">
        <w:rPr>
          <w:rFonts w:ascii="Arial" w:hAnsi="Arial" w:cs="Arial"/>
          <w:color w:val="000000" w:themeColor="text1"/>
          <w:sz w:val="24"/>
          <w:szCs w:val="24"/>
          <w:lang w:val="en-ZA"/>
        </w:rPr>
        <w:t xml:space="preserve"> distinguishable from the facts</w:t>
      </w:r>
      <w:r w:rsidR="001F0FD8" w:rsidRPr="00304EC1">
        <w:rPr>
          <w:rFonts w:ascii="Arial" w:hAnsi="Arial" w:cs="Arial"/>
          <w:color w:val="000000" w:themeColor="text1"/>
          <w:sz w:val="24"/>
          <w:szCs w:val="24"/>
          <w:lang w:val="en-ZA"/>
        </w:rPr>
        <w:t xml:space="preserve"> in casu</w:t>
      </w:r>
      <w:r w:rsidR="00C43729" w:rsidRPr="00304EC1">
        <w:rPr>
          <w:rFonts w:ascii="Arial" w:hAnsi="Arial" w:cs="Arial"/>
          <w:color w:val="000000" w:themeColor="text1"/>
          <w:sz w:val="24"/>
          <w:szCs w:val="24"/>
          <w:lang w:val="en-ZA"/>
        </w:rPr>
        <w:t xml:space="preserve"> in</w:t>
      </w:r>
      <w:r w:rsidR="00074A80" w:rsidRPr="00304EC1">
        <w:rPr>
          <w:rFonts w:ascii="Arial" w:hAnsi="Arial" w:cs="Arial"/>
          <w:color w:val="000000" w:themeColor="text1"/>
          <w:sz w:val="24"/>
          <w:szCs w:val="24"/>
          <w:lang w:val="en-ZA"/>
        </w:rPr>
        <w:t xml:space="preserve"> that</w:t>
      </w:r>
      <w:r w:rsidR="00C43729" w:rsidRPr="00304EC1">
        <w:rPr>
          <w:rFonts w:ascii="Arial" w:hAnsi="Arial" w:cs="Arial"/>
          <w:color w:val="000000" w:themeColor="text1"/>
          <w:sz w:val="24"/>
          <w:szCs w:val="24"/>
          <w:lang w:val="en-ZA"/>
        </w:rPr>
        <w:t xml:space="preserve"> the founding affidav</w:t>
      </w:r>
      <w:r w:rsidR="00074A80" w:rsidRPr="00304EC1">
        <w:rPr>
          <w:rFonts w:ascii="Arial" w:hAnsi="Arial" w:cs="Arial"/>
          <w:color w:val="000000" w:themeColor="text1"/>
          <w:sz w:val="24"/>
          <w:szCs w:val="24"/>
          <w:lang w:val="en-ZA"/>
        </w:rPr>
        <w:t>it</w:t>
      </w:r>
      <w:r w:rsidR="00C43729" w:rsidRPr="00304EC1">
        <w:rPr>
          <w:rFonts w:ascii="Arial" w:hAnsi="Arial" w:cs="Arial"/>
          <w:color w:val="000000" w:themeColor="text1"/>
          <w:sz w:val="24"/>
          <w:szCs w:val="24"/>
          <w:lang w:val="en-ZA"/>
        </w:rPr>
        <w:t xml:space="preserve"> was deposed by Mr</w:t>
      </w:r>
      <w:r w:rsidR="00F701F2" w:rsidRPr="00304EC1">
        <w:rPr>
          <w:rFonts w:ascii="Arial" w:hAnsi="Arial" w:cs="Arial"/>
          <w:color w:val="000000" w:themeColor="text1"/>
          <w:sz w:val="24"/>
          <w:szCs w:val="24"/>
          <w:lang w:val="en-ZA"/>
        </w:rPr>
        <w:t>.</w:t>
      </w:r>
      <w:r w:rsidR="00C43729" w:rsidRPr="00304EC1">
        <w:rPr>
          <w:rFonts w:ascii="Arial" w:hAnsi="Arial" w:cs="Arial"/>
          <w:color w:val="000000" w:themeColor="text1"/>
          <w:sz w:val="24"/>
          <w:szCs w:val="24"/>
          <w:lang w:val="en-ZA"/>
        </w:rPr>
        <w:t xml:space="preserve"> Kurz, a director of the firm of the respondent’s attorneys </w:t>
      </w:r>
      <w:r w:rsidR="00263825" w:rsidRPr="00304EC1">
        <w:rPr>
          <w:rFonts w:ascii="Arial" w:hAnsi="Arial" w:cs="Arial"/>
          <w:color w:val="000000" w:themeColor="text1"/>
          <w:sz w:val="24"/>
          <w:szCs w:val="24"/>
          <w:lang w:val="en-ZA"/>
        </w:rPr>
        <w:t xml:space="preserve">who had instructions to act </w:t>
      </w:r>
      <w:r w:rsidR="00C028DA" w:rsidRPr="00304EC1">
        <w:rPr>
          <w:rFonts w:ascii="Arial" w:hAnsi="Arial" w:cs="Arial"/>
          <w:color w:val="000000" w:themeColor="text1"/>
          <w:sz w:val="24"/>
          <w:szCs w:val="24"/>
          <w:lang w:val="en-ZA"/>
        </w:rPr>
        <w:t xml:space="preserve">on their behalf </w:t>
      </w:r>
      <w:r w:rsidR="00074A80" w:rsidRPr="00304EC1">
        <w:rPr>
          <w:rFonts w:ascii="Arial" w:hAnsi="Arial" w:cs="Arial"/>
          <w:color w:val="000000" w:themeColor="text1"/>
          <w:sz w:val="24"/>
          <w:szCs w:val="24"/>
          <w:lang w:val="en-ZA"/>
        </w:rPr>
        <w:t>whereas in casu the fo</w:t>
      </w:r>
      <w:r w:rsidR="00C028DA" w:rsidRPr="00304EC1">
        <w:rPr>
          <w:rFonts w:ascii="Arial" w:hAnsi="Arial" w:cs="Arial"/>
          <w:color w:val="000000" w:themeColor="text1"/>
          <w:sz w:val="24"/>
          <w:szCs w:val="24"/>
          <w:lang w:val="en-ZA"/>
        </w:rPr>
        <w:t xml:space="preserve">unding affidavit was deposed </w:t>
      </w:r>
      <w:r w:rsidR="00074A80" w:rsidRPr="00304EC1">
        <w:rPr>
          <w:rFonts w:ascii="Arial" w:hAnsi="Arial" w:cs="Arial"/>
          <w:color w:val="000000" w:themeColor="text1"/>
          <w:sz w:val="24"/>
          <w:szCs w:val="24"/>
          <w:lang w:val="en-ZA"/>
        </w:rPr>
        <w:t>by a General Manager of the applicant</w:t>
      </w:r>
      <w:r w:rsidR="00C028DA" w:rsidRPr="00304EC1">
        <w:rPr>
          <w:rFonts w:ascii="Arial" w:hAnsi="Arial" w:cs="Arial"/>
          <w:color w:val="000000" w:themeColor="text1"/>
          <w:sz w:val="24"/>
          <w:szCs w:val="24"/>
          <w:lang w:val="en-ZA"/>
        </w:rPr>
        <w:t xml:space="preserve"> and the applicant failed to issue a resolution authorising him to represent the applicant</w:t>
      </w:r>
      <w:r w:rsidR="00074A80" w:rsidRPr="00304EC1">
        <w:rPr>
          <w:rFonts w:ascii="Arial" w:hAnsi="Arial" w:cs="Arial"/>
          <w:color w:val="000000" w:themeColor="text1"/>
          <w:sz w:val="24"/>
          <w:szCs w:val="24"/>
          <w:lang w:val="en-ZA"/>
        </w:rPr>
        <w:t xml:space="preserve">. </w:t>
      </w:r>
      <w:r w:rsidR="001F0FD8" w:rsidRPr="00304EC1">
        <w:rPr>
          <w:rFonts w:ascii="Arial" w:hAnsi="Arial" w:cs="Arial"/>
          <w:color w:val="000000" w:themeColor="text1"/>
          <w:sz w:val="24"/>
          <w:szCs w:val="24"/>
          <w:lang w:val="en-ZA"/>
        </w:rPr>
        <w:t>The</w:t>
      </w:r>
      <w:r w:rsidR="00C028DA" w:rsidRPr="00304EC1">
        <w:rPr>
          <w:rFonts w:ascii="Arial" w:hAnsi="Arial" w:cs="Arial"/>
          <w:color w:val="000000" w:themeColor="text1"/>
          <w:sz w:val="24"/>
          <w:szCs w:val="24"/>
          <w:lang w:val="en-ZA"/>
        </w:rPr>
        <w:t>ref</w:t>
      </w:r>
      <w:r w:rsidR="00263825" w:rsidRPr="00304EC1">
        <w:rPr>
          <w:rFonts w:ascii="Arial" w:hAnsi="Arial" w:cs="Arial"/>
          <w:color w:val="000000" w:themeColor="text1"/>
          <w:sz w:val="24"/>
          <w:szCs w:val="24"/>
          <w:lang w:val="en-ZA"/>
        </w:rPr>
        <w:t xml:space="preserve">ore, I find that </w:t>
      </w:r>
      <w:r w:rsidR="00967565" w:rsidRPr="00304EC1">
        <w:rPr>
          <w:rFonts w:ascii="Arial" w:hAnsi="Arial" w:cs="Arial"/>
          <w:color w:val="000000" w:themeColor="text1"/>
          <w:sz w:val="24"/>
          <w:szCs w:val="24"/>
          <w:lang w:val="en-ZA"/>
        </w:rPr>
        <w:t xml:space="preserve">the </w:t>
      </w:r>
      <w:r w:rsidR="00263825" w:rsidRPr="00304EC1">
        <w:rPr>
          <w:rFonts w:ascii="Arial" w:hAnsi="Arial" w:cs="Arial"/>
          <w:color w:val="000000" w:themeColor="text1"/>
          <w:sz w:val="24"/>
          <w:szCs w:val="24"/>
          <w:lang w:val="en-ZA"/>
        </w:rPr>
        <w:t xml:space="preserve">facts of the </w:t>
      </w:r>
      <w:r w:rsidR="00263825" w:rsidRPr="00304EC1">
        <w:rPr>
          <w:rFonts w:ascii="Arial" w:hAnsi="Arial" w:cs="Arial"/>
          <w:color w:val="000000" w:themeColor="text1"/>
          <w:sz w:val="24"/>
          <w:szCs w:val="24"/>
          <w:lang w:val="en-ZA"/>
        </w:rPr>
        <w:lastRenderedPageBreak/>
        <w:t>matter the applicant’s counsel is referring to are not similar to the facts in issue</w:t>
      </w:r>
      <w:r w:rsidR="00C028DA" w:rsidRPr="00304EC1">
        <w:rPr>
          <w:rFonts w:ascii="Arial" w:hAnsi="Arial" w:cs="Arial"/>
          <w:color w:val="000000" w:themeColor="text1"/>
          <w:sz w:val="24"/>
          <w:szCs w:val="24"/>
          <w:lang w:val="en-ZA"/>
        </w:rPr>
        <w:t>.</w:t>
      </w:r>
      <w:r w:rsidR="001F0FD8" w:rsidRPr="00304EC1">
        <w:rPr>
          <w:rFonts w:ascii="Arial" w:hAnsi="Arial" w:cs="Arial"/>
          <w:color w:val="000000" w:themeColor="text1"/>
          <w:sz w:val="24"/>
          <w:szCs w:val="24"/>
          <w:lang w:val="en-ZA"/>
        </w:rPr>
        <w:t xml:space="preserve"> </w:t>
      </w:r>
      <w:r w:rsidR="00C028DA" w:rsidRPr="00304EC1">
        <w:rPr>
          <w:rFonts w:ascii="Arial" w:hAnsi="Arial" w:cs="Arial"/>
          <w:color w:val="000000" w:themeColor="text1"/>
          <w:sz w:val="24"/>
          <w:szCs w:val="24"/>
          <w:lang w:val="en-ZA"/>
        </w:rPr>
        <w:t xml:space="preserve">It is imperative to mention that </w:t>
      </w:r>
      <w:r w:rsidR="00AA1FC8" w:rsidRPr="00304EC1">
        <w:rPr>
          <w:rFonts w:ascii="Arial" w:hAnsi="Arial" w:cs="Arial"/>
          <w:color w:val="000000" w:themeColor="text1"/>
          <w:sz w:val="24"/>
          <w:szCs w:val="24"/>
          <w:lang w:val="en-ZA"/>
        </w:rPr>
        <w:t xml:space="preserve">the </w:t>
      </w:r>
      <w:r w:rsidR="00C028DA" w:rsidRPr="00304EC1">
        <w:rPr>
          <w:rFonts w:ascii="Arial" w:hAnsi="Arial" w:cs="Arial"/>
          <w:color w:val="000000" w:themeColor="text1"/>
          <w:sz w:val="24"/>
          <w:szCs w:val="24"/>
          <w:lang w:val="en-ZA"/>
        </w:rPr>
        <w:t>court</w:t>
      </w:r>
      <w:r w:rsidR="00074A80" w:rsidRPr="00304EC1">
        <w:rPr>
          <w:rFonts w:ascii="Arial" w:hAnsi="Arial" w:cs="Arial"/>
          <w:color w:val="000000" w:themeColor="text1"/>
          <w:sz w:val="24"/>
          <w:szCs w:val="24"/>
          <w:lang w:val="en-ZA"/>
        </w:rPr>
        <w:t xml:space="preserve"> </w:t>
      </w:r>
      <w:r w:rsidR="001F0FD8" w:rsidRPr="00304EC1">
        <w:rPr>
          <w:rFonts w:ascii="Arial" w:hAnsi="Arial" w:cs="Arial"/>
          <w:color w:val="000000" w:themeColor="text1"/>
          <w:sz w:val="24"/>
          <w:szCs w:val="24"/>
          <w:lang w:val="en-ZA"/>
        </w:rPr>
        <w:t>held that Rule 7 provi</w:t>
      </w:r>
      <w:r w:rsidR="00BC5039" w:rsidRPr="00304EC1">
        <w:rPr>
          <w:rFonts w:ascii="Arial" w:hAnsi="Arial" w:cs="Arial"/>
          <w:color w:val="000000" w:themeColor="text1"/>
          <w:sz w:val="24"/>
          <w:szCs w:val="24"/>
          <w:lang w:val="en-ZA"/>
        </w:rPr>
        <w:t xml:space="preserve">des for the procedure to be </w:t>
      </w:r>
      <w:r w:rsidR="001F0FD8" w:rsidRPr="00304EC1">
        <w:rPr>
          <w:rFonts w:ascii="Arial" w:hAnsi="Arial" w:cs="Arial"/>
          <w:color w:val="000000" w:themeColor="text1"/>
          <w:sz w:val="24"/>
          <w:szCs w:val="24"/>
          <w:lang w:val="en-ZA"/>
        </w:rPr>
        <w:t xml:space="preserve">adopted by </w:t>
      </w:r>
      <w:r w:rsidR="00BC5039" w:rsidRPr="00304EC1">
        <w:rPr>
          <w:rFonts w:ascii="Arial" w:hAnsi="Arial" w:cs="Arial"/>
          <w:color w:val="000000" w:themeColor="text1"/>
          <w:sz w:val="24"/>
          <w:szCs w:val="24"/>
          <w:lang w:val="en-ZA"/>
        </w:rPr>
        <w:t>a respondent who wishes to challenge the authority of an attorney who instituted motion proceedi</w:t>
      </w:r>
      <w:r w:rsidR="00C43729" w:rsidRPr="00304EC1">
        <w:rPr>
          <w:rFonts w:ascii="Arial" w:hAnsi="Arial" w:cs="Arial"/>
          <w:color w:val="000000" w:themeColor="text1"/>
          <w:sz w:val="24"/>
          <w:szCs w:val="24"/>
          <w:lang w:val="en-ZA"/>
        </w:rPr>
        <w:t xml:space="preserve">ngs on behalf of an applicant. </w:t>
      </w:r>
    </w:p>
    <w:p w:rsidR="00D20028" w:rsidRPr="00304EC1" w:rsidRDefault="00730884" w:rsidP="00707B90">
      <w:pPr>
        <w:spacing w:line="360" w:lineRule="auto"/>
        <w:jc w:val="both"/>
        <w:rPr>
          <w:rFonts w:ascii="Arial" w:hAnsi="Arial" w:cs="Arial"/>
          <w:color w:val="000000" w:themeColor="text1"/>
          <w:sz w:val="24"/>
          <w:szCs w:val="24"/>
          <w:lang w:val="en-ZA"/>
        </w:rPr>
      </w:pPr>
      <w:r w:rsidRPr="00304EC1">
        <w:rPr>
          <w:rFonts w:ascii="Arial" w:hAnsi="Arial" w:cs="Arial"/>
          <w:color w:val="000000" w:themeColor="text1"/>
          <w:sz w:val="24"/>
          <w:szCs w:val="24"/>
          <w:lang w:val="en-ZA"/>
        </w:rPr>
        <w:t xml:space="preserve"> </w:t>
      </w:r>
      <w:r w:rsidR="00BC5039" w:rsidRPr="00304EC1">
        <w:rPr>
          <w:rFonts w:ascii="Arial" w:hAnsi="Arial" w:cs="Arial"/>
          <w:color w:val="000000" w:themeColor="text1"/>
          <w:sz w:val="24"/>
          <w:szCs w:val="24"/>
          <w:lang w:val="en-ZA"/>
        </w:rPr>
        <w:t>[2</w:t>
      </w:r>
      <w:r w:rsidR="00693B28">
        <w:rPr>
          <w:rFonts w:ascii="Arial" w:hAnsi="Arial" w:cs="Arial"/>
          <w:color w:val="000000" w:themeColor="text1"/>
          <w:sz w:val="24"/>
          <w:szCs w:val="24"/>
          <w:lang w:val="en-ZA"/>
        </w:rPr>
        <w:t>8</w:t>
      </w:r>
      <w:r w:rsidR="00BC5039" w:rsidRPr="00304EC1">
        <w:rPr>
          <w:rFonts w:ascii="Arial" w:hAnsi="Arial" w:cs="Arial"/>
          <w:color w:val="000000" w:themeColor="text1"/>
          <w:sz w:val="24"/>
          <w:szCs w:val="24"/>
          <w:lang w:val="en-ZA"/>
        </w:rPr>
        <w:t>] The first and second resp</w:t>
      </w:r>
      <w:r w:rsidR="00C43729" w:rsidRPr="00304EC1">
        <w:rPr>
          <w:rFonts w:ascii="Arial" w:hAnsi="Arial" w:cs="Arial"/>
          <w:color w:val="000000" w:themeColor="text1"/>
          <w:sz w:val="24"/>
          <w:szCs w:val="24"/>
          <w:lang w:val="en-ZA"/>
        </w:rPr>
        <w:t>ondent’s counsel referred me to</w:t>
      </w:r>
      <w:r w:rsidR="00BC5039" w:rsidRPr="00304EC1">
        <w:rPr>
          <w:rFonts w:ascii="Arial" w:hAnsi="Arial" w:cs="Arial"/>
          <w:color w:val="000000" w:themeColor="text1"/>
          <w:sz w:val="24"/>
          <w:szCs w:val="24"/>
          <w:lang w:val="en-ZA"/>
        </w:rPr>
        <w:t xml:space="preserve"> the matter of  Culli</w:t>
      </w:r>
      <w:r w:rsidR="00CD4A8B" w:rsidRPr="00304EC1">
        <w:rPr>
          <w:rFonts w:ascii="Arial" w:hAnsi="Arial" w:cs="Arial"/>
          <w:color w:val="000000" w:themeColor="text1"/>
          <w:sz w:val="24"/>
          <w:szCs w:val="24"/>
          <w:lang w:val="en-ZA"/>
        </w:rPr>
        <w:t>nan Holdings Limited v</w:t>
      </w:r>
      <w:r w:rsidR="00BC5039" w:rsidRPr="00304EC1">
        <w:rPr>
          <w:rFonts w:ascii="Arial" w:hAnsi="Arial" w:cs="Arial"/>
          <w:color w:val="000000" w:themeColor="text1"/>
          <w:sz w:val="24"/>
          <w:szCs w:val="24"/>
          <w:lang w:val="en-ZA"/>
        </w:rPr>
        <w:t xml:space="preserve"> Lezmin</w:t>
      </w:r>
      <w:r w:rsidR="00BC5039" w:rsidRPr="00304EC1">
        <w:rPr>
          <w:rStyle w:val="FootnoteReference"/>
          <w:rFonts w:ascii="Arial" w:hAnsi="Arial" w:cs="Arial"/>
          <w:color w:val="000000" w:themeColor="text1"/>
          <w:sz w:val="24"/>
          <w:szCs w:val="24"/>
          <w:lang w:val="en-ZA"/>
        </w:rPr>
        <w:footnoteReference w:id="3"/>
      </w:r>
      <w:r w:rsidR="00C43729" w:rsidRPr="00304EC1">
        <w:rPr>
          <w:rFonts w:ascii="Arial" w:hAnsi="Arial" w:cs="Arial"/>
          <w:color w:val="000000" w:themeColor="text1"/>
          <w:sz w:val="24"/>
          <w:szCs w:val="24"/>
          <w:lang w:val="en-ZA"/>
        </w:rPr>
        <w:t>, which, in</w:t>
      </w:r>
      <w:r w:rsidR="00C028DA" w:rsidRPr="00304EC1">
        <w:rPr>
          <w:rFonts w:ascii="Arial" w:hAnsi="Arial" w:cs="Arial"/>
          <w:color w:val="000000" w:themeColor="text1"/>
          <w:sz w:val="24"/>
          <w:szCs w:val="24"/>
          <w:lang w:val="en-ZA"/>
        </w:rPr>
        <w:t xml:space="preserve"> my view, is apposite. In this matter</w:t>
      </w:r>
      <w:r w:rsidR="0008548F" w:rsidRPr="00304EC1">
        <w:rPr>
          <w:rFonts w:ascii="Arial" w:hAnsi="Arial" w:cs="Arial"/>
          <w:color w:val="000000" w:themeColor="text1"/>
          <w:sz w:val="24"/>
          <w:szCs w:val="24"/>
          <w:lang w:val="en-ZA"/>
        </w:rPr>
        <w:t>,</w:t>
      </w:r>
      <w:r w:rsidR="00C028DA" w:rsidRPr="00304EC1">
        <w:rPr>
          <w:rFonts w:ascii="Arial" w:hAnsi="Arial" w:cs="Arial"/>
          <w:color w:val="000000" w:themeColor="text1"/>
          <w:sz w:val="24"/>
          <w:szCs w:val="24"/>
          <w:lang w:val="en-ZA"/>
        </w:rPr>
        <w:t xml:space="preserve"> </w:t>
      </w:r>
      <w:r w:rsidR="00770845" w:rsidRPr="00304EC1">
        <w:rPr>
          <w:rFonts w:ascii="Arial" w:hAnsi="Arial" w:cs="Arial"/>
          <w:color w:val="000000" w:themeColor="text1"/>
          <w:sz w:val="24"/>
          <w:szCs w:val="24"/>
          <w:lang w:val="en-ZA"/>
        </w:rPr>
        <w:t xml:space="preserve">the power of attorney was not in dispute. The dispute related to </w:t>
      </w:r>
      <w:r w:rsidR="0008548F" w:rsidRPr="00304EC1">
        <w:rPr>
          <w:rFonts w:ascii="Arial" w:hAnsi="Arial" w:cs="Arial"/>
          <w:color w:val="000000" w:themeColor="text1"/>
          <w:sz w:val="24"/>
          <w:szCs w:val="24"/>
          <w:lang w:val="en-ZA"/>
        </w:rPr>
        <w:t xml:space="preserve">the </w:t>
      </w:r>
      <w:r w:rsidR="00770845" w:rsidRPr="00304EC1">
        <w:rPr>
          <w:rFonts w:ascii="Arial" w:hAnsi="Arial" w:cs="Arial"/>
          <w:color w:val="000000" w:themeColor="text1"/>
          <w:sz w:val="24"/>
          <w:szCs w:val="24"/>
          <w:lang w:val="en-ZA"/>
        </w:rPr>
        <w:t xml:space="preserve">authority to institute legal proceedings </w:t>
      </w:r>
      <w:r w:rsidR="0008548F" w:rsidRPr="00304EC1">
        <w:rPr>
          <w:rFonts w:ascii="Arial" w:hAnsi="Arial" w:cs="Arial"/>
          <w:color w:val="000000" w:themeColor="text1"/>
          <w:sz w:val="24"/>
          <w:szCs w:val="24"/>
          <w:lang w:val="en-ZA"/>
        </w:rPr>
        <w:t xml:space="preserve">on </w:t>
      </w:r>
      <w:r w:rsidR="00770845" w:rsidRPr="00304EC1">
        <w:rPr>
          <w:rFonts w:ascii="Arial" w:hAnsi="Arial" w:cs="Arial"/>
          <w:color w:val="000000" w:themeColor="text1"/>
          <w:sz w:val="24"/>
          <w:szCs w:val="24"/>
          <w:lang w:val="en-ZA"/>
        </w:rPr>
        <w:t xml:space="preserve">behalf of the applicant as required by section 66 of the Companies Act. The applicant failed to provide such authority and the court found that </w:t>
      </w:r>
      <w:r w:rsidR="00263825" w:rsidRPr="00304EC1">
        <w:rPr>
          <w:rFonts w:ascii="Arial" w:hAnsi="Arial" w:cs="Arial"/>
          <w:color w:val="000000" w:themeColor="text1"/>
          <w:sz w:val="24"/>
          <w:szCs w:val="24"/>
          <w:lang w:val="en-ZA"/>
        </w:rPr>
        <w:t>t</w:t>
      </w:r>
      <w:r w:rsidR="00770845" w:rsidRPr="00304EC1">
        <w:rPr>
          <w:rFonts w:ascii="Arial" w:hAnsi="Arial" w:cs="Arial"/>
          <w:color w:val="000000" w:themeColor="text1"/>
          <w:sz w:val="24"/>
          <w:szCs w:val="24"/>
          <w:lang w:val="en-ZA"/>
        </w:rPr>
        <w:t xml:space="preserve">he </w:t>
      </w:r>
      <w:r w:rsidR="00263825" w:rsidRPr="00304EC1">
        <w:rPr>
          <w:rFonts w:ascii="Arial" w:hAnsi="Arial" w:cs="Arial"/>
          <w:color w:val="000000" w:themeColor="text1"/>
          <w:sz w:val="24"/>
          <w:szCs w:val="24"/>
          <w:lang w:val="en-ZA"/>
        </w:rPr>
        <w:t xml:space="preserve">deponent of the founding affidavit </w:t>
      </w:r>
      <w:r w:rsidR="00770845" w:rsidRPr="00304EC1">
        <w:rPr>
          <w:rFonts w:ascii="Arial" w:hAnsi="Arial" w:cs="Arial"/>
          <w:color w:val="000000" w:themeColor="text1"/>
          <w:sz w:val="24"/>
          <w:szCs w:val="24"/>
          <w:lang w:val="en-ZA"/>
        </w:rPr>
        <w:t>had no authority to institute the proceedings on behalf of the applicant.</w:t>
      </w:r>
    </w:p>
    <w:p w:rsidR="00770845" w:rsidRPr="00304EC1" w:rsidRDefault="0008548F" w:rsidP="00AE513A">
      <w:pPr>
        <w:spacing w:line="360" w:lineRule="auto"/>
        <w:jc w:val="both"/>
        <w:rPr>
          <w:rFonts w:ascii="Arial" w:hAnsi="Arial" w:cs="Arial"/>
          <w:color w:val="000000" w:themeColor="text1"/>
          <w:sz w:val="24"/>
          <w:szCs w:val="24"/>
          <w:lang w:val="en-ZA"/>
        </w:rPr>
      </w:pPr>
      <w:r w:rsidRPr="00304EC1">
        <w:rPr>
          <w:rFonts w:ascii="Arial" w:hAnsi="Arial" w:cs="Arial"/>
          <w:color w:val="000000" w:themeColor="text1"/>
          <w:sz w:val="24"/>
          <w:szCs w:val="24"/>
          <w:lang w:val="en-ZA"/>
        </w:rPr>
        <w:t>[2</w:t>
      </w:r>
      <w:r w:rsidR="0091186A">
        <w:rPr>
          <w:rFonts w:ascii="Arial" w:hAnsi="Arial" w:cs="Arial"/>
          <w:color w:val="000000" w:themeColor="text1"/>
          <w:sz w:val="24"/>
          <w:szCs w:val="24"/>
          <w:lang w:val="en-ZA"/>
        </w:rPr>
        <w:t>9</w:t>
      </w:r>
      <w:r w:rsidR="00EC4998" w:rsidRPr="00304EC1">
        <w:rPr>
          <w:rFonts w:ascii="Arial" w:hAnsi="Arial" w:cs="Arial"/>
          <w:color w:val="000000" w:themeColor="text1"/>
          <w:sz w:val="24"/>
          <w:szCs w:val="24"/>
          <w:lang w:val="en-ZA"/>
        </w:rPr>
        <w:t>]</w:t>
      </w:r>
      <w:r w:rsidR="00770845" w:rsidRPr="00304EC1">
        <w:rPr>
          <w:rFonts w:ascii="Arial" w:hAnsi="Arial" w:cs="Arial"/>
          <w:color w:val="000000" w:themeColor="text1"/>
          <w:sz w:val="24"/>
          <w:szCs w:val="24"/>
          <w:lang w:val="en-ZA"/>
        </w:rPr>
        <w:t xml:space="preserve"> Section 66 </w:t>
      </w:r>
      <w:r w:rsidR="00263825" w:rsidRPr="00304EC1">
        <w:rPr>
          <w:rFonts w:ascii="Arial" w:hAnsi="Arial" w:cs="Arial"/>
          <w:color w:val="000000" w:themeColor="text1"/>
          <w:sz w:val="24"/>
          <w:szCs w:val="24"/>
          <w:lang w:val="en-ZA"/>
        </w:rPr>
        <w:t>of the Companies Act provides as follows:</w:t>
      </w:r>
      <w:r w:rsidR="00EC4998" w:rsidRPr="00304EC1">
        <w:rPr>
          <w:rFonts w:ascii="Arial" w:hAnsi="Arial" w:cs="Arial"/>
          <w:color w:val="000000" w:themeColor="text1"/>
          <w:sz w:val="24"/>
          <w:szCs w:val="24"/>
          <w:lang w:val="en-ZA"/>
        </w:rPr>
        <w:t xml:space="preserve"> </w:t>
      </w:r>
    </w:p>
    <w:p w:rsidR="00263825" w:rsidRPr="00304EC1" w:rsidRDefault="00CF7C40" w:rsidP="00E11EF4">
      <w:pPr>
        <w:spacing w:line="360" w:lineRule="auto"/>
        <w:ind w:left="720"/>
        <w:jc w:val="both"/>
        <w:rPr>
          <w:rFonts w:ascii="Arial" w:hAnsi="Arial" w:cs="Arial"/>
          <w:color w:val="000000" w:themeColor="text1"/>
          <w:sz w:val="24"/>
          <w:szCs w:val="24"/>
          <w:lang w:val="en-ZA"/>
        </w:rPr>
      </w:pPr>
      <w:r w:rsidRPr="00304EC1">
        <w:rPr>
          <w:rFonts w:ascii="Arial" w:hAnsi="Arial" w:cs="Arial"/>
          <w:color w:val="000000" w:themeColor="text1"/>
          <w:sz w:val="24"/>
          <w:szCs w:val="24"/>
          <w:lang w:val="en-ZA"/>
        </w:rPr>
        <w:t xml:space="preserve">“The business and affairs of a company must be managed by or under the direction of its board, which has the authority to exercise all of the powers and perform functions of </w:t>
      </w:r>
      <w:r w:rsidR="00B93E72" w:rsidRPr="00304EC1">
        <w:rPr>
          <w:rFonts w:ascii="Arial" w:hAnsi="Arial" w:cs="Arial"/>
          <w:color w:val="000000" w:themeColor="text1"/>
          <w:sz w:val="24"/>
          <w:szCs w:val="24"/>
          <w:lang w:val="en-ZA"/>
        </w:rPr>
        <w:t xml:space="preserve">any </w:t>
      </w:r>
      <w:r w:rsidRPr="00304EC1">
        <w:rPr>
          <w:rFonts w:ascii="Arial" w:hAnsi="Arial" w:cs="Arial"/>
          <w:color w:val="000000" w:themeColor="text1"/>
          <w:sz w:val="24"/>
          <w:szCs w:val="24"/>
          <w:lang w:val="en-ZA"/>
        </w:rPr>
        <w:t>authority of the company, except to the extent that this Act or the company’s Memorandum of Incorporation provides otherwise.”</w:t>
      </w:r>
    </w:p>
    <w:p w:rsidR="00AE513A" w:rsidRPr="00304EC1" w:rsidRDefault="0008548F" w:rsidP="00AE513A">
      <w:pPr>
        <w:spacing w:line="360" w:lineRule="auto"/>
        <w:jc w:val="both"/>
        <w:rPr>
          <w:rFonts w:ascii="Arial" w:hAnsi="Arial" w:cs="Arial"/>
          <w:color w:val="000000" w:themeColor="text1"/>
          <w:sz w:val="24"/>
          <w:szCs w:val="24"/>
          <w:lang w:val="en-ZA"/>
        </w:rPr>
      </w:pPr>
      <w:r w:rsidRPr="00304EC1">
        <w:rPr>
          <w:rFonts w:ascii="Arial" w:hAnsi="Arial" w:cs="Arial"/>
          <w:color w:val="000000" w:themeColor="text1"/>
          <w:sz w:val="24"/>
          <w:szCs w:val="24"/>
          <w:lang w:val="en-ZA"/>
        </w:rPr>
        <w:t>[</w:t>
      </w:r>
      <w:r w:rsidR="0091186A">
        <w:rPr>
          <w:rFonts w:ascii="Arial" w:hAnsi="Arial" w:cs="Arial"/>
          <w:color w:val="000000" w:themeColor="text1"/>
          <w:sz w:val="24"/>
          <w:szCs w:val="24"/>
          <w:lang w:val="en-ZA"/>
        </w:rPr>
        <w:t>30</w:t>
      </w:r>
      <w:r w:rsidRPr="00304EC1">
        <w:rPr>
          <w:rFonts w:ascii="Arial" w:hAnsi="Arial" w:cs="Arial"/>
          <w:color w:val="000000" w:themeColor="text1"/>
          <w:sz w:val="24"/>
          <w:szCs w:val="24"/>
          <w:lang w:val="en-ZA"/>
        </w:rPr>
        <w:t xml:space="preserve">] </w:t>
      </w:r>
      <w:r w:rsidR="00770845" w:rsidRPr="00304EC1">
        <w:rPr>
          <w:rFonts w:ascii="Arial" w:hAnsi="Arial" w:cs="Arial"/>
          <w:color w:val="000000" w:themeColor="text1"/>
          <w:sz w:val="24"/>
          <w:szCs w:val="24"/>
          <w:lang w:val="en-ZA"/>
        </w:rPr>
        <w:t>I am du</w:t>
      </w:r>
      <w:r w:rsidRPr="00304EC1">
        <w:rPr>
          <w:rFonts w:ascii="Arial" w:hAnsi="Arial" w:cs="Arial"/>
          <w:color w:val="000000" w:themeColor="text1"/>
          <w:sz w:val="24"/>
          <w:szCs w:val="24"/>
          <w:lang w:val="en-ZA"/>
        </w:rPr>
        <w:t xml:space="preserve">ty bound to </w:t>
      </w:r>
      <w:r w:rsidR="00CF1477" w:rsidRPr="00304EC1">
        <w:rPr>
          <w:rFonts w:ascii="Arial" w:hAnsi="Arial" w:cs="Arial"/>
          <w:color w:val="000000" w:themeColor="text1"/>
          <w:sz w:val="24"/>
          <w:szCs w:val="24"/>
          <w:lang w:val="en-ZA"/>
        </w:rPr>
        <w:t xml:space="preserve">follow the precedent lain in the matter of Cullinan Holdings Limited </w:t>
      </w:r>
      <w:r w:rsidR="00CD4A8B" w:rsidRPr="00304EC1">
        <w:rPr>
          <w:rFonts w:ascii="Arial" w:hAnsi="Arial" w:cs="Arial"/>
          <w:color w:val="000000" w:themeColor="text1"/>
          <w:sz w:val="24"/>
          <w:szCs w:val="24"/>
          <w:lang w:val="en-ZA"/>
        </w:rPr>
        <w:t xml:space="preserve">mentioned supra. </w:t>
      </w:r>
      <w:r w:rsidR="00CF1477" w:rsidRPr="00304EC1">
        <w:rPr>
          <w:rFonts w:ascii="Arial" w:hAnsi="Arial" w:cs="Arial"/>
          <w:color w:val="000000" w:themeColor="text1"/>
          <w:sz w:val="24"/>
          <w:szCs w:val="24"/>
          <w:lang w:val="en-ZA"/>
        </w:rPr>
        <w:t>T</w:t>
      </w:r>
      <w:r w:rsidR="00EC4998" w:rsidRPr="00304EC1">
        <w:rPr>
          <w:rFonts w:ascii="Arial" w:hAnsi="Arial" w:cs="Arial"/>
          <w:color w:val="000000" w:themeColor="text1"/>
          <w:sz w:val="24"/>
          <w:szCs w:val="24"/>
          <w:lang w:val="en-ZA"/>
        </w:rPr>
        <w:t>he applicant</w:t>
      </w:r>
      <w:r w:rsidR="00CF1477" w:rsidRPr="00304EC1">
        <w:rPr>
          <w:rFonts w:ascii="Arial" w:hAnsi="Arial" w:cs="Arial"/>
          <w:color w:val="000000" w:themeColor="text1"/>
          <w:sz w:val="24"/>
          <w:szCs w:val="24"/>
          <w:lang w:val="en-ZA"/>
        </w:rPr>
        <w:t xml:space="preserve"> failed to provide the court with a resolution </w:t>
      </w:r>
      <w:r w:rsidRPr="00304EC1">
        <w:rPr>
          <w:rFonts w:ascii="Arial" w:hAnsi="Arial" w:cs="Arial"/>
          <w:color w:val="000000" w:themeColor="text1"/>
          <w:sz w:val="24"/>
          <w:szCs w:val="24"/>
          <w:lang w:val="en-ZA"/>
        </w:rPr>
        <w:t xml:space="preserve">authorizing </w:t>
      </w:r>
      <w:r w:rsidR="00CF1477" w:rsidRPr="00304EC1">
        <w:rPr>
          <w:rFonts w:ascii="Arial" w:hAnsi="Arial" w:cs="Arial"/>
          <w:color w:val="000000" w:themeColor="text1"/>
          <w:sz w:val="24"/>
          <w:szCs w:val="24"/>
          <w:lang w:val="en-ZA"/>
        </w:rPr>
        <w:t>the deponent of its founding affidavit to act on its behalf.</w:t>
      </w:r>
      <w:r w:rsidR="00EC4998" w:rsidRPr="00304EC1">
        <w:rPr>
          <w:rFonts w:ascii="Arial" w:hAnsi="Arial" w:cs="Arial"/>
          <w:color w:val="000000" w:themeColor="text1"/>
          <w:sz w:val="24"/>
          <w:szCs w:val="24"/>
          <w:lang w:val="en-ZA"/>
        </w:rPr>
        <w:t xml:space="preserve"> </w:t>
      </w:r>
      <w:r w:rsidR="00CF1477" w:rsidRPr="00304EC1">
        <w:rPr>
          <w:rFonts w:ascii="Arial" w:hAnsi="Arial" w:cs="Arial"/>
          <w:color w:val="000000" w:themeColor="text1"/>
          <w:sz w:val="24"/>
          <w:szCs w:val="24"/>
          <w:lang w:val="en-ZA"/>
        </w:rPr>
        <w:t xml:space="preserve">Therefore, I find that the applicant </w:t>
      </w:r>
      <w:r w:rsidR="00EC4998" w:rsidRPr="00304EC1">
        <w:rPr>
          <w:rFonts w:ascii="Arial" w:hAnsi="Arial" w:cs="Arial"/>
          <w:color w:val="000000" w:themeColor="text1"/>
          <w:sz w:val="24"/>
          <w:szCs w:val="24"/>
          <w:lang w:val="en-ZA"/>
        </w:rPr>
        <w:t xml:space="preserve">has failed to demonstrate that </w:t>
      </w:r>
      <w:r w:rsidR="006C49D1" w:rsidRPr="00304EC1">
        <w:rPr>
          <w:rFonts w:ascii="Arial" w:hAnsi="Arial" w:cs="Arial"/>
          <w:color w:val="000000" w:themeColor="text1"/>
          <w:sz w:val="24"/>
          <w:szCs w:val="24"/>
          <w:lang w:val="en-ZA"/>
        </w:rPr>
        <w:t xml:space="preserve">the </w:t>
      </w:r>
      <w:r w:rsidR="00EC4998" w:rsidRPr="00304EC1">
        <w:rPr>
          <w:rFonts w:ascii="Arial" w:hAnsi="Arial" w:cs="Arial"/>
          <w:color w:val="000000" w:themeColor="text1"/>
          <w:sz w:val="24"/>
          <w:szCs w:val="24"/>
          <w:lang w:val="en-ZA"/>
        </w:rPr>
        <w:t xml:space="preserve">deponent of its affidavit </w:t>
      </w:r>
      <w:r w:rsidR="006C49D1" w:rsidRPr="00304EC1">
        <w:rPr>
          <w:rFonts w:ascii="Arial" w:hAnsi="Arial" w:cs="Arial"/>
          <w:color w:val="000000" w:themeColor="text1"/>
          <w:sz w:val="24"/>
          <w:szCs w:val="24"/>
          <w:lang w:val="en-ZA"/>
        </w:rPr>
        <w:t>has locus standi.</w:t>
      </w:r>
    </w:p>
    <w:p w:rsidR="006E0FA1" w:rsidRPr="00304EC1" w:rsidRDefault="006E0FA1" w:rsidP="00AE513A">
      <w:pPr>
        <w:spacing w:line="360" w:lineRule="auto"/>
        <w:jc w:val="both"/>
        <w:rPr>
          <w:rFonts w:ascii="Arial" w:hAnsi="Arial" w:cs="Arial"/>
          <w:color w:val="000000" w:themeColor="text1"/>
          <w:sz w:val="24"/>
          <w:szCs w:val="24"/>
          <w:lang w:val="en-ZA"/>
        </w:rPr>
      </w:pPr>
    </w:p>
    <w:p w:rsidR="00A37F36" w:rsidRPr="00304EC1" w:rsidRDefault="00AD1F98" w:rsidP="00707B90">
      <w:pPr>
        <w:spacing w:line="360" w:lineRule="auto"/>
        <w:jc w:val="both"/>
        <w:rPr>
          <w:rFonts w:ascii="Arial" w:hAnsi="Arial" w:cs="Arial"/>
          <w:b/>
          <w:color w:val="000000" w:themeColor="text1"/>
          <w:sz w:val="24"/>
          <w:szCs w:val="24"/>
          <w:lang w:val="en-ZA"/>
        </w:rPr>
      </w:pPr>
      <w:r w:rsidRPr="00304EC1">
        <w:rPr>
          <w:rFonts w:ascii="Arial" w:hAnsi="Arial" w:cs="Arial"/>
          <w:b/>
          <w:color w:val="000000" w:themeColor="text1"/>
          <w:sz w:val="24"/>
          <w:szCs w:val="24"/>
          <w:lang w:val="en-ZA"/>
        </w:rPr>
        <w:t>NON-JOINDER</w:t>
      </w:r>
      <w:r w:rsidR="0071434B" w:rsidRPr="00304EC1">
        <w:rPr>
          <w:rFonts w:ascii="Arial" w:hAnsi="Arial" w:cs="Arial"/>
          <w:b/>
          <w:color w:val="000000" w:themeColor="text1"/>
          <w:sz w:val="24"/>
          <w:szCs w:val="24"/>
          <w:lang w:val="en-ZA"/>
        </w:rPr>
        <w:t>.</w:t>
      </w:r>
    </w:p>
    <w:p w:rsidR="00AD1F98" w:rsidRPr="00304EC1" w:rsidRDefault="00FE565E" w:rsidP="00AD1F98">
      <w:pPr>
        <w:spacing w:line="360" w:lineRule="auto"/>
        <w:jc w:val="both"/>
        <w:rPr>
          <w:rFonts w:ascii="Arial" w:hAnsi="Arial" w:cs="Arial"/>
          <w:color w:val="000000" w:themeColor="text1"/>
          <w:sz w:val="24"/>
          <w:szCs w:val="24"/>
          <w:lang w:val="en-ZA"/>
        </w:rPr>
      </w:pPr>
      <w:r w:rsidRPr="00304EC1">
        <w:rPr>
          <w:rFonts w:ascii="Arial" w:hAnsi="Arial" w:cs="Arial"/>
          <w:color w:val="000000" w:themeColor="text1"/>
          <w:sz w:val="24"/>
          <w:szCs w:val="24"/>
          <w:lang w:val="en-ZA"/>
        </w:rPr>
        <w:t>[</w:t>
      </w:r>
      <w:r w:rsidR="0091186A">
        <w:rPr>
          <w:rFonts w:ascii="Arial" w:hAnsi="Arial" w:cs="Arial"/>
          <w:color w:val="000000" w:themeColor="text1"/>
          <w:sz w:val="24"/>
          <w:szCs w:val="24"/>
          <w:lang w:val="en-ZA"/>
        </w:rPr>
        <w:t>31</w:t>
      </w:r>
      <w:r w:rsidR="00AD1F98" w:rsidRPr="00304EC1">
        <w:rPr>
          <w:rFonts w:ascii="Arial" w:hAnsi="Arial" w:cs="Arial"/>
          <w:color w:val="000000" w:themeColor="text1"/>
          <w:sz w:val="24"/>
          <w:szCs w:val="24"/>
          <w:lang w:val="en-ZA"/>
        </w:rPr>
        <w:t>] ] In Absa Bank Limited v. Naude and others,</w:t>
      </w:r>
      <w:r w:rsidR="00AD1F98" w:rsidRPr="00304EC1">
        <w:rPr>
          <w:rStyle w:val="FootnoteReference"/>
          <w:rFonts w:ascii="Arial" w:hAnsi="Arial" w:cs="Arial"/>
          <w:color w:val="000000" w:themeColor="text1"/>
          <w:sz w:val="24"/>
          <w:szCs w:val="24"/>
          <w:lang w:val="en-ZA"/>
        </w:rPr>
        <w:footnoteReference w:id="4"/>
      </w:r>
      <w:r w:rsidR="00AD1F98" w:rsidRPr="00304EC1">
        <w:rPr>
          <w:rFonts w:ascii="Arial" w:hAnsi="Arial" w:cs="Arial"/>
          <w:color w:val="000000" w:themeColor="text1"/>
          <w:sz w:val="24"/>
          <w:szCs w:val="24"/>
          <w:lang w:val="en-ZA"/>
        </w:rPr>
        <w:t xml:space="preserve"> the court held as follows:</w:t>
      </w:r>
    </w:p>
    <w:p w:rsidR="00AD1F98" w:rsidRPr="00304EC1" w:rsidRDefault="00AD1F98" w:rsidP="00E11EF4">
      <w:pPr>
        <w:spacing w:line="360" w:lineRule="auto"/>
        <w:ind w:left="720"/>
        <w:jc w:val="both"/>
        <w:rPr>
          <w:rFonts w:ascii="Arial" w:hAnsi="Arial" w:cs="Arial"/>
          <w:color w:val="000000" w:themeColor="text1"/>
          <w:sz w:val="24"/>
          <w:szCs w:val="24"/>
          <w:lang w:val="en-ZA"/>
        </w:rPr>
      </w:pPr>
      <w:r w:rsidRPr="00304EC1">
        <w:rPr>
          <w:rFonts w:ascii="Arial" w:hAnsi="Arial" w:cs="Arial"/>
          <w:color w:val="000000" w:themeColor="text1"/>
          <w:sz w:val="24"/>
          <w:szCs w:val="24"/>
          <w:lang w:val="en-ZA"/>
        </w:rPr>
        <w:t xml:space="preserve">“The test whether there has been non-joinder is whether a party has a direct and substantial interest in the subject matter of litigation which may prejudice the party that has not been joined.”   </w:t>
      </w:r>
    </w:p>
    <w:p w:rsidR="006E0FA1" w:rsidRPr="00304EC1" w:rsidRDefault="00FE565E" w:rsidP="00707B90">
      <w:pPr>
        <w:spacing w:line="360" w:lineRule="auto"/>
        <w:jc w:val="both"/>
        <w:rPr>
          <w:rFonts w:ascii="Arial" w:hAnsi="Arial" w:cs="Arial"/>
          <w:color w:val="000000" w:themeColor="text1"/>
          <w:sz w:val="24"/>
          <w:szCs w:val="24"/>
          <w:lang w:val="en-ZA"/>
        </w:rPr>
      </w:pPr>
      <w:r w:rsidRPr="00304EC1">
        <w:rPr>
          <w:rFonts w:ascii="Arial" w:hAnsi="Arial" w:cs="Arial"/>
          <w:color w:val="000000" w:themeColor="text1"/>
          <w:sz w:val="24"/>
          <w:szCs w:val="24"/>
          <w:lang w:val="en-ZA"/>
        </w:rPr>
        <w:t>[</w:t>
      </w:r>
      <w:r w:rsidR="00CC389F" w:rsidRPr="00304EC1">
        <w:rPr>
          <w:rFonts w:ascii="Arial" w:hAnsi="Arial" w:cs="Arial"/>
          <w:color w:val="000000" w:themeColor="text1"/>
          <w:sz w:val="24"/>
          <w:szCs w:val="24"/>
          <w:lang w:val="en-ZA"/>
        </w:rPr>
        <w:t>3</w:t>
      </w:r>
      <w:r w:rsidR="0091186A">
        <w:rPr>
          <w:rFonts w:ascii="Arial" w:hAnsi="Arial" w:cs="Arial"/>
          <w:color w:val="000000" w:themeColor="text1"/>
          <w:sz w:val="24"/>
          <w:szCs w:val="24"/>
          <w:lang w:val="en-ZA"/>
        </w:rPr>
        <w:t>2</w:t>
      </w:r>
      <w:r w:rsidR="00AD1F98" w:rsidRPr="00304EC1">
        <w:rPr>
          <w:rFonts w:ascii="Arial" w:hAnsi="Arial" w:cs="Arial"/>
          <w:color w:val="000000" w:themeColor="text1"/>
          <w:sz w:val="24"/>
          <w:szCs w:val="24"/>
          <w:lang w:val="en-ZA"/>
        </w:rPr>
        <w:t>] The fourth respondent attached th</w:t>
      </w:r>
      <w:r w:rsidR="00590CD2" w:rsidRPr="00304EC1">
        <w:rPr>
          <w:rFonts w:ascii="Arial" w:hAnsi="Arial" w:cs="Arial"/>
          <w:color w:val="000000" w:themeColor="text1"/>
          <w:sz w:val="24"/>
          <w:szCs w:val="24"/>
          <w:lang w:val="en-ZA"/>
        </w:rPr>
        <w:t xml:space="preserve">e vehicle in issue which </w:t>
      </w:r>
      <w:r w:rsidR="00AD1F98" w:rsidRPr="00304EC1">
        <w:rPr>
          <w:rFonts w:ascii="Arial" w:hAnsi="Arial" w:cs="Arial"/>
          <w:color w:val="000000" w:themeColor="text1"/>
          <w:sz w:val="24"/>
          <w:szCs w:val="24"/>
          <w:lang w:val="en-ZA"/>
        </w:rPr>
        <w:t>was in possession of Mrs. Schaal pursuant to a default judgment that was granted against</w:t>
      </w:r>
      <w:r w:rsidR="00706250" w:rsidRPr="00304EC1">
        <w:rPr>
          <w:rFonts w:ascii="Arial" w:hAnsi="Arial" w:cs="Arial"/>
          <w:color w:val="000000" w:themeColor="text1"/>
          <w:sz w:val="24"/>
          <w:szCs w:val="24"/>
          <w:lang w:val="en-ZA"/>
        </w:rPr>
        <w:t xml:space="preserve"> her and Mr. Lundi</w:t>
      </w:r>
      <w:r w:rsidR="00C807D5" w:rsidRPr="00304EC1">
        <w:rPr>
          <w:rFonts w:ascii="Arial" w:hAnsi="Arial" w:cs="Arial"/>
          <w:color w:val="000000" w:themeColor="text1"/>
          <w:sz w:val="24"/>
          <w:szCs w:val="24"/>
          <w:lang w:val="en-ZA"/>
        </w:rPr>
        <w:t xml:space="preserve"> on the </w:t>
      </w:r>
      <w:r w:rsidR="00C807D5" w:rsidRPr="00304EC1">
        <w:rPr>
          <w:rFonts w:ascii="Arial" w:hAnsi="Arial" w:cs="Arial"/>
          <w:color w:val="000000" w:themeColor="text1"/>
          <w:sz w:val="24"/>
          <w:szCs w:val="24"/>
          <w:lang w:val="en-ZA"/>
        </w:rPr>
        <w:lastRenderedPageBreak/>
        <w:t>28</w:t>
      </w:r>
      <w:r w:rsidR="00C807D5" w:rsidRPr="00304EC1">
        <w:rPr>
          <w:rFonts w:ascii="Arial" w:hAnsi="Arial" w:cs="Arial"/>
          <w:color w:val="000000" w:themeColor="text1"/>
          <w:sz w:val="24"/>
          <w:szCs w:val="24"/>
          <w:vertAlign w:val="superscript"/>
          <w:lang w:val="en-ZA"/>
        </w:rPr>
        <w:t>th</w:t>
      </w:r>
      <w:r w:rsidR="00C807D5" w:rsidRPr="00304EC1">
        <w:rPr>
          <w:rFonts w:ascii="Arial" w:hAnsi="Arial" w:cs="Arial"/>
          <w:color w:val="000000" w:themeColor="text1"/>
          <w:sz w:val="24"/>
          <w:szCs w:val="24"/>
          <w:lang w:val="en-ZA"/>
        </w:rPr>
        <w:t xml:space="preserve"> of April 2022</w:t>
      </w:r>
      <w:r w:rsidR="00AD1F98" w:rsidRPr="00304EC1">
        <w:rPr>
          <w:rFonts w:ascii="Arial" w:hAnsi="Arial" w:cs="Arial"/>
          <w:color w:val="000000" w:themeColor="text1"/>
          <w:sz w:val="24"/>
          <w:szCs w:val="24"/>
          <w:lang w:val="en-ZA"/>
        </w:rPr>
        <w:t>. The applicant in its emails to the first respondent requested that the vehicle be re</w:t>
      </w:r>
      <w:r w:rsidR="006C49D1" w:rsidRPr="00304EC1">
        <w:rPr>
          <w:rFonts w:ascii="Arial" w:hAnsi="Arial" w:cs="Arial"/>
          <w:color w:val="000000" w:themeColor="text1"/>
          <w:sz w:val="24"/>
          <w:szCs w:val="24"/>
          <w:lang w:val="en-ZA"/>
        </w:rPr>
        <w:t>turned to Ms. Schaal. I am, therefore, persuaded by the submissions of the respondents to the effect that</w:t>
      </w:r>
      <w:r w:rsidR="00AD1F98" w:rsidRPr="00304EC1">
        <w:rPr>
          <w:rFonts w:ascii="Arial" w:hAnsi="Arial" w:cs="Arial"/>
          <w:color w:val="000000" w:themeColor="text1"/>
          <w:sz w:val="24"/>
          <w:szCs w:val="24"/>
          <w:lang w:val="en-ZA"/>
        </w:rPr>
        <w:t xml:space="preserve"> Ms. Schaal has a direct and substant</w:t>
      </w:r>
      <w:r w:rsidR="006C7981" w:rsidRPr="00304EC1">
        <w:rPr>
          <w:rFonts w:ascii="Arial" w:hAnsi="Arial" w:cs="Arial"/>
          <w:color w:val="000000" w:themeColor="text1"/>
          <w:sz w:val="24"/>
          <w:szCs w:val="24"/>
          <w:lang w:val="en-ZA"/>
        </w:rPr>
        <w:t>ial interest in the matter and sh</w:t>
      </w:r>
      <w:r w:rsidR="00AD1F98" w:rsidRPr="00304EC1">
        <w:rPr>
          <w:rFonts w:ascii="Arial" w:hAnsi="Arial" w:cs="Arial"/>
          <w:color w:val="000000" w:themeColor="text1"/>
          <w:sz w:val="24"/>
          <w:szCs w:val="24"/>
          <w:lang w:val="en-ZA"/>
        </w:rPr>
        <w:t>ould have been joined in this motion.</w:t>
      </w:r>
    </w:p>
    <w:p w:rsidR="00AD1F98" w:rsidRPr="00304EC1" w:rsidRDefault="00AD1F98" w:rsidP="00707B90">
      <w:pPr>
        <w:spacing w:line="360" w:lineRule="auto"/>
        <w:jc w:val="both"/>
        <w:rPr>
          <w:rFonts w:ascii="Arial" w:hAnsi="Arial" w:cs="Arial"/>
          <w:color w:val="000000" w:themeColor="text1"/>
          <w:sz w:val="24"/>
          <w:szCs w:val="24"/>
          <w:lang w:val="en-ZA"/>
        </w:rPr>
      </w:pPr>
      <w:r w:rsidRPr="00304EC1">
        <w:rPr>
          <w:rFonts w:ascii="Arial" w:hAnsi="Arial" w:cs="Arial"/>
          <w:color w:val="000000" w:themeColor="text1"/>
          <w:sz w:val="24"/>
          <w:szCs w:val="24"/>
          <w:lang w:val="en-ZA"/>
        </w:rPr>
        <w:t xml:space="preserve"> </w:t>
      </w:r>
    </w:p>
    <w:p w:rsidR="00A37F36" w:rsidRPr="00304EC1" w:rsidRDefault="00A37F36" w:rsidP="00707B90">
      <w:pPr>
        <w:spacing w:line="360" w:lineRule="auto"/>
        <w:jc w:val="both"/>
        <w:rPr>
          <w:rFonts w:ascii="Arial" w:hAnsi="Arial" w:cs="Arial"/>
          <w:b/>
          <w:color w:val="000000" w:themeColor="text1"/>
          <w:sz w:val="24"/>
          <w:szCs w:val="24"/>
          <w:lang w:val="en-ZA"/>
        </w:rPr>
      </w:pPr>
      <w:r w:rsidRPr="00304EC1">
        <w:rPr>
          <w:rFonts w:ascii="Arial" w:hAnsi="Arial" w:cs="Arial"/>
          <w:b/>
          <w:color w:val="000000" w:themeColor="text1"/>
          <w:sz w:val="24"/>
          <w:szCs w:val="24"/>
          <w:lang w:val="en-ZA"/>
        </w:rPr>
        <w:t>SALE IN EXECUTION.</w:t>
      </w:r>
    </w:p>
    <w:p w:rsidR="00763B4A" w:rsidRPr="00304EC1" w:rsidRDefault="00FE565E" w:rsidP="00FE565E">
      <w:pPr>
        <w:pStyle w:val="NormalWeb"/>
        <w:shd w:val="clear" w:color="auto" w:fill="FFFFFF"/>
        <w:spacing w:before="144" w:beforeAutospacing="0" w:after="0" w:afterAutospacing="0" w:line="360" w:lineRule="atLeast"/>
        <w:rPr>
          <w:rFonts w:ascii="Verdana" w:hAnsi="Verdana"/>
          <w:color w:val="242121"/>
        </w:rPr>
      </w:pPr>
      <w:r w:rsidRPr="00304EC1">
        <w:rPr>
          <w:rFonts w:ascii="Arial" w:hAnsi="Arial" w:cs="Arial"/>
          <w:color w:val="000000" w:themeColor="text1"/>
        </w:rPr>
        <w:t>[3</w:t>
      </w:r>
      <w:r w:rsidR="0091186A">
        <w:rPr>
          <w:rFonts w:ascii="Arial" w:hAnsi="Arial" w:cs="Arial"/>
          <w:color w:val="000000" w:themeColor="text1"/>
        </w:rPr>
        <w:t>3</w:t>
      </w:r>
      <w:r w:rsidR="00E254E2" w:rsidRPr="00304EC1">
        <w:rPr>
          <w:rFonts w:ascii="Arial" w:hAnsi="Arial" w:cs="Arial"/>
          <w:color w:val="000000" w:themeColor="text1"/>
        </w:rPr>
        <w:t>]</w:t>
      </w:r>
      <w:r w:rsidR="00763B4A" w:rsidRPr="00304EC1">
        <w:rPr>
          <w:rFonts w:ascii="Arial" w:hAnsi="Arial" w:cs="Arial"/>
          <w:color w:val="242121"/>
        </w:rPr>
        <w:t> In </w:t>
      </w:r>
      <w:r w:rsidR="00763B4A" w:rsidRPr="00304EC1">
        <w:rPr>
          <w:rFonts w:ascii="Arial" w:hAnsi="Arial" w:cs="Arial"/>
          <w:iCs/>
          <w:color w:val="242121"/>
        </w:rPr>
        <w:t xml:space="preserve">Van Rensburg and Another NNO v Naidoo and Others NNO; Naidoo and Others </w:t>
      </w:r>
      <w:bookmarkStart w:id="1" w:name="_ftnref1"/>
      <w:r w:rsidR="008D484E" w:rsidRPr="00304EC1">
        <w:rPr>
          <w:rFonts w:ascii="Arial" w:hAnsi="Arial" w:cs="Arial"/>
          <w:iCs/>
          <w:color w:val="242121"/>
        </w:rPr>
        <w:t>NNO v Van Rensburg NO and Others</w:t>
      </w:r>
      <w:bookmarkEnd w:id="1"/>
      <w:r w:rsidR="00E254E2" w:rsidRPr="00304EC1">
        <w:rPr>
          <w:rStyle w:val="FootnoteReference"/>
          <w:rFonts w:ascii="Arial" w:hAnsi="Arial" w:cs="Arial"/>
          <w:iCs/>
          <w:color w:val="242121"/>
        </w:rPr>
        <w:footnoteReference w:id="5"/>
      </w:r>
      <w:r w:rsidR="008F656E" w:rsidRPr="00304EC1">
        <w:rPr>
          <w:rFonts w:ascii="Arial" w:hAnsi="Arial" w:cs="Arial"/>
          <w:iCs/>
          <w:color w:val="242121"/>
        </w:rPr>
        <w:t xml:space="preserve"> the court held as follows.</w:t>
      </w:r>
    </w:p>
    <w:p w:rsidR="00763B4A" w:rsidRPr="00304EC1" w:rsidRDefault="008F656E" w:rsidP="006E0FA1">
      <w:pPr>
        <w:shd w:val="clear" w:color="auto" w:fill="FFFFFF"/>
        <w:spacing w:before="144" w:after="0" w:line="360" w:lineRule="atLeast"/>
        <w:ind w:left="851"/>
        <w:rPr>
          <w:rFonts w:ascii="Verdana" w:eastAsia="Times New Roman" w:hAnsi="Verdana" w:cs="Times New Roman"/>
          <w:color w:val="242121"/>
          <w:sz w:val="24"/>
          <w:szCs w:val="24"/>
          <w:lang w:val="en-ZA" w:eastAsia="en-ZA"/>
        </w:rPr>
      </w:pPr>
      <w:r w:rsidRPr="00304EC1">
        <w:rPr>
          <w:rFonts w:ascii="Verdana" w:eastAsia="Times New Roman" w:hAnsi="Verdana" w:cs="Times New Roman"/>
          <w:color w:val="242121"/>
          <w:sz w:val="24"/>
          <w:szCs w:val="24"/>
          <w:lang w:val="en-ZA" w:eastAsia="en-ZA"/>
        </w:rPr>
        <w:t>“</w:t>
      </w:r>
      <w:r w:rsidR="00763B4A" w:rsidRPr="00304EC1">
        <w:rPr>
          <w:rFonts w:ascii="Arial" w:eastAsia="Times New Roman" w:hAnsi="Arial" w:cs="Arial"/>
          <w:color w:val="242121"/>
          <w:sz w:val="24"/>
          <w:szCs w:val="24"/>
          <w:lang w:val="en-ZA" w:eastAsia="en-ZA"/>
        </w:rPr>
        <w:t>Apart from the provisions of Uniform Rule 45A, a court has inherent jurisdiction, in appropriate circumstances, to order a stay of execution or to suspend an order. It might, for example, stay a sale in execution or suspend an ejectment order. Such discretion must be exercised judicially. As a general rule, a court will only do so where injustice will otherwise ensue.</w:t>
      </w:r>
      <w:r w:rsidR="00763B4A" w:rsidRPr="00304EC1">
        <w:rPr>
          <w:rFonts w:ascii="Verdana" w:eastAsia="Times New Roman" w:hAnsi="Verdana" w:cs="Times New Roman"/>
          <w:color w:val="242121"/>
          <w:sz w:val="24"/>
          <w:szCs w:val="24"/>
          <w:lang w:val="en-ZA" w:eastAsia="en-ZA"/>
        </w:rPr>
        <w:t> </w:t>
      </w:r>
      <w:r w:rsidR="00763B4A" w:rsidRPr="00304EC1">
        <w:rPr>
          <w:rFonts w:ascii="Arial" w:eastAsia="Times New Roman" w:hAnsi="Arial" w:cs="Arial"/>
          <w:color w:val="242121"/>
          <w:sz w:val="24"/>
          <w:szCs w:val="24"/>
          <w:lang w:val="en-ZA" w:eastAsia="en-ZA"/>
        </w:rPr>
        <w:t>A court will grant a stay of execution in terms of Uniform Rule 45A where the underlying causa or judgment debt is being disputed, or no longer exists, or when an attempt is made to use the levying of execution for ulterior purposes. As a general rule, courts acting in terms of this rule will suspend the execution of an order where real and substantia</w:t>
      </w:r>
      <w:r w:rsidRPr="00304EC1">
        <w:rPr>
          <w:rFonts w:ascii="Arial" w:eastAsia="Times New Roman" w:hAnsi="Arial" w:cs="Arial"/>
          <w:color w:val="242121"/>
          <w:sz w:val="24"/>
          <w:szCs w:val="24"/>
          <w:lang w:val="en-ZA" w:eastAsia="en-ZA"/>
        </w:rPr>
        <w:t>l injustice compels such action”</w:t>
      </w:r>
      <w:r w:rsidR="00763B4A" w:rsidRPr="00304EC1">
        <w:rPr>
          <w:rFonts w:ascii="Arial" w:eastAsia="Times New Roman" w:hAnsi="Arial" w:cs="Arial"/>
          <w:color w:val="242121"/>
          <w:sz w:val="24"/>
          <w:szCs w:val="24"/>
          <w:lang w:val="en-ZA" w:eastAsia="en-ZA"/>
        </w:rPr>
        <w:t>.</w:t>
      </w:r>
    </w:p>
    <w:p w:rsidR="00763B4A" w:rsidRPr="00304EC1" w:rsidRDefault="00763B4A" w:rsidP="00763B4A">
      <w:pPr>
        <w:shd w:val="clear" w:color="auto" w:fill="FFFFFF"/>
        <w:spacing w:before="144" w:after="0" w:line="360" w:lineRule="atLeast"/>
        <w:rPr>
          <w:rFonts w:ascii="Verdana" w:eastAsia="Times New Roman" w:hAnsi="Verdana" w:cs="Times New Roman"/>
          <w:color w:val="242121"/>
          <w:sz w:val="24"/>
          <w:szCs w:val="24"/>
          <w:lang w:val="en-ZA" w:eastAsia="en-ZA"/>
        </w:rPr>
      </w:pPr>
      <w:r w:rsidRPr="00304EC1">
        <w:rPr>
          <w:rFonts w:ascii="Verdana" w:eastAsia="Times New Roman" w:hAnsi="Verdana" w:cs="Times New Roman"/>
          <w:color w:val="242121"/>
          <w:sz w:val="24"/>
          <w:szCs w:val="24"/>
          <w:lang w:val="en-ZA" w:eastAsia="en-ZA"/>
        </w:rPr>
        <w:t> </w:t>
      </w:r>
    </w:p>
    <w:p w:rsidR="00763B4A" w:rsidRPr="00304EC1" w:rsidRDefault="00FE565E" w:rsidP="00763B4A">
      <w:pPr>
        <w:shd w:val="clear" w:color="auto" w:fill="FFFFFF"/>
        <w:spacing w:before="144" w:after="0" w:line="360" w:lineRule="atLeast"/>
        <w:rPr>
          <w:rFonts w:ascii="Verdana" w:eastAsia="Times New Roman" w:hAnsi="Verdana" w:cs="Times New Roman"/>
          <w:color w:val="242121"/>
          <w:sz w:val="24"/>
          <w:szCs w:val="24"/>
          <w:lang w:val="en-ZA" w:eastAsia="en-ZA"/>
        </w:rPr>
      </w:pPr>
      <w:r w:rsidRPr="00304EC1">
        <w:rPr>
          <w:rFonts w:ascii="Arial" w:eastAsia="Times New Roman" w:hAnsi="Arial" w:cs="Arial"/>
          <w:color w:val="242121"/>
          <w:sz w:val="24"/>
          <w:szCs w:val="24"/>
          <w:lang w:val="en-ZA" w:eastAsia="en-ZA"/>
        </w:rPr>
        <w:t>[</w:t>
      </w:r>
      <w:r w:rsidR="00763B4A" w:rsidRPr="00304EC1">
        <w:rPr>
          <w:rFonts w:ascii="Arial" w:eastAsia="Times New Roman" w:hAnsi="Arial" w:cs="Arial"/>
          <w:color w:val="242121"/>
          <w:sz w:val="24"/>
          <w:szCs w:val="24"/>
          <w:lang w:val="en-ZA" w:eastAsia="en-ZA"/>
        </w:rPr>
        <w:t>3</w:t>
      </w:r>
      <w:r w:rsidR="0091186A">
        <w:rPr>
          <w:rFonts w:ascii="Arial" w:eastAsia="Times New Roman" w:hAnsi="Arial" w:cs="Arial"/>
          <w:color w:val="242121"/>
          <w:sz w:val="24"/>
          <w:szCs w:val="24"/>
          <w:lang w:val="en-ZA" w:eastAsia="en-ZA"/>
        </w:rPr>
        <w:t>4</w:t>
      </w:r>
      <w:r w:rsidRPr="00304EC1">
        <w:rPr>
          <w:rFonts w:ascii="Arial" w:eastAsia="Times New Roman" w:hAnsi="Arial" w:cs="Arial"/>
          <w:color w:val="242121"/>
          <w:sz w:val="24"/>
          <w:szCs w:val="24"/>
          <w:lang w:val="en-ZA" w:eastAsia="en-ZA"/>
        </w:rPr>
        <w:t>] </w:t>
      </w:r>
      <w:r w:rsidR="00763B4A" w:rsidRPr="00304EC1">
        <w:rPr>
          <w:rFonts w:ascii="Arial" w:eastAsia="Times New Roman" w:hAnsi="Arial" w:cs="Arial"/>
          <w:color w:val="242121"/>
          <w:sz w:val="24"/>
          <w:szCs w:val="24"/>
          <w:lang w:val="en-ZA" w:eastAsia="en-ZA"/>
        </w:rPr>
        <w:t>In </w:t>
      </w:r>
      <w:r w:rsidR="00763B4A" w:rsidRPr="00304EC1">
        <w:rPr>
          <w:rFonts w:ascii="Arial" w:eastAsia="Times New Roman" w:hAnsi="Arial" w:cs="Arial"/>
          <w:iCs/>
          <w:color w:val="242121"/>
          <w:sz w:val="24"/>
          <w:szCs w:val="24"/>
          <w:lang w:val="en-ZA" w:eastAsia="en-ZA"/>
        </w:rPr>
        <w:t>Stoffberg N.O and Another v Capital Harvest (Pty) Ltd</w:t>
      </w:r>
      <w:r w:rsidR="008F656E" w:rsidRPr="00304EC1">
        <w:rPr>
          <w:rFonts w:ascii="Arial" w:eastAsia="Times New Roman" w:hAnsi="Arial" w:cs="Arial"/>
          <w:iCs/>
          <w:color w:val="242121"/>
          <w:sz w:val="24"/>
          <w:szCs w:val="24"/>
          <w:lang w:val="en-ZA" w:eastAsia="en-ZA"/>
        </w:rPr>
        <w:t>,</w:t>
      </w:r>
      <w:r w:rsidR="00E254E2" w:rsidRPr="00304EC1">
        <w:rPr>
          <w:rStyle w:val="FootnoteReference"/>
          <w:rFonts w:ascii="Arial" w:eastAsia="Times New Roman" w:hAnsi="Arial" w:cs="Arial"/>
          <w:iCs/>
          <w:color w:val="242121"/>
          <w:sz w:val="24"/>
          <w:szCs w:val="24"/>
          <w:lang w:val="en-ZA" w:eastAsia="en-ZA"/>
        </w:rPr>
        <w:footnoteReference w:id="6"/>
      </w:r>
      <w:r w:rsidR="008F656E" w:rsidRPr="00304EC1">
        <w:rPr>
          <w:rFonts w:ascii="Arial" w:eastAsia="Times New Roman" w:hAnsi="Arial" w:cs="Arial"/>
          <w:iCs/>
          <w:color w:val="242121"/>
          <w:sz w:val="24"/>
          <w:szCs w:val="24"/>
          <w:lang w:val="en-ZA" w:eastAsia="en-ZA"/>
        </w:rPr>
        <w:t xml:space="preserve"> it was held as follows:</w:t>
      </w:r>
    </w:p>
    <w:p w:rsidR="00763B4A" w:rsidRPr="00304EC1" w:rsidRDefault="00FE565E" w:rsidP="00763B4A">
      <w:pPr>
        <w:shd w:val="clear" w:color="auto" w:fill="FFFFFF"/>
        <w:spacing w:before="144" w:after="0" w:line="360" w:lineRule="atLeast"/>
        <w:ind w:left="851"/>
        <w:rPr>
          <w:rFonts w:ascii="Verdana" w:eastAsia="Times New Roman" w:hAnsi="Verdana" w:cs="Times New Roman"/>
          <w:color w:val="242121"/>
          <w:sz w:val="24"/>
          <w:szCs w:val="24"/>
          <w:lang w:val="en-ZA" w:eastAsia="en-ZA"/>
        </w:rPr>
      </w:pPr>
      <w:r w:rsidRPr="00304EC1">
        <w:rPr>
          <w:rFonts w:ascii="Verdana" w:eastAsia="Times New Roman" w:hAnsi="Verdana" w:cs="Times New Roman"/>
          <w:color w:val="242121"/>
          <w:sz w:val="24"/>
          <w:szCs w:val="24"/>
          <w:lang w:val="en-ZA" w:eastAsia="en-ZA"/>
        </w:rPr>
        <w:t>“</w:t>
      </w:r>
      <w:r w:rsidR="00763B4A" w:rsidRPr="00304EC1">
        <w:rPr>
          <w:rFonts w:ascii="Arial" w:eastAsia="Times New Roman" w:hAnsi="Arial" w:cs="Arial"/>
          <w:color w:val="242121"/>
          <w:sz w:val="24"/>
          <w:szCs w:val="24"/>
          <w:lang w:val="en-ZA" w:eastAsia="en-ZA"/>
        </w:rPr>
        <w:t>The broad and unrestricted wording of rule 45A suggests that it was intended to be a restatement of the courts’ common discretionary power. The particular power is an instance of the courts’ authority to regulate its own process. Being a judicial power, it falls to be exercised judicially. Its exercise will therefore be fact specific and the guiding principle will be that execution will be suspended where real and substantial justice requires that. ‘Real and substantial justice’ is a concept that defies precise definition, rather like ‘good cause’ or ‘substantial reason’. It is for the court to decide on the facts of each case whether considerations of real and substantial justice are sufficiently engaged to warrant suspending the execution of a judgment; and, if they are, on what terms any suspension it might be persu</w:t>
      </w:r>
      <w:r w:rsidRPr="00304EC1">
        <w:rPr>
          <w:rFonts w:ascii="Arial" w:eastAsia="Times New Roman" w:hAnsi="Arial" w:cs="Arial"/>
          <w:color w:val="242121"/>
          <w:sz w:val="24"/>
          <w:szCs w:val="24"/>
          <w:lang w:val="en-ZA" w:eastAsia="en-ZA"/>
        </w:rPr>
        <w:t>aded to allow should be granted”</w:t>
      </w:r>
      <w:r w:rsidR="00763B4A" w:rsidRPr="00304EC1">
        <w:rPr>
          <w:rFonts w:ascii="Arial" w:eastAsia="Times New Roman" w:hAnsi="Arial" w:cs="Arial"/>
          <w:color w:val="242121"/>
          <w:sz w:val="24"/>
          <w:szCs w:val="24"/>
          <w:lang w:val="en-ZA" w:eastAsia="en-ZA"/>
        </w:rPr>
        <w:t>.</w:t>
      </w:r>
    </w:p>
    <w:p w:rsidR="006A3440" w:rsidRPr="00304EC1" w:rsidRDefault="006A3440" w:rsidP="00707B90">
      <w:pPr>
        <w:spacing w:line="360" w:lineRule="auto"/>
        <w:jc w:val="both"/>
        <w:rPr>
          <w:rFonts w:ascii="Arial" w:hAnsi="Arial" w:cs="Arial"/>
          <w:color w:val="000000" w:themeColor="text1"/>
          <w:sz w:val="24"/>
          <w:szCs w:val="24"/>
          <w:lang w:val="en-ZA"/>
        </w:rPr>
      </w:pPr>
    </w:p>
    <w:p w:rsidR="008A2617" w:rsidRPr="00304EC1" w:rsidRDefault="00FE565E" w:rsidP="00707B90">
      <w:pPr>
        <w:spacing w:line="360" w:lineRule="auto"/>
        <w:jc w:val="both"/>
        <w:rPr>
          <w:rFonts w:ascii="Arial" w:hAnsi="Arial" w:cs="Arial"/>
          <w:color w:val="000000" w:themeColor="text1"/>
          <w:sz w:val="24"/>
          <w:szCs w:val="24"/>
          <w:lang w:val="en-ZA"/>
        </w:rPr>
      </w:pPr>
      <w:r w:rsidRPr="00304EC1">
        <w:rPr>
          <w:rFonts w:ascii="Arial" w:hAnsi="Arial" w:cs="Arial"/>
          <w:color w:val="000000" w:themeColor="text1"/>
          <w:sz w:val="24"/>
          <w:szCs w:val="24"/>
          <w:lang w:val="en-ZA"/>
        </w:rPr>
        <w:lastRenderedPageBreak/>
        <w:t>[3</w:t>
      </w:r>
      <w:r w:rsidR="0091186A">
        <w:rPr>
          <w:rFonts w:ascii="Arial" w:hAnsi="Arial" w:cs="Arial"/>
          <w:color w:val="000000" w:themeColor="text1"/>
          <w:sz w:val="24"/>
          <w:szCs w:val="24"/>
          <w:lang w:val="en-ZA"/>
        </w:rPr>
        <w:t>5</w:t>
      </w:r>
      <w:r w:rsidR="00CC389F" w:rsidRPr="00304EC1">
        <w:rPr>
          <w:rFonts w:ascii="Arial" w:hAnsi="Arial" w:cs="Arial"/>
          <w:color w:val="000000" w:themeColor="text1"/>
          <w:sz w:val="24"/>
          <w:szCs w:val="24"/>
          <w:lang w:val="en-ZA"/>
        </w:rPr>
        <w:t xml:space="preserve">] </w:t>
      </w:r>
      <w:r w:rsidR="00A37F36" w:rsidRPr="00304EC1">
        <w:rPr>
          <w:rFonts w:ascii="Arial" w:hAnsi="Arial" w:cs="Arial"/>
          <w:color w:val="000000" w:themeColor="text1"/>
          <w:sz w:val="24"/>
          <w:szCs w:val="24"/>
          <w:lang w:val="en-ZA"/>
        </w:rPr>
        <w:t>The following facts are common cause: Firstly,</w:t>
      </w:r>
      <w:r w:rsidR="00590CD2" w:rsidRPr="00304EC1">
        <w:rPr>
          <w:rFonts w:ascii="Arial" w:hAnsi="Arial" w:cs="Arial"/>
          <w:color w:val="000000" w:themeColor="text1"/>
          <w:sz w:val="24"/>
          <w:szCs w:val="24"/>
          <w:lang w:val="en-ZA"/>
        </w:rPr>
        <w:t xml:space="preserve"> </w:t>
      </w:r>
      <w:r w:rsidR="00A37F36" w:rsidRPr="00304EC1">
        <w:rPr>
          <w:rFonts w:ascii="Arial" w:hAnsi="Arial" w:cs="Arial"/>
          <w:color w:val="000000" w:themeColor="text1"/>
          <w:sz w:val="24"/>
          <w:szCs w:val="24"/>
          <w:lang w:val="en-ZA"/>
        </w:rPr>
        <w:t xml:space="preserve">the first </w:t>
      </w:r>
      <w:r w:rsidR="0091186A">
        <w:rPr>
          <w:rFonts w:ascii="Arial" w:hAnsi="Arial" w:cs="Arial"/>
          <w:color w:val="000000" w:themeColor="text1"/>
          <w:sz w:val="24"/>
          <w:szCs w:val="24"/>
          <w:lang w:val="en-ZA"/>
        </w:rPr>
        <w:t>respondent</w:t>
      </w:r>
      <w:r w:rsidR="00A37F36" w:rsidRPr="00304EC1">
        <w:rPr>
          <w:rFonts w:ascii="Arial" w:hAnsi="Arial" w:cs="Arial"/>
          <w:color w:val="000000" w:themeColor="text1"/>
          <w:sz w:val="24"/>
          <w:szCs w:val="24"/>
          <w:lang w:val="en-ZA"/>
        </w:rPr>
        <w:t>, as per instructions of the second respondent obtained a default judgment in the Pretoria Magistrate’s court. Secondly, a warrant of execution was executed and the vehicle was attached.</w:t>
      </w:r>
      <w:r w:rsidR="008A2617" w:rsidRPr="00304EC1">
        <w:rPr>
          <w:rFonts w:ascii="Arial" w:hAnsi="Arial" w:cs="Arial"/>
          <w:color w:val="000000" w:themeColor="text1"/>
          <w:sz w:val="24"/>
          <w:szCs w:val="24"/>
          <w:lang w:val="en-ZA"/>
        </w:rPr>
        <w:t xml:space="preserve"> Thirdly,</w:t>
      </w:r>
      <w:r w:rsidR="006A3440" w:rsidRPr="00304EC1">
        <w:rPr>
          <w:rFonts w:ascii="Arial" w:hAnsi="Arial" w:cs="Arial"/>
          <w:color w:val="000000" w:themeColor="text1"/>
          <w:sz w:val="24"/>
          <w:szCs w:val="24"/>
          <w:lang w:val="en-ZA"/>
        </w:rPr>
        <w:t xml:space="preserve"> as of the 19</w:t>
      </w:r>
      <w:r w:rsidR="006A3440" w:rsidRPr="00304EC1">
        <w:rPr>
          <w:rFonts w:ascii="Arial" w:hAnsi="Arial" w:cs="Arial"/>
          <w:color w:val="000000" w:themeColor="text1"/>
          <w:sz w:val="24"/>
          <w:szCs w:val="24"/>
          <w:vertAlign w:val="superscript"/>
          <w:lang w:val="en-ZA"/>
        </w:rPr>
        <w:t>th</w:t>
      </w:r>
      <w:r w:rsidR="006A3440" w:rsidRPr="00304EC1">
        <w:rPr>
          <w:rFonts w:ascii="Arial" w:hAnsi="Arial" w:cs="Arial"/>
          <w:color w:val="000000" w:themeColor="text1"/>
          <w:sz w:val="24"/>
          <w:szCs w:val="24"/>
          <w:lang w:val="en-ZA"/>
        </w:rPr>
        <w:t xml:space="preserve"> of September 2022,</w:t>
      </w:r>
      <w:r w:rsidR="008A2617" w:rsidRPr="00304EC1">
        <w:rPr>
          <w:rFonts w:ascii="Arial" w:hAnsi="Arial" w:cs="Arial"/>
          <w:color w:val="000000" w:themeColor="text1"/>
          <w:sz w:val="24"/>
          <w:szCs w:val="24"/>
          <w:lang w:val="en-ZA"/>
        </w:rPr>
        <w:t xml:space="preserve"> the applicant was aware of the attachment and was requested to provide an affidavit and failed to comply</w:t>
      </w:r>
      <w:r w:rsidR="005953EC" w:rsidRPr="00304EC1">
        <w:rPr>
          <w:rFonts w:ascii="Arial" w:hAnsi="Arial" w:cs="Arial"/>
          <w:color w:val="000000" w:themeColor="text1"/>
          <w:sz w:val="24"/>
          <w:szCs w:val="24"/>
          <w:lang w:val="en-ZA"/>
        </w:rPr>
        <w:t xml:space="preserve">. </w:t>
      </w:r>
      <w:r w:rsidR="008A2617" w:rsidRPr="00304EC1">
        <w:rPr>
          <w:rFonts w:ascii="Arial" w:hAnsi="Arial" w:cs="Arial"/>
          <w:color w:val="000000" w:themeColor="text1"/>
          <w:sz w:val="24"/>
          <w:szCs w:val="24"/>
          <w:lang w:val="en-ZA"/>
        </w:rPr>
        <w:t xml:space="preserve"> Fourthly, the sale in ex</w:t>
      </w:r>
      <w:r w:rsidR="00251C0F" w:rsidRPr="00304EC1">
        <w:rPr>
          <w:rFonts w:ascii="Arial" w:hAnsi="Arial" w:cs="Arial"/>
          <w:color w:val="000000" w:themeColor="text1"/>
          <w:sz w:val="24"/>
          <w:szCs w:val="24"/>
          <w:lang w:val="en-ZA"/>
        </w:rPr>
        <w:t>ecution proceeded on the 11</w:t>
      </w:r>
      <w:r w:rsidR="00251C0F" w:rsidRPr="00304EC1">
        <w:rPr>
          <w:rFonts w:ascii="Arial" w:hAnsi="Arial" w:cs="Arial"/>
          <w:color w:val="000000" w:themeColor="text1"/>
          <w:sz w:val="24"/>
          <w:szCs w:val="24"/>
          <w:vertAlign w:val="superscript"/>
          <w:lang w:val="en-ZA"/>
        </w:rPr>
        <w:t>th</w:t>
      </w:r>
      <w:r w:rsidR="00251C0F" w:rsidRPr="00304EC1">
        <w:rPr>
          <w:rFonts w:ascii="Arial" w:hAnsi="Arial" w:cs="Arial"/>
          <w:color w:val="000000" w:themeColor="text1"/>
          <w:sz w:val="24"/>
          <w:szCs w:val="24"/>
          <w:lang w:val="en-ZA"/>
        </w:rPr>
        <w:t xml:space="preserve"> of October 2022.</w:t>
      </w:r>
    </w:p>
    <w:p w:rsidR="006E0FA1" w:rsidRPr="00304EC1" w:rsidRDefault="00FE565E" w:rsidP="00AE513A">
      <w:pPr>
        <w:spacing w:line="360" w:lineRule="auto"/>
        <w:jc w:val="both"/>
        <w:rPr>
          <w:rFonts w:ascii="Arial" w:hAnsi="Arial" w:cs="Arial"/>
          <w:color w:val="000000" w:themeColor="text1"/>
          <w:sz w:val="24"/>
          <w:szCs w:val="24"/>
          <w:lang w:val="en-ZA"/>
        </w:rPr>
      </w:pPr>
      <w:r w:rsidRPr="00304EC1">
        <w:rPr>
          <w:rFonts w:ascii="Arial" w:hAnsi="Arial" w:cs="Arial"/>
          <w:color w:val="000000" w:themeColor="text1"/>
          <w:sz w:val="24"/>
          <w:szCs w:val="24"/>
          <w:lang w:val="en-ZA"/>
        </w:rPr>
        <w:t>[3</w:t>
      </w:r>
      <w:r w:rsidR="00664863">
        <w:rPr>
          <w:rFonts w:ascii="Arial" w:hAnsi="Arial" w:cs="Arial"/>
          <w:color w:val="000000" w:themeColor="text1"/>
          <w:sz w:val="24"/>
          <w:szCs w:val="24"/>
          <w:lang w:val="en-ZA"/>
        </w:rPr>
        <w:t>6</w:t>
      </w:r>
      <w:r w:rsidR="00251C0F" w:rsidRPr="00304EC1">
        <w:rPr>
          <w:rFonts w:ascii="Arial" w:hAnsi="Arial" w:cs="Arial"/>
          <w:color w:val="000000" w:themeColor="text1"/>
          <w:sz w:val="24"/>
          <w:szCs w:val="24"/>
          <w:lang w:val="en-ZA"/>
        </w:rPr>
        <w:t>] The applicant does not allege that the sale in execution was conducted irregularly. Neither does the applicant allege that the sheriff</w:t>
      </w:r>
      <w:r w:rsidR="00590CD2" w:rsidRPr="00304EC1">
        <w:rPr>
          <w:rFonts w:ascii="Arial" w:hAnsi="Arial" w:cs="Arial"/>
          <w:color w:val="000000" w:themeColor="text1"/>
          <w:sz w:val="24"/>
          <w:szCs w:val="24"/>
          <w:lang w:val="en-ZA"/>
        </w:rPr>
        <w:t xml:space="preserve"> acted unlawfully.</w:t>
      </w:r>
      <w:r w:rsidR="0091186A">
        <w:rPr>
          <w:rFonts w:ascii="Arial" w:hAnsi="Arial" w:cs="Arial"/>
          <w:color w:val="000000" w:themeColor="text1"/>
          <w:sz w:val="24"/>
          <w:szCs w:val="24"/>
          <w:lang w:val="en-ZA"/>
        </w:rPr>
        <w:t xml:space="preserve"> </w:t>
      </w:r>
      <w:r w:rsidR="005953EC" w:rsidRPr="00304EC1">
        <w:rPr>
          <w:rFonts w:ascii="Arial" w:hAnsi="Arial" w:cs="Arial"/>
          <w:color w:val="000000" w:themeColor="text1"/>
          <w:sz w:val="24"/>
          <w:szCs w:val="24"/>
          <w:lang w:val="en-ZA"/>
        </w:rPr>
        <w:t xml:space="preserve">The applicant </w:t>
      </w:r>
      <w:r w:rsidR="00F45990" w:rsidRPr="00304EC1">
        <w:rPr>
          <w:rFonts w:ascii="Arial" w:hAnsi="Arial" w:cs="Arial"/>
          <w:color w:val="000000" w:themeColor="text1"/>
          <w:sz w:val="24"/>
          <w:szCs w:val="24"/>
          <w:lang w:val="en-ZA"/>
        </w:rPr>
        <w:t>became aware of</w:t>
      </w:r>
      <w:r w:rsidR="005953EC" w:rsidRPr="00304EC1">
        <w:rPr>
          <w:rFonts w:ascii="Arial" w:hAnsi="Arial" w:cs="Arial"/>
          <w:color w:val="000000" w:themeColor="text1"/>
          <w:sz w:val="24"/>
          <w:szCs w:val="24"/>
          <w:lang w:val="en-ZA"/>
        </w:rPr>
        <w:t xml:space="preserve"> the sale</w:t>
      </w:r>
      <w:r w:rsidR="00F45990" w:rsidRPr="00304EC1">
        <w:rPr>
          <w:rFonts w:ascii="Arial" w:hAnsi="Arial" w:cs="Arial"/>
          <w:color w:val="000000" w:themeColor="text1"/>
          <w:sz w:val="24"/>
          <w:szCs w:val="24"/>
          <w:lang w:val="en-ZA"/>
        </w:rPr>
        <w:t xml:space="preserve"> in execution</w:t>
      </w:r>
      <w:r w:rsidR="005953EC" w:rsidRPr="00304EC1">
        <w:rPr>
          <w:rFonts w:ascii="Arial" w:hAnsi="Arial" w:cs="Arial"/>
          <w:color w:val="000000" w:themeColor="text1"/>
          <w:sz w:val="24"/>
          <w:szCs w:val="24"/>
          <w:lang w:val="en-ZA"/>
        </w:rPr>
        <w:t xml:space="preserve"> with effect from the 22</w:t>
      </w:r>
      <w:r w:rsidR="005953EC" w:rsidRPr="00304EC1">
        <w:rPr>
          <w:rFonts w:ascii="Arial" w:hAnsi="Arial" w:cs="Arial"/>
          <w:color w:val="000000" w:themeColor="text1"/>
          <w:sz w:val="24"/>
          <w:szCs w:val="24"/>
          <w:vertAlign w:val="superscript"/>
          <w:lang w:val="en-ZA"/>
        </w:rPr>
        <w:t>nd</w:t>
      </w:r>
      <w:r w:rsidR="005953EC" w:rsidRPr="00304EC1">
        <w:rPr>
          <w:rFonts w:ascii="Arial" w:hAnsi="Arial" w:cs="Arial"/>
          <w:color w:val="000000" w:themeColor="text1"/>
          <w:sz w:val="24"/>
          <w:szCs w:val="24"/>
          <w:lang w:val="en-ZA"/>
        </w:rPr>
        <w:t xml:space="preserve"> of September 2022. He was advised by the sheriff to depose an aff</w:t>
      </w:r>
      <w:r w:rsidR="006D1D72" w:rsidRPr="00304EC1">
        <w:rPr>
          <w:rFonts w:ascii="Arial" w:hAnsi="Arial" w:cs="Arial"/>
          <w:color w:val="000000" w:themeColor="text1"/>
          <w:sz w:val="24"/>
          <w:szCs w:val="24"/>
          <w:lang w:val="en-ZA"/>
        </w:rPr>
        <w:t>idavit sta</w:t>
      </w:r>
      <w:r w:rsidR="00730884" w:rsidRPr="00304EC1">
        <w:rPr>
          <w:rFonts w:ascii="Arial" w:hAnsi="Arial" w:cs="Arial"/>
          <w:color w:val="000000" w:themeColor="text1"/>
          <w:sz w:val="24"/>
          <w:szCs w:val="24"/>
          <w:lang w:val="en-ZA"/>
        </w:rPr>
        <w:t>ting that he is the owner</w:t>
      </w:r>
      <w:r w:rsidR="006D1D72" w:rsidRPr="00304EC1">
        <w:rPr>
          <w:rFonts w:ascii="Arial" w:hAnsi="Arial" w:cs="Arial"/>
          <w:color w:val="000000" w:themeColor="text1"/>
          <w:sz w:val="24"/>
          <w:szCs w:val="24"/>
          <w:lang w:val="en-ZA"/>
        </w:rPr>
        <w:t xml:space="preserve"> of the vehicle and failed to do so. </w:t>
      </w:r>
    </w:p>
    <w:p w:rsidR="00274961" w:rsidRPr="00304EC1" w:rsidRDefault="00274961" w:rsidP="00AE513A">
      <w:pPr>
        <w:spacing w:line="360" w:lineRule="auto"/>
        <w:jc w:val="both"/>
        <w:rPr>
          <w:rFonts w:ascii="Arial" w:hAnsi="Arial" w:cs="Arial"/>
          <w:b/>
          <w:color w:val="000000" w:themeColor="text1"/>
          <w:sz w:val="24"/>
          <w:szCs w:val="24"/>
          <w:lang w:val="en-ZA"/>
        </w:rPr>
      </w:pPr>
      <w:r w:rsidRPr="00304EC1">
        <w:rPr>
          <w:rFonts w:ascii="Arial" w:hAnsi="Arial" w:cs="Arial"/>
          <w:b/>
          <w:color w:val="000000" w:themeColor="text1"/>
          <w:sz w:val="24"/>
          <w:szCs w:val="24"/>
          <w:lang w:val="en-ZA"/>
        </w:rPr>
        <w:t>REI VINDICATIO.</w:t>
      </w:r>
    </w:p>
    <w:p w:rsidR="00513493" w:rsidRPr="00304EC1" w:rsidRDefault="0008548F" w:rsidP="00AE513A">
      <w:pPr>
        <w:spacing w:line="360" w:lineRule="auto"/>
        <w:jc w:val="both"/>
        <w:rPr>
          <w:rFonts w:ascii="Arial" w:hAnsi="Arial" w:cs="Arial"/>
          <w:color w:val="000000" w:themeColor="text1"/>
          <w:sz w:val="24"/>
          <w:szCs w:val="24"/>
          <w:lang w:val="en-ZA"/>
        </w:rPr>
      </w:pPr>
      <w:r w:rsidRPr="00304EC1">
        <w:rPr>
          <w:rFonts w:ascii="Arial" w:hAnsi="Arial" w:cs="Arial"/>
          <w:color w:val="000000" w:themeColor="text1"/>
          <w:sz w:val="24"/>
          <w:szCs w:val="24"/>
          <w:lang w:val="en-ZA"/>
        </w:rPr>
        <w:t>[3</w:t>
      </w:r>
      <w:r w:rsidR="00664863">
        <w:rPr>
          <w:rFonts w:ascii="Arial" w:hAnsi="Arial" w:cs="Arial"/>
          <w:color w:val="000000" w:themeColor="text1"/>
          <w:sz w:val="24"/>
          <w:szCs w:val="24"/>
          <w:lang w:val="en-ZA"/>
        </w:rPr>
        <w:t>7</w:t>
      </w:r>
      <w:r w:rsidR="00513493" w:rsidRPr="00304EC1">
        <w:rPr>
          <w:rFonts w:ascii="Arial" w:hAnsi="Arial" w:cs="Arial"/>
          <w:color w:val="000000" w:themeColor="text1"/>
          <w:sz w:val="24"/>
          <w:szCs w:val="24"/>
          <w:lang w:val="en-ZA"/>
        </w:rPr>
        <w:t xml:space="preserve">] The main objective of rei vindicatio is to restore the physical control of the res to the owner. </w:t>
      </w:r>
      <w:r w:rsidR="00590CD2" w:rsidRPr="00304EC1">
        <w:rPr>
          <w:rFonts w:ascii="Arial" w:hAnsi="Arial" w:cs="Arial"/>
          <w:color w:val="000000" w:themeColor="text1"/>
          <w:sz w:val="24"/>
          <w:szCs w:val="24"/>
          <w:lang w:val="en-ZA"/>
        </w:rPr>
        <w:t>The following t</w:t>
      </w:r>
      <w:r w:rsidR="00513493" w:rsidRPr="00304EC1">
        <w:rPr>
          <w:rFonts w:ascii="Arial" w:hAnsi="Arial" w:cs="Arial"/>
          <w:color w:val="000000" w:themeColor="text1"/>
          <w:sz w:val="24"/>
          <w:szCs w:val="24"/>
          <w:lang w:val="en-ZA"/>
        </w:rPr>
        <w:t xml:space="preserve">hree requirements must be met before rei vindicatio </w:t>
      </w:r>
      <w:r w:rsidR="00250C39" w:rsidRPr="00304EC1">
        <w:rPr>
          <w:rFonts w:ascii="Arial" w:hAnsi="Arial" w:cs="Arial"/>
          <w:color w:val="000000" w:themeColor="text1"/>
          <w:sz w:val="24"/>
          <w:szCs w:val="24"/>
          <w:lang w:val="en-ZA"/>
        </w:rPr>
        <w:t>can be successfully invoked</w:t>
      </w:r>
      <w:r w:rsidR="00590CD2" w:rsidRPr="00304EC1">
        <w:rPr>
          <w:rFonts w:ascii="Arial" w:hAnsi="Arial" w:cs="Arial"/>
          <w:color w:val="000000" w:themeColor="text1"/>
          <w:sz w:val="24"/>
          <w:szCs w:val="24"/>
          <w:lang w:val="en-ZA"/>
        </w:rPr>
        <w:t>:</w:t>
      </w:r>
      <w:r w:rsidR="00250C39" w:rsidRPr="00304EC1">
        <w:rPr>
          <w:rFonts w:ascii="Arial" w:hAnsi="Arial" w:cs="Arial"/>
          <w:color w:val="000000" w:themeColor="text1"/>
          <w:sz w:val="24"/>
          <w:szCs w:val="24"/>
          <w:lang w:val="en-ZA"/>
        </w:rPr>
        <w:t xml:space="preserve"> firstly, the applicant must prove that he/she is the owner of the res, secondly that the res was in possession of the respondent at the commencement of the action</w:t>
      </w:r>
      <w:r w:rsidR="00590CD2" w:rsidRPr="00304EC1">
        <w:rPr>
          <w:rFonts w:ascii="Arial" w:hAnsi="Arial" w:cs="Arial"/>
          <w:color w:val="000000" w:themeColor="text1"/>
          <w:sz w:val="24"/>
          <w:szCs w:val="24"/>
          <w:lang w:val="en-ZA"/>
        </w:rPr>
        <w:t>,</w:t>
      </w:r>
      <w:r w:rsidR="00250C39" w:rsidRPr="00304EC1">
        <w:rPr>
          <w:rFonts w:ascii="Arial" w:hAnsi="Arial" w:cs="Arial"/>
          <w:color w:val="000000" w:themeColor="text1"/>
          <w:sz w:val="24"/>
          <w:szCs w:val="24"/>
          <w:lang w:val="en-ZA"/>
        </w:rPr>
        <w:t xml:space="preserve"> and lastly</w:t>
      </w:r>
      <w:r w:rsidR="006E0FA1" w:rsidRPr="00304EC1">
        <w:rPr>
          <w:rFonts w:ascii="Arial" w:hAnsi="Arial" w:cs="Arial"/>
          <w:color w:val="000000" w:themeColor="text1"/>
          <w:sz w:val="24"/>
          <w:szCs w:val="24"/>
          <w:lang w:val="en-ZA"/>
        </w:rPr>
        <w:t>,</w:t>
      </w:r>
      <w:r w:rsidR="00250C39" w:rsidRPr="00304EC1">
        <w:rPr>
          <w:rFonts w:ascii="Arial" w:hAnsi="Arial" w:cs="Arial"/>
          <w:color w:val="000000" w:themeColor="text1"/>
          <w:sz w:val="24"/>
          <w:szCs w:val="24"/>
          <w:lang w:val="en-ZA"/>
        </w:rPr>
        <w:t xml:space="preserve"> </w:t>
      </w:r>
      <w:r w:rsidR="00590CD2" w:rsidRPr="00304EC1">
        <w:rPr>
          <w:rFonts w:ascii="Arial" w:hAnsi="Arial" w:cs="Arial"/>
          <w:color w:val="000000" w:themeColor="text1"/>
          <w:sz w:val="24"/>
          <w:szCs w:val="24"/>
          <w:lang w:val="en-ZA"/>
        </w:rPr>
        <w:t xml:space="preserve">that </w:t>
      </w:r>
      <w:r w:rsidR="00250C39" w:rsidRPr="00304EC1">
        <w:rPr>
          <w:rFonts w:ascii="Arial" w:hAnsi="Arial" w:cs="Arial"/>
          <w:color w:val="000000" w:themeColor="text1"/>
          <w:sz w:val="24"/>
          <w:szCs w:val="24"/>
          <w:lang w:val="en-ZA"/>
        </w:rPr>
        <w:t xml:space="preserve">the res which is vindicated is still in existence and </w:t>
      </w:r>
      <w:r w:rsidR="00944108" w:rsidRPr="00304EC1">
        <w:rPr>
          <w:rFonts w:ascii="Arial" w:hAnsi="Arial" w:cs="Arial"/>
          <w:color w:val="000000" w:themeColor="text1"/>
          <w:sz w:val="24"/>
          <w:szCs w:val="24"/>
          <w:lang w:val="en-ZA"/>
        </w:rPr>
        <w:t>identifiable</w:t>
      </w:r>
      <w:r w:rsidR="00944108" w:rsidRPr="00304EC1">
        <w:rPr>
          <w:rStyle w:val="FootnoteReference"/>
          <w:rFonts w:ascii="Arial" w:hAnsi="Arial" w:cs="Arial"/>
          <w:color w:val="000000" w:themeColor="text1"/>
          <w:sz w:val="24"/>
          <w:szCs w:val="24"/>
          <w:lang w:val="en-ZA"/>
        </w:rPr>
        <w:footnoteReference w:id="7"/>
      </w:r>
      <w:r w:rsidR="00250C39" w:rsidRPr="00304EC1">
        <w:rPr>
          <w:rFonts w:ascii="Arial" w:hAnsi="Arial" w:cs="Arial"/>
          <w:color w:val="000000" w:themeColor="text1"/>
          <w:sz w:val="24"/>
          <w:szCs w:val="24"/>
          <w:lang w:val="en-ZA"/>
        </w:rPr>
        <w:t xml:space="preserve">. </w:t>
      </w:r>
    </w:p>
    <w:p w:rsidR="00013A4D" w:rsidRPr="00304EC1" w:rsidRDefault="0008548F" w:rsidP="00013A4D">
      <w:pPr>
        <w:spacing w:line="360" w:lineRule="auto"/>
        <w:jc w:val="both"/>
        <w:rPr>
          <w:rFonts w:ascii="Arial" w:hAnsi="Arial" w:cs="Arial"/>
          <w:color w:val="000000" w:themeColor="text1"/>
          <w:sz w:val="24"/>
          <w:szCs w:val="24"/>
          <w:lang w:val="en-ZA"/>
        </w:rPr>
      </w:pPr>
      <w:r w:rsidRPr="00304EC1">
        <w:rPr>
          <w:rFonts w:ascii="Arial" w:hAnsi="Arial" w:cs="Arial"/>
          <w:color w:val="000000" w:themeColor="text1"/>
          <w:sz w:val="24"/>
          <w:szCs w:val="24"/>
          <w:lang w:val="en-ZA"/>
        </w:rPr>
        <w:t>[3</w:t>
      </w:r>
      <w:r w:rsidR="00664863">
        <w:rPr>
          <w:rFonts w:ascii="Arial" w:hAnsi="Arial" w:cs="Arial"/>
          <w:color w:val="000000" w:themeColor="text1"/>
          <w:sz w:val="24"/>
          <w:szCs w:val="24"/>
          <w:lang w:val="en-ZA"/>
        </w:rPr>
        <w:t>8</w:t>
      </w:r>
      <w:r w:rsidR="00013A4D" w:rsidRPr="00304EC1">
        <w:rPr>
          <w:rFonts w:ascii="Arial" w:hAnsi="Arial" w:cs="Arial"/>
          <w:color w:val="000000" w:themeColor="text1"/>
          <w:sz w:val="24"/>
          <w:szCs w:val="24"/>
          <w:lang w:val="en-ZA"/>
        </w:rPr>
        <w:t xml:space="preserve">] </w:t>
      </w:r>
      <w:r w:rsidR="00C1738C" w:rsidRPr="00304EC1">
        <w:rPr>
          <w:rFonts w:ascii="Arial" w:hAnsi="Arial" w:cs="Arial"/>
          <w:color w:val="000000" w:themeColor="text1"/>
          <w:sz w:val="24"/>
          <w:szCs w:val="24"/>
          <w:lang w:val="en-ZA"/>
        </w:rPr>
        <w:t>In his affidavit, the applicant stated</w:t>
      </w:r>
      <w:r w:rsidR="00BC3FB5" w:rsidRPr="00304EC1">
        <w:rPr>
          <w:rFonts w:ascii="Arial" w:hAnsi="Arial" w:cs="Arial"/>
          <w:color w:val="000000" w:themeColor="text1"/>
          <w:sz w:val="24"/>
          <w:szCs w:val="24"/>
          <w:lang w:val="en-ZA"/>
        </w:rPr>
        <w:t xml:space="preserve"> as follows</w:t>
      </w:r>
      <w:r w:rsidR="00013A4D" w:rsidRPr="00304EC1">
        <w:rPr>
          <w:rFonts w:ascii="Arial" w:hAnsi="Arial" w:cs="Arial"/>
          <w:color w:val="000000" w:themeColor="text1"/>
          <w:sz w:val="24"/>
          <w:szCs w:val="24"/>
          <w:lang w:val="en-ZA"/>
        </w:rPr>
        <w:t xml:space="preserve">: “It is humbly submitted that the applicant is the owner of the vehicle and that the third respondent </w:t>
      </w:r>
      <w:r w:rsidR="008F656E" w:rsidRPr="00304EC1">
        <w:rPr>
          <w:rFonts w:ascii="Arial" w:hAnsi="Arial" w:cs="Arial"/>
          <w:color w:val="000000" w:themeColor="text1"/>
          <w:sz w:val="24"/>
          <w:szCs w:val="24"/>
          <w:lang w:val="en-ZA"/>
        </w:rPr>
        <w:t>has</w:t>
      </w:r>
      <w:r w:rsidR="00013A4D" w:rsidRPr="00304EC1">
        <w:rPr>
          <w:rFonts w:ascii="Arial" w:hAnsi="Arial" w:cs="Arial"/>
          <w:color w:val="000000" w:themeColor="text1"/>
          <w:sz w:val="24"/>
          <w:szCs w:val="24"/>
          <w:lang w:val="en-ZA"/>
        </w:rPr>
        <w:t xml:space="preserve"> the vehicle. It can further not be disputed that ownership of the vehicle could not have passed to the third respondent as Enatis documents for the transfer of the ownership were never signed by the applicant”.</w:t>
      </w:r>
    </w:p>
    <w:p w:rsidR="00013A4D" w:rsidRPr="00304EC1" w:rsidRDefault="0008548F" w:rsidP="00013A4D">
      <w:pPr>
        <w:spacing w:line="360" w:lineRule="auto"/>
        <w:jc w:val="both"/>
        <w:rPr>
          <w:rFonts w:ascii="Arial" w:hAnsi="Arial" w:cs="Arial"/>
          <w:color w:val="000000" w:themeColor="text1"/>
          <w:sz w:val="24"/>
          <w:szCs w:val="24"/>
          <w:lang w:val="en-ZA"/>
        </w:rPr>
      </w:pPr>
      <w:r w:rsidRPr="00304EC1">
        <w:rPr>
          <w:rFonts w:ascii="Arial" w:hAnsi="Arial" w:cs="Arial"/>
          <w:color w:val="000000" w:themeColor="text1"/>
          <w:sz w:val="24"/>
          <w:szCs w:val="24"/>
          <w:lang w:val="en-ZA"/>
        </w:rPr>
        <w:t>[3</w:t>
      </w:r>
      <w:r w:rsidR="00664863">
        <w:rPr>
          <w:rFonts w:ascii="Arial" w:hAnsi="Arial" w:cs="Arial"/>
          <w:color w:val="000000" w:themeColor="text1"/>
          <w:sz w:val="24"/>
          <w:szCs w:val="24"/>
          <w:lang w:val="en-ZA"/>
        </w:rPr>
        <w:t>9</w:t>
      </w:r>
      <w:r w:rsidR="00013A4D" w:rsidRPr="00304EC1">
        <w:rPr>
          <w:rFonts w:ascii="Arial" w:hAnsi="Arial" w:cs="Arial"/>
          <w:color w:val="000000" w:themeColor="text1"/>
          <w:sz w:val="24"/>
          <w:szCs w:val="24"/>
          <w:lang w:val="en-ZA"/>
        </w:rPr>
        <w:t xml:space="preserve">] I have </w:t>
      </w:r>
      <w:r w:rsidR="00BC3FB5" w:rsidRPr="00304EC1">
        <w:rPr>
          <w:rFonts w:ascii="Arial" w:hAnsi="Arial" w:cs="Arial"/>
          <w:color w:val="000000" w:themeColor="text1"/>
          <w:sz w:val="24"/>
          <w:szCs w:val="24"/>
          <w:lang w:val="en-ZA"/>
        </w:rPr>
        <w:t>men</w:t>
      </w:r>
      <w:r w:rsidR="00013A4D" w:rsidRPr="00304EC1">
        <w:rPr>
          <w:rFonts w:ascii="Arial" w:hAnsi="Arial" w:cs="Arial"/>
          <w:color w:val="000000" w:themeColor="text1"/>
          <w:sz w:val="24"/>
          <w:szCs w:val="24"/>
          <w:lang w:val="en-ZA"/>
        </w:rPr>
        <w:t>tioned earlier in this judgment that the validity of the judgment of the magistrate’s court as well as the writ issued pursuant thereto is n</w:t>
      </w:r>
      <w:r w:rsidR="00BC3FB5" w:rsidRPr="00304EC1">
        <w:rPr>
          <w:rFonts w:ascii="Arial" w:hAnsi="Arial" w:cs="Arial"/>
          <w:color w:val="000000" w:themeColor="text1"/>
          <w:sz w:val="24"/>
          <w:szCs w:val="24"/>
          <w:lang w:val="en-ZA"/>
        </w:rPr>
        <w:t xml:space="preserve">ot in issue. </w:t>
      </w:r>
      <w:r w:rsidR="00013A4D" w:rsidRPr="00304EC1">
        <w:rPr>
          <w:rFonts w:ascii="Arial" w:hAnsi="Arial" w:cs="Arial"/>
          <w:color w:val="000000" w:themeColor="text1"/>
          <w:sz w:val="24"/>
          <w:szCs w:val="24"/>
          <w:lang w:val="en-ZA"/>
        </w:rPr>
        <w:t xml:space="preserve"> I am persuaded by the submissions of the second respondent’s counsel </w:t>
      </w:r>
      <w:r w:rsidR="00BC3FB5" w:rsidRPr="00304EC1">
        <w:rPr>
          <w:rFonts w:ascii="Arial" w:hAnsi="Arial" w:cs="Arial"/>
          <w:color w:val="000000" w:themeColor="text1"/>
          <w:sz w:val="24"/>
          <w:szCs w:val="24"/>
          <w:lang w:val="en-ZA"/>
        </w:rPr>
        <w:t>that the undisputed judgment interfered with the applicant’s ownership of the vehicle.</w:t>
      </w:r>
      <w:r w:rsidR="00F45990" w:rsidRPr="00304EC1">
        <w:rPr>
          <w:rFonts w:ascii="Arial" w:hAnsi="Arial" w:cs="Arial"/>
          <w:color w:val="000000" w:themeColor="text1"/>
          <w:sz w:val="24"/>
          <w:szCs w:val="24"/>
          <w:lang w:val="en-ZA"/>
        </w:rPr>
        <w:t xml:space="preserve"> The applicant, in my view,</w:t>
      </w:r>
      <w:r w:rsidR="00EE2283">
        <w:rPr>
          <w:rFonts w:ascii="Arial" w:hAnsi="Arial" w:cs="Arial"/>
          <w:color w:val="000000" w:themeColor="text1"/>
          <w:sz w:val="24"/>
          <w:szCs w:val="24"/>
          <w:lang w:val="en-ZA"/>
        </w:rPr>
        <w:t xml:space="preserve"> unwittingly</w:t>
      </w:r>
      <w:r w:rsidR="00F45990" w:rsidRPr="00304EC1">
        <w:rPr>
          <w:rFonts w:ascii="Arial" w:hAnsi="Arial" w:cs="Arial"/>
          <w:color w:val="000000" w:themeColor="text1"/>
          <w:sz w:val="24"/>
          <w:szCs w:val="24"/>
          <w:lang w:val="en-ZA"/>
        </w:rPr>
        <w:t xml:space="preserve"> contributed to the interference</w:t>
      </w:r>
      <w:r w:rsidR="00656E4A">
        <w:rPr>
          <w:rFonts w:ascii="Arial" w:hAnsi="Arial" w:cs="Arial"/>
          <w:color w:val="000000" w:themeColor="text1"/>
          <w:sz w:val="24"/>
          <w:szCs w:val="24"/>
          <w:lang w:val="en-ZA"/>
        </w:rPr>
        <w:t xml:space="preserve"> </w:t>
      </w:r>
      <w:r w:rsidR="00F45990" w:rsidRPr="00304EC1">
        <w:rPr>
          <w:rFonts w:ascii="Arial" w:hAnsi="Arial" w:cs="Arial"/>
          <w:color w:val="000000" w:themeColor="text1"/>
          <w:sz w:val="24"/>
          <w:szCs w:val="24"/>
          <w:lang w:val="en-ZA"/>
        </w:rPr>
        <w:t>by not submitting an affidavit</w:t>
      </w:r>
      <w:r w:rsidR="00D1744C" w:rsidRPr="00304EC1">
        <w:rPr>
          <w:rFonts w:ascii="Arial" w:hAnsi="Arial" w:cs="Arial"/>
          <w:color w:val="000000" w:themeColor="text1"/>
          <w:sz w:val="24"/>
          <w:szCs w:val="24"/>
          <w:lang w:val="en-ZA"/>
        </w:rPr>
        <w:t xml:space="preserve"> </w:t>
      </w:r>
      <w:r w:rsidR="00AA1FC8" w:rsidRPr="00304EC1">
        <w:rPr>
          <w:rFonts w:ascii="Arial" w:hAnsi="Arial" w:cs="Arial"/>
          <w:color w:val="000000" w:themeColor="text1"/>
          <w:sz w:val="24"/>
          <w:szCs w:val="24"/>
          <w:lang w:val="en-ZA"/>
        </w:rPr>
        <w:t>to prove</w:t>
      </w:r>
      <w:r w:rsidR="00D1744C" w:rsidRPr="00304EC1">
        <w:rPr>
          <w:rFonts w:ascii="Arial" w:hAnsi="Arial" w:cs="Arial"/>
          <w:color w:val="000000" w:themeColor="text1"/>
          <w:sz w:val="24"/>
          <w:szCs w:val="24"/>
          <w:lang w:val="en-ZA"/>
        </w:rPr>
        <w:t xml:space="preserve"> ownership of the vehicle.</w:t>
      </w:r>
    </w:p>
    <w:p w:rsidR="00274961" w:rsidRPr="00304EC1" w:rsidRDefault="0008548F" w:rsidP="00AE513A">
      <w:pPr>
        <w:spacing w:line="360" w:lineRule="auto"/>
        <w:jc w:val="both"/>
        <w:rPr>
          <w:rFonts w:ascii="Arial" w:hAnsi="Arial" w:cs="Arial"/>
          <w:color w:val="000000" w:themeColor="text1"/>
          <w:sz w:val="24"/>
          <w:szCs w:val="24"/>
          <w:lang w:val="en-ZA"/>
        </w:rPr>
      </w:pPr>
      <w:r w:rsidRPr="00304EC1">
        <w:rPr>
          <w:rFonts w:ascii="Arial" w:hAnsi="Arial" w:cs="Arial"/>
          <w:color w:val="000000" w:themeColor="text1"/>
          <w:sz w:val="24"/>
          <w:szCs w:val="24"/>
          <w:lang w:val="en-ZA"/>
        </w:rPr>
        <w:t>[</w:t>
      </w:r>
      <w:r w:rsidR="00664863">
        <w:rPr>
          <w:rFonts w:ascii="Arial" w:hAnsi="Arial" w:cs="Arial"/>
          <w:color w:val="000000" w:themeColor="text1"/>
          <w:sz w:val="24"/>
          <w:szCs w:val="24"/>
          <w:lang w:val="en-ZA"/>
        </w:rPr>
        <w:t>40</w:t>
      </w:r>
      <w:r w:rsidR="00013A4D" w:rsidRPr="00304EC1">
        <w:rPr>
          <w:rFonts w:ascii="Arial" w:hAnsi="Arial" w:cs="Arial"/>
          <w:color w:val="000000" w:themeColor="text1"/>
          <w:sz w:val="24"/>
          <w:szCs w:val="24"/>
          <w:lang w:val="en-ZA"/>
        </w:rPr>
        <w:t>] The applicant’</w:t>
      </w:r>
      <w:r w:rsidR="00BC3FB5" w:rsidRPr="00304EC1">
        <w:rPr>
          <w:rFonts w:ascii="Arial" w:hAnsi="Arial" w:cs="Arial"/>
          <w:color w:val="000000" w:themeColor="text1"/>
          <w:sz w:val="24"/>
          <w:szCs w:val="24"/>
          <w:lang w:val="en-ZA"/>
        </w:rPr>
        <w:t xml:space="preserve">s </w:t>
      </w:r>
      <w:r w:rsidR="00013A4D" w:rsidRPr="00304EC1">
        <w:rPr>
          <w:rFonts w:ascii="Arial" w:hAnsi="Arial" w:cs="Arial"/>
          <w:color w:val="000000" w:themeColor="text1"/>
          <w:sz w:val="24"/>
          <w:szCs w:val="24"/>
          <w:lang w:val="en-ZA"/>
        </w:rPr>
        <w:t xml:space="preserve">assertion </w:t>
      </w:r>
      <w:r w:rsidR="00BC3FB5" w:rsidRPr="00304EC1">
        <w:rPr>
          <w:rFonts w:ascii="Arial" w:hAnsi="Arial" w:cs="Arial"/>
          <w:color w:val="000000" w:themeColor="text1"/>
          <w:sz w:val="24"/>
          <w:szCs w:val="24"/>
          <w:lang w:val="en-ZA"/>
        </w:rPr>
        <w:t>that it can</w:t>
      </w:r>
      <w:r w:rsidR="00D1744C" w:rsidRPr="00304EC1">
        <w:rPr>
          <w:rFonts w:ascii="Arial" w:hAnsi="Arial" w:cs="Arial"/>
          <w:color w:val="000000" w:themeColor="text1"/>
          <w:sz w:val="24"/>
          <w:szCs w:val="24"/>
          <w:lang w:val="en-ZA"/>
        </w:rPr>
        <w:t>not be disputed that the third respondent</w:t>
      </w:r>
      <w:r w:rsidR="00BC3FB5" w:rsidRPr="00304EC1">
        <w:rPr>
          <w:rFonts w:ascii="Arial" w:hAnsi="Arial" w:cs="Arial"/>
          <w:color w:val="000000" w:themeColor="text1"/>
          <w:sz w:val="24"/>
          <w:szCs w:val="24"/>
          <w:lang w:val="en-ZA"/>
        </w:rPr>
        <w:t xml:space="preserve"> is in possession of the vehicle </w:t>
      </w:r>
      <w:r w:rsidR="00013A4D" w:rsidRPr="00304EC1">
        <w:rPr>
          <w:rFonts w:ascii="Arial" w:hAnsi="Arial" w:cs="Arial"/>
          <w:color w:val="000000" w:themeColor="text1"/>
          <w:sz w:val="24"/>
          <w:szCs w:val="24"/>
          <w:lang w:val="en-ZA"/>
        </w:rPr>
        <w:t xml:space="preserve">stems from the fact that a Vendu Roll, which was issued to him </w:t>
      </w:r>
      <w:r w:rsidR="00013A4D" w:rsidRPr="00304EC1">
        <w:rPr>
          <w:rFonts w:ascii="Arial" w:hAnsi="Arial" w:cs="Arial"/>
          <w:color w:val="000000" w:themeColor="text1"/>
          <w:sz w:val="24"/>
          <w:szCs w:val="24"/>
          <w:lang w:val="en-ZA"/>
        </w:rPr>
        <w:lastRenderedPageBreak/>
        <w:t>by the first respondent, indicates that the third respondent is the purchaser of the vehicle. A purchaser, in my view, is not necessarily the possessor and to assume that the third respondent is in possession of the vehicle falls sh</w:t>
      </w:r>
      <w:r w:rsidR="00D1744C" w:rsidRPr="00304EC1">
        <w:rPr>
          <w:rFonts w:ascii="Arial" w:hAnsi="Arial" w:cs="Arial"/>
          <w:color w:val="000000" w:themeColor="text1"/>
          <w:sz w:val="24"/>
          <w:szCs w:val="24"/>
          <w:lang w:val="en-ZA"/>
        </w:rPr>
        <w:t>ort of establishing who the</w:t>
      </w:r>
      <w:r w:rsidR="00D63173" w:rsidRPr="00304EC1">
        <w:rPr>
          <w:rFonts w:ascii="Arial" w:hAnsi="Arial" w:cs="Arial"/>
          <w:color w:val="000000" w:themeColor="text1"/>
          <w:sz w:val="24"/>
          <w:szCs w:val="24"/>
          <w:lang w:val="en-ZA"/>
        </w:rPr>
        <w:t xml:space="preserve"> possessor was</w:t>
      </w:r>
      <w:r w:rsidR="00D1744C" w:rsidRPr="00304EC1">
        <w:rPr>
          <w:rFonts w:ascii="Arial" w:hAnsi="Arial" w:cs="Arial"/>
          <w:color w:val="000000" w:themeColor="text1"/>
          <w:sz w:val="24"/>
          <w:szCs w:val="24"/>
          <w:lang w:val="en-ZA"/>
        </w:rPr>
        <w:t xml:space="preserve"> as at the </w:t>
      </w:r>
      <w:r w:rsidR="00D63173" w:rsidRPr="00304EC1">
        <w:rPr>
          <w:rFonts w:ascii="Arial" w:hAnsi="Arial" w:cs="Arial"/>
          <w:color w:val="000000" w:themeColor="text1"/>
          <w:sz w:val="24"/>
          <w:szCs w:val="24"/>
          <w:lang w:val="en-ZA"/>
        </w:rPr>
        <w:t>commencement of this application</w:t>
      </w:r>
      <w:r w:rsidR="00013A4D" w:rsidRPr="00304EC1">
        <w:rPr>
          <w:rFonts w:ascii="Arial" w:hAnsi="Arial" w:cs="Arial"/>
          <w:color w:val="000000" w:themeColor="text1"/>
          <w:sz w:val="24"/>
          <w:szCs w:val="24"/>
          <w:lang w:val="en-ZA"/>
        </w:rPr>
        <w:t>. Lastly; the applicant’s founding affidavit is silent on whether or not the vehicle is</w:t>
      </w:r>
      <w:r w:rsidR="00D1744C" w:rsidRPr="00304EC1">
        <w:rPr>
          <w:rFonts w:ascii="Arial" w:hAnsi="Arial" w:cs="Arial"/>
          <w:color w:val="000000" w:themeColor="text1"/>
          <w:sz w:val="24"/>
          <w:szCs w:val="24"/>
          <w:lang w:val="en-ZA"/>
        </w:rPr>
        <w:t xml:space="preserve"> currently</w:t>
      </w:r>
      <w:r w:rsidR="00D63173" w:rsidRPr="00304EC1">
        <w:rPr>
          <w:rFonts w:ascii="Arial" w:hAnsi="Arial" w:cs="Arial"/>
          <w:color w:val="000000" w:themeColor="text1"/>
          <w:sz w:val="24"/>
          <w:szCs w:val="24"/>
          <w:lang w:val="en-ZA"/>
        </w:rPr>
        <w:t xml:space="preserve"> </w:t>
      </w:r>
      <w:r w:rsidR="00013A4D" w:rsidRPr="00304EC1">
        <w:rPr>
          <w:rFonts w:ascii="Arial" w:hAnsi="Arial" w:cs="Arial"/>
          <w:color w:val="000000" w:themeColor="text1"/>
          <w:sz w:val="24"/>
          <w:szCs w:val="24"/>
          <w:lang w:val="en-ZA"/>
        </w:rPr>
        <w:t xml:space="preserve">in existence and can be identifiable. In the premises, </w:t>
      </w:r>
      <w:r w:rsidR="00BC3FB5" w:rsidRPr="00304EC1">
        <w:rPr>
          <w:rFonts w:ascii="Arial" w:hAnsi="Arial" w:cs="Arial"/>
          <w:color w:val="000000" w:themeColor="text1"/>
          <w:sz w:val="24"/>
          <w:szCs w:val="24"/>
          <w:lang w:val="en-ZA"/>
        </w:rPr>
        <w:t xml:space="preserve">I find that </w:t>
      </w:r>
      <w:r w:rsidR="00013A4D" w:rsidRPr="00304EC1">
        <w:rPr>
          <w:rFonts w:ascii="Arial" w:hAnsi="Arial" w:cs="Arial"/>
          <w:color w:val="000000" w:themeColor="text1"/>
          <w:sz w:val="24"/>
          <w:szCs w:val="24"/>
          <w:lang w:val="en-ZA"/>
        </w:rPr>
        <w:t xml:space="preserve">the applicant has failed to make out a case for the relief of rei vindicatio as sought and his application falls to be dismissed. </w:t>
      </w:r>
    </w:p>
    <w:p w:rsidR="00D63173" w:rsidRPr="00304EC1" w:rsidRDefault="00D63173" w:rsidP="00AE513A">
      <w:pPr>
        <w:spacing w:line="360" w:lineRule="auto"/>
        <w:jc w:val="both"/>
        <w:rPr>
          <w:rFonts w:ascii="Arial" w:hAnsi="Arial" w:cs="Arial"/>
          <w:color w:val="000000" w:themeColor="text1"/>
          <w:sz w:val="24"/>
          <w:szCs w:val="24"/>
          <w:lang w:val="en-ZA"/>
        </w:rPr>
      </w:pPr>
    </w:p>
    <w:p w:rsidR="006C7981" w:rsidRPr="00304EC1" w:rsidRDefault="006C7981" w:rsidP="00AE513A">
      <w:pPr>
        <w:spacing w:line="360" w:lineRule="auto"/>
        <w:jc w:val="both"/>
        <w:rPr>
          <w:rFonts w:ascii="Arial" w:hAnsi="Arial" w:cs="Arial"/>
          <w:b/>
          <w:color w:val="000000" w:themeColor="text1"/>
          <w:sz w:val="24"/>
          <w:szCs w:val="24"/>
          <w:lang w:val="en-ZA"/>
        </w:rPr>
      </w:pPr>
      <w:r w:rsidRPr="00304EC1">
        <w:rPr>
          <w:rFonts w:ascii="Arial" w:hAnsi="Arial" w:cs="Arial"/>
          <w:b/>
          <w:color w:val="000000" w:themeColor="text1"/>
          <w:sz w:val="24"/>
          <w:szCs w:val="24"/>
          <w:lang w:val="en-ZA"/>
        </w:rPr>
        <w:t>COSTS DE BONIS PROPIIS.</w:t>
      </w:r>
    </w:p>
    <w:p w:rsidR="00B67990" w:rsidRPr="00304EC1" w:rsidRDefault="0008548F" w:rsidP="00B67990">
      <w:pPr>
        <w:pStyle w:val="NormalWeb"/>
        <w:shd w:val="clear" w:color="auto" w:fill="FFFFFF"/>
        <w:spacing w:before="144" w:beforeAutospacing="0" w:after="288" w:afterAutospacing="0" w:line="360" w:lineRule="atLeast"/>
        <w:ind w:left="612" w:hanging="646"/>
        <w:rPr>
          <w:rFonts w:ascii="Arial" w:hAnsi="Arial" w:cs="Arial"/>
          <w:b/>
          <w:color w:val="242121"/>
        </w:rPr>
      </w:pPr>
      <w:r w:rsidRPr="00304EC1">
        <w:rPr>
          <w:rFonts w:ascii="Arial" w:hAnsi="Arial" w:cs="Arial"/>
          <w:color w:val="000000" w:themeColor="text1"/>
        </w:rPr>
        <w:t>[</w:t>
      </w:r>
      <w:r w:rsidR="007919B3">
        <w:rPr>
          <w:rFonts w:ascii="Arial" w:hAnsi="Arial" w:cs="Arial"/>
          <w:color w:val="000000" w:themeColor="text1"/>
        </w:rPr>
        <w:t>41</w:t>
      </w:r>
      <w:r w:rsidR="000464E9" w:rsidRPr="00304EC1">
        <w:rPr>
          <w:rFonts w:ascii="Arial" w:hAnsi="Arial" w:cs="Arial"/>
          <w:color w:val="000000" w:themeColor="text1"/>
        </w:rPr>
        <w:t>]</w:t>
      </w:r>
      <w:r w:rsidR="00B67990" w:rsidRPr="00304EC1">
        <w:rPr>
          <w:rFonts w:ascii="Arial" w:hAnsi="Arial" w:cs="Arial"/>
          <w:b/>
          <w:color w:val="242121"/>
          <w:lang w:val="en-GB"/>
        </w:rPr>
        <w:t xml:space="preserve"> </w:t>
      </w:r>
      <w:r w:rsidR="00B67990" w:rsidRPr="00304EC1">
        <w:rPr>
          <w:rFonts w:ascii="Arial" w:hAnsi="Arial" w:cs="Arial"/>
          <w:color w:val="242121"/>
          <w:lang w:val="en-GB"/>
        </w:rPr>
        <w:t>In </w:t>
      </w:r>
      <w:r w:rsidR="00B67990" w:rsidRPr="00304EC1">
        <w:rPr>
          <w:rFonts w:ascii="Arial" w:hAnsi="Arial" w:cs="Arial"/>
          <w:bCs/>
          <w:color w:val="242121"/>
          <w:lang w:val="en-GB"/>
        </w:rPr>
        <w:t>Multi-Links Telecommunications Limited v Africa Prepaid Services Nigeria Limited</w:t>
      </w:r>
      <w:r w:rsidR="00730884" w:rsidRPr="00304EC1">
        <w:rPr>
          <w:rFonts w:ascii="Arial" w:hAnsi="Arial" w:cs="Arial"/>
          <w:color w:val="242121"/>
          <w:lang w:val="en-GB"/>
        </w:rPr>
        <w:t>, the</w:t>
      </w:r>
      <w:r w:rsidR="00B67990" w:rsidRPr="00304EC1">
        <w:rPr>
          <w:rFonts w:ascii="Arial" w:hAnsi="Arial" w:cs="Arial"/>
          <w:color w:val="242121"/>
          <w:lang w:val="en-GB"/>
        </w:rPr>
        <w:t xml:space="preserve"> court held as follows</w:t>
      </w:r>
      <w:r w:rsidR="00B67990" w:rsidRPr="00304EC1">
        <w:rPr>
          <w:rStyle w:val="FootnoteReference"/>
          <w:rFonts w:ascii="Arial" w:hAnsi="Arial" w:cs="Arial"/>
          <w:color w:val="242121"/>
          <w:lang w:val="en-GB"/>
        </w:rPr>
        <w:footnoteReference w:id="8"/>
      </w:r>
      <w:r w:rsidR="00B67990" w:rsidRPr="00304EC1">
        <w:rPr>
          <w:rFonts w:ascii="Arial" w:hAnsi="Arial" w:cs="Arial"/>
          <w:color w:val="242121"/>
          <w:lang w:val="en-GB"/>
        </w:rPr>
        <w:t>:</w:t>
      </w:r>
    </w:p>
    <w:p w:rsidR="00B67990" w:rsidRPr="00304EC1" w:rsidRDefault="00B67990" w:rsidP="00B67990">
      <w:pPr>
        <w:pStyle w:val="NormalWeb"/>
        <w:shd w:val="clear" w:color="auto" w:fill="FFFFFF"/>
        <w:spacing w:before="144" w:beforeAutospacing="0" w:after="288" w:afterAutospacing="0" w:line="360" w:lineRule="atLeast"/>
        <w:ind w:left="1083" w:hanging="992"/>
        <w:rPr>
          <w:rFonts w:ascii="Arial" w:hAnsi="Arial" w:cs="Arial"/>
          <w:color w:val="242121"/>
        </w:rPr>
      </w:pPr>
      <w:r w:rsidRPr="00304EC1">
        <w:rPr>
          <w:rFonts w:ascii="Arial" w:hAnsi="Arial" w:cs="Arial"/>
          <w:color w:val="242121"/>
        </w:rPr>
        <w:t>             “</w:t>
      </w:r>
      <w:r w:rsidRPr="00304EC1">
        <w:rPr>
          <w:rFonts w:ascii="Arial" w:hAnsi="Arial" w:cs="Arial"/>
          <w:color w:val="242121"/>
          <w:lang w:val="en-GB"/>
        </w:rPr>
        <w:t xml:space="preserve">Costs are ordinarily ordered on the party and party scale.  Only in exceptional circumstances and pursuant to a discretion judicially exercised is a party ordered to pay costs on a punitive scale.  Even more exceptional is an order that a legal representative should be ordered to pay the </w:t>
      </w:r>
      <w:r w:rsidR="00F701F2" w:rsidRPr="00304EC1">
        <w:rPr>
          <w:rFonts w:ascii="Arial" w:hAnsi="Arial" w:cs="Arial"/>
          <w:color w:val="242121"/>
          <w:lang w:val="en-GB"/>
        </w:rPr>
        <w:t>costs</w:t>
      </w:r>
      <w:r w:rsidRPr="00304EC1">
        <w:rPr>
          <w:rFonts w:ascii="Arial" w:hAnsi="Arial" w:cs="Arial"/>
          <w:color w:val="242121"/>
          <w:lang w:val="en-GB"/>
        </w:rPr>
        <w:t xml:space="preserve"> out of his pocket.  The obvious policy consideration underlying the court’s reluctance to order costs against legal representative personally, is that attorneys and counsel are expected to pursue their client’s rights and interest fearlessly and vigorously without due regard for their personal convenience.  In that context, they ought not to be intimidated either by their opponent or even, I may add, by the court.   Legal Practitioners must present their case fearlessly and vigorously, but always within the context of a set ethical rules, that pertain to them, and which are aimed at preventing practitioners from becoming party to deception of the court.  It is in this context that society and the courts and professions demand absolute personal integrity and scrupulous honesty of each practitioner.”</w:t>
      </w:r>
    </w:p>
    <w:p w:rsidR="000464E9" w:rsidRPr="00304EC1" w:rsidRDefault="000464E9" w:rsidP="00AE513A">
      <w:pPr>
        <w:spacing w:line="360" w:lineRule="auto"/>
        <w:jc w:val="both"/>
        <w:rPr>
          <w:rFonts w:ascii="Arial" w:hAnsi="Arial" w:cs="Arial"/>
          <w:color w:val="000000" w:themeColor="text1"/>
          <w:sz w:val="24"/>
          <w:szCs w:val="24"/>
          <w:lang w:val="en-ZA"/>
        </w:rPr>
      </w:pPr>
    </w:p>
    <w:p w:rsidR="007F121E" w:rsidRPr="00304EC1" w:rsidRDefault="0008548F" w:rsidP="00AE513A">
      <w:pPr>
        <w:spacing w:line="360" w:lineRule="auto"/>
        <w:jc w:val="both"/>
        <w:rPr>
          <w:rFonts w:ascii="Arial" w:hAnsi="Arial" w:cs="Arial"/>
          <w:color w:val="000000" w:themeColor="text1"/>
          <w:sz w:val="24"/>
          <w:szCs w:val="24"/>
          <w:lang w:val="en-ZA"/>
        </w:rPr>
      </w:pPr>
      <w:r w:rsidRPr="00304EC1">
        <w:rPr>
          <w:rFonts w:ascii="Arial" w:hAnsi="Arial" w:cs="Arial"/>
          <w:color w:val="000000" w:themeColor="text1"/>
          <w:sz w:val="24"/>
          <w:szCs w:val="24"/>
          <w:lang w:val="en-ZA"/>
        </w:rPr>
        <w:t>[4</w:t>
      </w:r>
      <w:r w:rsidR="007919B3">
        <w:rPr>
          <w:rFonts w:ascii="Arial" w:hAnsi="Arial" w:cs="Arial"/>
          <w:color w:val="000000" w:themeColor="text1"/>
          <w:sz w:val="24"/>
          <w:szCs w:val="24"/>
          <w:lang w:val="en-ZA"/>
        </w:rPr>
        <w:t>2</w:t>
      </w:r>
      <w:r w:rsidR="007F121E" w:rsidRPr="00304EC1">
        <w:rPr>
          <w:rFonts w:ascii="Arial" w:hAnsi="Arial" w:cs="Arial"/>
          <w:color w:val="000000" w:themeColor="text1"/>
          <w:sz w:val="24"/>
          <w:szCs w:val="24"/>
          <w:lang w:val="en-ZA"/>
        </w:rPr>
        <w:t>] In Minister of Land Affairs and Agriculture v. D &amp; T Wevell Trust and others</w:t>
      </w:r>
      <w:r w:rsidR="007F121E" w:rsidRPr="00304EC1">
        <w:rPr>
          <w:rStyle w:val="FootnoteReference"/>
          <w:rFonts w:ascii="Arial" w:hAnsi="Arial" w:cs="Arial"/>
          <w:color w:val="000000" w:themeColor="text1"/>
          <w:sz w:val="24"/>
          <w:szCs w:val="24"/>
          <w:lang w:val="en-ZA"/>
        </w:rPr>
        <w:footnoteReference w:id="9"/>
      </w:r>
      <w:r w:rsidR="007F121E" w:rsidRPr="00304EC1">
        <w:rPr>
          <w:rFonts w:ascii="Arial" w:hAnsi="Arial" w:cs="Arial"/>
          <w:color w:val="000000" w:themeColor="text1"/>
          <w:sz w:val="24"/>
          <w:szCs w:val="24"/>
          <w:lang w:val="en-ZA"/>
        </w:rPr>
        <w:t xml:space="preserve"> the court held as follows:</w:t>
      </w:r>
    </w:p>
    <w:p w:rsidR="007F121E" w:rsidRPr="00304EC1" w:rsidRDefault="00AC7373" w:rsidP="00E11EF4">
      <w:pPr>
        <w:spacing w:line="360" w:lineRule="auto"/>
        <w:ind w:left="720"/>
        <w:jc w:val="both"/>
        <w:rPr>
          <w:rFonts w:ascii="Arial" w:hAnsi="Arial" w:cs="Arial"/>
          <w:color w:val="000000" w:themeColor="text1"/>
          <w:sz w:val="24"/>
          <w:szCs w:val="24"/>
          <w:lang w:val="en-ZA"/>
        </w:rPr>
      </w:pPr>
      <w:r w:rsidRPr="00304EC1">
        <w:rPr>
          <w:rFonts w:ascii="Arial" w:hAnsi="Arial" w:cs="Arial"/>
          <w:color w:val="000000" w:themeColor="text1"/>
          <w:sz w:val="24"/>
          <w:szCs w:val="24"/>
          <w:lang w:val="en-ZA"/>
        </w:rPr>
        <w:lastRenderedPageBreak/>
        <w:t>“</w:t>
      </w:r>
      <w:r w:rsidR="00A81913" w:rsidRPr="00304EC1">
        <w:rPr>
          <w:rFonts w:ascii="Arial" w:hAnsi="Arial" w:cs="Arial"/>
          <w:color w:val="000000" w:themeColor="text1"/>
          <w:sz w:val="24"/>
          <w:szCs w:val="24"/>
          <w:lang w:val="en-ZA"/>
        </w:rPr>
        <w:t>In motion proceedings, the affidavits constitute both the pleadings</w:t>
      </w:r>
      <w:r w:rsidR="00AE0908" w:rsidRPr="00304EC1">
        <w:rPr>
          <w:rFonts w:ascii="Arial" w:hAnsi="Arial" w:cs="Arial"/>
          <w:color w:val="000000" w:themeColor="text1"/>
          <w:sz w:val="24"/>
          <w:szCs w:val="24"/>
          <w:lang w:val="en-ZA"/>
        </w:rPr>
        <w:t xml:space="preserve"> and</w:t>
      </w:r>
      <w:r w:rsidR="00A81913" w:rsidRPr="00304EC1">
        <w:rPr>
          <w:rFonts w:ascii="Arial" w:hAnsi="Arial" w:cs="Arial"/>
          <w:color w:val="000000" w:themeColor="text1"/>
          <w:sz w:val="24"/>
          <w:szCs w:val="24"/>
          <w:lang w:val="en-ZA"/>
        </w:rPr>
        <w:t xml:space="preserve"> the evidence: Transnet Ltd v Rubenstein, and the issues and averments in support of the parties' cases should ap</w:t>
      </w:r>
      <w:r w:rsidRPr="00304EC1">
        <w:rPr>
          <w:rFonts w:ascii="Arial" w:hAnsi="Arial" w:cs="Arial"/>
          <w:color w:val="000000" w:themeColor="text1"/>
          <w:sz w:val="24"/>
          <w:szCs w:val="24"/>
          <w:lang w:val="en-ZA"/>
        </w:rPr>
        <w:t xml:space="preserve">pear clearly therefrom. A party </w:t>
      </w:r>
      <w:r w:rsidR="00A81913" w:rsidRPr="00304EC1">
        <w:rPr>
          <w:rFonts w:ascii="Arial" w:hAnsi="Arial" w:cs="Arial"/>
          <w:color w:val="000000" w:themeColor="text1"/>
          <w:sz w:val="24"/>
          <w:szCs w:val="24"/>
          <w:lang w:val="en-ZA"/>
        </w:rPr>
        <w:t>cannot be expected to trawl through lengthy annexures to the opponent's affidavit and to speculate on the poss</w:t>
      </w:r>
      <w:r w:rsidRPr="00304EC1">
        <w:rPr>
          <w:rFonts w:ascii="Arial" w:hAnsi="Arial" w:cs="Arial"/>
          <w:color w:val="000000" w:themeColor="text1"/>
          <w:sz w:val="24"/>
          <w:szCs w:val="24"/>
          <w:lang w:val="en-ZA"/>
        </w:rPr>
        <w:t xml:space="preserve">ible relevance of facts therein </w:t>
      </w:r>
      <w:r w:rsidR="00A81913" w:rsidRPr="00304EC1">
        <w:rPr>
          <w:rFonts w:ascii="Arial" w:hAnsi="Arial" w:cs="Arial"/>
          <w:color w:val="000000" w:themeColor="text1"/>
          <w:sz w:val="24"/>
          <w:szCs w:val="24"/>
          <w:lang w:val="en-ZA"/>
        </w:rPr>
        <w:t>contained. Trial by ambush cannot be permitted.</w:t>
      </w:r>
      <w:r w:rsidRPr="00304EC1">
        <w:rPr>
          <w:rFonts w:ascii="Arial" w:hAnsi="Arial" w:cs="Arial"/>
          <w:color w:val="000000" w:themeColor="text1"/>
          <w:sz w:val="24"/>
          <w:szCs w:val="24"/>
          <w:lang w:val="en-ZA"/>
        </w:rPr>
        <w:t>”</w:t>
      </w:r>
    </w:p>
    <w:p w:rsidR="006B010E" w:rsidRPr="00304EC1" w:rsidRDefault="0008548F" w:rsidP="00284BFE">
      <w:pPr>
        <w:spacing w:line="360" w:lineRule="auto"/>
        <w:jc w:val="both"/>
        <w:rPr>
          <w:rFonts w:ascii="Arial" w:hAnsi="Arial" w:cs="Arial"/>
          <w:color w:val="000000" w:themeColor="text1"/>
          <w:sz w:val="24"/>
          <w:szCs w:val="24"/>
          <w:lang w:val="en-ZA"/>
        </w:rPr>
      </w:pPr>
      <w:r w:rsidRPr="00304EC1">
        <w:rPr>
          <w:rFonts w:ascii="Arial" w:hAnsi="Arial" w:cs="Arial"/>
          <w:color w:val="000000" w:themeColor="text1"/>
          <w:sz w:val="24"/>
          <w:szCs w:val="24"/>
          <w:lang w:val="en-ZA"/>
        </w:rPr>
        <w:t>[4</w:t>
      </w:r>
      <w:r w:rsidR="007919B3">
        <w:rPr>
          <w:rFonts w:ascii="Arial" w:hAnsi="Arial" w:cs="Arial"/>
          <w:color w:val="000000" w:themeColor="text1"/>
          <w:sz w:val="24"/>
          <w:szCs w:val="24"/>
          <w:lang w:val="en-ZA"/>
        </w:rPr>
        <w:t>3</w:t>
      </w:r>
      <w:r w:rsidR="00AC7373" w:rsidRPr="00304EC1">
        <w:rPr>
          <w:rFonts w:ascii="Arial" w:hAnsi="Arial" w:cs="Arial"/>
          <w:color w:val="000000" w:themeColor="text1"/>
          <w:sz w:val="24"/>
          <w:szCs w:val="24"/>
          <w:lang w:val="en-ZA"/>
        </w:rPr>
        <w:t>] The applicant’s founding affidavit states that “a series of emails were exchanged” and failed to deal with the same. The applicant</w:t>
      </w:r>
      <w:r w:rsidR="00AE0908" w:rsidRPr="00304EC1">
        <w:rPr>
          <w:rFonts w:ascii="Arial" w:hAnsi="Arial" w:cs="Arial"/>
          <w:color w:val="000000" w:themeColor="text1"/>
          <w:sz w:val="24"/>
          <w:szCs w:val="24"/>
          <w:lang w:val="en-ZA"/>
        </w:rPr>
        <w:t xml:space="preserve"> </w:t>
      </w:r>
      <w:r w:rsidR="00AC7373" w:rsidRPr="00304EC1">
        <w:rPr>
          <w:rFonts w:ascii="Arial" w:hAnsi="Arial" w:cs="Arial"/>
          <w:color w:val="000000" w:themeColor="text1"/>
          <w:sz w:val="24"/>
          <w:szCs w:val="24"/>
          <w:lang w:val="en-ZA"/>
        </w:rPr>
        <w:t>expected the respondents to go through those emails and speculate their relevance. This, in my view, is trial by ambush as envisaged</w:t>
      </w:r>
      <w:r w:rsidR="006B010E" w:rsidRPr="00304EC1">
        <w:rPr>
          <w:rFonts w:ascii="Arial" w:hAnsi="Arial" w:cs="Arial"/>
          <w:color w:val="000000" w:themeColor="text1"/>
          <w:sz w:val="24"/>
          <w:szCs w:val="24"/>
          <w:lang w:val="en-ZA"/>
        </w:rPr>
        <w:t xml:space="preserve"> in the matte</w:t>
      </w:r>
      <w:r w:rsidR="00D1744C" w:rsidRPr="00304EC1">
        <w:rPr>
          <w:rFonts w:ascii="Arial" w:hAnsi="Arial" w:cs="Arial"/>
          <w:color w:val="000000" w:themeColor="text1"/>
          <w:sz w:val="24"/>
          <w:szCs w:val="24"/>
          <w:lang w:val="en-ZA"/>
        </w:rPr>
        <w:t xml:space="preserve">r mentioned supra and </w:t>
      </w:r>
      <w:r w:rsidR="006B010E" w:rsidRPr="00304EC1">
        <w:rPr>
          <w:rFonts w:ascii="Arial" w:hAnsi="Arial" w:cs="Arial"/>
          <w:color w:val="000000" w:themeColor="text1"/>
          <w:sz w:val="24"/>
          <w:szCs w:val="24"/>
          <w:lang w:val="en-ZA"/>
        </w:rPr>
        <w:t>the application falls to be dismissed on this ground alone. I shall, however, continue to deal with allegations as contained in the applicant’s founding affidavit to investigate further whether or not the applicant has made out a case for the relief so</w:t>
      </w:r>
      <w:r w:rsidR="000464E9" w:rsidRPr="00304EC1">
        <w:rPr>
          <w:rFonts w:ascii="Arial" w:hAnsi="Arial" w:cs="Arial"/>
          <w:color w:val="000000" w:themeColor="text1"/>
          <w:sz w:val="24"/>
          <w:szCs w:val="24"/>
          <w:lang w:val="en-ZA"/>
        </w:rPr>
        <w:t>u</w:t>
      </w:r>
      <w:r w:rsidR="006B010E" w:rsidRPr="00304EC1">
        <w:rPr>
          <w:rFonts w:ascii="Arial" w:hAnsi="Arial" w:cs="Arial"/>
          <w:color w:val="000000" w:themeColor="text1"/>
          <w:sz w:val="24"/>
          <w:szCs w:val="24"/>
          <w:lang w:val="en-ZA"/>
        </w:rPr>
        <w:t>ght</w:t>
      </w:r>
      <w:r w:rsidR="000464E9" w:rsidRPr="00304EC1">
        <w:rPr>
          <w:rFonts w:ascii="Arial" w:hAnsi="Arial" w:cs="Arial"/>
          <w:color w:val="000000" w:themeColor="text1"/>
          <w:sz w:val="24"/>
          <w:szCs w:val="24"/>
          <w:lang w:val="en-ZA"/>
        </w:rPr>
        <w:t>.</w:t>
      </w:r>
      <w:r w:rsidR="006B010E" w:rsidRPr="00304EC1">
        <w:rPr>
          <w:rFonts w:ascii="Arial" w:hAnsi="Arial" w:cs="Arial"/>
          <w:color w:val="000000" w:themeColor="text1"/>
          <w:sz w:val="24"/>
          <w:szCs w:val="24"/>
          <w:lang w:val="en-ZA"/>
        </w:rPr>
        <w:t xml:space="preserve"> </w:t>
      </w:r>
    </w:p>
    <w:p w:rsidR="00CD4A8B" w:rsidRPr="00304EC1" w:rsidRDefault="0008548F" w:rsidP="00707B90">
      <w:pPr>
        <w:spacing w:line="360" w:lineRule="auto"/>
        <w:jc w:val="both"/>
        <w:rPr>
          <w:rFonts w:ascii="Arial" w:hAnsi="Arial" w:cs="Arial"/>
          <w:color w:val="000000" w:themeColor="text1"/>
          <w:sz w:val="24"/>
          <w:szCs w:val="24"/>
          <w:lang w:val="en-ZA"/>
        </w:rPr>
      </w:pPr>
      <w:r w:rsidRPr="00304EC1">
        <w:rPr>
          <w:rFonts w:ascii="Arial" w:hAnsi="Arial" w:cs="Arial"/>
          <w:color w:val="000000" w:themeColor="text1"/>
          <w:sz w:val="24"/>
          <w:szCs w:val="24"/>
          <w:lang w:val="en-ZA"/>
        </w:rPr>
        <w:t>[4</w:t>
      </w:r>
      <w:r w:rsidR="007919B3">
        <w:rPr>
          <w:rFonts w:ascii="Arial" w:hAnsi="Arial" w:cs="Arial"/>
          <w:color w:val="000000" w:themeColor="text1"/>
          <w:sz w:val="24"/>
          <w:szCs w:val="24"/>
          <w:lang w:val="en-ZA"/>
        </w:rPr>
        <w:t>4</w:t>
      </w:r>
      <w:r w:rsidR="006B010E" w:rsidRPr="00304EC1">
        <w:rPr>
          <w:rFonts w:ascii="Arial" w:hAnsi="Arial" w:cs="Arial"/>
          <w:color w:val="000000" w:themeColor="text1"/>
          <w:sz w:val="24"/>
          <w:szCs w:val="24"/>
          <w:lang w:val="en-ZA"/>
        </w:rPr>
        <w:t>]</w:t>
      </w:r>
      <w:r w:rsidR="00B0077E" w:rsidRPr="00304EC1">
        <w:rPr>
          <w:rFonts w:ascii="Arial" w:hAnsi="Arial" w:cs="Arial"/>
          <w:color w:val="000000" w:themeColor="text1"/>
          <w:sz w:val="24"/>
          <w:szCs w:val="24"/>
          <w:lang w:val="en-ZA"/>
        </w:rPr>
        <w:t xml:space="preserve"> </w:t>
      </w:r>
      <w:r w:rsidR="00DE3D21" w:rsidRPr="00304EC1">
        <w:rPr>
          <w:rFonts w:ascii="Arial" w:hAnsi="Arial" w:cs="Arial"/>
          <w:color w:val="000000" w:themeColor="text1"/>
          <w:sz w:val="24"/>
          <w:szCs w:val="24"/>
          <w:lang w:val="en-ZA"/>
        </w:rPr>
        <w:t xml:space="preserve">The </w:t>
      </w:r>
      <w:r w:rsidR="000E47B5" w:rsidRPr="00304EC1">
        <w:rPr>
          <w:rFonts w:ascii="Arial" w:hAnsi="Arial" w:cs="Arial"/>
          <w:color w:val="000000" w:themeColor="text1"/>
          <w:sz w:val="24"/>
          <w:szCs w:val="24"/>
          <w:lang w:val="en-ZA"/>
        </w:rPr>
        <w:t>applicant</w:t>
      </w:r>
      <w:r w:rsidR="00DE3D21" w:rsidRPr="00304EC1">
        <w:rPr>
          <w:rFonts w:ascii="Arial" w:hAnsi="Arial" w:cs="Arial"/>
          <w:color w:val="000000" w:themeColor="text1"/>
          <w:sz w:val="24"/>
          <w:szCs w:val="24"/>
          <w:lang w:val="en-ZA"/>
        </w:rPr>
        <w:t xml:space="preserve"> had the first discussion with the sheriff</w:t>
      </w:r>
      <w:r w:rsidR="0008232F" w:rsidRPr="00304EC1">
        <w:rPr>
          <w:rFonts w:ascii="Arial" w:hAnsi="Arial" w:cs="Arial"/>
          <w:color w:val="000000" w:themeColor="text1"/>
          <w:sz w:val="24"/>
          <w:szCs w:val="24"/>
          <w:lang w:val="en-ZA"/>
        </w:rPr>
        <w:t>, who</w:t>
      </w:r>
      <w:r w:rsidR="00DE3D21" w:rsidRPr="00304EC1">
        <w:rPr>
          <w:rFonts w:ascii="Arial" w:hAnsi="Arial" w:cs="Arial"/>
          <w:color w:val="000000" w:themeColor="text1"/>
          <w:sz w:val="24"/>
          <w:szCs w:val="24"/>
          <w:lang w:val="en-ZA"/>
        </w:rPr>
        <w:t xml:space="preserve"> advised him to depose an affidavit</w:t>
      </w:r>
      <w:r w:rsidR="00401EEE" w:rsidRPr="00304EC1">
        <w:rPr>
          <w:rFonts w:ascii="Arial" w:hAnsi="Arial" w:cs="Arial"/>
          <w:color w:val="000000" w:themeColor="text1"/>
          <w:sz w:val="24"/>
          <w:szCs w:val="24"/>
          <w:lang w:val="en-ZA"/>
        </w:rPr>
        <w:t xml:space="preserve"> as provided for in Rule 44(2</w:t>
      </w:r>
      <w:r w:rsidR="00743728" w:rsidRPr="00304EC1">
        <w:rPr>
          <w:rFonts w:ascii="Arial" w:hAnsi="Arial" w:cs="Arial"/>
          <w:color w:val="000000" w:themeColor="text1"/>
          <w:sz w:val="24"/>
          <w:szCs w:val="24"/>
          <w:lang w:val="en-ZA"/>
        </w:rPr>
        <w:t>) of the Magistrate’s Court rules</w:t>
      </w:r>
      <w:r w:rsidR="00DE3D21" w:rsidRPr="00304EC1">
        <w:rPr>
          <w:rFonts w:ascii="Arial" w:hAnsi="Arial" w:cs="Arial"/>
          <w:color w:val="000000" w:themeColor="text1"/>
          <w:sz w:val="24"/>
          <w:szCs w:val="24"/>
          <w:lang w:val="en-ZA"/>
        </w:rPr>
        <w:t xml:space="preserve"> proving ownership. Th</w:t>
      </w:r>
      <w:r w:rsidR="001D38A4" w:rsidRPr="00304EC1">
        <w:rPr>
          <w:rFonts w:ascii="Arial" w:hAnsi="Arial" w:cs="Arial"/>
          <w:color w:val="000000" w:themeColor="text1"/>
          <w:sz w:val="24"/>
          <w:szCs w:val="24"/>
          <w:lang w:val="en-ZA"/>
        </w:rPr>
        <w:t xml:space="preserve">e applicant </w:t>
      </w:r>
      <w:r w:rsidR="00DE3D21" w:rsidRPr="00304EC1">
        <w:rPr>
          <w:rFonts w:ascii="Arial" w:hAnsi="Arial" w:cs="Arial"/>
          <w:color w:val="000000" w:themeColor="text1"/>
          <w:sz w:val="24"/>
          <w:szCs w:val="24"/>
          <w:lang w:val="en-ZA"/>
        </w:rPr>
        <w:t>elected not t</w:t>
      </w:r>
      <w:r w:rsidR="001D38A4" w:rsidRPr="00304EC1">
        <w:rPr>
          <w:rFonts w:ascii="Arial" w:hAnsi="Arial" w:cs="Arial"/>
          <w:color w:val="000000" w:themeColor="text1"/>
          <w:sz w:val="24"/>
          <w:szCs w:val="24"/>
          <w:lang w:val="en-ZA"/>
        </w:rPr>
        <w:t>o comply. Instead, the applicant elected to engage the first respondent</w:t>
      </w:r>
      <w:r w:rsidR="007A4180" w:rsidRPr="00304EC1">
        <w:rPr>
          <w:rFonts w:ascii="Arial" w:hAnsi="Arial" w:cs="Arial"/>
          <w:color w:val="000000" w:themeColor="text1"/>
          <w:sz w:val="24"/>
          <w:szCs w:val="24"/>
          <w:lang w:val="en-ZA"/>
        </w:rPr>
        <w:t xml:space="preserve"> for no apparent reason</w:t>
      </w:r>
      <w:r w:rsidR="001D38A4" w:rsidRPr="00304EC1">
        <w:rPr>
          <w:rFonts w:ascii="Arial" w:hAnsi="Arial" w:cs="Arial"/>
          <w:color w:val="000000" w:themeColor="text1"/>
          <w:sz w:val="24"/>
          <w:szCs w:val="24"/>
          <w:lang w:val="en-ZA"/>
        </w:rPr>
        <w:t xml:space="preserve">. </w:t>
      </w:r>
      <w:r w:rsidR="00743728" w:rsidRPr="00304EC1">
        <w:rPr>
          <w:rFonts w:ascii="Arial" w:hAnsi="Arial" w:cs="Arial"/>
          <w:color w:val="000000" w:themeColor="text1"/>
          <w:sz w:val="24"/>
          <w:szCs w:val="24"/>
          <w:lang w:val="en-ZA"/>
        </w:rPr>
        <w:t xml:space="preserve">Whilst the applicant was wasting time and resources engaging the first respondent the sheriff proceeded with the sale in execution. </w:t>
      </w:r>
    </w:p>
    <w:p w:rsidR="00CC389F" w:rsidRPr="00304EC1" w:rsidRDefault="0008548F" w:rsidP="00707B90">
      <w:pPr>
        <w:spacing w:line="360" w:lineRule="auto"/>
        <w:jc w:val="both"/>
        <w:rPr>
          <w:rFonts w:ascii="Arial" w:hAnsi="Arial" w:cs="Arial"/>
          <w:color w:val="000000" w:themeColor="text1"/>
          <w:sz w:val="24"/>
          <w:szCs w:val="24"/>
          <w:lang w:val="en-ZA"/>
        </w:rPr>
      </w:pPr>
      <w:r w:rsidRPr="00304EC1">
        <w:rPr>
          <w:rFonts w:ascii="Arial" w:hAnsi="Arial" w:cs="Arial"/>
          <w:color w:val="000000" w:themeColor="text1"/>
          <w:sz w:val="24"/>
          <w:szCs w:val="24"/>
          <w:lang w:val="en-ZA"/>
        </w:rPr>
        <w:t>[4</w:t>
      </w:r>
      <w:r w:rsidR="00942409">
        <w:rPr>
          <w:rFonts w:ascii="Arial" w:hAnsi="Arial" w:cs="Arial"/>
          <w:color w:val="000000" w:themeColor="text1"/>
          <w:sz w:val="24"/>
          <w:szCs w:val="24"/>
          <w:lang w:val="en-ZA"/>
        </w:rPr>
        <w:t>5</w:t>
      </w:r>
      <w:r w:rsidR="00CD4A8B" w:rsidRPr="00304EC1">
        <w:rPr>
          <w:rFonts w:ascii="Arial" w:hAnsi="Arial" w:cs="Arial"/>
          <w:color w:val="000000" w:themeColor="text1"/>
          <w:sz w:val="24"/>
          <w:szCs w:val="24"/>
          <w:lang w:val="en-ZA"/>
        </w:rPr>
        <w:t>]</w:t>
      </w:r>
      <w:r w:rsidR="00957445" w:rsidRPr="00304EC1">
        <w:rPr>
          <w:rFonts w:ascii="Arial" w:hAnsi="Arial" w:cs="Arial"/>
          <w:color w:val="000000" w:themeColor="text1"/>
          <w:sz w:val="24"/>
          <w:szCs w:val="24"/>
          <w:lang w:val="en-ZA"/>
        </w:rPr>
        <w:t xml:space="preserve"> The applicant, in my view, was desperate to halt the sale in execution and was under the illusion that the first respondent will succumb to the pressure he exerted on him and </w:t>
      </w:r>
      <w:r w:rsidR="00D1744C" w:rsidRPr="00304EC1">
        <w:rPr>
          <w:rFonts w:ascii="Arial" w:hAnsi="Arial" w:cs="Arial"/>
          <w:color w:val="000000" w:themeColor="text1"/>
          <w:sz w:val="24"/>
          <w:szCs w:val="24"/>
          <w:lang w:val="en-ZA"/>
        </w:rPr>
        <w:t xml:space="preserve">unlawfully </w:t>
      </w:r>
      <w:r w:rsidR="00957445" w:rsidRPr="00304EC1">
        <w:rPr>
          <w:rFonts w:ascii="Arial" w:hAnsi="Arial" w:cs="Arial"/>
          <w:color w:val="000000" w:themeColor="text1"/>
          <w:sz w:val="24"/>
          <w:szCs w:val="24"/>
          <w:lang w:val="en-ZA"/>
        </w:rPr>
        <w:t xml:space="preserve">halt the sale in execution </w:t>
      </w:r>
      <w:r w:rsidR="00D1744C" w:rsidRPr="00304EC1">
        <w:rPr>
          <w:rFonts w:ascii="Arial" w:hAnsi="Arial" w:cs="Arial"/>
          <w:color w:val="000000" w:themeColor="text1"/>
          <w:sz w:val="24"/>
          <w:szCs w:val="24"/>
          <w:lang w:val="en-ZA"/>
        </w:rPr>
        <w:t>as per its</w:t>
      </w:r>
      <w:r w:rsidR="00284BFE" w:rsidRPr="00304EC1">
        <w:rPr>
          <w:rFonts w:ascii="Arial" w:hAnsi="Arial" w:cs="Arial"/>
          <w:color w:val="000000" w:themeColor="text1"/>
          <w:sz w:val="24"/>
          <w:szCs w:val="24"/>
          <w:lang w:val="en-ZA"/>
        </w:rPr>
        <w:t xml:space="preserve"> instruction instead of go</w:t>
      </w:r>
      <w:r w:rsidR="008C35A1" w:rsidRPr="00304EC1">
        <w:rPr>
          <w:rFonts w:ascii="Arial" w:hAnsi="Arial" w:cs="Arial"/>
          <w:color w:val="000000" w:themeColor="text1"/>
          <w:sz w:val="24"/>
          <w:szCs w:val="24"/>
          <w:lang w:val="en-ZA"/>
        </w:rPr>
        <w:t>ing through what it</w:t>
      </w:r>
      <w:r w:rsidR="00284BFE" w:rsidRPr="00304EC1">
        <w:rPr>
          <w:rFonts w:ascii="Arial" w:hAnsi="Arial" w:cs="Arial"/>
          <w:color w:val="000000" w:themeColor="text1"/>
          <w:sz w:val="24"/>
          <w:szCs w:val="24"/>
          <w:lang w:val="en-ZA"/>
        </w:rPr>
        <w:t xml:space="preserve"> </w:t>
      </w:r>
      <w:r w:rsidR="00E070F5" w:rsidRPr="00304EC1">
        <w:rPr>
          <w:rFonts w:ascii="Arial" w:hAnsi="Arial" w:cs="Arial"/>
          <w:color w:val="000000" w:themeColor="text1"/>
          <w:sz w:val="24"/>
          <w:szCs w:val="24"/>
          <w:lang w:val="en-ZA"/>
        </w:rPr>
        <w:t>perceived</w:t>
      </w:r>
      <w:r w:rsidR="00284BFE" w:rsidRPr="00304EC1">
        <w:rPr>
          <w:rFonts w:ascii="Arial" w:hAnsi="Arial" w:cs="Arial"/>
          <w:color w:val="000000" w:themeColor="text1"/>
          <w:sz w:val="24"/>
          <w:szCs w:val="24"/>
          <w:lang w:val="en-ZA"/>
        </w:rPr>
        <w:t xml:space="preserve"> to be a lengthy and cumbersome procedure </w:t>
      </w:r>
      <w:r w:rsidR="00E070F5" w:rsidRPr="00304EC1">
        <w:rPr>
          <w:rFonts w:ascii="Arial" w:hAnsi="Arial" w:cs="Arial"/>
          <w:color w:val="000000" w:themeColor="text1"/>
          <w:sz w:val="24"/>
          <w:szCs w:val="24"/>
          <w:lang w:val="en-ZA"/>
        </w:rPr>
        <w:t>of interpleader proceedings. Therefore</w:t>
      </w:r>
      <w:r w:rsidR="00957445" w:rsidRPr="00304EC1">
        <w:rPr>
          <w:rFonts w:ascii="Arial" w:hAnsi="Arial" w:cs="Arial"/>
          <w:color w:val="000000" w:themeColor="text1"/>
          <w:sz w:val="24"/>
          <w:szCs w:val="24"/>
          <w:lang w:val="en-ZA"/>
        </w:rPr>
        <w:t>,</w:t>
      </w:r>
      <w:r w:rsidR="001D38A4" w:rsidRPr="00304EC1">
        <w:rPr>
          <w:rFonts w:ascii="Arial" w:hAnsi="Arial" w:cs="Arial"/>
          <w:color w:val="000000" w:themeColor="text1"/>
          <w:sz w:val="24"/>
          <w:szCs w:val="24"/>
          <w:lang w:val="en-ZA"/>
        </w:rPr>
        <w:t xml:space="preserve"> </w:t>
      </w:r>
      <w:r w:rsidR="00957445" w:rsidRPr="00304EC1">
        <w:rPr>
          <w:rFonts w:ascii="Arial" w:hAnsi="Arial" w:cs="Arial"/>
          <w:color w:val="000000" w:themeColor="text1"/>
          <w:sz w:val="24"/>
          <w:szCs w:val="24"/>
          <w:lang w:val="en-ZA"/>
        </w:rPr>
        <w:t xml:space="preserve">the </w:t>
      </w:r>
      <w:r w:rsidR="001D38A4" w:rsidRPr="00304EC1">
        <w:rPr>
          <w:rFonts w:ascii="Arial" w:hAnsi="Arial" w:cs="Arial"/>
          <w:color w:val="000000" w:themeColor="text1"/>
          <w:sz w:val="24"/>
          <w:szCs w:val="24"/>
          <w:lang w:val="en-ZA"/>
        </w:rPr>
        <w:t>applicant mi</w:t>
      </w:r>
      <w:r w:rsidR="00D63173" w:rsidRPr="00304EC1">
        <w:rPr>
          <w:rFonts w:ascii="Arial" w:hAnsi="Arial" w:cs="Arial"/>
          <w:color w:val="000000" w:themeColor="text1"/>
          <w:sz w:val="24"/>
          <w:szCs w:val="24"/>
          <w:lang w:val="en-ZA"/>
        </w:rPr>
        <w:t>ssed the opportunity to resolve</w:t>
      </w:r>
      <w:r w:rsidR="001D38A4" w:rsidRPr="00304EC1">
        <w:rPr>
          <w:rFonts w:ascii="Arial" w:hAnsi="Arial" w:cs="Arial"/>
          <w:color w:val="000000" w:themeColor="text1"/>
          <w:sz w:val="24"/>
          <w:szCs w:val="24"/>
          <w:lang w:val="en-ZA"/>
        </w:rPr>
        <w:t xml:space="preserve"> the matter by simply deposing to an affidavit.</w:t>
      </w:r>
      <w:r w:rsidR="00957445" w:rsidRPr="00304EC1">
        <w:rPr>
          <w:rFonts w:ascii="Arial" w:hAnsi="Arial" w:cs="Arial"/>
          <w:color w:val="000000" w:themeColor="text1"/>
          <w:sz w:val="24"/>
          <w:szCs w:val="24"/>
          <w:lang w:val="en-ZA"/>
        </w:rPr>
        <w:t xml:space="preserve"> The</w:t>
      </w:r>
      <w:r w:rsidR="00D1744C" w:rsidRPr="00304EC1">
        <w:rPr>
          <w:rFonts w:ascii="Arial" w:hAnsi="Arial" w:cs="Arial"/>
          <w:color w:val="000000" w:themeColor="text1"/>
          <w:sz w:val="24"/>
          <w:szCs w:val="24"/>
          <w:lang w:val="en-ZA"/>
        </w:rPr>
        <w:t xml:space="preserve"> first</w:t>
      </w:r>
      <w:r w:rsidR="00957445" w:rsidRPr="00304EC1">
        <w:rPr>
          <w:rFonts w:ascii="Arial" w:hAnsi="Arial" w:cs="Arial"/>
          <w:color w:val="000000" w:themeColor="text1"/>
          <w:sz w:val="24"/>
          <w:szCs w:val="24"/>
          <w:lang w:val="en-ZA"/>
        </w:rPr>
        <w:t xml:space="preserve"> respondent again issued him with a Vendu Roll and further offered to settle the account</w:t>
      </w:r>
      <w:r w:rsidR="001D38A4" w:rsidRPr="00304EC1">
        <w:rPr>
          <w:rFonts w:ascii="Arial" w:hAnsi="Arial" w:cs="Arial"/>
          <w:color w:val="000000" w:themeColor="text1"/>
          <w:sz w:val="24"/>
          <w:szCs w:val="24"/>
          <w:lang w:val="en-ZA"/>
        </w:rPr>
        <w:t xml:space="preserve"> and </w:t>
      </w:r>
      <w:r w:rsidR="00957445" w:rsidRPr="00304EC1">
        <w:rPr>
          <w:rFonts w:ascii="Arial" w:hAnsi="Arial" w:cs="Arial"/>
          <w:color w:val="000000" w:themeColor="text1"/>
          <w:sz w:val="24"/>
          <w:szCs w:val="24"/>
          <w:lang w:val="en-ZA"/>
        </w:rPr>
        <w:t>t</w:t>
      </w:r>
      <w:r w:rsidR="001D38A4" w:rsidRPr="00304EC1">
        <w:rPr>
          <w:rFonts w:ascii="Arial" w:hAnsi="Arial" w:cs="Arial"/>
          <w:color w:val="000000" w:themeColor="text1"/>
          <w:sz w:val="24"/>
          <w:szCs w:val="24"/>
          <w:lang w:val="en-ZA"/>
        </w:rPr>
        <w:t>he</w:t>
      </w:r>
      <w:r w:rsidR="00957445" w:rsidRPr="00304EC1">
        <w:rPr>
          <w:rFonts w:ascii="Arial" w:hAnsi="Arial" w:cs="Arial"/>
          <w:color w:val="000000" w:themeColor="text1"/>
          <w:sz w:val="24"/>
          <w:szCs w:val="24"/>
          <w:lang w:val="en-ZA"/>
        </w:rPr>
        <w:t xml:space="preserve"> applicant</w:t>
      </w:r>
      <w:r w:rsidR="001D38A4" w:rsidRPr="00304EC1">
        <w:rPr>
          <w:rFonts w:ascii="Arial" w:hAnsi="Arial" w:cs="Arial"/>
          <w:color w:val="000000" w:themeColor="text1"/>
          <w:sz w:val="24"/>
          <w:szCs w:val="24"/>
          <w:lang w:val="en-ZA"/>
        </w:rPr>
        <w:t xml:space="preserve"> declined </w:t>
      </w:r>
      <w:r w:rsidR="00957445" w:rsidRPr="00304EC1">
        <w:rPr>
          <w:rFonts w:ascii="Arial" w:hAnsi="Arial" w:cs="Arial"/>
          <w:color w:val="000000" w:themeColor="text1"/>
          <w:sz w:val="24"/>
          <w:szCs w:val="24"/>
          <w:lang w:val="en-ZA"/>
        </w:rPr>
        <w:t xml:space="preserve">the </w:t>
      </w:r>
      <w:r w:rsidR="001D38A4" w:rsidRPr="00304EC1">
        <w:rPr>
          <w:rFonts w:ascii="Arial" w:hAnsi="Arial" w:cs="Arial"/>
          <w:color w:val="000000" w:themeColor="text1"/>
          <w:sz w:val="24"/>
          <w:szCs w:val="24"/>
          <w:lang w:val="en-ZA"/>
        </w:rPr>
        <w:t>same.</w:t>
      </w:r>
      <w:r w:rsidR="00743728" w:rsidRPr="00304EC1">
        <w:rPr>
          <w:rFonts w:ascii="Arial" w:hAnsi="Arial" w:cs="Arial"/>
          <w:color w:val="000000" w:themeColor="text1"/>
          <w:sz w:val="24"/>
          <w:szCs w:val="24"/>
          <w:lang w:val="en-ZA"/>
        </w:rPr>
        <w:t xml:space="preserve"> </w:t>
      </w:r>
    </w:p>
    <w:p w:rsidR="00743728" w:rsidRPr="00304EC1" w:rsidRDefault="0008548F" w:rsidP="00707B90">
      <w:pPr>
        <w:spacing w:line="360" w:lineRule="auto"/>
        <w:jc w:val="both"/>
        <w:rPr>
          <w:rFonts w:ascii="Arial" w:hAnsi="Arial" w:cs="Arial"/>
          <w:color w:val="000000" w:themeColor="text1"/>
          <w:sz w:val="24"/>
          <w:szCs w:val="24"/>
          <w:lang w:val="en-ZA"/>
        </w:rPr>
      </w:pPr>
      <w:r w:rsidRPr="00304EC1">
        <w:rPr>
          <w:rFonts w:ascii="Arial" w:hAnsi="Arial" w:cs="Arial"/>
          <w:color w:val="000000" w:themeColor="text1"/>
          <w:sz w:val="24"/>
          <w:szCs w:val="24"/>
          <w:lang w:val="en-ZA"/>
        </w:rPr>
        <w:t>[4</w:t>
      </w:r>
      <w:r w:rsidR="00942409">
        <w:rPr>
          <w:rFonts w:ascii="Arial" w:hAnsi="Arial" w:cs="Arial"/>
          <w:color w:val="000000" w:themeColor="text1"/>
          <w:sz w:val="24"/>
          <w:szCs w:val="24"/>
          <w:lang w:val="en-ZA"/>
        </w:rPr>
        <w:t>6</w:t>
      </w:r>
      <w:r w:rsidR="007A4180" w:rsidRPr="00304EC1">
        <w:rPr>
          <w:rFonts w:ascii="Arial" w:hAnsi="Arial" w:cs="Arial"/>
          <w:color w:val="000000" w:themeColor="text1"/>
          <w:sz w:val="24"/>
          <w:szCs w:val="24"/>
          <w:lang w:val="en-ZA"/>
        </w:rPr>
        <w:t>]</w:t>
      </w:r>
      <w:r w:rsidR="001D38A4" w:rsidRPr="00304EC1">
        <w:rPr>
          <w:rFonts w:ascii="Arial" w:hAnsi="Arial" w:cs="Arial"/>
          <w:color w:val="000000" w:themeColor="text1"/>
          <w:sz w:val="24"/>
          <w:szCs w:val="24"/>
          <w:lang w:val="en-ZA"/>
        </w:rPr>
        <w:t xml:space="preserve"> </w:t>
      </w:r>
      <w:r w:rsidR="007A4180" w:rsidRPr="00304EC1">
        <w:rPr>
          <w:rFonts w:ascii="Arial" w:hAnsi="Arial" w:cs="Arial"/>
          <w:color w:val="000000" w:themeColor="text1"/>
          <w:sz w:val="24"/>
          <w:szCs w:val="24"/>
          <w:lang w:val="en-ZA"/>
        </w:rPr>
        <w:t xml:space="preserve">The subject matter is </w:t>
      </w:r>
      <w:r w:rsidR="00942409">
        <w:rPr>
          <w:rFonts w:ascii="Arial" w:hAnsi="Arial" w:cs="Arial"/>
          <w:color w:val="000000" w:themeColor="text1"/>
          <w:sz w:val="24"/>
          <w:szCs w:val="24"/>
          <w:lang w:val="en-ZA"/>
        </w:rPr>
        <w:t xml:space="preserve">that </w:t>
      </w:r>
      <w:r w:rsidR="007A4180" w:rsidRPr="00304EC1">
        <w:rPr>
          <w:rFonts w:ascii="Arial" w:hAnsi="Arial" w:cs="Arial"/>
          <w:color w:val="000000" w:themeColor="text1"/>
          <w:sz w:val="24"/>
          <w:szCs w:val="24"/>
          <w:lang w:val="en-ZA"/>
        </w:rPr>
        <w:t xml:space="preserve">this application was attached pursuant to a default judgment granted by the Pretoria Magistrate’s Court on 28 April 2022. </w:t>
      </w:r>
      <w:r w:rsidR="00587F16" w:rsidRPr="00304EC1">
        <w:rPr>
          <w:rFonts w:ascii="Arial" w:hAnsi="Arial" w:cs="Arial"/>
          <w:color w:val="000000" w:themeColor="text1"/>
          <w:sz w:val="24"/>
          <w:szCs w:val="24"/>
          <w:lang w:val="en-ZA"/>
        </w:rPr>
        <w:t xml:space="preserve"> It appears the applicant is not aggrieved by that decision because he is not challenging that</w:t>
      </w:r>
      <w:r w:rsidR="007A4180" w:rsidRPr="00304EC1">
        <w:rPr>
          <w:rFonts w:ascii="Arial" w:hAnsi="Arial" w:cs="Arial"/>
          <w:color w:val="000000" w:themeColor="text1"/>
          <w:sz w:val="24"/>
          <w:szCs w:val="24"/>
          <w:lang w:val="en-ZA"/>
        </w:rPr>
        <w:t xml:space="preserve"> judgment and its validity inclusive of the writ i</w:t>
      </w:r>
      <w:r w:rsidR="00D1744C" w:rsidRPr="00304EC1">
        <w:rPr>
          <w:rFonts w:ascii="Arial" w:hAnsi="Arial" w:cs="Arial"/>
          <w:color w:val="000000" w:themeColor="text1"/>
          <w:sz w:val="24"/>
          <w:szCs w:val="24"/>
          <w:lang w:val="en-ZA"/>
        </w:rPr>
        <w:t>ssued pursuan</w:t>
      </w:r>
      <w:r w:rsidR="00167E86" w:rsidRPr="00304EC1">
        <w:rPr>
          <w:rFonts w:ascii="Arial" w:hAnsi="Arial" w:cs="Arial"/>
          <w:color w:val="000000" w:themeColor="text1"/>
          <w:sz w:val="24"/>
          <w:szCs w:val="24"/>
          <w:lang w:val="en-ZA"/>
        </w:rPr>
        <w:t>t to that judgment</w:t>
      </w:r>
      <w:r w:rsidR="00587F16" w:rsidRPr="00304EC1">
        <w:rPr>
          <w:rFonts w:ascii="Arial" w:hAnsi="Arial" w:cs="Arial"/>
          <w:color w:val="000000" w:themeColor="text1"/>
          <w:sz w:val="24"/>
          <w:szCs w:val="24"/>
          <w:lang w:val="en-ZA"/>
        </w:rPr>
        <w:t xml:space="preserve">. </w:t>
      </w:r>
      <w:r w:rsidR="00167E86" w:rsidRPr="00304EC1">
        <w:rPr>
          <w:rFonts w:ascii="Arial" w:hAnsi="Arial" w:cs="Arial"/>
          <w:color w:val="000000" w:themeColor="text1"/>
          <w:sz w:val="24"/>
          <w:szCs w:val="24"/>
          <w:lang w:val="en-ZA"/>
        </w:rPr>
        <w:t>T</w:t>
      </w:r>
      <w:r w:rsidR="000E47B5" w:rsidRPr="00304EC1">
        <w:rPr>
          <w:rFonts w:ascii="Arial" w:hAnsi="Arial" w:cs="Arial"/>
          <w:color w:val="000000" w:themeColor="text1"/>
          <w:sz w:val="24"/>
          <w:szCs w:val="24"/>
          <w:lang w:val="en-ZA"/>
        </w:rPr>
        <w:t xml:space="preserve">he </w:t>
      </w:r>
      <w:r w:rsidR="007A4180" w:rsidRPr="00304EC1">
        <w:rPr>
          <w:rFonts w:ascii="Arial" w:hAnsi="Arial" w:cs="Arial"/>
          <w:color w:val="000000" w:themeColor="text1"/>
          <w:sz w:val="24"/>
          <w:szCs w:val="24"/>
          <w:lang w:val="en-ZA"/>
        </w:rPr>
        <w:t>first r</w:t>
      </w:r>
      <w:r w:rsidR="000E47B5" w:rsidRPr="00304EC1">
        <w:rPr>
          <w:rFonts w:ascii="Arial" w:hAnsi="Arial" w:cs="Arial"/>
          <w:color w:val="000000" w:themeColor="text1"/>
          <w:sz w:val="24"/>
          <w:szCs w:val="24"/>
          <w:lang w:val="en-ZA"/>
        </w:rPr>
        <w:t>espondent was correct in advising the applicant</w:t>
      </w:r>
      <w:r w:rsidR="007A4180" w:rsidRPr="00304EC1">
        <w:rPr>
          <w:rFonts w:ascii="Arial" w:hAnsi="Arial" w:cs="Arial"/>
          <w:color w:val="000000" w:themeColor="text1"/>
          <w:sz w:val="24"/>
          <w:szCs w:val="24"/>
          <w:lang w:val="en-ZA"/>
        </w:rPr>
        <w:t xml:space="preserve"> that the provisions of section 2 (1) (b) of Act 57 of 1993 were not applicable</w:t>
      </w:r>
      <w:r w:rsidR="00587F16" w:rsidRPr="00304EC1">
        <w:rPr>
          <w:rFonts w:ascii="Arial" w:hAnsi="Arial" w:cs="Arial"/>
          <w:color w:val="000000" w:themeColor="text1"/>
          <w:sz w:val="24"/>
          <w:szCs w:val="24"/>
          <w:lang w:val="en-ZA"/>
        </w:rPr>
        <w:t xml:space="preserve"> because the cause of action in casu is not arrear rental.</w:t>
      </w:r>
    </w:p>
    <w:p w:rsidR="002A45E8" w:rsidRPr="00FF5CDA" w:rsidRDefault="002A45E8" w:rsidP="00707B90">
      <w:pPr>
        <w:spacing w:line="360" w:lineRule="auto"/>
        <w:jc w:val="both"/>
        <w:rPr>
          <w:rFonts w:ascii="Arial" w:hAnsi="Arial" w:cs="Arial"/>
          <w:color w:val="000000" w:themeColor="text1"/>
          <w:sz w:val="24"/>
          <w:szCs w:val="24"/>
          <w:lang w:val="en-ZA"/>
        </w:rPr>
      </w:pPr>
      <w:r w:rsidRPr="00304EC1">
        <w:rPr>
          <w:rFonts w:ascii="Arial" w:hAnsi="Arial" w:cs="Arial"/>
          <w:color w:val="000000" w:themeColor="text1"/>
          <w:sz w:val="24"/>
          <w:szCs w:val="24"/>
          <w:lang w:val="en-ZA"/>
        </w:rPr>
        <w:lastRenderedPageBreak/>
        <w:t>[4</w:t>
      </w:r>
      <w:r w:rsidR="0032011B">
        <w:rPr>
          <w:rFonts w:ascii="Arial" w:hAnsi="Arial" w:cs="Arial"/>
          <w:color w:val="000000" w:themeColor="text1"/>
          <w:sz w:val="24"/>
          <w:szCs w:val="24"/>
          <w:lang w:val="en-ZA"/>
        </w:rPr>
        <w:t>7</w:t>
      </w:r>
      <w:r w:rsidRPr="00304EC1">
        <w:rPr>
          <w:rFonts w:ascii="Arial" w:hAnsi="Arial" w:cs="Arial"/>
          <w:color w:val="000000" w:themeColor="text1"/>
          <w:sz w:val="24"/>
          <w:szCs w:val="24"/>
          <w:lang w:val="en-ZA"/>
        </w:rPr>
        <w:t xml:space="preserve">] The applicant further stated that the first respondent failed to inform the court that </w:t>
      </w:r>
      <w:r w:rsidR="0032011B">
        <w:rPr>
          <w:rFonts w:ascii="Arial" w:hAnsi="Arial" w:cs="Arial"/>
          <w:color w:val="000000" w:themeColor="text1"/>
          <w:sz w:val="24"/>
          <w:szCs w:val="24"/>
          <w:lang w:val="en-ZA"/>
        </w:rPr>
        <w:t>the applicant</w:t>
      </w:r>
      <w:r w:rsidRPr="00304EC1">
        <w:rPr>
          <w:rFonts w:ascii="Arial" w:hAnsi="Arial" w:cs="Arial"/>
          <w:color w:val="000000" w:themeColor="text1"/>
          <w:sz w:val="24"/>
          <w:szCs w:val="24"/>
          <w:lang w:val="en-ZA"/>
        </w:rPr>
        <w:t xml:space="preserve"> is the owner of the vehicle in issue which was under an i</w:t>
      </w:r>
      <w:r w:rsidR="00F4517F" w:rsidRPr="00304EC1">
        <w:rPr>
          <w:rFonts w:ascii="Arial" w:hAnsi="Arial" w:cs="Arial"/>
          <w:color w:val="000000" w:themeColor="text1"/>
          <w:sz w:val="24"/>
          <w:szCs w:val="24"/>
          <w:lang w:val="en-ZA"/>
        </w:rPr>
        <w:t xml:space="preserve">nstalment sale agreement. </w:t>
      </w:r>
      <w:r w:rsidR="00EE2283" w:rsidRPr="00FF5CDA">
        <w:rPr>
          <w:rFonts w:ascii="Arial" w:hAnsi="Arial" w:cs="Arial"/>
          <w:color w:val="000000" w:themeColor="text1"/>
          <w:sz w:val="24"/>
          <w:szCs w:val="24"/>
          <w:lang w:val="en-ZA"/>
        </w:rPr>
        <w:t>The applicant</w:t>
      </w:r>
      <w:r w:rsidR="005329E2" w:rsidRPr="00FF5CDA">
        <w:rPr>
          <w:rFonts w:ascii="Arial" w:hAnsi="Arial" w:cs="Arial"/>
          <w:color w:val="000000" w:themeColor="text1"/>
          <w:sz w:val="24"/>
          <w:szCs w:val="24"/>
          <w:lang w:val="en-ZA"/>
        </w:rPr>
        <w:t>’s allegation</w:t>
      </w:r>
      <w:r w:rsidR="007207EE" w:rsidRPr="00FF5CDA">
        <w:rPr>
          <w:rFonts w:ascii="Arial" w:hAnsi="Arial" w:cs="Arial"/>
          <w:color w:val="000000" w:themeColor="text1"/>
          <w:sz w:val="24"/>
          <w:szCs w:val="24"/>
          <w:lang w:val="en-ZA"/>
        </w:rPr>
        <w:t>, in my view,</w:t>
      </w:r>
      <w:r w:rsidR="005329E2" w:rsidRPr="00FF5CDA">
        <w:rPr>
          <w:rFonts w:ascii="Arial" w:hAnsi="Arial" w:cs="Arial"/>
          <w:color w:val="000000" w:themeColor="text1"/>
          <w:sz w:val="24"/>
          <w:szCs w:val="24"/>
          <w:lang w:val="en-ZA"/>
        </w:rPr>
        <w:t xml:space="preserve"> is unsubstantiated. </w:t>
      </w:r>
      <w:r w:rsidR="00EE2283" w:rsidRPr="00FF5CDA">
        <w:rPr>
          <w:rFonts w:ascii="Arial" w:hAnsi="Arial" w:cs="Arial"/>
          <w:color w:val="000000" w:themeColor="text1"/>
          <w:sz w:val="24"/>
          <w:szCs w:val="24"/>
          <w:lang w:val="en-ZA"/>
        </w:rPr>
        <w:t>The applicant failed to d</w:t>
      </w:r>
      <w:r w:rsidR="007207EE" w:rsidRPr="00FF5CDA">
        <w:rPr>
          <w:rFonts w:ascii="Arial" w:hAnsi="Arial" w:cs="Arial"/>
          <w:color w:val="000000" w:themeColor="text1"/>
          <w:sz w:val="24"/>
          <w:szCs w:val="24"/>
          <w:lang w:val="en-ZA"/>
        </w:rPr>
        <w:t>emonstrate that</w:t>
      </w:r>
      <w:r w:rsidR="00EE2283" w:rsidRPr="00FF5CDA">
        <w:rPr>
          <w:rFonts w:ascii="Arial" w:hAnsi="Arial" w:cs="Arial"/>
          <w:color w:val="000000" w:themeColor="text1"/>
          <w:sz w:val="24"/>
          <w:szCs w:val="24"/>
          <w:lang w:val="en-ZA"/>
        </w:rPr>
        <w:t xml:space="preserve"> during the proceeding</w:t>
      </w:r>
      <w:r w:rsidR="007207EE" w:rsidRPr="00FF5CDA">
        <w:rPr>
          <w:rFonts w:ascii="Arial" w:hAnsi="Arial" w:cs="Arial"/>
          <w:color w:val="000000" w:themeColor="text1"/>
          <w:sz w:val="24"/>
          <w:szCs w:val="24"/>
          <w:lang w:val="en-ZA"/>
        </w:rPr>
        <w:t>s</w:t>
      </w:r>
      <w:r w:rsidR="00EE2283" w:rsidRPr="00FF5CDA">
        <w:rPr>
          <w:rFonts w:ascii="Arial" w:hAnsi="Arial" w:cs="Arial"/>
          <w:color w:val="000000" w:themeColor="text1"/>
          <w:sz w:val="24"/>
          <w:szCs w:val="24"/>
          <w:lang w:val="en-ZA"/>
        </w:rPr>
        <w:t xml:space="preserve"> in the Magistrate’s C</w:t>
      </w:r>
      <w:r w:rsidR="005329E2" w:rsidRPr="00FF5CDA">
        <w:rPr>
          <w:rFonts w:ascii="Arial" w:hAnsi="Arial" w:cs="Arial"/>
          <w:color w:val="000000" w:themeColor="text1"/>
          <w:sz w:val="24"/>
          <w:szCs w:val="24"/>
          <w:lang w:val="en-ZA"/>
        </w:rPr>
        <w:t xml:space="preserve">ourt, the respondent was aware that the applicant was the owner of the vehicle and withheld the </w:t>
      </w:r>
      <w:r w:rsidR="007207EE" w:rsidRPr="00FF5CDA">
        <w:rPr>
          <w:rFonts w:ascii="Arial" w:hAnsi="Arial" w:cs="Arial"/>
          <w:color w:val="000000" w:themeColor="text1"/>
          <w:sz w:val="24"/>
          <w:szCs w:val="24"/>
          <w:lang w:val="en-ZA"/>
        </w:rPr>
        <w:t>information.</w:t>
      </w:r>
      <w:r w:rsidR="005329E2" w:rsidRPr="00FF5CDA">
        <w:rPr>
          <w:rFonts w:ascii="Arial" w:hAnsi="Arial" w:cs="Arial"/>
          <w:color w:val="000000" w:themeColor="text1"/>
          <w:sz w:val="24"/>
          <w:szCs w:val="24"/>
          <w:lang w:val="en-ZA"/>
        </w:rPr>
        <w:t xml:space="preserve"> </w:t>
      </w:r>
    </w:p>
    <w:p w:rsidR="002518F8" w:rsidRPr="00304EC1" w:rsidRDefault="0008548F" w:rsidP="002518F8">
      <w:pPr>
        <w:spacing w:line="360" w:lineRule="auto"/>
        <w:jc w:val="both"/>
        <w:rPr>
          <w:rFonts w:ascii="Arial" w:hAnsi="Arial" w:cs="Arial"/>
          <w:color w:val="000000" w:themeColor="text1"/>
          <w:sz w:val="24"/>
          <w:szCs w:val="24"/>
          <w:lang w:val="en-ZA"/>
        </w:rPr>
      </w:pPr>
      <w:r w:rsidRPr="00304EC1">
        <w:rPr>
          <w:rFonts w:ascii="Arial" w:hAnsi="Arial" w:cs="Arial"/>
          <w:color w:val="000000" w:themeColor="text1"/>
          <w:sz w:val="24"/>
          <w:szCs w:val="24"/>
          <w:lang w:val="en-ZA"/>
        </w:rPr>
        <w:t>[4</w:t>
      </w:r>
      <w:r w:rsidR="0032011B">
        <w:rPr>
          <w:rFonts w:ascii="Arial" w:hAnsi="Arial" w:cs="Arial"/>
          <w:color w:val="000000" w:themeColor="text1"/>
          <w:sz w:val="24"/>
          <w:szCs w:val="24"/>
          <w:lang w:val="en-ZA"/>
        </w:rPr>
        <w:t>8</w:t>
      </w:r>
      <w:r w:rsidR="006B010E" w:rsidRPr="00304EC1">
        <w:rPr>
          <w:rFonts w:ascii="Arial" w:hAnsi="Arial" w:cs="Arial"/>
          <w:color w:val="000000" w:themeColor="text1"/>
          <w:sz w:val="24"/>
          <w:szCs w:val="24"/>
          <w:lang w:val="en-ZA"/>
        </w:rPr>
        <w:t>]</w:t>
      </w:r>
      <w:r w:rsidR="002518F8" w:rsidRPr="00304EC1">
        <w:rPr>
          <w:rFonts w:ascii="Arial" w:hAnsi="Arial" w:cs="Arial"/>
          <w:color w:val="000000" w:themeColor="text1"/>
          <w:sz w:val="24"/>
          <w:szCs w:val="24"/>
          <w:lang w:val="en-ZA"/>
        </w:rPr>
        <w:t xml:space="preserve"> In my view, the first respondent took efforts to assist the applicant and the latter misinterpreted the law and/or decided not to heed the advice. The applicant now seeks to shift the blame to the first respondent whom he did not gi</w:t>
      </w:r>
      <w:r w:rsidR="00513493" w:rsidRPr="00304EC1">
        <w:rPr>
          <w:rFonts w:ascii="Arial" w:hAnsi="Arial" w:cs="Arial"/>
          <w:color w:val="000000" w:themeColor="text1"/>
          <w:sz w:val="24"/>
          <w:szCs w:val="24"/>
          <w:lang w:val="en-ZA"/>
        </w:rPr>
        <w:t xml:space="preserve">ve </w:t>
      </w:r>
      <w:r w:rsidR="00167E86" w:rsidRPr="00304EC1">
        <w:rPr>
          <w:rFonts w:ascii="Arial" w:hAnsi="Arial" w:cs="Arial"/>
          <w:color w:val="000000" w:themeColor="text1"/>
          <w:sz w:val="24"/>
          <w:szCs w:val="24"/>
          <w:lang w:val="en-ZA"/>
        </w:rPr>
        <w:t>formal instructions to act on its behalf</w:t>
      </w:r>
      <w:r w:rsidR="002518F8" w:rsidRPr="00304EC1">
        <w:rPr>
          <w:rFonts w:ascii="Arial" w:hAnsi="Arial" w:cs="Arial"/>
          <w:color w:val="000000" w:themeColor="text1"/>
          <w:sz w:val="24"/>
          <w:szCs w:val="24"/>
          <w:lang w:val="en-ZA"/>
        </w:rPr>
        <w:t xml:space="preserve"> ignoring the fact</w:t>
      </w:r>
      <w:r w:rsidR="00284BFE" w:rsidRPr="00304EC1">
        <w:rPr>
          <w:rFonts w:ascii="Arial" w:hAnsi="Arial" w:cs="Arial"/>
          <w:color w:val="000000" w:themeColor="text1"/>
          <w:sz w:val="24"/>
          <w:szCs w:val="24"/>
          <w:lang w:val="en-ZA"/>
        </w:rPr>
        <w:t xml:space="preserve"> that the first respondent was acting</w:t>
      </w:r>
      <w:r w:rsidR="002518F8" w:rsidRPr="00304EC1">
        <w:rPr>
          <w:rFonts w:ascii="Arial" w:hAnsi="Arial" w:cs="Arial"/>
          <w:color w:val="000000" w:themeColor="text1"/>
          <w:sz w:val="24"/>
          <w:szCs w:val="24"/>
          <w:lang w:val="en-ZA"/>
        </w:rPr>
        <w:t xml:space="preserve"> on the lawful instructions of the second respondent and had a duty to safeguard her interests. The liability of the second respo</w:t>
      </w:r>
      <w:r w:rsidR="00D63173" w:rsidRPr="00304EC1">
        <w:rPr>
          <w:rFonts w:ascii="Arial" w:hAnsi="Arial" w:cs="Arial"/>
          <w:color w:val="000000" w:themeColor="text1"/>
          <w:sz w:val="24"/>
          <w:szCs w:val="24"/>
          <w:lang w:val="en-ZA"/>
        </w:rPr>
        <w:t>ndent for a punitive cost order</w:t>
      </w:r>
      <w:r w:rsidR="00167E86" w:rsidRPr="00304EC1">
        <w:rPr>
          <w:rFonts w:ascii="Arial" w:hAnsi="Arial" w:cs="Arial"/>
          <w:color w:val="000000" w:themeColor="text1"/>
          <w:sz w:val="24"/>
          <w:szCs w:val="24"/>
          <w:lang w:val="en-ZA"/>
        </w:rPr>
        <w:t xml:space="preserve"> </w:t>
      </w:r>
      <w:r w:rsidR="002518F8" w:rsidRPr="00304EC1">
        <w:rPr>
          <w:rFonts w:ascii="Arial" w:hAnsi="Arial" w:cs="Arial"/>
          <w:color w:val="000000" w:themeColor="text1"/>
          <w:sz w:val="24"/>
          <w:szCs w:val="24"/>
          <w:lang w:val="en-ZA"/>
        </w:rPr>
        <w:t>is logically dependent on the actions</w:t>
      </w:r>
      <w:r w:rsidR="00402D03" w:rsidRPr="00304EC1">
        <w:rPr>
          <w:rFonts w:ascii="Arial" w:hAnsi="Arial" w:cs="Arial"/>
          <w:color w:val="000000" w:themeColor="text1"/>
          <w:sz w:val="24"/>
          <w:szCs w:val="24"/>
          <w:lang w:val="en-ZA"/>
        </w:rPr>
        <w:t xml:space="preserve"> or inactions</w:t>
      </w:r>
      <w:r w:rsidR="002518F8" w:rsidRPr="00304EC1">
        <w:rPr>
          <w:rFonts w:ascii="Arial" w:hAnsi="Arial" w:cs="Arial"/>
          <w:color w:val="000000" w:themeColor="text1"/>
          <w:sz w:val="24"/>
          <w:szCs w:val="24"/>
          <w:lang w:val="en-ZA"/>
        </w:rPr>
        <w:t xml:space="preserve"> of the first respondent. Therefore, I am not persuaded that the applicant made out a case for the relief he sought against both the first and second respondents.</w:t>
      </w:r>
    </w:p>
    <w:p w:rsidR="00D63173" w:rsidRPr="00304EC1" w:rsidRDefault="00D63173" w:rsidP="002518F8">
      <w:pPr>
        <w:spacing w:line="360" w:lineRule="auto"/>
        <w:jc w:val="both"/>
        <w:rPr>
          <w:rFonts w:ascii="Arial" w:hAnsi="Arial" w:cs="Arial"/>
          <w:color w:val="000000" w:themeColor="text1"/>
          <w:sz w:val="24"/>
          <w:szCs w:val="24"/>
          <w:lang w:val="en-ZA"/>
        </w:rPr>
      </w:pPr>
    </w:p>
    <w:p w:rsidR="00C10D48" w:rsidRPr="00304EC1" w:rsidRDefault="001661A4" w:rsidP="00C10D48">
      <w:pPr>
        <w:spacing w:line="360" w:lineRule="auto"/>
        <w:jc w:val="both"/>
        <w:rPr>
          <w:rFonts w:ascii="Arial" w:hAnsi="Arial" w:cs="Arial"/>
          <w:b/>
          <w:color w:val="000000" w:themeColor="text1"/>
          <w:sz w:val="24"/>
          <w:szCs w:val="24"/>
          <w:lang w:val="en-ZA"/>
        </w:rPr>
      </w:pPr>
      <w:r w:rsidRPr="00304EC1">
        <w:rPr>
          <w:rFonts w:ascii="Arial" w:hAnsi="Arial" w:cs="Arial"/>
          <w:color w:val="000000" w:themeColor="text1"/>
          <w:sz w:val="24"/>
          <w:szCs w:val="24"/>
          <w:lang w:val="en-ZA"/>
        </w:rPr>
        <w:t xml:space="preserve"> </w:t>
      </w:r>
      <w:r w:rsidR="00C10D48" w:rsidRPr="00304EC1">
        <w:rPr>
          <w:rFonts w:ascii="Arial" w:hAnsi="Arial" w:cs="Arial"/>
          <w:b/>
          <w:color w:val="000000" w:themeColor="text1"/>
          <w:sz w:val="24"/>
          <w:szCs w:val="24"/>
          <w:lang w:val="en-ZA"/>
        </w:rPr>
        <w:t>COSTS.</w:t>
      </w:r>
    </w:p>
    <w:p w:rsidR="00C10D48" w:rsidRPr="00304EC1" w:rsidRDefault="009F4922" w:rsidP="00C10D48">
      <w:pPr>
        <w:spacing w:line="360" w:lineRule="auto"/>
        <w:jc w:val="both"/>
        <w:rPr>
          <w:rFonts w:ascii="Arial" w:hAnsi="Arial" w:cs="Arial"/>
          <w:color w:val="000000" w:themeColor="text1"/>
          <w:sz w:val="24"/>
          <w:szCs w:val="24"/>
          <w:lang w:val="en-ZA"/>
        </w:rPr>
      </w:pPr>
      <w:r w:rsidRPr="00304EC1">
        <w:rPr>
          <w:rFonts w:ascii="Arial" w:hAnsi="Arial" w:cs="Arial"/>
          <w:color w:val="000000" w:themeColor="text1"/>
          <w:sz w:val="24"/>
          <w:szCs w:val="24"/>
          <w:lang w:val="en-ZA"/>
        </w:rPr>
        <w:t>[4</w:t>
      </w:r>
      <w:r w:rsidR="0032011B">
        <w:rPr>
          <w:rFonts w:ascii="Arial" w:hAnsi="Arial" w:cs="Arial"/>
          <w:color w:val="000000" w:themeColor="text1"/>
          <w:sz w:val="24"/>
          <w:szCs w:val="24"/>
          <w:lang w:val="en-ZA"/>
        </w:rPr>
        <w:t>9</w:t>
      </w:r>
      <w:r w:rsidR="00C10D48" w:rsidRPr="00304EC1">
        <w:rPr>
          <w:rFonts w:ascii="Arial" w:hAnsi="Arial" w:cs="Arial"/>
          <w:color w:val="000000" w:themeColor="text1"/>
          <w:sz w:val="24"/>
          <w:szCs w:val="24"/>
          <w:lang w:val="en-ZA"/>
        </w:rPr>
        <w:t>] The first respondent’s counsel submitted that a punitive cost order should be granted against the applicant on an attorney and client scale alternatively costs be awarded against the applicant’s attorney of record on an attorney and client scale, jointly and severally the one paying the other to be absolved. The reason advanced for this application is that the applicant acted on the advice of its attorney. The second respondent’s counsel submitted a punitive costs order is appropriate in the circumstances of this matter.</w:t>
      </w:r>
    </w:p>
    <w:p w:rsidR="00CD4A8B" w:rsidRPr="00304EC1" w:rsidRDefault="009F4922" w:rsidP="00C10D48">
      <w:pPr>
        <w:spacing w:line="360" w:lineRule="auto"/>
        <w:jc w:val="both"/>
        <w:rPr>
          <w:rFonts w:ascii="Arial" w:hAnsi="Arial" w:cs="Arial"/>
          <w:color w:val="000000" w:themeColor="text1"/>
          <w:sz w:val="24"/>
          <w:szCs w:val="24"/>
          <w:lang w:val="en-ZA"/>
        </w:rPr>
      </w:pPr>
      <w:r w:rsidRPr="00304EC1">
        <w:rPr>
          <w:rFonts w:ascii="Arial" w:hAnsi="Arial" w:cs="Arial"/>
          <w:color w:val="000000" w:themeColor="text1"/>
          <w:sz w:val="24"/>
          <w:szCs w:val="24"/>
          <w:lang w:val="en-ZA"/>
        </w:rPr>
        <w:t>[</w:t>
      </w:r>
      <w:r w:rsidR="0032011B">
        <w:rPr>
          <w:rFonts w:ascii="Arial" w:hAnsi="Arial" w:cs="Arial"/>
          <w:color w:val="000000" w:themeColor="text1"/>
          <w:sz w:val="24"/>
          <w:szCs w:val="24"/>
          <w:lang w:val="en-ZA"/>
        </w:rPr>
        <w:t>50</w:t>
      </w:r>
      <w:r w:rsidR="00C10D48" w:rsidRPr="00304EC1">
        <w:rPr>
          <w:rFonts w:ascii="Arial" w:hAnsi="Arial" w:cs="Arial"/>
          <w:color w:val="000000" w:themeColor="text1"/>
          <w:sz w:val="24"/>
          <w:szCs w:val="24"/>
          <w:lang w:val="en-ZA"/>
        </w:rPr>
        <w:t xml:space="preserve">] It is trite law that costs must follow the results. </w:t>
      </w:r>
      <w:r w:rsidR="00125D3F" w:rsidRPr="00304EC1">
        <w:rPr>
          <w:rFonts w:ascii="Arial" w:hAnsi="Arial" w:cs="Arial"/>
          <w:color w:val="000000" w:themeColor="text1"/>
          <w:sz w:val="24"/>
          <w:szCs w:val="24"/>
          <w:lang w:val="en-ZA"/>
        </w:rPr>
        <w:t xml:space="preserve"> Firstly, the first respondent in its answering affidavit is silent on the issue of costs against the applicant’s attorneys. The issue was first raised in the heads of arguments by the first respondent’s counsel. </w:t>
      </w:r>
      <w:r w:rsidR="00167E86" w:rsidRPr="00304EC1">
        <w:rPr>
          <w:rFonts w:ascii="Arial" w:hAnsi="Arial" w:cs="Arial"/>
          <w:color w:val="000000" w:themeColor="text1"/>
          <w:sz w:val="24"/>
          <w:szCs w:val="24"/>
          <w:lang w:val="en-ZA"/>
        </w:rPr>
        <w:t xml:space="preserve"> </w:t>
      </w:r>
      <w:r w:rsidR="00125D3F" w:rsidRPr="00304EC1">
        <w:rPr>
          <w:rFonts w:ascii="Arial" w:hAnsi="Arial" w:cs="Arial"/>
          <w:color w:val="000000" w:themeColor="text1"/>
          <w:sz w:val="24"/>
          <w:szCs w:val="24"/>
          <w:lang w:val="en-ZA"/>
        </w:rPr>
        <w:t>I</w:t>
      </w:r>
      <w:r w:rsidR="00167E86" w:rsidRPr="00304EC1">
        <w:rPr>
          <w:rFonts w:ascii="Arial" w:hAnsi="Arial" w:cs="Arial"/>
          <w:color w:val="000000" w:themeColor="text1"/>
          <w:sz w:val="24"/>
          <w:szCs w:val="24"/>
          <w:lang w:val="en-ZA"/>
        </w:rPr>
        <w:t>, consequently,</w:t>
      </w:r>
      <w:r w:rsidR="00125D3F" w:rsidRPr="00304EC1">
        <w:rPr>
          <w:rFonts w:ascii="Arial" w:hAnsi="Arial" w:cs="Arial"/>
          <w:color w:val="000000" w:themeColor="text1"/>
          <w:sz w:val="24"/>
          <w:szCs w:val="24"/>
          <w:lang w:val="en-ZA"/>
        </w:rPr>
        <w:t xml:space="preserve"> find that this amounts to a trial by ambush which should not be allowed. </w:t>
      </w:r>
    </w:p>
    <w:p w:rsidR="00CD4A8B" w:rsidRPr="00304EC1" w:rsidRDefault="009F4922" w:rsidP="00C10D48">
      <w:pPr>
        <w:spacing w:line="360" w:lineRule="auto"/>
        <w:jc w:val="both"/>
        <w:rPr>
          <w:rFonts w:ascii="Arial" w:hAnsi="Arial" w:cs="Arial"/>
          <w:color w:val="000000" w:themeColor="text1"/>
          <w:sz w:val="24"/>
          <w:szCs w:val="24"/>
          <w:lang w:val="en-ZA"/>
        </w:rPr>
      </w:pPr>
      <w:r w:rsidRPr="00304EC1">
        <w:rPr>
          <w:rFonts w:ascii="Arial" w:hAnsi="Arial" w:cs="Arial"/>
          <w:color w:val="000000" w:themeColor="text1"/>
          <w:sz w:val="24"/>
          <w:szCs w:val="24"/>
          <w:lang w:val="en-ZA"/>
        </w:rPr>
        <w:t>[</w:t>
      </w:r>
      <w:r w:rsidR="003D6B26">
        <w:rPr>
          <w:rFonts w:ascii="Arial" w:hAnsi="Arial" w:cs="Arial"/>
          <w:color w:val="000000" w:themeColor="text1"/>
          <w:sz w:val="24"/>
          <w:szCs w:val="24"/>
          <w:lang w:val="en-ZA"/>
        </w:rPr>
        <w:t>51</w:t>
      </w:r>
      <w:r w:rsidR="00CD4A8B" w:rsidRPr="00304EC1">
        <w:rPr>
          <w:rFonts w:ascii="Arial" w:hAnsi="Arial" w:cs="Arial"/>
          <w:color w:val="000000" w:themeColor="text1"/>
          <w:sz w:val="24"/>
          <w:szCs w:val="24"/>
          <w:lang w:val="en-ZA"/>
        </w:rPr>
        <w:t>] I</w:t>
      </w:r>
      <w:r w:rsidR="00C10D48" w:rsidRPr="00304EC1">
        <w:rPr>
          <w:rFonts w:ascii="Arial" w:hAnsi="Arial" w:cs="Arial"/>
          <w:color w:val="000000" w:themeColor="text1"/>
          <w:sz w:val="24"/>
          <w:szCs w:val="24"/>
          <w:lang w:val="en-ZA"/>
        </w:rPr>
        <w:t xml:space="preserve">t may be correct that the applicant acted on </w:t>
      </w:r>
      <w:r w:rsidR="00125D3F" w:rsidRPr="00304EC1">
        <w:rPr>
          <w:rFonts w:ascii="Arial" w:hAnsi="Arial" w:cs="Arial"/>
          <w:color w:val="000000" w:themeColor="text1"/>
          <w:sz w:val="24"/>
          <w:szCs w:val="24"/>
          <w:lang w:val="en-ZA"/>
        </w:rPr>
        <w:t>instructions of its a</w:t>
      </w:r>
      <w:r w:rsidR="00CD4A8B" w:rsidRPr="00304EC1">
        <w:rPr>
          <w:rFonts w:ascii="Arial" w:hAnsi="Arial" w:cs="Arial"/>
          <w:color w:val="000000" w:themeColor="text1"/>
          <w:sz w:val="24"/>
          <w:szCs w:val="24"/>
          <w:lang w:val="en-ZA"/>
        </w:rPr>
        <w:t>ttorney</w:t>
      </w:r>
      <w:r w:rsidR="00167E86" w:rsidRPr="00304EC1">
        <w:rPr>
          <w:rFonts w:ascii="Arial" w:hAnsi="Arial" w:cs="Arial"/>
          <w:color w:val="000000" w:themeColor="text1"/>
          <w:sz w:val="24"/>
          <w:szCs w:val="24"/>
          <w:lang w:val="en-ZA"/>
        </w:rPr>
        <w:t>, however,</w:t>
      </w:r>
      <w:r w:rsidR="00CD4A8B" w:rsidRPr="00304EC1">
        <w:rPr>
          <w:rFonts w:ascii="Arial" w:hAnsi="Arial" w:cs="Arial"/>
          <w:color w:val="000000" w:themeColor="text1"/>
          <w:sz w:val="24"/>
          <w:szCs w:val="24"/>
          <w:lang w:val="en-ZA"/>
        </w:rPr>
        <w:t xml:space="preserve"> I am alive to </w:t>
      </w:r>
      <w:r w:rsidR="00167E86" w:rsidRPr="00304EC1">
        <w:rPr>
          <w:rFonts w:ascii="Arial" w:hAnsi="Arial" w:cs="Arial"/>
          <w:color w:val="000000" w:themeColor="text1"/>
          <w:sz w:val="24"/>
          <w:szCs w:val="24"/>
          <w:lang w:val="en-ZA"/>
        </w:rPr>
        <w:t>the possibility</w:t>
      </w:r>
      <w:r w:rsidR="00CD4A8B" w:rsidRPr="00304EC1">
        <w:rPr>
          <w:rFonts w:ascii="Arial" w:hAnsi="Arial" w:cs="Arial"/>
          <w:color w:val="000000" w:themeColor="text1"/>
          <w:sz w:val="24"/>
          <w:szCs w:val="24"/>
          <w:lang w:val="en-ZA"/>
        </w:rPr>
        <w:t xml:space="preserve"> that</w:t>
      </w:r>
      <w:r w:rsidR="00C10D48" w:rsidRPr="00304EC1">
        <w:rPr>
          <w:rFonts w:ascii="Arial" w:hAnsi="Arial" w:cs="Arial"/>
          <w:color w:val="000000" w:themeColor="text1"/>
          <w:sz w:val="24"/>
          <w:szCs w:val="24"/>
          <w:lang w:val="en-ZA"/>
        </w:rPr>
        <w:t xml:space="preserve"> the applicant might have pressured its attorney of record to recover the vehicle promptly. </w:t>
      </w:r>
      <w:r w:rsidR="00FA3F45" w:rsidRPr="00304EC1">
        <w:rPr>
          <w:rFonts w:ascii="Arial" w:hAnsi="Arial" w:cs="Arial"/>
          <w:color w:val="000000" w:themeColor="text1"/>
          <w:sz w:val="24"/>
          <w:szCs w:val="24"/>
          <w:lang w:val="en-ZA"/>
        </w:rPr>
        <w:t xml:space="preserve"> </w:t>
      </w:r>
      <w:r w:rsidR="00C10D48" w:rsidRPr="00304EC1">
        <w:rPr>
          <w:rFonts w:ascii="Arial" w:hAnsi="Arial" w:cs="Arial"/>
          <w:color w:val="000000" w:themeColor="text1"/>
          <w:sz w:val="24"/>
          <w:szCs w:val="24"/>
          <w:lang w:val="en-ZA"/>
        </w:rPr>
        <w:t xml:space="preserve">Therefore, I am not persuaded by the submission </w:t>
      </w:r>
      <w:r w:rsidR="00CD4A8B" w:rsidRPr="00304EC1">
        <w:rPr>
          <w:rFonts w:ascii="Arial" w:hAnsi="Arial" w:cs="Arial"/>
          <w:color w:val="000000" w:themeColor="text1"/>
          <w:sz w:val="24"/>
          <w:szCs w:val="24"/>
          <w:lang w:val="en-ZA"/>
        </w:rPr>
        <w:t xml:space="preserve">made </w:t>
      </w:r>
      <w:r w:rsidR="00C10D48" w:rsidRPr="00304EC1">
        <w:rPr>
          <w:rFonts w:ascii="Arial" w:hAnsi="Arial" w:cs="Arial"/>
          <w:color w:val="000000" w:themeColor="text1"/>
          <w:sz w:val="24"/>
          <w:szCs w:val="24"/>
          <w:lang w:val="en-ZA"/>
        </w:rPr>
        <w:t xml:space="preserve">by the first respondent’s counsel and the same is rejected. </w:t>
      </w:r>
    </w:p>
    <w:p w:rsidR="00C10D48" w:rsidRPr="00304EC1" w:rsidRDefault="009F4922" w:rsidP="00C10D48">
      <w:pPr>
        <w:spacing w:line="360" w:lineRule="auto"/>
        <w:jc w:val="both"/>
        <w:rPr>
          <w:rFonts w:ascii="Arial" w:hAnsi="Arial" w:cs="Arial"/>
          <w:color w:val="000000" w:themeColor="text1"/>
          <w:sz w:val="24"/>
          <w:szCs w:val="24"/>
          <w:lang w:val="en-ZA"/>
        </w:rPr>
      </w:pPr>
      <w:r w:rsidRPr="00304EC1">
        <w:rPr>
          <w:rFonts w:ascii="Arial" w:hAnsi="Arial" w:cs="Arial"/>
          <w:color w:val="000000" w:themeColor="text1"/>
          <w:sz w:val="24"/>
          <w:szCs w:val="24"/>
          <w:lang w:val="en-ZA"/>
        </w:rPr>
        <w:lastRenderedPageBreak/>
        <w:t>[5</w:t>
      </w:r>
      <w:r w:rsidR="003D6B26">
        <w:rPr>
          <w:rFonts w:ascii="Arial" w:hAnsi="Arial" w:cs="Arial"/>
          <w:color w:val="000000" w:themeColor="text1"/>
          <w:sz w:val="24"/>
          <w:szCs w:val="24"/>
          <w:lang w:val="en-ZA"/>
        </w:rPr>
        <w:t>2</w:t>
      </w:r>
      <w:r w:rsidR="00CD4A8B" w:rsidRPr="00304EC1">
        <w:rPr>
          <w:rFonts w:ascii="Arial" w:hAnsi="Arial" w:cs="Arial"/>
          <w:color w:val="000000" w:themeColor="text1"/>
          <w:sz w:val="24"/>
          <w:szCs w:val="24"/>
          <w:lang w:val="en-ZA"/>
        </w:rPr>
        <w:t xml:space="preserve">] </w:t>
      </w:r>
      <w:r w:rsidR="00C10D48" w:rsidRPr="00304EC1">
        <w:rPr>
          <w:rFonts w:ascii="Arial" w:hAnsi="Arial" w:cs="Arial"/>
          <w:color w:val="000000" w:themeColor="text1"/>
          <w:sz w:val="24"/>
          <w:szCs w:val="24"/>
          <w:lang w:val="en-ZA"/>
        </w:rPr>
        <w:t>The applicant placed the first and second respondents out of pocket</w:t>
      </w:r>
      <w:r w:rsidR="00167E86" w:rsidRPr="00304EC1">
        <w:rPr>
          <w:rFonts w:ascii="Arial" w:hAnsi="Arial" w:cs="Arial"/>
          <w:color w:val="000000" w:themeColor="text1"/>
          <w:sz w:val="24"/>
          <w:szCs w:val="24"/>
          <w:lang w:val="en-ZA"/>
        </w:rPr>
        <w:t xml:space="preserve"> and caused them a great deal of inconvenience</w:t>
      </w:r>
      <w:r w:rsidR="00C10D48" w:rsidRPr="00304EC1">
        <w:rPr>
          <w:rFonts w:ascii="Arial" w:hAnsi="Arial" w:cs="Arial"/>
          <w:color w:val="000000" w:themeColor="text1"/>
          <w:sz w:val="24"/>
          <w:szCs w:val="24"/>
          <w:lang w:val="en-ZA"/>
        </w:rPr>
        <w:t xml:space="preserve"> by simply failing to depose an affidavit proving ownership.  </w:t>
      </w:r>
      <w:r w:rsidR="00167E86" w:rsidRPr="00304EC1">
        <w:rPr>
          <w:rFonts w:ascii="Arial" w:hAnsi="Arial" w:cs="Arial"/>
          <w:color w:val="000000" w:themeColor="text1"/>
          <w:sz w:val="24"/>
          <w:szCs w:val="24"/>
          <w:lang w:val="en-ZA"/>
        </w:rPr>
        <w:t xml:space="preserve">Therefore, </w:t>
      </w:r>
      <w:r w:rsidR="0008548F" w:rsidRPr="00304EC1">
        <w:rPr>
          <w:rFonts w:ascii="Arial" w:hAnsi="Arial" w:cs="Arial"/>
          <w:color w:val="000000" w:themeColor="text1"/>
          <w:sz w:val="24"/>
          <w:szCs w:val="24"/>
          <w:lang w:val="en-ZA"/>
        </w:rPr>
        <w:t xml:space="preserve">I am of the </w:t>
      </w:r>
      <w:r w:rsidR="00C10D48" w:rsidRPr="00304EC1">
        <w:rPr>
          <w:rFonts w:ascii="Arial" w:hAnsi="Arial" w:cs="Arial"/>
          <w:color w:val="000000" w:themeColor="text1"/>
          <w:sz w:val="24"/>
          <w:szCs w:val="24"/>
          <w:lang w:val="en-ZA"/>
        </w:rPr>
        <w:t>view</w:t>
      </w:r>
      <w:r w:rsidR="0008548F" w:rsidRPr="00304EC1">
        <w:rPr>
          <w:rFonts w:ascii="Arial" w:hAnsi="Arial" w:cs="Arial"/>
          <w:color w:val="000000" w:themeColor="text1"/>
          <w:sz w:val="24"/>
          <w:szCs w:val="24"/>
          <w:lang w:val="en-ZA"/>
        </w:rPr>
        <w:t xml:space="preserve"> that</w:t>
      </w:r>
      <w:r w:rsidR="00C10D48" w:rsidRPr="00304EC1">
        <w:rPr>
          <w:rFonts w:ascii="Arial" w:hAnsi="Arial" w:cs="Arial"/>
          <w:color w:val="000000" w:themeColor="text1"/>
          <w:sz w:val="24"/>
          <w:szCs w:val="24"/>
          <w:lang w:val="en-ZA"/>
        </w:rPr>
        <w:t xml:space="preserve"> a punitive cost order is appropriate.</w:t>
      </w:r>
    </w:p>
    <w:p w:rsidR="00C10D48" w:rsidRPr="00304EC1" w:rsidRDefault="0008548F" w:rsidP="00C10D48">
      <w:pPr>
        <w:spacing w:line="360" w:lineRule="auto"/>
        <w:jc w:val="both"/>
        <w:rPr>
          <w:rFonts w:ascii="Arial" w:hAnsi="Arial" w:cs="Arial"/>
          <w:color w:val="000000" w:themeColor="text1"/>
          <w:sz w:val="24"/>
          <w:szCs w:val="24"/>
          <w:lang w:val="en-ZA"/>
        </w:rPr>
      </w:pPr>
      <w:r w:rsidRPr="00304EC1">
        <w:rPr>
          <w:rFonts w:ascii="Arial" w:hAnsi="Arial" w:cs="Arial"/>
          <w:color w:val="000000" w:themeColor="text1"/>
          <w:sz w:val="24"/>
          <w:szCs w:val="24"/>
          <w:lang w:val="en-ZA"/>
        </w:rPr>
        <w:t>[5</w:t>
      </w:r>
      <w:r w:rsidR="009F4922" w:rsidRPr="00304EC1">
        <w:rPr>
          <w:rFonts w:ascii="Arial" w:hAnsi="Arial" w:cs="Arial"/>
          <w:color w:val="000000" w:themeColor="text1"/>
          <w:sz w:val="24"/>
          <w:szCs w:val="24"/>
          <w:lang w:val="en-ZA"/>
        </w:rPr>
        <w:t>1</w:t>
      </w:r>
      <w:r w:rsidR="00C10D48" w:rsidRPr="00304EC1">
        <w:rPr>
          <w:rFonts w:ascii="Arial" w:hAnsi="Arial" w:cs="Arial"/>
          <w:color w:val="000000" w:themeColor="text1"/>
          <w:sz w:val="24"/>
          <w:szCs w:val="24"/>
          <w:lang w:val="en-ZA"/>
        </w:rPr>
        <w:t>] Therefore, the applicant’s application is dismissed with costs on an attorney and client scale.</w:t>
      </w:r>
    </w:p>
    <w:p w:rsidR="00C10D48" w:rsidRPr="00304EC1" w:rsidRDefault="00C10D48" w:rsidP="00C10D48">
      <w:pPr>
        <w:spacing w:line="360" w:lineRule="auto"/>
        <w:jc w:val="both"/>
        <w:rPr>
          <w:rFonts w:ascii="Arial" w:hAnsi="Arial" w:cs="Arial"/>
          <w:b/>
          <w:color w:val="000000" w:themeColor="text1"/>
          <w:sz w:val="24"/>
          <w:szCs w:val="24"/>
          <w:lang w:val="en-ZA"/>
        </w:rPr>
      </w:pPr>
      <w:r w:rsidRPr="00304EC1">
        <w:rPr>
          <w:rFonts w:ascii="Arial" w:hAnsi="Arial" w:cs="Arial"/>
          <w:b/>
          <w:color w:val="000000" w:themeColor="text1"/>
          <w:sz w:val="24"/>
          <w:szCs w:val="24"/>
          <w:lang w:val="en-ZA"/>
        </w:rPr>
        <w:t>ORDER</w:t>
      </w:r>
    </w:p>
    <w:p w:rsidR="00C10D48" w:rsidRPr="00304EC1" w:rsidRDefault="00C10D48" w:rsidP="00C10D48">
      <w:pPr>
        <w:pStyle w:val="ListParagraph"/>
        <w:numPr>
          <w:ilvl w:val="0"/>
          <w:numId w:val="2"/>
        </w:numPr>
        <w:spacing w:line="360" w:lineRule="auto"/>
        <w:jc w:val="both"/>
        <w:rPr>
          <w:rFonts w:ascii="Arial" w:hAnsi="Arial" w:cs="Arial"/>
          <w:color w:val="000000" w:themeColor="text1"/>
          <w:sz w:val="24"/>
          <w:szCs w:val="24"/>
          <w:lang w:val="en-ZA"/>
        </w:rPr>
      </w:pPr>
      <w:r w:rsidRPr="00304EC1">
        <w:rPr>
          <w:rFonts w:ascii="Arial" w:hAnsi="Arial" w:cs="Arial"/>
          <w:color w:val="000000" w:themeColor="text1"/>
          <w:sz w:val="24"/>
          <w:szCs w:val="24"/>
          <w:lang w:val="en-ZA"/>
        </w:rPr>
        <w:t>The application is dismissed.</w:t>
      </w:r>
    </w:p>
    <w:p w:rsidR="007F79A1" w:rsidRPr="00304EC1" w:rsidRDefault="00C10D48" w:rsidP="00EE2283">
      <w:pPr>
        <w:pStyle w:val="ListParagraph"/>
        <w:numPr>
          <w:ilvl w:val="0"/>
          <w:numId w:val="2"/>
        </w:numPr>
        <w:spacing w:line="360" w:lineRule="auto"/>
        <w:jc w:val="both"/>
        <w:rPr>
          <w:rFonts w:ascii="Arial" w:hAnsi="Arial" w:cs="Arial"/>
          <w:color w:val="000000" w:themeColor="text1"/>
          <w:sz w:val="28"/>
          <w:szCs w:val="28"/>
          <w:lang w:val="en-ZA"/>
        </w:rPr>
      </w:pPr>
      <w:r w:rsidRPr="00304EC1">
        <w:rPr>
          <w:rFonts w:ascii="Arial" w:hAnsi="Arial" w:cs="Arial"/>
          <w:color w:val="000000" w:themeColor="text1"/>
          <w:sz w:val="24"/>
          <w:szCs w:val="24"/>
          <w:lang w:val="en-ZA"/>
        </w:rPr>
        <w:t>The applicant is ordered to pay the costs of this application on an attorney and client scale.</w:t>
      </w:r>
    </w:p>
    <w:p w:rsidR="00304EC1" w:rsidRDefault="00401EEE" w:rsidP="00304EC1">
      <w:pPr>
        <w:spacing w:line="360" w:lineRule="auto"/>
        <w:jc w:val="both"/>
        <w:rPr>
          <w:rFonts w:ascii="Arial" w:hAnsi="Arial" w:cs="Arial"/>
          <w:color w:val="242121"/>
          <w:sz w:val="24"/>
          <w:szCs w:val="24"/>
          <w:shd w:val="clear" w:color="auto" w:fill="FFFFFF"/>
        </w:rPr>
      </w:pPr>
      <w:r>
        <w:rPr>
          <w:rFonts w:ascii="Arial" w:hAnsi="Arial" w:cs="Arial"/>
          <w:color w:val="000000" w:themeColor="text1"/>
          <w:sz w:val="28"/>
          <w:szCs w:val="28"/>
          <w:lang w:val="en-ZA"/>
        </w:rPr>
        <w:t xml:space="preserve"> </w:t>
      </w:r>
    </w:p>
    <w:p w:rsidR="00304EC1" w:rsidRPr="0042321E" w:rsidRDefault="00304EC1" w:rsidP="00304EC1">
      <w:pPr>
        <w:spacing w:after="0"/>
        <w:ind w:firstLine="720"/>
        <w:jc w:val="right"/>
        <w:rPr>
          <w:rFonts w:ascii="Segoe UI" w:hAnsi="Segoe UI" w:cs="Segoe UI"/>
          <w:sz w:val="24"/>
          <w:szCs w:val="24"/>
        </w:rPr>
      </w:pPr>
      <w:r>
        <w:rPr>
          <w:rFonts w:ascii="Segoe UI" w:hAnsi="Segoe UI" w:cs="Segoe UI"/>
          <w:color w:val="000000"/>
          <w:sz w:val="24"/>
          <w:szCs w:val="24"/>
        </w:rPr>
        <w:t>________</w:t>
      </w:r>
      <w:r w:rsidRPr="0042321E">
        <w:rPr>
          <w:rFonts w:ascii="Segoe UI" w:hAnsi="Segoe UI" w:cs="Segoe UI"/>
          <w:color w:val="000000"/>
          <w:sz w:val="24"/>
          <w:szCs w:val="24"/>
        </w:rPr>
        <w:t>_</w:t>
      </w:r>
      <w:r w:rsidRPr="0042321E">
        <w:rPr>
          <w:rFonts w:ascii="Segoe UI" w:hAnsi="Segoe UI" w:cs="Segoe UI"/>
          <w:sz w:val="24"/>
          <w:szCs w:val="24"/>
        </w:rPr>
        <w:t>_______________________</w:t>
      </w:r>
    </w:p>
    <w:p w:rsidR="00304EC1" w:rsidRPr="0042321E" w:rsidRDefault="00304EC1" w:rsidP="00304EC1">
      <w:pPr>
        <w:spacing w:after="0" w:line="240" w:lineRule="auto"/>
        <w:jc w:val="right"/>
        <w:rPr>
          <w:rFonts w:ascii="Segoe UI" w:hAnsi="Segoe UI" w:cs="Segoe UI"/>
          <w:b/>
          <w:sz w:val="24"/>
          <w:szCs w:val="24"/>
        </w:rPr>
      </w:pPr>
      <w:r w:rsidRPr="0042321E">
        <w:rPr>
          <w:rFonts w:ascii="Segoe UI" w:hAnsi="Segoe UI" w:cs="Segoe UI"/>
          <w:sz w:val="24"/>
          <w:szCs w:val="24"/>
        </w:rPr>
        <w:tab/>
      </w:r>
      <w:r w:rsidRPr="0042321E">
        <w:rPr>
          <w:rFonts w:ascii="Segoe UI" w:hAnsi="Segoe UI" w:cs="Segoe UI"/>
          <w:sz w:val="24"/>
          <w:szCs w:val="24"/>
        </w:rPr>
        <w:tab/>
      </w:r>
      <w:r w:rsidRPr="0042321E">
        <w:rPr>
          <w:rFonts w:ascii="Segoe UI" w:hAnsi="Segoe UI" w:cs="Segoe UI"/>
          <w:sz w:val="24"/>
          <w:szCs w:val="24"/>
        </w:rPr>
        <w:tab/>
      </w:r>
      <w:r w:rsidRPr="0042321E">
        <w:rPr>
          <w:rFonts w:ascii="Segoe UI" w:hAnsi="Segoe UI" w:cs="Segoe UI"/>
          <w:sz w:val="24"/>
          <w:szCs w:val="24"/>
        </w:rPr>
        <w:tab/>
      </w:r>
      <w:r w:rsidRPr="0042321E">
        <w:rPr>
          <w:rFonts w:ascii="Segoe UI" w:hAnsi="Segoe UI" w:cs="Segoe UI"/>
          <w:sz w:val="24"/>
          <w:szCs w:val="24"/>
        </w:rPr>
        <w:tab/>
        <w:t xml:space="preserve"> </w:t>
      </w:r>
      <w:r w:rsidRPr="0042321E">
        <w:rPr>
          <w:rFonts w:ascii="Segoe UI" w:hAnsi="Segoe UI" w:cs="Segoe UI"/>
          <w:sz w:val="24"/>
          <w:szCs w:val="24"/>
        </w:rPr>
        <w:tab/>
        <w:t xml:space="preserve">            </w:t>
      </w:r>
      <w:r w:rsidR="00FF5CDA">
        <w:rPr>
          <w:rFonts w:ascii="Segoe UI" w:hAnsi="Segoe UI" w:cs="Segoe UI"/>
          <w:b/>
          <w:sz w:val="24"/>
          <w:szCs w:val="24"/>
        </w:rPr>
        <w:t>JM</w:t>
      </w:r>
      <w:r w:rsidRPr="0042321E">
        <w:rPr>
          <w:rFonts w:ascii="Segoe UI" w:hAnsi="Segoe UI" w:cs="Segoe UI"/>
          <w:sz w:val="24"/>
          <w:szCs w:val="24"/>
        </w:rPr>
        <w:t xml:space="preserve"> </w:t>
      </w:r>
      <w:r>
        <w:rPr>
          <w:rFonts w:ascii="Segoe UI" w:hAnsi="Segoe UI" w:cs="Segoe UI"/>
          <w:b/>
          <w:sz w:val="24"/>
          <w:szCs w:val="24"/>
        </w:rPr>
        <w:t>MOGOTSI</w:t>
      </w:r>
    </w:p>
    <w:p w:rsidR="00304EC1" w:rsidRPr="0042321E" w:rsidRDefault="00304EC1" w:rsidP="00304EC1">
      <w:pPr>
        <w:spacing w:after="0" w:line="240" w:lineRule="auto"/>
        <w:jc w:val="right"/>
        <w:rPr>
          <w:rFonts w:ascii="Segoe UI" w:hAnsi="Segoe UI" w:cs="Segoe UI"/>
          <w:b/>
          <w:sz w:val="24"/>
          <w:szCs w:val="24"/>
        </w:rPr>
      </w:pPr>
      <w:r>
        <w:rPr>
          <w:rFonts w:ascii="Segoe UI" w:hAnsi="Segoe UI" w:cs="Segoe UI"/>
          <w:b/>
          <w:sz w:val="24"/>
          <w:szCs w:val="24"/>
        </w:rPr>
        <w:tab/>
      </w:r>
      <w:r>
        <w:rPr>
          <w:rFonts w:ascii="Segoe UI" w:hAnsi="Segoe UI" w:cs="Segoe UI"/>
          <w:b/>
          <w:sz w:val="24"/>
          <w:szCs w:val="24"/>
        </w:rPr>
        <w:tab/>
      </w:r>
      <w:r>
        <w:rPr>
          <w:rFonts w:ascii="Segoe UI" w:hAnsi="Segoe UI" w:cs="Segoe UI"/>
          <w:b/>
          <w:sz w:val="24"/>
          <w:szCs w:val="24"/>
        </w:rPr>
        <w:tab/>
      </w:r>
      <w:r>
        <w:rPr>
          <w:rFonts w:ascii="Segoe UI" w:hAnsi="Segoe UI" w:cs="Segoe UI"/>
          <w:b/>
          <w:sz w:val="24"/>
          <w:szCs w:val="24"/>
        </w:rPr>
        <w:tab/>
      </w:r>
      <w:r>
        <w:rPr>
          <w:rFonts w:ascii="Segoe UI" w:hAnsi="Segoe UI" w:cs="Segoe UI"/>
          <w:b/>
          <w:sz w:val="24"/>
          <w:szCs w:val="24"/>
        </w:rPr>
        <w:tab/>
        <w:t xml:space="preserve"> </w:t>
      </w:r>
      <w:r>
        <w:rPr>
          <w:rFonts w:ascii="Segoe UI" w:hAnsi="Segoe UI" w:cs="Segoe UI"/>
          <w:b/>
          <w:sz w:val="24"/>
          <w:szCs w:val="24"/>
        </w:rPr>
        <w:tab/>
        <w:t xml:space="preserve">         </w:t>
      </w:r>
      <w:r w:rsidRPr="0042321E">
        <w:rPr>
          <w:rFonts w:ascii="Segoe UI" w:hAnsi="Segoe UI" w:cs="Segoe UI"/>
          <w:b/>
          <w:sz w:val="24"/>
          <w:szCs w:val="24"/>
        </w:rPr>
        <w:t xml:space="preserve">  </w:t>
      </w:r>
      <w:r>
        <w:rPr>
          <w:rFonts w:ascii="Segoe UI" w:hAnsi="Segoe UI" w:cs="Segoe UI"/>
          <w:b/>
          <w:sz w:val="24"/>
          <w:szCs w:val="24"/>
        </w:rPr>
        <w:t xml:space="preserve">ACTING </w:t>
      </w:r>
      <w:r w:rsidRPr="0042321E">
        <w:rPr>
          <w:rFonts w:ascii="Segoe UI" w:hAnsi="Segoe UI" w:cs="Segoe UI"/>
          <w:b/>
          <w:sz w:val="24"/>
          <w:szCs w:val="24"/>
        </w:rPr>
        <w:t>JUDGE OF THE HIGH COURT</w:t>
      </w:r>
    </w:p>
    <w:p w:rsidR="00304EC1" w:rsidRDefault="00304EC1" w:rsidP="00304EC1">
      <w:pPr>
        <w:spacing w:line="240" w:lineRule="auto"/>
        <w:jc w:val="right"/>
        <w:rPr>
          <w:rFonts w:ascii="Arial" w:hAnsi="Arial" w:cs="Arial"/>
          <w:color w:val="000000"/>
          <w:sz w:val="24"/>
          <w:szCs w:val="24"/>
          <w:u w:val="single"/>
        </w:rPr>
      </w:pPr>
      <w:r w:rsidRPr="0042321E">
        <w:rPr>
          <w:rFonts w:ascii="Segoe UI" w:hAnsi="Segoe UI" w:cs="Segoe UI"/>
          <w:b/>
          <w:sz w:val="24"/>
          <w:szCs w:val="24"/>
        </w:rPr>
        <w:t>GAUTENG DIVISION, PRETORIA</w:t>
      </w:r>
    </w:p>
    <w:p w:rsidR="00304EC1" w:rsidRDefault="00304EC1" w:rsidP="00304EC1">
      <w:pPr>
        <w:spacing w:line="240" w:lineRule="auto"/>
        <w:jc w:val="both"/>
        <w:rPr>
          <w:rFonts w:ascii="Arial" w:hAnsi="Arial" w:cs="Arial"/>
          <w:color w:val="000000"/>
          <w:sz w:val="24"/>
          <w:szCs w:val="24"/>
          <w:u w:val="single"/>
        </w:rPr>
      </w:pPr>
    </w:p>
    <w:p w:rsidR="00304EC1" w:rsidRDefault="00304EC1" w:rsidP="00304EC1">
      <w:pPr>
        <w:spacing w:line="240" w:lineRule="auto"/>
        <w:jc w:val="both"/>
        <w:rPr>
          <w:rFonts w:ascii="Arial" w:hAnsi="Arial" w:cs="Arial"/>
          <w:color w:val="000000"/>
          <w:sz w:val="24"/>
          <w:szCs w:val="24"/>
          <w:u w:val="single"/>
        </w:rPr>
      </w:pPr>
    </w:p>
    <w:p w:rsidR="00304EC1" w:rsidRDefault="00304EC1" w:rsidP="00304EC1">
      <w:pPr>
        <w:spacing w:line="240" w:lineRule="auto"/>
        <w:jc w:val="both"/>
        <w:rPr>
          <w:rFonts w:ascii="Arial" w:hAnsi="Arial" w:cs="Arial"/>
          <w:color w:val="000000"/>
          <w:sz w:val="24"/>
          <w:szCs w:val="24"/>
          <w:u w:val="single"/>
        </w:rPr>
      </w:pPr>
    </w:p>
    <w:p w:rsidR="00304EC1" w:rsidRDefault="00304EC1" w:rsidP="00304EC1">
      <w:pPr>
        <w:spacing w:line="240" w:lineRule="auto"/>
        <w:jc w:val="both"/>
        <w:rPr>
          <w:rFonts w:ascii="Arial" w:hAnsi="Arial" w:cs="Arial"/>
          <w:color w:val="000000"/>
          <w:sz w:val="24"/>
          <w:szCs w:val="24"/>
        </w:rPr>
      </w:pPr>
      <w:r w:rsidRPr="0076605C">
        <w:rPr>
          <w:rFonts w:ascii="Arial" w:hAnsi="Arial" w:cs="Arial"/>
          <w:b/>
          <w:color w:val="000000"/>
          <w:sz w:val="24"/>
          <w:szCs w:val="24"/>
          <w:u w:val="single"/>
        </w:rPr>
        <w:t>APPEARANCES</w:t>
      </w:r>
      <w:r w:rsidRPr="005733DB">
        <w:rPr>
          <w:rFonts w:ascii="Arial" w:hAnsi="Arial" w:cs="Arial"/>
          <w:color w:val="000000"/>
          <w:sz w:val="24"/>
          <w:szCs w:val="24"/>
        </w:rPr>
        <w:t>:</w:t>
      </w:r>
    </w:p>
    <w:p w:rsidR="00BF0F4F" w:rsidRDefault="00BF0F4F" w:rsidP="00AD1F98">
      <w:pPr>
        <w:spacing w:line="360" w:lineRule="auto"/>
        <w:jc w:val="both"/>
        <w:rPr>
          <w:rFonts w:ascii="Arial" w:hAnsi="Arial" w:cs="Arial"/>
          <w:color w:val="000000" w:themeColor="text1"/>
          <w:sz w:val="24"/>
          <w:szCs w:val="24"/>
          <w:lang w:val="en-ZA"/>
        </w:rPr>
      </w:pPr>
      <w:r>
        <w:rPr>
          <w:rFonts w:ascii="Arial" w:hAnsi="Arial" w:cs="Arial"/>
          <w:color w:val="000000" w:themeColor="text1"/>
          <w:sz w:val="24"/>
          <w:szCs w:val="24"/>
          <w:lang w:val="en-ZA"/>
        </w:rPr>
        <w:t>APPLICANT’S COUNSEL:</w:t>
      </w:r>
      <w:r>
        <w:rPr>
          <w:rFonts w:ascii="Arial" w:hAnsi="Arial" w:cs="Arial"/>
          <w:color w:val="000000" w:themeColor="text1"/>
          <w:sz w:val="24"/>
          <w:szCs w:val="24"/>
          <w:lang w:val="en-ZA"/>
        </w:rPr>
        <w:tab/>
      </w:r>
      <w:r>
        <w:rPr>
          <w:rFonts w:ascii="Arial" w:hAnsi="Arial" w:cs="Arial"/>
          <w:color w:val="000000" w:themeColor="text1"/>
          <w:sz w:val="24"/>
          <w:szCs w:val="24"/>
          <w:lang w:val="en-ZA"/>
        </w:rPr>
        <w:tab/>
      </w:r>
      <w:r>
        <w:rPr>
          <w:rFonts w:ascii="Arial" w:hAnsi="Arial" w:cs="Arial"/>
          <w:color w:val="000000" w:themeColor="text1"/>
          <w:sz w:val="24"/>
          <w:szCs w:val="24"/>
          <w:lang w:val="en-ZA"/>
        </w:rPr>
        <w:tab/>
      </w:r>
      <w:r>
        <w:rPr>
          <w:rFonts w:ascii="Arial" w:hAnsi="Arial" w:cs="Arial"/>
          <w:color w:val="000000" w:themeColor="text1"/>
          <w:sz w:val="24"/>
          <w:szCs w:val="24"/>
          <w:lang w:val="en-ZA"/>
        </w:rPr>
        <w:tab/>
        <w:t>ADV AA BASSON</w:t>
      </w:r>
    </w:p>
    <w:p w:rsidR="00BF0F4F" w:rsidRDefault="00BF0F4F" w:rsidP="00AD1F98">
      <w:pPr>
        <w:spacing w:line="360" w:lineRule="auto"/>
        <w:jc w:val="both"/>
        <w:rPr>
          <w:rFonts w:ascii="Arial" w:hAnsi="Arial" w:cs="Arial"/>
          <w:color w:val="000000" w:themeColor="text1"/>
          <w:sz w:val="24"/>
          <w:szCs w:val="24"/>
          <w:lang w:val="en-ZA"/>
        </w:rPr>
      </w:pPr>
      <w:r>
        <w:rPr>
          <w:rFonts w:ascii="Arial" w:hAnsi="Arial" w:cs="Arial"/>
          <w:color w:val="000000" w:themeColor="text1"/>
          <w:sz w:val="24"/>
          <w:szCs w:val="24"/>
          <w:lang w:val="en-ZA"/>
        </w:rPr>
        <w:t>APPLICANT’S ATTORNEYS:</w:t>
      </w:r>
      <w:r>
        <w:rPr>
          <w:rFonts w:ascii="Arial" w:hAnsi="Arial" w:cs="Arial"/>
          <w:color w:val="000000" w:themeColor="text1"/>
          <w:sz w:val="24"/>
          <w:szCs w:val="24"/>
          <w:lang w:val="en-ZA"/>
        </w:rPr>
        <w:tab/>
      </w:r>
      <w:r>
        <w:rPr>
          <w:rFonts w:ascii="Arial" w:hAnsi="Arial" w:cs="Arial"/>
          <w:color w:val="000000" w:themeColor="text1"/>
          <w:sz w:val="24"/>
          <w:szCs w:val="24"/>
          <w:lang w:val="en-ZA"/>
        </w:rPr>
        <w:tab/>
      </w:r>
      <w:r>
        <w:rPr>
          <w:rFonts w:ascii="Arial" w:hAnsi="Arial" w:cs="Arial"/>
          <w:color w:val="000000" w:themeColor="text1"/>
          <w:sz w:val="24"/>
          <w:szCs w:val="24"/>
          <w:lang w:val="en-ZA"/>
        </w:rPr>
        <w:tab/>
        <w:t>TIM DU TOIT &amp; CO INC</w:t>
      </w:r>
    </w:p>
    <w:p w:rsidR="00BF0F4F" w:rsidRDefault="00BF0F4F" w:rsidP="00AD1F98">
      <w:pPr>
        <w:spacing w:line="360" w:lineRule="auto"/>
        <w:jc w:val="both"/>
        <w:rPr>
          <w:rFonts w:ascii="Arial" w:hAnsi="Arial" w:cs="Arial"/>
          <w:color w:val="000000" w:themeColor="text1"/>
          <w:sz w:val="24"/>
          <w:szCs w:val="24"/>
          <w:lang w:val="en-ZA"/>
        </w:rPr>
      </w:pPr>
      <w:r>
        <w:rPr>
          <w:rFonts w:ascii="Arial" w:hAnsi="Arial" w:cs="Arial"/>
          <w:color w:val="000000" w:themeColor="text1"/>
          <w:sz w:val="24"/>
          <w:szCs w:val="24"/>
          <w:lang w:val="en-ZA"/>
        </w:rPr>
        <w:t>FIRST RESPONDENT’S COUNSEL:</w:t>
      </w:r>
      <w:r>
        <w:rPr>
          <w:rFonts w:ascii="Arial" w:hAnsi="Arial" w:cs="Arial"/>
          <w:color w:val="000000" w:themeColor="text1"/>
          <w:sz w:val="24"/>
          <w:szCs w:val="24"/>
          <w:lang w:val="en-ZA"/>
        </w:rPr>
        <w:tab/>
      </w:r>
      <w:r>
        <w:rPr>
          <w:rFonts w:ascii="Arial" w:hAnsi="Arial" w:cs="Arial"/>
          <w:color w:val="000000" w:themeColor="text1"/>
          <w:sz w:val="24"/>
          <w:szCs w:val="24"/>
          <w:lang w:val="en-ZA"/>
        </w:rPr>
        <w:tab/>
        <w:t>ADV M COETZEE</w:t>
      </w:r>
    </w:p>
    <w:p w:rsidR="00BF0F4F" w:rsidRDefault="00BF0F4F" w:rsidP="00AD1F98">
      <w:pPr>
        <w:spacing w:line="360" w:lineRule="auto"/>
        <w:jc w:val="both"/>
        <w:rPr>
          <w:rFonts w:ascii="Arial" w:hAnsi="Arial" w:cs="Arial"/>
          <w:color w:val="000000" w:themeColor="text1"/>
          <w:sz w:val="24"/>
          <w:szCs w:val="24"/>
          <w:lang w:val="en-ZA"/>
        </w:rPr>
      </w:pPr>
      <w:r>
        <w:rPr>
          <w:rFonts w:ascii="Arial" w:hAnsi="Arial" w:cs="Arial"/>
          <w:color w:val="000000" w:themeColor="text1"/>
          <w:sz w:val="24"/>
          <w:szCs w:val="24"/>
          <w:lang w:val="en-ZA"/>
        </w:rPr>
        <w:t>FIRST RESPONDENT’S ATTORNEYS:</w:t>
      </w:r>
      <w:r>
        <w:rPr>
          <w:rFonts w:ascii="Arial" w:hAnsi="Arial" w:cs="Arial"/>
          <w:color w:val="000000" w:themeColor="text1"/>
          <w:sz w:val="24"/>
          <w:szCs w:val="24"/>
          <w:lang w:val="en-ZA"/>
        </w:rPr>
        <w:tab/>
      </w:r>
      <w:r>
        <w:rPr>
          <w:rFonts w:ascii="Arial" w:hAnsi="Arial" w:cs="Arial"/>
          <w:color w:val="000000" w:themeColor="text1"/>
          <w:sz w:val="24"/>
          <w:szCs w:val="24"/>
          <w:lang w:val="en-ZA"/>
        </w:rPr>
        <w:tab/>
        <w:t>TAUTE, BOUWER &amp; CILLIERS INC</w:t>
      </w:r>
    </w:p>
    <w:p w:rsidR="00BF0F4F" w:rsidRDefault="00BF0F4F" w:rsidP="00AD1F98">
      <w:pPr>
        <w:spacing w:line="360" w:lineRule="auto"/>
        <w:jc w:val="both"/>
        <w:rPr>
          <w:rFonts w:ascii="Arial" w:hAnsi="Arial" w:cs="Arial"/>
          <w:color w:val="000000" w:themeColor="text1"/>
          <w:sz w:val="24"/>
          <w:szCs w:val="24"/>
          <w:lang w:val="en-ZA"/>
        </w:rPr>
      </w:pPr>
      <w:r>
        <w:rPr>
          <w:rFonts w:ascii="Arial" w:hAnsi="Arial" w:cs="Arial"/>
          <w:color w:val="000000" w:themeColor="text1"/>
          <w:sz w:val="24"/>
          <w:szCs w:val="24"/>
          <w:lang w:val="en-ZA"/>
        </w:rPr>
        <w:t>SECOND RESPONDENT’S COUNSEL:</w:t>
      </w:r>
      <w:r>
        <w:rPr>
          <w:rFonts w:ascii="Arial" w:hAnsi="Arial" w:cs="Arial"/>
          <w:color w:val="000000" w:themeColor="text1"/>
          <w:sz w:val="24"/>
          <w:szCs w:val="24"/>
          <w:lang w:val="en-ZA"/>
        </w:rPr>
        <w:tab/>
      </w:r>
      <w:r>
        <w:rPr>
          <w:rFonts w:ascii="Arial" w:hAnsi="Arial" w:cs="Arial"/>
          <w:color w:val="000000" w:themeColor="text1"/>
          <w:sz w:val="24"/>
          <w:szCs w:val="24"/>
          <w:lang w:val="en-ZA"/>
        </w:rPr>
        <w:tab/>
        <w:t>ADV NC HARTMAN</w:t>
      </w:r>
    </w:p>
    <w:p w:rsidR="00BF0F4F" w:rsidRPr="00BF0F4F" w:rsidRDefault="00BF0F4F" w:rsidP="00AD1F98">
      <w:pPr>
        <w:spacing w:line="360" w:lineRule="auto"/>
        <w:jc w:val="both"/>
        <w:rPr>
          <w:rFonts w:ascii="Arial" w:hAnsi="Arial" w:cs="Arial"/>
          <w:color w:val="000000" w:themeColor="text1"/>
          <w:sz w:val="24"/>
          <w:szCs w:val="24"/>
          <w:lang w:val="en-ZA"/>
        </w:rPr>
      </w:pPr>
      <w:r>
        <w:rPr>
          <w:rFonts w:ascii="Arial" w:hAnsi="Arial" w:cs="Arial"/>
          <w:color w:val="000000" w:themeColor="text1"/>
          <w:sz w:val="24"/>
          <w:szCs w:val="24"/>
          <w:lang w:val="en-ZA"/>
        </w:rPr>
        <w:t>SECOND RESPONDENT ATTORNEYS:</w:t>
      </w:r>
      <w:r>
        <w:rPr>
          <w:rFonts w:ascii="Arial" w:hAnsi="Arial" w:cs="Arial"/>
          <w:color w:val="000000" w:themeColor="text1"/>
          <w:sz w:val="24"/>
          <w:szCs w:val="24"/>
          <w:lang w:val="en-ZA"/>
        </w:rPr>
        <w:tab/>
        <w:t>HOPGOOD ATTORNEYS INC</w:t>
      </w:r>
    </w:p>
    <w:p w:rsidR="001D38A4" w:rsidRDefault="006055D1" w:rsidP="00707B90">
      <w:pPr>
        <w:spacing w:line="360" w:lineRule="auto"/>
        <w:jc w:val="both"/>
        <w:rPr>
          <w:rFonts w:ascii="Arial" w:hAnsi="Arial" w:cs="Arial"/>
          <w:color w:val="000000" w:themeColor="text1"/>
          <w:sz w:val="28"/>
          <w:szCs w:val="28"/>
          <w:lang w:val="en-ZA"/>
        </w:rPr>
      </w:pPr>
      <w:r>
        <w:rPr>
          <w:rFonts w:ascii="Arial" w:hAnsi="Arial" w:cs="Arial"/>
          <w:color w:val="000000" w:themeColor="text1"/>
          <w:sz w:val="28"/>
          <w:szCs w:val="28"/>
          <w:lang w:val="en-ZA"/>
        </w:rPr>
        <w:t xml:space="preserve">  </w:t>
      </w:r>
      <w:r w:rsidR="000E47B5">
        <w:rPr>
          <w:rFonts w:ascii="Arial" w:hAnsi="Arial" w:cs="Arial"/>
          <w:color w:val="000000" w:themeColor="text1"/>
          <w:sz w:val="28"/>
          <w:szCs w:val="28"/>
          <w:lang w:val="en-ZA"/>
        </w:rPr>
        <w:t xml:space="preserve"> </w:t>
      </w:r>
    </w:p>
    <w:p w:rsidR="000135D6" w:rsidRPr="005F201F" w:rsidRDefault="00711C08" w:rsidP="005F201F">
      <w:pPr>
        <w:spacing w:line="360" w:lineRule="auto"/>
        <w:jc w:val="both"/>
        <w:rPr>
          <w:rFonts w:ascii="Arial" w:hAnsi="Arial" w:cs="Arial"/>
          <w:color w:val="000000" w:themeColor="text1"/>
          <w:sz w:val="28"/>
          <w:szCs w:val="28"/>
          <w:lang w:val="en-ZA"/>
        </w:rPr>
      </w:pPr>
      <w:r w:rsidRPr="005F201F">
        <w:rPr>
          <w:rFonts w:ascii="Arial" w:hAnsi="Arial" w:cs="Arial"/>
          <w:color w:val="000000" w:themeColor="text1"/>
          <w:sz w:val="28"/>
          <w:szCs w:val="28"/>
          <w:lang w:val="en-ZA"/>
        </w:rPr>
        <w:t xml:space="preserve"> </w:t>
      </w:r>
      <w:r w:rsidR="009E50A5" w:rsidRPr="005F201F">
        <w:rPr>
          <w:rFonts w:ascii="Arial" w:hAnsi="Arial" w:cs="Arial"/>
          <w:color w:val="000000" w:themeColor="text1"/>
          <w:sz w:val="28"/>
          <w:szCs w:val="28"/>
          <w:lang w:val="en-ZA"/>
        </w:rPr>
        <w:t xml:space="preserve">   </w:t>
      </w:r>
    </w:p>
    <w:p w:rsidR="00A83342" w:rsidRPr="00125523" w:rsidRDefault="00125523" w:rsidP="00125523">
      <w:pPr>
        <w:pStyle w:val="ListParagraph"/>
        <w:spacing w:line="360" w:lineRule="auto"/>
        <w:jc w:val="both"/>
        <w:rPr>
          <w:rFonts w:ascii="Arial" w:hAnsi="Arial" w:cs="Arial"/>
          <w:color w:val="000000" w:themeColor="text1"/>
          <w:sz w:val="28"/>
          <w:szCs w:val="28"/>
          <w:lang w:val="en-ZA"/>
        </w:rPr>
      </w:pPr>
      <w:r>
        <w:rPr>
          <w:rFonts w:ascii="Arial" w:hAnsi="Arial" w:cs="Arial"/>
          <w:color w:val="000000" w:themeColor="text1"/>
          <w:sz w:val="28"/>
          <w:szCs w:val="28"/>
          <w:lang w:val="en-ZA"/>
        </w:rPr>
        <w:t xml:space="preserve"> </w:t>
      </w:r>
    </w:p>
    <w:p w:rsidR="00AA022C" w:rsidRPr="00BF0F4F" w:rsidRDefault="00A83342" w:rsidP="00BF0F4F">
      <w:pPr>
        <w:pStyle w:val="ListParagraph"/>
        <w:spacing w:line="360" w:lineRule="auto"/>
        <w:jc w:val="both"/>
        <w:rPr>
          <w:rFonts w:ascii="Arial" w:hAnsi="Arial" w:cs="Arial"/>
          <w:color w:val="000000" w:themeColor="text1"/>
          <w:sz w:val="28"/>
          <w:szCs w:val="28"/>
          <w:lang w:val="en-ZA"/>
        </w:rPr>
      </w:pPr>
      <w:r w:rsidRPr="00E122AB">
        <w:rPr>
          <w:rFonts w:ascii="Arial" w:hAnsi="Arial" w:cs="Arial"/>
          <w:color w:val="000000" w:themeColor="text1"/>
          <w:sz w:val="28"/>
          <w:szCs w:val="28"/>
          <w:lang w:val="en-ZA"/>
        </w:rPr>
        <w:t xml:space="preserve">  </w:t>
      </w:r>
      <w:r w:rsidR="00BF0F4F">
        <w:rPr>
          <w:rFonts w:ascii="Arial" w:hAnsi="Arial" w:cs="Arial"/>
          <w:color w:val="000000" w:themeColor="text1"/>
          <w:sz w:val="28"/>
          <w:szCs w:val="28"/>
          <w:lang w:val="en-ZA"/>
        </w:rPr>
        <w:t xml:space="preserve"> </w:t>
      </w:r>
    </w:p>
    <w:sectPr w:rsidR="00AA022C" w:rsidRPr="00BF0F4F" w:rsidSect="00C10D48">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E5E" w:rsidRDefault="00A53E5E" w:rsidP="00E122AB">
      <w:pPr>
        <w:spacing w:after="0" w:line="240" w:lineRule="auto"/>
      </w:pPr>
      <w:r>
        <w:separator/>
      </w:r>
    </w:p>
  </w:endnote>
  <w:endnote w:type="continuationSeparator" w:id="0">
    <w:p w:rsidR="00A53E5E" w:rsidRDefault="00A53E5E" w:rsidP="00E12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E5E" w:rsidRDefault="00A53E5E" w:rsidP="00E122AB">
      <w:pPr>
        <w:spacing w:after="0" w:line="240" w:lineRule="auto"/>
      </w:pPr>
      <w:r>
        <w:separator/>
      </w:r>
    </w:p>
  </w:footnote>
  <w:footnote w:type="continuationSeparator" w:id="0">
    <w:p w:rsidR="00A53E5E" w:rsidRDefault="00A53E5E" w:rsidP="00E122AB">
      <w:pPr>
        <w:spacing w:after="0" w:line="240" w:lineRule="auto"/>
      </w:pPr>
      <w:r>
        <w:continuationSeparator/>
      </w:r>
    </w:p>
  </w:footnote>
  <w:footnote w:id="1">
    <w:p w:rsidR="00EE2283" w:rsidRPr="00125523" w:rsidRDefault="00EE2283" w:rsidP="00A36A18">
      <w:pPr>
        <w:pStyle w:val="FootnoteText"/>
        <w:rPr>
          <w:lang w:val="en-ZA"/>
        </w:rPr>
      </w:pPr>
      <w:r>
        <w:rPr>
          <w:rStyle w:val="FootnoteReference"/>
        </w:rPr>
        <w:footnoteRef/>
      </w:r>
      <w:r>
        <w:t xml:space="preserve"> 2008 (1) SA 184 (SCA) </w:t>
      </w:r>
    </w:p>
  </w:footnote>
  <w:footnote w:id="2">
    <w:p w:rsidR="00EE2283" w:rsidRPr="00FA3F45" w:rsidRDefault="00EE2283">
      <w:pPr>
        <w:pStyle w:val="FootnoteText"/>
        <w:rPr>
          <w:lang w:val="en-ZA"/>
        </w:rPr>
      </w:pPr>
      <w:r>
        <w:rPr>
          <w:rStyle w:val="FootnoteReference"/>
        </w:rPr>
        <w:footnoteRef/>
      </w:r>
      <w:r>
        <w:t xml:space="preserve"> 2004 (3) SA 615 (SCA), (2004) 25 ILJ 995 (SCA), [2004] 2 ALL 609 (SAC) para 19.</w:t>
      </w:r>
    </w:p>
  </w:footnote>
  <w:footnote w:id="3">
    <w:p w:rsidR="00EE2283" w:rsidRPr="00BC5039" w:rsidRDefault="00EE2283">
      <w:pPr>
        <w:pStyle w:val="FootnoteText"/>
        <w:rPr>
          <w:lang w:val="en-ZA"/>
        </w:rPr>
      </w:pPr>
      <w:r>
        <w:rPr>
          <w:rStyle w:val="FootnoteReference"/>
        </w:rPr>
        <w:footnoteRef/>
      </w:r>
      <w:r>
        <w:t xml:space="preserve"> </w:t>
      </w:r>
      <w:r>
        <w:rPr>
          <w:lang w:val="en-ZA"/>
        </w:rPr>
        <w:t>(4 February 2023)</w:t>
      </w:r>
    </w:p>
  </w:footnote>
  <w:footnote w:id="4">
    <w:p w:rsidR="00EE2283" w:rsidRPr="00D6279C" w:rsidRDefault="00EE2283" w:rsidP="00AD1F98">
      <w:pPr>
        <w:pStyle w:val="FootnoteText"/>
        <w:rPr>
          <w:lang w:val="en-ZA"/>
        </w:rPr>
      </w:pPr>
      <w:r>
        <w:rPr>
          <w:rStyle w:val="FootnoteReference"/>
        </w:rPr>
        <w:footnoteRef/>
      </w:r>
      <w:r>
        <w:t xml:space="preserve"> </w:t>
      </w:r>
      <w:r>
        <w:rPr>
          <w:lang w:val="en-ZA"/>
        </w:rPr>
        <w:t>2016 (6) SA 540 (SCA)</w:t>
      </w:r>
    </w:p>
  </w:footnote>
  <w:footnote w:id="5">
    <w:p w:rsidR="00EE2283" w:rsidRPr="00E254E2" w:rsidRDefault="00EE2283">
      <w:pPr>
        <w:pStyle w:val="FootnoteText"/>
        <w:rPr>
          <w:lang w:val="en-ZA"/>
        </w:rPr>
      </w:pPr>
      <w:r>
        <w:rPr>
          <w:rStyle w:val="FootnoteReference"/>
        </w:rPr>
        <w:footnoteRef/>
      </w:r>
      <w:r>
        <w:t xml:space="preserve"> 2011 (4) SA 149 at par 51-52.</w:t>
      </w:r>
    </w:p>
  </w:footnote>
  <w:footnote w:id="6">
    <w:p w:rsidR="00EE2283" w:rsidRPr="00E254E2" w:rsidRDefault="00EE2283">
      <w:pPr>
        <w:pStyle w:val="FootnoteText"/>
        <w:rPr>
          <w:lang w:val="en-ZA"/>
        </w:rPr>
      </w:pPr>
      <w:r>
        <w:rPr>
          <w:rStyle w:val="FootnoteReference"/>
        </w:rPr>
        <w:footnoteRef/>
      </w:r>
      <w:r>
        <w:t xml:space="preserve"> (2130/2021) [2012] ZAWCHC 37 (March) at par 26. </w:t>
      </w:r>
    </w:p>
  </w:footnote>
  <w:footnote w:id="7">
    <w:p w:rsidR="00EE2283" w:rsidRPr="00944108" w:rsidRDefault="00EE2283">
      <w:pPr>
        <w:pStyle w:val="FootnoteText"/>
        <w:rPr>
          <w:lang w:val="en-ZA"/>
        </w:rPr>
      </w:pPr>
      <w:r>
        <w:rPr>
          <w:rStyle w:val="FootnoteReference"/>
        </w:rPr>
        <w:footnoteRef/>
      </w:r>
      <w:r>
        <w:t xml:space="preserve"> </w:t>
      </w:r>
      <w:r>
        <w:rPr>
          <w:lang w:val="en-ZA"/>
        </w:rPr>
        <w:t>G Muller et al The Law of Property: Silberberg and Schoeman 6 ed (2019) at 269-270.</w:t>
      </w:r>
    </w:p>
  </w:footnote>
  <w:footnote w:id="8">
    <w:p w:rsidR="00EE2283" w:rsidRPr="00751A06" w:rsidRDefault="00EE2283" w:rsidP="00B67990">
      <w:pPr>
        <w:pStyle w:val="FootnoteText"/>
        <w:rPr>
          <w:lang w:val="en-ZA"/>
        </w:rPr>
      </w:pPr>
      <w:r>
        <w:rPr>
          <w:rStyle w:val="FootnoteReference"/>
        </w:rPr>
        <w:footnoteRef/>
      </w:r>
      <w:r>
        <w:t xml:space="preserve"> </w:t>
      </w:r>
      <w:r>
        <w:rPr>
          <w:lang w:val="en-ZA"/>
        </w:rPr>
        <w:t>2013 (4) ALL SA 346.</w:t>
      </w:r>
    </w:p>
  </w:footnote>
  <w:footnote w:id="9">
    <w:p w:rsidR="00EE2283" w:rsidRPr="007F121E" w:rsidRDefault="00EE2283">
      <w:pPr>
        <w:pStyle w:val="FootnoteText"/>
        <w:rPr>
          <w:lang w:val="en-ZA"/>
        </w:rPr>
      </w:pPr>
      <w:r>
        <w:rPr>
          <w:rStyle w:val="FootnoteReference"/>
        </w:rPr>
        <w:footnoteRef/>
      </w:r>
      <w:r>
        <w:t xml:space="preserve"> </w:t>
      </w:r>
      <w:r>
        <w:rPr>
          <w:lang w:val="en-ZA"/>
        </w:rPr>
        <w:t>2008 (2) SA 184 (SCA)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02FBE"/>
    <w:multiLevelType w:val="hybridMultilevel"/>
    <w:tmpl w:val="FAB0C3C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2">
    <w:nsid w:val="16933BE5"/>
    <w:multiLevelType w:val="hybridMultilevel"/>
    <w:tmpl w:val="4C9679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63"/>
    <w:rsid w:val="000135D6"/>
    <w:rsid w:val="00013A4D"/>
    <w:rsid w:val="000464E9"/>
    <w:rsid w:val="000542A4"/>
    <w:rsid w:val="00070784"/>
    <w:rsid w:val="00072AF8"/>
    <w:rsid w:val="00074A80"/>
    <w:rsid w:val="00074F00"/>
    <w:rsid w:val="0008232F"/>
    <w:rsid w:val="0008548F"/>
    <w:rsid w:val="00086F0E"/>
    <w:rsid w:val="00096038"/>
    <w:rsid w:val="000A1056"/>
    <w:rsid w:val="000C259B"/>
    <w:rsid w:val="000C6730"/>
    <w:rsid w:val="000D210B"/>
    <w:rsid w:val="000E47B5"/>
    <w:rsid w:val="00100458"/>
    <w:rsid w:val="0010399B"/>
    <w:rsid w:val="0011386B"/>
    <w:rsid w:val="00125523"/>
    <w:rsid w:val="00125D3F"/>
    <w:rsid w:val="001301D2"/>
    <w:rsid w:val="00136549"/>
    <w:rsid w:val="001415CD"/>
    <w:rsid w:val="00152164"/>
    <w:rsid w:val="00157DDC"/>
    <w:rsid w:val="001643DE"/>
    <w:rsid w:val="001661A4"/>
    <w:rsid w:val="00167E86"/>
    <w:rsid w:val="00175A10"/>
    <w:rsid w:val="00193042"/>
    <w:rsid w:val="00194C22"/>
    <w:rsid w:val="001B510D"/>
    <w:rsid w:val="001C1BF6"/>
    <w:rsid w:val="001D38A4"/>
    <w:rsid w:val="001E0154"/>
    <w:rsid w:val="001E1ACC"/>
    <w:rsid w:val="001E71F5"/>
    <w:rsid w:val="001F0FD8"/>
    <w:rsid w:val="002002C3"/>
    <w:rsid w:val="00206448"/>
    <w:rsid w:val="002153BD"/>
    <w:rsid w:val="0023592A"/>
    <w:rsid w:val="00245D8E"/>
    <w:rsid w:val="00247CE6"/>
    <w:rsid w:val="00250C39"/>
    <w:rsid w:val="002518F8"/>
    <w:rsid w:val="00251C0F"/>
    <w:rsid w:val="00263825"/>
    <w:rsid w:val="002743D3"/>
    <w:rsid w:val="00274961"/>
    <w:rsid w:val="00284936"/>
    <w:rsid w:val="00284BFE"/>
    <w:rsid w:val="002A45E8"/>
    <w:rsid w:val="002C3627"/>
    <w:rsid w:val="002F1E2B"/>
    <w:rsid w:val="002F599C"/>
    <w:rsid w:val="00304EC1"/>
    <w:rsid w:val="003073F1"/>
    <w:rsid w:val="0032011B"/>
    <w:rsid w:val="0034541D"/>
    <w:rsid w:val="00345BE2"/>
    <w:rsid w:val="00347669"/>
    <w:rsid w:val="0038421A"/>
    <w:rsid w:val="003A3C81"/>
    <w:rsid w:val="003B62E4"/>
    <w:rsid w:val="003D407B"/>
    <w:rsid w:val="003D68B9"/>
    <w:rsid w:val="003D6B26"/>
    <w:rsid w:val="003F0F2E"/>
    <w:rsid w:val="00401EEE"/>
    <w:rsid w:val="00402D03"/>
    <w:rsid w:val="00411F37"/>
    <w:rsid w:val="00413B84"/>
    <w:rsid w:val="00414D31"/>
    <w:rsid w:val="004337BB"/>
    <w:rsid w:val="00476220"/>
    <w:rsid w:val="00480051"/>
    <w:rsid w:val="004835A0"/>
    <w:rsid w:val="004860DD"/>
    <w:rsid w:val="00486818"/>
    <w:rsid w:val="00491610"/>
    <w:rsid w:val="00496E91"/>
    <w:rsid w:val="004979AC"/>
    <w:rsid w:val="004C0761"/>
    <w:rsid w:val="004C6E49"/>
    <w:rsid w:val="004D3372"/>
    <w:rsid w:val="004E4BB4"/>
    <w:rsid w:val="004F0650"/>
    <w:rsid w:val="004F1F3F"/>
    <w:rsid w:val="00505E01"/>
    <w:rsid w:val="00507504"/>
    <w:rsid w:val="00513493"/>
    <w:rsid w:val="00521F2D"/>
    <w:rsid w:val="0052333E"/>
    <w:rsid w:val="005329E2"/>
    <w:rsid w:val="005508BE"/>
    <w:rsid w:val="0055524D"/>
    <w:rsid w:val="005619AD"/>
    <w:rsid w:val="00561A7E"/>
    <w:rsid w:val="00576EBC"/>
    <w:rsid w:val="005819BD"/>
    <w:rsid w:val="00587F16"/>
    <w:rsid w:val="00590CD2"/>
    <w:rsid w:val="005953EC"/>
    <w:rsid w:val="005B21E9"/>
    <w:rsid w:val="005B252D"/>
    <w:rsid w:val="005C4B73"/>
    <w:rsid w:val="005D04E9"/>
    <w:rsid w:val="005E7CBC"/>
    <w:rsid w:val="005F201F"/>
    <w:rsid w:val="005F59FE"/>
    <w:rsid w:val="006055D1"/>
    <w:rsid w:val="006340AC"/>
    <w:rsid w:val="0065329E"/>
    <w:rsid w:val="00656E4A"/>
    <w:rsid w:val="00664863"/>
    <w:rsid w:val="00674498"/>
    <w:rsid w:val="00686FF3"/>
    <w:rsid w:val="00693B28"/>
    <w:rsid w:val="00697835"/>
    <w:rsid w:val="006A229A"/>
    <w:rsid w:val="006A3440"/>
    <w:rsid w:val="006B010E"/>
    <w:rsid w:val="006C49D1"/>
    <w:rsid w:val="006C518D"/>
    <w:rsid w:val="006C7981"/>
    <w:rsid w:val="006D1D72"/>
    <w:rsid w:val="006E0FA1"/>
    <w:rsid w:val="00703CA2"/>
    <w:rsid w:val="00706250"/>
    <w:rsid w:val="00707B90"/>
    <w:rsid w:val="00711C08"/>
    <w:rsid w:val="0071434B"/>
    <w:rsid w:val="007207EE"/>
    <w:rsid w:val="007233A0"/>
    <w:rsid w:val="00730884"/>
    <w:rsid w:val="00743728"/>
    <w:rsid w:val="00746D5D"/>
    <w:rsid w:val="007470B3"/>
    <w:rsid w:val="00751A06"/>
    <w:rsid w:val="00754996"/>
    <w:rsid w:val="00763B4A"/>
    <w:rsid w:val="00770845"/>
    <w:rsid w:val="00777EC2"/>
    <w:rsid w:val="007919B3"/>
    <w:rsid w:val="00795D07"/>
    <w:rsid w:val="007A4180"/>
    <w:rsid w:val="007B4E61"/>
    <w:rsid w:val="007E0385"/>
    <w:rsid w:val="007F121E"/>
    <w:rsid w:val="007F79A1"/>
    <w:rsid w:val="00830431"/>
    <w:rsid w:val="00841052"/>
    <w:rsid w:val="008429FC"/>
    <w:rsid w:val="008729CE"/>
    <w:rsid w:val="0088167F"/>
    <w:rsid w:val="008919EF"/>
    <w:rsid w:val="008A2617"/>
    <w:rsid w:val="008A36B7"/>
    <w:rsid w:val="008B3666"/>
    <w:rsid w:val="008B53E2"/>
    <w:rsid w:val="008B56D7"/>
    <w:rsid w:val="008C35A1"/>
    <w:rsid w:val="008D484E"/>
    <w:rsid w:val="008F656E"/>
    <w:rsid w:val="0091186A"/>
    <w:rsid w:val="00922CD6"/>
    <w:rsid w:val="00923D39"/>
    <w:rsid w:val="00942409"/>
    <w:rsid w:val="00944108"/>
    <w:rsid w:val="00951563"/>
    <w:rsid w:val="00957445"/>
    <w:rsid w:val="00967565"/>
    <w:rsid w:val="00971B8B"/>
    <w:rsid w:val="00976882"/>
    <w:rsid w:val="009773B8"/>
    <w:rsid w:val="009879F3"/>
    <w:rsid w:val="009A72A1"/>
    <w:rsid w:val="009C164A"/>
    <w:rsid w:val="009E50A5"/>
    <w:rsid w:val="009F4922"/>
    <w:rsid w:val="00A3043D"/>
    <w:rsid w:val="00A3261C"/>
    <w:rsid w:val="00A36A18"/>
    <w:rsid w:val="00A37F36"/>
    <w:rsid w:val="00A403E8"/>
    <w:rsid w:val="00A44F30"/>
    <w:rsid w:val="00A53E5E"/>
    <w:rsid w:val="00A81913"/>
    <w:rsid w:val="00A83342"/>
    <w:rsid w:val="00AA022C"/>
    <w:rsid w:val="00AA1FC8"/>
    <w:rsid w:val="00AB25D1"/>
    <w:rsid w:val="00AC1334"/>
    <w:rsid w:val="00AC7373"/>
    <w:rsid w:val="00AD1F98"/>
    <w:rsid w:val="00AD4D3E"/>
    <w:rsid w:val="00AD7C85"/>
    <w:rsid w:val="00AE0908"/>
    <w:rsid w:val="00AE513A"/>
    <w:rsid w:val="00B0077E"/>
    <w:rsid w:val="00B00F84"/>
    <w:rsid w:val="00B164CA"/>
    <w:rsid w:val="00B17402"/>
    <w:rsid w:val="00B302E0"/>
    <w:rsid w:val="00B6584A"/>
    <w:rsid w:val="00B67990"/>
    <w:rsid w:val="00B725CF"/>
    <w:rsid w:val="00B90371"/>
    <w:rsid w:val="00B93E72"/>
    <w:rsid w:val="00B979BB"/>
    <w:rsid w:val="00BB081A"/>
    <w:rsid w:val="00BC3FB5"/>
    <w:rsid w:val="00BC5039"/>
    <w:rsid w:val="00BF0F4F"/>
    <w:rsid w:val="00BF2B0E"/>
    <w:rsid w:val="00BF58BF"/>
    <w:rsid w:val="00C028DA"/>
    <w:rsid w:val="00C10D48"/>
    <w:rsid w:val="00C1738C"/>
    <w:rsid w:val="00C3105F"/>
    <w:rsid w:val="00C43729"/>
    <w:rsid w:val="00C65B89"/>
    <w:rsid w:val="00C77DE6"/>
    <w:rsid w:val="00C807D5"/>
    <w:rsid w:val="00C80EC8"/>
    <w:rsid w:val="00C83BB9"/>
    <w:rsid w:val="00C94FA1"/>
    <w:rsid w:val="00CA32D4"/>
    <w:rsid w:val="00CA5838"/>
    <w:rsid w:val="00CB64BC"/>
    <w:rsid w:val="00CB7C6F"/>
    <w:rsid w:val="00CC389F"/>
    <w:rsid w:val="00CD4A8B"/>
    <w:rsid w:val="00CD64B4"/>
    <w:rsid w:val="00CE04FC"/>
    <w:rsid w:val="00CF1477"/>
    <w:rsid w:val="00CF7C40"/>
    <w:rsid w:val="00D063FC"/>
    <w:rsid w:val="00D12E4A"/>
    <w:rsid w:val="00D14F8A"/>
    <w:rsid w:val="00D1744C"/>
    <w:rsid w:val="00D20028"/>
    <w:rsid w:val="00D23528"/>
    <w:rsid w:val="00D268FB"/>
    <w:rsid w:val="00D512E5"/>
    <w:rsid w:val="00D6279C"/>
    <w:rsid w:val="00D62A80"/>
    <w:rsid w:val="00D62A96"/>
    <w:rsid w:val="00D63173"/>
    <w:rsid w:val="00D648B7"/>
    <w:rsid w:val="00D652A3"/>
    <w:rsid w:val="00D746AB"/>
    <w:rsid w:val="00D83C0B"/>
    <w:rsid w:val="00D9634F"/>
    <w:rsid w:val="00DB2A4E"/>
    <w:rsid w:val="00DD3423"/>
    <w:rsid w:val="00DD7962"/>
    <w:rsid w:val="00DE3D21"/>
    <w:rsid w:val="00DE5A34"/>
    <w:rsid w:val="00E057F0"/>
    <w:rsid w:val="00E070F5"/>
    <w:rsid w:val="00E11EF4"/>
    <w:rsid w:val="00E122AB"/>
    <w:rsid w:val="00E254E2"/>
    <w:rsid w:val="00E5454C"/>
    <w:rsid w:val="00E557FB"/>
    <w:rsid w:val="00E568A6"/>
    <w:rsid w:val="00E72554"/>
    <w:rsid w:val="00E727F4"/>
    <w:rsid w:val="00E74B06"/>
    <w:rsid w:val="00E74BA3"/>
    <w:rsid w:val="00E86E80"/>
    <w:rsid w:val="00EA0594"/>
    <w:rsid w:val="00EA533B"/>
    <w:rsid w:val="00EC4998"/>
    <w:rsid w:val="00EE2283"/>
    <w:rsid w:val="00EE58E2"/>
    <w:rsid w:val="00EF4C03"/>
    <w:rsid w:val="00F15D1D"/>
    <w:rsid w:val="00F411AC"/>
    <w:rsid w:val="00F4175A"/>
    <w:rsid w:val="00F4517F"/>
    <w:rsid w:val="00F45990"/>
    <w:rsid w:val="00F701F2"/>
    <w:rsid w:val="00F874AA"/>
    <w:rsid w:val="00FA080B"/>
    <w:rsid w:val="00FA3F45"/>
    <w:rsid w:val="00FB6BC8"/>
    <w:rsid w:val="00FE565E"/>
    <w:rsid w:val="00FE5D3A"/>
    <w:rsid w:val="00FF5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8F43E9-9AC6-4C69-B820-72172A44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563"/>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554"/>
    <w:pPr>
      <w:spacing w:line="259" w:lineRule="auto"/>
      <w:ind w:left="720"/>
      <w:contextualSpacing/>
    </w:pPr>
  </w:style>
  <w:style w:type="paragraph" w:styleId="FootnoteText">
    <w:name w:val="footnote text"/>
    <w:basedOn w:val="Normal"/>
    <w:link w:val="FootnoteTextChar"/>
    <w:uiPriority w:val="99"/>
    <w:semiHidden/>
    <w:unhideWhenUsed/>
    <w:rsid w:val="00E122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22AB"/>
    <w:rPr>
      <w:sz w:val="20"/>
      <w:szCs w:val="20"/>
    </w:rPr>
  </w:style>
  <w:style w:type="character" w:styleId="FootnoteReference">
    <w:name w:val="footnote reference"/>
    <w:basedOn w:val="DefaultParagraphFont"/>
    <w:uiPriority w:val="99"/>
    <w:semiHidden/>
    <w:unhideWhenUsed/>
    <w:rsid w:val="00E122AB"/>
    <w:rPr>
      <w:vertAlign w:val="superscript"/>
    </w:rPr>
  </w:style>
  <w:style w:type="paragraph" w:styleId="NormalWeb">
    <w:name w:val="Normal (Web)"/>
    <w:basedOn w:val="Normal"/>
    <w:uiPriority w:val="99"/>
    <w:unhideWhenUsed/>
    <w:rsid w:val="00413B84"/>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Hyperlink">
    <w:name w:val="Hyperlink"/>
    <w:basedOn w:val="DefaultParagraphFont"/>
    <w:uiPriority w:val="99"/>
    <w:semiHidden/>
    <w:unhideWhenUsed/>
    <w:rsid w:val="00413B84"/>
    <w:rPr>
      <w:color w:val="0000FF"/>
      <w:u w:val="single"/>
    </w:rPr>
  </w:style>
  <w:style w:type="paragraph" w:styleId="Header">
    <w:name w:val="header"/>
    <w:basedOn w:val="Normal"/>
    <w:link w:val="HeaderChar"/>
    <w:uiPriority w:val="99"/>
    <w:unhideWhenUsed/>
    <w:rsid w:val="00C10D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D48"/>
  </w:style>
  <w:style w:type="paragraph" w:styleId="Footer">
    <w:name w:val="footer"/>
    <w:basedOn w:val="Normal"/>
    <w:link w:val="FooterChar"/>
    <w:uiPriority w:val="99"/>
    <w:unhideWhenUsed/>
    <w:rsid w:val="00C10D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D48"/>
  </w:style>
  <w:style w:type="paragraph" w:styleId="BalloonText">
    <w:name w:val="Balloon Text"/>
    <w:basedOn w:val="Normal"/>
    <w:link w:val="BalloonTextChar"/>
    <w:uiPriority w:val="99"/>
    <w:semiHidden/>
    <w:unhideWhenUsed/>
    <w:rsid w:val="003B62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2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627440">
      <w:bodyDiv w:val="1"/>
      <w:marLeft w:val="0"/>
      <w:marRight w:val="0"/>
      <w:marTop w:val="0"/>
      <w:marBottom w:val="0"/>
      <w:divBdr>
        <w:top w:val="none" w:sz="0" w:space="0" w:color="auto"/>
        <w:left w:val="none" w:sz="0" w:space="0" w:color="auto"/>
        <w:bottom w:val="none" w:sz="0" w:space="0" w:color="auto"/>
        <w:right w:val="none" w:sz="0" w:space="0" w:color="auto"/>
      </w:divBdr>
    </w:div>
    <w:div w:id="567036851">
      <w:bodyDiv w:val="1"/>
      <w:marLeft w:val="0"/>
      <w:marRight w:val="0"/>
      <w:marTop w:val="0"/>
      <w:marBottom w:val="0"/>
      <w:divBdr>
        <w:top w:val="none" w:sz="0" w:space="0" w:color="auto"/>
        <w:left w:val="none" w:sz="0" w:space="0" w:color="auto"/>
        <w:bottom w:val="none" w:sz="0" w:space="0" w:color="auto"/>
        <w:right w:val="none" w:sz="0" w:space="0" w:color="auto"/>
      </w:divBdr>
    </w:div>
    <w:div w:id="671613364">
      <w:bodyDiv w:val="1"/>
      <w:marLeft w:val="0"/>
      <w:marRight w:val="0"/>
      <w:marTop w:val="0"/>
      <w:marBottom w:val="0"/>
      <w:divBdr>
        <w:top w:val="none" w:sz="0" w:space="0" w:color="auto"/>
        <w:left w:val="none" w:sz="0" w:space="0" w:color="auto"/>
        <w:bottom w:val="none" w:sz="0" w:space="0" w:color="auto"/>
        <w:right w:val="none" w:sz="0" w:space="0" w:color="auto"/>
      </w:divBdr>
    </w:div>
    <w:div w:id="1674842623">
      <w:bodyDiv w:val="1"/>
      <w:marLeft w:val="0"/>
      <w:marRight w:val="0"/>
      <w:marTop w:val="0"/>
      <w:marBottom w:val="0"/>
      <w:divBdr>
        <w:top w:val="none" w:sz="0" w:space="0" w:color="auto"/>
        <w:left w:val="none" w:sz="0" w:space="0" w:color="auto"/>
        <w:bottom w:val="none" w:sz="0" w:space="0" w:color="auto"/>
        <w:right w:val="none" w:sz="0" w:space="0" w:color="auto"/>
      </w:divBdr>
    </w:div>
    <w:div w:id="189145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2.jpg@01D0409E.93246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40FA6-A45C-4828-AE47-9B7B94547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4279</Words>
  <Characters>24394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 Justice Mogotsi</dc:creator>
  <cp:keywords/>
  <dc:description/>
  <cp:lastModifiedBy>Mokone</cp:lastModifiedBy>
  <cp:revision>2</cp:revision>
  <dcterms:created xsi:type="dcterms:W3CDTF">2023-06-21T08:27:00Z</dcterms:created>
  <dcterms:modified xsi:type="dcterms:W3CDTF">2023-06-21T08:27:00Z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5b9d78d45f66e2b16c8beba6b15a2ac5ccac6be3001c5054f9cc4f24abadae9b</vt:lpwstr>
  </property>
</Properties>
</file>