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08AE9" w14:textId="77777777" w:rsidR="0080354E" w:rsidRDefault="0080354E" w:rsidP="0080354E">
      <w:pPr>
        <w:jc w:val="center"/>
      </w:pPr>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20005C08" w:rsidR="00774EB6" w:rsidRDefault="0080354E" w:rsidP="0080354E">
      <w:pPr>
        <w:jc w:val="right"/>
      </w:pPr>
      <w:r>
        <w:t xml:space="preserve">CASE NO.: </w:t>
      </w:r>
      <w:r w:rsidR="00FD36F6">
        <w:t>A269/2021</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7A1EA14D" w14:textId="030BE9EE" w:rsidR="00E8574B" w:rsidRPr="00774EB6" w:rsidRDefault="00FD36F6" w:rsidP="00564B22">
            <w:pPr>
              <w:jc w:val="both"/>
            </w:pPr>
            <w:r>
              <w:t xml:space="preserve">NATIONAL CONSUMER COMMISSION </w:t>
            </w:r>
          </w:p>
        </w:tc>
        <w:tc>
          <w:tcPr>
            <w:tcW w:w="2823" w:type="dxa"/>
          </w:tcPr>
          <w:p w14:paraId="0E92BB92" w14:textId="094C414D" w:rsidR="002909C1" w:rsidRDefault="00FD066F" w:rsidP="000F054C">
            <w:pPr>
              <w:ind w:right="448"/>
              <w:jc w:val="right"/>
            </w:pPr>
            <w:r>
              <w:t>Appellant</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23F5B39E" w14:textId="1E60DEF9" w:rsidR="0080354E" w:rsidRDefault="000F054C" w:rsidP="00564B22">
            <w:pPr>
              <w:jc w:val="both"/>
            </w:pPr>
            <w:r>
              <w:t>A</w:t>
            </w:r>
            <w:r w:rsidR="0080354E">
              <w:t>nd</w:t>
            </w:r>
          </w:p>
          <w:p w14:paraId="7D331419" w14:textId="77777777" w:rsidR="000F054C" w:rsidRDefault="000F054C" w:rsidP="00564B22">
            <w:pPr>
              <w:jc w:val="both"/>
            </w:pPr>
          </w:p>
          <w:p w14:paraId="7BF1DAAF" w14:textId="324787D7" w:rsidR="000F054C" w:rsidRDefault="000F054C"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03414236" w14:textId="77777777" w:rsidR="009F48E5" w:rsidRDefault="00FD36F6" w:rsidP="00394333">
            <w:pPr>
              <w:jc w:val="both"/>
            </w:pPr>
            <w:r>
              <w:t>SCOOP CLOTHING</w:t>
            </w:r>
            <w:r w:rsidR="005B6365">
              <w:t xml:space="preserve"> CC</w:t>
            </w:r>
          </w:p>
          <w:p w14:paraId="7F8394BD" w14:textId="77777777" w:rsidR="005B6365" w:rsidRDefault="005B6365" w:rsidP="00394333">
            <w:pPr>
              <w:jc w:val="both"/>
            </w:pPr>
          </w:p>
          <w:p w14:paraId="41393DE4" w14:textId="31C6019C" w:rsidR="005B6365" w:rsidRPr="00774EB6" w:rsidRDefault="005B6365" w:rsidP="00394333">
            <w:pPr>
              <w:jc w:val="both"/>
            </w:pPr>
            <w:r>
              <w:t>THE NATIONAL CONSUMER TRIBUNAL</w:t>
            </w:r>
          </w:p>
        </w:tc>
        <w:tc>
          <w:tcPr>
            <w:tcW w:w="2823" w:type="dxa"/>
          </w:tcPr>
          <w:p w14:paraId="115DD753" w14:textId="54ED76C1" w:rsidR="00D36F47" w:rsidRDefault="00D36F47" w:rsidP="00564B22">
            <w:pPr>
              <w:jc w:val="right"/>
            </w:pPr>
          </w:p>
          <w:p w14:paraId="586FE167" w14:textId="77777777" w:rsidR="002909C1" w:rsidRDefault="005B6365" w:rsidP="000F054C">
            <w:pPr>
              <w:ind w:right="306"/>
              <w:jc w:val="right"/>
            </w:pPr>
            <w:r>
              <w:t xml:space="preserve">First </w:t>
            </w:r>
            <w:r w:rsidR="00FD066F">
              <w:t>Respondent</w:t>
            </w:r>
          </w:p>
          <w:p w14:paraId="0E812B27" w14:textId="77777777" w:rsidR="005B6365" w:rsidRDefault="005B6365" w:rsidP="0011627D">
            <w:pPr>
              <w:jc w:val="right"/>
            </w:pPr>
          </w:p>
          <w:p w14:paraId="400FA715" w14:textId="06647163" w:rsidR="005B6365" w:rsidRDefault="005B6365" w:rsidP="000F054C">
            <w:pPr>
              <w:ind w:right="306"/>
              <w:jc w:val="right"/>
            </w:pPr>
            <w:r>
              <w:t>Second Respondent</w:t>
            </w:r>
          </w:p>
        </w:tc>
      </w:tr>
    </w:tbl>
    <w:p w14:paraId="427D595A" w14:textId="77777777" w:rsidR="0080354E" w:rsidRDefault="0080354E" w:rsidP="0080354E">
      <w:pPr>
        <w:pBdr>
          <w:bottom w:val="single" w:sz="12" w:space="1" w:color="auto"/>
        </w:pBdr>
        <w:jc w:val="both"/>
      </w:pPr>
    </w:p>
    <w:p w14:paraId="5DD9B99F" w14:textId="77777777"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7358549F" w14:textId="536932CC" w:rsidR="00962CFE" w:rsidRPr="000F054C" w:rsidRDefault="00564B22" w:rsidP="000F054C">
      <w:pPr>
        <w:spacing w:line="360" w:lineRule="auto"/>
        <w:ind w:left="720" w:hanging="720"/>
        <w:jc w:val="both"/>
        <w:rPr>
          <w:rFonts w:cs="Arial"/>
        </w:rPr>
      </w:pPr>
      <w:r w:rsidRPr="000F054C">
        <w:rPr>
          <w:rFonts w:cs="Arial"/>
        </w:rPr>
        <w:lastRenderedPageBreak/>
        <w:t>[1]</w:t>
      </w:r>
      <w:r w:rsidRPr="000F054C">
        <w:rPr>
          <w:rFonts w:cs="Arial"/>
        </w:rPr>
        <w:tab/>
      </w:r>
      <w:r w:rsidR="009A2E9A" w:rsidRPr="000F054C">
        <w:rPr>
          <w:rFonts w:cs="Arial"/>
        </w:rPr>
        <w:t>The National Consumer Commission, the appellant</w:t>
      </w:r>
      <w:r w:rsidR="005920A8" w:rsidRPr="000F054C">
        <w:rPr>
          <w:rFonts w:cs="Arial"/>
        </w:rPr>
        <w:t>,</w:t>
      </w:r>
      <w:r w:rsidR="009A2E9A" w:rsidRPr="000F054C">
        <w:rPr>
          <w:rFonts w:cs="Arial"/>
        </w:rPr>
        <w:t xml:space="preserve"> appealed against the decision by the National Consumer Tribunal, the second respondent, to review and set aside a Compliance Notice issued in terms of the Consumer Protection Act.</w:t>
      </w:r>
    </w:p>
    <w:p w14:paraId="745EBBAF" w14:textId="230EF5BF" w:rsidR="009A2E9A" w:rsidRPr="000F054C" w:rsidRDefault="009A2E9A" w:rsidP="000F054C">
      <w:pPr>
        <w:spacing w:line="360" w:lineRule="auto"/>
        <w:ind w:left="720" w:hanging="720"/>
        <w:jc w:val="both"/>
        <w:rPr>
          <w:rFonts w:cs="Arial"/>
        </w:rPr>
      </w:pPr>
      <w:r w:rsidRPr="000F054C">
        <w:rPr>
          <w:rFonts w:cs="Arial"/>
        </w:rPr>
        <w:t>[2]</w:t>
      </w:r>
      <w:r w:rsidRPr="000F054C">
        <w:rPr>
          <w:rFonts w:cs="Arial"/>
        </w:rPr>
        <w:tab/>
        <w:t>The first respondent, Scoop Clothing CC, filed a notice to abide the decision of the Court of Appeal. The second respondent did not oppose the appeal</w:t>
      </w:r>
      <w:r w:rsidR="005920A8" w:rsidRPr="000F054C">
        <w:rPr>
          <w:rFonts w:cs="Arial"/>
        </w:rPr>
        <w:t>.  P</w:t>
      </w:r>
      <w:r w:rsidRPr="000F054C">
        <w:rPr>
          <w:rFonts w:cs="Arial"/>
        </w:rPr>
        <w:t>resumably</w:t>
      </w:r>
      <w:r w:rsidR="005920A8" w:rsidRPr="000F054C">
        <w:rPr>
          <w:rFonts w:cs="Arial"/>
        </w:rPr>
        <w:t xml:space="preserve"> it</w:t>
      </w:r>
      <w:r w:rsidRPr="000F054C">
        <w:rPr>
          <w:rFonts w:cs="Arial"/>
        </w:rPr>
        <w:t xml:space="preserve"> will abide the Appeal Court’</w:t>
      </w:r>
      <w:r w:rsidR="00FE2195" w:rsidRPr="000F054C">
        <w:rPr>
          <w:rFonts w:cs="Arial"/>
        </w:rPr>
        <w:t>s decis</w:t>
      </w:r>
      <w:r w:rsidRPr="000F054C">
        <w:rPr>
          <w:rFonts w:cs="Arial"/>
        </w:rPr>
        <w:t>ion.</w:t>
      </w:r>
    </w:p>
    <w:p w14:paraId="4A2C55C1" w14:textId="7B54D05F" w:rsidR="009A2E9A" w:rsidRPr="000F054C" w:rsidRDefault="009A2E9A" w:rsidP="000F054C">
      <w:pPr>
        <w:spacing w:line="360" w:lineRule="auto"/>
        <w:ind w:left="720" w:hanging="720"/>
        <w:jc w:val="both"/>
        <w:rPr>
          <w:rFonts w:cs="Arial"/>
        </w:rPr>
      </w:pPr>
    </w:p>
    <w:p w14:paraId="7FCACBA9" w14:textId="05B6D9EF" w:rsidR="009A2E9A" w:rsidRPr="000F054C" w:rsidRDefault="009A2E9A" w:rsidP="000F054C">
      <w:pPr>
        <w:spacing w:line="360" w:lineRule="auto"/>
        <w:ind w:left="720" w:hanging="720"/>
        <w:jc w:val="both"/>
        <w:rPr>
          <w:rFonts w:cs="Arial"/>
        </w:rPr>
      </w:pPr>
      <w:r w:rsidRPr="000F054C">
        <w:rPr>
          <w:rFonts w:cs="Arial"/>
        </w:rPr>
        <w:t>[3]</w:t>
      </w:r>
      <w:r w:rsidRPr="000F054C">
        <w:rPr>
          <w:rFonts w:cs="Arial"/>
        </w:rPr>
        <w:tab/>
        <w:t xml:space="preserve">An application was launched by </w:t>
      </w:r>
      <w:r w:rsidR="00FE2195" w:rsidRPr="000F054C">
        <w:rPr>
          <w:rFonts w:cs="Arial"/>
        </w:rPr>
        <w:t>the South African Clothing and Textile Workers Union (SACTWU) for leave to intervene</w:t>
      </w:r>
      <w:r w:rsidR="005920A8" w:rsidRPr="000F054C">
        <w:rPr>
          <w:rFonts w:cs="Arial"/>
        </w:rPr>
        <w:t xml:space="preserve"> primarily</w:t>
      </w:r>
      <w:r w:rsidR="00FE2195" w:rsidRPr="000F054C">
        <w:rPr>
          <w:rFonts w:cs="Arial"/>
        </w:rPr>
        <w:t xml:space="preserve"> </w:t>
      </w:r>
      <w:r w:rsidR="005920A8" w:rsidRPr="000F054C">
        <w:rPr>
          <w:rFonts w:cs="Arial"/>
        </w:rPr>
        <w:t>upon the ground that its member</w:t>
      </w:r>
      <w:r w:rsidR="00FE2195" w:rsidRPr="000F054C">
        <w:rPr>
          <w:rFonts w:cs="Arial"/>
        </w:rPr>
        <w:t>s</w:t>
      </w:r>
      <w:r w:rsidR="005920A8" w:rsidRPr="000F054C">
        <w:rPr>
          <w:rFonts w:cs="Arial"/>
        </w:rPr>
        <w:t>’</w:t>
      </w:r>
      <w:r w:rsidR="00FE2195" w:rsidRPr="000F054C">
        <w:rPr>
          <w:rFonts w:cs="Arial"/>
        </w:rPr>
        <w:t xml:space="preserve"> rights to job security were at stake.</w:t>
      </w:r>
    </w:p>
    <w:p w14:paraId="4C33AE9F" w14:textId="4D1751F4" w:rsidR="00FE2195" w:rsidRPr="000F054C" w:rsidRDefault="00FE2195" w:rsidP="000F054C">
      <w:pPr>
        <w:spacing w:line="360" w:lineRule="auto"/>
        <w:ind w:left="720" w:hanging="720"/>
        <w:jc w:val="both"/>
        <w:rPr>
          <w:rFonts w:cs="Arial"/>
        </w:rPr>
      </w:pPr>
    </w:p>
    <w:p w14:paraId="12AFE798" w14:textId="501C1CB0" w:rsidR="00FE2195" w:rsidRPr="000F054C" w:rsidRDefault="00FE2195" w:rsidP="000F054C">
      <w:pPr>
        <w:spacing w:line="360" w:lineRule="auto"/>
        <w:ind w:left="720" w:hanging="720"/>
        <w:jc w:val="both"/>
        <w:rPr>
          <w:rFonts w:cs="Arial"/>
        </w:rPr>
      </w:pPr>
      <w:r w:rsidRPr="000F054C">
        <w:rPr>
          <w:rFonts w:cs="Arial"/>
        </w:rPr>
        <w:t>[4]</w:t>
      </w:r>
      <w:r w:rsidRPr="000F054C">
        <w:rPr>
          <w:rFonts w:cs="Arial"/>
        </w:rPr>
        <w:tab/>
        <w:t xml:space="preserve">The review decision followed upon an application by </w:t>
      </w:r>
      <w:r w:rsidR="00E570AE" w:rsidRPr="000F054C">
        <w:rPr>
          <w:rFonts w:cs="Arial"/>
        </w:rPr>
        <w:t>the first respondent to have a Notice of Compliance reviewed and set aside. That application was successful.</w:t>
      </w:r>
      <w:r w:rsidR="004B37A1" w:rsidRPr="000F054C">
        <w:rPr>
          <w:rFonts w:cs="Arial"/>
        </w:rPr>
        <w:t xml:space="preserve"> The appellant opposed that application. An answering affidavit was filed by the appellant.</w:t>
      </w:r>
    </w:p>
    <w:p w14:paraId="6BFCBA0A" w14:textId="04B18C42" w:rsidR="00E570AE" w:rsidRPr="000F054C" w:rsidRDefault="00E570AE" w:rsidP="000F054C">
      <w:pPr>
        <w:spacing w:line="360" w:lineRule="auto"/>
        <w:ind w:left="720" w:hanging="720"/>
        <w:jc w:val="both"/>
        <w:rPr>
          <w:rFonts w:cs="Arial"/>
        </w:rPr>
      </w:pPr>
    </w:p>
    <w:p w14:paraId="2A5E757A" w14:textId="7E022AA9" w:rsidR="00E570AE" w:rsidRPr="000F054C" w:rsidRDefault="00E570AE" w:rsidP="000F054C">
      <w:pPr>
        <w:spacing w:line="360" w:lineRule="auto"/>
        <w:ind w:left="720" w:hanging="720"/>
        <w:jc w:val="both"/>
        <w:rPr>
          <w:rFonts w:cs="Arial"/>
        </w:rPr>
      </w:pPr>
      <w:r w:rsidRPr="000F054C">
        <w:rPr>
          <w:rFonts w:cs="Arial"/>
        </w:rPr>
        <w:t>[5]</w:t>
      </w:r>
      <w:r w:rsidRPr="000F054C">
        <w:rPr>
          <w:rFonts w:cs="Arial"/>
        </w:rPr>
        <w:tab/>
        <w:t>The Notice of Compliance was issued by the appellant that followed upon a detention notice that was received by the appellant from the South African Revenue Services, Customs, in respect of alleged contraventions of the Consumer Protection Act, 68 of 2008. A consignment o</w:t>
      </w:r>
      <w:r w:rsidR="00302ACD" w:rsidRPr="000F054C">
        <w:rPr>
          <w:rFonts w:cs="Arial"/>
        </w:rPr>
        <w:t>f imported goods, the alleged proper</w:t>
      </w:r>
      <w:r w:rsidR="005920A8" w:rsidRPr="000F054C">
        <w:rPr>
          <w:rFonts w:cs="Arial"/>
        </w:rPr>
        <w:t>ty of the first respondent, was</w:t>
      </w:r>
      <w:r w:rsidR="00302ACD" w:rsidRPr="000F054C">
        <w:rPr>
          <w:rFonts w:cs="Arial"/>
        </w:rPr>
        <w:t xml:space="preserve"> detained on the basis that the goods did not comply with the labelling requirements of Regulation 6 of the Regulations</w:t>
      </w:r>
      <w:r w:rsidR="005920A8" w:rsidRPr="000F054C">
        <w:rPr>
          <w:rFonts w:cs="Arial"/>
        </w:rPr>
        <w:t xml:space="preserve"> promulgated</w:t>
      </w:r>
      <w:r w:rsidR="00302ACD" w:rsidRPr="000F054C">
        <w:rPr>
          <w:rFonts w:cs="Arial"/>
        </w:rPr>
        <w:t xml:space="preserve"> in terms of section 120 of the Consumer Protection Act.</w:t>
      </w:r>
      <w:r w:rsidR="00ED78A3" w:rsidRPr="000F054C">
        <w:rPr>
          <w:rFonts w:cs="Arial"/>
        </w:rPr>
        <w:t xml:space="preserve"> The non-compliance of the relevant regulations related to the absence of the trade description and country of origin. In addition, the labelling on the goods did not conform to the South African national standards for fibre content and care labelling as required</w:t>
      </w:r>
      <w:r w:rsidR="004C145C" w:rsidRPr="000F054C">
        <w:rPr>
          <w:rFonts w:cs="Arial"/>
        </w:rPr>
        <w:t xml:space="preserve"> by Law</w:t>
      </w:r>
      <w:r w:rsidR="00ED78A3" w:rsidRPr="000F054C">
        <w:rPr>
          <w:rFonts w:cs="Arial"/>
        </w:rPr>
        <w:t>.</w:t>
      </w:r>
    </w:p>
    <w:p w14:paraId="34C94461" w14:textId="32D6E1E8" w:rsidR="008541B1" w:rsidRPr="000F054C" w:rsidRDefault="008541B1" w:rsidP="000F054C">
      <w:pPr>
        <w:spacing w:line="360" w:lineRule="auto"/>
        <w:ind w:left="720" w:hanging="720"/>
        <w:jc w:val="both"/>
        <w:rPr>
          <w:rFonts w:cs="Arial"/>
        </w:rPr>
      </w:pPr>
    </w:p>
    <w:p w14:paraId="78A545C3" w14:textId="411118E4" w:rsidR="008541B1" w:rsidRPr="000F054C" w:rsidRDefault="008541B1" w:rsidP="000F054C">
      <w:pPr>
        <w:spacing w:line="360" w:lineRule="auto"/>
        <w:ind w:left="720" w:hanging="720"/>
        <w:jc w:val="both"/>
        <w:rPr>
          <w:rFonts w:cs="Arial"/>
        </w:rPr>
      </w:pPr>
      <w:r w:rsidRPr="000F054C">
        <w:rPr>
          <w:rFonts w:cs="Arial"/>
        </w:rPr>
        <w:t>[6]</w:t>
      </w:r>
      <w:r w:rsidRPr="000F054C">
        <w:rPr>
          <w:rFonts w:cs="Arial"/>
        </w:rPr>
        <w:tab/>
        <w:t>The Compliance Notice required the first respondent to:</w:t>
      </w:r>
    </w:p>
    <w:p w14:paraId="47F4C762" w14:textId="4EFE641B" w:rsidR="008541B1" w:rsidRPr="000F054C" w:rsidRDefault="008541B1" w:rsidP="000F054C">
      <w:pPr>
        <w:spacing w:line="360" w:lineRule="auto"/>
        <w:ind w:left="720" w:hanging="720"/>
        <w:jc w:val="both"/>
        <w:rPr>
          <w:rFonts w:cs="Arial"/>
        </w:rPr>
      </w:pPr>
    </w:p>
    <w:p w14:paraId="105348DC" w14:textId="076C6060" w:rsidR="008541B1" w:rsidRPr="006A4FF0" w:rsidRDefault="006A4FF0" w:rsidP="006A4FF0">
      <w:pPr>
        <w:spacing w:line="360" w:lineRule="auto"/>
        <w:ind w:left="2127" w:hanging="687"/>
        <w:jc w:val="both"/>
        <w:rPr>
          <w:rFonts w:cs="Arial"/>
        </w:rPr>
      </w:pPr>
      <w:r w:rsidRPr="000F054C">
        <w:rPr>
          <w:rFonts w:eastAsia="SimSun" w:cs="Arial"/>
          <w:lang w:eastAsia="zh-CN"/>
        </w:rPr>
        <w:t>(a)</w:t>
      </w:r>
      <w:r w:rsidRPr="000F054C">
        <w:rPr>
          <w:rFonts w:eastAsia="SimSun" w:cs="Arial"/>
          <w:lang w:eastAsia="zh-CN"/>
        </w:rPr>
        <w:tab/>
      </w:r>
      <w:r w:rsidR="008541B1" w:rsidRPr="006A4FF0">
        <w:rPr>
          <w:rFonts w:cs="Arial"/>
        </w:rPr>
        <w:t>Remove the non-compliant goods back to their country</w:t>
      </w:r>
      <w:r w:rsidR="00E7405A" w:rsidRPr="006A4FF0">
        <w:rPr>
          <w:rFonts w:cs="Arial"/>
        </w:rPr>
        <w:t xml:space="preserve"> of origin; alternatively  </w:t>
      </w:r>
    </w:p>
    <w:p w14:paraId="39DA760C" w14:textId="77777777" w:rsidR="00E7405A" w:rsidRPr="000F054C" w:rsidRDefault="00E7405A" w:rsidP="000F054C">
      <w:pPr>
        <w:pStyle w:val="ListParagraph"/>
        <w:spacing w:line="360" w:lineRule="auto"/>
        <w:ind w:left="2127"/>
        <w:jc w:val="both"/>
        <w:rPr>
          <w:rFonts w:ascii="Arial" w:hAnsi="Arial" w:cs="Arial"/>
        </w:rPr>
      </w:pPr>
    </w:p>
    <w:p w14:paraId="2D63A702" w14:textId="4C034165" w:rsidR="00E7405A" w:rsidRPr="006A4FF0" w:rsidRDefault="006A4FF0" w:rsidP="006A4FF0">
      <w:pPr>
        <w:spacing w:line="360" w:lineRule="auto"/>
        <w:ind w:left="2127" w:hanging="687"/>
        <w:jc w:val="both"/>
        <w:rPr>
          <w:rFonts w:cs="Arial"/>
        </w:rPr>
      </w:pPr>
      <w:r w:rsidRPr="000F054C">
        <w:rPr>
          <w:rFonts w:eastAsia="SimSun" w:cs="Arial"/>
          <w:lang w:eastAsia="zh-CN"/>
        </w:rPr>
        <w:t>(b)</w:t>
      </w:r>
      <w:r w:rsidRPr="000F054C">
        <w:rPr>
          <w:rFonts w:eastAsia="SimSun" w:cs="Arial"/>
          <w:lang w:eastAsia="zh-CN"/>
        </w:rPr>
        <w:tab/>
      </w:r>
      <w:r w:rsidR="00E7405A" w:rsidRPr="006A4FF0">
        <w:rPr>
          <w:rFonts w:cs="Arial"/>
        </w:rPr>
        <w:t>To destroy the non-compliant goods; and</w:t>
      </w:r>
    </w:p>
    <w:p w14:paraId="4581D9C3" w14:textId="77777777" w:rsidR="00E7405A" w:rsidRPr="000F054C" w:rsidRDefault="00E7405A" w:rsidP="000F054C">
      <w:pPr>
        <w:pStyle w:val="ListParagraph"/>
        <w:spacing w:line="360" w:lineRule="auto"/>
        <w:rPr>
          <w:rFonts w:ascii="Arial" w:hAnsi="Arial" w:cs="Arial"/>
        </w:rPr>
      </w:pPr>
    </w:p>
    <w:p w14:paraId="046286A7" w14:textId="2B55069E" w:rsidR="00E7405A" w:rsidRPr="006A4FF0" w:rsidRDefault="006A4FF0" w:rsidP="006A4FF0">
      <w:pPr>
        <w:spacing w:line="360" w:lineRule="auto"/>
        <w:ind w:left="2127" w:hanging="687"/>
        <w:jc w:val="both"/>
        <w:rPr>
          <w:rFonts w:cs="Arial"/>
        </w:rPr>
      </w:pPr>
      <w:r w:rsidRPr="000F054C">
        <w:rPr>
          <w:rFonts w:eastAsia="SimSun" w:cs="Arial"/>
          <w:lang w:eastAsia="zh-CN"/>
        </w:rPr>
        <w:t>(c)</w:t>
      </w:r>
      <w:r w:rsidRPr="000F054C">
        <w:rPr>
          <w:rFonts w:eastAsia="SimSun" w:cs="Arial"/>
          <w:lang w:eastAsia="zh-CN"/>
        </w:rPr>
        <w:tab/>
      </w:r>
      <w:r w:rsidR="00E7405A" w:rsidRPr="006A4FF0">
        <w:rPr>
          <w:rFonts w:cs="Arial"/>
        </w:rPr>
        <w:t>To refrain from importing goods in contravention of the provisions of the Consumer Protection Act.</w:t>
      </w:r>
    </w:p>
    <w:p w14:paraId="248F7B74" w14:textId="28A53965" w:rsidR="00302ACD" w:rsidRPr="000F054C" w:rsidRDefault="00302ACD" w:rsidP="000F054C">
      <w:pPr>
        <w:spacing w:line="360" w:lineRule="auto"/>
        <w:ind w:left="720" w:hanging="720"/>
        <w:jc w:val="both"/>
        <w:rPr>
          <w:rFonts w:cs="Arial"/>
        </w:rPr>
      </w:pPr>
    </w:p>
    <w:p w14:paraId="65979462" w14:textId="11BECA2F" w:rsidR="00302ACD" w:rsidRPr="000F054C" w:rsidRDefault="00A90BBF" w:rsidP="000F054C">
      <w:pPr>
        <w:spacing w:line="360" w:lineRule="auto"/>
        <w:ind w:left="720" w:hanging="720"/>
        <w:jc w:val="both"/>
        <w:rPr>
          <w:rFonts w:cs="Arial"/>
        </w:rPr>
      </w:pPr>
      <w:r w:rsidRPr="000F054C">
        <w:rPr>
          <w:rFonts w:cs="Arial"/>
        </w:rPr>
        <w:t>[7</w:t>
      </w:r>
      <w:r w:rsidR="00302ACD" w:rsidRPr="000F054C">
        <w:rPr>
          <w:rFonts w:cs="Arial"/>
        </w:rPr>
        <w:t>]</w:t>
      </w:r>
      <w:r w:rsidR="00302ACD" w:rsidRPr="000F054C">
        <w:rPr>
          <w:rFonts w:cs="Arial"/>
        </w:rPr>
        <w:tab/>
      </w:r>
      <w:r w:rsidR="004B37A1" w:rsidRPr="000F054C">
        <w:rPr>
          <w:rFonts w:cs="Arial"/>
        </w:rPr>
        <w:t>T</w:t>
      </w:r>
      <w:r w:rsidR="009F67EB" w:rsidRPr="000F054C">
        <w:rPr>
          <w:rFonts w:cs="Arial"/>
        </w:rPr>
        <w:t>his appeal wa</w:t>
      </w:r>
      <w:r w:rsidR="00284118" w:rsidRPr="000F054C">
        <w:rPr>
          <w:rFonts w:cs="Arial"/>
        </w:rPr>
        <w:t>s premised upon a number of</w:t>
      </w:r>
      <w:r w:rsidR="004B37A1" w:rsidRPr="000F054C">
        <w:rPr>
          <w:rFonts w:cs="Arial"/>
        </w:rPr>
        <w:t xml:space="preserve"> grounds</w:t>
      </w:r>
      <w:r w:rsidR="00284118" w:rsidRPr="000F054C">
        <w:rPr>
          <w:rFonts w:cs="Arial"/>
        </w:rPr>
        <w:t>, namely</w:t>
      </w:r>
      <w:r w:rsidR="004B37A1" w:rsidRPr="000F054C">
        <w:rPr>
          <w:rFonts w:cs="Arial"/>
        </w:rPr>
        <w:t>:</w:t>
      </w:r>
    </w:p>
    <w:p w14:paraId="59A87F4A" w14:textId="2C5BA435" w:rsidR="004B37A1" w:rsidRPr="000F054C" w:rsidRDefault="004B37A1" w:rsidP="000F054C">
      <w:pPr>
        <w:spacing w:line="360" w:lineRule="auto"/>
        <w:ind w:left="720" w:hanging="720"/>
        <w:jc w:val="both"/>
        <w:rPr>
          <w:rFonts w:cs="Arial"/>
        </w:rPr>
      </w:pPr>
    </w:p>
    <w:p w14:paraId="52B751AE" w14:textId="5A1B0FD9" w:rsidR="004B37A1" w:rsidRPr="006A4FF0" w:rsidRDefault="006A4FF0" w:rsidP="006A4FF0">
      <w:pPr>
        <w:spacing w:line="360" w:lineRule="auto"/>
        <w:ind w:left="1985" w:hanging="567"/>
        <w:jc w:val="both"/>
        <w:rPr>
          <w:rFonts w:cs="Arial"/>
        </w:rPr>
      </w:pPr>
      <w:r w:rsidRPr="000F054C">
        <w:rPr>
          <w:rFonts w:eastAsia="SimSun" w:cs="Arial"/>
          <w:lang w:eastAsia="zh-CN"/>
        </w:rPr>
        <w:t>(a)</w:t>
      </w:r>
      <w:r w:rsidRPr="000F054C">
        <w:rPr>
          <w:rFonts w:eastAsia="SimSun" w:cs="Arial"/>
          <w:lang w:eastAsia="zh-CN"/>
        </w:rPr>
        <w:tab/>
      </w:r>
      <w:r w:rsidR="008C1B43" w:rsidRPr="006A4FF0">
        <w:rPr>
          <w:rFonts w:cs="Arial"/>
        </w:rPr>
        <w:t>The alleged requirement that the Compliance Notice was to have contained the results of an investigation by an inspector on behalf of the appellant, together with the details of the investigation process and substantiation of allegations</w:t>
      </w:r>
      <w:r w:rsidR="00284118" w:rsidRPr="006A4FF0">
        <w:rPr>
          <w:rFonts w:cs="Arial"/>
        </w:rPr>
        <w:t xml:space="preserve"> and thereby no investigation was conducted in terms of section 7(3) of the Consumer Protection Act</w:t>
      </w:r>
      <w:r w:rsidR="008C1B43" w:rsidRPr="006A4FF0">
        <w:rPr>
          <w:rFonts w:cs="Arial"/>
        </w:rPr>
        <w:t xml:space="preserve">; </w:t>
      </w:r>
    </w:p>
    <w:p w14:paraId="0F4864F2" w14:textId="77777777" w:rsidR="008C1B43" w:rsidRPr="000F054C" w:rsidRDefault="008C1B43" w:rsidP="000F054C">
      <w:pPr>
        <w:pStyle w:val="ListParagraph"/>
        <w:spacing w:line="360" w:lineRule="auto"/>
        <w:ind w:left="1985"/>
        <w:jc w:val="both"/>
        <w:rPr>
          <w:rFonts w:ascii="Arial" w:hAnsi="Arial" w:cs="Arial"/>
        </w:rPr>
      </w:pPr>
    </w:p>
    <w:p w14:paraId="11A15B9B" w14:textId="18B12CD2" w:rsidR="00284118" w:rsidRPr="006A4FF0" w:rsidRDefault="006A4FF0" w:rsidP="006A4FF0">
      <w:pPr>
        <w:spacing w:line="360" w:lineRule="auto"/>
        <w:ind w:left="1985" w:hanging="567"/>
        <w:jc w:val="both"/>
        <w:rPr>
          <w:rFonts w:cs="Arial"/>
        </w:rPr>
      </w:pPr>
      <w:r w:rsidRPr="000F054C">
        <w:rPr>
          <w:rFonts w:eastAsia="SimSun" w:cs="Arial"/>
          <w:lang w:eastAsia="zh-CN"/>
        </w:rPr>
        <w:t>(b)</w:t>
      </w:r>
      <w:r w:rsidRPr="000F054C">
        <w:rPr>
          <w:rFonts w:eastAsia="SimSun" w:cs="Arial"/>
          <w:lang w:eastAsia="zh-CN"/>
        </w:rPr>
        <w:tab/>
      </w:r>
      <w:r w:rsidR="00284118" w:rsidRPr="006A4FF0">
        <w:rPr>
          <w:rFonts w:cs="Arial"/>
        </w:rPr>
        <w:t>The Compliance Notice was defective in that the actions of the appellant prior to the issuing of that notice did not constitute just administrative action</w:t>
      </w:r>
      <w:r w:rsidR="00167739" w:rsidRPr="006A4FF0">
        <w:rPr>
          <w:rFonts w:cs="Arial"/>
        </w:rPr>
        <w:t xml:space="preserve"> in terms of section 3 of PAJA</w:t>
      </w:r>
      <w:r w:rsidR="00284118" w:rsidRPr="006A4FF0">
        <w:rPr>
          <w:rFonts w:cs="Arial"/>
        </w:rPr>
        <w:t>;</w:t>
      </w:r>
    </w:p>
    <w:p w14:paraId="46AA3C47" w14:textId="77777777" w:rsidR="00284118" w:rsidRPr="000F054C" w:rsidRDefault="00284118" w:rsidP="000F054C">
      <w:pPr>
        <w:pStyle w:val="ListParagraph"/>
        <w:spacing w:line="360" w:lineRule="auto"/>
        <w:rPr>
          <w:rFonts w:ascii="Arial" w:hAnsi="Arial" w:cs="Arial"/>
        </w:rPr>
      </w:pPr>
    </w:p>
    <w:p w14:paraId="6CF59654" w14:textId="5530004F" w:rsidR="008C1B43" w:rsidRPr="006A4FF0" w:rsidRDefault="006A4FF0" w:rsidP="006A4FF0">
      <w:pPr>
        <w:spacing w:line="360" w:lineRule="auto"/>
        <w:ind w:left="1985" w:hanging="567"/>
        <w:jc w:val="both"/>
        <w:rPr>
          <w:rFonts w:cs="Arial"/>
        </w:rPr>
      </w:pPr>
      <w:r w:rsidRPr="000F054C">
        <w:rPr>
          <w:rFonts w:eastAsia="SimSun" w:cs="Arial"/>
          <w:lang w:eastAsia="zh-CN"/>
        </w:rPr>
        <w:t>(c)</w:t>
      </w:r>
      <w:r w:rsidRPr="000F054C">
        <w:rPr>
          <w:rFonts w:eastAsia="SimSun" w:cs="Arial"/>
          <w:lang w:eastAsia="zh-CN"/>
        </w:rPr>
        <w:tab/>
      </w:r>
      <w:r w:rsidR="008C1B43" w:rsidRPr="006A4FF0">
        <w:rPr>
          <w:rFonts w:cs="Arial"/>
        </w:rPr>
        <w:t>The disregard of the content of the answering affidavit filed on behalf of the appellant on the basis of the lacking of the attaching the Inspector’s report;</w:t>
      </w:r>
    </w:p>
    <w:p w14:paraId="57698CDE" w14:textId="77777777" w:rsidR="00284118" w:rsidRPr="000F054C" w:rsidRDefault="00284118" w:rsidP="000F054C">
      <w:pPr>
        <w:pStyle w:val="ListParagraph"/>
        <w:spacing w:line="360" w:lineRule="auto"/>
        <w:rPr>
          <w:rFonts w:ascii="Arial" w:hAnsi="Arial" w:cs="Arial"/>
        </w:rPr>
      </w:pPr>
    </w:p>
    <w:p w14:paraId="04EEF401" w14:textId="132AD6F4" w:rsidR="00284118" w:rsidRPr="006A4FF0" w:rsidRDefault="006A4FF0" w:rsidP="006A4FF0">
      <w:pPr>
        <w:spacing w:line="360" w:lineRule="auto"/>
        <w:ind w:left="1985" w:hanging="567"/>
        <w:jc w:val="both"/>
        <w:rPr>
          <w:rFonts w:cs="Arial"/>
        </w:rPr>
      </w:pPr>
      <w:r w:rsidRPr="000F054C">
        <w:rPr>
          <w:rFonts w:eastAsia="SimSun" w:cs="Arial"/>
          <w:lang w:eastAsia="zh-CN"/>
        </w:rPr>
        <w:t>(d)</w:t>
      </w:r>
      <w:r w:rsidRPr="000F054C">
        <w:rPr>
          <w:rFonts w:eastAsia="SimSun" w:cs="Arial"/>
          <w:lang w:eastAsia="zh-CN"/>
        </w:rPr>
        <w:tab/>
      </w:r>
      <w:r w:rsidR="00284118" w:rsidRPr="006A4FF0">
        <w:rPr>
          <w:rFonts w:cs="Arial"/>
        </w:rPr>
        <w:t>That the Compliance Notice Directive was “punitive” in nature;</w:t>
      </w:r>
    </w:p>
    <w:p w14:paraId="082AD445" w14:textId="77777777" w:rsidR="00167739" w:rsidRPr="000F054C" w:rsidRDefault="00167739" w:rsidP="000F054C">
      <w:pPr>
        <w:pStyle w:val="ListParagraph"/>
        <w:spacing w:line="360" w:lineRule="auto"/>
        <w:rPr>
          <w:rFonts w:ascii="Arial" w:hAnsi="Arial" w:cs="Arial"/>
        </w:rPr>
      </w:pPr>
    </w:p>
    <w:p w14:paraId="218453EF" w14:textId="28A249F0" w:rsidR="00167739" w:rsidRPr="006A4FF0" w:rsidRDefault="006A4FF0" w:rsidP="006A4FF0">
      <w:pPr>
        <w:spacing w:line="360" w:lineRule="auto"/>
        <w:ind w:left="1985" w:hanging="567"/>
        <w:jc w:val="both"/>
        <w:rPr>
          <w:rFonts w:cs="Arial"/>
        </w:rPr>
      </w:pPr>
      <w:r w:rsidRPr="000F054C">
        <w:rPr>
          <w:rFonts w:eastAsia="SimSun" w:cs="Arial"/>
          <w:lang w:eastAsia="zh-CN"/>
        </w:rPr>
        <w:t>(e)</w:t>
      </w:r>
      <w:r w:rsidRPr="000F054C">
        <w:rPr>
          <w:rFonts w:eastAsia="SimSun" w:cs="Arial"/>
          <w:lang w:eastAsia="zh-CN"/>
        </w:rPr>
        <w:tab/>
      </w:r>
      <w:r w:rsidR="00167739" w:rsidRPr="006A4FF0">
        <w:rPr>
          <w:rFonts w:cs="Arial"/>
        </w:rPr>
        <w:t>That the first respondent was not given an opportunity to remedy the non-compliance following on a provisional release;</w:t>
      </w:r>
    </w:p>
    <w:p w14:paraId="156BBA93" w14:textId="77777777" w:rsidR="00284118" w:rsidRPr="000F054C" w:rsidRDefault="00284118" w:rsidP="000F054C">
      <w:pPr>
        <w:pStyle w:val="ListParagraph"/>
        <w:spacing w:line="360" w:lineRule="auto"/>
        <w:rPr>
          <w:rFonts w:ascii="Arial" w:hAnsi="Arial" w:cs="Arial"/>
        </w:rPr>
      </w:pPr>
    </w:p>
    <w:p w14:paraId="5921B43D" w14:textId="56ACF46B" w:rsidR="00167739" w:rsidRPr="006A4FF0" w:rsidRDefault="006A4FF0" w:rsidP="006A4FF0">
      <w:pPr>
        <w:spacing w:line="360" w:lineRule="auto"/>
        <w:ind w:left="1985" w:hanging="567"/>
        <w:jc w:val="both"/>
        <w:rPr>
          <w:rFonts w:cs="Arial"/>
        </w:rPr>
      </w:pPr>
      <w:r w:rsidRPr="000F054C">
        <w:rPr>
          <w:rFonts w:eastAsia="SimSun" w:cs="Arial"/>
          <w:lang w:eastAsia="zh-CN"/>
        </w:rPr>
        <w:t>(f)</w:t>
      </w:r>
      <w:r w:rsidRPr="000F054C">
        <w:rPr>
          <w:rFonts w:eastAsia="SimSun" w:cs="Arial"/>
          <w:lang w:eastAsia="zh-CN"/>
        </w:rPr>
        <w:tab/>
      </w:r>
      <w:r w:rsidR="00167739" w:rsidRPr="006A4FF0">
        <w:rPr>
          <w:rFonts w:cs="Arial"/>
        </w:rPr>
        <w:t>That the goods may be released in terms of the Customs External Policy Clearance Declaration.</w:t>
      </w:r>
    </w:p>
    <w:p w14:paraId="01085E1B" w14:textId="25C3CBA2" w:rsidR="004B37A1" w:rsidRPr="000F054C" w:rsidRDefault="004B37A1" w:rsidP="000F054C">
      <w:pPr>
        <w:spacing w:line="360" w:lineRule="auto"/>
        <w:ind w:left="720" w:hanging="720"/>
        <w:jc w:val="both"/>
        <w:rPr>
          <w:rFonts w:cs="Arial"/>
        </w:rPr>
      </w:pPr>
    </w:p>
    <w:p w14:paraId="6367CB88" w14:textId="2AE0A4E3" w:rsidR="004B37A1" w:rsidRPr="000F054C" w:rsidRDefault="00A90BBF" w:rsidP="000F054C">
      <w:pPr>
        <w:spacing w:line="360" w:lineRule="auto"/>
        <w:ind w:left="720" w:hanging="720"/>
        <w:jc w:val="both"/>
        <w:rPr>
          <w:rFonts w:cs="Arial"/>
        </w:rPr>
      </w:pPr>
      <w:r w:rsidRPr="000F054C">
        <w:rPr>
          <w:rFonts w:cs="Arial"/>
        </w:rPr>
        <w:lastRenderedPageBreak/>
        <w:t>[8</w:t>
      </w:r>
      <w:r w:rsidR="004B37A1" w:rsidRPr="000F054C">
        <w:rPr>
          <w:rFonts w:cs="Arial"/>
        </w:rPr>
        <w:t>]</w:t>
      </w:r>
      <w:r w:rsidR="004B37A1" w:rsidRPr="000F054C">
        <w:rPr>
          <w:rFonts w:cs="Arial"/>
        </w:rPr>
        <w:tab/>
      </w:r>
      <w:r w:rsidR="00167739" w:rsidRPr="000F054C">
        <w:rPr>
          <w:rFonts w:cs="Arial"/>
        </w:rPr>
        <w:t>The appeal is further premised upon the second respondent</w:t>
      </w:r>
      <w:r w:rsidR="00224D48" w:rsidRPr="000F054C">
        <w:rPr>
          <w:rFonts w:cs="Arial"/>
        </w:rPr>
        <w:t xml:space="preserve"> having</w:t>
      </w:r>
      <w:r w:rsidR="00167739" w:rsidRPr="000F054C">
        <w:rPr>
          <w:rFonts w:cs="Arial"/>
        </w:rPr>
        <w:t xml:space="preserve"> erred in the following respects;</w:t>
      </w:r>
    </w:p>
    <w:p w14:paraId="09E3E173" w14:textId="7A5B51EF" w:rsidR="00167739" w:rsidRPr="000F054C" w:rsidRDefault="00167739" w:rsidP="000F054C">
      <w:pPr>
        <w:spacing w:line="360" w:lineRule="auto"/>
        <w:ind w:left="720" w:hanging="720"/>
        <w:jc w:val="both"/>
        <w:rPr>
          <w:rFonts w:cs="Arial"/>
        </w:rPr>
      </w:pPr>
    </w:p>
    <w:p w14:paraId="1C6343CC" w14:textId="120E03E3" w:rsidR="00167739" w:rsidRPr="006A4FF0" w:rsidRDefault="006A4FF0" w:rsidP="006A4FF0">
      <w:pPr>
        <w:spacing w:line="360" w:lineRule="auto"/>
        <w:ind w:left="2160" w:hanging="720"/>
        <w:jc w:val="both"/>
        <w:rPr>
          <w:rFonts w:cs="Arial"/>
        </w:rPr>
      </w:pPr>
      <w:r w:rsidRPr="000F054C">
        <w:rPr>
          <w:rFonts w:eastAsia="SimSun" w:cs="Arial"/>
          <w:lang w:eastAsia="zh-CN"/>
        </w:rPr>
        <w:t>(a)</w:t>
      </w:r>
      <w:r w:rsidRPr="000F054C">
        <w:rPr>
          <w:rFonts w:eastAsia="SimSun" w:cs="Arial"/>
          <w:lang w:eastAsia="zh-CN"/>
        </w:rPr>
        <w:tab/>
      </w:r>
      <w:r w:rsidR="00167739" w:rsidRPr="006A4FF0">
        <w:rPr>
          <w:rFonts w:cs="Arial"/>
        </w:rPr>
        <w:t>granting an order cancelling the Compliance Notice</w:t>
      </w:r>
      <w:r w:rsidR="009F67EB" w:rsidRPr="006A4FF0">
        <w:rPr>
          <w:rFonts w:cs="Arial"/>
        </w:rPr>
        <w:t xml:space="preserve"> </w:t>
      </w:r>
      <w:r w:rsidR="009F67EB" w:rsidRPr="006A4FF0">
        <w:rPr>
          <w:rFonts w:cs="Arial"/>
          <w:i/>
        </w:rPr>
        <w:t>in toto</w:t>
      </w:r>
      <w:r w:rsidR="00167739" w:rsidRPr="006A4FF0">
        <w:rPr>
          <w:rFonts w:cs="Arial"/>
        </w:rPr>
        <w:t>;</w:t>
      </w:r>
    </w:p>
    <w:p w14:paraId="53712695" w14:textId="77777777" w:rsidR="00880090" w:rsidRPr="000F054C" w:rsidRDefault="00880090" w:rsidP="000F054C">
      <w:pPr>
        <w:pStyle w:val="ListParagraph"/>
        <w:spacing w:line="360" w:lineRule="auto"/>
        <w:ind w:left="2160"/>
        <w:jc w:val="both"/>
        <w:rPr>
          <w:rFonts w:ascii="Arial" w:hAnsi="Arial" w:cs="Arial"/>
        </w:rPr>
      </w:pPr>
    </w:p>
    <w:p w14:paraId="0B7394DA" w14:textId="57A5A7D1" w:rsidR="00880090" w:rsidRPr="006A4FF0" w:rsidRDefault="006A4FF0" w:rsidP="006A4FF0">
      <w:pPr>
        <w:spacing w:line="360" w:lineRule="auto"/>
        <w:ind w:left="2160" w:hanging="720"/>
        <w:jc w:val="both"/>
        <w:rPr>
          <w:rFonts w:cs="Arial"/>
        </w:rPr>
      </w:pPr>
      <w:r w:rsidRPr="000F054C">
        <w:rPr>
          <w:rFonts w:eastAsia="SimSun" w:cs="Arial"/>
          <w:lang w:eastAsia="zh-CN"/>
        </w:rPr>
        <w:t>(b)</w:t>
      </w:r>
      <w:r w:rsidRPr="000F054C">
        <w:rPr>
          <w:rFonts w:eastAsia="SimSun" w:cs="Arial"/>
          <w:lang w:eastAsia="zh-CN"/>
        </w:rPr>
        <w:tab/>
      </w:r>
      <w:r w:rsidR="00880090" w:rsidRPr="006A4FF0">
        <w:rPr>
          <w:rFonts w:cs="Arial"/>
        </w:rPr>
        <w:t>granting an order modifying the Compliance Notice by granting the first respondent to:</w:t>
      </w:r>
    </w:p>
    <w:p w14:paraId="373ECC4C" w14:textId="77777777" w:rsidR="00880090" w:rsidRPr="000F054C" w:rsidRDefault="00880090" w:rsidP="000F054C">
      <w:pPr>
        <w:pStyle w:val="ListParagraph"/>
        <w:spacing w:line="360" w:lineRule="auto"/>
        <w:rPr>
          <w:rFonts w:ascii="Arial" w:hAnsi="Arial" w:cs="Arial"/>
        </w:rPr>
      </w:pPr>
    </w:p>
    <w:p w14:paraId="788FE5C0" w14:textId="3A35C378" w:rsidR="00880090" w:rsidRPr="006A4FF0" w:rsidRDefault="006A4FF0" w:rsidP="006A4FF0">
      <w:pPr>
        <w:spacing w:line="360" w:lineRule="auto"/>
        <w:ind w:left="3402" w:hanging="567"/>
        <w:jc w:val="both"/>
        <w:rPr>
          <w:rFonts w:cs="Arial"/>
        </w:rPr>
      </w:pPr>
      <w:r w:rsidRPr="000F054C">
        <w:rPr>
          <w:rFonts w:eastAsia="SimSun" w:cs="Arial"/>
          <w:lang w:eastAsia="zh-CN"/>
        </w:rPr>
        <w:t>(1)</w:t>
      </w:r>
      <w:r w:rsidRPr="000F054C">
        <w:rPr>
          <w:rFonts w:eastAsia="SimSun" w:cs="Arial"/>
          <w:lang w:eastAsia="zh-CN"/>
        </w:rPr>
        <w:tab/>
      </w:r>
      <w:r w:rsidR="00880090" w:rsidRPr="006A4FF0">
        <w:rPr>
          <w:rFonts w:cs="Arial"/>
        </w:rPr>
        <w:t>complete the importation of the non-complying goods; and</w:t>
      </w:r>
    </w:p>
    <w:p w14:paraId="7D37B5E3" w14:textId="77777777" w:rsidR="00880090" w:rsidRPr="000F054C" w:rsidRDefault="00880090" w:rsidP="000F054C">
      <w:pPr>
        <w:pStyle w:val="ListParagraph"/>
        <w:spacing w:line="360" w:lineRule="auto"/>
        <w:ind w:left="3240"/>
        <w:jc w:val="both"/>
        <w:rPr>
          <w:rFonts w:ascii="Arial" w:hAnsi="Arial" w:cs="Arial"/>
        </w:rPr>
      </w:pPr>
    </w:p>
    <w:p w14:paraId="70D3F373" w14:textId="54146F3F" w:rsidR="00880090" w:rsidRPr="006A4FF0" w:rsidRDefault="006A4FF0" w:rsidP="006A4FF0">
      <w:pPr>
        <w:spacing w:line="360" w:lineRule="auto"/>
        <w:ind w:left="3402" w:hanging="522"/>
        <w:jc w:val="both"/>
        <w:rPr>
          <w:rFonts w:cs="Arial"/>
        </w:rPr>
      </w:pPr>
      <w:r w:rsidRPr="000F054C">
        <w:rPr>
          <w:rFonts w:eastAsia="SimSun" w:cs="Arial"/>
          <w:lang w:eastAsia="zh-CN"/>
        </w:rPr>
        <w:t>(2)</w:t>
      </w:r>
      <w:r w:rsidRPr="000F054C">
        <w:rPr>
          <w:rFonts w:eastAsia="SimSun" w:cs="Arial"/>
          <w:lang w:eastAsia="zh-CN"/>
        </w:rPr>
        <w:tab/>
      </w:r>
      <w:r w:rsidR="00880090" w:rsidRPr="006A4FF0">
        <w:rPr>
          <w:rFonts w:cs="Arial"/>
        </w:rPr>
        <w:t>to attach to each of the goods labels indicating the Country of Origin, Fibre Content and Wash Care.</w:t>
      </w:r>
    </w:p>
    <w:p w14:paraId="25D8C0BE" w14:textId="77777777" w:rsidR="00167739" w:rsidRPr="000F054C" w:rsidRDefault="00167739" w:rsidP="000F054C">
      <w:pPr>
        <w:pStyle w:val="ListParagraph"/>
        <w:spacing w:line="360" w:lineRule="auto"/>
        <w:ind w:left="2160"/>
        <w:jc w:val="both"/>
        <w:rPr>
          <w:rFonts w:ascii="Arial" w:hAnsi="Arial" w:cs="Arial"/>
        </w:rPr>
      </w:pPr>
    </w:p>
    <w:p w14:paraId="4D8561BD" w14:textId="312098A7" w:rsidR="00167739" w:rsidRPr="000F054C" w:rsidRDefault="00167739" w:rsidP="000F054C">
      <w:pPr>
        <w:spacing w:line="360" w:lineRule="auto"/>
        <w:ind w:left="720" w:hanging="720"/>
        <w:jc w:val="both"/>
        <w:rPr>
          <w:rFonts w:cs="Arial"/>
        </w:rPr>
      </w:pPr>
      <w:r w:rsidRPr="000F054C">
        <w:rPr>
          <w:rFonts w:cs="Arial"/>
        </w:rPr>
        <w:t>[</w:t>
      </w:r>
      <w:r w:rsidR="00A90BBF" w:rsidRPr="000F054C">
        <w:rPr>
          <w:rFonts w:cs="Arial"/>
        </w:rPr>
        <w:t>9</w:t>
      </w:r>
      <w:r w:rsidRPr="000F054C">
        <w:rPr>
          <w:rFonts w:cs="Arial"/>
        </w:rPr>
        <w:t>]</w:t>
      </w:r>
      <w:r w:rsidRPr="000F054C">
        <w:rPr>
          <w:rFonts w:cs="Arial"/>
        </w:rPr>
        <w:tab/>
      </w:r>
      <w:r w:rsidR="009F67EB" w:rsidRPr="000F054C">
        <w:rPr>
          <w:rFonts w:cs="Arial"/>
        </w:rPr>
        <w:t>The appellant submitted that the second respondent ignored the provisions of section 3(5) of PAJA. That section provides that where an administrator is empowered by any empowering provision to follow a procedure which is fair but different from the provisions of section (2) of PAJA, such administrator may act in accordance with</w:t>
      </w:r>
      <w:r w:rsidR="00A90BBF" w:rsidRPr="000F054C">
        <w:rPr>
          <w:rFonts w:cs="Arial"/>
        </w:rPr>
        <w:t xml:space="preserve"> that different procedure.</w:t>
      </w:r>
    </w:p>
    <w:p w14:paraId="0046743D" w14:textId="1372DFDF" w:rsidR="00A90BBF" w:rsidRPr="000F054C" w:rsidRDefault="00A90BBF" w:rsidP="000F054C">
      <w:pPr>
        <w:spacing w:line="360" w:lineRule="auto"/>
        <w:ind w:left="720" w:hanging="720"/>
        <w:jc w:val="both"/>
        <w:rPr>
          <w:rFonts w:cs="Arial"/>
        </w:rPr>
      </w:pPr>
    </w:p>
    <w:p w14:paraId="33188BD8" w14:textId="00C5A0AF" w:rsidR="00F034A3" w:rsidRPr="000F054C" w:rsidRDefault="00A90BBF" w:rsidP="000F054C">
      <w:pPr>
        <w:spacing w:line="360" w:lineRule="auto"/>
        <w:ind w:left="720" w:hanging="720"/>
        <w:jc w:val="both"/>
        <w:rPr>
          <w:rFonts w:cs="Arial"/>
        </w:rPr>
      </w:pPr>
      <w:r w:rsidRPr="000F054C">
        <w:rPr>
          <w:rFonts w:cs="Arial"/>
        </w:rPr>
        <w:t>[10]</w:t>
      </w:r>
      <w:r w:rsidRPr="000F054C">
        <w:rPr>
          <w:rFonts w:cs="Arial"/>
        </w:rPr>
        <w:tab/>
      </w:r>
      <w:r w:rsidR="00594A5D" w:rsidRPr="000F054C">
        <w:rPr>
          <w:rFonts w:cs="Arial"/>
        </w:rPr>
        <w:t>Sections 71(2) and 72(1) of the Consumer Protection Act</w:t>
      </w:r>
      <w:r w:rsidR="000F054C">
        <w:rPr>
          <w:rFonts w:cs="Arial"/>
        </w:rPr>
        <w:t xml:space="preserve"> require the </w:t>
      </w:r>
      <w:r w:rsidR="001E313D" w:rsidRPr="000F054C">
        <w:rPr>
          <w:rFonts w:cs="Arial"/>
        </w:rPr>
        <w:t>initiating of</w:t>
      </w:r>
      <w:r w:rsidR="00594A5D" w:rsidRPr="000F054C">
        <w:rPr>
          <w:rFonts w:cs="Arial"/>
        </w:rPr>
        <w:t xml:space="preserve"> a complaint and to direct an inspector to investigate alleged contraventions of the Consumer Protection Act.</w:t>
      </w:r>
      <w:r w:rsidR="00A4182F" w:rsidRPr="000F054C">
        <w:rPr>
          <w:rFonts w:cs="Arial"/>
        </w:rPr>
        <w:t xml:space="preserve"> This was clearly done by the appellant. </w:t>
      </w:r>
      <w:r w:rsidR="00F034A3" w:rsidRPr="000F054C">
        <w:rPr>
          <w:rFonts w:cs="Arial"/>
        </w:rPr>
        <w:t xml:space="preserve">Furthermore, the Consumer Protection Act prescribed the procedure to be followed prior to the issuing of the Compliance Notice. That procedure is different to that of section 3(2) of PAJA. However, it is permissible to follow that procedure prescribed in terms of the provisions of section 3(5) of PAJA. The second respondent ignored the evidence placed before it by the appellant on frivolous grounds. It was not raised by the first respondent in that application, nor was the appellant called upon to </w:t>
      </w:r>
      <w:r w:rsidR="00DE6831" w:rsidRPr="000F054C">
        <w:rPr>
          <w:rFonts w:cs="Arial"/>
        </w:rPr>
        <w:t>deal with the issue.</w:t>
      </w:r>
    </w:p>
    <w:p w14:paraId="5CF89440" w14:textId="730FC683" w:rsidR="00F034A3" w:rsidRPr="000F054C" w:rsidRDefault="00F034A3" w:rsidP="000F054C">
      <w:pPr>
        <w:spacing w:line="360" w:lineRule="auto"/>
        <w:ind w:left="720" w:hanging="720"/>
        <w:jc w:val="both"/>
        <w:rPr>
          <w:rFonts w:cs="Arial"/>
        </w:rPr>
      </w:pPr>
    </w:p>
    <w:p w14:paraId="77984412" w14:textId="2D6F7D4D" w:rsidR="005B28C9" w:rsidRPr="000F054C" w:rsidRDefault="00F034A3" w:rsidP="000F054C">
      <w:pPr>
        <w:spacing w:line="360" w:lineRule="auto"/>
        <w:ind w:left="720" w:hanging="720"/>
        <w:jc w:val="both"/>
        <w:rPr>
          <w:rFonts w:cs="Arial"/>
        </w:rPr>
      </w:pPr>
      <w:r w:rsidRPr="000F054C">
        <w:rPr>
          <w:rFonts w:cs="Arial"/>
        </w:rPr>
        <w:lastRenderedPageBreak/>
        <w:t>[11]</w:t>
      </w:r>
      <w:r w:rsidRPr="000F054C">
        <w:rPr>
          <w:rFonts w:cs="Arial"/>
        </w:rPr>
        <w:tab/>
      </w:r>
      <w:r w:rsidR="005B28C9" w:rsidRPr="000F054C">
        <w:rPr>
          <w:rFonts w:cs="Arial"/>
        </w:rPr>
        <w:t>The content of a Compliance Notice is prescribed by the provisions of section 100(3) of the Consumer Protection Act. That section provides:</w:t>
      </w:r>
    </w:p>
    <w:p w14:paraId="2926C58C" w14:textId="27B45AA5" w:rsidR="005B28C9" w:rsidRPr="000F054C" w:rsidRDefault="005B28C9" w:rsidP="000F054C">
      <w:pPr>
        <w:spacing w:line="360" w:lineRule="auto"/>
        <w:ind w:left="720" w:hanging="720"/>
        <w:jc w:val="both"/>
        <w:rPr>
          <w:rFonts w:cs="Arial"/>
        </w:rPr>
      </w:pPr>
    </w:p>
    <w:p w14:paraId="2713E8BA" w14:textId="77777777" w:rsidR="00934949" w:rsidRPr="000F054C" w:rsidRDefault="005B28C9" w:rsidP="000F054C">
      <w:pPr>
        <w:spacing w:line="360" w:lineRule="auto"/>
        <w:ind w:left="1440"/>
        <w:rPr>
          <w:rFonts w:cs="Arial"/>
          <w:i/>
        </w:rPr>
      </w:pPr>
      <w:r w:rsidRPr="000F054C">
        <w:rPr>
          <w:rFonts w:cs="Arial"/>
        </w:rPr>
        <w:t>“</w:t>
      </w:r>
      <w:r w:rsidR="00934949" w:rsidRPr="000F054C">
        <w:rPr>
          <w:rFonts w:cs="Arial"/>
          <w:i/>
        </w:rPr>
        <w:t xml:space="preserve">(3) A compliance notice contemplated in subsection (1) must set out— </w:t>
      </w:r>
    </w:p>
    <w:p w14:paraId="0E2F3204" w14:textId="77777777" w:rsidR="00934949" w:rsidRPr="000F054C" w:rsidRDefault="00934949" w:rsidP="000F054C">
      <w:pPr>
        <w:spacing w:line="360" w:lineRule="auto"/>
        <w:ind w:left="1440"/>
        <w:rPr>
          <w:rFonts w:cs="Arial"/>
          <w:i/>
        </w:rPr>
      </w:pPr>
      <w:r w:rsidRPr="000F054C">
        <w:rPr>
          <w:rFonts w:cs="Arial"/>
          <w:i/>
        </w:rPr>
        <w:t xml:space="preserve">(a) the person or association to whom the notice applies; </w:t>
      </w:r>
    </w:p>
    <w:p w14:paraId="4D4768B8" w14:textId="77777777" w:rsidR="00934949" w:rsidRPr="000F054C" w:rsidRDefault="00934949" w:rsidP="000F054C">
      <w:pPr>
        <w:spacing w:line="360" w:lineRule="auto"/>
        <w:ind w:left="1440"/>
        <w:rPr>
          <w:rFonts w:cs="Arial"/>
          <w:i/>
        </w:rPr>
      </w:pPr>
      <w:r w:rsidRPr="000F054C">
        <w:rPr>
          <w:rFonts w:cs="Arial"/>
          <w:i/>
        </w:rPr>
        <w:t>(b) the provision of this Act that has not been complied with;</w:t>
      </w:r>
    </w:p>
    <w:p w14:paraId="5938FC3E" w14:textId="77777777" w:rsidR="00934949" w:rsidRPr="000F054C" w:rsidRDefault="00934949" w:rsidP="000F054C">
      <w:pPr>
        <w:spacing w:line="360" w:lineRule="auto"/>
        <w:ind w:left="1440"/>
        <w:rPr>
          <w:rFonts w:cs="Arial"/>
          <w:i/>
        </w:rPr>
      </w:pPr>
      <w:r w:rsidRPr="000F054C">
        <w:rPr>
          <w:rFonts w:cs="Arial"/>
          <w:i/>
        </w:rPr>
        <w:t xml:space="preserve">(c) details of the nature and extent of the non-compliance; </w:t>
      </w:r>
    </w:p>
    <w:p w14:paraId="674DB8AD" w14:textId="77777777" w:rsidR="00934949" w:rsidRPr="000F054C" w:rsidRDefault="00934949" w:rsidP="000F054C">
      <w:pPr>
        <w:spacing w:line="360" w:lineRule="auto"/>
        <w:ind w:left="1440"/>
        <w:rPr>
          <w:rFonts w:cs="Arial"/>
          <w:i/>
        </w:rPr>
      </w:pPr>
      <w:r w:rsidRPr="000F054C">
        <w:rPr>
          <w:rFonts w:cs="Arial"/>
          <w:i/>
        </w:rPr>
        <w:t xml:space="preserve">(d) any steps that are required to be taken and the period within which those steps must be taken; and </w:t>
      </w:r>
    </w:p>
    <w:p w14:paraId="4D0628EF" w14:textId="49101247" w:rsidR="005B28C9" w:rsidRPr="000F054C" w:rsidRDefault="00934949" w:rsidP="000F054C">
      <w:pPr>
        <w:spacing w:line="360" w:lineRule="auto"/>
        <w:ind w:left="1440"/>
        <w:rPr>
          <w:rFonts w:cs="Arial"/>
          <w:i/>
        </w:rPr>
      </w:pPr>
      <w:r w:rsidRPr="000F054C">
        <w:rPr>
          <w:rFonts w:cs="Arial"/>
          <w:i/>
        </w:rPr>
        <w:t>(e) any penalty that may be imposed in terms of this Act if those steps are not taken.”</w:t>
      </w:r>
    </w:p>
    <w:p w14:paraId="4D7DBC00" w14:textId="5D2A49BD" w:rsidR="005B28C9" w:rsidRPr="000F054C" w:rsidRDefault="005B28C9" w:rsidP="000F054C">
      <w:pPr>
        <w:spacing w:line="360" w:lineRule="auto"/>
        <w:ind w:left="720" w:hanging="720"/>
        <w:jc w:val="both"/>
        <w:rPr>
          <w:rFonts w:cs="Arial"/>
          <w:i/>
        </w:rPr>
      </w:pPr>
    </w:p>
    <w:p w14:paraId="3A5BCEDF" w14:textId="113564B0" w:rsidR="005B28C9" w:rsidRPr="000F054C" w:rsidRDefault="005B28C9" w:rsidP="000F054C">
      <w:pPr>
        <w:spacing w:line="360" w:lineRule="auto"/>
        <w:ind w:left="720" w:hanging="720"/>
        <w:jc w:val="both"/>
        <w:rPr>
          <w:rFonts w:cs="Arial"/>
        </w:rPr>
      </w:pPr>
      <w:r w:rsidRPr="000F054C">
        <w:rPr>
          <w:rFonts w:cs="Arial"/>
        </w:rPr>
        <w:t>[12]</w:t>
      </w:r>
      <w:r w:rsidR="00682561" w:rsidRPr="000F054C">
        <w:rPr>
          <w:rFonts w:cs="Arial"/>
        </w:rPr>
        <w:tab/>
      </w:r>
      <w:r w:rsidR="00575ADD" w:rsidRPr="000F054C">
        <w:rPr>
          <w:rFonts w:cs="Arial"/>
        </w:rPr>
        <w:t>It follows from the foregoing that there is no requirement to refer to, nor to include results of any investigation in terms of sections 71(2) or 72(1) of the Consumer Protection Act. This issue was not raised by the first respondent in its application, neither was the appellant called upon to deal with the issue.</w:t>
      </w:r>
    </w:p>
    <w:p w14:paraId="6F106D13" w14:textId="3509D892" w:rsidR="00575ADD" w:rsidRPr="000F054C" w:rsidRDefault="00575ADD" w:rsidP="000F054C">
      <w:pPr>
        <w:spacing w:line="360" w:lineRule="auto"/>
        <w:ind w:left="720" w:hanging="720"/>
        <w:jc w:val="both"/>
        <w:rPr>
          <w:rFonts w:cs="Arial"/>
        </w:rPr>
      </w:pPr>
    </w:p>
    <w:p w14:paraId="55C619ED" w14:textId="099CBAD0" w:rsidR="00575ADD" w:rsidRPr="000F054C" w:rsidRDefault="00575ADD" w:rsidP="000F054C">
      <w:pPr>
        <w:spacing w:line="360" w:lineRule="auto"/>
        <w:ind w:left="720" w:hanging="720"/>
        <w:jc w:val="both"/>
        <w:rPr>
          <w:rFonts w:cs="Arial"/>
        </w:rPr>
      </w:pPr>
      <w:r w:rsidRPr="000F054C">
        <w:rPr>
          <w:rFonts w:cs="Arial"/>
        </w:rPr>
        <w:t>[13]</w:t>
      </w:r>
      <w:r w:rsidRPr="000F054C">
        <w:rPr>
          <w:rFonts w:cs="Arial"/>
        </w:rPr>
        <w:tab/>
      </w:r>
      <w:r w:rsidR="009E0489" w:rsidRPr="000F054C">
        <w:rPr>
          <w:rFonts w:cs="Arial"/>
        </w:rPr>
        <w:t>Section 24(5) of the Consumer Protection Act provides as follows:</w:t>
      </w:r>
    </w:p>
    <w:p w14:paraId="5CB76460" w14:textId="13B66367" w:rsidR="009E0489" w:rsidRPr="000F054C" w:rsidRDefault="009E0489" w:rsidP="000F054C">
      <w:pPr>
        <w:spacing w:line="360" w:lineRule="auto"/>
        <w:ind w:left="720" w:hanging="720"/>
        <w:jc w:val="both"/>
        <w:rPr>
          <w:rFonts w:cs="Arial"/>
        </w:rPr>
      </w:pPr>
    </w:p>
    <w:p w14:paraId="1462DF72" w14:textId="77777777" w:rsidR="00C21854" w:rsidRPr="000F054C" w:rsidRDefault="00C21854" w:rsidP="000F054C">
      <w:pPr>
        <w:spacing w:line="360" w:lineRule="auto"/>
        <w:ind w:left="1440"/>
        <w:jc w:val="both"/>
        <w:rPr>
          <w:rFonts w:cs="Arial"/>
          <w:i/>
        </w:rPr>
      </w:pPr>
      <w:r w:rsidRPr="000F054C">
        <w:rPr>
          <w:rFonts w:cs="Arial"/>
          <w:i/>
        </w:rPr>
        <w:t xml:space="preserve">“(5) The producer or importer of any goods that have been prescribed in terms of subsection (4) must apply a trade description to those goods, disclosing— </w:t>
      </w:r>
    </w:p>
    <w:p w14:paraId="7E166481" w14:textId="77777777" w:rsidR="00C21854" w:rsidRPr="000F054C" w:rsidRDefault="00C21854" w:rsidP="000F054C">
      <w:pPr>
        <w:spacing w:line="360" w:lineRule="auto"/>
        <w:ind w:left="1440"/>
        <w:jc w:val="both"/>
        <w:rPr>
          <w:rFonts w:cs="Arial"/>
          <w:i/>
        </w:rPr>
      </w:pPr>
      <w:r w:rsidRPr="000F054C">
        <w:rPr>
          <w:rFonts w:cs="Arial"/>
          <w:i/>
        </w:rPr>
        <w:t>(a) the country of origin of the goods; and</w:t>
      </w:r>
    </w:p>
    <w:p w14:paraId="57102BF3" w14:textId="0CD2626B" w:rsidR="009E0489" w:rsidRPr="000F054C" w:rsidRDefault="00C21854" w:rsidP="000F054C">
      <w:pPr>
        <w:spacing w:line="360" w:lineRule="auto"/>
        <w:ind w:left="1440"/>
        <w:jc w:val="both"/>
        <w:rPr>
          <w:rFonts w:cs="Arial"/>
          <w:i/>
        </w:rPr>
      </w:pPr>
      <w:r w:rsidRPr="000F054C">
        <w:rPr>
          <w:rFonts w:cs="Arial"/>
          <w:i/>
        </w:rPr>
        <w:t xml:space="preserve"> (b) any other prescribed information”</w:t>
      </w:r>
    </w:p>
    <w:p w14:paraId="6126EF1F" w14:textId="54670121" w:rsidR="009E0489" w:rsidRPr="000F054C" w:rsidRDefault="009E0489" w:rsidP="000F054C">
      <w:pPr>
        <w:spacing w:line="360" w:lineRule="auto"/>
        <w:ind w:left="720" w:hanging="720"/>
        <w:jc w:val="both"/>
        <w:rPr>
          <w:rFonts w:cs="Arial"/>
        </w:rPr>
      </w:pPr>
    </w:p>
    <w:p w14:paraId="39BFB30F" w14:textId="02279EC0" w:rsidR="002404E7" w:rsidRPr="000F054C" w:rsidRDefault="009E0489" w:rsidP="000F054C">
      <w:pPr>
        <w:spacing w:line="360" w:lineRule="auto"/>
        <w:ind w:left="720" w:hanging="720"/>
        <w:jc w:val="both"/>
        <w:rPr>
          <w:rFonts w:cs="Arial"/>
        </w:rPr>
      </w:pPr>
      <w:r w:rsidRPr="000F054C">
        <w:rPr>
          <w:rFonts w:cs="Arial"/>
        </w:rPr>
        <w:t>[14]</w:t>
      </w:r>
      <w:r w:rsidRPr="000F054C">
        <w:rPr>
          <w:rFonts w:cs="Arial"/>
        </w:rPr>
        <w:tab/>
      </w:r>
      <w:r w:rsidR="002404E7" w:rsidRPr="000F054C">
        <w:rPr>
          <w:rFonts w:cs="Arial"/>
        </w:rPr>
        <w:t>Regulations 6(1)(a)(i) and (b) of the regulations promulgated in terms of the provisions of section 120 of the Consumer Protection Act provide that the importation into the Republic of goods specified in annexure “D” to the regulations are prohibited</w:t>
      </w:r>
      <w:r w:rsidR="00632870" w:rsidRPr="000F054C">
        <w:rPr>
          <w:rFonts w:cs="Arial"/>
        </w:rPr>
        <w:t xml:space="preserve">. The prohibition is subject to compliance with the requirements of section 22 of the Consumer Protection Act, in that a trade description is applied to such goods in a conspicuous and easily legible manner stating the country in which they were </w:t>
      </w:r>
      <w:r w:rsidR="00632870" w:rsidRPr="000F054C">
        <w:rPr>
          <w:rFonts w:cs="Arial"/>
        </w:rPr>
        <w:lastRenderedPageBreak/>
        <w:t>manufactured, produced or adapted. It is further required that  such goods conformed to the South African national standards for fibre content and care labelling as published in Government Gazette 2410 of 2000 dated 30 June 2000.</w:t>
      </w:r>
    </w:p>
    <w:p w14:paraId="38839908" w14:textId="1E75F551" w:rsidR="002404E7" w:rsidRPr="000F054C" w:rsidRDefault="002404E7" w:rsidP="000F054C">
      <w:pPr>
        <w:spacing w:line="360" w:lineRule="auto"/>
        <w:ind w:left="720" w:hanging="720"/>
        <w:jc w:val="both"/>
        <w:rPr>
          <w:rFonts w:cs="Arial"/>
        </w:rPr>
      </w:pPr>
    </w:p>
    <w:p w14:paraId="2E50D6EE" w14:textId="5AC79748" w:rsidR="002404E7" w:rsidRPr="000F054C" w:rsidRDefault="002404E7" w:rsidP="000F054C">
      <w:pPr>
        <w:spacing w:line="360" w:lineRule="auto"/>
        <w:ind w:left="720" w:hanging="720"/>
        <w:jc w:val="both"/>
        <w:rPr>
          <w:rFonts w:cs="Arial"/>
        </w:rPr>
      </w:pPr>
      <w:r w:rsidRPr="000F054C">
        <w:rPr>
          <w:rFonts w:cs="Arial"/>
        </w:rPr>
        <w:t>[15]</w:t>
      </w:r>
      <w:r w:rsidRPr="000F054C">
        <w:rPr>
          <w:rFonts w:cs="Arial"/>
        </w:rPr>
        <w:tab/>
      </w:r>
      <w:r w:rsidR="006C4EE4" w:rsidRPr="000F054C">
        <w:rPr>
          <w:rFonts w:cs="Arial"/>
        </w:rPr>
        <w:t>It follows that the Compliance Notice issued complied with the provisions of section 100(3) of the Consumer Protection Act. The validity of the Compliance Notice was not attacked by the first respondent. The latter merely sought leniency in respect of the clear non-compliance of section 24 read with regulations 6(1)(a)(i) and (b) of the Consumer Protection Act. The said Act does not provide any leniency to be granted for non-compliance. Non-compliance is met with the prohibition of importation of non-compliant goods.</w:t>
      </w:r>
    </w:p>
    <w:p w14:paraId="360391F4" w14:textId="58BD6A2D" w:rsidR="006C4EE4" w:rsidRPr="000F054C" w:rsidRDefault="006C4EE4" w:rsidP="000F054C">
      <w:pPr>
        <w:spacing w:line="360" w:lineRule="auto"/>
        <w:ind w:left="720" w:hanging="720"/>
        <w:jc w:val="both"/>
        <w:rPr>
          <w:rFonts w:cs="Arial"/>
        </w:rPr>
      </w:pPr>
    </w:p>
    <w:p w14:paraId="759F2CFE" w14:textId="42AD67BF" w:rsidR="006C4EE4" w:rsidRPr="000F054C" w:rsidRDefault="006C4EE4" w:rsidP="000F054C">
      <w:pPr>
        <w:spacing w:line="360" w:lineRule="auto"/>
        <w:ind w:left="720" w:hanging="720"/>
        <w:jc w:val="both"/>
        <w:rPr>
          <w:rFonts w:cs="Arial"/>
        </w:rPr>
      </w:pPr>
      <w:r w:rsidRPr="000F054C">
        <w:rPr>
          <w:rFonts w:cs="Arial"/>
        </w:rPr>
        <w:t>[16]</w:t>
      </w:r>
      <w:r w:rsidRPr="000F054C">
        <w:rPr>
          <w:rFonts w:cs="Arial"/>
        </w:rPr>
        <w:tab/>
      </w:r>
      <w:r w:rsidR="009D745A" w:rsidRPr="000F054C">
        <w:rPr>
          <w:rFonts w:cs="Arial"/>
        </w:rPr>
        <w:t>It is submitted on behalf of the appellant that the second respondent granted an order that was incompetent in the circumstances. Furthermore, the second respondent had no authority to grant an order not permitted in terms of the Consumer Protection Act and its regulations. Once an order was granted cancelling the Compliance Notice, that notice cannot be modified or amended. Neither can an order be granted in contra</w:t>
      </w:r>
      <w:r w:rsidR="001E313D" w:rsidRPr="000F054C">
        <w:rPr>
          <w:rFonts w:cs="Arial"/>
        </w:rPr>
        <w:t>-</w:t>
      </w:r>
      <w:r w:rsidR="009D745A" w:rsidRPr="000F054C">
        <w:rPr>
          <w:rFonts w:cs="Arial"/>
        </w:rPr>
        <w:t>distinction to the provisions of the Consumer Protection Act and its Regulations.</w:t>
      </w:r>
    </w:p>
    <w:p w14:paraId="204335DC" w14:textId="7C094B22" w:rsidR="009D745A" w:rsidRPr="000F054C" w:rsidRDefault="009D745A" w:rsidP="000F054C">
      <w:pPr>
        <w:spacing w:line="360" w:lineRule="auto"/>
        <w:ind w:left="720" w:hanging="720"/>
        <w:jc w:val="both"/>
        <w:rPr>
          <w:rFonts w:cs="Arial"/>
        </w:rPr>
      </w:pPr>
    </w:p>
    <w:p w14:paraId="0B9464D2" w14:textId="365AB736" w:rsidR="009D745A" w:rsidRPr="000F054C" w:rsidRDefault="009D745A" w:rsidP="000F054C">
      <w:pPr>
        <w:spacing w:line="360" w:lineRule="auto"/>
        <w:ind w:left="720" w:hanging="720"/>
        <w:jc w:val="both"/>
        <w:rPr>
          <w:rFonts w:cs="Arial"/>
        </w:rPr>
      </w:pPr>
      <w:r w:rsidRPr="000F054C">
        <w:rPr>
          <w:rFonts w:cs="Arial"/>
        </w:rPr>
        <w:t>[17]</w:t>
      </w:r>
      <w:r w:rsidRPr="000F054C">
        <w:rPr>
          <w:rFonts w:cs="Arial"/>
        </w:rPr>
        <w:tab/>
        <w:t>It follows that the appeal stands to be upheld.</w:t>
      </w:r>
    </w:p>
    <w:p w14:paraId="51335D18" w14:textId="26CC168B" w:rsidR="003A7F44" w:rsidRPr="000F054C" w:rsidRDefault="003A7F44" w:rsidP="000F054C">
      <w:pPr>
        <w:spacing w:line="360" w:lineRule="auto"/>
        <w:ind w:left="720" w:hanging="720"/>
        <w:jc w:val="both"/>
        <w:rPr>
          <w:rFonts w:cs="Arial"/>
        </w:rPr>
      </w:pPr>
    </w:p>
    <w:p w14:paraId="7E89AAD5" w14:textId="137350F8" w:rsidR="003A7F44" w:rsidRPr="000F054C" w:rsidRDefault="003A7F44" w:rsidP="000F054C">
      <w:pPr>
        <w:spacing w:line="360" w:lineRule="auto"/>
        <w:ind w:left="720" w:hanging="720"/>
        <w:jc w:val="both"/>
        <w:rPr>
          <w:rFonts w:cs="Arial"/>
        </w:rPr>
      </w:pPr>
      <w:r w:rsidRPr="000F054C">
        <w:rPr>
          <w:rFonts w:cs="Arial"/>
        </w:rPr>
        <w:t>[18]</w:t>
      </w:r>
      <w:r w:rsidRPr="000F054C">
        <w:rPr>
          <w:rFonts w:cs="Arial"/>
        </w:rPr>
        <w:tab/>
        <w:t>There remains the application to intervene as a second appellant. As alluded to earlier, SACTWU applied to intervene. A Notice of Motion requesting leave to intervene was filed supporte</w:t>
      </w:r>
      <w:r w:rsidR="00495C9B" w:rsidRPr="000F054C">
        <w:rPr>
          <w:rFonts w:cs="Arial"/>
        </w:rPr>
        <w:t xml:space="preserve">d by an affidavit. It was premised upon the judgment and order of the second respondent being contrary to the law, affected the vested rights of the employees in the clothing and textile sector in terms of job security and was further irrational, arbitrary and </w:t>
      </w:r>
      <w:r w:rsidR="00495C9B" w:rsidRPr="000F054C">
        <w:rPr>
          <w:rFonts w:cs="Arial"/>
          <w:i/>
        </w:rPr>
        <w:t>mala fide</w:t>
      </w:r>
      <w:r w:rsidR="00495C9B" w:rsidRPr="000F054C">
        <w:rPr>
          <w:rFonts w:cs="Arial"/>
        </w:rPr>
        <w:t xml:space="preserve">. In principle SACTWU supported the submissions of the appellant, although it wished to protect its own </w:t>
      </w:r>
      <w:r w:rsidR="00495C9B" w:rsidRPr="000F054C">
        <w:rPr>
          <w:rFonts w:cs="Arial"/>
        </w:rPr>
        <w:lastRenderedPageBreak/>
        <w:t>interests and that of its members under the principle of unconstitutionality and illegality.</w:t>
      </w:r>
    </w:p>
    <w:p w14:paraId="49F5F2BD" w14:textId="2B9833B0" w:rsidR="00495C9B" w:rsidRPr="000F054C" w:rsidRDefault="00495C9B" w:rsidP="000F054C">
      <w:pPr>
        <w:spacing w:line="360" w:lineRule="auto"/>
        <w:ind w:left="720" w:hanging="720"/>
        <w:jc w:val="both"/>
        <w:rPr>
          <w:rFonts w:cs="Arial"/>
        </w:rPr>
      </w:pPr>
    </w:p>
    <w:p w14:paraId="0903BBFC" w14:textId="6E4A53D8" w:rsidR="00495C9B" w:rsidRPr="000F054C" w:rsidRDefault="00495C9B" w:rsidP="000F054C">
      <w:pPr>
        <w:spacing w:line="360" w:lineRule="auto"/>
        <w:ind w:left="720" w:hanging="720"/>
        <w:jc w:val="both"/>
        <w:rPr>
          <w:rFonts w:cs="Arial"/>
        </w:rPr>
      </w:pPr>
      <w:r w:rsidRPr="000F054C">
        <w:rPr>
          <w:rFonts w:cs="Arial"/>
        </w:rPr>
        <w:t>[</w:t>
      </w:r>
      <w:r w:rsidR="007B6A55" w:rsidRPr="000F054C">
        <w:rPr>
          <w:rFonts w:cs="Arial"/>
        </w:rPr>
        <w:t>19</w:t>
      </w:r>
      <w:r w:rsidRPr="000F054C">
        <w:rPr>
          <w:rFonts w:cs="Arial"/>
        </w:rPr>
        <w:t>]</w:t>
      </w:r>
      <w:r w:rsidRPr="000F054C">
        <w:rPr>
          <w:rFonts w:cs="Arial"/>
        </w:rPr>
        <w:tab/>
        <w:t>In view of the approach taken in this judgment, this court need not entertain</w:t>
      </w:r>
      <w:r w:rsidR="00511057" w:rsidRPr="000F054C">
        <w:rPr>
          <w:rFonts w:cs="Arial"/>
        </w:rPr>
        <w:t xml:space="preserve"> the submissions on unconstitutionality or illegality. It follows that the intervening party would not add to what was before this court of appeal on the merits. Accordingly, the application to intervene cannot succeed and stands to be refused.</w:t>
      </w:r>
    </w:p>
    <w:p w14:paraId="46A240EC" w14:textId="191BA354" w:rsidR="009D745A" w:rsidRPr="000F054C" w:rsidRDefault="009D745A" w:rsidP="000F054C">
      <w:pPr>
        <w:spacing w:line="360" w:lineRule="auto"/>
        <w:ind w:left="720" w:hanging="720"/>
        <w:jc w:val="both"/>
        <w:rPr>
          <w:rFonts w:cs="Arial"/>
        </w:rPr>
      </w:pPr>
    </w:p>
    <w:p w14:paraId="54558B8E" w14:textId="189E8626" w:rsidR="009D745A" w:rsidRPr="000F054C" w:rsidRDefault="009D745A" w:rsidP="000F054C">
      <w:pPr>
        <w:spacing w:line="360" w:lineRule="auto"/>
        <w:ind w:left="720" w:hanging="720"/>
        <w:jc w:val="both"/>
        <w:rPr>
          <w:rFonts w:cs="Arial"/>
        </w:rPr>
      </w:pPr>
      <w:r w:rsidRPr="000F054C">
        <w:rPr>
          <w:rFonts w:cs="Arial"/>
        </w:rPr>
        <w:t>I pro</w:t>
      </w:r>
      <w:r w:rsidR="007B6A55" w:rsidRPr="000F054C">
        <w:rPr>
          <w:rFonts w:cs="Arial"/>
        </w:rPr>
        <w:t>po</w:t>
      </w:r>
      <w:r w:rsidRPr="000F054C">
        <w:rPr>
          <w:rFonts w:cs="Arial"/>
        </w:rPr>
        <w:t>se the following order:</w:t>
      </w:r>
    </w:p>
    <w:p w14:paraId="4C57223B" w14:textId="549CF2C7" w:rsidR="009D745A" w:rsidRPr="000F054C" w:rsidRDefault="009D745A" w:rsidP="000F054C">
      <w:pPr>
        <w:spacing w:line="360" w:lineRule="auto"/>
        <w:ind w:left="720" w:hanging="720"/>
        <w:jc w:val="both"/>
        <w:rPr>
          <w:rFonts w:cs="Arial"/>
        </w:rPr>
      </w:pPr>
    </w:p>
    <w:p w14:paraId="2F655523" w14:textId="52316133" w:rsidR="00511057" w:rsidRPr="006A4FF0" w:rsidRDefault="006A4FF0" w:rsidP="006A4FF0">
      <w:pPr>
        <w:spacing w:line="360" w:lineRule="auto"/>
        <w:ind w:left="1080" w:hanging="360"/>
        <w:jc w:val="both"/>
        <w:rPr>
          <w:rFonts w:cs="Arial"/>
        </w:rPr>
      </w:pPr>
      <w:r w:rsidRPr="000F054C">
        <w:rPr>
          <w:rFonts w:eastAsia="SimSun" w:cs="Arial"/>
          <w:lang w:eastAsia="zh-CN"/>
        </w:rPr>
        <w:t>1.</w:t>
      </w:r>
      <w:r w:rsidRPr="000F054C">
        <w:rPr>
          <w:rFonts w:eastAsia="SimSun" w:cs="Arial"/>
          <w:lang w:eastAsia="zh-CN"/>
        </w:rPr>
        <w:tab/>
      </w:r>
      <w:r w:rsidR="00511057" w:rsidRPr="006A4FF0">
        <w:rPr>
          <w:rFonts w:cs="Arial"/>
        </w:rPr>
        <w:t>The application to intervene is refused;</w:t>
      </w:r>
    </w:p>
    <w:p w14:paraId="2261FACC" w14:textId="77777777" w:rsidR="00511057" w:rsidRPr="000F054C" w:rsidRDefault="00511057" w:rsidP="000F054C">
      <w:pPr>
        <w:pStyle w:val="ListParagraph"/>
        <w:spacing w:line="360" w:lineRule="auto"/>
        <w:ind w:left="1080"/>
        <w:jc w:val="both"/>
        <w:rPr>
          <w:rFonts w:ascii="Arial" w:hAnsi="Arial" w:cs="Arial"/>
        </w:rPr>
      </w:pPr>
    </w:p>
    <w:p w14:paraId="241A8EDE" w14:textId="11AA1BB2" w:rsidR="009D745A" w:rsidRPr="006A4FF0" w:rsidRDefault="006A4FF0" w:rsidP="006A4FF0">
      <w:pPr>
        <w:spacing w:line="360" w:lineRule="auto"/>
        <w:ind w:left="1080" w:hanging="360"/>
        <w:jc w:val="both"/>
        <w:rPr>
          <w:rFonts w:cs="Arial"/>
        </w:rPr>
      </w:pPr>
      <w:r w:rsidRPr="000F054C">
        <w:rPr>
          <w:rFonts w:eastAsia="SimSun" w:cs="Arial"/>
          <w:lang w:eastAsia="zh-CN"/>
        </w:rPr>
        <w:t>2</w:t>
      </w:r>
      <w:bookmarkStart w:id="0" w:name="_GoBack"/>
      <w:bookmarkEnd w:id="0"/>
      <w:r w:rsidRPr="000F054C">
        <w:rPr>
          <w:rFonts w:eastAsia="SimSun" w:cs="Arial"/>
          <w:lang w:eastAsia="zh-CN"/>
        </w:rPr>
        <w:t>.</w:t>
      </w:r>
      <w:r w:rsidRPr="000F054C">
        <w:rPr>
          <w:rFonts w:eastAsia="SimSun" w:cs="Arial"/>
          <w:lang w:eastAsia="zh-CN"/>
        </w:rPr>
        <w:tab/>
      </w:r>
      <w:r w:rsidR="009D745A" w:rsidRPr="006A4FF0">
        <w:rPr>
          <w:rFonts w:cs="Arial"/>
        </w:rPr>
        <w:t>The appeal is upheld;</w:t>
      </w:r>
    </w:p>
    <w:p w14:paraId="3BE69C5F" w14:textId="77777777" w:rsidR="009D745A" w:rsidRPr="000F054C" w:rsidRDefault="009D745A" w:rsidP="000F054C">
      <w:pPr>
        <w:pStyle w:val="ListParagraph"/>
        <w:spacing w:line="360" w:lineRule="auto"/>
        <w:ind w:left="1080"/>
        <w:jc w:val="both"/>
        <w:rPr>
          <w:rFonts w:ascii="Arial" w:hAnsi="Arial" w:cs="Arial"/>
        </w:rPr>
      </w:pPr>
    </w:p>
    <w:p w14:paraId="72842750" w14:textId="4C75ED47" w:rsidR="009D745A" w:rsidRPr="006A4FF0" w:rsidRDefault="006A4FF0" w:rsidP="006A4FF0">
      <w:pPr>
        <w:spacing w:line="360" w:lineRule="auto"/>
        <w:ind w:left="1080" w:hanging="360"/>
        <w:jc w:val="both"/>
        <w:rPr>
          <w:rFonts w:cs="Arial"/>
        </w:rPr>
      </w:pPr>
      <w:r w:rsidRPr="000F054C">
        <w:rPr>
          <w:rFonts w:eastAsia="SimSun" w:cs="Arial"/>
          <w:lang w:eastAsia="zh-CN"/>
        </w:rPr>
        <w:t>3.</w:t>
      </w:r>
      <w:r w:rsidRPr="000F054C">
        <w:rPr>
          <w:rFonts w:eastAsia="SimSun" w:cs="Arial"/>
          <w:lang w:eastAsia="zh-CN"/>
        </w:rPr>
        <w:tab/>
      </w:r>
      <w:r w:rsidR="009D745A" w:rsidRPr="006A4FF0">
        <w:rPr>
          <w:rFonts w:cs="Arial"/>
        </w:rPr>
        <w:t>The order of the Consumer Tribunal is set aside and substituted with the following order:</w:t>
      </w:r>
    </w:p>
    <w:p w14:paraId="7A464B6A" w14:textId="18B564C5" w:rsidR="009D745A" w:rsidRPr="000F054C" w:rsidRDefault="009D745A" w:rsidP="000F054C">
      <w:pPr>
        <w:pStyle w:val="ListParagraph"/>
        <w:spacing w:line="360" w:lineRule="auto"/>
        <w:rPr>
          <w:rFonts w:ascii="Arial" w:hAnsi="Arial" w:cs="Arial"/>
        </w:rPr>
      </w:pPr>
    </w:p>
    <w:p w14:paraId="01E790DE" w14:textId="53F7B104" w:rsidR="009D745A" w:rsidRPr="000F054C" w:rsidRDefault="009D745A" w:rsidP="000F054C">
      <w:pPr>
        <w:pStyle w:val="ListParagraph"/>
        <w:spacing w:line="360" w:lineRule="auto"/>
        <w:ind w:left="1440"/>
        <w:rPr>
          <w:rFonts w:ascii="Arial" w:hAnsi="Arial" w:cs="Arial"/>
        </w:rPr>
      </w:pPr>
      <w:r w:rsidRPr="000F054C">
        <w:rPr>
          <w:rFonts w:ascii="Arial" w:hAnsi="Arial" w:cs="Arial"/>
        </w:rPr>
        <w:t>“</w:t>
      </w:r>
      <w:r w:rsidRPr="000F054C">
        <w:rPr>
          <w:rFonts w:ascii="Arial" w:hAnsi="Arial" w:cs="Arial"/>
          <w:i/>
        </w:rPr>
        <w:t>The Review Application is dismissed”</w:t>
      </w:r>
      <w:r w:rsidRPr="000F054C">
        <w:rPr>
          <w:rFonts w:ascii="Arial" w:hAnsi="Arial" w:cs="Arial"/>
        </w:rPr>
        <w:t>;</w:t>
      </w:r>
    </w:p>
    <w:p w14:paraId="69A00954" w14:textId="77777777" w:rsidR="009D745A" w:rsidRPr="000F054C" w:rsidRDefault="009D745A" w:rsidP="000F054C">
      <w:pPr>
        <w:pStyle w:val="ListParagraph"/>
        <w:spacing w:line="360" w:lineRule="auto"/>
        <w:rPr>
          <w:rFonts w:ascii="Arial" w:hAnsi="Arial" w:cs="Arial"/>
        </w:rPr>
      </w:pPr>
    </w:p>
    <w:p w14:paraId="5AE102C9" w14:textId="7920BA91" w:rsidR="009D745A" w:rsidRPr="006A4FF0" w:rsidRDefault="006A4FF0" w:rsidP="006A4FF0">
      <w:pPr>
        <w:spacing w:line="360" w:lineRule="auto"/>
        <w:ind w:left="1080" w:hanging="360"/>
        <w:jc w:val="both"/>
        <w:rPr>
          <w:rFonts w:cs="Arial"/>
        </w:rPr>
      </w:pPr>
      <w:r w:rsidRPr="000F054C">
        <w:rPr>
          <w:rFonts w:eastAsia="SimSun" w:cs="Arial"/>
          <w:lang w:eastAsia="zh-CN"/>
        </w:rPr>
        <w:t>4.</w:t>
      </w:r>
      <w:r w:rsidRPr="000F054C">
        <w:rPr>
          <w:rFonts w:eastAsia="SimSun" w:cs="Arial"/>
          <w:lang w:eastAsia="zh-CN"/>
        </w:rPr>
        <w:tab/>
      </w:r>
      <w:r w:rsidR="009D745A" w:rsidRPr="006A4FF0">
        <w:rPr>
          <w:rFonts w:cs="Arial"/>
        </w:rPr>
        <w:t>No order as to cost</w:t>
      </w:r>
      <w:r w:rsidR="001E313D" w:rsidRPr="006A4FF0">
        <w:rPr>
          <w:rFonts w:cs="Arial"/>
        </w:rPr>
        <w:t>s</w:t>
      </w:r>
      <w:r w:rsidR="009D745A" w:rsidRPr="006A4FF0">
        <w:rPr>
          <w:rFonts w:cs="Arial"/>
        </w:rPr>
        <w:t xml:space="preserve"> is made.</w:t>
      </w:r>
    </w:p>
    <w:p w14:paraId="77E4867B" w14:textId="21D5F5E8" w:rsidR="004815D6" w:rsidRPr="009D745A" w:rsidRDefault="004815D6" w:rsidP="009A2E9A">
      <w:pPr>
        <w:ind w:left="720" w:hanging="720"/>
        <w:jc w:val="both"/>
        <w:rPr>
          <w:rFonts w:cs="Arial"/>
        </w:rPr>
      </w:pPr>
    </w:p>
    <w:p w14:paraId="421EC2EE" w14:textId="03824371" w:rsidR="00394333" w:rsidRDefault="00394333" w:rsidP="00FB1C29">
      <w:pPr>
        <w:jc w:val="both"/>
      </w:pPr>
    </w:p>
    <w:p w14:paraId="3761F9D4" w14:textId="24C710FC" w:rsidR="00646054" w:rsidRDefault="00646054" w:rsidP="00FB1C29">
      <w:pPr>
        <w:jc w:val="both"/>
      </w:pPr>
    </w:p>
    <w:p w14:paraId="03E35B08" w14:textId="77777777" w:rsidR="00646054" w:rsidRDefault="00646054" w:rsidP="00FB1C29">
      <w:pPr>
        <w:jc w:val="both"/>
      </w:pPr>
    </w:p>
    <w:p w14:paraId="63AE3482" w14:textId="77777777" w:rsidR="00394333" w:rsidRDefault="00394333" w:rsidP="00394333">
      <w:pPr>
        <w:ind w:left="720" w:hanging="720"/>
        <w:jc w:val="both"/>
      </w:pPr>
    </w:p>
    <w:p w14:paraId="21EE6F52" w14:textId="77777777" w:rsidR="006C7C31" w:rsidRDefault="006C7C31" w:rsidP="006C7C31">
      <w:pPr>
        <w:jc w:val="both"/>
      </w:pPr>
    </w:p>
    <w:p w14:paraId="53315117" w14:textId="77777777" w:rsidR="006C7C31" w:rsidRDefault="006C7C31" w:rsidP="006C7C31">
      <w:pPr>
        <w:jc w:val="right"/>
      </w:pPr>
      <w:r>
        <w:t>________________________________</w:t>
      </w:r>
    </w:p>
    <w:p w14:paraId="2600B0F4" w14:textId="77777777" w:rsidR="006C7C31" w:rsidRDefault="006C7C31" w:rsidP="006C7C31">
      <w:pPr>
        <w:jc w:val="right"/>
      </w:pPr>
      <w:r>
        <w:t>C J VAN DER WESTHUIZEN</w:t>
      </w:r>
    </w:p>
    <w:p w14:paraId="03915311" w14:textId="7B1906DB" w:rsidR="006C7C31" w:rsidRDefault="006C7C31" w:rsidP="006C7C31">
      <w:pPr>
        <w:jc w:val="right"/>
      </w:pPr>
      <w:r>
        <w:t>JUDGE OF THE HIGH COURT</w:t>
      </w:r>
    </w:p>
    <w:p w14:paraId="0A28EB62" w14:textId="6CEF62A7" w:rsidR="002274E0" w:rsidRDefault="002274E0" w:rsidP="006C7C31">
      <w:pPr>
        <w:jc w:val="right"/>
      </w:pPr>
    </w:p>
    <w:p w14:paraId="36A88E70" w14:textId="632F32D6" w:rsidR="002274E0" w:rsidRDefault="002274E0" w:rsidP="006C7C31">
      <w:pPr>
        <w:jc w:val="right"/>
      </w:pPr>
    </w:p>
    <w:p w14:paraId="24BE3594" w14:textId="115A1339" w:rsidR="002274E0" w:rsidRDefault="002274E0" w:rsidP="006C7C31">
      <w:pPr>
        <w:jc w:val="right"/>
      </w:pPr>
    </w:p>
    <w:p w14:paraId="14A56A08" w14:textId="689B040F" w:rsidR="002274E0" w:rsidRDefault="002274E0" w:rsidP="002274E0">
      <w:pPr>
        <w:ind w:left="720" w:hanging="720"/>
        <w:jc w:val="both"/>
      </w:pPr>
    </w:p>
    <w:p w14:paraId="28E16AC8" w14:textId="58EA6807" w:rsidR="002274E0" w:rsidRDefault="002274E0" w:rsidP="002274E0">
      <w:pPr>
        <w:jc w:val="both"/>
      </w:pPr>
    </w:p>
    <w:p w14:paraId="6ACA4522" w14:textId="77777777" w:rsidR="002274E0" w:rsidRDefault="002274E0" w:rsidP="002274E0">
      <w:pPr>
        <w:jc w:val="right"/>
      </w:pPr>
      <w:r>
        <w:t>________________________________</w:t>
      </w:r>
    </w:p>
    <w:p w14:paraId="64ED26E4" w14:textId="13A86450" w:rsidR="002B309C" w:rsidRDefault="004E1E41" w:rsidP="002B309C">
      <w:pPr>
        <w:jc w:val="right"/>
      </w:pPr>
      <w:r>
        <w:t xml:space="preserve">M D </w:t>
      </w:r>
      <w:r w:rsidR="002B309C">
        <w:t>BOTSI-THULARE</w:t>
      </w:r>
    </w:p>
    <w:p w14:paraId="4670DC14" w14:textId="5F0E6B33" w:rsidR="002274E0" w:rsidRDefault="002B309C" w:rsidP="002274E0">
      <w:pPr>
        <w:jc w:val="right"/>
      </w:pPr>
      <w:r>
        <w:t xml:space="preserve">ACTING </w:t>
      </w:r>
      <w:r w:rsidR="002274E0">
        <w:t>JUDGE OF THE HIGH COURT</w:t>
      </w:r>
    </w:p>
    <w:p w14:paraId="47A01E24" w14:textId="77777777" w:rsidR="002274E0" w:rsidRDefault="002274E0" w:rsidP="006C7C31">
      <w:pPr>
        <w:jc w:val="right"/>
      </w:pPr>
    </w:p>
    <w:p w14:paraId="3AF6FF38" w14:textId="4DA95485" w:rsidR="00BE23CA" w:rsidRDefault="00BE23CA" w:rsidP="00BE23CA">
      <w:pPr>
        <w:jc w:val="both"/>
      </w:pPr>
      <w:r>
        <w:rPr>
          <w:rFonts w:eastAsia="Arial Unicode MS" w:cs="Arial"/>
          <w:bCs/>
        </w:rPr>
        <w:t xml:space="preserve"> </w:t>
      </w:r>
    </w:p>
    <w:p w14:paraId="792C5F28" w14:textId="77777777" w:rsidR="006C7C31" w:rsidRDefault="006C7C31" w:rsidP="006C7C31">
      <w:pPr>
        <w:jc w:val="right"/>
      </w:pPr>
    </w:p>
    <w:p w14:paraId="364B7346" w14:textId="77777777" w:rsidR="006C7C31" w:rsidRDefault="006C7C31" w:rsidP="006C7C31">
      <w:pPr>
        <w:jc w:val="both"/>
      </w:pPr>
    </w:p>
    <w:p w14:paraId="07921415" w14:textId="47A44253" w:rsidR="006C7C31" w:rsidRDefault="006C7C31" w:rsidP="006C7C31">
      <w:pPr>
        <w:jc w:val="both"/>
      </w:pPr>
      <w:r>
        <w:t>On</w:t>
      </w:r>
      <w:r w:rsidR="003A7F44">
        <w:t xml:space="preserve"> behalf of Appellant</w:t>
      </w:r>
      <w:r>
        <w:t>:</w:t>
      </w:r>
      <w:r>
        <w:tab/>
      </w:r>
      <w:r w:rsidR="003A7F44">
        <w:tab/>
      </w:r>
      <w:r w:rsidR="00055BD3">
        <w:tab/>
      </w:r>
      <w:r w:rsidR="003A7F44">
        <w:t>L Biyana</w:t>
      </w:r>
      <w:r>
        <w:tab/>
      </w:r>
    </w:p>
    <w:p w14:paraId="00FA00EC" w14:textId="68502174" w:rsidR="006C7C31" w:rsidRDefault="006C7C31" w:rsidP="006C7C31">
      <w:pPr>
        <w:jc w:val="both"/>
      </w:pPr>
      <w:r>
        <w:t>Instructed by:</w:t>
      </w:r>
      <w:r>
        <w:tab/>
      </w:r>
      <w:r>
        <w:tab/>
      </w:r>
      <w:r w:rsidR="003A7F44">
        <w:tab/>
      </w:r>
      <w:r w:rsidR="00055BD3">
        <w:tab/>
      </w:r>
      <w:r w:rsidR="003A7F44">
        <w:t>National Consumer Commission</w:t>
      </w:r>
      <w:r w:rsidR="00646054">
        <w:tab/>
      </w:r>
    </w:p>
    <w:p w14:paraId="43C1C840" w14:textId="77777777" w:rsidR="00646054" w:rsidRDefault="00646054" w:rsidP="006C7C31">
      <w:pPr>
        <w:jc w:val="both"/>
      </w:pPr>
    </w:p>
    <w:p w14:paraId="12021F60" w14:textId="633EEF48" w:rsidR="006C7C31" w:rsidRDefault="006C7C31" w:rsidP="006C7C31">
      <w:pPr>
        <w:jc w:val="both"/>
      </w:pPr>
      <w:r>
        <w:t xml:space="preserve">On behalf of </w:t>
      </w:r>
      <w:r w:rsidR="003A7F44">
        <w:t xml:space="preserve">First </w:t>
      </w:r>
      <w:r>
        <w:t>Respondent:</w:t>
      </w:r>
      <w:r>
        <w:tab/>
      </w:r>
      <w:r w:rsidR="00055BD3">
        <w:tab/>
      </w:r>
      <w:r w:rsidR="003A7F44">
        <w:t>No appearance</w:t>
      </w:r>
      <w:r>
        <w:tab/>
      </w:r>
    </w:p>
    <w:p w14:paraId="536DB950" w14:textId="77777777" w:rsidR="003A7F44" w:rsidRDefault="006C7C31" w:rsidP="006C7C31">
      <w:r>
        <w:t>Instructed by:</w:t>
      </w:r>
    </w:p>
    <w:p w14:paraId="63D78137" w14:textId="1811B709" w:rsidR="003A7F44" w:rsidRDefault="003A7F44" w:rsidP="006C7C31"/>
    <w:p w14:paraId="2D2E525E" w14:textId="0038E5F8" w:rsidR="00055BD3" w:rsidRDefault="00055BD3" w:rsidP="00055BD3">
      <w:pPr>
        <w:jc w:val="both"/>
      </w:pPr>
      <w:r>
        <w:t>On behalf of Second Respondent:</w:t>
      </w:r>
      <w:r>
        <w:tab/>
        <w:t>No appearance</w:t>
      </w:r>
      <w:r>
        <w:tab/>
      </w:r>
    </w:p>
    <w:p w14:paraId="651A993E" w14:textId="77777777" w:rsidR="00055BD3" w:rsidRDefault="00055BD3" w:rsidP="00055BD3">
      <w:r>
        <w:t>Instructed by:</w:t>
      </w:r>
    </w:p>
    <w:p w14:paraId="7AA78A24" w14:textId="3684B01C" w:rsidR="00055BD3" w:rsidRDefault="00055BD3" w:rsidP="006C7C31"/>
    <w:p w14:paraId="1B64FBDD" w14:textId="77777777" w:rsidR="00055BD3" w:rsidRDefault="00055BD3" w:rsidP="006C7C31"/>
    <w:p w14:paraId="39568004" w14:textId="39F6BB2B" w:rsidR="003A7F44" w:rsidRDefault="003A7F44" w:rsidP="006C7C31">
      <w:r>
        <w:t>On behalf of the Intervener:</w:t>
      </w:r>
      <w:r>
        <w:tab/>
      </w:r>
      <w:r w:rsidR="00055BD3">
        <w:tab/>
      </w:r>
      <w:r>
        <w:t>L A Maisela</w:t>
      </w:r>
    </w:p>
    <w:p w14:paraId="19874199" w14:textId="7348B7C2" w:rsidR="003A7F44" w:rsidRDefault="003A7F44" w:rsidP="006C7C31">
      <w:r>
        <w:t>Instructed by:</w:t>
      </w:r>
      <w:r>
        <w:tab/>
      </w:r>
      <w:r>
        <w:tab/>
      </w:r>
      <w:r>
        <w:tab/>
      </w:r>
      <w:r w:rsidR="00055BD3">
        <w:tab/>
      </w:r>
      <w:r>
        <w:t>Mkhwanazi Inc.</w:t>
      </w:r>
    </w:p>
    <w:p w14:paraId="47BE9240" w14:textId="5D0FD167" w:rsidR="000F054C" w:rsidRDefault="000F054C" w:rsidP="006C7C31"/>
    <w:p w14:paraId="42E13DC0" w14:textId="77777777" w:rsidR="000F054C" w:rsidRDefault="000F054C" w:rsidP="006C7C31"/>
    <w:p w14:paraId="19989CEB" w14:textId="3394E99C" w:rsidR="000F054C" w:rsidRDefault="000F054C" w:rsidP="000F054C">
      <w:pPr>
        <w:jc w:val="both"/>
      </w:pPr>
      <w:r>
        <w:t>Date of Hearing:</w:t>
      </w:r>
      <w:r>
        <w:tab/>
      </w:r>
      <w:r>
        <w:tab/>
      </w:r>
      <w:r>
        <w:tab/>
      </w:r>
      <w:r>
        <w:tab/>
        <w:t>13 April 2023</w:t>
      </w:r>
    </w:p>
    <w:p w14:paraId="72D2CB5A" w14:textId="749315F8" w:rsidR="000F054C" w:rsidRDefault="000F054C" w:rsidP="000F054C">
      <w:pPr>
        <w:jc w:val="both"/>
      </w:pPr>
    </w:p>
    <w:p w14:paraId="49BED09E" w14:textId="5F15D14E" w:rsidR="000F054C" w:rsidRDefault="000F054C" w:rsidP="000F054C">
      <w:pPr>
        <w:jc w:val="both"/>
      </w:pPr>
      <w:r>
        <w:t>Judgment Delivered:</w:t>
      </w:r>
      <w:r w:rsidR="007569B2">
        <w:tab/>
      </w:r>
      <w:r w:rsidR="007569B2">
        <w:tab/>
      </w:r>
      <w:r w:rsidR="007569B2">
        <w:tab/>
        <w:t>15 June 2023</w:t>
      </w:r>
    </w:p>
    <w:p w14:paraId="0EC8A4C9" w14:textId="77777777" w:rsidR="000F054C" w:rsidRDefault="000F054C" w:rsidP="000F054C">
      <w:pPr>
        <w:jc w:val="both"/>
      </w:pPr>
    </w:p>
    <w:p w14:paraId="767A5DD8" w14:textId="3AE9E081" w:rsidR="00564B22" w:rsidRDefault="006C7C31" w:rsidP="006C7C31">
      <w:r>
        <w:tab/>
      </w:r>
      <w:r>
        <w:tab/>
      </w:r>
      <w:r>
        <w:tab/>
      </w:r>
    </w:p>
    <w:sectPr w:rsidR="00564B22" w:rsidSect="00FF660B">
      <w:headerReference w:type="even" r:id="rId9"/>
      <w:headerReference w:type="defaul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BDDE" w14:textId="77777777" w:rsidR="00C5419E" w:rsidRDefault="00C5419E">
      <w:r>
        <w:separator/>
      </w:r>
    </w:p>
  </w:endnote>
  <w:endnote w:type="continuationSeparator" w:id="0">
    <w:p w14:paraId="2F536D4B" w14:textId="77777777" w:rsidR="00C5419E" w:rsidRDefault="00C5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A8510" w14:textId="77777777" w:rsidR="00C5419E" w:rsidRDefault="00C5419E">
      <w:r>
        <w:separator/>
      </w:r>
    </w:p>
  </w:footnote>
  <w:footnote w:type="continuationSeparator" w:id="0">
    <w:p w14:paraId="56C256E5" w14:textId="77777777" w:rsidR="00C5419E" w:rsidRDefault="00C5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495C9B" w:rsidRDefault="00495C9B" w:rsidP="00495C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495C9B" w:rsidRDefault="00495C9B"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02B40C04" w:rsidR="00495C9B" w:rsidRDefault="00495C9B" w:rsidP="00495C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FF0">
      <w:rPr>
        <w:rStyle w:val="PageNumber"/>
        <w:noProof/>
      </w:rPr>
      <w:t>7</w:t>
    </w:r>
    <w:r>
      <w:rPr>
        <w:rStyle w:val="PageNumber"/>
      </w:rPr>
      <w:fldChar w:fldCharType="end"/>
    </w:r>
  </w:p>
  <w:p w14:paraId="3A348D61" w14:textId="77777777" w:rsidR="00495C9B" w:rsidRDefault="00495C9B"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0529A"/>
    <w:multiLevelType w:val="hybridMultilevel"/>
    <w:tmpl w:val="83FA7078"/>
    <w:lvl w:ilvl="0" w:tplc="2F8A12F6">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A251058"/>
    <w:multiLevelType w:val="hybridMultilevel"/>
    <w:tmpl w:val="57945B9A"/>
    <w:lvl w:ilvl="0" w:tplc="C562DE6C">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nsid w:val="2C5B6BE0"/>
    <w:multiLevelType w:val="hybridMultilevel"/>
    <w:tmpl w:val="6AAA7542"/>
    <w:lvl w:ilvl="0" w:tplc="EB560030">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658F5DDD"/>
    <w:multiLevelType w:val="hybridMultilevel"/>
    <w:tmpl w:val="F6F2223C"/>
    <w:lvl w:ilvl="0" w:tplc="AFD4F914">
      <w:start w:val="1"/>
      <w:numFmt w:val="lowerLetter"/>
      <w:lvlText w:val="(%1)"/>
      <w:lvlJc w:val="left"/>
      <w:pPr>
        <w:ind w:left="2160" w:hanging="72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6A6D15AB"/>
    <w:multiLevelType w:val="hybridMultilevel"/>
    <w:tmpl w:val="7F0446AE"/>
    <w:lvl w:ilvl="0" w:tplc="F070801E">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326B3"/>
    <w:rsid w:val="000439AB"/>
    <w:rsid w:val="00055BD3"/>
    <w:rsid w:val="00056358"/>
    <w:rsid w:val="00063285"/>
    <w:rsid w:val="000C72A8"/>
    <w:rsid w:val="000D24C0"/>
    <w:rsid w:val="000F054C"/>
    <w:rsid w:val="00104714"/>
    <w:rsid w:val="0011627D"/>
    <w:rsid w:val="00167739"/>
    <w:rsid w:val="001E313D"/>
    <w:rsid w:val="00224D48"/>
    <w:rsid w:val="002274E0"/>
    <w:rsid w:val="00233EB5"/>
    <w:rsid w:val="00236371"/>
    <w:rsid w:val="002404E7"/>
    <w:rsid w:val="00280036"/>
    <w:rsid w:val="00284118"/>
    <w:rsid w:val="002909C1"/>
    <w:rsid w:val="002A4C19"/>
    <w:rsid w:val="002B309C"/>
    <w:rsid w:val="00302ACD"/>
    <w:rsid w:val="00375843"/>
    <w:rsid w:val="00394333"/>
    <w:rsid w:val="003A7F44"/>
    <w:rsid w:val="003E2E7A"/>
    <w:rsid w:val="00412FFF"/>
    <w:rsid w:val="00436FD5"/>
    <w:rsid w:val="00456DF1"/>
    <w:rsid w:val="004815D6"/>
    <w:rsid w:val="00495C9B"/>
    <w:rsid w:val="004B37A1"/>
    <w:rsid w:val="004C145C"/>
    <w:rsid w:val="004E1E41"/>
    <w:rsid w:val="00511057"/>
    <w:rsid w:val="00557C6D"/>
    <w:rsid w:val="00564B22"/>
    <w:rsid w:val="00575ADD"/>
    <w:rsid w:val="005918EC"/>
    <w:rsid w:val="005920A8"/>
    <w:rsid w:val="00594A5D"/>
    <w:rsid w:val="005B28C9"/>
    <w:rsid w:val="005B6365"/>
    <w:rsid w:val="005C7331"/>
    <w:rsid w:val="00632870"/>
    <w:rsid w:val="00646054"/>
    <w:rsid w:val="00674B46"/>
    <w:rsid w:val="00682561"/>
    <w:rsid w:val="006A4FF0"/>
    <w:rsid w:val="006C4EE4"/>
    <w:rsid w:val="006C7C31"/>
    <w:rsid w:val="006E1C8C"/>
    <w:rsid w:val="007107E8"/>
    <w:rsid w:val="007331E2"/>
    <w:rsid w:val="007569B2"/>
    <w:rsid w:val="00774EB6"/>
    <w:rsid w:val="007B6A55"/>
    <w:rsid w:val="0080354E"/>
    <w:rsid w:val="008541B1"/>
    <w:rsid w:val="00880090"/>
    <w:rsid w:val="008C1B43"/>
    <w:rsid w:val="00934949"/>
    <w:rsid w:val="00962CFE"/>
    <w:rsid w:val="00970DBF"/>
    <w:rsid w:val="009A0E15"/>
    <w:rsid w:val="009A2E9A"/>
    <w:rsid w:val="009D25EE"/>
    <w:rsid w:val="009D745A"/>
    <w:rsid w:val="009E0489"/>
    <w:rsid w:val="009F48E5"/>
    <w:rsid w:val="009F67EB"/>
    <w:rsid w:val="00A00624"/>
    <w:rsid w:val="00A01506"/>
    <w:rsid w:val="00A4182F"/>
    <w:rsid w:val="00A64419"/>
    <w:rsid w:val="00A90BBF"/>
    <w:rsid w:val="00B402B9"/>
    <w:rsid w:val="00B50968"/>
    <w:rsid w:val="00BE23CA"/>
    <w:rsid w:val="00BE4E54"/>
    <w:rsid w:val="00C21854"/>
    <w:rsid w:val="00C33C5B"/>
    <w:rsid w:val="00C5419E"/>
    <w:rsid w:val="00CA571F"/>
    <w:rsid w:val="00D36692"/>
    <w:rsid w:val="00D36F47"/>
    <w:rsid w:val="00D443BC"/>
    <w:rsid w:val="00DE6831"/>
    <w:rsid w:val="00E45B36"/>
    <w:rsid w:val="00E570AE"/>
    <w:rsid w:val="00E7405A"/>
    <w:rsid w:val="00E8574B"/>
    <w:rsid w:val="00ED78A3"/>
    <w:rsid w:val="00F034A3"/>
    <w:rsid w:val="00F2249A"/>
    <w:rsid w:val="00F325A3"/>
    <w:rsid w:val="00FB1C29"/>
    <w:rsid w:val="00FC14C7"/>
    <w:rsid w:val="00FD066F"/>
    <w:rsid w:val="00FD36F6"/>
    <w:rsid w:val="00FE2195"/>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character" w:styleId="Hyperlink">
    <w:name w:val="Hyperlink"/>
    <w:basedOn w:val="DefaultParagraphFont"/>
    <w:uiPriority w:val="99"/>
    <w:unhideWhenUsed/>
    <w:rsid w:val="003A7F44"/>
    <w:rPr>
      <w:color w:val="0000FF" w:themeColor="hyperlink"/>
      <w:u w:val="single"/>
    </w:rPr>
  </w:style>
  <w:style w:type="paragraph" w:styleId="BalloonText">
    <w:name w:val="Balloon Text"/>
    <w:basedOn w:val="Normal"/>
    <w:link w:val="BalloonTextChar"/>
    <w:uiPriority w:val="99"/>
    <w:semiHidden/>
    <w:unhideWhenUsed/>
    <w:rsid w:val="0005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D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4</cp:revision>
  <cp:lastPrinted>2023-06-13T12:58:00Z</cp:lastPrinted>
  <dcterms:created xsi:type="dcterms:W3CDTF">2023-06-21T11:04:00Z</dcterms:created>
  <dcterms:modified xsi:type="dcterms:W3CDTF">2023-06-21T11:09:00Z</dcterms:modified>
</cp:coreProperties>
</file>