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3BF6" w14:textId="77777777" w:rsidR="003B2189" w:rsidRPr="00DB2A06" w:rsidRDefault="003B2189" w:rsidP="003B2189">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CACF212" w14:textId="77777777" w:rsidR="003B2189" w:rsidRDefault="003B2189" w:rsidP="00C05135">
      <w:pPr>
        <w:tabs>
          <w:tab w:val="left" w:pos="851"/>
          <w:tab w:val="left" w:pos="1701"/>
          <w:tab w:val="left" w:pos="2694"/>
          <w:tab w:val="right" w:pos="8595"/>
        </w:tabs>
        <w:spacing w:before="360" w:after="0" w:line="240" w:lineRule="auto"/>
        <w:contextualSpacing/>
        <w:jc w:val="center"/>
        <w:rPr>
          <w:noProof/>
          <w:lang w:val="en-US"/>
        </w:rPr>
      </w:pPr>
    </w:p>
    <w:p w14:paraId="01CF6214" w14:textId="77777777" w:rsidR="003B2189" w:rsidRDefault="003B2189" w:rsidP="00C05135">
      <w:pPr>
        <w:tabs>
          <w:tab w:val="left" w:pos="851"/>
          <w:tab w:val="left" w:pos="1701"/>
          <w:tab w:val="left" w:pos="2694"/>
          <w:tab w:val="right" w:pos="8595"/>
        </w:tabs>
        <w:spacing w:before="360" w:after="0" w:line="240" w:lineRule="auto"/>
        <w:contextualSpacing/>
        <w:jc w:val="center"/>
        <w:rPr>
          <w:noProof/>
          <w:lang w:val="en-US"/>
        </w:rPr>
      </w:pPr>
    </w:p>
    <w:p w14:paraId="007E725E" w14:textId="7F2A3091" w:rsidR="00775EC0" w:rsidRDefault="00D20236" w:rsidP="00C05135">
      <w:pPr>
        <w:tabs>
          <w:tab w:val="left" w:pos="851"/>
          <w:tab w:val="left" w:pos="1701"/>
          <w:tab w:val="left" w:pos="2694"/>
          <w:tab w:val="right" w:pos="8595"/>
        </w:tabs>
        <w:spacing w:before="360" w:after="0" w:line="240" w:lineRule="auto"/>
        <w:contextualSpacing/>
        <w:jc w:val="center"/>
        <w:rPr>
          <w:b/>
          <w:szCs w:val="25"/>
        </w:rPr>
      </w:pPr>
      <w:r>
        <w:rPr>
          <w:noProof/>
          <w:lang w:val="en-US"/>
        </w:rPr>
        <w:drawing>
          <wp:inline distT="0" distB="0" distL="0" distR="0" wp14:anchorId="0FF27D69" wp14:editId="79CB167A">
            <wp:extent cx="981075" cy="981075"/>
            <wp:effectExtent l="0" t="0" r="9525" b="9525"/>
            <wp:docPr id="1"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0DF63E44"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3ABF806F"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5FAEFD79"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573EF6B4" w14:textId="4BE1126A" w:rsidR="0042480A" w:rsidRDefault="00D20236"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728" behindDoc="0" locked="0" layoutInCell="1" allowOverlap="1" wp14:anchorId="29723502" wp14:editId="76C05746">
                <wp:simplePos x="0" y="0"/>
                <wp:positionH relativeFrom="column">
                  <wp:posOffset>-113030</wp:posOffset>
                </wp:positionH>
                <wp:positionV relativeFrom="paragraph">
                  <wp:posOffset>21590</wp:posOffset>
                </wp:positionV>
                <wp:extent cx="2769235" cy="883920"/>
                <wp:effectExtent l="8255" t="13335" r="1333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7B097888" w14:textId="121B234B"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561F663" w14:textId="6D3E8257"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0A360CE9" w14:textId="501FC111"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5699EB0F" w14:textId="77777777" w:rsidR="003D3EF1" w:rsidRPr="00AE48BA" w:rsidRDefault="003D3EF1" w:rsidP="00775EC0">
                            <w:pPr>
                              <w:spacing w:after="0" w:line="240" w:lineRule="auto"/>
                              <w:rPr>
                                <w:rFonts w:ascii="Century Gothic" w:hAnsi="Century Gothic"/>
                                <w:b/>
                                <w:sz w:val="16"/>
                                <w:szCs w:val="19"/>
                              </w:rPr>
                            </w:pPr>
                          </w:p>
                          <w:p w14:paraId="69DB82ED"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253AAE31"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3502"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02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">
                <v:textbox>
                  <w:txbxContent>
                    <w:p w14:paraId="7B097888" w14:textId="121B234B"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561F663" w14:textId="6D3E8257"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0A360CE9" w14:textId="501FC111" w:rsidR="003D3EF1" w:rsidRPr="00AE48BA" w:rsidRDefault="00D72AD5" w:rsidP="00D72AD5">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5699EB0F" w14:textId="77777777" w:rsidR="003D3EF1" w:rsidRPr="00AE48BA" w:rsidRDefault="003D3EF1" w:rsidP="00775EC0">
                      <w:pPr>
                        <w:spacing w:after="0" w:line="240" w:lineRule="auto"/>
                        <w:rPr>
                          <w:rFonts w:ascii="Century Gothic" w:hAnsi="Century Gothic"/>
                          <w:b/>
                          <w:sz w:val="16"/>
                          <w:szCs w:val="19"/>
                        </w:rPr>
                      </w:pPr>
                    </w:p>
                    <w:p w14:paraId="69DB82ED"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253AAE31"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258B38E0"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6911A8E9"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6589F40B" w14:textId="77777777"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Case No:</w:t>
      </w:r>
      <w:r w:rsidR="009374B3">
        <w:rPr>
          <w:b/>
          <w:sz w:val="24"/>
        </w:rPr>
        <w:t xml:space="preserve"> 52341/2020</w:t>
      </w:r>
      <w:r w:rsidRPr="0042480A">
        <w:rPr>
          <w:b/>
          <w:sz w:val="24"/>
        </w:rPr>
        <w:t xml:space="preserve"> </w:t>
      </w:r>
    </w:p>
    <w:p w14:paraId="78643E6E"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38BC0C81"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21388529"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105936A3"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4991BC4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76F1621C"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254DB659" w14:textId="77777777" w:rsidR="00A61BA8" w:rsidRPr="00C47605" w:rsidRDefault="009374B3" w:rsidP="00C05135">
      <w:pPr>
        <w:tabs>
          <w:tab w:val="left" w:pos="851"/>
          <w:tab w:val="left" w:pos="1701"/>
          <w:tab w:val="left" w:pos="2694"/>
          <w:tab w:val="right" w:pos="8595"/>
        </w:tabs>
        <w:spacing w:after="0" w:line="240" w:lineRule="auto"/>
        <w:contextualSpacing/>
        <w:jc w:val="both"/>
        <w:rPr>
          <w:sz w:val="24"/>
        </w:rPr>
      </w:pPr>
      <w:r>
        <w:rPr>
          <w:b/>
          <w:sz w:val="24"/>
        </w:rPr>
        <w:t>NEDBANK LIMITED</w:t>
      </w:r>
      <w:r>
        <w:rPr>
          <w:b/>
          <w:sz w:val="24"/>
        </w:rPr>
        <w:tab/>
      </w:r>
      <w:r w:rsidR="00C47605">
        <w:rPr>
          <w:sz w:val="24"/>
        </w:rPr>
        <w:tab/>
      </w:r>
      <w:r>
        <w:rPr>
          <w:sz w:val="24"/>
        </w:rPr>
        <w:t xml:space="preserve">Plaintiff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315936A5"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46922844"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and</w:t>
      </w:r>
    </w:p>
    <w:p w14:paraId="701F87C0" w14:textId="77777777" w:rsidR="008721BB" w:rsidRPr="00C47605" w:rsidRDefault="008721BB" w:rsidP="0020199D">
      <w:pPr>
        <w:tabs>
          <w:tab w:val="left" w:pos="851"/>
          <w:tab w:val="left" w:pos="1701"/>
          <w:tab w:val="left" w:pos="2694"/>
          <w:tab w:val="right" w:pos="8595"/>
        </w:tabs>
        <w:spacing w:after="0" w:line="240" w:lineRule="auto"/>
        <w:contextualSpacing/>
        <w:jc w:val="both"/>
        <w:rPr>
          <w:b/>
          <w:sz w:val="24"/>
        </w:rPr>
      </w:pPr>
    </w:p>
    <w:p w14:paraId="04A7C2CB" w14:textId="60B6C4F8" w:rsidR="009374B3" w:rsidRDefault="001E6E54" w:rsidP="00AB2019">
      <w:pPr>
        <w:tabs>
          <w:tab w:val="left" w:pos="851"/>
          <w:tab w:val="left" w:pos="1701"/>
          <w:tab w:val="left" w:pos="2694"/>
          <w:tab w:val="right" w:pos="8595"/>
        </w:tabs>
        <w:spacing w:after="0" w:line="360" w:lineRule="auto"/>
        <w:contextualSpacing/>
        <w:jc w:val="both"/>
        <w:rPr>
          <w:b/>
          <w:sz w:val="24"/>
        </w:rPr>
      </w:pPr>
      <w:r>
        <w:rPr>
          <w:b/>
          <w:sz w:val="24"/>
        </w:rPr>
        <w:t xml:space="preserve">UYS, </w:t>
      </w:r>
      <w:r w:rsidR="009374B3">
        <w:rPr>
          <w:b/>
          <w:sz w:val="24"/>
        </w:rPr>
        <w:t>MARTHINUS CORNELIUS</w:t>
      </w:r>
    </w:p>
    <w:p w14:paraId="32E8AAE8" w14:textId="65723A60" w:rsidR="00B22F20" w:rsidRDefault="003B2189" w:rsidP="00AB2019">
      <w:pPr>
        <w:tabs>
          <w:tab w:val="left" w:pos="851"/>
          <w:tab w:val="left" w:pos="1701"/>
          <w:tab w:val="left" w:pos="2694"/>
          <w:tab w:val="right" w:pos="8595"/>
        </w:tabs>
        <w:spacing w:after="0" w:line="360" w:lineRule="auto"/>
        <w:contextualSpacing/>
        <w:jc w:val="both"/>
        <w:rPr>
          <w:bCs/>
          <w:sz w:val="24"/>
        </w:rPr>
      </w:pPr>
      <w:r>
        <w:rPr>
          <w:sz w:val="24"/>
        </w:rPr>
        <w:t>(ID: […]</w:t>
      </w:r>
      <w:r w:rsidR="009374B3">
        <w:rPr>
          <w:sz w:val="24"/>
        </w:rPr>
        <w:t>)</w:t>
      </w:r>
      <w:r w:rsidR="009374B3">
        <w:rPr>
          <w:sz w:val="24"/>
        </w:rPr>
        <w:tab/>
      </w:r>
      <w:r w:rsidR="005D49A0">
        <w:rPr>
          <w:b/>
          <w:sz w:val="24"/>
        </w:rPr>
        <w:tab/>
      </w:r>
      <w:r w:rsidR="00E624A9" w:rsidRPr="00E624A9">
        <w:rPr>
          <w:bCs/>
          <w:sz w:val="24"/>
        </w:rPr>
        <w:t xml:space="preserve">First </w:t>
      </w:r>
      <w:r w:rsidR="009374B3">
        <w:rPr>
          <w:bCs/>
          <w:sz w:val="24"/>
        </w:rPr>
        <w:t xml:space="preserve">Defendant </w:t>
      </w:r>
    </w:p>
    <w:p w14:paraId="22F152DC" w14:textId="05CEAC73" w:rsidR="009374B3" w:rsidRDefault="001E6E54" w:rsidP="009374B3">
      <w:pPr>
        <w:tabs>
          <w:tab w:val="left" w:pos="851"/>
          <w:tab w:val="left" w:pos="1701"/>
          <w:tab w:val="left" w:pos="2694"/>
          <w:tab w:val="right" w:pos="8595"/>
        </w:tabs>
        <w:spacing w:before="360" w:after="0" w:line="360" w:lineRule="auto"/>
        <w:jc w:val="both"/>
        <w:rPr>
          <w:b/>
          <w:sz w:val="24"/>
        </w:rPr>
      </w:pPr>
      <w:r>
        <w:rPr>
          <w:b/>
          <w:sz w:val="24"/>
        </w:rPr>
        <w:t xml:space="preserve">UYS, </w:t>
      </w:r>
      <w:r w:rsidR="009374B3">
        <w:rPr>
          <w:b/>
          <w:sz w:val="24"/>
        </w:rPr>
        <w:t>SUSANNA ALETTA</w:t>
      </w:r>
    </w:p>
    <w:p w14:paraId="1F048DD4" w14:textId="7FF553C0" w:rsidR="00E624A9" w:rsidRDefault="003B2189" w:rsidP="00AB2019">
      <w:pPr>
        <w:tabs>
          <w:tab w:val="left" w:pos="851"/>
          <w:tab w:val="left" w:pos="1701"/>
          <w:tab w:val="left" w:pos="2694"/>
          <w:tab w:val="right" w:pos="8595"/>
        </w:tabs>
        <w:spacing w:after="0" w:line="360" w:lineRule="auto"/>
        <w:contextualSpacing/>
        <w:jc w:val="both"/>
        <w:rPr>
          <w:bCs/>
          <w:sz w:val="24"/>
        </w:rPr>
      </w:pPr>
      <w:r>
        <w:rPr>
          <w:sz w:val="24"/>
        </w:rPr>
        <w:t>(ID: […]</w:t>
      </w:r>
      <w:bookmarkStart w:id="0" w:name="_GoBack"/>
      <w:bookmarkEnd w:id="0"/>
      <w:r w:rsidR="009374B3">
        <w:rPr>
          <w:sz w:val="24"/>
        </w:rPr>
        <w:t xml:space="preserve">) </w:t>
      </w:r>
      <w:r w:rsidR="009374B3">
        <w:rPr>
          <w:sz w:val="24"/>
        </w:rPr>
        <w:tab/>
      </w:r>
      <w:r w:rsidR="00E624A9">
        <w:rPr>
          <w:b/>
          <w:sz w:val="24"/>
        </w:rPr>
        <w:tab/>
      </w:r>
      <w:r w:rsidR="00537804">
        <w:rPr>
          <w:bCs/>
          <w:sz w:val="24"/>
        </w:rPr>
        <w:t>Second Defendant</w:t>
      </w:r>
    </w:p>
    <w:p w14:paraId="0CC1B192" w14:textId="77777777" w:rsidR="00537804" w:rsidRDefault="00537804" w:rsidP="00537804">
      <w:pPr>
        <w:tabs>
          <w:tab w:val="left" w:pos="851"/>
          <w:tab w:val="left" w:pos="1701"/>
          <w:tab w:val="left" w:pos="2694"/>
          <w:tab w:val="right" w:pos="8595"/>
        </w:tabs>
        <w:spacing w:after="0" w:line="360" w:lineRule="auto"/>
        <w:contextualSpacing/>
        <w:jc w:val="both"/>
        <w:rPr>
          <w:b/>
          <w:bCs/>
          <w:sz w:val="24"/>
        </w:rPr>
      </w:pPr>
    </w:p>
    <w:p w14:paraId="7DC5E050" w14:textId="10724D09" w:rsidR="00537804" w:rsidRPr="00537804" w:rsidRDefault="00537804" w:rsidP="00537804">
      <w:pPr>
        <w:tabs>
          <w:tab w:val="left" w:pos="851"/>
          <w:tab w:val="left" w:pos="1701"/>
          <w:tab w:val="left" w:pos="2694"/>
          <w:tab w:val="right" w:pos="8595"/>
        </w:tabs>
        <w:spacing w:after="0" w:line="360" w:lineRule="auto"/>
        <w:contextualSpacing/>
        <w:jc w:val="both"/>
        <w:rPr>
          <w:sz w:val="24"/>
        </w:rPr>
      </w:pPr>
      <w:r w:rsidRPr="00537804">
        <w:rPr>
          <w:b/>
          <w:bCs/>
          <w:sz w:val="24"/>
        </w:rPr>
        <w:t xml:space="preserve">Delivered:  </w:t>
      </w:r>
      <w:r w:rsidRPr="00537804">
        <w:rPr>
          <w:sz w:val="24"/>
        </w:rPr>
        <w:t xml:space="preserve">This judgment was handed down electronically by circulation to the </w:t>
      </w:r>
      <w:r w:rsidR="001E6E54">
        <w:rPr>
          <w:sz w:val="24"/>
        </w:rPr>
        <w:t>parties’ legal representatives</w:t>
      </w:r>
      <w:r w:rsidRPr="00537804">
        <w:rPr>
          <w:sz w:val="24"/>
        </w:rPr>
        <w:t xml:space="preserve"> by e-mail.  The date for the handing down of the judgment shall be deemed to be </w:t>
      </w:r>
      <w:r w:rsidR="00E32B4B">
        <w:rPr>
          <w:sz w:val="24"/>
        </w:rPr>
        <w:t>8</w:t>
      </w:r>
      <w:r w:rsidR="001F6DD8">
        <w:rPr>
          <w:sz w:val="24"/>
        </w:rPr>
        <w:t xml:space="preserve"> </w:t>
      </w:r>
      <w:r w:rsidR="001E6E54">
        <w:rPr>
          <w:sz w:val="24"/>
        </w:rPr>
        <w:t>June 2023</w:t>
      </w:r>
    </w:p>
    <w:p w14:paraId="2B3B58B2" w14:textId="77777777" w:rsidR="00AE48BA" w:rsidRPr="00C47605" w:rsidRDefault="00AE48BA"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95"/>
      </w:tblGrid>
      <w:tr w:rsidR="00C05135" w:rsidRPr="00F27635" w14:paraId="6B171E1C" w14:textId="77777777" w:rsidTr="009C5419">
        <w:tc>
          <w:tcPr>
            <w:tcW w:w="8811" w:type="dxa"/>
          </w:tcPr>
          <w:p w14:paraId="1EC6736B"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3E467FAD"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319CE558"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70EAFA66"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0195205B" w14:textId="77777777" w:rsidR="001C3AC1" w:rsidRPr="001C3AC1" w:rsidRDefault="005D49A0" w:rsidP="001C3AC1">
      <w:pPr>
        <w:tabs>
          <w:tab w:val="left" w:pos="851"/>
          <w:tab w:val="left" w:pos="1701"/>
          <w:tab w:val="left" w:pos="2694"/>
          <w:tab w:val="right" w:pos="8595"/>
        </w:tabs>
        <w:spacing w:before="280" w:after="280" w:line="480" w:lineRule="auto"/>
        <w:rPr>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r w:rsidR="00F0057C" w:rsidRPr="00F27635">
        <w:rPr>
          <w:sz w:val="24"/>
        </w:rPr>
        <w:t xml:space="preserve"> </w:t>
      </w:r>
      <w:r w:rsidR="00B22F20" w:rsidRPr="00F27635">
        <w:rPr>
          <w:sz w:val="24"/>
        </w:rPr>
        <w:t xml:space="preserve"> </w:t>
      </w:r>
    </w:p>
    <w:p w14:paraId="5106FBEE" w14:textId="611079DB" w:rsidR="00B37052"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lastRenderedPageBreak/>
        <w:t>[1]</w:t>
      </w:r>
      <w:r>
        <w:rPr>
          <w:sz w:val="24"/>
        </w:rPr>
        <w:tab/>
      </w:r>
      <w:r w:rsidR="00B37052">
        <w:rPr>
          <w:sz w:val="24"/>
        </w:rPr>
        <w:t xml:space="preserve">This is an opposed summary judgment </w:t>
      </w:r>
      <w:r w:rsidR="001E6E54">
        <w:rPr>
          <w:sz w:val="24"/>
        </w:rPr>
        <w:t xml:space="preserve">application </w:t>
      </w:r>
      <w:r w:rsidR="00B37052">
        <w:rPr>
          <w:sz w:val="24"/>
        </w:rPr>
        <w:t xml:space="preserve">brought in terms of Rule 32 of the </w:t>
      </w:r>
      <w:r w:rsidR="001E6E54">
        <w:rPr>
          <w:sz w:val="24"/>
        </w:rPr>
        <w:t xml:space="preserve">Uniform </w:t>
      </w:r>
      <w:r w:rsidR="00B37052">
        <w:rPr>
          <w:sz w:val="24"/>
        </w:rPr>
        <w:t xml:space="preserve">Rules of Court.  </w:t>
      </w:r>
    </w:p>
    <w:p w14:paraId="13FBAE22" w14:textId="6E698497" w:rsidR="00B37052"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w:t>
      </w:r>
      <w:r>
        <w:rPr>
          <w:sz w:val="24"/>
        </w:rPr>
        <w:tab/>
      </w:r>
      <w:r w:rsidR="00B37052">
        <w:rPr>
          <w:sz w:val="24"/>
        </w:rPr>
        <w:t>The Plaintiff seeks the following relief</w:t>
      </w:r>
      <w:r w:rsidR="001E6E54">
        <w:rPr>
          <w:sz w:val="24"/>
        </w:rPr>
        <w:t xml:space="preserve"> against the First and Second Defendants (hereinafter collectively referred to as ‘the Defendants”)</w:t>
      </w:r>
      <w:r w:rsidR="00B37052">
        <w:rPr>
          <w:sz w:val="24"/>
        </w:rPr>
        <w:t xml:space="preserve">: </w:t>
      </w:r>
    </w:p>
    <w:p w14:paraId="39541708" w14:textId="0A1BFA99"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[2.1]</w:t>
      </w:r>
      <w:r>
        <w:rPr>
          <w:sz w:val="24"/>
        </w:rPr>
        <w:tab/>
      </w:r>
      <w:r w:rsidR="00B37052">
        <w:rPr>
          <w:sz w:val="24"/>
        </w:rPr>
        <w:t>payment of the amount of R567 639.20, together with interest thereon</w:t>
      </w:r>
      <w:r w:rsidR="001F6DD8">
        <w:rPr>
          <w:sz w:val="24"/>
        </w:rPr>
        <w:t>,</w:t>
      </w:r>
      <w:r w:rsidR="00B37052">
        <w:rPr>
          <w:sz w:val="24"/>
        </w:rPr>
        <w:t xml:space="preserve"> at a rate of 5.75% per annum</w:t>
      </w:r>
      <w:r w:rsidR="001F6DD8">
        <w:rPr>
          <w:sz w:val="24"/>
        </w:rPr>
        <w:t>,</w:t>
      </w:r>
      <w:r w:rsidR="00B37052">
        <w:rPr>
          <w:sz w:val="24"/>
        </w:rPr>
        <w:t xml:space="preserve"> calculated and capitalised monthly in advance from 1 August 2020 to date of payment; </w:t>
      </w:r>
    </w:p>
    <w:p w14:paraId="6A046F16" w14:textId="5293C5E6"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w:t>
      </w:r>
      <w:r>
        <w:rPr>
          <w:sz w:val="24"/>
        </w:rPr>
        <w:tab/>
      </w:r>
      <w:r w:rsidR="00B37052">
        <w:rPr>
          <w:sz w:val="24"/>
        </w:rPr>
        <w:t xml:space="preserve">an order declaring the following immovable property specially executable: </w:t>
      </w:r>
    </w:p>
    <w:p w14:paraId="47268F62" w14:textId="7BA07868" w:rsidR="00B37052" w:rsidRDefault="00B37052" w:rsidP="00B37052">
      <w:pPr>
        <w:tabs>
          <w:tab w:val="left" w:pos="0"/>
          <w:tab w:val="left" w:pos="851"/>
          <w:tab w:val="left" w:pos="1701"/>
          <w:tab w:val="left" w:pos="2835"/>
          <w:tab w:val="right" w:pos="8595"/>
        </w:tabs>
        <w:spacing w:before="480" w:after="0" w:line="480" w:lineRule="auto"/>
        <w:ind w:left="1701"/>
        <w:jc w:val="both"/>
        <w:rPr>
          <w:sz w:val="24"/>
        </w:rPr>
      </w:pPr>
      <w:r>
        <w:rPr>
          <w:b/>
          <w:sz w:val="24"/>
        </w:rPr>
        <w:t>Erf 711, Sonland Park Township, Registration Division I.Q., Province of Gauteng, measuring 1 301 (one thousand three hundred and one) square metres (local authority: Emfuleni Local Municipality), situated at 8 Dawie Botha</w:t>
      </w:r>
      <w:r w:rsidR="001E6E54">
        <w:rPr>
          <w:b/>
          <w:sz w:val="24"/>
        </w:rPr>
        <w:t xml:space="preserve"> </w:t>
      </w:r>
      <w:r>
        <w:rPr>
          <w:b/>
          <w:sz w:val="24"/>
        </w:rPr>
        <w:t xml:space="preserve">laan, held by the Defendants under Deed of Transfer T30203/1995 hypothecated in favour of the Plaintiff in terms of the Mortgage Bond B109363/2006 </w:t>
      </w:r>
      <w:r w:rsidRPr="001E6E54">
        <w:rPr>
          <w:bCs/>
          <w:sz w:val="24"/>
        </w:rPr>
        <w:t xml:space="preserve">(“the immovable property”); </w:t>
      </w:r>
      <w:r>
        <w:rPr>
          <w:b/>
          <w:sz w:val="24"/>
        </w:rPr>
        <w:t xml:space="preserve">   </w:t>
      </w:r>
      <w:r>
        <w:rPr>
          <w:sz w:val="24"/>
        </w:rPr>
        <w:t xml:space="preserve"> </w:t>
      </w:r>
    </w:p>
    <w:p w14:paraId="2D578E20" w14:textId="4ADE70A2" w:rsidR="00C43D98"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[2.3]</w:t>
      </w:r>
      <w:r>
        <w:rPr>
          <w:sz w:val="24"/>
        </w:rPr>
        <w:tab/>
      </w:r>
      <w:r w:rsidR="00B37052">
        <w:rPr>
          <w:sz w:val="24"/>
        </w:rPr>
        <w:t xml:space="preserve">that the Registrar of the court be authorised to issue a Warrant of Attachment in respect of the immovable property in respect of the immovable property as envisaged in terms of Rule 46(1)(a) of the Uniform Rules of Court; </w:t>
      </w:r>
    </w:p>
    <w:p w14:paraId="12F42E34" w14:textId="771DBCBC"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lastRenderedPageBreak/>
        <w:t>[2.4]</w:t>
      </w:r>
      <w:r>
        <w:rPr>
          <w:sz w:val="24"/>
        </w:rPr>
        <w:tab/>
      </w:r>
      <w:r w:rsidR="00B37052">
        <w:rPr>
          <w:sz w:val="24"/>
        </w:rPr>
        <w:t xml:space="preserve">that no reserve price be set, </w:t>
      </w:r>
      <w:r w:rsidR="00B37052" w:rsidRPr="001F6DD8">
        <w:rPr>
          <w:i/>
          <w:iCs/>
          <w:sz w:val="24"/>
        </w:rPr>
        <w:t>alternatively</w:t>
      </w:r>
      <w:r w:rsidR="001F6DD8">
        <w:rPr>
          <w:sz w:val="24"/>
        </w:rPr>
        <w:t>,</w:t>
      </w:r>
      <w:r w:rsidR="00B37052">
        <w:rPr>
          <w:sz w:val="24"/>
        </w:rPr>
        <w:t xml:space="preserve"> that a reserve price is set at R425 000.00; </w:t>
      </w:r>
    </w:p>
    <w:p w14:paraId="4F018109" w14:textId="3AD777DA" w:rsidR="001E6E54"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[2.5]</w:t>
      </w:r>
      <w:r>
        <w:rPr>
          <w:sz w:val="24"/>
        </w:rPr>
        <w:tab/>
      </w:r>
      <w:r w:rsidR="00B37052">
        <w:rPr>
          <w:sz w:val="24"/>
        </w:rPr>
        <w:t>that</w:t>
      </w:r>
      <w:r w:rsidR="001E6E54">
        <w:rPr>
          <w:sz w:val="24"/>
        </w:rPr>
        <w:t>,</w:t>
      </w:r>
      <w:r w:rsidR="00B37052">
        <w:rPr>
          <w:sz w:val="24"/>
        </w:rPr>
        <w:t xml:space="preserve"> in the event that a reserve price is not attained, and subject to Rule 46A(9)(d) and (e), the Plaintiff may approach the court on the papers, duly supplemented, to reconsider the reserve price in terms of Rule 46A(9)(c); </w:t>
      </w:r>
    </w:p>
    <w:p w14:paraId="3C9D4CCB" w14:textId="7B710B9D"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[2.6]</w:t>
      </w:r>
      <w:r>
        <w:rPr>
          <w:sz w:val="24"/>
        </w:rPr>
        <w:tab/>
      </w:r>
      <w:r w:rsidR="00B37052" w:rsidRPr="00B37052">
        <w:rPr>
          <w:sz w:val="24"/>
        </w:rPr>
        <w:t>that</w:t>
      </w:r>
      <w:r w:rsidR="001E6E54">
        <w:rPr>
          <w:sz w:val="24"/>
        </w:rPr>
        <w:t>,</w:t>
      </w:r>
      <w:r w:rsidR="00B37052" w:rsidRPr="00B37052">
        <w:rPr>
          <w:sz w:val="24"/>
        </w:rPr>
        <w:t xml:space="preserve"> in the event that personal service is not attained, condonation in terms of Rule 46A(3)(d) is granted;</w:t>
      </w:r>
      <w:r w:rsidR="001E6E54">
        <w:rPr>
          <w:sz w:val="24"/>
        </w:rPr>
        <w:t xml:space="preserve"> and</w:t>
      </w:r>
      <w:r w:rsidR="00B37052" w:rsidRPr="00B37052">
        <w:rPr>
          <w:sz w:val="24"/>
        </w:rPr>
        <w:t xml:space="preserve"> </w:t>
      </w:r>
    </w:p>
    <w:p w14:paraId="7997E1A8" w14:textId="7A006008"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[2.7]</w:t>
      </w:r>
      <w:r>
        <w:rPr>
          <w:sz w:val="24"/>
        </w:rPr>
        <w:tab/>
      </w:r>
      <w:r w:rsidR="00B37052">
        <w:rPr>
          <w:sz w:val="24"/>
        </w:rPr>
        <w:t xml:space="preserve">that the Defendants be ordered to pay the taxed costs on the scale as between attorney and own client. </w:t>
      </w:r>
    </w:p>
    <w:p w14:paraId="52B8E909" w14:textId="77777777" w:rsidR="00B37052" w:rsidRDefault="00B37052" w:rsidP="00B37052">
      <w:pPr>
        <w:tabs>
          <w:tab w:val="left" w:pos="0"/>
          <w:tab w:val="left" w:pos="851"/>
          <w:tab w:val="left" w:pos="1701"/>
          <w:tab w:val="left" w:pos="2835"/>
          <w:tab w:val="right" w:pos="8595"/>
        </w:tabs>
        <w:spacing w:before="480" w:after="0" w:line="480" w:lineRule="auto"/>
        <w:jc w:val="both"/>
        <w:rPr>
          <w:sz w:val="24"/>
        </w:rPr>
      </w:pPr>
      <w:r>
        <w:rPr>
          <w:b/>
          <w:sz w:val="24"/>
          <w:u w:val="single"/>
        </w:rPr>
        <w:t>RELEVANT BACKGROUND FACTS</w:t>
      </w:r>
      <w:r>
        <w:rPr>
          <w:sz w:val="24"/>
        </w:rPr>
        <w:t xml:space="preserve"> </w:t>
      </w:r>
    </w:p>
    <w:p w14:paraId="1AD0D39E" w14:textId="7E541040" w:rsidR="00B37052"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w:t>
      </w:r>
      <w:r>
        <w:rPr>
          <w:sz w:val="24"/>
        </w:rPr>
        <w:tab/>
      </w:r>
      <w:r w:rsidR="001E6E54">
        <w:rPr>
          <w:sz w:val="24"/>
        </w:rPr>
        <w:t xml:space="preserve">On 2 April 2006, 14 August 2007, 26 September 2007 and 26 September 2008, </w:t>
      </w:r>
      <w:r w:rsidR="00B37052">
        <w:rPr>
          <w:sz w:val="24"/>
        </w:rPr>
        <w:t xml:space="preserve">the Plaintiff (represented by a duly authorised official) and the Defendants (acting personally) concluded written </w:t>
      </w:r>
      <w:r w:rsidR="006A7BB8">
        <w:rPr>
          <w:sz w:val="24"/>
        </w:rPr>
        <w:t>a</w:t>
      </w:r>
      <w:r w:rsidR="00B37052">
        <w:rPr>
          <w:sz w:val="24"/>
        </w:rPr>
        <w:t>greement</w:t>
      </w:r>
      <w:r w:rsidR="006A7BB8">
        <w:rPr>
          <w:sz w:val="24"/>
        </w:rPr>
        <w:t>s</w:t>
      </w:r>
      <w:r w:rsidR="00B37052">
        <w:rPr>
          <w:sz w:val="24"/>
        </w:rPr>
        <w:t xml:space="preserve"> of Loan (</w:t>
      </w:r>
      <w:r w:rsidR="006A7BB8">
        <w:rPr>
          <w:sz w:val="24"/>
        </w:rPr>
        <w:t xml:space="preserve">hereinafter collectively referred to as </w:t>
      </w:r>
      <w:r w:rsidR="00B37052">
        <w:rPr>
          <w:sz w:val="24"/>
        </w:rPr>
        <w:t>“the loan agreement</w:t>
      </w:r>
      <w:r w:rsidR="006A7BB8">
        <w:rPr>
          <w:sz w:val="24"/>
        </w:rPr>
        <w:t>s</w:t>
      </w:r>
      <w:r w:rsidR="00B37052">
        <w:rPr>
          <w:sz w:val="24"/>
        </w:rPr>
        <w:t xml:space="preserve">”). </w:t>
      </w:r>
    </w:p>
    <w:p w14:paraId="5853039A" w14:textId="0DEDFEC9" w:rsidR="00B37052"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[4]</w:t>
      </w:r>
      <w:r>
        <w:rPr>
          <w:sz w:val="24"/>
        </w:rPr>
        <w:tab/>
      </w:r>
      <w:r w:rsidR="00B37052">
        <w:rPr>
          <w:sz w:val="24"/>
        </w:rPr>
        <w:t>In accordance with the provisions of the loan agreement</w:t>
      </w:r>
      <w:r w:rsidR="006A7BB8">
        <w:rPr>
          <w:sz w:val="24"/>
        </w:rPr>
        <w:t xml:space="preserve">s, </w:t>
      </w:r>
      <w:r w:rsidR="00B37052">
        <w:rPr>
          <w:sz w:val="24"/>
        </w:rPr>
        <w:t>on or about 14 July 2006, 6 September 2007, 13 December 2007 and 15 October 2008, the Registrar of Deeds, Pretoria</w:t>
      </w:r>
      <w:r w:rsidR="006A7BB8">
        <w:rPr>
          <w:sz w:val="24"/>
        </w:rPr>
        <w:t>,</w:t>
      </w:r>
      <w:r w:rsidR="00B37052">
        <w:rPr>
          <w:sz w:val="24"/>
        </w:rPr>
        <w:t xml:space="preserve"> registered covering </w:t>
      </w:r>
      <w:r w:rsidR="006A7BB8">
        <w:rPr>
          <w:sz w:val="24"/>
        </w:rPr>
        <w:t>m</w:t>
      </w:r>
      <w:r w:rsidR="00A43297">
        <w:rPr>
          <w:sz w:val="24"/>
        </w:rPr>
        <w:t xml:space="preserve">ortgage </w:t>
      </w:r>
      <w:r w:rsidR="006A7BB8">
        <w:rPr>
          <w:sz w:val="24"/>
        </w:rPr>
        <w:t>b</w:t>
      </w:r>
      <w:r w:rsidR="00A43297">
        <w:rPr>
          <w:sz w:val="24"/>
        </w:rPr>
        <w:t>ond</w:t>
      </w:r>
      <w:r w:rsidR="00B37052">
        <w:rPr>
          <w:sz w:val="24"/>
        </w:rPr>
        <w:t xml:space="preserve">s with registration numbers: B109363/06, B147610/07, B202305/07 and </w:t>
      </w:r>
      <w:r w:rsidR="006A7BB8">
        <w:rPr>
          <w:sz w:val="24"/>
        </w:rPr>
        <w:t>B</w:t>
      </w:r>
      <w:r w:rsidR="00B37052">
        <w:rPr>
          <w:sz w:val="24"/>
        </w:rPr>
        <w:t>93848/08</w:t>
      </w:r>
      <w:r w:rsidR="006A7BB8">
        <w:rPr>
          <w:sz w:val="24"/>
        </w:rPr>
        <w:t xml:space="preserve"> (hereinafter collectively referred to as “the mortgage bonds”)</w:t>
      </w:r>
      <w:r w:rsidR="00B37052">
        <w:rPr>
          <w:sz w:val="24"/>
        </w:rPr>
        <w:t xml:space="preserve">.  </w:t>
      </w:r>
    </w:p>
    <w:p w14:paraId="03BE156C" w14:textId="460376B6" w:rsidR="00F0584C"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lastRenderedPageBreak/>
        <w:t>[5]</w:t>
      </w:r>
      <w:r>
        <w:rPr>
          <w:sz w:val="24"/>
        </w:rPr>
        <w:tab/>
      </w:r>
      <w:r w:rsidR="00B37052">
        <w:rPr>
          <w:sz w:val="24"/>
        </w:rPr>
        <w:t>The loan agreement</w:t>
      </w:r>
      <w:r w:rsidR="006A7BB8">
        <w:rPr>
          <w:sz w:val="24"/>
        </w:rPr>
        <w:t>s</w:t>
      </w:r>
      <w:r w:rsidR="00B37052">
        <w:rPr>
          <w:sz w:val="24"/>
        </w:rPr>
        <w:t xml:space="preserve"> as read with the </w:t>
      </w:r>
      <w:r w:rsidR="006A7BB8">
        <w:rPr>
          <w:sz w:val="24"/>
        </w:rPr>
        <w:t>m</w:t>
      </w:r>
      <w:r w:rsidR="00A43297">
        <w:rPr>
          <w:sz w:val="24"/>
        </w:rPr>
        <w:t xml:space="preserve">ortgage </w:t>
      </w:r>
      <w:r w:rsidR="006A7BB8">
        <w:rPr>
          <w:sz w:val="24"/>
        </w:rPr>
        <w:t>b</w:t>
      </w:r>
      <w:r w:rsidR="00A43297">
        <w:rPr>
          <w:sz w:val="24"/>
        </w:rPr>
        <w:t>ond</w:t>
      </w:r>
      <w:r w:rsidR="00B37052">
        <w:rPr>
          <w:sz w:val="24"/>
        </w:rPr>
        <w:t xml:space="preserve">s contained the following </w:t>
      </w:r>
      <w:r w:rsidR="00F0584C">
        <w:rPr>
          <w:sz w:val="24"/>
        </w:rPr>
        <w:t xml:space="preserve">material terms and conditions: </w:t>
      </w:r>
    </w:p>
    <w:p w14:paraId="2E4887FC" w14:textId="2C189471"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[5.1]</w:t>
      </w:r>
      <w:r>
        <w:rPr>
          <w:sz w:val="24"/>
        </w:rPr>
        <w:tab/>
      </w:r>
      <w:r w:rsidR="00F0584C">
        <w:rPr>
          <w:sz w:val="24"/>
        </w:rPr>
        <w:t>the Defendants acknowledged themselves to be truly and lawfully indebted and held and firmly bound to and in favour of the Plaintiff in the sum of R587 896.00 (“the capital”) together with interest thereon, and further sum</w:t>
      </w:r>
      <w:r w:rsidR="006A7BB8">
        <w:rPr>
          <w:sz w:val="24"/>
        </w:rPr>
        <w:t>s</w:t>
      </w:r>
      <w:r w:rsidR="00F0584C">
        <w:rPr>
          <w:sz w:val="24"/>
        </w:rPr>
        <w:t xml:space="preserve"> of </w:t>
      </w:r>
      <w:r w:rsidR="006A7BB8">
        <w:rPr>
          <w:sz w:val="24"/>
        </w:rPr>
        <w:t xml:space="preserve">R33 500.00, R18 000.00, R26 000.00 and </w:t>
      </w:r>
      <w:r w:rsidR="00F0584C">
        <w:rPr>
          <w:sz w:val="24"/>
        </w:rPr>
        <w:t xml:space="preserve">R21 000.00; </w:t>
      </w:r>
    </w:p>
    <w:p w14:paraId="2F95876B" w14:textId="300788D1"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[5.2]</w:t>
      </w:r>
      <w:r>
        <w:rPr>
          <w:sz w:val="24"/>
        </w:rPr>
        <w:tab/>
      </w:r>
      <w:r w:rsidR="00F0584C">
        <w:rPr>
          <w:sz w:val="24"/>
        </w:rPr>
        <w:t xml:space="preserve">the loan amount of R587 896.00, together with finance charges would be repaid by the Defendants in regular monthly instalments of R7 788.28; </w:t>
      </w:r>
    </w:p>
    <w:p w14:paraId="1678E88B" w14:textId="0A06556A"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[5.3]</w:t>
      </w:r>
      <w:r>
        <w:rPr>
          <w:sz w:val="24"/>
        </w:rPr>
        <w:tab/>
      </w:r>
      <w:r w:rsidR="00F0584C">
        <w:rPr>
          <w:sz w:val="24"/>
        </w:rPr>
        <w:t xml:space="preserve">the loan amount or the balance thereof owing from time to time, together with other amounts owing to or claimable by Plaintiff in terms of the loan agreement would bear interest at a rate of 14.25% per annum; </w:t>
      </w:r>
    </w:p>
    <w:p w14:paraId="377DD9B7" w14:textId="2F9BE0A8" w:rsidR="00B37052"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[5.4]</w:t>
      </w:r>
      <w:r>
        <w:rPr>
          <w:sz w:val="24"/>
        </w:rPr>
        <w:tab/>
      </w:r>
      <w:r w:rsidR="00F0584C">
        <w:rPr>
          <w:sz w:val="24"/>
        </w:rPr>
        <w:t xml:space="preserve">interest would be reckoned from the date on which the loan amount/s or any part thereof </w:t>
      </w:r>
      <w:r w:rsidR="006A7BB8">
        <w:rPr>
          <w:sz w:val="24"/>
        </w:rPr>
        <w:t xml:space="preserve">were </w:t>
      </w:r>
      <w:r w:rsidR="00F0584C">
        <w:rPr>
          <w:sz w:val="24"/>
        </w:rPr>
        <w:t>advanced to the Defendants and would be calculated daily on the basis of a year of 365 days, whether or not the year is a leap year</w:t>
      </w:r>
      <w:r w:rsidR="006A7BB8">
        <w:rPr>
          <w:sz w:val="24"/>
        </w:rPr>
        <w:t>,</w:t>
      </w:r>
      <w:r w:rsidR="00F0584C">
        <w:rPr>
          <w:sz w:val="24"/>
        </w:rPr>
        <w:t xml:space="preserve"> and debited monthly on the date on which the instalment </w:t>
      </w:r>
      <w:r w:rsidR="006A7BB8">
        <w:rPr>
          <w:sz w:val="24"/>
        </w:rPr>
        <w:t xml:space="preserve">would be </w:t>
      </w:r>
      <w:r w:rsidR="00F0584C">
        <w:rPr>
          <w:sz w:val="24"/>
        </w:rPr>
        <w:t xml:space="preserve">payable; </w:t>
      </w:r>
    </w:p>
    <w:p w14:paraId="72160450" w14:textId="5E243F43"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[5.5]</w:t>
      </w:r>
      <w:r>
        <w:rPr>
          <w:sz w:val="24"/>
        </w:rPr>
        <w:tab/>
      </w:r>
      <w:r w:rsidR="00F0584C">
        <w:rPr>
          <w:sz w:val="24"/>
        </w:rPr>
        <w:t xml:space="preserve">the Plaintiff would have right to vary the interest rate from time to time and to increase the monthly instalment accordingly in order </w:t>
      </w:r>
      <w:r w:rsidR="00F0584C">
        <w:rPr>
          <w:sz w:val="24"/>
        </w:rPr>
        <w:lastRenderedPageBreak/>
        <w:t xml:space="preserve">to ensure that the indebtedness is repaid within the same period as would have been the case if the interest rate had not been increased; </w:t>
      </w:r>
    </w:p>
    <w:p w14:paraId="51B0722A" w14:textId="3C6DDF81"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[5.6]</w:t>
      </w:r>
      <w:r>
        <w:rPr>
          <w:sz w:val="24"/>
        </w:rPr>
        <w:tab/>
      </w:r>
      <w:r w:rsidR="00F0584C">
        <w:rPr>
          <w:sz w:val="24"/>
        </w:rPr>
        <w:t xml:space="preserve">all amounts owing to or claimable by the Plaintiff would, at the Plaintiff’s option, become immediately due and payable without notice, in the event that the Defendants fail to pay on demand any sum or sums of money owing to or claimable by the Plaintiff; </w:t>
      </w:r>
    </w:p>
    <w:p w14:paraId="79188DE5" w14:textId="21AB1C6A"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[5.7]</w:t>
      </w:r>
      <w:r>
        <w:rPr>
          <w:sz w:val="24"/>
        </w:rPr>
        <w:tab/>
      </w:r>
      <w:r w:rsidR="00F0584C">
        <w:rPr>
          <w:sz w:val="24"/>
        </w:rPr>
        <w:t xml:space="preserve">in the event of the Defendants breaching any condition contained in the loan agreement/s, or any other agreement with the Plaintiff, the Plaintiff would have the right to claim repayment of all amounts owing to or claimable by the Defendants in terms of the agreements, together with finance charges thereon and to have the </w:t>
      </w:r>
      <w:r w:rsidR="006A7BB8">
        <w:rPr>
          <w:sz w:val="24"/>
        </w:rPr>
        <w:t xml:space="preserve">immovable </w:t>
      </w:r>
      <w:r w:rsidR="00F0584C">
        <w:rPr>
          <w:sz w:val="24"/>
        </w:rPr>
        <w:t xml:space="preserve">property declared executable; </w:t>
      </w:r>
    </w:p>
    <w:p w14:paraId="3E0885D3" w14:textId="64A82548"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[5.8]</w:t>
      </w:r>
      <w:r>
        <w:rPr>
          <w:sz w:val="24"/>
        </w:rPr>
        <w:tab/>
      </w:r>
      <w:r w:rsidR="00F0584C">
        <w:rPr>
          <w:sz w:val="24"/>
        </w:rPr>
        <w:t xml:space="preserve">the nature and amount of the Defendants’ indebtedness to the Plaintiff as well as the annual finance charge rate payable, would at any time be determined and proved by a written certificate purporting to have been signed by a Manager or Accountant for the time being of any branch or the Head Office of the Plaintiff whose capacity or authority it would not be necessary to prove and which certificate would upon mere production thereof be binding on the Defendants and be </w:t>
      </w:r>
      <w:r w:rsidR="00F0584C">
        <w:rPr>
          <w:i/>
          <w:sz w:val="24"/>
        </w:rPr>
        <w:t>prima facie</w:t>
      </w:r>
      <w:r w:rsidR="00F0584C">
        <w:rPr>
          <w:sz w:val="24"/>
        </w:rPr>
        <w:t xml:space="preserve"> proof of the contents thereof and of the fact that such amount is due and payable in any legal proceeding against the Defendants; </w:t>
      </w:r>
    </w:p>
    <w:p w14:paraId="6802BE66" w14:textId="05248252"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lastRenderedPageBreak/>
        <w:t>[5.9]</w:t>
      </w:r>
      <w:r>
        <w:rPr>
          <w:sz w:val="24"/>
        </w:rPr>
        <w:tab/>
      </w:r>
      <w:r w:rsidR="00F0584C">
        <w:rPr>
          <w:sz w:val="24"/>
        </w:rPr>
        <w:t xml:space="preserve">the Defendants chose the address of their immovable property as their chosen </w:t>
      </w:r>
      <w:r w:rsidR="00F0584C">
        <w:rPr>
          <w:i/>
          <w:sz w:val="24"/>
        </w:rPr>
        <w:t>domicilium citandi et executandi</w:t>
      </w:r>
      <w:r w:rsidR="00F0584C">
        <w:rPr>
          <w:sz w:val="24"/>
        </w:rPr>
        <w:t xml:space="preserve"> for all purposes arising out of the loan agreement</w:t>
      </w:r>
      <w:r w:rsidR="006A7BB8">
        <w:rPr>
          <w:sz w:val="24"/>
        </w:rPr>
        <w:t>s</w:t>
      </w:r>
      <w:r w:rsidR="00F0584C">
        <w:rPr>
          <w:sz w:val="24"/>
        </w:rPr>
        <w:t xml:space="preserve"> as read with the </w:t>
      </w:r>
      <w:r w:rsidR="006A7BB8">
        <w:rPr>
          <w:sz w:val="24"/>
        </w:rPr>
        <w:t>m</w:t>
      </w:r>
      <w:r w:rsidR="00A43297">
        <w:rPr>
          <w:sz w:val="24"/>
        </w:rPr>
        <w:t xml:space="preserve">ortgage </w:t>
      </w:r>
      <w:r w:rsidR="006A7BB8">
        <w:rPr>
          <w:sz w:val="24"/>
        </w:rPr>
        <w:t>b</w:t>
      </w:r>
      <w:r w:rsidR="00A43297">
        <w:rPr>
          <w:sz w:val="24"/>
        </w:rPr>
        <w:t>ond</w:t>
      </w:r>
      <w:r w:rsidR="006A7BB8">
        <w:rPr>
          <w:sz w:val="24"/>
        </w:rPr>
        <w:t>s</w:t>
      </w:r>
      <w:r w:rsidR="00F0584C">
        <w:rPr>
          <w:sz w:val="24"/>
        </w:rPr>
        <w:t xml:space="preserve">; </w:t>
      </w:r>
      <w:r w:rsidR="00C4638A">
        <w:rPr>
          <w:sz w:val="24"/>
        </w:rPr>
        <w:t>and</w:t>
      </w:r>
    </w:p>
    <w:p w14:paraId="4C4F4B96" w14:textId="74AF5388" w:rsidR="00F0584C"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[5.10]</w:t>
      </w:r>
      <w:r>
        <w:rPr>
          <w:sz w:val="24"/>
        </w:rPr>
        <w:tab/>
      </w:r>
      <w:r w:rsidR="00F0584C">
        <w:rPr>
          <w:sz w:val="24"/>
        </w:rPr>
        <w:t xml:space="preserve">the Defendants agreed to be liable to the Plaintiff for the payment of all legal costs on the scale as between attorney and client. </w:t>
      </w:r>
    </w:p>
    <w:p w14:paraId="19138EFD" w14:textId="2617A8B1" w:rsidR="004A7435"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[6]</w:t>
      </w:r>
      <w:r>
        <w:rPr>
          <w:sz w:val="24"/>
        </w:rPr>
        <w:tab/>
      </w:r>
      <w:r w:rsidR="004A7435">
        <w:rPr>
          <w:sz w:val="24"/>
        </w:rPr>
        <w:t xml:space="preserve">As security for the payment of the capital, all interest claimable from the Defendants and all such other costs, charges and future debts generally which may be claimable from the Defendants under the </w:t>
      </w:r>
      <w:r w:rsidR="00C4638A">
        <w:rPr>
          <w:sz w:val="24"/>
        </w:rPr>
        <w:t xml:space="preserve">mortgage </w:t>
      </w:r>
      <w:r w:rsidR="004A7435">
        <w:rPr>
          <w:sz w:val="24"/>
        </w:rPr>
        <w:t>bond</w:t>
      </w:r>
      <w:r w:rsidR="00C4638A">
        <w:rPr>
          <w:sz w:val="24"/>
        </w:rPr>
        <w:t>s</w:t>
      </w:r>
      <w:r w:rsidR="004A7435">
        <w:rPr>
          <w:sz w:val="24"/>
        </w:rPr>
        <w:t xml:space="preserve">, the Plaintiff hypothecated Erf 711, Sonlandpark, Vereeniging. </w:t>
      </w:r>
    </w:p>
    <w:p w14:paraId="1E613D0E" w14:textId="1451EDAC" w:rsidR="004A7435"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[7]</w:t>
      </w:r>
      <w:r>
        <w:rPr>
          <w:sz w:val="24"/>
        </w:rPr>
        <w:tab/>
      </w:r>
      <w:r w:rsidR="004A7435">
        <w:rPr>
          <w:sz w:val="24"/>
        </w:rPr>
        <w:t xml:space="preserve">The Plaintiff complied with its obligations under the </w:t>
      </w:r>
      <w:r w:rsidR="00C4638A">
        <w:rPr>
          <w:sz w:val="24"/>
        </w:rPr>
        <w:t>m</w:t>
      </w:r>
      <w:r w:rsidR="00A43297">
        <w:rPr>
          <w:sz w:val="24"/>
        </w:rPr>
        <w:t xml:space="preserve">ortgage </w:t>
      </w:r>
      <w:r w:rsidR="00C4638A">
        <w:rPr>
          <w:sz w:val="24"/>
        </w:rPr>
        <w:t>b</w:t>
      </w:r>
      <w:r w:rsidR="00A43297">
        <w:rPr>
          <w:sz w:val="24"/>
        </w:rPr>
        <w:t>ond</w:t>
      </w:r>
      <w:r w:rsidR="00C4638A">
        <w:rPr>
          <w:sz w:val="24"/>
        </w:rPr>
        <w:t>s</w:t>
      </w:r>
      <w:r w:rsidR="004A7435">
        <w:rPr>
          <w:sz w:val="24"/>
        </w:rPr>
        <w:t xml:space="preserve"> as read with the loan agreement</w:t>
      </w:r>
      <w:r w:rsidR="00C4638A">
        <w:rPr>
          <w:sz w:val="24"/>
        </w:rPr>
        <w:t>s</w:t>
      </w:r>
      <w:r w:rsidR="004A7435">
        <w:rPr>
          <w:sz w:val="24"/>
        </w:rPr>
        <w:t xml:space="preserve"> and more particularly advanced the loan amount</w:t>
      </w:r>
      <w:r w:rsidR="00C4638A">
        <w:rPr>
          <w:sz w:val="24"/>
        </w:rPr>
        <w:t>s</w:t>
      </w:r>
      <w:r w:rsidR="004A7435">
        <w:rPr>
          <w:sz w:val="24"/>
        </w:rPr>
        <w:t xml:space="preserve"> of the Defendants during or about 14 July 2006, 6 September 2007, 13 December 2007 and 15 October 2008.  </w:t>
      </w:r>
    </w:p>
    <w:p w14:paraId="4A6E5880" w14:textId="28EC825D" w:rsidR="004A7435"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[8]</w:t>
      </w:r>
      <w:r>
        <w:rPr>
          <w:sz w:val="24"/>
        </w:rPr>
        <w:tab/>
      </w:r>
      <w:r w:rsidR="001F6DD8">
        <w:rPr>
          <w:sz w:val="24"/>
        </w:rPr>
        <w:t>According to the Plaintiff, i</w:t>
      </w:r>
      <w:r w:rsidR="00A43297">
        <w:rPr>
          <w:sz w:val="24"/>
        </w:rPr>
        <w:t xml:space="preserve">n breach of the provisions of the </w:t>
      </w:r>
      <w:r w:rsidR="00C4638A">
        <w:rPr>
          <w:sz w:val="24"/>
        </w:rPr>
        <w:t>m</w:t>
      </w:r>
      <w:r w:rsidR="00A43297">
        <w:rPr>
          <w:sz w:val="24"/>
        </w:rPr>
        <w:t xml:space="preserve">ortgage </w:t>
      </w:r>
      <w:r w:rsidR="00C4638A">
        <w:rPr>
          <w:sz w:val="24"/>
        </w:rPr>
        <w:t>b</w:t>
      </w:r>
      <w:r w:rsidR="00A43297">
        <w:rPr>
          <w:sz w:val="24"/>
        </w:rPr>
        <w:t>ond</w:t>
      </w:r>
      <w:r w:rsidR="00C4638A">
        <w:rPr>
          <w:sz w:val="24"/>
        </w:rPr>
        <w:t>s,</w:t>
      </w:r>
      <w:r w:rsidR="00A43297">
        <w:rPr>
          <w:sz w:val="24"/>
        </w:rPr>
        <w:t xml:space="preserve"> read with the loan agreement</w:t>
      </w:r>
      <w:r w:rsidR="00C4638A">
        <w:rPr>
          <w:sz w:val="24"/>
        </w:rPr>
        <w:t>s</w:t>
      </w:r>
      <w:r w:rsidR="00A43297">
        <w:rPr>
          <w:sz w:val="24"/>
        </w:rPr>
        <w:t>, the Defendants failed to pay all monthly instalments on the due date</w:t>
      </w:r>
      <w:r w:rsidR="001F6DD8">
        <w:rPr>
          <w:sz w:val="24"/>
        </w:rPr>
        <w:t xml:space="preserve"> and, a</w:t>
      </w:r>
      <w:r w:rsidR="00C4638A">
        <w:rPr>
          <w:sz w:val="24"/>
        </w:rPr>
        <w:t xml:space="preserve">s </w:t>
      </w:r>
      <w:r w:rsidR="00A43297">
        <w:rPr>
          <w:sz w:val="24"/>
        </w:rPr>
        <w:t>at 1 August 2020</w:t>
      </w:r>
      <w:r w:rsidR="00C4638A">
        <w:rPr>
          <w:sz w:val="24"/>
        </w:rPr>
        <w:t>,</w:t>
      </w:r>
      <w:r w:rsidR="00A43297">
        <w:rPr>
          <w:sz w:val="24"/>
        </w:rPr>
        <w:t xml:space="preserve"> the Defendants were in arrears in the amount of R41 897.77.    </w:t>
      </w:r>
      <w:r w:rsidR="004A7435">
        <w:rPr>
          <w:sz w:val="24"/>
        </w:rPr>
        <w:t xml:space="preserve">  </w:t>
      </w:r>
    </w:p>
    <w:p w14:paraId="38F550D7" w14:textId="2528CA7A" w:rsidR="00045ED2" w:rsidRPr="00C4638A" w:rsidRDefault="00D72AD5" w:rsidP="00D72AD5">
      <w:pPr>
        <w:tabs>
          <w:tab w:val="left" w:pos="0"/>
          <w:tab w:val="left" w:pos="851"/>
          <w:tab w:val="left" w:pos="1701"/>
          <w:tab w:val="left" w:pos="2835"/>
          <w:tab w:val="right" w:pos="8595"/>
        </w:tabs>
        <w:spacing w:before="480" w:after="0" w:line="480" w:lineRule="auto"/>
        <w:jc w:val="both"/>
        <w:rPr>
          <w:sz w:val="24"/>
        </w:rPr>
      </w:pPr>
      <w:r w:rsidRPr="00C4638A">
        <w:rPr>
          <w:sz w:val="24"/>
        </w:rPr>
        <w:t>[9]</w:t>
      </w:r>
      <w:r w:rsidRPr="00C4638A">
        <w:rPr>
          <w:sz w:val="24"/>
        </w:rPr>
        <w:tab/>
      </w:r>
      <w:r w:rsidR="001F6DD8">
        <w:rPr>
          <w:sz w:val="24"/>
        </w:rPr>
        <w:t>The Plaintiff alleges that, a</w:t>
      </w:r>
      <w:r w:rsidR="003C3B3E" w:rsidRPr="00C4638A">
        <w:rPr>
          <w:sz w:val="24"/>
        </w:rPr>
        <w:t>s at 11 August 2020, the Defendants were indebted to the Plaintiff in the sum or R567 639.20, which amount bears interest at a rate of 5.75% per annum from 1 August 2020 to date of payment</w:t>
      </w:r>
      <w:r w:rsidR="00C4638A" w:rsidRPr="00C4638A">
        <w:rPr>
          <w:sz w:val="24"/>
        </w:rPr>
        <w:t xml:space="preserve">, calculated </w:t>
      </w:r>
      <w:r w:rsidR="00C4638A" w:rsidRPr="00C4638A">
        <w:rPr>
          <w:sz w:val="24"/>
        </w:rPr>
        <w:lastRenderedPageBreak/>
        <w:t>daily and compounded monthly</w:t>
      </w:r>
      <w:r w:rsidR="00CE781E" w:rsidRPr="00C4638A">
        <w:rPr>
          <w:sz w:val="24"/>
        </w:rPr>
        <w:t>, which amount, notwithstanding due and proper demand</w:t>
      </w:r>
      <w:r w:rsidR="00045ED2" w:rsidRPr="00C4638A">
        <w:rPr>
          <w:sz w:val="24"/>
        </w:rPr>
        <w:t>, the Defendants failed, refused and/or neglected to pay</w:t>
      </w:r>
      <w:r w:rsidR="00C4638A">
        <w:rPr>
          <w:sz w:val="24"/>
        </w:rPr>
        <w:t>.</w:t>
      </w:r>
      <w:r w:rsidR="00045ED2" w:rsidRPr="00C4638A">
        <w:rPr>
          <w:sz w:val="24"/>
        </w:rPr>
        <w:t xml:space="preserve"> </w:t>
      </w:r>
    </w:p>
    <w:p w14:paraId="362B14C2" w14:textId="50AA0258" w:rsidR="00045ED2"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[10]</w:t>
      </w:r>
      <w:r>
        <w:rPr>
          <w:sz w:val="24"/>
        </w:rPr>
        <w:tab/>
      </w:r>
      <w:r w:rsidR="00045ED2">
        <w:rPr>
          <w:sz w:val="24"/>
        </w:rPr>
        <w:t>On or about 17 February 2014, the Defendants applied for debt review in terms of section 86 of the National Credit Act, 34 of 2005 (“the NCA”), whereafter a debt restructuring order was granted on 12 June 2014</w:t>
      </w:r>
      <w:r w:rsidR="00CA54A8">
        <w:rPr>
          <w:sz w:val="24"/>
        </w:rPr>
        <w:t xml:space="preserve"> (“the debt restructuring order”)</w:t>
      </w:r>
      <w:r w:rsidR="00045ED2">
        <w:rPr>
          <w:sz w:val="24"/>
        </w:rPr>
        <w:t xml:space="preserve">.  </w:t>
      </w:r>
    </w:p>
    <w:p w14:paraId="2DC82959" w14:textId="1A30794B" w:rsidR="00B37052" w:rsidRPr="00045ED2" w:rsidRDefault="00D72AD5" w:rsidP="00D72AD5">
      <w:pPr>
        <w:tabs>
          <w:tab w:val="left" w:pos="0"/>
          <w:tab w:val="left" w:pos="851"/>
          <w:tab w:val="left" w:pos="1701"/>
          <w:tab w:val="left" w:pos="2835"/>
          <w:tab w:val="right" w:pos="8595"/>
        </w:tabs>
        <w:spacing w:before="480" w:after="0" w:line="480" w:lineRule="auto"/>
        <w:jc w:val="both"/>
        <w:rPr>
          <w:sz w:val="24"/>
        </w:rPr>
      </w:pPr>
      <w:r w:rsidRPr="00045ED2">
        <w:rPr>
          <w:sz w:val="24"/>
        </w:rPr>
        <w:t>[11]</w:t>
      </w:r>
      <w:r w:rsidRPr="00045ED2">
        <w:rPr>
          <w:sz w:val="24"/>
        </w:rPr>
        <w:tab/>
      </w:r>
      <w:r w:rsidR="00045ED2">
        <w:rPr>
          <w:sz w:val="24"/>
        </w:rPr>
        <w:t xml:space="preserve">The debt restructuring order was amended by </w:t>
      </w:r>
      <w:r w:rsidR="00CA54A8">
        <w:rPr>
          <w:sz w:val="24"/>
        </w:rPr>
        <w:t xml:space="preserve">way of </w:t>
      </w:r>
      <w:r w:rsidR="00045ED2">
        <w:rPr>
          <w:sz w:val="24"/>
        </w:rPr>
        <w:t>a court order dated 20 November 2014 which was issued by the Magistrates Court for the district of Bloemfontein, held at Bloemfontein</w:t>
      </w:r>
      <w:r w:rsidR="00CA54A8">
        <w:rPr>
          <w:sz w:val="24"/>
        </w:rPr>
        <w:t xml:space="preserve"> (“the court order”)</w:t>
      </w:r>
      <w:r w:rsidR="00045ED2">
        <w:rPr>
          <w:sz w:val="24"/>
        </w:rPr>
        <w:t>.  The</w:t>
      </w:r>
      <w:r w:rsidR="00CA54A8">
        <w:rPr>
          <w:sz w:val="24"/>
        </w:rPr>
        <w:t xml:space="preserve"> court </w:t>
      </w:r>
      <w:r w:rsidR="00045ED2">
        <w:rPr>
          <w:sz w:val="24"/>
        </w:rPr>
        <w:t xml:space="preserve">order reads as follows: </w:t>
      </w:r>
    </w:p>
    <w:p w14:paraId="72E7111F" w14:textId="77777777" w:rsidR="00045ED2" w:rsidRDefault="001C3AC1" w:rsidP="00045ED2">
      <w:pPr>
        <w:tabs>
          <w:tab w:val="left" w:pos="0"/>
          <w:tab w:val="left" w:pos="851"/>
          <w:tab w:val="left" w:pos="1701"/>
          <w:tab w:val="left" w:pos="2835"/>
          <w:tab w:val="right" w:pos="8595"/>
        </w:tabs>
        <w:spacing w:before="480" w:after="0" w:line="360" w:lineRule="auto"/>
        <w:ind w:left="851"/>
        <w:jc w:val="both"/>
        <w:rPr>
          <w:i/>
          <w:iCs/>
          <w:sz w:val="24"/>
        </w:rPr>
      </w:pPr>
      <w:r>
        <w:rPr>
          <w:sz w:val="24"/>
        </w:rPr>
        <w:t>“</w:t>
      </w:r>
      <w:r w:rsidR="00045ED2">
        <w:rPr>
          <w:i/>
          <w:iCs/>
          <w:sz w:val="24"/>
        </w:rPr>
        <w:t xml:space="preserve">HAVING HEARD THE ATTORNEY FOR THE APPLICANT IT IS HEREBY ORDERED THAT: </w:t>
      </w:r>
    </w:p>
    <w:p w14:paraId="2588D1A4" w14:textId="4C41FA69" w:rsidR="00045ED2" w:rsidRPr="00CA54A8" w:rsidRDefault="00D72AD5" w:rsidP="00D72AD5">
      <w:pPr>
        <w:tabs>
          <w:tab w:val="left" w:pos="0"/>
          <w:tab w:val="left" w:pos="851"/>
          <w:tab w:val="left" w:pos="1701"/>
          <w:tab w:val="left" w:pos="2835"/>
          <w:tab w:val="right" w:pos="8595"/>
        </w:tabs>
        <w:spacing w:before="480" w:after="0" w:line="360" w:lineRule="auto"/>
        <w:ind w:left="1701" w:hanging="850"/>
        <w:jc w:val="both"/>
        <w:rPr>
          <w:sz w:val="24"/>
        </w:rPr>
      </w:pPr>
      <w:r w:rsidRPr="00CA54A8">
        <w:rPr>
          <w:i/>
          <w:sz w:val="24"/>
        </w:rPr>
        <w:t>1.</w:t>
      </w:r>
      <w:r w:rsidRPr="00CA54A8">
        <w:rPr>
          <w:i/>
          <w:sz w:val="24"/>
        </w:rPr>
        <w:tab/>
      </w:r>
      <w:r w:rsidR="00045ED2">
        <w:rPr>
          <w:i/>
          <w:iCs/>
          <w:sz w:val="24"/>
        </w:rPr>
        <w:t>That 3</w:t>
      </w:r>
      <w:r w:rsidR="00045ED2" w:rsidRPr="00045ED2">
        <w:rPr>
          <w:i/>
          <w:iCs/>
          <w:sz w:val="24"/>
          <w:vertAlign w:val="superscript"/>
        </w:rPr>
        <w:t>RD</w:t>
      </w:r>
      <w:r w:rsidR="00045ED2">
        <w:rPr>
          <w:i/>
          <w:iCs/>
          <w:sz w:val="24"/>
        </w:rPr>
        <w:t xml:space="preserve"> Respondent</w:t>
      </w:r>
      <w:r w:rsidR="00CA54A8">
        <w:rPr>
          <w:i/>
          <w:iCs/>
          <w:sz w:val="24"/>
        </w:rPr>
        <w:t xml:space="preserve"> </w:t>
      </w:r>
      <w:r w:rsidR="00045ED2">
        <w:rPr>
          <w:i/>
          <w:iCs/>
          <w:sz w:val="24"/>
        </w:rPr>
        <w:t>/</w:t>
      </w:r>
      <w:r w:rsidR="00CA54A8">
        <w:rPr>
          <w:i/>
          <w:iCs/>
          <w:sz w:val="24"/>
        </w:rPr>
        <w:t xml:space="preserve"> </w:t>
      </w:r>
      <w:r w:rsidR="00045ED2">
        <w:rPr>
          <w:i/>
          <w:iCs/>
          <w:sz w:val="24"/>
        </w:rPr>
        <w:t>Credit Provider wants to increase the instalment from R2 807.34 with 7.75% to R3 6</w:t>
      </w:r>
      <w:r w:rsidR="00CA54A8">
        <w:rPr>
          <w:i/>
          <w:iCs/>
          <w:sz w:val="24"/>
        </w:rPr>
        <w:t>4</w:t>
      </w:r>
      <w:r w:rsidR="00045ED2">
        <w:rPr>
          <w:i/>
          <w:iCs/>
          <w:sz w:val="24"/>
        </w:rPr>
        <w:t xml:space="preserve">1.00 with 7.75% monthly.  See acceptance letter attached here to </w:t>
      </w:r>
      <w:r w:rsidR="00045ED2">
        <w:rPr>
          <w:b/>
          <w:bCs/>
          <w:i/>
          <w:iCs/>
          <w:sz w:val="24"/>
        </w:rPr>
        <w:t>Annexure ‘A’</w:t>
      </w:r>
      <w:r w:rsidR="00045ED2">
        <w:rPr>
          <w:i/>
          <w:iCs/>
          <w:sz w:val="24"/>
        </w:rPr>
        <w:t xml:space="preserve">. </w:t>
      </w:r>
    </w:p>
    <w:p w14:paraId="2D8FA7A3" w14:textId="7B1EE517" w:rsidR="00CA54A8" w:rsidRPr="00CA54A8" w:rsidRDefault="00CA54A8" w:rsidP="00CA54A8">
      <w:pPr>
        <w:tabs>
          <w:tab w:val="left" w:pos="5440"/>
        </w:tabs>
        <w:rPr>
          <w:sz w:val="24"/>
        </w:rPr>
      </w:pPr>
      <w:r>
        <w:rPr>
          <w:sz w:val="24"/>
        </w:rPr>
        <w:tab/>
      </w:r>
    </w:p>
    <w:p w14:paraId="0CDF5254" w14:textId="1EFC331F" w:rsidR="001C3AC1" w:rsidRDefault="00D72AD5" w:rsidP="00D72AD5">
      <w:pPr>
        <w:tabs>
          <w:tab w:val="left" w:pos="0"/>
          <w:tab w:val="left" w:pos="851"/>
          <w:tab w:val="left" w:pos="1701"/>
          <w:tab w:val="left" w:pos="2835"/>
          <w:tab w:val="right" w:pos="8595"/>
        </w:tabs>
        <w:spacing w:before="480" w:after="0" w:line="360" w:lineRule="auto"/>
        <w:ind w:left="1701" w:hanging="850"/>
        <w:jc w:val="both"/>
        <w:rPr>
          <w:sz w:val="24"/>
        </w:rPr>
      </w:pPr>
      <w:r>
        <w:rPr>
          <w:i/>
          <w:sz w:val="24"/>
        </w:rPr>
        <w:t>2.</w:t>
      </w:r>
      <w:r>
        <w:rPr>
          <w:i/>
          <w:sz w:val="24"/>
        </w:rPr>
        <w:tab/>
      </w:r>
      <w:r w:rsidR="00045ED2">
        <w:rPr>
          <w:i/>
          <w:iCs/>
          <w:sz w:val="24"/>
        </w:rPr>
        <w:t xml:space="preserve">That the Consumer’s obligation in terms of his and her credit agreements be rearranged as per </w:t>
      </w:r>
      <w:r w:rsidR="00045ED2" w:rsidRPr="00045ED2">
        <w:rPr>
          <w:b/>
          <w:bCs/>
          <w:i/>
          <w:iCs/>
          <w:sz w:val="24"/>
        </w:rPr>
        <w:t>Annexure ‘B’</w:t>
      </w:r>
      <w:r w:rsidR="00045ED2">
        <w:rPr>
          <w:i/>
          <w:iCs/>
          <w:sz w:val="24"/>
        </w:rPr>
        <w:t>.</w:t>
      </w:r>
      <w:r w:rsidR="001C3AC1">
        <w:rPr>
          <w:sz w:val="24"/>
        </w:rPr>
        <w:t xml:space="preserve">” </w:t>
      </w:r>
    </w:p>
    <w:p w14:paraId="6E661A82" w14:textId="79647C29" w:rsidR="00C7003B"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[12]</w:t>
      </w:r>
      <w:r>
        <w:rPr>
          <w:sz w:val="24"/>
        </w:rPr>
        <w:tab/>
      </w:r>
      <w:r w:rsidR="007D62FA">
        <w:rPr>
          <w:sz w:val="24"/>
        </w:rPr>
        <w:t xml:space="preserve">It is common cause that the annexures to the court order were not physically marked as “A” and “B” but that </w:t>
      </w:r>
      <w:r w:rsidR="00E32B4B">
        <w:rPr>
          <w:sz w:val="24"/>
        </w:rPr>
        <w:t>they</w:t>
      </w:r>
      <w:r w:rsidR="001F6DD8">
        <w:rPr>
          <w:sz w:val="24"/>
        </w:rPr>
        <w:t xml:space="preserve"> </w:t>
      </w:r>
      <w:r w:rsidR="007D62FA">
        <w:rPr>
          <w:sz w:val="24"/>
        </w:rPr>
        <w:t xml:space="preserve">were, in fact, the annexures </w:t>
      </w:r>
      <w:r w:rsidR="001F6DD8">
        <w:rPr>
          <w:sz w:val="24"/>
        </w:rPr>
        <w:t xml:space="preserve">referred </w:t>
      </w:r>
      <w:r w:rsidR="007D62FA">
        <w:rPr>
          <w:sz w:val="24"/>
        </w:rPr>
        <w:t xml:space="preserve">to </w:t>
      </w:r>
      <w:r w:rsidR="001F6DD8">
        <w:rPr>
          <w:sz w:val="24"/>
        </w:rPr>
        <w:t xml:space="preserve">in </w:t>
      </w:r>
      <w:r w:rsidR="007D62FA">
        <w:rPr>
          <w:sz w:val="24"/>
        </w:rPr>
        <w:t xml:space="preserve">the court order. </w:t>
      </w:r>
      <w:r w:rsidR="001F6DD8">
        <w:rPr>
          <w:sz w:val="24"/>
        </w:rPr>
        <w:t xml:space="preserve">They also bear the </w:t>
      </w:r>
      <w:r w:rsidR="00E32B4B">
        <w:rPr>
          <w:sz w:val="24"/>
        </w:rPr>
        <w:t xml:space="preserve">same date </w:t>
      </w:r>
      <w:r w:rsidR="001F6DD8">
        <w:rPr>
          <w:sz w:val="24"/>
        </w:rPr>
        <w:t xml:space="preserve">stamp of the Magistrate which appears on the court order. </w:t>
      </w:r>
      <w:r w:rsidR="007D62FA">
        <w:rPr>
          <w:sz w:val="24"/>
        </w:rPr>
        <w:t xml:space="preserve">What should have been marked “A” </w:t>
      </w:r>
      <w:r w:rsidR="00045ED2">
        <w:rPr>
          <w:sz w:val="24"/>
        </w:rPr>
        <w:t xml:space="preserve">constitutes the </w:t>
      </w:r>
      <w:r w:rsidR="00045ED2">
        <w:rPr>
          <w:sz w:val="24"/>
        </w:rPr>
        <w:lastRenderedPageBreak/>
        <w:t xml:space="preserve">proposal made by the Defendants on 14 April 2014 and </w:t>
      </w:r>
      <w:r w:rsidR="007D62FA">
        <w:rPr>
          <w:sz w:val="24"/>
        </w:rPr>
        <w:t xml:space="preserve">what should have been marked </w:t>
      </w:r>
      <w:r w:rsidR="00045ED2">
        <w:rPr>
          <w:sz w:val="24"/>
        </w:rPr>
        <w:t>“</w:t>
      </w:r>
      <w:r w:rsidR="007D62FA">
        <w:rPr>
          <w:sz w:val="24"/>
        </w:rPr>
        <w:t>B</w:t>
      </w:r>
      <w:r w:rsidR="00045ED2">
        <w:rPr>
          <w:sz w:val="24"/>
        </w:rPr>
        <w:t>” is a letter from the Plaintiff issued to the Defendants which is titled “</w:t>
      </w:r>
      <w:r w:rsidR="00045ED2">
        <w:rPr>
          <w:i/>
          <w:iCs/>
          <w:sz w:val="24"/>
        </w:rPr>
        <w:t>Final Letter of Acceptance of Rearrangement Proposal</w:t>
      </w:r>
      <w:r w:rsidR="00045ED2">
        <w:rPr>
          <w:sz w:val="24"/>
        </w:rPr>
        <w:t>”</w:t>
      </w:r>
      <w:r w:rsidR="00E32B4B">
        <w:rPr>
          <w:sz w:val="24"/>
        </w:rPr>
        <w:t xml:space="preserve"> and is dated 28 October 2014.</w:t>
      </w:r>
      <w:r w:rsidR="00045ED2">
        <w:rPr>
          <w:sz w:val="24"/>
        </w:rPr>
        <w:t xml:space="preserve">  </w:t>
      </w:r>
    </w:p>
    <w:p w14:paraId="7A8B4F0B" w14:textId="3D6ABE57" w:rsidR="007D62FA" w:rsidRDefault="007D62FA" w:rsidP="007D62FA">
      <w:pPr>
        <w:tabs>
          <w:tab w:val="left" w:pos="0"/>
          <w:tab w:val="left" w:pos="851"/>
          <w:tab w:val="left" w:pos="1701"/>
          <w:tab w:val="left" w:pos="2835"/>
          <w:tab w:val="right" w:pos="8595"/>
        </w:tabs>
        <w:spacing w:before="480" w:after="0" w:line="480" w:lineRule="auto"/>
        <w:jc w:val="both"/>
        <w:rPr>
          <w:sz w:val="24"/>
        </w:rPr>
      </w:pPr>
      <w:r>
        <w:rPr>
          <w:b/>
          <w:bCs/>
          <w:sz w:val="24"/>
          <w:u w:val="single"/>
        </w:rPr>
        <w:t>RE</w:t>
      </w:r>
      <w:r w:rsidR="00E32B4B">
        <w:rPr>
          <w:b/>
          <w:bCs/>
          <w:sz w:val="24"/>
          <w:u w:val="single"/>
        </w:rPr>
        <w:t>LEVANT LEGAL PROVISIONS AND AUTHORITIES</w:t>
      </w:r>
      <w:r>
        <w:rPr>
          <w:sz w:val="24"/>
        </w:rPr>
        <w:t xml:space="preserve"> </w:t>
      </w:r>
    </w:p>
    <w:p w14:paraId="4D6449EA" w14:textId="333AFF64" w:rsidR="007D62FA" w:rsidRPr="00537804" w:rsidRDefault="00D72AD5" w:rsidP="00D72AD5">
      <w:pPr>
        <w:tabs>
          <w:tab w:val="left" w:pos="0"/>
          <w:tab w:val="left" w:pos="1134"/>
          <w:tab w:val="left" w:pos="2694"/>
          <w:tab w:val="right" w:pos="8595"/>
        </w:tabs>
        <w:spacing w:before="400" w:after="400" w:line="480" w:lineRule="auto"/>
        <w:jc w:val="both"/>
        <w:rPr>
          <w:sz w:val="24"/>
        </w:rPr>
      </w:pPr>
      <w:r w:rsidRPr="00537804">
        <w:rPr>
          <w:sz w:val="24"/>
        </w:rPr>
        <w:t>[13]</w:t>
      </w:r>
      <w:r w:rsidRPr="00537804">
        <w:rPr>
          <w:sz w:val="24"/>
        </w:rPr>
        <w:tab/>
      </w:r>
      <w:r w:rsidR="007D62FA">
        <w:rPr>
          <w:sz w:val="24"/>
        </w:rPr>
        <w:t xml:space="preserve"> </w:t>
      </w:r>
      <w:r w:rsidR="007D62FA" w:rsidRPr="00537804">
        <w:rPr>
          <w:sz w:val="24"/>
        </w:rPr>
        <w:t xml:space="preserve">Rule 32 of the Uniform Rules of Court is titled </w:t>
      </w:r>
      <w:r w:rsidR="007D62FA" w:rsidRPr="007D62FA">
        <w:rPr>
          <w:b/>
          <w:bCs/>
          <w:sz w:val="24"/>
        </w:rPr>
        <w:t>“</w:t>
      </w:r>
      <w:r w:rsidR="007D62FA" w:rsidRPr="007D62FA">
        <w:rPr>
          <w:b/>
          <w:bCs/>
          <w:i/>
          <w:iCs/>
          <w:sz w:val="24"/>
        </w:rPr>
        <w:t>Summary judgment</w:t>
      </w:r>
      <w:r w:rsidR="007D62FA" w:rsidRPr="007D62FA">
        <w:rPr>
          <w:b/>
          <w:bCs/>
          <w:sz w:val="24"/>
        </w:rPr>
        <w:t>”</w:t>
      </w:r>
      <w:r w:rsidR="007D62FA" w:rsidRPr="00537804">
        <w:rPr>
          <w:sz w:val="24"/>
        </w:rPr>
        <w:t xml:space="preserve"> and provides </w:t>
      </w:r>
      <w:r w:rsidR="007D62FA" w:rsidRPr="00537804">
        <w:rPr>
          <w:i/>
          <w:iCs/>
          <w:sz w:val="24"/>
        </w:rPr>
        <w:t>inter alia</w:t>
      </w:r>
      <w:r w:rsidR="007D62FA" w:rsidRPr="00537804">
        <w:rPr>
          <w:sz w:val="24"/>
        </w:rPr>
        <w:t xml:space="preserve"> as follows:  </w:t>
      </w:r>
    </w:p>
    <w:p w14:paraId="1B7465A9"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sz w:val="24"/>
        </w:rPr>
        <w:t>“</w:t>
      </w:r>
      <w:r w:rsidRPr="00537804">
        <w:rPr>
          <w:i/>
          <w:iCs/>
          <w:sz w:val="24"/>
        </w:rPr>
        <w:t xml:space="preserve">(1) </w:t>
      </w:r>
      <w:r w:rsidRPr="00537804">
        <w:rPr>
          <w:i/>
          <w:iCs/>
          <w:sz w:val="24"/>
        </w:rPr>
        <w:tab/>
        <w:t>The plaintiff may, after the defendant has delivered a plea, apply to court for summary judgment on each of such claims in the summons as is only —</w:t>
      </w:r>
    </w:p>
    <w:p w14:paraId="5B6CBB17"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(a)   on a liquid document;</w:t>
      </w:r>
    </w:p>
    <w:p w14:paraId="7552521F"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(b)   for a liquidated amount in money;</w:t>
      </w:r>
    </w:p>
    <w:p w14:paraId="72255742"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(c)   for delivery of specified movable property; or</w:t>
      </w:r>
    </w:p>
    <w:p w14:paraId="1D9183AD"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(d)   for ejectment;</w:t>
      </w:r>
    </w:p>
    <w:p w14:paraId="727551B2"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Pr>
          <w:i/>
          <w:iCs/>
          <w:sz w:val="24"/>
        </w:rPr>
        <w:tab/>
      </w:r>
      <w:r w:rsidRPr="00537804">
        <w:rPr>
          <w:i/>
          <w:iCs/>
          <w:sz w:val="24"/>
        </w:rPr>
        <w:t>together with any claim for interest and costs.</w:t>
      </w:r>
    </w:p>
    <w:p w14:paraId="19CC0F4E" w14:textId="77777777" w:rsidR="007D62FA" w:rsidRDefault="007D62FA" w:rsidP="007D62FA">
      <w:pPr>
        <w:tabs>
          <w:tab w:val="left" w:pos="1134"/>
          <w:tab w:val="left" w:pos="1701"/>
          <w:tab w:val="left" w:pos="2268"/>
          <w:tab w:val="left" w:pos="2694"/>
          <w:tab w:val="right" w:pos="8595"/>
        </w:tabs>
        <w:spacing w:before="400" w:after="400" w:line="360" w:lineRule="auto"/>
        <w:ind w:left="2268" w:hanging="1134"/>
        <w:jc w:val="both"/>
        <w:rPr>
          <w:i/>
          <w:iCs/>
          <w:sz w:val="24"/>
        </w:rPr>
      </w:pPr>
      <w:r w:rsidRPr="00537804">
        <w:rPr>
          <w:i/>
          <w:iCs/>
          <w:sz w:val="24"/>
        </w:rPr>
        <w:t>(2)</w:t>
      </w:r>
      <w:r w:rsidRPr="00537804">
        <w:rPr>
          <w:i/>
          <w:iCs/>
          <w:sz w:val="24"/>
        </w:rPr>
        <w:tab/>
        <w:t>(a) </w:t>
      </w:r>
      <w:r w:rsidRPr="00537804">
        <w:rPr>
          <w:i/>
          <w:iCs/>
          <w:sz w:val="24"/>
        </w:rPr>
        <w:tab/>
        <w:t>Within 15 days after the date of delivery of the plea, the plaintiff shall deliver a notice of application for summary judgment, together with an affidavit made by the plaintiff or by any other person who can swear positively to the facts.</w:t>
      </w:r>
    </w:p>
    <w:p w14:paraId="4473DDB5" w14:textId="77777777" w:rsidR="007D62FA" w:rsidRDefault="007D62FA" w:rsidP="007D62FA">
      <w:pPr>
        <w:tabs>
          <w:tab w:val="left" w:pos="1134"/>
          <w:tab w:val="left" w:pos="1701"/>
          <w:tab w:val="left" w:pos="2268"/>
          <w:tab w:val="left" w:pos="2694"/>
          <w:tab w:val="right" w:pos="8595"/>
        </w:tabs>
        <w:spacing w:before="400" w:after="400" w:line="360" w:lineRule="auto"/>
        <w:ind w:left="2268" w:hanging="1134"/>
        <w:jc w:val="both"/>
        <w:rPr>
          <w:i/>
          <w:iCs/>
          <w:sz w:val="24"/>
        </w:rPr>
      </w:pPr>
      <w:r>
        <w:rPr>
          <w:i/>
          <w:iCs/>
          <w:sz w:val="24"/>
        </w:rPr>
        <w:tab/>
      </w:r>
      <w:r w:rsidRPr="00537804">
        <w:rPr>
          <w:i/>
          <w:iCs/>
          <w:sz w:val="24"/>
        </w:rPr>
        <w:t>(b)   </w:t>
      </w:r>
      <w:r w:rsidRPr="00537804">
        <w:rPr>
          <w:i/>
          <w:iCs/>
          <w:sz w:val="24"/>
        </w:rPr>
        <w:tab/>
        <w:t xml:space="preserve">The plaintiff shall, in the affidavit referred to in subrule (2)(a), verify the cause of action and the amount, if any, claimed, </w:t>
      </w:r>
      <w:r w:rsidRPr="00537804">
        <w:rPr>
          <w:i/>
          <w:iCs/>
          <w:sz w:val="24"/>
        </w:rPr>
        <w:lastRenderedPageBreak/>
        <w:t>and identify any point of law relied upon and the facts upon which the plaintiff’s claim is based, and explain briefly why the defence as pleaded does not raise any issue for trial.</w:t>
      </w:r>
    </w:p>
    <w:p w14:paraId="2C0D2F57" w14:textId="77777777" w:rsidR="007D62FA" w:rsidRPr="00537804" w:rsidRDefault="007D62FA" w:rsidP="007D62FA">
      <w:pPr>
        <w:tabs>
          <w:tab w:val="left" w:pos="1134"/>
          <w:tab w:val="left" w:pos="1701"/>
          <w:tab w:val="left" w:pos="2268"/>
          <w:tab w:val="left" w:pos="2694"/>
          <w:tab w:val="right" w:pos="8595"/>
        </w:tabs>
        <w:spacing w:before="400" w:after="400" w:line="360" w:lineRule="auto"/>
        <w:ind w:left="2268" w:hanging="1134"/>
        <w:jc w:val="both"/>
        <w:rPr>
          <w:i/>
          <w:iCs/>
          <w:sz w:val="24"/>
        </w:rPr>
      </w:pPr>
      <w:r>
        <w:rPr>
          <w:i/>
          <w:iCs/>
          <w:sz w:val="24"/>
        </w:rPr>
        <w:tab/>
      </w:r>
      <w:r w:rsidRPr="00537804">
        <w:rPr>
          <w:i/>
          <w:iCs/>
          <w:sz w:val="24"/>
        </w:rPr>
        <w:t>(c)   </w:t>
      </w:r>
      <w:r w:rsidRPr="00537804">
        <w:rPr>
          <w:i/>
          <w:iCs/>
          <w:sz w:val="24"/>
        </w:rPr>
        <w:tab/>
        <w:t>…</w:t>
      </w:r>
    </w:p>
    <w:p w14:paraId="10DDD421"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i/>
          <w:iCs/>
          <w:sz w:val="24"/>
        </w:rPr>
        <w:t xml:space="preserve">(3) </w:t>
      </w:r>
      <w:r w:rsidRPr="00537804">
        <w:rPr>
          <w:i/>
          <w:iCs/>
          <w:sz w:val="24"/>
        </w:rPr>
        <w:tab/>
        <w:t>The defendant may —</w:t>
      </w:r>
    </w:p>
    <w:p w14:paraId="291FC052"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(a)   </w:t>
      </w:r>
      <w:r w:rsidRPr="00537804">
        <w:rPr>
          <w:i/>
          <w:iCs/>
          <w:sz w:val="24"/>
        </w:rPr>
        <w:tab/>
        <w:t>give security to the plaintiff to the satisfaction of the court for any judgment including costs which may be given; or</w:t>
      </w:r>
    </w:p>
    <w:p w14:paraId="4221C475"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 xml:space="preserve"> (b)   </w:t>
      </w:r>
      <w:r w:rsidRPr="00537804">
        <w:rPr>
          <w:i/>
          <w:iCs/>
          <w:sz w:val="24"/>
        </w:rPr>
        <w:tab/>
        <w:t>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such affidavit or evidence shall disclose fully the nature and grounds of the defence and the material facts relied upon therefor."</w:t>
      </w:r>
    </w:p>
    <w:p w14:paraId="247A9EF6"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i/>
          <w:iCs/>
          <w:sz w:val="24"/>
        </w:rPr>
        <w:t>…</w:t>
      </w:r>
    </w:p>
    <w:p w14:paraId="0F3110C5"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i/>
          <w:iCs/>
          <w:sz w:val="24"/>
        </w:rPr>
        <w:t xml:space="preserve">(5) </w:t>
      </w:r>
      <w:r w:rsidRPr="00537804">
        <w:rPr>
          <w:i/>
          <w:iCs/>
          <w:sz w:val="24"/>
        </w:rPr>
        <w:tab/>
        <w:t>If the defendant does not find security or satisfy the court as provided in paragraph (b) of subrule (3), the court may enter summary judgment for the plaintiff.</w:t>
      </w:r>
    </w:p>
    <w:p w14:paraId="685D2164"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i/>
          <w:iCs/>
          <w:sz w:val="24"/>
        </w:rPr>
        <w:t>…</w:t>
      </w:r>
    </w:p>
    <w:p w14:paraId="57D6F2A3" w14:textId="77777777" w:rsidR="007D62FA" w:rsidRPr="00537804" w:rsidRDefault="007D62FA" w:rsidP="007D62FA">
      <w:pPr>
        <w:tabs>
          <w:tab w:val="left" w:pos="1134"/>
          <w:tab w:val="left" w:pos="1701"/>
          <w:tab w:val="left" w:pos="2694"/>
          <w:tab w:val="right" w:pos="8595"/>
        </w:tabs>
        <w:spacing w:before="400" w:after="400" w:line="360" w:lineRule="auto"/>
        <w:ind w:left="1701" w:hanging="567"/>
        <w:jc w:val="both"/>
        <w:rPr>
          <w:i/>
          <w:iCs/>
          <w:sz w:val="24"/>
        </w:rPr>
      </w:pPr>
      <w:r w:rsidRPr="00537804">
        <w:rPr>
          <w:i/>
          <w:iCs/>
          <w:sz w:val="24"/>
        </w:rPr>
        <w:t xml:space="preserve">(9) </w:t>
      </w:r>
      <w:r w:rsidRPr="00537804">
        <w:rPr>
          <w:i/>
          <w:iCs/>
          <w:sz w:val="24"/>
        </w:rPr>
        <w:tab/>
        <w:t>The court may at the hearing of such application make such order as to costs as to it may seem just: Provided that if —</w:t>
      </w:r>
    </w:p>
    <w:p w14:paraId="6C2733F9"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(a)   </w:t>
      </w:r>
      <w:r w:rsidRPr="00537804">
        <w:rPr>
          <w:i/>
          <w:iCs/>
          <w:sz w:val="24"/>
        </w:rPr>
        <w:tab/>
        <w:t xml:space="preserve">the plaintiff makes an application under this rule, where the case is not within the terms of subrule (1) or where the plaintiff, in the opinion of the court, knew that the defendant </w:t>
      </w:r>
      <w:r w:rsidRPr="00537804">
        <w:rPr>
          <w:i/>
          <w:iCs/>
          <w:sz w:val="24"/>
        </w:rPr>
        <w:lastRenderedPageBreak/>
        <w:t>relied on a contention which would entitle such defendant to leave to defend, the court may order that the action be stayed until the plaintiff has paid the defendant’s costs; and may further order that such costs be taxed as between attorney and client; and</w:t>
      </w:r>
    </w:p>
    <w:p w14:paraId="3701D2B7" w14:textId="77777777" w:rsidR="007D62FA" w:rsidRPr="00537804" w:rsidRDefault="007D62FA" w:rsidP="007D62FA">
      <w:pPr>
        <w:tabs>
          <w:tab w:val="left" w:pos="1134"/>
          <w:tab w:val="left" w:pos="2268"/>
          <w:tab w:val="left" w:pos="2694"/>
          <w:tab w:val="right" w:pos="8595"/>
        </w:tabs>
        <w:spacing w:before="400" w:after="400" w:line="360" w:lineRule="auto"/>
        <w:ind w:left="2268" w:hanging="567"/>
        <w:jc w:val="both"/>
        <w:rPr>
          <w:i/>
          <w:iCs/>
          <w:sz w:val="24"/>
        </w:rPr>
      </w:pPr>
      <w:r w:rsidRPr="00537804">
        <w:rPr>
          <w:i/>
          <w:iCs/>
          <w:sz w:val="24"/>
        </w:rPr>
        <w:t xml:space="preserve"> (b)   </w:t>
      </w:r>
      <w:r w:rsidRPr="00537804">
        <w:rPr>
          <w:i/>
          <w:iCs/>
          <w:sz w:val="24"/>
        </w:rPr>
        <w:tab/>
        <w:t>in any case in which summary judgment was refused and in which the court after trial gives judgment for the plaintiff substantially as prayed, and the court finds that summary judgment should have been granted had the defendant not raised a defence which in its opinion was unreasonable, the court may order the plaintiff’s costs of the action to be taxed as between attorney and client.</w:t>
      </w:r>
      <w:r w:rsidRPr="00537804">
        <w:rPr>
          <w:sz w:val="24"/>
        </w:rPr>
        <w:t xml:space="preserve">” </w:t>
      </w:r>
    </w:p>
    <w:p w14:paraId="5BFD88AD" w14:textId="29EAE409" w:rsidR="007D62FA" w:rsidRDefault="00D72AD5" w:rsidP="00D72AD5">
      <w:pPr>
        <w:tabs>
          <w:tab w:val="left" w:pos="0"/>
          <w:tab w:val="left" w:pos="1134"/>
          <w:tab w:val="left" w:pos="2694"/>
          <w:tab w:val="right" w:pos="8595"/>
        </w:tabs>
        <w:spacing w:before="400" w:after="400" w:line="480" w:lineRule="auto"/>
        <w:jc w:val="both"/>
        <w:rPr>
          <w:sz w:val="24"/>
        </w:rPr>
      </w:pPr>
      <w:r>
        <w:rPr>
          <w:sz w:val="24"/>
        </w:rPr>
        <w:t>[14]</w:t>
      </w:r>
      <w:r>
        <w:rPr>
          <w:sz w:val="24"/>
        </w:rPr>
        <w:tab/>
      </w:r>
      <w:r w:rsidR="007D62FA">
        <w:rPr>
          <w:sz w:val="24"/>
        </w:rPr>
        <w:t xml:space="preserve">Summary judgment is only to be granted where the Plaintiff can establish its claim clearly and the Defendant fails to set up a </w:t>
      </w:r>
      <w:r w:rsidR="007D62FA" w:rsidRPr="004C273A">
        <w:rPr>
          <w:i/>
          <w:iCs/>
          <w:sz w:val="24"/>
        </w:rPr>
        <w:t>bona fide</w:t>
      </w:r>
      <w:r w:rsidR="007D62FA">
        <w:rPr>
          <w:sz w:val="24"/>
        </w:rPr>
        <w:t xml:space="preserve"> defence.</w:t>
      </w:r>
      <w:r w:rsidR="007D62FA">
        <w:rPr>
          <w:rStyle w:val="FootnoteReference"/>
          <w:sz w:val="24"/>
        </w:rPr>
        <w:footnoteReference w:id="1"/>
      </w:r>
    </w:p>
    <w:p w14:paraId="360F2885" w14:textId="683A9173" w:rsidR="007D62FA" w:rsidRPr="001F6DD8" w:rsidRDefault="00D72AD5" w:rsidP="00D72AD5">
      <w:pPr>
        <w:tabs>
          <w:tab w:val="left" w:pos="0"/>
          <w:tab w:val="left" w:pos="1134"/>
          <w:tab w:val="left" w:pos="2694"/>
          <w:tab w:val="right" w:pos="8595"/>
        </w:tabs>
        <w:spacing w:before="400" w:after="400" w:line="480" w:lineRule="auto"/>
        <w:jc w:val="both"/>
        <w:rPr>
          <w:sz w:val="24"/>
        </w:rPr>
      </w:pPr>
      <w:r w:rsidRPr="001F6DD8">
        <w:rPr>
          <w:sz w:val="24"/>
        </w:rPr>
        <w:t>[15]</w:t>
      </w:r>
      <w:r w:rsidRPr="001F6DD8">
        <w:rPr>
          <w:sz w:val="24"/>
        </w:rPr>
        <w:tab/>
      </w:r>
      <w:r w:rsidR="007D62FA">
        <w:rPr>
          <w:sz w:val="24"/>
        </w:rPr>
        <w:t xml:space="preserve">As was stated by the full court of this division in </w:t>
      </w:r>
      <w:r w:rsidR="007D62FA" w:rsidRPr="00D32AD5">
        <w:rPr>
          <w:i/>
          <w:iCs/>
          <w:sz w:val="24"/>
        </w:rPr>
        <w:t xml:space="preserve">Raumix Aggregates (Pty) Ltd </w:t>
      </w:r>
      <w:r w:rsidR="007D62FA" w:rsidRPr="001F6DD8">
        <w:rPr>
          <w:i/>
          <w:iCs/>
          <w:sz w:val="24"/>
        </w:rPr>
        <w:t>v Richter Sand CC and Another</w:t>
      </w:r>
      <w:r w:rsidR="007D62FA" w:rsidRPr="001F6DD8">
        <w:rPr>
          <w:rStyle w:val="FootnoteReference"/>
          <w:rFonts w:cs="Arial"/>
          <w:sz w:val="24"/>
        </w:rPr>
        <w:footnoteReference w:id="2"/>
      </w:r>
    </w:p>
    <w:p w14:paraId="09CFB895" w14:textId="6978BBB2" w:rsidR="00D32AD5" w:rsidRPr="00E32B4B" w:rsidRDefault="00D32AD5" w:rsidP="001F6DD8">
      <w:pPr>
        <w:tabs>
          <w:tab w:val="left" w:pos="1134"/>
          <w:tab w:val="left" w:pos="2694"/>
          <w:tab w:val="right" w:pos="8595"/>
        </w:tabs>
        <w:spacing w:before="400" w:after="400" w:line="480" w:lineRule="auto"/>
        <w:ind w:left="1134"/>
        <w:jc w:val="both"/>
        <w:rPr>
          <w:sz w:val="24"/>
        </w:rPr>
      </w:pPr>
      <w:r w:rsidRPr="001F6DD8">
        <w:rPr>
          <w:i/>
          <w:iCs/>
          <w:color w:val="000000"/>
          <w:sz w:val="24"/>
        </w:rPr>
        <w:t xml:space="preserve">“The purpose of a summary judgment application is to allow the court to summarily dispense with actions that ought not to proceed to trial </w:t>
      </w:r>
      <w:r w:rsidRPr="001F6DD8">
        <w:rPr>
          <w:b/>
          <w:bCs/>
          <w:i/>
          <w:iCs/>
          <w:color w:val="000000"/>
          <w:sz w:val="24"/>
        </w:rPr>
        <w:t>because they do not raise a genuine triable issue</w:t>
      </w:r>
      <w:r w:rsidRPr="001F6DD8">
        <w:rPr>
          <w:i/>
          <w:iCs/>
          <w:color w:val="000000"/>
          <w:sz w:val="24"/>
        </w:rPr>
        <w:t xml:space="preserve">, thereby conserving scarce judicial resources and improving access to justice. Once an application for summary judgment is brought, the applicant obtains a substantive right for that application to be heard, and, bearing in mind the purpose of summary judgment, that hearing should be as </w:t>
      </w:r>
      <w:r w:rsidRPr="001F6DD8">
        <w:rPr>
          <w:i/>
          <w:iCs/>
          <w:color w:val="000000"/>
          <w:sz w:val="24"/>
        </w:rPr>
        <w:lastRenderedPageBreak/>
        <w:t>soon as possible. That right is protected under s 34 of the Constitution.</w:t>
      </w:r>
      <w:bookmarkStart w:id="1" w:name="0-0-0-73285"/>
      <w:bookmarkEnd w:id="1"/>
      <w:r w:rsidRPr="001F6DD8">
        <w:rPr>
          <w:i/>
          <w:iCs/>
          <w:color w:val="000000"/>
          <w:sz w:val="24"/>
        </w:rPr>
        <w:t>”</w:t>
      </w:r>
      <w:r w:rsidRPr="001F6DD8">
        <w:rPr>
          <w:i/>
          <w:iCs/>
          <w:sz w:val="24"/>
        </w:rPr>
        <w:t xml:space="preserve"> </w:t>
      </w:r>
      <w:r w:rsidR="00E32B4B">
        <w:rPr>
          <w:sz w:val="24"/>
        </w:rPr>
        <w:t xml:space="preserve"> (Emphasis added).</w:t>
      </w:r>
    </w:p>
    <w:p w14:paraId="5BA55A00" w14:textId="368144FE" w:rsidR="00D32AD5" w:rsidRDefault="00D32AD5" w:rsidP="00D32AD5">
      <w:pPr>
        <w:tabs>
          <w:tab w:val="left" w:pos="0"/>
          <w:tab w:val="left" w:pos="1134"/>
          <w:tab w:val="left" w:pos="2694"/>
          <w:tab w:val="right" w:pos="8595"/>
        </w:tabs>
        <w:spacing w:before="400" w:after="400" w:line="480" w:lineRule="auto"/>
        <w:jc w:val="both"/>
        <w:rPr>
          <w:b/>
          <w:bCs/>
          <w:sz w:val="24"/>
          <w:u w:val="single"/>
        </w:rPr>
      </w:pPr>
      <w:r w:rsidRPr="00D32AD5">
        <w:rPr>
          <w:b/>
          <w:bCs/>
          <w:sz w:val="24"/>
          <w:u w:val="single"/>
        </w:rPr>
        <w:t>DISCUSSION OF THE MERITS</w:t>
      </w:r>
    </w:p>
    <w:p w14:paraId="41E086D7" w14:textId="044BBA66" w:rsidR="00360F1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[16]</w:t>
      </w:r>
      <w:r>
        <w:rPr>
          <w:sz w:val="24"/>
        </w:rPr>
        <w:tab/>
      </w:r>
      <w:r w:rsidR="00360F11">
        <w:rPr>
          <w:sz w:val="24"/>
        </w:rPr>
        <w:t xml:space="preserve">The Plaintiff alleges that it complied with section 129 of the NCA and is entitled to the order which is sought by it.  </w:t>
      </w:r>
    </w:p>
    <w:p w14:paraId="5DA1B8FA" w14:textId="3C14C80F" w:rsidR="00360F1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[17]</w:t>
      </w:r>
      <w:r>
        <w:rPr>
          <w:sz w:val="24"/>
        </w:rPr>
        <w:tab/>
      </w:r>
      <w:r w:rsidR="00360F11">
        <w:rPr>
          <w:sz w:val="24"/>
        </w:rPr>
        <w:t>The Plaintiff further alleges that the defence pleaded in the Defendants’ plea does not raise any triable issue and contends that:</w:t>
      </w:r>
    </w:p>
    <w:p w14:paraId="2042249E" w14:textId="523E5376"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[17.1]</w:t>
      </w:r>
      <w:r>
        <w:rPr>
          <w:sz w:val="24"/>
        </w:rPr>
        <w:tab/>
      </w:r>
      <w:r w:rsidR="00360F11">
        <w:rPr>
          <w:sz w:val="24"/>
        </w:rPr>
        <w:t xml:space="preserve">there is no defence raised in respect of the merits of the matter; </w:t>
      </w:r>
    </w:p>
    <w:p w14:paraId="2483740D" w14:textId="17311D50"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[17.2]</w:t>
      </w:r>
      <w:r>
        <w:rPr>
          <w:sz w:val="24"/>
        </w:rPr>
        <w:tab/>
      </w:r>
      <w:r w:rsidR="00360F11">
        <w:rPr>
          <w:sz w:val="24"/>
        </w:rPr>
        <w:t xml:space="preserve">the Defendants do not deny the conclusion of the loan agreements pleaded; </w:t>
      </w:r>
    </w:p>
    <w:p w14:paraId="6207E878" w14:textId="50F66297"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[17.3]</w:t>
      </w:r>
      <w:r>
        <w:rPr>
          <w:sz w:val="24"/>
        </w:rPr>
        <w:tab/>
      </w:r>
      <w:r w:rsidR="00360F11">
        <w:rPr>
          <w:sz w:val="24"/>
        </w:rPr>
        <w:t xml:space="preserve">the Defendants do not deny the terms of the loan agreements pleaded; </w:t>
      </w:r>
    </w:p>
    <w:p w14:paraId="646E23F3" w14:textId="690070DB"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[17.4]</w:t>
      </w:r>
      <w:r>
        <w:rPr>
          <w:sz w:val="24"/>
        </w:rPr>
        <w:tab/>
      </w:r>
      <w:r w:rsidR="00360F11">
        <w:rPr>
          <w:sz w:val="24"/>
        </w:rPr>
        <w:t xml:space="preserve">the Defendants do not deny any obligations as pleaded in the particulars of claim; </w:t>
      </w:r>
    </w:p>
    <w:p w14:paraId="706611BE" w14:textId="1297EA33"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[17.5]</w:t>
      </w:r>
      <w:r>
        <w:rPr>
          <w:sz w:val="24"/>
        </w:rPr>
        <w:tab/>
      </w:r>
      <w:r w:rsidR="00360F11">
        <w:rPr>
          <w:sz w:val="24"/>
        </w:rPr>
        <w:t>the Defendants do not contest the action on the basis of any positive factual averments made; and</w:t>
      </w:r>
    </w:p>
    <w:p w14:paraId="16C39884" w14:textId="3403D890"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[17.6]</w:t>
      </w:r>
      <w:r>
        <w:rPr>
          <w:sz w:val="24"/>
        </w:rPr>
        <w:tab/>
      </w:r>
      <w:r w:rsidR="00360F11">
        <w:rPr>
          <w:sz w:val="24"/>
        </w:rPr>
        <w:t xml:space="preserve">the plea is, in essence, a bare denial of the Plaintiff’s claim as fully pleaded in the particulars of claim. </w:t>
      </w:r>
    </w:p>
    <w:p w14:paraId="68BEC868" w14:textId="5D94E436" w:rsidR="00360F1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lastRenderedPageBreak/>
        <w:t>[18]</w:t>
      </w:r>
      <w:r>
        <w:rPr>
          <w:sz w:val="24"/>
        </w:rPr>
        <w:tab/>
      </w:r>
      <w:r w:rsidR="00360F11">
        <w:rPr>
          <w:sz w:val="24"/>
        </w:rPr>
        <w:t xml:space="preserve">Upon consideration of the plea, it appears that the Defendants have raised two defences, namely: </w:t>
      </w:r>
    </w:p>
    <w:p w14:paraId="7A1B306B" w14:textId="074783B8"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[18.1]</w:t>
      </w:r>
      <w:r>
        <w:rPr>
          <w:sz w:val="24"/>
        </w:rPr>
        <w:tab/>
      </w:r>
      <w:r w:rsidR="00360F11">
        <w:rPr>
          <w:sz w:val="24"/>
        </w:rPr>
        <w:t>a special plea of jurisdiction. In this regard, the Defendants plead that although this court has jurisdiction to adjudicate the matter, this court has concurrent jurisdiction with the Magistrates Court and therefore the Magistrates Court must be the court of first instance; and</w:t>
      </w:r>
    </w:p>
    <w:p w14:paraId="001D75A2" w14:textId="42991F03" w:rsidR="00360F1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[18.2]</w:t>
      </w:r>
      <w:r>
        <w:rPr>
          <w:sz w:val="24"/>
        </w:rPr>
        <w:tab/>
      </w:r>
      <w:r w:rsidR="00360F11">
        <w:rPr>
          <w:sz w:val="24"/>
        </w:rPr>
        <w:t xml:space="preserve">that the Defendants are paying in accordance with the court order and that the Plaintiff failed to inform the Defendants about its non-compliance with the court order.  </w:t>
      </w:r>
    </w:p>
    <w:p w14:paraId="16ED5CA7" w14:textId="15C85CB4" w:rsidR="00360F11" w:rsidRDefault="00D72AD5" w:rsidP="00D72AD5">
      <w:pPr>
        <w:tabs>
          <w:tab w:val="left" w:pos="0"/>
          <w:tab w:val="left" w:pos="851"/>
          <w:tab w:val="left" w:pos="2694"/>
          <w:tab w:val="right" w:pos="8595"/>
        </w:tabs>
        <w:spacing w:before="400" w:after="400" w:line="480" w:lineRule="auto"/>
        <w:ind w:left="720" w:hanging="720"/>
        <w:jc w:val="both"/>
        <w:rPr>
          <w:b/>
          <w:bCs/>
          <w:sz w:val="24"/>
          <w:u w:val="single"/>
        </w:rPr>
      </w:pPr>
      <w:r>
        <w:rPr>
          <w:b/>
          <w:bCs/>
          <w:sz w:val="24"/>
        </w:rPr>
        <w:t>(a)</w:t>
      </w:r>
      <w:r>
        <w:rPr>
          <w:b/>
          <w:bCs/>
          <w:sz w:val="24"/>
        </w:rPr>
        <w:tab/>
      </w:r>
      <w:r w:rsidR="00360F11">
        <w:rPr>
          <w:b/>
          <w:bCs/>
          <w:sz w:val="24"/>
          <w:u w:val="single"/>
        </w:rPr>
        <w:t>Special plea of jurisdiction</w:t>
      </w:r>
    </w:p>
    <w:p w14:paraId="71FCD300" w14:textId="6912EAD8" w:rsidR="00360F1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[19]</w:t>
      </w:r>
      <w:r>
        <w:rPr>
          <w:sz w:val="24"/>
        </w:rPr>
        <w:tab/>
      </w:r>
      <w:r w:rsidR="00360F11">
        <w:rPr>
          <w:sz w:val="24"/>
        </w:rPr>
        <w:t xml:space="preserve">The special plea is devoid of any merit.  The Plaintiff is </w:t>
      </w:r>
      <w:r w:rsidR="00360F11" w:rsidRPr="00360F11">
        <w:rPr>
          <w:i/>
          <w:iCs/>
          <w:sz w:val="24"/>
        </w:rPr>
        <w:t>dominus litis</w:t>
      </w:r>
      <w:r w:rsidR="00360F11">
        <w:rPr>
          <w:sz w:val="24"/>
        </w:rPr>
        <w:t xml:space="preserve"> and can decide on whether to institute the proceedings in this Court or the Magistrate’s Court.  The Defendants have expressly admitted this Court has jurisdiction to hear the matter in paragraph 1 of their special plea.</w:t>
      </w:r>
    </w:p>
    <w:p w14:paraId="6693AAFC" w14:textId="326BB531" w:rsidR="00360F11" w:rsidRPr="00D32AD5" w:rsidRDefault="00D72AD5" w:rsidP="00D72AD5">
      <w:pPr>
        <w:tabs>
          <w:tab w:val="left" w:pos="0"/>
          <w:tab w:val="left" w:pos="851"/>
          <w:tab w:val="left" w:pos="2694"/>
          <w:tab w:val="right" w:pos="8595"/>
        </w:tabs>
        <w:spacing w:before="400" w:after="400" w:line="480" w:lineRule="auto"/>
        <w:ind w:left="851" w:hanging="851"/>
        <w:jc w:val="both"/>
        <w:rPr>
          <w:b/>
          <w:bCs/>
          <w:sz w:val="24"/>
          <w:u w:val="single"/>
        </w:rPr>
      </w:pPr>
      <w:r w:rsidRPr="00D32AD5">
        <w:rPr>
          <w:b/>
          <w:bCs/>
          <w:sz w:val="24"/>
        </w:rPr>
        <w:t>(a)</w:t>
      </w:r>
      <w:r w:rsidRPr="00D32AD5">
        <w:rPr>
          <w:b/>
          <w:bCs/>
          <w:sz w:val="24"/>
        </w:rPr>
        <w:tab/>
      </w:r>
      <w:r w:rsidR="00360F11">
        <w:rPr>
          <w:b/>
          <w:bCs/>
          <w:sz w:val="24"/>
          <w:u w:val="single"/>
        </w:rPr>
        <w:t>Interpretation of the court order</w:t>
      </w:r>
    </w:p>
    <w:p w14:paraId="6A390684" w14:textId="691053CC" w:rsidR="00CA54A8"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[20]</w:t>
      </w:r>
      <w:r>
        <w:rPr>
          <w:sz w:val="24"/>
        </w:rPr>
        <w:tab/>
      </w:r>
      <w:r w:rsidR="00C7003B">
        <w:rPr>
          <w:sz w:val="24"/>
        </w:rPr>
        <w:t xml:space="preserve">It is not in dispute that the </w:t>
      </w:r>
      <w:r w:rsidR="00CA54A8">
        <w:rPr>
          <w:sz w:val="24"/>
        </w:rPr>
        <w:t xml:space="preserve">court </w:t>
      </w:r>
      <w:r w:rsidR="00C7003B">
        <w:rPr>
          <w:sz w:val="24"/>
        </w:rPr>
        <w:t>order was granted</w:t>
      </w:r>
      <w:r w:rsidR="00CA54A8">
        <w:rPr>
          <w:sz w:val="24"/>
        </w:rPr>
        <w:t xml:space="preserve"> but there is a dispute as to how the court order must be interpreted.  </w:t>
      </w:r>
    </w:p>
    <w:p w14:paraId="5E13DDB1" w14:textId="07ABE8D8" w:rsidR="001C3AC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lastRenderedPageBreak/>
        <w:t>[21]</w:t>
      </w:r>
      <w:r>
        <w:rPr>
          <w:sz w:val="24"/>
        </w:rPr>
        <w:tab/>
      </w:r>
      <w:r w:rsidR="006008D6">
        <w:rPr>
          <w:sz w:val="24"/>
        </w:rPr>
        <w:t xml:space="preserve">According to the Plaintiff, it is of importance to note that the court order included both the proposal by the Defendants (annexure “B” to the court order) as well as the Plaintiff’s </w:t>
      </w:r>
      <w:r w:rsidR="00E32B4B">
        <w:rPr>
          <w:sz w:val="24"/>
        </w:rPr>
        <w:t>“</w:t>
      </w:r>
      <w:r w:rsidR="006008D6" w:rsidRPr="00E32B4B">
        <w:rPr>
          <w:i/>
          <w:iCs/>
          <w:sz w:val="24"/>
        </w:rPr>
        <w:t>acceptance</w:t>
      </w:r>
      <w:r w:rsidR="00E32B4B">
        <w:rPr>
          <w:sz w:val="24"/>
        </w:rPr>
        <w:t>”</w:t>
      </w:r>
      <w:r w:rsidR="006008D6">
        <w:rPr>
          <w:sz w:val="24"/>
        </w:rPr>
        <w:t xml:space="preserve"> on particular terms</w:t>
      </w:r>
      <w:r w:rsidR="00E32B4B">
        <w:rPr>
          <w:sz w:val="24"/>
        </w:rPr>
        <w:t xml:space="preserve"> (</w:t>
      </w:r>
      <w:r w:rsidR="006008D6">
        <w:rPr>
          <w:sz w:val="24"/>
        </w:rPr>
        <w:t xml:space="preserve">annexure “A” to the court order). </w:t>
      </w:r>
    </w:p>
    <w:p w14:paraId="3B2CC1DE" w14:textId="2898C435" w:rsidR="006008D6"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[22]</w:t>
      </w:r>
      <w:r>
        <w:rPr>
          <w:sz w:val="24"/>
        </w:rPr>
        <w:tab/>
      </w:r>
      <w:r w:rsidR="006008D6">
        <w:rPr>
          <w:sz w:val="24"/>
        </w:rPr>
        <w:t xml:space="preserve">The Plaintiff </w:t>
      </w:r>
      <w:r w:rsidR="00CA54A8">
        <w:rPr>
          <w:sz w:val="24"/>
        </w:rPr>
        <w:t xml:space="preserve">contends </w:t>
      </w:r>
      <w:r w:rsidR="006008D6">
        <w:rPr>
          <w:sz w:val="24"/>
        </w:rPr>
        <w:t>that</w:t>
      </w:r>
    </w:p>
    <w:p w14:paraId="3F163113" w14:textId="640B8276"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[22.1]</w:t>
      </w:r>
      <w:r>
        <w:rPr>
          <w:sz w:val="24"/>
        </w:rPr>
        <w:tab/>
      </w:r>
      <w:r w:rsidR="006008D6">
        <w:rPr>
          <w:sz w:val="24"/>
        </w:rPr>
        <w:t xml:space="preserve">the significance of the </w:t>
      </w:r>
      <w:r w:rsidR="00CA54A8">
        <w:rPr>
          <w:sz w:val="24"/>
        </w:rPr>
        <w:t xml:space="preserve">court </w:t>
      </w:r>
      <w:r w:rsidR="006008D6">
        <w:rPr>
          <w:sz w:val="24"/>
        </w:rPr>
        <w:t xml:space="preserve">order lies therein that the acceptance </w:t>
      </w:r>
      <w:r w:rsidR="00CA54A8">
        <w:rPr>
          <w:sz w:val="24"/>
        </w:rPr>
        <w:t xml:space="preserve">was </w:t>
      </w:r>
      <w:r w:rsidR="006008D6">
        <w:rPr>
          <w:sz w:val="24"/>
        </w:rPr>
        <w:t xml:space="preserve">as per the terms which were made part of the court order in prayer </w:t>
      </w:r>
      <w:r w:rsidR="00CA54A8">
        <w:rPr>
          <w:sz w:val="24"/>
        </w:rPr>
        <w:t xml:space="preserve">1 and annexure “A” </w:t>
      </w:r>
      <w:r w:rsidR="006008D6">
        <w:rPr>
          <w:sz w:val="24"/>
        </w:rPr>
        <w:t>stipulate</w:t>
      </w:r>
      <w:r w:rsidR="00CA54A8">
        <w:rPr>
          <w:sz w:val="24"/>
        </w:rPr>
        <w:t>s</w:t>
      </w:r>
      <w:r w:rsidR="006008D6">
        <w:rPr>
          <w:sz w:val="24"/>
        </w:rPr>
        <w:t xml:space="preserve"> clearly that the period for same entailed 60 instalments or months; </w:t>
      </w:r>
    </w:p>
    <w:p w14:paraId="51656E0F" w14:textId="2C2A0B98"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[22.2]</w:t>
      </w:r>
      <w:r>
        <w:rPr>
          <w:sz w:val="24"/>
        </w:rPr>
        <w:tab/>
      </w:r>
      <w:r w:rsidR="006008D6">
        <w:rPr>
          <w:sz w:val="24"/>
        </w:rPr>
        <w:t xml:space="preserve">the 60-month period of the payment of R3 641.00, with an interest rate of 7.75%, constituted a significant reduction from the ordinary monthly payment; </w:t>
      </w:r>
    </w:p>
    <w:p w14:paraId="3B3C0C38" w14:textId="19AA0FBA"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[22.3]</w:t>
      </w:r>
      <w:r>
        <w:rPr>
          <w:sz w:val="24"/>
        </w:rPr>
        <w:tab/>
      </w:r>
      <w:r w:rsidR="006008D6">
        <w:rPr>
          <w:sz w:val="24"/>
        </w:rPr>
        <w:t xml:space="preserve">the 60-month period pertaining to the reduced instalment amount in terms of the </w:t>
      </w:r>
      <w:r w:rsidR="00CA54A8">
        <w:rPr>
          <w:sz w:val="24"/>
        </w:rPr>
        <w:t xml:space="preserve">court order </w:t>
      </w:r>
      <w:r w:rsidR="006008D6">
        <w:rPr>
          <w:sz w:val="24"/>
        </w:rPr>
        <w:t>commen</w:t>
      </w:r>
      <w:r w:rsidR="00CA54A8">
        <w:rPr>
          <w:sz w:val="24"/>
        </w:rPr>
        <w:t>c</w:t>
      </w:r>
      <w:r w:rsidR="006008D6">
        <w:rPr>
          <w:sz w:val="24"/>
        </w:rPr>
        <w:t xml:space="preserve">ed in September 2014 and came to an end by effluxion time after 60 months, thus at the end of August 2019; </w:t>
      </w:r>
    </w:p>
    <w:p w14:paraId="09AD80DC" w14:textId="2895E620"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[22.4]</w:t>
      </w:r>
      <w:r>
        <w:rPr>
          <w:sz w:val="24"/>
        </w:rPr>
        <w:tab/>
      </w:r>
      <w:r w:rsidR="006008D6">
        <w:rPr>
          <w:sz w:val="24"/>
        </w:rPr>
        <w:t xml:space="preserve">accordingly, the </w:t>
      </w:r>
      <w:r w:rsidR="00CA54A8">
        <w:rPr>
          <w:sz w:val="24"/>
        </w:rPr>
        <w:t xml:space="preserve">court </w:t>
      </w:r>
      <w:r w:rsidR="006008D6">
        <w:rPr>
          <w:sz w:val="24"/>
        </w:rPr>
        <w:t xml:space="preserve">order and </w:t>
      </w:r>
      <w:r w:rsidR="00CA54A8">
        <w:rPr>
          <w:sz w:val="24"/>
        </w:rPr>
        <w:t xml:space="preserve">debt review </w:t>
      </w:r>
      <w:r w:rsidR="006008D6">
        <w:rPr>
          <w:sz w:val="24"/>
        </w:rPr>
        <w:t>process of the Defendants came to an end by effluxion of time</w:t>
      </w:r>
      <w:r w:rsidR="00CA54A8">
        <w:rPr>
          <w:sz w:val="24"/>
        </w:rPr>
        <w:t xml:space="preserve"> </w:t>
      </w:r>
      <w:r w:rsidR="006008D6">
        <w:rPr>
          <w:sz w:val="24"/>
        </w:rPr>
        <w:t xml:space="preserve">at the end of August 2019; </w:t>
      </w:r>
    </w:p>
    <w:p w14:paraId="60353A75" w14:textId="2EA26F55"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lastRenderedPageBreak/>
        <w:t>[22.5]</w:t>
      </w:r>
      <w:r>
        <w:rPr>
          <w:sz w:val="24"/>
        </w:rPr>
        <w:tab/>
      </w:r>
      <w:r w:rsidR="006008D6">
        <w:rPr>
          <w:sz w:val="24"/>
        </w:rPr>
        <w:t xml:space="preserve">after the </w:t>
      </w:r>
      <w:r w:rsidR="00CA54A8">
        <w:rPr>
          <w:sz w:val="24"/>
        </w:rPr>
        <w:t xml:space="preserve">operation of the court order </w:t>
      </w:r>
      <w:r w:rsidR="006008D6">
        <w:rPr>
          <w:sz w:val="24"/>
        </w:rPr>
        <w:t xml:space="preserve">had come to an end after August 2019, the normal obligations in terms of the underlying </w:t>
      </w:r>
      <w:r w:rsidR="00CA54A8">
        <w:rPr>
          <w:sz w:val="24"/>
        </w:rPr>
        <w:t xml:space="preserve">loan </w:t>
      </w:r>
      <w:r w:rsidR="006008D6">
        <w:rPr>
          <w:sz w:val="24"/>
        </w:rPr>
        <w:t>agreement</w:t>
      </w:r>
      <w:r w:rsidR="00CA54A8">
        <w:rPr>
          <w:sz w:val="24"/>
        </w:rPr>
        <w:t xml:space="preserve">s </w:t>
      </w:r>
      <w:r w:rsidR="006008D6">
        <w:rPr>
          <w:sz w:val="24"/>
        </w:rPr>
        <w:t xml:space="preserve">between the parties once again became operational by operation of law; </w:t>
      </w:r>
    </w:p>
    <w:p w14:paraId="75107FBB" w14:textId="7EF24087"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[22.6]</w:t>
      </w:r>
      <w:r>
        <w:rPr>
          <w:sz w:val="24"/>
        </w:rPr>
        <w:tab/>
      </w:r>
      <w:r w:rsidR="006008D6">
        <w:rPr>
          <w:sz w:val="24"/>
        </w:rPr>
        <w:t xml:space="preserve">the required monthly instalment outside the ambit of operation of the court order and in terms of the underlying </w:t>
      </w:r>
      <w:r w:rsidR="00CA54A8">
        <w:rPr>
          <w:sz w:val="24"/>
        </w:rPr>
        <w:t xml:space="preserve">loan </w:t>
      </w:r>
      <w:r w:rsidR="006008D6">
        <w:rPr>
          <w:sz w:val="24"/>
        </w:rPr>
        <w:t>agreement</w:t>
      </w:r>
      <w:r w:rsidR="00CA54A8">
        <w:rPr>
          <w:sz w:val="24"/>
        </w:rPr>
        <w:t>s</w:t>
      </w:r>
      <w:r w:rsidR="006008D6">
        <w:rPr>
          <w:sz w:val="24"/>
        </w:rPr>
        <w:t xml:space="preserve"> constituted an amount of R6 911.41 </w:t>
      </w:r>
      <w:r w:rsidR="00A85429">
        <w:rPr>
          <w:sz w:val="24"/>
        </w:rPr>
        <w:t xml:space="preserve">from </w:t>
      </w:r>
      <w:r w:rsidR="006008D6">
        <w:rPr>
          <w:sz w:val="24"/>
        </w:rPr>
        <w:t>August 2019;</w:t>
      </w:r>
    </w:p>
    <w:p w14:paraId="150111FC" w14:textId="6A9205B7" w:rsidR="006008D6"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[22.7]</w:t>
      </w:r>
      <w:r>
        <w:rPr>
          <w:sz w:val="24"/>
        </w:rPr>
        <w:tab/>
      </w:r>
      <w:r w:rsidR="006008D6">
        <w:rPr>
          <w:sz w:val="24"/>
        </w:rPr>
        <w:t xml:space="preserve">the Defendants failed to pay in terms of their obligations under the </w:t>
      </w:r>
      <w:r w:rsidR="00CA54A8">
        <w:rPr>
          <w:sz w:val="24"/>
        </w:rPr>
        <w:t xml:space="preserve">loan agreements </w:t>
      </w:r>
      <w:r w:rsidR="006008D6">
        <w:rPr>
          <w:sz w:val="24"/>
        </w:rPr>
        <w:t xml:space="preserve">subsequent to August 2019.  </w:t>
      </w:r>
    </w:p>
    <w:p w14:paraId="5885F5D3" w14:textId="462A948F" w:rsidR="00E16EF0"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[23]</w:t>
      </w:r>
      <w:r>
        <w:rPr>
          <w:sz w:val="24"/>
        </w:rPr>
        <w:tab/>
      </w:r>
      <w:r w:rsidR="005A460D">
        <w:rPr>
          <w:sz w:val="24"/>
        </w:rPr>
        <w:t xml:space="preserve">In paragraph 7 of the affidavit resisting summary judgment, the Defendants </w:t>
      </w:r>
      <w:r w:rsidR="00A85429">
        <w:rPr>
          <w:sz w:val="24"/>
        </w:rPr>
        <w:t xml:space="preserve">admit that the court order was granted but deny that the annexures </w:t>
      </w:r>
      <w:r w:rsidR="00E16EF0">
        <w:rPr>
          <w:sz w:val="24"/>
        </w:rPr>
        <w:t xml:space="preserve">are </w:t>
      </w:r>
      <w:r w:rsidR="00A85429">
        <w:rPr>
          <w:sz w:val="24"/>
        </w:rPr>
        <w:t xml:space="preserve">marked “A” and “B”.  </w:t>
      </w:r>
      <w:r w:rsidR="00E16EF0">
        <w:rPr>
          <w:sz w:val="24"/>
        </w:rPr>
        <w:t>T</w:t>
      </w:r>
      <w:r w:rsidR="00A85429">
        <w:rPr>
          <w:sz w:val="24"/>
        </w:rPr>
        <w:t xml:space="preserve">he Defendants </w:t>
      </w:r>
      <w:r w:rsidR="00E16EF0">
        <w:rPr>
          <w:sz w:val="24"/>
        </w:rPr>
        <w:t xml:space="preserve">do, however, accept </w:t>
      </w:r>
      <w:r w:rsidR="00A85429">
        <w:rPr>
          <w:sz w:val="24"/>
        </w:rPr>
        <w:t>that the annexures to the court order</w:t>
      </w:r>
      <w:r w:rsidR="00E16EF0">
        <w:rPr>
          <w:sz w:val="24"/>
        </w:rPr>
        <w:t xml:space="preserve">, which </w:t>
      </w:r>
      <w:r w:rsidR="00A85429">
        <w:rPr>
          <w:sz w:val="24"/>
        </w:rPr>
        <w:t>were stamped by the Magistrate on the same day that the court order was granted</w:t>
      </w:r>
      <w:r w:rsidR="00E16EF0">
        <w:rPr>
          <w:sz w:val="24"/>
        </w:rPr>
        <w:t>, are those referred to in the order.</w:t>
      </w:r>
    </w:p>
    <w:p w14:paraId="1F0F8E9A" w14:textId="09F2E43C" w:rsidR="00A85429"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[24]</w:t>
      </w:r>
      <w:r>
        <w:rPr>
          <w:sz w:val="24"/>
        </w:rPr>
        <w:tab/>
      </w:r>
      <w:r w:rsidR="00D32AD5">
        <w:rPr>
          <w:sz w:val="24"/>
        </w:rPr>
        <w:t>It was pointed out by counsel for the Plaintiff that the issue regarding the annexures not being marked was not raised in the plea and was, therefore</w:t>
      </w:r>
      <w:r w:rsidR="00E16EF0">
        <w:rPr>
          <w:sz w:val="24"/>
        </w:rPr>
        <w:t>,</w:t>
      </w:r>
      <w:r w:rsidR="00D32AD5">
        <w:rPr>
          <w:sz w:val="24"/>
        </w:rPr>
        <w:t xml:space="preserve"> inconsistent with what had been pleaded</w:t>
      </w:r>
      <w:r w:rsidR="00E16EF0">
        <w:rPr>
          <w:sz w:val="24"/>
        </w:rPr>
        <w:t xml:space="preserve">, which is impermissible.  In this regard, </w:t>
      </w:r>
      <w:r w:rsidR="009B28EE">
        <w:rPr>
          <w:sz w:val="24"/>
        </w:rPr>
        <w:t>the Court</w:t>
      </w:r>
      <w:r w:rsidR="00D32AD5">
        <w:rPr>
          <w:sz w:val="24"/>
        </w:rPr>
        <w:t xml:space="preserve"> was referred to the unreported judgment (marked reportable) or His Lordship Mr Acting Justice Moorcroft in </w:t>
      </w:r>
      <w:r w:rsidR="00D32AD5" w:rsidRPr="00F52A1A">
        <w:rPr>
          <w:i/>
          <w:iCs/>
          <w:sz w:val="24"/>
        </w:rPr>
        <w:t>Vu</w:t>
      </w:r>
      <w:r w:rsidR="00F52A1A" w:rsidRPr="00F52A1A">
        <w:rPr>
          <w:i/>
          <w:iCs/>
          <w:sz w:val="24"/>
        </w:rPr>
        <w:t>kile Property Fund Limited v True Ruby Trading1002 (CC) trading as PostNet and Another</w:t>
      </w:r>
      <w:r w:rsidR="00F52A1A">
        <w:rPr>
          <w:rStyle w:val="FootnoteReference"/>
          <w:sz w:val="24"/>
        </w:rPr>
        <w:footnoteReference w:id="3"/>
      </w:r>
      <w:r w:rsidR="00F52A1A">
        <w:rPr>
          <w:sz w:val="24"/>
        </w:rPr>
        <w:t xml:space="preserve"> where it was stated that the</w:t>
      </w:r>
      <w:r w:rsidR="00E16EF0">
        <w:rPr>
          <w:sz w:val="24"/>
        </w:rPr>
        <w:t xml:space="preserve"> </w:t>
      </w:r>
      <w:r w:rsidR="00E16EF0">
        <w:rPr>
          <w:sz w:val="24"/>
        </w:rPr>
        <w:lastRenderedPageBreak/>
        <w:t>D</w:t>
      </w:r>
      <w:r w:rsidR="00F52A1A">
        <w:rPr>
          <w:sz w:val="24"/>
        </w:rPr>
        <w:t>efendant may not raise defences in the affidavit resisting summary judgment that are not pleaded.  I am of the view that th</w:t>
      </w:r>
      <w:r w:rsidR="00E16EF0">
        <w:rPr>
          <w:sz w:val="24"/>
        </w:rPr>
        <w:t xml:space="preserve">e </w:t>
      </w:r>
      <w:r w:rsidR="00251785">
        <w:rPr>
          <w:sz w:val="24"/>
        </w:rPr>
        <w:t xml:space="preserve">Defendants’ denial that </w:t>
      </w:r>
      <w:r w:rsidR="00F52A1A">
        <w:rPr>
          <w:sz w:val="24"/>
        </w:rPr>
        <w:t>the annexures are not marked “A” and “B” is not a “</w:t>
      </w:r>
      <w:r w:rsidR="00F52A1A" w:rsidRPr="00E16EF0">
        <w:rPr>
          <w:i/>
          <w:iCs/>
          <w:sz w:val="24"/>
        </w:rPr>
        <w:t>defence</w:t>
      </w:r>
      <w:r w:rsidR="00F52A1A">
        <w:rPr>
          <w:sz w:val="24"/>
        </w:rPr>
        <w:t xml:space="preserve">” raised </w:t>
      </w:r>
      <w:r w:rsidR="00E16EF0">
        <w:rPr>
          <w:sz w:val="24"/>
        </w:rPr>
        <w:t>which is inconsistent with what is pleaded</w:t>
      </w:r>
      <w:r w:rsidR="00251785">
        <w:rPr>
          <w:sz w:val="24"/>
        </w:rPr>
        <w:t>, particu</w:t>
      </w:r>
      <w:r w:rsidR="00C57B68">
        <w:rPr>
          <w:sz w:val="24"/>
        </w:rPr>
        <w:t>l</w:t>
      </w:r>
      <w:r w:rsidR="00251785">
        <w:rPr>
          <w:sz w:val="24"/>
        </w:rPr>
        <w:t>arly</w:t>
      </w:r>
      <w:r w:rsidR="00E16EF0">
        <w:rPr>
          <w:sz w:val="24"/>
        </w:rPr>
        <w:t xml:space="preserve"> </w:t>
      </w:r>
      <w:r w:rsidR="00F52A1A">
        <w:rPr>
          <w:sz w:val="24"/>
        </w:rPr>
        <w:t xml:space="preserve">as it is accepted by the Defendants that the documents that form part of the Court order are </w:t>
      </w:r>
      <w:r w:rsidR="00251785">
        <w:rPr>
          <w:sz w:val="24"/>
        </w:rPr>
        <w:t xml:space="preserve">those that were </w:t>
      </w:r>
      <w:r w:rsidR="00F52A1A">
        <w:rPr>
          <w:sz w:val="24"/>
        </w:rPr>
        <w:t xml:space="preserve">referred to as annexure “A” and “B” in the </w:t>
      </w:r>
      <w:r w:rsidR="00251785">
        <w:rPr>
          <w:sz w:val="24"/>
        </w:rPr>
        <w:t>c</w:t>
      </w:r>
      <w:r w:rsidR="00F52A1A">
        <w:rPr>
          <w:sz w:val="24"/>
        </w:rPr>
        <w:t>ourt order.</w:t>
      </w:r>
    </w:p>
    <w:p w14:paraId="08C39034" w14:textId="454BD9E4" w:rsidR="006008D6"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[25]</w:t>
      </w:r>
      <w:r>
        <w:rPr>
          <w:sz w:val="24"/>
        </w:rPr>
        <w:tab/>
      </w:r>
      <w:r w:rsidR="00AB137C">
        <w:rPr>
          <w:sz w:val="24"/>
        </w:rPr>
        <w:t>T</w:t>
      </w:r>
      <w:r w:rsidR="005A460D">
        <w:rPr>
          <w:sz w:val="24"/>
        </w:rPr>
        <w:t xml:space="preserve">he </w:t>
      </w:r>
      <w:r w:rsidR="00AB137C">
        <w:rPr>
          <w:sz w:val="24"/>
        </w:rPr>
        <w:t xml:space="preserve">correct </w:t>
      </w:r>
      <w:r w:rsidR="005A460D">
        <w:rPr>
          <w:sz w:val="24"/>
        </w:rPr>
        <w:t>interpretation of the</w:t>
      </w:r>
      <w:r w:rsidR="00AB137C">
        <w:rPr>
          <w:sz w:val="24"/>
        </w:rPr>
        <w:t xml:space="preserve"> court order forms the crux of the dispute</w:t>
      </w:r>
      <w:r w:rsidR="005A460D">
        <w:rPr>
          <w:sz w:val="24"/>
        </w:rPr>
        <w:t xml:space="preserve">.  </w:t>
      </w:r>
    </w:p>
    <w:p w14:paraId="0D3C2F41" w14:textId="6AB88ED1" w:rsidR="00AB137C"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[26]</w:t>
      </w:r>
      <w:r>
        <w:rPr>
          <w:sz w:val="24"/>
        </w:rPr>
        <w:tab/>
      </w:r>
      <w:r w:rsidR="005A460D">
        <w:rPr>
          <w:sz w:val="24"/>
        </w:rPr>
        <w:t>According to the Defendants, paragraph 1 of the order should</w:t>
      </w:r>
      <w:r w:rsidR="00AB137C">
        <w:rPr>
          <w:sz w:val="24"/>
        </w:rPr>
        <w:t xml:space="preserve"> </w:t>
      </w:r>
      <w:r w:rsidR="005A460D">
        <w:rPr>
          <w:sz w:val="24"/>
        </w:rPr>
        <w:t xml:space="preserve">be interpreted </w:t>
      </w:r>
      <w:r w:rsidR="00AB137C">
        <w:rPr>
          <w:sz w:val="24"/>
        </w:rPr>
        <w:t xml:space="preserve">as a mere recordal that </w:t>
      </w:r>
      <w:r w:rsidR="005A460D">
        <w:rPr>
          <w:sz w:val="24"/>
        </w:rPr>
        <w:t xml:space="preserve">the Plaintiff </w:t>
      </w:r>
      <w:r w:rsidR="005A460D" w:rsidRPr="00AB137C">
        <w:rPr>
          <w:b/>
          <w:bCs/>
          <w:sz w:val="24"/>
        </w:rPr>
        <w:t>w</w:t>
      </w:r>
      <w:r w:rsidR="00251785">
        <w:rPr>
          <w:b/>
          <w:bCs/>
          <w:sz w:val="24"/>
        </w:rPr>
        <w:t>anted</w:t>
      </w:r>
      <w:r w:rsidR="005A460D" w:rsidRPr="00AB137C">
        <w:rPr>
          <w:b/>
          <w:bCs/>
          <w:sz w:val="24"/>
        </w:rPr>
        <w:t xml:space="preserve"> to</w:t>
      </w:r>
      <w:r w:rsidR="005A460D">
        <w:rPr>
          <w:sz w:val="24"/>
        </w:rPr>
        <w:t xml:space="preserve"> increase th</w:t>
      </w:r>
      <w:r w:rsidR="00AB137C">
        <w:rPr>
          <w:sz w:val="24"/>
        </w:rPr>
        <w:t>e</w:t>
      </w:r>
      <w:r w:rsidR="005A460D">
        <w:rPr>
          <w:sz w:val="24"/>
        </w:rPr>
        <w:t xml:space="preserve"> instalment from the amount of the previously ordered amount to the amount </w:t>
      </w:r>
      <w:r w:rsidR="00AB137C">
        <w:rPr>
          <w:sz w:val="24"/>
        </w:rPr>
        <w:t xml:space="preserve">referred to in prayer 1 of the court </w:t>
      </w:r>
      <w:r w:rsidR="005A460D">
        <w:rPr>
          <w:sz w:val="24"/>
        </w:rPr>
        <w:t>order</w:t>
      </w:r>
      <w:r w:rsidR="00AB137C">
        <w:rPr>
          <w:sz w:val="24"/>
        </w:rPr>
        <w:t xml:space="preserve">, and </w:t>
      </w:r>
      <w:r w:rsidR="005A460D">
        <w:rPr>
          <w:sz w:val="24"/>
        </w:rPr>
        <w:t xml:space="preserve">that paragraph 2 of the </w:t>
      </w:r>
      <w:r w:rsidR="00AB137C">
        <w:rPr>
          <w:sz w:val="24"/>
        </w:rPr>
        <w:t>c</w:t>
      </w:r>
      <w:r w:rsidR="005A460D">
        <w:rPr>
          <w:sz w:val="24"/>
        </w:rPr>
        <w:t xml:space="preserve">ourt order </w:t>
      </w:r>
      <w:r w:rsidR="00AB137C">
        <w:rPr>
          <w:sz w:val="24"/>
        </w:rPr>
        <w:t xml:space="preserve">is the paragraph which actually </w:t>
      </w:r>
      <w:r w:rsidR="005A460D">
        <w:rPr>
          <w:sz w:val="24"/>
        </w:rPr>
        <w:t xml:space="preserve">ordered the rearrangement of the Defendants’ obligations as per </w:t>
      </w:r>
      <w:r w:rsidR="00251785">
        <w:rPr>
          <w:sz w:val="24"/>
        </w:rPr>
        <w:t xml:space="preserve">the terms proposed in </w:t>
      </w:r>
      <w:r w:rsidR="005A460D">
        <w:rPr>
          <w:sz w:val="24"/>
        </w:rPr>
        <w:t xml:space="preserve">annexure “B”.  </w:t>
      </w:r>
    </w:p>
    <w:p w14:paraId="03DEA845" w14:textId="4BE6A79A" w:rsidR="00AB137C"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[27]</w:t>
      </w:r>
      <w:r>
        <w:rPr>
          <w:sz w:val="24"/>
        </w:rPr>
        <w:tab/>
      </w:r>
      <w:r w:rsidR="005A460D">
        <w:rPr>
          <w:sz w:val="24"/>
        </w:rPr>
        <w:t xml:space="preserve">It was argued </w:t>
      </w:r>
      <w:r w:rsidR="00AB137C">
        <w:rPr>
          <w:sz w:val="24"/>
        </w:rPr>
        <w:t xml:space="preserve">by the Defendants </w:t>
      </w:r>
      <w:r w:rsidR="005A460D">
        <w:rPr>
          <w:sz w:val="24"/>
        </w:rPr>
        <w:t>that the only valid “</w:t>
      </w:r>
      <w:r w:rsidR="005A460D">
        <w:rPr>
          <w:i/>
          <w:iCs/>
          <w:sz w:val="24"/>
        </w:rPr>
        <w:t>order</w:t>
      </w:r>
      <w:r w:rsidR="005A460D">
        <w:rPr>
          <w:sz w:val="24"/>
        </w:rPr>
        <w:t xml:space="preserve">” </w:t>
      </w:r>
      <w:r w:rsidR="00AB137C">
        <w:rPr>
          <w:sz w:val="24"/>
        </w:rPr>
        <w:t xml:space="preserve">in </w:t>
      </w:r>
      <w:r w:rsidR="005A460D">
        <w:rPr>
          <w:sz w:val="24"/>
        </w:rPr>
        <w:t xml:space="preserve">the court order is paragraph 2 </w:t>
      </w:r>
      <w:r w:rsidR="00251785">
        <w:rPr>
          <w:sz w:val="24"/>
        </w:rPr>
        <w:t>as,</w:t>
      </w:r>
      <w:r w:rsidR="005A460D">
        <w:rPr>
          <w:sz w:val="24"/>
        </w:rPr>
        <w:t xml:space="preserve"> in terms of section 87(1)(b) of the NCA, the powers of a Magistrate are that a Magistrate may order a restructuring of a customer’s obligation</w:t>
      </w:r>
      <w:r w:rsidR="00AB137C">
        <w:rPr>
          <w:sz w:val="24"/>
        </w:rPr>
        <w:t xml:space="preserve">s </w:t>
      </w:r>
      <w:r w:rsidR="006B4B9F">
        <w:rPr>
          <w:sz w:val="24"/>
        </w:rPr>
        <w:t xml:space="preserve">in accordance with the debt restructuring proposal.  </w:t>
      </w:r>
    </w:p>
    <w:p w14:paraId="517FD02A" w14:textId="0C87AC38" w:rsidR="006B4B9F"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[28]</w:t>
      </w:r>
      <w:r>
        <w:rPr>
          <w:sz w:val="24"/>
        </w:rPr>
        <w:tab/>
      </w:r>
      <w:r w:rsidR="00AB137C">
        <w:rPr>
          <w:sz w:val="24"/>
        </w:rPr>
        <w:t xml:space="preserve">The difference in interpretation impacts upon what the </w:t>
      </w:r>
      <w:r w:rsidR="006B4B9F">
        <w:rPr>
          <w:sz w:val="24"/>
        </w:rPr>
        <w:t>“</w:t>
      </w:r>
      <w:r w:rsidR="006B4B9F">
        <w:rPr>
          <w:i/>
          <w:iCs/>
          <w:sz w:val="24"/>
        </w:rPr>
        <w:t>concession period</w:t>
      </w:r>
      <w:r w:rsidR="006B4B9F">
        <w:rPr>
          <w:sz w:val="24"/>
        </w:rPr>
        <w:t xml:space="preserve">” </w:t>
      </w:r>
      <w:r w:rsidR="00AB137C">
        <w:rPr>
          <w:sz w:val="24"/>
        </w:rPr>
        <w:t>was in terms of the court order.  According to the Plaintiff it was limited to a 60-month period and, according to the Defendants there was no limit on the period.</w:t>
      </w:r>
      <w:r w:rsidR="00251785">
        <w:rPr>
          <w:sz w:val="24"/>
        </w:rPr>
        <w:t xml:space="preserve">  </w:t>
      </w:r>
    </w:p>
    <w:p w14:paraId="7FA271BB" w14:textId="64A44212" w:rsidR="00251785" w:rsidRPr="00251785" w:rsidRDefault="00D72AD5" w:rsidP="00D72AD5">
      <w:pPr>
        <w:tabs>
          <w:tab w:val="left" w:pos="0"/>
          <w:tab w:val="left" w:pos="851"/>
          <w:tab w:val="left" w:pos="1701"/>
          <w:tab w:val="left" w:pos="2835"/>
          <w:tab w:val="right" w:pos="8595"/>
        </w:tabs>
        <w:spacing w:before="480" w:after="0" w:line="480" w:lineRule="auto"/>
        <w:jc w:val="both"/>
        <w:rPr>
          <w:sz w:val="24"/>
        </w:rPr>
      </w:pPr>
      <w:r w:rsidRPr="00251785">
        <w:rPr>
          <w:sz w:val="24"/>
        </w:rPr>
        <w:lastRenderedPageBreak/>
        <w:t>[29]</w:t>
      </w:r>
      <w:r w:rsidRPr="00251785">
        <w:rPr>
          <w:sz w:val="24"/>
        </w:rPr>
        <w:tab/>
      </w:r>
      <w:r w:rsidR="00AB137C">
        <w:rPr>
          <w:sz w:val="24"/>
        </w:rPr>
        <w:t xml:space="preserve">The </w:t>
      </w:r>
      <w:r w:rsidR="00A267DD">
        <w:rPr>
          <w:sz w:val="24"/>
        </w:rPr>
        <w:t>Defendants</w:t>
      </w:r>
      <w:r w:rsidR="001E32D6">
        <w:rPr>
          <w:sz w:val="24"/>
        </w:rPr>
        <w:t xml:space="preserve">’ interpretation </w:t>
      </w:r>
      <w:r w:rsidR="00C63E42">
        <w:rPr>
          <w:sz w:val="24"/>
        </w:rPr>
        <w:t xml:space="preserve">appears to </w:t>
      </w:r>
      <w:r w:rsidR="001E32D6">
        <w:rPr>
          <w:sz w:val="24"/>
        </w:rPr>
        <w:t xml:space="preserve">accord with the </w:t>
      </w:r>
      <w:r w:rsidR="009B28EE">
        <w:rPr>
          <w:sz w:val="24"/>
        </w:rPr>
        <w:t xml:space="preserve">express </w:t>
      </w:r>
      <w:r w:rsidR="001E32D6">
        <w:rPr>
          <w:sz w:val="24"/>
        </w:rPr>
        <w:t xml:space="preserve">wording of the order.  It does seem as though </w:t>
      </w:r>
      <w:r w:rsidR="00AB137C">
        <w:rPr>
          <w:sz w:val="24"/>
        </w:rPr>
        <w:t>paragraph 1</w:t>
      </w:r>
      <w:r w:rsidR="001E32D6">
        <w:rPr>
          <w:sz w:val="24"/>
        </w:rPr>
        <w:t xml:space="preserve"> is</w:t>
      </w:r>
      <w:r w:rsidR="00AB137C">
        <w:rPr>
          <w:sz w:val="24"/>
        </w:rPr>
        <w:t xml:space="preserve"> merely </w:t>
      </w:r>
      <w:r w:rsidR="001E32D6">
        <w:rPr>
          <w:sz w:val="24"/>
        </w:rPr>
        <w:t xml:space="preserve">a </w:t>
      </w:r>
      <w:r w:rsidR="00AB137C">
        <w:rPr>
          <w:sz w:val="24"/>
        </w:rPr>
        <w:t xml:space="preserve">recordal of what the Plaintiff wished the terms to be but the rearrangement </w:t>
      </w:r>
      <w:r w:rsidR="009C1F36">
        <w:rPr>
          <w:sz w:val="24"/>
        </w:rPr>
        <w:t xml:space="preserve">ordered </w:t>
      </w:r>
      <w:r w:rsidR="00AB137C">
        <w:rPr>
          <w:sz w:val="24"/>
        </w:rPr>
        <w:t>is in terms of annexure “B” which has no 60-month limit</w:t>
      </w:r>
      <w:r w:rsidR="009C1F36">
        <w:rPr>
          <w:sz w:val="24"/>
        </w:rPr>
        <w:t xml:space="preserve"> on the concession period</w:t>
      </w:r>
      <w:r w:rsidR="00AB137C">
        <w:rPr>
          <w:sz w:val="24"/>
        </w:rPr>
        <w:t xml:space="preserve">.  </w:t>
      </w:r>
      <w:r w:rsidR="009C1F36">
        <w:rPr>
          <w:sz w:val="24"/>
        </w:rPr>
        <w:t xml:space="preserve">On that note, </w:t>
      </w:r>
      <w:r w:rsidR="001E32D6" w:rsidRPr="001E32D6">
        <w:rPr>
          <w:i/>
          <w:iCs/>
          <w:sz w:val="24"/>
        </w:rPr>
        <w:t>prima facie</w:t>
      </w:r>
      <w:r w:rsidR="001E32D6">
        <w:rPr>
          <w:sz w:val="24"/>
        </w:rPr>
        <w:t xml:space="preserve">, it does not appear that </w:t>
      </w:r>
      <w:r w:rsidR="00C63E42">
        <w:rPr>
          <w:sz w:val="24"/>
        </w:rPr>
        <w:t>the parties r</w:t>
      </w:r>
      <w:r w:rsidR="009C1F36">
        <w:rPr>
          <w:sz w:val="24"/>
        </w:rPr>
        <w:t xml:space="preserve">eached </w:t>
      </w:r>
      <w:r w:rsidR="00C63E42">
        <w:rPr>
          <w:sz w:val="24"/>
        </w:rPr>
        <w:t>an agreement on what the Defendants’ obligations would be after the rearrangement.  T</w:t>
      </w:r>
      <w:r w:rsidR="00251785">
        <w:rPr>
          <w:sz w:val="24"/>
        </w:rPr>
        <w:t xml:space="preserve">he document that </w:t>
      </w:r>
      <w:r w:rsidR="009C1F36">
        <w:rPr>
          <w:sz w:val="24"/>
        </w:rPr>
        <w:t xml:space="preserve">should have been marked “A” is not an </w:t>
      </w:r>
      <w:r w:rsidR="009B28EE">
        <w:rPr>
          <w:sz w:val="24"/>
        </w:rPr>
        <w:t>“</w:t>
      </w:r>
      <w:r w:rsidR="009C1F36" w:rsidRPr="009B28EE">
        <w:rPr>
          <w:i/>
          <w:iCs/>
          <w:sz w:val="24"/>
        </w:rPr>
        <w:t>acceptance</w:t>
      </w:r>
      <w:r w:rsidR="009B28EE">
        <w:rPr>
          <w:sz w:val="24"/>
        </w:rPr>
        <w:t>”</w:t>
      </w:r>
      <w:r w:rsidR="009C1F36">
        <w:rPr>
          <w:sz w:val="24"/>
        </w:rPr>
        <w:t xml:space="preserve"> of the terms in the proposal </w:t>
      </w:r>
      <w:r w:rsidR="00251785">
        <w:rPr>
          <w:sz w:val="24"/>
        </w:rPr>
        <w:t xml:space="preserve">that </w:t>
      </w:r>
      <w:r w:rsidR="009C1F36">
        <w:rPr>
          <w:sz w:val="24"/>
        </w:rPr>
        <w:t xml:space="preserve">should have been marked “B”.  Annexure “A” </w:t>
      </w:r>
      <w:r w:rsidR="001E32D6">
        <w:rPr>
          <w:sz w:val="24"/>
        </w:rPr>
        <w:t xml:space="preserve">appears to be in the nature of </w:t>
      </w:r>
      <w:r w:rsidR="009C1F36">
        <w:rPr>
          <w:sz w:val="24"/>
        </w:rPr>
        <w:t>a counter-proposal</w:t>
      </w:r>
      <w:r w:rsidR="001E32D6">
        <w:rPr>
          <w:sz w:val="24"/>
        </w:rPr>
        <w:t xml:space="preserve"> despite the description given to it</w:t>
      </w:r>
      <w:r w:rsidR="009C1F36">
        <w:rPr>
          <w:sz w:val="24"/>
        </w:rPr>
        <w:t>.</w:t>
      </w:r>
    </w:p>
    <w:p w14:paraId="7C757C2F" w14:textId="36548CA4" w:rsidR="009C1F36"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[30]</w:t>
      </w:r>
      <w:r>
        <w:rPr>
          <w:sz w:val="24"/>
        </w:rPr>
        <w:tab/>
      </w:r>
      <w:r w:rsidR="00A267DD">
        <w:rPr>
          <w:sz w:val="24"/>
        </w:rPr>
        <w:t xml:space="preserve"> </w:t>
      </w:r>
      <w:r w:rsidR="001E32D6">
        <w:rPr>
          <w:sz w:val="24"/>
        </w:rPr>
        <w:t xml:space="preserve">The court order does not state that the arrangement would </w:t>
      </w:r>
      <w:r w:rsidR="009C1F36">
        <w:rPr>
          <w:sz w:val="24"/>
        </w:rPr>
        <w:t xml:space="preserve">endure </w:t>
      </w:r>
      <w:r w:rsidR="00A267DD">
        <w:rPr>
          <w:sz w:val="24"/>
        </w:rPr>
        <w:t>“</w:t>
      </w:r>
      <w:r w:rsidR="00A267DD">
        <w:rPr>
          <w:i/>
          <w:iCs/>
          <w:sz w:val="24"/>
        </w:rPr>
        <w:t>for a period of 60 months</w:t>
      </w:r>
      <w:r w:rsidR="00A267DD">
        <w:rPr>
          <w:sz w:val="24"/>
        </w:rPr>
        <w:t>”</w:t>
      </w:r>
      <w:r w:rsidR="009C1F36">
        <w:rPr>
          <w:sz w:val="24"/>
        </w:rPr>
        <w:t>.</w:t>
      </w:r>
      <w:r w:rsidR="00A267DD">
        <w:rPr>
          <w:sz w:val="24"/>
        </w:rPr>
        <w:t xml:space="preserve"> </w:t>
      </w:r>
      <w:r w:rsidR="001E32D6">
        <w:rPr>
          <w:sz w:val="24"/>
        </w:rPr>
        <w:t xml:space="preserve"> </w:t>
      </w:r>
      <w:r w:rsidR="00A267DD">
        <w:rPr>
          <w:sz w:val="24"/>
        </w:rPr>
        <w:t xml:space="preserve"> </w:t>
      </w:r>
    </w:p>
    <w:p w14:paraId="21BFA757" w14:textId="7DC98086" w:rsidR="009C1F36" w:rsidRPr="00F52A1A" w:rsidRDefault="00D72AD5" w:rsidP="00D72AD5">
      <w:pPr>
        <w:tabs>
          <w:tab w:val="left" w:pos="0"/>
          <w:tab w:val="left" w:pos="851"/>
          <w:tab w:val="left" w:pos="1701"/>
          <w:tab w:val="left" w:pos="2835"/>
          <w:tab w:val="right" w:pos="8595"/>
        </w:tabs>
        <w:spacing w:before="480" w:after="0" w:line="480" w:lineRule="auto"/>
        <w:jc w:val="both"/>
        <w:rPr>
          <w:sz w:val="24"/>
        </w:rPr>
      </w:pPr>
      <w:r w:rsidRPr="00F52A1A">
        <w:rPr>
          <w:sz w:val="24"/>
        </w:rPr>
        <w:t>[31]</w:t>
      </w:r>
      <w:r w:rsidRPr="00F52A1A">
        <w:rPr>
          <w:sz w:val="24"/>
        </w:rPr>
        <w:tab/>
      </w:r>
      <w:r w:rsidR="00A267DD" w:rsidRPr="009C1F36">
        <w:rPr>
          <w:sz w:val="24"/>
        </w:rPr>
        <w:t>In the circumstances</w:t>
      </w:r>
      <w:r w:rsidR="009C1F36" w:rsidRPr="009C1F36">
        <w:rPr>
          <w:sz w:val="24"/>
        </w:rPr>
        <w:t xml:space="preserve">, </w:t>
      </w:r>
      <w:r w:rsidR="001E32D6">
        <w:rPr>
          <w:sz w:val="24"/>
        </w:rPr>
        <w:t xml:space="preserve">I am of the view that the </w:t>
      </w:r>
      <w:r w:rsidR="009C1F36" w:rsidRPr="009C1F36">
        <w:rPr>
          <w:sz w:val="24"/>
        </w:rPr>
        <w:t xml:space="preserve">Defendants </w:t>
      </w:r>
      <w:r w:rsidR="001E32D6">
        <w:rPr>
          <w:sz w:val="24"/>
        </w:rPr>
        <w:t xml:space="preserve">have put up a </w:t>
      </w:r>
      <w:r w:rsidR="001E32D6" w:rsidRPr="001E32D6">
        <w:rPr>
          <w:i/>
          <w:iCs/>
          <w:sz w:val="24"/>
        </w:rPr>
        <w:t>bona fide</w:t>
      </w:r>
      <w:r w:rsidR="001E32D6">
        <w:rPr>
          <w:sz w:val="24"/>
        </w:rPr>
        <w:t xml:space="preserve"> defence in denying that they </w:t>
      </w:r>
      <w:r w:rsidR="009C1F36" w:rsidRPr="009C1F36">
        <w:rPr>
          <w:sz w:val="24"/>
        </w:rPr>
        <w:t xml:space="preserve">were obliged to make payments </w:t>
      </w:r>
      <w:r w:rsidR="009C1F36">
        <w:rPr>
          <w:sz w:val="24"/>
        </w:rPr>
        <w:t xml:space="preserve">in terms of </w:t>
      </w:r>
      <w:r w:rsidR="009C1F36" w:rsidRPr="009C1F36">
        <w:rPr>
          <w:sz w:val="24"/>
        </w:rPr>
        <w:t xml:space="preserve">the normal obligations in terms of the underlying loan agreements </w:t>
      </w:r>
      <w:r w:rsidR="009C1F36">
        <w:rPr>
          <w:sz w:val="24"/>
        </w:rPr>
        <w:t xml:space="preserve">after 60 months, i.e. an instalment </w:t>
      </w:r>
      <w:r w:rsidR="009C1F36" w:rsidRPr="009C1F36">
        <w:rPr>
          <w:sz w:val="24"/>
        </w:rPr>
        <w:t>amount of R6 911.41 from August 2019</w:t>
      </w:r>
      <w:r w:rsidR="009C1F36">
        <w:rPr>
          <w:sz w:val="24"/>
        </w:rPr>
        <w:t>.</w:t>
      </w:r>
    </w:p>
    <w:p w14:paraId="014E2B01" w14:textId="47F78581" w:rsidR="00F52A1A"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[32]</w:t>
      </w:r>
      <w:r>
        <w:rPr>
          <w:sz w:val="24"/>
        </w:rPr>
        <w:tab/>
      </w:r>
      <w:r w:rsidR="00F52A1A">
        <w:rPr>
          <w:sz w:val="24"/>
        </w:rPr>
        <w:t xml:space="preserve">The court order </w:t>
      </w:r>
      <w:r w:rsidR="00A267DD">
        <w:rPr>
          <w:sz w:val="24"/>
        </w:rPr>
        <w:t>stands and is still in full force and effect</w:t>
      </w:r>
      <w:r w:rsidR="00F52A1A">
        <w:rPr>
          <w:sz w:val="24"/>
        </w:rPr>
        <w:t xml:space="preserve"> and, as the Defendants have been paying in terms thereof, they have</w:t>
      </w:r>
      <w:r w:rsidR="00251785">
        <w:rPr>
          <w:sz w:val="24"/>
        </w:rPr>
        <w:t xml:space="preserve">, </w:t>
      </w:r>
      <w:r w:rsidR="00F52A1A">
        <w:rPr>
          <w:sz w:val="24"/>
        </w:rPr>
        <w:t>raised a triable issue</w:t>
      </w:r>
      <w:r w:rsidR="00A267DD">
        <w:rPr>
          <w:sz w:val="24"/>
        </w:rPr>
        <w:t xml:space="preserve">. </w:t>
      </w:r>
    </w:p>
    <w:p w14:paraId="6A02087F" w14:textId="0CDAFBB8" w:rsidR="00B11B98"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[33]</w:t>
      </w:r>
      <w:r>
        <w:rPr>
          <w:sz w:val="24"/>
        </w:rPr>
        <w:tab/>
      </w:r>
      <w:r w:rsidR="00B11B98">
        <w:rPr>
          <w:sz w:val="24"/>
        </w:rPr>
        <w:t xml:space="preserve">It was pointed out by the Defendants that, if the Plaintiff believed there was an error in the court order or that the wording thereof did not accord with what was intended, the Plaintiff could have sought an amendment thereof, </w:t>
      </w:r>
      <w:r w:rsidR="00B11B98" w:rsidRPr="003D52CD">
        <w:rPr>
          <w:i/>
          <w:iCs/>
          <w:sz w:val="24"/>
        </w:rPr>
        <w:t>alternatively</w:t>
      </w:r>
      <w:r w:rsidR="00B11B98">
        <w:rPr>
          <w:sz w:val="24"/>
        </w:rPr>
        <w:t xml:space="preserve"> a declaratory order as to its terms.  There was also no review or appeal </w:t>
      </w:r>
      <w:r w:rsidR="009B28EE">
        <w:rPr>
          <w:sz w:val="24"/>
        </w:rPr>
        <w:t xml:space="preserve">proceedings brought by the Plaintiff </w:t>
      </w:r>
      <w:r w:rsidR="00B11B98">
        <w:rPr>
          <w:sz w:val="24"/>
        </w:rPr>
        <w:t xml:space="preserve">in respect of the court order.   </w:t>
      </w:r>
    </w:p>
    <w:p w14:paraId="7F87CC4B" w14:textId="67A3AAC3" w:rsidR="005A460D" w:rsidRPr="00C63E42" w:rsidRDefault="00D72AD5" w:rsidP="00D72AD5">
      <w:pPr>
        <w:tabs>
          <w:tab w:val="left" w:pos="0"/>
          <w:tab w:val="left" w:pos="851"/>
          <w:tab w:val="left" w:pos="1701"/>
          <w:tab w:val="left" w:pos="2835"/>
          <w:tab w:val="right" w:pos="8595"/>
        </w:tabs>
        <w:spacing w:before="480" w:after="0" w:line="480" w:lineRule="auto"/>
        <w:jc w:val="both"/>
        <w:rPr>
          <w:sz w:val="24"/>
        </w:rPr>
      </w:pPr>
      <w:r w:rsidRPr="00C63E42">
        <w:rPr>
          <w:sz w:val="24"/>
        </w:rPr>
        <w:lastRenderedPageBreak/>
        <w:t>[34]</w:t>
      </w:r>
      <w:r w:rsidRPr="00C63E42">
        <w:rPr>
          <w:sz w:val="24"/>
        </w:rPr>
        <w:tab/>
      </w:r>
      <w:r w:rsidR="00C63E42" w:rsidRPr="00C63E42">
        <w:rPr>
          <w:sz w:val="24"/>
        </w:rPr>
        <w:t>If the Defendant’s interpretation of the court order is accepted by the trial Court</w:t>
      </w:r>
      <w:r w:rsidR="00C63E42">
        <w:rPr>
          <w:sz w:val="24"/>
        </w:rPr>
        <w:t>, as</w:t>
      </w:r>
      <w:r w:rsidR="009B28EE">
        <w:rPr>
          <w:sz w:val="24"/>
        </w:rPr>
        <w:t>:</w:t>
      </w:r>
      <w:r w:rsidR="00C63E42">
        <w:rPr>
          <w:sz w:val="24"/>
        </w:rPr>
        <w:t xml:space="preserve"> </w:t>
      </w:r>
      <w:r w:rsidR="00F52A1A" w:rsidRPr="00C63E42">
        <w:rPr>
          <w:sz w:val="24"/>
        </w:rPr>
        <w:t>(i) t</w:t>
      </w:r>
      <w:r w:rsidR="00A267DD" w:rsidRPr="00C63E42">
        <w:rPr>
          <w:sz w:val="24"/>
        </w:rPr>
        <w:t xml:space="preserve">he </w:t>
      </w:r>
      <w:r w:rsidR="00F52A1A" w:rsidRPr="00C63E42">
        <w:rPr>
          <w:sz w:val="24"/>
        </w:rPr>
        <w:t xml:space="preserve">court </w:t>
      </w:r>
      <w:r w:rsidR="00A267DD" w:rsidRPr="00C63E42">
        <w:rPr>
          <w:sz w:val="24"/>
        </w:rPr>
        <w:t xml:space="preserve">order has not been rescinded in terms of the Rules of Court, </w:t>
      </w:r>
      <w:r w:rsidR="00F52A1A" w:rsidRPr="00C63E42">
        <w:rPr>
          <w:sz w:val="24"/>
        </w:rPr>
        <w:t>(ii) no c</w:t>
      </w:r>
      <w:r w:rsidR="00A267DD" w:rsidRPr="00C63E42">
        <w:rPr>
          <w:sz w:val="24"/>
        </w:rPr>
        <w:t xml:space="preserve">ertificate of clearance (Form 19) </w:t>
      </w:r>
      <w:r w:rsidR="00251785" w:rsidRPr="00C63E42">
        <w:rPr>
          <w:sz w:val="24"/>
        </w:rPr>
        <w:t xml:space="preserve">has </w:t>
      </w:r>
      <w:r w:rsidR="00A267DD" w:rsidRPr="00C63E42">
        <w:rPr>
          <w:sz w:val="24"/>
        </w:rPr>
        <w:t xml:space="preserve">been issued by the Debt Counsellor in terms of section 71(2)(b)(i) of the NCA certifying that the Defendants satisfied all their obligations under </w:t>
      </w:r>
      <w:r w:rsidR="00F52A1A" w:rsidRPr="00C63E42">
        <w:rPr>
          <w:sz w:val="24"/>
        </w:rPr>
        <w:t xml:space="preserve">the loan agreements which form the subject matter of the </w:t>
      </w:r>
      <w:r w:rsidR="00A267DD" w:rsidRPr="00C63E42">
        <w:rPr>
          <w:sz w:val="24"/>
        </w:rPr>
        <w:t>court order</w:t>
      </w:r>
      <w:r w:rsidR="00F52A1A" w:rsidRPr="00C63E42">
        <w:rPr>
          <w:sz w:val="24"/>
        </w:rPr>
        <w:t xml:space="preserve">; </w:t>
      </w:r>
      <w:r w:rsidR="009B28EE">
        <w:rPr>
          <w:sz w:val="24"/>
        </w:rPr>
        <w:t>or</w:t>
      </w:r>
      <w:r w:rsidR="00F52A1A" w:rsidRPr="00C63E42">
        <w:rPr>
          <w:sz w:val="24"/>
        </w:rPr>
        <w:t xml:space="preserve"> (iii) t</w:t>
      </w:r>
      <w:r w:rsidR="00A267DD" w:rsidRPr="00C63E42">
        <w:rPr>
          <w:sz w:val="24"/>
        </w:rPr>
        <w:t xml:space="preserve">he Defendants </w:t>
      </w:r>
      <w:r w:rsidR="00F52A1A" w:rsidRPr="00C63E42">
        <w:rPr>
          <w:sz w:val="24"/>
        </w:rPr>
        <w:t xml:space="preserve">have not </w:t>
      </w:r>
      <w:r w:rsidR="00A267DD" w:rsidRPr="00C63E42">
        <w:rPr>
          <w:sz w:val="24"/>
        </w:rPr>
        <w:t xml:space="preserve">been declared </w:t>
      </w:r>
      <w:r w:rsidR="00F52A1A" w:rsidRPr="00C63E42">
        <w:rPr>
          <w:sz w:val="24"/>
        </w:rPr>
        <w:t xml:space="preserve">to be overindebted, the Defendants </w:t>
      </w:r>
      <w:r w:rsidR="009B28EE">
        <w:rPr>
          <w:sz w:val="24"/>
        </w:rPr>
        <w:t xml:space="preserve">are arguably </w:t>
      </w:r>
      <w:r w:rsidR="00F52A1A" w:rsidRPr="00C63E42">
        <w:rPr>
          <w:sz w:val="24"/>
        </w:rPr>
        <w:t>still under debt review</w:t>
      </w:r>
      <w:r w:rsidR="00C63E42" w:rsidRPr="00C63E42">
        <w:rPr>
          <w:sz w:val="24"/>
        </w:rPr>
        <w:t xml:space="preserve"> </w:t>
      </w:r>
    </w:p>
    <w:p w14:paraId="0F7E3738" w14:textId="2B5499F9" w:rsidR="00A267DD"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[35]</w:t>
      </w:r>
      <w:r>
        <w:rPr>
          <w:sz w:val="24"/>
        </w:rPr>
        <w:tab/>
      </w:r>
      <w:r w:rsidR="00537804">
        <w:rPr>
          <w:sz w:val="24"/>
        </w:rPr>
        <w:t>The Defendants argued that</w:t>
      </w:r>
      <w:r w:rsidR="00251785">
        <w:rPr>
          <w:sz w:val="24"/>
        </w:rPr>
        <w:t>, based on</w:t>
      </w:r>
      <w:r w:rsidR="00537804">
        <w:rPr>
          <w:sz w:val="24"/>
        </w:rPr>
        <w:t xml:space="preserve"> section 130(4)(e), read with section 88(3)(b)(ii) of the NCA</w:t>
      </w:r>
      <w:r w:rsidR="00251785">
        <w:rPr>
          <w:sz w:val="24"/>
        </w:rPr>
        <w:t xml:space="preserve">, the </w:t>
      </w:r>
      <w:r w:rsidR="00537804">
        <w:rPr>
          <w:sz w:val="24"/>
        </w:rPr>
        <w:t xml:space="preserve">court must dismiss the matter in terms of the provisions of the NCA.  </w:t>
      </w:r>
    </w:p>
    <w:p w14:paraId="78191B5C" w14:textId="3F61F083" w:rsidR="00537804" w:rsidRPr="005A460D" w:rsidRDefault="00D72AD5" w:rsidP="00D72AD5">
      <w:pPr>
        <w:tabs>
          <w:tab w:val="left" w:pos="0"/>
          <w:tab w:val="left" w:pos="851"/>
          <w:tab w:val="left" w:pos="1701"/>
          <w:tab w:val="left" w:pos="2835"/>
          <w:tab w:val="right" w:pos="8595"/>
        </w:tabs>
        <w:spacing w:before="480" w:after="0" w:line="480" w:lineRule="auto"/>
        <w:jc w:val="both"/>
        <w:rPr>
          <w:sz w:val="24"/>
        </w:rPr>
      </w:pPr>
      <w:r w:rsidRPr="005A460D">
        <w:rPr>
          <w:sz w:val="24"/>
        </w:rPr>
        <w:t>[36]</w:t>
      </w:r>
      <w:r w:rsidRPr="005A460D">
        <w:rPr>
          <w:sz w:val="24"/>
        </w:rPr>
        <w:tab/>
      </w:r>
      <w:r w:rsidR="00F52A1A">
        <w:rPr>
          <w:sz w:val="24"/>
        </w:rPr>
        <w:t>Section</w:t>
      </w:r>
      <w:r w:rsidR="00537804">
        <w:rPr>
          <w:sz w:val="24"/>
        </w:rPr>
        <w:t xml:space="preserve"> 88 is titled “</w:t>
      </w:r>
      <w:r w:rsidR="00537804">
        <w:rPr>
          <w:b/>
          <w:bCs/>
          <w:i/>
          <w:iCs/>
          <w:sz w:val="24"/>
        </w:rPr>
        <w:t>Effective debt review or re-arrangement order or agreement</w:t>
      </w:r>
      <w:r w:rsidR="00537804">
        <w:rPr>
          <w:sz w:val="24"/>
        </w:rPr>
        <w:t>” and section 88(3</w:t>
      </w:r>
      <w:r w:rsidR="000F4D01">
        <w:rPr>
          <w:sz w:val="24"/>
        </w:rPr>
        <w:t xml:space="preserve">) provides as follows: </w:t>
      </w:r>
    </w:p>
    <w:p w14:paraId="763B8537" w14:textId="77777777" w:rsidR="000F4D01" w:rsidRPr="000F4D01" w:rsidRDefault="001C3AC1" w:rsidP="000F4D01">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hyperlink r:id="rId9" w:tgtFrame="main" w:history="1">
        <w:r w:rsidR="000F4D01" w:rsidRPr="000F4D01">
          <w:rPr>
            <w:rFonts w:eastAsia="Times New Roman"/>
            <w:b/>
            <w:bCs/>
            <w:i/>
            <w:iCs/>
            <w:sz w:val="24"/>
            <w:lang w:eastAsia="en-ZA"/>
          </w:rPr>
          <w:t>88</w:t>
        </w:r>
      </w:hyperlink>
      <w:r w:rsidR="000F4D01" w:rsidRPr="000F4D01">
        <w:rPr>
          <w:rFonts w:eastAsia="Times New Roman"/>
          <w:b/>
          <w:bCs/>
          <w:i/>
          <w:iCs/>
          <w:sz w:val="24"/>
          <w:lang w:eastAsia="en-ZA"/>
        </w:rPr>
        <w:t xml:space="preserve">  </w:t>
      </w:r>
      <w:r w:rsidR="000F4D01" w:rsidRPr="000F4D01">
        <w:rPr>
          <w:rFonts w:eastAsia="Times New Roman"/>
          <w:b/>
          <w:bCs/>
          <w:i/>
          <w:iCs/>
          <w:sz w:val="24"/>
          <w:lang w:eastAsia="en-ZA"/>
        </w:rPr>
        <w:tab/>
        <w:t>Effect of debt review or re-arrangement order or agreement</w:t>
      </w:r>
      <w:bookmarkStart w:id="2" w:name="0-0-0-79201"/>
      <w:bookmarkStart w:id="3" w:name="0-0-0-79211"/>
      <w:bookmarkEnd w:id="2"/>
      <w:bookmarkEnd w:id="3"/>
    </w:p>
    <w:p w14:paraId="6472854A" w14:textId="77777777" w:rsidR="000F4D01" w:rsidRDefault="0046578F" w:rsidP="000F4D01">
      <w:pPr>
        <w:tabs>
          <w:tab w:val="left" w:pos="0"/>
          <w:tab w:val="left" w:pos="851"/>
          <w:tab w:val="left" w:pos="1701"/>
          <w:tab w:val="left" w:pos="2835"/>
          <w:tab w:val="right" w:pos="8595"/>
        </w:tabs>
        <w:spacing w:before="480" w:after="0" w:line="360" w:lineRule="auto"/>
        <w:ind w:left="1985" w:hanging="567"/>
        <w:jc w:val="both"/>
        <w:rPr>
          <w:i/>
          <w:iCs/>
          <w:sz w:val="24"/>
        </w:rPr>
      </w:pPr>
      <w:hyperlink r:id="rId10" w:tgtFrame="main" w:history="1">
        <w:r w:rsidR="000F4D01" w:rsidRPr="000F4D01">
          <w:rPr>
            <w:rFonts w:eastAsia="Times New Roman"/>
            <w:i/>
            <w:iCs/>
            <w:sz w:val="24"/>
            <w:lang w:eastAsia="en-ZA"/>
          </w:rPr>
          <w:t>(3)</w:t>
        </w:r>
      </w:hyperlink>
      <w:r w:rsidR="000F4D01" w:rsidRPr="000F4D01">
        <w:rPr>
          <w:rFonts w:eastAsia="Times New Roman"/>
          <w:i/>
          <w:iCs/>
          <w:sz w:val="24"/>
          <w:lang w:eastAsia="en-ZA"/>
        </w:rPr>
        <w:t> </w:t>
      </w:r>
      <w:r w:rsidR="000F4D01" w:rsidRPr="000F4D01">
        <w:rPr>
          <w:rFonts w:eastAsia="Times New Roman"/>
          <w:i/>
          <w:iCs/>
          <w:sz w:val="24"/>
          <w:lang w:eastAsia="en-ZA"/>
        </w:rPr>
        <w:tab/>
        <w:t>Subject to section 86 (9) and (10), a credit provider who receives notice of court proceedings contemplated in section 83 or 85, or notice in terms of section 86 (4) (b) (i), may not exercise or enforce by litigation or other judicial process any right or security under that credit agreement until-</w:t>
      </w:r>
      <w:bookmarkStart w:id="4" w:name="0-0-0-79215"/>
      <w:bookmarkEnd w:id="4"/>
    </w:p>
    <w:p w14:paraId="187060E5" w14:textId="77777777" w:rsidR="000F4D01" w:rsidRDefault="000F4D01" w:rsidP="000F4D01">
      <w:pPr>
        <w:tabs>
          <w:tab w:val="left" w:pos="0"/>
          <w:tab w:val="left" w:pos="851"/>
          <w:tab w:val="left" w:pos="1701"/>
          <w:tab w:val="left" w:pos="2835"/>
          <w:tab w:val="right" w:pos="8595"/>
        </w:tabs>
        <w:spacing w:before="480" w:after="0" w:line="360" w:lineRule="auto"/>
        <w:ind w:left="2552" w:hanging="567"/>
        <w:jc w:val="both"/>
        <w:rPr>
          <w:i/>
          <w:iCs/>
          <w:sz w:val="24"/>
        </w:rPr>
      </w:pPr>
      <w:r w:rsidRPr="000F4D01">
        <w:rPr>
          <w:rFonts w:eastAsia="Times New Roman"/>
          <w:i/>
          <w:iCs/>
          <w:sz w:val="24"/>
          <w:lang w:eastAsia="en-ZA"/>
        </w:rPr>
        <w:t>(a)   </w:t>
      </w:r>
      <w:r>
        <w:rPr>
          <w:rFonts w:eastAsia="Times New Roman"/>
          <w:i/>
          <w:iCs/>
          <w:sz w:val="24"/>
          <w:lang w:eastAsia="en-ZA"/>
        </w:rPr>
        <w:tab/>
      </w:r>
      <w:r w:rsidRPr="000F4D01">
        <w:rPr>
          <w:rFonts w:eastAsia="Times New Roman"/>
          <w:i/>
          <w:iCs/>
          <w:sz w:val="24"/>
          <w:lang w:eastAsia="en-ZA"/>
        </w:rPr>
        <w:t>the consumer is in default under the credit agreement; and</w:t>
      </w:r>
      <w:bookmarkStart w:id="5" w:name="0-0-0-79217"/>
      <w:bookmarkEnd w:id="5"/>
    </w:p>
    <w:p w14:paraId="2A41F215" w14:textId="77777777" w:rsidR="000F4D01" w:rsidRDefault="000F4D01" w:rsidP="000F4D01">
      <w:pPr>
        <w:tabs>
          <w:tab w:val="left" w:pos="0"/>
          <w:tab w:val="left" w:pos="851"/>
          <w:tab w:val="left" w:pos="1701"/>
          <w:tab w:val="left" w:pos="2835"/>
          <w:tab w:val="right" w:pos="8595"/>
        </w:tabs>
        <w:spacing w:before="480" w:after="0" w:line="360" w:lineRule="auto"/>
        <w:ind w:left="2552" w:hanging="567"/>
        <w:jc w:val="both"/>
        <w:rPr>
          <w:i/>
          <w:iCs/>
          <w:sz w:val="24"/>
        </w:rPr>
      </w:pPr>
      <w:r w:rsidRPr="000F4D01">
        <w:rPr>
          <w:rFonts w:eastAsia="Times New Roman"/>
          <w:i/>
          <w:iCs/>
          <w:sz w:val="24"/>
          <w:lang w:eastAsia="en-ZA"/>
        </w:rPr>
        <w:t xml:space="preserve"> (b)   one of the following has occurred:</w:t>
      </w:r>
      <w:bookmarkStart w:id="6" w:name="0-0-0-79219"/>
      <w:bookmarkEnd w:id="6"/>
    </w:p>
    <w:p w14:paraId="3EF0CEA5" w14:textId="660891DB" w:rsidR="000F4D01" w:rsidRDefault="000F4D01" w:rsidP="000F4D01">
      <w:pPr>
        <w:tabs>
          <w:tab w:val="left" w:pos="0"/>
          <w:tab w:val="left" w:pos="851"/>
          <w:tab w:val="left" w:pos="1701"/>
          <w:tab w:val="left" w:pos="2835"/>
          <w:tab w:val="right" w:pos="8595"/>
        </w:tabs>
        <w:spacing w:before="480" w:after="0" w:line="360" w:lineRule="auto"/>
        <w:ind w:left="3119" w:hanging="567"/>
        <w:jc w:val="both"/>
        <w:rPr>
          <w:i/>
          <w:iCs/>
          <w:sz w:val="24"/>
        </w:rPr>
      </w:pPr>
      <w:r w:rsidRPr="000F4D01">
        <w:rPr>
          <w:rFonts w:eastAsia="Times New Roman"/>
          <w:i/>
          <w:iCs/>
          <w:sz w:val="24"/>
          <w:lang w:eastAsia="en-ZA"/>
        </w:rPr>
        <w:lastRenderedPageBreak/>
        <w:t>(i)   </w:t>
      </w:r>
      <w:r>
        <w:rPr>
          <w:rFonts w:eastAsia="Times New Roman"/>
          <w:i/>
          <w:iCs/>
          <w:sz w:val="24"/>
          <w:lang w:eastAsia="en-ZA"/>
        </w:rPr>
        <w:tab/>
      </w:r>
      <w:r w:rsidR="00251785">
        <w:rPr>
          <w:rFonts w:eastAsia="Times New Roman"/>
          <w:i/>
          <w:iCs/>
          <w:sz w:val="24"/>
          <w:lang w:eastAsia="en-ZA"/>
        </w:rPr>
        <w:t>a</w:t>
      </w:r>
      <w:r w:rsidRPr="000F4D01">
        <w:rPr>
          <w:rFonts w:eastAsia="Times New Roman"/>
          <w:i/>
          <w:iCs/>
          <w:sz w:val="24"/>
          <w:lang w:eastAsia="en-ZA"/>
        </w:rPr>
        <w:t>n event contemplated in subsection (1) (a) through (c); or</w:t>
      </w:r>
      <w:bookmarkStart w:id="7" w:name="0-0-0-79221"/>
      <w:bookmarkEnd w:id="7"/>
    </w:p>
    <w:p w14:paraId="37346091" w14:textId="77777777" w:rsidR="001C3AC1" w:rsidRPr="000F4D01" w:rsidRDefault="000F4D01" w:rsidP="000F4D01">
      <w:pPr>
        <w:tabs>
          <w:tab w:val="left" w:pos="0"/>
          <w:tab w:val="left" w:pos="851"/>
          <w:tab w:val="left" w:pos="1701"/>
          <w:tab w:val="left" w:pos="2835"/>
          <w:tab w:val="right" w:pos="8595"/>
        </w:tabs>
        <w:spacing w:before="480" w:after="0" w:line="360" w:lineRule="auto"/>
        <w:ind w:left="3119" w:hanging="567"/>
        <w:jc w:val="both"/>
        <w:rPr>
          <w:i/>
          <w:iCs/>
          <w:sz w:val="24"/>
        </w:rPr>
      </w:pPr>
      <w:r w:rsidRPr="000F4D01">
        <w:rPr>
          <w:rFonts w:eastAsia="Times New Roman"/>
          <w:i/>
          <w:iCs/>
          <w:sz w:val="24"/>
          <w:lang w:eastAsia="en-ZA"/>
        </w:rPr>
        <w:t>(ii)   </w:t>
      </w:r>
      <w:r>
        <w:rPr>
          <w:rFonts w:eastAsia="Times New Roman"/>
          <w:i/>
          <w:iCs/>
          <w:sz w:val="24"/>
          <w:lang w:eastAsia="en-ZA"/>
        </w:rPr>
        <w:tab/>
      </w:r>
      <w:r w:rsidRPr="000F4D01">
        <w:rPr>
          <w:rFonts w:eastAsia="Times New Roman"/>
          <w:i/>
          <w:iCs/>
          <w:sz w:val="24"/>
          <w:lang w:eastAsia="en-ZA"/>
        </w:rPr>
        <w:t>the consumer defaults on any obligation in terms of a re-arrangement agreed between the consumer and credit providers, or ordered by a court or the Tribunal.</w:t>
      </w:r>
      <w:r w:rsidR="001C3AC1">
        <w:rPr>
          <w:sz w:val="24"/>
        </w:rPr>
        <w:t xml:space="preserve">” </w:t>
      </w:r>
    </w:p>
    <w:p w14:paraId="6F695F3C" w14:textId="62DC7ADA" w:rsidR="001C3AC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[37]</w:t>
      </w:r>
      <w:r>
        <w:rPr>
          <w:sz w:val="24"/>
        </w:rPr>
        <w:tab/>
      </w:r>
      <w:r w:rsidR="000F4D01">
        <w:rPr>
          <w:sz w:val="24"/>
        </w:rPr>
        <w:t>Section 130(4)(e) provides that:</w:t>
      </w:r>
      <w:r w:rsidR="001C3AC1">
        <w:rPr>
          <w:sz w:val="24"/>
        </w:rPr>
        <w:t xml:space="preserve">  </w:t>
      </w:r>
    </w:p>
    <w:p w14:paraId="3877625B" w14:textId="77777777" w:rsidR="000F4D01" w:rsidRDefault="001C3AC1" w:rsidP="000F4D01">
      <w:pPr>
        <w:tabs>
          <w:tab w:val="left" w:pos="0"/>
          <w:tab w:val="left" w:pos="851"/>
          <w:tab w:val="left" w:pos="1701"/>
          <w:tab w:val="left" w:pos="2835"/>
          <w:tab w:val="right" w:pos="8595"/>
        </w:tabs>
        <w:spacing w:before="480" w:after="0" w:line="360" w:lineRule="auto"/>
        <w:ind w:left="1418" w:hanging="567"/>
        <w:jc w:val="both"/>
        <w:rPr>
          <w:i/>
          <w:iCs/>
          <w:sz w:val="24"/>
        </w:rPr>
      </w:pPr>
      <w:r>
        <w:rPr>
          <w:sz w:val="24"/>
        </w:rPr>
        <w:t>“</w:t>
      </w:r>
      <w:hyperlink r:id="rId11" w:tgtFrame="main" w:history="1">
        <w:r w:rsidR="000F4D01" w:rsidRPr="003729B4">
          <w:rPr>
            <w:rFonts w:eastAsia="Times New Roman"/>
            <w:b/>
            <w:bCs/>
            <w:i/>
            <w:iCs/>
            <w:sz w:val="24"/>
            <w:lang w:eastAsia="en-ZA"/>
          </w:rPr>
          <w:t>130</w:t>
        </w:r>
      </w:hyperlink>
      <w:r w:rsidR="000F4D01" w:rsidRPr="003729B4">
        <w:rPr>
          <w:rFonts w:eastAsia="Times New Roman"/>
          <w:b/>
          <w:bCs/>
          <w:i/>
          <w:iCs/>
          <w:sz w:val="24"/>
          <w:lang w:eastAsia="en-ZA"/>
        </w:rPr>
        <w:t> </w:t>
      </w:r>
      <w:r w:rsidR="000F4D01">
        <w:rPr>
          <w:rFonts w:eastAsia="Times New Roman"/>
          <w:b/>
          <w:bCs/>
          <w:i/>
          <w:iCs/>
          <w:sz w:val="24"/>
          <w:lang w:eastAsia="en-ZA"/>
        </w:rPr>
        <w:tab/>
      </w:r>
      <w:r w:rsidR="000F4D01" w:rsidRPr="003729B4">
        <w:rPr>
          <w:rFonts w:eastAsia="Times New Roman"/>
          <w:b/>
          <w:bCs/>
          <w:i/>
          <w:iCs/>
          <w:sz w:val="24"/>
          <w:lang w:eastAsia="en-ZA"/>
        </w:rPr>
        <w:t xml:space="preserve"> Debt procedures in a Court</w:t>
      </w:r>
      <w:bookmarkStart w:id="8" w:name="0-0-0-80265"/>
      <w:bookmarkStart w:id="9" w:name="0-0-0-80297"/>
      <w:bookmarkStart w:id="10" w:name="0-0-0-80321"/>
      <w:bookmarkEnd w:id="8"/>
      <w:bookmarkEnd w:id="9"/>
      <w:bookmarkEnd w:id="10"/>
    </w:p>
    <w:p w14:paraId="570503B7" w14:textId="77777777" w:rsidR="000F4D01" w:rsidRDefault="0046578F" w:rsidP="000F4D01">
      <w:pPr>
        <w:tabs>
          <w:tab w:val="left" w:pos="0"/>
          <w:tab w:val="left" w:pos="851"/>
          <w:tab w:val="left" w:pos="1701"/>
          <w:tab w:val="left" w:pos="2835"/>
          <w:tab w:val="right" w:pos="8595"/>
        </w:tabs>
        <w:spacing w:before="480" w:after="0" w:line="360" w:lineRule="auto"/>
        <w:ind w:left="1985" w:hanging="567"/>
        <w:jc w:val="both"/>
        <w:rPr>
          <w:i/>
          <w:iCs/>
          <w:sz w:val="24"/>
        </w:rPr>
      </w:pPr>
      <w:hyperlink r:id="rId12" w:tgtFrame="main" w:history="1">
        <w:r w:rsidR="000F4D01" w:rsidRPr="003729B4">
          <w:rPr>
            <w:rFonts w:eastAsia="Times New Roman"/>
            <w:i/>
            <w:iCs/>
            <w:sz w:val="24"/>
            <w:lang w:eastAsia="en-ZA"/>
          </w:rPr>
          <w:t>(4)</w:t>
        </w:r>
      </w:hyperlink>
      <w:r w:rsidR="000F4D01" w:rsidRPr="003729B4">
        <w:rPr>
          <w:rFonts w:eastAsia="Times New Roman"/>
          <w:i/>
          <w:iCs/>
          <w:sz w:val="24"/>
          <w:lang w:eastAsia="en-ZA"/>
        </w:rPr>
        <w:t> </w:t>
      </w:r>
      <w:r w:rsidR="000F4D01">
        <w:rPr>
          <w:rFonts w:eastAsia="Times New Roman"/>
          <w:i/>
          <w:iCs/>
          <w:sz w:val="24"/>
          <w:lang w:eastAsia="en-ZA"/>
        </w:rPr>
        <w:tab/>
      </w:r>
      <w:r w:rsidR="000F4D01" w:rsidRPr="003729B4">
        <w:rPr>
          <w:rFonts w:eastAsia="Times New Roman"/>
          <w:i/>
          <w:iCs/>
          <w:sz w:val="24"/>
          <w:lang w:eastAsia="en-ZA"/>
        </w:rPr>
        <w:t>In any proceedings contemplated in this section, if the court determines that-</w:t>
      </w:r>
      <w:bookmarkStart w:id="11" w:name="0-0-0-80327"/>
      <w:bookmarkEnd w:id="11"/>
    </w:p>
    <w:p w14:paraId="766C6855" w14:textId="35A4B90C" w:rsidR="000F4D01" w:rsidRDefault="0046578F" w:rsidP="000F4D01">
      <w:pPr>
        <w:tabs>
          <w:tab w:val="left" w:pos="0"/>
          <w:tab w:val="left" w:pos="851"/>
          <w:tab w:val="left" w:pos="1701"/>
          <w:tab w:val="left" w:pos="2835"/>
          <w:tab w:val="right" w:pos="8595"/>
        </w:tabs>
        <w:spacing w:before="480" w:after="0" w:line="360" w:lineRule="auto"/>
        <w:ind w:left="1985" w:hanging="567"/>
        <w:jc w:val="both"/>
        <w:rPr>
          <w:i/>
          <w:iCs/>
          <w:sz w:val="24"/>
        </w:rPr>
      </w:pPr>
      <w:hyperlink r:id="rId13" w:tgtFrame="main" w:history="1">
        <w:r w:rsidR="000F4D01" w:rsidRPr="003729B4">
          <w:rPr>
            <w:rFonts w:eastAsia="Times New Roman"/>
            <w:i/>
            <w:iCs/>
            <w:sz w:val="24"/>
            <w:lang w:eastAsia="en-ZA"/>
          </w:rPr>
          <w:t>(b)</w:t>
        </w:r>
      </w:hyperlink>
      <w:r w:rsidR="000F4D01" w:rsidRPr="003729B4">
        <w:rPr>
          <w:rFonts w:eastAsia="Times New Roman"/>
          <w:i/>
          <w:iCs/>
          <w:sz w:val="24"/>
          <w:lang w:eastAsia="en-ZA"/>
        </w:rPr>
        <w:t>   </w:t>
      </w:r>
      <w:r w:rsidR="000F4D01">
        <w:rPr>
          <w:rFonts w:eastAsia="Times New Roman"/>
          <w:i/>
          <w:iCs/>
          <w:sz w:val="24"/>
          <w:lang w:eastAsia="en-ZA"/>
        </w:rPr>
        <w:tab/>
      </w:r>
      <w:r w:rsidR="000F4D01" w:rsidRPr="003729B4">
        <w:rPr>
          <w:rFonts w:eastAsia="Times New Roman"/>
          <w:i/>
          <w:iCs/>
          <w:sz w:val="24"/>
          <w:lang w:eastAsia="en-ZA"/>
        </w:rPr>
        <w:t>the credit provider has not complied with the relevant provisions of this Act, as</w:t>
      </w:r>
      <w:r w:rsidR="00F52A1A">
        <w:rPr>
          <w:rFonts w:eastAsia="Times New Roman"/>
          <w:i/>
          <w:iCs/>
          <w:sz w:val="24"/>
          <w:lang w:eastAsia="en-ZA"/>
        </w:rPr>
        <w:t>:</w:t>
      </w:r>
      <w:r w:rsidR="000F4D01" w:rsidRPr="003729B4">
        <w:rPr>
          <w:rFonts w:eastAsia="Times New Roman"/>
          <w:i/>
          <w:iCs/>
          <w:sz w:val="24"/>
          <w:lang w:eastAsia="en-ZA"/>
        </w:rPr>
        <w:t xml:space="preserve"> </w:t>
      </w:r>
      <w:bookmarkStart w:id="12" w:name="0-0-0-80351"/>
      <w:bookmarkEnd w:id="12"/>
    </w:p>
    <w:p w14:paraId="37EB7173" w14:textId="77777777" w:rsidR="001C3AC1" w:rsidRPr="000F4D01" w:rsidRDefault="000F4D01" w:rsidP="000F4D01">
      <w:pPr>
        <w:tabs>
          <w:tab w:val="left" w:pos="0"/>
          <w:tab w:val="left" w:pos="851"/>
          <w:tab w:val="left" w:pos="1701"/>
          <w:tab w:val="left" w:pos="2835"/>
          <w:tab w:val="right" w:pos="8595"/>
        </w:tabs>
        <w:spacing w:before="480" w:after="0" w:line="360" w:lineRule="auto"/>
        <w:ind w:left="1985" w:hanging="567"/>
        <w:jc w:val="both"/>
        <w:rPr>
          <w:i/>
          <w:iCs/>
          <w:sz w:val="24"/>
        </w:rPr>
      </w:pPr>
      <w:r w:rsidRPr="003729B4">
        <w:rPr>
          <w:rFonts w:eastAsia="Times New Roman"/>
          <w:i/>
          <w:iCs/>
          <w:sz w:val="24"/>
          <w:lang w:eastAsia="en-ZA"/>
        </w:rPr>
        <w:t xml:space="preserve"> (e)   the credit agreement is either suspended or subject to a debt re-arrangement order or agreement, and the consumer has complied with that order or agreement, the court must dismiss the matter.</w:t>
      </w:r>
      <w:r w:rsidR="001C3AC1">
        <w:rPr>
          <w:sz w:val="24"/>
        </w:rPr>
        <w:t xml:space="preserve">” </w:t>
      </w:r>
    </w:p>
    <w:p w14:paraId="5E6C2A42" w14:textId="7DBD5114" w:rsidR="001C3AC1"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[38]</w:t>
      </w:r>
      <w:r>
        <w:rPr>
          <w:sz w:val="24"/>
        </w:rPr>
        <w:tab/>
      </w:r>
      <w:r w:rsidR="001C3AC1">
        <w:rPr>
          <w:sz w:val="24"/>
        </w:rPr>
        <w:t xml:space="preserve">  </w:t>
      </w:r>
      <w:r w:rsidR="00E30809">
        <w:rPr>
          <w:sz w:val="24"/>
        </w:rPr>
        <w:t xml:space="preserve">In ascertaining whether the court order and debt review process could come to an end by the effluxion of time, the Defendants submitted that: </w:t>
      </w:r>
    </w:p>
    <w:p w14:paraId="769E0BE0" w14:textId="09A0ED53" w:rsidR="00E30809"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[38.1]</w:t>
      </w:r>
      <w:r>
        <w:rPr>
          <w:sz w:val="24"/>
        </w:rPr>
        <w:tab/>
      </w:r>
      <w:r w:rsidR="00E30809">
        <w:rPr>
          <w:sz w:val="24"/>
        </w:rPr>
        <w:t>there are no provisions in the NCA to that effect;</w:t>
      </w:r>
      <w:r w:rsidR="003D52CD">
        <w:rPr>
          <w:sz w:val="24"/>
        </w:rPr>
        <w:t xml:space="preserve"> and</w:t>
      </w:r>
      <w:r w:rsidR="00E30809">
        <w:rPr>
          <w:sz w:val="24"/>
        </w:rPr>
        <w:t xml:space="preserve"> </w:t>
      </w:r>
    </w:p>
    <w:p w14:paraId="283A91C7" w14:textId="21385851" w:rsidR="00E30809"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[38.2]</w:t>
      </w:r>
      <w:r>
        <w:rPr>
          <w:sz w:val="24"/>
        </w:rPr>
        <w:tab/>
      </w:r>
      <w:r w:rsidR="00E30809">
        <w:rPr>
          <w:sz w:val="24"/>
        </w:rPr>
        <w:t>the only available avenue</w:t>
      </w:r>
      <w:r w:rsidR="003D52CD">
        <w:rPr>
          <w:sz w:val="24"/>
        </w:rPr>
        <w:t xml:space="preserve">s </w:t>
      </w:r>
      <w:r w:rsidR="00E30809">
        <w:rPr>
          <w:sz w:val="24"/>
        </w:rPr>
        <w:t xml:space="preserve">to exit the </w:t>
      </w:r>
      <w:r w:rsidR="003D52CD">
        <w:rPr>
          <w:sz w:val="24"/>
        </w:rPr>
        <w:t>d</w:t>
      </w:r>
      <w:r w:rsidR="00E30809">
        <w:rPr>
          <w:sz w:val="24"/>
        </w:rPr>
        <w:t xml:space="preserve">ebt </w:t>
      </w:r>
      <w:r w:rsidR="003D52CD">
        <w:rPr>
          <w:sz w:val="24"/>
        </w:rPr>
        <w:t>r</w:t>
      </w:r>
      <w:r w:rsidR="00E30809">
        <w:rPr>
          <w:sz w:val="24"/>
        </w:rPr>
        <w:t xml:space="preserve">eview </w:t>
      </w:r>
      <w:r w:rsidR="003D52CD">
        <w:rPr>
          <w:sz w:val="24"/>
        </w:rPr>
        <w:t>p</w:t>
      </w:r>
      <w:r w:rsidR="00E30809">
        <w:rPr>
          <w:sz w:val="24"/>
        </w:rPr>
        <w:t>rocess are contained in sections 71 and 88 of the NC</w:t>
      </w:r>
      <w:r w:rsidR="003D52CD">
        <w:rPr>
          <w:sz w:val="24"/>
        </w:rPr>
        <w:t xml:space="preserve">A.  In this regard, the </w:t>
      </w:r>
      <w:r w:rsidR="003D52CD">
        <w:rPr>
          <w:sz w:val="24"/>
        </w:rPr>
        <w:lastRenderedPageBreak/>
        <w:t xml:space="preserve">Court was referred to </w:t>
      </w:r>
      <w:r w:rsidR="00C3751E" w:rsidRPr="00D12667">
        <w:rPr>
          <w:i/>
          <w:iCs/>
          <w:sz w:val="24"/>
        </w:rPr>
        <w:t>Van Vuuren v Roets and Others (Banking Association of South Africa and Others as amici curiae)</w:t>
      </w:r>
      <w:r w:rsidR="00C3751E">
        <w:rPr>
          <w:rStyle w:val="FootnoteReference"/>
          <w:sz w:val="24"/>
        </w:rPr>
        <w:footnoteReference w:id="4"/>
      </w:r>
      <w:r w:rsidR="00C3751E">
        <w:rPr>
          <w:sz w:val="24"/>
        </w:rPr>
        <w:t xml:space="preserve"> where </w:t>
      </w:r>
      <w:r w:rsidR="003D52CD">
        <w:rPr>
          <w:sz w:val="24"/>
        </w:rPr>
        <w:t xml:space="preserve">it was </w:t>
      </w:r>
      <w:r w:rsidR="00C3751E">
        <w:rPr>
          <w:sz w:val="24"/>
        </w:rPr>
        <w:t xml:space="preserve">stated that the consumer is bound to the provisions of section 88(1)(c) and 88(2) until all </w:t>
      </w:r>
      <w:r w:rsidR="003D52CD">
        <w:rPr>
          <w:sz w:val="24"/>
        </w:rPr>
        <w:t xml:space="preserve">of </w:t>
      </w:r>
      <w:r w:rsidR="00C3751E">
        <w:rPr>
          <w:sz w:val="24"/>
        </w:rPr>
        <w:t xml:space="preserve">the consumer’s obligations under a rearrangement are discharged.  </w:t>
      </w:r>
    </w:p>
    <w:p w14:paraId="4F62D333" w14:textId="6B82FAED" w:rsidR="00C3751E"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[39]</w:t>
      </w:r>
      <w:r>
        <w:rPr>
          <w:sz w:val="24"/>
        </w:rPr>
        <w:tab/>
      </w:r>
      <w:r w:rsidR="00C3751E">
        <w:rPr>
          <w:sz w:val="24"/>
        </w:rPr>
        <w:t xml:space="preserve">Insofar as the question of whether a creditor may institute legal action while the </w:t>
      </w:r>
      <w:r w:rsidR="001E32D6">
        <w:rPr>
          <w:sz w:val="24"/>
        </w:rPr>
        <w:t>d</w:t>
      </w:r>
      <w:r w:rsidR="00C3751E">
        <w:rPr>
          <w:sz w:val="24"/>
        </w:rPr>
        <w:t xml:space="preserve">ebt </w:t>
      </w:r>
      <w:r w:rsidR="001E32D6">
        <w:rPr>
          <w:sz w:val="24"/>
        </w:rPr>
        <w:t>r</w:t>
      </w:r>
      <w:r w:rsidR="00C3751E">
        <w:rPr>
          <w:sz w:val="24"/>
        </w:rPr>
        <w:t xml:space="preserve">eview </w:t>
      </w:r>
      <w:r w:rsidR="001E32D6">
        <w:rPr>
          <w:sz w:val="24"/>
        </w:rPr>
        <w:t>p</w:t>
      </w:r>
      <w:r w:rsidR="00C3751E">
        <w:rPr>
          <w:sz w:val="24"/>
        </w:rPr>
        <w:t xml:space="preserve">rocess and a debt restructuring order is in effect and the consumer is complying with the order, the Defendants submitted that: </w:t>
      </w:r>
    </w:p>
    <w:p w14:paraId="1D4D1BA1" w14:textId="3F98FF32" w:rsidR="00C3751E"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[39.1]</w:t>
      </w:r>
      <w:r>
        <w:rPr>
          <w:sz w:val="24"/>
        </w:rPr>
        <w:tab/>
      </w:r>
      <w:r w:rsidR="00C3751E">
        <w:rPr>
          <w:sz w:val="24"/>
        </w:rPr>
        <w:t xml:space="preserve">it is clear from the wording of section 88(1) of the NCA that the consumer’s rights to contract on credit as well as the creditor’s rights to institute legal action against the consumer are effectively frozen; and </w:t>
      </w:r>
    </w:p>
    <w:p w14:paraId="3229A9A2" w14:textId="220BF3E9" w:rsidR="00C3751E"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[39.2]</w:t>
      </w:r>
      <w:r>
        <w:rPr>
          <w:sz w:val="24"/>
        </w:rPr>
        <w:tab/>
      </w:r>
      <w:r w:rsidR="00C3751E">
        <w:rPr>
          <w:sz w:val="24"/>
        </w:rPr>
        <w:t xml:space="preserve">in accordance with section 88(2) that this state of affairs prevails until such time as the customer fulfils its obligation in terms of the debt restructuring order or consolidated agreement.  </w:t>
      </w:r>
    </w:p>
    <w:p w14:paraId="1BF94C1B" w14:textId="7A4AC8F2" w:rsidR="001E32D6"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[40]</w:t>
      </w:r>
      <w:r>
        <w:rPr>
          <w:sz w:val="24"/>
        </w:rPr>
        <w:tab/>
      </w:r>
      <w:r w:rsidR="001E32D6">
        <w:rPr>
          <w:sz w:val="24"/>
        </w:rPr>
        <w:t xml:space="preserve">Provided the interpretation of the court order contended for by the Defendants is correct, it would follow that they are still under debt review and the </w:t>
      </w:r>
      <w:r w:rsidR="00B11B98">
        <w:rPr>
          <w:sz w:val="24"/>
        </w:rPr>
        <w:t>aforesaid provisions of the NCA would apply.</w:t>
      </w:r>
      <w:r w:rsidR="001E32D6">
        <w:rPr>
          <w:sz w:val="24"/>
        </w:rPr>
        <w:t xml:space="preserve"> </w:t>
      </w:r>
    </w:p>
    <w:p w14:paraId="035D83E5" w14:textId="1B3278A3" w:rsidR="00C3751E"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lastRenderedPageBreak/>
        <w:t>[41]</w:t>
      </w:r>
      <w:r>
        <w:rPr>
          <w:sz w:val="24"/>
        </w:rPr>
        <w:tab/>
      </w:r>
      <w:r w:rsidR="00C3751E">
        <w:rPr>
          <w:sz w:val="24"/>
        </w:rPr>
        <w:t xml:space="preserve">In the light of the above, I am </w:t>
      </w:r>
      <w:r w:rsidR="009B28EE">
        <w:rPr>
          <w:sz w:val="24"/>
        </w:rPr>
        <w:t>of the view that su</w:t>
      </w:r>
      <w:r w:rsidR="00B11B98">
        <w:rPr>
          <w:sz w:val="24"/>
        </w:rPr>
        <w:t>mmary judgment</w:t>
      </w:r>
      <w:r w:rsidR="009B28EE">
        <w:rPr>
          <w:sz w:val="24"/>
        </w:rPr>
        <w:t xml:space="preserve"> should not be granted.</w:t>
      </w:r>
    </w:p>
    <w:p w14:paraId="6358080C" w14:textId="46EA079A" w:rsidR="00B11B98" w:rsidRDefault="00D72AD5" w:rsidP="00D72AD5">
      <w:pPr>
        <w:tabs>
          <w:tab w:val="left" w:pos="0"/>
          <w:tab w:val="left" w:pos="851"/>
          <w:tab w:val="left" w:pos="1701"/>
          <w:tab w:val="left" w:pos="2835"/>
          <w:tab w:val="right" w:pos="8595"/>
        </w:tabs>
        <w:spacing w:before="480" w:after="0" w:line="480" w:lineRule="auto"/>
        <w:jc w:val="both"/>
        <w:rPr>
          <w:sz w:val="24"/>
        </w:rPr>
      </w:pPr>
      <w:r>
        <w:rPr>
          <w:sz w:val="24"/>
        </w:rPr>
        <w:t>[42]</w:t>
      </w:r>
      <w:r>
        <w:rPr>
          <w:sz w:val="24"/>
        </w:rPr>
        <w:tab/>
      </w:r>
      <w:r w:rsidR="0062063D">
        <w:rPr>
          <w:sz w:val="24"/>
        </w:rPr>
        <w:t xml:space="preserve">Insofar as costs are concerned, I have been requested </w:t>
      </w:r>
      <w:r w:rsidR="00B11B98">
        <w:rPr>
          <w:sz w:val="24"/>
        </w:rPr>
        <w:t xml:space="preserve">by the Defendants </w:t>
      </w:r>
      <w:r w:rsidR="0062063D">
        <w:rPr>
          <w:sz w:val="24"/>
        </w:rPr>
        <w:t xml:space="preserve">to order </w:t>
      </w:r>
      <w:r w:rsidR="009B28EE">
        <w:rPr>
          <w:sz w:val="24"/>
        </w:rPr>
        <w:t xml:space="preserve">that </w:t>
      </w:r>
      <w:r w:rsidR="0062063D">
        <w:rPr>
          <w:sz w:val="24"/>
        </w:rPr>
        <w:t xml:space="preserve">the costs </w:t>
      </w:r>
      <w:r w:rsidR="009B28EE">
        <w:rPr>
          <w:sz w:val="24"/>
        </w:rPr>
        <w:t xml:space="preserve">be payable </w:t>
      </w:r>
      <w:r w:rsidR="0062063D">
        <w:rPr>
          <w:sz w:val="24"/>
        </w:rPr>
        <w:t>on an attorney and client scale.  In this regard, the Defendants</w:t>
      </w:r>
      <w:r w:rsidR="009B28EE">
        <w:rPr>
          <w:sz w:val="24"/>
        </w:rPr>
        <w:t xml:space="preserve"> submitted</w:t>
      </w:r>
      <w:r w:rsidR="0062063D">
        <w:rPr>
          <w:sz w:val="24"/>
        </w:rPr>
        <w:t xml:space="preserve"> </w:t>
      </w:r>
      <w:r w:rsidR="00B11B98" w:rsidRPr="00B11B98">
        <w:rPr>
          <w:i/>
          <w:iCs/>
          <w:sz w:val="24"/>
        </w:rPr>
        <w:t xml:space="preserve">inter alia  </w:t>
      </w:r>
      <w:r w:rsidR="0062063D">
        <w:rPr>
          <w:sz w:val="24"/>
        </w:rPr>
        <w:t>that:</w:t>
      </w:r>
    </w:p>
    <w:p w14:paraId="066780E7" w14:textId="0F18D683" w:rsidR="00B11B98"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[42.1]</w:t>
      </w:r>
      <w:r>
        <w:rPr>
          <w:sz w:val="24"/>
        </w:rPr>
        <w:tab/>
      </w:r>
      <w:r w:rsidR="00B11B98">
        <w:rPr>
          <w:sz w:val="24"/>
        </w:rPr>
        <w:t xml:space="preserve">the Defendants pleaded that they were declared overindebted and were subject to the court order; </w:t>
      </w:r>
    </w:p>
    <w:p w14:paraId="4BC8DE95" w14:textId="60AE0594" w:rsidR="00B11B98"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[42.2]</w:t>
      </w:r>
      <w:r>
        <w:rPr>
          <w:sz w:val="24"/>
        </w:rPr>
        <w:tab/>
      </w:r>
      <w:r w:rsidR="00B11B98">
        <w:rPr>
          <w:sz w:val="24"/>
        </w:rPr>
        <w:t xml:space="preserve">notwithstanding the Plaintiff: (i) being afforded the opportunity to consider the plea; (ii) being aware of the court order and debt review process as well as their effect; </w:t>
      </w:r>
      <w:r w:rsidR="009B28EE">
        <w:rPr>
          <w:sz w:val="24"/>
        </w:rPr>
        <w:t xml:space="preserve">and </w:t>
      </w:r>
      <w:r w:rsidR="00B11B98">
        <w:rPr>
          <w:sz w:val="24"/>
        </w:rPr>
        <w:t xml:space="preserve">(iii) having received and considered the answering affidavit, </w:t>
      </w:r>
      <w:r w:rsidR="009B28EE">
        <w:rPr>
          <w:sz w:val="24"/>
        </w:rPr>
        <w:t xml:space="preserve">it </w:t>
      </w:r>
      <w:r w:rsidR="00B11B98">
        <w:rPr>
          <w:sz w:val="24"/>
        </w:rPr>
        <w:t xml:space="preserve">persisted with the application for summary judgment and elected to institute legal action at great expense to the overindebted Defendants in the High Court; </w:t>
      </w:r>
    </w:p>
    <w:p w14:paraId="740FCA99" w14:textId="7B394F8E" w:rsidR="00B11B98"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Pr>
          <w:sz w:val="24"/>
        </w:rPr>
        <w:t>[42.3]</w:t>
      </w:r>
      <w:r>
        <w:rPr>
          <w:sz w:val="24"/>
        </w:rPr>
        <w:tab/>
      </w:r>
      <w:r w:rsidR="00B11B98">
        <w:rPr>
          <w:sz w:val="24"/>
        </w:rPr>
        <w:t xml:space="preserve">instead of attacking the uncertainty regarding the repayment terms contained in the amended court order through the Rules of Court, the Plaintiff attempted to circumvent the implications and effect of the NCA to expedite the repayment of the loan agreement at great expense to and at the peril of the Defendants; and </w:t>
      </w:r>
    </w:p>
    <w:p w14:paraId="636B4478" w14:textId="4B579D45" w:rsidR="0062063D" w:rsidRPr="003B2FE1" w:rsidRDefault="00D72AD5" w:rsidP="00D72AD5">
      <w:pPr>
        <w:tabs>
          <w:tab w:val="left" w:pos="0"/>
          <w:tab w:val="left" w:pos="851"/>
          <w:tab w:val="left" w:pos="1701"/>
          <w:tab w:val="left" w:pos="2835"/>
          <w:tab w:val="right" w:pos="8595"/>
        </w:tabs>
        <w:spacing w:before="480" w:after="0" w:line="480" w:lineRule="auto"/>
        <w:ind w:left="1701" w:hanging="850"/>
        <w:jc w:val="both"/>
        <w:rPr>
          <w:sz w:val="24"/>
        </w:rPr>
      </w:pPr>
      <w:r w:rsidRPr="003B2FE1">
        <w:rPr>
          <w:sz w:val="24"/>
        </w:rPr>
        <w:t>[42.4]</w:t>
      </w:r>
      <w:r w:rsidRPr="003B2FE1">
        <w:rPr>
          <w:sz w:val="24"/>
        </w:rPr>
        <w:tab/>
      </w:r>
      <w:r w:rsidR="00B11B98" w:rsidRPr="00B11B98">
        <w:rPr>
          <w:sz w:val="24"/>
        </w:rPr>
        <w:t xml:space="preserve">considering the Plaintiff’s frivolous and vexatious attempt to circumvent the remedies available to it in terms of the NCA and </w:t>
      </w:r>
      <w:r w:rsidR="00B11B98" w:rsidRPr="00B11B98">
        <w:rPr>
          <w:sz w:val="24"/>
        </w:rPr>
        <w:lastRenderedPageBreak/>
        <w:t xml:space="preserve">the Rules of Court to cure its uncertainty regarding the repayment terms in terms of the </w:t>
      </w:r>
      <w:r w:rsidR="00B11B98">
        <w:rPr>
          <w:sz w:val="24"/>
        </w:rPr>
        <w:t>cou</w:t>
      </w:r>
      <w:r w:rsidR="00B11B98" w:rsidRPr="00B11B98">
        <w:rPr>
          <w:sz w:val="24"/>
        </w:rPr>
        <w:t xml:space="preserve">rt order, the Plaintiff should be held liable for the costs of this application on an attorney and client scale.  </w:t>
      </w:r>
    </w:p>
    <w:p w14:paraId="6E68BCF2" w14:textId="1678B679" w:rsidR="00B11B98" w:rsidRPr="00B11B98" w:rsidRDefault="003B2FE1" w:rsidP="00B11B98">
      <w:pPr>
        <w:tabs>
          <w:tab w:val="left" w:pos="0"/>
          <w:tab w:val="left" w:pos="851"/>
          <w:tab w:val="left" w:pos="1701"/>
          <w:tab w:val="left" w:pos="2835"/>
          <w:tab w:val="right" w:pos="8595"/>
        </w:tabs>
        <w:spacing w:before="480" w:after="0" w:line="480" w:lineRule="auto"/>
        <w:jc w:val="both"/>
        <w:rPr>
          <w:sz w:val="24"/>
        </w:rPr>
      </w:pPr>
      <w:r>
        <w:rPr>
          <w:sz w:val="24"/>
        </w:rPr>
        <w:t>[44]</w:t>
      </w:r>
      <w:r>
        <w:rPr>
          <w:sz w:val="24"/>
        </w:rPr>
        <w:tab/>
        <w:t xml:space="preserve">In my view, the Plaintiff was entitled to bring the application for summary judgment and there is no evidence that it is an abuse of process or vexatious.  The Plaintiff believes that the interpretation of the court order contended for by it is the correct one and, on this basis and based on legal advice, proceeded with the matter. In the circumstances, I do not believe </w:t>
      </w:r>
      <w:r w:rsidR="009B28EE">
        <w:rPr>
          <w:sz w:val="24"/>
        </w:rPr>
        <w:t xml:space="preserve">that a </w:t>
      </w:r>
      <w:r>
        <w:rPr>
          <w:sz w:val="24"/>
        </w:rPr>
        <w:t>punitive cost</w:t>
      </w:r>
      <w:r w:rsidR="009B28EE">
        <w:rPr>
          <w:sz w:val="24"/>
        </w:rPr>
        <w:t xml:space="preserve"> order is </w:t>
      </w:r>
      <w:r>
        <w:rPr>
          <w:sz w:val="24"/>
        </w:rPr>
        <w:t>warranted.</w:t>
      </w:r>
    </w:p>
    <w:p w14:paraId="24E58DC6" w14:textId="77777777" w:rsidR="00733291" w:rsidRPr="004C5126" w:rsidRDefault="00733291" w:rsidP="00C57B68">
      <w:pPr>
        <w:tabs>
          <w:tab w:val="left" w:pos="0"/>
          <w:tab w:val="left" w:pos="1134"/>
          <w:tab w:val="left" w:pos="2694"/>
          <w:tab w:val="right" w:pos="8595"/>
        </w:tabs>
        <w:spacing w:before="480" w:after="0" w:line="360" w:lineRule="auto"/>
        <w:jc w:val="both"/>
        <w:rPr>
          <w:b/>
          <w:sz w:val="24"/>
        </w:rPr>
      </w:pPr>
      <w:r w:rsidRPr="004C5126">
        <w:rPr>
          <w:b/>
          <w:sz w:val="24"/>
          <w:u w:val="single"/>
        </w:rPr>
        <w:t>ORDER</w:t>
      </w:r>
    </w:p>
    <w:p w14:paraId="1824A334" w14:textId="77777777" w:rsidR="009B28EE" w:rsidRDefault="009B28EE" w:rsidP="00C57B68">
      <w:pPr>
        <w:pStyle w:val="BodyText"/>
        <w:tabs>
          <w:tab w:val="clear" w:pos="720"/>
          <w:tab w:val="left" w:pos="851"/>
          <w:tab w:val="left" w:pos="3686"/>
        </w:tabs>
        <w:spacing w:line="360" w:lineRule="auto"/>
        <w:rPr>
          <w:szCs w:val="24"/>
          <w:lang w:val="en-ZA"/>
        </w:rPr>
      </w:pPr>
    </w:p>
    <w:p w14:paraId="69E988B1" w14:textId="2FFD0139" w:rsidR="00733291" w:rsidRDefault="003B2FE1" w:rsidP="00C57B68">
      <w:pPr>
        <w:pStyle w:val="BodyText"/>
        <w:tabs>
          <w:tab w:val="clear" w:pos="720"/>
          <w:tab w:val="left" w:pos="851"/>
          <w:tab w:val="left" w:pos="3686"/>
        </w:tabs>
        <w:spacing w:line="360" w:lineRule="auto"/>
        <w:rPr>
          <w:szCs w:val="24"/>
          <w:lang w:val="en-ZA"/>
        </w:rPr>
      </w:pPr>
      <w:r>
        <w:rPr>
          <w:szCs w:val="24"/>
          <w:lang w:val="en-ZA"/>
        </w:rPr>
        <w:t>In the circumstances, I make the following order:</w:t>
      </w:r>
    </w:p>
    <w:p w14:paraId="7F04DCCB" w14:textId="77777777" w:rsidR="003B2FE1" w:rsidRDefault="003B2FE1" w:rsidP="00C57B68">
      <w:pPr>
        <w:pStyle w:val="BodyText"/>
        <w:tabs>
          <w:tab w:val="clear" w:pos="720"/>
          <w:tab w:val="left" w:pos="851"/>
          <w:tab w:val="left" w:pos="3686"/>
        </w:tabs>
        <w:spacing w:line="360" w:lineRule="auto"/>
        <w:rPr>
          <w:szCs w:val="24"/>
          <w:lang w:val="en-ZA"/>
        </w:rPr>
      </w:pPr>
    </w:p>
    <w:p w14:paraId="60CDFA55" w14:textId="5B2591CF" w:rsidR="003B2FE1" w:rsidRDefault="00D72AD5" w:rsidP="00D72AD5">
      <w:pPr>
        <w:pStyle w:val="BodyText"/>
        <w:tabs>
          <w:tab w:val="clear" w:pos="720"/>
          <w:tab w:val="left" w:pos="851"/>
          <w:tab w:val="left" w:pos="3686"/>
        </w:tabs>
        <w:spacing w:line="360" w:lineRule="auto"/>
        <w:ind w:left="851" w:hanging="851"/>
        <w:rPr>
          <w:szCs w:val="24"/>
          <w:lang w:val="en-ZA"/>
        </w:rPr>
      </w:pPr>
      <w:r>
        <w:rPr>
          <w:szCs w:val="24"/>
          <w:lang w:val="en-ZA"/>
        </w:rPr>
        <w:t>1.</w:t>
      </w:r>
      <w:r>
        <w:rPr>
          <w:szCs w:val="24"/>
          <w:lang w:val="en-ZA"/>
        </w:rPr>
        <w:tab/>
      </w:r>
      <w:r w:rsidR="003B2FE1">
        <w:rPr>
          <w:szCs w:val="24"/>
          <w:lang w:val="en-ZA"/>
        </w:rPr>
        <w:t>The application for summary judgment is dismissed;</w:t>
      </w:r>
    </w:p>
    <w:p w14:paraId="4EAF66A8" w14:textId="77777777" w:rsidR="003B2FE1" w:rsidRDefault="003B2FE1" w:rsidP="00C57B68">
      <w:pPr>
        <w:pStyle w:val="BodyText"/>
        <w:tabs>
          <w:tab w:val="clear" w:pos="720"/>
          <w:tab w:val="left" w:pos="851"/>
          <w:tab w:val="left" w:pos="3686"/>
        </w:tabs>
        <w:spacing w:line="360" w:lineRule="auto"/>
        <w:ind w:left="851"/>
        <w:rPr>
          <w:szCs w:val="24"/>
          <w:lang w:val="en-ZA"/>
        </w:rPr>
      </w:pPr>
    </w:p>
    <w:p w14:paraId="359FBCE7" w14:textId="57FB34CD" w:rsidR="003B2FE1" w:rsidRDefault="00D72AD5" w:rsidP="00D72AD5">
      <w:pPr>
        <w:pStyle w:val="BodyText"/>
        <w:tabs>
          <w:tab w:val="clear" w:pos="720"/>
          <w:tab w:val="left" w:pos="851"/>
          <w:tab w:val="left" w:pos="3686"/>
        </w:tabs>
        <w:spacing w:line="360" w:lineRule="auto"/>
        <w:ind w:left="851" w:hanging="851"/>
        <w:rPr>
          <w:szCs w:val="24"/>
          <w:lang w:val="en-ZA"/>
        </w:rPr>
      </w:pPr>
      <w:r>
        <w:rPr>
          <w:szCs w:val="24"/>
          <w:lang w:val="en-ZA"/>
        </w:rPr>
        <w:t>2.</w:t>
      </w:r>
      <w:r>
        <w:rPr>
          <w:szCs w:val="24"/>
          <w:lang w:val="en-ZA"/>
        </w:rPr>
        <w:tab/>
      </w:r>
      <w:r w:rsidR="003B2FE1">
        <w:rPr>
          <w:szCs w:val="24"/>
          <w:lang w:val="en-ZA"/>
        </w:rPr>
        <w:t>The Plaintiff is directed to pay the Defendants’ costs incurred in relation to the summary judgment application.</w:t>
      </w:r>
    </w:p>
    <w:p w14:paraId="2FD14267" w14:textId="77777777" w:rsidR="003B2FE1" w:rsidRDefault="003B2FE1" w:rsidP="00C57B68">
      <w:pPr>
        <w:pStyle w:val="BodyText"/>
        <w:tabs>
          <w:tab w:val="clear" w:pos="720"/>
          <w:tab w:val="left" w:pos="851"/>
          <w:tab w:val="left" w:pos="3686"/>
        </w:tabs>
        <w:spacing w:line="360" w:lineRule="auto"/>
        <w:ind w:left="851" w:hanging="851"/>
        <w:rPr>
          <w:szCs w:val="24"/>
          <w:lang w:val="en-ZA"/>
        </w:rPr>
      </w:pPr>
    </w:p>
    <w:p w14:paraId="6F034398" w14:textId="77777777" w:rsidR="003B2FE1" w:rsidRDefault="003B2FE1" w:rsidP="003B2FE1">
      <w:pPr>
        <w:pStyle w:val="BodyText"/>
        <w:tabs>
          <w:tab w:val="clear" w:pos="720"/>
          <w:tab w:val="left" w:pos="851"/>
          <w:tab w:val="left" w:pos="3686"/>
        </w:tabs>
        <w:spacing w:line="240" w:lineRule="auto"/>
        <w:ind w:left="851" w:hanging="851"/>
        <w:rPr>
          <w:szCs w:val="24"/>
          <w:lang w:val="en-ZA"/>
        </w:rPr>
      </w:pPr>
    </w:p>
    <w:p w14:paraId="529F0A28" w14:textId="77777777" w:rsidR="003B2FE1" w:rsidRPr="00F27635" w:rsidRDefault="003B2FE1" w:rsidP="00733291">
      <w:pPr>
        <w:pStyle w:val="BodyText"/>
        <w:tabs>
          <w:tab w:val="clear" w:pos="720"/>
          <w:tab w:val="left" w:pos="851"/>
          <w:tab w:val="left" w:pos="3686"/>
        </w:tabs>
        <w:spacing w:line="240" w:lineRule="auto"/>
        <w:rPr>
          <w:szCs w:val="24"/>
          <w:lang w:val="en-ZA"/>
        </w:rPr>
      </w:pPr>
    </w:p>
    <w:p w14:paraId="3F2DCB4A" w14:textId="77777777" w:rsidR="00733291" w:rsidRPr="00F27635" w:rsidRDefault="00733291" w:rsidP="00733291">
      <w:pPr>
        <w:pStyle w:val="BodyText"/>
        <w:tabs>
          <w:tab w:val="clear" w:pos="720"/>
          <w:tab w:val="left" w:pos="851"/>
          <w:tab w:val="left" w:pos="3686"/>
        </w:tabs>
        <w:spacing w:line="240" w:lineRule="auto"/>
        <w:rPr>
          <w:szCs w:val="24"/>
          <w:lang w:val="en-ZA"/>
        </w:rPr>
      </w:pPr>
    </w:p>
    <w:p w14:paraId="5ADC9951" w14:textId="77777777" w:rsidR="000372FE" w:rsidRPr="00F27635" w:rsidRDefault="00733291" w:rsidP="00733291">
      <w:pPr>
        <w:pStyle w:val="BodyText"/>
        <w:tabs>
          <w:tab w:val="clear" w:pos="720"/>
          <w:tab w:val="left" w:pos="851"/>
          <w:tab w:val="left" w:pos="3686"/>
        </w:tabs>
        <w:spacing w:line="240" w:lineRule="auto"/>
        <w:rPr>
          <w:szCs w:val="24"/>
        </w:rPr>
      </w:pPr>
      <w:r w:rsidRPr="00F27635">
        <w:rPr>
          <w:szCs w:val="24"/>
          <w:lang w:val="en-ZA"/>
        </w:rPr>
        <w:tab/>
      </w:r>
      <w:r w:rsidRPr="00F27635">
        <w:rPr>
          <w:szCs w:val="24"/>
          <w:lang w:val="en-ZA"/>
        </w:rPr>
        <w:tab/>
      </w:r>
      <w:r w:rsidR="000372FE" w:rsidRPr="00F27635">
        <w:rPr>
          <w:szCs w:val="24"/>
        </w:rPr>
        <w:tab/>
      </w:r>
      <w:r w:rsidR="000372FE" w:rsidRPr="00F27635">
        <w:rPr>
          <w:szCs w:val="24"/>
        </w:rPr>
        <w:tab/>
        <w:t>_________________________</w:t>
      </w:r>
    </w:p>
    <w:p w14:paraId="5BF2A48C" w14:textId="77777777" w:rsidR="000372FE" w:rsidRPr="005D49A0" w:rsidRDefault="000372FE" w:rsidP="000372FE">
      <w:pPr>
        <w:pStyle w:val="BodyText"/>
        <w:tabs>
          <w:tab w:val="clear" w:pos="720"/>
          <w:tab w:val="left" w:pos="851"/>
          <w:tab w:val="left" w:pos="3686"/>
        </w:tabs>
        <w:spacing w:line="240" w:lineRule="auto"/>
        <w:rPr>
          <w:b/>
          <w:szCs w:val="24"/>
          <w:lang w:val="en-US"/>
        </w:rPr>
      </w:pPr>
      <w:r w:rsidRPr="00F27635">
        <w:rPr>
          <w:szCs w:val="24"/>
        </w:rPr>
        <w:tab/>
      </w:r>
      <w:r w:rsidRPr="00F27635">
        <w:rPr>
          <w:szCs w:val="24"/>
        </w:rPr>
        <w:tab/>
      </w:r>
      <w:r w:rsidRPr="00F27635">
        <w:rPr>
          <w:szCs w:val="24"/>
        </w:rPr>
        <w:tab/>
      </w:r>
      <w:r w:rsidRPr="00F27635">
        <w:rPr>
          <w:szCs w:val="24"/>
        </w:rPr>
        <w:tab/>
      </w:r>
      <w:r w:rsidR="005D49A0">
        <w:rPr>
          <w:b/>
          <w:szCs w:val="24"/>
          <w:lang w:val="en-US"/>
        </w:rPr>
        <w:t>LG KILMARTIN</w:t>
      </w:r>
    </w:p>
    <w:p w14:paraId="069F6CD3" w14:textId="77777777" w:rsidR="000372FE" w:rsidRPr="00F27635" w:rsidRDefault="000372FE" w:rsidP="000372FE">
      <w:pPr>
        <w:pStyle w:val="BodyText"/>
        <w:tabs>
          <w:tab w:val="clear" w:pos="720"/>
          <w:tab w:val="left" w:pos="851"/>
          <w:tab w:val="left" w:pos="3686"/>
        </w:tabs>
        <w:spacing w:line="240" w:lineRule="auto"/>
        <w:rPr>
          <w:caps/>
          <w:szCs w:val="24"/>
        </w:rPr>
      </w:pPr>
      <w:r w:rsidRPr="00F27635">
        <w:rPr>
          <w:b/>
          <w:szCs w:val="24"/>
        </w:rPr>
        <w:tab/>
      </w:r>
      <w:r w:rsidRPr="00F27635">
        <w:rPr>
          <w:b/>
          <w:szCs w:val="24"/>
        </w:rPr>
        <w:tab/>
      </w:r>
      <w:r w:rsidRPr="00F27635">
        <w:rPr>
          <w:b/>
          <w:szCs w:val="24"/>
        </w:rPr>
        <w:tab/>
      </w:r>
      <w:r w:rsidRPr="00F27635">
        <w:rPr>
          <w:b/>
          <w:szCs w:val="24"/>
        </w:rPr>
        <w:tab/>
      </w:r>
      <w:r w:rsidR="005D49A0" w:rsidRPr="005D49A0">
        <w:rPr>
          <w:bCs/>
          <w:szCs w:val="24"/>
          <w:lang w:val="en-US"/>
        </w:rPr>
        <w:t>ACTING</w:t>
      </w:r>
      <w:r w:rsidR="005D49A0">
        <w:rPr>
          <w:b/>
          <w:szCs w:val="24"/>
          <w:lang w:val="en-US"/>
        </w:rPr>
        <w:t xml:space="preserve"> </w:t>
      </w:r>
      <w:r w:rsidRPr="00F27635">
        <w:rPr>
          <w:caps/>
          <w:szCs w:val="24"/>
        </w:rPr>
        <w:t xml:space="preserve">Judge of the High Court </w:t>
      </w:r>
    </w:p>
    <w:p w14:paraId="2D1E8596" w14:textId="77777777" w:rsidR="000372FE" w:rsidRPr="00F27635" w:rsidRDefault="000372FE" w:rsidP="000372FE">
      <w:pPr>
        <w:pStyle w:val="BodyText"/>
        <w:tabs>
          <w:tab w:val="clear" w:pos="720"/>
          <w:tab w:val="left" w:pos="851"/>
          <w:tab w:val="left" w:pos="3686"/>
        </w:tabs>
        <w:spacing w:line="240" w:lineRule="auto"/>
        <w:rPr>
          <w:caps/>
          <w:szCs w:val="24"/>
          <w:lang w:val="en-ZA"/>
        </w:rPr>
      </w:pPr>
      <w:r w:rsidRPr="00F27635">
        <w:rPr>
          <w:caps/>
          <w:szCs w:val="24"/>
        </w:rPr>
        <w:tab/>
      </w:r>
      <w:r w:rsidRPr="00F27635">
        <w:rPr>
          <w:caps/>
          <w:szCs w:val="24"/>
        </w:rPr>
        <w:tab/>
      </w:r>
      <w:r w:rsidR="00EA3959" w:rsidRPr="00F27635">
        <w:rPr>
          <w:caps/>
          <w:szCs w:val="24"/>
          <w:lang w:val="en-ZA"/>
        </w:rPr>
        <w:tab/>
      </w:r>
      <w:r w:rsidRPr="00F27635">
        <w:rPr>
          <w:caps/>
          <w:szCs w:val="24"/>
        </w:rPr>
        <w:tab/>
      </w:r>
      <w:r w:rsidRPr="00F27635">
        <w:rPr>
          <w:caps/>
          <w:szCs w:val="24"/>
          <w:u w:val="single"/>
        </w:rPr>
        <w:t>Pretoria</w:t>
      </w:r>
    </w:p>
    <w:p w14:paraId="06F7A868" w14:textId="77777777" w:rsidR="003F1E18" w:rsidRPr="00F27635" w:rsidRDefault="003F1E18"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66045A3F"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50071321" w14:textId="77777777" w:rsidR="00733291" w:rsidRPr="00F27635" w:rsidRDefault="00733291" w:rsidP="003F1E18">
      <w:pPr>
        <w:pStyle w:val="BodyText"/>
        <w:tabs>
          <w:tab w:val="clear" w:pos="720"/>
          <w:tab w:val="clear" w:pos="8040"/>
          <w:tab w:val="left" w:pos="851"/>
          <w:tab w:val="left" w:pos="4253"/>
          <w:tab w:val="left" w:pos="5670"/>
          <w:tab w:val="right" w:pos="8505"/>
        </w:tabs>
        <w:spacing w:line="240" w:lineRule="auto"/>
        <w:rPr>
          <w:szCs w:val="24"/>
          <w:lang w:val="en-ZA"/>
        </w:rPr>
      </w:pPr>
    </w:p>
    <w:p w14:paraId="3A75B693" w14:textId="77777777" w:rsidR="00912BD4" w:rsidRPr="00A745E5" w:rsidRDefault="00912BD4" w:rsidP="00912BD4">
      <w:pPr>
        <w:tabs>
          <w:tab w:val="left" w:pos="-426"/>
        </w:tabs>
        <w:spacing w:after="240"/>
        <w:ind w:right="567"/>
        <w:contextualSpacing/>
        <w:jc w:val="both"/>
        <w:rPr>
          <w:sz w:val="20"/>
          <w:szCs w:val="20"/>
        </w:rPr>
      </w:pPr>
      <w:r w:rsidRPr="00A745E5">
        <w:rPr>
          <w:sz w:val="20"/>
          <w:szCs w:val="20"/>
        </w:rPr>
        <w:t>Dates of hearing:</w:t>
      </w:r>
      <w:r w:rsidRPr="00A745E5">
        <w:rPr>
          <w:sz w:val="20"/>
          <w:szCs w:val="20"/>
        </w:rPr>
        <w:tab/>
      </w:r>
      <w:r w:rsidRPr="00A745E5">
        <w:rPr>
          <w:sz w:val="20"/>
          <w:szCs w:val="20"/>
        </w:rPr>
        <w:tab/>
      </w:r>
      <w:r w:rsidRPr="00A745E5">
        <w:rPr>
          <w:sz w:val="20"/>
          <w:szCs w:val="20"/>
        </w:rPr>
        <w:tab/>
      </w:r>
      <w:r>
        <w:rPr>
          <w:sz w:val="20"/>
          <w:szCs w:val="20"/>
        </w:rPr>
        <w:tab/>
      </w:r>
      <w:r w:rsidR="00DD7000">
        <w:rPr>
          <w:sz w:val="20"/>
          <w:szCs w:val="20"/>
        </w:rPr>
        <w:t>15 March 2023</w:t>
      </w:r>
    </w:p>
    <w:p w14:paraId="50E9FA38" w14:textId="1BA35A14" w:rsidR="00912BD4" w:rsidRPr="00A745E5" w:rsidRDefault="00912BD4" w:rsidP="00912BD4">
      <w:pPr>
        <w:tabs>
          <w:tab w:val="left" w:pos="-426"/>
        </w:tabs>
        <w:spacing w:after="240"/>
        <w:ind w:right="567"/>
        <w:contextualSpacing/>
        <w:jc w:val="both"/>
        <w:rPr>
          <w:sz w:val="20"/>
          <w:szCs w:val="20"/>
        </w:rPr>
      </w:pPr>
      <w:r w:rsidRPr="00A745E5">
        <w:rPr>
          <w:sz w:val="20"/>
          <w:szCs w:val="20"/>
        </w:rPr>
        <w:t xml:space="preserve">Date of judgment: </w:t>
      </w:r>
      <w:r w:rsidRPr="00A745E5">
        <w:rPr>
          <w:sz w:val="20"/>
          <w:szCs w:val="20"/>
        </w:rPr>
        <w:tab/>
      </w:r>
      <w:r w:rsidRPr="00A745E5">
        <w:rPr>
          <w:sz w:val="20"/>
          <w:szCs w:val="20"/>
        </w:rPr>
        <w:tab/>
      </w:r>
      <w:r w:rsidRPr="00A745E5">
        <w:rPr>
          <w:sz w:val="20"/>
          <w:szCs w:val="20"/>
        </w:rPr>
        <w:tab/>
      </w:r>
      <w:r>
        <w:rPr>
          <w:sz w:val="20"/>
          <w:szCs w:val="20"/>
        </w:rPr>
        <w:tab/>
      </w:r>
      <w:r w:rsidR="009B28EE">
        <w:rPr>
          <w:sz w:val="20"/>
          <w:szCs w:val="20"/>
        </w:rPr>
        <w:t>8</w:t>
      </w:r>
      <w:r w:rsidR="00DD7000">
        <w:rPr>
          <w:sz w:val="20"/>
          <w:szCs w:val="20"/>
        </w:rPr>
        <w:t xml:space="preserve"> June 2023</w:t>
      </w:r>
    </w:p>
    <w:p w14:paraId="3B3127DC" w14:textId="77777777" w:rsidR="00912BD4" w:rsidRPr="00A745E5" w:rsidRDefault="00912BD4" w:rsidP="00912BD4">
      <w:pPr>
        <w:tabs>
          <w:tab w:val="left" w:pos="-426"/>
        </w:tabs>
        <w:spacing w:after="240"/>
        <w:ind w:right="567"/>
        <w:contextualSpacing/>
        <w:jc w:val="both"/>
        <w:rPr>
          <w:sz w:val="20"/>
          <w:szCs w:val="20"/>
        </w:rPr>
      </w:pPr>
      <w:r w:rsidRPr="00A745E5">
        <w:rPr>
          <w:sz w:val="20"/>
          <w:szCs w:val="20"/>
        </w:rPr>
        <w:t>For the Plaintiff:</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DD7000">
        <w:rPr>
          <w:sz w:val="20"/>
          <w:szCs w:val="20"/>
        </w:rPr>
        <w:t xml:space="preserve">Adv WJ Roos </w:t>
      </w:r>
    </w:p>
    <w:p w14:paraId="67D303E1" w14:textId="77777777" w:rsidR="001C3AC1" w:rsidRPr="00A745E5" w:rsidRDefault="00912BD4" w:rsidP="001C3AC1">
      <w:pPr>
        <w:tabs>
          <w:tab w:val="left" w:pos="-426"/>
        </w:tabs>
        <w:spacing w:after="240"/>
        <w:ind w:right="567"/>
        <w:contextualSpacing/>
        <w:jc w:val="both"/>
        <w:rPr>
          <w:sz w:val="20"/>
          <w:szCs w:val="20"/>
        </w:rPr>
      </w:pPr>
      <w:r w:rsidRPr="00A745E5">
        <w:rPr>
          <w:sz w:val="20"/>
          <w:szCs w:val="20"/>
        </w:rPr>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DD7000">
        <w:rPr>
          <w:sz w:val="20"/>
          <w:szCs w:val="20"/>
        </w:rPr>
        <w:t xml:space="preserve">Van Heerdens Inc. </w:t>
      </w:r>
    </w:p>
    <w:p w14:paraId="2548AA3A" w14:textId="0427B404" w:rsidR="001C3AC1" w:rsidRPr="00A745E5" w:rsidRDefault="00912BD4" w:rsidP="001C3AC1">
      <w:pPr>
        <w:tabs>
          <w:tab w:val="left" w:pos="-426"/>
        </w:tabs>
        <w:spacing w:after="240"/>
        <w:ind w:right="567"/>
        <w:contextualSpacing/>
        <w:jc w:val="both"/>
        <w:rPr>
          <w:sz w:val="20"/>
          <w:szCs w:val="20"/>
        </w:rPr>
      </w:pPr>
      <w:r w:rsidRPr="00A745E5">
        <w:rPr>
          <w:sz w:val="20"/>
          <w:szCs w:val="20"/>
        </w:rPr>
        <w:t>For the Defendant</w:t>
      </w:r>
      <w:r w:rsidR="00DD7000">
        <w:rPr>
          <w:sz w:val="20"/>
          <w:szCs w:val="20"/>
        </w:rPr>
        <w:t>s</w:t>
      </w:r>
      <w:r w:rsidRPr="00A745E5">
        <w:rPr>
          <w:sz w:val="20"/>
          <w:szCs w:val="20"/>
        </w:rPr>
        <w:t>:</w:t>
      </w:r>
      <w:r w:rsidRPr="00A745E5">
        <w:rPr>
          <w:sz w:val="20"/>
          <w:szCs w:val="20"/>
        </w:rPr>
        <w:tab/>
      </w:r>
      <w:r w:rsidRPr="00A745E5">
        <w:rPr>
          <w:sz w:val="20"/>
          <w:szCs w:val="20"/>
        </w:rPr>
        <w:tab/>
      </w:r>
      <w:r w:rsidRPr="00A745E5">
        <w:rPr>
          <w:sz w:val="20"/>
          <w:szCs w:val="20"/>
        </w:rPr>
        <w:tab/>
      </w:r>
      <w:r>
        <w:rPr>
          <w:sz w:val="20"/>
          <w:szCs w:val="20"/>
        </w:rPr>
        <w:tab/>
      </w:r>
      <w:r w:rsidR="00DD7000">
        <w:rPr>
          <w:sz w:val="20"/>
          <w:szCs w:val="20"/>
        </w:rPr>
        <w:t xml:space="preserve">Adv </w:t>
      </w:r>
      <w:r w:rsidR="00C57B68">
        <w:rPr>
          <w:sz w:val="20"/>
          <w:szCs w:val="20"/>
        </w:rPr>
        <w:t>R van der Westhuizen</w:t>
      </w:r>
    </w:p>
    <w:p w14:paraId="6FB74497" w14:textId="77777777" w:rsidR="001C3AC1" w:rsidRDefault="001C3AC1" w:rsidP="001C3AC1">
      <w:pPr>
        <w:tabs>
          <w:tab w:val="left" w:pos="-426"/>
        </w:tabs>
        <w:spacing w:after="240"/>
        <w:ind w:right="567"/>
        <w:contextualSpacing/>
        <w:jc w:val="both"/>
        <w:rPr>
          <w:sz w:val="20"/>
          <w:szCs w:val="20"/>
        </w:rPr>
      </w:pPr>
      <w:r w:rsidRPr="00A745E5">
        <w:rPr>
          <w:sz w:val="20"/>
          <w:szCs w:val="20"/>
        </w:rPr>
        <w:lastRenderedPageBreak/>
        <w:t>Instructed by:</w:t>
      </w:r>
      <w:r w:rsidRPr="00A745E5">
        <w:rPr>
          <w:sz w:val="20"/>
          <w:szCs w:val="20"/>
        </w:rPr>
        <w:tab/>
      </w:r>
      <w:r w:rsidRPr="00A745E5">
        <w:rPr>
          <w:sz w:val="20"/>
          <w:szCs w:val="20"/>
        </w:rPr>
        <w:tab/>
      </w:r>
      <w:r w:rsidRPr="00A745E5">
        <w:rPr>
          <w:sz w:val="20"/>
          <w:szCs w:val="20"/>
        </w:rPr>
        <w:tab/>
      </w:r>
      <w:r w:rsidRPr="00A745E5">
        <w:rPr>
          <w:sz w:val="20"/>
          <w:szCs w:val="20"/>
        </w:rPr>
        <w:tab/>
      </w:r>
      <w:r>
        <w:rPr>
          <w:sz w:val="20"/>
          <w:szCs w:val="20"/>
        </w:rPr>
        <w:tab/>
      </w:r>
      <w:r w:rsidR="00DD7000">
        <w:rPr>
          <w:sz w:val="20"/>
          <w:szCs w:val="20"/>
        </w:rPr>
        <w:t>Bernice de Beer Attorneys</w:t>
      </w:r>
    </w:p>
    <w:p w14:paraId="64CF46AB" w14:textId="77777777" w:rsidR="00BC2328" w:rsidRPr="00A745E5" w:rsidRDefault="00BC2328" w:rsidP="001C3AC1">
      <w:pPr>
        <w:tabs>
          <w:tab w:val="left" w:pos="-426"/>
        </w:tabs>
        <w:spacing w:after="240"/>
        <w:ind w:right="567"/>
        <w:contextualSpacing/>
        <w:jc w:val="both"/>
        <w:rPr>
          <w:sz w:val="20"/>
          <w:szCs w:val="20"/>
        </w:rPr>
      </w:pPr>
    </w:p>
    <w:p w14:paraId="7ED70B06" w14:textId="77777777" w:rsidR="001C3AC1" w:rsidRPr="00A745E5" w:rsidRDefault="001C3AC1" w:rsidP="00912BD4">
      <w:pPr>
        <w:tabs>
          <w:tab w:val="left" w:pos="-426"/>
        </w:tabs>
        <w:spacing w:after="240"/>
        <w:ind w:right="567"/>
        <w:contextualSpacing/>
        <w:jc w:val="both"/>
        <w:rPr>
          <w:sz w:val="20"/>
          <w:szCs w:val="20"/>
        </w:rPr>
      </w:pPr>
    </w:p>
    <w:p w14:paraId="1ACEDD84" w14:textId="77777777" w:rsidR="00102DAB" w:rsidRPr="00F27635" w:rsidRDefault="00102DAB" w:rsidP="00630D83">
      <w:pPr>
        <w:pStyle w:val="BodyText"/>
        <w:tabs>
          <w:tab w:val="clear" w:pos="720"/>
          <w:tab w:val="clear" w:pos="8040"/>
          <w:tab w:val="left" w:pos="851"/>
          <w:tab w:val="left" w:pos="4253"/>
          <w:tab w:val="left" w:pos="5670"/>
          <w:tab w:val="right" w:pos="8505"/>
        </w:tabs>
        <w:spacing w:line="240" w:lineRule="auto"/>
        <w:rPr>
          <w:szCs w:val="24"/>
          <w:lang w:val="en-ZA"/>
        </w:rPr>
      </w:pPr>
    </w:p>
    <w:p w14:paraId="0D14E002" w14:textId="77777777" w:rsidR="00102DAB" w:rsidRDefault="00102DAB" w:rsidP="00630D83">
      <w:pPr>
        <w:pStyle w:val="BodyText"/>
        <w:tabs>
          <w:tab w:val="clear" w:pos="720"/>
          <w:tab w:val="clear" w:pos="8040"/>
          <w:tab w:val="left" w:pos="851"/>
          <w:tab w:val="left" w:pos="4253"/>
          <w:tab w:val="left" w:pos="5670"/>
          <w:tab w:val="right" w:pos="8505"/>
        </w:tabs>
        <w:spacing w:line="240" w:lineRule="auto"/>
        <w:rPr>
          <w:sz w:val="25"/>
          <w:lang w:val="en-ZA"/>
        </w:rPr>
      </w:pPr>
    </w:p>
    <w:p w14:paraId="74E2520A" w14:textId="77777777" w:rsidR="000372FE" w:rsidRPr="00EA3959" w:rsidRDefault="000372FE" w:rsidP="00630D83">
      <w:pPr>
        <w:pStyle w:val="BodyText"/>
        <w:tabs>
          <w:tab w:val="clear" w:pos="720"/>
          <w:tab w:val="clear" w:pos="8040"/>
          <w:tab w:val="left" w:pos="851"/>
          <w:tab w:val="left" w:pos="4253"/>
          <w:tab w:val="left" w:pos="5670"/>
          <w:tab w:val="right" w:pos="8647"/>
        </w:tabs>
        <w:spacing w:line="240" w:lineRule="auto"/>
        <w:jc w:val="right"/>
        <w:rPr>
          <w:sz w:val="25"/>
          <w:lang w:val="en-ZA"/>
        </w:rPr>
      </w:pPr>
    </w:p>
    <w:sectPr w:rsidR="000372FE" w:rsidRPr="00EA3959" w:rsidSect="000107FA">
      <w:headerReference w:type="default" r:id="rId14"/>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BA6C" w14:textId="77777777" w:rsidR="0046578F" w:rsidRDefault="0046578F" w:rsidP="000107FA">
      <w:pPr>
        <w:spacing w:after="0" w:line="240" w:lineRule="auto"/>
      </w:pPr>
      <w:r>
        <w:separator/>
      </w:r>
    </w:p>
  </w:endnote>
  <w:endnote w:type="continuationSeparator" w:id="0">
    <w:p w14:paraId="3BB168B1" w14:textId="77777777" w:rsidR="0046578F" w:rsidRDefault="0046578F"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E884" w14:textId="77777777" w:rsidR="0046578F" w:rsidRDefault="0046578F" w:rsidP="000107FA">
      <w:pPr>
        <w:spacing w:after="0" w:line="240" w:lineRule="auto"/>
      </w:pPr>
      <w:r>
        <w:separator/>
      </w:r>
    </w:p>
  </w:footnote>
  <w:footnote w:type="continuationSeparator" w:id="0">
    <w:p w14:paraId="616128E2" w14:textId="77777777" w:rsidR="0046578F" w:rsidRDefault="0046578F" w:rsidP="000107FA">
      <w:pPr>
        <w:spacing w:after="0" w:line="240" w:lineRule="auto"/>
      </w:pPr>
      <w:r>
        <w:continuationSeparator/>
      </w:r>
    </w:p>
  </w:footnote>
  <w:footnote w:id="1">
    <w:p w14:paraId="287138A7" w14:textId="77777777" w:rsidR="007D62FA" w:rsidRPr="001F6DD8" w:rsidRDefault="007D62FA" w:rsidP="001F6DD8">
      <w:pPr>
        <w:pStyle w:val="FootnoteText"/>
        <w:ind w:left="567" w:hanging="567"/>
        <w:jc w:val="both"/>
        <w:rPr>
          <w:rFonts w:ascii="Arial" w:hAnsi="Arial" w:cs="Arial"/>
        </w:rPr>
      </w:pPr>
      <w:r w:rsidRPr="001F6DD8">
        <w:rPr>
          <w:rStyle w:val="FootnoteReference"/>
          <w:rFonts w:ascii="Arial" w:hAnsi="Arial" w:cs="Arial"/>
        </w:rPr>
        <w:footnoteRef/>
      </w:r>
      <w:r w:rsidRPr="001F6DD8">
        <w:rPr>
          <w:rFonts w:ascii="Arial" w:hAnsi="Arial" w:cs="Arial"/>
        </w:rPr>
        <w:t xml:space="preserve"> </w:t>
      </w:r>
      <w:r w:rsidRPr="001F6DD8">
        <w:rPr>
          <w:rFonts w:ascii="Arial" w:hAnsi="Arial" w:cs="Arial"/>
        </w:rPr>
        <w:tab/>
      </w:r>
      <w:r w:rsidRPr="001F6DD8">
        <w:rPr>
          <w:rFonts w:ascii="Arial" w:hAnsi="Arial" w:cs="Arial"/>
          <w:i/>
          <w:iCs/>
        </w:rPr>
        <w:t>Erasmus Superior Court Practice</w:t>
      </w:r>
      <w:r w:rsidRPr="001F6DD8">
        <w:rPr>
          <w:rFonts w:ascii="Arial" w:hAnsi="Arial" w:cs="Arial"/>
        </w:rPr>
        <w:t>, RS 17, 2021, D1- 383.</w:t>
      </w:r>
    </w:p>
  </w:footnote>
  <w:footnote w:id="2">
    <w:p w14:paraId="7B23CC58" w14:textId="2AB4716E" w:rsidR="007D62FA" w:rsidRPr="001F6DD8" w:rsidRDefault="007D62FA" w:rsidP="001F6DD8">
      <w:pPr>
        <w:pStyle w:val="FootnoteText"/>
        <w:ind w:left="567" w:hanging="567"/>
        <w:rPr>
          <w:rFonts w:ascii="Arial" w:hAnsi="Arial" w:cs="Arial"/>
        </w:rPr>
      </w:pPr>
      <w:r w:rsidRPr="001F6DD8">
        <w:rPr>
          <w:rStyle w:val="FootnoteReference"/>
          <w:rFonts w:ascii="Arial" w:hAnsi="Arial" w:cs="Arial"/>
        </w:rPr>
        <w:footnoteRef/>
      </w:r>
      <w:r w:rsidRPr="001F6DD8">
        <w:rPr>
          <w:rFonts w:ascii="Arial" w:hAnsi="Arial" w:cs="Arial"/>
        </w:rPr>
        <w:t xml:space="preserve"> </w:t>
      </w:r>
      <w:r w:rsidRPr="001F6DD8">
        <w:rPr>
          <w:rFonts w:ascii="Arial" w:hAnsi="Arial" w:cs="Arial"/>
        </w:rPr>
        <w:tab/>
        <w:t>2020 (1) SA 623 (GJ)</w:t>
      </w:r>
      <w:r w:rsidR="00D32AD5" w:rsidRPr="001F6DD8">
        <w:rPr>
          <w:rFonts w:ascii="Arial" w:hAnsi="Arial" w:cs="Arial"/>
        </w:rPr>
        <w:t>, para [16].</w:t>
      </w:r>
    </w:p>
  </w:footnote>
  <w:footnote w:id="3">
    <w:p w14:paraId="598606B3" w14:textId="3C5BE79C" w:rsidR="00F52A1A" w:rsidRPr="001F6DD8" w:rsidRDefault="00F52A1A" w:rsidP="001F6DD8">
      <w:pPr>
        <w:pStyle w:val="FootnoteText"/>
        <w:ind w:left="567" w:hanging="567"/>
        <w:rPr>
          <w:rFonts w:ascii="Arial" w:hAnsi="Arial" w:cs="Arial"/>
        </w:rPr>
      </w:pPr>
      <w:r w:rsidRPr="001F6DD8">
        <w:rPr>
          <w:rStyle w:val="FootnoteReference"/>
          <w:rFonts w:ascii="Arial" w:hAnsi="Arial" w:cs="Arial"/>
        </w:rPr>
        <w:footnoteRef/>
      </w:r>
      <w:r w:rsidRPr="001F6DD8">
        <w:rPr>
          <w:rFonts w:ascii="Arial" w:hAnsi="Arial" w:cs="Arial"/>
        </w:rPr>
        <w:t xml:space="preserve"> </w:t>
      </w:r>
      <w:r w:rsidRPr="001F6DD8">
        <w:rPr>
          <w:rFonts w:ascii="Arial" w:hAnsi="Arial" w:cs="Arial"/>
        </w:rPr>
        <w:tab/>
        <w:t>Case No. 2020/9705, dated 21 May 2021, paras [6] to [13].</w:t>
      </w:r>
    </w:p>
  </w:footnote>
  <w:footnote w:id="4">
    <w:p w14:paraId="58FB129B" w14:textId="77777777" w:rsidR="00C3751E" w:rsidRPr="001F6DD8" w:rsidRDefault="00C3751E" w:rsidP="001F6DD8">
      <w:pPr>
        <w:pStyle w:val="FootnoteText"/>
        <w:ind w:left="567" w:hanging="567"/>
        <w:jc w:val="both"/>
        <w:rPr>
          <w:rFonts w:ascii="Arial" w:hAnsi="Arial" w:cs="Arial"/>
          <w:lang w:val="en-US"/>
        </w:rPr>
      </w:pPr>
      <w:r w:rsidRPr="001F6DD8">
        <w:rPr>
          <w:rStyle w:val="FootnoteReference"/>
          <w:rFonts w:ascii="Arial" w:hAnsi="Arial" w:cs="Arial"/>
        </w:rPr>
        <w:footnoteRef/>
      </w:r>
      <w:r w:rsidRPr="001F6DD8">
        <w:rPr>
          <w:rFonts w:ascii="Arial" w:hAnsi="Arial" w:cs="Arial"/>
        </w:rPr>
        <w:t xml:space="preserve"> </w:t>
      </w:r>
      <w:r w:rsidRPr="001F6DD8">
        <w:rPr>
          <w:rFonts w:ascii="Arial" w:hAnsi="Arial" w:cs="Arial"/>
          <w:lang w:val="en-US"/>
        </w:rPr>
        <w:tab/>
        <w:t xml:space="preserve">2019 [4] All SA 583 (GJ) at paras [33] to [36] and [43].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9C02"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3B2189">
      <w:rPr>
        <w:b/>
        <w:noProof/>
      </w:rPr>
      <w:t>2</w:t>
    </w:r>
    <w:r w:rsidR="004E755B" w:rsidRPr="004E755B">
      <w:rPr>
        <w:b/>
      </w:rPr>
      <w:fldChar w:fldCharType="end"/>
    </w:r>
  </w:p>
  <w:p w14:paraId="4263B1BF"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313"/>
    <w:multiLevelType w:val="hybridMultilevel"/>
    <w:tmpl w:val="882683DC"/>
    <w:lvl w:ilvl="0" w:tplc="8D3CB7D8">
      <w:start w:val="1"/>
      <w:numFmt w:val="decimal"/>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1EF2668"/>
    <w:multiLevelType w:val="hybridMultilevel"/>
    <w:tmpl w:val="D038749E"/>
    <w:lvl w:ilvl="0" w:tplc="1EC82D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84F41"/>
    <w:multiLevelType w:val="hybridMultilevel"/>
    <w:tmpl w:val="BCF21E78"/>
    <w:lvl w:ilvl="0" w:tplc="FC329E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494A37"/>
    <w:multiLevelType w:val="multilevel"/>
    <w:tmpl w:val="9CEA25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1276"/>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E836A5"/>
    <w:multiLevelType w:val="hybridMultilevel"/>
    <w:tmpl w:val="9C5260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351C8"/>
    <w:multiLevelType w:val="multilevel"/>
    <w:tmpl w:val="5CCA1D0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ECD6E77"/>
    <w:multiLevelType w:val="hybridMultilevel"/>
    <w:tmpl w:val="5BC86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2C592A"/>
    <w:multiLevelType w:val="multilevel"/>
    <w:tmpl w:val="01A6B2B8"/>
    <w:numStyleLink w:val="Style1"/>
  </w:abstractNum>
  <w:abstractNum w:abstractNumId="24">
    <w:nsid w:val="7C504B5A"/>
    <w:multiLevelType w:val="hybridMultilevel"/>
    <w:tmpl w:val="D42644B4"/>
    <w:lvl w:ilvl="0" w:tplc="40765D4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10"/>
  </w:num>
  <w:num w:numId="5">
    <w:abstractNumId w:val="3"/>
  </w:num>
  <w:num w:numId="6">
    <w:abstractNumId w:val="4"/>
  </w:num>
  <w:num w:numId="7">
    <w:abstractNumId w:val="20"/>
  </w:num>
  <w:num w:numId="8">
    <w:abstractNumId w:val="6"/>
  </w:num>
  <w:num w:numId="9">
    <w:abstractNumId w:val="7"/>
  </w:num>
  <w:num w:numId="10">
    <w:abstractNumId w:val="23"/>
  </w:num>
  <w:num w:numId="11">
    <w:abstractNumId w:val="15"/>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8"/>
  </w:num>
  <w:num w:numId="17">
    <w:abstractNumId w:val="13"/>
  </w:num>
  <w:num w:numId="18">
    <w:abstractNumId w:val="5"/>
  </w:num>
  <w:num w:numId="19">
    <w:abstractNumId w:val="12"/>
  </w:num>
  <w:num w:numId="20">
    <w:abstractNumId w:val="19"/>
  </w:num>
  <w:num w:numId="21">
    <w:abstractNumId w:val="24"/>
  </w:num>
  <w:num w:numId="22">
    <w:abstractNumId w:val="0"/>
  </w:num>
  <w:num w:numId="23">
    <w:abstractNumId w:val="9"/>
  </w:num>
  <w:num w:numId="24">
    <w:abstractNumId w:val="2"/>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5B6B"/>
    <w:rsid w:val="0003349C"/>
    <w:rsid w:val="00035015"/>
    <w:rsid w:val="00036F39"/>
    <w:rsid w:val="000372FE"/>
    <w:rsid w:val="00037F0B"/>
    <w:rsid w:val="00045ED2"/>
    <w:rsid w:val="00055373"/>
    <w:rsid w:val="00060AC7"/>
    <w:rsid w:val="00095E9A"/>
    <w:rsid w:val="000A1088"/>
    <w:rsid w:val="000C69D6"/>
    <w:rsid w:val="000D73C1"/>
    <w:rsid w:val="000E171B"/>
    <w:rsid w:val="000E47D3"/>
    <w:rsid w:val="000F43B0"/>
    <w:rsid w:val="000F4D01"/>
    <w:rsid w:val="00102DAB"/>
    <w:rsid w:val="001105A6"/>
    <w:rsid w:val="001108E9"/>
    <w:rsid w:val="001131F4"/>
    <w:rsid w:val="00124D3D"/>
    <w:rsid w:val="00140AD7"/>
    <w:rsid w:val="00143050"/>
    <w:rsid w:val="001626B6"/>
    <w:rsid w:val="00167BFE"/>
    <w:rsid w:val="001752B9"/>
    <w:rsid w:val="00184F16"/>
    <w:rsid w:val="00186827"/>
    <w:rsid w:val="001B0AD7"/>
    <w:rsid w:val="001C3AC1"/>
    <w:rsid w:val="001E32D6"/>
    <w:rsid w:val="001E6E54"/>
    <w:rsid w:val="001E6E9D"/>
    <w:rsid w:val="001F6DD8"/>
    <w:rsid w:val="00200EE4"/>
    <w:rsid w:val="0020199D"/>
    <w:rsid w:val="0021222B"/>
    <w:rsid w:val="00220549"/>
    <w:rsid w:val="00251785"/>
    <w:rsid w:val="00256E64"/>
    <w:rsid w:val="0026007A"/>
    <w:rsid w:val="00265E97"/>
    <w:rsid w:val="00277947"/>
    <w:rsid w:val="00287434"/>
    <w:rsid w:val="002B0D56"/>
    <w:rsid w:val="002C36BD"/>
    <w:rsid w:val="002C656F"/>
    <w:rsid w:val="002F46D8"/>
    <w:rsid w:val="002F7E8C"/>
    <w:rsid w:val="00301564"/>
    <w:rsid w:val="00302030"/>
    <w:rsid w:val="003022EF"/>
    <w:rsid w:val="003038A8"/>
    <w:rsid w:val="003152A3"/>
    <w:rsid w:val="0031653D"/>
    <w:rsid w:val="0032265D"/>
    <w:rsid w:val="00322ED1"/>
    <w:rsid w:val="00333F1B"/>
    <w:rsid w:val="00343016"/>
    <w:rsid w:val="00360E65"/>
    <w:rsid w:val="00360F11"/>
    <w:rsid w:val="00376739"/>
    <w:rsid w:val="003A5F54"/>
    <w:rsid w:val="003A7FB5"/>
    <w:rsid w:val="003B2189"/>
    <w:rsid w:val="003B2FE1"/>
    <w:rsid w:val="003B6ECC"/>
    <w:rsid w:val="003C3B3E"/>
    <w:rsid w:val="003D101A"/>
    <w:rsid w:val="003D3EF1"/>
    <w:rsid w:val="003D52CD"/>
    <w:rsid w:val="003F1E18"/>
    <w:rsid w:val="003F5B11"/>
    <w:rsid w:val="003F62B2"/>
    <w:rsid w:val="004153AC"/>
    <w:rsid w:val="004239A7"/>
    <w:rsid w:val="0042480A"/>
    <w:rsid w:val="00432C19"/>
    <w:rsid w:val="00432DC0"/>
    <w:rsid w:val="0043444C"/>
    <w:rsid w:val="00445538"/>
    <w:rsid w:val="004548A4"/>
    <w:rsid w:val="00462530"/>
    <w:rsid w:val="0046578F"/>
    <w:rsid w:val="004A7435"/>
    <w:rsid w:val="004B782D"/>
    <w:rsid w:val="004C4FC6"/>
    <w:rsid w:val="004C5126"/>
    <w:rsid w:val="004E755B"/>
    <w:rsid w:val="005019B9"/>
    <w:rsid w:val="00511667"/>
    <w:rsid w:val="00536B7C"/>
    <w:rsid w:val="00537804"/>
    <w:rsid w:val="005459B7"/>
    <w:rsid w:val="005634B5"/>
    <w:rsid w:val="00565B71"/>
    <w:rsid w:val="00594546"/>
    <w:rsid w:val="005A460D"/>
    <w:rsid w:val="005A78BB"/>
    <w:rsid w:val="005C0C03"/>
    <w:rsid w:val="005C5CE4"/>
    <w:rsid w:val="005D49A0"/>
    <w:rsid w:val="005F62DC"/>
    <w:rsid w:val="006008D6"/>
    <w:rsid w:val="0061627B"/>
    <w:rsid w:val="0062063D"/>
    <w:rsid w:val="00630295"/>
    <w:rsid w:val="00630D83"/>
    <w:rsid w:val="006323B4"/>
    <w:rsid w:val="00655E72"/>
    <w:rsid w:val="00656057"/>
    <w:rsid w:val="00656860"/>
    <w:rsid w:val="006571EB"/>
    <w:rsid w:val="006603DA"/>
    <w:rsid w:val="00662CC1"/>
    <w:rsid w:val="00676024"/>
    <w:rsid w:val="00680D95"/>
    <w:rsid w:val="00683CA6"/>
    <w:rsid w:val="00695214"/>
    <w:rsid w:val="006A13BD"/>
    <w:rsid w:val="006A7412"/>
    <w:rsid w:val="006A7BB8"/>
    <w:rsid w:val="006B4B9F"/>
    <w:rsid w:val="006C0A13"/>
    <w:rsid w:val="006D23B0"/>
    <w:rsid w:val="006E302C"/>
    <w:rsid w:val="00701E72"/>
    <w:rsid w:val="007139BC"/>
    <w:rsid w:val="00733291"/>
    <w:rsid w:val="00734864"/>
    <w:rsid w:val="00735355"/>
    <w:rsid w:val="00775EC0"/>
    <w:rsid w:val="00790CFD"/>
    <w:rsid w:val="00796DCA"/>
    <w:rsid w:val="007A2EAB"/>
    <w:rsid w:val="007C0A63"/>
    <w:rsid w:val="007D41B8"/>
    <w:rsid w:val="007D5CE7"/>
    <w:rsid w:val="007D62FA"/>
    <w:rsid w:val="00833377"/>
    <w:rsid w:val="00842BD4"/>
    <w:rsid w:val="008559A6"/>
    <w:rsid w:val="008623EB"/>
    <w:rsid w:val="008721BB"/>
    <w:rsid w:val="008748BF"/>
    <w:rsid w:val="00877674"/>
    <w:rsid w:val="00891E7F"/>
    <w:rsid w:val="0089225F"/>
    <w:rsid w:val="008B482A"/>
    <w:rsid w:val="008C6DAA"/>
    <w:rsid w:val="008C71F7"/>
    <w:rsid w:val="008E43D6"/>
    <w:rsid w:val="00912BD4"/>
    <w:rsid w:val="009374B3"/>
    <w:rsid w:val="0094417D"/>
    <w:rsid w:val="00947E88"/>
    <w:rsid w:val="009639FB"/>
    <w:rsid w:val="00966C9C"/>
    <w:rsid w:val="009859A2"/>
    <w:rsid w:val="009B0EEE"/>
    <w:rsid w:val="009B28EE"/>
    <w:rsid w:val="009C1F36"/>
    <w:rsid w:val="009C5419"/>
    <w:rsid w:val="009E2610"/>
    <w:rsid w:val="00A052B3"/>
    <w:rsid w:val="00A1023C"/>
    <w:rsid w:val="00A13D66"/>
    <w:rsid w:val="00A267DD"/>
    <w:rsid w:val="00A32E5A"/>
    <w:rsid w:val="00A43297"/>
    <w:rsid w:val="00A50761"/>
    <w:rsid w:val="00A55CF3"/>
    <w:rsid w:val="00A61BA8"/>
    <w:rsid w:val="00A74D25"/>
    <w:rsid w:val="00A766BE"/>
    <w:rsid w:val="00A85429"/>
    <w:rsid w:val="00A90C74"/>
    <w:rsid w:val="00AA0D8B"/>
    <w:rsid w:val="00AB137C"/>
    <w:rsid w:val="00AB17B4"/>
    <w:rsid w:val="00AB2019"/>
    <w:rsid w:val="00AB52DF"/>
    <w:rsid w:val="00AB65B9"/>
    <w:rsid w:val="00AD3FCD"/>
    <w:rsid w:val="00AD62E3"/>
    <w:rsid w:val="00AD6DCB"/>
    <w:rsid w:val="00AE48BA"/>
    <w:rsid w:val="00AE7BE7"/>
    <w:rsid w:val="00B00044"/>
    <w:rsid w:val="00B0201E"/>
    <w:rsid w:val="00B1141B"/>
    <w:rsid w:val="00B11B98"/>
    <w:rsid w:val="00B21C88"/>
    <w:rsid w:val="00B21FE0"/>
    <w:rsid w:val="00B22F20"/>
    <w:rsid w:val="00B247BE"/>
    <w:rsid w:val="00B37052"/>
    <w:rsid w:val="00B42C23"/>
    <w:rsid w:val="00B44AA4"/>
    <w:rsid w:val="00B477EC"/>
    <w:rsid w:val="00B648E0"/>
    <w:rsid w:val="00BC2328"/>
    <w:rsid w:val="00BD0F4C"/>
    <w:rsid w:val="00BD14DA"/>
    <w:rsid w:val="00BD1977"/>
    <w:rsid w:val="00BD4925"/>
    <w:rsid w:val="00BE0971"/>
    <w:rsid w:val="00BF4E97"/>
    <w:rsid w:val="00C04AE0"/>
    <w:rsid w:val="00C05135"/>
    <w:rsid w:val="00C12589"/>
    <w:rsid w:val="00C171B1"/>
    <w:rsid w:val="00C352E7"/>
    <w:rsid w:val="00C3751E"/>
    <w:rsid w:val="00C43D98"/>
    <w:rsid w:val="00C4638A"/>
    <w:rsid w:val="00C47605"/>
    <w:rsid w:val="00C57647"/>
    <w:rsid w:val="00C5798F"/>
    <w:rsid w:val="00C57B68"/>
    <w:rsid w:val="00C63E42"/>
    <w:rsid w:val="00C7003B"/>
    <w:rsid w:val="00CA54A8"/>
    <w:rsid w:val="00CA67AE"/>
    <w:rsid w:val="00CB12F7"/>
    <w:rsid w:val="00CB1C98"/>
    <w:rsid w:val="00CE7119"/>
    <w:rsid w:val="00CE781E"/>
    <w:rsid w:val="00CF0F7A"/>
    <w:rsid w:val="00CF3D02"/>
    <w:rsid w:val="00D04002"/>
    <w:rsid w:val="00D052D3"/>
    <w:rsid w:val="00D12667"/>
    <w:rsid w:val="00D20236"/>
    <w:rsid w:val="00D32AD5"/>
    <w:rsid w:val="00D35D17"/>
    <w:rsid w:val="00D440FD"/>
    <w:rsid w:val="00D45BF6"/>
    <w:rsid w:val="00D54101"/>
    <w:rsid w:val="00D56AA2"/>
    <w:rsid w:val="00D64A8F"/>
    <w:rsid w:val="00D65E21"/>
    <w:rsid w:val="00D72A97"/>
    <w:rsid w:val="00D72AD5"/>
    <w:rsid w:val="00D876C0"/>
    <w:rsid w:val="00D9495E"/>
    <w:rsid w:val="00DA75AF"/>
    <w:rsid w:val="00DD1FE3"/>
    <w:rsid w:val="00DD5CF5"/>
    <w:rsid w:val="00DD7000"/>
    <w:rsid w:val="00DE076D"/>
    <w:rsid w:val="00DE4F0B"/>
    <w:rsid w:val="00DF183F"/>
    <w:rsid w:val="00E01A2F"/>
    <w:rsid w:val="00E16EF0"/>
    <w:rsid w:val="00E30809"/>
    <w:rsid w:val="00E32B4B"/>
    <w:rsid w:val="00E35AB3"/>
    <w:rsid w:val="00E55634"/>
    <w:rsid w:val="00E57FA4"/>
    <w:rsid w:val="00E624A9"/>
    <w:rsid w:val="00E659B7"/>
    <w:rsid w:val="00E84B53"/>
    <w:rsid w:val="00E91887"/>
    <w:rsid w:val="00E961B0"/>
    <w:rsid w:val="00EA3959"/>
    <w:rsid w:val="00EF678D"/>
    <w:rsid w:val="00EF78B5"/>
    <w:rsid w:val="00F0057C"/>
    <w:rsid w:val="00F0584C"/>
    <w:rsid w:val="00F06CC6"/>
    <w:rsid w:val="00F27148"/>
    <w:rsid w:val="00F27635"/>
    <w:rsid w:val="00F35EC6"/>
    <w:rsid w:val="00F52A1A"/>
    <w:rsid w:val="00F602A3"/>
    <w:rsid w:val="00F70346"/>
    <w:rsid w:val="00F703DA"/>
    <w:rsid w:val="00FA3625"/>
    <w:rsid w:val="00FA429D"/>
    <w:rsid w:val="00FA4B30"/>
    <w:rsid w:val="00FB664A"/>
    <w:rsid w:val="00FB7175"/>
    <w:rsid w:val="00FC4FE1"/>
    <w:rsid w:val="00FD3D21"/>
    <w:rsid w:val="00FE47F3"/>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C63A"/>
  <w15:chartTrackingRefBased/>
  <w15:docId w15:val="{F438D903-155B-4A0F-AA74-9AACC092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uiPriority w:val="34"/>
    <w:qFormat/>
    <w:rsid w:val="00947E88"/>
    <w:pPr>
      <w:ind w:left="720"/>
    </w:pPr>
  </w:style>
  <w:style w:type="paragraph" w:styleId="FootnoteText">
    <w:name w:val="footnote text"/>
    <w:basedOn w:val="Normal"/>
    <w:link w:val="FootnoteTextChar"/>
    <w:uiPriority w:val="99"/>
    <w:semiHidden/>
    <w:unhideWhenUsed/>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link w:val="FootnoteText"/>
    <w:uiPriority w:val="99"/>
    <w:semiHidden/>
    <w:rsid w:val="003B6ECC"/>
    <w:rPr>
      <w:rFonts w:ascii="Calibri" w:eastAsia="Times New Roman" w:hAnsi="Calibri" w:cs="Times New Roman"/>
      <w:lang w:eastAsia="en-US"/>
    </w:rPr>
  </w:style>
  <w:style w:type="character" w:styleId="FootnoteReference">
    <w:name w:val="footnote reference"/>
    <w:uiPriority w:val="99"/>
    <w:semiHidden/>
    <w:unhideWhenUsed/>
    <w:rsid w:val="003B6ECC"/>
    <w:rPr>
      <w:rFonts w:cs="Times New Roman"/>
      <w:vertAlign w:val="superscript"/>
    </w:rPr>
  </w:style>
  <w:style w:type="character" w:customStyle="1" w:styleId="g1">
    <w:name w:val="g1"/>
    <w:basedOn w:val="DefaultParagraphFont"/>
    <w:rsid w:val="00D32AD5"/>
  </w:style>
  <w:style w:type="character" w:styleId="Hyperlink">
    <w:name w:val="Hyperlink"/>
    <w:uiPriority w:val="99"/>
    <w:semiHidden/>
    <w:unhideWhenUsed/>
    <w:rsid w:val="00D3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30(4)(b)%27%5d&amp;xhitlist_md=target-id=0-0-0-80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30(4)%27%5d&amp;xhitlist_md=target-id=0-0-0-803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130%27%5d&amp;xhitlist_md=target-id=0-0-0-802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8(3)%27%5d&amp;xhitlist_md=target-id=0-0-0-79213"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8%27%5d&amp;xhitlist_md=target-id=0-0-0-7919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CCAD-60FC-462F-872C-9D589B4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27287</CharactersWithSpaces>
  <SharedDoc>false</SharedDoc>
  <HLinks>
    <vt:vector size="36" baseType="variant">
      <vt:variant>
        <vt:i4>3735626</vt:i4>
      </vt:variant>
      <vt:variant>
        <vt:i4>15</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34y2005s130(4)(b)%27%5d&amp;xhitlist_md=target-id=0-0-0-80329</vt:lpwstr>
      </vt:variant>
      <vt:variant>
        <vt:lpwstr/>
      </vt:variant>
      <vt:variant>
        <vt:i4>3735626</vt:i4>
      </vt:variant>
      <vt:variant>
        <vt:i4>12</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34y2005s130(4)%27%5d&amp;xhitlist_md=target-id=0-0-0-80323</vt:lpwstr>
      </vt:variant>
      <vt:variant>
        <vt:lpwstr/>
      </vt:variant>
      <vt:variant>
        <vt:i4>3735626</vt:i4>
      </vt:variant>
      <vt:variant>
        <vt:i4>9</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34y2005s130%27%5d&amp;xhitlist_md=target-id=0-0-0-80263</vt:lpwstr>
      </vt:variant>
      <vt:variant>
        <vt:lpwstr/>
      </vt:variant>
      <vt:variant>
        <vt:i4>3735626</vt:i4>
      </vt:variant>
      <vt:variant>
        <vt:i4>6</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34y2005s88(3)%27%5d&amp;xhitlist_md=target-id=0-0-0-79213</vt:lpwstr>
      </vt:variant>
      <vt:variant>
        <vt:lpwstr/>
      </vt:variant>
      <vt:variant>
        <vt:i4>3735626</vt:i4>
      </vt:variant>
      <vt:variant>
        <vt:i4>3</vt:i4>
      </vt:variant>
      <vt:variant>
        <vt:i4>0</vt:i4>
      </vt:variant>
      <vt:variant>
        <vt:i4>5</vt:i4>
      </vt:variant>
      <vt:variant>
        <vt:lpwstr>https://jutastat.juta.co.za/nxt/foliolinks.asp?f=xhitlist&amp;xhitlist_x=Advanced&amp;xhitlist_vpc=first&amp;xhitlist_xsl=querylink.xsl&amp;xhitlist_sel=title;path;content-type;home-title&amp;xhitlist_d=%7bstatreg%7d&amp;xhitlist_q=%5bfield%20folio-destination-name:%27LJC_a34y2005s88%27%5d&amp;xhitlist_md=target-id=0-0-0-79199</vt:lpwstr>
      </vt:variant>
      <vt:variant>
        <vt:lpwstr/>
      </vt: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Mokone</cp:lastModifiedBy>
  <cp:revision>4</cp:revision>
  <dcterms:created xsi:type="dcterms:W3CDTF">2023-06-21T11:12:00Z</dcterms:created>
  <dcterms:modified xsi:type="dcterms:W3CDTF">2023-06-21T11:14:00Z</dcterms:modified>
</cp:coreProperties>
</file>