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904DC" w14:textId="4221FEAC" w:rsidR="0010583E" w:rsidRPr="00CB0367" w:rsidRDefault="001D315C" w:rsidP="00607759">
      <w:pPr>
        <w:widowControl w:val="0"/>
        <w:spacing w:before="240" w:after="240"/>
        <w:jc w:val="center"/>
        <w:rPr>
          <w:rFonts w:ascii="Arial" w:hAnsi="Arial" w:cs="Arial"/>
          <w:b/>
          <w:bCs/>
          <w:sz w:val="25"/>
          <w:szCs w:val="25"/>
          <w:lang w:val="en-GB"/>
        </w:rPr>
      </w:pPr>
      <w:r w:rsidRPr="00CB0367">
        <w:rPr>
          <w:rFonts w:ascii="Arial" w:hAnsi="Arial" w:cs="Arial"/>
          <w:b/>
          <w:bCs/>
          <w:sz w:val="25"/>
          <w:szCs w:val="25"/>
          <w:lang w:val="en-GB"/>
        </w:rPr>
        <w:t>IN THE HIGH COURT OF SOUTH AFRICA</w:t>
      </w:r>
    </w:p>
    <w:p w14:paraId="6DC87BF1" w14:textId="32B03797" w:rsidR="001D315C" w:rsidRPr="00CB0367" w:rsidRDefault="001D315C" w:rsidP="00607759">
      <w:pPr>
        <w:widowControl w:val="0"/>
        <w:spacing w:before="240" w:after="240"/>
        <w:jc w:val="center"/>
        <w:rPr>
          <w:rFonts w:ascii="Arial" w:hAnsi="Arial" w:cs="Arial"/>
          <w:sz w:val="25"/>
          <w:szCs w:val="25"/>
          <w:lang w:val="en-GB"/>
        </w:rPr>
      </w:pPr>
      <w:r w:rsidRPr="00CB0367">
        <w:rPr>
          <w:rFonts w:ascii="Arial" w:hAnsi="Arial" w:cs="Arial"/>
          <w:b/>
          <w:bCs/>
          <w:sz w:val="25"/>
          <w:szCs w:val="25"/>
          <w:lang w:val="en-GB"/>
        </w:rPr>
        <w:t>GAUTENG LOCAL DIVISION, JOHANNESBURG</w:t>
      </w:r>
    </w:p>
    <w:p w14:paraId="5B78830D" w14:textId="45E30E81" w:rsidR="001D315C" w:rsidRPr="00CB0367" w:rsidRDefault="001D315C" w:rsidP="00607759">
      <w:pPr>
        <w:widowControl w:val="0"/>
        <w:spacing w:before="240" w:after="240"/>
        <w:jc w:val="right"/>
        <w:rPr>
          <w:rFonts w:ascii="Arial" w:hAnsi="Arial" w:cs="Arial"/>
          <w:sz w:val="25"/>
          <w:szCs w:val="25"/>
          <w:lang w:val="en-GB"/>
        </w:rPr>
      </w:pPr>
      <w:r w:rsidRPr="00CB0367">
        <w:rPr>
          <w:rFonts w:ascii="Arial" w:hAnsi="Arial" w:cs="Arial"/>
          <w:sz w:val="25"/>
          <w:szCs w:val="25"/>
          <w:lang w:val="en-GB"/>
        </w:rPr>
        <w:tab/>
      </w:r>
      <w:r w:rsidRPr="00CB0367">
        <w:rPr>
          <w:rFonts w:ascii="Arial" w:hAnsi="Arial" w:cs="Arial"/>
          <w:sz w:val="25"/>
          <w:szCs w:val="25"/>
          <w:lang w:val="en-GB"/>
        </w:rPr>
        <w:tab/>
      </w:r>
      <w:r w:rsidRPr="00CB0367">
        <w:rPr>
          <w:rFonts w:ascii="Arial" w:hAnsi="Arial" w:cs="Arial"/>
          <w:sz w:val="25"/>
          <w:szCs w:val="25"/>
          <w:lang w:val="en-GB"/>
        </w:rPr>
        <w:tab/>
      </w:r>
      <w:r w:rsidRPr="00CB0367">
        <w:rPr>
          <w:rFonts w:ascii="Arial" w:hAnsi="Arial" w:cs="Arial"/>
          <w:sz w:val="25"/>
          <w:szCs w:val="25"/>
          <w:lang w:val="en-GB"/>
        </w:rPr>
        <w:tab/>
      </w:r>
      <w:r w:rsidRPr="00CB0367">
        <w:rPr>
          <w:rFonts w:ascii="Arial" w:hAnsi="Arial" w:cs="Arial"/>
          <w:sz w:val="25"/>
          <w:szCs w:val="25"/>
          <w:lang w:val="en-GB"/>
        </w:rPr>
        <w:tab/>
      </w:r>
      <w:r w:rsidRPr="00CB0367">
        <w:rPr>
          <w:rFonts w:ascii="Arial" w:hAnsi="Arial" w:cs="Arial"/>
          <w:sz w:val="25"/>
          <w:szCs w:val="25"/>
          <w:lang w:val="en-GB"/>
        </w:rPr>
        <w:tab/>
      </w:r>
      <w:r w:rsidRPr="00CB0367">
        <w:rPr>
          <w:rFonts w:ascii="Arial" w:hAnsi="Arial" w:cs="Arial"/>
          <w:sz w:val="25"/>
          <w:szCs w:val="25"/>
          <w:lang w:val="en-GB"/>
        </w:rPr>
        <w:tab/>
        <w:t>Case number: 47603/2017</w:t>
      </w:r>
    </w:p>
    <w:p w14:paraId="67E407EF" w14:textId="1F644F34" w:rsidR="001D315C" w:rsidRDefault="00607759" w:rsidP="001D315C">
      <w:pPr>
        <w:widowControl w:val="0"/>
        <w:spacing w:before="240" w:after="240" w:line="360" w:lineRule="auto"/>
        <w:rPr>
          <w:rFonts w:ascii="Arial" w:hAnsi="Arial" w:cs="Arial"/>
          <w:sz w:val="25"/>
          <w:szCs w:val="25"/>
          <w:lang w:val="en-GB"/>
        </w:rPr>
      </w:pPr>
      <w:r>
        <w:rPr>
          <w:noProof/>
          <w:lang w:val="en-US"/>
        </w:rPr>
        <mc:AlternateContent>
          <mc:Choice Requires="wps">
            <w:drawing>
              <wp:anchor distT="0" distB="0" distL="114300" distR="114300" simplePos="0" relativeHeight="251659264" behindDoc="0" locked="0" layoutInCell="1" allowOverlap="1" wp14:anchorId="0AB04A88" wp14:editId="7CECF82C">
                <wp:simplePos x="0" y="0"/>
                <wp:positionH relativeFrom="column">
                  <wp:posOffset>0</wp:posOffset>
                </wp:positionH>
                <wp:positionV relativeFrom="paragraph">
                  <wp:posOffset>20320</wp:posOffset>
                </wp:positionV>
                <wp:extent cx="3100705" cy="1865086"/>
                <wp:effectExtent l="0" t="0" r="0" b="1905"/>
                <wp:wrapNone/>
                <wp:docPr id="11930867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0705" cy="186508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693BE08" w14:textId="77777777" w:rsidR="00607759" w:rsidRDefault="00607759" w:rsidP="00607759">
                            <w:pPr>
                              <w:pBdr>
                                <w:top w:val="single" w:sz="4" w:space="1" w:color="auto"/>
                                <w:left w:val="single" w:sz="4" w:space="4" w:color="auto"/>
                                <w:bottom w:val="single" w:sz="4" w:space="1" w:color="auto"/>
                                <w:right w:val="single" w:sz="4" w:space="4" w:color="auto"/>
                              </w:pBdr>
                              <w:spacing w:before="120"/>
                            </w:pPr>
                            <w:r>
                              <w:t xml:space="preserve">Reportable: </w:t>
                            </w:r>
                            <w:r w:rsidRPr="000C1248">
                              <w:rPr>
                                <w:strike/>
                              </w:rPr>
                              <w:t>Yes</w:t>
                            </w:r>
                            <w:r>
                              <w:t xml:space="preserve"> / No</w:t>
                            </w:r>
                          </w:p>
                          <w:p w14:paraId="5CEDF8F8" w14:textId="77777777" w:rsidR="00607759" w:rsidRDefault="00607759" w:rsidP="00607759">
                            <w:pPr>
                              <w:pBdr>
                                <w:top w:val="single" w:sz="4" w:space="1" w:color="auto"/>
                                <w:left w:val="single" w:sz="4" w:space="4" w:color="auto"/>
                                <w:bottom w:val="single" w:sz="4" w:space="1" w:color="auto"/>
                                <w:right w:val="single" w:sz="4" w:space="4" w:color="auto"/>
                              </w:pBdr>
                              <w:spacing w:before="120"/>
                            </w:pPr>
                            <w:r>
                              <w:t xml:space="preserve">Of interest to other judges: </w:t>
                            </w:r>
                            <w:r w:rsidRPr="000C1248">
                              <w:rPr>
                                <w:strike/>
                              </w:rPr>
                              <w:t>Yes</w:t>
                            </w:r>
                            <w:r>
                              <w:t xml:space="preserve"> / No</w:t>
                            </w:r>
                          </w:p>
                          <w:p w14:paraId="3075278C" w14:textId="77777777" w:rsidR="00607759" w:rsidRDefault="00607759" w:rsidP="00607759">
                            <w:pPr>
                              <w:pBdr>
                                <w:top w:val="single" w:sz="4" w:space="1" w:color="auto"/>
                                <w:left w:val="single" w:sz="4" w:space="4" w:color="auto"/>
                                <w:bottom w:val="single" w:sz="4" w:space="1" w:color="auto"/>
                                <w:right w:val="single" w:sz="4" w:space="4" w:color="auto"/>
                              </w:pBdr>
                              <w:spacing w:before="120"/>
                            </w:pPr>
                            <w:r>
                              <w:t>Revised: No</w:t>
                            </w:r>
                          </w:p>
                          <w:p w14:paraId="197AFD74" w14:textId="77777777" w:rsidR="00607759" w:rsidRDefault="00607759" w:rsidP="00607759">
                            <w:pPr>
                              <w:pBdr>
                                <w:top w:val="single" w:sz="4" w:space="1" w:color="auto"/>
                                <w:left w:val="single" w:sz="4" w:space="4" w:color="auto"/>
                                <w:bottom w:val="single" w:sz="4" w:space="1" w:color="auto"/>
                                <w:right w:val="single" w:sz="4" w:space="4" w:color="auto"/>
                              </w:pBdr>
                              <w:spacing w:before="120"/>
                            </w:pPr>
                          </w:p>
                          <w:p w14:paraId="1E5A0B95" w14:textId="77777777" w:rsidR="00607759" w:rsidRDefault="00607759" w:rsidP="00607759">
                            <w:pPr>
                              <w:pBdr>
                                <w:top w:val="single" w:sz="4" w:space="1" w:color="auto"/>
                                <w:left w:val="single" w:sz="4" w:space="4" w:color="auto"/>
                                <w:bottom w:val="single" w:sz="4" w:space="1" w:color="auto"/>
                                <w:right w:val="single" w:sz="4" w:space="4" w:color="auto"/>
                              </w:pBdr>
                              <w:spacing w:before="120"/>
                            </w:pPr>
                            <w:r>
                              <w:tab/>
                            </w:r>
                            <w:r>
                              <w:tab/>
                            </w:r>
                            <w:r>
                              <w:tab/>
                              <w:t>____________</w:t>
                            </w:r>
                          </w:p>
                          <w:p w14:paraId="7F7B0EB1" w14:textId="1882491C" w:rsidR="00607759" w:rsidRDefault="00607759" w:rsidP="00607759">
                            <w:pPr>
                              <w:pBdr>
                                <w:top w:val="single" w:sz="4" w:space="1" w:color="auto"/>
                                <w:left w:val="single" w:sz="4" w:space="4" w:color="auto"/>
                                <w:bottom w:val="single" w:sz="4" w:space="1" w:color="auto"/>
                                <w:right w:val="single" w:sz="4" w:space="4" w:color="auto"/>
                              </w:pBdr>
                              <w:spacing w:before="120"/>
                            </w:pPr>
                            <w:r>
                              <w:t>Date: 28 June 2023</w:t>
                            </w:r>
                            <w:r>
                              <w:tab/>
                              <w:t>A B Bishop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type w14:anchorId="0AB04A88" id="_x0000_t202" coordsize="21600,21600" o:spt="202" path="m,l,21600r21600,l21600,xe">
                <v:stroke joinstyle="miter"/>
                <v:path gradientshapeok="t" o:connecttype="rect"/>
              </v:shapetype>
              <v:shape id="Text Box 2" o:spid="_x0000_s1026" type="#_x0000_t202" style="position:absolute;margin-left:0;margin-top:1.6pt;width:244.15pt;height:1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" stroked="f" strokeweight=".5pt">
                <v:path arrowok="t"/>
                <v:textbox>
                  <w:txbxContent>
                    <w:p w14:paraId="3693BE08" w14:textId="77777777" w:rsidR="00607759" w:rsidRDefault="00607759" w:rsidP="00607759">
                      <w:pPr>
                        <w:pBdr>
                          <w:top w:val="single" w:sz="4" w:space="1" w:color="auto"/>
                          <w:left w:val="single" w:sz="4" w:space="4" w:color="auto"/>
                          <w:bottom w:val="single" w:sz="4" w:space="1" w:color="auto"/>
                          <w:right w:val="single" w:sz="4" w:space="4" w:color="auto"/>
                        </w:pBdr>
                        <w:spacing w:before="120"/>
                      </w:pPr>
                      <w:r>
                        <w:t xml:space="preserve">Reportable: </w:t>
                      </w:r>
                      <w:r w:rsidRPr="000C1248">
                        <w:rPr>
                          <w:strike/>
                        </w:rPr>
                        <w:t>Yes</w:t>
                      </w:r>
                      <w:r>
                        <w:t xml:space="preserve"> / No</w:t>
                      </w:r>
                    </w:p>
                    <w:p w14:paraId="5CEDF8F8" w14:textId="77777777" w:rsidR="00607759" w:rsidRDefault="00607759" w:rsidP="00607759">
                      <w:pPr>
                        <w:pBdr>
                          <w:top w:val="single" w:sz="4" w:space="1" w:color="auto"/>
                          <w:left w:val="single" w:sz="4" w:space="4" w:color="auto"/>
                          <w:bottom w:val="single" w:sz="4" w:space="1" w:color="auto"/>
                          <w:right w:val="single" w:sz="4" w:space="4" w:color="auto"/>
                        </w:pBdr>
                        <w:spacing w:before="120"/>
                      </w:pPr>
                      <w:r>
                        <w:t xml:space="preserve">Of interest to other judges: </w:t>
                      </w:r>
                      <w:r w:rsidRPr="000C1248">
                        <w:rPr>
                          <w:strike/>
                        </w:rPr>
                        <w:t>Yes</w:t>
                      </w:r>
                      <w:r>
                        <w:t xml:space="preserve"> / No</w:t>
                      </w:r>
                    </w:p>
                    <w:p w14:paraId="3075278C" w14:textId="77777777" w:rsidR="00607759" w:rsidRDefault="00607759" w:rsidP="00607759">
                      <w:pPr>
                        <w:pBdr>
                          <w:top w:val="single" w:sz="4" w:space="1" w:color="auto"/>
                          <w:left w:val="single" w:sz="4" w:space="4" w:color="auto"/>
                          <w:bottom w:val="single" w:sz="4" w:space="1" w:color="auto"/>
                          <w:right w:val="single" w:sz="4" w:space="4" w:color="auto"/>
                        </w:pBdr>
                        <w:spacing w:before="120"/>
                      </w:pPr>
                      <w:r>
                        <w:t>Revised: No</w:t>
                      </w:r>
                    </w:p>
                    <w:p w14:paraId="197AFD74" w14:textId="77777777" w:rsidR="00607759" w:rsidRDefault="00607759" w:rsidP="00607759">
                      <w:pPr>
                        <w:pBdr>
                          <w:top w:val="single" w:sz="4" w:space="1" w:color="auto"/>
                          <w:left w:val="single" w:sz="4" w:space="4" w:color="auto"/>
                          <w:bottom w:val="single" w:sz="4" w:space="1" w:color="auto"/>
                          <w:right w:val="single" w:sz="4" w:space="4" w:color="auto"/>
                        </w:pBdr>
                        <w:spacing w:before="120"/>
                      </w:pPr>
                    </w:p>
                    <w:p w14:paraId="1E5A0B95" w14:textId="77777777" w:rsidR="00607759" w:rsidRDefault="00607759" w:rsidP="00607759">
                      <w:pPr>
                        <w:pBdr>
                          <w:top w:val="single" w:sz="4" w:space="1" w:color="auto"/>
                          <w:left w:val="single" w:sz="4" w:space="4" w:color="auto"/>
                          <w:bottom w:val="single" w:sz="4" w:space="1" w:color="auto"/>
                          <w:right w:val="single" w:sz="4" w:space="4" w:color="auto"/>
                        </w:pBdr>
                        <w:spacing w:before="120"/>
                      </w:pPr>
                      <w:r>
                        <w:tab/>
                      </w:r>
                      <w:r>
                        <w:tab/>
                      </w:r>
                      <w:r>
                        <w:tab/>
                        <w:t>____________</w:t>
                      </w:r>
                    </w:p>
                    <w:p w14:paraId="7F7B0EB1" w14:textId="1882491C" w:rsidR="00607759" w:rsidRDefault="00607759" w:rsidP="00607759">
                      <w:pPr>
                        <w:pBdr>
                          <w:top w:val="single" w:sz="4" w:space="1" w:color="auto"/>
                          <w:left w:val="single" w:sz="4" w:space="4" w:color="auto"/>
                          <w:bottom w:val="single" w:sz="4" w:space="1" w:color="auto"/>
                          <w:right w:val="single" w:sz="4" w:space="4" w:color="auto"/>
                        </w:pBdr>
                        <w:spacing w:before="120"/>
                      </w:pPr>
                      <w:r>
                        <w:t xml:space="preserve">Date: </w:t>
                      </w:r>
                      <w:r>
                        <w:t>28</w:t>
                      </w:r>
                      <w:r>
                        <w:t xml:space="preserve"> </w:t>
                      </w:r>
                      <w:r>
                        <w:t>June</w:t>
                      </w:r>
                      <w:r>
                        <w:t xml:space="preserve"> 202</w:t>
                      </w:r>
                      <w:r>
                        <w:t>3</w:t>
                      </w:r>
                      <w:r>
                        <w:tab/>
                        <w:t>A B Bishop</w:t>
                      </w:r>
                    </w:p>
                  </w:txbxContent>
                </v:textbox>
              </v:shape>
            </w:pict>
          </mc:Fallback>
        </mc:AlternateContent>
      </w:r>
    </w:p>
    <w:p w14:paraId="167CAECF" w14:textId="0E75CB14" w:rsidR="00607759" w:rsidRDefault="00607759" w:rsidP="001D315C">
      <w:pPr>
        <w:widowControl w:val="0"/>
        <w:spacing w:before="240" w:after="240" w:line="360" w:lineRule="auto"/>
        <w:rPr>
          <w:rFonts w:ascii="Arial" w:hAnsi="Arial" w:cs="Arial"/>
          <w:sz w:val="25"/>
          <w:szCs w:val="25"/>
          <w:lang w:val="en-GB"/>
        </w:rPr>
      </w:pPr>
    </w:p>
    <w:p w14:paraId="7CCA5EFE" w14:textId="3B008E6A" w:rsidR="00607759" w:rsidRDefault="00607759" w:rsidP="001D315C">
      <w:pPr>
        <w:widowControl w:val="0"/>
        <w:spacing w:before="240" w:after="240" w:line="360" w:lineRule="auto"/>
        <w:rPr>
          <w:rFonts w:ascii="Arial" w:hAnsi="Arial" w:cs="Arial"/>
          <w:sz w:val="25"/>
          <w:szCs w:val="25"/>
          <w:lang w:val="en-GB"/>
        </w:rPr>
      </w:pPr>
    </w:p>
    <w:p w14:paraId="138CAC8F" w14:textId="77777777" w:rsidR="00607759" w:rsidRDefault="00607759" w:rsidP="001D315C">
      <w:pPr>
        <w:widowControl w:val="0"/>
        <w:spacing w:before="240" w:after="240" w:line="360" w:lineRule="auto"/>
        <w:rPr>
          <w:rFonts w:ascii="Arial" w:hAnsi="Arial" w:cs="Arial"/>
          <w:sz w:val="25"/>
          <w:szCs w:val="25"/>
          <w:lang w:val="en-GB"/>
        </w:rPr>
      </w:pPr>
    </w:p>
    <w:p w14:paraId="103FAB9E" w14:textId="77777777" w:rsidR="00607759" w:rsidRPr="00CB0367" w:rsidRDefault="00607759" w:rsidP="001D315C">
      <w:pPr>
        <w:widowControl w:val="0"/>
        <w:spacing w:before="240" w:after="240" w:line="360" w:lineRule="auto"/>
        <w:rPr>
          <w:rFonts w:ascii="Arial" w:hAnsi="Arial" w:cs="Arial"/>
          <w:sz w:val="25"/>
          <w:szCs w:val="25"/>
          <w:lang w:val="en-GB"/>
        </w:rPr>
      </w:pPr>
    </w:p>
    <w:p w14:paraId="62803A80" w14:textId="2D5175B2" w:rsidR="001D315C" w:rsidRPr="00CB0367" w:rsidRDefault="001D315C" w:rsidP="00607759">
      <w:pPr>
        <w:widowControl w:val="0"/>
        <w:spacing w:before="240" w:after="240"/>
        <w:rPr>
          <w:rFonts w:ascii="Arial" w:hAnsi="Arial" w:cs="Arial"/>
          <w:sz w:val="25"/>
          <w:szCs w:val="25"/>
          <w:lang w:val="en-GB"/>
        </w:rPr>
      </w:pPr>
      <w:r w:rsidRPr="00CB0367">
        <w:rPr>
          <w:rFonts w:ascii="Arial" w:hAnsi="Arial" w:cs="Arial"/>
          <w:sz w:val="25"/>
          <w:szCs w:val="25"/>
          <w:lang w:val="en-GB"/>
        </w:rPr>
        <w:t>In the matter between:</w:t>
      </w:r>
    </w:p>
    <w:p w14:paraId="00943473" w14:textId="59553D8A" w:rsidR="001D315C" w:rsidRPr="00CB0367" w:rsidRDefault="001D315C" w:rsidP="00607759">
      <w:pPr>
        <w:widowControl w:val="0"/>
        <w:spacing w:before="240" w:after="240"/>
        <w:rPr>
          <w:rFonts w:ascii="Arial" w:hAnsi="Arial" w:cs="Arial"/>
          <w:sz w:val="25"/>
          <w:szCs w:val="25"/>
          <w:lang w:val="en-GB"/>
        </w:rPr>
      </w:pPr>
      <w:r w:rsidRPr="00CB0367">
        <w:rPr>
          <w:rFonts w:ascii="Arial" w:hAnsi="Arial" w:cs="Arial"/>
          <w:b/>
          <w:bCs/>
          <w:sz w:val="25"/>
          <w:szCs w:val="25"/>
          <w:lang w:val="en-GB"/>
        </w:rPr>
        <w:t>NQABA GUARANTEE SPV (PTY) LTD</w:t>
      </w:r>
      <w:r w:rsidRPr="00CB0367">
        <w:rPr>
          <w:rFonts w:ascii="Arial" w:hAnsi="Arial" w:cs="Arial"/>
          <w:sz w:val="25"/>
          <w:szCs w:val="25"/>
          <w:lang w:val="en-GB"/>
        </w:rPr>
        <w:tab/>
      </w:r>
      <w:r w:rsidRPr="00CB0367">
        <w:rPr>
          <w:rFonts w:ascii="Arial" w:hAnsi="Arial" w:cs="Arial"/>
          <w:sz w:val="25"/>
          <w:szCs w:val="25"/>
          <w:lang w:val="en-GB"/>
        </w:rPr>
        <w:tab/>
      </w:r>
      <w:r w:rsidRPr="00CB0367">
        <w:rPr>
          <w:rFonts w:ascii="Arial" w:hAnsi="Arial" w:cs="Arial"/>
          <w:sz w:val="25"/>
          <w:szCs w:val="25"/>
          <w:lang w:val="en-GB"/>
        </w:rPr>
        <w:tab/>
        <w:t>First Applicant</w:t>
      </w:r>
    </w:p>
    <w:p w14:paraId="625FA8F8" w14:textId="3626B086" w:rsidR="001D315C" w:rsidRPr="00CB0367" w:rsidRDefault="001D315C" w:rsidP="00607759">
      <w:pPr>
        <w:widowControl w:val="0"/>
        <w:spacing w:before="240" w:after="240"/>
        <w:rPr>
          <w:rFonts w:ascii="Arial" w:hAnsi="Arial" w:cs="Arial"/>
          <w:sz w:val="25"/>
          <w:szCs w:val="25"/>
          <w:lang w:val="en-GB"/>
        </w:rPr>
      </w:pPr>
      <w:r w:rsidRPr="00CB0367">
        <w:rPr>
          <w:rFonts w:ascii="Arial" w:hAnsi="Arial" w:cs="Arial"/>
          <w:b/>
          <w:bCs/>
          <w:sz w:val="25"/>
          <w:szCs w:val="25"/>
          <w:lang w:val="en-GB"/>
        </w:rPr>
        <w:t>ESKOM FINANCE COMPANY SOC LTD</w:t>
      </w:r>
      <w:r w:rsidRPr="00CB0367">
        <w:rPr>
          <w:rFonts w:ascii="Arial" w:hAnsi="Arial" w:cs="Arial"/>
          <w:sz w:val="25"/>
          <w:szCs w:val="25"/>
          <w:lang w:val="en-GB"/>
        </w:rPr>
        <w:tab/>
      </w:r>
      <w:r w:rsidRPr="00CB0367">
        <w:rPr>
          <w:rFonts w:ascii="Arial" w:hAnsi="Arial" w:cs="Arial"/>
          <w:sz w:val="25"/>
          <w:szCs w:val="25"/>
          <w:lang w:val="en-GB"/>
        </w:rPr>
        <w:tab/>
      </w:r>
      <w:r w:rsidRPr="00CB0367">
        <w:rPr>
          <w:rFonts w:ascii="Arial" w:hAnsi="Arial" w:cs="Arial"/>
          <w:sz w:val="25"/>
          <w:szCs w:val="25"/>
          <w:lang w:val="en-GB"/>
        </w:rPr>
        <w:tab/>
        <w:t>Second Applicant</w:t>
      </w:r>
    </w:p>
    <w:p w14:paraId="3BFDDA09" w14:textId="38FD1616" w:rsidR="001D315C" w:rsidRPr="00CB0367" w:rsidRDefault="001D315C" w:rsidP="00607759">
      <w:pPr>
        <w:widowControl w:val="0"/>
        <w:spacing w:before="240" w:after="240"/>
        <w:rPr>
          <w:rFonts w:ascii="Arial" w:hAnsi="Arial" w:cs="Arial"/>
          <w:sz w:val="25"/>
          <w:szCs w:val="25"/>
          <w:lang w:val="en-GB"/>
        </w:rPr>
      </w:pPr>
      <w:proofErr w:type="gramStart"/>
      <w:r w:rsidRPr="00CB0367">
        <w:rPr>
          <w:rFonts w:ascii="Arial" w:hAnsi="Arial" w:cs="Arial"/>
          <w:sz w:val="25"/>
          <w:szCs w:val="25"/>
          <w:lang w:val="en-GB"/>
        </w:rPr>
        <w:t>and</w:t>
      </w:r>
      <w:proofErr w:type="gramEnd"/>
    </w:p>
    <w:p w14:paraId="56DB7B4B" w14:textId="44CC2CFE" w:rsidR="001D315C" w:rsidRPr="00CB0367" w:rsidRDefault="001D315C" w:rsidP="00607759">
      <w:pPr>
        <w:widowControl w:val="0"/>
        <w:spacing w:before="240" w:after="240"/>
        <w:rPr>
          <w:rFonts w:ascii="Arial" w:hAnsi="Arial" w:cs="Arial"/>
          <w:sz w:val="25"/>
          <w:szCs w:val="25"/>
          <w:lang w:val="en-GB"/>
        </w:rPr>
      </w:pPr>
      <w:r w:rsidRPr="00CB0367">
        <w:rPr>
          <w:rFonts w:ascii="Arial" w:hAnsi="Arial" w:cs="Arial"/>
          <w:b/>
          <w:bCs/>
          <w:sz w:val="25"/>
          <w:szCs w:val="25"/>
          <w:lang w:val="en-GB"/>
        </w:rPr>
        <w:t>KHAYELIHLE TRUST</w:t>
      </w:r>
      <w:r w:rsidRPr="00CB0367">
        <w:rPr>
          <w:rFonts w:ascii="Arial" w:hAnsi="Arial" w:cs="Arial"/>
          <w:b/>
          <w:bCs/>
          <w:sz w:val="25"/>
          <w:szCs w:val="25"/>
          <w:lang w:val="en-GB"/>
        </w:rPr>
        <w:tab/>
      </w:r>
      <w:r w:rsidRPr="00CB0367">
        <w:rPr>
          <w:rFonts w:ascii="Arial" w:hAnsi="Arial" w:cs="Arial"/>
          <w:b/>
          <w:bCs/>
          <w:sz w:val="25"/>
          <w:szCs w:val="25"/>
          <w:lang w:val="en-GB"/>
        </w:rPr>
        <w:tab/>
      </w:r>
      <w:r w:rsidRPr="00CB0367">
        <w:rPr>
          <w:rFonts w:ascii="Arial" w:hAnsi="Arial" w:cs="Arial"/>
          <w:b/>
          <w:bCs/>
          <w:sz w:val="25"/>
          <w:szCs w:val="25"/>
          <w:lang w:val="en-GB"/>
        </w:rPr>
        <w:tab/>
      </w:r>
      <w:r w:rsidRPr="00CB0367">
        <w:rPr>
          <w:rFonts w:ascii="Arial" w:hAnsi="Arial" w:cs="Arial"/>
          <w:b/>
          <w:bCs/>
          <w:sz w:val="25"/>
          <w:szCs w:val="25"/>
          <w:lang w:val="en-GB"/>
        </w:rPr>
        <w:tab/>
      </w:r>
      <w:r w:rsidRPr="00CB0367">
        <w:rPr>
          <w:rFonts w:ascii="Arial" w:hAnsi="Arial" w:cs="Arial"/>
          <w:b/>
          <w:bCs/>
          <w:sz w:val="25"/>
          <w:szCs w:val="25"/>
          <w:lang w:val="en-GB"/>
        </w:rPr>
        <w:tab/>
      </w:r>
      <w:r w:rsidRPr="00CB0367">
        <w:rPr>
          <w:rFonts w:ascii="Arial" w:hAnsi="Arial" w:cs="Arial"/>
          <w:b/>
          <w:bCs/>
          <w:sz w:val="25"/>
          <w:szCs w:val="25"/>
          <w:lang w:val="en-GB"/>
        </w:rPr>
        <w:tab/>
      </w:r>
      <w:r w:rsidRPr="00CB0367">
        <w:rPr>
          <w:rFonts w:ascii="Arial" w:hAnsi="Arial" w:cs="Arial"/>
          <w:sz w:val="25"/>
          <w:szCs w:val="25"/>
          <w:lang w:val="en-GB"/>
        </w:rPr>
        <w:t>First Respondent</w:t>
      </w:r>
    </w:p>
    <w:p w14:paraId="20A671BE" w14:textId="041F29D3" w:rsidR="001D315C" w:rsidRPr="00CB0367" w:rsidRDefault="001D315C" w:rsidP="00607759">
      <w:pPr>
        <w:widowControl w:val="0"/>
        <w:spacing w:before="240" w:after="240"/>
        <w:rPr>
          <w:rFonts w:ascii="Arial" w:hAnsi="Arial" w:cs="Arial"/>
          <w:sz w:val="25"/>
          <w:szCs w:val="25"/>
          <w:lang w:val="en-GB"/>
        </w:rPr>
      </w:pPr>
      <w:r w:rsidRPr="00CB0367">
        <w:rPr>
          <w:rFonts w:ascii="Arial" w:hAnsi="Arial" w:cs="Arial"/>
          <w:b/>
          <w:bCs/>
          <w:sz w:val="25"/>
          <w:szCs w:val="25"/>
          <w:lang w:val="en-GB"/>
        </w:rPr>
        <w:t>DALINGCEBO EMMANUEL NGUTSHANE</w:t>
      </w:r>
      <w:r w:rsidRPr="00CB0367">
        <w:rPr>
          <w:rFonts w:ascii="Arial" w:hAnsi="Arial" w:cs="Arial"/>
          <w:b/>
          <w:bCs/>
          <w:sz w:val="25"/>
          <w:szCs w:val="25"/>
          <w:lang w:val="en-GB"/>
        </w:rPr>
        <w:tab/>
      </w:r>
      <w:r w:rsidRPr="00CB0367">
        <w:rPr>
          <w:rFonts w:ascii="Arial" w:hAnsi="Arial" w:cs="Arial"/>
          <w:b/>
          <w:bCs/>
          <w:sz w:val="25"/>
          <w:szCs w:val="25"/>
          <w:lang w:val="en-GB"/>
        </w:rPr>
        <w:tab/>
      </w:r>
      <w:r w:rsidRPr="00CB0367">
        <w:rPr>
          <w:rFonts w:ascii="Arial" w:hAnsi="Arial" w:cs="Arial"/>
          <w:b/>
          <w:bCs/>
          <w:sz w:val="25"/>
          <w:szCs w:val="25"/>
          <w:lang w:val="en-GB"/>
        </w:rPr>
        <w:tab/>
      </w:r>
      <w:r w:rsidRPr="00CB0367">
        <w:rPr>
          <w:rFonts w:ascii="Arial" w:hAnsi="Arial" w:cs="Arial"/>
          <w:sz w:val="25"/>
          <w:szCs w:val="25"/>
          <w:lang w:val="en-GB"/>
        </w:rPr>
        <w:t>Second Respondent</w:t>
      </w:r>
    </w:p>
    <w:p w14:paraId="62AF232F" w14:textId="4C2978C1" w:rsidR="001D315C" w:rsidRPr="00CB0367" w:rsidRDefault="001D315C">
      <w:pPr>
        <w:rPr>
          <w:rFonts w:ascii="Arial" w:hAnsi="Arial" w:cs="Arial"/>
          <w:sz w:val="25"/>
          <w:szCs w:val="25"/>
          <w:lang w:val="en-GB"/>
        </w:rPr>
      </w:pPr>
      <w:r w:rsidRPr="00CB0367">
        <w:rPr>
          <w:rFonts w:ascii="Arial" w:hAnsi="Arial" w:cs="Arial"/>
          <w:sz w:val="25"/>
          <w:szCs w:val="25"/>
          <w:lang w:val="en-GB"/>
        </w:rPr>
        <w:t>________________________________________________________________</w:t>
      </w:r>
    </w:p>
    <w:p w14:paraId="1F2AA6A9" w14:textId="77777777" w:rsidR="001D315C" w:rsidRPr="00CB0367" w:rsidRDefault="001D315C">
      <w:pPr>
        <w:rPr>
          <w:rFonts w:ascii="Arial" w:hAnsi="Arial" w:cs="Arial"/>
          <w:sz w:val="25"/>
          <w:szCs w:val="25"/>
          <w:lang w:val="en-GB"/>
        </w:rPr>
      </w:pPr>
    </w:p>
    <w:p w14:paraId="511064B5" w14:textId="0BB074A0" w:rsidR="001D315C" w:rsidRPr="00CB0367" w:rsidRDefault="001D315C" w:rsidP="001D315C">
      <w:pPr>
        <w:jc w:val="center"/>
        <w:rPr>
          <w:rFonts w:ascii="Arial" w:hAnsi="Arial" w:cs="Arial"/>
          <w:b/>
          <w:bCs/>
          <w:sz w:val="25"/>
          <w:szCs w:val="25"/>
          <w:lang w:val="en-GB"/>
        </w:rPr>
      </w:pPr>
      <w:r w:rsidRPr="00CB0367">
        <w:rPr>
          <w:rFonts w:ascii="Arial" w:hAnsi="Arial" w:cs="Arial"/>
          <w:b/>
          <w:bCs/>
          <w:sz w:val="25"/>
          <w:szCs w:val="25"/>
          <w:lang w:val="en-GB"/>
        </w:rPr>
        <w:t>JUDGMENT</w:t>
      </w:r>
    </w:p>
    <w:p w14:paraId="1394ED36" w14:textId="6977AEEF" w:rsidR="001D315C" w:rsidRPr="00CB0367" w:rsidRDefault="001D315C" w:rsidP="001D315C">
      <w:pPr>
        <w:spacing w:before="120"/>
        <w:rPr>
          <w:rFonts w:ascii="Arial" w:hAnsi="Arial" w:cs="Arial"/>
          <w:sz w:val="25"/>
          <w:szCs w:val="25"/>
          <w:lang w:val="en-GB"/>
        </w:rPr>
      </w:pPr>
      <w:r w:rsidRPr="00CB0367">
        <w:rPr>
          <w:rFonts w:ascii="Arial" w:hAnsi="Arial" w:cs="Arial"/>
          <w:sz w:val="25"/>
          <w:szCs w:val="25"/>
          <w:lang w:val="en-GB"/>
        </w:rPr>
        <w:t>________________________________________________________________</w:t>
      </w:r>
    </w:p>
    <w:p w14:paraId="34AE06B4" w14:textId="77777777" w:rsidR="001D315C" w:rsidRDefault="001D315C">
      <w:pPr>
        <w:rPr>
          <w:rFonts w:ascii="Arial" w:hAnsi="Arial" w:cs="Arial"/>
          <w:sz w:val="25"/>
          <w:szCs w:val="25"/>
          <w:lang w:val="en-GB"/>
        </w:rPr>
      </w:pPr>
    </w:p>
    <w:p w14:paraId="3EF14705" w14:textId="1613E744" w:rsidR="00607759" w:rsidRPr="00CB0367" w:rsidRDefault="00607759" w:rsidP="00607759">
      <w:pPr>
        <w:keepNext/>
        <w:widowControl w:val="0"/>
        <w:rPr>
          <w:rFonts w:ascii="Arial" w:hAnsi="Arial" w:cs="Arial"/>
          <w:sz w:val="25"/>
          <w:szCs w:val="25"/>
          <w:lang w:val="en-GB"/>
        </w:rPr>
      </w:pPr>
      <w:r w:rsidRPr="00607759">
        <w:rPr>
          <w:rFonts w:ascii="Arial" w:hAnsi="Arial" w:cs="Arial"/>
          <w:sz w:val="25"/>
          <w:szCs w:val="25"/>
          <w:u w:val="single"/>
          <w:lang w:val="en-GB"/>
        </w:rPr>
        <w:t>BISHOP AJ</w:t>
      </w:r>
      <w:r>
        <w:rPr>
          <w:rFonts w:ascii="Arial" w:hAnsi="Arial" w:cs="Arial"/>
          <w:sz w:val="25"/>
          <w:szCs w:val="25"/>
          <w:lang w:val="en-GB"/>
        </w:rPr>
        <w:t>:</w:t>
      </w:r>
    </w:p>
    <w:p w14:paraId="44B2D8E2" w14:textId="71A27C13" w:rsidR="001D315C" w:rsidRPr="00B93EAF" w:rsidRDefault="00B93EAF" w:rsidP="00B93EAF">
      <w:pPr>
        <w:spacing w:before="480" w:after="240" w:line="480" w:lineRule="auto"/>
        <w:ind w:left="851" w:hanging="851"/>
        <w:jc w:val="both"/>
        <w:rPr>
          <w:rFonts w:ascii="Arial" w:hAnsi="Arial" w:cs="Arial"/>
          <w:sz w:val="25"/>
          <w:szCs w:val="25"/>
          <w:lang w:val="en-GB"/>
        </w:rPr>
      </w:pPr>
      <w:r w:rsidRPr="00CB0367">
        <w:rPr>
          <w:rFonts w:ascii="Arial" w:hAnsi="Arial" w:cs="Arial"/>
          <w:sz w:val="25"/>
          <w:szCs w:val="25"/>
          <w:lang w:val="en-GB"/>
        </w:rPr>
        <w:t>[1]</w:t>
      </w:r>
      <w:r w:rsidRPr="00CB0367">
        <w:rPr>
          <w:rFonts w:ascii="Arial" w:hAnsi="Arial" w:cs="Arial"/>
          <w:sz w:val="25"/>
          <w:szCs w:val="25"/>
          <w:lang w:val="en-GB"/>
        </w:rPr>
        <w:tab/>
      </w:r>
      <w:r w:rsidR="001D315C" w:rsidRPr="00B93EAF">
        <w:rPr>
          <w:rFonts w:ascii="Arial" w:hAnsi="Arial" w:cs="Arial"/>
          <w:sz w:val="25"/>
          <w:szCs w:val="25"/>
          <w:lang w:val="en-GB"/>
        </w:rPr>
        <w:t xml:space="preserve">The first and second applicants, </w:t>
      </w:r>
      <w:proofErr w:type="spellStart"/>
      <w:r w:rsidR="001D315C" w:rsidRPr="00B93EAF">
        <w:rPr>
          <w:rFonts w:ascii="Arial" w:hAnsi="Arial" w:cs="Arial"/>
          <w:sz w:val="25"/>
          <w:szCs w:val="25"/>
          <w:lang w:val="en-GB"/>
        </w:rPr>
        <w:t>Nqaba</w:t>
      </w:r>
      <w:proofErr w:type="spellEnd"/>
      <w:r w:rsidR="001D315C" w:rsidRPr="00B93EAF">
        <w:rPr>
          <w:rFonts w:ascii="Arial" w:hAnsi="Arial" w:cs="Arial"/>
          <w:sz w:val="25"/>
          <w:szCs w:val="25"/>
          <w:lang w:val="en-GB"/>
        </w:rPr>
        <w:t xml:space="preserve"> Guarantee SPV (Pty) Ltd (</w:t>
      </w:r>
      <w:proofErr w:type="spellStart"/>
      <w:r w:rsidR="001D315C" w:rsidRPr="00B93EAF">
        <w:rPr>
          <w:rFonts w:ascii="Arial" w:hAnsi="Arial" w:cs="Arial"/>
          <w:i/>
          <w:iCs/>
          <w:sz w:val="25"/>
          <w:szCs w:val="25"/>
          <w:lang w:val="en-GB"/>
        </w:rPr>
        <w:t>Nqaba</w:t>
      </w:r>
      <w:proofErr w:type="spellEnd"/>
      <w:r w:rsidR="001D315C" w:rsidRPr="00B93EAF">
        <w:rPr>
          <w:rFonts w:ascii="Arial" w:hAnsi="Arial" w:cs="Arial"/>
          <w:sz w:val="25"/>
          <w:szCs w:val="25"/>
          <w:lang w:val="en-GB"/>
        </w:rPr>
        <w:t>) and Eskom Finance Company SOC Ltd (</w:t>
      </w:r>
      <w:r w:rsidR="00467C0A" w:rsidRPr="00B93EAF">
        <w:rPr>
          <w:rFonts w:ascii="Arial" w:hAnsi="Arial" w:cs="Arial"/>
          <w:i/>
          <w:iCs/>
          <w:sz w:val="25"/>
          <w:szCs w:val="25"/>
          <w:lang w:val="en-GB"/>
        </w:rPr>
        <w:t>EFC</w:t>
      </w:r>
      <w:r w:rsidR="001D315C" w:rsidRPr="00B93EAF">
        <w:rPr>
          <w:rFonts w:ascii="Arial" w:hAnsi="Arial" w:cs="Arial"/>
          <w:sz w:val="25"/>
          <w:szCs w:val="25"/>
          <w:lang w:val="en-GB"/>
        </w:rPr>
        <w:t>), seek judgment for R1 409 506</w:t>
      </w:r>
      <w:proofErr w:type="gramStart"/>
      <w:r w:rsidR="001D315C" w:rsidRPr="00B93EAF">
        <w:rPr>
          <w:rFonts w:ascii="Arial" w:hAnsi="Arial" w:cs="Arial"/>
          <w:sz w:val="25"/>
          <w:szCs w:val="25"/>
          <w:lang w:val="en-GB"/>
        </w:rPr>
        <w:t>,76</w:t>
      </w:r>
      <w:proofErr w:type="gramEnd"/>
      <w:r w:rsidR="001D315C" w:rsidRPr="00B93EAF">
        <w:rPr>
          <w:rFonts w:ascii="Arial" w:hAnsi="Arial" w:cs="Arial"/>
          <w:sz w:val="25"/>
          <w:szCs w:val="25"/>
          <w:lang w:val="en-GB"/>
        </w:rPr>
        <w:t xml:space="preserve">, interest thereupon at 13,25% from 1 October 2017 </w:t>
      </w:r>
      <w:r w:rsidR="00467C0A" w:rsidRPr="00B93EAF">
        <w:rPr>
          <w:rFonts w:ascii="Arial" w:hAnsi="Arial" w:cs="Arial"/>
          <w:sz w:val="25"/>
          <w:szCs w:val="25"/>
          <w:lang w:val="en-GB"/>
        </w:rPr>
        <w:t xml:space="preserve">to </w:t>
      </w:r>
      <w:r w:rsidR="001D315C" w:rsidRPr="00B93EAF">
        <w:rPr>
          <w:rFonts w:ascii="Arial" w:hAnsi="Arial" w:cs="Arial"/>
          <w:sz w:val="25"/>
          <w:szCs w:val="25"/>
          <w:lang w:val="en-GB"/>
        </w:rPr>
        <w:t xml:space="preserve">date </w:t>
      </w:r>
      <w:r w:rsidR="001D315C" w:rsidRPr="00B93EAF">
        <w:rPr>
          <w:rFonts w:ascii="Arial" w:hAnsi="Arial" w:cs="Arial"/>
          <w:sz w:val="25"/>
          <w:szCs w:val="25"/>
          <w:lang w:val="en-GB"/>
        </w:rPr>
        <w:lastRenderedPageBreak/>
        <w:t xml:space="preserve">of payment and their costs, on the attorney and client scale, from the first and second respondents, the </w:t>
      </w:r>
      <w:proofErr w:type="spellStart"/>
      <w:r w:rsidR="001D315C" w:rsidRPr="00B93EAF">
        <w:rPr>
          <w:rFonts w:ascii="Arial" w:hAnsi="Arial" w:cs="Arial"/>
          <w:sz w:val="25"/>
          <w:szCs w:val="25"/>
          <w:lang w:val="en-GB"/>
        </w:rPr>
        <w:t>Khanyile</w:t>
      </w:r>
      <w:proofErr w:type="spellEnd"/>
      <w:r w:rsidR="001D315C" w:rsidRPr="00B93EAF">
        <w:rPr>
          <w:rFonts w:ascii="Arial" w:hAnsi="Arial" w:cs="Arial"/>
          <w:sz w:val="25"/>
          <w:szCs w:val="25"/>
          <w:lang w:val="en-GB"/>
        </w:rPr>
        <w:t xml:space="preserve"> Trust </w:t>
      </w:r>
      <w:r w:rsidR="00CB0367" w:rsidRPr="00B93EAF">
        <w:rPr>
          <w:rFonts w:ascii="Arial" w:hAnsi="Arial" w:cs="Arial"/>
          <w:sz w:val="25"/>
          <w:szCs w:val="25"/>
          <w:lang w:val="en-GB"/>
        </w:rPr>
        <w:t>(</w:t>
      </w:r>
      <w:r w:rsidR="00CB0367" w:rsidRPr="00B93EAF">
        <w:rPr>
          <w:rFonts w:ascii="Arial" w:hAnsi="Arial" w:cs="Arial"/>
          <w:i/>
          <w:iCs/>
          <w:sz w:val="25"/>
          <w:szCs w:val="25"/>
          <w:lang w:val="en-GB"/>
        </w:rPr>
        <w:t>the trust</w:t>
      </w:r>
      <w:r w:rsidR="00CB0367" w:rsidRPr="00B93EAF">
        <w:rPr>
          <w:rFonts w:ascii="Arial" w:hAnsi="Arial" w:cs="Arial"/>
          <w:sz w:val="25"/>
          <w:szCs w:val="25"/>
          <w:lang w:val="en-GB"/>
        </w:rPr>
        <w:t xml:space="preserve">) </w:t>
      </w:r>
      <w:r w:rsidR="001D315C" w:rsidRPr="00B93EAF">
        <w:rPr>
          <w:rFonts w:ascii="Arial" w:hAnsi="Arial" w:cs="Arial"/>
          <w:sz w:val="25"/>
          <w:szCs w:val="25"/>
          <w:lang w:val="en-GB"/>
        </w:rPr>
        <w:t xml:space="preserve">and Mr </w:t>
      </w:r>
      <w:proofErr w:type="spellStart"/>
      <w:r w:rsidR="001D315C" w:rsidRPr="00B93EAF">
        <w:rPr>
          <w:rFonts w:ascii="Arial" w:hAnsi="Arial" w:cs="Arial"/>
          <w:sz w:val="25"/>
          <w:szCs w:val="25"/>
          <w:lang w:val="en-GB"/>
        </w:rPr>
        <w:t>Dalingcebo</w:t>
      </w:r>
      <w:proofErr w:type="spellEnd"/>
      <w:r w:rsidR="001D315C" w:rsidRPr="00B93EAF">
        <w:rPr>
          <w:rFonts w:ascii="Arial" w:hAnsi="Arial" w:cs="Arial"/>
          <w:sz w:val="25"/>
          <w:szCs w:val="25"/>
          <w:lang w:val="en-GB"/>
        </w:rPr>
        <w:t xml:space="preserve"> Emmanuel </w:t>
      </w:r>
      <w:proofErr w:type="spellStart"/>
      <w:r w:rsidR="001D315C" w:rsidRPr="00B93EAF">
        <w:rPr>
          <w:rFonts w:ascii="Arial" w:hAnsi="Arial" w:cs="Arial"/>
          <w:sz w:val="25"/>
          <w:szCs w:val="25"/>
          <w:lang w:val="en-GB"/>
        </w:rPr>
        <w:t>Ngutshane</w:t>
      </w:r>
      <w:proofErr w:type="spellEnd"/>
      <w:r w:rsidR="001D315C" w:rsidRPr="00B93EAF">
        <w:rPr>
          <w:rFonts w:ascii="Arial" w:hAnsi="Arial" w:cs="Arial"/>
          <w:sz w:val="25"/>
          <w:szCs w:val="25"/>
          <w:lang w:val="en-GB"/>
        </w:rPr>
        <w:t xml:space="preserve">.  </w:t>
      </w:r>
    </w:p>
    <w:p w14:paraId="61661D60" w14:textId="6C8CDB1F" w:rsidR="001D315C" w:rsidRPr="00B93EAF" w:rsidRDefault="00B93EAF" w:rsidP="00B93EAF">
      <w:pPr>
        <w:spacing w:before="480" w:after="240" w:line="480" w:lineRule="auto"/>
        <w:ind w:left="851" w:hanging="851"/>
        <w:jc w:val="both"/>
        <w:rPr>
          <w:rFonts w:ascii="Arial" w:hAnsi="Arial" w:cs="Arial"/>
          <w:sz w:val="25"/>
          <w:szCs w:val="25"/>
          <w:lang w:val="en-GB"/>
        </w:rPr>
      </w:pPr>
      <w:r>
        <w:rPr>
          <w:rFonts w:ascii="Arial" w:hAnsi="Arial" w:cs="Arial"/>
          <w:sz w:val="25"/>
          <w:szCs w:val="25"/>
          <w:lang w:val="en-GB"/>
        </w:rPr>
        <w:t>[</w:t>
      </w:r>
      <w:bookmarkStart w:id="0" w:name="_GoBack"/>
      <w:bookmarkEnd w:id="0"/>
      <w:r>
        <w:rPr>
          <w:rFonts w:ascii="Arial" w:hAnsi="Arial" w:cs="Arial"/>
          <w:sz w:val="25"/>
          <w:szCs w:val="25"/>
          <w:lang w:val="en-GB"/>
        </w:rPr>
        <w:t>2]</w:t>
      </w:r>
      <w:r>
        <w:rPr>
          <w:rFonts w:ascii="Arial" w:hAnsi="Arial" w:cs="Arial"/>
          <w:sz w:val="25"/>
          <w:szCs w:val="25"/>
          <w:lang w:val="en-GB"/>
        </w:rPr>
        <w:tab/>
      </w:r>
      <w:r w:rsidR="001D315C" w:rsidRPr="00B93EAF">
        <w:rPr>
          <w:rFonts w:ascii="Arial" w:hAnsi="Arial" w:cs="Arial"/>
          <w:sz w:val="25"/>
          <w:szCs w:val="25"/>
          <w:lang w:val="en-GB"/>
        </w:rPr>
        <w:t xml:space="preserve">In addition hereto, they seek </w:t>
      </w:r>
      <w:r w:rsidR="00CB0367" w:rsidRPr="00B93EAF">
        <w:rPr>
          <w:rFonts w:ascii="Arial" w:hAnsi="Arial" w:cs="Arial"/>
          <w:sz w:val="25"/>
          <w:szCs w:val="25"/>
          <w:lang w:val="en-GB"/>
        </w:rPr>
        <w:t xml:space="preserve">an order declaring the trust’s immovable property, portion 18 of </w:t>
      </w:r>
      <w:proofErr w:type="spellStart"/>
      <w:r w:rsidR="00CB0367" w:rsidRPr="00B93EAF">
        <w:rPr>
          <w:rFonts w:ascii="Arial" w:hAnsi="Arial" w:cs="Arial"/>
          <w:sz w:val="25"/>
          <w:szCs w:val="25"/>
          <w:lang w:val="en-GB"/>
        </w:rPr>
        <w:t>erf</w:t>
      </w:r>
      <w:proofErr w:type="spellEnd"/>
      <w:r w:rsidR="00CB0367" w:rsidRPr="00B93EAF">
        <w:rPr>
          <w:rFonts w:ascii="Arial" w:hAnsi="Arial" w:cs="Arial"/>
          <w:sz w:val="25"/>
          <w:szCs w:val="25"/>
          <w:lang w:val="en-GB"/>
        </w:rPr>
        <w:t xml:space="preserve"> 907 </w:t>
      </w:r>
      <w:proofErr w:type="spellStart"/>
      <w:r w:rsidR="00CB0367" w:rsidRPr="00B93EAF">
        <w:rPr>
          <w:rFonts w:ascii="Arial" w:hAnsi="Arial" w:cs="Arial"/>
          <w:sz w:val="25"/>
          <w:szCs w:val="25"/>
          <w:lang w:val="en-GB"/>
        </w:rPr>
        <w:t>Rie</w:t>
      </w:r>
      <w:r w:rsidR="003F7C70" w:rsidRPr="00B93EAF">
        <w:rPr>
          <w:rFonts w:ascii="Arial" w:hAnsi="Arial" w:cs="Arial"/>
          <w:sz w:val="25"/>
          <w:szCs w:val="25"/>
          <w:lang w:val="en-GB"/>
        </w:rPr>
        <w:t>t</w:t>
      </w:r>
      <w:r w:rsidR="00CB0367" w:rsidRPr="00B93EAF">
        <w:rPr>
          <w:rFonts w:ascii="Arial" w:hAnsi="Arial" w:cs="Arial"/>
          <w:sz w:val="25"/>
          <w:szCs w:val="25"/>
          <w:lang w:val="en-GB"/>
        </w:rPr>
        <w:t>valleirand</w:t>
      </w:r>
      <w:proofErr w:type="spellEnd"/>
      <w:r w:rsidR="00CB0367" w:rsidRPr="00B93EAF">
        <w:rPr>
          <w:rFonts w:ascii="Arial" w:hAnsi="Arial" w:cs="Arial"/>
          <w:sz w:val="25"/>
          <w:szCs w:val="25"/>
          <w:lang w:val="en-GB"/>
        </w:rPr>
        <w:t xml:space="preserve"> extension 59 township, registration division J.R., the province of Gauteng, measuring 378m</w:t>
      </w:r>
      <w:r w:rsidR="00CB0367" w:rsidRPr="00B93EAF">
        <w:rPr>
          <w:rFonts w:ascii="Arial" w:hAnsi="Arial" w:cs="Arial"/>
          <w:sz w:val="25"/>
          <w:szCs w:val="25"/>
          <w:vertAlign w:val="superscript"/>
          <w:lang w:val="en-GB"/>
        </w:rPr>
        <w:t>2</w:t>
      </w:r>
      <w:r w:rsidR="00CB0367" w:rsidRPr="00B93EAF">
        <w:rPr>
          <w:rFonts w:ascii="Arial" w:hAnsi="Arial" w:cs="Arial"/>
          <w:sz w:val="25"/>
          <w:szCs w:val="25"/>
          <w:lang w:val="en-GB"/>
        </w:rPr>
        <w:t xml:space="preserve"> and situated at 18 </w:t>
      </w:r>
      <w:proofErr w:type="spellStart"/>
      <w:r w:rsidR="00CB0367" w:rsidRPr="00B93EAF">
        <w:rPr>
          <w:rFonts w:ascii="Arial" w:hAnsi="Arial" w:cs="Arial"/>
          <w:sz w:val="25"/>
          <w:szCs w:val="25"/>
          <w:lang w:val="en-GB"/>
        </w:rPr>
        <w:t>Waterkloof</w:t>
      </w:r>
      <w:proofErr w:type="spellEnd"/>
      <w:r w:rsidR="00CB0367" w:rsidRPr="00B93EAF">
        <w:rPr>
          <w:rFonts w:ascii="Arial" w:hAnsi="Arial" w:cs="Arial"/>
          <w:sz w:val="25"/>
          <w:szCs w:val="25"/>
          <w:lang w:val="en-GB"/>
        </w:rPr>
        <w:t xml:space="preserve"> Lane, </w:t>
      </w:r>
      <w:proofErr w:type="spellStart"/>
      <w:r w:rsidR="00CB0367" w:rsidRPr="00B93EAF">
        <w:rPr>
          <w:rFonts w:ascii="Arial" w:hAnsi="Arial" w:cs="Arial"/>
          <w:sz w:val="25"/>
          <w:szCs w:val="25"/>
          <w:lang w:val="en-GB"/>
        </w:rPr>
        <w:t>Manie</w:t>
      </w:r>
      <w:proofErr w:type="spellEnd"/>
      <w:r w:rsidR="00CB0367" w:rsidRPr="00B93EAF">
        <w:rPr>
          <w:rFonts w:ascii="Arial" w:hAnsi="Arial" w:cs="Arial"/>
          <w:sz w:val="25"/>
          <w:szCs w:val="25"/>
          <w:lang w:val="en-GB"/>
        </w:rPr>
        <w:t xml:space="preserve"> Street, </w:t>
      </w:r>
      <w:proofErr w:type="spellStart"/>
      <w:r w:rsidR="00CB0367" w:rsidRPr="00B93EAF">
        <w:rPr>
          <w:rFonts w:ascii="Arial" w:hAnsi="Arial" w:cs="Arial"/>
          <w:sz w:val="25"/>
          <w:szCs w:val="25"/>
          <w:lang w:val="en-GB"/>
        </w:rPr>
        <w:t>Rie</w:t>
      </w:r>
      <w:r w:rsidR="003F7C70" w:rsidRPr="00B93EAF">
        <w:rPr>
          <w:rFonts w:ascii="Arial" w:hAnsi="Arial" w:cs="Arial"/>
          <w:sz w:val="25"/>
          <w:szCs w:val="25"/>
          <w:lang w:val="en-GB"/>
        </w:rPr>
        <w:t>t</w:t>
      </w:r>
      <w:r w:rsidR="00CB0367" w:rsidRPr="00B93EAF">
        <w:rPr>
          <w:rFonts w:ascii="Arial" w:hAnsi="Arial" w:cs="Arial"/>
          <w:sz w:val="25"/>
          <w:szCs w:val="25"/>
          <w:lang w:val="en-GB"/>
        </w:rPr>
        <w:t>valleirand</w:t>
      </w:r>
      <w:proofErr w:type="spellEnd"/>
      <w:r w:rsidR="00CB0367" w:rsidRPr="00B93EAF">
        <w:rPr>
          <w:rFonts w:ascii="Arial" w:hAnsi="Arial" w:cs="Arial"/>
          <w:sz w:val="25"/>
          <w:szCs w:val="25"/>
          <w:lang w:val="en-GB"/>
        </w:rPr>
        <w:t xml:space="preserve"> extension 59 (</w:t>
      </w:r>
      <w:r w:rsidR="00CB0367" w:rsidRPr="00B93EAF">
        <w:rPr>
          <w:rFonts w:ascii="Arial" w:hAnsi="Arial" w:cs="Arial"/>
          <w:i/>
          <w:iCs/>
          <w:sz w:val="25"/>
          <w:szCs w:val="25"/>
          <w:lang w:val="en-GB"/>
        </w:rPr>
        <w:t>the property</w:t>
      </w:r>
      <w:r w:rsidR="00CB0367" w:rsidRPr="00B93EAF">
        <w:rPr>
          <w:rFonts w:ascii="Arial" w:hAnsi="Arial" w:cs="Arial"/>
          <w:sz w:val="25"/>
          <w:szCs w:val="25"/>
          <w:lang w:val="en-GB"/>
        </w:rPr>
        <w:t>), declared specially executable; along with an order authorising the registrar to issue a warrant for the attachment of the property.</w:t>
      </w:r>
    </w:p>
    <w:p w14:paraId="66D10BC2" w14:textId="56441638" w:rsidR="001E74C5" w:rsidRPr="00B93EAF" w:rsidRDefault="00B93EAF" w:rsidP="00B93EAF">
      <w:pPr>
        <w:spacing w:before="480" w:after="240" w:line="480" w:lineRule="auto"/>
        <w:ind w:left="851" w:hanging="851"/>
        <w:jc w:val="both"/>
        <w:rPr>
          <w:rFonts w:ascii="Arial" w:hAnsi="Arial" w:cs="Arial"/>
          <w:sz w:val="25"/>
          <w:szCs w:val="25"/>
          <w:lang w:val="en-GB"/>
        </w:rPr>
      </w:pPr>
      <w:r>
        <w:rPr>
          <w:rFonts w:ascii="Arial" w:hAnsi="Arial" w:cs="Arial"/>
          <w:sz w:val="25"/>
          <w:szCs w:val="25"/>
          <w:lang w:val="en-GB"/>
        </w:rPr>
        <w:t>[3]</w:t>
      </w:r>
      <w:r>
        <w:rPr>
          <w:rFonts w:ascii="Arial" w:hAnsi="Arial" w:cs="Arial"/>
          <w:sz w:val="25"/>
          <w:szCs w:val="25"/>
          <w:lang w:val="en-GB"/>
        </w:rPr>
        <w:tab/>
      </w:r>
      <w:r w:rsidR="00D65619" w:rsidRPr="00B93EAF">
        <w:rPr>
          <w:rFonts w:ascii="Arial" w:hAnsi="Arial" w:cs="Arial"/>
          <w:sz w:val="25"/>
          <w:szCs w:val="25"/>
          <w:lang w:val="en-GB"/>
        </w:rPr>
        <w:t xml:space="preserve">The trust is the registered owner of the property.  </w:t>
      </w:r>
      <w:r w:rsidR="001E74C5" w:rsidRPr="00B93EAF">
        <w:rPr>
          <w:rFonts w:ascii="Arial" w:hAnsi="Arial" w:cs="Arial"/>
          <w:sz w:val="25"/>
          <w:szCs w:val="25"/>
          <w:lang w:val="en-GB"/>
        </w:rPr>
        <w:t xml:space="preserve">On 24 August 2011, </w:t>
      </w:r>
      <w:r w:rsidR="00467C0A" w:rsidRPr="00B93EAF">
        <w:rPr>
          <w:rFonts w:ascii="Arial" w:hAnsi="Arial" w:cs="Arial"/>
          <w:sz w:val="25"/>
          <w:szCs w:val="25"/>
          <w:lang w:val="en-GB"/>
        </w:rPr>
        <w:t>EFC</w:t>
      </w:r>
      <w:r w:rsidR="001E74C5" w:rsidRPr="00B93EAF">
        <w:rPr>
          <w:rFonts w:ascii="Arial" w:hAnsi="Arial" w:cs="Arial"/>
          <w:sz w:val="25"/>
          <w:szCs w:val="25"/>
          <w:lang w:val="en-GB"/>
        </w:rPr>
        <w:t xml:space="preserve"> and the trust entered into a written loan agreement, in terms whereof the trust borrowed R1 287</w:t>
      </w:r>
      <w:r w:rsidR="0093114F" w:rsidRPr="00B93EAF">
        <w:rPr>
          <w:rFonts w:ascii="Arial" w:hAnsi="Arial" w:cs="Arial"/>
          <w:sz w:val="25"/>
          <w:szCs w:val="25"/>
          <w:lang w:val="en-GB"/>
        </w:rPr>
        <w:t> </w:t>
      </w:r>
      <w:r w:rsidR="001E74C5" w:rsidRPr="00B93EAF">
        <w:rPr>
          <w:rFonts w:ascii="Arial" w:hAnsi="Arial" w:cs="Arial"/>
          <w:sz w:val="25"/>
          <w:szCs w:val="25"/>
          <w:lang w:val="en-GB"/>
        </w:rPr>
        <w:t>830</w:t>
      </w:r>
      <w:proofErr w:type="gramStart"/>
      <w:r w:rsidR="0093114F" w:rsidRPr="00B93EAF">
        <w:rPr>
          <w:rFonts w:ascii="Arial" w:hAnsi="Arial" w:cs="Arial"/>
          <w:sz w:val="25"/>
          <w:szCs w:val="25"/>
          <w:lang w:val="en-GB"/>
        </w:rPr>
        <w:t>,00</w:t>
      </w:r>
      <w:proofErr w:type="gramEnd"/>
      <w:r w:rsidR="001E74C5" w:rsidRPr="00B93EAF">
        <w:rPr>
          <w:rFonts w:ascii="Arial" w:hAnsi="Arial" w:cs="Arial"/>
          <w:sz w:val="25"/>
          <w:szCs w:val="25"/>
          <w:lang w:val="en-GB"/>
        </w:rPr>
        <w:t xml:space="preserve"> from </w:t>
      </w:r>
      <w:r w:rsidR="00467C0A" w:rsidRPr="00B93EAF">
        <w:rPr>
          <w:rFonts w:ascii="Arial" w:hAnsi="Arial" w:cs="Arial"/>
          <w:sz w:val="25"/>
          <w:szCs w:val="25"/>
          <w:lang w:val="en-GB"/>
        </w:rPr>
        <w:t>EFC</w:t>
      </w:r>
      <w:r w:rsidR="001E74C5" w:rsidRPr="00B93EAF">
        <w:rPr>
          <w:rFonts w:ascii="Arial" w:hAnsi="Arial" w:cs="Arial"/>
          <w:sz w:val="25"/>
          <w:szCs w:val="25"/>
          <w:lang w:val="en-GB"/>
        </w:rPr>
        <w:t xml:space="preserve">.  The loan was subject to certain </w:t>
      </w:r>
      <w:proofErr w:type="spellStart"/>
      <w:r w:rsidR="001E74C5" w:rsidRPr="00B93EAF">
        <w:rPr>
          <w:rFonts w:ascii="Arial" w:hAnsi="Arial" w:cs="Arial"/>
          <w:sz w:val="25"/>
          <w:szCs w:val="25"/>
          <w:lang w:val="en-GB"/>
        </w:rPr>
        <w:t>suspensive</w:t>
      </w:r>
      <w:proofErr w:type="spellEnd"/>
      <w:r w:rsidR="001E74C5" w:rsidRPr="00B93EAF">
        <w:rPr>
          <w:rFonts w:ascii="Arial" w:hAnsi="Arial" w:cs="Arial"/>
          <w:sz w:val="25"/>
          <w:szCs w:val="25"/>
          <w:lang w:val="en-GB"/>
        </w:rPr>
        <w:t xml:space="preserve"> conditions, namely, that: </w:t>
      </w:r>
    </w:p>
    <w:p w14:paraId="3CAA5963" w14:textId="36B7BECE" w:rsidR="00CB0367" w:rsidRPr="00B93EAF" w:rsidRDefault="00B93EAF" w:rsidP="00B93EAF">
      <w:pPr>
        <w:spacing w:before="480" w:after="240" w:line="480" w:lineRule="auto"/>
        <w:ind w:left="1701" w:hanging="850"/>
        <w:jc w:val="both"/>
        <w:rPr>
          <w:rFonts w:ascii="Arial" w:hAnsi="Arial" w:cs="Arial"/>
          <w:sz w:val="25"/>
          <w:szCs w:val="25"/>
          <w:lang w:val="en-GB"/>
        </w:rPr>
      </w:pPr>
      <w:r>
        <w:rPr>
          <w:rFonts w:ascii="Arial" w:hAnsi="Arial" w:cs="Arial"/>
          <w:sz w:val="25"/>
          <w:szCs w:val="25"/>
          <w:lang w:val="en-GB"/>
        </w:rPr>
        <w:t>[3.1]</w:t>
      </w:r>
      <w:r>
        <w:rPr>
          <w:rFonts w:ascii="Arial" w:hAnsi="Arial" w:cs="Arial"/>
          <w:sz w:val="25"/>
          <w:szCs w:val="25"/>
          <w:lang w:val="en-GB"/>
        </w:rPr>
        <w:tab/>
      </w:r>
      <w:proofErr w:type="spellStart"/>
      <w:r w:rsidR="001E74C5" w:rsidRPr="00B93EAF">
        <w:rPr>
          <w:rFonts w:ascii="Arial" w:hAnsi="Arial" w:cs="Arial"/>
          <w:sz w:val="25"/>
          <w:szCs w:val="25"/>
          <w:lang w:val="en-GB"/>
        </w:rPr>
        <w:t>Nqaba</w:t>
      </w:r>
      <w:proofErr w:type="spellEnd"/>
      <w:r w:rsidR="001E74C5" w:rsidRPr="00B93EAF">
        <w:rPr>
          <w:rFonts w:ascii="Arial" w:hAnsi="Arial" w:cs="Arial"/>
          <w:sz w:val="25"/>
          <w:szCs w:val="25"/>
          <w:lang w:val="en-GB"/>
        </w:rPr>
        <w:t xml:space="preserve"> </w:t>
      </w:r>
      <w:r w:rsidR="00607759" w:rsidRPr="00B93EAF">
        <w:rPr>
          <w:rFonts w:ascii="Arial" w:hAnsi="Arial" w:cs="Arial"/>
          <w:sz w:val="25"/>
          <w:szCs w:val="25"/>
          <w:lang w:val="en-GB"/>
        </w:rPr>
        <w:t>had to</w:t>
      </w:r>
      <w:r w:rsidR="001E74C5" w:rsidRPr="00B93EAF">
        <w:rPr>
          <w:rFonts w:ascii="Arial" w:hAnsi="Arial" w:cs="Arial"/>
          <w:sz w:val="25"/>
          <w:szCs w:val="25"/>
          <w:lang w:val="en-GB"/>
        </w:rPr>
        <w:t xml:space="preserve"> issue a guarantee in favour of </w:t>
      </w:r>
      <w:r w:rsidR="00467C0A" w:rsidRPr="00B93EAF">
        <w:rPr>
          <w:rFonts w:ascii="Arial" w:hAnsi="Arial" w:cs="Arial"/>
          <w:sz w:val="25"/>
          <w:szCs w:val="25"/>
          <w:lang w:val="en-GB"/>
        </w:rPr>
        <w:t>EFC</w:t>
      </w:r>
      <w:r w:rsidR="00516605" w:rsidRPr="00B93EAF">
        <w:rPr>
          <w:rFonts w:ascii="Arial" w:hAnsi="Arial" w:cs="Arial"/>
          <w:sz w:val="25"/>
          <w:szCs w:val="25"/>
          <w:lang w:val="en-GB"/>
        </w:rPr>
        <w:t xml:space="preserve"> for any amounts not paid by the trust to </w:t>
      </w:r>
      <w:r w:rsidR="00467C0A" w:rsidRPr="00B93EAF">
        <w:rPr>
          <w:rFonts w:ascii="Arial" w:hAnsi="Arial" w:cs="Arial"/>
          <w:sz w:val="25"/>
          <w:szCs w:val="25"/>
          <w:lang w:val="en-GB"/>
        </w:rPr>
        <w:t>EFC</w:t>
      </w:r>
      <w:r w:rsidR="00516605" w:rsidRPr="00B93EAF">
        <w:rPr>
          <w:rFonts w:ascii="Arial" w:hAnsi="Arial" w:cs="Arial"/>
          <w:sz w:val="25"/>
          <w:szCs w:val="25"/>
          <w:lang w:val="en-GB"/>
        </w:rPr>
        <w:t xml:space="preserve"> in terms of the loan</w:t>
      </w:r>
      <w:r w:rsidR="001E74C5" w:rsidRPr="00B93EAF">
        <w:rPr>
          <w:rFonts w:ascii="Arial" w:hAnsi="Arial" w:cs="Arial"/>
          <w:sz w:val="25"/>
          <w:szCs w:val="25"/>
          <w:lang w:val="en-GB"/>
        </w:rPr>
        <w:t>;</w:t>
      </w:r>
    </w:p>
    <w:p w14:paraId="6748DDC8" w14:textId="7278F71E" w:rsidR="001E74C5" w:rsidRPr="00B93EAF" w:rsidRDefault="00B93EAF" w:rsidP="00B93EAF">
      <w:pPr>
        <w:spacing w:before="480" w:after="240" w:line="480" w:lineRule="auto"/>
        <w:ind w:left="1701" w:hanging="850"/>
        <w:jc w:val="both"/>
        <w:rPr>
          <w:rFonts w:ascii="Arial" w:hAnsi="Arial" w:cs="Arial"/>
          <w:sz w:val="25"/>
          <w:szCs w:val="25"/>
          <w:lang w:val="en-GB"/>
        </w:rPr>
      </w:pPr>
      <w:r>
        <w:rPr>
          <w:rFonts w:ascii="Arial" w:hAnsi="Arial" w:cs="Arial"/>
          <w:sz w:val="25"/>
          <w:szCs w:val="25"/>
          <w:lang w:val="en-GB"/>
        </w:rPr>
        <w:t>[3.2]</w:t>
      </w:r>
      <w:r>
        <w:rPr>
          <w:rFonts w:ascii="Arial" w:hAnsi="Arial" w:cs="Arial"/>
          <w:sz w:val="25"/>
          <w:szCs w:val="25"/>
          <w:lang w:val="en-GB"/>
        </w:rPr>
        <w:tab/>
      </w:r>
      <w:r w:rsidR="001E74C5" w:rsidRPr="00B93EAF">
        <w:rPr>
          <w:rFonts w:ascii="Arial" w:hAnsi="Arial" w:cs="Arial"/>
          <w:sz w:val="25"/>
          <w:szCs w:val="25"/>
          <w:lang w:val="en-GB"/>
        </w:rPr>
        <w:t xml:space="preserve">the trust </w:t>
      </w:r>
      <w:r w:rsidR="00607759" w:rsidRPr="00B93EAF">
        <w:rPr>
          <w:rFonts w:ascii="Arial" w:hAnsi="Arial" w:cs="Arial"/>
          <w:sz w:val="25"/>
          <w:szCs w:val="25"/>
          <w:lang w:val="en-GB"/>
        </w:rPr>
        <w:t>had to</w:t>
      </w:r>
      <w:r w:rsidR="001E74C5" w:rsidRPr="00B93EAF">
        <w:rPr>
          <w:rFonts w:ascii="Arial" w:hAnsi="Arial" w:cs="Arial"/>
          <w:sz w:val="25"/>
          <w:szCs w:val="25"/>
          <w:lang w:val="en-GB"/>
        </w:rPr>
        <w:t xml:space="preserve"> give an indemnity to </w:t>
      </w:r>
      <w:proofErr w:type="spellStart"/>
      <w:r w:rsidR="001E74C5" w:rsidRPr="00B93EAF">
        <w:rPr>
          <w:rFonts w:ascii="Arial" w:hAnsi="Arial" w:cs="Arial"/>
          <w:sz w:val="25"/>
          <w:szCs w:val="25"/>
          <w:lang w:val="en-GB"/>
        </w:rPr>
        <w:t>Nqaba</w:t>
      </w:r>
      <w:proofErr w:type="spellEnd"/>
      <w:r w:rsidR="001E74C5" w:rsidRPr="00B93EAF">
        <w:rPr>
          <w:rFonts w:ascii="Arial" w:hAnsi="Arial" w:cs="Arial"/>
          <w:sz w:val="25"/>
          <w:szCs w:val="25"/>
          <w:lang w:val="en-GB"/>
        </w:rPr>
        <w:t xml:space="preserve"> against any claims made by </w:t>
      </w:r>
      <w:r w:rsidR="00467C0A" w:rsidRPr="00B93EAF">
        <w:rPr>
          <w:rFonts w:ascii="Arial" w:hAnsi="Arial" w:cs="Arial"/>
          <w:sz w:val="25"/>
          <w:szCs w:val="25"/>
          <w:lang w:val="en-GB"/>
        </w:rPr>
        <w:t>EFC</w:t>
      </w:r>
      <w:r w:rsidR="001E74C5" w:rsidRPr="00B93EAF">
        <w:rPr>
          <w:rFonts w:ascii="Arial" w:hAnsi="Arial" w:cs="Arial"/>
          <w:sz w:val="25"/>
          <w:szCs w:val="25"/>
          <w:lang w:val="en-GB"/>
        </w:rPr>
        <w:t xml:space="preserve"> against </w:t>
      </w:r>
      <w:proofErr w:type="spellStart"/>
      <w:r w:rsidR="00607759" w:rsidRPr="00B93EAF">
        <w:rPr>
          <w:rFonts w:ascii="Arial" w:hAnsi="Arial" w:cs="Arial"/>
          <w:sz w:val="25"/>
          <w:szCs w:val="25"/>
          <w:lang w:val="en-GB"/>
        </w:rPr>
        <w:t>Nqaba</w:t>
      </w:r>
      <w:proofErr w:type="spellEnd"/>
      <w:r w:rsidR="00607759" w:rsidRPr="00B93EAF">
        <w:rPr>
          <w:rFonts w:ascii="Arial" w:hAnsi="Arial" w:cs="Arial"/>
          <w:sz w:val="25"/>
          <w:szCs w:val="25"/>
          <w:lang w:val="en-GB"/>
        </w:rPr>
        <w:t xml:space="preserve"> under the guarantee</w:t>
      </w:r>
      <w:r w:rsidR="001E74C5" w:rsidRPr="00B93EAF">
        <w:rPr>
          <w:rFonts w:ascii="Arial" w:hAnsi="Arial" w:cs="Arial"/>
          <w:sz w:val="25"/>
          <w:szCs w:val="25"/>
          <w:lang w:val="en-GB"/>
        </w:rPr>
        <w:t xml:space="preserve"> in respect of the loan</w:t>
      </w:r>
      <w:r w:rsidR="00516605" w:rsidRPr="00B93EAF">
        <w:rPr>
          <w:rFonts w:ascii="Arial" w:hAnsi="Arial" w:cs="Arial"/>
          <w:sz w:val="25"/>
          <w:szCs w:val="25"/>
          <w:lang w:val="en-GB"/>
        </w:rPr>
        <w:t xml:space="preserve"> and a power of attorney </w:t>
      </w:r>
      <w:r w:rsidR="00607759" w:rsidRPr="00B93EAF">
        <w:rPr>
          <w:rFonts w:ascii="Arial" w:hAnsi="Arial" w:cs="Arial"/>
          <w:sz w:val="25"/>
          <w:szCs w:val="25"/>
          <w:lang w:val="en-GB"/>
        </w:rPr>
        <w:t>had to</w:t>
      </w:r>
      <w:r w:rsidR="00516605" w:rsidRPr="00B93EAF">
        <w:rPr>
          <w:rFonts w:ascii="Arial" w:hAnsi="Arial" w:cs="Arial"/>
          <w:sz w:val="25"/>
          <w:szCs w:val="25"/>
          <w:lang w:val="en-GB"/>
        </w:rPr>
        <w:t xml:space="preserve"> be given for the passing of the mortgage bond referred to below;</w:t>
      </w:r>
    </w:p>
    <w:p w14:paraId="6058ACBC" w14:textId="1B50798C" w:rsidR="00516605" w:rsidRPr="00B93EAF" w:rsidRDefault="00B93EAF" w:rsidP="00B93EAF">
      <w:pPr>
        <w:spacing w:before="480" w:after="240" w:line="480" w:lineRule="auto"/>
        <w:ind w:left="1701" w:hanging="850"/>
        <w:jc w:val="both"/>
        <w:rPr>
          <w:rFonts w:ascii="Arial" w:hAnsi="Arial" w:cs="Arial"/>
          <w:sz w:val="25"/>
          <w:szCs w:val="25"/>
          <w:lang w:val="en-GB"/>
        </w:rPr>
      </w:pPr>
      <w:r>
        <w:rPr>
          <w:rFonts w:ascii="Arial" w:hAnsi="Arial" w:cs="Arial"/>
          <w:sz w:val="25"/>
          <w:szCs w:val="25"/>
          <w:lang w:val="en-GB"/>
        </w:rPr>
        <w:lastRenderedPageBreak/>
        <w:t>[3.3]</w:t>
      </w:r>
      <w:r>
        <w:rPr>
          <w:rFonts w:ascii="Arial" w:hAnsi="Arial" w:cs="Arial"/>
          <w:sz w:val="25"/>
          <w:szCs w:val="25"/>
          <w:lang w:val="en-GB"/>
        </w:rPr>
        <w:tab/>
      </w:r>
      <w:r w:rsidR="00516605" w:rsidRPr="00B93EAF">
        <w:rPr>
          <w:rFonts w:ascii="Arial" w:hAnsi="Arial" w:cs="Arial"/>
          <w:sz w:val="25"/>
          <w:szCs w:val="25"/>
          <w:lang w:val="en-GB"/>
        </w:rPr>
        <w:t>a mortgage bond for R1 800</w:t>
      </w:r>
      <w:r w:rsidR="0093114F" w:rsidRPr="00B93EAF">
        <w:rPr>
          <w:rFonts w:ascii="Arial" w:hAnsi="Arial" w:cs="Arial"/>
          <w:sz w:val="25"/>
          <w:szCs w:val="25"/>
          <w:lang w:val="en-GB"/>
        </w:rPr>
        <w:t> </w:t>
      </w:r>
      <w:r w:rsidR="00516605" w:rsidRPr="00B93EAF">
        <w:rPr>
          <w:rFonts w:ascii="Arial" w:hAnsi="Arial" w:cs="Arial"/>
          <w:sz w:val="25"/>
          <w:szCs w:val="25"/>
          <w:lang w:val="en-GB"/>
        </w:rPr>
        <w:t>000</w:t>
      </w:r>
      <w:proofErr w:type="gramStart"/>
      <w:r w:rsidR="0093114F" w:rsidRPr="00B93EAF">
        <w:rPr>
          <w:rFonts w:ascii="Arial" w:hAnsi="Arial" w:cs="Arial"/>
          <w:sz w:val="25"/>
          <w:szCs w:val="25"/>
          <w:lang w:val="en-GB"/>
        </w:rPr>
        <w:t>,00</w:t>
      </w:r>
      <w:proofErr w:type="gramEnd"/>
      <w:r w:rsidR="00516605" w:rsidRPr="00B93EAF">
        <w:rPr>
          <w:rFonts w:ascii="Arial" w:hAnsi="Arial" w:cs="Arial"/>
          <w:sz w:val="25"/>
          <w:szCs w:val="25"/>
          <w:lang w:val="en-GB"/>
        </w:rPr>
        <w:t xml:space="preserve"> </w:t>
      </w:r>
      <w:r w:rsidR="00607759" w:rsidRPr="00B93EAF">
        <w:rPr>
          <w:rFonts w:ascii="Arial" w:hAnsi="Arial" w:cs="Arial"/>
          <w:sz w:val="25"/>
          <w:szCs w:val="25"/>
          <w:lang w:val="en-GB"/>
        </w:rPr>
        <w:t>had to</w:t>
      </w:r>
      <w:r w:rsidR="00516605" w:rsidRPr="00B93EAF">
        <w:rPr>
          <w:rFonts w:ascii="Arial" w:hAnsi="Arial" w:cs="Arial"/>
          <w:sz w:val="25"/>
          <w:szCs w:val="25"/>
          <w:lang w:val="en-GB"/>
        </w:rPr>
        <w:t xml:space="preserve"> be registered over the property in favour of </w:t>
      </w:r>
      <w:proofErr w:type="spellStart"/>
      <w:r w:rsidR="00516605" w:rsidRPr="00B93EAF">
        <w:rPr>
          <w:rFonts w:ascii="Arial" w:hAnsi="Arial" w:cs="Arial"/>
          <w:sz w:val="25"/>
          <w:szCs w:val="25"/>
          <w:lang w:val="en-GB"/>
        </w:rPr>
        <w:t>Nqaba</w:t>
      </w:r>
      <w:proofErr w:type="spellEnd"/>
      <w:r w:rsidR="00516605" w:rsidRPr="00B93EAF">
        <w:rPr>
          <w:rFonts w:ascii="Arial" w:hAnsi="Arial" w:cs="Arial"/>
          <w:sz w:val="25"/>
          <w:szCs w:val="25"/>
          <w:lang w:val="en-GB"/>
        </w:rPr>
        <w:t xml:space="preserve"> as security for </w:t>
      </w:r>
      <w:r w:rsidR="00607759" w:rsidRPr="00B93EAF">
        <w:rPr>
          <w:rFonts w:ascii="Arial" w:hAnsi="Arial" w:cs="Arial"/>
          <w:sz w:val="25"/>
          <w:szCs w:val="25"/>
          <w:lang w:val="en-GB"/>
        </w:rPr>
        <w:t>any indebtedness</w:t>
      </w:r>
      <w:r w:rsidR="00516605" w:rsidRPr="00B93EAF">
        <w:rPr>
          <w:rFonts w:ascii="Arial" w:hAnsi="Arial" w:cs="Arial"/>
          <w:sz w:val="25"/>
          <w:szCs w:val="25"/>
          <w:lang w:val="en-GB"/>
        </w:rPr>
        <w:t xml:space="preserve"> </w:t>
      </w:r>
      <w:r w:rsidR="00607759" w:rsidRPr="00B93EAF">
        <w:rPr>
          <w:rFonts w:ascii="Arial" w:hAnsi="Arial" w:cs="Arial"/>
          <w:sz w:val="25"/>
          <w:szCs w:val="25"/>
          <w:lang w:val="en-GB"/>
        </w:rPr>
        <w:t>of the trust</w:t>
      </w:r>
      <w:r w:rsidR="00516605" w:rsidRPr="00B93EAF">
        <w:rPr>
          <w:rFonts w:ascii="Arial" w:hAnsi="Arial" w:cs="Arial"/>
          <w:sz w:val="25"/>
          <w:szCs w:val="25"/>
          <w:lang w:val="en-GB"/>
        </w:rPr>
        <w:t xml:space="preserve"> to it arising out of the aforesaid indemnity; and </w:t>
      </w:r>
    </w:p>
    <w:p w14:paraId="02089D9C" w14:textId="208CCAEE" w:rsidR="00516605" w:rsidRPr="00B93EAF" w:rsidRDefault="00B93EAF" w:rsidP="00B93EAF">
      <w:pPr>
        <w:spacing w:before="480" w:after="240" w:line="480" w:lineRule="auto"/>
        <w:ind w:left="1701" w:hanging="850"/>
        <w:jc w:val="both"/>
        <w:rPr>
          <w:rFonts w:ascii="Arial" w:hAnsi="Arial" w:cs="Arial"/>
          <w:sz w:val="25"/>
          <w:szCs w:val="25"/>
          <w:lang w:val="en-GB"/>
        </w:rPr>
      </w:pPr>
      <w:r>
        <w:rPr>
          <w:rFonts w:ascii="Arial" w:hAnsi="Arial" w:cs="Arial"/>
          <w:sz w:val="25"/>
          <w:szCs w:val="25"/>
          <w:lang w:val="en-GB"/>
        </w:rPr>
        <w:t>[3.4]</w:t>
      </w:r>
      <w:r>
        <w:rPr>
          <w:rFonts w:ascii="Arial" w:hAnsi="Arial" w:cs="Arial"/>
          <w:sz w:val="25"/>
          <w:szCs w:val="25"/>
          <w:lang w:val="en-GB"/>
        </w:rPr>
        <w:tab/>
      </w:r>
      <w:r w:rsidR="00516605" w:rsidRPr="00B93EAF">
        <w:rPr>
          <w:rFonts w:ascii="Arial" w:hAnsi="Arial" w:cs="Arial"/>
          <w:sz w:val="25"/>
          <w:szCs w:val="25"/>
          <w:lang w:val="en-GB"/>
        </w:rPr>
        <w:t xml:space="preserve">the property </w:t>
      </w:r>
      <w:r w:rsidR="00607759" w:rsidRPr="00B93EAF">
        <w:rPr>
          <w:rFonts w:ascii="Arial" w:hAnsi="Arial" w:cs="Arial"/>
          <w:sz w:val="25"/>
          <w:szCs w:val="25"/>
          <w:lang w:val="en-GB"/>
        </w:rPr>
        <w:t>had to</w:t>
      </w:r>
      <w:r w:rsidR="00516605" w:rsidRPr="00B93EAF">
        <w:rPr>
          <w:rFonts w:ascii="Arial" w:hAnsi="Arial" w:cs="Arial"/>
          <w:sz w:val="25"/>
          <w:szCs w:val="25"/>
          <w:lang w:val="en-GB"/>
        </w:rPr>
        <w:t xml:space="preserve"> be insured for its full value.</w:t>
      </w:r>
    </w:p>
    <w:p w14:paraId="24D467D9" w14:textId="1166199B" w:rsidR="00516605" w:rsidRPr="00B93EAF" w:rsidRDefault="00B93EAF" w:rsidP="00B93EAF">
      <w:pPr>
        <w:spacing w:before="480" w:after="240" w:line="480" w:lineRule="auto"/>
        <w:ind w:left="851" w:hanging="851"/>
        <w:jc w:val="both"/>
        <w:rPr>
          <w:rFonts w:ascii="Arial" w:hAnsi="Arial" w:cs="Arial"/>
          <w:sz w:val="25"/>
          <w:szCs w:val="25"/>
          <w:lang w:val="en-GB"/>
        </w:rPr>
      </w:pPr>
      <w:r>
        <w:rPr>
          <w:rFonts w:ascii="Arial" w:hAnsi="Arial" w:cs="Arial"/>
          <w:sz w:val="25"/>
          <w:szCs w:val="25"/>
          <w:lang w:val="en-GB"/>
        </w:rPr>
        <w:t>[4]</w:t>
      </w:r>
      <w:r>
        <w:rPr>
          <w:rFonts w:ascii="Arial" w:hAnsi="Arial" w:cs="Arial"/>
          <w:sz w:val="25"/>
          <w:szCs w:val="25"/>
          <w:lang w:val="en-GB"/>
        </w:rPr>
        <w:tab/>
      </w:r>
      <w:r w:rsidR="0098747F" w:rsidRPr="00B93EAF">
        <w:rPr>
          <w:rFonts w:ascii="Arial" w:hAnsi="Arial" w:cs="Arial"/>
          <w:sz w:val="25"/>
          <w:szCs w:val="25"/>
          <w:lang w:val="en-GB"/>
        </w:rPr>
        <w:t>T</w:t>
      </w:r>
      <w:r w:rsidR="0093114F" w:rsidRPr="00B93EAF">
        <w:rPr>
          <w:rFonts w:ascii="Arial" w:hAnsi="Arial" w:cs="Arial"/>
          <w:sz w:val="25"/>
          <w:szCs w:val="25"/>
          <w:lang w:val="en-GB"/>
        </w:rPr>
        <w:t xml:space="preserve">he trust gave an indemnity to </w:t>
      </w:r>
      <w:proofErr w:type="spellStart"/>
      <w:r w:rsidR="0093114F" w:rsidRPr="00B93EAF">
        <w:rPr>
          <w:rFonts w:ascii="Arial" w:hAnsi="Arial" w:cs="Arial"/>
          <w:sz w:val="25"/>
          <w:szCs w:val="25"/>
          <w:lang w:val="en-GB"/>
        </w:rPr>
        <w:t>Nqaba</w:t>
      </w:r>
      <w:proofErr w:type="spellEnd"/>
      <w:r w:rsidR="0093114F" w:rsidRPr="00B93EAF">
        <w:rPr>
          <w:rFonts w:ascii="Arial" w:hAnsi="Arial" w:cs="Arial"/>
          <w:sz w:val="25"/>
          <w:szCs w:val="25"/>
          <w:lang w:val="en-GB"/>
        </w:rPr>
        <w:t xml:space="preserve"> on </w:t>
      </w:r>
      <w:r w:rsidR="004B710B" w:rsidRPr="00B93EAF">
        <w:rPr>
          <w:rFonts w:ascii="Arial" w:hAnsi="Arial" w:cs="Arial"/>
          <w:sz w:val="25"/>
          <w:szCs w:val="25"/>
          <w:lang w:val="en-GB"/>
        </w:rPr>
        <w:t>24 August 2011</w:t>
      </w:r>
      <w:r w:rsidR="0093114F" w:rsidRPr="00B93EAF">
        <w:rPr>
          <w:rFonts w:ascii="Arial" w:hAnsi="Arial" w:cs="Arial"/>
          <w:sz w:val="25"/>
          <w:szCs w:val="25"/>
          <w:lang w:val="en-GB"/>
        </w:rPr>
        <w:t>; a power of attorney to register a mortgage bond was given on 24 August 2011; and a mortgage bond  </w:t>
      </w:r>
      <w:r w:rsidR="0093114F">
        <w:rPr>
          <w:rStyle w:val="FootnoteReference"/>
          <w:rFonts w:ascii="Arial" w:hAnsi="Arial" w:cs="Arial"/>
          <w:sz w:val="25"/>
          <w:szCs w:val="25"/>
          <w:lang w:val="en-GB"/>
        </w:rPr>
        <w:footnoteReference w:id="1"/>
      </w:r>
      <w:r w:rsidR="0093114F" w:rsidRPr="00B93EAF">
        <w:rPr>
          <w:rFonts w:ascii="Arial" w:hAnsi="Arial" w:cs="Arial"/>
          <w:sz w:val="25"/>
          <w:szCs w:val="25"/>
          <w:lang w:val="en-GB"/>
        </w:rPr>
        <w:t>  for R1 800 000</w:t>
      </w:r>
      <w:proofErr w:type="gramStart"/>
      <w:r w:rsidR="0093114F" w:rsidRPr="00B93EAF">
        <w:rPr>
          <w:rFonts w:ascii="Arial" w:hAnsi="Arial" w:cs="Arial"/>
          <w:sz w:val="25"/>
          <w:szCs w:val="25"/>
          <w:lang w:val="en-GB"/>
        </w:rPr>
        <w:t>,00</w:t>
      </w:r>
      <w:proofErr w:type="gramEnd"/>
      <w:r w:rsidR="0093114F" w:rsidRPr="00B93EAF">
        <w:rPr>
          <w:rFonts w:ascii="Arial" w:hAnsi="Arial" w:cs="Arial"/>
          <w:sz w:val="25"/>
          <w:szCs w:val="25"/>
          <w:lang w:val="en-GB"/>
        </w:rPr>
        <w:t xml:space="preserve"> was registered over the property on 20 February 2012.</w:t>
      </w:r>
      <w:r w:rsidR="00930175" w:rsidRPr="00B93EAF">
        <w:rPr>
          <w:rFonts w:ascii="Arial" w:hAnsi="Arial" w:cs="Arial"/>
          <w:sz w:val="25"/>
          <w:szCs w:val="25"/>
          <w:lang w:val="en-GB"/>
        </w:rPr>
        <w:t>  </w:t>
      </w:r>
      <w:r w:rsidR="00930175">
        <w:rPr>
          <w:rStyle w:val="FootnoteReference"/>
          <w:rFonts w:ascii="Arial" w:hAnsi="Arial" w:cs="Arial"/>
          <w:sz w:val="25"/>
          <w:szCs w:val="25"/>
          <w:lang w:val="en-GB"/>
        </w:rPr>
        <w:footnoteReference w:id="2"/>
      </w:r>
    </w:p>
    <w:p w14:paraId="441AFCE2" w14:textId="3E70FCFB" w:rsidR="0098747F" w:rsidRPr="00B93EAF" w:rsidRDefault="00B93EAF" w:rsidP="00B93EAF">
      <w:pPr>
        <w:spacing w:before="480" w:after="240" w:line="480" w:lineRule="auto"/>
        <w:ind w:left="851" w:hanging="851"/>
        <w:jc w:val="both"/>
        <w:rPr>
          <w:rFonts w:ascii="Arial" w:hAnsi="Arial" w:cs="Arial"/>
          <w:sz w:val="25"/>
          <w:szCs w:val="25"/>
          <w:lang w:val="en-GB"/>
        </w:rPr>
      </w:pPr>
      <w:r>
        <w:rPr>
          <w:rFonts w:ascii="Arial" w:hAnsi="Arial" w:cs="Arial"/>
          <w:sz w:val="25"/>
          <w:szCs w:val="25"/>
          <w:lang w:val="en-GB"/>
        </w:rPr>
        <w:t>[5]</w:t>
      </w:r>
      <w:r>
        <w:rPr>
          <w:rFonts w:ascii="Arial" w:hAnsi="Arial" w:cs="Arial"/>
          <w:sz w:val="25"/>
          <w:szCs w:val="25"/>
          <w:lang w:val="en-GB"/>
        </w:rPr>
        <w:tab/>
      </w:r>
      <w:r w:rsidR="0098747F" w:rsidRPr="00B93EAF">
        <w:rPr>
          <w:rFonts w:ascii="Arial" w:hAnsi="Arial" w:cs="Arial"/>
          <w:sz w:val="25"/>
          <w:szCs w:val="25"/>
          <w:lang w:val="en-GB"/>
        </w:rPr>
        <w:t xml:space="preserve">No guarantee by </w:t>
      </w:r>
      <w:proofErr w:type="spellStart"/>
      <w:r w:rsidR="0098747F" w:rsidRPr="00B93EAF">
        <w:rPr>
          <w:rFonts w:ascii="Arial" w:hAnsi="Arial" w:cs="Arial"/>
          <w:sz w:val="25"/>
          <w:szCs w:val="25"/>
          <w:lang w:val="en-GB"/>
        </w:rPr>
        <w:t>Nqaba</w:t>
      </w:r>
      <w:proofErr w:type="spellEnd"/>
      <w:r w:rsidR="0098747F" w:rsidRPr="00B93EAF">
        <w:rPr>
          <w:rFonts w:ascii="Arial" w:hAnsi="Arial" w:cs="Arial"/>
          <w:sz w:val="25"/>
          <w:szCs w:val="25"/>
          <w:lang w:val="en-GB"/>
        </w:rPr>
        <w:t xml:space="preserve"> has been attached to the founding papers.  In the founding affidavit, however, </w:t>
      </w:r>
      <w:proofErr w:type="spellStart"/>
      <w:r w:rsidR="0098747F" w:rsidRPr="00B93EAF">
        <w:rPr>
          <w:rFonts w:ascii="Arial" w:hAnsi="Arial" w:cs="Arial"/>
          <w:sz w:val="25"/>
          <w:szCs w:val="25"/>
          <w:lang w:val="en-GB"/>
        </w:rPr>
        <w:t>Nqaba</w:t>
      </w:r>
      <w:proofErr w:type="spellEnd"/>
      <w:r w:rsidR="0098747F" w:rsidRPr="00B93EAF">
        <w:rPr>
          <w:rFonts w:ascii="Arial" w:hAnsi="Arial" w:cs="Arial"/>
          <w:sz w:val="25"/>
          <w:szCs w:val="25"/>
          <w:lang w:val="en-GB"/>
        </w:rPr>
        <w:t xml:space="preserve"> and </w:t>
      </w:r>
      <w:r w:rsidR="00467C0A" w:rsidRPr="00B93EAF">
        <w:rPr>
          <w:rFonts w:ascii="Arial" w:hAnsi="Arial" w:cs="Arial"/>
          <w:sz w:val="25"/>
          <w:szCs w:val="25"/>
          <w:lang w:val="en-GB"/>
        </w:rPr>
        <w:t>EFC</w:t>
      </w:r>
      <w:r w:rsidR="0098747F" w:rsidRPr="00B93EAF">
        <w:rPr>
          <w:rFonts w:ascii="Arial" w:hAnsi="Arial" w:cs="Arial"/>
          <w:sz w:val="25"/>
          <w:szCs w:val="25"/>
          <w:lang w:val="en-GB"/>
        </w:rPr>
        <w:t xml:space="preserve"> are defined as “the lender” and it is alleged that the lender has complied with its obligations in terms of the loan.  I am prepared to interpret that to mean that </w:t>
      </w:r>
      <w:proofErr w:type="spellStart"/>
      <w:r w:rsidR="0098747F" w:rsidRPr="00B93EAF">
        <w:rPr>
          <w:rFonts w:ascii="Arial" w:hAnsi="Arial" w:cs="Arial"/>
          <w:sz w:val="25"/>
          <w:szCs w:val="25"/>
          <w:lang w:val="en-GB"/>
        </w:rPr>
        <w:t>Nqaba</w:t>
      </w:r>
      <w:proofErr w:type="spellEnd"/>
      <w:r w:rsidR="0098747F" w:rsidRPr="00B93EAF">
        <w:rPr>
          <w:rFonts w:ascii="Arial" w:hAnsi="Arial" w:cs="Arial"/>
          <w:sz w:val="25"/>
          <w:szCs w:val="25"/>
          <w:lang w:val="en-GB"/>
        </w:rPr>
        <w:t xml:space="preserve"> provided </w:t>
      </w:r>
      <w:r w:rsidR="00467C0A" w:rsidRPr="00B93EAF">
        <w:rPr>
          <w:rFonts w:ascii="Arial" w:hAnsi="Arial" w:cs="Arial"/>
          <w:sz w:val="25"/>
          <w:szCs w:val="25"/>
          <w:lang w:val="en-GB"/>
        </w:rPr>
        <w:t>EFC</w:t>
      </w:r>
      <w:r w:rsidR="0098747F" w:rsidRPr="00B93EAF">
        <w:rPr>
          <w:rFonts w:ascii="Arial" w:hAnsi="Arial" w:cs="Arial"/>
          <w:sz w:val="25"/>
          <w:szCs w:val="25"/>
          <w:lang w:val="en-GB"/>
        </w:rPr>
        <w:t xml:space="preserve"> with the guarantee.  I am prepared to do so, since the deponent to the founding affidavit, Mr </w:t>
      </w:r>
      <w:proofErr w:type="spellStart"/>
      <w:r w:rsidR="0098747F" w:rsidRPr="00B93EAF">
        <w:rPr>
          <w:rFonts w:ascii="Arial" w:hAnsi="Arial" w:cs="Arial"/>
          <w:sz w:val="25"/>
          <w:szCs w:val="25"/>
          <w:lang w:val="en-GB"/>
        </w:rPr>
        <w:t>Thabi</w:t>
      </w:r>
      <w:proofErr w:type="spellEnd"/>
      <w:r w:rsidR="0098747F" w:rsidRPr="00B93EAF">
        <w:rPr>
          <w:rFonts w:ascii="Arial" w:hAnsi="Arial" w:cs="Arial"/>
          <w:sz w:val="25"/>
          <w:szCs w:val="25"/>
          <w:lang w:val="en-GB"/>
        </w:rPr>
        <w:t xml:space="preserve"> </w:t>
      </w:r>
      <w:proofErr w:type="spellStart"/>
      <w:r w:rsidR="0098747F" w:rsidRPr="00B93EAF">
        <w:rPr>
          <w:rFonts w:ascii="Arial" w:hAnsi="Arial" w:cs="Arial"/>
          <w:sz w:val="25"/>
          <w:szCs w:val="25"/>
          <w:lang w:val="en-GB"/>
        </w:rPr>
        <w:t>Zondo</w:t>
      </w:r>
      <w:proofErr w:type="spellEnd"/>
      <w:r w:rsidR="0098747F" w:rsidRPr="00B93EAF">
        <w:rPr>
          <w:rFonts w:ascii="Arial" w:hAnsi="Arial" w:cs="Arial"/>
          <w:sz w:val="25"/>
          <w:szCs w:val="25"/>
          <w:lang w:val="en-GB"/>
        </w:rPr>
        <w:t>, deposed that he is the legal officer</w:t>
      </w:r>
      <w:r w:rsidR="000B1E86" w:rsidRPr="00B93EAF">
        <w:rPr>
          <w:rFonts w:ascii="Arial" w:hAnsi="Arial" w:cs="Arial"/>
          <w:sz w:val="25"/>
          <w:szCs w:val="25"/>
          <w:lang w:val="en-GB"/>
        </w:rPr>
        <w:t>  </w:t>
      </w:r>
      <w:r w:rsidR="000B1E86">
        <w:rPr>
          <w:rStyle w:val="FootnoteReference"/>
          <w:rFonts w:ascii="Arial" w:hAnsi="Arial" w:cs="Arial"/>
          <w:sz w:val="25"/>
          <w:szCs w:val="25"/>
          <w:lang w:val="en-GB"/>
        </w:rPr>
        <w:footnoteReference w:id="3"/>
      </w:r>
      <w:r w:rsidR="000B1E86" w:rsidRPr="00B93EAF">
        <w:rPr>
          <w:rFonts w:ascii="Arial" w:hAnsi="Arial" w:cs="Arial"/>
          <w:sz w:val="25"/>
          <w:szCs w:val="25"/>
          <w:lang w:val="en-GB"/>
        </w:rPr>
        <w:t> </w:t>
      </w:r>
      <w:r w:rsidR="0098747F" w:rsidRPr="00B93EAF">
        <w:rPr>
          <w:rFonts w:ascii="Arial" w:hAnsi="Arial" w:cs="Arial"/>
          <w:sz w:val="25"/>
          <w:szCs w:val="25"/>
          <w:lang w:val="en-GB"/>
        </w:rPr>
        <w:t xml:space="preserve"> of both </w:t>
      </w:r>
      <w:proofErr w:type="spellStart"/>
      <w:r w:rsidR="0098747F" w:rsidRPr="00B93EAF">
        <w:rPr>
          <w:rFonts w:ascii="Arial" w:hAnsi="Arial" w:cs="Arial"/>
          <w:sz w:val="25"/>
          <w:szCs w:val="25"/>
          <w:lang w:val="en-GB"/>
        </w:rPr>
        <w:t>Nqaba</w:t>
      </w:r>
      <w:proofErr w:type="spellEnd"/>
      <w:r w:rsidR="0098747F" w:rsidRPr="00B93EAF">
        <w:rPr>
          <w:rFonts w:ascii="Arial" w:hAnsi="Arial" w:cs="Arial"/>
          <w:sz w:val="25"/>
          <w:szCs w:val="25"/>
          <w:lang w:val="en-GB"/>
        </w:rPr>
        <w:t xml:space="preserve"> and </w:t>
      </w:r>
      <w:r w:rsidR="00467C0A" w:rsidRPr="00B93EAF">
        <w:rPr>
          <w:rFonts w:ascii="Arial" w:hAnsi="Arial" w:cs="Arial"/>
          <w:sz w:val="25"/>
          <w:szCs w:val="25"/>
          <w:lang w:val="en-GB"/>
        </w:rPr>
        <w:t>EFC</w:t>
      </w:r>
      <w:r w:rsidR="0098747F" w:rsidRPr="00B93EAF">
        <w:rPr>
          <w:rFonts w:ascii="Arial" w:hAnsi="Arial" w:cs="Arial"/>
          <w:sz w:val="25"/>
          <w:szCs w:val="25"/>
          <w:lang w:val="en-GB"/>
        </w:rPr>
        <w:t xml:space="preserve"> and </w:t>
      </w:r>
      <w:r w:rsidR="000B1E86" w:rsidRPr="00B93EAF">
        <w:rPr>
          <w:rFonts w:ascii="Arial" w:hAnsi="Arial" w:cs="Arial"/>
          <w:sz w:val="25"/>
          <w:szCs w:val="25"/>
          <w:lang w:val="en-GB"/>
        </w:rPr>
        <w:t>he has signed, as litigation manager, a certificate of balance.  </w:t>
      </w:r>
      <w:r w:rsidR="000B1E86">
        <w:rPr>
          <w:rStyle w:val="FootnoteReference"/>
          <w:rFonts w:ascii="Arial" w:hAnsi="Arial" w:cs="Arial"/>
          <w:sz w:val="25"/>
          <w:szCs w:val="25"/>
          <w:lang w:val="en-GB"/>
        </w:rPr>
        <w:footnoteReference w:id="4"/>
      </w:r>
      <w:r w:rsidR="000B1E86" w:rsidRPr="00B93EAF">
        <w:rPr>
          <w:rFonts w:ascii="Arial" w:hAnsi="Arial" w:cs="Arial"/>
          <w:sz w:val="25"/>
          <w:szCs w:val="25"/>
          <w:lang w:val="en-GB"/>
        </w:rPr>
        <w:t>  On a balance of probabilities, it would seem to me more likely than not that this condition has been met.</w:t>
      </w:r>
    </w:p>
    <w:p w14:paraId="06E943B1" w14:textId="396A867D" w:rsidR="000B1E86" w:rsidRPr="00B93EAF" w:rsidRDefault="00B93EAF" w:rsidP="00B93EAF">
      <w:pPr>
        <w:spacing w:before="480" w:after="240" w:line="480" w:lineRule="auto"/>
        <w:ind w:left="851" w:hanging="851"/>
        <w:jc w:val="both"/>
        <w:rPr>
          <w:rFonts w:ascii="Arial" w:hAnsi="Arial" w:cs="Arial"/>
          <w:sz w:val="25"/>
          <w:szCs w:val="25"/>
          <w:lang w:val="en-GB"/>
        </w:rPr>
      </w:pPr>
      <w:r>
        <w:rPr>
          <w:rFonts w:ascii="Arial" w:hAnsi="Arial" w:cs="Arial"/>
          <w:sz w:val="25"/>
          <w:szCs w:val="25"/>
          <w:lang w:val="en-GB"/>
        </w:rPr>
        <w:lastRenderedPageBreak/>
        <w:t>[6]</w:t>
      </w:r>
      <w:r>
        <w:rPr>
          <w:rFonts w:ascii="Arial" w:hAnsi="Arial" w:cs="Arial"/>
          <w:sz w:val="25"/>
          <w:szCs w:val="25"/>
          <w:lang w:val="en-GB"/>
        </w:rPr>
        <w:tab/>
      </w:r>
      <w:r w:rsidR="000B1E86" w:rsidRPr="00B93EAF">
        <w:rPr>
          <w:rFonts w:ascii="Arial" w:hAnsi="Arial" w:cs="Arial"/>
          <w:sz w:val="25"/>
          <w:szCs w:val="25"/>
          <w:lang w:val="en-GB"/>
        </w:rPr>
        <w:t xml:space="preserve">There is no proof that the trust </w:t>
      </w:r>
      <w:r w:rsidR="00467C0A" w:rsidRPr="00B93EAF">
        <w:rPr>
          <w:rFonts w:ascii="Arial" w:hAnsi="Arial" w:cs="Arial"/>
          <w:sz w:val="25"/>
          <w:szCs w:val="25"/>
          <w:lang w:val="en-GB"/>
        </w:rPr>
        <w:t>i</w:t>
      </w:r>
      <w:r w:rsidR="000B1E86" w:rsidRPr="00B93EAF">
        <w:rPr>
          <w:rFonts w:ascii="Arial" w:hAnsi="Arial" w:cs="Arial"/>
          <w:sz w:val="25"/>
          <w:szCs w:val="25"/>
          <w:lang w:val="en-GB"/>
        </w:rPr>
        <w:t>nsured the property.  Again, the fact that Mr</w:t>
      </w:r>
      <w:r w:rsidR="00467C0A" w:rsidRPr="00B93EAF">
        <w:rPr>
          <w:rFonts w:ascii="Arial" w:hAnsi="Arial" w:cs="Arial"/>
          <w:sz w:val="25"/>
          <w:szCs w:val="25"/>
          <w:lang w:val="en-GB"/>
        </w:rPr>
        <w:t> </w:t>
      </w:r>
      <w:proofErr w:type="spellStart"/>
      <w:r w:rsidR="000B1E86" w:rsidRPr="00B93EAF">
        <w:rPr>
          <w:rFonts w:ascii="Arial" w:hAnsi="Arial" w:cs="Arial"/>
          <w:sz w:val="25"/>
          <w:szCs w:val="25"/>
          <w:lang w:val="en-GB"/>
        </w:rPr>
        <w:t>Zondo</w:t>
      </w:r>
      <w:proofErr w:type="spellEnd"/>
      <w:r w:rsidR="000B1E86" w:rsidRPr="00B93EAF">
        <w:rPr>
          <w:rFonts w:ascii="Arial" w:hAnsi="Arial" w:cs="Arial"/>
          <w:sz w:val="25"/>
          <w:szCs w:val="25"/>
          <w:lang w:val="en-GB"/>
        </w:rPr>
        <w:t xml:space="preserve"> was prepared, as a legal manager, to sign a certificate of indebtedness, which I must accept at face value to be accurate and true, indicates to me that the probabilities favour the conclusion that the trust had insured the property.</w:t>
      </w:r>
    </w:p>
    <w:p w14:paraId="7770FBFB" w14:textId="7AA78306" w:rsidR="000B1E86" w:rsidRPr="00B93EAF" w:rsidRDefault="00B93EAF" w:rsidP="00B93EAF">
      <w:pPr>
        <w:spacing w:before="480" w:after="240" w:line="480" w:lineRule="auto"/>
        <w:ind w:left="851" w:hanging="851"/>
        <w:jc w:val="both"/>
        <w:rPr>
          <w:rFonts w:ascii="Arial" w:hAnsi="Arial" w:cs="Arial"/>
          <w:sz w:val="25"/>
          <w:szCs w:val="25"/>
          <w:lang w:val="en-GB"/>
        </w:rPr>
      </w:pPr>
      <w:r>
        <w:rPr>
          <w:rFonts w:ascii="Arial" w:hAnsi="Arial" w:cs="Arial"/>
          <w:sz w:val="25"/>
          <w:szCs w:val="25"/>
          <w:lang w:val="en-GB"/>
        </w:rPr>
        <w:t>[7]</w:t>
      </w:r>
      <w:r>
        <w:rPr>
          <w:rFonts w:ascii="Arial" w:hAnsi="Arial" w:cs="Arial"/>
          <w:sz w:val="25"/>
          <w:szCs w:val="25"/>
          <w:lang w:val="en-GB"/>
        </w:rPr>
        <w:tab/>
      </w:r>
      <w:r w:rsidR="00930175" w:rsidRPr="00B93EAF">
        <w:rPr>
          <w:rFonts w:ascii="Arial" w:hAnsi="Arial" w:cs="Arial"/>
          <w:sz w:val="25"/>
          <w:szCs w:val="25"/>
          <w:lang w:val="en-GB"/>
        </w:rPr>
        <w:t xml:space="preserve">I conclude, therefore, that the loan came into force and effect.  This conclusion is fortified by the </w:t>
      </w:r>
      <w:r w:rsidR="00467C0A" w:rsidRPr="00B93EAF">
        <w:rPr>
          <w:rFonts w:ascii="Arial" w:hAnsi="Arial" w:cs="Arial"/>
          <w:sz w:val="25"/>
          <w:szCs w:val="25"/>
          <w:lang w:val="en-GB"/>
        </w:rPr>
        <w:t>contents of the statement</w:t>
      </w:r>
      <w:r w:rsidR="00C403C8" w:rsidRPr="00B93EAF">
        <w:rPr>
          <w:rFonts w:ascii="Arial" w:hAnsi="Arial" w:cs="Arial"/>
          <w:sz w:val="25"/>
          <w:szCs w:val="25"/>
          <w:lang w:val="en-GB"/>
        </w:rPr>
        <w:t>s</w:t>
      </w:r>
      <w:r w:rsidR="00467C0A" w:rsidRPr="00B93EAF">
        <w:rPr>
          <w:rFonts w:ascii="Arial" w:hAnsi="Arial" w:cs="Arial"/>
          <w:sz w:val="25"/>
          <w:szCs w:val="25"/>
          <w:lang w:val="en-GB"/>
        </w:rPr>
        <w:t xml:space="preserve"> of </w:t>
      </w:r>
      <w:r w:rsidR="00C403C8" w:rsidRPr="00B93EAF">
        <w:rPr>
          <w:rFonts w:ascii="Arial" w:hAnsi="Arial" w:cs="Arial"/>
          <w:sz w:val="25"/>
          <w:szCs w:val="25"/>
          <w:lang w:val="en-GB"/>
        </w:rPr>
        <w:t xml:space="preserve">the </w:t>
      </w:r>
      <w:r w:rsidR="00467C0A" w:rsidRPr="00B93EAF">
        <w:rPr>
          <w:rFonts w:ascii="Arial" w:hAnsi="Arial" w:cs="Arial"/>
          <w:sz w:val="25"/>
          <w:szCs w:val="25"/>
          <w:lang w:val="en-GB"/>
        </w:rPr>
        <w:t>loan account</w:t>
      </w:r>
      <w:r w:rsidR="00930175" w:rsidRPr="00B93EAF">
        <w:rPr>
          <w:rFonts w:ascii="Arial" w:hAnsi="Arial" w:cs="Arial"/>
          <w:sz w:val="25"/>
          <w:szCs w:val="25"/>
          <w:lang w:val="en-GB"/>
        </w:rPr>
        <w:t>,</w:t>
      </w:r>
      <w:r w:rsidR="00467C0A" w:rsidRPr="00B93EAF">
        <w:rPr>
          <w:rFonts w:ascii="Arial" w:hAnsi="Arial" w:cs="Arial"/>
          <w:sz w:val="25"/>
          <w:szCs w:val="25"/>
          <w:lang w:val="en-GB"/>
        </w:rPr>
        <w:t>  </w:t>
      </w:r>
      <w:r w:rsidR="00467C0A">
        <w:rPr>
          <w:rStyle w:val="FootnoteReference"/>
          <w:rFonts w:ascii="Arial" w:hAnsi="Arial" w:cs="Arial"/>
          <w:sz w:val="25"/>
          <w:szCs w:val="25"/>
          <w:lang w:val="en-GB"/>
        </w:rPr>
        <w:footnoteReference w:id="5"/>
      </w:r>
      <w:r w:rsidR="00467C0A" w:rsidRPr="00B93EAF">
        <w:rPr>
          <w:rFonts w:ascii="Arial" w:hAnsi="Arial" w:cs="Arial"/>
          <w:sz w:val="25"/>
          <w:szCs w:val="25"/>
          <w:lang w:val="en-GB"/>
        </w:rPr>
        <w:t> </w:t>
      </w:r>
      <w:r w:rsidR="00930175" w:rsidRPr="00B93EAF">
        <w:rPr>
          <w:rFonts w:ascii="Arial" w:hAnsi="Arial" w:cs="Arial"/>
          <w:sz w:val="25"/>
          <w:szCs w:val="25"/>
          <w:lang w:val="en-GB"/>
        </w:rPr>
        <w:t xml:space="preserve"> </w:t>
      </w:r>
      <w:r w:rsidR="00467C0A" w:rsidRPr="00B93EAF">
        <w:rPr>
          <w:rFonts w:ascii="Arial" w:hAnsi="Arial" w:cs="Arial"/>
          <w:sz w:val="25"/>
          <w:szCs w:val="25"/>
          <w:lang w:val="en-GB"/>
        </w:rPr>
        <w:t xml:space="preserve">which clearly indicate that repayments towards </w:t>
      </w:r>
      <w:r w:rsidR="00930175" w:rsidRPr="00B93EAF">
        <w:rPr>
          <w:rFonts w:ascii="Arial" w:hAnsi="Arial" w:cs="Arial"/>
          <w:sz w:val="25"/>
          <w:szCs w:val="25"/>
          <w:lang w:val="en-GB"/>
        </w:rPr>
        <w:t xml:space="preserve">the loan </w:t>
      </w:r>
      <w:r w:rsidR="00467C0A" w:rsidRPr="00B93EAF">
        <w:rPr>
          <w:rFonts w:ascii="Arial" w:hAnsi="Arial" w:cs="Arial"/>
          <w:sz w:val="25"/>
          <w:szCs w:val="25"/>
          <w:lang w:val="en-GB"/>
        </w:rPr>
        <w:t>account were, up until a point, regularly made</w:t>
      </w:r>
      <w:r w:rsidR="00930175" w:rsidRPr="00B93EAF">
        <w:rPr>
          <w:rFonts w:ascii="Arial" w:hAnsi="Arial" w:cs="Arial"/>
          <w:sz w:val="25"/>
          <w:szCs w:val="25"/>
          <w:lang w:val="en-GB"/>
        </w:rPr>
        <w:t>.  Had there been no loan, no loan repayments would likely have been made: hence my conclusion that the loan came into force and effect.</w:t>
      </w:r>
    </w:p>
    <w:p w14:paraId="435EEE5C" w14:textId="490F5318" w:rsidR="00930175" w:rsidRPr="00B93EAF" w:rsidRDefault="00B93EAF" w:rsidP="00B93EAF">
      <w:pPr>
        <w:spacing w:before="480" w:after="240" w:line="480" w:lineRule="auto"/>
        <w:ind w:left="851" w:hanging="851"/>
        <w:jc w:val="both"/>
        <w:rPr>
          <w:rFonts w:ascii="Arial" w:hAnsi="Arial" w:cs="Arial"/>
          <w:sz w:val="25"/>
          <w:szCs w:val="25"/>
          <w:lang w:val="en-GB"/>
        </w:rPr>
      </w:pPr>
      <w:r>
        <w:rPr>
          <w:rFonts w:ascii="Arial" w:hAnsi="Arial" w:cs="Arial"/>
          <w:sz w:val="25"/>
          <w:szCs w:val="25"/>
          <w:lang w:val="en-GB"/>
        </w:rPr>
        <w:t>[8]</w:t>
      </w:r>
      <w:r>
        <w:rPr>
          <w:rFonts w:ascii="Arial" w:hAnsi="Arial" w:cs="Arial"/>
          <w:sz w:val="25"/>
          <w:szCs w:val="25"/>
          <w:lang w:val="en-GB"/>
        </w:rPr>
        <w:tab/>
      </w:r>
      <w:r w:rsidR="0086037A" w:rsidRPr="00B93EAF">
        <w:rPr>
          <w:rFonts w:ascii="Arial" w:hAnsi="Arial" w:cs="Arial"/>
          <w:sz w:val="25"/>
          <w:szCs w:val="25"/>
          <w:lang w:val="en-GB"/>
        </w:rPr>
        <w:t xml:space="preserve">The scheme of funding and </w:t>
      </w:r>
      <w:r w:rsidR="00C403C8" w:rsidRPr="00B93EAF">
        <w:rPr>
          <w:rFonts w:ascii="Arial" w:hAnsi="Arial" w:cs="Arial"/>
          <w:sz w:val="25"/>
          <w:szCs w:val="25"/>
          <w:lang w:val="en-GB"/>
        </w:rPr>
        <w:t>the security provided for</w:t>
      </w:r>
      <w:r w:rsidR="0086037A" w:rsidRPr="00B93EAF">
        <w:rPr>
          <w:rFonts w:ascii="Arial" w:hAnsi="Arial" w:cs="Arial"/>
          <w:sz w:val="25"/>
          <w:szCs w:val="25"/>
          <w:lang w:val="en-GB"/>
        </w:rPr>
        <w:t xml:space="preserve"> the loan, </w:t>
      </w:r>
      <w:r w:rsidR="00F13F7E" w:rsidRPr="00B93EAF">
        <w:rPr>
          <w:rFonts w:ascii="Arial" w:hAnsi="Arial" w:cs="Arial"/>
          <w:sz w:val="25"/>
          <w:szCs w:val="25"/>
          <w:lang w:val="en-GB"/>
        </w:rPr>
        <w:t xml:space="preserve">in this matter, </w:t>
      </w:r>
      <w:r w:rsidR="0086037A" w:rsidRPr="00B93EAF">
        <w:rPr>
          <w:rFonts w:ascii="Arial" w:hAnsi="Arial" w:cs="Arial"/>
          <w:sz w:val="25"/>
          <w:szCs w:val="25"/>
          <w:lang w:val="en-GB"/>
        </w:rPr>
        <w:t>is more involved than a lender obtaining security in the form of a mortgage bond from the borrower.</w:t>
      </w:r>
      <w:r w:rsidR="00F13F7E" w:rsidRPr="00B93EAF">
        <w:rPr>
          <w:rFonts w:ascii="Arial" w:hAnsi="Arial" w:cs="Arial"/>
          <w:sz w:val="25"/>
          <w:szCs w:val="25"/>
          <w:lang w:val="en-GB"/>
        </w:rPr>
        <w:t xml:space="preserve">  Here, </w:t>
      </w:r>
      <w:r w:rsidR="00467C0A" w:rsidRPr="00B93EAF">
        <w:rPr>
          <w:rFonts w:ascii="Arial" w:hAnsi="Arial" w:cs="Arial"/>
          <w:sz w:val="25"/>
          <w:szCs w:val="25"/>
          <w:lang w:val="en-GB"/>
        </w:rPr>
        <w:t>EFC</w:t>
      </w:r>
      <w:r w:rsidR="00F13F7E" w:rsidRPr="00B93EAF">
        <w:rPr>
          <w:rFonts w:ascii="Arial" w:hAnsi="Arial" w:cs="Arial"/>
          <w:sz w:val="25"/>
          <w:szCs w:val="25"/>
          <w:lang w:val="en-GB"/>
        </w:rPr>
        <w:t xml:space="preserve"> loan</w:t>
      </w:r>
      <w:r w:rsidR="00B87106" w:rsidRPr="00B93EAF">
        <w:rPr>
          <w:rFonts w:ascii="Arial" w:hAnsi="Arial" w:cs="Arial"/>
          <w:sz w:val="25"/>
          <w:szCs w:val="25"/>
          <w:lang w:val="en-GB"/>
        </w:rPr>
        <w:t>ed</w:t>
      </w:r>
      <w:r w:rsidR="00F13F7E" w:rsidRPr="00B93EAF">
        <w:rPr>
          <w:rFonts w:ascii="Arial" w:hAnsi="Arial" w:cs="Arial"/>
          <w:sz w:val="25"/>
          <w:szCs w:val="25"/>
          <w:lang w:val="en-GB"/>
        </w:rPr>
        <w:t xml:space="preserve"> moneys to the trust; if the trust default</w:t>
      </w:r>
      <w:r w:rsidR="008415D8" w:rsidRPr="00B93EAF">
        <w:rPr>
          <w:rFonts w:ascii="Arial" w:hAnsi="Arial" w:cs="Arial"/>
          <w:sz w:val="25"/>
          <w:szCs w:val="25"/>
          <w:lang w:val="en-GB"/>
        </w:rPr>
        <w:t>ed</w:t>
      </w:r>
      <w:r w:rsidR="00F13F7E" w:rsidRPr="00B93EAF">
        <w:rPr>
          <w:rFonts w:ascii="Arial" w:hAnsi="Arial" w:cs="Arial"/>
          <w:sz w:val="25"/>
          <w:szCs w:val="25"/>
          <w:lang w:val="en-GB"/>
        </w:rPr>
        <w:t xml:space="preserve"> on the loan, </w:t>
      </w:r>
      <w:r w:rsidR="00467C0A" w:rsidRPr="00B93EAF">
        <w:rPr>
          <w:rFonts w:ascii="Arial" w:hAnsi="Arial" w:cs="Arial"/>
          <w:sz w:val="25"/>
          <w:szCs w:val="25"/>
          <w:lang w:val="en-GB"/>
        </w:rPr>
        <w:t>EFC</w:t>
      </w:r>
      <w:r w:rsidR="00F13F7E" w:rsidRPr="00B93EAF">
        <w:rPr>
          <w:rFonts w:ascii="Arial" w:hAnsi="Arial" w:cs="Arial"/>
          <w:sz w:val="25"/>
          <w:szCs w:val="25"/>
          <w:lang w:val="en-GB"/>
        </w:rPr>
        <w:t xml:space="preserve"> </w:t>
      </w:r>
      <w:r w:rsidR="008415D8" w:rsidRPr="00B93EAF">
        <w:rPr>
          <w:rFonts w:ascii="Arial" w:hAnsi="Arial" w:cs="Arial"/>
          <w:sz w:val="25"/>
          <w:szCs w:val="25"/>
          <w:lang w:val="en-GB"/>
        </w:rPr>
        <w:t>could</w:t>
      </w:r>
      <w:r w:rsidR="00F13F7E" w:rsidRPr="00B93EAF">
        <w:rPr>
          <w:rFonts w:ascii="Arial" w:hAnsi="Arial" w:cs="Arial"/>
          <w:sz w:val="25"/>
          <w:szCs w:val="25"/>
          <w:lang w:val="en-GB"/>
        </w:rPr>
        <w:t xml:space="preserve"> rely upon the guarantee given to it by </w:t>
      </w:r>
      <w:proofErr w:type="spellStart"/>
      <w:r w:rsidR="00F13F7E" w:rsidRPr="00B93EAF">
        <w:rPr>
          <w:rFonts w:ascii="Arial" w:hAnsi="Arial" w:cs="Arial"/>
          <w:sz w:val="25"/>
          <w:szCs w:val="25"/>
          <w:lang w:val="en-GB"/>
        </w:rPr>
        <w:t>Nqaba</w:t>
      </w:r>
      <w:proofErr w:type="spellEnd"/>
      <w:r w:rsidR="00F13F7E" w:rsidRPr="00B93EAF">
        <w:rPr>
          <w:rFonts w:ascii="Arial" w:hAnsi="Arial" w:cs="Arial"/>
          <w:sz w:val="25"/>
          <w:szCs w:val="25"/>
          <w:lang w:val="en-GB"/>
        </w:rPr>
        <w:t xml:space="preserve"> and call for payment from </w:t>
      </w:r>
      <w:proofErr w:type="spellStart"/>
      <w:r w:rsidR="00F13F7E" w:rsidRPr="00B93EAF">
        <w:rPr>
          <w:rFonts w:ascii="Arial" w:hAnsi="Arial" w:cs="Arial"/>
          <w:sz w:val="25"/>
          <w:szCs w:val="25"/>
          <w:lang w:val="en-GB"/>
        </w:rPr>
        <w:t>Nqaba</w:t>
      </w:r>
      <w:proofErr w:type="spellEnd"/>
      <w:r w:rsidR="00F13F7E" w:rsidRPr="00B93EAF">
        <w:rPr>
          <w:rFonts w:ascii="Arial" w:hAnsi="Arial" w:cs="Arial"/>
          <w:sz w:val="25"/>
          <w:szCs w:val="25"/>
          <w:lang w:val="en-GB"/>
        </w:rPr>
        <w:t xml:space="preserve"> of any outstanding moneys in terms of the loan;  </w:t>
      </w:r>
      <w:r w:rsidR="00F13F7E">
        <w:rPr>
          <w:rStyle w:val="FootnoteReference"/>
          <w:rFonts w:ascii="Arial" w:hAnsi="Arial" w:cs="Arial"/>
          <w:sz w:val="25"/>
          <w:szCs w:val="25"/>
          <w:lang w:val="en-GB"/>
        </w:rPr>
        <w:footnoteReference w:id="6"/>
      </w:r>
      <w:r w:rsidR="00F13F7E" w:rsidRPr="00B93EAF">
        <w:rPr>
          <w:rFonts w:ascii="Arial" w:hAnsi="Arial" w:cs="Arial"/>
          <w:sz w:val="25"/>
          <w:szCs w:val="25"/>
          <w:lang w:val="en-GB"/>
        </w:rPr>
        <w:t xml:space="preserve">  provided </w:t>
      </w:r>
      <w:proofErr w:type="spellStart"/>
      <w:r w:rsidR="00F13F7E" w:rsidRPr="00B93EAF">
        <w:rPr>
          <w:rFonts w:ascii="Arial" w:hAnsi="Arial" w:cs="Arial"/>
          <w:sz w:val="25"/>
          <w:szCs w:val="25"/>
          <w:lang w:val="en-GB"/>
        </w:rPr>
        <w:t>Nqaba</w:t>
      </w:r>
      <w:proofErr w:type="spellEnd"/>
      <w:r w:rsidR="00F13F7E" w:rsidRPr="00B93EAF">
        <w:rPr>
          <w:rFonts w:ascii="Arial" w:hAnsi="Arial" w:cs="Arial"/>
          <w:sz w:val="25"/>
          <w:szCs w:val="25"/>
          <w:lang w:val="en-GB"/>
        </w:rPr>
        <w:t xml:space="preserve"> ha</w:t>
      </w:r>
      <w:r w:rsidR="008415D8" w:rsidRPr="00B93EAF">
        <w:rPr>
          <w:rFonts w:ascii="Arial" w:hAnsi="Arial" w:cs="Arial"/>
          <w:sz w:val="25"/>
          <w:szCs w:val="25"/>
          <w:lang w:val="en-GB"/>
        </w:rPr>
        <w:t>d</w:t>
      </w:r>
      <w:r w:rsidR="00F13F7E" w:rsidRPr="00B93EAF">
        <w:rPr>
          <w:rFonts w:ascii="Arial" w:hAnsi="Arial" w:cs="Arial"/>
          <w:sz w:val="25"/>
          <w:szCs w:val="25"/>
          <w:lang w:val="en-GB"/>
        </w:rPr>
        <w:t xml:space="preserve"> paid </w:t>
      </w:r>
      <w:r w:rsidR="00467C0A" w:rsidRPr="00B93EAF">
        <w:rPr>
          <w:rFonts w:ascii="Arial" w:hAnsi="Arial" w:cs="Arial"/>
          <w:sz w:val="25"/>
          <w:szCs w:val="25"/>
          <w:lang w:val="en-GB"/>
        </w:rPr>
        <w:t>EFC</w:t>
      </w:r>
      <w:r w:rsidR="00F13F7E" w:rsidRPr="00B93EAF">
        <w:rPr>
          <w:rFonts w:ascii="Arial" w:hAnsi="Arial" w:cs="Arial"/>
          <w:sz w:val="25"/>
          <w:szCs w:val="25"/>
          <w:lang w:val="en-GB"/>
        </w:rPr>
        <w:t xml:space="preserve"> under the guarantee, it </w:t>
      </w:r>
      <w:r w:rsidR="008415D8" w:rsidRPr="00B93EAF">
        <w:rPr>
          <w:rFonts w:ascii="Arial" w:hAnsi="Arial" w:cs="Arial"/>
          <w:sz w:val="25"/>
          <w:szCs w:val="25"/>
          <w:lang w:val="en-GB"/>
        </w:rPr>
        <w:t>could</w:t>
      </w:r>
      <w:r w:rsidR="00F13F7E" w:rsidRPr="00B93EAF">
        <w:rPr>
          <w:rFonts w:ascii="Arial" w:hAnsi="Arial" w:cs="Arial"/>
          <w:sz w:val="25"/>
          <w:szCs w:val="25"/>
          <w:lang w:val="en-GB"/>
        </w:rPr>
        <w:t xml:space="preserve"> claim the payment of those moneys from the trust, by virtue of the indemnity; and, if the trust fail</w:t>
      </w:r>
      <w:r w:rsidR="008415D8" w:rsidRPr="00B93EAF">
        <w:rPr>
          <w:rFonts w:ascii="Arial" w:hAnsi="Arial" w:cs="Arial"/>
          <w:sz w:val="25"/>
          <w:szCs w:val="25"/>
          <w:lang w:val="en-GB"/>
        </w:rPr>
        <w:t>ed</w:t>
      </w:r>
      <w:r w:rsidR="00F13F7E" w:rsidRPr="00B93EAF">
        <w:rPr>
          <w:rFonts w:ascii="Arial" w:hAnsi="Arial" w:cs="Arial"/>
          <w:sz w:val="25"/>
          <w:szCs w:val="25"/>
          <w:lang w:val="en-GB"/>
        </w:rPr>
        <w:t xml:space="preserve"> to make payment to </w:t>
      </w:r>
      <w:proofErr w:type="spellStart"/>
      <w:r w:rsidR="00F13F7E" w:rsidRPr="00B93EAF">
        <w:rPr>
          <w:rFonts w:ascii="Arial" w:hAnsi="Arial" w:cs="Arial"/>
          <w:sz w:val="25"/>
          <w:szCs w:val="25"/>
          <w:lang w:val="en-GB"/>
        </w:rPr>
        <w:t>Nqaba</w:t>
      </w:r>
      <w:proofErr w:type="spellEnd"/>
      <w:r w:rsidR="00B87106" w:rsidRPr="00B93EAF">
        <w:rPr>
          <w:rFonts w:ascii="Arial" w:hAnsi="Arial" w:cs="Arial"/>
          <w:sz w:val="25"/>
          <w:szCs w:val="25"/>
          <w:lang w:val="en-GB"/>
        </w:rPr>
        <w:t xml:space="preserve"> of the amount </w:t>
      </w:r>
      <w:r w:rsidR="00B87106" w:rsidRPr="00B93EAF">
        <w:rPr>
          <w:rFonts w:ascii="Arial" w:hAnsi="Arial" w:cs="Arial"/>
          <w:sz w:val="25"/>
          <w:szCs w:val="25"/>
          <w:lang w:val="en-GB"/>
        </w:rPr>
        <w:lastRenderedPageBreak/>
        <w:t xml:space="preserve">demanded from it, </w:t>
      </w:r>
      <w:proofErr w:type="spellStart"/>
      <w:r w:rsidR="00B87106" w:rsidRPr="00B93EAF">
        <w:rPr>
          <w:rFonts w:ascii="Arial" w:hAnsi="Arial" w:cs="Arial"/>
          <w:sz w:val="25"/>
          <w:szCs w:val="25"/>
          <w:lang w:val="en-GB"/>
        </w:rPr>
        <w:t>Nqaba</w:t>
      </w:r>
      <w:proofErr w:type="spellEnd"/>
      <w:r w:rsidR="00B87106" w:rsidRPr="00B93EAF">
        <w:rPr>
          <w:rFonts w:ascii="Arial" w:hAnsi="Arial" w:cs="Arial"/>
          <w:sz w:val="25"/>
          <w:szCs w:val="25"/>
          <w:lang w:val="en-GB"/>
        </w:rPr>
        <w:t xml:space="preserve"> </w:t>
      </w:r>
      <w:r w:rsidR="008415D8" w:rsidRPr="00B93EAF">
        <w:rPr>
          <w:rFonts w:ascii="Arial" w:hAnsi="Arial" w:cs="Arial"/>
          <w:sz w:val="25"/>
          <w:szCs w:val="25"/>
          <w:lang w:val="en-GB"/>
        </w:rPr>
        <w:t>could</w:t>
      </w:r>
      <w:r w:rsidR="00B87106" w:rsidRPr="00B93EAF">
        <w:rPr>
          <w:rFonts w:ascii="Arial" w:hAnsi="Arial" w:cs="Arial"/>
          <w:sz w:val="25"/>
          <w:szCs w:val="25"/>
          <w:lang w:val="en-GB"/>
        </w:rPr>
        <w:t xml:space="preserve"> look to the mortgage bond as security for payment</w:t>
      </w:r>
      <w:r w:rsidR="008415D8" w:rsidRPr="00B93EAF">
        <w:rPr>
          <w:rFonts w:ascii="Arial" w:hAnsi="Arial" w:cs="Arial"/>
          <w:sz w:val="25"/>
          <w:szCs w:val="25"/>
          <w:lang w:val="en-GB"/>
        </w:rPr>
        <w:t xml:space="preserve"> by the trust.</w:t>
      </w:r>
    </w:p>
    <w:p w14:paraId="312C7D09" w14:textId="0F8E27CF" w:rsidR="00335606" w:rsidRPr="00B93EAF" w:rsidRDefault="00B93EAF" w:rsidP="00B93EAF">
      <w:pPr>
        <w:spacing w:before="480" w:after="240" w:line="480" w:lineRule="auto"/>
        <w:ind w:left="851" w:hanging="851"/>
        <w:jc w:val="both"/>
        <w:rPr>
          <w:rFonts w:ascii="Arial" w:hAnsi="Arial" w:cs="Arial"/>
          <w:sz w:val="25"/>
          <w:szCs w:val="25"/>
          <w:lang w:val="en-GB"/>
        </w:rPr>
      </w:pPr>
      <w:r>
        <w:rPr>
          <w:rFonts w:ascii="Arial" w:hAnsi="Arial" w:cs="Arial"/>
          <w:sz w:val="25"/>
          <w:szCs w:val="25"/>
          <w:lang w:val="en-GB"/>
        </w:rPr>
        <w:t>[9]</w:t>
      </w:r>
      <w:r>
        <w:rPr>
          <w:rFonts w:ascii="Arial" w:hAnsi="Arial" w:cs="Arial"/>
          <w:sz w:val="25"/>
          <w:szCs w:val="25"/>
          <w:lang w:val="en-GB"/>
        </w:rPr>
        <w:tab/>
      </w:r>
      <w:r w:rsidR="008415D8" w:rsidRPr="00B93EAF">
        <w:rPr>
          <w:rFonts w:ascii="Arial" w:hAnsi="Arial" w:cs="Arial"/>
          <w:sz w:val="25"/>
          <w:szCs w:val="25"/>
          <w:lang w:val="en-GB"/>
        </w:rPr>
        <w:t xml:space="preserve">The way that </w:t>
      </w:r>
      <w:proofErr w:type="spellStart"/>
      <w:r w:rsidR="008415D8" w:rsidRPr="00B93EAF">
        <w:rPr>
          <w:rFonts w:ascii="Arial" w:hAnsi="Arial" w:cs="Arial"/>
          <w:sz w:val="25"/>
          <w:szCs w:val="25"/>
          <w:lang w:val="en-GB"/>
        </w:rPr>
        <w:t>Nqaba</w:t>
      </w:r>
      <w:proofErr w:type="spellEnd"/>
      <w:r w:rsidR="008415D8" w:rsidRPr="00B93EAF">
        <w:rPr>
          <w:rFonts w:ascii="Arial" w:hAnsi="Arial" w:cs="Arial"/>
          <w:sz w:val="25"/>
          <w:szCs w:val="25"/>
          <w:lang w:val="en-GB"/>
        </w:rPr>
        <w:t xml:space="preserve"> and </w:t>
      </w:r>
      <w:r w:rsidR="00467C0A" w:rsidRPr="00B93EAF">
        <w:rPr>
          <w:rFonts w:ascii="Arial" w:hAnsi="Arial" w:cs="Arial"/>
          <w:sz w:val="25"/>
          <w:szCs w:val="25"/>
          <w:lang w:val="en-GB"/>
        </w:rPr>
        <w:t>EFC</w:t>
      </w:r>
      <w:r w:rsidR="008415D8" w:rsidRPr="00B93EAF">
        <w:rPr>
          <w:rFonts w:ascii="Arial" w:hAnsi="Arial" w:cs="Arial"/>
          <w:sz w:val="25"/>
          <w:szCs w:val="25"/>
          <w:lang w:val="en-GB"/>
        </w:rPr>
        <w:t xml:space="preserve"> chose to address this in the founding affidavit was to refer to themselves by the single moniker of “the lender” and to assert that the lender had complied with its obligations</w:t>
      </w:r>
      <w:r w:rsidR="00467C0A" w:rsidRPr="00B93EAF">
        <w:rPr>
          <w:rFonts w:ascii="Arial" w:hAnsi="Arial" w:cs="Arial"/>
          <w:sz w:val="25"/>
          <w:szCs w:val="25"/>
          <w:lang w:val="en-GB"/>
        </w:rPr>
        <w:t xml:space="preserve"> in terms of the agreements and the mortgage bond.  This </w:t>
      </w:r>
      <w:r w:rsidR="00335606" w:rsidRPr="00B93EAF">
        <w:rPr>
          <w:rFonts w:ascii="Arial" w:hAnsi="Arial" w:cs="Arial"/>
          <w:sz w:val="25"/>
          <w:szCs w:val="25"/>
          <w:lang w:val="en-GB"/>
        </w:rPr>
        <w:t>sweeping statement is not particularly satisfactory and the failure by them to address the pertinent facts directly, rather than obliquely as they have done, has brought them within perilous proximity of failing to secure the orders they seek.</w:t>
      </w:r>
      <w:r w:rsidR="006C5A2E" w:rsidRPr="00B93EAF">
        <w:rPr>
          <w:rFonts w:ascii="Arial" w:hAnsi="Arial" w:cs="Arial"/>
          <w:sz w:val="25"/>
          <w:szCs w:val="25"/>
          <w:lang w:val="en-GB"/>
        </w:rPr>
        <w:t xml:space="preserve">  </w:t>
      </w:r>
      <w:r w:rsidR="00991370" w:rsidRPr="00B93EAF">
        <w:rPr>
          <w:rFonts w:ascii="Arial" w:hAnsi="Arial" w:cs="Arial"/>
          <w:sz w:val="25"/>
          <w:szCs w:val="25"/>
          <w:lang w:val="en-GB"/>
        </w:rPr>
        <w:t>Both</w:t>
      </w:r>
      <w:r w:rsidR="006C5A2E" w:rsidRPr="00B93EAF">
        <w:rPr>
          <w:rFonts w:ascii="Arial" w:hAnsi="Arial" w:cs="Arial"/>
          <w:sz w:val="25"/>
          <w:szCs w:val="25"/>
          <w:lang w:val="en-GB"/>
        </w:rPr>
        <w:t xml:space="preserve"> their first </w:t>
      </w:r>
      <w:r w:rsidR="00991370" w:rsidRPr="00B93EAF">
        <w:rPr>
          <w:rFonts w:ascii="Arial" w:hAnsi="Arial" w:cs="Arial"/>
          <w:sz w:val="25"/>
          <w:szCs w:val="25"/>
          <w:lang w:val="en-GB"/>
        </w:rPr>
        <w:t>and</w:t>
      </w:r>
      <w:r w:rsidR="006C5A2E" w:rsidRPr="00B93EAF">
        <w:rPr>
          <w:rFonts w:ascii="Arial" w:hAnsi="Arial" w:cs="Arial"/>
          <w:sz w:val="25"/>
          <w:szCs w:val="25"/>
          <w:lang w:val="en-GB"/>
        </w:rPr>
        <w:t xml:space="preserve"> second supplementary affidavits</w:t>
      </w:r>
      <w:r w:rsidR="00991370" w:rsidRPr="00B93EAF">
        <w:rPr>
          <w:rFonts w:ascii="Arial" w:hAnsi="Arial" w:cs="Arial"/>
          <w:sz w:val="25"/>
          <w:szCs w:val="25"/>
          <w:lang w:val="en-GB"/>
        </w:rPr>
        <w:t xml:space="preserve"> did </w:t>
      </w:r>
      <w:r w:rsidR="006C5A2E" w:rsidRPr="00B93EAF">
        <w:rPr>
          <w:rFonts w:ascii="Arial" w:hAnsi="Arial" w:cs="Arial"/>
          <w:sz w:val="25"/>
          <w:szCs w:val="25"/>
          <w:lang w:val="en-GB"/>
        </w:rPr>
        <w:t>little to ameliorate this criticism.</w:t>
      </w:r>
      <w:r w:rsidR="00991370" w:rsidRPr="00B93EAF">
        <w:rPr>
          <w:rFonts w:ascii="Arial" w:hAnsi="Arial" w:cs="Arial"/>
          <w:sz w:val="25"/>
          <w:szCs w:val="25"/>
          <w:lang w:val="en-GB"/>
        </w:rPr>
        <w:t xml:space="preserve">  There was </w:t>
      </w:r>
      <w:r w:rsidR="004D4BEB" w:rsidRPr="00B93EAF">
        <w:rPr>
          <w:rFonts w:ascii="Arial" w:hAnsi="Arial" w:cs="Arial"/>
          <w:sz w:val="25"/>
          <w:szCs w:val="25"/>
          <w:lang w:val="en-GB"/>
        </w:rPr>
        <w:t xml:space="preserve">sufficient primary and secondary evidence, </w:t>
      </w:r>
      <w:r w:rsidR="00991370" w:rsidRPr="00B93EAF">
        <w:rPr>
          <w:rFonts w:ascii="Arial" w:hAnsi="Arial" w:cs="Arial"/>
          <w:sz w:val="25"/>
          <w:szCs w:val="25"/>
          <w:lang w:val="en-GB"/>
        </w:rPr>
        <w:t>in my view</w:t>
      </w:r>
      <w:r w:rsidR="004D4BEB" w:rsidRPr="00B93EAF">
        <w:rPr>
          <w:rFonts w:ascii="Arial" w:hAnsi="Arial" w:cs="Arial"/>
          <w:sz w:val="25"/>
          <w:szCs w:val="25"/>
          <w:lang w:val="en-GB"/>
        </w:rPr>
        <w:t>, however, to establish</w:t>
      </w:r>
      <w:r w:rsidR="00991370" w:rsidRPr="00B93EAF">
        <w:rPr>
          <w:rFonts w:ascii="Arial" w:hAnsi="Arial" w:cs="Arial"/>
          <w:sz w:val="25"/>
          <w:szCs w:val="25"/>
          <w:lang w:val="en-GB"/>
        </w:rPr>
        <w:t xml:space="preserve"> a </w:t>
      </w:r>
      <w:r w:rsidR="00991370" w:rsidRPr="00B93EAF">
        <w:rPr>
          <w:rFonts w:ascii="Arial" w:hAnsi="Arial" w:cs="Arial"/>
          <w:i/>
          <w:iCs/>
          <w:sz w:val="25"/>
          <w:szCs w:val="25"/>
          <w:lang w:val="en-GB"/>
        </w:rPr>
        <w:t>prima facie</w:t>
      </w:r>
      <w:r w:rsidR="00991370" w:rsidRPr="00B93EAF">
        <w:rPr>
          <w:rFonts w:ascii="Arial" w:hAnsi="Arial" w:cs="Arial"/>
          <w:sz w:val="25"/>
          <w:szCs w:val="25"/>
          <w:lang w:val="en-GB"/>
        </w:rPr>
        <w:t xml:space="preserve"> case on the founding papers for the orders sought.</w:t>
      </w:r>
    </w:p>
    <w:p w14:paraId="13970BE8" w14:textId="5FEDAA13" w:rsidR="00991370" w:rsidRPr="00B93EAF" w:rsidRDefault="00B93EAF" w:rsidP="00B93EAF">
      <w:pPr>
        <w:spacing w:before="480" w:after="240" w:line="480" w:lineRule="auto"/>
        <w:ind w:left="851" w:hanging="851"/>
        <w:jc w:val="both"/>
        <w:rPr>
          <w:rFonts w:ascii="Arial" w:hAnsi="Arial" w:cs="Arial"/>
          <w:sz w:val="25"/>
          <w:szCs w:val="25"/>
          <w:lang w:val="en-GB"/>
        </w:rPr>
      </w:pPr>
      <w:r>
        <w:rPr>
          <w:rFonts w:ascii="Arial" w:hAnsi="Arial" w:cs="Arial"/>
          <w:sz w:val="25"/>
          <w:szCs w:val="25"/>
          <w:lang w:val="en-GB"/>
        </w:rPr>
        <w:t>[10]</w:t>
      </w:r>
      <w:r>
        <w:rPr>
          <w:rFonts w:ascii="Arial" w:hAnsi="Arial" w:cs="Arial"/>
          <w:sz w:val="25"/>
          <w:szCs w:val="25"/>
          <w:lang w:val="en-GB"/>
        </w:rPr>
        <w:tab/>
      </w:r>
      <w:r w:rsidR="00991370" w:rsidRPr="00B93EAF">
        <w:rPr>
          <w:rFonts w:ascii="Arial" w:hAnsi="Arial" w:cs="Arial"/>
          <w:sz w:val="25"/>
          <w:szCs w:val="25"/>
          <w:lang w:val="en-GB"/>
        </w:rPr>
        <w:t xml:space="preserve">The trust and Mr </w:t>
      </w:r>
      <w:proofErr w:type="spellStart"/>
      <w:r w:rsidR="00991370" w:rsidRPr="00B93EAF">
        <w:rPr>
          <w:rFonts w:ascii="Arial" w:hAnsi="Arial" w:cs="Arial"/>
          <w:sz w:val="25"/>
          <w:szCs w:val="25"/>
          <w:lang w:val="en-GB"/>
        </w:rPr>
        <w:t>Ngutshane</w:t>
      </w:r>
      <w:proofErr w:type="spellEnd"/>
      <w:r w:rsidR="00991370" w:rsidRPr="00B93EAF">
        <w:rPr>
          <w:rFonts w:ascii="Arial" w:hAnsi="Arial" w:cs="Arial"/>
          <w:sz w:val="25"/>
          <w:szCs w:val="25"/>
          <w:lang w:val="en-GB"/>
        </w:rPr>
        <w:t xml:space="preserve"> chose other bases</w:t>
      </w:r>
      <w:r w:rsidR="00DA2C48" w:rsidRPr="00B93EAF">
        <w:rPr>
          <w:rFonts w:ascii="Arial" w:hAnsi="Arial" w:cs="Arial"/>
          <w:sz w:val="25"/>
          <w:szCs w:val="25"/>
          <w:lang w:val="en-GB"/>
        </w:rPr>
        <w:t>, than those I have just referred to,</w:t>
      </w:r>
      <w:r w:rsidR="00991370" w:rsidRPr="00B93EAF">
        <w:rPr>
          <w:rFonts w:ascii="Arial" w:hAnsi="Arial" w:cs="Arial"/>
          <w:sz w:val="25"/>
          <w:szCs w:val="25"/>
          <w:lang w:val="en-GB"/>
        </w:rPr>
        <w:t xml:space="preserve"> to challenge liability.  Mr </w:t>
      </w:r>
      <w:proofErr w:type="spellStart"/>
      <w:r w:rsidR="00991370" w:rsidRPr="00B93EAF">
        <w:rPr>
          <w:rFonts w:ascii="Arial" w:hAnsi="Arial" w:cs="Arial"/>
          <w:sz w:val="25"/>
          <w:szCs w:val="25"/>
          <w:lang w:val="en-GB"/>
        </w:rPr>
        <w:t>Ngutshane</w:t>
      </w:r>
      <w:proofErr w:type="spellEnd"/>
      <w:r w:rsidR="00991370" w:rsidRPr="00B93EAF">
        <w:rPr>
          <w:rFonts w:ascii="Arial" w:hAnsi="Arial" w:cs="Arial"/>
          <w:sz w:val="25"/>
          <w:szCs w:val="25"/>
          <w:lang w:val="en-GB"/>
        </w:rPr>
        <w:t xml:space="preserve"> admits that he was an employee of Eskom until April 2016, when he left its employ to take up other opportunities.  In preparation for doing so, he ensured that the trust had sufficient funds to cover the loan instalments for the following eight months, by which time he foresaw that his new business venture would be able to afford the loan repayments.  </w:t>
      </w:r>
    </w:p>
    <w:p w14:paraId="56770101" w14:textId="635CAFCA" w:rsidR="008415D8" w:rsidRPr="00B93EAF" w:rsidRDefault="00B93EAF" w:rsidP="00B93EAF">
      <w:pPr>
        <w:spacing w:before="480" w:after="240" w:line="480" w:lineRule="auto"/>
        <w:ind w:left="851" w:hanging="851"/>
        <w:jc w:val="both"/>
        <w:rPr>
          <w:rFonts w:ascii="Arial" w:hAnsi="Arial" w:cs="Arial"/>
          <w:sz w:val="25"/>
          <w:szCs w:val="25"/>
          <w:lang w:val="en-GB"/>
        </w:rPr>
      </w:pPr>
      <w:r>
        <w:rPr>
          <w:rFonts w:ascii="Arial" w:hAnsi="Arial" w:cs="Arial"/>
          <w:sz w:val="25"/>
          <w:szCs w:val="25"/>
          <w:lang w:val="en-GB"/>
        </w:rPr>
        <w:t>[11]</w:t>
      </w:r>
      <w:r>
        <w:rPr>
          <w:rFonts w:ascii="Arial" w:hAnsi="Arial" w:cs="Arial"/>
          <w:sz w:val="25"/>
          <w:szCs w:val="25"/>
          <w:lang w:val="en-GB"/>
        </w:rPr>
        <w:tab/>
      </w:r>
      <w:r w:rsidR="00991370" w:rsidRPr="00B93EAF">
        <w:rPr>
          <w:rFonts w:ascii="Arial" w:hAnsi="Arial" w:cs="Arial"/>
          <w:sz w:val="25"/>
          <w:szCs w:val="25"/>
          <w:lang w:val="en-GB"/>
        </w:rPr>
        <w:t xml:space="preserve">He </w:t>
      </w:r>
      <w:r w:rsidR="00DA2C48" w:rsidRPr="00B93EAF">
        <w:rPr>
          <w:rFonts w:ascii="Arial" w:hAnsi="Arial" w:cs="Arial"/>
          <w:sz w:val="25"/>
          <w:szCs w:val="25"/>
          <w:lang w:val="en-GB"/>
        </w:rPr>
        <w:t>deposed that</w:t>
      </w:r>
      <w:r w:rsidR="00991370" w:rsidRPr="00B93EAF">
        <w:rPr>
          <w:rFonts w:ascii="Arial" w:hAnsi="Arial" w:cs="Arial"/>
          <w:sz w:val="25"/>
          <w:szCs w:val="25"/>
          <w:lang w:val="en-GB"/>
        </w:rPr>
        <w:t xml:space="preserve"> it </w:t>
      </w:r>
      <w:r w:rsidR="00DA2C48" w:rsidRPr="00B93EAF">
        <w:rPr>
          <w:rFonts w:ascii="Arial" w:hAnsi="Arial" w:cs="Arial"/>
          <w:sz w:val="25"/>
          <w:szCs w:val="25"/>
          <w:lang w:val="en-GB"/>
        </w:rPr>
        <w:t xml:space="preserve">had </w:t>
      </w:r>
      <w:r w:rsidR="00991370" w:rsidRPr="00B93EAF">
        <w:rPr>
          <w:rFonts w:ascii="Arial" w:hAnsi="Arial" w:cs="Arial"/>
          <w:sz w:val="25"/>
          <w:szCs w:val="25"/>
          <w:lang w:val="en-GB"/>
        </w:rPr>
        <w:t>c</w:t>
      </w:r>
      <w:r w:rsidR="00DA2C48" w:rsidRPr="00B93EAF">
        <w:rPr>
          <w:rFonts w:ascii="Arial" w:hAnsi="Arial" w:cs="Arial"/>
          <w:sz w:val="25"/>
          <w:szCs w:val="25"/>
          <w:lang w:val="en-GB"/>
        </w:rPr>
        <w:t>o</w:t>
      </w:r>
      <w:r w:rsidR="00991370" w:rsidRPr="00B93EAF">
        <w:rPr>
          <w:rFonts w:ascii="Arial" w:hAnsi="Arial" w:cs="Arial"/>
          <w:sz w:val="25"/>
          <w:szCs w:val="25"/>
          <w:lang w:val="en-GB"/>
        </w:rPr>
        <w:t xml:space="preserve">me as a surprise to him when, on 17 May 2016, EFC </w:t>
      </w:r>
      <w:r w:rsidR="00DA2C48" w:rsidRPr="00B93EAF">
        <w:rPr>
          <w:rFonts w:ascii="Arial" w:hAnsi="Arial" w:cs="Arial"/>
          <w:sz w:val="25"/>
          <w:szCs w:val="25"/>
          <w:lang w:val="en-GB"/>
        </w:rPr>
        <w:t xml:space="preserve">had </w:t>
      </w:r>
      <w:r w:rsidR="00991370" w:rsidRPr="00B93EAF">
        <w:rPr>
          <w:rFonts w:ascii="Arial" w:hAnsi="Arial" w:cs="Arial"/>
          <w:sz w:val="25"/>
          <w:szCs w:val="25"/>
          <w:lang w:val="en-GB"/>
        </w:rPr>
        <w:t xml:space="preserve">placed </w:t>
      </w:r>
      <w:r w:rsidR="00DA2C48" w:rsidRPr="00B93EAF">
        <w:rPr>
          <w:rFonts w:ascii="Arial" w:hAnsi="Arial" w:cs="Arial"/>
          <w:sz w:val="25"/>
          <w:szCs w:val="25"/>
          <w:lang w:val="en-GB"/>
        </w:rPr>
        <w:t>the trust</w:t>
      </w:r>
      <w:r w:rsidR="00991370" w:rsidRPr="00B93EAF">
        <w:rPr>
          <w:rFonts w:ascii="Arial" w:hAnsi="Arial" w:cs="Arial"/>
          <w:sz w:val="25"/>
          <w:szCs w:val="25"/>
          <w:lang w:val="en-GB"/>
        </w:rPr>
        <w:t xml:space="preserve"> on terms regarding the loan, as a result of the </w:t>
      </w:r>
      <w:r w:rsidR="00991370" w:rsidRPr="00B93EAF">
        <w:rPr>
          <w:rFonts w:ascii="Arial" w:hAnsi="Arial" w:cs="Arial"/>
          <w:sz w:val="25"/>
          <w:szCs w:val="25"/>
          <w:lang w:val="en-GB"/>
        </w:rPr>
        <w:lastRenderedPageBreak/>
        <w:t xml:space="preserve">termination of his employment with Eskom; but </w:t>
      </w:r>
      <w:r w:rsidR="004B0DE5" w:rsidRPr="00B93EAF">
        <w:rPr>
          <w:rFonts w:ascii="Arial" w:hAnsi="Arial" w:cs="Arial"/>
          <w:sz w:val="25"/>
          <w:szCs w:val="25"/>
          <w:lang w:val="en-GB"/>
        </w:rPr>
        <w:t xml:space="preserve">the full outstanding loan became immediately due and payable upon the termination of his employment (unless otherwise agreed to in writing) </w:t>
      </w:r>
      <w:r w:rsidR="00196A82" w:rsidRPr="00B93EAF">
        <w:rPr>
          <w:rFonts w:ascii="Arial" w:hAnsi="Arial" w:cs="Arial"/>
          <w:sz w:val="25"/>
          <w:szCs w:val="25"/>
          <w:lang w:val="en-GB"/>
        </w:rPr>
        <w:t xml:space="preserve">in terms of clause 4.3 of the loan agreement and </w:t>
      </w:r>
      <w:r w:rsidR="004B0DE5" w:rsidRPr="00B93EAF">
        <w:rPr>
          <w:rFonts w:ascii="Arial" w:hAnsi="Arial" w:cs="Arial"/>
          <w:sz w:val="25"/>
          <w:szCs w:val="25"/>
          <w:lang w:val="en-GB"/>
        </w:rPr>
        <w:t xml:space="preserve">the trust became liable for </w:t>
      </w:r>
      <w:r w:rsidR="00196A82" w:rsidRPr="00B93EAF">
        <w:rPr>
          <w:rFonts w:ascii="Arial" w:hAnsi="Arial" w:cs="Arial"/>
          <w:sz w:val="25"/>
          <w:szCs w:val="25"/>
          <w:lang w:val="en-GB"/>
        </w:rPr>
        <w:t xml:space="preserve">penalty interest on any amount owing </w:t>
      </w:r>
      <w:r w:rsidR="004B0DE5" w:rsidRPr="00B93EAF">
        <w:rPr>
          <w:rFonts w:ascii="Arial" w:hAnsi="Arial" w:cs="Arial"/>
          <w:sz w:val="25"/>
          <w:szCs w:val="25"/>
          <w:lang w:val="en-GB"/>
        </w:rPr>
        <w:t>in terms of clause 5.6.1</w:t>
      </w:r>
      <w:r w:rsidR="00991370" w:rsidRPr="00B93EAF">
        <w:rPr>
          <w:rFonts w:ascii="Arial" w:hAnsi="Arial" w:cs="Arial"/>
          <w:sz w:val="25"/>
          <w:szCs w:val="25"/>
          <w:lang w:val="en-GB"/>
        </w:rPr>
        <w:t>.</w:t>
      </w:r>
      <w:r w:rsidR="004B0DE5" w:rsidRPr="00B93EAF">
        <w:rPr>
          <w:rFonts w:ascii="Arial" w:hAnsi="Arial" w:cs="Arial"/>
          <w:sz w:val="25"/>
          <w:szCs w:val="25"/>
          <w:lang w:val="en-GB"/>
        </w:rPr>
        <w:t xml:space="preserve">  The letter of EFC makes reference to its rules, which afforded the trust 90 days</w:t>
      </w:r>
      <w:r w:rsidR="00DA2C48" w:rsidRPr="00B93EAF">
        <w:rPr>
          <w:rFonts w:ascii="Arial" w:hAnsi="Arial" w:cs="Arial"/>
          <w:sz w:val="25"/>
          <w:szCs w:val="25"/>
          <w:lang w:val="en-GB"/>
        </w:rPr>
        <w:t>,</w:t>
      </w:r>
      <w:r w:rsidR="004B0DE5" w:rsidRPr="00B93EAF">
        <w:rPr>
          <w:rFonts w:ascii="Arial" w:hAnsi="Arial" w:cs="Arial"/>
          <w:sz w:val="25"/>
          <w:szCs w:val="25"/>
          <w:lang w:val="en-GB"/>
        </w:rPr>
        <w:t xml:space="preserve"> f</w:t>
      </w:r>
      <w:r w:rsidR="00883DEC" w:rsidRPr="00B93EAF">
        <w:rPr>
          <w:rFonts w:ascii="Arial" w:hAnsi="Arial" w:cs="Arial"/>
          <w:sz w:val="25"/>
          <w:szCs w:val="25"/>
          <w:lang w:val="en-GB"/>
        </w:rPr>
        <w:t>ro</w:t>
      </w:r>
      <w:r w:rsidR="004B0DE5" w:rsidRPr="00B93EAF">
        <w:rPr>
          <w:rFonts w:ascii="Arial" w:hAnsi="Arial" w:cs="Arial"/>
          <w:sz w:val="25"/>
          <w:szCs w:val="25"/>
          <w:lang w:val="en-GB"/>
        </w:rPr>
        <w:t>m date of Mr</w:t>
      </w:r>
      <w:r w:rsidR="00DA2C48" w:rsidRPr="00B93EAF">
        <w:rPr>
          <w:rFonts w:ascii="Arial" w:hAnsi="Arial" w:cs="Arial"/>
          <w:sz w:val="25"/>
          <w:szCs w:val="25"/>
          <w:lang w:val="en-GB"/>
        </w:rPr>
        <w:t> </w:t>
      </w:r>
      <w:proofErr w:type="spellStart"/>
      <w:r w:rsidR="004B0DE5" w:rsidRPr="00B93EAF">
        <w:rPr>
          <w:rFonts w:ascii="Arial" w:hAnsi="Arial" w:cs="Arial"/>
          <w:sz w:val="25"/>
          <w:szCs w:val="25"/>
          <w:lang w:val="en-GB"/>
        </w:rPr>
        <w:t>Ngutshane’s</w:t>
      </w:r>
      <w:proofErr w:type="spellEnd"/>
      <w:r w:rsidR="004B0DE5" w:rsidRPr="00B93EAF">
        <w:rPr>
          <w:rFonts w:ascii="Arial" w:hAnsi="Arial" w:cs="Arial"/>
          <w:sz w:val="25"/>
          <w:szCs w:val="25"/>
          <w:lang w:val="en-GB"/>
        </w:rPr>
        <w:t xml:space="preserve"> termination</w:t>
      </w:r>
      <w:r w:rsidR="00DA2C48" w:rsidRPr="00B93EAF">
        <w:rPr>
          <w:rFonts w:ascii="Arial" w:hAnsi="Arial" w:cs="Arial"/>
          <w:sz w:val="25"/>
          <w:szCs w:val="25"/>
          <w:lang w:val="en-GB"/>
        </w:rPr>
        <w:t>,</w:t>
      </w:r>
      <w:r w:rsidR="004B0DE5" w:rsidRPr="00B93EAF">
        <w:rPr>
          <w:rFonts w:ascii="Arial" w:hAnsi="Arial" w:cs="Arial"/>
          <w:sz w:val="25"/>
          <w:szCs w:val="25"/>
          <w:lang w:val="en-GB"/>
        </w:rPr>
        <w:t xml:space="preserve"> to transfer the loan and mortgage bond to another </w:t>
      </w:r>
      <w:r w:rsidR="001F5C8E" w:rsidRPr="00B93EAF">
        <w:rPr>
          <w:rFonts w:ascii="Arial" w:hAnsi="Arial" w:cs="Arial"/>
          <w:sz w:val="25"/>
          <w:szCs w:val="25"/>
          <w:lang w:val="en-GB"/>
        </w:rPr>
        <w:t xml:space="preserve">financial </w:t>
      </w:r>
      <w:r w:rsidR="00883DEC" w:rsidRPr="00B93EAF">
        <w:rPr>
          <w:rFonts w:ascii="Arial" w:hAnsi="Arial" w:cs="Arial"/>
          <w:sz w:val="25"/>
          <w:szCs w:val="25"/>
          <w:lang w:val="en-GB"/>
        </w:rPr>
        <w:t>institution</w:t>
      </w:r>
      <w:r w:rsidR="00DA2C48" w:rsidRPr="00B93EAF">
        <w:rPr>
          <w:rFonts w:ascii="Arial" w:hAnsi="Arial" w:cs="Arial"/>
          <w:sz w:val="25"/>
          <w:szCs w:val="25"/>
          <w:lang w:val="en-GB"/>
        </w:rPr>
        <w:t>;</w:t>
      </w:r>
      <w:r w:rsidR="00883DEC" w:rsidRPr="00B93EAF">
        <w:rPr>
          <w:rFonts w:ascii="Arial" w:hAnsi="Arial" w:cs="Arial"/>
          <w:sz w:val="25"/>
          <w:szCs w:val="25"/>
          <w:lang w:val="en-GB"/>
        </w:rPr>
        <w:t xml:space="preserve"> as well as </w:t>
      </w:r>
      <w:r w:rsidR="00DA2C48" w:rsidRPr="00B93EAF">
        <w:rPr>
          <w:rFonts w:ascii="Arial" w:hAnsi="Arial" w:cs="Arial"/>
          <w:sz w:val="25"/>
          <w:szCs w:val="25"/>
          <w:lang w:val="en-GB"/>
        </w:rPr>
        <w:t xml:space="preserve">including </w:t>
      </w:r>
      <w:r w:rsidR="00883DEC" w:rsidRPr="00B93EAF">
        <w:rPr>
          <w:rFonts w:ascii="Arial" w:hAnsi="Arial" w:cs="Arial"/>
          <w:sz w:val="25"/>
          <w:szCs w:val="25"/>
          <w:lang w:val="en-GB"/>
        </w:rPr>
        <w:t>an invitation to make arrangements with EFC.  These terms seem more benevolent to me that those of the loan agreement and seem to have operated to the trust’s benefit.</w:t>
      </w:r>
    </w:p>
    <w:p w14:paraId="1C4A04AF" w14:textId="41B11866" w:rsidR="00883DEC" w:rsidRPr="00B93EAF" w:rsidRDefault="00B93EAF" w:rsidP="00B93EAF">
      <w:pPr>
        <w:spacing w:before="480" w:after="240" w:line="480" w:lineRule="auto"/>
        <w:ind w:left="851" w:hanging="851"/>
        <w:jc w:val="both"/>
        <w:rPr>
          <w:rFonts w:ascii="Arial" w:hAnsi="Arial" w:cs="Arial"/>
          <w:sz w:val="25"/>
          <w:szCs w:val="25"/>
          <w:lang w:val="en-GB"/>
        </w:rPr>
      </w:pPr>
      <w:r>
        <w:rPr>
          <w:rFonts w:ascii="Arial" w:hAnsi="Arial" w:cs="Arial"/>
          <w:sz w:val="25"/>
          <w:szCs w:val="25"/>
          <w:lang w:val="en-GB"/>
        </w:rPr>
        <w:t>[12]</w:t>
      </w:r>
      <w:r>
        <w:rPr>
          <w:rFonts w:ascii="Arial" w:hAnsi="Arial" w:cs="Arial"/>
          <w:sz w:val="25"/>
          <w:szCs w:val="25"/>
          <w:lang w:val="en-GB"/>
        </w:rPr>
        <w:tab/>
      </w:r>
      <w:r w:rsidR="00883DEC" w:rsidRPr="00B93EAF">
        <w:rPr>
          <w:rFonts w:ascii="Arial" w:hAnsi="Arial" w:cs="Arial"/>
          <w:sz w:val="25"/>
          <w:szCs w:val="25"/>
          <w:lang w:val="en-GB"/>
        </w:rPr>
        <w:t xml:space="preserve">Although Mr </w:t>
      </w:r>
      <w:proofErr w:type="spellStart"/>
      <w:r w:rsidR="00883DEC" w:rsidRPr="00B93EAF">
        <w:rPr>
          <w:rFonts w:ascii="Arial" w:hAnsi="Arial" w:cs="Arial"/>
          <w:sz w:val="25"/>
          <w:szCs w:val="25"/>
          <w:lang w:val="en-GB"/>
        </w:rPr>
        <w:t>Ngutshane</w:t>
      </w:r>
      <w:proofErr w:type="spellEnd"/>
      <w:r w:rsidR="00883DEC" w:rsidRPr="00B93EAF">
        <w:rPr>
          <w:rFonts w:ascii="Arial" w:hAnsi="Arial" w:cs="Arial"/>
          <w:sz w:val="25"/>
          <w:szCs w:val="25"/>
          <w:lang w:val="en-GB"/>
        </w:rPr>
        <w:t xml:space="preserve"> complained that the instalment due, after his termination of employment with Eskom, was unexplained and exorbitant, he does not allege that the interest charged by EFC was usurious or illegal.  The practical result was that the funds in the trust for the payment of loan instalments ran out sooner than Mr </w:t>
      </w:r>
      <w:proofErr w:type="spellStart"/>
      <w:r w:rsidR="00883DEC" w:rsidRPr="00B93EAF">
        <w:rPr>
          <w:rFonts w:ascii="Arial" w:hAnsi="Arial" w:cs="Arial"/>
          <w:sz w:val="25"/>
          <w:szCs w:val="25"/>
          <w:lang w:val="en-GB"/>
        </w:rPr>
        <w:t>Ngutshane</w:t>
      </w:r>
      <w:proofErr w:type="spellEnd"/>
      <w:r w:rsidR="00883DEC" w:rsidRPr="00B93EAF">
        <w:rPr>
          <w:rFonts w:ascii="Arial" w:hAnsi="Arial" w:cs="Arial"/>
          <w:sz w:val="25"/>
          <w:szCs w:val="25"/>
          <w:lang w:val="en-GB"/>
        </w:rPr>
        <w:t xml:space="preserve"> anticipated, which meant that the repayments for November and December 201</w:t>
      </w:r>
      <w:r w:rsidR="00D41930" w:rsidRPr="00B93EAF">
        <w:rPr>
          <w:rFonts w:ascii="Arial" w:hAnsi="Arial" w:cs="Arial"/>
          <w:sz w:val="25"/>
          <w:szCs w:val="25"/>
          <w:lang w:val="en-GB"/>
        </w:rPr>
        <w:t>6</w:t>
      </w:r>
      <w:r w:rsidR="00883DEC" w:rsidRPr="00B93EAF">
        <w:rPr>
          <w:rFonts w:ascii="Arial" w:hAnsi="Arial" w:cs="Arial"/>
          <w:sz w:val="25"/>
          <w:szCs w:val="25"/>
          <w:lang w:val="en-GB"/>
        </w:rPr>
        <w:t xml:space="preserve"> were not made.  </w:t>
      </w:r>
    </w:p>
    <w:p w14:paraId="5CE27321" w14:textId="563CA1EB" w:rsidR="007442BC" w:rsidRPr="00B93EAF" w:rsidRDefault="00B93EAF" w:rsidP="00B93EAF">
      <w:pPr>
        <w:spacing w:before="480" w:after="240" w:line="480" w:lineRule="auto"/>
        <w:ind w:left="851" w:hanging="851"/>
        <w:jc w:val="both"/>
        <w:rPr>
          <w:rFonts w:ascii="Arial" w:hAnsi="Arial" w:cs="Arial"/>
          <w:sz w:val="25"/>
          <w:szCs w:val="25"/>
          <w:lang w:val="en-GB"/>
        </w:rPr>
      </w:pPr>
      <w:r>
        <w:rPr>
          <w:rFonts w:ascii="Arial" w:hAnsi="Arial" w:cs="Arial"/>
          <w:sz w:val="25"/>
          <w:szCs w:val="25"/>
          <w:lang w:val="en-GB"/>
        </w:rPr>
        <w:t>[13]</w:t>
      </w:r>
      <w:r>
        <w:rPr>
          <w:rFonts w:ascii="Arial" w:hAnsi="Arial" w:cs="Arial"/>
          <w:sz w:val="25"/>
          <w:szCs w:val="25"/>
          <w:lang w:val="en-GB"/>
        </w:rPr>
        <w:tab/>
      </w:r>
      <w:r w:rsidR="00DA2C48" w:rsidRPr="00B93EAF">
        <w:rPr>
          <w:rFonts w:ascii="Arial" w:hAnsi="Arial" w:cs="Arial"/>
          <w:sz w:val="25"/>
          <w:szCs w:val="25"/>
          <w:lang w:val="en-GB"/>
        </w:rPr>
        <w:t>After</w:t>
      </w:r>
      <w:r w:rsidR="00883DEC" w:rsidRPr="00B93EAF">
        <w:rPr>
          <w:rFonts w:ascii="Arial" w:hAnsi="Arial" w:cs="Arial"/>
          <w:sz w:val="25"/>
          <w:szCs w:val="25"/>
          <w:lang w:val="en-GB"/>
        </w:rPr>
        <w:t xml:space="preserve"> this happened, he says that he approached a debt counsellor on 20 January 2017.  The referral to the debt counsellor was in respect of Mr </w:t>
      </w:r>
      <w:proofErr w:type="spellStart"/>
      <w:r w:rsidR="00883DEC" w:rsidRPr="00B93EAF">
        <w:rPr>
          <w:rFonts w:ascii="Arial" w:hAnsi="Arial" w:cs="Arial"/>
          <w:sz w:val="25"/>
          <w:szCs w:val="25"/>
          <w:lang w:val="en-GB"/>
        </w:rPr>
        <w:t>Ngutshane’s</w:t>
      </w:r>
      <w:proofErr w:type="spellEnd"/>
      <w:r w:rsidR="00883DEC" w:rsidRPr="00B93EAF">
        <w:rPr>
          <w:rFonts w:ascii="Arial" w:hAnsi="Arial" w:cs="Arial"/>
          <w:sz w:val="25"/>
          <w:szCs w:val="25"/>
          <w:lang w:val="en-GB"/>
        </w:rPr>
        <w:t xml:space="preserve"> personal estate; not that of the trust.</w:t>
      </w:r>
      <w:r w:rsidR="00B861AB" w:rsidRPr="00B93EAF">
        <w:rPr>
          <w:rFonts w:ascii="Arial" w:hAnsi="Arial" w:cs="Arial"/>
          <w:sz w:val="25"/>
          <w:szCs w:val="25"/>
          <w:lang w:val="en-GB"/>
        </w:rPr>
        <w:t xml:space="preserve">  He has attached documents emanating from debt counsellors, including a debt restructuring proposal, as well as an email </w:t>
      </w:r>
      <w:r w:rsidR="007442BC" w:rsidRPr="00B93EAF">
        <w:rPr>
          <w:rFonts w:ascii="Arial" w:hAnsi="Arial" w:cs="Arial"/>
          <w:sz w:val="25"/>
          <w:szCs w:val="25"/>
          <w:lang w:val="en-GB"/>
        </w:rPr>
        <w:t xml:space="preserve">dated 26 January 2017 </w:t>
      </w:r>
      <w:r w:rsidR="00B861AB" w:rsidRPr="00B93EAF">
        <w:rPr>
          <w:rFonts w:ascii="Arial" w:hAnsi="Arial" w:cs="Arial"/>
          <w:sz w:val="25"/>
          <w:szCs w:val="25"/>
          <w:lang w:val="en-GB"/>
        </w:rPr>
        <w:t xml:space="preserve">addressed by the debt counsellor to </w:t>
      </w:r>
      <w:hyperlink r:id="rId8" w:history="1">
        <w:r w:rsidR="00B861AB" w:rsidRPr="00B93EAF">
          <w:rPr>
            <w:rStyle w:val="Hyperlink"/>
            <w:rFonts w:ascii="Arial" w:hAnsi="Arial" w:cs="Arial"/>
            <w:sz w:val="25"/>
            <w:szCs w:val="25"/>
            <w:lang w:val="en-GB"/>
          </w:rPr>
          <w:t>shamit.naran@eskom.co.za</w:t>
        </w:r>
      </w:hyperlink>
      <w:r w:rsidR="007442BC" w:rsidRPr="00B93EAF">
        <w:rPr>
          <w:rFonts w:ascii="Arial" w:hAnsi="Arial" w:cs="Arial"/>
          <w:sz w:val="25"/>
          <w:szCs w:val="25"/>
          <w:lang w:val="en-GB"/>
        </w:rPr>
        <w:t xml:space="preserve">.  </w:t>
      </w:r>
      <w:r w:rsidR="00DA2C48" w:rsidRPr="00B93EAF">
        <w:rPr>
          <w:rFonts w:ascii="Arial" w:hAnsi="Arial" w:cs="Arial"/>
          <w:sz w:val="25"/>
          <w:szCs w:val="25"/>
          <w:lang w:val="en-GB"/>
        </w:rPr>
        <w:t xml:space="preserve">Mr </w:t>
      </w:r>
      <w:proofErr w:type="spellStart"/>
      <w:r w:rsidR="00DA2C48" w:rsidRPr="00B93EAF">
        <w:rPr>
          <w:rFonts w:ascii="Arial" w:hAnsi="Arial" w:cs="Arial"/>
          <w:sz w:val="25"/>
          <w:szCs w:val="25"/>
          <w:lang w:val="en-GB"/>
        </w:rPr>
        <w:t>Zondo</w:t>
      </w:r>
      <w:proofErr w:type="spellEnd"/>
      <w:r w:rsidR="00DA2C48" w:rsidRPr="00B93EAF">
        <w:rPr>
          <w:rFonts w:ascii="Arial" w:hAnsi="Arial" w:cs="Arial"/>
          <w:sz w:val="25"/>
          <w:szCs w:val="25"/>
          <w:lang w:val="en-GB"/>
        </w:rPr>
        <w:t xml:space="preserve"> has deposed </w:t>
      </w:r>
      <w:r w:rsidR="00DA2C48" w:rsidRPr="00B93EAF">
        <w:rPr>
          <w:rFonts w:ascii="Arial" w:hAnsi="Arial" w:cs="Arial"/>
          <w:sz w:val="25"/>
          <w:szCs w:val="25"/>
          <w:lang w:val="en-GB"/>
        </w:rPr>
        <w:lastRenderedPageBreak/>
        <w:t xml:space="preserve">that such an email and, by extension, a person </w:t>
      </w:r>
      <w:r w:rsidR="000E7A94" w:rsidRPr="00B93EAF">
        <w:rPr>
          <w:rFonts w:ascii="Arial" w:hAnsi="Arial" w:cs="Arial"/>
          <w:sz w:val="25"/>
          <w:szCs w:val="25"/>
          <w:lang w:val="en-GB"/>
        </w:rPr>
        <w:t xml:space="preserve">associated with that email </w:t>
      </w:r>
      <w:r w:rsidR="00DA2C48" w:rsidRPr="00B93EAF">
        <w:rPr>
          <w:rFonts w:ascii="Arial" w:hAnsi="Arial" w:cs="Arial"/>
          <w:sz w:val="25"/>
          <w:szCs w:val="25"/>
          <w:lang w:val="en-GB"/>
        </w:rPr>
        <w:t xml:space="preserve">is unknown to </w:t>
      </w:r>
      <w:proofErr w:type="spellStart"/>
      <w:r w:rsidR="00DA2C48" w:rsidRPr="00B93EAF">
        <w:rPr>
          <w:rFonts w:ascii="Arial" w:hAnsi="Arial" w:cs="Arial"/>
          <w:sz w:val="25"/>
          <w:szCs w:val="25"/>
          <w:lang w:val="en-GB"/>
        </w:rPr>
        <w:t>Nqaba</w:t>
      </w:r>
      <w:proofErr w:type="spellEnd"/>
      <w:r w:rsidR="00DA2C48" w:rsidRPr="00B93EAF">
        <w:rPr>
          <w:rFonts w:ascii="Arial" w:hAnsi="Arial" w:cs="Arial"/>
          <w:sz w:val="25"/>
          <w:szCs w:val="25"/>
          <w:lang w:val="en-GB"/>
        </w:rPr>
        <w:t xml:space="preserve"> or EFC.</w:t>
      </w:r>
    </w:p>
    <w:p w14:paraId="36DE4DED" w14:textId="763B5446" w:rsidR="007442BC" w:rsidRPr="00B93EAF" w:rsidRDefault="00B93EAF" w:rsidP="00B93EAF">
      <w:pPr>
        <w:spacing w:before="480" w:after="240" w:line="480" w:lineRule="auto"/>
        <w:ind w:left="851" w:hanging="851"/>
        <w:jc w:val="both"/>
        <w:rPr>
          <w:rFonts w:ascii="Arial" w:hAnsi="Arial" w:cs="Arial"/>
          <w:sz w:val="25"/>
          <w:szCs w:val="25"/>
          <w:lang w:val="en-GB"/>
        </w:rPr>
      </w:pPr>
      <w:r>
        <w:rPr>
          <w:rFonts w:ascii="Arial" w:hAnsi="Arial" w:cs="Arial"/>
          <w:sz w:val="25"/>
          <w:szCs w:val="25"/>
          <w:lang w:val="en-GB"/>
        </w:rPr>
        <w:t>[14]</w:t>
      </w:r>
      <w:r>
        <w:rPr>
          <w:rFonts w:ascii="Arial" w:hAnsi="Arial" w:cs="Arial"/>
          <w:sz w:val="25"/>
          <w:szCs w:val="25"/>
          <w:lang w:val="en-GB"/>
        </w:rPr>
        <w:tab/>
      </w:r>
      <w:r w:rsidR="007442BC" w:rsidRPr="00B93EAF">
        <w:rPr>
          <w:rFonts w:ascii="Arial" w:hAnsi="Arial" w:cs="Arial"/>
          <w:sz w:val="25"/>
          <w:szCs w:val="25"/>
          <w:lang w:val="en-GB"/>
        </w:rPr>
        <w:t xml:space="preserve">Mr </w:t>
      </w:r>
      <w:proofErr w:type="spellStart"/>
      <w:r w:rsidR="007442BC" w:rsidRPr="00B93EAF">
        <w:rPr>
          <w:rFonts w:ascii="Arial" w:hAnsi="Arial" w:cs="Arial"/>
          <w:sz w:val="25"/>
          <w:szCs w:val="25"/>
          <w:lang w:val="en-GB"/>
        </w:rPr>
        <w:t>Ngutshane</w:t>
      </w:r>
      <w:proofErr w:type="spellEnd"/>
      <w:r w:rsidR="007442BC" w:rsidRPr="00B93EAF">
        <w:rPr>
          <w:rFonts w:ascii="Arial" w:hAnsi="Arial" w:cs="Arial"/>
          <w:sz w:val="25"/>
          <w:szCs w:val="25"/>
          <w:lang w:val="en-GB"/>
        </w:rPr>
        <w:t xml:space="preserve"> has also produced an application dated 6 </w:t>
      </w:r>
      <w:r w:rsidR="00971372" w:rsidRPr="00B93EAF">
        <w:rPr>
          <w:rFonts w:ascii="Arial" w:hAnsi="Arial" w:cs="Arial"/>
          <w:sz w:val="25"/>
          <w:szCs w:val="25"/>
          <w:lang w:val="en-GB"/>
        </w:rPr>
        <w:t>M</w:t>
      </w:r>
      <w:r w:rsidR="007442BC" w:rsidRPr="00B93EAF">
        <w:rPr>
          <w:rFonts w:ascii="Arial" w:hAnsi="Arial" w:cs="Arial"/>
          <w:sz w:val="25"/>
          <w:szCs w:val="25"/>
          <w:lang w:val="en-GB"/>
        </w:rPr>
        <w:t xml:space="preserve">arch 2017 in the Pretoria </w:t>
      </w:r>
      <w:proofErr w:type="gramStart"/>
      <w:r w:rsidR="007442BC" w:rsidRPr="00B93EAF">
        <w:rPr>
          <w:rFonts w:ascii="Arial" w:hAnsi="Arial" w:cs="Arial"/>
          <w:sz w:val="25"/>
          <w:szCs w:val="25"/>
          <w:lang w:val="en-GB"/>
        </w:rPr>
        <w:t>magistrates</w:t>
      </w:r>
      <w:proofErr w:type="gramEnd"/>
      <w:r w:rsidR="007442BC" w:rsidRPr="00B93EAF">
        <w:rPr>
          <w:rFonts w:ascii="Arial" w:hAnsi="Arial" w:cs="Arial"/>
          <w:sz w:val="25"/>
          <w:szCs w:val="25"/>
          <w:lang w:val="en-GB"/>
        </w:rPr>
        <w:t xml:space="preserve"> court, where he is described as the “consumer”, and in terms whereof a restructuring of his financial obligations, owing to his over-indebtedness, </w:t>
      </w:r>
      <w:r w:rsidR="00DA2C48" w:rsidRPr="00B93EAF">
        <w:rPr>
          <w:rFonts w:ascii="Arial" w:hAnsi="Arial" w:cs="Arial"/>
          <w:sz w:val="25"/>
          <w:szCs w:val="25"/>
          <w:lang w:val="en-GB"/>
        </w:rPr>
        <w:t>wa</w:t>
      </w:r>
      <w:r w:rsidR="007442BC" w:rsidRPr="00B93EAF">
        <w:rPr>
          <w:rFonts w:ascii="Arial" w:hAnsi="Arial" w:cs="Arial"/>
          <w:sz w:val="25"/>
          <w:szCs w:val="25"/>
          <w:lang w:val="en-GB"/>
        </w:rPr>
        <w:t>s sought in terms of the provisions of the National Credit Act 34 of 2005.</w:t>
      </w:r>
    </w:p>
    <w:p w14:paraId="50FFE27A" w14:textId="75D416E0" w:rsidR="00883DEC" w:rsidRPr="00B93EAF" w:rsidRDefault="00B93EAF" w:rsidP="00B93EAF">
      <w:pPr>
        <w:spacing w:before="480" w:after="240" w:line="480" w:lineRule="auto"/>
        <w:ind w:left="851" w:hanging="851"/>
        <w:jc w:val="both"/>
        <w:rPr>
          <w:rFonts w:ascii="Arial" w:hAnsi="Arial" w:cs="Arial"/>
          <w:sz w:val="25"/>
          <w:szCs w:val="25"/>
          <w:lang w:val="en-GB"/>
        </w:rPr>
      </w:pPr>
      <w:r w:rsidRPr="007442BC">
        <w:rPr>
          <w:rFonts w:ascii="Arial" w:hAnsi="Arial" w:cs="Arial"/>
          <w:sz w:val="25"/>
          <w:szCs w:val="25"/>
          <w:lang w:val="en-GB"/>
        </w:rPr>
        <w:t>[15]</w:t>
      </w:r>
      <w:r w:rsidRPr="007442BC">
        <w:rPr>
          <w:rFonts w:ascii="Arial" w:hAnsi="Arial" w:cs="Arial"/>
          <w:sz w:val="25"/>
          <w:szCs w:val="25"/>
          <w:lang w:val="en-GB"/>
        </w:rPr>
        <w:tab/>
      </w:r>
      <w:r w:rsidR="007442BC" w:rsidRPr="00B93EAF">
        <w:rPr>
          <w:rFonts w:ascii="Arial" w:hAnsi="Arial" w:cs="Arial"/>
          <w:sz w:val="25"/>
          <w:szCs w:val="25"/>
          <w:lang w:val="en-GB"/>
        </w:rPr>
        <w:t xml:space="preserve">Then there is the debt counsellor’s email of 15 May 2017 addressed to </w:t>
      </w:r>
      <w:hyperlink r:id="rId9" w:history="1">
        <w:r w:rsidR="007442BC" w:rsidRPr="00B93EAF">
          <w:rPr>
            <w:rStyle w:val="Hyperlink"/>
            <w:rFonts w:ascii="Arial" w:hAnsi="Arial" w:cs="Arial"/>
            <w:sz w:val="25"/>
            <w:szCs w:val="25"/>
            <w:lang w:val="en-GB"/>
          </w:rPr>
          <w:t>shamit.naran@eskom.co.za</w:t>
        </w:r>
      </w:hyperlink>
      <w:r w:rsidR="007442BC" w:rsidRPr="00B93EAF">
        <w:rPr>
          <w:rFonts w:ascii="Arial" w:hAnsi="Arial" w:cs="Arial"/>
          <w:sz w:val="25"/>
          <w:szCs w:val="25"/>
          <w:lang w:val="en-GB"/>
        </w:rPr>
        <w:t xml:space="preserve"> (again) </w:t>
      </w:r>
      <w:r w:rsidR="00B861AB" w:rsidRPr="00B93EAF">
        <w:rPr>
          <w:rFonts w:ascii="Arial" w:hAnsi="Arial" w:cs="Arial"/>
          <w:sz w:val="25"/>
          <w:szCs w:val="25"/>
          <w:lang w:val="en-GB"/>
        </w:rPr>
        <w:t xml:space="preserve">and </w:t>
      </w:r>
      <w:hyperlink r:id="rId10" w:history="1">
        <w:r w:rsidR="00B861AB" w:rsidRPr="00B93EAF">
          <w:rPr>
            <w:rStyle w:val="Hyperlink"/>
            <w:rFonts w:ascii="Arial" w:hAnsi="Arial" w:cs="Arial"/>
            <w:sz w:val="25"/>
            <w:szCs w:val="25"/>
            <w:lang w:val="en-GB"/>
          </w:rPr>
          <w:t>moira.peters@eskom.co.za</w:t>
        </w:r>
      </w:hyperlink>
      <w:r w:rsidR="00B861AB" w:rsidRPr="00B93EAF">
        <w:rPr>
          <w:rFonts w:ascii="Arial" w:hAnsi="Arial" w:cs="Arial"/>
          <w:sz w:val="25"/>
          <w:szCs w:val="25"/>
          <w:lang w:val="en-GB"/>
        </w:rPr>
        <w:t xml:space="preserve">, </w:t>
      </w:r>
      <w:r w:rsidR="007442BC" w:rsidRPr="00B93EAF">
        <w:rPr>
          <w:rFonts w:ascii="Arial" w:hAnsi="Arial" w:cs="Arial"/>
          <w:sz w:val="25"/>
          <w:szCs w:val="25"/>
          <w:lang w:val="en-GB"/>
        </w:rPr>
        <w:t xml:space="preserve">which elicited a response from Ms </w:t>
      </w:r>
      <w:proofErr w:type="spellStart"/>
      <w:r w:rsidR="007442BC" w:rsidRPr="00B93EAF">
        <w:rPr>
          <w:rFonts w:ascii="Arial" w:hAnsi="Arial" w:cs="Arial"/>
          <w:sz w:val="25"/>
          <w:szCs w:val="25"/>
          <w:lang w:val="en-GB"/>
        </w:rPr>
        <w:t>Ruwaida</w:t>
      </w:r>
      <w:proofErr w:type="spellEnd"/>
      <w:r w:rsidR="007442BC" w:rsidRPr="00B93EAF">
        <w:rPr>
          <w:rFonts w:ascii="Arial" w:hAnsi="Arial" w:cs="Arial"/>
          <w:sz w:val="25"/>
          <w:szCs w:val="25"/>
          <w:lang w:val="en-GB"/>
        </w:rPr>
        <w:t xml:space="preserve"> </w:t>
      </w:r>
      <w:proofErr w:type="spellStart"/>
      <w:r w:rsidR="007442BC" w:rsidRPr="00B93EAF">
        <w:rPr>
          <w:rFonts w:ascii="Arial" w:hAnsi="Arial" w:cs="Arial"/>
          <w:sz w:val="25"/>
          <w:szCs w:val="25"/>
          <w:lang w:val="en-GB"/>
        </w:rPr>
        <w:t>Chetty</w:t>
      </w:r>
      <w:proofErr w:type="spellEnd"/>
      <w:r w:rsidR="007442BC" w:rsidRPr="00B93EAF">
        <w:rPr>
          <w:rFonts w:ascii="Arial" w:hAnsi="Arial" w:cs="Arial"/>
          <w:sz w:val="25"/>
          <w:szCs w:val="25"/>
          <w:lang w:val="en-GB"/>
        </w:rPr>
        <w:t xml:space="preserve"> (</w:t>
      </w:r>
      <w:hyperlink r:id="rId11" w:history="1">
        <w:r w:rsidR="007442BC" w:rsidRPr="00B93EAF">
          <w:rPr>
            <w:rStyle w:val="Hyperlink"/>
            <w:rFonts w:ascii="Arial" w:hAnsi="Arial" w:cs="Arial"/>
            <w:sz w:val="25"/>
            <w:szCs w:val="25"/>
            <w:lang w:val="en-GB"/>
          </w:rPr>
          <w:t>ChettyRY@eskom.co.za</w:t>
        </w:r>
      </w:hyperlink>
      <w:r w:rsidR="007442BC" w:rsidRPr="00B93EAF">
        <w:rPr>
          <w:rFonts w:ascii="Arial" w:hAnsi="Arial" w:cs="Arial"/>
          <w:sz w:val="25"/>
          <w:szCs w:val="25"/>
          <w:lang w:val="en-GB"/>
        </w:rPr>
        <w:t xml:space="preserve">) calling for a copy of Mr </w:t>
      </w:r>
      <w:proofErr w:type="spellStart"/>
      <w:r w:rsidR="007442BC" w:rsidRPr="00B93EAF">
        <w:rPr>
          <w:rFonts w:ascii="Arial" w:hAnsi="Arial" w:cs="Arial"/>
          <w:sz w:val="25"/>
          <w:szCs w:val="25"/>
          <w:lang w:val="en-GB"/>
        </w:rPr>
        <w:t>Ngutshane’s</w:t>
      </w:r>
      <w:proofErr w:type="spellEnd"/>
      <w:r w:rsidR="007442BC" w:rsidRPr="00B93EAF">
        <w:rPr>
          <w:rFonts w:ascii="Arial" w:hAnsi="Arial" w:cs="Arial"/>
          <w:sz w:val="25"/>
          <w:szCs w:val="25"/>
          <w:lang w:val="en-GB"/>
        </w:rPr>
        <w:t xml:space="preserve"> pay slip.  </w:t>
      </w:r>
    </w:p>
    <w:p w14:paraId="285A478E" w14:textId="0F462786" w:rsidR="00B861AB" w:rsidRPr="00B93EAF" w:rsidRDefault="00B93EAF" w:rsidP="00B93EAF">
      <w:pPr>
        <w:spacing w:before="480" w:after="240" w:line="480" w:lineRule="auto"/>
        <w:ind w:left="851" w:hanging="851"/>
        <w:jc w:val="both"/>
        <w:rPr>
          <w:rFonts w:ascii="Arial" w:hAnsi="Arial" w:cs="Arial"/>
          <w:sz w:val="25"/>
          <w:szCs w:val="25"/>
          <w:lang w:val="en-GB"/>
        </w:rPr>
      </w:pPr>
      <w:r>
        <w:rPr>
          <w:rFonts w:ascii="Arial" w:hAnsi="Arial" w:cs="Arial"/>
          <w:sz w:val="25"/>
          <w:szCs w:val="25"/>
          <w:lang w:val="en-GB"/>
        </w:rPr>
        <w:t>[16]</w:t>
      </w:r>
      <w:r>
        <w:rPr>
          <w:rFonts w:ascii="Arial" w:hAnsi="Arial" w:cs="Arial"/>
          <w:sz w:val="25"/>
          <w:szCs w:val="25"/>
          <w:lang w:val="en-GB"/>
        </w:rPr>
        <w:tab/>
      </w:r>
      <w:r w:rsidR="00D163E0" w:rsidRPr="00B93EAF">
        <w:rPr>
          <w:rFonts w:ascii="Arial" w:hAnsi="Arial" w:cs="Arial"/>
          <w:sz w:val="25"/>
          <w:szCs w:val="25"/>
          <w:lang w:val="en-GB"/>
        </w:rPr>
        <w:t xml:space="preserve">On 12 July 2017, there was another debt review notice, this time from different debt counsellors, which was sent to </w:t>
      </w:r>
      <w:hyperlink r:id="rId12" w:history="1">
        <w:r w:rsidR="00D163E0" w:rsidRPr="00B93EAF">
          <w:rPr>
            <w:rStyle w:val="Hyperlink"/>
            <w:rFonts w:ascii="Arial" w:hAnsi="Arial" w:cs="Arial"/>
            <w:sz w:val="25"/>
            <w:szCs w:val="25"/>
            <w:lang w:val="en-GB"/>
          </w:rPr>
          <w:t>eastern@eskom.co.za</w:t>
        </w:r>
      </w:hyperlink>
      <w:r w:rsidR="00D163E0" w:rsidRPr="00B93EAF">
        <w:rPr>
          <w:rFonts w:ascii="Arial" w:hAnsi="Arial" w:cs="Arial"/>
          <w:sz w:val="25"/>
          <w:szCs w:val="25"/>
          <w:lang w:val="en-GB"/>
        </w:rPr>
        <w:t>, along with a debt restructuring proposal.  And a payment was made to EFC of R100 000</w:t>
      </w:r>
      <w:proofErr w:type="gramStart"/>
      <w:r w:rsidR="00D163E0" w:rsidRPr="00B93EAF">
        <w:rPr>
          <w:rFonts w:ascii="Arial" w:hAnsi="Arial" w:cs="Arial"/>
          <w:sz w:val="25"/>
          <w:szCs w:val="25"/>
          <w:lang w:val="en-GB"/>
        </w:rPr>
        <w:t>,00</w:t>
      </w:r>
      <w:proofErr w:type="gramEnd"/>
      <w:r w:rsidR="00D163E0" w:rsidRPr="00B93EAF">
        <w:rPr>
          <w:rFonts w:ascii="Arial" w:hAnsi="Arial" w:cs="Arial"/>
          <w:sz w:val="25"/>
          <w:szCs w:val="25"/>
          <w:lang w:val="en-GB"/>
        </w:rPr>
        <w:t xml:space="preserve"> on 16 June 2017 in accordance with this proposal.</w:t>
      </w:r>
      <w:r w:rsidR="00971372" w:rsidRPr="00B93EAF">
        <w:rPr>
          <w:rFonts w:ascii="Arial" w:hAnsi="Arial" w:cs="Arial"/>
          <w:sz w:val="25"/>
          <w:szCs w:val="25"/>
          <w:lang w:val="en-GB"/>
        </w:rPr>
        <w:t xml:space="preserve">  On 1 March 2018, the Pretoria </w:t>
      </w:r>
      <w:proofErr w:type="gramStart"/>
      <w:r w:rsidR="00971372" w:rsidRPr="00B93EAF">
        <w:rPr>
          <w:rFonts w:ascii="Arial" w:hAnsi="Arial" w:cs="Arial"/>
          <w:sz w:val="25"/>
          <w:szCs w:val="25"/>
          <w:lang w:val="en-GB"/>
        </w:rPr>
        <w:t>magistrates</w:t>
      </w:r>
      <w:proofErr w:type="gramEnd"/>
      <w:r w:rsidR="00971372" w:rsidRPr="00B93EAF">
        <w:rPr>
          <w:rFonts w:ascii="Arial" w:hAnsi="Arial" w:cs="Arial"/>
          <w:sz w:val="25"/>
          <w:szCs w:val="25"/>
          <w:lang w:val="en-GB"/>
        </w:rPr>
        <w:t xml:space="preserve"> court issued another application for the restructuring of Mr </w:t>
      </w:r>
      <w:proofErr w:type="spellStart"/>
      <w:r w:rsidR="00971372" w:rsidRPr="00B93EAF">
        <w:rPr>
          <w:rFonts w:ascii="Arial" w:hAnsi="Arial" w:cs="Arial"/>
          <w:sz w:val="25"/>
          <w:szCs w:val="25"/>
          <w:lang w:val="en-GB"/>
        </w:rPr>
        <w:t>Ngutshane’s</w:t>
      </w:r>
      <w:proofErr w:type="spellEnd"/>
      <w:r w:rsidR="00971372" w:rsidRPr="00B93EAF">
        <w:rPr>
          <w:rFonts w:ascii="Arial" w:hAnsi="Arial" w:cs="Arial"/>
          <w:sz w:val="25"/>
          <w:szCs w:val="25"/>
          <w:lang w:val="en-GB"/>
        </w:rPr>
        <w:t xml:space="preserve"> indebtedness in terms of the National Credit Act.</w:t>
      </w:r>
    </w:p>
    <w:p w14:paraId="1CF9159E" w14:textId="6BEF772E" w:rsidR="00971372" w:rsidRPr="00B93EAF" w:rsidRDefault="00B93EAF" w:rsidP="00B93EAF">
      <w:pPr>
        <w:spacing w:before="480" w:after="240" w:line="480" w:lineRule="auto"/>
        <w:ind w:left="851" w:hanging="851"/>
        <w:jc w:val="both"/>
        <w:rPr>
          <w:rFonts w:ascii="Arial" w:hAnsi="Arial" w:cs="Arial"/>
          <w:sz w:val="25"/>
          <w:szCs w:val="25"/>
          <w:lang w:val="en-GB"/>
        </w:rPr>
      </w:pPr>
      <w:r>
        <w:rPr>
          <w:rFonts w:ascii="Arial" w:hAnsi="Arial" w:cs="Arial"/>
          <w:sz w:val="25"/>
          <w:szCs w:val="25"/>
          <w:lang w:val="en-GB"/>
        </w:rPr>
        <w:t>[17]</w:t>
      </w:r>
      <w:r>
        <w:rPr>
          <w:rFonts w:ascii="Arial" w:hAnsi="Arial" w:cs="Arial"/>
          <w:sz w:val="25"/>
          <w:szCs w:val="25"/>
          <w:lang w:val="en-GB"/>
        </w:rPr>
        <w:tab/>
      </w:r>
      <w:r w:rsidR="00971372" w:rsidRPr="00B93EAF">
        <w:rPr>
          <w:rFonts w:ascii="Arial" w:hAnsi="Arial" w:cs="Arial"/>
          <w:sz w:val="25"/>
          <w:szCs w:val="25"/>
          <w:lang w:val="en-GB"/>
        </w:rPr>
        <w:t xml:space="preserve">This application resulted in an order being granted on 7 August 2018, in terms whereof Mr </w:t>
      </w:r>
      <w:proofErr w:type="spellStart"/>
      <w:r w:rsidR="00971372" w:rsidRPr="00B93EAF">
        <w:rPr>
          <w:rFonts w:ascii="Arial" w:hAnsi="Arial" w:cs="Arial"/>
          <w:sz w:val="25"/>
          <w:szCs w:val="25"/>
          <w:lang w:val="en-GB"/>
        </w:rPr>
        <w:t>Ngutshane</w:t>
      </w:r>
      <w:proofErr w:type="spellEnd"/>
      <w:r w:rsidR="00971372" w:rsidRPr="00B93EAF">
        <w:rPr>
          <w:rFonts w:ascii="Arial" w:hAnsi="Arial" w:cs="Arial"/>
          <w:sz w:val="25"/>
          <w:szCs w:val="25"/>
          <w:lang w:val="en-GB"/>
        </w:rPr>
        <w:t xml:space="preserve"> was declared over-indebted and his debt </w:t>
      </w:r>
      <w:r w:rsidR="00971372" w:rsidRPr="00B93EAF">
        <w:rPr>
          <w:rFonts w:ascii="Arial" w:hAnsi="Arial" w:cs="Arial"/>
          <w:sz w:val="25"/>
          <w:szCs w:val="25"/>
          <w:lang w:val="en-GB"/>
        </w:rPr>
        <w:lastRenderedPageBreak/>
        <w:t>obligations were restructured, with EFC being entitled to be paid R9</w:t>
      </w:r>
      <w:r w:rsidR="00DA2C48" w:rsidRPr="00B93EAF">
        <w:rPr>
          <w:rFonts w:ascii="Arial" w:hAnsi="Arial" w:cs="Arial"/>
          <w:sz w:val="25"/>
          <w:szCs w:val="25"/>
          <w:lang w:val="en-GB"/>
        </w:rPr>
        <w:t> </w:t>
      </w:r>
      <w:r w:rsidR="00971372" w:rsidRPr="00B93EAF">
        <w:rPr>
          <w:rFonts w:ascii="Arial" w:hAnsi="Arial" w:cs="Arial"/>
          <w:sz w:val="25"/>
          <w:szCs w:val="25"/>
          <w:lang w:val="en-GB"/>
        </w:rPr>
        <w:t>720</w:t>
      </w:r>
      <w:proofErr w:type="gramStart"/>
      <w:r w:rsidR="00DA2C48" w:rsidRPr="00B93EAF">
        <w:rPr>
          <w:rFonts w:ascii="Arial" w:hAnsi="Arial" w:cs="Arial"/>
          <w:sz w:val="25"/>
          <w:szCs w:val="25"/>
          <w:lang w:val="en-GB"/>
        </w:rPr>
        <w:t>,00</w:t>
      </w:r>
      <w:proofErr w:type="gramEnd"/>
      <w:r w:rsidR="00971372" w:rsidRPr="00B93EAF">
        <w:rPr>
          <w:rFonts w:ascii="Arial" w:hAnsi="Arial" w:cs="Arial"/>
          <w:sz w:val="25"/>
          <w:szCs w:val="25"/>
          <w:lang w:val="en-GB"/>
        </w:rPr>
        <w:t xml:space="preserve"> per month for 251 months to settle the indebtedness to it.  </w:t>
      </w:r>
    </w:p>
    <w:p w14:paraId="009A6BB3" w14:textId="6DE474E4" w:rsidR="00971372" w:rsidRPr="00B93EAF" w:rsidRDefault="00B93EAF" w:rsidP="00B93EAF">
      <w:pPr>
        <w:spacing w:before="480" w:after="240" w:line="480" w:lineRule="auto"/>
        <w:ind w:left="851" w:hanging="851"/>
        <w:jc w:val="both"/>
        <w:rPr>
          <w:rFonts w:ascii="Arial" w:hAnsi="Arial" w:cs="Arial"/>
          <w:sz w:val="25"/>
          <w:szCs w:val="25"/>
          <w:lang w:val="en-GB"/>
        </w:rPr>
      </w:pPr>
      <w:r>
        <w:rPr>
          <w:rFonts w:ascii="Arial" w:hAnsi="Arial" w:cs="Arial"/>
          <w:sz w:val="25"/>
          <w:szCs w:val="25"/>
          <w:lang w:val="en-GB"/>
        </w:rPr>
        <w:t>[18]</w:t>
      </w:r>
      <w:r>
        <w:rPr>
          <w:rFonts w:ascii="Arial" w:hAnsi="Arial" w:cs="Arial"/>
          <w:sz w:val="25"/>
          <w:szCs w:val="25"/>
          <w:lang w:val="en-GB"/>
        </w:rPr>
        <w:tab/>
      </w:r>
      <w:r w:rsidR="00971372" w:rsidRPr="00B93EAF">
        <w:rPr>
          <w:rFonts w:ascii="Arial" w:hAnsi="Arial" w:cs="Arial"/>
          <w:sz w:val="25"/>
          <w:szCs w:val="25"/>
          <w:lang w:val="en-GB"/>
        </w:rPr>
        <w:t xml:space="preserve">From what has been set out </w:t>
      </w:r>
      <w:r w:rsidR="00DA2C48" w:rsidRPr="00B93EAF">
        <w:rPr>
          <w:rFonts w:ascii="Arial" w:hAnsi="Arial" w:cs="Arial"/>
          <w:sz w:val="25"/>
          <w:szCs w:val="25"/>
          <w:lang w:val="en-GB"/>
        </w:rPr>
        <w:t xml:space="preserve">above, </w:t>
      </w:r>
      <w:r w:rsidR="00971372" w:rsidRPr="00B93EAF">
        <w:rPr>
          <w:rFonts w:ascii="Arial" w:hAnsi="Arial" w:cs="Arial"/>
          <w:sz w:val="25"/>
          <w:szCs w:val="25"/>
          <w:lang w:val="en-GB"/>
        </w:rPr>
        <w:t xml:space="preserve">the glaringly obvious should be clear: the indebtedness to EFC was that of the trust, not of Mr </w:t>
      </w:r>
      <w:proofErr w:type="spellStart"/>
      <w:r w:rsidR="00971372" w:rsidRPr="00B93EAF">
        <w:rPr>
          <w:rFonts w:ascii="Arial" w:hAnsi="Arial" w:cs="Arial"/>
          <w:sz w:val="25"/>
          <w:szCs w:val="25"/>
          <w:lang w:val="en-GB"/>
        </w:rPr>
        <w:t>Ngutshane</w:t>
      </w:r>
      <w:proofErr w:type="spellEnd"/>
      <w:r w:rsidR="00971372" w:rsidRPr="00B93EAF">
        <w:rPr>
          <w:rFonts w:ascii="Arial" w:hAnsi="Arial" w:cs="Arial"/>
          <w:sz w:val="25"/>
          <w:szCs w:val="25"/>
          <w:lang w:val="en-GB"/>
        </w:rPr>
        <w:t xml:space="preserve">.  </w:t>
      </w:r>
      <w:r w:rsidR="0075153E" w:rsidRPr="00B93EAF">
        <w:rPr>
          <w:rFonts w:ascii="Arial" w:hAnsi="Arial" w:cs="Arial"/>
          <w:sz w:val="25"/>
          <w:szCs w:val="25"/>
          <w:lang w:val="en-GB"/>
        </w:rPr>
        <w:t xml:space="preserve">The </w:t>
      </w:r>
      <w:r w:rsidR="00E253DE" w:rsidRPr="00B93EAF">
        <w:rPr>
          <w:rFonts w:ascii="Arial" w:hAnsi="Arial" w:cs="Arial"/>
          <w:sz w:val="25"/>
          <w:szCs w:val="25"/>
          <w:lang w:val="en-GB"/>
        </w:rPr>
        <w:t xml:space="preserve">latter </w:t>
      </w:r>
      <w:r w:rsidR="00DA2C48" w:rsidRPr="00B93EAF">
        <w:rPr>
          <w:rFonts w:ascii="Arial" w:hAnsi="Arial" w:cs="Arial"/>
          <w:sz w:val="25"/>
          <w:szCs w:val="25"/>
          <w:lang w:val="en-GB"/>
        </w:rPr>
        <w:t xml:space="preserve">debt restructuring </w:t>
      </w:r>
      <w:r w:rsidR="00E253DE" w:rsidRPr="00B93EAF">
        <w:rPr>
          <w:rFonts w:ascii="Arial" w:hAnsi="Arial" w:cs="Arial"/>
          <w:sz w:val="25"/>
          <w:szCs w:val="25"/>
          <w:lang w:val="en-GB"/>
        </w:rPr>
        <w:t>application sa</w:t>
      </w:r>
      <w:r w:rsidR="00DA2C48" w:rsidRPr="00B93EAF">
        <w:rPr>
          <w:rFonts w:ascii="Arial" w:hAnsi="Arial" w:cs="Arial"/>
          <w:sz w:val="25"/>
          <w:szCs w:val="25"/>
          <w:lang w:val="en-GB"/>
        </w:rPr>
        <w:t>id</w:t>
      </w:r>
      <w:r w:rsidR="00E253DE" w:rsidRPr="00B93EAF">
        <w:rPr>
          <w:rFonts w:ascii="Arial" w:hAnsi="Arial" w:cs="Arial"/>
          <w:sz w:val="25"/>
          <w:szCs w:val="25"/>
          <w:lang w:val="en-GB"/>
        </w:rPr>
        <w:t xml:space="preserve"> precious little of the debt, except to imply that it was owed by Mr </w:t>
      </w:r>
      <w:proofErr w:type="spellStart"/>
      <w:r w:rsidR="00E253DE" w:rsidRPr="00B93EAF">
        <w:rPr>
          <w:rFonts w:ascii="Arial" w:hAnsi="Arial" w:cs="Arial"/>
          <w:sz w:val="25"/>
          <w:szCs w:val="25"/>
          <w:lang w:val="en-GB"/>
        </w:rPr>
        <w:t>Ngutshane</w:t>
      </w:r>
      <w:proofErr w:type="spellEnd"/>
      <w:r w:rsidR="00E253DE" w:rsidRPr="00B93EAF">
        <w:rPr>
          <w:rFonts w:ascii="Arial" w:hAnsi="Arial" w:cs="Arial"/>
          <w:sz w:val="25"/>
          <w:szCs w:val="25"/>
          <w:lang w:val="en-GB"/>
        </w:rPr>
        <w:t xml:space="preserve">, which in truth </w:t>
      </w:r>
      <w:r w:rsidR="00DA2C48" w:rsidRPr="00B93EAF">
        <w:rPr>
          <w:rFonts w:ascii="Arial" w:hAnsi="Arial" w:cs="Arial"/>
          <w:sz w:val="25"/>
          <w:szCs w:val="25"/>
          <w:lang w:val="en-GB"/>
        </w:rPr>
        <w:t>could not have</w:t>
      </w:r>
      <w:r w:rsidR="00E253DE" w:rsidRPr="00B93EAF">
        <w:rPr>
          <w:rFonts w:ascii="Arial" w:hAnsi="Arial" w:cs="Arial"/>
          <w:sz w:val="25"/>
          <w:szCs w:val="25"/>
          <w:lang w:val="en-GB"/>
        </w:rPr>
        <w:t xml:space="preserve"> be</w:t>
      </w:r>
      <w:r w:rsidR="00DA2C48" w:rsidRPr="00B93EAF">
        <w:rPr>
          <w:rFonts w:ascii="Arial" w:hAnsi="Arial" w:cs="Arial"/>
          <w:sz w:val="25"/>
          <w:szCs w:val="25"/>
          <w:lang w:val="en-GB"/>
        </w:rPr>
        <w:t>en</w:t>
      </w:r>
      <w:r w:rsidR="00E253DE" w:rsidRPr="00B93EAF">
        <w:rPr>
          <w:rFonts w:ascii="Arial" w:hAnsi="Arial" w:cs="Arial"/>
          <w:sz w:val="25"/>
          <w:szCs w:val="25"/>
          <w:lang w:val="en-GB"/>
        </w:rPr>
        <w:t xml:space="preserve"> so.  It is not even clear whether he provided the loan agreement, the indemnification and mortgage bond to any of the debt counsellors, who assisted him; but</w:t>
      </w:r>
      <w:r w:rsidR="00DA2C48" w:rsidRPr="00B93EAF">
        <w:rPr>
          <w:rFonts w:ascii="Arial" w:hAnsi="Arial" w:cs="Arial"/>
          <w:sz w:val="25"/>
          <w:szCs w:val="25"/>
          <w:lang w:val="en-GB"/>
        </w:rPr>
        <w:t xml:space="preserve">, what is clear, is that </w:t>
      </w:r>
      <w:r w:rsidR="00E253DE" w:rsidRPr="00B93EAF">
        <w:rPr>
          <w:rFonts w:ascii="Arial" w:hAnsi="Arial" w:cs="Arial"/>
          <w:sz w:val="25"/>
          <w:szCs w:val="25"/>
          <w:lang w:val="en-GB"/>
        </w:rPr>
        <w:t xml:space="preserve">neither set of debt counsellors appreciated </w:t>
      </w:r>
      <w:r w:rsidR="00DA2C48" w:rsidRPr="00B93EAF">
        <w:rPr>
          <w:rFonts w:ascii="Arial" w:hAnsi="Arial" w:cs="Arial"/>
          <w:sz w:val="25"/>
          <w:szCs w:val="25"/>
          <w:lang w:val="en-GB"/>
        </w:rPr>
        <w:t xml:space="preserve">that the debt was that of the trust and not of Mr </w:t>
      </w:r>
      <w:proofErr w:type="spellStart"/>
      <w:r w:rsidR="00DA2C48" w:rsidRPr="00B93EAF">
        <w:rPr>
          <w:rFonts w:ascii="Arial" w:hAnsi="Arial" w:cs="Arial"/>
          <w:sz w:val="25"/>
          <w:szCs w:val="25"/>
          <w:lang w:val="en-GB"/>
        </w:rPr>
        <w:t>Ngutshane</w:t>
      </w:r>
      <w:proofErr w:type="spellEnd"/>
      <w:r w:rsidR="00E253DE" w:rsidRPr="00B93EAF">
        <w:rPr>
          <w:rFonts w:ascii="Arial" w:hAnsi="Arial" w:cs="Arial"/>
          <w:sz w:val="25"/>
          <w:szCs w:val="25"/>
          <w:lang w:val="en-GB"/>
        </w:rPr>
        <w:t>.</w:t>
      </w:r>
    </w:p>
    <w:p w14:paraId="56CBE7B7" w14:textId="177AB2BC" w:rsidR="00E253DE" w:rsidRPr="00B93EAF" w:rsidRDefault="00B93EAF" w:rsidP="00B93EAF">
      <w:pPr>
        <w:spacing w:before="480" w:after="240" w:line="480" w:lineRule="auto"/>
        <w:ind w:left="851" w:hanging="851"/>
        <w:jc w:val="both"/>
        <w:rPr>
          <w:rFonts w:ascii="Arial" w:hAnsi="Arial" w:cs="Arial"/>
          <w:sz w:val="25"/>
          <w:szCs w:val="25"/>
          <w:lang w:val="en-GB"/>
        </w:rPr>
      </w:pPr>
      <w:r>
        <w:rPr>
          <w:rFonts w:ascii="Arial" w:hAnsi="Arial" w:cs="Arial"/>
          <w:sz w:val="25"/>
          <w:szCs w:val="25"/>
          <w:lang w:val="en-GB"/>
        </w:rPr>
        <w:t>[19]</w:t>
      </w:r>
      <w:r>
        <w:rPr>
          <w:rFonts w:ascii="Arial" w:hAnsi="Arial" w:cs="Arial"/>
          <w:sz w:val="25"/>
          <w:szCs w:val="25"/>
          <w:lang w:val="en-GB"/>
        </w:rPr>
        <w:tab/>
      </w:r>
      <w:r w:rsidR="00E253DE" w:rsidRPr="00B93EAF">
        <w:rPr>
          <w:rFonts w:ascii="Arial" w:hAnsi="Arial" w:cs="Arial"/>
          <w:sz w:val="25"/>
          <w:szCs w:val="25"/>
          <w:lang w:val="en-GB"/>
        </w:rPr>
        <w:t xml:space="preserve">This begs the question: what is the effect in law of such an order?  At best, it might prevent the granting of a judgment against Mr </w:t>
      </w:r>
      <w:proofErr w:type="spellStart"/>
      <w:r w:rsidR="00E253DE" w:rsidRPr="00B93EAF">
        <w:rPr>
          <w:rFonts w:ascii="Arial" w:hAnsi="Arial" w:cs="Arial"/>
          <w:sz w:val="25"/>
          <w:szCs w:val="25"/>
          <w:lang w:val="en-GB"/>
        </w:rPr>
        <w:t>Ngutshane</w:t>
      </w:r>
      <w:proofErr w:type="spellEnd"/>
      <w:r w:rsidR="00E253DE" w:rsidRPr="00B93EAF">
        <w:rPr>
          <w:rFonts w:ascii="Arial" w:hAnsi="Arial" w:cs="Arial"/>
          <w:sz w:val="25"/>
          <w:szCs w:val="25"/>
          <w:lang w:val="en-GB"/>
        </w:rPr>
        <w:t>; but it cannot act as a contraceptive to the granting of an order against the trust.</w:t>
      </w:r>
    </w:p>
    <w:p w14:paraId="3C155F50" w14:textId="61F1FC6F" w:rsidR="00E253DE" w:rsidRPr="00B93EAF" w:rsidRDefault="00B93EAF" w:rsidP="00B93EAF">
      <w:pPr>
        <w:spacing w:before="480" w:after="240" w:line="480" w:lineRule="auto"/>
        <w:ind w:left="851" w:hanging="851"/>
        <w:jc w:val="both"/>
        <w:rPr>
          <w:rFonts w:ascii="Arial" w:hAnsi="Arial" w:cs="Arial"/>
          <w:sz w:val="25"/>
          <w:szCs w:val="25"/>
          <w:lang w:val="en-GB"/>
        </w:rPr>
      </w:pPr>
      <w:r w:rsidRPr="00335D3E">
        <w:rPr>
          <w:rFonts w:ascii="Arial" w:hAnsi="Arial" w:cs="Arial"/>
          <w:sz w:val="25"/>
          <w:szCs w:val="25"/>
          <w:lang w:val="en-GB"/>
        </w:rPr>
        <w:t>[20]</w:t>
      </w:r>
      <w:r w:rsidRPr="00335D3E">
        <w:rPr>
          <w:rFonts w:ascii="Arial" w:hAnsi="Arial" w:cs="Arial"/>
          <w:sz w:val="25"/>
          <w:szCs w:val="25"/>
          <w:lang w:val="en-GB"/>
        </w:rPr>
        <w:tab/>
      </w:r>
      <w:r w:rsidR="00E253DE" w:rsidRPr="00B93EAF">
        <w:rPr>
          <w:rFonts w:ascii="Arial" w:hAnsi="Arial" w:cs="Arial"/>
          <w:sz w:val="25"/>
          <w:szCs w:val="25"/>
          <w:lang w:val="en-GB"/>
        </w:rPr>
        <w:t>In</w:t>
      </w:r>
      <w:r w:rsidR="006B36FB" w:rsidRPr="00B93EAF">
        <w:rPr>
          <w:rFonts w:ascii="Arial" w:hAnsi="Arial" w:cs="Arial"/>
          <w:sz w:val="25"/>
          <w:szCs w:val="25"/>
          <w:lang w:val="en-GB"/>
        </w:rPr>
        <w:t>-</w:t>
      </w:r>
      <w:r w:rsidR="00E253DE" w:rsidRPr="00B93EAF">
        <w:rPr>
          <w:rFonts w:ascii="Arial" w:hAnsi="Arial" w:cs="Arial"/>
          <w:sz w:val="25"/>
          <w:szCs w:val="25"/>
          <w:lang w:val="en-GB"/>
        </w:rPr>
        <w:t xml:space="preserve">between these goings on, </w:t>
      </w:r>
      <w:r w:rsidR="00A954AD" w:rsidRPr="00B93EAF">
        <w:rPr>
          <w:rFonts w:ascii="Arial" w:hAnsi="Arial" w:cs="Arial"/>
          <w:sz w:val="25"/>
          <w:szCs w:val="25"/>
          <w:lang w:val="en-GB"/>
        </w:rPr>
        <w:t xml:space="preserve">the registrar issued this </w:t>
      </w:r>
      <w:r w:rsidR="00E253DE" w:rsidRPr="00B93EAF">
        <w:rPr>
          <w:rFonts w:ascii="Arial" w:hAnsi="Arial" w:cs="Arial"/>
          <w:sz w:val="25"/>
          <w:szCs w:val="25"/>
          <w:lang w:val="en-GB"/>
        </w:rPr>
        <w:t xml:space="preserve">application on </w:t>
      </w:r>
      <w:r w:rsidR="00A954AD" w:rsidRPr="00B93EAF">
        <w:rPr>
          <w:rFonts w:ascii="Arial" w:hAnsi="Arial" w:cs="Arial"/>
          <w:sz w:val="25"/>
          <w:szCs w:val="25"/>
          <w:lang w:val="en-GB"/>
        </w:rPr>
        <w:t>6 </w:t>
      </w:r>
      <w:r w:rsidR="00E253DE" w:rsidRPr="00B93EAF">
        <w:rPr>
          <w:rFonts w:ascii="Arial" w:hAnsi="Arial" w:cs="Arial"/>
          <w:sz w:val="25"/>
          <w:szCs w:val="25"/>
          <w:lang w:val="en-GB"/>
        </w:rPr>
        <w:t>December 2017,</w:t>
      </w:r>
      <w:r w:rsidR="00E3688C" w:rsidRPr="00B93EAF">
        <w:rPr>
          <w:rFonts w:ascii="Arial" w:hAnsi="Arial" w:cs="Arial"/>
          <w:sz w:val="25"/>
          <w:szCs w:val="25"/>
          <w:lang w:val="en-GB"/>
        </w:rPr>
        <w:t>  </w:t>
      </w:r>
      <w:r w:rsidR="00E3688C">
        <w:rPr>
          <w:rStyle w:val="FootnoteReference"/>
          <w:rFonts w:ascii="Arial" w:hAnsi="Arial" w:cs="Arial"/>
          <w:sz w:val="25"/>
          <w:szCs w:val="25"/>
          <w:lang w:val="en-GB"/>
        </w:rPr>
        <w:footnoteReference w:id="7"/>
      </w:r>
      <w:r w:rsidR="00E3688C" w:rsidRPr="00B93EAF">
        <w:rPr>
          <w:rFonts w:ascii="Arial" w:hAnsi="Arial" w:cs="Arial"/>
          <w:sz w:val="25"/>
          <w:szCs w:val="25"/>
          <w:lang w:val="en-GB"/>
        </w:rPr>
        <w:t> </w:t>
      </w:r>
      <w:r w:rsidR="00E253DE" w:rsidRPr="00B93EAF">
        <w:rPr>
          <w:rFonts w:ascii="Arial" w:hAnsi="Arial" w:cs="Arial"/>
          <w:sz w:val="25"/>
          <w:szCs w:val="25"/>
          <w:lang w:val="en-GB"/>
        </w:rPr>
        <w:t xml:space="preserve"> and had it set down on</w:t>
      </w:r>
      <w:r w:rsidR="00335D3E" w:rsidRPr="00B93EAF">
        <w:rPr>
          <w:rFonts w:ascii="Arial" w:hAnsi="Arial" w:cs="Arial"/>
          <w:sz w:val="25"/>
          <w:szCs w:val="25"/>
          <w:lang w:val="en-GB"/>
        </w:rPr>
        <w:t xml:space="preserve"> 14 February,</w:t>
      </w:r>
      <w:r w:rsidR="00E253DE" w:rsidRPr="00B93EAF">
        <w:rPr>
          <w:rFonts w:ascii="Arial" w:hAnsi="Arial" w:cs="Arial"/>
          <w:sz w:val="25"/>
          <w:szCs w:val="25"/>
          <w:lang w:val="en-GB"/>
        </w:rPr>
        <w:t xml:space="preserve"> 1</w:t>
      </w:r>
      <w:r w:rsidR="00335D3E" w:rsidRPr="00B93EAF">
        <w:rPr>
          <w:rFonts w:ascii="Arial" w:hAnsi="Arial" w:cs="Arial"/>
          <w:sz w:val="25"/>
          <w:szCs w:val="25"/>
          <w:lang w:val="en-GB"/>
        </w:rPr>
        <w:t>8</w:t>
      </w:r>
      <w:r w:rsidR="00E253DE" w:rsidRPr="00B93EAF">
        <w:rPr>
          <w:rFonts w:ascii="Arial" w:hAnsi="Arial" w:cs="Arial"/>
          <w:sz w:val="25"/>
          <w:szCs w:val="25"/>
          <w:lang w:val="en-GB"/>
        </w:rPr>
        <w:t xml:space="preserve"> </w:t>
      </w:r>
      <w:r w:rsidR="00335D3E" w:rsidRPr="00B93EAF">
        <w:rPr>
          <w:rFonts w:ascii="Arial" w:hAnsi="Arial" w:cs="Arial"/>
          <w:sz w:val="25"/>
          <w:szCs w:val="25"/>
          <w:lang w:val="en-GB"/>
        </w:rPr>
        <w:t>April</w:t>
      </w:r>
      <w:r w:rsidR="00E253DE" w:rsidRPr="00B93EAF">
        <w:rPr>
          <w:rFonts w:ascii="Arial" w:hAnsi="Arial" w:cs="Arial"/>
          <w:sz w:val="25"/>
          <w:szCs w:val="25"/>
          <w:lang w:val="en-GB"/>
        </w:rPr>
        <w:t xml:space="preserve"> and 1</w:t>
      </w:r>
      <w:r w:rsidR="00335D3E" w:rsidRPr="00B93EAF">
        <w:rPr>
          <w:rFonts w:ascii="Arial" w:hAnsi="Arial" w:cs="Arial"/>
          <w:sz w:val="25"/>
          <w:szCs w:val="25"/>
          <w:lang w:val="en-GB"/>
        </w:rPr>
        <w:t>2 December</w:t>
      </w:r>
      <w:r w:rsidR="00E253DE" w:rsidRPr="00B93EAF">
        <w:rPr>
          <w:rFonts w:ascii="Arial" w:hAnsi="Arial" w:cs="Arial"/>
          <w:sz w:val="25"/>
          <w:szCs w:val="25"/>
          <w:lang w:val="en-GB"/>
        </w:rPr>
        <w:t xml:space="preserve"> 2018</w:t>
      </w:r>
      <w:r w:rsidR="00335D3E" w:rsidRPr="00B93EAF">
        <w:rPr>
          <w:rFonts w:ascii="Arial" w:hAnsi="Arial" w:cs="Arial"/>
          <w:sz w:val="25"/>
          <w:szCs w:val="25"/>
          <w:lang w:val="en-GB"/>
        </w:rPr>
        <w:t xml:space="preserve"> and again on 27 February 2019, before being set down for hearing b</w:t>
      </w:r>
      <w:r w:rsidR="000E7A94" w:rsidRPr="00B93EAF">
        <w:rPr>
          <w:rFonts w:ascii="Arial" w:hAnsi="Arial" w:cs="Arial"/>
          <w:sz w:val="25"/>
          <w:szCs w:val="25"/>
          <w:lang w:val="en-GB"/>
        </w:rPr>
        <w:t>efore</w:t>
      </w:r>
      <w:r w:rsidR="00335D3E" w:rsidRPr="00B93EAF">
        <w:rPr>
          <w:rFonts w:ascii="Arial" w:hAnsi="Arial" w:cs="Arial"/>
          <w:sz w:val="25"/>
          <w:szCs w:val="25"/>
          <w:lang w:val="en-GB"/>
        </w:rPr>
        <w:t xml:space="preserve"> me</w:t>
      </w:r>
      <w:r w:rsidR="00E253DE" w:rsidRPr="00B93EAF">
        <w:rPr>
          <w:rFonts w:ascii="Arial" w:hAnsi="Arial" w:cs="Arial"/>
          <w:sz w:val="25"/>
          <w:szCs w:val="25"/>
          <w:lang w:val="en-GB"/>
        </w:rPr>
        <w:t>.</w:t>
      </w:r>
    </w:p>
    <w:p w14:paraId="03153C51" w14:textId="332FEB41" w:rsidR="00E253DE" w:rsidRPr="00B93EAF" w:rsidRDefault="00B93EAF" w:rsidP="00B93EAF">
      <w:pPr>
        <w:spacing w:before="480" w:after="240" w:line="480" w:lineRule="auto"/>
        <w:ind w:left="851" w:hanging="851"/>
        <w:jc w:val="both"/>
        <w:rPr>
          <w:rFonts w:ascii="Arial" w:hAnsi="Arial" w:cs="Arial"/>
          <w:sz w:val="25"/>
          <w:szCs w:val="25"/>
          <w:lang w:val="en-GB"/>
        </w:rPr>
      </w:pPr>
      <w:r>
        <w:rPr>
          <w:rFonts w:ascii="Arial" w:hAnsi="Arial" w:cs="Arial"/>
          <w:sz w:val="25"/>
          <w:szCs w:val="25"/>
          <w:lang w:val="en-GB"/>
        </w:rPr>
        <w:t>[21]</w:t>
      </w:r>
      <w:r>
        <w:rPr>
          <w:rFonts w:ascii="Arial" w:hAnsi="Arial" w:cs="Arial"/>
          <w:sz w:val="25"/>
          <w:szCs w:val="25"/>
          <w:lang w:val="en-GB"/>
        </w:rPr>
        <w:tab/>
      </w:r>
      <w:r w:rsidR="00335D3E" w:rsidRPr="00B93EAF">
        <w:rPr>
          <w:rFonts w:ascii="Arial" w:hAnsi="Arial" w:cs="Arial"/>
          <w:sz w:val="25"/>
          <w:szCs w:val="25"/>
          <w:lang w:val="en-GB"/>
        </w:rPr>
        <w:t xml:space="preserve">Mr </w:t>
      </w:r>
      <w:proofErr w:type="spellStart"/>
      <w:r w:rsidR="00335D3E" w:rsidRPr="00B93EAF">
        <w:rPr>
          <w:rFonts w:ascii="Arial" w:hAnsi="Arial" w:cs="Arial"/>
          <w:sz w:val="25"/>
          <w:szCs w:val="25"/>
          <w:lang w:val="en-GB"/>
        </w:rPr>
        <w:t>Ngutshane’s</w:t>
      </w:r>
      <w:proofErr w:type="spellEnd"/>
      <w:r w:rsidR="00335D3E" w:rsidRPr="00B93EAF">
        <w:rPr>
          <w:rFonts w:ascii="Arial" w:hAnsi="Arial" w:cs="Arial"/>
          <w:sz w:val="25"/>
          <w:szCs w:val="25"/>
          <w:lang w:val="en-GB"/>
        </w:rPr>
        <w:t xml:space="preserve"> view, expressed both in his answering papers and in his capable argument to me, was that </w:t>
      </w:r>
      <w:proofErr w:type="spellStart"/>
      <w:r w:rsidR="00335D3E" w:rsidRPr="00B93EAF">
        <w:rPr>
          <w:rFonts w:ascii="Arial" w:hAnsi="Arial" w:cs="Arial"/>
          <w:sz w:val="25"/>
          <w:szCs w:val="25"/>
          <w:lang w:val="en-GB"/>
        </w:rPr>
        <w:t>Nqaba</w:t>
      </w:r>
      <w:proofErr w:type="spellEnd"/>
      <w:r w:rsidR="00335D3E" w:rsidRPr="00B93EAF">
        <w:rPr>
          <w:rFonts w:ascii="Arial" w:hAnsi="Arial" w:cs="Arial"/>
          <w:sz w:val="25"/>
          <w:szCs w:val="25"/>
          <w:lang w:val="en-GB"/>
        </w:rPr>
        <w:t xml:space="preserve"> and EFC were ignoring the debt </w:t>
      </w:r>
      <w:r w:rsidR="00335D3E" w:rsidRPr="00B93EAF">
        <w:rPr>
          <w:rFonts w:ascii="Arial" w:hAnsi="Arial" w:cs="Arial"/>
          <w:sz w:val="25"/>
          <w:szCs w:val="25"/>
          <w:lang w:val="en-GB"/>
        </w:rPr>
        <w:lastRenderedPageBreak/>
        <w:t xml:space="preserve">restructuring order of the Pretoria </w:t>
      </w:r>
      <w:proofErr w:type="gramStart"/>
      <w:r w:rsidR="00335D3E" w:rsidRPr="00B93EAF">
        <w:rPr>
          <w:rFonts w:ascii="Arial" w:hAnsi="Arial" w:cs="Arial"/>
          <w:sz w:val="25"/>
          <w:szCs w:val="25"/>
          <w:lang w:val="en-GB"/>
        </w:rPr>
        <w:t>magistrates</w:t>
      </w:r>
      <w:proofErr w:type="gramEnd"/>
      <w:r w:rsidR="00335D3E" w:rsidRPr="00B93EAF">
        <w:rPr>
          <w:rFonts w:ascii="Arial" w:hAnsi="Arial" w:cs="Arial"/>
          <w:sz w:val="25"/>
          <w:szCs w:val="25"/>
          <w:lang w:val="en-GB"/>
        </w:rPr>
        <w:t xml:space="preserve"> court.</w:t>
      </w:r>
      <w:r w:rsidR="00E3688C" w:rsidRPr="00B93EAF">
        <w:rPr>
          <w:rFonts w:ascii="Arial" w:hAnsi="Arial" w:cs="Arial"/>
          <w:sz w:val="25"/>
          <w:szCs w:val="25"/>
          <w:lang w:val="en-GB"/>
        </w:rPr>
        <w:t xml:space="preserve">  In this, he seems correct.  The stance of </w:t>
      </w:r>
      <w:proofErr w:type="spellStart"/>
      <w:r w:rsidR="00E3688C" w:rsidRPr="00B93EAF">
        <w:rPr>
          <w:rFonts w:ascii="Arial" w:hAnsi="Arial" w:cs="Arial"/>
          <w:sz w:val="25"/>
          <w:szCs w:val="25"/>
          <w:lang w:val="en-GB"/>
        </w:rPr>
        <w:t>Nqaba</w:t>
      </w:r>
      <w:proofErr w:type="spellEnd"/>
      <w:r w:rsidR="00E3688C" w:rsidRPr="00B93EAF">
        <w:rPr>
          <w:rFonts w:ascii="Arial" w:hAnsi="Arial" w:cs="Arial"/>
          <w:sz w:val="25"/>
          <w:szCs w:val="25"/>
          <w:lang w:val="en-GB"/>
        </w:rPr>
        <w:t xml:space="preserve"> and EFC both in their replying papers and in their argument to me, </w:t>
      </w:r>
      <w:r w:rsidR="00DA29E6" w:rsidRPr="00B93EAF">
        <w:rPr>
          <w:rFonts w:ascii="Arial" w:hAnsi="Arial" w:cs="Arial"/>
          <w:sz w:val="25"/>
          <w:szCs w:val="25"/>
          <w:lang w:val="en-GB"/>
        </w:rPr>
        <w:t xml:space="preserve">ably </w:t>
      </w:r>
      <w:r w:rsidR="00E3688C" w:rsidRPr="00B93EAF">
        <w:rPr>
          <w:rFonts w:ascii="Arial" w:hAnsi="Arial" w:cs="Arial"/>
          <w:sz w:val="25"/>
          <w:szCs w:val="25"/>
          <w:lang w:val="en-GB"/>
        </w:rPr>
        <w:t xml:space="preserve">put by </w:t>
      </w:r>
      <w:r w:rsidR="00E3688C" w:rsidRPr="00B93EAF">
        <w:rPr>
          <w:rFonts w:ascii="Arial" w:hAnsi="Arial" w:cs="Arial"/>
          <w:i/>
          <w:iCs/>
          <w:sz w:val="25"/>
          <w:szCs w:val="25"/>
          <w:lang w:val="en-GB"/>
        </w:rPr>
        <w:t xml:space="preserve">Ms </w:t>
      </w:r>
      <w:proofErr w:type="spellStart"/>
      <w:r w:rsidR="00E3688C" w:rsidRPr="00B93EAF">
        <w:rPr>
          <w:rFonts w:ascii="Arial" w:hAnsi="Arial" w:cs="Arial"/>
          <w:i/>
          <w:iCs/>
          <w:sz w:val="25"/>
          <w:szCs w:val="25"/>
          <w:lang w:val="en-GB"/>
        </w:rPr>
        <w:t>Halgryn</w:t>
      </w:r>
      <w:proofErr w:type="spellEnd"/>
      <w:r w:rsidR="00E3688C" w:rsidRPr="00B93EAF">
        <w:rPr>
          <w:rFonts w:ascii="Arial" w:hAnsi="Arial" w:cs="Arial"/>
          <w:sz w:val="25"/>
          <w:szCs w:val="25"/>
          <w:lang w:val="en-GB"/>
        </w:rPr>
        <w:t xml:space="preserve">, was </w:t>
      </w:r>
      <w:r w:rsidR="00DA29E6" w:rsidRPr="00B93EAF">
        <w:rPr>
          <w:rFonts w:ascii="Arial" w:hAnsi="Arial" w:cs="Arial"/>
          <w:sz w:val="25"/>
          <w:szCs w:val="25"/>
          <w:lang w:val="en-GB"/>
        </w:rPr>
        <w:t xml:space="preserve">that no debt review proceedings had been served upon </w:t>
      </w:r>
      <w:proofErr w:type="spellStart"/>
      <w:r w:rsidR="00DA29E6" w:rsidRPr="00B93EAF">
        <w:rPr>
          <w:rFonts w:ascii="Arial" w:hAnsi="Arial" w:cs="Arial"/>
          <w:sz w:val="25"/>
          <w:szCs w:val="25"/>
          <w:lang w:val="en-GB"/>
        </w:rPr>
        <w:t>Nqaba</w:t>
      </w:r>
      <w:proofErr w:type="spellEnd"/>
      <w:r w:rsidR="00DA29E6" w:rsidRPr="00B93EAF">
        <w:rPr>
          <w:rFonts w:ascii="Arial" w:hAnsi="Arial" w:cs="Arial"/>
          <w:sz w:val="25"/>
          <w:szCs w:val="25"/>
          <w:lang w:val="en-GB"/>
        </w:rPr>
        <w:t xml:space="preserve"> or EFC and, perhaps more definitively, when the second debt restructuring application was launched on </w:t>
      </w:r>
      <w:r w:rsidR="00CF35E6" w:rsidRPr="00B93EAF">
        <w:rPr>
          <w:rFonts w:ascii="Arial" w:hAnsi="Arial" w:cs="Arial"/>
          <w:sz w:val="25"/>
          <w:szCs w:val="25"/>
          <w:lang w:val="en-GB"/>
        </w:rPr>
        <w:t xml:space="preserve">12 July 2017, debt enforcement </w:t>
      </w:r>
      <w:r w:rsidR="006455F2" w:rsidRPr="00B93EAF">
        <w:rPr>
          <w:rFonts w:ascii="Arial" w:hAnsi="Arial" w:cs="Arial"/>
          <w:sz w:val="25"/>
          <w:szCs w:val="25"/>
          <w:lang w:val="en-GB"/>
        </w:rPr>
        <w:t xml:space="preserve">steps had </w:t>
      </w:r>
      <w:r w:rsidR="000E7A94" w:rsidRPr="00B93EAF">
        <w:rPr>
          <w:rFonts w:ascii="Arial" w:hAnsi="Arial" w:cs="Arial"/>
          <w:sz w:val="25"/>
          <w:szCs w:val="25"/>
          <w:lang w:val="en-GB"/>
        </w:rPr>
        <w:t xml:space="preserve">already </w:t>
      </w:r>
      <w:r w:rsidR="006455F2" w:rsidRPr="00B93EAF">
        <w:rPr>
          <w:rFonts w:ascii="Arial" w:hAnsi="Arial" w:cs="Arial"/>
          <w:sz w:val="25"/>
          <w:szCs w:val="25"/>
          <w:lang w:val="en-GB"/>
        </w:rPr>
        <w:t xml:space="preserve">been taken </w:t>
      </w:r>
      <w:r w:rsidR="000E7A94" w:rsidRPr="00B93EAF">
        <w:rPr>
          <w:rFonts w:ascii="Arial" w:hAnsi="Arial" w:cs="Arial"/>
          <w:sz w:val="25"/>
          <w:szCs w:val="25"/>
          <w:lang w:val="en-GB"/>
        </w:rPr>
        <w:t xml:space="preserve">by </w:t>
      </w:r>
      <w:proofErr w:type="spellStart"/>
      <w:r w:rsidR="000E7A94" w:rsidRPr="00B93EAF">
        <w:rPr>
          <w:rFonts w:ascii="Arial" w:hAnsi="Arial" w:cs="Arial"/>
          <w:sz w:val="25"/>
          <w:szCs w:val="25"/>
          <w:lang w:val="en-GB"/>
        </w:rPr>
        <w:t>Nqaba</w:t>
      </w:r>
      <w:proofErr w:type="spellEnd"/>
      <w:r w:rsidR="000E7A94" w:rsidRPr="00B93EAF">
        <w:rPr>
          <w:rFonts w:ascii="Arial" w:hAnsi="Arial" w:cs="Arial"/>
          <w:sz w:val="25"/>
          <w:szCs w:val="25"/>
          <w:lang w:val="en-GB"/>
        </w:rPr>
        <w:t xml:space="preserve"> and EFC </w:t>
      </w:r>
      <w:r w:rsidR="006455F2" w:rsidRPr="00B93EAF">
        <w:rPr>
          <w:rFonts w:ascii="Arial" w:hAnsi="Arial" w:cs="Arial"/>
          <w:sz w:val="25"/>
          <w:szCs w:val="25"/>
          <w:lang w:val="en-GB"/>
        </w:rPr>
        <w:t xml:space="preserve">on 3 May 2017, when </w:t>
      </w:r>
      <w:r w:rsidR="000E7A94" w:rsidRPr="00B93EAF">
        <w:rPr>
          <w:rFonts w:ascii="Arial" w:hAnsi="Arial" w:cs="Arial"/>
          <w:sz w:val="25"/>
          <w:szCs w:val="25"/>
          <w:lang w:val="en-GB"/>
        </w:rPr>
        <w:t>their</w:t>
      </w:r>
      <w:r w:rsidR="006455F2" w:rsidRPr="00B93EAF">
        <w:rPr>
          <w:rFonts w:ascii="Arial" w:hAnsi="Arial" w:cs="Arial"/>
          <w:sz w:val="25"/>
          <w:szCs w:val="25"/>
          <w:lang w:val="en-GB"/>
        </w:rPr>
        <w:t xml:space="preserve"> first application was launched.  </w:t>
      </w:r>
      <w:r w:rsidR="006455F2">
        <w:rPr>
          <w:rStyle w:val="FootnoteReference"/>
          <w:rFonts w:ascii="Arial" w:hAnsi="Arial" w:cs="Arial"/>
          <w:sz w:val="25"/>
          <w:szCs w:val="25"/>
          <w:lang w:val="en-GB"/>
        </w:rPr>
        <w:footnoteReference w:id="8"/>
      </w:r>
      <w:r w:rsidR="00B85B10" w:rsidRPr="00B93EAF">
        <w:rPr>
          <w:rFonts w:ascii="Arial" w:hAnsi="Arial" w:cs="Arial"/>
          <w:sz w:val="25"/>
          <w:szCs w:val="25"/>
          <w:lang w:val="en-GB"/>
        </w:rPr>
        <w:t xml:space="preserve">  This prevented, so the argument developed, debt review proceedings from being commenced legitimately.  </w:t>
      </w:r>
    </w:p>
    <w:p w14:paraId="4F4868FD" w14:textId="71C42251" w:rsidR="006455F2" w:rsidRPr="00B93EAF" w:rsidRDefault="00B93EAF" w:rsidP="00B93EAF">
      <w:pPr>
        <w:spacing w:before="480" w:after="240" w:line="480" w:lineRule="auto"/>
        <w:ind w:left="851" w:hanging="851"/>
        <w:jc w:val="both"/>
        <w:rPr>
          <w:rFonts w:ascii="Arial" w:hAnsi="Arial" w:cs="Arial"/>
          <w:sz w:val="25"/>
          <w:szCs w:val="25"/>
          <w:lang w:val="en-GB"/>
        </w:rPr>
      </w:pPr>
      <w:r>
        <w:rPr>
          <w:rFonts w:ascii="Arial" w:hAnsi="Arial" w:cs="Arial"/>
          <w:sz w:val="25"/>
          <w:szCs w:val="25"/>
          <w:lang w:val="en-GB"/>
        </w:rPr>
        <w:t>[22]</w:t>
      </w:r>
      <w:r>
        <w:rPr>
          <w:rFonts w:ascii="Arial" w:hAnsi="Arial" w:cs="Arial"/>
          <w:sz w:val="25"/>
          <w:szCs w:val="25"/>
          <w:lang w:val="en-GB"/>
        </w:rPr>
        <w:tab/>
      </w:r>
      <w:r w:rsidR="006455F2" w:rsidRPr="00B93EAF">
        <w:rPr>
          <w:rFonts w:ascii="Arial" w:hAnsi="Arial" w:cs="Arial"/>
          <w:sz w:val="25"/>
          <w:szCs w:val="25"/>
          <w:lang w:val="en-GB"/>
        </w:rPr>
        <w:t xml:space="preserve">I find this stance unconvincing.  To rely upon the institution of earlier legal proceedings, which </w:t>
      </w:r>
      <w:proofErr w:type="spellStart"/>
      <w:r w:rsidR="006455F2" w:rsidRPr="00B93EAF">
        <w:rPr>
          <w:rFonts w:ascii="Arial" w:hAnsi="Arial" w:cs="Arial"/>
          <w:sz w:val="25"/>
          <w:szCs w:val="25"/>
          <w:lang w:val="en-GB"/>
        </w:rPr>
        <w:t>Nqaba</w:t>
      </w:r>
      <w:proofErr w:type="spellEnd"/>
      <w:r w:rsidR="006455F2" w:rsidRPr="00B93EAF">
        <w:rPr>
          <w:rFonts w:ascii="Arial" w:hAnsi="Arial" w:cs="Arial"/>
          <w:sz w:val="25"/>
          <w:szCs w:val="25"/>
          <w:lang w:val="en-GB"/>
        </w:rPr>
        <w:t xml:space="preserve"> and EFC elected to withdraw, is to rely upon a phantom.  In my view, once those proceedings were withdrawn, their use as a “defence” to the debt restructuring proceedings fell away.  Had the earlier legal proceedings resulted in an order, I would likely have thought differently of their efficacy. </w:t>
      </w:r>
      <w:r w:rsidR="00B85B10" w:rsidRPr="00B93EAF">
        <w:rPr>
          <w:rFonts w:ascii="Arial" w:hAnsi="Arial" w:cs="Arial"/>
          <w:sz w:val="25"/>
          <w:szCs w:val="25"/>
          <w:lang w:val="en-GB"/>
        </w:rPr>
        <w:t xml:space="preserve"> I cannot accede to Ms </w:t>
      </w:r>
      <w:proofErr w:type="spellStart"/>
      <w:r w:rsidR="00B85B10" w:rsidRPr="00B93EAF">
        <w:rPr>
          <w:rFonts w:ascii="Arial" w:hAnsi="Arial" w:cs="Arial"/>
          <w:sz w:val="25"/>
          <w:szCs w:val="25"/>
          <w:lang w:val="en-GB"/>
        </w:rPr>
        <w:t>Halgryn’s</w:t>
      </w:r>
      <w:proofErr w:type="spellEnd"/>
      <w:r w:rsidR="00B85B10" w:rsidRPr="00B93EAF">
        <w:rPr>
          <w:rFonts w:ascii="Arial" w:hAnsi="Arial" w:cs="Arial"/>
          <w:sz w:val="25"/>
          <w:szCs w:val="25"/>
          <w:lang w:val="en-GB"/>
        </w:rPr>
        <w:t xml:space="preserve"> line of reasoning on this point.</w:t>
      </w:r>
      <w:r w:rsidR="000E7A94" w:rsidRPr="00B93EAF">
        <w:rPr>
          <w:rFonts w:ascii="Arial" w:hAnsi="Arial" w:cs="Arial"/>
          <w:sz w:val="25"/>
          <w:szCs w:val="25"/>
          <w:lang w:val="en-GB"/>
        </w:rPr>
        <w:t xml:space="preserve">  Where Ms </w:t>
      </w:r>
      <w:proofErr w:type="spellStart"/>
      <w:r w:rsidR="000E7A94" w:rsidRPr="00B93EAF">
        <w:rPr>
          <w:rFonts w:ascii="Arial" w:hAnsi="Arial" w:cs="Arial"/>
          <w:sz w:val="25"/>
          <w:szCs w:val="25"/>
          <w:lang w:val="en-GB"/>
        </w:rPr>
        <w:t>Halgryn’s</w:t>
      </w:r>
      <w:proofErr w:type="spellEnd"/>
      <w:r w:rsidR="000E7A94" w:rsidRPr="00B93EAF">
        <w:rPr>
          <w:rFonts w:ascii="Arial" w:hAnsi="Arial" w:cs="Arial"/>
          <w:sz w:val="25"/>
          <w:szCs w:val="25"/>
          <w:lang w:val="en-GB"/>
        </w:rPr>
        <w:t xml:space="preserve"> argument does find traction with me is in respect of this application, which was launched on 1 December 2017.  It constitutes steps contemplated in s 130 of the National Credit Act to enforce the loan agreement.  As such, it operated as a legal bar in terms of s 86(2) to debt review proceedings.  But, that bar did not render the order of the Pretoria magistrates court of 7 August 2018 a </w:t>
      </w:r>
      <w:r w:rsidR="000E7A94" w:rsidRPr="00B93EAF">
        <w:rPr>
          <w:rFonts w:ascii="Arial" w:hAnsi="Arial" w:cs="Arial"/>
          <w:sz w:val="25"/>
          <w:szCs w:val="25"/>
          <w:lang w:val="en-GB"/>
        </w:rPr>
        <w:lastRenderedPageBreak/>
        <w:t>nullity that could be disregarded, even if it was granted contrary to the provisions of s 86(2).</w:t>
      </w:r>
    </w:p>
    <w:p w14:paraId="567E65BC" w14:textId="62C07CE6" w:rsidR="008872E5" w:rsidRPr="00B93EAF" w:rsidRDefault="00B93EAF" w:rsidP="00B93EAF">
      <w:pPr>
        <w:keepNext/>
        <w:widowControl w:val="0"/>
        <w:spacing w:before="480" w:after="240" w:line="480" w:lineRule="auto"/>
        <w:ind w:left="851" w:hanging="851"/>
        <w:jc w:val="both"/>
        <w:rPr>
          <w:rFonts w:ascii="Arial" w:hAnsi="Arial" w:cs="Arial"/>
          <w:sz w:val="25"/>
          <w:szCs w:val="25"/>
          <w:lang w:val="en-GB"/>
        </w:rPr>
      </w:pPr>
      <w:r>
        <w:rPr>
          <w:rFonts w:ascii="Arial" w:hAnsi="Arial" w:cs="Arial"/>
          <w:sz w:val="25"/>
          <w:szCs w:val="25"/>
          <w:lang w:val="en-GB"/>
        </w:rPr>
        <w:t>[23]</w:t>
      </w:r>
      <w:r>
        <w:rPr>
          <w:rFonts w:ascii="Arial" w:hAnsi="Arial" w:cs="Arial"/>
          <w:sz w:val="25"/>
          <w:szCs w:val="25"/>
          <w:lang w:val="en-GB"/>
        </w:rPr>
        <w:tab/>
      </w:r>
      <w:r w:rsidR="00942C29" w:rsidRPr="00B93EAF">
        <w:rPr>
          <w:rFonts w:ascii="Arial" w:hAnsi="Arial" w:cs="Arial"/>
          <w:sz w:val="25"/>
          <w:szCs w:val="25"/>
          <w:lang w:val="en-GB"/>
        </w:rPr>
        <w:t xml:space="preserve">As against Mr </w:t>
      </w:r>
      <w:proofErr w:type="spellStart"/>
      <w:r w:rsidR="00942C29" w:rsidRPr="00B93EAF">
        <w:rPr>
          <w:rFonts w:ascii="Arial" w:hAnsi="Arial" w:cs="Arial"/>
          <w:sz w:val="25"/>
          <w:szCs w:val="25"/>
          <w:lang w:val="en-GB"/>
        </w:rPr>
        <w:t>Ngustshane</w:t>
      </w:r>
      <w:proofErr w:type="spellEnd"/>
      <w:r w:rsidR="00942C29" w:rsidRPr="00B93EAF">
        <w:rPr>
          <w:rFonts w:ascii="Arial" w:hAnsi="Arial" w:cs="Arial"/>
          <w:sz w:val="25"/>
          <w:szCs w:val="25"/>
          <w:lang w:val="en-GB"/>
        </w:rPr>
        <w:t>, in my view</w:t>
      </w:r>
      <w:r w:rsidR="00B85B10" w:rsidRPr="00B93EAF">
        <w:rPr>
          <w:rFonts w:ascii="Arial" w:hAnsi="Arial" w:cs="Arial"/>
          <w:sz w:val="25"/>
          <w:szCs w:val="25"/>
          <w:lang w:val="en-GB"/>
        </w:rPr>
        <w:t>,</w:t>
      </w:r>
      <w:r w:rsidR="00942C29" w:rsidRPr="00B93EAF">
        <w:rPr>
          <w:rFonts w:ascii="Arial" w:hAnsi="Arial" w:cs="Arial"/>
          <w:sz w:val="25"/>
          <w:szCs w:val="25"/>
          <w:lang w:val="en-GB"/>
        </w:rPr>
        <w:t xml:space="preserve"> the restructuring order was good.  I hold this view because of what was held in </w:t>
      </w:r>
      <w:proofErr w:type="spellStart"/>
      <w:r w:rsidR="00942C29" w:rsidRPr="00B93EAF">
        <w:rPr>
          <w:rFonts w:ascii="Arial" w:hAnsi="Arial" w:cs="Arial"/>
          <w:b/>
          <w:bCs/>
          <w:i/>
          <w:iCs/>
          <w:sz w:val="25"/>
          <w:szCs w:val="25"/>
          <w:lang w:val="en-GB"/>
        </w:rPr>
        <w:t>Tasima</w:t>
      </w:r>
      <w:proofErr w:type="spellEnd"/>
      <w:r w:rsidR="00942C29" w:rsidRPr="00B93EAF">
        <w:rPr>
          <w:rFonts w:ascii="Arial" w:hAnsi="Arial" w:cs="Arial"/>
          <w:sz w:val="25"/>
          <w:szCs w:val="25"/>
          <w:lang w:val="en-GB"/>
        </w:rPr>
        <w:t>:  </w:t>
      </w:r>
      <w:r w:rsidR="00942C29">
        <w:rPr>
          <w:rStyle w:val="FootnoteReference"/>
          <w:rFonts w:ascii="Arial" w:hAnsi="Arial" w:cs="Arial"/>
          <w:sz w:val="25"/>
          <w:szCs w:val="25"/>
          <w:lang w:val="en-GB"/>
        </w:rPr>
        <w:footnoteReference w:id="9"/>
      </w:r>
    </w:p>
    <w:p w14:paraId="371D0E57" w14:textId="03107778" w:rsidR="004637F4" w:rsidRPr="004637F4" w:rsidRDefault="004637F4" w:rsidP="00942C29">
      <w:pPr>
        <w:spacing w:before="240" w:line="360" w:lineRule="auto"/>
        <w:ind w:left="1440"/>
        <w:jc w:val="both"/>
        <w:rPr>
          <w:rFonts w:ascii="Arial" w:eastAsia="Times New Roman" w:hAnsi="Arial" w:cs="Arial"/>
          <w:color w:val="000000"/>
          <w:kern w:val="0"/>
          <w:sz w:val="22"/>
          <w:szCs w:val="22"/>
          <w:lang w:eastAsia="en-GB"/>
          <w14:ligatures w14:val="none"/>
        </w:rPr>
      </w:pPr>
      <w:r w:rsidRPr="004637F4">
        <w:rPr>
          <w:rFonts w:ascii="Arial" w:hAnsi="Arial" w:cs="Arial"/>
          <w:color w:val="000000"/>
          <w:sz w:val="22"/>
          <w:szCs w:val="22"/>
        </w:rPr>
        <w:t xml:space="preserve">[178] </w:t>
      </w:r>
      <w:proofErr w:type="gramStart"/>
      <w:r w:rsidRPr="004637F4">
        <w:rPr>
          <w:rFonts w:ascii="Arial" w:hAnsi="Arial" w:cs="Arial"/>
          <w:color w:val="000000"/>
          <w:sz w:val="22"/>
          <w:szCs w:val="22"/>
        </w:rPr>
        <w:t>The</w:t>
      </w:r>
      <w:proofErr w:type="gramEnd"/>
      <w:r w:rsidRPr="004637F4">
        <w:rPr>
          <w:rFonts w:ascii="Arial" w:hAnsi="Arial" w:cs="Arial"/>
          <w:color w:val="000000"/>
          <w:sz w:val="22"/>
          <w:szCs w:val="22"/>
        </w:rPr>
        <w:t xml:space="preserve"> applicants have accepted this standpoint. In its counter-application, the Department stated explicitly that it </w:t>
      </w:r>
      <w:r>
        <w:rPr>
          <w:rFonts w:ascii="Arial" w:hAnsi="Arial" w:cs="Arial"/>
          <w:color w:val="000000"/>
          <w:sz w:val="22"/>
          <w:szCs w:val="22"/>
        </w:rPr>
        <w:t>‘</w:t>
      </w:r>
      <w:r w:rsidRPr="004637F4">
        <w:rPr>
          <w:rFonts w:ascii="Arial" w:hAnsi="Arial" w:cs="Arial"/>
          <w:color w:val="000000"/>
          <w:sz w:val="22"/>
          <w:szCs w:val="22"/>
        </w:rPr>
        <w:t>accept[s] that the respondents must always comply with a court order until it is set aside</w:t>
      </w:r>
      <w:r>
        <w:rPr>
          <w:rFonts w:ascii="Arial" w:hAnsi="Arial" w:cs="Arial"/>
          <w:color w:val="000000"/>
          <w:sz w:val="22"/>
          <w:szCs w:val="22"/>
        </w:rPr>
        <w:t>’</w:t>
      </w:r>
      <w:r w:rsidRPr="004637F4">
        <w:rPr>
          <w:rFonts w:ascii="Arial" w:hAnsi="Arial" w:cs="Arial"/>
          <w:color w:val="000000"/>
          <w:sz w:val="22"/>
          <w:szCs w:val="22"/>
        </w:rPr>
        <w:t xml:space="preserve">. They contended further that </w:t>
      </w:r>
      <w:r>
        <w:rPr>
          <w:rFonts w:ascii="Arial" w:hAnsi="Arial" w:cs="Arial"/>
          <w:color w:val="000000"/>
          <w:sz w:val="22"/>
          <w:szCs w:val="22"/>
        </w:rPr>
        <w:t>‘</w:t>
      </w:r>
      <w:r w:rsidRPr="004637F4">
        <w:rPr>
          <w:rFonts w:ascii="Arial" w:hAnsi="Arial" w:cs="Arial"/>
          <w:color w:val="000000"/>
          <w:sz w:val="22"/>
          <w:szCs w:val="22"/>
        </w:rPr>
        <w:t>the previous contempt of court orders were all complied with</w:t>
      </w:r>
      <w:r>
        <w:rPr>
          <w:rFonts w:ascii="Arial" w:hAnsi="Arial" w:cs="Arial"/>
          <w:color w:val="000000"/>
          <w:sz w:val="22"/>
          <w:szCs w:val="22"/>
        </w:rPr>
        <w:t>’</w:t>
      </w:r>
      <w:r w:rsidRPr="004637F4">
        <w:rPr>
          <w:rFonts w:ascii="Arial" w:hAnsi="Arial" w:cs="Arial"/>
          <w:color w:val="000000"/>
          <w:sz w:val="22"/>
          <w:szCs w:val="22"/>
        </w:rPr>
        <w:t xml:space="preserve">. Consequently, in their view, none of the orders made before the proceedings brought by </w:t>
      </w:r>
      <w:proofErr w:type="spellStart"/>
      <w:r w:rsidRPr="004637F4">
        <w:rPr>
          <w:rFonts w:ascii="Arial" w:hAnsi="Arial" w:cs="Arial"/>
          <w:color w:val="000000"/>
          <w:sz w:val="22"/>
          <w:szCs w:val="22"/>
        </w:rPr>
        <w:t>Tasima</w:t>
      </w:r>
      <w:proofErr w:type="spellEnd"/>
      <w:r w:rsidRPr="004637F4">
        <w:rPr>
          <w:rFonts w:ascii="Arial" w:hAnsi="Arial" w:cs="Arial"/>
          <w:color w:val="000000"/>
          <w:sz w:val="22"/>
          <w:szCs w:val="22"/>
        </w:rPr>
        <w:t xml:space="preserve"> in front of Hughes J </w:t>
      </w:r>
      <w:r>
        <w:rPr>
          <w:rFonts w:ascii="Arial" w:hAnsi="Arial" w:cs="Arial"/>
          <w:color w:val="000000"/>
          <w:sz w:val="22"/>
          <w:szCs w:val="22"/>
        </w:rPr>
        <w:t>‘</w:t>
      </w:r>
      <w:r w:rsidRPr="004637F4">
        <w:rPr>
          <w:rFonts w:ascii="Arial" w:hAnsi="Arial" w:cs="Arial"/>
          <w:color w:val="000000"/>
          <w:sz w:val="22"/>
          <w:szCs w:val="22"/>
        </w:rPr>
        <w:t>have a bearing on the current application</w:t>
      </w:r>
      <w:r>
        <w:rPr>
          <w:rFonts w:ascii="Arial" w:hAnsi="Arial" w:cs="Arial"/>
          <w:color w:val="000000"/>
          <w:sz w:val="22"/>
          <w:szCs w:val="22"/>
        </w:rPr>
        <w:t>’</w:t>
      </w:r>
      <w:r w:rsidRPr="004637F4">
        <w:rPr>
          <w:rFonts w:ascii="Arial" w:hAnsi="Arial" w:cs="Arial"/>
          <w:color w:val="000000"/>
          <w:sz w:val="22"/>
          <w:szCs w:val="22"/>
        </w:rPr>
        <w:t xml:space="preserve">. The Corporation took a similar view. They stated unequivocally that, </w:t>
      </w:r>
      <w:r>
        <w:rPr>
          <w:rFonts w:ascii="Arial" w:hAnsi="Arial" w:cs="Arial"/>
          <w:color w:val="000000"/>
          <w:sz w:val="22"/>
          <w:szCs w:val="22"/>
        </w:rPr>
        <w:t>‘</w:t>
      </w:r>
      <w:r w:rsidRPr="004637F4">
        <w:rPr>
          <w:rFonts w:ascii="Arial" w:hAnsi="Arial" w:cs="Arial"/>
          <w:color w:val="000000"/>
          <w:sz w:val="22"/>
          <w:szCs w:val="22"/>
        </w:rPr>
        <w:t>not only does [the Corporation's] conduct not constitute contempt but at no stage have we had any intention to commit such contempt</w:t>
      </w:r>
      <w:r>
        <w:rPr>
          <w:rFonts w:ascii="Arial" w:hAnsi="Arial" w:cs="Arial"/>
          <w:color w:val="000000"/>
          <w:sz w:val="22"/>
          <w:szCs w:val="22"/>
        </w:rPr>
        <w:t>’</w:t>
      </w:r>
      <w:r w:rsidRPr="004637F4">
        <w:rPr>
          <w:rFonts w:ascii="Arial" w:hAnsi="Arial" w:cs="Arial"/>
          <w:color w:val="000000"/>
          <w:sz w:val="22"/>
          <w:szCs w:val="22"/>
        </w:rPr>
        <w:t>. Neither party claimed that the various orders outlined above can be ignored with impunity, even if the counter-application were to succeed.</w:t>
      </w:r>
    </w:p>
    <w:p w14:paraId="42F0AA59" w14:textId="1C104468" w:rsidR="00942C29" w:rsidRPr="00942C29" w:rsidRDefault="00942C29" w:rsidP="00942C29">
      <w:pPr>
        <w:spacing w:before="240" w:line="360" w:lineRule="auto"/>
        <w:ind w:left="1440"/>
        <w:jc w:val="both"/>
        <w:rPr>
          <w:rFonts w:ascii="Arial" w:eastAsia="Times New Roman" w:hAnsi="Arial" w:cs="Arial"/>
          <w:color w:val="000000"/>
          <w:kern w:val="0"/>
          <w:sz w:val="22"/>
          <w:szCs w:val="22"/>
          <w:lang w:eastAsia="en-GB"/>
          <w14:ligatures w14:val="none"/>
        </w:rPr>
      </w:pPr>
      <w:r w:rsidRPr="00942C29">
        <w:rPr>
          <w:rFonts w:ascii="Arial" w:eastAsia="Times New Roman" w:hAnsi="Arial" w:cs="Arial"/>
          <w:color w:val="000000"/>
          <w:kern w:val="0"/>
          <w:sz w:val="22"/>
          <w:szCs w:val="22"/>
          <w:lang w:eastAsia="en-GB"/>
          <w14:ligatures w14:val="none"/>
        </w:rPr>
        <w:t xml:space="preserve">[179] </w:t>
      </w:r>
      <w:proofErr w:type="gramStart"/>
      <w:r w:rsidRPr="00942C29">
        <w:rPr>
          <w:rFonts w:ascii="Arial" w:eastAsia="Times New Roman" w:hAnsi="Arial" w:cs="Arial"/>
          <w:color w:val="000000"/>
          <w:kern w:val="0"/>
          <w:sz w:val="22"/>
          <w:szCs w:val="22"/>
          <w:lang w:eastAsia="en-GB"/>
          <w14:ligatures w14:val="none"/>
        </w:rPr>
        <w:t>That</w:t>
      </w:r>
      <w:proofErr w:type="gramEnd"/>
      <w:r w:rsidRPr="00942C29">
        <w:rPr>
          <w:rFonts w:ascii="Arial" w:eastAsia="Times New Roman" w:hAnsi="Arial" w:cs="Arial"/>
          <w:color w:val="000000"/>
          <w:kern w:val="0"/>
          <w:sz w:val="22"/>
          <w:szCs w:val="22"/>
          <w:lang w:eastAsia="en-GB"/>
          <w14:ligatures w14:val="none"/>
        </w:rPr>
        <w:t xml:space="preserve"> position is also supported by our law. The unique role occupied by the judiciary since the dawn of our democracy is entrenched in s 165(1) of the Constitution. In addition, s 165(5) states:</w:t>
      </w:r>
    </w:p>
    <w:p w14:paraId="25C3EF40" w14:textId="30052235" w:rsidR="00942C29" w:rsidRPr="00942C29" w:rsidRDefault="00942C29" w:rsidP="00942C29">
      <w:pPr>
        <w:spacing w:after="240"/>
        <w:ind w:left="2160" w:hanging="720"/>
        <w:jc w:val="both"/>
        <w:rPr>
          <w:rFonts w:ascii="Arial" w:eastAsia="Times New Roman" w:hAnsi="Arial" w:cs="Arial"/>
          <w:color w:val="000000"/>
          <w:kern w:val="0"/>
          <w:sz w:val="20"/>
          <w:szCs w:val="20"/>
          <w:lang w:eastAsia="en-GB"/>
          <w14:ligatures w14:val="none"/>
        </w:rPr>
      </w:pPr>
      <w:r>
        <w:rPr>
          <w:rFonts w:ascii="Arial" w:eastAsia="Times New Roman" w:hAnsi="Arial" w:cs="Arial"/>
          <w:color w:val="000000"/>
          <w:kern w:val="0"/>
          <w:sz w:val="22"/>
          <w:szCs w:val="22"/>
          <w:lang w:eastAsia="en-GB"/>
          <w14:ligatures w14:val="none"/>
        </w:rPr>
        <w:tab/>
      </w:r>
      <w:r w:rsidRPr="00942C29">
        <w:rPr>
          <w:rFonts w:ascii="Arial" w:eastAsia="Times New Roman" w:hAnsi="Arial" w:cs="Arial"/>
          <w:color w:val="000000"/>
          <w:kern w:val="0"/>
          <w:sz w:val="20"/>
          <w:szCs w:val="20"/>
          <w:lang w:eastAsia="en-GB"/>
          <w14:ligatures w14:val="none"/>
        </w:rPr>
        <w:t>‘An order or decision issued by a court binds all persons to whom and</w:t>
      </w:r>
      <w:proofErr w:type="gramStart"/>
      <w:r w:rsidRPr="00942C29">
        <w:rPr>
          <w:rFonts w:ascii="Arial" w:eastAsia="Times New Roman" w:hAnsi="Arial" w:cs="Arial"/>
          <w:color w:val="000000"/>
          <w:kern w:val="0"/>
          <w:sz w:val="20"/>
          <w:szCs w:val="20"/>
          <w:lang w:eastAsia="en-GB"/>
          <w14:ligatures w14:val="none"/>
        </w:rPr>
        <w:t>  organs</w:t>
      </w:r>
      <w:proofErr w:type="gramEnd"/>
      <w:r w:rsidRPr="00942C29">
        <w:rPr>
          <w:rFonts w:ascii="Arial" w:eastAsia="Times New Roman" w:hAnsi="Arial" w:cs="Arial"/>
          <w:color w:val="000000"/>
          <w:kern w:val="0"/>
          <w:sz w:val="20"/>
          <w:szCs w:val="20"/>
          <w:lang w:eastAsia="en-GB"/>
          <w14:ligatures w14:val="none"/>
        </w:rPr>
        <w:t xml:space="preserve"> of state to which it applies.’</w:t>
      </w:r>
    </w:p>
    <w:p w14:paraId="68BE38B3" w14:textId="77777777" w:rsidR="00942C29" w:rsidRPr="00942C29" w:rsidRDefault="00942C29" w:rsidP="00942C29">
      <w:pPr>
        <w:spacing w:before="240" w:line="360" w:lineRule="auto"/>
        <w:ind w:left="1440"/>
        <w:jc w:val="both"/>
        <w:rPr>
          <w:rFonts w:ascii="Arial" w:eastAsia="Times New Roman" w:hAnsi="Arial" w:cs="Arial"/>
          <w:color w:val="000000"/>
          <w:kern w:val="0"/>
          <w:sz w:val="22"/>
          <w:szCs w:val="22"/>
          <w:lang w:eastAsia="en-GB"/>
          <w14:ligatures w14:val="none"/>
        </w:rPr>
      </w:pPr>
      <w:r w:rsidRPr="00942C29">
        <w:rPr>
          <w:rFonts w:ascii="Arial" w:eastAsia="Times New Roman" w:hAnsi="Arial" w:cs="Arial"/>
          <w:color w:val="000000"/>
          <w:kern w:val="0"/>
          <w:sz w:val="22"/>
          <w:szCs w:val="22"/>
          <w:lang w:eastAsia="en-GB"/>
          <w14:ligatures w14:val="none"/>
        </w:rPr>
        <w:t>However, s 2 of the Constitution also makes vivid the venerability of the Constitution:</w:t>
      </w:r>
    </w:p>
    <w:p w14:paraId="64920BAF" w14:textId="23E4929C" w:rsidR="00942C29" w:rsidRPr="00942C29" w:rsidRDefault="00942C29" w:rsidP="00942C29">
      <w:pPr>
        <w:spacing w:after="240"/>
        <w:ind w:left="2160"/>
        <w:jc w:val="both"/>
        <w:rPr>
          <w:rFonts w:ascii="Arial" w:eastAsia="Times New Roman" w:hAnsi="Arial" w:cs="Arial"/>
          <w:color w:val="000000"/>
          <w:kern w:val="0"/>
          <w:sz w:val="20"/>
          <w:szCs w:val="20"/>
          <w:lang w:eastAsia="en-GB"/>
          <w14:ligatures w14:val="none"/>
        </w:rPr>
      </w:pPr>
      <w:r w:rsidRPr="00942C29">
        <w:rPr>
          <w:rFonts w:ascii="Arial" w:eastAsia="Times New Roman" w:hAnsi="Arial" w:cs="Arial"/>
          <w:color w:val="000000"/>
          <w:kern w:val="0"/>
          <w:sz w:val="20"/>
          <w:szCs w:val="20"/>
          <w:lang w:eastAsia="en-GB"/>
          <w14:ligatures w14:val="none"/>
        </w:rPr>
        <w:t>‘This Constitution is the supreme law of the Republic; law or conduct inconsistent with it is invalid, and the obligations imposed by it must be fulfilled.’</w:t>
      </w:r>
    </w:p>
    <w:p w14:paraId="51D71E8D" w14:textId="5E512DFD" w:rsidR="00942C29" w:rsidRPr="00942C29" w:rsidRDefault="00942C29" w:rsidP="00942C29">
      <w:pPr>
        <w:spacing w:before="240" w:after="240" w:line="360" w:lineRule="auto"/>
        <w:ind w:left="1440"/>
        <w:jc w:val="both"/>
        <w:rPr>
          <w:rFonts w:ascii="Arial" w:eastAsia="Times New Roman" w:hAnsi="Arial" w:cs="Arial"/>
          <w:color w:val="000000"/>
          <w:kern w:val="0"/>
          <w:sz w:val="22"/>
          <w:szCs w:val="22"/>
          <w:lang w:eastAsia="en-GB"/>
          <w14:ligatures w14:val="none"/>
        </w:rPr>
      </w:pPr>
      <w:r w:rsidRPr="00942C29">
        <w:rPr>
          <w:rFonts w:ascii="Arial" w:eastAsia="Times New Roman" w:hAnsi="Arial" w:cs="Arial"/>
          <w:color w:val="000000"/>
          <w:kern w:val="0"/>
          <w:sz w:val="22"/>
          <w:szCs w:val="22"/>
          <w:lang w:eastAsia="en-GB"/>
          <w14:ligatures w14:val="none"/>
        </w:rPr>
        <w:t>[180] The equipoise is tipped by s 172(2</w:t>
      </w:r>
      <w:proofErr w:type="gramStart"/>
      <w:r w:rsidRPr="00942C29">
        <w:rPr>
          <w:rFonts w:ascii="Arial" w:eastAsia="Times New Roman" w:hAnsi="Arial" w:cs="Arial"/>
          <w:color w:val="000000"/>
          <w:kern w:val="0"/>
          <w:sz w:val="22"/>
          <w:szCs w:val="22"/>
          <w:lang w:eastAsia="en-GB"/>
          <w14:ligatures w14:val="none"/>
        </w:rPr>
        <w:t>)</w:t>
      </w:r>
      <w:r w:rsidRPr="00942C29">
        <w:rPr>
          <w:rFonts w:ascii="Arial" w:eastAsia="Times New Roman" w:hAnsi="Arial" w:cs="Arial"/>
          <w:i/>
          <w:iCs/>
          <w:color w:val="000000"/>
          <w:kern w:val="0"/>
          <w:sz w:val="22"/>
          <w:szCs w:val="22"/>
          <w:lang w:eastAsia="en-GB"/>
          <w14:ligatures w14:val="none"/>
        </w:rPr>
        <w:t>(</w:t>
      </w:r>
      <w:proofErr w:type="gramEnd"/>
      <w:r w:rsidRPr="00942C29">
        <w:rPr>
          <w:rFonts w:ascii="Arial" w:eastAsia="Times New Roman" w:hAnsi="Arial" w:cs="Arial"/>
          <w:i/>
          <w:iCs/>
          <w:color w:val="000000"/>
          <w:kern w:val="0"/>
          <w:sz w:val="22"/>
          <w:szCs w:val="22"/>
          <w:lang w:eastAsia="en-GB"/>
          <w14:ligatures w14:val="none"/>
        </w:rPr>
        <w:t>a)</w:t>
      </w:r>
      <w:r w:rsidRPr="00942C29">
        <w:rPr>
          <w:rFonts w:ascii="Arial" w:eastAsia="Times New Roman" w:hAnsi="Arial" w:cs="Arial"/>
          <w:color w:val="000000"/>
          <w:kern w:val="0"/>
          <w:sz w:val="22"/>
          <w:szCs w:val="22"/>
          <w:lang w:eastAsia="en-GB"/>
          <w14:ligatures w14:val="none"/>
        </w:rPr>
        <w:t>, which states:</w:t>
      </w:r>
    </w:p>
    <w:p w14:paraId="44BBE93B" w14:textId="766F9F99" w:rsidR="00942C29" w:rsidRPr="00942C29" w:rsidRDefault="00942C29" w:rsidP="00942C29">
      <w:pPr>
        <w:spacing w:after="240"/>
        <w:ind w:left="2160"/>
        <w:jc w:val="both"/>
        <w:rPr>
          <w:rFonts w:ascii="Arial" w:eastAsia="Times New Roman" w:hAnsi="Arial" w:cs="Arial"/>
          <w:color w:val="000000"/>
          <w:kern w:val="0"/>
          <w:sz w:val="20"/>
          <w:szCs w:val="20"/>
          <w:lang w:eastAsia="en-GB"/>
          <w14:ligatures w14:val="none"/>
        </w:rPr>
      </w:pPr>
      <w:r w:rsidRPr="00942C29">
        <w:rPr>
          <w:rFonts w:ascii="Arial" w:eastAsia="Times New Roman" w:hAnsi="Arial" w:cs="Arial"/>
          <w:color w:val="000000"/>
          <w:kern w:val="0"/>
          <w:sz w:val="20"/>
          <w:szCs w:val="20"/>
          <w:lang w:eastAsia="en-GB"/>
          <w14:ligatures w14:val="none"/>
        </w:rPr>
        <w:t>‘The Supreme Court of Appeal, the High Court of South Africa or a court of similar status may make an order concerning the constitutional validity of an Act of Parliament, a provincial Act or any conduct of the President, </w:t>
      </w:r>
      <w:r w:rsidRPr="00942C29">
        <w:rPr>
          <w:rFonts w:ascii="Arial" w:eastAsia="Times New Roman" w:hAnsi="Arial" w:cs="Arial"/>
          <w:i/>
          <w:iCs/>
          <w:color w:val="000000"/>
          <w:kern w:val="0"/>
          <w:sz w:val="20"/>
          <w:szCs w:val="20"/>
          <w:lang w:eastAsia="en-GB"/>
          <w14:ligatures w14:val="none"/>
        </w:rPr>
        <w:t>but an order of constitutional invalidity has no force unless it is confirmed by the Constitutional Court</w:t>
      </w:r>
      <w:r w:rsidRPr="00942C29">
        <w:rPr>
          <w:rFonts w:ascii="Arial" w:eastAsia="Times New Roman" w:hAnsi="Arial" w:cs="Arial"/>
          <w:color w:val="000000"/>
          <w:kern w:val="0"/>
          <w:sz w:val="20"/>
          <w:szCs w:val="20"/>
          <w:lang w:eastAsia="en-GB"/>
          <w14:ligatures w14:val="none"/>
        </w:rPr>
        <w:t>.’ [Emphasis added.]</w:t>
      </w:r>
    </w:p>
    <w:p w14:paraId="77EF4662" w14:textId="081231CC" w:rsidR="00942C29" w:rsidRPr="00942C29" w:rsidRDefault="00942C29" w:rsidP="00942C29">
      <w:pPr>
        <w:spacing w:before="240" w:after="240" w:line="360" w:lineRule="auto"/>
        <w:ind w:left="1440"/>
        <w:jc w:val="both"/>
        <w:rPr>
          <w:rFonts w:ascii="Arial" w:eastAsia="Times New Roman" w:hAnsi="Arial" w:cs="Arial"/>
          <w:color w:val="000000"/>
          <w:kern w:val="0"/>
          <w:sz w:val="22"/>
          <w:szCs w:val="22"/>
          <w:lang w:eastAsia="en-GB"/>
          <w14:ligatures w14:val="none"/>
        </w:rPr>
      </w:pPr>
      <w:r w:rsidRPr="00942C29">
        <w:rPr>
          <w:rFonts w:ascii="Arial" w:eastAsia="Times New Roman" w:hAnsi="Arial" w:cs="Arial"/>
          <w:color w:val="000000"/>
          <w:kern w:val="0"/>
          <w:sz w:val="22"/>
          <w:szCs w:val="22"/>
          <w:lang w:eastAsia="en-GB"/>
          <w14:ligatures w14:val="none"/>
        </w:rPr>
        <w:lastRenderedPageBreak/>
        <w:t>This section culls an exception that implies the general rule. Only an order of constitutional invalidity requires confirmation by the Constitutional Court to take force. The general rule is that orders that </w:t>
      </w:r>
      <w:r w:rsidRPr="00942C29">
        <w:rPr>
          <w:rFonts w:ascii="Arial" w:eastAsia="Times New Roman" w:hAnsi="Arial" w:cs="Arial"/>
          <w:i/>
          <w:iCs/>
          <w:color w:val="000000"/>
          <w:kern w:val="0"/>
          <w:sz w:val="22"/>
          <w:szCs w:val="22"/>
          <w:lang w:eastAsia="en-GB"/>
          <w14:ligatures w14:val="none"/>
        </w:rPr>
        <w:t>do not</w:t>
      </w:r>
      <w:r w:rsidRPr="00942C29">
        <w:rPr>
          <w:rFonts w:ascii="Arial" w:eastAsia="Times New Roman" w:hAnsi="Arial" w:cs="Arial"/>
          <w:color w:val="000000"/>
          <w:kern w:val="0"/>
          <w:sz w:val="22"/>
          <w:szCs w:val="22"/>
          <w:lang w:eastAsia="en-GB"/>
          <w14:ligatures w14:val="none"/>
        </w:rPr>
        <w:t> concern constitutional invalidity </w:t>
      </w:r>
      <w:r w:rsidRPr="00942C29">
        <w:rPr>
          <w:rFonts w:ascii="Arial" w:eastAsia="Times New Roman" w:hAnsi="Arial" w:cs="Arial"/>
          <w:i/>
          <w:iCs/>
          <w:color w:val="000000"/>
          <w:kern w:val="0"/>
          <w:sz w:val="22"/>
          <w:szCs w:val="22"/>
          <w:lang w:eastAsia="en-GB"/>
          <w14:ligatures w14:val="none"/>
        </w:rPr>
        <w:t>do</w:t>
      </w:r>
      <w:r w:rsidRPr="00942C29">
        <w:rPr>
          <w:rFonts w:ascii="Arial" w:eastAsia="Times New Roman" w:hAnsi="Arial" w:cs="Arial"/>
          <w:color w:val="000000"/>
          <w:kern w:val="0"/>
          <w:sz w:val="22"/>
          <w:szCs w:val="22"/>
          <w:lang w:eastAsia="en-GB"/>
          <w14:ligatures w14:val="none"/>
        </w:rPr>
        <w:t> have force from the moment they are issued. And in light of s</w:t>
      </w:r>
      <w:r w:rsidR="004637F4">
        <w:rPr>
          <w:rFonts w:ascii="Arial" w:eastAsia="Times New Roman" w:hAnsi="Arial" w:cs="Arial"/>
          <w:color w:val="000000"/>
          <w:kern w:val="0"/>
          <w:sz w:val="22"/>
          <w:szCs w:val="22"/>
          <w:lang w:eastAsia="en-GB"/>
          <w14:ligatures w14:val="none"/>
        </w:rPr>
        <w:t> </w:t>
      </w:r>
      <w:r w:rsidRPr="00942C29">
        <w:rPr>
          <w:rFonts w:ascii="Arial" w:eastAsia="Times New Roman" w:hAnsi="Arial" w:cs="Arial"/>
          <w:color w:val="000000"/>
          <w:kern w:val="0"/>
          <w:sz w:val="22"/>
          <w:szCs w:val="22"/>
          <w:lang w:eastAsia="en-GB"/>
          <w14:ligatures w14:val="none"/>
        </w:rPr>
        <w:t>165(5) of the Constitution, the order is binding, irrespective of whether or not it is valid, until set aside.</w:t>
      </w:r>
    </w:p>
    <w:p w14:paraId="340A175F" w14:textId="7D674261" w:rsidR="00942C29" w:rsidRPr="00B93EAF" w:rsidRDefault="00B93EAF" w:rsidP="00B93EAF">
      <w:pPr>
        <w:spacing w:before="480" w:after="240" w:line="480" w:lineRule="auto"/>
        <w:ind w:left="851" w:hanging="851"/>
        <w:jc w:val="both"/>
        <w:rPr>
          <w:rFonts w:ascii="Arial" w:hAnsi="Arial" w:cs="Arial"/>
          <w:sz w:val="25"/>
          <w:szCs w:val="25"/>
          <w:lang w:val="en-GB"/>
        </w:rPr>
      </w:pPr>
      <w:r>
        <w:rPr>
          <w:rFonts w:ascii="Arial" w:hAnsi="Arial" w:cs="Arial"/>
          <w:sz w:val="25"/>
          <w:szCs w:val="25"/>
          <w:lang w:val="en-GB"/>
        </w:rPr>
        <w:t>[24]</w:t>
      </w:r>
      <w:r>
        <w:rPr>
          <w:rFonts w:ascii="Arial" w:hAnsi="Arial" w:cs="Arial"/>
          <w:sz w:val="25"/>
          <w:szCs w:val="25"/>
          <w:lang w:val="en-GB"/>
        </w:rPr>
        <w:tab/>
      </w:r>
      <w:r w:rsidR="004637F4" w:rsidRPr="00B93EAF">
        <w:rPr>
          <w:rFonts w:ascii="Arial" w:hAnsi="Arial" w:cs="Arial"/>
          <w:sz w:val="25"/>
          <w:szCs w:val="25"/>
          <w:lang w:val="en-GB"/>
        </w:rPr>
        <w:t xml:space="preserve">During argument a debate ensued about whether the restructuring order would hold good only for so long as complied with by Mr </w:t>
      </w:r>
      <w:proofErr w:type="spellStart"/>
      <w:r w:rsidR="004637F4" w:rsidRPr="00B93EAF">
        <w:rPr>
          <w:rFonts w:ascii="Arial" w:hAnsi="Arial" w:cs="Arial"/>
          <w:sz w:val="25"/>
          <w:szCs w:val="25"/>
          <w:lang w:val="en-GB"/>
        </w:rPr>
        <w:t>Ngutshane</w:t>
      </w:r>
      <w:proofErr w:type="spellEnd"/>
      <w:r w:rsidR="004637F4" w:rsidRPr="00B93EAF">
        <w:rPr>
          <w:rFonts w:ascii="Arial" w:hAnsi="Arial" w:cs="Arial"/>
          <w:sz w:val="25"/>
          <w:szCs w:val="25"/>
          <w:lang w:val="en-GB"/>
        </w:rPr>
        <w:t>, and what the result would be if he failed to comply with it: did it cease to be of force or effect, or would it have to be enforced by way of contempt proceedings</w:t>
      </w:r>
      <w:r w:rsidR="00E72117" w:rsidRPr="00B93EAF">
        <w:rPr>
          <w:rFonts w:ascii="Arial" w:hAnsi="Arial" w:cs="Arial"/>
          <w:sz w:val="25"/>
          <w:szCs w:val="25"/>
          <w:lang w:val="en-GB"/>
        </w:rPr>
        <w:t>, if he failed to comply with its terms</w:t>
      </w:r>
      <w:r w:rsidR="004637F4" w:rsidRPr="00B93EAF">
        <w:rPr>
          <w:rFonts w:ascii="Arial" w:hAnsi="Arial" w:cs="Arial"/>
          <w:sz w:val="25"/>
          <w:szCs w:val="25"/>
          <w:lang w:val="en-GB"/>
        </w:rPr>
        <w:t xml:space="preserve">?  </w:t>
      </w:r>
      <w:r w:rsidR="000E7A94" w:rsidRPr="00B93EAF">
        <w:rPr>
          <w:rFonts w:ascii="Arial" w:hAnsi="Arial" w:cs="Arial"/>
          <w:sz w:val="25"/>
          <w:szCs w:val="25"/>
          <w:lang w:val="en-GB"/>
        </w:rPr>
        <w:t>This debate was sparked by the wording of s 130(4</w:t>
      </w:r>
      <w:proofErr w:type="gramStart"/>
      <w:r w:rsidR="000E7A94" w:rsidRPr="00B93EAF">
        <w:rPr>
          <w:rFonts w:ascii="Arial" w:hAnsi="Arial" w:cs="Arial"/>
          <w:sz w:val="25"/>
          <w:szCs w:val="25"/>
          <w:lang w:val="en-GB"/>
        </w:rPr>
        <w:t>)(</w:t>
      </w:r>
      <w:proofErr w:type="gramEnd"/>
      <w:r w:rsidR="000E7A94" w:rsidRPr="00B93EAF">
        <w:rPr>
          <w:rFonts w:ascii="Arial" w:hAnsi="Arial" w:cs="Arial"/>
          <w:sz w:val="25"/>
          <w:szCs w:val="25"/>
          <w:lang w:val="en-GB"/>
        </w:rPr>
        <w:t xml:space="preserve">e) of the National Credit Act.  </w:t>
      </w:r>
      <w:r w:rsidR="004637F4" w:rsidRPr="00B93EAF">
        <w:rPr>
          <w:rFonts w:ascii="Arial" w:hAnsi="Arial" w:cs="Arial"/>
          <w:sz w:val="25"/>
          <w:szCs w:val="25"/>
          <w:lang w:val="en-GB"/>
        </w:rPr>
        <w:t>Because of the view I hold in this matter, this question need not be resolved by me</w:t>
      </w:r>
      <w:r w:rsidR="00877D93" w:rsidRPr="00B93EAF">
        <w:rPr>
          <w:rFonts w:ascii="Arial" w:hAnsi="Arial" w:cs="Arial"/>
          <w:sz w:val="25"/>
          <w:szCs w:val="25"/>
          <w:lang w:val="en-GB"/>
        </w:rPr>
        <w:t>;</w:t>
      </w:r>
      <w:r w:rsidR="004637F4" w:rsidRPr="00B93EAF">
        <w:rPr>
          <w:rFonts w:ascii="Arial" w:hAnsi="Arial" w:cs="Arial"/>
          <w:sz w:val="25"/>
          <w:szCs w:val="25"/>
          <w:lang w:val="en-GB"/>
        </w:rPr>
        <w:t xml:space="preserve"> although I </w:t>
      </w:r>
      <w:r w:rsidR="00E72117" w:rsidRPr="00B93EAF">
        <w:rPr>
          <w:rFonts w:ascii="Arial" w:hAnsi="Arial" w:cs="Arial"/>
          <w:sz w:val="25"/>
          <w:szCs w:val="25"/>
          <w:lang w:val="en-GB"/>
        </w:rPr>
        <w:t>am inclined</w:t>
      </w:r>
      <w:r w:rsidR="004637F4" w:rsidRPr="00B93EAF">
        <w:rPr>
          <w:rFonts w:ascii="Arial" w:hAnsi="Arial" w:cs="Arial"/>
          <w:sz w:val="25"/>
          <w:szCs w:val="25"/>
          <w:lang w:val="en-GB"/>
        </w:rPr>
        <w:t xml:space="preserve"> to </w:t>
      </w:r>
      <w:r w:rsidR="00E72117" w:rsidRPr="00B93EAF">
        <w:rPr>
          <w:rFonts w:ascii="Arial" w:hAnsi="Arial" w:cs="Arial"/>
          <w:sz w:val="25"/>
          <w:szCs w:val="25"/>
          <w:lang w:val="en-GB"/>
        </w:rPr>
        <w:t>think</w:t>
      </w:r>
      <w:r w:rsidR="004637F4" w:rsidRPr="00B93EAF">
        <w:rPr>
          <w:rFonts w:ascii="Arial" w:hAnsi="Arial" w:cs="Arial"/>
          <w:sz w:val="25"/>
          <w:szCs w:val="25"/>
          <w:lang w:val="en-GB"/>
        </w:rPr>
        <w:t xml:space="preserve">, on the wording of </w:t>
      </w:r>
      <w:r w:rsidR="000E7A94" w:rsidRPr="00B93EAF">
        <w:rPr>
          <w:rFonts w:ascii="Arial" w:hAnsi="Arial" w:cs="Arial"/>
          <w:sz w:val="25"/>
          <w:szCs w:val="25"/>
          <w:lang w:val="en-GB"/>
        </w:rPr>
        <w:t>s 130(4</w:t>
      </w:r>
      <w:proofErr w:type="gramStart"/>
      <w:r w:rsidR="000E7A94" w:rsidRPr="00B93EAF">
        <w:rPr>
          <w:rFonts w:ascii="Arial" w:hAnsi="Arial" w:cs="Arial"/>
          <w:sz w:val="25"/>
          <w:szCs w:val="25"/>
          <w:lang w:val="en-GB"/>
        </w:rPr>
        <w:t>)(</w:t>
      </w:r>
      <w:proofErr w:type="gramEnd"/>
      <w:r w:rsidR="000E7A94" w:rsidRPr="00B93EAF">
        <w:rPr>
          <w:rFonts w:ascii="Arial" w:hAnsi="Arial" w:cs="Arial"/>
          <w:sz w:val="25"/>
          <w:szCs w:val="25"/>
          <w:lang w:val="en-GB"/>
        </w:rPr>
        <w:t>e)</w:t>
      </w:r>
      <w:r w:rsidR="00877D93" w:rsidRPr="00B93EAF">
        <w:rPr>
          <w:rFonts w:ascii="Arial" w:hAnsi="Arial" w:cs="Arial"/>
          <w:sz w:val="25"/>
          <w:szCs w:val="25"/>
          <w:lang w:val="en-GB"/>
        </w:rPr>
        <w:t>,</w:t>
      </w:r>
      <w:r w:rsidR="000E7A94" w:rsidRPr="00B93EAF">
        <w:rPr>
          <w:rFonts w:ascii="Arial" w:hAnsi="Arial" w:cs="Arial"/>
          <w:sz w:val="25"/>
          <w:szCs w:val="25"/>
          <w:lang w:val="en-GB"/>
        </w:rPr>
        <w:t xml:space="preserve"> that a failure to comply strictly with </w:t>
      </w:r>
      <w:r w:rsidR="00877D93" w:rsidRPr="00B93EAF">
        <w:rPr>
          <w:rFonts w:ascii="Arial" w:hAnsi="Arial" w:cs="Arial"/>
          <w:sz w:val="25"/>
          <w:szCs w:val="25"/>
          <w:lang w:val="en-GB"/>
        </w:rPr>
        <w:t>a</w:t>
      </w:r>
      <w:r w:rsidR="000E7A94" w:rsidRPr="00B93EAF">
        <w:rPr>
          <w:rFonts w:ascii="Arial" w:hAnsi="Arial" w:cs="Arial"/>
          <w:sz w:val="25"/>
          <w:szCs w:val="25"/>
          <w:lang w:val="en-GB"/>
        </w:rPr>
        <w:t xml:space="preserve"> debt review order of the magistrates court</w:t>
      </w:r>
      <w:r w:rsidR="004637F4" w:rsidRPr="00B93EAF">
        <w:rPr>
          <w:rFonts w:ascii="Arial" w:hAnsi="Arial" w:cs="Arial"/>
          <w:sz w:val="25"/>
          <w:szCs w:val="25"/>
          <w:lang w:val="en-GB"/>
        </w:rPr>
        <w:t xml:space="preserve"> </w:t>
      </w:r>
      <w:r w:rsidR="000E7A94" w:rsidRPr="00B93EAF">
        <w:rPr>
          <w:rFonts w:ascii="Arial" w:hAnsi="Arial" w:cs="Arial"/>
          <w:sz w:val="25"/>
          <w:szCs w:val="25"/>
          <w:lang w:val="en-GB"/>
        </w:rPr>
        <w:t xml:space="preserve">would relieve </w:t>
      </w:r>
      <w:r w:rsidR="00877D93" w:rsidRPr="00B93EAF">
        <w:rPr>
          <w:rFonts w:ascii="Arial" w:hAnsi="Arial" w:cs="Arial"/>
          <w:sz w:val="25"/>
          <w:szCs w:val="25"/>
          <w:lang w:val="en-GB"/>
        </w:rPr>
        <w:t xml:space="preserve">a court, seized with s 130 proceedings, of the obligation to dismiss the matter.  </w:t>
      </w:r>
    </w:p>
    <w:p w14:paraId="42B180DD" w14:textId="35DB4794" w:rsidR="004A5621" w:rsidRPr="00B93EAF" w:rsidRDefault="00B93EAF" w:rsidP="00B93EAF">
      <w:pPr>
        <w:spacing w:before="480" w:after="240" w:line="480" w:lineRule="auto"/>
        <w:ind w:left="851" w:hanging="851"/>
        <w:jc w:val="both"/>
        <w:rPr>
          <w:rFonts w:ascii="Arial" w:hAnsi="Arial" w:cs="Arial"/>
          <w:sz w:val="25"/>
          <w:szCs w:val="25"/>
          <w:lang w:val="en-GB"/>
        </w:rPr>
      </w:pPr>
      <w:r>
        <w:rPr>
          <w:rFonts w:ascii="Arial" w:hAnsi="Arial" w:cs="Arial"/>
          <w:sz w:val="25"/>
          <w:szCs w:val="25"/>
          <w:lang w:val="en-GB"/>
        </w:rPr>
        <w:t>[25]</w:t>
      </w:r>
      <w:r>
        <w:rPr>
          <w:rFonts w:ascii="Arial" w:hAnsi="Arial" w:cs="Arial"/>
          <w:sz w:val="25"/>
          <w:szCs w:val="25"/>
          <w:lang w:val="en-GB"/>
        </w:rPr>
        <w:tab/>
      </w:r>
      <w:r w:rsidR="004A5621" w:rsidRPr="00B93EAF">
        <w:rPr>
          <w:rFonts w:ascii="Arial" w:hAnsi="Arial" w:cs="Arial"/>
          <w:sz w:val="25"/>
          <w:szCs w:val="25"/>
          <w:lang w:val="en-GB"/>
        </w:rPr>
        <w:t xml:space="preserve">The fact that </w:t>
      </w:r>
      <w:proofErr w:type="spellStart"/>
      <w:r w:rsidR="004A5621" w:rsidRPr="00B93EAF">
        <w:rPr>
          <w:rFonts w:ascii="Arial" w:hAnsi="Arial" w:cs="Arial"/>
          <w:sz w:val="25"/>
          <w:szCs w:val="25"/>
          <w:lang w:val="en-GB"/>
        </w:rPr>
        <w:t>Nqaba</w:t>
      </w:r>
      <w:proofErr w:type="spellEnd"/>
      <w:r w:rsidR="004A5621" w:rsidRPr="00B93EAF">
        <w:rPr>
          <w:rFonts w:ascii="Arial" w:hAnsi="Arial" w:cs="Arial"/>
          <w:sz w:val="25"/>
          <w:szCs w:val="25"/>
          <w:lang w:val="en-GB"/>
        </w:rPr>
        <w:t xml:space="preserve"> and EFC received no proper notice of the debt restructuring process, including the applications made to the </w:t>
      </w:r>
      <w:proofErr w:type="gramStart"/>
      <w:r w:rsidR="004A5621" w:rsidRPr="00B93EAF">
        <w:rPr>
          <w:rFonts w:ascii="Arial" w:hAnsi="Arial" w:cs="Arial"/>
          <w:sz w:val="25"/>
          <w:szCs w:val="25"/>
          <w:lang w:val="en-GB"/>
        </w:rPr>
        <w:t>magistrates</w:t>
      </w:r>
      <w:proofErr w:type="gramEnd"/>
      <w:r w:rsidR="004A5621" w:rsidRPr="00B93EAF">
        <w:rPr>
          <w:rFonts w:ascii="Arial" w:hAnsi="Arial" w:cs="Arial"/>
          <w:sz w:val="25"/>
          <w:szCs w:val="25"/>
          <w:lang w:val="en-GB"/>
        </w:rPr>
        <w:t xml:space="preserve"> courts, only provides </w:t>
      </w:r>
      <w:r w:rsidR="00F36F96" w:rsidRPr="00B93EAF">
        <w:rPr>
          <w:rFonts w:ascii="Arial" w:hAnsi="Arial" w:cs="Arial"/>
          <w:sz w:val="25"/>
          <w:szCs w:val="25"/>
          <w:lang w:val="en-GB"/>
        </w:rPr>
        <w:t xml:space="preserve">further </w:t>
      </w:r>
      <w:r w:rsidR="004A5621" w:rsidRPr="00B93EAF">
        <w:rPr>
          <w:rFonts w:ascii="Arial" w:hAnsi="Arial" w:cs="Arial"/>
          <w:sz w:val="25"/>
          <w:szCs w:val="25"/>
          <w:lang w:val="en-GB"/>
        </w:rPr>
        <w:t>grounds to seek the rescission of the order ultimately made by the Pretoria magistrates court on 7 August 2018.</w:t>
      </w:r>
    </w:p>
    <w:p w14:paraId="4E9DC78C" w14:textId="44CA86A3" w:rsidR="006B36FB" w:rsidRPr="00B93EAF" w:rsidRDefault="00B93EAF" w:rsidP="00B93EAF">
      <w:pPr>
        <w:spacing w:before="480" w:after="240" w:line="480" w:lineRule="auto"/>
        <w:ind w:left="851" w:hanging="851"/>
        <w:jc w:val="both"/>
        <w:rPr>
          <w:rFonts w:ascii="Arial" w:hAnsi="Arial" w:cs="Arial"/>
          <w:sz w:val="25"/>
          <w:szCs w:val="25"/>
          <w:lang w:val="en-GB"/>
        </w:rPr>
      </w:pPr>
      <w:r>
        <w:rPr>
          <w:rFonts w:ascii="Arial" w:hAnsi="Arial" w:cs="Arial"/>
          <w:sz w:val="25"/>
          <w:szCs w:val="25"/>
          <w:lang w:val="en-GB"/>
        </w:rPr>
        <w:t>[26]</w:t>
      </w:r>
      <w:r>
        <w:rPr>
          <w:rFonts w:ascii="Arial" w:hAnsi="Arial" w:cs="Arial"/>
          <w:sz w:val="25"/>
          <w:szCs w:val="25"/>
          <w:lang w:val="en-GB"/>
        </w:rPr>
        <w:tab/>
      </w:r>
      <w:r w:rsidR="006B36FB" w:rsidRPr="00B93EAF">
        <w:rPr>
          <w:rFonts w:ascii="Arial" w:hAnsi="Arial" w:cs="Arial"/>
          <w:sz w:val="25"/>
          <w:szCs w:val="25"/>
          <w:lang w:val="en-GB"/>
        </w:rPr>
        <w:t>In this matter, as alluded to paragraph 18 above, the answer lies in the fact that the</w:t>
      </w:r>
      <w:r w:rsidR="00B85B10" w:rsidRPr="00B93EAF">
        <w:rPr>
          <w:rFonts w:ascii="Arial" w:hAnsi="Arial" w:cs="Arial"/>
          <w:sz w:val="25"/>
          <w:szCs w:val="25"/>
          <w:lang w:val="en-GB"/>
        </w:rPr>
        <w:t xml:space="preserve"> debt restructuring</w:t>
      </w:r>
      <w:r w:rsidR="006B36FB" w:rsidRPr="00B93EAF">
        <w:rPr>
          <w:rFonts w:ascii="Arial" w:hAnsi="Arial" w:cs="Arial"/>
          <w:sz w:val="25"/>
          <w:szCs w:val="25"/>
          <w:lang w:val="en-GB"/>
        </w:rPr>
        <w:t xml:space="preserve"> order was never sought in respect of the trust’s </w:t>
      </w:r>
      <w:r w:rsidR="006B36FB" w:rsidRPr="00B93EAF">
        <w:rPr>
          <w:rFonts w:ascii="Arial" w:hAnsi="Arial" w:cs="Arial"/>
          <w:sz w:val="25"/>
          <w:szCs w:val="25"/>
          <w:lang w:val="en-GB"/>
        </w:rPr>
        <w:lastRenderedPageBreak/>
        <w:t>indebtedness; nor could it have been.  </w:t>
      </w:r>
      <w:r w:rsidR="006B36FB">
        <w:rPr>
          <w:rStyle w:val="FootnoteReference"/>
          <w:rFonts w:ascii="Arial" w:hAnsi="Arial" w:cs="Arial"/>
          <w:sz w:val="25"/>
          <w:szCs w:val="25"/>
          <w:lang w:val="en-GB"/>
        </w:rPr>
        <w:footnoteReference w:id="10"/>
      </w:r>
      <w:r w:rsidR="006B36FB" w:rsidRPr="00B93EAF">
        <w:rPr>
          <w:rFonts w:ascii="Arial" w:hAnsi="Arial" w:cs="Arial"/>
          <w:sz w:val="25"/>
          <w:szCs w:val="25"/>
          <w:lang w:val="en-GB"/>
        </w:rPr>
        <w:t xml:space="preserve">  The views </w:t>
      </w:r>
      <w:r w:rsidR="004A5621" w:rsidRPr="00B93EAF">
        <w:rPr>
          <w:rFonts w:ascii="Arial" w:hAnsi="Arial" w:cs="Arial"/>
          <w:sz w:val="25"/>
          <w:szCs w:val="25"/>
          <w:lang w:val="en-GB"/>
        </w:rPr>
        <w:t>I have expressed</w:t>
      </w:r>
      <w:r w:rsidR="00B85B10" w:rsidRPr="00B93EAF">
        <w:rPr>
          <w:rFonts w:ascii="Arial" w:hAnsi="Arial" w:cs="Arial"/>
          <w:sz w:val="25"/>
          <w:szCs w:val="25"/>
          <w:lang w:val="en-GB"/>
        </w:rPr>
        <w:t>,</w:t>
      </w:r>
      <w:r w:rsidR="004A5621" w:rsidRPr="00B93EAF">
        <w:rPr>
          <w:rFonts w:ascii="Arial" w:hAnsi="Arial" w:cs="Arial"/>
          <w:sz w:val="25"/>
          <w:szCs w:val="25"/>
          <w:lang w:val="en-GB"/>
        </w:rPr>
        <w:t xml:space="preserve"> </w:t>
      </w:r>
      <w:r w:rsidR="006B36FB" w:rsidRPr="00B93EAF">
        <w:rPr>
          <w:rFonts w:ascii="Arial" w:hAnsi="Arial" w:cs="Arial"/>
          <w:sz w:val="25"/>
          <w:szCs w:val="25"/>
          <w:lang w:val="en-GB"/>
        </w:rPr>
        <w:t>in-between</w:t>
      </w:r>
      <w:r w:rsidR="004A5621" w:rsidRPr="00B93EAF">
        <w:rPr>
          <w:rFonts w:ascii="Arial" w:hAnsi="Arial" w:cs="Arial"/>
          <w:sz w:val="25"/>
          <w:szCs w:val="25"/>
          <w:lang w:val="en-GB"/>
        </w:rPr>
        <w:t xml:space="preserve"> paragraph 18 and this paragraph</w:t>
      </w:r>
      <w:r w:rsidR="00B85B10" w:rsidRPr="00B93EAF">
        <w:rPr>
          <w:rFonts w:ascii="Arial" w:hAnsi="Arial" w:cs="Arial"/>
          <w:sz w:val="25"/>
          <w:szCs w:val="25"/>
          <w:lang w:val="en-GB"/>
        </w:rPr>
        <w:t>, are</w:t>
      </w:r>
      <w:r w:rsidR="004A5621" w:rsidRPr="00B93EAF">
        <w:rPr>
          <w:rFonts w:ascii="Arial" w:hAnsi="Arial" w:cs="Arial"/>
          <w:sz w:val="25"/>
          <w:szCs w:val="25"/>
          <w:lang w:val="en-GB"/>
        </w:rPr>
        <w:t xml:space="preserve"> </w:t>
      </w:r>
      <w:r w:rsidR="006B36FB" w:rsidRPr="00B93EAF">
        <w:rPr>
          <w:rFonts w:ascii="Arial" w:hAnsi="Arial" w:cs="Arial"/>
          <w:i/>
          <w:iCs/>
          <w:sz w:val="25"/>
          <w:szCs w:val="25"/>
          <w:lang w:val="en-GB"/>
        </w:rPr>
        <w:t>obiter</w:t>
      </w:r>
      <w:r w:rsidR="004A5621" w:rsidRPr="00B93EAF">
        <w:rPr>
          <w:rFonts w:ascii="Arial" w:hAnsi="Arial" w:cs="Arial"/>
          <w:i/>
          <w:iCs/>
          <w:sz w:val="25"/>
          <w:szCs w:val="25"/>
          <w:lang w:val="en-GB"/>
        </w:rPr>
        <w:t xml:space="preserve"> dict</w:t>
      </w:r>
      <w:r w:rsidR="00B85B10" w:rsidRPr="00B93EAF">
        <w:rPr>
          <w:rFonts w:ascii="Arial" w:hAnsi="Arial" w:cs="Arial"/>
          <w:i/>
          <w:iCs/>
          <w:sz w:val="25"/>
          <w:szCs w:val="25"/>
          <w:lang w:val="en-GB"/>
        </w:rPr>
        <w:t>a</w:t>
      </w:r>
      <w:r w:rsidR="006B36FB" w:rsidRPr="00B93EAF">
        <w:rPr>
          <w:rFonts w:ascii="Arial" w:hAnsi="Arial" w:cs="Arial"/>
          <w:sz w:val="25"/>
          <w:szCs w:val="25"/>
          <w:lang w:val="en-GB"/>
        </w:rPr>
        <w:t>.</w:t>
      </w:r>
    </w:p>
    <w:p w14:paraId="4ABFB204" w14:textId="681505DB" w:rsidR="006B36FB" w:rsidRPr="00B93EAF" w:rsidRDefault="00B93EAF" w:rsidP="00B93EAF">
      <w:pPr>
        <w:spacing w:before="480" w:after="240" w:line="480" w:lineRule="auto"/>
        <w:ind w:left="851" w:hanging="851"/>
        <w:jc w:val="both"/>
        <w:rPr>
          <w:rFonts w:ascii="Arial" w:hAnsi="Arial" w:cs="Arial"/>
          <w:sz w:val="25"/>
          <w:szCs w:val="25"/>
          <w:lang w:val="en-GB"/>
        </w:rPr>
      </w:pPr>
      <w:r>
        <w:rPr>
          <w:rFonts w:ascii="Arial" w:hAnsi="Arial" w:cs="Arial"/>
          <w:sz w:val="25"/>
          <w:szCs w:val="25"/>
          <w:lang w:val="en-GB"/>
        </w:rPr>
        <w:t>[27]</w:t>
      </w:r>
      <w:r>
        <w:rPr>
          <w:rFonts w:ascii="Arial" w:hAnsi="Arial" w:cs="Arial"/>
          <w:sz w:val="25"/>
          <w:szCs w:val="25"/>
          <w:lang w:val="en-GB"/>
        </w:rPr>
        <w:tab/>
      </w:r>
      <w:r w:rsidR="004A5621" w:rsidRPr="00B93EAF">
        <w:rPr>
          <w:rFonts w:ascii="Arial" w:hAnsi="Arial" w:cs="Arial"/>
          <w:sz w:val="25"/>
          <w:szCs w:val="25"/>
          <w:lang w:val="en-GB"/>
        </w:rPr>
        <w:t xml:space="preserve">There has thus never been a debt restructuring order in respect of the trust.  The order pertaining to Mr </w:t>
      </w:r>
      <w:proofErr w:type="spellStart"/>
      <w:r w:rsidR="00775B6C" w:rsidRPr="00B93EAF">
        <w:rPr>
          <w:rFonts w:ascii="Arial" w:hAnsi="Arial" w:cs="Arial"/>
          <w:sz w:val="25"/>
          <w:szCs w:val="25"/>
          <w:lang w:val="en-GB"/>
        </w:rPr>
        <w:t>Ngutshane</w:t>
      </w:r>
      <w:proofErr w:type="spellEnd"/>
      <w:r w:rsidR="00775B6C" w:rsidRPr="00B93EAF">
        <w:rPr>
          <w:rFonts w:ascii="Arial" w:hAnsi="Arial" w:cs="Arial"/>
          <w:sz w:val="25"/>
          <w:szCs w:val="25"/>
          <w:lang w:val="en-GB"/>
        </w:rPr>
        <w:t xml:space="preserve"> cannot, in my view, act as an impediment to the granting of an order against the trust.</w:t>
      </w:r>
    </w:p>
    <w:p w14:paraId="3EF7A0DE" w14:textId="4EBFB5D9" w:rsidR="00775B6C" w:rsidRPr="00B93EAF" w:rsidRDefault="00B93EAF" w:rsidP="00B93EAF">
      <w:pPr>
        <w:spacing w:before="480" w:after="240" w:line="480" w:lineRule="auto"/>
        <w:ind w:left="851" w:hanging="851"/>
        <w:jc w:val="both"/>
        <w:rPr>
          <w:rFonts w:ascii="Arial" w:hAnsi="Arial" w:cs="Arial"/>
          <w:sz w:val="25"/>
          <w:szCs w:val="25"/>
          <w:lang w:val="en-GB"/>
        </w:rPr>
      </w:pPr>
      <w:r>
        <w:rPr>
          <w:rFonts w:ascii="Arial" w:hAnsi="Arial" w:cs="Arial"/>
          <w:sz w:val="25"/>
          <w:szCs w:val="25"/>
          <w:lang w:val="en-GB"/>
        </w:rPr>
        <w:t>[28]</w:t>
      </w:r>
      <w:r>
        <w:rPr>
          <w:rFonts w:ascii="Arial" w:hAnsi="Arial" w:cs="Arial"/>
          <w:sz w:val="25"/>
          <w:szCs w:val="25"/>
          <w:lang w:val="en-GB"/>
        </w:rPr>
        <w:tab/>
      </w:r>
      <w:r w:rsidR="008011D5" w:rsidRPr="00B93EAF">
        <w:rPr>
          <w:rFonts w:ascii="Arial" w:hAnsi="Arial" w:cs="Arial"/>
          <w:sz w:val="25"/>
          <w:szCs w:val="25"/>
          <w:lang w:val="en-GB"/>
        </w:rPr>
        <w:t>As for the indebtedness of the trust, the most recent statements of account and the most recent certificate of balance demonstrate that</w:t>
      </w:r>
      <w:r w:rsidR="00B85B10" w:rsidRPr="00B93EAF">
        <w:rPr>
          <w:rFonts w:ascii="Arial" w:hAnsi="Arial" w:cs="Arial"/>
          <w:sz w:val="25"/>
          <w:szCs w:val="25"/>
          <w:lang w:val="en-GB"/>
        </w:rPr>
        <w:t>,</w:t>
      </w:r>
      <w:r w:rsidR="008011D5" w:rsidRPr="00B93EAF">
        <w:rPr>
          <w:rFonts w:ascii="Arial" w:hAnsi="Arial" w:cs="Arial"/>
          <w:sz w:val="25"/>
          <w:szCs w:val="25"/>
          <w:lang w:val="en-GB"/>
        </w:rPr>
        <w:t xml:space="preserve"> despite </w:t>
      </w:r>
      <w:r w:rsidR="00B85B10" w:rsidRPr="00B93EAF">
        <w:rPr>
          <w:rFonts w:ascii="Arial" w:hAnsi="Arial" w:cs="Arial"/>
          <w:sz w:val="25"/>
          <w:szCs w:val="25"/>
          <w:lang w:val="en-GB"/>
        </w:rPr>
        <w:t>making</w:t>
      </w:r>
      <w:r w:rsidR="008011D5" w:rsidRPr="00B93EAF">
        <w:rPr>
          <w:rFonts w:ascii="Arial" w:hAnsi="Arial" w:cs="Arial"/>
          <w:sz w:val="25"/>
          <w:szCs w:val="25"/>
          <w:lang w:val="en-GB"/>
        </w:rPr>
        <w:t xml:space="preserve"> sporadic payments in settlement of the loan account balance</w:t>
      </w:r>
      <w:r w:rsidR="00B85B10" w:rsidRPr="00B93EAF">
        <w:rPr>
          <w:rFonts w:ascii="Arial" w:hAnsi="Arial" w:cs="Arial"/>
          <w:sz w:val="25"/>
          <w:szCs w:val="25"/>
          <w:lang w:val="en-GB"/>
        </w:rPr>
        <w:t>,</w:t>
      </w:r>
      <w:r w:rsidR="008011D5" w:rsidRPr="00B93EAF">
        <w:rPr>
          <w:rFonts w:ascii="Arial" w:hAnsi="Arial" w:cs="Arial"/>
          <w:sz w:val="25"/>
          <w:szCs w:val="25"/>
          <w:lang w:val="en-GB"/>
        </w:rPr>
        <w:t xml:space="preserve"> there is a significant amount still owing, well in excess of what is sought in the notice of motion.</w:t>
      </w:r>
    </w:p>
    <w:p w14:paraId="256F2EA5" w14:textId="514C94D2" w:rsidR="008011D5" w:rsidRPr="00B93EAF" w:rsidRDefault="00B93EAF" w:rsidP="00B93EAF">
      <w:pPr>
        <w:spacing w:before="480" w:after="240" w:line="480" w:lineRule="auto"/>
        <w:ind w:left="851" w:hanging="851"/>
        <w:jc w:val="both"/>
        <w:rPr>
          <w:rFonts w:ascii="Arial" w:hAnsi="Arial" w:cs="Arial"/>
          <w:sz w:val="25"/>
          <w:szCs w:val="25"/>
          <w:lang w:val="en-GB"/>
        </w:rPr>
      </w:pPr>
      <w:r>
        <w:rPr>
          <w:rFonts w:ascii="Arial" w:hAnsi="Arial" w:cs="Arial"/>
          <w:sz w:val="25"/>
          <w:szCs w:val="25"/>
          <w:lang w:val="en-GB"/>
        </w:rPr>
        <w:t>[29]</w:t>
      </w:r>
      <w:r>
        <w:rPr>
          <w:rFonts w:ascii="Arial" w:hAnsi="Arial" w:cs="Arial"/>
          <w:sz w:val="25"/>
          <w:szCs w:val="25"/>
          <w:lang w:val="en-GB"/>
        </w:rPr>
        <w:tab/>
      </w:r>
      <w:r w:rsidR="008011D5" w:rsidRPr="00B93EAF">
        <w:rPr>
          <w:rFonts w:ascii="Arial" w:hAnsi="Arial" w:cs="Arial"/>
          <w:sz w:val="25"/>
          <w:szCs w:val="25"/>
          <w:lang w:val="en-GB"/>
        </w:rPr>
        <w:t xml:space="preserve">The sad truth of the matter is that the trust does not have the money to pay or, if it does have it, it has not paid it.  </w:t>
      </w:r>
      <w:r w:rsidR="00B85B10" w:rsidRPr="00B93EAF">
        <w:rPr>
          <w:rFonts w:ascii="Arial" w:hAnsi="Arial" w:cs="Arial"/>
          <w:sz w:val="25"/>
          <w:szCs w:val="25"/>
          <w:lang w:val="en-GB"/>
        </w:rPr>
        <w:t xml:space="preserve">It is indebted to </w:t>
      </w:r>
      <w:proofErr w:type="spellStart"/>
      <w:r w:rsidR="00B85B10" w:rsidRPr="00B93EAF">
        <w:rPr>
          <w:rFonts w:ascii="Arial" w:hAnsi="Arial" w:cs="Arial"/>
          <w:sz w:val="25"/>
          <w:szCs w:val="25"/>
          <w:lang w:val="en-GB"/>
        </w:rPr>
        <w:t>Nqaba</w:t>
      </w:r>
      <w:proofErr w:type="spellEnd"/>
      <w:r w:rsidR="00B85B10" w:rsidRPr="00B93EAF">
        <w:rPr>
          <w:rFonts w:ascii="Arial" w:hAnsi="Arial" w:cs="Arial"/>
          <w:sz w:val="25"/>
          <w:szCs w:val="25"/>
          <w:lang w:val="en-GB"/>
        </w:rPr>
        <w:t xml:space="preserve"> in at least the amount claimed in the notice of motion.</w:t>
      </w:r>
    </w:p>
    <w:p w14:paraId="13ED3CAB" w14:textId="5C1DFD35" w:rsidR="00C81D53" w:rsidRPr="00B93EAF" w:rsidRDefault="00B93EAF" w:rsidP="00B93EAF">
      <w:pPr>
        <w:spacing w:before="480" w:after="240" w:line="480" w:lineRule="auto"/>
        <w:ind w:left="851" w:hanging="851"/>
        <w:jc w:val="both"/>
        <w:rPr>
          <w:rFonts w:ascii="Arial" w:hAnsi="Arial" w:cs="Arial"/>
          <w:sz w:val="25"/>
          <w:szCs w:val="25"/>
          <w:lang w:val="en-GB"/>
        </w:rPr>
      </w:pPr>
      <w:r>
        <w:rPr>
          <w:rFonts w:ascii="Arial" w:hAnsi="Arial" w:cs="Arial"/>
          <w:sz w:val="25"/>
          <w:szCs w:val="25"/>
          <w:lang w:val="en-GB"/>
        </w:rPr>
        <w:t>[30]</w:t>
      </w:r>
      <w:r>
        <w:rPr>
          <w:rFonts w:ascii="Arial" w:hAnsi="Arial" w:cs="Arial"/>
          <w:sz w:val="25"/>
          <w:szCs w:val="25"/>
          <w:lang w:val="en-GB"/>
        </w:rPr>
        <w:tab/>
      </w:r>
      <w:r w:rsidR="008011D5" w:rsidRPr="00B93EAF">
        <w:rPr>
          <w:rFonts w:ascii="Arial" w:hAnsi="Arial" w:cs="Arial"/>
          <w:sz w:val="25"/>
          <w:szCs w:val="25"/>
          <w:lang w:val="en-GB"/>
        </w:rPr>
        <w:t xml:space="preserve">The question then arises: when </w:t>
      </w:r>
      <w:r w:rsidR="00F36F96" w:rsidRPr="00B93EAF">
        <w:rPr>
          <w:rFonts w:ascii="Arial" w:hAnsi="Arial" w:cs="Arial"/>
          <w:sz w:val="25"/>
          <w:szCs w:val="25"/>
          <w:lang w:val="en-GB"/>
        </w:rPr>
        <w:t>contemplating</w:t>
      </w:r>
      <w:r w:rsidR="008011D5" w:rsidRPr="00B93EAF">
        <w:rPr>
          <w:rFonts w:ascii="Arial" w:hAnsi="Arial" w:cs="Arial"/>
          <w:sz w:val="25"/>
          <w:szCs w:val="25"/>
          <w:lang w:val="en-GB"/>
        </w:rPr>
        <w:t xml:space="preserve"> an order for special </w:t>
      </w:r>
      <w:proofErr w:type="spellStart"/>
      <w:r w:rsidR="008011D5" w:rsidRPr="00B93EAF">
        <w:rPr>
          <w:rFonts w:ascii="Arial" w:hAnsi="Arial" w:cs="Arial"/>
          <w:sz w:val="25"/>
          <w:szCs w:val="25"/>
          <w:lang w:val="en-GB"/>
        </w:rPr>
        <w:t>executability</w:t>
      </w:r>
      <w:proofErr w:type="spellEnd"/>
      <w:r w:rsidR="008011D5" w:rsidRPr="00B93EAF">
        <w:rPr>
          <w:rFonts w:ascii="Arial" w:hAnsi="Arial" w:cs="Arial"/>
          <w:sz w:val="25"/>
          <w:szCs w:val="25"/>
          <w:lang w:val="en-GB"/>
        </w:rPr>
        <w:t xml:space="preserve"> against a trust, must there be compliance with uniform rule 46 as well as rule 46A</w:t>
      </w:r>
      <w:r w:rsidR="00B85B10" w:rsidRPr="00B93EAF">
        <w:rPr>
          <w:rFonts w:ascii="Arial" w:hAnsi="Arial" w:cs="Arial"/>
          <w:sz w:val="25"/>
          <w:szCs w:val="25"/>
          <w:lang w:val="en-GB"/>
        </w:rPr>
        <w:t>;</w:t>
      </w:r>
      <w:r w:rsidR="008011D5" w:rsidRPr="00B93EAF">
        <w:rPr>
          <w:rFonts w:ascii="Arial" w:hAnsi="Arial" w:cs="Arial"/>
          <w:sz w:val="25"/>
          <w:szCs w:val="25"/>
          <w:lang w:val="en-GB"/>
        </w:rPr>
        <w:t xml:space="preserve"> or just with rule 46?  </w:t>
      </w:r>
      <w:r w:rsidR="00F36F96" w:rsidRPr="00B93EAF">
        <w:rPr>
          <w:rFonts w:ascii="Arial" w:hAnsi="Arial" w:cs="Arial"/>
          <w:sz w:val="25"/>
          <w:szCs w:val="25"/>
          <w:lang w:val="en-GB"/>
        </w:rPr>
        <w:t xml:space="preserve">Ms </w:t>
      </w:r>
      <w:proofErr w:type="spellStart"/>
      <w:r w:rsidR="00F36F96" w:rsidRPr="00B93EAF">
        <w:rPr>
          <w:rFonts w:ascii="Arial" w:hAnsi="Arial" w:cs="Arial"/>
          <w:sz w:val="25"/>
          <w:szCs w:val="25"/>
          <w:lang w:val="en-GB"/>
        </w:rPr>
        <w:t>Halgryn</w:t>
      </w:r>
      <w:proofErr w:type="spellEnd"/>
      <w:r w:rsidR="00F36F96" w:rsidRPr="00B93EAF">
        <w:rPr>
          <w:rFonts w:ascii="Arial" w:hAnsi="Arial" w:cs="Arial"/>
          <w:sz w:val="25"/>
          <w:szCs w:val="25"/>
          <w:lang w:val="en-GB"/>
        </w:rPr>
        <w:t xml:space="preserve"> </w:t>
      </w:r>
      <w:r w:rsidR="008011D5" w:rsidRPr="00B93EAF">
        <w:rPr>
          <w:rFonts w:ascii="Arial" w:hAnsi="Arial" w:cs="Arial"/>
          <w:sz w:val="25"/>
          <w:szCs w:val="25"/>
          <w:lang w:val="en-GB"/>
        </w:rPr>
        <w:t>referred to the decision</w:t>
      </w:r>
      <w:r w:rsidR="0071529A" w:rsidRPr="00B93EAF">
        <w:rPr>
          <w:rFonts w:ascii="Arial" w:hAnsi="Arial" w:cs="Arial"/>
          <w:sz w:val="25"/>
          <w:szCs w:val="25"/>
          <w:lang w:val="en-GB"/>
        </w:rPr>
        <w:t xml:space="preserve"> of </w:t>
      </w:r>
      <w:proofErr w:type="spellStart"/>
      <w:r w:rsidR="0071529A" w:rsidRPr="00B93EAF">
        <w:rPr>
          <w:rFonts w:ascii="Arial" w:hAnsi="Arial" w:cs="Arial"/>
          <w:sz w:val="25"/>
          <w:szCs w:val="25"/>
          <w:lang w:val="en-GB"/>
        </w:rPr>
        <w:t>Lappan</w:t>
      </w:r>
      <w:proofErr w:type="spellEnd"/>
      <w:r w:rsidR="0071529A" w:rsidRPr="00B93EAF">
        <w:rPr>
          <w:rFonts w:ascii="Arial" w:hAnsi="Arial" w:cs="Arial"/>
          <w:sz w:val="25"/>
          <w:szCs w:val="25"/>
          <w:lang w:val="en-GB"/>
        </w:rPr>
        <w:t xml:space="preserve"> AJ</w:t>
      </w:r>
      <w:r w:rsidR="008011D5" w:rsidRPr="00B93EAF">
        <w:rPr>
          <w:rFonts w:ascii="Arial" w:hAnsi="Arial" w:cs="Arial"/>
          <w:sz w:val="25"/>
          <w:szCs w:val="25"/>
          <w:lang w:val="en-GB"/>
        </w:rPr>
        <w:t xml:space="preserve"> in </w:t>
      </w:r>
      <w:r w:rsidR="008011D5" w:rsidRPr="00B93EAF">
        <w:rPr>
          <w:rFonts w:ascii="Arial" w:hAnsi="Arial" w:cs="Arial"/>
          <w:b/>
          <w:bCs/>
          <w:i/>
          <w:iCs/>
          <w:sz w:val="25"/>
          <w:szCs w:val="25"/>
          <w:lang w:val="en-GB"/>
        </w:rPr>
        <w:t>Investec</w:t>
      </w:r>
      <w:r w:rsidR="00B1479C" w:rsidRPr="00B93EAF">
        <w:rPr>
          <w:rFonts w:ascii="Arial" w:hAnsi="Arial" w:cs="Arial"/>
          <w:sz w:val="25"/>
          <w:szCs w:val="25"/>
          <w:lang w:val="en-GB"/>
        </w:rPr>
        <w:t>,</w:t>
      </w:r>
      <w:r w:rsidR="008011D5" w:rsidRPr="00B93EAF">
        <w:rPr>
          <w:rFonts w:ascii="Arial" w:hAnsi="Arial" w:cs="Arial"/>
          <w:sz w:val="25"/>
          <w:szCs w:val="25"/>
          <w:lang w:val="en-GB"/>
        </w:rPr>
        <w:t>  </w:t>
      </w:r>
      <w:r w:rsidR="008011D5">
        <w:rPr>
          <w:rStyle w:val="FootnoteReference"/>
          <w:rFonts w:ascii="Arial" w:hAnsi="Arial" w:cs="Arial"/>
          <w:sz w:val="25"/>
          <w:szCs w:val="25"/>
          <w:lang w:val="en-GB"/>
        </w:rPr>
        <w:footnoteReference w:id="11"/>
      </w:r>
      <w:r w:rsidR="00B1479C" w:rsidRPr="00B93EAF">
        <w:rPr>
          <w:rFonts w:ascii="Arial" w:hAnsi="Arial" w:cs="Arial"/>
          <w:sz w:val="25"/>
          <w:szCs w:val="25"/>
          <w:lang w:val="en-GB"/>
        </w:rPr>
        <w:t xml:space="preserve">  doubtlessly because it concerned the granting of a special </w:t>
      </w:r>
      <w:proofErr w:type="spellStart"/>
      <w:r w:rsidR="00B1479C" w:rsidRPr="00B93EAF">
        <w:rPr>
          <w:rFonts w:ascii="Arial" w:hAnsi="Arial" w:cs="Arial"/>
          <w:sz w:val="25"/>
          <w:szCs w:val="25"/>
          <w:lang w:val="en-GB"/>
        </w:rPr>
        <w:t>executability</w:t>
      </w:r>
      <w:proofErr w:type="spellEnd"/>
      <w:r w:rsidR="00B1479C" w:rsidRPr="00B93EAF">
        <w:rPr>
          <w:rFonts w:ascii="Arial" w:hAnsi="Arial" w:cs="Arial"/>
          <w:sz w:val="25"/>
          <w:szCs w:val="25"/>
          <w:lang w:val="en-GB"/>
        </w:rPr>
        <w:t xml:space="preserve"> order against immovable property owned </w:t>
      </w:r>
      <w:r w:rsidR="00B1479C" w:rsidRPr="00B93EAF">
        <w:rPr>
          <w:rFonts w:ascii="Arial" w:hAnsi="Arial" w:cs="Arial"/>
          <w:sz w:val="25"/>
          <w:szCs w:val="25"/>
          <w:lang w:val="en-GB"/>
        </w:rPr>
        <w:lastRenderedPageBreak/>
        <w:t xml:space="preserve">by a trust.  The conclusion reached in </w:t>
      </w:r>
      <w:r w:rsidR="00B1479C" w:rsidRPr="00B93EAF">
        <w:rPr>
          <w:rFonts w:ascii="Arial" w:hAnsi="Arial" w:cs="Arial"/>
          <w:b/>
          <w:bCs/>
          <w:i/>
          <w:iCs/>
          <w:sz w:val="25"/>
          <w:szCs w:val="25"/>
          <w:lang w:val="en-GB"/>
        </w:rPr>
        <w:t>Investec</w:t>
      </w:r>
      <w:r w:rsidR="00B1479C" w:rsidRPr="00B93EAF">
        <w:rPr>
          <w:rFonts w:ascii="Arial" w:hAnsi="Arial" w:cs="Arial"/>
          <w:sz w:val="25"/>
          <w:szCs w:val="25"/>
          <w:lang w:val="en-GB"/>
        </w:rPr>
        <w:t xml:space="preserve"> was that rule 46A was not applicable.  </w:t>
      </w:r>
      <w:r w:rsidR="00B1479C">
        <w:rPr>
          <w:rStyle w:val="FootnoteReference"/>
          <w:rFonts w:ascii="Arial" w:hAnsi="Arial" w:cs="Arial"/>
          <w:sz w:val="25"/>
          <w:szCs w:val="25"/>
          <w:lang w:val="en-GB"/>
        </w:rPr>
        <w:footnoteReference w:id="12"/>
      </w:r>
      <w:r w:rsidR="00B1479C" w:rsidRPr="00B93EAF">
        <w:rPr>
          <w:rFonts w:ascii="Arial" w:hAnsi="Arial" w:cs="Arial"/>
          <w:sz w:val="25"/>
          <w:szCs w:val="25"/>
          <w:lang w:val="en-GB"/>
        </w:rPr>
        <w:t>  </w:t>
      </w:r>
    </w:p>
    <w:p w14:paraId="5B2ABFB7" w14:textId="10D99E65" w:rsidR="00C81D53" w:rsidRPr="00B93EAF" w:rsidRDefault="00B93EAF" w:rsidP="00B93EAF">
      <w:pPr>
        <w:spacing w:before="480" w:after="240" w:line="480" w:lineRule="auto"/>
        <w:ind w:left="851" w:hanging="851"/>
        <w:jc w:val="both"/>
        <w:rPr>
          <w:rFonts w:ascii="Arial" w:hAnsi="Arial" w:cs="Arial"/>
          <w:sz w:val="25"/>
          <w:szCs w:val="25"/>
          <w:lang w:val="en-GB"/>
        </w:rPr>
      </w:pPr>
      <w:r w:rsidRPr="008E02D5">
        <w:rPr>
          <w:rFonts w:ascii="Arial" w:hAnsi="Arial" w:cs="Arial"/>
          <w:sz w:val="25"/>
          <w:szCs w:val="25"/>
          <w:lang w:val="en-GB"/>
        </w:rPr>
        <w:t>[31]</w:t>
      </w:r>
      <w:r w:rsidRPr="008E02D5">
        <w:rPr>
          <w:rFonts w:ascii="Arial" w:hAnsi="Arial" w:cs="Arial"/>
          <w:sz w:val="25"/>
          <w:szCs w:val="25"/>
          <w:lang w:val="en-GB"/>
        </w:rPr>
        <w:tab/>
      </w:r>
      <w:r w:rsidR="00B1479C" w:rsidRPr="00B93EAF">
        <w:rPr>
          <w:rFonts w:ascii="Arial" w:hAnsi="Arial" w:cs="Arial"/>
          <w:sz w:val="25"/>
          <w:szCs w:val="25"/>
          <w:lang w:val="en-GB"/>
        </w:rPr>
        <w:t>The essential facts in that case, as I see them, were that the trust had stood surety</w:t>
      </w:r>
      <w:r w:rsidR="00C81D53" w:rsidRPr="00B93EAF">
        <w:rPr>
          <w:rFonts w:ascii="Arial" w:hAnsi="Arial" w:cs="Arial"/>
          <w:sz w:val="25"/>
          <w:szCs w:val="25"/>
          <w:lang w:val="en-GB"/>
        </w:rPr>
        <w:t>  </w:t>
      </w:r>
      <w:r w:rsidR="00C81D53">
        <w:rPr>
          <w:rStyle w:val="FootnoteReference"/>
          <w:rFonts w:ascii="Arial" w:hAnsi="Arial" w:cs="Arial"/>
          <w:sz w:val="25"/>
          <w:szCs w:val="25"/>
          <w:lang w:val="en-GB"/>
        </w:rPr>
        <w:footnoteReference w:id="13"/>
      </w:r>
      <w:r w:rsidR="00C81D53" w:rsidRPr="00B93EAF">
        <w:rPr>
          <w:rFonts w:ascii="Arial" w:hAnsi="Arial" w:cs="Arial"/>
          <w:sz w:val="25"/>
          <w:szCs w:val="25"/>
          <w:lang w:val="en-GB"/>
        </w:rPr>
        <w:t> </w:t>
      </w:r>
      <w:r w:rsidR="00B1479C" w:rsidRPr="00B93EAF">
        <w:rPr>
          <w:rFonts w:ascii="Arial" w:hAnsi="Arial" w:cs="Arial"/>
          <w:sz w:val="25"/>
          <w:szCs w:val="25"/>
          <w:lang w:val="en-GB"/>
        </w:rPr>
        <w:t xml:space="preserve"> </w:t>
      </w:r>
      <w:r w:rsidR="00B85B10" w:rsidRPr="00B93EAF">
        <w:rPr>
          <w:rFonts w:ascii="Arial" w:hAnsi="Arial" w:cs="Arial"/>
          <w:sz w:val="25"/>
          <w:szCs w:val="25"/>
          <w:lang w:val="en-GB"/>
        </w:rPr>
        <w:t>in respect of a</w:t>
      </w:r>
      <w:r w:rsidR="00B1479C" w:rsidRPr="00B93EAF">
        <w:rPr>
          <w:rFonts w:ascii="Arial" w:hAnsi="Arial" w:cs="Arial"/>
          <w:sz w:val="25"/>
          <w:szCs w:val="25"/>
          <w:lang w:val="en-GB"/>
        </w:rPr>
        <w:t xml:space="preserve"> </w:t>
      </w:r>
      <w:r w:rsidR="00C81D53" w:rsidRPr="00B93EAF">
        <w:rPr>
          <w:rFonts w:ascii="Arial" w:hAnsi="Arial" w:cs="Arial"/>
          <w:sz w:val="25"/>
          <w:szCs w:val="25"/>
          <w:lang w:val="en-GB"/>
        </w:rPr>
        <w:t>loan taken by a third party.  </w:t>
      </w:r>
      <w:r w:rsidR="00C81D53">
        <w:rPr>
          <w:rStyle w:val="FootnoteReference"/>
          <w:rFonts w:ascii="Arial" w:hAnsi="Arial" w:cs="Arial"/>
          <w:sz w:val="25"/>
          <w:szCs w:val="25"/>
          <w:lang w:val="en-GB"/>
        </w:rPr>
        <w:footnoteReference w:id="14"/>
      </w:r>
      <w:r w:rsidR="00C81D53" w:rsidRPr="00B93EAF">
        <w:rPr>
          <w:rFonts w:ascii="Arial" w:hAnsi="Arial" w:cs="Arial"/>
          <w:sz w:val="25"/>
          <w:szCs w:val="25"/>
          <w:lang w:val="en-GB"/>
        </w:rPr>
        <w:t>   When that third party failed to honour its obligations in terms of the loan agreement,  </w:t>
      </w:r>
      <w:r w:rsidR="00C81D53">
        <w:rPr>
          <w:rStyle w:val="FootnoteReference"/>
          <w:rFonts w:ascii="Arial" w:hAnsi="Arial" w:cs="Arial"/>
          <w:sz w:val="25"/>
          <w:szCs w:val="25"/>
          <w:lang w:val="en-GB"/>
        </w:rPr>
        <w:footnoteReference w:id="15"/>
      </w:r>
      <w:r w:rsidR="00C81D53" w:rsidRPr="00B93EAF">
        <w:rPr>
          <w:rFonts w:ascii="Arial" w:hAnsi="Arial" w:cs="Arial"/>
          <w:sz w:val="25"/>
          <w:szCs w:val="25"/>
          <w:lang w:val="en-GB"/>
        </w:rPr>
        <w:t>  Investec called up the loan.  </w:t>
      </w:r>
      <w:r w:rsidR="00C81D53">
        <w:rPr>
          <w:rStyle w:val="FootnoteReference"/>
          <w:rFonts w:ascii="Arial" w:hAnsi="Arial" w:cs="Arial"/>
          <w:sz w:val="25"/>
          <w:szCs w:val="25"/>
          <w:lang w:val="en-GB"/>
        </w:rPr>
        <w:footnoteReference w:id="16"/>
      </w:r>
      <w:r w:rsidR="00C81D53" w:rsidRPr="00B93EAF">
        <w:rPr>
          <w:rFonts w:ascii="Arial" w:hAnsi="Arial" w:cs="Arial"/>
          <w:sz w:val="25"/>
          <w:szCs w:val="25"/>
          <w:lang w:val="en-GB"/>
        </w:rPr>
        <w:t xml:space="preserve">  It sought repayment </w:t>
      </w:r>
      <w:r w:rsidR="00B85B10" w:rsidRPr="00B93EAF">
        <w:rPr>
          <w:rFonts w:ascii="Arial" w:hAnsi="Arial" w:cs="Arial"/>
          <w:sz w:val="25"/>
          <w:szCs w:val="25"/>
          <w:lang w:val="en-GB"/>
        </w:rPr>
        <w:t>of the indebtedness by way of</w:t>
      </w:r>
      <w:r w:rsidR="00C81D53" w:rsidRPr="00B93EAF">
        <w:rPr>
          <w:rFonts w:ascii="Arial" w:hAnsi="Arial" w:cs="Arial"/>
          <w:sz w:val="25"/>
          <w:szCs w:val="25"/>
          <w:lang w:val="en-GB"/>
        </w:rPr>
        <w:t xml:space="preserve"> execution against various other </w:t>
      </w:r>
      <w:r w:rsidR="00F36F96" w:rsidRPr="00B93EAF">
        <w:rPr>
          <w:rFonts w:ascii="Arial" w:hAnsi="Arial" w:cs="Arial"/>
          <w:sz w:val="25"/>
          <w:szCs w:val="25"/>
          <w:lang w:val="en-GB"/>
        </w:rPr>
        <w:t>persons</w:t>
      </w:r>
      <w:r w:rsidR="00B85B10" w:rsidRPr="00B93EAF">
        <w:rPr>
          <w:rFonts w:ascii="Arial" w:hAnsi="Arial" w:cs="Arial"/>
          <w:sz w:val="25"/>
          <w:szCs w:val="25"/>
          <w:lang w:val="en-GB"/>
        </w:rPr>
        <w:t>;</w:t>
      </w:r>
      <w:r w:rsidR="00C81D53" w:rsidRPr="00B93EAF">
        <w:rPr>
          <w:rFonts w:ascii="Arial" w:hAnsi="Arial" w:cs="Arial"/>
          <w:sz w:val="25"/>
          <w:szCs w:val="25"/>
          <w:lang w:val="en-GB"/>
        </w:rPr>
        <w:t>  </w:t>
      </w:r>
      <w:r w:rsidR="00C81D53">
        <w:rPr>
          <w:rStyle w:val="FootnoteReference"/>
          <w:rFonts w:ascii="Arial" w:hAnsi="Arial" w:cs="Arial"/>
          <w:sz w:val="25"/>
          <w:szCs w:val="25"/>
          <w:lang w:val="en-GB"/>
        </w:rPr>
        <w:footnoteReference w:id="17"/>
      </w:r>
      <w:r w:rsidR="00C81D53" w:rsidRPr="00B93EAF">
        <w:rPr>
          <w:rFonts w:ascii="Arial" w:hAnsi="Arial" w:cs="Arial"/>
          <w:sz w:val="25"/>
          <w:szCs w:val="25"/>
          <w:lang w:val="en-GB"/>
        </w:rPr>
        <w:t xml:space="preserve">  but ultimately relied </w:t>
      </w:r>
      <w:r w:rsidR="00B85B10" w:rsidRPr="00B93EAF">
        <w:rPr>
          <w:rFonts w:ascii="Arial" w:hAnsi="Arial" w:cs="Arial"/>
          <w:sz w:val="25"/>
          <w:szCs w:val="25"/>
          <w:lang w:val="en-GB"/>
        </w:rPr>
        <w:t xml:space="preserve">upon </w:t>
      </w:r>
      <w:r w:rsidR="00C81D53" w:rsidRPr="00B93EAF">
        <w:rPr>
          <w:rFonts w:ascii="Arial" w:hAnsi="Arial" w:cs="Arial"/>
          <w:sz w:val="25"/>
          <w:szCs w:val="25"/>
          <w:lang w:val="en-GB"/>
        </w:rPr>
        <w:t xml:space="preserve">the trust’s </w:t>
      </w:r>
      <w:proofErr w:type="spellStart"/>
      <w:r w:rsidR="00C81D53" w:rsidRPr="00B93EAF">
        <w:rPr>
          <w:rFonts w:ascii="Arial" w:hAnsi="Arial" w:cs="Arial"/>
          <w:sz w:val="25"/>
          <w:szCs w:val="25"/>
          <w:lang w:val="en-GB"/>
        </w:rPr>
        <w:t>suretyship</w:t>
      </w:r>
      <w:proofErr w:type="spellEnd"/>
      <w:r w:rsidR="00C81D53" w:rsidRPr="00B93EAF">
        <w:rPr>
          <w:rFonts w:ascii="Arial" w:hAnsi="Arial" w:cs="Arial"/>
          <w:sz w:val="25"/>
          <w:szCs w:val="25"/>
          <w:lang w:val="en-GB"/>
        </w:rPr>
        <w:t xml:space="preserve"> liability to seek an order for special </w:t>
      </w:r>
      <w:proofErr w:type="spellStart"/>
      <w:r w:rsidR="00C81D53" w:rsidRPr="00B93EAF">
        <w:rPr>
          <w:rFonts w:ascii="Arial" w:hAnsi="Arial" w:cs="Arial"/>
          <w:sz w:val="25"/>
          <w:szCs w:val="25"/>
          <w:lang w:val="en-GB"/>
        </w:rPr>
        <w:t>executability</w:t>
      </w:r>
      <w:proofErr w:type="spellEnd"/>
      <w:r w:rsidR="00C81D53" w:rsidRPr="00B93EAF">
        <w:rPr>
          <w:rFonts w:ascii="Arial" w:hAnsi="Arial" w:cs="Arial"/>
          <w:sz w:val="25"/>
          <w:szCs w:val="25"/>
          <w:lang w:val="en-GB"/>
        </w:rPr>
        <w:t>.  </w:t>
      </w:r>
      <w:r w:rsidR="00C81D53">
        <w:rPr>
          <w:rStyle w:val="FootnoteReference"/>
          <w:rFonts w:ascii="Arial" w:hAnsi="Arial" w:cs="Arial"/>
          <w:sz w:val="25"/>
          <w:szCs w:val="25"/>
          <w:lang w:val="en-GB"/>
        </w:rPr>
        <w:footnoteReference w:id="18"/>
      </w:r>
      <w:r w:rsidR="00C81D53" w:rsidRPr="00B93EAF">
        <w:rPr>
          <w:rFonts w:ascii="Arial" w:hAnsi="Arial" w:cs="Arial"/>
          <w:sz w:val="25"/>
          <w:szCs w:val="25"/>
          <w:lang w:val="en-GB"/>
        </w:rPr>
        <w:t xml:space="preserve">  Significantly, the trust had acquired a</w:t>
      </w:r>
      <w:r w:rsidR="00B85B10" w:rsidRPr="00B93EAF">
        <w:rPr>
          <w:rFonts w:ascii="Arial" w:hAnsi="Arial" w:cs="Arial"/>
          <w:sz w:val="25"/>
          <w:szCs w:val="25"/>
          <w:lang w:val="en-GB"/>
        </w:rPr>
        <w:t>n immovable</w:t>
      </w:r>
      <w:r w:rsidR="00C81D53" w:rsidRPr="00B93EAF">
        <w:rPr>
          <w:rFonts w:ascii="Arial" w:hAnsi="Arial" w:cs="Arial"/>
          <w:sz w:val="25"/>
          <w:szCs w:val="25"/>
          <w:lang w:val="en-GB"/>
        </w:rPr>
        <w:t xml:space="preserve"> property and at least one of the trustees and her children lived </w:t>
      </w:r>
      <w:r w:rsidR="00B85B10" w:rsidRPr="00B93EAF">
        <w:rPr>
          <w:rFonts w:ascii="Arial" w:hAnsi="Arial" w:cs="Arial"/>
          <w:sz w:val="25"/>
          <w:szCs w:val="25"/>
          <w:lang w:val="en-GB"/>
        </w:rPr>
        <w:t>on it</w:t>
      </w:r>
      <w:r w:rsidR="000906C0" w:rsidRPr="00B93EAF">
        <w:rPr>
          <w:rFonts w:ascii="Arial" w:hAnsi="Arial" w:cs="Arial"/>
          <w:sz w:val="25"/>
          <w:szCs w:val="25"/>
          <w:lang w:val="en-GB"/>
        </w:rPr>
        <w:t>.  </w:t>
      </w:r>
      <w:r w:rsidR="000906C0">
        <w:rPr>
          <w:rStyle w:val="FootnoteReference"/>
          <w:rFonts w:ascii="Arial" w:hAnsi="Arial" w:cs="Arial"/>
          <w:sz w:val="25"/>
          <w:szCs w:val="25"/>
          <w:lang w:val="en-GB"/>
        </w:rPr>
        <w:footnoteReference w:id="19"/>
      </w:r>
      <w:r w:rsidR="000906C0" w:rsidRPr="00B93EAF">
        <w:rPr>
          <w:rFonts w:ascii="Arial" w:hAnsi="Arial" w:cs="Arial"/>
          <w:sz w:val="25"/>
          <w:szCs w:val="25"/>
          <w:lang w:val="en-GB"/>
        </w:rPr>
        <w:t>  It</w:t>
      </w:r>
      <w:r w:rsidR="00C81D53" w:rsidRPr="00B93EAF">
        <w:rPr>
          <w:rFonts w:ascii="Arial" w:hAnsi="Arial" w:cs="Arial"/>
          <w:sz w:val="25"/>
          <w:szCs w:val="25"/>
          <w:lang w:val="en-GB"/>
        </w:rPr>
        <w:t xml:space="preserve"> had been acquired at significant cost and renovated at a</w:t>
      </w:r>
      <w:r w:rsidR="008E02D5" w:rsidRPr="00B93EAF">
        <w:rPr>
          <w:rFonts w:ascii="Arial" w:hAnsi="Arial" w:cs="Arial"/>
          <w:sz w:val="25"/>
          <w:szCs w:val="25"/>
          <w:lang w:val="en-GB"/>
        </w:rPr>
        <w:t xml:space="preserve"> similar </w:t>
      </w:r>
      <w:r w:rsidR="00C81D53" w:rsidRPr="00B93EAF">
        <w:rPr>
          <w:rFonts w:ascii="Arial" w:hAnsi="Arial" w:cs="Arial"/>
          <w:sz w:val="25"/>
          <w:szCs w:val="25"/>
          <w:lang w:val="en-GB"/>
        </w:rPr>
        <w:t>cost.</w:t>
      </w:r>
      <w:r w:rsidR="008E02D5" w:rsidRPr="00B93EAF">
        <w:rPr>
          <w:rFonts w:ascii="Arial" w:hAnsi="Arial" w:cs="Arial"/>
          <w:sz w:val="25"/>
          <w:szCs w:val="25"/>
          <w:lang w:val="en-GB"/>
        </w:rPr>
        <w:t>  </w:t>
      </w:r>
      <w:r w:rsidR="008E02D5">
        <w:rPr>
          <w:rStyle w:val="FootnoteReference"/>
          <w:rFonts w:ascii="Arial" w:hAnsi="Arial" w:cs="Arial"/>
          <w:sz w:val="25"/>
          <w:szCs w:val="25"/>
          <w:lang w:val="en-GB"/>
        </w:rPr>
        <w:footnoteReference w:id="20"/>
      </w:r>
    </w:p>
    <w:p w14:paraId="09DE1BBF" w14:textId="3802F528" w:rsidR="0071529A" w:rsidRPr="00B93EAF" w:rsidRDefault="00B93EAF" w:rsidP="00B93EAF">
      <w:pPr>
        <w:spacing w:before="480" w:after="240" w:line="480" w:lineRule="auto"/>
        <w:ind w:left="851" w:hanging="851"/>
        <w:jc w:val="both"/>
        <w:rPr>
          <w:rFonts w:ascii="Arial" w:hAnsi="Arial" w:cs="Arial"/>
          <w:sz w:val="25"/>
          <w:szCs w:val="25"/>
          <w:lang w:val="en-GB"/>
        </w:rPr>
      </w:pPr>
      <w:r>
        <w:rPr>
          <w:rFonts w:ascii="Arial" w:hAnsi="Arial" w:cs="Arial"/>
          <w:sz w:val="25"/>
          <w:szCs w:val="25"/>
          <w:lang w:val="en-GB"/>
        </w:rPr>
        <w:t>[32]</w:t>
      </w:r>
      <w:r>
        <w:rPr>
          <w:rFonts w:ascii="Arial" w:hAnsi="Arial" w:cs="Arial"/>
          <w:sz w:val="25"/>
          <w:szCs w:val="25"/>
          <w:lang w:val="en-GB"/>
        </w:rPr>
        <w:tab/>
      </w:r>
      <w:r w:rsidR="00C81D53" w:rsidRPr="00B93EAF">
        <w:rPr>
          <w:rFonts w:ascii="Arial" w:hAnsi="Arial" w:cs="Arial"/>
          <w:sz w:val="25"/>
          <w:szCs w:val="25"/>
          <w:lang w:val="en-GB"/>
        </w:rPr>
        <w:t xml:space="preserve">The order for special </w:t>
      </w:r>
      <w:proofErr w:type="spellStart"/>
      <w:r w:rsidR="00C81D53" w:rsidRPr="00B93EAF">
        <w:rPr>
          <w:rFonts w:ascii="Arial" w:hAnsi="Arial" w:cs="Arial"/>
          <w:sz w:val="25"/>
          <w:szCs w:val="25"/>
          <w:lang w:val="en-GB"/>
        </w:rPr>
        <w:t>executability</w:t>
      </w:r>
      <w:proofErr w:type="spellEnd"/>
      <w:r w:rsidR="00C81D53" w:rsidRPr="00B93EAF">
        <w:rPr>
          <w:rFonts w:ascii="Arial" w:hAnsi="Arial" w:cs="Arial"/>
          <w:sz w:val="25"/>
          <w:szCs w:val="25"/>
          <w:lang w:val="en-GB"/>
        </w:rPr>
        <w:t xml:space="preserve"> was resisted on the basis that </w:t>
      </w:r>
      <w:r w:rsidR="00587847" w:rsidRPr="00B93EAF">
        <w:rPr>
          <w:rFonts w:ascii="Arial" w:hAnsi="Arial" w:cs="Arial"/>
          <w:sz w:val="25"/>
          <w:szCs w:val="25"/>
          <w:lang w:val="en-GB"/>
        </w:rPr>
        <w:t>because</w:t>
      </w:r>
      <w:r w:rsidR="000906C0" w:rsidRPr="00B93EAF">
        <w:rPr>
          <w:rFonts w:ascii="Arial" w:hAnsi="Arial" w:cs="Arial"/>
          <w:sz w:val="25"/>
          <w:szCs w:val="25"/>
          <w:lang w:val="en-GB"/>
        </w:rPr>
        <w:t xml:space="preserve"> one of the trustees and her children resided </w:t>
      </w:r>
      <w:r w:rsidR="0071529A" w:rsidRPr="00B93EAF">
        <w:rPr>
          <w:rFonts w:ascii="Arial" w:hAnsi="Arial" w:cs="Arial"/>
          <w:sz w:val="25"/>
          <w:szCs w:val="25"/>
          <w:lang w:val="en-GB"/>
        </w:rPr>
        <w:t>o</w:t>
      </w:r>
      <w:r w:rsidR="000906C0" w:rsidRPr="00B93EAF">
        <w:rPr>
          <w:rFonts w:ascii="Arial" w:hAnsi="Arial" w:cs="Arial"/>
          <w:sz w:val="25"/>
          <w:szCs w:val="25"/>
          <w:lang w:val="en-GB"/>
        </w:rPr>
        <w:t>n the immovable property of the trust</w:t>
      </w:r>
      <w:r w:rsidR="0071529A" w:rsidRPr="00B93EAF">
        <w:rPr>
          <w:rFonts w:ascii="Arial" w:hAnsi="Arial" w:cs="Arial"/>
          <w:sz w:val="25"/>
          <w:szCs w:val="25"/>
          <w:lang w:val="en-GB"/>
        </w:rPr>
        <w:t>, which was their primary residence</w:t>
      </w:r>
      <w:r w:rsidR="00587847" w:rsidRPr="00B93EAF">
        <w:rPr>
          <w:rFonts w:ascii="Arial" w:hAnsi="Arial" w:cs="Arial"/>
          <w:sz w:val="25"/>
          <w:szCs w:val="25"/>
          <w:lang w:val="en-GB"/>
        </w:rPr>
        <w:t xml:space="preserve">, </w:t>
      </w:r>
      <w:r w:rsidR="0071529A" w:rsidRPr="00B93EAF">
        <w:rPr>
          <w:rFonts w:ascii="Arial" w:hAnsi="Arial" w:cs="Arial"/>
          <w:sz w:val="25"/>
          <w:szCs w:val="25"/>
          <w:lang w:val="en-GB"/>
        </w:rPr>
        <w:t xml:space="preserve">rule 46A was of application in determining whether a special </w:t>
      </w:r>
      <w:proofErr w:type="spellStart"/>
      <w:r w:rsidR="0071529A" w:rsidRPr="00B93EAF">
        <w:rPr>
          <w:rFonts w:ascii="Arial" w:hAnsi="Arial" w:cs="Arial"/>
          <w:sz w:val="25"/>
          <w:szCs w:val="25"/>
          <w:lang w:val="en-GB"/>
        </w:rPr>
        <w:t>executability</w:t>
      </w:r>
      <w:proofErr w:type="spellEnd"/>
      <w:r w:rsidR="0071529A" w:rsidRPr="00B93EAF">
        <w:rPr>
          <w:rFonts w:ascii="Arial" w:hAnsi="Arial" w:cs="Arial"/>
          <w:sz w:val="25"/>
          <w:szCs w:val="25"/>
          <w:lang w:val="en-GB"/>
        </w:rPr>
        <w:t xml:space="preserve"> order should be granted</w:t>
      </w:r>
      <w:r w:rsidR="000906C0" w:rsidRPr="00B93EAF">
        <w:rPr>
          <w:rFonts w:ascii="Arial" w:hAnsi="Arial" w:cs="Arial"/>
          <w:sz w:val="25"/>
          <w:szCs w:val="25"/>
          <w:lang w:val="en-GB"/>
        </w:rPr>
        <w:t xml:space="preserve">.  </w:t>
      </w:r>
      <w:r w:rsidR="0071529A" w:rsidRPr="00B93EAF">
        <w:rPr>
          <w:rFonts w:ascii="Arial" w:hAnsi="Arial" w:cs="Arial"/>
          <w:sz w:val="25"/>
          <w:szCs w:val="25"/>
          <w:lang w:val="en-GB"/>
        </w:rPr>
        <w:t xml:space="preserve">In reaching its conclusion, the court in </w:t>
      </w:r>
      <w:r w:rsidR="0071529A" w:rsidRPr="00B93EAF">
        <w:rPr>
          <w:rFonts w:ascii="Arial" w:hAnsi="Arial" w:cs="Arial"/>
          <w:b/>
          <w:bCs/>
          <w:i/>
          <w:iCs/>
          <w:sz w:val="25"/>
          <w:szCs w:val="25"/>
          <w:lang w:val="en-GB"/>
        </w:rPr>
        <w:t>Investec</w:t>
      </w:r>
      <w:r w:rsidR="0071529A" w:rsidRPr="00B93EAF">
        <w:rPr>
          <w:rFonts w:ascii="Arial" w:hAnsi="Arial" w:cs="Arial"/>
          <w:sz w:val="25"/>
          <w:szCs w:val="25"/>
          <w:lang w:val="en-GB"/>
        </w:rPr>
        <w:t xml:space="preserve"> considered the decision in </w:t>
      </w:r>
      <w:r w:rsidR="0071529A" w:rsidRPr="00B93EAF">
        <w:rPr>
          <w:rFonts w:ascii="Arial" w:hAnsi="Arial" w:cs="Arial"/>
          <w:b/>
          <w:bCs/>
          <w:i/>
          <w:iCs/>
          <w:sz w:val="25"/>
          <w:szCs w:val="25"/>
          <w:lang w:val="en-GB"/>
        </w:rPr>
        <w:t>Nedbank</w:t>
      </w:r>
      <w:r w:rsidR="00EE45DA" w:rsidRPr="00B93EAF">
        <w:rPr>
          <w:rFonts w:ascii="Arial" w:hAnsi="Arial" w:cs="Arial"/>
          <w:b/>
          <w:bCs/>
          <w:i/>
          <w:iCs/>
          <w:sz w:val="25"/>
          <w:szCs w:val="25"/>
          <w:vertAlign w:val="superscript"/>
          <w:lang w:val="en-GB"/>
        </w:rPr>
        <w:t>1</w:t>
      </w:r>
      <w:r w:rsidR="0071529A" w:rsidRPr="00B93EAF">
        <w:rPr>
          <w:rFonts w:ascii="Arial" w:hAnsi="Arial" w:cs="Arial"/>
          <w:sz w:val="25"/>
          <w:szCs w:val="25"/>
          <w:lang w:val="en-GB"/>
        </w:rPr>
        <w:t>  </w:t>
      </w:r>
      <w:r w:rsidR="0071529A">
        <w:rPr>
          <w:rStyle w:val="FootnoteReference"/>
          <w:rFonts w:ascii="Arial" w:hAnsi="Arial" w:cs="Arial"/>
          <w:sz w:val="25"/>
          <w:szCs w:val="25"/>
          <w:lang w:val="en-GB"/>
        </w:rPr>
        <w:footnoteReference w:id="21"/>
      </w:r>
      <w:r w:rsidR="0071529A" w:rsidRPr="00B93EAF">
        <w:rPr>
          <w:rFonts w:ascii="Arial" w:hAnsi="Arial" w:cs="Arial"/>
          <w:sz w:val="25"/>
          <w:szCs w:val="25"/>
          <w:lang w:val="en-GB"/>
        </w:rPr>
        <w:t xml:space="preserve">  and concluded that </w:t>
      </w:r>
      <w:r w:rsidR="00EE45DA" w:rsidRPr="00B93EAF">
        <w:rPr>
          <w:rFonts w:ascii="Arial" w:hAnsi="Arial" w:cs="Arial"/>
          <w:sz w:val="25"/>
          <w:szCs w:val="25"/>
          <w:lang w:val="en-GB"/>
        </w:rPr>
        <w:t xml:space="preserve">it was clearly wrong, </w:t>
      </w:r>
      <w:r w:rsidR="00587847" w:rsidRPr="00B93EAF">
        <w:rPr>
          <w:rFonts w:ascii="Arial" w:hAnsi="Arial" w:cs="Arial"/>
          <w:sz w:val="25"/>
          <w:szCs w:val="25"/>
          <w:lang w:val="en-GB"/>
        </w:rPr>
        <w:t xml:space="preserve">because it went </w:t>
      </w:r>
      <w:r w:rsidR="00587847" w:rsidRPr="00B93EAF">
        <w:rPr>
          <w:rFonts w:ascii="Arial" w:hAnsi="Arial" w:cs="Arial"/>
          <w:sz w:val="25"/>
          <w:szCs w:val="25"/>
          <w:lang w:val="en-GB"/>
        </w:rPr>
        <w:lastRenderedPageBreak/>
        <w:t xml:space="preserve">against the </w:t>
      </w:r>
      <w:r w:rsidR="00EE45DA" w:rsidRPr="00B93EAF">
        <w:rPr>
          <w:rFonts w:ascii="Arial" w:hAnsi="Arial" w:cs="Arial"/>
          <w:sz w:val="25"/>
          <w:szCs w:val="25"/>
          <w:lang w:val="en-GB"/>
        </w:rPr>
        <w:t>position established by authorities binding upon it.  </w:t>
      </w:r>
      <w:r w:rsidR="00EE45DA">
        <w:rPr>
          <w:rStyle w:val="FootnoteReference"/>
          <w:rFonts w:ascii="Arial" w:hAnsi="Arial" w:cs="Arial"/>
          <w:sz w:val="25"/>
          <w:szCs w:val="25"/>
          <w:lang w:val="en-GB"/>
        </w:rPr>
        <w:footnoteReference w:id="22"/>
      </w:r>
      <w:r w:rsidR="00EE45DA" w:rsidRPr="00B93EAF">
        <w:rPr>
          <w:rFonts w:ascii="Arial" w:hAnsi="Arial" w:cs="Arial"/>
          <w:sz w:val="25"/>
          <w:szCs w:val="25"/>
          <w:lang w:val="en-GB"/>
        </w:rPr>
        <w:t xml:space="preserve">  In preparing this judgment, I have </w:t>
      </w:r>
      <w:r w:rsidR="00587847" w:rsidRPr="00B93EAF">
        <w:rPr>
          <w:rFonts w:ascii="Arial" w:hAnsi="Arial" w:cs="Arial"/>
          <w:sz w:val="25"/>
          <w:szCs w:val="25"/>
          <w:lang w:val="en-GB"/>
        </w:rPr>
        <w:t xml:space="preserve">recently </w:t>
      </w:r>
      <w:r w:rsidR="00EE45DA" w:rsidRPr="00B93EAF">
        <w:rPr>
          <w:rFonts w:ascii="Arial" w:hAnsi="Arial" w:cs="Arial"/>
          <w:sz w:val="25"/>
          <w:szCs w:val="25"/>
          <w:lang w:val="en-GB"/>
        </w:rPr>
        <w:t xml:space="preserve">learned that the </w:t>
      </w:r>
      <w:r w:rsidR="00EE45DA" w:rsidRPr="00B93EAF">
        <w:rPr>
          <w:rFonts w:ascii="Arial" w:hAnsi="Arial" w:cs="Arial"/>
          <w:b/>
          <w:bCs/>
          <w:i/>
          <w:iCs/>
          <w:sz w:val="25"/>
          <w:szCs w:val="25"/>
          <w:lang w:val="en-GB"/>
        </w:rPr>
        <w:t>Nedbank</w:t>
      </w:r>
      <w:r w:rsidR="00EE45DA" w:rsidRPr="00B93EAF">
        <w:rPr>
          <w:rFonts w:ascii="Arial" w:hAnsi="Arial" w:cs="Arial"/>
          <w:b/>
          <w:bCs/>
          <w:i/>
          <w:iCs/>
          <w:sz w:val="25"/>
          <w:szCs w:val="25"/>
          <w:vertAlign w:val="superscript"/>
          <w:lang w:val="en-GB"/>
        </w:rPr>
        <w:t>1</w:t>
      </w:r>
      <w:r w:rsidR="00EE45DA" w:rsidRPr="00B93EAF">
        <w:rPr>
          <w:rFonts w:ascii="Arial" w:hAnsi="Arial" w:cs="Arial"/>
          <w:sz w:val="25"/>
          <w:szCs w:val="25"/>
          <w:lang w:val="en-GB"/>
        </w:rPr>
        <w:t xml:space="preserve"> decision was taken on appeal in </w:t>
      </w:r>
      <w:r w:rsidR="00EE45DA" w:rsidRPr="00B93EAF">
        <w:rPr>
          <w:rFonts w:ascii="Arial" w:hAnsi="Arial" w:cs="Arial"/>
          <w:b/>
          <w:bCs/>
          <w:i/>
          <w:iCs/>
          <w:sz w:val="25"/>
          <w:szCs w:val="25"/>
          <w:lang w:val="en-GB"/>
        </w:rPr>
        <w:t>Nedbank</w:t>
      </w:r>
      <w:r w:rsidR="00EE45DA" w:rsidRPr="00B93EAF">
        <w:rPr>
          <w:rFonts w:ascii="Arial" w:hAnsi="Arial" w:cs="Arial"/>
          <w:b/>
          <w:bCs/>
          <w:i/>
          <w:iCs/>
          <w:sz w:val="25"/>
          <w:szCs w:val="25"/>
          <w:vertAlign w:val="superscript"/>
          <w:lang w:val="en-GB"/>
        </w:rPr>
        <w:t>2</w:t>
      </w:r>
      <w:r w:rsidR="00EE45DA" w:rsidRPr="00B93EAF">
        <w:rPr>
          <w:rFonts w:ascii="Arial" w:hAnsi="Arial" w:cs="Arial"/>
          <w:sz w:val="25"/>
          <w:szCs w:val="25"/>
          <w:lang w:val="en-GB"/>
        </w:rPr>
        <w:t>,</w:t>
      </w:r>
      <w:r w:rsidR="005C0B09" w:rsidRPr="00B93EAF">
        <w:rPr>
          <w:rFonts w:ascii="Arial" w:hAnsi="Arial" w:cs="Arial"/>
          <w:sz w:val="25"/>
          <w:szCs w:val="25"/>
          <w:lang w:val="en-GB"/>
        </w:rPr>
        <w:t>  </w:t>
      </w:r>
      <w:r w:rsidR="005C0B09">
        <w:rPr>
          <w:rStyle w:val="FootnoteReference"/>
          <w:rFonts w:ascii="Arial" w:hAnsi="Arial" w:cs="Arial"/>
          <w:sz w:val="25"/>
          <w:szCs w:val="25"/>
          <w:lang w:val="en-GB"/>
        </w:rPr>
        <w:footnoteReference w:id="23"/>
      </w:r>
      <w:r w:rsidR="005C0B09" w:rsidRPr="00B93EAF">
        <w:rPr>
          <w:rFonts w:ascii="Arial" w:hAnsi="Arial" w:cs="Arial"/>
          <w:sz w:val="25"/>
          <w:szCs w:val="25"/>
          <w:lang w:val="en-GB"/>
        </w:rPr>
        <w:t> </w:t>
      </w:r>
      <w:r w:rsidR="00EE45DA" w:rsidRPr="00B93EAF">
        <w:rPr>
          <w:rFonts w:ascii="Arial" w:hAnsi="Arial" w:cs="Arial"/>
          <w:sz w:val="25"/>
          <w:szCs w:val="25"/>
          <w:lang w:val="en-GB"/>
        </w:rPr>
        <w:t xml:space="preserve"> where the full bench </w:t>
      </w:r>
      <w:r w:rsidR="001B7883" w:rsidRPr="00B93EAF">
        <w:rPr>
          <w:rFonts w:ascii="Arial" w:hAnsi="Arial" w:cs="Arial"/>
          <w:sz w:val="25"/>
          <w:szCs w:val="25"/>
          <w:lang w:val="en-GB"/>
        </w:rPr>
        <w:t>dismissed</w:t>
      </w:r>
      <w:r w:rsidR="00EE45DA" w:rsidRPr="00B93EAF">
        <w:rPr>
          <w:rFonts w:ascii="Arial" w:hAnsi="Arial" w:cs="Arial"/>
          <w:sz w:val="25"/>
          <w:szCs w:val="25"/>
          <w:lang w:val="en-GB"/>
        </w:rPr>
        <w:t xml:space="preserve"> the appeal</w:t>
      </w:r>
      <w:r w:rsidR="005C0B09" w:rsidRPr="00B93EAF">
        <w:rPr>
          <w:rFonts w:ascii="Arial" w:hAnsi="Arial" w:cs="Arial"/>
          <w:sz w:val="25"/>
          <w:szCs w:val="25"/>
          <w:lang w:val="en-GB"/>
        </w:rPr>
        <w:t>  </w:t>
      </w:r>
      <w:r w:rsidR="005C0B09">
        <w:rPr>
          <w:rStyle w:val="FootnoteReference"/>
          <w:rFonts w:ascii="Arial" w:hAnsi="Arial" w:cs="Arial"/>
          <w:sz w:val="25"/>
          <w:szCs w:val="25"/>
          <w:lang w:val="en-GB"/>
        </w:rPr>
        <w:footnoteReference w:id="24"/>
      </w:r>
      <w:r w:rsidR="005C0B09" w:rsidRPr="00B93EAF">
        <w:rPr>
          <w:rFonts w:ascii="Arial" w:hAnsi="Arial" w:cs="Arial"/>
          <w:sz w:val="25"/>
          <w:szCs w:val="25"/>
          <w:lang w:val="en-GB"/>
        </w:rPr>
        <w:t> </w:t>
      </w:r>
      <w:r w:rsidR="00EE45DA" w:rsidRPr="00B93EAF">
        <w:rPr>
          <w:rFonts w:ascii="Arial" w:hAnsi="Arial" w:cs="Arial"/>
          <w:sz w:val="25"/>
          <w:szCs w:val="25"/>
          <w:lang w:val="en-GB"/>
        </w:rPr>
        <w:t xml:space="preserve"> </w:t>
      </w:r>
      <w:r w:rsidR="00F36F96" w:rsidRPr="00B93EAF">
        <w:rPr>
          <w:rFonts w:ascii="Arial" w:hAnsi="Arial" w:cs="Arial"/>
          <w:sz w:val="25"/>
          <w:szCs w:val="25"/>
          <w:lang w:val="en-GB"/>
        </w:rPr>
        <w:t>but</w:t>
      </w:r>
      <w:r w:rsidR="00EE45DA" w:rsidRPr="00B93EAF">
        <w:rPr>
          <w:rFonts w:ascii="Arial" w:hAnsi="Arial" w:cs="Arial"/>
          <w:sz w:val="25"/>
          <w:szCs w:val="25"/>
          <w:lang w:val="en-GB"/>
        </w:rPr>
        <w:t xml:space="preserve"> </w:t>
      </w:r>
      <w:r w:rsidR="005C0B09" w:rsidRPr="00B93EAF">
        <w:rPr>
          <w:rFonts w:ascii="Arial" w:hAnsi="Arial" w:cs="Arial"/>
          <w:sz w:val="25"/>
          <w:szCs w:val="25"/>
          <w:lang w:val="en-GB"/>
        </w:rPr>
        <w:t xml:space="preserve">directed that the matter was to be remitted to the court </w:t>
      </w:r>
      <w:r w:rsidR="005C0B09" w:rsidRPr="00B93EAF">
        <w:rPr>
          <w:rFonts w:ascii="Arial" w:hAnsi="Arial" w:cs="Arial"/>
          <w:i/>
          <w:iCs/>
          <w:sz w:val="25"/>
          <w:szCs w:val="25"/>
          <w:lang w:val="en-GB"/>
        </w:rPr>
        <w:t>a quo</w:t>
      </w:r>
      <w:r w:rsidR="005C0B09" w:rsidRPr="00B93EAF">
        <w:rPr>
          <w:rFonts w:ascii="Arial" w:hAnsi="Arial" w:cs="Arial"/>
          <w:sz w:val="25"/>
          <w:szCs w:val="25"/>
          <w:lang w:val="en-GB"/>
        </w:rPr>
        <w:t xml:space="preserve"> for purposes of conducting </w:t>
      </w:r>
      <w:r w:rsidR="00587847" w:rsidRPr="00B93EAF">
        <w:rPr>
          <w:rFonts w:ascii="Arial" w:hAnsi="Arial" w:cs="Arial"/>
          <w:sz w:val="25"/>
          <w:szCs w:val="25"/>
          <w:lang w:val="en-GB"/>
        </w:rPr>
        <w:t>an</w:t>
      </w:r>
      <w:r w:rsidR="005C0B09" w:rsidRPr="00B93EAF">
        <w:rPr>
          <w:rFonts w:ascii="Arial" w:hAnsi="Arial" w:cs="Arial"/>
          <w:sz w:val="25"/>
          <w:szCs w:val="25"/>
          <w:lang w:val="en-GB"/>
        </w:rPr>
        <w:t xml:space="preserve"> enquiry in terms of rule 46A.</w:t>
      </w:r>
    </w:p>
    <w:p w14:paraId="06F74BB5" w14:textId="61E24D36" w:rsidR="008011D5" w:rsidRPr="00B93EAF" w:rsidRDefault="00B93EAF" w:rsidP="00B93EAF">
      <w:pPr>
        <w:spacing w:before="480" w:after="240" w:line="480" w:lineRule="auto"/>
        <w:ind w:left="851" w:hanging="851"/>
        <w:jc w:val="both"/>
        <w:rPr>
          <w:rFonts w:ascii="Arial" w:hAnsi="Arial" w:cs="Arial"/>
          <w:sz w:val="25"/>
          <w:szCs w:val="25"/>
          <w:lang w:val="en-GB"/>
        </w:rPr>
      </w:pPr>
      <w:r>
        <w:rPr>
          <w:rFonts w:ascii="Arial" w:hAnsi="Arial" w:cs="Arial"/>
          <w:sz w:val="25"/>
          <w:szCs w:val="25"/>
          <w:lang w:val="en-GB"/>
        </w:rPr>
        <w:t>[33]</w:t>
      </w:r>
      <w:r>
        <w:rPr>
          <w:rFonts w:ascii="Arial" w:hAnsi="Arial" w:cs="Arial"/>
          <w:sz w:val="25"/>
          <w:szCs w:val="25"/>
          <w:lang w:val="en-GB"/>
        </w:rPr>
        <w:tab/>
      </w:r>
      <w:r w:rsidR="005C0B09" w:rsidRPr="00B93EAF">
        <w:rPr>
          <w:rFonts w:ascii="Arial" w:hAnsi="Arial" w:cs="Arial"/>
          <w:sz w:val="25"/>
          <w:szCs w:val="25"/>
          <w:lang w:val="en-GB"/>
        </w:rPr>
        <w:t xml:space="preserve">Also </w:t>
      </w:r>
      <w:r w:rsidR="00587847" w:rsidRPr="00B93EAF">
        <w:rPr>
          <w:rFonts w:ascii="Arial" w:hAnsi="Arial" w:cs="Arial"/>
          <w:sz w:val="25"/>
          <w:szCs w:val="25"/>
          <w:lang w:val="en-GB"/>
        </w:rPr>
        <w:t>while</w:t>
      </w:r>
      <w:r w:rsidR="005C0B09" w:rsidRPr="00B93EAF">
        <w:rPr>
          <w:rFonts w:ascii="Arial" w:hAnsi="Arial" w:cs="Arial"/>
          <w:sz w:val="25"/>
          <w:szCs w:val="25"/>
          <w:lang w:val="en-GB"/>
        </w:rPr>
        <w:t xml:space="preserve"> preparing this judgment, I learned of the very recently reported decision in </w:t>
      </w:r>
      <w:proofErr w:type="spellStart"/>
      <w:r w:rsidR="005C0B09" w:rsidRPr="00B93EAF">
        <w:rPr>
          <w:rFonts w:ascii="Arial" w:hAnsi="Arial" w:cs="Arial"/>
          <w:b/>
          <w:bCs/>
          <w:i/>
          <w:iCs/>
          <w:sz w:val="25"/>
          <w:szCs w:val="25"/>
          <w:lang w:val="en-GB"/>
        </w:rPr>
        <w:t>Bestbier</w:t>
      </w:r>
      <w:proofErr w:type="spellEnd"/>
      <w:r w:rsidR="005C0B09" w:rsidRPr="00B93EAF">
        <w:rPr>
          <w:rFonts w:ascii="Arial" w:hAnsi="Arial" w:cs="Arial"/>
          <w:sz w:val="25"/>
          <w:szCs w:val="25"/>
          <w:lang w:val="en-GB"/>
        </w:rPr>
        <w:t>.  </w:t>
      </w:r>
      <w:r w:rsidR="005C0B09">
        <w:rPr>
          <w:rStyle w:val="FootnoteReference"/>
          <w:rFonts w:ascii="Arial" w:hAnsi="Arial" w:cs="Arial"/>
          <w:sz w:val="25"/>
          <w:szCs w:val="25"/>
          <w:lang w:val="en-GB"/>
        </w:rPr>
        <w:footnoteReference w:id="25"/>
      </w:r>
      <w:r w:rsidR="005C0B09" w:rsidRPr="00B93EAF">
        <w:rPr>
          <w:rFonts w:ascii="Arial" w:hAnsi="Arial" w:cs="Arial"/>
          <w:sz w:val="25"/>
          <w:szCs w:val="25"/>
          <w:lang w:val="en-GB"/>
        </w:rPr>
        <w:t xml:space="preserve">  This judgment had been handed down approximately a year earlier (on 13 June 2022) than it was reported in the South African Law Reports, which is where I located it.  It was known to the court in </w:t>
      </w:r>
      <w:r w:rsidR="005C0B09" w:rsidRPr="00B93EAF">
        <w:rPr>
          <w:rFonts w:ascii="Arial" w:hAnsi="Arial" w:cs="Arial"/>
          <w:b/>
          <w:bCs/>
          <w:i/>
          <w:iCs/>
          <w:sz w:val="25"/>
          <w:szCs w:val="25"/>
          <w:lang w:val="en-GB"/>
        </w:rPr>
        <w:t>Nedbank</w:t>
      </w:r>
      <w:r w:rsidR="005C0B09" w:rsidRPr="00B93EAF">
        <w:rPr>
          <w:rFonts w:ascii="Arial" w:hAnsi="Arial" w:cs="Arial"/>
          <w:b/>
          <w:bCs/>
          <w:i/>
          <w:iCs/>
          <w:sz w:val="25"/>
          <w:szCs w:val="25"/>
          <w:vertAlign w:val="superscript"/>
          <w:lang w:val="en-GB"/>
        </w:rPr>
        <w:t>2</w:t>
      </w:r>
      <w:r w:rsidR="005C0B09" w:rsidRPr="00B93EAF">
        <w:rPr>
          <w:rFonts w:ascii="Arial" w:hAnsi="Arial" w:cs="Arial"/>
          <w:sz w:val="25"/>
          <w:szCs w:val="25"/>
          <w:lang w:val="en-GB"/>
        </w:rPr>
        <w:t>, who referred to it in its judgment.  </w:t>
      </w:r>
      <w:r w:rsidR="005C0B09">
        <w:rPr>
          <w:rStyle w:val="FootnoteReference"/>
          <w:rFonts w:ascii="Arial" w:hAnsi="Arial" w:cs="Arial"/>
          <w:sz w:val="25"/>
          <w:szCs w:val="25"/>
          <w:lang w:val="en-GB"/>
        </w:rPr>
        <w:footnoteReference w:id="26"/>
      </w:r>
    </w:p>
    <w:p w14:paraId="37ED2AEB" w14:textId="3408FE82" w:rsidR="00E84F10" w:rsidRPr="00B93EAF" w:rsidRDefault="00B93EAF" w:rsidP="00B93EAF">
      <w:pPr>
        <w:spacing w:before="480" w:after="240" w:line="480" w:lineRule="auto"/>
        <w:ind w:left="851" w:hanging="851"/>
        <w:jc w:val="both"/>
        <w:rPr>
          <w:rFonts w:ascii="Arial" w:hAnsi="Arial" w:cs="Arial"/>
          <w:sz w:val="25"/>
          <w:szCs w:val="25"/>
          <w:lang w:val="en-GB"/>
        </w:rPr>
      </w:pPr>
      <w:r>
        <w:rPr>
          <w:rFonts w:ascii="Arial" w:hAnsi="Arial" w:cs="Arial"/>
          <w:sz w:val="25"/>
          <w:szCs w:val="25"/>
          <w:lang w:val="en-GB"/>
        </w:rPr>
        <w:t>[34]</w:t>
      </w:r>
      <w:r>
        <w:rPr>
          <w:rFonts w:ascii="Arial" w:hAnsi="Arial" w:cs="Arial"/>
          <w:sz w:val="25"/>
          <w:szCs w:val="25"/>
          <w:lang w:val="en-GB"/>
        </w:rPr>
        <w:tab/>
      </w:r>
      <w:r w:rsidR="00E84F10" w:rsidRPr="00B93EAF">
        <w:rPr>
          <w:rFonts w:ascii="Arial" w:hAnsi="Arial" w:cs="Arial"/>
          <w:sz w:val="25"/>
          <w:szCs w:val="25"/>
          <w:lang w:val="en-GB"/>
        </w:rPr>
        <w:t xml:space="preserve">Despite the conclusion reached in </w:t>
      </w:r>
      <w:r w:rsidR="00E84F10" w:rsidRPr="00B93EAF">
        <w:rPr>
          <w:rFonts w:ascii="Arial" w:hAnsi="Arial" w:cs="Arial"/>
          <w:b/>
          <w:bCs/>
          <w:i/>
          <w:iCs/>
          <w:sz w:val="25"/>
          <w:szCs w:val="25"/>
          <w:lang w:val="en-GB"/>
        </w:rPr>
        <w:t>Investec</w:t>
      </w:r>
      <w:r w:rsidR="00E84F10" w:rsidRPr="00B93EAF">
        <w:rPr>
          <w:rFonts w:ascii="Arial" w:hAnsi="Arial" w:cs="Arial"/>
          <w:sz w:val="25"/>
          <w:szCs w:val="25"/>
          <w:lang w:val="en-GB"/>
        </w:rPr>
        <w:t xml:space="preserve"> that rule 46A was not of application,</w:t>
      </w:r>
      <w:r w:rsidR="00317BB2" w:rsidRPr="00B93EAF">
        <w:rPr>
          <w:rFonts w:ascii="Arial" w:hAnsi="Arial" w:cs="Arial"/>
          <w:sz w:val="25"/>
          <w:szCs w:val="25"/>
          <w:lang w:val="en-GB"/>
        </w:rPr>
        <w:t xml:space="preserve"> </w:t>
      </w:r>
      <w:r w:rsidR="00E84F10" w:rsidRPr="00B93EAF">
        <w:rPr>
          <w:rFonts w:ascii="Arial" w:hAnsi="Arial" w:cs="Arial"/>
          <w:sz w:val="25"/>
          <w:szCs w:val="25"/>
          <w:lang w:val="en-GB"/>
        </w:rPr>
        <w:t xml:space="preserve">because the immovable property in respect of which a special </w:t>
      </w:r>
      <w:proofErr w:type="spellStart"/>
      <w:r w:rsidR="00E84F10" w:rsidRPr="00B93EAF">
        <w:rPr>
          <w:rFonts w:ascii="Arial" w:hAnsi="Arial" w:cs="Arial"/>
          <w:sz w:val="25"/>
          <w:szCs w:val="25"/>
          <w:lang w:val="en-GB"/>
        </w:rPr>
        <w:t>executability</w:t>
      </w:r>
      <w:proofErr w:type="spellEnd"/>
      <w:r w:rsidR="00E84F10" w:rsidRPr="00B93EAF">
        <w:rPr>
          <w:rFonts w:ascii="Arial" w:hAnsi="Arial" w:cs="Arial"/>
          <w:sz w:val="25"/>
          <w:szCs w:val="25"/>
          <w:lang w:val="en-GB"/>
        </w:rPr>
        <w:t xml:space="preserve"> order was sought was trust</w:t>
      </w:r>
      <w:r w:rsidR="00587847" w:rsidRPr="00B93EAF">
        <w:rPr>
          <w:rFonts w:ascii="Arial" w:hAnsi="Arial" w:cs="Arial"/>
          <w:sz w:val="25"/>
          <w:szCs w:val="25"/>
          <w:lang w:val="en-GB"/>
        </w:rPr>
        <w:t xml:space="preserve"> property</w:t>
      </w:r>
      <w:r w:rsidR="00E84F10" w:rsidRPr="00B93EAF">
        <w:rPr>
          <w:rFonts w:ascii="Arial" w:hAnsi="Arial" w:cs="Arial"/>
          <w:sz w:val="25"/>
          <w:szCs w:val="25"/>
          <w:lang w:val="en-GB"/>
        </w:rPr>
        <w:t>, the court there held that:</w:t>
      </w:r>
    </w:p>
    <w:p w14:paraId="2CF50D7C" w14:textId="201FB591" w:rsidR="00E84F10" w:rsidRDefault="00E84F10" w:rsidP="00E84F10">
      <w:pPr>
        <w:spacing w:before="240" w:after="240" w:line="360" w:lineRule="auto"/>
        <w:ind w:left="1440"/>
        <w:jc w:val="both"/>
        <w:rPr>
          <w:rFonts w:ascii="Arial" w:hAnsi="Arial" w:cs="Arial"/>
          <w:color w:val="000000"/>
          <w:sz w:val="22"/>
          <w:szCs w:val="22"/>
        </w:rPr>
      </w:pPr>
      <w:r w:rsidRPr="00E84F10">
        <w:rPr>
          <w:rFonts w:ascii="Arial" w:hAnsi="Arial" w:cs="Arial"/>
          <w:color w:val="000000"/>
          <w:sz w:val="22"/>
          <w:szCs w:val="22"/>
        </w:rPr>
        <w:t xml:space="preserve">[70] </w:t>
      </w:r>
      <w:r w:rsidRPr="00E84F10">
        <w:rPr>
          <w:rFonts w:ascii="Arial" w:hAnsi="Arial" w:cs="Arial"/>
          <w:i/>
          <w:iCs/>
          <w:color w:val="000000"/>
          <w:sz w:val="22"/>
          <w:szCs w:val="22"/>
        </w:rPr>
        <w:t>Where the shareholder or trustee is not the beneficial owner of the property</w:t>
      </w:r>
      <w:r w:rsidRPr="00E84F10">
        <w:rPr>
          <w:rFonts w:ascii="Arial" w:hAnsi="Arial" w:cs="Arial"/>
          <w:color w:val="000000"/>
          <w:sz w:val="22"/>
          <w:szCs w:val="22"/>
        </w:rPr>
        <w:t>, no enquiry can be made into his/her personal circumstances when considering execution of a judgment debt obtained against a company or a trust of which they are a shareholder or trustee, respectively. In those circumstances, insisting on compliance with the provisions of rule 46A will be wholly misplaced as it would be aimed at protecting a right which the occupant of the property does not have as he/she is not the judgment debtor.</w:t>
      </w:r>
    </w:p>
    <w:p w14:paraId="65F94A12" w14:textId="669A2B5B" w:rsidR="00E84F10" w:rsidRPr="00E84F10" w:rsidRDefault="00E84F10" w:rsidP="00E84F10">
      <w:pPr>
        <w:spacing w:before="240" w:after="240" w:line="360" w:lineRule="auto"/>
        <w:ind w:left="1440"/>
        <w:jc w:val="both"/>
        <w:rPr>
          <w:rFonts w:ascii="Arial" w:hAnsi="Arial" w:cs="Arial"/>
          <w:sz w:val="22"/>
          <w:szCs w:val="22"/>
          <w:lang w:val="en-GB"/>
        </w:rPr>
      </w:pPr>
      <w:r>
        <w:rPr>
          <w:rFonts w:ascii="Arial" w:hAnsi="Arial" w:cs="Arial"/>
          <w:color w:val="000000"/>
          <w:sz w:val="22"/>
          <w:szCs w:val="22"/>
        </w:rPr>
        <w:t>[</w:t>
      </w:r>
      <w:proofErr w:type="gramStart"/>
      <w:r w:rsidR="00CA1692">
        <w:rPr>
          <w:rFonts w:ascii="Arial" w:hAnsi="Arial" w:cs="Arial"/>
          <w:color w:val="000000"/>
          <w:sz w:val="22"/>
          <w:szCs w:val="22"/>
        </w:rPr>
        <w:t>own</w:t>
      </w:r>
      <w:proofErr w:type="gramEnd"/>
      <w:r w:rsidR="00CA1692">
        <w:rPr>
          <w:rFonts w:ascii="Arial" w:hAnsi="Arial" w:cs="Arial"/>
          <w:color w:val="000000"/>
          <w:sz w:val="22"/>
          <w:szCs w:val="22"/>
        </w:rPr>
        <w:t xml:space="preserve"> </w:t>
      </w:r>
      <w:r>
        <w:rPr>
          <w:rFonts w:ascii="Arial" w:hAnsi="Arial" w:cs="Arial"/>
          <w:color w:val="000000"/>
          <w:sz w:val="22"/>
          <w:szCs w:val="22"/>
        </w:rPr>
        <w:t>emphasis]</w:t>
      </w:r>
    </w:p>
    <w:p w14:paraId="4EE82026" w14:textId="3A75580A" w:rsidR="001D315C" w:rsidRPr="00B93EAF" w:rsidRDefault="00B93EAF" w:rsidP="00B93EAF">
      <w:pPr>
        <w:spacing w:before="480" w:after="240" w:line="480" w:lineRule="auto"/>
        <w:ind w:left="851" w:hanging="851"/>
        <w:jc w:val="both"/>
        <w:rPr>
          <w:rFonts w:ascii="Arial" w:hAnsi="Arial" w:cs="Arial"/>
          <w:sz w:val="25"/>
          <w:szCs w:val="25"/>
          <w:lang w:val="en-GB"/>
        </w:rPr>
      </w:pPr>
      <w:r>
        <w:rPr>
          <w:rFonts w:ascii="Arial" w:hAnsi="Arial" w:cs="Arial"/>
          <w:sz w:val="25"/>
          <w:szCs w:val="25"/>
          <w:lang w:val="en-GB"/>
        </w:rPr>
        <w:lastRenderedPageBreak/>
        <w:t>[35]</w:t>
      </w:r>
      <w:r>
        <w:rPr>
          <w:rFonts w:ascii="Arial" w:hAnsi="Arial" w:cs="Arial"/>
          <w:sz w:val="25"/>
          <w:szCs w:val="25"/>
          <w:lang w:val="en-GB"/>
        </w:rPr>
        <w:tab/>
      </w:r>
      <w:r w:rsidR="00E84F10" w:rsidRPr="00B93EAF">
        <w:rPr>
          <w:rFonts w:ascii="Arial" w:hAnsi="Arial" w:cs="Arial"/>
          <w:sz w:val="25"/>
          <w:szCs w:val="25"/>
          <w:lang w:val="en-GB"/>
        </w:rPr>
        <w:t xml:space="preserve">On the facts before that court, I would have thought that </w:t>
      </w:r>
      <w:r w:rsidR="00587847" w:rsidRPr="00B93EAF">
        <w:rPr>
          <w:rFonts w:ascii="Arial" w:hAnsi="Arial" w:cs="Arial"/>
          <w:sz w:val="25"/>
          <w:szCs w:val="25"/>
          <w:lang w:val="en-GB"/>
        </w:rPr>
        <w:t>the emphasised phrase in the quotation above had not been triggered, so as to prevent</w:t>
      </w:r>
      <w:r w:rsidR="00E84F10" w:rsidRPr="00B93EAF">
        <w:rPr>
          <w:rFonts w:ascii="Arial" w:hAnsi="Arial" w:cs="Arial"/>
          <w:sz w:val="25"/>
          <w:szCs w:val="25"/>
          <w:lang w:val="en-GB"/>
        </w:rPr>
        <w:t xml:space="preserve"> rule</w:t>
      </w:r>
      <w:r w:rsidR="00587847" w:rsidRPr="00B93EAF">
        <w:rPr>
          <w:rFonts w:ascii="Arial" w:hAnsi="Arial" w:cs="Arial"/>
          <w:sz w:val="25"/>
          <w:szCs w:val="25"/>
          <w:lang w:val="en-GB"/>
        </w:rPr>
        <w:t> </w:t>
      </w:r>
      <w:r w:rsidR="00E84F10" w:rsidRPr="00B93EAF">
        <w:rPr>
          <w:rFonts w:ascii="Arial" w:hAnsi="Arial" w:cs="Arial"/>
          <w:sz w:val="25"/>
          <w:szCs w:val="25"/>
          <w:lang w:val="en-GB"/>
        </w:rPr>
        <w:t>46A</w:t>
      </w:r>
      <w:r w:rsidR="00587847" w:rsidRPr="00B93EAF">
        <w:rPr>
          <w:rFonts w:ascii="Arial" w:hAnsi="Arial" w:cs="Arial"/>
          <w:sz w:val="25"/>
          <w:szCs w:val="25"/>
          <w:lang w:val="en-GB"/>
        </w:rPr>
        <w:t xml:space="preserve"> </w:t>
      </w:r>
      <w:r w:rsidR="00F36F96" w:rsidRPr="00B93EAF">
        <w:rPr>
          <w:rFonts w:ascii="Arial" w:hAnsi="Arial" w:cs="Arial"/>
          <w:sz w:val="25"/>
          <w:szCs w:val="25"/>
          <w:lang w:val="en-GB"/>
        </w:rPr>
        <w:t xml:space="preserve">from </w:t>
      </w:r>
      <w:r w:rsidR="00587847" w:rsidRPr="00B93EAF">
        <w:rPr>
          <w:rFonts w:ascii="Arial" w:hAnsi="Arial" w:cs="Arial"/>
          <w:sz w:val="25"/>
          <w:szCs w:val="25"/>
          <w:lang w:val="en-GB"/>
        </w:rPr>
        <w:t xml:space="preserve">being invoked; and that, despite the immovable property being owned by </w:t>
      </w:r>
      <w:r w:rsidR="005A7221" w:rsidRPr="00B93EAF">
        <w:rPr>
          <w:rFonts w:ascii="Arial" w:hAnsi="Arial" w:cs="Arial"/>
          <w:sz w:val="25"/>
          <w:szCs w:val="25"/>
          <w:lang w:val="en-GB"/>
        </w:rPr>
        <w:t>a trust</w:t>
      </w:r>
      <w:r w:rsidR="00587847" w:rsidRPr="00B93EAF">
        <w:rPr>
          <w:rFonts w:ascii="Arial" w:hAnsi="Arial" w:cs="Arial"/>
          <w:sz w:val="25"/>
          <w:szCs w:val="25"/>
          <w:lang w:val="en-GB"/>
        </w:rPr>
        <w:t>, that court was obliged to engage in an enquiry in terms of rule 46A, precisely because the trustee was the beneficial owner of the immovable property</w:t>
      </w:r>
      <w:r w:rsidR="005A7221" w:rsidRPr="00B93EAF">
        <w:rPr>
          <w:rFonts w:ascii="Arial" w:hAnsi="Arial" w:cs="Arial"/>
          <w:sz w:val="25"/>
          <w:szCs w:val="25"/>
          <w:lang w:val="en-GB"/>
        </w:rPr>
        <w:t xml:space="preserve">.  I confess that I read this passage several times because I thought </w:t>
      </w:r>
      <w:r w:rsidR="00587847" w:rsidRPr="00B93EAF">
        <w:rPr>
          <w:rFonts w:ascii="Arial" w:hAnsi="Arial" w:cs="Arial"/>
          <w:sz w:val="25"/>
          <w:szCs w:val="25"/>
          <w:lang w:val="en-GB"/>
        </w:rPr>
        <w:t xml:space="preserve">that </w:t>
      </w:r>
      <w:r w:rsidR="005A7221" w:rsidRPr="00B93EAF">
        <w:rPr>
          <w:rFonts w:ascii="Arial" w:hAnsi="Arial" w:cs="Arial"/>
          <w:sz w:val="25"/>
          <w:szCs w:val="25"/>
          <w:lang w:val="en-GB"/>
        </w:rPr>
        <w:t xml:space="preserve">it </w:t>
      </w:r>
      <w:r w:rsidR="00587847" w:rsidRPr="00B93EAF">
        <w:rPr>
          <w:rFonts w:ascii="Arial" w:hAnsi="Arial" w:cs="Arial"/>
          <w:sz w:val="25"/>
          <w:szCs w:val="25"/>
          <w:lang w:val="en-GB"/>
        </w:rPr>
        <w:t xml:space="preserve">was </w:t>
      </w:r>
      <w:r w:rsidR="005A7221" w:rsidRPr="00B93EAF">
        <w:rPr>
          <w:rFonts w:ascii="Arial" w:hAnsi="Arial" w:cs="Arial"/>
          <w:sz w:val="25"/>
          <w:szCs w:val="25"/>
          <w:lang w:val="en-GB"/>
        </w:rPr>
        <w:t xml:space="preserve">(on the facts before that court) at odds with the conclusion </w:t>
      </w:r>
      <w:r w:rsidR="00587847" w:rsidRPr="00B93EAF">
        <w:rPr>
          <w:rFonts w:ascii="Arial" w:hAnsi="Arial" w:cs="Arial"/>
          <w:sz w:val="25"/>
          <w:szCs w:val="25"/>
          <w:lang w:val="en-GB"/>
        </w:rPr>
        <w:t xml:space="preserve">that it </w:t>
      </w:r>
      <w:r w:rsidR="005A7221" w:rsidRPr="00B93EAF">
        <w:rPr>
          <w:rFonts w:ascii="Arial" w:hAnsi="Arial" w:cs="Arial"/>
          <w:sz w:val="25"/>
          <w:szCs w:val="25"/>
          <w:lang w:val="en-GB"/>
        </w:rPr>
        <w:t>reached.  To me it seemed that</w:t>
      </w:r>
      <w:r w:rsidR="00E84F10" w:rsidRPr="00B93EAF">
        <w:rPr>
          <w:rFonts w:ascii="Arial" w:hAnsi="Arial" w:cs="Arial"/>
          <w:sz w:val="25"/>
          <w:szCs w:val="25"/>
          <w:lang w:val="en-GB"/>
        </w:rPr>
        <w:t xml:space="preserve"> the </w:t>
      </w:r>
      <w:r w:rsidR="005A7221" w:rsidRPr="00B93EAF">
        <w:rPr>
          <w:rFonts w:ascii="Arial" w:hAnsi="Arial" w:cs="Arial"/>
          <w:sz w:val="25"/>
          <w:szCs w:val="25"/>
          <w:lang w:val="en-GB"/>
        </w:rPr>
        <w:t>term “</w:t>
      </w:r>
      <w:r w:rsidR="00E84F10" w:rsidRPr="00B93EAF">
        <w:rPr>
          <w:rFonts w:ascii="Arial" w:hAnsi="Arial" w:cs="Arial"/>
          <w:sz w:val="25"/>
          <w:szCs w:val="25"/>
          <w:lang w:val="en-GB"/>
        </w:rPr>
        <w:t>beneficial owner</w:t>
      </w:r>
      <w:r w:rsidR="005A7221" w:rsidRPr="00B93EAF">
        <w:rPr>
          <w:rFonts w:ascii="Arial" w:hAnsi="Arial" w:cs="Arial"/>
          <w:sz w:val="25"/>
          <w:szCs w:val="25"/>
          <w:lang w:val="en-GB"/>
        </w:rPr>
        <w:t>”</w:t>
      </w:r>
      <w:r w:rsidR="00E84F10" w:rsidRPr="00B93EAF">
        <w:rPr>
          <w:rFonts w:ascii="Arial" w:hAnsi="Arial" w:cs="Arial"/>
          <w:sz w:val="25"/>
          <w:szCs w:val="25"/>
          <w:lang w:val="en-GB"/>
        </w:rPr>
        <w:t xml:space="preserve"> of the property must surely be taken to </w:t>
      </w:r>
      <w:r w:rsidR="00587847" w:rsidRPr="00B93EAF">
        <w:rPr>
          <w:rFonts w:ascii="Arial" w:hAnsi="Arial" w:cs="Arial"/>
          <w:sz w:val="25"/>
          <w:szCs w:val="25"/>
          <w:lang w:val="en-GB"/>
        </w:rPr>
        <w:t>mean</w:t>
      </w:r>
      <w:r w:rsidR="00E84F10" w:rsidRPr="00B93EAF">
        <w:rPr>
          <w:rFonts w:ascii="Arial" w:hAnsi="Arial" w:cs="Arial"/>
          <w:sz w:val="25"/>
          <w:szCs w:val="25"/>
          <w:lang w:val="en-GB"/>
        </w:rPr>
        <w:t xml:space="preserve"> the person(-s) </w:t>
      </w:r>
      <w:r w:rsidR="00587847" w:rsidRPr="00B93EAF">
        <w:rPr>
          <w:rFonts w:ascii="Arial" w:hAnsi="Arial" w:cs="Arial"/>
          <w:sz w:val="25"/>
          <w:szCs w:val="25"/>
          <w:lang w:val="en-GB"/>
        </w:rPr>
        <w:t>associated with</w:t>
      </w:r>
      <w:r w:rsidR="00E84F10" w:rsidRPr="00B93EAF">
        <w:rPr>
          <w:rFonts w:ascii="Arial" w:hAnsi="Arial" w:cs="Arial"/>
          <w:sz w:val="25"/>
          <w:szCs w:val="25"/>
          <w:lang w:val="en-GB"/>
        </w:rPr>
        <w:t xml:space="preserve"> the </w:t>
      </w:r>
      <w:r w:rsidR="005A7221" w:rsidRPr="00B93EAF">
        <w:rPr>
          <w:rFonts w:ascii="Arial" w:hAnsi="Arial" w:cs="Arial"/>
          <w:sz w:val="25"/>
          <w:szCs w:val="25"/>
          <w:lang w:val="en-GB"/>
        </w:rPr>
        <w:t xml:space="preserve">registered </w:t>
      </w:r>
      <w:r w:rsidR="00E84F10" w:rsidRPr="00B93EAF">
        <w:rPr>
          <w:rFonts w:ascii="Arial" w:hAnsi="Arial" w:cs="Arial"/>
          <w:sz w:val="25"/>
          <w:szCs w:val="25"/>
          <w:lang w:val="en-GB"/>
        </w:rPr>
        <w:t xml:space="preserve">owner, who </w:t>
      </w:r>
      <w:r w:rsidR="005A7221" w:rsidRPr="00B93EAF">
        <w:rPr>
          <w:rFonts w:ascii="Arial" w:hAnsi="Arial" w:cs="Arial"/>
          <w:sz w:val="25"/>
          <w:szCs w:val="25"/>
          <w:lang w:val="en-GB"/>
        </w:rPr>
        <w:t xml:space="preserve">by virtue of that connection </w:t>
      </w:r>
      <w:r w:rsidR="00AA4352" w:rsidRPr="00B93EAF">
        <w:rPr>
          <w:rFonts w:ascii="Arial" w:hAnsi="Arial" w:cs="Arial"/>
          <w:i/>
          <w:iCs/>
          <w:sz w:val="25"/>
          <w:szCs w:val="25"/>
          <w:lang w:val="en-GB"/>
        </w:rPr>
        <w:t xml:space="preserve">de facto </w:t>
      </w:r>
      <w:r w:rsidR="00E84F10" w:rsidRPr="00B93EAF">
        <w:rPr>
          <w:rFonts w:ascii="Arial" w:hAnsi="Arial" w:cs="Arial"/>
          <w:sz w:val="25"/>
          <w:szCs w:val="25"/>
          <w:lang w:val="en-GB"/>
        </w:rPr>
        <w:t xml:space="preserve">enjoy the benefits of the property; </w:t>
      </w:r>
      <w:r w:rsidR="005A7221" w:rsidRPr="00B93EAF">
        <w:rPr>
          <w:rFonts w:ascii="Arial" w:hAnsi="Arial" w:cs="Arial"/>
          <w:sz w:val="25"/>
          <w:szCs w:val="25"/>
          <w:lang w:val="en-GB"/>
        </w:rPr>
        <w:t>thus a “beneficial owner” is notionally something different</w:t>
      </w:r>
      <w:r w:rsidR="00E84F10" w:rsidRPr="00B93EAF">
        <w:rPr>
          <w:rFonts w:ascii="Arial" w:hAnsi="Arial" w:cs="Arial"/>
          <w:sz w:val="25"/>
          <w:szCs w:val="25"/>
          <w:lang w:val="en-GB"/>
        </w:rPr>
        <w:t xml:space="preserve"> to </w:t>
      </w:r>
      <w:r w:rsidR="005A7221" w:rsidRPr="00B93EAF">
        <w:rPr>
          <w:rFonts w:ascii="Arial" w:hAnsi="Arial" w:cs="Arial"/>
          <w:sz w:val="25"/>
          <w:szCs w:val="25"/>
          <w:lang w:val="en-GB"/>
        </w:rPr>
        <w:t>a</w:t>
      </w:r>
      <w:r w:rsidR="00E84F10" w:rsidRPr="00B93EAF">
        <w:rPr>
          <w:rFonts w:ascii="Arial" w:hAnsi="Arial" w:cs="Arial"/>
          <w:sz w:val="25"/>
          <w:szCs w:val="25"/>
          <w:lang w:val="en-GB"/>
        </w:rPr>
        <w:t xml:space="preserve"> nominal or registered owner</w:t>
      </w:r>
      <w:r w:rsidR="00D26DF6" w:rsidRPr="00B93EAF">
        <w:rPr>
          <w:rFonts w:ascii="Arial" w:hAnsi="Arial" w:cs="Arial"/>
          <w:sz w:val="25"/>
          <w:szCs w:val="25"/>
          <w:lang w:val="en-GB"/>
        </w:rPr>
        <w:t xml:space="preserve"> in the context of rule 46A</w:t>
      </w:r>
      <w:r w:rsidR="00E84F10" w:rsidRPr="00B93EAF">
        <w:rPr>
          <w:rFonts w:ascii="Arial" w:hAnsi="Arial" w:cs="Arial"/>
          <w:sz w:val="25"/>
          <w:szCs w:val="25"/>
          <w:lang w:val="en-GB"/>
        </w:rPr>
        <w:t>.</w:t>
      </w:r>
    </w:p>
    <w:p w14:paraId="388580A4" w14:textId="4B36FECA" w:rsidR="00317BB2" w:rsidRPr="00B93EAF" w:rsidRDefault="00B93EAF" w:rsidP="00B93EAF">
      <w:pPr>
        <w:spacing w:before="480" w:after="240" w:line="480" w:lineRule="auto"/>
        <w:ind w:left="851" w:hanging="851"/>
        <w:jc w:val="both"/>
        <w:rPr>
          <w:rFonts w:ascii="Arial" w:hAnsi="Arial" w:cs="Arial"/>
          <w:sz w:val="25"/>
          <w:szCs w:val="25"/>
          <w:lang w:val="en-GB"/>
        </w:rPr>
      </w:pPr>
      <w:r>
        <w:rPr>
          <w:rFonts w:ascii="Arial" w:hAnsi="Arial" w:cs="Arial"/>
          <w:sz w:val="25"/>
          <w:szCs w:val="25"/>
          <w:lang w:val="en-GB"/>
        </w:rPr>
        <w:t>[36]</w:t>
      </w:r>
      <w:r>
        <w:rPr>
          <w:rFonts w:ascii="Arial" w:hAnsi="Arial" w:cs="Arial"/>
          <w:sz w:val="25"/>
          <w:szCs w:val="25"/>
          <w:lang w:val="en-GB"/>
        </w:rPr>
        <w:tab/>
      </w:r>
      <w:r w:rsidR="00317BB2" w:rsidRPr="00B93EAF">
        <w:rPr>
          <w:rFonts w:ascii="Arial" w:hAnsi="Arial" w:cs="Arial"/>
          <w:sz w:val="25"/>
          <w:szCs w:val="25"/>
          <w:lang w:val="en-GB"/>
        </w:rPr>
        <w:t xml:space="preserve">In </w:t>
      </w:r>
      <w:r w:rsidR="00317BB2" w:rsidRPr="00B93EAF">
        <w:rPr>
          <w:rFonts w:ascii="Arial" w:hAnsi="Arial" w:cs="Arial"/>
          <w:b/>
          <w:bCs/>
          <w:i/>
          <w:iCs/>
          <w:sz w:val="25"/>
          <w:szCs w:val="25"/>
          <w:lang w:val="en-GB"/>
        </w:rPr>
        <w:t>National Urban</w:t>
      </w:r>
      <w:r w:rsidR="00317BB2" w:rsidRPr="00B93EAF">
        <w:rPr>
          <w:rFonts w:ascii="Arial" w:hAnsi="Arial" w:cs="Arial"/>
          <w:sz w:val="25"/>
          <w:szCs w:val="25"/>
          <w:lang w:val="en-GB"/>
        </w:rPr>
        <w:t>,  </w:t>
      </w:r>
      <w:r w:rsidR="00317BB2">
        <w:rPr>
          <w:rStyle w:val="FootnoteReference"/>
          <w:rFonts w:ascii="Arial" w:hAnsi="Arial" w:cs="Arial"/>
          <w:sz w:val="25"/>
          <w:szCs w:val="25"/>
          <w:lang w:val="en-GB"/>
        </w:rPr>
        <w:footnoteReference w:id="27"/>
      </w:r>
      <w:r w:rsidR="00317BB2" w:rsidRPr="00B93EAF">
        <w:rPr>
          <w:rFonts w:ascii="Arial" w:hAnsi="Arial" w:cs="Arial"/>
          <w:sz w:val="25"/>
          <w:szCs w:val="25"/>
          <w:lang w:val="en-GB"/>
        </w:rPr>
        <w:t>  Maier-</w:t>
      </w:r>
      <w:proofErr w:type="spellStart"/>
      <w:r w:rsidR="00317BB2" w:rsidRPr="00B93EAF">
        <w:rPr>
          <w:rFonts w:ascii="Arial" w:hAnsi="Arial" w:cs="Arial"/>
          <w:sz w:val="25"/>
          <w:szCs w:val="25"/>
          <w:lang w:val="en-GB"/>
        </w:rPr>
        <w:t>Frawley</w:t>
      </w:r>
      <w:proofErr w:type="spellEnd"/>
      <w:r w:rsidR="00317BB2" w:rsidRPr="00B93EAF">
        <w:rPr>
          <w:rFonts w:ascii="Arial" w:hAnsi="Arial" w:cs="Arial"/>
          <w:sz w:val="25"/>
          <w:szCs w:val="25"/>
          <w:lang w:val="en-GB"/>
        </w:rPr>
        <w:t xml:space="preserve"> J was saddled with a similar </w:t>
      </w:r>
      <w:r w:rsidR="007D6190" w:rsidRPr="00B93EAF">
        <w:rPr>
          <w:rFonts w:ascii="Arial" w:hAnsi="Arial" w:cs="Arial"/>
          <w:sz w:val="25"/>
          <w:szCs w:val="25"/>
          <w:lang w:val="en-GB"/>
        </w:rPr>
        <w:t>dilemma to that which I have faced:</w:t>
      </w:r>
      <w:r w:rsidR="00317BB2" w:rsidRPr="00B93EAF">
        <w:rPr>
          <w:rFonts w:ascii="Arial" w:hAnsi="Arial" w:cs="Arial"/>
          <w:sz w:val="25"/>
          <w:szCs w:val="25"/>
          <w:lang w:val="en-GB"/>
        </w:rPr>
        <w:t xml:space="preserve"> </w:t>
      </w:r>
      <w:r w:rsidR="007D6190" w:rsidRPr="00B93EAF">
        <w:rPr>
          <w:rFonts w:ascii="Arial" w:hAnsi="Arial" w:cs="Arial"/>
          <w:sz w:val="25"/>
          <w:szCs w:val="25"/>
          <w:lang w:val="en-GB"/>
        </w:rPr>
        <w:t>o</w:t>
      </w:r>
      <w:r w:rsidR="00317BB2" w:rsidRPr="00B93EAF">
        <w:rPr>
          <w:rFonts w:ascii="Arial" w:hAnsi="Arial" w:cs="Arial"/>
          <w:sz w:val="25"/>
          <w:szCs w:val="25"/>
          <w:lang w:val="en-GB"/>
        </w:rPr>
        <w:t xml:space="preserve">n the one hand, she regarded herself as bound by the </w:t>
      </w:r>
      <w:r w:rsidR="00317BB2" w:rsidRPr="00B93EAF">
        <w:rPr>
          <w:rFonts w:ascii="Arial" w:hAnsi="Arial" w:cs="Arial"/>
          <w:b/>
          <w:bCs/>
          <w:i/>
          <w:iCs/>
          <w:sz w:val="25"/>
          <w:szCs w:val="25"/>
          <w:lang w:val="en-GB"/>
        </w:rPr>
        <w:t>Investec</w:t>
      </w:r>
      <w:r w:rsidR="00317BB2" w:rsidRPr="00B93EAF">
        <w:rPr>
          <w:rFonts w:ascii="Arial" w:hAnsi="Arial" w:cs="Arial"/>
          <w:sz w:val="25"/>
          <w:szCs w:val="25"/>
          <w:lang w:val="en-GB"/>
        </w:rPr>
        <w:t xml:space="preserve"> decision, because she was unable to find that the </w:t>
      </w:r>
      <w:r w:rsidR="00317BB2" w:rsidRPr="00B93EAF">
        <w:rPr>
          <w:rFonts w:ascii="Arial" w:hAnsi="Arial" w:cs="Arial"/>
          <w:b/>
          <w:bCs/>
          <w:i/>
          <w:iCs/>
          <w:sz w:val="25"/>
          <w:szCs w:val="25"/>
          <w:lang w:val="en-GB"/>
        </w:rPr>
        <w:t>Investec</w:t>
      </w:r>
      <w:r w:rsidR="00317BB2" w:rsidRPr="00B93EAF">
        <w:rPr>
          <w:rFonts w:ascii="Arial" w:hAnsi="Arial" w:cs="Arial"/>
          <w:sz w:val="25"/>
          <w:szCs w:val="25"/>
          <w:lang w:val="en-GB"/>
        </w:rPr>
        <w:t xml:space="preserve"> decision was </w:t>
      </w:r>
      <w:r w:rsidR="007D6190" w:rsidRPr="00B93EAF">
        <w:rPr>
          <w:rFonts w:ascii="Arial" w:hAnsi="Arial" w:cs="Arial"/>
          <w:sz w:val="25"/>
          <w:szCs w:val="25"/>
          <w:lang w:val="en-GB"/>
        </w:rPr>
        <w:t xml:space="preserve">clearly </w:t>
      </w:r>
      <w:r w:rsidR="00317BB2" w:rsidRPr="00B93EAF">
        <w:rPr>
          <w:rFonts w:ascii="Arial" w:hAnsi="Arial" w:cs="Arial"/>
          <w:sz w:val="25"/>
          <w:szCs w:val="25"/>
          <w:lang w:val="en-GB"/>
        </w:rPr>
        <w:t>wrong apropos the application of rule 46A;  </w:t>
      </w:r>
      <w:r w:rsidR="00317BB2">
        <w:rPr>
          <w:rStyle w:val="FootnoteReference"/>
          <w:rFonts w:ascii="Arial" w:hAnsi="Arial" w:cs="Arial"/>
          <w:sz w:val="25"/>
          <w:szCs w:val="25"/>
          <w:lang w:val="en-GB"/>
        </w:rPr>
        <w:footnoteReference w:id="28"/>
      </w:r>
      <w:r w:rsidR="00317BB2" w:rsidRPr="00B93EAF">
        <w:rPr>
          <w:rFonts w:ascii="Arial" w:hAnsi="Arial" w:cs="Arial"/>
          <w:sz w:val="25"/>
          <w:szCs w:val="25"/>
          <w:lang w:val="en-GB"/>
        </w:rPr>
        <w:t xml:space="preserve">  </w:t>
      </w:r>
      <w:r w:rsidR="007D6190" w:rsidRPr="00B93EAF">
        <w:rPr>
          <w:rFonts w:ascii="Arial" w:hAnsi="Arial" w:cs="Arial"/>
          <w:sz w:val="25"/>
          <w:szCs w:val="25"/>
          <w:lang w:val="en-GB"/>
        </w:rPr>
        <w:t>and, on the other hand, she</w:t>
      </w:r>
      <w:r w:rsidR="00317BB2" w:rsidRPr="00B93EAF">
        <w:rPr>
          <w:rFonts w:ascii="Arial" w:hAnsi="Arial" w:cs="Arial"/>
          <w:sz w:val="25"/>
          <w:szCs w:val="25"/>
          <w:lang w:val="en-GB"/>
        </w:rPr>
        <w:t xml:space="preserve"> instinctively knew that a special </w:t>
      </w:r>
      <w:proofErr w:type="spellStart"/>
      <w:r w:rsidR="00317BB2" w:rsidRPr="00B93EAF">
        <w:rPr>
          <w:rFonts w:ascii="Arial" w:hAnsi="Arial" w:cs="Arial"/>
          <w:sz w:val="25"/>
          <w:szCs w:val="25"/>
          <w:lang w:val="en-GB"/>
        </w:rPr>
        <w:t>executability</w:t>
      </w:r>
      <w:proofErr w:type="spellEnd"/>
      <w:r w:rsidR="00317BB2" w:rsidRPr="00B93EAF">
        <w:rPr>
          <w:rFonts w:ascii="Arial" w:hAnsi="Arial" w:cs="Arial"/>
          <w:sz w:val="25"/>
          <w:szCs w:val="25"/>
          <w:lang w:val="en-GB"/>
        </w:rPr>
        <w:t xml:space="preserve"> order might well impact upon those in occupation of the property.  </w:t>
      </w:r>
      <w:r w:rsidR="00317BB2">
        <w:rPr>
          <w:rStyle w:val="FootnoteReference"/>
          <w:rFonts w:ascii="Arial" w:hAnsi="Arial" w:cs="Arial"/>
          <w:sz w:val="25"/>
          <w:szCs w:val="25"/>
          <w:lang w:val="en-GB"/>
        </w:rPr>
        <w:footnoteReference w:id="29"/>
      </w:r>
      <w:r w:rsidR="00141330" w:rsidRPr="00B93EAF">
        <w:rPr>
          <w:rFonts w:ascii="Arial" w:hAnsi="Arial" w:cs="Arial"/>
          <w:sz w:val="25"/>
          <w:szCs w:val="25"/>
          <w:lang w:val="en-GB"/>
        </w:rPr>
        <w:t> </w:t>
      </w:r>
      <w:r w:rsidR="00317BB2" w:rsidRPr="00B93EAF">
        <w:rPr>
          <w:rFonts w:ascii="Arial" w:hAnsi="Arial" w:cs="Arial"/>
          <w:sz w:val="25"/>
          <w:szCs w:val="25"/>
          <w:lang w:val="en-GB"/>
        </w:rPr>
        <w:t xml:space="preserve"> </w:t>
      </w:r>
      <w:r w:rsidR="007D6190" w:rsidRPr="00B93EAF">
        <w:rPr>
          <w:rFonts w:ascii="Arial" w:hAnsi="Arial" w:cs="Arial"/>
          <w:sz w:val="25"/>
          <w:szCs w:val="25"/>
          <w:lang w:val="en-GB"/>
        </w:rPr>
        <w:t xml:space="preserve">Faced with this conundrum, </w:t>
      </w:r>
      <w:r w:rsidR="00141330" w:rsidRPr="00B93EAF">
        <w:rPr>
          <w:rFonts w:ascii="Arial" w:hAnsi="Arial" w:cs="Arial"/>
          <w:sz w:val="25"/>
          <w:szCs w:val="25"/>
          <w:lang w:val="en-GB"/>
        </w:rPr>
        <w:t xml:space="preserve">an inquiry in terms of rule 46A was undertaken on the strength of the principles laid down in judgments such as </w:t>
      </w:r>
      <w:proofErr w:type="spellStart"/>
      <w:r w:rsidR="00141330" w:rsidRPr="00B93EAF">
        <w:rPr>
          <w:rFonts w:ascii="Arial" w:hAnsi="Arial" w:cs="Arial"/>
          <w:b/>
          <w:bCs/>
          <w:i/>
          <w:iCs/>
          <w:sz w:val="25"/>
          <w:szCs w:val="25"/>
          <w:lang w:val="en-GB"/>
        </w:rPr>
        <w:lastRenderedPageBreak/>
        <w:t>Jaftha</w:t>
      </w:r>
      <w:proofErr w:type="spellEnd"/>
      <w:r w:rsidR="00141330" w:rsidRPr="00B93EAF">
        <w:rPr>
          <w:rFonts w:ascii="Arial" w:hAnsi="Arial" w:cs="Arial"/>
          <w:sz w:val="25"/>
          <w:szCs w:val="25"/>
          <w:lang w:val="en-GB"/>
        </w:rPr>
        <w:t>,  </w:t>
      </w:r>
      <w:r w:rsidR="00141330">
        <w:rPr>
          <w:rStyle w:val="FootnoteReference"/>
          <w:rFonts w:ascii="Arial" w:hAnsi="Arial" w:cs="Arial"/>
          <w:sz w:val="25"/>
          <w:szCs w:val="25"/>
          <w:lang w:val="en-GB"/>
        </w:rPr>
        <w:footnoteReference w:id="30"/>
      </w:r>
      <w:r w:rsidR="00141330" w:rsidRPr="00B93EAF">
        <w:rPr>
          <w:rFonts w:ascii="Arial" w:hAnsi="Arial" w:cs="Arial"/>
          <w:sz w:val="25"/>
          <w:szCs w:val="25"/>
          <w:lang w:val="en-GB"/>
        </w:rPr>
        <w:t xml:space="preserve">  </w:t>
      </w:r>
      <w:proofErr w:type="spellStart"/>
      <w:r w:rsidR="00141330" w:rsidRPr="00B93EAF">
        <w:rPr>
          <w:rFonts w:ascii="Arial" w:hAnsi="Arial" w:cs="Arial"/>
          <w:b/>
          <w:bCs/>
          <w:i/>
          <w:iCs/>
          <w:sz w:val="25"/>
          <w:szCs w:val="25"/>
          <w:lang w:val="en-GB"/>
        </w:rPr>
        <w:t>Saunderson</w:t>
      </w:r>
      <w:proofErr w:type="spellEnd"/>
      <w:r w:rsidR="00141330" w:rsidRPr="00B93EAF">
        <w:rPr>
          <w:rFonts w:ascii="Arial" w:hAnsi="Arial" w:cs="Arial"/>
          <w:sz w:val="25"/>
          <w:szCs w:val="25"/>
          <w:lang w:val="en-GB"/>
        </w:rPr>
        <w:t>,  </w:t>
      </w:r>
      <w:r w:rsidR="00141330">
        <w:rPr>
          <w:rStyle w:val="FootnoteReference"/>
          <w:rFonts w:ascii="Arial" w:hAnsi="Arial" w:cs="Arial"/>
          <w:sz w:val="25"/>
          <w:szCs w:val="25"/>
          <w:lang w:val="en-GB"/>
        </w:rPr>
        <w:footnoteReference w:id="31"/>
      </w:r>
      <w:r w:rsidR="00141330" w:rsidRPr="00B93EAF">
        <w:rPr>
          <w:rFonts w:ascii="Arial" w:hAnsi="Arial" w:cs="Arial"/>
          <w:sz w:val="25"/>
          <w:szCs w:val="25"/>
          <w:lang w:val="en-GB"/>
        </w:rPr>
        <w:t xml:space="preserve">  and </w:t>
      </w:r>
      <w:proofErr w:type="spellStart"/>
      <w:r w:rsidR="00141330" w:rsidRPr="00B93EAF">
        <w:rPr>
          <w:rFonts w:ascii="Arial" w:hAnsi="Arial" w:cs="Arial"/>
          <w:b/>
          <w:bCs/>
          <w:i/>
          <w:iCs/>
          <w:sz w:val="25"/>
          <w:szCs w:val="25"/>
          <w:lang w:val="en-GB"/>
        </w:rPr>
        <w:t>Gundwana</w:t>
      </w:r>
      <w:proofErr w:type="spellEnd"/>
      <w:r w:rsidR="006C7FDD" w:rsidRPr="00B93EAF">
        <w:rPr>
          <w:rFonts w:ascii="Arial" w:hAnsi="Arial" w:cs="Arial"/>
          <w:sz w:val="25"/>
          <w:szCs w:val="25"/>
          <w:lang w:val="en-GB"/>
        </w:rPr>
        <w:t>.</w:t>
      </w:r>
      <w:r w:rsidR="00141330" w:rsidRPr="00B93EAF">
        <w:rPr>
          <w:rFonts w:ascii="Arial" w:hAnsi="Arial" w:cs="Arial"/>
          <w:sz w:val="25"/>
          <w:szCs w:val="25"/>
          <w:lang w:val="en-GB"/>
        </w:rPr>
        <w:t>  </w:t>
      </w:r>
      <w:r w:rsidR="00141330">
        <w:rPr>
          <w:rStyle w:val="FootnoteReference"/>
          <w:rFonts w:ascii="Arial" w:hAnsi="Arial" w:cs="Arial"/>
          <w:sz w:val="25"/>
          <w:szCs w:val="25"/>
          <w:lang w:val="en-GB"/>
        </w:rPr>
        <w:footnoteReference w:id="32"/>
      </w:r>
      <w:r w:rsidR="002E5559" w:rsidRPr="00B93EAF">
        <w:rPr>
          <w:rFonts w:ascii="Arial" w:hAnsi="Arial" w:cs="Arial"/>
          <w:sz w:val="25"/>
          <w:szCs w:val="25"/>
          <w:lang w:val="en-GB"/>
        </w:rPr>
        <w:t xml:space="preserve">  Effectively, the </w:t>
      </w:r>
      <w:r w:rsidR="002E5559" w:rsidRPr="00B93EAF">
        <w:rPr>
          <w:rFonts w:ascii="Arial" w:hAnsi="Arial" w:cs="Arial"/>
          <w:b/>
          <w:bCs/>
          <w:i/>
          <w:iCs/>
          <w:sz w:val="25"/>
          <w:szCs w:val="25"/>
          <w:lang w:val="en-GB"/>
        </w:rPr>
        <w:t>National Union</w:t>
      </w:r>
      <w:r w:rsidR="002E5559" w:rsidRPr="00B93EAF">
        <w:rPr>
          <w:rFonts w:ascii="Arial" w:hAnsi="Arial" w:cs="Arial"/>
          <w:sz w:val="25"/>
          <w:szCs w:val="25"/>
          <w:lang w:val="en-GB"/>
        </w:rPr>
        <w:t xml:space="preserve"> decision was precognitive of the </w:t>
      </w:r>
      <w:proofErr w:type="spellStart"/>
      <w:r w:rsidR="002E5559" w:rsidRPr="00B93EAF">
        <w:rPr>
          <w:rFonts w:ascii="Arial" w:hAnsi="Arial" w:cs="Arial"/>
          <w:b/>
          <w:bCs/>
          <w:i/>
          <w:iCs/>
          <w:sz w:val="25"/>
          <w:szCs w:val="25"/>
          <w:lang w:val="en-GB"/>
        </w:rPr>
        <w:t>Bestbier</w:t>
      </w:r>
      <w:proofErr w:type="spellEnd"/>
      <w:r w:rsidR="002E5559" w:rsidRPr="00B93EAF">
        <w:rPr>
          <w:rFonts w:ascii="Arial" w:hAnsi="Arial" w:cs="Arial"/>
          <w:sz w:val="25"/>
          <w:szCs w:val="25"/>
          <w:lang w:val="en-GB"/>
        </w:rPr>
        <w:t xml:space="preserve"> decision.</w:t>
      </w:r>
    </w:p>
    <w:p w14:paraId="257EA863" w14:textId="02ABE42E" w:rsidR="005A7221" w:rsidRPr="00B93EAF" w:rsidRDefault="00B93EAF" w:rsidP="00B93EAF">
      <w:pPr>
        <w:keepNext/>
        <w:widowControl w:val="0"/>
        <w:spacing w:before="480" w:after="240" w:line="480" w:lineRule="auto"/>
        <w:ind w:left="851" w:hanging="851"/>
        <w:jc w:val="both"/>
        <w:rPr>
          <w:rFonts w:ascii="Arial" w:hAnsi="Arial" w:cs="Arial"/>
          <w:sz w:val="25"/>
          <w:szCs w:val="25"/>
          <w:lang w:val="en-GB"/>
        </w:rPr>
      </w:pPr>
      <w:r>
        <w:rPr>
          <w:rFonts w:ascii="Arial" w:hAnsi="Arial" w:cs="Arial"/>
          <w:sz w:val="25"/>
          <w:szCs w:val="25"/>
          <w:lang w:val="en-GB"/>
        </w:rPr>
        <w:t>[37]</w:t>
      </w:r>
      <w:r>
        <w:rPr>
          <w:rFonts w:ascii="Arial" w:hAnsi="Arial" w:cs="Arial"/>
          <w:sz w:val="25"/>
          <w:szCs w:val="25"/>
          <w:lang w:val="en-GB"/>
        </w:rPr>
        <w:tab/>
      </w:r>
      <w:r w:rsidR="005A7221" w:rsidRPr="00B93EAF">
        <w:rPr>
          <w:rFonts w:ascii="Arial" w:hAnsi="Arial" w:cs="Arial"/>
          <w:sz w:val="25"/>
          <w:szCs w:val="25"/>
          <w:lang w:val="en-GB"/>
        </w:rPr>
        <w:t xml:space="preserve">My concern </w:t>
      </w:r>
      <w:r w:rsidR="00041463" w:rsidRPr="00B93EAF">
        <w:rPr>
          <w:rFonts w:ascii="Arial" w:hAnsi="Arial" w:cs="Arial"/>
          <w:sz w:val="25"/>
          <w:szCs w:val="25"/>
          <w:lang w:val="en-GB"/>
        </w:rPr>
        <w:t xml:space="preserve">with the decision in </w:t>
      </w:r>
      <w:r w:rsidR="00041463" w:rsidRPr="00B93EAF">
        <w:rPr>
          <w:rFonts w:ascii="Arial" w:hAnsi="Arial" w:cs="Arial"/>
          <w:b/>
          <w:bCs/>
          <w:i/>
          <w:iCs/>
          <w:sz w:val="25"/>
          <w:szCs w:val="25"/>
          <w:lang w:val="en-GB"/>
        </w:rPr>
        <w:t>Investec</w:t>
      </w:r>
      <w:r w:rsidR="00041463" w:rsidRPr="00B93EAF">
        <w:rPr>
          <w:rFonts w:ascii="Arial" w:hAnsi="Arial" w:cs="Arial"/>
          <w:sz w:val="25"/>
          <w:szCs w:val="25"/>
          <w:lang w:val="en-GB"/>
        </w:rPr>
        <w:t xml:space="preserve"> </w:t>
      </w:r>
      <w:r w:rsidR="005A7221" w:rsidRPr="00B93EAF">
        <w:rPr>
          <w:rFonts w:ascii="Arial" w:hAnsi="Arial" w:cs="Arial"/>
          <w:sz w:val="25"/>
          <w:szCs w:val="25"/>
          <w:lang w:val="en-GB"/>
        </w:rPr>
        <w:t xml:space="preserve">was alleviated when I discovered the </w:t>
      </w:r>
      <w:proofErr w:type="spellStart"/>
      <w:r w:rsidR="005A7221" w:rsidRPr="00B93EAF">
        <w:rPr>
          <w:rFonts w:ascii="Arial" w:hAnsi="Arial" w:cs="Arial"/>
          <w:b/>
          <w:bCs/>
          <w:i/>
          <w:iCs/>
          <w:sz w:val="25"/>
          <w:szCs w:val="25"/>
          <w:lang w:val="en-GB"/>
        </w:rPr>
        <w:t>Bestbier</w:t>
      </w:r>
      <w:proofErr w:type="spellEnd"/>
      <w:r w:rsidR="005A7221" w:rsidRPr="00B93EAF">
        <w:rPr>
          <w:rFonts w:ascii="Arial" w:hAnsi="Arial" w:cs="Arial"/>
          <w:sz w:val="25"/>
          <w:szCs w:val="25"/>
          <w:lang w:val="en-GB"/>
        </w:rPr>
        <w:t xml:space="preserve"> decision.  There, it was held:  </w:t>
      </w:r>
      <w:r w:rsidR="005A7221">
        <w:rPr>
          <w:rStyle w:val="FootnoteReference"/>
          <w:rFonts w:ascii="Arial" w:hAnsi="Arial" w:cs="Arial"/>
          <w:sz w:val="25"/>
          <w:szCs w:val="25"/>
          <w:lang w:val="en-GB"/>
        </w:rPr>
        <w:footnoteReference w:id="33"/>
      </w:r>
    </w:p>
    <w:p w14:paraId="41706895" w14:textId="5A8917A3" w:rsidR="00CA1692" w:rsidRPr="00CA1692" w:rsidRDefault="00CA1692" w:rsidP="00CA1692">
      <w:pPr>
        <w:spacing w:before="240" w:after="240" w:line="360" w:lineRule="auto"/>
        <w:ind w:left="1440"/>
        <w:jc w:val="both"/>
        <w:rPr>
          <w:rFonts w:ascii="Arial" w:hAnsi="Arial" w:cs="Arial"/>
          <w:color w:val="000000"/>
          <w:sz w:val="22"/>
          <w:szCs w:val="22"/>
        </w:rPr>
      </w:pPr>
      <w:r w:rsidRPr="00CA1692">
        <w:rPr>
          <w:rFonts w:ascii="Arial" w:hAnsi="Arial" w:cs="Arial"/>
          <w:color w:val="000000"/>
          <w:sz w:val="22"/>
          <w:szCs w:val="22"/>
        </w:rPr>
        <w:t xml:space="preserve">[25] The text of rule </w:t>
      </w:r>
      <w:proofErr w:type="gramStart"/>
      <w:r w:rsidRPr="00CA1692">
        <w:rPr>
          <w:rFonts w:ascii="Arial" w:hAnsi="Arial" w:cs="Arial"/>
          <w:color w:val="000000"/>
          <w:sz w:val="22"/>
          <w:szCs w:val="22"/>
        </w:rPr>
        <w:t>46A(</w:t>
      </w:r>
      <w:proofErr w:type="gramEnd"/>
      <w:r w:rsidRPr="00CA1692">
        <w:rPr>
          <w:rFonts w:ascii="Arial" w:hAnsi="Arial" w:cs="Arial"/>
          <w:color w:val="000000"/>
          <w:sz w:val="22"/>
          <w:szCs w:val="22"/>
        </w:rPr>
        <w:t xml:space="preserve">1) reveals that the rule applies whenever an execution creditor seeks to execute against residential immovable property of a judgment debtor. Notably, rule </w:t>
      </w:r>
      <w:proofErr w:type="gramStart"/>
      <w:r w:rsidRPr="00CA1692">
        <w:rPr>
          <w:rFonts w:ascii="Arial" w:hAnsi="Arial" w:cs="Arial"/>
          <w:color w:val="000000"/>
          <w:sz w:val="22"/>
          <w:szCs w:val="22"/>
        </w:rPr>
        <w:t>46A(</w:t>
      </w:r>
      <w:proofErr w:type="gramEnd"/>
      <w:r w:rsidRPr="00CA1692">
        <w:rPr>
          <w:rFonts w:ascii="Arial" w:hAnsi="Arial" w:cs="Arial"/>
          <w:color w:val="000000"/>
          <w:sz w:val="22"/>
          <w:szCs w:val="22"/>
        </w:rPr>
        <w:t>2) provides that a court considering an application in which a creditor seeks to execute against the judgment debtor's immovable property must consider various matters.</w:t>
      </w:r>
      <w:bookmarkStart w:id="1" w:name="0-0-0-16563"/>
      <w:bookmarkEnd w:id="1"/>
      <w:r w:rsidRPr="00CA1692">
        <w:rPr>
          <w:rStyle w:val="apple-converted-space"/>
          <w:rFonts w:ascii="Arial" w:hAnsi="Arial" w:cs="Arial"/>
          <w:color w:val="000000"/>
          <w:sz w:val="22"/>
          <w:szCs w:val="22"/>
        </w:rPr>
        <w:t> </w:t>
      </w:r>
      <w:r>
        <w:rPr>
          <w:rStyle w:val="apple-converted-space"/>
          <w:rFonts w:ascii="Arial" w:hAnsi="Arial" w:cs="Arial"/>
          <w:color w:val="000000"/>
          <w:sz w:val="22"/>
          <w:szCs w:val="22"/>
        </w:rPr>
        <w:t xml:space="preserve"> </w:t>
      </w:r>
      <w:r w:rsidRPr="00CA1692">
        <w:rPr>
          <w:rFonts w:ascii="Arial" w:hAnsi="Arial" w:cs="Arial"/>
          <w:color w:val="000000"/>
          <w:sz w:val="22"/>
          <w:szCs w:val="22"/>
        </w:rPr>
        <w:t xml:space="preserve">Given that rule </w:t>
      </w:r>
      <w:proofErr w:type="gramStart"/>
      <w:r w:rsidRPr="00CA1692">
        <w:rPr>
          <w:rFonts w:ascii="Arial" w:hAnsi="Arial" w:cs="Arial"/>
          <w:color w:val="000000"/>
          <w:sz w:val="22"/>
          <w:szCs w:val="22"/>
        </w:rPr>
        <w:t>46A(</w:t>
      </w:r>
      <w:proofErr w:type="gramEnd"/>
      <w:r w:rsidRPr="00CA1692">
        <w:rPr>
          <w:rFonts w:ascii="Arial" w:hAnsi="Arial" w:cs="Arial"/>
          <w:color w:val="000000"/>
          <w:sz w:val="22"/>
          <w:szCs w:val="22"/>
        </w:rPr>
        <w:t xml:space="preserve">2) provides that a court </w:t>
      </w:r>
      <w:r>
        <w:rPr>
          <w:rFonts w:ascii="Arial" w:hAnsi="Arial" w:cs="Arial"/>
          <w:color w:val="000000"/>
          <w:sz w:val="22"/>
          <w:szCs w:val="22"/>
        </w:rPr>
        <w:t>‘</w:t>
      </w:r>
      <w:r w:rsidRPr="00CA1692">
        <w:rPr>
          <w:rFonts w:ascii="Arial" w:hAnsi="Arial" w:cs="Arial"/>
          <w:color w:val="000000"/>
          <w:sz w:val="22"/>
          <w:szCs w:val="22"/>
        </w:rPr>
        <w:t>shall not</w:t>
      </w:r>
      <w:r>
        <w:rPr>
          <w:rFonts w:ascii="Arial" w:hAnsi="Arial" w:cs="Arial"/>
          <w:color w:val="000000"/>
          <w:sz w:val="22"/>
          <w:szCs w:val="22"/>
        </w:rPr>
        <w:t>’</w:t>
      </w:r>
      <w:r w:rsidRPr="00CA1692">
        <w:rPr>
          <w:rFonts w:ascii="Arial" w:hAnsi="Arial" w:cs="Arial"/>
          <w:color w:val="000000"/>
          <w:sz w:val="22"/>
          <w:szCs w:val="22"/>
        </w:rPr>
        <w:t xml:space="preserve"> authorise</w:t>
      </w:r>
      <w:r>
        <w:rPr>
          <w:rFonts w:ascii="Arial" w:hAnsi="Arial" w:cs="Arial"/>
          <w:color w:val="000000"/>
          <w:sz w:val="22"/>
          <w:szCs w:val="22"/>
        </w:rPr>
        <w:t xml:space="preserve"> </w:t>
      </w:r>
      <w:r w:rsidRPr="00CA1692">
        <w:rPr>
          <w:rFonts w:ascii="Arial" w:hAnsi="Arial" w:cs="Arial"/>
          <w:color w:val="000000"/>
          <w:sz w:val="22"/>
          <w:szCs w:val="22"/>
        </w:rPr>
        <w:t xml:space="preserve">execution unless </w:t>
      </w:r>
      <w:r>
        <w:rPr>
          <w:rFonts w:ascii="Arial" w:hAnsi="Arial" w:cs="Arial"/>
          <w:color w:val="000000"/>
          <w:sz w:val="22"/>
          <w:szCs w:val="22"/>
        </w:rPr>
        <w:t>‘</w:t>
      </w:r>
      <w:r w:rsidRPr="00CA1692">
        <w:rPr>
          <w:rFonts w:ascii="Arial" w:hAnsi="Arial" w:cs="Arial"/>
          <w:color w:val="000000"/>
          <w:sz w:val="22"/>
          <w:szCs w:val="22"/>
        </w:rPr>
        <w:t>all relevant factors</w:t>
      </w:r>
      <w:r>
        <w:rPr>
          <w:rFonts w:ascii="Arial" w:hAnsi="Arial" w:cs="Arial"/>
          <w:color w:val="000000"/>
          <w:sz w:val="22"/>
          <w:szCs w:val="22"/>
        </w:rPr>
        <w:t>’</w:t>
      </w:r>
      <w:r w:rsidRPr="00CA1692">
        <w:rPr>
          <w:rFonts w:ascii="Arial" w:hAnsi="Arial" w:cs="Arial"/>
          <w:color w:val="000000"/>
          <w:sz w:val="22"/>
          <w:szCs w:val="22"/>
        </w:rPr>
        <w:t xml:space="preserve"> have been considered, I can see no reason why the fact, that the relevant immovable property is owned by a trust and occupied as a place of residence by the beneficiaries of that trust, should not be one of the factors to be taken into account. It is also noteworthy that rule </w:t>
      </w:r>
      <w:proofErr w:type="gramStart"/>
      <w:r w:rsidRPr="00CA1692">
        <w:rPr>
          <w:rFonts w:ascii="Arial" w:hAnsi="Arial" w:cs="Arial"/>
          <w:color w:val="000000"/>
          <w:sz w:val="22"/>
          <w:szCs w:val="22"/>
        </w:rPr>
        <w:t>46A(</w:t>
      </w:r>
      <w:proofErr w:type="gramEnd"/>
      <w:r w:rsidRPr="00CA1692">
        <w:rPr>
          <w:rFonts w:ascii="Arial" w:hAnsi="Arial" w:cs="Arial"/>
          <w:color w:val="000000"/>
          <w:sz w:val="22"/>
          <w:szCs w:val="22"/>
        </w:rPr>
        <w:t xml:space="preserve">3) requires that </w:t>
      </w:r>
      <w:r>
        <w:rPr>
          <w:rFonts w:ascii="Arial" w:hAnsi="Arial" w:cs="Arial"/>
          <w:color w:val="000000"/>
          <w:sz w:val="22"/>
          <w:szCs w:val="22"/>
        </w:rPr>
        <w:t>‘</w:t>
      </w:r>
      <w:r w:rsidRPr="00CA1692">
        <w:rPr>
          <w:rFonts w:ascii="Arial" w:hAnsi="Arial" w:cs="Arial"/>
          <w:color w:val="000000"/>
          <w:sz w:val="22"/>
          <w:szCs w:val="22"/>
        </w:rPr>
        <w:t>every notice of application to declare residential immovable property executable shall be . . . on notice to the judgment debtor</w:t>
      </w:r>
      <w:r w:rsidRPr="00CA1692">
        <w:rPr>
          <w:rStyle w:val="apple-converted-space"/>
          <w:rFonts w:ascii="Arial" w:hAnsi="Arial" w:cs="Arial"/>
          <w:color w:val="000000"/>
          <w:sz w:val="22"/>
          <w:szCs w:val="22"/>
        </w:rPr>
        <w:t> </w:t>
      </w:r>
      <w:r w:rsidRPr="00CA1692">
        <w:rPr>
          <w:rFonts w:ascii="Arial" w:hAnsi="Arial" w:cs="Arial"/>
          <w:i/>
          <w:iCs/>
          <w:color w:val="000000"/>
          <w:sz w:val="22"/>
          <w:szCs w:val="22"/>
        </w:rPr>
        <w:t>and to any other party who may be affected by the sale in execution</w:t>
      </w:r>
      <w:r w:rsidRPr="00CA1692">
        <w:rPr>
          <w:rStyle w:val="apple-converted-space"/>
          <w:rFonts w:ascii="Arial" w:hAnsi="Arial" w:cs="Arial"/>
          <w:color w:val="000000"/>
          <w:sz w:val="22"/>
          <w:szCs w:val="22"/>
        </w:rPr>
        <w:t> </w:t>
      </w:r>
      <w:r w:rsidRPr="00CA1692">
        <w:rPr>
          <w:rFonts w:ascii="Arial" w:hAnsi="Arial" w:cs="Arial"/>
          <w:color w:val="000000"/>
          <w:sz w:val="22"/>
          <w:szCs w:val="22"/>
        </w:rPr>
        <w:t>. . .</w:t>
      </w:r>
      <w:r>
        <w:rPr>
          <w:rFonts w:ascii="Arial" w:hAnsi="Arial" w:cs="Arial"/>
          <w:color w:val="000000"/>
          <w:sz w:val="22"/>
          <w:szCs w:val="22"/>
        </w:rPr>
        <w:t>’</w:t>
      </w:r>
      <w:r w:rsidRPr="00CA1692">
        <w:rPr>
          <w:rFonts w:ascii="Arial" w:hAnsi="Arial" w:cs="Arial"/>
          <w:color w:val="000000"/>
          <w:sz w:val="22"/>
          <w:szCs w:val="22"/>
        </w:rPr>
        <w:t>. (Own emphasis.)</w:t>
      </w:r>
    </w:p>
    <w:p w14:paraId="1068F299" w14:textId="35EDF879" w:rsidR="00CA1692" w:rsidRPr="00CA1692" w:rsidRDefault="00CA1692" w:rsidP="00CA1692">
      <w:pPr>
        <w:spacing w:before="240" w:after="240" w:line="360" w:lineRule="auto"/>
        <w:ind w:left="1440"/>
        <w:jc w:val="both"/>
        <w:rPr>
          <w:rFonts w:ascii="Arial" w:hAnsi="Arial" w:cs="Arial"/>
          <w:color w:val="000000"/>
          <w:sz w:val="22"/>
          <w:szCs w:val="22"/>
        </w:rPr>
      </w:pPr>
      <w:r w:rsidRPr="00CA1692">
        <w:rPr>
          <w:rFonts w:ascii="Arial" w:hAnsi="Arial" w:cs="Arial"/>
          <w:color w:val="000000"/>
          <w:sz w:val="22"/>
          <w:szCs w:val="22"/>
        </w:rPr>
        <w:t>[26] It is clear from a plain reading of the entire text of rule 46A that it is important to have a preceding enquiry in all cases where the immovable property of the judgment debtor is used as residential immovable property. This preceding enquiry should be directed at establishing whether the persons occupying the immovable property in question are of the</w:t>
      </w:r>
      <w:r w:rsidRPr="00CA1692">
        <w:rPr>
          <w:rStyle w:val="apple-converted-space"/>
          <w:rFonts w:ascii="Arial" w:hAnsi="Arial" w:cs="Arial"/>
          <w:color w:val="000000"/>
          <w:sz w:val="22"/>
          <w:szCs w:val="22"/>
        </w:rPr>
        <w:t> </w:t>
      </w:r>
      <w:proofErr w:type="spellStart"/>
      <w:r w:rsidRPr="00CA1692">
        <w:rPr>
          <w:rFonts w:ascii="Arial" w:hAnsi="Arial" w:cs="Arial"/>
          <w:i/>
          <w:iCs/>
          <w:color w:val="000000"/>
          <w:sz w:val="22"/>
          <w:szCs w:val="22"/>
        </w:rPr>
        <w:t>Jaftha</w:t>
      </w:r>
      <w:proofErr w:type="spellEnd"/>
      <w:r w:rsidRPr="00CA1692">
        <w:rPr>
          <w:rStyle w:val="apple-converted-space"/>
          <w:rFonts w:ascii="Arial" w:hAnsi="Arial" w:cs="Arial"/>
          <w:color w:val="000000"/>
          <w:sz w:val="22"/>
          <w:szCs w:val="22"/>
        </w:rPr>
        <w:t> </w:t>
      </w:r>
      <w:r w:rsidRPr="00CA1692">
        <w:rPr>
          <w:rFonts w:ascii="Arial" w:hAnsi="Arial" w:cs="Arial"/>
          <w:color w:val="000000"/>
          <w:sz w:val="22"/>
          <w:szCs w:val="22"/>
        </w:rPr>
        <w:t>kind.</w:t>
      </w:r>
      <w:r w:rsidRPr="00CA1692">
        <w:rPr>
          <w:rStyle w:val="apple-converted-space"/>
          <w:rFonts w:ascii="Arial" w:hAnsi="Arial" w:cs="Arial"/>
          <w:color w:val="000000"/>
          <w:sz w:val="22"/>
          <w:szCs w:val="22"/>
        </w:rPr>
        <w:t> </w:t>
      </w:r>
      <w:bookmarkStart w:id="2" w:name="0-0-0-16567"/>
      <w:bookmarkEnd w:id="2"/>
      <w:r w:rsidRPr="00CA1692">
        <w:rPr>
          <w:rFonts w:ascii="Arial" w:hAnsi="Arial" w:cs="Arial"/>
          <w:color w:val="000000"/>
          <w:sz w:val="22"/>
          <w:szCs w:val="22"/>
        </w:rPr>
        <w:t xml:space="preserve"> As I see it, a creditor seeking to execute against immovable property owned by a trust would have to establish whether beneficiaries of that trust occupy the immovable property in question. Where that has been established, rule 46A would have to be followed and, consequently, rule 33 of the Practice Directive would have to be complied with. I therefore disagree with the submission made by the respondent's counsel that the person to be protected by rule 46A is, in </w:t>
      </w:r>
      <w:r w:rsidRPr="00CA1692">
        <w:rPr>
          <w:rFonts w:ascii="Arial" w:hAnsi="Arial" w:cs="Arial"/>
          <w:color w:val="000000"/>
          <w:sz w:val="22"/>
          <w:szCs w:val="22"/>
        </w:rPr>
        <w:lastRenderedPageBreak/>
        <w:t>the tradition of</w:t>
      </w:r>
      <w:r w:rsidRPr="00CA1692">
        <w:rPr>
          <w:rStyle w:val="apple-converted-space"/>
          <w:rFonts w:ascii="Arial" w:hAnsi="Arial" w:cs="Arial"/>
          <w:color w:val="000000"/>
          <w:sz w:val="22"/>
          <w:szCs w:val="22"/>
        </w:rPr>
        <w:t> </w:t>
      </w:r>
      <w:proofErr w:type="spellStart"/>
      <w:r w:rsidRPr="00CA1692">
        <w:rPr>
          <w:rFonts w:ascii="Arial" w:hAnsi="Arial" w:cs="Arial"/>
          <w:b/>
          <w:bCs/>
          <w:i/>
          <w:iCs/>
          <w:color w:val="000000"/>
          <w:sz w:val="22"/>
          <w:szCs w:val="22"/>
        </w:rPr>
        <w:t>Jaftha</w:t>
      </w:r>
      <w:proofErr w:type="spellEnd"/>
      <w:r w:rsidRPr="00CA1692">
        <w:rPr>
          <w:rStyle w:val="apple-converted-space"/>
          <w:rFonts w:ascii="Arial" w:hAnsi="Arial" w:cs="Arial"/>
          <w:color w:val="000000"/>
          <w:sz w:val="22"/>
          <w:szCs w:val="22"/>
        </w:rPr>
        <w:t> </w:t>
      </w:r>
      <w:r w:rsidRPr="00CA1692">
        <w:rPr>
          <w:rFonts w:ascii="Arial" w:hAnsi="Arial" w:cs="Arial"/>
          <w:color w:val="000000"/>
          <w:sz w:val="22"/>
          <w:szCs w:val="22"/>
        </w:rPr>
        <w:t>and</w:t>
      </w:r>
      <w:r w:rsidRPr="00CA1692">
        <w:rPr>
          <w:rStyle w:val="apple-converted-space"/>
          <w:rFonts w:ascii="Arial" w:hAnsi="Arial" w:cs="Arial"/>
          <w:color w:val="000000"/>
          <w:sz w:val="22"/>
          <w:szCs w:val="22"/>
        </w:rPr>
        <w:t> </w:t>
      </w:r>
      <w:proofErr w:type="spellStart"/>
      <w:r w:rsidRPr="00CA1692">
        <w:rPr>
          <w:rFonts w:ascii="Arial" w:hAnsi="Arial" w:cs="Arial"/>
          <w:b/>
          <w:bCs/>
          <w:i/>
          <w:iCs/>
          <w:color w:val="000000"/>
          <w:sz w:val="22"/>
          <w:szCs w:val="22"/>
        </w:rPr>
        <w:t>Gundwana</w:t>
      </w:r>
      <w:proofErr w:type="spellEnd"/>
      <w:r w:rsidRPr="00CA1692">
        <w:rPr>
          <w:rFonts w:ascii="Arial" w:hAnsi="Arial" w:cs="Arial"/>
          <w:color w:val="000000"/>
          <w:sz w:val="22"/>
          <w:szCs w:val="22"/>
        </w:rPr>
        <w:t xml:space="preserve">, a natural person and not a legal persona such as a company or a close corporation, nor an institution such as a trust, </w:t>
      </w:r>
      <w:r>
        <w:rPr>
          <w:rFonts w:ascii="Arial" w:hAnsi="Arial" w:cs="Arial"/>
          <w:color w:val="000000"/>
          <w:sz w:val="22"/>
          <w:szCs w:val="22"/>
        </w:rPr>
        <w:t>‘</w:t>
      </w:r>
      <w:r w:rsidRPr="00CA1692">
        <w:rPr>
          <w:rFonts w:ascii="Arial" w:hAnsi="Arial" w:cs="Arial"/>
          <w:color w:val="000000"/>
          <w:sz w:val="22"/>
          <w:szCs w:val="22"/>
        </w:rPr>
        <w:t>even if the immovable property is the shareholder's, member's or beneficiary's only residence</w:t>
      </w:r>
      <w:r>
        <w:rPr>
          <w:rFonts w:ascii="Arial" w:hAnsi="Arial" w:cs="Arial"/>
          <w:color w:val="000000"/>
          <w:sz w:val="22"/>
          <w:szCs w:val="22"/>
        </w:rPr>
        <w:t>’</w:t>
      </w:r>
      <w:r w:rsidRPr="00CA1692">
        <w:rPr>
          <w:rFonts w:ascii="Arial" w:hAnsi="Arial" w:cs="Arial"/>
          <w:color w:val="000000"/>
          <w:sz w:val="22"/>
          <w:szCs w:val="22"/>
        </w:rPr>
        <w:t>.</w:t>
      </w:r>
      <w:r w:rsidRPr="00CA1692">
        <w:rPr>
          <w:rStyle w:val="apple-converted-space"/>
          <w:rFonts w:ascii="Arial" w:hAnsi="Arial" w:cs="Arial"/>
          <w:color w:val="000000"/>
          <w:sz w:val="22"/>
          <w:szCs w:val="22"/>
        </w:rPr>
        <w:t> </w:t>
      </w:r>
      <w:bookmarkStart w:id="3" w:name="0-0-0-16571"/>
      <w:bookmarkEnd w:id="3"/>
      <w:r w:rsidRPr="00CA1692">
        <w:rPr>
          <w:rFonts w:ascii="Arial" w:hAnsi="Arial" w:cs="Arial"/>
          <w:color w:val="000000"/>
          <w:sz w:val="22"/>
          <w:szCs w:val="22"/>
        </w:rPr>
        <w:t xml:space="preserve"> Clearly, a blanket approach that considers all immovable property held in the name of a juristic person to fall outside the protection of rule 46A is too narrow.</w:t>
      </w:r>
    </w:p>
    <w:p w14:paraId="252FA296" w14:textId="77777777" w:rsidR="00CA1692" w:rsidRPr="00CA1692" w:rsidRDefault="00CA1692" w:rsidP="00CA1692">
      <w:pPr>
        <w:spacing w:before="240" w:after="240" w:line="360" w:lineRule="auto"/>
        <w:ind w:left="1440"/>
        <w:jc w:val="both"/>
        <w:rPr>
          <w:rFonts w:ascii="Arial" w:hAnsi="Arial" w:cs="Arial"/>
          <w:color w:val="000000"/>
          <w:sz w:val="22"/>
          <w:szCs w:val="22"/>
        </w:rPr>
      </w:pPr>
      <w:r w:rsidRPr="00CA1692">
        <w:rPr>
          <w:rFonts w:ascii="Arial" w:hAnsi="Arial" w:cs="Arial"/>
          <w:color w:val="000000"/>
          <w:sz w:val="22"/>
          <w:szCs w:val="22"/>
        </w:rPr>
        <w:t>[27] Due regard must be had to the impact that the sale in execution is likely to have on vulnerable and poor beneficiaries who are occupying the immovable property owned by the judgment debtor, who are at risk of losing their only homes. Given the clear provisions of rule 46A, I can see no reason why trust beneficiaries who fall into the</w:t>
      </w:r>
      <w:r w:rsidRPr="00CA1692">
        <w:rPr>
          <w:rStyle w:val="apple-converted-space"/>
          <w:rFonts w:ascii="Arial" w:hAnsi="Arial" w:cs="Arial"/>
          <w:color w:val="000000"/>
          <w:sz w:val="22"/>
          <w:szCs w:val="22"/>
        </w:rPr>
        <w:t> </w:t>
      </w:r>
      <w:proofErr w:type="spellStart"/>
      <w:r w:rsidRPr="00CA1692">
        <w:rPr>
          <w:rFonts w:ascii="Arial" w:hAnsi="Arial" w:cs="Arial"/>
          <w:b/>
          <w:bCs/>
          <w:i/>
          <w:iCs/>
          <w:color w:val="000000"/>
          <w:sz w:val="22"/>
          <w:szCs w:val="22"/>
        </w:rPr>
        <w:t>Jaftha</w:t>
      </w:r>
      <w:proofErr w:type="spellEnd"/>
      <w:r w:rsidRPr="00CA1692">
        <w:rPr>
          <w:rStyle w:val="apple-converted-space"/>
          <w:rFonts w:ascii="Arial" w:hAnsi="Arial" w:cs="Arial"/>
          <w:color w:val="000000"/>
          <w:sz w:val="22"/>
          <w:szCs w:val="22"/>
        </w:rPr>
        <w:t> </w:t>
      </w:r>
      <w:r w:rsidRPr="00CA1692">
        <w:rPr>
          <w:rFonts w:ascii="Arial" w:hAnsi="Arial" w:cs="Arial"/>
          <w:color w:val="000000"/>
          <w:sz w:val="22"/>
          <w:szCs w:val="22"/>
        </w:rPr>
        <w:t>kind category and occupy the trust's immovable property as a primary residence (and are thus likely to be affected by the order declaring the immovable property specially executable) should be barred from the protection of rule 46A merely because the property in question is owned by a trust.</w:t>
      </w:r>
    </w:p>
    <w:p w14:paraId="42305922" w14:textId="66B1C33B" w:rsidR="00E06E7E" w:rsidRPr="00B93EAF" w:rsidRDefault="00B93EAF" w:rsidP="00B93EAF">
      <w:pPr>
        <w:spacing w:before="480" w:after="240" w:line="480" w:lineRule="auto"/>
        <w:ind w:left="851" w:hanging="851"/>
        <w:jc w:val="both"/>
        <w:rPr>
          <w:rFonts w:ascii="Arial" w:hAnsi="Arial" w:cs="Arial"/>
          <w:sz w:val="25"/>
          <w:szCs w:val="25"/>
          <w:lang w:val="en-GB"/>
        </w:rPr>
      </w:pPr>
      <w:r w:rsidRPr="007F0681">
        <w:rPr>
          <w:rFonts w:ascii="Arial" w:hAnsi="Arial" w:cs="Arial"/>
          <w:sz w:val="25"/>
          <w:szCs w:val="25"/>
          <w:lang w:val="en-GB"/>
        </w:rPr>
        <w:t>[38]</w:t>
      </w:r>
      <w:r w:rsidRPr="007F0681">
        <w:rPr>
          <w:rFonts w:ascii="Arial" w:hAnsi="Arial" w:cs="Arial"/>
          <w:sz w:val="25"/>
          <w:szCs w:val="25"/>
          <w:lang w:val="en-GB"/>
        </w:rPr>
        <w:tab/>
      </w:r>
      <w:r w:rsidR="00CA1692" w:rsidRPr="00B93EAF">
        <w:rPr>
          <w:rFonts w:ascii="Arial" w:hAnsi="Arial" w:cs="Arial"/>
          <w:sz w:val="25"/>
          <w:szCs w:val="25"/>
          <w:lang w:val="en-GB"/>
        </w:rPr>
        <w:t xml:space="preserve">This interpretation </w:t>
      </w:r>
      <w:r w:rsidR="007D6190" w:rsidRPr="00B93EAF">
        <w:rPr>
          <w:rFonts w:ascii="Arial" w:hAnsi="Arial" w:cs="Arial"/>
          <w:sz w:val="25"/>
          <w:szCs w:val="25"/>
          <w:lang w:val="en-GB"/>
        </w:rPr>
        <w:t>obliges the</w:t>
      </w:r>
      <w:r w:rsidR="00CA1692" w:rsidRPr="00B93EAF">
        <w:rPr>
          <w:rFonts w:ascii="Arial" w:hAnsi="Arial" w:cs="Arial"/>
          <w:sz w:val="25"/>
          <w:szCs w:val="25"/>
          <w:lang w:val="en-GB"/>
        </w:rPr>
        <w:t xml:space="preserve"> application of rule 46A</w:t>
      </w:r>
      <w:r w:rsidR="009B3803" w:rsidRPr="00B93EAF">
        <w:rPr>
          <w:rFonts w:ascii="Arial" w:hAnsi="Arial" w:cs="Arial"/>
          <w:sz w:val="25"/>
          <w:szCs w:val="25"/>
          <w:lang w:val="en-GB"/>
        </w:rPr>
        <w:t>,</w:t>
      </w:r>
      <w:r w:rsidR="00CA1692" w:rsidRPr="00B93EAF">
        <w:rPr>
          <w:rFonts w:ascii="Arial" w:hAnsi="Arial" w:cs="Arial"/>
          <w:sz w:val="25"/>
          <w:szCs w:val="25"/>
          <w:lang w:val="en-GB"/>
        </w:rPr>
        <w:t xml:space="preserve"> </w:t>
      </w:r>
      <w:r w:rsidR="007D6190" w:rsidRPr="00B93EAF">
        <w:rPr>
          <w:rFonts w:ascii="Arial" w:hAnsi="Arial" w:cs="Arial"/>
          <w:sz w:val="25"/>
          <w:szCs w:val="25"/>
          <w:lang w:val="en-GB"/>
        </w:rPr>
        <w:t>whenever execution is sought against residential property</w:t>
      </w:r>
      <w:r w:rsidR="009B3803" w:rsidRPr="00B93EAF">
        <w:rPr>
          <w:rFonts w:ascii="Arial" w:hAnsi="Arial" w:cs="Arial"/>
          <w:sz w:val="25"/>
          <w:szCs w:val="25"/>
          <w:lang w:val="en-GB"/>
        </w:rPr>
        <w:t>,</w:t>
      </w:r>
      <w:r w:rsidR="007D6190" w:rsidRPr="00B93EAF">
        <w:rPr>
          <w:rFonts w:ascii="Arial" w:hAnsi="Arial" w:cs="Arial"/>
          <w:sz w:val="25"/>
          <w:szCs w:val="25"/>
          <w:lang w:val="en-GB"/>
        </w:rPr>
        <w:t xml:space="preserve"> and allows no scope for</w:t>
      </w:r>
      <w:r w:rsidR="00CA1692" w:rsidRPr="00B93EAF">
        <w:rPr>
          <w:rFonts w:ascii="Arial" w:hAnsi="Arial" w:cs="Arial"/>
          <w:sz w:val="25"/>
          <w:szCs w:val="25"/>
          <w:lang w:val="en-GB"/>
        </w:rPr>
        <w:t xml:space="preserve"> the </w:t>
      </w:r>
      <w:r w:rsidR="007D6190" w:rsidRPr="00B93EAF">
        <w:rPr>
          <w:rFonts w:ascii="Arial" w:hAnsi="Arial" w:cs="Arial"/>
          <w:sz w:val="25"/>
          <w:szCs w:val="25"/>
          <w:lang w:val="en-GB"/>
        </w:rPr>
        <w:t>trigger</w:t>
      </w:r>
      <w:r w:rsidR="00FC4D65" w:rsidRPr="00B93EAF">
        <w:rPr>
          <w:rFonts w:ascii="Arial" w:hAnsi="Arial" w:cs="Arial"/>
          <w:sz w:val="25"/>
          <w:szCs w:val="25"/>
          <w:lang w:val="en-GB"/>
        </w:rPr>
        <w:t xml:space="preserve"> to avoid a rule 46A inquiry</w:t>
      </w:r>
      <w:r w:rsidR="007D6190" w:rsidRPr="00B93EAF">
        <w:rPr>
          <w:rFonts w:ascii="Arial" w:hAnsi="Arial" w:cs="Arial"/>
          <w:sz w:val="25"/>
          <w:szCs w:val="25"/>
          <w:lang w:val="en-GB"/>
        </w:rPr>
        <w:t xml:space="preserve">, which was identified </w:t>
      </w:r>
      <w:r w:rsidR="00CA1692" w:rsidRPr="00B93EAF">
        <w:rPr>
          <w:rFonts w:ascii="Arial" w:hAnsi="Arial" w:cs="Arial"/>
          <w:sz w:val="25"/>
          <w:szCs w:val="25"/>
          <w:lang w:val="en-GB"/>
        </w:rPr>
        <w:t xml:space="preserve">in </w:t>
      </w:r>
      <w:r w:rsidR="00CA1692" w:rsidRPr="00B93EAF">
        <w:rPr>
          <w:rFonts w:ascii="Arial" w:hAnsi="Arial" w:cs="Arial"/>
          <w:b/>
          <w:bCs/>
          <w:i/>
          <w:iCs/>
          <w:sz w:val="25"/>
          <w:szCs w:val="25"/>
          <w:lang w:val="en-GB"/>
        </w:rPr>
        <w:t>Investec</w:t>
      </w:r>
      <w:r w:rsidR="00CA1692" w:rsidRPr="00B93EAF">
        <w:rPr>
          <w:rFonts w:ascii="Arial" w:hAnsi="Arial" w:cs="Arial"/>
          <w:sz w:val="25"/>
          <w:szCs w:val="25"/>
          <w:lang w:val="en-GB"/>
        </w:rPr>
        <w:t xml:space="preserve"> </w:t>
      </w:r>
      <w:r w:rsidR="007D6190" w:rsidRPr="00B93EAF">
        <w:rPr>
          <w:rFonts w:ascii="Arial" w:hAnsi="Arial" w:cs="Arial"/>
          <w:sz w:val="25"/>
          <w:szCs w:val="25"/>
          <w:lang w:val="en-GB"/>
        </w:rPr>
        <w:t xml:space="preserve">and </w:t>
      </w:r>
      <w:r w:rsidR="00CA1692" w:rsidRPr="00B93EAF">
        <w:rPr>
          <w:rFonts w:ascii="Arial" w:hAnsi="Arial" w:cs="Arial"/>
          <w:sz w:val="25"/>
          <w:szCs w:val="25"/>
          <w:lang w:val="en-GB"/>
        </w:rPr>
        <w:t xml:space="preserve">which caused me concern over the correctness of the finding by that court.  The position is, however, now clear.  The mere fact that a property is owned by a trust (and I would venture, again </w:t>
      </w:r>
      <w:r w:rsidR="00CA1692" w:rsidRPr="00B93EAF">
        <w:rPr>
          <w:rFonts w:ascii="Arial" w:hAnsi="Arial" w:cs="Arial"/>
          <w:i/>
          <w:iCs/>
          <w:sz w:val="25"/>
          <w:szCs w:val="25"/>
          <w:lang w:val="en-GB"/>
        </w:rPr>
        <w:t>obiter</w:t>
      </w:r>
      <w:r w:rsidR="00CA1692" w:rsidRPr="00B93EAF">
        <w:rPr>
          <w:rFonts w:ascii="Arial" w:hAnsi="Arial" w:cs="Arial"/>
          <w:sz w:val="25"/>
          <w:szCs w:val="25"/>
          <w:lang w:val="en-GB"/>
        </w:rPr>
        <w:t xml:space="preserve">, that the same would apply to other </w:t>
      </w:r>
      <w:r w:rsidR="00FC4D65" w:rsidRPr="00B93EAF">
        <w:rPr>
          <w:rFonts w:ascii="Arial" w:hAnsi="Arial" w:cs="Arial"/>
          <w:sz w:val="25"/>
          <w:szCs w:val="25"/>
          <w:lang w:val="en-GB"/>
        </w:rPr>
        <w:t>persons</w:t>
      </w:r>
      <w:r w:rsidR="00CA1692" w:rsidRPr="00B93EAF">
        <w:rPr>
          <w:rFonts w:ascii="Arial" w:hAnsi="Arial" w:cs="Arial"/>
          <w:sz w:val="25"/>
          <w:szCs w:val="25"/>
          <w:lang w:val="en-GB"/>
        </w:rPr>
        <w:t xml:space="preserve">, such as companies and close corporations) is not in and of itself a bar to the application of rule 46A.  In every application where an order for special </w:t>
      </w:r>
      <w:proofErr w:type="spellStart"/>
      <w:r w:rsidR="00CA1692" w:rsidRPr="00B93EAF">
        <w:rPr>
          <w:rFonts w:ascii="Arial" w:hAnsi="Arial" w:cs="Arial"/>
          <w:sz w:val="25"/>
          <w:szCs w:val="25"/>
          <w:lang w:val="en-GB"/>
        </w:rPr>
        <w:t>executability</w:t>
      </w:r>
      <w:proofErr w:type="spellEnd"/>
      <w:r w:rsidR="00CA1692" w:rsidRPr="00B93EAF">
        <w:rPr>
          <w:rFonts w:ascii="Arial" w:hAnsi="Arial" w:cs="Arial"/>
          <w:sz w:val="25"/>
          <w:szCs w:val="25"/>
          <w:lang w:val="en-GB"/>
        </w:rPr>
        <w:t xml:space="preserve"> is sought against residential immovable property, the court must commence with a fact specific enquiry to determine if the property serves as the residence for any of </w:t>
      </w:r>
      <w:r w:rsidR="00E06E7E" w:rsidRPr="00B93EAF">
        <w:rPr>
          <w:rFonts w:ascii="Arial" w:hAnsi="Arial" w:cs="Arial"/>
          <w:sz w:val="25"/>
          <w:szCs w:val="25"/>
          <w:lang w:val="en-GB"/>
        </w:rPr>
        <w:t xml:space="preserve">the beneficiaries of the trust.  This is but one of the factors to be considered in terms of the rubric ‘all relevant factors’, appearing in rule </w:t>
      </w:r>
      <w:proofErr w:type="gramStart"/>
      <w:r w:rsidR="00E06E7E" w:rsidRPr="00B93EAF">
        <w:rPr>
          <w:rFonts w:ascii="Arial" w:hAnsi="Arial" w:cs="Arial"/>
          <w:sz w:val="25"/>
          <w:szCs w:val="25"/>
          <w:lang w:val="en-GB"/>
        </w:rPr>
        <w:t>46A(</w:t>
      </w:r>
      <w:proofErr w:type="gramEnd"/>
      <w:r w:rsidR="00E06E7E" w:rsidRPr="00B93EAF">
        <w:rPr>
          <w:rFonts w:ascii="Arial" w:hAnsi="Arial" w:cs="Arial"/>
          <w:sz w:val="25"/>
          <w:szCs w:val="25"/>
          <w:lang w:val="en-GB"/>
        </w:rPr>
        <w:t xml:space="preserve">2).  Rule 46A(3) requires notice </w:t>
      </w:r>
      <w:r w:rsidR="00E06E7E" w:rsidRPr="00B93EAF">
        <w:rPr>
          <w:rFonts w:ascii="Arial" w:hAnsi="Arial" w:cs="Arial"/>
          <w:sz w:val="25"/>
          <w:szCs w:val="25"/>
          <w:lang w:val="en-GB"/>
        </w:rPr>
        <w:lastRenderedPageBreak/>
        <w:t xml:space="preserve">to be given to any party who may be affected by the execution order sought; which would include beneficiaries </w:t>
      </w:r>
      <w:r w:rsidR="009B3803" w:rsidRPr="00B93EAF">
        <w:rPr>
          <w:rFonts w:ascii="Arial" w:hAnsi="Arial" w:cs="Arial"/>
          <w:sz w:val="25"/>
          <w:szCs w:val="25"/>
          <w:lang w:val="en-GB"/>
        </w:rPr>
        <w:t xml:space="preserve">of a trust, who are </w:t>
      </w:r>
      <w:r w:rsidR="00E06E7E" w:rsidRPr="00B93EAF">
        <w:rPr>
          <w:rFonts w:ascii="Arial" w:hAnsi="Arial" w:cs="Arial"/>
          <w:sz w:val="25"/>
          <w:szCs w:val="25"/>
          <w:lang w:val="en-GB"/>
        </w:rPr>
        <w:t xml:space="preserve">in occupation of the </w:t>
      </w:r>
      <w:r w:rsidR="009B3803" w:rsidRPr="00B93EAF">
        <w:rPr>
          <w:rFonts w:ascii="Arial" w:hAnsi="Arial" w:cs="Arial"/>
          <w:sz w:val="25"/>
          <w:szCs w:val="25"/>
          <w:lang w:val="en-GB"/>
        </w:rPr>
        <w:t xml:space="preserve">immovable </w:t>
      </w:r>
      <w:r w:rsidR="00E06E7E" w:rsidRPr="00B93EAF">
        <w:rPr>
          <w:rFonts w:ascii="Arial" w:hAnsi="Arial" w:cs="Arial"/>
          <w:sz w:val="25"/>
          <w:szCs w:val="25"/>
          <w:lang w:val="en-GB"/>
        </w:rPr>
        <w:t xml:space="preserve">property.  </w:t>
      </w:r>
    </w:p>
    <w:p w14:paraId="46181387" w14:textId="114CB8B5" w:rsidR="007F0681" w:rsidRPr="00B93EAF" w:rsidRDefault="00B93EAF" w:rsidP="00B93EAF">
      <w:pPr>
        <w:spacing w:before="480" w:after="240" w:line="480" w:lineRule="auto"/>
        <w:ind w:left="851" w:hanging="851"/>
        <w:jc w:val="both"/>
        <w:rPr>
          <w:rFonts w:ascii="Arial" w:hAnsi="Arial" w:cs="Arial"/>
          <w:sz w:val="25"/>
          <w:szCs w:val="25"/>
          <w:lang w:val="en-GB"/>
        </w:rPr>
      </w:pPr>
      <w:r>
        <w:rPr>
          <w:rFonts w:ascii="Arial" w:hAnsi="Arial" w:cs="Arial"/>
          <w:sz w:val="25"/>
          <w:szCs w:val="25"/>
          <w:lang w:val="en-GB"/>
        </w:rPr>
        <w:t>[39]</w:t>
      </w:r>
      <w:r>
        <w:rPr>
          <w:rFonts w:ascii="Arial" w:hAnsi="Arial" w:cs="Arial"/>
          <w:sz w:val="25"/>
          <w:szCs w:val="25"/>
          <w:lang w:val="en-GB"/>
        </w:rPr>
        <w:tab/>
      </w:r>
      <w:r w:rsidR="00E06E7E" w:rsidRPr="00B93EAF">
        <w:rPr>
          <w:rFonts w:ascii="Arial" w:hAnsi="Arial" w:cs="Arial"/>
          <w:sz w:val="25"/>
          <w:szCs w:val="25"/>
          <w:lang w:val="en-GB"/>
        </w:rPr>
        <w:t xml:space="preserve">Mr </w:t>
      </w:r>
      <w:proofErr w:type="spellStart"/>
      <w:r w:rsidR="00E06E7E" w:rsidRPr="00B93EAF">
        <w:rPr>
          <w:rFonts w:ascii="Arial" w:hAnsi="Arial" w:cs="Arial"/>
          <w:sz w:val="25"/>
          <w:szCs w:val="25"/>
          <w:lang w:val="en-GB"/>
        </w:rPr>
        <w:t>Ngutshane</w:t>
      </w:r>
      <w:proofErr w:type="spellEnd"/>
      <w:r w:rsidR="00E06E7E" w:rsidRPr="00B93EAF">
        <w:rPr>
          <w:rFonts w:ascii="Arial" w:hAnsi="Arial" w:cs="Arial"/>
          <w:sz w:val="25"/>
          <w:szCs w:val="25"/>
          <w:lang w:val="en-GB"/>
        </w:rPr>
        <w:t xml:space="preserve"> described himself in his answering papers as both a trustee and beneficiary of the trust.  Both assertions are logically sound, since it was by virtue of his erstwhile employment with Eskom that he qualified for finance through EFC to purchase the property, which would serve as his home.  </w:t>
      </w:r>
    </w:p>
    <w:p w14:paraId="5B315611" w14:textId="14A41188" w:rsidR="005A7221" w:rsidRPr="00B93EAF" w:rsidRDefault="00B93EAF" w:rsidP="00B93EAF">
      <w:pPr>
        <w:spacing w:before="480" w:after="240" w:line="480" w:lineRule="auto"/>
        <w:ind w:left="851" w:hanging="851"/>
        <w:jc w:val="both"/>
        <w:rPr>
          <w:rFonts w:ascii="Arial" w:hAnsi="Arial" w:cs="Arial"/>
          <w:sz w:val="25"/>
          <w:szCs w:val="25"/>
          <w:lang w:val="en-GB"/>
        </w:rPr>
      </w:pPr>
      <w:r>
        <w:rPr>
          <w:rFonts w:ascii="Arial" w:hAnsi="Arial" w:cs="Arial"/>
          <w:sz w:val="25"/>
          <w:szCs w:val="25"/>
          <w:lang w:val="en-GB"/>
        </w:rPr>
        <w:t>[40]</w:t>
      </w:r>
      <w:r>
        <w:rPr>
          <w:rFonts w:ascii="Arial" w:hAnsi="Arial" w:cs="Arial"/>
          <w:sz w:val="25"/>
          <w:szCs w:val="25"/>
          <w:lang w:val="en-GB"/>
        </w:rPr>
        <w:tab/>
      </w:r>
      <w:r w:rsidR="007F0681" w:rsidRPr="00B93EAF">
        <w:rPr>
          <w:rFonts w:ascii="Arial" w:hAnsi="Arial" w:cs="Arial"/>
          <w:sz w:val="25"/>
          <w:szCs w:val="25"/>
          <w:lang w:val="en-GB"/>
        </w:rPr>
        <w:t xml:space="preserve">Mr </w:t>
      </w:r>
      <w:proofErr w:type="spellStart"/>
      <w:r w:rsidR="007F0681" w:rsidRPr="00B93EAF">
        <w:rPr>
          <w:rFonts w:ascii="Arial" w:hAnsi="Arial" w:cs="Arial"/>
          <w:sz w:val="25"/>
          <w:szCs w:val="25"/>
          <w:lang w:val="en-GB"/>
        </w:rPr>
        <w:t>Zondo</w:t>
      </w:r>
      <w:proofErr w:type="spellEnd"/>
      <w:r w:rsidR="007F0681" w:rsidRPr="00B93EAF">
        <w:rPr>
          <w:rFonts w:ascii="Arial" w:hAnsi="Arial" w:cs="Arial"/>
          <w:sz w:val="25"/>
          <w:szCs w:val="25"/>
          <w:lang w:val="en-GB"/>
        </w:rPr>
        <w:t xml:space="preserve">, on behalf of </w:t>
      </w:r>
      <w:proofErr w:type="spellStart"/>
      <w:r w:rsidR="007F0681" w:rsidRPr="00B93EAF">
        <w:rPr>
          <w:rFonts w:ascii="Arial" w:hAnsi="Arial" w:cs="Arial"/>
          <w:sz w:val="25"/>
          <w:szCs w:val="25"/>
          <w:lang w:val="en-GB"/>
        </w:rPr>
        <w:t>Nqaba</w:t>
      </w:r>
      <w:proofErr w:type="spellEnd"/>
      <w:r w:rsidR="007F0681" w:rsidRPr="00B93EAF">
        <w:rPr>
          <w:rFonts w:ascii="Arial" w:hAnsi="Arial" w:cs="Arial"/>
          <w:sz w:val="25"/>
          <w:szCs w:val="25"/>
          <w:lang w:val="en-GB"/>
        </w:rPr>
        <w:t xml:space="preserve"> and EFC, said in the founding affidavit that as far as he knew the property was the primary residence of Mr </w:t>
      </w:r>
      <w:proofErr w:type="spellStart"/>
      <w:r w:rsidR="007F0681" w:rsidRPr="00B93EAF">
        <w:rPr>
          <w:rFonts w:ascii="Arial" w:hAnsi="Arial" w:cs="Arial"/>
          <w:sz w:val="25"/>
          <w:szCs w:val="25"/>
          <w:lang w:val="en-GB"/>
        </w:rPr>
        <w:t>Ngutshane</w:t>
      </w:r>
      <w:proofErr w:type="spellEnd"/>
      <w:r w:rsidR="007F0681" w:rsidRPr="00B93EAF">
        <w:rPr>
          <w:rFonts w:ascii="Arial" w:hAnsi="Arial" w:cs="Arial"/>
          <w:sz w:val="25"/>
          <w:szCs w:val="25"/>
          <w:lang w:val="en-GB"/>
        </w:rPr>
        <w:t xml:space="preserve"> and it was specifically purchased for residential purposes.</w:t>
      </w:r>
      <w:r w:rsidR="00FC4D65" w:rsidRPr="00B93EAF">
        <w:rPr>
          <w:rFonts w:ascii="Arial" w:hAnsi="Arial" w:cs="Arial"/>
          <w:sz w:val="25"/>
          <w:szCs w:val="25"/>
          <w:lang w:val="en-GB"/>
        </w:rPr>
        <w:t xml:space="preserve">  Mr </w:t>
      </w:r>
      <w:proofErr w:type="spellStart"/>
      <w:r w:rsidR="00FC4D65" w:rsidRPr="00B93EAF">
        <w:rPr>
          <w:rFonts w:ascii="Arial" w:hAnsi="Arial" w:cs="Arial"/>
          <w:sz w:val="25"/>
          <w:szCs w:val="25"/>
          <w:lang w:val="en-GB"/>
        </w:rPr>
        <w:t>Ngutshane</w:t>
      </w:r>
      <w:proofErr w:type="spellEnd"/>
      <w:r w:rsidR="00FC4D65" w:rsidRPr="00B93EAF">
        <w:rPr>
          <w:rFonts w:ascii="Arial" w:hAnsi="Arial" w:cs="Arial"/>
          <w:sz w:val="25"/>
          <w:szCs w:val="25"/>
          <w:lang w:val="en-GB"/>
        </w:rPr>
        <w:t xml:space="preserve"> did not controvert this.</w:t>
      </w:r>
    </w:p>
    <w:p w14:paraId="32ABAC6D" w14:textId="3C7E84BE" w:rsidR="007F0681" w:rsidRPr="00B93EAF" w:rsidRDefault="00B93EAF" w:rsidP="00B93EAF">
      <w:pPr>
        <w:spacing w:before="480" w:after="240" w:line="480" w:lineRule="auto"/>
        <w:ind w:left="851" w:hanging="851"/>
        <w:jc w:val="both"/>
        <w:rPr>
          <w:rFonts w:ascii="Arial" w:hAnsi="Arial" w:cs="Arial"/>
          <w:sz w:val="25"/>
          <w:szCs w:val="25"/>
          <w:lang w:val="en-GB"/>
        </w:rPr>
      </w:pPr>
      <w:r>
        <w:rPr>
          <w:rFonts w:ascii="Arial" w:hAnsi="Arial" w:cs="Arial"/>
          <w:sz w:val="25"/>
          <w:szCs w:val="25"/>
          <w:lang w:val="en-GB"/>
        </w:rPr>
        <w:t>[41]</w:t>
      </w:r>
      <w:r>
        <w:rPr>
          <w:rFonts w:ascii="Arial" w:hAnsi="Arial" w:cs="Arial"/>
          <w:sz w:val="25"/>
          <w:szCs w:val="25"/>
          <w:lang w:val="en-GB"/>
        </w:rPr>
        <w:tab/>
      </w:r>
      <w:r w:rsidR="007F0681" w:rsidRPr="00B93EAF">
        <w:rPr>
          <w:rFonts w:ascii="Arial" w:hAnsi="Arial" w:cs="Arial"/>
          <w:sz w:val="25"/>
          <w:szCs w:val="25"/>
          <w:lang w:val="en-GB"/>
        </w:rPr>
        <w:t>I am bound, therefore, to apply the provisions of rule 46A in considering whether to grant the orders sought</w:t>
      </w:r>
      <w:r w:rsidR="009B3803" w:rsidRPr="00B93EAF">
        <w:rPr>
          <w:rFonts w:ascii="Arial" w:hAnsi="Arial" w:cs="Arial"/>
          <w:sz w:val="25"/>
          <w:szCs w:val="25"/>
          <w:lang w:val="en-GB"/>
        </w:rPr>
        <w:t xml:space="preserve"> pertaining to </w:t>
      </w:r>
      <w:proofErr w:type="spellStart"/>
      <w:r w:rsidR="009B3803" w:rsidRPr="00B93EAF">
        <w:rPr>
          <w:rFonts w:ascii="Arial" w:hAnsi="Arial" w:cs="Arial"/>
          <w:sz w:val="25"/>
          <w:szCs w:val="25"/>
          <w:lang w:val="en-GB"/>
        </w:rPr>
        <w:t>executability</w:t>
      </w:r>
      <w:proofErr w:type="spellEnd"/>
      <w:r w:rsidR="009B3803" w:rsidRPr="00B93EAF">
        <w:rPr>
          <w:rFonts w:ascii="Arial" w:hAnsi="Arial" w:cs="Arial"/>
          <w:sz w:val="25"/>
          <w:szCs w:val="25"/>
          <w:lang w:val="en-GB"/>
        </w:rPr>
        <w:t>.</w:t>
      </w:r>
    </w:p>
    <w:p w14:paraId="69B904DA" w14:textId="7816BD81" w:rsidR="007F0681" w:rsidRPr="00B93EAF" w:rsidRDefault="00B93EAF" w:rsidP="00B93EAF">
      <w:pPr>
        <w:spacing w:before="480" w:after="240" w:line="480" w:lineRule="auto"/>
        <w:ind w:left="851" w:hanging="851"/>
        <w:jc w:val="both"/>
        <w:rPr>
          <w:rFonts w:ascii="Arial" w:hAnsi="Arial" w:cs="Arial"/>
          <w:sz w:val="25"/>
          <w:szCs w:val="25"/>
          <w:lang w:val="en-GB"/>
        </w:rPr>
      </w:pPr>
      <w:r>
        <w:rPr>
          <w:rFonts w:ascii="Arial" w:hAnsi="Arial" w:cs="Arial"/>
          <w:sz w:val="25"/>
          <w:szCs w:val="25"/>
          <w:lang w:val="en-GB"/>
        </w:rPr>
        <w:t>[42]</w:t>
      </w:r>
      <w:r>
        <w:rPr>
          <w:rFonts w:ascii="Arial" w:hAnsi="Arial" w:cs="Arial"/>
          <w:sz w:val="25"/>
          <w:szCs w:val="25"/>
          <w:lang w:val="en-GB"/>
        </w:rPr>
        <w:tab/>
      </w:r>
      <w:proofErr w:type="spellStart"/>
      <w:r w:rsidR="00041463" w:rsidRPr="00B93EAF">
        <w:rPr>
          <w:rFonts w:ascii="Arial" w:hAnsi="Arial" w:cs="Arial"/>
          <w:sz w:val="25"/>
          <w:szCs w:val="25"/>
          <w:lang w:val="en-GB"/>
        </w:rPr>
        <w:t>Nqaba</w:t>
      </w:r>
      <w:proofErr w:type="spellEnd"/>
      <w:r w:rsidR="00041463" w:rsidRPr="00B93EAF">
        <w:rPr>
          <w:rFonts w:ascii="Arial" w:hAnsi="Arial" w:cs="Arial"/>
          <w:sz w:val="25"/>
          <w:szCs w:val="25"/>
          <w:lang w:val="en-GB"/>
        </w:rPr>
        <w:t xml:space="preserve"> and EFC have placed updated figures </w:t>
      </w:r>
      <w:r w:rsidR="009B3803" w:rsidRPr="00B93EAF">
        <w:rPr>
          <w:rFonts w:ascii="Arial" w:hAnsi="Arial" w:cs="Arial"/>
          <w:sz w:val="25"/>
          <w:szCs w:val="25"/>
          <w:lang w:val="en-GB"/>
        </w:rPr>
        <w:t xml:space="preserve">before me, which </w:t>
      </w:r>
      <w:r w:rsidR="00041463" w:rsidRPr="00B93EAF">
        <w:rPr>
          <w:rFonts w:ascii="Arial" w:hAnsi="Arial" w:cs="Arial"/>
          <w:sz w:val="25"/>
          <w:szCs w:val="25"/>
          <w:lang w:val="en-GB"/>
        </w:rPr>
        <w:t>demonstrat</w:t>
      </w:r>
      <w:r w:rsidR="009B3803" w:rsidRPr="00B93EAF">
        <w:rPr>
          <w:rFonts w:ascii="Arial" w:hAnsi="Arial" w:cs="Arial"/>
          <w:sz w:val="25"/>
          <w:szCs w:val="25"/>
          <w:lang w:val="en-GB"/>
        </w:rPr>
        <w:t>e</w:t>
      </w:r>
      <w:r w:rsidR="00041463" w:rsidRPr="00B93EAF">
        <w:rPr>
          <w:rFonts w:ascii="Arial" w:hAnsi="Arial" w:cs="Arial"/>
          <w:sz w:val="25"/>
          <w:szCs w:val="25"/>
          <w:lang w:val="en-GB"/>
        </w:rPr>
        <w:t xml:space="preserve"> that the trust’s indebtedness far exceeds what was sought in the notice of motion.  There is no indication from the payment history that the trust has the means to settle the arrears, much less the full indebtedness.  </w:t>
      </w:r>
      <w:r w:rsidR="00A639DA" w:rsidRPr="00B93EAF">
        <w:rPr>
          <w:rFonts w:ascii="Arial" w:hAnsi="Arial" w:cs="Arial"/>
          <w:sz w:val="25"/>
          <w:szCs w:val="25"/>
          <w:lang w:val="en-GB"/>
        </w:rPr>
        <w:t>NPGS  </w:t>
      </w:r>
      <w:r w:rsidR="00A639DA">
        <w:rPr>
          <w:rStyle w:val="FootnoteReference"/>
          <w:rFonts w:ascii="Arial" w:hAnsi="Arial" w:cs="Arial"/>
          <w:sz w:val="25"/>
          <w:szCs w:val="25"/>
          <w:lang w:val="en-GB"/>
        </w:rPr>
        <w:footnoteReference w:id="34"/>
      </w:r>
      <w:r w:rsidR="00A639DA" w:rsidRPr="00B93EAF">
        <w:rPr>
          <w:rFonts w:ascii="Arial" w:hAnsi="Arial" w:cs="Arial"/>
          <w:sz w:val="25"/>
          <w:szCs w:val="25"/>
          <w:lang w:val="en-GB"/>
        </w:rPr>
        <w:t xml:space="preserve">  placed an </w:t>
      </w:r>
      <w:r w:rsidR="00A639DA" w:rsidRPr="00B93EAF">
        <w:rPr>
          <w:rFonts w:ascii="Arial" w:hAnsi="Arial" w:cs="Arial"/>
          <w:i/>
          <w:iCs/>
          <w:sz w:val="25"/>
          <w:szCs w:val="25"/>
          <w:lang w:val="en-GB"/>
        </w:rPr>
        <w:t>onus</w:t>
      </w:r>
      <w:r w:rsidR="00A639DA" w:rsidRPr="00B93EAF">
        <w:rPr>
          <w:rFonts w:ascii="Arial" w:hAnsi="Arial" w:cs="Arial"/>
          <w:sz w:val="25"/>
          <w:szCs w:val="25"/>
          <w:lang w:val="en-GB"/>
        </w:rPr>
        <w:t xml:space="preserve"> on the trust and, I would add, </w:t>
      </w:r>
      <w:r w:rsidR="00A639DA" w:rsidRPr="00B93EAF">
        <w:rPr>
          <w:rFonts w:ascii="Arial" w:hAnsi="Arial" w:cs="Arial"/>
          <w:sz w:val="25"/>
          <w:szCs w:val="25"/>
          <w:lang w:val="en-GB"/>
        </w:rPr>
        <w:lastRenderedPageBreak/>
        <w:t>Mr</w:t>
      </w:r>
      <w:r w:rsidR="009B3803" w:rsidRPr="00B93EAF">
        <w:rPr>
          <w:rFonts w:ascii="Arial" w:hAnsi="Arial" w:cs="Arial"/>
          <w:sz w:val="25"/>
          <w:szCs w:val="25"/>
          <w:lang w:val="en-GB"/>
        </w:rPr>
        <w:t> </w:t>
      </w:r>
      <w:proofErr w:type="spellStart"/>
      <w:r w:rsidR="00A639DA" w:rsidRPr="00B93EAF">
        <w:rPr>
          <w:rFonts w:ascii="Arial" w:hAnsi="Arial" w:cs="Arial"/>
          <w:sz w:val="25"/>
          <w:szCs w:val="25"/>
          <w:lang w:val="en-GB"/>
        </w:rPr>
        <w:t>Ngutshane</w:t>
      </w:r>
      <w:proofErr w:type="spellEnd"/>
      <w:r w:rsidR="00A639DA" w:rsidRPr="00B93EAF">
        <w:rPr>
          <w:rFonts w:ascii="Arial" w:hAnsi="Arial" w:cs="Arial"/>
          <w:sz w:val="25"/>
          <w:szCs w:val="25"/>
          <w:lang w:val="en-GB"/>
        </w:rPr>
        <w:t xml:space="preserve"> as a beneficiary of the trust who resides on the property, to place his personal circumstances before the court, in order to assist it with its rule 46A inquiry.</w:t>
      </w:r>
    </w:p>
    <w:p w14:paraId="3B2073F4" w14:textId="1B114523" w:rsidR="00A639DA" w:rsidRPr="00B93EAF" w:rsidRDefault="00B93EAF" w:rsidP="00B93EAF">
      <w:pPr>
        <w:spacing w:before="480" w:after="240" w:line="480" w:lineRule="auto"/>
        <w:ind w:left="851" w:hanging="851"/>
        <w:jc w:val="both"/>
        <w:rPr>
          <w:rFonts w:ascii="Arial" w:hAnsi="Arial" w:cs="Arial"/>
          <w:sz w:val="25"/>
          <w:szCs w:val="25"/>
          <w:lang w:val="en-GB"/>
        </w:rPr>
      </w:pPr>
      <w:r>
        <w:rPr>
          <w:rFonts w:ascii="Arial" w:hAnsi="Arial" w:cs="Arial"/>
          <w:sz w:val="25"/>
          <w:szCs w:val="25"/>
          <w:lang w:val="en-GB"/>
        </w:rPr>
        <w:t>[43]</w:t>
      </w:r>
      <w:r>
        <w:rPr>
          <w:rFonts w:ascii="Arial" w:hAnsi="Arial" w:cs="Arial"/>
          <w:sz w:val="25"/>
          <w:szCs w:val="25"/>
          <w:lang w:val="en-GB"/>
        </w:rPr>
        <w:tab/>
      </w:r>
      <w:r w:rsidR="00A639DA" w:rsidRPr="00B93EAF">
        <w:rPr>
          <w:rFonts w:ascii="Arial" w:hAnsi="Arial" w:cs="Arial"/>
          <w:sz w:val="25"/>
          <w:szCs w:val="25"/>
          <w:lang w:val="en-GB"/>
        </w:rPr>
        <w:t xml:space="preserve">Besides establishing that he has left the employ of Eskom to take up other opportunities and that he has referred his personal over-indebtedness to the Pretoria </w:t>
      </w:r>
      <w:proofErr w:type="gramStart"/>
      <w:r w:rsidR="00A639DA" w:rsidRPr="00B93EAF">
        <w:rPr>
          <w:rFonts w:ascii="Arial" w:hAnsi="Arial" w:cs="Arial"/>
          <w:sz w:val="25"/>
          <w:szCs w:val="25"/>
          <w:lang w:val="en-GB"/>
        </w:rPr>
        <w:t>magistrates</w:t>
      </w:r>
      <w:proofErr w:type="gramEnd"/>
      <w:r w:rsidR="00A639DA" w:rsidRPr="00B93EAF">
        <w:rPr>
          <w:rFonts w:ascii="Arial" w:hAnsi="Arial" w:cs="Arial"/>
          <w:sz w:val="25"/>
          <w:szCs w:val="25"/>
          <w:lang w:val="en-GB"/>
        </w:rPr>
        <w:t xml:space="preserve"> court, where he obtained a debt restructuring order, his lengthy answering affidavit does not provide much assistance.  What is clear from comparing the terms of the debt restructuring order to the loan statements is that the payments ordered by the Pretoria </w:t>
      </w:r>
      <w:proofErr w:type="gramStart"/>
      <w:r w:rsidR="00A639DA" w:rsidRPr="00B93EAF">
        <w:rPr>
          <w:rFonts w:ascii="Arial" w:hAnsi="Arial" w:cs="Arial"/>
          <w:sz w:val="25"/>
          <w:szCs w:val="25"/>
          <w:lang w:val="en-GB"/>
        </w:rPr>
        <w:t>magistrates</w:t>
      </w:r>
      <w:proofErr w:type="gramEnd"/>
      <w:r w:rsidR="00A639DA" w:rsidRPr="00B93EAF">
        <w:rPr>
          <w:rFonts w:ascii="Arial" w:hAnsi="Arial" w:cs="Arial"/>
          <w:sz w:val="25"/>
          <w:szCs w:val="25"/>
          <w:lang w:val="en-GB"/>
        </w:rPr>
        <w:t xml:space="preserve"> court were not made in the amounts so ordered nor with regularity.  The payments were </w:t>
      </w:r>
      <w:r w:rsidR="00AF22C5" w:rsidRPr="00B93EAF">
        <w:rPr>
          <w:rFonts w:ascii="Arial" w:hAnsi="Arial" w:cs="Arial"/>
          <w:sz w:val="25"/>
          <w:szCs w:val="25"/>
          <w:lang w:val="en-GB"/>
        </w:rPr>
        <w:t>erratic</w:t>
      </w:r>
      <w:r w:rsidR="00A639DA" w:rsidRPr="00B93EAF">
        <w:rPr>
          <w:rFonts w:ascii="Arial" w:hAnsi="Arial" w:cs="Arial"/>
          <w:sz w:val="25"/>
          <w:szCs w:val="25"/>
          <w:lang w:val="en-GB"/>
        </w:rPr>
        <w:t xml:space="preserve"> and stopped </w:t>
      </w:r>
      <w:r w:rsidR="00AF22C5" w:rsidRPr="00B93EAF">
        <w:rPr>
          <w:rFonts w:ascii="Arial" w:hAnsi="Arial" w:cs="Arial"/>
          <w:sz w:val="25"/>
          <w:szCs w:val="25"/>
          <w:lang w:val="en-GB"/>
        </w:rPr>
        <w:t>in July 2020.</w:t>
      </w:r>
    </w:p>
    <w:p w14:paraId="44AAB497" w14:textId="3DA0F5D5" w:rsidR="00AF22C5" w:rsidRPr="00B93EAF" w:rsidRDefault="00B93EAF" w:rsidP="00B93EAF">
      <w:pPr>
        <w:spacing w:before="480" w:after="240" w:line="480" w:lineRule="auto"/>
        <w:ind w:left="851" w:hanging="851"/>
        <w:jc w:val="both"/>
        <w:rPr>
          <w:rFonts w:ascii="Arial" w:hAnsi="Arial" w:cs="Arial"/>
          <w:sz w:val="25"/>
          <w:szCs w:val="25"/>
          <w:lang w:val="en-GB"/>
        </w:rPr>
      </w:pPr>
      <w:r>
        <w:rPr>
          <w:rFonts w:ascii="Arial" w:hAnsi="Arial" w:cs="Arial"/>
          <w:sz w:val="25"/>
          <w:szCs w:val="25"/>
          <w:lang w:val="en-GB"/>
        </w:rPr>
        <w:t>[44]</w:t>
      </w:r>
      <w:r>
        <w:rPr>
          <w:rFonts w:ascii="Arial" w:hAnsi="Arial" w:cs="Arial"/>
          <w:sz w:val="25"/>
          <w:szCs w:val="25"/>
          <w:lang w:val="en-GB"/>
        </w:rPr>
        <w:tab/>
      </w:r>
      <w:r w:rsidR="00AF22C5" w:rsidRPr="00B93EAF">
        <w:rPr>
          <w:rFonts w:ascii="Arial" w:hAnsi="Arial" w:cs="Arial"/>
          <w:sz w:val="25"/>
          <w:szCs w:val="25"/>
          <w:lang w:val="en-GB"/>
        </w:rPr>
        <w:t xml:space="preserve">I cannot see any way forward for the trust, or </w:t>
      </w:r>
      <w:proofErr w:type="spellStart"/>
      <w:r w:rsidR="00AF22C5" w:rsidRPr="00B93EAF">
        <w:rPr>
          <w:rFonts w:ascii="Arial" w:hAnsi="Arial" w:cs="Arial"/>
          <w:sz w:val="25"/>
          <w:szCs w:val="25"/>
          <w:lang w:val="en-GB"/>
        </w:rPr>
        <w:t>Nqaba</w:t>
      </w:r>
      <w:proofErr w:type="spellEnd"/>
      <w:r w:rsidR="00AF22C5" w:rsidRPr="00B93EAF">
        <w:rPr>
          <w:rFonts w:ascii="Arial" w:hAnsi="Arial" w:cs="Arial"/>
          <w:sz w:val="25"/>
          <w:szCs w:val="25"/>
          <w:lang w:val="en-GB"/>
        </w:rPr>
        <w:t xml:space="preserve"> and EFC, other than declaring the property </w:t>
      </w:r>
      <w:proofErr w:type="gramStart"/>
      <w:r w:rsidR="00AF22C5" w:rsidRPr="00B93EAF">
        <w:rPr>
          <w:rFonts w:ascii="Arial" w:hAnsi="Arial" w:cs="Arial"/>
          <w:sz w:val="25"/>
          <w:szCs w:val="25"/>
          <w:lang w:val="en-GB"/>
        </w:rPr>
        <w:t>specially</w:t>
      </w:r>
      <w:proofErr w:type="gramEnd"/>
      <w:r w:rsidR="00AF22C5" w:rsidRPr="00B93EAF">
        <w:rPr>
          <w:rFonts w:ascii="Arial" w:hAnsi="Arial" w:cs="Arial"/>
          <w:sz w:val="25"/>
          <w:szCs w:val="25"/>
          <w:lang w:val="en-GB"/>
        </w:rPr>
        <w:t xml:space="preserve"> executable.  The rates and taxes owed on the property are constantly growing.  The arrears are growing.  </w:t>
      </w:r>
      <w:r w:rsidR="009B3803" w:rsidRPr="00B93EAF">
        <w:rPr>
          <w:rFonts w:ascii="Arial" w:hAnsi="Arial" w:cs="Arial"/>
          <w:sz w:val="25"/>
          <w:szCs w:val="25"/>
          <w:lang w:val="en-GB"/>
        </w:rPr>
        <w:t xml:space="preserve">There is no evidence that the trust has any other assets against which execution could occur.  </w:t>
      </w:r>
      <w:r w:rsidR="00AF22C5" w:rsidRPr="00B93EAF">
        <w:rPr>
          <w:rFonts w:ascii="Arial" w:hAnsi="Arial" w:cs="Arial"/>
          <w:sz w:val="25"/>
          <w:szCs w:val="25"/>
          <w:lang w:val="en-GB"/>
        </w:rPr>
        <w:t xml:space="preserve">The prospects of the trust righting the position are bleaker now than when the application was launched.  </w:t>
      </w:r>
      <w:r w:rsidR="009B3803" w:rsidRPr="00B93EAF">
        <w:rPr>
          <w:rFonts w:ascii="Arial" w:hAnsi="Arial" w:cs="Arial"/>
          <w:sz w:val="25"/>
          <w:szCs w:val="25"/>
          <w:lang w:val="en-GB"/>
        </w:rPr>
        <w:t xml:space="preserve">A special </w:t>
      </w:r>
      <w:proofErr w:type="spellStart"/>
      <w:r w:rsidR="009B3803" w:rsidRPr="00B93EAF">
        <w:rPr>
          <w:rFonts w:ascii="Arial" w:hAnsi="Arial" w:cs="Arial"/>
          <w:sz w:val="25"/>
          <w:szCs w:val="25"/>
          <w:lang w:val="en-GB"/>
        </w:rPr>
        <w:t>executability</w:t>
      </w:r>
      <w:proofErr w:type="spellEnd"/>
      <w:r w:rsidR="009B3803" w:rsidRPr="00B93EAF">
        <w:rPr>
          <w:rFonts w:ascii="Arial" w:hAnsi="Arial" w:cs="Arial"/>
          <w:sz w:val="25"/>
          <w:szCs w:val="25"/>
          <w:lang w:val="en-GB"/>
        </w:rPr>
        <w:t xml:space="preserve"> order must follow.  </w:t>
      </w:r>
      <w:r w:rsidR="00AF22C5" w:rsidRPr="00B93EAF">
        <w:rPr>
          <w:rFonts w:ascii="Arial" w:hAnsi="Arial" w:cs="Arial"/>
          <w:sz w:val="25"/>
          <w:szCs w:val="25"/>
          <w:lang w:val="en-GB"/>
        </w:rPr>
        <w:t xml:space="preserve">In so doing, it is appropriate to set a reserve price at R1 000 000, which I regard on </w:t>
      </w:r>
      <w:r w:rsidR="00FC4D65" w:rsidRPr="00B93EAF">
        <w:rPr>
          <w:rFonts w:ascii="Arial" w:hAnsi="Arial" w:cs="Arial"/>
          <w:sz w:val="25"/>
          <w:szCs w:val="25"/>
          <w:lang w:val="en-GB"/>
        </w:rPr>
        <w:t xml:space="preserve">a conspectus of all of </w:t>
      </w:r>
      <w:r w:rsidR="00AF22C5" w:rsidRPr="00B93EAF">
        <w:rPr>
          <w:rFonts w:ascii="Arial" w:hAnsi="Arial" w:cs="Arial"/>
          <w:sz w:val="25"/>
          <w:szCs w:val="25"/>
          <w:lang w:val="en-GB"/>
        </w:rPr>
        <w:t>the facts before me as fair.</w:t>
      </w:r>
      <w:r w:rsidR="009B3803" w:rsidRPr="00B93EAF">
        <w:rPr>
          <w:rFonts w:ascii="Arial" w:hAnsi="Arial" w:cs="Arial"/>
          <w:sz w:val="25"/>
          <w:szCs w:val="25"/>
          <w:lang w:val="en-GB"/>
        </w:rPr>
        <w:t>  </w:t>
      </w:r>
      <w:proofErr w:type="spellStart"/>
      <w:r w:rsidR="009B3803" w:rsidRPr="00B93EAF">
        <w:rPr>
          <w:rFonts w:ascii="Arial" w:hAnsi="Arial" w:cs="Arial"/>
          <w:sz w:val="25"/>
          <w:szCs w:val="25"/>
          <w:lang w:val="en-GB"/>
        </w:rPr>
        <w:t>Nqaba</w:t>
      </w:r>
      <w:proofErr w:type="spellEnd"/>
      <w:r w:rsidR="009B3803" w:rsidRPr="00B93EAF">
        <w:rPr>
          <w:rFonts w:ascii="Arial" w:hAnsi="Arial" w:cs="Arial"/>
          <w:sz w:val="25"/>
          <w:szCs w:val="25"/>
          <w:lang w:val="en-GB"/>
        </w:rPr>
        <w:t xml:space="preserve"> and EFC may, of course, at any stage approach this court for a variation of this amount in common law, if there are new facts or changed circumstances, which have come to its knowledge</w:t>
      </w:r>
      <w:r w:rsidR="0011036D" w:rsidRPr="00B93EAF">
        <w:rPr>
          <w:rFonts w:ascii="Arial" w:hAnsi="Arial" w:cs="Arial"/>
          <w:sz w:val="25"/>
          <w:szCs w:val="25"/>
          <w:lang w:val="en-GB"/>
        </w:rPr>
        <w:t xml:space="preserve"> subsequent to this order.</w:t>
      </w:r>
    </w:p>
    <w:p w14:paraId="2AA767E9" w14:textId="58DCA5DF" w:rsidR="00AF22C5" w:rsidRPr="00B93EAF" w:rsidRDefault="00B93EAF" w:rsidP="00B93EAF">
      <w:pPr>
        <w:spacing w:before="480" w:after="240" w:line="480" w:lineRule="auto"/>
        <w:ind w:left="851" w:hanging="851"/>
        <w:jc w:val="both"/>
        <w:rPr>
          <w:rFonts w:ascii="Arial" w:hAnsi="Arial" w:cs="Arial"/>
          <w:sz w:val="25"/>
          <w:szCs w:val="25"/>
          <w:lang w:val="en-GB"/>
        </w:rPr>
      </w:pPr>
      <w:r>
        <w:rPr>
          <w:rFonts w:ascii="Arial" w:hAnsi="Arial" w:cs="Arial"/>
          <w:sz w:val="25"/>
          <w:szCs w:val="25"/>
          <w:lang w:val="en-GB"/>
        </w:rPr>
        <w:lastRenderedPageBreak/>
        <w:t>[45]</w:t>
      </w:r>
      <w:r>
        <w:rPr>
          <w:rFonts w:ascii="Arial" w:hAnsi="Arial" w:cs="Arial"/>
          <w:sz w:val="25"/>
          <w:szCs w:val="25"/>
          <w:lang w:val="en-GB"/>
        </w:rPr>
        <w:tab/>
      </w:r>
      <w:r w:rsidR="00AF22C5" w:rsidRPr="00B93EAF">
        <w:rPr>
          <w:rFonts w:ascii="Arial" w:hAnsi="Arial" w:cs="Arial"/>
          <w:sz w:val="25"/>
          <w:szCs w:val="25"/>
          <w:lang w:val="en-GB"/>
        </w:rPr>
        <w:t>Notwithstanding the current state of affairs, the trust may yet (despite all indications) manage to settle the arrears, which they are entitled to do prior to a sale in execution.</w:t>
      </w:r>
    </w:p>
    <w:p w14:paraId="722552C5" w14:textId="1FDC6CC0" w:rsidR="0011036D" w:rsidRPr="00B93EAF" w:rsidRDefault="00B93EAF" w:rsidP="00B93EAF">
      <w:pPr>
        <w:spacing w:before="480" w:after="240" w:line="480" w:lineRule="auto"/>
        <w:ind w:left="851" w:hanging="851"/>
        <w:jc w:val="both"/>
        <w:rPr>
          <w:rFonts w:ascii="Arial" w:hAnsi="Arial" w:cs="Arial"/>
          <w:sz w:val="25"/>
          <w:szCs w:val="25"/>
          <w:lang w:val="en-GB"/>
        </w:rPr>
      </w:pPr>
      <w:r>
        <w:rPr>
          <w:rFonts w:ascii="Arial" w:hAnsi="Arial" w:cs="Arial"/>
          <w:sz w:val="25"/>
          <w:szCs w:val="25"/>
          <w:lang w:val="en-GB"/>
        </w:rPr>
        <w:t>[46]</w:t>
      </w:r>
      <w:r>
        <w:rPr>
          <w:rFonts w:ascii="Arial" w:hAnsi="Arial" w:cs="Arial"/>
          <w:sz w:val="25"/>
          <w:szCs w:val="25"/>
          <w:lang w:val="en-GB"/>
        </w:rPr>
        <w:tab/>
      </w:r>
      <w:r w:rsidR="0011036D" w:rsidRPr="00B93EAF">
        <w:rPr>
          <w:rFonts w:ascii="Arial" w:hAnsi="Arial" w:cs="Arial"/>
          <w:sz w:val="25"/>
          <w:szCs w:val="25"/>
          <w:lang w:val="en-GB"/>
        </w:rPr>
        <w:t xml:space="preserve">Lastly, before making my order, I should say that it is more probable than not to me that the indebtedness of the trust is owed to </w:t>
      </w:r>
      <w:proofErr w:type="spellStart"/>
      <w:r w:rsidR="0011036D" w:rsidRPr="00B93EAF">
        <w:rPr>
          <w:rFonts w:ascii="Arial" w:hAnsi="Arial" w:cs="Arial"/>
          <w:sz w:val="25"/>
          <w:szCs w:val="25"/>
          <w:lang w:val="en-GB"/>
        </w:rPr>
        <w:t>Nqaba</w:t>
      </w:r>
      <w:proofErr w:type="spellEnd"/>
      <w:r w:rsidR="0011036D" w:rsidRPr="00B93EAF">
        <w:rPr>
          <w:rFonts w:ascii="Arial" w:hAnsi="Arial" w:cs="Arial"/>
          <w:sz w:val="25"/>
          <w:szCs w:val="25"/>
          <w:lang w:val="en-GB"/>
        </w:rPr>
        <w:t xml:space="preserve">, not EFC, by virtue of the operation of the elaborate contractual arrangements referred to in paragraph 8 above.  There is no basis to hold Mr </w:t>
      </w:r>
      <w:proofErr w:type="spellStart"/>
      <w:r w:rsidR="0011036D" w:rsidRPr="00B93EAF">
        <w:rPr>
          <w:rFonts w:ascii="Arial" w:hAnsi="Arial" w:cs="Arial"/>
          <w:sz w:val="25"/>
          <w:szCs w:val="25"/>
          <w:lang w:val="en-GB"/>
        </w:rPr>
        <w:t>Ngutshane</w:t>
      </w:r>
      <w:proofErr w:type="spellEnd"/>
      <w:r w:rsidR="0011036D" w:rsidRPr="00B93EAF">
        <w:rPr>
          <w:rFonts w:ascii="Arial" w:hAnsi="Arial" w:cs="Arial"/>
          <w:sz w:val="25"/>
          <w:szCs w:val="25"/>
          <w:lang w:val="en-GB"/>
        </w:rPr>
        <w:t xml:space="preserve"> liable, jointly and severally, or otherwise, for the trust’s debt.  </w:t>
      </w:r>
    </w:p>
    <w:p w14:paraId="68B0C4A6" w14:textId="02FEC225" w:rsidR="0011036D" w:rsidRPr="00B93EAF" w:rsidRDefault="00B93EAF" w:rsidP="00B93EAF">
      <w:pPr>
        <w:spacing w:before="480" w:after="240" w:line="480" w:lineRule="auto"/>
        <w:ind w:left="851" w:hanging="851"/>
        <w:jc w:val="both"/>
        <w:rPr>
          <w:rFonts w:ascii="Arial" w:hAnsi="Arial" w:cs="Arial"/>
          <w:sz w:val="25"/>
          <w:szCs w:val="25"/>
          <w:lang w:val="en-GB"/>
        </w:rPr>
      </w:pPr>
      <w:r>
        <w:rPr>
          <w:rFonts w:ascii="Arial" w:hAnsi="Arial" w:cs="Arial"/>
          <w:sz w:val="25"/>
          <w:szCs w:val="25"/>
          <w:lang w:val="en-GB"/>
        </w:rPr>
        <w:t>[47]</w:t>
      </w:r>
      <w:r>
        <w:rPr>
          <w:rFonts w:ascii="Arial" w:hAnsi="Arial" w:cs="Arial"/>
          <w:sz w:val="25"/>
          <w:szCs w:val="25"/>
          <w:lang w:val="en-GB"/>
        </w:rPr>
        <w:tab/>
      </w:r>
      <w:r w:rsidR="0011036D" w:rsidRPr="00B93EAF">
        <w:rPr>
          <w:rFonts w:ascii="Arial" w:hAnsi="Arial" w:cs="Arial"/>
          <w:sz w:val="25"/>
          <w:szCs w:val="25"/>
          <w:lang w:val="en-GB"/>
        </w:rPr>
        <w:t>Costs are provided for on an attorney and own client scale in the mortgage bond.</w:t>
      </w:r>
      <w:r w:rsidR="00B50BD0" w:rsidRPr="00B93EAF">
        <w:rPr>
          <w:rFonts w:ascii="Arial" w:hAnsi="Arial" w:cs="Arial"/>
          <w:sz w:val="25"/>
          <w:szCs w:val="25"/>
          <w:lang w:val="en-GB"/>
        </w:rPr>
        <w:t xml:space="preserve">  The prayers in the notice of motion seek costs on the attorney and client scale.</w:t>
      </w:r>
      <w:r w:rsidR="0011036D" w:rsidRPr="00B93EAF">
        <w:rPr>
          <w:rFonts w:ascii="Arial" w:hAnsi="Arial" w:cs="Arial"/>
          <w:sz w:val="25"/>
          <w:szCs w:val="25"/>
          <w:lang w:val="en-GB"/>
        </w:rPr>
        <w:t xml:space="preserve">  I see no reason why </w:t>
      </w:r>
      <w:r w:rsidR="00B50BD0" w:rsidRPr="00B93EAF">
        <w:rPr>
          <w:rFonts w:ascii="Arial" w:hAnsi="Arial" w:cs="Arial"/>
          <w:sz w:val="25"/>
          <w:szCs w:val="25"/>
          <w:lang w:val="en-GB"/>
        </w:rPr>
        <w:t>I</w:t>
      </w:r>
      <w:r w:rsidR="0011036D" w:rsidRPr="00B93EAF">
        <w:rPr>
          <w:rFonts w:ascii="Arial" w:hAnsi="Arial" w:cs="Arial"/>
          <w:sz w:val="25"/>
          <w:szCs w:val="25"/>
          <w:lang w:val="en-GB"/>
        </w:rPr>
        <w:t xml:space="preserve"> should not </w:t>
      </w:r>
      <w:r w:rsidR="00B50BD0" w:rsidRPr="00B93EAF">
        <w:rPr>
          <w:rFonts w:ascii="Arial" w:hAnsi="Arial" w:cs="Arial"/>
          <w:sz w:val="25"/>
          <w:szCs w:val="25"/>
          <w:lang w:val="en-GB"/>
        </w:rPr>
        <w:t xml:space="preserve">order costs on the attorney and client scale against the trust in the circumstances.  This, however, is only in respect of </w:t>
      </w:r>
      <w:proofErr w:type="spellStart"/>
      <w:r w:rsidR="00B50BD0" w:rsidRPr="00B93EAF">
        <w:rPr>
          <w:rFonts w:ascii="Arial" w:hAnsi="Arial" w:cs="Arial"/>
          <w:sz w:val="25"/>
          <w:szCs w:val="25"/>
          <w:lang w:val="en-GB"/>
        </w:rPr>
        <w:t>Nqaba</w:t>
      </w:r>
      <w:proofErr w:type="spellEnd"/>
      <w:r w:rsidR="00B50BD0" w:rsidRPr="00B93EAF">
        <w:rPr>
          <w:rFonts w:ascii="Arial" w:hAnsi="Arial" w:cs="Arial"/>
          <w:sz w:val="25"/>
          <w:szCs w:val="25"/>
          <w:lang w:val="en-GB"/>
        </w:rPr>
        <w:t>, which</w:t>
      </w:r>
      <w:r w:rsidR="0011036D" w:rsidRPr="00B93EAF">
        <w:rPr>
          <w:rFonts w:ascii="Arial" w:hAnsi="Arial" w:cs="Arial"/>
          <w:sz w:val="25"/>
          <w:szCs w:val="25"/>
          <w:lang w:val="en-GB"/>
        </w:rPr>
        <w:t xml:space="preserve"> has </w:t>
      </w:r>
      <w:r w:rsidR="00B50BD0" w:rsidRPr="00B93EAF">
        <w:rPr>
          <w:rFonts w:ascii="Arial" w:hAnsi="Arial" w:cs="Arial"/>
          <w:sz w:val="25"/>
          <w:szCs w:val="25"/>
          <w:lang w:val="en-GB"/>
        </w:rPr>
        <w:t xml:space="preserve">proven to </w:t>
      </w:r>
      <w:proofErr w:type="gramStart"/>
      <w:r w:rsidR="00B50BD0" w:rsidRPr="00B93EAF">
        <w:rPr>
          <w:rFonts w:ascii="Arial" w:hAnsi="Arial" w:cs="Arial"/>
          <w:sz w:val="25"/>
          <w:szCs w:val="25"/>
          <w:lang w:val="en-GB"/>
        </w:rPr>
        <w:t xml:space="preserve">be </w:t>
      </w:r>
      <w:r w:rsidR="0011036D" w:rsidRPr="00B93EAF">
        <w:rPr>
          <w:rFonts w:ascii="Arial" w:hAnsi="Arial" w:cs="Arial"/>
          <w:sz w:val="25"/>
          <w:szCs w:val="25"/>
          <w:lang w:val="en-GB"/>
        </w:rPr>
        <w:t xml:space="preserve"> substantially</w:t>
      </w:r>
      <w:proofErr w:type="gramEnd"/>
      <w:r w:rsidR="0011036D" w:rsidRPr="00B93EAF">
        <w:rPr>
          <w:rFonts w:ascii="Arial" w:hAnsi="Arial" w:cs="Arial"/>
          <w:sz w:val="25"/>
          <w:szCs w:val="25"/>
          <w:lang w:val="en-GB"/>
        </w:rPr>
        <w:t xml:space="preserve"> successful</w:t>
      </w:r>
      <w:r w:rsidR="00B50BD0" w:rsidRPr="00B93EAF">
        <w:rPr>
          <w:rFonts w:ascii="Arial" w:hAnsi="Arial" w:cs="Arial"/>
          <w:sz w:val="25"/>
          <w:szCs w:val="25"/>
          <w:lang w:val="en-GB"/>
        </w:rPr>
        <w:t xml:space="preserve"> against the trust</w:t>
      </w:r>
      <w:r w:rsidR="0011036D" w:rsidRPr="00B93EAF">
        <w:rPr>
          <w:rFonts w:ascii="Arial" w:hAnsi="Arial" w:cs="Arial"/>
          <w:sz w:val="25"/>
          <w:szCs w:val="25"/>
          <w:lang w:val="en-GB"/>
        </w:rPr>
        <w:t xml:space="preserve">.  No </w:t>
      </w:r>
      <w:r w:rsidR="00B50BD0" w:rsidRPr="00B93EAF">
        <w:rPr>
          <w:rFonts w:ascii="Arial" w:hAnsi="Arial" w:cs="Arial"/>
          <w:sz w:val="25"/>
          <w:szCs w:val="25"/>
          <w:lang w:val="en-GB"/>
        </w:rPr>
        <w:t xml:space="preserve">substantive </w:t>
      </w:r>
      <w:r w:rsidR="0011036D" w:rsidRPr="00B93EAF">
        <w:rPr>
          <w:rFonts w:ascii="Arial" w:hAnsi="Arial" w:cs="Arial"/>
          <w:sz w:val="25"/>
          <w:szCs w:val="25"/>
          <w:lang w:val="en-GB"/>
        </w:rPr>
        <w:t>order will be granted in EFC’s favour</w:t>
      </w:r>
      <w:r w:rsidR="00B50BD0" w:rsidRPr="00B93EAF">
        <w:rPr>
          <w:rFonts w:ascii="Arial" w:hAnsi="Arial" w:cs="Arial"/>
          <w:sz w:val="25"/>
          <w:szCs w:val="25"/>
          <w:lang w:val="en-GB"/>
        </w:rPr>
        <w:t xml:space="preserve"> and neither will it be entitled to any costs.  No order will be granted against Mr </w:t>
      </w:r>
      <w:proofErr w:type="spellStart"/>
      <w:r w:rsidR="00B50BD0" w:rsidRPr="00B93EAF">
        <w:rPr>
          <w:rFonts w:ascii="Arial" w:hAnsi="Arial" w:cs="Arial"/>
          <w:sz w:val="25"/>
          <w:szCs w:val="25"/>
          <w:lang w:val="en-GB"/>
        </w:rPr>
        <w:t>Ngutshane</w:t>
      </w:r>
      <w:proofErr w:type="spellEnd"/>
      <w:r w:rsidR="00B50BD0" w:rsidRPr="00B93EAF">
        <w:rPr>
          <w:rFonts w:ascii="Arial" w:hAnsi="Arial" w:cs="Arial"/>
          <w:sz w:val="25"/>
          <w:szCs w:val="25"/>
          <w:lang w:val="en-GB"/>
        </w:rPr>
        <w:t>.  Having proven substantially successful in opposing any substantive relief being granted against him, he is entitled to his costs; whatever those may be, since he seems to have represented himself throughout this matter.</w:t>
      </w:r>
    </w:p>
    <w:p w14:paraId="78EA6FC4" w14:textId="75A1283F" w:rsidR="00AF22C5" w:rsidRPr="00B93EAF" w:rsidRDefault="00B93EAF" w:rsidP="00B93EAF">
      <w:pPr>
        <w:keepNext/>
        <w:widowControl w:val="0"/>
        <w:spacing w:before="480" w:after="240" w:line="480" w:lineRule="auto"/>
        <w:ind w:left="851" w:hanging="851"/>
        <w:jc w:val="both"/>
        <w:rPr>
          <w:rFonts w:ascii="Arial" w:hAnsi="Arial" w:cs="Arial"/>
          <w:sz w:val="25"/>
          <w:szCs w:val="25"/>
          <w:lang w:val="en-GB"/>
        </w:rPr>
      </w:pPr>
      <w:r>
        <w:rPr>
          <w:rFonts w:ascii="Arial" w:hAnsi="Arial" w:cs="Arial"/>
          <w:sz w:val="25"/>
          <w:szCs w:val="25"/>
          <w:lang w:val="en-GB"/>
        </w:rPr>
        <w:lastRenderedPageBreak/>
        <w:t>[48]</w:t>
      </w:r>
      <w:r>
        <w:rPr>
          <w:rFonts w:ascii="Arial" w:hAnsi="Arial" w:cs="Arial"/>
          <w:sz w:val="25"/>
          <w:szCs w:val="25"/>
          <w:lang w:val="en-GB"/>
        </w:rPr>
        <w:tab/>
      </w:r>
      <w:r w:rsidR="00AF22C5" w:rsidRPr="00B93EAF">
        <w:rPr>
          <w:rFonts w:ascii="Arial" w:hAnsi="Arial" w:cs="Arial"/>
          <w:sz w:val="25"/>
          <w:szCs w:val="25"/>
          <w:lang w:val="en-GB"/>
        </w:rPr>
        <w:t>In the result, I make the following order:</w:t>
      </w:r>
    </w:p>
    <w:p w14:paraId="390D20A1" w14:textId="74679909" w:rsidR="0011036D" w:rsidRPr="00B93EAF" w:rsidRDefault="00B93EAF" w:rsidP="00B93EAF">
      <w:pPr>
        <w:spacing w:before="480" w:after="240" w:line="480" w:lineRule="auto"/>
        <w:ind w:left="1701" w:hanging="850"/>
        <w:jc w:val="both"/>
        <w:rPr>
          <w:rFonts w:ascii="Arial" w:hAnsi="Arial" w:cs="Arial"/>
          <w:sz w:val="25"/>
          <w:szCs w:val="25"/>
          <w:lang w:val="en-GB"/>
        </w:rPr>
      </w:pPr>
      <w:r>
        <w:rPr>
          <w:rFonts w:ascii="Arial" w:hAnsi="Arial" w:cs="Arial"/>
          <w:sz w:val="25"/>
          <w:szCs w:val="25"/>
          <w:lang w:val="en-GB"/>
        </w:rPr>
        <w:t>[48.1]</w:t>
      </w:r>
      <w:r>
        <w:rPr>
          <w:rFonts w:ascii="Arial" w:hAnsi="Arial" w:cs="Arial"/>
          <w:sz w:val="25"/>
          <w:szCs w:val="25"/>
          <w:lang w:val="en-GB"/>
        </w:rPr>
        <w:tab/>
      </w:r>
      <w:r w:rsidR="0011036D" w:rsidRPr="00B93EAF">
        <w:rPr>
          <w:rFonts w:ascii="Arial" w:hAnsi="Arial" w:cs="Arial"/>
          <w:sz w:val="25"/>
          <w:szCs w:val="25"/>
          <w:lang w:val="en-GB"/>
        </w:rPr>
        <w:t xml:space="preserve">the first respondent, the </w:t>
      </w:r>
      <w:proofErr w:type="spellStart"/>
      <w:r w:rsidR="0011036D" w:rsidRPr="00B93EAF">
        <w:rPr>
          <w:rFonts w:ascii="Arial" w:hAnsi="Arial" w:cs="Arial"/>
          <w:sz w:val="25"/>
          <w:szCs w:val="25"/>
          <w:lang w:val="en-GB"/>
        </w:rPr>
        <w:t>Khayelihle</w:t>
      </w:r>
      <w:proofErr w:type="spellEnd"/>
      <w:r w:rsidR="0011036D" w:rsidRPr="00B93EAF">
        <w:rPr>
          <w:rFonts w:ascii="Arial" w:hAnsi="Arial" w:cs="Arial"/>
          <w:sz w:val="25"/>
          <w:szCs w:val="25"/>
          <w:lang w:val="en-GB"/>
        </w:rPr>
        <w:t xml:space="preserve"> Trust, is forthwith </w:t>
      </w:r>
      <w:r w:rsidR="00B50BD0" w:rsidRPr="00B93EAF">
        <w:rPr>
          <w:rFonts w:ascii="Arial" w:hAnsi="Arial" w:cs="Arial"/>
          <w:sz w:val="25"/>
          <w:szCs w:val="25"/>
          <w:lang w:val="en-GB"/>
        </w:rPr>
        <w:t xml:space="preserve">to make payment to </w:t>
      </w:r>
      <w:proofErr w:type="spellStart"/>
      <w:r w:rsidR="00B50BD0" w:rsidRPr="00B93EAF">
        <w:rPr>
          <w:rFonts w:ascii="Arial" w:hAnsi="Arial" w:cs="Arial"/>
          <w:sz w:val="25"/>
          <w:szCs w:val="25"/>
          <w:lang w:val="en-GB"/>
        </w:rPr>
        <w:t>Nqaba</w:t>
      </w:r>
      <w:proofErr w:type="spellEnd"/>
      <w:r w:rsidR="00B50BD0" w:rsidRPr="00B93EAF">
        <w:rPr>
          <w:rFonts w:ascii="Arial" w:hAnsi="Arial" w:cs="Arial"/>
          <w:sz w:val="25"/>
          <w:szCs w:val="25"/>
          <w:lang w:val="en-GB"/>
        </w:rPr>
        <w:t xml:space="preserve"> Guarantee SPV (Pty) Ltd, the first applicant, </w:t>
      </w:r>
      <w:r w:rsidR="00FC4D65" w:rsidRPr="00B93EAF">
        <w:rPr>
          <w:rFonts w:ascii="Arial" w:hAnsi="Arial" w:cs="Arial"/>
          <w:sz w:val="25"/>
          <w:szCs w:val="25"/>
          <w:lang w:val="en-GB"/>
        </w:rPr>
        <w:t xml:space="preserve">of </w:t>
      </w:r>
      <w:r w:rsidR="00B50BD0" w:rsidRPr="00B93EAF">
        <w:rPr>
          <w:rFonts w:ascii="Arial" w:hAnsi="Arial" w:cs="Arial"/>
          <w:sz w:val="25"/>
          <w:szCs w:val="25"/>
          <w:lang w:val="en-GB"/>
        </w:rPr>
        <w:t>the amount of R1 409 506.76, together with interest thereupon at 13,25% per annum</w:t>
      </w:r>
      <w:r w:rsidR="003F7C70" w:rsidRPr="00B93EAF">
        <w:rPr>
          <w:rFonts w:ascii="Arial" w:hAnsi="Arial" w:cs="Arial"/>
          <w:sz w:val="25"/>
          <w:szCs w:val="25"/>
          <w:lang w:val="en-GB"/>
        </w:rPr>
        <w:t xml:space="preserve"> calculated daily and capitalised monthly, from 1 October 2017 to date of payment;</w:t>
      </w:r>
    </w:p>
    <w:p w14:paraId="4FD599E4" w14:textId="529A9D54" w:rsidR="003F7C70" w:rsidRPr="00B93EAF" w:rsidRDefault="00B93EAF" w:rsidP="00B93EAF">
      <w:pPr>
        <w:spacing w:before="480" w:after="240" w:line="480" w:lineRule="auto"/>
        <w:ind w:left="1701" w:hanging="850"/>
        <w:jc w:val="both"/>
        <w:rPr>
          <w:rFonts w:ascii="Arial" w:hAnsi="Arial" w:cs="Arial"/>
          <w:sz w:val="25"/>
          <w:szCs w:val="25"/>
          <w:lang w:val="en-GB"/>
        </w:rPr>
      </w:pPr>
      <w:r w:rsidRPr="00E84F10">
        <w:rPr>
          <w:rFonts w:ascii="Arial" w:hAnsi="Arial" w:cs="Arial"/>
          <w:sz w:val="25"/>
          <w:szCs w:val="25"/>
          <w:lang w:val="en-GB"/>
        </w:rPr>
        <w:t>[48.2]</w:t>
      </w:r>
      <w:r w:rsidRPr="00E84F10">
        <w:rPr>
          <w:rFonts w:ascii="Arial" w:hAnsi="Arial" w:cs="Arial"/>
          <w:sz w:val="25"/>
          <w:szCs w:val="25"/>
          <w:lang w:val="en-GB"/>
        </w:rPr>
        <w:tab/>
      </w:r>
      <w:r w:rsidR="003F7C70" w:rsidRPr="00B93EAF">
        <w:rPr>
          <w:rFonts w:ascii="Arial" w:hAnsi="Arial" w:cs="Arial"/>
          <w:sz w:val="25"/>
          <w:szCs w:val="25"/>
          <w:lang w:val="en-GB"/>
        </w:rPr>
        <w:t xml:space="preserve">the first respondent’s immovable property, being portion 18 of </w:t>
      </w:r>
      <w:proofErr w:type="spellStart"/>
      <w:r w:rsidR="003F7C70" w:rsidRPr="00B93EAF">
        <w:rPr>
          <w:rFonts w:ascii="Arial" w:hAnsi="Arial" w:cs="Arial"/>
          <w:sz w:val="25"/>
          <w:szCs w:val="25"/>
          <w:lang w:val="en-GB"/>
        </w:rPr>
        <w:t>erf</w:t>
      </w:r>
      <w:proofErr w:type="spellEnd"/>
      <w:r w:rsidR="003F7C70" w:rsidRPr="00B93EAF">
        <w:rPr>
          <w:rFonts w:ascii="Arial" w:hAnsi="Arial" w:cs="Arial"/>
          <w:sz w:val="25"/>
          <w:szCs w:val="25"/>
          <w:lang w:val="en-GB"/>
        </w:rPr>
        <w:t xml:space="preserve"> 907 </w:t>
      </w:r>
      <w:proofErr w:type="spellStart"/>
      <w:r w:rsidR="003F7C70" w:rsidRPr="00B93EAF">
        <w:rPr>
          <w:rFonts w:ascii="Arial" w:hAnsi="Arial" w:cs="Arial"/>
          <w:sz w:val="25"/>
          <w:szCs w:val="25"/>
          <w:lang w:val="en-GB"/>
        </w:rPr>
        <w:t>Rietvalleirand</w:t>
      </w:r>
      <w:proofErr w:type="spellEnd"/>
      <w:r w:rsidR="003F7C70" w:rsidRPr="00B93EAF">
        <w:rPr>
          <w:rFonts w:ascii="Arial" w:hAnsi="Arial" w:cs="Arial"/>
          <w:sz w:val="25"/>
          <w:szCs w:val="25"/>
          <w:lang w:val="en-GB"/>
        </w:rPr>
        <w:t xml:space="preserve"> extension 59 township, registration division J.R., the province of Gauteng, measuring 378m</w:t>
      </w:r>
      <w:r w:rsidR="003F7C70" w:rsidRPr="00B93EAF">
        <w:rPr>
          <w:rFonts w:ascii="Arial" w:hAnsi="Arial" w:cs="Arial"/>
          <w:sz w:val="25"/>
          <w:szCs w:val="25"/>
          <w:vertAlign w:val="superscript"/>
          <w:lang w:val="en-GB"/>
        </w:rPr>
        <w:t>2</w:t>
      </w:r>
      <w:r w:rsidR="003F7C70" w:rsidRPr="00B93EAF">
        <w:rPr>
          <w:rFonts w:ascii="Arial" w:hAnsi="Arial" w:cs="Arial"/>
          <w:sz w:val="25"/>
          <w:szCs w:val="25"/>
          <w:lang w:val="en-GB"/>
        </w:rPr>
        <w:t xml:space="preserve"> and situated at 18 </w:t>
      </w:r>
      <w:proofErr w:type="spellStart"/>
      <w:r w:rsidR="003F7C70" w:rsidRPr="00B93EAF">
        <w:rPr>
          <w:rFonts w:ascii="Arial" w:hAnsi="Arial" w:cs="Arial"/>
          <w:sz w:val="25"/>
          <w:szCs w:val="25"/>
          <w:lang w:val="en-GB"/>
        </w:rPr>
        <w:t>Waterkloof</w:t>
      </w:r>
      <w:proofErr w:type="spellEnd"/>
      <w:r w:rsidR="003F7C70" w:rsidRPr="00B93EAF">
        <w:rPr>
          <w:rFonts w:ascii="Arial" w:hAnsi="Arial" w:cs="Arial"/>
          <w:sz w:val="25"/>
          <w:szCs w:val="25"/>
          <w:lang w:val="en-GB"/>
        </w:rPr>
        <w:t xml:space="preserve"> Lane, </w:t>
      </w:r>
      <w:proofErr w:type="spellStart"/>
      <w:r w:rsidR="003F7C70" w:rsidRPr="00B93EAF">
        <w:rPr>
          <w:rFonts w:ascii="Arial" w:hAnsi="Arial" w:cs="Arial"/>
          <w:sz w:val="25"/>
          <w:szCs w:val="25"/>
          <w:lang w:val="en-GB"/>
        </w:rPr>
        <w:t>Manie</w:t>
      </w:r>
      <w:proofErr w:type="spellEnd"/>
      <w:r w:rsidR="003F7C70" w:rsidRPr="00B93EAF">
        <w:rPr>
          <w:rFonts w:ascii="Arial" w:hAnsi="Arial" w:cs="Arial"/>
          <w:sz w:val="25"/>
          <w:szCs w:val="25"/>
          <w:lang w:val="en-GB"/>
        </w:rPr>
        <w:t xml:space="preserve"> Street, </w:t>
      </w:r>
      <w:proofErr w:type="spellStart"/>
      <w:r w:rsidR="003F7C70" w:rsidRPr="00B93EAF">
        <w:rPr>
          <w:rFonts w:ascii="Arial" w:hAnsi="Arial" w:cs="Arial"/>
          <w:sz w:val="25"/>
          <w:szCs w:val="25"/>
          <w:lang w:val="en-GB"/>
        </w:rPr>
        <w:t>Rietvalleirand</w:t>
      </w:r>
      <w:proofErr w:type="spellEnd"/>
      <w:r w:rsidR="003F7C70" w:rsidRPr="00B93EAF">
        <w:rPr>
          <w:rFonts w:ascii="Arial" w:hAnsi="Arial" w:cs="Arial"/>
          <w:sz w:val="25"/>
          <w:szCs w:val="25"/>
          <w:lang w:val="en-GB"/>
        </w:rPr>
        <w:t xml:space="preserve"> extension 59 (</w:t>
      </w:r>
      <w:r w:rsidR="003F7C70" w:rsidRPr="00B93EAF">
        <w:rPr>
          <w:rFonts w:ascii="Arial" w:hAnsi="Arial" w:cs="Arial"/>
          <w:i/>
          <w:iCs/>
          <w:sz w:val="25"/>
          <w:szCs w:val="25"/>
          <w:lang w:val="en-GB"/>
        </w:rPr>
        <w:t>the property)</w:t>
      </w:r>
      <w:r w:rsidR="003F7C70" w:rsidRPr="00B93EAF">
        <w:rPr>
          <w:rFonts w:ascii="Arial" w:hAnsi="Arial" w:cs="Arial"/>
          <w:sz w:val="25"/>
          <w:szCs w:val="25"/>
          <w:lang w:val="en-GB"/>
        </w:rPr>
        <w:t>, is hereby declared specially executable for the aforesaid amount, interest thereupon and costs;</w:t>
      </w:r>
    </w:p>
    <w:p w14:paraId="211A6E18" w14:textId="77CA4C4A" w:rsidR="00AF22C5" w:rsidRPr="00B93EAF" w:rsidRDefault="00B93EAF" w:rsidP="00B93EAF">
      <w:pPr>
        <w:spacing w:before="480" w:after="240" w:line="480" w:lineRule="auto"/>
        <w:ind w:left="1701" w:hanging="850"/>
        <w:jc w:val="both"/>
        <w:rPr>
          <w:rFonts w:ascii="Arial" w:hAnsi="Arial" w:cs="Arial"/>
          <w:sz w:val="25"/>
          <w:szCs w:val="25"/>
          <w:lang w:val="en-GB"/>
        </w:rPr>
      </w:pPr>
      <w:r>
        <w:rPr>
          <w:rFonts w:ascii="Arial" w:hAnsi="Arial" w:cs="Arial"/>
          <w:sz w:val="25"/>
          <w:szCs w:val="25"/>
          <w:lang w:val="en-GB"/>
        </w:rPr>
        <w:t>[48.3]</w:t>
      </w:r>
      <w:r>
        <w:rPr>
          <w:rFonts w:ascii="Arial" w:hAnsi="Arial" w:cs="Arial"/>
          <w:sz w:val="25"/>
          <w:szCs w:val="25"/>
          <w:lang w:val="en-GB"/>
        </w:rPr>
        <w:tab/>
      </w:r>
      <w:r w:rsidR="003F7C70" w:rsidRPr="00B93EAF">
        <w:rPr>
          <w:rFonts w:ascii="Arial" w:hAnsi="Arial" w:cs="Arial"/>
          <w:sz w:val="25"/>
          <w:szCs w:val="25"/>
          <w:lang w:val="en-GB"/>
        </w:rPr>
        <w:t>the registrar is hereby authorised to issue a warrant of execution for the attachment and sale in execution of the property;</w:t>
      </w:r>
    </w:p>
    <w:p w14:paraId="0F44A507" w14:textId="39F3FBE5" w:rsidR="00EA7BC3" w:rsidRPr="00B93EAF" w:rsidRDefault="00B93EAF" w:rsidP="00B93EAF">
      <w:pPr>
        <w:spacing w:before="480" w:after="240" w:line="480" w:lineRule="auto"/>
        <w:ind w:left="1701" w:hanging="850"/>
        <w:jc w:val="both"/>
        <w:rPr>
          <w:rFonts w:ascii="Arial" w:hAnsi="Arial" w:cs="Arial"/>
          <w:sz w:val="25"/>
          <w:szCs w:val="25"/>
          <w:lang w:val="en-GB"/>
        </w:rPr>
      </w:pPr>
      <w:r>
        <w:rPr>
          <w:rFonts w:ascii="Arial" w:hAnsi="Arial" w:cs="Arial"/>
          <w:sz w:val="25"/>
          <w:szCs w:val="25"/>
          <w:lang w:val="en-GB"/>
        </w:rPr>
        <w:t>[48.4]</w:t>
      </w:r>
      <w:r>
        <w:rPr>
          <w:rFonts w:ascii="Arial" w:hAnsi="Arial" w:cs="Arial"/>
          <w:sz w:val="25"/>
          <w:szCs w:val="25"/>
          <w:lang w:val="en-GB"/>
        </w:rPr>
        <w:tab/>
      </w:r>
      <w:r w:rsidR="00EA7BC3" w:rsidRPr="00B93EAF">
        <w:rPr>
          <w:rFonts w:ascii="Arial" w:hAnsi="Arial" w:cs="Arial"/>
          <w:sz w:val="25"/>
          <w:szCs w:val="25"/>
          <w:lang w:val="en-GB"/>
        </w:rPr>
        <w:t xml:space="preserve">there shall be a reserve price of R1 000 000 imposed as a condition </w:t>
      </w:r>
      <w:r w:rsidR="00722516" w:rsidRPr="00B93EAF">
        <w:rPr>
          <w:rFonts w:ascii="Arial" w:hAnsi="Arial" w:cs="Arial"/>
          <w:sz w:val="25"/>
          <w:szCs w:val="25"/>
          <w:lang w:val="en-GB"/>
        </w:rPr>
        <w:t>at</w:t>
      </w:r>
      <w:r w:rsidR="00EA7BC3" w:rsidRPr="00B93EAF">
        <w:rPr>
          <w:rFonts w:ascii="Arial" w:hAnsi="Arial" w:cs="Arial"/>
          <w:sz w:val="25"/>
          <w:szCs w:val="25"/>
          <w:lang w:val="en-GB"/>
        </w:rPr>
        <w:t xml:space="preserve"> the sale in execution </w:t>
      </w:r>
      <w:r w:rsidR="00722516" w:rsidRPr="00B93EAF">
        <w:rPr>
          <w:rFonts w:ascii="Arial" w:hAnsi="Arial" w:cs="Arial"/>
          <w:sz w:val="25"/>
          <w:szCs w:val="25"/>
          <w:lang w:val="en-GB"/>
        </w:rPr>
        <w:t>of the property;</w:t>
      </w:r>
    </w:p>
    <w:p w14:paraId="687B1295" w14:textId="27D2B972" w:rsidR="003F7C70" w:rsidRPr="00B93EAF" w:rsidRDefault="00B93EAF" w:rsidP="00B93EAF">
      <w:pPr>
        <w:spacing w:before="480" w:after="240" w:line="480" w:lineRule="auto"/>
        <w:ind w:left="1701" w:hanging="850"/>
        <w:jc w:val="both"/>
        <w:rPr>
          <w:rFonts w:ascii="Arial" w:hAnsi="Arial" w:cs="Arial"/>
          <w:sz w:val="25"/>
          <w:szCs w:val="25"/>
          <w:lang w:val="en-GB"/>
        </w:rPr>
      </w:pPr>
      <w:r>
        <w:rPr>
          <w:rFonts w:ascii="Arial" w:hAnsi="Arial" w:cs="Arial"/>
          <w:sz w:val="25"/>
          <w:szCs w:val="25"/>
          <w:lang w:val="en-GB"/>
        </w:rPr>
        <w:t>[48.5]</w:t>
      </w:r>
      <w:r>
        <w:rPr>
          <w:rFonts w:ascii="Arial" w:hAnsi="Arial" w:cs="Arial"/>
          <w:sz w:val="25"/>
          <w:szCs w:val="25"/>
          <w:lang w:val="en-GB"/>
        </w:rPr>
        <w:tab/>
      </w:r>
      <w:r w:rsidR="003F7C70" w:rsidRPr="00B93EAF">
        <w:rPr>
          <w:rFonts w:ascii="Arial" w:hAnsi="Arial" w:cs="Arial"/>
          <w:sz w:val="25"/>
          <w:szCs w:val="25"/>
          <w:lang w:val="en-GB"/>
        </w:rPr>
        <w:t>the first respondent is to pay the costs of the first applicant;</w:t>
      </w:r>
    </w:p>
    <w:p w14:paraId="30F6E44B" w14:textId="4BFE6FDA" w:rsidR="003F7C70" w:rsidRPr="00B93EAF" w:rsidRDefault="00B93EAF" w:rsidP="00B93EAF">
      <w:pPr>
        <w:spacing w:before="480" w:after="240" w:line="480" w:lineRule="auto"/>
        <w:ind w:left="1701" w:hanging="850"/>
        <w:jc w:val="both"/>
        <w:rPr>
          <w:rFonts w:ascii="Arial" w:hAnsi="Arial" w:cs="Arial"/>
          <w:sz w:val="25"/>
          <w:szCs w:val="25"/>
          <w:lang w:val="en-GB"/>
        </w:rPr>
      </w:pPr>
      <w:r>
        <w:rPr>
          <w:rFonts w:ascii="Arial" w:hAnsi="Arial" w:cs="Arial"/>
          <w:sz w:val="25"/>
          <w:szCs w:val="25"/>
          <w:lang w:val="en-GB"/>
        </w:rPr>
        <w:t>[48.6]</w:t>
      </w:r>
      <w:r>
        <w:rPr>
          <w:rFonts w:ascii="Arial" w:hAnsi="Arial" w:cs="Arial"/>
          <w:sz w:val="25"/>
          <w:szCs w:val="25"/>
          <w:lang w:val="en-GB"/>
        </w:rPr>
        <w:tab/>
      </w:r>
      <w:r w:rsidR="003F7C70" w:rsidRPr="00B93EAF">
        <w:rPr>
          <w:rFonts w:ascii="Arial" w:hAnsi="Arial" w:cs="Arial"/>
          <w:sz w:val="25"/>
          <w:szCs w:val="25"/>
          <w:lang w:val="en-GB"/>
        </w:rPr>
        <w:t>Eskom Finance Company SOC Ltd, the second applicant, shall bear its own costs;</w:t>
      </w:r>
    </w:p>
    <w:p w14:paraId="56E662A7" w14:textId="275833DB" w:rsidR="003F7C70" w:rsidRPr="00B93EAF" w:rsidRDefault="00B93EAF" w:rsidP="00B93EAF">
      <w:pPr>
        <w:spacing w:before="480" w:after="240" w:line="480" w:lineRule="auto"/>
        <w:ind w:left="1701" w:hanging="850"/>
        <w:jc w:val="both"/>
        <w:rPr>
          <w:rFonts w:ascii="Arial" w:hAnsi="Arial" w:cs="Arial"/>
          <w:sz w:val="25"/>
          <w:szCs w:val="25"/>
          <w:lang w:val="en-GB"/>
        </w:rPr>
      </w:pPr>
      <w:r>
        <w:rPr>
          <w:rFonts w:ascii="Arial" w:hAnsi="Arial" w:cs="Arial"/>
          <w:sz w:val="25"/>
          <w:szCs w:val="25"/>
          <w:lang w:val="en-GB"/>
        </w:rPr>
        <w:lastRenderedPageBreak/>
        <w:t>[48.7]</w:t>
      </w:r>
      <w:r>
        <w:rPr>
          <w:rFonts w:ascii="Arial" w:hAnsi="Arial" w:cs="Arial"/>
          <w:sz w:val="25"/>
          <w:szCs w:val="25"/>
          <w:lang w:val="en-GB"/>
        </w:rPr>
        <w:tab/>
      </w:r>
      <w:r w:rsidR="003F7C70" w:rsidRPr="00B93EAF">
        <w:rPr>
          <w:rFonts w:ascii="Arial" w:hAnsi="Arial" w:cs="Arial"/>
          <w:sz w:val="25"/>
          <w:szCs w:val="25"/>
          <w:lang w:val="en-GB"/>
        </w:rPr>
        <w:t>the first and second applicants are to pay the costs of Mr </w:t>
      </w:r>
      <w:proofErr w:type="spellStart"/>
      <w:r w:rsidR="003F7C70" w:rsidRPr="00B93EAF">
        <w:rPr>
          <w:rFonts w:ascii="Arial" w:hAnsi="Arial" w:cs="Arial"/>
          <w:sz w:val="25"/>
          <w:szCs w:val="25"/>
          <w:lang w:val="en-GB"/>
        </w:rPr>
        <w:t>Dalingcebo</w:t>
      </w:r>
      <w:proofErr w:type="spellEnd"/>
      <w:r w:rsidR="003F7C70" w:rsidRPr="00B93EAF">
        <w:rPr>
          <w:rFonts w:ascii="Arial" w:hAnsi="Arial" w:cs="Arial"/>
          <w:sz w:val="25"/>
          <w:szCs w:val="25"/>
          <w:lang w:val="en-GB"/>
        </w:rPr>
        <w:t xml:space="preserve"> Emmanuel </w:t>
      </w:r>
      <w:proofErr w:type="spellStart"/>
      <w:r w:rsidR="003F7C70" w:rsidRPr="00B93EAF">
        <w:rPr>
          <w:rFonts w:ascii="Arial" w:hAnsi="Arial" w:cs="Arial"/>
          <w:sz w:val="25"/>
          <w:szCs w:val="25"/>
          <w:lang w:val="en-GB"/>
        </w:rPr>
        <w:t>Ngutshane</w:t>
      </w:r>
      <w:proofErr w:type="spellEnd"/>
      <w:r w:rsidR="003F7C70" w:rsidRPr="00B93EAF">
        <w:rPr>
          <w:rFonts w:ascii="Arial" w:hAnsi="Arial" w:cs="Arial"/>
          <w:sz w:val="25"/>
          <w:szCs w:val="25"/>
          <w:lang w:val="en-GB"/>
        </w:rPr>
        <w:t>, the second respondent, jointly and severally, the one paying the other to be absolved;</w:t>
      </w:r>
    </w:p>
    <w:p w14:paraId="3599F73C" w14:textId="4349AC5C" w:rsidR="003F7C70" w:rsidRPr="00B93EAF" w:rsidRDefault="00B93EAF" w:rsidP="00B93EAF">
      <w:pPr>
        <w:spacing w:before="480" w:after="240" w:line="480" w:lineRule="auto"/>
        <w:ind w:left="1701" w:hanging="850"/>
        <w:jc w:val="both"/>
        <w:rPr>
          <w:rFonts w:ascii="Arial" w:hAnsi="Arial" w:cs="Arial"/>
          <w:sz w:val="25"/>
          <w:szCs w:val="25"/>
          <w:lang w:val="en-GB"/>
        </w:rPr>
      </w:pPr>
      <w:r>
        <w:rPr>
          <w:rFonts w:ascii="Arial" w:hAnsi="Arial" w:cs="Arial"/>
          <w:sz w:val="25"/>
          <w:szCs w:val="25"/>
          <w:lang w:val="en-GB"/>
        </w:rPr>
        <w:t>[48.8]</w:t>
      </w:r>
      <w:r>
        <w:rPr>
          <w:rFonts w:ascii="Arial" w:hAnsi="Arial" w:cs="Arial"/>
          <w:sz w:val="25"/>
          <w:szCs w:val="25"/>
          <w:lang w:val="en-GB"/>
        </w:rPr>
        <w:tab/>
      </w:r>
      <w:r w:rsidR="003F7C70" w:rsidRPr="00B93EAF">
        <w:rPr>
          <w:rFonts w:ascii="Arial" w:hAnsi="Arial" w:cs="Arial"/>
          <w:sz w:val="25"/>
          <w:szCs w:val="25"/>
          <w:lang w:val="en-GB"/>
        </w:rPr>
        <w:t xml:space="preserve">the trust may ‘reinstate’ </w:t>
      </w:r>
      <w:r w:rsidR="00C757F0" w:rsidRPr="00B93EAF">
        <w:rPr>
          <w:rFonts w:ascii="Arial" w:hAnsi="Arial" w:cs="Arial"/>
          <w:sz w:val="25"/>
          <w:szCs w:val="25"/>
          <w:lang w:val="en-GB"/>
        </w:rPr>
        <w:t xml:space="preserve">or ‘revive’ </w:t>
      </w:r>
      <w:r w:rsidR="003F7C70" w:rsidRPr="00B93EAF">
        <w:rPr>
          <w:rFonts w:ascii="Arial" w:hAnsi="Arial" w:cs="Arial"/>
          <w:sz w:val="25"/>
          <w:szCs w:val="25"/>
          <w:lang w:val="en-GB"/>
        </w:rPr>
        <w:t xml:space="preserve">the loan agreement and </w:t>
      </w:r>
      <w:r w:rsidR="0098265E" w:rsidRPr="00B93EAF">
        <w:rPr>
          <w:rFonts w:ascii="Arial" w:hAnsi="Arial" w:cs="Arial"/>
          <w:sz w:val="25"/>
          <w:szCs w:val="25"/>
          <w:lang w:val="en-GB"/>
        </w:rPr>
        <w:t>resume possession of the property, in terms of s 129(3), as read with s 129(4), of the National Credit Act 34 of 2005, by paying the first applicant all amounts that are overdue in terms of the loan agreement, together with ‘default charges’ and the reasonable costs of enforcing the loan agreement and mortgage bond;</w:t>
      </w:r>
      <w:r w:rsidR="00C757F0" w:rsidRPr="00B93EAF">
        <w:rPr>
          <w:rFonts w:ascii="Arial" w:hAnsi="Arial" w:cs="Arial"/>
          <w:sz w:val="25"/>
          <w:szCs w:val="25"/>
          <w:lang w:val="en-GB"/>
        </w:rPr>
        <w:t xml:space="preserve"> and</w:t>
      </w:r>
    </w:p>
    <w:p w14:paraId="07336AC8" w14:textId="6B25291B" w:rsidR="0098265E" w:rsidRPr="00B93EAF" w:rsidRDefault="00B93EAF" w:rsidP="00B93EAF">
      <w:pPr>
        <w:spacing w:before="480" w:after="240" w:line="480" w:lineRule="auto"/>
        <w:ind w:left="1701" w:hanging="850"/>
        <w:jc w:val="both"/>
        <w:rPr>
          <w:rFonts w:ascii="Arial" w:hAnsi="Arial" w:cs="Arial"/>
          <w:sz w:val="25"/>
          <w:szCs w:val="25"/>
          <w:lang w:val="en-GB"/>
        </w:rPr>
      </w:pPr>
      <w:r>
        <w:rPr>
          <w:rFonts w:ascii="Arial" w:hAnsi="Arial" w:cs="Arial"/>
          <w:sz w:val="25"/>
          <w:szCs w:val="25"/>
          <w:lang w:val="en-GB"/>
        </w:rPr>
        <w:t>[48.9]</w:t>
      </w:r>
      <w:r>
        <w:rPr>
          <w:rFonts w:ascii="Arial" w:hAnsi="Arial" w:cs="Arial"/>
          <w:sz w:val="25"/>
          <w:szCs w:val="25"/>
          <w:lang w:val="en-GB"/>
        </w:rPr>
        <w:tab/>
      </w:r>
      <w:r w:rsidR="00C757F0" w:rsidRPr="00B93EAF">
        <w:rPr>
          <w:rFonts w:ascii="Arial" w:hAnsi="Arial" w:cs="Arial"/>
          <w:sz w:val="25"/>
          <w:szCs w:val="25"/>
          <w:lang w:val="en-GB"/>
        </w:rPr>
        <w:t>this order is to be served on the first and second respondents.</w:t>
      </w:r>
    </w:p>
    <w:p w14:paraId="469BAECD" w14:textId="77777777" w:rsidR="009B6BEF" w:rsidRDefault="009B6BEF" w:rsidP="00C757F0">
      <w:pPr>
        <w:pStyle w:val="Indent"/>
        <w:numPr>
          <w:ilvl w:val="0"/>
          <w:numId w:val="0"/>
        </w:numPr>
        <w:spacing w:after="0" w:line="240" w:lineRule="auto"/>
        <w:jc w:val="right"/>
        <w:rPr>
          <w:b/>
        </w:rPr>
      </w:pPr>
    </w:p>
    <w:p w14:paraId="071FBA06" w14:textId="77777777" w:rsidR="009B6BEF" w:rsidRDefault="009B6BEF" w:rsidP="00C757F0">
      <w:pPr>
        <w:pStyle w:val="Indent"/>
        <w:numPr>
          <w:ilvl w:val="0"/>
          <w:numId w:val="0"/>
        </w:numPr>
        <w:spacing w:after="0" w:line="240" w:lineRule="auto"/>
        <w:jc w:val="right"/>
        <w:rPr>
          <w:b/>
        </w:rPr>
      </w:pPr>
    </w:p>
    <w:p w14:paraId="3DC8608C" w14:textId="77777777" w:rsidR="009B6BEF" w:rsidRDefault="009B6BEF" w:rsidP="00C757F0">
      <w:pPr>
        <w:pStyle w:val="Indent"/>
        <w:numPr>
          <w:ilvl w:val="0"/>
          <w:numId w:val="0"/>
        </w:numPr>
        <w:spacing w:after="0" w:line="240" w:lineRule="auto"/>
        <w:jc w:val="right"/>
        <w:rPr>
          <w:b/>
        </w:rPr>
      </w:pPr>
    </w:p>
    <w:p w14:paraId="0F22716D" w14:textId="77777777" w:rsidR="009B6BEF" w:rsidRDefault="009B6BEF" w:rsidP="00C757F0">
      <w:pPr>
        <w:pStyle w:val="Indent"/>
        <w:numPr>
          <w:ilvl w:val="0"/>
          <w:numId w:val="0"/>
        </w:numPr>
        <w:spacing w:after="0" w:line="240" w:lineRule="auto"/>
        <w:jc w:val="right"/>
        <w:rPr>
          <w:b/>
        </w:rPr>
      </w:pPr>
    </w:p>
    <w:p w14:paraId="1E2DB203" w14:textId="4B2CC22F" w:rsidR="00C757F0" w:rsidRDefault="00C757F0" w:rsidP="00C757F0">
      <w:pPr>
        <w:pStyle w:val="Indent"/>
        <w:numPr>
          <w:ilvl w:val="0"/>
          <w:numId w:val="0"/>
        </w:numPr>
        <w:spacing w:after="0" w:line="240" w:lineRule="auto"/>
        <w:jc w:val="right"/>
        <w:rPr>
          <w:b/>
        </w:rPr>
      </w:pPr>
      <w:r>
        <w:rPr>
          <w:b/>
        </w:rPr>
        <w:t>ANTHONY BISHOP</w:t>
      </w:r>
    </w:p>
    <w:p w14:paraId="5A12EE3C" w14:textId="77777777" w:rsidR="00C757F0" w:rsidRPr="00A50B11" w:rsidRDefault="00C757F0" w:rsidP="00C757F0">
      <w:pPr>
        <w:pStyle w:val="Indent"/>
        <w:numPr>
          <w:ilvl w:val="0"/>
          <w:numId w:val="0"/>
        </w:numPr>
        <w:spacing w:after="0" w:line="240" w:lineRule="auto"/>
        <w:jc w:val="right"/>
      </w:pPr>
      <w:r w:rsidRPr="00A50B11">
        <w:t>Acting Judge of the High Court</w:t>
      </w:r>
    </w:p>
    <w:p w14:paraId="234A6923" w14:textId="77777777" w:rsidR="00C757F0" w:rsidRPr="00A50B11" w:rsidRDefault="00C757F0" w:rsidP="00C757F0">
      <w:pPr>
        <w:pStyle w:val="Indent"/>
        <w:numPr>
          <w:ilvl w:val="0"/>
          <w:numId w:val="0"/>
        </w:numPr>
        <w:spacing w:after="0" w:line="240" w:lineRule="auto"/>
        <w:jc w:val="right"/>
      </w:pPr>
      <w:r w:rsidRPr="00A50B11">
        <w:t>Johannesburg</w:t>
      </w:r>
    </w:p>
    <w:p w14:paraId="531E7E5C" w14:textId="2FEAFFA2" w:rsidR="009B6BEF" w:rsidRPr="009B6BEF" w:rsidRDefault="009B6BEF" w:rsidP="009B6BEF">
      <w:pPr>
        <w:pStyle w:val="Indent"/>
        <w:numPr>
          <w:ilvl w:val="0"/>
          <w:numId w:val="0"/>
        </w:numPr>
        <w:spacing w:line="360" w:lineRule="auto"/>
        <w:rPr>
          <w:bCs/>
        </w:rPr>
      </w:pPr>
      <w:r>
        <w:rPr>
          <w:b/>
        </w:rPr>
        <w:br/>
      </w:r>
      <w:r w:rsidRPr="009B6BEF">
        <w:rPr>
          <w:bCs/>
        </w:rPr>
        <w:t xml:space="preserve">This judgment will be uploaded onto </w:t>
      </w:r>
      <w:proofErr w:type="spellStart"/>
      <w:r w:rsidRPr="009B6BEF">
        <w:rPr>
          <w:bCs/>
        </w:rPr>
        <w:t>CaseLines</w:t>
      </w:r>
      <w:proofErr w:type="spellEnd"/>
      <w:r w:rsidRPr="009B6BEF">
        <w:rPr>
          <w:bCs/>
        </w:rPr>
        <w:t xml:space="preserve"> on 29 June 2023, which system will notify the parties’ legal representatives </w:t>
      </w:r>
      <w:r>
        <w:rPr>
          <w:bCs/>
        </w:rPr>
        <w:t>of</w:t>
      </w:r>
      <w:r w:rsidRPr="009B6BEF">
        <w:rPr>
          <w:bCs/>
        </w:rPr>
        <w:t xml:space="preserve"> the change </w:t>
      </w:r>
      <w:r>
        <w:rPr>
          <w:bCs/>
        </w:rPr>
        <w:t>to</w:t>
      </w:r>
      <w:r w:rsidRPr="009B6BEF">
        <w:rPr>
          <w:bCs/>
        </w:rPr>
        <w:t xml:space="preserve"> the record in the course of the day.  It will be deemed to have been handed down at 10h00 on 30 June</w:t>
      </w:r>
      <w:r>
        <w:rPr>
          <w:bCs/>
        </w:rPr>
        <w:t> </w:t>
      </w:r>
      <w:r w:rsidRPr="009B6BEF">
        <w:rPr>
          <w:bCs/>
        </w:rPr>
        <w:t>2023.</w:t>
      </w:r>
    </w:p>
    <w:p w14:paraId="190BA6BB" w14:textId="1691961D" w:rsidR="00C757F0" w:rsidRDefault="00C757F0" w:rsidP="00C757F0">
      <w:pPr>
        <w:pStyle w:val="Indent"/>
        <w:numPr>
          <w:ilvl w:val="0"/>
          <w:numId w:val="0"/>
        </w:numPr>
        <w:spacing w:after="120" w:line="240" w:lineRule="auto"/>
      </w:pPr>
      <w:r>
        <w:t>Date of hearing:</w:t>
      </w:r>
      <w:r>
        <w:tab/>
      </w:r>
      <w:r>
        <w:tab/>
      </w:r>
      <w:r>
        <w:tab/>
      </w:r>
      <w:r>
        <w:tab/>
      </w:r>
      <w:r w:rsidR="00954865">
        <w:t>1</w:t>
      </w:r>
      <w:r>
        <w:t xml:space="preserve"> November 2022</w:t>
      </w:r>
    </w:p>
    <w:p w14:paraId="6F081232" w14:textId="5E44FC62" w:rsidR="00C757F0" w:rsidRDefault="00C757F0" w:rsidP="00C757F0">
      <w:pPr>
        <w:pStyle w:val="Indent"/>
        <w:numPr>
          <w:ilvl w:val="0"/>
          <w:numId w:val="0"/>
        </w:numPr>
        <w:spacing w:after="120" w:line="240" w:lineRule="auto"/>
      </w:pPr>
      <w:r>
        <w:t>Date of judgment:</w:t>
      </w:r>
      <w:r>
        <w:tab/>
      </w:r>
      <w:r>
        <w:tab/>
      </w:r>
      <w:r>
        <w:tab/>
      </w:r>
      <w:r>
        <w:tab/>
        <w:t>29 June 2023</w:t>
      </w:r>
    </w:p>
    <w:p w14:paraId="23AF0632" w14:textId="5CCF53D7" w:rsidR="00C757F0" w:rsidRPr="00A50B11" w:rsidRDefault="00C757F0" w:rsidP="00C757F0">
      <w:pPr>
        <w:pStyle w:val="Indent"/>
        <w:numPr>
          <w:ilvl w:val="0"/>
          <w:numId w:val="0"/>
        </w:numPr>
        <w:spacing w:after="120" w:line="240" w:lineRule="auto"/>
      </w:pPr>
      <w:r w:rsidRPr="00A50B11">
        <w:t xml:space="preserve">Attorneys for the </w:t>
      </w:r>
      <w:r>
        <w:t>applicants</w:t>
      </w:r>
      <w:r w:rsidRPr="00A50B11">
        <w:t>:</w:t>
      </w:r>
      <w:r>
        <w:tab/>
      </w:r>
      <w:r>
        <w:tab/>
      </w:r>
      <w:r w:rsidR="001B05D5">
        <w:t>PME Attorneys</w:t>
      </w:r>
    </w:p>
    <w:p w14:paraId="0C8D7393" w14:textId="1DCB727A" w:rsidR="00C757F0" w:rsidRDefault="00C757F0" w:rsidP="00C757F0">
      <w:pPr>
        <w:pStyle w:val="Indent"/>
        <w:numPr>
          <w:ilvl w:val="0"/>
          <w:numId w:val="0"/>
        </w:numPr>
        <w:spacing w:after="120" w:line="240" w:lineRule="auto"/>
      </w:pPr>
      <w:r w:rsidRPr="00A50B11">
        <w:t>Counsel for the applicant</w:t>
      </w:r>
      <w:r>
        <w:t>s:</w:t>
      </w:r>
      <w:r w:rsidRPr="00A50B11">
        <w:tab/>
      </w:r>
      <w:r>
        <w:tab/>
        <w:t xml:space="preserve">Ms Tessa </w:t>
      </w:r>
      <w:proofErr w:type="spellStart"/>
      <w:r>
        <w:t>Halgryn</w:t>
      </w:r>
      <w:proofErr w:type="spellEnd"/>
      <w:r>
        <w:t xml:space="preserve"> </w:t>
      </w:r>
    </w:p>
    <w:p w14:paraId="589FF9EE" w14:textId="5D8DC563" w:rsidR="00C757F0" w:rsidRPr="009B6BEF" w:rsidRDefault="00C757F0" w:rsidP="009B6BEF">
      <w:pPr>
        <w:pStyle w:val="Indent"/>
        <w:numPr>
          <w:ilvl w:val="0"/>
          <w:numId w:val="0"/>
        </w:numPr>
        <w:spacing w:after="120" w:line="240" w:lineRule="auto"/>
        <w:ind w:left="4320" w:hanging="4320"/>
      </w:pPr>
      <w:r>
        <w:t>The respondents:</w:t>
      </w:r>
      <w:r>
        <w:tab/>
        <w:t xml:space="preserve">Mr </w:t>
      </w:r>
      <w:proofErr w:type="spellStart"/>
      <w:r>
        <w:t>Dalingcebo</w:t>
      </w:r>
      <w:proofErr w:type="spellEnd"/>
      <w:r>
        <w:t xml:space="preserve"> Emmanuel </w:t>
      </w:r>
      <w:proofErr w:type="spellStart"/>
      <w:r>
        <w:t>Ngutshane</w:t>
      </w:r>
      <w:proofErr w:type="spellEnd"/>
      <w:r>
        <w:t xml:space="preserve"> appeared on be</w:t>
      </w:r>
      <w:r w:rsidR="001B05D5">
        <w:t>half of the trust and in person</w:t>
      </w:r>
    </w:p>
    <w:sectPr w:rsidR="00C757F0" w:rsidRPr="009B6BEF" w:rsidSect="00D211BD">
      <w:headerReference w:type="even" r:id="rId13"/>
      <w:head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BA43F" w14:textId="77777777" w:rsidR="00082A2E" w:rsidRDefault="00082A2E" w:rsidP="00D211BD">
      <w:r>
        <w:separator/>
      </w:r>
    </w:p>
  </w:endnote>
  <w:endnote w:type="continuationSeparator" w:id="0">
    <w:p w14:paraId="770489FE" w14:textId="77777777" w:rsidR="00082A2E" w:rsidRDefault="00082A2E" w:rsidP="00D2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4AC5E" w14:textId="77777777" w:rsidR="00082A2E" w:rsidRDefault="00082A2E" w:rsidP="00D211BD">
      <w:r>
        <w:separator/>
      </w:r>
    </w:p>
  </w:footnote>
  <w:footnote w:type="continuationSeparator" w:id="0">
    <w:p w14:paraId="76FB44A6" w14:textId="77777777" w:rsidR="00082A2E" w:rsidRDefault="00082A2E" w:rsidP="00D211BD">
      <w:r>
        <w:continuationSeparator/>
      </w:r>
    </w:p>
  </w:footnote>
  <w:footnote w:id="1">
    <w:p w14:paraId="2779DA90" w14:textId="2868FE70" w:rsidR="0093114F" w:rsidRPr="0054036D" w:rsidRDefault="0093114F" w:rsidP="00D41930">
      <w:pPr>
        <w:pStyle w:val="FootnoteText"/>
        <w:jc w:val="both"/>
        <w:rPr>
          <w:rFonts w:ascii="Arial" w:hAnsi="Arial" w:cs="Arial"/>
          <w:lang w:val="en-US"/>
        </w:rPr>
      </w:pPr>
      <w:r w:rsidRPr="0054036D">
        <w:rPr>
          <w:rStyle w:val="FootnoteReference"/>
          <w:rFonts w:ascii="Arial" w:hAnsi="Arial" w:cs="Arial"/>
        </w:rPr>
        <w:footnoteRef/>
      </w:r>
      <w:r w:rsidRPr="0054036D">
        <w:rPr>
          <w:rFonts w:ascii="Arial" w:hAnsi="Arial" w:cs="Arial"/>
        </w:rPr>
        <w:t xml:space="preserve"> </w:t>
      </w:r>
      <w:r w:rsidRPr="0054036D">
        <w:rPr>
          <w:rFonts w:ascii="Arial" w:hAnsi="Arial" w:cs="Arial"/>
          <w:lang w:val="en-US"/>
        </w:rPr>
        <w:tab/>
        <w:t>The mortgage bond is styled as an “indemnity bond”.</w:t>
      </w:r>
    </w:p>
  </w:footnote>
  <w:footnote w:id="2">
    <w:p w14:paraId="5ED8D262" w14:textId="118393CC" w:rsidR="00930175" w:rsidRPr="0054036D" w:rsidRDefault="00930175" w:rsidP="00D41930">
      <w:pPr>
        <w:pStyle w:val="FootnoteText"/>
        <w:ind w:left="720" w:hanging="720"/>
        <w:jc w:val="both"/>
        <w:rPr>
          <w:rFonts w:ascii="Arial" w:hAnsi="Arial" w:cs="Arial"/>
          <w:lang w:val="en-US"/>
        </w:rPr>
      </w:pPr>
      <w:r w:rsidRPr="0054036D">
        <w:rPr>
          <w:rStyle w:val="FootnoteReference"/>
          <w:rFonts w:ascii="Arial" w:hAnsi="Arial" w:cs="Arial"/>
        </w:rPr>
        <w:footnoteRef/>
      </w:r>
      <w:r w:rsidRPr="0054036D">
        <w:rPr>
          <w:rFonts w:ascii="Arial" w:hAnsi="Arial" w:cs="Arial"/>
        </w:rPr>
        <w:t xml:space="preserve"> </w:t>
      </w:r>
      <w:r w:rsidRPr="0054036D">
        <w:rPr>
          <w:rFonts w:ascii="Arial" w:hAnsi="Arial" w:cs="Arial"/>
          <w:lang w:val="en-US"/>
        </w:rPr>
        <w:tab/>
        <w:t>The copy of the mortgage bond attached to the founding papers is incomplete, in that it is missing its second page.  Nothing seems to turn on this.  The founding affidavit has provided the missing evidence, which, although documentary hearsay, I am prepared to admit.</w:t>
      </w:r>
    </w:p>
  </w:footnote>
  <w:footnote w:id="3">
    <w:p w14:paraId="6CC9AEB2" w14:textId="43BD03BF" w:rsidR="000B1E86" w:rsidRPr="0054036D" w:rsidRDefault="000B1E86" w:rsidP="00D41930">
      <w:pPr>
        <w:pStyle w:val="FootnoteText"/>
        <w:jc w:val="both"/>
        <w:rPr>
          <w:rFonts w:ascii="Arial" w:hAnsi="Arial" w:cs="Arial"/>
          <w:lang w:val="en-US"/>
        </w:rPr>
      </w:pPr>
      <w:r w:rsidRPr="0054036D">
        <w:rPr>
          <w:rStyle w:val="FootnoteReference"/>
          <w:rFonts w:ascii="Arial" w:hAnsi="Arial" w:cs="Arial"/>
        </w:rPr>
        <w:footnoteRef/>
      </w:r>
      <w:r w:rsidRPr="0054036D">
        <w:rPr>
          <w:rFonts w:ascii="Arial" w:hAnsi="Arial" w:cs="Arial"/>
        </w:rPr>
        <w:t xml:space="preserve"> </w:t>
      </w:r>
      <w:r w:rsidRPr="0054036D">
        <w:rPr>
          <w:rFonts w:ascii="Arial" w:hAnsi="Arial" w:cs="Arial"/>
          <w:lang w:val="en-US"/>
        </w:rPr>
        <w:tab/>
        <w:t>I interpret the phrase “legal officer” to be a position of management.</w:t>
      </w:r>
    </w:p>
  </w:footnote>
  <w:footnote w:id="4">
    <w:p w14:paraId="2C1F6A71" w14:textId="06F8B7CF" w:rsidR="000B1E86" w:rsidRPr="0054036D" w:rsidRDefault="000B1E86" w:rsidP="00D41930">
      <w:pPr>
        <w:pStyle w:val="FootnoteText"/>
        <w:jc w:val="both"/>
        <w:rPr>
          <w:rFonts w:ascii="Arial" w:hAnsi="Arial" w:cs="Arial"/>
          <w:lang w:val="en-US"/>
        </w:rPr>
      </w:pPr>
      <w:r w:rsidRPr="0054036D">
        <w:rPr>
          <w:rStyle w:val="FootnoteReference"/>
          <w:rFonts w:ascii="Arial" w:hAnsi="Arial" w:cs="Arial"/>
        </w:rPr>
        <w:footnoteRef/>
      </w:r>
      <w:r w:rsidRPr="0054036D">
        <w:rPr>
          <w:rFonts w:ascii="Arial" w:hAnsi="Arial" w:cs="Arial"/>
        </w:rPr>
        <w:t xml:space="preserve"> </w:t>
      </w:r>
      <w:r w:rsidRPr="0054036D">
        <w:rPr>
          <w:rFonts w:ascii="Arial" w:hAnsi="Arial" w:cs="Arial"/>
          <w:lang w:val="en-US"/>
        </w:rPr>
        <w:tab/>
        <w:t>The certificate of balance is styled as a “certificate: proof of debt”.</w:t>
      </w:r>
    </w:p>
  </w:footnote>
  <w:footnote w:id="5">
    <w:p w14:paraId="56964A06" w14:textId="1ED71917" w:rsidR="00467C0A" w:rsidRPr="0054036D" w:rsidRDefault="00467C0A" w:rsidP="00D41930">
      <w:pPr>
        <w:pStyle w:val="FootnoteText"/>
        <w:ind w:left="720" w:hanging="720"/>
        <w:jc w:val="both"/>
        <w:rPr>
          <w:rFonts w:ascii="Arial" w:hAnsi="Arial" w:cs="Arial"/>
          <w:lang w:val="en-US"/>
        </w:rPr>
      </w:pPr>
      <w:r w:rsidRPr="0054036D">
        <w:rPr>
          <w:rStyle w:val="FootnoteReference"/>
          <w:rFonts w:ascii="Arial" w:hAnsi="Arial" w:cs="Arial"/>
        </w:rPr>
        <w:footnoteRef/>
      </w:r>
      <w:r w:rsidRPr="0054036D">
        <w:rPr>
          <w:rFonts w:ascii="Arial" w:hAnsi="Arial" w:cs="Arial"/>
        </w:rPr>
        <w:t xml:space="preserve"> </w:t>
      </w:r>
      <w:r w:rsidRPr="0054036D">
        <w:rPr>
          <w:rFonts w:ascii="Arial" w:hAnsi="Arial" w:cs="Arial"/>
          <w:lang w:val="en-US"/>
        </w:rPr>
        <w:tab/>
        <w:t xml:space="preserve">Although the statements are addressed to </w:t>
      </w:r>
      <w:proofErr w:type="spellStart"/>
      <w:r w:rsidRPr="0054036D">
        <w:rPr>
          <w:rFonts w:ascii="Arial" w:hAnsi="Arial" w:cs="Arial"/>
          <w:lang w:val="en-US"/>
        </w:rPr>
        <w:t>Mr</w:t>
      </w:r>
      <w:proofErr w:type="spellEnd"/>
      <w:r w:rsidRPr="0054036D">
        <w:rPr>
          <w:rFonts w:ascii="Arial" w:hAnsi="Arial" w:cs="Arial"/>
          <w:lang w:val="en-US"/>
        </w:rPr>
        <w:t xml:space="preserve"> </w:t>
      </w:r>
      <w:proofErr w:type="spellStart"/>
      <w:r w:rsidRPr="0054036D">
        <w:rPr>
          <w:rFonts w:ascii="Arial" w:hAnsi="Arial" w:cs="Arial"/>
          <w:lang w:val="en-US"/>
        </w:rPr>
        <w:t>Ngutshane</w:t>
      </w:r>
      <w:proofErr w:type="spellEnd"/>
      <w:r w:rsidRPr="0054036D">
        <w:rPr>
          <w:rFonts w:ascii="Arial" w:hAnsi="Arial" w:cs="Arial"/>
          <w:lang w:val="en-US"/>
        </w:rPr>
        <w:t xml:space="preserve">, not the trust, which took the loan, this is understandable since it was </w:t>
      </w:r>
      <w:proofErr w:type="spellStart"/>
      <w:r w:rsidRPr="0054036D">
        <w:rPr>
          <w:rFonts w:ascii="Arial" w:hAnsi="Arial" w:cs="Arial"/>
          <w:lang w:val="en-US"/>
        </w:rPr>
        <w:t>Mr</w:t>
      </w:r>
      <w:proofErr w:type="spellEnd"/>
      <w:r w:rsidRPr="0054036D">
        <w:rPr>
          <w:rFonts w:ascii="Arial" w:hAnsi="Arial" w:cs="Arial"/>
          <w:lang w:val="en-US"/>
        </w:rPr>
        <w:t xml:space="preserve"> </w:t>
      </w:r>
      <w:proofErr w:type="spellStart"/>
      <w:r w:rsidRPr="0054036D">
        <w:rPr>
          <w:rFonts w:ascii="Arial" w:hAnsi="Arial" w:cs="Arial"/>
          <w:lang w:val="en-US"/>
        </w:rPr>
        <w:t>Ngutshane’s</w:t>
      </w:r>
      <w:proofErr w:type="spellEnd"/>
      <w:r w:rsidRPr="0054036D">
        <w:rPr>
          <w:rFonts w:ascii="Arial" w:hAnsi="Arial" w:cs="Arial"/>
          <w:lang w:val="en-US"/>
        </w:rPr>
        <w:t xml:space="preserve"> employment with Eskom that qualified him for the loan, albeit that it was taken up through the vehicle of the trust.</w:t>
      </w:r>
    </w:p>
  </w:footnote>
  <w:footnote w:id="6">
    <w:p w14:paraId="53E34C60" w14:textId="7E268470" w:rsidR="00F13F7E" w:rsidRPr="0054036D" w:rsidRDefault="00F13F7E" w:rsidP="00D41930">
      <w:pPr>
        <w:pStyle w:val="FootnoteText"/>
        <w:ind w:left="720" w:hanging="720"/>
        <w:jc w:val="both"/>
        <w:rPr>
          <w:rFonts w:ascii="Arial" w:hAnsi="Arial" w:cs="Arial"/>
          <w:lang w:val="en-US"/>
        </w:rPr>
      </w:pPr>
      <w:r w:rsidRPr="0054036D">
        <w:rPr>
          <w:rStyle w:val="FootnoteReference"/>
          <w:rFonts w:ascii="Arial" w:hAnsi="Arial" w:cs="Arial"/>
        </w:rPr>
        <w:footnoteRef/>
      </w:r>
      <w:r w:rsidRPr="0054036D">
        <w:rPr>
          <w:rFonts w:ascii="Arial" w:hAnsi="Arial" w:cs="Arial"/>
        </w:rPr>
        <w:t xml:space="preserve"> </w:t>
      </w:r>
      <w:r w:rsidRPr="0054036D">
        <w:rPr>
          <w:rFonts w:ascii="Arial" w:hAnsi="Arial" w:cs="Arial"/>
          <w:lang w:val="en-US"/>
        </w:rPr>
        <w:tab/>
        <w:t>I infer that the guarantee operates along common law principles, since it has not been provided.</w:t>
      </w:r>
    </w:p>
  </w:footnote>
  <w:footnote w:id="7">
    <w:p w14:paraId="4F41A163" w14:textId="4AF546C1" w:rsidR="00E3688C" w:rsidRPr="0054036D" w:rsidRDefault="00E3688C" w:rsidP="00D41930">
      <w:pPr>
        <w:pStyle w:val="FootnoteText"/>
        <w:ind w:left="720" w:hanging="720"/>
        <w:jc w:val="both"/>
        <w:rPr>
          <w:rFonts w:ascii="Arial" w:hAnsi="Arial" w:cs="Arial"/>
          <w:lang w:val="en-US"/>
        </w:rPr>
      </w:pPr>
      <w:r w:rsidRPr="0054036D">
        <w:rPr>
          <w:rStyle w:val="FootnoteReference"/>
          <w:rFonts w:ascii="Arial" w:hAnsi="Arial" w:cs="Arial"/>
        </w:rPr>
        <w:footnoteRef/>
      </w:r>
      <w:r w:rsidRPr="0054036D">
        <w:rPr>
          <w:rFonts w:ascii="Arial" w:hAnsi="Arial" w:cs="Arial"/>
        </w:rPr>
        <w:t xml:space="preserve"> </w:t>
      </w:r>
      <w:r w:rsidRPr="0054036D">
        <w:rPr>
          <w:rFonts w:ascii="Arial" w:hAnsi="Arial" w:cs="Arial"/>
          <w:lang w:val="en-US"/>
        </w:rPr>
        <w:tab/>
        <w:t>This applica</w:t>
      </w:r>
      <w:r w:rsidR="00B85B10" w:rsidRPr="0054036D">
        <w:rPr>
          <w:rFonts w:ascii="Arial" w:hAnsi="Arial" w:cs="Arial"/>
          <w:lang w:val="en-US"/>
        </w:rPr>
        <w:t>tion</w:t>
      </w:r>
      <w:r w:rsidRPr="0054036D">
        <w:rPr>
          <w:rFonts w:ascii="Arial" w:hAnsi="Arial" w:cs="Arial"/>
          <w:lang w:val="en-US"/>
        </w:rPr>
        <w:t xml:space="preserve"> had been preceded by a similar one against the trust only, which had been withdrawn </w:t>
      </w:r>
      <w:r w:rsidR="00DA29E6" w:rsidRPr="0054036D">
        <w:rPr>
          <w:rFonts w:ascii="Arial" w:hAnsi="Arial" w:cs="Arial"/>
          <w:lang w:val="en-US"/>
        </w:rPr>
        <w:t>on 10 April 2019.</w:t>
      </w:r>
    </w:p>
  </w:footnote>
  <w:footnote w:id="8">
    <w:p w14:paraId="3AEE2E42" w14:textId="07576FFF" w:rsidR="006455F2" w:rsidRPr="0054036D" w:rsidRDefault="006455F2" w:rsidP="00D41930">
      <w:pPr>
        <w:pStyle w:val="FootnoteText"/>
        <w:jc w:val="both"/>
        <w:rPr>
          <w:rFonts w:ascii="Arial" w:hAnsi="Arial" w:cs="Arial"/>
          <w:lang w:val="en-US"/>
        </w:rPr>
      </w:pPr>
      <w:r w:rsidRPr="0054036D">
        <w:rPr>
          <w:rStyle w:val="FootnoteReference"/>
          <w:rFonts w:ascii="Arial" w:hAnsi="Arial" w:cs="Arial"/>
        </w:rPr>
        <w:footnoteRef/>
      </w:r>
      <w:r w:rsidRPr="0054036D">
        <w:rPr>
          <w:rFonts w:ascii="Arial" w:hAnsi="Arial" w:cs="Arial"/>
        </w:rPr>
        <w:t xml:space="preserve"> </w:t>
      </w:r>
      <w:r w:rsidRPr="0054036D">
        <w:rPr>
          <w:rFonts w:ascii="Arial" w:hAnsi="Arial" w:cs="Arial"/>
          <w:lang w:val="en-US"/>
        </w:rPr>
        <w:tab/>
        <w:t>This is the application that was subsequently withdrawn on 19 April 2019.</w:t>
      </w:r>
    </w:p>
  </w:footnote>
  <w:footnote w:id="9">
    <w:p w14:paraId="2CF1781D" w14:textId="45751858" w:rsidR="00942C29" w:rsidRPr="0054036D" w:rsidRDefault="00942C29" w:rsidP="00D41930">
      <w:pPr>
        <w:pStyle w:val="FootnoteText"/>
        <w:jc w:val="both"/>
        <w:rPr>
          <w:rFonts w:ascii="Arial" w:hAnsi="Arial" w:cs="Arial"/>
          <w:lang w:val="en-US"/>
        </w:rPr>
      </w:pPr>
      <w:r w:rsidRPr="0054036D">
        <w:rPr>
          <w:rStyle w:val="FootnoteReference"/>
          <w:rFonts w:ascii="Arial" w:hAnsi="Arial" w:cs="Arial"/>
        </w:rPr>
        <w:footnoteRef/>
      </w:r>
      <w:r w:rsidRPr="0054036D">
        <w:rPr>
          <w:rFonts w:ascii="Arial" w:hAnsi="Arial" w:cs="Arial"/>
        </w:rPr>
        <w:t xml:space="preserve"> </w:t>
      </w:r>
      <w:r w:rsidRPr="0054036D">
        <w:rPr>
          <w:rFonts w:ascii="Arial" w:hAnsi="Arial" w:cs="Arial"/>
          <w:lang w:val="en-US"/>
        </w:rPr>
        <w:tab/>
      </w:r>
      <w:r w:rsidRPr="0054036D">
        <w:rPr>
          <w:rFonts w:ascii="Arial" w:hAnsi="Arial" w:cs="Arial"/>
          <w:b/>
          <w:bCs/>
          <w:i/>
          <w:iCs/>
          <w:lang w:val="en-US"/>
        </w:rPr>
        <w:t xml:space="preserve">Department of Transport and Others v </w:t>
      </w:r>
      <w:proofErr w:type="spellStart"/>
      <w:r w:rsidRPr="0054036D">
        <w:rPr>
          <w:rFonts w:ascii="Arial" w:hAnsi="Arial" w:cs="Arial"/>
          <w:b/>
          <w:bCs/>
          <w:i/>
          <w:iCs/>
          <w:lang w:val="en-US"/>
        </w:rPr>
        <w:t>Tasima</w:t>
      </w:r>
      <w:proofErr w:type="spellEnd"/>
      <w:r w:rsidRPr="0054036D">
        <w:rPr>
          <w:rFonts w:ascii="Arial" w:hAnsi="Arial" w:cs="Arial"/>
          <w:b/>
          <w:bCs/>
          <w:i/>
          <w:iCs/>
          <w:lang w:val="en-US"/>
        </w:rPr>
        <w:t xml:space="preserve"> (Pty) Ltd</w:t>
      </w:r>
      <w:r w:rsidRPr="0054036D">
        <w:rPr>
          <w:rFonts w:ascii="Arial" w:hAnsi="Arial" w:cs="Arial"/>
          <w:lang w:val="en-US"/>
        </w:rPr>
        <w:t xml:space="preserve"> 2017 (2) SA 622 (CC), par 17</w:t>
      </w:r>
      <w:r w:rsidR="004637F4" w:rsidRPr="0054036D">
        <w:rPr>
          <w:rFonts w:ascii="Arial" w:hAnsi="Arial" w:cs="Arial"/>
          <w:lang w:val="en-US"/>
        </w:rPr>
        <w:t>8</w:t>
      </w:r>
      <w:r w:rsidRPr="0054036D">
        <w:rPr>
          <w:rFonts w:ascii="Arial" w:hAnsi="Arial" w:cs="Arial"/>
          <w:lang w:val="en-US"/>
        </w:rPr>
        <w:t>-180</w:t>
      </w:r>
    </w:p>
  </w:footnote>
  <w:footnote w:id="10">
    <w:p w14:paraId="3FFA3F8B" w14:textId="1E3997E1" w:rsidR="006B36FB" w:rsidRPr="0054036D" w:rsidRDefault="006B36FB" w:rsidP="00D41930">
      <w:pPr>
        <w:pStyle w:val="FootnoteText"/>
        <w:ind w:left="720" w:hanging="720"/>
        <w:jc w:val="both"/>
        <w:rPr>
          <w:rFonts w:ascii="Arial" w:hAnsi="Arial" w:cs="Arial"/>
          <w:lang w:val="en-US"/>
        </w:rPr>
      </w:pPr>
      <w:r w:rsidRPr="0054036D">
        <w:rPr>
          <w:rStyle w:val="FootnoteReference"/>
          <w:rFonts w:ascii="Arial" w:hAnsi="Arial" w:cs="Arial"/>
        </w:rPr>
        <w:footnoteRef/>
      </w:r>
      <w:r w:rsidRPr="0054036D">
        <w:rPr>
          <w:rFonts w:ascii="Arial" w:hAnsi="Arial" w:cs="Arial"/>
        </w:rPr>
        <w:t xml:space="preserve"> </w:t>
      </w:r>
      <w:r w:rsidRPr="0054036D">
        <w:rPr>
          <w:rFonts w:ascii="Arial" w:hAnsi="Arial" w:cs="Arial"/>
          <w:lang w:val="en-US"/>
        </w:rPr>
        <w:tab/>
        <w:t>See s 18(1) of the National Credit Act, as read with the definition of “juristic person” in s 1 thereof.</w:t>
      </w:r>
    </w:p>
  </w:footnote>
  <w:footnote w:id="11">
    <w:p w14:paraId="65BDDBEB" w14:textId="704BD4B7" w:rsidR="008011D5" w:rsidRPr="0054036D" w:rsidRDefault="008011D5" w:rsidP="00D41930">
      <w:pPr>
        <w:pStyle w:val="FootnoteText"/>
        <w:jc w:val="both"/>
        <w:rPr>
          <w:rFonts w:ascii="Arial" w:hAnsi="Arial" w:cs="Arial"/>
          <w:lang w:val="en-US"/>
        </w:rPr>
      </w:pPr>
      <w:r w:rsidRPr="0054036D">
        <w:rPr>
          <w:rStyle w:val="FootnoteReference"/>
          <w:rFonts w:ascii="Arial" w:hAnsi="Arial" w:cs="Arial"/>
        </w:rPr>
        <w:footnoteRef/>
      </w:r>
      <w:r w:rsidRPr="0054036D">
        <w:rPr>
          <w:rFonts w:ascii="Arial" w:hAnsi="Arial" w:cs="Arial"/>
        </w:rPr>
        <w:t xml:space="preserve"> </w:t>
      </w:r>
      <w:r w:rsidRPr="0054036D">
        <w:rPr>
          <w:rFonts w:ascii="Arial" w:hAnsi="Arial" w:cs="Arial"/>
          <w:lang w:val="en-US"/>
        </w:rPr>
        <w:tab/>
      </w:r>
      <w:r w:rsidR="00B1479C" w:rsidRPr="0054036D">
        <w:rPr>
          <w:rFonts w:ascii="Arial" w:hAnsi="Arial" w:cs="Arial"/>
          <w:b/>
          <w:bCs/>
          <w:i/>
          <w:iCs/>
          <w:lang w:val="en-GB"/>
        </w:rPr>
        <w:t>Investec Bank Ltd v Fraser NO and Others</w:t>
      </w:r>
      <w:r w:rsidR="00B1479C" w:rsidRPr="0054036D">
        <w:rPr>
          <w:rFonts w:ascii="Arial" w:hAnsi="Arial" w:cs="Arial"/>
          <w:lang w:val="en-US"/>
        </w:rPr>
        <w:t xml:space="preserve"> </w:t>
      </w:r>
      <w:r w:rsidRPr="0054036D">
        <w:rPr>
          <w:rFonts w:ascii="Arial" w:hAnsi="Arial" w:cs="Arial"/>
          <w:lang w:val="en-US"/>
        </w:rPr>
        <w:t>2020 (6) SA 211 (GJ)</w:t>
      </w:r>
    </w:p>
  </w:footnote>
  <w:footnote w:id="12">
    <w:p w14:paraId="4C627D4D" w14:textId="5ABD849F" w:rsidR="00B1479C" w:rsidRPr="0054036D" w:rsidRDefault="00B1479C" w:rsidP="00D41930">
      <w:pPr>
        <w:pStyle w:val="FootnoteText"/>
        <w:jc w:val="both"/>
        <w:rPr>
          <w:rFonts w:ascii="Arial" w:hAnsi="Arial" w:cs="Arial"/>
          <w:lang w:val="en-US"/>
        </w:rPr>
      </w:pPr>
      <w:r w:rsidRPr="0054036D">
        <w:rPr>
          <w:rStyle w:val="FootnoteReference"/>
          <w:rFonts w:ascii="Arial" w:hAnsi="Arial" w:cs="Arial"/>
        </w:rPr>
        <w:footnoteRef/>
      </w:r>
      <w:r w:rsidRPr="0054036D">
        <w:rPr>
          <w:rFonts w:ascii="Arial" w:hAnsi="Arial" w:cs="Arial"/>
        </w:rPr>
        <w:t xml:space="preserve"> </w:t>
      </w:r>
      <w:r w:rsidRPr="0054036D">
        <w:rPr>
          <w:rFonts w:ascii="Arial" w:hAnsi="Arial" w:cs="Arial"/>
          <w:lang w:val="en-US"/>
        </w:rPr>
        <w:tab/>
      </w:r>
      <w:r w:rsidRPr="0054036D">
        <w:rPr>
          <w:rFonts w:ascii="Arial" w:hAnsi="Arial" w:cs="Arial"/>
          <w:b/>
          <w:bCs/>
          <w:i/>
          <w:iCs/>
          <w:lang w:val="en-US"/>
        </w:rPr>
        <w:t>Investec</w:t>
      </w:r>
      <w:r w:rsidRPr="0054036D">
        <w:rPr>
          <w:rFonts w:ascii="Arial" w:hAnsi="Arial" w:cs="Arial"/>
          <w:lang w:val="en-US"/>
        </w:rPr>
        <w:t>, par 73</w:t>
      </w:r>
    </w:p>
  </w:footnote>
  <w:footnote w:id="13">
    <w:p w14:paraId="46A27F52" w14:textId="77777777" w:rsidR="00C81D53" w:rsidRPr="0054036D" w:rsidRDefault="00C81D53" w:rsidP="00D41930">
      <w:pPr>
        <w:pStyle w:val="FootnoteText"/>
        <w:jc w:val="both"/>
        <w:rPr>
          <w:rFonts w:ascii="Arial" w:hAnsi="Arial" w:cs="Arial"/>
          <w:lang w:val="en-US"/>
        </w:rPr>
      </w:pPr>
      <w:r w:rsidRPr="0054036D">
        <w:rPr>
          <w:rStyle w:val="FootnoteReference"/>
          <w:rFonts w:ascii="Arial" w:hAnsi="Arial" w:cs="Arial"/>
        </w:rPr>
        <w:footnoteRef/>
      </w:r>
      <w:r w:rsidRPr="0054036D">
        <w:rPr>
          <w:rFonts w:ascii="Arial" w:hAnsi="Arial" w:cs="Arial"/>
        </w:rPr>
        <w:t xml:space="preserve"> </w:t>
      </w:r>
      <w:r w:rsidRPr="0054036D">
        <w:rPr>
          <w:rFonts w:ascii="Arial" w:hAnsi="Arial" w:cs="Arial"/>
          <w:lang w:val="en-US"/>
        </w:rPr>
        <w:tab/>
      </w:r>
      <w:r w:rsidRPr="0054036D">
        <w:rPr>
          <w:rFonts w:ascii="Arial" w:hAnsi="Arial" w:cs="Arial"/>
          <w:b/>
          <w:bCs/>
          <w:i/>
          <w:iCs/>
          <w:lang w:val="en-US"/>
        </w:rPr>
        <w:t>Investec</w:t>
      </w:r>
      <w:r w:rsidRPr="0054036D">
        <w:rPr>
          <w:rFonts w:ascii="Arial" w:hAnsi="Arial" w:cs="Arial"/>
          <w:lang w:val="en-US"/>
        </w:rPr>
        <w:t>, par 6</w:t>
      </w:r>
    </w:p>
  </w:footnote>
  <w:footnote w:id="14">
    <w:p w14:paraId="2C8C2B9E" w14:textId="2F609098" w:rsidR="00C81D53" w:rsidRPr="0054036D" w:rsidRDefault="00C81D53" w:rsidP="00D41930">
      <w:pPr>
        <w:pStyle w:val="FootnoteText"/>
        <w:jc w:val="both"/>
        <w:rPr>
          <w:rFonts w:ascii="Arial" w:hAnsi="Arial" w:cs="Arial"/>
          <w:lang w:val="en-US"/>
        </w:rPr>
      </w:pPr>
      <w:r w:rsidRPr="0054036D">
        <w:rPr>
          <w:rStyle w:val="FootnoteReference"/>
          <w:rFonts w:ascii="Arial" w:hAnsi="Arial" w:cs="Arial"/>
        </w:rPr>
        <w:footnoteRef/>
      </w:r>
      <w:r w:rsidRPr="0054036D">
        <w:rPr>
          <w:rFonts w:ascii="Arial" w:hAnsi="Arial" w:cs="Arial"/>
        </w:rPr>
        <w:t xml:space="preserve"> </w:t>
      </w:r>
      <w:r w:rsidRPr="0054036D">
        <w:rPr>
          <w:rFonts w:ascii="Arial" w:hAnsi="Arial" w:cs="Arial"/>
          <w:lang w:val="en-US"/>
        </w:rPr>
        <w:tab/>
      </w:r>
      <w:r w:rsidRPr="0054036D">
        <w:rPr>
          <w:rFonts w:ascii="Arial" w:hAnsi="Arial" w:cs="Arial"/>
          <w:b/>
          <w:bCs/>
          <w:i/>
          <w:iCs/>
          <w:lang w:val="en-US"/>
        </w:rPr>
        <w:t>Investec</w:t>
      </w:r>
      <w:r w:rsidRPr="0054036D">
        <w:rPr>
          <w:rFonts w:ascii="Arial" w:hAnsi="Arial" w:cs="Arial"/>
          <w:lang w:val="en-US"/>
        </w:rPr>
        <w:t>, par 8-9</w:t>
      </w:r>
    </w:p>
  </w:footnote>
  <w:footnote w:id="15">
    <w:p w14:paraId="1B43FFD0" w14:textId="4CF02A11" w:rsidR="00C81D53" w:rsidRPr="0054036D" w:rsidRDefault="00C81D53" w:rsidP="00D41930">
      <w:pPr>
        <w:pStyle w:val="FootnoteText"/>
        <w:jc w:val="both"/>
        <w:rPr>
          <w:rFonts w:ascii="Arial" w:hAnsi="Arial" w:cs="Arial"/>
          <w:lang w:val="en-US"/>
        </w:rPr>
      </w:pPr>
      <w:r w:rsidRPr="0054036D">
        <w:rPr>
          <w:rStyle w:val="FootnoteReference"/>
          <w:rFonts w:ascii="Arial" w:hAnsi="Arial" w:cs="Arial"/>
        </w:rPr>
        <w:footnoteRef/>
      </w:r>
      <w:r w:rsidRPr="0054036D">
        <w:rPr>
          <w:rFonts w:ascii="Arial" w:hAnsi="Arial" w:cs="Arial"/>
        </w:rPr>
        <w:t xml:space="preserve"> </w:t>
      </w:r>
      <w:r w:rsidRPr="0054036D">
        <w:rPr>
          <w:rFonts w:ascii="Arial" w:hAnsi="Arial" w:cs="Arial"/>
          <w:lang w:val="en-US"/>
        </w:rPr>
        <w:tab/>
      </w:r>
      <w:r w:rsidRPr="0054036D">
        <w:rPr>
          <w:rFonts w:ascii="Arial" w:hAnsi="Arial" w:cs="Arial"/>
          <w:b/>
          <w:bCs/>
          <w:i/>
          <w:iCs/>
          <w:lang w:val="en-US"/>
        </w:rPr>
        <w:t>Investec</w:t>
      </w:r>
      <w:r w:rsidRPr="0054036D">
        <w:rPr>
          <w:rFonts w:ascii="Arial" w:hAnsi="Arial" w:cs="Arial"/>
          <w:lang w:val="en-US"/>
        </w:rPr>
        <w:t>, par 12</w:t>
      </w:r>
    </w:p>
  </w:footnote>
  <w:footnote w:id="16">
    <w:p w14:paraId="1F77FC5A" w14:textId="375786B2" w:rsidR="00C81D53" w:rsidRPr="0054036D" w:rsidRDefault="00C81D53" w:rsidP="00D41930">
      <w:pPr>
        <w:pStyle w:val="FootnoteText"/>
        <w:jc w:val="both"/>
        <w:rPr>
          <w:rFonts w:ascii="Arial" w:hAnsi="Arial" w:cs="Arial"/>
          <w:lang w:val="en-US"/>
        </w:rPr>
      </w:pPr>
      <w:r w:rsidRPr="0054036D">
        <w:rPr>
          <w:rStyle w:val="FootnoteReference"/>
          <w:rFonts w:ascii="Arial" w:hAnsi="Arial" w:cs="Arial"/>
        </w:rPr>
        <w:footnoteRef/>
      </w:r>
      <w:r w:rsidRPr="0054036D">
        <w:rPr>
          <w:rFonts w:ascii="Arial" w:hAnsi="Arial" w:cs="Arial"/>
        </w:rPr>
        <w:t xml:space="preserve"> </w:t>
      </w:r>
      <w:r w:rsidRPr="0054036D">
        <w:rPr>
          <w:rFonts w:ascii="Arial" w:hAnsi="Arial" w:cs="Arial"/>
          <w:lang w:val="en-US"/>
        </w:rPr>
        <w:tab/>
      </w:r>
      <w:r w:rsidRPr="0054036D">
        <w:rPr>
          <w:rFonts w:ascii="Arial" w:hAnsi="Arial" w:cs="Arial"/>
          <w:b/>
          <w:bCs/>
          <w:i/>
          <w:iCs/>
          <w:lang w:val="en-US"/>
        </w:rPr>
        <w:t>Investec</w:t>
      </w:r>
      <w:r w:rsidRPr="0054036D">
        <w:rPr>
          <w:rFonts w:ascii="Arial" w:hAnsi="Arial" w:cs="Arial"/>
          <w:lang w:val="en-US"/>
        </w:rPr>
        <w:t>, par 13</w:t>
      </w:r>
    </w:p>
  </w:footnote>
  <w:footnote w:id="17">
    <w:p w14:paraId="6B0146A0" w14:textId="6969C889" w:rsidR="00C81D53" w:rsidRPr="0054036D" w:rsidRDefault="00C81D53" w:rsidP="00D41930">
      <w:pPr>
        <w:pStyle w:val="FootnoteText"/>
        <w:jc w:val="both"/>
        <w:rPr>
          <w:rFonts w:ascii="Arial" w:hAnsi="Arial" w:cs="Arial"/>
          <w:lang w:val="en-US"/>
        </w:rPr>
      </w:pPr>
      <w:r w:rsidRPr="0054036D">
        <w:rPr>
          <w:rStyle w:val="FootnoteReference"/>
          <w:rFonts w:ascii="Arial" w:hAnsi="Arial" w:cs="Arial"/>
        </w:rPr>
        <w:footnoteRef/>
      </w:r>
      <w:r w:rsidRPr="0054036D">
        <w:rPr>
          <w:rFonts w:ascii="Arial" w:hAnsi="Arial" w:cs="Arial"/>
        </w:rPr>
        <w:t xml:space="preserve"> </w:t>
      </w:r>
      <w:r w:rsidRPr="0054036D">
        <w:rPr>
          <w:rFonts w:ascii="Arial" w:hAnsi="Arial" w:cs="Arial"/>
          <w:lang w:val="en-US"/>
        </w:rPr>
        <w:tab/>
      </w:r>
      <w:r w:rsidRPr="0054036D">
        <w:rPr>
          <w:rFonts w:ascii="Arial" w:hAnsi="Arial" w:cs="Arial"/>
          <w:b/>
          <w:bCs/>
          <w:i/>
          <w:iCs/>
          <w:lang w:val="en-US"/>
        </w:rPr>
        <w:t>Investec</w:t>
      </w:r>
      <w:r w:rsidRPr="0054036D">
        <w:rPr>
          <w:rFonts w:ascii="Arial" w:hAnsi="Arial" w:cs="Arial"/>
          <w:lang w:val="en-US"/>
        </w:rPr>
        <w:t>, par 14-22</w:t>
      </w:r>
    </w:p>
  </w:footnote>
  <w:footnote w:id="18">
    <w:p w14:paraId="314C1093" w14:textId="2697B3B1" w:rsidR="00C81D53" w:rsidRPr="0054036D" w:rsidRDefault="00C81D53" w:rsidP="00D41930">
      <w:pPr>
        <w:pStyle w:val="FootnoteText"/>
        <w:jc w:val="both"/>
        <w:rPr>
          <w:rFonts w:ascii="Arial" w:hAnsi="Arial" w:cs="Arial"/>
          <w:lang w:val="en-US"/>
        </w:rPr>
      </w:pPr>
      <w:r w:rsidRPr="0054036D">
        <w:rPr>
          <w:rStyle w:val="FootnoteReference"/>
          <w:rFonts w:ascii="Arial" w:hAnsi="Arial" w:cs="Arial"/>
        </w:rPr>
        <w:footnoteRef/>
      </w:r>
      <w:r w:rsidRPr="0054036D">
        <w:rPr>
          <w:rFonts w:ascii="Arial" w:hAnsi="Arial" w:cs="Arial"/>
        </w:rPr>
        <w:t xml:space="preserve"> </w:t>
      </w:r>
      <w:r w:rsidRPr="0054036D">
        <w:rPr>
          <w:rFonts w:ascii="Arial" w:hAnsi="Arial" w:cs="Arial"/>
          <w:lang w:val="en-US"/>
        </w:rPr>
        <w:tab/>
      </w:r>
      <w:r w:rsidRPr="0054036D">
        <w:rPr>
          <w:rFonts w:ascii="Arial" w:hAnsi="Arial" w:cs="Arial"/>
          <w:b/>
          <w:bCs/>
          <w:i/>
          <w:iCs/>
          <w:lang w:val="en-US"/>
        </w:rPr>
        <w:t>Investec</w:t>
      </w:r>
      <w:r w:rsidRPr="0054036D">
        <w:rPr>
          <w:rFonts w:ascii="Arial" w:hAnsi="Arial" w:cs="Arial"/>
          <w:lang w:val="en-US"/>
        </w:rPr>
        <w:t>, par 23</w:t>
      </w:r>
    </w:p>
  </w:footnote>
  <w:footnote w:id="19">
    <w:p w14:paraId="20E6E5ED" w14:textId="33CA85F5" w:rsidR="000906C0" w:rsidRPr="0054036D" w:rsidRDefault="000906C0" w:rsidP="00D41930">
      <w:pPr>
        <w:pStyle w:val="FootnoteText"/>
        <w:jc w:val="both"/>
        <w:rPr>
          <w:rFonts w:ascii="Arial" w:hAnsi="Arial" w:cs="Arial"/>
          <w:lang w:val="en-US"/>
        </w:rPr>
      </w:pPr>
      <w:r w:rsidRPr="0054036D">
        <w:rPr>
          <w:rStyle w:val="FootnoteReference"/>
          <w:rFonts w:ascii="Arial" w:hAnsi="Arial" w:cs="Arial"/>
        </w:rPr>
        <w:footnoteRef/>
      </w:r>
      <w:r w:rsidRPr="0054036D">
        <w:rPr>
          <w:rFonts w:ascii="Arial" w:hAnsi="Arial" w:cs="Arial"/>
        </w:rPr>
        <w:t xml:space="preserve"> </w:t>
      </w:r>
      <w:r w:rsidRPr="0054036D">
        <w:rPr>
          <w:rFonts w:ascii="Arial" w:hAnsi="Arial" w:cs="Arial"/>
          <w:lang w:val="en-US"/>
        </w:rPr>
        <w:tab/>
      </w:r>
      <w:r w:rsidRPr="0054036D">
        <w:rPr>
          <w:rFonts w:ascii="Arial" w:hAnsi="Arial" w:cs="Arial"/>
          <w:b/>
          <w:bCs/>
          <w:i/>
          <w:iCs/>
          <w:lang w:val="en-US"/>
        </w:rPr>
        <w:t>Investec</w:t>
      </w:r>
      <w:r w:rsidRPr="0054036D">
        <w:rPr>
          <w:rFonts w:ascii="Arial" w:hAnsi="Arial" w:cs="Arial"/>
          <w:lang w:val="en-US"/>
        </w:rPr>
        <w:t>, par 2.1</w:t>
      </w:r>
    </w:p>
  </w:footnote>
  <w:footnote w:id="20">
    <w:p w14:paraId="6848311C" w14:textId="4E47EFF6" w:rsidR="008E02D5" w:rsidRPr="0054036D" w:rsidRDefault="008E02D5" w:rsidP="00D41930">
      <w:pPr>
        <w:pStyle w:val="FootnoteText"/>
        <w:jc w:val="both"/>
        <w:rPr>
          <w:rFonts w:ascii="Arial" w:hAnsi="Arial" w:cs="Arial"/>
          <w:lang w:val="en-US"/>
        </w:rPr>
      </w:pPr>
      <w:r w:rsidRPr="0054036D">
        <w:rPr>
          <w:rStyle w:val="FootnoteReference"/>
          <w:rFonts w:ascii="Arial" w:hAnsi="Arial" w:cs="Arial"/>
        </w:rPr>
        <w:footnoteRef/>
      </w:r>
      <w:r w:rsidRPr="0054036D">
        <w:rPr>
          <w:rFonts w:ascii="Arial" w:hAnsi="Arial" w:cs="Arial"/>
        </w:rPr>
        <w:t xml:space="preserve"> </w:t>
      </w:r>
      <w:r w:rsidRPr="0054036D">
        <w:rPr>
          <w:rFonts w:ascii="Arial" w:hAnsi="Arial" w:cs="Arial"/>
          <w:lang w:val="en-US"/>
        </w:rPr>
        <w:tab/>
      </w:r>
      <w:r w:rsidRPr="0054036D">
        <w:rPr>
          <w:rFonts w:ascii="Arial" w:hAnsi="Arial" w:cs="Arial"/>
          <w:b/>
          <w:bCs/>
          <w:i/>
          <w:iCs/>
          <w:lang w:val="en-US"/>
        </w:rPr>
        <w:t>Investec</w:t>
      </w:r>
      <w:r w:rsidRPr="0054036D">
        <w:rPr>
          <w:rFonts w:ascii="Arial" w:hAnsi="Arial" w:cs="Arial"/>
          <w:lang w:val="en-US"/>
        </w:rPr>
        <w:t>, par 11</w:t>
      </w:r>
    </w:p>
  </w:footnote>
  <w:footnote w:id="21">
    <w:p w14:paraId="0B148430" w14:textId="63AF1D5A" w:rsidR="0071529A" w:rsidRPr="0054036D" w:rsidRDefault="0071529A" w:rsidP="00D41930">
      <w:pPr>
        <w:pStyle w:val="FootnoteText"/>
        <w:jc w:val="both"/>
        <w:rPr>
          <w:rFonts w:ascii="Arial" w:hAnsi="Arial" w:cs="Arial"/>
          <w:lang w:val="en-US"/>
        </w:rPr>
      </w:pPr>
      <w:r w:rsidRPr="0054036D">
        <w:rPr>
          <w:rStyle w:val="FootnoteReference"/>
          <w:rFonts w:ascii="Arial" w:hAnsi="Arial" w:cs="Arial"/>
        </w:rPr>
        <w:footnoteRef/>
      </w:r>
      <w:r w:rsidRPr="0054036D">
        <w:rPr>
          <w:rFonts w:ascii="Arial" w:hAnsi="Arial" w:cs="Arial"/>
        </w:rPr>
        <w:t xml:space="preserve"> </w:t>
      </w:r>
      <w:r w:rsidRPr="0054036D">
        <w:rPr>
          <w:rFonts w:ascii="Arial" w:hAnsi="Arial" w:cs="Arial"/>
          <w:lang w:val="en-US"/>
        </w:rPr>
        <w:tab/>
      </w:r>
      <w:proofErr w:type="spellStart"/>
      <w:r w:rsidRPr="0054036D">
        <w:rPr>
          <w:rFonts w:ascii="Arial" w:hAnsi="Arial" w:cs="Arial"/>
          <w:b/>
          <w:bCs/>
          <w:i/>
          <w:iCs/>
          <w:lang w:val="en-US"/>
        </w:rPr>
        <w:t>Nedbank</w:t>
      </w:r>
      <w:proofErr w:type="spellEnd"/>
      <w:r w:rsidR="00EE45DA" w:rsidRPr="0054036D">
        <w:rPr>
          <w:rFonts w:ascii="Arial" w:hAnsi="Arial" w:cs="Arial"/>
          <w:b/>
          <w:bCs/>
          <w:i/>
          <w:iCs/>
          <w:lang w:val="en-US"/>
        </w:rPr>
        <w:t xml:space="preserve"> v Trustees, </w:t>
      </w:r>
      <w:proofErr w:type="spellStart"/>
      <w:r w:rsidR="00EE45DA" w:rsidRPr="0054036D">
        <w:rPr>
          <w:rFonts w:ascii="Arial" w:hAnsi="Arial" w:cs="Arial"/>
          <w:b/>
          <w:bCs/>
          <w:i/>
          <w:iCs/>
          <w:color w:val="000000"/>
        </w:rPr>
        <w:t>Mthuzi</w:t>
      </w:r>
      <w:proofErr w:type="spellEnd"/>
      <w:r w:rsidR="00EE45DA" w:rsidRPr="0054036D">
        <w:rPr>
          <w:rFonts w:ascii="Arial" w:hAnsi="Arial" w:cs="Arial"/>
          <w:b/>
          <w:bCs/>
          <w:i/>
          <w:iCs/>
          <w:color w:val="000000"/>
        </w:rPr>
        <w:t xml:space="preserve"> </w:t>
      </w:r>
      <w:proofErr w:type="spellStart"/>
      <w:r w:rsidR="00EE45DA" w:rsidRPr="0054036D">
        <w:rPr>
          <w:rFonts w:ascii="Arial" w:hAnsi="Arial" w:cs="Arial"/>
          <w:b/>
          <w:bCs/>
          <w:i/>
          <w:iCs/>
          <w:color w:val="000000"/>
        </w:rPr>
        <w:t>Mdwaba</w:t>
      </w:r>
      <w:proofErr w:type="spellEnd"/>
      <w:r w:rsidR="00EE45DA" w:rsidRPr="0054036D">
        <w:rPr>
          <w:rFonts w:ascii="Arial" w:hAnsi="Arial" w:cs="Arial"/>
          <w:b/>
          <w:bCs/>
          <w:i/>
          <w:iCs/>
          <w:color w:val="000000"/>
        </w:rPr>
        <w:t xml:space="preserve"> </w:t>
      </w:r>
      <w:proofErr w:type="spellStart"/>
      <w:r w:rsidR="00EE45DA" w:rsidRPr="0054036D">
        <w:rPr>
          <w:rFonts w:ascii="Arial" w:hAnsi="Arial" w:cs="Arial"/>
          <w:b/>
          <w:bCs/>
          <w:i/>
          <w:iCs/>
          <w:color w:val="000000"/>
        </w:rPr>
        <w:t>Faimly</w:t>
      </w:r>
      <w:proofErr w:type="spellEnd"/>
      <w:r w:rsidR="00EE45DA" w:rsidRPr="0054036D">
        <w:rPr>
          <w:rFonts w:ascii="Arial" w:hAnsi="Arial" w:cs="Arial"/>
          <w:b/>
          <w:bCs/>
          <w:i/>
          <w:iCs/>
          <w:color w:val="000000"/>
        </w:rPr>
        <w:t xml:space="preserve"> Trust</w:t>
      </w:r>
      <w:r w:rsidR="00EE45DA" w:rsidRPr="0054036D">
        <w:rPr>
          <w:rFonts w:ascii="Arial" w:hAnsi="Arial" w:cs="Arial"/>
          <w:i/>
          <w:iCs/>
          <w:color w:val="000000"/>
        </w:rPr>
        <w:t xml:space="preserve"> </w:t>
      </w:r>
      <w:r w:rsidR="00EE45DA" w:rsidRPr="0054036D">
        <w:rPr>
          <w:rFonts w:ascii="Arial" w:hAnsi="Arial" w:cs="Arial"/>
          <w:color w:val="000000"/>
        </w:rPr>
        <w:t>2019 JDR 1398 (GP)</w:t>
      </w:r>
    </w:p>
  </w:footnote>
  <w:footnote w:id="22">
    <w:p w14:paraId="2554A5F9" w14:textId="3BC2FEEA" w:rsidR="00EE45DA" w:rsidRPr="0054036D" w:rsidRDefault="00EE45DA" w:rsidP="00D41930">
      <w:pPr>
        <w:pStyle w:val="FootnoteText"/>
        <w:jc w:val="both"/>
        <w:rPr>
          <w:rFonts w:ascii="Arial" w:hAnsi="Arial" w:cs="Arial"/>
          <w:lang w:val="en-US"/>
        </w:rPr>
      </w:pPr>
      <w:r w:rsidRPr="0054036D">
        <w:rPr>
          <w:rStyle w:val="FootnoteReference"/>
          <w:rFonts w:ascii="Arial" w:hAnsi="Arial" w:cs="Arial"/>
        </w:rPr>
        <w:footnoteRef/>
      </w:r>
      <w:r w:rsidRPr="0054036D">
        <w:rPr>
          <w:rFonts w:ascii="Arial" w:hAnsi="Arial" w:cs="Arial"/>
        </w:rPr>
        <w:t xml:space="preserve"> </w:t>
      </w:r>
      <w:r w:rsidRPr="0054036D">
        <w:rPr>
          <w:rFonts w:ascii="Arial" w:hAnsi="Arial" w:cs="Arial"/>
          <w:lang w:val="en-US"/>
        </w:rPr>
        <w:tab/>
      </w:r>
      <w:r w:rsidRPr="0054036D">
        <w:rPr>
          <w:rFonts w:ascii="Arial" w:hAnsi="Arial" w:cs="Arial"/>
          <w:b/>
          <w:bCs/>
          <w:i/>
          <w:iCs/>
          <w:lang w:val="en-US"/>
        </w:rPr>
        <w:t>Investec</w:t>
      </w:r>
      <w:r w:rsidRPr="0054036D">
        <w:rPr>
          <w:rFonts w:ascii="Arial" w:hAnsi="Arial" w:cs="Arial"/>
          <w:lang w:val="en-US"/>
        </w:rPr>
        <w:t>, par 73</w:t>
      </w:r>
    </w:p>
  </w:footnote>
  <w:footnote w:id="23">
    <w:p w14:paraId="778EC9D7" w14:textId="0485EDCD" w:rsidR="005C0B09" w:rsidRPr="0054036D" w:rsidRDefault="005C0B09" w:rsidP="00D41930">
      <w:pPr>
        <w:pStyle w:val="FootnoteText"/>
        <w:ind w:left="720" w:hanging="720"/>
        <w:jc w:val="both"/>
        <w:rPr>
          <w:rFonts w:ascii="Arial" w:hAnsi="Arial" w:cs="Arial"/>
          <w:b/>
          <w:bCs/>
          <w:lang w:val="en-US"/>
        </w:rPr>
      </w:pPr>
      <w:r w:rsidRPr="0054036D">
        <w:rPr>
          <w:rStyle w:val="FootnoteReference"/>
          <w:rFonts w:ascii="Arial" w:hAnsi="Arial" w:cs="Arial"/>
        </w:rPr>
        <w:footnoteRef/>
      </w:r>
      <w:r w:rsidRPr="0054036D">
        <w:rPr>
          <w:rFonts w:ascii="Arial" w:hAnsi="Arial" w:cs="Arial"/>
        </w:rPr>
        <w:t xml:space="preserve"> </w:t>
      </w:r>
      <w:r w:rsidRPr="0054036D">
        <w:rPr>
          <w:rFonts w:ascii="Arial" w:hAnsi="Arial" w:cs="Arial"/>
          <w:lang w:val="en-US"/>
        </w:rPr>
        <w:tab/>
      </w:r>
      <w:proofErr w:type="spellStart"/>
      <w:r w:rsidRPr="0054036D">
        <w:rPr>
          <w:rFonts w:ascii="Arial" w:hAnsi="Arial" w:cs="Arial"/>
          <w:b/>
          <w:bCs/>
          <w:i/>
          <w:iCs/>
          <w:lang w:val="en-US"/>
        </w:rPr>
        <w:t>Nedbank</w:t>
      </w:r>
      <w:proofErr w:type="spellEnd"/>
      <w:r w:rsidRPr="0054036D">
        <w:rPr>
          <w:rFonts w:ascii="Arial" w:hAnsi="Arial" w:cs="Arial"/>
          <w:b/>
          <w:bCs/>
          <w:i/>
          <w:iCs/>
          <w:lang w:val="en-US"/>
        </w:rPr>
        <w:t xml:space="preserve"> v Trustees, </w:t>
      </w:r>
      <w:proofErr w:type="spellStart"/>
      <w:r w:rsidRPr="0054036D">
        <w:rPr>
          <w:rFonts w:ascii="Arial" w:hAnsi="Arial" w:cs="Arial"/>
          <w:b/>
          <w:bCs/>
          <w:i/>
          <w:iCs/>
          <w:color w:val="000000"/>
        </w:rPr>
        <w:t>Mthuzi</w:t>
      </w:r>
      <w:proofErr w:type="spellEnd"/>
      <w:r w:rsidRPr="0054036D">
        <w:rPr>
          <w:rFonts w:ascii="Arial" w:hAnsi="Arial" w:cs="Arial"/>
          <w:b/>
          <w:bCs/>
          <w:i/>
          <w:iCs/>
          <w:color w:val="000000"/>
        </w:rPr>
        <w:t xml:space="preserve"> </w:t>
      </w:r>
      <w:proofErr w:type="spellStart"/>
      <w:r w:rsidRPr="0054036D">
        <w:rPr>
          <w:rFonts w:ascii="Arial" w:hAnsi="Arial" w:cs="Arial"/>
          <w:b/>
          <w:bCs/>
          <w:i/>
          <w:iCs/>
          <w:color w:val="000000"/>
        </w:rPr>
        <w:t>Mdwaba</w:t>
      </w:r>
      <w:proofErr w:type="spellEnd"/>
      <w:r w:rsidRPr="0054036D">
        <w:rPr>
          <w:rFonts w:ascii="Arial" w:hAnsi="Arial" w:cs="Arial"/>
          <w:b/>
          <w:bCs/>
          <w:i/>
          <w:iCs/>
          <w:color w:val="000000"/>
        </w:rPr>
        <w:t xml:space="preserve"> </w:t>
      </w:r>
      <w:proofErr w:type="spellStart"/>
      <w:r w:rsidRPr="0054036D">
        <w:rPr>
          <w:rFonts w:ascii="Arial" w:hAnsi="Arial" w:cs="Arial"/>
          <w:b/>
          <w:bCs/>
          <w:i/>
          <w:iCs/>
          <w:color w:val="000000"/>
        </w:rPr>
        <w:t>Faimly</w:t>
      </w:r>
      <w:proofErr w:type="spellEnd"/>
      <w:r w:rsidRPr="0054036D">
        <w:rPr>
          <w:rFonts w:ascii="Arial" w:hAnsi="Arial" w:cs="Arial"/>
          <w:b/>
          <w:bCs/>
          <w:i/>
          <w:iCs/>
          <w:color w:val="000000"/>
        </w:rPr>
        <w:t xml:space="preserve"> Trust</w:t>
      </w:r>
      <w:r w:rsidRPr="0054036D">
        <w:rPr>
          <w:rFonts w:ascii="Arial" w:hAnsi="Arial" w:cs="Arial"/>
          <w:b/>
          <w:bCs/>
          <w:color w:val="000000"/>
        </w:rPr>
        <w:t xml:space="preserve"> </w:t>
      </w:r>
      <w:r w:rsidRPr="0054036D">
        <w:rPr>
          <w:rFonts w:ascii="Arial" w:hAnsi="Arial" w:cs="Arial"/>
          <w:color w:val="000000"/>
        </w:rPr>
        <w:t>(A162/2021) [2023] ZAGPPHC 93 (16 February 2023)</w:t>
      </w:r>
    </w:p>
  </w:footnote>
  <w:footnote w:id="24">
    <w:p w14:paraId="12631114" w14:textId="7D22F28C" w:rsidR="005C0B09" w:rsidRPr="0054036D" w:rsidRDefault="005C0B09" w:rsidP="00D41930">
      <w:pPr>
        <w:pStyle w:val="FootnoteText"/>
        <w:jc w:val="both"/>
        <w:rPr>
          <w:rFonts w:ascii="Arial" w:hAnsi="Arial" w:cs="Arial"/>
          <w:lang w:val="en-US"/>
        </w:rPr>
      </w:pPr>
      <w:r w:rsidRPr="0054036D">
        <w:rPr>
          <w:rStyle w:val="FootnoteReference"/>
          <w:rFonts w:ascii="Arial" w:hAnsi="Arial" w:cs="Arial"/>
        </w:rPr>
        <w:footnoteRef/>
      </w:r>
      <w:r w:rsidRPr="0054036D">
        <w:rPr>
          <w:rFonts w:ascii="Arial" w:hAnsi="Arial" w:cs="Arial"/>
        </w:rPr>
        <w:t xml:space="preserve"> </w:t>
      </w:r>
      <w:r w:rsidRPr="0054036D">
        <w:rPr>
          <w:rFonts w:ascii="Arial" w:hAnsi="Arial" w:cs="Arial"/>
          <w:lang w:val="en-US"/>
        </w:rPr>
        <w:tab/>
        <w:t xml:space="preserve">The application had been dismissed in </w:t>
      </w:r>
      <w:r w:rsidRPr="0054036D">
        <w:rPr>
          <w:rFonts w:ascii="Arial" w:hAnsi="Arial" w:cs="Arial"/>
          <w:b/>
          <w:bCs/>
          <w:i/>
          <w:iCs/>
          <w:lang w:val="en-US"/>
        </w:rPr>
        <w:t>Nedbank</w:t>
      </w:r>
      <w:r w:rsidRPr="0054036D">
        <w:rPr>
          <w:rFonts w:ascii="Arial" w:hAnsi="Arial" w:cs="Arial"/>
          <w:b/>
          <w:bCs/>
          <w:i/>
          <w:iCs/>
          <w:vertAlign w:val="superscript"/>
          <w:lang w:val="en-US"/>
        </w:rPr>
        <w:t>1</w:t>
      </w:r>
      <w:r w:rsidRPr="0054036D">
        <w:rPr>
          <w:rFonts w:ascii="Arial" w:hAnsi="Arial" w:cs="Arial"/>
          <w:lang w:val="en-US"/>
        </w:rPr>
        <w:t xml:space="preserve"> for want of compliance with rule 46A.</w:t>
      </w:r>
    </w:p>
  </w:footnote>
  <w:footnote w:id="25">
    <w:p w14:paraId="1894D506" w14:textId="493318BD" w:rsidR="005C0B09" w:rsidRPr="0054036D" w:rsidRDefault="005C0B09" w:rsidP="00D41930">
      <w:pPr>
        <w:pStyle w:val="FootnoteText"/>
        <w:jc w:val="both"/>
        <w:rPr>
          <w:rFonts w:ascii="Arial" w:hAnsi="Arial" w:cs="Arial"/>
          <w:lang w:val="en-US"/>
        </w:rPr>
      </w:pPr>
      <w:r w:rsidRPr="0054036D">
        <w:rPr>
          <w:rStyle w:val="FootnoteReference"/>
          <w:rFonts w:ascii="Arial" w:hAnsi="Arial" w:cs="Arial"/>
        </w:rPr>
        <w:footnoteRef/>
      </w:r>
      <w:r w:rsidRPr="0054036D">
        <w:rPr>
          <w:rFonts w:ascii="Arial" w:hAnsi="Arial" w:cs="Arial"/>
        </w:rPr>
        <w:t xml:space="preserve"> </w:t>
      </w:r>
      <w:r w:rsidRPr="0054036D">
        <w:rPr>
          <w:rFonts w:ascii="Arial" w:hAnsi="Arial" w:cs="Arial"/>
          <w:lang w:val="en-US"/>
        </w:rPr>
        <w:tab/>
      </w:r>
      <w:proofErr w:type="spellStart"/>
      <w:r w:rsidRPr="0054036D">
        <w:rPr>
          <w:rFonts w:ascii="Arial" w:hAnsi="Arial" w:cs="Arial"/>
          <w:b/>
          <w:bCs/>
          <w:i/>
          <w:iCs/>
          <w:lang w:val="en-US"/>
        </w:rPr>
        <w:t>Bestbier</w:t>
      </w:r>
      <w:proofErr w:type="spellEnd"/>
      <w:r w:rsidRPr="0054036D">
        <w:rPr>
          <w:rFonts w:ascii="Arial" w:hAnsi="Arial" w:cs="Arial"/>
          <w:b/>
          <w:bCs/>
          <w:i/>
          <w:iCs/>
          <w:lang w:val="en-US"/>
        </w:rPr>
        <w:t xml:space="preserve"> and Others NNO v </w:t>
      </w:r>
      <w:proofErr w:type="spellStart"/>
      <w:r w:rsidRPr="0054036D">
        <w:rPr>
          <w:rFonts w:ascii="Arial" w:hAnsi="Arial" w:cs="Arial"/>
          <w:b/>
          <w:bCs/>
          <w:i/>
          <w:iCs/>
          <w:lang w:val="en-US"/>
        </w:rPr>
        <w:t>Nedbank</w:t>
      </w:r>
      <w:proofErr w:type="spellEnd"/>
      <w:r w:rsidRPr="0054036D">
        <w:rPr>
          <w:rFonts w:ascii="Arial" w:hAnsi="Arial" w:cs="Arial"/>
          <w:b/>
          <w:bCs/>
          <w:i/>
          <w:iCs/>
          <w:lang w:val="en-US"/>
        </w:rPr>
        <w:t xml:space="preserve"> Ltd</w:t>
      </w:r>
      <w:r w:rsidRPr="0054036D">
        <w:rPr>
          <w:rFonts w:ascii="Arial" w:hAnsi="Arial" w:cs="Arial"/>
          <w:lang w:val="en-US"/>
        </w:rPr>
        <w:t xml:space="preserve"> 2023 (4) SA 25 (SCA)</w:t>
      </w:r>
    </w:p>
  </w:footnote>
  <w:footnote w:id="26">
    <w:p w14:paraId="158E93E5" w14:textId="067240A7" w:rsidR="005C0B09" w:rsidRPr="0054036D" w:rsidRDefault="005C0B09" w:rsidP="00D41930">
      <w:pPr>
        <w:pStyle w:val="FootnoteText"/>
        <w:jc w:val="both"/>
        <w:rPr>
          <w:rFonts w:ascii="Arial" w:hAnsi="Arial" w:cs="Arial"/>
          <w:lang w:val="en-US"/>
        </w:rPr>
      </w:pPr>
      <w:r w:rsidRPr="0054036D">
        <w:rPr>
          <w:rStyle w:val="FootnoteReference"/>
          <w:rFonts w:ascii="Arial" w:hAnsi="Arial" w:cs="Arial"/>
        </w:rPr>
        <w:footnoteRef/>
      </w:r>
      <w:r w:rsidRPr="0054036D">
        <w:rPr>
          <w:rFonts w:ascii="Arial" w:hAnsi="Arial" w:cs="Arial"/>
        </w:rPr>
        <w:t xml:space="preserve"> </w:t>
      </w:r>
      <w:r w:rsidRPr="0054036D">
        <w:rPr>
          <w:rFonts w:ascii="Arial" w:hAnsi="Arial" w:cs="Arial"/>
          <w:lang w:val="en-US"/>
        </w:rPr>
        <w:tab/>
        <w:t xml:space="preserve">Nedbank2, par </w:t>
      </w:r>
      <w:r w:rsidR="00E84F10" w:rsidRPr="0054036D">
        <w:rPr>
          <w:rFonts w:ascii="Arial" w:hAnsi="Arial" w:cs="Arial"/>
          <w:lang w:val="en-US"/>
        </w:rPr>
        <w:t>6-9</w:t>
      </w:r>
    </w:p>
  </w:footnote>
  <w:footnote w:id="27">
    <w:p w14:paraId="78919B45" w14:textId="0C0DD4CB" w:rsidR="00317BB2" w:rsidRPr="0054036D" w:rsidRDefault="00317BB2" w:rsidP="00D41930">
      <w:pPr>
        <w:pStyle w:val="FootnoteText"/>
        <w:ind w:left="720" w:hanging="720"/>
        <w:jc w:val="both"/>
        <w:rPr>
          <w:rFonts w:ascii="Arial" w:hAnsi="Arial" w:cs="Arial"/>
          <w:lang w:val="en-US"/>
        </w:rPr>
      </w:pPr>
      <w:r w:rsidRPr="0054036D">
        <w:rPr>
          <w:rStyle w:val="FootnoteReference"/>
          <w:rFonts w:ascii="Arial" w:hAnsi="Arial" w:cs="Arial"/>
        </w:rPr>
        <w:footnoteRef/>
      </w:r>
      <w:r w:rsidRPr="0054036D">
        <w:rPr>
          <w:rFonts w:ascii="Arial" w:hAnsi="Arial" w:cs="Arial"/>
        </w:rPr>
        <w:t xml:space="preserve"> </w:t>
      </w:r>
      <w:r w:rsidRPr="0054036D">
        <w:rPr>
          <w:rFonts w:ascii="Arial" w:hAnsi="Arial" w:cs="Arial"/>
          <w:lang w:val="en-US"/>
        </w:rPr>
        <w:tab/>
      </w:r>
      <w:r w:rsidRPr="0054036D">
        <w:rPr>
          <w:rFonts w:ascii="Arial" w:hAnsi="Arial" w:cs="Arial"/>
          <w:b/>
          <w:bCs/>
          <w:i/>
          <w:iCs/>
          <w:lang w:val="en-US"/>
        </w:rPr>
        <w:t xml:space="preserve">National Urban Reconstruction &amp; Housing Agency NPC v </w:t>
      </w:r>
      <w:proofErr w:type="spellStart"/>
      <w:r w:rsidRPr="0054036D">
        <w:rPr>
          <w:rFonts w:ascii="Arial" w:hAnsi="Arial" w:cs="Arial"/>
          <w:b/>
          <w:bCs/>
          <w:i/>
          <w:iCs/>
          <w:lang w:val="en-US"/>
        </w:rPr>
        <w:t>Morula</w:t>
      </w:r>
      <w:proofErr w:type="spellEnd"/>
      <w:r w:rsidRPr="0054036D">
        <w:rPr>
          <w:rFonts w:ascii="Arial" w:hAnsi="Arial" w:cs="Arial"/>
          <w:b/>
          <w:bCs/>
          <w:i/>
          <w:iCs/>
          <w:lang w:val="en-US"/>
        </w:rPr>
        <w:t xml:space="preserve"> Resources CC</w:t>
      </w:r>
      <w:r w:rsidRPr="0054036D">
        <w:rPr>
          <w:rFonts w:ascii="Arial" w:hAnsi="Arial" w:cs="Arial"/>
          <w:lang w:val="en-US"/>
        </w:rPr>
        <w:t xml:space="preserve"> 2020 JDR 2473 (GJ)</w:t>
      </w:r>
    </w:p>
  </w:footnote>
  <w:footnote w:id="28">
    <w:p w14:paraId="617C4E18" w14:textId="52D101AD" w:rsidR="00317BB2" w:rsidRPr="0054036D" w:rsidRDefault="00317BB2" w:rsidP="00D41930">
      <w:pPr>
        <w:pStyle w:val="FootnoteText"/>
        <w:jc w:val="both"/>
        <w:rPr>
          <w:rFonts w:ascii="Arial" w:hAnsi="Arial" w:cs="Arial"/>
          <w:lang w:val="en-US"/>
        </w:rPr>
      </w:pPr>
      <w:r w:rsidRPr="0054036D">
        <w:rPr>
          <w:rStyle w:val="FootnoteReference"/>
          <w:rFonts w:ascii="Arial" w:hAnsi="Arial" w:cs="Arial"/>
        </w:rPr>
        <w:footnoteRef/>
      </w:r>
      <w:r w:rsidRPr="0054036D">
        <w:rPr>
          <w:rFonts w:ascii="Arial" w:hAnsi="Arial" w:cs="Arial"/>
        </w:rPr>
        <w:t xml:space="preserve"> </w:t>
      </w:r>
      <w:r w:rsidRPr="0054036D">
        <w:rPr>
          <w:rFonts w:ascii="Arial" w:hAnsi="Arial" w:cs="Arial"/>
          <w:lang w:val="en-US"/>
        </w:rPr>
        <w:tab/>
      </w:r>
      <w:r w:rsidRPr="0054036D">
        <w:rPr>
          <w:rFonts w:ascii="Arial" w:hAnsi="Arial" w:cs="Arial"/>
          <w:b/>
          <w:bCs/>
          <w:i/>
          <w:iCs/>
          <w:lang w:val="en-US"/>
        </w:rPr>
        <w:t>National Urban</w:t>
      </w:r>
      <w:r w:rsidRPr="0054036D">
        <w:rPr>
          <w:rFonts w:ascii="Arial" w:hAnsi="Arial" w:cs="Arial"/>
          <w:lang w:val="en-US"/>
        </w:rPr>
        <w:t>, par 24</w:t>
      </w:r>
    </w:p>
  </w:footnote>
  <w:footnote w:id="29">
    <w:p w14:paraId="688B04B5" w14:textId="10AAF38D" w:rsidR="00317BB2" w:rsidRPr="0054036D" w:rsidRDefault="00317BB2" w:rsidP="00D41930">
      <w:pPr>
        <w:pStyle w:val="FootnoteText"/>
        <w:jc w:val="both"/>
        <w:rPr>
          <w:rFonts w:ascii="Arial" w:hAnsi="Arial" w:cs="Arial"/>
          <w:lang w:val="en-US"/>
        </w:rPr>
      </w:pPr>
      <w:r w:rsidRPr="0054036D">
        <w:rPr>
          <w:rStyle w:val="FootnoteReference"/>
          <w:rFonts w:ascii="Arial" w:hAnsi="Arial" w:cs="Arial"/>
        </w:rPr>
        <w:footnoteRef/>
      </w:r>
      <w:r w:rsidRPr="0054036D">
        <w:rPr>
          <w:rFonts w:ascii="Arial" w:hAnsi="Arial" w:cs="Arial"/>
        </w:rPr>
        <w:t xml:space="preserve"> </w:t>
      </w:r>
      <w:r w:rsidRPr="0054036D">
        <w:rPr>
          <w:rFonts w:ascii="Arial" w:hAnsi="Arial" w:cs="Arial"/>
          <w:lang w:val="en-US"/>
        </w:rPr>
        <w:tab/>
      </w:r>
      <w:r w:rsidRPr="0054036D">
        <w:rPr>
          <w:rFonts w:ascii="Arial" w:hAnsi="Arial" w:cs="Arial"/>
          <w:b/>
          <w:bCs/>
          <w:i/>
          <w:iCs/>
          <w:lang w:val="en-US"/>
        </w:rPr>
        <w:t>National Urban</w:t>
      </w:r>
      <w:r w:rsidRPr="0054036D">
        <w:rPr>
          <w:rFonts w:ascii="Arial" w:hAnsi="Arial" w:cs="Arial"/>
          <w:lang w:val="en-US"/>
        </w:rPr>
        <w:t>, par 27</w:t>
      </w:r>
    </w:p>
  </w:footnote>
  <w:footnote w:id="30">
    <w:p w14:paraId="26E283EE" w14:textId="016AE006" w:rsidR="00141330" w:rsidRPr="0054036D" w:rsidRDefault="00141330" w:rsidP="00D41930">
      <w:pPr>
        <w:pStyle w:val="FootnoteText"/>
        <w:jc w:val="both"/>
        <w:rPr>
          <w:rFonts w:ascii="Arial" w:hAnsi="Arial" w:cs="Arial"/>
          <w:lang w:val="en-US"/>
        </w:rPr>
      </w:pPr>
      <w:r w:rsidRPr="0054036D">
        <w:rPr>
          <w:rStyle w:val="FootnoteReference"/>
          <w:rFonts w:ascii="Arial" w:hAnsi="Arial" w:cs="Arial"/>
        </w:rPr>
        <w:footnoteRef/>
      </w:r>
      <w:r w:rsidRPr="0054036D">
        <w:rPr>
          <w:rFonts w:ascii="Arial" w:hAnsi="Arial" w:cs="Arial"/>
        </w:rPr>
        <w:t xml:space="preserve"> </w:t>
      </w:r>
      <w:r w:rsidRPr="0054036D">
        <w:rPr>
          <w:rFonts w:ascii="Arial" w:hAnsi="Arial" w:cs="Arial"/>
          <w:lang w:val="en-US"/>
        </w:rPr>
        <w:tab/>
      </w:r>
      <w:proofErr w:type="spellStart"/>
      <w:r w:rsidRPr="0054036D">
        <w:rPr>
          <w:rFonts w:ascii="Arial" w:hAnsi="Arial" w:cs="Arial"/>
          <w:b/>
          <w:bCs/>
          <w:i/>
          <w:iCs/>
          <w:lang w:val="en-US"/>
        </w:rPr>
        <w:t>Jaftha</w:t>
      </w:r>
      <w:proofErr w:type="spellEnd"/>
      <w:r w:rsidRPr="0054036D">
        <w:rPr>
          <w:rFonts w:ascii="Arial" w:hAnsi="Arial" w:cs="Arial"/>
          <w:b/>
          <w:bCs/>
          <w:i/>
          <w:iCs/>
          <w:lang w:val="en-US"/>
        </w:rPr>
        <w:t xml:space="preserve"> v </w:t>
      </w:r>
      <w:proofErr w:type="spellStart"/>
      <w:r w:rsidRPr="0054036D">
        <w:rPr>
          <w:rFonts w:ascii="Arial" w:hAnsi="Arial" w:cs="Arial"/>
          <w:b/>
          <w:bCs/>
          <w:i/>
          <w:iCs/>
          <w:lang w:val="en-US"/>
        </w:rPr>
        <w:t>Schoeman</w:t>
      </w:r>
      <w:proofErr w:type="spellEnd"/>
      <w:r w:rsidRPr="0054036D">
        <w:rPr>
          <w:rFonts w:ascii="Arial" w:hAnsi="Arial" w:cs="Arial"/>
          <w:b/>
          <w:bCs/>
          <w:i/>
          <w:iCs/>
          <w:lang w:val="en-US"/>
        </w:rPr>
        <w:t xml:space="preserve"> and Others; van </w:t>
      </w:r>
      <w:proofErr w:type="spellStart"/>
      <w:r w:rsidRPr="0054036D">
        <w:rPr>
          <w:rFonts w:ascii="Arial" w:hAnsi="Arial" w:cs="Arial"/>
          <w:b/>
          <w:bCs/>
          <w:i/>
          <w:iCs/>
          <w:lang w:val="en-US"/>
        </w:rPr>
        <w:t>Rooyen</w:t>
      </w:r>
      <w:proofErr w:type="spellEnd"/>
      <w:r w:rsidRPr="0054036D">
        <w:rPr>
          <w:rFonts w:ascii="Arial" w:hAnsi="Arial" w:cs="Arial"/>
          <w:b/>
          <w:bCs/>
          <w:i/>
          <w:iCs/>
          <w:lang w:val="en-US"/>
        </w:rPr>
        <w:t xml:space="preserve"> v </w:t>
      </w:r>
      <w:proofErr w:type="spellStart"/>
      <w:r w:rsidRPr="0054036D">
        <w:rPr>
          <w:rFonts w:ascii="Arial" w:hAnsi="Arial" w:cs="Arial"/>
          <w:b/>
          <w:bCs/>
          <w:i/>
          <w:iCs/>
          <w:lang w:val="en-US"/>
        </w:rPr>
        <w:t>Stoltz</w:t>
      </w:r>
      <w:proofErr w:type="spellEnd"/>
      <w:r w:rsidRPr="0054036D">
        <w:rPr>
          <w:rFonts w:ascii="Arial" w:hAnsi="Arial" w:cs="Arial"/>
          <w:b/>
          <w:bCs/>
          <w:i/>
          <w:iCs/>
          <w:lang w:val="en-US"/>
        </w:rPr>
        <w:t xml:space="preserve"> and Others</w:t>
      </w:r>
      <w:r w:rsidRPr="0054036D">
        <w:rPr>
          <w:rFonts w:ascii="Arial" w:hAnsi="Arial" w:cs="Arial"/>
          <w:lang w:val="en-US"/>
        </w:rPr>
        <w:t xml:space="preserve"> 2005 (2) SA 140 (CC)</w:t>
      </w:r>
    </w:p>
  </w:footnote>
  <w:footnote w:id="31">
    <w:p w14:paraId="185046AB" w14:textId="71DFACEA" w:rsidR="00141330" w:rsidRPr="0054036D" w:rsidRDefault="00141330" w:rsidP="00D41930">
      <w:pPr>
        <w:pStyle w:val="FootnoteText"/>
        <w:jc w:val="both"/>
        <w:rPr>
          <w:rFonts w:ascii="Arial" w:hAnsi="Arial" w:cs="Arial"/>
          <w:lang w:val="en-US"/>
        </w:rPr>
      </w:pPr>
      <w:r w:rsidRPr="0054036D">
        <w:rPr>
          <w:rStyle w:val="FootnoteReference"/>
          <w:rFonts w:ascii="Arial" w:hAnsi="Arial" w:cs="Arial"/>
        </w:rPr>
        <w:footnoteRef/>
      </w:r>
      <w:r w:rsidRPr="0054036D">
        <w:rPr>
          <w:rFonts w:ascii="Arial" w:hAnsi="Arial" w:cs="Arial"/>
        </w:rPr>
        <w:t xml:space="preserve"> </w:t>
      </w:r>
      <w:r w:rsidRPr="0054036D">
        <w:rPr>
          <w:rFonts w:ascii="Arial" w:hAnsi="Arial" w:cs="Arial"/>
          <w:lang w:val="en-US"/>
        </w:rPr>
        <w:tab/>
      </w:r>
      <w:r w:rsidRPr="0054036D">
        <w:rPr>
          <w:rFonts w:ascii="Arial" w:hAnsi="Arial" w:cs="Arial"/>
          <w:b/>
          <w:bCs/>
          <w:i/>
          <w:iCs/>
          <w:lang w:val="en-US"/>
        </w:rPr>
        <w:t xml:space="preserve">Standard Bank of South Africa v </w:t>
      </w:r>
      <w:proofErr w:type="spellStart"/>
      <w:r w:rsidRPr="0054036D">
        <w:rPr>
          <w:rFonts w:ascii="Arial" w:hAnsi="Arial" w:cs="Arial"/>
          <w:b/>
          <w:bCs/>
          <w:i/>
          <w:iCs/>
          <w:lang w:val="en-US"/>
        </w:rPr>
        <w:t>Saunderson</w:t>
      </w:r>
      <w:proofErr w:type="spellEnd"/>
      <w:r w:rsidRPr="0054036D">
        <w:rPr>
          <w:rFonts w:ascii="Arial" w:hAnsi="Arial" w:cs="Arial"/>
          <w:b/>
          <w:bCs/>
          <w:i/>
          <w:iCs/>
          <w:lang w:val="en-US"/>
        </w:rPr>
        <w:t xml:space="preserve"> and Others</w:t>
      </w:r>
      <w:r w:rsidRPr="0054036D">
        <w:rPr>
          <w:rFonts w:ascii="Arial" w:hAnsi="Arial" w:cs="Arial"/>
          <w:lang w:val="en-US"/>
        </w:rPr>
        <w:t xml:space="preserve"> 2006 (2) SA 264 (SCA)</w:t>
      </w:r>
    </w:p>
  </w:footnote>
  <w:footnote w:id="32">
    <w:p w14:paraId="50D3DC46" w14:textId="0362859A" w:rsidR="00141330" w:rsidRPr="0054036D" w:rsidRDefault="00141330" w:rsidP="00D41930">
      <w:pPr>
        <w:pStyle w:val="FootnoteText"/>
        <w:jc w:val="both"/>
        <w:rPr>
          <w:rFonts w:ascii="Arial" w:hAnsi="Arial" w:cs="Arial"/>
          <w:lang w:val="en-US"/>
        </w:rPr>
      </w:pPr>
      <w:r w:rsidRPr="0054036D">
        <w:rPr>
          <w:rStyle w:val="FootnoteReference"/>
          <w:rFonts w:ascii="Arial" w:hAnsi="Arial" w:cs="Arial"/>
        </w:rPr>
        <w:footnoteRef/>
      </w:r>
      <w:r w:rsidRPr="0054036D">
        <w:rPr>
          <w:rFonts w:ascii="Arial" w:hAnsi="Arial" w:cs="Arial"/>
        </w:rPr>
        <w:t xml:space="preserve"> </w:t>
      </w:r>
      <w:r w:rsidRPr="0054036D">
        <w:rPr>
          <w:rFonts w:ascii="Arial" w:hAnsi="Arial" w:cs="Arial"/>
          <w:lang w:val="en-US"/>
        </w:rPr>
        <w:tab/>
      </w:r>
      <w:proofErr w:type="spellStart"/>
      <w:r w:rsidRPr="0054036D">
        <w:rPr>
          <w:rFonts w:ascii="Arial" w:hAnsi="Arial" w:cs="Arial"/>
          <w:b/>
          <w:bCs/>
          <w:i/>
          <w:iCs/>
          <w:lang w:val="en-US"/>
        </w:rPr>
        <w:t>Gundwana</w:t>
      </w:r>
      <w:proofErr w:type="spellEnd"/>
      <w:r w:rsidRPr="0054036D">
        <w:rPr>
          <w:rFonts w:ascii="Arial" w:hAnsi="Arial" w:cs="Arial"/>
          <w:b/>
          <w:bCs/>
          <w:i/>
          <w:iCs/>
          <w:lang w:val="en-US"/>
        </w:rPr>
        <w:t xml:space="preserve"> v </w:t>
      </w:r>
      <w:proofErr w:type="spellStart"/>
      <w:r w:rsidR="006C7FDD" w:rsidRPr="0054036D">
        <w:rPr>
          <w:rFonts w:ascii="Arial" w:hAnsi="Arial" w:cs="Arial"/>
          <w:b/>
          <w:bCs/>
          <w:i/>
          <w:iCs/>
          <w:lang w:val="en-US"/>
        </w:rPr>
        <w:t>Steko</w:t>
      </w:r>
      <w:proofErr w:type="spellEnd"/>
      <w:r w:rsidR="006C7FDD" w:rsidRPr="0054036D">
        <w:rPr>
          <w:rFonts w:ascii="Arial" w:hAnsi="Arial" w:cs="Arial"/>
          <w:b/>
          <w:bCs/>
          <w:i/>
          <w:iCs/>
          <w:lang w:val="en-US"/>
        </w:rPr>
        <w:t xml:space="preserve"> Development</w:t>
      </w:r>
      <w:r w:rsidR="006C7FDD" w:rsidRPr="0054036D">
        <w:rPr>
          <w:rFonts w:ascii="Arial" w:hAnsi="Arial" w:cs="Arial"/>
          <w:lang w:val="en-US"/>
        </w:rPr>
        <w:t xml:space="preserve"> CC 2011 (3) SA 608 (CC)</w:t>
      </w:r>
    </w:p>
  </w:footnote>
  <w:footnote w:id="33">
    <w:p w14:paraId="2F8FB8E8" w14:textId="1777F5CE" w:rsidR="005A7221" w:rsidRPr="0054036D" w:rsidRDefault="005A7221" w:rsidP="00D41930">
      <w:pPr>
        <w:pStyle w:val="FootnoteText"/>
        <w:jc w:val="both"/>
        <w:rPr>
          <w:rFonts w:ascii="Arial" w:hAnsi="Arial" w:cs="Arial"/>
          <w:lang w:val="en-US"/>
        </w:rPr>
      </w:pPr>
      <w:r w:rsidRPr="0054036D">
        <w:rPr>
          <w:rStyle w:val="FootnoteReference"/>
          <w:rFonts w:ascii="Arial" w:hAnsi="Arial" w:cs="Arial"/>
        </w:rPr>
        <w:footnoteRef/>
      </w:r>
      <w:r w:rsidRPr="0054036D">
        <w:rPr>
          <w:rFonts w:ascii="Arial" w:hAnsi="Arial" w:cs="Arial"/>
        </w:rPr>
        <w:t xml:space="preserve"> </w:t>
      </w:r>
      <w:r w:rsidRPr="0054036D">
        <w:rPr>
          <w:rFonts w:ascii="Arial" w:hAnsi="Arial" w:cs="Arial"/>
          <w:lang w:val="en-US"/>
        </w:rPr>
        <w:tab/>
      </w:r>
      <w:proofErr w:type="spellStart"/>
      <w:r w:rsidRPr="0054036D">
        <w:rPr>
          <w:rFonts w:ascii="Arial" w:hAnsi="Arial" w:cs="Arial"/>
          <w:b/>
          <w:bCs/>
          <w:i/>
          <w:iCs/>
          <w:lang w:val="en-US"/>
        </w:rPr>
        <w:t>Bestbier</w:t>
      </w:r>
      <w:proofErr w:type="spellEnd"/>
      <w:r w:rsidRPr="0054036D">
        <w:rPr>
          <w:rFonts w:ascii="Arial" w:hAnsi="Arial" w:cs="Arial"/>
          <w:lang w:val="en-US"/>
        </w:rPr>
        <w:t xml:space="preserve">, par </w:t>
      </w:r>
      <w:r w:rsidR="00CA1692" w:rsidRPr="0054036D">
        <w:rPr>
          <w:rFonts w:ascii="Arial" w:hAnsi="Arial" w:cs="Arial"/>
          <w:lang w:val="en-US"/>
        </w:rPr>
        <w:t>25-27</w:t>
      </w:r>
    </w:p>
  </w:footnote>
  <w:footnote w:id="34">
    <w:p w14:paraId="1FA3284A" w14:textId="5F0C0218" w:rsidR="00A639DA" w:rsidRPr="00A639DA" w:rsidRDefault="00A639DA" w:rsidP="00D41930">
      <w:pPr>
        <w:pStyle w:val="FootnoteText"/>
        <w:ind w:left="720" w:hanging="720"/>
        <w:jc w:val="both"/>
        <w:rPr>
          <w:rFonts w:cstheme="minorHAnsi"/>
          <w:lang w:val="en-US"/>
        </w:rPr>
      </w:pPr>
      <w:r w:rsidRPr="0054036D">
        <w:rPr>
          <w:rStyle w:val="FootnoteReference"/>
          <w:rFonts w:ascii="Arial" w:hAnsi="Arial" w:cs="Arial"/>
        </w:rPr>
        <w:footnoteRef/>
      </w:r>
      <w:r w:rsidRPr="0054036D">
        <w:rPr>
          <w:rFonts w:ascii="Arial" w:hAnsi="Arial" w:cs="Arial"/>
        </w:rPr>
        <w:t xml:space="preserve"> </w:t>
      </w:r>
      <w:r w:rsidRPr="0054036D">
        <w:rPr>
          <w:rFonts w:ascii="Arial" w:hAnsi="Arial" w:cs="Arial"/>
          <w:lang w:val="en-US"/>
        </w:rPr>
        <w:tab/>
      </w:r>
      <w:r w:rsidRPr="0054036D">
        <w:rPr>
          <w:rFonts w:ascii="Arial" w:hAnsi="Arial" w:cs="Arial"/>
          <w:b/>
          <w:bCs/>
          <w:i/>
          <w:iCs/>
          <w:lang w:val="en-GB"/>
        </w:rPr>
        <w:t>NPGS Protection and Security Services CC and Another v FirstRand Bank Ltd</w:t>
      </w:r>
      <w:r w:rsidRPr="0054036D">
        <w:rPr>
          <w:rFonts w:ascii="Arial" w:hAnsi="Arial" w:cs="Arial"/>
          <w:lang w:val="en-GB"/>
        </w:rPr>
        <w:t xml:space="preserve"> 2020 (2) SA 494 (SCA), par 53 and 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95268802"/>
      <w:docPartObj>
        <w:docPartGallery w:val="Page Numbers (Top of Page)"/>
        <w:docPartUnique/>
      </w:docPartObj>
    </w:sdtPr>
    <w:sdtEndPr>
      <w:rPr>
        <w:rStyle w:val="PageNumber"/>
      </w:rPr>
    </w:sdtEndPr>
    <w:sdtContent>
      <w:p w14:paraId="611D6470" w14:textId="69822E98" w:rsidR="00D211BD" w:rsidRDefault="00D211BD" w:rsidP="00F2023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E5132D" w14:textId="77777777" w:rsidR="00D211BD" w:rsidRDefault="00D211BD" w:rsidP="00D211B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F5F74" w14:textId="39B03190" w:rsidR="00D211BD" w:rsidRPr="00D211BD" w:rsidRDefault="00D211BD" w:rsidP="00D211BD">
    <w:pPr>
      <w:pStyle w:val="Header"/>
      <w:framePr w:wrap="none" w:vAnchor="text" w:hAnchor="margin" w:xAlign="right" w:y="1"/>
      <w:ind w:left="1080"/>
      <w:rPr>
        <w:rStyle w:val="PageNumber"/>
        <w:rFonts w:ascii="Arial" w:hAnsi="Arial" w:cs="Arial"/>
        <w:i/>
        <w:iCs/>
        <w:sz w:val="25"/>
        <w:szCs w:val="25"/>
      </w:rPr>
    </w:pPr>
    <w:r w:rsidRPr="00D211BD">
      <w:rPr>
        <w:rStyle w:val="PageNumber"/>
        <w:rFonts w:ascii="Arial" w:hAnsi="Arial" w:cs="Arial"/>
        <w:i/>
        <w:iCs/>
        <w:sz w:val="25"/>
        <w:szCs w:val="25"/>
      </w:rPr>
      <w:t xml:space="preserve">— </w:t>
    </w:r>
    <w:sdt>
      <w:sdtPr>
        <w:rPr>
          <w:rStyle w:val="PageNumber"/>
          <w:rFonts w:ascii="Arial" w:hAnsi="Arial" w:cs="Arial"/>
          <w:i/>
          <w:iCs/>
          <w:sz w:val="25"/>
          <w:szCs w:val="25"/>
        </w:rPr>
        <w:id w:val="-1730229748"/>
        <w:docPartObj>
          <w:docPartGallery w:val="Page Numbers (Top of Page)"/>
          <w:docPartUnique/>
        </w:docPartObj>
      </w:sdtPr>
      <w:sdtEndPr>
        <w:rPr>
          <w:rStyle w:val="PageNumber"/>
        </w:rPr>
      </w:sdtEndPr>
      <w:sdtContent>
        <w:r w:rsidRPr="00D211BD">
          <w:rPr>
            <w:rStyle w:val="PageNumber"/>
            <w:rFonts w:ascii="Arial" w:hAnsi="Arial" w:cs="Arial"/>
            <w:i/>
            <w:iCs/>
            <w:sz w:val="25"/>
            <w:szCs w:val="25"/>
          </w:rPr>
          <w:t xml:space="preserve">page </w:t>
        </w:r>
        <w:r w:rsidRPr="00D211BD">
          <w:rPr>
            <w:rStyle w:val="PageNumber"/>
            <w:rFonts w:ascii="Arial" w:hAnsi="Arial" w:cs="Arial"/>
            <w:i/>
            <w:iCs/>
            <w:sz w:val="25"/>
            <w:szCs w:val="25"/>
          </w:rPr>
          <w:fldChar w:fldCharType="begin"/>
        </w:r>
        <w:r w:rsidRPr="00D211BD">
          <w:rPr>
            <w:rStyle w:val="PageNumber"/>
            <w:rFonts w:ascii="Arial" w:hAnsi="Arial" w:cs="Arial"/>
            <w:i/>
            <w:iCs/>
            <w:sz w:val="25"/>
            <w:szCs w:val="25"/>
          </w:rPr>
          <w:instrText xml:space="preserve"> PAGE </w:instrText>
        </w:r>
        <w:r w:rsidRPr="00D211BD">
          <w:rPr>
            <w:rStyle w:val="PageNumber"/>
            <w:rFonts w:ascii="Arial" w:hAnsi="Arial" w:cs="Arial"/>
            <w:i/>
            <w:iCs/>
            <w:sz w:val="25"/>
            <w:szCs w:val="25"/>
          </w:rPr>
          <w:fldChar w:fldCharType="separate"/>
        </w:r>
        <w:r w:rsidR="00B93EAF">
          <w:rPr>
            <w:rStyle w:val="PageNumber"/>
            <w:rFonts w:ascii="Arial" w:hAnsi="Arial" w:cs="Arial"/>
            <w:i/>
            <w:iCs/>
            <w:noProof/>
            <w:sz w:val="25"/>
            <w:szCs w:val="25"/>
          </w:rPr>
          <w:t>4</w:t>
        </w:r>
        <w:r w:rsidRPr="00D211BD">
          <w:rPr>
            <w:rStyle w:val="PageNumber"/>
            <w:rFonts w:ascii="Arial" w:hAnsi="Arial" w:cs="Arial"/>
            <w:i/>
            <w:iCs/>
            <w:sz w:val="25"/>
            <w:szCs w:val="25"/>
          </w:rPr>
          <w:fldChar w:fldCharType="end"/>
        </w:r>
        <w:r w:rsidRPr="00D211BD">
          <w:rPr>
            <w:rStyle w:val="PageNumber"/>
            <w:rFonts w:ascii="Arial" w:hAnsi="Arial" w:cs="Arial"/>
            <w:i/>
            <w:iCs/>
            <w:sz w:val="25"/>
            <w:szCs w:val="25"/>
          </w:rPr>
          <w:t xml:space="preserve"> —</w:t>
        </w:r>
      </w:sdtContent>
    </w:sdt>
  </w:p>
  <w:p w14:paraId="4CF0CFC4" w14:textId="77777777" w:rsidR="00D211BD" w:rsidRDefault="00D211BD" w:rsidP="00D211BD">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EB337" w14:textId="79BB155E" w:rsidR="00607759" w:rsidRDefault="00607759" w:rsidP="00607759">
    <w:pPr>
      <w:pStyle w:val="Header"/>
      <w:jc w:val="center"/>
    </w:pPr>
    <w:r w:rsidRPr="007A587C">
      <w:rPr>
        <w:rFonts w:ascii="Times New Roman" w:hAnsi="Times New Roman" w:cs="Times New Roman"/>
        <w:noProof/>
        <w:lang w:val="en-US"/>
      </w:rPr>
      <w:drawing>
        <wp:inline distT="0" distB="0" distL="0" distR="0" wp14:anchorId="192FA8F8" wp14:editId="5471E246">
          <wp:extent cx="1574800" cy="1451610"/>
          <wp:effectExtent l="0" t="0" r="0" b="0"/>
          <wp:docPr id="1" name="Picture 1" descr="Description: Description: cid:image003.png@01D0DB27.E464C0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3.png@01D0DB27.E464C08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800" cy="14516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6F3A9B"/>
    <w:multiLevelType w:val="multilevel"/>
    <w:tmpl w:val="08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413427A"/>
    <w:multiLevelType w:val="multilevel"/>
    <w:tmpl w:val="A950F338"/>
    <w:styleLink w:val="CurrentList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52EA23DD"/>
    <w:multiLevelType w:val="multilevel"/>
    <w:tmpl w:val="FF889AB8"/>
    <w:styleLink w:val="CurrentList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BD71D79"/>
    <w:multiLevelType w:val="hybridMultilevel"/>
    <w:tmpl w:val="10BEC08E"/>
    <w:lvl w:ilvl="0" w:tplc="913E7A52">
      <w:numFmt w:val="bullet"/>
      <w:lvlText w:val="—"/>
      <w:lvlJc w:val="left"/>
      <w:pPr>
        <w:ind w:left="1080" w:hanging="360"/>
      </w:pPr>
      <w:rPr>
        <w:rFonts w:ascii="Calibri" w:eastAsiaTheme="minorHAnsi" w:hAnsi="Calibri" w:cs="Calibri" w:hint="default"/>
        <w:i w:val="0"/>
        <w:sz w:val="24"/>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F36541C"/>
    <w:multiLevelType w:val="multilevel"/>
    <w:tmpl w:val="D1ECC7B0"/>
    <w:lvl w:ilvl="0">
      <w:start w:val="1"/>
      <w:numFmt w:val="decimal"/>
      <w:pStyle w:val="Indent"/>
      <w:lvlText w:val="[%1]"/>
      <w:lvlJc w:val="left"/>
      <w:pPr>
        <w:tabs>
          <w:tab w:val="num" w:pos="850"/>
        </w:tabs>
        <w:ind w:left="850" w:hanging="850"/>
      </w:pPr>
      <w:rPr>
        <w:rFonts w:ascii="Arial" w:hAnsi="Arial" w:cs="Times New Roman" w:hint="default"/>
        <w:b w:val="0"/>
        <w:sz w:val="25"/>
        <w:szCs w:val="25"/>
      </w:rPr>
    </w:lvl>
    <w:lvl w:ilvl="1">
      <w:start w:val="1"/>
      <w:numFmt w:val="decimal"/>
      <w:lvlText w:val="[%1.%2]"/>
      <w:lvlJc w:val="left"/>
      <w:pPr>
        <w:tabs>
          <w:tab w:val="num" w:pos="1701"/>
        </w:tabs>
        <w:ind w:left="1701" w:hanging="851"/>
      </w:pPr>
      <w:rPr>
        <w:rFonts w:cs="Times New Roman" w:hint="default"/>
      </w:rPr>
    </w:lvl>
    <w:lvl w:ilvl="2">
      <w:start w:val="1"/>
      <w:numFmt w:val="decimal"/>
      <w:lvlText w:val="[%1.%2.%3]"/>
      <w:lvlJc w:val="left"/>
      <w:pPr>
        <w:tabs>
          <w:tab w:val="num" w:pos="2835"/>
        </w:tabs>
        <w:ind w:left="2835" w:hanging="1134"/>
      </w:pPr>
      <w:rPr>
        <w:rFonts w:cs="Times New Roman" w:hint="default"/>
      </w:rPr>
    </w:lvl>
    <w:lvl w:ilvl="3">
      <w:start w:val="1"/>
      <w:numFmt w:val="decimal"/>
      <w:lvlText w:val="%1.%2.%3.%4"/>
      <w:lvlJc w:val="left"/>
      <w:pPr>
        <w:tabs>
          <w:tab w:val="num" w:pos="3969"/>
        </w:tabs>
        <w:ind w:left="3969" w:hanging="1134"/>
      </w:pPr>
      <w:rPr>
        <w:rFonts w:cs="Times New Roman" w:hint="default"/>
      </w:rPr>
    </w:lvl>
    <w:lvl w:ilvl="4">
      <w:start w:val="1"/>
      <w:numFmt w:val="decimal"/>
      <w:lvlText w:val="%1.%2.%3.%4.%5"/>
      <w:lvlJc w:val="left"/>
      <w:pPr>
        <w:tabs>
          <w:tab w:val="num" w:pos="5272"/>
        </w:tabs>
        <w:ind w:left="5272" w:hanging="1303"/>
      </w:pPr>
      <w:rPr>
        <w:rFonts w:cs="Times New Roman" w:hint="default"/>
      </w:rPr>
    </w:lvl>
    <w:lvl w:ilvl="5">
      <w:start w:val="1"/>
      <w:numFmt w:val="decimal"/>
      <w:lvlText w:val="%1.%2.%3.%4.%5.%6"/>
      <w:lvlJc w:val="left"/>
      <w:pPr>
        <w:tabs>
          <w:tab w:val="num" w:pos="7342"/>
        </w:tabs>
        <w:ind w:left="7342" w:hanging="1582"/>
      </w:pPr>
      <w:rPr>
        <w:rFonts w:cs="Times New Roman" w:hint="default"/>
      </w:rPr>
    </w:lvl>
    <w:lvl w:ilvl="6">
      <w:start w:val="1"/>
      <w:numFmt w:val="decimal"/>
      <w:lvlText w:val="%1.%2.%3.%4.%5.%6.%7"/>
      <w:lvlJc w:val="left"/>
      <w:pPr>
        <w:tabs>
          <w:tab w:val="num" w:pos="9071"/>
        </w:tabs>
        <w:ind w:left="9071" w:hanging="1729"/>
      </w:pPr>
      <w:rPr>
        <w:rFonts w:cs="Times New Roman" w:hint="default"/>
      </w:rPr>
    </w:lvl>
    <w:lvl w:ilvl="7">
      <w:start w:val="1"/>
      <w:numFmt w:val="decimal"/>
      <w:lvlText w:val="%1.%2.%3.%4.%5.%6.%7.%8."/>
      <w:lvlJc w:val="left"/>
      <w:pPr>
        <w:tabs>
          <w:tab w:val="num" w:pos="11231"/>
        </w:tabs>
        <w:ind w:left="10800" w:hanging="1729"/>
      </w:pPr>
      <w:rPr>
        <w:rFonts w:cs="Times New Roman" w:hint="default"/>
      </w:rPr>
    </w:lvl>
    <w:lvl w:ilvl="8">
      <w:start w:val="1"/>
      <w:numFmt w:val="decimal"/>
      <w:lvlText w:val="%1.%2.%3.%4.%5.%6.%7.%8.%9."/>
      <w:lvlJc w:val="left"/>
      <w:pPr>
        <w:tabs>
          <w:tab w:val="num" w:pos="12960"/>
        </w:tabs>
        <w:ind w:left="12529" w:hanging="1729"/>
      </w:pPr>
      <w:rPr>
        <w:rFonts w:cs="Times New Roman" w:hint="default"/>
      </w:rPr>
    </w:lvl>
  </w:abstractNum>
  <w:abstractNum w:abstractNumId="5">
    <w:nsid w:val="66157A61"/>
    <w:multiLevelType w:val="multilevel"/>
    <w:tmpl w:val="73749A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6CDC70DB"/>
    <w:multiLevelType w:val="hybridMultilevel"/>
    <w:tmpl w:val="9D5EBF80"/>
    <w:lvl w:ilvl="0" w:tplc="F260E35A">
      <w:numFmt w:val="bullet"/>
      <w:lvlText w:val="-"/>
      <w:lvlJc w:val="left"/>
      <w:pPr>
        <w:ind w:left="720" w:hanging="360"/>
      </w:pPr>
      <w:rPr>
        <w:rFonts w:ascii="Calibri" w:eastAsiaTheme="minorHAnsi" w:hAnsi="Calibri" w:cs="Calibri" w:hint="default"/>
        <w:i w:val="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15C"/>
    <w:rsid w:val="00041463"/>
    <w:rsid w:val="00052E76"/>
    <w:rsid w:val="00082A2E"/>
    <w:rsid w:val="000906C0"/>
    <w:rsid w:val="000B1E86"/>
    <w:rsid w:val="000E7A94"/>
    <w:rsid w:val="0010583E"/>
    <w:rsid w:val="0011036D"/>
    <w:rsid w:val="00141330"/>
    <w:rsid w:val="00196A82"/>
    <w:rsid w:val="001B05D5"/>
    <w:rsid w:val="001B7883"/>
    <w:rsid w:val="001D315C"/>
    <w:rsid w:val="001E74C5"/>
    <w:rsid w:val="001F20CA"/>
    <w:rsid w:val="001F5C8E"/>
    <w:rsid w:val="00203B78"/>
    <w:rsid w:val="00207A41"/>
    <w:rsid w:val="00232943"/>
    <w:rsid w:val="002E5559"/>
    <w:rsid w:val="00317BB2"/>
    <w:rsid w:val="00335606"/>
    <w:rsid w:val="00335D3E"/>
    <w:rsid w:val="003F7C70"/>
    <w:rsid w:val="004637F4"/>
    <w:rsid w:val="00467C0A"/>
    <w:rsid w:val="004A5621"/>
    <w:rsid w:val="004B0DE5"/>
    <w:rsid w:val="004B710B"/>
    <w:rsid w:val="004D4BEB"/>
    <w:rsid w:val="00516605"/>
    <w:rsid w:val="0054036D"/>
    <w:rsid w:val="00587847"/>
    <w:rsid w:val="005A7221"/>
    <w:rsid w:val="005C0B09"/>
    <w:rsid w:val="00607759"/>
    <w:rsid w:val="006455F2"/>
    <w:rsid w:val="006B0CC5"/>
    <w:rsid w:val="006B36FB"/>
    <w:rsid w:val="006C5A2E"/>
    <w:rsid w:val="006C7FDD"/>
    <w:rsid w:val="0071529A"/>
    <w:rsid w:val="00722516"/>
    <w:rsid w:val="007442BC"/>
    <w:rsid w:val="00746883"/>
    <w:rsid w:val="0075153E"/>
    <w:rsid w:val="00775B6C"/>
    <w:rsid w:val="007D6190"/>
    <w:rsid w:val="007F0681"/>
    <w:rsid w:val="008011D5"/>
    <w:rsid w:val="008415D8"/>
    <w:rsid w:val="0086037A"/>
    <w:rsid w:val="00862718"/>
    <w:rsid w:val="00877D93"/>
    <w:rsid w:val="00883DEC"/>
    <w:rsid w:val="008872E5"/>
    <w:rsid w:val="008E02D5"/>
    <w:rsid w:val="00930175"/>
    <w:rsid w:val="0093114F"/>
    <w:rsid w:val="009311A8"/>
    <w:rsid w:val="009315F1"/>
    <w:rsid w:val="00942C29"/>
    <w:rsid w:val="00954865"/>
    <w:rsid w:val="00971372"/>
    <w:rsid w:val="0098265E"/>
    <w:rsid w:val="0098747F"/>
    <w:rsid w:val="00991370"/>
    <w:rsid w:val="009B3803"/>
    <w:rsid w:val="009B6BEF"/>
    <w:rsid w:val="00A639DA"/>
    <w:rsid w:val="00A954AD"/>
    <w:rsid w:val="00AA4352"/>
    <w:rsid w:val="00AF22C5"/>
    <w:rsid w:val="00B1479C"/>
    <w:rsid w:val="00B50BD0"/>
    <w:rsid w:val="00B85B10"/>
    <w:rsid w:val="00B861AB"/>
    <w:rsid w:val="00B87106"/>
    <w:rsid w:val="00B93EAF"/>
    <w:rsid w:val="00BA6A8A"/>
    <w:rsid w:val="00C403C8"/>
    <w:rsid w:val="00C757F0"/>
    <w:rsid w:val="00C81D53"/>
    <w:rsid w:val="00CA1692"/>
    <w:rsid w:val="00CB0367"/>
    <w:rsid w:val="00CF35E6"/>
    <w:rsid w:val="00D163E0"/>
    <w:rsid w:val="00D211BD"/>
    <w:rsid w:val="00D26DF6"/>
    <w:rsid w:val="00D41930"/>
    <w:rsid w:val="00D65619"/>
    <w:rsid w:val="00DA29E6"/>
    <w:rsid w:val="00DA2C48"/>
    <w:rsid w:val="00E06E7E"/>
    <w:rsid w:val="00E253DE"/>
    <w:rsid w:val="00E3688C"/>
    <w:rsid w:val="00E72117"/>
    <w:rsid w:val="00E84F10"/>
    <w:rsid w:val="00EA7BC3"/>
    <w:rsid w:val="00EE45DA"/>
    <w:rsid w:val="00F13F7E"/>
    <w:rsid w:val="00F36F96"/>
    <w:rsid w:val="00FC4D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10AD9"/>
  <w15:chartTrackingRefBased/>
  <w15:docId w15:val="{89CAB9CD-CED6-2745-BBED-F36231DC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15C"/>
    <w:pPr>
      <w:ind w:left="720"/>
      <w:contextualSpacing/>
    </w:pPr>
  </w:style>
  <w:style w:type="paragraph" w:styleId="Header">
    <w:name w:val="header"/>
    <w:basedOn w:val="Normal"/>
    <w:link w:val="HeaderChar"/>
    <w:uiPriority w:val="99"/>
    <w:unhideWhenUsed/>
    <w:rsid w:val="00D211BD"/>
    <w:pPr>
      <w:tabs>
        <w:tab w:val="center" w:pos="4513"/>
        <w:tab w:val="right" w:pos="9026"/>
      </w:tabs>
    </w:pPr>
  </w:style>
  <w:style w:type="character" w:customStyle="1" w:styleId="HeaderChar">
    <w:name w:val="Header Char"/>
    <w:basedOn w:val="DefaultParagraphFont"/>
    <w:link w:val="Header"/>
    <w:uiPriority w:val="99"/>
    <w:rsid w:val="00D211BD"/>
  </w:style>
  <w:style w:type="character" w:styleId="PageNumber">
    <w:name w:val="page number"/>
    <w:basedOn w:val="DefaultParagraphFont"/>
    <w:uiPriority w:val="99"/>
    <w:semiHidden/>
    <w:unhideWhenUsed/>
    <w:rsid w:val="00D211BD"/>
  </w:style>
  <w:style w:type="paragraph" w:styleId="Footer">
    <w:name w:val="footer"/>
    <w:basedOn w:val="Normal"/>
    <w:link w:val="FooterChar"/>
    <w:uiPriority w:val="99"/>
    <w:unhideWhenUsed/>
    <w:rsid w:val="00D211BD"/>
    <w:pPr>
      <w:tabs>
        <w:tab w:val="center" w:pos="4513"/>
        <w:tab w:val="right" w:pos="9026"/>
      </w:tabs>
    </w:pPr>
  </w:style>
  <w:style w:type="character" w:customStyle="1" w:styleId="FooterChar">
    <w:name w:val="Footer Char"/>
    <w:basedOn w:val="DefaultParagraphFont"/>
    <w:link w:val="Footer"/>
    <w:uiPriority w:val="99"/>
    <w:rsid w:val="00D211BD"/>
  </w:style>
  <w:style w:type="paragraph" w:styleId="FootnoteText">
    <w:name w:val="footnote text"/>
    <w:basedOn w:val="Normal"/>
    <w:link w:val="FootnoteTextChar"/>
    <w:uiPriority w:val="99"/>
    <w:semiHidden/>
    <w:unhideWhenUsed/>
    <w:rsid w:val="0093114F"/>
    <w:rPr>
      <w:sz w:val="20"/>
      <w:szCs w:val="20"/>
    </w:rPr>
  </w:style>
  <w:style w:type="character" w:customStyle="1" w:styleId="FootnoteTextChar">
    <w:name w:val="Footnote Text Char"/>
    <w:basedOn w:val="DefaultParagraphFont"/>
    <w:link w:val="FootnoteText"/>
    <w:uiPriority w:val="99"/>
    <w:semiHidden/>
    <w:rsid w:val="0093114F"/>
    <w:rPr>
      <w:sz w:val="20"/>
      <w:szCs w:val="20"/>
    </w:rPr>
  </w:style>
  <w:style w:type="character" w:styleId="FootnoteReference">
    <w:name w:val="footnote reference"/>
    <w:basedOn w:val="DefaultParagraphFont"/>
    <w:uiPriority w:val="99"/>
    <w:semiHidden/>
    <w:unhideWhenUsed/>
    <w:rsid w:val="0093114F"/>
    <w:rPr>
      <w:vertAlign w:val="superscript"/>
    </w:rPr>
  </w:style>
  <w:style w:type="character" w:styleId="Hyperlink">
    <w:name w:val="Hyperlink"/>
    <w:basedOn w:val="DefaultParagraphFont"/>
    <w:uiPriority w:val="99"/>
    <w:unhideWhenUsed/>
    <w:rsid w:val="00B861AB"/>
    <w:rPr>
      <w:color w:val="0563C1" w:themeColor="hyperlink"/>
      <w:u w:val="single"/>
    </w:rPr>
  </w:style>
  <w:style w:type="character" w:customStyle="1" w:styleId="UnresolvedMention">
    <w:name w:val="Unresolved Mention"/>
    <w:basedOn w:val="DefaultParagraphFont"/>
    <w:uiPriority w:val="99"/>
    <w:semiHidden/>
    <w:unhideWhenUsed/>
    <w:rsid w:val="00B861AB"/>
    <w:rPr>
      <w:color w:val="605E5C"/>
      <w:shd w:val="clear" w:color="auto" w:fill="E1DFDD"/>
    </w:rPr>
  </w:style>
  <w:style w:type="character" w:customStyle="1" w:styleId="apple-converted-space">
    <w:name w:val="apple-converted-space"/>
    <w:basedOn w:val="DefaultParagraphFont"/>
    <w:rsid w:val="00942C29"/>
  </w:style>
  <w:style w:type="character" w:customStyle="1" w:styleId="mc">
    <w:name w:val="mc"/>
    <w:basedOn w:val="DefaultParagraphFont"/>
    <w:rsid w:val="00942C29"/>
  </w:style>
  <w:style w:type="character" w:customStyle="1" w:styleId="g1">
    <w:name w:val="g1"/>
    <w:basedOn w:val="DefaultParagraphFont"/>
    <w:rsid w:val="00CA1692"/>
  </w:style>
  <w:style w:type="numbering" w:customStyle="1" w:styleId="CurrentList1">
    <w:name w:val="Current List1"/>
    <w:uiPriority w:val="99"/>
    <w:rsid w:val="00607759"/>
    <w:pPr>
      <w:numPr>
        <w:numId w:val="4"/>
      </w:numPr>
    </w:pPr>
  </w:style>
  <w:style w:type="numbering" w:customStyle="1" w:styleId="CurrentList2">
    <w:name w:val="Current List2"/>
    <w:uiPriority w:val="99"/>
    <w:rsid w:val="00607759"/>
    <w:pPr>
      <w:numPr>
        <w:numId w:val="5"/>
      </w:numPr>
    </w:pPr>
  </w:style>
  <w:style w:type="numbering" w:customStyle="1" w:styleId="CurrentList3">
    <w:name w:val="Current List3"/>
    <w:uiPriority w:val="99"/>
    <w:rsid w:val="0011036D"/>
    <w:pPr>
      <w:numPr>
        <w:numId w:val="6"/>
      </w:numPr>
    </w:pPr>
  </w:style>
  <w:style w:type="paragraph" w:customStyle="1" w:styleId="Indent">
    <w:name w:val="Indent"/>
    <w:basedOn w:val="Normal"/>
    <w:rsid w:val="00C757F0"/>
    <w:pPr>
      <w:widowControl w:val="0"/>
      <w:numPr>
        <w:numId w:val="7"/>
      </w:numPr>
      <w:spacing w:after="480" w:line="480" w:lineRule="auto"/>
      <w:jc w:val="both"/>
    </w:pPr>
    <w:rPr>
      <w:rFonts w:ascii="Arial" w:eastAsia="Times New Roman" w:hAnsi="Arial" w:cs="Times New Roman"/>
      <w:kern w:val="25"/>
      <w:sz w:val="25"/>
      <w:szCs w:val="20"/>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9257">
      <w:bodyDiv w:val="1"/>
      <w:marLeft w:val="0"/>
      <w:marRight w:val="0"/>
      <w:marTop w:val="0"/>
      <w:marBottom w:val="0"/>
      <w:divBdr>
        <w:top w:val="none" w:sz="0" w:space="0" w:color="auto"/>
        <w:left w:val="none" w:sz="0" w:space="0" w:color="auto"/>
        <w:bottom w:val="none" w:sz="0" w:space="0" w:color="auto"/>
        <w:right w:val="none" w:sz="0" w:space="0" w:color="auto"/>
      </w:divBdr>
      <w:divsChild>
        <w:div w:id="2052921190">
          <w:marLeft w:val="0"/>
          <w:marRight w:val="0"/>
          <w:marTop w:val="120"/>
          <w:marBottom w:val="0"/>
          <w:divBdr>
            <w:top w:val="none" w:sz="0" w:space="0" w:color="auto"/>
            <w:left w:val="none" w:sz="0" w:space="0" w:color="auto"/>
            <w:bottom w:val="none" w:sz="0" w:space="0" w:color="auto"/>
            <w:right w:val="none" w:sz="0" w:space="0" w:color="auto"/>
          </w:divBdr>
        </w:div>
        <w:div w:id="578176672">
          <w:marLeft w:val="0"/>
          <w:marRight w:val="0"/>
          <w:marTop w:val="240"/>
          <w:marBottom w:val="24"/>
          <w:divBdr>
            <w:top w:val="single" w:sz="8" w:space="2" w:color="808080"/>
            <w:left w:val="none" w:sz="0" w:space="0" w:color="auto"/>
            <w:bottom w:val="none" w:sz="0" w:space="0" w:color="auto"/>
            <w:right w:val="none" w:sz="0" w:space="0" w:color="auto"/>
          </w:divBdr>
        </w:div>
        <w:div w:id="69356763">
          <w:marLeft w:val="0"/>
          <w:marRight w:val="0"/>
          <w:marTop w:val="120"/>
          <w:marBottom w:val="0"/>
          <w:divBdr>
            <w:top w:val="none" w:sz="0" w:space="0" w:color="auto"/>
            <w:left w:val="none" w:sz="0" w:space="0" w:color="auto"/>
            <w:bottom w:val="none" w:sz="0" w:space="0" w:color="auto"/>
            <w:right w:val="none" w:sz="0" w:space="0" w:color="auto"/>
          </w:divBdr>
        </w:div>
        <w:div w:id="182399822">
          <w:marLeft w:val="0"/>
          <w:marRight w:val="0"/>
          <w:marTop w:val="120"/>
          <w:marBottom w:val="0"/>
          <w:divBdr>
            <w:top w:val="none" w:sz="0" w:space="0" w:color="auto"/>
            <w:left w:val="none" w:sz="0" w:space="0" w:color="auto"/>
            <w:bottom w:val="none" w:sz="0" w:space="0" w:color="auto"/>
            <w:right w:val="none" w:sz="0" w:space="0" w:color="auto"/>
          </w:divBdr>
        </w:div>
        <w:div w:id="1064110685">
          <w:marLeft w:val="0"/>
          <w:marRight w:val="0"/>
          <w:marTop w:val="120"/>
          <w:marBottom w:val="0"/>
          <w:divBdr>
            <w:top w:val="none" w:sz="0" w:space="0" w:color="auto"/>
            <w:left w:val="none" w:sz="0" w:space="0" w:color="auto"/>
            <w:bottom w:val="none" w:sz="0" w:space="0" w:color="auto"/>
            <w:right w:val="none" w:sz="0" w:space="0" w:color="auto"/>
          </w:divBdr>
        </w:div>
        <w:div w:id="515727707">
          <w:marLeft w:val="0"/>
          <w:marRight w:val="0"/>
          <w:marTop w:val="120"/>
          <w:marBottom w:val="0"/>
          <w:divBdr>
            <w:top w:val="none" w:sz="0" w:space="0" w:color="auto"/>
            <w:left w:val="none" w:sz="0" w:space="0" w:color="auto"/>
            <w:bottom w:val="none" w:sz="0" w:space="0" w:color="auto"/>
            <w:right w:val="none" w:sz="0" w:space="0" w:color="auto"/>
          </w:divBdr>
        </w:div>
      </w:divsChild>
    </w:div>
    <w:div w:id="642393356">
      <w:bodyDiv w:val="1"/>
      <w:marLeft w:val="0"/>
      <w:marRight w:val="0"/>
      <w:marTop w:val="0"/>
      <w:marBottom w:val="0"/>
      <w:divBdr>
        <w:top w:val="none" w:sz="0" w:space="0" w:color="auto"/>
        <w:left w:val="none" w:sz="0" w:space="0" w:color="auto"/>
        <w:bottom w:val="none" w:sz="0" w:space="0" w:color="auto"/>
        <w:right w:val="none" w:sz="0" w:space="0" w:color="auto"/>
      </w:divBdr>
      <w:divsChild>
        <w:div w:id="1944989529">
          <w:marLeft w:val="0"/>
          <w:marRight w:val="0"/>
          <w:marTop w:val="120"/>
          <w:marBottom w:val="0"/>
          <w:divBdr>
            <w:top w:val="none" w:sz="0" w:space="0" w:color="auto"/>
            <w:left w:val="none" w:sz="0" w:space="0" w:color="auto"/>
            <w:bottom w:val="none" w:sz="0" w:space="0" w:color="auto"/>
            <w:right w:val="none" w:sz="0" w:space="0" w:color="auto"/>
          </w:divBdr>
        </w:div>
        <w:div w:id="2027822165">
          <w:marLeft w:val="567"/>
          <w:marRight w:val="0"/>
          <w:marTop w:val="60"/>
          <w:marBottom w:val="0"/>
          <w:divBdr>
            <w:top w:val="none" w:sz="0" w:space="0" w:color="auto"/>
            <w:left w:val="none" w:sz="0" w:space="0" w:color="auto"/>
            <w:bottom w:val="none" w:sz="0" w:space="0" w:color="auto"/>
            <w:right w:val="none" w:sz="0" w:space="0" w:color="auto"/>
          </w:divBdr>
        </w:div>
        <w:div w:id="33045680">
          <w:marLeft w:val="0"/>
          <w:marRight w:val="0"/>
          <w:marTop w:val="120"/>
          <w:marBottom w:val="0"/>
          <w:divBdr>
            <w:top w:val="none" w:sz="0" w:space="0" w:color="auto"/>
            <w:left w:val="none" w:sz="0" w:space="0" w:color="auto"/>
            <w:bottom w:val="none" w:sz="0" w:space="0" w:color="auto"/>
            <w:right w:val="none" w:sz="0" w:space="0" w:color="auto"/>
          </w:divBdr>
        </w:div>
        <w:div w:id="1427995026">
          <w:marLeft w:val="567"/>
          <w:marRight w:val="0"/>
          <w:marTop w:val="60"/>
          <w:marBottom w:val="0"/>
          <w:divBdr>
            <w:top w:val="none" w:sz="0" w:space="0" w:color="auto"/>
            <w:left w:val="none" w:sz="0" w:space="0" w:color="auto"/>
            <w:bottom w:val="none" w:sz="0" w:space="0" w:color="auto"/>
            <w:right w:val="none" w:sz="0" w:space="0" w:color="auto"/>
          </w:divBdr>
        </w:div>
        <w:div w:id="1955015027">
          <w:marLeft w:val="0"/>
          <w:marRight w:val="0"/>
          <w:marTop w:val="120"/>
          <w:marBottom w:val="0"/>
          <w:divBdr>
            <w:top w:val="none" w:sz="0" w:space="0" w:color="auto"/>
            <w:left w:val="none" w:sz="0" w:space="0" w:color="auto"/>
            <w:bottom w:val="none" w:sz="0" w:space="0" w:color="auto"/>
            <w:right w:val="none" w:sz="0" w:space="0" w:color="auto"/>
          </w:divBdr>
        </w:div>
        <w:div w:id="830875231">
          <w:marLeft w:val="567"/>
          <w:marRight w:val="0"/>
          <w:marTop w:val="60"/>
          <w:marBottom w:val="0"/>
          <w:divBdr>
            <w:top w:val="none" w:sz="0" w:space="0" w:color="auto"/>
            <w:left w:val="none" w:sz="0" w:space="0" w:color="auto"/>
            <w:bottom w:val="none" w:sz="0" w:space="0" w:color="auto"/>
            <w:right w:val="none" w:sz="0" w:space="0" w:color="auto"/>
          </w:divBdr>
        </w:div>
        <w:div w:id="41466701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mit.naran@eskom.co.z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astern@eskom.co.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ttyRY@eskom.co.za"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oira.peters@eskom.co.za" TargetMode="External"/><Relationship Id="rId4" Type="http://schemas.openxmlformats.org/officeDocument/2006/relationships/settings" Target="settings.xml"/><Relationship Id="rId9" Type="http://schemas.openxmlformats.org/officeDocument/2006/relationships/hyperlink" Target="mailto:shamit.naran@eskom.co.za"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04A6E-F224-4C58-B02E-889011806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4682</Words>
  <Characters>26690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Bishop</dc:creator>
  <cp:keywords/>
  <dc:description/>
  <cp:lastModifiedBy>Mokone</cp:lastModifiedBy>
  <cp:revision>3</cp:revision>
  <cp:lastPrinted>2023-06-29T11:47:00Z</cp:lastPrinted>
  <dcterms:created xsi:type="dcterms:W3CDTF">2023-06-30T10:27:00Z</dcterms:created>
  <dcterms:modified xsi:type="dcterms:W3CDTF">2023-06-30T10:28:00Z</dcterms:modified>
</cp:coreProperties>
</file>