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F8ED0" w14:textId="77777777" w:rsidR="00ED2FC5" w:rsidRPr="001B05BA"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bookmarkStart w:id="0" w:name="_GoBack"/>
      <w:bookmarkEnd w:id="0"/>
      <w:r w:rsidRPr="001B05BA">
        <w:rPr>
          <w:rFonts w:ascii="Arial" w:eastAsia="Times New Roman" w:hAnsi="Arial" w:cs="Arial"/>
          <w:sz w:val="28"/>
          <w:szCs w:val="28"/>
          <w:lang w:eastAsia="en-GB"/>
        </w:rPr>
        <w:t>REPUBLIC OF SOUTH AFRICA</w:t>
      </w:r>
    </w:p>
    <w:p w14:paraId="4436A0DF" w14:textId="77777777" w:rsidR="00ED2FC5" w:rsidRPr="001B05BA" w:rsidRDefault="00ED2FC5" w:rsidP="00C160A1">
      <w:pPr>
        <w:spacing w:before="120" w:after="120" w:line="360" w:lineRule="auto"/>
        <w:ind w:left="663" w:hangingChars="236" w:hanging="663"/>
        <w:jc w:val="center"/>
        <w:rPr>
          <w:rFonts w:ascii="Arial" w:eastAsia="Times New Roman" w:hAnsi="Arial" w:cs="Arial"/>
          <w:sz w:val="28"/>
          <w:szCs w:val="28"/>
          <w:lang w:eastAsia="en-GB"/>
        </w:rPr>
      </w:pPr>
      <w:r w:rsidRPr="001B05BA">
        <w:rPr>
          <w:rFonts w:ascii="Arial" w:hAnsi="Arial" w:cs="Arial"/>
          <w:b/>
          <w:noProof/>
          <w:sz w:val="28"/>
          <w:szCs w:val="28"/>
          <w:lang w:val="en-US"/>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1B05BA"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1B05BA">
        <w:rPr>
          <w:rFonts w:ascii="Arial" w:eastAsia="Times New Roman" w:hAnsi="Arial" w:cs="Arial"/>
          <w:sz w:val="28"/>
          <w:szCs w:val="28"/>
          <w:lang w:eastAsia="en-GB"/>
        </w:rPr>
        <w:t>IN THE HIGH COURT OF SOUTH AFRICA</w:t>
      </w:r>
    </w:p>
    <w:p w14:paraId="1C5CCDC4" w14:textId="77777777" w:rsidR="00ED2FC5" w:rsidRPr="001B05BA"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1B05BA">
        <w:rPr>
          <w:rFonts w:ascii="Arial" w:eastAsia="Times New Roman" w:hAnsi="Arial" w:cs="Arial"/>
          <w:sz w:val="28"/>
          <w:szCs w:val="28"/>
          <w:lang w:eastAsia="en-GB"/>
        </w:rPr>
        <w:t>GAUTENG DIVISION, PRETORIA</w:t>
      </w:r>
    </w:p>
    <w:p w14:paraId="2F4E9B91" w14:textId="381C5E91" w:rsidR="00665539" w:rsidRPr="001B05BA" w:rsidRDefault="003F64B3" w:rsidP="00FC3DC3">
      <w:pPr>
        <w:spacing w:after="0" w:line="240" w:lineRule="auto"/>
        <w:ind w:left="661" w:hangingChars="236" w:hanging="661"/>
        <w:jc w:val="right"/>
        <w:rPr>
          <w:rFonts w:ascii="Arial" w:eastAsia="Times New Roman" w:hAnsi="Arial" w:cs="Arial"/>
          <w:sz w:val="28"/>
          <w:szCs w:val="28"/>
          <w:lang w:eastAsia="en-GB"/>
        </w:rPr>
      </w:pPr>
      <w:r w:rsidRPr="001B05BA">
        <w:rPr>
          <w:rFonts w:ascii="Arial" w:eastAsia="Times New Roman" w:hAnsi="Arial" w:cs="Arial"/>
          <w:sz w:val="28"/>
          <w:szCs w:val="28"/>
          <w:lang w:eastAsia="en-GB"/>
        </w:rPr>
        <w:t>CASE NO:</w:t>
      </w:r>
      <w:r w:rsidR="00DE3835" w:rsidRPr="001B05BA">
        <w:rPr>
          <w:rFonts w:ascii="Arial" w:eastAsia="Times New Roman" w:hAnsi="Arial" w:cs="Arial"/>
          <w:sz w:val="28"/>
          <w:szCs w:val="28"/>
          <w:lang w:eastAsia="en-GB"/>
        </w:rPr>
        <w:t xml:space="preserve"> </w:t>
      </w:r>
      <w:r w:rsidR="0026654A" w:rsidRPr="001B05BA">
        <w:rPr>
          <w:rFonts w:ascii="Arial" w:eastAsia="Times New Roman" w:hAnsi="Arial" w:cs="Arial"/>
          <w:sz w:val="28"/>
          <w:szCs w:val="28"/>
          <w:lang w:eastAsia="en-GB"/>
        </w:rPr>
        <w:t>A223/2021</w:t>
      </w:r>
    </w:p>
    <w:p w14:paraId="633CC936" w14:textId="5D66C20F" w:rsidR="002033C4" w:rsidRPr="001B05BA"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1B05BA" w:rsidRDefault="003A6E81" w:rsidP="00C160A1">
      <w:pPr>
        <w:spacing w:before="120" w:after="120" w:line="360" w:lineRule="auto"/>
        <w:jc w:val="center"/>
        <w:rPr>
          <w:rFonts w:ascii="Arial" w:hAnsi="Arial" w:cs="Arial"/>
          <w:sz w:val="24"/>
          <w:szCs w:val="24"/>
        </w:rPr>
      </w:pPr>
      <w:r w:rsidRPr="001B05BA">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E83290" w:rsidRDefault="00E83290" w:rsidP="00ED2FC5">
                            <w:pPr>
                              <w:jc w:val="center"/>
                              <w:rPr>
                                <w:rFonts w:ascii="Century Gothic" w:hAnsi="Century Gothic"/>
                                <w:b/>
                                <w:sz w:val="20"/>
                                <w:szCs w:val="20"/>
                              </w:rPr>
                            </w:pPr>
                          </w:p>
                          <w:p w14:paraId="2B4C2A7A" w14:textId="39EEF61F" w:rsidR="00E83290" w:rsidRDefault="00E83290" w:rsidP="00371158">
                            <w:pPr>
                              <w:numPr>
                                <w:ilvl w:val="0"/>
                                <w:numId w:val="1"/>
                              </w:numPr>
                              <w:spacing w:after="0" w:line="240" w:lineRule="auto"/>
                              <w:rPr>
                                <w:rFonts w:ascii="Century Gothic" w:hAnsi="Century Gothic"/>
                                <w:sz w:val="20"/>
                                <w:szCs w:val="20"/>
                              </w:rPr>
                            </w:pPr>
                            <w:r>
                              <w:rPr>
                                <w:rFonts w:ascii="Century Gothic" w:hAnsi="Century Gothic"/>
                                <w:sz w:val="20"/>
                                <w:szCs w:val="20"/>
                              </w:rPr>
                              <w:t>REPORTABLE: YES/NO</w:t>
                            </w:r>
                          </w:p>
                          <w:p w14:paraId="240656F9" w14:textId="5C28C6E2" w:rsidR="00E83290" w:rsidRDefault="00E83290" w:rsidP="00371158">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NO</w:t>
                            </w:r>
                          </w:p>
                          <w:p w14:paraId="22436154" w14:textId="41039798" w:rsidR="00E83290" w:rsidRDefault="00E83290" w:rsidP="00371158">
                            <w:pPr>
                              <w:numPr>
                                <w:ilvl w:val="0"/>
                                <w:numId w:val="1"/>
                              </w:numPr>
                              <w:spacing w:after="0" w:line="240" w:lineRule="auto"/>
                              <w:rPr>
                                <w:rFonts w:ascii="Century Gothic" w:hAnsi="Century Gothic"/>
                                <w:sz w:val="20"/>
                                <w:szCs w:val="20"/>
                              </w:rPr>
                            </w:pPr>
                            <w:r>
                              <w:rPr>
                                <w:rFonts w:ascii="Century Gothic" w:hAnsi="Century Gothic"/>
                                <w:sz w:val="20"/>
                                <w:szCs w:val="20"/>
                              </w:rPr>
                              <w:t>REVISED: NO</w:t>
                            </w:r>
                          </w:p>
                          <w:p w14:paraId="3DE114B7" w14:textId="77777777" w:rsidR="00E83290" w:rsidRDefault="00E83290"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2E03466E" w:rsidR="00E83290" w:rsidRDefault="00E83290"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9B3533">
                              <w:rPr>
                                <w:rFonts w:ascii="Century Gothic" w:hAnsi="Century Gothic"/>
                                <w:sz w:val="20"/>
                                <w:szCs w:val="20"/>
                              </w:rPr>
                              <w:t>5</w:t>
                            </w:r>
                            <w:r w:rsidR="002743C9">
                              <w:rPr>
                                <w:rFonts w:ascii="Century Gothic" w:hAnsi="Century Gothic"/>
                                <w:sz w:val="20"/>
                                <w:szCs w:val="20"/>
                              </w:rPr>
                              <w:t xml:space="preserve"> July </w:t>
                            </w:r>
                            <w:r>
                              <w:rPr>
                                <w:rFonts w:ascii="Century Gothic" w:hAnsi="Century Gothic"/>
                                <w:sz w:val="20"/>
                                <w:szCs w:val="20"/>
                              </w:rPr>
                              <w:t>2023</w:t>
                            </w:r>
                            <w:r>
                              <w:rPr>
                                <w:rFonts w:ascii="Century Gothic" w:hAnsi="Century Gothic"/>
                                <w:sz w:val="20"/>
                                <w:szCs w:val="20"/>
                              </w:rPr>
                              <w:tab/>
                              <w:t>E van der Schyff</w:t>
                            </w:r>
                          </w:p>
                          <w:p w14:paraId="1F64CB6E" w14:textId="77777777" w:rsidR="00E83290" w:rsidRDefault="00E83290"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W0GAIAACwEAAAOAAAAZHJzL2Uyb0RvYy54bWysU9uO2yAQfa/Uf0C8N3a8yW5ixVlts01V&#10;aXuRtv0AjLGNihkKJHb69R2wN5veXqrygBhmODNz5rC5HTpFjsI6Cbqg81lKidAcKqmbgn75vH+1&#10;osR5piumQIuCnoSjt9uXLza9yUUGLahKWIIg2uW9KWjrvcmTxPFWdMzNwAiNzhpsxzyatkkqy3pE&#10;71SSpel10oOtjAUunMPb+9FJtxG/rgX3H+vaCU9UQbE2H3cb9zLsyXbD8sYy00o+lcH+oYqOSY1J&#10;z1D3zDNysPI3qE5yCw5qP+PQJVDXkovYA3YzT3/p5rFlRsRekBxnzjS5/wfLPxwfzSdL/PAaBhxg&#10;bMKZB+BfHdGwa5luxJ210LeCVZh4HihLeuPy6Wmg2uUugJT9e6hwyOzgIQINte0CK9gnQXQcwOlM&#10;uhg84Xh5lV1lN6slJRx98yxdX98sYw6WPz031vm3AjoSDgW1ONUIz44PzodyWP4UErI5ULLaS6Wi&#10;YZtypyw5MlTAPq4J/acwpUlf0PUyW44M/BUijetPEJ30KGUlu4KuzkEsD7y90VUUmmdSjWcsWemJ&#10;yMDdyKIfygEDA6ElVCek1MIoWfxieGjBfqekR7kW1H07MCsoUe80jmU9XyyCvqOxWN5kaNhLT3np&#10;YZojVEE9JeNx58c/cTBWNi1mGoWg4Q5HWctI8nNVU90oycj99H2C5i/tGPX8ybc/AAAA//8DAFBL&#10;AwQUAAYACAAAACEAtzxOdN4AAAAHAQAADwAAAGRycy9kb3ducmV2LnhtbEyPwU7DMBBE70j8g7VI&#10;XBC124bShDgVQgLBDQqCqxtvkwh7HWI3DX/PcoLjzoxm3pabyTsx4hC7QBrmMwUCqQ62o0bD2+v9&#10;5RpETIascYFQwzdG2FSnJ6UpbDjSC47b1AguoVgYDW1KfSFlrFv0Js5Cj8TePgzeJD6HRtrBHLnc&#10;O7lQaiW96YgXWtPjXYv15/bgNayzx/EjPi2f3+vV3uXp4np8+Bq0Pj+bbm9AJJzSXxh+8RkdKmba&#10;hQPZKJwGfiSxusxBsHul8jmInYaFyjKQVSn/81c/AAAA//8DAFBLAQItABQABgAIAAAAIQC2gziS&#10;/gAAAOEBAAATAAAAAAAAAAAAAAAAAAAAAABbQ29udGVudF9UeXBlc10ueG1sUEsBAi0AFAAGAAgA&#10;AAAhADj9If/WAAAAlAEAAAsAAAAAAAAAAAAAAAAALwEAAF9yZWxzLy5yZWxzUEsBAi0AFAAGAAgA&#10;AAAhAN00pbQYAgAALAQAAA4AAAAAAAAAAAAAAAAALgIAAGRycy9lMm9Eb2MueG1sUEsBAi0AFAAG&#10;AAgAAAAhALc8TnTeAAAABwEAAA8AAAAAAAAAAAAAAAAAcgQAAGRycy9kb3ducmV2LnhtbFBLBQYA&#10;AAAABAAEAPMAAAB9BQAAAAA=&#10;">
                <v:textbox>
                  <w:txbxContent>
                    <w:p w14:paraId="397DD474" w14:textId="77777777" w:rsidR="00E83290" w:rsidRDefault="00E83290" w:rsidP="00ED2FC5">
                      <w:pPr>
                        <w:jc w:val="center"/>
                        <w:rPr>
                          <w:rFonts w:ascii="Century Gothic" w:hAnsi="Century Gothic"/>
                          <w:b/>
                          <w:sz w:val="20"/>
                          <w:szCs w:val="20"/>
                        </w:rPr>
                      </w:pPr>
                    </w:p>
                    <w:p w14:paraId="2B4C2A7A" w14:textId="39EEF61F" w:rsidR="00E83290" w:rsidRDefault="00E83290" w:rsidP="00371158">
                      <w:pPr>
                        <w:numPr>
                          <w:ilvl w:val="0"/>
                          <w:numId w:val="1"/>
                        </w:numPr>
                        <w:spacing w:after="0" w:line="240" w:lineRule="auto"/>
                        <w:rPr>
                          <w:rFonts w:ascii="Century Gothic" w:hAnsi="Century Gothic"/>
                          <w:sz w:val="20"/>
                          <w:szCs w:val="20"/>
                        </w:rPr>
                      </w:pPr>
                      <w:r>
                        <w:rPr>
                          <w:rFonts w:ascii="Century Gothic" w:hAnsi="Century Gothic"/>
                          <w:sz w:val="20"/>
                          <w:szCs w:val="20"/>
                        </w:rPr>
                        <w:t>REPORTABLE: YES/NO</w:t>
                      </w:r>
                    </w:p>
                    <w:p w14:paraId="240656F9" w14:textId="5C28C6E2" w:rsidR="00E83290" w:rsidRDefault="00E83290" w:rsidP="00371158">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NO</w:t>
                      </w:r>
                    </w:p>
                    <w:p w14:paraId="22436154" w14:textId="41039798" w:rsidR="00E83290" w:rsidRDefault="00E83290" w:rsidP="00371158">
                      <w:pPr>
                        <w:numPr>
                          <w:ilvl w:val="0"/>
                          <w:numId w:val="1"/>
                        </w:numPr>
                        <w:spacing w:after="0" w:line="240" w:lineRule="auto"/>
                        <w:rPr>
                          <w:rFonts w:ascii="Century Gothic" w:hAnsi="Century Gothic"/>
                          <w:sz w:val="20"/>
                          <w:szCs w:val="20"/>
                        </w:rPr>
                      </w:pPr>
                      <w:r>
                        <w:rPr>
                          <w:rFonts w:ascii="Century Gothic" w:hAnsi="Century Gothic"/>
                          <w:sz w:val="20"/>
                          <w:szCs w:val="20"/>
                        </w:rPr>
                        <w:t>REVISED: NO</w:t>
                      </w:r>
                    </w:p>
                    <w:p w14:paraId="3DE114B7" w14:textId="77777777" w:rsidR="00E83290" w:rsidRDefault="00E83290"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2E03466E" w:rsidR="00E83290" w:rsidRDefault="00E83290"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9B3533">
                        <w:rPr>
                          <w:rFonts w:ascii="Century Gothic" w:hAnsi="Century Gothic"/>
                          <w:sz w:val="20"/>
                          <w:szCs w:val="20"/>
                        </w:rPr>
                        <w:t>5</w:t>
                      </w:r>
                      <w:r w:rsidR="002743C9">
                        <w:rPr>
                          <w:rFonts w:ascii="Century Gothic" w:hAnsi="Century Gothic"/>
                          <w:sz w:val="20"/>
                          <w:szCs w:val="20"/>
                        </w:rPr>
                        <w:t xml:space="preserve"> July </w:t>
                      </w:r>
                      <w:r>
                        <w:rPr>
                          <w:rFonts w:ascii="Century Gothic" w:hAnsi="Century Gothic"/>
                          <w:sz w:val="20"/>
                          <w:szCs w:val="20"/>
                        </w:rPr>
                        <w:t>2023</w:t>
                      </w:r>
                      <w:r>
                        <w:rPr>
                          <w:rFonts w:ascii="Century Gothic" w:hAnsi="Century Gothic"/>
                          <w:sz w:val="20"/>
                          <w:szCs w:val="20"/>
                        </w:rPr>
                        <w:tab/>
                        <w:t>E van der Schyff</w:t>
                      </w:r>
                    </w:p>
                    <w:p w14:paraId="1F64CB6E" w14:textId="77777777" w:rsidR="00E83290" w:rsidRDefault="00E83290"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1B05BA"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1B05BA"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Pr="001B05BA"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Pr="001B05BA" w:rsidRDefault="00C17911" w:rsidP="00C17911">
      <w:pPr>
        <w:tabs>
          <w:tab w:val="left" w:pos="4917"/>
        </w:tabs>
        <w:spacing w:before="120" w:after="120" w:line="360" w:lineRule="auto"/>
        <w:jc w:val="center"/>
        <w:rPr>
          <w:rFonts w:ascii="Arial" w:hAnsi="Arial" w:cs="Arial"/>
          <w:sz w:val="24"/>
          <w:szCs w:val="24"/>
        </w:rPr>
      </w:pPr>
    </w:p>
    <w:p w14:paraId="79E1D3F6" w14:textId="22346CB5" w:rsidR="009C6780" w:rsidRPr="001B05BA" w:rsidRDefault="009C6780" w:rsidP="009C6780">
      <w:pPr>
        <w:tabs>
          <w:tab w:val="left" w:pos="4917"/>
        </w:tabs>
        <w:spacing w:before="120" w:after="120" w:line="360" w:lineRule="auto"/>
        <w:rPr>
          <w:rFonts w:ascii="Arial" w:hAnsi="Arial" w:cs="Arial"/>
          <w:sz w:val="24"/>
          <w:szCs w:val="24"/>
        </w:rPr>
      </w:pPr>
      <w:r w:rsidRPr="001B05BA">
        <w:rPr>
          <w:rFonts w:ascii="Arial" w:hAnsi="Arial" w:cs="Arial"/>
          <w:sz w:val="24"/>
          <w:szCs w:val="24"/>
        </w:rPr>
        <w:t>In the matter between:</w:t>
      </w:r>
    </w:p>
    <w:p w14:paraId="503B14A0" w14:textId="4E9299F6" w:rsidR="00273774" w:rsidRPr="001B05BA" w:rsidRDefault="0026654A" w:rsidP="009C6780">
      <w:pPr>
        <w:tabs>
          <w:tab w:val="left" w:pos="4917"/>
        </w:tabs>
        <w:spacing w:before="120" w:after="120" w:line="360" w:lineRule="auto"/>
        <w:rPr>
          <w:rFonts w:ascii="Arial" w:hAnsi="Arial" w:cs="Arial"/>
          <w:sz w:val="24"/>
          <w:szCs w:val="24"/>
        </w:rPr>
      </w:pPr>
      <w:r w:rsidRPr="001B05BA">
        <w:rPr>
          <w:rFonts w:ascii="Arial" w:hAnsi="Arial" w:cs="Arial"/>
          <w:sz w:val="24"/>
          <w:szCs w:val="24"/>
        </w:rPr>
        <w:t>DIAGEO SA (PTY) LTD</w:t>
      </w:r>
      <w:r w:rsidR="00F9045D" w:rsidRPr="001B05BA">
        <w:rPr>
          <w:rFonts w:ascii="Arial" w:hAnsi="Arial" w:cs="Arial"/>
          <w:sz w:val="24"/>
          <w:szCs w:val="24"/>
        </w:rPr>
        <w:tab/>
      </w:r>
      <w:r w:rsidR="00F9045D" w:rsidRPr="001B05BA">
        <w:rPr>
          <w:rFonts w:ascii="Arial" w:hAnsi="Arial" w:cs="Arial"/>
          <w:sz w:val="24"/>
          <w:szCs w:val="24"/>
        </w:rPr>
        <w:tab/>
      </w:r>
      <w:r w:rsidR="00F9045D" w:rsidRPr="001B05BA">
        <w:rPr>
          <w:rFonts w:ascii="Arial" w:hAnsi="Arial" w:cs="Arial"/>
          <w:sz w:val="24"/>
          <w:szCs w:val="24"/>
        </w:rPr>
        <w:tab/>
      </w:r>
      <w:r w:rsidR="001F3AF1" w:rsidRPr="001B05BA">
        <w:rPr>
          <w:rFonts w:ascii="Arial" w:hAnsi="Arial" w:cs="Arial"/>
          <w:sz w:val="24"/>
          <w:szCs w:val="24"/>
        </w:rPr>
        <w:tab/>
      </w:r>
      <w:r w:rsidRPr="001B05BA">
        <w:rPr>
          <w:rFonts w:ascii="Arial" w:hAnsi="Arial" w:cs="Arial"/>
          <w:sz w:val="24"/>
          <w:szCs w:val="24"/>
        </w:rPr>
        <w:t>APPELLANT</w:t>
      </w:r>
    </w:p>
    <w:p w14:paraId="5AD99CCB" w14:textId="65018A53" w:rsidR="002C7989" w:rsidRPr="001B05BA" w:rsidRDefault="002C7989" w:rsidP="009C6780">
      <w:pPr>
        <w:tabs>
          <w:tab w:val="left" w:pos="4917"/>
        </w:tabs>
        <w:spacing w:before="120" w:after="120" w:line="360" w:lineRule="auto"/>
        <w:rPr>
          <w:rFonts w:ascii="Arial" w:hAnsi="Arial" w:cs="Arial"/>
          <w:sz w:val="24"/>
          <w:szCs w:val="24"/>
        </w:rPr>
      </w:pPr>
      <w:r w:rsidRPr="001B05BA">
        <w:rPr>
          <w:rFonts w:ascii="Arial" w:hAnsi="Arial" w:cs="Arial"/>
          <w:sz w:val="24"/>
          <w:szCs w:val="24"/>
        </w:rPr>
        <w:t>and</w:t>
      </w:r>
    </w:p>
    <w:p w14:paraId="298D5747" w14:textId="6B76D7EC" w:rsidR="009A3DD5" w:rsidRPr="001B05BA" w:rsidRDefault="0026654A" w:rsidP="00F9064E">
      <w:pPr>
        <w:tabs>
          <w:tab w:val="left" w:pos="4917"/>
        </w:tabs>
        <w:spacing w:before="120" w:after="0" w:line="240" w:lineRule="auto"/>
        <w:rPr>
          <w:rFonts w:ascii="Arial" w:hAnsi="Arial" w:cs="Arial"/>
          <w:sz w:val="24"/>
          <w:szCs w:val="24"/>
        </w:rPr>
      </w:pPr>
      <w:r w:rsidRPr="001B05BA">
        <w:rPr>
          <w:rFonts w:ascii="Arial" w:hAnsi="Arial" w:cs="Arial"/>
          <w:sz w:val="24"/>
          <w:szCs w:val="24"/>
        </w:rPr>
        <w:t>THE COMMISSIONER FOR THE SOUTH</w:t>
      </w:r>
    </w:p>
    <w:p w14:paraId="4946574B" w14:textId="62A57F00" w:rsidR="0026654A" w:rsidRPr="001B05BA" w:rsidRDefault="0026654A" w:rsidP="00F9064E">
      <w:pPr>
        <w:tabs>
          <w:tab w:val="left" w:pos="4917"/>
        </w:tabs>
        <w:spacing w:before="120" w:after="0" w:line="240" w:lineRule="auto"/>
        <w:rPr>
          <w:rFonts w:ascii="Arial" w:hAnsi="Arial" w:cs="Arial"/>
          <w:sz w:val="24"/>
          <w:szCs w:val="24"/>
        </w:rPr>
      </w:pPr>
      <w:r w:rsidRPr="001B05BA">
        <w:rPr>
          <w:rFonts w:ascii="Arial" w:hAnsi="Arial" w:cs="Arial"/>
          <w:sz w:val="24"/>
          <w:szCs w:val="24"/>
        </w:rPr>
        <w:t>AFRICAN REVENUE SERVICES</w:t>
      </w:r>
      <w:r w:rsidRPr="001B05BA">
        <w:rPr>
          <w:rFonts w:ascii="Arial" w:hAnsi="Arial" w:cs="Arial"/>
          <w:sz w:val="24"/>
          <w:szCs w:val="24"/>
        </w:rPr>
        <w:tab/>
      </w:r>
      <w:r w:rsidRPr="001B05BA">
        <w:rPr>
          <w:rFonts w:ascii="Arial" w:hAnsi="Arial" w:cs="Arial"/>
          <w:sz w:val="24"/>
          <w:szCs w:val="24"/>
        </w:rPr>
        <w:tab/>
      </w:r>
      <w:r w:rsidRPr="001B05BA">
        <w:rPr>
          <w:rFonts w:ascii="Arial" w:hAnsi="Arial" w:cs="Arial"/>
          <w:sz w:val="24"/>
          <w:szCs w:val="24"/>
        </w:rPr>
        <w:tab/>
      </w:r>
      <w:r w:rsidRPr="001B05BA">
        <w:rPr>
          <w:rFonts w:ascii="Arial" w:hAnsi="Arial" w:cs="Arial"/>
          <w:sz w:val="24"/>
          <w:szCs w:val="24"/>
        </w:rPr>
        <w:tab/>
        <w:t>RESPONDENT</w:t>
      </w:r>
    </w:p>
    <w:p w14:paraId="17CAEA52" w14:textId="3ABCB37E" w:rsidR="0056224F" w:rsidRPr="001B05BA" w:rsidRDefault="0056224F" w:rsidP="00F9064E">
      <w:pPr>
        <w:tabs>
          <w:tab w:val="left" w:pos="4917"/>
        </w:tabs>
        <w:spacing w:before="120" w:after="0" w:line="240" w:lineRule="auto"/>
        <w:rPr>
          <w:rFonts w:ascii="Arial" w:hAnsi="Arial" w:cs="Arial"/>
          <w:sz w:val="24"/>
          <w:szCs w:val="24"/>
        </w:rPr>
      </w:pPr>
    </w:p>
    <w:p w14:paraId="163B4780" w14:textId="34E7D4FF" w:rsidR="004F10C9" w:rsidRPr="001B05BA"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sidRPr="001B05BA">
        <w:rPr>
          <w:rFonts w:ascii="Arial" w:hAnsi="Arial" w:cs="Arial"/>
          <w:sz w:val="24"/>
          <w:szCs w:val="24"/>
        </w:rPr>
        <w:t>JUDGMENT</w:t>
      </w:r>
    </w:p>
    <w:p w14:paraId="0D3F50F0" w14:textId="03B0F0BB" w:rsidR="00537115" w:rsidRPr="001B05BA" w:rsidRDefault="00D852E9" w:rsidP="00D852E9">
      <w:pPr>
        <w:pStyle w:val="ListParagraph"/>
        <w:tabs>
          <w:tab w:val="left" w:pos="4917"/>
        </w:tabs>
        <w:spacing w:before="120" w:after="120" w:line="360" w:lineRule="auto"/>
        <w:ind w:left="0"/>
        <w:jc w:val="both"/>
        <w:rPr>
          <w:rFonts w:ascii="Arial" w:hAnsi="Arial" w:cs="Arial"/>
          <w:sz w:val="24"/>
          <w:szCs w:val="24"/>
        </w:rPr>
      </w:pPr>
      <w:r w:rsidRPr="001B05BA">
        <w:rPr>
          <w:rFonts w:ascii="Arial" w:hAnsi="Arial" w:cs="Arial"/>
          <w:sz w:val="24"/>
          <w:szCs w:val="24"/>
        </w:rPr>
        <w:t>Van der Schyff J</w:t>
      </w:r>
      <w:r w:rsidR="00EA4756" w:rsidRPr="001B05BA">
        <w:rPr>
          <w:rFonts w:ascii="Arial" w:hAnsi="Arial" w:cs="Arial"/>
          <w:sz w:val="24"/>
          <w:szCs w:val="24"/>
        </w:rPr>
        <w:t xml:space="preserve"> </w:t>
      </w:r>
    </w:p>
    <w:p w14:paraId="360FE3CA" w14:textId="0A804D77" w:rsidR="004D2EE0" w:rsidRPr="001B05BA" w:rsidRDefault="004D2EE0" w:rsidP="00D852E9">
      <w:pPr>
        <w:pStyle w:val="ListParagraph"/>
        <w:tabs>
          <w:tab w:val="left" w:pos="4917"/>
        </w:tabs>
        <w:spacing w:before="120" w:after="120" w:line="360" w:lineRule="auto"/>
        <w:ind w:left="0"/>
        <w:jc w:val="both"/>
        <w:rPr>
          <w:rFonts w:ascii="Arial" w:hAnsi="Arial" w:cs="Arial"/>
          <w:sz w:val="24"/>
          <w:szCs w:val="24"/>
        </w:rPr>
      </w:pPr>
    </w:p>
    <w:p w14:paraId="772896FC" w14:textId="3B6F0E4A" w:rsidR="004D2EE0" w:rsidRPr="001B05BA" w:rsidRDefault="004D2EE0" w:rsidP="00D852E9">
      <w:pPr>
        <w:pStyle w:val="ListParagraph"/>
        <w:tabs>
          <w:tab w:val="left" w:pos="4917"/>
        </w:tabs>
        <w:spacing w:before="120" w:after="120" w:line="360" w:lineRule="auto"/>
        <w:ind w:left="0"/>
        <w:jc w:val="both"/>
        <w:rPr>
          <w:rFonts w:ascii="Arial" w:hAnsi="Arial" w:cs="Arial"/>
          <w:b/>
          <w:sz w:val="24"/>
          <w:szCs w:val="24"/>
        </w:rPr>
      </w:pPr>
      <w:r w:rsidRPr="001B05BA">
        <w:rPr>
          <w:rFonts w:ascii="Arial" w:hAnsi="Arial" w:cs="Arial"/>
          <w:b/>
          <w:sz w:val="24"/>
          <w:szCs w:val="24"/>
        </w:rPr>
        <w:t>Introduction</w:t>
      </w:r>
    </w:p>
    <w:p w14:paraId="2CB65FD5" w14:textId="2A49A3A5" w:rsidR="00D17DE3" w:rsidRPr="001B05BA" w:rsidRDefault="00D17DE3" w:rsidP="00D852E9">
      <w:pPr>
        <w:pStyle w:val="ListParagraph"/>
        <w:tabs>
          <w:tab w:val="left" w:pos="4917"/>
        </w:tabs>
        <w:spacing w:before="120" w:after="120" w:line="360" w:lineRule="auto"/>
        <w:ind w:left="0"/>
        <w:jc w:val="both"/>
        <w:rPr>
          <w:rFonts w:ascii="Arial" w:hAnsi="Arial" w:cs="Arial"/>
          <w:sz w:val="24"/>
          <w:szCs w:val="24"/>
        </w:rPr>
      </w:pPr>
    </w:p>
    <w:p w14:paraId="5A143245" w14:textId="2B1F5401" w:rsidR="00BA1728" w:rsidRPr="001B05BA" w:rsidRDefault="004D2EE0" w:rsidP="00BE18C9">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1B05BA">
        <w:rPr>
          <w:rFonts w:ascii="Arial" w:hAnsi="Arial" w:cs="Arial"/>
          <w:sz w:val="24"/>
          <w:szCs w:val="24"/>
        </w:rPr>
        <w:lastRenderedPageBreak/>
        <w:t xml:space="preserve">This is an appeal </w:t>
      </w:r>
      <w:r w:rsidR="007D5544" w:rsidRPr="001B05BA">
        <w:rPr>
          <w:rFonts w:ascii="Arial" w:hAnsi="Arial" w:cs="Arial"/>
          <w:sz w:val="24"/>
          <w:szCs w:val="24"/>
        </w:rPr>
        <w:t>heard by the</w:t>
      </w:r>
      <w:r w:rsidRPr="001B05BA">
        <w:rPr>
          <w:rFonts w:ascii="Arial" w:hAnsi="Arial" w:cs="Arial"/>
          <w:sz w:val="24"/>
          <w:szCs w:val="24"/>
        </w:rPr>
        <w:t xml:space="preserve"> Full Court against the whole of the judgment and order handed down</w:t>
      </w:r>
      <w:r w:rsidR="007D5544" w:rsidRPr="001B05BA">
        <w:rPr>
          <w:rFonts w:ascii="Arial" w:hAnsi="Arial" w:cs="Arial"/>
          <w:sz w:val="24"/>
          <w:szCs w:val="24"/>
        </w:rPr>
        <w:t xml:space="preserve"> </w:t>
      </w:r>
      <w:r w:rsidRPr="001B05BA">
        <w:rPr>
          <w:rFonts w:ascii="Arial" w:hAnsi="Arial" w:cs="Arial"/>
          <w:sz w:val="24"/>
          <w:szCs w:val="24"/>
        </w:rPr>
        <w:t xml:space="preserve">by the court </w:t>
      </w:r>
      <w:r w:rsidRPr="001B05BA">
        <w:rPr>
          <w:rFonts w:ascii="Arial" w:hAnsi="Arial" w:cs="Arial"/>
          <w:i/>
          <w:sz w:val="24"/>
          <w:szCs w:val="24"/>
        </w:rPr>
        <w:t>a quo</w:t>
      </w:r>
      <w:r w:rsidR="003B5A8F" w:rsidRPr="001B05BA">
        <w:rPr>
          <w:rFonts w:ascii="Arial" w:hAnsi="Arial" w:cs="Arial"/>
          <w:sz w:val="24"/>
          <w:szCs w:val="24"/>
        </w:rPr>
        <w:t xml:space="preserve"> on 1</w:t>
      </w:r>
      <w:r w:rsidR="00EF1396" w:rsidRPr="001B05BA">
        <w:rPr>
          <w:rFonts w:ascii="Arial" w:hAnsi="Arial" w:cs="Arial"/>
          <w:sz w:val="24"/>
          <w:szCs w:val="24"/>
        </w:rPr>
        <w:t>7</w:t>
      </w:r>
      <w:r w:rsidR="003B5A8F" w:rsidRPr="001B05BA">
        <w:rPr>
          <w:rFonts w:ascii="Arial" w:hAnsi="Arial" w:cs="Arial"/>
          <w:sz w:val="24"/>
          <w:szCs w:val="24"/>
        </w:rPr>
        <w:t xml:space="preserve"> March 2021</w:t>
      </w:r>
      <w:r w:rsidRPr="001B05BA">
        <w:rPr>
          <w:rFonts w:ascii="Arial" w:hAnsi="Arial" w:cs="Arial"/>
          <w:sz w:val="24"/>
          <w:szCs w:val="24"/>
        </w:rPr>
        <w:t>.</w:t>
      </w:r>
      <w:r w:rsidR="003B4D9B" w:rsidRPr="001B05BA">
        <w:rPr>
          <w:rStyle w:val="FootnoteReference"/>
          <w:rFonts w:ascii="Arial" w:hAnsi="Arial" w:cs="Arial"/>
          <w:sz w:val="24"/>
          <w:szCs w:val="24"/>
        </w:rPr>
        <w:footnoteReference w:id="1"/>
      </w:r>
      <w:r w:rsidRPr="001B05BA">
        <w:rPr>
          <w:rFonts w:ascii="Arial" w:hAnsi="Arial" w:cs="Arial"/>
          <w:sz w:val="24"/>
          <w:szCs w:val="24"/>
        </w:rPr>
        <w:t xml:space="preserve"> The appeal is with the leave of the court </w:t>
      </w:r>
      <w:r w:rsidRPr="001B05BA">
        <w:rPr>
          <w:rFonts w:ascii="Arial" w:hAnsi="Arial" w:cs="Arial"/>
          <w:i/>
          <w:sz w:val="24"/>
          <w:szCs w:val="24"/>
        </w:rPr>
        <w:t>a quo</w:t>
      </w:r>
      <w:r w:rsidRPr="001B05BA">
        <w:rPr>
          <w:rFonts w:ascii="Arial" w:hAnsi="Arial" w:cs="Arial"/>
          <w:sz w:val="24"/>
          <w:szCs w:val="24"/>
        </w:rPr>
        <w:t xml:space="preserve">. </w:t>
      </w:r>
    </w:p>
    <w:p w14:paraId="793133B0" w14:textId="220CF08A" w:rsidR="00BA1728" w:rsidRPr="001B05BA" w:rsidRDefault="00BA1728" w:rsidP="00BA1728">
      <w:pPr>
        <w:pStyle w:val="ListParagraph"/>
        <w:tabs>
          <w:tab w:val="left" w:pos="4917"/>
        </w:tabs>
        <w:spacing w:before="120" w:after="120" w:line="360" w:lineRule="auto"/>
        <w:jc w:val="both"/>
        <w:rPr>
          <w:rFonts w:ascii="Arial" w:hAnsi="Arial" w:cs="Arial"/>
          <w:sz w:val="24"/>
          <w:szCs w:val="24"/>
        </w:rPr>
      </w:pPr>
    </w:p>
    <w:p w14:paraId="74009BAC" w14:textId="75715805" w:rsidR="00BA1728" w:rsidRPr="001B05BA" w:rsidRDefault="004D2EE0" w:rsidP="00371158">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1B05BA">
        <w:rPr>
          <w:rFonts w:ascii="Arial" w:hAnsi="Arial" w:cs="Arial"/>
          <w:sz w:val="24"/>
          <w:szCs w:val="24"/>
        </w:rPr>
        <w:t xml:space="preserve">The history of the litigation </w:t>
      </w:r>
      <w:r w:rsidR="004A2DFD" w:rsidRPr="001B05BA">
        <w:rPr>
          <w:rFonts w:ascii="Arial" w:hAnsi="Arial" w:cs="Arial"/>
          <w:sz w:val="24"/>
          <w:szCs w:val="24"/>
        </w:rPr>
        <w:t>is</w:t>
      </w:r>
      <w:r w:rsidRPr="001B05BA">
        <w:rPr>
          <w:rFonts w:ascii="Arial" w:hAnsi="Arial" w:cs="Arial"/>
          <w:sz w:val="24"/>
          <w:szCs w:val="24"/>
        </w:rPr>
        <w:t xml:space="preserve"> as follows:</w:t>
      </w:r>
    </w:p>
    <w:p w14:paraId="7EFBDF79" w14:textId="77777777" w:rsidR="004D2EE0" w:rsidRPr="001B05BA" w:rsidRDefault="004D2EE0" w:rsidP="004D2EE0">
      <w:pPr>
        <w:pStyle w:val="ListParagraph"/>
        <w:rPr>
          <w:rFonts w:ascii="Arial" w:hAnsi="Arial" w:cs="Arial"/>
          <w:sz w:val="24"/>
          <w:szCs w:val="24"/>
        </w:rPr>
      </w:pPr>
    </w:p>
    <w:p w14:paraId="7167D178" w14:textId="1F5ED4BA" w:rsidR="004D2EE0" w:rsidRPr="001B05BA" w:rsidRDefault="004D2EE0" w:rsidP="00371158">
      <w:pPr>
        <w:pStyle w:val="ListParagraph"/>
        <w:numPr>
          <w:ilvl w:val="1"/>
          <w:numId w:val="2"/>
        </w:numPr>
        <w:tabs>
          <w:tab w:val="left" w:pos="4917"/>
        </w:tabs>
        <w:spacing w:before="120" w:after="120" w:line="360" w:lineRule="auto"/>
        <w:jc w:val="both"/>
        <w:rPr>
          <w:rFonts w:ascii="Arial" w:hAnsi="Arial" w:cs="Arial"/>
          <w:sz w:val="24"/>
          <w:szCs w:val="24"/>
        </w:rPr>
      </w:pPr>
      <w:r w:rsidRPr="001B05BA">
        <w:rPr>
          <w:rFonts w:ascii="Arial" w:hAnsi="Arial" w:cs="Arial"/>
          <w:sz w:val="24"/>
          <w:szCs w:val="24"/>
        </w:rPr>
        <w:t>On 18 April 2016</w:t>
      </w:r>
      <w:r w:rsidR="004A2DFD" w:rsidRPr="001B05BA">
        <w:rPr>
          <w:rFonts w:ascii="Arial" w:hAnsi="Arial" w:cs="Arial"/>
          <w:sz w:val="24"/>
          <w:szCs w:val="24"/>
        </w:rPr>
        <w:t>,</w:t>
      </w:r>
      <w:r w:rsidRPr="001B05BA">
        <w:rPr>
          <w:rFonts w:ascii="Arial" w:hAnsi="Arial" w:cs="Arial"/>
          <w:sz w:val="24"/>
          <w:szCs w:val="24"/>
        </w:rPr>
        <w:t xml:space="preserve"> the respondent (‘the Commissioner’ or ‘SARS’) made a tariff determination in terms of s 47(9)(a), read with s 47(11) of the Customs and Excise </w:t>
      </w:r>
      <w:r w:rsidR="004A2DFD" w:rsidRPr="001B05BA">
        <w:rPr>
          <w:rFonts w:ascii="Arial" w:hAnsi="Arial" w:cs="Arial"/>
          <w:sz w:val="24"/>
          <w:szCs w:val="24"/>
        </w:rPr>
        <w:t>A</w:t>
      </w:r>
      <w:r w:rsidRPr="001B05BA">
        <w:rPr>
          <w:rFonts w:ascii="Arial" w:hAnsi="Arial" w:cs="Arial"/>
          <w:sz w:val="24"/>
          <w:szCs w:val="24"/>
        </w:rPr>
        <w:t>ct, 91 of 196</w:t>
      </w:r>
      <w:r w:rsidR="003B5A8F" w:rsidRPr="001B05BA">
        <w:rPr>
          <w:rFonts w:ascii="Arial" w:hAnsi="Arial" w:cs="Arial"/>
          <w:sz w:val="24"/>
          <w:szCs w:val="24"/>
        </w:rPr>
        <w:t>4 (the Act</w:t>
      </w:r>
      <w:r w:rsidR="00133244" w:rsidRPr="001B05BA">
        <w:rPr>
          <w:rFonts w:ascii="Arial" w:hAnsi="Arial" w:cs="Arial"/>
          <w:sz w:val="24"/>
          <w:szCs w:val="24"/>
        </w:rPr>
        <w:t xml:space="preserve"> / Customs and Excise Act</w:t>
      </w:r>
      <w:r w:rsidR="003B5A8F" w:rsidRPr="001B05BA">
        <w:rPr>
          <w:rFonts w:ascii="Arial" w:hAnsi="Arial" w:cs="Arial"/>
          <w:sz w:val="24"/>
          <w:szCs w:val="24"/>
        </w:rPr>
        <w:t>)</w:t>
      </w:r>
      <w:r w:rsidR="00693269" w:rsidRPr="001B05BA">
        <w:rPr>
          <w:rFonts w:ascii="Arial" w:hAnsi="Arial" w:cs="Arial"/>
          <w:sz w:val="24"/>
          <w:szCs w:val="24"/>
        </w:rPr>
        <w:t>. The Commissioner</w:t>
      </w:r>
      <w:r w:rsidRPr="001B05BA">
        <w:rPr>
          <w:rFonts w:ascii="Arial" w:hAnsi="Arial" w:cs="Arial"/>
          <w:sz w:val="24"/>
          <w:szCs w:val="24"/>
        </w:rPr>
        <w:t xml:space="preserve"> determined ‘Cape Velvet Cream Original</w:t>
      </w:r>
      <w:r w:rsidR="003B5A8F" w:rsidRPr="001B05BA">
        <w:rPr>
          <w:rFonts w:ascii="Arial" w:hAnsi="Arial" w:cs="Arial"/>
          <w:sz w:val="24"/>
          <w:szCs w:val="24"/>
        </w:rPr>
        <w:t>’</w:t>
      </w:r>
      <w:r w:rsidRPr="001B05BA">
        <w:rPr>
          <w:rFonts w:ascii="Arial" w:hAnsi="Arial" w:cs="Arial"/>
          <w:sz w:val="24"/>
          <w:szCs w:val="24"/>
        </w:rPr>
        <w:t xml:space="preserve"> </w:t>
      </w:r>
      <w:r w:rsidR="003B5A8F" w:rsidRPr="001B05BA">
        <w:rPr>
          <w:rFonts w:ascii="Arial" w:hAnsi="Arial" w:cs="Arial"/>
          <w:sz w:val="24"/>
          <w:szCs w:val="24"/>
        </w:rPr>
        <w:t xml:space="preserve">(‘CVCO’), </w:t>
      </w:r>
      <w:r w:rsidRPr="001B05BA">
        <w:rPr>
          <w:rFonts w:ascii="Arial" w:hAnsi="Arial" w:cs="Arial"/>
          <w:sz w:val="24"/>
          <w:szCs w:val="24"/>
        </w:rPr>
        <w:t>a liqueu</w:t>
      </w:r>
      <w:r w:rsidR="003B5A8F" w:rsidRPr="001B05BA">
        <w:rPr>
          <w:rFonts w:ascii="Arial" w:hAnsi="Arial" w:cs="Arial"/>
          <w:sz w:val="24"/>
          <w:szCs w:val="24"/>
        </w:rPr>
        <w:t>r manufactured by Diageo, to be classifiable under</w:t>
      </w:r>
      <w:r w:rsidR="00A95598" w:rsidRPr="001B05BA">
        <w:rPr>
          <w:rFonts w:ascii="Arial" w:hAnsi="Arial" w:cs="Arial"/>
          <w:sz w:val="24"/>
          <w:szCs w:val="24"/>
        </w:rPr>
        <w:t xml:space="preserve"> Tariff Item 104.23.22</w:t>
      </w:r>
      <w:r w:rsidR="00E347D6" w:rsidRPr="001B05BA">
        <w:rPr>
          <w:rFonts w:ascii="Arial" w:hAnsi="Arial" w:cs="Arial"/>
          <w:sz w:val="24"/>
          <w:szCs w:val="24"/>
        </w:rPr>
        <w:t xml:space="preserve"> and </w:t>
      </w:r>
      <w:r w:rsidR="003B5A8F" w:rsidRPr="001B05BA">
        <w:rPr>
          <w:rFonts w:ascii="Arial" w:hAnsi="Arial" w:cs="Arial"/>
          <w:sz w:val="24"/>
          <w:szCs w:val="24"/>
        </w:rPr>
        <w:t xml:space="preserve">Tariff </w:t>
      </w:r>
      <w:r w:rsidR="00DD0873" w:rsidRPr="001B05BA">
        <w:rPr>
          <w:rFonts w:ascii="Arial" w:hAnsi="Arial" w:cs="Arial"/>
          <w:sz w:val="24"/>
          <w:szCs w:val="24"/>
        </w:rPr>
        <w:t>Subh</w:t>
      </w:r>
      <w:r w:rsidRPr="001B05BA">
        <w:rPr>
          <w:rFonts w:ascii="Arial" w:hAnsi="Arial" w:cs="Arial"/>
          <w:sz w:val="24"/>
          <w:szCs w:val="24"/>
        </w:rPr>
        <w:t>eading 2208.70.22 of Part 1 of Schedule No.1 to the Act</w:t>
      </w:r>
      <w:r w:rsidR="00393882" w:rsidRPr="001B05BA">
        <w:rPr>
          <w:rFonts w:ascii="Arial" w:hAnsi="Arial" w:cs="Arial"/>
          <w:sz w:val="24"/>
          <w:szCs w:val="24"/>
        </w:rPr>
        <w:t>,</w:t>
      </w:r>
      <w:r w:rsidR="00393882" w:rsidRPr="001B05BA">
        <w:rPr>
          <w:rFonts w:ascii="Arial" w:hAnsi="Arial" w:cs="Arial"/>
          <w:i/>
          <w:iCs/>
          <w:sz w:val="24"/>
          <w:szCs w:val="24"/>
        </w:rPr>
        <w:t xml:space="preserve"> viz</w:t>
      </w:r>
      <w:r w:rsidR="00393882" w:rsidRPr="001B05BA">
        <w:rPr>
          <w:rFonts w:ascii="Arial" w:hAnsi="Arial" w:cs="Arial"/>
          <w:sz w:val="24"/>
          <w:szCs w:val="24"/>
        </w:rPr>
        <w:t xml:space="preserve"> ‘Other’</w:t>
      </w:r>
      <w:r w:rsidRPr="001B05BA">
        <w:rPr>
          <w:rFonts w:ascii="Arial" w:hAnsi="Arial" w:cs="Arial"/>
          <w:sz w:val="24"/>
          <w:szCs w:val="24"/>
        </w:rPr>
        <w:t>;</w:t>
      </w:r>
    </w:p>
    <w:p w14:paraId="4CD4A7AF" w14:textId="77777777" w:rsidR="003B5A8F" w:rsidRPr="001B05BA" w:rsidRDefault="003B5A8F" w:rsidP="003B5A8F">
      <w:pPr>
        <w:pStyle w:val="ListParagraph"/>
        <w:tabs>
          <w:tab w:val="left" w:pos="4917"/>
        </w:tabs>
        <w:spacing w:before="120" w:after="120" w:line="360" w:lineRule="auto"/>
        <w:ind w:left="1440"/>
        <w:jc w:val="both"/>
        <w:rPr>
          <w:rFonts w:ascii="Arial" w:hAnsi="Arial" w:cs="Arial"/>
          <w:sz w:val="24"/>
          <w:szCs w:val="24"/>
        </w:rPr>
      </w:pPr>
    </w:p>
    <w:p w14:paraId="665853FC" w14:textId="622D5372" w:rsidR="003B5A8F" w:rsidRPr="001B05BA" w:rsidRDefault="003B5A8F" w:rsidP="00371158">
      <w:pPr>
        <w:pStyle w:val="ListParagraph"/>
        <w:numPr>
          <w:ilvl w:val="1"/>
          <w:numId w:val="2"/>
        </w:numPr>
        <w:tabs>
          <w:tab w:val="left" w:pos="4917"/>
        </w:tabs>
        <w:spacing w:before="120" w:after="120" w:line="360" w:lineRule="auto"/>
        <w:jc w:val="both"/>
        <w:rPr>
          <w:rFonts w:ascii="Arial" w:hAnsi="Arial" w:cs="Arial"/>
          <w:sz w:val="24"/>
          <w:szCs w:val="24"/>
        </w:rPr>
      </w:pPr>
      <w:r w:rsidRPr="001B05BA">
        <w:rPr>
          <w:rFonts w:ascii="Arial" w:hAnsi="Arial" w:cs="Arial"/>
          <w:sz w:val="24"/>
          <w:szCs w:val="24"/>
        </w:rPr>
        <w:t xml:space="preserve">Diageo, however, contended that the CVCO referred should be classified under </w:t>
      </w:r>
      <w:r w:rsidR="00DD0873" w:rsidRPr="001B05BA">
        <w:rPr>
          <w:rFonts w:ascii="Arial" w:hAnsi="Arial" w:cs="Arial"/>
          <w:sz w:val="24"/>
          <w:szCs w:val="24"/>
        </w:rPr>
        <w:t>Tariff Item</w:t>
      </w:r>
      <w:r w:rsidR="00041ED7" w:rsidRPr="001B05BA">
        <w:rPr>
          <w:rFonts w:ascii="Arial" w:hAnsi="Arial" w:cs="Arial"/>
          <w:sz w:val="24"/>
          <w:szCs w:val="24"/>
        </w:rPr>
        <w:t xml:space="preserve"> 104.23.21 and </w:t>
      </w:r>
      <w:r w:rsidR="00393882" w:rsidRPr="001B05BA">
        <w:rPr>
          <w:rFonts w:ascii="Arial" w:hAnsi="Arial" w:cs="Arial"/>
          <w:sz w:val="24"/>
          <w:szCs w:val="24"/>
        </w:rPr>
        <w:t xml:space="preserve">Tariff </w:t>
      </w:r>
      <w:r w:rsidR="00DD0873" w:rsidRPr="001B05BA">
        <w:rPr>
          <w:rFonts w:ascii="Arial" w:hAnsi="Arial" w:cs="Arial"/>
          <w:sz w:val="24"/>
          <w:szCs w:val="24"/>
        </w:rPr>
        <w:t>Subh</w:t>
      </w:r>
      <w:r w:rsidR="00393882" w:rsidRPr="001B05BA">
        <w:rPr>
          <w:rFonts w:ascii="Arial" w:hAnsi="Arial" w:cs="Arial"/>
          <w:sz w:val="24"/>
          <w:szCs w:val="24"/>
        </w:rPr>
        <w:t xml:space="preserve">eading 2208.70.21, </w:t>
      </w:r>
      <w:r w:rsidR="00393882" w:rsidRPr="001B05BA">
        <w:rPr>
          <w:rFonts w:ascii="Arial" w:hAnsi="Arial" w:cs="Arial"/>
          <w:i/>
          <w:iCs/>
          <w:sz w:val="24"/>
          <w:szCs w:val="24"/>
        </w:rPr>
        <w:t>viz</w:t>
      </w:r>
      <w:r w:rsidR="00393882" w:rsidRPr="001B05BA">
        <w:rPr>
          <w:rFonts w:ascii="Arial" w:hAnsi="Arial" w:cs="Arial"/>
          <w:sz w:val="24"/>
          <w:szCs w:val="24"/>
        </w:rPr>
        <w:t xml:space="preserve"> ‘With an alcoholic strength by volum</w:t>
      </w:r>
      <w:r w:rsidR="00F65A96" w:rsidRPr="001B05BA">
        <w:rPr>
          <w:rFonts w:ascii="Arial" w:hAnsi="Arial" w:cs="Arial"/>
          <w:sz w:val="24"/>
          <w:szCs w:val="24"/>
        </w:rPr>
        <w:t>e exceeding 15 percent by vol.</w:t>
      </w:r>
      <w:r w:rsidR="00393882" w:rsidRPr="001B05BA">
        <w:rPr>
          <w:rFonts w:ascii="Arial" w:hAnsi="Arial" w:cs="Arial"/>
          <w:sz w:val="24"/>
          <w:szCs w:val="24"/>
        </w:rPr>
        <w:t xml:space="preserve"> but no</w:t>
      </w:r>
      <w:r w:rsidR="00F65A96" w:rsidRPr="001B05BA">
        <w:rPr>
          <w:rFonts w:ascii="Arial" w:hAnsi="Arial" w:cs="Arial"/>
          <w:sz w:val="24"/>
          <w:szCs w:val="24"/>
        </w:rPr>
        <w:t>t exceeding 23 percent by vol</w:t>
      </w:r>
      <w:r w:rsidR="00393882" w:rsidRPr="001B05BA">
        <w:rPr>
          <w:rFonts w:ascii="Arial" w:hAnsi="Arial" w:cs="Arial"/>
          <w:sz w:val="24"/>
          <w:szCs w:val="24"/>
        </w:rPr>
        <w:t>’</w:t>
      </w:r>
      <w:r w:rsidR="00E347D6" w:rsidRPr="001B05BA">
        <w:rPr>
          <w:rFonts w:ascii="Arial" w:hAnsi="Arial" w:cs="Arial"/>
          <w:sz w:val="24"/>
          <w:szCs w:val="24"/>
        </w:rPr>
        <w:t>;</w:t>
      </w:r>
    </w:p>
    <w:p w14:paraId="138F2715" w14:textId="77777777" w:rsidR="003B5A8F" w:rsidRPr="001B05BA" w:rsidRDefault="003B5A8F" w:rsidP="003B5A8F">
      <w:pPr>
        <w:pStyle w:val="ListParagraph"/>
        <w:tabs>
          <w:tab w:val="left" w:pos="4917"/>
        </w:tabs>
        <w:spacing w:before="120" w:after="120" w:line="360" w:lineRule="auto"/>
        <w:ind w:left="1440"/>
        <w:jc w:val="both"/>
        <w:rPr>
          <w:rFonts w:ascii="Arial" w:hAnsi="Arial" w:cs="Arial"/>
          <w:sz w:val="24"/>
          <w:szCs w:val="24"/>
        </w:rPr>
      </w:pPr>
    </w:p>
    <w:p w14:paraId="75E95E9D" w14:textId="2682DAA5" w:rsidR="004D2EE0" w:rsidRPr="001B05BA" w:rsidRDefault="003B5A8F" w:rsidP="00371158">
      <w:pPr>
        <w:pStyle w:val="ListParagraph"/>
        <w:numPr>
          <w:ilvl w:val="1"/>
          <w:numId w:val="2"/>
        </w:numPr>
        <w:tabs>
          <w:tab w:val="left" w:pos="4917"/>
        </w:tabs>
        <w:spacing w:before="120" w:after="120" w:line="360" w:lineRule="auto"/>
        <w:jc w:val="both"/>
        <w:rPr>
          <w:rFonts w:ascii="Arial" w:hAnsi="Arial" w:cs="Arial"/>
          <w:sz w:val="24"/>
          <w:szCs w:val="24"/>
        </w:rPr>
      </w:pPr>
      <w:r w:rsidRPr="001B05BA">
        <w:rPr>
          <w:rFonts w:ascii="Arial" w:hAnsi="Arial" w:cs="Arial"/>
          <w:sz w:val="24"/>
          <w:szCs w:val="24"/>
        </w:rPr>
        <w:t>Diageo</w:t>
      </w:r>
      <w:r w:rsidR="004D2EE0" w:rsidRPr="001B05BA">
        <w:rPr>
          <w:rFonts w:ascii="Arial" w:hAnsi="Arial" w:cs="Arial"/>
          <w:sz w:val="24"/>
          <w:szCs w:val="24"/>
        </w:rPr>
        <w:t xml:space="preserve"> appealed the</w:t>
      </w:r>
      <w:r w:rsidR="008121D4" w:rsidRPr="001B05BA">
        <w:rPr>
          <w:rFonts w:ascii="Arial" w:hAnsi="Arial" w:cs="Arial"/>
          <w:sz w:val="24"/>
          <w:szCs w:val="24"/>
        </w:rPr>
        <w:t xml:space="preserve"> Commissioner’s</w:t>
      </w:r>
      <w:r w:rsidR="004D2EE0" w:rsidRPr="001B05BA">
        <w:rPr>
          <w:rFonts w:ascii="Arial" w:hAnsi="Arial" w:cs="Arial"/>
          <w:sz w:val="24"/>
          <w:szCs w:val="24"/>
        </w:rPr>
        <w:t xml:space="preserve"> determination in terms of the provisions of s 47(9)(e) of the Act. The court </w:t>
      </w:r>
      <w:r w:rsidR="004D2EE0" w:rsidRPr="001B05BA">
        <w:rPr>
          <w:rFonts w:ascii="Arial" w:hAnsi="Arial" w:cs="Arial"/>
          <w:i/>
          <w:sz w:val="24"/>
          <w:szCs w:val="24"/>
        </w:rPr>
        <w:t>a quo</w:t>
      </w:r>
      <w:r w:rsidR="004A2DFD" w:rsidRPr="001B05BA">
        <w:rPr>
          <w:rFonts w:ascii="Arial" w:hAnsi="Arial" w:cs="Arial"/>
          <w:i/>
          <w:sz w:val="24"/>
          <w:szCs w:val="24"/>
        </w:rPr>
        <w:t xml:space="preserve"> </w:t>
      </w:r>
      <w:r w:rsidRPr="001B05BA">
        <w:rPr>
          <w:rFonts w:ascii="Arial" w:hAnsi="Arial" w:cs="Arial"/>
          <w:sz w:val="24"/>
          <w:szCs w:val="24"/>
        </w:rPr>
        <w:t>determined the CVCO</w:t>
      </w:r>
      <w:r w:rsidR="004A2DFD" w:rsidRPr="001B05BA">
        <w:rPr>
          <w:rFonts w:ascii="Arial" w:hAnsi="Arial" w:cs="Arial"/>
          <w:sz w:val="24"/>
          <w:szCs w:val="24"/>
        </w:rPr>
        <w:t xml:space="preserve"> to be classifiable in </w:t>
      </w:r>
      <w:r w:rsidR="00030A3B" w:rsidRPr="001B05BA">
        <w:rPr>
          <w:rFonts w:ascii="Arial" w:hAnsi="Arial" w:cs="Arial"/>
          <w:sz w:val="24"/>
          <w:szCs w:val="24"/>
        </w:rPr>
        <w:t>T</w:t>
      </w:r>
      <w:r w:rsidR="004A2DFD" w:rsidRPr="001B05BA">
        <w:rPr>
          <w:rFonts w:ascii="Arial" w:hAnsi="Arial" w:cs="Arial"/>
          <w:sz w:val="24"/>
          <w:szCs w:val="24"/>
        </w:rPr>
        <w:t xml:space="preserve">ariff </w:t>
      </w:r>
      <w:r w:rsidR="00030A3B" w:rsidRPr="001B05BA">
        <w:rPr>
          <w:rFonts w:ascii="Arial" w:hAnsi="Arial" w:cs="Arial"/>
          <w:sz w:val="24"/>
          <w:szCs w:val="24"/>
        </w:rPr>
        <w:t>H</w:t>
      </w:r>
      <w:r w:rsidR="004A2DFD" w:rsidRPr="001B05BA">
        <w:rPr>
          <w:rFonts w:ascii="Arial" w:hAnsi="Arial" w:cs="Arial"/>
          <w:sz w:val="24"/>
          <w:szCs w:val="24"/>
        </w:rPr>
        <w:t xml:space="preserve">eading </w:t>
      </w:r>
      <w:r w:rsidR="00030A3B" w:rsidRPr="001B05BA">
        <w:rPr>
          <w:rFonts w:ascii="Arial" w:hAnsi="Arial" w:cs="Arial"/>
          <w:sz w:val="24"/>
          <w:szCs w:val="24"/>
        </w:rPr>
        <w:t>2208.70.22 and</w:t>
      </w:r>
      <w:r w:rsidR="004A2DFD" w:rsidRPr="001B05BA">
        <w:rPr>
          <w:rFonts w:ascii="Arial" w:hAnsi="Arial" w:cs="Arial"/>
          <w:sz w:val="24"/>
          <w:szCs w:val="24"/>
        </w:rPr>
        <w:t xml:space="preserve"> dismissed the </w:t>
      </w:r>
      <w:r w:rsidR="00030A3B" w:rsidRPr="001B05BA">
        <w:rPr>
          <w:rFonts w:ascii="Arial" w:hAnsi="Arial" w:cs="Arial"/>
          <w:sz w:val="24"/>
          <w:szCs w:val="24"/>
        </w:rPr>
        <w:t>appeal.</w:t>
      </w:r>
    </w:p>
    <w:p w14:paraId="65C286E4" w14:textId="77777777" w:rsidR="004A2DFD" w:rsidRPr="001B05BA" w:rsidRDefault="004A2DFD" w:rsidP="004A2DFD">
      <w:pPr>
        <w:pStyle w:val="ListParagraph"/>
        <w:tabs>
          <w:tab w:val="left" w:pos="4917"/>
        </w:tabs>
        <w:spacing w:before="120" w:after="120" w:line="360" w:lineRule="auto"/>
        <w:ind w:left="1440"/>
        <w:jc w:val="both"/>
        <w:rPr>
          <w:rFonts w:ascii="Arial" w:hAnsi="Arial" w:cs="Arial"/>
          <w:sz w:val="24"/>
          <w:szCs w:val="24"/>
        </w:rPr>
      </w:pPr>
    </w:p>
    <w:p w14:paraId="1F2445DC" w14:textId="0F9C3243" w:rsidR="004A2DFD" w:rsidRPr="001B05BA" w:rsidRDefault="004A2DFD" w:rsidP="00371158">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1B05BA">
        <w:rPr>
          <w:rFonts w:ascii="Arial" w:hAnsi="Arial" w:cs="Arial"/>
          <w:sz w:val="24"/>
          <w:szCs w:val="24"/>
        </w:rPr>
        <w:t xml:space="preserve">The court </w:t>
      </w:r>
      <w:r w:rsidRPr="001B05BA">
        <w:rPr>
          <w:rFonts w:ascii="Arial" w:hAnsi="Arial" w:cs="Arial"/>
          <w:i/>
          <w:sz w:val="24"/>
          <w:szCs w:val="24"/>
        </w:rPr>
        <w:t>a quo</w:t>
      </w:r>
      <w:r w:rsidR="003B5A8F" w:rsidRPr="001B05BA">
        <w:rPr>
          <w:rFonts w:ascii="Arial" w:hAnsi="Arial" w:cs="Arial"/>
          <w:sz w:val="24"/>
          <w:szCs w:val="24"/>
        </w:rPr>
        <w:t>’s ruling i</w:t>
      </w:r>
      <w:r w:rsidRPr="001B05BA">
        <w:rPr>
          <w:rFonts w:ascii="Arial" w:hAnsi="Arial" w:cs="Arial"/>
          <w:sz w:val="24"/>
          <w:szCs w:val="24"/>
        </w:rPr>
        <w:t xml:space="preserve">s primarily based on its finding that the vanilla flavouring added to the wine spirits constitutes an alcoholic ingredient. In coming to this finding, the court, </w:t>
      </w:r>
      <w:r w:rsidRPr="001B05BA">
        <w:rPr>
          <w:rFonts w:ascii="Arial" w:hAnsi="Arial" w:cs="Arial"/>
          <w:i/>
          <w:sz w:val="24"/>
          <w:szCs w:val="24"/>
        </w:rPr>
        <w:t>a quo</w:t>
      </w:r>
      <w:r w:rsidR="00305BE9" w:rsidRPr="001B05BA">
        <w:rPr>
          <w:rFonts w:ascii="Arial" w:hAnsi="Arial" w:cs="Arial"/>
          <w:sz w:val="24"/>
          <w:szCs w:val="24"/>
        </w:rPr>
        <w:t xml:space="preserve"> </w:t>
      </w:r>
      <w:r w:rsidRPr="001B05BA">
        <w:rPr>
          <w:rFonts w:ascii="Arial" w:hAnsi="Arial" w:cs="Arial"/>
          <w:sz w:val="24"/>
          <w:szCs w:val="24"/>
        </w:rPr>
        <w:t>interpret</w:t>
      </w:r>
      <w:r w:rsidR="00305BE9" w:rsidRPr="001B05BA">
        <w:rPr>
          <w:rFonts w:ascii="Arial" w:hAnsi="Arial" w:cs="Arial"/>
          <w:sz w:val="24"/>
          <w:szCs w:val="24"/>
        </w:rPr>
        <w:t>ed</w:t>
      </w:r>
      <w:r w:rsidRPr="001B05BA">
        <w:rPr>
          <w:rFonts w:ascii="Arial" w:hAnsi="Arial" w:cs="Arial"/>
          <w:sz w:val="24"/>
          <w:szCs w:val="24"/>
        </w:rPr>
        <w:t xml:space="preserve"> the phrase ‘non-alcoholic ingredient’ as it </w:t>
      </w:r>
      <w:r w:rsidR="005F5FDC" w:rsidRPr="001B05BA">
        <w:rPr>
          <w:rFonts w:ascii="Arial" w:hAnsi="Arial" w:cs="Arial"/>
          <w:sz w:val="24"/>
          <w:szCs w:val="24"/>
        </w:rPr>
        <w:t>appears</w:t>
      </w:r>
      <w:r w:rsidRPr="001B05BA">
        <w:rPr>
          <w:rFonts w:ascii="Arial" w:hAnsi="Arial" w:cs="Arial"/>
          <w:sz w:val="24"/>
          <w:szCs w:val="24"/>
        </w:rPr>
        <w:t xml:space="preserve"> in Note 4(b) published in notice R 387 in Government Gazette No 36515 dated 2013</w:t>
      </w:r>
      <w:r w:rsidR="00305BE9" w:rsidRPr="001B05BA">
        <w:rPr>
          <w:rFonts w:ascii="Arial" w:hAnsi="Arial" w:cs="Arial"/>
          <w:sz w:val="24"/>
          <w:szCs w:val="24"/>
        </w:rPr>
        <w:t xml:space="preserve"> (Additional Note 4(b))</w:t>
      </w:r>
      <w:r w:rsidRPr="001B05BA">
        <w:rPr>
          <w:rFonts w:ascii="Arial" w:hAnsi="Arial" w:cs="Arial"/>
          <w:sz w:val="24"/>
          <w:szCs w:val="24"/>
        </w:rPr>
        <w:t>.</w:t>
      </w:r>
    </w:p>
    <w:p w14:paraId="01562076" w14:textId="77777777" w:rsidR="00AC1BB2" w:rsidRPr="001B05BA" w:rsidRDefault="00AC1BB2" w:rsidP="00AC1BB2">
      <w:pPr>
        <w:pStyle w:val="ListParagraph"/>
        <w:tabs>
          <w:tab w:val="left" w:pos="4917"/>
        </w:tabs>
        <w:spacing w:before="120" w:after="120" w:line="360" w:lineRule="auto"/>
        <w:jc w:val="both"/>
        <w:rPr>
          <w:rFonts w:ascii="Arial" w:hAnsi="Arial" w:cs="Arial"/>
          <w:sz w:val="24"/>
          <w:szCs w:val="24"/>
        </w:rPr>
      </w:pPr>
    </w:p>
    <w:p w14:paraId="592ED84A" w14:textId="65EEBA55" w:rsidR="00AC1BB2" w:rsidRPr="001B05BA" w:rsidRDefault="00AC1BB2" w:rsidP="00AC1BB2">
      <w:pPr>
        <w:tabs>
          <w:tab w:val="left" w:pos="4917"/>
        </w:tabs>
        <w:spacing w:before="120" w:after="120" w:line="360" w:lineRule="auto"/>
        <w:jc w:val="both"/>
        <w:rPr>
          <w:rFonts w:ascii="Arial" w:hAnsi="Arial" w:cs="Arial"/>
          <w:b/>
          <w:sz w:val="24"/>
          <w:szCs w:val="24"/>
        </w:rPr>
      </w:pPr>
      <w:r w:rsidRPr="001B05BA">
        <w:rPr>
          <w:rFonts w:ascii="Arial" w:hAnsi="Arial" w:cs="Arial"/>
          <w:b/>
          <w:sz w:val="24"/>
          <w:szCs w:val="24"/>
        </w:rPr>
        <w:t>Grounds of appeal</w:t>
      </w:r>
    </w:p>
    <w:p w14:paraId="3B1CBBB9" w14:textId="77777777" w:rsidR="004A2DFD" w:rsidRPr="001B05BA" w:rsidRDefault="004A2DFD" w:rsidP="004A2DFD">
      <w:pPr>
        <w:pStyle w:val="ListParagraph"/>
        <w:tabs>
          <w:tab w:val="left" w:pos="4917"/>
        </w:tabs>
        <w:spacing w:before="120" w:after="120" w:line="360" w:lineRule="auto"/>
        <w:jc w:val="both"/>
        <w:rPr>
          <w:rFonts w:ascii="Arial" w:hAnsi="Arial" w:cs="Arial"/>
          <w:sz w:val="24"/>
          <w:szCs w:val="24"/>
        </w:rPr>
      </w:pPr>
    </w:p>
    <w:p w14:paraId="01F0CB26" w14:textId="77777777" w:rsidR="00221CDE" w:rsidRPr="001B05BA" w:rsidRDefault="00080965" w:rsidP="00371158">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1B05BA">
        <w:rPr>
          <w:rFonts w:ascii="Arial" w:hAnsi="Arial" w:cs="Arial"/>
          <w:sz w:val="24"/>
          <w:szCs w:val="24"/>
        </w:rPr>
        <w:t>Diageo raised several grounds of appeal. Diageo</w:t>
      </w:r>
      <w:r w:rsidR="008B5B54" w:rsidRPr="001B05BA">
        <w:rPr>
          <w:rFonts w:ascii="Arial" w:hAnsi="Arial" w:cs="Arial"/>
          <w:sz w:val="24"/>
          <w:szCs w:val="24"/>
        </w:rPr>
        <w:t xml:space="preserve"> contends that the court </w:t>
      </w:r>
      <w:r w:rsidR="008B5B54" w:rsidRPr="001B05BA">
        <w:rPr>
          <w:rFonts w:ascii="Arial" w:hAnsi="Arial" w:cs="Arial"/>
          <w:i/>
          <w:sz w:val="24"/>
          <w:szCs w:val="24"/>
        </w:rPr>
        <w:t>a quo</w:t>
      </w:r>
      <w:r w:rsidR="008B5B54" w:rsidRPr="001B05BA">
        <w:rPr>
          <w:rFonts w:ascii="Arial" w:hAnsi="Arial" w:cs="Arial"/>
          <w:sz w:val="24"/>
          <w:szCs w:val="24"/>
        </w:rPr>
        <w:t xml:space="preserve"> erred in finding that the proceedings turn on whether the vanill</w:t>
      </w:r>
      <w:r w:rsidR="003B5A8F" w:rsidRPr="001B05BA">
        <w:rPr>
          <w:rFonts w:ascii="Arial" w:hAnsi="Arial" w:cs="Arial"/>
          <w:sz w:val="24"/>
          <w:szCs w:val="24"/>
        </w:rPr>
        <w:t>a flavouring used in CVCO</w:t>
      </w:r>
      <w:r w:rsidR="008B5B54" w:rsidRPr="001B05BA">
        <w:rPr>
          <w:rFonts w:ascii="Arial" w:hAnsi="Arial" w:cs="Arial"/>
          <w:sz w:val="24"/>
          <w:szCs w:val="24"/>
        </w:rPr>
        <w:t xml:space="preserve"> constitutes a ‘non-alcoholic ingredient’ as contemplated in Additional Note 4(b) to </w:t>
      </w:r>
      <w:r w:rsidR="00393882" w:rsidRPr="001B05BA">
        <w:rPr>
          <w:rFonts w:ascii="Arial" w:hAnsi="Arial" w:cs="Arial"/>
          <w:sz w:val="24"/>
          <w:szCs w:val="24"/>
        </w:rPr>
        <w:t xml:space="preserve">Chapter 22 in </w:t>
      </w:r>
      <w:r w:rsidR="008B5B54" w:rsidRPr="001B05BA">
        <w:rPr>
          <w:rFonts w:ascii="Arial" w:hAnsi="Arial" w:cs="Arial"/>
          <w:sz w:val="24"/>
          <w:szCs w:val="24"/>
        </w:rPr>
        <w:t xml:space="preserve">Part 1 of Schedule No 1 of the Act. </w:t>
      </w:r>
      <w:r w:rsidRPr="001B05BA">
        <w:rPr>
          <w:rFonts w:ascii="Arial" w:hAnsi="Arial" w:cs="Arial"/>
          <w:sz w:val="24"/>
          <w:szCs w:val="24"/>
        </w:rPr>
        <w:t xml:space="preserve">The court </w:t>
      </w:r>
      <w:r w:rsidRPr="001B05BA">
        <w:rPr>
          <w:rFonts w:ascii="Arial" w:hAnsi="Arial" w:cs="Arial"/>
          <w:i/>
          <w:sz w:val="24"/>
          <w:szCs w:val="24"/>
        </w:rPr>
        <w:t>a quo</w:t>
      </w:r>
      <w:r w:rsidRPr="001B05BA">
        <w:rPr>
          <w:rFonts w:ascii="Arial" w:hAnsi="Arial" w:cs="Arial"/>
          <w:sz w:val="24"/>
          <w:szCs w:val="24"/>
        </w:rPr>
        <w:t>, should, according to Diageo, have found that the proceedings turn on the correct interpretation of Additional Note 4</w:t>
      </w:r>
      <w:r w:rsidR="00393882" w:rsidRPr="001B05BA">
        <w:rPr>
          <w:rFonts w:ascii="Arial" w:hAnsi="Arial" w:cs="Arial"/>
          <w:sz w:val="24"/>
          <w:szCs w:val="24"/>
        </w:rPr>
        <w:t>(b)</w:t>
      </w:r>
      <w:r w:rsidRPr="001B05BA">
        <w:rPr>
          <w:rFonts w:ascii="Arial" w:hAnsi="Arial" w:cs="Arial"/>
          <w:sz w:val="24"/>
          <w:szCs w:val="24"/>
        </w:rPr>
        <w:t xml:space="preserve"> and wh</w:t>
      </w:r>
      <w:r w:rsidR="003B5A8F" w:rsidRPr="001B05BA">
        <w:rPr>
          <w:rFonts w:ascii="Arial" w:hAnsi="Arial" w:cs="Arial"/>
          <w:sz w:val="24"/>
          <w:szCs w:val="24"/>
        </w:rPr>
        <w:t>ether CVCO</w:t>
      </w:r>
      <w:r w:rsidRPr="001B05BA">
        <w:rPr>
          <w:rFonts w:ascii="Arial" w:hAnsi="Arial" w:cs="Arial"/>
          <w:sz w:val="24"/>
          <w:szCs w:val="24"/>
        </w:rPr>
        <w:t xml:space="preserve"> falls within its ambit. This, contends Diageo, requires a purposive interpretation.</w:t>
      </w:r>
      <w:r w:rsidR="006775D6" w:rsidRPr="001B05BA">
        <w:rPr>
          <w:rFonts w:ascii="Arial" w:hAnsi="Arial" w:cs="Arial"/>
          <w:sz w:val="24"/>
          <w:szCs w:val="24"/>
        </w:rPr>
        <w:t xml:space="preserve"> </w:t>
      </w:r>
    </w:p>
    <w:p w14:paraId="6C76528B" w14:textId="77777777" w:rsidR="00221CDE" w:rsidRPr="001B05BA" w:rsidRDefault="00221CDE" w:rsidP="00221CDE">
      <w:pPr>
        <w:pStyle w:val="ListParagraph"/>
        <w:tabs>
          <w:tab w:val="left" w:pos="4917"/>
        </w:tabs>
        <w:spacing w:before="120" w:after="120" w:line="360" w:lineRule="auto"/>
        <w:jc w:val="both"/>
        <w:rPr>
          <w:rFonts w:ascii="Arial" w:hAnsi="Arial" w:cs="Arial"/>
          <w:sz w:val="24"/>
          <w:szCs w:val="24"/>
        </w:rPr>
      </w:pPr>
    </w:p>
    <w:p w14:paraId="4AC068D8" w14:textId="356F17CC" w:rsidR="008B5B54" w:rsidRPr="001B05BA" w:rsidRDefault="006775D6" w:rsidP="00371158">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1B05BA">
        <w:rPr>
          <w:rFonts w:ascii="Arial" w:hAnsi="Arial" w:cs="Arial"/>
          <w:sz w:val="24"/>
          <w:szCs w:val="24"/>
        </w:rPr>
        <w:t xml:space="preserve">Other issues to be determined </w:t>
      </w:r>
      <w:r w:rsidR="00AC1BB2" w:rsidRPr="001B05BA">
        <w:rPr>
          <w:rFonts w:ascii="Arial" w:hAnsi="Arial" w:cs="Arial"/>
          <w:sz w:val="24"/>
          <w:szCs w:val="24"/>
        </w:rPr>
        <w:t>are</w:t>
      </w:r>
      <w:r w:rsidRPr="001B05BA">
        <w:rPr>
          <w:rFonts w:ascii="Arial" w:hAnsi="Arial" w:cs="Arial"/>
          <w:sz w:val="24"/>
          <w:szCs w:val="24"/>
        </w:rPr>
        <w:t xml:space="preserve"> the applicability of the principles set out in </w:t>
      </w:r>
      <w:r w:rsidRPr="001B05BA">
        <w:rPr>
          <w:rFonts w:ascii="Arial" w:hAnsi="Arial" w:cs="Arial"/>
          <w:i/>
          <w:sz w:val="24"/>
          <w:szCs w:val="24"/>
        </w:rPr>
        <w:t xml:space="preserve">The Commissioner for the South African Revenue Services v South African Breweries (Pty) Ltd </w:t>
      </w:r>
      <w:r w:rsidRPr="001B05BA">
        <w:rPr>
          <w:rFonts w:ascii="Arial" w:hAnsi="Arial" w:cs="Arial"/>
          <w:sz w:val="24"/>
          <w:szCs w:val="24"/>
        </w:rPr>
        <w:t>[2018] ZASCA 101 (27 June 2018) to this application; the impact of Chapter Note 3 on the interpretation of Additional Note 4</w:t>
      </w:r>
      <w:r w:rsidR="00BE18C9" w:rsidRPr="001B05BA">
        <w:rPr>
          <w:rFonts w:ascii="Arial" w:hAnsi="Arial" w:cs="Arial"/>
          <w:sz w:val="24"/>
          <w:szCs w:val="24"/>
        </w:rPr>
        <w:t>(b)</w:t>
      </w:r>
      <w:r w:rsidRPr="001B05BA">
        <w:rPr>
          <w:rFonts w:ascii="Arial" w:hAnsi="Arial" w:cs="Arial"/>
          <w:sz w:val="24"/>
          <w:szCs w:val="24"/>
        </w:rPr>
        <w:t xml:space="preserve">, </w:t>
      </w:r>
      <w:r w:rsidR="00AC1BB2" w:rsidRPr="001B05BA">
        <w:rPr>
          <w:rFonts w:ascii="Arial" w:hAnsi="Arial" w:cs="Arial"/>
          <w:sz w:val="24"/>
          <w:szCs w:val="24"/>
        </w:rPr>
        <w:t xml:space="preserve">and, </w:t>
      </w:r>
      <w:r w:rsidRPr="001B05BA">
        <w:rPr>
          <w:rFonts w:ascii="Arial" w:hAnsi="Arial" w:cs="Arial"/>
          <w:sz w:val="24"/>
          <w:szCs w:val="24"/>
        </w:rPr>
        <w:t>the question as to whether the vanilla as a component to the flavouring as a whole shoul</w:t>
      </w:r>
      <w:r w:rsidR="00AC1BB2" w:rsidRPr="001B05BA">
        <w:rPr>
          <w:rFonts w:ascii="Arial" w:hAnsi="Arial" w:cs="Arial"/>
          <w:sz w:val="24"/>
          <w:szCs w:val="24"/>
        </w:rPr>
        <w:t xml:space="preserve">d be regarded as an ingredient in itself. In the final instance, a number of the grounds of appeal concern the applicability of the maxim </w:t>
      </w:r>
      <w:r w:rsidR="00AC1BB2" w:rsidRPr="001B05BA">
        <w:rPr>
          <w:rFonts w:ascii="Arial" w:hAnsi="Arial" w:cs="Arial"/>
          <w:i/>
          <w:sz w:val="24"/>
          <w:szCs w:val="24"/>
        </w:rPr>
        <w:t>de minimis non curat lex</w:t>
      </w:r>
      <w:r w:rsidR="00AC1BB2" w:rsidRPr="001B05BA">
        <w:rPr>
          <w:rFonts w:ascii="Arial" w:hAnsi="Arial" w:cs="Arial"/>
          <w:sz w:val="24"/>
          <w:szCs w:val="24"/>
        </w:rPr>
        <w:t xml:space="preserve"> in excis</w:t>
      </w:r>
      <w:r w:rsidR="00F65A96" w:rsidRPr="001B05BA">
        <w:rPr>
          <w:rFonts w:ascii="Arial" w:hAnsi="Arial" w:cs="Arial"/>
          <w:sz w:val="24"/>
          <w:szCs w:val="24"/>
        </w:rPr>
        <w:t>e tariff classification appeals since Diageo contends</w:t>
      </w:r>
      <w:r w:rsidR="00BE18C9" w:rsidRPr="001B05BA">
        <w:rPr>
          <w:rFonts w:ascii="Arial" w:hAnsi="Arial" w:cs="Arial"/>
          <w:sz w:val="24"/>
          <w:szCs w:val="24"/>
        </w:rPr>
        <w:t>,</w:t>
      </w:r>
      <w:r w:rsidR="00F65A96" w:rsidRPr="001B05BA">
        <w:rPr>
          <w:rFonts w:ascii="Arial" w:hAnsi="Arial" w:cs="Arial"/>
          <w:sz w:val="24"/>
          <w:szCs w:val="24"/>
        </w:rPr>
        <w:t xml:space="preserve"> with reference to foreign case law, that the </w:t>
      </w:r>
      <w:r w:rsidR="002E2366" w:rsidRPr="001B05BA">
        <w:rPr>
          <w:rFonts w:ascii="Arial" w:hAnsi="Arial" w:cs="Arial"/>
          <w:sz w:val="24"/>
          <w:szCs w:val="24"/>
        </w:rPr>
        <w:t xml:space="preserve">quantity or percentage of </w:t>
      </w:r>
      <w:r w:rsidR="00F65A96" w:rsidRPr="001B05BA">
        <w:rPr>
          <w:rFonts w:ascii="Arial" w:hAnsi="Arial" w:cs="Arial"/>
          <w:sz w:val="24"/>
          <w:szCs w:val="24"/>
        </w:rPr>
        <w:t xml:space="preserve">alcohol derived exclusively from the vanilla in the </w:t>
      </w:r>
      <w:r w:rsidR="002E2366" w:rsidRPr="001B05BA">
        <w:rPr>
          <w:rFonts w:ascii="Arial" w:hAnsi="Arial" w:cs="Arial"/>
          <w:sz w:val="24"/>
          <w:szCs w:val="24"/>
        </w:rPr>
        <w:t>flavouring</w:t>
      </w:r>
      <w:r w:rsidR="00F65A96" w:rsidRPr="001B05BA">
        <w:rPr>
          <w:rFonts w:ascii="Arial" w:hAnsi="Arial" w:cs="Arial"/>
          <w:sz w:val="24"/>
          <w:szCs w:val="24"/>
        </w:rPr>
        <w:t xml:space="preserve"> is so minutely small that the principle </w:t>
      </w:r>
      <w:r w:rsidR="00F65A96" w:rsidRPr="001B05BA">
        <w:rPr>
          <w:rFonts w:ascii="Arial" w:hAnsi="Arial" w:cs="Arial"/>
          <w:i/>
          <w:sz w:val="24"/>
          <w:szCs w:val="24"/>
        </w:rPr>
        <w:t>de minimis non curat lex</w:t>
      </w:r>
      <w:r w:rsidR="00F65A96" w:rsidRPr="001B05BA">
        <w:rPr>
          <w:rFonts w:ascii="Arial" w:hAnsi="Arial" w:cs="Arial"/>
          <w:sz w:val="24"/>
          <w:szCs w:val="24"/>
        </w:rPr>
        <w:t xml:space="preserve"> applies.</w:t>
      </w:r>
    </w:p>
    <w:p w14:paraId="0A46BF27" w14:textId="77777777" w:rsidR="00305BE9" w:rsidRPr="001B05BA" w:rsidRDefault="00305BE9" w:rsidP="00305BE9">
      <w:pPr>
        <w:pStyle w:val="ListParagraph"/>
        <w:rPr>
          <w:rFonts w:ascii="Arial" w:hAnsi="Arial" w:cs="Arial"/>
          <w:sz w:val="24"/>
          <w:szCs w:val="24"/>
        </w:rPr>
      </w:pPr>
    </w:p>
    <w:p w14:paraId="3C5C60CF" w14:textId="77777777" w:rsidR="00BA1728" w:rsidRPr="001B05BA" w:rsidRDefault="00BA1728" w:rsidP="00BA1728">
      <w:pPr>
        <w:pStyle w:val="ListParagraph"/>
        <w:rPr>
          <w:rFonts w:ascii="Arial" w:hAnsi="Arial" w:cs="Arial"/>
          <w:sz w:val="24"/>
          <w:szCs w:val="24"/>
        </w:rPr>
      </w:pPr>
    </w:p>
    <w:p w14:paraId="60F26319" w14:textId="01DED213" w:rsidR="00393882" w:rsidRPr="001B05BA" w:rsidRDefault="00F65A96" w:rsidP="00393882">
      <w:pPr>
        <w:tabs>
          <w:tab w:val="left" w:pos="4917"/>
        </w:tabs>
        <w:spacing w:before="120" w:after="120" w:line="360" w:lineRule="auto"/>
        <w:jc w:val="both"/>
        <w:rPr>
          <w:rFonts w:ascii="Arial" w:hAnsi="Arial" w:cs="Arial"/>
          <w:b/>
          <w:sz w:val="24"/>
          <w:szCs w:val="24"/>
        </w:rPr>
      </w:pPr>
      <w:r w:rsidRPr="001B05BA">
        <w:rPr>
          <w:rFonts w:ascii="Arial" w:hAnsi="Arial" w:cs="Arial"/>
          <w:b/>
          <w:sz w:val="24"/>
          <w:szCs w:val="24"/>
        </w:rPr>
        <w:t xml:space="preserve">The court </w:t>
      </w:r>
      <w:r w:rsidRPr="001B05BA">
        <w:rPr>
          <w:rFonts w:ascii="Arial" w:hAnsi="Arial" w:cs="Arial"/>
          <w:b/>
          <w:i/>
          <w:sz w:val="24"/>
          <w:szCs w:val="24"/>
        </w:rPr>
        <w:t>a quo</w:t>
      </w:r>
      <w:r w:rsidRPr="001B05BA">
        <w:rPr>
          <w:rFonts w:ascii="Arial" w:hAnsi="Arial" w:cs="Arial"/>
          <w:b/>
          <w:sz w:val="24"/>
          <w:szCs w:val="24"/>
        </w:rPr>
        <w:t>’s findings</w:t>
      </w:r>
    </w:p>
    <w:p w14:paraId="03C45C29" w14:textId="77777777" w:rsidR="00BA1728" w:rsidRPr="001B05BA" w:rsidRDefault="00BA1728" w:rsidP="00BA1728">
      <w:pPr>
        <w:pStyle w:val="ListParagraph"/>
        <w:rPr>
          <w:rFonts w:ascii="Arial" w:hAnsi="Arial" w:cs="Arial"/>
          <w:sz w:val="24"/>
          <w:szCs w:val="24"/>
        </w:rPr>
      </w:pPr>
    </w:p>
    <w:p w14:paraId="4DB497B0" w14:textId="39A9BC53" w:rsidR="00BA1728" w:rsidRPr="001B05BA" w:rsidRDefault="00814FA0" w:rsidP="00371158">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1B05BA">
        <w:rPr>
          <w:rFonts w:ascii="Arial" w:hAnsi="Arial" w:cs="Arial"/>
          <w:sz w:val="24"/>
          <w:szCs w:val="24"/>
        </w:rPr>
        <w:t xml:space="preserve">For purposes of this appeal, it is sufficient to state that in determining the issue, the court </w:t>
      </w:r>
      <w:r w:rsidRPr="001B05BA">
        <w:rPr>
          <w:rFonts w:ascii="Arial" w:hAnsi="Arial" w:cs="Arial"/>
          <w:i/>
          <w:iCs/>
          <w:sz w:val="24"/>
          <w:szCs w:val="24"/>
        </w:rPr>
        <w:t>a quo</w:t>
      </w:r>
      <w:r w:rsidR="00967160" w:rsidRPr="001B05BA">
        <w:rPr>
          <w:rFonts w:ascii="Arial" w:hAnsi="Arial" w:cs="Arial"/>
          <w:sz w:val="24"/>
          <w:szCs w:val="24"/>
        </w:rPr>
        <w:t>’s point of departure was that there is no ambiguity in Additional Note 4</w:t>
      </w:r>
      <w:r w:rsidR="005F4957" w:rsidRPr="001B05BA">
        <w:rPr>
          <w:rFonts w:ascii="Arial" w:hAnsi="Arial" w:cs="Arial"/>
          <w:sz w:val="24"/>
          <w:szCs w:val="24"/>
        </w:rPr>
        <w:t>(b)</w:t>
      </w:r>
      <w:r w:rsidR="004E5CAC" w:rsidRPr="001B05BA">
        <w:rPr>
          <w:rFonts w:ascii="Arial" w:hAnsi="Arial" w:cs="Arial"/>
          <w:sz w:val="24"/>
          <w:szCs w:val="24"/>
        </w:rPr>
        <w:t xml:space="preserve"> and that the interpretation of the Note ‘need go no further than its clear and unambiguous wording.’</w:t>
      </w:r>
      <w:r w:rsidR="00CD1B1C" w:rsidRPr="001B05BA">
        <w:rPr>
          <w:rFonts w:ascii="Arial" w:hAnsi="Arial" w:cs="Arial"/>
          <w:sz w:val="24"/>
          <w:szCs w:val="24"/>
        </w:rPr>
        <w:t xml:space="preserve"> </w:t>
      </w:r>
      <w:r w:rsidR="0086471B" w:rsidRPr="001B05BA">
        <w:rPr>
          <w:rFonts w:ascii="Arial" w:hAnsi="Arial" w:cs="Arial"/>
          <w:sz w:val="24"/>
          <w:szCs w:val="24"/>
        </w:rPr>
        <w:t xml:space="preserve">As a result, the court </w:t>
      </w:r>
      <w:r w:rsidR="009C063F" w:rsidRPr="001B05BA">
        <w:rPr>
          <w:rFonts w:ascii="Arial" w:hAnsi="Arial" w:cs="Arial"/>
          <w:i/>
          <w:iCs/>
          <w:sz w:val="24"/>
          <w:szCs w:val="24"/>
        </w:rPr>
        <w:t>a quo</w:t>
      </w:r>
      <w:r w:rsidR="009C063F" w:rsidRPr="001B05BA">
        <w:rPr>
          <w:rFonts w:ascii="Arial" w:hAnsi="Arial" w:cs="Arial"/>
          <w:sz w:val="24"/>
          <w:szCs w:val="24"/>
        </w:rPr>
        <w:t xml:space="preserve"> held that it could not fault the Commissioner’s interpretation of Additional Note 4(b)</w:t>
      </w:r>
      <w:r w:rsidR="0026155B" w:rsidRPr="001B05BA">
        <w:rPr>
          <w:rFonts w:ascii="Arial" w:hAnsi="Arial" w:cs="Arial"/>
          <w:sz w:val="24"/>
          <w:szCs w:val="24"/>
        </w:rPr>
        <w:t xml:space="preserve"> and its subsequent tariff classification. </w:t>
      </w:r>
      <w:r w:rsidR="00CD1B1C" w:rsidRPr="001B05BA">
        <w:rPr>
          <w:rFonts w:ascii="Arial" w:hAnsi="Arial" w:cs="Arial"/>
          <w:sz w:val="24"/>
          <w:szCs w:val="24"/>
        </w:rPr>
        <w:t xml:space="preserve">The court </w:t>
      </w:r>
      <w:r w:rsidR="00CD1B1C" w:rsidRPr="001B05BA">
        <w:rPr>
          <w:rFonts w:ascii="Arial" w:hAnsi="Arial" w:cs="Arial"/>
          <w:i/>
          <w:iCs/>
          <w:sz w:val="24"/>
          <w:szCs w:val="24"/>
        </w:rPr>
        <w:t>a quo</w:t>
      </w:r>
      <w:r w:rsidR="00CD1B1C" w:rsidRPr="001B05BA">
        <w:rPr>
          <w:rFonts w:ascii="Arial" w:hAnsi="Arial" w:cs="Arial"/>
          <w:sz w:val="24"/>
          <w:szCs w:val="24"/>
        </w:rPr>
        <w:t xml:space="preserve"> found that Diageo accepted the </w:t>
      </w:r>
      <w:r w:rsidR="00D50BBC" w:rsidRPr="001B05BA">
        <w:rPr>
          <w:rFonts w:ascii="Arial" w:hAnsi="Arial" w:cs="Arial"/>
          <w:sz w:val="24"/>
          <w:szCs w:val="24"/>
        </w:rPr>
        <w:t>tariff classification of the three other products, to wit, CV Chocolate Cream, CV St</w:t>
      </w:r>
      <w:r w:rsidR="00374E7F" w:rsidRPr="001B05BA">
        <w:rPr>
          <w:rFonts w:ascii="Arial" w:hAnsi="Arial" w:cs="Arial"/>
          <w:sz w:val="24"/>
          <w:szCs w:val="24"/>
        </w:rPr>
        <w:t xml:space="preserve">rawberry Cream and CV Toffee Cream. The court </w:t>
      </w:r>
      <w:r w:rsidR="00374E7F" w:rsidRPr="001B05BA">
        <w:rPr>
          <w:rFonts w:ascii="Arial" w:hAnsi="Arial" w:cs="Arial"/>
          <w:i/>
          <w:iCs/>
          <w:sz w:val="24"/>
          <w:szCs w:val="24"/>
        </w:rPr>
        <w:t>a quo</w:t>
      </w:r>
      <w:r w:rsidR="00374E7F" w:rsidRPr="001B05BA">
        <w:rPr>
          <w:rFonts w:ascii="Arial" w:hAnsi="Arial" w:cs="Arial"/>
          <w:sz w:val="24"/>
          <w:szCs w:val="24"/>
        </w:rPr>
        <w:t xml:space="preserve"> held the view that Diageo’s ‘acceptance of these determinations demonstrate that the applicant accepts that the presence of alcohol </w:t>
      </w:r>
      <w:r w:rsidR="00374E7F" w:rsidRPr="001B05BA">
        <w:rPr>
          <w:rFonts w:ascii="Arial" w:hAnsi="Arial" w:cs="Arial"/>
          <w:sz w:val="24"/>
          <w:szCs w:val="24"/>
        </w:rPr>
        <w:lastRenderedPageBreak/>
        <w:t xml:space="preserve">in an ingredient would cause the product to be disqualified from being classifiable </w:t>
      </w:r>
      <w:r w:rsidR="00456FEF" w:rsidRPr="001B05BA">
        <w:rPr>
          <w:rFonts w:ascii="Arial" w:hAnsi="Arial" w:cs="Arial"/>
          <w:sz w:val="24"/>
          <w:szCs w:val="24"/>
        </w:rPr>
        <w:t xml:space="preserve">in Tariff subheading 2208.70.21.’ </w:t>
      </w:r>
      <w:r w:rsidR="004E5CAC" w:rsidRPr="001B05BA">
        <w:rPr>
          <w:rFonts w:ascii="Arial" w:hAnsi="Arial" w:cs="Arial"/>
          <w:sz w:val="24"/>
          <w:szCs w:val="24"/>
        </w:rPr>
        <w:t xml:space="preserve"> </w:t>
      </w:r>
    </w:p>
    <w:p w14:paraId="5399C5D4" w14:textId="77777777" w:rsidR="00BA1728" w:rsidRPr="001B05BA" w:rsidRDefault="00BA1728" w:rsidP="00BA1728">
      <w:pPr>
        <w:pStyle w:val="ListParagraph"/>
        <w:rPr>
          <w:rFonts w:ascii="Arial" w:hAnsi="Arial" w:cs="Arial"/>
          <w:sz w:val="24"/>
          <w:szCs w:val="24"/>
        </w:rPr>
      </w:pPr>
    </w:p>
    <w:p w14:paraId="3625E298" w14:textId="68DAE8C5" w:rsidR="00BA1728" w:rsidRPr="001B05BA" w:rsidRDefault="002B7337" w:rsidP="004F293F">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1B05BA">
        <w:rPr>
          <w:rFonts w:ascii="Arial" w:hAnsi="Arial" w:cs="Arial"/>
          <w:sz w:val="24"/>
          <w:szCs w:val="24"/>
        </w:rPr>
        <w:t>Interpreting</w:t>
      </w:r>
      <w:r w:rsidR="00E57172" w:rsidRPr="001B05BA">
        <w:rPr>
          <w:rFonts w:ascii="Arial" w:hAnsi="Arial" w:cs="Arial"/>
          <w:sz w:val="24"/>
          <w:szCs w:val="24"/>
        </w:rPr>
        <w:t xml:space="preserve"> Additional Note 4(b) without</w:t>
      </w:r>
      <w:r w:rsidR="00D158DA" w:rsidRPr="001B05BA">
        <w:rPr>
          <w:rFonts w:ascii="Arial" w:hAnsi="Arial" w:cs="Arial"/>
          <w:sz w:val="24"/>
          <w:szCs w:val="24"/>
        </w:rPr>
        <w:t xml:space="preserve"> considering </w:t>
      </w:r>
      <w:r w:rsidR="00E57172" w:rsidRPr="001B05BA">
        <w:rPr>
          <w:rFonts w:ascii="Arial" w:hAnsi="Arial" w:cs="Arial"/>
          <w:sz w:val="24"/>
          <w:szCs w:val="24"/>
        </w:rPr>
        <w:t xml:space="preserve">the context within which </w:t>
      </w:r>
      <w:r w:rsidR="00FC54F0" w:rsidRPr="001B05BA">
        <w:rPr>
          <w:rFonts w:ascii="Arial" w:hAnsi="Arial" w:cs="Arial"/>
          <w:sz w:val="24"/>
          <w:szCs w:val="24"/>
        </w:rPr>
        <w:t xml:space="preserve">it </w:t>
      </w:r>
      <w:r w:rsidR="00870FF4" w:rsidRPr="001B05BA">
        <w:rPr>
          <w:rFonts w:ascii="Arial" w:hAnsi="Arial" w:cs="Arial"/>
          <w:sz w:val="24"/>
          <w:szCs w:val="24"/>
        </w:rPr>
        <w:t>operates and</w:t>
      </w:r>
      <w:r w:rsidR="00FC54F0" w:rsidRPr="001B05BA">
        <w:rPr>
          <w:rFonts w:ascii="Arial" w:hAnsi="Arial" w:cs="Arial"/>
          <w:sz w:val="24"/>
          <w:szCs w:val="24"/>
        </w:rPr>
        <w:t xml:space="preserve"> finding that Diageo </w:t>
      </w:r>
      <w:r w:rsidR="00F83E36" w:rsidRPr="001B05BA">
        <w:rPr>
          <w:rFonts w:ascii="Arial" w:hAnsi="Arial" w:cs="Arial"/>
          <w:sz w:val="24"/>
          <w:szCs w:val="24"/>
        </w:rPr>
        <w:t xml:space="preserve">‘accepted’ the </w:t>
      </w:r>
      <w:r w:rsidR="007701A1" w:rsidRPr="001B05BA">
        <w:rPr>
          <w:rFonts w:ascii="Arial" w:hAnsi="Arial" w:cs="Arial"/>
          <w:sz w:val="24"/>
          <w:szCs w:val="24"/>
        </w:rPr>
        <w:t>tariff</w:t>
      </w:r>
      <w:r w:rsidR="00F83E36" w:rsidRPr="001B05BA">
        <w:rPr>
          <w:rFonts w:ascii="Arial" w:hAnsi="Arial" w:cs="Arial"/>
          <w:sz w:val="24"/>
          <w:szCs w:val="24"/>
        </w:rPr>
        <w:t xml:space="preserve"> classification of the </w:t>
      </w:r>
      <w:r w:rsidR="007701A1" w:rsidRPr="001B05BA">
        <w:rPr>
          <w:rFonts w:ascii="Arial" w:hAnsi="Arial" w:cs="Arial"/>
          <w:sz w:val="24"/>
          <w:szCs w:val="24"/>
        </w:rPr>
        <w:t xml:space="preserve">other three products because it did not challenge the classification </w:t>
      </w:r>
      <w:r w:rsidR="00870FF4" w:rsidRPr="001B05BA">
        <w:rPr>
          <w:rFonts w:ascii="Arial" w:hAnsi="Arial" w:cs="Arial"/>
          <w:sz w:val="24"/>
          <w:szCs w:val="24"/>
        </w:rPr>
        <w:t xml:space="preserve">is a misdirection by the court </w:t>
      </w:r>
      <w:r w:rsidR="00870FF4" w:rsidRPr="001B05BA">
        <w:rPr>
          <w:rFonts w:ascii="Arial" w:hAnsi="Arial" w:cs="Arial"/>
          <w:i/>
          <w:iCs/>
          <w:sz w:val="24"/>
          <w:szCs w:val="24"/>
        </w:rPr>
        <w:t>a quo</w:t>
      </w:r>
      <w:r w:rsidR="00870FF4" w:rsidRPr="001B05BA">
        <w:rPr>
          <w:rFonts w:ascii="Arial" w:hAnsi="Arial" w:cs="Arial"/>
          <w:sz w:val="24"/>
          <w:szCs w:val="24"/>
        </w:rPr>
        <w:t>,</w:t>
      </w:r>
      <w:r w:rsidR="00FC54F0" w:rsidRPr="001B05BA">
        <w:rPr>
          <w:rFonts w:ascii="Arial" w:hAnsi="Arial" w:cs="Arial"/>
          <w:sz w:val="24"/>
          <w:szCs w:val="24"/>
        </w:rPr>
        <w:t xml:space="preserve"> i</w:t>
      </w:r>
      <w:r w:rsidR="000D731C" w:rsidRPr="001B05BA">
        <w:rPr>
          <w:rFonts w:ascii="Arial" w:hAnsi="Arial" w:cs="Arial"/>
          <w:sz w:val="24"/>
          <w:szCs w:val="24"/>
        </w:rPr>
        <w:t>n</w:t>
      </w:r>
      <w:r w:rsidR="0019645F" w:rsidRPr="001B05BA">
        <w:rPr>
          <w:rFonts w:ascii="Arial" w:hAnsi="Arial" w:cs="Arial"/>
          <w:sz w:val="24"/>
          <w:szCs w:val="24"/>
        </w:rPr>
        <w:t xml:space="preserve"> law as far as </w:t>
      </w:r>
      <w:r w:rsidR="007A7604" w:rsidRPr="001B05BA">
        <w:rPr>
          <w:rFonts w:ascii="Arial" w:hAnsi="Arial" w:cs="Arial"/>
          <w:sz w:val="24"/>
          <w:szCs w:val="24"/>
        </w:rPr>
        <w:t xml:space="preserve">statutory interpretation is concerned, and in fact as far as Diageo’s </w:t>
      </w:r>
      <w:r w:rsidR="000C0072" w:rsidRPr="001B05BA">
        <w:rPr>
          <w:rFonts w:ascii="Arial" w:hAnsi="Arial" w:cs="Arial"/>
          <w:sz w:val="24"/>
          <w:szCs w:val="24"/>
        </w:rPr>
        <w:t>‘acceptance’ of the tariff classification of its other products are concerned</w:t>
      </w:r>
      <w:r w:rsidR="009221B7" w:rsidRPr="001B05BA">
        <w:rPr>
          <w:rFonts w:ascii="Arial" w:hAnsi="Arial" w:cs="Arial"/>
          <w:sz w:val="24"/>
          <w:szCs w:val="24"/>
        </w:rPr>
        <w:t>. This court is thus entitled to consider the appeal.</w:t>
      </w:r>
    </w:p>
    <w:p w14:paraId="14E2728C" w14:textId="77777777" w:rsidR="00BA1728" w:rsidRPr="001B05BA" w:rsidRDefault="00BA1728" w:rsidP="00BA1728">
      <w:pPr>
        <w:pStyle w:val="ListParagraph"/>
        <w:rPr>
          <w:rFonts w:ascii="Arial" w:hAnsi="Arial" w:cs="Arial"/>
          <w:sz w:val="24"/>
          <w:szCs w:val="24"/>
        </w:rPr>
      </w:pPr>
    </w:p>
    <w:p w14:paraId="58E40A13" w14:textId="60FC6E74" w:rsidR="00BA1728" w:rsidRPr="001B05BA" w:rsidRDefault="0086471B" w:rsidP="007D10E0">
      <w:pPr>
        <w:tabs>
          <w:tab w:val="left" w:pos="4917"/>
        </w:tabs>
        <w:spacing w:before="120" w:after="120" w:line="360" w:lineRule="auto"/>
        <w:jc w:val="both"/>
        <w:rPr>
          <w:rFonts w:ascii="Arial" w:hAnsi="Arial" w:cs="Arial"/>
          <w:b/>
          <w:sz w:val="24"/>
          <w:szCs w:val="24"/>
        </w:rPr>
      </w:pPr>
      <w:r w:rsidRPr="001B05BA">
        <w:rPr>
          <w:rFonts w:ascii="Arial" w:hAnsi="Arial" w:cs="Arial"/>
          <w:b/>
          <w:sz w:val="24"/>
          <w:szCs w:val="24"/>
        </w:rPr>
        <w:t>T</w:t>
      </w:r>
      <w:r w:rsidR="007D10E0" w:rsidRPr="001B05BA">
        <w:rPr>
          <w:rFonts w:ascii="Arial" w:hAnsi="Arial" w:cs="Arial"/>
          <w:b/>
          <w:sz w:val="24"/>
          <w:szCs w:val="24"/>
        </w:rPr>
        <w:t>he product</w:t>
      </w:r>
    </w:p>
    <w:p w14:paraId="4D11052A" w14:textId="77777777" w:rsidR="00BA1728" w:rsidRPr="001B05BA" w:rsidRDefault="00BA1728" w:rsidP="00BA1728">
      <w:pPr>
        <w:pStyle w:val="ListParagraph"/>
        <w:rPr>
          <w:rFonts w:ascii="Arial" w:hAnsi="Arial" w:cs="Arial"/>
          <w:sz w:val="24"/>
          <w:szCs w:val="24"/>
        </w:rPr>
      </w:pPr>
    </w:p>
    <w:p w14:paraId="1BE47054" w14:textId="6D289D25" w:rsidR="00BA1728" w:rsidRPr="001B05BA" w:rsidRDefault="003C3AC9" w:rsidP="00371158">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1B05BA">
        <w:rPr>
          <w:rFonts w:ascii="Arial" w:hAnsi="Arial" w:cs="Arial"/>
          <w:sz w:val="24"/>
          <w:szCs w:val="24"/>
        </w:rPr>
        <w:t>The ingredients used in the manufacturing of CVCO are syr</w:t>
      </w:r>
      <w:r w:rsidR="008252F9" w:rsidRPr="001B05BA">
        <w:rPr>
          <w:rFonts w:ascii="Arial" w:hAnsi="Arial" w:cs="Arial"/>
          <w:sz w:val="24"/>
          <w:szCs w:val="24"/>
        </w:rPr>
        <w:t xml:space="preserve">up, flavouring, </w:t>
      </w:r>
      <w:r w:rsidR="007F2738" w:rsidRPr="001B05BA">
        <w:rPr>
          <w:rFonts w:ascii="Arial" w:hAnsi="Arial" w:cs="Arial"/>
          <w:sz w:val="24"/>
          <w:szCs w:val="24"/>
        </w:rPr>
        <w:t>emulsifiers</w:t>
      </w:r>
      <w:r w:rsidR="008252F9" w:rsidRPr="001B05BA">
        <w:rPr>
          <w:rFonts w:ascii="Arial" w:hAnsi="Arial" w:cs="Arial"/>
          <w:sz w:val="24"/>
          <w:szCs w:val="24"/>
        </w:rPr>
        <w:t xml:space="preserve">, </w:t>
      </w:r>
      <w:r w:rsidR="008730D3" w:rsidRPr="001B05BA">
        <w:rPr>
          <w:rFonts w:ascii="Arial" w:hAnsi="Arial" w:cs="Arial"/>
          <w:sz w:val="24"/>
          <w:szCs w:val="24"/>
        </w:rPr>
        <w:t>preservatives,</w:t>
      </w:r>
      <w:r w:rsidR="008252F9" w:rsidRPr="001B05BA">
        <w:rPr>
          <w:rFonts w:ascii="Arial" w:hAnsi="Arial" w:cs="Arial"/>
          <w:sz w:val="24"/>
          <w:szCs w:val="24"/>
        </w:rPr>
        <w:t xml:space="preserve"> and dairy products</w:t>
      </w:r>
      <w:r w:rsidR="007D10E0" w:rsidRPr="001B05BA">
        <w:rPr>
          <w:rFonts w:ascii="Arial" w:hAnsi="Arial" w:cs="Arial"/>
          <w:sz w:val="24"/>
          <w:szCs w:val="24"/>
        </w:rPr>
        <w:t xml:space="preserve">. The vanilla flavouring that is added to the wine spirits </w:t>
      </w:r>
      <w:r w:rsidR="008730D3" w:rsidRPr="001B05BA">
        <w:rPr>
          <w:rFonts w:ascii="Arial" w:hAnsi="Arial" w:cs="Arial"/>
          <w:sz w:val="24"/>
          <w:szCs w:val="24"/>
        </w:rPr>
        <w:t>contains</w:t>
      </w:r>
      <w:r w:rsidR="007D10E0" w:rsidRPr="001B05BA">
        <w:rPr>
          <w:rFonts w:ascii="Arial" w:hAnsi="Arial" w:cs="Arial"/>
          <w:sz w:val="24"/>
          <w:szCs w:val="24"/>
        </w:rPr>
        <w:t xml:space="preserve"> 0.3% vanilla. Vanilla, in turn, contains 0.6% alcohol.  The flavouring</w:t>
      </w:r>
      <w:r w:rsidR="002F429B" w:rsidRPr="001B05BA">
        <w:rPr>
          <w:rFonts w:ascii="Arial" w:hAnsi="Arial" w:cs="Arial"/>
          <w:sz w:val="24"/>
          <w:szCs w:val="24"/>
        </w:rPr>
        <w:t>, mixed in a separate flavouring tank, that is</w:t>
      </w:r>
      <w:r w:rsidR="007D10E0" w:rsidRPr="001B05BA">
        <w:rPr>
          <w:rFonts w:ascii="Arial" w:hAnsi="Arial" w:cs="Arial"/>
          <w:sz w:val="24"/>
          <w:szCs w:val="24"/>
        </w:rPr>
        <w:t xml:space="preserve"> added to the wine spirits ultimately contains an alcohol content by volume of 0.00</w:t>
      </w:r>
      <w:r w:rsidR="006A2372" w:rsidRPr="001B05BA">
        <w:rPr>
          <w:rFonts w:ascii="Arial" w:hAnsi="Arial" w:cs="Arial"/>
          <w:sz w:val="24"/>
          <w:szCs w:val="24"/>
        </w:rPr>
        <w:t>0</w:t>
      </w:r>
      <w:r w:rsidR="007D10E0" w:rsidRPr="001B05BA">
        <w:rPr>
          <w:rFonts w:ascii="Arial" w:hAnsi="Arial" w:cs="Arial"/>
          <w:sz w:val="24"/>
          <w:szCs w:val="24"/>
        </w:rPr>
        <w:t>2</w:t>
      </w:r>
      <w:r w:rsidR="000844BA" w:rsidRPr="001B05BA">
        <w:rPr>
          <w:rFonts w:ascii="Arial" w:hAnsi="Arial" w:cs="Arial"/>
          <w:sz w:val="24"/>
          <w:szCs w:val="24"/>
        </w:rPr>
        <w:t>52</w:t>
      </w:r>
      <w:r w:rsidR="007D10E0" w:rsidRPr="001B05BA">
        <w:rPr>
          <w:rFonts w:ascii="Arial" w:hAnsi="Arial" w:cs="Arial"/>
          <w:sz w:val="24"/>
          <w:szCs w:val="24"/>
        </w:rPr>
        <w:t>%.</w:t>
      </w:r>
      <w:r w:rsidR="00CA750B" w:rsidRPr="001B05BA">
        <w:rPr>
          <w:rStyle w:val="FootnoteReference"/>
          <w:rFonts w:ascii="Arial" w:hAnsi="Arial" w:cs="Arial"/>
          <w:sz w:val="24"/>
          <w:szCs w:val="24"/>
        </w:rPr>
        <w:footnoteReference w:id="2"/>
      </w:r>
      <w:r w:rsidR="007753E0" w:rsidRPr="001B05BA">
        <w:rPr>
          <w:rFonts w:ascii="Arial" w:hAnsi="Arial" w:cs="Arial"/>
          <w:sz w:val="24"/>
          <w:szCs w:val="24"/>
        </w:rPr>
        <w:t xml:space="preserve"> The vanilla flavouring contributes </w:t>
      </w:r>
      <w:r w:rsidR="002A317B" w:rsidRPr="001B05BA">
        <w:rPr>
          <w:rFonts w:ascii="Arial" w:hAnsi="Arial" w:cs="Arial"/>
          <w:sz w:val="24"/>
          <w:szCs w:val="24"/>
        </w:rPr>
        <w:t>0.000</w:t>
      </w:r>
      <w:r w:rsidR="00EF2093" w:rsidRPr="001B05BA">
        <w:rPr>
          <w:rFonts w:ascii="Arial" w:hAnsi="Arial" w:cs="Arial"/>
          <w:sz w:val="24"/>
          <w:szCs w:val="24"/>
        </w:rPr>
        <w:t>0</w:t>
      </w:r>
      <w:r w:rsidR="002A317B" w:rsidRPr="001B05BA">
        <w:rPr>
          <w:rFonts w:ascii="Arial" w:hAnsi="Arial" w:cs="Arial"/>
          <w:sz w:val="24"/>
          <w:szCs w:val="24"/>
        </w:rPr>
        <w:t xml:space="preserve">4% </w:t>
      </w:r>
      <w:r w:rsidR="00F942D9" w:rsidRPr="001B05BA">
        <w:rPr>
          <w:rFonts w:ascii="Arial" w:hAnsi="Arial" w:cs="Arial"/>
          <w:sz w:val="24"/>
          <w:szCs w:val="24"/>
        </w:rPr>
        <w:t>alcohol by volume (</w:t>
      </w:r>
      <w:r w:rsidR="002A317B" w:rsidRPr="001B05BA">
        <w:rPr>
          <w:rFonts w:ascii="Arial" w:hAnsi="Arial" w:cs="Arial"/>
          <w:sz w:val="24"/>
          <w:szCs w:val="24"/>
        </w:rPr>
        <w:t>ABV</w:t>
      </w:r>
      <w:r w:rsidR="00F942D9" w:rsidRPr="001B05BA">
        <w:rPr>
          <w:rFonts w:ascii="Arial" w:hAnsi="Arial" w:cs="Arial"/>
          <w:sz w:val="24"/>
          <w:szCs w:val="24"/>
        </w:rPr>
        <w:t>)</w:t>
      </w:r>
      <w:r w:rsidR="002A317B" w:rsidRPr="001B05BA">
        <w:rPr>
          <w:rFonts w:ascii="Arial" w:hAnsi="Arial" w:cs="Arial"/>
          <w:sz w:val="24"/>
          <w:szCs w:val="24"/>
        </w:rPr>
        <w:t xml:space="preserve"> of the final product</w:t>
      </w:r>
      <w:r w:rsidR="00D1579F" w:rsidRPr="001B05BA">
        <w:rPr>
          <w:rFonts w:ascii="Arial" w:hAnsi="Arial" w:cs="Arial"/>
          <w:sz w:val="24"/>
          <w:szCs w:val="24"/>
        </w:rPr>
        <w:t xml:space="preserve"> (CVCO), whereas the wine spirit contributes 15.99999964%</w:t>
      </w:r>
      <w:r w:rsidR="006A790C" w:rsidRPr="001B05BA">
        <w:rPr>
          <w:rFonts w:ascii="Arial" w:hAnsi="Arial" w:cs="Arial"/>
          <w:sz w:val="24"/>
          <w:szCs w:val="24"/>
        </w:rPr>
        <w:t xml:space="preserve"> ABV</w:t>
      </w:r>
      <w:r w:rsidR="00D1579F" w:rsidRPr="001B05BA">
        <w:rPr>
          <w:rFonts w:ascii="Arial" w:hAnsi="Arial" w:cs="Arial"/>
          <w:sz w:val="24"/>
          <w:szCs w:val="24"/>
        </w:rPr>
        <w:t>.</w:t>
      </w:r>
    </w:p>
    <w:p w14:paraId="17B588A1" w14:textId="77777777" w:rsidR="00BA1728" w:rsidRPr="001B05BA" w:rsidRDefault="00BA1728" w:rsidP="00BA1728">
      <w:pPr>
        <w:pStyle w:val="ListParagraph"/>
        <w:rPr>
          <w:rFonts w:ascii="Arial" w:hAnsi="Arial" w:cs="Arial"/>
          <w:sz w:val="24"/>
          <w:szCs w:val="24"/>
        </w:rPr>
      </w:pPr>
    </w:p>
    <w:p w14:paraId="49A6A213" w14:textId="300CBCFC" w:rsidR="00BA1728" w:rsidRPr="001B05BA" w:rsidRDefault="00F65A96" w:rsidP="00F65A96">
      <w:pPr>
        <w:tabs>
          <w:tab w:val="left" w:pos="4917"/>
        </w:tabs>
        <w:spacing w:before="120" w:after="120" w:line="360" w:lineRule="auto"/>
        <w:jc w:val="both"/>
        <w:rPr>
          <w:rFonts w:ascii="Arial" w:hAnsi="Arial" w:cs="Arial"/>
          <w:b/>
          <w:sz w:val="24"/>
          <w:szCs w:val="24"/>
        </w:rPr>
      </w:pPr>
      <w:r w:rsidRPr="001B05BA">
        <w:rPr>
          <w:rFonts w:ascii="Arial" w:hAnsi="Arial" w:cs="Arial"/>
          <w:b/>
          <w:sz w:val="24"/>
          <w:szCs w:val="24"/>
        </w:rPr>
        <w:t>The sources of law and process of classification</w:t>
      </w:r>
    </w:p>
    <w:p w14:paraId="2EA8F310" w14:textId="77777777" w:rsidR="00BA1728" w:rsidRPr="001B05BA" w:rsidRDefault="00BA1728" w:rsidP="00BA1728">
      <w:pPr>
        <w:pStyle w:val="ListParagraph"/>
        <w:rPr>
          <w:rFonts w:ascii="Arial" w:hAnsi="Arial" w:cs="Arial"/>
          <w:sz w:val="24"/>
          <w:szCs w:val="24"/>
        </w:rPr>
      </w:pPr>
    </w:p>
    <w:p w14:paraId="14C28936" w14:textId="4277262B" w:rsidR="00BA1728" w:rsidRPr="001B05BA" w:rsidRDefault="006A7418" w:rsidP="00371158">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1B05BA">
        <w:rPr>
          <w:rFonts w:ascii="Arial" w:hAnsi="Arial" w:cs="Arial"/>
          <w:sz w:val="24"/>
          <w:szCs w:val="24"/>
        </w:rPr>
        <w:t>On 30 October 1947, 23 countries signed the General Agreement on Tariffs and Trade (GATT). South Africa is an original signatory to the GATT.</w:t>
      </w:r>
      <w:bookmarkStart w:id="1" w:name="_Ref133983728"/>
      <w:r w:rsidR="00E358C6" w:rsidRPr="001B05BA">
        <w:rPr>
          <w:rStyle w:val="FootnoteReference"/>
          <w:rFonts w:ascii="Arial" w:hAnsi="Arial" w:cs="Arial"/>
          <w:sz w:val="24"/>
          <w:szCs w:val="24"/>
        </w:rPr>
        <w:footnoteReference w:id="3"/>
      </w:r>
      <w:bookmarkEnd w:id="1"/>
      <w:r w:rsidRPr="001B05BA">
        <w:rPr>
          <w:rFonts w:ascii="Arial" w:hAnsi="Arial" w:cs="Arial"/>
          <w:sz w:val="24"/>
          <w:szCs w:val="24"/>
        </w:rPr>
        <w:t xml:space="preserve"> In 1958 the</w:t>
      </w:r>
      <w:r w:rsidR="00AA7CDA" w:rsidRPr="001B05BA">
        <w:rPr>
          <w:rFonts w:ascii="Arial" w:hAnsi="Arial" w:cs="Arial"/>
          <w:sz w:val="24"/>
          <w:szCs w:val="24"/>
        </w:rPr>
        <w:t xml:space="preserve"> 7</w:t>
      </w:r>
      <w:r w:rsidR="00AA7CDA" w:rsidRPr="001B05BA">
        <w:rPr>
          <w:rFonts w:ascii="Arial" w:hAnsi="Arial" w:cs="Arial"/>
          <w:sz w:val="24"/>
          <w:szCs w:val="24"/>
          <w:vertAlign w:val="superscript"/>
        </w:rPr>
        <w:t>th</w:t>
      </w:r>
      <w:r w:rsidR="00AA7CDA" w:rsidRPr="001B05BA">
        <w:rPr>
          <w:rFonts w:ascii="Arial" w:hAnsi="Arial" w:cs="Arial"/>
          <w:sz w:val="24"/>
          <w:szCs w:val="24"/>
        </w:rPr>
        <w:t xml:space="preserve"> edition of an information document titled ‘The General Agreement on Tariffs and Trade (GATT)</w:t>
      </w:r>
      <w:r w:rsidR="009E691D" w:rsidRPr="001B05BA">
        <w:rPr>
          <w:rFonts w:ascii="Arial" w:hAnsi="Arial" w:cs="Arial"/>
          <w:sz w:val="24"/>
          <w:szCs w:val="24"/>
        </w:rPr>
        <w:t xml:space="preserve"> </w:t>
      </w:r>
      <w:r w:rsidR="00AA7CDA" w:rsidRPr="001B05BA">
        <w:rPr>
          <w:rFonts w:ascii="Arial" w:hAnsi="Arial" w:cs="Arial"/>
          <w:sz w:val="24"/>
          <w:szCs w:val="24"/>
        </w:rPr>
        <w:t>- What GATT is and what GATT has done’, was published by the Information Office, GATT Secretariat, Geneva, Switzerland.</w:t>
      </w:r>
      <w:r w:rsidR="00AA7CDA" w:rsidRPr="001B05BA">
        <w:rPr>
          <w:rStyle w:val="FootnoteReference"/>
          <w:rFonts w:ascii="Arial" w:hAnsi="Arial" w:cs="Arial"/>
          <w:sz w:val="24"/>
          <w:szCs w:val="24"/>
        </w:rPr>
        <w:footnoteReference w:id="4"/>
      </w:r>
      <w:r w:rsidR="00AA7CDA" w:rsidRPr="001B05BA">
        <w:rPr>
          <w:rFonts w:ascii="Arial" w:hAnsi="Arial" w:cs="Arial"/>
          <w:sz w:val="24"/>
          <w:szCs w:val="24"/>
        </w:rPr>
        <w:t xml:space="preserve"> This publication informs that:</w:t>
      </w:r>
    </w:p>
    <w:p w14:paraId="317A8C84" w14:textId="22167195" w:rsidR="00AA7CDA" w:rsidRPr="001B05BA" w:rsidRDefault="00AA7CDA" w:rsidP="00AA7CDA">
      <w:pPr>
        <w:pStyle w:val="ListParagraph"/>
        <w:tabs>
          <w:tab w:val="left" w:pos="4917"/>
        </w:tabs>
        <w:spacing w:before="120" w:after="120" w:line="360" w:lineRule="auto"/>
        <w:ind w:left="1008" w:right="1008"/>
        <w:jc w:val="both"/>
        <w:rPr>
          <w:rFonts w:ascii="Arial" w:hAnsi="Arial" w:cs="Arial"/>
          <w:sz w:val="24"/>
          <w:szCs w:val="24"/>
        </w:rPr>
      </w:pPr>
      <w:r w:rsidRPr="001B05BA">
        <w:rPr>
          <w:rFonts w:ascii="Arial" w:hAnsi="Arial" w:cs="Arial"/>
          <w:sz w:val="24"/>
          <w:szCs w:val="24"/>
        </w:rPr>
        <w:lastRenderedPageBreak/>
        <w:t>‘The essential element of the GATT story is that since World War Two, for the first time in history, countries have co-operated in lowering trade barriers between themselves and in accepting a code of practical rules for fair trading in international commerce. This co-operation has been on a world-wide, not a regional basis.’</w:t>
      </w:r>
    </w:p>
    <w:p w14:paraId="03C180B0" w14:textId="77777777" w:rsidR="00BA1728" w:rsidRPr="001B05BA" w:rsidRDefault="00BA1728" w:rsidP="00BA1728">
      <w:pPr>
        <w:pStyle w:val="ListParagraph"/>
        <w:rPr>
          <w:rFonts w:ascii="Arial" w:hAnsi="Arial" w:cs="Arial"/>
          <w:sz w:val="24"/>
          <w:szCs w:val="24"/>
        </w:rPr>
      </w:pPr>
    </w:p>
    <w:p w14:paraId="1236CCFD" w14:textId="3C83A82E" w:rsidR="009B11DD" w:rsidRPr="001B05BA" w:rsidRDefault="00AA7CDA" w:rsidP="00371158">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1B05BA">
        <w:rPr>
          <w:rFonts w:ascii="Arial" w:hAnsi="Arial" w:cs="Arial"/>
          <w:sz w:val="24"/>
          <w:szCs w:val="24"/>
        </w:rPr>
        <w:t xml:space="preserve">GATT’s objectives included – helping raise living standards; achieving full employment; developing the world’s resources; expanding production and exchange of goods; and promoting economic development. </w:t>
      </w:r>
      <w:r w:rsidR="00E358C6" w:rsidRPr="001B05BA">
        <w:rPr>
          <w:rFonts w:ascii="Arial" w:hAnsi="Arial" w:cs="Arial"/>
          <w:sz w:val="24"/>
          <w:szCs w:val="24"/>
        </w:rPr>
        <w:t xml:space="preserve">The GATT laid down central principles to constrain and guide national trade policies and provided the basis on which governments were able to carry forward and extend their multilateral cooperation and trade. Professor Schlemmer explains that the GATT steadily developed into a </w:t>
      </w:r>
      <w:r w:rsidR="00E358C6" w:rsidRPr="001B05BA">
        <w:rPr>
          <w:rFonts w:ascii="Arial" w:hAnsi="Arial" w:cs="Arial"/>
          <w:i/>
          <w:sz w:val="24"/>
          <w:szCs w:val="24"/>
        </w:rPr>
        <w:t>de facto</w:t>
      </w:r>
      <w:r w:rsidR="00E358C6" w:rsidRPr="001B05BA">
        <w:rPr>
          <w:rFonts w:ascii="Arial" w:hAnsi="Arial" w:cs="Arial"/>
          <w:sz w:val="24"/>
          <w:szCs w:val="24"/>
        </w:rPr>
        <w:t xml:space="preserve"> international organisation, and evolved through several rounds of multilateral negotiations</w:t>
      </w:r>
      <w:r w:rsidR="004E1333" w:rsidRPr="001B05BA">
        <w:rPr>
          <w:rFonts w:ascii="Arial" w:hAnsi="Arial" w:cs="Arial"/>
          <w:sz w:val="24"/>
          <w:szCs w:val="24"/>
        </w:rPr>
        <w:t>. These negotiations ultimately led to the formation of the</w:t>
      </w:r>
      <w:r w:rsidR="00E358C6" w:rsidRPr="001B05BA">
        <w:rPr>
          <w:rFonts w:ascii="Arial" w:hAnsi="Arial" w:cs="Arial"/>
          <w:sz w:val="24"/>
          <w:szCs w:val="24"/>
        </w:rPr>
        <w:t xml:space="preserve"> World Trade Organisation (‘WTO’)</w:t>
      </w:r>
      <w:r w:rsidR="009B11DD" w:rsidRPr="001B05BA">
        <w:rPr>
          <w:rFonts w:ascii="Arial" w:hAnsi="Arial" w:cs="Arial"/>
          <w:sz w:val="24"/>
          <w:szCs w:val="24"/>
        </w:rPr>
        <w:t>.</w:t>
      </w:r>
      <w:r w:rsidR="004E1333" w:rsidRPr="001B05BA">
        <w:rPr>
          <w:rStyle w:val="FootnoteReference"/>
          <w:rFonts w:ascii="Arial" w:hAnsi="Arial" w:cs="Arial"/>
          <w:sz w:val="24"/>
          <w:szCs w:val="24"/>
        </w:rPr>
        <w:footnoteReference w:id="5"/>
      </w:r>
      <w:r w:rsidR="00E358C6" w:rsidRPr="001B05BA">
        <w:rPr>
          <w:rFonts w:ascii="Arial" w:hAnsi="Arial" w:cs="Arial"/>
          <w:sz w:val="24"/>
          <w:szCs w:val="24"/>
        </w:rPr>
        <w:t xml:space="preserve"> South Africa has been a WTO member since 1 January 1995.</w:t>
      </w:r>
      <w:r w:rsidR="009B11DD" w:rsidRPr="001B05BA">
        <w:rPr>
          <w:rFonts w:ascii="Arial" w:hAnsi="Arial" w:cs="Arial"/>
          <w:sz w:val="24"/>
          <w:szCs w:val="24"/>
        </w:rPr>
        <w:t xml:space="preserve"> </w:t>
      </w:r>
    </w:p>
    <w:p w14:paraId="21D7C162" w14:textId="77777777" w:rsidR="009B11DD" w:rsidRPr="001B05BA" w:rsidRDefault="009B11DD" w:rsidP="009B11DD">
      <w:pPr>
        <w:pStyle w:val="ListParagraph"/>
        <w:tabs>
          <w:tab w:val="left" w:pos="4917"/>
        </w:tabs>
        <w:spacing w:before="120" w:after="120" w:line="360" w:lineRule="auto"/>
        <w:jc w:val="both"/>
        <w:rPr>
          <w:rFonts w:ascii="Arial" w:hAnsi="Arial" w:cs="Arial"/>
          <w:sz w:val="24"/>
          <w:szCs w:val="24"/>
        </w:rPr>
      </w:pPr>
    </w:p>
    <w:p w14:paraId="2B7A9D9F" w14:textId="383AC488" w:rsidR="00BA1728" w:rsidRPr="001B05BA" w:rsidRDefault="009B11DD" w:rsidP="00371158">
      <w:pPr>
        <w:pStyle w:val="ListParagraph"/>
        <w:numPr>
          <w:ilvl w:val="0"/>
          <w:numId w:val="2"/>
        </w:numPr>
        <w:tabs>
          <w:tab w:val="left" w:pos="4917"/>
        </w:tabs>
        <w:spacing w:before="120" w:after="120" w:line="360" w:lineRule="auto"/>
        <w:ind w:hanging="720"/>
        <w:jc w:val="both"/>
        <w:rPr>
          <w:rFonts w:ascii="Arial" w:hAnsi="Arial" w:cs="Arial"/>
          <w:sz w:val="24"/>
          <w:szCs w:val="24"/>
        </w:rPr>
      </w:pPr>
      <w:bookmarkStart w:id="2" w:name="_Ref137760212"/>
      <w:r w:rsidRPr="001B05BA">
        <w:rPr>
          <w:rFonts w:ascii="Arial" w:hAnsi="Arial" w:cs="Arial"/>
          <w:sz w:val="24"/>
          <w:szCs w:val="24"/>
        </w:rPr>
        <w:t xml:space="preserve">The World Customs Organisation (WCO) </w:t>
      </w:r>
      <w:r w:rsidR="00CC34CA" w:rsidRPr="001B05BA">
        <w:rPr>
          <w:rFonts w:ascii="Arial" w:hAnsi="Arial" w:cs="Arial"/>
          <w:sz w:val="24"/>
          <w:szCs w:val="24"/>
        </w:rPr>
        <w:t>evolved</w:t>
      </w:r>
      <w:r w:rsidRPr="001B05BA">
        <w:rPr>
          <w:rFonts w:ascii="Arial" w:hAnsi="Arial" w:cs="Arial"/>
          <w:sz w:val="24"/>
          <w:szCs w:val="24"/>
        </w:rPr>
        <w:t xml:space="preserve"> from a Study Group formed to examine customs issues identified by the GATT. </w:t>
      </w:r>
      <w:r w:rsidR="00CC34CA" w:rsidRPr="001B05BA">
        <w:rPr>
          <w:rFonts w:ascii="Arial" w:hAnsi="Arial" w:cs="Arial"/>
          <w:sz w:val="24"/>
          <w:szCs w:val="24"/>
        </w:rPr>
        <w:t xml:space="preserve">The WCO’s role is to govern various frameworks and conventions that facilitate secure and </w:t>
      </w:r>
      <w:r w:rsidR="002A11BF" w:rsidRPr="001B05BA">
        <w:rPr>
          <w:rFonts w:ascii="Arial" w:hAnsi="Arial" w:cs="Arial"/>
          <w:sz w:val="24"/>
          <w:szCs w:val="24"/>
        </w:rPr>
        <w:t>free-flowing</w:t>
      </w:r>
      <w:r w:rsidR="00CC34CA" w:rsidRPr="001B05BA">
        <w:rPr>
          <w:rFonts w:ascii="Arial" w:hAnsi="Arial" w:cs="Arial"/>
          <w:sz w:val="24"/>
          <w:szCs w:val="24"/>
        </w:rPr>
        <w:t xml:space="preserve"> international trade.</w:t>
      </w:r>
      <w:r w:rsidR="00CC34CA" w:rsidRPr="001B05BA">
        <w:rPr>
          <w:rStyle w:val="FootnoteReference"/>
          <w:rFonts w:ascii="Arial" w:hAnsi="Arial" w:cs="Arial"/>
          <w:sz w:val="24"/>
          <w:szCs w:val="24"/>
        </w:rPr>
        <w:footnoteReference w:id="6"/>
      </w:r>
      <w:r w:rsidR="00CC34CA" w:rsidRPr="001B05BA">
        <w:rPr>
          <w:rFonts w:ascii="Arial" w:hAnsi="Arial" w:cs="Arial"/>
          <w:sz w:val="24"/>
          <w:szCs w:val="24"/>
        </w:rPr>
        <w:t xml:space="preserve"> </w:t>
      </w:r>
      <w:r w:rsidR="00E44A69" w:rsidRPr="001B05BA">
        <w:rPr>
          <w:rFonts w:ascii="Arial" w:hAnsi="Arial" w:cs="Arial"/>
          <w:sz w:val="24"/>
          <w:szCs w:val="24"/>
        </w:rPr>
        <w:t>The WTO and WCO are significant role players in international trade matters. The WTO cooperates regularly with the WCO on a number of subject areas, including market access.</w:t>
      </w:r>
      <w:r w:rsidR="00E44A69" w:rsidRPr="001B05BA">
        <w:rPr>
          <w:rStyle w:val="FootnoteReference"/>
          <w:rFonts w:ascii="Arial" w:hAnsi="Arial" w:cs="Arial"/>
          <w:sz w:val="24"/>
          <w:szCs w:val="24"/>
        </w:rPr>
        <w:footnoteReference w:id="7"/>
      </w:r>
      <w:r w:rsidR="00E44A69" w:rsidRPr="001B05BA">
        <w:rPr>
          <w:rFonts w:ascii="Arial" w:hAnsi="Arial" w:cs="Arial"/>
          <w:sz w:val="24"/>
          <w:szCs w:val="24"/>
        </w:rPr>
        <w:t xml:space="preserve"> </w:t>
      </w:r>
      <w:r w:rsidRPr="001B05BA">
        <w:rPr>
          <w:rFonts w:ascii="Arial" w:hAnsi="Arial" w:cs="Arial"/>
          <w:sz w:val="24"/>
          <w:szCs w:val="24"/>
        </w:rPr>
        <w:t>For reasons that will become apparent later in this judgment, it is necessary to reflect that South Africa and the United States of America are members of the WCO.</w:t>
      </w:r>
      <w:bookmarkEnd w:id="2"/>
    </w:p>
    <w:p w14:paraId="67CD694C" w14:textId="77777777" w:rsidR="00BA1728" w:rsidRPr="001B05BA" w:rsidRDefault="00BA1728" w:rsidP="00BA1728">
      <w:pPr>
        <w:pStyle w:val="ListParagraph"/>
        <w:rPr>
          <w:rFonts w:ascii="Arial" w:hAnsi="Arial" w:cs="Arial"/>
          <w:sz w:val="24"/>
          <w:szCs w:val="24"/>
        </w:rPr>
      </w:pPr>
    </w:p>
    <w:p w14:paraId="410858AE" w14:textId="061A0F98" w:rsidR="00CC5FE4" w:rsidRPr="001B05BA" w:rsidRDefault="008C4AD8" w:rsidP="00371158">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1B05BA">
        <w:rPr>
          <w:rFonts w:ascii="Arial" w:hAnsi="Arial" w:cs="Arial"/>
          <w:sz w:val="24"/>
          <w:szCs w:val="24"/>
        </w:rPr>
        <w:t xml:space="preserve">The </w:t>
      </w:r>
      <w:r w:rsidR="00C0669E" w:rsidRPr="001B05BA">
        <w:rPr>
          <w:rFonts w:ascii="Arial" w:hAnsi="Arial" w:cs="Arial"/>
          <w:sz w:val="24"/>
          <w:szCs w:val="24"/>
        </w:rPr>
        <w:t>International Convention</w:t>
      </w:r>
      <w:r w:rsidR="00736D26" w:rsidRPr="001B05BA">
        <w:rPr>
          <w:rFonts w:ascii="Arial" w:hAnsi="Arial" w:cs="Arial"/>
          <w:sz w:val="24"/>
          <w:szCs w:val="24"/>
        </w:rPr>
        <w:t xml:space="preserve"> </w:t>
      </w:r>
      <w:r w:rsidR="00ED7BF3" w:rsidRPr="001B05BA">
        <w:rPr>
          <w:rFonts w:ascii="Arial" w:hAnsi="Arial" w:cs="Arial"/>
          <w:sz w:val="24"/>
          <w:szCs w:val="24"/>
        </w:rPr>
        <w:t xml:space="preserve">on the </w:t>
      </w:r>
      <w:r w:rsidRPr="001B05BA">
        <w:rPr>
          <w:rFonts w:ascii="Arial" w:hAnsi="Arial" w:cs="Arial"/>
          <w:sz w:val="24"/>
          <w:szCs w:val="24"/>
        </w:rPr>
        <w:t xml:space="preserve">Harmonised </w:t>
      </w:r>
      <w:r w:rsidR="00ED7BF3" w:rsidRPr="001B05BA">
        <w:rPr>
          <w:rFonts w:ascii="Arial" w:hAnsi="Arial" w:cs="Arial"/>
          <w:sz w:val="24"/>
          <w:szCs w:val="24"/>
        </w:rPr>
        <w:t>Commodit</w:t>
      </w:r>
      <w:r w:rsidR="00C0669E" w:rsidRPr="001B05BA">
        <w:rPr>
          <w:rFonts w:ascii="Arial" w:hAnsi="Arial" w:cs="Arial"/>
          <w:sz w:val="24"/>
          <w:szCs w:val="24"/>
        </w:rPr>
        <w:t>y Description and Coding System</w:t>
      </w:r>
      <w:r w:rsidRPr="001B05BA">
        <w:rPr>
          <w:rFonts w:ascii="Arial" w:hAnsi="Arial" w:cs="Arial"/>
          <w:sz w:val="24"/>
          <w:szCs w:val="24"/>
        </w:rPr>
        <w:t xml:space="preserve"> (HS) nomenclature</w:t>
      </w:r>
      <w:r w:rsidR="007B4C3B" w:rsidRPr="001B05BA">
        <w:rPr>
          <w:rFonts w:ascii="Arial" w:hAnsi="Arial" w:cs="Arial"/>
          <w:sz w:val="24"/>
          <w:szCs w:val="24"/>
        </w:rPr>
        <w:t xml:space="preserve"> (or ‘legal text’)</w:t>
      </w:r>
      <w:r w:rsidRPr="001B05BA">
        <w:rPr>
          <w:rFonts w:ascii="Arial" w:hAnsi="Arial" w:cs="Arial"/>
          <w:sz w:val="24"/>
          <w:szCs w:val="24"/>
        </w:rPr>
        <w:t xml:space="preserve"> was developed by the WCO</w:t>
      </w:r>
      <w:r w:rsidR="00ED7BF3" w:rsidRPr="001B05BA">
        <w:rPr>
          <w:rFonts w:ascii="Arial" w:hAnsi="Arial" w:cs="Arial"/>
          <w:sz w:val="24"/>
          <w:szCs w:val="24"/>
        </w:rPr>
        <w:t xml:space="preserve"> and </w:t>
      </w:r>
      <w:r w:rsidR="00ED7BF3" w:rsidRPr="001B05BA">
        <w:rPr>
          <w:rFonts w:ascii="Arial" w:hAnsi="Arial" w:cs="Arial"/>
          <w:sz w:val="24"/>
          <w:szCs w:val="24"/>
        </w:rPr>
        <w:lastRenderedPageBreak/>
        <w:t>entered into force on 1 January 1988.</w:t>
      </w:r>
      <w:r w:rsidR="00ED7BF3" w:rsidRPr="001B05BA">
        <w:rPr>
          <w:rStyle w:val="FootnoteReference"/>
          <w:rFonts w:ascii="Arial" w:hAnsi="Arial" w:cs="Arial"/>
          <w:sz w:val="24"/>
          <w:szCs w:val="24"/>
        </w:rPr>
        <w:footnoteReference w:id="8"/>
      </w:r>
      <w:r w:rsidR="00ED7BF3" w:rsidRPr="001B05BA">
        <w:rPr>
          <w:rFonts w:ascii="Arial" w:hAnsi="Arial" w:cs="Arial"/>
          <w:sz w:val="24"/>
          <w:szCs w:val="24"/>
        </w:rPr>
        <w:t xml:space="preserve">  The objectives of the HS Convention </w:t>
      </w:r>
      <w:r w:rsidR="00407384" w:rsidRPr="001B05BA">
        <w:rPr>
          <w:rFonts w:ascii="Arial" w:hAnsi="Arial" w:cs="Arial"/>
          <w:sz w:val="24"/>
          <w:szCs w:val="24"/>
        </w:rPr>
        <w:t>include facilitating</w:t>
      </w:r>
      <w:r w:rsidR="00ED7BF3" w:rsidRPr="001B05BA">
        <w:rPr>
          <w:rFonts w:ascii="Arial" w:hAnsi="Arial" w:cs="Arial"/>
          <w:sz w:val="24"/>
          <w:szCs w:val="24"/>
        </w:rPr>
        <w:t xml:space="preserve"> international trade</w:t>
      </w:r>
      <w:r w:rsidR="00AA2D07" w:rsidRPr="001B05BA">
        <w:rPr>
          <w:rFonts w:ascii="Arial" w:hAnsi="Arial" w:cs="Arial"/>
          <w:sz w:val="24"/>
          <w:szCs w:val="24"/>
        </w:rPr>
        <w:t xml:space="preserve">, </w:t>
      </w:r>
      <w:r w:rsidR="00ED7BF3" w:rsidRPr="001B05BA">
        <w:rPr>
          <w:rFonts w:ascii="Arial" w:hAnsi="Arial" w:cs="Arial"/>
          <w:sz w:val="24"/>
          <w:szCs w:val="24"/>
        </w:rPr>
        <w:t>the collection, comparison</w:t>
      </w:r>
      <w:r w:rsidR="00C0669E" w:rsidRPr="001B05BA">
        <w:rPr>
          <w:rFonts w:ascii="Arial" w:hAnsi="Arial" w:cs="Arial"/>
          <w:sz w:val="24"/>
          <w:szCs w:val="24"/>
        </w:rPr>
        <w:t>,</w:t>
      </w:r>
      <w:r w:rsidR="00ED7BF3" w:rsidRPr="001B05BA">
        <w:rPr>
          <w:rFonts w:ascii="Arial" w:hAnsi="Arial" w:cs="Arial"/>
          <w:sz w:val="24"/>
          <w:szCs w:val="24"/>
        </w:rPr>
        <w:t xml:space="preserve"> and a</w:t>
      </w:r>
      <w:r w:rsidR="00407384" w:rsidRPr="001B05BA">
        <w:rPr>
          <w:rFonts w:ascii="Arial" w:hAnsi="Arial" w:cs="Arial"/>
          <w:sz w:val="24"/>
          <w:szCs w:val="24"/>
        </w:rPr>
        <w:t>nalysis of statistics</w:t>
      </w:r>
      <w:r w:rsidR="00ED7BF3" w:rsidRPr="001B05BA">
        <w:rPr>
          <w:rFonts w:ascii="Arial" w:hAnsi="Arial" w:cs="Arial"/>
          <w:sz w:val="24"/>
          <w:szCs w:val="24"/>
        </w:rPr>
        <w:t xml:space="preserve"> by harmonising the description, classification</w:t>
      </w:r>
      <w:r w:rsidR="00C0669E" w:rsidRPr="001B05BA">
        <w:rPr>
          <w:rFonts w:ascii="Arial" w:hAnsi="Arial" w:cs="Arial"/>
          <w:sz w:val="24"/>
          <w:szCs w:val="24"/>
        </w:rPr>
        <w:t>,</w:t>
      </w:r>
      <w:r w:rsidR="00ED7BF3" w:rsidRPr="001B05BA">
        <w:rPr>
          <w:rFonts w:ascii="Arial" w:hAnsi="Arial" w:cs="Arial"/>
          <w:sz w:val="24"/>
          <w:szCs w:val="24"/>
        </w:rPr>
        <w:t xml:space="preserve"> and coding of goods in international trade</w:t>
      </w:r>
      <w:r w:rsidR="00407384" w:rsidRPr="001B05BA">
        <w:rPr>
          <w:rFonts w:ascii="Arial" w:hAnsi="Arial" w:cs="Arial"/>
          <w:sz w:val="24"/>
          <w:szCs w:val="24"/>
        </w:rPr>
        <w:t xml:space="preserve"> and reducing the expenses related to international trade. After its implementation, the use of the H</w:t>
      </w:r>
      <w:r w:rsidR="00E63D63" w:rsidRPr="001B05BA">
        <w:rPr>
          <w:rFonts w:ascii="Arial" w:hAnsi="Arial" w:cs="Arial"/>
          <w:sz w:val="24"/>
          <w:szCs w:val="24"/>
        </w:rPr>
        <w:t>S</w:t>
      </w:r>
      <w:r w:rsidR="00407384" w:rsidRPr="001B05BA">
        <w:rPr>
          <w:rFonts w:ascii="Arial" w:hAnsi="Arial" w:cs="Arial"/>
          <w:sz w:val="24"/>
          <w:szCs w:val="24"/>
        </w:rPr>
        <w:t xml:space="preserve"> spread quickly</w:t>
      </w:r>
      <w:r w:rsidR="00C0669E" w:rsidRPr="001B05BA">
        <w:rPr>
          <w:rFonts w:ascii="Arial" w:hAnsi="Arial" w:cs="Arial"/>
          <w:sz w:val="24"/>
          <w:szCs w:val="24"/>
        </w:rPr>
        <w:t>,</w:t>
      </w:r>
      <w:r w:rsidR="00407384" w:rsidRPr="001B05BA">
        <w:rPr>
          <w:rFonts w:ascii="Arial" w:hAnsi="Arial" w:cs="Arial"/>
          <w:sz w:val="24"/>
          <w:szCs w:val="24"/>
        </w:rPr>
        <w:t xml:space="preserve"> and there are now more than 200 economies and Customs or Economic Unions currently using the system as a basis for their national Customs tariffs.</w:t>
      </w:r>
      <w:r w:rsidR="00407384" w:rsidRPr="001B05BA">
        <w:rPr>
          <w:rStyle w:val="FootnoteReference"/>
          <w:rFonts w:ascii="Arial" w:hAnsi="Arial" w:cs="Arial"/>
          <w:sz w:val="24"/>
          <w:szCs w:val="24"/>
        </w:rPr>
        <w:footnoteReference w:id="9"/>
      </w:r>
      <w:r w:rsidR="00407384" w:rsidRPr="001B05BA">
        <w:rPr>
          <w:rFonts w:ascii="Arial" w:hAnsi="Arial" w:cs="Arial"/>
          <w:sz w:val="24"/>
          <w:szCs w:val="24"/>
        </w:rPr>
        <w:t xml:space="preserve"> </w:t>
      </w:r>
    </w:p>
    <w:p w14:paraId="0CEBAE1E" w14:textId="77777777" w:rsidR="00CC5FE4" w:rsidRPr="001B05BA" w:rsidRDefault="00CC5FE4" w:rsidP="00CC5FE4">
      <w:pPr>
        <w:pStyle w:val="ListParagraph"/>
        <w:rPr>
          <w:rFonts w:ascii="Arial" w:hAnsi="Arial" w:cs="Arial"/>
          <w:sz w:val="24"/>
          <w:szCs w:val="24"/>
        </w:rPr>
      </w:pPr>
    </w:p>
    <w:p w14:paraId="2784EAF6" w14:textId="74DD2CF4" w:rsidR="00096C7B" w:rsidRPr="001B05BA" w:rsidRDefault="00CC5FE4" w:rsidP="00371158">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1B05BA">
        <w:rPr>
          <w:rFonts w:ascii="Arial" w:hAnsi="Arial" w:cs="Arial"/>
          <w:sz w:val="24"/>
          <w:szCs w:val="24"/>
        </w:rPr>
        <w:t xml:space="preserve">The HS can be described as a complete product classification system. It was designed as a ‘core’ system’ to which countries adopting it could make further subdivisions according to their particular tariff and statistical needs. </w:t>
      </w:r>
      <w:r w:rsidR="00C0669E" w:rsidRPr="001B05BA">
        <w:rPr>
          <w:rFonts w:ascii="Arial" w:hAnsi="Arial" w:cs="Arial"/>
          <w:sz w:val="24"/>
          <w:szCs w:val="24"/>
        </w:rPr>
        <w:t xml:space="preserve"> </w:t>
      </w:r>
      <w:r w:rsidR="00CB6740" w:rsidRPr="001B05BA">
        <w:rPr>
          <w:rFonts w:ascii="Arial" w:hAnsi="Arial" w:cs="Arial"/>
          <w:sz w:val="24"/>
          <w:szCs w:val="24"/>
        </w:rPr>
        <w:t>From an informational work titled ‘What Every Member of the Trade Community Should Know About: Tariff Classification’,</w:t>
      </w:r>
      <w:r w:rsidR="00CB6740" w:rsidRPr="001B05BA">
        <w:rPr>
          <w:rStyle w:val="FootnoteReference"/>
          <w:rFonts w:ascii="Arial" w:hAnsi="Arial" w:cs="Arial"/>
          <w:sz w:val="24"/>
          <w:szCs w:val="24"/>
        </w:rPr>
        <w:footnoteReference w:id="10"/>
      </w:r>
      <w:r w:rsidR="00CB6740" w:rsidRPr="001B05BA">
        <w:rPr>
          <w:rFonts w:ascii="Arial" w:hAnsi="Arial" w:cs="Arial"/>
          <w:sz w:val="24"/>
          <w:szCs w:val="24"/>
        </w:rPr>
        <w:t xml:space="preserve"> it </w:t>
      </w:r>
      <w:r w:rsidR="006A6C3D" w:rsidRPr="001B05BA">
        <w:rPr>
          <w:rFonts w:ascii="Arial" w:hAnsi="Arial" w:cs="Arial"/>
          <w:sz w:val="24"/>
          <w:szCs w:val="24"/>
        </w:rPr>
        <w:t>may be</w:t>
      </w:r>
      <w:r w:rsidR="00CB6740" w:rsidRPr="001B05BA">
        <w:rPr>
          <w:rFonts w:ascii="Arial" w:hAnsi="Arial" w:cs="Arial"/>
          <w:sz w:val="24"/>
          <w:szCs w:val="24"/>
        </w:rPr>
        <w:t xml:space="preserve"> gleaned that at the</w:t>
      </w:r>
      <w:r w:rsidR="00C0669E" w:rsidRPr="001B05BA">
        <w:rPr>
          <w:rFonts w:ascii="Arial" w:hAnsi="Arial" w:cs="Arial"/>
          <w:sz w:val="24"/>
          <w:szCs w:val="24"/>
        </w:rPr>
        <w:t xml:space="preserve"> international level, the HS consists of approximately 5000 article descriptions. These descriptions are arranged into 97 chapters </w:t>
      </w:r>
      <w:r w:rsidR="004E24B7" w:rsidRPr="001B05BA">
        <w:rPr>
          <w:rFonts w:ascii="Arial" w:hAnsi="Arial" w:cs="Arial"/>
          <w:sz w:val="24"/>
          <w:szCs w:val="24"/>
        </w:rPr>
        <w:t xml:space="preserve">and </w:t>
      </w:r>
      <w:r w:rsidR="00C0669E" w:rsidRPr="001B05BA">
        <w:rPr>
          <w:rFonts w:ascii="Arial" w:hAnsi="Arial" w:cs="Arial"/>
          <w:sz w:val="24"/>
          <w:szCs w:val="24"/>
        </w:rPr>
        <w:t xml:space="preserve">grouped into 21 sections. </w:t>
      </w:r>
      <w:r w:rsidR="00FC2318" w:rsidRPr="001B05BA">
        <w:rPr>
          <w:rFonts w:ascii="Arial" w:hAnsi="Arial" w:cs="Arial"/>
          <w:sz w:val="24"/>
          <w:szCs w:val="24"/>
        </w:rPr>
        <w:t>T</w:t>
      </w:r>
      <w:r w:rsidR="00C0669E" w:rsidRPr="001B05BA">
        <w:rPr>
          <w:rFonts w:ascii="Arial" w:hAnsi="Arial" w:cs="Arial"/>
          <w:sz w:val="24"/>
          <w:szCs w:val="24"/>
        </w:rPr>
        <w:t>he HS contains interpretative rules and section, chapter, and subheading notes for use in the classification of merchandise</w:t>
      </w:r>
      <w:r w:rsidR="00096C7B" w:rsidRPr="001B05BA">
        <w:rPr>
          <w:rFonts w:ascii="Arial" w:hAnsi="Arial" w:cs="Arial"/>
          <w:sz w:val="24"/>
          <w:szCs w:val="24"/>
        </w:rPr>
        <w:t>:</w:t>
      </w:r>
    </w:p>
    <w:p w14:paraId="3136B217" w14:textId="77777777" w:rsidR="00096C7B" w:rsidRPr="001B05BA" w:rsidRDefault="00096C7B" w:rsidP="00096C7B">
      <w:pPr>
        <w:pStyle w:val="ListParagraph"/>
        <w:rPr>
          <w:rFonts w:ascii="Arial" w:hAnsi="Arial" w:cs="Arial"/>
          <w:sz w:val="24"/>
          <w:szCs w:val="24"/>
        </w:rPr>
      </w:pPr>
    </w:p>
    <w:p w14:paraId="51F73E93" w14:textId="09AD6D43" w:rsidR="00CC5FE4" w:rsidRPr="001B05BA" w:rsidRDefault="00CB6740" w:rsidP="00096C7B">
      <w:pPr>
        <w:pStyle w:val="ListParagraph"/>
        <w:tabs>
          <w:tab w:val="left" w:pos="4917"/>
        </w:tabs>
        <w:spacing w:before="120" w:after="120" w:line="360" w:lineRule="auto"/>
        <w:ind w:left="1008" w:right="1008"/>
        <w:jc w:val="both"/>
        <w:rPr>
          <w:rFonts w:ascii="Arial" w:hAnsi="Arial" w:cs="Arial"/>
          <w:i/>
          <w:iCs/>
          <w:sz w:val="24"/>
          <w:szCs w:val="24"/>
        </w:rPr>
      </w:pPr>
      <w:r w:rsidRPr="001B05BA">
        <w:rPr>
          <w:rFonts w:ascii="Arial" w:hAnsi="Arial" w:cs="Arial"/>
          <w:sz w:val="24"/>
          <w:szCs w:val="24"/>
        </w:rPr>
        <w:t xml:space="preserve"> ‘Goods in trade generally appear in the Harmonized System in categories or product headings beginning with crude and natural products and continuing in further degrees of complexity through advanced manufactured goods. This progression is found within chapters and among chapters (e.g., live animals are classified in chapter 1, anima</w:t>
      </w:r>
      <w:r w:rsidR="00B937C7" w:rsidRPr="001B05BA">
        <w:rPr>
          <w:rFonts w:ascii="Arial" w:hAnsi="Arial" w:cs="Arial"/>
          <w:sz w:val="24"/>
          <w:szCs w:val="24"/>
        </w:rPr>
        <w:t>ls</w:t>
      </w:r>
      <w:r w:rsidRPr="001B05BA">
        <w:rPr>
          <w:rFonts w:ascii="Arial" w:hAnsi="Arial" w:cs="Arial"/>
          <w:sz w:val="24"/>
          <w:szCs w:val="24"/>
        </w:rPr>
        <w:t xml:space="preserve"> hides and skins in chapter 41 and leather footwear in chapter 64). These product headings are designed at the broadest coverage levels with 4-digit numerical codes (or headings) and, where deemed appropriate, are further subdivided into narrower categories assigned two additional digits (which comprise 6-digit numerical codes </w:t>
      </w:r>
      <w:r w:rsidRPr="001B05BA">
        <w:rPr>
          <w:rFonts w:ascii="Arial" w:hAnsi="Arial" w:cs="Arial"/>
          <w:sz w:val="24"/>
          <w:szCs w:val="24"/>
        </w:rPr>
        <w:lastRenderedPageBreak/>
        <w:t>or subheadings). The first two digits of a 4-digit heading indicate the chapter in which the heading is found (e.g., heading 2106 is in chapter 21).’</w:t>
      </w:r>
      <w:r w:rsidR="00FB767E" w:rsidRPr="001B05BA">
        <w:rPr>
          <w:rStyle w:val="FootnoteReference"/>
          <w:rFonts w:ascii="Arial" w:hAnsi="Arial" w:cs="Arial"/>
          <w:sz w:val="24"/>
          <w:szCs w:val="24"/>
        </w:rPr>
        <w:footnoteReference w:id="11"/>
      </w:r>
      <w:r w:rsidR="00296E63" w:rsidRPr="001B05BA">
        <w:rPr>
          <w:rFonts w:ascii="Arial" w:hAnsi="Arial" w:cs="Arial"/>
          <w:sz w:val="24"/>
          <w:szCs w:val="24"/>
        </w:rPr>
        <w:t xml:space="preserve"> (</w:t>
      </w:r>
      <w:r w:rsidR="00296E63" w:rsidRPr="001B05BA">
        <w:rPr>
          <w:rFonts w:ascii="Arial" w:hAnsi="Arial" w:cs="Arial"/>
          <w:i/>
          <w:iCs/>
          <w:sz w:val="24"/>
          <w:szCs w:val="24"/>
        </w:rPr>
        <w:t>sic.)</w:t>
      </w:r>
    </w:p>
    <w:p w14:paraId="4121BA91" w14:textId="77777777" w:rsidR="00CC5FE4" w:rsidRPr="001B05BA" w:rsidRDefault="00CC5FE4" w:rsidP="00CC5FE4">
      <w:pPr>
        <w:pStyle w:val="ListParagraph"/>
        <w:rPr>
          <w:rFonts w:ascii="Arial" w:hAnsi="Arial" w:cs="Arial"/>
          <w:sz w:val="24"/>
          <w:szCs w:val="24"/>
        </w:rPr>
      </w:pPr>
    </w:p>
    <w:p w14:paraId="0614AB16" w14:textId="1FE3B7D7" w:rsidR="00CC5FE4" w:rsidRPr="001B05BA" w:rsidRDefault="00CC5FE4" w:rsidP="00371158">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1B05BA">
        <w:rPr>
          <w:rFonts w:ascii="Arial" w:hAnsi="Arial" w:cs="Arial"/>
          <w:sz w:val="24"/>
          <w:szCs w:val="24"/>
        </w:rPr>
        <w:t xml:space="preserve">The General Rules for the Interpretation of the Harmonized System (‘GRI’) are the rules that govern the classification of goods under the HS. </w:t>
      </w:r>
      <w:r w:rsidR="007B4C3B" w:rsidRPr="001B05BA">
        <w:rPr>
          <w:rFonts w:ascii="Arial" w:hAnsi="Arial" w:cs="Arial"/>
          <w:sz w:val="24"/>
          <w:szCs w:val="24"/>
        </w:rPr>
        <w:t>Parties are required to apply the General Rules of Interpretation and all section, chapter, and subheading notes without modification to the scope of the sections, chapters, headings, or subheadings of the HS. Each contracting party is permitted to adopt in its national tariff system further detailed subdivisions for classifying goods so long as any such subdivision is added and coded at a level beyond the 6-digit numerical code provided in the HS. Coding beyond the 6-digit level is usually at the 8-digit level and is generally referred to as the “national level.</w:t>
      </w:r>
      <w:r w:rsidR="007B4C3B" w:rsidRPr="001B05BA">
        <w:rPr>
          <w:rStyle w:val="FootnoteReference"/>
          <w:rFonts w:ascii="Arial" w:hAnsi="Arial" w:cs="Arial"/>
          <w:sz w:val="24"/>
          <w:szCs w:val="24"/>
        </w:rPr>
        <w:footnoteReference w:id="12"/>
      </w:r>
    </w:p>
    <w:p w14:paraId="1EE03F6E" w14:textId="77777777" w:rsidR="00CC5FE4" w:rsidRPr="001B05BA" w:rsidRDefault="00CC5FE4" w:rsidP="00CC5FE4">
      <w:pPr>
        <w:pStyle w:val="ListParagraph"/>
        <w:rPr>
          <w:rFonts w:ascii="Arial" w:hAnsi="Arial" w:cs="Arial"/>
          <w:sz w:val="24"/>
          <w:szCs w:val="24"/>
        </w:rPr>
      </w:pPr>
    </w:p>
    <w:p w14:paraId="6CF337AB" w14:textId="04953A69" w:rsidR="00ED7BF3" w:rsidRPr="001B05BA" w:rsidRDefault="00407384" w:rsidP="00371158">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1B05BA">
        <w:rPr>
          <w:rFonts w:ascii="Arial" w:hAnsi="Arial" w:cs="Arial"/>
          <w:sz w:val="24"/>
          <w:szCs w:val="24"/>
        </w:rPr>
        <w:t>Explanatory Notes are the official interpretation of the HS approved by the WCO Council and are an indispensable complement to the HS.</w:t>
      </w:r>
      <w:r w:rsidRPr="001B05BA">
        <w:rPr>
          <w:rStyle w:val="FootnoteReference"/>
          <w:rFonts w:ascii="Arial" w:hAnsi="Arial" w:cs="Arial"/>
          <w:sz w:val="24"/>
          <w:szCs w:val="24"/>
        </w:rPr>
        <w:footnoteReference w:id="13"/>
      </w:r>
      <w:r w:rsidRPr="001B05BA">
        <w:rPr>
          <w:rFonts w:ascii="Arial" w:hAnsi="Arial" w:cs="Arial"/>
          <w:sz w:val="24"/>
          <w:szCs w:val="24"/>
        </w:rPr>
        <w:t xml:space="preserve"> They provide guidance on the scope of each heading, a list of the main products that each position includes and excludes</w:t>
      </w:r>
      <w:r w:rsidR="00E9089C" w:rsidRPr="001B05BA">
        <w:rPr>
          <w:rFonts w:ascii="Arial" w:hAnsi="Arial" w:cs="Arial"/>
          <w:sz w:val="24"/>
          <w:szCs w:val="24"/>
        </w:rPr>
        <w:t>,</w:t>
      </w:r>
      <w:r w:rsidRPr="001B05BA">
        <w:rPr>
          <w:rFonts w:ascii="Arial" w:hAnsi="Arial" w:cs="Arial"/>
          <w:sz w:val="24"/>
          <w:szCs w:val="24"/>
        </w:rPr>
        <w:t xml:space="preserve"> and their technical description.</w:t>
      </w:r>
      <w:r w:rsidRPr="001B05BA">
        <w:rPr>
          <w:rStyle w:val="FootnoteReference"/>
          <w:rFonts w:ascii="Arial" w:hAnsi="Arial" w:cs="Arial"/>
          <w:sz w:val="24"/>
          <w:szCs w:val="24"/>
        </w:rPr>
        <w:footnoteReference w:id="14"/>
      </w:r>
    </w:p>
    <w:p w14:paraId="2B12BB0E" w14:textId="77777777" w:rsidR="00133244" w:rsidRPr="001B05BA" w:rsidRDefault="00133244" w:rsidP="00133244">
      <w:pPr>
        <w:pStyle w:val="ListParagraph"/>
        <w:rPr>
          <w:rFonts w:ascii="Arial" w:hAnsi="Arial" w:cs="Arial"/>
          <w:sz w:val="24"/>
          <w:szCs w:val="24"/>
        </w:rPr>
      </w:pPr>
    </w:p>
    <w:p w14:paraId="6BEE8956" w14:textId="4F8F3672" w:rsidR="00133244" w:rsidRPr="001B05BA" w:rsidRDefault="00133244" w:rsidP="00371158">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1B05BA">
        <w:rPr>
          <w:rFonts w:ascii="Arial" w:hAnsi="Arial" w:cs="Arial"/>
          <w:sz w:val="24"/>
          <w:szCs w:val="24"/>
        </w:rPr>
        <w:t>Section 47(8)(a) of the Customs and Excise Act provides:</w:t>
      </w:r>
    </w:p>
    <w:p w14:paraId="062E6477" w14:textId="77777777" w:rsidR="00133244" w:rsidRPr="001B05BA" w:rsidRDefault="00133244" w:rsidP="00133244">
      <w:pPr>
        <w:pStyle w:val="ListParagraph"/>
        <w:rPr>
          <w:rFonts w:ascii="Arial" w:hAnsi="Arial" w:cs="Arial"/>
          <w:sz w:val="24"/>
          <w:szCs w:val="24"/>
        </w:rPr>
      </w:pPr>
    </w:p>
    <w:p w14:paraId="442889CE" w14:textId="3D73310B" w:rsidR="00133244" w:rsidRPr="001B05BA" w:rsidRDefault="00133244" w:rsidP="00126FCC">
      <w:pPr>
        <w:pStyle w:val="ListParagraph"/>
        <w:tabs>
          <w:tab w:val="left" w:pos="4917"/>
        </w:tabs>
        <w:spacing w:before="120" w:after="120" w:line="360" w:lineRule="auto"/>
        <w:ind w:left="1008" w:right="1008"/>
        <w:jc w:val="both"/>
        <w:rPr>
          <w:rFonts w:ascii="Arial" w:hAnsi="Arial" w:cs="Arial"/>
          <w:sz w:val="24"/>
          <w:szCs w:val="24"/>
        </w:rPr>
      </w:pPr>
      <w:r w:rsidRPr="001B05BA">
        <w:rPr>
          <w:rFonts w:ascii="Arial" w:hAnsi="Arial" w:cs="Arial"/>
          <w:sz w:val="24"/>
          <w:szCs w:val="24"/>
        </w:rPr>
        <w:t>‘8</w:t>
      </w:r>
      <w:r w:rsidR="00126FCC" w:rsidRPr="001B05BA">
        <w:rPr>
          <w:rFonts w:ascii="Arial" w:hAnsi="Arial" w:cs="Arial"/>
          <w:sz w:val="24"/>
          <w:szCs w:val="24"/>
        </w:rPr>
        <w:t xml:space="preserve"> (</w:t>
      </w:r>
      <w:r w:rsidRPr="001B05BA">
        <w:rPr>
          <w:rFonts w:ascii="Arial" w:hAnsi="Arial" w:cs="Arial"/>
          <w:sz w:val="24"/>
          <w:szCs w:val="24"/>
        </w:rPr>
        <w:t>a)  The interpretation of –</w:t>
      </w:r>
    </w:p>
    <w:p w14:paraId="423B6B8B" w14:textId="43D2E33A" w:rsidR="00133244" w:rsidRPr="001B05BA" w:rsidRDefault="00126FCC" w:rsidP="00371158">
      <w:pPr>
        <w:pStyle w:val="ListParagraph"/>
        <w:numPr>
          <w:ilvl w:val="0"/>
          <w:numId w:val="5"/>
        </w:numPr>
        <w:tabs>
          <w:tab w:val="left" w:pos="4917"/>
        </w:tabs>
        <w:spacing w:before="120" w:after="120" w:line="360" w:lineRule="auto"/>
        <w:ind w:right="1008"/>
        <w:jc w:val="both"/>
        <w:rPr>
          <w:rFonts w:ascii="Arial" w:hAnsi="Arial" w:cs="Arial"/>
          <w:sz w:val="24"/>
          <w:szCs w:val="24"/>
        </w:rPr>
      </w:pPr>
      <w:r w:rsidRPr="001B05BA">
        <w:rPr>
          <w:rFonts w:ascii="Arial" w:hAnsi="Arial" w:cs="Arial"/>
          <w:sz w:val="24"/>
          <w:szCs w:val="24"/>
        </w:rPr>
        <w:t>Any tariff heading or tariff subheading in Part 1 of Schedule No. 1;</w:t>
      </w:r>
    </w:p>
    <w:p w14:paraId="70AE022A" w14:textId="6C36F921" w:rsidR="00126FCC" w:rsidRPr="001B05BA" w:rsidRDefault="00126FCC" w:rsidP="00371158">
      <w:pPr>
        <w:pStyle w:val="ListParagraph"/>
        <w:numPr>
          <w:ilvl w:val="0"/>
          <w:numId w:val="5"/>
        </w:numPr>
        <w:tabs>
          <w:tab w:val="left" w:pos="4917"/>
        </w:tabs>
        <w:spacing w:before="120" w:after="120" w:line="360" w:lineRule="auto"/>
        <w:ind w:right="1008"/>
        <w:jc w:val="both"/>
        <w:rPr>
          <w:rFonts w:ascii="Arial" w:hAnsi="Arial" w:cs="Arial"/>
          <w:sz w:val="24"/>
          <w:szCs w:val="24"/>
        </w:rPr>
      </w:pPr>
      <w:r w:rsidRPr="001B05BA">
        <w:rPr>
          <w:rFonts w:ascii="Arial" w:hAnsi="Arial" w:cs="Arial"/>
          <w:sz w:val="24"/>
          <w:szCs w:val="24"/>
        </w:rPr>
        <w:t>(aa) any tariff item or fuel levy item or item specified in Part 2, 3, 5, 6 or 7 of the said Schedule, and</w:t>
      </w:r>
    </w:p>
    <w:p w14:paraId="6C72AC57" w14:textId="1049D69C" w:rsidR="00737B06" w:rsidRPr="001B05BA" w:rsidRDefault="00737B06" w:rsidP="00737B06">
      <w:pPr>
        <w:pStyle w:val="ListParagraph"/>
        <w:tabs>
          <w:tab w:val="left" w:pos="4917"/>
        </w:tabs>
        <w:spacing w:before="120" w:after="120" w:line="360" w:lineRule="auto"/>
        <w:ind w:left="1728" w:right="1008"/>
        <w:jc w:val="both"/>
        <w:rPr>
          <w:rFonts w:ascii="Arial" w:hAnsi="Arial" w:cs="Arial"/>
          <w:sz w:val="24"/>
          <w:szCs w:val="24"/>
        </w:rPr>
      </w:pPr>
      <w:r w:rsidRPr="001B05BA">
        <w:rPr>
          <w:rFonts w:ascii="Arial" w:hAnsi="Arial" w:cs="Arial"/>
          <w:sz w:val="24"/>
          <w:szCs w:val="24"/>
        </w:rPr>
        <w:t>(bb)</w:t>
      </w:r>
      <w:r w:rsidR="004B7261" w:rsidRPr="001B05BA">
        <w:rPr>
          <w:rFonts w:ascii="Arial" w:hAnsi="Arial" w:cs="Arial"/>
          <w:sz w:val="24"/>
          <w:szCs w:val="24"/>
        </w:rPr>
        <w:t xml:space="preserve"> any item specified in Schedule No. 2, 3, 4, 5 or 6;</w:t>
      </w:r>
    </w:p>
    <w:p w14:paraId="4B88C0FC" w14:textId="3F6D71EF" w:rsidR="00126FCC" w:rsidRPr="001B05BA" w:rsidRDefault="00126FCC" w:rsidP="00371158">
      <w:pPr>
        <w:pStyle w:val="ListParagraph"/>
        <w:numPr>
          <w:ilvl w:val="0"/>
          <w:numId w:val="5"/>
        </w:numPr>
        <w:tabs>
          <w:tab w:val="left" w:pos="4917"/>
        </w:tabs>
        <w:spacing w:before="120" w:after="120" w:line="360" w:lineRule="auto"/>
        <w:ind w:right="1008"/>
        <w:jc w:val="both"/>
        <w:rPr>
          <w:rFonts w:ascii="Arial" w:hAnsi="Arial" w:cs="Arial"/>
          <w:sz w:val="24"/>
          <w:szCs w:val="24"/>
        </w:rPr>
      </w:pPr>
      <w:r w:rsidRPr="001B05BA">
        <w:rPr>
          <w:rFonts w:ascii="Arial" w:hAnsi="Arial" w:cs="Arial"/>
          <w:sz w:val="24"/>
          <w:szCs w:val="24"/>
        </w:rPr>
        <w:t>the general rules for the interpretation of Schedule No. 1; and</w:t>
      </w:r>
    </w:p>
    <w:p w14:paraId="7AA60EBC" w14:textId="2FAECADC" w:rsidR="00126FCC" w:rsidRPr="001B05BA" w:rsidRDefault="00126FCC" w:rsidP="00C33267">
      <w:pPr>
        <w:pStyle w:val="ListParagraph"/>
        <w:numPr>
          <w:ilvl w:val="0"/>
          <w:numId w:val="4"/>
        </w:numPr>
        <w:tabs>
          <w:tab w:val="left" w:pos="4917"/>
        </w:tabs>
        <w:spacing w:before="120" w:after="120" w:line="360" w:lineRule="auto"/>
        <w:ind w:left="1008" w:right="1008" w:hanging="4917"/>
        <w:jc w:val="both"/>
        <w:rPr>
          <w:rFonts w:ascii="Arial" w:hAnsi="Arial" w:cs="Arial"/>
          <w:sz w:val="24"/>
          <w:szCs w:val="24"/>
        </w:rPr>
      </w:pPr>
      <w:r w:rsidRPr="001B05BA">
        <w:rPr>
          <w:rFonts w:ascii="Arial" w:hAnsi="Arial" w:cs="Arial"/>
          <w:sz w:val="24"/>
          <w:szCs w:val="24"/>
        </w:rPr>
        <w:t>(iv)     every section note and chapter note in Part 1 of Schedule No.1,</w:t>
      </w:r>
    </w:p>
    <w:p w14:paraId="47216D0B" w14:textId="1F338BF5" w:rsidR="00126FCC" w:rsidRPr="001B05BA" w:rsidRDefault="00126FCC" w:rsidP="00371158">
      <w:pPr>
        <w:pStyle w:val="ListParagraph"/>
        <w:numPr>
          <w:ilvl w:val="0"/>
          <w:numId w:val="4"/>
        </w:numPr>
        <w:tabs>
          <w:tab w:val="left" w:pos="4917"/>
        </w:tabs>
        <w:spacing w:before="120" w:after="120" w:line="360" w:lineRule="auto"/>
        <w:ind w:left="1008" w:right="1008" w:hanging="4917"/>
        <w:jc w:val="both"/>
        <w:rPr>
          <w:rFonts w:ascii="Arial" w:hAnsi="Arial" w:cs="Arial"/>
          <w:sz w:val="24"/>
          <w:szCs w:val="24"/>
        </w:rPr>
      </w:pPr>
      <w:r w:rsidRPr="001B05BA">
        <w:rPr>
          <w:rFonts w:ascii="Arial" w:hAnsi="Arial" w:cs="Arial"/>
          <w:sz w:val="24"/>
          <w:szCs w:val="24"/>
        </w:rPr>
        <w:lastRenderedPageBreak/>
        <w:t>shall be subject to the International Convention on the Harmonized Commodity Description and Coding System done in Brussels on 14 June 1983 and to the    Explanatory Notes to the Harmonized System issued by the Customs Co-Operation Council, Brussels (now known as the World Customs Organisation) from time to time</w:t>
      </w:r>
      <w:r w:rsidR="007F66E2" w:rsidRPr="001B05BA">
        <w:rPr>
          <w:rFonts w:ascii="Arial" w:hAnsi="Arial" w:cs="Arial"/>
          <w:sz w:val="24"/>
          <w:szCs w:val="24"/>
        </w:rPr>
        <w:t>: Provided that where the application of</w:t>
      </w:r>
      <w:r w:rsidR="00D64ADF" w:rsidRPr="001B05BA">
        <w:rPr>
          <w:rFonts w:ascii="Arial" w:hAnsi="Arial" w:cs="Arial"/>
          <w:sz w:val="24"/>
          <w:szCs w:val="24"/>
        </w:rPr>
        <w:t xml:space="preserve"> any part of such Notes or any addendum thereto or any explanation thereof is optional the application of such part, addendum or explanation shall be in the discretion of the Commissioner.</w:t>
      </w:r>
      <w:r w:rsidRPr="001B05BA">
        <w:rPr>
          <w:rFonts w:ascii="Arial" w:hAnsi="Arial" w:cs="Arial"/>
          <w:sz w:val="24"/>
          <w:szCs w:val="24"/>
        </w:rPr>
        <w:t>’</w:t>
      </w:r>
    </w:p>
    <w:p w14:paraId="7DCD70C5" w14:textId="77777777" w:rsidR="009A11CD" w:rsidRPr="001B05BA" w:rsidRDefault="009A11CD" w:rsidP="009A11CD">
      <w:pPr>
        <w:pStyle w:val="ListParagraph"/>
        <w:rPr>
          <w:rFonts w:ascii="Arial" w:hAnsi="Arial" w:cs="Arial"/>
          <w:sz w:val="24"/>
          <w:szCs w:val="24"/>
        </w:rPr>
      </w:pPr>
    </w:p>
    <w:p w14:paraId="737B3619" w14:textId="761B5FCC" w:rsidR="009A11CD" w:rsidRPr="001B05BA" w:rsidRDefault="009A11CD" w:rsidP="00371158">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1B05BA">
        <w:rPr>
          <w:rFonts w:ascii="Arial" w:hAnsi="Arial" w:cs="Arial"/>
          <w:sz w:val="24"/>
          <w:szCs w:val="24"/>
        </w:rPr>
        <w:t>The HS does not impose any obligation on contracting parties regarding rates of duty.</w:t>
      </w:r>
      <w:r w:rsidRPr="001B05BA">
        <w:rPr>
          <w:rStyle w:val="FootnoteReference"/>
          <w:rFonts w:ascii="Arial" w:hAnsi="Arial" w:cs="Arial"/>
          <w:sz w:val="24"/>
          <w:szCs w:val="24"/>
        </w:rPr>
        <w:footnoteReference w:id="15"/>
      </w:r>
      <w:r w:rsidRPr="001B05BA">
        <w:rPr>
          <w:rFonts w:ascii="Arial" w:hAnsi="Arial" w:cs="Arial"/>
          <w:sz w:val="24"/>
          <w:szCs w:val="24"/>
        </w:rPr>
        <w:t xml:space="preserve"> Rates of duty are left to each contracting party to apply based on national legislation.</w:t>
      </w:r>
      <w:r w:rsidR="00133244" w:rsidRPr="001B05BA">
        <w:rPr>
          <w:rFonts w:ascii="Arial" w:hAnsi="Arial" w:cs="Arial"/>
          <w:sz w:val="24"/>
          <w:szCs w:val="24"/>
        </w:rPr>
        <w:t xml:space="preserve"> </w:t>
      </w:r>
      <w:r w:rsidR="00126FCC" w:rsidRPr="001B05BA">
        <w:rPr>
          <w:rFonts w:ascii="Arial" w:hAnsi="Arial" w:cs="Arial"/>
          <w:sz w:val="24"/>
          <w:szCs w:val="24"/>
        </w:rPr>
        <w:t xml:space="preserve">Section 47(1) of the Act provides that excise duty shall be paid on locally manufactured goods in accordance with Part 1 and Part 2A of Schedule No. 1 </w:t>
      </w:r>
      <w:r w:rsidR="009E7207" w:rsidRPr="001B05BA">
        <w:rPr>
          <w:rFonts w:ascii="Arial" w:hAnsi="Arial" w:cs="Arial"/>
          <w:sz w:val="24"/>
          <w:szCs w:val="24"/>
        </w:rPr>
        <w:t>of</w:t>
      </w:r>
      <w:r w:rsidR="00126FCC" w:rsidRPr="001B05BA">
        <w:rPr>
          <w:rFonts w:ascii="Arial" w:hAnsi="Arial" w:cs="Arial"/>
          <w:sz w:val="24"/>
          <w:szCs w:val="24"/>
        </w:rPr>
        <w:t xml:space="preserve"> the Act, which Schedule </w:t>
      </w:r>
      <w:r w:rsidR="009607C3" w:rsidRPr="001B05BA">
        <w:rPr>
          <w:rFonts w:ascii="Arial" w:hAnsi="Arial" w:cs="Arial"/>
          <w:sz w:val="24"/>
          <w:szCs w:val="24"/>
        </w:rPr>
        <w:t>simultaneously</w:t>
      </w:r>
      <w:r w:rsidR="00126FCC" w:rsidRPr="001B05BA">
        <w:rPr>
          <w:rFonts w:ascii="Arial" w:hAnsi="Arial" w:cs="Arial"/>
          <w:sz w:val="24"/>
          <w:szCs w:val="24"/>
        </w:rPr>
        <w:t xml:space="preserve"> provides for the classification of goods.</w:t>
      </w:r>
    </w:p>
    <w:p w14:paraId="5E2AB0F4" w14:textId="77777777" w:rsidR="00133244" w:rsidRPr="001B05BA" w:rsidRDefault="00133244" w:rsidP="00133244">
      <w:pPr>
        <w:pStyle w:val="ListParagraph"/>
        <w:rPr>
          <w:rFonts w:ascii="Arial" w:hAnsi="Arial" w:cs="Arial"/>
          <w:sz w:val="24"/>
          <w:szCs w:val="24"/>
        </w:rPr>
      </w:pPr>
    </w:p>
    <w:p w14:paraId="178392D9" w14:textId="14237A7E" w:rsidR="00383263" w:rsidRPr="001B05BA" w:rsidRDefault="00BF6FBB" w:rsidP="00371158">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1B05BA">
        <w:rPr>
          <w:rFonts w:ascii="Arial" w:hAnsi="Arial" w:cs="Arial"/>
          <w:sz w:val="24"/>
          <w:szCs w:val="24"/>
        </w:rPr>
        <w:t>Since</w:t>
      </w:r>
      <w:r w:rsidR="00E9089C" w:rsidRPr="001B05BA">
        <w:rPr>
          <w:rFonts w:ascii="Arial" w:hAnsi="Arial" w:cs="Arial"/>
          <w:sz w:val="24"/>
          <w:szCs w:val="24"/>
        </w:rPr>
        <w:t xml:space="preserve"> there is consensus be</w:t>
      </w:r>
      <w:r w:rsidR="0001205F" w:rsidRPr="001B05BA">
        <w:rPr>
          <w:rFonts w:ascii="Arial" w:hAnsi="Arial" w:cs="Arial"/>
          <w:sz w:val="24"/>
          <w:szCs w:val="24"/>
        </w:rPr>
        <w:t xml:space="preserve">tween the parties up </w:t>
      </w:r>
      <w:r w:rsidR="00493595" w:rsidRPr="001B05BA">
        <w:rPr>
          <w:rFonts w:ascii="Arial" w:hAnsi="Arial" w:cs="Arial"/>
          <w:sz w:val="24"/>
          <w:szCs w:val="24"/>
        </w:rPr>
        <w:t>to</w:t>
      </w:r>
      <w:r w:rsidR="0001205F" w:rsidRPr="001B05BA">
        <w:rPr>
          <w:rFonts w:ascii="Arial" w:hAnsi="Arial" w:cs="Arial"/>
          <w:sz w:val="24"/>
          <w:szCs w:val="24"/>
        </w:rPr>
        <w:t xml:space="preserve"> the 7</w:t>
      </w:r>
      <w:r w:rsidR="00E644D2" w:rsidRPr="001B05BA">
        <w:rPr>
          <w:rFonts w:ascii="Arial" w:hAnsi="Arial" w:cs="Arial"/>
          <w:sz w:val="24"/>
          <w:szCs w:val="24"/>
        </w:rPr>
        <w:t>-</w:t>
      </w:r>
      <w:r w:rsidR="00E9089C" w:rsidRPr="001B05BA">
        <w:rPr>
          <w:rFonts w:ascii="Arial" w:hAnsi="Arial" w:cs="Arial"/>
          <w:sz w:val="24"/>
          <w:szCs w:val="24"/>
        </w:rPr>
        <w:t>digit tariff subheading level, 2208.70</w:t>
      </w:r>
      <w:r w:rsidR="0001205F" w:rsidRPr="001B05BA">
        <w:rPr>
          <w:rFonts w:ascii="Arial" w:hAnsi="Arial" w:cs="Arial"/>
          <w:sz w:val="24"/>
          <w:szCs w:val="24"/>
        </w:rPr>
        <w:t>.2</w:t>
      </w:r>
      <w:r w:rsidR="00E9089C" w:rsidRPr="001B05BA">
        <w:rPr>
          <w:rFonts w:ascii="Arial" w:hAnsi="Arial" w:cs="Arial"/>
          <w:sz w:val="24"/>
          <w:szCs w:val="24"/>
        </w:rPr>
        <w:t>, it is not necessary to deal in detail</w:t>
      </w:r>
      <w:r w:rsidR="00383263" w:rsidRPr="001B05BA">
        <w:rPr>
          <w:rFonts w:ascii="Arial" w:hAnsi="Arial" w:cs="Arial"/>
          <w:sz w:val="24"/>
          <w:szCs w:val="24"/>
        </w:rPr>
        <w:t xml:space="preserve"> with the classification system, save to state that the court is alive to the fact that the </w:t>
      </w:r>
      <w:r w:rsidR="00E13FC5" w:rsidRPr="001B05BA">
        <w:rPr>
          <w:rFonts w:ascii="Arial" w:hAnsi="Arial" w:cs="Arial"/>
          <w:sz w:val="24"/>
          <w:szCs w:val="24"/>
        </w:rPr>
        <w:t>–</w:t>
      </w:r>
    </w:p>
    <w:p w14:paraId="2AB8DB3A" w14:textId="77777777" w:rsidR="003B0E13" w:rsidRPr="001B05BA" w:rsidRDefault="003B0E13" w:rsidP="003B0E13">
      <w:pPr>
        <w:pStyle w:val="ListParagraph"/>
        <w:rPr>
          <w:rFonts w:ascii="Arial" w:hAnsi="Arial" w:cs="Arial"/>
          <w:sz w:val="24"/>
          <w:szCs w:val="24"/>
        </w:rPr>
      </w:pPr>
    </w:p>
    <w:p w14:paraId="6C5863C8" w14:textId="0603A023" w:rsidR="00E13FC5" w:rsidRPr="001B05BA" w:rsidRDefault="003B0E13" w:rsidP="00E13FC5">
      <w:pPr>
        <w:pStyle w:val="ListParagraph"/>
        <w:tabs>
          <w:tab w:val="left" w:pos="4917"/>
        </w:tabs>
        <w:spacing w:before="120" w:after="120" w:line="360" w:lineRule="auto"/>
        <w:ind w:left="1008" w:right="1008"/>
        <w:jc w:val="both"/>
        <w:rPr>
          <w:rFonts w:ascii="Arial" w:hAnsi="Arial" w:cs="Arial"/>
          <w:color w:val="000000"/>
          <w:sz w:val="24"/>
          <w:szCs w:val="24"/>
        </w:rPr>
      </w:pPr>
      <w:r w:rsidRPr="001B05BA">
        <w:rPr>
          <w:rFonts w:ascii="Arial" w:hAnsi="Arial" w:cs="Arial"/>
          <w:color w:val="000000"/>
          <w:sz w:val="24"/>
          <w:szCs w:val="24"/>
        </w:rPr>
        <w:t>‘</w:t>
      </w:r>
      <w:r w:rsidR="00E13FC5" w:rsidRPr="001B05BA">
        <w:rPr>
          <w:rFonts w:ascii="Arial" w:hAnsi="Arial" w:cs="Arial"/>
          <w:color w:val="000000"/>
          <w:sz w:val="24"/>
          <w:szCs w:val="24"/>
        </w:rPr>
        <w:t>Classification as between headings is a three-stage process: first, interpretation - the ascertainment of the meaning of the words used in the headings (and relative section and chapter notes) which may be relevant to the classification of the goods concerned; second, consideration of the nature and characteristics of those goods; and third, the selection of the heading which is most appropriate to such goods.’</w:t>
      </w:r>
      <w:r w:rsidR="00E13FC5" w:rsidRPr="001B05BA">
        <w:rPr>
          <w:rStyle w:val="FootnoteReference"/>
          <w:rFonts w:ascii="Arial" w:hAnsi="Arial" w:cs="Arial"/>
          <w:color w:val="000000"/>
          <w:sz w:val="24"/>
          <w:szCs w:val="24"/>
        </w:rPr>
        <w:footnoteReference w:id="16"/>
      </w:r>
    </w:p>
    <w:p w14:paraId="078BD4EF" w14:textId="77777777" w:rsidR="00383263" w:rsidRPr="001B05BA" w:rsidRDefault="00383263" w:rsidP="00383263">
      <w:pPr>
        <w:pStyle w:val="ListParagraph"/>
        <w:rPr>
          <w:rFonts w:ascii="Arial" w:hAnsi="Arial" w:cs="Arial"/>
          <w:sz w:val="24"/>
          <w:szCs w:val="24"/>
        </w:rPr>
      </w:pPr>
    </w:p>
    <w:p w14:paraId="39291ADB" w14:textId="206E28A9" w:rsidR="00CC6F58" w:rsidRPr="001B05BA" w:rsidRDefault="00B51DB6" w:rsidP="00371158">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1B05BA">
        <w:rPr>
          <w:rFonts w:ascii="Arial" w:hAnsi="Arial" w:cs="Arial"/>
          <w:sz w:val="24"/>
          <w:szCs w:val="24"/>
        </w:rPr>
        <w:t>The Supreme Court of Appeal</w:t>
      </w:r>
      <w:r w:rsidR="00CC6F58" w:rsidRPr="001B05BA">
        <w:rPr>
          <w:rFonts w:ascii="Arial" w:hAnsi="Arial" w:cs="Arial"/>
          <w:sz w:val="24"/>
          <w:szCs w:val="24"/>
        </w:rPr>
        <w:t xml:space="preserve"> held in </w:t>
      </w:r>
      <w:r w:rsidR="00CC6F58" w:rsidRPr="001B05BA">
        <w:rPr>
          <w:rFonts w:ascii="Arial" w:hAnsi="Arial" w:cs="Arial"/>
          <w:i/>
          <w:sz w:val="24"/>
          <w:szCs w:val="24"/>
        </w:rPr>
        <w:t>Distell Ltd and Another v Commissioner of South African Revenue Service</w:t>
      </w:r>
      <w:r w:rsidR="00CC6F58" w:rsidRPr="001B05BA">
        <w:rPr>
          <w:rFonts w:ascii="Arial" w:hAnsi="Arial" w:cs="Arial"/>
          <w:sz w:val="24"/>
          <w:szCs w:val="24"/>
        </w:rPr>
        <w:t>,</w:t>
      </w:r>
      <w:r w:rsidR="00CC6F58" w:rsidRPr="001B05BA">
        <w:rPr>
          <w:rStyle w:val="FootnoteReference"/>
          <w:rFonts w:ascii="Arial" w:hAnsi="Arial" w:cs="Arial"/>
          <w:sz w:val="24"/>
          <w:szCs w:val="24"/>
        </w:rPr>
        <w:footnoteReference w:id="17"/>
      </w:r>
      <w:r w:rsidR="00CC6F58" w:rsidRPr="001B05BA">
        <w:rPr>
          <w:rFonts w:ascii="Arial" w:hAnsi="Arial" w:cs="Arial"/>
          <w:sz w:val="24"/>
          <w:szCs w:val="24"/>
        </w:rPr>
        <w:t xml:space="preserve"> that there is no reason to regard the order of the first two stages </w:t>
      </w:r>
      <w:r w:rsidR="00831E8C" w:rsidRPr="001B05BA">
        <w:rPr>
          <w:rFonts w:ascii="Arial" w:hAnsi="Arial" w:cs="Arial"/>
          <w:sz w:val="24"/>
          <w:szCs w:val="24"/>
        </w:rPr>
        <w:t xml:space="preserve">of the </w:t>
      </w:r>
      <w:r w:rsidR="00BC73F4" w:rsidRPr="001B05BA">
        <w:rPr>
          <w:rFonts w:ascii="Arial" w:hAnsi="Arial" w:cs="Arial"/>
          <w:sz w:val="24"/>
          <w:szCs w:val="24"/>
        </w:rPr>
        <w:t>classification process</w:t>
      </w:r>
      <w:r w:rsidR="00831E8C" w:rsidRPr="001B05BA">
        <w:rPr>
          <w:rFonts w:ascii="Arial" w:hAnsi="Arial" w:cs="Arial"/>
          <w:sz w:val="24"/>
          <w:szCs w:val="24"/>
        </w:rPr>
        <w:t xml:space="preserve"> </w:t>
      </w:r>
      <w:r w:rsidR="00CC6F58" w:rsidRPr="001B05BA">
        <w:rPr>
          <w:rFonts w:ascii="Arial" w:hAnsi="Arial" w:cs="Arial"/>
          <w:sz w:val="24"/>
          <w:szCs w:val="24"/>
        </w:rPr>
        <w:t>as immutable.</w:t>
      </w:r>
      <w:r w:rsidR="00E83290" w:rsidRPr="001B05BA">
        <w:rPr>
          <w:rFonts w:ascii="Arial" w:hAnsi="Arial" w:cs="Arial"/>
          <w:sz w:val="24"/>
          <w:szCs w:val="24"/>
        </w:rPr>
        <w:t xml:space="preserve"> The same court, however, </w:t>
      </w:r>
      <w:r w:rsidR="00E83290" w:rsidRPr="001B05BA">
        <w:rPr>
          <w:rFonts w:ascii="Arial" w:hAnsi="Arial" w:cs="Arial"/>
          <w:sz w:val="24"/>
          <w:szCs w:val="24"/>
        </w:rPr>
        <w:lastRenderedPageBreak/>
        <w:t xml:space="preserve">held in </w:t>
      </w:r>
      <w:r w:rsidR="00E83290" w:rsidRPr="001B05BA">
        <w:rPr>
          <w:rFonts w:ascii="Arial" w:hAnsi="Arial" w:cs="Arial"/>
          <w:i/>
          <w:sz w:val="24"/>
          <w:szCs w:val="24"/>
        </w:rPr>
        <w:t>Commissioner, South African Revenue Service v Toneleria Nacional RSA (Pty) Ltd</w:t>
      </w:r>
      <w:r w:rsidR="00E83290" w:rsidRPr="001B05BA">
        <w:rPr>
          <w:rFonts w:ascii="Arial" w:hAnsi="Arial" w:cs="Arial"/>
          <w:sz w:val="24"/>
          <w:szCs w:val="24"/>
        </w:rPr>
        <w:t>,</w:t>
      </w:r>
      <w:bookmarkStart w:id="3" w:name="_Ref137794881"/>
      <w:r w:rsidR="00E83290" w:rsidRPr="001B05BA">
        <w:rPr>
          <w:rStyle w:val="FootnoteReference"/>
          <w:rFonts w:ascii="Arial" w:hAnsi="Arial" w:cs="Arial"/>
          <w:sz w:val="24"/>
          <w:szCs w:val="24"/>
        </w:rPr>
        <w:footnoteReference w:id="18"/>
      </w:r>
      <w:bookmarkEnd w:id="3"/>
      <w:r w:rsidR="00E83290" w:rsidRPr="001B05BA">
        <w:rPr>
          <w:rFonts w:ascii="Arial" w:hAnsi="Arial" w:cs="Arial"/>
          <w:sz w:val="24"/>
          <w:szCs w:val="24"/>
        </w:rPr>
        <w:t xml:space="preserve"> that the first and second </w:t>
      </w:r>
      <w:r w:rsidR="001014D1" w:rsidRPr="001B05BA">
        <w:rPr>
          <w:rFonts w:ascii="Arial" w:hAnsi="Arial" w:cs="Arial"/>
          <w:sz w:val="24"/>
          <w:szCs w:val="24"/>
        </w:rPr>
        <w:t>stages</w:t>
      </w:r>
      <w:r w:rsidR="00E83290" w:rsidRPr="001B05BA">
        <w:rPr>
          <w:rFonts w:ascii="Arial" w:hAnsi="Arial" w:cs="Arial"/>
          <w:sz w:val="24"/>
          <w:szCs w:val="24"/>
        </w:rPr>
        <w:t xml:space="preserve"> in the classification process should not be conflated. </w:t>
      </w:r>
      <w:r w:rsidR="001A08F8" w:rsidRPr="001B05BA">
        <w:rPr>
          <w:rFonts w:ascii="Arial" w:hAnsi="Arial" w:cs="Arial"/>
          <w:sz w:val="24"/>
          <w:szCs w:val="24"/>
        </w:rPr>
        <w:t xml:space="preserve">In </w:t>
      </w:r>
      <w:r w:rsidR="001A08F8" w:rsidRPr="001B05BA">
        <w:rPr>
          <w:rFonts w:ascii="Arial" w:hAnsi="Arial" w:cs="Arial"/>
          <w:i/>
          <w:iCs/>
          <w:sz w:val="24"/>
          <w:szCs w:val="24"/>
        </w:rPr>
        <w:t>Toneleria</w:t>
      </w:r>
      <w:r w:rsidR="001A08F8" w:rsidRPr="001B05BA">
        <w:rPr>
          <w:rFonts w:ascii="Arial" w:hAnsi="Arial" w:cs="Arial"/>
          <w:sz w:val="24"/>
          <w:szCs w:val="24"/>
        </w:rPr>
        <w:t>, the court explained that t</w:t>
      </w:r>
      <w:r w:rsidR="00E83290" w:rsidRPr="001B05BA">
        <w:rPr>
          <w:rFonts w:ascii="Arial" w:hAnsi="Arial" w:cs="Arial"/>
          <w:sz w:val="24"/>
          <w:szCs w:val="24"/>
        </w:rPr>
        <w:t>he first stage requires a determination of the meaning</w:t>
      </w:r>
      <w:r w:rsidR="00BB2493" w:rsidRPr="001B05BA">
        <w:rPr>
          <w:rFonts w:ascii="Arial" w:hAnsi="Arial" w:cs="Arial"/>
          <w:sz w:val="24"/>
          <w:szCs w:val="24"/>
        </w:rPr>
        <w:t xml:space="preserve"> </w:t>
      </w:r>
      <w:r w:rsidR="00E83290" w:rsidRPr="001B05BA">
        <w:rPr>
          <w:rFonts w:ascii="Arial" w:hAnsi="Arial" w:cs="Arial"/>
          <w:sz w:val="24"/>
          <w:szCs w:val="24"/>
        </w:rPr>
        <w:t xml:space="preserve">of ‘other </w:t>
      </w:r>
      <w:r w:rsidR="00C21A06" w:rsidRPr="001B05BA">
        <w:rPr>
          <w:rFonts w:ascii="Arial" w:hAnsi="Arial" w:cs="Arial"/>
          <w:sz w:val="24"/>
          <w:szCs w:val="24"/>
        </w:rPr>
        <w:t>c</w:t>
      </w:r>
      <w:r w:rsidR="00E83290" w:rsidRPr="001B05BA">
        <w:rPr>
          <w:rFonts w:ascii="Arial" w:hAnsi="Arial" w:cs="Arial"/>
          <w:sz w:val="24"/>
          <w:szCs w:val="24"/>
        </w:rPr>
        <w:t xml:space="preserve">oopers’ products’, without regard to whether the disputed items </w:t>
      </w:r>
      <w:r w:rsidR="00BB2493" w:rsidRPr="001B05BA">
        <w:rPr>
          <w:rFonts w:ascii="Arial" w:hAnsi="Arial" w:cs="Arial"/>
          <w:sz w:val="24"/>
          <w:szCs w:val="24"/>
        </w:rPr>
        <w:t>constitute</w:t>
      </w:r>
      <w:r w:rsidR="00E83290" w:rsidRPr="001B05BA">
        <w:rPr>
          <w:rFonts w:ascii="Arial" w:hAnsi="Arial" w:cs="Arial"/>
          <w:sz w:val="24"/>
          <w:szCs w:val="24"/>
        </w:rPr>
        <w:t xml:space="preserve"> ‘other </w:t>
      </w:r>
      <w:r w:rsidR="00C21A06" w:rsidRPr="001B05BA">
        <w:rPr>
          <w:rFonts w:ascii="Arial" w:hAnsi="Arial" w:cs="Arial"/>
          <w:sz w:val="24"/>
          <w:szCs w:val="24"/>
        </w:rPr>
        <w:t>c</w:t>
      </w:r>
      <w:r w:rsidR="00E83290" w:rsidRPr="001B05BA">
        <w:rPr>
          <w:rFonts w:ascii="Arial" w:hAnsi="Arial" w:cs="Arial"/>
          <w:sz w:val="24"/>
          <w:szCs w:val="24"/>
        </w:rPr>
        <w:t xml:space="preserve">ooper’s </w:t>
      </w:r>
      <w:r w:rsidR="00C21A06" w:rsidRPr="001B05BA">
        <w:rPr>
          <w:rFonts w:ascii="Arial" w:hAnsi="Arial" w:cs="Arial"/>
          <w:sz w:val="24"/>
          <w:szCs w:val="24"/>
        </w:rPr>
        <w:t>products</w:t>
      </w:r>
      <w:r w:rsidR="00443DB8" w:rsidRPr="001B05BA">
        <w:rPr>
          <w:rFonts w:ascii="Arial" w:hAnsi="Arial" w:cs="Arial"/>
          <w:sz w:val="24"/>
          <w:szCs w:val="24"/>
        </w:rPr>
        <w:t xml:space="preserve">’ </w:t>
      </w:r>
      <w:r w:rsidR="00E83290" w:rsidRPr="001B05BA">
        <w:rPr>
          <w:rFonts w:ascii="Arial" w:hAnsi="Arial" w:cs="Arial"/>
          <w:sz w:val="24"/>
          <w:szCs w:val="24"/>
        </w:rPr>
        <w:t>-</w:t>
      </w:r>
    </w:p>
    <w:p w14:paraId="200354F5" w14:textId="77777777" w:rsidR="00E83290" w:rsidRPr="001B05BA" w:rsidRDefault="00E83290" w:rsidP="00E83290">
      <w:pPr>
        <w:pStyle w:val="ListParagraph"/>
        <w:tabs>
          <w:tab w:val="left" w:pos="4917"/>
        </w:tabs>
        <w:spacing w:before="120" w:after="120" w:line="360" w:lineRule="auto"/>
        <w:ind w:left="1008" w:right="1008"/>
        <w:jc w:val="both"/>
        <w:rPr>
          <w:rFonts w:ascii="Arial" w:hAnsi="Arial" w:cs="Arial"/>
          <w:sz w:val="24"/>
          <w:szCs w:val="24"/>
        </w:rPr>
      </w:pPr>
    </w:p>
    <w:p w14:paraId="75D600B1" w14:textId="584B0D6F" w:rsidR="00E83290" w:rsidRPr="001B05BA" w:rsidRDefault="00E83290" w:rsidP="006F45C8">
      <w:pPr>
        <w:tabs>
          <w:tab w:val="left" w:pos="4917"/>
        </w:tabs>
        <w:spacing w:before="120" w:after="120" w:line="360" w:lineRule="auto"/>
        <w:ind w:left="1008" w:right="1008"/>
        <w:jc w:val="both"/>
        <w:rPr>
          <w:rFonts w:ascii="Arial" w:hAnsi="Arial" w:cs="Arial"/>
          <w:sz w:val="24"/>
          <w:szCs w:val="24"/>
        </w:rPr>
      </w:pPr>
      <w:r w:rsidRPr="001B05BA">
        <w:rPr>
          <w:rFonts w:ascii="Arial" w:hAnsi="Arial" w:cs="Arial"/>
          <w:sz w:val="24"/>
          <w:szCs w:val="24"/>
        </w:rPr>
        <w:t>‘</w:t>
      </w:r>
      <w:r w:rsidRPr="001B05BA">
        <w:rPr>
          <w:rFonts w:ascii="Arial" w:hAnsi="Arial" w:cs="Arial"/>
          <w:color w:val="000000"/>
          <w:sz w:val="24"/>
          <w:szCs w:val="24"/>
        </w:rPr>
        <w:t>In the process of classification determining the meaning of the tariff heading is the essential first stage. Only thereafter does one proceed to the second stage of considering the nature of the products in issue to determine in the third stage whether they fall within the class of products identified in the tariff heading. Failing to observe that vital distinction has the result that the nature of the products is used to colour the meaning of the tariff heading.’</w:t>
      </w:r>
      <w:r w:rsidRPr="001B05BA">
        <w:rPr>
          <w:rStyle w:val="FootnoteReference"/>
          <w:rFonts w:ascii="Arial" w:hAnsi="Arial" w:cs="Arial"/>
          <w:color w:val="000000"/>
          <w:sz w:val="24"/>
          <w:szCs w:val="24"/>
        </w:rPr>
        <w:footnoteReference w:id="19"/>
      </w:r>
    </w:p>
    <w:p w14:paraId="63F2FC84" w14:textId="24448F43" w:rsidR="00CC6F58" w:rsidRPr="001B05BA" w:rsidRDefault="00CC6F58" w:rsidP="00CC6F58">
      <w:pPr>
        <w:pStyle w:val="ListParagraph"/>
        <w:tabs>
          <w:tab w:val="left" w:pos="4917"/>
        </w:tabs>
        <w:spacing w:before="120" w:after="120" w:line="360" w:lineRule="auto"/>
        <w:jc w:val="both"/>
        <w:rPr>
          <w:rFonts w:ascii="Arial" w:hAnsi="Arial" w:cs="Arial"/>
          <w:sz w:val="24"/>
          <w:szCs w:val="24"/>
        </w:rPr>
      </w:pPr>
    </w:p>
    <w:p w14:paraId="2599AB7E" w14:textId="582BD9E3" w:rsidR="00B2424B" w:rsidRPr="001B05BA" w:rsidRDefault="003A5B7F" w:rsidP="00A56A45">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1B05BA">
        <w:rPr>
          <w:rFonts w:ascii="Arial" w:hAnsi="Arial" w:cs="Arial"/>
          <w:sz w:val="24"/>
          <w:szCs w:val="24"/>
        </w:rPr>
        <w:t>In this matter</w:t>
      </w:r>
      <w:r w:rsidR="007D26CD" w:rsidRPr="001B05BA">
        <w:rPr>
          <w:rFonts w:ascii="Arial" w:hAnsi="Arial" w:cs="Arial"/>
          <w:sz w:val="24"/>
          <w:szCs w:val="24"/>
        </w:rPr>
        <w:t>,</w:t>
      </w:r>
      <w:r w:rsidRPr="001B05BA">
        <w:rPr>
          <w:rFonts w:ascii="Arial" w:hAnsi="Arial" w:cs="Arial"/>
          <w:sz w:val="24"/>
          <w:szCs w:val="24"/>
        </w:rPr>
        <w:t xml:space="preserve"> </w:t>
      </w:r>
      <w:r w:rsidR="00B2424B" w:rsidRPr="001B05BA">
        <w:rPr>
          <w:rFonts w:ascii="Arial" w:hAnsi="Arial" w:cs="Arial"/>
          <w:sz w:val="24"/>
          <w:szCs w:val="24"/>
        </w:rPr>
        <w:t>Additional Note 4(b) requires interpretation</w:t>
      </w:r>
      <w:r w:rsidR="007D26CD" w:rsidRPr="001B05BA">
        <w:rPr>
          <w:rFonts w:ascii="Arial" w:hAnsi="Arial" w:cs="Arial"/>
          <w:sz w:val="24"/>
          <w:szCs w:val="24"/>
        </w:rPr>
        <w:t>. T</w:t>
      </w:r>
      <w:r w:rsidR="00B2424B" w:rsidRPr="001B05BA">
        <w:rPr>
          <w:rFonts w:ascii="Arial" w:hAnsi="Arial" w:cs="Arial"/>
          <w:sz w:val="24"/>
          <w:szCs w:val="24"/>
        </w:rPr>
        <w:t>hrough Additional Note 4(b)</w:t>
      </w:r>
      <w:r w:rsidR="00F0006C" w:rsidRPr="001B05BA">
        <w:rPr>
          <w:rFonts w:ascii="Arial" w:hAnsi="Arial" w:cs="Arial"/>
          <w:sz w:val="24"/>
          <w:szCs w:val="24"/>
        </w:rPr>
        <w:t>,</w:t>
      </w:r>
      <w:r w:rsidR="00B2424B" w:rsidRPr="001B05BA">
        <w:rPr>
          <w:rFonts w:ascii="Arial" w:hAnsi="Arial" w:cs="Arial"/>
          <w:sz w:val="24"/>
          <w:szCs w:val="24"/>
        </w:rPr>
        <w:t xml:space="preserve"> products that otherwise meet the description of tariff </w:t>
      </w:r>
      <w:r w:rsidR="00F0006C" w:rsidRPr="001B05BA">
        <w:rPr>
          <w:rFonts w:ascii="Arial" w:hAnsi="Arial" w:cs="Arial"/>
          <w:sz w:val="24"/>
          <w:szCs w:val="24"/>
        </w:rPr>
        <w:t>sub</w:t>
      </w:r>
      <w:r w:rsidR="00B2424B" w:rsidRPr="001B05BA">
        <w:rPr>
          <w:rFonts w:ascii="Arial" w:hAnsi="Arial" w:cs="Arial"/>
          <w:sz w:val="24"/>
          <w:szCs w:val="24"/>
        </w:rPr>
        <w:t>heading</w:t>
      </w:r>
      <w:r w:rsidR="00F0006C" w:rsidRPr="001B05BA">
        <w:rPr>
          <w:rFonts w:ascii="Arial" w:hAnsi="Arial" w:cs="Arial"/>
          <w:sz w:val="24"/>
          <w:szCs w:val="24"/>
        </w:rPr>
        <w:t xml:space="preserve"> 2208.70.21</w:t>
      </w:r>
      <w:r w:rsidR="00B2424B" w:rsidRPr="001B05BA">
        <w:rPr>
          <w:rFonts w:ascii="Arial" w:hAnsi="Arial" w:cs="Arial"/>
          <w:sz w:val="24"/>
          <w:szCs w:val="24"/>
        </w:rPr>
        <w:t>, are excluded from its ambit.</w:t>
      </w:r>
    </w:p>
    <w:p w14:paraId="08156EBB" w14:textId="77777777" w:rsidR="004731E3" w:rsidRPr="001B05BA" w:rsidRDefault="004731E3" w:rsidP="004731E3">
      <w:pPr>
        <w:pStyle w:val="ListParagraph"/>
        <w:tabs>
          <w:tab w:val="left" w:pos="4917"/>
        </w:tabs>
        <w:spacing w:before="120" w:after="120" w:line="360" w:lineRule="auto"/>
        <w:jc w:val="both"/>
        <w:rPr>
          <w:rFonts w:ascii="Arial" w:hAnsi="Arial" w:cs="Arial"/>
          <w:sz w:val="24"/>
          <w:szCs w:val="24"/>
        </w:rPr>
      </w:pPr>
    </w:p>
    <w:p w14:paraId="752A6A2D" w14:textId="3D7DC282" w:rsidR="008C4AD8" w:rsidRPr="001B05BA" w:rsidRDefault="00E9089C" w:rsidP="00371158">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1B05BA">
        <w:rPr>
          <w:rFonts w:ascii="Arial" w:hAnsi="Arial" w:cs="Arial"/>
          <w:sz w:val="24"/>
          <w:szCs w:val="24"/>
        </w:rPr>
        <w:t>For clarity, it is necessary to have regard to the appropriate classification</w:t>
      </w:r>
      <w:r w:rsidR="009A11CD" w:rsidRPr="001B05BA">
        <w:rPr>
          <w:rFonts w:ascii="Arial" w:hAnsi="Arial" w:cs="Arial"/>
          <w:sz w:val="24"/>
          <w:szCs w:val="24"/>
        </w:rPr>
        <w:t xml:space="preserve"> structure</w:t>
      </w:r>
      <w:r w:rsidRPr="001B05BA">
        <w:rPr>
          <w:rFonts w:ascii="Arial" w:hAnsi="Arial" w:cs="Arial"/>
          <w:sz w:val="24"/>
          <w:szCs w:val="24"/>
        </w:rPr>
        <w:t>:</w:t>
      </w:r>
    </w:p>
    <w:p w14:paraId="411FA80B" w14:textId="77777777" w:rsidR="00E9089C" w:rsidRPr="001B05BA" w:rsidRDefault="00E9089C" w:rsidP="00E9089C">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1435"/>
        <w:gridCol w:w="1710"/>
        <w:gridCol w:w="5665"/>
      </w:tblGrid>
      <w:tr w:rsidR="009A11CD" w:rsidRPr="001B05BA" w14:paraId="7F02620E" w14:textId="77777777" w:rsidTr="009A11CD">
        <w:tc>
          <w:tcPr>
            <w:tcW w:w="1435" w:type="dxa"/>
          </w:tcPr>
          <w:p w14:paraId="1DD383DD" w14:textId="23540239" w:rsidR="00E9089C" w:rsidRPr="001B05BA" w:rsidRDefault="00E9089C" w:rsidP="00E9089C">
            <w:pPr>
              <w:pStyle w:val="ListParagraph"/>
              <w:tabs>
                <w:tab w:val="left" w:pos="4917"/>
              </w:tabs>
              <w:spacing w:before="120" w:after="120" w:line="360" w:lineRule="auto"/>
              <w:ind w:left="0"/>
              <w:jc w:val="both"/>
              <w:rPr>
                <w:rFonts w:ascii="Arial" w:hAnsi="Arial" w:cs="Arial"/>
                <w:sz w:val="24"/>
                <w:szCs w:val="24"/>
              </w:rPr>
            </w:pPr>
            <w:r w:rsidRPr="001B05BA">
              <w:rPr>
                <w:rFonts w:ascii="Arial" w:hAnsi="Arial" w:cs="Arial"/>
                <w:sz w:val="24"/>
                <w:szCs w:val="24"/>
              </w:rPr>
              <w:t>Tariff Item</w:t>
            </w:r>
          </w:p>
        </w:tc>
        <w:tc>
          <w:tcPr>
            <w:tcW w:w="1710" w:type="dxa"/>
          </w:tcPr>
          <w:p w14:paraId="56766C22" w14:textId="36E6D1E0" w:rsidR="00E9089C" w:rsidRPr="001B05BA" w:rsidRDefault="00E9089C" w:rsidP="00E9089C">
            <w:pPr>
              <w:pStyle w:val="ListParagraph"/>
              <w:tabs>
                <w:tab w:val="left" w:pos="4917"/>
              </w:tabs>
              <w:spacing w:before="120" w:after="120" w:line="360" w:lineRule="auto"/>
              <w:ind w:left="0"/>
              <w:jc w:val="both"/>
              <w:rPr>
                <w:rFonts w:ascii="Arial" w:hAnsi="Arial" w:cs="Arial"/>
                <w:sz w:val="24"/>
                <w:szCs w:val="24"/>
              </w:rPr>
            </w:pPr>
            <w:r w:rsidRPr="001B05BA">
              <w:rPr>
                <w:rFonts w:ascii="Arial" w:hAnsi="Arial" w:cs="Arial"/>
                <w:sz w:val="24"/>
                <w:szCs w:val="24"/>
              </w:rPr>
              <w:t>Tariff Subheading</w:t>
            </w:r>
          </w:p>
        </w:tc>
        <w:tc>
          <w:tcPr>
            <w:tcW w:w="5665" w:type="dxa"/>
          </w:tcPr>
          <w:p w14:paraId="181F2CB2" w14:textId="08840FC8" w:rsidR="00E9089C" w:rsidRPr="001B05BA" w:rsidRDefault="00E9089C" w:rsidP="00E9089C">
            <w:pPr>
              <w:pStyle w:val="ListParagraph"/>
              <w:tabs>
                <w:tab w:val="left" w:pos="4917"/>
              </w:tabs>
              <w:spacing w:before="120" w:after="120" w:line="360" w:lineRule="auto"/>
              <w:ind w:left="0"/>
              <w:jc w:val="both"/>
              <w:rPr>
                <w:rFonts w:ascii="Arial" w:hAnsi="Arial" w:cs="Arial"/>
                <w:sz w:val="24"/>
                <w:szCs w:val="24"/>
              </w:rPr>
            </w:pPr>
            <w:r w:rsidRPr="001B05BA">
              <w:rPr>
                <w:rFonts w:ascii="Arial" w:hAnsi="Arial" w:cs="Arial"/>
                <w:sz w:val="24"/>
                <w:szCs w:val="24"/>
              </w:rPr>
              <w:t>Article</w:t>
            </w:r>
          </w:p>
        </w:tc>
      </w:tr>
      <w:tr w:rsidR="009A11CD" w:rsidRPr="001B05BA" w14:paraId="34BCE421" w14:textId="77777777" w:rsidTr="009A11CD">
        <w:tc>
          <w:tcPr>
            <w:tcW w:w="1435" w:type="dxa"/>
          </w:tcPr>
          <w:p w14:paraId="1978B889" w14:textId="0431A443" w:rsidR="00E9089C" w:rsidRPr="001B05BA" w:rsidRDefault="00E9089C" w:rsidP="00BA5E26">
            <w:pPr>
              <w:pStyle w:val="ListParagraph"/>
              <w:tabs>
                <w:tab w:val="left" w:pos="4917"/>
              </w:tabs>
              <w:spacing w:before="120" w:after="120" w:line="360" w:lineRule="auto"/>
              <w:ind w:left="0"/>
              <w:jc w:val="center"/>
              <w:rPr>
                <w:rFonts w:ascii="Arial" w:hAnsi="Arial" w:cs="Arial"/>
                <w:sz w:val="24"/>
                <w:szCs w:val="24"/>
              </w:rPr>
            </w:pPr>
            <w:r w:rsidRPr="001B05BA">
              <w:rPr>
                <w:rFonts w:ascii="Arial" w:hAnsi="Arial" w:cs="Arial"/>
                <w:sz w:val="24"/>
                <w:szCs w:val="24"/>
              </w:rPr>
              <w:t>104.23</w:t>
            </w:r>
          </w:p>
        </w:tc>
        <w:tc>
          <w:tcPr>
            <w:tcW w:w="1710" w:type="dxa"/>
          </w:tcPr>
          <w:p w14:paraId="474C2694" w14:textId="02973123" w:rsidR="00E9089C" w:rsidRPr="001B05BA" w:rsidRDefault="00E9089C" w:rsidP="00BA5E26">
            <w:pPr>
              <w:pStyle w:val="ListParagraph"/>
              <w:tabs>
                <w:tab w:val="left" w:pos="4917"/>
              </w:tabs>
              <w:spacing w:before="120" w:after="120" w:line="360" w:lineRule="auto"/>
              <w:ind w:left="0"/>
              <w:jc w:val="center"/>
              <w:rPr>
                <w:rFonts w:ascii="Arial" w:hAnsi="Arial" w:cs="Arial"/>
                <w:sz w:val="24"/>
                <w:szCs w:val="24"/>
              </w:rPr>
            </w:pPr>
            <w:r w:rsidRPr="001B05BA">
              <w:rPr>
                <w:rFonts w:ascii="Arial" w:hAnsi="Arial" w:cs="Arial"/>
                <w:sz w:val="24"/>
                <w:szCs w:val="24"/>
              </w:rPr>
              <w:t>22.08</w:t>
            </w:r>
          </w:p>
        </w:tc>
        <w:tc>
          <w:tcPr>
            <w:tcW w:w="5665" w:type="dxa"/>
          </w:tcPr>
          <w:p w14:paraId="4F70C831" w14:textId="28C1DBF8" w:rsidR="00E9089C" w:rsidRPr="001B05BA" w:rsidRDefault="009A11CD" w:rsidP="009A11CD">
            <w:pPr>
              <w:pStyle w:val="ListParagraph"/>
              <w:tabs>
                <w:tab w:val="left" w:pos="4917"/>
              </w:tabs>
              <w:spacing w:before="120" w:after="120" w:line="360" w:lineRule="auto"/>
              <w:ind w:left="0"/>
              <w:jc w:val="both"/>
              <w:rPr>
                <w:rFonts w:ascii="Arial" w:hAnsi="Arial" w:cs="Arial"/>
                <w:sz w:val="24"/>
                <w:szCs w:val="24"/>
              </w:rPr>
            </w:pPr>
            <w:r w:rsidRPr="001B05BA">
              <w:rPr>
                <w:rFonts w:ascii="Arial" w:hAnsi="Arial" w:cs="Arial"/>
                <w:sz w:val="24"/>
                <w:szCs w:val="24"/>
              </w:rPr>
              <w:t>Undenatured ethyl alcohol of an alcoholic strength by volume (“vol”) less than 80% vol; spirits, liqueur, and other spirituous beverages,</w:t>
            </w:r>
          </w:p>
        </w:tc>
      </w:tr>
      <w:tr w:rsidR="009A11CD" w:rsidRPr="001B05BA" w14:paraId="3088C140" w14:textId="77777777" w:rsidTr="009A11CD">
        <w:tc>
          <w:tcPr>
            <w:tcW w:w="1435" w:type="dxa"/>
          </w:tcPr>
          <w:p w14:paraId="4D88A825" w14:textId="6DC2AF1B" w:rsidR="00E9089C" w:rsidRPr="001B05BA" w:rsidRDefault="00E9089C" w:rsidP="00BA5E26">
            <w:pPr>
              <w:pStyle w:val="ListParagraph"/>
              <w:tabs>
                <w:tab w:val="left" w:pos="4917"/>
              </w:tabs>
              <w:spacing w:before="120" w:after="120" w:line="360" w:lineRule="auto"/>
              <w:ind w:left="0"/>
              <w:jc w:val="center"/>
              <w:rPr>
                <w:rFonts w:ascii="Arial" w:hAnsi="Arial" w:cs="Arial"/>
                <w:sz w:val="24"/>
                <w:szCs w:val="24"/>
              </w:rPr>
            </w:pPr>
            <w:r w:rsidRPr="001B05BA">
              <w:rPr>
                <w:rFonts w:ascii="Arial" w:hAnsi="Arial" w:cs="Arial"/>
                <w:sz w:val="24"/>
                <w:szCs w:val="24"/>
              </w:rPr>
              <w:t>104.23</w:t>
            </w:r>
          </w:p>
        </w:tc>
        <w:tc>
          <w:tcPr>
            <w:tcW w:w="1710" w:type="dxa"/>
          </w:tcPr>
          <w:p w14:paraId="0EA76B56" w14:textId="603E5129" w:rsidR="00E9089C" w:rsidRPr="001B05BA" w:rsidRDefault="00E9089C" w:rsidP="00BA5E26">
            <w:pPr>
              <w:pStyle w:val="ListParagraph"/>
              <w:tabs>
                <w:tab w:val="left" w:pos="4917"/>
              </w:tabs>
              <w:spacing w:before="120" w:after="120" w:line="360" w:lineRule="auto"/>
              <w:ind w:left="0"/>
              <w:jc w:val="center"/>
              <w:rPr>
                <w:rFonts w:ascii="Arial" w:hAnsi="Arial" w:cs="Arial"/>
                <w:sz w:val="24"/>
                <w:szCs w:val="24"/>
              </w:rPr>
            </w:pPr>
            <w:r w:rsidRPr="001B05BA">
              <w:rPr>
                <w:rFonts w:ascii="Arial" w:hAnsi="Arial" w:cs="Arial"/>
                <w:sz w:val="24"/>
                <w:szCs w:val="24"/>
              </w:rPr>
              <w:t>2208.70</w:t>
            </w:r>
          </w:p>
        </w:tc>
        <w:tc>
          <w:tcPr>
            <w:tcW w:w="5665" w:type="dxa"/>
          </w:tcPr>
          <w:p w14:paraId="47CD7831" w14:textId="5C5EA185" w:rsidR="00E9089C" w:rsidRPr="001B05BA" w:rsidRDefault="009A11CD" w:rsidP="00E9089C">
            <w:pPr>
              <w:pStyle w:val="ListParagraph"/>
              <w:tabs>
                <w:tab w:val="left" w:pos="4917"/>
              </w:tabs>
              <w:spacing w:before="120" w:after="120" w:line="360" w:lineRule="auto"/>
              <w:ind w:left="0"/>
              <w:jc w:val="both"/>
              <w:rPr>
                <w:rFonts w:ascii="Arial" w:hAnsi="Arial" w:cs="Arial"/>
                <w:sz w:val="24"/>
                <w:szCs w:val="24"/>
              </w:rPr>
            </w:pPr>
            <w:r w:rsidRPr="001B05BA">
              <w:rPr>
                <w:rFonts w:ascii="Arial" w:hAnsi="Arial" w:cs="Arial"/>
                <w:sz w:val="24"/>
                <w:szCs w:val="24"/>
              </w:rPr>
              <w:t>Liqueurs and cordials,</w:t>
            </w:r>
          </w:p>
        </w:tc>
      </w:tr>
      <w:tr w:rsidR="009A11CD" w:rsidRPr="001B05BA" w14:paraId="4943B043" w14:textId="77777777" w:rsidTr="009A11CD">
        <w:tc>
          <w:tcPr>
            <w:tcW w:w="1435" w:type="dxa"/>
          </w:tcPr>
          <w:p w14:paraId="096A78BD" w14:textId="548ACC3D" w:rsidR="00E9089C" w:rsidRPr="001B05BA" w:rsidRDefault="00E9089C" w:rsidP="00BA5E26">
            <w:pPr>
              <w:pStyle w:val="ListParagraph"/>
              <w:tabs>
                <w:tab w:val="left" w:pos="4917"/>
              </w:tabs>
              <w:spacing w:before="120" w:after="120" w:line="360" w:lineRule="auto"/>
              <w:ind w:left="0"/>
              <w:jc w:val="center"/>
              <w:rPr>
                <w:rFonts w:ascii="Arial" w:hAnsi="Arial" w:cs="Arial"/>
                <w:sz w:val="24"/>
                <w:szCs w:val="24"/>
              </w:rPr>
            </w:pPr>
            <w:r w:rsidRPr="001B05BA">
              <w:rPr>
                <w:rFonts w:ascii="Arial" w:hAnsi="Arial" w:cs="Arial"/>
                <w:sz w:val="24"/>
                <w:szCs w:val="24"/>
              </w:rPr>
              <w:t>104.23</w:t>
            </w:r>
          </w:p>
        </w:tc>
        <w:tc>
          <w:tcPr>
            <w:tcW w:w="1710" w:type="dxa"/>
          </w:tcPr>
          <w:p w14:paraId="54A69EE2" w14:textId="19B83C37" w:rsidR="00E9089C" w:rsidRPr="001B05BA" w:rsidRDefault="00E9089C" w:rsidP="00BA5E26">
            <w:pPr>
              <w:pStyle w:val="ListParagraph"/>
              <w:tabs>
                <w:tab w:val="left" w:pos="4917"/>
              </w:tabs>
              <w:spacing w:before="120" w:after="120" w:line="360" w:lineRule="auto"/>
              <w:ind w:left="0"/>
              <w:jc w:val="center"/>
              <w:rPr>
                <w:rFonts w:ascii="Arial" w:hAnsi="Arial" w:cs="Arial"/>
                <w:sz w:val="24"/>
                <w:szCs w:val="24"/>
              </w:rPr>
            </w:pPr>
            <w:r w:rsidRPr="001B05BA">
              <w:rPr>
                <w:rFonts w:ascii="Arial" w:hAnsi="Arial" w:cs="Arial"/>
                <w:sz w:val="24"/>
                <w:szCs w:val="24"/>
              </w:rPr>
              <w:t>2208.70.2</w:t>
            </w:r>
          </w:p>
        </w:tc>
        <w:tc>
          <w:tcPr>
            <w:tcW w:w="5665" w:type="dxa"/>
          </w:tcPr>
          <w:p w14:paraId="172A3519" w14:textId="4E881599" w:rsidR="00E9089C" w:rsidRPr="001B05BA" w:rsidRDefault="009A11CD" w:rsidP="00E9089C">
            <w:pPr>
              <w:pStyle w:val="ListParagraph"/>
              <w:tabs>
                <w:tab w:val="left" w:pos="4917"/>
              </w:tabs>
              <w:spacing w:before="120" w:after="120" w:line="360" w:lineRule="auto"/>
              <w:ind w:left="0"/>
              <w:jc w:val="both"/>
              <w:rPr>
                <w:rFonts w:ascii="Arial" w:hAnsi="Arial" w:cs="Arial"/>
                <w:sz w:val="24"/>
                <w:szCs w:val="24"/>
              </w:rPr>
            </w:pPr>
            <w:r w:rsidRPr="001B05BA">
              <w:rPr>
                <w:rFonts w:ascii="Arial" w:hAnsi="Arial" w:cs="Arial"/>
                <w:sz w:val="24"/>
                <w:szCs w:val="24"/>
              </w:rPr>
              <w:t>In containers holding 2ll or less;</w:t>
            </w:r>
          </w:p>
        </w:tc>
      </w:tr>
      <w:tr w:rsidR="009A11CD" w:rsidRPr="001B05BA" w14:paraId="2B936B36" w14:textId="77777777" w:rsidTr="009A11CD">
        <w:tc>
          <w:tcPr>
            <w:tcW w:w="1435" w:type="dxa"/>
          </w:tcPr>
          <w:p w14:paraId="44CDCC50" w14:textId="7709C1AC" w:rsidR="00E9089C" w:rsidRPr="001B05BA" w:rsidRDefault="00E9089C" w:rsidP="00BA5E26">
            <w:pPr>
              <w:pStyle w:val="ListParagraph"/>
              <w:tabs>
                <w:tab w:val="left" w:pos="4917"/>
              </w:tabs>
              <w:spacing w:before="120" w:after="120" w:line="360" w:lineRule="auto"/>
              <w:ind w:left="0"/>
              <w:jc w:val="center"/>
              <w:rPr>
                <w:rFonts w:ascii="Arial" w:hAnsi="Arial" w:cs="Arial"/>
                <w:sz w:val="24"/>
                <w:szCs w:val="24"/>
              </w:rPr>
            </w:pPr>
            <w:r w:rsidRPr="001B05BA">
              <w:rPr>
                <w:rFonts w:ascii="Arial" w:hAnsi="Arial" w:cs="Arial"/>
                <w:sz w:val="24"/>
                <w:szCs w:val="24"/>
              </w:rPr>
              <w:lastRenderedPageBreak/>
              <w:t>104.23.21</w:t>
            </w:r>
          </w:p>
        </w:tc>
        <w:tc>
          <w:tcPr>
            <w:tcW w:w="1710" w:type="dxa"/>
          </w:tcPr>
          <w:p w14:paraId="2623E7F7" w14:textId="0E9560D5" w:rsidR="00E9089C" w:rsidRPr="001B05BA" w:rsidRDefault="00E9089C" w:rsidP="00BA5E26">
            <w:pPr>
              <w:pStyle w:val="ListParagraph"/>
              <w:tabs>
                <w:tab w:val="left" w:pos="4917"/>
              </w:tabs>
              <w:spacing w:before="120" w:after="120" w:line="360" w:lineRule="auto"/>
              <w:ind w:left="0"/>
              <w:jc w:val="center"/>
              <w:rPr>
                <w:rFonts w:ascii="Arial" w:hAnsi="Arial" w:cs="Arial"/>
                <w:sz w:val="24"/>
                <w:szCs w:val="24"/>
              </w:rPr>
            </w:pPr>
            <w:r w:rsidRPr="001B05BA">
              <w:rPr>
                <w:rFonts w:ascii="Arial" w:hAnsi="Arial" w:cs="Arial"/>
                <w:sz w:val="24"/>
                <w:szCs w:val="24"/>
              </w:rPr>
              <w:t>2208.70.21</w:t>
            </w:r>
          </w:p>
        </w:tc>
        <w:tc>
          <w:tcPr>
            <w:tcW w:w="5665" w:type="dxa"/>
          </w:tcPr>
          <w:p w14:paraId="4A86AC79" w14:textId="2048CA7B" w:rsidR="00E9089C" w:rsidRPr="001B05BA" w:rsidRDefault="009A11CD" w:rsidP="00E9089C">
            <w:pPr>
              <w:pStyle w:val="ListParagraph"/>
              <w:tabs>
                <w:tab w:val="left" w:pos="4917"/>
              </w:tabs>
              <w:spacing w:before="120" w:after="120" w:line="360" w:lineRule="auto"/>
              <w:ind w:left="0"/>
              <w:jc w:val="both"/>
              <w:rPr>
                <w:rFonts w:ascii="Arial" w:hAnsi="Arial" w:cs="Arial"/>
                <w:sz w:val="24"/>
                <w:szCs w:val="24"/>
              </w:rPr>
            </w:pPr>
            <w:r w:rsidRPr="001B05BA">
              <w:rPr>
                <w:rFonts w:ascii="Arial" w:hAnsi="Arial" w:cs="Arial"/>
                <w:sz w:val="24"/>
                <w:szCs w:val="24"/>
              </w:rPr>
              <w:t>With an alcoholic strength by volume exceeding 15 per cent by vol. but not exceeding 23 per cent by vol.</w:t>
            </w:r>
          </w:p>
        </w:tc>
      </w:tr>
      <w:tr w:rsidR="009A11CD" w:rsidRPr="001B05BA" w14:paraId="2EDEDA41" w14:textId="77777777" w:rsidTr="00307939">
        <w:trPr>
          <w:trHeight w:val="556"/>
        </w:trPr>
        <w:tc>
          <w:tcPr>
            <w:tcW w:w="1435" w:type="dxa"/>
          </w:tcPr>
          <w:p w14:paraId="5184B482" w14:textId="4FF562E5" w:rsidR="00E9089C" w:rsidRPr="001B05BA" w:rsidRDefault="00E9089C" w:rsidP="00BA5E26">
            <w:pPr>
              <w:pStyle w:val="ListParagraph"/>
              <w:tabs>
                <w:tab w:val="left" w:pos="4917"/>
              </w:tabs>
              <w:spacing w:before="120" w:after="120" w:line="360" w:lineRule="auto"/>
              <w:ind w:left="0"/>
              <w:jc w:val="center"/>
              <w:rPr>
                <w:rFonts w:ascii="Arial" w:hAnsi="Arial" w:cs="Arial"/>
                <w:sz w:val="24"/>
                <w:szCs w:val="24"/>
              </w:rPr>
            </w:pPr>
            <w:r w:rsidRPr="001B05BA">
              <w:rPr>
                <w:rFonts w:ascii="Arial" w:hAnsi="Arial" w:cs="Arial"/>
                <w:sz w:val="24"/>
                <w:szCs w:val="24"/>
              </w:rPr>
              <w:t>104.23.22</w:t>
            </w:r>
          </w:p>
        </w:tc>
        <w:tc>
          <w:tcPr>
            <w:tcW w:w="1710" w:type="dxa"/>
          </w:tcPr>
          <w:p w14:paraId="6B0DBA69" w14:textId="1F80A274" w:rsidR="00E9089C" w:rsidRPr="001B05BA" w:rsidRDefault="00E9089C" w:rsidP="00BA5E26">
            <w:pPr>
              <w:pStyle w:val="ListParagraph"/>
              <w:tabs>
                <w:tab w:val="left" w:pos="4917"/>
              </w:tabs>
              <w:spacing w:before="120" w:after="120" w:line="360" w:lineRule="auto"/>
              <w:ind w:left="0"/>
              <w:jc w:val="center"/>
              <w:rPr>
                <w:rFonts w:ascii="Arial" w:hAnsi="Arial" w:cs="Arial"/>
                <w:sz w:val="24"/>
                <w:szCs w:val="24"/>
              </w:rPr>
            </w:pPr>
            <w:r w:rsidRPr="001B05BA">
              <w:rPr>
                <w:rFonts w:ascii="Arial" w:hAnsi="Arial" w:cs="Arial"/>
                <w:sz w:val="24"/>
                <w:szCs w:val="24"/>
              </w:rPr>
              <w:t>2208.70.22</w:t>
            </w:r>
          </w:p>
        </w:tc>
        <w:tc>
          <w:tcPr>
            <w:tcW w:w="5665" w:type="dxa"/>
          </w:tcPr>
          <w:p w14:paraId="08B55086" w14:textId="4EBF0138" w:rsidR="00E9089C" w:rsidRPr="001B05BA" w:rsidRDefault="00E9089C" w:rsidP="00E9089C">
            <w:pPr>
              <w:pStyle w:val="ListParagraph"/>
              <w:tabs>
                <w:tab w:val="left" w:pos="4917"/>
              </w:tabs>
              <w:spacing w:before="120" w:after="120" w:line="360" w:lineRule="auto"/>
              <w:ind w:left="0"/>
              <w:jc w:val="both"/>
              <w:rPr>
                <w:rFonts w:ascii="Arial" w:hAnsi="Arial" w:cs="Arial"/>
                <w:sz w:val="24"/>
                <w:szCs w:val="24"/>
              </w:rPr>
            </w:pPr>
            <w:r w:rsidRPr="001B05BA">
              <w:rPr>
                <w:rFonts w:ascii="Arial" w:hAnsi="Arial" w:cs="Arial"/>
                <w:sz w:val="24"/>
                <w:szCs w:val="24"/>
              </w:rPr>
              <w:t>Other</w:t>
            </w:r>
          </w:p>
        </w:tc>
      </w:tr>
    </w:tbl>
    <w:p w14:paraId="70CEE2CB" w14:textId="77777777" w:rsidR="00E9089C" w:rsidRPr="001B05BA" w:rsidRDefault="00E9089C" w:rsidP="00E9089C">
      <w:pPr>
        <w:pStyle w:val="ListParagraph"/>
        <w:tabs>
          <w:tab w:val="left" w:pos="4917"/>
        </w:tabs>
        <w:spacing w:before="120" w:after="120" w:line="360" w:lineRule="auto"/>
        <w:jc w:val="both"/>
        <w:rPr>
          <w:rFonts w:ascii="Arial" w:hAnsi="Arial" w:cs="Arial"/>
          <w:sz w:val="24"/>
          <w:szCs w:val="24"/>
        </w:rPr>
      </w:pPr>
    </w:p>
    <w:p w14:paraId="4FD755EE" w14:textId="77777777" w:rsidR="008C4AD8" w:rsidRPr="001B05BA" w:rsidRDefault="008C4AD8" w:rsidP="008C4AD8">
      <w:pPr>
        <w:pStyle w:val="ListParagraph"/>
        <w:rPr>
          <w:rFonts w:ascii="Arial" w:hAnsi="Arial" w:cs="Arial"/>
          <w:sz w:val="24"/>
          <w:szCs w:val="24"/>
        </w:rPr>
      </w:pPr>
    </w:p>
    <w:p w14:paraId="3015D439" w14:textId="61D57014" w:rsidR="00813CFC" w:rsidRPr="001B05BA" w:rsidRDefault="00813CFC" w:rsidP="00371158">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1B05BA">
        <w:rPr>
          <w:rFonts w:ascii="Arial" w:hAnsi="Arial" w:cs="Arial"/>
          <w:sz w:val="24"/>
          <w:szCs w:val="24"/>
        </w:rPr>
        <w:t>Additional Note 4(b) to Chapter 22 of Schedule No. 1 provides as follows:</w:t>
      </w:r>
    </w:p>
    <w:p w14:paraId="2710AF6F" w14:textId="77777777" w:rsidR="00813CFC" w:rsidRPr="001B05BA" w:rsidRDefault="00813CFC" w:rsidP="00813CFC">
      <w:pPr>
        <w:pStyle w:val="ListParagraph"/>
        <w:tabs>
          <w:tab w:val="left" w:pos="4917"/>
        </w:tabs>
        <w:spacing w:before="120" w:after="120" w:line="360" w:lineRule="auto"/>
        <w:ind w:left="1008" w:right="1008"/>
        <w:jc w:val="both"/>
        <w:rPr>
          <w:rFonts w:ascii="Arial" w:hAnsi="Arial" w:cs="Arial"/>
          <w:sz w:val="24"/>
          <w:szCs w:val="24"/>
        </w:rPr>
      </w:pPr>
      <w:r w:rsidRPr="001B05BA">
        <w:rPr>
          <w:rFonts w:ascii="Arial" w:hAnsi="Arial" w:cs="Arial"/>
          <w:sz w:val="24"/>
          <w:szCs w:val="24"/>
        </w:rPr>
        <w:t>‘Tariff subheading 2208.70.21 … shall only apply to liqueurs … containing the following:</w:t>
      </w:r>
    </w:p>
    <w:p w14:paraId="5644099E" w14:textId="1A66AB2C" w:rsidR="00813CFC" w:rsidRPr="001B05BA" w:rsidRDefault="00E614C3" w:rsidP="00371158">
      <w:pPr>
        <w:pStyle w:val="ListParagraph"/>
        <w:numPr>
          <w:ilvl w:val="0"/>
          <w:numId w:val="7"/>
        </w:numPr>
        <w:tabs>
          <w:tab w:val="left" w:pos="4917"/>
        </w:tabs>
        <w:spacing w:before="120" w:after="120" w:line="360" w:lineRule="auto"/>
        <w:ind w:right="1008"/>
        <w:jc w:val="both"/>
        <w:rPr>
          <w:rFonts w:ascii="Arial" w:hAnsi="Arial" w:cs="Arial"/>
          <w:sz w:val="24"/>
          <w:szCs w:val="24"/>
        </w:rPr>
      </w:pPr>
      <w:r w:rsidRPr="001B05BA">
        <w:rPr>
          <w:rFonts w:ascii="Arial" w:hAnsi="Arial" w:cs="Arial"/>
          <w:sz w:val="24"/>
          <w:szCs w:val="24"/>
        </w:rPr>
        <w:t>(i)</w:t>
      </w:r>
      <w:r w:rsidR="00461548" w:rsidRPr="001B05BA">
        <w:rPr>
          <w:rFonts w:ascii="Arial" w:hAnsi="Arial" w:cs="Arial"/>
          <w:sz w:val="24"/>
          <w:szCs w:val="24"/>
        </w:rPr>
        <w:t xml:space="preserve">      </w:t>
      </w:r>
      <w:r w:rsidR="00813CFC" w:rsidRPr="001B05BA">
        <w:rPr>
          <w:rFonts w:ascii="Arial" w:hAnsi="Arial" w:cs="Arial"/>
          <w:sz w:val="24"/>
          <w:szCs w:val="24"/>
        </w:rPr>
        <w:t>distilled spirits;</w:t>
      </w:r>
    </w:p>
    <w:p w14:paraId="13200CED" w14:textId="77777777" w:rsidR="00813CFC" w:rsidRPr="001B05BA" w:rsidRDefault="00813CFC" w:rsidP="00371158">
      <w:pPr>
        <w:pStyle w:val="ListParagraph"/>
        <w:numPr>
          <w:ilvl w:val="0"/>
          <w:numId w:val="6"/>
        </w:numPr>
        <w:tabs>
          <w:tab w:val="left" w:pos="4917"/>
        </w:tabs>
        <w:spacing w:before="120" w:after="120" w:line="360" w:lineRule="auto"/>
        <w:ind w:right="1008"/>
        <w:jc w:val="both"/>
        <w:rPr>
          <w:rFonts w:ascii="Arial" w:hAnsi="Arial" w:cs="Arial"/>
          <w:sz w:val="24"/>
          <w:szCs w:val="24"/>
        </w:rPr>
      </w:pPr>
      <w:r w:rsidRPr="001B05BA">
        <w:rPr>
          <w:rFonts w:ascii="Arial" w:hAnsi="Arial" w:cs="Arial"/>
          <w:sz w:val="24"/>
          <w:szCs w:val="24"/>
        </w:rPr>
        <w:t>the final product of fermentation of fruit stripped of its character to the extent that it is not classifiable within tariff headings 22.04, 22.05 or 22.06 and of which the volume exceeds the volume of the distilled spirits; and</w:t>
      </w:r>
    </w:p>
    <w:p w14:paraId="10F6003F" w14:textId="24D1791D" w:rsidR="00813CFC" w:rsidRPr="001B05BA" w:rsidRDefault="00813CFC" w:rsidP="00371158">
      <w:pPr>
        <w:pStyle w:val="ListParagraph"/>
        <w:numPr>
          <w:ilvl w:val="0"/>
          <w:numId w:val="6"/>
        </w:numPr>
        <w:tabs>
          <w:tab w:val="left" w:pos="4917"/>
        </w:tabs>
        <w:spacing w:before="120" w:after="120" w:line="360" w:lineRule="auto"/>
        <w:ind w:right="1008"/>
        <w:jc w:val="both"/>
        <w:rPr>
          <w:rFonts w:ascii="Arial" w:hAnsi="Arial" w:cs="Arial"/>
          <w:sz w:val="24"/>
          <w:szCs w:val="24"/>
        </w:rPr>
      </w:pPr>
      <w:r w:rsidRPr="001B05BA">
        <w:rPr>
          <w:rFonts w:ascii="Arial" w:hAnsi="Arial" w:cs="Arial"/>
          <w:sz w:val="24"/>
          <w:szCs w:val="24"/>
        </w:rPr>
        <w:t>other non-alcoholic ingredients; or</w:t>
      </w:r>
    </w:p>
    <w:p w14:paraId="48743213" w14:textId="3325F669" w:rsidR="00813CFC" w:rsidRPr="001B05BA" w:rsidRDefault="00813CFC" w:rsidP="00371158">
      <w:pPr>
        <w:pStyle w:val="ListParagraph"/>
        <w:numPr>
          <w:ilvl w:val="0"/>
          <w:numId w:val="7"/>
        </w:numPr>
        <w:tabs>
          <w:tab w:val="left" w:pos="4917"/>
        </w:tabs>
        <w:spacing w:before="120" w:after="120" w:line="360" w:lineRule="auto"/>
        <w:ind w:right="1008"/>
        <w:jc w:val="both"/>
        <w:rPr>
          <w:rFonts w:ascii="Arial" w:hAnsi="Arial" w:cs="Arial"/>
          <w:sz w:val="24"/>
          <w:szCs w:val="24"/>
        </w:rPr>
      </w:pPr>
      <w:r w:rsidRPr="001B05BA">
        <w:rPr>
          <w:rFonts w:ascii="Arial" w:hAnsi="Arial" w:cs="Arial"/>
          <w:sz w:val="24"/>
          <w:szCs w:val="24"/>
        </w:rPr>
        <w:t>Wine spirits to which other non-alcoholic ingredients have been added.’</w:t>
      </w:r>
    </w:p>
    <w:p w14:paraId="79B7B3F4" w14:textId="77777777" w:rsidR="00813CFC" w:rsidRPr="001B05BA" w:rsidRDefault="00813CFC" w:rsidP="00813CFC">
      <w:pPr>
        <w:pStyle w:val="ListParagraph"/>
        <w:rPr>
          <w:rFonts w:ascii="Arial" w:hAnsi="Arial" w:cs="Arial"/>
          <w:sz w:val="24"/>
          <w:szCs w:val="24"/>
        </w:rPr>
      </w:pPr>
    </w:p>
    <w:p w14:paraId="68365B28" w14:textId="428BFB0F" w:rsidR="00813CFC" w:rsidRPr="001B05BA" w:rsidRDefault="009607C3" w:rsidP="00461548">
      <w:pPr>
        <w:tabs>
          <w:tab w:val="left" w:pos="4917"/>
        </w:tabs>
        <w:spacing w:before="120" w:after="120" w:line="360" w:lineRule="auto"/>
        <w:jc w:val="both"/>
        <w:rPr>
          <w:rFonts w:ascii="Arial" w:hAnsi="Arial" w:cs="Arial"/>
          <w:b/>
          <w:sz w:val="24"/>
          <w:szCs w:val="24"/>
        </w:rPr>
      </w:pPr>
      <w:r w:rsidRPr="001B05BA">
        <w:rPr>
          <w:rFonts w:ascii="Arial" w:hAnsi="Arial" w:cs="Arial"/>
          <w:b/>
          <w:sz w:val="24"/>
          <w:szCs w:val="24"/>
        </w:rPr>
        <w:t>Contextualising</w:t>
      </w:r>
      <w:r w:rsidR="00461548" w:rsidRPr="001B05BA">
        <w:rPr>
          <w:rFonts w:ascii="Arial" w:hAnsi="Arial" w:cs="Arial"/>
          <w:b/>
          <w:sz w:val="24"/>
          <w:szCs w:val="24"/>
        </w:rPr>
        <w:t xml:space="preserve"> Additional Note 4(b)</w:t>
      </w:r>
    </w:p>
    <w:p w14:paraId="54362EBA" w14:textId="77777777" w:rsidR="00813CFC" w:rsidRPr="001B05BA" w:rsidRDefault="00813CFC" w:rsidP="00813CFC">
      <w:pPr>
        <w:pStyle w:val="ListParagraph"/>
        <w:rPr>
          <w:rFonts w:ascii="Arial" w:hAnsi="Arial" w:cs="Arial"/>
          <w:sz w:val="24"/>
          <w:szCs w:val="24"/>
        </w:rPr>
      </w:pPr>
    </w:p>
    <w:p w14:paraId="71446F4A" w14:textId="33B58EFE" w:rsidR="003472DE" w:rsidRPr="001B05BA" w:rsidRDefault="00461548" w:rsidP="00371158">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1B05BA">
        <w:rPr>
          <w:rFonts w:ascii="Arial" w:hAnsi="Arial" w:cs="Arial"/>
          <w:sz w:val="24"/>
          <w:szCs w:val="24"/>
        </w:rPr>
        <w:t xml:space="preserve">It is common cause that National Treasury proposed lower </w:t>
      </w:r>
      <w:r w:rsidR="00D613AB" w:rsidRPr="001B05BA">
        <w:rPr>
          <w:rFonts w:ascii="Arial" w:hAnsi="Arial" w:cs="Arial"/>
          <w:sz w:val="24"/>
          <w:szCs w:val="24"/>
        </w:rPr>
        <w:t xml:space="preserve">excise </w:t>
      </w:r>
      <w:r w:rsidRPr="001B05BA">
        <w:rPr>
          <w:rFonts w:ascii="Arial" w:hAnsi="Arial" w:cs="Arial"/>
          <w:sz w:val="24"/>
          <w:szCs w:val="24"/>
        </w:rPr>
        <w:t>duty rates for wine spirits during the budget review dated 23 February 2011.</w:t>
      </w:r>
      <w:r w:rsidR="003472DE" w:rsidRPr="001B05BA">
        <w:rPr>
          <w:rStyle w:val="FootnoteReference"/>
          <w:rFonts w:ascii="Arial" w:hAnsi="Arial" w:cs="Arial"/>
          <w:sz w:val="24"/>
          <w:szCs w:val="24"/>
        </w:rPr>
        <w:footnoteReference w:id="20"/>
      </w:r>
      <w:r w:rsidRPr="001B05BA">
        <w:rPr>
          <w:rFonts w:ascii="Arial" w:hAnsi="Arial" w:cs="Arial"/>
          <w:sz w:val="24"/>
          <w:szCs w:val="24"/>
        </w:rPr>
        <w:t xml:space="preserve"> </w:t>
      </w:r>
      <w:r w:rsidR="003472DE" w:rsidRPr="001B05BA">
        <w:rPr>
          <w:rFonts w:ascii="Arial" w:hAnsi="Arial" w:cs="Arial"/>
          <w:sz w:val="24"/>
          <w:szCs w:val="24"/>
        </w:rPr>
        <w:t>A reduced excise duty rate</w:t>
      </w:r>
      <w:r w:rsidRPr="001B05BA">
        <w:rPr>
          <w:rFonts w:ascii="Arial" w:hAnsi="Arial" w:cs="Arial"/>
          <w:sz w:val="24"/>
          <w:szCs w:val="24"/>
        </w:rPr>
        <w:t xml:space="preserve"> was </w:t>
      </w:r>
      <w:r w:rsidR="003472DE" w:rsidRPr="001B05BA">
        <w:rPr>
          <w:rFonts w:ascii="Arial" w:hAnsi="Arial" w:cs="Arial"/>
          <w:sz w:val="24"/>
          <w:szCs w:val="24"/>
        </w:rPr>
        <w:t xml:space="preserve">introduced </w:t>
      </w:r>
      <w:r w:rsidRPr="001B05BA">
        <w:rPr>
          <w:rFonts w:ascii="Arial" w:hAnsi="Arial" w:cs="Arial"/>
          <w:sz w:val="24"/>
          <w:szCs w:val="24"/>
        </w:rPr>
        <w:t>so that</w:t>
      </w:r>
      <w:r w:rsidR="00BE18C9" w:rsidRPr="001B05BA">
        <w:rPr>
          <w:rFonts w:ascii="Arial" w:hAnsi="Arial" w:cs="Arial"/>
          <w:sz w:val="24"/>
          <w:szCs w:val="24"/>
        </w:rPr>
        <w:t xml:space="preserve"> </w:t>
      </w:r>
      <w:r w:rsidRPr="001B05BA">
        <w:rPr>
          <w:rFonts w:ascii="Arial" w:hAnsi="Arial" w:cs="Arial"/>
          <w:sz w:val="24"/>
          <w:szCs w:val="24"/>
        </w:rPr>
        <w:t>wine spirits could be competitively used as a substitute for C-</w:t>
      </w:r>
      <w:r w:rsidR="003472DE" w:rsidRPr="001B05BA">
        <w:rPr>
          <w:rFonts w:ascii="Arial" w:hAnsi="Arial" w:cs="Arial"/>
          <w:sz w:val="24"/>
          <w:szCs w:val="24"/>
        </w:rPr>
        <w:t>s</w:t>
      </w:r>
      <w:r w:rsidRPr="001B05BA">
        <w:rPr>
          <w:rFonts w:ascii="Arial" w:hAnsi="Arial" w:cs="Arial"/>
          <w:sz w:val="24"/>
          <w:szCs w:val="24"/>
        </w:rPr>
        <w:t>pirits in the manufacture of spirituous beverages.</w:t>
      </w:r>
      <w:r w:rsidR="003472DE" w:rsidRPr="001B05BA">
        <w:rPr>
          <w:rStyle w:val="FootnoteReference"/>
          <w:rFonts w:ascii="Arial" w:hAnsi="Arial" w:cs="Arial"/>
          <w:sz w:val="24"/>
          <w:szCs w:val="24"/>
        </w:rPr>
        <w:footnoteReference w:id="21"/>
      </w:r>
      <w:r w:rsidRPr="001B05BA">
        <w:rPr>
          <w:rFonts w:ascii="Arial" w:hAnsi="Arial" w:cs="Arial"/>
          <w:sz w:val="24"/>
          <w:szCs w:val="24"/>
        </w:rPr>
        <w:t xml:space="preserve"> </w:t>
      </w:r>
      <w:r w:rsidR="003472DE" w:rsidRPr="001B05BA">
        <w:rPr>
          <w:rFonts w:ascii="Arial" w:hAnsi="Arial" w:cs="Arial"/>
          <w:sz w:val="24"/>
          <w:szCs w:val="24"/>
        </w:rPr>
        <w:t xml:space="preserve"> Without the lower tariff, it </w:t>
      </w:r>
      <w:r w:rsidR="003472DE" w:rsidRPr="001B05BA">
        <w:rPr>
          <w:rFonts w:ascii="Arial" w:hAnsi="Arial" w:cs="Arial"/>
          <w:sz w:val="24"/>
          <w:szCs w:val="24"/>
        </w:rPr>
        <w:lastRenderedPageBreak/>
        <w:t>is not economical to use wine spirits</w:t>
      </w:r>
      <w:r w:rsidR="00CD7AF1" w:rsidRPr="001B05BA">
        <w:rPr>
          <w:rFonts w:ascii="Arial" w:hAnsi="Arial" w:cs="Arial"/>
          <w:sz w:val="24"/>
          <w:szCs w:val="24"/>
        </w:rPr>
        <w:t xml:space="preserve"> in the manufacturing of, amongst others, liqu</w:t>
      </w:r>
      <w:r w:rsidR="00576489" w:rsidRPr="001B05BA">
        <w:rPr>
          <w:rFonts w:ascii="Arial" w:hAnsi="Arial" w:cs="Arial"/>
          <w:sz w:val="24"/>
          <w:szCs w:val="24"/>
        </w:rPr>
        <w:t>eur.</w:t>
      </w:r>
    </w:p>
    <w:p w14:paraId="598350AA" w14:textId="77777777" w:rsidR="0001205F" w:rsidRPr="001B05BA" w:rsidRDefault="0001205F" w:rsidP="0001205F">
      <w:pPr>
        <w:pStyle w:val="ListParagraph"/>
        <w:tabs>
          <w:tab w:val="left" w:pos="4917"/>
        </w:tabs>
        <w:spacing w:before="120" w:after="120" w:line="360" w:lineRule="auto"/>
        <w:jc w:val="both"/>
        <w:rPr>
          <w:rFonts w:ascii="Arial" w:hAnsi="Arial" w:cs="Arial"/>
          <w:sz w:val="24"/>
          <w:szCs w:val="24"/>
        </w:rPr>
      </w:pPr>
    </w:p>
    <w:p w14:paraId="53DCC57D" w14:textId="0945F9EA" w:rsidR="0001205F" w:rsidRPr="001B05BA" w:rsidRDefault="0001205F" w:rsidP="00371158">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1B05BA">
        <w:rPr>
          <w:rFonts w:ascii="Arial" w:hAnsi="Arial" w:cs="Arial"/>
          <w:sz w:val="24"/>
          <w:szCs w:val="24"/>
        </w:rPr>
        <w:t>The parties agree on the purpose of introducing Additional Note 4(b)</w:t>
      </w:r>
      <w:r w:rsidR="00C14E8F" w:rsidRPr="001B05BA">
        <w:rPr>
          <w:rFonts w:ascii="Arial" w:hAnsi="Arial" w:cs="Arial"/>
          <w:sz w:val="24"/>
          <w:szCs w:val="24"/>
        </w:rPr>
        <w:t>,</w:t>
      </w:r>
      <w:r w:rsidRPr="001B05BA">
        <w:rPr>
          <w:rFonts w:ascii="Arial" w:hAnsi="Arial" w:cs="Arial"/>
          <w:sz w:val="24"/>
          <w:szCs w:val="24"/>
        </w:rPr>
        <w:t xml:space="preserve"> and the Commissioner stated in its heads of argument:</w:t>
      </w:r>
    </w:p>
    <w:p w14:paraId="7CF120AC" w14:textId="77777777" w:rsidR="0001205F" w:rsidRPr="001B05BA" w:rsidRDefault="0001205F" w:rsidP="0001205F">
      <w:pPr>
        <w:pStyle w:val="ListParagraph"/>
        <w:rPr>
          <w:rFonts w:ascii="Arial" w:hAnsi="Arial" w:cs="Arial"/>
          <w:sz w:val="24"/>
          <w:szCs w:val="24"/>
        </w:rPr>
      </w:pPr>
    </w:p>
    <w:p w14:paraId="735F8DDF" w14:textId="3DEAE4DF" w:rsidR="0001205F" w:rsidRPr="001B05BA" w:rsidRDefault="0001205F" w:rsidP="00C14E8F">
      <w:pPr>
        <w:pStyle w:val="ListParagraph"/>
        <w:tabs>
          <w:tab w:val="left" w:pos="4917"/>
        </w:tabs>
        <w:spacing w:before="120" w:after="120" w:line="360" w:lineRule="auto"/>
        <w:ind w:left="1008" w:right="1008"/>
        <w:jc w:val="both"/>
        <w:rPr>
          <w:rFonts w:ascii="Arial" w:hAnsi="Arial" w:cs="Arial"/>
          <w:sz w:val="24"/>
          <w:szCs w:val="24"/>
        </w:rPr>
      </w:pPr>
      <w:r w:rsidRPr="001B05BA">
        <w:rPr>
          <w:rFonts w:ascii="Arial" w:hAnsi="Arial" w:cs="Arial"/>
          <w:sz w:val="24"/>
          <w:szCs w:val="24"/>
        </w:rPr>
        <w:t>‘The reason for the introduction of Additional Note 4 was to support the labo</w:t>
      </w:r>
      <w:r w:rsidR="005A54FA" w:rsidRPr="001B05BA">
        <w:rPr>
          <w:rFonts w:ascii="Arial" w:hAnsi="Arial" w:cs="Arial"/>
          <w:sz w:val="24"/>
          <w:szCs w:val="24"/>
        </w:rPr>
        <w:t>u</w:t>
      </w:r>
      <w:r w:rsidRPr="001B05BA">
        <w:rPr>
          <w:rFonts w:ascii="Arial" w:hAnsi="Arial" w:cs="Arial"/>
          <w:sz w:val="24"/>
          <w:szCs w:val="24"/>
        </w:rPr>
        <w:t xml:space="preserve">r-intensive wine and soft fruit industries by incentivising the local manufacturers of alcoholic beverages to use wine spirits (as opposed to cane </w:t>
      </w:r>
      <w:r w:rsidR="00C14E8F" w:rsidRPr="001B05BA">
        <w:rPr>
          <w:rFonts w:ascii="Arial" w:hAnsi="Arial" w:cs="Arial"/>
          <w:sz w:val="24"/>
          <w:szCs w:val="24"/>
        </w:rPr>
        <w:t>spirits</w:t>
      </w:r>
      <w:r w:rsidRPr="001B05BA">
        <w:rPr>
          <w:rFonts w:ascii="Arial" w:hAnsi="Arial" w:cs="Arial"/>
          <w:sz w:val="24"/>
          <w:szCs w:val="24"/>
        </w:rPr>
        <w:t>) as the main alcoholic component of their products; …’</w:t>
      </w:r>
    </w:p>
    <w:p w14:paraId="218C019B" w14:textId="77777777" w:rsidR="003472DE" w:rsidRPr="001B05BA" w:rsidRDefault="003472DE" w:rsidP="003472DE">
      <w:pPr>
        <w:pStyle w:val="ListParagraph"/>
        <w:tabs>
          <w:tab w:val="left" w:pos="4917"/>
        </w:tabs>
        <w:spacing w:before="120" w:after="120" w:line="360" w:lineRule="auto"/>
        <w:jc w:val="both"/>
        <w:rPr>
          <w:rFonts w:ascii="Arial" w:hAnsi="Arial" w:cs="Arial"/>
          <w:sz w:val="24"/>
          <w:szCs w:val="24"/>
        </w:rPr>
      </w:pPr>
    </w:p>
    <w:p w14:paraId="7FC9F278" w14:textId="125E3BE3" w:rsidR="00813CFC" w:rsidRPr="001B05BA" w:rsidRDefault="0030497A" w:rsidP="00BE18C9">
      <w:pPr>
        <w:tabs>
          <w:tab w:val="left" w:pos="4917"/>
        </w:tabs>
        <w:spacing w:before="120" w:after="120" w:line="360" w:lineRule="auto"/>
        <w:jc w:val="both"/>
        <w:rPr>
          <w:rFonts w:ascii="Arial" w:hAnsi="Arial" w:cs="Arial"/>
          <w:b/>
          <w:sz w:val="24"/>
          <w:szCs w:val="24"/>
        </w:rPr>
      </w:pPr>
      <w:r w:rsidRPr="001B05BA">
        <w:rPr>
          <w:rFonts w:ascii="Arial" w:hAnsi="Arial" w:cs="Arial"/>
          <w:b/>
          <w:sz w:val="24"/>
          <w:szCs w:val="24"/>
        </w:rPr>
        <w:t>Diageo</w:t>
      </w:r>
      <w:r w:rsidR="00BE18C9" w:rsidRPr="001B05BA">
        <w:rPr>
          <w:rFonts w:ascii="Arial" w:hAnsi="Arial" w:cs="Arial"/>
          <w:b/>
          <w:sz w:val="24"/>
          <w:szCs w:val="24"/>
        </w:rPr>
        <w:t>’s submissions</w:t>
      </w:r>
    </w:p>
    <w:p w14:paraId="11CF2B2B" w14:textId="77777777" w:rsidR="00813CFC" w:rsidRPr="001B05BA" w:rsidRDefault="00813CFC" w:rsidP="00813CFC">
      <w:pPr>
        <w:pStyle w:val="ListParagraph"/>
        <w:rPr>
          <w:rFonts w:ascii="Arial" w:hAnsi="Arial" w:cs="Arial"/>
          <w:sz w:val="24"/>
          <w:szCs w:val="24"/>
        </w:rPr>
      </w:pPr>
    </w:p>
    <w:p w14:paraId="6701E6F7" w14:textId="31BEEF8F" w:rsidR="00813CFC" w:rsidRPr="001B05BA" w:rsidRDefault="0030497A" w:rsidP="00371158">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1B05BA">
        <w:rPr>
          <w:rFonts w:ascii="Arial" w:hAnsi="Arial" w:cs="Arial"/>
          <w:sz w:val="24"/>
          <w:szCs w:val="24"/>
        </w:rPr>
        <w:t xml:space="preserve">Diageo submits that when Additional Note 4(b) is interpreted, it must be read in context, of, amongst others, the circumstances attendant upon its coming into existence. Diageo </w:t>
      </w:r>
      <w:r w:rsidR="00F701FB" w:rsidRPr="001B05BA">
        <w:rPr>
          <w:rFonts w:ascii="Arial" w:hAnsi="Arial" w:cs="Arial"/>
          <w:sz w:val="24"/>
          <w:szCs w:val="24"/>
        </w:rPr>
        <w:t>argues</w:t>
      </w:r>
      <w:r w:rsidRPr="001B05BA">
        <w:rPr>
          <w:rFonts w:ascii="Arial" w:hAnsi="Arial" w:cs="Arial"/>
          <w:sz w:val="24"/>
          <w:szCs w:val="24"/>
        </w:rPr>
        <w:t xml:space="preserve"> for a purposive interpretative </w:t>
      </w:r>
      <w:r w:rsidR="005C0066" w:rsidRPr="001B05BA">
        <w:rPr>
          <w:rFonts w:ascii="Arial" w:hAnsi="Arial" w:cs="Arial"/>
          <w:sz w:val="24"/>
          <w:szCs w:val="24"/>
        </w:rPr>
        <w:t>approach and</w:t>
      </w:r>
      <w:r w:rsidRPr="001B05BA">
        <w:rPr>
          <w:rFonts w:ascii="Arial" w:hAnsi="Arial" w:cs="Arial"/>
          <w:sz w:val="24"/>
          <w:szCs w:val="24"/>
        </w:rPr>
        <w:t xml:space="preserve"> contends that the probable intention of the legislature was to prevent a situation where a manufacturer used the more expensive wine spirits, but then added non-expensive C-spirits thereto and, in doing so, increas</w:t>
      </w:r>
      <w:r w:rsidR="008E12E9" w:rsidRPr="001B05BA">
        <w:rPr>
          <w:rFonts w:ascii="Arial" w:hAnsi="Arial" w:cs="Arial"/>
          <w:sz w:val="24"/>
          <w:szCs w:val="24"/>
        </w:rPr>
        <w:t>ed</w:t>
      </w:r>
      <w:r w:rsidRPr="001B05BA">
        <w:rPr>
          <w:rFonts w:ascii="Arial" w:hAnsi="Arial" w:cs="Arial"/>
          <w:sz w:val="24"/>
          <w:szCs w:val="24"/>
        </w:rPr>
        <w:t xml:space="preserve"> the alcohol content of the beverage with the cheaper C-spirits, but simultaneously benefitting from the lower rate of excise duty.</w:t>
      </w:r>
    </w:p>
    <w:p w14:paraId="4B5BBF92" w14:textId="77777777" w:rsidR="00813CFC" w:rsidRPr="001B05BA" w:rsidRDefault="00813CFC" w:rsidP="00813CFC">
      <w:pPr>
        <w:pStyle w:val="ListParagraph"/>
        <w:rPr>
          <w:rFonts w:ascii="Arial" w:hAnsi="Arial" w:cs="Arial"/>
          <w:sz w:val="24"/>
          <w:szCs w:val="24"/>
        </w:rPr>
      </w:pPr>
    </w:p>
    <w:p w14:paraId="6CF0222F" w14:textId="78271AB3" w:rsidR="00813CFC" w:rsidRPr="001B05BA" w:rsidRDefault="0030497A" w:rsidP="00371158">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1B05BA">
        <w:rPr>
          <w:rFonts w:ascii="Arial" w:hAnsi="Arial" w:cs="Arial"/>
          <w:sz w:val="24"/>
          <w:szCs w:val="24"/>
        </w:rPr>
        <w:t>Diageo draws attention to the fact that the term ‘non-alcoholic beverage’ is defined in the Chapter Notes to Chapter 22</w:t>
      </w:r>
      <w:r w:rsidR="009313CD" w:rsidRPr="001B05BA">
        <w:rPr>
          <w:rFonts w:ascii="Arial" w:hAnsi="Arial" w:cs="Arial"/>
          <w:sz w:val="24"/>
          <w:szCs w:val="24"/>
        </w:rPr>
        <w:t xml:space="preserve"> which state</w:t>
      </w:r>
      <w:r w:rsidR="009D504D" w:rsidRPr="001B05BA">
        <w:rPr>
          <w:rFonts w:ascii="Arial" w:hAnsi="Arial" w:cs="Arial"/>
          <w:sz w:val="24"/>
          <w:szCs w:val="24"/>
        </w:rPr>
        <w:t>:</w:t>
      </w:r>
    </w:p>
    <w:p w14:paraId="18308E78" w14:textId="77777777" w:rsidR="009D504D" w:rsidRPr="001B05BA" w:rsidRDefault="009D504D" w:rsidP="009D504D">
      <w:pPr>
        <w:pStyle w:val="ListParagraph"/>
        <w:rPr>
          <w:rFonts w:ascii="Arial" w:hAnsi="Arial" w:cs="Arial"/>
          <w:sz w:val="24"/>
          <w:szCs w:val="24"/>
        </w:rPr>
      </w:pPr>
    </w:p>
    <w:p w14:paraId="174AAFD9" w14:textId="17D22872" w:rsidR="00813CFC" w:rsidRPr="001B05BA" w:rsidRDefault="009D504D" w:rsidP="009D504D">
      <w:pPr>
        <w:pStyle w:val="ListParagraph"/>
        <w:tabs>
          <w:tab w:val="left" w:pos="4917"/>
        </w:tabs>
        <w:spacing w:before="120" w:after="120" w:line="360" w:lineRule="auto"/>
        <w:ind w:left="1008" w:right="1008"/>
        <w:jc w:val="both"/>
        <w:rPr>
          <w:rFonts w:ascii="Arial" w:hAnsi="Arial" w:cs="Arial"/>
          <w:sz w:val="24"/>
          <w:szCs w:val="24"/>
        </w:rPr>
      </w:pPr>
      <w:r w:rsidRPr="001B05BA">
        <w:rPr>
          <w:rFonts w:ascii="Arial" w:hAnsi="Arial" w:cs="Arial"/>
          <w:sz w:val="24"/>
          <w:szCs w:val="24"/>
        </w:rPr>
        <w:t>‘For the purpose of heading 22.02 the term ‘non-alcoholic beverage’ means beverages of an alcoholic strength by volume not exceeding 0.5 per cent vol. Alcoholic beverages are classified in headings 22.03 to 22.06 or heading 22.08 as appropriate’.</w:t>
      </w:r>
      <w:r w:rsidRPr="001B05BA">
        <w:rPr>
          <w:rFonts w:ascii="Arial" w:hAnsi="Arial" w:cs="Arial"/>
          <w:sz w:val="24"/>
          <w:szCs w:val="24"/>
        </w:rPr>
        <w:tab/>
      </w:r>
    </w:p>
    <w:p w14:paraId="47088136" w14:textId="77777777" w:rsidR="009D504D" w:rsidRPr="001B05BA" w:rsidRDefault="009D504D" w:rsidP="009D504D">
      <w:pPr>
        <w:pStyle w:val="ListParagraph"/>
        <w:tabs>
          <w:tab w:val="left" w:pos="4917"/>
        </w:tabs>
        <w:spacing w:before="120" w:after="120" w:line="360" w:lineRule="auto"/>
        <w:jc w:val="both"/>
        <w:rPr>
          <w:rFonts w:ascii="Arial" w:hAnsi="Arial" w:cs="Arial"/>
          <w:sz w:val="24"/>
          <w:szCs w:val="24"/>
        </w:rPr>
      </w:pPr>
    </w:p>
    <w:p w14:paraId="2022EE77" w14:textId="1F379C9F" w:rsidR="00813CFC" w:rsidRPr="001B05BA" w:rsidRDefault="009D504D" w:rsidP="009D504D">
      <w:pPr>
        <w:pStyle w:val="ListParagraph"/>
        <w:tabs>
          <w:tab w:val="left" w:pos="4917"/>
        </w:tabs>
        <w:spacing w:before="120" w:after="120" w:line="360" w:lineRule="auto"/>
        <w:jc w:val="both"/>
        <w:rPr>
          <w:rFonts w:ascii="Arial" w:hAnsi="Arial" w:cs="Arial"/>
          <w:sz w:val="24"/>
          <w:szCs w:val="24"/>
        </w:rPr>
      </w:pPr>
      <w:r w:rsidRPr="001B05BA">
        <w:rPr>
          <w:rFonts w:ascii="Arial" w:hAnsi="Arial" w:cs="Arial"/>
          <w:sz w:val="24"/>
          <w:szCs w:val="24"/>
        </w:rPr>
        <w:t>Diageo submits that although the Chapter Note is specifically aimed at tariff heading 22.02</w:t>
      </w:r>
      <w:r w:rsidR="00A94374" w:rsidRPr="001B05BA">
        <w:rPr>
          <w:rFonts w:ascii="Arial" w:hAnsi="Arial" w:cs="Arial"/>
          <w:sz w:val="24"/>
          <w:szCs w:val="24"/>
        </w:rPr>
        <w:t>,</w:t>
      </w:r>
      <w:r w:rsidRPr="001B05BA">
        <w:rPr>
          <w:rFonts w:ascii="Arial" w:hAnsi="Arial" w:cs="Arial"/>
          <w:sz w:val="24"/>
          <w:szCs w:val="24"/>
        </w:rPr>
        <w:t xml:space="preserve"> which deals with non-alcoholic beverages, the Explanatory Notes associated with headings 22.03 to 22.06 and 22.08, </w:t>
      </w:r>
      <w:r w:rsidR="007D10E0" w:rsidRPr="001B05BA">
        <w:rPr>
          <w:rFonts w:ascii="Arial" w:hAnsi="Arial" w:cs="Arial"/>
          <w:sz w:val="24"/>
          <w:szCs w:val="24"/>
        </w:rPr>
        <w:t>refer</w:t>
      </w:r>
      <w:r w:rsidRPr="001B05BA">
        <w:rPr>
          <w:rFonts w:ascii="Arial" w:hAnsi="Arial" w:cs="Arial"/>
          <w:sz w:val="24"/>
          <w:szCs w:val="24"/>
        </w:rPr>
        <w:t xml:space="preserve"> throughout to ‘alcoholic strength </w:t>
      </w:r>
      <w:r w:rsidR="007D10E0" w:rsidRPr="001B05BA">
        <w:rPr>
          <w:rFonts w:ascii="Arial" w:hAnsi="Arial" w:cs="Arial"/>
          <w:sz w:val="24"/>
          <w:szCs w:val="24"/>
        </w:rPr>
        <w:t xml:space="preserve">by </w:t>
      </w:r>
      <w:r w:rsidR="007D10E0" w:rsidRPr="001B05BA">
        <w:rPr>
          <w:rFonts w:ascii="Arial" w:hAnsi="Arial" w:cs="Arial"/>
          <w:sz w:val="24"/>
          <w:szCs w:val="24"/>
        </w:rPr>
        <w:lastRenderedPageBreak/>
        <w:t xml:space="preserve">volume of 0.5 </w:t>
      </w:r>
      <w:r w:rsidR="001F73F8" w:rsidRPr="001B05BA">
        <w:rPr>
          <w:rFonts w:ascii="Arial" w:hAnsi="Arial" w:cs="Arial"/>
          <w:sz w:val="24"/>
          <w:szCs w:val="24"/>
        </w:rPr>
        <w:t>percent</w:t>
      </w:r>
      <w:r w:rsidR="007D10E0" w:rsidRPr="001B05BA">
        <w:rPr>
          <w:rFonts w:ascii="Arial" w:hAnsi="Arial" w:cs="Arial"/>
          <w:sz w:val="24"/>
          <w:szCs w:val="24"/>
        </w:rPr>
        <w:t>’ as</w:t>
      </w:r>
      <w:r w:rsidRPr="001B05BA">
        <w:rPr>
          <w:rFonts w:ascii="Arial" w:hAnsi="Arial" w:cs="Arial"/>
          <w:sz w:val="24"/>
          <w:szCs w:val="24"/>
        </w:rPr>
        <w:t xml:space="preserve"> a threshold between alcoholic and non-alcoholic</w:t>
      </w:r>
      <w:r w:rsidR="00EC6FE6" w:rsidRPr="001B05BA">
        <w:rPr>
          <w:rFonts w:ascii="Arial" w:hAnsi="Arial" w:cs="Arial"/>
          <w:sz w:val="24"/>
          <w:szCs w:val="24"/>
        </w:rPr>
        <w:t xml:space="preserve"> beverages</w:t>
      </w:r>
      <w:r w:rsidRPr="001B05BA">
        <w:rPr>
          <w:rFonts w:ascii="Arial" w:hAnsi="Arial" w:cs="Arial"/>
          <w:sz w:val="24"/>
          <w:szCs w:val="24"/>
        </w:rPr>
        <w:t>.</w:t>
      </w:r>
      <w:r w:rsidR="004D2814" w:rsidRPr="001B05BA">
        <w:rPr>
          <w:rStyle w:val="FootnoteReference"/>
          <w:rFonts w:ascii="Arial" w:hAnsi="Arial" w:cs="Arial"/>
          <w:sz w:val="24"/>
          <w:szCs w:val="24"/>
        </w:rPr>
        <w:footnoteReference w:id="22"/>
      </w:r>
    </w:p>
    <w:p w14:paraId="15F03CAA" w14:textId="77777777" w:rsidR="00813CFC" w:rsidRPr="001B05BA" w:rsidRDefault="00813CFC" w:rsidP="00813CFC">
      <w:pPr>
        <w:pStyle w:val="ListParagraph"/>
        <w:rPr>
          <w:rFonts w:ascii="Arial" w:hAnsi="Arial" w:cs="Arial"/>
          <w:sz w:val="24"/>
          <w:szCs w:val="24"/>
        </w:rPr>
      </w:pPr>
    </w:p>
    <w:p w14:paraId="320646F3" w14:textId="003B6156" w:rsidR="009D504D" w:rsidRPr="001B05BA" w:rsidRDefault="007D10E0" w:rsidP="00887F75">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1B05BA">
        <w:rPr>
          <w:rFonts w:ascii="Arial" w:hAnsi="Arial" w:cs="Arial"/>
          <w:sz w:val="24"/>
          <w:szCs w:val="24"/>
        </w:rPr>
        <w:t>Diageo contends that it is not the alcohol content by volume of the vanilla which is determinant of the question as to whether ‘other non-alcoholic ingredients</w:t>
      </w:r>
      <w:r w:rsidR="0098249D" w:rsidRPr="001B05BA">
        <w:rPr>
          <w:rFonts w:ascii="Arial" w:hAnsi="Arial" w:cs="Arial"/>
          <w:sz w:val="24"/>
          <w:szCs w:val="24"/>
        </w:rPr>
        <w:t>’</w:t>
      </w:r>
      <w:r w:rsidRPr="001B05BA">
        <w:rPr>
          <w:rFonts w:ascii="Arial" w:hAnsi="Arial" w:cs="Arial"/>
          <w:sz w:val="24"/>
          <w:szCs w:val="24"/>
        </w:rPr>
        <w:t xml:space="preserve"> have been added to the wine spirits to constitute the liqueur, but the alcohol content by </w:t>
      </w:r>
      <w:r w:rsidR="00887F75" w:rsidRPr="001B05BA">
        <w:rPr>
          <w:rFonts w:ascii="Arial" w:hAnsi="Arial" w:cs="Arial"/>
          <w:sz w:val="24"/>
          <w:szCs w:val="24"/>
        </w:rPr>
        <w:t>volume of</w:t>
      </w:r>
      <w:r w:rsidRPr="001B05BA">
        <w:rPr>
          <w:rFonts w:ascii="Arial" w:hAnsi="Arial" w:cs="Arial"/>
          <w:sz w:val="24"/>
          <w:szCs w:val="24"/>
        </w:rPr>
        <w:t xml:space="preserve"> the flavour</w:t>
      </w:r>
      <w:r w:rsidR="00887F75" w:rsidRPr="001B05BA">
        <w:rPr>
          <w:rFonts w:ascii="Arial" w:hAnsi="Arial" w:cs="Arial"/>
          <w:sz w:val="24"/>
          <w:szCs w:val="24"/>
        </w:rPr>
        <w:t>ing</w:t>
      </w:r>
      <w:r w:rsidRPr="001B05BA">
        <w:rPr>
          <w:rFonts w:ascii="Arial" w:hAnsi="Arial" w:cs="Arial"/>
          <w:sz w:val="24"/>
          <w:szCs w:val="24"/>
        </w:rPr>
        <w:t xml:space="preserve"> that </w:t>
      </w:r>
      <w:r w:rsidR="00887F75" w:rsidRPr="001B05BA">
        <w:rPr>
          <w:rFonts w:ascii="Arial" w:hAnsi="Arial" w:cs="Arial"/>
          <w:sz w:val="24"/>
          <w:szCs w:val="24"/>
        </w:rPr>
        <w:t>i</w:t>
      </w:r>
      <w:r w:rsidRPr="001B05BA">
        <w:rPr>
          <w:rFonts w:ascii="Arial" w:hAnsi="Arial" w:cs="Arial"/>
          <w:sz w:val="24"/>
          <w:szCs w:val="24"/>
        </w:rPr>
        <w:t>s added to the wine spirits.</w:t>
      </w:r>
      <w:r w:rsidR="00887F75" w:rsidRPr="001B05BA">
        <w:rPr>
          <w:rFonts w:ascii="Arial" w:hAnsi="Arial" w:cs="Arial"/>
          <w:sz w:val="24"/>
          <w:szCs w:val="24"/>
        </w:rPr>
        <w:t xml:space="preserve"> The flavouring is made separately in the flavouring tank. The flavouring contains 0,48kg/142.66kg x 100 = 0.3% vanilla, and also prune fruit oil, chocolate caramel, caramel, brown food colouring, and yellow food colouring. The flavouring has an alcohol content of alcohol by volume </w:t>
      </w:r>
      <w:r w:rsidR="00ED78F1" w:rsidRPr="001B05BA">
        <w:rPr>
          <w:rFonts w:ascii="Arial" w:hAnsi="Arial" w:cs="Arial"/>
          <w:sz w:val="24"/>
          <w:szCs w:val="24"/>
        </w:rPr>
        <w:t xml:space="preserve">(ABV) </w:t>
      </w:r>
      <w:r w:rsidR="00887F75" w:rsidRPr="001B05BA">
        <w:rPr>
          <w:rFonts w:ascii="Arial" w:hAnsi="Arial" w:cs="Arial"/>
          <w:sz w:val="24"/>
          <w:szCs w:val="24"/>
        </w:rPr>
        <w:t>of approximately 0.00</w:t>
      </w:r>
      <w:r w:rsidR="00BA6633" w:rsidRPr="001B05BA">
        <w:rPr>
          <w:rFonts w:ascii="Arial" w:hAnsi="Arial" w:cs="Arial"/>
          <w:sz w:val="24"/>
          <w:szCs w:val="24"/>
        </w:rPr>
        <w:t>0</w:t>
      </w:r>
      <w:r w:rsidR="00887F75" w:rsidRPr="001B05BA">
        <w:rPr>
          <w:rFonts w:ascii="Arial" w:hAnsi="Arial" w:cs="Arial"/>
          <w:sz w:val="24"/>
          <w:szCs w:val="24"/>
        </w:rPr>
        <w:t>2</w:t>
      </w:r>
      <w:r w:rsidR="00B70917" w:rsidRPr="001B05BA">
        <w:rPr>
          <w:rFonts w:ascii="Arial" w:hAnsi="Arial" w:cs="Arial"/>
          <w:sz w:val="24"/>
          <w:szCs w:val="24"/>
        </w:rPr>
        <w:t>52</w:t>
      </w:r>
      <w:r w:rsidR="00887F75" w:rsidRPr="001B05BA">
        <w:rPr>
          <w:rFonts w:ascii="Arial" w:hAnsi="Arial" w:cs="Arial"/>
          <w:sz w:val="24"/>
          <w:szCs w:val="24"/>
        </w:rPr>
        <w:t>%. Diageo contends that by virtue of its manufacturing process, the CVCO falls within the ambit of Additional Note 4(b).</w:t>
      </w:r>
      <w:r w:rsidR="00ED78F1" w:rsidRPr="001B05BA">
        <w:rPr>
          <w:rFonts w:ascii="Arial" w:hAnsi="Arial" w:cs="Arial"/>
          <w:sz w:val="24"/>
          <w:szCs w:val="24"/>
        </w:rPr>
        <w:t xml:space="preserve"> The vanilla ultimately adds 0.00004% </w:t>
      </w:r>
      <w:r w:rsidR="00641837" w:rsidRPr="001B05BA">
        <w:rPr>
          <w:rFonts w:ascii="Arial" w:hAnsi="Arial" w:cs="Arial"/>
          <w:sz w:val="24"/>
          <w:szCs w:val="24"/>
        </w:rPr>
        <w:t>ABV</w:t>
      </w:r>
      <w:r w:rsidR="00ED78F1" w:rsidRPr="001B05BA">
        <w:rPr>
          <w:rFonts w:ascii="Arial" w:hAnsi="Arial" w:cs="Arial"/>
          <w:sz w:val="24"/>
          <w:szCs w:val="24"/>
        </w:rPr>
        <w:t xml:space="preserve"> to the final product, with the wine spirits contributing 15.9999996%.</w:t>
      </w:r>
      <w:r w:rsidR="0001205F" w:rsidRPr="001B05BA">
        <w:rPr>
          <w:rFonts w:ascii="Arial" w:hAnsi="Arial" w:cs="Arial"/>
          <w:sz w:val="24"/>
          <w:szCs w:val="24"/>
        </w:rPr>
        <w:t xml:space="preserve"> A 750ml bottle of the CVCO, with an ABV of 16%</w:t>
      </w:r>
      <w:r w:rsidR="00035306" w:rsidRPr="001B05BA">
        <w:rPr>
          <w:rFonts w:ascii="Arial" w:hAnsi="Arial" w:cs="Arial"/>
          <w:sz w:val="24"/>
          <w:szCs w:val="24"/>
        </w:rPr>
        <w:t>,</w:t>
      </w:r>
      <w:r w:rsidR="0001205F" w:rsidRPr="001B05BA">
        <w:rPr>
          <w:rFonts w:ascii="Arial" w:hAnsi="Arial" w:cs="Arial"/>
          <w:sz w:val="24"/>
          <w:szCs w:val="24"/>
        </w:rPr>
        <w:t xml:space="preserve"> thus contains 0.0003ml of alcohol from the vanilla. </w:t>
      </w:r>
    </w:p>
    <w:p w14:paraId="265B27BC" w14:textId="77777777" w:rsidR="00C14E8F" w:rsidRPr="001B05BA" w:rsidRDefault="00C14E8F" w:rsidP="00C14E8F">
      <w:pPr>
        <w:pStyle w:val="ListParagraph"/>
        <w:tabs>
          <w:tab w:val="left" w:pos="4917"/>
        </w:tabs>
        <w:spacing w:before="120" w:after="120" w:line="360" w:lineRule="auto"/>
        <w:jc w:val="both"/>
        <w:rPr>
          <w:rFonts w:ascii="Arial" w:hAnsi="Arial" w:cs="Arial"/>
          <w:sz w:val="24"/>
          <w:szCs w:val="24"/>
        </w:rPr>
      </w:pPr>
    </w:p>
    <w:p w14:paraId="21C84B93" w14:textId="21DE1974" w:rsidR="009D504D" w:rsidRPr="001B05BA" w:rsidRDefault="00ED78F1" w:rsidP="00BE18C9">
      <w:pPr>
        <w:pStyle w:val="ListParagraph"/>
        <w:numPr>
          <w:ilvl w:val="0"/>
          <w:numId w:val="2"/>
        </w:numPr>
        <w:tabs>
          <w:tab w:val="left" w:pos="4917"/>
        </w:tabs>
        <w:spacing w:before="120" w:after="120" w:line="360" w:lineRule="auto"/>
        <w:ind w:hanging="720"/>
        <w:jc w:val="both"/>
        <w:rPr>
          <w:rFonts w:ascii="Arial" w:hAnsi="Arial" w:cs="Arial"/>
          <w:i/>
          <w:sz w:val="24"/>
          <w:szCs w:val="24"/>
        </w:rPr>
      </w:pPr>
      <w:r w:rsidRPr="001B05BA">
        <w:rPr>
          <w:rFonts w:ascii="Arial" w:hAnsi="Arial" w:cs="Arial"/>
          <w:sz w:val="24"/>
          <w:szCs w:val="24"/>
        </w:rPr>
        <w:t>Diageo submits that t</w:t>
      </w:r>
      <w:r w:rsidR="00887F75" w:rsidRPr="001B05BA">
        <w:rPr>
          <w:rFonts w:ascii="Arial" w:hAnsi="Arial" w:cs="Arial"/>
          <w:sz w:val="24"/>
          <w:szCs w:val="24"/>
        </w:rPr>
        <w:t>he alcohol content</w:t>
      </w:r>
      <w:r w:rsidRPr="001B05BA">
        <w:rPr>
          <w:rFonts w:ascii="Arial" w:hAnsi="Arial" w:cs="Arial"/>
          <w:sz w:val="24"/>
          <w:szCs w:val="24"/>
        </w:rPr>
        <w:t xml:space="preserve"> of the flavouring </w:t>
      </w:r>
      <w:r w:rsidR="00887F75" w:rsidRPr="001B05BA">
        <w:rPr>
          <w:rFonts w:ascii="Arial" w:hAnsi="Arial" w:cs="Arial"/>
          <w:sz w:val="24"/>
          <w:szCs w:val="24"/>
        </w:rPr>
        <w:t>that is added to the wine spirits</w:t>
      </w:r>
      <w:r w:rsidRPr="001B05BA">
        <w:rPr>
          <w:rFonts w:ascii="Arial" w:hAnsi="Arial" w:cs="Arial"/>
          <w:sz w:val="24"/>
          <w:szCs w:val="24"/>
        </w:rPr>
        <w:t xml:space="preserve"> </w:t>
      </w:r>
      <w:r w:rsidR="00887F75" w:rsidRPr="001B05BA">
        <w:rPr>
          <w:rFonts w:ascii="Arial" w:hAnsi="Arial" w:cs="Arial"/>
          <w:sz w:val="24"/>
          <w:szCs w:val="24"/>
        </w:rPr>
        <w:t xml:space="preserve">is nugatory </w:t>
      </w:r>
      <w:r w:rsidR="00C14E8F" w:rsidRPr="001B05BA">
        <w:rPr>
          <w:rFonts w:ascii="Arial" w:hAnsi="Arial" w:cs="Arial"/>
          <w:sz w:val="24"/>
          <w:szCs w:val="24"/>
        </w:rPr>
        <w:t xml:space="preserve">and </w:t>
      </w:r>
      <w:r w:rsidR="00C458EC" w:rsidRPr="001B05BA">
        <w:rPr>
          <w:rFonts w:ascii="Arial" w:hAnsi="Arial" w:cs="Arial"/>
          <w:sz w:val="24"/>
          <w:szCs w:val="24"/>
        </w:rPr>
        <w:t>insignificant and</w:t>
      </w:r>
      <w:r w:rsidR="00887F75" w:rsidRPr="001B05BA">
        <w:rPr>
          <w:rFonts w:ascii="Arial" w:hAnsi="Arial" w:cs="Arial"/>
          <w:sz w:val="24"/>
          <w:szCs w:val="24"/>
        </w:rPr>
        <w:t xml:space="preserve"> should be disregarded.</w:t>
      </w:r>
      <w:r w:rsidRPr="001B05BA">
        <w:rPr>
          <w:rFonts w:ascii="Arial" w:hAnsi="Arial" w:cs="Arial"/>
          <w:sz w:val="24"/>
          <w:szCs w:val="24"/>
        </w:rPr>
        <w:t xml:space="preserve"> This approach is justified if the principle </w:t>
      </w:r>
      <w:r w:rsidRPr="001B05BA">
        <w:rPr>
          <w:rFonts w:ascii="Arial" w:hAnsi="Arial" w:cs="Arial"/>
          <w:i/>
          <w:sz w:val="24"/>
          <w:szCs w:val="24"/>
        </w:rPr>
        <w:t>de minimis non curat lex</w:t>
      </w:r>
      <w:r w:rsidRPr="001B05BA">
        <w:rPr>
          <w:rFonts w:ascii="Arial" w:hAnsi="Arial" w:cs="Arial"/>
          <w:sz w:val="24"/>
          <w:szCs w:val="24"/>
        </w:rPr>
        <w:t xml:space="preserve"> is considered</w:t>
      </w:r>
      <w:r w:rsidR="0001205F" w:rsidRPr="001B05BA">
        <w:rPr>
          <w:rFonts w:ascii="Arial" w:hAnsi="Arial" w:cs="Arial"/>
          <w:sz w:val="24"/>
          <w:szCs w:val="24"/>
        </w:rPr>
        <w:t>, and corresponds</w:t>
      </w:r>
      <w:r w:rsidRPr="001B05BA">
        <w:rPr>
          <w:rFonts w:ascii="Arial" w:hAnsi="Arial" w:cs="Arial"/>
          <w:sz w:val="24"/>
          <w:szCs w:val="24"/>
        </w:rPr>
        <w:t xml:space="preserve"> with the approach followed in </w:t>
      </w:r>
      <w:r w:rsidRPr="001B05BA">
        <w:rPr>
          <w:rFonts w:ascii="Arial" w:hAnsi="Arial" w:cs="Arial"/>
          <w:i/>
          <w:sz w:val="24"/>
          <w:szCs w:val="24"/>
        </w:rPr>
        <w:t>Westgaard v United States</w:t>
      </w:r>
      <w:r w:rsidRPr="001B05BA">
        <w:rPr>
          <w:rFonts w:ascii="Arial" w:hAnsi="Arial" w:cs="Arial"/>
          <w:sz w:val="24"/>
          <w:szCs w:val="24"/>
        </w:rPr>
        <w:t xml:space="preserve">, 19 C.C.P.A. 299 (1932), and </w:t>
      </w:r>
      <w:r w:rsidRPr="001B05BA">
        <w:rPr>
          <w:rFonts w:ascii="Arial" w:hAnsi="Arial" w:cs="Arial"/>
          <w:i/>
          <w:sz w:val="24"/>
          <w:szCs w:val="24"/>
        </w:rPr>
        <w:t>Alcan Aluminium Corporation v United States,</w:t>
      </w:r>
      <w:r w:rsidRPr="001B05BA">
        <w:rPr>
          <w:rFonts w:ascii="Arial" w:hAnsi="Arial" w:cs="Arial"/>
          <w:sz w:val="24"/>
          <w:szCs w:val="24"/>
        </w:rPr>
        <w:t xml:space="preserve"> 165 F.3D 898 (</w:t>
      </w:r>
      <w:r w:rsidRPr="001B05BA">
        <w:rPr>
          <w:rFonts w:ascii="Arial" w:hAnsi="Arial" w:cs="Arial"/>
          <w:i/>
          <w:sz w:val="24"/>
          <w:szCs w:val="24"/>
        </w:rPr>
        <w:t>FED. CIR. I999).</w:t>
      </w:r>
    </w:p>
    <w:p w14:paraId="3D4B31A9" w14:textId="77777777" w:rsidR="009D504D" w:rsidRPr="001B05BA" w:rsidRDefault="009D504D" w:rsidP="009D504D">
      <w:pPr>
        <w:pStyle w:val="ListParagraph"/>
        <w:rPr>
          <w:rFonts w:ascii="Arial" w:hAnsi="Arial" w:cs="Arial"/>
          <w:sz w:val="24"/>
          <w:szCs w:val="24"/>
        </w:rPr>
      </w:pPr>
    </w:p>
    <w:p w14:paraId="09FDED7B" w14:textId="77777777" w:rsidR="00CC1BB4" w:rsidRPr="001B05BA" w:rsidRDefault="00C14E8F" w:rsidP="00CC1BB4">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1B05BA">
        <w:rPr>
          <w:rFonts w:ascii="Arial" w:hAnsi="Arial" w:cs="Arial"/>
          <w:sz w:val="24"/>
          <w:szCs w:val="24"/>
        </w:rPr>
        <w:t>Diageo contends that the South African Revenue Service’s own Excise External Policy on Spirits (SARS’ policy) provides that the ABV of a product should only be measured</w:t>
      </w:r>
      <w:r w:rsidR="00CC1BB4" w:rsidRPr="001B05BA">
        <w:rPr>
          <w:rFonts w:ascii="Arial" w:hAnsi="Arial" w:cs="Arial"/>
          <w:sz w:val="24"/>
          <w:szCs w:val="24"/>
        </w:rPr>
        <w:t xml:space="preserve"> up to the second decimal place, </w:t>
      </w:r>
      <w:r w:rsidRPr="001B05BA">
        <w:rPr>
          <w:rFonts w:ascii="Arial" w:hAnsi="Arial" w:cs="Arial"/>
          <w:sz w:val="24"/>
          <w:szCs w:val="24"/>
        </w:rPr>
        <w:t xml:space="preserve">and the rest is irrelevant. Diageo submits </w:t>
      </w:r>
      <w:r w:rsidR="00CC1BB4" w:rsidRPr="001B05BA">
        <w:rPr>
          <w:rFonts w:ascii="Arial" w:hAnsi="Arial" w:cs="Arial"/>
          <w:sz w:val="24"/>
          <w:szCs w:val="24"/>
        </w:rPr>
        <w:lastRenderedPageBreak/>
        <w:t>that the court can take judicial notice of SARS’ policy as it is a document that is available in the public domain. In paragraph 2.11.1 (a), SARS’ policy deals with the assessment of excise duty and how the dutiable excise is measured:</w:t>
      </w:r>
    </w:p>
    <w:p w14:paraId="6D8C40A0" w14:textId="77777777" w:rsidR="00CC1BB4" w:rsidRPr="001B05BA" w:rsidRDefault="00CC1BB4" w:rsidP="00CC1BB4">
      <w:pPr>
        <w:pStyle w:val="ListParagraph"/>
        <w:rPr>
          <w:rFonts w:ascii="Arial" w:hAnsi="Arial" w:cs="Arial"/>
          <w:sz w:val="24"/>
          <w:szCs w:val="24"/>
        </w:rPr>
      </w:pPr>
    </w:p>
    <w:p w14:paraId="38983C20" w14:textId="77777777" w:rsidR="00CC1BB4" w:rsidRPr="001B05BA" w:rsidRDefault="00CC1BB4" w:rsidP="00CC1BB4">
      <w:pPr>
        <w:pStyle w:val="ListParagraph"/>
        <w:tabs>
          <w:tab w:val="left" w:pos="4917"/>
        </w:tabs>
        <w:spacing w:before="120" w:after="120" w:line="360" w:lineRule="auto"/>
        <w:ind w:left="1008" w:right="1008"/>
        <w:jc w:val="both"/>
        <w:rPr>
          <w:rFonts w:ascii="Arial" w:hAnsi="Arial" w:cs="Arial"/>
          <w:sz w:val="24"/>
          <w:szCs w:val="24"/>
        </w:rPr>
      </w:pPr>
      <w:r w:rsidRPr="001B05BA">
        <w:rPr>
          <w:rFonts w:ascii="Arial" w:hAnsi="Arial" w:cs="Arial"/>
          <w:sz w:val="24"/>
          <w:szCs w:val="24"/>
        </w:rPr>
        <w:t>‘(a)The dutiable quantity of and Excise duty on spirits / spirituous products is assessed on the total alcohol contained in the product, expressed in litres of absolute alcohol 9LAA) rounded off to the second decimal point, contained in the total bulk volume of the product removed to the local SACU market for accounting purposes.</w:t>
      </w:r>
    </w:p>
    <w:p w14:paraId="43477729" w14:textId="77777777" w:rsidR="00CC1BB4" w:rsidRPr="001B05BA" w:rsidRDefault="00CC1BB4" w:rsidP="00CC1BB4">
      <w:pPr>
        <w:tabs>
          <w:tab w:val="left" w:pos="4917"/>
        </w:tabs>
        <w:spacing w:before="120" w:after="120" w:line="360" w:lineRule="auto"/>
        <w:ind w:left="1008" w:right="1008"/>
        <w:jc w:val="both"/>
        <w:rPr>
          <w:rFonts w:ascii="Arial" w:hAnsi="Arial" w:cs="Arial"/>
          <w:sz w:val="24"/>
          <w:szCs w:val="24"/>
        </w:rPr>
      </w:pPr>
      <w:r w:rsidRPr="001B05BA">
        <w:rPr>
          <w:rFonts w:ascii="Arial" w:hAnsi="Arial" w:cs="Arial"/>
          <w:sz w:val="24"/>
          <w:szCs w:val="24"/>
        </w:rPr>
        <w:t>(ai) The bulk volume of spirits is rounded to the second decimal point; i.e. where the third decimal point is less than .005, it is rounded down to 0.00 and where the third decimal point is 0.005 or more it is rounded up to .01, and …’</w:t>
      </w:r>
    </w:p>
    <w:p w14:paraId="27B32A13" w14:textId="4F381F49" w:rsidR="00CC1BB4" w:rsidRPr="001B05BA" w:rsidRDefault="00CC1BB4" w:rsidP="00CC1BB4">
      <w:pPr>
        <w:pStyle w:val="ListParagraph"/>
        <w:rPr>
          <w:rFonts w:ascii="Arial" w:hAnsi="Arial" w:cs="Arial"/>
          <w:sz w:val="24"/>
          <w:szCs w:val="24"/>
        </w:rPr>
      </w:pPr>
      <w:r w:rsidRPr="001B05BA">
        <w:rPr>
          <w:rFonts w:ascii="Arial" w:hAnsi="Arial" w:cs="Arial"/>
          <w:sz w:val="24"/>
          <w:szCs w:val="24"/>
        </w:rPr>
        <w:t>The alcohol by volume added by the vanilla to the final product is not a dutiable quantity.</w:t>
      </w:r>
    </w:p>
    <w:p w14:paraId="37151C45" w14:textId="77777777" w:rsidR="00CC1BB4" w:rsidRPr="001B05BA" w:rsidRDefault="00CC1BB4" w:rsidP="00CC1BB4">
      <w:pPr>
        <w:rPr>
          <w:rFonts w:ascii="Arial" w:hAnsi="Arial" w:cs="Arial"/>
          <w:sz w:val="24"/>
          <w:szCs w:val="24"/>
        </w:rPr>
      </w:pPr>
    </w:p>
    <w:p w14:paraId="0FE6C8EA" w14:textId="5BD34AFF" w:rsidR="00CC1BB4" w:rsidRPr="001B05BA" w:rsidRDefault="00CC1BB4" w:rsidP="00CC1BB4">
      <w:pPr>
        <w:tabs>
          <w:tab w:val="left" w:pos="4917"/>
        </w:tabs>
        <w:spacing w:before="120" w:after="120" w:line="360" w:lineRule="auto"/>
        <w:jc w:val="both"/>
        <w:rPr>
          <w:rFonts w:ascii="Arial" w:hAnsi="Arial" w:cs="Arial"/>
          <w:b/>
          <w:sz w:val="24"/>
          <w:szCs w:val="24"/>
        </w:rPr>
      </w:pPr>
      <w:r w:rsidRPr="001B05BA">
        <w:rPr>
          <w:rFonts w:ascii="Arial" w:hAnsi="Arial" w:cs="Arial"/>
          <w:b/>
          <w:sz w:val="24"/>
          <w:szCs w:val="24"/>
        </w:rPr>
        <w:t>The Commissioner’s submissions</w:t>
      </w:r>
    </w:p>
    <w:p w14:paraId="105C3C4A" w14:textId="77777777" w:rsidR="00DE5A8E" w:rsidRPr="001B05BA" w:rsidRDefault="00DE5A8E" w:rsidP="00CC1BB4">
      <w:pPr>
        <w:tabs>
          <w:tab w:val="left" w:pos="4917"/>
        </w:tabs>
        <w:spacing w:before="120" w:after="120" w:line="360" w:lineRule="auto"/>
        <w:jc w:val="both"/>
        <w:rPr>
          <w:rFonts w:ascii="Arial" w:hAnsi="Arial" w:cs="Arial"/>
          <w:b/>
          <w:sz w:val="24"/>
          <w:szCs w:val="24"/>
        </w:rPr>
      </w:pPr>
    </w:p>
    <w:p w14:paraId="7866B7CB" w14:textId="2811F534" w:rsidR="00BE18C9" w:rsidRPr="001B05BA" w:rsidRDefault="00CC1BB4" w:rsidP="00CC1BB4">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1B05BA">
        <w:rPr>
          <w:rFonts w:ascii="Arial" w:hAnsi="Arial" w:cs="Arial"/>
          <w:sz w:val="24"/>
          <w:szCs w:val="24"/>
        </w:rPr>
        <w:t xml:space="preserve">The Commissioner contends that the issue in </w:t>
      </w:r>
      <w:r w:rsidR="00E05E46" w:rsidRPr="001B05BA">
        <w:rPr>
          <w:rFonts w:ascii="Arial" w:hAnsi="Arial" w:cs="Arial"/>
          <w:sz w:val="24"/>
          <w:szCs w:val="24"/>
        </w:rPr>
        <w:t>the appeal</w:t>
      </w:r>
      <w:r w:rsidRPr="001B05BA">
        <w:rPr>
          <w:rFonts w:ascii="Arial" w:hAnsi="Arial" w:cs="Arial"/>
          <w:sz w:val="24"/>
          <w:szCs w:val="24"/>
        </w:rPr>
        <w:t xml:space="preserve"> turns on whether the vanilla used in the manufacturing of CVCO constitutes a ‘non-alcoholic’ ingredient. The Commissioner’s approach is that ‘non-alcoholic’ means 0% alcohol</w:t>
      </w:r>
      <w:r w:rsidR="00E05E46" w:rsidRPr="001B05BA">
        <w:rPr>
          <w:rFonts w:ascii="Arial" w:hAnsi="Arial" w:cs="Arial"/>
          <w:sz w:val="24"/>
          <w:szCs w:val="24"/>
        </w:rPr>
        <w:t>. Since the vanilla ext</w:t>
      </w:r>
      <w:r w:rsidR="0065652F" w:rsidRPr="001B05BA">
        <w:rPr>
          <w:rFonts w:ascii="Arial" w:hAnsi="Arial" w:cs="Arial"/>
          <w:sz w:val="24"/>
          <w:szCs w:val="24"/>
        </w:rPr>
        <w:t>ract</w:t>
      </w:r>
      <w:r w:rsidR="00E05E46" w:rsidRPr="001B05BA">
        <w:rPr>
          <w:rFonts w:ascii="Arial" w:hAnsi="Arial" w:cs="Arial"/>
          <w:sz w:val="24"/>
          <w:szCs w:val="24"/>
        </w:rPr>
        <w:t xml:space="preserve"> contains 0.6% alcohol, that is the end of the matter.</w:t>
      </w:r>
    </w:p>
    <w:p w14:paraId="7EBA5626" w14:textId="6501348D" w:rsidR="00CC1BB4" w:rsidRPr="001B05BA" w:rsidRDefault="00CC1BB4" w:rsidP="00CC1BB4">
      <w:pPr>
        <w:pStyle w:val="ListParagraph"/>
        <w:tabs>
          <w:tab w:val="left" w:pos="4917"/>
        </w:tabs>
        <w:spacing w:before="120" w:after="120" w:line="360" w:lineRule="auto"/>
        <w:jc w:val="both"/>
        <w:rPr>
          <w:rFonts w:ascii="Arial" w:hAnsi="Arial" w:cs="Arial"/>
          <w:sz w:val="24"/>
          <w:szCs w:val="24"/>
        </w:rPr>
      </w:pPr>
    </w:p>
    <w:p w14:paraId="119C670C" w14:textId="73163DF4" w:rsidR="00CC1BB4" w:rsidRPr="001B05BA" w:rsidRDefault="00E05E46" w:rsidP="00CC1BB4">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1B05BA">
        <w:rPr>
          <w:rFonts w:ascii="Arial" w:hAnsi="Arial" w:cs="Arial"/>
          <w:sz w:val="24"/>
          <w:szCs w:val="24"/>
        </w:rPr>
        <w:t>The Commissioner</w:t>
      </w:r>
      <w:r w:rsidR="00B23459" w:rsidRPr="001B05BA">
        <w:rPr>
          <w:rFonts w:ascii="Arial" w:hAnsi="Arial" w:cs="Arial"/>
          <w:sz w:val="24"/>
          <w:szCs w:val="24"/>
        </w:rPr>
        <w:t>, relying on</w:t>
      </w:r>
      <w:r w:rsidR="00B23459" w:rsidRPr="001B05BA">
        <w:rPr>
          <w:rFonts w:ascii="Arial" w:hAnsi="Arial" w:cs="Arial"/>
          <w:i/>
          <w:sz w:val="24"/>
          <w:szCs w:val="24"/>
        </w:rPr>
        <w:t xml:space="preserve"> Toneleria,</w:t>
      </w:r>
      <w:r w:rsidR="00B23459" w:rsidRPr="001B05BA">
        <w:rPr>
          <w:rStyle w:val="FootnoteReference"/>
          <w:rFonts w:ascii="Arial" w:hAnsi="Arial" w:cs="Arial"/>
          <w:i/>
          <w:sz w:val="24"/>
          <w:szCs w:val="24"/>
        </w:rPr>
        <w:footnoteReference w:id="23"/>
      </w:r>
      <w:r w:rsidRPr="001B05BA">
        <w:rPr>
          <w:rFonts w:ascii="Arial" w:hAnsi="Arial" w:cs="Arial"/>
          <w:sz w:val="24"/>
          <w:szCs w:val="24"/>
        </w:rPr>
        <w:t xml:space="preserve"> contends that the classification process requires that the meaning of the words used in the headi</w:t>
      </w:r>
      <w:r w:rsidR="00B23459" w:rsidRPr="001B05BA">
        <w:rPr>
          <w:rFonts w:ascii="Arial" w:hAnsi="Arial" w:cs="Arial"/>
          <w:sz w:val="24"/>
          <w:szCs w:val="24"/>
        </w:rPr>
        <w:t>ngs and sub-headings and relevant section and chapter notes which may be relevant to the classification of the goods concerned, must be ascertained without having regard to the nature of the product.</w:t>
      </w:r>
      <w:r w:rsidR="00F21E7A" w:rsidRPr="001B05BA">
        <w:rPr>
          <w:rFonts w:ascii="Arial" w:hAnsi="Arial" w:cs="Arial"/>
          <w:sz w:val="24"/>
          <w:szCs w:val="24"/>
        </w:rPr>
        <w:t xml:space="preserve"> The nature of the product should not colour the meaning of the tariff heading.</w:t>
      </w:r>
    </w:p>
    <w:p w14:paraId="675799F0" w14:textId="77777777" w:rsidR="00CC1BB4" w:rsidRPr="001B05BA" w:rsidRDefault="00CC1BB4" w:rsidP="00CC1BB4">
      <w:pPr>
        <w:pStyle w:val="ListParagraph"/>
        <w:rPr>
          <w:rFonts w:ascii="Arial" w:hAnsi="Arial" w:cs="Arial"/>
          <w:sz w:val="24"/>
          <w:szCs w:val="24"/>
        </w:rPr>
      </w:pPr>
    </w:p>
    <w:p w14:paraId="4383ADF7" w14:textId="0D24D7B2" w:rsidR="00CC1BB4" w:rsidRPr="001B05BA" w:rsidRDefault="00F21E7A" w:rsidP="00CC1BB4">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1B05BA">
        <w:rPr>
          <w:rFonts w:ascii="Arial" w:hAnsi="Arial" w:cs="Arial"/>
          <w:sz w:val="24"/>
          <w:szCs w:val="24"/>
        </w:rPr>
        <w:lastRenderedPageBreak/>
        <w:t>The Commissioner proceeds to interpret the phrase ‘non-alcoholic ingredient</w:t>
      </w:r>
      <w:r w:rsidR="005700E6" w:rsidRPr="001B05BA">
        <w:rPr>
          <w:rFonts w:ascii="Arial" w:hAnsi="Arial" w:cs="Arial"/>
          <w:sz w:val="24"/>
          <w:szCs w:val="24"/>
        </w:rPr>
        <w:t>s</w:t>
      </w:r>
      <w:r w:rsidRPr="001B05BA">
        <w:rPr>
          <w:rFonts w:ascii="Arial" w:hAnsi="Arial" w:cs="Arial"/>
          <w:sz w:val="24"/>
          <w:szCs w:val="24"/>
        </w:rPr>
        <w:t xml:space="preserve">’ by </w:t>
      </w:r>
      <w:r w:rsidR="005700E6" w:rsidRPr="001B05BA">
        <w:rPr>
          <w:rFonts w:ascii="Arial" w:hAnsi="Arial" w:cs="Arial"/>
          <w:sz w:val="24"/>
          <w:szCs w:val="24"/>
        </w:rPr>
        <w:t xml:space="preserve">first defining the </w:t>
      </w:r>
      <w:r w:rsidR="00B968EA" w:rsidRPr="001B05BA">
        <w:rPr>
          <w:rFonts w:ascii="Arial" w:hAnsi="Arial" w:cs="Arial"/>
          <w:sz w:val="24"/>
          <w:szCs w:val="24"/>
        </w:rPr>
        <w:t>word</w:t>
      </w:r>
      <w:r w:rsidR="005700E6" w:rsidRPr="001B05BA">
        <w:rPr>
          <w:rFonts w:ascii="Arial" w:hAnsi="Arial" w:cs="Arial"/>
          <w:sz w:val="24"/>
          <w:szCs w:val="24"/>
        </w:rPr>
        <w:t xml:space="preserve"> ‘ingredient’. Having regard to the dictionary meaning of the word, the Commissioner states that the term includes ‘something that enters into a compound or is a component part or any combination or mixture; one of the parts in a mixture; and a component part or element of something’. The term ‘alcohol</w:t>
      </w:r>
      <w:r w:rsidR="00330FE4" w:rsidRPr="001B05BA">
        <w:rPr>
          <w:rFonts w:ascii="Arial" w:hAnsi="Arial" w:cs="Arial"/>
          <w:sz w:val="24"/>
          <w:szCs w:val="24"/>
        </w:rPr>
        <w:t>ic</w:t>
      </w:r>
      <w:r w:rsidR="005700E6" w:rsidRPr="001B05BA">
        <w:rPr>
          <w:rFonts w:ascii="Arial" w:hAnsi="Arial" w:cs="Arial"/>
          <w:sz w:val="24"/>
          <w:szCs w:val="24"/>
        </w:rPr>
        <w:t>’ is then defined as ‘containing alcohol and containing or relating to alcohol’ while the definition of ‘non-alcoholic’ includes ‘not containing alcohol’.</w:t>
      </w:r>
    </w:p>
    <w:p w14:paraId="45876B8D" w14:textId="77777777" w:rsidR="005700E6" w:rsidRPr="001B05BA" w:rsidRDefault="005700E6" w:rsidP="005700E6">
      <w:pPr>
        <w:pStyle w:val="ListParagraph"/>
        <w:rPr>
          <w:rFonts w:ascii="Arial" w:hAnsi="Arial" w:cs="Arial"/>
          <w:sz w:val="24"/>
          <w:szCs w:val="24"/>
        </w:rPr>
      </w:pPr>
    </w:p>
    <w:p w14:paraId="224C94DC" w14:textId="762835FE" w:rsidR="00E4304C" w:rsidRPr="001B05BA" w:rsidRDefault="005700E6" w:rsidP="00E4304C">
      <w:pPr>
        <w:pStyle w:val="ListParagraph"/>
        <w:numPr>
          <w:ilvl w:val="0"/>
          <w:numId w:val="2"/>
        </w:numPr>
        <w:tabs>
          <w:tab w:val="left" w:pos="4917"/>
        </w:tabs>
        <w:spacing w:before="120" w:after="120" w:line="360" w:lineRule="auto"/>
        <w:ind w:hanging="720"/>
        <w:jc w:val="both"/>
        <w:rPr>
          <w:rFonts w:ascii="Arial" w:hAnsi="Arial" w:cs="Arial"/>
          <w:sz w:val="24"/>
          <w:szCs w:val="24"/>
        </w:rPr>
      </w:pPr>
      <w:bookmarkStart w:id="4" w:name="_Ref137758473"/>
      <w:r w:rsidRPr="001B05BA">
        <w:rPr>
          <w:rFonts w:ascii="Arial" w:hAnsi="Arial" w:cs="Arial"/>
          <w:sz w:val="24"/>
          <w:szCs w:val="24"/>
        </w:rPr>
        <w:t>Relying on Wallis JA</w:t>
      </w:r>
      <w:r w:rsidR="00A313E9" w:rsidRPr="001B05BA">
        <w:rPr>
          <w:rFonts w:ascii="Arial" w:hAnsi="Arial" w:cs="Arial"/>
          <w:sz w:val="24"/>
          <w:szCs w:val="24"/>
        </w:rPr>
        <w:t>,</w:t>
      </w:r>
      <w:r w:rsidRPr="001B05BA">
        <w:rPr>
          <w:rFonts w:ascii="Arial" w:hAnsi="Arial" w:cs="Arial"/>
          <w:sz w:val="24"/>
          <w:szCs w:val="24"/>
        </w:rPr>
        <w:t xml:space="preserve"> who explained in </w:t>
      </w:r>
      <w:r w:rsidRPr="001B05BA">
        <w:rPr>
          <w:rFonts w:ascii="Arial" w:hAnsi="Arial" w:cs="Arial"/>
          <w:i/>
          <w:sz w:val="24"/>
          <w:szCs w:val="24"/>
        </w:rPr>
        <w:t>Commissioner, South African Revenue Service v Bosch and Another</w:t>
      </w:r>
      <w:r w:rsidRPr="001B05BA">
        <w:rPr>
          <w:rFonts w:ascii="Arial" w:hAnsi="Arial" w:cs="Arial"/>
          <w:sz w:val="24"/>
          <w:szCs w:val="24"/>
        </w:rPr>
        <w:t>,</w:t>
      </w:r>
      <w:r w:rsidRPr="001B05BA">
        <w:rPr>
          <w:rStyle w:val="FootnoteReference"/>
          <w:rFonts w:ascii="Arial" w:hAnsi="Arial" w:cs="Arial"/>
          <w:sz w:val="24"/>
          <w:szCs w:val="24"/>
        </w:rPr>
        <w:footnoteReference w:id="24"/>
      </w:r>
      <w:r w:rsidRPr="001B05BA">
        <w:rPr>
          <w:rFonts w:ascii="Arial" w:hAnsi="Arial" w:cs="Arial"/>
          <w:sz w:val="24"/>
          <w:szCs w:val="24"/>
        </w:rPr>
        <w:t xml:space="preserve"> that </w:t>
      </w:r>
      <w:r w:rsidR="0074232A" w:rsidRPr="001B05BA">
        <w:rPr>
          <w:rFonts w:ascii="Arial" w:hAnsi="Arial" w:cs="Arial"/>
          <w:sz w:val="24"/>
          <w:szCs w:val="24"/>
        </w:rPr>
        <w:t>‘</w:t>
      </w:r>
      <w:r w:rsidRPr="001B05BA">
        <w:rPr>
          <w:rFonts w:ascii="Arial" w:hAnsi="Arial" w:cs="Arial"/>
          <w:sz w:val="24"/>
          <w:szCs w:val="24"/>
        </w:rPr>
        <w:t>[t]</w:t>
      </w:r>
      <w:r w:rsidRPr="001B05BA">
        <w:rPr>
          <w:rFonts w:ascii="Arial" w:hAnsi="Arial" w:cs="Arial"/>
          <w:color w:val="000000"/>
          <w:sz w:val="24"/>
          <w:szCs w:val="24"/>
        </w:rPr>
        <w:t>here may be rare cases where words used in a statute or contract are only capable of bearing a single meaning…’, the Commissioner contends that the term ‘non-alcoholic’ means no-alcohol.</w:t>
      </w:r>
      <w:r w:rsidR="00446FC4" w:rsidRPr="001B05BA">
        <w:rPr>
          <w:rFonts w:ascii="Arial" w:hAnsi="Arial" w:cs="Arial"/>
          <w:color w:val="000000"/>
          <w:sz w:val="24"/>
          <w:szCs w:val="24"/>
        </w:rPr>
        <w:t xml:space="preserve"> ‘As such</w:t>
      </w:r>
      <w:r w:rsidR="0092569B" w:rsidRPr="001B05BA">
        <w:rPr>
          <w:rFonts w:ascii="Arial" w:hAnsi="Arial" w:cs="Arial"/>
          <w:color w:val="000000"/>
          <w:sz w:val="24"/>
          <w:szCs w:val="24"/>
        </w:rPr>
        <w:t>,</w:t>
      </w:r>
      <w:r w:rsidR="00446FC4" w:rsidRPr="001B05BA">
        <w:rPr>
          <w:rFonts w:ascii="Arial" w:hAnsi="Arial" w:cs="Arial"/>
          <w:color w:val="000000"/>
          <w:sz w:val="24"/>
          <w:szCs w:val="24"/>
        </w:rPr>
        <w:t>’ counsel submitted</w:t>
      </w:r>
      <w:r w:rsidR="0092569B" w:rsidRPr="001B05BA">
        <w:rPr>
          <w:rFonts w:ascii="Arial" w:hAnsi="Arial" w:cs="Arial"/>
          <w:color w:val="000000"/>
          <w:sz w:val="24"/>
          <w:szCs w:val="24"/>
        </w:rPr>
        <w:t>,</w:t>
      </w:r>
      <w:r w:rsidR="00446FC4" w:rsidRPr="001B05BA">
        <w:rPr>
          <w:rFonts w:ascii="Arial" w:hAnsi="Arial" w:cs="Arial"/>
          <w:color w:val="000000"/>
          <w:sz w:val="24"/>
          <w:szCs w:val="24"/>
        </w:rPr>
        <w:t xml:space="preserve"> ‘there is no real need to have regard to any of the factors identified in the Endumeni judgment.’</w:t>
      </w:r>
      <w:r w:rsidR="00E4304C" w:rsidRPr="001B05BA">
        <w:rPr>
          <w:rFonts w:ascii="Arial" w:hAnsi="Arial" w:cs="Arial"/>
          <w:color w:val="000000"/>
          <w:sz w:val="24"/>
          <w:szCs w:val="24"/>
        </w:rPr>
        <w:t xml:space="preserve"> </w:t>
      </w:r>
      <w:r w:rsidR="00E4304C" w:rsidRPr="001B05BA">
        <w:rPr>
          <w:rFonts w:ascii="Arial" w:hAnsi="Arial" w:cs="Arial"/>
          <w:sz w:val="24"/>
          <w:szCs w:val="24"/>
        </w:rPr>
        <w:t xml:space="preserve">The Commissioner </w:t>
      </w:r>
      <w:r w:rsidR="0092569B" w:rsidRPr="001B05BA">
        <w:rPr>
          <w:rFonts w:ascii="Arial" w:hAnsi="Arial" w:cs="Arial"/>
          <w:sz w:val="24"/>
          <w:szCs w:val="24"/>
        </w:rPr>
        <w:t>argues</w:t>
      </w:r>
      <w:r w:rsidR="00E4304C" w:rsidRPr="001B05BA">
        <w:rPr>
          <w:rFonts w:ascii="Arial" w:hAnsi="Arial" w:cs="Arial"/>
          <w:sz w:val="24"/>
          <w:szCs w:val="24"/>
        </w:rPr>
        <w:t xml:space="preserve"> that in interpreting </w:t>
      </w:r>
      <w:r w:rsidR="00096917" w:rsidRPr="001B05BA">
        <w:rPr>
          <w:rFonts w:ascii="Arial" w:hAnsi="Arial" w:cs="Arial"/>
          <w:sz w:val="24"/>
          <w:szCs w:val="24"/>
        </w:rPr>
        <w:t>a</w:t>
      </w:r>
      <w:r w:rsidR="00E4304C" w:rsidRPr="001B05BA">
        <w:rPr>
          <w:rFonts w:ascii="Arial" w:hAnsi="Arial" w:cs="Arial"/>
          <w:sz w:val="24"/>
          <w:szCs w:val="24"/>
        </w:rPr>
        <w:t xml:space="preserve"> statutory provision</w:t>
      </w:r>
      <w:r w:rsidR="0092569B" w:rsidRPr="001B05BA">
        <w:rPr>
          <w:rFonts w:ascii="Arial" w:hAnsi="Arial" w:cs="Arial"/>
          <w:sz w:val="24"/>
          <w:szCs w:val="24"/>
        </w:rPr>
        <w:t>,</w:t>
      </w:r>
      <w:r w:rsidR="00E4304C" w:rsidRPr="001B05BA">
        <w:rPr>
          <w:rFonts w:ascii="Arial" w:hAnsi="Arial" w:cs="Arial"/>
          <w:sz w:val="24"/>
          <w:szCs w:val="24"/>
        </w:rPr>
        <w:t xml:space="preserve"> the purpose of an Act, as opposed to the purpose of a provision is of paramount importance and that a ‘more accommodating approach’ towards the ‘user/importer/manufacturer/ is not legally warranted.’</w:t>
      </w:r>
      <w:bookmarkEnd w:id="4"/>
      <w:r w:rsidR="00E4304C" w:rsidRPr="001B05BA">
        <w:rPr>
          <w:rFonts w:ascii="Arial" w:hAnsi="Arial" w:cs="Arial"/>
          <w:sz w:val="24"/>
          <w:szCs w:val="24"/>
        </w:rPr>
        <w:t xml:space="preserve"> </w:t>
      </w:r>
    </w:p>
    <w:p w14:paraId="14E835B5" w14:textId="77777777" w:rsidR="00CC1BB4" w:rsidRPr="001B05BA" w:rsidRDefault="00CC1BB4" w:rsidP="00CC1BB4">
      <w:pPr>
        <w:pStyle w:val="ListParagraph"/>
        <w:rPr>
          <w:rFonts w:ascii="Arial" w:hAnsi="Arial" w:cs="Arial"/>
          <w:sz w:val="24"/>
          <w:szCs w:val="24"/>
        </w:rPr>
      </w:pPr>
    </w:p>
    <w:p w14:paraId="306992EA" w14:textId="3EED7904" w:rsidR="00CC1BB4" w:rsidRPr="001B05BA" w:rsidRDefault="00446FC4" w:rsidP="00CC1BB4">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1B05BA">
        <w:rPr>
          <w:rFonts w:ascii="Arial" w:hAnsi="Arial" w:cs="Arial"/>
          <w:sz w:val="24"/>
          <w:szCs w:val="24"/>
        </w:rPr>
        <w:t>Counsel submit</w:t>
      </w:r>
      <w:r w:rsidR="00456612" w:rsidRPr="001B05BA">
        <w:rPr>
          <w:rFonts w:ascii="Arial" w:hAnsi="Arial" w:cs="Arial"/>
          <w:sz w:val="24"/>
          <w:szCs w:val="24"/>
        </w:rPr>
        <w:t>s</w:t>
      </w:r>
      <w:r w:rsidRPr="001B05BA">
        <w:rPr>
          <w:rFonts w:ascii="Arial" w:hAnsi="Arial" w:cs="Arial"/>
          <w:sz w:val="24"/>
          <w:szCs w:val="24"/>
        </w:rPr>
        <w:t xml:space="preserve"> that Chapter Note 3 altered the meaning of ‘non-alcoholic’ as 0% vol., to 0.5% vol. but only as far as tariff heading 22.02 is concerned. The need for this specification </w:t>
      </w:r>
      <w:r w:rsidR="00887C29" w:rsidRPr="001B05BA">
        <w:rPr>
          <w:rFonts w:ascii="Arial" w:hAnsi="Arial" w:cs="Arial"/>
          <w:sz w:val="24"/>
          <w:szCs w:val="24"/>
        </w:rPr>
        <w:t>wa</w:t>
      </w:r>
      <w:r w:rsidRPr="001B05BA">
        <w:rPr>
          <w:rFonts w:ascii="Arial" w:hAnsi="Arial" w:cs="Arial"/>
          <w:sz w:val="24"/>
          <w:szCs w:val="24"/>
        </w:rPr>
        <w:t xml:space="preserve">s rooted in the ordinary meaning of </w:t>
      </w:r>
      <w:r w:rsidR="00666F09" w:rsidRPr="001B05BA">
        <w:rPr>
          <w:rFonts w:ascii="Arial" w:hAnsi="Arial" w:cs="Arial"/>
          <w:sz w:val="24"/>
          <w:szCs w:val="24"/>
        </w:rPr>
        <w:t xml:space="preserve">the term </w:t>
      </w:r>
      <w:r w:rsidRPr="001B05BA">
        <w:rPr>
          <w:rFonts w:ascii="Arial" w:hAnsi="Arial" w:cs="Arial"/>
          <w:sz w:val="24"/>
          <w:szCs w:val="24"/>
        </w:rPr>
        <w:t>‘non-alcoholic.’</w:t>
      </w:r>
      <w:r w:rsidR="00887C29" w:rsidRPr="001B05BA">
        <w:rPr>
          <w:rFonts w:ascii="Arial" w:hAnsi="Arial" w:cs="Arial"/>
          <w:sz w:val="24"/>
          <w:szCs w:val="24"/>
        </w:rPr>
        <w:t xml:space="preserve"> The legislature</w:t>
      </w:r>
      <w:r w:rsidR="00692E3F" w:rsidRPr="001B05BA">
        <w:rPr>
          <w:rFonts w:ascii="Arial" w:hAnsi="Arial" w:cs="Arial"/>
          <w:sz w:val="24"/>
          <w:szCs w:val="24"/>
        </w:rPr>
        <w:t>, however,</w:t>
      </w:r>
      <w:r w:rsidR="00887C29" w:rsidRPr="001B05BA">
        <w:rPr>
          <w:rFonts w:ascii="Arial" w:hAnsi="Arial" w:cs="Arial"/>
          <w:sz w:val="24"/>
          <w:szCs w:val="24"/>
        </w:rPr>
        <w:t xml:space="preserve"> did not apply Chapter Note 3 to Additional Note 4(b)</w:t>
      </w:r>
      <w:r w:rsidR="00096917" w:rsidRPr="001B05BA">
        <w:rPr>
          <w:rFonts w:ascii="Arial" w:hAnsi="Arial" w:cs="Arial"/>
          <w:sz w:val="24"/>
          <w:szCs w:val="24"/>
        </w:rPr>
        <w:t>,</w:t>
      </w:r>
      <w:r w:rsidR="00E92DFF" w:rsidRPr="001B05BA">
        <w:rPr>
          <w:rFonts w:ascii="Arial" w:hAnsi="Arial" w:cs="Arial"/>
          <w:sz w:val="24"/>
          <w:szCs w:val="24"/>
        </w:rPr>
        <w:t xml:space="preserve"> and, </w:t>
      </w:r>
      <w:r w:rsidR="00C00539" w:rsidRPr="001B05BA">
        <w:rPr>
          <w:rFonts w:ascii="Arial" w:hAnsi="Arial" w:cs="Arial"/>
          <w:sz w:val="24"/>
          <w:szCs w:val="24"/>
        </w:rPr>
        <w:t>states</w:t>
      </w:r>
      <w:r w:rsidR="00E92DFF" w:rsidRPr="001B05BA">
        <w:rPr>
          <w:rFonts w:ascii="Arial" w:hAnsi="Arial" w:cs="Arial"/>
          <w:sz w:val="24"/>
          <w:szCs w:val="24"/>
        </w:rPr>
        <w:t xml:space="preserve"> the Commissioner, if read with Chapter Note 3</w:t>
      </w:r>
      <w:r w:rsidR="004A3A7F" w:rsidRPr="001B05BA">
        <w:rPr>
          <w:rFonts w:ascii="Arial" w:hAnsi="Arial" w:cs="Arial"/>
          <w:sz w:val="24"/>
          <w:szCs w:val="24"/>
        </w:rPr>
        <w:t>, the term ‘non-alcoholic’ in tariff heading 22.02 is open only to one interpretation</w:t>
      </w:r>
      <w:r w:rsidR="000610BE" w:rsidRPr="001B05BA">
        <w:rPr>
          <w:rFonts w:ascii="Arial" w:hAnsi="Arial" w:cs="Arial"/>
          <w:sz w:val="24"/>
          <w:szCs w:val="24"/>
        </w:rPr>
        <w:t xml:space="preserve"> – ‘it means 0% vol alcohol</w:t>
      </w:r>
      <w:r w:rsidR="00400DE1" w:rsidRPr="001B05BA">
        <w:rPr>
          <w:rFonts w:ascii="Arial" w:hAnsi="Arial" w:cs="Arial"/>
          <w:sz w:val="24"/>
          <w:szCs w:val="24"/>
        </w:rPr>
        <w:t xml:space="preserve">. By means of Chapter Note 3 the definition </w:t>
      </w:r>
      <w:r w:rsidR="00840F22" w:rsidRPr="001B05BA">
        <w:rPr>
          <w:rFonts w:ascii="Arial" w:hAnsi="Arial" w:cs="Arial"/>
          <w:sz w:val="24"/>
          <w:szCs w:val="24"/>
        </w:rPr>
        <w:t xml:space="preserve">of ‘non-alcoholic’ is </w:t>
      </w:r>
      <w:r w:rsidR="00900E5F" w:rsidRPr="001B05BA">
        <w:rPr>
          <w:rFonts w:ascii="Arial" w:hAnsi="Arial" w:cs="Arial"/>
          <w:sz w:val="24"/>
          <w:szCs w:val="24"/>
        </w:rPr>
        <w:t xml:space="preserve">then, </w:t>
      </w:r>
      <w:r w:rsidR="00840F22" w:rsidRPr="001B05BA">
        <w:rPr>
          <w:rFonts w:ascii="Arial" w:hAnsi="Arial" w:cs="Arial"/>
          <w:sz w:val="24"/>
          <w:szCs w:val="24"/>
        </w:rPr>
        <w:t xml:space="preserve">for </w:t>
      </w:r>
      <w:r w:rsidR="00E36206" w:rsidRPr="001B05BA">
        <w:rPr>
          <w:rFonts w:ascii="Arial" w:hAnsi="Arial" w:cs="Arial"/>
          <w:sz w:val="24"/>
          <w:szCs w:val="24"/>
        </w:rPr>
        <w:t>purposes</w:t>
      </w:r>
      <w:r w:rsidR="00840F22" w:rsidRPr="001B05BA">
        <w:rPr>
          <w:rFonts w:ascii="Arial" w:hAnsi="Arial" w:cs="Arial"/>
          <w:sz w:val="24"/>
          <w:szCs w:val="24"/>
        </w:rPr>
        <w:t xml:space="preserve"> of tariff heading 22.02,</w:t>
      </w:r>
      <w:r w:rsidR="00E36206" w:rsidRPr="001B05BA">
        <w:rPr>
          <w:rFonts w:ascii="Arial" w:hAnsi="Arial" w:cs="Arial"/>
          <w:sz w:val="24"/>
          <w:szCs w:val="24"/>
        </w:rPr>
        <w:t xml:space="preserve"> altered from </w:t>
      </w:r>
      <w:r w:rsidR="00A45838" w:rsidRPr="001B05BA">
        <w:rPr>
          <w:rFonts w:ascii="Arial" w:hAnsi="Arial" w:cs="Arial"/>
          <w:sz w:val="24"/>
          <w:szCs w:val="24"/>
        </w:rPr>
        <w:t>0</w:t>
      </w:r>
      <w:r w:rsidR="00E36206" w:rsidRPr="001B05BA">
        <w:rPr>
          <w:rFonts w:ascii="Arial" w:hAnsi="Arial" w:cs="Arial"/>
          <w:sz w:val="24"/>
          <w:szCs w:val="24"/>
        </w:rPr>
        <w:t>% vol to 0.5% vol’.</w:t>
      </w:r>
    </w:p>
    <w:p w14:paraId="20149988" w14:textId="77777777" w:rsidR="008D7E2C" w:rsidRPr="001B05BA" w:rsidRDefault="008D7E2C" w:rsidP="008D7E2C">
      <w:pPr>
        <w:pStyle w:val="ListParagraph"/>
        <w:rPr>
          <w:rFonts w:ascii="Arial" w:hAnsi="Arial" w:cs="Arial"/>
          <w:sz w:val="24"/>
          <w:szCs w:val="24"/>
        </w:rPr>
      </w:pPr>
    </w:p>
    <w:p w14:paraId="670E064D" w14:textId="1651345B" w:rsidR="008D7E2C" w:rsidRPr="001B05BA" w:rsidRDefault="008D7E2C" w:rsidP="00CC1BB4">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1B05BA">
        <w:rPr>
          <w:rFonts w:ascii="Arial" w:hAnsi="Arial" w:cs="Arial"/>
          <w:sz w:val="24"/>
          <w:szCs w:val="24"/>
        </w:rPr>
        <w:t xml:space="preserve">The Commissioner </w:t>
      </w:r>
      <w:r w:rsidR="006F5FAA" w:rsidRPr="001B05BA">
        <w:rPr>
          <w:rFonts w:ascii="Arial" w:hAnsi="Arial" w:cs="Arial"/>
          <w:sz w:val="24"/>
          <w:szCs w:val="24"/>
        </w:rPr>
        <w:t>holds that</w:t>
      </w:r>
      <w:r w:rsidRPr="001B05BA">
        <w:rPr>
          <w:rFonts w:ascii="Arial" w:hAnsi="Arial" w:cs="Arial"/>
          <w:sz w:val="24"/>
          <w:szCs w:val="24"/>
        </w:rPr>
        <w:t xml:space="preserve"> the reference to this </w:t>
      </w:r>
      <w:r w:rsidR="00B80BC6" w:rsidRPr="001B05BA">
        <w:rPr>
          <w:rFonts w:ascii="Arial" w:hAnsi="Arial" w:cs="Arial"/>
          <w:sz w:val="24"/>
          <w:szCs w:val="24"/>
        </w:rPr>
        <w:t>0.5% vol threshold in the explanatory notes to tariff headings 22.03. 22.04</w:t>
      </w:r>
      <w:r w:rsidR="00CE718F" w:rsidRPr="001B05BA">
        <w:rPr>
          <w:rFonts w:ascii="Arial" w:hAnsi="Arial" w:cs="Arial"/>
          <w:sz w:val="24"/>
          <w:szCs w:val="24"/>
        </w:rPr>
        <w:t>, 22.06 and 22.08</w:t>
      </w:r>
      <w:r w:rsidR="006F5FAA" w:rsidRPr="001B05BA">
        <w:rPr>
          <w:rFonts w:ascii="Arial" w:hAnsi="Arial" w:cs="Arial"/>
          <w:sz w:val="24"/>
          <w:szCs w:val="24"/>
        </w:rPr>
        <w:t xml:space="preserve"> </w:t>
      </w:r>
      <w:r w:rsidR="00F04C79" w:rsidRPr="001B05BA">
        <w:rPr>
          <w:rFonts w:ascii="Arial" w:hAnsi="Arial" w:cs="Arial"/>
          <w:sz w:val="24"/>
          <w:szCs w:val="24"/>
        </w:rPr>
        <w:t>i</w:t>
      </w:r>
      <w:r w:rsidR="006F5FAA" w:rsidRPr="001B05BA">
        <w:rPr>
          <w:rFonts w:ascii="Arial" w:hAnsi="Arial" w:cs="Arial"/>
          <w:sz w:val="24"/>
          <w:szCs w:val="24"/>
        </w:rPr>
        <w:t>s merely explaining</w:t>
      </w:r>
      <w:r w:rsidR="005A0DCA" w:rsidRPr="001B05BA">
        <w:rPr>
          <w:rFonts w:ascii="Arial" w:hAnsi="Arial" w:cs="Arial"/>
          <w:sz w:val="24"/>
          <w:szCs w:val="24"/>
        </w:rPr>
        <w:t xml:space="preserve"> that if the alcoholic strength of the product does not exceed 0.5% vol it is clas</w:t>
      </w:r>
      <w:r w:rsidR="004D1250" w:rsidRPr="001B05BA">
        <w:rPr>
          <w:rFonts w:ascii="Arial" w:hAnsi="Arial" w:cs="Arial"/>
          <w:sz w:val="24"/>
          <w:szCs w:val="24"/>
        </w:rPr>
        <w:t>sifiable in tariff heading 22.02.</w:t>
      </w:r>
    </w:p>
    <w:p w14:paraId="13E5CB79" w14:textId="77777777" w:rsidR="00CC1BB4" w:rsidRPr="001B05BA" w:rsidRDefault="00CC1BB4" w:rsidP="00CC1BB4">
      <w:pPr>
        <w:pStyle w:val="ListParagraph"/>
        <w:rPr>
          <w:rFonts w:ascii="Arial" w:hAnsi="Arial" w:cs="Arial"/>
          <w:sz w:val="24"/>
          <w:szCs w:val="24"/>
        </w:rPr>
      </w:pPr>
    </w:p>
    <w:p w14:paraId="2D2DCA9E" w14:textId="1D9C915E" w:rsidR="000A3760" w:rsidRPr="001B05BA" w:rsidRDefault="00521FCC" w:rsidP="00E8184F">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1B05BA">
        <w:rPr>
          <w:rFonts w:ascii="Arial" w:hAnsi="Arial" w:cs="Arial"/>
          <w:sz w:val="24"/>
          <w:szCs w:val="24"/>
        </w:rPr>
        <w:lastRenderedPageBreak/>
        <w:t xml:space="preserve">The Commissioner </w:t>
      </w:r>
      <w:r w:rsidR="00F10CA4" w:rsidRPr="001B05BA">
        <w:rPr>
          <w:rFonts w:ascii="Arial" w:hAnsi="Arial" w:cs="Arial"/>
          <w:sz w:val="24"/>
          <w:szCs w:val="24"/>
        </w:rPr>
        <w:t xml:space="preserve">further </w:t>
      </w:r>
      <w:r w:rsidRPr="001B05BA">
        <w:rPr>
          <w:rFonts w:ascii="Arial" w:hAnsi="Arial" w:cs="Arial"/>
          <w:sz w:val="24"/>
          <w:szCs w:val="24"/>
        </w:rPr>
        <w:t>contend</w:t>
      </w:r>
      <w:r w:rsidR="00666F09" w:rsidRPr="001B05BA">
        <w:rPr>
          <w:rFonts w:ascii="Arial" w:hAnsi="Arial" w:cs="Arial"/>
          <w:sz w:val="24"/>
          <w:szCs w:val="24"/>
        </w:rPr>
        <w:t>s</w:t>
      </w:r>
      <w:r w:rsidR="00096211" w:rsidRPr="001B05BA">
        <w:rPr>
          <w:rFonts w:ascii="Arial" w:hAnsi="Arial" w:cs="Arial"/>
          <w:sz w:val="24"/>
          <w:szCs w:val="24"/>
        </w:rPr>
        <w:t xml:space="preserve"> </w:t>
      </w:r>
      <w:r w:rsidRPr="001B05BA">
        <w:rPr>
          <w:rFonts w:ascii="Arial" w:hAnsi="Arial" w:cs="Arial"/>
          <w:sz w:val="24"/>
          <w:szCs w:val="24"/>
        </w:rPr>
        <w:t>that a loss of revenue to the fiscus is inherent to the introduction of an incentive such as the one introduced by Additional Note 4(b). This</w:t>
      </w:r>
      <w:r w:rsidR="00096211" w:rsidRPr="001B05BA">
        <w:rPr>
          <w:rFonts w:ascii="Arial" w:hAnsi="Arial" w:cs="Arial"/>
          <w:sz w:val="24"/>
          <w:szCs w:val="24"/>
        </w:rPr>
        <w:t>, counsel argues with reference to the Cape</w:t>
      </w:r>
      <w:r w:rsidR="00636196" w:rsidRPr="001B05BA">
        <w:rPr>
          <w:rFonts w:ascii="Arial" w:hAnsi="Arial" w:cs="Arial"/>
          <w:sz w:val="24"/>
          <w:szCs w:val="24"/>
        </w:rPr>
        <w:t xml:space="preserve"> Provincial</w:t>
      </w:r>
      <w:r w:rsidR="00096211" w:rsidRPr="001B05BA">
        <w:rPr>
          <w:rFonts w:ascii="Arial" w:hAnsi="Arial" w:cs="Arial"/>
          <w:sz w:val="24"/>
          <w:szCs w:val="24"/>
        </w:rPr>
        <w:t xml:space="preserve"> Division </w:t>
      </w:r>
      <w:r w:rsidR="00636196" w:rsidRPr="001B05BA">
        <w:rPr>
          <w:rFonts w:ascii="Arial" w:hAnsi="Arial" w:cs="Arial"/>
          <w:sz w:val="24"/>
          <w:szCs w:val="24"/>
        </w:rPr>
        <w:t>decision</w:t>
      </w:r>
      <w:r w:rsidR="00096211" w:rsidRPr="001B05BA">
        <w:rPr>
          <w:rFonts w:ascii="Arial" w:hAnsi="Arial" w:cs="Arial"/>
          <w:sz w:val="24"/>
          <w:szCs w:val="24"/>
        </w:rPr>
        <w:t xml:space="preserve"> in </w:t>
      </w:r>
      <w:r w:rsidR="00096211" w:rsidRPr="001B05BA">
        <w:rPr>
          <w:rFonts w:ascii="Arial" w:hAnsi="Arial" w:cs="Arial"/>
          <w:i/>
          <w:iCs/>
          <w:sz w:val="24"/>
          <w:szCs w:val="24"/>
        </w:rPr>
        <w:t>BP Southern Africa (Pty) Ltd v Secretary for Customs and Excise</w:t>
      </w:r>
      <w:r w:rsidR="00096211" w:rsidRPr="001B05BA">
        <w:rPr>
          <w:rFonts w:ascii="Arial" w:hAnsi="Arial" w:cs="Arial"/>
          <w:sz w:val="24"/>
          <w:szCs w:val="24"/>
        </w:rPr>
        <w:t>,</w:t>
      </w:r>
      <w:r w:rsidR="00096211" w:rsidRPr="001B05BA">
        <w:rPr>
          <w:rStyle w:val="FootnoteReference"/>
          <w:rFonts w:ascii="Arial" w:hAnsi="Arial" w:cs="Arial"/>
          <w:sz w:val="24"/>
          <w:szCs w:val="24"/>
        </w:rPr>
        <w:footnoteReference w:id="25"/>
      </w:r>
      <w:r w:rsidR="000D4053" w:rsidRPr="001B05BA">
        <w:rPr>
          <w:rFonts w:ascii="Arial" w:hAnsi="Arial" w:cs="Arial"/>
          <w:sz w:val="24"/>
          <w:szCs w:val="24"/>
        </w:rPr>
        <w:t xml:space="preserve"> </w:t>
      </w:r>
      <w:r w:rsidRPr="001B05BA">
        <w:rPr>
          <w:rFonts w:ascii="Arial" w:hAnsi="Arial" w:cs="Arial"/>
          <w:sz w:val="24"/>
          <w:szCs w:val="24"/>
        </w:rPr>
        <w:t>places a concomitant obligation on the Commissioner to ensure that the requirements of the incentive are strictly adhered to.</w:t>
      </w:r>
      <w:r w:rsidR="00E8184F" w:rsidRPr="001B05BA">
        <w:rPr>
          <w:rFonts w:ascii="Arial" w:hAnsi="Arial" w:cs="Arial"/>
          <w:sz w:val="24"/>
          <w:szCs w:val="24"/>
        </w:rPr>
        <w:t xml:space="preserve"> In drawing a parallel between the incentive provided for by Additional Note 4(b) and diesel rebates, counsel submit</w:t>
      </w:r>
      <w:r w:rsidR="001663AD" w:rsidRPr="001B05BA">
        <w:rPr>
          <w:rFonts w:ascii="Arial" w:hAnsi="Arial" w:cs="Arial"/>
          <w:sz w:val="24"/>
          <w:szCs w:val="24"/>
        </w:rPr>
        <w:t>ted</w:t>
      </w:r>
      <w:r w:rsidR="00E8184F" w:rsidRPr="001B05BA">
        <w:rPr>
          <w:rFonts w:ascii="Arial" w:hAnsi="Arial" w:cs="Arial"/>
          <w:sz w:val="24"/>
          <w:szCs w:val="24"/>
        </w:rPr>
        <w:t xml:space="preserve"> that an ingredient is either alcoholic or not. </w:t>
      </w:r>
      <w:r w:rsidR="000A3760" w:rsidRPr="001B05BA">
        <w:rPr>
          <w:rFonts w:ascii="Arial" w:hAnsi="Arial" w:cs="Arial"/>
          <w:sz w:val="24"/>
          <w:szCs w:val="24"/>
        </w:rPr>
        <w:t>It is apposite to pause at this juncture</w:t>
      </w:r>
      <w:r w:rsidR="00DE7E7A" w:rsidRPr="001B05BA">
        <w:rPr>
          <w:rFonts w:ascii="Arial" w:hAnsi="Arial" w:cs="Arial"/>
          <w:sz w:val="24"/>
          <w:szCs w:val="24"/>
        </w:rPr>
        <w:t xml:space="preserve"> to indicate that the decision of the Cape Provincial Division was </w:t>
      </w:r>
      <w:r w:rsidR="00264654" w:rsidRPr="001B05BA">
        <w:rPr>
          <w:rFonts w:ascii="Arial" w:hAnsi="Arial" w:cs="Arial"/>
          <w:sz w:val="24"/>
          <w:szCs w:val="24"/>
        </w:rPr>
        <w:t>overturned on appeal by</w:t>
      </w:r>
      <w:r w:rsidR="000A28DD" w:rsidRPr="001B05BA">
        <w:rPr>
          <w:rFonts w:ascii="Arial" w:hAnsi="Arial" w:cs="Arial"/>
          <w:sz w:val="24"/>
          <w:szCs w:val="24"/>
        </w:rPr>
        <w:t xml:space="preserve"> the, then, Appellate Division.</w:t>
      </w:r>
      <w:r w:rsidR="00264654" w:rsidRPr="001B05BA">
        <w:rPr>
          <w:rStyle w:val="FootnoteReference"/>
          <w:rFonts w:ascii="Arial" w:hAnsi="Arial" w:cs="Arial"/>
          <w:sz w:val="24"/>
          <w:szCs w:val="24"/>
        </w:rPr>
        <w:footnoteReference w:id="26"/>
      </w:r>
      <w:r w:rsidR="000A28DD" w:rsidRPr="001B05BA">
        <w:rPr>
          <w:rFonts w:ascii="Arial" w:hAnsi="Arial" w:cs="Arial"/>
          <w:sz w:val="24"/>
          <w:szCs w:val="24"/>
        </w:rPr>
        <w:t xml:space="preserve"> Although</w:t>
      </w:r>
      <w:r w:rsidR="00F36ABF" w:rsidRPr="001B05BA">
        <w:rPr>
          <w:rFonts w:ascii="Arial" w:hAnsi="Arial" w:cs="Arial"/>
          <w:sz w:val="24"/>
          <w:szCs w:val="24"/>
        </w:rPr>
        <w:t xml:space="preserve"> van Heerden JA, writing for the court, did not deem it necessary to </w:t>
      </w:r>
      <w:r w:rsidR="003C5C9B" w:rsidRPr="001B05BA">
        <w:rPr>
          <w:rFonts w:ascii="Arial" w:hAnsi="Arial" w:cs="Arial"/>
          <w:sz w:val="24"/>
          <w:szCs w:val="24"/>
        </w:rPr>
        <w:t xml:space="preserve">deal with the bases on which the court </w:t>
      </w:r>
      <w:r w:rsidR="003C5C9B" w:rsidRPr="001B05BA">
        <w:rPr>
          <w:rFonts w:ascii="Arial" w:hAnsi="Arial" w:cs="Arial"/>
          <w:i/>
          <w:iCs/>
          <w:sz w:val="24"/>
          <w:szCs w:val="24"/>
        </w:rPr>
        <w:t>a quo</w:t>
      </w:r>
      <w:r w:rsidR="003C5C9B" w:rsidRPr="001B05BA">
        <w:rPr>
          <w:rFonts w:ascii="Arial" w:hAnsi="Arial" w:cs="Arial"/>
          <w:sz w:val="24"/>
          <w:szCs w:val="24"/>
        </w:rPr>
        <w:t xml:space="preserve"> </w:t>
      </w:r>
      <w:r w:rsidR="007F7644" w:rsidRPr="001B05BA">
        <w:rPr>
          <w:rFonts w:ascii="Arial" w:hAnsi="Arial" w:cs="Arial"/>
          <w:sz w:val="24"/>
          <w:szCs w:val="24"/>
        </w:rPr>
        <w:t>dismissed the application,</w:t>
      </w:r>
      <w:r w:rsidR="007F7644" w:rsidRPr="001B05BA">
        <w:rPr>
          <w:rStyle w:val="FootnoteReference"/>
          <w:rFonts w:ascii="Arial" w:hAnsi="Arial" w:cs="Arial"/>
          <w:sz w:val="24"/>
          <w:szCs w:val="24"/>
        </w:rPr>
        <w:footnoteReference w:id="27"/>
      </w:r>
      <w:r w:rsidR="00A843C2" w:rsidRPr="001B05BA">
        <w:rPr>
          <w:rFonts w:ascii="Arial" w:hAnsi="Arial" w:cs="Arial"/>
          <w:sz w:val="24"/>
          <w:szCs w:val="24"/>
        </w:rPr>
        <w:t xml:space="preserve"> </w:t>
      </w:r>
      <w:r w:rsidR="00DF03AA" w:rsidRPr="001B05BA">
        <w:rPr>
          <w:rFonts w:ascii="Arial" w:hAnsi="Arial" w:cs="Arial"/>
          <w:sz w:val="24"/>
          <w:szCs w:val="24"/>
        </w:rPr>
        <w:t>the court held that a mere non-compliance with the provisions of regulation 410</w:t>
      </w:r>
      <w:r w:rsidR="00075ACE" w:rsidRPr="001B05BA">
        <w:rPr>
          <w:rFonts w:ascii="Arial" w:hAnsi="Arial" w:cs="Arial"/>
          <w:sz w:val="24"/>
          <w:szCs w:val="24"/>
        </w:rPr>
        <w:t xml:space="preserve">.04.04 (a) </w:t>
      </w:r>
      <w:r w:rsidR="00F37F05" w:rsidRPr="001B05BA">
        <w:rPr>
          <w:rFonts w:ascii="Arial" w:hAnsi="Arial" w:cs="Arial"/>
          <w:sz w:val="24"/>
          <w:szCs w:val="24"/>
        </w:rPr>
        <w:t xml:space="preserve">promulgated under the Customs and Excise Act </w:t>
      </w:r>
      <w:r w:rsidR="00075ACE" w:rsidRPr="001B05BA">
        <w:rPr>
          <w:rFonts w:ascii="Arial" w:hAnsi="Arial" w:cs="Arial"/>
          <w:sz w:val="24"/>
          <w:szCs w:val="24"/>
        </w:rPr>
        <w:t>did not deprive the appellants of their entitlement to rebates.</w:t>
      </w:r>
    </w:p>
    <w:p w14:paraId="50C2D382" w14:textId="77777777" w:rsidR="000A3760" w:rsidRPr="001B05BA" w:rsidRDefault="000A3760" w:rsidP="000A3760">
      <w:pPr>
        <w:pStyle w:val="ListParagraph"/>
        <w:rPr>
          <w:rFonts w:ascii="Arial" w:hAnsi="Arial" w:cs="Arial"/>
          <w:sz w:val="24"/>
          <w:szCs w:val="24"/>
        </w:rPr>
      </w:pPr>
    </w:p>
    <w:p w14:paraId="0E32A45C" w14:textId="4CF7D19D" w:rsidR="00CC1BB4" w:rsidRPr="001B05BA" w:rsidRDefault="00E8184F" w:rsidP="00FB3FC4">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1B05BA">
        <w:rPr>
          <w:rFonts w:ascii="Arial" w:hAnsi="Arial" w:cs="Arial"/>
          <w:sz w:val="24"/>
          <w:szCs w:val="24"/>
        </w:rPr>
        <w:t xml:space="preserve">The Commissioner submits that the non-alcoholic prescript in Additional Note 4(b) should be interpreted as an absolute, ‘that is </w:t>
      </w:r>
      <w:r w:rsidRPr="001B05BA">
        <w:rPr>
          <w:rFonts w:ascii="Arial" w:hAnsi="Arial" w:cs="Arial"/>
          <w:sz w:val="24"/>
          <w:szCs w:val="24"/>
          <w:u w:val="single"/>
        </w:rPr>
        <w:t>if any ingredient</w:t>
      </w:r>
      <w:r w:rsidRPr="001B05BA">
        <w:rPr>
          <w:rFonts w:ascii="Arial" w:hAnsi="Arial" w:cs="Arial"/>
          <w:sz w:val="24"/>
          <w:szCs w:val="24"/>
        </w:rPr>
        <w:t xml:space="preserve"> (bar the wine spirits) contains </w:t>
      </w:r>
      <w:r w:rsidRPr="001B05BA">
        <w:rPr>
          <w:rFonts w:ascii="Arial" w:hAnsi="Arial" w:cs="Arial"/>
          <w:sz w:val="24"/>
          <w:szCs w:val="24"/>
          <w:u w:val="single"/>
        </w:rPr>
        <w:t>any</w:t>
      </w:r>
      <w:r w:rsidRPr="001B05BA">
        <w:rPr>
          <w:rFonts w:ascii="Arial" w:hAnsi="Arial" w:cs="Arial"/>
          <w:sz w:val="24"/>
          <w:szCs w:val="24"/>
        </w:rPr>
        <w:t xml:space="preserve"> alcohol, the end product is excluded from classification under tariff heading 2208.70.21.</w:t>
      </w:r>
      <w:r w:rsidR="002758D0" w:rsidRPr="001B05BA">
        <w:rPr>
          <w:rFonts w:ascii="Arial" w:hAnsi="Arial" w:cs="Arial"/>
          <w:sz w:val="24"/>
          <w:szCs w:val="24"/>
        </w:rPr>
        <w:t>’</w:t>
      </w:r>
      <w:r w:rsidR="00FB3FC4" w:rsidRPr="001B05BA">
        <w:rPr>
          <w:rFonts w:ascii="Arial" w:hAnsi="Arial" w:cs="Arial"/>
          <w:sz w:val="24"/>
          <w:szCs w:val="24"/>
        </w:rPr>
        <w:t xml:space="preserve"> </w:t>
      </w:r>
      <w:r w:rsidR="007C19C2" w:rsidRPr="001B05BA">
        <w:rPr>
          <w:rFonts w:ascii="Arial" w:hAnsi="Arial" w:cs="Arial"/>
          <w:sz w:val="24"/>
          <w:szCs w:val="24"/>
        </w:rPr>
        <w:t>T</w:t>
      </w:r>
      <w:r w:rsidR="00FB3FC4" w:rsidRPr="001B05BA">
        <w:rPr>
          <w:rFonts w:ascii="Arial" w:hAnsi="Arial" w:cs="Arial"/>
          <w:sz w:val="24"/>
          <w:szCs w:val="24"/>
        </w:rPr>
        <w:t xml:space="preserve">he vanilla flavouring [extract] as an individual detached ingredient contains at least 0.6% alcohol, </w:t>
      </w:r>
      <w:r w:rsidR="001B571A" w:rsidRPr="001B05BA">
        <w:rPr>
          <w:rFonts w:ascii="Arial" w:hAnsi="Arial" w:cs="Arial"/>
          <w:sz w:val="24"/>
          <w:szCs w:val="24"/>
        </w:rPr>
        <w:t xml:space="preserve">counsel submits, </w:t>
      </w:r>
      <w:r w:rsidR="00FB3FC4" w:rsidRPr="001B05BA">
        <w:rPr>
          <w:rFonts w:ascii="Arial" w:hAnsi="Arial" w:cs="Arial"/>
          <w:sz w:val="24"/>
          <w:szCs w:val="24"/>
        </w:rPr>
        <w:t>the CVCO cannot be classified under tariff heading 2208.70.21.</w:t>
      </w:r>
    </w:p>
    <w:p w14:paraId="701DCB1B" w14:textId="77777777" w:rsidR="00CC1BB4" w:rsidRPr="001B05BA" w:rsidRDefault="00CC1BB4" w:rsidP="00CC1BB4">
      <w:pPr>
        <w:pStyle w:val="ListParagraph"/>
        <w:rPr>
          <w:rFonts w:ascii="Arial" w:hAnsi="Arial" w:cs="Arial"/>
          <w:sz w:val="24"/>
          <w:szCs w:val="24"/>
        </w:rPr>
      </w:pPr>
    </w:p>
    <w:p w14:paraId="65FC4437" w14:textId="17FB4F6D" w:rsidR="00CC1BB4" w:rsidRPr="001B05BA" w:rsidRDefault="0001790A" w:rsidP="00CC1BB4">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1B05BA">
        <w:rPr>
          <w:rFonts w:ascii="Arial" w:hAnsi="Arial" w:cs="Arial"/>
          <w:sz w:val="24"/>
          <w:szCs w:val="24"/>
        </w:rPr>
        <w:t>The Commissioner</w:t>
      </w:r>
      <w:r w:rsidR="00F1486A" w:rsidRPr="001B05BA">
        <w:rPr>
          <w:rFonts w:ascii="Arial" w:hAnsi="Arial" w:cs="Arial"/>
          <w:sz w:val="24"/>
          <w:szCs w:val="24"/>
        </w:rPr>
        <w:t>,</w:t>
      </w:r>
      <w:r w:rsidRPr="001B05BA">
        <w:rPr>
          <w:rFonts w:ascii="Arial" w:hAnsi="Arial" w:cs="Arial"/>
          <w:sz w:val="24"/>
          <w:szCs w:val="24"/>
        </w:rPr>
        <w:t xml:space="preserve"> in addition</w:t>
      </w:r>
      <w:r w:rsidR="00F1486A" w:rsidRPr="001B05BA">
        <w:rPr>
          <w:rFonts w:ascii="Arial" w:hAnsi="Arial" w:cs="Arial"/>
          <w:sz w:val="24"/>
          <w:szCs w:val="24"/>
        </w:rPr>
        <w:t>,</w:t>
      </w:r>
      <w:r w:rsidRPr="001B05BA">
        <w:rPr>
          <w:rFonts w:ascii="Arial" w:hAnsi="Arial" w:cs="Arial"/>
          <w:sz w:val="24"/>
          <w:szCs w:val="24"/>
        </w:rPr>
        <w:t xml:space="preserve"> </w:t>
      </w:r>
      <w:r w:rsidR="00A9526E" w:rsidRPr="001B05BA">
        <w:rPr>
          <w:rFonts w:ascii="Arial" w:hAnsi="Arial" w:cs="Arial"/>
          <w:sz w:val="24"/>
          <w:szCs w:val="24"/>
        </w:rPr>
        <w:t>point</w:t>
      </w:r>
      <w:r w:rsidR="008416B4" w:rsidRPr="001B05BA">
        <w:rPr>
          <w:rFonts w:ascii="Arial" w:hAnsi="Arial" w:cs="Arial"/>
          <w:sz w:val="24"/>
          <w:szCs w:val="24"/>
        </w:rPr>
        <w:t>s</w:t>
      </w:r>
      <w:r w:rsidR="00A9526E" w:rsidRPr="001B05BA">
        <w:rPr>
          <w:rFonts w:ascii="Arial" w:hAnsi="Arial" w:cs="Arial"/>
          <w:sz w:val="24"/>
          <w:szCs w:val="24"/>
        </w:rPr>
        <w:t xml:space="preserve"> out</w:t>
      </w:r>
      <w:r w:rsidRPr="001B05BA">
        <w:rPr>
          <w:rFonts w:ascii="Arial" w:hAnsi="Arial" w:cs="Arial"/>
          <w:sz w:val="24"/>
          <w:szCs w:val="24"/>
        </w:rPr>
        <w:t xml:space="preserve"> that</w:t>
      </w:r>
      <w:r w:rsidR="00BF678D" w:rsidRPr="001B05BA">
        <w:rPr>
          <w:rFonts w:ascii="Arial" w:hAnsi="Arial" w:cs="Arial"/>
          <w:sz w:val="24"/>
          <w:szCs w:val="24"/>
        </w:rPr>
        <w:t xml:space="preserve"> Diageo did not contest the tariff determination in relation to</w:t>
      </w:r>
      <w:r w:rsidR="00E4746D" w:rsidRPr="001B05BA">
        <w:rPr>
          <w:rFonts w:ascii="Arial" w:hAnsi="Arial" w:cs="Arial"/>
          <w:sz w:val="24"/>
          <w:szCs w:val="24"/>
        </w:rPr>
        <w:t xml:space="preserve"> three of its other products. In CV Chocolate Cream, the </w:t>
      </w:r>
      <w:r w:rsidR="00835A23" w:rsidRPr="001B05BA">
        <w:rPr>
          <w:rFonts w:ascii="Arial" w:hAnsi="Arial" w:cs="Arial"/>
          <w:sz w:val="24"/>
          <w:szCs w:val="24"/>
        </w:rPr>
        <w:t xml:space="preserve">vanilla </w:t>
      </w:r>
      <w:r w:rsidR="00E4746D" w:rsidRPr="001B05BA">
        <w:rPr>
          <w:rFonts w:ascii="Arial" w:hAnsi="Arial" w:cs="Arial"/>
          <w:sz w:val="24"/>
          <w:szCs w:val="24"/>
        </w:rPr>
        <w:t>flavouring</w:t>
      </w:r>
      <w:r w:rsidR="00835A23" w:rsidRPr="001B05BA">
        <w:rPr>
          <w:rFonts w:ascii="Arial" w:hAnsi="Arial" w:cs="Arial"/>
          <w:sz w:val="24"/>
          <w:szCs w:val="24"/>
        </w:rPr>
        <w:t xml:space="preserve"> contains 27.12% ABV, in CV Strawberry Cream</w:t>
      </w:r>
      <w:r w:rsidR="00DB5781" w:rsidRPr="001B05BA">
        <w:rPr>
          <w:rFonts w:ascii="Arial" w:hAnsi="Arial" w:cs="Arial"/>
          <w:sz w:val="24"/>
          <w:szCs w:val="24"/>
        </w:rPr>
        <w:t>,</w:t>
      </w:r>
      <w:r w:rsidR="00835A23" w:rsidRPr="001B05BA">
        <w:rPr>
          <w:rFonts w:ascii="Arial" w:hAnsi="Arial" w:cs="Arial"/>
          <w:sz w:val="24"/>
          <w:szCs w:val="24"/>
        </w:rPr>
        <w:t xml:space="preserve"> the stra</w:t>
      </w:r>
      <w:r w:rsidR="00E65551" w:rsidRPr="001B05BA">
        <w:rPr>
          <w:rFonts w:ascii="Arial" w:hAnsi="Arial" w:cs="Arial"/>
          <w:sz w:val="24"/>
          <w:szCs w:val="24"/>
        </w:rPr>
        <w:t>wberry flavouring contains 28.6% ABV and in CV Toffee Cream, the flavouring contains 14</w:t>
      </w:r>
      <w:r w:rsidR="00F1486A" w:rsidRPr="001B05BA">
        <w:rPr>
          <w:rFonts w:ascii="Arial" w:hAnsi="Arial" w:cs="Arial"/>
          <w:sz w:val="24"/>
          <w:szCs w:val="24"/>
        </w:rPr>
        <w:t xml:space="preserve">.70% ABV. These three products were classified in </w:t>
      </w:r>
      <w:r w:rsidR="00B77E83" w:rsidRPr="001B05BA">
        <w:rPr>
          <w:rFonts w:ascii="Arial" w:hAnsi="Arial" w:cs="Arial"/>
          <w:sz w:val="24"/>
          <w:szCs w:val="24"/>
        </w:rPr>
        <w:t>t</w:t>
      </w:r>
      <w:r w:rsidR="00F1486A" w:rsidRPr="001B05BA">
        <w:rPr>
          <w:rFonts w:ascii="Arial" w:hAnsi="Arial" w:cs="Arial"/>
          <w:sz w:val="24"/>
          <w:szCs w:val="24"/>
        </w:rPr>
        <w:t xml:space="preserve">ariff </w:t>
      </w:r>
      <w:r w:rsidR="00B77E83" w:rsidRPr="001B05BA">
        <w:rPr>
          <w:rFonts w:ascii="Arial" w:hAnsi="Arial" w:cs="Arial"/>
          <w:sz w:val="24"/>
          <w:szCs w:val="24"/>
        </w:rPr>
        <w:t>subh</w:t>
      </w:r>
      <w:r w:rsidR="00F1486A" w:rsidRPr="001B05BA">
        <w:rPr>
          <w:rFonts w:ascii="Arial" w:hAnsi="Arial" w:cs="Arial"/>
          <w:sz w:val="24"/>
          <w:szCs w:val="24"/>
        </w:rPr>
        <w:t>eading 2208.70</w:t>
      </w:r>
      <w:r w:rsidR="008B0501" w:rsidRPr="001B05BA">
        <w:rPr>
          <w:rFonts w:ascii="Arial" w:hAnsi="Arial" w:cs="Arial"/>
          <w:sz w:val="24"/>
          <w:szCs w:val="24"/>
        </w:rPr>
        <w:t xml:space="preserve">.22 </w:t>
      </w:r>
      <w:r w:rsidR="008B0501" w:rsidRPr="001B05BA">
        <w:rPr>
          <w:rFonts w:ascii="Arial" w:hAnsi="Arial" w:cs="Arial"/>
          <w:sz w:val="24"/>
          <w:szCs w:val="24"/>
        </w:rPr>
        <w:lastRenderedPageBreak/>
        <w:t xml:space="preserve">and </w:t>
      </w:r>
      <w:r w:rsidR="006F648C" w:rsidRPr="001B05BA">
        <w:rPr>
          <w:rFonts w:ascii="Arial" w:hAnsi="Arial" w:cs="Arial"/>
          <w:sz w:val="24"/>
          <w:szCs w:val="24"/>
        </w:rPr>
        <w:t>t</w:t>
      </w:r>
      <w:r w:rsidR="008B0501" w:rsidRPr="001B05BA">
        <w:rPr>
          <w:rFonts w:ascii="Arial" w:hAnsi="Arial" w:cs="Arial"/>
          <w:sz w:val="24"/>
          <w:szCs w:val="24"/>
        </w:rPr>
        <w:t>ari</w:t>
      </w:r>
      <w:r w:rsidR="006F648C" w:rsidRPr="001B05BA">
        <w:rPr>
          <w:rFonts w:ascii="Arial" w:hAnsi="Arial" w:cs="Arial"/>
          <w:sz w:val="24"/>
          <w:szCs w:val="24"/>
        </w:rPr>
        <w:t>f</w:t>
      </w:r>
      <w:r w:rsidR="008B0501" w:rsidRPr="001B05BA">
        <w:rPr>
          <w:rFonts w:ascii="Arial" w:hAnsi="Arial" w:cs="Arial"/>
          <w:sz w:val="24"/>
          <w:szCs w:val="24"/>
        </w:rPr>
        <w:t xml:space="preserve">f </w:t>
      </w:r>
      <w:r w:rsidR="006F648C" w:rsidRPr="001B05BA">
        <w:rPr>
          <w:rFonts w:ascii="Arial" w:hAnsi="Arial" w:cs="Arial"/>
          <w:sz w:val="24"/>
          <w:szCs w:val="24"/>
        </w:rPr>
        <w:t>i</w:t>
      </w:r>
      <w:r w:rsidR="008B0501" w:rsidRPr="001B05BA">
        <w:rPr>
          <w:rFonts w:ascii="Arial" w:hAnsi="Arial" w:cs="Arial"/>
          <w:sz w:val="24"/>
          <w:szCs w:val="24"/>
        </w:rPr>
        <w:t xml:space="preserve">tem 104.23.22, </w:t>
      </w:r>
      <w:r w:rsidR="009157A6" w:rsidRPr="001B05BA">
        <w:rPr>
          <w:rFonts w:ascii="Arial" w:hAnsi="Arial" w:cs="Arial"/>
          <w:sz w:val="24"/>
          <w:szCs w:val="24"/>
        </w:rPr>
        <w:t>because</w:t>
      </w:r>
      <w:r w:rsidR="008B0501" w:rsidRPr="001B05BA">
        <w:rPr>
          <w:rFonts w:ascii="Arial" w:hAnsi="Arial" w:cs="Arial"/>
          <w:sz w:val="24"/>
          <w:szCs w:val="24"/>
        </w:rPr>
        <w:t xml:space="preserve"> one of their ingredients contained alcohol.</w:t>
      </w:r>
      <w:r w:rsidR="00712E2B" w:rsidRPr="001B05BA">
        <w:rPr>
          <w:rFonts w:ascii="Arial" w:hAnsi="Arial" w:cs="Arial"/>
          <w:sz w:val="24"/>
          <w:szCs w:val="24"/>
        </w:rPr>
        <w:t xml:space="preserve"> Diageo did not appeal th</w:t>
      </w:r>
      <w:r w:rsidR="004F00C7" w:rsidRPr="001B05BA">
        <w:rPr>
          <w:rFonts w:ascii="Arial" w:hAnsi="Arial" w:cs="Arial"/>
          <w:sz w:val="24"/>
          <w:szCs w:val="24"/>
        </w:rPr>
        <w:t>e tariff determination of these product</w:t>
      </w:r>
      <w:r w:rsidR="00A9526E" w:rsidRPr="001B05BA">
        <w:rPr>
          <w:rFonts w:ascii="Arial" w:hAnsi="Arial" w:cs="Arial"/>
          <w:sz w:val="24"/>
          <w:szCs w:val="24"/>
        </w:rPr>
        <w:t xml:space="preserve">s, </w:t>
      </w:r>
      <w:r w:rsidR="006E4461" w:rsidRPr="001B05BA">
        <w:rPr>
          <w:rFonts w:ascii="Arial" w:hAnsi="Arial" w:cs="Arial"/>
          <w:sz w:val="24"/>
          <w:szCs w:val="24"/>
        </w:rPr>
        <w:t xml:space="preserve">and </w:t>
      </w:r>
      <w:r w:rsidR="00A9526E" w:rsidRPr="001B05BA">
        <w:rPr>
          <w:rFonts w:ascii="Arial" w:hAnsi="Arial" w:cs="Arial"/>
          <w:sz w:val="24"/>
          <w:szCs w:val="24"/>
        </w:rPr>
        <w:t>the Commissioner contends that</w:t>
      </w:r>
      <w:r w:rsidR="006E4461" w:rsidRPr="001B05BA">
        <w:rPr>
          <w:rFonts w:ascii="Arial" w:hAnsi="Arial" w:cs="Arial"/>
          <w:sz w:val="24"/>
          <w:szCs w:val="24"/>
        </w:rPr>
        <w:t xml:space="preserve"> Diageo’s acceptance of these determinations indicate that Diageo accepts that the presence of alcohol in an </w:t>
      </w:r>
      <w:r w:rsidR="004D484B" w:rsidRPr="001B05BA">
        <w:rPr>
          <w:rFonts w:ascii="Arial" w:hAnsi="Arial" w:cs="Arial"/>
          <w:sz w:val="24"/>
          <w:szCs w:val="24"/>
        </w:rPr>
        <w:t xml:space="preserve">ingredient would cause the product to be disqualified from being classifiable under </w:t>
      </w:r>
      <w:r w:rsidR="001B4931" w:rsidRPr="001B05BA">
        <w:rPr>
          <w:rFonts w:ascii="Arial" w:hAnsi="Arial" w:cs="Arial"/>
          <w:sz w:val="24"/>
          <w:szCs w:val="24"/>
        </w:rPr>
        <w:t>t</w:t>
      </w:r>
      <w:r w:rsidR="004D484B" w:rsidRPr="001B05BA">
        <w:rPr>
          <w:rFonts w:ascii="Arial" w:hAnsi="Arial" w:cs="Arial"/>
          <w:sz w:val="24"/>
          <w:szCs w:val="24"/>
        </w:rPr>
        <w:t xml:space="preserve">ariff </w:t>
      </w:r>
      <w:r w:rsidR="001B4931" w:rsidRPr="001B05BA">
        <w:rPr>
          <w:rFonts w:ascii="Arial" w:hAnsi="Arial" w:cs="Arial"/>
          <w:sz w:val="24"/>
          <w:szCs w:val="24"/>
        </w:rPr>
        <w:t>sub</w:t>
      </w:r>
      <w:r w:rsidR="004D484B" w:rsidRPr="001B05BA">
        <w:rPr>
          <w:rFonts w:ascii="Arial" w:hAnsi="Arial" w:cs="Arial"/>
          <w:sz w:val="24"/>
          <w:szCs w:val="24"/>
        </w:rPr>
        <w:t>heading 2208.70.21</w:t>
      </w:r>
      <w:r w:rsidR="00C46459" w:rsidRPr="001B05BA">
        <w:rPr>
          <w:rFonts w:ascii="Arial" w:hAnsi="Arial" w:cs="Arial"/>
          <w:sz w:val="24"/>
          <w:szCs w:val="24"/>
        </w:rPr>
        <w:t xml:space="preserve">. </w:t>
      </w:r>
      <w:r w:rsidR="007750C9" w:rsidRPr="001B05BA">
        <w:rPr>
          <w:rFonts w:ascii="Arial" w:hAnsi="Arial" w:cs="Arial"/>
          <w:sz w:val="24"/>
          <w:szCs w:val="24"/>
        </w:rPr>
        <w:t xml:space="preserve">There is, however, in my view, no </w:t>
      </w:r>
      <w:r w:rsidR="00C840B8" w:rsidRPr="001B05BA">
        <w:rPr>
          <w:rFonts w:ascii="Arial" w:hAnsi="Arial" w:cs="Arial"/>
          <w:sz w:val="24"/>
          <w:szCs w:val="24"/>
        </w:rPr>
        <w:t xml:space="preserve">factual </w:t>
      </w:r>
      <w:r w:rsidR="007750C9" w:rsidRPr="001B05BA">
        <w:rPr>
          <w:rFonts w:ascii="Arial" w:hAnsi="Arial" w:cs="Arial"/>
          <w:sz w:val="24"/>
          <w:szCs w:val="24"/>
        </w:rPr>
        <w:t xml:space="preserve">basis for this inference </w:t>
      </w:r>
      <w:r w:rsidR="00C840B8" w:rsidRPr="001B05BA">
        <w:rPr>
          <w:rFonts w:ascii="Arial" w:hAnsi="Arial" w:cs="Arial"/>
          <w:sz w:val="24"/>
          <w:szCs w:val="24"/>
        </w:rPr>
        <w:t xml:space="preserve">to be </w:t>
      </w:r>
      <w:r w:rsidR="007750C9" w:rsidRPr="001B05BA">
        <w:rPr>
          <w:rFonts w:ascii="Arial" w:hAnsi="Arial" w:cs="Arial"/>
          <w:sz w:val="24"/>
          <w:szCs w:val="24"/>
        </w:rPr>
        <w:t xml:space="preserve">drawn from Diageo’s </w:t>
      </w:r>
      <w:r w:rsidR="00C840B8" w:rsidRPr="001B05BA">
        <w:rPr>
          <w:rFonts w:ascii="Arial" w:hAnsi="Arial" w:cs="Arial"/>
          <w:sz w:val="24"/>
          <w:szCs w:val="24"/>
        </w:rPr>
        <w:t>decision not to appeal th</w:t>
      </w:r>
      <w:r w:rsidR="00DB5781" w:rsidRPr="001B05BA">
        <w:rPr>
          <w:rFonts w:ascii="Arial" w:hAnsi="Arial" w:cs="Arial"/>
          <w:sz w:val="24"/>
          <w:szCs w:val="24"/>
        </w:rPr>
        <w:t>ose</w:t>
      </w:r>
      <w:r w:rsidR="00C840B8" w:rsidRPr="001B05BA">
        <w:rPr>
          <w:rFonts w:ascii="Arial" w:hAnsi="Arial" w:cs="Arial"/>
          <w:sz w:val="24"/>
          <w:szCs w:val="24"/>
        </w:rPr>
        <w:t xml:space="preserve"> tariff determination</w:t>
      </w:r>
      <w:r w:rsidR="00DB5781" w:rsidRPr="001B05BA">
        <w:rPr>
          <w:rFonts w:ascii="Arial" w:hAnsi="Arial" w:cs="Arial"/>
          <w:sz w:val="24"/>
          <w:szCs w:val="24"/>
        </w:rPr>
        <w:t>s</w:t>
      </w:r>
      <w:r w:rsidR="00C840B8" w:rsidRPr="001B05BA">
        <w:rPr>
          <w:rFonts w:ascii="Arial" w:hAnsi="Arial" w:cs="Arial"/>
          <w:sz w:val="24"/>
          <w:szCs w:val="24"/>
        </w:rPr>
        <w:t>. As a result, I do not deal with this submission</w:t>
      </w:r>
      <w:r w:rsidR="003548A0" w:rsidRPr="001B05BA">
        <w:rPr>
          <w:rFonts w:ascii="Arial" w:hAnsi="Arial" w:cs="Arial"/>
          <w:sz w:val="24"/>
          <w:szCs w:val="24"/>
        </w:rPr>
        <w:t xml:space="preserve"> below.</w:t>
      </w:r>
    </w:p>
    <w:p w14:paraId="07CA9C63" w14:textId="77777777" w:rsidR="00CC1BB4" w:rsidRPr="001B05BA" w:rsidRDefault="00CC1BB4" w:rsidP="00CC1BB4">
      <w:pPr>
        <w:pStyle w:val="ListParagraph"/>
        <w:rPr>
          <w:rFonts w:ascii="Arial" w:hAnsi="Arial" w:cs="Arial"/>
          <w:sz w:val="24"/>
          <w:szCs w:val="24"/>
        </w:rPr>
      </w:pPr>
    </w:p>
    <w:p w14:paraId="1D7AFD15" w14:textId="7B1C7C95" w:rsidR="000E55B7" w:rsidRPr="001B05BA" w:rsidRDefault="009C4780" w:rsidP="00CC1BB4">
      <w:pPr>
        <w:pStyle w:val="ListParagraph"/>
        <w:numPr>
          <w:ilvl w:val="0"/>
          <w:numId w:val="2"/>
        </w:numPr>
        <w:tabs>
          <w:tab w:val="left" w:pos="4917"/>
        </w:tabs>
        <w:spacing w:before="120" w:after="120" w:line="360" w:lineRule="auto"/>
        <w:ind w:hanging="720"/>
        <w:jc w:val="both"/>
        <w:rPr>
          <w:rFonts w:ascii="Arial" w:hAnsi="Arial" w:cs="Arial"/>
          <w:sz w:val="24"/>
          <w:szCs w:val="24"/>
          <w:lang w:val="en-US"/>
        </w:rPr>
      </w:pPr>
      <w:r w:rsidRPr="001B05BA">
        <w:rPr>
          <w:rFonts w:ascii="Arial" w:hAnsi="Arial" w:cs="Arial"/>
          <w:sz w:val="24"/>
          <w:szCs w:val="24"/>
        </w:rPr>
        <w:t xml:space="preserve">The Commissioner </w:t>
      </w:r>
      <w:r w:rsidR="00EB61EB" w:rsidRPr="001B05BA">
        <w:rPr>
          <w:rFonts w:ascii="Arial" w:hAnsi="Arial" w:cs="Arial"/>
          <w:sz w:val="24"/>
          <w:szCs w:val="24"/>
        </w:rPr>
        <w:t xml:space="preserve">asserts </w:t>
      </w:r>
      <w:r w:rsidRPr="001B05BA">
        <w:rPr>
          <w:rFonts w:ascii="Arial" w:hAnsi="Arial" w:cs="Arial"/>
          <w:sz w:val="24"/>
          <w:szCs w:val="24"/>
        </w:rPr>
        <w:t>that unless the ‘non-alcoholic’ prescript in Additional Note 4(b)</w:t>
      </w:r>
      <w:r w:rsidR="00AA2737" w:rsidRPr="001B05BA">
        <w:rPr>
          <w:rFonts w:ascii="Arial" w:hAnsi="Arial" w:cs="Arial"/>
          <w:sz w:val="24"/>
          <w:szCs w:val="24"/>
        </w:rPr>
        <w:t xml:space="preserve"> is interpreted to be absolute, it would lead to results that are ‘inconsistent, insensible and in direct conflict with one of the purposes of tariff classification – that is to ensure that the same products are classified in the same heading or sub-heading</w:t>
      </w:r>
      <w:r w:rsidR="00B3293B" w:rsidRPr="001B05BA">
        <w:rPr>
          <w:rFonts w:ascii="Arial" w:hAnsi="Arial" w:cs="Arial"/>
          <w:sz w:val="24"/>
          <w:szCs w:val="24"/>
        </w:rPr>
        <w:t>.</w:t>
      </w:r>
      <w:r w:rsidR="00EF5375" w:rsidRPr="001B05BA">
        <w:rPr>
          <w:rFonts w:ascii="Arial" w:hAnsi="Arial" w:cs="Arial"/>
          <w:sz w:val="24"/>
          <w:szCs w:val="24"/>
        </w:rPr>
        <w:t>’</w:t>
      </w:r>
      <w:r w:rsidR="00B3293B" w:rsidRPr="001B05BA">
        <w:rPr>
          <w:rFonts w:ascii="Arial" w:hAnsi="Arial" w:cs="Arial"/>
          <w:sz w:val="24"/>
          <w:szCs w:val="24"/>
        </w:rPr>
        <w:t xml:space="preserve"> It would also make it practically impossible for the Commissioner to </w:t>
      </w:r>
      <w:r w:rsidR="00EB2EAE" w:rsidRPr="001B05BA">
        <w:rPr>
          <w:rFonts w:ascii="Arial" w:hAnsi="Arial" w:cs="Arial"/>
          <w:sz w:val="24"/>
          <w:szCs w:val="24"/>
        </w:rPr>
        <w:t xml:space="preserve">administer and </w:t>
      </w:r>
      <w:r w:rsidR="00B3293B" w:rsidRPr="001B05BA">
        <w:rPr>
          <w:rFonts w:ascii="Arial" w:hAnsi="Arial" w:cs="Arial"/>
          <w:sz w:val="24"/>
          <w:szCs w:val="24"/>
        </w:rPr>
        <w:t>enforce the Act</w:t>
      </w:r>
      <w:r w:rsidR="00EF5375" w:rsidRPr="001B05BA">
        <w:rPr>
          <w:rFonts w:ascii="Arial" w:hAnsi="Arial" w:cs="Arial"/>
          <w:sz w:val="24"/>
          <w:szCs w:val="24"/>
        </w:rPr>
        <w:t>.</w:t>
      </w:r>
      <w:r w:rsidR="00B22099" w:rsidRPr="001B05BA">
        <w:rPr>
          <w:rFonts w:ascii="Arial" w:hAnsi="Arial" w:cs="Arial"/>
          <w:sz w:val="24"/>
          <w:szCs w:val="24"/>
        </w:rPr>
        <w:t xml:space="preserve"> </w:t>
      </w:r>
      <w:r w:rsidR="0057571F" w:rsidRPr="001B05BA">
        <w:rPr>
          <w:rFonts w:ascii="Arial" w:hAnsi="Arial" w:cs="Arial"/>
          <w:sz w:val="24"/>
          <w:szCs w:val="24"/>
        </w:rPr>
        <w:t xml:space="preserve">This is also the reason, then, </w:t>
      </w:r>
      <w:r w:rsidR="00233509" w:rsidRPr="001B05BA">
        <w:rPr>
          <w:rFonts w:ascii="Arial" w:hAnsi="Arial" w:cs="Arial"/>
          <w:sz w:val="24"/>
          <w:szCs w:val="24"/>
        </w:rPr>
        <w:t xml:space="preserve">that the Commissioner contends that </w:t>
      </w:r>
      <w:r w:rsidR="00460A84" w:rsidRPr="001B05BA">
        <w:rPr>
          <w:rFonts w:ascii="Arial" w:hAnsi="Arial" w:cs="Arial"/>
          <w:sz w:val="24"/>
          <w:szCs w:val="24"/>
        </w:rPr>
        <w:t xml:space="preserve">Additional Note 4(b) </w:t>
      </w:r>
      <w:r w:rsidR="00F66A8D" w:rsidRPr="001B05BA">
        <w:rPr>
          <w:rFonts w:ascii="Arial" w:hAnsi="Arial" w:cs="Arial"/>
          <w:sz w:val="24"/>
          <w:szCs w:val="24"/>
        </w:rPr>
        <w:t>is analogous to s 65 of the Road Traffic Act 93 of 1996.</w:t>
      </w:r>
      <w:r w:rsidR="00E518D5" w:rsidRPr="001B05BA">
        <w:rPr>
          <w:rFonts w:ascii="Arial" w:hAnsi="Arial" w:cs="Arial"/>
          <w:sz w:val="24"/>
          <w:szCs w:val="24"/>
        </w:rPr>
        <w:t xml:space="preserve"> Section 65 of the Road Traffic Act provides</w:t>
      </w:r>
      <w:r w:rsidR="007614A2" w:rsidRPr="001B05BA">
        <w:rPr>
          <w:rFonts w:ascii="Arial" w:hAnsi="Arial" w:cs="Arial"/>
          <w:sz w:val="24"/>
          <w:szCs w:val="24"/>
          <w:lang w:val="en-US"/>
        </w:rPr>
        <w:t xml:space="preserve"> that no person</w:t>
      </w:r>
      <w:r w:rsidR="00A45D0D" w:rsidRPr="001B05BA">
        <w:rPr>
          <w:rFonts w:ascii="Arial" w:hAnsi="Arial" w:cs="Arial"/>
          <w:sz w:val="24"/>
          <w:szCs w:val="24"/>
          <w:lang w:val="en-US"/>
        </w:rPr>
        <w:t xml:space="preserve"> </w:t>
      </w:r>
      <w:r w:rsidR="00761735" w:rsidRPr="001B05BA">
        <w:rPr>
          <w:rFonts w:ascii="Arial" w:hAnsi="Arial" w:cs="Arial"/>
          <w:sz w:val="24"/>
          <w:szCs w:val="24"/>
          <w:lang w:val="en-US"/>
        </w:rPr>
        <w:t>may</w:t>
      </w:r>
      <w:r w:rsidR="00A45D0D" w:rsidRPr="001B05BA">
        <w:rPr>
          <w:rFonts w:ascii="Arial" w:hAnsi="Arial" w:cs="Arial"/>
          <w:sz w:val="24"/>
          <w:szCs w:val="24"/>
          <w:lang w:val="en-US"/>
        </w:rPr>
        <w:t xml:space="preserve"> drive</w:t>
      </w:r>
      <w:r w:rsidR="00F11799" w:rsidRPr="001B05BA">
        <w:rPr>
          <w:rFonts w:ascii="Arial" w:hAnsi="Arial" w:cs="Arial"/>
          <w:sz w:val="24"/>
          <w:szCs w:val="24"/>
          <w:lang w:val="en-US"/>
        </w:rPr>
        <w:t xml:space="preserve"> a</w:t>
      </w:r>
      <w:r w:rsidR="00A45D0D" w:rsidRPr="001B05BA">
        <w:rPr>
          <w:rFonts w:ascii="Arial" w:hAnsi="Arial" w:cs="Arial"/>
          <w:sz w:val="24"/>
          <w:szCs w:val="24"/>
          <w:lang w:val="en-US"/>
        </w:rPr>
        <w:t xml:space="preserve"> vehicle while the concentration of alcohol in a</w:t>
      </w:r>
      <w:r w:rsidR="00761735" w:rsidRPr="001B05BA">
        <w:rPr>
          <w:rFonts w:ascii="Arial" w:hAnsi="Arial" w:cs="Arial"/>
          <w:sz w:val="24"/>
          <w:szCs w:val="24"/>
          <w:lang w:val="en-US"/>
        </w:rPr>
        <w:t>ny</w:t>
      </w:r>
      <w:r w:rsidR="00A45D0D" w:rsidRPr="001B05BA">
        <w:rPr>
          <w:rFonts w:ascii="Arial" w:hAnsi="Arial" w:cs="Arial"/>
          <w:sz w:val="24"/>
          <w:szCs w:val="24"/>
          <w:lang w:val="en-US"/>
        </w:rPr>
        <w:t xml:space="preserve"> specimen of blood taken from him or her is 0.05 g</w:t>
      </w:r>
      <w:r w:rsidR="00444B94" w:rsidRPr="001B05BA">
        <w:rPr>
          <w:rFonts w:ascii="Arial" w:hAnsi="Arial" w:cs="Arial"/>
          <w:sz w:val="24"/>
          <w:szCs w:val="24"/>
          <w:lang w:val="en-US"/>
        </w:rPr>
        <w:t>ram</w:t>
      </w:r>
      <w:r w:rsidR="00A45D0D" w:rsidRPr="001B05BA">
        <w:rPr>
          <w:rFonts w:ascii="Arial" w:hAnsi="Arial" w:cs="Arial"/>
          <w:sz w:val="24"/>
          <w:szCs w:val="24"/>
          <w:lang w:val="en-US"/>
        </w:rPr>
        <w:t xml:space="preserve"> per hundred </w:t>
      </w:r>
      <w:r w:rsidR="007125E4" w:rsidRPr="001B05BA">
        <w:rPr>
          <w:rFonts w:ascii="Arial" w:hAnsi="Arial" w:cs="Arial"/>
          <w:sz w:val="24"/>
          <w:szCs w:val="24"/>
          <w:lang w:val="en-US"/>
        </w:rPr>
        <w:t>milliliters</w:t>
      </w:r>
      <w:r w:rsidR="00A45D0D" w:rsidRPr="001B05BA">
        <w:rPr>
          <w:rFonts w:ascii="Arial" w:hAnsi="Arial" w:cs="Arial"/>
          <w:sz w:val="24"/>
          <w:szCs w:val="24"/>
          <w:lang w:val="en-US"/>
        </w:rPr>
        <w:t>.</w:t>
      </w:r>
      <w:r w:rsidR="00F523F2" w:rsidRPr="001B05BA">
        <w:rPr>
          <w:rFonts w:ascii="Arial" w:hAnsi="Arial" w:cs="Arial"/>
          <w:sz w:val="24"/>
          <w:szCs w:val="24"/>
          <w:lang w:val="en-US"/>
        </w:rPr>
        <w:t xml:space="preserve"> When the question arises whether section 65 has been breached</w:t>
      </w:r>
      <w:r w:rsidR="00444B94" w:rsidRPr="001B05BA">
        <w:rPr>
          <w:rFonts w:ascii="Arial" w:hAnsi="Arial" w:cs="Arial"/>
          <w:sz w:val="24"/>
          <w:szCs w:val="24"/>
          <w:lang w:val="en-US"/>
        </w:rPr>
        <w:t>,</w:t>
      </w:r>
      <w:r w:rsidR="008C5654" w:rsidRPr="001B05BA">
        <w:rPr>
          <w:rFonts w:ascii="Arial" w:hAnsi="Arial" w:cs="Arial"/>
          <w:sz w:val="24"/>
          <w:szCs w:val="24"/>
          <w:lang w:val="en-US"/>
        </w:rPr>
        <w:t xml:space="preserve"> the t</w:t>
      </w:r>
      <w:r w:rsidR="00574280" w:rsidRPr="001B05BA">
        <w:rPr>
          <w:rFonts w:ascii="Arial" w:hAnsi="Arial" w:cs="Arial"/>
          <w:sz w:val="24"/>
          <w:szCs w:val="24"/>
          <w:lang w:val="en-US"/>
        </w:rPr>
        <w:t>e</w:t>
      </w:r>
      <w:r w:rsidR="008C5654" w:rsidRPr="001B05BA">
        <w:rPr>
          <w:rFonts w:ascii="Arial" w:hAnsi="Arial" w:cs="Arial"/>
          <w:sz w:val="24"/>
          <w:szCs w:val="24"/>
          <w:lang w:val="en-US"/>
        </w:rPr>
        <w:t>st is simple</w:t>
      </w:r>
      <w:r w:rsidR="00444B94" w:rsidRPr="001B05BA">
        <w:rPr>
          <w:rFonts w:ascii="Arial" w:hAnsi="Arial" w:cs="Arial"/>
          <w:sz w:val="24"/>
          <w:szCs w:val="24"/>
          <w:lang w:val="en-US"/>
        </w:rPr>
        <w:t>. I</w:t>
      </w:r>
      <w:r w:rsidR="008C5654" w:rsidRPr="001B05BA">
        <w:rPr>
          <w:rFonts w:ascii="Arial" w:hAnsi="Arial" w:cs="Arial"/>
          <w:sz w:val="24"/>
          <w:szCs w:val="24"/>
          <w:lang w:val="en-US"/>
        </w:rPr>
        <w:t>f the t</w:t>
      </w:r>
      <w:r w:rsidR="001E584F" w:rsidRPr="001B05BA">
        <w:rPr>
          <w:rFonts w:ascii="Arial" w:hAnsi="Arial" w:cs="Arial"/>
          <w:sz w:val="24"/>
          <w:szCs w:val="24"/>
          <w:lang w:val="en-US"/>
        </w:rPr>
        <w:t>e</w:t>
      </w:r>
      <w:r w:rsidR="008C5654" w:rsidRPr="001B05BA">
        <w:rPr>
          <w:rFonts w:ascii="Arial" w:hAnsi="Arial" w:cs="Arial"/>
          <w:sz w:val="24"/>
          <w:szCs w:val="24"/>
          <w:lang w:val="en-US"/>
        </w:rPr>
        <w:t xml:space="preserve">st result is 0.049 </w:t>
      </w:r>
      <w:r w:rsidR="001E584F" w:rsidRPr="001B05BA">
        <w:rPr>
          <w:rFonts w:ascii="Arial" w:hAnsi="Arial" w:cs="Arial"/>
          <w:sz w:val="24"/>
          <w:szCs w:val="24"/>
          <w:lang w:val="en-US"/>
        </w:rPr>
        <w:t>g</w:t>
      </w:r>
      <w:r w:rsidR="008C5654" w:rsidRPr="001B05BA">
        <w:rPr>
          <w:rFonts w:ascii="Arial" w:hAnsi="Arial" w:cs="Arial"/>
          <w:sz w:val="24"/>
          <w:szCs w:val="24"/>
          <w:lang w:val="en-US"/>
        </w:rPr>
        <w:t>/100 m</w:t>
      </w:r>
      <w:r w:rsidR="001E584F" w:rsidRPr="001B05BA">
        <w:rPr>
          <w:rFonts w:ascii="Arial" w:hAnsi="Arial" w:cs="Arial"/>
          <w:sz w:val="24"/>
          <w:szCs w:val="24"/>
          <w:lang w:val="en-US"/>
        </w:rPr>
        <w:t>l</w:t>
      </w:r>
      <w:r w:rsidR="00444B94" w:rsidRPr="001B05BA">
        <w:rPr>
          <w:rFonts w:ascii="Arial" w:hAnsi="Arial" w:cs="Arial"/>
          <w:sz w:val="24"/>
          <w:szCs w:val="24"/>
          <w:lang w:val="en-US"/>
        </w:rPr>
        <w:t>,</w:t>
      </w:r>
      <w:r w:rsidR="001E584F" w:rsidRPr="001B05BA">
        <w:rPr>
          <w:rFonts w:ascii="Arial" w:hAnsi="Arial" w:cs="Arial"/>
          <w:sz w:val="24"/>
          <w:szCs w:val="24"/>
          <w:lang w:val="en-US"/>
        </w:rPr>
        <w:t xml:space="preserve"> </w:t>
      </w:r>
      <w:r w:rsidR="005861EB" w:rsidRPr="001B05BA">
        <w:rPr>
          <w:rFonts w:ascii="Arial" w:hAnsi="Arial" w:cs="Arial"/>
          <w:sz w:val="24"/>
          <w:szCs w:val="24"/>
          <w:lang w:val="en-US"/>
        </w:rPr>
        <w:t xml:space="preserve">it has not been breached. If it is 0.05 </w:t>
      </w:r>
      <w:r w:rsidR="00444B94" w:rsidRPr="001B05BA">
        <w:rPr>
          <w:rFonts w:ascii="Arial" w:hAnsi="Arial" w:cs="Arial"/>
          <w:sz w:val="24"/>
          <w:szCs w:val="24"/>
          <w:lang w:val="en-US"/>
        </w:rPr>
        <w:t>g</w:t>
      </w:r>
      <w:r w:rsidR="005861EB" w:rsidRPr="001B05BA">
        <w:rPr>
          <w:rFonts w:ascii="Arial" w:hAnsi="Arial" w:cs="Arial"/>
          <w:sz w:val="24"/>
          <w:szCs w:val="24"/>
          <w:lang w:val="en-US"/>
        </w:rPr>
        <w:t>/100</w:t>
      </w:r>
      <w:r w:rsidR="00444B94" w:rsidRPr="001B05BA">
        <w:rPr>
          <w:rFonts w:ascii="Arial" w:hAnsi="Arial" w:cs="Arial"/>
          <w:sz w:val="24"/>
          <w:szCs w:val="24"/>
          <w:lang w:val="en-US"/>
        </w:rPr>
        <w:t xml:space="preserve"> ml,</w:t>
      </w:r>
      <w:r w:rsidR="005861EB" w:rsidRPr="001B05BA">
        <w:rPr>
          <w:rFonts w:ascii="Arial" w:hAnsi="Arial" w:cs="Arial"/>
          <w:sz w:val="24"/>
          <w:szCs w:val="24"/>
          <w:lang w:val="en-US"/>
        </w:rPr>
        <w:t xml:space="preserve"> it has been breached.</w:t>
      </w:r>
      <w:r w:rsidR="00C81858" w:rsidRPr="001B05BA">
        <w:rPr>
          <w:rFonts w:ascii="Arial" w:hAnsi="Arial" w:cs="Arial"/>
          <w:sz w:val="24"/>
          <w:szCs w:val="24"/>
          <w:lang w:val="en-US"/>
        </w:rPr>
        <w:t xml:space="preserve"> In practical terms</w:t>
      </w:r>
      <w:r w:rsidR="00444B94" w:rsidRPr="001B05BA">
        <w:rPr>
          <w:rFonts w:ascii="Arial" w:hAnsi="Arial" w:cs="Arial"/>
          <w:sz w:val="24"/>
          <w:szCs w:val="24"/>
          <w:lang w:val="en-US"/>
        </w:rPr>
        <w:t>,</w:t>
      </w:r>
      <w:r w:rsidR="00C81858" w:rsidRPr="001B05BA">
        <w:rPr>
          <w:rFonts w:ascii="Arial" w:hAnsi="Arial" w:cs="Arial"/>
          <w:sz w:val="24"/>
          <w:szCs w:val="24"/>
          <w:lang w:val="en-US"/>
        </w:rPr>
        <w:t xml:space="preserve"> this means that less than 1/100 of a gram of alcohol is determinative of whether a driver is innocent or guilty of a criminal offence.</w:t>
      </w:r>
      <w:r w:rsidR="000E55B7" w:rsidRPr="001B05BA">
        <w:rPr>
          <w:rFonts w:ascii="Arial" w:hAnsi="Arial" w:cs="Arial"/>
          <w:sz w:val="24"/>
          <w:szCs w:val="24"/>
          <w:lang w:val="en-US"/>
        </w:rPr>
        <w:t xml:space="preserve"> There is no room for debate. </w:t>
      </w:r>
    </w:p>
    <w:p w14:paraId="03EBA33D" w14:textId="77777777" w:rsidR="000E55B7" w:rsidRPr="001B05BA" w:rsidRDefault="000E55B7" w:rsidP="000E55B7">
      <w:pPr>
        <w:pStyle w:val="ListParagraph"/>
        <w:tabs>
          <w:tab w:val="left" w:pos="4917"/>
        </w:tabs>
        <w:spacing w:before="120" w:after="120" w:line="360" w:lineRule="auto"/>
        <w:jc w:val="both"/>
        <w:rPr>
          <w:rFonts w:ascii="Arial" w:hAnsi="Arial" w:cs="Arial"/>
          <w:sz w:val="24"/>
          <w:szCs w:val="24"/>
          <w:lang w:val="en-US"/>
        </w:rPr>
      </w:pPr>
    </w:p>
    <w:p w14:paraId="6723F4CC" w14:textId="5F417247" w:rsidR="00CC1BB4" w:rsidRPr="001B05BA" w:rsidRDefault="00333A77" w:rsidP="00CC1BB4">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1B05BA">
        <w:rPr>
          <w:rFonts w:ascii="Arial" w:hAnsi="Arial" w:cs="Arial"/>
          <w:sz w:val="24"/>
          <w:szCs w:val="24"/>
          <w:lang w:val="en-US"/>
        </w:rPr>
        <w:t xml:space="preserve">The reason why the wording of certain </w:t>
      </w:r>
      <w:r w:rsidR="0083581B" w:rsidRPr="001B05BA">
        <w:rPr>
          <w:rFonts w:ascii="Arial" w:hAnsi="Arial" w:cs="Arial"/>
          <w:sz w:val="24"/>
          <w:szCs w:val="24"/>
          <w:lang w:val="en-US"/>
        </w:rPr>
        <w:t>texts</w:t>
      </w:r>
      <w:r w:rsidRPr="001B05BA">
        <w:rPr>
          <w:rFonts w:ascii="Arial" w:hAnsi="Arial" w:cs="Arial"/>
          <w:sz w:val="24"/>
          <w:szCs w:val="24"/>
          <w:lang w:val="en-US"/>
        </w:rPr>
        <w:t xml:space="preserve">, such as </w:t>
      </w:r>
      <w:r w:rsidR="00FE2F70" w:rsidRPr="001B05BA">
        <w:rPr>
          <w:rFonts w:ascii="Arial" w:hAnsi="Arial" w:cs="Arial"/>
          <w:sz w:val="24"/>
          <w:szCs w:val="24"/>
          <w:lang w:val="en-US"/>
        </w:rPr>
        <w:t>A</w:t>
      </w:r>
      <w:r w:rsidRPr="001B05BA">
        <w:rPr>
          <w:rFonts w:ascii="Arial" w:hAnsi="Arial" w:cs="Arial"/>
          <w:sz w:val="24"/>
          <w:szCs w:val="24"/>
          <w:lang w:val="en-US"/>
        </w:rPr>
        <w:t xml:space="preserve">dditional </w:t>
      </w:r>
      <w:r w:rsidR="00FE2F70" w:rsidRPr="001B05BA">
        <w:rPr>
          <w:rFonts w:ascii="Arial" w:hAnsi="Arial" w:cs="Arial"/>
          <w:sz w:val="24"/>
          <w:szCs w:val="24"/>
          <w:lang w:val="en-US"/>
        </w:rPr>
        <w:t>N</w:t>
      </w:r>
      <w:r w:rsidRPr="001B05BA">
        <w:rPr>
          <w:rFonts w:ascii="Arial" w:hAnsi="Arial" w:cs="Arial"/>
          <w:sz w:val="24"/>
          <w:szCs w:val="24"/>
          <w:lang w:val="en-US"/>
        </w:rPr>
        <w:t>ote 4</w:t>
      </w:r>
      <w:r w:rsidR="0083581B" w:rsidRPr="001B05BA">
        <w:rPr>
          <w:rFonts w:ascii="Arial" w:hAnsi="Arial" w:cs="Arial"/>
          <w:sz w:val="24"/>
          <w:szCs w:val="24"/>
          <w:lang w:val="en-US"/>
        </w:rPr>
        <w:t>(b)</w:t>
      </w:r>
      <w:r w:rsidR="002B5947" w:rsidRPr="001B05BA">
        <w:rPr>
          <w:rFonts w:ascii="Arial" w:hAnsi="Arial" w:cs="Arial"/>
          <w:sz w:val="24"/>
          <w:szCs w:val="24"/>
          <w:lang w:val="en-US"/>
        </w:rPr>
        <w:t>,</w:t>
      </w:r>
      <w:r w:rsidRPr="001B05BA">
        <w:rPr>
          <w:rFonts w:ascii="Arial" w:hAnsi="Arial" w:cs="Arial"/>
          <w:sz w:val="24"/>
          <w:szCs w:val="24"/>
          <w:lang w:val="en-US"/>
        </w:rPr>
        <w:t xml:space="preserve"> and</w:t>
      </w:r>
      <w:r w:rsidR="004D13A6" w:rsidRPr="001B05BA">
        <w:rPr>
          <w:rFonts w:ascii="Arial" w:hAnsi="Arial" w:cs="Arial"/>
          <w:sz w:val="24"/>
          <w:szCs w:val="24"/>
          <w:lang w:val="en-US"/>
        </w:rPr>
        <w:t xml:space="preserve"> s 65</w:t>
      </w:r>
      <w:r w:rsidR="00EE26BD" w:rsidRPr="001B05BA">
        <w:rPr>
          <w:rFonts w:ascii="Arial" w:hAnsi="Arial" w:cs="Arial"/>
          <w:sz w:val="24"/>
          <w:szCs w:val="24"/>
          <w:lang w:val="en-US"/>
        </w:rPr>
        <w:t xml:space="preserve"> </w:t>
      </w:r>
      <w:r w:rsidR="0083581B" w:rsidRPr="001B05BA">
        <w:rPr>
          <w:rFonts w:ascii="Arial" w:hAnsi="Arial" w:cs="Arial"/>
          <w:sz w:val="24"/>
          <w:szCs w:val="24"/>
          <w:lang w:val="en-US"/>
        </w:rPr>
        <w:t xml:space="preserve">of the </w:t>
      </w:r>
      <w:r w:rsidR="00723EA9" w:rsidRPr="001B05BA">
        <w:rPr>
          <w:rFonts w:ascii="Arial" w:hAnsi="Arial" w:cs="Arial"/>
          <w:sz w:val="24"/>
          <w:szCs w:val="24"/>
          <w:lang w:val="en-US"/>
        </w:rPr>
        <w:t>R</w:t>
      </w:r>
      <w:r w:rsidRPr="001B05BA">
        <w:rPr>
          <w:rFonts w:ascii="Arial" w:hAnsi="Arial" w:cs="Arial"/>
          <w:sz w:val="24"/>
          <w:szCs w:val="24"/>
          <w:lang w:val="en-US"/>
        </w:rPr>
        <w:t xml:space="preserve">oad </w:t>
      </w:r>
      <w:r w:rsidR="00723EA9" w:rsidRPr="001B05BA">
        <w:rPr>
          <w:rFonts w:ascii="Arial" w:hAnsi="Arial" w:cs="Arial"/>
          <w:sz w:val="24"/>
          <w:szCs w:val="24"/>
          <w:lang w:val="en-US"/>
        </w:rPr>
        <w:t>T</w:t>
      </w:r>
      <w:r w:rsidRPr="001B05BA">
        <w:rPr>
          <w:rFonts w:ascii="Arial" w:hAnsi="Arial" w:cs="Arial"/>
          <w:sz w:val="24"/>
          <w:szCs w:val="24"/>
          <w:lang w:val="en-US"/>
        </w:rPr>
        <w:t xml:space="preserve">raffic </w:t>
      </w:r>
      <w:r w:rsidR="00723EA9" w:rsidRPr="001B05BA">
        <w:rPr>
          <w:rFonts w:ascii="Arial" w:hAnsi="Arial" w:cs="Arial"/>
          <w:sz w:val="24"/>
          <w:szCs w:val="24"/>
          <w:lang w:val="en-US"/>
        </w:rPr>
        <w:t>A</w:t>
      </w:r>
      <w:r w:rsidRPr="001B05BA">
        <w:rPr>
          <w:rFonts w:ascii="Arial" w:hAnsi="Arial" w:cs="Arial"/>
          <w:sz w:val="24"/>
          <w:szCs w:val="24"/>
          <w:lang w:val="en-US"/>
        </w:rPr>
        <w:t>c</w:t>
      </w:r>
      <w:r w:rsidR="004D13A6" w:rsidRPr="001B05BA">
        <w:rPr>
          <w:rFonts w:ascii="Arial" w:hAnsi="Arial" w:cs="Arial"/>
          <w:sz w:val="24"/>
          <w:szCs w:val="24"/>
          <w:lang w:val="en-US"/>
        </w:rPr>
        <w:t>t are</w:t>
      </w:r>
      <w:r w:rsidRPr="001B05BA">
        <w:rPr>
          <w:rFonts w:ascii="Arial" w:hAnsi="Arial" w:cs="Arial"/>
          <w:sz w:val="24"/>
          <w:szCs w:val="24"/>
          <w:lang w:val="en-US"/>
        </w:rPr>
        <w:t xml:space="preserve"> exact,</w:t>
      </w:r>
      <w:r w:rsidR="00EE26BD" w:rsidRPr="001B05BA">
        <w:rPr>
          <w:rFonts w:ascii="Arial" w:hAnsi="Arial" w:cs="Arial"/>
          <w:sz w:val="24"/>
          <w:szCs w:val="24"/>
          <w:lang w:val="en-US"/>
        </w:rPr>
        <w:t xml:space="preserve"> submits the Commissioner, </w:t>
      </w:r>
      <w:r w:rsidR="00087EC3" w:rsidRPr="001B05BA">
        <w:rPr>
          <w:rFonts w:ascii="Arial" w:hAnsi="Arial" w:cs="Arial"/>
          <w:sz w:val="24"/>
          <w:szCs w:val="24"/>
          <w:lang w:val="en-US"/>
        </w:rPr>
        <w:t xml:space="preserve">is to eliminate any uncertainty and to create a fixed platform to ensure the easy and effective administration and enforcement of the said provisions. It also benefits the local manufacturer, </w:t>
      </w:r>
      <w:r w:rsidR="007D7197" w:rsidRPr="001B05BA">
        <w:rPr>
          <w:rFonts w:ascii="Arial" w:hAnsi="Arial" w:cs="Arial"/>
          <w:sz w:val="24"/>
          <w:szCs w:val="24"/>
          <w:lang w:val="en-US"/>
        </w:rPr>
        <w:t xml:space="preserve">or </w:t>
      </w:r>
      <w:r w:rsidR="00087EC3" w:rsidRPr="001B05BA">
        <w:rPr>
          <w:rFonts w:ascii="Arial" w:hAnsi="Arial" w:cs="Arial"/>
          <w:sz w:val="24"/>
          <w:szCs w:val="24"/>
          <w:lang w:val="en-US"/>
        </w:rPr>
        <w:t xml:space="preserve">driver in that it is informed in absolute terms of </w:t>
      </w:r>
      <w:r w:rsidR="006E7904" w:rsidRPr="001B05BA">
        <w:rPr>
          <w:rFonts w:ascii="Arial" w:hAnsi="Arial" w:cs="Arial"/>
          <w:sz w:val="24"/>
          <w:szCs w:val="24"/>
          <w:lang w:val="en-US"/>
        </w:rPr>
        <w:t>‘</w:t>
      </w:r>
      <w:r w:rsidR="00087EC3" w:rsidRPr="001B05BA">
        <w:rPr>
          <w:rFonts w:ascii="Arial" w:hAnsi="Arial" w:cs="Arial"/>
          <w:sz w:val="24"/>
          <w:szCs w:val="24"/>
          <w:lang w:val="en-US"/>
        </w:rPr>
        <w:t>the rules of the game</w:t>
      </w:r>
      <w:r w:rsidR="006E7904" w:rsidRPr="001B05BA">
        <w:rPr>
          <w:rFonts w:ascii="Arial" w:hAnsi="Arial" w:cs="Arial"/>
          <w:sz w:val="24"/>
          <w:szCs w:val="24"/>
          <w:lang w:val="en-US"/>
        </w:rPr>
        <w:t>’</w:t>
      </w:r>
      <w:r w:rsidR="00087EC3" w:rsidRPr="001B05BA">
        <w:rPr>
          <w:rFonts w:ascii="Arial" w:hAnsi="Arial" w:cs="Arial"/>
          <w:sz w:val="24"/>
          <w:szCs w:val="24"/>
          <w:lang w:val="en-US"/>
        </w:rPr>
        <w:t>.</w:t>
      </w:r>
      <w:r w:rsidR="00426C63" w:rsidRPr="001B05BA">
        <w:rPr>
          <w:rFonts w:ascii="Arial" w:hAnsi="Arial" w:cs="Arial"/>
          <w:sz w:val="24"/>
          <w:szCs w:val="24"/>
          <w:lang w:val="en-US"/>
        </w:rPr>
        <w:t xml:space="preserve"> </w:t>
      </w:r>
    </w:p>
    <w:p w14:paraId="5F8348EC" w14:textId="77777777" w:rsidR="00CC1BB4" w:rsidRPr="001B05BA" w:rsidRDefault="00CC1BB4" w:rsidP="00CC1BB4">
      <w:pPr>
        <w:pStyle w:val="ListParagraph"/>
        <w:rPr>
          <w:rFonts w:ascii="Arial" w:hAnsi="Arial" w:cs="Arial"/>
          <w:sz w:val="24"/>
          <w:szCs w:val="24"/>
        </w:rPr>
      </w:pPr>
    </w:p>
    <w:p w14:paraId="097F3395" w14:textId="77777777" w:rsidR="0097061E" w:rsidRPr="001B05BA" w:rsidRDefault="000C092E" w:rsidP="00587996">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1B05BA">
        <w:rPr>
          <w:rFonts w:ascii="Arial" w:hAnsi="Arial" w:cs="Arial"/>
          <w:sz w:val="24"/>
          <w:szCs w:val="24"/>
        </w:rPr>
        <w:t xml:space="preserve">The Commissioner contends that Diageo’s </w:t>
      </w:r>
      <w:r w:rsidR="00FC491F" w:rsidRPr="001B05BA">
        <w:rPr>
          <w:rFonts w:ascii="Arial" w:hAnsi="Arial" w:cs="Arial"/>
          <w:sz w:val="24"/>
          <w:szCs w:val="24"/>
        </w:rPr>
        <w:t xml:space="preserve">reliance on the </w:t>
      </w:r>
      <w:r w:rsidR="00FC491F" w:rsidRPr="001B05BA">
        <w:rPr>
          <w:rFonts w:ascii="Arial" w:hAnsi="Arial" w:cs="Arial"/>
          <w:i/>
          <w:iCs/>
          <w:sz w:val="24"/>
          <w:szCs w:val="24"/>
        </w:rPr>
        <w:t>de minimis non curat lex</w:t>
      </w:r>
      <w:r w:rsidR="00FC491F" w:rsidRPr="001B05BA">
        <w:rPr>
          <w:rFonts w:ascii="Arial" w:hAnsi="Arial" w:cs="Arial"/>
          <w:sz w:val="24"/>
          <w:szCs w:val="24"/>
        </w:rPr>
        <w:t xml:space="preserve"> principle is misplaced. </w:t>
      </w:r>
      <w:r w:rsidR="00CE7E42" w:rsidRPr="001B05BA">
        <w:rPr>
          <w:rFonts w:ascii="Arial" w:hAnsi="Arial" w:cs="Arial"/>
          <w:sz w:val="24"/>
          <w:szCs w:val="24"/>
        </w:rPr>
        <w:t xml:space="preserve">Reliance on this principle ignores the wording of Additional </w:t>
      </w:r>
      <w:r w:rsidR="00CE7E42" w:rsidRPr="001B05BA">
        <w:rPr>
          <w:rFonts w:ascii="Arial" w:hAnsi="Arial" w:cs="Arial"/>
          <w:sz w:val="24"/>
          <w:szCs w:val="24"/>
        </w:rPr>
        <w:lastRenderedPageBreak/>
        <w:t xml:space="preserve">Note 4(b) </w:t>
      </w:r>
      <w:r w:rsidR="00EF175F" w:rsidRPr="001B05BA">
        <w:rPr>
          <w:rFonts w:ascii="Arial" w:hAnsi="Arial" w:cs="Arial"/>
          <w:sz w:val="24"/>
          <w:szCs w:val="24"/>
        </w:rPr>
        <w:t>and the process to be followed in tariff determination</w:t>
      </w:r>
      <w:r w:rsidR="00F3426C" w:rsidRPr="001B05BA">
        <w:rPr>
          <w:rFonts w:ascii="Arial" w:hAnsi="Arial" w:cs="Arial"/>
          <w:sz w:val="24"/>
          <w:szCs w:val="24"/>
        </w:rPr>
        <w:t>,</w:t>
      </w:r>
      <w:r w:rsidR="00EF175F" w:rsidRPr="001B05BA">
        <w:rPr>
          <w:rFonts w:ascii="Arial" w:hAnsi="Arial" w:cs="Arial"/>
          <w:sz w:val="24"/>
          <w:szCs w:val="24"/>
        </w:rPr>
        <w:t xml:space="preserve"> as stated in </w:t>
      </w:r>
      <w:r w:rsidR="00EF175F" w:rsidRPr="001B05BA">
        <w:rPr>
          <w:rFonts w:ascii="Arial" w:hAnsi="Arial" w:cs="Arial"/>
          <w:i/>
          <w:iCs/>
          <w:sz w:val="24"/>
          <w:szCs w:val="24"/>
        </w:rPr>
        <w:t>Toneleria</w:t>
      </w:r>
      <w:r w:rsidR="00EF175F" w:rsidRPr="001B05BA">
        <w:rPr>
          <w:rFonts w:ascii="Arial" w:hAnsi="Arial" w:cs="Arial"/>
          <w:sz w:val="24"/>
          <w:szCs w:val="24"/>
        </w:rPr>
        <w:t xml:space="preserve">, </w:t>
      </w:r>
      <w:r w:rsidR="00CE7E42" w:rsidRPr="001B05BA">
        <w:rPr>
          <w:rFonts w:ascii="Arial" w:hAnsi="Arial" w:cs="Arial"/>
          <w:sz w:val="24"/>
          <w:szCs w:val="24"/>
        </w:rPr>
        <w:t>completely</w:t>
      </w:r>
      <w:r w:rsidR="00AE7BF7" w:rsidRPr="001B05BA">
        <w:rPr>
          <w:rFonts w:ascii="Arial" w:hAnsi="Arial" w:cs="Arial"/>
          <w:sz w:val="24"/>
          <w:szCs w:val="24"/>
        </w:rPr>
        <w:t>.</w:t>
      </w:r>
      <w:r w:rsidR="007F5C1D" w:rsidRPr="001B05BA">
        <w:rPr>
          <w:rFonts w:ascii="Arial" w:hAnsi="Arial" w:cs="Arial"/>
          <w:sz w:val="24"/>
          <w:szCs w:val="24"/>
        </w:rPr>
        <w:t xml:space="preserve"> </w:t>
      </w:r>
    </w:p>
    <w:p w14:paraId="6FEA8A68" w14:textId="77777777" w:rsidR="0097061E" w:rsidRPr="001B05BA" w:rsidRDefault="0097061E" w:rsidP="0097061E">
      <w:pPr>
        <w:pStyle w:val="ListParagraph"/>
        <w:rPr>
          <w:rFonts w:ascii="Arial" w:hAnsi="Arial" w:cs="Arial"/>
          <w:sz w:val="24"/>
          <w:szCs w:val="24"/>
        </w:rPr>
      </w:pPr>
    </w:p>
    <w:p w14:paraId="157AF32A" w14:textId="58B3EC5B" w:rsidR="008E6321" w:rsidRPr="001B05BA" w:rsidRDefault="007F5C1D" w:rsidP="00587996">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1B05BA">
        <w:rPr>
          <w:rFonts w:ascii="Arial" w:hAnsi="Arial" w:cs="Arial"/>
          <w:sz w:val="24"/>
          <w:szCs w:val="24"/>
        </w:rPr>
        <w:t xml:space="preserve">The Commissioner holds that </w:t>
      </w:r>
      <w:r w:rsidR="002848F0" w:rsidRPr="001B05BA">
        <w:rPr>
          <w:rFonts w:ascii="Arial" w:hAnsi="Arial" w:cs="Arial"/>
          <w:sz w:val="24"/>
          <w:szCs w:val="24"/>
        </w:rPr>
        <w:t>the determi</w:t>
      </w:r>
      <w:r w:rsidR="00637B01" w:rsidRPr="001B05BA">
        <w:rPr>
          <w:rFonts w:ascii="Arial" w:hAnsi="Arial" w:cs="Arial"/>
          <w:sz w:val="24"/>
          <w:szCs w:val="24"/>
        </w:rPr>
        <w:t>nation as to</w:t>
      </w:r>
      <w:r w:rsidR="002848F0" w:rsidRPr="001B05BA">
        <w:rPr>
          <w:rFonts w:ascii="Arial" w:hAnsi="Arial" w:cs="Arial"/>
          <w:sz w:val="24"/>
          <w:szCs w:val="24"/>
        </w:rPr>
        <w:t xml:space="preserve"> whether a product complies with the requirements of Additional Note 4(b), </w:t>
      </w:r>
      <w:r w:rsidR="00637B01" w:rsidRPr="001B05BA">
        <w:rPr>
          <w:rFonts w:ascii="Arial" w:hAnsi="Arial" w:cs="Arial"/>
          <w:sz w:val="24"/>
          <w:szCs w:val="24"/>
        </w:rPr>
        <w:t xml:space="preserve">requires a </w:t>
      </w:r>
      <w:r w:rsidR="002848F0" w:rsidRPr="001B05BA">
        <w:rPr>
          <w:rFonts w:ascii="Arial" w:hAnsi="Arial" w:cs="Arial"/>
          <w:sz w:val="24"/>
          <w:szCs w:val="24"/>
        </w:rPr>
        <w:t xml:space="preserve">simple </w:t>
      </w:r>
      <w:r w:rsidR="00F158AF" w:rsidRPr="001B05BA">
        <w:rPr>
          <w:rFonts w:ascii="Arial" w:hAnsi="Arial" w:cs="Arial"/>
          <w:sz w:val="24"/>
          <w:szCs w:val="24"/>
        </w:rPr>
        <w:t>two-stage</w:t>
      </w:r>
      <w:r w:rsidR="002848F0" w:rsidRPr="001B05BA">
        <w:rPr>
          <w:rFonts w:ascii="Arial" w:hAnsi="Arial" w:cs="Arial"/>
          <w:sz w:val="24"/>
          <w:szCs w:val="24"/>
        </w:rPr>
        <w:t xml:space="preserve"> process</w:t>
      </w:r>
      <w:r w:rsidR="00637B01" w:rsidRPr="001B05BA">
        <w:rPr>
          <w:rFonts w:ascii="Arial" w:hAnsi="Arial" w:cs="Arial"/>
          <w:sz w:val="24"/>
          <w:szCs w:val="24"/>
        </w:rPr>
        <w:t xml:space="preserve">. The first is to determine </w:t>
      </w:r>
      <w:r w:rsidR="00F3638C" w:rsidRPr="001B05BA">
        <w:rPr>
          <w:rFonts w:ascii="Arial" w:hAnsi="Arial" w:cs="Arial"/>
          <w:sz w:val="24"/>
          <w:szCs w:val="24"/>
        </w:rPr>
        <w:t>and identify the ingredients that make up the product. The second is to determine whether</w:t>
      </w:r>
      <w:r w:rsidR="00903DB7" w:rsidRPr="001B05BA">
        <w:rPr>
          <w:rFonts w:ascii="Arial" w:hAnsi="Arial" w:cs="Arial"/>
          <w:sz w:val="24"/>
          <w:szCs w:val="24"/>
        </w:rPr>
        <w:t xml:space="preserve"> any one of those ingredients </w:t>
      </w:r>
      <w:r w:rsidR="00587996" w:rsidRPr="001B05BA">
        <w:rPr>
          <w:rFonts w:ascii="Arial" w:hAnsi="Arial" w:cs="Arial"/>
          <w:sz w:val="24"/>
          <w:szCs w:val="24"/>
        </w:rPr>
        <w:t>contains</w:t>
      </w:r>
      <w:r w:rsidR="00903DB7" w:rsidRPr="001B05BA">
        <w:rPr>
          <w:rFonts w:ascii="Arial" w:hAnsi="Arial" w:cs="Arial"/>
          <w:sz w:val="24"/>
          <w:szCs w:val="24"/>
        </w:rPr>
        <w:t xml:space="preserve"> alcohol.</w:t>
      </w:r>
      <w:r w:rsidR="00587996" w:rsidRPr="001B05BA">
        <w:rPr>
          <w:rFonts w:ascii="Arial" w:hAnsi="Arial" w:cs="Arial"/>
          <w:sz w:val="24"/>
          <w:szCs w:val="24"/>
        </w:rPr>
        <w:t xml:space="preserve"> </w:t>
      </w:r>
      <w:r w:rsidR="008E6321" w:rsidRPr="001B05BA">
        <w:rPr>
          <w:rFonts w:ascii="Arial" w:hAnsi="Arial" w:cs="Arial"/>
          <w:sz w:val="24"/>
          <w:szCs w:val="24"/>
        </w:rPr>
        <w:t xml:space="preserve">The </w:t>
      </w:r>
      <w:r w:rsidR="00644D6C" w:rsidRPr="001B05BA">
        <w:rPr>
          <w:rFonts w:ascii="Arial" w:hAnsi="Arial" w:cs="Arial"/>
          <w:sz w:val="24"/>
          <w:szCs w:val="24"/>
        </w:rPr>
        <w:t xml:space="preserve">loss that will be suffered by SARS, if Diageo’s </w:t>
      </w:r>
      <w:r w:rsidR="009720A6" w:rsidRPr="001B05BA">
        <w:rPr>
          <w:rFonts w:ascii="Arial" w:hAnsi="Arial" w:cs="Arial"/>
          <w:sz w:val="24"/>
          <w:szCs w:val="24"/>
        </w:rPr>
        <w:t xml:space="preserve">reliance </w:t>
      </w:r>
      <w:r w:rsidR="00F158AF" w:rsidRPr="001B05BA">
        <w:rPr>
          <w:rFonts w:ascii="Arial" w:hAnsi="Arial" w:cs="Arial"/>
          <w:sz w:val="24"/>
          <w:szCs w:val="24"/>
        </w:rPr>
        <w:t>on</w:t>
      </w:r>
      <w:r w:rsidR="009720A6" w:rsidRPr="001B05BA">
        <w:rPr>
          <w:rFonts w:ascii="Arial" w:hAnsi="Arial" w:cs="Arial"/>
          <w:sz w:val="24"/>
          <w:szCs w:val="24"/>
        </w:rPr>
        <w:t xml:space="preserve"> the </w:t>
      </w:r>
      <w:r w:rsidR="009720A6" w:rsidRPr="001B05BA">
        <w:rPr>
          <w:rFonts w:ascii="Arial" w:hAnsi="Arial" w:cs="Arial"/>
          <w:i/>
          <w:iCs/>
          <w:sz w:val="24"/>
          <w:szCs w:val="24"/>
        </w:rPr>
        <w:t>de minimis</w:t>
      </w:r>
      <w:r w:rsidR="009720A6" w:rsidRPr="001B05BA">
        <w:rPr>
          <w:rFonts w:ascii="Arial" w:hAnsi="Arial" w:cs="Arial"/>
          <w:sz w:val="24"/>
          <w:szCs w:val="24"/>
        </w:rPr>
        <w:t xml:space="preserve"> principle is accepted</w:t>
      </w:r>
      <w:r w:rsidR="009720A6" w:rsidRPr="001B05BA">
        <w:rPr>
          <w:rFonts w:ascii="Arial" w:hAnsi="Arial" w:cs="Arial"/>
          <w:i/>
          <w:iCs/>
          <w:sz w:val="24"/>
          <w:szCs w:val="24"/>
        </w:rPr>
        <w:t xml:space="preserve">, </w:t>
      </w:r>
      <w:r w:rsidR="00644D6C" w:rsidRPr="001B05BA">
        <w:rPr>
          <w:rFonts w:ascii="Arial" w:hAnsi="Arial" w:cs="Arial"/>
          <w:sz w:val="24"/>
          <w:szCs w:val="24"/>
        </w:rPr>
        <w:t>is no trivial</w:t>
      </w:r>
      <w:r w:rsidR="009720A6" w:rsidRPr="001B05BA">
        <w:rPr>
          <w:rFonts w:ascii="Arial" w:hAnsi="Arial" w:cs="Arial"/>
          <w:sz w:val="24"/>
          <w:szCs w:val="24"/>
        </w:rPr>
        <w:t xml:space="preserve"> loss and not </w:t>
      </w:r>
      <w:r w:rsidR="009720A6" w:rsidRPr="001B05BA">
        <w:rPr>
          <w:rFonts w:ascii="Arial" w:hAnsi="Arial" w:cs="Arial"/>
          <w:i/>
          <w:iCs/>
          <w:sz w:val="24"/>
          <w:szCs w:val="24"/>
        </w:rPr>
        <w:t>de minimis.</w:t>
      </w:r>
      <w:r w:rsidR="009720A6" w:rsidRPr="001B05BA">
        <w:rPr>
          <w:rFonts w:ascii="Arial" w:hAnsi="Arial" w:cs="Arial"/>
          <w:sz w:val="24"/>
          <w:szCs w:val="24"/>
        </w:rPr>
        <w:t xml:space="preserve"> Due to the large quantity of CVCO exported</w:t>
      </w:r>
      <w:r w:rsidR="00E051BA" w:rsidRPr="001B05BA">
        <w:rPr>
          <w:rFonts w:ascii="Arial" w:hAnsi="Arial" w:cs="Arial"/>
          <w:sz w:val="24"/>
          <w:szCs w:val="24"/>
        </w:rPr>
        <w:t>,</w:t>
      </w:r>
      <w:r w:rsidR="008704B6" w:rsidRPr="001B05BA">
        <w:rPr>
          <w:rFonts w:ascii="Arial" w:hAnsi="Arial" w:cs="Arial"/>
          <w:sz w:val="24"/>
          <w:szCs w:val="24"/>
        </w:rPr>
        <w:t xml:space="preserve"> the duty payable on the final product, if the Commissioner’s </w:t>
      </w:r>
      <w:r w:rsidR="009A5A79" w:rsidRPr="001B05BA">
        <w:rPr>
          <w:rFonts w:ascii="Arial" w:hAnsi="Arial" w:cs="Arial"/>
          <w:sz w:val="24"/>
          <w:szCs w:val="24"/>
        </w:rPr>
        <w:t xml:space="preserve">approach is followed, amounts to millions of Rands </w:t>
      </w:r>
      <w:r w:rsidR="006A4AA6" w:rsidRPr="001B05BA">
        <w:rPr>
          <w:rFonts w:ascii="Arial" w:hAnsi="Arial" w:cs="Arial"/>
          <w:sz w:val="24"/>
          <w:szCs w:val="24"/>
        </w:rPr>
        <w:t>annually</w:t>
      </w:r>
      <w:r w:rsidR="009A5A79" w:rsidRPr="001B05BA">
        <w:rPr>
          <w:rFonts w:ascii="Arial" w:hAnsi="Arial" w:cs="Arial"/>
          <w:sz w:val="24"/>
          <w:szCs w:val="24"/>
        </w:rPr>
        <w:t>.</w:t>
      </w:r>
    </w:p>
    <w:p w14:paraId="2DA3086F" w14:textId="77777777" w:rsidR="00CC1BB4" w:rsidRPr="001B05BA" w:rsidRDefault="00CC1BB4" w:rsidP="00CC1BB4">
      <w:pPr>
        <w:pStyle w:val="ListParagraph"/>
        <w:rPr>
          <w:rFonts w:ascii="Arial" w:hAnsi="Arial" w:cs="Arial"/>
          <w:sz w:val="24"/>
          <w:szCs w:val="24"/>
        </w:rPr>
      </w:pPr>
    </w:p>
    <w:p w14:paraId="5A211A80" w14:textId="540ABF5A" w:rsidR="00CC1BB4" w:rsidRPr="001B05BA" w:rsidRDefault="001A2434" w:rsidP="001A2434">
      <w:pPr>
        <w:tabs>
          <w:tab w:val="left" w:pos="4917"/>
        </w:tabs>
        <w:spacing w:before="120" w:after="120" w:line="360" w:lineRule="auto"/>
        <w:jc w:val="both"/>
        <w:rPr>
          <w:rFonts w:ascii="Arial" w:hAnsi="Arial" w:cs="Arial"/>
          <w:b/>
          <w:bCs/>
          <w:sz w:val="24"/>
          <w:szCs w:val="24"/>
        </w:rPr>
      </w:pPr>
      <w:r w:rsidRPr="001B05BA">
        <w:rPr>
          <w:rFonts w:ascii="Arial" w:hAnsi="Arial" w:cs="Arial"/>
          <w:b/>
          <w:bCs/>
          <w:sz w:val="24"/>
          <w:szCs w:val="24"/>
        </w:rPr>
        <w:t>Discussion</w:t>
      </w:r>
    </w:p>
    <w:p w14:paraId="32C294FD" w14:textId="77777777" w:rsidR="001A2434" w:rsidRPr="001B05BA" w:rsidRDefault="001A2434" w:rsidP="001A2434">
      <w:pPr>
        <w:pStyle w:val="ListParagraph"/>
        <w:rPr>
          <w:rFonts w:ascii="Arial" w:hAnsi="Arial" w:cs="Arial"/>
          <w:sz w:val="24"/>
          <w:szCs w:val="24"/>
        </w:rPr>
      </w:pPr>
    </w:p>
    <w:p w14:paraId="00B4CA53" w14:textId="2879270A" w:rsidR="001A2434" w:rsidRPr="001B05BA" w:rsidRDefault="001A2434" w:rsidP="001A2434">
      <w:pPr>
        <w:tabs>
          <w:tab w:val="left" w:pos="4917"/>
        </w:tabs>
        <w:spacing w:before="120" w:after="120" w:line="360" w:lineRule="auto"/>
        <w:jc w:val="both"/>
        <w:rPr>
          <w:rFonts w:ascii="Arial" w:hAnsi="Arial" w:cs="Arial"/>
          <w:i/>
          <w:iCs/>
          <w:sz w:val="24"/>
          <w:szCs w:val="24"/>
        </w:rPr>
      </w:pPr>
      <w:r w:rsidRPr="001B05BA">
        <w:rPr>
          <w:rFonts w:ascii="Arial" w:hAnsi="Arial" w:cs="Arial"/>
          <w:i/>
          <w:iCs/>
          <w:sz w:val="24"/>
          <w:szCs w:val="24"/>
        </w:rPr>
        <w:t>Statutory Interpretation</w:t>
      </w:r>
    </w:p>
    <w:p w14:paraId="22119F76" w14:textId="77777777" w:rsidR="001A2434" w:rsidRPr="001B05BA" w:rsidRDefault="001A2434" w:rsidP="001A2434">
      <w:pPr>
        <w:pStyle w:val="ListParagraph"/>
        <w:rPr>
          <w:rFonts w:ascii="Arial" w:hAnsi="Arial" w:cs="Arial"/>
          <w:sz w:val="24"/>
          <w:szCs w:val="24"/>
        </w:rPr>
      </w:pPr>
    </w:p>
    <w:p w14:paraId="7E7EE66A" w14:textId="77777777" w:rsidR="008C160A" w:rsidRPr="001B05BA" w:rsidRDefault="005D6FC2" w:rsidP="008C160A">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1B05BA">
        <w:rPr>
          <w:rFonts w:ascii="Arial" w:hAnsi="Arial" w:cs="Arial"/>
          <w:sz w:val="24"/>
          <w:szCs w:val="24"/>
        </w:rPr>
        <w:t>Having</w:t>
      </w:r>
      <w:r w:rsidR="004427EC" w:rsidRPr="001B05BA">
        <w:rPr>
          <w:rFonts w:ascii="Arial" w:hAnsi="Arial" w:cs="Arial"/>
          <w:sz w:val="24"/>
          <w:szCs w:val="24"/>
        </w:rPr>
        <w:t xml:space="preserve"> considered</w:t>
      </w:r>
      <w:r w:rsidRPr="001B05BA">
        <w:rPr>
          <w:rFonts w:ascii="Arial" w:hAnsi="Arial" w:cs="Arial"/>
          <w:sz w:val="24"/>
          <w:szCs w:val="24"/>
        </w:rPr>
        <w:t xml:space="preserve">, amongst others, </w:t>
      </w:r>
      <w:r w:rsidR="00B33355" w:rsidRPr="001B05BA">
        <w:rPr>
          <w:rFonts w:ascii="Arial" w:hAnsi="Arial" w:cs="Arial"/>
          <w:i/>
          <w:iCs/>
          <w:sz w:val="24"/>
          <w:szCs w:val="24"/>
        </w:rPr>
        <w:t>KPMG Chartered Accountants (SA) v Securefin Ltd and Another</w:t>
      </w:r>
      <w:r w:rsidR="00C326EC" w:rsidRPr="001B05BA">
        <w:rPr>
          <w:rFonts w:ascii="Arial" w:hAnsi="Arial" w:cs="Arial"/>
          <w:sz w:val="24"/>
          <w:szCs w:val="24"/>
        </w:rPr>
        <w:t>,</w:t>
      </w:r>
      <w:r w:rsidR="00C326EC" w:rsidRPr="001B05BA">
        <w:rPr>
          <w:rStyle w:val="FootnoteReference"/>
          <w:rFonts w:ascii="Arial" w:hAnsi="Arial" w:cs="Arial"/>
          <w:sz w:val="24"/>
          <w:szCs w:val="24"/>
        </w:rPr>
        <w:footnoteReference w:id="28"/>
      </w:r>
      <w:r w:rsidR="00C326EC" w:rsidRPr="001B05BA">
        <w:rPr>
          <w:rFonts w:ascii="Arial" w:hAnsi="Arial" w:cs="Arial"/>
          <w:sz w:val="24"/>
          <w:szCs w:val="24"/>
        </w:rPr>
        <w:t xml:space="preserve"> </w:t>
      </w:r>
      <w:r w:rsidR="00364355" w:rsidRPr="001B05BA">
        <w:rPr>
          <w:rFonts w:ascii="Arial" w:hAnsi="Arial" w:cs="Arial"/>
          <w:sz w:val="24"/>
          <w:szCs w:val="24"/>
        </w:rPr>
        <w:t xml:space="preserve">and </w:t>
      </w:r>
      <w:r w:rsidR="0024706A" w:rsidRPr="001B05BA">
        <w:rPr>
          <w:rFonts w:ascii="Arial" w:hAnsi="Arial" w:cs="Arial"/>
          <w:i/>
          <w:iCs/>
          <w:sz w:val="24"/>
          <w:szCs w:val="24"/>
        </w:rPr>
        <w:t>Natal Joint Municipal Pension Fund v Endumeni Municipality</w:t>
      </w:r>
      <w:r w:rsidR="00685EA1" w:rsidRPr="001B05BA">
        <w:rPr>
          <w:rFonts w:ascii="Arial" w:hAnsi="Arial" w:cs="Arial"/>
          <w:sz w:val="24"/>
          <w:szCs w:val="24"/>
        </w:rPr>
        <w:t>,</w:t>
      </w:r>
      <w:r w:rsidR="006072A9" w:rsidRPr="001B05BA">
        <w:rPr>
          <w:rStyle w:val="FootnoteReference"/>
          <w:rFonts w:ascii="Arial" w:hAnsi="Arial" w:cs="Arial"/>
          <w:sz w:val="24"/>
          <w:szCs w:val="24"/>
        </w:rPr>
        <w:footnoteReference w:id="29"/>
      </w:r>
      <w:r w:rsidR="004427EC" w:rsidRPr="001B05BA">
        <w:rPr>
          <w:rFonts w:ascii="Arial" w:hAnsi="Arial" w:cs="Arial"/>
          <w:sz w:val="24"/>
          <w:szCs w:val="24"/>
        </w:rPr>
        <w:t xml:space="preserve"> Lewis JA held in </w:t>
      </w:r>
      <w:r w:rsidR="00ED2144" w:rsidRPr="001B05BA">
        <w:rPr>
          <w:rFonts w:ascii="Arial" w:hAnsi="Arial" w:cs="Arial"/>
          <w:i/>
          <w:iCs/>
          <w:sz w:val="24"/>
          <w:szCs w:val="24"/>
        </w:rPr>
        <w:t>Novartis v Maphil</w:t>
      </w:r>
      <w:r w:rsidR="008C160A" w:rsidRPr="001B05BA">
        <w:rPr>
          <w:rFonts w:ascii="Arial" w:hAnsi="Arial" w:cs="Arial"/>
          <w:i/>
          <w:iCs/>
          <w:sz w:val="24"/>
          <w:szCs w:val="24"/>
        </w:rPr>
        <w:t>:</w:t>
      </w:r>
      <w:r w:rsidR="0037247F" w:rsidRPr="001B05BA">
        <w:rPr>
          <w:rStyle w:val="FootnoteReference"/>
          <w:rFonts w:ascii="Arial" w:hAnsi="Arial" w:cs="Arial"/>
          <w:sz w:val="24"/>
          <w:szCs w:val="24"/>
        </w:rPr>
        <w:footnoteReference w:id="30"/>
      </w:r>
    </w:p>
    <w:p w14:paraId="31B4BCD5" w14:textId="77777777" w:rsidR="000E0372" w:rsidRPr="001B05BA" w:rsidRDefault="000E0372" w:rsidP="0071518F">
      <w:pPr>
        <w:pStyle w:val="ListParagraph"/>
        <w:tabs>
          <w:tab w:val="left" w:pos="4917"/>
        </w:tabs>
        <w:spacing w:before="120" w:after="120" w:line="360" w:lineRule="auto"/>
        <w:ind w:left="1008" w:right="1008"/>
        <w:jc w:val="both"/>
        <w:rPr>
          <w:rFonts w:ascii="Arial" w:hAnsi="Arial" w:cs="Arial"/>
          <w:sz w:val="24"/>
          <w:szCs w:val="24"/>
        </w:rPr>
      </w:pPr>
    </w:p>
    <w:p w14:paraId="6942DBC3" w14:textId="4A802914" w:rsidR="001A2434" w:rsidRPr="001B05BA" w:rsidRDefault="008C160A" w:rsidP="0071518F">
      <w:pPr>
        <w:pStyle w:val="ListParagraph"/>
        <w:tabs>
          <w:tab w:val="left" w:pos="4917"/>
        </w:tabs>
        <w:spacing w:before="120" w:after="120" w:line="360" w:lineRule="auto"/>
        <w:ind w:left="1008" w:right="1008"/>
        <w:jc w:val="both"/>
        <w:rPr>
          <w:rFonts w:ascii="Arial" w:hAnsi="Arial" w:cs="Arial"/>
          <w:sz w:val="24"/>
          <w:szCs w:val="24"/>
        </w:rPr>
      </w:pPr>
      <w:r w:rsidRPr="001B05BA">
        <w:rPr>
          <w:rFonts w:ascii="Arial" w:hAnsi="Arial" w:cs="Arial"/>
          <w:sz w:val="24"/>
          <w:szCs w:val="24"/>
        </w:rPr>
        <w:t>‘</w:t>
      </w:r>
      <w:r w:rsidR="007D31EC" w:rsidRPr="001B05BA">
        <w:rPr>
          <w:rFonts w:ascii="Arial" w:hAnsi="Arial" w:cs="Arial"/>
          <w:sz w:val="24"/>
          <w:szCs w:val="24"/>
          <w:lang w:val="en-US"/>
        </w:rPr>
        <w:t xml:space="preserve">I do not understand these judgments to mean that interpretation is a process that takes into account only the objective meaning of the words </w:t>
      </w:r>
      <w:r w:rsidR="001424AA" w:rsidRPr="001B05BA">
        <w:rPr>
          <w:rFonts w:ascii="Arial" w:hAnsi="Arial" w:cs="Arial"/>
          <w:sz w:val="24"/>
          <w:szCs w:val="24"/>
          <w:lang w:val="en-US"/>
        </w:rPr>
        <w:t>(i</w:t>
      </w:r>
      <w:r w:rsidR="007D31EC" w:rsidRPr="001B05BA">
        <w:rPr>
          <w:rFonts w:ascii="Arial" w:hAnsi="Arial" w:cs="Arial"/>
          <w:sz w:val="24"/>
          <w:szCs w:val="24"/>
          <w:lang w:val="en-US"/>
        </w:rPr>
        <w:t>f that is ascertainable</w:t>
      </w:r>
      <w:r w:rsidR="001424AA" w:rsidRPr="001B05BA">
        <w:rPr>
          <w:rFonts w:ascii="Arial" w:hAnsi="Arial" w:cs="Arial"/>
          <w:sz w:val="24"/>
          <w:szCs w:val="24"/>
          <w:lang w:val="en-US"/>
        </w:rPr>
        <w:t>)</w:t>
      </w:r>
      <w:r w:rsidR="00E06A9A" w:rsidRPr="001B05BA">
        <w:rPr>
          <w:rFonts w:ascii="Arial" w:hAnsi="Arial" w:cs="Arial"/>
          <w:sz w:val="24"/>
          <w:szCs w:val="24"/>
          <w:lang w:val="en-US"/>
        </w:rPr>
        <w:t>,</w:t>
      </w:r>
      <w:r w:rsidR="007D31EC" w:rsidRPr="001B05BA">
        <w:rPr>
          <w:rFonts w:ascii="Arial" w:hAnsi="Arial" w:cs="Arial"/>
          <w:sz w:val="24"/>
          <w:szCs w:val="24"/>
          <w:lang w:val="en-US"/>
        </w:rPr>
        <w:t xml:space="preserve"> and does not have regard to the contract as a whole or the circumstances in which it was entered into</w:t>
      </w:r>
      <w:r w:rsidR="00C0697E" w:rsidRPr="001B05BA">
        <w:rPr>
          <w:rFonts w:ascii="Arial" w:hAnsi="Arial" w:cs="Arial"/>
          <w:sz w:val="24"/>
          <w:szCs w:val="24"/>
          <w:lang w:val="en-US"/>
        </w:rPr>
        <w:t>. This court has consistently held, for many decades, that the interpretation process is one of ascertaining the intention of the parties</w:t>
      </w:r>
      <w:r w:rsidR="0071518F" w:rsidRPr="001B05BA">
        <w:rPr>
          <w:rFonts w:ascii="Arial" w:hAnsi="Arial" w:cs="Arial"/>
          <w:sz w:val="24"/>
          <w:szCs w:val="24"/>
          <w:lang w:val="en-US"/>
        </w:rPr>
        <w:t xml:space="preserve"> </w:t>
      </w:r>
      <w:r w:rsidR="00C0697E" w:rsidRPr="001B05BA">
        <w:rPr>
          <w:rFonts w:ascii="Arial" w:hAnsi="Arial" w:cs="Arial"/>
          <w:sz w:val="24"/>
          <w:szCs w:val="24"/>
          <w:lang w:val="en-US"/>
        </w:rPr>
        <w:t>-</w:t>
      </w:r>
      <w:r w:rsidR="0071518F" w:rsidRPr="001B05BA">
        <w:rPr>
          <w:rFonts w:ascii="Arial" w:hAnsi="Arial" w:cs="Arial"/>
          <w:sz w:val="24"/>
          <w:szCs w:val="24"/>
          <w:lang w:val="en-US"/>
        </w:rPr>
        <w:t xml:space="preserve"> </w:t>
      </w:r>
      <w:r w:rsidR="00C0697E" w:rsidRPr="001B05BA">
        <w:rPr>
          <w:rFonts w:ascii="Arial" w:hAnsi="Arial" w:cs="Arial"/>
          <w:sz w:val="24"/>
          <w:szCs w:val="24"/>
          <w:lang w:val="en-US"/>
        </w:rPr>
        <w:t>what they meant to achieve. And in doing that, the court must consider all the circumstances surrounding the contract to determine what their intention was in concluding it.</w:t>
      </w:r>
      <w:r w:rsidR="001424AA" w:rsidRPr="001B05BA">
        <w:rPr>
          <w:rFonts w:ascii="Arial" w:hAnsi="Arial" w:cs="Arial"/>
          <w:sz w:val="24"/>
          <w:szCs w:val="24"/>
          <w:lang w:val="en-US"/>
        </w:rPr>
        <w:t>’</w:t>
      </w:r>
      <w:r w:rsidR="00F14959" w:rsidRPr="001B05BA">
        <w:rPr>
          <w:rFonts w:ascii="Arial" w:hAnsi="Arial" w:cs="Arial"/>
          <w:i/>
          <w:iCs/>
          <w:sz w:val="24"/>
          <w:szCs w:val="24"/>
        </w:rPr>
        <w:t xml:space="preserve"> </w:t>
      </w:r>
    </w:p>
    <w:p w14:paraId="33F6D282" w14:textId="77777777" w:rsidR="001A2434" w:rsidRPr="001B05BA" w:rsidRDefault="001A2434" w:rsidP="001A2434">
      <w:pPr>
        <w:pStyle w:val="ListParagraph"/>
        <w:rPr>
          <w:rFonts w:ascii="Arial" w:hAnsi="Arial" w:cs="Arial"/>
          <w:sz w:val="24"/>
          <w:szCs w:val="24"/>
        </w:rPr>
      </w:pPr>
    </w:p>
    <w:p w14:paraId="59C5E465" w14:textId="7A734A53" w:rsidR="001A2434" w:rsidRPr="001B05BA" w:rsidRDefault="00515FEB" w:rsidP="00CC1BB4">
      <w:pPr>
        <w:pStyle w:val="ListParagraph"/>
        <w:numPr>
          <w:ilvl w:val="0"/>
          <w:numId w:val="2"/>
        </w:numPr>
        <w:tabs>
          <w:tab w:val="left" w:pos="4917"/>
        </w:tabs>
        <w:spacing w:before="120" w:after="120" w:line="360" w:lineRule="auto"/>
        <w:ind w:hanging="720"/>
        <w:jc w:val="both"/>
        <w:rPr>
          <w:rFonts w:ascii="Arial" w:hAnsi="Arial" w:cs="Arial"/>
          <w:sz w:val="24"/>
          <w:szCs w:val="24"/>
        </w:rPr>
      </w:pPr>
      <w:bookmarkStart w:id="5" w:name="_Ref137758549"/>
      <w:r w:rsidRPr="001B05BA">
        <w:rPr>
          <w:rFonts w:ascii="Arial" w:hAnsi="Arial" w:cs="Arial"/>
          <w:sz w:val="24"/>
          <w:szCs w:val="24"/>
          <w:lang w:val="en-US"/>
        </w:rPr>
        <w:t>The relevance</w:t>
      </w:r>
      <w:r w:rsidR="009857E0" w:rsidRPr="001B05BA">
        <w:rPr>
          <w:rFonts w:ascii="Arial" w:hAnsi="Arial" w:cs="Arial"/>
          <w:sz w:val="24"/>
          <w:szCs w:val="24"/>
          <w:lang w:val="en-US"/>
        </w:rPr>
        <w:t xml:space="preserve"> of Lewis JA’s reasoning in </w:t>
      </w:r>
      <w:r w:rsidR="009857E0" w:rsidRPr="001B05BA">
        <w:rPr>
          <w:rFonts w:ascii="Arial" w:hAnsi="Arial" w:cs="Arial"/>
          <w:i/>
          <w:iCs/>
          <w:sz w:val="24"/>
          <w:szCs w:val="24"/>
          <w:lang w:val="en-US"/>
        </w:rPr>
        <w:t>Novartis</w:t>
      </w:r>
      <w:r w:rsidR="009F0427" w:rsidRPr="001B05BA">
        <w:rPr>
          <w:rFonts w:ascii="Arial" w:hAnsi="Arial" w:cs="Arial"/>
          <w:sz w:val="24"/>
          <w:szCs w:val="24"/>
          <w:lang w:val="en-US"/>
        </w:rPr>
        <w:t xml:space="preserve">, for this matter, is that </w:t>
      </w:r>
      <w:r w:rsidR="009D58FC" w:rsidRPr="001B05BA">
        <w:rPr>
          <w:rFonts w:ascii="Arial" w:hAnsi="Arial" w:cs="Arial"/>
          <w:sz w:val="24"/>
          <w:szCs w:val="24"/>
          <w:lang w:val="en-US"/>
        </w:rPr>
        <w:t xml:space="preserve">it evinces that </w:t>
      </w:r>
      <w:r w:rsidR="009F0427" w:rsidRPr="001B05BA">
        <w:rPr>
          <w:rFonts w:ascii="Arial" w:hAnsi="Arial" w:cs="Arial"/>
          <w:sz w:val="24"/>
          <w:szCs w:val="24"/>
          <w:lang w:val="en-US"/>
        </w:rPr>
        <w:t xml:space="preserve">the interpretative </w:t>
      </w:r>
      <w:r w:rsidR="00E355DB" w:rsidRPr="001B05BA">
        <w:rPr>
          <w:rFonts w:ascii="Arial" w:hAnsi="Arial" w:cs="Arial"/>
          <w:sz w:val="24"/>
          <w:szCs w:val="24"/>
          <w:lang w:val="en-US"/>
        </w:rPr>
        <w:t>process</w:t>
      </w:r>
      <w:r w:rsidR="000728A2" w:rsidRPr="001B05BA">
        <w:rPr>
          <w:rFonts w:ascii="Arial" w:hAnsi="Arial" w:cs="Arial"/>
          <w:sz w:val="24"/>
          <w:szCs w:val="24"/>
          <w:lang w:val="en-US"/>
        </w:rPr>
        <w:t xml:space="preserve"> require</w:t>
      </w:r>
      <w:r w:rsidR="00DB5A5D" w:rsidRPr="001B05BA">
        <w:rPr>
          <w:rFonts w:ascii="Arial" w:hAnsi="Arial" w:cs="Arial"/>
          <w:sz w:val="24"/>
          <w:szCs w:val="24"/>
          <w:lang w:val="en-US"/>
        </w:rPr>
        <w:t>s more</w:t>
      </w:r>
      <w:r w:rsidR="000728A2" w:rsidRPr="001B05BA">
        <w:rPr>
          <w:rFonts w:ascii="Arial" w:hAnsi="Arial" w:cs="Arial"/>
          <w:sz w:val="24"/>
          <w:szCs w:val="24"/>
          <w:lang w:val="en-US"/>
        </w:rPr>
        <w:t xml:space="preserve"> of a court t</w:t>
      </w:r>
      <w:r w:rsidR="00683A84" w:rsidRPr="001B05BA">
        <w:rPr>
          <w:rFonts w:ascii="Arial" w:hAnsi="Arial" w:cs="Arial"/>
          <w:sz w:val="24"/>
          <w:szCs w:val="24"/>
          <w:lang w:val="en-US"/>
        </w:rPr>
        <w:t>han t</w:t>
      </w:r>
      <w:r w:rsidR="000728A2" w:rsidRPr="001B05BA">
        <w:rPr>
          <w:rFonts w:ascii="Arial" w:hAnsi="Arial" w:cs="Arial"/>
          <w:sz w:val="24"/>
          <w:szCs w:val="24"/>
          <w:lang w:val="en-US"/>
        </w:rPr>
        <w:t xml:space="preserve">o </w:t>
      </w:r>
      <w:r w:rsidR="00B52529" w:rsidRPr="001B05BA">
        <w:rPr>
          <w:rFonts w:ascii="Arial" w:hAnsi="Arial" w:cs="Arial"/>
          <w:sz w:val="24"/>
          <w:szCs w:val="24"/>
          <w:lang w:val="en-US"/>
        </w:rPr>
        <w:t>consider</w:t>
      </w:r>
      <w:r w:rsidR="000728A2" w:rsidRPr="001B05BA">
        <w:rPr>
          <w:rFonts w:ascii="Arial" w:hAnsi="Arial" w:cs="Arial"/>
          <w:sz w:val="24"/>
          <w:szCs w:val="24"/>
          <w:lang w:val="en-US"/>
        </w:rPr>
        <w:t xml:space="preserve"> only the objective meaning of words</w:t>
      </w:r>
      <w:r w:rsidR="00455494" w:rsidRPr="001B05BA">
        <w:rPr>
          <w:rFonts w:ascii="Arial" w:hAnsi="Arial" w:cs="Arial"/>
          <w:sz w:val="24"/>
          <w:szCs w:val="24"/>
          <w:lang w:val="en-US"/>
        </w:rPr>
        <w:t xml:space="preserve">. </w:t>
      </w:r>
      <w:r w:rsidR="001567F0" w:rsidRPr="001B05BA">
        <w:rPr>
          <w:rFonts w:ascii="Arial" w:hAnsi="Arial" w:cs="Arial"/>
          <w:sz w:val="24"/>
          <w:szCs w:val="24"/>
          <w:lang w:val="en-US"/>
        </w:rPr>
        <w:t xml:space="preserve">This view was recently </w:t>
      </w:r>
      <w:r w:rsidR="008D0CFA" w:rsidRPr="001B05BA">
        <w:rPr>
          <w:rFonts w:ascii="Arial" w:hAnsi="Arial" w:cs="Arial"/>
          <w:sz w:val="24"/>
          <w:szCs w:val="24"/>
          <w:lang w:val="en-US"/>
        </w:rPr>
        <w:t xml:space="preserve">again </w:t>
      </w:r>
      <w:r w:rsidR="001567F0" w:rsidRPr="001B05BA">
        <w:rPr>
          <w:rFonts w:ascii="Arial" w:hAnsi="Arial" w:cs="Arial"/>
          <w:sz w:val="24"/>
          <w:szCs w:val="24"/>
          <w:lang w:val="en-US"/>
        </w:rPr>
        <w:t xml:space="preserve">endorsed by the Supreme Court of </w:t>
      </w:r>
      <w:r w:rsidR="00EA6034" w:rsidRPr="001B05BA">
        <w:rPr>
          <w:rFonts w:ascii="Arial" w:hAnsi="Arial" w:cs="Arial"/>
          <w:sz w:val="24"/>
          <w:szCs w:val="24"/>
          <w:lang w:val="en-US"/>
        </w:rPr>
        <w:t>A</w:t>
      </w:r>
      <w:r w:rsidR="001567F0" w:rsidRPr="001B05BA">
        <w:rPr>
          <w:rFonts w:ascii="Arial" w:hAnsi="Arial" w:cs="Arial"/>
          <w:sz w:val="24"/>
          <w:szCs w:val="24"/>
          <w:lang w:val="en-US"/>
        </w:rPr>
        <w:t xml:space="preserve">ppeal </w:t>
      </w:r>
      <w:r w:rsidR="00243032" w:rsidRPr="001B05BA">
        <w:rPr>
          <w:rFonts w:ascii="Arial" w:hAnsi="Arial" w:cs="Arial"/>
          <w:sz w:val="24"/>
          <w:szCs w:val="24"/>
          <w:lang w:val="en-US"/>
        </w:rPr>
        <w:t xml:space="preserve">in </w:t>
      </w:r>
      <w:r w:rsidR="0099656E" w:rsidRPr="001B05BA">
        <w:rPr>
          <w:rFonts w:ascii="Arial" w:hAnsi="Arial" w:cs="Arial"/>
          <w:i/>
          <w:iCs/>
          <w:sz w:val="24"/>
          <w:szCs w:val="24"/>
          <w:lang w:val="en-US"/>
        </w:rPr>
        <w:t xml:space="preserve">South African </w:t>
      </w:r>
      <w:r w:rsidR="002763F0" w:rsidRPr="001B05BA">
        <w:rPr>
          <w:rFonts w:ascii="Arial" w:hAnsi="Arial" w:cs="Arial"/>
          <w:i/>
          <w:iCs/>
          <w:sz w:val="24"/>
          <w:szCs w:val="24"/>
          <w:lang w:val="en-US"/>
        </w:rPr>
        <w:t>N</w:t>
      </w:r>
      <w:r w:rsidR="0099656E" w:rsidRPr="001B05BA">
        <w:rPr>
          <w:rFonts w:ascii="Arial" w:hAnsi="Arial" w:cs="Arial"/>
          <w:i/>
          <w:iCs/>
          <w:sz w:val="24"/>
          <w:szCs w:val="24"/>
          <w:lang w:val="en-US"/>
        </w:rPr>
        <w:t xml:space="preserve">ursing </w:t>
      </w:r>
      <w:r w:rsidR="002763F0" w:rsidRPr="001B05BA">
        <w:rPr>
          <w:rFonts w:ascii="Arial" w:hAnsi="Arial" w:cs="Arial"/>
          <w:i/>
          <w:iCs/>
          <w:sz w:val="24"/>
          <w:szCs w:val="24"/>
          <w:lang w:val="en-US"/>
        </w:rPr>
        <w:t>C</w:t>
      </w:r>
      <w:r w:rsidR="0099656E" w:rsidRPr="001B05BA">
        <w:rPr>
          <w:rFonts w:ascii="Arial" w:hAnsi="Arial" w:cs="Arial"/>
          <w:i/>
          <w:iCs/>
          <w:sz w:val="24"/>
          <w:szCs w:val="24"/>
          <w:lang w:val="en-US"/>
        </w:rPr>
        <w:t xml:space="preserve">ouncil </w:t>
      </w:r>
      <w:r w:rsidR="002763F0" w:rsidRPr="001B05BA">
        <w:rPr>
          <w:rFonts w:ascii="Arial" w:hAnsi="Arial" w:cs="Arial"/>
          <w:i/>
          <w:iCs/>
          <w:sz w:val="24"/>
          <w:szCs w:val="24"/>
          <w:lang w:val="en-US"/>
        </w:rPr>
        <w:t>v</w:t>
      </w:r>
      <w:r w:rsidR="0099656E" w:rsidRPr="001B05BA">
        <w:rPr>
          <w:rFonts w:ascii="Arial" w:hAnsi="Arial" w:cs="Arial"/>
          <w:i/>
          <w:iCs/>
          <w:sz w:val="24"/>
          <w:szCs w:val="24"/>
          <w:lang w:val="en-US"/>
        </w:rPr>
        <w:t xml:space="preserve"> </w:t>
      </w:r>
      <w:r w:rsidR="002763F0" w:rsidRPr="001B05BA">
        <w:rPr>
          <w:rFonts w:ascii="Arial" w:hAnsi="Arial" w:cs="Arial"/>
          <w:i/>
          <w:iCs/>
          <w:sz w:val="24"/>
          <w:szCs w:val="24"/>
          <w:lang w:val="en-US"/>
        </w:rPr>
        <w:t>Khanyisa</w:t>
      </w:r>
      <w:r w:rsidR="0099656E" w:rsidRPr="001B05BA">
        <w:rPr>
          <w:rFonts w:ascii="Arial" w:hAnsi="Arial" w:cs="Arial"/>
          <w:i/>
          <w:iCs/>
          <w:sz w:val="24"/>
          <w:szCs w:val="24"/>
          <w:lang w:val="en-US"/>
        </w:rPr>
        <w:t xml:space="preserve"> </w:t>
      </w:r>
      <w:r w:rsidR="002763F0" w:rsidRPr="001B05BA">
        <w:rPr>
          <w:rFonts w:ascii="Arial" w:hAnsi="Arial" w:cs="Arial"/>
          <w:i/>
          <w:iCs/>
          <w:sz w:val="24"/>
          <w:szCs w:val="24"/>
          <w:lang w:val="en-US"/>
        </w:rPr>
        <w:t>N</w:t>
      </w:r>
      <w:r w:rsidR="0099656E" w:rsidRPr="001B05BA">
        <w:rPr>
          <w:rFonts w:ascii="Arial" w:hAnsi="Arial" w:cs="Arial"/>
          <w:i/>
          <w:iCs/>
          <w:sz w:val="24"/>
          <w:szCs w:val="24"/>
          <w:lang w:val="en-US"/>
        </w:rPr>
        <w:t xml:space="preserve">ursing </w:t>
      </w:r>
      <w:r w:rsidR="002763F0" w:rsidRPr="001B05BA">
        <w:rPr>
          <w:rFonts w:ascii="Arial" w:hAnsi="Arial" w:cs="Arial"/>
          <w:i/>
          <w:iCs/>
          <w:sz w:val="24"/>
          <w:szCs w:val="24"/>
          <w:lang w:val="en-US"/>
        </w:rPr>
        <w:t>S</w:t>
      </w:r>
      <w:r w:rsidR="0099656E" w:rsidRPr="001B05BA">
        <w:rPr>
          <w:rFonts w:ascii="Arial" w:hAnsi="Arial" w:cs="Arial"/>
          <w:i/>
          <w:iCs/>
          <w:sz w:val="24"/>
          <w:szCs w:val="24"/>
          <w:lang w:val="en-US"/>
        </w:rPr>
        <w:t xml:space="preserve">chool </w:t>
      </w:r>
      <w:r w:rsidR="002763F0" w:rsidRPr="001B05BA">
        <w:rPr>
          <w:rFonts w:ascii="Arial" w:hAnsi="Arial" w:cs="Arial"/>
          <w:i/>
          <w:iCs/>
          <w:sz w:val="24"/>
          <w:szCs w:val="24"/>
          <w:lang w:val="en-US"/>
        </w:rPr>
        <w:t>(Pty)</w:t>
      </w:r>
      <w:r w:rsidR="0099656E" w:rsidRPr="001B05BA">
        <w:rPr>
          <w:rFonts w:ascii="Arial" w:hAnsi="Arial" w:cs="Arial"/>
          <w:i/>
          <w:iCs/>
          <w:sz w:val="24"/>
          <w:szCs w:val="24"/>
          <w:lang w:val="en-US"/>
        </w:rPr>
        <w:t xml:space="preserve"> Ltd and </w:t>
      </w:r>
      <w:r w:rsidR="002763F0" w:rsidRPr="001B05BA">
        <w:rPr>
          <w:rFonts w:ascii="Arial" w:hAnsi="Arial" w:cs="Arial"/>
          <w:i/>
          <w:iCs/>
          <w:sz w:val="24"/>
          <w:szCs w:val="24"/>
          <w:lang w:val="en-US"/>
        </w:rPr>
        <w:t>A</w:t>
      </w:r>
      <w:r w:rsidR="0099656E" w:rsidRPr="001B05BA">
        <w:rPr>
          <w:rFonts w:ascii="Arial" w:hAnsi="Arial" w:cs="Arial"/>
          <w:i/>
          <w:iCs/>
          <w:sz w:val="24"/>
          <w:szCs w:val="24"/>
          <w:lang w:val="en-US"/>
        </w:rPr>
        <w:t>nother</w:t>
      </w:r>
      <w:r w:rsidR="00207C5F" w:rsidRPr="001B05BA">
        <w:rPr>
          <w:rFonts w:ascii="Arial" w:hAnsi="Arial" w:cs="Arial"/>
          <w:sz w:val="24"/>
          <w:szCs w:val="24"/>
          <w:lang w:val="en-US"/>
        </w:rPr>
        <w:t>.</w:t>
      </w:r>
      <w:r w:rsidR="00F102D2" w:rsidRPr="001B05BA">
        <w:rPr>
          <w:rStyle w:val="FootnoteReference"/>
          <w:rFonts w:ascii="Arial" w:hAnsi="Arial" w:cs="Arial"/>
          <w:sz w:val="24"/>
          <w:szCs w:val="24"/>
          <w:lang w:val="en-US"/>
        </w:rPr>
        <w:footnoteReference w:id="31"/>
      </w:r>
      <w:r w:rsidR="00207C5F" w:rsidRPr="001B05BA">
        <w:rPr>
          <w:rFonts w:ascii="Arial" w:hAnsi="Arial" w:cs="Arial"/>
          <w:sz w:val="24"/>
          <w:szCs w:val="24"/>
          <w:lang w:val="en-US"/>
        </w:rPr>
        <w:t xml:space="preserve"> </w:t>
      </w:r>
      <w:r w:rsidR="00550DBA" w:rsidRPr="001B05BA">
        <w:rPr>
          <w:rFonts w:ascii="Arial" w:hAnsi="Arial" w:cs="Arial"/>
          <w:sz w:val="24"/>
          <w:szCs w:val="24"/>
          <w:lang w:val="en-US"/>
        </w:rPr>
        <w:t>In</w:t>
      </w:r>
      <w:r w:rsidR="0025013F" w:rsidRPr="001B05BA">
        <w:rPr>
          <w:rFonts w:ascii="Arial" w:hAnsi="Arial" w:cs="Arial"/>
          <w:sz w:val="24"/>
          <w:szCs w:val="24"/>
          <w:lang w:val="en-US"/>
        </w:rPr>
        <w:t xml:space="preserve"> this case</w:t>
      </w:r>
      <w:r w:rsidR="00550DBA" w:rsidRPr="001B05BA">
        <w:rPr>
          <w:rFonts w:ascii="Arial" w:hAnsi="Arial" w:cs="Arial"/>
          <w:sz w:val="24"/>
          <w:szCs w:val="24"/>
          <w:lang w:val="en-US"/>
        </w:rPr>
        <w:t>,</w:t>
      </w:r>
      <w:r w:rsidR="0025013F" w:rsidRPr="001B05BA">
        <w:rPr>
          <w:rFonts w:ascii="Arial" w:hAnsi="Arial" w:cs="Arial"/>
          <w:sz w:val="24"/>
          <w:szCs w:val="24"/>
          <w:lang w:val="en-US"/>
        </w:rPr>
        <w:t xml:space="preserve"> the court reiterated that interpretation is a unitary exercise that takes account of text, </w:t>
      </w:r>
      <w:r w:rsidR="00550DBA" w:rsidRPr="001B05BA">
        <w:rPr>
          <w:rFonts w:ascii="Arial" w:hAnsi="Arial" w:cs="Arial"/>
          <w:sz w:val="24"/>
          <w:szCs w:val="24"/>
          <w:lang w:val="en-US"/>
        </w:rPr>
        <w:t>context,</w:t>
      </w:r>
      <w:r w:rsidR="0025013F" w:rsidRPr="001B05BA">
        <w:rPr>
          <w:rFonts w:ascii="Arial" w:hAnsi="Arial" w:cs="Arial"/>
          <w:sz w:val="24"/>
          <w:szCs w:val="24"/>
          <w:lang w:val="en-US"/>
        </w:rPr>
        <w:t xml:space="preserve"> and purpose.</w:t>
      </w:r>
      <w:r w:rsidR="00541B3D" w:rsidRPr="001B05BA">
        <w:rPr>
          <w:rFonts w:ascii="Arial" w:hAnsi="Arial" w:cs="Arial"/>
          <w:sz w:val="24"/>
          <w:szCs w:val="24"/>
          <w:lang w:val="en-US"/>
        </w:rPr>
        <w:t xml:space="preserve"> The court held that there is no straightforward attribution of a dictionary meaning of a word as the word</w:t>
      </w:r>
      <w:r w:rsidR="00A11377" w:rsidRPr="001B05BA">
        <w:rPr>
          <w:rFonts w:ascii="Arial" w:hAnsi="Arial" w:cs="Arial"/>
          <w:sz w:val="24"/>
          <w:szCs w:val="24"/>
          <w:lang w:val="en-US"/>
        </w:rPr>
        <w:t>’</w:t>
      </w:r>
      <w:r w:rsidR="00541B3D" w:rsidRPr="001B05BA">
        <w:rPr>
          <w:rFonts w:ascii="Arial" w:hAnsi="Arial" w:cs="Arial"/>
          <w:sz w:val="24"/>
          <w:szCs w:val="24"/>
          <w:lang w:val="en-US"/>
        </w:rPr>
        <w:t xml:space="preserve">s ordinary meaning </w:t>
      </w:r>
      <w:r w:rsidR="00550DBA" w:rsidRPr="001B05BA">
        <w:rPr>
          <w:rFonts w:ascii="Arial" w:hAnsi="Arial" w:cs="Arial"/>
          <w:sz w:val="24"/>
          <w:szCs w:val="24"/>
          <w:lang w:val="en-US"/>
        </w:rPr>
        <w:t>to</w:t>
      </w:r>
      <w:r w:rsidR="00541B3D" w:rsidRPr="001B05BA">
        <w:rPr>
          <w:rFonts w:ascii="Arial" w:hAnsi="Arial" w:cs="Arial"/>
          <w:sz w:val="24"/>
          <w:szCs w:val="24"/>
          <w:lang w:val="en-US"/>
        </w:rPr>
        <w:t xml:space="preserve"> construe a statute.</w:t>
      </w:r>
      <w:r w:rsidR="00370AFA" w:rsidRPr="001B05BA">
        <w:rPr>
          <w:rStyle w:val="FootnoteReference"/>
          <w:rFonts w:ascii="Arial" w:hAnsi="Arial" w:cs="Arial"/>
          <w:sz w:val="24"/>
          <w:szCs w:val="24"/>
          <w:lang w:val="en-US"/>
        </w:rPr>
        <w:footnoteReference w:id="32"/>
      </w:r>
      <w:r w:rsidR="00550DBA" w:rsidRPr="001B05BA">
        <w:rPr>
          <w:rFonts w:ascii="Arial" w:hAnsi="Arial" w:cs="Arial"/>
          <w:sz w:val="24"/>
          <w:szCs w:val="24"/>
          <w:lang w:val="en-US"/>
        </w:rPr>
        <w:t xml:space="preserve"> </w:t>
      </w:r>
      <w:r w:rsidR="00D4643E" w:rsidRPr="001B05BA">
        <w:rPr>
          <w:rFonts w:ascii="Arial" w:hAnsi="Arial" w:cs="Arial"/>
          <w:sz w:val="24"/>
          <w:szCs w:val="24"/>
          <w:lang w:val="en-US"/>
        </w:rPr>
        <w:t xml:space="preserve">The court observed that to stare blindly at the words used </w:t>
      </w:r>
      <w:r w:rsidR="00231913" w:rsidRPr="001B05BA">
        <w:rPr>
          <w:rFonts w:ascii="Arial" w:hAnsi="Arial" w:cs="Arial"/>
          <w:sz w:val="24"/>
          <w:szCs w:val="24"/>
          <w:lang w:val="en-US"/>
        </w:rPr>
        <w:t xml:space="preserve">in a statutory provision </w:t>
      </w:r>
      <w:r w:rsidR="00D4643E" w:rsidRPr="001B05BA">
        <w:rPr>
          <w:rFonts w:ascii="Arial" w:hAnsi="Arial" w:cs="Arial"/>
          <w:sz w:val="24"/>
          <w:szCs w:val="24"/>
          <w:lang w:val="en-US"/>
        </w:rPr>
        <w:t>seldom suffices to yield their meaning</w:t>
      </w:r>
      <w:r w:rsidR="00231913" w:rsidRPr="001B05BA">
        <w:rPr>
          <w:rFonts w:ascii="Arial" w:hAnsi="Arial" w:cs="Arial"/>
          <w:sz w:val="24"/>
          <w:szCs w:val="24"/>
          <w:lang w:val="en-US"/>
        </w:rPr>
        <w:t>.</w:t>
      </w:r>
      <w:bookmarkEnd w:id="5"/>
    </w:p>
    <w:p w14:paraId="510E96A1" w14:textId="77777777" w:rsidR="001A2434" w:rsidRPr="001B05BA" w:rsidRDefault="001A2434" w:rsidP="001A2434">
      <w:pPr>
        <w:pStyle w:val="ListParagraph"/>
        <w:rPr>
          <w:rFonts w:ascii="Arial" w:hAnsi="Arial" w:cs="Arial"/>
          <w:sz w:val="24"/>
          <w:szCs w:val="24"/>
        </w:rPr>
      </w:pPr>
    </w:p>
    <w:p w14:paraId="3FFAE208" w14:textId="7FE64FB0" w:rsidR="001A2434" w:rsidRPr="001B05BA" w:rsidRDefault="008516E4" w:rsidP="00CC1BB4">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1B05BA">
        <w:rPr>
          <w:rFonts w:ascii="Arial" w:hAnsi="Arial" w:cs="Arial"/>
          <w:sz w:val="24"/>
          <w:szCs w:val="24"/>
          <w:lang w:val="en-US"/>
        </w:rPr>
        <w:t>It goes without saying that the inevitable point of departure</w:t>
      </w:r>
      <w:r w:rsidR="00FB2DC3" w:rsidRPr="001B05BA">
        <w:rPr>
          <w:rFonts w:ascii="Arial" w:hAnsi="Arial" w:cs="Arial"/>
          <w:sz w:val="24"/>
          <w:szCs w:val="24"/>
          <w:lang w:val="en-US"/>
        </w:rPr>
        <w:t xml:space="preserve"> when a statutory provision </w:t>
      </w:r>
      <w:r w:rsidR="00966F74" w:rsidRPr="001B05BA">
        <w:rPr>
          <w:rFonts w:ascii="Arial" w:hAnsi="Arial" w:cs="Arial"/>
          <w:sz w:val="24"/>
          <w:szCs w:val="24"/>
          <w:lang w:val="en-US"/>
        </w:rPr>
        <w:t>stands to be</w:t>
      </w:r>
      <w:r w:rsidR="00FB2DC3" w:rsidRPr="001B05BA">
        <w:rPr>
          <w:rFonts w:ascii="Arial" w:hAnsi="Arial" w:cs="Arial"/>
          <w:sz w:val="24"/>
          <w:szCs w:val="24"/>
          <w:lang w:val="en-US"/>
        </w:rPr>
        <w:t xml:space="preserve"> interpreted,</w:t>
      </w:r>
      <w:r w:rsidRPr="001B05BA">
        <w:rPr>
          <w:rFonts w:ascii="Arial" w:hAnsi="Arial" w:cs="Arial"/>
          <w:sz w:val="24"/>
          <w:szCs w:val="24"/>
          <w:lang w:val="en-US"/>
        </w:rPr>
        <w:t xml:space="preserve"> is the language of the provision itself</w:t>
      </w:r>
      <w:r w:rsidR="005F24D7" w:rsidRPr="001B05BA">
        <w:rPr>
          <w:rFonts w:ascii="Arial" w:hAnsi="Arial" w:cs="Arial"/>
          <w:sz w:val="24"/>
          <w:szCs w:val="24"/>
          <w:lang w:val="en-US"/>
        </w:rPr>
        <w:t>.</w:t>
      </w:r>
      <w:r w:rsidR="005F24D7" w:rsidRPr="001B05BA">
        <w:rPr>
          <w:rStyle w:val="FootnoteReference"/>
          <w:rFonts w:ascii="Arial" w:hAnsi="Arial" w:cs="Arial"/>
          <w:sz w:val="24"/>
          <w:szCs w:val="24"/>
          <w:lang w:val="en-US"/>
        </w:rPr>
        <w:footnoteReference w:id="33"/>
      </w:r>
      <w:r w:rsidR="005F24D7" w:rsidRPr="001B05BA">
        <w:rPr>
          <w:rFonts w:ascii="Arial" w:hAnsi="Arial" w:cs="Arial"/>
          <w:sz w:val="24"/>
          <w:szCs w:val="24"/>
          <w:lang w:val="en-US"/>
        </w:rPr>
        <w:t xml:space="preserve"> </w:t>
      </w:r>
      <w:r w:rsidR="0058039D" w:rsidRPr="001B05BA">
        <w:rPr>
          <w:rFonts w:ascii="Arial" w:hAnsi="Arial" w:cs="Arial"/>
          <w:sz w:val="24"/>
          <w:szCs w:val="24"/>
          <w:lang w:val="en-US"/>
        </w:rPr>
        <w:t xml:space="preserve">The meaning of the written words that fuse into a statutory text </w:t>
      </w:r>
      <w:r w:rsidR="00D80EE8" w:rsidRPr="001B05BA">
        <w:rPr>
          <w:rFonts w:ascii="Arial" w:hAnsi="Arial" w:cs="Arial"/>
          <w:sz w:val="24"/>
          <w:szCs w:val="24"/>
          <w:lang w:val="en-US"/>
        </w:rPr>
        <w:t>can</w:t>
      </w:r>
      <w:r w:rsidR="00E710EA" w:rsidRPr="001B05BA">
        <w:rPr>
          <w:rFonts w:ascii="Arial" w:hAnsi="Arial" w:cs="Arial"/>
          <w:sz w:val="24"/>
          <w:szCs w:val="24"/>
          <w:lang w:val="en-US"/>
        </w:rPr>
        <w:t>, however,</w:t>
      </w:r>
      <w:r w:rsidR="0058039D" w:rsidRPr="001B05BA">
        <w:rPr>
          <w:rFonts w:ascii="Arial" w:hAnsi="Arial" w:cs="Arial"/>
          <w:sz w:val="24"/>
          <w:szCs w:val="24"/>
          <w:lang w:val="en-US"/>
        </w:rPr>
        <w:t xml:space="preserve"> only be understood </w:t>
      </w:r>
      <w:r w:rsidR="00547ED4" w:rsidRPr="001B05BA">
        <w:rPr>
          <w:rFonts w:ascii="Arial" w:hAnsi="Arial" w:cs="Arial"/>
          <w:sz w:val="24"/>
          <w:szCs w:val="24"/>
          <w:lang w:val="en-US"/>
        </w:rPr>
        <w:t>considering</w:t>
      </w:r>
      <w:r w:rsidR="0058039D" w:rsidRPr="001B05BA">
        <w:rPr>
          <w:rFonts w:ascii="Arial" w:hAnsi="Arial" w:cs="Arial"/>
          <w:sz w:val="24"/>
          <w:szCs w:val="24"/>
          <w:lang w:val="en-US"/>
        </w:rPr>
        <w:t xml:space="preserve"> the background, surrounding circumstances</w:t>
      </w:r>
      <w:r w:rsidR="00547ED4" w:rsidRPr="001B05BA">
        <w:rPr>
          <w:rFonts w:ascii="Arial" w:hAnsi="Arial" w:cs="Arial"/>
          <w:sz w:val="24"/>
          <w:szCs w:val="24"/>
          <w:lang w:val="en-US"/>
        </w:rPr>
        <w:t>,</w:t>
      </w:r>
      <w:r w:rsidR="0058039D" w:rsidRPr="001B05BA">
        <w:rPr>
          <w:rFonts w:ascii="Arial" w:hAnsi="Arial" w:cs="Arial"/>
          <w:sz w:val="24"/>
          <w:szCs w:val="24"/>
          <w:lang w:val="en-US"/>
        </w:rPr>
        <w:t xml:space="preserve"> purposes</w:t>
      </w:r>
      <w:r w:rsidR="003A7CE9" w:rsidRPr="001B05BA">
        <w:rPr>
          <w:rFonts w:ascii="Arial" w:hAnsi="Arial" w:cs="Arial"/>
          <w:sz w:val="24"/>
          <w:szCs w:val="24"/>
          <w:lang w:val="en-US"/>
        </w:rPr>
        <w:t>,</w:t>
      </w:r>
      <w:r w:rsidR="0058039D" w:rsidRPr="001B05BA">
        <w:rPr>
          <w:rFonts w:ascii="Arial" w:hAnsi="Arial" w:cs="Arial"/>
          <w:sz w:val="24"/>
          <w:szCs w:val="24"/>
          <w:lang w:val="en-US"/>
        </w:rPr>
        <w:t xml:space="preserve"> and object of that statute.</w:t>
      </w:r>
      <w:r w:rsidR="00FE17DD" w:rsidRPr="001B05BA">
        <w:rPr>
          <w:rFonts w:ascii="Arial" w:hAnsi="Arial" w:cs="Arial"/>
          <w:sz w:val="24"/>
          <w:szCs w:val="24"/>
          <w:lang w:val="en-US"/>
        </w:rPr>
        <w:t xml:space="preserve"> Context and language should therefore be considered together; neither is predominant, but both are elements of a unitary interpretative process.</w:t>
      </w:r>
      <w:r w:rsidR="00394C6C" w:rsidRPr="001B05BA">
        <w:rPr>
          <w:rStyle w:val="FootnoteReference"/>
          <w:rFonts w:ascii="Arial" w:hAnsi="Arial" w:cs="Arial"/>
          <w:sz w:val="24"/>
          <w:szCs w:val="24"/>
          <w:lang w:val="en-US"/>
        </w:rPr>
        <w:footnoteReference w:id="34"/>
      </w:r>
      <w:r w:rsidR="003B49E2" w:rsidRPr="001B05BA">
        <w:rPr>
          <w:rFonts w:ascii="Arial" w:hAnsi="Arial" w:cs="Arial"/>
          <w:sz w:val="24"/>
          <w:szCs w:val="24"/>
          <w:lang w:val="en-US"/>
        </w:rPr>
        <w:t xml:space="preserve"> </w:t>
      </w:r>
      <w:r w:rsidR="005E1216" w:rsidRPr="001B05BA">
        <w:rPr>
          <w:rFonts w:ascii="Arial" w:hAnsi="Arial" w:cs="Arial"/>
          <w:sz w:val="24"/>
          <w:szCs w:val="24"/>
          <w:lang w:val="en-US"/>
        </w:rPr>
        <w:t>I</w:t>
      </w:r>
      <w:r w:rsidR="00FA7118" w:rsidRPr="001B05BA">
        <w:rPr>
          <w:rFonts w:ascii="Arial" w:hAnsi="Arial" w:cs="Arial"/>
          <w:sz w:val="24"/>
          <w:szCs w:val="24"/>
          <w:lang w:val="en-US"/>
        </w:rPr>
        <w:t xml:space="preserve">n the process of interpretation, the interpreter of any provision of </w:t>
      </w:r>
      <w:r w:rsidR="00122DA7" w:rsidRPr="001B05BA">
        <w:rPr>
          <w:rFonts w:ascii="Arial" w:hAnsi="Arial" w:cs="Arial"/>
          <w:sz w:val="24"/>
          <w:szCs w:val="24"/>
          <w:lang w:val="en-US"/>
        </w:rPr>
        <w:t>an</w:t>
      </w:r>
      <w:r w:rsidR="00FA7118" w:rsidRPr="001B05BA">
        <w:rPr>
          <w:rFonts w:ascii="Arial" w:hAnsi="Arial" w:cs="Arial"/>
          <w:sz w:val="24"/>
          <w:szCs w:val="24"/>
          <w:lang w:val="en-US"/>
        </w:rPr>
        <w:t xml:space="preserve"> </w:t>
      </w:r>
      <w:r w:rsidR="00D80EE8" w:rsidRPr="001B05BA">
        <w:rPr>
          <w:rFonts w:ascii="Arial" w:hAnsi="Arial" w:cs="Arial"/>
          <w:sz w:val="24"/>
          <w:szCs w:val="24"/>
          <w:lang w:val="en-US"/>
        </w:rPr>
        <w:t>A</w:t>
      </w:r>
      <w:r w:rsidR="00FA7118" w:rsidRPr="001B05BA">
        <w:rPr>
          <w:rFonts w:ascii="Arial" w:hAnsi="Arial" w:cs="Arial"/>
          <w:sz w:val="24"/>
          <w:szCs w:val="24"/>
          <w:lang w:val="en-US"/>
        </w:rPr>
        <w:t>ct must strive to answer the question</w:t>
      </w:r>
      <w:r w:rsidR="003A7CE9" w:rsidRPr="001B05BA">
        <w:rPr>
          <w:rFonts w:ascii="Arial" w:hAnsi="Arial" w:cs="Arial"/>
          <w:sz w:val="24"/>
          <w:szCs w:val="24"/>
          <w:lang w:val="en-US"/>
        </w:rPr>
        <w:t>,</w:t>
      </w:r>
      <w:r w:rsidR="00331006" w:rsidRPr="001B05BA">
        <w:rPr>
          <w:rFonts w:ascii="Arial" w:hAnsi="Arial" w:cs="Arial"/>
          <w:sz w:val="24"/>
          <w:szCs w:val="24"/>
          <w:lang w:val="en-US"/>
        </w:rPr>
        <w:t xml:space="preserve"> </w:t>
      </w:r>
      <w:r w:rsidR="003A7CE9" w:rsidRPr="001B05BA">
        <w:rPr>
          <w:rFonts w:ascii="Arial" w:hAnsi="Arial" w:cs="Arial"/>
          <w:sz w:val="24"/>
          <w:szCs w:val="24"/>
          <w:lang w:val="en-US"/>
        </w:rPr>
        <w:t>‘</w:t>
      </w:r>
      <w:r w:rsidR="00D80EE8" w:rsidRPr="001B05BA">
        <w:rPr>
          <w:rFonts w:ascii="Arial" w:hAnsi="Arial" w:cs="Arial"/>
          <w:sz w:val="24"/>
          <w:szCs w:val="24"/>
          <w:lang w:val="en-US"/>
        </w:rPr>
        <w:t>I</w:t>
      </w:r>
      <w:r w:rsidR="00331006" w:rsidRPr="001B05BA">
        <w:rPr>
          <w:rFonts w:ascii="Arial" w:hAnsi="Arial" w:cs="Arial"/>
          <w:sz w:val="24"/>
          <w:szCs w:val="24"/>
          <w:lang w:val="en-US"/>
        </w:rPr>
        <w:t>n this statute, in this context, relating to the subject matter, what is the meaning of that word (or provision or phrase</w:t>
      </w:r>
      <w:r w:rsidR="005E1216" w:rsidRPr="001B05BA">
        <w:rPr>
          <w:rFonts w:ascii="Arial" w:hAnsi="Arial" w:cs="Arial"/>
          <w:sz w:val="24"/>
          <w:szCs w:val="24"/>
          <w:lang w:val="en-US"/>
        </w:rPr>
        <w:t>)</w:t>
      </w:r>
      <w:r w:rsidR="00331006" w:rsidRPr="001B05BA">
        <w:rPr>
          <w:rFonts w:ascii="Arial" w:hAnsi="Arial" w:cs="Arial"/>
          <w:sz w:val="24"/>
          <w:szCs w:val="24"/>
          <w:lang w:val="en-US"/>
        </w:rPr>
        <w:t>?</w:t>
      </w:r>
      <w:r w:rsidR="000E7D6F" w:rsidRPr="001B05BA">
        <w:rPr>
          <w:rFonts w:ascii="Arial" w:hAnsi="Arial" w:cs="Arial"/>
          <w:sz w:val="24"/>
          <w:szCs w:val="24"/>
          <w:lang w:val="en-US"/>
        </w:rPr>
        <w:t>’</w:t>
      </w:r>
      <w:r w:rsidR="00D80EE8" w:rsidRPr="001B05BA">
        <w:rPr>
          <w:rStyle w:val="FootnoteReference"/>
          <w:rFonts w:ascii="Arial" w:hAnsi="Arial" w:cs="Arial"/>
          <w:sz w:val="24"/>
          <w:szCs w:val="24"/>
          <w:lang w:val="en-US"/>
        </w:rPr>
        <w:footnoteReference w:id="35"/>
      </w:r>
      <w:r w:rsidR="004226EC" w:rsidRPr="001B05BA">
        <w:rPr>
          <w:rFonts w:ascii="Arial" w:hAnsi="Arial" w:cs="Arial"/>
          <w:sz w:val="24"/>
          <w:szCs w:val="24"/>
          <w:lang w:val="en-US"/>
        </w:rPr>
        <w:t xml:space="preserve"> This approach should be followed even where the words to be construed are clear and unambiguous.</w:t>
      </w:r>
      <w:r w:rsidR="0049492B" w:rsidRPr="001B05BA">
        <w:rPr>
          <w:rStyle w:val="FootnoteReference"/>
          <w:rFonts w:ascii="Arial" w:hAnsi="Arial" w:cs="Arial"/>
          <w:sz w:val="24"/>
          <w:szCs w:val="24"/>
          <w:lang w:val="en-US"/>
        </w:rPr>
        <w:footnoteReference w:id="36"/>
      </w:r>
    </w:p>
    <w:p w14:paraId="3A8661F1" w14:textId="77777777" w:rsidR="001A2434" w:rsidRPr="001B05BA" w:rsidRDefault="001A2434" w:rsidP="001A2434">
      <w:pPr>
        <w:pStyle w:val="ListParagraph"/>
        <w:rPr>
          <w:rFonts w:ascii="Arial" w:hAnsi="Arial" w:cs="Arial"/>
          <w:sz w:val="24"/>
          <w:szCs w:val="24"/>
        </w:rPr>
      </w:pPr>
    </w:p>
    <w:p w14:paraId="3D9F3859" w14:textId="202A3BF6" w:rsidR="001A2434" w:rsidRPr="001B05BA" w:rsidRDefault="0078719B" w:rsidP="00CC1BB4">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1B05BA">
        <w:rPr>
          <w:rFonts w:ascii="Arial" w:hAnsi="Arial" w:cs="Arial"/>
          <w:sz w:val="24"/>
          <w:szCs w:val="24"/>
        </w:rPr>
        <w:t>The interpretative approach</w:t>
      </w:r>
      <w:r w:rsidR="00A60BF6" w:rsidRPr="001B05BA">
        <w:rPr>
          <w:rFonts w:ascii="Arial" w:hAnsi="Arial" w:cs="Arial"/>
          <w:sz w:val="24"/>
          <w:szCs w:val="24"/>
        </w:rPr>
        <w:t>,</w:t>
      </w:r>
      <w:r w:rsidRPr="001B05BA">
        <w:rPr>
          <w:rFonts w:ascii="Arial" w:hAnsi="Arial" w:cs="Arial"/>
          <w:sz w:val="24"/>
          <w:szCs w:val="24"/>
        </w:rPr>
        <w:t xml:space="preserve"> </w:t>
      </w:r>
      <w:r w:rsidR="007C4E94" w:rsidRPr="001B05BA">
        <w:rPr>
          <w:rFonts w:ascii="Arial" w:hAnsi="Arial" w:cs="Arial"/>
          <w:sz w:val="24"/>
          <w:szCs w:val="24"/>
        </w:rPr>
        <w:t xml:space="preserve">as articulated by the apex courts of </w:t>
      </w:r>
      <w:r w:rsidR="004C5099" w:rsidRPr="001B05BA">
        <w:rPr>
          <w:rFonts w:ascii="Arial" w:hAnsi="Arial" w:cs="Arial"/>
          <w:sz w:val="24"/>
          <w:szCs w:val="24"/>
        </w:rPr>
        <w:t xml:space="preserve">our country, put the Commissioner’s contention that </w:t>
      </w:r>
      <w:r w:rsidR="007A00D3" w:rsidRPr="001B05BA">
        <w:rPr>
          <w:rFonts w:ascii="Arial" w:hAnsi="Arial" w:cs="Arial"/>
          <w:sz w:val="24"/>
          <w:szCs w:val="24"/>
        </w:rPr>
        <w:t>the words</w:t>
      </w:r>
      <w:r w:rsidR="00E9470D" w:rsidRPr="001B05BA">
        <w:rPr>
          <w:rFonts w:ascii="Arial" w:hAnsi="Arial" w:cs="Arial"/>
          <w:sz w:val="24"/>
          <w:szCs w:val="24"/>
        </w:rPr>
        <w:t xml:space="preserve"> in issue in this appeal</w:t>
      </w:r>
      <w:r w:rsidR="00A60BF6" w:rsidRPr="001B05BA">
        <w:rPr>
          <w:rFonts w:ascii="Arial" w:hAnsi="Arial" w:cs="Arial"/>
          <w:sz w:val="24"/>
          <w:szCs w:val="24"/>
        </w:rPr>
        <w:t xml:space="preserve">, </w:t>
      </w:r>
      <w:r w:rsidR="00A157AF" w:rsidRPr="001B05BA">
        <w:rPr>
          <w:rFonts w:ascii="Arial" w:hAnsi="Arial" w:cs="Arial"/>
          <w:sz w:val="24"/>
          <w:szCs w:val="24"/>
        </w:rPr>
        <w:t>identified by the Commissioner to be</w:t>
      </w:r>
      <w:r w:rsidR="00C218F0" w:rsidRPr="001B05BA">
        <w:rPr>
          <w:rFonts w:ascii="Arial" w:hAnsi="Arial" w:cs="Arial"/>
          <w:sz w:val="24"/>
          <w:szCs w:val="24"/>
        </w:rPr>
        <w:t xml:space="preserve"> ‘non-alcoholic’ and ‘ingredient’,</w:t>
      </w:r>
      <w:r w:rsidR="00E9470D" w:rsidRPr="001B05BA">
        <w:rPr>
          <w:rFonts w:ascii="Arial" w:hAnsi="Arial" w:cs="Arial"/>
          <w:sz w:val="24"/>
          <w:szCs w:val="24"/>
        </w:rPr>
        <w:t xml:space="preserve"> form part of </w:t>
      </w:r>
      <w:r w:rsidR="00F770E2" w:rsidRPr="001B05BA">
        <w:rPr>
          <w:rFonts w:ascii="Arial" w:hAnsi="Arial" w:cs="Arial"/>
          <w:sz w:val="24"/>
          <w:szCs w:val="24"/>
        </w:rPr>
        <w:t xml:space="preserve">those ‘rare cases </w:t>
      </w:r>
      <w:r w:rsidR="00F770E2" w:rsidRPr="001B05BA">
        <w:rPr>
          <w:rFonts w:ascii="Arial" w:hAnsi="Arial" w:cs="Arial"/>
          <w:sz w:val="24"/>
          <w:szCs w:val="24"/>
        </w:rPr>
        <w:lastRenderedPageBreak/>
        <w:t>where words used in a statute or contract are only capable of bearing a single meaning</w:t>
      </w:r>
      <w:r w:rsidR="00067BE0" w:rsidRPr="001B05BA">
        <w:rPr>
          <w:rFonts w:ascii="Arial" w:hAnsi="Arial" w:cs="Arial"/>
          <w:sz w:val="24"/>
          <w:szCs w:val="24"/>
        </w:rPr>
        <w:t>’</w:t>
      </w:r>
      <w:r w:rsidR="008A315B" w:rsidRPr="001B05BA">
        <w:rPr>
          <w:rFonts w:ascii="Arial" w:hAnsi="Arial" w:cs="Arial"/>
          <w:sz w:val="24"/>
          <w:szCs w:val="24"/>
        </w:rPr>
        <w:t xml:space="preserve">, and ‘as such there is no real need to have regard to any of the factors identified in the </w:t>
      </w:r>
      <w:r w:rsidR="00960E40" w:rsidRPr="001B05BA">
        <w:rPr>
          <w:rFonts w:ascii="Arial" w:hAnsi="Arial" w:cs="Arial"/>
          <w:i/>
          <w:iCs/>
          <w:sz w:val="24"/>
          <w:szCs w:val="24"/>
        </w:rPr>
        <w:t>E</w:t>
      </w:r>
      <w:r w:rsidR="008A315B" w:rsidRPr="001B05BA">
        <w:rPr>
          <w:rFonts w:ascii="Arial" w:hAnsi="Arial" w:cs="Arial"/>
          <w:i/>
          <w:iCs/>
          <w:sz w:val="24"/>
          <w:szCs w:val="24"/>
        </w:rPr>
        <w:t>ndumeni</w:t>
      </w:r>
      <w:r w:rsidR="00960E40" w:rsidRPr="001B05BA">
        <w:rPr>
          <w:rFonts w:ascii="Arial" w:hAnsi="Arial" w:cs="Arial"/>
          <w:sz w:val="24"/>
          <w:szCs w:val="24"/>
        </w:rPr>
        <w:t xml:space="preserve"> </w:t>
      </w:r>
      <w:r w:rsidR="008A315B" w:rsidRPr="001B05BA">
        <w:rPr>
          <w:rFonts w:ascii="Arial" w:hAnsi="Arial" w:cs="Arial"/>
          <w:sz w:val="24"/>
          <w:szCs w:val="24"/>
        </w:rPr>
        <w:t>judgment</w:t>
      </w:r>
      <w:r w:rsidR="00960E40" w:rsidRPr="001B05BA">
        <w:rPr>
          <w:rFonts w:ascii="Arial" w:hAnsi="Arial" w:cs="Arial"/>
          <w:sz w:val="24"/>
          <w:szCs w:val="24"/>
        </w:rPr>
        <w:t>’, to rest.</w:t>
      </w:r>
    </w:p>
    <w:p w14:paraId="1A0054FC" w14:textId="77777777" w:rsidR="001A2434" w:rsidRPr="001B05BA" w:rsidRDefault="001A2434" w:rsidP="001A2434">
      <w:pPr>
        <w:pStyle w:val="ListParagraph"/>
        <w:rPr>
          <w:rFonts w:ascii="Arial" w:hAnsi="Arial" w:cs="Arial"/>
          <w:sz w:val="24"/>
          <w:szCs w:val="24"/>
        </w:rPr>
      </w:pPr>
    </w:p>
    <w:p w14:paraId="2DF56A88" w14:textId="05D6A662" w:rsidR="001A2434" w:rsidRPr="001B05BA" w:rsidRDefault="00F7016A" w:rsidP="00CC1BB4">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1B05BA">
        <w:rPr>
          <w:rFonts w:ascii="Arial" w:hAnsi="Arial" w:cs="Arial"/>
          <w:sz w:val="24"/>
          <w:szCs w:val="24"/>
        </w:rPr>
        <w:t>In my view, the Commissioner</w:t>
      </w:r>
      <w:r w:rsidR="00B71046" w:rsidRPr="001B05BA">
        <w:rPr>
          <w:rFonts w:ascii="Arial" w:hAnsi="Arial" w:cs="Arial"/>
          <w:sz w:val="24"/>
          <w:szCs w:val="24"/>
        </w:rPr>
        <w:t xml:space="preserve"> erred in holding the view that </w:t>
      </w:r>
      <w:r w:rsidR="00FB27B6" w:rsidRPr="001B05BA">
        <w:rPr>
          <w:rFonts w:ascii="Arial" w:hAnsi="Arial" w:cs="Arial"/>
          <w:sz w:val="24"/>
          <w:szCs w:val="24"/>
        </w:rPr>
        <w:t xml:space="preserve">meaning had to be </w:t>
      </w:r>
      <w:r w:rsidR="009519B0" w:rsidRPr="001B05BA">
        <w:rPr>
          <w:rFonts w:ascii="Arial" w:hAnsi="Arial" w:cs="Arial"/>
          <w:sz w:val="24"/>
          <w:szCs w:val="24"/>
        </w:rPr>
        <w:t xml:space="preserve">attributed to the </w:t>
      </w:r>
      <w:r w:rsidR="003B117D" w:rsidRPr="001B05BA">
        <w:rPr>
          <w:rFonts w:ascii="Arial" w:hAnsi="Arial" w:cs="Arial"/>
          <w:sz w:val="24"/>
          <w:szCs w:val="24"/>
        </w:rPr>
        <w:t>phrase ‘non-alcoholic’ and the word ‘ingredient’</w:t>
      </w:r>
      <w:r w:rsidR="00725B30" w:rsidRPr="001B05BA">
        <w:rPr>
          <w:rFonts w:ascii="Arial" w:hAnsi="Arial" w:cs="Arial"/>
          <w:sz w:val="24"/>
          <w:szCs w:val="24"/>
        </w:rPr>
        <w:t xml:space="preserve">. Diageo correctly identified the issue at hand, not as the attribution of meaning to two </w:t>
      </w:r>
      <w:r w:rsidR="006603BE" w:rsidRPr="001B05BA">
        <w:rPr>
          <w:rFonts w:ascii="Arial" w:hAnsi="Arial" w:cs="Arial"/>
          <w:sz w:val="24"/>
          <w:szCs w:val="24"/>
        </w:rPr>
        <w:t>loose-standing</w:t>
      </w:r>
      <w:r w:rsidR="00725B30" w:rsidRPr="001B05BA">
        <w:rPr>
          <w:rFonts w:ascii="Arial" w:hAnsi="Arial" w:cs="Arial"/>
          <w:sz w:val="24"/>
          <w:szCs w:val="24"/>
        </w:rPr>
        <w:t xml:space="preserve"> words</w:t>
      </w:r>
      <w:r w:rsidR="00447DA8" w:rsidRPr="001B05BA">
        <w:rPr>
          <w:rFonts w:ascii="Arial" w:hAnsi="Arial" w:cs="Arial"/>
          <w:sz w:val="24"/>
          <w:szCs w:val="24"/>
        </w:rPr>
        <w:t xml:space="preserve"> or phrases, but as </w:t>
      </w:r>
      <w:r w:rsidR="00E67A0E" w:rsidRPr="001B05BA">
        <w:rPr>
          <w:rFonts w:ascii="Arial" w:hAnsi="Arial" w:cs="Arial"/>
          <w:sz w:val="24"/>
          <w:szCs w:val="24"/>
        </w:rPr>
        <w:t xml:space="preserve">holistically </w:t>
      </w:r>
      <w:r w:rsidR="00447DA8" w:rsidRPr="001B05BA">
        <w:rPr>
          <w:rFonts w:ascii="Arial" w:hAnsi="Arial" w:cs="Arial"/>
          <w:sz w:val="24"/>
          <w:szCs w:val="24"/>
        </w:rPr>
        <w:t xml:space="preserve">interpreting Additional Note 4(b) having regard to its </w:t>
      </w:r>
      <w:r w:rsidR="00376CCF" w:rsidRPr="001B05BA">
        <w:rPr>
          <w:rFonts w:ascii="Arial" w:hAnsi="Arial" w:cs="Arial"/>
          <w:sz w:val="24"/>
          <w:szCs w:val="24"/>
        </w:rPr>
        <w:t>purpose within the broader customs and excise regulatory regime.</w:t>
      </w:r>
      <w:r w:rsidR="00523B53" w:rsidRPr="001B05BA">
        <w:rPr>
          <w:rFonts w:ascii="Arial" w:hAnsi="Arial" w:cs="Arial"/>
          <w:sz w:val="24"/>
          <w:szCs w:val="24"/>
        </w:rPr>
        <w:t xml:space="preserve"> It is </w:t>
      </w:r>
      <w:r w:rsidR="00E56151" w:rsidRPr="001B05BA">
        <w:rPr>
          <w:rFonts w:ascii="Arial" w:hAnsi="Arial" w:cs="Arial"/>
          <w:sz w:val="24"/>
          <w:szCs w:val="24"/>
        </w:rPr>
        <w:t xml:space="preserve">also </w:t>
      </w:r>
      <w:r w:rsidR="00523B53" w:rsidRPr="001B05BA">
        <w:rPr>
          <w:rFonts w:ascii="Arial" w:hAnsi="Arial" w:cs="Arial"/>
          <w:sz w:val="24"/>
          <w:szCs w:val="24"/>
        </w:rPr>
        <w:t xml:space="preserve">in this context, that Diageo’s reliance on the </w:t>
      </w:r>
      <w:r w:rsidR="00523B53" w:rsidRPr="001B05BA">
        <w:rPr>
          <w:rFonts w:ascii="Arial" w:hAnsi="Arial" w:cs="Arial"/>
          <w:i/>
          <w:iCs/>
          <w:sz w:val="24"/>
          <w:szCs w:val="24"/>
        </w:rPr>
        <w:t>de minimis</w:t>
      </w:r>
      <w:r w:rsidR="006603BE" w:rsidRPr="001B05BA">
        <w:rPr>
          <w:rFonts w:ascii="Arial" w:hAnsi="Arial" w:cs="Arial"/>
          <w:sz w:val="24"/>
          <w:szCs w:val="24"/>
        </w:rPr>
        <w:t xml:space="preserve"> doctrine </w:t>
      </w:r>
      <w:r w:rsidR="00E56151" w:rsidRPr="001B05BA">
        <w:rPr>
          <w:rFonts w:ascii="Arial" w:hAnsi="Arial" w:cs="Arial"/>
          <w:sz w:val="24"/>
          <w:szCs w:val="24"/>
        </w:rPr>
        <w:t>must be considered</w:t>
      </w:r>
      <w:r w:rsidR="006603BE" w:rsidRPr="001B05BA">
        <w:rPr>
          <w:rFonts w:ascii="Arial" w:hAnsi="Arial" w:cs="Arial"/>
          <w:sz w:val="24"/>
          <w:szCs w:val="24"/>
        </w:rPr>
        <w:t>.</w:t>
      </w:r>
    </w:p>
    <w:p w14:paraId="517A20F2" w14:textId="77777777" w:rsidR="001A2434" w:rsidRPr="001B05BA" w:rsidRDefault="001A2434" w:rsidP="001A2434">
      <w:pPr>
        <w:pStyle w:val="ListParagraph"/>
        <w:rPr>
          <w:rFonts w:ascii="Arial" w:hAnsi="Arial" w:cs="Arial"/>
          <w:sz w:val="24"/>
          <w:szCs w:val="24"/>
        </w:rPr>
      </w:pPr>
    </w:p>
    <w:p w14:paraId="3F661E48" w14:textId="346EADF8" w:rsidR="001A2434" w:rsidRPr="001B05BA" w:rsidRDefault="00FE75AB" w:rsidP="00FE75AB">
      <w:pPr>
        <w:tabs>
          <w:tab w:val="left" w:pos="4917"/>
        </w:tabs>
        <w:spacing w:before="120" w:after="120" w:line="360" w:lineRule="auto"/>
        <w:jc w:val="both"/>
        <w:rPr>
          <w:rFonts w:ascii="Arial" w:hAnsi="Arial" w:cs="Arial"/>
          <w:i/>
          <w:iCs/>
          <w:sz w:val="24"/>
          <w:szCs w:val="24"/>
        </w:rPr>
      </w:pPr>
      <w:r w:rsidRPr="001B05BA">
        <w:rPr>
          <w:rFonts w:ascii="Arial" w:hAnsi="Arial" w:cs="Arial"/>
          <w:i/>
          <w:iCs/>
          <w:sz w:val="24"/>
          <w:szCs w:val="24"/>
        </w:rPr>
        <w:t>Purpose of the Customs and Excise Act</w:t>
      </w:r>
      <w:r w:rsidR="00700D08" w:rsidRPr="001B05BA">
        <w:rPr>
          <w:rFonts w:ascii="Arial" w:hAnsi="Arial" w:cs="Arial"/>
          <w:i/>
          <w:iCs/>
          <w:sz w:val="24"/>
          <w:szCs w:val="24"/>
        </w:rPr>
        <w:t xml:space="preserve"> 91 of 1964</w:t>
      </w:r>
    </w:p>
    <w:p w14:paraId="5BDED9C5" w14:textId="77777777" w:rsidR="001A2434" w:rsidRPr="001B05BA" w:rsidRDefault="001A2434" w:rsidP="001A2434">
      <w:pPr>
        <w:pStyle w:val="ListParagraph"/>
        <w:rPr>
          <w:rFonts w:ascii="Arial" w:hAnsi="Arial" w:cs="Arial"/>
          <w:sz w:val="24"/>
          <w:szCs w:val="24"/>
        </w:rPr>
      </w:pPr>
    </w:p>
    <w:p w14:paraId="5B638B54" w14:textId="5B747C26" w:rsidR="001A2434" w:rsidRPr="001B05BA" w:rsidRDefault="0007127F" w:rsidP="004B77D5">
      <w:pPr>
        <w:pStyle w:val="ListParagraph"/>
        <w:numPr>
          <w:ilvl w:val="0"/>
          <w:numId w:val="2"/>
        </w:numPr>
        <w:tabs>
          <w:tab w:val="left" w:pos="4917"/>
        </w:tabs>
        <w:spacing w:before="120" w:after="120" w:line="360" w:lineRule="auto"/>
        <w:ind w:hanging="720"/>
        <w:jc w:val="both"/>
        <w:rPr>
          <w:rFonts w:ascii="Arial" w:hAnsi="Arial" w:cs="Arial"/>
          <w:sz w:val="24"/>
          <w:szCs w:val="24"/>
        </w:rPr>
      </w:pPr>
      <w:r w:rsidRPr="001B05BA">
        <w:rPr>
          <w:rFonts w:ascii="Arial" w:hAnsi="Arial" w:cs="Arial"/>
          <w:sz w:val="24"/>
          <w:szCs w:val="24"/>
        </w:rPr>
        <w:t>The Customs and Excise Act</w:t>
      </w:r>
      <w:r w:rsidR="00C97276" w:rsidRPr="001B05BA">
        <w:rPr>
          <w:rFonts w:ascii="Arial" w:hAnsi="Arial" w:cs="Arial"/>
          <w:sz w:val="24"/>
          <w:szCs w:val="24"/>
        </w:rPr>
        <w:t xml:space="preserve"> was promulgated</w:t>
      </w:r>
      <w:r w:rsidR="00F47B16" w:rsidRPr="001B05BA">
        <w:rPr>
          <w:rFonts w:ascii="Arial" w:hAnsi="Arial" w:cs="Arial"/>
          <w:sz w:val="24"/>
          <w:szCs w:val="24"/>
        </w:rPr>
        <w:t>, amongst others,</w:t>
      </w:r>
      <w:r w:rsidR="00776D3B" w:rsidRPr="001B05BA">
        <w:rPr>
          <w:rFonts w:ascii="Arial" w:hAnsi="Arial" w:cs="Arial"/>
          <w:sz w:val="24"/>
          <w:szCs w:val="24"/>
        </w:rPr>
        <w:t xml:space="preserve"> </w:t>
      </w:r>
      <w:r w:rsidR="00C40AFD" w:rsidRPr="001B05BA">
        <w:rPr>
          <w:rFonts w:ascii="Arial" w:hAnsi="Arial" w:cs="Arial"/>
          <w:sz w:val="24"/>
          <w:szCs w:val="24"/>
          <w:lang w:val="en-US"/>
        </w:rPr>
        <w:t>'to provide for the l</w:t>
      </w:r>
      <w:r w:rsidR="004C77F8" w:rsidRPr="001B05BA">
        <w:rPr>
          <w:rFonts w:ascii="Arial" w:hAnsi="Arial" w:cs="Arial"/>
          <w:sz w:val="24"/>
          <w:szCs w:val="24"/>
          <w:lang w:val="en-US"/>
        </w:rPr>
        <w:t>evy</w:t>
      </w:r>
      <w:r w:rsidR="00C40AFD" w:rsidRPr="001B05BA">
        <w:rPr>
          <w:rFonts w:ascii="Arial" w:hAnsi="Arial" w:cs="Arial"/>
          <w:sz w:val="24"/>
          <w:szCs w:val="24"/>
          <w:lang w:val="en-US"/>
        </w:rPr>
        <w:t xml:space="preserve">ing of </w:t>
      </w:r>
      <w:r w:rsidR="004C77F8" w:rsidRPr="001B05BA">
        <w:rPr>
          <w:rFonts w:ascii="Arial" w:hAnsi="Arial" w:cs="Arial"/>
          <w:sz w:val="24"/>
          <w:szCs w:val="24"/>
          <w:lang w:val="en-US"/>
        </w:rPr>
        <w:t>c</w:t>
      </w:r>
      <w:r w:rsidR="00C40AFD" w:rsidRPr="001B05BA">
        <w:rPr>
          <w:rFonts w:ascii="Arial" w:hAnsi="Arial" w:cs="Arial"/>
          <w:sz w:val="24"/>
          <w:szCs w:val="24"/>
          <w:lang w:val="en-US"/>
        </w:rPr>
        <w:t xml:space="preserve">ustoms and </w:t>
      </w:r>
      <w:r w:rsidR="004C77F8" w:rsidRPr="001B05BA">
        <w:rPr>
          <w:rFonts w:ascii="Arial" w:hAnsi="Arial" w:cs="Arial"/>
          <w:sz w:val="24"/>
          <w:szCs w:val="24"/>
          <w:lang w:val="en-US"/>
        </w:rPr>
        <w:t>e</w:t>
      </w:r>
      <w:r w:rsidR="00C40AFD" w:rsidRPr="001B05BA">
        <w:rPr>
          <w:rFonts w:ascii="Arial" w:hAnsi="Arial" w:cs="Arial"/>
          <w:sz w:val="24"/>
          <w:szCs w:val="24"/>
          <w:lang w:val="en-US"/>
        </w:rPr>
        <w:t>xcise duties and a surcharge</w:t>
      </w:r>
      <w:r w:rsidR="000F7C81" w:rsidRPr="001B05BA">
        <w:rPr>
          <w:rFonts w:ascii="Arial" w:hAnsi="Arial" w:cs="Arial"/>
          <w:sz w:val="24"/>
          <w:szCs w:val="24"/>
          <w:lang w:val="en-US"/>
        </w:rPr>
        <w:t xml:space="preserve">.’ </w:t>
      </w:r>
      <w:r w:rsidR="00565D77" w:rsidRPr="001B05BA">
        <w:rPr>
          <w:rFonts w:ascii="Arial" w:hAnsi="Arial" w:cs="Arial"/>
          <w:sz w:val="24"/>
          <w:szCs w:val="24"/>
          <w:lang w:val="en-US"/>
        </w:rPr>
        <w:t>T</w:t>
      </w:r>
      <w:r w:rsidR="001668FD" w:rsidRPr="001B05BA">
        <w:rPr>
          <w:rFonts w:ascii="Arial" w:hAnsi="Arial" w:cs="Arial"/>
          <w:sz w:val="24"/>
          <w:szCs w:val="24"/>
          <w:lang w:val="en-US"/>
        </w:rPr>
        <w:t xml:space="preserve">he </w:t>
      </w:r>
      <w:r w:rsidR="00565D77" w:rsidRPr="001B05BA">
        <w:rPr>
          <w:rFonts w:ascii="Arial" w:hAnsi="Arial" w:cs="Arial"/>
          <w:sz w:val="24"/>
          <w:szCs w:val="24"/>
          <w:lang w:val="en-US"/>
        </w:rPr>
        <w:t>C</w:t>
      </w:r>
      <w:r w:rsidR="001668FD" w:rsidRPr="001B05BA">
        <w:rPr>
          <w:rFonts w:ascii="Arial" w:hAnsi="Arial" w:cs="Arial"/>
          <w:sz w:val="24"/>
          <w:szCs w:val="24"/>
          <w:lang w:val="en-US"/>
        </w:rPr>
        <w:t>ommissioner is charged with the administration of the Act.</w:t>
      </w:r>
      <w:r w:rsidR="004B77D5" w:rsidRPr="001B05BA">
        <w:rPr>
          <w:rFonts w:ascii="Arial" w:hAnsi="Arial" w:cs="Arial"/>
          <w:sz w:val="24"/>
          <w:szCs w:val="24"/>
          <w:lang w:val="en-US"/>
        </w:rPr>
        <w:t xml:space="preserve"> </w:t>
      </w:r>
      <w:r w:rsidR="00285E9C" w:rsidRPr="001B05BA">
        <w:rPr>
          <w:rFonts w:ascii="Arial" w:hAnsi="Arial" w:cs="Arial"/>
          <w:sz w:val="24"/>
          <w:szCs w:val="24"/>
          <w:lang w:val="en-US"/>
        </w:rPr>
        <w:t xml:space="preserve">The primary function of excise tax is to ensure a constant stream of revenue for the </w:t>
      </w:r>
      <w:r w:rsidR="00FE3283" w:rsidRPr="001B05BA">
        <w:rPr>
          <w:rFonts w:ascii="Arial" w:hAnsi="Arial" w:cs="Arial"/>
          <w:sz w:val="24"/>
          <w:szCs w:val="24"/>
          <w:lang w:val="en-US"/>
        </w:rPr>
        <w:t>S</w:t>
      </w:r>
      <w:r w:rsidR="00285E9C" w:rsidRPr="001B05BA">
        <w:rPr>
          <w:rFonts w:ascii="Arial" w:hAnsi="Arial" w:cs="Arial"/>
          <w:sz w:val="24"/>
          <w:szCs w:val="24"/>
          <w:lang w:val="en-US"/>
        </w:rPr>
        <w:t>tate.</w:t>
      </w:r>
    </w:p>
    <w:p w14:paraId="07031028" w14:textId="77777777" w:rsidR="001A2434" w:rsidRPr="001B05BA" w:rsidRDefault="001A2434" w:rsidP="001A2434">
      <w:pPr>
        <w:pStyle w:val="ListParagraph"/>
        <w:rPr>
          <w:rFonts w:ascii="Arial" w:hAnsi="Arial" w:cs="Arial"/>
          <w:sz w:val="24"/>
          <w:szCs w:val="24"/>
        </w:rPr>
      </w:pPr>
    </w:p>
    <w:p w14:paraId="7C58722F" w14:textId="458192FF" w:rsidR="0079697E" w:rsidRPr="001B05BA" w:rsidRDefault="000F7C81" w:rsidP="00CC1BB4">
      <w:pPr>
        <w:pStyle w:val="ListParagraph"/>
        <w:numPr>
          <w:ilvl w:val="0"/>
          <w:numId w:val="2"/>
        </w:numPr>
        <w:tabs>
          <w:tab w:val="left" w:pos="4917"/>
        </w:tabs>
        <w:spacing w:before="120" w:after="120" w:line="360" w:lineRule="auto"/>
        <w:ind w:hanging="720"/>
        <w:jc w:val="both"/>
        <w:rPr>
          <w:rFonts w:ascii="Arial" w:hAnsi="Arial" w:cs="Arial"/>
          <w:sz w:val="24"/>
          <w:szCs w:val="24"/>
          <w:lang w:val="en-US"/>
        </w:rPr>
      </w:pPr>
      <w:r w:rsidRPr="001B05BA">
        <w:rPr>
          <w:rFonts w:ascii="Arial" w:hAnsi="Arial" w:cs="Arial"/>
          <w:sz w:val="24"/>
          <w:szCs w:val="24"/>
          <w:lang w:val="en-US"/>
        </w:rPr>
        <w:t>Liqueur</w:t>
      </w:r>
      <w:r w:rsidR="00E83E77" w:rsidRPr="001B05BA">
        <w:rPr>
          <w:rFonts w:ascii="Arial" w:hAnsi="Arial" w:cs="Arial"/>
          <w:sz w:val="24"/>
          <w:szCs w:val="24"/>
          <w:lang w:val="en-US"/>
        </w:rPr>
        <w:t xml:space="preserve"> is a distilled spirit</w:t>
      </w:r>
      <w:r w:rsidR="00147BD7" w:rsidRPr="001B05BA">
        <w:rPr>
          <w:rFonts w:ascii="Arial" w:hAnsi="Arial" w:cs="Arial"/>
          <w:sz w:val="24"/>
          <w:szCs w:val="24"/>
          <w:lang w:val="en-US"/>
        </w:rPr>
        <w:t xml:space="preserve"> that is sweetened with sugar or syrup</w:t>
      </w:r>
      <w:r w:rsidR="00A875A3" w:rsidRPr="001B05BA">
        <w:rPr>
          <w:rFonts w:ascii="Arial" w:hAnsi="Arial" w:cs="Arial"/>
          <w:sz w:val="24"/>
          <w:szCs w:val="24"/>
          <w:lang w:val="en-US"/>
        </w:rPr>
        <w:t>,</w:t>
      </w:r>
      <w:r w:rsidR="00147BD7" w:rsidRPr="001B05BA">
        <w:rPr>
          <w:rFonts w:ascii="Arial" w:hAnsi="Arial" w:cs="Arial"/>
          <w:sz w:val="24"/>
          <w:szCs w:val="24"/>
          <w:lang w:val="en-US"/>
        </w:rPr>
        <w:t xml:space="preserve"> and often also contains flavouring agents. The parties </w:t>
      </w:r>
      <w:r w:rsidR="00A875A3" w:rsidRPr="001B05BA">
        <w:rPr>
          <w:rFonts w:ascii="Arial" w:hAnsi="Arial" w:cs="Arial"/>
          <w:sz w:val="24"/>
          <w:szCs w:val="24"/>
          <w:lang w:val="en-US"/>
        </w:rPr>
        <w:t>agree</w:t>
      </w:r>
      <w:r w:rsidR="00147BD7" w:rsidRPr="001B05BA">
        <w:rPr>
          <w:rFonts w:ascii="Arial" w:hAnsi="Arial" w:cs="Arial"/>
          <w:sz w:val="24"/>
          <w:szCs w:val="24"/>
          <w:lang w:val="en-US"/>
        </w:rPr>
        <w:t xml:space="preserve"> that National Treasury proposed, during the budget review </w:t>
      </w:r>
      <w:r w:rsidR="00A875A3" w:rsidRPr="001B05BA">
        <w:rPr>
          <w:rFonts w:ascii="Arial" w:hAnsi="Arial" w:cs="Arial"/>
          <w:sz w:val="24"/>
          <w:szCs w:val="24"/>
          <w:lang w:val="en-US"/>
        </w:rPr>
        <w:t>of</w:t>
      </w:r>
      <w:r w:rsidR="00147BD7" w:rsidRPr="001B05BA">
        <w:rPr>
          <w:rFonts w:ascii="Arial" w:hAnsi="Arial" w:cs="Arial"/>
          <w:sz w:val="24"/>
          <w:szCs w:val="24"/>
          <w:lang w:val="en-US"/>
        </w:rPr>
        <w:t xml:space="preserve"> 23 February 2011,</w:t>
      </w:r>
      <w:r w:rsidR="00823BF9" w:rsidRPr="001B05BA">
        <w:rPr>
          <w:rFonts w:ascii="Arial" w:hAnsi="Arial" w:cs="Arial"/>
          <w:sz w:val="24"/>
          <w:szCs w:val="24"/>
          <w:lang w:val="en-US"/>
        </w:rPr>
        <w:t xml:space="preserve"> to impose lower </w:t>
      </w:r>
      <w:r w:rsidR="008B15E1" w:rsidRPr="001B05BA">
        <w:rPr>
          <w:rFonts w:ascii="Arial" w:hAnsi="Arial" w:cs="Arial"/>
          <w:sz w:val="24"/>
          <w:szCs w:val="24"/>
          <w:lang w:val="en-US"/>
        </w:rPr>
        <w:t xml:space="preserve">excise </w:t>
      </w:r>
      <w:r w:rsidR="00823BF9" w:rsidRPr="001B05BA">
        <w:rPr>
          <w:rFonts w:ascii="Arial" w:hAnsi="Arial" w:cs="Arial"/>
          <w:sz w:val="24"/>
          <w:szCs w:val="24"/>
          <w:lang w:val="en-US"/>
        </w:rPr>
        <w:t xml:space="preserve">duty </w:t>
      </w:r>
      <w:r w:rsidR="00FD022F" w:rsidRPr="001B05BA">
        <w:rPr>
          <w:rFonts w:ascii="Arial" w:hAnsi="Arial" w:cs="Arial"/>
          <w:sz w:val="24"/>
          <w:szCs w:val="24"/>
          <w:lang w:val="en-US"/>
        </w:rPr>
        <w:t>rates f</w:t>
      </w:r>
      <w:r w:rsidR="00816DB7" w:rsidRPr="001B05BA">
        <w:rPr>
          <w:rFonts w:ascii="Arial" w:hAnsi="Arial" w:cs="Arial"/>
          <w:sz w:val="24"/>
          <w:szCs w:val="24"/>
          <w:lang w:val="en-US"/>
        </w:rPr>
        <w:t>or</w:t>
      </w:r>
      <w:r w:rsidR="00FD022F" w:rsidRPr="001B05BA">
        <w:rPr>
          <w:rFonts w:ascii="Arial" w:hAnsi="Arial" w:cs="Arial"/>
          <w:sz w:val="24"/>
          <w:szCs w:val="24"/>
          <w:lang w:val="en-US"/>
        </w:rPr>
        <w:t xml:space="preserve"> wine spirits so that it can competitively be used as a substitute for</w:t>
      </w:r>
      <w:r w:rsidR="0063512F" w:rsidRPr="001B05BA">
        <w:rPr>
          <w:rFonts w:ascii="Arial" w:hAnsi="Arial" w:cs="Arial"/>
          <w:sz w:val="24"/>
          <w:szCs w:val="24"/>
          <w:lang w:val="en-US"/>
        </w:rPr>
        <w:t xml:space="preserve"> C- spirits in the manufacture of spirituous beverages. To provide</w:t>
      </w:r>
      <w:r w:rsidR="009974FB" w:rsidRPr="001B05BA">
        <w:rPr>
          <w:rFonts w:ascii="Arial" w:hAnsi="Arial" w:cs="Arial"/>
          <w:sz w:val="24"/>
          <w:szCs w:val="24"/>
          <w:lang w:val="en-US"/>
        </w:rPr>
        <w:t xml:space="preserve"> for this, a special provision for spirituous beverages</w:t>
      </w:r>
      <w:r w:rsidR="008B15E1" w:rsidRPr="001B05BA">
        <w:rPr>
          <w:rFonts w:ascii="Arial" w:hAnsi="Arial" w:cs="Arial"/>
          <w:sz w:val="24"/>
          <w:szCs w:val="24"/>
          <w:lang w:val="en-US"/>
        </w:rPr>
        <w:t xml:space="preserve"> </w:t>
      </w:r>
      <w:r w:rsidR="009974FB" w:rsidRPr="001B05BA">
        <w:rPr>
          <w:rFonts w:ascii="Arial" w:hAnsi="Arial" w:cs="Arial"/>
          <w:sz w:val="24"/>
          <w:szCs w:val="24"/>
          <w:lang w:val="en-US"/>
        </w:rPr>
        <w:t>derived from a fermented alcoholic base or wine spirits</w:t>
      </w:r>
      <w:r w:rsidR="008B15E1" w:rsidRPr="001B05BA">
        <w:rPr>
          <w:rFonts w:ascii="Arial" w:hAnsi="Arial" w:cs="Arial"/>
          <w:sz w:val="24"/>
          <w:szCs w:val="24"/>
          <w:lang w:val="en-US"/>
        </w:rPr>
        <w:t xml:space="preserve">, </w:t>
      </w:r>
      <w:r w:rsidR="006F47E9" w:rsidRPr="001B05BA">
        <w:rPr>
          <w:rFonts w:ascii="Arial" w:hAnsi="Arial" w:cs="Arial"/>
          <w:sz w:val="24"/>
          <w:szCs w:val="24"/>
          <w:lang w:val="en-US"/>
        </w:rPr>
        <w:t>to be taxed at an excise rate lower than the rate applicable to other distilled spirits</w:t>
      </w:r>
      <w:r w:rsidR="008B15E1" w:rsidRPr="001B05BA">
        <w:rPr>
          <w:rFonts w:ascii="Arial" w:hAnsi="Arial" w:cs="Arial"/>
          <w:sz w:val="24"/>
          <w:szCs w:val="24"/>
          <w:lang w:val="en-US"/>
        </w:rPr>
        <w:t>,</w:t>
      </w:r>
      <w:r w:rsidR="00934E55" w:rsidRPr="001B05BA">
        <w:rPr>
          <w:rFonts w:ascii="Arial" w:hAnsi="Arial" w:cs="Arial"/>
          <w:sz w:val="24"/>
          <w:szCs w:val="24"/>
          <w:lang w:val="en-US"/>
        </w:rPr>
        <w:t xml:space="preserve"> was introduced. Tariff </w:t>
      </w:r>
      <w:r w:rsidR="007A253C" w:rsidRPr="001B05BA">
        <w:rPr>
          <w:rFonts w:ascii="Arial" w:hAnsi="Arial" w:cs="Arial"/>
          <w:sz w:val="24"/>
          <w:szCs w:val="24"/>
          <w:lang w:val="en-US"/>
        </w:rPr>
        <w:t>sub-headings</w:t>
      </w:r>
      <w:r w:rsidR="00AC06DA" w:rsidRPr="001B05BA">
        <w:rPr>
          <w:rFonts w:ascii="Arial" w:hAnsi="Arial" w:cs="Arial"/>
          <w:sz w:val="24"/>
          <w:szCs w:val="24"/>
          <w:lang w:val="en-US"/>
        </w:rPr>
        <w:t xml:space="preserve"> 2208. 70. 21 and 2208. 70. 22 were introduced.</w:t>
      </w:r>
      <w:r w:rsidR="006267DB" w:rsidRPr="001B05BA">
        <w:rPr>
          <w:rFonts w:ascii="Arial" w:hAnsi="Arial" w:cs="Arial"/>
          <w:sz w:val="24"/>
          <w:szCs w:val="24"/>
          <w:lang w:val="en-US"/>
        </w:rPr>
        <w:t xml:space="preserve"> Th</w:t>
      </w:r>
      <w:r w:rsidR="00F32A5B" w:rsidRPr="001B05BA">
        <w:rPr>
          <w:rFonts w:ascii="Arial" w:hAnsi="Arial" w:cs="Arial"/>
          <w:sz w:val="24"/>
          <w:szCs w:val="24"/>
          <w:lang w:val="en-US"/>
        </w:rPr>
        <w:t>e Schedule</w:t>
      </w:r>
      <w:r w:rsidR="00635C49" w:rsidRPr="001B05BA">
        <w:rPr>
          <w:rFonts w:ascii="Arial" w:hAnsi="Arial" w:cs="Arial"/>
          <w:sz w:val="24"/>
          <w:szCs w:val="24"/>
          <w:lang w:val="en-US"/>
        </w:rPr>
        <w:t>s</w:t>
      </w:r>
      <w:r w:rsidR="00F32A5B" w:rsidRPr="001B05BA">
        <w:rPr>
          <w:rFonts w:ascii="Arial" w:hAnsi="Arial" w:cs="Arial"/>
          <w:sz w:val="24"/>
          <w:szCs w:val="24"/>
          <w:lang w:val="en-US"/>
        </w:rPr>
        <w:t xml:space="preserve"> to the </w:t>
      </w:r>
      <w:r w:rsidR="00635C49" w:rsidRPr="001B05BA">
        <w:rPr>
          <w:rFonts w:ascii="Arial" w:hAnsi="Arial" w:cs="Arial"/>
          <w:sz w:val="24"/>
          <w:szCs w:val="24"/>
          <w:lang w:val="en-US"/>
        </w:rPr>
        <w:t>A</w:t>
      </w:r>
      <w:r w:rsidR="00F32A5B" w:rsidRPr="001B05BA">
        <w:rPr>
          <w:rFonts w:ascii="Arial" w:hAnsi="Arial" w:cs="Arial"/>
          <w:sz w:val="24"/>
          <w:szCs w:val="24"/>
          <w:lang w:val="en-US"/>
        </w:rPr>
        <w:t>ct</w:t>
      </w:r>
      <w:r w:rsidR="00C601C0" w:rsidRPr="001B05BA">
        <w:rPr>
          <w:rFonts w:ascii="Arial" w:hAnsi="Arial" w:cs="Arial"/>
          <w:sz w:val="24"/>
          <w:szCs w:val="24"/>
          <w:lang w:val="en-US"/>
        </w:rPr>
        <w:t xml:space="preserve"> were amended with effect from </w:t>
      </w:r>
      <w:r w:rsidR="009C68D5" w:rsidRPr="001B05BA">
        <w:rPr>
          <w:rFonts w:ascii="Arial" w:hAnsi="Arial" w:cs="Arial"/>
          <w:sz w:val="24"/>
          <w:szCs w:val="24"/>
          <w:lang w:val="en-US"/>
        </w:rPr>
        <w:t>1</w:t>
      </w:r>
      <w:r w:rsidR="00C601C0" w:rsidRPr="001B05BA">
        <w:rPr>
          <w:rFonts w:ascii="Arial" w:hAnsi="Arial" w:cs="Arial"/>
          <w:sz w:val="24"/>
          <w:szCs w:val="24"/>
          <w:lang w:val="en-US"/>
        </w:rPr>
        <w:t xml:space="preserve"> March 2011 by </w:t>
      </w:r>
      <w:r w:rsidR="00635C49" w:rsidRPr="001B05BA">
        <w:rPr>
          <w:rFonts w:ascii="Arial" w:hAnsi="Arial" w:cs="Arial"/>
          <w:sz w:val="24"/>
          <w:szCs w:val="24"/>
          <w:lang w:val="en-US"/>
        </w:rPr>
        <w:t xml:space="preserve">Notices </w:t>
      </w:r>
      <w:r w:rsidR="00D31BAD" w:rsidRPr="001B05BA">
        <w:rPr>
          <w:rFonts w:ascii="Arial" w:hAnsi="Arial" w:cs="Arial"/>
          <w:sz w:val="24"/>
          <w:szCs w:val="24"/>
          <w:lang w:val="en-US"/>
        </w:rPr>
        <w:t xml:space="preserve">172 and 173 in Government Gazette </w:t>
      </w:r>
      <w:r w:rsidR="00B50156" w:rsidRPr="001B05BA">
        <w:rPr>
          <w:rFonts w:ascii="Arial" w:hAnsi="Arial" w:cs="Arial"/>
          <w:sz w:val="24"/>
          <w:szCs w:val="24"/>
          <w:lang w:val="en-US"/>
        </w:rPr>
        <w:t xml:space="preserve">34059. Additional Note </w:t>
      </w:r>
      <w:r w:rsidR="003B52A2" w:rsidRPr="001B05BA">
        <w:rPr>
          <w:rFonts w:ascii="Arial" w:hAnsi="Arial" w:cs="Arial"/>
          <w:sz w:val="24"/>
          <w:szCs w:val="24"/>
          <w:lang w:val="en-US"/>
        </w:rPr>
        <w:t>4(b)</w:t>
      </w:r>
      <w:r w:rsidR="00B50156" w:rsidRPr="001B05BA">
        <w:rPr>
          <w:rFonts w:ascii="Arial" w:hAnsi="Arial" w:cs="Arial"/>
          <w:sz w:val="24"/>
          <w:szCs w:val="24"/>
          <w:lang w:val="en-US"/>
        </w:rPr>
        <w:t xml:space="preserve"> </w:t>
      </w:r>
      <w:r w:rsidR="00DB43F2" w:rsidRPr="001B05BA">
        <w:rPr>
          <w:rFonts w:ascii="Arial" w:hAnsi="Arial" w:cs="Arial"/>
          <w:sz w:val="24"/>
          <w:szCs w:val="24"/>
          <w:lang w:val="en-US"/>
        </w:rPr>
        <w:t>w</w:t>
      </w:r>
      <w:r w:rsidR="00B50156" w:rsidRPr="001B05BA">
        <w:rPr>
          <w:rFonts w:ascii="Arial" w:hAnsi="Arial" w:cs="Arial"/>
          <w:sz w:val="24"/>
          <w:szCs w:val="24"/>
          <w:lang w:val="en-US"/>
        </w:rPr>
        <w:t>as subsequently implemented.</w:t>
      </w:r>
      <w:r w:rsidR="00D302AC" w:rsidRPr="001B05BA">
        <w:rPr>
          <w:rFonts w:ascii="Arial" w:hAnsi="Arial" w:cs="Arial"/>
          <w:sz w:val="24"/>
          <w:szCs w:val="24"/>
          <w:lang w:val="en-US"/>
        </w:rPr>
        <w:t xml:space="preserve"> </w:t>
      </w:r>
    </w:p>
    <w:p w14:paraId="38CD19C0" w14:textId="77777777" w:rsidR="00685D72" w:rsidRPr="001B05BA" w:rsidRDefault="00685D72" w:rsidP="00685D72">
      <w:pPr>
        <w:pStyle w:val="ListParagraph"/>
        <w:rPr>
          <w:rFonts w:ascii="Arial" w:hAnsi="Arial" w:cs="Arial"/>
          <w:sz w:val="24"/>
          <w:szCs w:val="24"/>
          <w:lang w:val="en-US"/>
        </w:rPr>
      </w:pPr>
    </w:p>
    <w:p w14:paraId="79FF7699" w14:textId="264FE402" w:rsidR="00437414" w:rsidRPr="001B05BA" w:rsidRDefault="00685D72" w:rsidP="006D3452">
      <w:pPr>
        <w:pStyle w:val="ListParagraph"/>
        <w:numPr>
          <w:ilvl w:val="0"/>
          <w:numId w:val="2"/>
        </w:numPr>
        <w:tabs>
          <w:tab w:val="left" w:pos="4917"/>
        </w:tabs>
        <w:spacing w:before="120" w:after="120" w:line="360" w:lineRule="auto"/>
        <w:ind w:hanging="720"/>
        <w:jc w:val="both"/>
        <w:rPr>
          <w:rFonts w:ascii="Arial" w:hAnsi="Arial" w:cs="Arial"/>
          <w:sz w:val="24"/>
          <w:szCs w:val="24"/>
          <w:lang w:val="en-US"/>
        </w:rPr>
      </w:pPr>
      <w:r w:rsidRPr="001B05BA">
        <w:rPr>
          <w:rFonts w:ascii="Arial" w:hAnsi="Arial" w:cs="Arial"/>
          <w:sz w:val="24"/>
          <w:szCs w:val="24"/>
          <w:lang w:val="en-US"/>
        </w:rPr>
        <w:t xml:space="preserve">It is against this background that </w:t>
      </w:r>
      <w:r w:rsidR="0084165B" w:rsidRPr="001B05BA">
        <w:rPr>
          <w:rFonts w:ascii="Arial" w:hAnsi="Arial" w:cs="Arial"/>
          <w:sz w:val="24"/>
          <w:szCs w:val="24"/>
          <w:lang w:val="en-US"/>
        </w:rPr>
        <w:t>A</w:t>
      </w:r>
      <w:r w:rsidRPr="001B05BA">
        <w:rPr>
          <w:rFonts w:ascii="Arial" w:hAnsi="Arial" w:cs="Arial"/>
          <w:sz w:val="24"/>
          <w:szCs w:val="24"/>
          <w:lang w:val="en-US"/>
        </w:rPr>
        <w:t xml:space="preserve">dditional </w:t>
      </w:r>
      <w:r w:rsidR="0084165B" w:rsidRPr="001B05BA">
        <w:rPr>
          <w:rFonts w:ascii="Arial" w:hAnsi="Arial" w:cs="Arial"/>
          <w:sz w:val="24"/>
          <w:szCs w:val="24"/>
          <w:lang w:val="en-US"/>
        </w:rPr>
        <w:t>N</w:t>
      </w:r>
      <w:r w:rsidRPr="001B05BA">
        <w:rPr>
          <w:rFonts w:ascii="Arial" w:hAnsi="Arial" w:cs="Arial"/>
          <w:sz w:val="24"/>
          <w:szCs w:val="24"/>
          <w:lang w:val="en-US"/>
        </w:rPr>
        <w:t>ote</w:t>
      </w:r>
      <w:r w:rsidR="0084165B" w:rsidRPr="001B05BA">
        <w:rPr>
          <w:rFonts w:ascii="Arial" w:hAnsi="Arial" w:cs="Arial"/>
          <w:sz w:val="24"/>
          <w:szCs w:val="24"/>
          <w:lang w:val="en-US"/>
        </w:rPr>
        <w:t xml:space="preserve"> 4(b)</w:t>
      </w:r>
      <w:r w:rsidRPr="001B05BA">
        <w:rPr>
          <w:rFonts w:ascii="Arial" w:hAnsi="Arial" w:cs="Arial"/>
          <w:sz w:val="24"/>
          <w:szCs w:val="24"/>
          <w:lang w:val="en-US"/>
        </w:rPr>
        <w:t xml:space="preserve"> needs to be interpreted.</w:t>
      </w:r>
      <w:r w:rsidR="00F41AD5" w:rsidRPr="001B05BA">
        <w:rPr>
          <w:rFonts w:ascii="Arial" w:hAnsi="Arial" w:cs="Arial"/>
          <w:sz w:val="24"/>
          <w:szCs w:val="24"/>
          <w:lang w:val="en-US"/>
        </w:rPr>
        <w:t xml:space="preserve"> </w:t>
      </w:r>
      <w:r w:rsidR="00B108B2" w:rsidRPr="001B05BA">
        <w:rPr>
          <w:rFonts w:ascii="Arial" w:hAnsi="Arial" w:cs="Arial"/>
          <w:sz w:val="24"/>
          <w:szCs w:val="24"/>
          <w:lang w:val="en-US"/>
        </w:rPr>
        <w:t xml:space="preserve">Considering the purpose for which tariff subheading 2208.70.21 was introduced, </w:t>
      </w:r>
      <w:r w:rsidR="006D5D29" w:rsidRPr="001B05BA">
        <w:rPr>
          <w:rFonts w:ascii="Arial" w:hAnsi="Arial" w:cs="Arial"/>
          <w:sz w:val="24"/>
          <w:szCs w:val="24"/>
          <w:lang w:val="en-US"/>
        </w:rPr>
        <w:t xml:space="preserve">I agree with </w:t>
      </w:r>
      <w:r w:rsidR="0091285A" w:rsidRPr="001B05BA">
        <w:rPr>
          <w:rFonts w:ascii="Arial" w:hAnsi="Arial" w:cs="Arial"/>
          <w:sz w:val="24"/>
          <w:szCs w:val="24"/>
          <w:lang w:val="en-US"/>
        </w:rPr>
        <w:t>Diageo</w:t>
      </w:r>
      <w:r w:rsidR="00474A61" w:rsidRPr="001B05BA">
        <w:rPr>
          <w:rFonts w:ascii="Arial" w:hAnsi="Arial" w:cs="Arial"/>
          <w:sz w:val="24"/>
          <w:szCs w:val="24"/>
          <w:lang w:val="en-US"/>
        </w:rPr>
        <w:t>’</w:t>
      </w:r>
      <w:r w:rsidR="006D5D29" w:rsidRPr="001B05BA">
        <w:rPr>
          <w:rFonts w:ascii="Arial" w:hAnsi="Arial" w:cs="Arial"/>
          <w:sz w:val="24"/>
          <w:szCs w:val="24"/>
          <w:lang w:val="en-US"/>
        </w:rPr>
        <w:t>s contention</w:t>
      </w:r>
      <w:r w:rsidR="00474A61" w:rsidRPr="001B05BA">
        <w:rPr>
          <w:rFonts w:ascii="Arial" w:hAnsi="Arial" w:cs="Arial"/>
          <w:sz w:val="24"/>
          <w:szCs w:val="24"/>
          <w:lang w:val="en-US"/>
        </w:rPr>
        <w:t xml:space="preserve"> that Additional Note 4(b) was introduced </w:t>
      </w:r>
      <w:r w:rsidR="00F41AD5" w:rsidRPr="001B05BA">
        <w:rPr>
          <w:rFonts w:ascii="Arial" w:hAnsi="Arial" w:cs="Arial"/>
          <w:sz w:val="24"/>
          <w:szCs w:val="24"/>
          <w:lang w:val="en-US"/>
        </w:rPr>
        <w:t xml:space="preserve">to </w:t>
      </w:r>
      <w:r w:rsidR="00175A1C" w:rsidRPr="001B05BA">
        <w:rPr>
          <w:rFonts w:ascii="Arial" w:hAnsi="Arial" w:cs="Arial"/>
          <w:sz w:val="24"/>
          <w:szCs w:val="24"/>
          <w:lang w:val="en-US"/>
        </w:rPr>
        <w:t xml:space="preserve">prevent a situation </w:t>
      </w:r>
      <w:r w:rsidR="00F208E4" w:rsidRPr="001B05BA">
        <w:rPr>
          <w:rFonts w:ascii="Arial" w:hAnsi="Arial" w:cs="Arial"/>
          <w:sz w:val="24"/>
          <w:szCs w:val="24"/>
          <w:lang w:val="en-US"/>
        </w:rPr>
        <w:t>where</w:t>
      </w:r>
      <w:r w:rsidR="00175A1C" w:rsidRPr="001B05BA">
        <w:rPr>
          <w:rFonts w:ascii="Arial" w:hAnsi="Arial" w:cs="Arial"/>
          <w:sz w:val="24"/>
          <w:szCs w:val="24"/>
          <w:lang w:val="en-US"/>
        </w:rPr>
        <w:t xml:space="preserve"> a manufacturer</w:t>
      </w:r>
      <w:r w:rsidR="003C57E7" w:rsidRPr="001B05BA">
        <w:rPr>
          <w:rFonts w:ascii="Arial" w:hAnsi="Arial" w:cs="Arial"/>
          <w:sz w:val="24"/>
          <w:szCs w:val="24"/>
          <w:lang w:val="en-US"/>
        </w:rPr>
        <w:t xml:space="preserve"> </w:t>
      </w:r>
      <w:r w:rsidR="00FB43B5" w:rsidRPr="001B05BA">
        <w:rPr>
          <w:rFonts w:ascii="Arial" w:hAnsi="Arial" w:cs="Arial"/>
          <w:sz w:val="24"/>
          <w:szCs w:val="24"/>
          <w:lang w:val="en-US"/>
        </w:rPr>
        <w:t>uses</w:t>
      </w:r>
      <w:r w:rsidR="003C57E7" w:rsidRPr="001B05BA">
        <w:rPr>
          <w:rFonts w:ascii="Arial" w:hAnsi="Arial" w:cs="Arial"/>
          <w:sz w:val="24"/>
          <w:szCs w:val="24"/>
          <w:lang w:val="en-US"/>
        </w:rPr>
        <w:t xml:space="preserve"> the more expensive wine spirit</w:t>
      </w:r>
      <w:r w:rsidR="00FB43B5" w:rsidRPr="001B05BA">
        <w:rPr>
          <w:rFonts w:ascii="Arial" w:hAnsi="Arial" w:cs="Arial"/>
          <w:sz w:val="24"/>
          <w:szCs w:val="24"/>
          <w:lang w:val="en-US"/>
        </w:rPr>
        <w:t>s</w:t>
      </w:r>
      <w:r w:rsidR="003C57E7" w:rsidRPr="001B05BA">
        <w:rPr>
          <w:rFonts w:ascii="Arial" w:hAnsi="Arial" w:cs="Arial"/>
          <w:sz w:val="24"/>
          <w:szCs w:val="24"/>
          <w:lang w:val="en-US"/>
        </w:rPr>
        <w:t xml:space="preserve"> but then add</w:t>
      </w:r>
      <w:r w:rsidR="00FB43B5" w:rsidRPr="001B05BA">
        <w:rPr>
          <w:rFonts w:ascii="Arial" w:hAnsi="Arial" w:cs="Arial"/>
          <w:sz w:val="24"/>
          <w:szCs w:val="24"/>
          <w:lang w:val="en-US"/>
        </w:rPr>
        <w:t>s</w:t>
      </w:r>
      <w:r w:rsidR="003C57E7" w:rsidRPr="001B05BA">
        <w:rPr>
          <w:rFonts w:ascii="Arial" w:hAnsi="Arial" w:cs="Arial"/>
          <w:sz w:val="24"/>
          <w:szCs w:val="24"/>
          <w:lang w:val="en-US"/>
        </w:rPr>
        <w:t xml:space="preserve"> </w:t>
      </w:r>
      <w:r w:rsidR="006D3452" w:rsidRPr="001B05BA">
        <w:rPr>
          <w:rFonts w:ascii="Arial" w:hAnsi="Arial" w:cs="Arial"/>
          <w:sz w:val="24"/>
          <w:szCs w:val="24"/>
          <w:lang w:val="en-US"/>
        </w:rPr>
        <w:lastRenderedPageBreak/>
        <w:t>non-expensive</w:t>
      </w:r>
      <w:r w:rsidR="003C57E7" w:rsidRPr="001B05BA">
        <w:rPr>
          <w:rFonts w:ascii="Arial" w:hAnsi="Arial" w:cs="Arial"/>
          <w:sz w:val="24"/>
          <w:szCs w:val="24"/>
          <w:lang w:val="en-US"/>
        </w:rPr>
        <w:t xml:space="preserve"> C-spirits thereto</w:t>
      </w:r>
      <w:r w:rsidR="00F879C2" w:rsidRPr="001B05BA">
        <w:rPr>
          <w:rFonts w:ascii="Arial" w:hAnsi="Arial" w:cs="Arial"/>
          <w:sz w:val="24"/>
          <w:szCs w:val="24"/>
          <w:lang w:val="en-US"/>
        </w:rPr>
        <w:t xml:space="preserve"> and</w:t>
      </w:r>
      <w:r w:rsidR="006D3452" w:rsidRPr="001B05BA">
        <w:rPr>
          <w:rFonts w:ascii="Arial" w:hAnsi="Arial" w:cs="Arial"/>
          <w:sz w:val="24"/>
          <w:szCs w:val="24"/>
          <w:lang w:val="en-US"/>
        </w:rPr>
        <w:t>,</w:t>
      </w:r>
      <w:r w:rsidR="00F879C2" w:rsidRPr="001B05BA">
        <w:rPr>
          <w:rFonts w:ascii="Arial" w:hAnsi="Arial" w:cs="Arial"/>
          <w:sz w:val="24"/>
          <w:szCs w:val="24"/>
          <w:lang w:val="en-US"/>
        </w:rPr>
        <w:t xml:space="preserve"> in doing so, </w:t>
      </w:r>
      <w:r w:rsidR="006D3452" w:rsidRPr="001B05BA">
        <w:rPr>
          <w:rFonts w:ascii="Arial" w:hAnsi="Arial" w:cs="Arial"/>
          <w:sz w:val="24"/>
          <w:szCs w:val="24"/>
          <w:lang w:val="en-US"/>
        </w:rPr>
        <w:t>increase</w:t>
      </w:r>
      <w:r w:rsidR="00B929D8" w:rsidRPr="001B05BA">
        <w:rPr>
          <w:rFonts w:ascii="Arial" w:hAnsi="Arial" w:cs="Arial"/>
          <w:sz w:val="24"/>
          <w:szCs w:val="24"/>
          <w:lang w:val="en-US"/>
        </w:rPr>
        <w:t>s</w:t>
      </w:r>
      <w:r w:rsidR="00F879C2" w:rsidRPr="001B05BA">
        <w:rPr>
          <w:rFonts w:ascii="Arial" w:hAnsi="Arial" w:cs="Arial"/>
          <w:sz w:val="24"/>
          <w:szCs w:val="24"/>
          <w:lang w:val="en-US"/>
        </w:rPr>
        <w:t xml:space="preserve"> the alcohol content of the beverage with the cheaper C- spirits, but simultaneously benefit from the lower rate of excise duty</w:t>
      </w:r>
      <w:r w:rsidR="00D95624" w:rsidRPr="001B05BA">
        <w:rPr>
          <w:rFonts w:ascii="Arial" w:hAnsi="Arial" w:cs="Arial"/>
          <w:sz w:val="24"/>
          <w:szCs w:val="24"/>
          <w:lang w:val="en-US"/>
        </w:rPr>
        <w:t>.</w:t>
      </w:r>
      <w:r w:rsidR="006D3452" w:rsidRPr="001B05BA">
        <w:rPr>
          <w:rFonts w:ascii="Arial" w:hAnsi="Arial" w:cs="Arial"/>
          <w:sz w:val="24"/>
          <w:szCs w:val="24"/>
          <w:lang w:val="en-US"/>
        </w:rPr>
        <w:t xml:space="preserve"> </w:t>
      </w:r>
    </w:p>
    <w:p w14:paraId="5AF2A0BC" w14:textId="77777777" w:rsidR="00B852B1" w:rsidRPr="001B05BA" w:rsidRDefault="00B852B1" w:rsidP="00B852B1">
      <w:pPr>
        <w:pStyle w:val="ListParagraph"/>
        <w:rPr>
          <w:rFonts w:ascii="Arial" w:hAnsi="Arial" w:cs="Arial"/>
          <w:sz w:val="24"/>
          <w:szCs w:val="24"/>
          <w:lang w:val="en-US"/>
        </w:rPr>
      </w:pPr>
    </w:p>
    <w:p w14:paraId="34F57404" w14:textId="77777777" w:rsidR="00A033AE" w:rsidRPr="001B05BA" w:rsidRDefault="00EF0D7C" w:rsidP="00B54B79">
      <w:pPr>
        <w:pStyle w:val="ListParagraph"/>
        <w:numPr>
          <w:ilvl w:val="0"/>
          <w:numId w:val="2"/>
        </w:numPr>
        <w:tabs>
          <w:tab w:val="left" w:pos="4917"/>
        </w:tabs>
        <w:spacing w:before="120" w:after="120" w:line="360" w:lineRule="auto"/>
        <w:ind w:hanging="720"/>
        <w:jc w:val="both"/>
        <w:rPr>
          <w:rFonts w:ascii="Arial" w:hAnsi="Arial" w:cs="Arial"/>
          <w:sz w:val="24"/>
          <w:szCs w:val="24"/>
          <w:lang w:val="en-US"/>
        </w:rPr>
      </w:pPr>
      <w:r w:rsidRPr="001B05BA">
        <w:rPr>
          <w:rFonts w:ascii="Arial" w:hAnsi="Arial" w:cs="Arial"/>
          <w:sz w:val="24"/>
          <w:szCs w:val="24"/>
          <w:lang w:val="en-US"/>
        </w:rPr>
        <w:t xml:space="preserve">The purpose for which tariff subheading 2208.70.21 was </w:t>
      </w:r>
      <w:r w:rsidR="00F233FF" w:rsidRPr="001B05BA">
        <w:rPr>
          <w:rFonts w:ascii="Arial" w:hAnsi="Arial" w:cs="Arial"/>
          <w:sz w:val="24"/>
          <w:szCs w:val="24"/>
          <w:lang w:val="en-US"/>
        </w:rPr>
        <w:t>promulgated</w:t>
      </w:r>
      <w:r w:rsidR="00421E5E" w:rsidRPr="001B05BA">
        <w:rPr>
          <w:rFonts w:ascii="Arial" w:hAnsi="Arial" w:cs="Arial"/>
          <w:sz w:val="24"/>
          <w:szCs w:val="24"/>
          <w:lang w:val="en-US"/>
        </w:rPr>
        <w:t xml:space="preserve"> guides the interpreta</w:t>
      </w:r>
      <w:r w:rsidR="009528A1" w:rsidRPr="001B05BA">
        <w:rPr>
          <w:rFonts w:ascii="Arial" w:hAnsi="Arial" w:cs="Arial"/>
          <w:sz w:val="24"/>
          <w:szCs w:val="24"/>
          <w:lang w:val="en-US"/>
        </w:rPr>
        <w:t>tion of Additional Note 4(b) and in particular</w:t>
      </w:r>
      <w:r w:rsidR="00134075" w:rsidRPr="001B05BA">
        <w:rPr>
          <w:rFonts w:ascii="Arial" w:hAnsi="Arial" w:cs="Arial"/>
          <w:sz w:val="24"/>
          <w:szCs w:val="24"/>
          <w:lang w:val="en-US"/>
        </w:rPr>
        <w:t>,</w:t>
      </w:r>
      <w:r w:rsidR="009528A1" w:rsidRPr="001B05BA">
        <w:rPr>
          <w:rFonts w:ascii="Arial" w:hAnsi="Arial" w:cs="Arial"/>
          <w:sz w:val="24"/>
          <w:szCs w:val="24"/>
          <w:lang w:val="en-US"/>
        </w:rPr>
        <w:t xml:space="preserve"> the interpretation of the phrase ‘to which other non-alcoholic ingredients’ were added. </w:t>
      </w:r>
      <w:r w:rsidR="00264259" w:rsidRPr="001B05BA">
        <w:rPr>
          <w:rFonts w:ascii="Arial" w:hAnsi="Arial" w:cs="Arial"/>
          <w:sz w:val="24"/>
          <w:szCs w:val="24"/>
          <w:lang w:val="en-US"/>
        </w:rPr>
        <w:t xml:space="preserve">In the context of not only the said tariff subheading, but also the </w:t>
      </w:r>
      <w:r w:rsidR="00D955E3" w:rsidRPr="001B05BA">
        <w:rPr>
          <w:rFonts w:ascii="Arial" w:hAnsi="Arial" w:cs="Arial"/>
          <w:sz w:val="24"/>
          <w:szCs w:val="24"/>
          <w:lang w:val="en-US"/>
        </w:rPr>
        <w:t xml:space="preserve">manufacturing </w:t>
      </w:r>
      <w:r w:rsidR="00232105" w:rsidRPr="001B05BA">
        <w:rPr>
          <w:rFonts w:ascii="Arial" w:hAnsi="Arial" w:cs="Arial"/>
          <w:sz w:val="24"/>
          <w:szCs w:val="24"/>
          <w:lang w:val="en-US"/>
        </w:rPr>
        <w:t xml:space="preserve">process </w:t>
      </w:r>
      <w:r w:rsidR="00C80B0C" w:rsidRPr="001B05BA">
        <w:rPr>
          <w:rFonts w:ascii="Arial" w:hAnsi="Arial" w:cs="Arial"/>
          <w:sz w:val="24"/>
          <w:szCs w:val="24"/>
          <w:lang w:val="en-US"/>
        </w:rPr>
        <w:t>and inherent character</w:t>
      </w:r>
      <w:r w:rsidR="0091690D" w:rsidRPr="001B05BA">
        <w:rPr>
          <w:rFonts w:ascii="Arial" w:hAnsi="Arial" w:cs="Arial"/>
          <w:sz w:val="24"/>
          <w:szCs w:val="24"/>
          <w:lang w:val="en-US"/>
        </w:rPr>
        <w:t xml:space="preserve">istics of </w:t>
      </w:r>
      <w:r w:rsidR="00D955E3" w:rsidRPr="001B05BA">
        <w:rPr>
          <w:rFonts w:ascii="Arial" w:hAnsi="Arial" w:cs="Arial"/>
          <w:sz w:val="24"/>
          <w:szCs w:val="24"/>
          <w:lang w:val="en-US"/>
        </w:rPr>
        <w:t xml:space="preserve">liqueur, </w:t>
      </w:r>
      <w:r w:rsidR="00032EAA" w:rsidRPr="001B05BA">
        <w:rPr>
          <w:rFonts w:ascii="Arial" w:hAnsi="Arial" w:cs="Arial"/>
          <w:sz w:val="24"/>
          <w:szCs w:val="24"/>
          <w:lang w:val="en-US"/>
        </w:rPr>
        <w:t xml:space="preserve">an ingredient can only be regarded as an alcoholic ingredient if </w:t>
      </w:r>
      <w:r w:rsidR="00C323C3" w:rsidRPr="001B05BA">
        <w:rPr>
          <w:rFonts w:ascii="Arial" w:hAnsi="Arial" w:cs="Arial"/>
          <w:sz w:val="24"/>
          <w:szCs w:val="24"/>
          <w:lang w:val="en-US"/>
        </w:rPr>
        <w:t>it</w:t>
      </w:r>
      <w:r w:rsidR="00032EAA" w:rsidRPr="001B05BA">
        <w:rPr>
          <w:rFonts w:ascii="Arial" w:hAnsi="Arial" w:cs="Arial"/>
          <w:sz w:val="24"/>
          <w:szCs w:val="24"/>
          <w:lang w:val="en-US"/>
        </w:rPr>
        <w:t xml:space="preserve"> </w:t>
      </w:r>
      <w:r w:rsidR="00781B81" w:rsidRPr="001B05BA">
        <w:rPr>
          <w:rFonts w:ascii="Arial" w:hAnsi="Arial" w:cs="Arial"/>
          <w:sz w:val="24"/>
          <w:szCs w:val="24"/>
          <w:lang w:val="en-US"/>
        </w:rPr>
        <w:t xml:space="preserve">significantly contributes to the ABV of the </w:t>
      </w:r>
      <w:r w:rsidR="006966C0" w:rsidRPr="001B05BA">
        <w:rPr>
          <w:rFonts w:ascii="Arial" w:hAnsi="Arial" w:cs="Arial"/>
          <w:sz w:val="24"/>
          <w:szCs w:val="24"/>
          <w:lang w:val="en-US"/>
        </w:rPr>
        <w:t xml:space="preserve">final product. </w:t>
      </w:r>
    </w:p>
    <w:p w14:paraId="47707E44" w14:textId="77777777" w:rsidR="00A033AE" w:rsidRPr="001B05BA" w:rsidRDefault="00A033AE" w:rsidP="00A033AE">
      <w:pPr>
        <w:pStyle w:val="ListParagraph"/>
        <w:rPr>
          <w:rFonts w:ascii="Arial" w:hAnsi="Arial" w:cs="Arial"/>
          <w:sz w:val="24"/>
          <w:szCs w:val="24"/>
          <w:lang w:val="en-US"/>
        </w:rPr>
      </w:pPr>
    </w:p>
    <w:p w14:paraId="56E83585" w14:textId="010B61A5" w:rsidR="00261884" w:rsidRPr="001B05BA" w:rsidRDefault="00304D9D" w:rsidP="00B54B79">
      <w:pPr>
        <w:pStyle w:val="ListParagraph"/>
        <w:numPr>
          <w:ilvl w:val="0"/>
          <w:numId w:val="2"/>
        </w:numPr>
        <w:tabs>
          <w:tab w:val="left" w:pos="4917"/>
        </w:tabs>
        <w:spacing w:before="120" w:after="120" w:line="360" w:lineRule="auto"/>
        <w:ind w:hanging="720"/>
        <w:jc w:val="both"/>
        <w:rPr>
          <w:rFonts w:ascii="Arial" w:hAnsi="Arial" w:cs="Arial"/>
          <w:sz w:val="24"/>
          <w:szCs w:val="24"/>
          <w:lang w:val="en-US"/>
        </w:rPr>
      </w:pPr>
      <w:r w:rsidRPr="001B05BA">
        <w:rPr>
          <w:rFonts w:ascii="Arial" w:hAnsi="Arial" w:cs="Arial"/>
          <w:sz w:val="24"/>
          <w:szCs w:val="24"/>
          <w:lang w:val="en-US"/>
        </w:rPr>
        <w:t xml:space="preserve">The ingredient </w:t>
      </w:r>
      <w:r w:rsidR="00F967B2" w:rsidRPr="001B05BA">
        <w:rPr>
          <w:rFonts w:ascii="Arial" w:hAnsi="Arial" w:cs="Arial"/>
          <w:sz w:val="24"/>
          <w:szCs w:val="24"/>
          <w:lang w:val="en-US"/>
        </w:rPr>
        <w:t>may</w:t>
      </w:r>
      <w:r w:rsidR="001E2C75" w:rsidRPr="001B05BA">
        <w:rPr>
          <w:rFonts w:ascii="Arial" w:hAnsi="Arial" w:cs="Arial"/>
          <w:sz w:val="24"/>
          <w:szCs w:val="24"/>
          <w:lang w:val="en-US"/>
        </w:rPr>
        <w:t xml:space="preserve"> </w:t>
      </w:r>
      <w:r w:rsidR="00EA6C8A" w:rsidRPr="001B05BA">
        <w:rPr>
          <w:rFonts w:ascii="Arial" w:hAnsi="Arial" w:cs="Arial"/>
          <w:sz w:val="24"/>
          <w:szCs w:val="24"/>
          <w:lang w:val="en-US"/>
        </w:rPr>
        <w:t xml:space="preserve">be held to </w:t>
      </w:r>
      <w:r w:rsidR="001E2C75" w:rsidRPr="001B05BA">
        <w:rPr>
          <w:rFonts w:ascii="Arial" w:hAnsi="Arial" w:cs="Arial"/>
          <w:sz w:val="24"/>
          <w:szCs w:val="24"/>
          <w:lang w:val="en-US"/>
        </w:rPr>
        <w:t>significantly contribute to the ABV of the final product if</w:t>
      </w:r>
      <w:r w:rsidR="00476948" w:rsidRPr="001B05BA">
        <w:rPr>
          <w:rFonts w:ascii="Arial" w:hAnsi="Arial" w:cs="Arial"/>
          <w:sz w:val="24"/>
          <w:szCs w:val="24"/>
          <w:lang w:val="en-US"/>
        </w:rPr>
        <w:t xml:space="preserve">, for example, </w:t>
      </w:r>
      <w:r w:rsidR="001E2C75" w:rsidRPr="001B05BA">
        <w:rPr>
          <w:rFonts w:ascii="Arial" w:hAnsi="Arial" w:cs="Arial"/>
          <w:sz w:val="24"/>
          <w:szCs w:val="24"/>
          <w:lang w:val="en-US"/>
        </w:rPr>
        <w:t xml:space="preserve">it </w:t>
      </w:r>
      <w:r w:rsidR="00962E01" w:rsidRPr="001B05BA">
        <w:rPr>
          <w:rFonts w:ascii="Arial" w:hAnsi="Arial" w:cs="Arial"/>
          <w:sz w:val="24"/>
          <w:szCs w:val="24"/>
          <w:lang w:val="en-US"/>
        </w:rPr>
        <w:t xml:space="preserve">brings the ABV of the product within the required 15% </w:t>
      </w:r>
      <w:r w:rsidR="00476948" w:rsidRPr="001B05BA">
        <w:rPr>
          <w:rFonts w:ascii="Arial" w:hAnsi="Arial" w:cs="Arial"/>
          <w:sz w:val="24"/>
          <w:szCs w:val="24"/>
          <w:lang w:val="en-US"/>
        </w:rPr>
        <w:t>ABV</w:t>
      </w:r>
      <w:r w:rsidR="009F1955" w:rsidRPr="001B05BA">
        <w:rPr>
          <w:rFonts w:ascii="Arial" w:hAnsi="Arial" w:cs="Arial"/>
          <w:sz w:val="24"/>
          <w:szCs w:val="24"/>
          <w:lang w:val="en-US"/>
        </w:rPr>
        <w:t xml:space="preserve"> </w:t>
      </w:r>
      <w:r w:rsidR="0091690D" w:rsidRPr="001B05BA">
        <w:rPr>
          <w:rFonts w:ascii="Arial" w:hAnsi="Arial" w:cs="Arial"/>
          <w:sz w:val="24"/>
          <w:szCs w:val="24"/>
          <w:lang w:val="en-US"/>
        </w:rPr>
        <w:t xml:space="preserve">for the product </w:t>
      </w:r>
      <w:r w:rsidR="009F1955" w:rsidRPr="001B05BA">
        <w:rPr>
          <w:rFonts w:ascii="Arial" w:hAnsi="Arial" w:cs="Arial"/>
          <w:sz w:val="24"/>
          <w:szCs w:val="24"/>
          <w:lang w:val="en-US"/>
        </w:rPr>
        <w:t xml:space="preserve">to be classified </w:t>
      </w:r>
      <w:r w:rsidR="009149A6" w:rsidRPr="001B05BA">
        <w:rPr>
          <w:rFonts w:ascii="Arial" w:hAnsi="Arial" w:cs="Arial"/>
          <w:sz w:val="24"/>
          <w:szCs w:val="24"/>
          <w:lang w:val="en-US"/>
        </w:rPr>
        <w:t xml:space="preserve">under </w:t>
      </w:r>
      <w:r w:rsidR="00C813A4" w:rsidRPr="001B05BA">
        <w:rPr>
          <w:rFonts w:ascii="Arial" w:hAnsi="Arial" w:cs="Arial"/>
          <w:sz w:val="24"/>
          <w:szCs w:val="24"/>
          <w:lang w:val="en-US"/>
        </w:rPr>
        <w:t>tariff subheading 2208.70.21</w:t>
      </w:r>
      <w:r w:rsidR="00743291" w:rsidRPr="001B05BA">
        <w:rPr>
          <w:rFonts w:ascii="Arial" w:hAnsi="Arial" w:cs="Arial"/>
          <w:sz w:val="24"/>
          <w:szCs w:val="24"/>
          <w:lang w:val="en-US"/>
        </w:rPr>
        <w:t xml:space="preserve">. </w:t>
      </w:r>
      <w:r w:rsidR="006966C0" w:rsidRPr="001B05BA">
        <w:rPr>
          <w:rFonts w:ascii="Arial" w:hAnsi="Arial" w:cs="Arial"/>
          <w:sz w:val="24"/>
          <w:szCs w:val="24"/>
          <w:lang w:val="en-US"/>
        </w:rPr>
        <w:t>A specific ingredient can theoretically</w:t>
      </w:r>
      <w:r w:rsidR="00F53046" w:rsidRPr="001B05BA">
        <w:rPr>
          <w:rFonts w:ascii="Arial" w:hAnsi="Arial" w:cs="Arial"/>
          <w:sz w:val="24"/>
          <w:szCs w:val="24"/>
          <w:lang w:val="en-US"/>
        </w:rPr>
        <w:t xml:space="preserve"> have</w:t>
      </w:r>
      <w:r w:rsidR="006966C0" w:rsidRPr="001B05BA">
        <w:rPr>
          <w:rFonts w:ascii="Arial" w:hAnsi="Arial" w:cs="Arial"/>
          <w:sz w:val="24"/>
          <w:szCs w:val="24"/>
          <w:lang w:val="en-US"/>
        </w:rPr>
        <w:t xml:space="preserve"> an ABV of 15%</w:t>
      </w:r>
      <w:r w:rsidR="00C323C3" w:rsidRPr="001B05BA">
        <w:rPr>
          <w:rFonts w:ascii="Arial" w:hAnsi="Arial" w:cs="Arial"/>
          <w:sz w:val="24"/>
          <w:szCs w:val="24"/>
          <w:lang w:val="en-US"/>
        </w:rPr>
        <w:t>,</w:t>
      </w:r>
      <w:r w:rsidR="00D955E3" w:rsidRPr="001B05BA">
        <w:rPr>
          <w:rFonts w:ascii="Arial" w:hAnsi="Arial" w:cs="Arial"/>
          <w:sz w:val="24"/>
          <w:szCs w:val="24"/>
          <w:lang w:val="en-US"/>
        </w:rPr>
        <w:t xml:space="preserve"> </w:t>
      </w:r>
      <w:r w:rsidR="00FB2667" w:rsidRPr="001B05BA">
        <w:rPr>
          <w:rFonts w:ascii="Arial" w:hAnsi="Arial" w:cs="Arial"/>
          <w:sz w:val="24"/>
          <w:szCs w:val="24"/>
          <w:lang w:val="en-US"/>
        </w:rPr>
        <w:t xml:space="preserve">but the quantity that is added to the wine spirit base </w:t>
      </w:r>
      <w:r w:rsidR="00DA600D" w:rsidRPr="001B05BA">
        <w:rPr>
          <w:rFonts w:ascii="Arial" w:hAnsi="Arial" w:cs="Arial"/>
          <w:sz w:val="24"/>
          <w:szCs w:val="24"/>
          <w:lang w:val="en-US"/>
        </w:rPr>
        <w:t>is</w:t>
      </w:r>
      <w:r w:rsidR="00FB2667" w:rsidRPr="001B05BA">
        <w:rPr>
          <w:rFonts w:ascii="Arial" w:hAnsi="Arial" w:cs="Arial"/>
          <w:sz w:val="24"/>
          <w:szCs w:val="24"/>
          <w:lang w:val="en-US"/>
        </w:rPr>
        <w:t xml:space="preserve"> so small that it does not affect the </w:t>
      </w:r>
      <w:r w:rsidR="00387A96" w:rsidRPr="001B05BA">
        <w:rPr>
          <w:rFonts w:ascii="Arial" w:hAnsi="Arial" w:cs="Arial"/>
          <w:sz w:val="24"/>
          <w:szCs w:val="24"/>
          <w:lang w:val="en-US"/>
        </w:rPr>
        <w:t>ABV of the final product.</w:t>
      </w:r>
      <w:r w:rsidR="00DA7789" w:rsidRPr="001B05BA">
        <w:rPr>
          <w:rFonts w:ascii="Arial" w:hAnsi="Arial" w:cs="Arial"/>
          <w:sz w:val="24"/>
          <w:szCs w:val="24"/>
          <w:lang w:val="en-US"/>
        </w:rPr>
        <w:t xml:space="preserve"> </w:t>
      </w:r>
      <w:r w:rsidR="00261884" w:rsidRPr="001B05BA">
        <w:rPr>
          <w:rFonts w:ascii="Arial" w:hAnsi="Arial" w:cs="Arial"/>
          <w:sz w:val="24"/>
          <w:szCs w:val="24"/>
          <w:lang w:val="en-US"/>
        </w:rPr>
        <w:t>In these circumstances, the ingredient is a ‘non-alcoholic ingredient’</w:t>
      </w:r>
      <w:r w:rsidR="00DB07D9" w:rsidRPr="001B05BA">
        <w:rPr>
          <w:rFonts w:ascii="Arial" w:hAnsi="Arial" w:cs="Arial"/>
          <w:sz w:val="24"/>
          <w:szCs w:val="24"/>
          <w:lang w:val="en-US"/>
        </w:rPr>
        <w:t xml:space="preserve"> despite the ABV of the </w:t>
      </w:r>
      <w:r w:rsidR="00CC5D6B" w:rsidRPr="001B05BA">
        <w:rPr>
          <w:rFonts w:ascii="Arial" w:hAnsi="Arial" w:cs="Arial"/>
          <w:sz w:val="24"/>
          <w:szCs w:val="24"/>
          <w:lang w:val="en-US"/>
        </w:rPr>
        <w:t>ingredient</w:t>
      </w:r>
      <w:r w:rsidR="00261884" w:rsidRPr="001B05BA">
        <w:rPr>
          <w:rFonts w:ascii="Arial" w:hAnsi="Arial" w:cs="Arial"/>
          <w:sz w:val="24"/>
          <w:szCs w:val="24"/>
          <w:lang w:val="en-US"/>
        </w:rPr>
        <w:t xml:space="preserve">.  The contrary is also theoretically </w:t>
      </w:r>
      <w:r w:rsidR="00A14079" w:rsidRPr="001B05BA">
        <w:rPr>
          <w:rFonts w:ascii="Arial" w:hAnsi="Arial" w:cs="Arial"/>
          <w:sz w:val="24"/>
          <w:szCs w:val="24"/>
          <w:lang w:val="en-US"/>
        </w:rPr>
        <w:t>possible</w:t>
      </w:r>
      <w:r w:rsidR="00261884" w:rsidRPr="001B05BA">
        <w:rPr>
          <w:rFonts w:ascii="Arial" w:hAnsi="Arial" w:cs="Arial"/>
          <w:sz w:val="24"/>
          <w:szCs w:val="24"/>
          <w:lang w:val="en-US"/>
        </w:rPr>
        <w:t>, an ingredient with an ABV of 0.</w:t>
      </w:r>
      <w:r w:rsidR="00A14079" w:rsidRPr="001B05BA">
        <w:rPr>
          <w:rFonts w:ascii="Arial" w:hAnsi="Arial" w:cs="Arial"/>
          <w:sz w:val="24"/>
          <w:szCs w:val="24"/>
          <w:lang w:val="en-US"/>
        </w:rPr>
        <w:t>5</w:t>
      </w:r>
      <w:r w:rsidR="00261884" w:rsidRPr="001B05BA">
        <w:rPr>
          <w:rFonts w:ascii="Arial" w:hAnsi="Arial" w:cs="Arial"/>
          <w:sz w:val="24"/>
          <w:szCs w:val="24"/>
          <w:lang w:val="en-US"/>
        </w:rPr>
        <w:t>% can be added to the wine spirit base in such quantities that it significantly impacts the ABV of the final product</w:t>
      </w:r>
      <w:r w:rsidR="002F259F" w:rsidRPr="001B05BA">
        <w:rPr>
          <w:rFonts w:ascii="Arial" w:hAnsi="Arial" w:cs="Arial"/>
          <w:sz w:val="24"/>
          <w:szCs w:val="24"/>
          <w:lang w:val="en-US"/>
        </w:rPr>
        <w:t xml:space="preserve">, in which event it </w:t>
      </w:r>
      <w:r w:rsidR="005B13FA" w:rsidRPr="001B05BA">
        <w:rPr>
          <w:rFonts w:ascii="Arial" w:hAnsi="Arial" w:cs="Arial"/>
          <w:sz w:val="24"/>
          <w:szCs w:val="24"/>
          <w:lang w:val="en-US"/>
        </w:rPr>
        <w:t>may</w:t>
      </w:r>
      <w:r w:rsidR="002F259F" w:rsidRPr="001B05BA">
        <w:rPr>
          <w:rFonts w:ascii="Arial" w:hAnsi="Arial" w:cs="Arial"/>
          <w:sz w:val="24"/>
          <w:szCs w:val="24"/>
          <w:lang w:val="en-US"/>
        </w:rPr>
        <w:t xml:space="preserve"> not fall in the ambit of ‘non-alcoholic ingredients.’</w:t>
      </w:r>
    </w:p>
    <w:p w14:paraId="255A0449" w14:textId="77777777" w:rsidR="00261884" w:rsidRPr="001B05BA" w:rsidRDefault="00261884" w:rsidP="00261884">
      <w:pPr>
        <w:pStyle w:val="ListParagraph"/>
        <w:rPr>
          <w:rFonts w:ascii="Arial" w:hAnsi="Arial" w:cs="Arial"/>
          <w:sz w:val="24"/>
          <w:szCs w:val="24"/>
          <w:lang w:val="en-US"/>
        </w:rPr>
      </w:pPr>
    </w:p>
    <w:p w14:paraId="04648218" w14:textId="4CB62A58" w:rsidR="00B726CA" w:rsidRPr="001B05BA" w:rsidRDefault="00B726CA" w:rsidP="006D3452">
      <w:pPr>
        <w:pStyle w:val="ListParagraph"/>
        <w:numPr>
          <w:ilvl w:val="0"/>
          <w:numId w:val="2"/>
        </w:numPr>
        <w:tabs>
          <w:tab w:val="left" w:pos="4917"/>
        </w:tabs>
        <w:spacing w:before="120" w:after="120" w:line="360" w:lineRule="auto"/>
        <w:ind w:hanging="720"/>
        <w:jc w:val="both"/>
        <w:rPr>
          <w:rFonts w:ascii="Arial" w:hAnsi="Arial" w:cs="Arial"/>
          <w:sz w:val="24"/>
          <w:szCs w:val="24"/>
          <w:lang w:val="en-US"/>
        </w:rPr>
      </w:pPr>
      <w:r w:rsidRPr="001B05BA">
        <w:rPr>
          <w:rFonts w:ascii="Arial" w:hAnsi="Arial" w:cs="Arial"/>
          <w:sz w:val="24"/>
          <w:szCs w:val="24"/>
          <w:lang w:val="en-US"/>
        </w:rPr>
        <w:t xml:space="preserve">In light of this practical reality, and </w:t>
      </w:r>
      <w:r w:rsidR="0025786D" w:rsidRPr="001B05BA">
        <w:rPr>
          <w:rFonts w:ascii="Arial" w:hAnsi="Arial" w:cs="Arial"/>
          <w:sz w:val="24"/>
          <w:szCs w:val="24"/>
          <w:lang w:val="en-US"/>
        </w:rPr>
        <w:t>because of the finding I come to be</w:t>
      </w:r>
      <w:r w:rsidR="00BD6F88" w:rsidRPr="001B05BA">
        <w:rPr>
          <w:rFonts w:ascii="Arial" w:hAnsi="Arial" w:cs="Arial"/>
          <w:sz w:val="24"/>
          <w:szCs w:val="24"/>
          <w:lang w:val="en-US"/>
        </w:rPr>
        <w:t>l</w:t>
      </w:r>
      <w:r w:rsidR="0025786D" w:rsidRPr="001B05BA">
        <w:rPr>
          <w:rFonts w:ascii="Arial" w:hAnsi="Arial" w:cs="Arial"/>
          <w:sz w:val="24"/>
          <w:szCs w:val="24"/>
          <w:lang w:val="en-US"/>
        </w:rPr>
        <w:t xml:space="preserve">ow regarding the application of the maxim </w:t>
      </w:r>
      <w:r w:rsidR="0025786D" w:rsidRPr="001B05BA">
        <w:rPr>
          <w:rFonts w:ascii="Arial" w:hAnsi="Arial" w:cs="Arial"/>
          <w:i/>
          <w:iCs/>
          <w:sz w:val="24"/>
          <w:szCs w:val="24"/>
          <w:lang w:val="en-US"/>
        </w:rPr>
        <w:t xml:space="preserve">de minimis </w:t>
      </w:r>
      <w:r w:rsidR="005B13FA" w:rsidRPr="001B05BA">
        <w:rPr>
          <w:rFonts w:ascii="Arial" w:hAnsi="Arial" w:cs="Arial"/>
          <w:i/>
          <w:iCs/>
          <w:sz w:val="24"/>
          <w:szCs w:val="24"/>
          <w:lang w:val="en-US"/>
        </w:rPr>
        <w:t xml:space="preserve">non </w:t>
      </w:r>
      <w:r w:rsidR="0025786D" w:rsidRPr="001B05BA">
        <w:rPr>
          <w:rFonts w:ascii="Arial" w:hAnsi="Arial" w:cs="Arial"/>
          <w:i/>
          <w:iCs/>
          <w:sz w:val="24"/>
          <w:szCs w:val="24"/>
          <w:lang w:val="en-US"/>
        </w:rPr>
        <w:t>curat lex</w:t>
      </w:r>
      <w:r w:rsidR="0025786D" w:rsidRPr="001B05BA">
        <w:rPr>
          <w:rFonts w:ascii="Arial" w:hAnsi="Arial" w:cs="Arial"/>
          <w:sz w:val="24"/>
          <w:szCs w:val="24"/>
          <w:lang w:val="en-US"/>
        </w:rPr>
        <w:t xml:space="preserve">, I am of the view that it is not necessary to </w:t>
      </w:r>
      <w:r w:rsidR="00BD6F88" w:rsidRPr="001B05BA">
        <w:rPr>
          <w:rFonts w:ascii="Arial" w:hAnsi="Arial" w:cs="Arial"/>
          <w:sz w:val="24"/>
          <w:szCs w:val="24"/>
          <w:lang w:val="en-US"/>
        </w:rPr>
        <w:t>consider</w:t>
      </w:r>
      <w:r w:rsidR="0025786D" w:rsidRPr="001B05BA">
        <w:rPr>
          <w:rFonts w:ascii="Arial" w:hAnsi="Arial" w:cs="Arial"/>
          <w:sz w:val="24"/>
          <w:szCs w:val="24"/>
          <w:lang w:val="en-US"/>
        </w:rPr>
        <w:t xml:space="preserve"> the question </w:t>
      </w:r>
      <w:r w:rsidR="00BD6F88" w:rsidRPr="001B05BA">
        <w:rPr>
          <w:rFonts w:ascii="Arial" w:hAnsi="Arial" w:cs="Arial"/>
          <w:sz w:val="24"/>
          <w:szCs w:val="24"/>
          <w:lang w:val="en-US"/>
        </w:rPr>
        <w:t xml:space="preserve">of </w:t>
      </w:r>
      <w:r w:rsidR="0025786D" w:rsidRPr="001B05BA">
        <w:rPr>
          <w:rFonts w:ascii="Arial" w:hAnsi="Arial" w:cs="Arial"/>
          <w:sz w:val="24"/>
          <w:szCs w:val="24"/>
          <w:lang w:val="en-US"/>
        </w:rPr>
        <w:t xml:space="preserve">whether the vanilla extract or the </w:t>
      </w:r>
      <w:r w:rsidR="00245C2F" w:rsidRPr="001B05BA">
        <w:rPr>
          <w:rFonts w:ascii="Arial" w:hAnsi="Arial" w:cs="Arial"/>
          <w:sz w:val="24"/>
          <w:szCs w:val="24"/>
          <w:lang w:val="en-US"/>
        </w:rPr>
        <w:t xml:space="preserve">content of the </w:t>
      </w:r>
      <w:r w:rsidR="00B40668" w:rsidRPr="001B05BA">
        <w:rPr>
          <w:rFonts w:ascii="Arial" w:hAnsi="Arial" w:cs="Arial"/>
          <w:sz w:val="24"/>
          <w:szCs w:val="24"/>
          <w:lang w:val="en-US"/>
        </w:rPr>
        <w:t xml:space="preserve">flavouring mixture in the </w:t>
      </w:r>
      <w:r w:rsidR="00245C2F" w:rsidRPr="001B05BA">
        <w:rPr>
          <w:rFonts w:ascii="Arial" w:hAnsi="Arial" w:cs="Arial"/>
          <w:sz w:val="24"/>
          <w:szCs w:val="24"/>
          <w:lang w:val="en-US"/>
        </w:rPr>
        <w:t xml:space="preserve">flavouring tank, constitute the ingredient that is added to the wine spirit. </w:t>
      </w:r>
      <w:r w:rsidR="007B5389" w:rsidRPr="001B05BA">
        <w:rPr>
          <w:rFonts w:ascii="Arial" w:hAnsi="Arial" w:cs="Arial"/>
          <w:sz w:val="24"/>
          <w:szCs w:val="24"/>
          <w:lang w:val="en-US"/>
        </w:rPr>
        <w:t xml:space="preserve">Neither is it, </w:t>
      </w:r>
      <w:r w:rsidR="007B5389" w:rsidRPr="001B05BA">
        <w:rPr>
          <w:rFonts w:ascii="Arial" w:hAnsi="Arial" w:cs="Arial"/>
          <w:i/>
          <w:iCs/>
          <w:sz w:val="24"/>
          <w:szCs w:val="24"/>
          <w:lang w:val="en-US"/>
        </w:rPr>
        <w:t xml:space="preserve">in </w:t>
      </w:r>
      <w:r w:rsidR="007B5389" w:rsidRPr="001B05BA">
        <w:rPr>
          <w:rFonts w:ascii="Arial" w:hAnsi="Arial" w:cs="Arial"/>
          <w:sz w:val="24"/>
          <w:szCs w:val="24"/>
          <w:lang w:val="en-US"/>
        </w:rPr>
        <w:t xml:space="preserve">casu, necessary to </w:t>
      </w:r>
      <w:r w:rsidR="00DE2D56" w:rsidRPr="001B05BA">
        <w:rPr>
          <w:rFonts w:ascii="Arial" w:hAnsi="Arial" w:cs="Arial"/>
          <w:sz w:val="24"/>
          <w:szCs w:val="24"/>
          <w:lang w:val="en-US"/>
        </w:rPr>
        <w:t xml:space="preserve">definitively </w:t>
      </w:r>
      <w:r w:rsidR="007B5389" w:rsidRPr="001B05BA">
        <w:rPr>
          <w:rFonts w:ascii="Arial" w:hAnsi="Arial" w:cs="Arial"/>
          <w:sz w:val="24"/>
          <w:szCs w:val="24"/>
          <w:lang w:val="en-US"/>
        </w:rPr>
        <w:t xml:space="preserve">determine the applicability of </w:t>
      </w:r>
      <w:r w:rsidR="00DE2D56" w:rsidRPr="001B05BA">
        <w:rPr>
          <w:rFonts w:ascii="Arial" w:hAnsi="Arial" w:cs="Arial"/>
          <w:sz w:val="24"/>
          <w:szCs w:val="24"/>
        </w:rPr>
        <w:t xml:space="preserve">the principles set out in </w:t>
      </w:r>
      <w:r w:rsidR="00DE2D56" w:rsidRPr="001B05BA">
        <w:rPr>
          <w:rFonts w:ascii="Arial" w:hAnsi="Arial" w:cs="Arial"/>
          <w:i/>
          <w:sz w:val="24"/>
          <w:szCs w:val="24"/>
        </w:rPr>
        <w:t xml:space="preserve">The Commissioner for the South African Revenue Services v South African Breweries (Pty) Ltd </w:t>
      </w:r>
      <w:r w:rsidR="00DE2D56" w:rsidRPr="001B05BA">
        <w:rPr>
          <w:rFonts w:ascii="Arial" w:hAnsi="Arial" w:cs="Arial"/>
          <w:sz w:val="24"/>
          <w:szCs w:val="24"/>
        </w:rPr>
        <w:t>[2018] ZASCA 101 (27 June 2018)</w:t>
      </w:r>
      <w:r w:rsidR="00844208" w:rsidRPr="001B05BA">
        <w:rPr>
          <w:rFonts w:ascii="Arial" w:hAnsi="Arial" w:cs="Arial"/>
          <w:sz w:val="24"/>
          <w:szCs w:val="24"/>
        </w:rPr>
        <w:t xml:space="preserve">. </w:t>
      </w:r>
      <w:r w:rsidR="00245C2F" w:rsidRPr="001B05BA">
        <w:rPr>
          <w:rFonts w:ascii="Arial" w:hAnsi="Arial" w:cs="Arial"/>
          <w:sz w:val="24"/>
          <w:szCs w:val="24"/>
          <w:lang w:val="en-US"/>
        </w:rPr>
        <w:t>In the appropriate factual context th</w:t>
      </w:r>
      <w:r w:rsidR="00844208" w:rsidRPr="001B05BA">
        <w:rPr>
          <w:rFonts w:ascii="Arial" w:hAnsi="Arial" w:cs="Arial"/>
          <w:sz w:val="24"/>
          <w:szCs w:val="24"/>
          <w:lang w:val="en-US"/>
        </w:rPr>
        <w:t>ese</w:t>
      </w:r>
      <w:r w:rsidR="00245C2F" w:rsidRPr="001B05BA">
        <w:rPr>
          <w:rFonts w:ascii="Arial" w:hAnsi="Arial" w:cs="Arial"/>
          <w:sz w:val="24"/>
          <w:szCs w:val="24"/>
          <w:lang w:val="en-US"/>
        </w:rPr>
        <w:t xml:space="preserve"> might be highly </w:t>
      </w:r>
      <w:r w:rsidR="00E31D7F" w:rsidRPr="001B05BA">
        <w:rPr>
          <w:rFonts w:ascii="Arial" w:hAnsi="Arial" w:cs="Arial"/>
          <w:sz w:val="24"/>
          <w:szCs w:val="24"/>
          <w:lang w:val="en-US"/>
        </w:rPr>
        <w:t>relevant</w:t>
      </w:r>
      <w:r w:rsidR="00245C2F" w:rsidRPr="001B05BA">
        <w:rPr>
          <w:rFonts w:ascii="Arial" w:hAnsi="Arial" w:cs="Arial"/>
          <w:sz w:val="24"/>
          <w:szCs w:val="24"/>
          <w:lang w:val="en-US"/>
        </w:rPr>
        <w:t xml:space="preserve"> question</w:t>
      </w:r>
      <w:r w:rsidR="00844208" w:rsidRPr="001B05BA">
        <w:rPr>
          <w:rFonts w:ascii="Arial" w:hAnsi="Arial" w:cs="Arial"/>
          <w:sz w:val="24"/>
          <w:szCs w:val="24"/>
          <w:lang w:val="en-US"/>
        </w:rPr>
        <w:t>s</w:t>
      </w:r>
      <w:r w:rsidR="00E31D7F" w:rsidRPr="001B05BA">
        <w:rPr>
          <w:rFonts w:ascii="Arial" w:hAnsi="Arial" w:cs="Arial"/>
          <w:sz w:val="24"/>
          <w:szCs w:val="24"/>
          <w:lang w:val="en-US"/>
        </w:rPr>
        <w:t xml:space="preserve"> in a case where its determination will impact on the outcome of the matter.</w:t>
      </w:r>
      <w:r w:rsidR="00D81DC6" w:rsidRPr="001B05BA">
        <w:rPr>
          <w:rFonts w:ascii="Arial" w:hAnsi="Arial" w:cs="Arial"/>
          <w:sz w:val="24"/>
          <w:szCs w:val="24"/>
          <w:lang w:val="en-US"/>
        </w:rPr>
        <w:t xml:space="preserve"> This matter is not such a case.</w:t>
      </w:r>
    </w:p>
    <w:p w14:paraId="6B0C27AE" w14:textId="77777777" w:rsidR="007B5389" w:rsidRPr="001B05BA" w:rsidRDefault="007B5389" w:rsidP="007B5389">
      <w:pPr>
        <w:pStyle w:val="ListParagraph"/>
        <w:rPr>
          <w:rFonts w:ascii="Arial" w:hAnsi="Arial" w:cs="Arial"/>
          <w:sz w:val="24"/>
          <w:szCs w:val="24"/>
          <w:lang w:val="en-US"/>
        </w:rPr>
      </w:pPr>
    </w:p>
    <w:p w14:paraId="36518799" w14:textId="6DCF5038" w:rsidR="007B5389" w:rsidRPr="001B05BA" w:rsidRDefault="00844208" w:rsidP="007B5389">
      <w:pPr>
        <w:pStyle w:val="ListParagraph"/>
        <w:numPr>
          <w:ilvl w:val="0"/>
          <w:numId w:val="2"/>
        </w:numPr>
        <w:tabs>
          <w:tab w:val="left" w:pos="4917"/>
        </w:tabs>
        <w:spacing w:before="120" w:after="120" w:line="360" w:lineRule="auto"/>
        <w:ind w:hanging="720"/>
        <w:jc w:val="both"/>
        <w:rPr>
          <w:rFonts w:ascii="Arial" w:hAnsi="Arial" w:cs="Arial"/>
          <w:sz w:val="24"/>
          <w:szCs w:val="24"/>
          <w:lang w:val="en-US"/>
        </w:rPr>
      </w:pPr>
      <w:r w:rsidRPr="001B05BA">
        <w:rPr>
          <w:rFonts w:ascii="Arial" w:hAnsi="Arial" w:cs="Arial"/>
          <w:sz w:val="24"/>
          <w:szCs w:val="24"/>
          <w:lang w:val="en-US"/>
        </w:rPr>
        <w:lastRenderedPageBreak/>
        <w:t>It suffices to state that, in my view, t</w:t>
      </w:r>
      <w:r w:rsidR="007B5389" w:rsidRPr="001B05BA">
        <w:rPr>
          <w:rFonts w:ascii="Arial" w:hAnsi="Arial" w:cs="Arial"/>
          <w:sz w:val="24"/>
          <w:szCs w:val="24"/>
          <w:lang w:val="en-US"/>
        </w:rPr>
        <w:t xml:space="preserve">he phrase ‘non-alcoholic’ could not have been intended to mean 0% alcoholic as advanced by the Commissioner. If the legislator intended to deviate from the 0.5% threshold referred to throughout Chapter 22, and defined in Chapter Note 3 of Chapter 22, it would have stated the same unequivocally. </w:t>
      </w:r>
    </w:p>
    <w:p w14:paraId="5875BBD3" w14:textId="77777777" w:rsidR="00437414" w:rsidRPr="001B05BA" w:rsidRDefault="00437414" w:rsidP="00437414">
      <w:pPr>
        <w:pStyle w:val="ListParagraph"/>
        <w:rPr>
          <w:rFonts w:ascii="Arial" w:hAnsi="Arial" w:cs="Arial"/>
          <w:sz w:val="24"/>
          <w:szCs w:val="24"/>
          <w:lang w:val="en-US"/>
        </w:rPr>
      </w:pPr>
    </w:p>
    <w:p w14:paraId="5AE8E23D" w14:textId="5DD7202D" w:rsidR="0019604F" w:rsidRPr="001B05BA" w:rsidRDefault="00437414" w:rsidP="006D3452">
      <w:pPr>
        <w:pStyle w:val="ListParagraph"/>
        <w:numPr>
          <w:ilvl w:val="0"/>
          <w:numId w:val="2"/>
        </w:numPr>
        <w:tabs>
          <w:tab w:val="left" w:pos="4917"/>
        </w:tabs>
        <w:spacing w:before="120" w:after="120" w:line="360" w:lineRule="auto"/>
        <w:ind w:hanging="720"/>
        <w:jc w:val="both"/>
        <w:rPr>
          <w:rFonts w:ascii="Arial" w:hAnsi="Arial" w:cs="Arial"/>
          <w:sz w:val="24"/>
          <w:szCs w:val="24"/>
          <w:lang w:val="en-US"/>
        </w:rPr>
      </w:pPr>
      <w:r w:rsidRPr="001B05BA">
        <w:rPr>
          <w:rFonts w:ascii="Arial" w:hAnsi="Arial" w:cs="Arial"/>
          <w:i/>
          <w:iCs/>
          <w:sz w:val="24"/>
          <w:szCs w:val="24"/>
          <w:lang w:val="en-US"/>
        </w:rPr>
        <w:t xml:space="preserve">In </w:t>
      </w:r>
      <w:r w:rsidRPr="001B05BA">
        <w:rPr>
          <w:rFonts w:ascii="Arial" w:hAnsi="Arial" w:cs="Arial"/>
          <w:sz w:val="24"/>
          <w:szCs w:val="24"/>
          <w:lang w:val="en-US"/>
        </w:rPr>
        <w:t>casu, it is not disputed</w:t>
      </w:r>
      <w:r w:rsidR="001C7A6A" w:rsidRPr="001B05BA">
        <w:rPr>
          <w:rFonts w:ascii="Arial" w:hAnsi="Arial" w:cs="Arial"/>
          <w:sz w:val="24"/>
          <w:szCs w:val="24"/>
          <w:lang w:val="en-US"/>
        </w:rPr>
        <w:t xml:space="preserve"> that the </w:t>
      </w:r>
      <w:r w:rsidR="006353BE" w:rsidRPr="001B05BA">
        <w:rPr>
          <w:rFonts w:ascii="Arial" w:hAnsi="Arial" w:cs="Arial"/>
          <w:sz w:val="24"/>
          <w:szCs w:val="24"/>
          <w:lang w:val="en-US"/>
        </w:rPr>
        <w:t>ABV</w:t>
      </w:r>
      <w:r w:rsidR="001B538F" w:rsidRPr="001B05BA">
        <w:rPr>
          <w:rFonts w:ascii="Arial" w:hAnsi="Arial" w:cs="Arial"/>
          <w:sz w:val="24"/>
          <w:szCs w:val="24"/>
          <w:lang w:val="en-US"/>
        </w:rPr>
        <w:t xml:space="preserve"> of the flavouring which is added to the wine spirits is 0</w:t>
      </w:r>
      <w:r w:rsidR="000B36A5" w:rsidRPr="001B05BA">
        <w:rPr>
          <w:rFonts w:ascii="Arial" w:hAnsi="Arial" w:cs="Arial"/>
          <w:sz w:val="24"/>
          <w:szCs w:val="24"/>
          <w:lang w:val="en-US"/>
        </w:rPr>
        <w:t>.00</w:t>
      </w:r>
      <w:r w:rsidR="008C541F" w:rsidRPr="001B05BA">
        <w:rPr>
          <w:rFonts w:ascii="Arial" w:hAnsi="Arial" w:cs="Arial"/>
          <w:sz w:val="24"/>
          <w:szCs w:val="24"/>
          <w:lang w:val="en-US"/>
        </w:rPr>
        <w:t>0</w:t>
      </w:r>
      <w:r w:rsidR="000B36A5" w:rsidRPr="001B05BA">
        <w:rPr>
          <w:rFonts w:ascii="Arial" w:hAnsi="Arial" w:cs="Arial"/>
          <w:sz w:val="24"/>
          <w:szCs w:val="24"/>
          <w:lang w:val="en-US"/>
        </w:rPr>
        <w:t xml:space="preserve">252%. </w:t>
      </w:r>
      <w:r w:rsidR="003D6A41" w:rsidRPr="001B05BA">
        <w:rPr>
          <w:rFonts w:ascii="Arial" w:hAnsi="Arial" w:cs="Arial"/>
          <w:sz w:val="24"/>
          <w:szCs w:val="24"/>
          <w:lang w:val="en-US"/>
        </w:rPr>
        <w:t xml:space="preserve"> The ABV of the wine spirit base is 15.99999964%</w:t>
      </w:r>
      <w:r w:rsidR="003C248E" w:rsidRPr="001B05BA">
        <w:rPr>
          <w:rFonts w:ascii="Arial" w:hAnsi="Arial" w:cs="Arial"/>
          <w:sz w:val="24"/>
          <w:szCs w:val="24"/>
          <w:lang w:val="en-US"/>
        </w:rPr>
        <w:t xml:space="preserve">. </w:t>
      </w:r>
      <w:r w:rsidR="00427E3E" w:rsidRPr="001B05BA">
        <w:rPr>
          <w:rFonts w:ascii="Arial" w:hAnsi="Arial" w:cs="Arial"/>
          <w:sz w:val="24"/>
          <w:szCs w:val="24"/>
          <w:lang w:val="en-US"/>
        </w:rPr>
        <w:t>If it is accepted that the lower</w:t>
      </w:r>
      <w:r w:rsidR="002C2279" w:rsidRPr="001B05BA">
        <w:rPr>
          <w:rFonts w:ascii="Arial" w:hAnsi="Arial" w:cs="Arial"/>
          <w:sz w:val="24"/>
          <w:szCs w:val="24"/>
          <w:lang w:val="en-US"/>
        </w:rPr>
        <w:t xml:space="preserve"> tariff </w:t>
      </w:r>
      <w:r w:rsidR="006353BE" w:rsidRPr="001B05BA">
        <w:rPr>
          <w:rFonts w:ascii="Arial" w:hAnsi="Arial" w:cs="Arial"/>
          <w:sz w:val="24"/>
          <w:szCs w:val="24"/>
          <w:lang w:val="en-US"/>
        </w:rPr>
        <w:t>was introduced to</w:t>
      </w:r>
      <w:r w:rsidR="002C2279" w:rsidRPr="001B05BA">
        <w:rPr>
          <w:rFonts w:ascii="Arial" w:hAnsi="Arial" w:cs="Arial"/>
          <w:sz w:val="24"/>
          <w:szCs w:val="24"/>
          <w:lang w:val="en-US"/>
        </w:rPr>
        <w:t xml:space="preserve"> encourage and promote the use of the more expensive wine spirits in the manufacturing process of </w:t>
      </w:r>
      <w:r w:rsidR="0053302A" w:rsidRPr="001B05BA">
        <w:rPr>
          <w:rFonts w:ascii="Arial" w:hAnsi="Arial" w:cs="Arial"/>
          <w:sz w:val="24"/>
          <w:szCs w:val="24"/>
          <w:lang w:val="en-US"/>
        </w:rPr>
        <w:t xml:space="preserve">liqueur, </w:t>
      </w:r>
      <w:r w:rsidR="007C699A" w:rsidRPr="001B05BA">
        <w:rPr>
          <w:rFonts w:ascii="Arial" w:hAnsi="Arial" w:cs="Arial"/>
          <w:sz w:val="24"/>
          <w:szCs w:val="24"/>
          <w:lang w:val="en-US"/>
        </w:rPr>
        <w:t>it would be inherently contradictory</w:t>
      </w:r>
      <w:r w:rsidR="002347CE" w:rsidRPr="001B05BA">
        <w:rPr>
          <w:rFonts w:ascii="Arial" w:hAnsi="Arial" w:cs="Arial"/>
          <w:sz w:val="24"/>
          <w:szCs w:val="24"/>
          <w:lang w:val="en-US"/>
        </w:rPr>
        <w:t xml:space="preserve"> to find that a product </w:t>
      </w:r>
      <w:r w:rsidR="00E5561C" w:rsidRPr="001B05BA">
        <w:rPr>
          <w:rFonts w:ascii="Arial" w:hAnsi="Arial" w:cs="Arial"/>
          <w:sz w:val="24"/>
          <w:szCs w:val="24"/>
          <w:lang w:val="en-US"/>
        </w:rPr>
        <w:t xml:space="preserve">of </w:t>
      </w:r>
      <w:r w:rsidR="001B0D76" w:rsidRPr="001B05BA">
        <w:rPr>
          <w:rFonts w:ascii="Arial" w:hAnsi="Arial" w:cs="Arial"/>
          <w:sz w:val="24"/>
          <w:szCs w:val="24"/>
          <w:lang w:val="en-US"/>
        </w:rPr>
        <w:t xml:space="preserve">which </w:t>
      </w:r>
      <w:r w:rsidR="00E5561C" w:rsidRPr="001B05BA">
        <w:rPr>
          <w:rFonts w:ascii="Arial" w:hAnsi="Arial" w:cs="Arial"/>
          <w:sz w:val="24"/>
          <w:szCs w:val="24"/>
          <w:lang w:val="en-US"/>
        </w:rPr>
        <w:t xml:space="preserve">the </w:t>
      </w:r>
      <w:r w:rsidR="00966DFB" w:rsidRPr="001B05BA">
        <w:rPr>
          <w:rFonts w:ascii="Arial" w:hAnsi="Arial" w:cs="Arial"/>
          <w:sz w:val="24"/>
          <w:szCs w:val="24"/>
          <w:lang w:val="en-US"/>
        </w:rPr>
        <w:t>ABV</w:t>
      </w:r>
      <w:r w:rsidR="001B0D76" w:rsidRPr="001B05BA">
        <w:rPr>
          <w:rFonts w:ascii="Arial" w:hAnsi="Arial" w:cs="Arial"/>
          <w:sz w:val="24"/>
          <w:szCs w:val="24"/>
          <w:lang w:val="en-US"/>
        </w:rPr>
        <w:t xml:space="preserve"> </w:t>
      </w:r>
      <w:r w:rsidR="000B36A5" w:rsidRPr="001B05BA">
        <w:rPr>
          <w:rFonts w:ascii="Arial" w:hAnsi="Arial" w:cs="Arial"/>
          <w:sz w:val="24"/>
          <w:szCs w:val="24"/>
          <w:lang w:val="en-US"/>
        </w:rPr>
        <w:t>i</w:t>
      </w:r>
      <w:r w:rsidR="001B0D76" w:rsidRPr="001B05BA">
        <w:rPr>
          <w:rFonts w:ascii="Arial" w:hAnsi="Arial" w:cs="Arial"/>
          <w:sz w:val="24"/>
          <w:szCs w:val="24"/>
          <w:lang w:val="en-US"/>
        </w:rPr>
        <w:t>s</w:t>
      </w:r>
      <w:r w:rsidR="00CE5CE5" w:rsidRPr="001B05BA">
        <w:rPr>
          <w:rFonts w:ascii="Arial" w:hAnsi="Arial" w:cs="Arial"/>
          <w:sz w:val="24"/>
          <w:szCs w:val="24"/>
          <w:lang w:val="en-US"/>
        </w:rPr>
        <w:t xml:space="preserve"> only</w:t>
      </w:r>
      <w:r w:rsidR="001B0D76" w:rsidRPr="001B05BA">
        <w:rPr>
          <w:rFonts w:ascii="Arial" w:hAnsi="Arial" w:cs="Arial"/>
          <w:sz w:val="24"/>
          <w:szCs w:val="24"/>
          <w:lang w:val="en-US"/>
        </w:rPr>
        <w:t xml:space="preserve"> </w:t>
      </w:r>
      <w:r w:rsidR="000B36A5" w:rsidRPr="001B05BA">
        <w:rPr>
          <w:rFonts w:ascii="Arial" w:hAnsi="Arial" w:cs="Arial"/>
          <w:sz w:val="24"/>
          <w:szCs w:val="24"/>
          <w:lang w:val="en-US"/>
        </w:rPr>
        <w:t>increased by</w:t>
      </w:r>
      <w:r w:rsidR="001B0D76" w:rsidRPr="001B05BA">
        <w:rPr>
          <w:rFonts w:ascii="Arial" w:hAnsi="Arial" w:cs="Arial"/>
          <w:sz w:val="24"/>
          <w:szCs w:val="24"/>
          <w:lang w:val="en-US"/>
        </w:rPr>
        <w:t xml:space="preserve"> 0.000</w:t>
      </w:r>
      <w:r w:rsidR="005F01A2" w:rsidRPr="001B05BA">
        <w:rPr>
          <w:rFonts w:ascii="Arial" w:hAnsi="Arial" w:cs="Arial"/>
          <w:sz w:val="24"/>
          <w:szCs w:val="24"/>
          <w:lang w:val="en-US"/>
        </w:rPr>
        <w:t>0</w:t>
      </w:r>
      <w:r w:rsidR="00FD026A" w:rsidRPr="001B05BA">
        <w:rPr>
          <w:rFonts w:ascii="Arial" w:hAnsi="Arial" w:cs="Arial"/>
          <w:sz w:val="24"/>
          <w:szCs w:val="24"/>
          <w:lang w:val="en-US"/>
        </w:rPr>
        <w:t>4</w:t>
      </w:r>
      <w:r w:rsidR="001B0D76" w:rsidRPr="001B05BA">
        <w:rPr>
          <w:rFonts w:ascii="Arial" w:hAnsi="Arial" w:cs="Arial"/>
          <w:sz w:val="24"/>
          <w:szCs w:val="24"/>
          <w:lang w:val="en-US"/>
        </w:rPr>
        <w:t>%</w:t>
      </w:r>
      <w:r w:rsidR="00717161" w:rsidRPr="001B05BA">
        <w:rPr>
          <w:rFonts w:ascii="Arial" w:hAnsi="Arial" w:cs="Arial"/>
          <w:sz w:val="24"/>
          <w:szCs w:val="24"/>
          <w:lang w:val="en-US"/>
        </w:rPr>
        <w:t xml:space="preserve"> </w:t>
      </w:r>
      <w:r w:rsidR="00CE5CE5" w:rsidRPr="001B05BA">
        <w:rPr>
          <w:rFonts w:ascii="Arial" w:hAnsi="Arial" w:cs="Arial"/>
          <w:sz w:val="24"/>
          <w:szCs w:val="24"/>
          <w:lang w:val="en-US"/>
        </w:rPr>
        <w:t>through</w:t>
      </w:r>
      <w:r w:rsidR="00301E87" w:rsidRPr="001B05BA">
        <w:rPr>
          <w:rFonts w:ascii="Arial" w:hAnsi="Arial" w:cs="Arial"/>
          <w:sz w:val="24"/>
          <w:szCs w:val="24"/>
          <w:lang w:val="en-US"/>
        </w:rPr>
        <w:t xml:space="preserve"> </w:t>
      </w:r>
      <w:r w:rsidR="00966DFB" w:rsidRPr="001B05BA">
        <w:rPr>
          <w:rFonts w:ascii="Arial" w:hAnsi="Arial" w:cs="Arial"/>
          <w:sz w:val="24"/>
          <w:szCs w:val="24"/>
          <w:lang w:val="en-US"/>
        </w:rPr>
        <w:t xml:space="preserve">the </w:t>
      </w:r>
      <w:r w:rsidR="00717161" w:rsidRPr="001B05BA">
        <w:rPr>
          <w:rFonts w:ascii="Arial" w:hAnsi="Arial" w:cs="Arial"/>
          <w:sz w:val="24"/>
          <w:szCs w:val="24"/>
          <w:lang w:val="en-US"/>
        </w:rPr>
        <w:t>alcohol</w:t>
      </w:r>
      <w:r w:rsidR="00EE4FB4" w:rsidRPr="001B05BA">
        <w:rPr>
          <w:rFonts w:ascii="Arial" w:hAnsi="Arial" w:cs="Arial"/>
          <w:sz w:val="24"/>
          <w:szCs w:val="24"/>
          <w:lang w:val="en-US"/>
        </w:rPr>
        <w:t xml:space="preserve"> component that is added</w:t>
      </w:r>
      <w:r w:rsidR="00717161" w:rsidRPr="001B05BA">
        <w:rPr>
          <w:rFonts w:ascii="Arial" w:hAnsi="Arial" w:cs="Arial"/>
          <w:sz w:val="24"/>
          <w:szCs w:val="24"/>
          <w:lang w:val="en-US"/>
        </w:rPr>
        <w:t xml:space="preserve"> to the wine spirit base</w:t>
      </w:r>
      <w:r w:rsidR="00E5561C" w:rsidRPr="001B05BA">
        <w:rPr>
          <w:rFonts w:ascii="Arial" w:hAnsi="Arial" w:cs="Arial"/>
          <w:sz w:val="24"/>
          <w:szCs w:val="24"/>
          <w:lang w:val="en-US"/>
        </w:rPr>
        <w:t xml:space="preserve">, </w:t>
      </w:r>
      <w:r w:rsidR="00D70C98" w:rsidRPr="001B05BA">
        <w:rPr>
          <w:rFonts w:ascii="Arial" w:hAnsi="Arial" w:cs="Arial"/>
          <w:sz w:val="24"/>
          <w:szCs w:val="24"/>
          <w:lang w:val="en-US"/>
        </w:rPr>
        <w:t xml:space="preserve">is excluded from reaping the benefit associated by the introduction of the lower </w:t>
      </w:r>
      <w:r w:rsidR="00B310E1" w:rsidRPr="001B05BA">
        <w:rPr>
          <w:rFonts w:ascii="Arial" w:hAnsi="Arial" w:cs="Arial"/>
          <w:sz w:val="24"/>
          <w:szCs w:val="24"/>
          <w:lang w:val="en-US"/>
        </w:rPr>
        <w:t xml:space="preserve">tariff. </w:t>
      </w:r>
      <w:r w:rsidR="003548F8" w:rsidRPr="001B05BA">
        <w:rPr>
          <w:rFonts w:ascii="Arial" w:hAnsi="Arial" w:cs="Arial"/>
          <w:sz w:val="24"/>
          <w:szCs w:val="24"/>
          <w:lang w:val="en-US"/>
        </w:rPr>
        <w:t xml:space="preserve">To find </w:t>
      </w:r>
      <w:r w:rsidR="00233BA7" w:rsidRPr="001B05BA">
        <w:rPr>
          <w:rFonts w:ascii="Arial" w:hAnsi="Arial" w:cs="Arial"/>
          <w:sz w:val="24"/>
          <w:szCs w:val="24"/>
          <w:lang w:val="en-US"/>
        </w:rPr>
        <w:t>otherwise would be to</w:t>
      </w:r>
      <w:r w:rsidR="00EA60BC" w:rsidRPr="001B05BA">
        <w:rPr>
          <w:rFonts w:ascii="Arial" w:hAnsi="Arial" w:cs="Arial"/>
          <w:sz w:val="24"/>
          <w:szCs w:val="24"/>
          <w:lang w:val="en-US"/>
        </w:rPr>
        <w:t xml:space="preserve"> apply a meaning that will lead to insensible and unbusinesslike results and undermine the purpose of the tariff subheading.</w:t>
      </w:r>
    </w:p>
    <w:p w14:paraId="20A7A3A2" w14:textId="77777777" w:rsidR="003C248E" w:rsidRPr="001B05BA" w:rsidRDefault="003C248E" w:rsidP="003C248E">
      <w:pPr>
        <w:pStyle w:val="ListParagraph"/>
        <w:rPr>
          <w:rFonts w:ascii="Arial" w:hAnsi="Arial" w:cs="Arial"/>
          <w:sz w:val="24"/>
          <w:szCs w:val="24"/>
          <w:lang w:val="en-US"/>
        </w:rPr>
      </w:pPr>
    </w:p>
    <w:p w14:paraId="682FFEC8" w14:textId="77777777" w:rsidR="00F14506" w:rsidRPr="001B05BA" w:rsidRDefault="00F14506" w:rsidP="00F14506">
      <w:pPr>
        <w:pStyle w:val="ListParagraph"/>
        <w:rPr>
          <w:rFonts w:ascii="Arial" w:hAnsi="Arial" w:cs="Arial"/>
          <w:sz w:val="24"/>
          <w:szCs w:val="24"/>
          <w:lang w:val="en-US"/>
        </w:rPr>
      </w:pPr>
    </w:p>
    <w:p w14:paraId="6F8BFB2E" w14:textId="08433BBF" w:rsidR="00F14506" w:rsidRPr="001B05BA" w:rsidRDefault="00F14506" w:rsidP="00F14506">
      <w:pPr>
        <w:tabs>
          <w:tab w:val="left" w:pos="4917"/>
        </w:tabs>
        <w:spacing w:before="120" w:after="120" w:line="360" w:lineRule="auto"/>
        <w:jc w:val="both"/>
        <w:rPr>
          <w:rFonts w:ascii="Arial" w:hAnsi="Arial" w:cs="Arial"/>
          <w:i/>
          <w:iCs/>
          <w:sz w:val="24"/>
          <w:szCs w:val="24"/>
          <w:lang w:val="en-US"/>
        </w:rPr>
      </w:pPr>
      <w:r w:rsidRPr="001B05BA">
        <w:rPr>
          <w:rFonts w:ascii="Arial" w:hAnsi="Arial" w:cs="Arial"/>
          <w:i/>
          <w:iCs/>
          <w:sz w:val="24"/>
          <w:szCs w:val="24"/>
          <w:lang w:val="en-US"/>
        </w:rPr>
        <w:t>De minimis non curat lex</w:t>
      </w:r>
    </w:p>
    <w:p w14:paraId="333C3021" w14:textId="77777777" w:rsidR="0019604F" w:rsidRPr="001B05BA" w:rsidRDefault="0019604F" w:rsidP="0019604F">
      <w:pPr>
        <w:pStyle w:val="ListParagraph"/>
        <w:rPr>
          <w:rFonts w:ascii="Arial" w:hAnsi="Arial" w:cs="Arial"/>
          <w:sz w:val="24"/>
          <w:szCs w:val="24"/>
          <w:lang w:val="en-US"/>
        </w:rPr>
      </w:pPr>
    </w:p>
    <w:p w14:paraId="5E90BC2D" w14:textId="396ED5A5" w:rsidR="00D96445" w:rsidRPr="001B05BA" w:rsidRDefault="00FA48C3" w:rsidP="00D96445">
      <w:pPr>
        <w:pStyle w:val="ListParagraph"/>
        <w:numPr>
          <w:ilvl w:val="0"/>
          <w:numId w:val="2"/>
        </w:numPr>
        <w:tabs>
          <w:tab w:val="left" w:pos="4917"/>
        </w:tabs>
        <w:spacing w:before="120" w:after="120" w:line="360" w:lineRule="auto"/>
        <w:ind w:hanging="720"/>
        <w:jc w:val="both"/>
        <w:rPr>
          <w:rFonts w:ascii="Arial" w:hAnsi="Arial" w:cs="Arial"/>
          <w:sz w:val="24"/>
          <w:szCs w:val="24"/>
          <w:lang w:val="en-US"/>
        </w:rPr>
      </w:pPr>
      <w:r w:rsidRPr="001B05BA">
        <w:rPr>
          <w:rFonts w:ascii="Arial" w:hAnsi="Arial" w:cs="Arial"/>
          <w:sz w:val="24"/>
          <w:szCs w:val="24"/>
          <w:lang w:val="en-US"/>
        </w:rPr>
        <w:t xml:space="preserve">The maxim </w:t>
      </w:r>
      <w:r w:rsidRPr="001B05BA">
        <w:rPr>
          <w:rFonts w:ascii="Arial" w:hAnsi="Arial" w:cs="Arial"/>
          <w:i/>
          <w:iCs/>
          <w:sz w:val="24"/>
          <w:szCs w:val="24"/>
          <w:lang w:val="en-US"/>
        </w:rPr>
        <w:t>de minimis non curat lex</w:t>
      </w:r>
      <w:r w:rsidRPr="001B05BA">
        <w:rPr>
          <w:rFonts w:ascii="Arial" w:hAnsi="Arial" w:cs="Arial"/>
          <w:sz w:val="24"/>
          <w:szCs w:val="24"/>
          <w:lang w:val="en-US"/>
        </w:rPr>
        <w:t xml:space="preserve"> en</w:t>
      </w:r>
      <w:r w:rsidR="00646E37" w:rsidRPr="001B05BA">
        <w:rPr>
          <w:rFonts w:ascii="Arial" w:hAnsi="Arial" w:cs="Arial"/>
          <w:sz w:val="24"/>
          <w:szCs w:val="24"/>
          <w:lang w:val="en-US"/>
        </w:rPr>
        <w:t>capsulates</w:t>
      </w:r>
      <w:r w:rsidRPr="001B05BA">
        <w:rPr>
          <w:rFonts w:ascii="Arial" w:hAnsi="Arial" w:cs="Arial"/>
          <w:sz w:val="24"/>
          <w:szCs w:val="24"/>
          <w:lang w:val="en-US"/>
        </w:rPr>
        <w:t xml:space="preserve"> that the law</w:t>
      </w:r>
      <w:r w:rsidR="00B04117" w:rsidRPr="001B05BA">
        <w:rPr>
          <w:rFonts w:ascii="Arial" w:hAnsi="Arial" w:cs="Arial"/>
          <w:sz w:val="24"/>
          <w:szCs w:val="24"/>
          <w:lang w:val="en-US"/>
        </w:rPr>
        <w:t xml:space="preserve"> does not concern itself with a fact or thing that is so insignificant that a court may overlook</w:t>
      </w:r>
      <w:r w:rsidR="00B17017" w:rsidRPr="001B05BA">
        <w:rPr>
          <w:rFonts w:ascii="Arial" w:hAnsi="Arial" w:cs="Arial"/>
          <w:sz w:val="24"/>
          <w:szCs w:val="24"/>
          <w:lang w:val="en-US"/>
        </w:rPr>
        <w:t xml:space="preserve"> it in deciding an issue or case.</w:t>
      </w:r>
      <w:r w:rsidR="0047083F" w:rsidRPr="001B05BA">
        <w:rPr>
          <w:rFonts w:ascii="Arial" w:hAnsi="Arial" w:cs="Arial"/>
          <w:sz w:val="24"/>
          <w:szCs w:val="24"/>
          <w:lang w:val="en-US"/>
        </w:rPr>
        <w:t xml:space="preserve"> The maxim signifies that</w:t>
      </w:r>
      <w:r w:rsidR="008B3F73" w:rsidRPr="001B05BA">
        <w:rPr>
          <w:rFonts w:ascii="Arial" w:hAnsi="Arial" w:cs="Arial"/>
          <w:sz w:val="24"/>
          <w:szCs w:val="24"/>
          <w:lang w:val="en-US"/>
        </w:rPr>
        <w:t xml:space="preserve"> ‘mere trifles and technicalities must yield to practical common sense</w:t>
      </w:r>
      <w:r w:rsidR="0050115B" w:rsidRPr="001B05BA">
        <w:rPr>
          <w:rFonts w:ascii="Arial" w:hAnsi="Arial" w:cs="Arial"/>
          <w:sz w:val="24"/>
          <w:szCs w:val="24"/>
          <w:lang w:val="en-US"/>
        </w:rPr>
        <w:t xml:space="preserve"> and substantial justice’.</w:t>
      </w:r>
      <w:r w:rsidR="00AE4F08" w:rsidRPr="001B05BA">
        <w:rPr>
          <w:rStyle w:val="FootnoteReference"/>
          <w:rFonts w:ascii="Arial" w:hAnsi="Arial" w:cs="Arial"/>
          <w:sz w:val="24"/>
          <w:szCs w:val="24"/>
          <w:lang w:val="en-US"/>
        </w:rPr>
        <w:footnoteReference w:id="37"/>
      </w:r>
      <w:r w:rsidR="00166DED" w:rsidRPr="001B05BA">
        <w:rPr>
          <w:rFonts w:ascii="Arial" w:hAnsi="Arial" w:cs="Arial"/>
          <w:sz w:val="24"/>
          <w:szCs w:val="24"/>
          <w:lang w:val="en-US"/>
        </w:rPr>
        <w:t xml:space="preserve"> The maxim has been applied, in South Africa </w:t>
      </w:r>
      <w:r w:rsidR="007C6E8E" w:rsidRPr="001B05BA">
        <w:rPr>
          <w:rFonts w:ascii="Arial" w:hAnsi="Arial" w:cs="Arial"/>
          <w:sz w:val="24"/>
          <w:szCs w:val="24"/>
          <w:lang w:val="en-US"/>
        </w:rPr>
        <w:t>in</w:t>
      </w:r>
      <w:r w:rsidR="00166DED" w:rsidRPr="001B05BA">
        <w:rPr>
          <w:rFonts w:ascii="Arial" w:hAnsi="Arial" w:cs="Arial"/>
          <w:sz w:val="24"/>
          <w:szCs w:val="24"/>
          <w:lang w:val="en-US"/>
        </w:rPr>
        <w:t xml:space="preserve"> a variety of cases, but </w:t>
      </w:r>
      <w:r w:rsidR="0043249B" w:rsidRPr="001B05BA">
        <w:rPr>
          <w:rFonts w:ascii="Arial" w:hAnsi="Arial" w:cs="Arial"/>
          <w:sz w:val="24"/>
          <w:szCs w:val="24"/>
          <w:lang w:val="en-US"/>
        </w:rPr>
        <w:t>predominantly</w:t>
      </w:r>
      <w:r w:rsidR="00166DED" w:rsidRPr="001B05BA">
        <w:rPr>
          <w:rFonts w:ascii="Arial" w:hAnsi="Arial" w:cs="Arial"/>
          <w:sz w:val="24"/>
          <w:szCs w:val="24"/>
          <w:lang w:val="en-US"/>
        </w:rPr>
        <w:t xml:space="preserve"> in</w:t>
      </w:r>
      <w:r w:rsidR="0043249B" w:rsidRPr="001B05BA">
        <w:rPr>
          <w:rFonts w:ascii="Arial" w:hAnsi="Arial" w:cs="Arial"/>
          <w:sz w:val="24"/>
          <w:szCs w:val="24"/>
          <w:lang w:val="en-US"/>
        </w:rPr>
        <w:t xml:space="preserve"> criminal matters.</w:t>
      </w:r>
      <w:r w:rsidR="00AE7560" w:rsidRPr="001B05BA">
        <w:rPr>
          <w:rStyle w:val="FootnoteReference"/>
          <w:rFonts w:ascii="Arial" w:hAnsi="Arial" w:cs="Arial"/>
          <w:sz w:val="24"/>
          <w:szCs w:val="24"/>
          <w:lang w:val="en-US"/>
        </w:rPr>
        <w:footnoteReference w:id="38"/>
      </w:r>
      <w:r w:rsidR="0043249B" w:rsidRPr="001B05BA">
        <w:rPr>
          <w:rFonts w:ascii="Arial" w:hAnsi="Arial" w:cs="Arial"/>
          <w:sz w:val="24"/>
          <w:szCs w:val="24"/>
          <w:lang w:val="en-US"/>
        </w:rPr>
        <w:t xml:space="preserve"> The policy reasons behind invoking the maxim </w:t>
      </w:r>
      <w:r w:rsidR="00264CED" w:rsidRPr="001B05BA">
        <w:rPr>
          <w:rFonts w:ascii="Arial" w:hAnsi="Arial" w:cs="Arial"/>
          <w:sz w:val="24"/>
          <w:szCs w:val="24"/>
          <w:lang w:val="en-US"/>
        </w:rPr>
        <w:t>a</w:t>
      </w:r>
      <w:r w:rsidR="0043249B" w:rsidRPr="001B05BA">
        <w:rPr>
          <w:rFonts w:ascii="Arial" w:hAnsi="Arial" w:cs="Arial"/>
          <w:sz w:val="24"/>
          <w:szCs w:val="24"/>
          <w:lang w:val="en-US"/>
        </w:rPr>
        <w:t>re, however</w:t>
      </w:r>
      <w:r w:rsidR="007C6E8E" w:rsidRPr="001B05BA">
        <w:rPr>
          <w:rFonts w:ascii="Arial" w:hAnsi="Arial" w:cs="Arial"/>
          <w:sz w:val="24"/>
          <w:szCs w:val="24"/>
          <w:lang w:val="en-US"/>
        </w:rPr>
        <w:t>,</w:t>
      </w:r>
      <w:r w:rsidR="0043249B" w:rsidRPr="001B05BA">
        <w:rPr>
          <w:rFonts w:ascii="Arial" w:hAnsi="Arial" w:cs="Arial"/>
          <w:sz w:val="24"/>
          <w:szCs w:val="24"/>
          <w:lang w:val="en-US"/>
        </w:rPr>
        <w:t xml:space="preserve"> similar</w:t>
      </w:r>
      <w:r w:rsidR="007C6E8E" w:rsidRPr="001B05BA">
        <w:rPr>
          <w:rFonts w:ascii="Arial" w:hAnsi="Arial" w:cs="Arial"/>
          <w:sz w:val="24"/>
          <w:szCs w:val="24"/>
          <w:lang w:val="en-US"/>
        </w:rPr>
        <w:t xml:space="preserve">, and </w:t>
      </w:r>
      <w:r w:rsidR="0043249B" w:rsidRPr="001B05BA">
        <w:rPr>
          <w:rFonts w:ascii="Arial" w:hAnsi="Arial" w:cs="Arial"/>
          <w:sz w:val="24"/>
          <w:szCs w:val="24"/>
          <w:lang w:val="en-US"/>
        </w:rPr>
        <w:t xml:space="preserve">the </w:t>
      </w:r>
      <w:r w:rsidR="007C6E8E" w:rsidRPr="001B05BA">
        <w:rPr>
          <w:rFonts w:ascii="Arial" w:hAnsi="Arial" w:cs="Arial"/>
          <w:sz w:val="24"/>
          <w:szCs w:val="24"/>
          <w:lang w:val="en-US"/>
        </w:rPr>
        <w:t>principles flowing from the case law provide guidance in this matter.</w:t>
      </w:r>
    </w:p>
    <w:p w14:paraId="3A70BD3F" w14:textId="77777777" w:rsidR="00D96445" w:rsidRPr="001B05BA" w:rsidRDefault="00D96445" w:rsidP="00D96445">
      <w:pPr>
        <w:pStyle w:val="ListParagraph"/>
        <w:tabs>
          <w:tab w:val="left" w:pos="4917"/>
        </w:tabs>
        <w:spacing w:before="120" w:after="120" w:line="360" w:lineRule="auto"/>
        <w:jc w:val="both"/>
        <w:rPr>
          <w:rFonts w:ascii="Arial" w:hAnsi="Arial" w:cs="Arial"/>
          <w:sz w:val="24"/>
          <w:szCs w:val="24"/>
          <w:lang w:val="en-US"/>
        </w:rPr>
      </w:pPr>
    </w:p>
    <w:p w14:paraId="744387A8" w14:textId="609729B4" w:rsidR="009B0094" w:rsidRPr="001B05BA" w:rsidRDefault="00D96445" w:rsidP="00D96445">
      <w:pPr>
        <w:pStyle w:val="ListParagraph"/>
        <w:numPr>
          <w:ilvl w:val="0"/>
          <w:numId w:val="2"/>
        </w:numPr>
        <w:tabs>
          <w:tab w:val="left" w:pos="4917"/>
        </w:tabs>
        <w:spacing w:before="120" w:after="120" w:line="360" w:lineRule="auto"/>
        <w:ind w:hanging="720"/>
        <w:jc w:val="both"/>
        <w:rPr>
          <w:rFonts w:ascii="Arial" w:hAnsi="Arial" w:cs="Arial"/>
          <w:sz w:val="24"/>
          <w:szCs w:val="24"/>
          <w:lang w:val="en-US"/>
        </w:rPr>
      </w:pPr>
      <w:r w:rsidRPr="001B05BA">
        <w:rPr>
          <w:rFonts w:ascii="Arial" w:hAnsi="Arial" w:cs="Arial"/>
          <w:sz w:val="24"/>
          <w:szCs w:val="24"/>
          <w:lang w:val="en-GB"/>
        </w:rPr>
        <w:t xml:space="preserve">The </w:t>
      </w:r>
      <w:r w:rsidR="00A64AB1" w:rsidRPr="001B05BA">
        <w:rPr>
          <w:rFonts w:ascii="Arial" w:hAnsi="Arial" w:cs="Arial"/>
          <w:sz w:val="24"/>
          <w:szCs w:val="24"/>
          <w:lang w:val="en-GB"/>
        </w:rPr>
        <w:t>main</w:t>
      </w:r>
      <w:r w:rsidRPr="001B05BA">
        <w:rPr>
          <w:rFonts w:ascii="Arial" w:hAnsi="Arial" w:cs="Arial"/>
          <w:sz w:val="24"/>
          <w:szCs w:val="24"/>
          <w:lang w:val="en-GB"/>
        </w:rPr>
        <w:t xml:space="preserve"> principle that is evident when the case law wherein reference is made to the </w:t>
      </w:r>
      <w:r w:rsidR="00A11CBB" w:rsidRPr="001B05BA">
        <w:rPr>
          <w:rFonts w:ascii="Arial" w:hAnsi="Arial" w:cs="Arial"/>
          <w:i/>
          <w:iCs/>
          <w:sz w:val="24"/>
          <w:szCs w:val="24"/>
          <w:lang w:val="en-GB"/>
        </w:rPr>
        <w:t xml:space="preserve">de minimis </w:t>
      </w:r>
      <w:r w:rsidRPr="001B05BA">
        <w:rPr>
          <w:rFonts w:ascii="Arial" w:hAnsi="Arial" w:cs="Arial"/>
          <w:sz w:val="24"/>
          <w:szCs w:val="24"/>
          <w:lang w:val="en-GB"/>
        </w:rPr>
        <w:t xml:space="preserve">principle is considered, is that </w:t>
      </w:r>
      <w:r w:rsidR="00CC3916" w:rsidRPr="001B05BA">
        <w:rPr>
          <w:rFonts w:ascii="Arial" w:hAnsi="Arial" w:cs="Arial"/>
          <w:sz w:val="24"/>
          <w:szCs w:val="24"/>
          <w:lang w:val="en-GB"/>
        </w:rPr>
        <w:t xml:space="preserve">the </w:t>
      </w:r>
      <w:r w:rsidRPr="001B05BA">
        <w:rPr>
          <w:rFonts w:ascii="Arial" w:hAnsi="Arial" w:cs="Arial"/>
          <w:sz w:val="24"/>
          <w:szCs w:val="24"/>
          <w:lang w:val="en-GB"/>
        </w:rPr>
        <w:t>question as to whether th</w:t>
      </w:r>
      <w:r w:rsidR="00C87A57" w:rsidRPr="001B05BA">
        <w:rPr>
          <w:rFonts w:ascii="Arial" w:hAnsi="Arial" w:cs="Arial"/>
          <w:sz w:val="24"/>
          <w:szCs w:val="24"/>
          <w:lang w:val="en-GB"/>
        </w:rPr>
        <w:t xml:space="preserve">e </w:t>
      </w:r>
      <w:r w:rsidRPr="001B05BA">
        <w:rPr>
          <w:rFonts w:ascii="Arial" w:hAnsi="Arial" w:cs="Arial"/>
          <w:sz w:val="24"/>
          <w:szCs w:val="24"/>
          <w:lang w:val="en-GB"/>
        </w:rPr>
        <w:t xml:space="preserve">principle </w:t>
      </w:r>
      <w:r w:rsidRPr="001B05BA">
        <w:rPr>
          <w:rFonts w:ascii="Arial" w:hAnsi="Arial" w:cs="Arial"/>
          <w:sz w:val="24"/>
          <w:szCs w:val="24"/>
          <w:lang w:val="en-GB"/>
        </w:rPr>
        <w:lastRenderedPageBreak/>
        <w:t>applies depends solely on the factual matrix of each case.</w:t>
      </w:r>
      <w:r w:rsidR="009A6468" w:rsidRPr="001B05BA">
        <w:rPr>
          <w:rStyle w:val="FootnoteReference"/>
          <w:rFonts w:ascii="Arial" w:hAnsi="Arial" w:cs="Arial"/>
          <w:sz w:val="24"/>
          <w:szCs w:val="24"/>
          <w:lang w:val="en-GB"/>
        </w:rPr>
        <w:footnoteReference w:id="39"/>
      </w:r>
      <w:r w:rsidRPr="001B05BA">
        <w:rPr>
          <w:rFonts w:ascii="Arial" w:hAnsi="Arial" w:cs="Arial"/>
          <w:sz w:val="24"/>
          <w:szCs w:val="24"/>
          <w:lang w:val="en-GB"/>
        </w:rPr>
        <w:t xml:space="preserve"> </w:t>
      </w:r>
      <w:r w:rsidR="00192BF3" w:rsidRPr="001B05BA">
        <w:rPr>
          <w:rFonts w:ascii="Arial" w:hAnsi="Arial" w:cs="Arial"/>
          <w:sz w:val="24"/>
          <w:szCs w:val="24"/>
          <w:lang w:val="en-GB"/>
        </w:rPr>
        <w:t>The applicability of the rule</w:t>
      </w:r>
      <w:r w:rsidR="00441E2F" w:rsidRPr="001B05BA">
        <w:rPr>
          <w:rFonts w:ascii="Arial" w:hAnsi="Arial" w:cs="Arial"/>
          <w:sz w:val="24"/>
          <w:szCs w:val="24"/>
          <w:lang w:val="en-GB"/>
        </w:rPr>
        <w:t xml:space="preserve"> in a particular case depends on all the circumstances thereof. </w:t>
      </w:r>
      <w:r w:rsidR="00A57F4C" w:rsidRPr="001B05BA">
        <w:rPr>
          <w:rFonts w:ascii="Arial" w:hAnsi="Arial" w:cs="Arial"/>
          <w:sz w:val="24"/>
          <w:szCs w:val="24"/>
          <w:lang w:val="en-GB"/>
        </w:rPr>
        <w:t>It requires a value judgment</w:t>
      </w:r>
      <w:r w:rsidR="009B0094" w:rsidRPr="001B05BA">
        <w:rPr>
          <w:rFonts w:ascii="Arial" w:hAnsi="Arial" w:cs="Arial"/>
          <w:sz w:val="24"/>
          <w:szCs w:val="24"/>
          <w:lang w:val="en-GB"/>
        </w:rPr>
        <w:t>,</w:t>
      </w:r>
      <w:r w:rsidR="00A57F4C" w:rsidRPr="001B05BA">
        <w:rPr>
          <w:rFonts w:ascii="Arial" w:hAnsi="Arial" w:cs="Arial"/>
          <w:sz w:val="24"/>
          <w:szCs w:val="24"/>
          <w:lang w:val="en-GB"/>
        </w:rPr>
        <w:t xml:space="preserve"> and in determining the application of the </w:t>
      </w:r>
      <w:r w:rsidR="00A57F4C" w:rsidRPr="001B05BA">
        <w:rPr>
          <w:rFonts w:ascii="Arial" w:hAnsi="Arial" w:cs="Arial"/>
          <w:i/>
          <w:iCs/>
          <w:sz w:val="24"/>
          <w:szCs w:val="24"/>
          <w:lang w:val="en-GB"/>
        </w:rPr>
        <w:t>de minimis</w:t>
      </w:r>
      <w:r w:rsidR="00A57F4C" w:rsidRPr="001B05BA">
        <w:rPr>
          <w:rFonts w:ascii="Arial" w:hAnsi="Arial" w:cs="Arial"/>
          <w:sz w:val="24"/>
          <w:szCs w:val="24"/>
          <w:lang w:val="en-GB"/>
        </w:rPr>
        <w:t xml:space="preserve"> principle</w:t>
      </w:r>
      <w:r w:rsidR="00637D81" w:rsidRPr="001B05BA">
        <w:rPr>
          <w:rFonts w:ascii="Arial" w:hAnsi="Arial" w:cs="Arial"/>
          <w:sz w:val="24"/>
          <w:szCs w:val="24"/>
          <w:lang w:val="en-GB"/>
        </w:rPr>
        <w:t>, the judicial officer is charged with a policy decision to be exercised according to all the relevant circumstances</w:t>
      </w:r>
      <w:r w:rsidR="009B0094" w:rsidRPr="001B05BA">
        <w:rPr>
          <w:rFonts w:ascii="Arial" w:hAnsi="Arial" w:cs="Arial"/>
          <w:sz w:val="24"/>
          <w:szCs w:val="24"/>
          <w:lang w:val="en-GB"/>
        </w:rPr>
        <w:t xml:space="preserve"> of the case.</w:t>
      </w:r>
      <w:r w:rsidR="009B0094" w:rsidRPr="001B05BA">
        <w:rPr>
          <w:rStyle w:val="FootnoteReference"/>
          <w:rFonts w:ascii="Arial" w:hAnsi="Arial" w:cs="Arial"/>
          <w:sz w:val="24"/>
          <w:szCs w:val="24"/>
          <w:lang w:val="en-GB"/>
        </w:rPr>
        <w:footnoteReference w:id="40"/>
      </w:r>
    </w:p>
    <w:p w14:paraId="5DB82221" w14:textId="77777777" w:rsidR="009B0094" w:rsidRPr="001B05BA" w:rsidRDefault="009B0094" w:rsidP="009B0094">
      <w:pPr>
        <w:pStyle w:val="ListParagraph"/>
        <w:rPr>
          <w:rFonts w:ascii="Arial" w:hAnsi="Arial" w:cs="Arial"/>
          <w:sz w:val="24"/>
          <w:szCs w:val="24"/>
          <w:lang w:val="en-GB"/>
        </w:rPr>
      </w:pPr>
    </w:p>
    <w:p w14:paraId="39DD5B88" w14:textId="0687CD66" w:rsidR="00D96445" w:rsidRPr="001B05BA" w:rsidRDefault="00D96445" w:rsidP="00D96445">
      <w:pPr>
        <w:pStyle w:val="ListParagraph"/>
        <w:numPr>
          <w:ilvl w:val="0"/>
          <w:numId w:val="2"/>
        </w:numPr>
        <w:tabs>
          <w:tab w:val="left" w:pos="4917"/>
        </w:tabs>
        <w:spacing w:before="120" w:after="120" w:line="360" w:lineRule="auto"/>
        <w:ind w:hanging="720"/>
        <w:jc w:val="both"/>
        <w:rPr>
          <w:rFonts w:ascii="Arial" w:hAnsi="Arial" w:cs="Arial"/>
          <w:sz w:val="24"/>
          <w:szCs w:val="24"/>
          <w:lang w:val="en-US"/>
        </w:rPr>
      </w:pPr>
      <w:r w:rsidRPr="001B05BA">
        <w:rPr>
          <w:rFonts w:ascii="Arial" w:hAnsi="Arial" w:cs="Arial"/>
          <w:sz w:val="24"/>
          <w:szCs w:val="24"/>
          <w:lang w:val="en-GB"/>
        </w:rPr>
        <w:t>This was aptly explained by Beadl</w:t>
      </w:r>
      <w:r w:rsidR="0045097D" w:rsidRPr="001B05BA">
        <w:rPr>
          <w:rFonts w:ascii="Arial" w:hAnsi="Arial" w:cs="Arial"/>
          <w:sz w:val="24"/>
          <w:szCs w:val="24"/>
          <w:lang w:val="en-GB"/>
        </w:rPr>
        <w:t>e</w:t>
      </w:r>
      <w:r w:rsidRPr="001B05BA">
        <w:rPr>
          <w:rFonts w:ascii="Arial" w:hAnsi="Arial" w:cs="Arial"/>
          <w:sz w:val="24"/>
          <w:szCs w:val="24"/>
          <w:lang w:val="en-GB"/>
        </w:rPr>
        <w:t xml:space="preserve"> CJ in </w:t>
      </w:r>
      <w:r w:rsidRPr="001B05BA">
        <w:rPr>
          <w:rFonts w:ascii="Arial" w:hAnsi="Arial" w:cs="Arial"/>
          <w:i/>
          <w:iCs/>
          <w:sz w:val="24"/>
          <w:szCs w:val="24"/>
          <w:lang w:val="en-GB"/>
        </w:rPr>
        <w:t>R v Maguire</w:t>
      </w:r>
      <w:r w:rsidRPr="001B05BA">
        <w:rPr>
          <w:rFonts w:ascii="Arial" w:hAnsi="Arial" w:cs="Arial"/>
          <w:sz w:val="24"/>
          <w:szCs w:val="24"/>
          <w:lang w:val="en-GB"/>
        </w:rPr>
        <w:t>,</w:t>
      </w:r>
      <w:r w:rsidRPr="001B05BA">
        <w:rPr>
          <w:rStyle w:val="FootnoteReference"/>
          <w:rFonts w:ascii="Arial" w:hAnsi="Arial" w:cs="Arial"/>
          <w:sz w:val="24"/>
          <w:szCs w:val="24"/>
          <w:lang w:val="en-GB"/>
        </w:rPr>
        <w:footnoteReference w:id="41"/>
      </w:r>
      <w:r w:rsidRPr="001B05BA">
        <w:rPr>
          <w:rFonts w:ascii="Arial" w:hAnsi="Arial" w:cs="Arial"/>
          <w:sz w:val="24"/>
          <w:szCs w:val="24"/>
          <w:lang w:val="en-GB"/>
        </w:rPr>
        <w:t xml:space="preserve"> albeit in a criminal law context. The learned judge said:</w:t>
      </w:r>
    </w:p>
    <w:p w14:paraId="7D2D22E4" w14:textId="77777777" w:rsidR="00FB44D5" w:rsidRPr="001B05BA" w:rsidRDefault="00FB44D5" w:rsidP="00FB44D5">
      <w:pPr>
        <w:pStyle w:val="ListParagraph"/>
        <w:rPr>
          <w:rFonts w:ascii="Arial" w:hAnsi="Arial" w:cs="Arial"/>
          <w:sz w:val="24"/>
          <w:szCs w:val="24"/>
          <w:lang w:val="en-US"/>
        </w:rPr>
      </w:pPr>
    </w:p>
    <w:p w14:paraId="7C0D4F0A" w14:textId="77777777" w:rsidR="00D96445" w:rsidRPr="001B05BA" w:rsidRDefault="00D96445" w:rsidP="00CC3916">
      <w:pPr>
        <w:pStyle w:val="ListParagraph"/>
        <w:spacing w:before="120" w:after="120" w:line="360" w:lineRule="auto"/>
        <w:ind w:left="1008" w:right="1008"/>
        <w:jc w:val="both"/>
        <w:rPr>
          <w:rFonts w:ascii="Arial" w:hAnsi="Arial" w:cs="Arial"/>
          <w:sz w:val="24"/>
          <w:szCs w:val="24"/>
        </w:rPr>
      </w:pPr>
      <w:r w:rsidRPr="001B05BA">
        <w:rPr>
          <w:rFonts w:ascii="Arial" w:hAnsi="Arial" w:cs="Arial"/>
          <w:sz w:val="24"/>
          <w:szCs w:val="24"/>
          <w:lang w:val="en-GB"/>
        </w:rPr>
        <w:t>‘</w:t>
      </w:r>
      <w:r w:rsidRPr="001B05BA">
        <w:rPr>
          <w:rFonts w:ascii="Arial" w:hAnsi="Arial" w:cs="Arial"/>
          <w:sz w:val="24"/>
          <w:szCs w:val="24"/>
        </w:rPr>
        <w:t xml:space="preserve">It seems to me that, wherever the defence of </w:t>
      </w:r>
      <w:r w:rsidRPr="001B05BA">
        <w:rPr>
          <w:rFonts w:ascii="Arial" w:hAnsi="Arial" w:cs="Arial"/>
          <w:i/>
          <w:iCs/>
          <w:sz w:val="24"/>
          <w:szCs w:val="24"/>
        </w:rPr>
        <w:t>de minimis non curat lex</w:t>
      </w:r>
      <w:r w:rsidRPr="001B05BA">
        <w:rPr>
          <w:rFonts w:ascii="Arial" w:hAnsi="Arial" w:cs="Arial"/>
          <w:sz w:val="24"/>
          <w:szCs w:val="24"/>
        </w:rPr>
        <w:t xml:space="preserve"> is raised, the court has to consider all the circumstances under which the blow which is said to be trivial was delivered. In some circumstances a blow may be considered so trivial as to justify the court ignoring it altogether; in different circumstances, a similar blow might be a relatively serious assault; for example, slaps delivered by fishwives to each other during a drunken brawl might well be ignored on the principle of </w:t>
      </w:r>
      <w:r w:rsidRPr="001B05BA">
        <w:rPr>
          <w:rFonts w:ascii="Arial" w:hAnsi="Arial" w:cs="Arial"/>
          <w:i/>
          <w:iCs/>
          <w:sz w:val="24"/>
          <w:szCs w:val="24"/>
        </w:rPr>
        <w:t>de minimis non curat lex</w:t>
      </w:r>
      <w:r w:rsidRPr="001B05BA">
        <w:rPr>
          <w:rFonts w:ascii="Arial" w:hAnsi="Arial" w:cs="Arial"/>
          <w:sz w:val="24"/>
          <w:szCs w:val="24"/>
        </w:rPr>
        <w:t xml:space="preserve"> whereas an unprovoked slap delivered to the face of a lady, say at a garden party, could not be similarly ignored.’</w:t>
      </w:r>
    </w:p>
    <w:p w14:paraId="4198918F" w14:textId="206ABCE5" w:rsidR="00456AC6" w:rsidRPr="001B05BA" w:rsidRDefault="00456AC6" w:rsidP="00CC3916">
      <w:pPr>
        <w:pStyle w:val="ListParagraph"/>
        <w:tabs>
          <w:tab w:val="left" w:pos="4917"/>
        </w:tabs>
        <w:spacing w:before="120" w:after="120" w:line="360" w:lineRule="auto"/>
        <w:jc w:val="both"/>
        <w:rPr>
          <w:rFonts w:ascii="Arial" w:hAnsi="Arial" w:cs="Arial"/>
          <w:sz w:val="24"/>
          <w:szCs w:val="24"/>
          <w:lang w:val="en-US"/>
        </w:rPr>
      </w:pPr>
    </w:p>
    <w:p w14:paraId="350BE768" w14:textId="625801F8" w:rsidR="00904D07" w:rsidRPr="001B05BA" w:rsidRDefault="005C2AA5" w:rsidP="00F9421C">
      <w:pPr>
        <w:pStyle w:val="ListParagraph"/>
        <w:numPr>
          <w:ilvl w:val="0"/>
          <w:numId w:val="2"/>
        </w:numPr>
        <w:spacing w:before="120" w:after="120" w:line="360" w:lineRule="auto"/>
        <w:ind w:hanging="720"/>
        <w:jc w:val="both"/>
        <w:rPr>
          <w:rFonts w:ascii="Arial" w:hAnsi="Arial" w:cs="Arial"/>
          <w:sz w:val="24"/>
          <w:szCs w:val="24"/>
        </w:rPr>
      </w:pPr>
      <w:r w:rsidRPr="001B05BA">
        <w:rPr>
          <w:rFonts w:ascii="Arial" w:hAnsi="Arial" w:cs="Arial"/>
          <w:sz w:val="24"/>
          <w:szCs w:val="24"/>
        </w:rPr>
        <w:t>The principle was echoed</w:t>
      </w:r>
      <w:r w:rsidR="00F9421C" w:rsidRPr="001B05BA">
        <w:rPr>
          <w:rFonts w:ascii="Arial" w:hAnsi="Arial" w:cs="Arial"/>
          <w:sz w:val="24"/>
          <w:szCs w:val="24"/>
        </w:rPr>
        <w:t xml:space="preserve"> in a civil context when </w:t>
      </w:r>
      <w:r w:rsidR="00904D07" w:rsidRPr="001B05BA">
        <w:rPr>
          <w:rFonts w:ascii="Arial" w:hAnsi="Arial" w:cs="Arial"/>
          <w:sz w:val="24"/>
          <w:szCs w:val="24"/>
        </w:rPr>
        <w:t xml:space="preserve">Janse J stated in </w:t>
      </w:r>
      <w:r w:rsidR="00904D07" w:rsidRPr="001B05BA">
        <w:rPr>
          <w:rFonts w:ascii="Arial" w:hAnsi="Arial" w:cs="Arial"/>
          <w:i/>
          <w:iCs/>
          <w:sz w:val="24"/>
          <w:szCs w:val="24"/>
        </w:rPr>
        <w:t>Benoni Town Council v Meyer &amp; Others</w:t>
      </w:r>
      <w:r w:rsidR="00904D07" w:rsidRPr="001B05BA">
        <w:rPr>
          <w:rFonts w:ascii="Arial" w:hAnsi="Arial" w:cs="Arial"/>
          <w:sz w:val="24"/>
          <w:szCs w:val="24"/>
        </w:rPr>
        <w:t>:</w:t>
      </w:r>
      <w:r w:rsidR="00904D07" w:rsidRPr="001B05BA">
        <w:rPr>
          <w:rStyle w:val="FootnoteReference"/>
          <w:rFonts w:ascii="Arial" w:hAnsi="Arial" w:cs="Arial"/>
          <w:sz w:val="24"/>
          <w:szCs w:val="24"/>
        </w:rPr>
        <w:footnoteReference w:id="42"/>
      </w:r>
    </w:p>
    <w:p w14:paraId="53F7A7F3" w14:textId="77777777" w:rsidR="00FB2EE8" w:rsidRPr="001B05BA" w:rsidRDefault="00FB2EE8" w:rsidP="001A6A9A">
      <w:pPr>
        <w:pStyle w:val="ListParagraph"/>
        <w:spacing w:before="120" w:after="120" w:line="360" w:lineRule="auto"/>
        <w:ind w:left="1008" w:right="1008"/>
        <w:jc w:val="both"/>
        <w:rPr>
          <w:rFonts w:ascii="Arial" w:hAnsi="Arial" w:cs="Arial"/>
          <w:sz w:val="24"/>
          <w:szCs w:val="24"/>
        </w:rPr>
      </w:pPr>
    </w:p>
    <w:p w14:paraId="24B943C5" w14:textId="2D37E277" w:rsidR="00904D07" w:rsidRPr="001B05BA" w:rsidRDefault="00904D07" w:rsidP="001A6A9A">
      <w:pPr>
        <w:pStyle w:val="ListParagraph"/>
        <w:spacing w:before="120" w:after="120" w:line="360" w:lineRule="auto"/>
        <w:ind w:left="1008" w:right="1008"/>
        <w:jc w:val="both"/>
        <w:rPr>
          <w:rFonts w:ascii="Arial" w:hAnsi="Arial" w:cs="Arial"/>
          <w:sz w:val="24"/>
          <w:szCs w:val="24"/>
        </w:rPr>
      </w:pPr>
      <w:r w:rsidRPr="001B05BA">
        <w:rPr>
          <w:rFonts w:ascii="Arial" w:hAnsi="Arial" w:cs="Arial"/>
          <w:sz w:val="24"/>
          <w:szCs w:val="24"/>
        </w:rPr>
        <w:t>‘It would be difficult</w:t>
      </w:r>
      <w:r w:rsidR="001A6A9A" w:rsidRPr="001B05BA">
        <w:rPr>
          <w:rFonts w:ascii="Arial" w:hAnsi="Arial" w:cs="Arial"/>
          <w:sz w:val="24"/>
          <w:szCs w:val="24"/>
        </w:rPr>
        <w:t xml:space="preserve"> </w:t>
      </w:r>
      <w:r w:rsidRPr="001B05BA">
        <w:rPr>
          <w:rFonts w:ascii="Arial" w:hAnsi="Arial" w:cs="Arial"/>
          <w:sz w:val="24"/>
          <w:szCs w:val="24"/>
        </w:rPr>
        <w:t>to formulate a definition of minimum that would be valid for all circumstances; …‘</w:t>
      </w:r>
    </w:p>
    <w:p w14:paraId="0EC50B33" w14:textId="77777777" w:rsidR="001A6A9A" w:rsidRPr="001B05BA" w:rsidRDefault="001A6A9A" w:rsidP="00904D07">
      <w:pPr>
        <w:pStyle w:val="ListParagraph"/>
        <w:spacing w:before="120" w:after="120" w:line="360" w:lineRule="auto"/>
        <w:ind w:left="360"/>
        <w:jc w:val="both"/>
        <w:rPr>
          <w:rFonts w:ascii="Arial" w:hAnsi="Arial" w:cs="Arial"/>
          <w:sz w:val="24"/>
          <w:szCs w:val="24"/>
        </w:rPr>
      </w:pPr>
    </w:p>
    <w:p w14:paraId="3CC390CC" w14:textId="7CCADE60" w:rsidR="00C8049C" w:rsidRPr="001B05BA" w:rsidRDefault="00FE7F7D" w:rsidP="009352D9">
      <w:pPr>
        <w:pStyle w:val="ListParagraph"/>
        <w:numPr>
          <w:ilvl w:val="0"/>
          <w:numId w:val="2"/>
        </w:numPr>
        <w:tabs>
          <w:tab w:val="left" w:pos="4917"/>
        </w:tabs>
        <w:spacing w:before="120" w:after="120" w:line="360" w:lineRule="auto"/>
        <w:ind w:hanging="720"/>
        <w:jc w:val="both"/>
        <w:rPr>
          <w:rFonts w:ascii="Arial" w:hAnsi="Arial" w:cs="Arial"/>
          <w:sz w:val="24"/>
          <w:szCs w:val="24"/>
          <w:lang w:val="en-US"/>
        </w:rPr>
      </w:pPr>
      <w:r w:rsidRPr="001B05BA">
        <w:rPr>
          <w:rFonts w:ascii="Arial" w:hAnsi="Arial" w:cs="Arial"/>
          <w:sz w:val="24"/>
          <w:szCs w:val="24"/>
          <w:lang w:val="en-US"/>
        </w:rPr>
        <w:t xml:space="preserve">For purposes of the current appeal, </w:t>
      </w:r>
      <w:r w:rsidR="004F5C96" w:rsidRPr="001B05BA">
        <w:rPr>
          <w:rFonts w:ascii="Arial" w:hAnsi="Arial" w:cs="Arial"/>
          <w:sz w:val="24"/>
          <w:szCs w:val="24"/>
          <w:lang w:val="en-US"/>
        </w:rPr>
        <w:t xml:space="preserve">it can be stated that the </w:t>
      </w:r>
      <w:r w:rsidR="00FA6A29" w:rsidRPr="001B05BA">
        <w:rPr>
          <w:rFonts w:ascii="Arial" w:hAnsi="Arial" w:cs="Arial"/>
          <w:sz w:val="24"/>
          <w:szCs w:val="24"/>
          <w:lang w:val="en-US"/>
        </w:rPr>
        <w:t xml:space="preserve">question as to whether a particular activity is a </w:t>
      </w:r>
      <w:r w:rsidR="00FA6A29" w:rsidRPr="001B05BA">
        <w:rPr>
          <w:rFonts w:ascii="Arial" w:hAnsi="Arial" w:cs="Arial"/>
          <w:i/>
          <w:iCs/>
          <w:sz w:val="24"/>
          <w:szCs w:val="24"/>
          <w:lang w:val="en-US"/>
        </w:rPr>
        <w:t>de minimis</w:t>
      </w:r>
      <w:r w:rsidR="00FA6A29" w:rsidRPr="001B05BA">
        <w:rPr>
          <w:rFonts w:ascii="Arial" w:hAnsi="Arial" w:cs="Arial"/>
          <w:sz w:val="24"/>
          <w:szCs w:val="24"/>
          <w:lang w:val="en-US"/>
        </w:rPr>
        <w:t xml:space="preserve"> deviation from a prescribed standard</w:t>
      </w:r>
      <w:r w:rsidR="00623C9E" w:rsidRPr="001B05BA">
        <w:rPr>
          <w:rFonts w:ascii="Arial" w:hAnsi="Arial" w:cs="Arial"/>
          <w:sz w:val="24"/>
          <w:szCs w:val="24"/>
          <w:lang w:val="en-US"/>
        </w:rPr>
        <w:t xml:space="preserve"> must be determined with reference to the purpose of the standard. </w:t>
      </w:r>
      <w:r w:rsidR="00A01573" w:rsidRPr="001B05BA">
        <w:rPr>
          <w:rFonts w:ascii="Arial" w:hAnsi="Arial" w:cs="Arial"/>
          <w:sz w:val="24"/>
          <w:szCs w:val="24"/>
          <w:lang w:val="en-US"/>
        </w:rPr>
        <w:t xml:space="preserve">The purpose for which </w:t>
      </w:r>
      <w:r w:rsidR="00A01573" w:rsidRPr="001B05BA">
        <w:rPr>
          <w:rFonts w:ascii="Arial" w:hAnsi="Arial" w:cs="Arial"/>
          <w:sz w:val="24"/>
          <w:szCs w:val="24"/>
          <w:lang w:val="en-US"/>
        </w:rPr>
        <w:lastRenderedPageBreak/>
        <w:t>tariff subheading</w:t>
      </w:r>
      <w:r w:rsidR="00840F76" w:rsidRPr="001B05BA">
        <w:rPr>
          <w:rFonts w:ascii="Arial" w:hAnsi="Arial" w:cs="Arial"/>
          <w:sz w:val="24"/>
          <w:szCs w:val="24"/>
          <w:lang w:val="en-US"/>
        </w:rPr>
        <w:t xml:space="preserve"> 2208.70.21 was enacted, has been set out above. </w:t>
      </w:r>
      <w:r w:rsidR="00383D5C" w:rsidRPr="001B05BA">
        <w:rPr>
          <w:rFonts w:ascii="Arial" w:hAnsi="Arial" w:cs="Arial"/>
          <w:sz w:val="24"/>
          <w:szCs w:val="24"/>
          <w:lang w:val="en-US"/>
        </w:rPr>
        <w:t>Having regard to th</w:t>
      </w:r>
      <w:r w:rsidR="00B209EF" w:rsidRPr="001B05BA">
        <w:rPr>
          <w:rFonts w:ascii="Arial" w:hAnsi="Arial" w:cs="Arial"/>
          <w:sz w:val="24"/>
          <w:szCs w:val="24"/>
          <w:lang w:val="en-US"/>
        </w:rPr>
        <w:t>is purpose, t</w:t>
      </w:r>
      <w:r w:rsidR="001A0B34" w:rsidRPr="001B05BA">
        <w:rPr>
          <w:rFonts w:ascii="Arial" w:hAnsi="Arial" w:cs="Arial"/>
          <w:sz w:val="24"/>
          <w:szCs w:val="24"/>
          <w:lang w:val="en-US"/>
        </w:rPr>
        <w:t xml:space="preserve">he quantity of alcohol added to the wine spirit base is, in my view, negligible, and insufficient to invoke the application of Additional Note 4(b). </w:t>
      </w:r>
      <w:r w:rsidR="000D5CE2" w:rsidRPr="001B05BA">
        <w:rPr>
          <w:rFonts w:ascii="Arial" w:hAnsi="Arial" w:cs="Arial"/>
          <w:sz w:val="24"/>
          <w:szCs w:val="24"/>
          <w:lang w:val="en-US"/>
        </w:rPr>
        <w:t>To hold that Additional Note 4(b) excludes</w:t>
      </w:r>
      <w:r w:rsidR="000B4F76" w:rsidRPr="001B05BA">
        <w:rPr>
          <w:rFonts w:ascii="Arial" w:hAnsi="Arial" w:cs="Arial"/>
          <w:sz w:val="24"/>
          <w:szCs w:val="24"/>
          <w:lang w:val="en-US"/>
        </w:rPr>
        <w:t xml:space="preserve"> CVCO from the ambit of </w:t>
      </w:r>
      <w:r w:rsidR="007E7C74" w:rsidRPr="001B05BA">
        <w:rPr>
          <w:rFonts w:ascii="Arial" w:hAnsi="Arial" w:cs="Arial"/>
          <w:sz w:val="24"/>
          <w:szCs w:val="24"/>
          <w:lang w:val="en-US"/>
        </w:rPr>
        <w:t>tariff subheading</w:t>
      </w:r>
      <w:r w:rsidR="000B4F76" w:rsidRPr="001B05BA">
        <w:rPr>
          <w:rFonts w:ascii="Arial" w:hAnsi="Arial" w:cs="Arial"/>
          <w:sz w:val="24"/>
          <w:szCs w:val="24"/>
          <w:lang w:val="en-US"/>
        </w:rPr>
        <w:t xml:space="preserve"> 2208.70.21 because the vanilla</w:t>
      </w:r>
      <w:r w:rsidR="00BD0369" w:rsidRPr="001B05BA">
        <w:rPr>
          <w:rFonts w:ascii="Arial" w:hAnsi="Arial" w:cs="Arial"/>
          <w:sz w:val="24"/>
          <w:szCs w:val="24"/>
          <w:lang w:val="en-US"/>
        </w:rPr>
        <w:t xml:space="preserve">, </w:t>
      </w:r>
      <w:r w:rsidR="00B24211" w:rsidRPr="001B05BA">
        <w:rPr>
          <w:rFonts w:ascii="Arial" w:hAnsi="Arial" w:cs="Arial"/>
          <w:sz w:val="24"/>
          <w:szCs w:val="24"/>
          <w:lang w:val="en-US"/>
        </w:rPr>
        <w:t>as a result of</w:t>
      </w:r>
      <w:r w:rsidR="00BD0369" w:rsidRPr="001B05BA">
        <w:rPr>
          <w:rFonts w:ascii="Arial" w:hAnsi="Arial" w:cs="Arial"/>
          <w:sz w:val="24"/>
          <w:szCs w:val="24"/>
          <w:lang w:val="en-US"/>
        </w:rPr>
        <w:t xml:space="preserve"> the process through which vanilla</w:t>
      </w:r>
      <w:r w:rsidR="00D85C9F" w:rsidRPr="001B05BA">
        <w:rPr>
          <w:rFonts w:ascii="Arial" w:hAnsi="Arial" w:cs="Arial"/>
          <w:sz w:val="24"/>
          <w:szCs w:val="24"/>
          <w:lang w:val="en-US"/>
        </w:rPr>
        <w:t xml:space="preserve"> extract is </w:t>
      </w:r>
      <w:r w:rsidR="00DF27A2" w:rsidRPr="001B05BA">
        <w:rPr>
          <w:rFonts w:ascii="Arial" w:hAnsi="Arial" w:cs="Arial"/>
          <w:sz w:val="24"/>
          <w:szCs w:val="24"/>
          <w:lang w:val="en-US"/>
        </w:rPr>
        <w:t>produced</w:t>
      </w:r>
      <w:r w:rsidR="00BD0369" w:rsidRPr="001B05BA">
        <w:rPr>
          <w:rFonts w:ascii="Arial" w:hAnsi="Arial" w:cs="Arial"/>
          <w:sz w:val="24"/>
          <w:szCs w:val="24"/>
          <w:lang w:val="en-US"/>
        </w:rPr>
        <w:t xml:space="preserve"> </w:t>
      </w:r>
      <w:r w:rsidR="00695898" w:rsidRPr="001B05BA">
        <w:rPr>
          <w:rFonts w:ascii="Arial" w:hAnsi="Arial" w:cs="Arial"/>
          <w:sz w:val="24"/>
          <w:szCs w:val="24"/>
          <w:lang w:val="en-US"/>
        </w:rPr>
        <w:t>from vanilla beans, contains 0,6%</w:t>
      </w:r>
      <w:r w:rsidR="00F41081" w:rsidRPr="001B05BA">
        <w:rPr>
          <w:rStyle w:val="FootnoteReference"/>
          <w:rFonts w:ascii="Arial" w:hAnsi="Arial" w:cs="Arial"/>
          <w:sz w:val="24"/>
          <w:szCs w:val="24"/>
          <w:lang w:val="en-US"/>
        </w:rPr>
        <w:footnoteReference w:id="43"/>
      </w:r>
      <w:r w:rsidR="00695898" w:rsidRPr="001B05BA">
        <w:rPr>
          <w:rFonts w:ascii="Arial" w:hAnsi="Arial" w:cs="Arial"/>
          <w:sz w:val="24"/>
          <w:szCs w:val="24"/>
          <w:lang w:val="en-US"/>
        </w:rPr>
        <w:t xml:space="preserve"> alcohol which </w:t>
      </w:r>
      <w:r w:rsidR="002D5C67" w:rsidRPr="001B05BA">
        <w:rPr>
          <w:rFonts w:ascii="Arial" w:hAnsi="Arial" w:cs="Arial"/>
          <w:sz w:val="24"/>
          <w:szCs w:val="24"/>
          <w:lang w:val="en-US"/>
        </w:rPr>
        <w:t xml:space="preserve">renders the </w:t>
      </w:r>
      <w:r w:rsidR="00A57AE5" w:rsidRPr="001B05BA">
        <w:rPr>
          <w:rFonts w:ascii="Arial" w:hAnsi="Arial" w:cs="Arial"/>
          <w:sz w:val="24"/>
          <w:szCs w:val="24"/>
          <w:lang w:val="en-US"/>
        </w:rPr>
        <w:t xml:space="preserve">ABV of the flavouring which is added to the wine spirits </w:t>
      </w:r>
      <w:r w:rsidR="00C84858" w:rsidRPr="001B05BA">
        <w:rPr>
          <w:rFonts w:ascii="Arial" w:hAnsi="Arial" w:cs="Arial"/>
          <w:sz w:val="24"/>
          <w:szCs w:val="24"/>
          <w:lang w:val="en-US"/>
        </w:rPr>
        <w:t>0.00</w:t>
      </w:r>
      <w:r w:rsidR="00454D41" w:rsidRPr="001B05BA">
        <w:rPr>
          <w:rFonts w:ascii="Arial" w:hAnsi="Arial" w:cs="Arial"/>
          <w:sz w:val="24"/>
          <w:szCs w:val="24"/>
          <w:lang w:val="en-US"/>
        </w:rPr>
        <w:t>0</w:t>
      </w:r>
      <w:r w:rsidR="00A57AE5" w:rsidRPr="001B05BA">
        <w:rPr>
          <w:rFonts w:ascii="Arial" w:hAnsi="Arial" w:cs="Arial"/>
          <w:sz w:val="24"/>
          <w:szCs w:val="24"/>
          <w:lang w:val="en-US"/>
        </w:rPr>
        <w:t xml:space="preserve">252% </w:t>
      </w:r>
      <w:r w:rsidR="00FF004B" w:rsidRPr="001B05BA">
        <w:rPr>
          <w:rFonts w:ascii="Arial" w:hAnsi="Arial" w:cs="Arial"/>
          <w:sz w:val="24"/>
          <w:szCs w:val="24"/>
          <w:lang w:val="en-US"/>
        </w:rPr>
        <w:t>and in turn</w:t>
      </w:r>
      <w:r w:rsidR="00C84858" w:rsidRPr="001B05BA">
        <w:rPr>
          <w:rFonts w:ascii="Arial" w:hAnsi="Arial" w:cs="Arial"/>
          <w:sz w:val="24"/>
          <w:szCs w:val="24"/>
          <w:lang w:val="en-US"/>
        </w:rPr>
        <w:t>,</w:t>
      </w:r>
      <w:r w:rsidR="00FF004B" w:rsidRPr="001B05BA">
        <w:rPr>
          <w:rFonts w:ascii="Arial" w:hAnsi="Arial" w:cs="Arial"/>
          <w:sz w:val="24"/>
          <w:szCs w:val="24"/>
          <w:lang w:val="en-US"/>
        </w:rPr>
        <w:t xml:space="preserve"> </w:t>
      </w:r>
      <w:r w:rsidR="002953D1" w:rsidRPr="001B05BA">
        <w:rPr>
          <w:rFonts w:ascii="Arial" w:hAnsi="Arial" w:cs="Arial"/>
          <w:sz w:val="24"/>
          <w:szCs w:val="24"/>
          <w:lang w:val="en-US"/>
        </w:rPr>
        <w:t>contributes</w:t>
      </w:r>
      <w:r w:rsidR="00FF004B" w:rsidRPr="001B05BA">
        <w:rPr>
          <w:rFonts w:ascii="Arial" w:hAnsi="Arial" w:cs="Arial"/>
          <w:sz w:val="24"/>
          <w:szCs w:val="24"/>
          <w:lang w:val="en-US"/>
        </w:rPr>
        <w:t xml:space="preserve"> 0.00004</w:t>
      </w:r>
      <w:r w:rsidR="00C84858" w:rsidRPr="001B05BA">
        <w:rPr>
          <w:rFonts w:ascii="Arial" w:hAnsi="Arial" w:cs="Arial"/>
          <w:sz w:val="24"/>
          <w:szCs w:val="24"/>
          <w:lang w:val="en-US"/>
        </w:rPr>
        <w:t xml:space="preserve">% </w:t>
      </w:r>
      <w:r w:rsidR="00FF004B" w:rsidRPr="001B05BA">
        <w:rPr>
          <w:rFonts w:ascii="Arial" w:hAnsi="Arial" w:cs="Arial"/>
          <w:sz w:val="24"/>
          <w:szCs w:val="24"/>
          <w:lang w:val="en-US"/>
        </w:rPr>
        <w:t>to the ABV of the final product, w</w:t>
      </w:r>
      <w:r w:rsidR="006C5718" w:rsidRPr="001B05BA">
        <w:rPr>
          <w:rFonts w:ascii="Arial" w:hAnsi="Arial" w:cs="Arial"/>
          <w:sz w:val="24"/>
          <w:szCs w:val="24"/>
          <w:lang w:val="en-US"/>
        </w:rPr>
        <w:t>ill</w:t>
      </w:r>
      <w:r w:rsidR="00FF004B" w:rsidRPr="001B05BA">
        <w:rPr>
          <w:rFonts w:ascii="Arial" w:hAnsi="Arial" w:cs="Arial"/>
          <w:sz w:val="24"/>
          <w:szCs w:val="24"/>
          <w:lang w:val="en-US"/>
        </w:rPr>
        <w:t xml:space="preserve"> </w:t>
      </w:r>
      <w:r w:rsidR="002171F2" w:rsidRPr="001B05BA">
        <w:rPr>
          <w:rFonts w:ascii="Arial" w:hAnsi="Arial" w:cs="Arial"/>
          <w:sz w:val="24"/>
          <w:szCs w:val="24"/>
          <w:lang w:val="en-US"/>
        </w:rPr>
        <w:t xml:space="preserve">bring about a result contrary to the underlying purpose </w:t>
      </w:r>
      <w:r w:rsidR="003D4B29" w:rsidRPr="001B05BA">
        <w:rPr>
          <w:rFonts w:ascii="Arial" w:hAnsi="Arial" w:cs="Arial"/>
          <w:sz w:val="24"/>
          <w:szCs w:val="24"/>
          <w:lang w:val="en-US"/>
        </w:rPr>
        <w:t xml:space="preserve">for which </w:t>
      </w:r>
      <w:r w:rsidR="00DD6348" w:rsidRPr="001B05BA">
        <w:rPr>
          <w:rFonts w:ascii="Arial" w:hAnsi="Arial" w:cs="Arial"/>
          <w:sz w:val="24"/>
          <w:szCs w:val="24"/>
          <w:lang w:val="en-US"/>
        </w:rPr>
        <w:t>the tariff</w:t>
      </w:r>
      <w:r w:rsidR="003D4B29" w:rsidRPr="001B05BA">
        <w:rPr>
          <w:rFonts w:ascii="Arial" w:hAnsi="Arial" w:cs="Arial"/>
          <w:sz w:val="24"/>
          <w:szCs w:val="24"/>
          <w:lang w:val="en-US"/>
        </w:rPr>
        <w:t xml:space="preserve"> classification</w:t>
      </w:r>
      <w:r w:rsidR="0019604F" w:rsidRPr="001B05BA">
        <w:rPr>
          <w:rFonts w:ascii="Arial" w:hAnsi="Arial" w:cs="Arial"/>
          <w:sz w:val="24"/>
          <w:szCs w:val="24"/>
          <w:lang w:val="en-US"/>
        </w:rPr>
        <w:t xml:space="preserve"> under </w:t>
      </w:r>
      <w:r w:rsidR="00CB5650" w:rsidRPr="001B05BA">
        <w:rPr>
          <w:rFonts w:ascii="Arial" w:hAnsi="Arial" w:cs="Arial"/>
          <w:sz w:val="24"/>
          <w:szCs w:val="24"/>
          <w:lang w:val="en-US"/>
        </w:rPr>
        <w:t>tariff subheading</w:t>
      </w:r>
      <w:r w:rsidR="0019604F" w:rsidRPr="001B05BA">
        <w:rPr>
          <w:rFonts w:ascii="Arial" w:hAnsi="Arial" w:cs="Arial"/>
          <w:sz w:val="24"/>
          <w:szCs w:val="24"/>
          <w:lang w:val="en-US"/>
        </w:rPr>
        <w:t xml:space="preserve"> 2208.70.21 provides.</w:t>
      </w:r>
      <w:r w:rsidR="002171F2" w:rsidRPr="001B05BA">
        <w:rPr>
          <w:rFonts w:ascii="Arial" w:hAnsi="Arial" w:cs="Arial"/>
          <w:sz w:val="24"/>
          <w:szCs w:val="24"/>
          <w:lang w:val="en-US"/>
        </w:rPr>
        <w:t xml:space="preserve"> </w:t>
      </w:r>
    </w:p>
    <w:p w14:paraId="295CAED0" w14:textId="77777777" w:rsidR="0090384E" w:rsidRPr="001B05BA" w:rsidRDefault="0090384E" w:rsidP="0090384E">
      <w:pPr>
        <w:pStyle w:val="ListParagraph"/>
        <w:rPr>
          <w:rFonts w:ascii="Arial" w:hAnsi="Arial" w:cs="Arial"/>
          <w:sz w:val="24"/>
          <w:szCs w:val="24"/>
          <w:lang w:val="en-US"/>
        </w:rPr>
      </w:pPr>
    </w:p>
    <w:p w14:paraId="11F4F1C1" w14:textId="7723DF25" w:rsidR="0090384E" w:rsidRPr="001B05BA" w:rsidRDefault="0090384E" w:rsidP="0090384E">
      <w:pPr>
        <w:pStyle w:val="ListParagraph"/>
        <w:numPr>
          <w:ilvl w:val="0"/>
          <w:numId w:val="2"/>
        </w:numPr>
        <w:tabs>
          <w:tab w:val="left" w:pos="4917"/>
        </w:tabs>
        <w:spacing w:before="120" w:after="120" w:line="360" w:lineRule="auto"/>
        <w:ind w:hanging="720"/>
        <w:jc w:val="both"/>
        <w:rPr>
          <w:rFonts w:ascii="Arial" w:hAnsi="Arial" w:cs="Arial"/>
          <w:sz w:val="24"/>
          <w:szCs w:val="24"/>
          <w:lang w:val="en-US"/>
        </w:rPr>
      </w:pPr>
      <w:r w:rsidRPr="001B05BA">
        <w:rPr>
          <w:rFonts w:ascii="Arial" w:hAnsi="Arial" w:cs="Arial"/>
          <w:sz w:val="24"/>
          <w:szCs w:val="24"/>
          <w:lang w:val="en-US"/>
        </w:rPr>
        <w:t xml:space="preserve">The purpose of the Customs and Excise Act and the undisputed purpose </w:t>
      </w:r>
      <w:r w:rsidR="00144D6B" w:rsidRPr="001B05BA">
        <w:rPr>
          <w:rFonts w:ascii="Arial" w:hAnsi="Arial" w:cs="Arial"/>
          <w:sz w:val="24"/>
          <w:szCs w:val="24"/>
          <w:lang w:val="en-US"/>
        </w:rPr>
        <w:t>of tariff subheading 220</w:t>
      </w:r>
      <w:r w:rsidR="00D162F3" w:rsidRPr="001B05BA">
        <w:rPr>
          <w:rFonts w:ascii="Arial" w:hAnsi="Arial" w:cs="Arial"/>
          <w:sz w:val="24"/>
          <w:szCs w:val="24"/>
          <w:lang w:val="en-US"/>
        </w:rPr>
        <w:t>8.70.21</w:t>
      </w:r>
      <w:r w:rsidRPr="001B05BA">
        <w:rPr>
          <w:rFonts w:ascii="Arial" w:hAnsi="Arial" w:cs="Arial"/>
          <w:sz w:val="24"/>
          <w:szCs w:val="24"/>
          <w:lang w:val="en-US"/>
        </w:rPr>
        <w:t xml:space="preserve">, should not be regarded to be in conflict. </w:t>
      </w:r>
      <w:r w:rsidR="00D97ECF" w:rsidRPr="001B05BA">
        <w:rPr>
          <w:rFonts w:ascii="Arial" w:hAnsi="Arial" w:cs="Arial"/>
          <w:sz w:val="24"/>
          <w:szCs w:val="24"/>
          <w:lang w:val="en-US"/>
        </w:rPr>
        <w:t xml:space="preserve">Neither is applying the </w:t>
      </w:r>
      <w:r w:rsidR="00D97ECF" w:rsidRPr="001B05BA">
        <w:rPr>
          <w:rFonts w:ascii="Arial" w:hAnsi="Arial" w:cs="Arial"/>
          <w:i/>
          <w:iCs/>
          <w:sz w:val="24"/>
          <w:szCs w:val="24"/>
          <w:lang w:val="en-US"/>
        </w:rPr>
        <w:t>de minimis</w:t>
      </w:r>
      <w:r w:rsidR="00D97ECF" w:rsidRPr="001B05BA">
        <w:rPr>
          <w:rFonts w:ascii="Arial" w:hAnsi="Arial" w:cs="Arial"/>
          <w:sz w:val="24"/>
          <w:szCs w:val="24"/>
          <w:lang w:val="en-US"/>
        </w:rPr>
        <w:t xml:space="preserve"> principle in conflict with the purpose of the Customs and Excise Act. </w:t>
      </w:r>
      <w:r w:rsidR="00D7095D" w:rsidRPr="001B05BA">
        <w:rPr>
          <w:rFonts w:ascii="Arial" w:hAnsi="Arial" w:cs="Arial"/>
          <w:sz w:val="24"/>
          <w:szCs w:val="24"/>
          <w:lang w:val="en-US"/>
        </w:rPr>
        <w:t xml:space="preserve">By </w:t>
      </w:r>
      <w:r w:rsidR="000A7F1B" w:rsidRPr="001B05BA">
        <w:rPr>
          <w:rFonts w:ascii="Arial" w:hAnsi="Arial" w:cs="Arial"/>
          <w:sz w:val="24"/>
          <w:szCs w:val="24"/>
          <w:lang w:val="en-US"/>
        </w:rPr>
        <w:t>promulgating</w:t>
      </w:r>
      <w:r w:rsidR="003201BC" w:rsidRPr="001B05BA">
        <w:rPr>
          <w:rFonts w:ascii="Arial" w:hAnsi="Arial" w:cs="Arial"/>
          <w:sz w:val="24"/>
          <w:szCs w:val="24"/>
          <w:lang w:val="en-US"/>
        </w:rPr>
        <w:t xml:space="preserve"> tariff</w:t>
      </w:r>
      <w:r w:rsidR="00D7095D" w:rsidRPr="001B05BA">
        <w:rPr>
          <w:rFonts w:ascii="Arial" w:hAnsi="Arial" w:cs="Arial"/>
          <w:sz w:val="24"/>
          <w:szCs w:val="24"/>
          <w:lang w:val="en-US"/>
        </w:rPr>
        <w:t xml:space="preserve"> subheading</w:t>
      </w:r>
      <w:r w:rsidR="003201BC" w:rsidRPr="001B05BA">
        <w:rPr>
          <w:rFonts w:ascii="Arial" w:hAnsi="Arial" w:cs="Arial"/>
          <w:sz w:val="24"/>
          <w:szCs w:val="24"/>
          <w:lang w:val="en-US"/>
        </w:rPr>
        <w:t xml:space="preserve"> 2208.70.21, N</w:t>
      </w:r>
      <w:r w:rsidRPr="001B05BA">
        <w:rPr>
          <w:rFonts w:ascii="Arial" w:hAnsi="Arial" w:cs="Arial"/>
          <w:sz w:val="24"/>
          <w:szCs w:val="24"/>
          <w:lang w:val="en-US"/>
        </w:rPr>
        <w:t xml:space="preserve">ational Treasury weighed up the benefit of promoting the local wine </w:t>
      </w:r>
      <w:r w:rsidR="0026249D" w:rsidRPr="001B05BA">
        <w:rPr>
          <w:rFonts w:ascii="Arial" w:hAnsi="Arial" w:cs="Arial"/>
          <w:sz w:val="24"/>
          <w:szCs w:val="24"/>
          <w:lang w:val="en-US"/>
        </w:rPr>
        <w:t>and soft fruit industries</w:t>
      </w:r>
      <w:r w:rsidR="00555B05" w:rsidRPr="001B05BA">
        <w:rPr>
          <w:rFonts w:ascii="Arial" w:hAnsi="Arial" w:cs="Arial"/>
          <w:sz w:val="24"/>
          <w:szCs w:val="24"/>
          <w:lang w:val="en-US"/>
        </w:rPr>
        <w:t xml:space="preserve"> by incentivi</w:t>
      </w:r>
      <w:r w:rsidR="001C47BD" w:rsidRPr="001B05BA">
        <w:rPr>
          <w:rFonts w:ascii="Arial" w:hAnsi="Arial" w:cs="Arial"/>
          <w:sz w:val="24"/>
          <w:szCs w:val="24"/>
          <w:lang w:val="en-US"/>
        </w:rPr>
        <w:t>s</w:t>
      </w:r>
      <w:r w:rsidR="00555B05" w:rsidRPr="001B05BA">
        <w:rPr>
          <w:rFonts w:ascii="Arial" w:hAnsi="Arial" w:cs="Arial"/>
          <w:sz w:val="24"/>
          <w:szCs w:val="24"/>
          <w:lang w:val="en-US"/>
        </w:rPr>
        <w:t xml:space="preserve">ing the local manufacturers </w:t>
      </w:r>
      <w:r w:rsidR="00CD4C0F" w:rsidRPr="001B05BA">
        <w:rPr>
          <w:rFonts w:ascii="Arial" w:hAnsi="Arial" w:cs="Arial"/>
          <w:sz w:val="24"/>
          <w:szCs w:val="24"/>
          <w:lang w:val="en-US"/>
        </w:rPr>
        <w:t>of alcoholic beverages to use wine spirits (as opposed to ca</w:t>
      </w:r>
      <w:r w:rsidR="00C6255A" w:rsidRPr="001B05BA">
        <w:rPr>
          <w:rFonts w:ascii="Arial" w:hAnsi="Arial" w:cs="Arial"/>
          <w:sz w:val="24"/>
          <w:szCs w:val="24"/>
          <w:lang w:val="en-US"/>
        </w:rPr>
        <w:t>n</w:t>
      </w:r>
      <w:r w:rsidR="00CD4C0F" w:rsidRPr="001B05BA">
        <w:rPr>
          <w:rFonts w:ascii="Arial" w:hAnsi="Arial" w:cs="Arial"/>
          <w:sz w:val="24"/>
          <w:szCs w:val="24"/>
          <w:lang w:val="en-US"/>
        </w:rPr>
        <w:t>e spirits) as the main alcoholic component of their products</w:t>
      </w:r>
      <w:r w:rsidR="001C47BD" w:rsidRPr="001B05BA">
        <w:rPr>
          <w:rFonts w:ascii="Arial" w:hAnsi="Arial" w:cs="Arial"/>
          <w:sz w:val="24"/>
          <w:szCs w:val="24"/>
          <w:lang w:val="en-US"/>
        </w:rPr>
        <w:t>,</w:t>
      </w:r>
      <w:r w:rsidRPr="001B05BA">
        <w:rPr>
          <w:rFonts w:ascii="Arial" w:hAnsi="Arial" w:cs="Arial"/>
          <w:sz w:val="24"/>
          <w:szCs w:val="24"/>
          <w:lang w:val="en-US"/>
        </w:rPr>
        <w:t xml:space="preserve"> against the loss of excise duty that would be brought about by providing for classification under </w:t>
      </w:r>
      <w:r w:rsidR="00B2446F" w:rsidRPr="001B05BA">
        <w:rPr>
          <w:rFonts w:ascii="Arial" w:hAnsi="Arial" w:cs="Arial"/>
          <w:sz w:val="24"/>
          <w:szCs w:val="24"/>
          <w:lang w:val="en-US"/>
        </w:rPr>
        <w:t>tariff subheading</w:t>
      </w:r>
      <w:r w:rsidRPr="001B05BA">
        <w:rPr>
          <w:rFonts w:ascii="Arial" w:hAnsi="Arial" w:cs="Arial"/>
          <w:sz w:val="24"/>
          <w:szCs w:val="24"/>
          <w:lang w:val="en-US"/>
        </w:rPr>
        <w:t xml:space="preserve"> 2208.70.21 and concluded that the benefit outweighs the loss. To hold that the addition of an ingredient that contributes 0.00004% ABV to the final product </w:t>
      </w:r>
      <w:r w:rsidR="00234D3B" w:rsidRPr="001B05BA">
        <w:rPr>
          <w:rFonts w:ascii="Arial" w:hAnsi="Arial" w:cs="Arial"/>
          <w:sz w:val="24"/>
          <w:szCs w:val="24"/>
          <w:lang w:val="en-US"/>
        </w:rPr>
        <w:t xml:space="preserve">excludes </w:t>
      </w:r>
      <w:r w:rsidR="008609BE" w:rsidRPr="001B05BA">
        <w:rPr>
          <w:rFonts w:ascii="Arial" w:hAnsi="Arial" w:cs="Arial"/>
          <w:sz w:val="24"/>
          <w:szCs w:val="24"/>
          <w:lang w:val="en-US"/>
        </w:rPr>
        <w:t>that</w:t>
      </w:r>
      <w:r w:rsidR="00234D3B" w:rsidRPr="001B05BA">
        <w:rPr>
          <w:rFonts w:ascii="Arial" w:hAnsi="Arial" w:cs="Arial"/>
          <w:sz w:val="24"/>
          <w:szCs w:val="24"/>
          <w:lang w:val="en-US"/>
        </w:rPr>
        <w:t xml:space="preserve"> product from the ambit of tariff </w:t>
      </w:r>
      <w:r w:rsidR="008609BE" w:rsidRPr="001B05BA">
        <w:rPr>
          <w:rFonts w:ascii="Arial" w:hAnsi="Arial" w:cs="Arial"/>
          <w:sz w:val="24"/>
          <w:szCs w:val="24"/>
          <w:lang w:val="en-US"/>
        </w:rPr>
        <w:t>sub</w:t>
      </w:r>
      <w:r w:rsidR="00234D3B" w:rsidRPr="001B05BA">
        <w:rPr>
          <w:rFonts w:ascii="Arial" w:hAnsi="Arial" w:cs="Arial"/>
          <w:sz w:val="24"/>
          <w:szCs w:val="24"/>
          <w:lang w:val="en-US"/>
        </w:rPr>
        <w:t>heading 2208.70.21</w:t>
      </w:r>
      <w:r w:rsidR="008609BE" w:rsidRPr="001B05BA">
        <w:rPr>
          <w:rFonts w:ascii="Arial" w:hAnsi="Arial" w:cs="Arial"/>
          <w:sz w:val="24"/>
          <w:szCs w:val="24"/>
          <w:lang w:val="en-US"/>
        </w:rPr>
        <w:t>, would be</w:t>
      </w:r>
      <w:r w:rsidRPr="001B05BA">
        <w:rPr>
          <w:rFonts w:ascii="Arial" w:hAnsi="Arial" w:cs="Arial"/>
          <w:sz w:val="24"/>
          <w:szCs w:val="24"/>
          <w:lang w:val="en-US"/>
        </w:rPr>
        <w:t xml:space="preserve"> counterintuitive.</w:t>
      </w:r>
      <w:r w:rsidR="00FC59F2" w:rsidRPr="001B05BA">
        <w:rPr>
          <w:rFonts w:ascii="Arial" w:hAnsi="Arial" w:cs="Arial"/>
          <w:sz w:val="24"/>
          <w:szCs w:val="24"/>
          <w:lang w:val="en-US"/>
        </w:rPr>
        <w:t xml:space="preserve"> The benefit associated</w:t>
      </w:r>
      <w:r w:rsidR="008143DB" w:rsidRPr="001B05BA">
        <w:rPr>
          <w:rFonts w:ascii="Arial" w:hAnsi="Arial" w:cs="Arial"/>
          <w:sz w:val="24"/>
          <w:szCs w:val="24"/>
          <w:lang w:val="en-US"/>
        </w:rPr>
        <w:t xml:space="preserve"> with </w:t>
      </w:r>
      <w:r w:rsidR="00444DB8" w:rsidRPr="001B05BA">
        <w:rPr>
          <w:rFonts w:ascii="Arial" w:hAnsi="Arial" w:cs="Arial"/>
          <w:sz w:val="24"/>
          <w:szCs w:val="24"/>
          <w:lang w:val="en-US"/>
        </w:rPr>
        <w:t>t</w:t>
      </w:r>
      <w:r w:rsidR="008143DB" w:rsidRPr="001B05BA">
        <w:rPr>
          <w:rFonts w:ascii="Arial" w:hAnsi="Arial" w:cs="Arial"/>
          <w:sz w:val="24"/>
          <w:szCs w:val="24"/>
          <w:lang w:val="en-US"/>
        </w:rPr>
        <w:t>ariff subheading 2208.70.21 would not materialize</w:t>
      </w:r>
      <w:r w:rsidR="003C68A9" w:rsidRPr="001B05BA">
        <w:rPr>
          <w:rFonts w:ascii="Arial" w:hAnsi="Arial" w:cs="Arial"/>
          <w:sz w:val="24"/>
          <w:szCs w:val="24"/>
          <w:lang w:val="en-US"/>
        </w:rPr>
        <w:t>,</w:t>
      </w:r>
      <w:r w:rsidR="008143DB" w:rsidRPr="001B05BA">
        <w:rPr>
          <w:rFonts w:ascii="Arial" w:hAnsi="Arial" w:cs="Arial"/>
          <w:sz w:val="24"/>
          <w:szCs w:val="24"/>
          <w:lang w:val="en-US"/>
        </w:rPr>
        <w:t xml:space="preserve"> and producers </w:t>
      </w:r>
      <w:r w:rsidR="005537B9" w:rsidRPr="001B05BA">
        <w:rPr>
          <w:rFonts w:ascii="Arial" w:hAnsi="Arial" w:cs="Arial"/>
          <w:sz w:val="24"/>
          <w:szCs w:val="24"/>
          <w:lang w:val="en-US"/>
        </w:rPr>
        <w:t>may</w:t>
      </w:r>
      <w:r w:rsidR="008143DB" w:rsidRPr="001B05BA">
        <w:rPr>
          <w:rFonts w:ascii="Arial" w:hAnsi="Arial" w:cs="Arial"/>
          <w:sz w:val="24"/>
          <w:szCs w:val="24"/>
          <w:lang w:val="en-US"/>
        </w:rPr>
        <w:t xml:space="preserve"> again revert to using cane spirits instead of the more expensive wine sp</w:t>
      </w:r>
      <w:r w:rsidR="00C055FA" w:rsidRPr="001B05BA">
        <w:rPr>
          <w:rFonts w:ascii="Arial" w:hAnsi="Arial" w:cs="Arial"/>
          <w:sz w:val="24"/>
          <w:szCs w:val="24"/>
          <w:lang w:val="en-US"/>
        </w:rPr>
        <w:t>irits</w:t>
      </w:r>
      <w:r w:rsidR="0004314F" w:rsidRPr="001B05BA">
        <w:rPr>
          <w:rFonts w:ascii="Arial" w:hAnsi="Arial" w:cs="Arial"/>
          <w:sz w:val="24"/>
          <w:szCs w:val="24"/>
          <w:lang w:val="en-US"/>
        </w:rPr>
        <w:t xml:space="preserve"> in the manufacturing process of lique</w:t>
      </w:r>
      <w:r w:rsidR="00CD4008" w:rsidRPr="001B05BA">
        <w:rPr>
          <w:rFonts w:ascii="Arial" w:hAnsi="Arial" w:cs="Arial"/>
          <w:sz w:val="24"/>
          <w:szCs w:val="24"/>
          <w:lang w:val="en-US"/>
        </w:rPr>
        <w:t>ur</w:t>
      </w:r>
      <w:r w:rsidR="00C055FA" w:rsidRPr="001B05BA">
        <w:rPr>
          <w:rFonts w:ascii="Arial" w:hAnsi="Arial" w:cs="Arial"/>
          <w:sz w:val="24"/>
          <w:szCs w:val="24"/>
          <w:lang w:val="en-US"/>
        </w:rPr>
        <w:t>.</w:t>
      </w:r>
    </w:p>
    <w:p w14:paraId="448F371D" w14:textId="77777777" w:rsidR="00C8049C" w:rsidRPr="001B05BA" w:rsidRDefault="00C8049C" w:rsidP="00C8049C">
      <w:pPr>
        <w:pStyle w:val="ListParagraph"/>
        <w:rPr>
          <w:rFonts w:ascii="Arial" w:hAnsi="Arial" w:cs="Arial"/>
          <w:sz w:val="24"/>
          <w:szCs w:val="24"/>
          <w:lang w:val="en-US"/>
        </w:rPr>
      </w:pPr>
    </w:p>
    <w:p w14:paraId="40BA608A" w14:textId="363487E7" w:rsidR="001B78FA" w:rsidRPr="001B05BA" w:rsidRDefault="00C8049C" w:rsidP="006D3452">
      <w:pPr>
        <w:pStyle w:val="ListParagraph"/>
        <w:numPr>
          <w:ilvl w:val="0"/>
          <w:numId w:val="2"/>
        </w:numPr>
        <w:tabs>
          <w:tab w:val="left" w:pos="4917"/>
        </w:tabs>
        <w:spacing w:before="120" w:after="120" w:line="360" w:lineRule="auto"/>
        <w:ind w:hanging="720"/>
        <w:jc w:val="both"/>
        <w:rPr>
          <w:rFonts w:ascii="Arial" w:hAnsi="Arial" w:cs="Arial"/>
          <w:sz w:val="24"/>
          <w:szCs w:val="24"/>
          <w:lang w:val="en-US"/>
        </w:rPr>
      </w:pPr>
      <w:r w:rsidRPr="001B05BA">
        <w:rPr>
          <w:rFonts w:ascii="Arial" w:hAnsi="Arial" w:cs="Arial"/>
          <w:sz w:val="24"/>
          <w:szCs w:val="24"/>
          <w:lang w:val="en-US"/>
        </w:rPr>
        <w:t xml:space="preserve">The insignificance of </w:t>
      </w:r>
      <w:r w:rsidR="00903474" w:rsidRPr="001B05BA">
        <w:rPr>
          <w:rFonts w:ascii="Arial" w:hAnsi="Arial" w:cs="Arial"/>
          <w:sz w:val="24"/>
          <w:szCs w:val="24"/>
          <w:lang w:val="en-US"/>
        </w:rPr>
        <w:t>the added 0.00</w:t>
      </w:r>
      <w:r w:rsidR="008609BE" w:rsidRPr="001B05BA">
        <w:rPr>
          <w:rFonts w:ascii="Arial" w:hAnsi="Arial" w:cs="Arial"/>
          <w:sz w:val="24"/>
          <w:szCs w:val="24"/>
          <w:lang w:val="en-US"/>
        </w:rPr>
        <w:t>0</w:t>
      </w:r>
      <w:r w:rsidR="00903474" w:rsidRPr="001B05BA">
        <w:rPr>
          <w:rFonts w:ascii="Arial" w:hAnsi="Arial" w:cs="Arial"/>
          <w:sz w:val="24"/>
          <w:szCs w:val="24"/>
          <w:lang w:val="en-US"/>
        </w:rPr>
        <w:t xml:space="preserve">252% </w:t>
      </w:r>
      <w:r w:rsidR="00504D93" w:rsidRPr="001B05BA">
        <w:rPr>
          <w:rFonts w:ascii="Arial" w:hAnsi="Arial" w:cs="Arial"/>
          <w:sz w:val="24"/>
          <w:szCs w:val="24"/>
          <w:lang w:val="en-US"/>
        </w:rPr>
        <w:t xml:space="preserve">of alcohol in the vanilla flavouring </w:t>
      </w:r>
      <w:r w:rsidR="000442F4" w:rsidRPr="001B05BA">
        <w:rPr>
          <w:rFonts w:ascii="Arial" w:hAnsi="Arial" w:cs="Arial"/>
          <w:sz w:val="24"/>
          <w:szCs w:val="24"/>
          <w:lang w:val="en-US"/>
        </w:rPr>
        <w:t xml:space="preserve">is underscored by SARS’ </w:t>
      </w:r>
      <w:r w:rsidR="00CD3C00" w:rsidRPr="001B05BA">
        <w:rPr>
          <w:rFonts w:ascii="Arial" w:hAnsi="Arial" w:cs="Arial"/>
          <w:sz w:val="24"/>
          <w:szCs w:val="24"/>
          <w:lang w:val="en-US"/>
        </w:rPr>
        <w:t>Excise External Policy</w:t>
      </w:r>
      <w:r w:rsidR="00885239" w:rsidRPr="001B05BA">
        <w:rPr>
          <w:rFonts w:ascii="Arial" w:hAnsi="Arial" w:cs="Arial"/>
          <w:sz w:val="24"/>
          <w:szCs w:val="24"/>
          <w:lang w:val="en-US"/>
        </w:rPr>
        <w:t xml:space="preserve"> on Spirits (</w:t>
      </w:r>
      <w:r w:rsidR="001B78FA" w:rsidRPr="001B05BA">
        <w:rPr>
          <w:rFonts w:ascii="Arial" w:hAnsi="Arial" w:cs="Arial"/>
          <w:sz w:val="24"/>
          <w:szCs w:val="24"/>
          <w:lang w:val="en-US"/>
        </w:rPr>
        <w:t>the p</w:t>
      </w:r>
      <w:r w:rsidR="00885239" w:rsidRPr="001B05BA">
        <w:rPr>
          <w:rFonts w:ascii="Arial" w:hAnsi="Arial" w:cs="Arial"/>
          <w:sz w:val="24"/>
          <w:szCs w:val="24"/>
          <w:lang w:val="en-US"/>
        </w:rPr>
        <w:t>olicy)</w:t>
      </w:r>
      <w:r w:rsidR="00471A04" w:rsidRPr="001B05BA">
        <w:rPr>
          <w:rFonts w:ascii="Arial" w:hAnsi="Arial" w:cs="Arial"/>
          <w:sz w:val="24"/>
          <w:szCs w:val="24"/>
          <w:lang w:val="en-US"/>
        </w:rPr>
        <w:t xml:space="preserve">, a document </w:t>
      </w:r>
      <w:r w:rsidR="00471A04" w:rsidRPr="001B05BA">
        <w:rPr>
          <w:rFonts w:ascii="Arial" w:hAnsi="Arial" w:cs="Arial"/>
          <w:sz w:val="24"/>
          <w:szCs w:val="24"/>
          <w:lang w:val="en-US"/>
        </w:rPr>
        <w:lastRenderedPageBreak/>
        <w:t>this court can take judicial notice of.</w:t>
      </w:r>
      <w:r w:rsidR="00471A04" w:rsidRPr="001B05BA">
        <w:rPr>
          <w:rStyle w:val="FootnoteReference"/>
          <w:rFonts w:ascii="Arial" w:hAnsi="Arial" w:cs="Arial"/>
          <w:sz w:val="24"/>
          <w:szCs w:val="24"/>
          <w:lang w:val="en-US"/>
        </w:rPr>
        <w:footnoteReference w:id="44"/>
      </w:r>
      <w:r w:rsidR="00885239" w:rsidRPr="001B05BA">
        <w:rPr>
          <w:rFonts w:ascii="Arial" w:hAnsi="Arial" w:cs="Arial"/>
          <w:sz w:val="24"/>
          <w:szCs w:val="24"/>
          <w:lang w:val="en-US"/>
        </w:rPr>
        <w:t xml:space="preserve"> </w:t>
      </w:r>
      <w:r w:rsidR="005E52EF" w:rsidRPr="001B05BA">
        <w:rPr>
          <w:rFonts w:ascii="Arial" w:hAnsi="Arial" w:cs="Arial"/>
          <w:sz w:val="24"/>
          <w:szCs w:val="24"/>
          <w:lang w:val="en-US"/>
        </w:rPr>
        <w:t>In dealing with the assessment of excise duty</w:t>
      </w:r>
      <w:r w:rsidR="00CD3C00" w:rsidRPr="001B05BA">
        <w:rPr>
          <w:rFonts w:ascii="Arial" w:hAnsi="Arial" w:cs="Arial"/>
          <w:sz w:val="24"/>
          <w:szCs w:val="24"/>
          <w:lang w:val="en-US"/>
        </w:rPr>
        <w:t xml:space="preserve"> </w:t>
      </w:r>
      <w:r w:rsidR="00F71BE0" w:rsidRPr="001B05BA">
        <w:rPr>
          <w:rFonts w:ascii="Arial" w:hAnsi="Arial" w:cs="Arial"/>
          <w:sz w:val="24"/>
          <w:szCs w:val="24"/>
          <w:lang w:val="en-US"/>
        </w:rPr>
        <w:t>a</w:t>
      </w:r>
      <w:r w:rsidR="000A69BF" w:rsidRPr="001B05BA">
        <w:rPr>
          <w:rFonts w:ascii="Arial" w:hAnsi="Arial" w:cs="Arial"/>
          <w:sz w:val="24"/>
          <w:szCs w:val="24"/>
          <w:lang w:val="en-US"/>
        </w:rPr>
        <w:t xml:space="preserve">nd the measurement of dutiable </w:t>
      </w:r>
      <w:r w:rsidR="00766D05" w:rsidRPr="001B05BA">
        <w:rPr>
          <w:rFonts w:ascii="Arial" w:hAnsi="Arial" w:cs="Arial"/>
          <w:sz w:val="24"/>
          <w:szCs w:val="24"/>
          <w:lang w:val="en-US"/>
        </w:rPr>
        <w:t>quantities, the policy provides as follows</w:t>
      </w:r>
      <w:r w:rsidR="00F71BE0" w:rsidRPr="001B05BA">
        <w:rPr>
          <w:rFonts w:ascii="Arial" w:hAnsi="Arial" w:cs="Arial"/>
          <w:sz w:val="24"/>
          <w:szCs w:val="24"/>
          <w:lang w:val="en-US"/>
        </w:rPr>
        <w:t>:</w:t>
      </w:r>
      <w:r w:rsidR="009A25F2" w:rsidRPr="001B05BA">
        <w:rPr>
          <w:rFonts w:ascii="Arial" w:hAnsi="Arial" w:cs="Arial"/>
          <w:sz w:val="24"/>
          <w:szCs w:val="24"/>
          <w:lang w:val="en-US"/>
        </w:rPr>
        <w:t xml:space="preserve"> </w:t>
      </w:r>
    </w:p>
    <w:p w14:paraId="491673F6" w14:textId="77777777" w:rsidR="001B78FA" w:rsidRPr="001B05BA" w:rsidRDefault="001B78FA" w:rsidP="001B78FA">
      <w:pPr>
        <w:pStyle w:val="ListParagraph"/>
        <w:rPr>
          <w:rFonts w:ascii="Arial" w:hAnsi="Arial" w:cs="Arial"/>
          <w:sz w:val="24"/>
          <w:szCs w:val="24"/>
          <w:lang w:val="en-US"/>
        </w:rPr>
      </w:pPr>
    </w:p>
    <w:p w14:paraId="0BA7EF2D" w14:textId="78F50FED" w:rsidR="00C8049C" w:rsidRPr="001B05BA" w:rsidRDefault="001B78FA" w:rsidP="00636B10">
      <w:pPr>
        <w:pStyle w:val="ListParagraph"/>
        <w:tabs>
          <w:tab w:val="left" w:pos="4917"/>
        </w:tabs>
        <w:spacing w:before="120" w:after="120" w:line="360" w:lineRule="auto"/>
        <w:ind w:left="1008" w:right="1008"/>
        <w:jc w:val="both"/>
        <w:rPr>
          <w:rFonts w:ascii="Arial" w:hAnsi="Arial" w:cs="Arial"/>
          <w:sz w:val="24"/>
          <w:szCs w:val="24"/>
          <w:lang w:val="en-US"/>
        </w:rPr>
      </w:pPr>
      <w:r w:rsidRPr="001B05BA">
        <w:rPr>
          <w:rFonts w:ascii="Arial" w:hAnsi="Arial" w:cs="Arial"/>
          <w:sz w:val="24"/>
          <w:szCs w:val="24"/>
          <w:lang w:val="en-US"/>
        </w:rPr>
        <w:t>‘</w:t>
      </w:r>
      <w:r w:rsidR="009A25F2" w:rsidRPr="001B05BA">
        <w:rPr>
          <w:rFonts w:ascii="Arial" w:hAnsi="Arial" w:cs="Arial"/>
          <w:sz w:val="24"/>
          <w:szCs w:val="24"/>
          <w:lang w:val="en-US"/>
        </w:rPr>
        <w:t>(a) the du</w:t>
      </w:r>
      <w:r w:rsidRPr="001B05BA">
        <w:rPr>
          <w:rFonts w:ascii="Arial" w:hAnsi="Arial" w:cs="Arial"/>
          <w:sz w:val="24"/>
          <w:szCs w:val="24"/>
          <w:lang w:val="en-US"/>
        </w:rPr>
        <w:t>tiable</w:t>
      </w:r>
      <w:r w:rsidR="009A25F2" w:rsidRPr="001B05BA">
        <w:rPr>
          <w:rFonts w:ascii="Arial" w:hAnsi="Arial" w:cs="Arial"/>
          <w:sz w:val="24"/>
          <w:szCs w:val="24"/>
          <w:lang w:val="en-US"/>
        </w:rPr>
        <w:t xml:space="preserve"> quantity of and </w:t>
      </w:r>
      <w:r w:rsidR="003F4FFB" w:rsidRPr="001B05BA">
        <w:rPr>
          <w:rFonts w:ascii="Arial" w:hAnsi="Arial" w:cs="Arial"/>
          <w:sz w:val="24"/>
          <w:szCs w:val="24"/>
          <w:lang w:val="en-US"/>
        </w:rPr>
        <w:t>E</w:t>
      </w:r>
      <w:r w:rsidR="009A25F2" w:rsidRPr="001B05BA">
        <w:rPr>
          <w:rFonts w:ascii="Arial" w:hAnsi="Arial" w:cs="Arial"/>
          <w:sz w:val="24"/>
          <w:szCs w:val="24"/>
          <w:lang w:val="en-US"/>
        </w:rPr>
        <w:t xml:space="preserve">xcise duty on spirits </w:t>
      </w:r>
      <w:r w:rsidR="00270558" w:rsidRPr="001B05BA">
        <w:rPr>
          <w:rFonts w:ascii="Arial" w:hAnsi="Arial" w:cs="Arial"/>
          <w:sz w:val="24"/>
          <w:szCs w:val="24"/>
          <w:lang w:val="en-US"/>
        </w:rPr>
        <w:t xml:space="preserve">/ spirituous products </w:t>
      </w:r>
      <w:r w:rsidR="003F4FFB" w:rsidRPr="001B05BA">
        <w:rPr>
          <w:rFonts w:ascii="Arial" w:hAnsi="Arial" w:cs="Arial"/>
          <w:sz w:val="24"/>
          <w:szCs w:val="24"/>
          <w:lang w:val="en-US"/>
        </w:rPr>
        <w:t>is</w:t>
      </w:r>
      <w:r w:rsidR="00270558" w:rsidRPr="001B05BA">
        <w:rPr>
          <w:rFonts w:ascii="Arial" w:hAnsi="Arial" w:cs="Arial"/>
          <w:sz w:val="24"/>
          <w:szCs w:val="24"/>
          <w:lang w:val="en-US"/>
        </w:rPr>
        <w:t xml:space="preserve"> as</w:t>
      </w:r>
      <w:r w:rsidR="003F4FFB" w:rsidRPr="001B05BA">
        <w:rPr>
          <w:rFonts w:ascii="Arial" w:hAnsi="Arial" w:cs="Arial"/>
          <w:sz w:val="24"/>
          <w:szCs w:val="24"/>
          <w:lang w:val="en-US"/>
        </w:rPr>
        <w:t>sessed</w:t>
      </w:r>
      <w:r w:rsidR="00270558" w:rsidRPr="001B05BA">
        <w:rPr>
          <w:rFonts w:ascii="Arial" w:hAnsi="Arial" w:cs="Arial"/>
          <w:sz w:val="24"/>
          <w:szCs w:val="24"/>
          <w:lang w:val="en-US"/>
        </w:rPr>
        <w:t xml:space="preserve"> on the total alcohol contained in the product, expressed in litres of absolute alcohol</w:t>
      </w:r>
      <w:r w:rsidR="00F56D28" w:rsidRPr="001B05BA">
        <w:rPr>
          <w:rFonts w:ascii="Arial" w:hAnsi="Arial" w:cs="Arial"/>
          <w:sz w:val="24"/>
          <w:szCs w:val="24"/>
          <w:lang w:val="en-US"/>
        </w:rPr>
        <w:t xml:space="preserve"> (L</w:t>
      </w:r>
      <w:r w:rsidR="00C93BDA" w:rsidRPr="001B05BA">
        <w:rPr>
          <w:rFonts w:ascii="Arial" w:hAnsi="Arial" w:cs="Arial"/>
          <w:sz w:val="24"/>
          <w:szCs w:val="24"/>
          <w:lang w:val="en-US"/>
        </w:rPr>
        <w:t>A</w:t>
      </w:r>
      <w:r w:rsidR="00F56D28" w:rsidRPr="001B05BA">
        <w:rPr>
          <w:rFonts w:ascii="Arial" w:hAnsi="Arial" w:cs="Arial"/>
          <w:sz w:val="24"/>
          <w:szCs w:val="24"/>
          <w:lang w:val="en-US"/>
        </w:rPr>
        <w:t xml:space="preserve">) rounded off to the </w:t>
      </w:r>
      <w:r w:rsidR="00C93BDA" w:rsidRPr="001B05BA">
        <w:rPr>
          <w:rFonts w:ascii="Arial" w:hAnsi="Arial" w:cs="Arial"/>
          <w:sz w:val="24"/>
          <w:szCs w:val="24"/>
          <w:lang w:val="en-US"/>
        </w:rPr>
        <w:t>second</w:t>
      </w:r>
      <w:r w:rsidR="00F56D28" w:rsidRPr="001B05BA">
        <w:rPr>
          <w:rFonts w:ascii="Arial" w:hAnsi="Arial" w:cs="Arial"/>
          <w:sz w:val="24"/>
          <w:szCs w:val="24"/>
          <w:lang w:val="en-US"/>
        </w:rPr>
        <w:t xml:space="preserve"> decimal point, contained in the total bulk volume of the product removed to the local SACU market for accounting purposes.</w:t>
      </w:r>
      <w:r w:rsidRPr="001B05BA">
        <w:rPr>
          <w:rFonts w:ascii="Arial" w:hAnsi="Arial" w:cs="Arial"/>
          <w:sz w:val="24"/>
          <w:szCs w:val="24"/>
          <w:lang w:val="en-US"/>
        </w:rPr>
        <w:t>’</w:t>
      </w:r>
    </w:p>
    <w:p w14:paraId="771ADF2E" w14:textId="77777777" w:rsidR="00081206" w:rsidRPr="001B05BA" w:rsidRDefault="00081206" w:rsidP="00636B10">
      <w:pPr>
        <w:pStyle w:val="ListParagraph"/>
        <w:tabs>
          <w:tab w:val="left" w:pos="4917"/>
        </w:tabs>
        <w:spacing w:before="120" w:after="120" w:line="360" w:lineRule="auto"/>
        <w:ind w:left="1008" w:right="1008"/>
        <w:jc w:val="both"/>
        <w:rPr>
          <w:rFonts w:ascii="Arial" w:hAnsi="Arial" w:cs="Arial"/>
          <w:sz w:val="24"/>
          <w:szCs w:val="24"/>
          <w:lang w:val="en-US"/>
        </w:rPr>
      </w:pPr>
    </w:p>
    <w:p w14:paraId="287D18AB" w14:textId="67B3EF60" w:rsidR="004C0280" w:rsidRPr="001B05BA" w:rsidRDefault="000C4040" w:rsidP="006D3452">
      <w:pPr>
        <w:pStyle w:val="ListParagraph"/>
        <w:numPr>
          <w:ilvl w:val="0"/>
          <w:numId w:val="2"/>
        </w:numPr>
        <w:tabs>
          <w:tab w:val="left" w:pos="4917"/>
        </w:tabs>
        <w:spacing w:before="120" w:after="120" w:line="360" w:lineRule="auto"/>
        <w:ind w:hanging="720"/>
        <w:jc w:val="both"/>
        <w:rPr>
          <w:rFonts w:ascii="Arial" w:hAnsi="Arial" w:cs="Arial"/>
          <w:sz w:val="24"/>
          <w:szCs w:val="24"/>
          <w:lang w:val="en-US"/>
        </w:rPr>
      </w:pPr>
      <w:r w:rsidRPr="001B05BA">
        <w:rPr>
          <w:rFonts w:ascii="Arial" w:hAnsi="Arial" w:cs="Arial"/>
          <w:sz w:val="24"/>
          <w:szCs w:val="24"/>
          <w:lang w:val="en-US"/>
        </w:rPr>
        <w:t xml:space="preserve">Although the policy </w:t>
      </w:r>
      <w:r w:rsidR="009D6FB6" w:rsidRPr="001B05BA">
        <w:rPr>
          <w:rFonts w:ascii="Arial" w:hAnsi="Arial" w:cs="Arial"/>
          <w:sz w:val="24"/>
          <w:szCs w:val="24"/>
          <w:lang w:val="en-US"/>
        </w:rPr>
        <w:t>and Additional Note</w:t>
      </w:r>
      <w:r w:rsidR="00DC69BA" w:rsidRPr="001B05BA">
        <w:rPr>
          <w:rFonts w:ascii="Arial" w:hAnsi="Arial" w:cs="Arial"/>
          <w:sz w:val="24"/>
          <w:szCs w:val="24"/>
          <w:lang w:val="en-US"/>
        </w:rPr>
        <w:t xml:space="preserve"> </w:t>
      </w:r>
      <w:r w:rsidR="009D6FB6" w:rsidRPr="001B05BA">
        <w:rPr>
          <w:rFonts w:ascii="Arial" w:hAnsi="Arial" w:cs="Arial"/>
          <w:sz w:val="24"/>
          <w:szCs w:val="24"/>
          <w:lang w:val="en-US"/>
        </w:rPr>
        <w:t xml:space="preserve">4(b) are separate documents and regulate different aspects </w:t>
      </w:r>
      <w:r w:rsidR="006C1B12" w:rsidRPr="001B05BA">
        <w:rPr>
          <w:rFonts w:ascii="Arial" w:hAnsi="Arial" w:cs="Arial"/>
          <w:sz w:val="24"/>
          <w:szCs w:val="24"/>
          <w:lang w:val="en-US"/>
        </w:rPr>
        <w:t>relating to the determination of excise duty</w:t>
      </w:r>
      <w:r w:rsidR="00DA1913" w:rsidRPr="001B05BA">
        <w:rPr>
          <w:rFonts w:ascii="Arial" w:hAnsi="Arial" w:cs="Arial"/>
          <w:sz w:val="24"/>
          <w:szCs w:val="24"/>
          <w:lang w:val="en-US"/>
        </w:rPr>
        <w:t xml:space="preserve">, the policy indicates that SARS disregards </w:t>
      </w:r>
      <w:r w:rsidR="00635DAB" w:rsidRPr="001B05BA">
        <w:rPr>
          <w:rFonts w:ascii="Arial" w:hAnsi="Arial" w:cs="Arial"/>
          <w:sz w:val="24"/>
          <w:szCs w:val="24"/>
          <w:lang w:val="en-US"/>
        </w:rPr>
        <w:t>negligible</w:t>
      </w:r>
      <w:r w:rsidR="00DA1913" w:rsidRPr="001B05BA">
        <w:rPr>
          <w:rFonts w:ascii="Arial" w:hAnsi="Arial" w:cs="Arial"/>
          <w:sz w:val="24"/>
          <w:szCs w:val="24"/>
          <w:lang w:val="en-US"/>
        </w:rPr>
        <w:t xml:space="preserve"> percentages of alcohol </w:t>
      </w:r>
      <w:r w:rsidR="00635DAB" w:rsidRPr="001B05BA">
        <w:rPr>
          <w:rFonts w:ascii="Arial" w:hAnsi="Arial" w:cs="Arial"/>
          <w:sz w:val="24"/>
          <w:szCs w:val="24"/>
          <w:lang w:val="en-US"/>
        </w:rPr>
        <w:t xml:space="preserve">in determining </w:t>
      </w:r>
      <w:r w:rsidR="00071F47" w:rsidRPr="001B05BA">
        <w:rPr>
          <w:rFonts w:ascii="Arial" w:hAnsi="Arial" w:cs="Arial"/>
          <w:sz w:val="24"/>
          <w:szCs w:val="24"/>
          <w:lang w:val="en-US"/>
        </w:rPr>
        <w:t xml:space="preserve">the dutiable quantity of excise duty on spirits and spirituous products. </w:t>
      </w:r>
      <w:r w:rsidR="00FF0C4C" w:rsidRPr="001B05BA">
        <w:rPr>
          <w:rFonts w:ascii="Arial" w:hAnsi="Arial" w:cs="Arial"/>
          <w:sz w:val="24"/>
          <w:szCs w:val="24"/>
          <w:lang w:val="en-US"/>
        </w:rPr>
        <w:t xml:space="preserve">The policy reflects that SARS intuitively applies the </w:t>
      </w:r>
      <w:r w:rsidR="00FF0C4C" w:rsidRPr="001B05BA">
        <w:rPr>
          <w:rFonts w:ascii="Arial" w:hAnsi="Arial" w:cs="Arial"/>
          <w:i/>
          <w:iCs/>
          <w:sz w:val="24"/>
          <w:szCs w:val="24"/>
          <w:lang w:val="en-US"/>
        </w:rPr>
        <w:t xml:space="preserve">de </w:t>
      </w:r>
      <w:r w:rsidR="00FF0C4C" w:rsidRPr="001B05BA">
        <w:rPr>
          <w:rFonts w:ascii="Arial" w:hAnsi="Arial" w:cs="Arial"/>
          <w:sz w:val="24"/>
          <w:szCs w:val="24"/>
          <w:lang w:val="en-US"/>
        </w:rPr>
        <w:t xml:space="preserve">minimis principle. </w:t>
      </w:r>
      <w:r w:rsidR="00071F47" w:rsidRPr="001B05BA">
        <w:rPr>
          <w:rFonts w:ascii="Arial" w:hAnsi="Arial" w:cs="Arial"/>
          <w:sz w:val="24"/>
          <w:szCs w:val="24"/>
          <w:lang w:val="en-US"/>
        </w:rPr>
        <w:t>In</w:t>
      </w:r>
      <w:r w:rsidR="004C0280" w:rsidRPr="001B05BA">
        <w:rPr>
          <w:rFonts w:ascii="Arial" w:hAnsi="Arial" w:cs="Arial"/>
          <w:sz w:val="24"/>
          <w:szCs w:val="24"/>
          <w:lang w:val="en-US"/>
        </w:rPr>
        <w:t xml:space="preserve"> addition, it is common cause that a beverage is only classifiable as an alcoholic beverage if </w:t>
      </w:r>
      <w:r w:rsidR="003576A5" w:rsidRPr="001B05BA">
        <w:rPr>
          <w:rFonts w:ascii="Arial" w:hAnsi="Arial" w:cs="Arial"/>
          <w:sz w:val="24"/>
          <w:szCs w:val="24"/>
          <w:lang w:val="en-US"/>
        </w:rPr>
        <w:t>it has an ABV of 0.5% or higher.</w:t>
      </w:r>
      <w:r w:rsidR="00004E8D" w:rsidRPr="001B05BA">
        <w:rPr>
          <w:rFonts w:ascii="Arial" w:hAnsi="Arial" w:cs="Arial"/>
          <w:sz w:val="24"/>
          <w:szCs w:val="24"/>
          <w:lang w:val="en-US"/>
        </w:rPr>
        <w:t xml:space="preserve"> </w:t>
      </w:r>
      <w:r w:rsidR="007E2905" w:rsidRPr="001B05BA">
        <w:rPr>
          <w:rFonts w:ascii="Arial" w:hAnsi="Arial" w:cs="Arial"/>
          <w:sz w:val="24"/>
          <w:szCs w:val="24"/>
          <w:lang w:val="en-US"/>
        </w:rPr>
        <w:t>I pause to state that t</w:t>
      </w:r>
      <w:r w:rsidR="00004E8D" w:rsidRPr="001B05BA">
        <w:rPr>
          <w:rFonts w:ascii="Arial" w:hAnsi="Arial" w:cs="Arial"/>
          <w:sz w:val="24"/>
          <w:szCs w:val="24"/>
          <w:lang w:val="en-US"/>
        </w:rPr>
        <w:t>he mere fact that a bevera</w:t>
      </w:r>
      <w:r w:rsidR="00293516" w:rsidRPr="001B05BA">
        <w:rPr>
          <w:rFonts w:ascii="Arial" w:hAnsi="Arial" w:cs="Arial"/>
          <w:sz w:val="24"/>
          <w:szCs w:val="24"/>
          <w:lang w:val="en-US"/>
        </w:rPr>
        <w:t>g</w:t>
      </w:r>
      <w:r w:rsidR="00004E8D" w:rsidRPr="001B05BA">
        <w:rPr>
          <w:rFonts w:ascii="Arial" w:hAnsi="Arial" w:cs="Arial"/>
          <w:sz w:val="24"/>
          <w:szCs w:val="24"/>
          <w:lang w:val="en-US"/>
        </w:rPr>
        <w:t xml:space="preserve">e can be coined </w:t>
      </w:r>
      <w:r w:rsidR="00281F94" w:rsidRPr="001B05BA">
        <w:rPr>
          <w:rFonts w:ascii="Arial" w:hAnsi="Arial" w:cs="Arial"/>
          <w:sz w:val="24"/>
          <w:szCs w:val="24"/>
          <w:lang w:val="en-US"/>
        </w:rPr>
        <w:t>‘non-alcoholic’</w:t>
      </w:r>
      <w:r w:rsidR="00867347" w:rsidRPr="001B05BA">
        <w:rPr>
          <w:rFonts w:ascii="Arial" w:hAnsi="Arial" w:cs="Arial"/>
          <w:sz w:val="24"/>
          <w:szCs w:val="24"/>
          <w:lang w:val="en-US"/>
        </w:rPr>
        <w:t xml:space="preserve"> or ‘alcohol-free’</w:t>
      </w:r>
      <w:r w:rsidR="00281F94" w:rsidRPr="001B05BA">
        <w:rPr>
          <w:rFonts w:ascii="Arial" w:hAnsi="Arial" w:cs="Arial"/>
          <w:sz w:val="24"/>
          <w:szCs w:val="24"/>
          <w:lang w:val="en-US"/>
        </w:rPr>
        <w:t xml:space="preserve"> while containing a negligible percentage </w:t>
      </w:r>
      <w:r w:rsidR="00867347" w:rsidRPr="001B05BA">
        <w:rPr>
          <w:rFonts w:ascii="Arial" w:hAnsi="Arial" w:cs="Arial"/>
          <w:sz w:val="24"/>
          <w:szCs w:val="24"/>
          <w:lang w:val="en-US"/>
        </w:rPr>
        <w:t xml:space="preserve">ABV, is a further indication that the dictionary meaning of the term ‘non-alcoholic’ cannot be </w:t>
      </w:r>
      <w:r w:rsidR="00C21EF3" w:rsidRPr="001B05BA">
        <w:rPr>
          <w:rFonts w:ascii="Arial" w:hAnsi="Arial" w:cs="Arial"/>
          <w:sz w:val="24"/>
          <w:szCs w:val="24"/>
          <w:lang w:val="en-US"/>
        </w:rPr>
        <w:t>determinative in</w:t>
      </w:r>
      <w:r w:rsidR="00867347" w:rsidRPr="001B05BA">
        <w:rPr>
          <w:rFonts w:ascii="Arial" w:hAnsi="Arial" w:cs="Arial"/>
          <w:sz w:val="24"/>
          <w:szCs w:val="24"/>
          <w:lang w:val="en-US"/>
        </w:rPr>
        <w:t xml:space="preserve"> this inquiry.</w:t>
      </w:r>
      <w:r w:rsidR="00E876B4" w:rsidRPr="001B05BA">
        <w:rPr>
          <w:rStyle w:val="FootnoteReference"/>
          <w:rFonts w:ascii="Arial" w:hAnsi="Arial" w:cs="Arial"/>
          <w:sz w:val="24"/>
          <w:szCs w:val="24"/>
          <w:lang w:val="en-US"/>
        </w:rPr>
        <w:footnoteReference w:id="45"/>
      </w:r>
    </w:p>
    <w:p w14:paraId="394BE8EB" w14:textId="1748A4E4" w:rsidR="004C0280" w:rsidRPr="001B05BA" w:rsidRDefault="004C0280" w:rsidP="004C0280">
      <w:pPr>
        <w:pStyle w:val="ListParagraph"/>
        <w:tabs>
          <w:tab w:val="left" w:pos="4917"/>
        </w:tabs>
        <w:spacing w:before="120" w:after="120" w:line="360" w:lineRule="auto"/>
        <w:jc w:val="both"/>
        <w:rPr>
          <w:rFonts w:ascii="Arial" w:hAnsi="Arial" w:cs="Arial"/>
          <w:sz w:val="24"/>
          <w:szCs w:val="24"/>
          <w:lang w:val="en-US"/>
        </w:rPr>
      </w:pPr>
    </w:p>
    <w:p w14:paraId="03FFFFFD" w14:textId="24A4B1F2" w:rsidR="00A37670" w:rsidRPr="001B05BA" w:rsidRDefault="00081206" w:rsidP="006D3452">
      <w:pPr>
        <w:pStyle w:val="ListParagraph"/>
        <w:numPr>
          <w:ilvl w:val="0"/>
          <w:numId w:val="2"/>
        </w:numPr>
        <w:tabs>
          <w:tab w:val="left" w:pos="4917"/>
        </w:tabs>
        <w:spacing w:before="120" w:after="120" w:line="360" w:lineRule="auto"/>
        <w:ind w:hanging="720"/>
        <w:jc w:val="both"/>
        <w:rPr>
          <w:rFonts w:ascii="Arial" w:hAnsi="Arial" w:cs="Arial"/>
          <w:sz w:val="24"/>
          <w:szCs w:val="24"/>
          <w:lang w:val="en-US"/>
        </w:rPr>
      </w:pPr>
      <w:r w:rsidRPr="001B05BA">
        <w:rPr>
          <w:rFonts w:ascii="Arial" w:hAnsi="Arial" w:cs="Arial"/>
          <w:sz w:val="24"/>
          <w:szCs w:val="24"/>
          <w:lang w:val="en-US"/>
        </w:rPr>
        <w:t>I could not find</w:t>
      </w:r>
      <w:r w:rsidR="002D3388" w:rsidRPr="001B05BA">
        <w:rPr>
          <w:rFonts w:ascii="Arial" w:hAnsi="Arial" w:cs="Arial"/>
          <w:sz w:val="24"/>
          <w:szCs w:val="24"/>
          <w:lang w:val="en-US"/>
        </w:rPr>
        <w:t xml:space="preserve"> a</w:t>
      </w:r>
      <w:r w:rsidR="00301115" w:rsidRPr="001B05BA">
        <w:rPr>
          <w:rFonts w:ascii="Arial" w:hAnsi="Arial" w:cs="Arial"/>
          <w:sz w:val="24"/>
          <w:szCs w:val="24"/>
          <w:lang w:val="en-US"/>
        </w:rPr>
        <w:t xml:space="preserve">ny South African case law </w:t>
      </w:r>
      <w:r w:rsidR="002D3388" w:rsidRPr="001B05BA">
        <w:rPr>
          <w:rFonts w:ascii="Arial" w:hAnsi="Arial" w:cs="Arial"/>
          <w:sz w:val="24"/>
          <w:szCs w:val="24"/>
          <w:lang w:val="en-US"/>
        </w:rPr>
        <w:t xml:space="preserve">on </w:t>
      </w:r>
      <w:r w:rsidR="00301115" w:rsidRPr="001B05BA">
        <w:rPr>
          <w:rFonts w:ascii="Arial" w:hAnsi="Arial" w:cs="Arial"/>
          <w:sz w:val="24"/>
          <w:szCs w:val="24"/>
          <w:lang w:val="en-US"/>
        </w:rPr>
        <w:t xml:space="preserve">the </w:t>
      </w:r>
      <w:r w:rsidR="002D3388" w:rsidRPr="001B05BA">
        <w:rPr>
          <w:rFonts w:ascii="Arial" w:hAnsi="Arial" w:cs="Arial"/>
          <w:sz w:val="24"/>
          <w:szCs w:val="24"/>
          <w:lang w:val="en-US"/>
        </w:rPr>
        <w:t xml:space="preserve">applicability of the </w:t>
      </w:r>
      <w:r w:rsidR="002D3388" w:rsidRPr="001B05BA">
        <w:rPr>
          <w:rFonts w:ascii="Arial" w:hAnsi="Arial" w:cs="Arial"/>
          <w:i/>
          <w:iCs/>
          <w:sz w:val="24"/>
          <w:szCs w:val="24"/>
          <w:lang w:val="en-US"/>
        </w:rPr>
        <w:t>de minimis</w:t>
      </w:r>
      <w:r w:rsidR="002D3388" w:rsidRPr="001B05BA">
        <w:rPr>
          <w:rFonts w:ascii="Arial" w:hAnsi="Arial" w:cs="Arial"/>
          <w:sz w:val="24"/>
          <w:szCs w:val="24"/>
          <w:lang w:val="en-US"/>
        </w:rPr>
        <w:t xml:space="preserve"> maxim</w:t>
      </w:r>
      <w:r w:rsidR="00581584" w:rsidRPr="001B05BA">
        <w:rPr>
          <w:rFonts w:ascii="Arial" w:hAnsi="Arial" w:cs="Arial"/>
          <w:sz w:val="24"/>
          <w:szCs w:val="24"/>
          <w:lang w:val="en-US"/>
        </w:rPr>
        <w:t xml:space="preserve"> in the context of customs and excise duty</w:t>
      </w:r>
      <w:r w:rsidR="00703DB3" w:rsidRPr="001B05BA">
        <w:rPr>
          <w:rFonts w:ascii="Arial" w:hAnsi="Arial" w:cs="Arial"/>
          <w:sz w:val="24"/>
          <w:szCs w:val="24"/>
          <w:lang w:val="en-US"/>
        </w:rPr>
        <w:t>. However,</w:t>
      </w:r>
      <w:r w:rsidR="00301115" w:rsidRPr="001B05BA">
        <w:rPr>
          <w:rFonts w:ascii="Arial" w:hAnsi="Arial" w:cs="Arial"/>
          <w:sz w:val="24"/>
          <w:szCs w:val="24"/>
          <w:lang w:val="en-US"/>
        </w:rPr>
        <w:t xml:space="preserve"> </w:t>
      </w:r>
      <w:r w:rsidR="003E266D" w:rsidRPr="001B05BA">
        <w:rPr>
          <w:rFonts w:ascii="Arial" w:hAnsi="Arial" w:cs="Arial"/>
          <w:sz w:val="24"/>
          <w:szCs w:val="24"/>
          <w:lang w:val="en-US"/>
        </w:rPr>
        <w:t xml:space="preserve">the court was referred to two decisions emanating </w:t>
      </w:r>
      <w:r w:rsidR="009A6468" w:rsidRPr="001B05BA">
        <w:rPr>
          <w:rFonts w:ascii="Arial" w:hAnsi="Arial" w:cs="Arial"/>
          <w:sz w:val="24"/>
          <w:szCs w:val="24"/>
          <w:lang w:val="en-US"/>
        </w:rPr>
        <w:t>from the United States</w:t>
      </w:r>
      <w:r w:rsidR="00E412DB" w:rsidRPr="001B05BA">
        <w:rPr>
          <w:rFonts w:ascii="Arial" w:hAnsi="Arial" w:cs="Arial"/>
          <w:sz w:val="24"/>
          <w:szCs w:val="24"/>
          <w:lang w:val="en-US"/>
        </w:rPr>
        <w:t xml:space="preserve"> to wit</w:t>
      </w:r>
      <w:r w:rsidR="00244149" w:rsidRPr="001B05BA">
        <w:rPr>
          <w:rFonts w:ascii="Arial" w:hAnsi="Arial" w:cs="Arial"/>
          <w:sz w:val="24"/>
          <w:szCs w:val="24"/>
          <w:lang w:val="en-US"/>
        </w:rPr>
        <w:t xml:space="preserve"> </w:t>
      </w:r>
      <w:r w:rsidR="00244149" w:rsidRPr="001B05BA">
        <w:rPr>
          <w:rFonts w:ascii="Arial" w:hAnsi="Arial" w:cs="Arial"/>
          <w:i/>
          <w:iCs/>
          <w:sz w:val="24"/>
          <w:szCs w:val="24"/>
          <w:lang w:val="en-US"/>
        </w:rPr>
        <w:t>Westergaard</w:t>
      </w:r>
      <w:r w:rsidR="00213DD1" w:rsidRPr="001B05BA">
        <w:rPr>
          <w:rFonts w:ascii="Arial" w:hAnsi="Arial" w:cs="Arial"/>
          <w:i/>
          <w:iCs/>
          <w:sz w:val="24"/>
          <w:szCs w:val="24"/>
          <w:lang w:val="en-US"/>
        </w:rPr>
        <w:t xml:space="preserve"> v Unite</w:t>
      </w:r>
      <w:r w:rsidR="00DE088C" w:rsidRPr="001B05BA">
        <w:rPr>
          <w:rFonts w:ascii="Arial" w:hAnsi="Arial" w:cs="Arial"/>
          <w:i/>
          <w:iCs/>
          <w:sz w:val="24"/>
          <w:szCs w:val="24"/>
          <w:lang w:val="en-US"/>
        </w:rPr>
        <w:t>d</w:t>
      </w:r>
      <w:r w:rsidR="00213DD1" w:rsidRPr="001B05BA">
        <w:rPr>
          <w:rFonts w:ascii="Arial" w:hAnsi="Arial" w:cs="Arial"/>
          <w:i/>
          <w:iCs/>
          <w:sz w:val="24"/>
          <w:szCs w:val="24"/>
          <w:lang w:val="en-US"/>
        </w:rPr>
        <w:t xml:space="preserve"> States</w:t>
      </w:r>
      <w:r w:rsidR="00213DD1" w:rsidRPr="001B05BA">
        <w:rPr>
          <w:rFonts w:ascii="Arial" w:hAnsi="Arial" w:cs="Arial"/>
          <w:sz w:val="24"/>
          <w:szCs w:val="24"/>
          <w:lang w:val="en-US"/>
        </w:rPr>
        <w:t>, 19 C.C.P.A 299 (1932) and</w:t>
      </w:r>
      <w:r w:rsidR="00E412DB" w:rsidRPr="001B05BA">
        <w:rPr>
          <w:rFonts w:ascii="Arial" w:hAnsi="Arial" w:cs="Arial"/>
          <w:sz w:val="24"/>
          <w:szCs w:val="24"/>
          <w:lang w:val="en-US"/>
        </w:rPr>
        <w:t xml:space="preserve"> </w:t>
      </w:r>
      <w:r w:rsidR="00E412DB" w:rsidRPr="001B05BA">
        <w:rPr>
          <w:rFonts w:ascii="Arial" w:hAnsi="Arial" w:cs="Arial"/>
          <w:i/>
          <w:iCs/>
          <w:sz w:val="24"/>
          <w:szCs w:val="24"/>
          <w:lang w:val="en-US"/>
        </w:rPr>
        <w:t>Alcan Alumin</w:t>
      </w:r>
      <w:r w:rsidR="00F54426" w:rsidRPr="001B05BA">
        <w:rPr>
          <w:rFonts w:ascii="Arial" w:hAnsi="Arial" w:cs="Arial"/>
          <w:i/>
          <w:iCs/>
          <w:sz w:val="24"/>
          <w:szCs w:val="24"/>
          <w:lang w:val="en-US"/>
        </w:rPr>
        <w:t>i</w:t>
      </w:r>
      <w:r w:rsidR="00D0441F" w:rsidRPr="001B05BA">
        <w:rPr>
          <w:rFonts w:ascii="Arial" w:hAnsi="Arial" w:cs="Arial"/>
          <w:i/>
          <w:iCs/>
          <w:sz w:val="24"/>
          <w:szCs w:val="24"/>
          <w:lang w:val="en-US"/>
        </w:rPr>
        <w:t>um Corporation</w:t>
      </w:r>
      <w:r w:rsidR="00F54426" w:rsidRPr="001B05BA">
        <w:rPr>
          <w:rFonts w:ascii="Arial" w:hAnsi="Arial" w:cs="Arial"/>
          <w:sz w:val="24"/>
          <w:szCs w:val="24"/>
          <w:lang w:val="en-US"/>
        </w:rPr>
        <w:t xml:space="preserve"> </w:t>
      </w:r>
      <w:r w:rsidR="00F54426" w:rsidRPr="001B05BA">
        <w:rPr>
          <w:rFonts w:ascii="Arial" w:hAnsi="Arial" w:cs="Arial"/>
          <w:i/>
          <w:iCs/>
          <w:sz w:val="24"/>
          <w:szCs w:val="24"/>
          <w:lang w:val="en-US"/>
        </w:rPr>
        <w:t>v United States</w:t>
      </w:r>
      <w:r w:rsidR="00E16D1D" w:rsidRPr="001B05BA">
        <w:rPr>
          <w:rFonts w:ascii="Arial" w:hAnsi="Arial" w:cs="Arial"/>
          <w:sz w:val="24"/>
          <w:szCs w:val="24"/>
          <w:lang w:val="en-US"/>
        </w:rPr>
        <w:t xml:space="preserve">, </w:t>
      </w:r>
      <w:r w:rsidR="00E16D1D" w:rsidRPr="001B05BA">
        <w:rPr>
          <w:rFonts w:ascii="Arial" w:hAnsi="Arial" w:cs="Arial"/>
          <w:sz w:val="24"/>
          <w:szCs w:val="24"/>
          <w:lang w:val="en-US"/>
        </w:rPr>
        <w:lastRenderedPageBreak/>
        <w:t>165 F.3D 898 (FED. CIR. 1999)</w:t>
      </w:r>
      <w:r w:rsidR="00D91DFF" w:rsidRPr="001B05BA">
        <w:rPr>
          <w:rFonts w:ascii="Arial" w:hAnsi="Arial" w:cs="Arial"/>
          <w:sz w:val="24"/>
          <w:szCs w:val="24"/>
          <w:lang w:val="en-US"/>
        </w:rPr>
        <w:t>. In both these cases</w:t>
      </w:r>
      <w:r w:rsidR="00A22500" w:rsidRPr="001B05BA">
        <w:rPr>
          <w:rFonts w:ascii="Arial" w:hAnsi="Arial" w:cs="Arial"/>
          <w:sz w:val="24"/>
          <w:szCs w:val="24"/>
          <w:lang w:val="en-US"/>
        </w:rPr>
        <w:t>,</w:t>
      </w:r>
      <w:r w:rsidR="00D91DFF" w:rsidRPr="001B05BA">
        <w:rPr>
          <w:rFonts w:ascii="Arial" w:hAnsi="Arial" w:cs="Arial"/>
          <w:sz w:val="24"/>
          <w:szCs w:val="24"/>
          <w:lang w:val="en-US"/>
        </w:rPr>
        <w:t xml:space="preserve"> the courts </w:t>
      </w:r>
      <w:r w:rsidR="005F67A2" w:rsidRPr="001B05BA">
        <w:rPr>
          <w:rFonts w:ascii="Arial" w:hAnsi="Arial" w:cs="Arial"/>
          <w:sz w:val="24"/>
          <w:szCs w:val="24"/>
          <w:lang w:val="en-US"/>
        </w:rPr>
        <w:t xml:space="preserve">applied the </w:t>
      </w:r>
      <w:r w:rsidR="005F67A2" w:rsidRPr="001B05BA">
        <w:rPr>
          <w:rFonts w:ascii="Arial" w:hAnsi="Arial" w:cs="Arial"/>
          <w:i/>
          <w:iCs/>
          <w:sz w:val="24"/>
          <w:szCs w:val="24"/>
          <w:lang w:val="en-US"/>
        </w:rPr>
        <w:t>de minimis</w:t>
      </w:r>
      <w:r w:rsidR="005F67A2" w:rsidRPr="001B05BA">
        <w:rPr>
          <w:rFonts w:ascii="Arial" w:hAnsi="Arial" w:cs="Arial"/>
          <w:sz w:val="24"/>
          <w:szCs w:val="24"/>
          <w:lang w:val="en-US"/>
        </w:rPr>
        <w:t xml:space="preserve"> principle.</w:t>
      </w:r>
    </w:p>
    <w:p w14:paraId="0F0C3EE4" w14:textId="77777777" w:rsidR="00A37670" w:rsidRPr="001B05BA" w:rsidRDefault="00A37670" w:rsidP="00A37670">
      <w:pPr>
        <w:pStyle w:val="ListParagraph"/>
        <w:rPr>
          <w:rFonts w:ascii="Arial" w:hAnsi="Arial" w:cs="Arial"/>
          <w:sz w:val="24"/>
          <w:szCs w:val="24"/>
          <w:lang w:val="en-US"/>
        </w:rPr>
      </w:pPr>
    </w:p>
    <w:p w14:paraId="5E840A13" w14:textId="40EFFA1E" w:rsidR="00DD2F46" w:rsidRPr="001B05BA" w:rsidRDefault="00DD2F46" w:rsidP="006D3452">
      <w:pPr>
        <w:pStyle w:val="ListParagraph"/>
        <w:numPr>
          <w:ilvl w:val="0"/>
          <w:numId w:val="2"/>
        </w:numPr>
        <w:tabs>
          <w:tab w:val="left" w:pos="4917"/>
        </w:tabs>
        <w:spacing w:before="120" w:after="120" w:line="360" w:lineRule="auto"/>
        <w:ind w:hanging="720"/>
        <w:jc w:val="both"/>
        <w:rPr>
          <w:rFonts w:ascii="Arial" w:hAnsi="Arial" w:cs="Arial"/>
          <w:sz w:val="24"/>
          <w:szCs w:val="24"/>
          <w:lang w:val="en-US"/>
        </w:rPr>
      </w:pPr>
      <w:r w:rsidRPr="001B05BA">
        <w:rPr>
          <w:rFonts w:ascii="Arial" w:hAnsi="Arial" w:cs="Arial"/>
          <w:sz w:val="24"/>
          <w:szCs w:val="24"/>
          <w:lang w:val="en-US"/>
        </w:rPr>
        <w:t xml:space="preserve">In </w:t>
      </w:r>
      <w:r w:rsidRPr="001B05BA">
        <w:rPr>
          <w:rFonts w:ascii="Arial" w:hAnsi="Arial" w:cs="Arial"/>
          <w:i/>
          <w:iCs/>
          <w:sz w:val="24"/>
          <w:szCs w:val="24"/>
          <w:lang w:val="en-US"/>
        </w:rPr>
        <w:t>Westergaard</w:t>
      </w:r>
      <w:r w:rsidRPr="001B05BA">
        <w:rPr>
          <w:rFonts w:ascii="Arial" w:hAnsi="Arial" w:cs="Arial"/>
          <w:sz w:val="24"/>
          <w:szCs w:val="24"/>
          <w:lang w:val="en-US"/>
        </w:rPr>
        <w:t xml:space="preserve"> the plaintiff imported canned fis</w:t>
      </w:r>
      <w:r w:rsidR="00082CF0" w:rsidRPr="001B05BA">
        <w:rPr>
          <w:rFonts w:ascii="Arial" w:hAnsi="Arial" w:cs="Arial"/>
          <w:sz w:val="24"/>
          <w:szCs w:val="24"/>
          <w:lang w:val="en-US"/>
        </w:rPr>
        <w:t xml:space="preserve">h balls, fish cakes, </w:t>
      </w:r>
      <w:r w:rsidR="004A3987" w:rsidRPr="001B05BA">
        <w:rPr>
          <w:rFonts w:ascii="Arial" w:hAnsi="Arial" w:cs="Arial"/>
          <w:sz w:val="24"/>
          <w:szCs w:val="24"/>
          <w:lang w:val="en-US"/>
        </w:rPr>
        <w:t>meatballs</w:t>
      </w:r>
      <w:r w:rsidR="00082CF0" w:rsidRPr="001B05BA">
        <w:rPr>
          <w:rFonts w:ascii="Arial" w:hAnsi="Arial" w:cs="Arial"/>
          <w:sz w:val="24"/>
          <w:szCs w:val="24"/>
          <w:lang w:val="en-US"/>
        </w:rPr>
        <w:t xml:space="preserve"> and meat cakes into the United States.</w:t>
      </w:r>
      <w:r w:rsidR="00774116" w:rsidRPr="001B05BA">
        <w:rPr>
          <w:rStyle w:val="FootnoteReference"/>
          <w:rFonts w:ascii="Arial" w:hAnsi="Arial" w:cs="Arial"/>
          <w:sz w:val="24"/>
          <w:szCs w:val="24"/>
          <w:lang w:val="en-US"/>
        </w:rPr>
        <w:footnoteReference w:id="46"/>
      </w:r>
      <w:r w:rsidR="00082CF0" w:rsidRPr="001B05BA">
        <w:rPr>
          <w:rFonts w:ascii="Arial" w:hAnsi="Arial" w:cs="Arial"/>
          <w:sz w:val="24"/>
          <w:szCs w:val="24"/>
          <w:lang w:val="en-US"/>
        </w:rPr>
        <w:t xml:space="preserve"> These products contained a small amount of potato flour to hold the ingredients together</w:t>
      </w:r>
      <w:r w:rsidR="00774116" w:rsidRPr="001B05BA">
        <w:rPr>
          <w:rFonts w:ascii="Arial" w:hAnsi="Arial" w:cs="Arial"/>
          <w:sz w:val="24"/>
          <w:szCs w:val="24"/>
          <w:lang w:val="en-US"/>
        </w:rPr>
        <w:t xml:space="preserve"> during the preliminary cooking process. The government contended that since potato flour is a vegetable under the Tariff Act</w:t>
      </w:r>
      <w:r w:rsidR="00F57852" w:rsidRPr="001B05BA">
        <w:rPr>
          <w:rFonts w:ascii="Arial" w:hAnsi="Arial" w:cs="Arial"/>
          <w:sz w:val="24"/>
          <w:szCs w:val="24"/>
          <w:lang w:val="en-US"/>
        </w:rPr>
        <w:t xml:space="preserve"> of 1922</w:t>
      </w:r>
      <w:r w:rsidR="001E1AFA" w:rsidRPr="001B05BA">
        <w:rPr>
          <w:rFonts w:ascii="Arial" w:hAnsi="Arial" w:cs="Arial"/>
          <w:sz w:val="24"/>
          <w:szCs w:val="24"/>
          <w:lang w:val="en-US"/>
        </w:rPr>
        <w:t xml:space="preserve">, the merchandise should be taxed </w:t>
      </w:r>
      <w:r w:rsidR="004A3987" w:rsidRPr="001B05BA">
        <w:rPr>
          <w:rFonts w:ascii="Arial" w:hAnsi="Arial" w:cs="Arial"/>
          <w:sz w:val="24"/>
          <w:szCs w:val="24"/>
          <w:lang w:val="en-US"/>
        </w:rPr>
        <w:t>at</w:t>
      </w:r>
      <w:r w:rsidR="001E1AFA" w:rsidRPr="001B05BA">
        <w:rPr>
          <w:rFonts w:ascii="Arial" w:hAnsi="Arial" w:cs="Arial"/>
          <w:sz w:val="24"/>
          <w:szCs w:val="24"/>
          <w:lang w:val="en-US"/>
        </w:rPr>
        <w:t xml:space="preserve"> a higher duty rate. On appeal, the court ruled that the amount of potato flour involved was insufficient (</w:t>
      </w:r>
      <w:r w:rsidR="001E1AFA" w:rsidRPr="001B05BA">
        <w:rPr>
          <w:rFonts w:ascii="Arial" w:hAnsi="Arial" w:cs="Arial"/>
          <w:i/>
          <w:iCs/>
          <w:sz w:val="24"/>
          <w:szCs w:val="24"/>
          <w:lang w:val="en-US"/>
        </w:rPr>
        <w:t>de minimis</w:t>
      </w:r>
      <w:r w:rsidR="001E1AFA" w:rsidRPr="001B05BA">
        <w:rPr>
          <w:rFonts w:ascii="Arial" w:hAnsi="Arial" w:cs="Arial"/>
          <w:sz w:val="24"/>
          <w:szCs w:val="24"/>
          <w:lang w:val="en-US"/>
        </w:rPr>
        <w:t>) to give the cakes and balls the character of a vegetable.</w:t>
      </w:r>
    </w:p>
    <w:p w14:paraId="32FAAB20" w14:textId="77777777" w:rsidR="00DD2F46" w:rsidRPr="001B05BA" w:rsidRDefault="00DD2F46" w:rsidP="00DD2F46">
      <w:pPr>
        <w:pStyle w:val="ListParagraph"/>
        <w:rPr>
          <w:rFonts w:ascii="Arial" w:hAnsi="Arial" w:cs="Arial"/>
          <w:sz w:val="24"/>
          <w:szCs w:val="24"/>
          <w:lang w:val="en-US"/>
        </w:rPr>
      </w:pPr>
    </w:p>
    <w:p w14:paraId="5B440631" w14:textId="27852DFF" w:rsidR="004C0280" w:rsidRPr="001B05BA" w:rsidRDefault="00797C84" w:rsidP="006D3452">
      <w:pPr>
        <w:pStyle w:val="ListParagraph"/>
        <w:numPr>
          <w:ilvl w:val="0"/>
          <w:numId w:val="2"/>
        </w:numPr>
        <w:tabs>
          <w:tab w:val="left" w:pos="4917"/>
        </w:tabs>
        <w:spacing w:before="120" w:after="120" w:line="360" w:lineRule="auto"/>
        <w:ind w:hanging="720"/>
        <w:jc w:val="both"/>
        <w:rPr>
          <w:rFonts w:ascii="Arial" w:hAnsi="Arial" w:cs="Arial"/>
          <w:sz w:val="24"/>
          <w:szCs w:val="24"/>
          <w:lang w:val="en-US"/>
        </w:rPr>
      </w:pPr>
      <w:r w:rsidRPr="001B05BA">
        <w:rPr>
          <w:rFonts w:ascii="Arial" w:hAnsi="Arial" w:cs="Arial"/>
          <w:sz w:val="24"/>
          <w:szCs w:val="24"/>
          <w:lang w:val="en-US"/>
        </w:rPr>
        <w:t xml:space="preserve">In </w:t>
      </w:r>
      <w:r w:rsidRPr="001B05BA">
        <w:rPr>
          <w:rFonts w:ascii="Arial" w:hAnsi="Arial" w:cs="Arial"/>
          <w:i/>
          <w:iCs/>
          <w:sz w:val="24"/>
          <w:szCs w:val="24"/>
          <w:lang w:val="en-US"/>
        </w:rPr>
        <w:t>Alcan</w:t>
      </w:r>
      <w:r w:rsidRPr="001B05BA">
        <w:rPr>
          <w:rFonts w:ascii="Arial" w:hAnsi="Arial" w:cs="Arial"/>
          <w:sz w:val="24"/>
          <w:szCs w:val="24"/>
          <w:lang w:val="en-US"/>
        </w:rPr>
        <w:t xml:space="preserve"> the </w:t>
      </w:r>
      <w:r w:rsidR="00B34663" w:rsidRPr="001B05BA">
        <w:rPr>
          <w:rFonts w:ascii="Arial" w:hAnsi="Arial" w:cs="Arial"/>
          <w:sz w:val="24"/>
          <w:szCs w:val="24"/>
          <w:lang w:val="en-US"/>
        </w:rPr>
        <w:t xml:space="preserve">Federal Circuit </w:t>
      </w:r>
      <w:r w:rsidRPr="001B05BA">
        <w:rPr>
          <w:rFonts w:ascii="Arial" w:hAnsi="Arial" w:cs="Arial"/>
          <w:sz w:val="24"/>
          <w:szCs w:val="24"/>
          <w:lang w:val="en-US"/>
        </w:rPr>
        <w:t xml:space="preserve">court </w:t>
      </w:r>
      <w:r w:rsidR="004B2CED" w:rsidRPr="001B05BA">
        <w:rPr>
          <w:rFonts w:ascii="Arial" w:hAnsi="Arial" w:cs="Arial"/>
          <w:sz w:val="24"/>
          <w:szCs w:val="24"/>
          <w:lang w:val="en-US"/>
        </w:rPr>
        <w:t xml:space="preserve">applied the </w:t>
      </w:r>
      <w:r w:rsidR="004B2CED" w:rsidRPr="001B05BA">
        <w:rPr>
          <w:rFonts w:ascii="Arial" w:hAnsi="Arial" w:cs="Arial"/>
          <w:i/>
          <w:iCs/>
          <w:sz w:val="24"/>
          <w:szCs w:val="24"/>
          <w:lang w:val="en-US"/>
        </w:rPr>
        <w:t xml:space="preserve">de </w:t>
      </w:r>
      <w:r w:rsidR="004B2CED" w:rsidRPr="001B05BA">
        <w:rPr>
          <w:rFonts w:ascii="Arial" w:hAnsi="Arial" w:cs="Arial"/>
          <w:sz w:val="24"/>
          <w:szCs w:val="24"/>
          <w:lang w:val="en-US"/>
        </w:rPr>
        <w:t xml:space="preserve">minimis maxim </w:t>
      </w:r>
      <w:r w:rsidR="00973A92" w:rsidRPr="001B05BA">
        <w:rPr>
          <w:rFonts w:ascii="Arial" w:hAnsi="Arial" w:cs="Arial"/>
          <w:sz w:val="24"/>
          <w:szCs w:val="24"/>
          <w:lang w:val="en-US"/>
        </w:rPr>
        <w:t>to reverse a U.S. Customs Service decision imposing an unfavourable import duty on an ingot shipped by the plaintiff from Canada.</w:t>
      </w:r>
      <w:r w:rsidR="00973A92" w:rsidRPr="001B05BA">
        <w:rPr>
          <w:rStyle w:val="FootnoteReference"/>
          <w:rFonts w:ascii="Arial" w:hAnsi="Arial" w:cs="Arial"/>
          <w:sz w:val="24"/>
          <w:szCs w:val="24"/>
          <w:lang w:val="en-US"/>
        </w:rPr>
        <w:footnoteReference w:id="47"/>
      </w:r>
      <w:r w:rsidR="001C63C2" w:rsidRPr="001B05BA">
        <w:rPr>
          <w:rFonts w:ascii="Arial" w:hAnsi="Arial" w:cs="Arial"/>
          <w:sz w:val="24"/>
          <w:szCs w:val="24"/>
          <w:lang w:val="en-US"/>
        </w:rPr>
        <w:t xml:space="preserve"> The court noted that the purpose of the</w:t>
      </w:r>
      <w:r w:rsidR="001A151C" w:rsidRPr="001B05BA">
        <w:rPr>
          <w:rFonts w:ascii="Arial" w:hAnsi="Arial" w:cs="Arial"/>
          <w:sz w:val="24"/>
          <w:szCs w:val="24"/>
          <w:lang w:val="en-US"/>
        </w:rPr>
        <w:t xml:space="preserve"> relevant statute was to prevent non-Canadian goods from being shipped to the US through Canada</w:t>
      </w:r>
      <w:r w:rsidR="00F86F74" w:rsidRPr="001B05BA">
        <w:rPr>
          <w:rFonts w:ascii="Arial" w:hAnsi="Arial" w:cs="Arial"/>
          <w:sz w:val="24"/>
          <w:szCs w:val="24"/>
          <w:lang w:val="en-US"/>
        </w:rPr>
        <w:t xml:space="preserve">, and </w:t>
      </w:r>
      <w:r w:rsidR="0054412C" w:rsidRPr="001B05BA">
        <w:rPr>
          <w:rFonts w:ascii="Arial" w:hAnsi="Arial" w:cs="Arial"/>
          <w:sz w:val="24"/>
          <w:szCs w:val="24"/>
          <w:lang w:val="en-US"/>
        </w:rPr>
        <w:t>held</w:t>
      </w:r>
      <w:r w:rsidR="00F86F74" w:rsidRPr="001B05BA">
        <w:rPr>
          <w:rFonts w:ascii="Arial" w:hAnsi="Arial" w:cs="Arial"/>
          <w:sz w:val="24"/>
          <w:szCs w:val="24"/>
          <w:lang w:val="en-US"/>
        </w:rPr>
        <w:t xml:space="preserve"> that the application of the higher duty was improper where less than 1% of the content</w:t>
      </w:r>
      <w:r w:rsidR="0054412C" w:rsidRPr="001B05BA">
        <w:rPr>
          <w:rFonts w:ascii="Arial" w:hAnsi="Arial" w:cs="Arial"/>
          <w:sz w:val="24"/>
          <w:szCs w:val="24"/>
          <w:lang w:val="en-US"/>
        </w:rPr>
        <w:t xml:space="preserve"> of the ingot originated outside Canada. The court</w:t>
      </w:r>
      <w:r w:rsidR="00973A92" w:rsidRPr="001B05BA">
        <w:rPr>
          <w:rFonts w:ascii="Arial" w:hAnsi="Arial" w:cs="Arial"/>
          <w:sz w:val="24"/>
          <w:szCs w:val="24"/>
          <w:lang w:val="en-US"/>
        </w:rPr>
        <w:t xml:space="preserve"> </w:t>
      </w:r>
      <w:r w:rsidRPr="001B05BA">
        <w:rPr>
          <w:rFonts w:ascii="Arial" w:hAnsi="Arial" w:cs="Arial"/>
          <w:sz w:val="24"/>
          <w:szCs w:val="24"/>
          <w:lang w:val="en-US"/>
        </w:rPr>
        <w:t>held</w:t>
      </w:r>
      <w:r w:rsidR="00690239" w:rsidRPr="001B05BA">
        <w:rPr>
          <w:rFonts w:ascii="Arial" w:hAnsi="Arial" w:cs="Arial"/>
          <w:sz w:val="24"/>
          <w:szCs w:val="24"/>
          <w:lang w:val="en-US"/>
        </w:rPr>
        <w:t xml:space="preserve"> that the:</w:t>
      </w:r>
    </w:p>
    <w:p w14:paraId="1D42F599" w14:textId="77777777" w:rsidR="00690239" w:rsidRPr="001B05BA" w:rsidRDefault="00690239" w:rsidP="00690239">
      <w:pPr>
        <w:pStyle w:val="ListParagraph"/>
        <w:rPr>
          <w:rFonts w:ascii="Arial" w:hAnsi="Arial" w:cs="Arial"/>
          <w:sz w:val="24"/>
          <w:szCs w:val="24"/>
          <w:lang w:val="en-US"/>
        </w:rPr>
      </w:pPr>
    </w:p>
    <w:p w14:paraId="57D83A57" w14:textId="04DE7079" w:rsidR="00690239" w:rsidRPr="001B05BA" w:rsidRDefault="00690239" w:rsidP="0072352D">
      <w:pPr>
        <w:pStyle w:val="ListParagraph"/>
        <w:tabs>
          <w:tab w:val="left" w:pos="4917"/>
        </w:tabs>
        <w:spacing w:before="120" w:after="120" w:line="360" w:lineRule="auto"/>
        <w:ind w:left="1008" w:right="1008"/>
        <w:jc w:val="both"/>
        <w:rPr>
          <w:rFonts w:ascii="Arial" w:hAnsi="Arial" w:cs="Arial"/>
          <w:sz w:val="24"/>
          <w:szCs w:val="24"/>
          <w:lang w:val="en-US"/>
        </w:rPr>
      </w:pPr>
      <w:r w:rsidRPr="001B05BA">
        <w:rPr>
          <w:rFonts w:ascii="Arial" w:hAnsi="Arial" w:cs="Arial"/>
          <w:sz w:val="24"/>
          <w:szCs w:val="24"/>
          <w:lang w:val="en-US"/>
        </w:rPr>
        <w:t xml:space="preserve">‘[a]pplication of </w:t>
      </w:r>
      <w:r w:rsidRPr="001B05BA">
        <w:rPr>
          <w:rFonts w:ascii="Arial" w:hAnsi="Arial" w:cs="Arial"/>
          <w:i/>
          <w:iCs/>
          <w:sz w:val="24"/>
          <w:szCs w:val="24"/>
          <w:lang w:val="en-US"/>
        </w:rPr>
        <w:t>de minimis</w:t>
      </w:r>
      <w:r w:rsidRPr="001B05BA">
        <w:rPr>
          <w:rFonts w:ascii="Arial" w:hAnsi="Arial" w:cs="Arial"/>
          <w:sz w:val="24"/>
          <w:szCs w:val="24"/>
          <w:lang w:val="en-US"/>
        </w:rPr>
        <w:t xml:space="preserve"> is particularly important in cases</w:t>
      </w:r>
      <w:r w:rsidR="0072352D" w:rsidRPr="001B05BA">
        <w:rPr>
          <w:rFonts w:ascii="Arial" w:hAnsi="Arial" w:cs="Arial"/>
          <w:sz w:val="24"/>
          <w:szCs w:val="24"/>
          <w:lang w:val="en-US"/>
        </w:rPr>
        <w:t xml:space="preserve"> such as the one at hand, where stark, all-or-nothing operation of the statutory language would have results contrary to its underlying purpose.’</w:t>
      </w:r>
    </w:p>
    <w:p w14:paraId="79C617FD" w14:textId="77777777" w:rsidR="004C0280" w:rsidRPr="001B05BA" w:rsidRDefault="004C0280" w:rsidP="004C0280">
      <w:pPr>
        <w:pStyle w:val="ListParagraph"/>
        <w:rPr>
          <w:rFonts w:ascii="Arial" w:hAnsi="Arial" w:cs="Arial"/>
          <w:sz w:val="24"/>
          <w:szCs w:val="24"/>
          <w:lang w:val="en-US"/>
        </w:rPr>
      </w:pPr>
    </w:p>
    <w:p w14:paraId="65BF151B" w14:textId="1538E296" w:rsidR="00151AA6" w:rsidRPr="001B05BA" w:rsidRDefault="003F2C54" w:rsidP="006D3452">
      <w:pPr>
        <w:pStyle w:val="ListParagraph"/>
        <w:numPr>
          <w:ilvl w:val="0"/>
          <w:numId w:val="2"/>
        </w:numPr>
        <w:tabs>
          <w:tab w:val="left" w:pos="4917"/>
        </w:tabs>
        <w:spacing w:before="120" w:after="120" w:line="360" w:lineRule="auto"/>
        <w:ind w:hanging="720"/>
        <w:jc w:val="both"/>
        <w:rPr>
          <w:rFonts w:ascii="Arial" w:hAnsi="Arial" w:cs="Arial"/>
          <w:sz w:val="24"/>
          <w:szCs w:val="24"/>
          <w:lang w:val="en-US"/>
        </w:rPr>
      </w:pPr>
      <w:r w:rsidRPr="001B05BA">
        <w:rPr>
          <w:rFonts w:ascii="Arial" w:hAnsi="Arial" w:cs="Arial"/>
          <w:sz w:val="24"/>
          <w:szCs w:val="24"/>
          <w:lang w:val="en-US"/>
        </w:rPr>
        <w:t xml:space="preserve">It would, however, be remiss not to also </w:t>
      </w:r>
      <w:r w:rsidR="00E17DB0" w:rsidRPr="001B05BA">
        <w:rPr>
          <w:rFonts w:ascii="Arial" w:hAnsi="Arial" w:cs="Arial"/>
          <w:sz w:val="24"/>
          <w:szCs w:val="24"/>
          <w:lang w:val="en-US"/>
        </w:rPr>
        <w:t>take cognizance of</w:t>
      </w:r>
      <w:r w:rsidR="00B6341B" w:rsidRPr="001B05BA">
        <w:rPr>
          <w:rFonts w:ascii="Arial" w:hAnsi="Arial" w:cs="Arial"/>
          <w:sz w:val="24"/>
          <w:szCs w:val="24"/>
          <w:lang w:val="en-US"/>
        </w:rPr>
        <w:t xml:space="preserve"> </w:t>
      </w:r>
      <w:r w:rsidR="00B6341B" w:rsidRPr="001B05BA">
        <w:rPr>
          <w:rFonts w:ascii="Arial" w:hAnsi="Arial" w:cs="Arial"/>
          <w:i/>
          <w:iCs/>
          <w:sz w:val="24"/>
          <w:szCs w:val="24"/>
          <w:lang w:val="en-US"/>
        </w:rPr>
        <w:t>Varsity Watch Co. v United States</w:t>
      </w:r>
      <w:r w:rsidR="00D001A7" w:rsidRPr="001B05BA">
        <w:rPr>
          <w:rFonts w:ascii="Arial" w:hAnsi="Arial" w:cs="Arial"/>
          <w:i/>
          <w:iCs/>
          <w:sz w:val="24"/>
          <w:szCs w:val="24"/>
          <w:lang w:val="en-US"/>
        </w:rPr>
        <w:t>.</w:t>
      </w:r>
      <w:r w:rsidR="00B6341B" w:rsidRPr="001B05BA">
        <w:rPr>
          <w:rStyle w:val="FootnoteReference"/>
          <w:rFonts w:ascii="Arial" w:hAnsi="Arial" w:cs="Arial"/>
          <w:sz w:val="24"/>
          <w:szCs w:val="24"/>
          <w:lang w:val="en-US"/>
        </w:rPr>
        <w:footnoteReference w:id="48"/>
      </w:r>
      <w:r w:rsidR="00A32525" w:rsidRPr="001B05BA">
        <w:rPr>
          <w:rFonts w:ascii="Arial" w:hAnsi="Arial" w:cs="Arial"/>
          <w:sz w:val="24"/>
          <w:szCs w:val="24"/>
          <w:lang w:val="en-US"/>
        </w:rPr>
        <w:t xml:space="preserve"> Counsel did not refer </w:t>
      </w:r>
      <w:r w:rsidR="007518C8" w:rsidRPr="001B05BA">
        <w:rPr>
          <w:rFonts w:ascii="Arial" w:hAnsi="Arial" w:cs="Arial"/>
          <w:sz w:val="24"/>
          <w:szCs w:val="24"/>
          <w:lang w:val="en-US"/>
        </w:rPr>
        <w:t>us</w:t>
      </w:r>
      <w:r w:rsidR="00A32525" w:rsidRPr="001B05BA">
        <w:rPr>
          <w:rFonts w:ascii="Arial" w:hAnsi="Arial" w:cs="Arial"/>
          <w:sz w:val="24"/>
          <w:szCs w:val="24"/>
          <w:lang w:val="en-US"/>
        </w:rPr>
        <w:t xml:space="preserve"> to this case, but it is relevant to the issue at hand. </w:t>
      </w:r>
      <w:r w:rsidR="00E12F7A" w:rsidRPr="001B05BA">
        <w:rPr>
          <w:rFonts w:ascii="Arial" w:hAnsi="Arial" w:cs="Arial"/>
          <w:sz w:val="24"/>
          <w:szCs w:val="24"/>
          <w:lang w:val="en-US"/>
        </w:rPr>
        <w:t>Section 367(f) of the Tariff Act of 1930 put a higher rate of duty on items that are plated with gold.</w:t>
      </w:r>
      <w:r w:rsidR="00DA6B68" w:rsidRPr="001B05BA">
        <w:rPr>
          <w:rFonts w:ascii="Arial" w:hAnsi="Arial" w:cs="Arial"/>
          <w:sz w:val="24"/>
          <w:szCs w:val="24"/>
          <w:lang w:val="en-US"/>
        </w:rPr>
        <w:t xml:space="preserve"> The merchandise</w:t>
      </w:r>
      <w:r w:rsidR="007518C8" w:rsidRPr="001B05BA">
        <w:rPr>
          <w:rFonts w:ascii="Arial" w:hAnsi="Arial" w:cs="Arial"/>
          <w:sz w:val="24"/>
          <w:szCs w:val="24"/>
          <w:lang w:val="en-US"/>
        </w:rPr>
        <w:t>, in this case,</w:t>
      </w:r>
      <w:r w:rsidR="00DA6B68" w:rsidRPr="001B05BA">
        <w:rPr>
          <w:rFonts w:ascii="Arial" w:hAnsi="Arial" w:cs="Arial"/>
          <w:sz w:val="24"/>
          <w:szCs w:val="24"/>
          <w:lang w:val="en-US"/>
        </w:rPr>
        <w:t xml:space="preserve"> consisted of wrist-watch cases made of a very cheap metal</w:t>
      </w:r>
      <w:r w:rsidR="009B6A0F" w:rsidRPr="001B05BA">
        <w:rPr>
          <w:rFonts w:ascii="Arial" w:hAnsi="Arial" w:cs="Arial"/>
          <w:sz w:val="24"/>
          <w:szCs w:val="24"/>
          <w:lang w:val="en-US"/>
        </w:rPr>
        <w:t>. A slight</w:t>
      </w:r>
      <w:r w:rsidR="001B2E2A" w:rsidRPr="001B05BA">
        <w:rPr>
          <w:rFonts w:ascii="Arial" w:hAnsi="Arial" w:cs="Arial"/>
          <w:sz w:val="24"/>
          <w:szCs w:val="24"/>
          <w:lang w:val="en-US"/>
        </w:rPr>
        <w:t xml:space="preserve"> quantity of gold, amounting to less than </w:t>
      </w:r>
      <w:r w:rsidR="000A7704" w:rsidRPr="001B05BA">
        <w:rPr>
          <w:rFonts w:ascii="Arial" w:hAnsi="Arial" w:cs="Arial"/>
          <w:sz w:val="24"/>
          <w:szCs w:val="24"/>
          <w:lang w:val="en-US"/>
        </w:rPr>
        <w:t>one- and one-half</w:t>
      </w:r>
      <w:r w:rsidR="001B2E2A" w:rsidRPr="001B05BA">
        <w:rPr>
          <w:rFonts w:ascii="Arial" w:hAnsi="Arial" w:cs="Arial"/>
          <w:sz w:val="24"/>
          <w:szCs w:val="24"/>
          <w:lang w:val="en-US"/>
        </w:rPr>
        <w:t xml:space="preserve"> thousandths of one inch in thickness was added to the watch </w:t>
      </w:r>
      <w:r w:rsidR="006E6AD0" w:rsidRPr="001B05BA">
        <w:rPr>
          <w:rFonts w:ascii="Arial" w:hAnsi="Arial" w:cs="Arial"/>
          <w:sz w:val="24"/>
          <w:szCs w:val="24"/>
          <w:lang w:val="en-US"/>
        </w:rPr>
        <w:t>bezel</w:t>
      </w:r>
      <w:r w:rsidR="00D47E54" w:rsidRPr="001B05BA">
        <w:rPr>
          <w:rFonts w:ascii="Arial" w:hAnsi="Arial" w:cs="Arial"/>
          <w:sz w:val="24"/>
          <w:szCs w:val="24"/>
          <w:lang w:val="en-US"/>
        </w:rPr>
        <w:t xml:space="preserve"> by a process of electrolytic deposition for the purpose of imparting a gold </w:t>
      </w:r>
      <w:r w:rsidR="00D47E54" w:rsidRPr="001B05BA">
        <w:rPr>
          <w:rFonts w:ascii="Arial" w:hAnsi="Arial" w:cs="Arial"/>
          <w:sz w:val="24"/>
          <w:szCs w:val="24"/>
          <w:lang w:val="en-US"/>
        </w:rPr>
        <w:lastRenderedPageBreak/>
        <w:t xml:space="preserve">appearance. The plaintiff invoked the </w:t>
      </w:r>
      <w:r w:rsidR="009B47C1" w:rsidRPr="001B05BA">
        <w:rPr>
          <w:rFonts w:ascii="Arial" w:hAnsi="Arial" w:cs="Arial"/>
          <w:i/>
          <w:iCs/>
          <w:sz w:val="24"/>
          <w:szCs w:val="24"/>
          <w:lang w:val="en-US"/>
        </w:rPr>
        <w:t>de minimis</w:t>
      </w:r>
      <w:r w:rsidR="009B47C1" w:rsidRPr="001B05BA">
        <w:rPr>
          <w:rFonts w:ascii="Arial" w:hAnsi="Arial" w:cs="Arial"/>
          <w:sz w:val="24"/>
          <w:szCs w:val="24"/>
          <w:lang w:val="en-US"/>
        </w:rPr>
        <w:t xml:space="preserve"> maxim, contending that </w:t>
      </w:r>
      <w:r w:rsidR="000A7704" w:rsidRPr="001B05BA">
        <w:rPr>
          <w:rFonts w:ascii="Arial" w:hAnsi="Arial" w:cs="Arial"/>
          <w:sz w:val="24"/>
          <w:szCs w:val="24"/>
          <w:lang w:val="en-US"/>
        </w:rPr>
        <w:t>considering</w:t>
      </w:r>
      <w:r w:rsidR="009B47C1" w:rsidRPr="001B05BA">
        <w:rPr>
          <w:rFonts w:ascii="Arial" w:hAnsi="Arial" w:cs="Arial"/>
          <w:sz w:val="24"/>
          <w:szCs w:val="24"/>
          <w:lang w:val="en-US"/>
        </w:rPr>
        <w:t xml:space="preserve"> the insignificant quantity of gold involved, the importation </w:t>
      </w:r>
      <w:r w:rsidR="00B478D8" w:rsidRPr="001B05BA">
        <w:rPr>
          <w:rFonts w:ascii="Arial" w:hAnsi="Arial" w:cs="Arial"/>
          <w:sz w:val="24"/>
          <w:szCs w:val="24"/>
          <w:lang w:val="en-US"/>
        </w:rPr>
        <w:t>should be treated for classification purposes as if it contained no gold at all. The court held otherwise</w:t>
      </w:r>
      <w:r w:rsidR="00492356" w:rsidRPr="001B05BA">
        <w:rPr>
          <w:rFonts w:ascii="Arial" w:hAnsi="Arial" w:cs="Arial"/>
          <w:sz w:val="24"/>
          <w:szCs w:val="24"/>
          <w:lang w:val="en-US"/>
        </w:rPr>
        <w:t xml:space="preserve">. It stated that the </w:t>
      </w:r>
      <w:r w:rsidR="00492356" w:rsidRPr="001B05BA">
        <w:rPr>
          <w:rFonts w:ascii="Arial" w:hAnsi="Arial" w:cs="Arial"/>
          <w:i/>
          <w:iCs/>
          <w:sz w:val="24"/>
          <w:szCs w:val="24"/>
          <w:lang w:val="en-US"/>
        </w:rPr>
        <w:t>de minimis</w:t>
      </w:r>
      <w:r w:rsidR="00492356" w:rsidRPr="001B05BA">
        <w:rPr>
          <w:rFonts w:ascii="Arial" w:hAnsi="Arial" w:cs="Arial"/>
          <w:sz w:val="24"/>
          <w:szCs w:val="24"/>
          <w:lang w:val="en-US"/>
        </w:rPr>
        <w:t xml:space="preserve"> principle was not applicable because ‘Congress intended … to put the higher rate of duty upon those cases</w:t>
      </w:r>
      <w:r w:rsidR="000B2362" w:rsidRPr="001B05BA">
        <w:rPr>
          <w:rFonts w:ascii="Arial" w:hAnsi="Arial" w:cs="Arial"/>
          <w:sz w:val="24"/>
          <w:szCs w:val="24"/>
          <w:lang w:val="en-US"/>
        </w:rPr>
        <w:t xml:space="preserve"> which were in part of gold, no matter how small.’ This precedent illustrates that the purpose </w:t>
      </w:r>
      <w:r w:rsidR="00862179" w:rsidRPr="001B05BA">
        <w:rPr>
          <w:rFonts w:ascii="Arial" w:hAnsi="Arial" w:cs="Arial"/>
          <w:sz w:val="24"/>
          <w:szCs w:val="24"/>
          <w:lang w:val="en-US"/>
        </w:rPr>
        <w:t>for which</w:t>
      </w:r>
      <w:r w:rsidR="000B2362" w:rsidRPr="001B05BA">
        <w:rPr>
          <w:rFonts w:ascii="Arial" w:hAnsi="Arial" w:cs="Arial"/>
          <w:sz w:val="24"/>
          <w:szCs w:val="24"/>
          <w:lang w:val="en-US"/>
        </w:rPr>
        <w:t xml:space="preserve"> the legisla</w:t>
      </w:r>
      <w:r w:rsidR="00862179" w:rsidRPr="001B05BA">
        <w:rPr>
          <w:rFonts w:ascii="Arial" w:hAnsi="Arial" w:cs="Arial"/>
          <w:sz w:val="24"/>
          <w:szCs w:val="24"/>
          <w:lang w:val="en-US"/>
        </w:rPr>
        <w:t xml:space="preserve">ture enacted the provision, guided the court in </w:t>
      </w:r>
      <w:r w:rsidR="00F27A5B" w:rsidRPr="001B05BA">
        <w:rPr>
          <w:rFonts w:ascii="Arial" w:hAnsi="Arial" w:cs="Arial"/>
          <w:sz w:val="24"/>
          <w:szCs w:val="24"/>
          <w:lang w:val="en-US"/>
        </w:rPr>
        <w:t xml:space="preserve">not applying the </w:t>
      </w:r>
      <w:r w:rsidR="00F27A5B" w:rsidRPr="001B05BA">
        <w:rPr>
          <w:rFonts w:ascii="Arial" w:hAnsi="Arial" w:cs="Arial"/>
          <w:i/>
          <w:iCs/>
          <w:sz w:val="24"/>
          <w:szCs w:val="24"/>
          <w:lang w:val="en-US"/>
        </w:rPr>
        <w:t>de minimis</w:t>
      </w:r>
      <w:r w:rsidR="00F27A5B" w:rsidRPr="001B05BA">
        <w:rPr>
          <w:rFonts w:ascii="Arial" w:hAnsi="Arial" w:cs="Arial"/>
          <w:sz w:val="24"/>
          <w:szCs w:val="24"/>
          <w:lang w:val="en-US"/>
        </w:rPr>
        <w:t xml:space="preserve"> maxim.</w:t>
      </w:r>
    </w:p>
    <w:p w14:paraId="45A8A566" w14:textId="77777777" w:rsidR="003F2C54" w:rsidRPr="001B05BA" w:rsidRDefault="003F2C54" w:rsidP="003F2C54">
      <w:pPr>
        <w:pStyle w:val="ListParagraph"/>
        <w:tabs>
          <w:tab w:val="left" w:pos="4917"/>
        </w:tabs>
        <w:spacing w:before="120" w:after="120" w:line="360" w:lineRule="auto"/>
        <w:jc w:val="both"/>
        <w:rPr>
          <w:rFonts w:ascii="Arial" w:hAnsi="Arial" w:cs="Arial"/>
          <w:sz w:val="24"/>
          <w:szCs w:val="24"/>
          <w:lang w:val="en-US"/>
        </w:rPr>
      </w:pPr>
    </w:p>
    <w:p w14:paraId="17C10522" w14:textId="2BC334C8" w:rsidR="004C0280" w:rsidRPr="001B05BA" w:rsidRDefault="00210414" w:rsidP="006D3452">
      <w:pPr>
        <w:pStyle w:val="ListParagraph"/>
        <w:numPr>
          <w:ilvl w:val="0"/>
          <w:numId w:val="2"/>
        </w:numPr>
        <w:tabs>
          <w:tab w:val="left" w:pos="4917"/>
        </w:tabs>
        <w:spacing w:before="120" w:after="120" w:line="360" w:lineRule="auto"/>
        <w:ind w:hanging="720"/>
        <w:jc w:val="both"/>
        <w:rPr>
          <w:rFonts w:ascii="Arial" w:hAnsi="Arial" w:cs="Arial"/>
          <w:sz w:val="24"/>
          <w:szCs w:val="24"/>
          <w:lang w:val="en-US"/>
        </w:rPr>
      </w:pPr>
      <w:r w:rsidRPr="001B05BA">
        <w:rPr>
          <w:rFonts w:ascii="Arial" w:hAnsi="Arial" w:cs="Arial"/>
          <w:sz w:val="24"/>
          <w:szCs w:val="24"/>
          <w:lang w:val="en-US"/>
        </w:rPr>
        <w:t>It is appropriate to seek guidance from other legal systems</w:t>
      </w:r>
      <w:r w:rsidR="009C3631" w:rsidRPr="001B05BA">
        <w:rPr>
          <w:rFonts w:ascii="Arial" w:hAnsi="Arial" w:cs="Arial"/>
          <w:sz w:val="24"/>
          <w:szCs w:val="24"/>
          <w:lang w:val="en-US"/>
        </w:rPr>
        <w:t>,</w:t>
      </w:r>
      <w:r w:rsidR="00F44064" w:rsidRPr="001B05BA">
        <w:rPr>
          <w:rStyle w:val="FootnoteReference"/>
          <w:rFonts w:ascii="Arial" w:hAnsi="Arial" w:cs="Arial"/>
          <w:sz w:val="24"/>
          <w:szCs w:val="24"/>
          <w:lang w:val="en-US"/>
        </w:rPr>
        <w:footnoteReference w:id="49"/>
      </w:r>
      <w:r w:rsidR="009C3631" w:rsidRPr="001B05BA">
        <w:rPr>
          <w:rFonts w:ascii="Arial" w:hAnsi="Arial" w:cs="Arial"/>
          <w:sz w:val="24"/>
          <w:szCs w:val="24"/>
          <w:lang w:val="en-US"/>
        </w:rPr>
        <w:t xml:space="preserve"> even more so if regard is had to the fact that both South Africa and the United States are members of the WCO</w:t>
      </w:r>
      <w:r w:rsidR="00575E94" w:rsidRPr="001B05BA">
        <w:rPr>
          <w:rFonts w:ascii="Arial" w:hAnsi="Arial" w:cs="Arial"/>
          <w:sz w:val="24"/>
          <w:szCs w:val="24"/>
          <w:lang w:val="en-US"/>
        </w:rPr>
        <w:t>,</w:t>
      </w:r>
      <w:r w:rsidR="009C3631" w:rsidRPr="001B05BA">
        <w:rPr>
          <w:rStyle w:val="FootnoteReference"/>
          <w:rFonts w:ascii="Arial" w:hAnsi="Arial" w:cs="Arial"/>
          <w:sz w:val="24"/>
          <w:szCs w:val="24"/>
          <w:lang w:val="en-US"/>
        </w:rPr>
        <w:footnoteReference w:id="50"/>
      </w:r>
      <w:r w:rsidR="00575E94" w:rsidRPr="001B05BA">
        <w:rPr>
          <w:rFonts w:ascii="Arial" w:hAnsi="Arial" w:cs="Arial"/>
          <w:sz w:val="24"/>
          <w:szCs w:val="24"/>
          <w:lang w:val="en-US"/>
        </w:rPr>
        <w:t xml:space="preserve"> and the fact that the </w:t>
      </w:r>
      <w:r w:rsidR="00575E94" w:rsidRPr="001B05BA">
        <w:rPr>
          <w:rFonts w:ascii="Arial" w:hAnsi="Arial" w:cs="Arial"/>
          <w:i/>
          <w:iCs/>
          <w:sz w:val="24"/>
          <w:szCs w:val="24"/>
          <w:lang w:val="en-US"/>
        </w:rPr>
        <w:t>de minimis</w:t>
      </w:r>
      <w:r w:rsidR="00575E94" w:rsidRPr="001B05BA">
        <w:rPr>
          <w:rFonts w:ascii="Arial" w:hAnsi="Arial" w:cs="Arial"/>
          <w:sz w:val="24"/>
          <w:szCs w:val="24"/>
          <w:lang w:val="en-US"/>
        </w:rPr>
        <w:t xml:space="preserve"> principle is not foreign to the sphere of international trade.</w:t>
      </w:r>
      <w:r w:rsidR="00575E94" w:rsidRPr="001B05BA">
        <w:rPr>
          <w:rStyle w:val="FootnoteReference"/>
          <w:rFonts w:ascii="Arial" w:hAnsi="Arial" w:cs="Arial"/>
          <w:sz w:val="24"/>
          <w:szCs w:val="24"/>
          <w:lang w:val="en-US"/>
        </w:rPr>
        <w:footnoteReference w:id="51"/>
      </w:r>
      <w:r w:rsidRPr="001B05BA">
        <w:rPr>
          <w:rFonts w:ascii="Arial" w:hAnsi="Arial" w:cs="Arial"/>
          <w:sz w:val="24"/>
          <w:szCs w:val="24"/>
          <w:lang w:val="en-US"/>
        </w:rPr>
        <w:t xml:space="preserve"> </w:t>
      </w:r>
      <w:r w:rsidR="002E7C0C" w:rsidRPr="001B05BA">
        <w:rPr>
          <w:rFonts w:ascii="Arial" w:hAnsi="Arial" w:cs="Arial"/>
          <w:sz w:val="24"/>
          <w:szCs w:val="24"/>
          <w:lang w:val="en-US"/>
        </w:rPr>
        <w:t xml:space="preserve">These </w:t>
      </w:r>
      <w:r w:rsidR="008B4346" w:rsidRPr="001B05BA">
        <w:rPr>
          <w:rFonts w:ascii="Arial" w:hAnsi="Arial" w:cs="Arial"/>
          <w:sz w:val="24"/>
          <w:szCs w:val="24"/>
          <w:lang w:val="en-US"/>
        </w:rPr>
        <w:t>decisions</w:t>
      </w:r>
      <w:r w:rsidR="002E7C0C" w:rsidRPr="001B05BA">
        <w:rPr>
          <w:rFonts w:ascii="Arial" w:hAnsi="Arial" w:cs="Arial"/>
          <w:sz w:val="24"/>
          <w:szCs w:val="24"/>
          <w:lang w:val="en-US"/>
        </w:rPr>
        <w:t xml:space="preserve"> are on point</w:t>
      </w:r>
      <w:r w:rsidR="008B4346" w:rsidRPr="001B05BA">
        <w:rPr>
          <w:rFonts w:ascii="Arial" w:hAnsi="Arial" w:cs="Arial"/>
          <w:sz w:val="24"/>
          <w:szCs w:val="24"/>
          <w:lang w:val="en-US"/>
        </w:rPr>
        <w:t xml:space="preserve"> and support </w:t>
      </w:r>
      <w:r w:rsidR="005A7CB1" w:rsidRPr="001B05BA">
        <w:rPr>
          <w:rFonts w:ascii="Arial" w:hAnsi="Arial" w:cs="Arial"/>
          <w:sz w:val="24"/>
          <w:szCs w:val="24"/>
          <w:lang w:val="en-US"/>
        </w:rPr>
        <w:t>the</w:t>
      </w:r>
      <w:r w:rsidR="008B4346" w:rsidRPr="001B05BA">
        <w:rPr>
          <w:rFonts w:ascii="Arial" w:hAnsi="Arial" w:cs="Arial"/>
          <w:sz w:val="24"/>
          <w:szCs w:val="24"/>
          <w:lang w:val="en-US"/>
        </w:rPr>
        <w:t xml:space="preserve"> view that </w:t>
      </w:r>
      <w:r w:rsidR="00C64811" w:rsidRPr="001B05BA">
        <w:rPr>
          <w:rFonts w:ascii="Arial" w:hAnsi="Arial" w:cs="Arial"/>
          <w:sz w:val="24"/>
          <w:szCs w:val="24"/>
          <w:lang w:val="en-US"/>
        </w:rPr>
        <w:t xml:space="preserve">it is justified to have regard to </w:t>
      </w:r>
      <w:r w:rsidR="008B4346" w:rsidRPr="001B05BA">
        <w:rPr>
          <w:rFonts w:ascii="Arial" w:hAnsi="Arial" w:cs="Arial"/>
          <w:sz w:val="24"/>
          <w:szCs w:val="24"/>
          <w:lang w:val="en-US"/>
        </w:rPr>
        <w:t xml:space="preserve">the </w:t>
      </w:r>
      <w:r w:rsidR="008B4346" w:rsidRPr="001B05BA">
        <w:rPr>
          <w:rFonts w:ascii="Arial" w:hAnsi="Arial" w:cs="Arial"/>
          <w:i/>
          <w:iCs/>
          <w:sz w:val="24"/>
          <w:szCs w:val="24"/>
          <w:lang w:val="en-US"/>
        </w:rPr>
        <w:t>de minimis</w:t>
      </w:r>
      <w:r w:rsidR="008B4346" w:rsidRPr="001B05BA">
        <w:rPr>
          <w:rFonts w:ascii="Arial" w:hAnsi="Arial" w:cs="Arial"/>
          <w:sz w:val="24"/>
          <w:szCs w:val="24"/>
          <w:lang w:val="en-US"/>
        </w:rPr>
        <w:t xml:space="preserve"> principle in the current factual context</w:t>
      </w:r>
      <w:r w:rsidR="00FD7D22" w:rsidRPr="001B05BA">
        <w:rPr>
          <w:rFonts w:ascii="Arial" w:hAnsi="Arial" w:cs="Arial"/>
          <w:sz w:val="24"/>
          <w:szCs w:val="24"/>
          <w:lang w:val="en-US"/>
        </w:rPr>
        <w:t xml:space="preserve">, </w:t>
      </w:r>
      <w:r w:rsidR="008E6C0B" w:rsidRPr="001B05BA">
        <w:rPr>
          <w:rFonts w:ascii="Arial" w:hAnsi="Arial" w:cs="Arial"/>
          <w:sz w:val="24"/>
          <w:szCs w:val="24"/>
          <w:lang w:val="en-US"/>
        </w:rPr>
        <w:t>particularly if the purpose for which tariff subheading 2208.70.21 was created is considered.</w:t>
      </w:r>
    </w:p>
    <w:p w14:paraId="0DA64A88" w14:textId="77777777" w:rsidR="004C0280" w:rsidRPr="001B05BA" w:rsidRDefault="004C0280" w:rsidP="004C0280">
      <w:pPr>
        <w:pStyle w:val="ListParagraph"/>
        <w:rPr>
          <w:rFonts w:ascii="Arial" w:hAnsi="Arial" w:cs="Arial"/>
          <w:sz w:val="24"/>
          <w:szCs w:val="24"/>
          <w:lang w:val="en-US"/>
        </w:rPr>
      </w:pPr>
    </w:p>
    <w:p w14:paraId="41515280" w14:textId="0AE48B77" w:rsidR="00AF2596" w:rsidRPr="001B05BA" w:rsidRDefault="001166CD" w:rsidP="00AF2596">
      <w:pPr>
        <w:pStyle w:val="ListParagraph"/>
        <w:numPr>
          <w:ilvl w:val="0"/>
          <w:numId w:val="2"/>
        </w:numPr>
        <w:tabs>
          <w:tab w:val="left" w:pos="4917"/>
        </w:tabs>
        <w:spacing w:before="120" w:after="120" w:line="360" w:lineRule="auto"/>
        <w:ind w:hanging="720"/>
        <w:jc w:val="both"/>
        <w:rPr>
          <w:rFonts w:ascii="Arial" w:hAnsi="Arial" w:cs="Arial"/>
          <w:sz w:val="24"/>
          <w:szCs w:val="24"/>
          <w:lang w:val="en-US"/>
        </w:rPr>
      </w:pPr>
      <w:r w:rsidRPr="001B05BA">
        <w:rPr>
          <w:rFonts w:ascii="Arial" w:hAnsi="Arial" w:cs="Arial"/>
          <w:sz w:val="24"/>
          <w:szCs w:val="24"/>
          <w:lang w:val="en-US"/>
        </w:rPr>
        <w:t>T</w:t>
      </w:r>
      <w:r w:rsidR="00AF2596" w:rsidRPr="001B05BA">
        <w:rPr>
          <w:rFonts w:ascii="Arial" w:hAnsi="Arial" w:cs="Arial"/>
          <w:sz w:val="24"/>
          <w:szCs w:val="24"/>
          <w:lang w:val="en-US"/>
        </w:rPr>
        <w:t xml:space="preserve">he Commissioner submits that the </w:t>
      </w:r>
      <w:r w:rsidR="00AF2596" w:rsidRPr="001B05BA">
        <w:rPr>
          <w:rFonts w:ascii="Arial" w:hAnsi="Arial" w:cs="Arial"/>
          <w:i/>
          <w:iCs/>
          <w:sz w:val="24"/>
          <w:szCs w:val="24"/>
          <w:lang w:val="en-US"/>
        </w:rPr>
        <w:t>de minimis</w:t>
      </w:r>
      <w:r w:rsidR="00AF2596" w:rsidRPr="001B05BA">
        <w:rPr>
          <w:rFonts w:ascii="Arial" w:hAnsi="Arial" w:cs="Arial"/>
          <w:sz w:val="24"/>
          <w:szCs w:val="24"/>
          <w:lang w:val="en-US"/>
        </w:rPr>
        <w:t xml:space="preserve"> principle does not find application in this matter as the ultimate practical effect, the extent of excise duty lost by SARS, is not trivial. I disagree.  It cannot be that the volume</w:t>
      </w:r>
      <w:r w:rsidR="007C5FBC" w:rsidRPr="001B05BA">
        <w:rPr>
          <w:rFonts w:ascii="Arial" w:hAnsi="Arial" w:cs="Arial"/>
          <w:sz w:val="24"/>
          <w:szCs w:val="24"/>
          <w:lang w:val="en-US"/>
        </w:rPr>
        <w:t xml:space="preserve"> and quantity</w:t>
      </w:r>
      <w:r w:rsidR="00AF2596" w:rsidRPr="001B05BA">
        <w:rPr>
          <w:rFonts w:ascii="Arial" w:hAnsi="Arial" w:cs="Arial"/>
          <w:sz w:val="24"/>
          <w:szCs w:val="24"/>
          <w:lang w:val="en-US"/>
        </w:rPr>
        <w:t xml:space="preserve"> of the product that is manufactured and ultimately exported </w:t>
      </w:r>
      <w:r w:rsidR="00DA029D" w:rsidRPr="001B05BA">
        <w:rPr>
          <w:rFonts w:ascii="Arial" w:hAnsi="Arial" w:cs="Arial"/>
          <w:sz w:val="24"/>
          <w:szCs w:val="24"/>
          <w:lang w:val="en-US"/>
        </w:rPr>
        <w:t>have</w:t>
      </w:r>
      <w:r w:rsidR="00AF2596" w:rsidRPr="001B05BA">
        <w:rPr>
          <w:rFonts w:ascii="Arial" w:hAnsi="Arial" w:cs="Arial"/>
          <w:sz w:val="24"/>
          <w:szCs w:val="24"/>
          <w:lang w:val="en-US"/>
        </w:rPr>
        <w:t xml:space="preserve"> a bearing on whether</w:t>
      </w:r>
      <w:r w:rsidR="00C368C9" w:rsidRPr="001B05BA">
        <w:rPr>
          <w:rFonts w:ascii="Arial" w:hAnsi="Arial" w:cs="Arial"/>
          <w:sz w:val="24"/>
          <w:szCs w:val="24"/>
          <w:lang w:val="en-US"/>
        </w:rPr>
        <w:t xml:space="preserve"> a product is classified under tariff subheading</w:t>
      </w:r>
      <w:r w:rsidR="00AF2596" w:rsidRPr="001B05BA">
        <w:rPr>
          <w:rFonts w:ascii="Arial" w:hAnsi="Arial" w:cs="Arial"/>
          <w:sz w:val="24"/>
          <w:szCs w:val="24"/>
          <w:lang w:val="en-US"/>
        </w:rPr>
        <w:t xml:space="preserve"> 2208.70.21</w:t>
      </w:r>
      <w:r w:rsidR="003B57D4" w:rsidRPr="001B05BA">
        <w:rPr>
          <w:rFonts w:ascii="Arial" w:hAnsi="Arial" w:cs="Arial"/>
          <w:sz w:val="24"/>
          <w:szCs w:val="24"/>
          <w:lang w:val="en-US"/>
        </w:rPr>
        <w:t>.</w:t>
      </w:r>
      <w:r w:rsidR="00AB4F7A" w:rsidRPr="001B05BA">
        <w:rPr>
          <w:rFonts w:ascii="Arial" w:hAnsi="Arial" w:cs="Arial"/>
          <w:sz w:val="24"/>
          <w:szCs w:val="24"/>
          <w:lang w:val="en-US"/>
        </w:rPr>
        <w:t xml:space="preserve"> </w:t>
      </w:r>
    </w:p>
    <w:p w14:paraId="043728A4" w14:textId="77777777" w:rsidR="00AF2596" w:rsidRPr="001B05BA" w:rsidRDefault="00AF2596" w:rsidP="00AF2596">
      <w:pPr>
        <w:pStyle w:val="ListParagraph"/>
        <w:rPr>
          <w:rFonts w:ascii="Arial" w:hAnsi="Arial" w:cs="Arial"/>
          <w:sz w:val="24"/>
          <w:szCs w:val="24"/>
          <w:lang w:val="en-US"/>
        </w:rPr>
      </w:pPr>
    </w:p>
    <w:p w14:paraId="467D57EE" w14:textId="74C18F19" w:rsidR="00B02F34" w:rsidRPr="001B05BA" w:rsidRDefault="0070068D" w:rsidP="004C0280">
      <w:pPr>
        <w:pStyle w:val="ListParagraph"/>
        <w:numPr>
          <w:ilvl w:val="0"/>
          <w:numId w:val="2"/>
        </w:numPr>
        <w:tabs>
          <w:tab w:val="left" w:pos="4917"/>
        </w:tabs>
        <w:spacing w:before="120" w:after="120" w:line="360" w:lineRule="auto"/>
        <w:ind w:hanging="720"/>
        <w:jc w:val="both"/>
        <w:rPr>
          <w:rFonts w:ascii="Arial" w:hAnsi="Arial" w:cs="Arial"/>
          <w:sz w:val="24"/>
          <w:szCs w:val="24"/>
          <w:lang w:val="en-US"/>
        </w:rPr>
      </w:pPr>
      <w:r w:rsidRPr="001B05BA">
        <w:rPr>
          <w:rFonts w:ascii="Arial" w:hAnsi="Arial" w:cs="Arial"/>
          <w:sz w:val="24"/>
          <w:szCs w:val="24"/>
          <w:lang w:val="en-US"/>
        </w:rPr>
        <w:t xml:space="preserve">The Commissioner’s analogy between s 65 of the Road Traffic Act and Additional </w:t>
      </w:r>
      <w:r w:rsidR="00F77585" w:rsidRPr="001B05BA">
        <w:rPr>
          <w:rFonts w:ascii="Arial" w:hAnsi="Arial" w:cs="Arial"/>
          <w:sz w:val="24"/>
          <w:szCs w:val="24"/>
          <w:lang w:val="en-US"/>
        </w:rPr>
        <w:t>Note 4(b)</w:t>
      </w:r>
      <w:r w:rsidR="00DE37BC" w:rsidRPr="001B05BA">
        <w:rPr>
          <w:rFonts w:ascii="Arial" w:hAnsi="Arial" w:cs="Arial"/>
          <w:sz w:val="24"/>
          <w:szCs w:val="24"/>
          <w:lang w:val="en-US"/>
        </w:rPr>
        <w:t xml:space="preserve">, </w:t>
      </w:r>
      <w:r w:rsidR="0055654A" w:rsidRPr="001B05BA">
        <w:rPr>
          <w:rFonts w:ascii="Arial" w:hAnsi="Arial" w:cs="Arial"/>
          <w:sz w:val="24"/>
          <w:szCs w:val="24"/>
          <w:lang w:val="en-US"/>
        </w:rPr>
        <w:t xml:space="preserve">submitted </w:t>
      </w:r>
      <w:r w:rsidR="007B5E0E" w:rsidRPr="001B05BA">
        <w:rPr>
          <w:rFonts w:ascii="Arial" w:hAnsi="Arial" w:cs="Arial"/>
          <w:sz w:val="24"/>
          <w:szCs w:val="24"/>
          <w:lang w:val="en-US"/>
        </w:rPr>
        <w:t xml:space="preserve">not only for </w:t>
      </w:r>
      <w:r w:rsidR="00B80CBE" w:rsidRPr="001B05BA">
        <w:rPr>
          <w:rFonts w:ascii="Arial" w:hAnsi="Arial" w:cs="Arial"/>
          <w:sz w:val="24"/>
          <w:szCs w:val="24"/>
          <w:lang w:val="en-US"/>
        </w:rPr>
        <w:t>substantiating the view that</w:t>
      </w:r>
      <w:r w:rsidR="0055654A" w:rsidRPr="001B05BA">
        <w:rPr>
          <w:rFonts w:ascii="Arial" w:hAnsi="Arial" w:cs="Arial"/>
          <w:sz w:val="24"/>
          <w:szCs w:val="24"/>
          <w:lang w:val="en-US"/>
        </w:rPr>
        <w:t xml:space="preserve"> </w:t>
      </w:r>
      <w:r w:rsidR="001F6630" w:rsidRPr="001B05BA">
        <w:rPr>
          <w:rFonts w:ascii="Arial" w:hAnsi="Arial" w:cs="Arial"/>
          <w:sz w:val="24"/>
          <w:szCs w:val="24"/>
          <w:lang w:val="en-US"/>
        </w:rPr>
        <w:t xml:space="preserve">the </w:t>
      </w:r>
      <w:r w:rsidR="001F6630" w:rsidRPr="001B05BA">
        <w:rPr>
          <w:rFonts w:ascii="Arial" w:hAnsi="Arial" w:cs="Arial"/>
          <w:i/>
          <w:iCs/>
          <w:sz w:val="24"/>
          <w:szCs w:val="24"/>
          <w:lang w:val="en-US"/>
        </w:rPr>
        <w:t>de minimis</w:t>
      </w:r>
      <w:r w:rsidR="001F6630" w:rsidRPr="001B05BA">
        <w:rPr>
          <w:rFonts w:ascii="Arial" w:hAnsi="Arial" w:cs="Arial"/>
          <w:sz w:val="24"/>
          <w:szCs w:val="24"/>
          <w:lang w:val="en-US"/>
        </w:rPr>
        <w:t xml:space="preserve"> principle cannot apply but also for</w:t>
      </w:r>
      <w:r w:rsidR="007B5E0E" w:rsidRPr="001B05BA">
        <w:rPr>
          <w:rFonts w:ascii="Arial" w:hAnsi="Arial" w:cs="Arial"/>
          <w:sz w:val="24"/>
          <w:szCs w:val="24"/>
          <w:lang w:val="en-US"/>
        </w:rPr>
        <w:t xml:space="preserve"> justifying</w:t>
      </w:r>
      <w:r w:rsidR="00FD6371" w:rsidRPr="001B05BA">
        <w:rPr>
          <w:rFonts w:ascii="Arial" w:hAnsi="Arial" w:cs="Arial"/>
          <w:sz w:val="24"/>
          <w:szCs w:val="24"/>
          <w:lang w:val="en-US"/>
        </w:rPr>
        <w:t xml:space="preserve"> the Commissioner’s submission that ‘non-</w:t>
      </w:r>
      <w:r w:rsidR="00FD6371" w:rsidRPr="001B05BA">
        <w:rPr>
          <w:rFonts w:ascii="Arial" w:hAnsi="Arial" w:cs="Arial"/>
          <w:sz w:val="24"/>
          <w:szCs w:val="24"/>
          <w:lang w:val="en-US"/>
        </w:rPr>
        <w:lastRenderedPageBreak/>
        <w:t xml:space="preserve">alcoholic ingredient’ means an </w:t>
      </w:r>
      <w:r w:rsidR="00856067" w:rsidRPr="001B05BA">
        <w:rPr>
          <w:rFonts w:ascii="Arial" w:hAnsi="Arial" w:cs="Arial"/>
          <w:sz w:val="24"/>
          <w:szCs w:val="24"/>
          <w:lang w:val="en-US"/>
        </w:rPr>
        <w:t>ingredient</w:t>
      </w:r>
      <w:r w:rsidR="00FD6371" w:rsidRPr="001B05BA">
        <w:rPr>
          <w:rFonts w:ascii="Arial" w:hAnsi="Arial" w:cs="Arial"/>
          <w:sz w:val="24"/>
          <w:szCs w:val="24"/>
          <w:lang w:val="en-US"/>
        </w:rPr>
        <w:t xml:space="preserve"> with a 0% ABV</w:t>
      </w:r>
      <w:r w:rsidR="00856067" w:rsidRPr="001B05BA">
        <w:rPr>
          <w:rFonts w:ascii="Arial" w:hAnsi="Arial" w:cs="Arial"/>
          <w:sz w:val="24"/>
          <w:szCs w:val="24"/>
          <w:lang w:val="en-US"/>
        </w:rPr>
        <w:t>,</w:t>
      </w:r>
      <w:r w:rsidR="003F3479" w:rsidRPr="001B05BA">
        <w:rPr>
          <w:rFonts w:ascii="Arial" w:hAnsi="Arial" w:cs="Arial"/>
          <w:sz w:val="24"/>
          <w:szCs w:val="24"/>
          <w:lang w:val="en-US"/>
        </w:rPr>
        <w:t xml:space="preserve"> is misplaced</w:t>
      </w:r>
      <w:r w:rsidR="00F77585" w:rsidRPr="001B05BA">
        <w:rPr>
          <w:rFonts w:ascii="Arial" w:hAnsi="Arial" w:cs="Arial"/>
          <w:sz w:val="24"/>
          <w:szCs w:val="24"/>
          <w:lang w:val="en-US"/>
        </w:rPr>
        <w:t xml:space="preserve">. </w:t>
      </w:r>
      <w:r w:rsidR="00913B67" w:rsidRPr="001B05BA">
        <w:rPr>
          <w:rFonts w:ascii="Arial" w:hAnsi="Arial" w:cs="Arial"/>
          <w:sz w:val="24"/>
          <w:szCs w:val="24"/>
          <w:lang w:val="en-US"/>
        </w:rPr>
        <w:t>Insofa</w:t>
      </w:r>
      <w:r w:rsidR="00CA394B" w:rsidRPr="001B05BA">
        <w:rPr>
          <w:rFonts w:ascii="Arial" w:hAnsi="Arial" w:cs="Arial"/>
          <w:sz w:val="24"/>
          <w:szCs w:val="24"/>
          <w:lang w:val="en-US"/>
        </w:rPr>
        <w:t>r as s 65 of the Road Traffic Act is concerned, t</w:t>
      </w:r>
      <w:r w:rsidR="00F77585" w:rsidRPr="001B05BA">
        <w:rPr>
          <w:rFonts w:ascii="Arial" w:hAnsi="Arial" w:cs="Arial"/>
          <w:sz w:val="24"/>
          <w:szCs w:val="24"/>
          <w:lang w:val="en-US"/>
        </w:rPr>
        <w:t xml:space="preserve">he legislature determined a fixed blood-alcohol level that may not be </w:t>
      </w:r>
      <w:r w:rsidR="00C059FC" w:rsidRPr="001B05BA">
        <w:rPr>
          <w:rFonts w:ascii="Arial" w:hAnsi="Arial" w:cs="Arial"/>
          <w:sz w:val="24"/>
          <w:szCs w:val="24"/>
          <w:lang w:val="en-US"/>
        </w:rPr>
        <w:t>exceeded</w:t>
      </w:r>
      <w:r w:rsidR="00003D76" w:rsidRPr="001B05BA">
        <w:rPr>
          <w:rFonts w:ascii="Arial" w:hAnsi="Arial" w:cs="Arial"/>
          <w:sz w:val="24"/>
          <w:szCs w:val="24"/>
          <w:lang w:val="en-US"/>
        </w:rPr>
        <w:t xml:space="preserve">, </w:t>
      </w:r>
      <w:r w:rsidR="00C059FC" w:rsidRPr="001B05BA">
        <w:rPr>
          <w:rFonts w:ascii="Arial" w:hAnsi="Arial" w:cs="Arial"/>
          <w:sz w:val="24"/>
          <w:szCs w:val="24"/>
          <w:lang w:val="en-US"/>
        </w:rPr>
        <w:t>otherwise</w:t>
      </w:r>
      <w:r w:rsidR="00003D76" w:rsidRPr="001B05BA">
        <w:rPr>
          <w:rFonts w:ascii="Arial" w:hAnsi="Arial" w:cs="Arial"/>
          <w:sz w:val="24"/>
          <w:szCs w:val="24"/>
          <w:lang w:val="en-US"/>
        </w:rPr>
        <w:t>,</w:t>
      </w:r>
      <w:r w:rsidR="00C059FC" w:rsidRPr="001B05BA">
        <w:rPr>
          <w:rFonts w:ascii="Arial" w:hAnsi="Arial" w:cs="Arial"/>
          <w:sz w:val="24"/>
          <w:szCs w:val="24"/>
          <w:lang w:val="en-US"/>
        </w:rPr>
        <w:t xml:space="preserve"> a crime is committed. </w:t>
      </w:r>
      <w:r w:rsidR="00CA394B" w:rsidRPr="001B05BA">
        <w:rPr>
          <w:rFonts w:ascii="Arial" w:hAnsi="Arial" w:cs="Arial"/>
          <w:sz w:val="24"/>
          <w:szCs w:val="24"/>
          <w:lang w:val="en-US"/>
        </w:rPr>
        <w:t>In Additional Note 4(b)</w:t>
      </w:r>
      <w:r w:rsidR="00F840AD" w:rsidRPr="001B05BA">
        <w:rPr>
          <w:rFonts w:ascii="Arial" w:hAnsi="Arial" w:cs="Arial"/>
          <w:sz w:val="24"/>
          <w:szCs w:val="24"/>
          <w:lang w:val="en-US"/>
        </w:rPr>
        <w:t>,</w:t>
      </w:r>
      <w:r w:rsidR="00C059FC" w:rsidRPr="001B05BA">
        <w:rPr>
          <w:rFonts w:ascii="Arial" w:hAnsi="Arial" w:cs="Arial"/>
          <w:sz w:val="24"/>
          <w:szCs w:val="24"/>
          <w:lang w:val="en-US"/>
        </w:rPr>
        <w:t xml:space="preserve"> the term ‘non-alcoholic ingredient’ is not </w:t>
      </w:r>
      <w:r w:rsidR="00DA2245" w:rsidRPr="001B05BA">
        <w:rPr>
          <w:rFonts w:ascii="Arial" w:hAnsi="Arial" w:cs="Arial"/>
          <w:sz w:val="24"/>
          <w:szCs w:val="24"/>
          <w:lang w:val="en-US"/>
        </w:rPr>
        <w:t>define</w:t>
      </w:r>
      <w:r w:rsidR="00F63487" w:rsidRPr="001B05BA">
        <w:rPr>
          <w:rFonts w:ascii="Arial" w:hAnsi="Arial" w:cs="Arial"/>
          <w:sz w:val="24"/>
          <w:szCs w:val="24"/>
          <w:lang w:val="en-US"/>
        </w:rPr>
        <w:t>d</w:t>
      </w:r>
      <w:r w:rsidR="003B2A60" w:rsidRPr="001B05BA">
        <w:rPr>
          <w:rFonts w:ascii="Arial" w:hAnsi="Arial" w:cs="Arial"/>
          <w:sz w:val="24"/>
          <w:szCs w:val="24"/>
          <w:lang w:val="en-US"/>
        </w:rPr>
        <w:t>.</w:t>
      </w:r>
      <w:r w:rsidR="00EE43FE" w:rsidRPr="001B05BA">
        <w:rPr>
          <w:rFonts w:ascii="Arial" w:hAnsi="Arial" w:cs="Arial"/>
          <w:sz w:val="24"/>
          <w:szCs w:val="24"/>
          <w:lang w:val="en-US"/>
        </w:rPr>
        <w:t xml:space="preserve"> </w:t>
      </w:r>
      <w:r w:rsidR="00ED2CCE" w:rsidRPr="001B05BA">
        <w:rPr>
          <w:rFonts w:ascii="Arial" w:hAnsi="Arial" w:cs="Arial"/>
          <w:sz w:val="24"/>
          <w:szCs w:val="24"/>
          <w:lang w:val="en-US"/>
        </w:rPr>
        <w:t xml:space="preserve">Meaning must be attributed to the </w:t>
      </w:r>
      <w:r w:rsidR="00397ACA" w:rsidRPr="001B05BA">
        <w:rPr>
          <w:rFonts w:ascii="Arial" w:hAnsi="Arial" w:cs="Arial"/>
          <w:sz w:val="24"/>
          <w:szCs w:val="24"/>
          <w:lang w:val="en-US"/>
        </w:rPr>
        <w:t xml:space="preserve">term ‘non-alcoholic ingredient’ </w:t>
      </w:r>
      <w:r w:rsidR="00ED2CCE" w:rsidRPr="001B05BA">
        <w:rPr>
          <w:rFonts w:ascii="Arial" w:hAnsi="Arial" w:cs="Arial"/>
          <w:sz w:val="24"/>
          <w:szCs w:val="24"/>
          <w:lang w:val="en-US"/>
        </w:rPr>
        <w:t>through the process of interpretation</w:t>
      </w:r>
      <w:r w:rsidR="00A64B77" w:rsidRPr="001B05BA">
        <w:rPr>
          <w:rFonts w:ascii="Arial" w:hAnsi="Arial" w:cs="Arial"/>
          <w:sz w:val="24"/>
          <w:szCs w:val="24"/>
          <w:lang w:val="en-US"/>
        </w:rPr>
        <w:t xml:space="preserve"> in circumstances where it is evident that the term ‘non-alcoholic’ can be used in relation to beverages </w:t>
      </w:r>
      <w:r w:rsidR="00DD4116" w:rsidRPr="001B05BA">
        <w:rPr>
          <w:rFonts w:ascii="Arial" w:hAnsi="Arial" w:cs="Arial"/>
          <w:sz w:val="24"/>
          <w:szCs w:val="24"/>
          <w:lang w:val="en-US"/>
        </w:rPr>
        <w:t>with an ABV of less than 0.5%</w:t>
      </w:r>
      <w:r w:rsidR="00120DA6" w:rsidRPr="001B05BA">
        <w:rPr>
          <w:rFonts w:ascii="Arial" w:hAnsi="Arial" w:cs="Arial"/>
          <w:sz w:val="24"/>
          <w:szCs w:val="24"/>
          <w:lang w:val="en-US"/>
        </w:rPr>
        <w:t xml:space="preserve">, and having regard to the purpose </w:t>
      </w:r>
      <w:r w:rsidR="00D7330A" w:rsidRPr="001B05BA">
        <w:rPr>
          <w:rFonts w:ascii="Arial" w:hAnsi="Arial" w:cs="Arial"/>
          <w:sz w:val="24"/>
          <w:szCs w:val="24"/>
          <w:lang w:val="en-US"/>
        </w:rPr>
        <w:t>for which</w:t>
      </w:r>
      <w:r w:rsidR="00483FCA" w:rsidRPr="001B05BA">
        <w:rPr>
          <w:rFonts w:ascii="Arial" w:hAnsi="Arial" w:cs="Arial"/>
          <w:sz w:val="24"/>
          <w:szCs w:val="24"/>
          <w:lang w:val="en-US"/>
        </w:rPr>
        <w:t xml:space="preserve">, amongst others, tariff </w:t>
      </w:r>
      <w:r w:rsidR="00F63487" w:rsidRPr="001B05BA">
        <w:rPr>
          <w:rFonts w:ascii="Arial" w:hAnsi="Arial" w:cs="Arial"/>
          <w:sz w:val="24"/>
          <w:szCs w:val="24"/>
          <w:lang w:val="en-US"/>
        </w:rPr>
        <w:t>subheading 2208.70.21</w:t>
      </w:r>
      <w:r w:rsidR="000D5E43" w:rsidRPr="001B05BA">
        <w:rPr>
          <w:rFonts w:ascii="Arial" w:hAnsi="Arial" w:cs="Arial"/>
          <w:sz w:val="24"/>
          <w:szCs w:val="24"/>
          <w:lang w:val="en-US"/>
        </w:rPr>
        <w:t xml:space="preserve"> was introduced.</w:t>
      </w:r>
      <w:r w:rsidR="008B04C2" w:rsidRPr="001B05BA">
        <w:rPr>
          <w:rFonts w:ascii="Arial" w:hAnsi="Arial" w:cs="Arial"/>
          <w:sz w:val="24"/>
          <w:szCs w:val="24"/>
          <w:lang w:val="en-US"/>
        </w:rPr>
        <w:t xml:space="preserve"> </w:t>
      </w:r>
      <w:r w:rsidR="007C7ADD" w:rsidRPr="001B05BA">
        <w:rPr>
          <w:rFonts w:ascii="Arial" w:hAnsi="Arial" w:cs="Arial"/>
          <w:sz w:val="24"/>
          <w:szCs w:val="24"/>
          <w:lang w:val="en-US"/>
        </w:rPr>
        <w:t>Contrary to the position</w:t>
      </w:r>
      <w:r w:rsidR="008B04C2" w:rsidRPr="001B05BA">
        <w:rPr>
          <w:rFonts w:ascii="Arial" w:hAnsi="Arial" w:cs="Arial"/>
          <w:sz w:val="24"/>
          <w:szCs w:val="24"/>
          <w:lang w:val="en-US"/>
        </w:rPr>
        <w:t xml:space="preserve"> in s 65 of the Road Traffic Act,</w:t>
      </w:r>
      <w:r w:rsidR="00122AFC" w:rsidRPr="001B05BA">
        <w:rPr>
          <w:rStyle w:val="FootnoteReference"/>
          <w:rFonts w:ascii="Arial" w:hAnsi="Arial" w:cs="Arial"/>
          <w:sz w:val="24"/>
          <w:szCs w:val="24"/>
          <w:lang w:val="en-US"/>
        </w:rPr>
        <w:footnoteReference w:id="52"/>
      </w:r>
      <w:r w:rsidR="008B04C2" w:rsidRPr="001B05BA">
        <w:rPr>
          <w:rFonts w:ascii="Arial" w:hAnsi="Arial" w:cs="Arial"/>
          <w:sz w:val="24"/>
          <w:szCs w:val="24"/>
          <w:lang w:val="en-US"/>
        </w:rPr>
        <w:t xml:space="preserve"> </w:t>
      </w:r>
      <w:r w:rsidR="00CB2530" w:rsidRPr="001B05BA">
        <w:rPr>
          <w:rFonts w:ascii="Arial" w:hAnsi="Arial" w:cs="Arial"/>
          <w:sz w:val="24"/>
          <w:szCs w:val="24"/>
          <w:lang w:val="en-US"/>
        </w:rPr>
        <w:t xml:space="preserve">no verifiable basis </w:t>
      </w:r>
      <w:r w:rsidR="00DE3D13" w:rsidRPr="001B05BA">
        <w:rPr>
          <w:rFonts w:ascii="Arial" w:hAnsi="Arial" w:cs="Arial"/>
          <w:sz w:val="24"/>
          <w:szCs w:val="24"/>
          <w:lang w:val="en-US"/>
        </w:rPr>
        <w:t>i</w:t>
      </w:r>
      <w:r w:rsidR="00CB2530" w:rsidRPr="001B05BA">
        <w:rPr>
          <w:rFonts w:ascii="Arial" w:hAnsi="Arial" w:cs="Arial"/>
          <w:sz w:val="24"/>
          <w:szCs w:val="24"/>
          <w:lang w:val="en-US"/>
        </w:rPr>
        <w:t>s</w:t>
      </w:r>
      <w:r w:rsidR="00DE3D13" w:rsidRPr="001B05BA">
        <w:rPr>
          <w:rFonts w:ascii="Arial" w:hAnsi="Arial" w:cs="Arial"/>
          <w:sz w:val="24"/>
          <w:szCs w:val="24"/>
          <w:lang w:val="en-US"/>
        </w:rPr>
        <w:t xml:space="preserve"> </w:t>
      </w:r>
      <w:r w:rsidR="00CB2530" w:rsidRPr="001B05BA">
        <w:rPr>
          <w:rFonts w:ascii="Arial" w:hAnsi="Arial" w:cs="Arial"/>
          <w:sz w:val="24"/>
          <w:szCs w:val="24"/>
          <w:lang w:val="en-US"/>
        </w:rPr>
        <w:t xml:space="preserve">provided for determining the meaning of </w:t>
      </w:r>
      <w:r w:rsidR="00B41F57" w:rsidRPr="001B05BA">
        <w:rPr>
          <w:rFonts w:ascii="Arial" w:hAnsi="Arial" w:cs="Arial"/>
          <w:sz w:val="24"/>
          <w:szCs w:val="24"/>
          <w:lang w:val="en-US"/>
        </w:rPr>
        <w:t>‘non-alcoholic ingredient’.</w:t>
      </w:r>
    </w:p>
    <w:p w14:paraId="7D9935EB" w14:textId="77777777" w:rsidR="002E4E94" w:rsidRPr="001B05BA" w:rsidRDefault="002E4E94" w:rsidP="002E4E94">
      <w:pPr>
        <w:pStyle w:val="ListParagraph"/>
        <w:rPr>
          <w:rFonts w:ascii="Arial" w:hAnsi="Arial" w:cs="Arial"/>
          <w:sz w:val="24"/>
          <w:szCs w:val="24"/>
          <w:lang w:val="en-US"/>
        </w:rPr>
      </w:pPr>
    </w:p>
    <w:p w14:paraId="0685854E" w14:textId="11467AE0" w:rsidR="002E4E94" w:rsidRPr="001B05BA" w:rsidRDefault="002E4E94" w:rsidP="002E4E94">
      <w:pPr>
        <w:pStyle w:val="ListParagraph"/>
        <w:numPr>
          <w:ilvl w:val="0"/>
          <w:numId w:val="2"/>
        </w:numPr>
        <w:spacing w:before="120" w:after="120" w:line="360" w:lineRule="auto"/>
        <w:ind w:hanging="720"/>
        <w:jc w:val="both"/>
        <w:rPr>
          <w:rFonts w:ascii="Arial" w:hAnsi="Arial" w:cs="Arial"/>
          <w:sz w:val="24"/>
          <w:szCs w:val="24"/>
        </w:rPr>
      </w:pPr>
      <w:r w:rsidRPr="001B05BA">
        <w:rPr>
          <w:rFonts w:ascii="Arial" w:hAnsi="Arial" w:cs="Arial"/>
          <w:sz w:val="24"/>
          <w:szCs w:val="24"/>
        </w:rPr>
        <w:t xml:space="preserve">Davis J stated in </w:t>
      </w:r>
      <w:r w:rsidRPr="001B05BA">
        <w:rPr>
          <w:rFonts w:ascii="Arial" w:hAnsi="Arial" w:cs="Arial"/>
          <w:i/>
          <w:iCs/>
          <w:sz w:val="24"/>
          <w:szCs w:val="24"/>
        </w:rPr>
        <w:t>Levin v Number Plates and Signs (Pty) Ltd</w:t>
      </w:r>
      <w:r w:rsidR="004B2D24" w:rsidRPr="001B05BA">
        <w:rPr>
          <w:rStyle w:val="FootnoteReference"/>
          <w:rFonts w:ascii="Arial" w:hAnsi="Arial" w:cs="Arial"/>
          <w:i/>
          <w:iCs/>
          <w:sz w:val="24"/>
          <w:szCs w:val="24"/>
        </w:rPr>
        <w:footnoteReference w:id="53"/>
      </w:r>
      <w:r w:rsidR="004B2D24" w:rsidRPr="001B05BA">
        <w:rPr>
          <w:rFonts w:ascii="Arial" w:hAnsi="Arial" w:cs="Arial"/>
          <w:i/>
          <w:iCs/>
          <w:sz w:val="24"/>
          <w:szCs w:val="24"/>
        </w:rPr>
        <w:t xml:space="preserve"> </w:t>
      </w:r>
      <w:r w:rsidRPr="001B05BA">
        <w:rPr>
          <w:rFonts w:ascii="Arial" w:hAnsi="Arial" w:cs="Arial"/>
          <w:sz w:val="24"/>
          <w:szCs w:val="24"/>
        </w:rPr>
        <w:t xml:space="preserve"> in relation to a patent:</w:t>
      </w:r>
    </w:p>
    <w:p w14:paraId="79D703CA" w14:textId="77777777" w:rsidR="002E4E94" w:rsidRPr="001B05BA" w:rsidRDefault="002E4E94" w:rsidP="002E4E94">
      <w:pPr>
        <w:pStyle w:val="ListParagraph"/>
        <w:rPr>
          <w:rFonts w:ascii="Arial" w:hAnsi="Arial" w:cs="Arial"/>
          <w:sz w:val="24"/>
          <w:szCs w:val="24"/>
        </w:rPr>
      </w:pPr>
    </w:p>
    <w:p w14:paraId="4B57C080" w14:textId="77777777" w:rsidR="002E4E94" w:rsidRPr="001B05BA" w:rsidRDefault="002E4E94" w:rsidP="002E4E94">
      <w:pPr>
        <w:pStyle w:val="ListParagraph"/>
        <w:spacing w:before="120" w:after="120" w:line="360" w:lineRule="auto"/>
        <w:ind w:left="1008" w:right="1008"/>
        <w:jc w:val="both"/>
        <w:rPr>
          <w:rFonts w:ascii="Arial" w:hAnsi="Arial" w:cs="Arial"/>
          <w:sz w:val="24"/>
          <w:szCs w:val="24"/>
        </w:rPr>
      </w:pPr>
      <w:r w:rsidRPr="001B05BA">
        <w:rPr>
          <w:rFonts w:ascii="Arial" w:hAnsi="Arial" w:cs="Arial"/>
          <w:sz w:val="24"/>
          <w:szCs w:val="24"/>
        </w:rPr>
        <w:t>‘The law does not take account of amounts which are so small as not to be appreciable. And the law does not bestow the great benefit of a monopoly for a mere peppercorn consideration.’</w:t>
      </w:r>
    </w:p>
    <w:p w14:paraId="1A5D0518" w14:textId="1DFDC85D" w:rsidR="002E4E94" w:rsidRPr="001B05BA" w:rsidRDefault="002E4E94" w:rsidP="002E4E94">
      <w:pPr>
        <w:pStyle w:val="ListParagraph"/>
        <w:tabs>
          <w:tab w:val="left" w:pos="4917"/>
        </w:tabs>
        <w:spacing w:before="120" w:after="120" w:line="360" w:lineRule="auto"/>
        <w:jc w:val="both"/>
        <w:rPr>
          <w:rFonts w:ascii="Arial" w:hAnsi="Arial" w:cs="Arial"/>
          <w:sz w:val="24"/>
          <w:szCs w:val="24"/>
          <w:lang w:val="en-US"/>
        </w:rPr>
      </w:pPr>
    </w:p>
    <w:p w14:paraId="1E029E79" w14:textId="53A31612" w:rsidR="002E4E94" w:rsidRPr="001B05BA" w:rsidRDefault="007525B2" w:rsidP="004C0280">
      <w:pPr>
        <w:pStyle w:val="ListParagraph"/>
        <w:numPr>
          <w:ilvl w:val="0"/>
          <w:numId w:val="2"/>
        </w:numPr>
        <w:tabs>
          <w:tab w:val="left" w:pos="4917"/>
        </w:tabs>
        <w:spacing w:before="120" w:after="120" w:line="360" w:lineRule="auto"/>
        <w:ind w:hanging="720"/>
        <w:jc w:val="both"/>
        <w:rPr>
          <w:rFonts w:ascii="Arial" w:hAnsi="Arial" w:cs="Arial"/>
          <w:sz w:val="24"/>
          <w:szCs w:val="24"/>
          <w:lang w:val="en-US"/>
        </w:rPr>
      </w:pPr>
      <w:r w:rsidRPr="001B05BA">
        <w:rPr>
          <w:rFonts w:ascii="Arial" w:hAnsi="Arial" w:cs="Arial"/>
          <w:i/>
          <w:iCs/>
          <w:sz w:val="24"/>
          <w:szCs w:val="24"/>
          <w:lang w:val="en-US"/>
        </w:rPr>
        <w:t>In casu</w:t>
      </w:r>
      <w:r w:rsidRPr="001B05BA">
        <w:rPr>
          <w:rFonts w:ascii="Arial" w:hAnsi="Arial" w:cs="Arial"/>
          <w:sz w:val="24"/>
          <w:szCs w:val="24"/>
          <w:lang w:val="en-US"/>
        </w:rPr>
        <w:t xml:space="preserve">, the law does not take account of </w:t>
      </w:r>
      <w:r w:rsidR="00F724FA" w:rsidRPr="001B05BA">
        <w:rPr>
          <w:rFonts w:ascii="Arial" w:hAnsi="Arial" w:cs="Arial"/>
          <w:sz w:val="24"/>
          <w:szCs w:val="24"/>
          <w:lang w:val="en-US"/>
        </w:rPr>
        <w:t>an ABV which is so minute as not to be appreciable</w:t>
      </w:r>
      <w:r w:rsidR="00B15CB4" w:rsidRPr="001B05BA">
        <w:rPr>
          <w:rFonts w:ascii="Arial" w:hAnsi="Arial" w:cs="Arial"/>
          <w:sz w:val="24"/>
          <w:szCs w:val="24"/>
          <w:lang w:val="en-US"/>
        </w:rPr>
        <w:t xml:space="preserve"> to exclude an ingredient from the </w:t>
      </w:r>
      <w:r w:rsidR="00F554D7" w:rsidRPr="001B05BA">
        <w:rPr>
          <w:rFonts w:ascii="Arial" w:hAnsi="Arial" w:cs="Arial"/>
          <w:sz w:val="24"/>
          <w:szCs w:val="24"/>
          <w:lang w:val="en-US"/>
        </w:rPr>
        <w:t>ambit</w:t>
      </w:r>
      <w:r w:rsidR="00B15CB4" w:rsidRPr="001B05BA">
        <w:rPr>
          <w:rFonts w:ascii="Arial" w:hAnsi="Arial" w:cs="Arial"/>
          <w:sz w:val="24"/>
          <w:szCs w:val="24"/>
          <w:lang w:val="en-US"/>
        </w:rPr>
        <w:t xml:space="preserve"> of ‘non-alcoholic</w:t>
      </w:r>
      <w:r w:rsidR="00F554D7" w:rsidRPr="001B05BA">
        <w:rPr>
          <w:rFonts w:ascii="Arial" w:hAnsi="Arial" w:cs="Arial"/>
          <w:sz w:val="24"/>
          <w:szCs w:val="24"/>
          <w:lang w:val="en-US"/>
        </w:rPr>
        <w:t xml:space="preserve"> ingredient</w:t>
      </w:r>
      <w:r w:rsidR="00B15CB4" w:rsidRPr="001B05BA">
        <w:rPr>
          <w:rFonts w:ascii="Arial" w:hAnsi="Arial" w:cs="Arial"/>
          <w:sz w:val="24"/>
          <w:szCs w:val="24"/>
          <w:lang w:val="en-US"/>
        </w:rPr>
        <w:t>’</w:t>
      </w:r>
      <w:r w:rsidR="006B547F" w:rsidRPr="001B05BA">
        <w:rPr>
          <w:rFonts w:ascii="Arial" w:hAnsi="Arial" w:cs="Arial"/>
          <w:sz w:val="24"/>
          <w:szCs w:val="24"/>
          <w:lang w:val="en-US"/>
        </w:rPr>
        <w:t>.</w:t>
      </w:r>
    </w:p>
    <w:p w14:paraId="51A32884" w14:textId="77777777" w:rsidR="00B02F34" w:rsidRPr="001B05BA" w:rsidRDefault="00B02F34" w:rsidP="00B02F34">
      <w:pPr>
        <w:pStyle w:val="ListParagraph"/>
        <w:rPr>
          <w:rFonts w:ascii="Arial" w:hAnsi="Arial" w:cs="Arial"/>
          <w:sz w:val="24"/>
          <w:szCs w:val="24"/>
          <w:lang w:val="en-US"/>
        </w:rPr>
      </w:pPr>
    </w:p>
    <w:p w14:paraId="3C89FD3F" w14:textId="75285249" w:rsidR="00CF7942" w:rsidRPr="001B05BA" w:rsidRDefault="00CF7942" w:rsidP="00377FDC">
      <w:pPr>
        <w:tabs>
          <w:tab w:val="left" w:pos="4917"/>
        </w:tabs>
        <w:spacing w:before="120" w:after="120" w:line="360" w:lineRule="auto"/>
        <w:jc w:val="both"/>
        <w:rPr>
          <w:rFonts w:ascii="Arial" w:hAnsi="Arial" w:cs="Arial"/>
          <w:b/>
          <w:sz w:val="24"/>
          <w:szCs w:val="24"/>
        </w:rPr>
      </w:pPr>
      <w:r w:rsidRPr="001B05BA">
        <w:rPr>
          <w:rFonts w:ascii="Arial" w:hAnsi="Arial" w:cs="Arial"/>
          <w:b/>
          <w:sz w:val="24"/>
          <w:szCs w:val="24"/>
        </w:rPr>
        <w:t>ORDER</w:t>
      </w:r>
    </w:p>
    <w:p w14:paraId="2A15CA90" w14:textId="12C66CA2" w:rsidR="00CF7942" w:rsidRPr="001B05BA" w:rsidRDefault="00CF7942" w:rsidP="00CF7942">
      <w:pPr>
        <w:tabs>
          <w:tab w:val="left" w:pos="4917"/>
        </w:tabs>
        <w:spacing w:before="120" w:after="120" w:line="360" w:lineRule="auto"/>
        <w:jc w:val="both"/>
        <w:rPr>
          <w:rFonts w:ascii="Arial" w:hAnsi="Arial" w:cs="Arial"/>
          <w:b/>
          <w:sz w:val="24"/>
          <w:szCs w:val="24"/>
        </w:rPr>
      </w:pPr>
      <w:r w:rsidRPr="001B05BA">
        <w:rPr>
          <w:rFonts w:ascii="Arial" w:hAnsi="Arial" w:cs="Arial"/>
          <w:b/>
          <w:sz w:val="24"/>
          <w:szCs w:val="24"/>
        </w:rPr>
        <w:t>In the result, the following order is granted:</w:t>
      </w:r>
    </w:p>
    <w:p w14:paraId="3B917569" w14:textId="1D88EEC2" w:rsidR="00BA1728" w:rsidRPr="001B05BA" w:rsidRDefault="000C4ED1" w:rsidP="00371158">
      <w:pPr>
        <w:pStyle w:val="ListParagraph"/>
        <w:numPr>
          <w:ilvl w:val="0"/>
          <w:numId w:val="3"/>
        </w:numPr>
        <w:tabs>
          <w:tab w:val="left" w:pos="4917"/>
        </w:tabs>
        <w:spacing w:before="120" w:after="120" w:line="360" w:lineRule="auto"/>
        <w:jc w:val="both"/>
        <w:rPr>
          <w:rFonts w:ascii="Arial" w:hAnsi="Arial" w:cs="Arial"/>
          <w:b/>
          <w:sz w:val="24"/>
          <w:szCs w:val="24"/>
        </w:rPr>
      </w:pPr>
      <w:r w:rsidRPr="001B05BA">
        <w:rPr>
          <w:rFonts w:ascii="Arial" w:hAnsi="Arial" w:cs="Arial"/>
          <w:b/>
          <w:sz w:val="24"/>
          <w:szCs w:val="24"/>
        </w:rPr>
        <w:t>The appeal is upheld</w:t>
      </w:r>
      <w:r w:rsidR="009D2939" w:rsidRPr="001B05BA">
        <w:rPr>
          <w:rFonts w:ascii="Arial" w:hAnsi="Arial" w:cs="Arial"/>
          <w:b/>
          <w:sz w:val="24"/>
          <w:szCs w:val="24"/>
        </w:rPr>
        <w:t>.</w:t>
      </w:r>
    </w:p>
    <w:p w14:paraId="1258FB47" w14:textId="77777777" w:rsidR="00147AF6" w:rsidRPr="001B05BA" w:rsidRDefault="00147AF6" w:rsidP="00147AF6">
      <w:pPr>
        <w:pStyle w:val="ListParagraph"/>
        <w:tabs>
          <w:tab w:val="left" w:pos="4917"/>
        </w:tabs>
        <w:spacing w:before="120" w:after="120" w:line="360" w:lineRule="auto"/>
        <w:ind w:left="360"/>
        <w:jc w:val="both"/>
        <w:rPr>
          <w:rFonts w:ascii="Arial" w:hAnsi="Arial" w:cs="Arial"/>
          <w:b/>
          <w:sz w:val="24"/>
          <w:szCs w:val="24"/>
        </w:rPr>
      </w:pPr>
    </w:p>
    <w:p w14:paraId="58CB5AEA" w14:textId="77777777" w:rsidR="00FA1A1F" w:rsidRPr="001B05BA" w:rsidRDefault="009D2939" w:rsidP="00FA1A1F">
      <w:pPr>
        <w:pStyle w:val="ListParagraph"/>
        <w:numPr>
          <w:ilvl w:val="0"/>
          <w:numId w:val="3"/>
        </w:numPr>
        <w:tabs>
          <w:tab w:val="left" w:pos="4917"/>
        </w:tabs>
        <w:spacing w:before="120" w:after="120" w:line="360" w:lineRule="auto"/>
        <w:jc w:val="both"/>
        <w:rPr>
          <w:rFonts w:ascii="Arial" w:hAnsi="Arial" w:cs="Arial"/>
          <w:b/>
          <w:sz w:val="24"/>
          <w:szCs w:val="24"/>
        </w:rPr>
      </w:pPr>
      <w:r w:rsidRPr="001B05BA">
        <w:rPr>
          <w:rFonts w:ascii="Arial" w:hAnsi="Arial" w:cs="Arial"/>
          <w:b/>
          <w:sz w:val="24"/>
          <w:szCs w:val="24"/>
        </w:rPr>
        <w:t xml:space="preserve">The </w:t>
      </w:r>
      <w:r w:rsidR="00736014" w:rsidRPr="001B05BA">
        <w:rPr>
          <w:rFonts w:ascii="Arial" w:hAnsi="Arial" w:cs="Arial"/>
          <w:b/>
          <w:sz w:val="24"/>
          <w:szCs w:val="24"/>
        </w:rPr>
        <w:t xml:space="preserve">order granted by the court </w:t>
      </w:r>
      <w:r w:rsidR="00736014" w:rsidRPr="001B05BA">
        <w:rPr>
          <w:rFonts w:ascii="Arial" w:hAnsi="Arial" w:cs="Arial"/>
          <w:b/>
          <w:i/>
          <w:iCs/>
          <w:sz w:val="24"/>
          <w:szCs w:val="24"/>
        </w:rPr>
        <w:t>a quo</w:t>
      </w:r>
      <w:r w:rsidR="00736014" w:rsidRPr="001B05BA">
        <w:rPr>
          <w:rFonts w:ascii="Arial" w:hAnsi="Arial" w:cs="Arial"/>
          <w:b/>
          <w:sz w:val="24"/>
          <w:szCs w:val="24"/>
        </w:rPr>
        <w:t xml:space="preserve"> on </w:t>
      </w:r>
      <w:r w:rsidR="006E4F5F" w:rsidRPr="001B05BA">
        <w:rPr>
          <w:rFonts w:ascii="Arial" w:hAnsi="Arial" w:cs="Arial"/>
          <w:b/>
          <w:sz w:val="24"/>
          <w:szCs w:val="24"/>
        </w:rPr>
        <w:t>1</w:t>
      </w:r>
      <w:r w:rsidR="007474D2" w:rsidRPr="001B05BA">
        <w:rPr>
          <w:rFonts w:ascii="Arial" w:hAnsi="Arial" w:cs="Arial"/>
          <w:b/>
          <w:sz w:val="24"/>
          <w:szCs w:val="24"/>
        </w:rPr>
        <w:t>7</w:t>
      </w:r>
      <w:r w:rsidR="006E4F5F" w:rsidRPr="001B05BA">
        <w:rPr>
          <w:rFonts w:ascii="Arial" w:hAnsi="Arial" w:cs="Arial"/>
          <w:b/>
          <w:sz w:val="24"/>
          <w:szCs w:val="24"/>
        </w:rPr>
        <w:t xml:space="preserve"> March 2021</w:t>
      </w:r>
      <w:r w:rsidR="00D222C8" w:rsidRPr="001B05BA">
        <w:rPr>
          <w:rFonts w:ascii="Arial" w:hAnsi="Arial" w:cs="Arial"/>
          <w:b/>
          <w:sz w:val="24"/>
          <w:szCs w:val="24"/>
        </w:rPr>
        <w:t xml:space="preserve"> is set aside and replaced by the following order:</w:t>
      </w:r>
    </w:p>
    <w:p w14:paraId="6D7EC052" w14:textId="77777777" w:rsidR="00147AF6" w:rsidRPr="001B05BA" w:rsidRDefault="00147AF6" w:rsidP="00147AF6">
      <w:pPr>
        <w:pStyle w:val="ListParagraph"/>
        <w:rPr>
          <w:rFonts w:ascii="Arial" w:hAnsi="Arial" w:cs="Arial"/>
          <w:b/>
          <w:sz w:val="24"/>
          <w:szCs w:val="24"/>
        </w:rPr>
      </w:pPr>
    </w:p>
    <w:p w14:paraId="4B8833A4" w14:textId="77777777" w:rsidR="00147AF6" w:rsidRPr="001B05BA" w:rsidRDefault="006C4BAF" w:rsidP="00147AF6">
      <w:pPr>
        <w:pStyle w:val="ListParagraph"/>
        <w:numPr>
          <w:ilvl w:val="1"/>
          <w:numId w:val="3"/>
        </w:numPr>
        <w:tabs>
          <w:tab w:val="left" w:pos="4917"/>
        </w:tabs>
        <w:spacing w:before="120" w:after="120" w:line="360" w:lineRule="auto"/>
        <w:jc w:val="both"/>
        <w:rPr>
          <w:rFonts w:ascii="Arial" w:hAnsi="Arial" w:cs="Arial"/>
          <w:b/>
          <w:sz w:val="24"/>
          <w:szCs w:val="24"/>
        </w:rPr>
      </w:pPr>
      <w:r w:rsidRPr="001B05BA">
        <w:rPr>
          <w:rFonts w:ascii="Arial" w:hAnsi="Arial" w:cs="Arial"/>
          <w:b/>
          <w:sz w:val="24"/>
          <w:szCs w:val="24"/>
        </w:rPr>
        <w:lastRenderedPageBreak/>
        <w:t xml:space="preserve"> </w:t>
      </w:r>
      <w:r w:rsidR="00D8424B" w:rsidRPr="001B05BA">
        <w:rPr>
          <w:rFonts w:ascii="Arial" w:hAnsi="Arial" w:cs="Arial"/>
          <w:b/>
          <w:sz w:val="24"/>
          <w:szCs w:val="24"/>
        </w:rPr>
        <w:t xml:space="preserve">‘The Commissioner’s tariff determination of 18 April 2016 that </w:t>
      </w:r>
      <w:r w:rsidR="00B63C89" w:rsidRPr="001B05BA">
        <w:rPr>
          <w:rFonts w:ascii="Arial" w:hAnsi="Arial" w:cs="Arial"/>
          <w:b/>
          <w:sz w:val="24"/>
          <w:szCs w:val="24"/>
        </w:rPr>
        <w:t xml:space="preserve">the Cape Velvet Cream Liqueur falls under Tariff Item 104.23.22 and TH 2208.70.22 </w:t>
      </w:r>
      <w:r w:rsidR="00B63C89" w:rsidRPr="001B05BA">
        <w:rPr>
          <w:rFonts w:ascii="Arial" w:hAnsi="Arial" w:cs="Arial"/>
          <w:b/>
          <w:i/>
          <w:iCs/>
          <w:sz w:val="24"/>
          <w:szCs w:val="24"/>
        </w:rPr>
        <w:t>viz “Other”</w:t>
      </w:r>
      <w:r w:rsidR="00B63C89" w:rsidRPr="001B05BA">
        <w:rPr>
          <w:rFonts w:ascii="Arial" w:hAnsi="Arial" w:cs="Arial"/>
          <w:b/>
          <w:sz w:val="24"/>
          <w:szCs w:val="24"/>
        </w:rPr>
        <w:t xml:space="preserve"> is set side</w:t>
      </w:r>
      <w:r w:rsidR="001F72C5" w:rsidRPr="001B05BA">
        <w:rPr>
          <w:rFonts w:ascii="Arial" w:hAnsi="Arial" w:cs="Arial"/>
          <w:b/>
          <w:sz w:val="24"/>
          <w:szCs w:val="24"/>
        </w:rPr>
        <w:t>. In substitution thereof</w:t>
      </w:r>
      <w:r w:rsidR="00D917BD" w:rsidRPr="001B05BA">
        <w:rPr>
          <w:rFonts w:ascii="Arial" w:hAnsi="Arial" w:cs="Arial"/>
          <w:b/>
          <w:sz w:val="24"/>
          <w:szCs w:val="24"/>
        </w:rPr>
        <w:t>,</w:t>
      </w:r>
      <w:r w:rsidR="001F72C5" w:rsidRPr="001B05BA">
        <w:rPr>
          <w:rFonts w:ascii="Arial" w:hAnsi="Arial" w:cs="Arial"/>
          <w:b/>
          <w:sz w:val="24"/>
          <w:szCs w:val="24"/>
        </w:rPr>
        <w:t xml:space="preserve"> the Cape Velvet Liqueur referred to in the Commissioner’s determination is determined to fall under Tariff Item 104.23.21 a</w:t>
      </w:r>
      <w:r w:rsidR="00201EFA" w:rsidRPr="001B05BA">
        <w:rPr>
          <w:rFonts w:ascii="Arial" w:hAnsi="Arial" w:cs="Arial"/>
          <w:b/>
          <w:sz w:val="24"/>
          <w:szCs w:val="24"/>
        </w:rPr>
        <w:t>n</w:t>
      </w:r>
      <w:r w:rsidR="001F72C5" w:rsidRPr="001B05BA">
        <w:rPr>
          <w:rFonts w:ascii="Arial" w:hAnsi="Arial" w:cs="Arial"/>
          <w:b/>
          <w:sz w:val="24"/>
          <w:szCs w:val="24"/>
        </w:rPr>
        <w:t>d TH 2208.70.21,</w:t>
      </w:r>
      <w:r w:rsidR="001F72C5" w:rsidRPr="001B05BA">
        <w:rPr>
          <w:rFonts w:ascii="Arial" w:hAnsi="Arial" w:cs="Arial"/>
          <w:b/>
          <w:i/>
          <w:iCs/>
          <w:sz w:val="24"/>
          <w:szCs w:val="24"/>
        </w:rPr>
        <w:t xml:space="preserve"> viz</w:t>
      </w:r>
      <w:r w:rsidR="00201EFA" w:rsidRPr="001B05BA">
        <w:rPr>
          <w:rFonts w:ascii="Arial" w:hAnsi="Arial" w:cs="Arial"/>
          <w:b/>
          <w:i/>
          <w:iCs/>
          <w:sz w:val="24"/>
          <w:szCs w:val="24"/>
        </w:rPr>
        <w:t xml:space="preserve"> “With an alcoholic strength by volume exceeding 15 percent by vol. but not exceeding 23 percent by vol.</w:t>
      </w:r>
      <w:r w:rsidR="006814BA" w:rsidRPr="001B05BA">
        <w:rPr>
          <w:rFonts w:ascii="Arial" w:hAnsi="Arial" w:cs="Arial"/>
          <w:b/>
          <w:i/>
          <w:iCs/>
          <w:sz w:val="24"/>
          <w:szCs w:val="24"/>
        </w:rPr>
        <w:t>”</w:t>
      </w:r>
    </w:p>
    <w:p w14:paraId="71577D90" w14:textId="77777777" w:rsidR="00147AF6" w:rsidRPr="001B05BA" w:rsidRDefault="00147AF6" w:rsidP="00147AF6">
      <w:pPr>
        <w:pStyle w:val="ListParagraph"/>
        <w:tabs>
          <w:tab w:val="left" w:pos="4917"/>
        </w:tabs>
        <w:spacing w:before="120" w:after="120" w:line="360" w:lineRule="auto"/>
        <w:ind w:left="792"/>
        <w:jc w:val="both"/>
        <w:rPr>
          <w:rFonts w:ascii="Arial" w:hAnsi="Arial" w:cs="Arial"/>
          <w:b/>
          <w:sz w:val="24"/>
          <w:szCs w:val="24"/>
        </w:rPr>
      </w:pPr>
    </w:p>
    <w:p w14:paraId="67757AC9" w14:textId="77777777" w:rsidR="004A2344" w:rsidRPr="001B05BA" w:rsidRDefault="00341763" w:rsidP="004A2344">
      <w:pPr>
        <w:pStyle w:val="ListParagraph"/>
        <w:numPr>
          <w:ilvl w:val="1"/>
          <w:numId w:val="3"/>
        </w:numPr>
        <w:tabs>
          <w:tab w:val="left" w:pos="4917"/>
        </w:tabs>
        <w:spacing w:before="120" w:after="120" w:line="360" w:lineRule="auto"/>
        <w:jc w:val="both"/>
        <w:rPr>
          <w:rFonts w:ascii="Arial" w:hAnsi="Arial" w:cs="Arial"/>
          <w:b/>
          <w:sz w:val="24"/>
          <w:szCs w:val="24"/>
        </w:rPr>
      </w:pPr>
      <w:r w:rsidRPr="001B05BA">
        <w:rPr>
          <w:rFonts w:ascii="Arial" w:hAnsi="Arial" w:cs="Arial"/>
          <w:b/>
          <w:sz w:val="24"/>
          <w:szCs w:val="24"/>
        </w:rPr>
        <w:t>The</w:t>
      </w:r>
      <w:r w:rsidR="00A923E5" w:rsidRPr="001B05BA">
        <w:rPr>
          <w:rFonts w:ascii="Arial" w:hAnsi="Arial" w:cs="Arial"/>
          <w:b/>
          <w:sz w:val="24"/>
          <w:szCs w:val="24"/>
        </w:rPr>
        <w:t xml:space="preserve"> Cape Velvet Cream Liqueur</w:t>
      </w:r>
      <w:r w:rsidR="00363288" w:rsidRPr="001B05BA">
        <w:rPr>
          <w:rFonts w:ascii="Arial" w:hAnsi="Arial" w:cs="Arial"/>
          <w:b/>
          <w:sz w:val="24"/>
          <w:szCs w:val="24"/>
        </w:rPr>
        <w:t>, which is the subject matter of this appeal, falls within the meaning of Additional Note 4(b) to Chapter 22 of Schedule 1 of the Customs and Excise Act, 1964.</w:t>
      </w:r>
    </w:p>
    <w:p w14:paraId="20F45D71" w14:textId="77777777" w:rsidR="004A2344" w:rsidRPr="001B05BA" w:rsidRDefault="004A2344" w:rsidP="004A2344">
      <w:pPr>
        <w:pStyle w:val="ListParagraph"/>
        <w:rPr>
          <w:rFonts w:ascii="Arial" w:hAnsi="Arial" w:cs="Arial"/>
          <w:b/>
          <w:sz w:val="24"/>
          <w:szCs w:val="24"/>
        </w:rPr>
      </w:pPr>
    </w:p>
    <w:p w14:paraId="4B028F02" w14:textId="006E7185" w:rsidR="00363288" w:rsidRPr="001B05BA" w:rsidRDefault="003454DD" w:rsidP="004A2344">
      <w:pPr>
        <w:pStyle w:val="ListParagraph"/>
        <w:numPr>
          <w:ilvl w:val="1"/>
          <w:numId w:val="3"/>
        </w:numPr>
        <w:tabs>
          <w:tab w:val="left" w:pos="4917"/>
        </w:tabs>
        <w:spacing w:before="120" w:after="120" w:line="360" w:lineRule="auto"/>
        <w:jc w:val="both"/>
        <w:rPr>
          <w:rFonts w:ascii="Arial" w:hAnsi="Arial" w:cs="Arial"/>
          <w:b/>
          <w:sz w:val="24"/>
          <w:szCs w:val="24"/>
        </w:rPr>
      </w:pPr>
      <w:r w:rsidRPr="001B05BA">
        <w:rPr>
          <w:rFonts w:ascii="Arial" w:hAnsi="Arial" w:cs="Arial"/>
          <w:b/>
          <w:sz w:val="24"/>
          <w:szCs w:val="24"/>
        </w:rPr>
        <w:t xml:space="preserve">Respondent is ordered to pay the costs of the application, inclusive of the costs of </w:t>
      </w:r>
      <w:r w:rsidR="004441B2" w:rsidRPr="001B05BA">
        <w:rPr>
          <w:rFonts w:ascii="Arial" w:hAnsi="Arial" w:cs="Arial"/>
          <w:b/>
          <w:sz w:val="24"/>
          <w:szCs w:val="24"/>
        </w:rPr>
        <w:t>two</w:t>
      </w:r>
      <w:r w:rsidRPr="001B05BA">
        <w:rPr>
          <w:rFonts w:ascii="Arial" w:hAnsi="Arial" w:cs="Arial"/>
          <w:b/>
          <w:sz w:val="24"/>
          <w:szCs w:val="24"/>
        </w:rPr>
        <w:t xml:space="preserve"> counsel</w:t>
      </w:r>
      <w:r w:rsidR="002F0237" w:rsidRPr="001B05BA">
        <w:rPr>
          <w:rFonts w:ascii="Arial" w:hAnsi="Arial" w:cs="Arial"/>
          <w:b/>
          <w:sz w:val="24"/>
          <w:szCs w:val="24"/>
        </w:rPr>
        <w:t>, where</w:t>
      </w:r>
      <w:r w:rsidR="004D4683" w:rsidRPr="001B05BA">
        <w:rPr>
          <w:rFonts w:ascii="Arial" w:hAnsi="Arial" w:cs="Arial"/>
          <w:b/>
          <w:sz w:val="24"/>
          <w:szCs w:val="24"/>
        </w:rPr>
        <w:t xml:space="preserve"> so</w:t>
      </w:r>
      <w:r w:rsidR="002F0237" w:rsidRPr="001B05BA">
        <w:rPr>
          <w:rFonts w:ascii="Arial" w:hAnsi="Arial" w:cs="Arial"/>
          <w:b/>
          <w:sz w:val="24"/>
          <w:szCs w:val="24"/>
        </w:rPr>
        <w:t xml:space="preserve"> </w:t>
      </w:r>
      <w:r w:rsidR="000867A3" w:rsidRPr="001B05BA">
        <w:rPr>
          <w:rFonts w:ascii="Arial" w:hAnsi="Arial" w:cs="Arial"/>
          <w:b/>
          <w:sz w:val="24"/>
          <w:szCs w:val="24"/>
        </w:rPr>
        <w:t>employed</w:t>
      </w:r>
      <w:r w:rsidRPr="001B05BA">
        <w:rPr>
          <w:rFonts w:ascii="Arial" w:hAnsi="Arial" w:cs="Arial"/>
          <w:b/>
          <w:sz w:val="24"/>
          <w:szCs w:val="24"/>
        </w:rPr>
        <w:t>.</w:t>
      </w:r>
    </w:p>
    <w:p w14:paraId="0B5216A6" w14:textId="77777777" w:rsidR="004A2344" w:rsidRPr="001B05BA" w:rsidRDefault="004A2344" w:rsidP="004A2344">
      <w:pPr>
        <w:pStyle w:val="ListParagraph"/>
        <w:rPr>
          <w:rFonts w:ascii="Arial" w:hAnsi="Arial" w:cs="Arial"/>
          <w:b/>
          <w:sz w:val="24"/>
          <w:szCs w:val="24"/>
        </w:rPr>
      </w:pPr>
    </w:p>
    <w:p w14:paraId="5243BA62" w14:textId="1EAB7B50" w:rsidR="004A2344" w:rsidRPr="001B05BA" w:rsidRDefault="004441B2" w:rsidP="004A2344">
      <w:pPr>
        <w:pStyle w:val="ListParagraph"/>
        <w:numPr>
          <w:ilvl w:val="0"/>
          <w:numId w:val="3"/>
        </w:numPr>
        <w:tabs>
          <w:tab w:val="left" w:pos="4917"/>
        </w:tabs>
        <w:spacing w:before="120" w:after="120" w:line="360" w:lineRule="auto"/>
        <w:jc w:val="both"/>
        <w:rPr>
          <w:rFonts w:ascii="Arial" w:hAnsi="Arial" w:cs="Arial"/>
          <w:b/>
          <w:sz w:val="24"/>
          <w:szCs w:val="24"/>
        </w:rPr>
      </w:pPr>
      <w:r w:rsidRPr="001B05BA">
        <w:rPr>
          <w:rFonts w:ascii="Arial" w:hAnsi="Arial" w:cs="Arial"/>
          <w:b/>
          <w:sz w:val="24"/>
          <w:szCs w:val="24"/>
        </w:rPr>
        <w:t>Respondent is ordered to pay the costs of the appeal</w:t>
      </w:r>
      <w:r w:rsidR="002F0237" w:rsidRPr="001B05BA">
        <w:rPr>
          <w:rFonts w:ascii="Arial" w:hAnsi="Arial" w:cs="Arial"/>
          <w:b/>
          <w:sz w:val="24"/>
          <w:szCs w:val="24"/>
        </w:rPr>
        <w:t xml:space="preserve"> which is to include the costs of two counsel.</w:t>
      </w:r>
    </w:p>
    <w:p w14:paraId="750FB482" w14:textId="0D52FF1A" w:rsidR="00BA1728" w:rsidRPr="001B05BA" w:rsidRDefault="00BA1728" w:rsidP="00D917BD">
      <w:pPr>
        <w:pStyle w:val="ListParagraph"/>
        <w:tabs>
          <w:tab w:val="left" w:pos="4917"/>
        </w:tabs>
        <w:spacing w:before="120" w:after="120" w:line="360" w:lineRule="auto"/>
        <w:ind w:left="360"/>
        <w:jc w:val="both"/>
        <w:rPr>
          <w:rFonts w:ascii="Arial" w:hAnsi="Arial" w:cs="Arial"/>
          <w:b/>
          <w:sz w:val="24"/>
          <w:szCs w:val="24"/>
        </w:rPr>
      </w:pPr>
    </w:p>
    <w:p w14:paraId="01C587FF" w14:textId="77777777" w:rsidR="009A3DD5" w:rsidRPr="001B05BA" w:rsidRDefault="009A3DD5" w:rsidP="009A3DD5">
      <w:pPr>
        <w:pStyle w:val="ListParagraph"/>
        <w:tabs>
          <w:tab w:val="left" w:pos="4917"/>
        </w:tabs>
        <w:spacing w:before="120" w:after="120" w:line="360" w:lineRule="auto"/>
        <w:ind w:left="360"/>
        <w:jc w:val="both"/>
        <w:rPr>
          <w:rFonts w:ascii="Arial" w:hAnsi="Arial" w:cs="Arial"/>
          <w:b/>
          <w:sz w:val="24"/>
          <w:szCs w:val="24"/>
        </w:rPr>
      </w:pPr>
    </w:p>
    <w:p w14:paraId="70421D4E" w14:textId="6B002045" w:rsidR="004F3075" w:rsidRPr="001B05BA" w:rsidRDefault="004F3075" w:rsidP="002F1742">
      <w:pPr>
        <w:pStyle w:val="ListParagraph"/>
        <w:tabs>
          <w:tab w:val="left" w:pos="4917"/>
        </w:tabs>
        <w:spacing w:before="120" w:after="120" w:line="240" w:lineRule="auto"/>
        <w:ind w:left="907"/>
        <w:jc w:val="right"/>
        <w:rPr>
          <w:rFonts w:ascii="Arial" w:hAnsi="Arial" w:cs="Arial"/>
          <w:sz w:val="24"/>
          <w:szCs w:val="24"/>
        </w:rPr>
      </w:pPr>
      <w:r w:rsidRPr="001B05BA">
        <w:rPr>
          <w:rFonts w:ascii="Arial" w:hAnsi="Arial" w:cs="Arial"/>
          <w:sz w:val="24"/>
          <w:szCs w:val="24"/>
        </w:rPr>
        <w:t>____________________________</w:t>
      </w:r>
    </w:p>
    <w:p w14:paraId="316A0066" w14:textId="6770DFAF" w:rsidR="009C6441" w:rsidRPr="001B05BA" w:rsidRDefault="009C6441" w:rsidP="002F1742">
      <w:pPr>
        <w:pStyle w:val="ListParagraph"/>
        <w:tabs>
          <w:tab w:val="left" w:pos="4917"/>
        </w:tabs>
        <w:spacing w:before="120" w:after="120" w:line="240" w:lineRule="auto"/>
        <w:ind w:left="907"/>
        <w:jc w:val="right"/>
        <w:rPr>
          <w:rFonts w:ascii="Arial" w:hAnsi="Arial" w:cs="Arial"/>
          <w:sz w:val="24"/>
          <w:szCs w:val="24"/>
        </w:rPr>
      </w:pPr>
      <w:r w:rsidRPr="001B05BA">
        <w:rPr>
          <w:rFonts w:ascii="Arial" w:hAnsi="Arial" w:cs="Arial"/>
          <w:sz w:val="24"/>
          <w:szCs w:val="24"/>
        </w:rPr>
        <w:t>E van der Schyff</w:t>
      </w:r>
    </w:p>
    <w:p w14:paraId="6661EF95" w14:textId="5606AFFD" w:rsidR="009C6441" w:rsidRPr="001B05BA" w:rsidRDefault="009C6441" w:rsidP="002F1742">
      <w:pPr>
        <w:tabs>
          <w:tab w:val="left" w:pos="4917"/>
        </w:tabs>
        <w:spacing w:before="120" w:after="120" w:line="240" w:lineRule="auto"/>
        <w:ind w:left="357"/>
        <w:jc w:val="right"/>
        <w:rPr>
          <w:rFonts w:ascii="Arial" w:hAnsi="Arial" w:cs="Arial"/>
          <w:sz w:val="24"/>
          <w:szCs w:val="24"/>
        </w:rPr>
      </w:pPr>
      <w:r w:rsidRPr="001B05BA">
        <w:rPr>
          <w:rFonts w:ascii="Arial" w:hAnsi="Arial" w:cs="Arial"/>
          <w:sz w:val="24"/>
          <w:szCs w:val="24"/>
        </w:rPr>
        <w:t>Judge of t</w:t>
      </w:r>
      <w:r w:rsidR="00B7783F" w:rsidRPr="001B05BA">
        <w:rPr>
          <w:rFonts w:ascii="Arial" w:hAnsi="Arial" w:cs="Arial"/>
          <w:sz w:val="24"/>
          <w:szCs w:val="24"/>
        </w:rPr>
        <w:t>he High Court</w:t>
      </w:r>
    </w:p>
    <w:p w14:paraId="0F5DA52E" w14:textId="77777777" w:rsidR="00397EB4" w:rsidRPr="001B05BA" w:rsidRDefault="00397EB4" w:rsidP="00087773">
      <w:pPr>
        <w:tabs>
          <w:tab w:val="left" w:pos="4917"/>
        </w:tabs>
        <w:spacing w:before="120" w:after="120" w:line="240" w:lineRule="auto"/>
        <w:ind w:left="357"/>
        <w:jc w:val="right"/>
        <w:rPr>
          <w:rFonts w:ascii="Arial" w:hAnsi="Arial" w:cs="Arial"/>
          <w:sz w:val="24"/>
          <w:szCs w:val="24"/>
        </w:rPr>
      </w:pPr>
    </w:p>
    <w:p w14:paraId="494A3A66" w14:textId="79E8A54A" w:rsidR="00087773" w:rsidRPr="001B05BA" w:rsidRDefault="00397EB4" w:rsidP="00397EB4">
      <w:pPr>
        <w:tabs>
          <w:tab w:val="left" w:pos="4917"/>
        </w:tabs>
        <w:spacing w:before="120" w:after="120" w:line="240" w:lineRule="auto"/>
        <w:ind w:left="357"/>
        <w:rPr>
          <w:rFonts w:ascii="Arial" w:hAnsi="Arial" w:cs="Arial"/>
          <w:sz w:val="24"/>
          <w:szCs w:val="24"/>
        </w:rPr>
      </w:pPr>
      <w:r w:rsidRPr="001B05BA">
        <w:rPr>
          <w:rFonts w:ascii="Arial" w:hAnsi="Arial" w:cs="Arial"/>
          <w:sz w:val="24"/>
          <w:szCs w:val="24"/>
        </w:rPr>
        <w:t>I agree</w:t>
      </w:r>
      <w:r w:rsidR="00835AD1" w:rsidRPr="001B05BA">
        <w:rPr>
          <w:rFonts w:ascii="Arial" w:hAnsi="Arial" w:cs="Arial"/>
          <w:sz w:val="24"/>
          <w:szCs w:val="24"/>
        </w:rPr>
        <w:t>.</w:t>
      </w:r>
    </w:p>
    <w:p w14:paraId="5435869A" w14:textId="77777777" w:rsidR="00087773" w:rsidRPr="001B05BA" w:rsidRDefault="00087773" w:rsidP="00087773">
      <w:pPr>
        <w:pStyle w:val="ListParagraph"/>
        <w:tabs>
          <w:tab w:val="left" w:pos="4917"/>
        </w:tabs>
        <w:spacing w:before="120" w:after="120" w:line="240" w:lineRule="auto"/>
        <w:ind w:left="907"/>
        <w:jc w:val="right"/>
        <w:rPr>
          <w:rFonts w:ascii="Arial" w:hAnsi="Arial" w:cs="Arial"/>
          <w:sz w:val="24"/>
          <w:szCs w:val="24"/>
        </w:rPr>
      </w:pPr>
      <w:r w:rsidRPr="001B05BA">
        <w:rPr>
          <w:rFonts w:ascii="Arial" w:hAnsi="Arial" w:cs="Arial"/>
          <w:sz w:val="24"/>
          <w:szCs w:val="24"/>
        </w:rPr>
        <w:t>____________________________</w:t>
      </w:r>
    </w:p>
    <w:p w14:paraId="2479B4D0" w14:textId="12625859" w:rsidR="00087773" w:rsidRPr="001B05BA" w:rsidRDefault="00397EB4" w:rsidP="00087773">
      <w:pPr>
        <w:pStyle w:val="ListParagraph"/>
        <w:tabs>
          <w:tab w:val="left" w:pos="4917"/>
        </w:tabs>
        <w:spacing w:before="120" w:after="120" w:line="240" w:lineRule="auto"/>
        <w:ind w:left="907"/>
        <w:jc w:val="right"/>
        <w:rPr>
          <w:rFonts w:ascii="Arial" w:hAnsi="Arial" w:cs="Arial"/>
          <w:sz w:val="24"/>
          <w:szCs w:val="24"/>
        </w:rPr>
      </w:pPr>
      <w:r w:rsidRPr="001B05BA">
        <w:rPr>
          <w:rFonts w:ascii="Arial" w:hAnsi="Arial" w:cs="Arial"/>
          <w:sz w:val="24"/>
          <w:szCs w:val="24"/>
        </w:rPr>
        <w:t>M Munzhele</w:t>
      </w:r>
      <w:r w:rsidR="002530E3" w:rsidRPr="001B05BA">
        <w:rPr>
          <w:rFonts w:ascii="Arial" w:hAnsi="Arial" w:cs="Arial"/>
          <w:sz w:val="24"/>
          <w:szCs w:val="24"/>
        </w:rPr>
        <w:t>le</w:t>
      </w:r>
    </w:p>
    <w:p w14:paraId="6C1A547F" w14:textId="77777777" w:rsidR="00087773" w:rsidRPr="001B05BA" w:rsidRDefault="00087773" w:rsidP="00087773">
      <w:pPr>
        <w:tabs>
          <w:tab w:val="left" w:pos="4917"/>
        </w:tabs>
        <w:spacing w:before="120" w:after="120" w:line="240" w:lineRule="auto"/>
        <w:ind w:left="357"/>
        <w:jc w:val="right"/>
        <w:rPr>
          <w:rFonts w:ascii="Arial" w:hAnsi="Arial" w:cs="Arial"/>
          <w:sz w:val="24"/>
          <w:szCs w:val="24"/>
        </w:rPr>
      </w:pPr>
      <w:r w:rsidRPr="001B05BA">
        <w:rPr>
          <w:rFonts w:ascii="Arial" w:hAnsi="Arial" w:cs="Arial"/>
          <w:sz w:val="24"/>
          <w:szCs w:val="24"/>
        </w:rPr>
        <w:t>Judge of the High Court</w:t>
      </w:r>
    </w:p>
    <w:p w14:paraId="21E7C839" w14:textId="77777777" w:rsidR="002571C8" w:rsidRPr="001B05BA" w:rsidRDefault="002571C8" w:rsidP="00087773">
      <w:pPr>
        <w:tabs>
          <w:tab w:val="left" w:pos="4917"/>
        </w:tabs>
        <w:spacing w:before="120" w:after="120" w:line="240" w:lineRule="auto"/>
        <w:ind w:left="357"/>
        <w:jc w:val="right"/>
        <w:rPr>
          <w:rFonts w:ascii="Arial" w:hAnsi="Arial" w:cs="Arial"/>
          <w:sz w:val="24"/>
          <w:szCs w:val="24"/>
        </w:rPr>
      </w:pPr>
    </w:p>
    <w:p w14:paraId="3790F42C" w14:textId="77777777" w:rsidR="002571C8" w:rsidRPr="001B05BA" w:rsidRDefault="002571C8" w:rsidP="002571C8">
      <w:pPr>
        <w:tabs>
          <w:tab w:val="left" w:pos="4917"/>
        </w:tabs>
        <w:spacing w:before="120" w:after="120" w:line="240" w:lineRule="auto"/>
        <w:ind w:left="357"/>
        <w:jc w:val="right"/>
        <w:rPr>
          <w:rFonts w:ascii="Arial" w:hAnsi="Arial" w:cs="Arial"/>
          <w:sz w:val="24"/>
          <w:szCs w:val="24"/>
        </w:rPr>
      </w:pPr>
    </w:p>
    <w:p w14:paraId="4EF4015F" w14:textId="77777777" w:rsidR="002571C8" w:rsidRPr="001B05BA" w:rsidRDefault="002571C8" w:rsidP="002571C8">
      <w:pPr>
        <w:tabs>
          <w:tab w:val="left" w:pos="4917"/>
        </w:tabs>
        <w:spacing w:before="120" w:after="120" w:line="240" w:lineRule="auto"/>
        <w:ind w:left="357"/>
        <w:rPr>
          <w:rFonts w:ascii="Arial" w:hAnsi="Arial" w:cs="Arial"/>
          <w:sz w:val="24"/>
          <w:szCs w:val="24"/>
        </w:rPr>
      </w:pPr>
      <w:r w:rsidRPr="001B05BA">
        <w:rPr>
          <w:rFonts w:ascii="Arial" w:hAnsi="Arial" w:cs="Arial"/>
          <w:sz w:val="24"/>
          <w:szCs w:val="24"/>
        </w:rPr>
        <w:t>I agree.</w:t>
      </w:r>
    </w:p>
    <w:p w14:paraId="01E56BA3" w14:textId="77777777" w:rsidR="002571C8" w:rsidRPr="001B05BA" w:rsidRDefault="002571C8" w:rsidP="002571C8">
      <w:pPr>
        <w:pStyle w:val="ListParagraph"/>
        <w:tabs>
          <w:tab w:val="left" w:pos="4917"/>
        </w:tabs>
        <w:spacing w:before="120" w:after="120" w:line="240" w:lineRule="auto"/>
        <w:ind w:left="907"/>
        <w:jc w:val="right"/>
        <w:rPr>
          <w:rFonts w:ascii="Arial" w:hAnsi="Arial" w:cs="Arial"/>
          <w:sz w:val="24"/>
          <w:szCs w:val="24"/>
        </w:rPr>
      </w:pPr>
      <w:r w:rsidRPr="001B05BA">
        <w:rPr>
          <w:rFonts w:ascii="Arial" w:hAnsi="Arial" w:cs="Arial"/>
          <w:sz w:val="24"/>
          <w:szCs w:val="24"/>
        </w:rPr>
        <w:t>____________________________</w:t>
      </w:r>
    </w:p>
    <w:p w14:paraId="595F02B0" w14:textId="77777777" w:rsidR="002571C8" w:rsidRPr="001B05BA" w:rsidRDefault="002571C8" w:rsidP="002571C8">
      <w:pPr>
        <w:pStyle w:val="ListParagraph"/>
        <w:tabs>
          <w:tab w:val="left" w:pos="4917"/>
        </w:tabs>
        <w:spacing w:before="120" w:after="120" w:line="240" w:lineRule="auto"/>
        <w:ind w:left="907"/>
        <w:jc w:val="right"/>
        <w:rPr>
          <w:rFonts w:ascii="Arial" w:hAnsi="Arial" w:cs="Arial"/>
          <w:sz w:val="24"/>
          <w:szCs w:val="24"/>
        </w:rPr>
      </w:pPr>
      <w:r w:rsidRPr="001B05BA">
        <w:rPr>
          <w:rFonts w:ascii="Arial" w:hAnsi="Arial" w:cs="Arial"/>
          <w:sz w:val="24"/>
          <w:szCs w:val="24"/>
        </w:rPr>
        <w:t>A Millar</w:t>
      </w:r>
    </w:p>
    <w:p w14:paraId="2CF6F5CE" w14:textId="77777777" w:rsidR="002571C8" w:rsidRPr="001B05BA" w:rsidRDefault="002571C8" w:rsidP="002571C8">
      <w:pPr>
        <w:tabs>
          <w:tab w:val="left" w:pos="4917"/>
        </w:tabs>
        <w:spacing w:before="120" w:after="120" w:line="240" w:lineRule="auto"/>
        <w:ind w:left="357"/>
        <w:jc w:val="right"/>
        <w:rPr>
          <w:rFonts w:ascii="Arial" w:hAnsi="Arial" w:cs="Arial"/>
          <w:sz w:val="24"/>
          <w:szCs w:val="24"/>
        </w:rPr>
      </w:pPr>
      <w:r w:rsidRPr="001B05BA">
        <w:rPr>
          <w:rFonts w:ascii="Arial" w:hAnsi="Arial" w:cs="Arial"/>
          <w:sz w:val="24"/>
          <w:szCs w:val="24"/>
        </w:rPr>
        <w:t>Judge of the High Court</w:t>
      </w:r>
    </w:p>
    <w:p w14:paraId="01FF3B42" w14:textId="77777777" w:rsidR="002571C8" w:rsidRPr="001B05BA" w:rsidRDefault="002571C8" w:rsidP="00087773">
      <w:pPr>
        <w:tabs>
          <w:tab w:val="left" w:pos="4917"/>
        </w:tabs>
        <w:spacing w:before="120" w:after="120" w:line="240" w:lineRule="auto"/>
        <w:ind w:left="357"/>
        <w:jc w:val="right"/>
        <w:rPr>
          <w:rFonts w:ascii="Arial" w:hAnsi="Arial" w:cs="Arial"/>
          <w:sz w:val="24"/>
          <w:szCs w:val="24"/>
        </w:rPr>
      </w:pPr>
    </w:p>
    <w:p w14:paraId="33317977" w14:textId="2D8177A8" w:rsidR="002B0D1E" w:rsidRPr="001B05BA" w:rsidRDefault="002B0D1E" w:rsidP="002B0D1E">
      <w:pPr>
        <w:tabs>
          <w:tab w:val="left" w:pos="4917"/>
        </w:tabs>
        <w:spacing w:after="0" w:line="360" w:lineRule="auto"/>
        <w:ind w:left="357"/>
        <w:jc w:val="both"/>
        <w:rPr>
          <w:rFonts w:ascii="Arial" w:hAnsi="Arial" w:cs="Arial"/>
          <w:sz w:val="24"/>
          <w:szCs w:val="24"/>
        </w:rPr>
      </w:pPr>
      <w:r w:rsidRPr="001B05BA">
        <w:rPr>
          <w:rFonts w:ascii="Arial" w:eastAsia="Arial Unicode MS" w:hAnsi="Arial" w:cs="Arial"/>
          <w:bCs/>
        </w:rPr>
        <w:lastRenderedPageBreak/>
        <w:t xml:space="preserve">Delivered:  This </w:t>
      </w:r>
      <w:r w:rsidR="006235D3" w:rsidRPr="001B05BA">
        <w:rPr>
          <w:rFonts w:ascii="Arial" w:eastAsia="Arial Unicode MS" w:hAnsi="Arial" w:cs="Arial"/>
          <w:bCs/>
        </w:rPr>
        <w:t>judgment</w:t>
      </w:r>
      <w:r w:rsidRPr="001B05BA">
        <w:rPr>
          <w:rFonts w:ascii="Arial" w:eastAsia="Arial Unicode MS" w:hAnsi="Arial" w:cs="Arial"/>
          <w:bCs/>
        </w:rPr>
        <w:t xml:space="preserve"> is handed down electronically by uploading it to the electronic file of this matter on CaseLines. </w:t>
      </w:r>
      <w:r w:rsidR="00C97578" w:rsidRPr="001B05BA">
        <w:rPr>
          <w:rFonts w:ascii="Arial" w:eastAsia="Arial Unicode MS" w:hAnsi="Arial" w:cs="Arial"/>
          <w:bCs/>
        </w:rPr>
        <w:t>As a cou</w:t>
      </w:r>
      <w:r w:rsidR="00BD696A" w:rsidRPr="001B05BA">
        <w:rPr>
          <w:rFonts w:ascii="Arial" w:eastAsia="Arial Unicode MS" w:hAnsi="Arial" w:cs="Arial"/>
          <w:bCs/>
        </w:rPr>
        <w:t>rtesy gesture</w:t>
      </w:r>
      <w:r w:rsidR="00AF5BC0" w:rsidRPr="001B05BA">
        <w:rPr>
          <w:rFonts w:ascii="Arial" w:eastAsia="Arial Unicode MS" w:hAnsi="Arial" w:cs="Arial"/>
          <w:bCs/>
        </w:rPr>
        <w:t>,</w:t>
      </w:r>
      <w:r w:rsidR="00BD696A" w:rsidRPr="001B05BA">
        <w:rPr>
          <w:rFonts w:ascii="Arial" w:eastAsia="Arial Unicode MS" w:hAnsi="Arial" w:cs="Arial"/>
          <w:bCs/>
        </w:rPr>
        <w:t xml:space="preserve"> it will be sent</w:t>
      </w:r>
      <w:r w:rsidR="00290703" w:rsidRPr="001B05BA">
        <w:rPr>
          <w:rFonts w:ascii="Arial" w:eastAsia="Arial Unicode MS" w:hAnsi="Arial" w:cs="Arial"/>
          <w:bCs/>
        </w:rPr>
        <w:t xml:space="preserve"> to the p</w:t>
      </w:r>
      <w:r w:rsidR="00BD696A" w:rsidRPr="001B05BA">
        <w:rPr>
          <w:rFonts w:ascii="Arial" w:eastAsia="Arial Unicode MS" w:hAnsi="Arial" w:cs="Arial"/>
          <w:bCs/>
        </w:rPr>
        <w:t xml:space="preserve">arties/their legal representatives by email. </w:t>
      </w:r>
    </w:p>
    <w:p w14:paraId="13B2B5F7" w14:textId="77777777" w:rsidR="00A42BDA" w:rsidRPr="001B05BA" w:rsidRDefault="00A42BDA" w:rsidP="003649CD">
      <w:pPr>
        <w:tabs>
          <w:tab w:val="left" w:pos="4917"/>
        </w:tabs>
        <w:spacing w:after="0" w:line="360" w:lineRule="auto"/>
        <w:ind w:left="357"/>
        <w:rPr>
          <w:rFonts w:ascii="Arial" w:hAnsi="Arial" w:cs="Arial"/>
          <w:sz w:val="24"/>
          <w:szCs w:val="24"/>
        </w:rPr>
      </w:pPr>
    </w:p>
    <w:p w14:paraId="4FC9B82C" w14:textId="77777777" w:rsidR="00616095" w:rsidRPr="001B05BA" w:rsidRDefault="002C7989" w:rsidP="003649CD">
      <w:pPr>
        <w:tabs>
          <w:tab w:val="left" w:pos="4917"/>
        </w:tabs>
        <w:spacing w:after="0" w:line="360" w:lineRule="auto"/>
        <w:ind w:left="357"/>
        <w:rPr>
          <w:rFonts w:ascii="Arial" w:hAnsi="Arial" w:cs="Arial"/>
          <w:sz w:val="24"/>
          <w:szCs w:val="24"/>
        </w:rPr>
      </w:pPr>
      <w:r w:rsidRPr="001B05BA">
        <w:rPr>
          <w:rFonts w:ascii="Arial" w:hAnsi="Arial" w:cs="Arial"/>
          <w:sz w:val="24"/>
          <w:szCs w:val="24"/>
        </w:rPr>
        <w:t>F</w:t>
      </w:r>
      <w:r w:rsidR="00E66A18" w:rsidRPr="001B05BA">
        <w:rPr>
          <w:rFonts w:ascii="Arial" w:hAnsi="Arial" w:cs="Arial"/>
          <w:sz w:val="24"/>
          <w:szCs w:val="24"/>
        </w:rPr>
        <w:t>o</w:t>
      </w:r>
      <w:r w:rsidR="00377FDC" w:rsidRPr="001B05BA">
        <w:rPr>
          <w:rFonts w:ascii="Arial" w:hAnsi="Arial" w:cs="Arial"/>
          <w:sz w:val="24"/>
          <w:szCs w:val="24"/>
        </w:rPr>
        <w:t>r the applicant</w:t>
      </w:r>
      <w:r w:rsidR="004716A2" w:rsidRPr="001B05BA">
        <w:rPr>
          <w:rFonts w:ascii="Arial" w:hAnsi="Arial" w:cs="Arial"/>
          <w:sz w:val="24"/>
          <w:szCs w:val="24"/>
        </w:rPr>
        <w:t>:</w:t>
      </w:r>
      <w:r w:rsidR="00BA1728" w:rsidRPr="001B05BA">
        <w:rPr>
          <w:rFonts w:ascii="Arial" w:hAnsi="Arial" w:cs="Arial"/>
          <w:sz w:val="24"/>
          <w:szCs w:val="24"/>
        </w:rPr>
        <w:tab/>
      </w:r>
      <w:r w:rsidR="00616095" w:rsidRPr="001B05BA">
        <w:rPr>
          <w:rFonts w:ascii="Arial" w:hAnsi="Arial" w:cs="Arial"/>
          <w:sz w:val="24"/>
          <w:szCs w:val="24"/>
        </w:rPr>
        <w:t>Adv. A.P. Joubert SC</w:t>
      </w:r>
    </w:p>
    <w:p w14:paraId="32901E29" w14:textId="5B3855E0" w:rsidR="00BE029D" w:rsidRPr="001B05BA" w:rsidRDefault="00616095" w:rsidP="003649CD">
      <w:pPr>
        <w:tabs>
          <w:tab w:val="left" w:pos="4917"/>
        </w:tabs>
        <w:spacing w:after="0" w:line="360" w:lineRule="auto"/>
        <w:ind w:left="357"/>
        <w:rPr>
          <w:rFonts w:ascii="Arial" w:hAnsi="Arial" w:cs="Arial"/>
          <w:sz w:val="24"/>
          <w:szCs w:val="24"/>
        </w:rPr>
      </w:pPr>
      <w:r w:rsidRPr="001B05BA">
        <w:rPr>
          <w:rFonts w:ascii="Arial" w:hAnsi="Arial" w:cs="Arial"/>
          <w:sz w:val="24"/>
          <w:szCs w:val="24"/>
        </w:rPr>
        <w:t>With:</w:t>
      </w:r>
      <w:r w:rsidRPr="001B05BA">
        <w:rPr>
          <w:rFonts w:ascii="Arial" w:hAnsi="Arial" w:cs="Arial"/>
          <w:sz w:val="24"/>
          <w:szCs w:val="24"/>
        </w:rPr>
        <w:tab/>
        <w:t>Adv. D. Ginter</w:t>
      </w:r>
      <w:r w:rsidR="0022692F" w:rsidRPr="001B05BA">
        <w:rPr>
          <w:rFonts w:ascii="Arial" w:hAnsi="Arial" w:cs="Arial"/>
          <w:sz w:val="24"/>
          <w:szCs w:val="24"/>
        </w:rPr>
        <w:tab/>
      </w:r>
      <w:r w:rsidR="00377FDC" w:rsidRPr="001B05BA">
        <w:rPr>
          <w:rFonts w:ascii="Arial" w:hAnsi="Arial" w:cs="Arial"/>
          <w:sz w:val="24"/>
          <w:szCs w:val="24"/>
        </w:rPr>
        <w:tab/>
      </w:r>
      <w:r w:rsidR="00377FDC" w:rsidRPr="001B05BA">
        <w:rPr>
          <w:rFonts w:ascii="Arial" w:hAnsi="Arial" w:cs="Arial"/>
          <w:sz w:val="24"/>
          <w:szCs w:val="24"/>
        </w:rPr>
        <w:tab/>
      </w:r>
      <w:r w:rsidR="00E20004" w:rsidRPr="001B05BA">
        <w:rPr>
          <w:rFonts w:ascii="Arial" w:hAnsi="Arial" w:cs="Arial"/>
          <w:sz w:val="24"/>
          <w:szCs w:val="24"/>
        </w:rPr>
        <w:tab/>
      </w:r>
    </w:p>
    <w:p w14:paraId="554CB456" w14:textId="3A5BA83E" w:rsidR="00E20004" w:rsidRPr="001B05BA" w:rsidRDefault="00F9064E" w:rsidP="00BE500B">
      <w:pPr>
        <w:tabs>
          <w:tab w:val="left" w:pos="4917"/>
        </w:tabs>
        <w:spacing w:after="0" w:line="360" w:lineRule="auto"/>
        <w:ind w:left="4917" w:hanging="4557"/>
        <w:rPr>
          <w:rFonts w:ascii="Arial" w:hAnsi="Arial" w:cs="Arial"/>
          <w:sz w:val="24"/>
          <w:szCs w:val="24"/>
        </w:rPr>
      </w:pPr>
      <w:r w:rsidRPr="001B05BA">
        <w:rPr>
          <w:rFonts w:ascii="Arial" w:hAnsi="Arial" w:cs="Arial"/>
          <w:sz w:val="24"/>
          <w:szCs w:val="24"/>
        </w:rPr>
        <w:t>I</w:t>
      </w:r>
      <w:r w:rsidR="003649CD" w:rsidRPr="001B05BA">
        <w:rPr>
          <w:rFonts w:ascii="Arial" w:hAnsi="Arial" w:cs="Arial"/>
          <w:sz w:val="24"/>
          <w:szCs w:val="24"/>
        </w:rPr>
        <w:t xml:space="preserve">nstructed by: </w:t>
      </w:r>
      <w:r w:rsidR="00AF2837" w:rsidRPr="001B05BA">
        <w:rPr>
          <w:rFonts w:ascii="Arial" w:hAnsi="Arial" w:cs="Arial"/>
          <w:sz w:val="24"/>
          <w:szCs w:val="24"/>
        </w:rPr>
        <w:tab/>
      </w:r>
      <w:r w:rsidR="006146A6" w:rsidRPr="001B05BA">
        <w:rPr>
          <w:rFonts w:ascii="Arial" w:hAnsi="Arial" w:cs="Arial"/>
          <w:sz w:val="24"/>
          <w:szCs w:val="24"/>
        </w:rPr>
        <w:t>Webber Wentzel</w:t>
      </w:r>
      <w:r w:rsidR="00E20004" w:rsidRPr="001B05BA">
        <w:rPr>
          <w:rFonts w:ascii="Arial" w:hAnsi="Arial" w:cs="Arial"/>
          <w:sz w:val="24"/>
          <w:szCs w:val="24"/>
        </w:rPr>
        <w:tab/>
      </w:r>
    </w:p>
    <w:p w14:paraId="44D1AFCD" w14:textId="40B6A444" w:rsidR="00377FDC" w:rsidRPr="001B05BA" w:rsidRDefault="00B7783F" w:rsidP="00BE500B">
      <w:pPr>
        <w:tabs>
          <w:tab w:val="left" w:pos="4917"/>
        </w:tabs>
        <w:spacing w:after="0" w:line="360" w:lineRule="auto"/>
        <w:ind w:left="4917" w:hanging="4557"/>
        <w:rPr>
          <w:rFonts w:ascii="Arial" w:hAnsi="Arial" w:cs="Arial"/>
          <w:sz w:val="24"/>
          <w:szCs w:val="24"/>
        </w:rPr>
      </w:pPr>
      <w:r w:rsidRPr="001B05BA">
        <w:rPr>
          <w:rFonts w:ascii="Arial" w:hAnsi="Arial" w:cs="Arial"/>
          <w:sz w:val="24"/>
          <w:szCs w:val="24"/>
        </w:rPr>
        <w:t>F</w:t>
      </w:r>
      <w:r w:rsidR="00F9064E" w:rsidRPr="001B05BA">
        <w:rPr>
          <w:rFonts w:ascii="Arial" w:hAnsi="Arial" w:cs="Arial"/>
          <w:sz w:val="24"/>
          <w:szCs w:val="24"/>
        </w:rPr>
        <w:t>or</w:t>
      </w:r>
      <w:r w:rsidR="00BA1728" w:rsidRPr="001B05BA">
        <w:rPr>
          <w:rFonts w:ascii="Arial" w:hAnsi="Arial" w:cs="Arial"/>
          <w:sz w:val="24"/>
          <w:szCs w:val="24"/>
        </w:rPr>
        <w:t xml:space="preserve"> the</w:t>
      </w:r>
      <w:r w:rsidR="009A3DD5" w:rsidRPr="001B05BA">
        <w:rPr>
          <w:rFonts w:ascii="Arial" w:hAnsi="Arial" w:cs="Arial"/>
          <w:sz w:val="24"/>
          <w:szCs w:val="24"/>
        </w:rPr>
        <w:t xml:space="preserve"> </w:t>
      </w:r>
      <w:r w:rsidR="00377FDC" w:rsidRPr="001B05BA">
        <w:rPr>
          <w:rFonts w:ascii="Arial" w:hAnsi="Arial" w:cs="Arial"/>
          <w:sz w:val="24"/>
          <w:szCs w:val="24"/>
        </w:rPr>
        <w:t>respondent:</w:t>
      </w:r>
      <w:r w:rsidR="00BA1728" w:rsidRPr="001B05BA">
        <w:rPr>
          <w:rFonts w:ascii="Arial" w:hAnsi="Arial" w:cs="Arial"/>
          <w:sz w:val="24"/>
          <w:szCs w:val="24"/>
        </w:rPr>
        <w:tab/>
      </w:r>
      <w:r w:rsidR="005D0CC5" w:rsidRPr="001B05BA">
        <w:rPr>
          <w:rFonts w:ascii="Arial" w:hAnsi="Arial" w:cs="Arial"/>
          <w:sz w:val="24"/>
          <w:szCs w:val="24"/>
        </w:rPr>
        <w:t>Adv. A. Meyer SC</w:t>
      </w:r>
    </w:p>
    <w:p w14:paraId="5EA5611E" w14:textId="434C8BAD" w:rsidR="005D0CC5" w:rsidRPr="001B05BA" w:rsidRDefault="005D0CC5" w:rsidP="00BE500B">
      <w:pPr>
        <w:tabs>
          <w:tab w:val="left" w:pos="4917"/>
        </w:tabs>
        <w:spacing w:after="0" w:line="360" w:lineRule="auto"/>
        <w:ind w:left="4917" w:hanging="4557"/>
        <w:rPr>
          <w:rFonts w:ascii="Arial" w:hAnsi="Arial" w:cs="Arial"/>
          <w:sz w:val="24"/>
          <w:szCs w:val="24"/>
        </w:rPr>
      </w:pPr>
      <w:r w:rsidRPr="001B05BA">
        <w:rPr>
          <w:rFonts w:ascii="Arial" w:hAnsi="Arial" w:cs="Arial"/>
          <w:sz w:val="24"/>
          <w:szCs w:val="24"/>
        </w:rPr>
        <w:t>With:</w:t>
      </w:r>
      <w:r w:rsidRPr="001B05BA">
        <w:rPr>
          <w:rFonts w:ascii="Arial" w:hAnsi="Arial" w:cs="Arial"/>
          <w:sz w:val="24"/>
          <w:szCs w:val="24"/>
        </w:rPr>
        <w:tab/>
        <w:t>Adv. L. Harilal</w:t>
      </w:r>
    </w:p>
    <w:p w14:paraId="67876EBF" w14:textId="7ED0024F" w:rsidR="003649CD" w:rsidRPr="001B05BA" w:rsidRDefault="00F03EE2" w:rsidP="00B36472">
      <w:pPr>
        <w:tabs>
          <w:tab w:val="left" w:pos="4917"/>
        </w:tabs>
        <w:spacing w:after="0" w:line="360" w:lineRule="auto"/>
        <w:ind w:left="4917" w:hanging="4557"/>
        <w:rPr>
          <w:rFonts w:ascii="Arial" w:hAnsi="Arial" w:cs="Arial"/>
          <w:sz w:val="24"/>
          <w:szCs w:val="24"/>
        </w:rPr>
      </w:pPr>
      <w:r w:rsidRPr="001B05BA">
        <w:rPr>
          <w:rFonts w:ascii="Arial" w:hAnsi="Arial" w:cs="Arial"/>
          <w:sz w:val="24"/>
          <w:szCs w:val="24"/>
        </w:rPr>
        <w:t>Instructed by:</w:t>
      </w:r>
      <w:r w:rsidR="00AF2837" w:rsidRPr="001B05BA">
        <w:rPr>
          <w:rFonts w:ascii="Arial" w:hAnsi="Arial" w:cs="Arial"/>
          <w:sz w:val="24"/>
          <w:szCs w:val="24"/>
        </w:rPr>
        <w:tab/>
        <w:t>RW Attorneys</w:t>
      </w:r>
      <w:r w:rsidRPr="001B05BA">
        <w:rPr>
          <w:rFonts w:ascii="Arial" w:hAnsi="Arial" w:cs="Arial"/>
          <w:sz w:val="24"/>
          <w:szCs w:val="24"/>
        </w:rPr>
        <w:tab/>
      </w:r>
      <w:r w:rsidR="00377FDC" w:rsidRPr="001B05BA">
        <w:rPr>
          <w:rFonts w:ascii="Arial" w:hAnsi="Arial" w:cs="Arial"/>
          <w:sz w:val="24"/>
          <w:szCs w:val="24"/>
        </w:rPr>
        <w:tab/>
      </w:r>
    </w:p>
    <w:p w14:paraId="60737477" w14:textId="12A2B905" w:rsidR="004F3075" w:rsidRPr="001B05BA" w:rsidRDefault="00C46D9C" w:rsidP="003649CD">
      <w:pPr>
        <w:tabs>
          <w:tab w:val="left" w:pos="4917"/>
        </w:tabs>
        <w:spacing w:after="0" w:line="360" w:lineRule="auto"/>
        <w:ind w:left="360"/>
        <w:rPr>
          <w:rFonts w:ascii="Arial" w:hAnsi="Arial" w:cs="Arial"/>
          <w:sz w:val="24"/>
          <w:szCs w:val="24"/>
        </w:rPr>
      </w:pPr>
      <w:r w:rsidRPr="001B05BA">
        <w:rPr>
          <w:rFonts w:ascii="Arial" w:hAnsi="Arial" w:cs="Arial"/>
          <w:sz w:val="24"/>
          <w:szCs w:val="24"/>
        </w:rPr>
        <w:t>D</w:t>
      </w:r>
      <w:r w:rsidR="002F1742" w:rsidRPr="001B05BA">
        <w:rPr>
          <w:rFonts w:ascii="Arial" w:hAnsi="Arial" w:cs="Arial"/>
          <w:sz w:val="24"/>
          <w:szCs w:val="24"/>
        </w:rPr>
        <w:t>ate of the hearing:</w:t>
      </w:r>
      <w:r w:rsidR="00ED5894" w:rsidRPr="001B05BA">
        <w:rPr>
          <w:rFonts w:ascii="Arial" w:hAnsi="Arial" w:cs="Arial"/>
          <w:sz w:val="24"/>
          <w:szCs w:val="24"/>
        </w:rPr>
        <w:tab/>
        <w:t>19 April 2023</w:t>
      </w:r>
      <w:r w:rsidR="0022692F" w:rsidRPr="001B05BA">
        <w:rPr>
          <w:rFonts w:ascii="Arial" w:hAnsi="Arial" w:cs="Arial"/>
          <w:sz w:val="24"/>
          <w:szCs w:val="24"/>
        </w:rPr>
        <w:tab/>
      </w:r>
      <w:r w:rsidR="00CF7942" w:rsidRPr="001B05BA">
        <w:rPr>
          <w:rFonts w:ascii="Arial" w:hAnsi="Arial" w:cs="Arial"/>
          <w:sz w:val="24"/>
          <w:szCs w:val="24"/>
        </w:rPr>
        <w:tab/>
      </w:r>
      <w:r w:rsidR="00CF7942" w:rsidRPr="001B05BA">
        <w:rPr>
          <w:rFonts w:ascii="Arial" w:hAnsi="Arial" w:cs="Arial"/>
          <w:sz w:val="24"/>
          <w:szCs w:val="24"/>
        </w:rPr>
        <w:tab/>
      </w:r>
      <w:r w:rsidR="002F1742" w:rsidRPr="001B05BA">
        <w:rPr>
          <w:rFonts w:ascii="Arial" w:hAnsi="Arial" w:cs="Arial"/>
          <w:sz w:val="24"/>
          <w:szCs w:val="24"/>
        </w:rPr>
        <w:tab/>
      </w:r>
    </w:p>
    <w:p w14:paraId="7AD85C85" w14:textId="5B4A2C46" w:rsidR="003649CD" w:rsidRDefault="00EA61D2" w:rsidP="003649CD">
      <w:pPr>
        <w:tabs>
          <w:tab w:val="left" w:pos="4917"/>
        </w:tabs>
        <w:spacing w:after="0" w:line="360" w:lineRule="auto"/>
        <w:ind w:left="360"/>
        <w:rPr>
          <w:rFonts w:ascii="Arial" w:hAnsi="Arial" w:cs="Arial"/>
          <w:sz w:val="24"/>
          <w:szCs w:val="24"/>
        </w:rPr>
      </w:pPr>
      <w:r w:rsidRPr="001B05BA">
        <w:rPr>
          <w:rFonts w:ascii="Arial" w:hAnsi="Arial" w:cs="Arial"/>
          <w:sz w:val="24"/>
          <w:szCs w:val="24"/>
        </w:rPr>
        <w:t>Da</w:t>
      </w:r>
      <w:r w:rsidR="004F3075" w:rsidRPr="001B05BA">
        <w:rPr>
          <w:rFonts w:ascii="Arial" w:hAnsi="Arial" w:cs="Arial"/>
          <w:sz w:val="24"/>
          <w:szCs w:val="24"/>
        </w:rPr>
        <w:t>te of judgment:</w:t>
      </w:r>
      <w:r w:rsidR="00BE029D" w:rsidRPr="001B05BA">
        <w:rPr>
          <w:rFonts w:ascii="Arial" w:hAnsi="Arial" w:cs="Arial"/>
          <w:sz w:val="24"/>
          <w:szCs w:val="24"/>
        </w:rPr>
        <w:tab/>
      </w:r>
      <w:r w:rsidR="009B3533" w:rsidRPr="001B05BA">
        <w:rPr>
          <w:rFonts w:ascii="Arial" w:hAnsi="Arial" w:cs="Arial"/>
          <w:sz w:val="24"/>
          <w:szCs w:val="24"/>
        </w:rPr>
        <w:t>5 July 2023</w:t>
      </w:r>
    </w:p>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2F94E" w14:textId="77777777" w:rsidR="0006526E" w:rsidRDefault="0006526E">
      <w:pPr>
        <w:spacing w:after="0" w:line="240" w:lineRule="auto"/>
      </w:pPr>
      <w:r>
        <w:separator/>
      </w:r>
    </w:p>
  </w:endnote>
  <w:endnote w:type="continuationSeparator" w:id="0">
    <w:p w14:paraId="3A329260" w14:textId="77777777" w:rsidR="0006526E" w:rsidRDefault="00065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403757"/>
      <w:docPartObj>
        <w:docPartGallery w:val="Page Numbers (Bottom of Page)"/>
        <w:docPartUnique/>
      </w:docPartObj>
    </w:sdtPr>
    <w:sdtEndPr>
      <w:rPr>
        <w:noProof/>
      </w:rPr>
    </w:sdtEndPr>
    <w:sdtContent>
      <w:p w14:paraId="09B7314C" w14:textId="4C106D85" w:rsidR="00E83290" w:rsidRDefault="00E83290">
        <w:pPr>
          <w:pStyle w:val="Footer"/>
          <w:jc w:val="center"/>
        </w:pPr>
        <w:r>
          <w:fldChar w:fldCharType="begin"/>
        </w:r>
        <w:r>
          <w:instrText xml:space="preserve"> PAGE   \* MERGEFORMAT </w:instrText>
        </w:r>
        <w:r>
          <w:fldChar w:fldCharType="separate"/>
        </w:r>
        <w:r w:rsidR="00C32B50">
          <w:rPr>
            <w:noProof/>
          </w:rPr>
          <w:t>4</w:t>
        </w:r>
        <w:r>
          <w:rPr>
            <w:noProof/>
          </w:rPr>
          <w:fldChar w:fldCharType="end"/>
        </w:r>
      </w:p>
    </w:sdtContent>
  </w:sdt>
  <w:p w14:paraId="53EAF7CA" w14:textId="77777777" w:rsidR="00E83290" w:rsidRDefault="00E83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AEDCD" w14:textId="77777777" w:rsidR="0006526E" w:rsidRDefault="0006526E">
      <w:pPr>
        <w:spacing w:after="0" w:line="240" w:lineRule="auto"/>
      </w:pPr>
      <w:r>
        <w:separator/>
      </w:r>
    </w:p>
  </w:footnote>
  <w:footnote w:type="continuationSeparator" w:id="0">
    <w:p w14:paraId="0ECB11E4" w14:textId="77777777" w:rsidR="0006526E" w:rsidRDefault="0006526E">
      <w:pPr>
        <w:spacing w:after="0" w:line="240" w:lineRule="auto"/>
      </w:pPr>
      <w:r>
        <w:continuationSeparator/>
      </w:r>
    </w:p>
  </w:footnote>
  <w:footnote w:id="1">
    <w:p w14:paraId="57585449" w14:textId="2AE27027" w:rsidR="003B4D9B" w:rsidRPr="00D70463" w:rsidRDefault="003B4D9B" w:rsidP="00D70463">
      <w:pPr>
        <w:pStyle w:val="FootnoteText"/>
        <w:spacing w:after="120"/>
        <w:jc w:val="both"/>
        <w:rPr>
          <w:rFonts w:ascii="Arial" w:hAnsi="Arial" w:cs="Arial"/>
          <w:sz w:val="22"/>
          <w:szCs w:val="22"/>
          <w:lang w:val="en-GB"/>
        </w:rPr>
      </w:pPr>
      <w:r w:rsidRPr="00D70463">
        <w:rPr>
          <w:rStyle w:val="FootnoteReference"/>
          <w:rFonts w:ascii="Arial" w:hAnsi="Arial" w:cs="Arial"/>
          <w:sz w:val="22"/>
          <w:szCs w:val="22"/>
        </w:rPr>
        <w:footnoteRef/>
      </w:r>
      <w:r w:rsidRPr="00D70463">
        <w:rPr>
          <w:rFonts w:ascii="Arial" w:hAnsi="Arial" w:cs="Arial"/>
          <w:sz w:val="22"/>
          <w:szCs w:val="22"/>
        </w:rPr>
        <w:t xml:space="preserve"> </w:t>
      </w:r>
      <w:r w:rsidRPr="00D70463">
        <w:rPr>
          <w:rFonts w:ascii="Arial" w:hAnsi="Arial" w:cs="Arial"/>
          <w:sz w:val="22"/>
          <w:szCs w:val="22"/>
          <w:lang w:val="en-GB"/>
        </w:rPr>
        <w:t>Although the judgment was signed by the presiding acting judge on 18 March 2021</w:t>
      </w:r>
      <w:r w:rsidR="0067491A" w:rsidRPr="00D70463">
        <w:rPr>
          <w:rFonts w:ascii="Arial" w:hAnsi="Arial" w:cs="Arial"/>
          <w:sz w:val="22"/>
          <w:szCs w:val="22"/>
          <w:lang w:val="en-GB"/>
        </w:rPr>
        <w:t>,</w:t>
      </w:r>
      <w:r w:rsidRPr="00D70463">
        <w:rPr>
          <w:rFonts w:ascii="Arial" w:hAnsi="Arial" w:cs="Arial"/>
          <w:sz w:val="22"/>
          <w:szCs w:val="22"/>
          <w:lang w:val="en-GB"/>
        </w:rPr>
        <w:t xml:space="preserve"> the date reflected as </w:t>
      </w:r>
      <w:r w:rsidR="00DA6275" w:rsidRPr="00D70463">
        <w:rPr>
          <w:rFonts w:ascii="Arial" w:hAnsi="Arial" w:cs="Arial"/>
          <w:sz w:val="22"/>
          <w:szCs w:val="22"/>
          <w:lang w:val="en-GB"/>
        </w:rPr>
        <w:t>the hand-down date is 17 March 2021.</w:t>
      </w:r>
    </w:p>
  </w:footnote>
  <w:footnote w:id="2">
    <w:p w14:paraId="4A21782C" w14:textId="644BE73E" w:rsidR="00CA750B" w:rsidRPr="00D70463" w:rsidRDefault="00CA750B" w:rsidP="00D70463">
      <w:pPr>
        <w:pStyle w:val="FootnoteText"/>
        <w:spacing w:after="120"/>
        <w:jc w:val="both"/>
        <w:rPr>
          <w:rFonts w:ascii="Arial" w:hAnsi="Arial" w:cs="Arial"/>
          <w:sz w:val="22"/>
          <w:szCs w:val="22"/>
          <w:lang w:val="en-GB"/>
        </w:rPr>
      </w:pPr>
      <w:r w:rsidRPr="00D70463">
        <w:rPr>
          <w:rStyle w:val="FootnoteReference"/>
          <w:rFonts w:ascii="Arial" w:hAnsi="Arial" w:cs="Arial"/>
          <w:sz w:val="22"/>
          <w:szCs w:val="22"/>
        </w:rPr>
        <w:footnoteRef/>
      </w:r>
      <w:r w:rsidRPr="00D70463">
        <w:rPr>
          <w:rFonts w:ascii="Arial" w:hAnsi="Arial" w:cs="Arial"/>
          <w:sz w:val="22"/>
          <w:szCs w:val="22"/>
        </w:rPr>
        <w:t xml:space="preserve"> </w:t>
      </w:r>
      <w:r w:rsidRPr="00D70463">
        <w:rPr>
          <w:rFonts w:ascii="Arial" w:hAnsi="Arial" w:cs="Arial"/>
          <w:sz w:val="22"/>
          <w:szCs w:val="22"/>
          <w:lang w:val="en-GB"/>
        </w:rPr>
        <w:t xml:space="preserve">Two hundred and </w:t>
      </w:r>
      <w:r w:rsidR="00D70463" w:rsidRPr="00D70463">
        <w:rPr>
          <w:rFonts w:ascii="Arial" w:hAnsi="Arial" w:cs="Arial"/>
          <w:sz w:val="22"/>
          <w:szCs w:val="22"/>
          <w:lang w:val="en-GB"/>
        </w:rPr>
        <w:t>fifty-two</w:t>
      </w:r>
      <w:r w:rsidRPr="00D70463">
        <w:rPr>
          <w:rFonts w:ascii="Arial" w:hAnsi="Arial" w:cs="Arial"/>
          <w:sz w:val="22"/>
          <w:szCs w:val="22"/>
          <w:lang w:val="en-GB"/>
        </w:rPr>
        <w:t xml:space="preserve"> </w:t>
      </w:r>
      <w:r w:rsidR="00AD7222">
        <w:rPr>
          <w:rFonts w:ascii="Arial" w:hAnsi="Arial" w:cs="Arial"/>
          <w:sz w:val="22"/>
          <w:szCs w:val="22"/>
          <w:lang w:val="en-GB"/>
        </w:rPr>
        <w:t>T</w:t>
      </w:r>
      <w:r w:rsidRPr="00D70463">
        <w:rPr>
          <w:rFonts w:ascii="Arial" w:hAnsi="Arial" w:cs="Arial"/>
          <w:sz w:val="22"/>
          <w:szCs w:val="22"/>
          <w:lang w:val="en-GB"/>
        </w:rPr>
        <w:t xml:space="preserve">en </w:t>
      </w:r>
      <w:r w:rsidR="00AD7222">
        <w:rPr>
          <w:rFonts w:ascii="Arial" w:hAnsi="Arial" w:cs="Arial"/>
          <w:sz w:val="22"/>
          <w:szCs w:val="22"/>
          <w:lang w:val="en-GB"/>
        </w:rPr>
        <w:t>T</w:t>
      </w:r>
      <w:r w:rsidRPr="00D70463">
        <w:rPr>
          <w:rFonts w:ascii="Arial" w:hAnsi="Arial" w:cs="Arial"/>
          <w:sz w:val="22"/>
          <w:szCs w:val="22"/>
          <w:lang w:val="en-GB"/>
        </w:rPr>
        <w:t>housandth</w:t>
      </w:r>
      <w:r w:rsidR="00D70463" w:rsidRPr="00D70463">
        <w:rPr>
          <w:rFonts w:ascii="Arial" w:hAnsi="Arial" w:cs="Arial"/>
          <w:sz w:val="22"/>
          <w:szCs w:val="22"/>
          <w:lang w:val="en-GB"/>
        </w:rPr>
        <w:t xml:space="preserve">s of </w:t>
      </w:r>
      <w:r w:rsidR="00AD7222">
        <w:rPr>
          <w:rFonts w:ascii="Arial" w:hAnsi="Arial" w:cs="Arial"/>
          <w:sz w:val="22"/>
          <w:szCs w:val="22"/>
          <w:lang w:val="en-GB"/>
        </w:rPr>
        <w:t>O</w:t>
      </w:r>
      <w:r w:rsidR="00D70463" w:rsidRPr="00D70463">
        <w:rPr>
          <w:rFonts w:ascii="Arial" w:hAnsi="Arial" w:cs="Arial"/>
          <w:sz w:val="22"/>
          <w:szCs w:val="22"/>
          <w:lang w:val="en-GB"/>
        </w:rPr>
        <w:t>ne percent.</w:t>
      </w:r>
    </w:p>
  </w:footnote>
  <w:footnote w:id="3">
    <w:p w14:paraId="7BCCE3A0" w14:textId="4D740FCF" w:rsidR="00E83290" w:rsidRPr="00D70463" w:rsidRDefault="00E83290" w:rsidP="00D70463">
      <w:pPr>
        <w:pStyle w:val="FootnoteText"/>
        <w:spacing w:after="120"/>
        <w:jc w:val="both"/>
        <w:rPr>
          <w:rFonts w:ascii="Arial" w:hAnsi="Arial" w:cs="Arial"/>
          <w:sz w:val="22"/>
          <w:szCs w:val="22"/>
          <w:lang w:val="en-GB"/>
        </w:rPr>
      </w:pPr>
      <w:r w:rsidRPr="00D70463">
        <w:rPr>
          <w:rStyle w:val="FootnoteReference"/>
          <w:rFonts w:ascii="Arial" w:hAnsi="Arial" w:cs="Arial"/>
          <w:sz w:val="22"/>
          <w:szCs w:val="22"/>
        </w:rPr>
        <w:footnoteRef/>
      </w:r>
      <w:r w:rsidRPr="00D70463">
        <w:rPr>
          <w:rFonts w:ascii="Arial" w:hAnsi="Arial" w:cs="Arial"/>
          <w:sz w:val="22"/>
          <w:szCs w:val="22"/>
        </w:rPr>
        <w:t xml:space="preserve"> </w:t>
      </w:r>
      <w:r w:rsidRPr="00D70463">
        <w:rPr>
          <w:rFonts w:ascii="Arial" w:hAnsi="Arial" w:cs="Arial"/>
          <w:sz w:val="22"/>
          <w:szCs w:val="22"/>
          <w:lang w:val="en-GB"/>
        </w:rPr>
        <w:t xml:space="preserve">E.C. Schlemmer ‘South Africa and the WTO ten years into democracy’ </w:t>
      </w:r>
      <w:r w:rsidRPr="00D70463">
        <w:rPr>
          <w:rFonts w:ascii="Arial" w:hAnsi="Arial" w:cs="Arial"/>
          <w:i/>
          <w:iCs/>
          <w:sz w:val="22"/>
          <w:szCs w:val="22"/>
          <w:lang w:val="en-GB"/>
        </w:rPr>
        <w:t>South African Yearbook of International Law</w:t>
      </w:r>
      <w:r w:rsidRPr="00D70463">
        <w:rPr>
          <w:rFonts w:ascii="Arial" w:hAnsi="Arial" w:cs="Arial"/>
          <w:sz w:val="22"/>
          <w:szCs w:val="22"/>
          <w:lang w:val="en-GB"/>
        </w:rPr>
        <w:t xml:space="preserve"> (2004) Vol. 29, Issue 1, 125-135.</w:t>
      </w:r>
    </w:p>
  </w:footnote>
  <w:footnote w:id="4">
    <w:p w14:paraId="4A220582" w14:textId="55AA80DC" w:rsidR="00E83290" w:rsidRPr="00D70463" w:rsidRDefault="00E83290" w:rsidP="00D70463">
      <w:pPr>
        <w:pStyle w:val="FootnoteText"/>
        <w:spacing w:after="120"/>
        <w:jc w:val="both"/>
        <w:rPr>
          <w:rFonts w:ascii="Arial" w:hAnsi="Arial" w:cs="Arial"/>
          <w:sz w:val="22"/>
          <w:szCs w:val="22"/>
          <w:lang w:val="en-GB"/>
        </w:rPr>
      </w:pPr>
      <w:r w:rsidRPr="00D70463">
        <w:rPr>
          <w:rStyle w:val="FootnoteReference"/>
          <w:rFonts w:ascii="Arial" w:hAnsi="Arial" w:cs="Arial"/>
          <w:sz w:val="22"/>
          <w:szCs w:val="22"/>
        </w:rPr>
        <w:footnoteRef/>
      </w:r>
      <w:r w:rsidRPr="00D70463">
        <w:rPr>
          <w:rFonts w:ascii="Arial" w:hAnsi="Arial" w:cs="Arial"/>
          <w:sz w:val="22"/>
          <w:szCs w:val="22"/>
        </w:rPr>
        <w:t xml:space="preserve"> https://docs.wto.org/gattdocs/q/GG/MGT/58-44.PDF accessed on 3 May 2023.</w:t>
      </w:r>
    </w:p>
  </w:footnote>
  <w:footnote w:id="5">
    <w:p w14:paraId="6EECF102" w14:textId="3FEE7BEE" w:rsidR="00E83290" w:rsidRPr="00D70463" w:rsidRDefault="00E83290" w:rsidP="00D70463">
      <w:pPr>
        <w:pStyle w:val="FootnoteText"/>
        <w:spacing w:after="120"/>
        <w:jc w:val="both"/>
        <w:rPr>
          <w:rFonts w:ascii="Arial" w:hAnsi="Arial" w:cs="Arial"/>
          <w:sz w:val="22"/>
          <w:szCs w:val="22"/>
          <w:lang w:val="en-GB"/>
        </w:rPr>
      </w:pPr>
      <w:r w:rsidRPr="00D70463">
        <w:rPr>
          <w:rStyle w:val="FootnoteReference"/>
          <w:rFonts w:ascii="Arial" w:hAnsi="Arial" w:cs="Arial"/>
          <w:sz w:val="22"/>
          <w:szCs w:val="22"/>
        </w:rPr>
        <w:footnoteRef/>
      </w:r>
      <w:r w:rsidRPr="00D70463">
        <w:rPr>
          <w:rFonts w:ascii="Arial" w:hAnsi="Arial" w:cs="Arial"/>
          <w:sz w:val="22"/>
          <w:szCs w:val="22"/>
        </w:rPr>
        <w:t xml:space="preserve"> </w:t>
      </w:r>
      <w:r w:rsidRPr="00D70463">
        <w:rPr>
          <w:rFonts w:ascii="Arial" w:hAnsi="Arial" w:cs="Arial"/>
          <w:sz w:val="22"/>
          <w:szCs w:val="22"/>
          <w:lang w:val="en-GB"/>
        </w:rPr>
        <w:t xml:space="preserve">Schlemmer, note </w:t>
      </w:r>
      <w:r w:rsidRPr="00D70463">
        <w:rPr>
          <w:rFonts w:ascii="Arial" w:hAnsi="Arial" w:cs="Arial"/>
          <w:sz w:val="22"/>
          <w:szCs w:val="22"/>
          <w:lang w:val="en-GB"/>
        </w:rPr>
        <w:fldChar w:fldCharType="begin"/>
      </w:r>
      <w:r w:rsidRPr="00D70463">
        <w:rPr>
          <w:rFonts w:ascii="Arial" w:hAnsi="Arial" w:cs="Arial"/>
          <w:sz w:val="22"/>
          <w:szCs w:val="22"/>
          <w:lang w:val="en-GB"/>
        </w:rPr>
        <w:instrText xml:space="preserve"> NOTEREF _Ref133983728 \h  \* MERGEFORMAT </w:instrText>
      </w:r>
      <w:r w:rsidRPr="00D70463">
        <w:rPr>
          <w:rFonts w:ascii="Arial" w:hAnsi="Arial" w:cs="Arial"/>
          <w:sz w:val="22"/>
          <w:szCs w:val="22"/>
          <w:lang w:val="en-GB"/>
        </w:rPr>
      </w:r>
      <w:r w:rsidRPr="00D70463">
        <w:rPr>
          <w:rFonts w:ascii="Arial" w:hAnsi="Arial" w:cs="Arial"/>
          <w:sz w:val="22"/>
          <w:szCs w:val="22"/>
          <w:lang w:val="en-GB"/>
        </w:rPr>
        <w:fldChar w:fldCharType="separate"/>
      </w:r>
      <w:r w:rsidR="000921D4" w:rsidRPr="00D70463">
        <w:rPr>
          <w:rFonts w:ascii="Arial" w:hAnsi="Arial" w:cs="Arial"/>
          <w:sz w:val="22"/>
          <w:szCs w:val="22"/>
          <w:lang w:val="en-GB"/>
        </w:rPr>
        <w:t>1</w:t>
      </w:r>
      <w:r w:rsidRPr="00D70463">
        <w:rPr>
          <w:rFonts w:ascii="Arial" w:hAnsi="Arial" w:cs="Arial"/>
          <w:sz w:val="22"/>
          <w:szCs w:val="22"/>
          <w:lang w:val="en-GB"/>
        </w:rPr>
        <w:fldChar w:fldCharType="end"/>
      </w:r>
      <w:r w:rsidRPr="00D70463">
        <w:rPr>
          <w:rFonts w:ascii="Arial" w:hAnsi="Arial" w:cs="Arial"/>
          <w:sz w:val="22"/>
          <w:szCs w:val="22"/>
          <w:lang w:val="en-GB"/>
        </w:rPr>
        <w:t xml:space="preserve">, </w:t>
      </w:r>
      <w:r w:rsidRPr="00D70463">
        <w:rPr>
          <w:rFonts w:ascii="Arial" w:hAnsi="Arial" w:cs="Arial"/>
          <w:i/>
          <w:iCs/>
          <w:sz w:val="22"/>
          <w:szCs w:val="22"/>
          <w:lang w:val="en-GB"/>
        </w:rPr>
        <w:t>supra</w:t>
      </w:r>
      <w:r w:rsidRPr="00D70463">
        <w:rPr>
          <w:rFonts w:ascii="Arial" w:hAnsi="Arial" w:cs="Arial"/>
          <w:sz w:val="22"/>
          <w:szCs w:val="22"/>
          <w:lang w:val="en-GB"/>
        </w:rPr>
        <w:t>.</w:t>
      </w:r>
    </w:p>
  </w:footnote>
  <w:footnote w:id="6">
    <w:p w14:paraId="5F0EFAC2" w14:textId="50B069A9" w:rsidR="00E83290" w:rsidRPr="00D70463" w:rsidRDefault="00E83290" w:rsidP="00D70463">
      <w:pPr>
        <w:pStyle w:val="FootnoteText"/>
        <w:spacing w:after="120"/>
        <w:jc w:val="both"/>
        <w:rPr>
          <w:rFonts w:ascii="Arial" w:hAnsi="Arial" w:cs="Arial"/>
          <w:sz w:val="22"/>
          <w:szCs w:val="22"/>
          <w:lang w:val="en-GB"/>
        </w:rPr>
      </w:pPr>
      <w:r w:rsidRPr="00D70463">
        <w:rPr>
          <w:rStyle w:val="FootnoteReference"/>
          <w:rFonts w:ascii="Arial" w:hAnsi="Arial" w:cs="Arial"/>
          <w:sz w:val="22"/>
          <w:szCs w:val="22"/>
        </w:rPr>
        <w:footnoteRef/>
      </w:r>
      <w:r w:rsidRPr="00D70463">
        <w:rPr>
          <w:rFonts w:ascii="Arial" w:hAnsi="Arial" w:cs="Arial"/>
          <w:sz w:val="22"/>
          <w:szCs w:val="22"/>
        </w:rPr>
        <w:t xml:space="preserve"> </w:t>
      </w:r>
      <w:r w:rsidRPr="00D70463">
        <w:rPr>
          <w:rFonts w:ascii="Arial" w:hAnsi="Arial" w:cs="Arial"/>
          <w:sz w:val="22"/>
          <w:szCs w:val="22"/>
          <w:lang w:val="en-GB"/>
        </w:rPr>
        <w:t>WTO and the WCO – What is the Difference?’ https://www.livingstonintl.com/wto-and-the-wco-what-is-the-difference/ accessed on 3 May 2023.</w:t>
      </w:r>
    </w:p>
  </w:footnote>
  <w:footnote w:id="7">
    <w:p w14:paraId="56F269D6" w14:textId="2CD30F16" w:rsidR="009852E6" w:rsidRPr="00D70463" w:rsidRDefault="00E83290" w:rsidP="00D70463">
      <w:pPr>
        <w:pStyle w:val="FootnoteText"/>
        <w:spacing w:after="120"/>
        <w:jc w:val="both"/>
        <w:rPr>
          <w:rFonts w:ascii="Arial" w:hAnsi="Arial" w:cs="Arial"/>
          <w:sz w:val="22"/>
          <w:szCs w:val="22"/>
          <w:lang w:val="en-GB"/>
        </w:rPr>
      </w:pPr>
      <w:r w:rsidRPr="00D70463">
        <w:rPr>
          <w:rStyle w:val="FootnoteReference"/>
          <w:rFonts w:ascii="Arial" w:hAnsi="Arial" w:cs="Arial"/>
          <w:sz w:val="22"/>
          <w:szCs w:val="22"/>
        </w:rPr>
        <w:footnoteRef/>
      </w:r>
      <w:r w:rsidR="009852E6" w:rsidRPr="00D70463">
        <w:rPr>
          <w:rFonts w:ascii="Arial" w:hAnsi="Arial" w:cs="Arial"/>
          <w:sz w:val="22"/>
          <w:szCs w:val="22"/>
          <w:lang w:val="en-GB"/>
        </w:rPr>
        <w:t xml:space="preserve"> </w:t>
      </w:r>
      <w:r w:rsidRPr="00D70463">
        <w:rPr>
          <w:rFonts w:ascii="Arial" w:hAnsi="Arial" w:cs="Arial"/>
          <w:sz w:val="22"/>
          <w:szCs w:val="22"/>
          <w:lang w:val="en-GB"/>
        </w:rPr>
        <w:t xml:space="preserve">‘The WTO and World Customs Organization’ </w:t>
      </w:r>
    </w:p>
    <w:p w14:paraId="34342081" w14:textId="75B5B51F" w:rsidR="00E83290" w:rsidRPr="00D70463" w:rsidRDefault="00E83290" w:rsidP="00D70463">
      <w:pPr>
        <w:pStyle w:val="FootnoteText"/>
        <w:spacing w:after="120"/>
        <w:jc w:val="both"/>
        <w:rPr>
          <w:rFonts w:ascii="Arial" w:hAnsi="Arial" w:cs="Arial"/>
          <w:sz w:val="22"/>
          <w:szCs w:val="22"/>
          <w:lang w:val="en-GB"/>
        </w:rPr>
      </w:pPr>
      <w:r w:rsidRPr="00D70463">
        <w:rPr>
          <w:rFonts w:ascii="Arial" w:hAnsi="Arial" w:cs="Arial"/>
          <w:sz w:val="22"/>
          <w:szCs w:val="22"/>
          <w:lang w:val="en-GB"/>
        </w:rPr>
        <w:t>https://www.wto.org/english/thewto_e/coher_e/wto_wco_e.htm#:~:text=In%20the%20area%20of%20market,concerns%20the%20classification%20of%20goods. Accessed on 3 May 2023.</w:t>
      </w:r>
    </w:p>
  </w:footnote>
  <w:footnote w:id="8">
    <w:p w14:paraId="3D58CCD8" w14:textId="599F23F1" w:rsidR="00A20A86" w:rsidRPr="00D70463" w:rsidRDefault="00E83290" w:rsidP="00D70463">
      <w:pPr>
        <w:pStyle w:val="FootnoteText"/>
        <w:spacing w:after="120"/>
        <w:jc w:val="both"/>
        <w:rPr>
          <w:rFonts w:ascii="Arial" w:hAnsi="Arial" w:cs="Arial"/>
          <w:sz w:val="22"/>
          <w:szCs w:val="22"/>
        </w:rPr>
      </w:pPr>
      <w:r w:rsidRPr="00D70463">
        <w:rPr>
          <w:rStyle w:val="FootnoteReference"/>
          <w:rFonts w:ascii="Arial" w:hAnsi="Arial" w:cs="Arial"/>
          <w:sz w:val="22"/>
          <w:szCs w:val="22"/>
        </w:rPr>
        <w:footnoteRef/>
      </w:r>
      <w:r w:rsidR="00A20A86" w:rsidRPr="00D70463">
        <w:rPr>
          <w:rFonts w:ascii="Arial" w:hAnsi="Arial" w:cs="Arial"/>
          <w:sz w:val="22"/>
          <w:szCs w:val="22"/>
        </w:rPr>
        <w:t xml:space="preserve"> https://www.wcoomd.org/en/topics/nomenclature/instrument-and-</w:t>
      </w:r>
    </w:p>
    <w:p w14:paraId="7808E7CC" w14:textId="59B62FE8" w:rsidR="00E83290" w:rsidRPr="00D70463" w:rsidRDefault="00E83290" w:rsidP="00D70463">
      <w:pPr>
        <w:pStyle w:val="FootnoteText"/>
        <w:spacing w:after="120"/>
        <w:jc w:val="both"/>
        <w:rPr>
          <w:rFonts w:ascii="Arial" w:hAnsi="Arial" w:cs="Arial"/>
          <w:sz w:val="22"/>
          <w:szCs w:val="22"/>
          <w:lang w:val="en-GB"/>
        </w:rPr>
      </w:pPr>
      <w:r w:rsidRPr="00D70463">
        <w:rPr>
          <w:rFonts w:ascii="Arial" w:hAnsi="Arial" w:cs="Arial"/>
          <w:sz w:val="22"/>
          <w:szCs w:val="22"/>
        </w:rPr>
        <w:t>tools/hs_convention.aspx#:~:text=The%20objectives%20of%20the%20HS,and%20(iii)%20to%20facilitate%20the accessed on 3 May 2023.</w:t>
      </w:r>
    </w:p>
  </w:footnote>
  <w:footnote w:id="9">
    <w:p w14:paraId="41BD2C18" w14:textId="34BD894D" w:rsidR="00E83290" w:rsidRPr="00D70463" w:rsidRDefault="00E83290" w:rsidP="00D70463">
      <w:pPr>
        <w:pStyle w:val="FootnoteText"/>
        <w:spacing w:after="120"/>
        <w:jc w:val="both"/>
        <w:rPr>
          <w:rFonts w:ascii="Arial" w:hAnsi="Arial" w:cs="Arial"/>
          <w:sz w:val="22"/>
          <w:szCs w:val="22"/>
          <w:lang w:val="en-GB"/>
        </w:rPr>
      </w:pPr>
      <w:r w:rsidRPr="00D70463">
        <w:rPr>
          <w:rStyle w:val="FootnoteReference"/>
          <w:rFonts w:ascii="Arial" w:hAnsi="Arial" w:cs="Arial"/>
          <w:sz w:val="22"/>
          <w:szCs w:val="22"/>
        </w:rPr>
        <w:footnoteRef/>
      </w:r>
      <w:r w:rsidRPr="00D70463">
        <w:rPr>
          <w:rFonts w:ascii="Arial" w:hAnsi="Arial" w:cs="Arial"/>
          <w:sz w:val="22"/>
          <w:szCs w:val="22"/>
        </w:rPr>
        <w:t xml:space="preserve"> </w:t>
      </w:r>
      <w:r w:rsidRPr="00D70463">
        <w:rPr>
          <w:rFonts w:ascii="Arial" w:hAnsi="Arial" w:cs="Arial"/>
          <w:i/>
          <w:iCs/>
          <w:sz w:val="22"/>
          <w:szCs w:val="22"/>
          <w:lang w:val="en-GB"/>
        </w:rPr>
        <w:t>Ibid</w:t>
      </w:r>
      <w:r w:rsidRPr="00D70463">
        <w:rPr>
          <w:rFonts w:ascii="Arial" w:hAnsi="Arial" w:cs="Arial"/>
          <w:sz w:val="22"/>
          <w:szCs w:val="22"/>
          <w:lang w:val="en-GB"/>
        </w:rPr>
        <w:t>.</w:t>
      </w:r>
    </w:p>
  </w:footnote>
  <w:footnote w:id="10">
    <w:p w14:paraId="09C3B2CE" w14:textId="7B6D7E93" w:rsidR="00E83290" w:rsidRPr="00D70463" w:rsidRDefault="00E83290" w:rsidP="00D70463">
      <w:pPr>
        <w:pStyle w:val="FootnoteText"/>
        <w:spacing w:after="120"/>
        <w:jc w:val="both"/>
        <w:rPr>
          <w:rFonts w:ascii="Arial" w:hAnsi="Arial" w:cs="Arial"/>
          <w:sz w:val="22"/>
          <w:szCs w:val="22"/>
          <w:lang w:val="en-GB"/>
        </w:rPr>
      </w:pPr>
      <w:r w:rsidRPr="00D70463">
        <w:rPr>
          <w:rStyle w:val="FootnoteReference"/>
          <w:rFonts w:ascii="Arial" w:hAnsi="Arial" w:cs="Arial"/>
          <w:sz w:val="22"/>
          <w:szCs w:val="22"/>
        </w:rPr>
        <w:footnoteRef/>
      </w:r>
      <w:r w:rsidRPr="00D70463">
        <w:rPr>
          <w:rFonts w:ascii="Arial" w:hAnsi="Arial" w:cs="Arial"/>
          <w:sz w:val="22"/>
          <w:szCs w:val="22"/>
        </w:rPr>
        <w:t xml:space="preserve"> </w:t>
      </w:r>
      <w:r w:rsidRPr="00D70463">
        <w:rPr>
          <w:rFonts w:ascii="Arial" w:hAnsi="Arial" w:cs="Arial"/>
          <w:sz w:val="22"/>
          <w:szCs w:val="22"/>
          <w:lang w:val="en-GB"/>
        </w:rPr>
        <w:t>An informed compliance publication, May 2004 – U.S. Customs and Border protection</w:t>
      </w:r>
      <w:r w:rsidR="006A05D4" w:rsidRPr="00D70463">
        <w:rPr>
          <w:rFonts w:ascii="Arial" w:hAnsi="Arial" w:cs="Arial"/>
          <w:sz w:val="22"/>
          <w:szCs w:val="22"/>
          <w:lang w:val="en-GB"/>
        </w:rPr>
        <w:t xml:space="preserve">. https://www.cbp.gov/sites/default/files/documents/icp017r2_3.pdf, accessed on </w:t>
      </w:r>
      <w:r w:rsidR="00D14ED4" w:rsidRPr="00D70463">
        <w:rPr>
          <w:rFonts w:ascii="Arial" w:hAnsi="Arial" w:cs="Arial"/>
          <w:sz w:val="22"/>
          <w:szCs w:val="22"/>
          <w:lang w:val="en-GB"/>
        </w:rPr>
        <w:t>3 May 2023</w:t>
      </w:r>
      <w:r w:rsidR="00146B2E" w:rsidRPr="00D70463">
        <w:rPr>
          <w:rFonts w:ascii="Arial" w:hAnsi="Arial" w:cs="Arial"/>
          <w:sz w:val="22"/>
          <w:szCs w:val="22"/>
          <w:lang w:val="en-GB"/>
        </w:rPr>
        <w:t>.</w:t>
      </w:r>
    </w:p>
  </w:footnote>
  <w:footnote w:id="11">
    <w:p w14:paraId="5D4549ED" w14:textId="25C27C7B" w:rsidR="00FB767E" w:rsidRPr="00D70463" w:rsidRDefault="00FB767E" w:rsidP="00D70463">
      <w:pPr>
        <w:pStyle w:val="FootnoteText"/>
        <w:spacing w:after="120"/>
        <w:jc w:val="both"/>
        <w:rPr>
          <w:rFonts w:ascii="Arial" w:hAnsi="Arial" w:cs="Arial"/>
          <w:i/>
          <w:iCs/>
          <w:sz w:val="22"/>
          <w:szCs w:val="22"/>
          <w:lang w:val="en-GB"/>
        </w:rPr>
      </w:pPr>
      <w:r w:rsidRPr="00D70463">
        <w:rPr>
          <w:rStyle w:val="FootnoteReference"/>
          <w:rFonts w:ascii="Arial" w:hAnsi="Arial" w:cs="Arial"/>
          <w:sz w:val="22"/>
          <w:szCs w:val="22"/>
        </w:rPr>
        <w:footnoteRef/>
      </w:r>
      <w:r w:rsidRPr="00D70463">
        <w:rPr>
          <w:rFonts w:ascii="Arial" w:hAnsi="Arial" w:cs="Arial"/>
          <w:sz w:val="22"/>
          <w:szCs w:val="22"/>
        </w:rPr>
        <w:t xml:space="preserve"> </w:t>
      </w:r>
      <w:r w:rsidRPr="00D70463">
        <w:rPr>
          <w:rFonts w:ascii="Arial" w:hAnsi="Arial" w:cs="Arial"/>
          <w:i/>
          <w:iCs/>
          <w:sz w:val="22"/>
          <w:szCs w:val="22"/>
          <w:lang w:val="en-GB"/>
        </w:rPr>
        <w:t>Supra, 10.</w:t>
      </w:r>
    </w:p>
  </w:footnote>
  <w:footnote w:id="12">
    <w:p w14:paraId="7E108500" w14:textId="57EDAF34" w:rsidR="00E83290" w:rsidRPr="00D70463" w:rsidRDefault="00E83290" w:rsidP="00D70463">
      <w:pPr>
        <w:pStyle w:val="FootnoteText"/>
        <w:spacing w:after="120"/>
        <w:jc w:val="both"/>
        <w:rPr>
          <w:rFonts w:ascii="Arial" w:hAnsi="Arial" w:cs="Arial"/>
          <w:sz w:val="22"/>
          <w:szCs w:val="22"/>
          <w:lang w:val="en-GB"/>
        </w:rPr>
      </w:pPr>
      <w:r w:rsidRPr="00D70463">
        <w:rPr>
          <w:rStyle w:val="FootnoteReference"/>
          <w:rFonts w:ascii="Arial" w:hAnsi="Arial" w:cs="Arial"/>
          <w:sz w:val="22"/>
          <w:szCs w:val="22"/>
        </w:rPr>
        <w:footnoteRef/>
      </w:r>
      <w:r w:rsidRPr="00D70463">
        <w:rPr>
          <w:rFonts w:ascii="Arial" w:hAnsi="Arial" w:cs="Arial"/>
          <w:sz w:val="22"/>
          <w:szCs w:val="22"/>
        </w:rPr>
        <w:t xml:space="preserve"> </w:t>
      </w:r>
      <w:r w:rsidRPr="00D70463">
        <w:rPr>
          <w:rFonts w:ascii="Arial" w:hAnsi="Arial" w:cs="Arial"/>
          <w:i/>
          <w:iCs/>
          <w:sz w:val="22"/>
          <w:szCs w:val="22"/>
          <w:lang w:val="en-GB"/>
        </w:rPr>
        <w:t>Supra</w:t>
      </w:r>
      <w:r w:rsidRPr="00D70463">
        <w:rPr>
          <w:rFonts w:ascii="Arial" w:hAnsi="Arial" w:cs="Arial"/>
          <w:sz w:val="22"/>
          <w:szCs w:val="22"/>
          <w:lang w:val="en-GB"/>
        </w:rPr>
        <w:t>, 11.</w:t>
      </w:r>
    </w:p>
  </w:footnote>
  <w:footnote w:id="13">
    <w:p w14:paraId="3EAABE85" w14:textId="23497162" w:rsidR="00255CE9" w:rsidRPr="00D70463" w:rsidRDefault="00E83290" w:rsidP="00D70463">
      <w:pPr>
        <w:pStyle w:val="FootnoteText"/>
        <w:spacing w:after="120"/>
        <w:jc w:val="both"/>
        <w:rPr>
          <w:rFonts w:ascii="Arial" w:hAnsi="Arial" w:cs="Arial"/>
          <w:sz w:val="22"/>
          <w:szCs w:val="22"/>
        </w:rPr>
      </w:pPr>
      <w:r w:rsidRPr="00D70463">
        <w:rPr>
          <w:rStyle w:val="FootnoteReference"/>
          <w:rFonts w:ascii="Arial" w:hAnsi="Arial" w:cs="Arial"/>
          <w:sz w:val="22"/>
          <w:szCs w:val="22"/>
        </w:rPr>
        <w:footnoteRef/>
      </w:r>
      <w:r w:rsidR="00255CE9" w:rsidRPr="00D70463">
        <w:rPr>
          <w:rFonts w:ascii="Arial" w:hAnsi="Arial" w:cs="Arial"/>
          <w:sz w:val="22"/>
          <w:szCs w:val="22"/>
        </w:rPr>
        <w:t xml:space="preserve"> https://www.wcoomd.org/en/media/newsroom/2021/december/7th-edition-of-the-harmonized-</w:t>
      </w:r>
    </w:p>
    <w:p w14:paraId="49E57B40" w14:textId="1FCAB5BC" w:rsidR="00E83290" w:rsidRPr="00D70463" w:rsidRDefault="00E83290" w:rsidP="00D70463">
      <w:pPr>
        <w:pStyle w:val="FootnoteText"/>
        <w:spacing w:after="120"/>
        <w:ind w:left="1440" w:hanging="1440"/>
        <w:jc w:val="both"/>
        <w:rPr>
          <w:rFonts w:ascii="Arial" w:hAnsi="Arial" w:cs="Arial"/>
          <w:sz w:val="22"/>
          <w:szCs w:val="22"/>
          <w:lang w:val="en-GB"/>
        </w:rPr>
      </w:pPr>
      <w:r w:rsidRPr="00D70463">
        <w:rPr>
          <w:rFonts w:ascii="Arial" w:hAnsi="Arial" w:cs="Arial"/>
          <w:sz w:val="22"/>
          <w:szCs w:val="22"/>
        </w:rPr>
        <w:t>system.aspx accessed on 3 May 2023.</w:t>
      </w:r>
    </w:p>
  </w:footnote>
  <w:footnote w:id="14">
    <w:p w14:paraId="7000297C" w14:textId="235C494A" w:rsidR="00E83290" w:rsidRPr="00D70463" w:rsidRDefault="00E83290" w:rsidP="00D70463">
      <w:pPr>
        <w:pStyle w:val="FootnoteText"/>
        <w:spacing w:after="120"/>
        <w:jc w:val="both"/>
        <w:rPr>
          <w:rFonts w:ascii="Arial" w:hAnsi="Arial" w:cs="Arial"/>
          <w:sz w:val="22"/>
          <w:szCs w:val="22"/>
          <w:lang w:val="en-GB"/>
        </w:rPr>
      </w:pPr>
      <w:r w:rsidRPr="00D70463">
        <w:rPr>
          <w:rStyle w:val="FootnoteReference"/>
          <w:rFonts w:ascii="Arial" w:hAnsi="Arial" w:cs="Arial"/>
          <w:sz w:val="22"/>
          <w:szCs w:val="22"/>
        </w:rPr>
        <w:footnoteRef/>
      </w:r>
      <w:r w:rsidRPr="00D70463">
        <w:rPr>
          <w:rFonts w:ascii="Arial" w:hAnsi="Arial" w:cs="Arial"/>
          <w:sz w:val="22"/>
          <w:szCs w:val="22"/>
        </w:rPr>
        <w:t xml:space="preserve"> </w:t>
      </w:r>
      <w:r w:rsidRPr="00D70463">
        <w:rPr>
          <w:rFonts w:ascii="Arial" w:hAnsi="Arial" w:cs="Arial"/>
          <w:i/>
          <w:iCs/>
          <w:sz w:val="22"/>
          <w:szCs w:val="22"/>
          <w:lang w:val="en-GB"/>
        </w:rPr>
        <w:t>Ibid</w:t>
      </w:r>
      <w:r w:rsidRPr="00D70463">
        <w:rPr>
          <w:rFonts w:ascii="Arial" w:hAnsi="Arial" w:cs="Arial"/>
          <w:sz w:val="22"/>
          <w:szCs w:val="22"/>
          <w:lang w:val="en-GB"/>
        </w:rPr>
        <w:t>.</w:t>
      </w:r>
    </w:p>
  </w:footnote>
  <w:footnote w:id="15">
    <w:p w14:paraId="0E2887D9" w14:textId="77777777" w:rsidR="00E83290" w:rsidRPr="00D70463" w:rsidRDefault="00E83290" w:rsidP="00D70463">
      <w:pPr>
        <w:pStyle w:val="FootnoteText"/>
        <w:spacing w:after="120"/>
        <w:jc w:val="both"/>
        <w:rPr>
          <w:rFonts w:ascii="Arial" w:hAnsi="Arial" w:cs="Arial"/>
          <w:sz w:val="22"/>
          <w:szCs w:val="22"/>
          <w:lang w:val="en-GB"/>
        </w:rPr>
      </w:pPr>
      <w:r w:rsidRPr="00D70463">
        <w:rPr>
          <w:rStyle w:val="FootnoteReference"/>
          <w:rFonts w:ascii="Arial" w:hAnsi="Arial" w:cs="Arial"/>
          <w:sz w:val="22"/>
          <w:szCs w:val="22"/>
        </w:rPr>
        <w:footnoteRef/>
      </w:r>
      <w:r w:rsidRPr="00D70463">
        <w:rPr>
          <w:rFonts w:ascii="Arial" w:hAnsi="Arial" w:cs="Arial"/>
          <w:sz w:val="22"/>
          <w:szCs w:val="22"/>
        </w:rPr>
        <w:t xml:space="preserve"> </w:t>
      </w:r>
      <w:r w:rsidRPr="00D70463">
        <w:rPr>
          <w:rFonts w:ascii="Arial" w:hAnsi="Arial" w:cs="Arial"/>
          <w:sz w:val="22"/>
          <w:szCs w:val="22"/>
          <w:lang w:val="en-GB"/>
        </w:rPr>
        <w:t>See Article 9 to the HS Convention.</w:t>
      </w:r>
    </w:p>
  </w:footnote>
  <w:footnote w:id="16">
    <w:p w14:paraId="103EFD6D" w14:textId="3F3259AC" w:rsidR="00E83290" w:rsidRPr="00D70463" w:rsidRDefault="00E83290" w:rsidP="00D70463">
      <w:pPr>
        <w:pStyle w:val="FootnoteText"/>
        <w:spacing w:after="120"/>
        <w:jc w:val="both"/>
        <w:rPr>
          <w:rFonts w:ascii="Arial" w:hAnsi="Arial" w:cs="Arial"/>
          <w:sz w:val="22"/>
          <w:szCs w:val="22"/>
          <w:lang w:val="en-GB"/>
        </w:rPr>
      </w:pPr>
      <w:r w:rsidRPr="00D70463">
        <w:rPr>
          <w:rStyle w:val="FootnoteReference"/>
          <w:rFonts w:ascii="Arial" w:hAnsi="Arial" w:cs="Arial"/>
          <w:sz w:val="22"/>
          <w:szCs w:val="22"/>
        </w:rPr>
        <w:footnoteRef/>
      </w:r>
      <w:r w:rsidRPr="00D70463">
        <w:rPr>
          <w:rFonts w:ascii="Arial" w:hAnsi="Arial" w:cs="Arial"/>
          <w:sz w:val="22"/>
          <w:szCs w:val="22"/>
        </w:rPr>
        <w:t xml:space="preserve"> </w:t>
      </w:r>
      <w:r w:rsidRPr="00D70463">
        <w:rPr>
          <w:rFonts w:ascii="Arial" w:hAnsi="Arial" w:cs="Arial"/>
          <w:i/>
          <w:sz w:val="22"/>
          <w:szCs w:val="22"/>
        </w:rPr>
        <w:t xml:space="preserve">International Business Machines SA (Pty) Ltd v Commissioner for Customs and </w:t>
      </w:r>
      <w:r w:rsidRPr="00D70463">
        <w:rPr>
          <w:rFonts w:ascii="Arial" w:hAnsi="Arial" w:cs="Arial"/>
          <w:sz w:val="22"/>
          <w:szCs w:val="22"/>
        </w:rPr>
        <w:t xml:space="preserve">Excise 1985 (4) SA 852 (A) </w:t>
      </w:r>
      <w:r w:rsidRPr="00D70463">
        <w:rPr>
          <w:rFonts w:ascii="Arial" w:hAnsi="Arial" w:cs="Arial"/>
          <w:sz w:val="22"/>
          <w:szCs w:val="22"/>
          <w:lang w:val="en-GB"/>
        </w:rPr>
        <w:t>863F-G.</w:t>
      </w:r>
    </w:p>
  </w:footnote>
  <w:footnote w:id="17">
    <w:p w14:paraId="68831FA9" w14:textId="0EFCDEE4" w:rsidR="00E83290" w:rsidRPr="00D70463" w:rsidRDefault="00E83290" w:rsidP="00D70463">
      <w:pPr>
        <w:pStyle w:val="FootnoteText"/>
        <w:spacing w:after="120"/>
        <w:jc w:val="both"/>
        <w:rPr>
          <w:rFonts w:ascii="Arial" w:hAnsi="Arial" w:cs="Arial"/>
          <w:sz w:val="22"/>
          <w:szCs w:val="22"/>
          <w:lang w:val="en-GB"/>
        </w:rPr>
      </w:pPr>
      <w:r w:rsidRPr="00D70463">
        <w:rPr>
          <w:rStyle w:val="FootnoteReference"/>
          <w:rFonts w:ascii="Arial" w:hAnsi="Arial" w:cs="Arial"/>
          <w:sz w:val="22"/>
          <w:szCs w:val="22"/>
        </w:rPr>
        <w:footnoteRef/>
      </w:r>
      <w:r w:rsidRPr="00D70463">
        <w:rPr>
          <w:rFonts w:ascii="Arial" w:hAnsi="Arial" w:cs="Arial"/>
          <w:sz w:val="22"/>
          <w:szCs w:val="22"/>
        </w:rPr>
        <w:t xml:space="preserve"> </w:t>
      </w:r>
      <w:r w:rsidRPr="00D70463">
        <w:rPr>
          <w:rFonts w:ascii="Arial" w:hAnsi="Arial" w:cs="Arial"/>
          <w:sz w:val="22"/>
          <w:szCs w:val="22"/>
          <w:lang w:val="en-GB"/>
        </w:rPr>
        <w:t>[2011] 1 All SA 225 (SCA) (13 September 2010) at par [22].</w:t>
      </w:r>
    </w:p>
  </w:footnote>
  <w:footnote w:id="18">
    <w:p w14:paraId="427B8DEA" w14:textId="563E4FFD" w:rsidR="00E83290" w:rsidRPr="00D70463" w:rsidRDefault="00E83290" w:rsidP="00D70463">
      <w:pPr>
        <w:pStyle w:val="FootnoteText"/>
        <w:spacing w:after="120"/>
        <w:jc w:val="both"/>
        <w:rPr>
          <w:rFonts w:ascii="Arial" w:hAnsi="Arial" w:cs="Arial"/>
          <w:sz w:val="22"/>
          <w:szCs w:val="22"/>
          <w:lang w:val="en-GB"/>
        </w:rPr>
      </w:pPr>
      <w:r w:rsidRPr="00D70463">
        <w:rPr>
          <w:rStyle w:val="FootnoteReference"/>
          <w:rFonts w:ascii="Arial" w:hAnsi="Arial" w:cs="Arial"/>
          <w:sz w:val="22"/>
          <w:szCs w:val="22"/>
        </w:rPr>
        <w:footnoteRef/>
      </w:r>
      <w:r w:rsidRPr="00D70463">
        <w:rPr>
          <w:rFonts w:ascii="Arial" w:hAnsi="Arial" w:cs="Arial"/>
          <w:sz w:val="22"/>
          <w:szCs w:val="22"/>
        </w:rPr>
        <w:t xml:space="preserve"> </w:t>
      </w:r>
      <w:r w:rsidRPr="00D70463">
        <w:rPr>
          <w:rFonts w:ascii="Arial" w:hAnsi="Arial" w:cs="Arial"/>
          <w:sz w:val="22"/>
          <w:szCs w:val="22"/>
          <w:lang w:val="en-GB"/>
        </w:rPr>
        <w:t>2021 (5) SA 68 (SCA)</w:t>
      </w:r>
      <w:r w:rsidR="00D25F0F" w:rsidRPr="00D70463">
        <w:rPr>
          <w:rFonts w:ascii="Arial" w:hAnsi="Arial" w:cs="Arial"/>
          <w:sz w:val="22"/>
          <w:szCs w:val="22"/>
          <w:lang w:val="en-GB"/>
        </w:rPr>
        <w:t xml:space="preserve"> </w:t>
      </w:r>
      <w:r w:rsidR="00051665" w:rsidRPr="00D70463">
        <w:rPr>
          <w:rFonts w:ascii="Arial" w:hAnsi="Arial" w:cs="Arial"/>
          <w:sz w:val="22"/>
          <w:szCs w:val="22"/>
          <w:lang w:val="en-GB"/>
        </w:rPr>
        <w:t>at par [9].</w:t>
      </w:r>
      <w:r w:rsidRPr="00D70463">
        <w:rPr>
          <w:rFonts w:ascii="Arial" w:hAnsi="Arial" w:cs="Arial"/>
          <w:sz w:val="22"/>
          <w:szCs w:val="22"/>
          <w:lang w:val="en-GB"/>
        </w:rPr>
        <w:t xml:space="preserve"> </w:t>
      </w:r>
    </w:p>
  </w:footnote>
  <w:footnote w:id="19">
    <w:p w14:paraId="524F3743" w14:textId="09DAE7BC" w:rsidR="00E83290" w:rsidRPr="00D70463" w:rsidRDefault="00E83290" w:rsidP="00D70463">
      <w:pPr>
        <w:pStyle w:val="FootnoteText"/>
        <w:spacing w:after="120"/>
        <w:jc w:val="both"/>
        <w:rPr>
          <w:rFonts w:ascii="Arial" w:hAnsi="Arial" w:cs="Arial"/>
          <w:sz w:val="22"/>
          <w:szCs w:val="22"/>
          <w:lang w:val="en-GB"/>
        </w:rPr>
      </w:pPr>
      <w:r w:rsidRPr="00D70463">
        <w:rPr>
          <w:rStyle w:val="FootnoteReference"/>
          <w:rFonts w:ascii="Arial" w:hAnsi="Arial" w:cs="Arial"/>
          <w:sz w:val="22"/>
          <w:szCs w:val="22"/>
        </w:rPr>
        <w:footnoteRef/>
      </w:r>
      <w:r w:rsidRPr="00D70463">
        <w:rPr>
          <w:rFonts w:ascii="Arial" w:hAnsi="Arial" w:cs="Arial"/>
          <w:sz w:val="22"/>
          <w:szCs w:val="22"/>
        </w:rPr>
        <w:t xml:space="preserve"> </w:t>
      </w:r>
      <w:r w:rsidRPr="00D70463">
        <w:rPr>
          <w:rFonts w:ascii="Arial" w:hAnsi="Arial" w:cs="Arial"/>
          <w:i/>
          <w:sz w:val="22"/>
          <w:szCs w:val="22"/>
          <w:lang w:val="en-GB"/>
        </w:rPr>
        <w:t>Ibid</w:t>
      </w:r>
      <w:r w:rsidRPr="00D70463">
        <w:rPr>
          <w:rFonts w:ascii="Arial" w:hAnsi="Arial" w:cs="Arial"/>
          <w:sz w:val="22"/>
          <w:szCs w:val="22"/>
          <w:lang w:val="en-GB"/>
        </w:rPr>
        <w:t>, at par [9].</w:t>
      </w:r>
    </w:p>
  </w:footnote>
  <w:footnote w:id="20">
    <w:p w14:paraId="59AA4C14" w14:textId="12C35F1F" w:rsidR="00E83290" w:rsidRPr="00D70463" w:rsidRDefault="00E83290" w:rsidP="00D70463">
      <w:pPr>
        <w:tabs>
          <w:tab w:val="left" w:pos="4917"/>
        </w:tabs>
        <w:spacing w:after="120" w:line="240" w:lineRule="auto"/>
        <w:jc w:val="both"/>
        <w:rPr>
          <w:rFonts w:ascii="Arial" w:hAnsi="Arial" w:cs="Arial"/>
          <w:lang w:val="en-GB"/>
        </w:rPr>
      </w:pPr>
      <w:r w:rsidRPr="00D70463">
        <w:rPr>
          <w:rStyle w:val="FootnoteReference"/>
          <w:rFonts w:ascii="Arial" w:hAnsi="Arial" w:cs="Arial"/>
        </w:rPr>
        <w:footnoteRef/>
      </w:r>
      <w:r w:rsidRPr="00D70463">
        <w:rPr>
          <w:rFonts w:ascii="Arial" w:hAnsi="Arial" w:cs="Arial"/>
        </w:rPr>
        <w:t xml:space="preserve"> The special provision for spirituous beverages derived from a fermented alcoholic base or wine spirits (to be taxed at an excise rate lower than the rate applicable to other distilled spirits) was introduced with effect from 23 February 2011. Tariff subheadings 2208.70.21 and 2208.70.22 and tariff items 104.23.21 and 104.23.22 were introduced in the 2011 Budget Review, and the Schedule to the Act was amended with effect from 1 March 2011. Additional Note 4 was inserted in the Chapter Notes. Additional Note 4(b) underwent several amendments before it reached its current form.</w:t>
      </w:r>
    </w:p>
  </w:footnote>
  <w:footnote w:id="21">
    <w:p w14:paraId="2CB9790C" w14:textId="77777777" w:rsidR="00E83290" w:rsidRPr="00D70463" w:rsidRDefault="00E83290" w:rsidP="00D70463">
      <w:pPr>
        <w:tabs>
          <w:tab w:val="left" w:pos="4917"/>
        </w:tabs>
        <w:spacing w:after="120" w:line="240" w:lineRule="auto"/>
        <w:jc w:val="both"/>
        <w:rPr>
          <w:rFonts w:ascii="Arial" w:hAnsi="Arial" w:cs="Arial"/>
        </w:rPr>
      </w:pPr>
      <w:r w:rsidRPr="00D70463">
        <w:rPr>
          <w:rStyle w:val="FootnoteReference"/>
          <w:rFonts w:ascii="Arial" w:hAnsi="Arial" w:cs="Arial"/>
        </w:rPr>
        <w:footnoteRef/>
      </w:r>
      <w:r w:rsidRPr="00D70463">
        <w:rPr>
          <w:rFonts w:ascii="Arial" w:hAnsi="Arial" w:cs="Arial"/>
        </w:rPr>
        <w:t xml:space="preserve"> ‘Wine spirits’ also referred to as ‘A-spirits’, is derived from the distillation of wine. It is more expensive than ‘C-spirits’, that is derived from other sources such as sugar cane.   </w:t>
      </w:r>
    </w:p>
    <w:p w14:paraId="78C28EC0" w14:textId="109863CF" w:rsidR="00E83290" w:rsidRPr="00D70463" w:rsidRDefault="00E83290" w:rsidP="00D70463">
      <w:pPr>
        <w:pStyle w:val="FootnoteText"/>
        <w:spacing w:after="120"/>
        <w:jc w:val="both"/>
        <w:rPr>
          <w:rFonts w:ascii="Arial" w:hAnsi="Arial" w:cs="Arial"/>
          <w:sz w:val="22"/>
          <w:szCs w:val="22"/>
          <w:lang w:val="en-GB"/>
        </w:rPr>
      </w:pPr>
    </w:p>
  </w:footnote>
  <w:footnote w:id="22">
    <w:p w14:paraId="6DF815D8" w14:textId="104F256E" w:rsidR="004D2814" w:rsidRPr="00D70463" w:rsidRDefault="004D2814" w:rsidP="00D70463">
      <w:pPr>
        <w:pStyle w:val="FootnoteText"/>
        <w:spacing w:after="120"/>
        <w:jc w:val="both"/>
        <w:rPr>
          <w:rFonts w:ascii="Arial" w:hAnsi="Arial" w:cs="Arial"/>
          <w:sz w:val="22"/>
          <w:szCs w:val="22"/>
          <w:lang w:val="en-GB"/>
        </w:rPr>
      </w:pPr>
      <w:r w:rsidRPr="00D70463">
        <w:rPr>
          <w:rStyle w:val="FootnoteReference"/>
          <w:rFonts w:ascii="Arial" w:hAnsi="Arial" w:cs="Arial"/>
          <w:sz w:val="22"/>
          <w:szCs w:val="22"/>
        </w:rPr>
        <w:footnoteRef/>
      </w:r>
      <w:r w:rsidRPr="00D70463">
        <w:rPr>
          <w:rFonts w:ascii="Arial" w:hAnsi="Arial" w:cs="Arial"/>
          <w:sz w:val="22"/>
          <w:szCs w:val="22"/>
        </w:rPr>
        <w:t xml:space="preserve"> </w:t>
      </w:r>
      <w:r w:rsidR="00994387" w:rsidRPr="00D70463">
        <w:rPr>
          <w:rFonts w:ascii="Arial" w:hAnsi="Arial" w:cs="Arial"/>
          <w:sz w:val="22"/>
          <w:szCs w:val="22"/>
        </w:rPr>
        <w:t xml:space="preserve">Consider, e.g., </w:t>
      </w:r>
      <w:r w:rsidRPr="00D70463">
        <w:rPr>
          <w:rFonts w:ascii="Arial" w:hAnsi="Arial" w:cs="Arial"/>
          <w:sz w:val="22"/>
          <w:szCs w:val="22"/>
          <w:lang w:val="en-GB"/>
        </w:rPr>
        <w:t>TH 22.03</w:t>
      </w:r>
      <w:r w:rsidR="00994387" w:rsidRPr="00D70463">
        <w:rPr>
          <w:rFonts w:ascii="Arial" w:hAnsi="Arial" w:cs="Arial"/>
          <w:sz w:val="22"/>
          <w:szCs w:val="22"/>
          <w:lang w:val="en-GB"/>
        </w:rPr>
        <w:t xml:space="preserve"> – Beer made from malt: ‘The heading does not cover … (b) Beverages called non-alcoholic beer consisting of beer made from malt</w:t>
      </w:r>
      <w:r w:rsidR="00656D7A" w:rsidRPr="00D70463">
        <w:rPr>
          <w:rFonts w:ascii="Arial" w:hAnsi="Arial" w:cs="Arial"/>
          <w:sz w:val="22"/>
          <w:szCs w:val="22"/>
          <w:lang w:val="en-GB"/>
        </w:rPr>
        <w:t>, the alcoholic strength of which by volume has been reduced to o.5%</w:t>
      </w:r>
      <w:r w:rsidR="0038299D" w:rsidRPr="00D70463">
        <w:rPr>
          <w:rFonts w:ascii="Arial" w:hAnsi="Arial" w:cs="Arial"/>
          <w:sz w:val="22"/>
          <w:szCs w:val="22"/>
          <w:lang w:val="en-GB"/>
        </w:rPr>
        <w:t xml:space="preserve"> or less (heading 22.02).’, </w:t>
      </w:r>
      <w:r w:rsidR="00454CDD" w:rsidRPr="00D70463">
        <w:rPr>
          <w:rFonts w:ascii="Arial" w:hAnsi="Arial" w:cs="Arial"/>
          <w:sz w:val="22"/>
          <w:szCs w:val="22"/>
          <w:lang w:val="en-GB"/>
        </w:rPr>
        <w:t xml:space="preserve">TH 22.04 – Wine of fresh grapes, including fortified wines; grape </w:t>
      </w:r>
      <w:r w:rsidR="00016717" w:rsidRPr="00D70463">
        <w:rPr>
          <w:rFonts w:ascii="Arial" w:hAnsi="Arial" w:cs="Arial"/>
          <w:sz w:val="22"/>
          <w:szCs w:val="22"/>
          <w:lang w:val="en-GB"/>
        </w:rPr>
        <w:t>must other than of heading 20.09</w:t>
      </w:r>
      <w:r w:rsidR="00346203" w:rsidRPr="00D70463">
        <w:rPr>
          <w:rFonts w:ascii="Arial" w:hAnsi="Arial" w:cs="Arial"/>
          <w:sz w:val="22"/>
          <w:szCs w:val="22"/>
          <w:lang w:val="en-GB"/>
        </w:rPr>
        <w:t>: ‘It should be noted that this group covers grape must partially fermented</w:t>
      </w:r>
      <w:r w:rsidR="0097168C" w:rsidRPr="00D70463">
        <w:rPr>
          <w:rFonts w:ascii="Arial" w:hAnsi="Arial" w:cs="Arial"/>
          <w:sz w:val="22"/>
          <w:szCs w:val="22"/>
          <w:lang w:val="en-GB"/>
        </w:rPr>
        <w:t xml:space="preserve">, whether or not fermentation has been arrested, as well as unfermented grape must, with alcohol </w:t>
      </w:r>
      <w:r w:rsidR="00DA65E3" w:rsidRPr="00D70463">
        <w:rPr>
          <w:rFonts w:ascii="Arial" w:hAnsi="Arial" w:cs="Arial"/>
          <w:sz w:val="22"/>
          <w:szCs w:val="22"/>
          <w:lang w:val="en-GB"/>
        </w:rPr>
        <w:t>added,</w:t>
      </w:r>
      <w:r w:rsidR="00583D2D" w:rsidRPr="00D70463">
        <w:rPr>
          <w:rFonts w:ascii="Arial" w:hAnsi="Arial" w:cs="Arial"/>
          <w:sz w:val="22"/>
          <w:szCs w:val="22"/>
          <w:lang w:val="en-GB"/>
        </w:rPr>
        <w:t xml:space="preserve"> both having an alco</w:t>
      </w:r>
      <w:r w:rsidR="00823730" w:rsidRPr="00D70463">
        <w:rPr>
          <w:rFonts w:ascii="Arial" w:hAnsi="Arial" w:cs="Arial"/>
          <w:sz w:val="22"/>
          <w:szCs w:val="22"/>
          <w:lang w:val="en-GB"/>
        </w:rPr>
        <w:t>hol strength by volume exceeding 0.5%</w:t>
      </w:r>
      <w:r w:rsidR="001C7E88" w:rsidRPr="00D70463">
        <w:rPr>
          <w:rFonts w:ascii="Arial" w:hAnsi="Arial" w:cs="Arial"/>
          <w:sz w:val="22"/>
          <w:szCs w:val="22"/>
          <w:lang w:val="en-GB"/>
        </w:rPr>
        <w:t xml:space="preserve"> </w:t>
      </w:r>
      <w:r w:rsidR="00F932C8" w:rsidRPr="00D70463">
        <w:rPr>
          <w:rFonts w:ascii="Arial" w:hAnsi="Arial" w:cs="Arial"/>
          <w:sz w:val="22"/>
          <w:szCs w:val="22"/>
          <w:lang w:val="en-GB"/>
        </w:rPr>
        <w:t xml:space="preserve">vol. The heading excludes grape juice and grape must, whether or not concentrated, unfermented or having an alcoholic </w:t>
      </w:r>
      <w:r w:rsidR="0079471C" w:rsidRPr="00D70463">
        <w:rPr>
          <w:rFonts w:ascii="Arial" w:hAnsi="Arial" w:cs="Arial"/>
          <w:sz w:val="22"/>
          <w:szCs w:val="22"/>
          <w:lang w:val="en-GB"/>
        </w:rPr>
        <w:t>strength by volume not exceeding 0.5% vol</w:t>
      </w:r>
      <w:r w:rsidR="001C7E88" w:rsidRPr="00D70463">
        <w:rPr>
          <w:rFonts w:ascii="Arial" w:hAnsi="Arial" w:cs="Arial"/>
          <w:sz w:val="22"/>
          <w:szCs w:val="22"/>
          <w:lang w:val="en-GB"/>
        </w:rPr>
        <w:t xml:space="preserve"> (heading 20.09)</w:t>
      </w:r>
      <w:r w:rsidR="00EA4F61" w:rsidRPr="00D70463">
        <w:rPr>
          <w:rFonts w:ascii="Arial" w:hAnsi="Arial" w:cs="Arial"/>
          <w:sz w:val="22"/>
          <w:szCs w:val="22"/>
          <w:lang w:val="en-GB"/>
        </w:rPr>
        <w:t>.</w:t>
      </w:r>
      <w:r w:rsidR="001C7E88" w:rsidRPr="00D70463">
        <w:rPr>
          <w:rFonts w:ascii="Arial" w:hAnsi="Arial" w:cs="Arial"/>
          <w:sz w:val="22"/>
          <w:szCs w:val="22"/>
          <w:lang w:val="en-GB"/>
        </w:rPr>
        <w:t>’</w:t>
      </w:r>
      <w:r w:rsidR="00A41785" w:rsidRPr="00D70463">
        <w:rPr>
          <w:rFonts w:ascii="Arial" w:hAnsi="Arial" w:cs="Arial"/>
          <w:sz w:val="22"/>
          <w:szCs w:val="22"/>
          <w:lang w:val="en-GB"/>
        </w:rPr>
        <w:t>, and TH</w:t>
      </w:r>
      <w:r w:rsidR="00502515" w:rsidRPr="00D70463">
        <w:rPr>
          <w:rFonts w:ascii="Arial" w:hAnsi="Arial" w:cs="Arial"/>
          <w:sz w:val="22"/>
          <w:szCs w:val="22"/>
          <w:lang w:val="en-GB"/>
        </w:rPr>
        <w:t xml:space="preserve"> 22.08 (the relevant tariff heading in the current matter), which </w:t>
      </w:r>
      <w:r w:rsidR="00786D38" w:rsidRPr="00D70463">
        <w:rPr>
          <w:rFonts w:ascii="Arial" w:hAnsi="Arial" w:cs="Arial"/>
          <w:sz w:val="22"/>
          <w:szCs w:val="22"/>
          <w:lang w:val="en-GB"/>
        </w:rPr>
        <w:t>provides in relation to fruit juices that ‘… the heading includes, inter alia: (15)</w:t>
      </w:r>
      <w:r w:rsidR="0052709C" w:rsidRPr="00D70463">
        <w:rPr>
          <w:rFonts w:ascii="Arial" w:hAnsi="Arial" w:cs="Arial"/>
          <w:sz w:val="22"/>
          <w:szCs w:val="22"/>
          <w:lang w:val="en-GB"/>
        </w:rPr>
        <w:t xml:space="preserve"> Fruit or vegetable juices containing added alcohol and of an alcoholic strength</w:t>
      </w:r>
      <w:r w:rsidR="002A27E1" w:rsidRPr="00D70463">
        <w:rPr>
          <w:rFonts w:ascii="Arial" w:hAnsi="Arial" w:cs="Arial"/>
          <w:sz w:val="22"/>
          <w:szCs w:val="22"/>
          <w:lang w:val="en-GB"/>
        </w:rPr>
        <w:t xml:space="preserve"> by volume exceeding 0.5% vol, other than products of heading 22.04.’</w:t>
      </w:r>
      <w:r w:rsidR="0052709C" w:rsidRPr="00D70463">
        <w:rPr>
          <w:rFonts w:ascii="Arial" w:hAnsi="Arial" w:cs="Arial"/>
          <w:sz w:val="22"/>
          <w:szCs w:val="22"/>
          <w:lang w:val="en-GB"/>
        </w:rPr>
        <w:t xml:space="preserve"> </w:t>
      </w:r>
    </w:p>
  </w:footnote>
  <w:footnote w:id="23">
    <w:p w14:paraId="2312AD90" w14:textId="04BADAEF" w:rsidR="00E83290" w:rsidRPr="00D70463" w:rsidRDefault="00E83290" w:rsidP="00D70463">
      <w:pPr>
        <w:pStyle w:val="FootnoteText"/>
        <w:spacing w:after="120"/>
        <w:jc w:val="both"/>
        <w:rPr>
          <w:rFonts w:ascii="Arial" w:hAnsi="Arial" w:cs="Arial"/>
          <w:sz w:val="22"/>
          <w:szCs w:val="22"/>
          <w:lang w:val="en-GB"/>
        </w:rPr>
      </w:pPr>
      <w:r w:rsidRPr="00D70463">
        <w:rPr>
          <w:rStyle w:val="FootnoteReference"/>
          <w:rFonts w:ascii="Arial" w:hAnsi="Arial" w:cs="Arial"/>
          <w:sz w:val="22"/>
          <w:szCs w:val="22"/>
        </w:rPr>
        <w:footnoteRef/>
      </w:r>
      <w:r w:rsidRPr="00D70463">
        <w:rPr>
          <w:rFonts w:ascii="Arial" w:hAnsi="Arial" w:cs="Arial"/>
          <w:sz w:val="22"/>
          <w:szCs w:val="22"/>
        </w:rPr>
        <w:t xml:space="preserve"> </w:t>
      </w:r>
      <w:r w:rsidR="00203486" w:rsidRPr="00D70463">
        <w:rPr>
          <w:rFonts w:ascii="Arial" w:hAnsi="Arial" w:cs="Arial"/>
          <w:sz w:val="22"/>
          <w:szCs w:val="22"/>
          <w:lang w:val="en-GB"/>
        </w:rPr>
        <w:t>Note [</w:t>
      </w:r>
      <w:r w:rsidR="00203486" w:rsidRPr="00D70463">
        <w:rPr>
          <w:rFonts w:ascii="Arial" w:hAnsi="Arial" w:cs="Arial"/>
          <w:sz w:val="22"/>
          <w:szCs w:val="22"/>
          <w:lang w:val="en-GB"/>
        </w:rPr>
        <w:fldChar w:fldCharType="begin"/>
      </w:r>
      <w:r w:rsidR="00203486" w:rsidRPr="00D70463">
        <w:rPr>
          <w:rFonts w:ascii="Arial" w:hAnsi="Arial" w:cs="Arial"/>
          <w:sz w:val="22"/>
          <w:szCs w:val="22"/>
          <w:lang w:val="en-GB"/>
        </w:rPr>
        <w:instrText xml:space="preserve"> NOTEREF _Ref137794881 \h </w:instrText>
      </w:r>
      <w:r w:rsidR="0067491A" w:rsidRPr="00D70463">
        <w:rPr>
          <w:rFonts w:ascii="Arial" w:hAnsi="Arial" w:cs="Arial"/>
          <w:sz w:val="22"/>
          <w:szCs w:val="22"/>
          <w:lang w:val="en-GB"/>
        </w:rPr>
        <w:instrText xml:space="preserve"> \* MERGEFORMAT </w:instrText>
      </w:r>
      <w:r w:rsidR="00203486" w:rsidRPr="00D70463">
        <w:rPr>
          <w:rFonts w:ascii="Arial" w:hAnsi="Arial" w:cs="Arial"/>
          <w:sz w:val="22"/>
          <w:szCs w:val="22"/>
          <w:lang w:val="en-GB"/>
        </w:rPr>
      </w:r>
      <w:r w:rsidR="00203486" w:rsidRPr="00D70463">
        <w:rPr>
          <w:rFonts w:ascii="Arial" w:hAnsi="Arial" w:cs="Arial"/>
          <w:sz w:val="22"/>
          <w:szCs w:val="22"/>
          <w:lang w:val="en-GB"/>
        </w:rPr>
        <w:fldChar w:fldCharType="separate"/>
      </w:r>
      <w:r w:rsidR="000921D4" w:rsidRPr="00D70463">
        <w:rPr>
          <w:rFonts w:ascii="Arial" w:hAnsi="Arial" w:cs="Arial"/>
          <w:sz w:val="22"/>
          <w:szCs w:val="22"/>
          <w:lang w:val="en-GB"/>
        </w:rPr>
        <w:t>16</w:t>
      </w:r>
      <w:r w:rsidR="00203486" w:rsidRPr="00D70463">
        <w:rPr>
          <w:rFonts w:ascii="Arial" w:hAnsi="Arial" w:cs="Arial"/>
          <w:sz w:val="22"/>
          <w:szCs w:val="22"/>
          <w:lang w:val="en-GB"/>
        </w:rPr>
        <w:fldChar w:fldCharType="end"/>
      </w:r>
      <w:r w:rsidR="00203486" w:rsidRPr="00D70463">
        <w:rPr>
          <w:rFonts w:ascii="Arial" w:hAnsi="Arial" w:cs="Arial"/>
          <w:sz w:val="22"/>
          <w:szCs w:val="22"/>
          <w:lang w:val="en-GB"/>
        </w:rPr>
        <w:t xml:space="preserve">], </w:t>
      </w:r>
      <w:r w:rsidR="00203486" w:rsidRPr="00D70463">
        <w:rPr>
          <w:rFonts w:ascii="Arial" w:hAnsi="Arial" w:cs="Arial"/>
          <w:i/>
          <w:iCs/>
          <w:sz w:val="22"/>
          <w:szCs w:val="22"/>
          <w:lang w:val="en-GB"/>
        </w:rPr>
        <w:t>supra.</w:t>
      </w:r>
    </w:p>
  </w:footnote>
  <w:footnote w:id="24">
    <w:p w14:paraId="427C2977" w14:textId="636BC47E" w:rsidR="00E83290" w:rsidRPr="00D70463" w:rsidRDefault="00E83290" w:rsidP="00D70463">
      <w:pPr>
        <w:pStyle w:val="FootnoteText"/>
        <w:spacing w:after="120"/>
        <w:jc w:val="both"/>
        <w:rPr>
          <w:rFonts w:ascii="Arial" w:hAnsi="Arial" w:cs="Arial"/>
          <w:sz w:val="22"/>
          <w:szCs w:val="22"/>
          <w:lang w:val="en-GB"/>
        </w:rPr>
      </w:pPr>
      <w:r w:rsidRPr="00D70463">
        <w:rPr>
          <w:rStyle w:val="FootnoteReference"/>
          <w:rFonts w:ascii="Arial" w:hAnsi="Arial" w:cs="Arial"/>
          <w:sz w:val="22"/>
          <w:szCs w:val="22"/>
        </w:rPr>
        <w:footnoteRef/>
      </w:r>
      <w:r w:rsidRPr="00D70463">
        <w:rPr>
          <w:rFonts w:ascii="Arial" w:hAnsi="Arial" w:cs="Arial"/>
          <w:sz w:val="22"/>
          <w:szCs w:val="22"/>
        </w:rPr>
        <w:t xml:space="preserve"> </w:t>
      </w:r>
      <w:r w:rsidRPr="00D70463">
        <w:rPr>
          <w:rFonts w:ascii="Arial" w:hAnsi="Arial" w:cs="Arial"/>
          <w:sz w:val="22"/>
          <w:szCs w:val="22"/>
          <w:lang w:val="en-GB"/>
        </w:rPr>
        <w:t>2015 (2) SA 174 (SCA) at par [9].</w:t>
      </w:r>
    </w:p>
  </w:footnote>
  <w:footnote w:id="25">
    <w:p w14:paraId="1DB9B68D" w14:textId="755759BA" w:rsidR="00096211" w:rsidRPr="00D70463" w:rsidRDefault="00096211" w:rsidP="00D70463">
      <w:pPr>
        <w:pStyle w:val="FootnoteText"/>
        <w:spacing w:after="120"/>
        <w:jc w:val="both"/>
        <w:rPr>
          <w:rFonts w:ascii="Arial" w:hAnsi="Arial" w:cs="Arial"/>
          <w:b/>
          <w:bCs/>
          <w:sz w:val="22"/>
          <w:szCs w:val="22"/>
          <w:lang w:val="en-GB"/>
        </w:rPr>
      </w:pPr>
      <w:r w:rsidRPr="00D70463">
        <w:rPr>
          <w:rStyle w:val="FootnoteReference"/>
          <w:rFonts w:ascii="Arial" w:hAnsi="Arial" w:cs="Arial"/>
          <w:sz w:val="22"/>
          <w:szCs w:val="22"/>
        </w:rPr>
        <w:footnoteRef/>
      </w:r>
      <w:r w:rsidRPr="00D70463">
        <w:rPr>
          <w:rFonts w:ascii="Arial" w:hAnsi="Arial" w:cs="Arial"/>
          <w:sz w:val="22"/>
          <w:szCs w:val="22"/>
        </w:rPr>
        <w:t xml:space="preserve"> </w:t>
      </w:r>
      <w:r w:rsidRPr="00D70463">
        <w:rPr>
          <w:rFonts w:ascii="Arial" w:hAnsi="Arial" w:cs="Arial"/>
          <w:i/>
          <w:iCs/>
          <w:sz w:val="22"/>
          <w:szCs w:val="22"/>
          <w:lang w:val="en-GB"/>
        </w:rPr>
        <w:t>BP Southern Africa (Pty) Ltd and Others v Secretary for Customs and Excise and Another</w:t>
      </w:r>
      <w:r w:rsidRPr="00D70463">
        <w:rPr>
          <w:rFonts w:ascii="Arial" w:hAnsi="Arial" w:cs="Arial"/>
          <w:sz w:val="22"/>
          <w:szCs w:val="22"/>
          <w:lang w:val="en-GB"/>
        </w:rPr>
        <w:t xml:space="preserve"> </w:t>
      </w:r>
      <w:r w:rsidR="00A20D19" w:rsidRPr="00D70463">
        <w:rPr>
          <w:rFonts w:ascii="Arial" w:hAnsi="Arial" w:cs="Arial"/>
          <w:sz w:val="22"/>
          <w:szCs w:val="22"/>
          <w:lang w:val="en-GB"/>
        </w:rPr>
        <w:t>1984 (3) SA 367 (C)</w:t>
      </w:r>
      <w:r w:rsidR="00477386" w:rsidRPr="00D70463">
        <w:rPr>
          <w:rFonts w:ascii="Arial" w:hAnsi="Arial" w:cs="Arial"/>
          <w:sz w:val="22"/>
          <w:szCs w:val="22"/>
          <w:lang w:val="en-GB"/>
        </w:rPr>
        <w:t xml:space="preserve"> at 375H-376B.</w:t>
      </w:r>
      <w:r w:rsidR="002B20B5" w:rsidRPr="00D70463">
        <w:rPr>
          <w:rFonts w:ascii="Arial" w:hAnsi="Arial" w:cs="Arial"/>
          <w:sz w:val="22"/>
          <w:szCs w:val="22"/>
          <w:lang w:val="en-GB"/>
        </w:rPr>
        <w:t xml:space="preserve"> Tebutt J held at 376</w:t>
      </w:r>
      <w:r w:rsidR="0026479A" w:rsidRPr="00D70463">
        <w:rPr>
          <w:rFonts w:ascii="Arial" w:hAnsi="Arial" w:cs="Arial"/>
          <w:sz w:val="22"/>
          <w:szCs w:val="22"/>
          <w:lang w:val="en-GB"/>
        </w:rPr>
        <w:t xml:space="preserve">A: </w:t>
      </w:r>
      <w:r w:rsidR="00B5166D" w:rsidRPr="00D70463">
        <w:rPr>
          <w:rFonts w:ascii="Arial" w:hAnsi="Arial" w:cs="Arial"/>
          <w:sz w:val="22"/>
          <w:szCs w:val="22"/>
          <w:lang w:val="en-US"/>
        </w:rPr>
        <w:t>‘</w:t>
      </w:r>
      <w:r w:rsidR="000A0AC1" w:rsidRPr="00D70463">
        <w:rPr>
          <w:rFonts w:ascii="Arial" w:hAnsi="Arial" w:cs="Arial"/>
          <w:sz w:val="22"/>
          <w:szCs w:val="22"/>
          <w:lang w:val="en-US"/>
        </w:rPr>
        <w:t>It</w:t>
      </w:r>
      <w:r w:rsidR="0026479A" w:rsidRPr="00D70463">
        <w:rPr>
          <w:rFonts w:ascii="Arial" w:hAnsi="Arial" w:cs="Arial"/>
          <w:sz w:val="22"/>
          <w:szCs w:val="22"/>
          <w:lang w:val="en-US"/>
        </w:rPr>
        <w:t xml:space="preserve"> has been stated</w:t>
      </w:r>
      <w:r w:rsidR="00AF6624" w:rsidRPr="00D70463">
        <w:rPr>
          <w:rFonts w:ascii="Arial" w:hAnsi="Arial" w:cs="Arial"/>
          <w:sz w:val="22"/>
          <w:szCs w:val="22"/>
          <w:lang w:val="en-US"/>
        </w:rPr>
        <w:t xml:space="preserve"> that it is neither unjust </w:t>
      </w:r>
      <w:r w:rsidR="000A0AC1" w:rsidRPr="00D70463">
        <w:rPr>
          <w:rFonts w:ascii="Arial" w:hAnsi="Arial" w:cs="Arial"/>
          <w:sz w:val="22"/>
          <w:szCs w:val="22"/>
          <w:lang w:val="en-US"/>
        </w:rPr>
        <w:t>nor</w:t>
      </w:r>
      <w:r w:rsidR="00AF6624" w:rsidRPr="00D70463">
        <w:rPr>
          <w:rFonts w:ascii="Arial" w:hAnsi="Arial" w:cs="Arial"/>
          <w:sz w:val="22"/>
          <w:szCs w:val="22"/>
          <w:lang w:val="en-US"/>
        </w:rPr>
        <w:t xml:space="preserve"> inconvenient to exact a rigorous observance of the conditions as essential to the acquisition of the privileged conferred and that it is probable that this was the intention of </w:t>
      </w:r>
      <w:r w:rsidR="000A0AC1" w:rsidRPr="00D70463">
        <w:rPr>
          <w:rFonts w:ascii="Arial" w:hAnsi="Arial" w:cs="Arial"/>
          <w:sz w:val="22"/>
          <w:szCs w:val="22"/>
          <w:lang w:val="en-US"/>
        </w:rPr>
        <w:t>the Legislature.</w:t>
      </w:r>
      <w:r w:rsidR="00B5166D" w:rsidRPr="00D70463">
        <w:rPr>
          <w:rFonts w:ascii="Arial" w:hAnsi="Arial" w:cs="Arial"/>
          <w:sz w:val="22"/>
          <w:szCs w:val="22"/>
          <w:lang w:val="en-US"/>
        </w:rPr>
        <w:t>’</w:t>
      </w:r>
    </w:p>
  </w:footnote>
  <w:footnote w:id="26">
    <w:p w14:paraId="6EA10B96" w14:textId="0854C7ED" w:rsidR="00264654" w:rsidRPr="00D70463" w:rsidRDefault="00264654" w:rsidP="00D70463">
      <w:pPr>
        <w:pStyle w:val="FootnoteText"/>
        <w:spacing w:after="120"/>
        <w:jc w:val="both"/>
        <w:rPr>
          <w:rFonts w:ascii="Arial" w:hAnsi="Arial" w:cs="Arial"/>
          <w:sz w:val="22"/>
          <w:szCs w:val="22"/>
          <w:lang w:val="en-GB"/>
        </w:rPr>
      </w:pPr>
      <w:r w:rsidRPr="00D70463">
        <w:rPr>
          <w:rStyle w:val="FootnoteReference"/>
          <w:rFonts w:ascii="Arial" w:hAnsi="Arial" w:cs="Arial"/>
          <w:sz w:val="22"/>
          <w:szCs w:val="22"/>
        </w:rPr>
        <w:footnoteRef/>
      </w:r>
      <w:r w:rsidR="00A843C2" w:rsidRPr="00D70463">
        <w:rPr>
          <w:rFonts w:ascii="Arial" w:hAnsi="Arial" w:cs="Arial"/>
          <w:sz w:val="22"/>
          <w:szCs w:val="22"/>
        </w:rPr>
        <w:t xml:space="preserve"> </w:t>
      </w:r>
      <w:r w:rsidR="00A843C2" w:rsidRPr="00D70463">
        <w:rPr>
          <w:rFonts w:ascii="Arial" w:hAnsi="Arial" w:cs="Arial"/>
          <w:i/>
          <w:iCs/>
          <w:sz w:val="22"/>
          <w:szCs w:val="22"/>
          <w:lang w:val="en-GB"/>
        </w:rPr>
        <w:t>BP Southern Africa (Pty) Ltd and Others v Secretary for Customs and Excise and Another</w:t>
      </w:r>
      <w:r w:rsidRPr="00D70463">
        <w:rPr>
          <w:rFonts w:ascii="Arial" w:hAnsi="Arial" w:cs="Arial"/>
          <w:sz w:val="22"/>
          <w:szCs w:val="22"/>
        </w:rPr>
        <w:t xml:space="preserve"> </w:t>
      </w:r>
      <w:r w:rsidR="004F32B6" w:rsidRPr="00D70463">
        <w:rPr>
          <w:rFonts w:ascii="Arial" w:hAnsi="Arial" w:cs="Arial"/>
          <w:sz w:val="22"/>
          <w:szCs w:val="22"/>
          <w:lang w:val="en-GB"/>
        </w:rPr>
        <w:t>1985 (1) SA 725 (A).</w:t>
      </w:r>
    </w:p>
  </w:footnote>
  <w:footnote w:id="27">
    <w:p w14:paraId="536AB9D9" w14:textId="49153FF9" w:rsidR="007F7644" w:rsidRPr="00D70463" w:rsidRDefault="007F7644" w:rsidP="00D70463">
      <w:pPr>
        <w:pStyle w:val="FootnoteText"/>
        <w:spacing w:after="120"/>
        <w:jc w:val="both"/>
        <w:rPr>
          <w:rFonts w:ascii="Arial" w:hAnsi="Arial" w:cs="Arial"/>
          <w:sz w:val="22"/>
          <w:szCs w:val="22"/>
          <w:lang w:val="en-GB"/>
        </w:rPr>
      </w:pPr>
      <w:r w:rsidRPr="00D70463">
        <w:rPr>
          <w:rStyle w:val="FootnoteReference"/>
          <w:rFonts w:ascii="Arial" w:hAnsi="Arial" w:cs="Arial"/>
          <w:sz w:val="22"/>
          <w:szCs w:val="22"/>
        </w:rPr>
        <w:footnoteRef/>
      </w:r>
      <w:r w:rsidRPr="00D70463">
        <w:rPr>
          <w:rFonts w:ascii="Arial" w:hAnsi="Arial" w:cs="Arial"/>
          <w:sz w:val="22"/>
          <w:szCs w:val="22"/>
        </w:rPr>
        <w:t xml:space="preserve"> </w:t>
      </w:r>
      <w:r w:rsidRPr="00D70463">
        <w:rPr>
          <w:rFonts w:ascii="Arial" w:hAnsi="Arial" w:cs="Arial"/>
          <w:i/>
          <w:iCs/>
          <w:sz w:val="22"/>
          <w:szCs w:val="22"/>
          <w:lang w:val="en-GB"/>
        </w:rPr>
        <w:t>Supra</w:t>
      </w:r>
      <w:r w:rsidRPr="00D70463">
        <w:rPr>
          <w:rFonts w:ascii="Arial" w:hAnsi="Arial" w:cs="Arial"/>
          <w:sz w:val="22"/>
          <w:szCs w:val="22"/>
          <w:lang w:val="en-GB"/>
        </w:rPr>
        <w:t>, 737</w:t>
      </w:r>
      <w:r w:rsidR="00DF03AA" w:rsidRPr="00D70463">
        <w:rPr>
          <w:rFonts w:ascii="Arial" w:hAnsi="Arial" w:cs="Arial"/>
          <w:sz w:val="22"/>
          <w:szCs w:val="22"/>
          <w:lang w:val="en-GB"/>
        </w:rPr>
        <w:t>A.</w:t>
      </w:r>
    </w:p>
  </w:footnote>
  <w:footnote w:id="28">
    <w:p w14:paraId="70823AC7" w14:textId="181E4C75" w:rsidR="00C326EC" w:rsidRPr="00D70463" w:rsidRDefault="00C326EC" w:rsidP="00D70463">
      <w:pPr>
        <w:pStyle w:val="FootnoteText"/>
        <w:spacing w:after="120"/>
        <w:jc w:val="both"/>
        <w:rPr>
          <w:rFonts w:ascii="Arial" w:hAnsi="Arial" w:cs="Arial"/>
          <w:sz w:val="22"/>
          <w:szCs w:val="22"/>
          <w:lang w:val="en-GB"/>
        </w:rPr>
      </w:pPr>
      <w:r w:rsidRPr="00D70463">
        <w:rPr>
          <w:rStyle w:val="FootnoteReference"/>
          <w:rFonts w:ascii="Arial" w:hAnsi="Arial" w:cs="Arial"/>
          <w:sz w:val="22"/>
          <w:szCs w:val="22"/>
        </w:rPr>
        <w:footnoteRef/>
      </w:r>
      <w:r w:rsidRPr="00D70463">
        <w:rPr>
          <w:rFonts w:ascii="Arial" w:hAnsi="Arial" w:cs="Arial"/>
          <w:sz w:val="22"/>
          <w:szCs w:val="22"/>
        </w:rPr>
        <w:t xml:space="preserve"> </w:t>
      </w:r>
      <w:r w:rsidRPr="00D70463">
        <w:rPr>
          <w:rFonts w:ascii="Arial" w:hAnsi="Arial" w:cs="Arial"/>
          <w:sz w:val="22"/>
          <w:szCs w:val="22"/>
          <w:lang w:val="en-GB"/>
        </w:rPr>
        <w:t>2009 (4) SA 399 (SCA) at par [39].</w:t>
      </w:r>
    </w:p>
  </w:footnote>
  <w:footnote w:id="29">
    <w:p w14:paraId="2E5F5A45" w14:textId="4AF253A7" w:rsidR="006072A9" w:rsidRPr="00D70463" w:rsidRDefault="006072A9" w:rsidP="00D70463">
      <w:pPr>
        <w:pStyle w:val="FootnoteText"/>
        <w:spacing w:after="120"/>
        <w:jc w:val="both"/>
        <w:rPr>
          <w:rFonts w:ascii="Arial" w:hAnsi="Arial" w:cs="Arial"/>
          <w:sz w:val="22"/>
          <w:szCs w:val="22"/>
          <w:lang w:val="en-GB"/>
        </w:rPr>
      </w:pPr>
      <w:r w:rsidRPr="00D70463">
        <w:rPr>
          <w:rStyle w:val="FootnoteReference"/>
          <w:rFonts w:ascii="Arial" w:hAnsi="Arial" w:cs="Arial"/>
          <w:sz w:val="22"/>
          <w:szCs w:val="22"/>
        </w:rPr>
        <w:footnoteRef/>
      </w:r>
      <w:r w:rsidRPr="00D70463">
        <w:rPr>
          <w:rFonts w:ascii="Arial" w:hAnsi="Arial" w:cs="Arial"/>
          <w:sz w:val="22"/>
          <w:szCs w:val="22"/>
        </w:rPr>
        <w:t xml:space="preserve"> </w:t>
      </w:r>
      <w:r w:rsidR="00A10832" w:rsidRPr="00D70463">
        <w:rPr>
          <w:rFonts w:ascii="Arial" w:hAnsi="Arial" w:cs="Arial"/>
          <w:sz w:val="22"/>
          <w:szCs w:val="22"/>
          <w:lang w:val="en-GB"/>
        </w:rPr>
        <w:t>2012 (4) SA 593 (SCA) at par [18].</w:t>
      </w:r>
    </w:p>
  </w:footnote>
  <w:footnote w:id="30">
    <w:p w14:paraId="7B4362E9" w14:textId="00CF5542" w:rsidR="0037247F" w:rsidRPr="00D70463" w:rsidRDefault="0037247F" w:rsidP="00D70463">
      <w:pPr>
        <w:pStyle w:val="FootnoteText"/>
        <w:spacing w:after="120"/>
        <w:jc w:val="both"/>
        <w:rPr>
          <w:rFonts w:ascii="Arial" w:hAnsi="Arial" w:cs="Arial"/>
          <w:sz w:val="22"/>
          <w:szCs w:val="22"/>
          <w:lang w:val="en-GB"/>
        </w:rPr>
      </w:pPr>
      <w:r w:rsidRPr="00D70463">
        <w:rPr>
          <w:rStyle w:val="FootnoteReference"/>
          <w:rFonts w:ascii="Arial" w:hAnsi="Arial" w:cs="Arial"/>
          <w:sz w:val="22"/>
          <w:szCs w:val="22"/>
        </w:rPr>
        <w:footnoteRef/>
      </w:r>
      <w:r w:rsidRPr="00D70463">
        <w:rPr>
          <w:rFonts w:ascii="Arial" w:hAnsi="Arial" w:cs="Arial"/>
          <w:sz w:val="22"/>
          <w:szCs w:val="22"/>
        </w:rPr>
        <w:t xml:space="preserve"> </w:t>
      </w:r>
      <w:r w:rsidR="00716CB5" w:rsidRPr="00D70463">
        <w:rPr>
          <w:rFonts w:ascii="Arial" w:hAnsi="Arial" w:cs="Arial"/>
          <w:sz w:val="22"/>
          <w:szCs w:val="22"/>
          <w:lang w:val="en-GB"/>
        </w:rPr>
        <w:t>2016 (1) SA 518 (SCA)</w:t>
      </w:r>
      <w:r w:rsidR="00FC0E4A" w:rsidRPr="00D70463">
        <w:rPr>
          <w:rFonts w:ascii="Arial" w:hAnsi="Arial" w:cs="Arial"/>
          <w:sz w:val="22"/>
          <w:szCs w:val="22"/>
          <w:lang w:val="en-GB"/>
        </w:rPr>
        <w:t xml:space="preserve"> par</w:t>
      </w:r>
      <w:r w:rsidR="009D50D0" w:rsidRPr="00D70463">
        <w:rPr>
          <w:rFonts w:ascii="Arial" w:hAnsi="Arial" w:cs="Arial"/>
          <w:sz w:val="22"/>
          <w:szCs w:val="22"/>
          <w:lang w:val="en-GB"/>
        </w:rPr>
        <w:t xml:space="preserve"> [27</w:t>
      </w:r>
      <w:r w:rsidR="00F14959" w:rsidRPr="00D70463">
        <w:rPr>
          <w:rFonts w:ascii="Arial" w:hAnsi="Arial" w:cs="Arial"/>
          <w:sz w:val="22"/>
          <w:szCs w:val="22"/>
          <w:lang w:val="en-GB"/>
        </w:rPr>
        <w:t>].</w:t>
      </w:r>
    </w:p>
  </w:footnote>
  <w:footnote w:id="31">
    <w:p w14:paraId="2A33D386" w14:textId="6B218250" w:rsidR="00F102D2" w:rsidRPr="00D70463" w:rsidRDefault="00F102D2" w:rsidP="00D70463">
      <w:pPr>
        <w:pStyle w:val="FootnoteText"/>
        <w:spacing w:after="120"/>
        <w:jc w:val="both"/>
        <w:rPr>
          <w:rFonts w:ascii="Arial" w:hAnsi="Arial" w:cs="Arial"/>
          <w:sz w:val="22"/>
          <w:szCs w:val="22"/>
          <w:lang w:val="en-GB"/>
        </w:rPr>
      </w:pPr>
      <w:r w:rsidRPr="00D70463">
        <w:rPr>
          <w:rStyle w:val="FootnoteReference"/>
          <w:rFonts w:ascii="Arial" w:hAnsi="Arial" w:cs="Arial"/>
          <w:sz w:val="22"/>
          <w:szCs w:val="22"/>
        </w:rPr>
        <w:footnoteRef/>
      </w:r>
      <w:r w:rsidRPr="00D70463">
        <w:rPr>
          <w:rFonts w:ascii="Arial" w:hAnsi="Arial" w:cs="Arial"/>
          <w:sz w:val="22"/>
          <w:szCs w:val="22"/>
        </w:rPr>
        <w:t xml:space="preserve"> </w:t>
      </w:r>
      <w:r w:rsidR="006430DB" w:rsidRPr="00D70463">
        <w:rPr>
          <w:rFonts w:ascii="Arial" w:hAnsi="Arial" w:cs="Arial"/>
          <w:sz w:val="22"/>
          <w:szCs w:val="22"/>
          <w:lang w:val="en-US"/>
        </w:rPr>
        <w:t>[835/2022] [2023]</w:t>
      </w:r>
      <w:r w:rsidR="004F0D88" w:rsidRPr="00D70463">
        <w:rPr>
          <w:rFonts w:ascii="Arial" w:hAnsi="Arial" w:cs="Arial"/>
          <w:sz w:val="22"/>
          <w:szCs w:val="22"/>
          <w:lang w:val="en-US"/>
        </w:rPr>
        <w:t xml:space="preserve"> ZASCA 86 </w:t>
      </w:r>
      <w:r w:rsidR="00E677D2" w:rsidRPr="00D70463">
        <w:rPr>
          <w:rFonts w:ascii="Arial" w:hAnsi="Arial" w:cs="Arial"/>
          <w:sz w:val="22"/>
          <w:szCs w:val="22"/>
          <w:lang w:val="en-US"/>
        </w:rPr>
        <w:t>(</w:t>
      </w:r>
      <w:r w:rsidR="004F0D88" w:rsidRPr="00D70463">
        <w:rPr>
          <w:rFonts w:ascii="Arial" w:hAnsi="Arial" w:cs="Arial"/>
          <w:sz w:val="22"/>
          <w:szCs w:val="22"/>
          <w:lang w:val="en-US"/>
        </w:rPr>
        <w:t>2 June 2023).</w:t>
      </w:r>
    </w:p>
  </w:footnote>
  <w:footnote w:id="32">
    <w:p w14:paraId="56C26C61" w14:textId="596473B1" w:rsidR="00370AFA" w:rsidRPr="00D70463" w:rsidRDefault="00370AFA" w:rsidP="00D70463">
      <w:pPr>
        <w:pStyle w:val="FootnoteText"/>
        <w:spacing w:after="120"/>
        <w:jc w:val="both"/>
        <w:rPr>
          <w:rFonts w:ascii="Arial" w:hAnsi="Arial" w:cs="Arial"/>
          <w:sz w:val="22"/>
          <w:szCs w:val="22"/>
          <w:lang w:val="en-GB"/>
        </w:rPr>
      </w:pPr>
      <w:r w:rsidRPr="00D70463">
        <w:rPr>
          <w:rStyle w:val="FootnoteReference"/>
          <w:rFonts w:ascii="Arial" w:hAnsi="Arial" w:cs="Arial"/>
          <w:sz w:val="22"/>
          <w:szCs w:val="22"/>
        </w:rPr>
        <w:footnoteRef/>
      </w:r>
      <w:r w:rsidRPr="00D70463">
        <w:rPr>
          <w:rFonts w:ascii="Arial" w:hAnsi="Arial" w:cs="Arial"/>
          <w:sz w:val="22"/>
          <w:szCs w:val="22"/>
        </w:rPr>
        <w:t xml:space="preserve"> </w:t>
      </w:r>
      <w:r w:rsidRPr="00D70463">
        <w:rPr>
          <w:rFonts w:ascii="Arial" w:hAnsi="Arial" w:cs="Arial"/>
          <w:i/>
          <w:iCs/>
          <w:sz w:val="22"/>
          <w:szCs w:val="22"/>
          <w:lang w:val="en-GB"/>
        </w:rPr>
        <w:t>Supra</w:t>
      </w:r>
      <w:r w:rsidRPr="00D70463">
        <w:rPr>
          <w:rFonts w:ascii="Arial" w:hAnsi="Arial" w:cs="Arial"/>
          <w:sz w:val="22"/>
          <w:szCs w:val="22"/>
          <w:lang w:val="en-GB"/>
        </w:rPr>
        <w:t>, at par [15].</w:t>
      </w:r>
    </w:p>
  </w:footnote>
  <w:footnote w:id="33">
    <w:p w14:paraId="237713A4" w14:textId="71768902" w:rsidR="005F24D7" w:rsidRPr="00D70463" w:rsidRDefault="005F24D7" w:rsidP="00D70463">
      <w:pPr>
        <w:pStyle w:val="FootnoteText"/>
        <w:spacing w:after="120"/>
        <w:jc w:val="both"/>
        <w:rPr>
          <w:rFonts w:ascii="Arial" w:hAnsi="Arial" w:cs="Arial"/>
          <w:sz w:val="22"/>
          <w:szCs w:val="22"/>
          <w:lang w:val="en-GB"/>
        </w:rPr>
      </w:pPr>
      <w:r w:rsidRPr="00D70463">
        <w:rPr>
          <w:rStyle w:val="FootnoteReference"/>
          <w:rFonts w:ascii="Arial" w:hAnsi="Arial" w:cs="Arial"/>
          <w:sz w:val="22"/>
          <w:szCs w:val="22"/>
        </w:rPr>
        <w:footnoteRef/>
      </w:r>
      <w:r w:rsidRPr="00D70463">
        <w:rPr>
          <w:rFonts w:ascii="Arial" w:hAnsi="Arial" w:cs="Arial"/>
          <w:sz w:val="22"/>
          <w:szCs w:val="22"/>
        </w:rPr>
        <w:t xml:space="preserve"> </w:t>
      </w:r>
      <w:r w:rsidR="00A01B9A" w:rsidRPr="00D70463">
        <w:rPr>
          <w:rFonts w:ascii="Arial" w:hAnsi="Arial" w:cs="Arial"/>
          <w:i/>
          <w:iCs/>
          <w:sz w:val="22"/>
          <w:szCs w:val="22"/>
        </w:rPr>
        <w:t>Endumeni, supra,</w:t>
      </w:r>
      <w:r w:rsidR="00A01B9A" w:rsidRPr="00D70463">
        <w:rPr>
          <w:rFonts w:ascii="Arial" w:hAnsi="Arial" w:cs="Arial"/>
          <w:sz w:val="22"/>
          <w:szCs w:val="22"/>
        </w:rPr>
        <w:t xml:space="preserve"> at par [18].</w:t>
      </w:r>
    </w:p>
  </w:footnote>
  <w:footnote w:id="34">
    <w:p w14:paraId="1AE5A03C" w14:textId="6F6C1FE8" w:rsidR="00394C6C" w:rsidRPr="00D70463" w:rsidRDefault="00394C6C" w:rsidP="00D70463">
      <w:pPr>
        <w:pStyle w:val="FootnoteText"/>
        <w:spacing w:after="120"/>
        <w:jc w:val="both"/>
        <w:rPr>
          <w:rFonts w:ascii="Arial" w:hAnsi="Arial" w:cs="Arial"/>
          <w:sz w:val="22"/>
          <w:szCs w:val="22"/>
          <w:lang w:val="en-GB"/>
        </w:rPr>
      </w:pPr>
      <w:r w:rsidRPr="00D70463">
        <w:rPr>
          <w:rStyle w:val="FootnoteReference"/>
          <w:rFonts w:ascii="Arial" w:hAnsi="Arial" w:cs="Arial"/>
          <w:sz w:val="22"/>
          <w:szCs w:val="22"/>
        </w:rPr>
        <w:footnoteRef/>
      </w:r>
      <w:r w:rsidRPr="00D70463">
        <w:rPr>
          <w:rFonts w:ascii="Arial" w:hAnsi="Arial" w:cs="Arial"/>
          <w:sz w:val="22"/>
          <w:szCs w:val="22"/>
        </w:rPr>
        <w:t xml:space="preserve"> </w:t>
      </w:r>
      <w:r w:rsidRPr="00D70463">
        <w:rPr>
          <w:rFonts w:ascii="Arial" w:hAnsi="Arial" w:cs="Arial"/>
          <w:sz w:val="22"/>
          <w:szCs w:val="22"/>
          <w:lang w:val="en-US"/>
        </w:rPr>
        <w:t>This approach</w:t>
      </w:r>
      <w:r w:rsidR="00B86A0C" w:rsidRPr="00D70463">
        <w:rPr>
          <w:rFonts w:ascii="Arial" w:hAnsi="Arial" w:cs="Arial"/>
          <w:sz w:val="22"/>
          <w:szCs w:val="22"/>
          <w:lang w:val="en-US"/>
        </w:rPr>
        <w:t xml:space="preserve"> was also identified by the </w:t>
      </w:r>
      <w:r w:rsidR="001C52E9" w:rsidRPr="00D70463">
        <w:rPr>
          <w:rFonts w:ascii="Arial" w:hAnsi="Arial" w:cs="Arial"/>
          <w:sz w:val="22"/>
          <w:szCs w:val="22"/>
          <w:lang w:val="en-US"/>
        </w:rPr>
        <w:t>C</w:t>
      </w:r>
      <w:r w:rsidR="00B86A0C" w:rsidRPr="00D70463">
        <w:rPr>
          <w:rFonts w:ascii="Arial" w:hAnsi="Arial" w:cs="Arial"/>
          <w:sz w:val="22"/>
          <w:szCs w:val="22"/>
          <w:lang w:val="en-US"/>
        </w:rPr>
        <w:t xml:space="preserve">onstitutional </w:t>
      </w:r>
      <w:r w:rsidR="001C52E9" w:rsidRPr="00D70463">
        <w:rPr>
          <w:rFonts w:ascii="Arial" w:hAnsi="Arial" w:cs="Arial"/>
          <w:sz w:val="22"/>
          <w:szCs w:val="22"/>
          <w:lang w:val="en-US"/>
        </w:rPr>
        <w:t>C</w:t>
      </w:r>
      <w:r w:rsidR="00B86A0C" w:rsidRPr="00D70463">
        <w:rPr>
          <w:rFonts w:ascii="Arial" w:hAnsi="Arial" w:cs="Arial"/>
          <w:sz w:val="22"/>
          <w:szCs w:val="22"/>
          <w:lang w:val="en-US"/>
        </w:rPr>
        <w:t>ourt to be the preferred approach</w:t>
      </w:r>
      <w:r w:rsidR="00B0681B" w:rsidRPr="00D70463">
        <w:rPr>
          <w:rFonts w:ascii="Arial" w:hAnsi="Arial" w:cs="Arial"/>
          <w:sz w:val="22"/>
          <w:szCs w:val="22"/>
          <w:lang w:val="en-US"/>
        </w:rPr>
        <w:t>. See</w:t>
      </w:r>
      <w:r w:rsidR="00B0681B" w:rsidRPr="00D70463">
        <w:rPr>
          <w:rFonts w:ascii="Arial" w:hAnsi="Arial" w:cs="Arial"/>
          <w:i/>
          <w:iCs/>
          <w:sz w:val="22"/>
          <w:szCs w:val="22"/>
          <w:lang w:val="en-US"/>
        </w:rPr>
        <w:t xml:space="preserve"> </w:t>
      </w:r>
      <w:r w:rsidR="0025603F" w:rsidRPr="00D70463">
        <w:rPr>
          <w:rFonts w:ascii="Arial" w:hAnsi="Arial" w:cs="Arial"/>
          <w:i/>
          <w:iCs/>
          <w:sz w:val="22"/>
          <w:szCs w:val="22"/>
          <w:lang w:val="en-US"/>
        </w:rPr>
        <w:t>D</w:t>
      </w:r>
      <w:r w:rsidR="00B0681B" w:rsidRPr="00D70463">
        <w:rPr>
          <w:rFonts w:ascii="Arial" w:hAnsi="Arial" w:cs="Arial"/>
          <w:i/>
          <w:iCs/>
          <w:sz w:val="22"/>
          <w:szCs w:val="22"/>
          <w:lang w:val="en-US"/>
        </w:rPr>
        <w:t xml:space="preserve">epartment of </w:t>
      </w:r>
      <w:r w:rsidR="0025603F" w:rsidRPr="00D70463">
        <w:rPr>
          <w:rFonts w:ascii="Arial" w:hAnsi="Arial" w:cs="Arial"/>
          <w:i/>
          <w:iCs/>
          <w:sz w:val="22"/>
          <w:szCs w:val="22"/>
          <w:lang w:val="en-US"/>
        </w:rPr>
        <w:t>L</w:t>
      </w:r>
      <w:r w:rsidR="00B0681B" w:rsidRPr="00D70463">
        <w:rPr>
          <w:rFonts w:ascii="Arial" w:hAnsi="Arial" w:cs="Arial"/>
          <w:i/>
          <w:iCs/>
          <w:sz w:val="22"/>
          <w:szCs w:val="22"/>
          <w:lang w:val="en-US"/>
        </w:rPr>
        <w:t xml:space="preserve">and </w:t>
      </w:r>
      <w:r w:rsidR="0025603F" w:rsidRPr="00D70463">
        <w:rPr>
          <w:rFonts w:ascii="Arial" w:hAnsi="Arial" w:cs="Arial"/>
          <w:i/>
          <w:iCs/>
          <w:sz w:val="22"/>
          <w:szCs w:val="22"/>
          <w:lang w:val="en-US"/>
        </w:rPr>
        <w:t>A</w:t>
      </w:r>
      <w:r w:rsidR="00B0681B" w:rsidRPr="00D70463">
        <w:rPr>
          <w:rFonts w:ascii="Arial" w:hAnsi="Arial" w:cs="Arial"/>
          <w:i/>
          <w:iCs/>
          <w:sz w:val="22"/>
          <w:szCs w:val="22"/>
          <w:lang w:val="en-US"/>
        </w:rPr>
        <w:t xml:space="preserve">ffairs and </w:t>
      </w:r>
      <w:r w:rsidR="0025603F" w:rsidRPr="00D70463">
        <w:rPr>
          <w:rFonts w:ascii="Arial" w:hAnsi="Arial" w:cs="Arial"/>
          <w:i/>
          <w:iCs/>
          <w:sz w:val="22"/>
          <w:szCs w:val="22"/>
          <w:lang w:val="en-US"/>
        </w:rPr>
        <w:t>O</w:t>
      </w:r>
      <w:r w:rsidR="00B0681B" w:rsidRPr="00D70463">
        <w:rPr>
          <w:rFonts w:ascii="Arial" w:hAnsi="Arial" w:cs="Arial"/>
          <w:i/>
          <w:iCs/>
          <w:sz w:val="22"/>
          <w:szCs w:val="22"/>
          <w:lang w:val="en-US"/>
        </w:rPr>
        <w:t xml:space="preserve">thers </w:t>
      </w:r>
      <w:r w:rsidR="0025603F" w:rsidRPr="00D70463">
        <w:rPr>
          <w:rFonts w:ascii="Arial" w:hAnsi="Arial" w:cs="Arial"/>
          <w:i/>
          <w:iCs/>
          <w:sz w:val="22"/>
          <w:szCs w:val="22"/>
          <w:lang w:val="en-US"/>
        </w:rPr>
        <w:t>v Goedgelegen</w:t>
      </w:r>
      <w:r w:rsidR="00B0681B" w:rsidRPr="00D70463">
        <w:rPr>
          <w:rFonts w:ascii="Arial" w:hAnsi="Arial" w:cs="Arial"/>
          <w:i/>
          <w:iCs/>
          <w:sz w:val="22"/>
          <w:szCs w:val="22"/>
          <w:lang w:val="en-US"/>
        </w:rPr>
        <w:t xml:space="preserve"> </w:t>
      </w:r>
      <w:r w:rsidR="0025603F" w:rsidRPr="00D70463">
        <w:rPr>
          <w:rFonts w:ascii="Arial" w:hAnsi="Arial" w:cs="Arial"/>
          <w:i/>
          <w:iCs/>
          <w:sz w:val="22"/>
          <w:szCs w:val="22"/>
          <w:lang w:val="en-US"/>
        </w:rPr>
        <w:t>T</w:t>
      </w:r>
      <w:r w:rsidR="00B0681B" w:rsidRPr="00D70463">
        <w:rPr>
          <w:rFonts w:ascii="Arial" w:hAnsi="Arial" w:cs="Arial"/>
          <w:i/>
          <w:iCs/>
          <w:sz w:val="22"/>
          <w:szCs w:val="22"/>
          <w:lang w:val="en-US"/>
        </w:rPr>
        <w:t xml:space="preserve">ropical </w:t>
      </w:r>
      <w:r w:rsidR="0025603F" w:rsidRPr="00D70463">
        <w:rPr>
          <w:rFonts w:ascii="Arial" w:hAnsi="Arial" w:cs="Arial"/>
          <w:i/>
          <w:iCs/>
          <w:sz w:val="22"/>
          <w:szCs w:val="22"/>
          <w:lang w:val="en-US"/>
        </w:rPr>
        <w:t>F</w:t>
      </w:r>
      <w:r w:rsidR="00B0681B" w:rsidRPr="00D70463">
        <w:rPr>
          <w:rFonts w:ascii="Arial" w:hAnsi="Arial" w:cs="Arial"/>
          <w:i/>
          <w:iCs/>
          <w:sz w:val="22"/>
          <w:szCs w:val="22"/>
          <w:lang w:val="en-US"/>
        </w:rPr>
        <w:t>ruits</w:t>
      </w:r>
      <w:r w:rsidR="0025603F" w:rsidRPr="00D70463">
        <w:rPr>
          <w:rFonts w:ascii="Arial" w:hAnsi="Arial" w:cs="Arial"/>
          <w:i/>
          <w:iCs/>
          <w:sz w:val="22"/>
          <w:szCs w:val="22"/>
          <w:lang w:val="en-US"/>
        </w:rPr>
        <w:t xml:space="preserve"> (</w:t>
      </w:r>
      <w:r w:rsidR="00A01B9A" w:rsidRPr="00D70463">
        <w:rPr>
          <w:rFonts w:ascii="Arial" w:hAnsi="Arial" w:cs="Arial"/>
          <w:i/>
          <w:iCs/>
          <w:sz w:val="22"/>
          <w:szCs w:val="22"/>
          <w:lang w:val="en-US"/>
        </w:rPr>
        <w:t>Pty) Ltd</w:t>
      </w:r>
      <w:r w:rsidR="0088707B" w:rsidRPr="00D70463">
        <w:rPr>
          <w:rFonts w:ascii="Arial" w:hAnsi="Arial" w:cs="Arial"/>
          <w:sz w:val="22"/>
          <w:szCs w:val="22"/>
          <w:lang w:val="en-US"/>
        </w:rPr>
        <w:t xml:space="preserve"> 2007 (6) SA 199 (CC) at par [53].</w:t>
      </w:r>
    </w:p>
  </w:footnote>
  <w:footnote w:id="35">
    <w:p w14:paraId="38CBA4A7" w14:textId="3DD3D9DF" w:rsidR="00D80EE8" w:rsidRPr="00D70463" w:rsidRDefault="00D80EE8" w:rsidP="00D70463">
      <w:pPr>
        <w:pStyle w:val="FootnoteText"/>
        <w:spacing w:after="120"/>
        <w:jc w:val="both"/>
        <w:rPr>
          <w:rFonts w:ascii="Arial" w:hAnsi="Arial" w:cs="Arial"/>
          <w:sz w:val="22"/>
          <w:szCs w:val="22"/>
          <w:lang w:val="en-GB"/>
        </w:rPr>
      </w:pPr>
      <w:r w:rsidRPr="00D70463">
        <w:rPr>
          <w:rStyle w:val="FootnoteReference"/>
          <w:rFonts w:ascii="Arial" w:hAnsi="Arial" w:cs="Arial"/>
          <w:sz w:val="22"/>
          <w:szCs w:val="22"/>
        </w:rPr>
        <w:footnoteRef/>
      </w:r>
      <w:r w:rsidRPr="00D70463">
        <w:rPr>
          <w:rFonts w:ascii="Arial" w:hAnsi="Arial" w:cs="Arial"/>
          <w:sz w:val="22"/>
          <w:szCs w:val="22"/>
        </w:rPr>
        <w:t xml:space="preserve"> </w:t>
      </w:r>
      <w:r w:rsidR="000A0543" w:rsidRPr="00D70463">
        <w:rPr>
          <w:rFonts w:ascii="Arial" w:hAnsi="Arial" w:cs="Arial"/>
          <w:i/>
          <w:iCs/>
          <w:sz w:val="22"/>
          <w:szCs w:val="22"/>
          <w:lang w:val="en-GB"/>
        </w:rPr>
        <w:t>Jaga v Dönges</w:t>
      </w:r>
      <w:r w:rsidR="000B0055" w:rsidRPr="00D70463">
        <w:rPr>
          <w:rFonts w:ascii="Arial" w:hAnsi="Arial" w:cs="Arial"/>
          <w:i/>
          <w:iCs/>
          <w:sz w:val="22"/>
          <w:szCs w:val="22"/>
          <w:lang w:val="en-GB"/>
        </w:rPr>
        <w:t xml:space="preserve"> and Another, Bhana v Dönges NO and Another</w:t>
      </w:r>
      <w:r w:rsidR="000B0055" w:rsidRPr="00D70463">
        <w:rPr>
          <w:rFonts w:ascii="Arial" w:hAnsi="Arial" w:cs="Arial"/>
          <w:sz w:val="22"/>
          <w:szCs w:val="22"/>
          <w:lang w:val="en-GB"/>
        </w:rPr>
        <w:t xml:space="preserve"> 1950 (4) SA 653</w:t>
      </w:r>
      <w:r w:rsidR="005E38EF" w:rsidRPr="00D70463">
        <w:rPr>
          <w:rFonts w:ascii="Arial" w:hAnsi="Arial" w:cs="Arial"/>
          <w:sz w:val="22"/>
          <w:szCs w:val="22"/>
          <w:lang w:val="en-GB"/>
        </w:rPr>
        <w:t xml:space="preserve"> (A) 663H-664A.</w:t>
      </w:r>
    </w:p>
  </w:footnote>
  <w:footnote w:id="36">
    <w:p w14:paraId="344D014B" w14:textId="72C801A4" w:rsidR="0049492B" w:rsidRPr="00D70463" w:rsidRDefault="0049492B" w:rsidP="00D70463">
      <w:pPr>
        <w:pStyle w:val="FootnoteText"/>
        <w:spacing w:after="120"/>
        <w:jc w:val="both"/>
        <w:rPr>
          <w:rFonts w:ascii="Arial" w:hAnsi="Arial" w:cs="Arial"/>
          <w:sz w:val="22"/>
          <w:szCs w:val="22"/>
          <w:lang w:val="en-GB"/>
        </w:rPr>
      </w:pPr>
      <w:r w:rsidRPr="00D70463">
        <w:rPr>
          <w:rStyle w:val="FootnoteReference"/>
          <w:rFonts w:ascii="Arial" w:hAnsi="Arial" w:cs="Arial"/>
          <w:sz w:val="22"/>
          <w:szCs w:val="22"/>
        </w:rPr>
        <w:footnoteRef/>
      </w:r>
      <w:r w:rsidRPr="00D70463">
        <w:rPr>
          <w:rFonts w:ascii="Arial" w:hAnsi="Arial" w:cs="Arial"/>
          <w:sz w:val="22"/>
          <w:szCs w:val="22"/>
        </w:rPr>
        <w:t xml:space="preserve"> </w:t>
      </w:r>
      <w:r w:rsidRPr="00D70463">
        <w:rPr>
          <w:rFonts w:ascii="Arial" w:hAnsi="Arial" w:cs="Arial"/>
          <w:i/>
          <w:iCs/>
          <w:sz w:val="22"/>
          <w:szCs w:val="22"/>
          <w:lang w:val="en-GB"/>
        </w:rPr>
        <w:t>Bato Star Fishing (Pty) Ltd v Minister of Environmental Affairs</w:t>
      </w:r>
      <w:r w:rsidR="00651A91" w:rsidRPr="00D70463">
        <w:rPr>
          <w:rFonts w:ascii="Arial" w:hAnsi="Arial" w:cs="Arial"/>
          <w:sz w:val="22"/>
          <w:szCs w:val="22"/>
          <w:lang w:val="en-GB"/>
        </w:rPr>
        <w:t xml:space="preserve"> 2004 (4) SA 490 (CC) at par [90]</w:t>
      </w:r>
      <w:r w:rsidR="00163F2E" w:rsidRPr="00D70463">
        <w:rPr>
          <w:rFonts w:ascii="Arial" w:hAnsi="Arial" w:cs="Arial"/>
          <w:sz w:val="22"/>
          <w:szCs w:val="22"/>
          <w:lang w:val="en-GB"/>
        </w:rPr>
        <w:t xml:space="preserve">, </w:t>
      </w:r>
      <w:r w:rsidR="00A47704" w:rsidRPr="00D70463">
        <w:rPr>
          <w:rFonts w:ascii="Arial" w:hAnsi="Arial" w:cs="Arial"/>
          <w:i/>
          <w:iCs/>
          <w:sz w:val="22"/>
          <w:szCs w:val="22"/>
          <w:lang w:val="en-GB"/>
        </w:rPr>
        <w:t>Goedgelegen, supra,</w:t>
      </w:r>
      <w:r w:rsidR="00A47704" w:rsidRPr="00D70463">
        <w:rPr>
          <w:rFonts w:ascii="Arial" w:hAnsi="Arial" w:cs="Arial"/>
          <w:sz w:val="22"/>
          <w:szCs w:val="22"/>
          <w:lang w:val="en-GB"/>
        </w:rPr>
        <w:t xml:space="preserve"> at par [53].</w:t>
      </w:r>
    </w:p>
  </w:footnote>
  <w:footnote w:id="37">
    <w:p w14:paraId="7E0FDF3A" w14:textId="2731F630" w:rsidR="00AE4F08" w:rsidRPr="00D70463" w:rsidRDefault="00AE4F08" w:rsidP="00D70463">
      <w:pPr>
        <w:pStyle w:val="FootnoteText"/>
        <w:spacing w:after="120"/>
        <w:jc w:val="both"/>
        <w:rPr>
          <w:rFonts w:ascii="Arial" w:hAnsi="Arial" w:cs="Arial"/>
          <w:sz w:val="22"/>
          <w:szCs w:val="22"/>
          <w:lang w:val="en-GB"/>
        </w:rPr>
      </w:pPr>
      <w:r w:rsidRPr="00D70463">
        <w:rPr>
          <w:rStyle w:val="FootnoteReference"/>
          <w:rFonts w:ascii="Arial" w:hAnsi="Arial" w:cs="Arial"/>
          <w:sz w:val="22"/>
          <w:szCs w:val="22"/>
        </w:rPr>
        <w:footnoteRef/>
      </w:r>
      <w:r w:rsidRPr="00D70463">
        <w:rPr>
          <w:rFonts w:ascii="Arial" w:hAnsi="Arial" w:cs="Arial"/>
          <w:sz w:val="22"/>
          <w:szCs w:val="22"/>
        </w:rPr>
        <w:t xml:space="preserve"> </w:t>
      </w:r>
      <w:r w:rsidRPr="00D70463">
        <w:rPr>
          <w:rFonts w:ascii="Arial" w:hAnsi="Arial" w:cs="Arial"/>
          <w:sz w:val="22"/>
          <w:szCs w:val="22"/>
          <w:lang w:val="en-GB"/>
        </w:rPr>
        <w:t xml:space="preserve">A phrase borrowed from </w:t>
      </w:r>
      <w:r w:rsidRPr="00D70463">
        <w:rPr>
          <w:rFonts w:ascii="Arial" w:hAnsi="Arial" w:cs="Arial"/>
          <w:i/>
          <w:iCs/>
          <w:sz w:val="22"/>
          <w:szCs w:val="22"/>
          <w:lang w:val="en-GB"/>
        </w:rPr>
        <w:t>Goulding v Ferrell</w:t>
      </w:r>
      <w:r w:rsidRPr="00D70463">
        <w:rPr>
          <w:rFonts w:ascii="Arial" w:hAnsi="Arial" w:cs="Arial"/>
          <w:sz w:val="22"/>
          <w:szCs w:val="22"/>
          <w:lang w:val="en-GB"/>
        </w:rPr>
        <w:t>, 117 N.W. 1046</w:t>
      </w:r>
      <w:r w:rsidR="00047EA7" w:rsidRPr="00D70463">
        <w:rPr>
          <w:rFonts w:ascii="Arial" w:hAnsi="Arial" w:cs="Arial"/>
          <w:sz w:val="22"/>
          <w:szCs w:val="22"/>
          <w:lang w:val="en-GB"/>
        </w:rPr>
        <w:t xml:space="preserve"> (Minn 1908)</w:t>
      </w:r>
      <w:r w:rsidR="00C37E44" w:rsidRPr="00D70463">
        <w:rPr>
          <w:rFonts w:ascii="Arial" w:hAnsi="Arial" w:cs="Arial"/>
          <w:sz w:val="22"/>
          <w:szCs w:val="22"/>
          <w:lang w:val="en-GB"/>
        </w:rPr>
        <w:t xml:space="preserve"> as cited by Nemerofsky, J </w:t>
      </w:r>
      <w:r w:rsidR="00F12AE0" w:rsidRPr="00D70463">
        <w:rPr>
          <w:rFonts w:ascii="Arial" w:hAnsi="Arial" w:cs="Arial"/>
          <w:sz w:val="22"/>
          <w:szCs w:val="22"/>
          <w:lang w:val="en-GB"/>
        </w:rPr>
        <w:t>‘</w:t>
      </w:r>
      <w:r w:rsidR="008B52C6" w:rsidRPr="00D70463">
        <w:rPr>
          <w:rFonts w:ascii="Arial" w:hAnsi="Arial" w:cs="Arial"/>
          <w:sz w:val="22"/>
          <w:szCs w:val="22"/>
          <w:lang w:val="en-GB"/>
        </w:rPr>
        <w:t xml:space="preserve">What is a “Trifle” Anyway?’ </w:t>
      </w:r>
      <w:r w:rsidR="00A558A3" w:rsidRPr="00D70463">
        <w:rPr>
          <w:rFonts w:ascii="Arial" w:hAnsi="Arial" w:cs="Arial"/>
          <w:sz w:val="22"/>
          <w:szCs w:val="22"/>
          <w:lang w:val="en-GB"/>
        </w:rPr>
        <w:t>(200</w:t>
      </w:r>
      <w:r w:rsidR="00F94D91" w:rsidRPr="00D70463">
        <w:rPr>
          <w:rFonts w:ascii="Arial" w:hAnsi="Arial" w:cs="Arial"/>
          <w:sz w:val="22"/>
          <w:szCs w:val="22"/>
          <w:lang w:val="en-GB"/>
        </w:rPr>
        <w:t xml:space="preserve">1/02) </w:t>
      </w:r>
      <w:r w:rsidR="008B52C6" w:rsidRPr="00D70463">
        <w:rPr>
          <w:rFonts w:ascii="Arial" w:hAnsi="Arial" w:cs="Arial"/>
          <w:i/>
          <w:iCs/>
          <w:sz w:val="22"/>
          <w:szCs w:val="22"/>
          <w:lang w:val="en-GB"/>
        </w:rPr>
        <w:t>Gonzaga Law Review</w:t>
      </w:r>
      <w:r w:rsidR="008B52C6" w:rsidRPr="00D70463">
        <w:rPr>
          <w:rFonts w:ascii="Arial" w:hAnsi="Arial" w:cs="Arial"/>
          <w:sz w:val="22"/>
          <w:szCs w:val="22"/>
          <w:lang w:val="en-GB"/>
        </w:rPr>
        <w:t xml:space="preserve"> 37:2 315-</w:t>
      </w:r>
      <w:r w:rsidR="001B289B" w:rsidRPr="00D70463">
        <w:rPr>
          <w:rFonts w:ascii="Arial" w:hAnsi="Arial" w:cs="Arial"/>
          <w:sz w:val="22"/>
          <w:szCs w:val="22"/>
          <w:lang w:val="en-GB"/>
        </w:rPr>
        <w:t xml:space="preserve">341 at </w:t>
      </w:r>
      <w:r w:rsidR="00A558A3" w:rsidRPr="00D70463">
        <w:rPr>
          <w:rFonts w:ascii="Arial" w:hAnsi="Arial" w:cs="Arial"/>
          <w:sz w:val="22"/>
          <w:szCs w:val="22"/>
          <w:lang w:val="en-GB"/>
        </w:rPr>
        <w:t>323.</w:t>
      </w:r>
    </w:p>
  </w:footnote>
  <w:footnote w:id="38">
    <w:p w14:paraId="6C06F0E2" w14:textId="3969625A" w:rsidR="00AE7560" w:rsidRPr="00D70463" w:rsidRDefault="00AE7560" w:rsidP="00D70463">
      <w:pPr>
        <w:pStyle w:val="FootnoteText"/>
        <w:spacing w:after="120"/>
        <w:jc w:val="both"/>
        <w:rPr>
          <w:rFonts w:ascii="Arial" w:hAnsi="Arial" w:cs="Arial"/>
          <w:sz w:val="22"/>
          <w:szCs w:val="22"/>
          <w:lang w:val="en-GB"/>
        </w:rPr>
      </w:pPr>
      <w:r w:rsidRPr="00D70463">
        <w:rPr>
          <w:rStyle w:val="FootnoteReference"/>
          <w:rFonts w:ascii="Arial" w:hAnsi="Arial" w:cs="Arial"/>
          <w:sz w:val="22"/>
          <w:szCs w:val="22"/>
        </w:rPr>
        <w:footnoteRef/>
      </w:r>
      <w:r w:rsidRPr="00D70463">
        <w:rPr>
          <w:rFonts w:ascii="Arial" w:hAnsi="Arial" w:cs="Arial"/>
          <w:sz w:val="22"/>
          <w:szCs w:val="22"/>
        </w:rPr>
        <w:t xml:space="preserve"> </w:t>
      </w:r>
      <w:r w:rsidRPr="00D70463">
        <w:rPr>
          <w:rFonts w:ascii="Arial" w:hAnsi="Arial" w:cs="Arial"/>
          <w:sz w:val="22"/>
          <w:szCs w:val="22"/>
          <w:lang w:val="en-GB"/>
        </w:rPr>
        <w:t xml:space="preserve">For the application of the maxim in cases concerning </w:t>
      </w:r>
      <w:r w:rsidR="00B26FC5" w:rsidRPr="00D70463">
        <w:rPr>
          <w:rFonts w:ascii="Arial" w:hAnsi="Arial" w:cs="Arial"/>
          <w:i/>
          <w:iCs/>
          <w:sz w:val="22"/>
          <w:szCs w:val="22"/>
          <w:lang w:val="en-GB"/>
        </w:rPr>
        <w:t>locatio operis</w:t>
      </w:r>
      <w:r w:rsidRPr="00D70463">
        <w:rPr>
          <w:rFonts w:ascii="Arial" w:hAnsi="Arial" w:cs="Arial"/>
          <w:sz w:val="22"/>
          <w:szCs w:val="22"/>
          <w:lang w:val="en-GB"/>
        </w:rPr>
        <w:t xml:space="preserve">, see, </w:t>
      </w:r>
      <w:r w:rsidRPr="00D70463">
        <w:rPr>
          <w:rFonts w:ascii="Arial" w:hAnsi="Arial" w:cs="Arial"/>
          <w:i/>
          <w:iCs/>
          <w:sz w:val="22"/>
          <w:szCs w:val="22"/>
          <w:lang w:val="en-GB"/>
        </w:rPr>
        <w:t>inter alia,</w:t>
      </w:r>
      <w:r w:rsidRPr="00D70463">
        <w:rPr>
          <w:rFonts w:ascii="Arial" w:hAnsi="Arial" w:cs="Arial"/>
          <w:sz w:val="22"/>
          <w:szCs w:val="22"/>
          <w:lang w:val="en-GB"/>
        </w:rPr>
        <w:t xml:space="preserve"> </w:t>
      </w:r>
      <w:r w:rsidR="00DB3930" w:rsidRPr="00D70463">
        <w:rPr>
          <w:rFonts w:ascii="Arial" w:hAnsi="Arial" w:cs="Arial"/>
          <w:i/>
          <w:iCs/>
          <w:sz w:val="22"/>
          <w:szCs w:val="22"/>
          <w:lang w:val="en-GB"/>
        </w:rPr>
        <w:t>Hitchins v Breslin</w:t>
      </w:r>
      <w:r w:rsidR="00DB3930" w:rsidRPr="00D70463">
        <w:rPr>
          <w:rFonts w:ascii="Arial" w:hAnsi="Arial" w:cs="Arial"/>
          <w:sz w:val="22"/>
          <w:szCs w:val="22"/>
          <w:lang w:val="en-GB"/>
        </w:rPr>
        <w:t xml:space="preserve"> 1913 TPD 677 at 682-683</w:t>
      </w:r>
      <w:r w:rsidR="00417DFC" w:rsidRPr="00D70463">
        <w:rPr>
          <w:rFonts w:ascii="Arial" w:hAnsi="Arial" w:cs="Arial"/>
          <w:sz w:val="22"/>
          <w:szCs w:val="22"/>
          <w:lang w:val="en-GB"/>
        </w:rPr>
        <w:t xml:space="preserve"> and </w:t>
      </w:r>
      <w:r w:rsidR="00417DFC" w:rsidRPr="00D70463">
        <w:rPr>
          <w:rFonts w:ascii="Arial" w:hAnsi="Arial" w:cs="Arial"/>
          <w:i/>
          <w:iCs/>
          <w:sz w:val="22"/>
          <w:szCs w:val="22"/>
          <w:lang w:val="en-GB"/>
        </w:rPr>
        <w:t>Florencio v Kr</w:t>
      </w:r>
      <w:r w:rsidR="00FF5094" w:rsidRPr="00D70463">
        <w:rPr>
          <w:rFonts w:ascii="Arial" w:hAnsi="Arial" w:cs="Arial"/>
          <w:i/>
          <w:iCs/>
          <w:sz w:val="22"/>
          <w:szCs w:val="22"/>
          <w:lang w:val="en-GB"/>
        </w:rPr>
        <w:t xml:space="preserve">euter </w:t>
      </w:r>
      <w:r w:rsidR="00FF5094" w:rsidRPr="00D70463">
        <w:rPr>
          <w:rFonts w:ascii="Arial" w:hAnsi="Arial" w:cs="Arial"/>
          <w:sz w:val="22"/>
          <w:szCs w:val="22"/>
          <w:lang w:val="en-GB"/>
        </w:rPr>
        <w:t xml:space="preserve">1969 (2) SA 673 </w:t>
      </w:r>
      <w:r w:rsidR="002434BD" w:rsidRPr="00D70463">
        <w:rPr>
          <w:rFonts w:ascii="Arial" w:hAnsi="Arial" w:cs="Arial"/>
          <w:sz w:val="22"/>
          <w:szCs w:val="22"/>
          <w:lang w:val="en-GB"/>
        </w:rPr>
        <w:t>(R).</w:t>
      </w:r>
    </w:p>
  </w:footnote>
  <w:footnote w:id="39">
    <w:p w14:paraId="246499EC" w14:textId="701314BB" w:rsidR="009A6468" w:rsidRPr="00D70463" w:rsidRDefault="009A6468" w:rsidP="00D70463">
      <w:pPr>
        <w:pStyle w:val="FootnoteText"/>
        <w:spacing w:after="120"/>
        <w:jc w:val="both"/>
        <w:rPr>
          <w:rFonts w:ascii="Arial" w:hAnsi="Arial" w:cs="Arial"/>
          <w:sz w:val="22"/>
          <w:szCs w:val="22"/>
          <w:lang w:val="en-GB"/>
        </w:rPr>
      </w:pPr>
      <w:r w:rsidRPr="00D70463">
        <w:rPr>
          <w:rStyle w:val="FootnoteReference"/>
          <w:rFonts w:ascii="Arial" w:hAnsi="Arial" w:cs="Arial"/>
          <w:sz w:val="22"/>
          <w:szCs w:val="22"/>
        </w:rPr>
        <w:footnoteRef/>
      </w:r>
      <w:r w:rsidRPr="00D70463">
        <w:rPr>
          <w:rFonts w:ascii="Arial" w:hAnsi="Arial" w:cs="Arial"/>
          <w:sz w:val="22"/>
          <w:szCs w:val="22"/>
        </w:rPr>
        <w:t xml:space="preserve"> </w:t>
      </w:r>
      <w:r w:rsidRPr="00D70463">
        <w:rPr>
          <w:rFonts w:ascii="Arial" w:hAnsi="Arial" w:cs="Arial"/>
          <w:sz w:val="22"/>
          <w:szCs w:val="22"/>
          <w:lang w:val="en-GB"/>
        </w:rPr>
        <w:t>See also</w:t>
      </w:r>
      <w:r w:rsidR="00346111" w:rsidRPr="00D70463">
        <w:rPr>
          <w:rFonts w:ascii="Arial" w:hAnsi="Arial" w:cs="Arial"/>
          <w:sz w:val="22"/>
          <w:szCs w:val="22"/>
          <w:lang w:val="en-GB"/>
        </w:rPr>
        <w:t xml:space="preserve"> </w:t>
      </w:r>
      <w:r w:rsidR="00346111" w:rsidRPr="00D70463">
        <w:rPr>
          <w:rFonts w:ascii="Arial" w:hAnsi="Arial" w:cs="Arial"/>
          <w:i/>
          <w:iCs/>
          <w:sz w:val="22"/>
          <w:szCs w:val="22"/>
          <w:lang w:val="en-GB"/>
        </w:rPr>
        <w:t>AA Mutual Insurance Association Ltd v Siboth</w:t>
      </w:r>
      <w:r w:rsidR="00F3492B" w:rsidRPr="00D70463">
        <w:rPr>
          <w:rFonts w:ascii="Arial" w:hAnsi="Arial" w:cs="Arial"/>
          <w:i/>
          <w:iCs/>
          <w:sz w:val="22"/>
          <w:szCs w:val="22"/>
          <w:lang w:val="en-GB"/>
        </w:rPr>
        <w:t>obotho</w:t>
      </w:r>
      <w:r w:rsidR="00F3492B" w:rsidRPr="00D70463">
        <w:rPr>
          <w:rFonts w:ascii="Arial" w:hAnsi="Arial" w:cs="Arial"/>
          <w:sz w:val="22"/>
          <w:szCs w:val="22"/>
          <w:lang w:val="en-GB"/>
        </w:rPr>
        <w:t xml:space="preserve"> 1981 (4) SA 593 (A) 603F-G where the court </w:t>
      </w:r>
      <w:r w:rsidR="00A97C2C" w:rsidRPr="00D70463">
        <w:rPr>
          <w:rFonts w:ascii="Arial" w:hAnsi="Arial" w:cs="Arial"/>
          <w:sz w:val="22"/>
          <w:szCs w:val="22"/>
          <w:lang w:val="en-GB"/>
        </w:rPr>
        <w:t>considered ‘the whole incident in perspective’.</w:t>
      </w:r>
    </w:p>
  </w:footnote>
  <w:footnote w:id="40">
    <w:p w14:paraId="1FA21B8B" w14:textId="65B57F5D" w:rsidR="009B0094" w:rsidRPr="00D70463" w:rsidRDefault="009B0094" w:rsidP="00D70463">
      <w:pPr>
        <w:pStyle w:val="FootnoteText"/>
        <w:spacing w:after="120"/>
        <w:jc w:val="both"/>
        <w:rPr>
          <w:rFonts w:ascii="Arial" w:hAnsi="Arial" w:cs="Arial"/>
          <w:sz w:val="22"/>
          <w:szCs w:val="22"/>
          <w:lang w:val="en-GB"/>
        </w:rPr>
      </w:pPr>
      <w:r w:rsidRPr="00D70463">
        <w:rPr>
          <w:rStyle w:val="FootnoteReference"/>
          <w:rFonts w:ascii="Arial" w:hAnsi="Arial" w:cs="Arial"/>
          <w:sz w:val="22"/>
          <w:szCs w:val="22"/>
        </w:rPr>
        <w:footnoteRef/>
      </w:r>
      <w:r w:rsidRPr="00D70463">
        <w:rPr>
          <w:rFonts w:ascii="Arial" w:hAnsi="Arial" w:cs="Arial"/>
          <w:sz w:val="22"/>
          <w:szCs w:val="22"/>
        </w:rPr>
        <w:t xml:space="preserve"> </w:t>
      </w:r>
      <w:r w:rsidR="004E004B" w:rsidRPr="00D70463">
        <w:rPr>
          <w:rFonts w:ascii="Arial" w:hAnsi="Arial" w:cs="Arial"/>
          <w:i/>
          <w:iCs/>
          <w:sz w:val="22"/>
          <w:szCs w:val="22"/>
          <w:lang w:val="en-GB"/>
        </w:rPr>
        <w:t>S v Visagie</w:t>
      </w:r>
      <w:r w:rsidR="004E004B" w:rsidRPr="00D70463">
        <w:rPr>
          <w:rFonts w:ascii="Arial" w:hAnsi="Arial" w:cs="Arial"/>
          <w:sz w:val="22"/>
          <w:szCs w:val="22"/>
          <w:lang w:val="en-GB"/>
        </w:rPr>
        <w:t xml:space="preserve"> 2009 (2) SACR 70 (W) at par [</w:t>
      </w:r>
      <w:r w:rsidR="00293E88" w:rsidRPr="00D70463">
        <w:rPr>
          <w:rFonts w:ascii="Arial" w:hAnsi="Arial" w:cs="Arial"/>
          <w:sz w:val="22"/>
          <w:szCs w:val="22"/>
          <w:lang w:val="en-GB"/>
        </w:rPr>
        <w:t>15].</w:t>
      </w:r>
    </w:p>
  </w:footnote>
  <w:footnote w:id="41">
    <w:p w14:paraId="259E1C49" w14:textId="2CD3583C" w:rsidR="00D96445" w:rsidRPr="00D70463" w:rsidRDefault="00D96445" w:rsidP="00D70463">
      <w:pPr>
        <w:pStyle w:val="FootnoteText"/>
        <w:spacing w:after="120"/>
        <w:jc w:val="both"/>
        <w:rPr>
          <w:rFonts w:ascii="Arial" w:hAnsi="Arial" w:cs="Arial"/>
          <w:sz w:val="22"/>
          <w:szCs w:val="22"/>
          <w:lang w:val="en-GB"/>
        </w:rPr>
      </w:pPr>
      <w:r w:rsidRPr="00D70463">
        <w:rPr>
          <w:rStyle w:val="FootnoteReference"/>
          <w:rFonts w:ascii="Arial" w:hAnsi="Arial" w:cs="Arial"/>
          <w:sz w:val="22"/>
          <w:szCs w:val="22"/>
        </w:rPr>
        <w:footnoteRef/>
      </w:r>
      <w:r w:rsidRPr="00D70463">
        <w:rPr>
          <w:rFonts w:ascii="Arial" w:hAnsi="Arial" w:cs="Arial"/>
          <w:sz w:val="22"/>
          <w:szCs w:val="22"/>
        </w:rPr>
        <w:t xml:space="preserve"> </w:t>
      </w:r>
      <w:r w:rsidRPr="00D70463">
        <w:rPr>
          <w:rFonts w:ascii="Arial" w:hAnsi="Arial" w:cs="Arial"/>
          <w:sz w:val="22"/>
          <w:szCs w:val="22"/>
          <w:lang w:val="en-GB"/>
        </w:rPr>
        <w:t>1969 (4) SA 191 (RA)</w:t>
      </w:r>
      <w:r w:rsidR="00FB2EE8" w:rsidRPr="00D70463">
        <w:rPr>
          <w:rFonts w:ascii="Arial" w:hAnsi="Arial" w:cs="Arial"/>
          <w:sz w:val="22"/>
          <w:szCs w:val="22"/>
          <w:lang w:val="en-GB"/>
        </w:rPr>
        <w:t xml:space="preserve"> 193</w:t>
      </w:r>
      <w:r w:rsidR="00847A6D" w:rsidRPr="00D70463">
        <w:rPr>
          <w:rFonts w:ascii="Arial" w:hAnsi="Arial" w:cs="Arial"/>
          <w:sz w:val="22"/>
          <w:szCs w:val="22"/>
          <w:lang w:val="en-GB"/>
        </w:rPr>
        <w:t>A</w:t>
      </w:r>
      <w:r w:rsidR="00FB2EE8" w:rsidRPr="00D70463">
        <w:rPr>
          <w:rFonts w:ascii="Arial" w:hAnsi="Arial" w:cs="Arial"/>
          <w:sz w:val="22"/>
          <w:szCs w:val="22"/>
          <w:lang w:val="en-GB"/>
        </w:rPr>
        <w:t>.</w:t>
      </w:r>
    </w:p>
  </w:footnote>
  <w:footnote w:id="42">
    <w:p w14:paraId="72699EE0" w14:textId="1599023F" w:rsidR="00904D07" w:rsidRPr="00D70463" w:rsidRDefault="00904D07" w:rsidP="00D70463">
      <w:pPr>
        <w:pStyle w:val="FootnoteText"/>
        <w:spacing w:after="120"/>
        <w:jc w:val="both"/>
        <w:rPr>
          <w:rFonts w:ascii="Arial" w:hAnsi="Arial" w:cs="Arial"/>
          <w:sz w:val="22"/>
          <w:szCs w:val="22"/>
          <w:lang w:val="en-GB"/>
        </w:rPr>
      </w:pPr>
      <w:r w:rsidRPr="00D70463">
        <w:rPr>
          <w:rStyle w:val="FootnoteReference"/>
          <w:rFonts w:ascii="Arial" w:hAnsi="Arial" w:cs="Arial"/>
          <w:sz w:val="22"/>
          <w:szCs w:val="22"/>
        </w:rPr>
        <w:footnoteRef/>
      </w:r>
      <w:r w:rsidRPr="00D70463">
        <w:rPr>
          <w:rFonts w:ascii="Arial" w:hAnsi="Arial" w:cs="Arial"/>
          <w:sz w:val="22"/>
          <w:szCs w:val="22"/>
        </w:rPr>
        <w:t xml:space="preserve"> </w:t>
      </w:r>
      <w:r w:rsidRPr="00D70463">
        <w:rPr>
          <w:rFonts w:ascii="Arial" w:hAnsi="Arial" w:cs="Arial"/>
          <w:sz w:val="22"/>
          <w:szCs w:val="22"/>
          <w:lang w:val="en-GB"/>
        </w:rPr>
        <w:t>1961 (3) SA 316 (W) 325</w:t>
      </w:r>
      <w:r w:rsidR="00C61C6D" w:rsidRPr="00D70463">
        <w:rPr>
          <w:rFonts w:ascii="Arial" w:hAnsi="Arial" w:cs="Arial"/>
          <w:sz w:val="22"/>
          <w:szCs w:val="22"/>
          <w:lang w:val="en-GB"/>
        </w:rPr>
        <w:t>D.</w:t>
      </w:r>
    </w:p>
  </w:footnote>
  <w:footnote w:id="43">
    <w:p w14:paraId="204422FF" w14:textId="28FFC5E8" w:rsidR="00F41081" w:rsidRPr="00D70463" w:rsidRDefault="00F41081" w:rsidP="00D70463">
      <w:pPr>
        <w:pStyle w:val="FootnoteText"/>
        <w:spacing w:after="120"/>
        <w:jc w:val="both"/>
        <w:rPr>
          <w:rFonts w:ascii="Arial" w:hAnsi="Arial" w:cs="Arial"/>
          <w:sz w:val="22"/>
          <w:szCs w:val="22"/>
          <w:lang w:val="en-GB"/>
        </w:rPr>
      </w:pPr>
      <w:r w:rsidRPr="00D70463">
        <w:rPr>
          <w:rStyle w:val="FootnoteReference"/>
          <w:rFonts w:ascii="Arial" w:hAnsi="Arial" w:cs="Arial"/>
          <w:sz w:val="22"/>
          <w:szCs w:val="22"/>
        </w:rPr>
        <w:footnoteRef/>
      </w:r>
      <w:r w:rsidRPr="00D70463">
        <w:rPr>
          <w:rFonts w:ascii="Arial" w:hAnsi="Arial" w:cs="Arial"/>
          <w:sz w:val="22"/>
          <w:szCs w:val="22"/>
        </w:rPr>
        <w:t xml:space="preserve"> </w:t>
      </w:r>
      <w:r w:rsidRPr="00D70463">
        <w:rPr>
          <w:rFonts w:ascii="Arial" w:hAnsi="Arial" w:cs="Arial"/>
          <w:sz w:val="22"/>
          <w:szCs w:val="22"/>
          <w:lang w:val="en-GB"/>
        </w:rPr>
        <w:t xml:space="preserve">For purposes of this </w:t>
      </w:r>
      <w:r w:rsidR="00510C88" w:rsidRPr="00D70463">
        <w:rPr>
          <w:rFonts w:ascii="Arial" w:hAnsi="Arial" w:cs="Arial"/>
          <w:sz w:val="22"/>
          <w:szCs w:val="22"/>
          <w:lang w:val="en-GB"/>
        </w:rPr>
        <w:t>argument,</w:t>
      </w:r>
      <w:r w:rsidRPr="00D70463">
        <w:rPr>
          <w:rFonts w:ascii="Arial" w:hAnsi="Arial" w:cs="Arial"/>
          <w:sz w:val="22"/>
          <w:szCs w:val="22"/>
          <w:lang w:val="en-GB"/>
        </w:rPr>
        <w:t xml:space="preserve"> it is irrelevant whether the</w:t>
      </w:r>
      <w:r w:rsidR="00722414" w:rsidRPr="00D70463">
        <w:rPr>
          <w:rFonts w:ascii="Arial" w:hAnsi="Arial" w:cs="Arial"/>
          <w:sz w:val="22"/>
          <w:szCs w:val="22"/>
          <w:lang w:val="en-GB"/>
        </w:rPr>
        <w:t xml:space="preserve"> vanilla extract consists of 0.6% ABV or 1% ABV. The issue is whether the minuscule impact it has</w:t>
      </w:r>
      <w:r w:rsidR="00510C88" w:rsidRPr="00D70463">
        <w:rPr>
          <w:rFonts w:ascii="Arial" w:hAnsi="Arial" w:cs="Arial"/>
          <w:sz w:val="22"/>
          <w:szCs w:val="22"/>
          <w:lang w:val="en-GB"/>
        </w:rPr>
        <w:t xml:space="preserve"> on the CVCO’s total ABV renders the fact that it contains alcohol to be of no moment.</w:t>
      </w:r>
    </w:p>
  </w:footnote>
  <w:footnote w:id="44">
    <w:p w14:paraId="2B88AF96" w14:textId="38E2D9ED" w:rsidR="00471A04" w:rsidRPr="00D70463" w:rsidRDefault="00471A04" w:rsidP="00D70463">
      <w:pPr>
        <w:spacing w:after="120" w:line="240" w:lineRule="auto"/>
        <w:ind w:right="1008"/>
        <w:jc w:val="both"/>
        <w:rPr>
          <w:rFonts w:ascii="Arial" w:hAnsi="Arial" w:cs="Arial"/>
          <w:lang w:val="en-GB"/>
        </w:rPr>
      </w:pPr>
      <w:r w:rsidRPr="00D70463">
        <w:rPr>
          <w:rStyle w:val="FootnoteReference"/>
          <w:rFonts w:ascii="Arial" w:hAnsi="Arial" w:cs="Arial"/>
        </w:rPr>
        <w:footnoteRef/>
      </w:r>
      <w:r w:rsidRPr="00D70463">
        <w:rPr>
          <w:rFonts w:ascii="Arial" w:hAnsi="Arial" w:cs="Arial"/>
        </w:rPr>
        <w:t xml:space="preserve"> </w:t>
      </w:r>
      <w:r w:rsidR="00896AD0" w:rsidRPr="00D70463">
        <w:rPr>
          <w:rFonts w:ascii="Arial" w:hAnsi="Arial" w:cs="Arial"/>
          <w:i/>
          <w:iCs/>
          <w:lang w:val="en-GB"/>
        </w:rPr>
        <w:t xml:space="preserve">Grootkraal Community and Others v Botha NO and Others </w:t>
      </w:r>
      <w:r w:rsidR="00896AD0" w:rsidRPr="00D70463">
        <w:rPr>
          <w:rFonts w:ascii="Arial" w:hAnsi="Arial" w:cs="Arial"/>
          <w:lang w:val="en-GB"/>
        </w:rPr>
        <w:t>2019 (2) SA 128 (CC)</w:t>
      </w:r>
      <w:r w:rsidR="0038205A" w:rsidRPr="00D70463">
        <w:rPr>
          <w:rFonts w:ascii="Arial" w:hAnsi="Arial" w:cs="Arial"/>
          <w:lang w:val="en-GB"/>
        </w:rPr>
        <w:t xml:space="preserve"> at par [21]</w:t>
      </w:r>
      <w:r w:rsidR="003C2171" w:rsidRPr="00D70463">
        <w:rPr>
          <w:rFonts w:ascii="Arial" w:hAnsi="Arial" w:cs="Arial"/>
          <w:lang w:val="en-GB"/>
        </w:rPr>
        <w:t xml:space="preserve"> – ‘</w:t>
      </w:r>
      <w:r w:rsidR="003C2171" w:rsidRPr="00D70463">
        <w:rPr>
          <w:rFonts w:ascii="Arial" w:hAnsi="Arial" w:cs="Arial"/>
          <w:color w:val="000000"/>
        </w:rPr>
        <w:t>Much of what follows is drawn from these sources and has been used to complete and correct the picture drawn by the parties in their affidavits. The court may take judicial notice of such material when it is readily available and reliable, however it may come to the court's attention. </w:t>
      </w:r>
      <w:bookmarkStart w:id="6" w:name="0-0-0-102343"/>
      <w:bookmarkEnd w:id="6"/>
      <w:r w:rsidR="003C2171" w:rsidRPr="00D70463">
        <w:rPr>
          <w:rFonts w:ascii="Arial" w:hAnsi="Arial" w:cs="Arial"/>
          <w:color w:val="000000"/>
        </w:rPr>
        <w:t xml:space="preserve">The emphasis must be on the material's availability and reliability, recognising that in our technological era information that could in the past have been unearthed only after lengthy investigation, may now be readily available from reliable sources in digitised form. Where necessary, in the interests of procedural fairness, the parties must be apprised of the existence of such material and its relevance to the case in hand to enable them to deal with it either at a factual level, if it is disputed, or in their </w:t>
      </w:r>
      <w:r w:rsidR="00976932" w:rsidRPr="00D70463">
        <w:rPr>
          <w:rFonts w:ascii="Arial" w:hAnsi="Arial" w:cs="Arial"/>
          <w:color w:val="000000"/>
        </w:rPr>
        <w:t>submissions. ‘</w:t>
      </w:r>
    </w:p>
  </w:footnote>
  <w:footnote w:id="45">
    <w:p w14:paraId="6D98247E" w14:textId="74030BD3" w:rsidR="00E876B4" w:rsidRPr="00D70463" w:rsidRDefault="00E876B4" w:rsidP="00D70463">
      <w:pPr>
        <w:pStyle w:val="FootnoteText"/>
        <w:spacing w:after="120"/>
        <w:jc w:val="both"/>
        <w:rPr>
          <w:rFonts w:ascii="Arial" w:hAnsi="Arial" w:cs="Arial"/>
          <w:sz w:val="22"/>
          <w:szCs w:val="22"/>
          <w:lang w:val="en-GB"/>
        </w:rPr>
      </w:pPr>
      <w:r w:rsidRPr="00D70463">
        <w:rPr>
          <w:rStyle w:val="FootnoteReference"/>
          <w:rFonts w:ascii="Arial" w:hAnsi="Arial" w:cs="Arial"/>
          <w:sz w:val="22"/>
          <w:szCs w:val="22"/>
        </w:rPr>
        <w:footnoteRef/>
      </w:r>
      <w:r w:rsidRPr="00D70463">
        <w:rPr>
          <w:rFonts w:ascii="Arial" w:hAnsi="Arial" w:cs="Arial"/>
          <w:sz w:val="22"/>
          <w:szCs w:val="22"/>
        </w:rPr>
        <w:t xml:space="preserve"> </w:t>
      </w:r>
      <w:r w:rsidR="00A76D9D" w:rsidRPr="00D70463">
        <w:rPr>
          <w:rFonts w:ascii="Arial" w:hAnsi="Arial" w:cs="Arial"/>
          <w:sz w:val="22"/>
          <w:szCs w:val="22"/>
        </w:rPr>
        <w:t xml:space="preserve">See par </w:t>
      </w:r>
      <w:r w:rsidR="00394E2F" w:rsidRPr="00D70463">
        <w:rPr>
          <w:rFonts w:ascii="Arial" w:hAnsi="Arial" w:cs="Arial"/>
          <w:sz w:val="22"/>
          <w:szCs w:val="22"/>
        </w:rPr>
        <w:fldChar w:fldCharType="begin"/>
      </w:r>
      <w:r w:rsidR="00394E2F" w:rsidRPr="00D70463">
        <w:rPr>
          <w:rFonts w:ascii="Arial" w:hAnsi="Arial" w:cs="Arial"/>
          <w:sz w:val="22"/>
          <w:szCs w:val="22"/>
        </w:rPr>
        <w:instrText xml:space="preserve"> REF _Ref137758473 \r \h </w:instrText>
      </w:r>
      <w:r w:rsidR="00456546" w:rsidRPr="00D70463">
        <w:rPr>
          <w:rFonts w:ascii="Arial" w:hAnsi="Arial" w:cs="Arial"/>
          <w:sz w:val="22"/>
          <w:szCs w:val="22"/>
        </w:rPr>
        <w:instrText xml:space="preserve"> \* MERGEFORMAT </w:instrText>
      </w:r>
      <w:r w:rsidR="00394E2F" w:rsidRPr="00D70463">
        <w:rPr>
          <w:rFonts w:ascii="Arial" w:hAnsi="Arial" w:cs="Arial"/>
          <w:sz w:val="22"/>
          <w:szCs w:val="22"/>
        </w:rPr>
      </w:r>
      <w:r w:rsidR="00394E2F" w:rsidRPr="00D70463">
        <w:rPr>
          <w:rFonts w:ascii="Arial" w:hAnsi="Arial" w:cs="Arial"/>
          <w:sz w:val="22"/>
          <w:szCs w:val="22"/>
        </w:rPr>
        <w:fldChar w:fldCharType="separate"/>
      </w:r>
      <w:r w:rsidR="000921D4" w:rsidRPr="00D70463">
        <w:rPr>
          <w:rFonts w:ascii="Arial" w:hAnsi="Arial" w:cs="Arial"/>
          <w:sz w:val="22"/>
          <w:szCs w:val="22"/>
        </w:rPr>
        <w:t>[32]</w:t>
      </w:r>
      <w:r w:rsidR="00394E2F" w:rsidRPr="00D70463">
        <w:rPr>
          <w:rFonts w:ascii="Arial" w:hAnsi="Arial" w:cs="Arial"/>
          <w:sz w:val="22"/>
          <w:szCs w:val="22"/>
        </w:rPr>
        <w:fldChar w:fldCharType="end"/>
      </w:r>
      <w:r w:rsidR="00394E2F" w:rsidRPr="00D70463">
        <w:rPr>
          <w:rFonts w:ascii="Arial" w:hAnsi="Arial" w:cs="Arial"/>
          <w:sz w:val="22"/>
          <w:szCs w:val="22"/>
        </w:rPr>
        <w:t xml:space="preserve"> above.</w:t>
      </w:r>
    </w:p>
  </w:footnote>
  <w:footnote w:id="46">
    <w:p w14:paraId="4902935C" w14:textId="164AE377" w:rsidR="00774116" w:rsidRPr="00D70463" w:rsidRDefault="00774116" w:rsidP="00D70463">
      <w:pPr>
        <w:pStyle w:val="FootnoteText"/>
        <w:spacing w:after="120"/>
        <w:jc w:val="both"/>
        <w:rPr>
          <w:rFonts w:ascii="Arial" w:hAnsi="Arial" w:cs="Arial"/>
          <w:sz w:val="22"/>
          <w:szCs w:val="22"/>
          <w:lang w:val="en-GB"/>
        </w:rPr>
      </w:pPr>
      <w:r w:rsidRPr="00D70463">
        <w:rPr>
          <w:rStyle w:val="FootnoteReference"/>
          <w:rFonts w:ascii="Arial" w:hAnsi="Arial" w:cs="Arial"/>
          <w:sz w:val="22"/>
          <w:szCs w:val="22"/>
        </w:rPr>
        <w:footnoteRef/>
      </w:r>
      <w:r w:rsidRPr="00D70463">
        <w:rPr>
          <w:rFonts w:ascii="Arial" w:hAnsi="Arial" w:cs="Arial"/>
          <w:sz w:val="22"/>
          <w:szCs w:val="22"/>
        </w:rPr>
        <w:t xml:space="preserve"> </w:t>
      </w:r>
      <w:r w:rsidR="00FB7B82" w:rsidRPr="00D70463">
        <w:rPr>
          <w:rFonts w:ascii="Arial" w:hAnsi="Arial" w:cs="Arial"/>
          <w:sz w:val="22"/>
          <w:szCs w:val="22"/>
          <w:lang w:val="en-GB"/>
        </w:rPr>
        <w:t xml:space="preserve">The summary is taken over from Nemerofsky, </w:t>
      </w:r>
      <w:r w:rsidR="00FB7B82" w:rsidRPr="00D70463">
        <w:rPr>
          <w:rFonts w:ascii="Arial" w:hAnsi="Arial" w:cs="Arial"/>
          <w:i/>
          <w:iCs/>
          <w:sz w:val="22"/>
          <w:szCs w:val="22"/>
          <w:lang w:val="en-GB"/>
        </w:rPr>
        <w:t>supra</w:t>
      </w:r>
      <w:r w:rsidR="00F57852" w:rsidRPr="00D70463">
        <w:rPr>
          <w:rFonts w:ascii="Arial" w:hAnsi="Arial" w:cs="Arial"/>
          <w:sz w:val="22"/>
          <w:szCs w:val="22"/>
          <w:lang w:val="en-GB"/>
        </w:rPr>
        <w:t>, 325 – 326.</w:t>
      </w:r>
    </w:p>
  </w:footnote>
  <w:footnote w:id="47">
    <w:p w14:paraId="3B9CF93F" w14:textId="678AE0F9" w:rsidR="00973A92" w:rsidRPr="00D70463" w:rsidRDefault="00973A92" w:rsidP="00D70463">
      <w:pPr>
        <w:pStyle w:val="FootnoteText"/>
        <w:spacing w:after="120"/>
        <w:jc w:val="both"/>
        <w:rPr>
          <w:rFonts w:ascii="Arial" w:hAnsi="Arial" w:cs="Arial"/>
          <w:sz w:val="22"/>
          <w:szCs w:val="22"/>
          <w:lang w:val="en-GB"/>
        </w:rPr>
      </w:pPr>
      <w:r w:rsidRPr="00D70463">
        <w:rPr>
          <w:rStyle w:val="FootnoteReference"/>
          <w:rFonts w:ascii="Arial" w:hAnsi="Arial" w:cs="Arial"/>
          <w:sz w:val="22"/>
          <w:szCs w:val="22"/>
        </w:rPr>
        <w:footnoteRef/>
      </w:r>
      <w:r w:rsidRPr="00D70463">
        <w:rPr>
          <w:rFonts w:ascii="Arial" w:hAnsi="Arial" w:cs="Arial"/>
          <w:sz w:val="22"/>
          <w:szCs w:val="22"/>
        </w:rPr>
        <w:t xml:space="preserve"> </w:t>
      </w:r>
      <w:r w:rsidRPr="00D70463">
        <w:rPr>
          <w:rFonts w:ascii="Arial" w:hAnsi="Arial" w:cs="Arial"/>
          <w:sz w:val="22"/>
          <w:szCs w:val="22"/>
          <w:lang w:val="en-GB"/>
        </w:rPr>
        <w:t xml:space="preserve">The summary is taken over from </w:t>
      </w:r>
      <w:r w:rsidR="006C53D3" w:rsidRPr="00D70463">
        <w:rPr>
          <w:rFonts w:ascii="Arial" w:hAnsi="Arial" w:cs="Arial"/>
          <w:sz w:val="22"/>
          <w:szCs w:val="22"/>
          <w:lang w:val="en-GB"/>
        </w:rPr>
        <w:t>Inesi, A</w:t>
      </w:r>
      <w:r w:rsidR="00EF142B" w:rsidRPr="00D70463">
        <w:rPr>
          <w:rFonts w:ascii="Arial" w:hAnsi="Arial" w:cs="Arial"/>
          <w:sz w:val="22"/>
          <w:szCs w:val="22"/>
          <w:lang w:val="en-GB"/>
        </w:rPr>
        <w:t>,</w:t>
      </w:r>
      <w:r w:rsidR="006C53D3" w:rsidRPr="00D70463">
        <w:rPr>
          <w:rFonts w:ascii="Arial" w:hAnsi="Arial" w:cs="Arial"/>
          <w:sz w:val="22"/>
          <w:szCs w:val="22"/>
          <w:lang w:val="en-GB"/>
        </w:rPr>
        <w:t xml:space="preserve"> ‘A Theory of de Minimis and a Proposal for its Application in Copyright</w:t>
      </w:r>
      <w:r w:rsidR="00726E68" w:rsidRPr="00D70463">
        <w:rPr>
          <w:rFonts w:ascii="Arial" w:hAnsi="Arial" w:cs="Arial"/>
          <w:sz w:val="22"/>
          <w:szCs w:val="22"/>
          <w:lang w:val="en-GB"/>
        </w:rPr>
        <w:t xml:space="preserve">’ (2006) </w:t>
      </w:r>
      <w:r w:rsidR="00726E68" w:rsidRPr="00D70463">
        <w:rPr>
          <w:rFonts w:ascii="Arial" w:hAnsi="Arial" w:cs="Arial"/>
          <w:i/>
          <w:iCs/>
          <w:sz w:val="22"/>
          <w:szCs w:val="22"/>
          <w:lang w:val="en-GB"/>
        </w:rPr>
        <w:t>Berkeley Technolo</w:t>
      </w:r>
      <w:r w:rsidR="002B71DD" w:rsidRPr="00D70463">
        <w:rPr>
          <w:rFonts w:ascii="Arial" w:hAnsi="Arial" w:cs="Arial"/>
          <w:i/>
          <w:iCs/>
          <w:sz w:val="22"/>
          <w:szCs w:val="22"/>
          <w:lang w:val="en-GB"/>
        </w:rPr>
        <w:t xml:space="preserve">gy Law </w:t>
      </w:r>
      <w:r w:rsidR="00FD7D22" w:rsidRPr="00D70463">
        <w:rPr>
          <w:rFonts w:ascii="Arial" w:hAnsi="Arial" w:cs="Arial"/>
          <w:i/>
          <w:iCs/>
          <w:sz w:val="22"/>
          <w:szCs w:val="22"/>
          <w:lang w:val="en-GB"/>
        </w:rPr>
        <w:t xml:space="preserve">Journal </w:t>
      </w:r>
      <w:r w:rsidR="00FD7D22" w:rsidRPr="00D70463">
        <w:rPr>
          <w:rFonts w:ascii="Arial" w:hAnsi="Arial" w:cs="Arial"/>
          <w:sz w:val="22"/>
          <w:szCs w:val="22"/>
          <w:lang w:val="en-GB"/>
        </w:rPr>
        <w:t>945</w:t>
      </w:r>
      <w:r w:rsidR="002B71DD" w:rsidRPr="00D70463">
        <w:rPr>
          <w:rFonts w:ascii="Arial" w:hAnsi="Arial" w:cs="Arial"/>
          <w:sz w:val="22"/>
          <w:szCs w:val="22"/>
          <w:lang w:val="en-GB"/>
        </w:rPr>
        <w:t xml:space="preserve"> – 995 at </w:t>
      </w:r>
      <w:r w:rsidR="00F47035" w:rsidRPr="00D70463">
        <w:rPr>
          <w:rFonts w:ascii="Arial" w:hAnsi="Arial" w:cs="Arial"/>
          <w:sz w:val="22"/>
          <w:szCs w:val="22"/>
          <w:lang w:val="en-GB"/>
        </w:rPr>
        <w:t>954.</w:t>
      </w:r>
    </w:p>
  </w:footnote>
  <w:footnote w:id="48">
    <w:p w14:paraId="1FFF4925" w14:textId="390487D7" w:rsidR="00B6341B" w:rsidRPr="00D70463" w:rsidRDefault="00B6341B" w:rsidP="00D70463">
      <w:pPr>
        <w:pStyle w:val="FootnoteText"/>
        <w:spacing w:after="120"/>
        <w:jc w:val="both"/>
        <w:rPr>
          <w:rFonts w:ascii="Arial" w:hAnsi="Arial" w:cs="Arial"/>
          <w:sz w:val="22"/>
          <w:szCs w:val="22"/>
          <w:lang w:val="en-GB"/>
        </w:rPr>
      </w:pPr>
      <w:r w:rsidRPr="00D70463">
        <w:rPr>
          <w:rStyle w:val="FootnoteReference"/>
          <w:rFonts w:ascii="Arial" w:hAnsi="Arial" w:cs="Arial"/>
          <w:sz w:val="22"/>
          <w:szCs w:val="22"/>
        </w:rPr>
        <w:footnoteRef/>
      </w:r>
      <w:r w:rsidRPr="00D70463">
        <w:rPr>
          <w:rFonts w:ascii="Arial" w:hAnsi="Arial" w:cs="Arial"/>
          <w:sz w:val="22"/>
          <w:szCs w:val="22"/>
        </w:rPr>
        <w:t xml:space="preserve"> </w:t>
      </w:r>
      <w:r w:rsidR="00D001A7" w:rsidRPr="00D70463">
        <w:rPr>
          <w:rFonts w:ascii="Arial" w:hAnsi="Arial" w:cs="Arial"/>
          <w:sz w:val="22"/>
          <w:szCs w:val="22"/>
          <w:lang w:val="en-GB"/>
        </w:rPr>
        <w:t>34 C.C.P.A. 155 (1947)</w:t>
      </w:r>
      <w:r w:rsidR="009B6A0F" w:rsidRPr="00D70463">
        <w:rPr>
          <w:rFonts w:ascii="Arial" w:hAnsi="Arial" w:cs="Arial"/>
          <w:sz w:val="22"/>
          <w:szCs w:val="22"/>
          <w:lang w:val="en-GB"/>
        </w:rPr>
        <w:t xml:space="preserve"> as discussed by Ne</w:t>
      </w:r>
      <w:r w:rsidR="000017C7" w:rsidRPr="00D70463">
        <w:rPr>
          <w:rFonts w:ascii="Arial" w:hAnsi="Arial" w:cs="Arial"/>
          <w:sz w:val="22"/>
          <w:szCs w:val="22"/>
          <w:lang w:val="en-GB"/>
        </w:rPr>
        <w:t>mero</w:t>
      </w:r>
      <w:r w:rsidR="009B6A0F" w:rsidRPr="00D70463">
        <w:rPr>
          <w:rFonts w:ascii="Arial" w:hAnsi="Arial" w:cs="Arial"/>
          <w:sz w:val="22"/>
          <w:szCs w:val="22"/>
          <w:lang w:val="en-GB"/>
        </w:rPr>
        <w:t xml:space="preserve">fsky, </w:t>
      </w:r>
      <w:r w:rsidR="009B6A0F" w:rsidRPr="00D70463">
        <w:rPr>
          <w:rFonts w:ascii="Arial" w:hAnsi="Arial" w:cs="Arial"/>
          <w:i/>
          <w:iCs/>
          <w:sz w:val="22"/>
          <w:szCs w:val="22"/>
          <w:lang w:val="en-GB"/>
        </w:rPr>
        <w:t>supra</w:t>
      </w:r>
      <w:r w:rsidR="009B6A0F" w:rsidRPr="00D70463">
        <w:rPr>
          <w:rFonts w:ascii="Arial" w:hAnsi="Arial" w:cs="Arial"/>
          <w:sz w:val="22"/>
          <w:szCs w:val="22"/>
          <w:lang w:val="en-GB"/>
        </w:rPr>
        <w:t>, 33</w:t>
      </w:r>
      <w:r w:rsidR="000017C7" w:rsidRPr="00D70463">
        <w:rPr>
          <w:rFonts w:ascii="Arial" w:hAnsi="Arial" w:cs="Arial"/>
          <w:sz w:val="22"/>
          <w:szCs w:val="22"/>
          <w:lang w:val="en-GB"/>
        </w:rPr>
        <w:t>7 – 338.</w:t>
      </w:r>
    </w:p>
  </w:footnote>
  <w:footnote w:id="49">
    <w:p w14:paraId="5E53B104" w14:textId="7634BE38" w:rsidR="00F44064" w:rsidRPr="00D70463" w:rsidRDefault="00F44064" w:rsidP="00D70463">
      <w:pPr>
        <w:pStyle w:val="FootnoteText"/>
        <w:spacing w:after="120"/>
        <w:jc w:val="both"/>
        <w:rPr>
          <w:rFonts w:ascii="Arial" w:hAnsi="Arial" w:cs="Arial"/>
          <w:sz w:val="22"/>
          <w:szCs w:val="22"/>
          <w:lang w:val="en-GB"/>
        </w:rPr>
      </w:pPr>
      <w:r w:rsidRPr="00D70463">
        <w:rPr>
          <w:rStyle w:val="FootnoteReference"/>
          <w:rFonts w:ascii="Arial" w:hAnsi="Arial" w:cs="Arial"/>
          <w:sz w:val="22"/>
          <w:szCs w:val="22"/>
        </w:rPr>
        <w:footnoteRef/>
      </w:r>
      <w:r w:rsidRPr="00D70463">
        <w:rPr>
          <w:rFonts w:ascii="Arial" w:hAnsi="Arial" w:cs="Arial"/>
          <w:sz w:val="22"/>
          <w:szCs w:val="22"/>
        </w:rPr>
        <w:t xml:space="preserve"> </w:t>
      </w:r>
      <w:r w:rsidR="00111F41" w:rsidRPr="00D70463">
        <w:rPr>
          <w:rFonts w:ascii="Arial" w:hAnsi="Arial" w:cs="Arial"/>
          <w:sz w:val="22"/>
          <w:szCs w:val="22"/>
        </w:rPr>
        <w:t xml:space="preserve">See e.g., </w:t>
      </w:r>
      <w:r w:rsidRPr="00D70463">
        <w:rPr>
          <w:rFonts w:ascii="Arial" w:hAnsi="Arial" w:cs="Arial"/>
          <w:i/>
          <w:iCs/>
          <w:sz w:val="22"/>
          <w:szCs w:val="22"/>
          <w:lang w:val="en-GB"/>
        </w:rPr>
        <w:t>K v Minister of Safety and Security</w:t>
      </w:r>
      <w:r w:rsidR="0016553A" w:rsidRPr="00D70463">
        <w:rPr>
          <w:rFonts w:ascii="Arial" w:hAnsi="Arial" w:cs="Arial"/>
          <w:sz w:val="22"/>
          <w:szCs w:val="22"/>
          <w:lang w:val="en-GB"/>
        </w:rPr>
        <w:t xml:space="preserve"> 2005 (6) SA 419 (CC) at par </w:t>
      </w:r>
      <w:r w:rsidR="007D216B" w:rsidRPr="00D70463">
        <w:rPr>
          <w:rFonts w:ascii="Arial" w:hAnsi="Arial" w:cs="Arial"/>
          <w:sz w:val="22"/>
          <w:szCs w:val="22"/>
          <w:lang w:val="en-GB"/>
        </w:rPr>
        <w:t>[</w:t>
      </w:r>
      <w:r w:rsidR="0016553A" w:rsidRPr="00D70463">
        <w:rPr>
          <w:rFonts w:ascii="Arial" w:hAnsi="Arial" w:cs="Arial"/>
          <w:sz w:val="22"/>
          <w:szCs w:val="22"/>
          <w:lang w:val="en-GB"/>
        </w:rPr>
        <w:t xml:space="preserve">35], </w:t>
      </w:r>
      <w:r w:rsidR="0016553A" w:rsidRPr="00D70463">
        <w:rPr>
          <w:rFonts w:ascii="Arial" w:hAnsi="Arial" w:cs="Arial"/>
          <w:i/>
          <w:iCs/>
          <w:sz w:val="22"/>
          <w:szCs w:val="22"/>
          <w:lang w:val="en-GB"/>
        </w:rPr>
        <w:t xml:space="preserve">President of the Republic of South Africa </w:t>
      </w:r>
      <w:r w:rsidR="00BE09EA" w:rsidRPr="00D70463">
        <w:rPr>
          <w:rFonts w:ascii="Arial" w:hAnsi="Arial" w:cs="Arial"/>
          <w:i/>
          <w:iCs/>
          <w:sz w:val="22"/>
          <w:szCs w:val="22"/>
          <w:lang w:val="en-GB"/>
        </w:rPr>
        <w:t>and Others v M &amp; G Media Ltd</w:t>
      </w:r>
      <w:r w:rsidR="00BE09EA" w:rsidRPr="00D70463">
        <w:rPr>
          <w:rFonts w:ascii="Arial" w:hAnsi="Arial" w:cs="Arial"/>
          <w:sz w:val="22"/>
          <w:szCs w:val="22"/>
          <w:lang w:val="en-GB"/>
        </w:rPr>
        <w:t xml:space="preserve"> 2012 (2) SA 50 (CC) at par [16]</w:t>
      </w:r>
      <w:r w:rsidR="00D27017" w:rsidRPr="00D70463">
        <w:rPr>
          <w:rFonts w:ascii="Arial" w:hAnsi="Arial" w:cs="Arial"/>
          <w:sz w:val="22"/>
          <w:szCs w:val="22"/>
          <w:lang w:val="en-GB"/>
        </w:rPr>
        <w:t xml:space="preserve">, </w:t>
      </w:r>
      <w:r w:rsidR="00D27017" w:rsidRPr="00D70463">
        <w:rPr>
          <w:rFonts w:ascii="Arial" w:hAnsi="Arial" w:cs="Arial"/>
          <w:i/>
          <w:iCs/>
          <w:sz w:val="22"/>
          <w:szCs w:val="22"/>
          <w:lang w:val="en-GB"/>
        </w:rPr>
        <w:t>Distell Ltd v Commissioner, South African Revenue Services</w:t>
      </w:r>
      <w:r w:rsidR="00D27017" w:rsidRPr="00D70463">
        <w:rPr>
          <w:rFonts w:ascii="Arial" w:hAnsi="Arial" w:cs="Arial"/>
          <w:sz w:val="22"/>
          <w:szCs w:val="22"/>
          <w:lang w:val="en-GB"/>
        </w:rPr>
        <w:t xml:space="preserve"> 20</w:t>
      </w:r>
      <w:r w:rsidR="00172941" w:rsidRPr="00D70463">
        <w:rPr>
          <w:rFonts w:ascii="Arial" w:hAnsi="Arial" w:cs="Arial"/>
          <w:sz w:val="22"/>
          <w:szCs w:val="22"/>
          <w:lang w:val="en-GB"/>
        </w:rPr>
        <w:t>12</w:t>
      </w:r>
      <w:r w:rsidR="00D27017" w:rsidRPr="00D70463">
        <w:rPr>
          <w:rFonts w:ascii="Arial" w:hAnsi="Arial" w:cs="Arial"/>
          <w:sz w:val="22"/>
          <w:szCs w:val="22"/>
          <w:lang w:val="en-GB"/>
        </w:rPr>
        <w:t xml:space="preserve"> (5) SA </w:t>
      </w:r>
      <w:r w:rsidR="00D80D49" w:rsidRPr="00D70463">
        <w:rPr>
          <w:rFonts w:ascii="Arial" w:hAnsi="Arial" w:cs="Arial"/>
          <w:sz w:val="22"/>
          <w:szCs w:val="22"/>
          <w:lang w:val="en-GB"/>
        </w:rPr>
        <w:t>450 (SCA) at paras [57] – [58]</w:t>
      </w:r>
      <w:r w:rsidR="00B70A6E" w:rsidRPr="00D70463">
        <w:rPr>
          <w:rFonts w:ascii="Arial" w:hAnsi="Arial" w:cs="Arial"/>
          <w:sz w:val="22"/>
          <w:szCs w:val="22"/>
          <w:lang w:val="en-GB"/>
        </w:rPr>
        <w:t xml:space="preserve">, and </w:t>
      </w:r>
      <w:r w:rsidR="00B70A6E" w:rsidRPr="00D70463">
        <w:rPr>
          <w:rFonts w:ascii="Arial" w:hAnsi="Arial" w:cs="Arial"/>
          <w:i/>
          <w:iCs/>
          <w:sz w:val="22"/>
          <w:szCs w:val="22"/>
          <w:lang w:val="en-GB"/>
        </w:rPr>
        <w:t xml:space="preserve">Commissioner, South African Revenue Service v De Beers Consolidated Mines Ltd </w:t>
      </w:r>
      <w:r w:rsidR="00B70A6E" w:rsidRPr="00D70463">
        <w:rPr>
          <w:rFonts w:ascii="Arial" w:hAnsi="Arial" w:cs="Arial"/>
          <w:sz w:val="22"/>
          <w:szCs w:val="22"/>
          <w:lang w:val="en-GB"/>
        </w:rPr>
        <w:t>201</w:t>
      </w:r>
      <w:r w:rsidR="00614008" w:rsidRPr="00D70463">
        <w:rPr>
          <w:rFonts w:ascii="Arial" w:hAnsi="Arial" w:cs="Arial"/>
          <w:sz w:val="22"/>
          <w:szCs w:val="22"/>
          <w:lang w:val="en-GB"/>
        </w:rPr>
        <w:t>2</w:t>
      </w:r>
      <w:r w:rsidR="00B70A6E" w:rsidRPr="00D70463">
        <w:rPr>
          <w:rFonts w:ascii="Arial" w:hAnsi="Arial" w:cs="Arial"/>
          <w:sz w:val="22"/>
          <w:szCs w:val="22"/>
          <w:lang w:val="en-GB"/>
        </w:rPr>
        <w:t xml:space="preserve"> (5) SA 344 (SCA) at par [39].</w:t>
      </w:r>
    </w:p>
  </w:footnote>
  <w:footnote w:id="50">
    <w:p w14:paraId="79B77ECC" w14:textId="23BB9358" w:rsidR="009C3631" w:rsidRPr="00D70463" w:rsidRDefault="009C3631" w:rsidP="00D70463">
      <w:pPr>
        <w:pStyle w:val="FootnoteText"/>
        <w:spacing w:after="120"/>
        <w:jc w:val="both"/>
        <w:rPr>
          <w:rFonts w:ascii="Arial" w:hAnsi="Arial" w:cs="Arial"/>
          <w:i/>
          <w:iCs/>
          <w:sz w:val="22"/>
          <w:szCs w:val="22"/>
          <w:lang w:val="en-GB"/>
        </w:rPr>
      </w:pPr>
      <w:r w:rsidRPr="00D70463">
        <w:rPr>
          <w:rStyle w:val="FootnoteReference"/>
          <w:rFonts w:ascii="Arial" w:hAnsi="Arial" w:cs="Arial"/>
          <w:sz w:val="22"/>
          <w:szCs w:val="22"/>
        </w:rPr>
        <w:footnoteRef/>
      </w:r>
      <w:r w:rsidRPr="00D70463">
        <w:rPr>
          <w:rFonts w:ascii="Arial" w:hAnsi="Arial" w:cs="Arial"/>
          <w:sz w:val="22"/>
          <w:szCs w:val="22"/>
        </w:rPr>
        <w:t xml:space="preserve"> </w:t>
      </w:r>
      <w:r w:rsidR="00456546" w:rsidRPr="00D70463">
        <w:rPr>
          <w:rFonts w:ascii="Arial" w:hAnsi="Arial" w:cs="Arial"/>
          <w:sz w:val="22"/>
          <w:szCs w:val="22"/>
          <w:lang w:val="en-GB"/>
        </w:rPr>
        <w:t xml:space="preserve">See par </w:t>
      </w:r>
      <w:r w:rsidR="00456546" w:rsidRPr="00D70463">
        <w:rPr>
          <w:rFonts w:ascii="Arial" w:hAnsi="Arial" w:cs="Arial"/>
          <w:sz w:val="22"/>
          <w:szCs w:val="22"/>
          <w:lang w:val="en-GB"/>
        </w:rPr>
        <w:fldChar w:fldCharType="begin"/>
      </w:r>
      <w:r w:rsidR="00456546" w:rsidRPr="00D70463">
        <w:rPr>
          <w:rFonts w:ascii="Arial" w:hAnsi="Arial" w:cs="Arial"/>
          <w:sz w:val="22"/>
          <w:szCs w:val="22"/>
          <w:lang w:val="en-GB"/>
        </w:rPr>
        <w:instrText xml:space="preserve"> REF _Ref137760212 \r \h  \* MERGEFORMAT </w:instrText>
      </w:r>
      <w:r w:rsidR="00456546" w:rsidRPr="00D70463">
        <w:rPr>
          <w:rFonts w:ascii="Arial" w:hAnsi="Arial" w:cs="Arial"/>
          <w:sz w:val="22"/>
          <w:szCs w:val="22"/>
          <w:lang w:val="en-GB"/>
        </w:rPr>
      </w:r>
      <w:r w:rsidR="00456546" w:rsidRPr="00D70463">
        <w:rPr>
          <w:rFonts w:ascii="Arial" w:hAnsi="Arial" w:cs="Arial"/>
          <w:sz w:val="22"/>
          <w:szCs w:val="22"/>
          <w:lang w:val="en-GB"/>
        </w:rPr>
        <w:fldChar w:fldCharType="separate"/>
      </w:r>
      <w:r w:rsidR="000921D4" w:rsidRPr="00D70463">
        <w:rPr>
          <w:rFonts w:ascii="Arial" w:hAnsi="Arial" w:cs="Arial"/>
          <w:sz w:val="22"/>
          <w:szCs w:val="22"/>
          <w:lang w:val="en-GB"/>
        </w:rPr>
        <w:t>[10]</w:t>
      </w:r>
      <w:r w:rsidR="00456546" w:rsidRPr="00D70463">
        <w:rPr>
          <w:rFonts w:ascii="Arial" w:hAnsi="Arial" w:cs="Arial"/>
          <w:sz w:val="22"/>
          <w:szCs w:val="22"/>
          <w:lang w:val="en-GB"/>
        </w:rPr>
        <w:fldChar w:fldCharType="end"/>
      </w:r>
      <w:r w:rsidR="00456546" w:rsidRPr="00D70463">
        <w:rPr>
          <w:rFonts w:ascii="Arial" w:hAnsi="Arial" w:cs="Arial"/>
          <w:sz w:val="22"/>
          <w:szCs w:val="22"/>
          <w:lang w:val="en-GB"/>
        </w:rPr>
        <w:t xml:space="preserve">, </w:t>
      </w:r>
      <w:r w:rsidR="00456546" w:rsidRPr="00D70463">
        <w:rPr>
          <w:rFonts w:ascii="Arial" w:hAnsi="Arial" w:cs="Arial"/>
          <w:i/>
          <w:iCs/>
          <w:sz w:val="22"/>
          <w:szCs w:val="22"/>
          <w:lang w:val="en-GB"/>
        </w:rPr>
        <w:t>supra.</w:t>
      </w:r>
    </w:p>
  </w:footnote>
  <w:footnote w:id="51">
    <w:p w14:paraId="7ACCA40F" w14:textId="7FEE3287" w:rsidR="00575E94" w:rsidRPr="00D70463" w:rsidRDefault="00575E94" w:rsidP="00D70463">
      <w:pPr>
        <w:pStyle w:val="FootnoteText"/>
        <w:spacing w:after="120"/>
        <w:jc w:val="both"/>
        <w:rPr>
          <w:rFonts w:ascii="Arial" w:hAnsi="Arial" w:cs="Arial"/>
          <w:sz w:val="22"/>
          <w:szCs w:val="22"/>
          <w:lang w:val="en-GB"/>
        </w:rPr>
      </w:pPr>
      <w:r w:rsidRPr="00D70463">
        <w:rPr>
          <w:rStyle w:val="FootnoteReference"/>
          <w:rFonts w:ascii="Arial" w:hAnsi="Arial" w:cs="Arial"/>
          <w:sz w:val="22"/>
          <w:szCs w:val="22"/>
        </w:rPr>
        <w:footnoteRef/>
      </w:r>
      <w:r w:rsidRPr="00D70463">
        <w:rPr>
          <w:rFonts w:ascii="Arial" w:hAnsi="Arial" w:cs="Arial"/>
          <w:sz w:val="22"/>
          <w:szCs w:val="22"/>
        </w:rPr>
        <w:t xml:space="preserve"> </w:t>
      </w:r>
      <w:r w:rsidR="00D11FF8" w:rsidRPr="00D70463">
        <w:rPr>
          <w:rFonts w:ascii="Arial" w:hAnsi="Arial" w:cs="Arial"/>
          <w:sz w:val="22"/>
          <w:szCs w:val="22"/>
          <w:lang w:val="en-GB"/>
        </w:rPr>
        <w:t>Porter, D. ‘What is de minimis value?’ https://www.curtis.com/glossary/international-trade/de-minimis#:~:text=De%20minimis%20non%20curat%20lex,imposition%20of%20duty%20or%20tax accessed on 15 June 2023.</w:t>
      </w:r>
    </w:p>
  </w:footnote>
  <w:footnote w:id="52">
    <w:p w14:paraId="3B96587A" w14:textId="6BC8E9EE" w:rsidR="00122AFC" w:rsidRPr="00D70463" w:rsidRDefault="00122AFC" w:rsidP="00D70463">
      <w:pPr>
        <w:pStyle w:val="FootnoteText"/>
        <w:spacing w:after="120"/>
        <w:jc w:val="both"/>
        <w:rPr>
          <w:rFonts w:ascii="Arial" w:hAnsi="Arial" w:cs="Arial"/>
          <w:sz w:val="22"/>
          <w:szCs w:val="22"/>
          <w:lang w:val="en-GB"/>
        </w:rPr>
      </w:pPr>
      <w:r w:rsidRPr="00D70463">
        <w:rPr>
          <w:rStyle w:val="FootnoteReference"/>
          <w:rFonts w:ascii="Arial" w:hAnsi="Arial" w:cs="Arial"/>
          <w:sz w:val="22"/>
          <w:szCs w:val="22"/>
        </w:rPr>
        <w:footnoteRef/>
      </w:r>
      <w:r w:rsidRPr="00D70463">
        <w:rPr>
          <w:rFonts w:ascii="Arial" w:hAnsi="Arial" w:cs="Arial"/>
          <w:sz w:val="22"/>
          <w:szCs w:val="22"/>
        </w:rPr>
        <w:t xml:space="preserve"> </w:t>
      </w:r>
      <w:r w:rsidR="00DD13C9" w:rsidRPr="00D70463">
        <w:rPr>
          <w:rFonts w:ascii="Arial" w:hAnsi="Arial" w:cs="Arial"/>
          <w:sz w:val="22"/>
          <w:szCs w:val="22"/>
          <w:lang w:val="en-GB"/>
        </w:rPr>
        <w:t xml:space="preserve">It was </w:t>
      </w:r>
      <w:r w:rsidR="004B1460" w:rsidRPr="00D70463">
        <w:rPr>
          <w:rFonts w:ascii="Arial" w:hAnsi="Arial" w:cs="Arial"/>
          <w:sz w:val="22"/>
          <w:szCs w:val="22"/>
          <w:lang w:val="en-GB"/>
        </w:rPr>
        <w:t>held</w:t>
      </w:r>
      <w:r w:rsidR="00DD13C9" w:rsidRPr="00D70463">
        <w:rPr>
          <w:rFonts w:ascii="Arial" w:hAnsi="Arial" w:cs="Arial"/>
          <w:sz w:val="22"/>
          <w:szCs w:val="22"/>
          <w:lang w:val="en-GB"/>
        </w:rPr>
        <w:t xml:space="preserve"> in </w:t>
      </w:r>
      <w:r w:rsidR="00DD13C9" w:rsidRPr="00D70463">
        <w:rPr>
          <w:rFonts w:ascii="Arial" w:hAnsi="Arial" w:cs="Arial"/>
          <w:i/>
          <w:iCs/>
          <w:sz w:val="22"/>
          <w:szCs w:val="22"/>
          <w:lang w:val="en-GB"/>
        </w:rPr>
        <w:t>Director of Public Prosecutions, Eastern Cape v Klue</w:t>
      </w:r>
      <w:r w:rsidR="00DD13C9" w:rsidRPr="00D70463">
        <w:rPr>
          <w:rFonts w:ascii="Arial" w:hAnsi="Arial" w:cs="Arial"/>
          <w:sz w:val="22"/>
          <w:szCs w:val="22"/>
          <w:lang w:val="en-GB"/>
        </w:rPr>
        <w:t xml:space="preserve"> 2003 (1) SACR 389 </w:t>
      </w:r>
      <w:r w:rsidR="00D51E04" w:rsidRPr="00D70463">
        <w:rPr>
          <w:rFonts w:ascii="Arial" w:hAnsi="Arial" w:cs="Arial"/>
          <w:sz w:val="22"/>
          <w:szCs w:val="22"/>
          <w:lang w:val="en-GB"/>
        </w:rPr>
        <w:t>(E) that there is no room</w:t>
      </w:r>
      <w:r w:rsidR="00BB2067" w:rsidRPr="00D70463">
        <w:rPr>
          <w:rFonts w:ascii="Arial" w:hAnsi="Arial" w:cs="Arial"/>
          <w:sz w:val="22"/>
          <w:szCs w:val="22"/>
          <w:lang w:val="en-GB"/>
        </w:rPr>
        <w:t xml:space="preserve"> for the application of the </w:t>
      </w:r>
      <w:r w:rsidR="004C4B34" w:rsidRPr="00D70463">
        <w:rPr>
          <w:rFonts w:ascii="Arial" w:hAnsi="Arial" w:cs="Arial"/>
          <w:i/>
          <w:iCs/>
          <w:sz w:val="22"/>
          <w:szCs w:val="22"/>
          <w:lang w:val="en-GB"/>
        </w:rPr>
        <w:t xml:space="preserve">de minimis </w:t>
      </w:r>
      <w:r w:rsidR="00BB2067" w:rsidRPr="00D70463">
        <w:rPr>
          <w:rFonts w:ascii="Arial" w:hAnsi="Arial" w:cs="Arial"/>
          <w:sz w:val="22"/>
          <w:szCs w:val="22"/>
          <w:lang w:val="en-GB"/>
        </w:rPr>
        <w:t>principle where the legislature determined statutory limits.</w:t>
      </w:r>
      <w:r w:rsidR="006F7684" w:rsidRPr="00D70463">
        <w:rPr>
          <w:rFonts w:ascii="Arial" w:hAnsi="Arial" w:cs="Arial"/>
          <w:sz w:val="22"/>
          <w:szCs w:val="22"/>
          <w:lang w:val="en-GB"/>
        </w:rPr>
        <w:t xml:space="preserve"> It is noteworthy that in coming to this finding the court considered the aims and objectives</w:t>
      </w:r>
      <w:r w:rsidR="00D37134" w:rsidRPr="00D70463">
        <w:rPr>
          <w:rFonts w:ascii="Arial" w:hAnsi="Arial" w:cs="Arial"/>
          <w:sz w:val="22"/>
          <w:szCs w:val="22"/>
          <w:lang w:val="en-GB"/>
        </w:rPr>
        <w:t xml:space="preserve"> of the legislation to be important considerations.</w:t>
      </w:r>
      <w:r w:rsidR="00DD13C9" w:rsidRPr="00D70463">
        <w:rPr>
          <w:rFonts w:ascii="Arial" w:hAnsi="Arial" w:cs="Arial"/>
          <w:sz w:val="22"/>
          <w:szCs w:val="22"/>
          <w:lang w:val="en-GB"/>
        </w:rPr>
        <w:t xml:space="preserve"> </w:t>
      </w:r>
    </w:p>
  </w:footnote>
  <w:footnote w:id="53">
    <w:p w14:paraId="57E4AB9B" w14:textId="71E7E0D3" w:rsidR="004B2D24" w:rsidRPr="00D70463" w:rsidRDefault="004B2D24" w:rsidP="00D70463">
      <w:pPr>
        <w:pStyle w:val="FootnoteText"/>
        <w:spacing w:after="120"/>
        <w:jc w:val="both"/>
        <w:rPr>
          <w:rFonts w:ascii="Arial" w:hAnsi="Arial" w:cs="Arial"/>
          <w:sz w:val="22"/>
          <w:szCs w:val="22"/>
          <w:lang w:val="en-GB"/>
        </w:rPr>
      </w:pPr>
      <w:r w:rsidRPr="00D70463">
        <w:rPr>
          <w:rStyle w:val="FootnoteReference"/>
          <w:rFonts w:ascii="Arial" w:hAnsi="Arial" w:cs="Arial"/>
          <w:sz w:val="22"/>
          <w:szCs w:val="22"/>
        </w:rPr>
        <w:footnoteRef/>
      </w:r>
      <w:r w:rsidRPr="00D70463">
        <w:rPr>
          <w:rFonts w:ascii="Arial" w:hAnsi="Arial" w:cs="Arial"/>
          <w:sz w:val="22"/>
          <w:szCs w:val="22"/>
        </w:rPr>
        <w:t xml:space="preserve"> 1942 </w:t>
      </w:r>
      <w:r w:rsidR="00051D59" w:rsidRPr="00D70463">
        <w:rPr>
          <w:rFonts w:ascii="Arial" w:hAnsi="Arial" w:cs="Arial"/>
          <w:sz w:val="22"/>
          <w:szCs w:val="22"/>
        </w:rPr>
        <w:t>CPD</w:t>
      </w:r>
      <w:r w:rsidRPr="00D70463">
        <w:rPr>
          <w:rFonts w:ascii="Arial" w:hAnsi="Arial" w:cs="Arial"/>
          <w:sz w:val="22"/>
          <w:szCs w:val="22"/>
        </w:rPr>
        <w:t xml:space="preserve"> 412 </w:t>
      </w:r>
      <w:r w:rsidR="00051D59" w:rsidRPr="00D70463">
        <w:rPr>
          <w:rFonts w:ascii="Arial" w:hAnsi="Arial" w:cs="Arial"/>
          <w:sz w:val="22"/>
          <w:szCs w:val="22"/>
        </w:rPr>
        <w:t>at</w:t>
      </w:r>
      <w:r w:rsidRPr="00D70463">
        <w:rPr>
          <w:rFonts w:ascii="Arial" w:hAnsi="Arial" w:cs="Arial"/>
          <w:sz w:val="22"/>
          <w:szCs w:val="22"/>
        </w:rPr>
        <w:t xml:space="preserve"> 421.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908836"/>
      <w:docPartObj>
        <w:docPartGallery w:val="Page Numbers (Top of Page)"/>
        <w:docPartUnique/>
      </w:docPartObj>
    </w:sdtPr>
    <w:sdtEndPr>
      <w:rPr>
        <w:noProof/>
      </w:rPr>
    </w:sdtEndPr>
    <w:sdtContent>
      <w:p w14:paraId="3E0A3197" w14:textId="308A5C46" w:rsidR="00E83290" w:rsidRDefault="00E83290">
        <w:pPr>
          <w:pStyle w:val="Header"/>
          <w:jc w:val="center"/>
        </w:pPr>
        <w:r>
          <w:fldChar w:fldCharType="begin"/>
        </w:r>
        <w:r>
          <w:instrText xml:space="preserve"> PAGE   \* MERGEFORMAT </w:instrText>
        </w:r>
        <w:r>
          <w:fldChar w:fldCharType="separate"/>
        </w:r>
        <w:r w:rsidR="00C32B50">
          <w:rPr>
            <w:noProof/>
          </w:rPr>
          <w:t>4</w:t>
        </w:r>
        <w:r>
          <w:rPr>
            <w:noProof/>
          </w:rPr>
          <w:fldChar w:fldCharType="end"/>
        </w:r>
      </w:p>
    </w:sdtContent>
  </w:sdt>
  <w:p w14:paraId="281D55A2" w14:textId="77777777" w:rsidR="00E83290" w:rsidRDefault="00E832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
    <w:nsid w:val="0C637164"/>
    <w:multiLevelType w:val="hybridMultilevel"/>
    <w:tmpl w:val="643A98FA"/>
    <w:lvl w:ilvl="0" w:tplc="92EC1498">
      <w:start w:val="1"/>
      <w:numFmt w:val="lowerRoman"/>
      <w:lvlText w:val="(%1)"/>
      <w:lvlJc w:val="left"/>
      <w:pPr>
        <w:ind w:left="1728" w:hanging="72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nsid w:val="222E7260"/>
    <w:multiLevelType w:val="hybridMultilevel"/>
    <w:tmpl w:val="22AC75DE"/>
    <w:lvl w:ilvl="0" w:tplc="506219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55AEB"/>
    <w:multiLevelType w:val="hybridMultilevel"/>
    <w:tmpl w:val="1D1C3194"/>
    <w:lvl w:ilvl="0" w:tplc="706EBF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6822A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D790B0E"/>
    <w:multiLevelType w:val="hybridMultilevel"/>
    <w:tmpl w:val="2B2C7EE0"/>
    <w:lvl w:ilvl="0" w:tplc="5CAA7EA0">
      <w:start w:val="2"/>
      <w:numFmt w:val="lowerRoman"/>
      <w:lvlText w:val="(%1)"/>
      <w:lvlJc w:val="left"/>
      <w:pPr>
        <w:ind w:left="2058" w:hanging="720"/>
      </w:pPr>
      <w:rPr>
        <w:rFonts w:hint="default"/>
      </w:rPr>
    </w:lvl>
    <w:lvl w:ilvl="1" w:tplc="04090019" w:tentative="1">
      <w:start w:val="1"/>
      <w:numFmt w:val="lowerLetter"/>
      <w:lvlText w:val="%2."/>
      <w:lvlJc w:val="left"/>
      <w:pPr>
        <w:ind w:left="2418" w:hanging="360"/>
      </w:pPr>
    </w:lvl>
    <w:lvl w:ilvl="2" w:tplc="0409001B" w:tentative="1">
      <w:start w:val="1"/>
      <w:numFmt w:val="lowerRoman"/>
      <w:lvlText w:val="%3."/>
      <w:lvlJc w:val="right"/>
      <w:pPr>
        <w:ind w:left="3138" w:hanging="180"/>
      </w:pPr>
    </w:lvl>
    <w:lvl w:ilvl="3" w:tplc="0409000F" w:tentative="1">
      <w:start w:val="1"/>
      <w:numFmt w:val="decimal"/>
      <w:lvlText w:val="%4."/>
      <w:lvlJc w:val="left"/>
      <w:pPr>
        <w:ind w:left="3858" w:hanging="360"/>
      </w:pPr>
    </w:lvl>
    <w:lvl w:ilvl="4" w:tplc="04090019" w:tentative="1">
      <w:start w:val="1"/>
      <w:numFmt w:val="lowerLetter"/>
      <w:lvlText w:val="%5."/>
      <w:lvlJc w:val="left"/>
      <w:pPr>
        <w:ind w:left="4578" w:hanging="360"/>
      </w:pPr>
    </w:lvl>
    <w:lvl w:ilvl="5" w:tplc="0409001B" w:tentative="1">
      <w:start w:val="1"/>
      <w:numFmt w:val="lowerRoman"/>
      <w:lvlText w:val="%6."/>
      <w:lvlJc w:val="right"/>
      <w:pPr>
        <w:ind w:left="5298" w:hanging="180"/>
      </w:pPr>
    </w:lvl>
    <w:lvl w:ilvl="6" w:tplc="0409000F" w:tentative="1">
      <w:start w:val="1"/>
      <w:numFmt w:val="decimal"/>
      <w:lvlText w:val="%7."/>
      <w:lvlJc w:val="left"/>
      <w:pPr>
        <w:ind w:left="6018" w:hanging="360"/>
      </w:pPr>
    </w:lvl>
    <w:lvl w:ilvl="7" w:tplc="04090019" w:tentative="1">
      <w:start w:val="1"/>
      <w:numFmt w:val="lowerLetter"/>
      <w:lvlText w:val="%8."/>
      <w:lvlJc w:val="left"/>
      <w:pPr>
        <w:ind w:left="6738" w:hanging="360"/>
      </w:pPr>
    </w:lvl>
    <w:lvl w:ilvl="8" w:tplc="0409001B" w:tentative="1">
      <w:start w:val="1"/>
      <w:numFmt w:val="lowerRoman"/>
      <w:lvlText w:val="%9."/>
      <w:lvlJc w:val="right"/>
      <w:pPr>
        <w:ind w:left="7458" w:hanging="180"/>
      </w:pPr>
    </w:lvl>
  </w:abstractNum>
  <w:abstractNum w:abstractNumId="6">
    <w:nsid w:val="44303809"/>
    <w:multiLevelType w:val="hybridMultilevel"/>
    <w:tmpl w:val="EEC493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D7B07E2"/>
    <w:multiLevelType w:val="hybridMultilevel"/>
    <w:tmpl w:val="44B66422"/>
    <w:lvl w:ilvl="0" w:tplc="6824B6BE">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
    <w:nsid w:val="78B21DB0"/>
    <w:multiLevelType w:val="hybridMultilevel"/>
    <w:tmpl w:val="A3F209F0"/>
    <w:lvl w:ilvl="0" w:tplc="84483B8E">
      <w:start w:val="1"/>
      <w:numFmt w:val="decimal"/>
      <w:lvlText w:val="[%1]"/>
      <w:lvlJc w:val="left"/>
      <w:pPr>
        <w:ind w:left="720" w:hanging="360"/>
      </w:pPr>
      <w:rPr>
        <w:rFonts w:hint="default"/>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6"/>
  </w:num>
  <w:num w:numId="5">
    <w:abstractNumId w:val="1"/>
  </w:num>
  <w:num w:numId="6">
    <w:abstractNumId w:val="5"/>
  </w:num>
  <w:num w:numId="7">
    <w:abstractNumId w:val="7"/>
  </w:num>
  <w:num w:numId="8">
    <w:abstractNumId w:val="3"/>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68FAHRMZDstAAAA"/>
  </w:docVars>
  <w:rsids>
    <w:rsidRoot w:val="00716377"/>
    <w:rsid w:val="0000007B"/>
    <w:rsid w:val="00000977"/>
    <w:rsid w:val="0000112A"/>
    <w:rsid w:val="000017C7"/>
    <w:rsid w:val="00001BAF"/>
    <w:rsid w:val="0000244E"/>
    <w:rsid w:val="0000273A"/>
    <w:rsid w:val="00003D76"/>
    <w:rsid w:val="00004997"/>
    <w:rsid w:val="00004E8D"/>
    <w:rsid w:val="00004F7C"/>
    <w:rsid w:val="000055D3"/>
    <w:rsid w:val="0000567D"/>
    <w:rsid w:val="00005C66"/>
    <w:rsid w:val="00005F8E"/>
    <w:rsid w:val="00007ADD"/>
    <w:rsid w:val="0001114D"/>
    <w:rsid w:val="0001205F"/>
    <w:rsid w:val="00012309"/>
    <w:rsid w:val="0001404C"/>
    <w:rsid w:val="000156A6"/>
    <w:rsid w:val="00015828"/>
    <w:rsid w:val="00016717"/>
    <w:rsid w:val="000171DB"/>
    <w:rsid w:val="000176C9"/>
    <w:rsid w:val="0001790A"/>
    <w:rsid w:val="000202FA"/>
    <w:rsid w:val="000203E2"/>
    <w:rsid w:val="00021ECC"/>
    <w:rsid w:val="00022328"/>
    <w:rsid w:val="000230BD"/>
    <w:rsid w:val="00023275"/>
    <w:rsid w:val="00023CAC"/>
    <w:rsid w:val="0002404E"/>
    <w:rsid w:val="00024E0F"/>
    <w:rsid w:val="00025126"/>
    <w:rsid w:val="000257A9"/>
    <w:rsid w:val="00026744"/>
    <w:rsid w:val="000274E7"/>
    <w:rsid w:val="00030A3B"/>
    <w:rsid w:val="00031143"/>
    <w:rsid w:val="000317A3"/>
    <w:rsid w:val="00032C78"/>
    <w:rsid w:val="00032EAA"/>
    <w:rsid w:val="00032FC2"/>
    <w:rsid w:val="00034E27"/>
    <w:rsid w:val="00035306"/>
    <w:rsid w:val="00035BF5"/>
    <w:rsid w:val="000367C1"/>
    <w:rsid w:val="00036DF7"/>
    <w:rsid w:val="00037CA8"/>
    <w:rsid w:val="000406C2"/>
    <w:rsid w:val="00041763"/>
    <w:rsid w:val="00041D2B"/>
    <w:rsid w:val="00041ED7"/>
    <w:rsid w:val="000422BC"/>
    <w:rsid w:val="0004314F"/>
    <w:rsid w:val="00043B0D"/>
    <w:rsid w:val="000442F4"/>
    <w:rsid w:val="00046AC5"/>
    <w:rsid w:val="00047EA7"/>
    <w:rsid w:val="00050653"/>
    <w:rsid w:val="000506DB"/>
    <w:rsid w:val="00051665"/>
    <w:rsid w:val="00051C95"/>
    <w:rsid w:val="00051D59"/>
    <w:rsid w:val="00052CF2"/>
    <w:rsid w:val="00055BFD"/>
    <w:rsid w:val="00057FD6"/>
    <w:rsid w:val="00060196"/>
    <w:rsid w:val="00060B7B"/>
    <w:rsid w:val="000610BE"/>
    <w:rsid w:val="00061538"/>
    <w:rsid w:val="00062130"/>
    <w:rsid w:val="00062922"/>
    <w:rsid w:val="000629BB"/>
    <w:rsid w:val="00064763"/>
    <w:rsid w:val="000649D6"/>
    <w:rsid w:val="0006526E"/>
    <w:rsid w:val="00065E8F"/>
    <w:rsid w:val="000664E5"/>
    <w:rsid w:val="00067BE0"/>
    <w:rsid w:val="00070056"/>
    <w:rsid w:val="00070EB1"/>
    <w:rsid w:val="0007127F"/>
    <w:rsid w:val="00071F47"/>
    <w:rsid w:val="00072699"/>
    <w:rsid w:val="0007288F"/>
    <w:rsid w:val="000728A2"/>
    <w:rsid w:val="00072C0C"/>
    <w:rsid w:val="00072D8C"/>
    <w:rsid w:val="0007341A"/>
    <w:rsid w:val="000734D0"/>
    <w:rsid w:val="00073D36"/>
    <w:rsid w:val="00074073"/>
    <w:rsid w:val="00074DF7"/>
    <w:rsid w:val="00075ACE"/>
    <w:rsid w:val="00075F85"/>
    <w:rsid w:val="000760AA"/>
    <w:rsid w:val="000769B8"/>
    <w:rsid w:val="00076D45"/>
    <w:rsid w:val="00076E83"/>
    <w:rsid w:val="00080965"/>
    <w:rsid w:val="0008099B"/>
    <w:rsid w:val="000809D6"/>
    <w:rsid w:val="00081206"/>
    <w:rsid w:val="0008149E"/>
    <w:rsid w:val="00082CF0"/>
    <w:rsid w:val="00084058"/>
    <w:rsid w:val="000844BA"/>
    <w:rsid w:val="00085CA1"/>
    <w:rsid w:val="000867A3"/>
    <w:rsid w:val="0008706B"/>
    <w:rsid w:val="00087773"/>
    <w:rsid w:val="00087A9C"/>
    <w:rsid w:val="00087EC3"/>
    <w:rsid w:val="00090049"/>
    <w:rsid w:val="00090328"/>
    <w:rsid w:val="0009046E"/>
    <w:rsid w:val="00090B1E"/>
    <w:rsid w:val="00091185"/>
    <w:rsid w:val="000917FE"/>
    <w:rsid w:val="00091A12"/>
    <w:rsid w:val="00091A89"/>
    <w:rsid w:val="00092153"/>
    <w:rsid w:val="000921D4"/>
    <w:rsid w:val="0009232A"/>
    <w:rsid w:val="000935DC"/>
    <w:rsid w:val="00094B43"/>
    <w:rsid w:val="0009503D"/>
    <w:rsid w:val="00096211"/>
    <w:rsid w:val="00096917"/>
    <w:rsid w:val="00096C7B"/>
    <w:rsid w:val="00096DAE"/>
    <w:rsid w:val="0009779B"/>
    <w:rsid w:val="000A0543"/>
    <w:rsid w:val="000A0887"/>
    <w:rsid w:val="000A0AC1"/>
    <w:rsid w:val="000A0ADB"/>
    <w:rsid w:val="000A0E23"/>
    <w:rsid w:val="000A0FE8"/>
    <w:rsid w:val="000A1F76"/>
    <w:rsid w:val="000A28DD"/>
    <w:rsid w:val="000A3760"/>
    <w:rsid w:val="000A3C9A"/>
    <w:rsid w:val="000A3E11"/>
    <w:rsid w:val="000A4062"/>
    <w:rsid w:val="000A518B"/>
    <w:rsid w:val="000A5A2F"/>
    <w:rsid w:val="000A630E"/>
    <w:rsid w:val="000A6421"/>
    <w:rsid w:val="000A69BF"/>
    <w:rsid w:val="000A7704"/>
    <w:rsid w:val="000A7776"/>
    <w:rsid w:val="000A7F1B"/>
    <w:rsid w:val="000B0055"/>
    <w:rsid w:val="000B1AFB"/>
    <w:rsid w:val="000B2362"/>
    <w:rsid w:val="000B2E75"/>
    <w:rsid w:val="000B36A5"/>
    <w:rsid w:val="000B4025"/>
    <w:rsid w:val="000B4F76"/>
    <w:rsid w:val="000B5A68"/>
    <w:rsid w:val="000B6169"/>
    <w:rsid w:val="000B6F80"/>
    <w:rsid w:val="000C0072"/>
    <w:rsid w:val="000C02F7"/>
    <w:rsid w:val="000C092E"/>
    <w:rsid w:val="000C0C3C"/>
    <w:rsid w:val="000C1968"/>
    <w:rsid w:val="000C2246"/>
    <w:rsid w:val="000C23A9"/>
    <w:rsid w:val="000C29EF"/>
    <w:rsid w:val="000C310D"/>
    <w:rsid w:val="000C36B5"/>
    <w:rsid w:val="000C4040"/>
    <w:rsid w:val="000C4CCB"/>
    <w:rsid w:val="000C4DD8"/>
    <w:rsid w:val="000C4ED1"/>
    <w:rsid w:val="000C4FFC"/>
    <w:rsid w:val="000C523F"/>
    <w:rsid w:val="000C5861"/>
    <w:rsid w:val="000C5993"/>
    <w:rsid w:val="000C6A50"/>
    <w:rsid w:val="000C6AC9"/>
    <w:rsid w:val="000C6ADC"/>
    <w:rsid w:val="000C7ED3"/>
    <w:rsid w:val="000D205D"/>
    <w:rsid w:val="000D2748"/>
    <w:rsid w:val="000D4053"/>
    <w:rsid w:val="000D5CB8"/>
    <w:rsid w:val="000D5CE2"/>
    <w:rsid w:val="000D5E43"/>
    <w:rsid w:val="000D6CA0"/>
    <w:rsid w:val="000D7252"/>
    <w:rsid w:val="000D731C"/>
    <w:rsid w:val="000D7582"/>
    <w:rsid w:val="000D7BA2"/>
    <w:rsid w:val="000D7FA9"/>
    <w:rsid w:val="000E009C"/>
    <w:rsid w:val="000E0372"/>
    <w:rsid w:val="000E13AC"/>
    <w:rsid w:val="000E15F4"/>
    <w:rsid w:val="000E165F"/>
    <w:rsid w:val="000E2182"/>
    <w:rsid w:val="000E2944"/>
    <w:rsid w:val="000E4DD3"/>
    <w:rsid w:val="000E4E88"/>
    <w:rsid w:val="000E5467"/>
    <w:rsid w:val="000E55B7"/>
    <w:rsid w:val="000E599D"/>
    <w:rsid w:val="000E62AF"/>
    <w:rsid w:val="000E7A00"/>
    <w:rsid w:val="000E7D6F"/>
    <w:rsid w:val="000F042B"/>
    <w:rsid w:val="000F0AF4"/>
    <w:rsid w:val="000F209F"/>
    <w:rsid w:val="000F225D"/>
    <w:rsid w:val="000F382D"/>
    <w:rsid w:val="000F40EC"/>
    <w:rsid w:val="000F4953"/>
    <w:rsid w:val="000F65A5"/>
    <w:rsid w:val="000F6898"/>
    <w:rsid w:val="000F6F37"/>
    <w:rsid w:val="000F7C81"/>
    <w:rsid w:val="000F7E3B"/>
    <w:rsid w:val="00101200"/>
    <w:rsid w:val="001014D1"/>
    <w:rsid w:val="00102BAC"/>
    <w:rsid w:val="00103173"/>
    <w:rsid w:val="00103781"/>
    <w:rsid w:val="0010514A"/>
    <w:rsid w:val="001051BF"/>
    <w:rsid w:val="0010564D"/>
    <w:rsid w:val="00105D99"/>
    <w:rsid w:val="00105FA7"/>
    <w:rsid w:val="001062B3"/>
    <w:rsid w:val="00106334"/>
    <w:rsid w:val="001069B2"/>
    <w:rsid w:val="00111644"/>
    <w:rsid w:val="00111F41"/>
    <w:rsid w:val="00113617"/>
    <w:rsid w:val="00113E28"/>
    <w:rsid w:val="00113E97"/>
    <w:rsid w:val="0011500F"/>
    <w:rsid w:val="001166CD"/>
    <w:rsid w:val="001167B4"/>
    <w:rsid w:val="001176BA"/>
    <w:rsid w:val="00120DA6"/>
    <w:rsid w:val="0012171D"/>
    <w:rsid w:val="00122718"/>
    <w:rsid w:val="00122815"/>
    <w:rsid w:val="00122A69"/>
    <w:rsid w:val="00122AFC"/>
    <w:rsid w:val="00122D3B"/>
    <w:rsid w:val="00122DA7"/>
    <w:rsid w:val="00123AF6"/>
    <w:rsid w:val="00124C87"/>
    <w:rsid w:val="0012537E"/>
    <w:rsid w:val="00125917"/>
    <w:rsid w:val="00125A23"/>
    <w:rsid w:val="00125E7E"/>
    <w:rsid w:val="00126105"/>
    <w:rsid w:val="00126196"/>
    <w:rsid w:val="00126305"/>
    <w:rsid w:val="0012642B"/>
    <w:rsid w:val="00126FCC"/>
    <w:rsid w:val="001277ED"/>
    <w:rsid w:val="00127F08"/>
    <w:rsid w:val="00127F3D"/>
    <w:rsid w:val="0013046D"/>
    <w:rsid w:val="00133244"/>
    <w:rsid w:val="00134075"/>
    <w:rsid w:val="00134554"/>
    <w:rsid w:val="00134ABA"/>
    <w:rsid w:val="00135882"/>
    <w:rsid w:val="00135DE6"/>
    <w:rsid w:val="00135E64"/>
    <w:rsid w:val="00136128"/>
    <w:rsid w:val="001363C9"/>
    <w:rsid w:val="00137D9B"/>
    <w:rsid w:val="00140F30"/>
    <w:rsid w:val="00141DD9"/>
    <w:rsid w:val="001424AA"/>
    <w:rsid w:val="0014280A"/>
    <w:rsid w:val="001434C3"/>
    <w:rsid w:val="001441F1"/>
    <w:rsid w:val="00144D6B"/>
    <w:rsid w:val="00146286"/>
    <w:rsid w:val="00146B2E"/>
    <w:rsid w:val="001470B9"/>
    <w:rsid w:val="0014739E"/>
    <w:rsid w:val="00147AF6"/>
    <w:rsid w:val="00147BD7"/>
    <w:rsid w:val="00147F9C"/>
    <w:rsid w:val="00150405"/>
    <w:rsid w:val="00150974"/>
    <w:rsid w:val="00151AA6"/>
    <w:rsid w:val="00151DEB"/>
    <w:rsid w:val="001521AC"/>
    <w:rsid w:val="001525ED"/>
    <w:rsid w:val="0015280B"/>
    <w:rsid w:val="00153851"/>
    <w:rsid w:val="00153BF3"/>
    <w:rsid w:val="00153ED5"/>
    <w:rsid w:val="0015408F"/>
    <w:rsid w:val="00154895"/>
    <w:rsid w:val="00155217"/>
    <w:rsid w:val="001564DC"/>
    <w:rsid w:val="001564E3"/>
    <w:rsid w:val="001567F0"/>
    <w:rsid w:val="00156BBA"/>
    <w:rsid w:val="0015765D"/>
    <w:rsid w:val="00157C7A"/>
    <w:rsid w:val="00157E11"/>
    <w:rsid w:val="0016057B"/>
    <w:rsid w:val="0016180C"/>
    <w:rsid w:val="00162779"/>
    <w:rsid w:val="00162C52"/>
    <w:rsid w:val="00162C6B"/>
    <w:rsid w:val="00163F2E"/>
    <w:rsid w:val="00164075"/>
    <w:rsid w:val="00164B19"/>
    <w:rsid w:val="0016553A"/>
    <w:rsid w:val="001663AD"/>
    <w:rsid w:val="001664B3"/>
    <w:rsid w:val="001668FD"/>
    <w:rsid w:val="00166CC5"/>
    <w:rsid w:val="00166DED"/>
    <w:rsid w:val="001678C5"/>
    <w:rsid w:val="001679BD"/>
    <w:rsid w:val="00170C19"/>
    <w:rsid w:val="00170FC2"/>
    <w:rsid w:val="0017167F"/>
    <w:rsid w:val="00172941"/>
    <w:rsid w:val="00172B6E"/>
    <w:rsid w:val="00172E1D"/>
    <w:rsid w:val="00173785"/>
    <w:rsid w:val="00173B1C"/>
    <w:rsid w:val="0017406D"/>
    <w:rsid w:val="0017469D"/>
    <w:rsid w:val="00175560"/>
    <w:rsid w:val="00175A1C"/>
    <w:rsid w:val="00175CF6"/>
    <w:rsid w:val="00176875"/>
    <w:rsid w:val="00176E94"/>
    <w:rsid w:val="00177800"/>
    <w:rsid w:val="00180745"/>
    <w:rsid w:val="00180852"/>
    <w:rsid w:val="00180B91"/>
    <w:rsid w:val="00180B94"/>
    <w:rsid w:val="00181603"/>
    <w:rsid w:val="00182850"/>
    <w:rsid w:val="00182894"/>
    <w:rsid w:val="00182A8B"/>
    <w:rsid w:val="00182C88"/>
    <w:rsid w:val="0018381F"/>
    <w:rsid w:val="00183C7D"/>
    <w:rsid w:val="0018606E"/>
    <w:rsid w:val="0018677F"/>
    <w:rsid w:val="00186C60"/>
    <w:rsid w:val="00187295"/>
    <w:rsid w:val="00187D7E"/>
    <w:rsid w:val="0019113E"/>
    <w:rsid w:val="00191FEC"/>
    <w:rsid w:val="00192BF3"/>
    <w:rsid w:val="001933F8"/>
    <w:rsid w:val="00193443"/>
    <w:rsid w:val="0019604F"/>
    <w:rsid w:val="0019645F"/>
    <w:rsid w:val="00197847"/>
    <w:rsid w:val="001A08F8"/>
    <w:rsid w:val="001A090F"/>
    <w:rsid w:val="001A0B34"/>
    <w:rsid w:val="001A14CD"/>
    <w:rsid w:val="001A151C"/>
    <w:rsid w:val="001A1AF2"/>
    <w:rsid w:val="001A2434"/>
    <w:rsid w:val="001A256F"/>
    <w:rsid w:val="001A31CC"/>
    <w:rsid w:val="001A378D"/>
    <w:rsid w:val="001A49A8"/>
    <w:rsid w:val="001A4BA7"/>
    <w:rsid w:val="001A4BCE"/>
    <w:rsid w:val="001A4C77"/>
    <w:rsid w:val="001A6A9A"/>
    <w:rsid w:val="001A7400"/>
    <w:rsid w:val="001B05BA"/>
    <w:rsid w:val="001B0BDA"/>
    <w:rsid w:val="001B0C8D"/>
    <w:rsid w:val="001B0D76"/>
    <w:rsid w:val="001B1693"/>
    <w:rsid w:val="001B2183"/>
    <w:rsid w:val="001B27DE"/>
    <w:rsid w:val="001B289B"/>
    <w:rsid w:val="001B2E2A"/>
    <w:rsid w:val="001B31E0"/>
    <w:rsid w:val="001B31F0"/>
    <w:rsid w:val="001B4780"/>
    <w:rsid w:val="001B4931"/>
    <w:rsid w:val="001B538F"/>
    <w:rsid w:val="001B571A"/>
    <w:rsid w:val="001B5973"/>
    <w:rsid w:val="001B5C62"/>
    <w:rsid w:val="001B78FA"/>
    <w:rsid w:val="001B7AEF"/>
    <w:rsid w:val="001B7DDE"/>
    <w:rsid w:val="001C0FB5"/>
    <w:rsid w:val="001C15CC"/>
    <w:rsid w:val="001C1F00"/>
    <w:rsid w:val="001C1F91"/>
    <w:rsid w:val="001C2169"/>
    <w:rsid w:val="001C38EE"/>
    <w:rsid w:val="001C46D3"/>
    <w:rsid w:val="001C47BD"/>
    <w:rsid w:val="001C487B"/>
    <w:rsid w:val="001C52E9"/>
    <w:rsid w:val="001C5389"/>
    <w:rsid w:val="001C5890"/>
    <w:rsid w:val="001C6038"/>
    <w:rsid w:val="001C6102"/>
    <w:rsid w:val="001C63C2"/>
    <w:rsid w:val="001C7831"/>
    <w:rsid w:val="001C79B2"/>
    <w:rsid w:val="001C7A6A"/>
    <w:rsid w:val="001C7D68"/>
    <w:rsid w:val="001C7E88"/>
    <w:rsid w:val="001D0288"/>
    <w:rsid w:val="001D06F6"/>
    <w:rsid w:val="001D115E"/>
    <w:rsid w:val="001D2632"/>
    <w:rsid w:val="001D6772"/>
    <w:rsid w:val="001D7299"/>
    <w:rsid w:val="001D7577"/>
    <w:rsid w:val="001D779C"/>
    <w:rsid w:val="001E0112"/>
    <w:rsid w:val="001E1AFA"/>
    <w:rsid w:val="001E1B80"/>
    <w:rsid w:val="001E2B6C"/>
    <w:rsid w:val="001E2C75"/>
    <w:rsid w:val="001E39CE"/>
    <w:rsid w:val="001E4659"/>
    <w:rsid w:val="001E4C5C"/>
    <w:rsid w:val="001E571B"/>
    <w:rsid w:val="001E584F"/>
    <w:rsid w:val="001E59B4"/>
    <w:rsid w:val="001E6423"/>
    <w:rsid w:val="001F1C20"/>
    <w:rsid w:val="001F2AA1"/>
    <w:rsid w:val="001F31B4"/>
    <w:rsid w:val="001F3AF1"/>
    <w:rsid w:val="001F6630"/>
    <w:rsid w:val="001F6A6D"/>
    <w:rsid w:val="001F7084"/>
    <w:rsid w:val="001F72C5"/>
    <w:rsid w:val="001F73F8"/>
    <w:rsid w:val="002010BD"/>
    <w:rsid w:val="00201ABE"/>
    <w:rsid w:val="00201EFA"/>
    <w:rsid w:val="00201F66"/>
    <w:rsid w:val="002026A5"/>
    <w:rsid w:val="00202BA5"/>
    <w:rsid w:val="002033C4"/>
    <w:rsid w:val="00203486"/>
    <w:rsid w:val="00203E30"/>
    <w:rsid w:val="0020431B"/>
    <w:rsid w:val="00205606"/>
    <w:rsid w:val="0020576B"/>
    <w:rsid w:val="00205BAF"/>
    <w:rsid w:val="0020636F"/>
    <w:rsid w:val="00206991"/>
    <w:rsid w:val="00207ACE"/>
    <w:rsid w:val="00207C5F"/>
    <w:rsid w:val="00207C77"/>
    <w:rsid w:val="0021023C"/>
    <w:rsid w:val="00210414"/>
    <w:rsid w:val="00211178"/>
    <w:rsid w:val="0021162E"/>
    <w:rsid w:val="00211892"/>
    <w:rsid w:val="00212639"/>
    <w:rsid w:val="00212B1A"/>
    <w:rsid w:val="00212B3B"/>
    <w:rsid w:val="00212B41"/>
    <w:rsid w:val="00213C6C"/>
    <w:rsid w:val="00213DD1"/>
    <w:rsid w:val="00213E73"/>
    <w:rsid w:val="0021411E"/>
    <w:rsid w:val="002143D4"/>
    <w:rsid w:val="00215ACE"/>
    <w:rsid w:val="002171F2"/>
    <w:rsid w:val="0021722F"/>
    <w:rsid w:val="002216B5"/>
    <w:rsid w:val="0022184C"/>
    <w:rsid w:val="0022189E"/>
    <w:rsid w:val="00221CDE"/>
    <w:rsid w:val="00221F9C"/>
    <w:rsid w:val="00223864"/>
    <w:rsid w:val="00223DA8"/>
    <w:rsid w:val="00223DCA"/>
    <w:rsid w:val="00225180"/>
    <w:rsid w:val="0022550D"/>
    <w:rsid w:val="0022692F"/>
    <w:rsid w:val="00227A67"/>
    <w:rsid w:val="00227A76"/>
    <w:rsid w:val="00230074"/>
    <w:rsid w:val="00231913"/>
    <w:rsid w:val="00231D6F"/>
    <w:rsid w:val="00232105"/>
    <w:rsid w:val="00232C6A"/>
    <w:rsid w:val="002330E1"/>
    <w:rsid w:val="00233509"/>
    <w:rsid w:val="00233BA7"/>
    <w:rsid w:val="0023401D"/>
    <w:rsid w:val="002341F3"/>
    <w:rsid w:val="002347CE"/>
    <w:rsid w:val="00234C05"/>
    <w:rsid w:val="00234D25"/>
    <w:rsid w:val="00234D3B"/>
    <w:rsid w:val="00236A17"/>
    <w:rsid w:val="00237E63"/>
    <w:rsid w:val="00241490"/>
    <w:rsid w:val="00243032"/>
    <w:rsid w:val="002434BD"/>
    <w:rsid w:val="00243553"/>
    <w:rsid w:val="00243BCF"/>
    <w:rsid w:val="00243C9C"/>
    <w:rsid w:val="00244149"/>
    <w:rsid w:val="00245C2F"/>
    <w:rsid w:val="0024604F"/>
    <w:rsid w:val="002464C8"/>
    <w:rsid w:val="0024706A"/>
    <w:rsid w:val="002478CE"/>
    <w:rsid w:val="00247EB3"/>
    <w:rsid w:val="0025013F"/>
    <w:rsid w:val="002503AB"/>
    <w:rsid w:val="0025195C"/>
    <w:rsid w:val="00251E93"/>
    <w:rsid w:val="00252206"/>
    <w:rsid w:val="002530E3"/>
    <w:rsid w:val="00254995"/>
    <w:rsid w:val="0025519C"/>
    <w:rsid w:val="0025546E"/>
    <w:rsid w:val="00255CE9"/>
    <w:rsid w:val="00256018"/>
    <w:rsid w:val="0025603F"/>
    <w:rsid w:val="00256C8F"/>
    <w:rsid w:val="0025719A"/>
    <w:rsid w:val="002571C8"/>
    <w:rsid w:val="0025786D"/>
    <w:rsid w:val="00260466"/>
    <w:rsid w:val="00260E95"/>
    <w:rsid w:val="002610C4"/>
    <w:rsid w:val="0026155B"/>
    <w:rsid w:val="00261884"/>
    <w:rsid w:val="0026249D"/>
    <w:rsid w:val="00262781"/>
    <w:rsid w:val="0026393E"/>
    <w:rsid w:val="00263A7D"/>
    <w:rsid w:val="00264144"/>
    <w:rsid w:val="00264259"/>
    <w:rsid w:val="00264654"/>
    <w:rsid w:val="0026479A"/>
    <w:rsid w:val="00264CED"/>
    <w:rsid w:val="002658B7"/>
    <w:rsid w:val="0026622E"/>
    <w:rsid w:val="0026627B"/>
    <w:rsid w:val="0026654A"/>
    <w:rsid w:val="002667E1"/>
    <w:rsid w:val="00266953"/>
    <w:rsid w:val="00267998"/>
    <w:rsid w:val="00267BFE"/>
    <w:rsid w:val="00270060"/>
    <w:rsid w:val="0027047E"/>
    <w:rsid w:val="00270532"/>
    <w:rsid w:val="00270558"/>
    <w:rsid w:val="002709BF"/>
    <w:rsid w:val="00272086"/>
    <w:rsid w:val="00272DA7"/>
    <w:rsid w:val="00273338"/>
    <w:rsid w:val="00273774"/>
    <w:rsid w:val="00273C53"/>
    <w:rsid w:val="002743C9"/>
    <w:rsid w:val="0027529F"/>
    <w:rsid w:val="00275586"/>
    <w:rsid w:val="002758D0"/>
    <w:rsid w:val="002763F0"/>
    <w:rsid w:val="00276EF5"/>
    <w:rsid w:val="00277284"/>
    <w:rsid w:val="00280AF4"/>
    <w:rsid w:val="00280CBB"/>
    <w:rsid w:val="002818B8"/>
    <w:rsid w:val="00281F02"/>
    <w:rsid w:val="00281F94"/>
    <w:rsid w:val="00282392"/>
    <w:rsid w:val="00282904"/>
    <w:rsid w:val="00282A32"/>
    <w:rsid w:val="0028372B"/>
    <w:rsid w:val="002846CE"/>
    <w:rsid w:val="002848F0"/>
    <w:rsid w:val="00284A06"/>
    <w:rsid w:val="00284E06"/>
    <w:rsid w:val="0028519B"/>
    <w:rsid w:val="00285E9C"/>
    <w:rsid w:val="0028604B"/>
    <w:rsid w:val="00286722"/>
    <w:rsid w:val="00286CB9"/>
    <w:rsid w:val="00286CEB"/>
    <w:rsid w:val="00290703"/>
    <w:rsid w:val="00290AF3"/>
    <w:rsid w:val="002910C2"/>
    <w:rsid w:val="00291793"/>
    <w:rsid w:val="0029337C"/>
    <w:rsid w:val="00293516"/>
    <w:rsid w:val="00293E88"/>
    <w:rsid w:val="002953D1"/>
    <w:rsid w:val="002966CE"/>
    <w:rsid w:val="00296E63"/>
    <w:rsid w:val="00297A1B"/>
    <w:rsid w:val="00297A86"/>
    <w:rsid w:val="002A0531"/>
    <w:rsid w:val="002A11BF"/>
    <w:rsid w:val="002A2019"/>
    <w:rsid w:val="002A245F"/>
    <w:rsid w:val="002A24EC"/>
    <w:rsid w:val="002A27E1"/>
    <w:rsid w:val="002A2F72"/>
    <w:rsid w:val="002A312D"/>
    <w:rsid w:val="002A317B"/>
    <w:rsid w:val="002A380F"/>
    <w:rsid w:val="002A382D"/>
    <w:rsid w:val="002A3CFB"/>
    <w:rsid w:val="002A4417"/>
    <w:rsid w:val="002A47B4"/>
    <w:rsid w:val="002A51A4"/>
    <w:rsid w:val="002A6D64"/>
    <w:rsid w:val="002A77E8"/>
    <w:rsid w:val="002B095A"/>
    <w:rsid w:val="002B0AC4"/>
    <w:rsid w:val="002B0D1E"/>
    <w:rsid w:val="002B1498"/>
    <w:rsid w:val="002B1900"/>
    <w:rsid w:val="002B20B5"/>
    <w:rsid w:val="002B3141"/>
    <w:rsid w:val="002B324A"/>
    <w:rsid w:val="002B35C1"/>
    <w:rsid w:val="002B467F"/>
    <w:rsid w:val="002B5947"/>
    <w:rsid w:val="002B5F54"/>
    <w:rsid w:val="002B635C"/>
    <w:rsid w:val="002B7099"/>
    <w:rsid w:val="002B7175"/>
    <w:rsid w:val="002B71DD"/>
    <w:rsid w:val="002B7337"/>
    <w:rsid w:val="002C015A"/>
    <w:rsid w:val="002C0193"/>
    <w:rsid w:val="002C09A7"/>
    <w:rsid w:val="002C0BEA"/>
    <w:rsid w:val="002C0FDF"/>
    <w:rsid w:val="002C117A"/>
    <w:rsid w:val="002C1C08"/>
    <w:rsid w:val="002C2149"/>
    <w:rsid w:val="002C2279"/>
    <w:rsid w:val="002C2B9A"/>
    <w:rsid w:val="002C4B24"/>
    <w:rsid w:val="002C4DB8"/>
    <w:rsid w:val="002C54C6"/>
    <w:rsid w:val="002C5CE4"/>
    <w:rsid w:val="002C6618"/>
    <w:rsid w:val="002C6B8F"/>
    <w:rsid w:val="002C7851"/>
    <w:rsid w:val="002C7989"/>
    <w:rsid w:val="002D0838"/>
    <w:rsid w:val="002D1306"/>
    <w:rsid w:val="002D1539"/>
    <w:rsid w:val="002D3182"/>
    <w:rsid w:val="002D3388"/>
    <w:rsid w:val="002D33EE"/>
    <w:rsid w:val="002D50D6"/>
    <w:rsid w:val="002D5C67"/>
    <w:rsid w:val="002D60A8"/>
    <w:rsid w:val="002D6F91"/>
    <w:rsid w:val="002D7236"/>
    <w:rsid w:val="002D7FE5"/>
    <w:rsid w:val="002E080F"/>
    <w:rsid w:val="002E2366"/>
    <w:rsid w:val="002E3CF1"/>
    <w:rsid w:val="002E46AF"/>
    <w:rsid w:val="002E4BB9"/>
    <w:rsid w:val="002E4E94"/>
    <w:rsid w:val="002E5635"/>
    <w:rsid w:val="002E63AB"/>
    <w:rsid w:val="002E66B7"/>
    <w:rsid w:val="002E6ABB"/>
    <w:rsid w:val="002E6BBF"/>
    <w:rsid w:val="002E75F0"/>
    <w:rsid w:val="002E7C0C"/>
    <w:rsid w:val="002F0237"/>
    <w:rsid w:val="002F07DE"/>
    <w:rsid w:val="002F1742"/>
    <w:rsid w:val="002F216F"/>
    <w:rsid w:val="002F259F"/>
    <w:rsid w:val="002F3636"/>
    <w:rsid w:val="002F4264"/>
    <w:rsid w:val="002F429B"/>
    <w:rsid w:val="002F46F0"/>
    <w:rsid w:val="002F65EC"/>
    <w:rsid w:val="002F742A"/>
    <w:rsid w:val="002F7CBE"/>
    <w:rsid w:val="003000A5"/>
    <w:rsid w:val="00300C0B"/>
    <w:rsid w:val="00300E24"/>
    <w:rsid w:val="00301115"/>
    <w:rsid w:val="0030111F"/>
    <w:rsid w:val="003014E1"/>
    <w:rsid w:val="00301C50"/>
    <w:rsid w:val="00301E87"/>
    <w:rsid w:val="00303131"/>
    <w:rsid w:val="00303909"/>
    <w:rsid w:val="0030390F"/>
    <w:rsid w:val="0030422C"/>
    <w:rsid w:val="0030497A"/>
    <w:rsid w:val="00304B84"/>
    <w:rsid w:val="00304D9D"/>
    <w:rsid w:val="00304DF5"/>
    <w:rsid w:val="003051BE"/>
    <w:rsid w:val="00305472"/>
    <w:rsid w:val="00305BE9"/>
    <w:rsid w:val="0030602B"/>
    <w:rsid w:val="00306AFF"/>
    <w:rsid w:val="00306C8D"/>
    <w:rsid w:val="00306E49"/>
    <w:rsid w:val="00307939"/>
    <w:rsid w:val="00310DA1"/>
    <w:rsid w:val="003129AD"/>
    <w:rsid w:val="00312D8D"/>
    <w:rsid w:val="00314020"/>
    <w:rsid w:val="003145ED"/>
    <w:rsid w:val="00314C4D"/>
    <w:rsid w:val="003151F4"/>
    <w:rsid w:val="00315700"/>
    <w:rsid w:val="00315CC5"/>
    <w:rsid w:val="00317A0C"/>
    <w:rsid w:val="003201BC"/>
    <w:rsid w:val="00320767"/>
    <w:rsid w:val="00320913"/>
    <w:rsid w:val="00321A4D"/>
    <w:rsid w:val="00321A60"/>
    <w:rsid w:val="00321F01"/>
    <w:rsid w:val="00321F8D"/>
    <w:rsid w:val="00322FD9"/>
    <w:rsid w:val="003230D2"/>
    <w:rsid w:val="00324460"/>
    <w:rsid w:val="0032526F"/>
    <w:rsid w:val="00325448"/>
    <w:rsid w:val="0032653D"/>
    <w:rsid w:val="00326F07"/>
    <w:rsid w:val="003275AC"/>
    <w:rsid w:val="0032784F"/>
    <w:rsid w:val="00327B5E"/>
    <w:rsid w:val="003300B7"/>
    <w:rsid w:val="00330CC7"/>
    <w:rsid w:val="00330FE4"/>
    <w:rsid w:val="00331006"/>
    <w:rsid w:val="00332266"/>
    <w:rsid w:val="00332D2F"/>
    <w:rsid w:val="00333A77"/>
    <w:rsid w:val="00334428"/>
    <w:rsid w:val="003345AF"/>
    <w:rsid w:val="00335621"/>
    <w:rsid w:val="0033595A"/>
    <w:rsid w:val="00335AB3"/>
    <w:rsid w:val="00336718"/>
    <w:rsid w:val="0033772C"/>
    <w:rsid w:val="00340292"/>
    <w:rsid w:val="00341763"/>
    <w:rsid w:val="00341CD8"/>
    <w:rsid w:val="00341F77"/>
    <w:rsid w:val="00342003"/>
    <w:rsid w:val="00342776"/>
    <w:rsid w:val="00342AB5"/>
    <w:rsid w:val="003431C0"/>
    <w:rsid w:val="003446C8"/>
    <w:rsid w:val="003454DD"/>
    <w:rsid w:val="003460F9"/>
    <w:rsid w:val="00346111"/>
    <w:rsid w:val="00346203"/>
    <w:rsid w:val="003472DE"/>
    <w:rsid w:val="003478A2"/>
    <w:rsid w:val="00347E91"/>
    <w:rsid w:val="00350127"/>
    <w:rsid w:val="0035131E"/>
    <w:rsid w:val="003515C7"/>
    <w:rsid w:val="003517C7"/>
    <w:rsid w:val="00351E4B"/>
    <w:rsid w:val="0035256C"/>
    <w:rsid w:val="003531AA"/>
    <w:rsid w:val="00353B52"/>
    <w:rsid w:val="00353C5E"/>
    <w:rsid w:val="00353D7D"/>
    <w:rsid w:val="003548A0"/>
    <w:rsid w:val="003548F8"/>
    <w:rsid w:val="003552CD"/>
    <w:rsid w:val="00356319"/>
    <w:rsid w:val="003567CE"/>
    <w:rsid w:val="003576A5"/>
    <w:rsid w:val="00357A8B"/>
    <w:rsid w:val="00357D15"/>
    <w:rsid w:val="00357F9F"/>
    <w:rsid w:val="00360800"/>
    <w:rsid w:val="00360D11"/>
    <w:rsid w:val="00361ED6"/>
    <w:rsid w:val="00362299"/>
    <w:rsid w:val="00362621"/>
    <w:rsid w:val="00362FC5"/>
    <w:rsid w:val="00363288"/>
    <w:rsid w:val="00363AE6"/>
    <w:rsid w:val="00364355"/>
    <w:rsid w:val="003645E0"/>
    <w:rsid w:val="003649CD"/>
    <w:rsid w:val="00365CCC"/>
    <w:rsid w:val="00370824"/>
    <w:rsid w:val="00370AFA"/>
    <w:rsid w:val="00371158"/>
    <w:rsid w:val="00371B13"/>
    <w:rsid w:val="00371DFF"/>
    <w:rsid w:val="0037247F"/>
    <w:rsid w:val="0037270F"/>
    <w:rsid w:val="00372DBB"/>
    <w:rsid w:val="00373152"/>
    <w:rsid w:val="0037375E"/>
    <w:rsid w:val="00373BD3"/>
    <w:rsid w:val="00374E7F"/>
    <w:rsid w:val="003758C1"/>
    <w:rsid w:val="00375FBD"/>
    <w:rsid w:val="00376CCF"/>
    <w:rsid w:val="00376CF4"/>
    <w:rsid w:val="00377FDC"/>
    <w:rsid w:val="0038205A"/>
    <w:rsid w:val="003824E9"/>
    <w:rsid w:val="0038299D"/>
    <w:rsid w:val="00383263"/>
    <w:rsid w:val="00383D5C"/>
    <w:rsid w:val="00384E67"/>
    <w:rsid w:val="00387956"/>
    <w:rsid w:val="00387A96"/>
    <w:rsid w:val="00387D7E"/>
    <w:rsid w:val="0039103E"/>
    <w:rsid w:val="003911D9"/>
    <w:rsid w:val="00391E31"/>
    <w:rsid w:val="00392E9C"/>
    <w:rsid w:val="00393566"/>
    <w:rsid w:val="00393882"/>
    <w:rsid w:val="003939A1"/>
    <w:rsid w:val="00394C6C"/>
    <w:rsid w:val="00394CDC"/>
    <w:rsid w:val="00394E2F"/>
    <w:rsid w:val="003958F2"/>
    <w:rsid w:val="00395AAB"/>
    <w:rsid w:val="00395F53"/>
    <w:rsid w:val="00397ACA"/>
    <w:rsid w:val="00397EB4"/>
    <w:rsid w:val="00397F62"/>
    <w:rsid w:val="003A016E"/>
    <w:rsid w:val="003A0B6A"/>
    <w:rsid w:val="003A0E23"/>
    <w:rsid w:val="003A1758"/>
    <w:rsid w:val="003A1D39"/>
    <w:rsid w:val="003A2136"/>
    <w:rsid w:val="003A2651"/>
    <w:rsid w:val="003A28F5"/>
    <w:rsid w:val="003A4E74"/>
    <w:rsid w:val="003A5B7F"/>
    <w:rsid w:val="003A6E81"/>
    <w:rsid w:val="003A7A57"/>
    <w:rsid w:val="003A7CE9"/>
    <w:rsid w:val="003B0BB2"/>
    <w:rsid w:val="003B0C3A"/>
    <w:rsid w:val="003B0E13"/>
    <w:rsid w:val="003B115D"/>
    <w:rsid w:val="003B117D"/>
    <w:rsid w:val="003B12FE"/>
    <w:rsid w:val="003B1590"/>
    <w:rsid w:val="003B1E8D"/>
    <w:rsid w:val="003B2313"/>
    <w:rsid w:val="003B240B"/>
    <w:rsid w:val="003B27FF"/>
    <w:rsid w:val="003B2A60"/>
    <w:rsid w:val="003B2E9C"/>
    <w:rsid w:val="003B354E"/>
    <w:rsid w:val="003B49E2"/>
    <w:rsid w:val="003B4B1F"/>
    <w:rsid w:val="003B4D9B"/>
    <w:rsid w:val="003B5083"/>
    <w:rsid w:val="003B52A2"/>
    <w:rsid w:val="003B57D4"/>
    <w:rsid w:val="003B5A8F"/>
    <w:rsid w:val="003B6352"/>
    <w:rsid w:val="003B746B"/>
    <w:rsid w:val="003C09DA"/>
    <w:rsid w:val="003C0A87"/>
    <w:rsid w:val="003C2171"/>
    <w:rsid w:val="003C2304"/>
    <w:rsid w:val="003C248E"/>
    <w:rsid w:val="003C3AC9"/>
    <w:rsid w:val="003C3AFF"/>
    <w:rsid w:val="003C3FEF"/>
    <w:rsid w:val="003C429F"/>
    <w:rsid w:val="003C57E7"/>
    <w:rsid w:val="003C59B2"/>
    <w:rsid w:val="003C5C9B"/>
    <w:rsid w:val="003C68A9"/>
    <w:rsid w:val="003D0578"/>
    <w:rsid w:val="003D1021"/>
    <w:rsid w:val="003D1355"/>
    <w:rsid w:val="003D1EB3"/>
    <w:rsid w:val="003D29D4"/>
    <w:rsid w:val="003D32B7"/>
    <w:rsid w:val="003D3362"/>
    <w:rsid w:val="003D3CF6"/>
    <w:rsid w:val="003D4B29"/>
    <w:rsid w:val="003D6149"/>
    <w:rsid w:val="003D6A41"/>
    <w:rsid w:val="003D6E7A"/>
    <w:rsid w:val="003D75C5"/>
    <w:rsid w:val="003E011D"/>
    <w:rsid w:val="003E058F"/>
    <w:rsid w:val="003E1CFF"/>
    <w:rsid w:val="003E249F"/>
    <w:rsid w:val="003E266D"/>
    <w:rsid w:val="003E28CD"/>
    <w:rsid w:val="003E37F5"/>
    <w:rsid w:val="003E39EC"/>
    <w:rsid w:val="003E3A23"/>
    <w:rsid w:val="003E4676"/>
    <w:rsid w:val="003E5F74"/>
    <w:rsid w:val="003E6276"/>
    <w:rsid w:val="003E6969"/>
    <w:rsid w:val="003F0A9C"/>
    <w:rsid w:val="003F0D9F"/>
    <w:rsid w:val="003F131C"/>
    <w:rsid w:val="003F1981"/>
    <w:rsid w:val="003F2C54"/>
    <w:rsid w:val="003F3479"/>
    <w:rsid w:val="003F4433"/>
    <w:rsid w:val="003F4FFB"/>
    <w:rsid w:val="003F5865"/>
    <w:rsid w:val="003F5DC7"/>
    <w:rsid w:val="003F64B3"/>
    <w:rsid w:val="003F672B"/>
    <w:rsid w:val="003F728B"/>
    <w:rsid w:val="004004B7"/>
    <w:rsid w:val="00400C70"/>
    <w:rsid w:val="00400DE1"/>
    <w:rsid w:val="00400F7A"/>
    <w:rsid w:val="00401027"/>
    <w:rsid w:val="00401797"/>
    <w:rsid w:val="00401A8B"/>
    <w:rsid w:val="00402229"/>
    <w:rsid w:val="00403533"/>
    <w:rsid w:val="00403BDC"/>
    <w:rsid w:val="00405F18"/>
    <w:rsid w:val="004071FD"/>
    <w:rsid w:val="00407384"/>
    <w:rsid w:val="004078B5"/>
    <w:rsid w:val="00407987"/>
    <w:rsid w:val="0041001D"/>
    <w:rsid w:val="0041042A"/>
    <w:rsid w:val="004113D5"/>
    <w:rsid w:val="00411BC6"/>
    <w:rsid w:val="00411CAF"/>
    <w:rsid w:val="004123A8"/>
    <w:rsid w:val="004145DD"/>
    <w:rsid w:val="00416D00"/>
    <w:rsid w:val="00417DFC"/>
    <w:rsid w:val="004215F5"/>
    <w:rsid w:val="00421E5E"/>
    <w:rsid w:val="004226EC"/>
    <w:rsid w:val="004247B1"/>
    <w:rsid w:val="0042492A"/>
    <w:rsid w:val="0042535C"/>
    <w:rsid w:val="004258BA"/>
    <w:rsid w:val="004263F6"/>
    <w:rsid w:val="00426C63"/>
    <w:rsid w:val="004279BA"/>
    <w:rsid w:val="00427E3E"/>
    <w:rsid w:val="00430F1C"/>
    <w:rsid w:val="00431036"/>
    <w:rsid w:val="0043115F"/>
    <w:rsid w:val="004313C4"/>
    <w:rsid w:val="004318BB"/>
    <w:rsid w:val="00431B1D"/>
    <w:rsid w:val="00431F9F"/>
    <w:rsid w:val="0043249B"/>
    <w:rsid w:val="004327BE"/>
    <w:rsid w:val="00433EAE"/>
    <w:rsid w:val="00434199"/>
    <w:rsid w:val="004361AE"/>
    <w:rsid w:val="00436A31"/>
    <w:rsid w:val="0043731B"/>
    <w:rsid w:val="00437414"/>
    <w:rsid w:val="00437619"/>
    <w:rsid w:val="0043781F"/>
    <w:rsid w:val="00437B32"/>
    <w:rsid w:val="0044052D"/>
    <w:rsid w:val="00441BFE"/>
    <w:rsid w:val="00441E2F"/>
    <w:rsid w:val="004427EC"/>
    <w:rsid w:val="00442E2A"/>
    <w:rsid w:val="004437AE"/>
    <w:rsid w:val="00443892"/>
    <w:rsid w:val="00443AE8"/>
    <w:rsid w:val="00443B64"/>
    <w:rsid w:val="00443DB8"/>
    <w:rsid w:val="00443DDB"/>
    <w:rsid w:val="004441B2"/>
    <w:rsid w:val="00444465"/>
    <w:rsid w:val="00444B94"/>
    <w:rsid w:val="00444DB8"/>
    <w:rsid w:val="00445EEB"/>
    <w:rsid w:val="0044629B"/>
    <w:rsid w:val="00446FC4"/>
    <w:rsid w:val="00447061"/>
    <w:rsid w:val="00447D02"/>
    <w:rsid w:val="00447DA8"/>
    <w:rsid w:val="00447DCA"/>
    <w:rsid w:val="0045097D"/>
    <w:rsid w:val="00451616"/>
    <w:rsid w:val="004529FD"/>
    <w:rsid w:val="00454447"/>
    <w:rsid w:val="00454CDD"/>
    <w:rsid w:val="00454D07"/>
    <w:rsid w:val="00454D41"/>
    <w:rsid w:val="00454F45"/>
    <w:rsid w:val="004552AA"/>
    <w:rsid w:val="00455494"/>
    <w:rsid w:val="0045595B"/>
    <w:rsid w:val="00456546"/>
    <w:rsid w:val="00456612"/>
    <w:rsid w:val="00456AC6"/>
    <w:rsid w:val="00456FEF"/>
    <w:rsid w:val="004570ED"/>
    <w:rsid w:val="00457B10"/>
    <w:rsid w:val="00457B3B"/>
    <w:rsid w:val="00460056"/>
    <w:rsid w:val="0046032A"/>
    <w:rsid w:val="00460832"/>
    <w:rsid w:val="00460A84"/>
    <w:rsid w:val="00461548"/>
    <w:rsid w:val="00461E4A"/>
    <w:rsid w:val="004620C5"/>
    <w:rsid w:val="0046371F"/>
    <w:rsid w:val="00464263"/>
    <w:rsid w:val="0046488B"/>
    <w:rsid w:val="004649F0"/>
    <w:rsid w:val="004655BC"/>
    <w:rsid w:val="0046590C"/>
    <w:rsid w:val="004662CB"/>
    <w:rsid w:val="00466E54"/>
    <w:rsid w:val="00467B30"/>
    <w:rsid w:val="0047083F"/>
    <w:rsid w:val="00470DBD"/>
    <w:rsid w:val="004716A2"/>
    <w:rsid w:val="00471A04"/>
    <w:rsid w:val="00471B52"/>
    <w:rsid w:val="00471C5C"/>
    <w:rsid w:val="00472391"/>
    <w:rsid w:val="0047254F"/>
    <w:rsid w:val="00472D1F"/>
    <w:rsid w:val="004731E3"/>
    <w:rsid w:val="00474816"/>
    <w:rsid w:val="00474A61"/>
    <w:rsid w:val="00474CD8"/>
    <w:rsid w:val="00474F65"/>
    <w:rsid w:val="00476116"/>
    <w:rsid w:val="0047638F"/>
    <w:rsid w:val="00476948"/>
    <w:rsid w:val="00476B20"/>
    <w:rsid w:val="004770C1"/>
    <w:rsid w:val="0047714B"/>
    <w:rsid w:val="00477386"/>
    <w:rsid w:val="00480D08"/>
    <w:rsid w:val="00481BB3"/>
    <w:rsid w:val="00481BD4"/>
    <w:rsid w:val="0048256F"/>
    <w:rsid w:val="0048293C"/>
    <w:rsid w:val="00483AFA"/>
    <w:rsid w:val="00483B29"/>
    <w:rsid w:val="00483D1F"/>
    <w:rsid w:val="00483FCA"/>
    <w:rsid w:val="004857C3"/>
    <w:rsid w:val="00485E4F"/>
    <w:rsid w:val="0048672B"/>
    <w:rsid w:val="00486E33"/>
    <w:rsid w:val="0049069A"/>
    <w:rsid w:val="004908ED"/>
    <w:rsid w:val="00490C49"/>
    <w:rsid w:val="00490D13"/>
    <w:rsid w:val="00490EC0"/>
    <w:rsid w:val="004913CF"/>
    <w:rsid w:val="00492356"/>
    <w:rsid w:val="0049255B"/>
    <w:rsid w:val="00492898"/>
    <w:rsid w:val="00492C00"/>
    <w:rsid w:val="00493595"/>
    <w:rsid w:val="0049492B"/>
    <w:rsid w:val="004952B8"/>
    <w:rsid w:val="00495F16"/>
    <w:rsid w:val="0049637A"/>
    <w:rsid w:val="004972C1"/>
    <w:rsid w:val="004A1EEA"/>
    <w:rsid w:val="004A2146"/>
    <w:rsid w:val="004A2344"/>
    <w:rsid w:val="004A2AE2"/>
    <w:rsid w:val="004A2DFD"/>
    <w:rsid w:val="004A30F4"/>
    <w:rsid w:val="004A3987"/>
    <w:rsid w:val="004A3A6D"/>
    <w:rsid w:val="004A3A7F"/>
    <w:rsid w:val="004A5E9D"/>
    <w:rsid w:val="004A634E"/>
    <w:rsid w:val="004A7F43"/>
    <w:rsid w:val="004B054A"/>
    <w:rsid w:val="004B0D22"/>
    <w:rsid w:val="004B0F3C"/>
    <w:rsid w:val="004B12BC"/>
    <w:rsid w:val="004B13C7"/>
    <w:rsid w:val="004B1460"/>
    <w:rsid w:val="004B2CED"/>
    <w:rsid w:val="004B2D24"/>
    <w:rsid w:val="004B2DBB"/>
    <w:rsid w:val="004B31DE"/>
    <w:rsid w:val="004B3811"/>
    <w:rsid w:val="004B3D6E"/>
    <w:rsid w:val="004B4CF5"/>
    <w:rsid w:val="004B53DF"/>
    <w:rsid w:val="004B6D1A"/>
    <w:rsid w:val="004B7261"/>
    <w:rsid w:val="004B77D5"/>
    <w:rsid w:val="004B7F9C"/>
    <w:rsid w:val="004B7FC8"/>
    <w:rsid w:val="004C01AC"/>
    <w:rsid w:val="004C0280"/>
    <w:rsid w:val="004C1C76"/>
    <w:rsid w:val="004C3347"/>
    <w:rsid w:val="004C3811"/>
    <w:rsid w:val="004C4B34"/>
    <w:rsid w:val="004C5099"/>
    <w:rsid w:val="004C5540"/>
    <w:rsid w:val="004C58FD"/>
    <w:rsid w:val="004C74F7"/>
    <w:rsid w:val="004C77F8"/>
    <w:rsid w:val="004D0217"/>
    <w:rsid w:val="004D08CB"/>
    <w:rsid w:val="004D1250"/>
    <w:rsid w:val="004D13A6"/>
    <w:rsid w:val="004D1C21"/>
    <w:rsid w:val="004D2814"/>
    <w:rsid w:val="004D2EE0"/>
    <w:rsid w:val="004D32C7"/>
    <w:rsid w:val="004D4131"/>
    <w:rsid w:val="004D43E9"/>
    <w:rsid w:val="004D4622"/>
    <w:rsid w:val="004D4683"/>
    <w:rsid w:val="004D484B"/>
    <w:rsid w:val="004D4E5C"/>
    <w:rsid w:val="004D5067"/>
    <w:rsid w:val="004D515E"/>
    <w:rsid w:val="004D6396"/>
    <w:rsid w:val="004D7EEA"/>
    <w:rsid w:val="004D7FCC"/>
    <w:rsid w:val="004E004B"/>
    <w:rsid w:val="004E12D6"/>
    <w:rsid w:val="004E1333"/>
    <w:rsid w:val="004E17C6"/>
    <w:rsid w:val="004E24B7"/>
    <w:rsid w:val="004E2A21"/>
    <w:rsid w:val="004E35FE"/>
    <w:rsid w:val="004E369E"/>
    <w:rsid w:val="004E3FCB"/>
    <w:rsid w:val="004E466B"/>
    <w:rsid w:val="004E537F"/>
    <w:rsid w:val="004E5BDB"/>
    <w:rsid w:val="004E5CAC"/>
    <w:rsid w:val="004E5FA3"/>
    <w:rsid w:val="004E6D3E"/>
    <w:rsid w:val="004E7C38"/>
    <w:rsid w:val="004F00C7"/>
    <w:rsid w:val="004F0D61"/>
    <w:rsid w:val="004F0D67"/>
    <w:rsid w:val="004F0D88"/>
    <w:rsid w:val="004F10C9"/>
    <w:rsid w:val="004F17D1"/>
    <w:rsid w:val="004F1966"/>
    <w:rsid w:val="004F2088"/>
    <w:rsid w:val="004F279F"/>
    <w:rsid w:val="004F3075"/>
    <w:rsid w:val="004F32B6"/>
    <w:rsid w:val="004F3C46"/>
    <w:rsid w:val="004F4C56"/>
    <w:rsid w:val="004F5C96"/>
    <w:rsid w:val="004F64F2"/>
    <w:rsid w:val="004F77AB"/>
    <w:rsid w:val="005001F3"/>
    <w:rsid w:val="0050026B"/>
    <w:rsid w:val="005010A0"/>
    <w:rsid w:val="0050115B"/>
    <w:rsid w:val="0050127E"/>
    <w:rsid w:val="00501305"/>
    <w:rsid w:val="00501896"/>
    <w:rsid w:val="00502030"/>
    <w:rsid w:val="00502515"/>
    <w:rsid w:val="0050273E"/>
    <w:rsid w:val="005029DC"/>
    <w:rsid w:val="00502D8A"/>
    <w:rsid w:val="00504577"/>
    <w:rsid w:val="00504D93"/>
    <w:rsid w:val="00504E7F"/>
    <w:rsid w:val="005059F1"/>
    <w:rsid w:val="0050621F"/>
    <w:rsid w:val="00506625"/>
    <w:rsid w:val="00506B32"/>
    <w:rsid w:val="00506D1D"/>
    <w:rsid w:val="00507BEB"/>
    <w:rsid w:val="00510A43"/>
    <w:rsid w:val="00510C88"/>
    <w:rsid w:val="0051104C"/>
    <w:rsid w:val="00511F5F"/>
    <w:rsid w:val="00512839"/>
    <w:rsid w:val="00512F6C"/>
    <w:rsid w:val="005130A7"/>
    <w:rsid w:val="00514362"/>
    <w:rsid w:val="00514EC9"/>
    <w:rsid w:val="005150DA"/>
    <w:rsid w:val="00515A23"/>
    <w:rsid w:val="00515F91"/>
    <w:rsid w:val="00515FEB"/>
    <w:rsid w:val="00516250"/>
    <w:rsid w:val="00521233"/>
    <w:rsid w:val="00521FCC"/>
    <w:rsid w:val="0052382C"/>
    <w:rsid w:val="00523B53"/>
    <w:rsid w:val="00524331"/>
    <w:rsid w:val="00524746"/>
    <w:rsid w:val="00525DD1"/>
    <w:rsid w:val="00526511"/>
    <w:rsid w:val="0052709C"/>
    <w:rsid w:val="005277B4"/>
    <w:rsid w:val="00527927"/>
    <w:rsid w:val="0053017F"/>
    <w:rsid w:val="0053144B"/>
    <w:rsid w:val="00531C58"/>
    <w:rsid w:val="005320D4"/>
    <w:rsid w:val="00532247"/>
    <w:rsid w:val="005327C2"/>
    <w:rsid w:val="0053302A"/>
    <w:rsid w:val="00533609"/>
    <w:rsid w:val="00534B0F"/>
    <w:rsid w:val="00536DE7"/>
    <w:rsid w:val="00537115"/>
    <w:rsid w:val="005400AD"/>
    <w:rsid w:val="00541B3D"/>
    <w:rsid w:val="005424B3"/>
    <w:rsid w:val="005427AF"/>
    <w:rsid w:val="00542ECB"/>
    <w:rsid w:val="005432BA"/>
    <w:rsid w:val="0054412C"/>
    <w:rsid w:val="005443A5"/>
    <w:rsid w:val="00545312"/>
    <w:rsid w:val="00545AED"/>
    <w:rsid w:val="005472B3"/>
    <w:rsid w:val="005474CF"/>
    <w:rsid w:val="00547ED4"/>
    <w:rsid w:val="00550C11"/>
    <w:rsid w:val="00550DBA"/>
    <w:rsid w:val="00550DE7"/>
    <w:rsid w:val="005514BB"/>
    <w:rsid w:val="00551F73"/>
    <w:rsid w:val="00552301"/>
    <w:rsid w:val="0055269F"/>
    <w:rsid w:val="00553046"/>
    <w:rsid w:val="005537B9"/>
    <w:rsid w:val="0055394D"/>
    <w:rsid w:val="00553E62"/>
    <w:rsid w:val="0055471C"/>
    <w:rsid w:val="00554AB0"/>
    <w:rsid w:val="005550B9"/>
    <w:rsid w:val="0055561C"/>
    <w:rsid w:val="00555B05"/>
    <w:rsid w:val="0055629C"/>
    <w:rsid w:val="0055654A"/>
    <w:rsid w:val="00557981"/>
    <w:rsid w:val="00560148"/>
    <w:rsid w:val="0056016F"/>
    <w:rsid w:val="005605A2"/>
    <w:rsid w:val="0056080F"/>
    <w:rsid w:val="00560EDE"/>
    <w:rsid w:val="00561042"/>
    <w:rsid w:val="005610C7"/>
    <w:rsid w:val="005613DA"/>
    <w:rsid w:val="00561C91"/>
    <w:rsid w:val="0056222E"/>
    <w:rsid w:val="0056224F"/>
    <w:rsid w:val="00563E8A"/>
    <w:rsid w:val="00565011"/>
    <w:rsid w:val="0056506E"/>
    <w:rsid w:val="00565D77"/>
    <w:rsid w:val="00565D9D"/>
    <w:rsid w:val="00565EBC"/>
    <w:rsid w:val="0056662F"/>
    <w:rsid w:val="00566D53"/>
    <w:rsid w:val="0056708A"/>
    <w:rsid w:val="00567242"/>
    <w:rsid w:val="00567755"/>
    <w:rsid w:val="00567B63"/>
    <w:rsid w:val="00567EA2"/>
    <w:rsid w:val="005700E6"/>
    <w:rsid w:val="00571BB7"/>
    <w:rsid w:val="0057317C"/>
    <w:rsid w:val="00573656"/>
    <w:rsid w:val="00574280"/>
    <w:rsid w:val="0057496C"/>
    <w:rsid w:val="005749A3"/>
    <w:rsid w:val="00574A7F"/>
    <w:rsid w:val="0057571F"/>
    <w:rsid w:val="00575E94"/>
    <w:rsid w:val="00576489"/>
    <w:rsid w:val="00576774"/>
    <w:rsid w:val="0058039D"/>
    <w:rsid w:val="00580AE8"/>
    <w:rsid w:val="00581584"/>
    <w:rsid w:val="005815D0"/>
    <w:rsid w:val="005823F5"/>
    <w:rsid w:val="00583542"/>
    <w:rsid w:val="00583B31"/>
    <w:rsid w:val="00583D2D"/>
    <w:rsid w:val="00583FEE"/>
    <w:rsid w:val="00584380"/>
    <w:rsid w:val="00584A01"/>
    <w:rsid w:val="00584A5C"/>
    <w:rsid w:val="00586108"/>
    <w:rsid w:val="005861EB"/>
    <w:rsid w:val="00586BF6"/>
    <w:rsid w:val="00586FB4"/>
    <w:rsid w:val="00587996"/>
    <w:rsid w:val="00590860"/>
    <w:rsid w:val="00593058"/>
    <w:rsid w:val="00593173"/>
    <w:rsid w:val="005939D5"/>
    <w:rsid w:val="00594F48"/>
    <w:rsid w:val="00595A3C"/>
    <w:rsid w:val="00596491"/>
    <w:rsid w:val="005977F1"/>
    <w:rsid w:val="005A0446"/>
    <w:rsid w:val="005A0590"/>
    <w:rsid w:val="005A0C98"/>
    <w:rsid w:val="005A0DCA"/>
    <w:rsid w:val="005A1D03"/>
    <w:rsid w:val="005A36AB"/>
    <w:rsid w:val="005A3D6F"/>
    <w:rsid w:val="005A3D89"/>
    <w:rsid w:val="005A4806"/>
    <w:rsid w:val="005A4DBC"/>
    <w:rsid w:val="005A54FA"/>
    <w:rsid w:val="005A5578"/>
    <w:rsid w:val="005A5684"/>
    <w:rsid w:val="005A5B9D"/>
    <w:rsid w:val="005A5BF0"/>
    <w:rsid w:val="005A6B51"/>
    <w:rsid w:val="005A77BF"/>
    <w:rsid w:val="005A7A04"/>
    <w:rsid w:val="005A7C9B"/>
    <w:rsid w:val="005A7CB1"/>
    <w:rsid w:val="005B0B37"/>
    <w:rsid w:val="005B0E94"/>
    <w:rsid w:val="005B13FA"/>
    <w:rsid w:val="005B1A7C"/>
    <w:rsid w:val="005B2964"/>
    <w:rsid w:val="005B2C4B"/>
    <w:rsid w:val="005B4660"/>
    <w:rsid w:val="005B569E"/>
    <w:rsid w:val="005B5859"/>
    <w:rsid w:val="005B5D13"/>
    <w:rsid w:val="005B7466"/>
    <w:rsid w:val="005C0066"/>
    <w:rsid w:val="005C113B"/>
    <w:rsid w:val="005C1523"/>
    <w:rsid w:val="005C1882"/>
    <w:rsid w:val="005C22CF"/>
    <w:rsid w:val="005C2AA5"/>
    <w:rsid w:val="005C3156"/>
    <w:rsid w:val="005C5774"/>
    <w:rsid w:val="005C58A6"/>
    <w:rsid w:val="005C598D"/>
    <w:rsid w:val="005C6D14"/>
    <w:rsid w:val="005C7540"/>
    <w:rsid w:val="005D0CC5"/>
    <w:rsid w:val="005D128F"/>
    <w:rsid w:val="005D1461"/>
    <w:rsid w:val="005D16CB"/>
    <w:rsid w:val="005D2E43"/>
    <w:rsid w:val="005D2FFF"/>
    <w:rsid w:val="005D3787"/>
    <w:rsid w:val="005D4337"/>
    <w:rsid w:val="005D43BE"/>
    <w:rsid w:val="005D4ED7"/>
    <w:rsid w:val="005D5215"/>
    <w:rsid w:val="005D620D"/>
    <w:rsid w:val="005D6A6C"/>
    <w:rsid w:val="005D6FC2"/>
    <w:rsid w:val="005D7C43"/>
    <w:rsid w:val="005E0175"/>
    <w:rsid w:val="005E1216"/>
    <w:rsid w:val="005E1472"/>
    <w:rsid w:val="005E24E0"/>
    <w:rsid w:val="005E279F"/>
    <w:rsid w:val="005E30E2"/>
    <w:rsid w:val="005E38EF"/>
    <w:rsid w:val="005E4AAB"/>
    <w:rsid w:val="005E4DDB"/>
    <w:rsid w:val="005E52EF"/>
    <w:rsid w:val="005E6808"/>
    <w:rsid w:val="005F0180"/>
    <w:rsid w:val="005F01A2"/>
    <w:rsid w:val="005F0A48"/>
    <w:rsid w:val="005F0F02"/>
    <w:rsid w:val="005F0FE2"/>
    <w:rsid w:val="005F168F"/>
    <w:rsid w:val="005F1E3E"/>
    <w:rsid w:val="005F23B3"/>
    <w:rsid w:val="005F24D7"/>
    <w:rsid w:val="005F2527"/>
    <w:rsid w:val="005F2F2D"/>
    <w:rsid w:val="005F3E8C"/>
    <w:rsid w:val="005F4957"/>
    <w:rsid w:val="005F55EA"/>
    <w:rsid w:val="005F58D3"/>
    <w:rsid w:val="005F5FDC"/>
    <w:rsid w:val="005F6328"/>
    <w:rsid w:val="005F6347"/>
    <w:rsid w:val="005F67A2"/>
    <w:rsid w:val="005F770C"/>
    <w:rsid w:val="0060366A"/>
    <w:rsid w:val="006038D0"/>
    <w:rsid w:val="006043B4"/>
    <w:rsid w:val="006044F8"/>
    <w:rsid w:val="00605B49"/>
    <w:rsid w:val="00606450"/>
    <w:rsid w:val="006066C1"/>
    <w:rsid w:val="00606F4C"/>
    <w:rsid w:val="006072A9"/>
    <w:rsid w:val="006079E3"/>
    <w:rsid w:val="00607C74"/>
    <w:rsid w:val="006103D7"/>
    <w:rsid w:val="00610998"/>
    <w:rsid w:val="00611439"/>
    <w:rsid w:val="00611665"/>
    <w:rsid w:val="00611D0E"/>
    <w:rsid w:val="00612912"/>
    <w:rsid w:val="00613A5E"/>
    <w:rsid w:val="00613B36"/>
    <w:rsid w:val="00614008"/>
    <w:rsid w:val="006146A6"/>
    <w:rsid w:val="0061492A"/>
    <w:rsid w:val="00614B54"/>
    <w:rsid w:val="006151B1"/>
    <w:rsid w:val="00616095"/>
    <w:rsid w:val="0061640A"/>
    <w:rsid w:val="0061672F"/>
    <w:rsid w:val="006217FA"/>
    <w:rsid w:val="006220A8"/>
    <w:rsid w:val="006225F0"/>
    <w:rsid w:val="00622C2F"/>
    <w:rsid w:val="006235D3"/>
    <w:rsid w:val="00623AD0"/>
    <w:rsid w:val="00623C9E"/>
    <w:rsid w:val="00624CE5"/>
    <w:rsid w:val="006251B4"/>
    <w:rsid w:val="00625515"/>
    <w:rsid w:val="00625A06"/>
    <w:rsid w:val="00625C02"/>
    <w:rsid w:val="006267DB"/>
    <w:rsid w:val="00626B84"/>
    <w:rsid w:val="00626ED8"/>
    <w:rsid w:val="00627F68"/>
    <w:rsid w:val="00630CE7"/>
    <w:rsid w:val="0063100D"/>
    <w:rsid w:val="006311CF"/>
    <w:rsid w:val="00632B82"/>
    <w:rsid w:val="00632E12"/>
    <w:rsid w:val="006342B7"/>
    <w:rsid w:val="006344D6"/>
    <w:rsid w:val="0063472B"/>
    <w:rsid w:val="0063512F"/>
    <w:rsid w:val="006353BE"/>
    <w:rsid w:val="00635860"/>
    <w:rsid w:val="00635C49"/>
    <w:rsid w:val="00635DAB"/>
    <w:rsid w:val="00636196"/>
    <w:rsid w:val="006363FA"/>
    <w:rsid w:val="00636B10"/>
    <w:rsid w:val="0063705A"/>
    <w:rsid w:val="0063726F"/>
    <w:rsid w:val="00637B01"/>
    <w:rsid w:val="00637C36"/>
    <w:rsid w:val="00637D81"/>
    <w:rsid w:val="00640CE9"/>
    <w:rsid w:val="00640D60"/>
    <w:rsid w:val="00641837"/>
    <w:rsid w:val="006418AA"/>
    <w:rsid w:val="00641AA7"/>
    <w:rsid w:val="006422CB"/>
    <w:rsid w:val="00642520"/>
    <w:rsid w:val="00642699"/>
    <w:rsid w:val="006429BA"/>
    <w:rsid w:val="006430DB"/>
    <w:rsid w:val="006438A7"/>
    <w:rsid w:val="00643AAD"/>
    <w:rsid w:val="00643CBA"/>
    <w:rsid w:val="00644D6C"/>
    <w:rsid w:val="00645D67"/>
    <w:rsid w:val="00646D05"/>
    <w:rsid w:val="00646E37"/>
    <w:rsid w:val="0065021B"/>
    <w:rsid w:val="006508B5"/>
    <w:rsid w:val="00651942"/>
    <w:rsid w:val="00651A91"/>
    <w:rsid w:val="00651B19"/>
    <w:rsid w:val="00652CEF"/>
    <w:rsid w:val="00652ED0"/>
    <w:rsid w:val="0065314C"/>
    <w:rsid w:val="0065373C"/>
    <w:rsid w:val="00653E55"/>
    <w:rsid w:val="006540B2"/>
    <w:rsid w:val="0065472B"/>
    <w:rsid w:val="00655C9D"/>
    <w:rsid w:val="0065652F"/>
    <w:rsid w:val="00656D7A"/>
    <w:rsid w:val="0065773B"/>
    <w:rsid w:val="006578AA"/>
    <w:rsid w:val="006603BE"/>
    <w:rsid w:val="00660DFA"/>
    <w:rsid w:val="00660F44"/>
    <w:rsid w:val="0066289A"/>
    <w:rsid w:val="00664494"/>
    <w:rsid w:val="00664BF5"/>
    <w:rsid w:val="006651CC"/>
    <w:rsid w:val="00665539"/>
    <w:rsid w:val="00666066"/>
    <w:rsid w:val="006665B5"/>
    <w:rsid w:val="00666F09"/>
    <w:rsid w:val="0066716B"/>
    <w:rsid w:val="00667393"/>
    <w:rsid w:val="00667CD6"/>
    <w:rsid w:val="00670EF3"/>
    <w:rsid w:val="00670F17"/>
    <w:rsid w:val="00670FBB"/>
    <w:rsid w:val="00671B49"/>
    <w:rsid w:val="0067292A"/>
    <w:rsid w:val="00673291"/>
    <w:rsid w:val="00673E6B"/>
    <w:rsid w:val="006745C0"/>
    <w:rsid w:val="0067491A"/>
    <w:rsid w:val="00674C2A"/>
    <w:rsid w:val="006766F8"/>
    <w:rsid w:val="00676F3F"/>
    <w:rsid w:val="006773E0"/>
    <w:rsid w:val="006775D6"/>
    <w:rsid w:val="006776EF"/>
    <w:rsid w:val="00677D84"/>
    <w:rsid w:val="00681003"/>
    <w:rsid w:val="0068145A"/>
    <w:rsid w:val="006814BA"/>
    <w:rsid w:val="00683456"/>
    <w:rsid w:val="00683A84"/>
    <w:rsid w:val="00683E07"/>
    <w:rsid w:val="00683E4A"/>
    <w:rsid w:val="00683F33"/>
    <w:rsid w:val="0068459E"/>
    <w:rsid w:val="00685CFD"/>
    <w:rsid w:val="00685D72"/>
    <w:rsid w:val="00685EA1"/>
    <w:rsid w:val="00686EFD"/>
    <w:rsid w:val="00686FD0"/>
    <w:rsid w:val="00687337"/>
    <w:rsid w:val="0068759C"/>
    <w:rsid w:val="00690239"/>
    <w:rsid w:val="00690771"/>
    <w:rsid w:val="00690B3B"/>
    <w:rsid w:val="00692613"/>
    <w:rsid w:val="00692E3F"/>
    <w:rsid w:val="00693269"/>
    <w:rsid w:val="00694F5B"/>
    <w:rsid w:val="00695898"/>
    <w:rsid w:val="0069638E"/>
    <w:rsid w:val="006966C0"/>
    <w:rsid w:val="00696A55"/>
    <w:rsid w:val="00696B90"/>
    <w:rsid w:val="00696BBC"/>
    <w:rsid w:val="00696E41"/>
    <w:rsid w:val="006970F7"/>
    <w:rsid w:val="0069735A"/>
    <w:rsid w:val="006A05D4"/>
    <w:rsid w:val="006A18D4"/>
    <w:rsid w:val="006A1D1A"/>
    <w:rsid w:val="006A2372"/>
    <w:rsid w:val="006A2C53"/>
    <w:rsid w:val="006A3036"/>
    <w:rsid w:val="006A3698"/>
    <w:rsid w:val="006A37CF"/>
    <w:rsid w:val="006A4AA6"/>
    <w:rsid w:val="006A51AF"/>
    <w:rsid w:val="006A5C80"/>
    <w:rsid w:val="006A69D2"/>
    <w:rsid w:val="006A69E1"/>
    <w:rsid w:val="006A6C3D"/>
    <w:rsid w:val="006A7418"/>
    <w:rsid w:val="006A790C"/>
    <w:rsid w:val="006B0DC9"/>
    <w:rsid w:val="006B2BE2"/>
    <w:rsid w:val="006B2DEF"/>
    <w:rsid w:val="006B3049"/>
    <w:rsid w:val="006B34D1"/>
    <w:rsid w:val="006B3633"/>
    <w:rsid w:val="006B40CD"/>
    <w:rsid w:val="006B415A"/>
    <w:rsid w:val="006B41A7"/>
    <w:rsid w:val="006B547F"/>
    <w:rsid w:val="006B57E3"/>
    <w:rsid w:val="006C0019"/>
    <w:rsid w:val="006C08A0"/>
    <w:rsid w:val="006C1B12"/>
    <w:rsid w:val="006C1FCA"/>
    <w:rsid w:val="006C2C99"/>
    <w:rsid w:val="006C375E"/>
    <w:rsid w:val="006C3A88"/>
    <w:rsid w:val="006C4BAF"/>
    <w:rsid w:val="006C53D3"/>
    <w:rsid w:val="006C5718"/>
    <w:rsid w:val="006D01D1"/>
    <w:rsid w:val="006D3452"/>
    <w:rsid w:val="006D3D42"/>
    <w:rsid w:val="006D4A8E"/>
    <w:rsid w:val="006D5A87"/>
    <w:rsid w:val="006D5D29"/>
    <w:rsid w:val="006D62CE"/>
    <w:rsid w:val="006D73B9"/>
    <w:rsid w:val="006D762C"/>
    <w:rsid w:val="006D7E5D"/>
    <w:rsid w:val="006E0190"/>
    <w:rsid w:val="006E0193"/>
    <w:rsid w:val="006E03FB"/>
    <w:rsid w:val="006E0909"/>
    <w:rsid w:val="006E096C"/>
    <w:rsid w:val="006E0CB7"/>
    <w:rsid w:val="006E11BD"/>
    <w:rsid w:val="006E17F1"/>
    <w:rsid w:val="006E1C6E"/>
    <w:rsid w:val="006E4461"/>
    <w:rsid w:val="006E4809"/>
    <w:rsid w:val="006E4F5F"/>
    <w:rsid w:val="006E527B"/>
    <w:rsid w:val="006E5309"/>
    <w:rsid w:val="006E5F6B"/>
    <w:rsid w:val="006E6AD0"/>
    <w:rsid w:val="006E6BFD"/>
    <w:rsid w:val="006E7904"/>
    <w:rsid w:val="006F00F9"/>
    <w:rsid w:val="006F0CEB"/>
    <w:rsid w:val="006F1589"/>
    <w:rsid w:val="006F2B58"/>
    <w:rsid w:val="006F2C01"/>
    <w:rsid w:val="006F2E9B"/>
    <w:rsid w:val="006F30C4"/>
    <w:rsid w:val="006F33DF"/>
    <w:rsid w:val="006F387A"/>
    <w:rsid w:val="006F45C8"/>
    <w:rsid w:val="006F47E9"/>
    <w:rsid w:val="006F4F5E"/>
    <w:rsid w:val="006F5FAA"/>
    <w:rsid w:val="006F6072"/>
    <w:rsid w:val="006F648C"/>
    <w:rsid w:val="006F64B3"/>
    <w:rsid w:val="006F7684"/>
    <w:rsid w:val="006F7D2C"/>
    <w:rsid w:val="00700324"/>
    <w:rsid w:val="0070068D"/>
    <w:rsid w:val="007009A3"/>
    <w:rsid w:val="00700D08"/>
    <w:rsid w:val="007013B2"/>
    <w:rsid w:val="00701767"/>
    <w:rsid w:val="00702AE7"/>
    <w:rsid w:val="00702CD0"/>
    <w:rsid w:val="00703191"/>
    <w:rsid w:val="00703DB3"/>
    <w:rsid w:val="007049C6"/>
    <w:rsid w:val="00704F9D"/>
    <w:rsid w:val="007055A8"/>
    <w:rsid w:val="007056C3"/>
    <w:rsid w:val="007059D5"/>
    <w:rsid w:val="00705B6D"/>
    <w:rsid w:val="007067D7"/>
    <w:rsid w:val="00710BD3"/>
    <w:rsid w:val="00710CF5"/>
    <w:rsid w:val="00711DA4"/>
    <w:rsid w:val="00711F83"/>
    <w:rsid w:val="0071242B"/>
    <w:rsid w:val="007125E4"/>
    <w:rsid w:val="00712E2B"/>
    <w:rsid w:val="0071300D"/>
    <w:rsid w:val="00713537"/>
    <w:rsid w:val="00713998"/>
    <w:rsid w:val="00713E3C"/>
    <w:rsid w:val="0071518F"/>
    <w:rsid w:val="00715BF2"/>
    <w:rsid w:val="0071602B"/>
    <w:rsid w:val="00716377"/>
    <w:rsid w:val="00716CB5"/>
    <w:rsid w:val="00717161"/>
    <w:rsid w:val="00717B90"/>
    <w:rsid w:val="00717E81"/>
    <w:rsid w:val="00720275"/>
    <w:rsid w:val="00720BDF"/>
    <w:rsid w:val="00721B8C"/>
    <w:rsid w:val="00721C66"/>
    <w:rsid w:val="00721ECE"/>
    <w:rsid w:val="00721F41"/>
    <w:rsid w:val="007222BE"/>
    <w:rsid w:val="00722414"/>
    <w:rsid w:val="007231B7"/>
    <w:rsid w:val="0072352D"/>
    <w:rsid w:val="00723EA9"/>
    <w:rsid w:val="00724E33"/>
    <w:rsid w:val="007256DC"/>
    <w:rsid w:val="00725B30"/>
    <w:rsid w:val="0072680F"/>
    <w:rsid w:val="00726946"/>
    <w:rsid w:val="007269A3"/>
    <w:rsid w:val="00726E68"/>
    <w:rsid w:val="007300DF"/>
    <w:rsid w:val="00731DD2"/>
    <w:rsid w:val="00732375"/>
    <w:rsid w:val="007328B4"/>
    <w:rsid w:val="00732976"/>
    <w:rsid w:val="0073323D"/>
    <w:rsid w:val="007334D5"/>
    <w:rsid w:val="00733639"/>
    <w:rsid w:val="00733AB7"/>
    <w:rsid w:val="0073471A"/>
    <w:rsid w:val="007347BF"/>
    <w:rsid w:val="00735117"/>
    <w:rsid w:val="00736014"/>
    <w:rsid w:val="00736D26"/>
    <w:rsid w:val="0073712D"/>
    <w:rsid w:val="007375A6"/>
    <w:rsid w:val="00737B06"/>
    <w:rsid w:val="007413B0"/>
    <w:rsid w:val="0074183C"/>
    <w:rsid w:val="0074232A"/>
    <w:rsid w:val="007424CB"/>
    <w:rsid w:val="007431E3"/>
    <w:rsid w:val="00743291"/>
    <w:rsid w:val="00743AA8"/>
    <w:rsid w:val="00744E00"/>
    <w:rsid w:val="00744FF0"/>
    <w:rsid w:val="0074571B"/>
    <w:rsid w:val="00745ADF"/>
    <w:rsid w:val="007474D2"/>
    <w:rsid w:val="0074768E"/>
    <w:rsid w:val="007503C7"/>
    <w:rsid w:val="0075069A"/>
    <w:rsid w:val="007513FE"/>
    <w:rsid w:val="007518C8"/>
    <w:rsid w:val="00752378"/>
    <w:rsid w:val="007525B2"/>
    <w:rsid w:val="0075262F"/>
    <w:rsid w:val="00752E4B"/>
    <w:rsid w:val="0075346A"/>
    <w:rsid w:val="00753FA6"/>
    <w:rsid w:val="00756057"/>
    <w:rsid w:val="00756202"/>
    <w:rsid w:val="0075638F"/>
    <w:rsid w:val="0076001D"/>
    <w:rsid w:val="0076113E"/>
    <w:rsid w:val="00761426"/>
    <w:rsid w:val="007614A2"/>
    <w:rsid w:val="00761735"/>
    <w:rsid w:val="00762011"/>
    <w:rsid w:val="007625C7"/>
    <w:rsid w:val="0076298A"/>
    <w:rsid w:val="007629B8"/>
    <w:rsid w:val="00762D12"/>
    <w:rsid w:val="00763140"/>
    <w:rsid w:val="0076334E"/>
    <w:rsid w:val="00763BF0"/>
    <w:rsid w:val="00763F0D"/>
    <w:rsid w:val="00764121"/>
    <w:rsid w:val="0076454A"/>
    <w:rsid w:val="00765120"/>
    <w:rsid w:val="007666D9"/>
    <w:rsid w:val="00766D05"/>
    <w:rsid w:val="00767378"/>
    <w:rsid w:val="0077006D"/>
    <w:rsid w:val="007701A1"/>
    <w:rsid w:val="007706B7"/>
    <w:rsid w:val="007707A6"/>
    <w:rsid w:val="00770DC9"/>
    <w:rsid w:val="0077175E"/>
    <w:rsid w:val="00771BBF"/>
    <w:rsid w:val="0077253D"/>
    <w:rsid w:val="007727CC"/>
    <w:rsid w:val="00773629"/>
    <w:rsid w:val="0077377B"/>
    <w:rsid w:val="00773C29"/>
    <w:rsid w:val="007740B9"/>
    <w:rsid w:val="00774116"/>
    <w:rsid w:val="00774352"/>
    <w:rsid w:val="007750C9"/>
    <w:rsid w:val="007753E0"/>
    <w:rsid w:val="00775E3E"/>
    <w:rsid w:val="00776D3B"/>
    <w:rsid w:val="00776E0A"/>
    <w:rsid w:val="00777364"/>
    <w:rsid w:val="00777527"/>
    <w:rsid w:val="0077798C"/>
    <w:rsid w:val="00777F71"/>
    <w:rsid w:val="00780513"/>
    <w:rsid w:val="00780A96"/>
    <w:rsid w:val="00781108"/>
    <w:rsid w:val="0078142B"/>
    <w:rsid w:val="007819DA"/>
    <w:rsid w:val="00781A85"/>
    <w:rsid w:val="00781B81"/>
    <w:rsid w:val="00782475"/>
    <w:rsid w:val="00782929"/>
    <w:rsid w:val="00784EF5"/>
    <w:rsid w:val="007862EE"/>
    <w:rsid w:val="0078690F"/>
    <w:rsid w:val="00786D38"/>
    <w:rsid w:val="00787022"/>
    <w:rsid w:val="0078719B"/>
    <w:rsid w:val="007873F8"/>
    <w:rsid w:val="00791ABF"/>
    <w:rsid w:val="00791D0E"/>
    <w:rsid w:val="00792B3D"/>
    <w:rsid w:val="00793B9F"/>
    <w:rsid w:val="0079471C"/>
    <w:rsid w:val="0079634D"/>
    <w:rsid w:val="0079697E"/>
    <w:rsid w:val="007969C0"/>
    <w:rsid w:val="00796C5A"/>
    <w:rsid w:val="007970E6"/>
    <w:rsid w:val="00797628"/>
    <w:rsid w:val="00797C84"/>
    <w:rsid w:val="00797E0D"/>
    <w:rsid w:val="007A00D3"/>
    <w:rsid w:val="007A01FA"/>
    <w:rsid w:val="007A0E98"/>
    <w:rsid w:val="007A253C"/>
    <w:rsid w:val="007A37A2"/>
    <w:rsid w:val="007A405A"/>
    <w:rsid w:val="007A49F2"/>
    <w:rsid w:val="007A4CA5"/>
    <w:rsid w:val="007A50C3"/>
    <w:rsid w:val="007A5719"/>
    <w:rsid w:val="007A5B35"/>
    <w:rsid w:val="007A5F48"/>
    <w:rsid w:val="007A619F"/>
    <w:rsid w:val="007A62E2"/>
    <w:rsid w:val="007A68CE"/>
    <w:rsid w:val="007A7604"/>
    <w:rsid w:val="007A7774"/>
    <w:rsid w:val="007A7DF4"/>
    <w:rsid w:val="007A7FC4"/>
    <w:rsid w:val="007B0CB4"/>
    <w:rsid w:val="007B3086"/>
    <w:rsid w:val="007B3888"/>
    <w:rsid w:val="007B43EC"/>
    <w:rsid w:val="007B4C3B"/>
    <w:rsid w:val="007B4DB6"/>
    <w:rsid w:val="007B5389"/>
    <w:rsid w:val="007B59D4"/>
    <w:rsid w:val="007B5A1C"/>
    <w:rsid w:val="007B5A90"/>
    <w:rsid w:val="007B5E0E"/>
    <w:rsid w:val="007B705F"/>
    <w:rsid w:val="007B7149"/>
    <w:rsid w:val="007B7733"/>
    <w:rsid w:val="007B7E77"/>
    <w:rsid w:val="007C19C2"/>
    <w:rsid w:val="007C2260"/>
    <w:rsid w:val="007C26FB"/>
    <w:rsid w:val="007C356E"/>
    <w:rsid w:val="007C4C2B"/>
    <w:rsid w:val="007C4E94"/>
    <w:rsid w:val="007C5F71"/>
    <w:rsid w:val="007C5FBC"/>
    <w:rsid w:val="007C699A"/>
    <w:rsid w:val="007C6E8E"/>
    <w:rsid w:val="007C71AF"/>
    <w:rsid w:val="007C7ADD"/>
    <w:rsid w:val="007D0436"/>
    <w:rsid w:val="007D10E0"/>
    <w:rsid w:val="007D161F"/>
    <w:rsid w:val="007D1CB2"/>
    <w:rsid w:val="007D216B"/>
    <w:rsid w:val="007D26B3"/>
    <w:rsid w:val="007D26CD"/>
    <w:rsid w:val="007D305E"/>
    <w:rsid w:val="007D31EC"/>
    <w:rsid w:val="007D3525"/>
    <w:rsid w:val="007D469E"/>
    <w:rsid w:val="007D5544"/>
    <w:rsid w:val="007D55EE"/>
    <w:rsid w:val="007D5E6A"/>
    <w:rsid w:val="007D6403"/>
    <w:rsid w:val="007D6C89"/>
    <w:rsid w:val="007D7197"/>
    <w:rsid w:val="007D786E"/>
    <w:rsid w:val="007D7902"/>
    <w:rsid w:val="007E067F"/>
    <w:rsid w:val="007E07A4"/>
    <w:rsid w:val="007E2905"/>
    <w:rsid w:val="007E359C"/>
    <w:rsid w:val="007E4E2F"/>
    <w:rsid w:val="007E5CDE"/>
    <w:rsid w:val="007E5D19"/>
    <w:rsid w:val="007E6830"/>
    <w:rsid w:val="007E715A"/>
    <w:rsid w:val="007E7C74"/>
    <w:rsid w:val="007F0D02"/>
    <w:rsid w:val="007F1146"/>
    <w:rsid w:val="007F1472"/>
    <w:rsid w:val="007F1A3E"/>
    <w:rsid w:val="007F2738"/>
    <w:rsid w:val="007F34F4"/>
    <w:rsid w:val="007F3A90"/>
    <w:rsid w:val="007F46F6"/>
    <w:rsid w:val="007F49D8"/>
    <w:rsid w:val="007F5AEE"/>
    <w:rsid w:val="007F5C1D"/>
    <w:rsid w:val="007F64F9"/>
    <w:rsid w:val="007F66E2"/>
    <w:rsid w:val="007F69E1"/>
    <w:rsid w:val="007F7644"/>
    <w:rsid w:val="007F7C7B"/>
    <w:rsid w:val="00800372"/>
    <w:rsid w:val="008016C4"/>
    <w:rsid w:val="00801772"/>
    <w:rsid w:val="00801DD8"/>
    <w:rsid w:val="00802AA0"/>
    <w:rsid w:val="00804514"/>
    <w:rsid w:val="00804E7C"/>
    <w:rsid w:val="00805614"/>
    <w:rsid w:val="008059B6"/>
    <w:rsid w:val="00805A8C"/>
    <w:rsid w:val="00805BA6"/>
    <w:rsid w:val="00805E9A"/>
    <w:rsid w:val="0080622C"/>
    <w:rsid w:val="0080760D"/>
    <w:rsid w:val="00811809"/>
    <w:rsid w:val="00811A3B"/>
    <w:rsid w:val="00811BCB"/>
    <w:rsid w:val="008121D4"/>
    <w:rsid w:val="00812A59"/>
    <w:rsid w:val="00813019"/>
    <w:rsid w:val="00813027"/>
    <w:rsid w:val="00813338"/>
    <w:rsid w:val="00813343"/>
    <w:rsid w:val="008135BC"/>
    <w:rsid w:val="00813CFC"/>
    <w:rsid w:val="008143DB"/>
    <w:rsid w:val="00814E3D"/>
    <w:rsid w:val="00814FA0"/>
    <w:rsid w:val="00814FF0"/>
    <w:rsid w:val="00815291"/>
    <w:rsid w:val="00816DB7"/>
    <w:rsid w:val="00816EDC"/>
    <w:rsid w:val="00817E03"/>
    <w:rsid w:val="008200D8"/>
    <w:rsid w:val="00820AC0"/>
    <w:rsid w:val="0082165E"/>
    <w:rsid w:val="00821F20"/>
    <w:rsid w:val="008222B9"/>
    <w:rsid w:val="00822573"/>
    <w:rsid w:val="00822D1E"/>
    <w:rsid w:val="008234F5"/>
    <w:rsid w:val="00823730"/>
    <w:rsid w:val="00823857"/>
    <w:rsid w:val="00823AD7"/>
    <w:rsid w:val="00823BF9"/>
    <w:rsid w:val="00824678"/>
    <w:rsid w:val="0082495C"/>
    <w:rsid w:val="008252F9"/>
    <w:rsid w:val="008253AA"/>
    <w:rsid w:val="008258D7"/>
    <w:rsid w:val="008259EA"/>
    <w:rsid w:val="00825CED"/>
    <w:rsid w:val="00827747"/>
    <w:rsid w:val="0083074F"/>
    <w:rsid w:val="00831E8C"/>
    <w:rsid w:val="0083264A"/>
    <w:rsid w:val="008338BD"/>
    <w:rsid w:val="00834413"/>
    <w:rsid w:val="00834EBD"/>
    <w:rsid w:val="008352D0"/>
    <w:rsid w:val="0083581B"/>
    <w:rsid w:val="00835832"/>
    <w:rsid w:val="0083598E"/>
    <w:rsid w:val="00835A23"/>
    <w:rsid w:val="00835AD1"/>
    <w:rsid w:val="008376F3"/>
    <w:rsid w:val="00837AF0"/>
    <w:rsid w:val="008403A2"/>
    <w:rsid w:val="00840578"/>
    <w:rsid w:val="00840A08"/>
    <w:rsid w:val="00840A65"/>
    <w:rsid w:val="00840F22"/>
    <w:rsid w:val="00840F76"/>
    <w:rsid w:val="0084112D"/>
    <w:rsid w:val="0084165B"/>
    <w:rsid w:val="008416B4"/>
    <w:rsid w:val="00843071"/>
    <w:rsid w:val="00844208"/>
    <w:rsid w:val="0084437E"/>
    <w:rsid w:val="008449D9"/>
    <w:rsid w:val="0084508D"/>
    <w:rsid w:val="008451AD"/>
    <w:rsid w:val="00845430"/>
    <w:rsid w:val="008457E4"/>
    <w:rsid w:val="00846994"/>
    <w:rsid w:val="008474C5"/>
    <w:rsid w:val="00847A6D"/>
    <w:rsid w:val="00850297"/>
    <w:rsid w:val="00851583"/>
    <w:rsid w:val="0085160D"/>
    <w:rsid w:val="008516E4"/>
    <w:rsid w:val="00851A97"/>
    <w:rsid w:val="00851CAF"/>
    <w:rsid w:val="00852363"/>
    <w:rsid w:val="008529E2"/>
    <w:rsid w:val="008535C8"/>
    <w:rsid w:val="008535CE"/>
    <w:rsid w:val="00853A46"/>
    <w:rsid w:val="00854305"/>
    <w:rsid w:val="00854E34"/>
    <w:rsid w:val="00856067"/>
    <w:rsid w:val="0085654E"/>
    <w:rsid w:val="008608C8"/>
    <w:rsid w:val="00860963"/>
    <w:rsid w:val="008609BE"/>
    <w:rsid w:val="00861FB8"/>
    <w:rsid w:val="00862042"/>
    <w:rsid w:val="00862166"/>
    <w:rsid w:val="00862179"/>
    <w:rsid w:val="00862ECD"/>
    <w:rsid w:val="00863747"/>
    <w:rsid w:val="0086471B"/>
    <w:rsid w:val="00864B02"/>
    <w:rsid w:val="00864EA5"/>
    <w:rsid w:val="0086566D"/>
    <w:rsid w:val="0086599F"/>
    <w:rsid w:val="00866087"/>
    <w:rsid w:val="00867347"/>
    <w:rsid w:val="008704B6"/>
    <w:rsid w:val="0087094A"/>
    <w:rsid w:val="00870BAE"/>
    <w:rsid w:val="00870FF4"/>
    <w:rsid w:val="008730D3"/>
    <w:rsid w:val="00873177"/>
    <w:rsid w:val="0087350A"/>
    <w:rsid w:val="0087369B"/>
    <w:rsid w:val="00873B73"/>
    <w:rsid w:val="0087452D"/>
    <w:rsid w:val="008751FA"/>
    <w:rsid w:val="008754F5"/>
    <w:rsid w:val="00875554"/>
    <w:rsid w:val="00876C80"/>
    <w:rsid w:val="00877B3B"/>
    <w:rsid w:val="008802D3"/>
    <w:rsid w:val="0088054E"/>
    <w:rsid w:val="00880E08"/>
    <w:rsid w:val="00881943"/>
    <w:rsid w:val="00882512"/>
    <w:rsid w:val="00884DFF"/>
    <w:rsid w:val="00884F9A"/>
    <w:rsid w:val="00885239"/>
    <w:rsid w:val="00885AE1"/>
    <w:rsid w:val="0088618D"/>
    <w:rsid w:val="0088707B"/>
    <w:rsid w:val="00887C29"/>
    <w:rsid w:val="00887C94"/>
    <w:rsid w:val="00887F75"/>
    <w:rsid w:val="00887F9D"/>
    <w:rsid w:val="00890C2F"/>
    <w:rsid w:val="00891679"/>
    <w:rsid w:val="00893C7D"/>
    <w:rsid w:val="00893CD6"/>
    <w:rsid w:val="00893E0F"/>
    <w:rsid w:val="00894834"/>
    <w:rsid w:val="00894A2A"/>
    <w:rsid w:val="00895F8E"/>
    <w:rsid w:val="008962EA"/>
    <w:rsid w:val="008963EC"/>
    <w:rsid w:val="008964A5"/>
    <w:rsid w:val="00896A99"/>
    <w:rsid w:val="00896AD0"/>
    <w:rsid w:val="00897E82"/>
    <w:rsid w:val="008A01B6"/>
    <w:rsid w:val="008A0293"/>
    <w:rsid w:val="008A0432"/>
    <w:rsid w:val="008A0EDC"/>
    <w:rsid w:val="008A199C"/>
    <w:rsid w:val="008A1E2A"/>
    <w:rsid w:val="008A233C"/>
    <w:rsid w:val="008A315B"/>
    <w:rsid w:val="008A3B9A"/>
    <w:rsid w:val="008A42E9"/>
    <w:rsid w:val="008A5D64"/>
    <w:rsid w:val="008A5F61"/>
    <w:rsid w:val="008A6435"/>
    <w:rsid w:val="008A6FE2"/>
    <w:rsid w:val="008B04C2"/>
    <w:rsid w:val="008B0501"/>
    <w:rsid w:val="008B09B3"/>
    <w:rsid w:val="008B142A"/>
    <w:rsid w:val="008B14AB"/>
    <w:rsid w:val="008B15E1"/>
    <w:rsid w:val="008B1759"/>
    <w:rsid w:val="008B29CD"/>
    <w:rsid w:val="008B30DB"/>
    <w:rsid w:val="008B3F73"/>
    <w:rsid w:val="008B4346"/>
    <w:rsid w:val="008B4425"/>
    <w:rsid w:val="008B44E3"/>
    <w:rsid w:val="008B47C1"/>
    <w:rsid w:val="008B4928"/>
    <w:rsid w:val="008B4EFE"/>
    <w:rsid w:val="008B52C6"/>
    <w:rsid w:val="008B5A90"/>
    <w:rsid w:val="008B5B54"/>
    <w:rsid w:val="008B6E6F"/>
    <w:rsid w:val="008C06EB"/>
    <w:rsid w:val="008C0753"/>
    <w:rsid w:val="008C144B"/>
    <w:rsid w:val="008C160A"/>
    <w:rsid w:val="008C16D2"/>
    <w:rsid w:val="008C1B3A"/>
    <w:rsid w:val="008C1CFF"/>
    <w:rsid w:val="008C26AF"/>
    <w:rsid w:val="008C2813"/>
    <w:rsid w:val="008C2B4D"/>
    <w:rsid w:val="008C363B"/>
    <w:rsid w:val="008C4AD8"/>
    <w:rsid w:val="008C4B00"/>
    <w:rsid w:val="008C5307"/>
    <w:rsid w:val="008C541F"/>
    <w:rsid w:val="008C5654"/>
    <w:rsid w:val="008C5738"/>
    <w:rsid w:val="008C595D"/>
    <w:rsid w:val="008C66C0"/>
    <w:rsid w:val="008C70EF"/>
    <w:rsid w:val="008C7ADC"/>
    <w:rsid w:val="008C7C48"/>
    <w:rsid w:val="008C7C74"/>
    <w:rsid w:val="008D03C6"/>
    <w:rsid w:val="008D0CFA"/>
    <w:rsid w:val="008D106D"/>
    <w:rsid w:val="008D13E5"/>
    <w:rsid w:val="008D1CD9"/>
    <w:rsid w:val="008D2234"/>
    <w:rsid w:val="008D22FB"/>
    <w:rsid w:val="008D3019"/>
    <w:rsid w:val="008D32BD"/>
    <w:rsid w:val="008D5940"/>
    <w:rsid w:val="008D5FED"/>
    <w:rsid w:val="008D5FF3"/>
    <w:rsid w:val="008D6302"/>
    <w:rsid w:val="008D66E8"/>
    <w:rsid w:val="008D69E1"/>
    <w:rsid w:val="008D6C1E"/>
    <w:rsid w:val="008D7513"/>
    <w:rsid w:val="008D7E2C"/>
    <w:rsid w:val="008E12E9"/>
    <w:rsid w:val="008E24EC"/>
    <w:rsid w:val="008E2B08"/>
    <w:rsid w:val="008E3420"/>
    <w:rsid w:val="008E36B1"/>
    <w:rsid w:val="008E54A4"/>
    <w:rsid w:val="008E56E9"/>
    <w:rsid w:val="008E59FD"/>
    <w:rsid w:val="008E5B6B"/>
    <w:rsid w:val="008E6115"/>
    <w:rsid w:val="008E6321"/>
    <w:rsid w:val="008E6C0B"/>
    <w:rsid w:val="008E70C8"/>
    <w:rsid w:val="008E7326"/>
    <w:rsid w:val="008E78A1"/>
    <w:rsid w:val="008F132D"/>
    <w:rsid w:val="008F1377"/>
    <w:rsid w:val="008F1DE9"/>
    <w:rsid w:val="008F206C"/>
    <w:rsid w:val="008F27FA"/>
    <w:rsid w:val="008F3A29"/>
    <w:rsid w:val="008F4444"/>
    <w:rsid w:val="008F5628"/>
    <w:rsid w:val="008F5D33"/>
    <w:rsid w:val="008F5D51"/>
    <w:rsid w:val="008F6055"/>
    <w:rsid w:val="008F7474"/>
    <w:rsid w:val="008F75E9"/>
    <w:rsid w:val="008F7A9B"/>
    <w:rsid w:val="00900559"/>
    <w:rsid w:val="00900CE5"/>
    <w:rsid w:val="00900E5F"/>
    <w:rsid w:val="00900F39"/>
    <w:rsid w:val="009013BF"/>
    <w:rsid w:val="009023CF"/>
    <w:rsid w:val="009026E0"/>
    <w:rsid w:val="00902771"/>
    <w:rsid w:val="00903188"/>
    <w:rsid w:val="00903474"/>
    <w:rsid w:val="0090375F"/>
    <w:rsid w:val="0090384E"/>
    <w:rsid w:val="00903AA2"/>
    <w:rsid w:val="00903B0C"/>
    <w:rsid w:val="00903DB7"/>
    <w:rsid w:val="00904257"/>
    <w:rsid w:val="00904277"/>
    <w:rsid w:val="00904505"/>
    <w:rsid w:val="00904D07"/>
    <w:rsid w:val="00905046"/>
    <w:rsid w:val="00905145"/>
    <w:rsid w:val="00905530"/>
    <w:rsid w:val="009058B9"/>
    <w:rsid w:val="009062EA"/>
    <w:rsid w:val="00907526"/>
    <w:rsid w:val="00911306"/>
    <w:rsid w:val="00911B6F"/>
    <w:rsid w:val="0091285A"/>
    <w:rsid w:val="009131DD"/>
    <w:rsid w:val="00913B67"/>
    <w:rsid w:val="00914645"/>
    <w:rsid w:val="009147AD"/>
    <w:rsid w:val="009149A6"/>
    <w:rsid w:val="009149B9"/>
    <w:rsid w:val="009157A6"/>
    <w:rsid w:val="0091690D"/>
    <w:rsid w:val="00916CE7"/>
    <w:rsid w:val="0091743A"/>
    <w:rsid w:val="009179F5"/>
    <w:rsid w:val="009210D0"/>
    <w:rsid w:val="00921C7E"/>
    <w:rsid w:val="009221B7"/>
    <w:rsid w:val="009244C6"/>
    <w:rsid w:val="009245C1"/>
    <w:rsid w:val="00924E2E"/>
    <w:rsid w:val="009250CF"/>
    <w:rsid w:val="0092569B"/>
    <w:rsid w:val="00925D00"/>
    <w:rsid w:val="009269F1"/>
    <w:rsid w:val="0092743E"/>
    <w:rsid w:val="00927E06"/>
    <w:rsid w:val="00930149"/>
    <w:rsid w:val="00931317"/>
    <w:rsid w:val="009313CD"/>
    <w:rsid w:val="00931910"/>
    <w:rsid w:val="009323EF"/>
    <w:rsid w:val="0093342C"/>
    <w:rsid w:val="009334CA"/>
    <w:rsid w:val="0093441E"/>
    <w:rsid w:val="00934E55"/>
    <w:rsid w:val="009350DE"/>
    <w:rsid w:val="0093608D"/>
    <w:rsid w:val="009368A2"/>
    <w:rsid w:val="00937534"/>
    <w:rsid w:val="009400F8"/>
    <w:rsid w:val="009412D8"/>
    <w:rsid w:val="009418FA"/>
    <w:rsid w:val="0094228C"/>
    <w:rsid w:val="009429F2"/>
    <w:rsid w:val="00943F2A"/>
    <w:rsid w:val="00943F63"/>
    <w:rsid w:val="0094626B"/>
    <w:rsid w:val="009468F8"/>
    <w:rsid w:val="00946A7B"/>
    <w:rsid w:val="00950554"/>
    <w:rsid w:val="009509B0"/>
    <w:rsid w:val="009515DF"/>
    <w:rsid w:val="009519B0"/>
    <w:rsid w:val="00951F54"/>
    <w:rsid w:val="009528A1"/>
    <w:rsid w:val="009538C7"/>
    <w:rsid w:val="00953F31"/>
    <w:rsid w:val="00954981"/>
    <w:rsid w:val="00954A09"/>
    <w:rsid w:val="009552D4"/>
    <w:rsid w:val="00955D22"/>
    <w:rsid w:val="009562ED"/>
    <w:rsid w:val="00956B8B"/>
    <w:rsid w:val="0096012C"/>
    <w:rsid w:val="009607C3"/>
    <w:rsid w:val="00960E40"/>
    <w:rsid w:val="00960F48"/>
    <w:rsid w:val="00961F5A"/>
    <w:rsid w:val="00962E01"/>
    <w:rsid w:val="009640A7"/>
    <w:rsid w:val="009645C6"/>
    <w:rsid w:val="00964689"/>
    <w:rsid w:val="009654D5"/>
    <w:rsid w:val="009662DF"/>
    <w:rsid w:val="009662F7"/>
    <w:rsid w:val="00966CF7"/>
    <w:rsid w:val="00966DFB"/>
    <w:rsid w:val="00966F74"/>
    <w:rsid w:val="00967160"/>
    <w:rsid w:val="00967C7A"/>
    <w:rsid w:val="0097003C"/>
    <w:rsid w:val="00970583"/>
    <w:rsid w:val="0097061E"/>
    <w:rsid w:val="00970F59"/>
    <w:rsid w:val="00971319"/>
    <w:rsid w:val="0097136B"/>
    <w:rsid w:val="0097168C"/>
    <w:rsid w:val="009720A6"/>
    <w:rsid w:val="00972405"/>
    <w:rsid w:val="00972409"/>
    <w:rsid w:val="00972F0C"/>
    <w:rsid w:val="009732EB"/>
    <w:rsid w:val="00973A92"/>
    <w:rsid w:val="00973FD8"/>
    <w:rsid w:val="009744AB"/>
    <w:rsid w:val="00975495"/>
    <w:rsid w:val="009757AB"/>
    <w:rsid w:val="00975858"/>
    <w:rsid w:val="009762DF"/>
    <w:rsid w:val="00976701"/>
    <w:rsid w:val="00976932"/>
    <w:rsid w:val="00977831"/>
    <w:rsid w:val="00977B6F"/>
    <w:rsid w:val="0098016A"/>
    <w:rsid w:val="009801C4"/>
    <w:rsid w:val="0098069C"/>
    <w:rsid w:val="00981A8C"/>
    <w:rsid w:val="00981BD6"/>
    <w:rsid w:val="009820C8"/>
    <w:rsid w:val="00982479"/>
    <w:rsid w:val="0098249D"/>
    <w:rsid w:val="00982AA1"/>
    <w:rsid w:val="0098341B"/>
    <w:rsid w:val="009852C5"/>
    <w:rsid w:val="009852E6"/>
    <w:rsid w:val="009857E0"/>
    <w:rsid w:val="009867C2"/>
    <w:rsid w:val="0098795A"/>
    <w:rsid w:val="00990398"/>
    <w:rsid w:val="009910E1"/>
    <w:rsid w:val="009921CE"/>
    <w:rsid w:val="00994387"/>
    <w:rsid w:val="00994782"/>
    <w:rsid w:val="00994C56"/>
    <w:rsid w:val="00996241"/>
    <w:rsid w:val="0099656E"/>
    <w:rsid w:val="009974FB"/>
    <w:rsid w:val="009A0084"/>
    <w:rsid w:val="009A11CD"/>
    <w:rsid w:val="009A1B74"/>
    <w:rsid w:val="009A25F2"/>
    <w:rsid w:val="009A31B5"/>
    <w:rsid w:val="009A3590"/>
    <w:rsid w:val="009A3C0C"/>
    <w:rsid w:val="009A3DD5"/>
    <w:rsid w:val="009A42B1"/>
    <w:rsid w:val="009A49FE"/>
    <w:rsid w:val="009A4FEC"/>
    <w:rsid w:val="009A5A79"/>
    <w:rsid w:val="009A6348"/>
    <w:rsid w:val="009A6468"/>
    <w:rsid w:val="009A6A5C"/>
    <w:rsid w:val="009A6B59"/>
    <w:rsid w:val="009A6F02"/>
    <w:rsid w:val="009A75A3"/>
    <w:rsid w:val="009B0094"/>
    <w:rsid w:val="009B11DD"/>
    <w:rsid w:val="009B11E7"/>
    <w:rsid w:val="009B179F"/>
    <w:rsid w:val="009B195B"/>
    <w:rsid w:val="009B3067"/>
    <w:rsid w:val="009B3399"/>
    <w:rsid w:val="009B3533"/>
    <w:rsid w:val="009B47C1"/>
    <w:rsid w:val="009B6340"/>
    <w:rsid w:val="009B64F7"/>
    <w:rsid w:val="009B65DF"/>
    <w:rsid w:val="009B6A0F"/>
    <w:rsid w:val="009B6C8D"/>
    <w:rsid w:val="009B6C9C"/>
    <w:rsid w:val="009B7414"/>
    <w:rsid w:val="009B775C"/>
    <w:rsid w:val="009B7B16"/>
    <w:rsid w:val="009B7EA2"/>
    <w:rsid w:val="009C0045"/>
    <w:rsid w:val="009C063F"/>
    <w:rsid w:val="009C1763"/>
    <w:rsid w:val="009C25AB"/>
    <w:rsid w:val="009C2C05"/>
    <w:rsid w:val="009C3412"/>
    <w:rsid w:val="009C3631"/>
    <w:rsid w:val="009C4780"/>
    <w:rsid w:val="009C4894"/>
    <w:rsid w:val="009C4F0E"/>
    <w:rsid w:val="009C5216"/>
    <w:rsid w:val="009C56C8"/>
    <w:rsid w:val="009C5F5F"/>
    <w:rsid w:val="009C6441"/>
    <w:rsid w:val="009C6501"/>
    <w:rsid w:val="009C6780"/>
    <w:rsid w:val="009C68D5"/>
    <w:rsid w:val="009C72C9"/>
    <w:rsid w:val="009C7A32"/>
    <w:rsid w:val="009D1707"/>
    <w:rsid w:val="009D1E34"/>
    <w:rsid w:val="009D2939"/>
    <w:rsid w:val="009D2B29"/>
    <w:rsid w:val="009D2ED8"/>
    <w:rsid w:val="009D3185"/>
    <w:rsid w:val="009D358B"/>
    <w:rsid w:val="009D38C4"/>
    <w:rsid w:val="009D3979"/>
    <w:rsid w:val="009D42AE"/>
    <w:rsid w:val="009D45EC"/>
    <w:rsid w:val="009D504D"/>
    <w:rsid w:val="009D50D0"/>
    <w:rsid w:val="009D57B6"/>
    <w:rsid w:val="009D58FC"/>
    <w:rsid w:val="009D5F4D"/>
    <w:rsid w:val="009D60D9"/>
    <w:rsid w:val="009D643E"/>
    <w:rsid w:val="009D6FB6"/>
    <w:rsid w:val="009D77D8"/>
    <w:rsid w:val="009D7F77"/>
    <w:rsid w:val="009E00AC"/>
    <w:rsid w:val="009E08AA"/>
    <w:rsid w:val="009E0CFD"/>
    <w:rsid w:val="009E131B"/>
    <w:rsid w:val="009E148C"/>
    <w:rsid w:val="009E1DF2"/>
    <w:rsid w:val="009E1EB9"/>
    <w:rsid w:val="009E20F1"/>
    <w:rsid w:val="009E22D1"/>
    <w:rsid w:val="009E365D"/>
    <w:rsid w:val="009E3881"/>
    <w:rsid w:val="009E3A6B"/>
    <w:rsid w:val="009E410E"/>
    <w:rsid w:val="009E433D"/>
    <w:rsid w:val="009E43F8"/>
    <w:rsid w:val="009E454F"/>
    <w:rsid w:val="009E51C3"/>
    <w:rsid w:val="009E691D"/>
    <w:rsid w:val="009E6D0F"/>
    <w:rsid w:val="009E7207"/>
    <w:rsid w:val="009E7C18"/>
    <w:rsid w:val="009F0427"/>
    <w:rsid w:val="009F12A8"/>
    <w:rsid w:val="009F14EF"/>
    <w:rsid w:val="009F1955"/>
    <w:rsid w:val="009F3121"/>
    <w:rsid w:val="009F397E"/>
    <w:rsid w:val="009F39A1"/>
    <w:rsid w:val="009F3A0B"/>
    <w:rsid w:val="009F3C64"/>
    <w:rsid w:val="009F5B19"/>
    <w:rsid w:val="009F71D8"/>
    <w:rsid w:val="00A0089B"/>
    <w:rsid w:val="00A008B4"/>
    <w:rsid w:val="00A00BC6"/>
    <w:rsid w:val="00A01573"/>
    <w:rsid w:val="00A01A50"/>
    <w:rsid w:val="00A01B9A"/>
    <w:rsid w:val="00A02448"/>
    <w:rsid w:val="00A026EA"/>
    <w:rsid w:val="00A033AE"/>
    <w:rsid w:val="00A04637"/>
    <w:rsid w:val="00A04A14"/>
    <w:rsid w:val="00A04F38"/>
    <w:rsid w:val="00A0535B"/>
    <w:rsid w:val="00A06135"/>
    <w:rsid w:val="00A06F8F"/>
    <w:rsid w:val="00A103C9"/>
    <w:rsid w:val="00A10832"/>
    <w:rsid w:val="00A11377"/>
    <w:rsid w:val="00A11CBB"/>
    <w:rsid w:val="00A12C61"/>
    <w:rsid w:val="00A14079"/>
    <w:rsid w:val="00A15373"/>
    <w:rsid w:val="00A156D4"/>
    <w:rsid w:val="00A157AF"/>
    <w:rsid w:val="00A16AFB"/>
    <w:rsid w:val="00A17BE4"/>
    <w:rsid w:val="00A2083F"/>
    <w:rsid w:val="00A20A86"/>
    <w:rsid w:val="00A20D19"/>
    <w:rsid w:val="00A2172C"/>
    <w:rsid w:val="00A2199D"/>
    <w:rsid w:val="00A21AD0"/>
    <w:rsid w:val="00A22500"/>
    <w:rsid w:val="00A22A74"/>
    <w:rsid w:val="00A258C9"/>
    <w:rsid w:val="00A25D4E"/>
    <w:rsid w:val="00A262CA"/>
    <w:rsid w:val="00A26848"/>
    <w:rsid w:val="00A26ADF"/>
    <w:rsid w:val="00A27206"/>
    <w:rsid w:val="00A301D8"/>
    <w:rsid w:val="00A313E9"/>
    <w:rsid w:val="00A315F2"/>
    <w:rsid w:val="00A31D30"/>
    <w:rsid w:val="00A32525"/>
    <w:rsid w:val="00A325B3"/>
    <w:rsid w:val="00A32731"/>
    <w:rsid w:val="00A3289F"/>
    <w:rsid w:val="00A32CD7"/>
    <w:rsid w:val="00A33FA1"/>
    <w:rsid w:val="00A3441D"/>
    <w:rsid w:val="00A355FB"/>
    <w:rsid w:val="00A35ADC"/>
    <w:rsid w:val="00A35D9C"/>
    <w:rsid w:val="00A37670"/>
    <w:rsid w:val="00A37B40"/>
    <w:rsid w:val="00A41785"/>
    <w:rsid w:val="00A42BDA"/>
    <w:rsid w:val="00A4466D"/>
    <w:rsid w:val="00A45838"/>
    <w:rsid w:val="00A4588D"/>
    <w:rsid w:val="00A45D0D"/>
    <w:rsid w:val="00A4604E"/>
    <w:rsid w:val="00A47704"/>
    <w:rsid w:val="00A52163"/>
    <w:rsid w:val="00A524CA"/>
    <w:rsid w:val="00A526E7"/>
    <w:rsid w:val="00A53641"/>
    <w:rsid w:val="00A54BDB"/>
    <w:rsid w:val="00A55093"/>
    <w:rsid w:val="00A558A3"/>
    <w:rsid w:val="00A55F42"/>
    <w:rsid w:val="00A5693C"/>
    <w:rsid w:val="00A56A48"/>
    <w:rsid w:val="00A57377"/>
    <w:rsid w:val="00A57AE5"/>
    <w:rsid w:val="00A57F4C"/>
    <w:rsid w:val="00A60BF6"/>
    <w:rsid w:val="00A60C2B"/>
    <w:rsid w:val="00A617C5"/>
    <w:rsid w:val="00A64AB1"/>
    <w:rsid w:val="00A64B77"/>
    <w:rsid w:val="00A657CC"/>
    <w:rsid w:val="00A65B37"/>
    <w:rsid w:val="00A66064"/>
    <w:rsid w:val="00A67D95"/>
    <w:rsid w:val="00A70939"/>
    <w:rsid w:val="00A7213A"/>
    <w:rsid w:val="00A73869"/>
    <w:rsid w:val="00A74698"/>
    <w:rsid w:val="00A74D18"/>
    <w:rsid w:val="00A75311"/>
    <w:rsid w:val="00A75A3C"/>
    <w:rsid w:val="00A75A90"/>
    <w:rsid w:val="00A76D9D"/>
    <w:rsid w:val="00A774CD"/>
    <w:rsid w:val="00A7792D"/>
    <w:rsid w:val="00A80580"/>
    <w:rsid w:val="00A80735"/>
    <w:rsid w:val="00A81937"/>
    <w:rsid w:val="00A81999"/>
    <w:rsid w:val="00A81D6C"/>
    <w:rsid w:val="00A83434"/>
    <w:rsid w:val="00A83A10"/>
    <w:rsid w:val="00A843C2"/>
    <w:rsid w:val="00A852A1"/>
    <w:rsid w:val="00A85683"/>
    <w:rsid w:val="00A85838"/>
    <w:rsid w:val="00A86CAA"/>
    <w:rsid w:val="00A870B7"/>
    <w:rsid w:val="00A875A3"/>
    <w:rsid w:val="00A87890"/>
    <w:rsid w:val="00A87C7C"/>
    <w:rsid w:val="00A90011"/>
    <w:rsid w:val="00A90600"/>
    <w:rsid w:val="00A90786"/>
    <w:rsid w:val="00A90983"/>
    <w:rsid w:val="00A923E5"/>
    <w:rsid w:val="00A92853"/>
    <w:rsid w:val="00A93759"/>
    <w:rsid w:val="00A93B03"/>
    <w:rsid w:val="00A94374"/>
    <w:rsid w:val="00A9526E"/>
    <w:rsid w:val="00A95598"/>
    <w:rsid w:val="00A96210"/>
    <w:rsid w:val="00A97627"/>
    <w:rsid w:val="00A97C2C"/>
    <w:rsid w:val="00AA028D"/>
    <w:rsid w:val="00AA115F"/>
    <w:rsid w:val="00AA158F"/>
    <w:rsid w:val="00AA167B"/>
    <w:rsid w:val="00AA1E7E"/>
    <w:rsid w:val="00AA1EC5"/>
    <w:rsid w:val="00AA1F42"/>
    <w:rsid w:val="00AA25E1"/>
    <w:rsid w:val="00AA26E5"/>
    <w:rsid w:val="00AA2737"/>
    <w:rsid w:val="00AA2D07"/>
    <w:rsid w:val="00AA36A0"/>
    <w:rsid w:val="00AA4B0D"/>
    <w:rsid w:val="00AA4E57"/>
    <w:rsid w:val="00AA60B9"/>
    <w:rsid w:val="00AA6194"/>
    <w:rsid w:val="00AA6C52"/>
    <w:rsid w:val="00AA70DC"/>
    <w:rsid w:val="00AA7189"/>
    <w:rsid w:val="00AA74B4"/>
    <w:rsid w:val="00AA7589"/>
    <w:rsid w:val="00AA7CDA"/>
    <w:rsid w:val="00AB0BB8"/>
    <w:rsid w:val="00AB1DC7"/>
    <w:rsid w:val="00AB27AC"/>
    <w:rsid w:val="00AB2A99"/>
    <w:rsid w:val="00AB3D48"/>
    <w:rsid w:val="00AB4F7A"/>
    <w:rsid w:val="00AB501F"/>
    <w:rsid w:val="00AB685D"/>
    <w:rsid w:val="00AB6EF6"/>
    <w:rsid w:val="00AB741C"/>
    <w:rsid w:val="00AB74E8"/>
    <w:rsid w:val="00AB7C6D"/>
    <w:rsid w:val="00AB7CE4"/>
    <w:rsid w:val="00AC00A2"/>
    <w:rsid w:val="00AC06DA"/>
    <w:rsid w:val="00AC0F1E"/>
    <w:rsid w:val="00AC11E3"/>
    <w:rsid w:val="00AC1BB2"/>
    <w:rsid w:val="00AC24DA"/>
    <w:rsid w:val="00AC2540"/>
    <w:rsid w:val="00AC4105"/>
    <w:rsid w:val="00AC4573"/>
    <w:rsid w:val="00AC4A52"/>
    <w:rsid w:val="00AC510F"/>
    <w:rsid w:val="00AC598A"/>
    <w:rsid w:val="00AD11B2"/>
    <w:rsid w:val="00AD128F"/>
    <w:rsid w:val="00AD13DF"/>
    <w:rsid w:val="00AD1E15"/>
    <w:rsid w:val="00AD204C"/>
    <w:rsid w:val="00AD23B7"/>
    <w:rsid w:val="00AD3025"/>
    <w:rsid w:val="00AD646A"/>
    <w:rsid w:val="00AD6B5E"/>
    <w:rsid w:val="00AD6C7F"/>
    <w:rsid w:val="00AD7222"/>
    <w:rsid w:val="00AD77BF"/>
    <w:rsid w:val="00AD78C1"/>
    <w:rsid w:val="00AD7ABC"/>
    <w:rsid w:val="00AE256A"/>
    <w:rsid w:val="00AE29F5"/>
    <w:rsid w:val="00AE33DF"/>
    <w:rsid w:val="00AE38B9"/>
    <w:rsid w:val="00AE4A90"/>
    <w:rsid w:val="00AE4F08"/>
    <w:rsid w:val="00AE53F4"/>
    <w:rsid w:val="00AE5C7A"/>
    <w:rsid w:val="00AE749E"/>
    <w:rsid w:val="00AE7560"/>
    <w:rsid w:val="00AE756E"/>
    <w:rsid w:val="00AE7BF7"/>
    <w:rsid w:val="00AF0909"/>
    <w:rsid w:val="00AF0910"/>
    <w:rsid w:val="00AF0B11"/>
    <w:rsid w:val="00AF0F0D"/>
    <w:rsid w:val="00AF1132"/>
    <w:rsid w:val="00AF1F58"/>
    <w:rsid w:val="00AF2539"/>
    <w:rsid w:val="00AF2596"/>
    <w:rsid w:val="00AF2762"/>
    <w:rsid w:val="00AF2837"/>
    <w:rsid w:val="00AF32B8"/>
    <w:rsid w:val="00AF3C01"/>
    <w:rsid w:val="00AF4075"/>
    <w:rsid w:val="00AF47BF"/>
    <w:rsid w:val="00AF5BC0"/>
    <w:rsid w:val="00AF5DC3"/>
    <w:rsid w:val="00AF6624"/>
    <w:rsid w:val="00B00057"/>
    <w:rsid w:val="00B0025E"/>
    <w:rsid w:val="00B01458"/>
    <w:rsid w:val="00B01887"/>
    <w:rsid w:val="00B01F6F"/>
    <w:rsid w:val="00B0236C"/>
    <w:rsid w:val="00B0288D"/>
    <w:rsid w:val="00B02F34"/>
    <w:rsid w:val="00B04117"/>
    <w:rsid w:val="00B0681B"/>
    <w:rsid w:val="00B06E92"/>
    <w:rsid w:val="00B07001"/>
    <w:rsid w:val="00B0728E"/>
    <w:rsid w:val="00B07AD5"/>
    <w:rsid w:val="00B105A4"/>
    <w:rsid w:val="00B107A6"/>
    <w:rsid w:val="00B108B2"/>
    <w:rsid w:val="00B10E5F"/>
    <w:rsid w:val="00B11338"/>
    <w:rsid w:val="00B11A10"/>
    <w:rsid w:val="00B1242A"/>
    <w:rsid w:val="00B125F6"/>
    <w:rsid w:val="00B13350"/>
    <w:rsid w:val="00B13372"/>
    <w:rsid w:val="00B135BA"/>
    <w:rsid w:val="00B13C7F"/>
    <w:rsid w:val="00B141D9"/>
    <w:rsid w:val="00B1535F"/>
    <w:rsid w:val="00B153EA"/>
    <w:rsid w:val="00B154B4"/>
    <w:rsid w:val="00B156A2"/>
    <w:rsid w:val="00B156EB"/>
    <w:rsid w:val="00B15CB4"/>
    <w:rsid w:val="00B16070"/>
    <w:rsid w:val="00B161A4"/>
    <w:rsid w:val="00B17017"/>
    <w:rsid w:val="00B171DC"/>
    <w:rsid w:val="00B209EF"/>
    <w:rsid w:val="00B21417"/>
    <w:rsid w:val="00B22099"/>
    <w:rsid w:val="00B22A5D"/>
    <w:rsid w:val="00B23459"/>
    <w:rsid w:val="00B235C8"/>
    <w:rsid w:val="00B24099"/>
    <w:rsid w:val="00B24211"/>
    <w:rsid w:val="00B2424B"/>
    <w:rsid w:val="00B2446F"/>
    <w:rsid w:val="00B2547F"/>
    <w:rsid w:val="00B2689A"/>
    <w:rsid w:val="00B26FC5"/>
    <w:rsid w:val="00B310E1"/>
    <w:rsid w:val="00B31348"/>
    <w:rsid w:val="00B3155A"/>
    <w:rsid w:val="00B3293B"/>
    <w:rsid w:val="00B33355"/>
    <w:rsid w:val="00B33C5F"/>
    <w:rsid w:val="00B34663"/>
    <w:rsid w:val="00B34B68"/>
    <w:rsid w:val="00B3529A"/>
    <w:rsid w:val="00B358D0"/>
    <w:rsid w:val="00B362DD"/>
    <w:rsid w:val="00B36472"/>
    <w:rsid w:val="00B36C5E"/>
    <w:rsid w:val="00B400A2"/>
    <w:rsid w:val="00B40239"/>
    <w:rsid w:val="00B40668"/>
    <w:rsid w:val="00B41F57"/>
    <w:rsid w:val="00B42176"/>
    <w:rsid w:val="00B43E64"/>
    <w:rsid w:val="00B43EDB"/>
    <w:rsid w:val="00B44A91"/>
    <w:rsid w:val="00B44D6C"/>
    <w:rsid w:val="00B451C1"/>
    <w:rsid w:val="00B45715"/>
    <w:rsid w:val="00B465C8"/>
    <w:rsid w:val="00B478D8"/>
    <w:rsid w:val="00B4792A"/>
    <w:rsid w:val="00B47A71"/>
    <w:rsid w:val="00B50156"/>
    <w:rsid w:val="00B505F7"/>
    <w:rsid w:val="00B51101"/>
    <w:rsid w:val="00B5166D"/>
    <w:rsid w:val="00B51DB6"/>
    <w:rsid w:val="00B51E24"/>
    <w:rsid w:val="00B52392"/>
    <w:rsid w:val="00B52529"/>
    <w:rsid w:val="00B52655"/>
    <w:rsid w:val="00B5309C"/>
    <w:rsid w:val="00B533DE"/>
    <w:rsid w:val="00B53C1C"/>
    <w:rsid w:val="00B54B79"/>
    <w:rsid w:val="00B54BB7"/>
    <w:rsid w:val="00B55072"/>
    <w:rsid w:val="00B554CE"/>
    <w:rsid w:val="00B55E99"/>
    <w:rsid w:val="00B563D3"/>
    <w:rsid w:val="00B565EC"/>
    <w:rsid w:val="00B56B26"/>
    <w:rsid w:val="00B56D67"/>
    <w:rsid w:val="00B601F1"/>
    <w:rsid w:val="00B62FB8"/>
    <w:rsid w:val="00B6333E"/>
    <w:rsid w:val="00B633D9"/>
    <w:rsid w:val="00B6341B"/>
    <w:rsid w:val="00B63C89"/>
    <w:rsid w:val="00B6443C"/>
    <w:rsid w:val="00B64A18"/>
    <w:rsid w:val="00B65FEC"/>
    <w:rsid w:val="00B67086"/>
    <w:rsid w:val="00B67332"/>
    <w:rsid w:val="00B67737"/>
    <w:rsid w:val="00B67A42"/>
    <w:rsid w:val="00B70917"/>
    <w:rsid w:val="00B70A6E"/>
    <w:rsid w:val="00B70DFD"/>
    <w:rsid w:val="00B71046"/>
    <w:rsid w:val="00B72046"/>
    <w:rsid w:val="00B720B9"/>
    <w:rsid w:val="00B726CA"/>
    <w:rsid w:val="00B7337A"/>
    <w:rsid w:val="00B745FE"/>
    <w:rsid w:val="00B758AA"/>
    <w:rsid w:val="00B76D20"/>
    <w:rsid w:val="00B76E1F"/>
    <w:rsid w:val="00B7783F"/>
    <w:rsid w:val="00B77C94"/>
    <w:rsid w:val="00B77E83"/>
    <w:rsid w:val="00B808B8"/>
    <w:rsid w:val="00B80BC6"/>
    <w:rsid w:val="00B80CBE"/>
    <w:rsid w:val="00B80ED9"/>
    <w:rsid w:val="00B8188E"/>
    <w:rsid w:val="00B81F5D"/>
    <w:rsid w:val="00B8225E"/>
    <w:rsid w:val="00B82482"/>
    <w:rsid w:val="00B833FD"/>
    <w:rsid w:val="00B852B1"/>
    <w:rsid w:val="00B856C8"/>
    <w:rsid w:val="00B8596A"/>
    <w:rsid w:val="00B859FB"/>
    <w:rsid w:val="00B85B7E"/>
    <w:rsid w:val="00B85CBA"/>
    <w:rsid w:val="00B86648"/>
    <w:rsid w:val="00B86863"/>
    <w:rsid w:val="00B86A0C"/>
    <w:rsid w:val="00B87CFB"/>
    <w:rsid w:val="00B90516"/>
    <w:rsid w:val="00B90C09"/>
    <w:rsid w:val="00B91885"/>
    <w:rsid w:val="00B91D9C"/>
    <w:rsid w:val="00B91F21"/>
    <w:rsid w:val="00B924DB"/>
    <w:rsid w:val="00B929D8"/>
    <w:rsid w:val="00B937C7"/>
    <w:rsid w:val="00B9380F"/>
    <w:rsid w:val="00B9384D"/>
    <w:rsid w:val="00B9432D"/>
    <w:rsid w:val="00B950AB"/>
    <w:rsid w:val="00B95181"/>
    <w:rsid w:val="00B968EA"/>
    <w:rsid w:val="00B96F22"/>
    <w:rsid w:val="00B97014"/>
    <w:rsid w:val="00BA11DA"/>
    <w:rsid w:val="00BA1301"/>
    <w:rsid w:val="00BA1728"/>
    <w:rsid w:val="00BA1F10"/>
    <w:rsid w:val="00BA2018"/>
    <w:rsid w:val="00BA21AB"/>
    <w:rsid w:val="00BA2622"/>
    <w:rsid w:val="00BA316A"/>
    <w:rsid w:val="00BA3E01"/>
    <w:rsid w:val="00BA3E9C"/>
    <w:rsid w:val="00BA5E26"/>
    <w:rsid w:val="00BA6633"/>
    <w:rsid w:val="00BA71ED"/>
    <w:rsid w:val="00BA760F"/>
    <w:rsid w:val="00BB0001"/>
    <w:rsid w:val="00BB059D"/>
    <w:rsid w:val="00BB0B34"/>
    <w:rsid w:val="00BB1A92"/>
    <w:rsid w:val="00BB2067"/>
    <w:rsid w:val="00BB2493"/>
    <w:rsid w:val="00BB4851"/>
    <w:rsid w:val="00BB5414"/>
    <w:rsid w:val="00BB55B9"/>
    <w:rsid w:val="00BB55DD"/>
    <w:rsid w:val="00BB5ABF"/>
    <w:rsid w:val="00BB6E90"/>
    <w:rsid w:val="00BB6F87"/>
    <w:rsid w:val="00BB7925"/>
    <w:rsid w:val="00BB798B"/>
    <w:rsid w:val="00BB7DE4"/>
    <w:rsid w:val="00BB7E0E"/>
    <w:rsid w:val="00BB7E69"/>
    <w:rsid w:val="00BC1272"/>
    <w:rsid w:val="00BC1D0A"/>
    <w:rsid w:val="00BC1F3C"/>
    <w:rsid w:val="00BC24B5"/>
    <w:rsid w:val="00BC28DA"/>
    <w:rsid w:val="00BC2FB0"/>
    <w:rsid w:val="00BC3421"/>
    <w:rsid w:val="00BC3874"/>
    <w:rsid w:val="00BC4728"/>
    <w:rsid w:val="00BC4AB9"/>
    <w:rsid w:val="00BC5D10"/>
    <w:rsid w:val="00BC5E79"/>
    <w:rsid w:val="00BC6BF9"/>
    <w:rsid w:val="00BC6EAD"/>
    <w:rsid w:val="00BC73F4"/>
    <w:rsid w:val="00BC7DFD"/>
    <w:rsid w:val="00BC7F63"/>
    <w:rsid w:val="00BD0369"/>
    <w:rsid w:val="00BD28B7"/>
    <w:rsid w:val="00BD3077"/>
    <w:rsid w:val="00BD3B2E"/>
    <w:rsid w:val="00BD3E60"/>
    <w:rsid w:val="00BD4667"/>
    <w:rsid w:val="00BD4D06"/>
    <w:rsid w:val="00BD4D95"/>
    <w:rsid w:val="00BD696A"/>
    <w:rsid w:val="00BD6A6A"/>
    <w:rsid w:val="00BD6F88"/>
    <w:rsid w:val="00BD71E1"/>
    <w:rsid w:val="00BD77A2"/>
    <w:rsid w:val="00BE029D"/>
    <w:rsid w:val="00BE05BB"/>
    <w:rsid w:val="00BE07D6"/>
    <w:rsid w:val="00BE09EA"/>
    <w:rsid w:val="00BE18C9"/>
    <w:rsid w:val="00BE229A"/>
    <w:rsid w:val="00BE3762"/>
    <w:rsid w:val="00BE4A47"/>
    <w:rsid w:val="00BE500B"/>
    <w:rsid w:val="00BE5401"/>
    <w:rsid w:val="00BE69EC"/>
    <w:rsid w:val="00BE6FBA"/>
    <w:rsid w:val="00BE71AA"/>
    <w:rsid w:val="00BE786E"/>
    <w:rsid w:val="00BF0151"/>
    <w:rsid w:val="00BF1CAB"/>
    <w:rsid w:val="00BF207B"/>
    <w:rsid w:val="00BF257C"/>
    <w:rsid w:val="00BF2A8A"/>
    <w:rsid w:val="00BF2BBE"/>
    <w:rsid w:val="00BF311B"/>
    <w:rsid w:val="00BF3409"/>
    <w:rsid w:val="00BF39D1"/>
    <w:rsid w:val="00BF6718"/>
    <w:rsid w:val="00BF678D"/>
    <w:rsid w:val="00BF6A7A"/>
    <w:rsid w:val="00BF6FBB"/>
    <w:rsid w:val="00BF734D"/>
    <w:rsid w:val="00BF759A"/>
    <w:rsid w:val="00C00539"/>
    <w:rsid w:val="00C00FCE"/>
    <w:rsid w:val="00C01A49"/>
    <w:rsid w:val="00C01EEA"/>
    <w:rsid w:val="00C03AC1"/>
    <w:rsid w:val="00C03B97"/>
    <w:rsid w:val="00C040AA"/>
    <w:rsid w:val="00C04C1E"/>
    <w:rsid w:val="00C055FA"/>
    <w:rsid w:val="00C059FC"/>
    <w:rsid w:val="00C0669E"/>
    <w:rsid w:val="00C0697E"/>
    <w:rsid w:val="00C06BCD"/>
    <w:rsid w:val="00C06D82"/>
    <w:rsid w:val="00C0728B"/>
    <w:rsid w:val="00C073E7"/>
    <w:rsid w:val="00C07524"/>
    <w:rsid w:val="00C077C6"/>
    <w:rsid w:val="00C07809"/>
    <w:rsid w:val="00C105B3"/>
    <w:rsid w:val="00C110B2"/>
    <w:rsid w:val="00C117BD"/>
    <w:rsid w:val="00C11AF3"/>
    <w:rsid w:val="00C122EF"/>
    <w:rsid w:val="00C136E3"/>
    <w:rsid w:val="00C13AF0"/>
    <w:rsid w:val="00C13CE1"/>
    <w:rsid w:val="00C13ED1"/>
    <w:rsid w:val="00C14532"/>
    <w:rsid w:val="00C147BC"/>
    <w:rsid w:val="00C14E8F"/>
    <w:rsid w:val="00C15BB1"/>
    <w:rsid w:val="00C15F0D"/>
    <w:rsid w:val="00C160A1"/>
    <w:rsid w:val="00C16386"/>
    <w:rsid w:val="00C16557"/>
    <w:rsid w:val="00C16A05"/>
    <w:rsid w:val="00C17050"/>
    <w:rsid w:val="00C17911"/>
    <w:rsid w:val="00C21880"/>
    <w:rsid w:val="00C218F0"/>
    <w:rsid w:val="00C21A06"/>
    <w:rsid w:val="00C21EF3"/>
    <w:rsid w:val="00C2202C"/>
    <w:rsid w:val="00C220CB"/>
    <w:rsid w:val="00C233F3"/>
    <w:rsid w:val="00C24984"/>
    <w:rsid w:val="00C24D0F"/>
    <w:rsid w:val="00C24E3F"/>
    <w:rsid w:val="00C25BF3"/>
    <w:rsid w:val="00C26E8D"/>
    <w:rsid w:val="00C27249"/>
    <w:rsid w:val="00C27B65"/>
    <w:rsid w:val="00C27BE6"/>
    <w:rsid w:val="00C300E2"/>
    <w:rsid w:val="00C31471"/>
    <w:rsid w:val="00C323C3"/>
    <w:rsid w:val="00C32590"/>
    <w:rsid w:val="00C326EC"/>
    <w:rsid w:val="00C32B50"/>
    <w:rsid w:val="00C32F9C"/>
    <w:rsid w:val="00C338B8"/>
    <w:rsid w:val="00C33C9C"/>
    <w:rsid w:val="00C33EFD"/>
    <w:rsid w:val="00C3443A"/>
    <w:rsid w:val="00C344EF"/>
    <w:rsid w:val="00C347DE"/>
    <w:rsid w:val="00C3487B"/>
    <w:rsid w:val="00C34BF0"/>
    <w:rsid w:val="00C353B0"/>
    <w:rsid w:val="00C35405"/>
    <w:rsid w:val="00C3602B"/>
    <w:rsid w:val="00C363BC"/>
    <w:rsid w:val="00C368C9"/>
    <w:rsid w:val="00C37E44"/>
    <w:rsid w:val="00C402DA"/>
    <w:rsid w:val="00C403D2"/>
    <w:rsid w:val="00C404F7"/>
    <w:rsid w:val="00C4081A"/>
    <w:rsid w:val="00C40AFD"/>
    <w:rsid w:val="00C40E50"/>
    <w:rsid w:val="00C40FAF"/>
    <w:rsid w:val="00C42718"/>
    <w:rsid w:val="00C4293F"/>
    <w:rsid w:val="00C42FB9"/>
    <w:rsid w:val="00C458EC"/>
    <w:rsid w:val="00C46144"/>
    <w:rsid w:val="00C46459"/>
    <w:rsid w:val="00C46D9C"/>
    <w:rsid w:val="00C513DC"/>
    <w:rsid w:val="00C5149B"/>
    <w:rsid w:val="00C51E28"/>
    <w:rsid w:val="00C53DC5"/>
    <w:rsid w:val="00C55220"/>
    <w:rsid w:val="00C55251"/>
    <w:rsid w:val="00C55442"/>
    <w:rsid w:val="00C564B4"/>
    <w:rsid w:val="00C5693E"/>
    <w:rsid w:val="00C578B8"/>
    <w:rsid w:val="00C579E1"/>
    <w:rsid w:val="00C601C0"/>
    <w:rsid w:val="00C6086E"/>
    <w:rsid w:val="00C61C6D"/>
    <w:rsid w:val="00C623FA"/>
    <w:rsid w:val="00C6255A"/>
    <w:rsid w:val="00C62CE8"/>
    <w:rsid w:val="00C643E5"/>
    <w:rsid w:val="00C64811"/>
    <w:rsid w:val="00C64DA1"/>
    <w:rsid w:val="00C6621D"/>
    <w:rsid w:val="00C664F2"/>
    <w:rsid w:val="00C667D9"/>
    <w:rsid w:val="00C71AA2"/>
    <w:rsid w:val="00C720FA"/>
    <w:rsid w:val="00C72204"/>
    <w:rsid w:val="00C72CA6"/>
    <w:rsid w:val="00C740D1"/>
    <w:rsid w:val="00C74670"/>
    <w:rsid w:val="00C74805"/>
    <w:rsid w:val="00C74C16"/>
    <w:rsid w:val="00C7501C"/>
    <w:rsid w:val="00C77100"/>
    <w:rsid w:val="00C77117"/>
    <w:rsid w:val="00C7763E"/>
    <w:rsid w:val="00C77C6A"/>
    <w:rsid w:val="00C8048B"/>
    <w:rsid w:val="00C8049C"/>
    <w:rsid w:val="00C80B0C"/>
    <w:rsid w:val="00C813A4"/>
    <w:rsid w:val="00C81858"/>
    <w:rsid w:val="00C81ED4"/>
    <w:rsid w:val="00C8287D"/>
    <w:rsid w:val="00C8388E"/>
    <w:rsid w:val="00C840B8"/>
    <w:rsid w:val="00C8420A"/>
    <w:rsid w:val="00C84858"/>
    <w:rsid w:val="00C85236"/>
    <w:rsid w:val="00C854B1"/>
    <w:rsid w:val="00C875D1"/>
    <w:rsid w:val="00C87A57"/>
    <w:rsid w:val="00C90A63"/>
    <w:rsid w:val="00C92732"/>
    <w:rsid w:val="00C937C7"/>
    <w:rsid w:val="00C93BDA"/>
    <w:rsid w:val="00C94B75"/>
    <w:rsid w:val="00C953A8"/>
    <w:rsid w:val="00C95DFE"/>
    <w:rsid w:val="00C9608A"/>
    <w:rsid w:val="00C96C9A"/>
    <w:rsid w:val="00C96F9A"/>
    <w:rsid w:val="00C97131"/>
    <w:rsid w:val="00C97276"/>
    <w:rsid w:val="00C97578"/>
    <w:rsid w:val="00CA1519"/>
    <w:rsid w:val="00CA1B89"/>
    <w:rsid w:val="00CA25AD"/>
    <w:rsid w:val="00CA26A1"/>
    <w:rsid w:val="00CA3367"/>
    <w:rsid w:val="00CA394B"/>
    <w:rsid w:val="00CA56FF"/>
    <w:rsid w:val="00CA6F65"/>
    <w:rsid w:val="00CA750B"/>
    <w:rsid w:val="00CA7B55"/>
    <w:rsid w:val="00CB036F"/>
    <w:rsid w:val="00CB192F"/>
    <w:rsid w:val="00CB2530"/>
    <w:rsid w:val="00CB2720"/>
    <w:rsid w:val="00CB2AF8"/>
    <w:rsid w:val="00CB3217"/>
    <w:rsid w:val="00CB3A06"/>
    <w:rsid w:val="00CB3AE4"/>
    <w:rsid w:val="00CB4396"/>
    <w:rsid w:val="00CB469E"/>
    <w:rsid w:val="00CB4931"/>
    <w:rsid w:val="00CB5650"/>
    <w:rsid w:val="00CB5D7E"/>
    <w:rsid w:val="00CB616D"/>
    <w:rsid w:val="00CB6740"/>
    <w:rsid w:val="00CB676F"/>
    <w:rsid w:val="00CB68BB"/>
    <w:rsid w:val="00CB7653"/>
    <w:rsid w:val="00CC072B"/>
    <w:rsid w:val="00CC07FF"/>
    <w:rsid w:val="00CC0868"/>
    <w:rsid w:val="00CC08DB"/>
    <w:rsid w:val="00CC09FA"/>
    <w:rsid w:val="00CC0C5E"/>
    <w:rsid w:val="00CC1387"/>
    <w:rsid w:val="00CC144C"/>
    <w:rsid w:val="00CC148A"/>
    <w:rsid w:val="00CC1BB4"/>
    <w:rsid w:val="00CC2FA4"/>
    <w:rsid w:val="00CC325E"/>
    <w:rsid w:val="00CC34CA"/>
    <w:rsid w:val="00CC3916"/>
    <w:rsid w:val="00CC3EBB"/>
    <w:rsid w:val="00CC4DC0"/>
    <w:rsid w:val="00CC4FE4"/>
    <w:rsid w:val="00CC558E"/>
    <w:rsid w:val="00CC5CC6"/>
    <w:rsid w:val="00CC5D2C"/>
    <w:rsid w:val="00CC5D6B"/>
    <w:rsid w:val="00CC5FE4"/>
    <w:rsid w:val="00CC61D7"/>
    <w:rsid w:val="00CC664E"/>
    <w:rsid w:val="00CC6F58"/>
    <w:rsid w:val="00CC7BDA"/>
    <w:rsid w:val="00CD0913"/>
    <w:rsid w:val="00CD1462"/>
    <w:rsid w:val="00CD16B6"/>
    <w:rsid w:val="00CD1B1C"/>
    <w:rsid w:val="00CD25AA"/>
    <w:rsid w:val="00CD30A9"/>
    <w:rsid w:val="00CD3C00"/>
    <w:rsid w:val="00CD3E0D"/>
    <w:rsid w:val="00CD3F07"/>
    <w:rsid w:val="00CD4002"/>
    <w:rsid w:val="00CD4008"/>
    <w:rsid w:val="00CD415D"/>
    <w:rsid w:val="00CD4949"/>
    <w:rsid w:val="00CD4981"/>
    <w:rsid w:val="00CD4AF6"/>
    <w:rsid w:val="00CD4C0F"/>
    <w:rsid w:val="00CD4DAE"/>
    <w:rsid w:val="00CD7AF1"/>
    <w:rsid w:val="00CE3E81"/>
    <w:rsid w:val="00CE4B0A"/>
    <w:rsid w:val="00CE4D8F"/>
    <w:rsid w:val="00CE5CE5"/>
    <w:rsid w:val="00CE5D0C"/>
    <w:rsid w:val="00CE718F"/>
    <w:rsid w:val="00CE7762"/>
    <w:rsid w:val="00CE7D3E"/>
    <w:rsid w:val="00CE7E42"/>
    <w:rsid w:val="00CF05A8"/>
    <w:rsid w:val="00CF27CE"/>
    <w:rsid w:val="00CF303D"/>
    <w:rsid w:val="00CF3DD0"/>
    <w:rsid w:val="00CF45B0"/>
    <w:rsid w:val="00CF46EA"/>
    <w:rsid w:val="00CF4E1A"/>
    <w:rsid w:val="00CF518C"/>
    <w:rsid w:val="00CF5A3E"/>
    <w:rsid w:val="00CF640C"/>
    <w:rsid w:val="00CF7942"/>
    <w:rsid w:val="00D000EC"/>
    <w:rsid w:val="00D001A7"/>
    <w:rsid w:val="00D00991"/>
    <w:rsid w:val="00D02478"/>
    <w:rsid w:val="00D0441F"/>
    <w:rsid w:val="00D04E3D"/>
    <w:rsid w:val="00D04E69"/>
    <w:rsid w:val="00D04FBC"/>
    <w:rsid w:val="00D060BB"/>
    <w:rsid w:val="00D062BB"/>
    <w:rsid w:val="00D07631"/>
    <w:rsid w:val="00D07A11"/>
    <w:rsid w:val="00D1170B"/>
    <w:rsid w:val="00D11FF8"/>
    <w:rsid w:val="00D122A8"/>
    <w:rsid w:val="00D131D3"/>
    <w:rsid w:val="00D14E55"/>
    <w:rsid w:val="00D14ED4"/>
    <w:rsid w:val="00D14F23"/>
    <w:rsid w:val="00D15429"/>
    <w:rsid w:val="00D1579F"/>
    <w:rsid w:val="00D158DA"/>
    <w:rsid w:val="00D15FC0"/>
    <w:rsid w:val="00D162F3"/>
    <w:rsid w:val="00D16465"/>
    <w:rsid w:val="00D16E5B"/>
    <w:rsid w:val="00D17A0F"/>
    <w:rsid w:val="00D17DE3"/>
    <w:rsid w:val="00D2210B"/>
    <w:rsid w:val="00D222C8"/>
    <w:rsid w:val="00D22485"/>
    <w:rsid w:val="00D2426F"/>
    <w:rsid w:val="00D2478F"/>
    <w:rsid w:val="00D24C91"/>
    <w:rsid w:val="00D24F0A"/>
    <w:rsid w:val="00D25073"/>
    <w:rsid w:val="00D25B48"/>
    <w:rsid w:val="00D25F0F"/>
    <w:rsid w:val="00D26DE1"/>
    <w:rsid w:val="00D27017"/>
    <w:rsid w:val="00D272AA"/>
    <w:rsid w:val="00D27464"/>
    <w:rsid w:val="00D274D6"/>
    <w:rsid w:val="00D30239"/>
    <w:rsid w:val="00D302AC"/>
    <w:rsid w:val="00D3045E"/>
    <w:rsid w:val="00D30682"/>
    <w:rsid w:val="00D3082D"/>
    <w:rsid w:val="00D31923"/>
    <w:rsid w:val="00D31BAD"/>
    <w:rsid w:val="00D32F28"/>
    <w:rsid w:val="00D332E1"/>
    <w:rsid w:val="00D3366D"/>
    <w:rsid w:val="00D336FD"/>
    <w:rsid w:val="00D33FA0"/>
    <w:rsid w:val="00D34900"/>
    <w:rsid w:val="00D34928"/>
    <w:rsid w:val="00D35C97"/>
    <w:rsid w:val="00D37134"/>
    <w:rsid w:val="00D40789"/>
    <w:rsid w:val="00D417B6"/>
    <w:rsid w:val="00D42005"/>
    <w:rsid w:val="00D42423"/>
    <w:rsid w:val="00D42701"/>
    <w:rsid w:val="00D4312B"/>
    <w:rsid w:val="00D43D65"/>
    <w:rsid w:val="00D457E4"/>
    <w:rsid w:val="00D45B89"/>
    <w:rsid w:val="00D45C97"/>
    <w:rsid w:val="00D4643E"/>
    <w:rsid w:val="00D464F2"/>
    <w:rsid w:val="00D46A50"/>
    <w:rsid w:val="00D474E8"/>
    <w:rsid w:val="00D47A2D"/>
    <w:rsid w:val="00D47E54"/>
    <w:rsid w:val="00D47F69"/>
    <w:rsid w:val="00D50BBC"/>
    <w:rsid w:val="00D50F2C"/>
    <w:rsid w:val="00D51B79"/>
    <w:rsid w:val="00D51E04"/>
    <w:rsid w:val="00D528EA"/>
    <w:rsid w:val="00D54258"/>
    <w:rsid w:val="00D54D85"/>
    <w:rsid w:val="00D550A0"/>
    <w:rsid w:val="00D55179"/>
    <w:rsid w:val="00D551BC"/>
    <w:rsid w:val="00D55446"/>
    <w:rsid w:val="00D57671"/>
    <w:rsid w:val="00D57DB8"/>
    <w:rsid w:val="00D613AB"/>
    <w:rsid w:val="00D615C1"/>
    <w:rsid w:val="00D620E7"/>
    <w:rsid w:val="00D625FD"/>
    <w:rsid w:val="00D62A3A"/>
    <w:rsid w:val="00D63502"/>
    <w:rsid w:val="00D63996"/>
    <w:rsid w:val="00D63EA9"/>
    <w:rsid w:val="00D64ADF"/>
    <w:rsid w:val="00D64CB4"/>
    <w:rsid w:val="00D64F92"/>
    <w:rsid w:val="00D64FA2"/>
    <w:rsid w:val="00D65D3B"/>
    <w:rsid w:val="00D66030"/>
    <w:rsid w:val="00D66E9E"/>
    <w:rsid w:val="00D70463"/>
    <w:rsid w:val="00D70922"/>
    <w:rsid w:val="00D7095D"/>
    <w:rsid w:val="00D70C98"/>
    <w:rsid w:val="00D70F2A"/>
    <w:rsid w:val="00D713BE"/>
    <w:rsid w:val="00D71FAA"/>
    <w:rsid w:val="00D7220E"/>
    <w:rsid w:val="00D726C6"/>
    <w:rsid w:val="00D72B25"/>
    <w:rsid w:val="00D72C0C"/>
    <w:rsid w:val="00D72C27"/>
    <w:rsid w:val="00D73015"/>
    <w:rsid w:val="00D732E4"/>
    <w:rsid w:val="00D7330A"/>
    <w:rsid w:val="00D74649"/>
    <w:rsid w:val="00D7478A"/>
    <w:rsid w:val="00D7518C"/>
    <w:rsid w:val="00D75831"/>
    <w:rsid w:val="00D75E9C"/>
    <w:rsid w:val="00D7612B"/>
    <w:rsid w:val="00D76CF5"/>
    <w:rsid w:val="00D77A43"/>
    <w:rsid w:val="00D8072C"/>
    <w:rsid w:val="00D808D8"/>
    <w:rsid w:val="00D80D49"/>
    <w:rsid w:val="00D80EE8"/>
    <w:rsid w:val="00D81DC6"/>
    <w:rsid w:val="00D831A4"/>
    <w:rsid w:val="00D836D9"/>
    <w:rsid w:val="00D8373B"/>
    <w:rsid w:val="00D83AD5"/>
    <w:rsid w:val="00D8424B"/>
    <w:rsid w:val="00D852E9"/>
    <w:rsid w:val="00D85BA4"/>
    <w:rsid w:val="00D85C9F"/>
    <w:rsid w:val="00D85DC2"/>
    <w:rsid w:val="00D85FDB"/>
    <w:rsid w:val="00D8689E"/>
    <w:rsid w:val="00D872E6"/>
    <w:rsid w:val="00D87561"/>
    <w:rsid w:val="00D90F8C"/>
    <w:rsid w:val="00D917BD"/>
    <w:rsid w:val="00D91DFF"/>
    <w:rsid w:val="00D93473"/>
    <w:rsid w:val="00D93AE7"/>
    <w:rsid w:val="00D943BA"/>
    <w:rsid w:val="00D94A64"/>
    <w:rsid w:val="00D9501B"/>
    <w:rsid w:val="00D955E3"/>
    <w:rsid w:val="00D95624"/>
    <w:rsid w:val="00D957A8"/>
    <w:rsid w:val="00D9588B"/>
    <w:rsid w:val="00D95951"/>
    <w:rsid w:val="00D96445"/>
    <w:rsid w:val="00D97A00"/>
    <w:rsid w:val="00D97A29"/>
    <w:rsid w:val="00D97ECF"/>
    <w:rsid w:val="00DA029D"/>
    <w:rsid w:val="00DA06C7"/>
    <w:rsid w:val="00DA0719"/>
    <w:rsid w:val="00DA12D1"/>
    <w:rsid w:val="00DA141C"/>
    <w:rsid w:val="00DA1913"/>
    <w:rsid w:val="00DA2245"/>
    <w:rsid w:val="00DA2E41"/>
    <w:rsid w:val="00DA3C13"/>
    <w:rsid w:val="00DA50CA"/>
    <w:rsid w:val="00DA600D"/>
    <w:rsid w:val="00DA6275"/>
    <w:rsid w:val="00DA65E3"/>
    <w:rsid w:val="00DA6B68"/>
    <w:rsid w:val="00DA7789"/>
    <w:rsid w:val="00DA7B43"/>
    <w:rsid w:val="00DB0522"/>
    <w:rsid w:val="00DB07D9"/>
    <w:rsid w:val="00DB0E5A"/>
    <w:rsid w:val="00DB10B5"/>
    <w:rsid w:val="00DB24FE"/>
    <w:rsid w:val="00DB26E2"/>
    <w:rsid w:val="00DB27EA"/>
    <w:rsid w:val="00DB3930"/>
    <w:rsid w:val="00DB395E"/>
    <w:rsid w:val="00DB3C96"/>
    <w:rsid w:val="00DB3D04"/>
    <w:rsid w:val="00DB4195"/>
    <w:rsid w:val="00DB43F2"/>
    <w:rsid w:val="00DB5220"/>
    <w:rsid w:val="00DB55F1"/>
    <w:rsid w:val="00DB5781"/>
    <w:rsid w:val="00DB5A5D"/>
    <w:rsid w:val="00DB5A97"/>
    <w:rsid w:val="00DB6C24"/>
    <w:rsid w:val="00DB6DE7"/>
    <w:rsid w:val="00DB785F"/>
    <w:rsid w:val="00DB7A11"/>
    <w:rsid w:val="00DB7AE0"/>
    <w:rsid w:val="00DB7B05"/>
    <w:rsid w:val="00DB7C4B"/>
    <w:rsid w:val="00DC052A"/>
    <w:rsid w:val="00DC10EF"/>
    <w:rsid w:val="00DC2594"/>
    <w:rsid w:val="00DC2AF1"/>
    <w:rsid w:val="00DC311E"/>
    <w:rsid w:val="00DC4017"/>
    <w:rsid w:val="00DC5C68"/>
    <w:rsid w:val="00DC69BA"/>
    <w:rsid w:val="00DC7126"/>
    <w:rsid w:val="00DC7645"/>
    <w:rsid w:val="00DD05AB"/>
    <w:rsid w:val="00DD0873"/>
    <w:rsid w:val="00DD0E7F"/>
    <w:rsid w:val="00DD13C9"/>
    <w:rsid w:val="00DD184B"/>
    <w:rsid w:val="00DD2F46"/>
    <w:rsid w:val="00DD3723"/>
    <w:rsid w:val="00DD37E3"/>
    <w:rsid w:val="00DD4116"/>
    <w:rsid w:val="00DD43AC"/>
    <w:rsid w:val="00DD4D99"/>
    <w:rsid w:val="00DD569C"/>
    <w:rsid w:val="00DD57F2"/>
    <w:rsid w:val="00DD6348"/>
    <w:rsid w:val="00DE088C"/>
    <w:rsid w:val="00DE0E16"/>
    <w:rsid w:val="00DE17FC"/>
    <w:rsid w:val="00DE24CF"/>
    <w:rsid w:val="00DE267A"/>
    <w:rsid w:val="00DE2B38"/>
    <w:rsid w:val="00DE2C54"/>
    <w:rsid w:val="00DE2D56"/>
    <w:rsid w:val="00DE3716"/>
    <w:rsid w:val="00DE37BC"/>
    <w:rsid w:val="00DE3835"/>
    <w:rsid w:val="00DE3D13"/>
    <w:rsid w:val="00DE42E3"/>
    <w:rsid w:val="00DE43A4"/>
    <w:rsid w:val="00DE47E5"/>
    <w:rsid w:val="00DE489C"/>
    <w:rsid w:val="00DE5018"/>
    <w:rsid w:val="00DE5A8E"/>
    <w:rsid w:val="00DE5E5D"/>
    <w:rsid w:val="00DE65EA"/>
    <w:rsid w:val="00DE6A84"/>
    <w:rsid w:val="00DE6E8C"/>
    <w:rsid w:val="00DE70AA"/>
    <w:rsid w:val="00DE791E"/>
    <w:rsid w:val="00DE7E7A"/>
    <w:rsid w:val="00DF03AA"/>
    <w:rsid w:val="00DF0578"/>
    <w:rsid w:val="00DF0BF4"/>
    <w:rsid w:val="00DF1085"/>
    <w:rsid w:val="00DF1B8F"/>
    <w:rsid w:val="00DF1F71"/>
    <w:rsid w:val="00DF27A2"/>
    <w:rsid w:val="00DF34F9"/>
    <w:rsid w:val="00DF469D"/>
    <w:rsid w:val="00DF4E30"/>
    <w:rsid w:val="00DF7DFD"/>
    <w:rsid w:val="00E00518"/>
    <w:rsid w:val="00E025AB"/>
    <w:rsid w:val="00E03FA1"/>
    <w:rsid w:val="00E04F26"/>
    <w:rsid w:val="00E051BA"/>
    <w:rsid w:val="00E056A1"/>
    <w:rsid w:val="00E05843"/>
    <w:rsid w:val="00E05D25"/>
    <w:rsid w:val="00E05E46"/>
    <w:rsid w:val="00E0620A"/>
    <w:rsid w:val="00E06A9A"/>
    <w:rsid w:val="00E10F1F"/>
    <w:rsid w:val="00E11039"/>
    <w:rsid w:val="00E12670"/>
    <w:rsid w:val="00E12F7A"/>
    <w:rsid w:val="00E13AD9"/>
    <w:rsid w:val="00E13FC5"/>
    <w:rsid w:val="00E14327"/>
    <w:rsid w:val="00E1629A"/>
    <w:rsid w:val="00E16D1D"/>
    <w:rsid w:val="00E170FE"/>
    <w:rsid w:val="00E17312"/>
    <w:rsid w:val="00E175D2"/>
    <w:rsid w:val="00E1782D"/>
    <w:rsid w:val="00E17A0A"/>
    <w:rsid w:val="00E17D51"/>
    <w:rsid w:val="00E17DB0"/>
    <w:rsid w:val="00E20004"/>
    <w:rsid w:val="00E21091"/>
    <w:rsid w:val="00E2136C"/>
    <w:rsid w:val="00E2281D"/>
    <w:rsid w:val="00E23FAB"/>
    <w:rsid w:val="00E24379"/>
    <w:rsid w:val="00E245DB"/>
    <w:rsid w:val="00E25373"/>
    <w:rsid w:val="00E26B68"/>
    <w:rsid w:val="00E26EC0"/>
    <w:rsid w:val="00E26EDF"/>
    <w:rsid w:val="00E27E12"/>
    <w:rsid w:val="00E3005E"/>
    <w:rsid w:val="00E313F6"/>
    <w:rsid w:val="00E31889"/>
    <w:rsid w:val="00E31B56"/>
    <w:rsid w:val="00E31D7F"/>
    <w:rsid w:val="00E32E7C"/>
    <w:rsid w:val="00E33CEE"/>
    <w:rsid w:val="00E345C3"/>
    <w:rsid w:val="00E347D6"/>
    <w:rsid w:val="00E355DB"/>
    <w:rsid w:val="00E358C6"/>
    <w:rsid w:val="00E36042"/>
    <w:rsid w:val="00E36206"/>
    <w:rsid w:val="00E369AA"/>
    <w:rsid w:val="00E36F7C"/>
    <w:rsid w:val="00E373A7"/>
    <w:rsid w:val="00E40752"/>
    <w:rsid w:val="00E407A6"/>
    <w:rsid w:val="00E40B30"/>
    <w:rsid w:val="00E412DB"/>
    <w:rsid w:val="00E41680"/>
    <w:rsid w:val="00E41769"/>
    <w:rsid w:val="00E41D49"/>
    <w:rsid w:val="00E42351"/>
    <w:rsid w:val="00E42773"/>
    <w:rsid w:val="00E42AF8"/>
    <w:rsid w:val="00E42B12"/>
    <w:rsid w:val="00E42D8B"/>
    <w:rsid w:val="00E4304C"/>
    <w:rsid w:val="00E43D7B"/>
    <w:rsid w:val="00E44579"/>
    <w:rsid w:val="00E4475D"/>
    <w:rsid w:val="00E44A69"/>
    <w:rsid w:val="00E44FCB"/>
    <w:rsid w:val="00E45953"/>
    <w:rsid w:val="00E46AA5"/>
    <w:rsid w:val="00E46DA4"/>
    <w:rsid w:val="00E4746D"/>
    <w:rsid w:val="00E47AD7"/>
    <w:rsid w:val="00E502F5"/>
    <w:rsid w:val="00E518D5"/>
    <w:rsid w:val="00E5284A"/>
    <w:rsid w:val="00E544AC"/>
    <w:rsid w:val="00E548E2"/>
    <w:rsid w:val="00E549B2"/>
    <w:rsid w:val="00E5561C"/>
    <w:rsid w:val="00E5566D"/>
    <w:rsid w:val="00E55A3F"/>
    <w:rsid w:val="00E55CC9"/>
    <w:rsid w:val="00E56069"/>
    <w:rsid w:val="00E56091"/>
    <w:rsid w:val="00E56151"/>
    <w:rsid w:val="00E56363"/>
    <w:rsid w:val="00E567AD"/>
    <w:rsid w:val="00E57172"/>
    <w:rsid w:val="00E607C9"/>
    <w:rsid w:val="00E6101D"/>
    <w:rsid w:val="00E614C3"/>
    <w:rsid w:val="00E619F6"/>
    <w:rsid w:val="00E61A3C"/>
    <w:rsid w:val="00E61D89"/>
    <w:rsid w:val="00E61DAF"/>
    <w:rsid w:val="00E61E3E"/>
    <w:rsid w:val="00E62981"/>
    <w:rsid w:val="00E62D15"/>
    <w:rsid w:val="00E63807"/>
    <w:rsid w:val="00E63D63"/>
    <w:rsid w:val="00E63DC1"/>
    <w:rsid w:val="00E64268"/>
    <w:rsid w:val="00E644D2"/>
    <w:rsid w:val="00E651D5"/>
    <w:rsid w:val="00E65208"/>
    <w:rsid w:val="00E65551"/>
    <w:rsid w:val="00E66488"/>
    <w:rsid w:val="00E665FF"/>
    <w:rsid w:val="00E66A18"/>
    <w:rsid w:val="00E67634"/>
    <w:rsid w:val="00E677D2"/>
    <w:rsid w:val="00E6798F"/>
    <w:rsid w:val="00E67A0E"/>
    <w:rsid w:val="00E70255"/>
    <w:rsid w:val="00E70C46"/>
    <w:rsid w:val="00E710EA"/>
    <w:rsid w:val="00E720A1"/>
    <w:rsid w:val="00E72C8B"/>
    <w:rsid w:val="00E7589B"/>
    <w:rsid w:val="00E7597B"/>
    <w:rsid w:val="00E75D31"/>
    <w:rsid w:val="00E76D65"/>
    <w:rsid w:val="00E80469"/>
    <w:rsid w:val="00E8184F"/>
    <w:rsid w:val="00E81F96"/>
    <w:rsid w:val="00E82B00"/>
    <w:rsid w:val="00E82FCC"/>
    <w:rsid w:val="00E83290"/>
    <w:rsid w:val="00E83E77"/>
    <w:rsid w:val="00E846EA"/>
    <w:rsid w:val="00E8471C"/>
    <w:rsid w:val="00E84799"/>
    <w:rsid w:val="00E84DEE"/>
    <w:rsid w:val="00E86668"/>
    <w:rsid w:val="00E876B4"/>
    <w:rsid w:val="00E9089C"/>
    <w:rsid w:val="00E912BA"/>
    <w:rsid w:val="00E91DED"/>
    <w:rsid w:val="00E92DFF"/>
    <w:rsid w:val="00E9332C"/>
    <w:rsid w:val="00E937ED"/>
    <w:rsid w:val="00E9470D"/>
    <w:rsid w:val="00E94B16"/>
    <w:rsid w:val="00E95F8E"/>
    <w:rsid w:val="00E96154"/>
    <w:rsid w:val="00E962FF"/>
    <w:rsid w:val="00E96F8E"/>
    <w:rsid w:val="00E9714C"/>
    <w:rsid w:val="00E97339"/>
    <w:rsid w:val="00EA2A8C"/>
    <w:rsid w:val="00EA3C96"/>
    <w:rsid w:val="00EA4276"/>
    <w:rsid w:val="00EA46E0"/>
    <w:rsid w:val="00EA4756"/>
    <w:rsid w:val="00EA4E6F"/>
    <w:rsid w:val="00EA4EE7"/>
    <w:rsid w:val="00EA4F61"/>
    <w:rsid w:val="00EA5A67"/>
    <w:rsid w:val="00EA6034"/>
    <w:rsid w:val="00EA60BC"/>
    <w:rsid w:val="00EA6120"/>
    <w:rsid w:val="00EA61D2"/>
    <w:rsid w:val="00EA650D"/>
    <w:rsid w:val="00EA6C8A"/>
    <w:rsid w:val="00EA7511"/>
    <w:rsid w:val="00EB0AE5"/>
    <w:rsid w:val="00EB14F8"/>
    <w:rsid w:val="00EB1A6A"/>
    <w:rsid w:val="00EB1B63"/>
    <w:rsid w:val="00EB2706"/>
    <w:rsid w:val="00EB2A48"/>
    <w:rsid w:val="00EB2EAE"/>
    <w:rsid w:val="00EB4036"/>
    <w:rsid w:val="00EB461D"/>
    <w:rsid w:val="00EB4F9A"/>
    <w:rsid w:val="00EB589D"/>
    <w:rsid w:val="00EB5E85"/>
    <w:rsid w:val="00EB5F1B"/>
    <w:rsid w:val="00EB6036"/>
    <w:rsid w:val="00EB61EB"/>
    <w:rsid w:val="00EB6722"/>
    <w:rsid w:val="00EB6CF8"/>
    <w:rsid w:val="00EC04AC"/>
    <w:rsid w:val="00EC0779"/>
    <w:rsid w:val="00EC07C1"/>
    <w:rsid w:val="00EC0FC6"/>
    <w:rsid w:val="00EC19E2"/>
    <w:rsid w:val="00EC277D"/>
    <w:rsid w:val="00EC3A42"/>
    <w:rsid w:val="00EC4333"/>
    <w:rsid w:val="00EC4716"/>
    <w:rsid w:val="00EC4D65"/>
    <w:rsid w:val="00EC63F4"/>
    <w:rsid w:val="00EC6966"/>
    <w:rsid w:val="00EC6C90"/>
    <w:rsid w:val="00EC6FC7"/>
    <w:rsid w:val="00EC6FE6"/>
    <w:rsid w:val="00ED01AF"/>
    <w:rsid w:val="00ED2144"/>
    <w:rsid w:val="00ED23D6"/>
    <w:rsid w:val="00ED2AF3"/>
    <w:rsid w:val="00ED2CCE"/>
    <w:rsid w:val="00ED2E3E"/>
    <w:rsid w:val="00ED2F7A"/>
    <w:rsid w:val="00ED2FC5"/>
    <w:rsid w:val="00ED43AA"/>
    <w:rsid w:val="00ED4A94"/>
    <w:rsid w:val="00ED4DB5"/>
    <w:rsid w:val="00ED57BB"/>
    <w:rsid w:val="00ED5894"/>
    <w:rsid w:val="00ED7742"/>
    <w:rsid w:val="00ED78F1"/>
    <w:rsid w:val="00ED7A40"/>
    <w:rsid w:val="00ED7BF3"/>
    <w:rsid w:val="00EE0395"/>
    <w:rsid w:val="00EE1B88"/>
    <w:rsid w:val="00EE26BD"/>
    <w:rsid w:val="00EE4016"/>
    <w:rsid w:val="00EE43FE"/>
    <w:rsid w:val="00EE4AD2"/>
    <w:rsid w:val="00EE4FB4"/>
    <w:rsid w:val="00EE5916"/>
    <w:rsid w:val="00EE5ADA"/>
    <w:rsid w:val="00EE67CD"/>
    <w:rsid w:val="00EE70B1"/>
    <w:rsid w:val="00EE7BFC"/>
    <w:rsid w:val="00EF04ED"/>
    <w:rsid w:val="00EF0D7C"/>
    <w:rsid w:val="00EF0ED8"/>
    <w:rsid w:val="00EF1396"/>
    <w:rsid w:val="00EF142B"/>
    <w:rsid w:val="00EF175F"/>
    <w:rsid w:val="00EF2093"/>
    <w:rsid w:val="00EF2FE1"/>
    <w:rsid w:val="00EF3454"/>
    <w:rsid w:val="00EF38F3"/>
    <w:rsid w:val="00EF46B6"/>
    <w:rsid w:val="00EF51D1"/>
    <w:rsid w:val="00EF5375"/>
    <w:rsid w:val="00EF5FD5"/>
    <w:rsid w:val="00F0006C"/>
    <w:rsid w:val="00F0022D"/>
    <w:rsid w:val="00F00A47"/>
    <w:rsid w:val="00F018A4"/>
    <w:rsid w:val="00F01B76"/>
    <w:rsid w:val="00F01E88"/>
    <w:rsid w:val="00F029E0"/>
    <w:rsid w:val="00F0376A"/>
    <w:rsid w:val="00F03C7D"/>
    <w:rsid w:val="00F03EE2"/>
    <w:rsid w:val="00F03FDC"/>
    <w:rsid w:val="00F0446B"/>
    <w:rsid w:val="00F04785"/>
    <w:rsid w:val="00F049CA"/>
    <w:rsid w:val="00F04C79"/>
    <w:rsid w:val="00F05885"/>
    <w:rsid w:val="00F0682C"/>
    <w:rsid w:val="00F0790A"/>
    <w:rsid w:val="00F07D4D"/>
    <w:rsid w:val="00F1000F"/>
    <w:rsid w:val="00F10095"/>
    <w:rsid w:val="00F102D2"/>
    <w:rsid w:val="00F1066E"/>
    <w:rsid w:val="00F10CA4"/>
    <w:rsid w:val="00F10EF3"/>
    <w:rsid w:val="00F11799"/>
    <w:rsid w:val="00F12AE0"/>
    <w:rsid w:val="00F12B2D"/>
    <w:rsid w:val="00F14223"/>
    <w:rsid w:val="00F14506"/>
    <w:rsid w:val="00F1486A"/>
    <w:rsid w:val="00F1490E"/>
    <w:rsid w:val="00F14959"/>
    <w:rsid w:val="00F14F05"/>
    <w:rsid w:val="00F158AF"/>
    <w:rsid w:val="00F17739"/>
    <w:rsid w:val="00F2022E"/>
    <w:rsid w:val="00F2035F"/>
    <w:rsid w:val="00F208E4"/>
    <w:rsid w:val="00F209E2"/>
    <w:rsid w:val="00F21414"/>
    <w:rsid w:val="00F218F8"/>
    <w:rsid w:val="00F21E7A"/>
    <w:rsid w:val="00F2325C"/>
    <w:rsid w:val="00F233FF"/>
    <w:rsid w:val="00F23BCA"/>
    <w:rsid w:val="00F242DC"/>
    <w:rsid w:val="00F24C2A"/>
    <w:rsid w:val="00F27A5B"/>
    <w:rsid w:val="00F309AF"/>
    <w:rsid w:val="00F3148C"/>
    <w:rsid w:val="00F32515"/>
    <w:rsid w:val="00F32548"/>
    <w:rsid w:val="00F32A5B"/>
    <w:rsid w:val="00F33C82"/>
    <w:rsid w:val="00F3426C"/>
    <w:rsid w:val="00F3452B"/>
    <w:rsid w:val="00F348E1"/>
    <w:rsid w:val="00F3492B"/>
    <w:rsid w:val="00F34C04"/>
    <w:rsid w:val="00F35B55"/>
    <w:rsid w:val="00F35C76"/>
    <w:rsid w:val="00F3638C"/>
    <w:rsid w:val="00F36850"/>
    <w:rsid w:val="00F36ABF"/>
    <w:rsid w:val="00F37408"/>
    <w:rsid w:val="00F3790D"/>
    <w:rsid w:val="00F37F05"/>
    <w:rsid w:val="00F41081"/>
    <w:rsid w:val="00F417D6"/>
    <w:rsid w:val="00F41AD5"/>
    <w:rsid w:val="00F41B78"/>
    <w:rsid w:val="00F42C96"/>
    <w:rsid w:val="00F42D52"/>
    <w:rsid w:val="00F438D7"/>
    <w:rsid w:val="00F43A1C"/>
    <w:rsid w:val="00F44064"/>
    <w:rsid w:val="00F445AC"/>
    <w:rsid w:val="00F45D5F"/>
    <w:rsid w:val="00F46B01"/>
    <w:rsid w:val="00F46DD5"/>
    <w:rsid w:val="00F47035"/>
    <w:rsid w:val="00F47707"/>
    <w:rsid w:val="00F47B16"/>
    <w:rsid w:val="00F50B26"/>
    <w:rsid w:val="00F510BC"/>
    <w:rsid w:val="00F520F5"/>
    <w:rsid w:val="00F523F2"/>
    <w:rsid w:val="00F5255C"/>
    <w:rsid w:val="00F53046"/>
    <w:rsid w:val="00F541AB"/>
    <w:rsid w:val="00F54426"/>
    <w:rsid w:val="00F54A41"/>
    <w:rsid w:val="00F54A76"/>
    <w:rsid w:val="00F54C3F"/>
    <w:rsid w:val="00F54EC3"/>
    <w:rsid w:val="00F5518E"/>
    <w:rsid w:val="00F554D7"/>
    <w:rsid w:val="00F557A4"/>
    <w:rsid w:val="00F560CA"/>
    <w:rsid w:val="00F56D28"/>
    <w:rsid w:val="00F574E6"/>
    <w:rsid w:val="00F57852"/>
    <w:rsid w:val="00F6012E"/>
    <w:rsid w:val="00F60941"/>
    <w:rsid w:val="00F61168"/>
    <w:rsid w:val="00F61482"/>
    <w:rsid w:val="00F61DC8"/>
    <w:rsid w:val="00F62697"/>
    <w:rsid w:val="00F63487"/>
    <w:rsid w:val="00F64E61"/>
    <w:rsid w:val="00F6558D"/>
    <w:rsid w:val="00F65A96"/>
    <w:rsid w:val="00F65FC9"/>
    <w:rsid w:val="00F664FB"/>
    <w:rsid w:val="00F66A8D"/>
    <w:rsid w:val="00F67249"/>
    <w:rsid w:val="00F674DC"/>
    <w:rsid w:val="00F7016A"/>
    <w:rsid w:val="00F701FB"/>
    <w:rsid w:val="00F70645"/>
    <w:rsid w:val="00F717FB"/>
    <w:rsid w:val="00F71BE0"/>
    <w:rsid w:val="00F724FA"/>
    <w:rsid w:val="00F7292C"/>
    <w:rsid w:val="00F730AB"/>
    <w:rsid w:val="00F736D6"/>
    <w:rsid w:val="00F73DCE"/>
    <w:rsid w:val="00F74774"/>
    <w:rsid w:val="00F75062"/>
    <w:rsid w:val="00F752AD"/>
    <w:rsid w:val="00F753F6"/>
    <w:rsid w:val="00F7559D"/>
    <w:rsid w:val="00F760B7"/>
    <w:rsid w:val="00F766EC"/>
    <w:rsid w:val="00F770E2"/>
    <w:rsid w:val="00F77585"/>
    <w:rsid w:val="00F778D4"/>
    <w:rsid w:val="00F811DA"/>
    <w:rsid w:val="00F81B4B"/>
    <w:rsid w:val="00F81E90"/>
    <w:rsid w:val="00F82BE9"/>
    <w:rsid w:val="00F83E36"/>
    <w:rsid w:val="00F840AD"/>
    <w:rsid w:val="00F848D4"/>
    <w:rsid w:val="00F852DC"/>
    <w:rsid w:val="00F85331"/>
    <w:rsid w:val="00F855D3"/>
    <w:rsid w:val="00F8572B"/>
    <w:rsid w:val="00F8679A"/>
    <w:rsid w:val="00F86F74"/>
    <w:rsid w:val="00F879C2"/>
    <w:rsid w:val="00F87EB8"/>
    <w:rsid w:val="00F9045D"/>
    <w:rsid w:val="00F9064E"/>
    <w:rsid w:val="00F90D95"/>
    <w:rsid w:val="00F90FCA"/>
    <w:rsid w:val="00F91B0B"/>
    <w:rsid w:val="00F92139"/>
    <w:rsid w:val="00F92208"/>
    <w:rsid w:val="00F932C8"/>
    <w:rsid w:val="00F9421C"/>
    <w:rsid w:val="00F942D9"/>
    <w:rsid w:val="00F9483D"/>
    <w:rsid w:val="00F94D91"/>
    <w:rsid w:val="00F967B2"/>
    <w:rsid w:val="00F97AB2"/>
    <w:rsid w:val="00F97EF0"/>
    <w:rsid w:val="00FA120D"/>
    <w:rsid w:val="00FA1222"/>
    <w:rsid w:val="00FA1428"/>
    <w:rsid w:val="00FA1689"/>
    <w:rsid w:val="00FA1A1F"/>
    <w:rsid w:val="00FA1C20"/>
    <w:rsid w:val="00FA2D50"/>
    <w:rsid w:val="00FA2F2C"/>
    <w:rsid w:val="00FA323C"/>
    <w:rsid w:val="00FA38CD"/>
    <w:rsid w:val="00FA410A"/>
    <w:rsid w:val="00FA41E9"/>
    <w:rsid w:val="00FA48C3"/>
    <w:rsid w:val="00FA59A5"/>
    <w:rsid w:val="00FA6A29"/>
    <w:rsid w:val="00FA6FF8"/>
    <w:rsid w:val="00FA7118"/>
    <w:rsid w:val="00FA78DA"/>
    <w:rsid w:val="00FB0BC1"/>
    <w:rsid w:val="00FB0F4E"/>
    <w:rsid w:val="00FB136C"/>
    <w:rsid w:val="00FB1575"/>
    <w:rsid w:val="00FB16D6"/>
    <w:rsid w:val="00FB245A"/>
    <w:rsid w:val="00FB2658"/>
    <w:rsid w:val="00FB2667"/>
    <w:rsid w:val="00FB27B6"/>
    <w:rsid w:val="00FB2DC3"/>
    <w:rsid w:val="00FB2EA7"/>
    <w:rsid w:val="00FB2EE8"/>
    <w:rsid w:val="00FB2F98"/>
    <w:rsid w:val="00FB3AFF"/>
    <w:rsid w:val="00FB3EE7"/>
    <w:rsid w:val="00FB3FC4"/>
    <w:rsid w:val="00FB3FC7"/>
    <w:rsid w:val="00FB43B5"/>
    <w:rsid w:val="00FB44D5"/>
    <w:rsid w:val="00FB45C1"/>
    <w:rsid w:val="00FB50A5"/>
    <w:rsid w:val="00FB5865"/>
    <w:rsid w:val="00FB5BC5"/>
    <w:rsid w:val="00FB5DAD"/>
    <w:rsid w:val="00FB5E87"/>
    <w:rsid w:val="00FB6B24"/>
    <w:rsid w:val="00FB6E44"/>
    <w:rsid w:val="00FB767E"/>
    <w:rsid w:val="00FB7B82"/>
    <w:rsid w:val="00FC0296"/>
    <w:rsid w:val="00FC02DA"/>
    <w:rsid w:val="00FC038E"/>
    <w:rsid w:val="00FC0391"/>
    <w:rsid w:val="00FC0E46"/>
    <w:rsid w:val="00FC0E4A"/>
    <w:rsid w:val="00FC15EE"/>
    <w:rsid w:val="00FC21AC"/>
    <w:rsid w:val="00FC2318"/>
    <w:rsid w:val="00FC2651"/>
    <w:rsid w:val="00FC2BD9"/>
    <w:rsid w:val="00FC340C"/>
    <w:rsid w:val="00FC37A4"/>
    <w:rsid w:val="00FC3D0D"/>
    <w:rsid w:val="00FC3DC3"/>
    <w:rsid w:val="00FC3FE3"/>
    <w:rsid w:val="00FC47FE"/>
    <w:rsid w:val="00FC491F"/>
    <w:rsid w:val="00FC4A10"/>
    <w:rsid w:val="00FC54F0"/>
    <w:rsid w:val="00FC5984"/>
    <w:rsid w:val="00FC59F2"/>
    <w:rsid w:val="00FC5F99"/>
    <w:rsid w:val="00FD022F"/>
    <w:rsid w:val="00FD026A"/>
    <w:rsid w:val="00FD0364"/>
    <w:rsid w:val="00FD0886"/>
    <w:rsid w:val="00FD1287"/>
    <w:rsid w:val="00FD16F7"/>
    <w:rsid w:val="00FD178E"/>
    <w:rsid w:val="00FD505E"/>
    <w:rsid w:val="00FD6371"/>
    <w:rsid w:val="00FD6821"/>
    <w:rsid w:val="00FD703F"/>
    <w:rsid w:val="00FD7BDC"/>
    <w:rsid w:val="00FD7C77"/>
    <w:rsid w:val="00FD7D22"/>
    <w:rsid w:val="00FE0E98"/>
    <w:rsid w:val="00FE101E"/>
    <w:rsid w:val="00FE1172"/>
    <w:rsid w:val="00FE163B"/>
    <w:rsid w:val="00FE17DD"/>
    <w:rsid w:val="00FE2590"/>
    <w:rsid w:val="00FE2F70"/>
    <w:rsid w:val="00FE3283"/>
    <w:rsid w:val="00FE32AE"/>
    <w:rsid w:val="00FE3378"/>
    <w:rsid w:val="00FE34F3"/>
    <w:rsid w:val="00FE6044"/>
    <w:rsid w:val="00FE6C56"/>
    <w:rsid w:val="00FE75AB"/>
    <w:rsid w:val="00FE7F7D"/>
    <w:rsid w:val="00FE7FC3"/>
    <w:rsid w:val="00FF004B"/>
    <w:rsid w:val="00FF034F"/>
    <w:rsid w:val="00FF0C4C"/>
    <w:rsid w:val="00FF19C7"/>
    <w:rsid w:val="00FF1B08"/>
    <w:rsid w:val="00FF29D9"/>
    <w:rsid w:val="00FF3150"/>
    <w:rsid w:val="00FF3982"/>
    <w:rsid w:val="00FF3F77"/>
    <w:rsid w:val="00FF4388"/>
    <w:rsid w:val="00FF44D8"/>
    <w:rsid w:val="00FF4954"/>
    <w:rsid w:val="00FF4C65"/>
    <w:rsid w:val="00FF5094"/>
    <w:rsid w:val="00FF55F1"/>
    <w:rsid w:val="00FF706F"/>
    <w:rsid w:val="00FF71EA"/>
    <w:rsid w:val="00FF7370"/>
    <w:rsid w:val="00FF737E"/>
    <w:rsid w:val="00FF73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styleId="BodyText">
    <w:name w:val="Body Text"/>
    <w:basedOn w:val="Normal"/>
    <w:link w:val="BodyTextChar"/>
    <w:uiPriority w:val="1"/>
    <w:qFormat/>
    <w:rsid w:val="00B51101"/>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BodyTextChar">
    <w:name w:val="Body Text Char"/>
    <w:basedOn w:val="DefaultParagraphFont"/>
    <w:link w:val="BodyText"/>
    <w:uiPriority w:val="1"/>
    <w:rsid w:val="00B51101"/>
    <w:rPr>
      <w:rFonts w:ascii="Times New Roman" w:eastAsiaTheme="minorEastAsia" w:hAnsi="Times New Roman" w:cs="Times New Roman"/>
      <w:sz w:val="24"/>
      <w:szCs w:val="24"/>
      <w:lang w:val="en-GB" w:eastAsia="en-GB"/>
    </w:rPr>
  </w:style>
  <w:style w:type="table" w:styleId="TableGrid">
    <w:name w:val="Table Grid"/>
    <w:basedOn w:val="TableNormal"/>
    <w:uiPriority w:val="39"/>
    <w:rsid w:val="00E90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c">
    <w:name w:val="mc"/>
    <w:basedOn w:val="DefaultParagraphFont"/>
    <w:rsid w:val="00E13FC5"/>
  </w:style>
  <w:style w:type="character" w:customStyle="1" w:styleId="UnresolvedMention">
    <w:name w:val="Unresolved Mention"/>
    <w:basedOn w:val="DefaultParagraphFont"/>
    <w:uiPriority w:val="99"/>
    <w:semiHidden/>
    <w:unhideWhenUsed/>
    <w:rsid w:val="006A0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CB303-4121-4FB3-9B0B-8C67D9E8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7237</Words>
  <Characters>41254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Mokone</cp:lastModifiedBy>
  <cp:revision>2</cp:revision>
  <cp:lastPrinted>2023-06-16T07:01:00Z</cp:lastPrinted>
  <dcterms:created xsi:type="dcterms:W3CDTF">2023-07-06T07:49:00Z</dcterms:created>
  <dcterms:modified xsi:type="dcterms:W3CDTF">2023-07-06T07:49:00Z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4a51715b9535a0f1e20ecbe07ac9df6641a0d3d450c9e4e7750ab7ba507be8c4</vt:lpwstr>
  </property>
</Properties>
</file>