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690BDC" w14:textId="26ED1B53" w:rsidR="00775EC0" w:rsidRPr="006A3BF7" w:rsidRDefault="00696F14" w:rsidP="00C05135">
      <w:pPr>
        <w:tabs>
          <w:tab w:val="left" w:pos="851"/>
          <w:tab w:val="left" w:pos="1701"/>
          <w:tab w:val="left" w:pos="2694"/>
          <w:tab w:val="right" w:pos="8595"/>
        </w:tabs>
        <w:spacing w:before="360" w:after="0" w:line="240" w:lineRule="auto"/>
        <w:contextualSpacing/>
        <w:jc w:val="center"/>
        <w:rPr>
          <w:b/>
          <w:sz w:val="24"/>
        </w:rPr>
      </w:pPr>
      <w:r>
        <w:rPr>
          <w:noProof/>
          <w:sz w:val="24"/>
          <w:lang w:val="en-US"/>
        </w:rPr>
        <w:drawing>
          <wp:inline distT="0" distB="0" distL="0" distR="0" wp14:anchorId="7831708F" wp14:editId="52CD3EC0">
            <wp:extent cx="981075" cy="981075"/>
            <wp:effectExtent l="0" t="0" r="0" b="0"/>
            <wp:docPr id="1" name="Picture 2" descr="Description: cid:image001.png@01D076AF.8E67B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image001.png@01D076AF.8E67B5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1075" cy="981075"/>
                    </a:xfrm>
                    <a:prstGeom prst="rect">
                      <a:avLst/>
                    </a:prstGeom>
                    <a:noFill/>
                    <a:ln>
                      <a:noFill/>
                    </a:ln>
                  </pic:spPr>
                </pic:pic>
              </a:graphicData>
            </a:graphic>
          </wp:inline>
        </w:drawing>
      </w:r>
    </w:p>
    <w:p w14:paraId="29F8A767" w14:textId="77777777" w:rsidR="00C05135" w:rsidRPr="006A3BF7" w:rsidRDefault="00C05135" w:rsidP="00C05135">
      <w:pPr>
        <w:tabs>
          <w:tab w:val="left" w:pos="851"/>
          <w:tab w:val="left" w:pos="1701"/>
          <w:tab w:val="left" w:pos="2694"/>
          <w:tab w:val="right" w:pos="8595"/>
        </w:tabs>
        <w:spacing w:before="360" w:after="0" w:line="240" w:lineRule="auto"/>
        <w:contextualSpacing/>
        <w:jc w:val="center"/>
        <w:rPr>
          <w:sz w:val="24"/>
        </w:rPr>
      </w:pPr>
      <w:r w:rsidRPr="006A3BF7">
        <w:rPr>
          <w:b/>
          <w:sz w:val="24"/>
        </w:rPr>
        <w:t>IN THE HIGH COURT OF SOUTH AFRICA</w:t>
      </w:r>
    </w:p>
    <w:p w14:paraId="433AE1E6" w14:textId="77777777" w:rsidR="00C05135" w:rsidRPr="006A3BF7" w:rsidRDefault="00C05135" w:rsidP="00C05135">
      <w:pPr>
        <w:tabs>
          <w:tab w:val="left" w:pos="851"/>
          <w:tab w:val="left" w:pos="1701"/>
          <w:tab w:val="left" w:pos="2694"/>
          <w:tab w:val="right" w:pos="8595"/>
        </w:tabs>
        <w:spacing w:before="360" w:after="0" w:line="240" w:lineRule="auto"/>
        <w:contextualSpacing/>
        <w:jc w:val="center"/>
        <w:rPr>
          <w:sz w:val="24"/>
        </w:rPr>
      </w:pPr>
      <w:r w:rsidRPr="006A3BF7">
        <w:rPr>
          <w:sz w:val="24"/>
        </w:rPr>
        <w:t>(GAUTENG DIVISION, PRETORIA)</w:t>
      </w:r>
    </w:p>
    <w:p w14:paraId="44F91955" w14:textId="77777777" w:rsidR="00C05135" w:rsidRPr="006A3BF7" w:rsidRDefault="00C05135" w:rsidP="00C05135">
      <w:pPr>
        <w:tabs>
          <w:tab w:val="left" w:pos="851"/>
          <w:tab w:val="left" w:pos="1701"/>
          <w:tab w:val="left" w:pos="2694"/>
          <w:tab w:val="right" w:pos="8595"/>
        </w:tabs>
        <w:spacing w:before="360" w:after="0" w:line="240" w:lineRule="auto"/>
        <w:contextualSpacing/>
        <w:jc w:val="center"/>
        <w:rPr>
          <w:sz w:val="24"/>
        </w:rPr>
      </w:pPr>
    </w:p>
    <w:p w14:paraId="234DB77C" w14:textId="08823451" w:rsidR="0042480A" w:rsidRPr="006A3BF7" w:rsidRDefault="00FE59B2" w:rsidP="00C05135">
      <w:pPr>
        <w:tabs>
          <w:tab w:val="left" w:pos="851"/>
          <w:tab w:val="left" w:pos="1701"/>
          <w:tab w:val="left" w:pos="2694"/>
          <w:tab w:val="right" w:pos="8595"/>
        </w:tabs>
        <w:spacing w:before="360" w:after="0" w:line="240" w:lineRule="auto"/>
        <w:contextualSpacing/>
        <w:jc w:val="right"/>
        <w:rPr>
          <w:sz w:val="24"/>
        </w:rPr>
      </w:pPr>
      <w:r>
        <w:rPr>
          <w:noProof/>
          <w:lang w:val="en-US"/>
        </w:rPr>
        <mc:AlternateContent>
          <mc:Choice Requires="wps">
            <w:drawing>
              <wp:anchor distT="0" distB="0" distL="114300" distR="114300" simplePos="0" relativeHeight="251657728" behindDoc="0" locked="0" layoutInCell="1" allowOverlap="1" wp14:anchorId="5A872BCE" wp14:editId="72ECFBBB">
                <wp:simplePos x="0" y="0"/>
                <wp:positionH relativeFrom="column">
                  <wp:posOffset>-113030</wp:posOffset>
                </wp:positionH>
                <wp:positionV relativeFrom="paragraph">
                  <wp:posOffset>21590</wp:posOffset>
                </wp:positionV>
                <wp:extent cx="2769235" cy="883920"/>
                <wp:effectExtent l="0" t="0" r="12065" b="114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9235" cy="883920"/>
                        </a:xfrm>
                        <a:prstGeom prst="rect">
                          <a:avLst/>
                        </a:prstGeom>
                        <a:solidFill>
                          <a:srgbClr val="FFFFFF"/>
                        </a:solidFill>
                        <a:ln w="9525">
                          <a:solidFill>
                            <a:srgbClr val="000000"/>
                          </a:solidFill>
                          <a:miter lim="800000"/>
                          <a:headEnd/>
                          <a:tailEnd/>
                        </a:ln>
                      </wps:spPr>
                      <wps:txbx>
                        <w:txbxContent>
                          <w:p w14:paraId="274FA8F1" w14:textId="67F0E03E" w:rsidR="003D3EF1" w:rsidRPr="00AE48BA" w:rsidRDefault="006C4312" w:rsidP="006C4312">
                            <w:pPr>
                              <w:tabs>
                                <w:tab w:val="left" w:pos="900"/>
                              </w:tabs>
                              <w:spacing w:after="0" w:line="240" w:lineRule="auto"/>
                              <w:ind w:left="900" w:hanging="720"/>
                              <w:rPr>
                                <w:rFonts w:ascii="Century Gothic" w:hAnsi="Century Gothic"/>
                                <w:sz w:val="16"/>
                                <w:szCs w:val="19"/>
                              </w:rPr>
                            </w:pPr>
                            <w:r w:rsidRPr="00AE48BA">
                              <w:rPr>
                                <w:rFonts w:ascii="Century Gothic" w:hAnsi="Century Gothic"/>
                                <w:sz w:val="16"/>
                                <w:szCs w:val="19"/>
                              </w:rPr>
                              <w:t>(1)</w:t>
                            </w:r>
                            <w:r w:rsidRPr="00AE48BA">
                              <w:rPr>
                                <w:rFonts w:ascii="Century Gothic" w:hAnsi="Century Gothic"/>
                                <w:sz w:val="16"/>
                                <w:szCs w:val="19"/>
                              </w:rPr>
                              <w:tab/>
                            </w:r>
                            <w:r w:rsidR="003D3EF1" w:rsidRPr="00AE48BA">
                              <w:rPr>
                                <w:rFonts w:ascii="Century Gothic" w:hAnsi="Century Gothic"/>
                                <w:sz w:val="16"/>
                                <w:szCs w:val="19"/>
                              </w:rPr>
                              <w:t>REPORTABLE: YES/NO</w:t>
                            </w:r>
                          </w:p>
                          <w:p w14:paraId="3610F427" w14:textId="47B78EDF" w:rsidR="003D3EF1" w:rsidRPr="00AE48BA" w:rsidRDefault="006C4312" w:rsidP="006C4312">
                            <w:pPr>
                              <w:tabs>
                                <w:tab w:val="left" w:pos="900"/>
                              </w:tabs>
                              <w:spacing w:after="0" w:line="240" w:lineRule="auto"/>
                              <w:ind w:left="900" w:hanging="720"/>
                              <w:rPr>
                                <w:rFonts w:ascii="Century Gothic" w:hAnsi="Century Gothic"/>
                                <w:sz w:val="16"/>
                                <w:szCs w:val="19"/>
                              </w:rPr>
                            </w:pPr>
                            <w:r w:rsidRPr="00AE48BA">
                              <w:rPr>
                                <w:rFonts w:ascii="Century Gothic" w:hAnsi="Century Gothic"/>
                                <w:sz w:val="16"/>
                                <w:szCs w:val="19"/>
                              </w:rPr>
                              <w:t>(2)</w:t>
                            </w:r>
                            <w:r w:rsidRPr="00AE48BA">
                              <w:rPr>
                                <w:rFonts w:ascii="Century Gothic" w:hAnsi="Century Gothic"/>
                                <w:sz w:val="16"/>
                                <w:szCs w:val="19"/>
                              </w:rPr>
                              <w:tab/>
                            </w:r>
                            <w:r w:rsidR="003D3EF1" w:rsidRPr="00AE48BA">
                              <w:rPr>
                                <w:rFonts w:ascii="Century Gothic" w:hAnsi="Century Gothic"/>
                                <w:sz w:val="16"/>
                                <w:szCs w:val="19"/>
                              </w:rPr>
                              <w:t>OF INTEREST TO OTHER JUDGES: YES/NO</w:t>
                            </w:r>
                          </w:p>
                          <w:p w14:paraId="43734466" w14:textId="2E56819F" w:rsidR="003D3EF1" w:rsidRPr="00AE48BA" w:rsidRDefault="006C4312" w:rsidP="006C4312">
                            <w:pPr>
                              <w:tabs>
                                <w:tab w:val="left" w:pos="900"/>
                              </w:tabs>
                              <w:spacing w:after="0" w:line="240" w:lineRule="auto"/>
                              <w:ind w:left="900" w:hanging="720"/>
                              <w:rPr>
                                <w:rFonts w:ascii="Century Gothic" w:hAnsi="Century Gothic"/>
                                <w:sz w:val="16"/>
                                <w:szCs w:val="19"/>
                              </w:rPr>
                            </w:pPr>
                            <w:r w:rsidRPr="00AE48BA">
                              <w:rPr>
                                <w:rFonts w:ascii="Century Gothic" w:hAnsi="Century Gothic"/>
                                <w:sz w:val="16"/>
                                <w:szCs w:val="19"/>
                              </w:rPr>
                              <w:t>(3)</w:t>
                            </w:r>
                            <w:r w:rsidRPr="00AE48BA">
                              <w:rPr>
                                <w:rFonts w:ascii="Century Gothic" w:hAnsi="Century Gothic"/>
                                <w:sz w:val="16"/>
                                <w:szCs w:val="19"/>
                              </w:rPr>
                              <w:tab/>
                            </w:r>
                            <w:r w:rsidR="003D3EF1" w:rsidRPr="00AE48BA">
                              <w:rPr>
                                <w:rFonts w:ascii="Century Gothic" w:hAnsi="Century Gothic"/>
                                <w:sz w:val="16"/>
                                <w:szCs w:val="19"/>
                              </w:rPr>
                              <w:t xml:space="preserve">REVISED. </w:t>
                            </w:r>
                          </w:p>
                          <w:p w14:paraId="3813DACA" w14:textId="77777777" w:rsidR="003D3EF1" w:rsidRPr="00AE48BA" w:rsidRDefault="003D3EF1" w:rsidP="00775EC0">
                            <w:pPr>
                              <w:spacing w:after="0" w:line="240" w:lineRule="auto"/>
                              <w:rPr>
                                <w:rFonts w:ascii="Century Gothic" w:hAnsi="Century Gothic"/>
                                <w:b/>
                                <w:sz w:val="16"/>
                                <w:szCs w:val="19"/>
                              </w:rPr>
                            </w:pPr>
                          </w:p>
                          <w:p w14:paraId="6CBD5A23" w14:textId="77777777" w:rsidR="003D3EF1" w:rsidRPr="00AE48BA" w:rsidRDefault="003D3EF1" w:rsidP="00775EC0">
                            <w:pPr>
                              <w:spacing w:after="0" w:line="240" w:lineRule="auto"/>
                              <w:rPr>
                                <w:rFonts w:ascii="Century Gothic" w:hAnsi="Century Gothic"/>
                                <w:b/>
                                <w:sz w:val="16"/>
                                <w:szCs w:val="19"/>
                              </w:rPr>
                            </w:pPr>
                            <w:r w:rsidRPr="00AE48BA">
                              <w:rPr>
                                <w:rFonts w:ascii="Century Gothic" w:hAnsi="Century Gothic"/>
                                <w:b/>
                                <w:sz w:val="16"/>
                                <w:szCs w:val="19"/>
                              </w:rPr>
                              <w:t xml:space="preserve">         ……………………..</w:t>
                            </w:r>
                            <w:r w:rsidRPr="00AE48BA">
                              <w:rPr>
                                <w:rFonts w:ascii="Century Gothic" w:hAnsi="Century Gothic"/>
                                <w:b/>
                                <w:sz w:val="16"/>
                                <w:szCs w:val="19"/>
                              </w:rPr>
                              <w:tab/>
                              <w:t>………………………...</w:t>
                            </w:r>
                          </w:p>
                          <w:p w14:paraId="3737D9FD" w14:textId="77777777" w:rsidR="003D3EF1" w:rsidRPr="00AE48BA" w:rsidRDefault="003D3EF1" w:rsidP="00775EC0">
                            <w:pPr>
                              <w:spacing w:after="0" w:line="240" w:lineRule="auto"/>
                              <w:rPr>
                                <w:rFonts w:ascii="Century Gothic" w:hAnsi="Century Gothic"/>
                                <w:sz w:val="16"/>
                                <w:szCs w:val="19"/>
                              </w:rPr>
                            </w:pPr>
                            <w:r w:rsidRPr="00AE48BA">
                              <w:rPr>
                                <w:rFonts w:ascii="Century Gothic" w:hAnsi="Century Gothic"/>
                                <w:sz w:val="16"/>
                                <w:szCs w:val="19"/>
                              </w:rPr>
                              <w:t xml:space="preserve">                   DATE</w:t>
                            </w:r>
                            <w:r w:rsidRPr="00AE48BA">
                              <w:rPr>
                                <w:rFonts w:ascii="Century Gothic" w:hAnsi="Century Gothic"/>
                                <w:sz w:val="16"/>
                                <w:szCs w:val="19"/>
                              </w:rPr>
                              <w:tab/>
                            </w:r>
                            <w:r w:rsidRPr="00AE48BA">
                              <w:rPr>
                                <w:rFonts w:ascii="Century Gothic" w:hAnsi="Century Gothic"/>
                                <w:sz w:val="16"/>
                                <w:szCs w:val="19"/>
                              </w:rPr>
                              <w:tab/>
                            </w:r>
                            <w:r w:rsidR="00AE48BA">
                              <w:rPr>
                                <w:rFonts w:ascii="Century Gothic" w:hAnsi="Century Gothic"/>
                                <w:sz w:val="16"/>
                                <w:szCs w:val="19"/>
                              </w:rPr>
                              <w:t xml:space="preserve">       </w:t>
                            </w:r>
                            <w:r w:rsidRPr="00AE48BA">
                              <w:rPr>
                                <w:rFonts w:ascii="Century Gothic" w:hAnsi="Century Gothic"/>
                                <w:sz w:val="16"/>
                                <w:szCs w:val="19"/>
                              </w:rPr>
                              <w:t>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872BCE" id="_x0000_t202" coordsize="21600,21600" o:spt="202" path="m,l,21600r21600,l21600,xe">
                <v:stroke joinstyle="miter"/>
                <v:path gradientshapeok="t" o:connecttype="rect"/>
              </v:shapetype>
              <v:shape id="Text Box 2" o:spid="_x0000_s1026" type="#_x0000_t202" style="position:absolute;left:0;text-align:left;margin-left:-8.9pt;margin-top:1.7pt;width:218.05pt;height:69.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">
                <v:textbox>
                  <w:txbxContent>
                    <w:p w14:paraId="274FA8F1" w14:textId="67F0E03E" w:rsidR="003D3EF1" w:rsidRPr="00AE48BA" w:rsidRDefault="006C4312" w:rsidP="006C4312">
                      <w:pPr>
                        <w:tabs>
                          <w:tab w:val="left" w:pos="900"/>
                        </w:tabs>
                        <w:spacing w:after="0" w:line="240" w:lineRule="auto"/>
                        <w:ind w:left="900" w:hanging="720"/>
                        <w:rPr>
                          <w:rFonts w:ascii="Century Gothic" w:hAnsi="Century Gothic"/>
                          <w:sz w:val="16"/>
                          <w:szCs w:val="19"/>
                        </w:rPr>
                      </w:pPr>
                      <w:r w:rsidRPr="00AE48BA">
                        <w:rPr>
                          <w:rFonts w:ascii="Century Gothic" w:hAnsi="Century Gothic"/>
                          <w:sz w:val="16"/>
                          <w:szCs w:val="19"/>
                        </w:rPr>
                        <w:t>(1)</w:t>
                      </w:r>
                      <w:r w:rsidRPr="00AE48BA">
                        <w:rPr>
                          <w:rFonts w:ascii="Century Gothic" w:hAnsi="Century Gothic"/>
                          <w:sz w:val="16"/>
                          <w:szCs w:val="19"/>
                        </w:rPr>
                        <w:tab/>
                      </w:r>
                      <w:r w:rsidR="003D3EF1" w:rsidRPr="00AE48BA">
                        <w:rPr>
                          <w:rFonts w:ascii="Century Gothic" w:hAnsi="Century Gothic"/>
                          <w:sz w:val="16"/>
                          <w:szCs w:val="19"/>
                        </w:rPr>
                        <w:t>REPORTABLE: YES/NO</w:t>
                      </w:r>
                    </w:p>
                    <w:p w14:paraId="3610F427" w14:textId="47B78EDF" w:rsidR="003D3EF1" w:rsidRPr="00AE48BA" w:rsidRDefault="006C4312" w:rsidP="006C4312">
                      <w:pPr>
                        <w:tabs>
                          <w:tab w:val="left" w:pos="900"/>
                        </w:tabs>
                        <w:spacing w:after="0" w:line="240" w:lineRule="auto"/>
                        <w:ind w:left="900" w:hanging="720"/>
                        <w:rPr>
                          <w:rFonts w:ascii="Century Gothic" w:hAnsi="Century Gothic"/>
                          <w:sz w:val="16"/>
                          <w:szCs w:val="19"/>
                        </w:rPr>
                      </w:pPr>
                      <w:r w:rsidRPr="00AE48BA">
                        <w:rPr>
                          <w:rFonts w:ascii="Century Gothic" w:hAnsi="Century Gothic"/>
                          <w:sz w:val="16"/>
                          <w:szCs w:val="19"/>
                        </w:rPr>
                        <w:t>(2)</w:t>
                      </w:r>
                      <w:r w:rsidRPr="00AE48BA">
                        <w:rPr>
                          <w:rFonts w:ascii="Century Gothic" w:hAnsi="Century Gothic"/>
                          <w:sz w:val="16"/>
                          <w:szCs w:val="19"/>
                        </w:rPr>
                        <w:tab/>
                      </w:r>
                      <w:r w:rsidR="003D3EF1" w:rsidRPr="00AE48BA">
                        <w:rPr>
                          <w:rFonts w:ascii="Century Gothic" w:hAnsi="Century Gothic"/>
                          <w:sz w:val="16"/>
                          <w:szCs w:val="19"/>
                        </w:rPr>
                        <w:t>OF INTEREST TO OTHER JUDGES: YES/NO</w:t>
                      </w:r>
                    </w:p>
                    <w:p w14:paraId="43734466" w14:textId="2E56819F" w:rsidR="003D3EF1" w:rsidRPr="00AE48BA" w:rsidRDefault="006C4312" w:rsidP="006C4312">
                      <w:pPr>
                        <w:tabs>
                          <w:tab w:val="left" w:pos="900"/>
                        </w:tabs>
                        <w:spacing w:after="0" w:line="240" w:lineRule="auto"/>
                        <w:ind w:left="900" w:hanging="720"/>
                        <w:rPr>
                          <w:rFonts w:ascii="Century Gothic" w:hAnsi="Century Gothic"/>
                          <w:sz w:val="16"/>
                          <w:szCs w:val="19"/>
                        </w:rPr>
                      </w:pPr>
                      <w:r w:rsidRPr="00AE48BA">
                        <w:rPr>
                          <w:rFonts w:ascii="Century Gothic" w:hAnsi="Century Gothic"/>
                          <w:sz w:val="16"/>
                          <w:szCs w:val="19"/>
                        </w:rPr>
                        <w:t>(3)</w:t>
                      </w:r>
                      <w:r w:rsidRPr="00AE48BA">
                        <w:rPr>
                          <w:rFonts w:ascii="Century Gothic" w:hAnsi="Century Gothic"/>
                          <w:sz w:val="16"/>
                          <w:szCs w:val="19"/>
                        </w:rPr>
                        <w:tab/>
                      </w:r>
                      <w:r w:rsidR="003D3EF1" w:rsidRPr="00AE48BA">
                        <w:rPr>
                          <w:rFonts w:ascii="Century Gothic" w:hAnsi="Century Gothic"/>
                          <w:sz w:val="16"/>
                          <w:szCs w:val="19"/>
                        </w:rPr>
                        <w:t xml:space="preserve">REVISED. </w:t>
                      </w:r>
                    </w:p>
                    <w:p w14:paraId="3813DACA" w14:textId="77777777" w:rsidR="003D3EF1" w:rsidRPr="00AE48BA" w:rsidRDefault="003D3EF1" w:rsidP="00775EC0">
                      <w:pPr>
                        <w:spacing w:after="0" w:line="240" w:lineRule="auto"/>
                        <w:rPr>
                          <w:rFonts w:ascii="Century Gothic" w:hAnsi="Century Gothic"/>
                          <w:b/>
                          <w:sz w:val="16"/>
                          <w:szCs w:val="19"/>
                        </w:rPr>
                      </w:pPr>
                    </w:p>
                    <w:p w14:paraId="6CBD5A23" w14:textId="77777777" w:rsidR="003D3EF1" w:rsidRPr="00AE48BA" w:rsidRDefault="003D3EF1" w:rsidP="00775EC0">
                      <w:pPr>
                        <w:spacing w:after="0" w:line="240" w:lineRule="auto"/>
                        <w:rPr>
                          <w:rFonts w:ascii="Century Gothic" w:hAnsi="Century Gothic"/>
                          <w:b/>
                          <w:sz w:val="16"/>
                          <w:szCs w:val="19"/>
                        </w:rPr>
                      </w:pPr>
                      <w:r w:rsidRPr="00AE48BA">
                        <w:rPr>
                          <w:rFonts w:ascii="Century Gothic" w:hAnsi="Century Gothic"/>
                          <w:b/>
                          <w:sz w:val="16"/>
                          <w:szCs w:val="19"/>
                        </w:rPr>
                        <w:t xml:space="preserve">         ……………………..</w:t>
                      </w:r>
                      <w:r w:rsidRPr="00AE48BA">
                        <w:rPr>
                          <w:rFonts w:ascii="Century Gothic" w:hAnsi="Century Gothic"/>
                          <w:b/>
                          <w:sz w:val="16"/>
                          <w:szCs w:val="19"/>
                        </w:rPr>
                        <w:tab/>
                        <w:t>………………………...</w:t>
                      </w:r>
                    </w:p>
                    <w:p w14:paraId="3737D9FD" w14:textId="77777777" w:rsidR="003D3EF1" w:rsidRPr="00AE48BA" w:rsidRDefault="003D3EF1" w:rsidP="00775EC0">
                      <w:pPr>
                        <w:spacing w:after="0" w:line="240" w:lineRule="auto"/>
                        <w:rPr>
                          <w:rFonts w:ascii="Century Gothic" w:hAnsi="Century Gothic"/>
                          <w:sz w:val="16"/>
                          <w:szCs w:val="19"/>
                        </w:rPr>
                      </w:pPr>
                      <w:r w:rsidRPr="00AE48BA">
                        <w:rPr>
                          <w:rFonts w:ascii="Century Gothic" w:hAnsi="Century Gothic"/>
                          <w:sz w:val="16"/>
                          <w:szCs w:val="19"/>
                        </w:rPr>
                        <w:t xml:space="preserve">                   DATE</w:t>
                      </w:r>
                      <w:r w:rsidRPr="00AE48BA">
                        <w:rPr>
                          <w:rFonts w:ascii="Century Gothic" w:hAnsi="Century Gothic"/>
                          <w:sz w:val="16"/>
                          <w:szCs w:val="19"/>
                        </w:rPr>
                        <w:tab/>
                      </w:r>
                      <w:r w:rsidRPr="00AE48BA">
                        <w:rPr>
                          <w:rFonts w:ascii="Century Gothic" w:hAnsi="Century Gothic"/>
                          <w:sz w:val="16"/>
                          <w:szCs w:val="19"/>
                        </w:rPr>
                        <w:tab/>
                      </w:r>
                      <w:r w:rsidR="00AE48BA">
                        <w:rPr>
                          <w:rFonts w:ascii="Century Gothic" w:hAnsi="Century Gothic"/>
                          <w:sz w:val="16"/>
                          <w:szCs w:val="19"/>
                        </w:rPr>
                        <w:t xml:space="preserve">       </w:t>
                      </w:r>
                      <w:r w:rsidRPr="00AE48BA">
                        <w:rPr>
                          <w:rFonts w:ascii="Century Gothic" w:hAnsi="Century Gothic"/>
                          <w:sz w:val="16"/>
                          <w:szCs w:val="19"/>
                        </w:rPr>
                        <w:t>SIGNATURE</w:t>
                      </w:r>
                    </w:p>
                  </w:txbxContent>
                </v:textbox>
              </v:shape>
            </w:pict>
          </mc:Fallback>
        </mc:AlternateContent>
      </w:r>
    </w:p>
    <w:p w14:paraId="7784CF35" w14:textId="77777777" w:rsidR="0042480A" w:rsidRPr="006A3BF7" w:rsidRDefault="0042480A" w:rsidP="00C05135">
      <w:pPr>
        <w:tabs>
          <w:tab w:val="left" w:pos="851"/>
          <w:tab w:val="left" w:pos="1701"/>
          <w:tab w:val="left" w:pos="2694"/>
          <w:tab w:val="right" w:pos="8595"/>
        </w:tabs>
        <w:spacing w:before="360" w:after="0" w:line="240" w:lineRule="auto"/>
        <w:contextualSpacing/>
        <w:jc w:val="right"/>
        <w:rPr>
          <w:sz w:val="24"/>
        </w:rPr>
      </w:pPr>
    </w:p>
    <w:p w14:paraId="3D0E292D" w14:textId="77777777" w:rsidR="0042480A" w:rsidRPr="006A3BF7" w:rsidRDefault="0042480A" w:rsidP="00C05135">
      <w:pPr>
        <w:tabs>
          <w:tab w:val="left" w:pos="851"/>
          <w:tab w:val="left" w:pos="1701"/>
          <w:tab w:val="left" w:pos="2694"/>
          <w:tab w:val="right" w:pos="8595"/>
        </w:tabs>
        <w:spacing w:before="360" w:after="0" w:line="240" w:lineRule="auto"/>
        <w:contextualSpacing/>
        <w:jc w:val="right"/>
        <w:rPr>
          <w:sz w:val="24"/>
        </w:rPr>
      </w:pPr>
    </w:p>
    <w:p w14:paraId="634E862D" w14:textId="6BD5E375" w:rsidR="00C05135" w:rsidRPr="006A3BF7" w:rsidRDefault="00AB2019" w:rsidP="00C05135">
      <w:pPr>
        <w:tabs>
          <w:tab w:val="left" w:pos="851"/>
          <w:tab w:val="left" w:pos="1701"/>
          <w:tab w:val="left" w:pos="2694"/>
          <w:tab w:val="right" w:pos="8595"/>
        </w:tabs>
        <w:spacing w:before="360" w:after="0" w:line="240" w:lineRule="auto"/>
        <w:contextualSpacing/>
        <w:jc w:val="right"/>
        <w:rPr>
          <w:b/>
          <w:sz w:val="24"/>
        </w:rPr>
      </w:pPr>
      <w:r w:rsidRPr="006A3BF7">
        <w:rPr>
          <w:b/>
          <w:sz w:val="24"/>
        </w:rPr>
        <w:t xml:space="preserve">Case No: </w:t>
      </w:r>
      <w:r w:rsidR="0073038F" w:rsidRPr="006A3BF7">
        <w:rPr>
          <w:b/>
          <w:bCs/>
          <w:sz w:val="24"/>
        </w:rPr>
        <w:t>56220/21</w:t>
      </w:r>
    </w:p>
    <w:p w14:paraId="567E5C97" w14:textId="77777777" w:rsidR="003D101A" w:rsidRPr="006A3BF7" w:rsidRDefault="003D101A" w:rsidP="00C05135">
      <w:pPr>
        <w:tabs>
          <w:tab w:val="left" w:pos="851"/>
          <w:tab w:val="left" w:pos="1701"/>
          <w:tab w:val="left" w:pos="2694"/>
          <w:tab w:val="right" w:pos="8595"/>
        </w:tabs>
        <w:spacing w:after="0" w:line="240" w:lineRule="auto"/>
        <w:contextualSpacing/>
        <w:jc w:val="both"/>
        <w:rPr>
          <w:b/>
          <w:sz w:val="24"/>
        </w:rPr>
      </w:pPr>
    </w:p>
    <w:p w14:paraId="48B2EA71" w14:textId="77777777" w:rsidR="005D49A0" w:rsidRPr="006A3BF7" w:rsidRDefault="005D49A0" w:rsidP="00C05135">
      <w:pPr>
        <w:tabs>
          <w:tab w:val="left" w:pos="851"/>
          <w:tab w:val="left" w:pos="1701"/>
          <w:tab w:val="left" w:pos="2694"/>
          <w:tab w:val="right" w:pos="8595"/>
        </w:tabs>
        <w:spacing w:after="0" w:line="240" w:lineRule="auto"/>
        <w:contextualSpacing/>
        <w:jc w:val="both"/>
        <w:rPr>
          <w:sz w:val="24"/>
        </w:rPr>
      </w:pPr>
    </w:p>
    <w:p w14:paraId="12D8C5DF" w14:textId="77777777" w:rsidR="00AE48BA" w:rsidRPr="006A3BF7" w:rsidRDefault="00AE48BA" w:rsidP="00C05135">
      <w:pPr>
        <w:tabs>
          <w:tab w:val="left" w:pos="851"/>
          <w:tab w:val="left" w:pos="1701"/>
          <w:tab w:val="left" w:pos="2694"/>
          <w:tab w:val="right" w:pos="8595"/>
        </w:tabs>
        <w:spacing w:after="0" w:line="240" w:lineRule="auto"/>
        <w:contextualSpacing/>
        <w:jc w:val="both"/>
        <w:rPr>
          <w:sz w:val="24"/>
        </w:rPr>
      </w:pPr>
    </w:p>
    <w:p w14:paraId="212BC72B" w14:textId="77777777" w:rsidR="00C05135" w:rsidRPr="006A3BF7" w:rsidRDefault="00C05135" w:rsidP="00C05135">
      <w:pPr>
        <w:tabs>
          <w:tab w:val="left" w:pos="851"/>
          <w:tab w:val="left" w:pos="1701"/>
          <w:tab w:val="left" w:pos="2694"/>
          <w:tab w:val="right" w:pos="8595"/>
        </w:tabs>
        <w:spacing w:after="0" w:line="240" w:lineRule="auto"/>
        <w:contextualSpacing/>
        <w:jc w:val="both"/>
        <w:rPr>
          <w:sz w:val="24"/>
        </w:rPr>
      </w:pPr>
      <w:r w:rsidRPr="006A3BF7">
        <w:rPr>
          <w:sz w:val="24"/>
        </w:rPr>
        <w:t>In the matter between:</w:t>
      </w:r>
    </w:p>
    <w:p w14:paraId="27847738" w14:textId="77777777" w:rsidR="00C05135" w:rsidRPr="006A3BF7" w:rsidRDefault="00C05135" w:rsidP="00C05135">
      <w:pPr>
        <w:tabs>
          <w:tab w:val="left" w:pos="851"/>
          <w:tab w:val="left" w:pos="1701"/>
          <w:tab w:val="left" w:pos="2694"/>
          <w:tab w:val="right" w:pos="8595"/>
        </w:tabs>
        <w:spacing w:after="0" w:line="240" w:lineRule="auto"/>
        <w:contextualSpacing/>
        <w:jc w:val="both"/>
        <w:rPr>
          <w:sz w:val="24"/>
        </w:rPr>
      </w:pPr>
    </w:p>
    <w:p w14:paraId="1FDE5478" w14:textId="77777777" w:rsidR="003D101A" w:rsidRPr="006A3BF7" w:rsidRDefault="003D101A" w:rsidP="00C05135">
      <w:pPr>
        <w:tabs>
          <w:tab w:val="left" w:pos="851"/>
          <w:tab w:val="left" w:pos="1701"/>
          <w:tab w:val="left" w:pos="2694"/>
          <w:tab w:val="right" w:pos="8595"/>
        </w:tabs>
        <w:spacing w:after="0" w:line="240" w:lineRule="auto"/>
        <w:contextualSpacing/>
        <w:jc w:val="both"/>
        <w:rPr>
          <w:sz w:val="24"/>
        </w:rPr>
      </w:pPr>
    </w:p>
    <w:p w14:paraId="2F5B511E" w14:textId="6E7F67A7" w:rsidR="00A61BA8" w:rsidRPr="006A3BF7" w:rsidRDefault="0073038F" w:rsidP="00C05135">
      <w:pPr>
        <w:tabs>
          <w:tab w:val="left" w:pos="851"/>
          <w:tab w:val="left" w:pos="1701"/>
          <w:tab w:val="left" w:pos="2694"/>
          <w:tab w:val="right" w:pos="8595"/>
        </w:tabs>
        <w:spacing w:after="0" w:line="240" w:lineRule="auto"/>
        <w:contextualSpacing/>
        <w:jc w:val="both"/>
        <w:rPr>
          <w:sz w:val="24"/>
        </w:rPr>
      </w:pPr>
      <w:r w:rsidRPr="006A3BF7">
        <w:rPr>
          <w:b/>
          <w:sz w:val="24"/>
          <w:lang w:val="en-US"/>
        </w:rPr>
        <w:t>YANLING INTERNATIONAL TRADE CC</w:t>
      </w:r>
      <w:r w:rsidR="00C47605" w:rsidRPr="006A3BF7">
        <w:rPr>
          <w:sz w:val="24"/>
        </w:rPr>
        <w:tab/>
      </w:r>
      <w:r w:rsidRPr="006A3BF7">
        <w:rPr>
          <w:sz w:val="24"/>
        </w:rPr>
        <w:t xml:space="preserve">Applicant </w:t>
      </w:r>
      <w:r w:rsidR="005D49A0" w:rsidRPr="006A3BF7">
        <w:rPr>
          <w:sz w:val="24"/>
        </w:rPr>
        <w:t xml:space="preserve"> </w:t>
      </w:r>
      <w:r w:rsidR="00F27635" w:rsidRPr="006A3BF7">
        <w:rPr>
          <w:b/>
          <w:sz w:val="24"/>
        </w:rPr>
        <w:tab/>
      </w:r>
      <w:r w:rsidR="00F27635" w:rsidRPr="006A3BF7">
        <w:rPr>
          <w:b/>
          <w:sz w:val="24"/>
        </w:rPr>
        <w:tab/>
      </w:r>
      <w:r w:rsidR="00AB2019" w:rsidRPr="006A3BF7">
        <w:rPr>
          <w:sz w:val="24"/>
        </w:rPr>
        <w:tab/>
      </w:r>
      <w:r w:rsidR="00B21C88" w:rsidRPr="006A3BF7">
        <w:rPr>
          <w:b/>
          <w:sz w:val="24"/>
        </w:rPr>
        <w:tab/>
      </w:r>
      <w:r w:rsidR="008721BB" w:rsidRPr="006A3BF7">
        <w:rPr>
          <w:sz w:val="24"/>
        </w:rPr>
        <w:tab/>
      </w:r>
    </w:p>
    <w:p w14:paraId="5D43B75A" w14:textId="77777777" w:rsidR="00C05135" w:rsidRPr="006A3BF7" w:rsidRDefault="00C05135" w:rsidP="00C05135">
      <w:pPr>
        <w:tabs>
          <w:tab w:val="left" w:pos="851"/>
          <w:tab w:val="left" w:pos="1701"/>
          <w:tab w:val="left" w:pos="2694"/>
          <w:tab w:val="right" w:pos="8595"/>
        </w:tabs>
        <w:spacing w:after="0" w:line="240" w:lineRule="auto"/>
        <w:contextualSpacing/>
        <w:jc w:val="both"/>
        <w:rPr>
          <w:sz w:val="24"/>
        </w:rPr>
      </w:pPr>
    </w:p>
    <w:p w14:paraId="09DDCE2B" w14:textId="77777777" w:rsidR="00C05135" w:rsidRPr="006A3BF7" w:rsidRDefault="00C05135" w:rsidP="00C05135">
      <w:pPr>
        <w:tabs>
          <w:tab w:val="left" w:pos="851"/>
          <w:tab w:val="left" w:pos="1701"/>
          <w:tab w:val="left" w:pos="2694"/>
          <w:tab w:val="right" w:pos="8595"/>
        </w:tabs>
        <w:spacing w:after="0" w:line="240" w:lineRule="auto"/>
        <w:contextualSpacing/>
        <w:jc w:val="both"/>
        <w:rPr>
          <w:sz w:val="24"/>
        </w:rPr>
      </w:pPr>
      <w:r w:rsidRPr="006A3BF7">
        <w:rPr>
          <w:sz w:val="24"/>
        </w:rPr>
        <w:t>and</w:t>
      </w:r>
    </w:p>
    <w:p w14:paraId="1D3AEC43" w14:textId="77777777" w:rsidR="008721BB" w:rsidRPr="006A3BF7" w:rsidRDefault="008721BB" w:rsidP="0020199D">
      <w:pPr>
        <w:tabs>
          <w:tab w:val="left" w:pos="851"/>
          <w:tab w:val="left" w:pos="1701"/>
          <w:tab w:val="left" w:pos="2694"/>
          <w:tab w:val="right" w:pos="8595"/>
        </w:tabs>
        <w:spacing w:after="0" w:line="240" w:lineRule="auto"/>
        <w:contextualSpacing/>
        <w:jc w:val="both"/>
        <w:rPr>
          <w:b/>
          <w:sz w:val="24"/>
        </w:rPr>
      </w:pPr>
    </w:p>
    <w:p w14:paraId="7886995B" w14:textId="1576CACC" w:rsidR="00B22F20" w:rsidRPr="006A3BF7" w:rsidRDefault="0073038F" w:rsidP="00AB2019">
      <w:pPr>
        <w:tabs>
          <w:tab w:val="left" w:pos="851"/>
          <w:tab w:val="left" w:pos="1701"/>
          <w:tab w:val="left" w:pos="2694"/>
          <w:tab w:val="right" w:pos="8595"/>
        </w:tabs>
        <w:spacing w:after="0" w:line="360" w:lineRule="auto"/>
        <w:contextualSpacing/>
        <w:jc w:val="both"/>
        <w:rPr>
          <w:sz w:val="24"/>
        </w:rPr>
      </w:pPr>
      <w:r w:rsidRPr="006A3BF7">
        <w:rPr>
          <w:b/>
          <w:sz w:val="24"/>
          <w:lang w:val="en-US"/>
        </w:rPr>
        <w:t>SOUTH AFRICAN RESERVE BANK</w:t>
      </w:r>
      <w:r w:rsidR="005D49A0" w:rsidRPr="006A3BF7">
        <w:rPr>
          <w:b/>
          <w:sz w:val="24"/>
        </w:rPr>
        <w:tab/>
      </w:r>
      <w:r w:rsidRPr="006A3BF7">
        <w:rPr>
          <w:sz w:val="24"/>
        </w:rPr>
        <w:t xml:space="preserve">Respondent </w:t>
      </w:r>
    </w:p>
    <w:p w14:paraId="5EB64226" w14:textId="371A97B1" w:rsidR="00AE48BA" w:rsidRPr="006A3BF7" w:rsidRDefault="00AE48BA" w:rsidP="00AB2019">
      <w:pPr>
        <w:tabs>
          <w:tab w:val="left" w:pos="851"/>
          <w:tab w:val="left" w:pos="1701"/>
          <w:tab w:val="left" w:pos="2694"/>
          <w:tab w:val="right" w:pos="8595"/>
        </w:tabs>
        <w:spacing w:after="0" w:line="360" w:lineRule="auto"/>
        <w:contextualSpacing/>
        <w:jc w:val="both"/>
        <w:rPr>
          <w:sz w:val="24"/>
        </w:rPr>
      </w:pPr>
    </w:p>
    <w:p w14:paraId="123A2C9B" w14:textId="5CCDFED6" w:rsidR="000E3544" w:rsidRPr="006A3BF7" w:rsidRDefault="000E3544" w:rsidP="00AB2019">
      <w:pPr>
        <w:tabs>
          <w:tab w:val="left" w:pos="851"/>
          <w:tab w:val="left" w:pos="1701"/>
          <w:tab w:val="left" w:pos="2694"/>
          <w:tab w:val="right" w:pos="8595"/>
        </w:tabs>
        <w:spacing w:after="0" w:line="360" w:lineRule="auto"/>
        <w:contextualSpacing/>
        <w:jc w:val="both"/>
        <w:rPr>
          <w:sz w:val="24"/>
        </w:rPr>
      </w:pPr>
    </w:p>
    <w:p w14:paraId="65B65159" w14:textId="5303CB1D" w:rsidR="000E3544" w:rsidRPr="006A3BF7" w:rsidRDefault="000E3544" w:rsidP="00AB2019">
      <w:pPr>
        <w:tabs>
          <w:tab w:val="left" w:pos="851"/>
          <w:tab w:val="left" w:pos="1701"/>
          <w:tab w:val="left" w:pos="2694"/>
          <w:tab w:val="right" w:pos="8595"/>
        </w:tabs>
        <w:spacing w:after="0" w:line="360" w:lineRule="auto"/>
        <w:contextualSpacing/>
        <w:jc w:val="both"/>
        <w:rPr>
          <w:sz w:val="24"/>
        </w:rPr>
      </w:pPr>
      <w:r w:rsidRPr="006A3BF7">
        <w:rPr>
          <w:b/>
          <w:bCs/>
          <w:sz w:val="24"/>
        </w:rPr>
        <w:t>Delivered:</w:t>
      </w:r>
      <w:r w:rsidRPr="006A3BF7">
        <w:rPr>
          <w:sz w:val="24"/>
        </w:rPr>
        <w:t xml:space="preserve">  This judgment was handed down electronically by circulation to the </w:t>
      </w:r>
      <w:r w:rsidR="00471A24">
        <w:rPr>
          <w:sz w:val="24"/>
        </w:rPr>
        <w:t xml:space="preserve">parties’ </w:t>
      </w:r>
      <w:r w:rsidRPr="006A3BF7">
        <w:rPr>
          <w:sz w:val="24"/>
        </w:rPr>
        <w:t>legal representatives by e-mail.  The date for the handing down of the judgment shall be deemed to be</w:t>
      </w:r>
      <w:r w:rsidR="00770F21">
        <w:rPr>
          <w:sz w:val="24"/>
        </w:rPr>
        <w:t xml:space="preserve"> </w:t>
      </w:r>
      <w:r w:rsidR="002B0ADC">
        <w:rPr>
          <w:sz w:val="24"/>
        </w:rPr>
        <w:t>1</w:t>
      </w:r>
      <w:r w:rsidR="00DB2E6C">
        <w:rPr>
          <w:sz w:val="24"/>
        </w:rPr>
        <w:t>3</w:t>
      </w:r>
      <w:r w:rsidR="00770F21">
        <w:rPr>
          <w:sz w:val="24"/>
        </w:rPr>
        <w:t xml:space="preserve"> February 2023.</w:t>
      </w:r>
    </w:p>
    <w:p w14:paraId="4046DD81" w14:textId="77777777" w:rsidR="000E3544" w:rsidRPr="006A3BF7" w:rsidRDefault="000E3544" w:rsidP="00AB2019">
      <w:pPr>
        <w:tabs>
          <w:tab w:val="left" w:pos="851"/>
          <w:tab w:val="left" w:pos="1701"/>
          <w:tab w:val="left" w:pos="2694"/>
          <w:tab w:val="right" w:pos="8595"/>
        </w:tabs>
        <w:spacing w:after="0" w:line="360" w:lineRule="auto"/>
        <w:contextualSpacing/>
        <w:jc w:val="both"/>
        <w:rPr>
          <w:sz w:val="24"/>
        </w:rPr>
      </w:pP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8595"/>
      </w:tblGrid>
      <w:tr w:rsidR="00C05135" w:rsidRPr="006A3BF7" w14:paraId="23D68F4F" w14:textId="77777777" w:rsidTr="009C5419">
        <w:tc>
          <w:tcPr>
            <w:tcW w:w="8811" w:type="dxa"/>
          </w:tcPr>
          <w:p w14:paraId="1114A305" w14:textId="77777777" w:rsidR="00C05135" w:rsidRPr="006A3BF7" w:rsidRDefault="00C05135" w:rsidP="000107FA">
            <w:pPr>
              <w:tabs>
                <w:tab w:val="left" w:pos="851"/>
                <w:tab w:val="left" w:pos="1701"/>
                <w:tab w:val="left" w:pos="2694"/>
                <w:tab w:val="right" w:pos="8595"/>
              </w:tabs>
              <w:spacing w:after="0" w:line="240" w:lineRule="auto"/>
              <w:contextualSpacing/>
              <w:jc w:val="both"/>
              <w:rPr>
                <w:sz w:val="24"/>
              </w:rPr>
            </w:pPr>
          </w:p>
          <w:p w14:paraId="5FBEA9EA" w14:textId="77777777" w:rsidR="00C05135" w:rsidRPr="006A3BF7" w:rsidRDefault="00F27635" w:rsidP="000107FA">
            <w:pPr>
              <w:tabs>
                <w:tab w:val="left" w:pos="851"/>
                <w:tab w:val="left" w:pos="1701"/>
                <w:tab w:val="left" w:pos="2694"/>
                <w:tab w:val="right" w:pos="8595"/>
              </w:tabs>
              <w:spacing w:after="0" w:line="240" w:lineRule="auto"/>
              <w:contextualSpacing/>
              <w:jc w:val="center"/>
              <w:rPr>
                <w:b/>
                <w:sz w:val="24"/>
              </w:rPr>
            </w:pPr>
            <w:r w:rsidRPr="006A3BF7">
              <w:rPr>
                <w:b/>
                <w:sz w:val="24"/>
              </w:rPr>
              <w:t>JUDGMENT</w:t>
            </w:r>
          </w:p>
          <w:p w14:paraId="30897191" w14:textId="77777777" w:rsidR="00C05135" w:rsidRPr="006A3BF7" w:rsidRDefault="00C05135" w:rsidP="000107FA">
            <w:pPr>
              <w:tabs>
                <w:tab w:val="left" w:pos="851"/>
                <w:tab w:val="left" w:pos="1701"/>
                <w:tab w:val="left" w:pos="2694"/>
                <w:tab w:val="right" w:pos="8595"/>
              </w:tabs>
              <w:spacing w:after="0" w:line="240" w:lineRule="auto"/>
              <w:contextualSpacing/>
              <w:jc w:val="both"/>
              <w:rPr>
                <w:sz w:val="24"/>
              </w:rPr>
            </w:pPr>
          </w:p>
        </w:tc>
      </w:tr>
    </w:tbl>
    <w:p w14:paraId="7944960C" w14:textId="77777777" w:rsidR="00C05135" w:rsidRPr="006A3BF7" w:rsidRDefault="00C05135" w:rsidP="00C05135">
      <w:pPr>
        <w:tabs>
          <w:tab w:val="left" w:pos="851"/>
          <w:tab w:val="left" w:pos="1701"/>
          <w:tab w:val="left" w:pos="2694"/>
          <w:tab w:val="right" w:pos="8595"/>
        </w:tabs>
        <w:spacing w:after="0" w:line="240" w:lineRule="auto"/>
        <w:contextualSpacing/>
        <w:jc w:val="both"/>
        <w:rPr>
          <w:sz w:val="24"/>
        </w:rPr>
      </w:pPr>
    </w:p>
    <w:p w14:paraId="481E6E80" w14:textId="77777777" w:rsidR="00302158" w:rsidRDefault="005D49A0" w:rsidP="00B22F20">
      <w:pPr>
        <w:tabs>
          <w:tab w:val="left" w:pos="851"/>
          <w:tab w:val="left" w:pos="1701"/>
          <w:tab w:val="left" w:pos="2694"/>
          <w:tab w:val="right" w:pos="8595"/>
        </w:tabs>
        <w:spacing w:before="280" w:after="280" w:line="480" w:lineRule="auto"/>
        <w:rPr>
          <w:b/>
          <w:sz w:val="24"/>
        </w:rPr>
      </w:pPr>
      <w:r w:rsidRPr="006A3BF7">
        <w:rPr>
          <w:b/>
          <w:sz w:val="24"/>
        </w:rPr>
        <w:t>LG KILMARTIN</w:t>
      </w:r>
      <w:r w:rsidR="00B22F20" w:rsidRPr="006A3BF7">
        <w:rPr>
          <w:b/>
          <w:sz w:val="24"/>
        </w:rPr>
        <w:t xml:space="preserve">, </w:t>
      </w:r>
      <w:r w:rsidRPr="006A3BF7">
        <w:rPr>
          <w:b/>
          <w:sz w:val="24"/>
        </w:rPr>
        <w:t>A</w:t>
      </w:r>
      <w:r w:rsidR="00B22F20" w:rsidRPr="006A3BF7">
        <w:rPr>
          <w:b/>
          <w:sz w:val="24"/>
        </w:rPr>
        <w:t>J</w:t>
      </w:r>
      <w:r w:rsidR="008C71F7" w:rsidRPr="006A3BF7">
        <w:rPr>
          <w:b/>
          <w:sz w:val="24"/>
        </w:rPr>
        <w:t>:</w:t>
      </w:r>
    </w:p>
    <w:p w14:paraId="573D4E15" w14:textId="2DA117EB" w:rsidR="006A13BD" w:rsidRPr="00302158" w:rsidRDefault="00302158" w:rsidP="00B22F20">
      <w:pPr>
        <w:tabs>
          <w:tab w:val="left" w:pos="851"/>
          <w:tab w:val="left" w:pos="1701"/>
          <w:tab w:val="left" w:pos="2694"/>
          <w:tab w:val="right" w:pos="8595"/>
        </w:tabs>
        <w:spacing w:before="280" w:after="280" w:line="480" w:lineRule="auto"/>
        <w:rPr>
          <w:sz w:val="24"/>
          <w:u w:val="single"/>
        </w:rPr>
      </w:pPr>
      <w:r w:rsidRPr="00302158">
        <w:rPr>
          <w:b/>
          <w:sz w:val="24"/>
          <w:u w:val="single"/>
        </w:rPr>
        <w:t>INTRODUCTION</w:t>
      </w:r>
      <w:r w:rsidR="00F0057C" w:rsidRPr="00302158">
        <w:rPr>
          <w:sz w:val="24"/>
          <w:u w:val="single"/>
        </w:rPr>
        <w:t xml:space="preserve"> </w:t>
      </w:r>
      <w:r w:rsidR="00B22F20" w:rsidRPr="00302158">
        <w:rPr>
          <w:sz w:val="24"/>
          <w:u w:val="single"/>
        </w:rPr>
        <w:t xml:space="preserve"> </w:t>
      </w:r>
    </w:p>
    <w:p w14:paraId="215430F0" w14:textId="274F755F" w:rsidR="00471A24" w:rsidRDefault="006C4312" w:rsidP="006C4312">
      <w:pPr>
        <w:tabs>
          <w:tab w:val="left" w:pos="0"/>
          <w:tab w:val="left" w:pos="1134"/>
          <w:tab w:val="left" w:pos="1985"/>
          <w:tab w:val="right" w:pos="8595"/>
        </w:tabs>
        <w:spacing w:before="400" w:after="400" w:line="480" w:lineRule="auto"/>
        <w:jc w:val="both"/>
        <w:rPr>
          <w:sz w:val="24"/>
        </w:rPr>
      </w:pPr>
      <w:r>
        <w:rPr>
          <w:sz w:val="24"/>
        </w:rPr>
        <w:t>[1]</w:t>
      </w:r>
      <w:r>
        <w:rPr>
          <w:sz w:val="24"/>
        </w:rPr>
        <w:tab/>
      </w:r>
      <w:r w:rsidR="00140158" w:rsidRPr="006A3BF7">
        <w:rPr>
          <w:sz w:val="24"/>
        </w:rPr>
        <w:t xml:space="preserve">This is an application by the Applicant, Yanling International Trade CC, for the review and setting aside of a decision taken by the Respondent, the South </w:t>
      </w:r>
      <w:r w:rsidR="00140158" w:rsidRPr="006A3BF7">
        <w:rPr>
          <w:sz w:val="24"/>
        </w:rPr>
        <w:lastRenderedPageBreak/>
        <w:t>African Reserve Bank, to forfeit an amount of R266 207.00 of the Applican</w:t>
      </w:r>
      <w:r w:rsidR="002903FC">
        <w:rPr>
          <w:sz w:val="24"/>
        </w:rPr>
        <w:t>t</w:t>
      </w:r>
      <w:r w:rsidR="002B0ADC">
        <w:rPr>
          <w:sz w:val="24"/>
        </w:rPr>
        <w:t>.</w:t>
      </w:r>
      <w:r w:rsidR="00CD4F3F">
        <w:rPr>
          <w:sz w:val="24"/>
        </w:rPr>
        <w:t xml:space="preserve">  </w:t>
      </w:r>
      <w:r w:rsidR="00C067A5">
        <w:rPr>
          <w:sz w:val="24"/>
        </w:rPr>
        <w:t>The Respondent alleges that, b</w:t>
      </w:r>
      <w:r w:rsidR="00CD4F3F">
        <w:rPr>
          <w:sz w:val="24"/>
        </w:rPr>
        <w:t xml:space="preserve">ased on investigations carried out by </w:t>
      </w:r>
      <w:r w:rsidR="00770F21">
        <w:rPr>
          <w:sz w:val="24"/>
        </w:rPr>
        <w:t xml:space="preserve">the </w:t>
      </w:r>
      <w:r w:rsidR="00CD4F3F">
        <w:rPr>
          <w:sz w:val="24"/>
        </w:rPr>
        <w:t>Financial Surveillance Department (“FinSurv”)</w:t>
      </w:r>
      <w:r w:rsidR="00C067A5">
        <w:rPr>
          <w:sz w:val="24"/>
        </w:rPr>
        <w:t>, i</w:t>
      </w:r>
      <w:r w:rsidR="00CD4F3F">
        <w:rPr>
          <w:sz w:val="24"/>
        </w:rPr>
        <w:t xml:space="preserve">t </w:t>
      </w:r>
      <w:r w:rsidR="00C067A5">
        <w:rPr>
          <w:sz w:val="24"/>
        </w:rPr>
        <w:t>had reasonable grounds to believe that the Applicant had committed and/or was a party to certain acts or omissions which constituted contraventions of the Exchange Control Regulations</w:t>
      </w:r>
      <w:r w:rsidR="00770F21">
        <w:rPr>
          <w:sz w:val="24"/>
        </w:rPr>
        <w:t xml:space="preserve"> (“the Regulations”)</w:t>
      </w:r>
      <w:r w:rsidR="00C067A5">
        <w:rPr>
          <w:sz w:val="24"/>
        </w:rPr>
        <w:t xml:space="preserve">, promulgated in terms of section 9 of the Currency and Exchanges Act, 9 of 1933 (“the </w:t>
      </w:r>
      <w:r w:rsidR="0090117E">
        <w:rPr>
          <w:sz w:val="24"/>
        </w:rPr>
        <w:t xml:space="preserve">Currency </w:t>
      </w:r>
      <w:r w:rsidR="00C067A5">
        <w:rPr>
          <w:sz w:val="24"/>
        </w:rPr>
        <w:t>Act”)</w:t>
      </w:r>
      <w:r w:rsidR="00770F21">
        <w:rPr>
          <w:sz w:val="24"/>
        </w:rPr>
        <w:t>.</w:t>
      </w:r>
      <w:r w:rsidR="00C067A5">
        <w:rPr>
          <w:sz w:val="24"/>
        </w:rPr>
        <w:t xml:space="preserve"> </w:t>
      </w:r>
    </w:p>
    <w:p w14:paraId="422B0216" w14:textId="4A6F34F5" w:rsidR="00302158" w:rsidRDefault="006C4312" w:rsidP="006C4312">
      <w:pPr>
        <w:tabs>
          <w:tab w:val="left" w:pos="0"/>
          <w:tab w:val="left" w:pos="1134"/>
          <w:tab w:val="left" w:pos="1985"/>
          <w:tab w:val="right" w:pos="8595"/>
        </w:tabs>
        <w:spacing w:before="400" w:after="400" w:line="480" w:lineRule="auto"/>
        <w:jc w:val="both"/>
        <w:rPr>
          <w:sz w:val="24"/>
        </w:rPr>
      </w:pPr>
      <w:r>
        <w:rPr>
          <w:sz w:val="24"/>
        </w:rPr>
        <w:t>[2]</w:t>
      </w:r>
      <w:r>
        <w:rPr>
          <w:sz w:val="24"/>
        </w:rPr>
        <w:tab/>
      </w:r>
      <w:r w:rsidR="00C067A5" w:rsidRPr="006A3BF7">
        <w:rPr>
          <w:sz w:val="24"/>
        </w:rPr>
        <w:t xml:space="preserve">The Applicant </w:t>
      </w:r>
      <w:r w:rsidR="00C067A5">
        <w:rPr>
          <w:sz w:val="24"/>
        </w:rPr>
        <w:t xml:space="preserve">denies </w:t>
      </w:r>
      <w:r w:rsidR="00C067A5" w:rsidRPr="006A3BF7">
        <w:rPr>
          <w:sz w:val="24"/>
        </w:rPr>
        <w:t>that</w:t>
      </w:r>
      <w:r w:rsidR="00C067A5">
        <w:rPr>
          <w:sz w:val="24"/>
        </w:rPr>
        <w:t xml:space="preserve"> </w:t>
      </w:r>
      <w:r w:rsidR="00C067A5" w:rsidRPr="002903FC">
        <w:rPr>
          <w:sz w:val="24"/>
        </w:rPr>
        <w:t>it contravene</w:t>
      </w:r>
      <w:r w:rsidR="00C067A5">
        <w:rPr>
          <w:sz w:val="24"/>
        </w:rPr>
        <w:t>d</w:t>
      </w:r>
      <w:r w:rsidR="00C067A5" w:rsidRPr="002903FC">
        <w:rPr>
          <w:sz w:val="24"/>
        </w:rPr>
        <w:t xml:space="preserve"> the Regulations</w:t>
      </w:r>
      <w:r w:rsidR="00C067A5">
        <w:rPr>
          <w:sz w:val="24"/>
        </w:rPr>
        <w:t xml:space="preserve"> and contends that </w:t>
      </w:r>
      <w:r w:rsidR="00C067A5" w:rsidRPr="002903FC">
        <w:rPr>
          <w:sz w:val="24"/>
        </w:rPr>
        <w:t>an official document published by the Respondent titled “</w:t>
      </w:r>
      <w:r w:rsidR="00C067A5" w:rsidRPr="002903FC">
        <w:rPr>
          <w:i/>
          <w:iCs/>
          <w:sz w:val="24"/>
        </w:rPr>
        <w:t>Currency and Exchanges Manual for Authorised Dealers</w:t>
      </w:r>
      <w:r w:rsidR="00C067A5" w:rsidRPr="002903FC">
        <w:rPr>
          <w:sz w:val="24"/>
        </w:rPr>
        <w:t xml:space="preserve">” dated </w:t>
      </w:r>
      <w:r w:rsidR="00770F21">
        <w:rPr>
          <w:sz w:val="24"/>
        </w:rPr>
        <w:t xml:space="preserve">8 July </w:t>
      </w:r>
      <w:r w:rsidR="00C067A5" w:rsidRPr="002903FC">
        <w:rPr>
          <w:sz w:val="24"/>
        </w:rPr>
        <w:t>2021 (“the SARB manual”) makes provision for the transfer of funds for the purpose that the Applicant did, namely for obtaining cutting dies and moulds</w:t>
      </w:r>
      <w:r w:rsidR="0043145F">
        <w:rPr>
          <w:sz w:val="24"/>
        </w:rPr>
        <w:t xml:space="preserve"> in an amount not exceeding R100 000.00</w:t>
      </w:r>
      <w:r w:rsidR="00C067A5">
        <w:rPr>
          <w:sz w:val="24"/>
        </w:rPr>
        <w:t>.</w:t>
      </w:r>
    </w:p>
    <w:p w14:paraId="411CB130" w14:textId="2E85943C" w:rsidR="00302158" w:rsidRPr="00302158" w:rsidRDefault="00302158" w:rsidP="00302158">
      <w:pPr>
        <w:tabs>
          <w:tab w:val="left" w:pos="0"/>
          <w:tab w:val="left" w:pos="1134"/>
          <w:tab w:val="left" w:pos="1985"/>
          <w:tab w:val="right" w:pos="8595"/>
        </w:tabs>
        <w:spacing w:before="400" w:after="400" w:line="480" w:lineRule="auto"/>
        <w:jc w:val="both"/>
        <w:rPr>
          <w:b/>
          <w:bCs/>
          <w:sz w:val="24"/>
          <w:u w:val="single"/>
        </w:rPr>
      </w:pPr>
      <w:r>
        <w:rPr>
          <w:b/>
          <w:bCs/>
          <w:sz w:val="24"/>
          <w:u w:val="single"/>
        </w:rPr>
        <w:t>THE RESPONDENT AND PURPOSE OF EXCHANGE CONTROL REGULATIONS</w:t>
      </w:r>
    </w:p>
    <w:p w14:paraId="5EC147E8" w14:textId="00294601" w:rsidR="00C067A5" w:rsidRDefault="006C4312" w:rsidP="006C4312">
      <w:pPr>
        <w:tabs>
          <w:tab w:val="left" w:pos="0"/>
          <w:tab w:val="left" w:pos="1134"/>
          <w:tab w:val="left" w:pos="1985"/>
          <w:tab w:val="right" w:pos="8595"/>
        </w:tabs>
        <w:spacing w:before="400" w:after="400" w:line="480" w:lineRule="auto"/>
        <w:jc w:val="both"/>
        <w:rPr>
          <w:sz w:val="24"/>
        </w:rPr>
      </w:pPr>
      <w:r>
        <w:rPr>
          <w:sz w:val="24"/>
        </w:rPr>
        <w:t>[3]</w:t>
      </w:r>
      <w:r>
        <w:rPr>
          <w:sz w:val="24"/>
        </w:rPr>
        <w:tab/>
      </w:r>
      <w:r w:rsidR="00C067A5">
        <w:rPr>
          <w:sz w:val="24"/>
        </w:rPr>
        <w:t>By way of background, t</w:t>
      </w:r>
      <w:r w:rsidR="00CD4F3F">
        <w:rPr>
          <w:sz w:val="24"/>
        </w:rPr>
        <w:t xml:space="preserve">he Respondent is the central bank of South Africa and was established in terms of section 9 of the Currency and Banking Act, 31 of 1920.  It is recognised in section 223 of the Constitution </w:t>
      </w:r>
      <w:r w:rsidR="002B0ADC">
        <w:rPr>
          <w:sz w:val="24"/>
        </w:rPr>
        <w:t xml:space="preserve">of the Republic of South Africa (“the Constitution”) </w:t>
      </w:r>
      <w:r w:rsidR="00CD4F3F">
        <w:rPr>
          <w:sz w:val="24"/>
        </w:rPr>
        <w:t xml:space="preserve">and is governed by the Constitution and South African Reserve Bank Act, 89 of 1990 (“the SARB Act”).  </w:t>
      </w:r>
    </w:p>
    <w:p w14:paraId="53F050AA" w14:textId="042E52C0" w:rsidR="0090117E" w:rsidRPr="006A3BF7" w:rsidRDefault="006C4312" w:rsidP="006C4312">
      <w:pPr>
        <w:tabs>
          <w:tab w:val="left" w:pos="0"/>
          <w:tab w:val="left" w:pos="1134"/>
          <w:tab w:val="left" w:pos="1985"/>
          <w:tab w:val="left" w:pos="2835"/>
          <w:tab w:val="right" w:pos="8595"/>
        </w:tabs>
        <w:spacing w:before="400" w:after="400" w:line="480" w:lineRule="auto"/>
        <w:jc w:val="both"/>
        <w:rPr>
          <w:sz w:val="24"/>
        </w:rPr>
      </w:pPr>
      <w:r w:rsidRPr="006A3BF7">
        <w:rPr>
          <w:sz w:val="24"/>
        </w:rPr>
        <w:t>[4]</w:t>
      </w:r>
      <w:r w:rsidRPr="006A3BF7">
        <w:rPr>
          <w:sz w:val="24"/>
        </w:rPr>
        <w:tab/>
      </w:r>
      <w:r w:rsidR="0090117E" w:rsidRPr="006A3BF7">
        <w:rPr>
          <w:sz w:val="24"/>
        </w:rPr>
        <w:t xml:space="preserve">Section 3 of the SARB Act details the </w:t>
      </w:r>
      <w:r w:rsidR="00770F21">
        <w:rPr>
          <w:sz w:val="24"/>
        </w:rPr>
        <w:t xml:space="preserve">Respondent’s </w:t>
      </w:r>
      <w:r w:rsidR="0090117E" w:rsidRPr="006A3BF7">
        <w:rPr>
          <w:sz w:val="24"/>
        </w:rPr>
        <w:t xml:space="preserve">legislative objectives, and it enjoins </w:t>
      </w:r>
      <w:r w:rsidR="00770F21">
        <w:rPr>
          <w:sz w:val="24"/>
        </w:rPr>
        <w:t>it t</w:t>
      </w:r>
      <w:r w:rsidR="0090117E" w:rsidRPr="006A3BF7">
        <w:rPr>
          <w:sz w:val="24"/>
        </w:rPr>
        <w:t>o do the following:</w:t>
      </w:r>
    </w:p>
    <w:p w14:paraId="45537D86" w14:textId="50419DFE" w:rsidR="0090117E" w:rsidRPr="0090117E" w:rsidRDefault="0090117E" w:rsidP="0090117E">
      <w:pPr>
        <w:tabs>
          <w:tab w:val="left" w:pos="1134"/>
          <w:tab w:val="left" w:pos="1985"/>
          <w:tab w:val="right" w:pos="8595"/>
        </w:tabs>
        <w:spacing w:before="400" w:after="400" w:line="360" w:lineRule="auto"/>
        <w:ind w:left="1134"/>
        <w:jc w:val="both"/>
        <w:rPr>
          <w:i/>
          <w:iCs/>
          <w:sz w:val="24"/>
        </w:rPr>
      </w:pPr>
      <w:r w:rsidRPr="0090117E">
        <w:rPr>
          <w:sz w:val="24"/>
        </w:rPr>
        <w:lastRenderedPageBreak/>
        <w:t>“</w:t>
      </w:r>
      <w:r w:rsidRPr="0090117E">
        <w:rPr>
          <w:i/>
          <w:sz w:val="24"/>
        </w:rPr>
        <w:t>In the exercise of its powers and the performance of its duties the Bank shall pursue as its primary objectives monetary stability and balanced economic growth in the Republic, and in order to achieve those objectives the Bank shall influence the total monetary demand in the economy through the exercise of control over the money supply and over the availability of credit</w:t>
      </w:r>
      <w:r w:rsidRPr="0090117E">
        <w:rPr>
          <w:sz w:val="24"/>
        </w:rPr>
        <w:t>”.</w:t>
      </w:r>
    </w:p>
    <w:p w14:paraId="7F884D7F" w14:textId="0C3C6654" w:rsidR="00C067A5" w:rsidRDefault="006C4312" w:rsidP="006C4312">
      <w:pPr>
        <w:tabs>
          <w:tab w:val="left" w:pos="0"/>
          <w:tab w:val="left" w:pos="1134"/>
          <w:tab w:val="left" w:pos="1985"/>
          <w:tab w:val="left" w:pos="2835"/>
          <w:tab w:val="right" w:pos="8595"/>
        </w:tabs>
        <w:spacing w:before="400" w:after="400" w:line="480" w:lineRule="auto"/>
        <w:jc w:val="both"/>
        <w:rPr>
          <w:sz w:val="24"/>
        </w:rPr>
      </w:pPr>
      <w:r>
        <w:rPr>
          <w:sz w:val="24"/>
        </w:rPr>
        <w:t>[5]</w:t>
      </w:r>
      <w:r>
        <w:rPr>
          <w:sz w:val="24"/>
        </w:rPr>
        <w:tab/>
      </w:r>
      <w:r w:rsidR="00CD4F3F">
        <w:rPr>
          <w:sz w:val="24"/>
        </w:rPr>
        <w:t>The primary object of the Respondent, which is set out in section 224(1) of the Constitution, “</w:t>
      </w:r>
      <w:r w:rsidR="00CD4F3F">
        <w:rPr>
          <w:i/>
          <w:iCs/>
          <w:sz w:val="24"/>
        </w:rPr>
        <w:t>is to protect the value of the currency in the interest of balanced and sustainable economic growth in the Republic</w:t>
      </w:r>
      <w:r w:rsidR="00CD4F3F">
        <w:rPr>
          <w:sz w:val="24"/>
        </w:rPr>
        <w:t xml:space="preserve">”.  Exchange controls are government-imposed limitations on the purchase and sale of foreign currencies.  They are used to ensure the stability of an economy and prevent exchange rate volatility. </w:t>
      </w:r>
    </w:p>
    <w:p w14:paraId="751F6781" w14:textId="67283314" w:rsidR="00C067A5" w:rsidRPr="006A3BF7" w:rsidRDefault="006C4312" w:rsidP="006C4312">
      <w:pPr>
        <w:tabs>
          <w:tab w:val="left" w:pos="0"/>
          <w:tab w:val="left" w:pos="1134"/>
          <w:tab w:val="left" w:pos="1985"/>
          <w:tab w:val="left" w:pos="2835"/>
          <w:tab w:val="right" w:pos="8595"/>
        </w:tabs>
        <w:spacing w:before="400" w:after="400" w:line="480" w:lineRule="auto"/>
        <w:jc w:val="both"/>
        <w:rPr>
          <w:sz w:val="24"/>
        </w:rPr>
      </w:pPr>
      <w:r w:rsidRPr="006A3BF7">
        <w:rPr>
          <w:sz w:val="24"/>
        </w:rPr>
        <w:t>[6]</w:t>
      </w:r>
      <w:r w:rsidRPr="006A3BF7">
        <w:rPr>
          <w:sz w:val="24"/>
        </w:rPr>
        <w:tab/>
      </w:r>
      <w:r w:rsidR="00C067A5">
        <w:rPr>
          <w:sz w:val="24"/>
        </w:rPr>
        <w:t xml:space="preserve">Both parties referred the Court to the matter of </w:t>
      </w:r>
      <w:r w:rsidR="00C067A5" w:rsidRPr="006A3BF7">
        <w:rPr>
          <w:i/>
          <w:iCs/>
          <w:sz w:val="24"/>
          <w:lang w:val="en-US"/>
        </w:rPr>
        <w:t>South African Reserve Bank and Another v Shuttleworth and Another</w:t>
      </w:r>
      <w:r w:rsidR="00C067A5" w:rsidRPr="006A3BF7">
        <w:rPr>
          <w:rStyle w:val="FootnoteReference"/>
          <w:rFonts w:cs="Arial"/>
          <w:sz w:val="24"/>
          <w:lang w:val="en-US"/>
        </w:rPr>
        <w:footnoteReference w:id="1"/>
      </w:r>
      <w:r w:rsidR="00C067A5" w:rsidRPr="006A3BF7">
        <w:rPr>
          <w:sz w:val="24"/>
          <w:lang w:val="en-US"/>
        </w:rPr>
        <w:t xml:space="preserve"> </w:t>
      </w:r>
      <w:r w:rsidR="00C067A5">
        <w:rPr>
          <w:sz w:val="24"/>
          <w:lang w:val="en-US"/>
        </w:rPr>
        <w:t xml:space="preserve">where </w:t>
      </w:r>
      <w:r w:rsidR="00C067A5" w:rsidRPr="006A3BF7">
        <w:rPr>
          <w:sz w:val="24"/>
          <w:lang w:val="en-US"/>
        </w:rPr>
        <w:t xml:space="preserve">the Constitutional Court explained the purpose of exchange control in the following terms: </w:t>
      </w:r>
    </w:p>
    <w:p w14:paraId="50D2C35D" w14:textId="77777777" w:rsidR="00C067A5" w:rsidRPr="00C067A5" w:rsidRDefault="00C067A5" w:rsidP="00C067A5">
      <w:pPr>
        <w:tabs>
          <w:tab w:val="left" w:pos="1134"/>
          <w:tab w:val="left" w:pos="1985"/>
          <w:tab w:val="right" w:pos="8595"/>
        </w:tabs>
        <w:spacing w:before="400" w:after="400" w:line="360" w:lineRule="auto"/>
        <w:ind w:left="1134"/>
        <w:jc w:val="both"/>
        <w:rPr>
          <w:i/>
          <w:iCs/>
          <w:sz w:val="24"/>
        </w:rPr>
      </w:pPr>
      <w:r w:rsidRPr="006A3BF7">
        <w:rPr>
          <w:sz w:val="24"/>
        </w:rPr>
        <w:t>“</w:t>
      </w:r>
      <w:r w:rsidRPr="006A3BF7">
        <w:rPr>
          <w:i/>
          <w:sz w:val="24"/>
        </w:rPr>
        <w:t xml:space="preserve">Here we are dealing with exchange control legislation. </w:t>
      </w:r>
      <w:r w:rsidRPr="00C067A5">
        <w:rPr>
          <w:i/>
          <w:sz w:val="24"/>
        </w:rPr>
        <w:t xml:space="preserve">Its avowed purpose was to curb or regulate the export of capital from the country. The very historic origins of the Act, in 1933, were in the midst of the 1929 Great Depression, pointing to a necessity to curb outflows of capital. The Regulations were then passed in the aftermath of the economic crises following the Sharpeville shootings in 1960. The domestic economy had to be shielded from capital flight. Regulation 10’s very heading is “Restriction on Export of Capital”. The measures were introduced and kept to shore up the country’s balance of payments position. The plain dominant purpose of the measure was to </w:t>
      </w:r>
      <w:r w:rsidRPr="00C067A5">
        <w:rPr>
          <w:i/>
          <w:sz w:val="24"/>
        </w:rPr>
        <w:lastRenderedPageBreak/>
        <w:t>regulate and discourage the export of capital and to protect the domestic economy.</w:t>
      </w:r>
    </w:p>
    <w:p w14:paraId="78E5FA47" w14:textId="1AE757FD" w:rsidR="00C067A5" w:rsidRDefault="00C067A5" w:rsidP="00C067A5">
      <w:pPr>
        <w:tabs>
          <w:tab w:val="left" w:pos="1134"/>
          <w:tab w:val="left" w:pos="1985"/>
          <w:tab w:val="right" w:pos="8595"/>
        </w:tabs>
        <w:spacing w:before="400" w:after="400" w:line="360" w:lineRule="auto"/>
        <w:ind w:left="1134"/>
        <w:jc w:val="both"/>
        <w:rPr>
          <w:sz w:val="24"/>
        </w:rPr>
      </w:pPr>
      <w:r w:rsidRPr="00C067A5">
        <w:rPr>
          <w:i/>
          <w:sz w:val="24"/>
        </w:rPr>
        <w:t>... [T]he exchange control system is designed to regulate capital outflows from the country. The fickle nature of the international financial environment required the exchange control system to allow for swift responses to economic changes. Exchange control provided a framework for the repatriation of foreign currencies acquired by South African residents into the South African banking system. The controls protected the South African economy against the ebb and flow of capital.</w:t>
      </w:r>
      <w:r w:rsidR="00132CE5">
        <w:rPr>
          <w:i/>
          <w:sz w:val="24"/>
        </w:rPr>
        <w:t xml:space="preserve">  One of these controls, which we are here dealing with specifically, served to prohibit the export of capital from the Republic (unless certain conditions were complied with).”</w:t>
      </w:r>
      <w:r w:rsidRPr="00C067A5">
        <w:rPr>
          <w:i/>
          <w:sz w:val="24"/>
        </w:rPr>
        <w:t xml:space="preserve"> </w:t>
      </w:r>
    </w:p>
    <w:p w14:paraId="3E606DB4" w14:textId="204276FF" w:rsidR="00302158" w:rsidRPr="00302158" w:rsidRDefault="00302158" w:rsidP="00302158">
      <w:pPr>
        <w:tabs>
          <w:tab w:val="left" w:pos="1134"/>
          <w:tab w:val="left" w:pos="1985"/>
          <w:tab w:val="right" w:pos="8595"/>
        </w:tabs>
        <w:spacing w:before="400" w:after="400" w:line="360" w:lineRule="auto"/>
        <w:jc w:val="both"/>
        <w:rPr>
          <w:b/>
          <w:bCs/>
          <w:sz w:val="24"/>
          <w:u w:val="single"/>
        </w:rPr>
      </w:pPr>
      <w:r w:rsidRPr="00302158">
        <w:rPr>
          <w:b/>
          <w:bCs/>
          <w:sz w:val="24"/>
          <w:u w:val="single"/>
        </w:rPr>
        <w:t>RELEVANT BACKGROUND FACTS</w:t>
      </w:r>
    </w:p>
    <w:p w14:paraId="01D9F56A" w14:textId="0747C39E" w:rsidR="002903FC" w:rsidRPr="002903FC" w:rsidRDefault="006C4312" w:rsidP="006C4312">
      <w:pPr>
        <w:tabs>
          <w:tab w:val="left" w:pos="0"/>
          <w:tab w:val="left" w:pos="1134"/>
          <w:tab w:val="left" w:pos="1985"/>
          <w:tab w:val="left" w:pos="2835"/>
          <w:tab w:val="right" w:pos="8595"/>
        </w:tabs>
        <w:spacing w:before="400" w:after="400" w:line="480" w:lineRule="auto"/>
        <w:jc w:val="both"/>
        <w:rPr>
          <w:sz w:val="24"/>
        </w:rPr>
      </w:pPr>
      <w:r w:rsidRPr="002903FC">
        <w:rPr>
          <w:sz w:val="24"/>
        </w:rPr>
        <w:t>[7]</w:t>
      </w:r>
      <w:r w:rsidRPr="002903FC">
        <w:rPr>
          <w:sz w:val="24"/>
        </w:rPr>
        <w:tab/>
      </w:r>
      <w:r w:rsidR="00302158">
        <w:rPr>
          <w:sz w:val="24"/>
        </w:rPr>
        <w:t>T</w:t>
      </w:r>
      <w:r w:rsidR="002903FC" w:rsidRPr="002903FC">
        <w:rPr>
          <w:sz w:val="24"/>
        </w:rPr>
        <w:t>he Applicant imports and exports commodities and, in 2016, entered into an agreement with a manufacturer called GNC Company Limited (“GNC”) in Hong Kong</w:t>
      </w:r>
      <w:r w:rsidR="002903FC">
        <w:rPr>
          <w:sz w:val="24"/>
        </w:rPr>
        <w:t xml:space="preserve"> (“the agreement”)</w:t>
      </w:r>
      <w:r w:rsidR="002903FC" w:rsidRPr="002903FC">
        <w:rPr>
          <w:sz w:val="24"/>
        </w:rPr>
        <w:t xml:space="preserve">. According to the Applicant, GNC agreed to design and produce wrapping boxes required by the Applicant based on precise specifications required by </w:t>
      </w:r>
      <w:r w:rsidR="002903FC">
        <w:rPr>
          <w:sz w:val="24"/>
        </w:rPr>
        <w:t>it.</w:t>
      </w:r>
    </w:p>
    <w:p w14:paraId="21A88D9F" w14:textId="47970280" w:rsidR="002903FC" w:rsidRPr="006A3BF7" w:rsidRDefault="006C4312" w:rsidP="006C4312">
      <w:pPr>
        <w:tabs>
          <w:tab w:val="left" w:pos="0"/>
          <w:tab w:val="left" w:pos="1134"/>
          <w:tab w:val="left" w:pos="1985"/>
          <w:tab w:val="left" w:pos="2835"/>
          <w:tab w:val="right" w:pos="8595"/>
        </w:tabs>
        <w:spacing w:before="400" w:after="400" w:line="480" w:lineRule="auto"/>
        <w:jc w:val="both"/>
        <w:rPr>
          <w:sz w:val="24"/>
        </w:rPr>
      </w:pPr>
      <w:r w:rsidRPr="006A3BF7">
        <w:rPr>
          <w:sz w:val="24"/>
        </w:rPr>
        <w:t>[8]</w:t>
      </w:r>
      <w:r w:rsidRPr="006A3BF7">
        <w:rPr>
          <w:sz w:val="24"/>
        </w:rPr>
        <w:tab/>
      </w:r>
      <w:r w:rsidR="002903FC">
        <w:rPr>
          <w:sz w:val="24"/>
        </w:rPr>
        <w:t>The Applicant alleges that, i</w:t>
      </w:r>
      <w:r w:rsidR="002903FC" w:rsidRPr="006A3BF7">
        <w:rPr>
          <w:sz w:val="24"/>
        </w:rPr>
        <w:t>n order to produce the wrapping and paper boxes</w:t>
      </w:r>
      <w:r w:rsidR="002903FC">
        <w:rPr>
          <w:sz w:val="24"/>
        </w:rPr>
        <w:t xml:space="preserve">, GNC </w:t>
      </w:r>
      <w:r w:rsidR="002903FC" w:rsidRPr="006A3BF7">
        <w:rPr>
          <w:sz w:val="24"/>
        </w:rPr>
        <w:t xml:space="preserve">needed to </w:t>
      </w:r>
      <w:r w:rsidR="002903FC">
        <w:rPr>
          <w:sz w:val="24"/>
        </w:rPr>
        <w:t xml:space="preserve">acquire specific </w:t>
      </w:r>
      <w:r w:rsidR="002903FC" w:rsidRPr="006A3BF7">
        <w:rPr>
          <w:sz w:val="24"/>
        </w:rPr>
        <w:t xml:space="preserve">moulds and cutting dies. </w:t>
      </w:r>
    </w:p>
    <w:p w14:paraId="5D505D79" w14:textId="3B80645C" w:rsidR="002903FC" w:rsidRPr="002903FC" w:rsidRDefault="006C4312" w:rsidP="006C4312">
      <w:pPr>
        <w:tabs>
          <w:tab w:val="left" w:pos="0"/>
          <w:tab w:val="left" w:pos="1134"/>
          <w:tab w:val="left" w:pos="1985"/>
          <w:tab w:val="left" w:pos="2835"/>
          <w:tab w:val="right" w:pos="8595"/>
        </w:tabs>
        <w:spacing w:before="400" w:after="400" w:line="480" w:lineRule="auto"/>
        <w:jc w:val="both"/>
        <w:rPr>
          <w:sz w:val="24"/>
        </w:rPr>
      </w:pPr>
      <w:r w:rsidRPr="002903FC">
        <w:rPr>
          <w:sz w:val="24"/>
        </w:rPr>
        <w:t>[9]</w:t>
      </w:r>
      <w:r w:rsidRPr="002903FC">
        <w:rPr>
          <w:sz w:val="24"/>
        </w:rPr>
        <w:tab/>
      </w:r>
      <w:r w:rsidR="002903FC" w:rsidRPr="002903FC">
        <w:rPr>
          <w:sz w:val="24"/>
        </w:rPr>
        <w:t>The Applicant further alleges that</w:t>
      </w:r>
      <w:r w:rsidR="002A6121">
        <w:rPr>
          <w:sz w:val="24"/>
        </w:rPr>
        <w:t xml:space="preserve"> </w:t>
      </w:r>
      <w:r w:rsidR="002903FC" w:rsidRPr="002903FC">
        <w:rPr>
          <w:sz w:val="24"/>
        </w:rPr>
        <w:t>in terms of the agreement</w:t>
      </w:r>
      <w:r w:rsidR="002A6121">
        <w:rPr>
          <w:sz w:val="24"/>
        </w:rPr>
        <w:t xml:space="preserve">: (i) </w:t>
      </w:r>
      <w:r w:rsidR="002903FC" w:rsidRPr="002903FC">
        <w:rPr>
          <w:sz w:val="24"/>
        </w:rPr>
        <w:t xml:space="preserve">it would pay the costs of the design, moulds and the cutting dies upon receipt of the invoice issued by GNC; (ii) the cost of the design, moulds and cutting dies would be specified separately from the costs of the actual wrapping and paper boxes; and </w:t>
      </w:r>
      <w:r w:rsidR="002903FC">
        <w:rPr>
          <w:sz w:val="24"/>
        </w:rPr>
        <w:lastRenderedPageBreak/>
        <w:t>(iii) t</w:t>
      </w:r>
      <w:r w:rsidR="002903FC" w:rsidRPr="002903FC">
        <w:rPr>
          <w:sz w:val="24"/>
        </w:rPr>
        <w:t xml:space="preserve">he purchase price for the designs, moulds and cutting dies would be denominated in United States dollars. </w:t>
      </w:r>
    </w:p>
    <w:p w14:paraId="0B340EFE" w14:textId="3E7C2411" w:rsidR="002903FC" w:rsidRDefault="006C4312" w:rsidP="006C4312">
      <w:pPr>
        <w:tabs>
          <w:tab w:val="left" w:pos="0"/>
          <w:tab w:val="left" w:pos="1134"/>
          <w:tab w:val="left" w:pos="1985"/>
          <w:tab w:val="left" w:pos="2835"/>
          <w:tab w:val="right" w:pos="8595"/>
        </w:tabs>
        <w:spacing w:before="400" w:after="400" w:line="480" w:lineRule="auto"/>
        <w:jc w:val="both"/>
        <w:rPr>
          <w:sz w:val="24"/>
        </w:rPr>
      </w:pPr>
      <w:r>
        <w:rPr>
          <w:sz w:val="24"/>
        </w:rPr>
        <w:t>[10]</w:t>
      </w:r>
      <w:r>
        <w:rPr>
          <w:sz w:val="24"/>
        </w:rPr>
        <w:tab/>
      </w:r>
      <w:r w:rsidR="002903FC" w:rsidRPr="006A3BF7">
        <w:rPr>
          <w:sz w:val="24"/>
        </w:rPr>
        <w:t>As a result</w:t>
      </w:r>
      <w:r w:rsidR="002903FC">
        <w:rPr>
          <w:sz w:val="24"/>
        </w:rPr>
        <w:t xml:space="preserve"> of the agreement, </w:t>
      </w:r>
      <w:r w:rsidR="002903FC" w:rsidRPr="006A3BF7">
        <w:rPr>
          <w:sz w:val="24"/>
        </w:rPr>
        <w:t xml:space="preserve">the Applicant entered into a series of foreign exchange transactions, in terms of which it engaged Standard Bank, in its capacity as an authorised dealer of the </w:t>
      </w:r>
      <w:r w:rsidR="00BD6FE7">
        <w:rPr>
          <w:sz w:val="24"/>
        </w:rPr>
        <w:t>Respondent,</w:t>
      </w:r>
      <w:r w:rsidR="002903FC" w:rsidRPr="006A3BF7">
        <w:rPr>
          <w:sz w:val="24"/>
        </w:rPr>
        <w:t xml:space="preserve"> with the purpose of having the necessary funds remitted to </w:t>
      </w:r>
      <w:r w:rsidR="00BD6FE7">
        <w:rPr>
          <w:sz w:val="24"/>
        </w:rPr>
        <w:t>GNC</w:t>
      </w:r>
      <w:r w:rsidR="00CD4F3F">
        <w:rPr>
          <w:sz w:val="24"/>
        </w:rPr>
        <w:t xml:space="preserve"> in Hong Kong</w:t>
      </w:r>
      <w:r w:rsidR="002903FC" w:rsidRPr="006A3BF7">
        <w:rPr>
          <w:sz w:val="24"/>
        </w:rPr>
        <w:t>.</w:t>
      </w:r>
      <w:r w:rsidR="00CD4F3F">
        <w:rPr>
          <w:sz w:val="24"/>
        </w:rPr>
        <w:t xml:space="preserve">  </w:t>
      </w:r>
      <w:r w:rsidR="002903FC" w:rsidRPr="00CD4F3F">
        <w:rPr>
          <w:sz w:val="24"/>
        </w:rPr>
        <w:t>The funds that were remitted to Hong Kong came from the Applicant’s business account at Standard Bank.</w:t>
      </w:r>
      <w:r w:rsidR="00302158">
        <w:rPr>
          <w:sz w:val="24"/>
        </w:rPr>
        <w:t xml:space="preserve">  </w:t>
      </w:r>
    </w:p>
    <w:p w14:paraId="333DE53B" w14:textId="4E12B37A" w:rsidR="008A3D6E" w:rsidRDefault="006C4312" w:rsidP="006C4312">
      <w:pPr>
        <w:tabs>
          <w:tab w:val="left" w:pos="0"/>
          <w:tab w:val="left" w:pos="1134"/>
          <w:tab w:val="left" w:pos="1985"/>
          <w:tab w:val="right" w:pos="8595"/>
        </w:tabs>
        <w:spacing w:before="400" w:after="400" w:line="480" w:lineRule="auto"/>
        <w:jc w:val="both"/>
        <w:rPr>
          <w:sz w:val="24"/>
        </w:rPr>
      </w:pPr>
      <w:r>
        <w:rPr>
          <w:sz w:val="24"/>
        </w:rPr>
        <w:t>[11]</w:t>
      </w:r>
      <w:r>
        <w:rPr>
          <w:sz w:val="24"/>
        </w:rPr>
        <w:tab/>
      </w:r>
      <w:r w:rsidR="008A3D6E">
        <w:rPr>
          <w:sz w:val="24"/>
        </w:rPr>
        <w:t>Regulation</w:t>
      </w:r>
      <w:r w:rsidR="0043145F">
        <w:rPr>
          <w:sz w:val="24"/>
        </w:rPr>
        <w:t xml:space="preserve"> 1</w:t>
      </w:r>
      <w:r w:rsidR="008A3D6E">
        <w:rPr>
          <w:sz w:val="24"/>
        </w:rPr>
        <w:t xml:space="preserve"> define</w:t>
      </w:r>
      <w:r w:rsidR="0043145F">
        <w:rPr>
          <w:sz w:val="24"/>
        </w:rPr>
        <w:t>s</w:t>
      </w:r>
      <w:r w:rsidR="008A3D6E">
        <w:rPr>
          <w:sz w:val="24"/>
        </w:rPr>
        <w:t xml:space="preserve"> an “</w:t>
      </w:r>
      <w:r w:rsidR="008A3D6E" w:rsidRPr="008A3D6E">
        <w:rPr>
          <w:i/>
          <w:iCs/>
          <w:sz w:val="24"/>
        </w:rPr>
        <w:t>authorised dealer</w:t>
      </w:r>
      <w:r w:rsidR="008A3D6E">
        <w:rPr>
          <w:sz w:val="24"/>
        </w:rPr>
        <w:t xml:space="preserve">” as </w:t>
      </w:r>
      <w:r w:rsidR="0043145F" w:rsidRPr="0043145F">
        <w:rPr>
          <w:i/>
          <w:iCs/>
          <w:sz w:val="24"/>
        </w:rPr>
        <w:t>inter alia</w:t>
      </w:r>
      <w:r w:rsidR="008A3D6E">
        <w:rPr>
          <w:sz w:val="24"/>
        </w:rPr>
        <w:t xml:space="preserve">, in respect of any transaction in respect of foreign exchange, a person authorised by the Treasury to deal in foreign exchange.  Most commercial banks who have been authorised by FinSurv </w:t>
      </w:r>
      <w:r w:rsidR="002A6121">
        <w:rPr>
          <w:sz w:val="24"/>
        </w:rPr>
        <w:t xml:space="preserve">are </w:t>
      </w:r>
      <w:r w:rsidR="008A3D6E">
        <w:rPr>
          <w:sz w:val="24"/>
        </w:rPr>
        <w:t xml:space="preserve">authorised dealers. </w:t>
      </w:r>
    </w:p>
    <w:p w14:paraId="46294C91" w14:textId="24759646" w:rsidR="00CD0C98" w:rsidRDefault="006C4312" w:rsidP="006C4312">
      <w:pPr>
        <w:tabs>
          <w:tab w:val="left" w:pos="0"/>
          <w:tab w:val="left" w:pos="1134"/>
          <w:tab w:val="left" w:pos="1985"/>
          <w:tab w:val="right" w:pos="8595"/>
        </w:tabs>
        <w:spacing w:before="400" w:after="400" w:line="480" w:lineRule="auto"/>
        <w:jc w:val="both"/>
        <w:rPr>
          <w:sz w:val="24"/>
        </w:rPr>
      </w:pPr>
      <w:r>
        <w:rPr>
          <w:sz w:val="24"/>
        </w:rPr>
        <w:t>[12]</w:t>
      </w:r>
      <w:r>
        <w:rPr>
          <w:sz w:val="24"/>
        </w:rPr>
        <w:tab/>
      </w:r>
      <w:r w:rsidR="008A3D6E" w:rsidRPr="008A3D6E">
        <w:rPr>
          <w:sz w:val="24"/>
        </w:rPr>
        <w:t xml:space="preserve">The authorised dealers administer exchange control transactions within the parameters provided for in the exchange control rulings (which are now contained in the SARB manual).  The </w:t>
      </w:r>
      <w:r w:rsidR="002A6121">
        <w:rPr>
          <w:sz w:val="24"/>
        </w:rPr>
        <w:t xml:space="preserve">SARB </w:t>
      </w:r>
      <w:r w:rsidR="008A3D6E" w:rsidRPr="008A3D6E">
        <w:rPr>
          <w:sz w:val="24"/>
        </w:rPr>
        <w:t xml:space="preserve">manual contains the permissions and conditions applicable to transactions in foreign exchange that may be undertaken by authorised dealers and must be read in conjunction with the Regulations.  </w:t>
      </w:r>
    </w:p>
    <w:p w14:paraId="463C6A08" w14:textId="0C6F49F9" w:rsidR="008A3D6E" w:rsidRPr="00CD0C98" w:rsidRDefault="006C4312" w:rsidP="006C4312">
      <w:pPr>
        <w:tabs>
          <w:tab w:val="left" w:pos="0"/>
          <w:tab w:val="left" w:pos="1134"/>
          <w:tab w:val="left" w:pos="1985"/>
          <w:tab w:val="right" w:pos="8595"/>
        </w:tabs>
        <w:spacing w:before="400" w:after="400" w:line="480" w:lineRule="auto"/>
        <w:jc w:val="both"/>
        <w:rPr>
          <w:sz w:val="24"/>
        </w:rPr>
      </w:pPr>
      <w:r w:rsidRPr="00CD0C98">
        <w:rPr>
          <w:sz w:val="24"/>
        </w:rPr>
        <w:t>[13]</w:t>
      </w:r>
      <w:r w:rsidRPr="00CD0C98">
        <w:rPr>
          <w:sz w:val="24"/>
        </w:rPr>
        <w:tab/>
      </w:r>
      <w:r w:rsidR="008A3D6E" w:rsidRPr="00CD0C98">
        <w:rPr>
          <w:szCs w:val="22"/>
        </w:rPr>
        <w:t>The Applicant relies on p144 of the SARB manual where the following is stated under the heading “</w:t>
      </w:r>
      <w:r w:rsidR="008A3D6E" w:rsidRPr="00CD0C98">
        <w:rPr>
          <w:i/>
          <w:iCs/>
          <w:szCs w:val="22"/>
        </w:rPr>
        <w:t>B.14 Miscellaneous transfers”</w:t>
      </w:r>
      <w:r w:rsidR="008A3D6E" w:rsidRPr="00CD0C98">
        <w:rPr>
          <w:szCs w:val="22"/>
        </w:rPr>
        <w:t>:</w:t>
      </w:r>
    </w:p>
    <w:p w14:paraId="16BC848F" w14:textId="10E8286D" w:rsidR="008A3D6E" w:rsidRPr="00746AC7" w:rsidRDefault="00CD0C98" w:rsidP="00CD0C98">
      <w:pPr>
        <w:spacing w:before="400" w:after="400" w:line="360" w:lineRule="auto"/>
        <w:ind w:left="1440" w:right="799"/>
        <w:jc w:val="both"/>
        <w:rPr>
          <w:i/>
          <w:iCs/>
          <w:szCs w:val="22"/>
        </w:rPr>
      </w:pPr>
      <w:r>
        <w:rPr>
          <w:i/>
          <w:iCs/>
          <w:szCs w:val="22"/>
        </w:rPr>
        <w:t>“</w:t>
      </w:r>
      <w:r w:rsidR="008A3D6E" w:rsidRPr="00746AC7">
        <w:rPr>
          <w:i/>
          <w:iCs/>
          <w:szCs w:val="22"/>
        </w:rPr>
        <w:t xml:space="preserve">A(i) Authorised Dealers may approve applications by South African business entities and/or individuals for the remittance abroad of the payments mentioned below </w:t>
      </w:r>
      <w:r w:rsidR="008A3D6E" w:rsidRPr="00746AC7">
        <w:rPr>
          <w:i/>
          <w:iCs/>
          <w:szCs w:val="22"/>
        </w:rPr>
        <w:lastRenderedPageBreak/>
        <w:t>against the production of documentary evidence confirming the amounts involved.</w:t>
      </w:r>
    </w:p>
    <w:p w14:paraId="0B5C62B6" w14:textId="77777777" w:rsidR="008A3D6E" w:rsidRPr="00746AC7" w:rsidRDefault="008A3D6E" w:rsidP="00CD0C98">
      <w:pPr>
        <w:spacing w:before="400" w:after="400" w:line="360" w:lineRule="auto"/>
        <w:ind w:left="1440" w:right="799"/>
        <w:jc w:val="both"/>
        <w:rPr>
          <w:i/>
          <w:iCs/>
          <w:szCs w:val="22"/>
        </w:rPr>
      </w:pPr>
      <w:r w:rsidRPr="00746AC7">
        <w:rPr>
          <w:i/>
          <w:iCs/>
          <w:szCs w:val="22"/>
        </w:rPr>
        <w:t>(W) Mould payments</w:t>
      </w:r>
    </w:p>
    <w:p w14:paraId="27A14773" w14:textId="77777777" w:rsidR="008A3D6E" w:rsidRPr="00746AC7" w:rsidRDefault="008A3D6E" w:rsidP="00CD0C98">
      <w:pPr>
        <w:spacing w:before="400" w:after="400" w:line="360" w:lineRule="auto"/>
        <w:ind w:left="1440" w:right="799"/>
        <w:jc w:val="both"/>
        <w:rPr>
          <w:i/>
          <w:iCs/>
          <w:szCs w:val="22"/>
        </w:rPr>
      </w:pPr>
      <w:r w:rsidRPr="00746AC7">
        <w:rPr>
          <w:i/>
          <w:iCs/>
          <w:szCs w:val="22"/>
        </w:rPr>
        <w:t>(i). Payments in respect of the design and/or manufacturing of moulds not exceeding R100 000. A copy of the underlying agreement must be viewed and the Authorised Dealer should, prior to effecting the payment, be satisfied that:</w:t>
      </w:r>
    </w:p>
    <w:p w14:paraId="126FF3C4" w14:textId="6601AADB" w:rsidR="008A3D6E" w:rsidRPr="00746AC7" w:rsidRDefault="008A3D6E" w:rsidP="00DD48E2">
      <w:pPr>
        <w:spacing w:before="400" w:after="400" w:line="360" w:lineRule="auto"/>
        <w:ind w:left="2268" w:right="799" w:hanging="850"/>
        <w:jc w:val="both"/>
        <w:rPr>
          <w:i/>
          <w:iCs/>
          <w:szCs w:val="22"/>
        </w:rPr>
      </w:pPr>
      <w:r w:rsidRPr="00746AC7">
        <w:rPr>
          <w:i/>
          <w:iCs/>
          <w:szCs w:val="22"/>
        </w:rPr>
        <w:t xml:space="preserve">(a) </w:t>
      </w:r>
      <w:r w:rsidR="0043145F">
        <w:rPr>
          <w:i/>
          <w:iCs/>
          <w:szCs w:val="22"/>
        </w:rPr>
        <w:tab/>
      </w:r>
      <w:r w:rsidRPr="00746AC7">
        <w:rPr>
          <w:i/>
          <w:iCs/>
          <w:szCs w:val="22"/>
        </w:rPr>
        <w:t>the mould is manufactured by the foreign supplier;</w:t>
      </w:r>
    </w:p>
    <w:p w14:paraId="6BE76092" w14:textId="741F9960" w:rsidR="008A3D6E" w:rsidRPr="00746AC7" w:rsidRDefault="008A3D6E" w:rsidP="00DD48E2">
      <w:pPr>
        <w:spacing w:before="400" w:after="400" w:line="360" w:lineRule="auto"/>
        <w:ind w:left="2268" w:right="799" w:hanging="850"/>
        <w:jc w:val="both"/>
        <w:rPr>
          <w:i/>
          <w:iCs/>
          <w:szCs w:val="22"/>
        </w:rPr>
      </w:pPr>
      <w:r w:rsidRPr="00746AC7">
        <w:rPr>
          <w:i/>
          <w:iCs/>
          <w:szCs w:val="22"/>
        </w:rPr>
        <w:t xml:space="preserve">(b) </w:t>
      </w:r>
      <w:r w:rsidR="0043145F">
        <w:rPr>
          <w:i/>
          <w:iCs/>
          <w:szCs w:val="22"/>
        </w:rPr>
        <w:tab/>
      </w:r>
      <w:r w:rsidRPr="00746AC7">
        <w:rPr>
          <w:i/>
          <w:iCs/>
          <w:szCs w:val="22"/>
        </w:rPr>
        <w:t>it is only for a once-of</w:t>
      </w:r>
      <w:r w:rsidR="007374C1">
        <w:rPr>
          <w:i/>
          <w:iCs/>
          <w:szCs w:val="22"/>
        </w:rPr>
        <w:t>f</w:t>
      </w:r>
      <w:r w:rsidRPr="00746AC7">
        <w:rPr>
          <w:i/>
          <w:iCs/>
          <w:szCs w:val="22"/>
        </w:rPr>
        <w:t xml:space="preserve"> design and manufacturing of the mould; and</w:t>
      </w:r>
    </w:p>
    <w:p w14:paraId="2670ADFD" w14:textId="6904775C" w:rsidR="008A3D6E" w:rsidRPr="00746AC7" w:rsidRDefault="008A3D6E" w:rsidP="00DD48E2">
      <w:pPr>
        <w:spacing w:before="400" w:after="400" w:line="360" w:lineRule="auto"/>
        <w:ind w:left="2268" w:right="799" w:hanging="850"/>
        <w:jc w:val="both"/>
        <w:rPr>
          <w:i/>
          <w:iCs/>
          <w:szCs w:val="22"/>
        </w:rPr>
      </w:pPr>
      <w:r w:rsidRPr="00746AC7">
        <w:rPr>
          <w:i/>
          <w:iCs/>
          <w:szCs w:val="22"/>
        </w:rPr>
        <w:t xml:space="preserve">(c) </w:t>
      </w:r>
      <w:r w:rsidR="0043145F">
        <w:rPr>
          <w:i/>
          <w:iCs/>
          <w:szCs w:val="22"/>
        </w:rPr>
        <w:tab/>
      </w:r>
      <w:r w:rsidRPr="00746AC7">
        <w:rPr>
          <w:i/>
          <w:iCs/>
          <w:szCs w:val="22"/>
        </w:rPr>
        <w:t>the mould is required to manufacture goods to be imported by the applicant.</w:t>
      </w:r>
      <w:r>
        <w:rPr>
          <w:i/>
          <w:iCs/>
          <w:szCs w:val="22"/>
        </w:rPr>
        <w:t>”</w:t>
      </w:r>
    </w:p>
    <w:p w14:paraId="25C85BE9" w14:textId="2A07E880" w:rsidR="002903FC" w:rsidRPr="006A3BF7" w:rsidRDefault="006C4312" w:rsidP="006C4312">
      <w:pPr>
        <w:tabs>
          <w:tab w:val="left" w:pos="0"/>
          <w:tab w:val="left" w:pos="1134"/>
          <w:tab w:val="left" w:pos="1985"/>
          <w:tab w:val="left" w:pos="2835"/>
          <w:tab w:val="right" w:pos="8595"/>
        </w:tabs>
        <w:spacing w:before="400" w:after="400" w:line="480" w:lineRule="auto"/>
        <w:jc w:val="both"/>
        <w:rPr>
          <w:sz w:val="24"/>
        </w:rPr>
      </w:pPr>
      <w:r w:rsidRPr="006A3BF7">
        <w:rPr>
          <w:sz w:val="24"/>
        </w:rPr>
        <w:t>[14]</w:t>
      </w:r>
      <w:r w:rsidRPr="006A3BF7">
        <w:rPr>
          <w:sz w:val="24"/>
        </w:rPr>
        <w:tab/>
      </w:r>
      <w:r w:rsidR="002903FC" w:rsidRPr="006A3BF7">
        <w:rPr>
          <w:sz w:val="24"/>
        </w:rPr>
        <w:t>The Applicant entered into two transactions concerning the purchase of 14 000 USD on 18</w:t>
      </w:r>
      <w:r w:rsidR="008A3D6E">
        <w:rPr>
          <w:sz w:val="24"/>
        </w:rPr>
        <w:t xml:space="preserve"> </w:t>
      </w:r>
      <w:r w:rsidR="002903FC" w:rsidRPr="006A3BF7">
        <w:rPr>
          <w:sz w:val="24"/>
        </w:rPr>
        <w:t>December 2015</w:t>
      </w:r>
      <w:r w:rsidR="008A3D6E">
        <w:rPr>
          <w:sz w:val="24"/>
        </w:rPr>
        <w:t xml:space="preserve"> and </w:t>
      </w:r>
      <w:r w:rsidR="002903FC" w:rsidRPr="006A3BF7">
        <w:rPr>
          <w:sz w:val="24"/>
        </w:rPr>
        <w:t>15 500 USD on 5</w:t>
      </w:r>
      <w:r w:rsidR="008A3D6E">
        <w:rPr>
          <w:sz w:val="24"/>
        </w:rPr>
        <w:t xml:space="preserve"> </w:t>
      </w:r>
      <w:r w:rsidR="002903FC" w:rsidRPr="006A3BF7">
        <w:rPr>
          <w:sz w:val="24"/>
        </w:rPr>
        <w:t>May 2016.</w:t>
      </w:r>
      <w:r w:rsidR="008A3D6E">
        <w:rPr>
          <w:sz w:val="24"/>
        </w:rPr>
        <w:t xml:space="preserve">  Invoices from GNC reflecting the price paid for 3 moulds to a value of 11 400 USD and 4 mould</w:t>
      </w:r>
      <w:r w:rsidR="0043145F">
        <w:rPr>
          <w:sz w:val="24"/>
        </w:rPr>
        <w:t>s</w:t>
      </w:r>
      <w:r w:rsidR="008A3D6E">
        <w:rPr>
          <w:sz w:val="24"/>
        </w:rPr>
        <w:t xml:space="preserve"> to the value of 14 000 USD were attached to the founding papers.</w:t>
      </w:r>
    </w:p>
    <w:p w14:paraId="0927BABA" w14:textId="0B648325" w:rsidR="002903FC" w:rsidRPr="006A3BF7" w:rsidRDefault="006C4312" w:rsidP="006C4312">
      <w:pPr>
        <w:tabs>
          <w:tab w:val="left" w:pos="0"/>
          <w:tab w:val="left" w:pos="1134"/>
          <w:tab w:val="left" w:pos="1985"/>
          <w:tab w:val="left" w:pos="2835"/>
          <w:tab w:val="right" w:pos="8595"/>
        </w:tabs>
        <w:spacing w:before="400" w:after="400" w:line="480" w:lineRule="auto"/>
        <w:jc w:val="both"/>
        <w:rPr>
          <w:sz w:val="24"/>
        </w:rPr>
      </w:pPr>
      <w:r w:rsidRPr="006A3BF7">
        <w:rPr>
          <w:sz w:val="24"/>
        </w:rPr>
        <w:t>[15]</w:t>
      </w:r>
      <w:r w:rsidRPr="006A3BF7">
        <w:rPr>
          <w:sz w:val="24"/>
        </w:rPr>
        <w:tab/>
      </w:r>
      <w:r w:rsidR="002903FC" w:rsidRPr="006A3BF7">
        <w:rPr>
          <w:sz w:val="24"/>
        </w:rPr>
        <w:t xml:space="preserve">After the Applicant entered into the foreign currency purchases set out above, the amounts were remitted to the Hong Kong account of </w:t>
      </w:r>
      <w:r w:rsidR="008A3D6E">
        <w:rPr>
          <w:sz w:val="24"/>
        </w:rPr>
        <w:t xml:space="preserve">GNC.  The Applicant alleges that thereafter: (i) the </w:t>
      </w:r>
      <w:r w:rsidR="002903FC" w:rsidRPr="006A3BF7">
        <w:rPr>
          <w:sz w:val="24"/>
        </w:rPr>
        <w:t xml:space="preserve">boxes were </w:t>
      </w:r>
      <w:r w:rsidR="008A3D6E">
        <w:rPr>
          <w:sz w:val="24"/>
        </w:rPr>
        <w:t>d</w:t>
      </w:r>
      <w:r w:rsidR="002903FC" w:rsidRPr="006A3BF7">
        <w:rPr>
          <w:sz w:val="24"/>
        </w:rPr>
        <w:t>esigned</w:t>
      </w:r>
      <w:r w:rsidR="008A3D6E">
        <w:rPr>
          <w:sz w:val="24"/>
        </w:rPr>
        <w:t>; (ii)</w:t>
      </w:r>
      <w:r w:rsidR="002903FC" w:rsidRPr="006A3BF7">
        <w:rPr>
          <w:sz w:val="24"/>
        </w:rPr>
        <w:t xml:space="preserve"> the moulds were acquired, </w:t>
      </w:r>
      <w:r w:rsidR="008A3D6E">
        <w:rPr>
          <w:sz w:val="24"/>
        </w:rPr>
        <w:t xml:space="preserve">and (iii) </w:t>
      </w:r>
      <w:r w:rsidR="002903FC" w:rsidRPr="006A3BF7">
        <w:rPr>
          <w:sz w:val="24"/>
        </w:rPr>
        <w:t xml:space="preserve">the wrapping boxes </w:t>
      </w:r>
      <w:r w:rsidR="008A3D6E">
        <w:rPr>
          <w:sz w:val="24"/>
        </w:rPr>
        <w:t xml:space="preserve">were </w:t>
      </w:r>
      <w:r w:rsidR="002903FC" w:rsidRPr="006A3BF7">
        <w:rPr>
          <w:sz w:val="24"/>
        </w:rPr>
        <w:t>made, and imported into South Africa.</w:t>
      </w:r>
    </w:p>
    <w:p w14:paraId="54333348" w14:textId="7E367CF3" w:rsidR="002903FC" w:rsidRPr="006A3BF7" w:rsidRDefault="006C4312" w:rsidP="006C4312">
      <w:pPr>
        <w:tabs>
          <w:tab w:val="left" w:pos="0"/>
          <w:tab w:val="left" w:pos="1134"/>
          <w:tab w:val="left" w:pos="1985"/>
          <w:tab w:val="left" w:pos="2835"/>
          <w:tab w:val="right" w:pos="8595"/>
        </w:tabs>
        <w:spacing w:before="400" w:after="400" w:line="480" w:lineRule="auto"/>
        <w:jc w:val="both"/>
        <w:rPr>
          <w:sz w:val="24"/>
        </w:rPr>
      </w:pPr>
      <w:r w:rsidRPr="006A3BF7">
        <w:rPr>
          <w:sz w:val="24"/>
        </w:rPr>
        <w:lastRenderedPageBreak/>
        <w:t>[16]</w:t>
      </w:r>
      <w:r w:rsidRPr="006A3BF7">
        <w:rPr>
          <w:sz w:val="24"/>
        </w:rPr>
        <w:tab/>
      </w:r>
      <w:r w:rsidR="002903FC" w:rsidRPr="006A3BF7">
        <w:rPr>
          <w:sz w:val="24"/>
        </w:rPr>
        <w:t xml:space="preserve">On 1 March 2019 the </w:t>
      </w:r>
      <w:r w:rsidR="00DD48E2">
        <w:rPr>
          <w:sz w:val="24"/>
        </w:rPr>
        <w:t xml:space="preserve">Respondent </w:t>
      </w:r>
      <w:r w:rsidR="002903FC" w:rsidRPr="006A3BF7">
        <w:rPr>
          <w:sz w:val="24"/>
        </w:rPr>
        <w:t xml:space="preserve">issued a blocking order </w:t>
      </w:r>
      <w:r w:rsidR="008A3D6E">
        <w:rPr>
          <w:sz w:val="24"/>
        </w:rPr>
        <w:t>in respect of the A</w:t>
      </w:r>
      <w:r w:rsidR="002903FC" w:rsidRPr="006A3BF7">
        <w:rPr>
          <w:sz w:val="24"/>
        </w:rPr>
        <w:t xml:space="preserve">pplicant’s account with FNB. </w:t>
      </w:r>
    </w:p>
    <w:p w14:paraId="24DD39C1" w14:textId="4BB1C745" w:rsidR="002903FC" w:rsidRDefault="006C4312" w:rsidP="006C4312">
      <w:pPr>
        <w:tabs>
          <w:tab w:val="left" w:pos="0"/>
          <w:tab w:val="left" w:pos="1134"/>
          <w:tab w:val="left" w:pos="1985"/>
          <w:tab w:val="left" w:pos="2835"/>
          <w:tab w:val="right" w:pos="8595"/>
        </w:tabs>
        <w:spacing w:before="400" w:after="400" w:line="480" w:lineRule="auto"/>
        <w:jc w:val="both"/>
        <w:rPr>
          <w:sz w:val="24"/>
        </w:rPr>
      </w:pPr>
      <w:r>
        <w:rPr>
          <w:sz w:val="24"/>
        </w:rPr>
        <w:t>[17]</w:t>
      </w:r>
      <w:r>
        <w:rPr>
          <w:sz w:val="24"/>
        </w:rPr>
        <w:tab/>
      </w:r>
      <w:r w:rsidR="008A3D6E">
        <w:rPr>
          <w:sz w:val="24"/>
        </w:rPr>
        <w:t>On 19 March 2019, the Respondent instructed FNB to release an amount of R322</w:t>
      </w:r>
      <w:r w:rsidR="00BA116B">
        <w:rPr>
          <w:sz w:val="24"/>
        </w:rPr>
        <w:t> </w:t>
      </w:r>
      <w:r w:rsidR="008A3D6E">
        <w:rPr>
          <w:sz w:val="24"/>
        </w:rPr>
        <w:t>235.</w:t>
      </w:r>
      <w:r w:rsidR="0043145F">
        <w:rPr>
          <w:sz w:val="24"/>
        </w:rPr>
        <w:t>00</w:t>
      </w:r>
      <w:r w:rsidR="00DD48E2">
        <w:rPr>
          <w:sz w:val="24"/>
        </w:rPr>
        <w:t>.</w:t>
      </w:r>
    </w:p>
    <w:p w14:paraId="1EC3A7D8" w14:textId="2BA3F319" w:rsidR="00BA116B" w:rsidRDefault="006C4312" w:rsidP="006C4312">
      <w:pPr>
        <w:tabs>
          <w:tab w:val="left" w:pos="0"/>
          <w:tab w:val="left" w:pos="1134"/>
          <w:tab w:val="left" w:pos="1985"/>
          <w:tab w:val="left" w:pos="2835"/>
          <w:tab w:val="right" w:pos="8595"/>
        </w:tabs>
        <w:spacing w:before="400" w:after="400" w:line="480" w:lineRule="auto"/>
        <w:jc w:val="both"/>
        <w:rPr>
          <w:sz w:val="24"/>
        </w:rPr>
      </w:pPr>
      <w:r>
        <w:rPr>
          <w:sz w:val="24"/>
        </w:rPr>
        <w:t>[18]</w:t>
      </w:r>
      <w:r>
        <w:rPr>
          <w:sz w:val="24"/>
        </w:rPr>
        <w:tab/>
      </w:r>
      <w:r w:rsidR="00BA116B">
        <w:rPr>
          <w:sz w:val="24"/>
        </w:rPr>
        <w:t>On 23 March 2019, the Respondent received an email from FNB confirming that the amount of R266 407.65 had been blocked in its SARB Suspense Blocked account number 9200148766.</w:t>
      </w:r>
    </w:p>
    <w:p w14:paraId="2335B600" w14:textId="326018CB" w:rsidR="00BA116B" w:rsidRDefault="006C4312" w:rsidP="006C4312">
      <w:pPr>
        <w:tabs>
          <w:tab w:val="left" w:pos="0"/>
          <w:tab w:val="left" w:pos="1134"/>
          <w:tab w:val="left" w:pos="1985"/>
          <w:tab w:val="left" w:pos="2835"/>
          <w:tab w:val="right" w:pos="8595"/>
        </w:tabs>
        <w:spacing w:before="400" w:after="400" w:line="480" w:lineRule="auto"/>
        <w:jc w:val="both"/>
        <w:rPr>
          <w:sz w:val="24"/>
        </w:rPr>
      </w:pPr>
      <w:r>
        <w:rPr>
          <w:sz w:val="24"/>
        </w:rPr>
        <w:t>[19]</w:t>
      </w:r>
      <w:r>
        <w:rPr>
          <w:sz w:val="24"/>
        </w:rPr>
        <w:tab/>
      </w:r>
      <w:r w:rsidR="00BA116B">
        <w:rPr>
          <w:sz w:val="24"/>
        </w:rPr>
        <w:t>On 22 September 2020, the Respondent addressed correspondence to the Applicant querying discrepancies between export of capital and goods actually received.</w:t>
      </w:r>
    </w:p>
    <w:p w14:paraId="18598594" w14:textId="5E63B693" w:rsidR="00BA116B" w:rsidRDefault="006C4312" w:rsidP="006C4312">
      <w:pPr>
        <w:tabs>
          <w:tab w:val="left" w:pos="0"/>
          <w:tab w:val="left" w:pos="1134"/>
          <w:tab w:val="left" w:pos="1985"/>
          <w:tab w:val="left" w:pos="2835"/>
          <w:tab w:val="right" w:pos="8595"/>
        </w:tabs>
        <w:spacing w:before="400" w:after="400" w:line="480" w:lineRule="auto"/>
        <w:jc w:val="both"/>
        <w:rPr>
          <w:sz w:val="24"/>
        </w:rPr>
      </w:pPr>
      <w:r>
        <w:rPr>
          <w:sz w:val="24"/>
        </w:rPr>
        <w:t>[20]</w:t>
      </w:r>
      <w:r>
        <w:rPr>
          <w:sz w:val="24"/>
        </w:rPr>
        <w:tab/>
      </w:r>
      <w:r w:rsidR="00BA116B">
        <w:rPr>
          <w:sz w:val="24"/>
        </w:rPr>
        <w:t>On 27 November 2020, the Applicant made written representations to the Respondent.</w:t>
      </w:r>
    </w:p>
    <w:p w14:paraId="4D500A28" w14:textId="33A51001" w:rsidR="00BA116B" w:rsidRDefault="006C4312" w:rsidP="006C4312">
      <w:pPr>
        <w:tabs>
          <w:tab w:val="left" w:pos="0"/>
          <w:tab w:val="left" w:pos="1134"/>
          <w:tab w:val="left" w:pos="1985"/>
          <w:tab w:val="left" w:pos="2835"/>
          <w:tab w:val="right" w:pos="8595"/>
        </w:tabs>
        <w:spacing w:before="400" w:after="400" w:line="480" w:lineRule="auto"/>
        <w:jc w:val="both"/>
        <w:rPr>
          <w:sz w:val="24"/>
        </w:rPr>
      </w:pPr>
      <w:r>
        <w:rPr>
          <w:sz w:val="24"/>
        </w:rPr>
        <w:t>[21]</w:t>
      </w:r>
      <w:r>
        <w:rPr>
          <w:sz w:val="24"/>
        </w:rPr>
        <w:tab/>
      </w:r>
      <w:r w:rsidR="00BA116B">
        <w:rPr>
          <w:sz w:val="24"/>
        </w:rPr>
        <w:t>On 24 March 2021, the Respondent delivered correspondence in which it summarised the basis for the Respondent’s suspicion that there had been a contravention of the Regulations and invited the Applicant to make written representations as to why the forfeiture should not be made.  The Respondent stated that the aforesaid representations must be submitted by no later than 23 April 2021.</w:t>
      </w:r>
    </w:p>
    <w:p w14:paraId="0EE1626F" w14:textId="282BCEB0" w:rsidR="00BA116B" w:rsidRDefault="006C4312" w:rsidP="006C4312">
      <w:pPr>
        <w:tabs>
          <w:tab w:val="left" w:pos="0"/>
          <w:tab w:val="left" w:pos="1134"/>
          <w:tab w:val="left" w:pos="1985"/>
          <w:tab w:val="left" w:pos="2835"/>
          <w:tab w:val="right" w:pos="8595"/>
        </w:tabs>
        <w:spacing w:before="400" w:after="400" w:line="480" w:lineRule="auto"/>
        <w:jc w:val="both"/>
        <w:rPr>
          <w:sz w:val="24"/>
        </w:rPr>
      </w:pPr>
      <w:r>
        <w:rPr>
          <w:sz w:val="24"/>
        </w:rPr>
        <w:t>[22]</w:t>
      </w:r>
      <w:r>
        <w:rPr>
          <w:sz w:val="24"/>
        </w:rPr>
        <w:tab/>
      </w:r>
      <w:r w:rsidR="00BA116B">
        <w:rPr>
          <w:sz w:val="24"/>
        </w:rPr>
        <w:t xml:space="preserve">On 26 April 2021, after the deadline had come and gone, the Applicant requested an extension of the time to deliver </w:t>
      </w:r>
      <w:r w:rsidR="0043145F">
        <w:rPr>
          <w:sz w:val="24"/>
        </w:rPr>
        <w:t xml:space="preserve">its written </w:t>
      </w:r>
      <w:r w:rsidR="00BA116B">
        <w:rPr>
          <w:sz w:val="24"/>
        </w:rPr>
        <w:t>representations.</w:t>
      </w:r>
    </w:p>
    <w:p w14:paraId="7E29846D" w14:textId="3812113B" w:rsidR="00BA116B" w:rsidRDefault="006C4312" w:rsidP="006C4312">
      <w:pPr>
        <w:tabs>
          <w:tab w:val="left" w:pos="0"/>
          <w:tab w:val="left" w:pos="1134"/>
          <w:tab w:val="left" w:pos="1985"/>
          <w:tab w:val="left" w:pos="2835"/>
          <w:tab w:val="right" w:pos="8595"/>
        </w:tabs>
        <w:spacing w:before="400" w:after="400" w:line="480" w:lineRule="auto"/>
        <w:jc w:val="both"/>
        <w:rPr>
          <w:sz w:val="24"/>
        </w:rPr>
      </w:pPr>
      <w:r>
        <w:rPr>
          <w:sz w:val="24"/>
        </w:rPr>
        <w:lastRenderedPageBreak/>
        <w:t>[23]</w:t>
      </w:r>
      <w:r>
        <w:rPr>
          <w:sz w:val="24"/>
        </w:rPr>
        <w:tab/>
      </w:r>
      <w:r w:rsidR="00BA116B">
        <w:rPr>
          <w:sz w:val="24"/>
        </w:rPr>
        <w:t>On 26 April 2021, the Respondent granted the Applicant’s request for an extension until 29 April 2021, subject to the condition that no further extensions of time would be granted.</w:t>
      </w:r>
    </w:p>
    <w:p w14:paraId="0FC1468E" w14:textId="487B2A49" w:rsidR="00BA116B" w:rsidRDefault="006C4312" w:rsidP="006C4312">
      <w:pPr>
        <w:tabs>
          <w:tab w:val="left" w:pos="0"/>
          <w:tab w:val="left" w:pos="1134"/>
          <w:tab w:val="left" w:pos="1985"/>
          <w:tab w:val="left" w:pos="2835"/>
          <w:tab w:val="right" w:pos="8595"/>
        </w:tabs>
        <w:spacing w:before="400" w:after="400" w:line="480" w:lineRule="auto"/>
        <w:jc w:val="both"/>
        <w:rPr>
          <w:sz w:val="24"/>
        </w:rPr>
      </w:pPr>
      <w:r>
        <w:rPr>
          <w:sz w:val="24"/>
        </w:rPr>
        <w:t>[24]</w:t>
      </w:r>
      <w:r>
        <w:rPr>
          <w:sz w:val="24"/>
        </w:rPr>
        <w:tab/>
      </w:r>
      <w:r w:rsidR="00BA116B">
        <w:rPr>
          <w:sz w:val="24"/>
        </w:rPr>
        <w:t xml:space="preserve">On 5 May 2021, after the final deadline had passed, the Applicant delivered </w:t>
      </w:r>
      <w:r w:rsidR="0043145F">
        <w:rPr>
          <w:sz w:val="24"/>
        </w:rPr>
        <w:t xml:space="preserve">written </w:t>
      </w:r>
      <w:r w:rsidR="00BA116B">
        <w:rPr>
          <w:sz w:val="24"/>
        </w:rPr>
        <w:t>representations to the Respondent, denying that it had contravened the Regulations.</w:t>
      </w:r>
    </w:p>
    <w:p w14:paraId="2F99A9E3" w14:textId="46B92988" w:rsidR="00BA116B" w:rsidRDefault="006C4312" w:rsidP="006C4312">
      <w:pPr>
        <w:tabs>
          <w:tab w:val="left" w:pos="0"/>
          <w:tab w:val="left" w:pos="1134"/>
          <w:tab w:val="left" w:pos="1985"/>
          <w:tab w:val="left" w:pos="2835"/>
          <w:tab w:val="right" w:pos="8595"/>
        </w:tabs>
        <w:spacing w:before="400" w:after="400" w:line="480" w:lineRule="auto"/>
        <w:jc w:val="both"/>
        <w:rPr>
          <w:sz w:val="24"/>
        </w:rPr>
      </w:pPr>
      <w:r>
        <w:rPr>
          <w:sz w:val="24"/>
        </w:rPr>
        <w:t>[25]</w:t>
      </w:r>
      <w:r>
        <w:rPr>
          <w:sz w:val="24"/>
        </w:rPr>
        <w:tab/>
      </w:r>
      <w:r w:rsidR="00BA116B">
        <w:rPr>
          <w:sz w:val="24"/>
        </w:rPr>
        <w:t>On 25 May 2021, the Respondent’s officials recommended for</w:t>
      </w:r>
      <w:r w:rsidR="0043145F">
        <w:rPr>
          <w:sz w:val="24"/>
        </w:rPr>
        <w:t>f</w:t>
      </w:r>
      <w:r w:rsidR="00BA116B">
        <w:rPr>
          <w:sz w:val="24"/>
        </w:rPr>
        <w:t>eiture to the Respondent’s Deputy Governor in the amount of R266</w:t>
      </w:r>
      <w:r w:rsidR="0043145F">
        <w:rPr>
          <w:sz w:val="24"/>
        </w:rPr>
        <w:t> </w:t>
      </w:r>
      <w:r w:rsidR="00BA116B">
        <w:rPr>
          <w:sz w:val="24"/>
        </w:rPr>
        <w:t>407</w:t>
      </w:r>
      <w:r w:rsidR="0043145F">
        <w:rPr>
          <w:sz w:val="24"/>
        </w:rPr>
        <w:t>.00</w:t>
      </w:r>
      <w:r w:rsidR="00BA116B">
        <w:rPr>
          <w:sz w:val="24"/>
        </w:rPr>
        <w:t>.</w:t>
      </w:r>
    </w:p>
    <w:p w14:paraId="591DCCCB" w14:textId="5B14C43C" w:rsidR="00BA116B" w:rsidRDefault="006C4312" w:rsidP="006C4312">
      <w:pPr>
        <w:tabs>
          <w:tab w:val="left" w:pos="0"/>
          <w:tab w:val="left" w:pos="1134"/>
          <w:tab w:val="left" w:pos="1985"/>
          <w:tab w:val="left" w:pos="2835"/>
          <w:tab w:val="right" w:pos="8595"/>
        </w:tabs>
        <w:spacing w:before="400" w:after="400" w:line="480" w:lineRule="auto"/>
        <w:jc w:val="both"/>
        <w:rPr>
          <w:sz w:val="24"/>
        </w:rPr>
      </w:pPr>
      <w:r>
        <w:rPr>
          <w:sz w:val="24"/>
        </w:rPr>
        <w:t>[26]</w:t>
      </w:r>
      <w:r>
        <w:rPr>
          <w:sz w:val="24"/>
        </w:rPr>
        <w:tab/>
      </w:r>
      <w:r w:rsidR="00BA116B">
        <w:rPr>
          <w:sz w:val="24"/>
        </w:rPr>
        <w:t xml:space="preserve">On 4 June 2021, the </w:t>
      </w:r>
      <w:r w:rsidR="00DD48E2">
        <w:rPr>
          <w:sz w:val="24"/>
        </w:rPr>
        <w:t xml:space="preserve">Respondent </w:t>
      </w:r>
      <w:r w:rsidR="00BA116B">
        <w:rPr>
          <w:sz w:val="24"/>
        </w:rPr>
        <w:t>published the forfeiture decision in the Government Gazette.</w:t>
      </w:r>
    </w:p>
    <w:p w14:paraId="3E4A7245" w14:textId="25EB9DE3" w:rsidR="0090117E" w:rsidRDefault="006C4312" w:rsidP="006C4312">
      <w:pPr>
        <w:tabs>
          <w:tab w:val="left" w:pos="0"/>
          <w:tab w:val="left" w:pos="1134"/>
          <w:tab w:val="left" w:pos="1985"/>
          <w:tab w:val="left" w:pos="2835"/>
          <w:tab w:val="right" w:pos="8595"/>
        </w:tabs>
        <w:spacing w:before="400" w:after="400" w:line="480" w:lineRule="auto"/>
        <w:jc w:val="both"/>
        <w:rPr>
          <w:sz w:val="24"/>
        </w:rPr>
      </w:pPr>
      <w:r>
        <w:rPr>
          <w:sz w:val="24"/>
        </w:rPr>
        <w:t>[27]</w:t>
      </w:r>
      <w:r>
        <w:rPr>
          <w:sz w:val="24"/>
        </w:rPr>
        <w:tab/>
      </w:r>
      <w:r w:rsidR="00BA116B">
        <w:rPr>
          <w:sz w:val="24"/>
        </w:rPr>
        <w:t xml:space="preserve">The </w:t>
      </w:r>
      <w:r w:rsidR="0090117E">
        <w:rPr>
          <w:sz w:val="24"/>
        </w:rPr>
        <w:t>application for review was launched on 9 November 2021</w:t>
      </w:r>
      <w:r w:rsidR="0043145F">
        <w:rPr>
          <w:sz w:val="24"/>
        </w:rPr>
        <w:t>, over 5 months after the publication of the forfeiture decision</w:t>
      </w:r>
      <w:r w:rsidR="0090117E">
        <w:rPr>
          <w:sz w:val="24"/>
        </w:rPr>
        <w:t>.</w:t>
      </w:r>
    </w:p>
    <w:p w14:paraId="1FEFFC47" w14:textId="411A74A1" w:rsidR="0090117E" w:rsidRPr="0090117E" w:rsidRDefault="0090117E" w:rsidP="0090117E">
      <w:pPr>
        <w:tabs>
          <w:tab w:val="left" w:pos="0"/>
          <w:tab w:val="left" w:pos="1134"/>
          <w:tab w:val="left" w:pos="1985"/>
          <w:tab w:val="left" w:pos="2835"/>
          <w:tab w:val="right" w:pos="8595"/>
        </w:tabs>
        <w:spacing w:before="400" w:after="400" w:line="480" w:lineRule="auto"/>
        <w:jc w:val="both"/>
        <w:rPr>
          <w:b/>
          <w:bCs/>
          <w:sz w:val="24"/>
          <w:u w:val="single"/>
        </w:rPr>
      </w:pPr>
      <w:r w:rsidRPr="0090117E">
        <w:rPr>
          <w:b/>
          <w:bCs/>
          <w:sz w:val="24"/>
          <w:u w:val="single"/>
        </w:rPr>
        <w:t>ISSUES REQUIRING ADJUDICATION</w:t>
      </w:r>
    </w:p>
    <w:p w14:paraId="6D8EAFA5" w14:textId="76012B6B" w:rsidR="002903FC" w:rsidRDefault="006C4312" w:rsidP="006C4312">
      <w:pPr>
        <w:tabs>
          <w:tab w:val="left" w:pos="0"/>
          <w:tab w:val="left" w:pos="1134"/>
          <w:tab w:val="left" w:pos="1985"/>
          <w:tab w:val="right" w:pos="8595"/>
        </w:tabs>
        <w:spacing w:before="400" w:after="400" w:line="480" w:lineRule="auto"/>
        <w:jc w:val="both"/>
        <w:rPr>
          <w:sz w:val="24"/>
        </w:rPr>
      </w:pPr>
      <w:r>
        <w:rPr>
          <w:sz w:val="24"/>
        </w:rPr>
        <w:t>[28]</w:t>
      </w:r>
      <w:r>
        <w:rPr>
          <w:sz w:val="24"/>
        </w:rPr>
        <w:tab/>
      </w:r>
      <w:r w:rsidR="0090117E">
        <w:rPr>
          <w:sz w:val="24"/>
        </w:rPr>
        <w:t>According to the Applicant:</w:t>
      </w:r>
    </w:p>
    <w:p w14:paraId="342255A5" w14:textId="7D746986" w:rsidR="0090117E" w:rsidRDefault="006C4312" w:rsidP="006C4312">
      <w:pPr>
        <w:tabs>
          <w:tab w:val="left" w:pos="0"/>
          <w:tab w:val="left" w:pos="1134"/>
          <w:tab w:val="left" w:pos="1985"/>
          <w:tab w:val="right" w:pos="8595"/>
        </w:tabs>
        <w:spacing w:before="400" w:after="400" w:line="480" w:lineRule="auto"/>
        <w:ind w:left="1985" w:hanging="851"/>
        <w:jc w:val="both"/>
        <w:rPr>
          <w:sz w:val="24"/>
        </w:rPr>
      </w:pPr>
      <w:r>
        <w:rPr>
          <w:sz w:val="24"/>
        </w:rPr>
        <w:t>[28.1]</w:t>
      </w:r>
      <w:r>
        <w:rPr>
          <w:sz w:val="24"/>
        </w:rPr>
        <w:tab/>
      </w:r>
      <w:r w:rsidR="0090117E">
        <w:rPr>
          <w:sz w:val="24"/>
        </w:rPr>
        <w:t xml:space="preserve">the Regulations were not contravened as the funds were transferred for purposes permitted by the </w:t>
      </w:r>
      <w:r w:rsidR="00F02493">
        <w:rPr>
          <w:sz w:val="24"/>
        </w:rPr>
        <w:t xml:space="preserve">SARB </w:t>
      </w:r>
      <w:r w:rsidR="0090117E">
        <w:rPr>
          <w:sz w:val="24"/>
        </w:rPr>
        <w:t>manual;</w:t>
      </w:r>
    </w:p>
    <w:p w14:paraId="4BAE742F" w14:textId="64146505" w:rsidR="00512F1C" w:rsidRPr="006A3BF7" w:rsidRDefault="006C4312" w:rsidP="006C4312">
      <w:pPr>
        <w:tabs>
          <w:tab w:val="left" w:pos="0"/>
          <w:tab w:val="left" w:pos="1134"/>
          <w:tab w:val="left" w:pos="1985"/>
          <w:tab w:val="right" w:pos="8595"/>
        </w:tabs>
        <w:spacing w:before="400" w:after="400" w:line="480" w:lineRule="auto"/>
        <w:ind w:left="1985" w:hanging="851"/>
        <w:jc w:val="both"/>
        <w:rPr>
          <w:sz w:val="24"/>
        </w:rPr>
      </w:pPr>
      <w:r w:rsidRPr="006A3BF7">
        <w:rPr>
          <w:sz w:val="24"/>
        </w:rPr>
        <w:t>[28.2]</w:t>
      </w:r>
      <w:r w:rsidRPr="006A3BF7">
        <w:rPr>
          <w:sz w:val="24"/>
        </w:rPr>
        <w:tab/>
      </w:r>
      <w:r w:rsidR="00512F1C" w:rsidRPr="006A3BF7">
        <w:rPr>
          <w:sz w:val="24"/>
        </w:rPr>
        <w:t xml:space="preserve">the </w:t>
      </w:r>
      <w:r w:rsidR="0090117E">
        <w:rPr>
          <w:sz w:val="24"/>
        </w:rPr>
        <w:t xml:space="preserve">Respondent </w:t>
      </w:r>
      <w:r w:rsidR="00512F1C" w:rsidRPr="006A3BF7">
        <w:rPr>
          <w:sz w:val="24"/>
        </w:rPr>
        <w:t xml:space="preserve">cannot explain how it quantified the amount forfeited, which renders the decision irrational, arbitrary and capricious; and </w:t>
      </w:r>
    </w:p>
    <w:p w14:paraId="14600E5C" w14:textId="35283F62" w:rsidR="00512F1C" w:rsidRPr="006A3BF7" w:rsidRDefault="006C4312" w:rsidP="006C4312">
      <w:pPr>
        <w:tabs>
          <w:tab w:val="left" w:pos="0"/>
          <w:tab w:val="left" w:pos="1134"/>
          <w:tab w:val="left" w:pos="1985"/>
          <w:tab w:val="right" w:pos="8595"/>
        </w:tabs>
        <w:spacing w:before="400" w:after="400" w:line="480" w:lineRule="auto"/>
        <w:ind w:left="1985" w:hanging="851"/>
        <w:jc w:val="both"/>
        <w:rPr>
          <w:sz w:val="24"/>
        </w:rPr>
      </w:pPr>
      <w:r w:rsidRPr="006A3BF7">
        <w:rPr>
          <w:sz w:val="24"/>
        </w:rPr>
        <w:lastRenderedPageBreak/>
        <w:t>[28.3]</w:t>
      </w:r>
      <w:r w:rsidRPr="006A3BF7">
        <w:rPr>
          <w:sz w:val="24"/>
        </w:rPr>
        <w:tab/>
      </w:r>
      <w:r w:rsidR="00512F1C" w:rsidRPr="006A3BF7">
        <w:rPr>
          <w:sz w:val="24"/>
        </w:rPr>
        <w:t xml:space="preserve">the </w:t>
      </w:r>
      <w:r w:rsidR="0090117E">
        <w:rPr>
          <w:sz w:val="24"/>
        </w:rPr>
        <w:t xml:space="preserve">Respondent </w:t>
      </w:r>
      <w:r w:rsidR="00512F1C" w:rsidRPr="006A3BF7">
        <w:rPr>
          <w:sz w:val="24"/>
        </w:rPr>
        <w:t xml:space="preserve">ignored the Applicant’s representations </w:t>
      </w:r>
      <w:r w:rsidR="0090117E">
        <w:rPr>
          <w:sz w:val="24"/>
        </w:rPr>
        <w:t xml:space="preserve">(which it is common cause were submitted late) </w:t>
      </w:r>
      <w:r w:rsidR="00512F1C" w:rsidRPr="006A3BF7">
        <w:rPr>
          <w:sz w:val="24"/>
        </w:rPr>
        <w:t xml:space="preserve">despite being in possession thereof.  </w:t>
      </w:r>
    </w:p>
    <w:p w14:paraId="0FDB47BC" w14:textId="52AF965D" w:rsidR="00512F1C" w:rsidRPr="006A3BF7" w:rsidRDefault="006C4312" w:rsidP="006C4312">
      <w:pPr>
        <w:tabs>
          <w:tab w:val="left" w:pos="0"/>
          <w:tab w:val="left" w:pos="1134"/>
          <w:tab w:val="left" w:pos="1985"/>
          <w:tab w:val="right" w:pos="8595"/>
        </w:tabs>
        <w:spacing w:before="400" w:after="400" w:line="480" w:lineRule="auto"/>
        <w:jc w:val="both"/>
        <w:rPr>
          <w:sz w:val="24"/>
        </w:rPr>
      </w:pPr>
      <w:r w:rsidRPr="006A3BF7">
        <w:rPr>
          <w:sz w:val="24"/>
        </w:rPr>
        <w:t>[29]</w:t>
      </w:r>
      <w:r w:rsidRPr="006A3BF7">
        <w:rPr>
          <w:sz w:val="24"/>
        </w:rPr>
        <w:tab/>
      </w:r>
      <w:r w:rsidR="00512F1C" w:rsidRPr="006A3BF7">
        <w:rPr>
          <w:sz w:val="24"/>
        </w:rPr>
        <w:t xml:space="preserve">The </w:t>
      </w:r>
      <w:r w:rsidR="0090117E">
        <w:rPr>
          <w:sz w:val="24"/>
        </w:rPr>
        <w:t xml:space="preserve">Respondent </w:t>
      </w:r>
      <w:r w:rsidR="00512F1C" w:rsidRPr="006A3BF7">
        <w:rPr>
          <w:sz w:val="24"/>
        </w:rPr>
        <w:t>disputes all of the above contentions and raise</w:t>
      </w:r>
      <w:r w:rsidR="0090117E">
        <w:rPr>
          <w:sz w:val="24"/>
        </w:rPr>
        <w:t>d</w:t>
      </w:r>
      <w:r w:rsidR="00512F1C" w:rsidRPr="006A3BF7">
        <w:rPr>
          <w:sz w:val="24"/>
        </w:rPr>
        <w:t xml:space="preserve"> four preliminary points, namely: </w:t>
      </w:r>
    </w:p>
    <w:p w14:paraId="34A04398" w14:textId="3C1A294F" w:rsidR="00512F1C" w:rsidRPr="006A3BF7" w:rsidRDefault="006C4312" w:rsidP="006C4312">
      <w:pPr>
        <w:tabs>
          <w:tab w:val="left" w:pos="0"/>
          <w:tab w:val="left" w:pos="1134"/>
          <w:tab w:val="left" w:pos="1985"/>
          <w:tab w:val="right" w:pos="8595"/>
        </w:tabs>
        <w:spacing w:before="400" w:after="400" w:line="480" w:lineRule="auto"/>
        <w:ind w:left="1985" w:hanging="851"/>
        <w:jc w:val="both"/>
        <w:rPr>
          <w:sz w:val="24"/>
        </w:rPr>
      </w:pPr>
      <w:r w:rsidRPr="006A3BF7">
        <w:rPr>
          <w:sz w:val="24"/>
        </w:rPr>
        <w:t>[29.1]</w:t>
      </w:r>
      <w:r w:rsidRPr="006A3BF7">
        <w:rPr>
          <w:sz w:val="24"/>
        </w:rPr>
        <w:tab/>
      </w:r>
      <w:r w:rsidR="00512F1C" w:rsidRPr="006A3BF7">
        <w:rPr>
          <w:sz w:val="24"/>
        </w:rPr>
        <w:t xml:space="preserve">the application was brought outside of the 90-day deadline contained in the </w:t>
      </w:r>
      <w:r w:rsidR="0090117E">
        <w:rPr>
          <w:sz w:val="24"/>
        </w:rPr>
        <w:t xml:space="preserve">Currency </w:t>
      </w:r>
      <w:r w:rsidR="00512F1C" w:rsidRPr="006A3BF7">
        <w:rPr>
          <w:sz w:val="24"/>
        </w:rPr>
        <w:t xml:space="preserve">Act, together with the relevant provisions of the Regulations, and no condonation for the delay </w:t>
      </w:r>
      <w:r w:rsidR="0090117E">
        <w:rPr>
          <w:sz w:val="24"/>
        </w:rPr>
        <w:t>can be sought</w:t>
      </w:r>
      <w:r w:rsidR="00512F1C" w:rsidRPr="006A3BF7">
        <w:rPr>
          <w:sz w:val="24"/>
        </w:rPr>
        <w:t xml:space="preserve">; </w:t>
      </w:r>
    </w:p>
    <w:p w14:paraId="49FF6D6A" w14:textId="5B7895DD" w:rsidR="00512F1C" w:rsidRPr="006A3BF7" w:rsidRDefault="006C4312" w:rsidP="006C4312">
      <w:pPr>
        <w:tabs>
          <w:tab w:val="left" w:pos="0"/>
          <w:tab w:val="left" w:pos="1134"/>
          <w:tab w:val="left" w:pos="1985"/>
          <w:tab w:val="right" w:pos="8595"/>
        </w:tabs>
        <w:spacing w:before="400" w:after="400" w:line="480" w:lineRule="auto"/>
        <w:ind w:left="1985" w:hanging="851"/>
        <w:jc w:val="both"/>
        <w:rPr>
          <w:sz w:val="24"/>
        </w:rPr>
      </w:pPr>
      <w:r w:rsidRPr="006A3BF7">
        <w:rPr>
          <w:sz w:val="24"/>
        </w:rPr>
        <w:t>[29.2]</w:t>
      </w:r>
      <w:r w:rsidRPr="006A3BF7">
        <w:rPr>
          <w:sz w:val="24"/>
        </w:rPr>
        <w:tab/>
      </w:r>
      <w:r w:rsidR="00512F1C" w:rsidRPr="006A3BF7">
        <w:rPr>
          <w:sz w:val="24"/>
        </w:rPr>
        <w:t>even if the 180-day period in PAJA</w:t>
      </w:r>
      <w:r w:rsidR="0090117E">
        <w:rPr>
          <w:sz w:val="24"/>
        </w:rPr>
        <w:t xml:space="preserve"> </w:t>
      </w:r>
      <w:r w:rsidR="00512F1C" w:rsidRPr="006A3BF7">
        <w:rPr>
          <w:sz w:val="24"/>
        </w:rPr>
        <w:t xml:space="preserve">applied, the Applicant unreasonably delayed commencing proceedings and </w:t>
      </w:r>
      <w:r w:rsidR="0090117E">
        <w:rPr>
          <w:sz w:val="24"/>
        </w:rPr>
        <w:t xml:space="preserve">has </w:t>
      </w:r>
      <w:r w:rsidR="00512F1C" w:rsidRPr="006A3BF7">
        <w:rPr>
          <w:sz w:val="24"/>
        </w:rPr>
        <w:t>not applied for condonation, nor justified that it should be granted;</w:t>
      </w:r>
    </w:p>
    <w:p w14:paraId="541D895D" w14:textId="7FF0FF21" w:rsidR="0090117E" w:rsidRDefault="006C4312" w:rsidP="006C4312">
      <w:pPr>
        <w:tabs>
          <w:tab w:val="left" w:pos="0"/>
          <w:tab w:val="left" w:pos="1134"/>
          <w:tab w:val="left" w:pos="1985"/>
          <w:tab w:val="right" w:pos="8595"/>
        </w:tabs>
        <w:spacing w:before="400" w:after="400" w:line="480" w:lineRule="auto"/>
        <w:ind w:left="1985" w:hanging="851"/>
        <w:jc w:val="both"/>
        <w:rPr>
          <w:sz w:val="24"/>
        </w:rPr>
      </w:pPr>
      <w:r>
        <w:rPr>
          <w:sz w:val="24"/>
        </w:rPr>
        <w:t>[29.3]</w:t>
      </w:r>
      <w:r>
        <w:rPr>
          <w:sz w:val="24"/>
        </w:rPr>
        <w:tab/>
      </w:r>
      <w:r w:rsidR="00512F1C" w:rsidRPr="006A3BF7">
        <w:rPr>
          <w:sz w:val="24"/>
        </w:rPr>
        <w:t>the application did not comply with Rule 41A; and</w:t>
      </w:r>
    </w:p>
    <w:p w14:paraId="2F7E4238" w14:textId="4FC97DEE" w:rsidR="00512F1C" w:rsidRPr="0090117E" w:rsidRDefault="006C4312" w:rsidP="006C4312">
      <w:pPr>
        <w:tabs>
          <w:tab w:val="left" w:pos="0"/>
          <w:tab w:val="left" w:pos="1134"/>
          <w:tab w:val="left" w:pos="1985"/>
          <w:tab w:val="right" w:pos="8595"/>
        </w:tabs>
        <w:spacing w:before="400" w:after="400" w:line="480" w:lineRule="auto"/>
        <w:ind w:left="1985" w:hanging="851"/>
        <w:jc w:val="both"/>
        <w:rPr>
          <w:sz w:val="24"/>
        </w:rPr>
      </w:pPr>
      <w:r w:rsidRPr="0090117E">
        <w:rPr>
          <w:sz w:val="24"/>
        </w:rPr>
        <w:t>[29.4]</w:t>
      </w:r>
      <w:r w:rsidRPr="0090117E">
        <w:rPr>
          <w:sz w:val="24"/>
        </w:rPr>
        <w:tab/>
      </w:r>
      <w:r w:rsidR="00512F1C" w:rsidRPr="0090117E">
        <w:rPr>
          <w:sz w:val="24"/>
        </w:rPr>
        <w:t xml:space="preserve">the Applicant admitted to contravening the Regulations as alleged by the </w:t>
      </w:r>
      <w:r w:rsidR="0090117E">
        <w:rPr>
          <w:sz w:val="24"/>
        </w:rPr>
        <w:t>Respondent</w:t>
      </w:r>
      <w:r w:rsidR="00512F1C" w:rsidRPr="0090117E">
        <w:rPr>
          <w:sz w:val="24"/>
        </w:rPr>
        <w:t xml:space="preserve">, on its own version. </w:t>
      </w:r>
    </w:p>
    <w:p w14:paraId="2DA2A05B" w14:textId="294178F1" w:rsidR="00512F1C" w:rsidRPr="006A3BF7" w:rsidRDefault="006C4312" w:rsidP="006C4312">
      <w:pPr>
        <w:tabs>
          <w:tab w:val="left" w:pos="0"/>
          <w:tab w:val="left" w:pos="1134"/>
          <w:tab w:val="left" w:pos="1985"/>
          <w:tab w:val="right" w:pos="8595"/>
        </w:tabs>
        <w:spacing w:before="400" w:after="400" w:line="480" w:lineRule="auto"/>
        <w:jc w:val="both"/>
        <w:rPr>
          <w:sz w:val="24"/>
        </w:rPr>
      </w:pPr>
      <w:r w:rsidRPr="006A3BF7">
        <w:rPr>
          <w:sz w:val="24"/>
        </w:rPr>
        <w:t>[30]</w:t>
      </w:r>
      <w:r w:rsidRPr="006A3BF7">
        <w:rPr>
          <w:sz w:val="24"/>
        </w:rPr>
        <w:tab/>
      </w:r>
      <w:r w:rsidR="00512F1C" w:rsidRPr="006A3BF7">
        <w:rPr>
          <w:sz w:val="24"/>
        </w:rPr>
        <w:t xml:space="preserve">The </w:t>
      </w:r>
      <w:r w:rsidR="0090117E">
        <w:rPr>
          <w:sz w:val="24"/>
        </w:rPr>
        <w:t>questions arising for determination are</w:t>
      </w:r>
      <w:r w:rsidR="00512F1C" w:rsidRPr="006A3BF7">
        <w:rPr>
          <w:sz w:val="24"/>
        </w:rPr>
        <w:t xml:space="preserve">: </w:t>
      </w:r>
    </w:p>
    <w:p w14:paraId="7D75D408" w14:textId="413F0221" w:rsidR="00512F1C" w:rsidRPr="006A3BF7" w:rsidRDefault="006C4312" w:rsidP="006C4312">
      <w:pPr>
        <w:tabs>
          <w:tab w:val="left" w:pos="0"/>
          <w:tab w:val="left" w:pos="1134"/>
          <w:tab w:val="left" w:pos="1985"/>
          <w:tab w:val="right" w:pos="8595"/>
        </w:tabs>
        <w:spacing w:before="400" w:after="400" w:line="480" w:lineRule="auto"/>
        <w:ind w:left="1985" w:hanging="851"/>
        <w:jc w:val="both"/>
        <w:rPr>
          <w:sz w:val="24"/>
        </w:rPr>
      </w:pPr>
      <w:r w:rsidRPr="006A3BF7">
        <w:rPr>
          <w:sz w:val="24"/>
        </w:rPr>
        <w:t>[30.1]</w:t>
      </w:r>
      <w:r w:rsidRPr="006A3BF7">
        <w:rPr>
          <w:sz w:val="24"/>
        </w:rPr>
        <w:tab/>
      </w:r>
      <w:r w:rsidR="0090117E">
        <w:rPr>
          <w:sz w:val="24"/>
        </w:rPr>
        <w:t xml:space="preserve">whether </w:t>
      </w:r>
      <w:r w:rsidR="00512F1C" w:rsidRPr="006A3BF7">
        <w:rPr>
          <w:sz w:val="24"/>
        </w:rPr>
        <w:t xml:space="preserve">the 90-day deadline contained in the Currency Act and Regulations applies;  </w:t>
      </w:r>
    </w:p>
    <w:p w14:paraId="51621C68" w14:textId="77563513" w:rsidR="00512F1C" w:rsidRPr="006A3BF7" w:rsidRDefault="006C4312" w:rsidP="006C4312">
      <w:pPr>
        <w:tabs>
          <w:tab w:val="left" w:pos="0"/>
          <w:tab w:val="left" w:pos="1134"/>
          <w:tab w:val="left" w:pos="1985"/>
          <w:tab w:val="right" w:pos="8595"/>
        </w:tabs>
        <w:spacing w:before="400" w:after="400" w:line="480" w:lineRule="auto"/>
        <w:ind w:left="1985" w:hanging="851"/>
        <w:jc w:val="both"/>
        <w:rPr>
          <w:sz w:val="24"/>
        </w:rPr>
      </w:pPr>
      <w:r w:rsidRPr="006A3BF7">
        <w:rPr>
          <w:sz w:val="24"/>
        </w:rPr>
        <w:lastRenderedPageBreak/>
        <w:t>[30.2]</w:t>
      </w:r>
      <w:r w:rsidRPr="006A3BF7">
        <w:rPr>
          <w:sz w:val="24"/>
        </w:rPr>
        <w:tab/>
      </w:r>
      <w:r w:rsidR="0090117E">
        <w:rPr>
          <w:sz w:val="24"/>
        </w:rPr>
        <w:t>i</w:t>
      </w:r>
      <w:r w:rsidR="00512F1C" w:rsidRPr="006A3BF7">
        <w:rPr>
          <w:sz w:val="24"/>
        </w:rPr>
        <w:t>f the 90-day deadline is applicable, whether the Currency Act and the Regulations allow for a delay that exceeds a 90-day time period to be condoned;</w:t>
      </w:r>
      <w:r w:rsidR="0090117E">
        <w:rPr>
          <w:sz w:val="24"/>
        </w:rPr>
        <w:t xml:space="preserve"> </w:t>
      </w:r>
      <w:r w:rsidR="00512F1C" w:rsidRPr="006A3BF7">
        <w:rPr>
          <w:sz w:val="24"/>
        </w:rPr>
        <w:t xml:space="preserve"> </w:t>
      </w:r>
    </w:p>
    <w:p w14:paraId="710EA35E" w14:textId="7ED97479" w:rsidR="00512F1C" w:rsidRPr="006A3BF7" w:rsidRDefault="006C4312" w:rsidP="006C4312">
      <w:pPr>
        <w:tabs>
          <w:tab w:val="left" w:pos="0"/>
          <w:tab w:val="left" w:pos="1134"/>
          <w:tab w:val="left" w:pos="1985"/>
          <w:tab w:val="right" w:pos="8595"/>
        </w:tabs>
        <w:spacing w:before="400" w:after="400" w:line="480" w:lineRule="auto"/>
        <w:ind w:left="1985" w:hanging="851"/>
        <w:jc w:val="both"/>
        <w:rPr>
          <w:sz w:val="24"/>
        </w:rPr>
      </w:pPr>
      <w:r w:rsidRPr="006A3BF7">
        <w:rPr>
          <w:sz w:val="24"/>
        </w:rPr>
        <w:t>[30.3]</w:t>
      </w:r>
      <w:r w:rsidRPr="006A3BF7">
        <w:rPr>
          <w:sz w:val="24"/>
        </w:rPr>
        <w:tab/>
      </w:r>
      <w:r w:rsidR="0090117E">
        <w:rPr>
          <w:sz w:val="24"/>
        </w:rPr>
        <w:t>i</w:t>
      </w:r>
      <w:r w:rsidR="00512F1C" w:rsidRPr="006A3BF7">
        <w:rPr>
          <w:sz w:val="24"/>
        </w:rPr>
        <w:t xml:space="preserve">f the 180-day time period under PAJA is applicable, whether the Applicant has brought its review application within a reasonable time, and if not, whether the Applicant’s delay should be condoned; </w:t>
      </w:r>
    </w:p>
    <w:p w14:paraId="032294BA" w14:textId="6AE8C4F9" w:rsidR="00512F1C" w:rsidRPr="006A3BF7" w:rsidRDefault="006C4312" w:rsidP="006C4312">
      <w:pPr>
        <w:tabs>
          <w:tab w:val="left" w:pos="0"/>
          <w:tab w:val="left" w:pos="1134"/>
          <w:tab w:val="left" w:pos="1985"/>
          <w:tab w:val="right" w:pos="8595"/>
        </w:tabs>
        <w:spacing w:before="400" w:after="400" w:line="480" w:lineRule="auto"/>
        <w:ind w:left="1985" w:hanging="851"/>
        <w:jc w:val="both"/>
        <w:rPr>
          <w:sz w:val="24"/>
        </w:rPr>
      </w:pPr>
      <w:r w:rsidRPr="006A3BF7">
        <w:rPr>
          <w:sz w:val="24"/>
        </w:rPr>
        <w:t>[30.4]</w:t>
      </w:r>
      <w:r w:rsidRPr="006A3BF7">
        <w:rPr>
          <w:sz w:val="24"/>
        </w:rPr>
        <w:tab/>
      </w:r>
      <w:r w:rsidR="0090117E">
        <w:rPr>
          <w:sz w:val="24"/>
        </w:rPr>
        <w:t>w</w:t>
      </w:r>
      <w:r w:rsidR="00512F1C" w:rsidRPr="006A3BF7">
        <w:rPr>
          <w:sz w:val="24"/>
        </w:rPr>
        <w:t xml:space="preserve">hether the Applicant complied with its obligations under Rule 41A and, if not, the consequences for such non-compliance; and </w:t>
      </w:r>
    </w:p>
    <w:p w14:paraId="25001F78" w14:textId="74869AAD" w:rsidR="00512F1C" w:rsidRPr="006A3BF7" w:rsidRDefault="006C4312" w:rsidP="006C4312">
      <w:pPr>
        <w:tabs>
          <w:tab w:val="left" w:pos="0"/>
          <w:tab w:val="left" w:pos="1134"/>
          <w:tab w:val="left" w:pos="1985"/>
          <w:tab w:val="right" w:pos="8595"/>
        </w:tabs>
        <w:spacing w:before="400" w:after="400" w:line="480" w:lineRule="auto"/>
        <w:ind w:left="1985" w:hanging="851"/>
        <w:jc w:val="both"/>
        <w:rPr>
          <w:sz w:val="24"/>
        </w:rPr>
      </w:pPr>
      <w:r w:rsidRPr="006A3BF7">
        <w:rPr>
          <w:sz w:val="24"/>
        </w:rPr>
        <w:t>[30.5]</w:t>
      </w:r>
      <w:r w:rsidRPr="006A3BF7">
        <w:rPr>
          <w:sz w:val="24"/>
        </w:rPr>
        <w:tab/>
      </w:r>
      <w:r w:rsidR="0090117E">
        <w:rPr>
          <w:sz w:val="24"/>
        </w:rPr>
        <w:t>l</w:t>
      </w:r>
      <w:r w:rsidR="009F652B" w:rsidRPr="006A3BF7">
        <w:rPr>
          <w:sz w:val="24"/>
        </w:rPr>
        <w:t xml:space="preserve">astly, whether or not the </w:t>
      </w:r>
      <w:r w:rsidR="0090117E">
        <w:rPr>
          <w:sz w:val="24"/>
        </w:rPr>
        <w:t xml:space="preserve">Respondent’s </w:t>
      </w:r>
      <w:r w:rsidR="009F652B" w:rsidRPr="006A3BF7">
        <w:rPr>
          <w:sz w:val="24"/>
        </w:rPr>
        <w:t xml:space="preserve">forfeiture decision is invalid and unlawful, on the basis that: </w:t>
      </w:r>
    </w:p>
    <w:p w14:paraId="49289F10" w14:textId="1ACE39A8" w:rsidR="009F652B" w:rsidRPr="006A3BF7" w:rsidRDefault="006C4312" w:rsidP="006C4312">
      <w:pPr>
        <w:tabs>
          <w:tab w:val="left" w:pos="0"/>
          <w:tab w:val="left" w:pos="1134"/>
          <w:tab w:val="left" w:pos="1985"/>
          <w:tab w:val="left" w:pos="2835"/>
          <w:tab w:val="right" w:pos="8595"/>
        </w:tabs>
        <w:spacing w:before="400" w:after="400" w:line="480" w:lineRule="auto"/>
        <w:ind w:left="2835" w:hanging="850"/>
        <w:jc w:val="both"/>
        <w:rPr>
          <w:sz w:val="24"/>
        </w:rPr>
      </w:pPr>
      <w:r w:rsidRPr="006A3BF7">
        <w:rPr>
          <w:sz w:val="24"/>
        </w:rPr>
        <w:t>[30.5.1]</w:t>
      </w:r>
      <w:r w:rsidRPr="006A3BF7">
        <w:rPr>
          <w:sz w:val="24"/>
        </w:rPr>
        <w:tab/>
      </w:r>
      <w:r w:rsidR="009F652B" w:rsidRPr="006A3BF7">
        <w:rPr>
          <w:sz w:val="24"/>
        </w:rPr>
        <w:t>the impugned decision is irrational, arbitrary and capricious; and</w:t>
      </w:r>
      <w:r w:rsidR="00F02493">
        <w:rPr>
          <w:sz w:val="24"/>
        </w:rPr>
        <w:t>/or</w:t>
      </w:r>
      <w:r w:rsidR="009F652B" w:rsidRPr="006A3BF7">
        <w:rPr>
          <w:sz w:val="24"/>
        </w:rPr>
        <w:t xml:space="preserve"> </w:t>
      </w:r>
    </w:p>
    <w:p w14:paraId="4070B119" w14:textId="4CC0C83A" w:rsidR="009F652B" w:rsidRPr="006A3BF7" w:rsidRDefault="006C4312" w:rsidP="006C4312">
      <w:pPr>
        <w:tabs>
          <w:tab w:val="left" w:pos="0"/>
          <w:tab w:val="left" w:pos="1134"/>
          <w:tab w:val="left" w:pos="1985"/>
          <w:tab w:val="left" w:pos="2835"/>
          <w:tab w:val="right" w:pos="8595"/>
        </w:tabs>
        <w:spacing w:before="400" w:after="400" w:line="480" w:lineRule="auto"/>
        <w:ind w:left="2835" w:hanging="850"/>
        <w:jc w:val="both"/>
        <w:rPr>
          <w:sz w:val="24"/>
        </w:rPr>
      </w:pPr>
      <w:r w:rsidRPr="006A3BF7">
        <w:rPr>
          <w:sz w:val="24"/>
        </w:rPr>
        <w:t>[30.5.2]</w:t>
      </w:r>
      <w:r w:rsidRPr="006A3BF7">
        <w:rPr>
          <w:sz w:val="24"/>
        </w:rPr>
        <w:tab/>
      </w:r>
      <w:r w:rsidR="009F652B" w:rsidRPr="006A3BF7">
        <w:rPr>
          <w:sz w:val="24"/>
        </w:rPr>
        <w:t xml:space="preserve">the </w:t>
      </w:r>
      <w:r w:rsidR="00DD48E2">
        <w:rPr>
          <w:sz w:val="24"/>
        </w:rPr>
        <w:t xml:space="preserve">Respondent </w:t>
      </w:r>
      <w:r w:rsidR="009F652B" w:rsidRPr="006A3BF7">
        <w:rPr>
          <w:sz w:val="24"/>
        </w:rPr>
        <w:t xml:space="preserve">unfairly ignored the Applicant’s representations. </w:t>
      </w:r>
    </w:p>
    <w:p w14:paraId="6EB232F1" w14:textId="77777777" w:rsidR="00CD0C98" w:rsidRDefault="00CD0C98" w:rsidP="009F652B">
      <w:pPr>
        <w:tabs>
          <w:tab w:val="left" w:pos="0"/>
          <w:tab w:val="left" w:pos="1134"/>
          <w:tab w:val="left" w:pos="1985"/>
          <w:tab w:val="left" w:pos="2835"/>
          <w:tab w:val="right" w:pos="8595"/>
        </w:tabs>
        <w:spacing w:before="400" w:after="400" w:line="480" w:lineRule="auto"/>
        <w:jc w:val="both"/>
        <w:rPr>
          <w:b/>
          <w:bCs/>
          <w:sz w:val="24"/>
          <w:u w:val="single"/>
        </w:rPr>
      </w:pPr>
    </w:p>
    <w:p w14:paraId="702A6217" w14:textId="37345BCA" w:rsidR="009F652B" w:rsidRPr="006A3BF7" w:rsidRDefault="005B1F46" w:rsidP="009F652B">
      <w:pPr>
        <w:tabs>
          <w:tab w:val="left" w:pos="0"/>
          <w:tab w:val="left" w:pos="1134"/>
          <w:tab w:val="left" w:pos="1985"/>
          <w:tab w:val="left" w:pos="2835"/>
          <w:tab w:val="right" w:pos="8595"/>
        </w:tabs>
        <w:spacing w:before="400" w:after="400" w:line="480" w:lineRule="auto"/>
        <w:jc w:val="both"/>
        <w:rPr>
          <w:b/>
          <w:bCs/>
          <w:sz w:val="24"/>
          <w:u w:val="single"/>
        </w:rPr>
      </w:pPr>
      <w:r>
        <w:rPr>
          <w:b/>
          <w:bCs/>
          <w:sz w:val="24"/>
          <w:u w:val="single"/>
        </w:rPr>
        <w:t xml:space="preserve">SECTION 9 OF THE CURRENCY ACT AND </w:t>
      </w:r>
      <w:r w:rsidR="009F652B" w:rsidRPr="006A3BF7">
        <w:rPr>
          <w:b/>
          <w:bCs/>
          <w:sz w:val="24"/>
          <w:u w:val="single"/>
        </w:rPr>
        <w:t xml:space="preserve">RELEVANT REGULATIONS </w:t>
      </w:r>
    </w:p>
    <w:p w14:paraId="08C4FA5C" w14:textId="599BE583" w:rsidR="009C3FF1" w:rsidRPr="006A3BF7" w:rsidRDefault="006C4312" w:rsidP="006C4312">
      <w:pPr>
        <w:tabs>
          <w:tab w:val="left" w:pos="0"/>
          <w:tab w:val="left" w:pos="1134"/>
          <w:tab w:val="left" w:pos="1985"/>
          <w:tab w:val="right" w:pos="8595"/>
        </w:tabs>
        <w:spacing w:before="400" w:after="400" w:line="480" w:lineRule="auto"/>
        <w:jc w:val="both"/>
        <w:rPr>
          <w:sz w:val="24"/>
        </w:rPr>
      </w:pPr>
      <w:r w:rsidRPr="006A3BF7">
        <w:rPr>
          <w:sz w:val="24"/>
        </w:rPr>
        <w:t>[31]</w:t>
      </w:r>
      <w:r w:rsidRPr="006A3BF7">
        <w:rPr>
          <w:sz w:val="24"/>
        </w:rPr>
        <w:tab/>
      </w:r>
      <w:r w:rsidR="009C3FF1">
        <w:rPr>
          <w:sz w:val="24"/>
        </w:rPr>
        <w:t xml:space="preserve">Sections 9(1) and 9(2) of the Currency Act provides as follows: </w:t>
      </w:r>
    </w:p>
    <w:p w14:paraId="07C54C5B" w14:textId="77777777" w:rsidR="009C3FF1" w:rsidRPr="009D34AB" w:rsidRDefault="009C3FF1" w:rsidP="009C3FF1">
      <w:pPr>
        <w:tabs>
          <w:tab w:val="left" w:pos="1985"/>
          <w:tab w:val="right" w:pos="8595"/>
        </w:tabs>
        <w:spacing w:before="400" w:after="400" w:line="360" w:lineRule="auto"/>
        <w:ind w:left="1701" w:hanging="567"/>
        <w:jc w:val="both"/>
        <w:rPr>
          <w:i/>
          <w:iCs/>
          <w:sz w:val="24"/>
        </w:rPr>
      </w:pPr>
      <w:r w:rsidRPr="006A3BF7">
        <w:rPr>
          <w:sz w:val="24"/>
        </w:rPr>
        <w:lastRenderedPageBreak/>
        <w:t>“</w:t>
      </w:r>
      <w:hyperlink r:id="rId9" w:tgtFrame="main" w:history="1">
        <w:r w:rsidRPr="009D34AB">
          <w:rPr>
            <w:rFonts w:eastAsia="Times New Roman"/>
            <w:b/>
            <w:bCs/>
            <w:i/>
            <w:iCs/>
            <w:sz w:val="24"/>
            <w:lang w:eastAsia="en-ZA"/>
          </w:rPr>
          <w:t>9</w:t>
        </w:r>
      </w:hyperlink>
      <w:r w:rsidRPr="009D34AB">
        <w:rPr>
          <w:rFonts w:eastAsia="Times New Roman"/>
          <w:b/>
          <w:bCs/>
          <w:i/>
          <w:iCs/>
          <w:sz w:val="24"/>
          <w:lang w:eastAsia="en-ZA"/>
        </w:rPr>
        <w:t xml:space="preserve">  </w:t>
      </w:r>
      <w:r>
        <w:rPr>
          <w:rFonts w:eastAsia="Times New Roman"/>
          <w:b/>
          <w:bCs/>
          <w:i/>
          <w:iCs/>
          <w:sz w:val="24"/>
          <w:lang w:eastAsia="en-ZA"/>
        </w:rPr>
        <w:tab/>
      </w:r>
      <w:r w:rsidRPr="009D34AB">
        <w:rPr>
          <w:rFonts w:eastAsia="Times New Roman"/>
          <w:b/>
          <w:bCs/>
          <w:i/>
          <w:iCs/>
          <w:sz w:val="24"/>
          <w:lang w:eastAsia="en-ZA"/>
        </w:rPr>
        <w:t>Regulations regarding currency, banking or the exchanges</w:t>
      </w:r>
      <w:bookmarkStart w:id="0" w:name="0-0-0-33325"/>
      <w:bookmarkEnd w:id="0"/>
    </w:p>
    <w:p w14:paraId="370EE3A0" w14:textId="77777777" w:rsidR="009C3FF1" w:rsidRPr="009D34AB" w:rsidRDefault="00FC0D41" w:rsidP="009C3FF1">
      <w:pPr>
        <w:tabs>
          <w:tab w:val="left" w:pos="2268"/>
          <w:tab w:val="right" w:pos="8595"/>
        </w:tabs>
        <w:spacing w:before="400" w:after="400" w:line="360" w:lineRule="auto"/>
        <w:ind w:left="2268" w:hanging="567"/>
        <w:jc w:val="both"/>
        <w:rPr>
          <w:i/>
          <w:iCs/>
          <w:sz w:val="24"/>
        </w:rPr>
      </w:pPr>
      <w:hyperlink r:id="rId10" w:tgtFrame="main" w:history="1">
        <w:r w:rsidR="009C3FF1" w:rsidRPr="009D34AB">
          <w:rPr>
            <w:rFonts w:eastAsia="Times New Roman"/>
            <w:i/>
            <w:iCs/>
            <w:sz w:val="24"/>
            <w:lang w:eastAsia="en-ZA"/>
          </w:rPr>
          <w:t>(1)</w:t>
        </w:r>
      </w:hyperlink>
      <w:r w:rsidR="009C3FF1" w:rsidRPr="009D34AB">
        <w:rPr>
          <w:rFonts w:eastAsia="Times New Roman"/>
          <w:i/>
          <w:iCs/>
          <w:sz w:val="24"/>
          <w:lang w:eastAsia="en-ZA"/>
        </w:rPr>
        <w:t> </w:t>
      </w:r>
      <w:r w:rsidR="009C3FF1">
        <w:rPr>
          <w:rFonts w:eastAsia="Times New Roman"/>
          <w:i/>
          <w:iCs/>
          <w:sz w:val="24"/>
          <w:lang w:eastAsia="en-ZA"/>
        </w:rPr>
        <w:tab/>
      </w:r>
      <w:r w:rsidR="009C3FF1" w:rsidRPr="009D34AB">
        <w:rPr>
          <w:rFonts w:eastAsia="Times New Roman"/>
          <w:i/>
          <w:iCs/>
          <w:sz w:val="24"/>
          <w:lang w:eastAsia="en-ZA"/>
        </w:rPr>
        <w:t>The Governor-General may make regulations in regard to any matter directly or indirectly relating to or affecting or having any bearing upon currency, banking or exchanges.</w:t>
      </w:r>
      <w:bookmarkStart w:id="1" w:name="0-0-0-33329"/>
      <w:bookmarkEnd w:id="1"/>
    </w:p>
    <w:p w14:paraId="513F3D2D" w14:textId="77777777" w:rsidR="009C3FF1" w:rsidRDefault="009C3FF1" w:rsidP="009C3FF1">
      <w:pPr>
        <w:tabs>
          <w:tab w:val="left" w:pos="2268"/>
          <w:tab w:val="left" w:pos="2835"/>
          <w:tab w:val="right" w:pos="8595"/>
        </w:tabs>
        <w:spacing w:before="400" w:after="400" w:line="360" w:lineRule="auto"/>
        <w:ind w:left="2835" w:hanging="1134"/>
        <w:jc w:val="both"/>
        <w:rPr>
          <w:i/>
          <w:iCs/>
          <w:sz w:val="24"/>
        </w:rPr>
      </w:pPr>
      <w:r w:rsidRPr="009D34AB">
        <w:rPr>
          <w:rFonts w:eastAsia="Times New Roman"/>
          <w:i/>
          <w:iCs/>
          <w:sz w:val="24"/>
          <w:lang w:eastAsia="en-ZA"/>
        </w:rPr>
        <w:t>(2) </w:t>
      </w:r>
      <w:bookmarkStart w:id="2" w:name="0-0-0-33331"/>
      <w:bookmarkEnd w:id="2"/>
      <w:r>
        <w:rPr>
          <w:rFonts w:eastAsia="Times New Roman"/>
          <w:i/>
          <w:iCs/>
          <w:sz w:val="24"/>
          <w:lang w:eastAsia="en-ZA"/>
        </w:rPr>
        <w:tab/>
      </w:r>
      <w:r w:rsidRPr="009D34AB">
        <w:rPr>
          <w:rFonts w:eastAsia="Times New Roman"/>
          <w:i/>
          <w:iCs/>
          <w:sz w:val="24"/>
          <w:lang w:eastAsia="en-ZA"/>
        </w:rPr>
        <w:t>(a) </w:t>
      </w:r>
      <w:r>
        <w:rPr>
          <w:rFonts w:eastAsia="Times New Roman"/>
          <w:i/>
          <w:iCs/>
          <w:sz w:val="24"/>
          <w:lang w:eastAsia="en-ZA"/>
        </w:rPr>
        <w:tab/>
      </w:r>
      <w:r w:rsidRPr="009D34AB">
        <w:rPr>
          <w:rFonts w:eastAsia="Times New Roman"/>
          <w:i/>
          <w:iCs/>
          <w:sz w:val="24"/>
          <w:lang w:eastAsia="en-ZA"/>
        </w:rPr>
        <w:t>Such regulations may provide that the Governor-General may apply any sanctions therein set forth which he thinks fit to impose, whether civil or criminal.</w:t>
      </w:r>
      <w:bookmarkStart w:id="3" w:name="0-0-0-33333"/>
      <w:bookmarkEnd w:id="3"/>
    </w:p>
    <w:p w14:paraId="021ACF34" w14:textId="77777777" w:rsidR="009C3FF1" w:rsidRPr="009D34AB" w:rsidRDefault="009C3FF1" w:rsidP="009C3FF1">
      <w:pPr>
        <w:tabs>
          <w:tab w:val="left" w:pos="2835"/>
          <w:tab w:val="right" w:pos="8595"/>
        </w:tabs>
        <w:spacing w:before="400" w:after="400" w:line="360" w:lineRule="auto"/>
        <w:ind w:left="2835" w:hanging="567"/>
        <w:jc w:val="both"/>
        <w:rPr>
          <w:i/>
          <w:iCs/>
          <w:sz w:val="24"/>
        </w:rPr>
      </w:pPr>
      <w:r w:rsidRPr="009D34AB">
        <w:rPr>
          <w:rFonts w:eastAsia="Times New Roman"/>
          <w:i/>
          <w:iCs/>
          <w:sz w:val="24"/>
          <w:lang w:eastAsia="en-ZA"/>
        </w:rPr>
        <w:t>(b) </w:t>
      </w:r>
      <w:r>
        <w:rPr>
          <w:rFonts w:eastAsia="Times New Roman"/>
          <w:i/>
          <w:iCs/>
          <w:sz w:val="24"/>
          <w:lang w:eastAsia="en-ZA"/>
        </w:rPr>
        <w:tab/>
      </w:r>
      <w:r w:rsidRPr="009D34AB">
        <w:rPr>
          <w:rFonts w:eastAsia="Times New Roman"/>
          <w:i/>
          <w:iCs/>
          <w:sz w:val="24"/>
          <w:lang w:eastAsia="en-ZA"/>
        </w:rPr>
        <w:t>Any regulation contemplated in paragraph (a) may provide for-</w:t>
      </w:r>
    </w:p>
    <w:p w14:paraId="598BA7ED" w14:textId="77777777" w:rsidR="009C3FF1" w:rsidRPr="009D34AB" w:rsidRDefault="00FC0D41" w:rsidP="009C3FF1">
      <w:pPr>
        <w:tabs>
          <w:tab w:val="left" w:pos="1985"/>
          <w:tab w:val="right" w:pos="8595"/>
        </w:tabs>
        <w:spacing w:before="400" w:after="400" w:line="360" w:lineRule="auto"/>
        <w:ind w:left="3402" w:hanging="567"/>
        <w:jc w:val="both"/>
        <w:rPr>
          <w:i/>
          <w:iCs/>
          <w:sz w:val="24"/>
        </w:rPr>
      </w:pPr>
      <w:hyperlink r:id="rId11" w:tgtFrame="main" w:history="1">
        <w:r w:rsidR="009C3FF1" w:rsidRPr="009D34AB">
          <w:rPr>
            <w:rFonts w:eastAsia="Times New Roman"/>
            <w:i/>
            <w:iCs/>
            <w:sz w:val="24"/>
            <w:lang w:eastAsia="en-ZA"/>
          </w:rPr>
          <w:t>(i)</w:t>
        </w:r>
      </w:hyperlink>
      <w:r w:rsidR="009C3FF1" w:rsidRPr="009D34AB">
        <w:rPr>
          <w:rFonts w:eastAsia="Times New Roman"/>
          <w:i/>
          <w:iCs/>
          <w:sz w:val="24"/>
          <w:lang w:eastAsia="en-ZA"/>
        </w:rPr>
        <w:t>  </w:t>
      </w:r>
      <w:r w:rsidR="009C3FF1">
        <w:rPr>
          <w:rFonts w:eastAsia="Times New Roman"/>
          <w:i/>
          <w:iCs/>
          <w:sz w:val="24"/>
          <w:lang w:eastAsia="en-ZA"/>
        </w:rPr>
        <w:tab/>
      </w:r>
      <w:r w:rsidR="009C3FF1" w:rsidRPr="009D34AB">
        <w:rPr>
          <w:rFonts w:eastAsia="Times New Roman"/>
          <w:i/>
          <w:iCs/>
          <w:sz w:val="24"/>
          <w:lang w:eastAsia="en-ZA"/>
        </w:rPr>
        <w:t>the blocking, attachment and obtaining of interdicts for a period referred to in paragraph (g) by the Treasury and the forfeiture and disposal by the Treasury of any money or goods referred to or defined in the regulations or determined in terms of the regulations or any money or goods into which such money or goods have been transformed by any person, and-</w:t>
      </w:r>
      <w:bookmarkStart w:id="4" w:name="0-0-0-33339"/>
      <w:bookmarkEnd w:id="4"/>
    </w:p>
    <w:p w14:paraId="5DB6051E" w14:textId="77777777" w:rsidR="009C3FF1" w:rsidRPr="009D34AB" w:rsidRDefault="00FC0D41" w:rsidP="009C3FF1">
      <w:pPr>
        <w:tabs>
          <w:tab w:val="left" w:pos="1985"/>
          <w:tab w:val="right" w:pos="8595"/>
        </w:tabs>
        <w:spacing w:before="400" w:after="400" w:line="360" w:lineRule="auto"/>
        <w:ind w:left="3969" w:hanging="567"/>
        <w:jc w:val="both"/>
        <w:rPr>
          <w:i/>
          <w:iCs/>
          <w:sz w:val="24"/>
        </w:rPr>
      </w:pPr>
      <w:hyperlink r:id="rId12" w:tgtFrame="main" w:history="1">
        <w:r w:rsidR="009C3FF1" w:rsidRPr="009D34AB">
          <w:rPr>
            <w:rFonts w:eastAsia="Times New Roman"/>
            <w:i/>
            <w:iCs/>
            <w:sz w:val="24"/>
            <w:lang w:eastAsia="en-ZA"/>
          </w:rPr>
          <w:t>(aa)</w:t>
        </w:r>
      </w:hyperlink>
      <w:r w:rsidR="009C3FF1" w:rsidRPr="009D34AB">
        <w:rPr>
          <w:rFonts w:eastAsia="Times New Roman"/>
          <w:i/>
          <w:iCs/>
          <w:sz w:val="24"/>
          <w:lang w:eastAsia="en-ZA"/>
        </w:rPr>
        <w:t>  which are suspected by the Treasury on reasonable grounds to be involved in an offence or suspected offence against any regulation referred to in this section, or in respect of which such offence has been committed or so suspected to have been committed;</w:t>
      </w:r>
      <w:bookmarkStart w:id="5" w:name="0-0-0-33343"/>
      <w:bookmarkEnd w:id="5"/>
    </w:p>
    <w:p w14:paraId="2AEF2E76" w14:textId="77777777" w:rsidR="009C3FF1" w:rsidRPr="009D34AB" w:rsidRDefault="009C3FF1" w:rsidP="009C3FF1">
      <w:pPr>
        <w:tabs>
          <w:tab w:val="left" w:pos="1985"/>
          <w:tab w:val="right" w:pos="8595"/>
        </w:tabs>
        <w:spacing w:before="400" w:after="400" w:line="360" w:lineRule="auto"/>
        <w:ind w:left="3969" w:hanging="567"/>
        <w:jc w:val="both"/>
        <w:rPr>
          <w:i/>
          <w:iCs/>
          <w:sz w:val="24"/>
        </w:rPr>
      </w:pPr>
      <w:r w:rsidRPr="009D34AB">
        <w:rPr>
          <w:rFonts w:eastAsia="Times New Roman"/>
          <w:i/>
          <w:iCs/>
          <w:sz w:val="24"/>
          <w:lang w:eastAsia="en-ZA"/>
        </w:rPr>
        <w:t xml:space="preserve"> (bb)  which are in the possession of the offender, suspected offender or any other person or have been obtained by any such person or are due to any such person and which would </w:t>
      </w:r>
      <w:r w:rsidRPr="009D34AB">
        <w:rPr>
          <w:rFonts w:eastAsia="Times New Roman"/>
          <w:i/>
          <w:iCs/>
          <w:sz w:val="24"/>
          <w:lang w:eastAsia="en-ZA"/>
        </w:rPr>
        <w:lastRenderedPageBreak/>
        <w:t>not have been in such possession or so obtained or due if such offence or suspected offence had not been committed; or</w:t>
      </w:r>
      <w:bookmarkStart w:id="6" w:name="0-0-0-33345"/>
      <w:bookmarkEnd w:id="6"/>
    </w:p>
    <w:p w14:paraId="34D6212F" w14:textId="77777777" w:rsidR="009C3FF1" w:rsidRDefault="009C3FF1" w:rsidP="009C3FF1">
      <w:pPr>
        <w:tabs>
          <w:tab w:val="left" w:pos="1985"/>
          <w:tab w:val="right" w:pos="8595"/>
        </w:tabs>
        <w:spacing w:before="400" w:after="400" w:line="360" w:lineRule="auto"/>
        <w:ind w:left="3969" w:hanging="567"/>
        <w:jc w:val="both"/>
        <w:rPr>
          <w:rFonts w:eastAsia="Times New Roman"/>
          <w:i/>
          <w:iCs/>
          <w:sz w:val="24"/>
          <w:lang w:eastAsia="en-ZA"/>
        </w:rPr>
      </w:pPr>
      <w:r w:rsidRPr="009D34AB">
        <w:rPr>
          <w:rFonts w:eastAsia="Times New Roman"/>
          <w:i/>
          <w:iCs/>
          <w:sz w:val="24"/>
          <w:lang w:eastAsia="en-ZA"/>
        </w:rPr>
        <w:t xml:space="preserve"> (cc)  by which the offender, suspected offender or any other person has been benefited or enriched as a result of such offence or suspected offence-</w:t>
      </w:r>
    </w:p>
    <w:p w14:paraId="15C3EA62" w14:textId="77777777" w:rsidR="009C3FF1" w:rsidRPr="00E858C7" w:rsidRDefault="009C3FF1" w:rsidP="009C3FF1">
      <w:pPr>
        <w:tabs>
          <w:tab w:val="left" w:pos="1985"/>
          <w:tab w:val="right" w:pos="8595"/>
        </w:tabs>
        <w:spacing w:before="400" w:after="400" w:line="360" w:lineRule="auto"/>
        <w:ind w:left="3402"/>
        <w:jc w:val="both"/>
        <w:rPr>
          <w:rFonts w:eastAsia="Times New Roman"/>
          <w:i/>
          <w:iCs/>
          <w:sz w:val="24"/>
          <w:lang w:eastAsia="en-ZA"/>
        </w:rPr>
      </w:pPr>
      <w:r w:rsidRPr="009D34AB">
        <w:rPr>
          <w:rFonts w:eastAsia="Times New Roman"/>
          <w:i/>
          <w:iCs/>
          <w:sz w:val="24"/>
          <w:lang w:eastAsia="en-ZA"/>
        </w:rPr>
        <w:t>Provided that, in the case of any person other than the offender or suspected offender, no such money or goods shall be blocked, attached, interdicted, forfeited and disposed of if such money or goods were acquired by such person bona fide for reasonable consideration as a result of a transaction in the ordinary course of business and not in contravention of the regulations; and</w:t>
      </w:r>
      <w:bookmarkStart w:id="7" w:name="0-0-0-33347"/>
      <w:bookmarkEnd w:id="7"/>
    </w:p>
    <w:p w14:paraId="18037112" w14:textId="77777777" w:rsidR="009C3FF1" w:rsidRPr="009D34AB" w:rsidRDefault="009C3FF1" w:rsidP="009C3FF1">
      <w:pPr>
        <w:tabs>
          <w:tab w:val="left" w:pos="1985"/>
          <w:tab w:val="right" w:pos="8595"/>
        </w:tabs>
        <w:spacing w:before="400" w:after="400" w:line="360" w:lineRule="auto"/>
        <w:ind w:left="3969" w:hanging="567"/>
        <w:jc w:val="both"/>
        <w:rPr>
          <w:i/>
          <w:iCs/>
          <w:sz w:val="24"/>
        </w:rPr>
      </w:pPr>
      <w:r w:rsidRPr="009D34AB">
        <w:rPr>
          <w:rFonts w:eastAsia="Times New Roman"/>
          <w:i/>
          <w:iCs/>
          <w:sz w:val="24"/>
          <w:lang w:eastAsia="en-ZA"/>
        </w:rPr>
        <w:t xml:space="preserve"> (ii)   </w:t>
      </w:r>
      <w:r>
        <w:rPr>
          <w:rFonts w:eastAsia="Times New Roman"/>
          <w:i/>
          <w:iCs/>
          <w:sz w:val="24"/>
          <w:lang w:eastAsia="en-ZA"/>
        </w:rPr>
        <w:tab/>
      </w:r>
      <w:r w:rsidRPr="009D34AB">
        <w:rPr>
          <w:rFonts w:eastAsia="Times New Roman"/>
          <w:i/>
          <w:iCs/>
          <w:sz w:val="24"/>
          <w:lang w:eastAsia="en-ZA"/>
        </w:rPr>
        <w:t>in general, any matter which the State President deems necessary for the fulfilment of the objectives and purposes referred to in subparagraph (i), including the blocking, attachment, interdicting, forfeiture and disposal referred to in subparagraph (i) by the Treasury of any other money or goods belonging to the offender, suspected offender or any other person in order to recover an amount equal to the value of the money or goods, recoverable in terms of the regulations referred to in subparagraph (i), but which can for any reason not be so recovered.</w:t>
      </w:r>
      <w:bookmarkStart w:id="8" w:name="0-0-0-33351"/>
      <w:bookmarkEnd w:id="8"/>
    </w:p>
    <w:p w14:paraId="57156D3F" w14:textId="77777777" w:rsidR="009C3FF1" w:rsidRPr="009D34AB" w:rsidRDefault="00FC0D41" w:rsidP="009C3FF1">
      <w:pPr>
        <w:tabs>
          <w:tab w:val="left" w:pos="1985"/>
          <w:tab w:val="right" w:pos="8595"/>
        </w:tabs>
        <w:spacing w:before="400" w:after="400" w:line="360" w:lineRule="auto"/>
        <w:ind w:left="2835" w:hanging="567"/>
        <w:jc w:val="both"/>
        <w:rPr>
          <w:i/>
          <w:iCs/>
          <w:sz w:val="24"/>
        </w:rPr>
      </w:pPr>
      <w:hyperlink r:id="rId13" w:tgtFrame="main" w:history="1">
        <w:r w:rsidR="009C3FF1" w:rsidRPr="009D34AB">
          <w:rPr>
            <w:rFonts w:eastAsia="Times New Roman"/>
            <w:i/>
            <w:iCs/>
            <w:sz w:val="24"/>
            <w:lang w:eastAsia="en-ZA"/>
          </w:rPr>
          <w:t>(c)</w:t>
        </w:r>
      </w:hyperlink>
      <w:r w:rsidR="009C3FF1">
        <w:rPr>
          <w:rFonts w:eastAsia="Times New Roman"/>
          <w:i/>
          <w:iCs/>
          <w:sz w:val="24"/>
          <w:lang w:eastAsia="en-ZA"/>
        </w:rPr>
        <w:tab/>
      </w:r>
      <w:r w:rsidR="009C3FF1" w:rsidRPr="009D34AB">
        <w:rPr>
          <w:rFonts w:eastAsia="Times New Roman"/>
          <w:i/>
          <w:iCs/>
          <w:sz w:val="24"/>
          <w:lang w:eastAsia="en-ZA"/>
        </w:rPr>
        <w:t>Any regulation contemplated in paragraph (a) may authorize any person who is vested with any power or who shall fulfil any duty in terms of the regulation, to delegate such power or to assign such duty, as the case may be, to any other person.</w:t>
      </w:r>
      <w:bookmarkStart w:id="9" w:name="0-0-0-33355"/>
      <w:bookmarkEnd w:id="9"/>
    </w:p>
    <w:p w14:paraId="6C0CDC15" w14:textId="77777777" w:rsidR="009C3FF1" w:rsidRPr="009D34AB" w:rsidRDefault="009C3FF1" w:rsidP="009C3FF1">
      <w:pPr>
        <w:tabs>
          <w:tab w:val="left" w:pos="1985"/>
          <w:tab w:val="right" w:pos="8595"/>
        </w:tabs>
        <w:spacing w:before="400" w:after="400" w:line="360" w:lineRule="auto"/>
        <w:ind w:left="2835" w:hanging="567"/>
        <w:jc w:val="both"/>
        <w:rPr>
          <w:i/>
          <w:iCs/>
          <w:sz w:val="24"/>
        </w:rPr>
      </w:pPr>
      <w:r w:rsidRPr="009D34AB">
        <w:rPr>
          <w:rFonts w:eastAsia="Times New Roman"/>
          <w:i/>
          <w:iCs/>
          <w:sz w:val="24"/>
          <w:lang w:eastAsia="en-ZA"/>
        </w:rPr>
        <w:t>(d)</w:t>
      </w:r>
      <w:r>
        <w:rPr>
          <w:rFonts w:eastAsia="Times New Roman"/>
          <w:i/>
          <w:iCs/>
          <w:sz w:val="24"/>
          <w:lang w:eastAsia="en-ZA"/>
        </w:rPr>
        <w:tab/>
      </w:r>
      <w:r w:rsidRPr="009D34AB">
        <w:rPr>
          <w:rFonts w:eastAsia="Times New Roman"/>
          <w:i/>
          <w:iCs/>
          <w:sz w:val="24"/>
          <w:lang w:eastAsia="en-ZA"/>
        </w:rPr>
        <w:t>Any regulation contemplated in paragraph (a) shall provide-</w:t>
      </w:r>
    </w:p>
    <w:p w14:paraId="4463F56F" w14:textId="77777777" w:rsidR="009C3FF1" w:rsidRPr="009D34AB" w:rsidRDefault="00FC0D41" w:rsidP="009C3FF1">
      <w:pPr>
        <w:tabs>
          <w:tab w:val="left" w:pos="1985"/>
          <w:tab w:val="right" w:pos="8595"/>
        </w:tabs>
        <w:spacing w:before="400" w:after="400" w:line="360" w:lineRule="auto"/>
        <w:ind w:left="3402" w:hanging="567"/>
        <w:jc w:val="both"/>
        <w:rPr>
          <w:i/>
          <w:iCs/>
          <w:sz w:val="24"/>
        </w:rPr>
      </w:pPr>
      <w:hyperlink r:id="rId14" w:tgtFrame="main" w:history="1">
        <w:r w:rsidR="009C3FF1" w:rsidRPr="009D34AB">
          <w:rPr>
            <w:rFonts w:eastAsia="Times New Roman"/>
            <w:i/>
            <w:iCs/>
            <w:sz w:val="24"/>
            <w:lang w:eastAsia="en-ZA"/>
          </w:rPr>
          <w:t>(i)</w:t>
        </w:r>
      </w:hyperlink>
      <w:r w:rsidR="009C3FF1" w:rsidRPr="009D34AB">
        <w:rPr>
          <w:rFonts w:eastAsia="Times New Roman"/>
          <w:i/>
          <w:iCs/>
          <w:sz w:val="24"/>
          <w:lang w:eastAsia="en-ZA"/>
        </w:rPr>
        <w:t>  </w:t>
      </w:r>
      <w:r w:rsidR="009C3FF1">
        <w:rPr>
          <w:rFonts w:eastAsia="Times New Roman"/>
          <w:i/>
          <w:iCs/>
          <w:sz w:val="24"/>
          <w:lang w:eastAsia="en-ZA"/>
        </w:rPr>
        <w:tab/>
      </w:r>
      <w:r w:rsidR="009C3FF1" w:rsidRPr="009D34AB">
        <w:rPr>
          <w:rFonts w:eastAsia="Times New Roman"/>
          <w:i/>
          <w:iCs/>
          <w:sz w:val="24"/>
          <w:lang w:eastAsia="en-ZA"/>
        </w:rPr>
        <w:t>that any person who feels aggrieved by any decision made or action taken by any person in the exercise of his powers under a regulation referred to in paragraph (b) which has the effect of blocking, attaching or interdicting any money or goods, may lodge an application in a competent court for the revision of such decision or action or for any other relief, and the court shall not set aside such decision or action or grant such other relief unless it is satisfied-</w:t>
      </w:r>
      <w:bookmarkStart w:id="10" w:name="0-0-0-33361"/>
      <w:bookmarkEnd w:id="10"/>
    </w:p>
    <w:p w14:paraId="49CB7B11" w14:textId="77777777" w:rsidR="009C3FF1" w:rsidRPr="009D34AB" w:rsidRDefault="009C3FF1" w:rsidP="009C3FF1">
      <w:pPr>
        <w:tabs>
          <w:tab w:val="left" w:pos="1985"/>
          <w:tab w:val="right" w:pos="8595"/>
        </w:tabs>
        <w:spacing w:before="400" w:after="400" w:line="360" w:lineRule="auto"/>
        <w:ind w:left="3969" w:hanging="567"/>
        <w:jc w:val="both"/>
        <w:rPr>
          <w:i/>
          <w:iCs/>
          <w:sz w:val="24"/>
        </w:rPr>
      </w:pPr>
      <w:r w:rsidRPr="009D34AB">
        <w:rPr>
          <w:rFonts w:eastAsia="Times New Roman"/>
          <w:i/>
          <w:iCs/>
          <w:sz w:val="24"/>
          <w:lang w:eastAsia="en-ZA"/>
        </w:rPr>
        <w:t xml:space="preserve"> (aa)  that the person who made such decision or took such action did not act in accordance with the relevant provisions of the regulation; or</w:t>
      </w:r>
      <w:bookmarkStart w:id="11" w:name="0-0-0-33363"/>
      <w:bookmarkEnd w:id="11"/>
    </w:p>
    <w:p w14:paraId="1E3D098E" w14:textId="77777777" w:rsidR="009C3FF1" w:rsidRPr="009D34AB" w:rsidRDefault="00FC0D41" w:rsidP="009C3FF1">
      <w:pPr>
        <w:tabs>
          <w:tab w:val="left" w:pos="1985"/>
          <w:tab w:val="right" w:pos="8595"/>
        </w:tabs>
        <w:spacing w:before="400" w:after="400" w:line="360" w:lineRule="auto"/>
        <w:ind w:left="3969" w:hanging="567"/>
        <w:jc w:val="both"/>
        <w:rPr>
          <w:i/>
          <w:iCs/>
          <w:sz w:val="24"/>
        </w:rPr>
      </w:pPr>
      <w:hyperlink r:id="rId15" w:tgtFrame="main" w:history="1">
        <w:r w:rsidR="009C3FF1" w:rsidRPr="009D34AB">
          <w:rPr>
            <w:rFonts w:eastAsia="Times New Roman"/>
            <w:i/>
            <w:iCs/>
            <w:sz w:val="24"/>
            <w:lang w:eastAsia="en-ZA"/>
          </w:rPr>
          <w:t>(bb)</w:t>
        </w:r>
      </w:hyperlink>
      <w:r w:rsidR="009C3FF1" w:rsidRPr="009D34AB">
        <w:rPr>
          <w:rFonts w:eastAsia="Times New Roman"/>
          <w:i/>
          <w:iCs/>
          <w:sz w:val="24"/>
          <w:lang w:eastAsia="en-ZA"/>
        </w:rPr>
        <w:t>   that such person did not have reasonable grounds to make such decision or to take such action; or</w:t>
      </w:r>
      <w:bookmarkStart w:id="12" w:name="0-0-0-33367"/>
      <w:bookmarkEnd w:id="12"/>
    </w:p>
    <w:p w14:paraId="26A43FEA" w14:textId="77777777" w:rsidR="009C3FF1" w:rsidRPr="009D34AB" w:rsidRDefault="009C3FF1" w:rsidP="009C3FF1">
      <w:pPr>
        <w:tabs>
          <w:tab w:val="left" w:pos="1985"/>
          <w:tab w:val="right" w:pos="8595"/>
        </w:tabs>
        <w:spacing w:before="400" w:after="400" w:line="360" w:lineRule="auto"/>
        <w:ind w:left="3969" w:hanging="567"/>
        <w:jc w:val="both"/>
        <w:rPr>
          <w:i/>
          <w:iCs/>
          <w:sz w:val="24"/>
        </w:rPr>
      </w:pPr>
      <w:r w:rsidRPr="009D34AB">
        <w:rPr>
          <w:rFonts w:eastAsia="Times New Roman"/>
          <w:i/>
          <w:iCs/>
          <w:sz w:val="24"/>
          <w:lang w:eastAsia="en-ZA"/>
        </w:rPr>
        <w:t xml:space="preserve"> (cc)   that such grounds for the making of such decision or the taking of such action no longer exist;</w:t>
      </w:r>
    </w:p>
    <w:p w14:paraId="0634B7BF" w14:textId="77777777" w:rsidR="009C3FF1" w:rsidRPr="009D34AB" w:rsidRDefault="009C3FF1" w:rsidP="009C3FF1">
      <w:pPr>
        <w:tabs>
          <w:tab w:val="left" w:pos="1985"/>
          <w:tab w:val="right" w:pos="8595"/>
        </w:tabs>
        <w:spacing w:before="400" w:after="400" w:line="360" w:lineRule="auto"/>
        <w:ind w:left="3402" w:hanging="567"/>
        <w:jc w:val="both"/>
        <w:rPr>
          <w:i/>
          <w:iCs/>
          <w:sz w:val="24"/>
        </w:rPr>
      </w:pPr>
      <w:r w:rsidRPr="009D34AB">
        <w:rPr>
          <w:rFonts w:eastAsia="Times New Roman"/>
          <w:i/>
          <w:iCs/>
          <w:sz w:val="24"/>
          <w:lang w:eastAsia="en-ZA"/>
        </w:rPr>
        <w:lastRenderedPageBreak/>
        <w:t xml:space="preserve"> (ii)   that the Treasury shall cause a notice to be published in the Gazette of any decision to forfeit and dispose of any money or goods blocked, attached or interdicted in terms of the regulations referred to in paragraph (b), and that a notice of such decision shall be sent simultaneously with publication thereof in the Gazette by registered mail to any person who is, according to the Treasury, affected by such decision or, if no address of such person is available, that such notice shall be so sent to the last known address of such person; and</w:t>
      </w:r>
      <w:bookmarkStart w:id="13" w:name="0-0-0-33371"/>
      <w:bookmarkEnd w:id="13"/>
    </w:p>
    <w:p w14:paraId="2F79D5A8" w14:textId="77777777" w:rsidR="009C3FF1" w:rsidRPr="009D34AB" w:rsidRDefault="009C3FF1" w:rsidP="009C3FF1">
      <w:pPr>
        <w:tabs>
          <w:tab w:val="left" w:pos="1985"/>
          <w:tab w:val="right" w:pos="8595"/>
        </w:tabs>
        <w:spacing w:before="400" w:after="400" w:line="360" w:lineRule="auto"/>
        <w:ind w:left="3402" w:hanging="567"/>
        <w:jc w:val="both"/>
        <w:rPr>
          <w:i/>
          <w:iCs/>
          <w:sz w:val="24"/>
        </w:rPr>
      </w:pPr>
      <w:bookmarkStart w:id="14" w:name="_Hlk126832626"/>
      <w:r w:rsidRPr="009D34AB">
        <w:rPr>
          <w:rFonts w:eastAsia="Times New Roman"/>
          <w:i/>
          <w:iCs/>
          <w:sz w:val="24"/>
          <w:lang w:eastAsia="en-ZA"/>
        </w:rPr>
        <w:t xml:space="preserve"> (iii)   that any person who feels aggrieved by any decision to forfeit and dispose of such money or goods may, within a period prescribed by the regulations, which shall not be less than 90 days after the date of the notice published in the Gazette and referred to in subparagraph (ii), institute legal proceedings in a competent court for the setting aside of such decision, and the court shall not set aside such decision unless it is satisfied-</w:t>
      </w:r>
      <w:bookmarkStart w:id="15" w:name="0-0-0-33373"/>
      <w:bookmarkEnd w:id="15"/>
    </w:p>
    <w:p w14:paraId="70065B81" w14:textId="77777777" w:rsidR="009C3FF1" w:rsidRPr="009D34AB" w:rsidRDefault="009C3FF1" w:rsidP="009C3FF1">
      <w:pPr>
        <w:tabs>
          <w:tab w:val="left" w:pos="1985"/>
          <w:tab w:val="right" w:pos="8595"/>
        </w:tabs>
        <w:spacing w:before="400" w:after="400" w:line="360" w:lineRule="auto"/>
        <w:ind w:left="3969" w:hanging="567"/>
        <w:jc w:val="both"/>
        <w:rPr>
          <w:i/>
          <w:iCs/>
          <w:sz w:val="24"/>
        </w:rPr>
      </w:pPr>
      <w:r w:rsidRPr="009D34AB">
        <w:rPr>
          <w:rFonts w:eastAsia="Times New Roman"/>
          <w:i/>
          <w:iCs/>
          <w:sz w:val="24"/>
          <w:lang w:eastAsia="en-ZA"/>
        </w:rPr>
        <w:t xml:space="preserve"> (aa)  that the person who made such decision did not act in accordance with the relevant provisions of the regulation; or</w:t>
      </w:r>
      <w:bookmarkStart w:id="16" w:name="0-0-0-33375"/>
      <w:bookmarkEnd w:id="16"/>
    </w:p>
    <w:p w14:paraId="3EF15D06" w14:textId="77777777" w:rsidR="009C3FF1" w:rsidRPr="009D34AB" w:rsidRDefault="009C3FF1" w:rsidP="009C3FF1">
      <w:pPr>
        <w:tabs>
          <w:tab w:val="left" w:pos="1985"/>
          <w:tab w:val="right" w:pos="8595"/>
        </w:tabs>
        <w:spacing w:before="400" w:after="400" w:line="360" w:lineRule="auto"/>
        <w:ind w:left="3969" w:hanging="567"/>
        <w:jc w:val="both"/>
        <w:rPr>
          <w:i/>
          <w:iCs/>
          <w:sz w:val="24"/>
        </w:rPr>
      </w:pPr>
      <w:r w:rsidRPr="009D34AB">
        <w:rPr>
          <w:rFonts w:eastAsia="Times New Roman"/>
          <w:i/>
          <w:iCs/>
          <w:sz w:val="24"/>
          <w:lang w:eastAsia="en-ZA"/>
        </w:rPr>
        <w:t xml:space="preserve"> (bb)  that such person did not have grounds to make such decision; or</w:t>
      </w:r>
      <w:bookmarkStart w:id="17" w:name="0-0-0-33377"/>
      <w:bookmarkEnd w:id="17"/>
    </w:p>
    <w:p w14:paraId="4C8A7E14" w14:textId="77777777" w:rsidR="009C3FF1" w:rsidRPr="009D34AB" w:rsidRDefault="009C3FF1" w:rsidP="009C3FF1">
      <w:pPr>
        <w:tabs>
          <w:tab w:val="left" w:pos="1985"/>
          <w:tab w:val="right" w:pos="8595"/>
        </w:tabs>
        <w:spacing w:before="400" w:after="400" w:line="360" w:lineRule="auto"/>
        <w:ind w:left="3969" w:hanging="567"/>
        <w:jc w:val="both"/>
        <w:rPr>
          <w:sz w:val="24"/>
        </w:rPr>
      </w:pPr>
      <w:r w:rsidRPr="009D34AB">
        <w:rPr>
          <w:rFonts w:eastAsia="Times New Roman"/>
          <w:i/>
          <w:iCs/>
          <w:sz w:val="24"/>
          <w:lang w:eastAsia="en-ZA"/>
        </w:rPr>
        <w:t xml:space="preserve"> (cc)  that the grounds for the making of such decision no longer exist.</w:t>
      </w:r>
      <w:r>
        <w:rPr>
          <w:rFonts w:eastAsia="Times New Roman"/>
          <w:sz w:val="24"/>
          <w:lang w:eastAsia="en-ZA"/>
        </w:rPr>
        <w:t>”</w:t>
      </w:r>
    </w:p>
    <w:bookmarkEnd w:id="14"/>
    <w:p w14:paraId="39134E92" w14:textId="50C967B2" w:rsidR="006A3BF7" w:rsidRPr="006A3BF7" w:rsidRDefault="006C4312" w:rsidP="006C4312">
      <w:pPr>
        <w:tabs>
          <w:tab w:val="left" w:pos="0"/>
          <w:tab w:val="left" w:pos="1134"/>
          <w:tab w:val="left" w:pos="1985"/>
          <w:tab w:val="right" w:pos="8595"/>
        </w:tabs>
        <w:spacing w:before="400" w:after="400" w:line="480" w:lineRule="auto"/>
        <w:jc w:val="both"/>
        <w:rPr>
          <w:sz w:val="24"/>
        </w:rPr>
      </w:pPr>
      <w:r w:rsidRPr="006A3BF7">
        <w:rPr>
          <w:sz w:val="24"/>
        </w:rPr>
        <w:lastRenderedPageBreak/>
        <w:t>[32]</w:t>
      </w:r>
      <w:r w:rsidRPr="006A3BF7">
        <w:rPr>
          <w:sz w:val="24"/>
        </w:rPr>
        <w:tab/>
      </w:r>
      <w:r w:rsidR="006A3BF7" w:rsidRPr="006A3BF7">
        <w:rPr>
          <w:sz w:val="24"/>
        </w:rPr>
        <w:t>In terms of</w:t>
      </w:r>
      <w:r w:rsidR="009F26CE">
        <w:rPr>
          <w:sz w:val="24"/>
        </w:rPr>
        <w:t>:</w:t>
      </w:r>
      <w:r w:rsidR="006A3BF7" w:rsidRPr="006A3BF7">
        <w:rPr>
          <w:sz w:val="24"/>
        </w:rPr>
        <w:t xml:space="preserve"> </w:t>
      </w:r>
    </w:p>
    <w:p w14:paraId="40D450FD" w14:textId="6109D1FB" w:rsidR="006A3BF7" w:rsidRPr="006A3BF7" w:rsidRDefault="006C4312" w:rsidP="006C4312">
      <w:pPr>
        <w:tabs>
          <w:tab w:val="left" w:pos="0"/>
          <w:tab w:val="left" w:pos="1134"/>
          <w:tab w:val="left" w:pos="1985"/>
          <w:tab w:val="right" w:pos="8595"/>
        </w:tabs>
        <w:spacing w:before="400" w:after="400" w:line="480" w:lineRule="auto"/>
        <w:ind w:left="1985" w:hanging="851"/>
        <w:jc w:val="both"/>
        <w:rPr>
          <w:sz w:val="24"/>
        </w:rPr>
      </w:pPr>
      <w:r w:rsidRPr="006A3BF7">
        <w:rPr>
          <w:sz w:val="24"/>
        </w:rPr>
        <w:t>[32.1]</w:t>
      </w:r>
      <w:r w:rsidRPr="006A3BF7">
        <w:rPr>
          <w:sz w:val="24"/>
        </w:rPr>
        <w:tab/>
      </w:r>
      <w:r w:rsidR="009F26CE">
        <w:rPr>
          <w:sz w:val="24"/>
        </w:rPr>
        <w:t xml:space="preserve">Regulation 2(4)(a): </w:t>
      </w:r>
      <w:r w:rsidR="006A3BF7" w:rsidRPr="006A3BF7">
        <w:rPr>
          <w:sz w:val="24"/>
        </w:rPr>
        <w:t>“</w:t>
      </w:r>
      <w:r w:rsidR="009F26CE" w:rsidRPr="009F26CE">
        <w:rPr>
          <w:i/>
          <w:iCs/>
          <w:sz w:val="24"/>
        </w:rPr>
        <w:t>N</w:t>
      </w:r>
      <w:r w:rsidR="006A3BF7" w:rsidRPr="009F26CE">
        <w:rPr>
          <w:i/>
          <w:iCs/>
          <w:sz w:val="24"/>
        </w:rPr>
        <w:t xml:space="preserve">o </w:t>
      </w:r>
      <w:r w:rsidR="006A3BF7" w:rsidRPr="006A3BF7">
        <w:rPr>
          <w:i/>
          <w:sz w:val="24"/>
        </w:rPr>
        <w:t xml:space="preserve">person other than an authorised dealer shall </w:t>
      </w:r>
      <w:r w:rsidR="009F26CE">
        <w:rPr>
          <w:i/>
          <w:sz w:val="24"/>
        </w:rPr>
        <w:t xml:space="preserve">… </w:t>
      </w:r>
      <w:r w:rsidR="006A3BF7" w:rsidRPr="006A3BF7">
        <w:rPr>
          <w:i/>
          <w:sz w:val="24"/>
        </w:rPr>
        <w:t>use or apply any foreign currency or gold acquired from an authorised dealer for or to any purpose other than that stated in his application to be the purpose for which it was required</w:t>
      </w:r>
      <w:r w:rsidR="006A3BF7" w:rsidRPr="006A3BF7">
        <w:rPr>
          <w:sz w:val="24"/>
        </w:rPr>
        <w:t>”; and</w:t>
      </w:r>
    </w:p>
    <w:p w14:paraId="60965E7D" w14:textId="54D741F2" w:rsidR="006A3BF7" w:rsidRPr="006A3BF7" w:rsidRDefault="006C4312" w:rsidP="006C4312">
      <w:pPr>
        <w:tabs>
          <w:tab w:val="left" w:pos="0"/>
          <w:tab w:val="left" w:pos="1134"/>
          <w:tab w:val="left" w:pos="1985"/>
          <w:tab w:val="right" w:pos="8595"/>
        </w:tabs>
        <w:spacing w:before="400" w:after="400" w:line="480" w:lineRule="auto"/>
        <w:ind w:left="1985" w:hanging="851"/>
        <w:jc w:val="both"/>
        <w:rPr>
          <w:sz w:val="24"/>
        </w:rPr>
      </w:pPr>
      <w:r w:rsidRPr="006A3BF7">
        <w:rPr>
          <w:sz w:val="24"/>
        </w:rPr>
        <w:t>[32.2]</w:t>
      </w:r>
      <w:r w:rsidRPr="006A3BF7">
        <w:rPr>
          <w:sz w:val="24"/>
        </w:rPr>
        <w:tab/>
      </w:r>
      <w:r w:rsidR="009F26CE">
        <w:rPr>
          <w:sz w:val="24"/>
        </w:rPr>
        <w:t xml:space="preserve">Regulation 2(4)(b): </w:t>
      </w:r>
      <w:r w:rsidR="006A3BF7" w:rsidRPr="006A3BF7">
        <w:rPr>
          <w:sz w:val="24"/>
        </w:rPr>
        <w:t>“</w:t>
      </w:r>
      <w:r w:rsidR="009F26CE">
        <w:rPr>
          <w:i/>
          <w:sz w:val="24"/>
        </w:rPr>
        <w:t>N</w:t>
      </w:r>
      <w:r w:rsidR="006A3BF7" w:rsidRPr="006A3BF7">
        <w:rPr>
          <w:i/>
          <w:sz w:val="24"/>
        </w:rPr>
        <w:t>o person other than an authorised dealer shall ... do any act calculated to lead to the use or application of such foreign currency or gold for or to any purpose other than that so stated</w:t>
      </w:r>
      <w:r w:rsidR="006A3BF7" w:rsidRPr="006A3BF7">
        <w:rPr>
          <w:sz w:val="24"/>
        </w:rPr>
        <w:t>”.</w:t>
      </w:r>
    </w:p>
    <w:p w14:paraId="5F436F23" w14:textId="58F547FB" w:rsidR="006A3BF7" w:rsidRPr="006A3BF7" w:rsidRDefault="006C4312" w:rsidP="006C4312">
      <w:pPr>
        <w:tabs>
          <w:tab w:val="left" w:pos="0"/>
          <w:tab w:val="left" w:pos="1134"/>
          <w:tab w:val="left" w:pos="1985"/>
          <w:tab w:val="right" w:pos="8595"/>
        </w:tabs>
        <w:spacing w:before="400" w:after="400" w:line="480" w:lineRule="auto"/>
        <w:jc w:val="both"/>
        <w:rPr>
          <w:sz w:val="24"/>
        </w:rPr>
      </w:pPr>
      <w:r w:rsidRPr="006A3BF7">
        <w:rPr>
          <w:sz w:val="24"/>
        </w:rPr>
        <w:t>[33]</w:t>
      </w:r>
      <w:r w:rsidRPr="006A3BF7">
        <w:rPr>
          <w:sz w:val="24"/>
        </w:rPr>
        <w:tab/>
      </w:r>
      <w:r w:rsidR="006A3BF7" w:rsidRPr="006A3BF7">
        <w:rPr>
          <w:sz w:val="24"/>
        </w:rPr>
        <w:t>Regulation 10(1</w:t>
      </w:r>
      <w:r w:rsidR="000C6C08">
        <w:rPr>
          <w:sz w:val="24"/>
        </w:rPr>
        <w:t xml:space="preserve">)(c) under the heading </w:t>
      </w:r>
      <w:r w:rsidR="006A3BF7" w:rsidRPr="006A3BF7">
        <w:rPr>
          <w:sz w:val="24"/>
        </w:rPr>
        <w:t>“</w:t>
      </w:r>
      <w:r w:rsidR="009F26CE">
        <w:rPr>
          <w:i/>
          <w:sz w:val="24"/>
        </w:rPr>
        <w:t xml:space="preserve">RESTRICTION ON EXPORT OF CAPITAL” </w:t>
      </w:r>
      <w:r w:rsidR="000C6C08">
        <w:rPr>
          <w:iCs/>
          <w:sz w:val="24"/>
        </w:rPr>
        <w:t>and prohibits a person</w:t>
      </w:r>
      <w:r w:rsidR="006A3BF7" w:rsidRPr="006A3BF7">
        <w:rPr>
          <w:sz w:val="24"/>
        </w:rPr>
        <w:t xml:space="preserve">, </w:t>
      </w:r>
      <w:r w:rsidR="000C6C08">
        <w:rPr>
          <w:sz w:val="24"/>
        </w:rPr>
        <w:t xml:space="preserve">except with </w:t>
      </w:r>
      <w:r w:rsidR="006A3BF7" w:rsidRPr="006A3BF7">
        <w:rPr>
          <w:sz w:val="24"/>
        </w:rPr>
        <w:t xml:space="preserve">permission </w:t>
      </w:r>
      <w:r w:rsidR="000C6C08">
        <w:rPr>
          <w:sz w:val="24"/>
        </w:rPr>
        <w:t>granted by the N</w:t>
      </w:r>
      <w:r w:rsidR="006A3BF7" w:rsidRPr="006A3BF7">
        <w:rPr>
          <w:sz w:val="24"/>
        </w:rPr>
        <w:t>ational Treasury,</w:t>
      </w:r>
      <w:r w:rsidR="000C6C08">
        <w:rPr>
          <w:sz w:val="24"/>
        </w:rPr>
        <w:t xml:space="preserve"> to </w:t>
      </w:r>
      <w:r w:rsidR="006A3BF7" w:rsidRPr="006A3BF7">
        <w:rPr>
          <w:sz w:val="24"/>
        </w:rPr>
        <w:t>“</w:t>
      </w:r>
      <w:r w:rsidR="006A3BF7" w:rsidRPr="006A3BF7">
        <w:rPr>
          <w:i/>
          <w:sz w:val="24"/>
        </w:rPr>
        <w:t>enter into any transaction whereby capital or any right to capital is directly or indirectly exported from the Republic</w:t>
      </w:r>
      <w:r w:rsidR="006A3BF7" w:rsidRPr="006A3BF7">
        <w:rPr>
          <w:sz w:val="24"/>
        </w:rPr>
        <w:t>”.</w:t>
      </w:r>
    </w:p>
    <w:p w14:paraId="5E8544F9" w14:textId="477119BD" w:rsidR="006A3BF7" w:rsidRPr="006A3BF7" w:rsidRDefault="006C4312" w:rsidP="006C4312">
      <w:pPr>
        <w:tabs>
          <w:tab w:val="left" w:pos="0"/>
          <w:tab w:val="left" w:pos="1134"/>
          <w:tab w:val="left" w:pos="1985"/>
          <w:tab w:val="right" w:pos="8595"/>
        </w:tabs>
        <w:spacing w:before="400" w:after="400" w:line="480" w:lineRule="auto"/>
        <w:jc w:val="both"/>
        <w:rPr>
          <w:sz w:val="24"/>
        </w:rPr>
      </w:pPr>
      <w:r w:rsidRPr="006A3BF7">
        <w:rPr>
          <w:sz w:val="24"/>
        </w:rPr>
        <w:t>[34]</w:t>
      </w:r>
      <w:r w:rsidRPr="006A3BF7">
        <w:rPr>
          <w:sz w:val="24"/>
        </w:rPr>
        <w:tab/>
      </w:r>
      <w:r w:rsidR="006A3BF7" w:rsidRPr="006A3BF7">
        <w:rPr>
          <w:sz w:val="24"/>
        </w:rPr>
        <w:t xml:space="preserve">Regulation 12(1) </w:t>
      </w:r>
      <w:r w:rsidR="000C6C08">
        <w:rPr>
          <w:sz w:val="24"/>
        </w:rPr>
        <w:t>under the heading “</w:t>
      </w:r>
      <w:r w:rsidR="000C6C08" w:rsidRPr="000C6C08">
        <w:rPr>
          <w:i/>
          <w:iCs/>
          <w:sz w:val="24"/>
        </w:rPr>
        <w:t>GOODS PURCHASED OUTSIDE THE REPUBLIC”</w:t>
      </w:r>
      <w:r w:rsidR="000C6C08">
        <w:rPr>
          <w:sz w:val="24"/>
        </w:rPr>
        <w:t xml:space="preserve"> </w:t>
      </w:r>
      <w:r w:rsidR="006A3BF7" w:rsidRPr="006A3BF7">
        <w:rPr>
          <w:sz w:val="24"/>
        </w:rPr>
        <w:t>provides as follows:</w:t>
      </w:r>
    </w:p>
    <w:p w14:paraId="39C46823" w14:textId="132A329E" w:rsidR="006A3BF7" w:rsidRDefault="0013314F" w:rsidP="006A3BF7">
      <w:pPr>
        <w:tabs>
          <w:tab w:val="left" w:pos="1134"/>
          <w:tab w:val="left" w:pos="1985"/>
          <w:tab w:val="right" w:pos="8595"/>
        </w:tabs>
        <w:spacing w:before="400" w:after="400" w:line="360" w:lineRule="auto"/>
        <w:ind w:left="1134"/>
        <w:jc w:val="both"/>
        <w:rPr>
          <w:sz w:val="24"/>
        </w:rPr>
      </w:pPr>
      <w:r w:rsidRPr="009F26CE">
        <w:rPr>
          <w:sz w:val="24"/>
        </w:rPr>
        <w:t>“</w:t>
      </w:r>
      <w:r w:rsidR="006A3BF7" w:rsidRPr="009F26CE">
        <w:rPr>
          <w:i/>
          <w:sz w:val="24"/>
        </w:rPr>
        <w:t xml:space="preserve">Whenever a person in the Republic has purchased goods in any country outside the Republic and has paid for or made a payment on account of such goods, but the said goods have not been consigned to the Republic within four months from the date on which such payment was made, such person shall within fourteen days from the date of expiry of the said period of four months report in writing to the Treasury or to an authorised dealer that the goods have not been consigned to </w:t>
      </w:r>
      <w:r w:rsidR="006A3BF7" w:rsidRPr="009F26CE">
        <w:rPr>
          <w:i/>
          <w:sz w:val="24"/>
        </w:rPr>
        <w:lastRenderedPageBreak/>
        <w:t>the Republic and the Treasury may thereupon order such person to assign to the Treasury or to a person authorised by the Treasury his right to the said goods</w:t>
      </w:r>
      <w:r w:rsidR="006A3BF7" w:rsidRPr="009F26CE">
        <w:rPr>
          <w:sz w:val="24"/>
        </w:rPr>
        <w:t>”.</w:t>
      </w:r>
    </w:p>
    <w:p w14:paraId="4C2EE65D" w14:textId="07223C54" w:rsidR="000C6C08" w:rsidRPr="000C6C08" w:rsidRDefault="006C4312" w:rsidP="006C4312">
      <w:pPr>
        <w:tabs>
          <w:tab w:val="left" w:pos="1134"/>
          <w:tab w:val="left" w:pos="1985"/>
          <w:tab w:val="right" w:pos="8595"/>
        </w:tabs>
        <w:spacing w:before="400" w:after="400" w:line="480" w:lineRule="auto"/>
        <w:jc w:val="both"/>
        <w:rPr>
          <w:i/>
          <w:iCs/>
          <w:sz w:val="24"/>
        </w:rPr>
      </w:pPr>
      <w:r w:rsidRPr="000C6C08">
        <w:rPr>
          <w:iCs/>
          <w:sz w:val="24"/>
        </w:rPr>
        <w:t>[35]</w:t>
      </w:r>
      <w:r w:rsidRPr="000C6C08">
        <w:rPr>
          <w:iCs/>
          <w:sz w:val="24"/>
        </w:rPr>
        <w:tab/>
      </w:r>
      <w:r w:rsidR="000C6C08">
        <w:rPr>
          <w:sz w:val="24"/>
        </w:rPr>
        <w:t>Regulation 22A is titled “</w:t>
      </w:r>
      <w:r w:rsidR="000C6C08" w:rsidRPr="000C6C08">
        <w:rPr>
          <w:i/>
          <w:iCs/>
          <w:sz w:val="24"/>
        </w:rPr>
        <w:t>ATTACHMENT OF CERTAIN MONEY AND GOODS, AND BLOCKING OF CERTAIN ACCOUNTS</w:t>
      </w:r>
      <w:r w:rsidR="000C6C08" w:rsidRPr="006A3BF7">
        <w:rPr>
          <w:sz w:val="24"/>
        </w:rPr>
        <w:t>“</w:t>
      </w:r>
      <w:r w:rsidR="000C6C08">
        <w:rPr>
          <w:sz w:val="24"/>
        </w:rPr>
        <w:t xml:space="preserve"> and Regulation 22A(1)(a)(i) provides that: </w:t>
      </w:r>
      <w:r w:rsidR="000C6C08">
        <w:rPr>
          <w:sz w:val="24"/>
        </w:rPr>
        <w:tab/>
      </w:r>
      <w:r w:rsidR="000C6C08">
        <w:rPr>
          <w:sz w:val="24"/>
        </w:rPr>
        <w:br/>
      </w:r>
    </w:p>
    <w:p w14:paraId="6E8E3C59" w14:textId="13648C9B" w:rsidR="000C6C08" w:rsidRPr="006A3BF7" w:rsidRDefault="000C6C08" w:rsidP="00CD0C98">
      <w:pPr>
        <w:tabs>
          <w:tab w:val="left" w:pos="1134"/>
          <w:tab w:val="left" w:pos="1701"/>
          <w:tab w:val="right" w:pos="8595"/>
        </w:tabs>
        <w:spacing w:before="400" w:after="400" w:line="360" w:lineRule="auto"/>
        <w:ind w:left="1701" w:hanging="567"/>
        <w:jc w:val="both"/>
        <w:rPr>
          <w:i/>
          <w:iCs/>
          <w:sz w:val="24"/>
        </w:rPr>
      </w:pPr>
      <w:r>
        <w:rPr>
          <w:i/>
          <w:iCs/>
          <w:sz w:val="24"/>
        </w:rPr>
        <w:t>“</w:t>
      </w:r>
      <w:r w:rsidRPr="006A3BF7">
        <w:rPr>
          <w:i/>
          <w:iCs/>
          <w:sz w:val="24"/>
        </w:rPr>
        <w:t xml:space="preserve">(1) </w:t>
      </w:r>
      <w:r w:rsidRPr="006A3BF7">
        <w:rPr>
          <w:i/>
          <w:iCs/>
          <w:sz w:val="24"/>
        </w:rPr>
        <w:tab/>
        <w:t>Subject to the provisions of the proviso to subparagraph (i) of paragraph (b) of section 9(2) of the Act, the Treasury may in such manner as it may deem fit—</w:t>
      </w:r>
    </w:p>
    <w:p w14:paraId="08D4B766" w14:textId="4DB44012" w:rsidR="000C6C08" w:rsidRDefault="000C6C08" w:rsidP="00CD0C98">
      <w:pPr>
        <w:tabs>
          <w:tab w:val="left" w:pos="1134"/>
          <w:tab w:val="left" w:pos="2268"/>
          <w:tab w:val="right" w:pos="8595"/>
        </w:tabs>
        <w:spacing w:before="400" w:after="400" w:line="360" w:lineRule="auto"/>
        <w:ind w:left="2268" w:hanging="567"/>
        <w:jc w:val="both"/>
        <w:rPr>
          <w:i/>
          <w:iCs/>
          <w:sz w:val="24"/>
        </w:rPr>
      </w:pPr>
      <w:r>
        <w:rPr>
          <w:i/>
          <w:iCs/>
          <w:sz w:val="24"/>
        </w:rPr>
        <w:t>(</w:t>
      </w:r>
      <w:r w:rsidRPr="006A3BF7">
        <w:rPr>
          <w:i/>
          <w:iCs/>
          <w:sz w:val="24"/>
        </w:rPr>
        <w:t xml:space="preserve">a) </w:t>
      </w:r>
      <w:r w:rsidRPr="006A3BF7">
        <w:rPr>
          <w:i/>
          <w:iCs/>
          <w:sz w:val="24"/>
        </w:rPr>
        <w:tab/>
        <w:t>attach—</w:t>
      </w:r>
    </w:p>
    <w:p w14:paraId="6DB812D0" w14:textId="46DC5B74" w:rsidR="000C6C08" w:rsidRPr="006A3BF7" w:rsidRDefault="000C6C08" w:rsidP="00CD0C98">
      <w:pPr>
        <w:tabs>
          <w:tab w:val="left" w:pos="1134"/>
          <w:tab w:val="left" w:pos="2268"/>
          <w:tab w:val="right" w:pos="8595"/>
        </w:tabs>
        <w:spacing w:before="400" w:after="400" w:line="360" w:lineRule="auto"/>
        <w:ind w:left="2835" w:hanging="578"/>
        <w:jc w:val="both"/>
        <w:rPr>
          <w:i/>
          <w:iCs/>
          <w:sz w:val="24"/>
        </w:rPr>
      </w:pPr>
      <w:r>
        <w:rPr>
          <w:i/>
          <w:iCs/>
          <w:sz w:val="24"/>
        </w:rPr>
        <w:tab/>
      </w:r>
      <w:r w:rsidRPr="006A3BF7">
        <w:rPr>
          <w:i/>
          <w:iCs/>
          <w:sz w:val="24"/>
        </w:rPr>
        <w:t xml:space="preserve">(i) </w:t>
      </w:r>
      <w:r w:rsidRPr="006A3BF7">
        <w:rPr>
          <w:i/>
          <w:iCs/>
          <w:sz w:val="24"/>
        </w:rPr>
        <w:tab/>
      </w:r>
      <w:r w:rsidRPr="000C6C08">
        <w:rPr>
          <w:i/>
          <w:iCs/>
          <w:sz w:val="24"/>
        </w:rPr>
        <w:t>any money or goods, notwithstanding the person in whose possession it is, in respect of which a contravention of any provision of these Regulations has been committed or in respect of which an act or omission has been committed which the Treasury on reasonable grounds suspects to constitute any such contravention, or, in the case of such money or any part thereof which has been deposited in any account, an equal amount of money which is kept in credit in that account, and shall, in the case of money attached, deposit such money in an account</w:t>
      </w:r>
      <w:r w:rsidRPr="006A3BF7">
        <w:rPr>
          <w:i/>
          <w:iCs/>
          <w:sz w:val="24"/>
        </w:rPr>
        <w:t xml:space="preserve"> opened by the Treasury with an authorised dealer for such purpose, and may, in the case of goods attached, leave such goods, subject to an order issued or made under paragraph (c), in the possession of the person in whose possession such goods have been found or </w:t>
      </w:r>
      <w:r w:rsidRPr="006A3BF7">
        <w:rPr>
          <w:i/>
          <w:iCs/>
          <w:sz w:val="24"/>
        </w:rPr>
        <w:lastRenderedPageBreak/>
        <w:t>shall otherwise keep or cause it to be kept in custody in such manner and at such place as it may deem fit…</w:t>
      </w:r>
      <w:r w:rsidRPr="006A3BF7">
        <w:rPr>
          <w:sz w:val="24"/>
        </w:rPr>
        <w:t xml:space="preserve">”  </w:t>
      </w:r>
    </w:p>
    <w:p w14:paraId="6728D830" w14:textId="7BC49B3B" w:rsidR="00C928F0" w:rsidRDefault="00C928F0" w:rsidP="00C928F0">
      <w:pPr>
        <w:tabs>
          <w:tab w:val="left" w:pos="0"/>
          <w:tab w:val="left" w:pos="1134"/>
          <w:tab w:val="left" w:pos="1985"/>
          <w:tab w:val="right" w:pos="8595"/>
        </w:tabs>
        <w:spacing w:before="400" w:after="400" w:line="480" w:lineRule="auto"/>
        <w:jc w:val="both"/>
        <w:rPr>
          <w:sz w:val="24"/>
        </w:rPr>
      </w:pPr>
      <w:r>
        <w:rPr>
          <w:sz w:val="24"/>
        </w:rPr>
        <w:t>[35]</w:t>
      </w:r>
      <w:r>
        <w:rPr>
          <w:sz w:val="24"/>
        </w:rPr>
        <w:tab/>
        <w:t>Regulation 22A permits the attachment and blocking of money in respect of which a suspected contravention of the Regulations has been committed.  “</w:t>
      </w:r>
      <w:r w:rsidRPr="00CD0C98">
        <w:rPr>
          <w:i/>
          <w:iCs/>
          <w:sz w:val="24"/>
        </w:rPr>
        <w:t>Blocking</w:t>
      </w:r>
      <w:r>
        <w:rPr>
          <w:sz w:val="24"/>
        </w:rPr>
        <w:t>” means that the financial institution at which the account is held is prohibited from letting the account holder deal with the money in the account.</w:t>
      </w:r>
    </w:p>
    <w:p w14:paraId="367F58A3" w14:textId="2E49B2F3" w:rsidR="00C928F0" w:rsidRDefault="00C928F0" w:rsidP="00C928F0">
      <w:pPr>
        <w:tabs>
          <w:tab w:val="left" w:pos="0"/>
          <w:tab w:val="left" w:pos="1134"/>
          <w:tab w:val="left" w:pos="1985"/>
          <w:tab w:val="right" w:pos="8595"/>
        </w:tabs>
        <w:spacing w:before="400" w:after="400" w:line="480" w:lineRule="auto"/>
        <w:jc w:val="both"/>
        <w:rPr>
          <w:sz w:val="24"/>
        </w:rPr>
      </w:pPr>
      <w:r>
        <w:rPr>
          <w:sz w:val="24"/>
        </w:rPr>
        <w:t>[36]</w:t>
      </w:r>
      <w:r>
        <w:rPr>
          <w:sz w:val="24"/>
        </w:rPr>
        <w:tab/>
        <w:t>Regulation 22C under the heading “</w:t>
      </w:r>
      <w:r w:rsidRPr="00C928F0">
        <w:rPr>
          <w:i/>
          <w:iCs/>
          <w:sz w:val="24"/>
        </w:rPr>
        <w:t>RECOVERY OF CERTAIN AMOUNTS BY TREASURY</w:t>
      </w:r>
      <w:r>
        <w:rPr>
          <w:sz w:val="24"/>
        </w:rPr>
        <w:t>”, permits the recovery of further money, apart from that which has been forfeited if there is a shortfall compared with the quantum involved in the contravention.</w:t>
      </w:r>
    </w:p>
    <w:p w14:paraId="0A2F629E" w14:textId="094522E9" w:rsidR="00C928F0" w:rsidRDefault="00C928F0" w:rsidP="00C928F0">
      <w:pPr>
        <w:tabs>
          <w:tab w:val="left" w:pos="0"/>
          <w:tab w:val="left" w:pos="1134"/>
          <w:tab w:val="left" w:pos="1985"/>
          <w:tab w:val="right" w:pos="8595"/>
        </w:tabs>
        <w:spacing w:before="400" w:after="400" w:line="480" w:lineRule="auto"/>
        <w:jc w:val="both"/>
        <w:rPr>
          <w:sz w:val="24"/>
        </w:rPr>
      </w:pPr>
      <w:r>
        <w:rPr>
          <w:sz w:val="24"/>
        </w:rPr>
        <w:t>[37]</w:t>
      </w:r>
      <w:r>
        <w:rPr>
          <w:sz w:val="24"/>
        </w:rPr>
        <w:tab/>
      </w:r>
      <w:r w:rsidR="006A3BF7" w:rsidRPr="006A3BF7">
        <w:rPr>
          <w:sz w:val="24"/>
        </w:rPr>
        <w:t xml:space="preserve">The initial blocking order was </w:t>
      </w:r>
      <w:r w:rsidR="00F02493">
        <w:rPr>
          <w:sz w:val="24"/>
        </w:rPr>
        <w:t xml:space="preserve">based on </w:t>
      </w:r>
      <w:r w:rsidR="007B49DE">
        <w:rPr>
          <w:sz w:val="24"/>
        </w:rPr>
        <w:t>Regulation</w:t>
      </w:r>
      <w:r w:rsidR="006A3BF7" w:rsidRPr="006A3BF7">
        <w:rPr>
          <w:sz w:val="24"/>
        </w:rPr>
        <w:t xml:space="preserve"> 22A “</w:t>
      </w:r>
      <w:r w:rsidR="006A3BF7" w:rsidRPr="006A3BF7">
        <w:rPr>
          <w:i/>
          <w:iCs/>
          <w:sz w:val="24"/>
        </w:rPr>
        <w:t>and/or</w:t>
      </w:r>
      <w:r w:rsidR="006A3BF7" w:rsidRPr="006A3BF7">
        <w:rPr>
          <w:sz w:val="24"/>
        </w:rPr>
        <w:t xml:space="preserve">” </w:t>
      </w:r>
      <w:r w:rsidR="007B49DE">
        <w:rPr>
          <w:sz w:val="24"/>
        </w:rPr>
        <w:t>Regulation</w:t>
      </w:r>
      <w:r w:rsidR="006A3BF7" w:rsidRPr="006A3BF7">
        <w:rPr>
          <w:sz w:val="24"/>
        </w:rPr>
        <w:t xml:space="preserve"> 22C of the Exchange Control Regulations. </w:t>
      </w:r>
    </w:p>
    <w:p w14:paraId="75BB9F0D" w14:textId="0084F11B" w:rsidR="006A3BF7" w:rsidRPr="006A3BF7" w:rsidRDefault="006C4312" w:rsidP="006C4312">
      <w:pPr>
        <w:tabs>
          <w:tab w:val="left" w:pos="0"/>
          <w:tab w:val="left" w:pos="1134"/>
          <w:tab w:val="left" w:pos="1985"/>
          <w:tab w:val="right" w:pos="8595"/>
        </w:tabs>
        <w:spacing w:before="400" w:after="400" w:line="480" w:lineRule="auto"/>
        <w:jc w:val="both"/>
        <w:rPr>
          <w:sz w:val="24"/>
        </w:rPr>
      </w:pPr>
      <w:r w:rsidRPr="006A3BF7">
        <w:rPr>
          <w:sz w:val="24"/>
        </w:rPr>
        <w:t>[36]</w:t>
      </w:r>
      <w:r w:rsidRPr="006A3BF7">
        <w:rPr>
          <w:sz w:val="24"/>
        </w:rPr>
        <w:tab/>
      </w:r>
      <w:r w:rsidR="006A3BF7" w:rsidRPr="006A3BF7">
        <w:rPr>
          <w:sz w:val="24"/>
        </w:rPr>
        <w:t xml:space="preserve">The difference between the </w:t>
      </w:r>
      <w:r w:rsidR="007B49DE">
        <w:rPr>
          <w:sz w:val="24"/>
        </w:rPr>
        <w:t>Regulation</w:t>
      </w:r>
      <w:r w:rsidR="006A3BF7" w:rsidRPr="006A3BF7">
        <w:rPr>
          <w:sz w:val="24"/>
        </w:rPr>
        <w:t xml:space="preserve"> 22A and 22C was explained as follows </w:t>
      </w:r>
      <w:r w:rsidR="000F386C">
        <w:rPr>
          <w:sz w:val="24"/>
        </w:rPr>
        <w:t xml:space="preserve">by McCreath J </w:t>
      </w:r>
      <w:r w:rsidR="006A3BF7" w:rsidRPr="006A3BF7">
        <w:rPr>
          <w:sz w:val="24"/>
        </w:rPr>
        <w:t>in</w:t>
      </w:r>
      <w:r w:rsidR="00F02493">
        <w:rPr>
          <w:sz w:val="24"/>
        </w:rPr>
        <w:t xml:space="preserve"> the matter of</w:t>
      </w:r>
      <w:r w:rsidR="006A3BF7" w:rsidRPr="006A3BF7">
        <w:rPr>
          <w:sz w:val="24"/>
        </w:rPr>
        <w:t xml:space="preserve"> </w:t>
      </w:r>
      <w:r w:rsidR="006A3BF7" w:rsidRPr="006A3BF7">
        <w:rPr>
          <w:i/>
          <w:sz w:val="24"/>
        </w:rPr>
        <w:t>Francis George Hill Family Trust v South African Reserve Bank and Others</w:t>
      </w:r>
      <w:r w:rsidR="006A3BF7" w:rsidRPr="006A3BF7">
        <w:rPr>
          <w:sz w:val="24"/>
        </w:rPr>
        <w:t>:</w:t>
      </w:r>
      <w:r w:rsidR="006A3BF7">
        <w:rPr>
          <w:rStyle w:val="FootnoteReference"/>
          <w:sz w:val="24"/>
        </w:rPr>
        <w:footnoteReference w:id="2"/>
      </w:r>
    </w:p>
    <w:p w14:paraId="607D5B4A" w14:textId="4C508F63" w:rsidR="006A3BF7" w:rsidRDefault="0013314F" w:rsidP="006A3BF7">
      <w:pPr>
        <w:tabs>
          <w:tab w:val="left" w:pos="1134"/>
          <w:tab w:val="left" w:pos="1985"/>
          <w:tab w:val="right" w:pos="8595"/>
        </w:tabs>
        <w:spacing w:before="400" w:after="400" w:line="360" w:lineRule="auto"/>
        <w:ind w:left="1134"/>
        <w:jc w:val="both"/>
        <w:rPr>
          <w:i/>
          <w:iCs/>
          <w:sz w:val="24"/>
        </w:rPr>
      </w:pPr>
      <w:r w:rsidRPr="006A3BF7">
        <w:rPr>
          <w:sz w:val="24"/>
        </w:rPr>
        <w:t>“</w:t>
      </w:r>
      <w:r w:rsidR="006A3BF7" w:rsidRPr="007F4BB9">
        <w:rPr>
          <w:i/>
          <w:iCs/>
          <w:sz w:val="24"/>
        </w:rPr>
        <w:t xml:space="preserve">It is apparent from the aforesaid provisions </w:t>
      </w:r>
      <w:r w:rsidR="006A3BF7" w:rsidRPr="000F386C">
        <w:rPr>
          <w:sz w:val="24"/>
        </w:rPr>
        <w:t>[i</w:t>
      </w:r>
      <w:r w:rsidR="000F386C">
        <w:rPr>
          <w:sz w:val="24"/>
        </w:rPr>
        <w:t>.</w:t>
      </w:r>
      <w:r w:rsidR="006A3BF7" w:rsidRPr="000F386C">
        <w:rPr>
          <w:sz w:val="24"/>
        </w:rPr>
        <w:t>e</w:t>
      </w:r>
      <w:r w:rsidR="000F386C">
        <w:rPr>
          <w:sz w:val="24"/>
        </w:rPr>
        <w:t>.</w:t>
      </w:r>
      <w:r w:rsidR="006A3BF7" w:rsidRPr="000F386C">
        <w:rPr>
          <w:sz w:val="24"/>
        </w:rPr>
        <w:t xml:space="preserve"> </w:t>
      </w:r>
      <w:r w:rsidR="000F386C">
        <w:rPr>
          <w:sz w:val="24"/>
        </w:rPr>
        <w:t>R</w:t>
      </w:r>
      <w:r w:rsidR="006A3BF7" w:rsidRPr="000F386C">
        <w:rPr>
          <w:sz w:val="24"/>
        </w:rPr>
        <w:t>eg</w:t>
      </w:r>
      <w:r w:rsidR="000F386C">
        <w:rPr>
          <w:sz w:val="24"/>
        </w:rPr>
        <w:t>ulation</w:t>
      </w:r>
      <w:r w:rsidR="006A3BF7" w:rsidRPr="000F386C">
        <w:rPr>
          <w:sz w:val="24"/>
        </w:rPr>
        <w:t xml:space="preserve"> 22A]</w:t>
      </w:r>
      <w:r w:rsidR="006A3BF7" w:rsidRPr="007F4BB9">
        <w:rPr>
          <w:i/>
          <w:iCs/>
          <w:sz w:val="24"/>
        </w:rPr>
        <w:t xml:space="preserve"> that the person in whose possession moneys are found need not himself have committed any contravention of the regulation or have been involved, or be suspected of having been involved, in any such contravention.</w:t>
      </w:r>
    </w:p>
    <w:p w14:paraId="1E47B48C" w14:textId="202EF570" w:rsidR="006A3BF7" w:rsidRDefault="006A3BF7" w:rsidP="006A3BF7">
      <w:pPr>
        <w:tabs>
          <w:tab w:val="left" w:pos="1134"/>
          <w:tab w:val="left" w:pos="1985"/>
          <w:tab w:val="right" w:pos="8595"/>
        </w:tabs>
        <w:spacing w:before="400" w:after="400" w:line="360" w:lineRule="auto"/>
        <w:ind w:left="1134"/>
        <w:jc w:val="both"/>
        <w:rPr>
          <w:i/>
          <w:iCs/>
          <w:sz w:val="24"/>
        </w:rPr>
      </w:pPr>
      <w:r w:rsidRPr="007F4BB9">
        <w:rPr>
          <w:i/>
          <w:iCs/>
          <w:sz w:val="24"/>
        </w:rPr>
        <w:lastRenderedPageBreak/>
        <w:t>It is the money which is to be attached in respect whereof a contravention of any provision of the regulations must have been committed, or in respect whereof some act or omission has been committed which is suspected to constitute such a contravention. Or it may be money which is suspected to have been involved in any such contravention, or suspected to have been involved in any act or omission which is suspected to constitute any such contravention. It is therefore the money which must be "tainted".</w:t>
      </w:r>
    </w:p>
    <w:p w14:paraId="448A91D8" w14:textId="5048CF10" w:rsidR="000F386C" w:rsidRDefault="000F386C" w:rsidP="006A3BF7">
      <w:pPr>
        <w:tabs>
          <w:tab w:val="left" w:pos="1134"/>
          <w:tab w:val="left" w:pos="1985"/>
          <w:tab w:val="right" w:pos="8595"/>
        </w:tabs>
        <w:spacing w:before="400" w:after="400" w:line="360" w:lineRule="auto"/>
        <w:ind w:left="1134"/>
        <w:jc w:val="both"/>
        <w:rPr>
          <w:i/>
          <w:iCs/>
          <w:sz w:val="24"/>
        </w:rPr>
      </w:pPr>
      <w:r>
        <w:rPr>
          <w:i/>
          <w:iCs/>
          <w:sz w:val="24"/>
        </w:rPr>
        <w:t>…</w:t>
      </w:r>
    </w:p>
    <w:p w14:paraId="41E276D8" w14:textId="400B49F0" w:rsidR="0013314F" w:rsidRPr="006A3BF7" w:rsidRDefault="006A3BF7" w:rsidP="006A3BF7">
      <w:pPr>
        <w:tabs>
          <w:tab w:val="left" w:pos="1134"/>
          <w:tab w:val="left" w:pos="1985"/>
          <w:tab w:val="right" w:pos="8595"/>
        </w:tabs>
        <w:spacing w:before="400" w:after="400" w:line="360" w:lineRule="auto"/>
        <w:ind w:left="1134"/>
        <w:jc w:val="both"/>
        <w:rPr>
          <w:i/>
          <w:iCs/>
          <w:sz w:val="24"/>
        </w:rPr>
      </w:pPr>
      <w:r w:rsidRPr="007F4BB9">
        <w:rPr>
          <w:i/>
          <w:iCs/>
          <w:sz w:val="24"/>
        </w:rPr>
        <w:t xml:space="preserve">It is apparent from the aforegoing provision </w:t>
      </w:r>
      <w:r w:rsidRPr="000F386C">
        <w:rPr>
          <w:sz w:val="24"/>
        </w:rPr>
        <w:t>[i</w:t>
      </w:r>
      <w:r w:rsidR="000F386C" w:rsidRPr="000F386C">
        <w:rPr>
          <w:sz w:val="24"/>
        </w:rPr>
        <w:t>.</w:t>
      </w:r>
      <w:r w:rsidRPr="000F386C">
        <w:rPr>
          <w:sz w:val="24"/>
        </w:rPr>
        <w:t>e</w:t>
      </w:r>
      <w:r w:rsidR="000F386C" w:rsidRPr="000F386C">
        <w:rPr>
          <w:sz w:val="24"/>
        </w:rPr>
        <w:t>.</w:t>
      </w:r>
      <w:r w:rsidRPr="000F386C">
        <w:rPr>
          <w:sz w:val="24"/>
        </w:rPr>
        <w:t xml:space="preserve"> </w:t>
      </w:r>
      <w:r w:rsidR="000F386C" w:rsidRPr="000F386C">
        <w:rPr>
          <w:sz w:val="24"/>
        </w:rPr>
        <w:t>Regulation</w:t>
      </w:r>
      <w:r w:rsidRPr="000F386C">
        <w:rPr>
          <w:sz w:val="24"/>
        </w:rPr>
        <w:t xml:space="preserve"> 22C]</w:t>
      </w:r>
      <w:r w:rsidRPr="007F4BB9">
        <w:rPr>
          <w:i/>
          <w:iCs/>
          <w:sz w:val="24"/>
        </w:rPr>
        <w:t xml:space="preserve"> that even money which is not involved or suspected of having been involved in a contravention of the relevant regulations may be attached, if it is required to enable the Treasury to recoup the difference between the amount attached under reg 22A and the amount actually involved or suspected to have been involved in the contravention or suspected contravention of the latter regulation</w:t>
      </w:r>
      <w:r w:rsidR="000F386C">
        <w:rPr>
          <w:i/>
          <w:iCs/>
          <w:sz w:val="24"/>
        </w:rPr>
        <w:t>….</w:t>
      </w:r>
      <w:r w:rsidR="0013314F" w:rsidRPr="006A3BF7">
        <w:rPr>
          <w:sz w:val="24"/>
        </w:rPr>
        <w:t xml:space="preserve">”  </w:t>
      </w:r>
    </w:p>
    <w:p w14:paraId="5FB24A7A" w14:textId="29DC390A" w:rsidR="00B60E9C" w:rsidRDefault="006C4312" w:rsidP="006C4312">
      <w:pPr>
        <w:tabs>
          <w:tab w:val="left" w:pos="0"/>
          <w:tab w:val="left" w:pos="1134"/>
          <w:tab w:val="left" w:pos="1985"/>
          <w:tab w:val="right" w:pos="8595"/>
        </w:tabs>
        <w:spacing w:before="400" w:after="400" w:line="480" w:lineRule="auto"/>
        <w:jc w:val="both"/>
        <w:rPr>
          <w:sz w:val="24"/>
        </w:rPr>
      </w:pPr>
      <w:r>
        <w:rPr>
          <w:sz w:val="24"/>
        </w:rPr>
        <w:t>[37]</w:t>
      </w:r>
      <w:r>
        <w:rPr>
          <w:sz w:val="24"/>
        </w:rPr>
        <w:tab/>
      </w:r>
      <w:r w:rsidR="00B60E9C">
        <w:rPr>
          <w:sz w:val="24"/>
        </w:rPr>
        <w:t xml:space="preserve"> </w:t>
      </w:r>
      <w:r w:rsidR="00554504">
        <w:rPr>
          <w:sz w:val="24"/>
        </w:rPr>
        <w:t>Regulation 22B is titled “</w:t>
      </w:r>
      <w:r w:rsidR="00554504" w:rsidRPr="00554504">
        <w:rPr>
          <w:i/>
          <w:iCs/>
          <w:sz w:val="24"/>
        </w:rPr>
        <w:t>FORFEITURE AND DISPOSAL OF MONEY OR GOODS ATTACHED OR IN RES</w:t>
      </w:r>
      <w:r w:rsidR="00554504">
        <w:rPr>
          <w:i/>
          <w:iCs/>
          <w:sz w:val="24"/>
        </w:rPr>
        <w:t>PECT</w:t>
      </w:r>
      <w:r w:rsidR="00554504" w:rsidRPr="00554504">
        <w:rPr>
          <w:i/>
          <w:iCs/>
          <w:sz w:val="24"/>
        </w:rPr>
        <w:t xml:space="preserve"> OF WHICH ORDERS HAVE BEEN ISSUED OR MADE</w:t>
      </w:r>
      <w:r w:rsidR="00554504">
        <w:rPr>
          <w:sz w:val="24"/>
        </w:rPr>
        <w:t xml:space="preserve">”. </w:t>
      </w:r>
      <w:r w:rsidR="00B60E9C" w:rsidRPr="00B60E9C">
        <w:rPr>
          <w:sz w:val="24"/>
        </w:rPr>
        <w:t xml:space="preserve">After the blocking of money, the </w:t>
      </w:r>
      <w:r w:rsidR="007B49DE">
        <w:rPr>
          <w:sz w:val="24"/>
        </w:rPr>
        <w:t>Respondent</w:t>
      </w:r>
      <w:r w:rsidR="00B60E9C" w:rsidRPr="00B60E9C">
        <w:rPr>
          <w:sz w:val="24"/>
        </w:rPr>
        <w:t xml:space="preserve"> </w:t>
      </w:r>
      <w:r w:rsidR="000F386C">
        <w:rPr>
          <w:sz w:val="24"/>
        </w:rPr>
        <w:t xml:space="preserve">must </w:t>
      </w:r>
      <w:r w:rsidR="00B60E9C" w:rsidRPr="00B60E9C">
        <w:rPr>
          <w:sz w:val="24"/>
        </w:rPr>
        <w:t xml:space="preserve">either return the money to the original possessor or forfeit </w:t>
      </w:r>
      <w:r w:rsidR="000F386C">
        <w:rPr>
          <w:sz w:val="24"/>
        </w:rPr>
        <w:t>it</w:t>
      </w:r>
      <w:r w:rsidR="00B60E9C" w:rsidRPr="00B60E9C">
        <w:rPr>
          <w:sz w:val="24"/>
        </w:rPr>
        <w:t>. Regulation 22B deals with the procedures necessary to obtain forfeiture</w:t>
      </w:r>
      <w:r w:rsidR="00554504">
        <w:rPr>
          <w:sz w:val="24"/>
        </w:rPr>
        <w:t>.  In this regard:</w:t>
      </w:r>
    </w:p>
    <w:p w14:paraId="72AB18E5" w14:textId="071ACAA1" w:rsidR="000F386C" w:rsidRDefault="006C4312" w:rsidP="006C4312">
      <w:pPr>
        <w:tabs>
          <w:tab w:val="left" w:pos="0"/>
          <w:tab w:val="left" w:pos="1134"/>
          <w:tab w:val="left" w:pos="1985"/>
          <w:tab w:val="right" w:pos="8595"/>
        </w:tabs>
        <w:spacing w:before="400" w:after="400" w:line="480" w:lineRule="auto"/>
        <w:ind w:left="1985" w:hanging="851"/>
        <w:jc w:val="both"/>
        <w:rPr>
          <w:sz w:val="24"/>
        </w:rPr>
      </w:pPr>
      <w:r>
        <w:rPr>
          <w:sz w:val="24"/>
        </w:rPr>
        <w:t>[37.1]</w:t>
      </w:r>
      <w:r>
        <w:rPr>
          <w:sz w:val="24"/>
        </w:rPr>
        <w:tab/>
      </w:r>
      <w:r w:rsidR="000F386C">
        <w:rPr>
          <w:sz w:val="24"/>
        </w:rPr>
        <w:t>t</w:t>
      </w:r>
      <w:r w:rsidR="00B60E9C" w:rsidRPr="00B60E9C">
        <w:rPr>
          <w:sz w:val="24"/>
        </w:rPr>
        <w:t xml:space="preserve">he </w:t>
      </w:r>
      <w:r w:rsidR="000F386C">
        <w:rPr>
          <w:sz w:val="24"/>
        </w:rPr>
        <w:t xml:space="preserve">blocking order is a prerequisite to the </w:t>
      </w:r>
      <w:r w:rsidR="00B60E9C" w:rsidRPr="00B60E9C">
        <w:rPr>
          <w:sz w:val="24"/>
        </w:rPr>
        <w:t>forfeiture order</w:t>
      </w:r>
      <w:r w:rsidR="000F386C">
        <w:rPr>
          <w:sz w:val="24"/>
        </w:rPr>
        <w:t>;</w:t>
      </w:r>
    </w:p>
    <w:p w14:paraId="00360BF4" w14:textId="58712163" w:rsidR="00B60E9C" w:rsidRDefault="006C4312" w:rsidP="006C4312">
      <w:pPr>
        <w:tabs>
          <w:tab w:val="left" w:pos="0"/>
          <w:tab w:val="left" w:pos="1134"/>
          <w:tab w:val="left" w:pos="1985"/>
          <w:tab w:val="right" w:pos="8595"/>
        </w:tabs>
        <w:spacing w:before="400" w:after="400" w:line="480" w:lineRule="auto"/>
        <w:ind w:left="1985" w:hanging="851"/>
        <w:jc w:val="both"/>
        <w:rPr>
          <w:sz w:val="24"/>
        </w:rPr>
      </w:pPr>
      <w:r>
        <w:rPr>
          <w:sz w:val="24"/>
        </w:rPr>
        <w:t>[37.2]</w:t>
      </w:r>
      <w:r>
        <w:rPr>
          <w:sz w:val="24"/>
        </w:rPr>
        <w:tab/>
      </w:r>
      <w:r w:rsidR="000F386C">
        <w:rPr>
          <w:sz w:val="24"/>
        </w:rPr>
        <w:t xml:space="preserve">the forfeiture </w:t>
      </w:r>
      <w:r w:rsidR="00554504">
        <w:rPr>
          <w:sz w:val="24"/>
        </w:rPr>
        <w:t xml:space="preserve">order </w:t>
      </w:r>
      <w:r w:rsidR="00B60E9C" w:rsidRPr="00B60E9C">
        <w:rPr>
          <w:sz w:val="24"/>
        </w:rPr>
        <w:t>deprives the erstwhile owner of property</w:t>
      </w:r>
      <w:r w:rsidR="000F386C">
        <w:rPr>
          <w:sz w:val="24"/>
        </w:rPr>
        <w:t xml:space="preserve"> of such property;</w:t>
      </w:r>
      <w:r w:rsidR="00B60E9C" w:rsidRPr="00B60E9C">
        <w:rPr>
          <w:sz w:val="24"/>
        </w:rPr>
        <w:t xml:space="preserve"> </w:t>
      </w:r>
    </w:p>
    <w:p w14:paraId="1AAD3993" w14:textId="3CD87E46" w:rsidR="00B60E9C" w:rsidRDefault="006C4312" w:rsidP="006C4312">
      <w:pPr>
        <w:tabs>
          <w:tab w:val="left" w:pos="0"/>
          <w:tab w:val="left" w:pos="1134"/>
          <w:tab w:val="left" w:pos="1985"/>
          <w:tab w:val="right" w:pos="8595"/>
        </w:tabs>
        <w:spacing w:before="400" w:after="400" w:line="480" w:lineRule="auto"/>
        <w:ind w:left="1985" w:hanging="851"/>
        <w:jc w:val="both"/>
        <w:rPr>
          <w:sz w:val="24"/>
        </w:rPr>
      </w:pPr>
      <w:r>
        <w:rPr>
          <w:sz w:val="24"/>
        </w:rPr>
        <w:lastRenderedPageBreak/>
        <w:t>[37.3]</w:t>
      </w:r>
      <w:r>
        <w:rPr>
          <w:sz w:val="24"/>
        </w:rPr>
        <w:tab/>
      </w:r>
      <w:r w:rsidR="000F386C">
        <w:rPr>
          <w:sz w:val="24"/>
        </w:rPr>
        <w:t>a</w:t>
      </w:r>
      <w:r w:rsidR="00B60E9C" w:rsidRPr="000F386C">
        <w:rPr>
          <w:sz w:val="24"/>
        </w:rPr>
        <w:t xml:space="preserve"> blocking order requires reasonable suspicion that a contravention was committed in respect of the money sought to be blocked</w:t>
      </w:r>
      <w:r w:rsidR="000F386C">
        <w:rPr>
          <w:sz w:val="24"/>
        </w:rPr>
        <w:t>; and</w:t>
      </w:r>
    </w:p>
    <w:p w14:paraId="0642D42E" w14:textId="2E458A54" w:rsidR="000F386C" w:rsidRDefault="006C4312" w:rsidP="006C4312">
      <w:pPr>
        <w:tabs>
          <w:tab w:val="left" w:pos="0"/>
          <w:tab w:val="left" w:pos="1134"/>
          <w:tab w:val="left" w:pos="1985"/>
          <w:tab w:val="right" w:pos="8595"/>
        </w:tabs>
        <w:spacing w:before="400" w:after="400" w:line="480" w:lineRule="auto"/>
        <w:ind w:left="1985" w:hanging="851"/>
        <w:jc w:val="both"/>
        <w:rPr>
          <w:sz w:val="24"/>
        </w:rPr>
      </w:pPr>
      <w:r>
        <w:rPr>
          <w:sz w:val="24"/>
        </w:rPr>
        <w:t>[37.4]</w:t>
      </w:r>
      <w:r>
        <w:rPr>
          <w:sz w:val="24"/>
        </w:rPr>
        <w:tab/>
      </w:r>
      <w:r w:rsidR="000F386C">
        <w:rPr>
          <w:sz w:val="24"/>
        </w:rPr>
        <w:t>a forfeiture order requires the decision maker to be satisfied that reasonable grounds exist that the money was connected with or involved in the contravention.</w:t>
      </w:r>
    </w:p>
    <w:p w14:paraId="40673B21" w14:textId="236D2C34" w:rsidR="00811C90" w:rsidRPr="006A3BF7" w:rsidRDefault="006C4312" w:rsidP="006C4312">
      <w:pPr>
        <w:tabs>
          <w:tab w:val="left" w:pos="0"/>
          <w:tab w:val="left" w:pos="1134"/>
          <w:tab w:val="left" w:pos="1985"/>
          <w:tab w:val="right" w:pos="8595"/>
        </w:tabs>
        <w:spacing w:before="400" w:after="400" w:line="480" w:lineRule="auto"/>
        <w:jc w:val="both"/>
        <w:rPr>
          <w:sz w:val="24"/>
        </w:rPr>
      </w:pPr>
      <w:r w:rsidRPr="006A3BF7">
        <w:rPr>
          <w:sz w:val="24"/>
        </w:rPr>
        <w:t>[38]</w:t>
      </w:r>
      <w:r w:rsidRPr="006A3BF7">
        <w:rPr>
          <w:sz w:val="24"/>
        </w:rPr>
        <w:tab/>
      </w:r>
      <w:r w:rsidR="00811C90">
        <w:rPr>
          <w:sz w:val="24"/>
        </w:rPr>
        <w:t xml:space="preserve">Regulation 22D provides a remedy for </w:t>
      </w:r>
      <w:r w:rsidR="00811C90" w:rsidRPr="00811C90">
        <w:rPr>
          <w:i/>
          <w:iCs/>
          <w:sz w:val="24"/>
        </w:rPr>
        <w:t>inter alia</w:t>
      </w:r>
      <w:r w:rsidR="00811C90">
        <w:rPr>
          <w:sz w:val="24"/>
        </w:rPr>
        <w:t xml:space="preserve"> a person aggrieved by the attachment or forfeiture of money and reads as follows: </w:t>
      </w:r>
    </w:p>
    <w:p w14:paraId="53542A7E" w14:textId="77777777" w:rsidR="00811C90" w:rsidRDefault="00811C90" w:rsidP="00811C90">
      <w:pPr>
        <w:tabs>
          <w:tab w:val="left" w:pos="1134"/>
          <w:tab w:val="left" w:pos="1985"/>
          <w:tab w:val="right" w:pos="8595"/>
        </w:tabs>
        <w:spacing w:before="400" w:after="400" w:line="360" w:lineRule="auto"/>
        <w:ind w:left="1134"/>
        <w:jc w:val="both"/>
        <w:rPr>
          <w:i/>
          <w:iCs/>
          <w:sz w:val="24"/>
        </w:rPr>
      </w:pPr>
      <w:r w:rsidRPr="006A3BF7">
        <w:rPr>
          <w:sz w:val="24"/>
        </w:rPr>
        <w:t>“</w:t>
      </w:r>
      <w:r>
        <w:rPr>
          <w:i/>
          <w:iCs/>
          <w:sz w:val="24"/>
        </w:rPr>
        <w:t xml:space="preserve">REVIEW OF, OR INSTITUTION OF ACTIONS IN CONNECTION WITH, ATTACHMENT AND FORFEITURE OF CERTAIN MONEY OR GOODS, AND OF CERTAIN ORDERS </w:t>
      </w:r>
    </w:p>
    <w:p w14:paraId="5EEF04E1" w14:textId="44C308C9" w:rsidR="00811C90" w:rsidRDefault="00811C90" w:rsidP="00811C90">
      <w:pPr>
        <w:tabs>
          <w:tab w:val="left" w:pos="1134"/>
          <w:tab w:val="left" w:pos="1985"/>
          <w:tab w:val="right" w:pos="8595"/>
        </w:tabs>
        <w:spacing w:before="400" w:after="400" w:line="360" w:lineRule="auto"/>
        <w:ind w:left="1701" w:hanging="567"/>
        <w:jc w:val="both"/>
        <w:rPr>
          <w:i/>
          <w:iCs/>
          <w:sz w:val="24"/>
        </w:rPr>
      </w:pPr>
      <w:r>
        <w:rPr>
          <w:i/>
          <w:iCs/>
          <w:sz w:val="24"/>
        </w:rPr>
        <w:t>22D.</w:t>
      </w:r>
      <w:r>
        <w:rPr>
          <w:i/>
          <w:iCs/>
          <w:sz w:val="24"/>
        </w:rPr>
        <w:tab/>
        <w:t xml:space="preserve">Any person who feels himself aggrieved by the attachment of any money or goods under paragraph (a) of regulation 22A(1) or regulation 22D(1) or the issue or making of an order under the provisions of paragraph (b) or (c) of regulation 22A(1) or sub-regulation (2) of regulation 22C or any condition imposed thereunder may – </w:t>
      </w:r>
    </w:p>
    <w:p w14:paraId="129B152A" w14:textId="1CE54AA4" w:rsidR="00811C90" w:rsidRPr="00B7601E" w:rsidRDefault="006C4312" w:rsidP="006C4312">
      <w:pPr>
        <w:tabs>
          <w:tab w:val="left" w:pos="1134"/>
          <w:tab w:val="left" w:pos="2268"/>
          <w:tab w:val="right" w:pos="8595"/>
        </w:tabs>
        <w:spacing w:before="400" w:after="400" w:line="360" w:lineRule="auto"/>
        <w:ind w:left="2268" w:hanging="567"/>
        <w:jc w:val="both"/>
        <w:rPr>
          <w:sz w:val="24"/>
        </w:rPr>
      </w:pPr>
      <w:r w:rsidRPr="00B7601E">
        <w:rPr>
          <w:i/>
          <w:sz w:val="24"/>
        </w:rPr>
        <w:t>(a)</w:t>
      </w:r>
      <w:r w:rsidRPr="00B7601E">
        <w:rPr>
          <w:i/>
          <w:sz w:val="24"/>
        </w:rPr>
        <w:tab/>
      </w:r>
      <w:r w:rsidR="00811C90">
        <w:rPr>
          <w:i/>
          <w:iCs/>
          <w:sz w:val="24"/>
        </w:rPr>
        <w:t xml:space="preserve">in the case of an attachment under paragraph (a) of regulation 22A(1) or of regulation 22C(1) or the issue or making of an order under paragraph (b) or (c) of the said regulation 22A(1) or regulation 22C(2), bring an application in a competent court for the review of any such attachment or order in which other appropriate relief is asked; </w:t>
      </w:r>
    </w:p>
    <w:p w14:paraId="4B5B7856" w14:textId="228D2C32" w:rsidR="00811C90" w:rsidRPr="00811C90" w:rsidRDefault="006C4312" w:rsidP="006C4312">
      <w:pPr>
        <w:tabs>
          <w:tab w:val="left" w:pos="1134"/>
          <w:tab w:val="left" w:pos="2268"/>
          <w:tab w:val="right" w:pos="8595"/>
        </w:tabs>
        <w:spacing w:before="400" w:after="400" w:line="360" w:lineRule="auto"/>
        <w:ind w:left="2268" w:hanging="567"/>
        <w:jc w:val="both"/>
        <w:rPr>
          <w:sz w:val="24"/>
        </w:rPr>
      </w:pPr>
      <w:r w:rsidRPr="00811C90">
        <w:rPr>
          <w:i/>
          <w:sz w:val="24"/>
        </w:rPr>
        <w:t>(b)</w:t>
      </w:r>
      <w:r w:rsidRPr="00811C90">
        <w:rPr>
          <w:i/>
          <w:sz w:val="24"/>
        </w:rPr>
        <w:tab/>
      </w:r>
      <w:r w:rsidR="00811C90">
        <w:rPr>
          <w:i/>
          <w:iCs/>
          <w:sz w:val="24"/>
        </w:rPr>
        <w:t xml:space="preserve">in the case of a decision under regulation 22B(1) or 22B(1), read with regulation 22C(3), to forfeit to the state such </w:t>
      </w:r>
      <w:r w:rsidR="00811C90">
        <w:rPr>
          <w:i/>
          <w:iCs/>
          <w:sz w:val="24"/>
        </w:rPr>
        <w:lastRenderedPageBreak/>
        <w:t xml:space="preserve">money or goods, at any time but not later than 90 days after the date of publication of the said notice institute an action in a competent court for the setting aside of any such decision, </w:t>
      </w:r>
    </w:p>
    <w:p w14:paraId="6287B589" w14:textId="0934D852" w:rsidR="00811C90" w:rsidRPr="006A3BF7" w:rsidRDefault="00811C90" w:rsidP="00811C90">
      <w:pPr>
        <w:tabs>
          <w:tab w:val="left" w:pos="1134"/>
          <w:tab w:val="left" w:pos="2268"/>
          <w:tab w:val="right" w:pos="8595"/>
        </w:tabs>
        <w:spacing w:before="400" w:after="400" w:line="360" w:lineRule="auto"/>
        <w:ind w:left="1701"/>
        <w:jc w:val="both"/>
        <w:rPr>
          <w:sz w:val="24"/>
        </w:rPr>
      </w:pPr>
      <w:r>
        <w:rPr>
          <w:i/>
          <w:iCs/>
          <w:sz w:val="24"/>
        </w:rPr>
        <w:t>and any such court may set aside any such attachment or order or decision, as the case may be, on the grounds set out in the provisions of paragraph (d)(i) or (iii) of section 9(2) of the Act.</w:t>
      </w:r>
      <w:r w:rsidRPr="006A3BF7">
        <w:rPr>
          <w:sz w:val="24"/>
        </w:rPr>
        <w:t xml:space="preserve">”  </w:t>
      </w:r>
    </w:p>
    <w:p w14:paraId="2D753DEF" w14:textId="312A3BDB" w:rsidR="00554504" w:rsidRPr="00554504" w:rsidRDefault="00554504" w:rsidP="00554504">
      <w:pPr>
        <w:tabs>
          <w:tab w:val="left" w:pos="0"/>
          <w:tab w:val="left" w:pos="1134"/>
          <w:tab w:val="left" w:pos="1985"/>
          <w:tab w:val="right" w:pos="8595"/>
        </w:tabs>
        <w:spacing w:before="400" w:after="400" w:line="480" w:lineRule="auto"/>
        <w:jc w:val="both"/>
        <w:rPr>
          <w:b/>
          <w:bCs/>
          <w:sz w:val="24"/>
          <w:u w:val="single"/>
        </w:rPr>
      </w:pPr>
      <w:r w:rsidRPr="00554504">
        <w:rPr>
          <w:b/>
          <w:bCs/>
          <w:sz w:val="24"/>
          <w:u w:val="single"/>
        </w:rPr>
        <w:t>WHETHER THE APPLICATION IS GOVERNED BY THE CURRENCY ACT OR PAJA</w:t>
      </w:r>
    </w:p>
    <w:p w14:paraId="2A801C85" w14:textId="25435128" w:rsidR="00614505" w:rsidRPr="009C3FF1" w:rsidRDefault="006C4312" w:rsidP="006C4312">
      <w:pPr>
        <w:tabs>
          <w:tab w:val="left" w:pos="0"/>
          <w:tab w:val="left" w:pos="1134"/>
          <w:tab w:val="left" w:pos="1985"/>
          <w:tab w:val="right" w:pos="8595"/>
        </w:tabs>
        <w:spacing w:before="400" w:after="400" w:line="480" w:lineRule="auto"/>
        <w:jc w:val="both"/>
        <w:rPr>
          <w:sz w:val="24"/>
        </w:rPr>
      </w:pPr>
      <w:r w:rsidRPr="009C3FF1">
        <w:rPr>
          <w:sz w:val="24"/>
        </w:rPr>
        <w:t>[39]</w:t>
      </w:r>
      <w:r w:rsidRPr="009C3FF1">
        <w:rPr>
          <w:sz w:val="24"/>
        </w:rPr>
        <w:tab/>
      </w:r>
      <w:r w:rsidR="005B1F46">
        <w:rPr>
          <w:sz w:val="24"/>
        </w:rPr>
        <w:t>The first question which arises is whether the review application was filed timeously and, if not, whether condonation can</w:t>
      </w:r>
      <w:r w:rsidR="00614505">
        <w:rPr>
          <w:sz w:val="24"/>
        </w:rPr>
        <w:t xml:space="preserve"> and should</w:t>
      </w:r>
      <w:r w:rsidR="005B1F46">
        <w:rPr>
          <w:sz w:val="24"/>
        </w:rPr>
        <w:t xml:space="preserve"> be granted. </w:t>
      </w:r>
      <w:r w:rsidR="005B1F46" w:rsidRPr="009C3FF1">
        <w:rPr>
          <w:sz w:val="24"/>
        </w:rPr>
        <w:t>Th</w:t>
      </w:r>
      <w:r w:rsidR="009C3FF1">
        <w:rPr>
          <w:sz w:val="24"/>
        </w:rPr>
        <w:t xml:space="preserve">is requires a finding on whether the application is subject to the </w:t>
      </w:r>
      <w:r w:rsidR="005B1F46" w:rsidRPr="009C3FF1">
        <w:rPr>
          <w:sz w:val="24"/>
        </w:rPr>
        <w:t xml:space="preserve">90-day period in Regulation 22D(b) under the Currency Act or the 180-day period under </w:t>
      </w:r>
      <w:r w:rsidR="006E45F8" w:rsidRPr="009C3FF1">
        <w:rPr>
          <w:sz w:val="24"/>
        </w:rPr>
        <w:t xml:space="preserve">section 7 of </w:t>
      </w:r>
      <w:r w:rsidR="005B1F46" w:rsidRPr="009C3FF1">
        <w:rPr>
          <w:sz w:val="24"/>
        </w:rPr>
        <w:t>PAJA.</w:t>
      </w:r>
    </w:p>
    <w:p w14:paraId="468B2C39" w14:textId="77CD97BE" w:rsidR="006E45F8" w:rsidRDefault="006C4312" w:rsidP="006C4312">
      <w:pPr>
        <w:tabs>
          <w:tab w:val="left" w:pos="0"/>
          <w:tab w:val="left" w:pos="1134"/>
          <w:tab w:val="left" w:pos="1985"/>
          <w:tab w:val="right" w:pos="8595"/>
        </w:tabs>
        <w:spacing w:before="400" w:after="400" w:line="480" w:lineRule="auto"/>
        <w:jc w:val="both"/>
        <w:rPr>
          <w:sz w:val="24"/>
        </w:rPr>
      </w:pPr>
      <w:r>
        <w:rPr>
          <w:sz w:val="24"/>
        </w:rPr>
        <w:t>[40]</w:t>
      </w:r>
      <w:r>
        <w:rPr>
          <w:sz w:val="24"/>
        </w:rPr>
        <w:tab/>
      </w:r>
      <w:r w:rsidR="006E45F8">
        <w:rPr>
          <w:sz w:val="24"/>
        </w:rPr>
        <w:t>A</w:t>
      </w:r>
      <w:r w:rsidR="00EC5C9D">
        <w:rPr>
          <w:sz w:val="24"/>
        </w:rPr>
        <w:t xml:space="preserve">t the commencement of the hearing, I was referred to the judgment of </w:t>
      </w:r>
      <w:r w:rsidR="00EC5C9D" w:rsidRPr="00EC5C9D">
        <w:rPr>
          <w:sz w:val="24"/>
        </w:rPr>
        <w:t>Ceylon AJ</w:t>
      </w:r>
      <w:r w:rsidR="00EC5C9D">
        <w:rPr>
          <w:sz w:val="24"/>
        </w:rPr>
        <w:t xml:space="preserve"> in this </w:t>
      </w:r>
      <w:r w:rsidR="006E45F8">
        <w:rPr>
          <w:sz w:val="24"/>
        </w:rPr>
        <w:t xml:space="preserve">Court </w:t>
      </w:r>
      <w:r w:rsidR="00EC5C9D">
        <w:rPr>
          <w:sz w:val="24"/>
        </w:rPr>
        <w:t xml:space="preserve">in the matter of </w:t>
      </w:r>
      <w:r w:rsidR="00EC5C9D">
        <w:rPr>
          <w:i/>
          <w:iCs/>
          <w:sz w:val="24"/>
        </w:rPr>
        <w:t>Evergrand Trading (Pty) Ltd v South African Reserve Bank and Another</w:t>
      </w:r>
      <w:r w:rsidR="00EC5C9D" w:rsidRPr="00EC5C9D">
        <w:rPr>
          <w:rStyle w:val="FootnoteReference"/>
          <w:sz w:val="24"/>
        </w:rPr>
        <w:footnoteReference w:id="3"/>
      </w:r>
      <w:r w:rsidR="006E45F8">
        <w:rPr>
          <w:sz w:val="24"/>
        </w:rPr>
        <w:t xml:space="preserve">, dated 30 September 2022 (“the </w:t>
      </w:r>
      <w:r w:rsidR="006E45F8" w:rsidRPr="006E45F8">
        <w:rPr>
          <w:i/>
          <w:iCs/>
          <w:sz w:val="24"/>
        </w:rPr>
        <w:t>Evergrand</w:t>
      </w:r>
      <w:r w:rsidR="006E45F8">
        <w:rPr>
          <w:sz w:val="24"/>
        </w:rPr>
        <w:t xml:space="preserve"> judgment”),</w:t>
      </w:r>
      <w:r w:rsidR="00EC5C9D">
        <w:rPr>
          <w:sz w:val="24"/>
        </w:rPr>
        <w:t xml:space="preserve"> where this very issue was decided.  Ceylon AJ found that an application to review a forfeiture decision is governed by the </w:t>
      </w:r>
      <w:r w:rsidR="006E45F8">
        <w:rPr>
          <w:sz w:val="24"/>
        </w:rPr>
        <w:t xml:space="preserve">Currency </w:t>
      </w:r>
      <w:r w:rsidR="00EC5C9D">
        <w:rPr>
          <w:sz w:val="24"/>
        </w:rPr>
        <w:t>Act</w:t>
      </w:r>
      <w:r w:rsidR="006E45F8">
        <w:rPr>
          <w:sz w:val="24"/>
        </w:rPr>
        <w:t>,</w:t>
      </w:r>
      <w:r w:rsidR="00EC5C9D">
        <w:rPr>
          <w:sz w:val="24"/>
        </w:rPr>
        <w:t xml:space="preserve"> </w:t>
      </w:r>
      <w:r w:rsidR="006E45F8">
        <w:rPr>
          <w:sz w:val="24"/>
        </w:rPr>
        <w:t xml:space="preserve">read with the </w:t>
      </w:r>
      <w:r w:rsidR="00EC5C9D">
        <w:rPr>
          <w:sz w:val="24"/>
        </w:rPr>
        <w:t>Regulation</w:t>
      </w:r>
      <w:r w:rsidR="006E45F8">
        <w:rPr>
          <w:sz w:val="24"/>
        </w:rPr>
        <w:t xml:space="preserve">s, </w:t>
      </w:r>
      <w:r w:rsidR="00EC5C9D">
        <w:rPr>
          <w:sz w:val="24"/>
        </w:rPr>
        <w:t>and not PAJA.</w:t>
      </w:r>
      <w:r w:rsidR="006E45F8">
        <w:rPr>
          <w:sz w:val="24"/>
        </w:rPr>
        <w:t xml:space="preserve">  In this regard the following was stated in paragraph [63] </w:t>
      </w:r>
      <w:r w:rsidR="00EA58DD">
        <w:rPr>
          <w:sz w:val="24"/>
        </w:rPr>
        <w:t>o</w:t>
      </w:r>
      <w:r w:rsidR="006E45F8">
        <w:rPr>
          <w:sz w:val="24"/>
        </w:rPr>
        <w:t xml:space="preserve">f the </w:t>
      </w:r>
      <w:r w:rsidR="006E45F8" w:rsidRPr="006E45F8">
        <w:rPr>
          <w:i/>
          <w:iCs/>
          <w:sz w:val="24"/>
        </w:rPr>
        <w:t>Evergrand</w:t>
      </w:r>
      <w:r w:rsidR="006E45F8">
        <w:rPr>
          <w:sz w:val="24"/>
        </w:rPr>
        <w:t xml:space="preserve"> judgment:</w:t>
      </w:r>
    </w:p>
    <w:p w14:paraId="249ABAE2" w14:textId="19A1FABE" w:rsidR="00EC5C9D" w:rsidRPr="00EA58DD" w:rsidRDefault="006E45F8" w:rsidP="00EA58DD">
      <w:pPr>
        <w:tabs>
          <w:tab w:val="left" w:pos="0"/>
          <w:tab w:val="left" w:pos="1418"/>
          <w:tab w:val="left" w:pos="1985"/>
          <w:tab w:val="right" w:pos="8595"/>
        </w:tabs>
        <w:spacing w:before="400" w:after="400" w:line="480" w:lineRule="auto"/>
        <w:ind w:left="1418" w:hanging="851"/>
        <w:jc w:val="both"/>
        <w:rPr>
          <w:i/>
          <w:iCs/>
          <w:sz w:val="24"/>
        </w:rPr>
      </w:pPr>
      <w:r w:rsidRPr="00EA58DD">
        <w:rPr>
          <w:i/>
          <w:iCs/>
          <w:sz w:val="24"/>
        </w:rPr>
        <w:lastRenderedPageBreak/>
        <w:t>“[63]</w:t>
      </w:r>
      <w:r w:rsidRPr="00EA58DD">
        <w:rPr>
          <w:i/>
          <w:iCs/>
          <w:sz w:val="24"/>
        </w:rPr>
        <w:tab/>
        <w:t xml:space="preserve">In the view of this Court, it would still be necessary to ascertain which piece of legislation regulates the condonation in cases like the present. This Court is persuaded by the submission of the Reserve Bank in this regard, which </w:t>
      </w:r>
      <w:r w:rsidRPr="00EA58DD">
        <w:rPr>
          <w:sz w:val="24"/>
        </w:rPr>
        <w:t>[has]</w:t>
      </w:r>
      <w:r w:rsidR="00EA58DD">
        <w:rPr>
          <w:sz w:val="24"/>
        </w:rPr>
        <w:t xml:space="preserve"> </w:t>
      </w:r>
      <w:r w:rsidRPr="00EA58DD">
        <w:rPr>
          <w:i/>
          <w:iCs/>
          <w:sz w:val="24"/>
        </w:rPr>
        <w:t xml:space="preserve">been denied, but not refuted by Evergrand.  This Court agrees that the system applicable to instances where forfeiture orders are involved is regulated by the </w:t>
      </w:r>
      <w:r w:rsidRPr="00EA58DD">
        <w:rPr>
          <w:sz w:val="24"/>
        </w:rPr>
        <w:t>[Currency]</w:t>
      </w:r>
      <w:r w:rsidRPr="00EA58DD">
        <w:rPr>
          <w:i/>
          <w:iCs/>
          <w:sz w:val="24"/>
        </w:rPr>
        <w:t xml:space="preserve"> Act</w:t>
      </w:r>
      <w:r w:rsidR="00EA58DD">
        <w:rPr>
          <w:i/>
          <w:iCs/>
          <w:sz w:val="24"/>
        </w:rPr>
        <w:t xml:space="preserve"> </w:t>
      </w:r>
      <w:r w:rsidRPr="00EA58DD">
        <w:rPr>
          <w:i/>
          <w:iCs/>
          <w:sz w:val="24"/>
        </w:rPr>
        <w:t>read with the Regulations.  Therefore, any review concerning forfeiture decisions must be instituted at any time but not later than the 90-day period.  The said time limitation has been imposed by the legislature and is therefore applicable in this matter under the current circumstances, and which prevails over the 180-day period allowed for in PAJA.</w:t>
      </w:r>
      <w:r w:rsidR="00EA58DD" w:rsidRPr="00EA58DD">
        <w:rPr>
          <w:i/>
          <w:iCs/>
          <w:sz w:val="24"/>
        </w:rPr>
        <w:t>”</w:t>
      </w:r>
      <w:r w:rsidR="00EC5C9D" w:rsidRPr="00EA58DD">
        <w:rPr>
          <w:i/>
          <w:iCs/>
          <w:sz w:val="24"/>
        </w:rPr>
        <w:t xml:space="preserve">  </w:t>
      </w:r>
    </w:p>
    <w:p w14:paraId="50765084" w14:textId="20730683" w:rsidR="00EA58DD" w:rsidRPr="008C4234" w:rsidRDefault="006C4312" w:rsidP="006C4312">
      <w:pPr>
        <w:tabs>
          <w:tab w:val="left" w:pos="0"/>
          <w:tab w:val="left" w:pos="1134"/>
          <w:tab w:val="left" w:pos="1985"/>
          <w:tab w:val="right" w:pos="8595"/>
        </w:tabs>
        <w:spacing w:before="400" w:after="400" w:line="480" w:lineRule="auto"/>
        <w:jc w:val="both"/>
        <w:rPr>
          <w:i/>
          <w:iCs/>
          <w:sz w:val="24"/>
        </w:rPr>
      </w:pPr>
      <w:r w:rsidRPr="008C4234">
        <w:rPr>
          <w:iCs/>
          <w:sz w:val="24"/>
        </w:rPr>
        <w:t>[41]</w:t>
      </w:r>
      <w:r w:rsidRPr="008C4234">
        <w:rPr>
          <w:iCs/>
          <w:sz w:val="24"/>
        </w:rPr>
        <w:tab/>
      </w:r>
      <w:r w:rsidR="00D53D37">
        <w:rPr>
          <w:sz w:val="24"/>
        </w:rPr>
        <w:t xml:space="preserve">This Court </w:t>
      </w:r>
      <w:r w:rsidR="008C4234">
        <w:rPr>
          <w:sz w:val="24"/>
        </w:rPr>
        <w:t xml:space="preserve">would only be justified in departing from the finding in </w:t>
      </w:r>
      <w:r w:rsidR="008C4234" w:rsidRPr="008C4234">
        <w:rPr>
          <w:i/>
          <w:iCs/>
          <w:sz w:val="24"/>
        </w:rPr>
        <w:t>Evergrand</w:t>
      </w:r>
      <w:r w:rsidR="008C4234">
        <w:rPr>
          <w:i/>
          <w:iCs/>
          <w:sz w:val="24"/>
        </w:rPr>
        <w:t xml:space="preserve"> </w:t>
      </w:r>
      <w:r w:rsidR="008C4234">
        <w:rPr>
          <w:sz w:val="24"/>
        </w:rPr>
        <w:t xml:space="preserve">if </w:t>
      </w:r>
      <w:r w:rsidR="00D53D37">
        <w:rPr>
          <w:sz w:val="24"/>
        </w:rPr>
        <w:t xml:space="preserve">it </w:t>
      </w:r>
      <w:r w:rsidR="00561F69">
        <w:rPr>
          <w:sz w:val="24"/>
        </w:rPr>
        <w:t xml:space="preserve">is </w:t>
      </w:r>
      <w:r w:rsidR="008C4234">
        <w:rPr>
          <w:sz w:val="24"/>
        </w:rPr>
        <w:t>clearly wrong.</w:t>
      </w:r>
    </w:p>
    <w:p w14:paraId="6ECF1A41" w14:textId="74B6B60D" w:rsidR="009C3FF1" w:rsidRPr="009C3FF1" w:rsidRDefault="006C4312" w:rsidP="006C4312">
      <w:pPr>
        <w:tabs>
          <w:tab w:val="left" w:pos="0"/>
          <w:tab w:val="left" w:pos="1134"/>
          <w:tab w:val="left" w:pos="1985"/>
          <w:tab w:val="right" w:pos="8595"/>
        </w:tabs>
        <w:spacing w:before="400" w:after="400" w:line="480" w:lineRule="auto"/>
        <w:jc w:val="both"/>
        <w:rPr>
          <w:i/>
          <w:iCs/>
          <w:sz w:val="24"/>
        </w:rPr>
      </w:pPr>
      <w:r w:rsidRPr="009C3FF1">
        <w:rPr>
          <w:iCs/>
          <w:sz w:val="24"/>
        </w:rPr>
        <w:t>[42]</w:t>
      </w:r>
      <w:r w:rsidRPr="009C3FF1">
        <w:rPr>
          <w:iCs/>
          <w:sz w:val="24"/>
        </w:rPr>
        <w:tab/>
      </w:r>
      <w:r w:rsidR="008C4234">
        <w:rPr>
          <w:sz w:val="24"/>
        </w:rPr>
        <w:t xml:space="preserve">As the heads of argument filed before the hearing were prepared before the </w:t>
      </w:r>
      <w:r w:rsidR="008C4234" w:rsidRPr="008C4234">
        <w:rPr>
          <w:i/>
          <w:iCs/>
          <w:sz w:val="24"/>
        </w:rPr>
        <w:t>Evergrand</w:t>
      </w:r>
      <w:r w:rsidR="008C4234">
        <w:rPr>
          <w:sz w:val="24"/>
        </w:rPr>
        <w:t xml:space="preserve"> judgment was handed down, the parties’ counsel </w:t>
      </w:r>
      <w:r w:rsidR="00D53D37">
        <w:rPr>
          <w:sz w:val="24"/>
        </w:rPr>
        <w:t xml:space="preserve">were provided </w:t>
      </w:r>
      <w:r w:rsidR="008C4234">
        <w:rPr>
          <w:sz w:val="24"/>
        </w:rPr>
        <w:t xml:space="preserve">with an opportunity to file supplementary heads of argument on the impact of the </w:t>
      </w:r>
      <w:r w:rsidR="008C4234" w:rsidRPr="002526B3">
        <w:rPr>
          <w:i/>
          <w:iCs/>
          <w:sz w:val="24"/>
        </w:rPr>
        <w:t xml:space="preserve">Evergrand </w:t>
      </w:r>
      <w:r w:rsidR="00D53D37">
        <w:rPr>
          <w:sz w:val="24"/>
        </w:rPr>
        <w:t>judgment</w:t>
      </w:r>
      <w:r w:rsidR="008C4234">
        <w:rPr>
          <w:sz w:val="24"/>
        </w:rPr>
        <w:t xml:space="preserve"> on th</w:t>
      </w:r>
      <w:r w:rsidR="00D53D37">
        <w:rPr>
          <w:sz w:val="24"/>
        </w:rPr>
        <w:t>e outcome of this</w:t>
      </w:r>
      <w:r w:rsidR="008C4234">
        <w:rPr>
          <w:sz w:val="24"/>
        </w:rPr>
        <w:t xml:space="preserve"> matter.  </w:t>
      </w:r>
      <w:r w:rsidR="002526B3">
        <w:rPr>
          <w:sz w:val="24"/>
        </w:rPr>
        <w:t>Such heads of argument were duly filed on 31 January 2023 as directed by the Court on 22 November 2022.</w:t>
      </w:r>
    </w:p>
    <w:p w14:paraId="75ABFBB4" w14:textId="3517FFA2" w:rsidR="008C78E0" w:rsidRPr="008C78E0" w:rsidRDefault="006C4312" w:rsidP="006C4312">
      <w:pPr>
        <w:tabs>
          <w:tab w:val="left" w:pos="0"/>
          <w:tab w:val="left" w:pos="1134"/>
          <w:tab w:val="left" w:pos="1985"/>
          <w:tab w:val="right" w:pos="8595"/>
        </w:tabs>
        <w:spacing w:before="400" w:after="400" w:line="480" w:lineRule="auto"/>
        <w:jc w:val="both"/>
        <w:rPr>
          <w:i/>
          <w:iCs/>
          <w:sz w:val="24"/>
        </w:rPr>
      </w:pPr>
      <w:r w:rsidRPr="008C78E0">
        <w:rPr>
          <w:iCs/>
          <w:sz w:val="24"/>
        </w:rPr>
        <w:t>[43]</w:t>
      </w:r>
      <w:r w:rsidRPr="008C78E0">
        <w:rPr>
          <w:iCs/>
          <w:sz w:val="24"/>
        </w:rPr>
        <w:tab/>
      </w:r>
      <w:r w:rsidR="002526B3" w:rsidRPr="009C3FF1">
        <w:rPr>
          <w:sz w:val="24"/>
        </w:rPr>
        <w:t xml:space="preserve">The Respondent’s counsel drew a distinction between </w:t>
      </w:r>
      <w:r w:rsidR="00EC5C9D" w:rsidRPr="009C3FF1">
        <w:rPr>
          <w:sz w:val="24"/>
        </w:rPr>
        <w:t>“</w:t>
      </w:r>
      <w:r w:rsidR="00EC5C9D" w:rsidRPr="009C3FF1">
        <w:rPr>
          <w:i/>
          <w:iCs/>
          <w:sz w:val="24"/>
        </w:rPr>
        <w:t>ordinary</w:t>
      </w:r>
      <w:r w:rsidR="00EC5C9D" w:rsidRPr="009C3FF1">
        <w:rPr>
          <w:sz w:val="24"/>
        </w:rPr>
        <w:t xml:space="preserve">” administrative action </w:t>
      </w:r>
      <w:r w:rsidR="002526B3" w:rsidRPr="009C3FF1">
        <w:rPr>
          <w:sz w:val="24"/>
        </w:rPr>
        <w:t>(to which PAJA applies</w:t>
      </w:r>
      <w:r w:rsidR="009C3FF1" w:rsidRPr="009C3FF1">
        <w:rPr>
          <w:sz w:val="24"/>
        </w:rPr>
        <w:t xml:space="preserve">) </w:t>
      </w:r>
      <w:r w:rsidR="002526B3" w:rsidRPr="009C3FF1">
        <w:rPr>
          <w:sz w:val="24"/>
        </w:rPr>
        <w:t xml:space="preserve">and </w:t>
      </w:r>
      <w:r w:rsidR="00EC5C9D" w:rsidRPr="009C3FF1">
        <w:rPr>
          <w:sz w:val="24"/>
        </w:rPr>
        <w:t>a forfeiture decision under the Regulations</w:t>
      </w:r>
      <w:r w:rsidR="009C3FF1">
        <w:rPr>
          <w:sz w:val="24"/>
        </w:rPr>
        <w:t xml:space="preserve"> (</w:t>
      </w:r>
      <w:r w:rsidR="00EC5C9D" w:rsidRPr="009C3FF1">
        <w:rPr>
          <w:sz w:val="24"/>
        </w:rPr>
        <w:t xml:space="preserve">which </w:t>
      </w:r>
      <w:r w:rsidR="002526B3" w:rsidRPr="009C3FF1">
        <w:rPr>
          <w:sz w:val="24"/>
        </w:rPr>
        <w:t xml:space="preserve">was described </w:t>
      </w:r>
      <w:r w:rsidR="00D53D37">
        <w:rPr>
          <w:sz w:val="24"/>
        </w:rPr>
        <w:t xml:space="preserve">by him </w:t>
      </w:r>
      <w:r w:rsidR="002526B3" w:rsidRPr="009C3FF1">
        <w:rPr>
          <w:sz w:val="24"/>
        </w:rPr>
        <w:t xml:space="preserve">as </w:t>
      </w:r>
      <w:r w:rsidR="00EC5C9D" w:rsidRPr="009C3FF1">
        <w:rPr>
          <w:i/>
          <w:sz w:val="24"/>
        </w:rPr>
        <w:t>sui generis</w:t>
      </w:r>
      <w:r w:rsidR="009C3FF1">
        <w:rPr>
          <w:iCs/>
          <w:sz w:val="24"/>
        </w:rPr>
        <w:t xml:space="preserve">) which </w:t>
      </w:r>
      <w:r w:rsidR="00D53D37">
        <w:rPr>
          <w:iCs/>
          <w:sz w:val="24"/>
        </w:rPr>
        <w:t xml:space="preserve">he contended </w:t>
      </w:r>
      <w:r w:rsidR="009C3FF1">
        <w:rPr>
          <w:iCs/>
          <w:sz w:val="24"/>
        </w:rPr>
        <w:t xml:space="preserve">is </w:t>
      </w:r>
      <w:r w:rsidR="008C78E0">
        <w:rPr>
          <w:iCs/>
          <w:sz w:val="24"/>
        </w:rPr>
        <w:lastRenderedPageBreak/>
        <w:t>subject to the provisions of the Currency Act and the Regulations promulgated thereunder</w:t>
      </w:r>
      <w:r w:rsidR="002B1EAD">
        <w:rPr>
          <w:iCs/>
          <w:sz w:val="24"/>
        </w:rPr>
        <w:t xml:space="preserve">, as was found </w:t>
      </w:r>
      <w:r w:rsidR="00D53D37">
        <w:rPr>
          <w:iCs/>
          <w:sz w:val="24"/>
        </w:rPr>
        <w:t xml:space="preserve">to be the case in </w:t>
      </w:r>
      <w:r w:rsidR="002B1EAD" w:rsidRPr="002B1EAD">
        <w:rPr>
          <w:i/>
          <w:sz w:val="24"/>
        </w:rPr>
        <w:t>Evergrand</w:t>
      </w:r>
      <w:r w:rsidR="00D53D37">
        <w:rPr>
          <w:iCs/>
          <w:sz w:val="24"/>
        </w:rPr>
        <w:t>.</w:t>
      </w:r>
    </w:p>
    <w:p w14:paraId="2BC99AD9" w14:textId="0DC0B622" w:rsidR="002B1EAD" w:rsidRPr="002B1EAD" w:rsidRDefault="006C4312" w:rsidP="006C4312">
      <w:pPr>
        <w:tabs>
          <w:tab w:val="left" w:pos="0"/>
          <w:tab w:val="left" w:pos="1134"/>
          <w:tab w:val="left" w:pos="1985"/>
          <w:tab w:val="right" w:pos="8595"/>
        </w:tabs>
        <w:spacing w:before="400" w:after="400" w:line="480" w:lineRule="auto"/>
        <w:jc w:val="both"/>
        <w:rPr>
          <w:i/>
          <w:iCs/>
          <w:sz w:val="24"/>
        </w:rPr>
      </w:pPr>
      <w:r w:rsidRPr="002B1EAD">
        <w:rPr>
          <w:iCs/>
          <w:sz w:val="24"/>
        </w:rPr>
        <w:t>[44]</w:t>
      </w:r>
      <w:r w:rsidRPr="002B1EAD">
        <w:rPr>
          <w:iCs/>
          <w:sz w:val="24"/>
        </w:rPr>
        <w:tab/>
      </w:r>
      <w:r w:rsidR="008C78E0">
        <w:rPr>
          <w:iCs/>
          <w:sz w:val="24"/>
        </w:rPr>
        <w:t xml:space="preserve">The Respondent’s counsel submitted that the </w:t>
      </w:r>
      <w:r w:rsidR="008C78E0" w:rsidRPr="008C78E0">
        <w:rPr>
          <w:i/>
          <w:sz w:val="24"/>
        </w:rPr>
        <w:t>Evergrand</w:t>
      </w:r>
      <w:r w:rsidR="008C78E0">
        <w:rPr>
          <w:iCs/>
          <w:sz w:val="24"/>
        </w:rPr>
        <w:t xml:space="preserve"> judgment confirms that the Court is obliged to dismiss the application on a preliminary basis, without </w:t>
      </w:r>
      <w:r w:rsidR="00D53D37">
        <w:rPr>
          <w:iCs/>
          <w:sz w:val="24"/>
        </w:rPr>
        <w:t xml:space="preserve">adjudicating upon </w:t>
      </w:r>
      <w:r w:rsidR="008C78E0">
        <w:rPr>
          <w:iCs/>
          <w:sz w:val="24"/>
        </w:rPr>
        <w:t>the merits.</w:t>
      </w:r>
    </w:p>
    <w:p w14:paraId="7D3ED521" w14:textId="17E02A3A" w:rsidR="002B1EAD" w:rsidRDefault="006C4312" w:rsidP="006C4312">
      <w:pPr>
        <w:tabs>
          <w:tab w:val="left" w:pos="0"/>
          <w:tab w:val="left" w:pos="1134"/>
          <w:tab w:val="left" w:pos="1985"/>
          <w:tab w:val="right" w:pos="8595"/>
        </w:tabs>
        <w:spacing w:before="400" w:after="400" w:line="480" w:lineRule="auto"/>
        <w:jc w:val="both"/>
        <w:rPr>
          <w:sz w:val="24"/>
        </w:rPr>
      </w:pPr>
      <w:r>
        <w:rPr>
          <w:sz w:val="24"/>
        </w:rPr>
        <w:t>[45]</w:t>
      </w:r>
      <w:r>
        <w:rPr>
          <w:sz w:val="24"/>
        </w:rPr>
        <w:tab/>
      </w:r>
      <w:r w:rsidR="002B1EAD">
        <w:rPr>
          <w:sz w:val="24"/>
        </w:rPr>
        <w:t xml:space="preserve">The Applicant’s counsel submitted that Regulation 22D provides a remedy for two different categories of conduct: The first remedy is provided for a person aggrieved by the attachment (or blocking) of either tainted or untainted money (which remedy is dealt with in Regulation 22D(a)) and the second remedy is provided for a person aggrieved by a decision to forfeit tainted or untainted money under Regulation 22B (which remedy is dealt with in regulation 22D(b)).  </w:t>
      </w:r>
    </w:p>
    <w:p w14:paraId="6E834AA5" w14:textId="59B1DFB6" w:rsidR="002B1EAD" w:rsidRDefault="006C4312" w:rsidP="006C4312">
      <w:pPr>
        <w:tabs>
          <w:tab w:val="left" w:pos="0"/>
          <w:tab w:val="left" w:pos="1134"/>
          <w:tab w:val="left" w:pos="1985"/>
          <w:tab w:val="right" w:pos="8595"/>
        </w:tabs>
        <w:spacing w:before="400" w:after="400" w:line="480" w:lineRule="auto"/>
        <w:jc w:val="both"/>
        <w:rPr>
          <w:sz w:val="24"/>
        </w:rPr>
      </w:pPr>
      <w:r>
        <w:rPr>
          <w:sz w:val="24"/>
        </w:rPr>
        <w:t>[46]</w:t>
      </w:r>
      <w:r>
        <w:rPr>
          <w:sz w:val="24"/>
        </w:rPr>
        <w:tab/>
      </w:r>
      <w:r w:rsidR="002B1EAD">
        <w:rPr>
          <w:sz w:val="24"/>
        </w:rPr>
        <w:t>According to the Applicant, the first remedy provided, i.e. that relating to the attachment (or blocking) of money, is that of an application for review and there is no time limit provided in the regulation</w:t>
      </w:r>
      <w:r w:rsidR="00D53D37">
        <w:rPr>
          <w:sz w:val="24"/>
        </w:rPr>
        <w:t>s</w:t>
      </w:r>
      <w:r w:rsidR="002B1EAD">
        <w:rPr>
          <w:sz w:val="24"/>
        </w:rPr>
        <w:t xml:space="preserve"> for the bringing of such an application. However, the second remedy provided, relating to a notice to forfeit is to “</w:t>
      </w:r>
      <w:r w:rsidR="002B1EAD">
        <w:rPr>
          <w:i/>
          <w:iCs/>
          <w:sz w:val="24"/>
        </w:rPr>
        <w:t xml:space="preserve">institute </w:t>
      </w:r>
      <w:r w:rsidR="002B1EAD" w:rsidRPr="002B1EAD">
        <w:rPr>
          <w:b/>
          <w:bCs/>
          <w:i/>
          <w:iCs/>
          <w:sz w:val="24"/>
        </w:rPr>
        <w:t>an action</w:t>
      </w:r>
      <w:r w:rsidR="002B1EAD">
        <w:rPr>
          <w:sz w:val="24"/>
        </w:rPr>
        <w:t xml:space="preserve">” (emphasis added) not later than 90 days after the date of publication of the notice of forfeiture.  </w:t>
      </w:r>
    </w:p>
    <w:p w14:paraId="3DD39F4B" w14:textId="2BBF01B9" w:rsidR="002B1EAD" w:rsidRDefault="006C4312" w:rsidP="006C4312">
      <w:pPr>
        <w:tabs>
          <w:tab w:val="left" w:pos="0"/>
          <w:tab w:val="left" w:pos="1134"/>
          <w:tab w:val="left" w:pos="1985"/>
          <w:tab w:val="right" w:pos="8595"/>
        </w:tabs>
        <w:spacing w:before="400" w:after="400" w:line="480" w:lineRule="auto"/>
        <w:jc w:val="both"/>
        <w:rPr>
          <w:sz w:val="24"/>
        </w:rPr>
      </w:pPr>
      <w:r>
        <w:rPr>
          <w:sz w:val="24"/>
        </w:rPr>
        <w:t>[47]</w:t>
      </w:r>
      <w:r>
        <w:rPr>
          <w:sz w:val="24"/>
        </w:rPr>
        <w:tab/>
      </w:r>
      <w:r w:rsidR="002B1EAD">
        <w:rPr>
          <w:sz w:val="24"/>
        </w:rPr>
        <w:t xml:space="preserve">It was further contended on behalf of the Applicant that the clear wording of the Regulations demonstrates that drafter of the Regulations, deemed it necessary to draw a distinction between: </w:t>
      </w:r>
    </w:p>
    <w:p w14:paraId="7A92C3C1" w14:textId="21B4AF8A" w:rsidR="002B1EAD" w:rsidRDefault="006C4312" w:rsidP="006C4312">
      <w:pPr>
        <w:tabs>
          <w:tab w:val="left" w:pos="0"/>
          <w:tab w:val="left" w:pos="1134"/>
          <w:tab w:val="left" w:pos="1985"/>
          <w:tab w:val="right" w:pos="8595"/>
        </w:tabs>
        <w:spacing w:before="400" w:after="400" w:line="480" w:lineRule="auto"/>
        <w:ind w:left="1985" w:hanging="851"/>
        <w:jc w:val="both"/>
        <w:rPr>
          <w:sz w:val="24"/>
        </w:rPr>
      </w:pPr>
      <w:r>
        <w:rPr>
          <w:sz w:val="24"/>
        </w:rPr>
        <w:t>[47.1]</w:t>
      </w:r>
      <w:r>
        <w:rPr>
          <w:sz w:val="24"/>
        </w:rPr>
        <w:tab/>
      </w:r>
      <w:r w:rsidR="002B1EAD">
        <w:rPr>
          <w:sz w:val="24"/>
        </w:rPr>
        <w:t xml:space="preserve">motion proceedings and action proceedings; </w:t>
      </w:r>
    </w:p>
    <w:p w14:paraId="6B6CB633" w14:textId="4C137678" w:rsidR="002B1EAD" w:rsidRDefault="006C4312" w:rsidP="006C4312">
      <w:pPr>
        <w:tabs>
          <w:tab w:val="left" w:pos="0"/>
          <w:tab w:val="left" w:pos="1134"/>
          <w:tab w:val="left" w:pos="1985"/>
          <w:tab w:val="right" w:pos="8595"/>
        </w:tabs>
        <w:spacing w:before="400" w:after="400" w:line="480" w:lineRule="auto"/>
        <w:ind w:left="1985" w:hanging="851"/>
        <w:jc w:val="both"/>
        <w:rPr>
          <w:sz w:val="24"/>
        </w:rPr>
      </w:pPr>
      <w:r>
        <w:rPr>
          <w:sz w:val="24"/>
        </w:rPr>
        <w:lastRenderedPageBreak/>
        <w:t>[47.2]</w:t>
      </w:r>
      <w:r>
        <w:rPr>
          <w:sz w:val="24"/>
        </w:rPr>
        <w:tab/>
      </w:r>
      <w:r w:rsidR="002B1EAD">
        <w:rPr>
          <w:sz w:val="24"/>
        </w:rPr>
        <w:t>the remedy required to deal with an attachment and a remedy required to deal with a forfeiture; and</w:t>
      </w:r>
    </w:p>
    <w:p w14:paraId="4496C2BB" w14:textId="4D518977" w:rsidR="002B1EAD" w:rsidRDefault="006C4312" w:rsidP="006C4312">
      <w:pPr>
        <w:tabs>
          <w:tab w:val="left" w:pos="0"/>
          <w:tab w:val="left" w:pos="1134"/>
          <w:tab w:val="left" w:pos="1985"/>
          <w:tab w:val="right" w:pos="8595"/>
        </w:tabs>
        <w:spacing w:before="400" w:after="400" w:line="480" w:lineRule="auto"/>
        <w:ind w:left="1985" w:hanging="851"/>
        <w:jc w:val="both"/>
        <w:rPr>
          <w:sz w:val="24"/>
        </w:rPr>
      </w:pPr>
      <w:r>
        <w:rPr>
          <w:sz w:val="24"/>
        </w:rPr>
        <w:t>[47.3]</w:t>
      </w:r>
      <w:r>
        <w:rPr>
          <w:sz w:val="24"/>
        </w:rPr>
        <w:tab/>
      </w:r>
      <w:r w:rsidR="002B1EAD">
        <w:rPr>
          <w:sz w:val="24"/>
        </w:rPr>
        <w:t xml:space="preserve">remedies that had to be exercised within a given time period and those that did not.  </w:t>
      </w:r>
    </w:p>
    <w:p w14:paraId="3604C2E4" w14:textId="0112E7C1" w:rsidR="009C67F9" w:rsidRDefault="006C4312" w:rsidP="006C4312">
      <w:pPr>
        <w:tabs>
          <w:tab w:val="left" w:pos="0"/>
          <w:tab w:val="left" w:pos="1134"/>
          <w:tab w:val="left" w:pos="1985"/>
          <w:tab w:val="right" w:pos="8595"/>
        </w:tabs>
        <w:spacing w:before="400" w:after="400" w:line="480" w:lineRule="auto"/>
        <w:jc w:val="both"/>
        <w:rPr>
          <w:sz w:val="24"/>
        </w:rPr>
      </w:pPr>
      <w:r>
        <w:rPr>
          <w:sz w:val="24"/>
        </w:rPr>
        <w:t>[48]</w:t>
      </w:r>
      <w:r>
        <w:rPr>
          <w:sz w:val="24"/>
        </w:rPr>
        <w:tab/>
      </w:r>
      <w:r w:rsidR="002B1EAD">
        <w:rPr>
          <w:sz w:val="24"/>
        </w:rPr>
        <w:t>According to the Applicant, the notice in the Government Gazette stated that the money had been forfeited in terms of Regulation 22B and</w:t>
      </w:r>
      <w:r w:rsidR="009C67F9">
        <w:rPr>
          <w:sz w:val="24"/>
        </w:rPr>
        <w:t xml:space="preserve"> the Applicant then had a choice to either exercise its rights under Regulation 22D</w:t>
      </w:r>
      <w:r w:rsidR="00D53D37">
        <w:rPr>
          <w:sz w:val="24"/>
        </w:rPr>
        <w:t>(b)</w:t>
      </w:r>
      <w:r w:rsidR="009C67F9">
        <w:rPr>
          <w:sz w:val="24"/>
        </w:rPr>
        <w:t xml:space="preserve"> (i.e. to </w:t>
      </w:r>
      <w:r w:rsidR="00561F69">
        <w:rPr>
          <w:sz w:val="24"/>
        </w:rPr>
        <w:t>“</w:t>
      </w:r>
      <w:r w:rsidR="009C67F9" w:rsidRPr="00561F69">
        <w:rPr>
          <w:b/>
          <w:bCs/>
          <w:i/>
          <w:iCs/>
          <w:sz w:val="24"/>
        </w:rPr>
        <w:t>institute an action</w:t>
      </w:r>
      <w:r w:rsidR="00561F69">
        <w:rPr>
          <w:sz w:val="24"/>
        </w:rPr>
        <w:t>”</w:t>
      </w:r>
      <w:r w:rsidR="009C67F9">
        <w:rPr>
          <w:sz w:val="24"/>
        </w:rPr>
        <w:t xml:space="preserve"> within 90 days from the date of publication of the notice of forfeiture) or launch an “</w:t>
      </w:r>
      <w:r w:rsidR="009C67F9" w:rsidRPr="0023494F">
        <w:rPr>
          <w:b/>
          <w:bCs/>
          <w:i/>
          <w:iCs/>
          <w:sz w:val="24"/>
        </w:rPr>
        <w:t>application</w:t>
      </w:r>
      <w:r w:rsidR="009C67F9">
        <w:rPr>
          <w:sz w:val="24"/>
        </w:rPr>
        <w:t>” for review under PAJA which provided for a 180-day time limit.  According to the Applicant, the provisions of Regulation 22D(b) and the 90-day time limit would only apply where action proceedings were brought.</w:t>
      </w:r>
    </w:p>
    <w:p w14:paraId="581A8496" w14:textId="0BFCECBE" w:rsidR="0023494F" w:rsidRDefault="006C4312" w:rsidP="006C4312">
      <w:pPr>
        <w:tabs>
          <w:tab w:val="left" w:pos="0"/>
          <w:tab w:val="left" w:pos="1134"/>
          <w:tab w:val="left" w:pos="1985"/>
          <w:tab w:val="right" w:pos="8595"/>
        </w:tabs>
        <w:spacing w:before="400" w:after="400" w:line="480" w:lineRule="auto"/>
        <w:jc w:val="both"/>
        <w:rPr>
          <w:sz w:val="24"/>
        </w:rPr>
      </w:pPr>
      <w:r>
        <w:rPr>
          <w:sz w:val="24"/>
        </w:rPr>
        <w:t>[49]</w:t>
      </w:r>
      <w:r>
        <w:rPr>
          <w:sz w:val="24"/>
        </w:rPr>
        <w:tab/>
      </w:r>
      <w:r w:rsidR="009C67F9">
        <w:rPr>
          <w:sz w:val="24"/>
        </w:rPr>
        <w:t>The question which arises is whether the Applicant’s restrictive interpretation of the word “</w:t>
      </w:r>
      <w:r w:rsidR="009C67F9" w:rsidRPr="009C67F9">
        <w:rPr>
          <w:i/>
          <w:iCs/>
          <w:sz w:val="24"/>
        </w:rPr>
        <w:t>action</w:t>
      </w:r>
      <w:r w:rsidR="009C67F9">
        <w:rPr>
          <w:sz w:val="24"/>
        </w:rPr>
        <w:t xml:space="preserve">” in Regulation 22D(b), which </w:t>
      </w:r>
      <w:r w:rsidR="001D53DA">
        <w:rPr>
          <w:sz w:val="24"/>
        </w:rPr>
        <w:t xml:space="preserve">would </w:t>
      </w:r>
      <w:r w:rsidR="009C67F9">
        <w:rPr>
          <w:sz w:val="24"/>
        </w:rPr>
        <w:t xml:space="preserve">exclude </w:t>
      </w:r>
      <w:r w:rsidR="001D53DA">
        <w:rPr>
          <w:sz w:val="24"/>
        </w:rPr>
        <w:t>“</w:t>
      </w:r>
      <w:r w:rsidR="009C67F9" w:rsidRPr="001D53DA">
        <w:rPr>
          <w:i/>
          <w:iCs/>
          <w:sz w:val="24"/>
        </w:rPr>
        <w:t>application proceedings</w:t>
      </w:r>
      <w:r w:rsidR="001D53DA">
        <w:rPr>
          <w:sz w:val="24"/>
        </w:rPr>
        <w:t>”</w:t>
      </w:r>
      <w:r w:rsidR="009C67F9">
        <w:rPr>
          <w:sz w:val="24"/>
        </w:rPr>
        <w:t xml:space="preserve">, is </w:t>
      </w:r>
      <w:r w:rsidR="00D53D37">
        <w:rPr>
          <w:sz w:val="24"/>
        </w:rPr>
        <w:t xml:space="preserve">a </w:t>
      </w:r>
      <w:r w:rsidR="009873AF">
        <w:rPr>
          <w:sz w:val="24"/>
        </w:rPr>
        <w:t xml:space="preserve">correct </w:t>
      </w:r>
      <w:r w:rsidR="00D53D37">
        <w:rPr>
          <w:sz w:val="24"/>
        </w:rPr>
        <w:t xml:space="preserve">and </w:t>
      </w:r>
      <w:r w:rsidR="009C67F9">
        <w:rPr>
          <w:sz w:val="24"/>
        </w:rPr>
        <w:t>sensible</w:t>
      </w:r>
      <w:r w:rsidR="009873AF">
        <w:rPr>
          <w:sz w:val="24"/>
        </w:rPr>
        <w:t xml:space="preserve"> interpretation</w:t>
      </w:r>
      <w:r w:rsidR="00D53D37">
        <w:rPr>
          <w:sz w:val="24"/>
        </w:rPr>
        <w:t>,</w:t>
      </w:r>
      <w:r w:rsidR="009873AF">
        <w:rPr>
          <w:sz w:val="24"/>
        </w:rPr>
        <w:t xml:space="preserve"> having regard to the context</w:t>
      </w:r>
      <w:r w:rsidR="009C67F9">
        <w:rPr>
          <w:sz w:val="24"/>
        </w:rPr>
        <w:t>.</w:t>
      </w:r>
    </w:p>
    <w:p w14:paraId="3DA34A2B" w14:textId="1D70D089" w:rsidR="0023494F" w:rsidRPr="0023494F" w:rsidRDefault="006C4312" w:rsidP="006C4312">
      <w:pPr>
        <w:tabs>
          <w:tab w:val="left" w:pos="0"/>
          <w:tab w:val="left" w:pos="1134"/>
          <w:tab w:val="left" w:pos="1985"/>
          <w:tab w:val="right" w:pos="8595"/>
        </w:tabs>
        <w:spacing w:before="400" w:after="400" w:line="480" w:lineRule="auto"/>
        <w:jc w:val="both"/>
        <w:rPr>
          <w:sz w:val="24"/>
        </w:rPr>
      </w:pPr>
      <w:r w:rsidRPr="0023494F">
        <w:rPr>
          <w:sz w:val="24"/>
        </w:rPr>
        <w:t>[50]</w:t>
      </w:r>
      <w:r w:rsidRPr="0023494F">
        <w:rPr>
          <w:sz w:val="24"/>
        </w:rPr>
        <w:tab/>
      </w:r>
      <w:r w:rsidR="0023494F" w:rsidRPr="0023494F">
        <w:rPr>
          <w:sz w:val="24"/>
        </w:rPr>
        <w:t xml:space="preserve">In the matter of </w:t>
      </w:r>
      <w:r w:rsidR="0023494F" w:rsidRPr="0023494F">
        <w:rPr>
          <w:bCs/>
          <w:i/>
          <w:iCs/>
          <w:sz w:val="24"/>
        </w:rPr>
        <w:t>Natal Joint Municipal Pension Fund v Endumeni Municipality</w:t>
      </w:r>
      <w:r w:rsidR="0023494F" w:rsidRPr="004A057D">
        <w:rPr>
          <w:rStyle w:val="FootnoteReference"/>
          <w:sz w:val="24"/>
        </w:rPr>
        <w:footnoteReference w:id="4"/>
      </w:r>
      <w:r w:rsidR="0023494F" w:rsidRPr="0023494F">
        <w:rPr>
          <w:sz w:val="24"/>
        </w:rPr>
        <w:t xml:space="preserve"> the </w:t>
      </w:r>
      <w:r w:rsidR="00FE3F42">
        <w:rPr>
          <w:sz w:val="24"/>
        </w:rPr>
        <w:t xml:space="preserve">Supreme Court of Appeal (“the </w:t>
      </w:r>
      <w:r w:rsidR="0023494F" w:rsidRPr="0023494F">
        <w:rPr>
          <w:sz w:val="24"/>
        </w:rPr>
        <w:t>SCA</w:t>
      </w:r>
      <w:r w:rsidR="00FE3F42">
        <w:rPr>
          <w:sz w:val="24"/>
        </w:rPr>
        <w:t>”)</w:t>
      </w:r>
      <w:r w:rsidR="0023494F" w:rsidRPr="0023494F">
        <w:rPr>
          <w:sz w:val="24"/>
        </w:rPr>
        <w:t xml:space="preserve"> summarised the legal principles of interpretation as follows:</w:t>
      </w:r>
    </w:p>
    <w:p w14:paraId="3C6118B5" w14:textId="055ACD59" w:rsidR="0023494F" w:rsidRPr="0023494F" w:rsidRDefault="0023494F" w:rsidP="0023494F">
      <w:pPr>
        <w:tabs>
          <w:tab w:val="left" w:pos="2268"/>
        </w:tabs>
        <w:spacing w:before="480" w:line="360" w:lineRule="auto"/>
        <w:ind w:left="2160" w:hanging="720"/>
        <w:jc w:val="both"/>
        <w:rPr>
          <w:color w:val="000000"/>
          <w:sz w:val="24"/>
          <w:lang w:val="en-ZA" w:eastAsia="en-ZA"/>
        </w:rPr>
      </w:pPr>
      <w:r w:rsidRPr="004A057D">
        <w:rPr>
          <w:sz w:val="24"/>
        </w:rPr>
        <w:t>“</w:t>
      </w:r>
      <w:r w:rsidRPr="004A057D">
        <w:rPr>
          <w:i/>
          <w:color w:val="000000"/>
          <w:sz w:val="24"/>
          <w:lang w:val="en-ZA" w:eastAsia="en-ZA"/>
        </w:rPr>
        <w:t>[18]</w:t>
      </w:r>
      <w:r w:rsidRPr="004A057D">
        <w:rPr>
          <w:i/>
          <w:color w:val="000000"/>
          <w:sz w:val="24"/>
          <w:lang w:val="en-ZA" w:eastAsia="en-ZA"/>
        </w:rPr>
        <w:tab/>
      </w:r>
      <w:r w:rsidRPr="0023494F">
        <w:rPr>
          <w:i/>
          <w:color w:val="000000"/>
          <w:sz w:val="24"/>
          <w:lang w:val="en-ZA" w:eastAsia="en-ZA"/>
        </w:rPr>
        <w:t xml:space="preserve">…Interpretation is the process of attributing meaning to the words used in a document, be it legislation, some other </w:t>
      </w:r>
      <w:r w:rsidRPr="0023494F">
        <w:rPr>
          <w:i/>
          <w:color w:val="000000"/>
          <w:sz w:val="24"/>
          <w:lang w:val="en-ZA" w:eastAsia="en-ZA"/>
        </w:rPr>
        <w:lastRenderedPageBreak/>
        <w:t>statutory instrument, or contract, having regard to the context provided by reading the particular provision or provisions in the light of the document as a whole and the circumstances attendant upon its coming into existence. Whatever the nature of the document, consideration must be given to the language used in the light of the ordinary rules of grammar and syntax; the context in which the provision appears; the apparent purpose to which it is directed and the material known to those responsible for its production. Where more than one meaning is possible each possibility must be weighed in the light of all these factors. The process is objective, not subjective. A sensible meaning is to be preferred to one that leads to insensible or unbusinesslike results or undermines the apparent purpose of the document. Judges must be alert to, and guard against, the temptation to substitute what they regard as reasonable, sensible or businesslike for the words actually used. To do so in regard to a statute or statutory instrument is to cross the divide between interpretation and legislation; in a contractual context it is to make a contract for the parties other than the one they in fact made. The 'inevitable point of departure is the language of the provision itself', read in context and having regard to the purpose of the provision and the background to the preparation and production of the document.</w:t>
      </w:r>
      <w:r w:rsidRPr="0023494F">
        <w:rPr>
          <w:color w:val="000000"/>
          <w:sz w:val="24"/>
          <w:lang w:val="en-ZA" w:eastAsia="en-ZA"/>
        </w:rPr>
        <w:t xml:space="preserve">” </w:t>
      </w:r>
    </w:p>
    <w:p w14:paraId="2ECC6121" w14:textId="294A2B6D" w:rsidR="001D53DA" w:rsidRDefault="006C4312" w:rsidP="006C4312">
      <w:pPr>
        <w:tabs>
          <w:tab w:val="left" w:pos="0"/>
          <w:tab w:val="left" w:pos="1134"/>
          <w:tab w:val="left" w:pos="1985"/>
          <w:tab w:val="right" w:pos="8595"/>
        </w:tabs>
        <w:spacing w:before="400" w:after="400" w:line="480" w:lineRule="auto"/>
        <w:jc w:val="both"/>
        <w:rPr>
          <w:sz w:val="24"/>
        </w:rPr>
      </w:pPr>
      <w:r>
        <w:rPr>
          <w:sz w:val="24"/>
        </w:rPr>
        <w:t>[51]</w:t>
      </w:r>
      <w:r>
        <w:rPr>
          <w:sz w:val="24"/>
        </w:rPr>
        <w:tab/>
      </w:r>
      <w:r w:rsidR="001D53DA">
        <w:rPr>
          <w:sz w:val="24"/>
        </w:rPr>
        <w:t>Regulation 22D refers specifically to the fact that a court may set aside “</w:t>
      </w:r>
      <w:r w:rsidR="001D53DA" w:rsidRPr="00607ECD">
        <w:rPr>
          <w:i/>
          <w:iCs/>
          <w:sz w:val="24"/>
        </w:rPr>
        <w:t>any such attachment or order or decision, as the case may be, on the grounds set out in the provisions of paragraph d(i) or (iii) or section 9(2) of the Currency Act</w:t>
      </w:r>
      <w:r w:rsidR="001D53DA">
        <w:rPr>
          <w:sz w:val="24"/>
        </w:rPr>
        <w:t>.”</w:t>
      </w:r>
    </w:p>
    <w:p w14:paraId="71B7059A" w14:textId="38658272" w:rsidR="001D53DA" w:rsidRPr="00607ECD" w:rsidRDefault="006C4312" w:rsidP="006C4312">
      <w:pPr>
        <w:tabs>
          <w:tab w:val="left" w:pos="0"/>
          <w:tab w:val="left" w:pos="1134"/>
          <w:tab w:val="left" w:pos="1985"/>
          <w:tab w:val="right" w:pos="8595"/>
        </w:tabs>
        <w:spacing w:before="400" w:after="400" w:line="480" w:lineRule="auto"/>
        <w:jc w:val="both"/>
        <w:rPr>
          <w:sz w:val="24"/>
        </w:rPr>
      </w:pPr>
      <w:r w:rsidRPr="00607ECD">
        <w:rPr>
          <w:sz w:val="24"/>
        </w:rPr>
        <w:t>[52]</w:t>
      </w:r>
      <w:r w:rsidRPr="00607ECD">
        <w:rPr>
          <w:sz w:val="24"/>
        </w:rPr>
        <w:tab/>
      </w:r>
      <w:r w:rsidR="001D53DA">
        <w:rPr>
          <w:sz w:val="24"/>
        </w:rPr>
        <w:t>Section 9(2)(d</w:t>
      </w:r>
      <w:r w:rsidR="001D53DA" w:rsidRPr="00607ECD">
        <w:rPr>
          <w:sz w:val="24"/>
        </w:rPr>
        <w:t>)(</w:t>
      </w:r>
      <w:r w:rsidR="001D53DA" w:rsidRPr="00607ECD">
        <w:rPr>
          <w:rFonts w:eastAsia="Times New Roman"/>
          <w:sz w:val="24"/>
          <w:lang w:eastAsia="en-ZA"/>
        </w:rPr>
        <w:t>iii)</w:t>
      </w:r>
      <w:r w:rsidR="001D53DA">
        <w:rPr>
          <w:rFonts w:eastAsia="Times New Roman"/>
          <w:sz w:val="24"/>
          <w:lang w:eastAsia="en-ZA"/>
        </w:rPr>
        <w:t xml:space="preserve"> of the Currency Act specifically provides that:</w:t>
      </w:r>
    </w:p>
    <w:p w14:paraId="155EE440" w14:textId="55D4278B" w:rsidR="001D53DA" w:rsidRPr="00607ECD" w:rsidRDefault="001D53DA" w:rsidP="001D53DA">
      <w:pPr>
        <w:tabs>
          <w:tab w:val="left" w:pos="0"/>
          <w:tab w:val="left" w:pos="1134"/>
          <w:tab w:val="left" w:pos="1985"/>
          <w:tab w:val="right" w:pos="8595"/>
        </w:tabs>
        <w:spacing w:before="400" w:after="400" w:line="480" w:lineRule="auto"/>
        <w:ind w:left="1134"/>
        <w:jc w:val="both"/>
        <w:rPr>
          <w:sz w:val="24"/>
        </w:rPr>
      </w:pPr>
      <w:r w:rsidRPr="00607ECD">
        <w:rPr>
          <w:rFonts w:eastAsia="Times New Roman"/>
          <w:i/>
          <w:iCs/>
          <w:sz w:val="24"/>
          <w:lang w:eastAsia="en-ZA"/>
        </w:rPr>
        <w:lastRenderedPageBreak/>
        <w:t>“</w:t>
      </w:r>
      <w:r w:rsidRPr="00D53D37">
        <w:rPr>
          <w:rFonts w:eastAsia="Times New Roman"/>
          <w:b/>
          <w:bCs/>
          <w:i/>
          <w:iCs/>
          <w:sz w:val="24"/>
          <w:lang w:eastAsia="en-ZA"/>
        </w:rPr>
        <w:t>any person who feels aggrieved by any decision to forfeit</w:t>
      </w:r>
      <w:r w:rsidRPr="00607ECD">
        <w:rPr>
          <w:rFonts w:eastAsia="Times New Roman"/>
          <w:i/>
          <w:iCs/>
          <w:sz w:val="24"/>
          <w:lang w:eastAsia="en-ZA"/>
        </w:rPr>
        <w:t xml:space="preserve"> and dispose of such </w:t>
      </w:r>
      <w:r w:rsidRPr="00D53D37">
        <w:rPr>
          <w:rFonts w:eastAsia="Times New Roman"/>
          <w:b/>
          <w:bCs/>
          <w:i/>
          <w:iCs/>
          <w:sz w:val="24"/>
          <w:lang w:eastAsia="en-ZA"/>
        </w:rPr>
        <w:t>money</w:t>
      </w:r>
      <w:r w:rsidRPr="00607ECD">
        <w:rPr>
          <w:rFonts w:eastAsia="Times New Roman"/>
          <w:i/>
          <w:iCs/>
          <w:sz w:val="24"/>
          <w:lang w:eastAsia="en-ZA"/>
        </w:rPr>
        <w:t xml:space="preserve"> or goods </w:t>
      </w:r>
      <w:r w:rsidRPr="00D53D37">
        <w:rPr>
          <w:rFonts w:eastAsia="Times New Roman"/>
          <w:b/>
          <w:bCs/>
          <w:i/>
          <w:iCs/>
          <w:sz w:val="24"/>
          <w:lang w:eastAsia="en-ZA"/>
        </w:rPr>
        <w:t>may</w:t>
      </w:r>
      <w:r w:rsidRPr="00607ECD">
        <w:rPr>
          <w:rFonts w:eastAsia="Times New Roman"/>
          <w:i/>
          <w:iCs/>
          <w:sz w:val="24"/>
          <w:lang w:eastAsia="en-ZA"/>
        </w:rPr>
        <w:t xml:space="preserve">, within a period prescribed by the regulations, which shall not be less than 90 days after the date of the notice published in the Gazette and referred to in subparagraph (ii), </w:t>
      </w:r>
      <w:r w:rsidRPr="00607ECD">
        <w:rPr>
          <w:rFonts w:eastAsia="Times New Roman"/>
          <w:b/>
          <w:bCs/>
          <w:i/>
          <w:iCs/>
          <w:sz w:val="24"/>
          <w:lang w:eastAsia="en-ZA"/>
        </w:rPr>
        <w:t xml:space="preserve">institute </w:t>
      </w:r>
      <w:r w:rsidRPr="00607ECD">
        <w:rPr>
          <w:rFonts w:eastAsia="Times New Roman"/>
          <w:b/>
          <w:bCs/>
          <w:i/>
          <w:iCs/>
          <w:sz w:val="24"/>
          <w:u w:val="single"/>
          <w:lang w:eastAsia="en-ZA"/>
        </w:rPr>
        <w:t>legal proceedings</w:t>
      </w:r>
      <w:r w:rsidRPr="00607ECD">
        <w:rPr>
          <w:rFonts w:eastAsia="Times New Roman"/>
          <w:b/>
          <w:bCs/>
          <w:i/>
          <w:iCs/>
          <w:sz w:val="24"/>
          <w:lang w:eastAsia="en-ZA"/>
        </w:rPr>
        <w:t xml:space="preserve"> in a competent court for the setting aside of such decision</w:t>
      </w:r>
      <w:r w:rsidRPr="00607ECD">
        <w:rPr>
          <w:rFonts w:eastAsia="Times New Roman"/>
          <w:i/>
          <w:iCs/>
          <w:sz w:val="24"/>
          <w:lang w:eastAsia="en-ZA"/>
        </w:rPr>
        <w:t>, and the court shall not set aside such decision unless it is satisfied-</w:t>
      </w:r>
    </w:p>
    <w:p w14:paraId="7467361A" w14:textId="6A12E1B9" w:rsidR="001D53DA" w:rsidRPr="009D34AB" w:rsidRDefault="001D53DA" w:rsidP="00CD0C98">
      <w:pPr>
        <w:tabs>
          <w:tab w:val="left" w:pos="1843"/>
          <w:tab w:val="right" w:pos="8595"/>
        </w:tabs>
        <w:spacing w:before="400" w:after="400" w:line="360" w:lineRule="auto"/>
        <w:ind w:left="1843" w:hanging="709"/>
        <w:jc w:val="both"/>
        <w:rPr>
          <w:i/>
          <w:iCs/>
          <w:sz w:val="24"/>
        </w:rPr>
      </w:pPr>
      <w:r w:rsidRPr="009D34AB">
        <w:rPr>
          <w:rFonts w:eastAsia="Times New Roman"/>
          <w:i/>
          <w:iCs/>
          <w:sz w:val="24"/>
          <w:lang w:eastAsia="en-ZA"/>
        </w:rPr>
        <w:t xml:space="preserve"> (aa)  </w:t>
      </w:r>
      <w:r w:rsidR="00CD0C98">
        <w:rPr>
          <w:rFonts w:eastAsia="Times New Roman"/>
          <w:i/>
          <w:iCs/>
          <w:sz w:val="24"/>
          <w:lang w:eastAsia="en-ZA"/>
        </w:rPr>
        <w:tab/>
      </w:r>
      <w:r w:rsidRPr="009D34AB">
        <w:rPr>
          <w:rFonts w:eastAsia="Times New Roman"/>
          <w:i/>
          <w:iCs/>
          <w:sz w:val="24"/>
          <w:lang w:eastAsia="en-ZA"/>
        </w:rPr>
        <w:t>that the person who made such decision did not act in accordance with the relevant provisions of the regulation; or</w:t>
      </w:r>
    </w:p>
    <w:p w14:paraId="36936EE5" w14:textId="716A7176" w:rsidR="001D53DA" w:rsidRPr="009D34AB" w:rsidRDefault="001D53DA" w:rsidP="00CD0C98">
      <w:pPr>
        <w:tabs>
          <w:tab w:val="left" w:pos="1843"/>
          <w:tab w:val="right" w:pos="8595"/>
        </w:tabs>
        <w:spacing w:before="400" w:after="400" w:line="360" w:lineRule="auto"/>
        <w:ind w:left="1843" w:hanging="709"/>
        <w:jc w:val="both"/>
        <w:rPr>
          <w:i/>
          <w:iCs/>
          <w:sz w:val="24"/>
        </w:rPr>
      </w:pPr>
      <w:r w:rsidRPr="009D34AB">
        <w:rPr>
          <w:rFonts w:eastAsia="Times New Roman"/>
          <w:i/>
          <w:iCs/>
          <w:sz w:val="24"/>
          <w:lang w:eastAsia="en-ZA"/>
        </w:rPr>
        <w:t xml:space="preserve"> (bb)  </w:t>
      </w:r>
      <w:r w:rsidR="00CD0C98">
        <w:rPr>
          <w:rFonts w:eastAsia="Times New Roman"/>
          <w:i/>
          <w:iCs/>
          <w:sz w:val="24"/>
          <w:lang w:eastAsia="en-ZA"/>
        </w:rPr>
        <w:tab/>
      </w:r>
      <w:r w:rsidRPr="009D34AB">
        <w:rPr>
          <w:rFonts w:eastAsia="Times New Roman"/>
          <w:i/>
          <w:iCs/>
          <w:sz w:val="24"/>
          <w:lang w:eastAsia="en-ZA"/>
        </w:rPr>
        <w:t>that such person did not have grounds to make such decision; or</w:t>
      </w:r>
    </w:p>
    <w:p w14:paraId="64A1E644" w14:textId="77777777" w:rsidR="00CD0C98" w:rsidRDefault="001D53DA" w:rsidP="00CD0C98">
      <w:pPr>
        <w:tabs>
          <w:tab w:val="left" w:pos="1843"/>
          <w:tab w:val="right" w:pos="8595"/>
        </w:tabs>
        <w:spacing w:before="400" w:after="400" w:line="360" w:lineRule="auto"/>
        <w:ind w:left="1843" w:hanging="709"/>
        <w:jc w:val="both"/>
        <w:rPr>
          <w:rFonts w:eastAsia="Times New Roman"/>
          <w:sz w:val="24"/>
          <w:lang w:eastAsia="en-ZA"/>
        </w:rPr>
      </w:pPr>
      <w:r w:rsidRPr="009D34AB">
        <w:rPr>
          <w:rFonts w:eastAsia="Times New Roman"/>
          <w:i/>
          <w:iCs/>
          <w:sz w:val="24"/>
          <w:lang w:eastAsia="en-ZA"/>
        </w:rPr>
        <w:t xml:space="preserve"> (cc)  </w:t>
      </w:r>
      <w:r w:rsidR="00CD0C98">
        <w:rPr>
          <w:rFonts w:eastAsia="Times New Roman"/>
          <w:i/>
          <w:iCs/>
          <w:sz w:val="24"/>
          <w:lang w:eastAsia="en-ZA"/>
        </w:rPr>
        <w:tab/>
      </w:r>
      <w:r w:rsidRPr="009D34AB">
        <w:rPr>
          <w:rFonts w:eastAsia="Times New Roman"/>
          <w:i/>
          <w:iCs/>
          <w:sz w:val="24"/>
          <w:lang w:eastAsia="en-ZA"/>
        </w:rPr>
        <w:t>that the grounds for the making of such decision no longer exist.</w:t>
      </w:r>
      <w:r>
        <w:rPr>
          <w:rFonts w:eastAsia="Times New Roman"/>
          <w:sz w:val="24"/>
          <w:lang w:eastAsia="en-ZA"/>
        </w:rPr>
        <w:t xml:space="preserve">” </w:t>
      </w:r>
    </w:p>
    <w:p w14:paraId="51120CF3" w14:textId="19500D2C" w:rsidR="001D53DA" w:rsidRPr="009D34AB" w:rsidRDefault="001D53DA" w:rsidP="00CD0C98">
      <w:pPr>
        <w:tabs>
          <w:tab w:val="left" w:pos="1843"/>
          <w:tab w:val="right" w:pos="8595"/>
        </w:tabs>
        <w:spacing w:before="400" w:after="400" w:line="360" w:lineRule="auto"/>
        <w:ind w:left="1843" w:hanging="709"/>
        <w:jc w:val="both"/>
        <w:rPr>
          <w:sz w:val="24"/>
        </w:rPr>
      </w:pPr>
      <w:r>
        <w:rPr>
          <w:rFonts w:eastAsia="Times New Roman"/>
          <w:sz w:val="24"/>
          <w:lang w:eastAsia="en-ZA"/>
        </w:rPr>
        <w:t>(Emphasis added)</w:t>
      </w:r>
    </w:p>
    <w:p w14:paraId="615BDA8D" w14:textId="053E0C2B" w:rsidR="00177EA0" w:rsidRDefault="006C4312" w:rsidP="006C4312">
      <w:pPr>
        <w:tabs>
          <w:tab w:val="left" w:pos="0"/>
          <w:tab w:val="left" w:pos="1134"/>
          <w:tab w:val="left" w:pos="1985"/>
          <w:tab w:val="right" w:pos="8595"/>
        </w:tabs>
        <w:spacing w:before="400" w:after="400" w:line="480" w:lineRule="auto"/>
        <w:jc w:val="both"/>
        <w:rPr>
          <w:sz w:val="24"/>
        </w:rPr>
      </w:pPr>
      <w:r>
        <w:rPr>
          <w:sz w:val="24"/>
        </w:rPr>
        <w:t>[53]</w:t>
      </w:r>
      <w:r>
        <w:rPr>
          <w:sz w:val="24"/>
        </w:rPr>
        <w:tab/>
      </w:r>
      <w:r w:rsidR="001D53DA">
        <w:rPr>
          <w:sz w:val="24"/>
        </w:rPr>
        <w:t>Regulation 22D(b) is the regulation referred to in section 9(2)(d)(iii)</w:t>
      </w:r>
      <w:r w:rsidR="00D53D37">
        <w:rPr>
          <w:sz w:val="24"/>
        </w:rPr>
        <w:t xml:space="preserve"> of the Currency Act</w:t>
      </w:r>
      <w:r w:rsidR="001D53DA">
        <w:rPr>
          <w:sz w:val="24"/>
        </w:rPr>
        <w:t xml:space="preserve"> </w:t>
      </w:r>
      <w:r w:rsidR="00561F69">
        <w:rPr>
          <w:sz w:val="24"/>
        </w:rPr>
        <w:t>and must be interpreted in the context thereof.  It is s</w:t>
      </w:r>
      <w:r w:rsidR="001D53DA">
        <w:rPr>
          <w:sz w:val="24"/>
        </w:rPr>
        <w:t xml:space="preserve">ignificant that the section </w:t>
      </w:r>
      <w:r w:rsidR="00561F69">
        <w:rPr>
          <w:sz w:val="24"/>
        </w:rPr>
        <w:t xml:space="preserve">itself </w:t>
      </w:r>
      <w:r w:rsidR="001D53DA">
        <w:rPr>
          <w:sz w:val="24"/>
        </w:rPr>
        <w:t>refers to “</w:t>
      </w:r>
      <w:r w:rsidR="001D53DA" w:rsidRPr="009873AF">
        <w:rPr>
          <w:b/>
          <w:bCs/>
          <w:i/>
          <w:iCs/>
          <w:sz w:val="24"/>
        </w:rPr>
        <w:t>legal proceedings</w:t>
      </w:r>
      <w:r w:rsidR="001D53DA">
        <w:rPr>
          <w:sz w:val="24"/>
        </w:rPr>
        <w:t>” (i.e. legal proceedings of any nature which would include action and application proceedings) and is not limited to “</w:t>
      </w:r>
      <w:r w:rsidR="001D53DA" w:rsidRPr="00607ECD">
        <w:rPr>
          <w:i/>
          <w:iCs/>
          <w:sz w:val="24"/>
        </w:rPr>
        <w:t>action proceedings</w:t>
      </w:r>
      <w:r w:rsidR="001D53DA">
        <w:rPr>
          <w:sz w:val="24"/>
        </w:rPr>
        <w:t>”.</w:t>
      </w:r>
      <w:r w:rsidR="00561F69">
        <w:rPr>
          <w:sz w:val="24"/>
        </w:rPr>
        <w:t xml:space="preserve"> </w:t>
      </w:r>
      <w:r w:rsidR="00FE3F42">
        <w:rPr>
          <w:sz w:val="24"/>
        </w:rPr>
        <w:t xml:space="preserve"> It was therefore clearly not the intention of the legislator that a person be restricted to bringing action proceedings under the Currency Act when he/she feels aggrieved by a decision to forfeit money.  The use of different terminology in Regulation 22D(b) cannot limit a person’s rights described in the empowering section of the Currency Act.</w:t>
      </w:r>
    </w:p>
    <w:p w14:paraId="063ADA6F" w14:textId="2F4856FE" w:rsidR="001D53DA" w:rsidRDefault="006C4312" w:rsidP="006C4312">
      <w:pPr>
        <w:tabs>
          <w:tab w:val="left" w:pos="0"/>
          <w:tab w:val="left" w:pos="1134"/>
          <w:tab w:val="left" w:pos="1985"/>
          <w:tab w:val="right" w:pos="8595"/>
        </w:tabs>
        <w:spacing w:before="400" w:after="400" w:line="480" w:lineRule="auto"/>
        <w:jc w:val="both"/>
        <w:rPr>
          <w:sz w:val="24"/>
        </w:rPr>
      </w:pPr>
      <w:r>
        <w:rPr>
          <w:sz w:val="24"/>
        </w:rPr>
        <w:lastRenderedPageBreak/>
        <w:t>[54]</w:t>
      </w:r>
      <w:r>
        <w:rPr>
          <w:sz w:val="24"/>
        </w:rPr>
        <w:tab/>
      </w:r>
      <w:r w:rsidR="00177EA0">
        <w:rPr>
          <w:sz w:val="24"/>
        </w:rPr>
        <w:t xml:space="preserve">In </w:t>
      </w:r>
      <w:r w:rsidR="00177EA0" w:rsidRPr="00177EA0">
        <w:rPr>
          <w:i/>
          <w:iCs/>
          <w:sz w:val="24"/>
        </w:rPr>
        <w:t>Rossouw &amp; Another v FirstRand Bank</w:t>
      </w:r>
      <w:r w:rsidR="00177EA0">
        <w:rPr>
          <w:i/>
          <w:iCs/>
          <w:sz w:val="24"/>
        </w:rPr>
        <w:t xml:space="preserve"> Ltd</w:t>
      </w:r>
      <w:r w:rsidR="00177EA0">
        <w:rPr>
          <w:rStyle w:val="FootnoteReference"/>
          <w:i/>
          <w:iCs/>
          <w:sz w:val="24"/>
        </w:rPr>
        <w:footnoteReference w:id="5"/>
      </w:r>
      <w:r w:rsidR="00177EA0">
        <w:rPr>
          <w:sz w:val="24"/>
        </w:rPr>
        <w:t xml:space="preserve"> the Court stated that it is generally impermissible to use regulations created by a Minister as an aid to interpret the intention of the Legislature in an Act of Parliament, notwithstanding that an Act may include the regulations.</w:t>
      </w:r>
      <w:r w:rsidR="00FE3F42">
        <w:rPr>
          <w:sz w:val="24"/>
        </w:rPr>
        <w:t xml:space="preserve"> </w:t>
      </w:r>
      <w:r w:rsidR="00DB47B1">
        <w:rPr>
          <w:sz w:val="24"/>
        </w:rPr>
        <w:t xml:space="preserve">  </w:t>
      </w:r>
      <w:r w:rsidR="00D53D37">
        <w:rPr>
          <w:sz w:val="24"/>
        </w:rPr>
        <w:t xml:space="preserve">  </w:t>
      </w:r>
      <w:r w:rsidR="009873AF">
        <w:rPr>
          <w:sz w:val="24"/>
        </w:rPr>
        <w:t xml:space="preserve"> </w:t>
      </w:r>
    </w:p>
    <w:p w14:paraId="128388A4" w14:textId="18FFFAE1" w:rsidR="009C67F9" w:rsidRPr="001D53DA" w:rsidRDefault="006C4312" w:rsidP="006C4312">
      <w:pPr>
        <w:tabs>
          <w:tab w:val="left" w:pos="0"/>
          <w:tab w:val="left" w:pos="1134"/>
          <w:tab w:val="left" w:pos="1985"/>
          <w:tab w:val="right" w:pos="8595"/>
        </w:tabs>
        <w:spacing w:before="400" w:after="400" w:line="480" w:lineRule="auto"/>
        <w:jc w:val="both"/>
        <w:rPr>
          <w:sz w:val="24"/>
        </w:rPr>
      </w:pPr>
      <w:r w:rsidRPr="001D53DA">
        <w:rPr>
          <w:sz w:val="24"/>
        </w:rPr>
        <w:t>[55]</w:t>
      </w:r>
      <w:r w:rsidRPr="001D53DA">
        <w:rPr>
          <w:sz w:val="24"/>
        </w:rPr>
        <w:tab/>
      </w:r>
      <w:r w:rsidR="00177EA0">
        <w:rPr>
          <w:sz w:val="24"/>
        </w:rPr>
        <w:t>Having said that, r</w:t>
      </w:r>
      <w:r w:rsidR="001D53DA">
        <w:rPr>
          <w:sz w:val="24"/>
        </w:rPr>
        <w:t xml:space="preserve">ead in the context of section 9(2)(d)(iii), </w:t>
      </w:r>
      <w:r w:rsidR="009C67F9" w:rsidRPr="001D53DA">
        <w:rPr>
          <w:sz w:val="24"/>
        </w:rPr>
        <w:t>the word “</w:t>
      </w:r>
      <w:r w:rsidR="009C67F9" w:rsidRPr="001D53DA">
        <w:rPr>
          <w:i/>
          <w:iCs/>
          <w:sz w:val="24"/>
        </w:rPr>
        <w:t>action</w:t>
      </w:r>
      <w:r w:rsidR="009C67F9" w:rsidRPr="001D53DA">
        <w:rPr>
          <w:sz w:val="24"/>
        </w:rPr>
        <w:t xml:space="preserve">” </w:t>
      </w:r>
      <w:r w:rsidR="00177EA0">
        <w:rPr>
          <w:sz w:val="24"/>
        </w:rPr>
        <w:t xml:space="preserve">in Regulation 22D(b) </w:t>
      </w:r>
      <w:r w:rsidR="009C67F9" w:rsidRPr="001D53DA">
        <w:rPr>
          <w:sz w:val="24"/>
        </w:rPr>
        <w:t xml:space="preserve">is not used in the sense of distinguishing between action </w:t>
      </w:r>
      <w:r w:rsidR="009C67F9" w:rsidRPr="001D53DA">
        <w:rPr>
          <w:sz w:val="24"/>
          <w:u w:val="single"/>
        </w:rPr>
        <w:t>proceedings</w:t>
      </w:r>
      <w:r w:rsidR="009C67F9" w:rsidRPr="001D53DA">
        <w:rPr>
          <w:sz w:val="24"/>
        </w:rPr>
        <w:t xml:space="preserve"> and application </w:t>
      </w:r>
      <w:r w:rsidR="009C67F9" w:rsidRPr="001D53DA">
        <w:rPr>
          <w:sz w:val="24"/>
          <w:u w:val="single"/>
        </w:rPr>
        <w:t>proceedings</w:t>
      </w:r>
      <w:r w:rsidR="001D53DA" w:rsidRPr="001D53DA">
        <w:rPr>
          <w:sz w:val="24"/>
        </w:rPr>
        <w:t>.  If this was the case, Rule 22D(b) would leave a party no option but to proceed with the issuing of summons</w:t>
      </w:r>
      <w:r w:rsidR="00561F69">
        <w:rPr>
          <w:sz w:val="24"/>
        </w:rPr>
        <w:t xml:space="preserve"> despite section 9(2)(d)(iii) referring to any legal proceedings</w:t>
      </w:r>
      <w:r w:rsidR="001D53DA" w:rsidRPr="001D53DA">
        <w:rPr>
          <w:sz w:val="24"/>
        </w:rPr>
        <w:t>.</w:t>
      </w:r>
      <w:r w:rsidR="009C67F9" w:rsidRPr="001D53DA">
        <w:rPr>
          <w:sz w:val="24"/>
        </w:rPr>
        <w:t xml:space="preserve"> </w:t>
      </w:r>
      <w:r w:rsidR="001D53DA" w:rsidRPr="001D53DA">
        <w:rPr>
          <w:sz w:val="24"/>
        </w:rPr>
        <w:t xml:space="preserve">In my view, the use of the words </w:t>
      </w:r>
      <w:r w:rsidR="001D53DA">
        <w:rPr>
          <w:sz w:val="24"/>
        </w:rPr>
        <w:t xml:space="preserve">should be understood </w:t>
      </w:r>
      <w:r w:rsidR="009873AF">
        <w:rPr>
          <w:sz w:val="24"/>
        </w:rPr>
        <w:t>in the context of section 9(2)(d)(iii) which refers to “</w:t>
      </w:r>
      <w:r w:rsidR="009873AF" w:rsidRPr="00DB47B1">
        <w:rPr>
          <w:i/>
          <w:iCs/>
          <w:sz w:val="24"/>
        </w:rPr>
        <w:t>legal proceedings</w:t>
      </w:r>
      <w:r w:rsidR="009873AF">
        <w:rPr>
          <w:sz w:val="24"/>
        </w:rPr>
        <w:t>”, and th</w:t>
      </w:r>
      <w:r w:rsidR="00DB47B1">
        <w:rPr>
          <w:sz w:val="24"/>
        </w:rPr>
        <w:t>erefore</w:t>
      </w:r>
      <w:r w:rsidR="009873AF">
        <w:rPr>
          <w:sz w:val="24"/>
        </w:rPr>
        <w:t xml:space="preserve"> </w:t>
      </w:r>
      <w:r w:rsidR="00DB47B1">
        <w:rPr>
          <w:sz w:val="24"/>
        </w:rPr>
        <w:t>the use of the word “</w:t>
      </w:r>
      <w:r w:rsidR="00DB47B1" w:rsidRPr="00DB47B1">
        <w:rPr>
          <w:i/>
          <w:iCs/>
          <w:sz w:val="24"/>
        </w:rPr>
        <w:t>action</w:t>
      </w:r>
      <w:r w:rsidR="00DB47B1">
        <w:rPr>
          <w:sz w:val="24"/>
        </w:rPr>
        <w:t xml:space="preserve">” should be interpreted widely to include </w:t>
      </w:r>
      <w:r w:rsidR="00561F69">
        <w:rPr>
          <w:sz w:val="24"/>
        </w:rPr>
        <w:t xml:space="preserve">the </w:t>
      </w:r>
      <w:r w:rsidR="009873AF">
        <w:rPr>
          <w:sz w:val="24"/>
        </w:rPr>
        <w:t xml:space="preserve">taking </w:t>
      </w:r>
      <w:r w:rsidR="00561F69">
        <w:rPr>
          <w:sz w:val="24"/>
        </w:rPr>
        <w:t xml:space="preserve">of </w:t>
      </w:r>
      <w:r w:rsidR="009873AF">
        <w:rPr>
          <w:sz w:val="24"/>
        </w:rPr>
        <w:t xml:space="preserve">formal legal steps and instituting legal proceedings </w:t>
      </w:r>
      <w:r w:rsidR="001D53DA">
        <w:rPr>
          <w:sz w:val="24"/>
        </w:rPr>
        <w:t xml:space="preserve">(which would include </w:t>
      </w:r>
      <w:r w:rsidR="009C67F9" w:rsidRPr="001D53DA">
        <w:rPr>
          <w:sz w:val="24"/>
        </w:rPr>
        <w:t>application and action proceedings</w:t>
      </w:r>
      <w:r w:rsidR="001D53DA">
        <w:rPr>
          <w:sz w:val="24"/>
        </w:rPr>
        <w:t>)</w:t>
      </w:r>
      <w:r w:rsidR="009C67F9" w:rsidRPr="001D53DA">
        <w:rPr>
          <w:sz w:val="24"/>
        </w:rPr>
        <w:t>.</w:t>
      </w:r>
      <w:r w:rsidR="00561F69">
        <w:rPr>
          <w:sz w:val="24"/>
        </w:rPr>
        <w:t xml:space="preserve">  This, in my view, would be the most sensible interpretation.</w:t>
      </w:r>
      <w:r w:rsidR="009873AF">
        <w:rPr>
          <w:sz w:val="24"/>
        </w:rPr>
        <w:t xml:space="preserve">  </w:t>
      </w:r>
    </w:p>
    <w:p w14:paraId="6E7F6091" w14:textId="7729C88F" w:rsidR="002B1EAD" w:rsidRDefault="006C4312" w:rsidP="006C4312">
      <w:pPr>
        <w:tabs>
          <w:tab w:val="left" w:pos="0"/>
          <w:tab w:val="left" w:pos="1134"/>
          <w:tab w:val="left" w:pos="1985"/>
          <w:tab w:val="right" w:pos="8595"/>
        </w:tabs>
        <w:spacing w:before="400" w:after="400" w:line="480" w:lineRule="auto"/>
        <w:jc w:val="both"/>
        <w:rPr>
          <w:sz w:val="24"/>
        </w:rPr>
      </w:pPr>
      <w:r>
        <w:rPr>
          <w:sz w:val="24"/>
        </w:rPr>
        <w:t>[56]</w:t>
      </w:r>
      <w:r>
        <w:rPr>
          <w:sz w:val="24"/>
        </w:rPr>
        <w:tab/>
      </w:r>
      <w:r w:rsidR="002B1EAD">
        <w:rPr>
          <w:sz w:val="24"/>
        </w:rPr>
        <w:t>In paragraph 16 of the supplementary heads of argument of the Applicant, the following was stated (footnote summited):</w:t>
      </w:r>
    </w:p>
    <w:p w14:paraId="27A88B25" w14:textId="77777777" w:rsidR="002B1EAD" w:rsidRDefault="002B1EAD" w:rsidP="002B1EAD">
      <w:pPr>
        <w:tabs>
          <w:tab w:val="left" w:pos="1134"/>
          <w:tab w:val="left" w:pos="1985"/>
          <w:tab w:val="right" w:pos="8595"/>
        </w:tabs>
        <w:spacing w:before="400" w:after="400" w:line="360" w:lineRule="auto"/>
        <w:ind w:left="1701" w:hanging="567"/>
        <w:jc w:val="both"/>
        <w:rPr>
          <w:sz w:val="24"/>
        </w:rPr>
      </w:pPr>
      <w:r>
        <w:rPr>
          <w:sz w:val="24"/>
        </w:rPr>
        <w:t>“</w:t>
      </w:r>
      <w:r>
        <w:rPr>
          <w:i/>
          <w:iCs/>
          <w:sz w:val="24"/>
        </w:rPr>
        <w:t>16.</w:t>
      </w:r>
      <w:r>
        <w:rPr>
          <w:i/>
          <w:iCs/>
          <w:sz w:val="24"/>
        </w:rPr>
        <w:tab/>
        <w:t>In this instance, the first blocking order was issued on the 1</w:t>
      </w:r>
      <w:r>
        <w:rPr>
          <w:i/>
          <w:iCs/>
          <w:sz w:val="24"/>
          <w:vertAlign w:val="superscript"/>
        </w:rPr>
        <w:t>st</w:t>
      </w:r>
      <w:r>
        <w:rPr>
          <w:i/>
          <w:iCs/>
          <w:sz w:val="24"/>
        </w:rPr>
        <w:t xml:space="preserve"> of March 2019.  There was a further blocking order of sorts on the 19</w:t>
      </w:r>
      <w:r>
        <w:rPr>
          <w:i/>
          <w:iCs/>
          <w:sz w:val="24"/>
          <w:vertAlign w:val="superscript"/>
        </w:rPr>
        <w:t>th</w:t>
      </w:r>
      <w:r>
        <w:rPr>
          <w:i/>
          <w:iCs/>
          <w:sz w:val="24"/>
        </w:rPr>
        <w:t xml:space="preserve"> of March 2019.  The Applicant did not challenge any of the blocking orders.  It did not exercise the remedy provided under Regulation 22D(a).  Only once the Respondent took a decision to forfeit the funds, </w:t>
      </w:r>
      <w:r w:rsidRPr="00DB47B1">
        <w:rPr>
          <w:b/>
          <w:bCs/>
          <w:i/>
          <w:iCs/>
          <w:sz w:val="24"/>
          <w:u w:val="single"/>
        </w:rPr>
        <w:t>did the Applicant institute legal action</w:t>
      </w:r>
      <w:r>
        <w:rPr>
          <w:i/>
          <w:iCs/>
          <w:sz w:val="24"/>
        </w:rPr>
        <w:t>.</w:t>
      </w:r>
      <w:r>
        <w:rPr>
          <w:sz w:val="24"/>
        </w:rPr>
        <w:t xml:space="preserve">”  </w:t>
      </w:r>
    </w:p>
    <w:p w14:paraId="07EED6A6" w14:textId="77777777" w:rsidR="002B1EAD" w:rsidRDefault="002B1EAD" w:rsidP="002B1EAD">
      <w:pPr>
        <w:tabs>
          <w:tab w:val="left" w:pos="0"/>
          <w:tab w:val="left" w:pos="1134"/>
          <w:tab w:val="left" w:pos="1985"/>
          <w:tab w:val="right" w:pos="8595"/>
        </w:tabs>
        <w:spacing w:before="400" w:after="400" w:line="480" w:lineRule="auto"/>
        <w:jc w:val="both"/>
        <w:rPr>
          <w:sz w:val="24"/>
        </w:rPr>
      </w:pPr>
      <w:r>
        <w:rPr>
          <w:sz w:val="24"/>
        </w:rPr>
        <w:lastRenderedPageBreak/>
        <w:tab/>
        <w:t xml:space="preserve">(Emphasis added) </w:t>
      </w:r>
    </w:p>
    <w:p w14:paraId="70AD475D" w14:textId="66982E01" w:rsidR="002B1EAD" w:rsidRDefault="006C4312" w:rsidP="006C4312">
      <w:pPr>
        <w:tabs>
          <w:tab w:val="left" w:pos="0"/>
          <w:tab w:val="left" w:pos="1134"/>
          <w:tab w:val="left" w:pos="1985"/>
          <w:tab w:val="right" w:pos="8595"/>
        </w:tabs>
        <w:spacing w:before="400" w:after="400" w:line="480" w:lineRule="auto"/>
        <w:jc w:val="both"/>
        <w:rPr>
          <w:sz w:val="24"/>
        </w:rPr>
      </w:pPr>
      <w:r>
        <w:rPr>
          <w:sz w:val="24"/>
        </w:rPr>
        <w:t>[57]</w:t>
      </w:r>
      <w:r>
        <w:rPr>
          <w:sz w:val="24"/>
        </w:rPr>
        <w:tab/>
      </w:r>
      <w:r w:rsidR="00B55149">
        <w:rPr>
          <w:sz w:val="24"/>
        </w:rPr>
        <w:t>The word “</w:t>
      </w:r>
      <w:r w:rsidR="00B55149" w:rsidRPr="00B55149">
        <w:rPr>
          <w:i/>
          <w:iCs/>
          <w:sz w:val="24"/>
        </w:rPr>
        <w:t>action</w:t>
      </w:r>
      <w:r w:rsidR="00B55149">
        <w:rPr>
          <w:sz w:val="24"/>
        </w:rPr>
        <w:t xml:space="preserve">” used in paragraph 16 of the Applicant’s heads of argument is </w:t>
      </w:r>
      <w:r w:rsidR="00561F69">
        <w:rPr>
          <w:sz w:val="24"/>
        </w:rPr>
        <w:t xml:space="preserve">also </w:t>
      </w:r>
      <w:r w:rsidR="00B55149">
        <w:rPr>
          <w:sz w:val="24"/>
        </w:rPr>
        <w:t xml:space="preserve">used in the </w:t>
      </w:r>
      <w:r w:rsidR="00DB47B1">
        <w:rPr>
          <w:sz w:val="24"/>
        </w:rPr>
        <w:t xml:space="preserve">wide </w:t>
      </w:r>
      <w:r w:rsidR="00B55149">
        <w:rPr>
          <w:sz w:val="24"/>
        </w:rPr>
        <w:t xml:space="preserve">sense (as it brought a review application and not action </w:t>
      </w:r>
      <w:r w:rsidR="001D53DA">
        <w:rPr>
          <w:sz w:val="24"/>
        </w:rPr>
        <w:t>proceedings).  This is i</w:t>
      </w:r>
      <w:r w:rsidR="00DB47B1">
        <w:rPr>
          <w:sz w:val="24"/>
        </w:rPr>
        <w:t xml:space="preserve">llustrative </w:t>
      </w:r>
      <w:r w:rsidR="001D53DA">
        <w:rPr>
          <w:sz w:val="24"/>
        </w:rPr>
        <w:t>of the fact that the word could be used in that sense in Regulation 22D(b).</w:t>
      </w:r>
    </w:p>
    <w:p w14:paraId="07342F39" w14:textId="4AE8F8A8" w:rsidR="009873AF" w:rsidRDefault="006C4312" w:rsidP="006C4312">
      <w:pPr>
        <w:tabs>
          <w:tab w:val="left" w:pos="0"/>
          <w:tab w:val="left" w:pos="1134"/>
          <w:tab w:val="left" w:pos="1985"/>
          <w:tab w:val="right" w:pos="8595"/>
        </w:tabs>
        <w:spacing w:before="400" w:after="400" w:line="480" w:lineRule="auto"/>
        <w:jc w:val="both"/>
        <w:rPr>
          <w:sz w:val="24"/>
        </w:rPr>
      </w:pPr>
      <w:r>
        <w:rPr>
          <w:sz w:val="24"/>
        </w:rPr>
        <w:t>[58]</w:t>
      </w:r>
      <w:r>
        <w:rPr>
          <w:sz w:val="24"/>
        </w:rPr>
        <w:tab/>
      </w:r>
      <w:r w:rsidR="004B3ECE">
        <w:rPr>
          <w:sz w:val="24"/>
        </w:rPr>
        <w:t xml:space="preserve">In light of the above, </w:t>
      </w:r>
      <w:r w:rsidR="00561F69">
        <w:rPr>
          <w:sz w:val="24"/>
        </w:rPr>
        <w:t>I do not agree with the Applicant’s restrictive interpretation of the word “</w:t>
      </w:r>
      <w:r w:rsidR="00561F69" w:rsidRPr="00FE3F42">
        <w:rPr>
          <w:i/>
          <w:iCs/>
          <w:sz w:val="24"/>
        </w:rPr>
        <w:t>action</w:t>
      </w:r>
      <w:r w:rsidR="00561F69">
        <w:rPr>
          <w:sz w:val="24"/>
        </w:rPr>
        <w:t>” in Regulation 22 D and that the application would fall outside of the ambit of Regulati</w:t>
      </w:r>
      <w:r w:rsidR="00FE3F42">
        <w:rPr>
          <w:sz w:val="24"/>
        </w:rPr>
        <w:t>o</w:t>
      </w:r>
      <w:r w:rsidR="00561F69">
        <w:rPr>
          <w:sz w:val="24"/>
        </w:rPr>
        <w:t>n 22D(b) as it does not constitute action proceedings</w:t>
      </w:r>
      <w:r w:rsidR="00FE3F42">
        <w:rPr>
          <w:sz w:val="24"/>
        </w:rPr>
        <w:t xml:space="preserve"> brought by way of summons</w:t>
      </w:r>
      <w:r w:rsidR="00561F69">
        <w:rPr>
          <w:sz w:val="24"/>
        </w:rPr>
        <w:t xml:space="preserve">. </w:t>
      </w:r>
    </w:p>
    <w:p w14:paraId="61E9D3AE" w14:textId="64E89D57" w:rsidR="004B3ECE" w:rsidRDefault="006C4312" w:rsidP="006C4312">
      <w:pPr>
        <w:tabs>
          <w:tab w:val="left" w:pos="0"/>
          <w:tab w:val="left" w:pos="1134"/>
          <w:tab w:val="left" w:pos="1985"/>
          <w:tab w:val="right" w:pos="8595"/>
        </w:tabs>
        <w:spacing w:before="400" w:after="400" w:line="480" w:lineRule="auto"/>
        <w:jc w:val="both"/>
        <w:rPr>
          <w:sz w:val="24"/>
        </w:rPr>
      </w:pPr>
      <w:r>
        <w:rPr>
          <w:sz w:val="24"/>
        </w:rPr>
        <w:t>[59]</w:t>
      </w:r>
      <w:r>
        <w:rPr>
          <w:sz w:val="24"/>
        </w:rPr>
        <w:tab/>
      </w:r>
      <w:r w:rsidR="009873AF">
        <w:rPr>
          <w:sz w:val="24"/>
        </w:rPr>
        <w:t xml:space="preserve">The Court in </w:t>
      </w:r>
      <w:r w:rsidR="009873AF" w:rsidRPr="00FE3F42">
        <w:rPr>
          <w:i/>
          <w:iCs/>
          <w:sz w:val="24"/>
        </w:rPr>
        <w:t>Evergrand</w:t>
      </w:r>
      <w:r w:rsidR="009873AF">
        <w:rPr>
          <w:sz w:val="24"/>
        </w:rPr>
        <w:t xml:space="preserve"> also clearly considered the review application to fall within the ambit of </w:t>
      </w:r>
      <w:r w:rsidR="00FE3F42">
        <w:rPr>
          <w:sz w:val="24"/>
        </w:rPr>
        <w:t xml:space="preserve">section 9(2)(d)(iii) and </w:t>
      </w:r>
      <w:r w:rsidR="00061684">
        <w:rPr>
          <w:sz w:val="24"/>
        </w:rPr>
        <w:t>Rule 22D(b) otherwise it would not have found that the application was subject to the 90-time limit in that Regulation.</w:t>
      </w:r>
    </w:p>
    <w:p w14:paraId="178374AA" w14:textId="1727976B" w:rsidR="008C78E0" w:rsidRPr="004B3ECE" w:rsidRDefault="006C4312" w:rsidP="006C4312">
      <w:pPr>
        <w:tabs>
          <w:tab w:val="left" w:pos="0"/>
          <w:tab w:val="left" w:pos="1134"/>
          <w:tab w:val="left" w:pos="1985"/>
          <w:tab w:val="right" w:pos="8595"/>
        </w:tabs>
        <w:spacing w:before="400" w:after="400" w:line="480" w:lineRule="auto"/>
        <w:jc w:val="both"/>
        <w:rPr>
          <w:sz w:val="24"/>
        </w:rPr>
      </w:pPr>
      <w:r w:rsidRPr="004B3ECE">
        <w:rPr>
          <w:sz w:val="24"/>
        </w:rPr>
        <w:t>[60]</w:t>
      </w:r>
      <w:r w:rsidRPr="004B3ECE">
        <w:rPr>
          <w:sz w:val="24"/>
        </w:rPr>
        <w:tab/>
      </w:r>
      <w:r w:rsidR="00061684">
        <w:rPr>
          <w:sz w:val="24"/>
        </w:rPr>
        <w:t>I</w:t>
      </w:r>
      <w:r w:rsidR="002B1EAD">
        <w:rPr>
          <w:sz w:val="24"/>
        </w:rPr>
        <w:t xml:space="preserve">t was also pointed out </w:t>
      </w:r>
      <w:r w:rsidR="00061684">
        <w:rPr>
          <w:sz w:val="24"/>
        </w:rPr>
        <w:t xml:space="preserve">by the Respondent’s counsel </w:t>
      </w:r>
      <w:r w:rsidR="002B1EAD">
        <w:rPr>
          <w:sz w:val="24"/>
        </w:rPr>
        <w:t>that the Constitutional Court</w:t>
      </w:r>
      <w:r w:rsidR="00061684">
        <w:rPr>
          <w:sz w:val="24"/>
        </w:rPr>
        <w:t xml:space="preserve"> confirmed i</w:t>
      </w:r>
      <w:r w:rsidR="002B1EAD">
        <w:rPr>
          <w:sz w:val="24"/>
        </w:rPr>
        <w:t xml:space="preserve">n the matter of </w:t>
      </w:r>
      <w:r w:rsidR="002B1EAD">
        <w:rPr>
          <w:i/>
          <w:iCs/>
          <w:sz w:val="24"/>
        </w:rPr>
        <w:t>Mamadi and Another v Premier of Limpopo Province and Others</w:t>
      </w:r>
      <w:r w:rsidR="002B1EAD">
        <w:rPr>
          <w:rStyle w:val="FootnoteReference"/>
          <w:sz w:val="24"/>
        </w:rPr>
        <w:footnoteReference w:id="6"/>
      </w:r>
      <w:r w:rsidR="002B1EAD">
        <w:rPr>
          <w:sz w:val="24"/>
        </w:rPr>
        <w:t xml:space="preserve"> </w:t>
      </w:r>
      <w:r w:rsidR="004B3ECE">
        <w:rPr>
          <w:sz w:val="24"/>
        </w:rPr>
        <w:t xml:space="preserve">that </w:t>
      </w:r>
      <w:r w:rsidR="002B1EAD">
        <w:rPr>
          <w:sz w:val="24"/>
        </w:rPr>
        <w:t>revie</w:t>
      </w:r>
      <w:r w:rsidR="004B3ECE">
        <w:rPr>
          <w:sz w:val="24"/>
        </w:rPr>
        <w:t>w</w:t>
      </w:r>
      <w:r w:rsidR="002B1EAD">
        <w:rPr>
          <w:sz w:val="24"/>
        </w:rPr>
        <w:t xml:space="preserve"> proceedings can be brought by way of action proceedings.  Hence, </w:t>
      </w:r>
      <w:r w:rsidR="004B3ECE">
        <w:rPr>
          <w:sz w:val="24"/>
        </w:rPr>
        <w:t xml:space="preserve">this is another basis upon which one can conclude that the </w:t>
      </w:r>
      <w:r w:rsidR="002B1EAD">
        <w:rPr>
          <w:sz w:val="24"/>
        </w:rPr>
        <w:t>reference to “</w:t>
      </w:r>
      <w:r w:rsidR="002B1EAD">
        <w:rPr>
          <w:i/>
          <w:iCs/>
          <w:sz w:val="24"/>
        </w:rPr>
        <w:t>action</w:t>
      </w:r>
      <w:r w:rsidR="002B1EAD">
        <w:rPr>
          <w:sz w:val="24"/>
        </w:rPr>
        <w:t>” would also not exclude review proceedings.</w:t>
      </w:r>
      <w:r w:rsidR="004B3ECE">
        <w:rPr>
          <w:sz w:val="24"/>
        </w:rPr>
        <w:t xml:space="preserve">  There would</w:t>
      </w:r>
      <w:r w:rsidR="00061684">
        <w:rPr>
          <w:sz w:val="24"/>
        </w:rPr>
        <w:t>, in my view,</w:t>
      </w:r>
      <w:r w:rsidR="004B3ECE">
        <w:rPr>
          <w:sz w:val="24"/>
        </w:rPr>
        <w:t xml:space="preserve"> be no reason for the legislator to impose a 90-day limit on review proceedings brought by way of summons and not the same limit on review proceedings brought by way of application.</w:t>
      </w:r>
      <w:r w:rsidR="002B1EAD">
        <w:rPr>
          <w:sz w:val="24"/>
        </w:rPr>
        <w:t xml:space="preserve"> </w:t>
      </w:r>
    </w:p>
    <w:p w14:paraId="37383FCC" w14:textId="753F442E" w:rsidR="009C3FF1" w:rsidRPr="002B1EAD" w:rsidRDefault="006C4312" w:rsidP="006C4312">
      <w:pPr>
        <w:tabs>
          <w:tab w:val="left" w:pos="0"/>
          <w:tab w:val="left" w:pos="1134"/>
          <w:tab w:val="left" w:pos="1985"/>
          <w:tab w:val="right" w:pos="8595"/>
        </w:tabs>
        <w:spacing w:before="400" w:after="400" w:line="480" w:lineRule="auto"/>
        <w:jc w:val="both"/>
        <w:rPr>
          <w:i/>
          <w:iCs/>
          <w:sz w:val="24"/>
        </w:rPr>
      </w:pPr>
      <w:r w:rsidRPr="002B1EAD">
        <w:rPr>
          <w:iCs/>
          <w:sz w:val="24"/>
        </w:rPr>
        <w:lastRenderedPageBreak/>
        <w:t>[61]</w:t>
      </w:r>
      <w:r w:rsidRPr="002B1EAD">
        <w:rPr>
          <w:iCs/>
          <w:sz w:val="24"/>
        </w:rPr>
        <w:tab/>
      </w:r>
      <w:r w:rsidR="008C78E0">
        <w:rPr>
          <w:iCs/>
          <w:sz w:val="24"/>
        </w:rPr>
        <w:t xml:space="preserve">In the Respondent’s heads of argument, I was also referred to </w:t>
      </w:r>
      <w:r w:rsidR="009C3FF1" w:rsidRPr="009C3FF1">
        <w:rPr>
          <w:lang w:val="en-US"/>
        </w:rPr>
        <w:t>section 3(5) of PAJA</w:t>
      </w:r>
      <w:r w:rsidR="008C78E0">
        <w:rPr>
          <w:lang w:val="en-US"/>
        </w:rPr>
        <w:t xml:space="preserve"> which provides that</w:t>
      </w:r>
      <w:r w:rsidR="009C3FF1" w:rsidRPr="009C3FF1">
        <w:rPr>
          <w:lang w:val="en-US"/>
        </w:rPr>
        <w:t xml:space="preserve"> “</w:t>
      </w:r>
      <w:r w:rsidR="009C3FF1" w:rsidRPr="009C3FF1">
        <w:rPr>
          <w:i/>
          <w:iCs/>
          <w:lang w:val="en-US"/>
        </w:rPr>
        <w:t>[w]here an administrator is empowered by any empowering provision to follow a procedure which is fair but different from the provisions of subsection (2), the administrator may act in accordance with that different procedure</w:t>
      </w:r>
      <w:r w:rsidR="009C3FF1" w:rsidRPr="009C3FF1">
        <w:rPr>
          <w:lang w:val="en-US"/>
        </w:rPr>
        <w:t xml:space="preserve">”. There </w:t>
      </w:r>
      <w:r w:rsidR="008C78E0">
        <w:rPr>
          <w:lang w:val="en-US"/>
        </w:rPr>
        <w:t xml:space="preserve">was </w:t>
      </w:r>
      <w:r w:rsidR="009C3FF1" w:rsidRPr="009C3FF1">
        <w:rPr>
          <w:lang w:val="en-US"/>
        </w:rPr>
        <w:t>no challenge to the validity of section 3(5) of PAJA</w:t>
      </w:r>
      <w:r w:rsidR="004B3ECE">
        <w:rPr>
          <w:lang w:val="en-US"/>
        </w:rPr>
        <w:t xml:space="preserve"> but this section justifies the procedure under the Currency Act and the 90-day deadline being applicable</w:t>
      </w:r>
      <w:r w:rsidR="009C3FF1" w:rsidRPr="009C3FF1">
        <w:rPr>
          <w:lang w:val="en-US"/>
        </w:rPr>
        <w:t>.</w:t>
      </w:r>
      <w:r w:rsidR="002B1EAD">
        <w:rPr>
          <w:lang w:val="en-US"/>
        </w:rPr>
        <w:t xml:space="preserve">  </w:t>
      </w:r>
    </w:p>
    <w:p w14:paraId="42C72416" w14:textId="10FA814E" w:rsidR="00EC5C9D" w:rsidRPr="004B3ECE" w:rsidRDefault="006C4312" w:rsidP="006C4312">
      <w:pPr>
        <w:tabs>
          <w:tab w:val="left" w:pos="0"/>
          <w:tab w:val="left" w:pos="1134"/>
          <w:tab w:val="left" w:pos="1985"/>
          <w:tab w:val="right" w:pos="8595"/>
        </w:tabs>
        <w:spacing w:before="400" w:after="400" w:line="480" w:lineRule="auto"/>
        <w:jc w:val="both"/>
        <w:rPr>
          <w:sz w:val="24"/>
        </w:rPr>
      </w:pPr>
      <w:r w:rsidRPr="004B3ECE">
        <w:rPr>
          <w:sz w:val="24"/>
        </w:rPr>
        <w:t>[62]</w:t>
      </w:r>
      <w:r w:rsidRPr="004B3ECE">
        <w:rPr>
          <w:sz w:val="24"/>
        </w:rPr>
        <w:tab/>
      </w:r>
      <w:r w:rsidR="004B3ECE" w:rsidRPr="004B3ECE">
        <w:rPr>
          <w:sz w:val="24"/>
        </w:rPr>
        <w:t xml:space="preserve">The Respondent’s counsel </w:t>
      </w:r>
      <w:r w:rsidR="004B3ECE">
        <w:rPr>
          <w:sz w:val="24"/>
        </w:rPr>
        <w:t xml:space="preserve">pointed out </w:t>
      </w:r>
      <w:r w:rsidR="004B3ECE" w:rsidRPr="004B3ECE">
        <w:rPr>
          <w:sz w:val="24"/>
        </w:rPr>
        <w:t xml:space="preserve">that, </w:t>
      </w:r>
      <w:r w:rsidR="004B3ECE">
        <w:rPr>
          <w:sz w:val="24"/>
        </w:rPr>
        <w:t>s</w:t>
      </w:r>
      <w:r w:rsidR="00EC5C9D" w:rsidRPr="004B3ECE">
        <w:rPr>
          <w:sz w:val="24"/>
        </w:rPr>
        <w:t>ensibly, and consistently with this 90-day statutory time period, the Regulations require the Reserve Bank to hold off on disposing of forfeited assets for that same 90-day period after a notice of forfeiture is published and, if a review application is instituted within that period, the Reserve Bank may not dispose of those assets until final judgment has been granted in that application.</w:t>
      </w:r>
      <w:r w:rsidR="00EC5C9D" w:rsidRPr="006E3223">
        <w:rPr>
          <w:rStyle w:val="FootnoteReference"/>
          <w:rFonts w:cs="Arial"/>
          <w:sz w:val="24"/>
        </w:rPr>
        <w:footnoteReference w:id="7"/>
      </w:r>
    </w:p>
    <w:p w14:paraId="0E742B19" w14:textId="1DF311B1" w:rsidR="00B87574" w:rsidRPr="00EC5C9D" w:rsidRDefault="006C4312" w:rsidP="006C4312">
      <w:pPr>
        <w:tabs>
          <w:tab w:val="left" w:pos="0"/>
          <w:tab w:val="left" w:pos="1134"/>
          <w:tab w:val="left" w:pos="1985"/>
          <w:tab w:val="right" w:pos="8595"/>
        </w:tabs>
        <w:spacing w:before="400" w:after="400" w:line="480" w:lineRule="auto"/>
        <w:jc w:val="both"/>
        <w:rPr>
          <w:sz w:val="24"/>
        </w:rPr>
      </w:pPr>
      <w:r w:rsidRPr="00EC5C9D">
        <w:rPr>
          <w:sz w:val="24"/>
        </w:rPr>
        <w:t>[63]</w:t>
      </w:r>
      <w:r w:rsidRPr="00EC5C9D">
        <w:rPr>
          <w:sz w:val="24"/>
        </w:rPr>
        <w:tab/>
      </w:r>
      <w:r w:rsidR="004B3ECE">
        <w:rPr>
          <w:sz w:val="24"/>
        </w:rPr>
        <w:t>The Respondent’s counsel further argued that, b</w:t>
      </w:r>
      <w:r w:rsidR="00EC5C9D" w:rsidRPr="006E3223">
        <w:rPr>
          <w:sz w:val="24"/>
        </w:rPr>
        <w:t>ecause the legislature chose to design a 90-day time limitation, the specific time period in the Regulations will prevail over the general time period provided for in terms of PAJA. In</w:t>
      </w:r>
      <w:r w:rsidR="004B3ECE">
        <w:rPr>
          <w:sz w:val="24"/>
        </w:rPr>
        <w:t xml:space="preserve"> this regard, the Court was referred to the matter of</w:t>
      </w:r>
      <w:r w:rsidR="00EC5C9D" w:rsidRPr="006E3223">
        <w:rPr>
          <w:sz w:val="24"/>
        </w:rPr>
        <w:t xml:space="preserve"> </w:t>
      </w:r>
      <w:r w:rsidR="004B3ECE" w:rsidRPr="00BE3C4D">
        <w:rPr>
          <w:i/>
          <w:iCs/>
        </w:rPr>
        <w:t>Rustenburg Platinum Mines Ltd v Commission for Conciliation, Mediation and Arbitration</w:t>
      </w:r>
      <w:r w:rsidR="00EC5C9D" w:rsidRPr="006E3223">
        <w:rPr>
          <w:rStyle w:val="FootnoteReference"/>
          <w:rFonts w:cs="Arial"/>
          <w:sz w:val="24"/>
        </w:rPr>
        <w:footnoteReference w:id="8"/>
      </w:r>
      <w:r w:rsidR="007873F7">
        <w:t xml:space="preserve"> (“the </w:t>
      </w:r>
      <w:r w:rsidR="007873F7" w:rsidRPr="007873F7">
        <w:rPr>
          <w:i/>
          <w:iCs/>
        </w:rPr>
        <w:t>Rustenburg</w:t>
      </w:r>
      <w:r w:rsidR="007873F7">
        <w:t xml:space="preserve"> case”)</w:t>
      </w:r>
      <w:r w:rsidR="004B3ECE">
        <w:rPr>
          <w:i/>
          <w:iCs/>
        </w:rPr>
        <w:t xml:space="preserve"> </w:t>
      </w:r>
      <w:r w:rsidR="004B3ECE">
        <w:t>where</w:t>
      </w:r>
      <w:r w:rsidR="00EC5C9D" w:rsidRPr="006E3223">
        <w:rPr>
          <w:i/>
          <w:sz w:val="24"/>
        </w:rPr>
        <w:t xml:space="preserve"> </w:t>
      </w:r>
      <w:r w:rsidR="00EC5C9D" w:rsidRPr="006E3223">
        <w:rPr>
          <w:sz w:val="24"/>
        </w:rPr>
        <w:t>Cameron JA (as he then was) expressly recognised that the legislature may need to regulate time</w:t>
      </w:r>
      <w:r w:rsidR="004B3ECE">
        <w:rPr>
          <w:sz w:val="24"/>
        </w:rPr>
        <w:t xml:space="preserve"> </w:t>
      </w:r>
      <w:r w:rsidR="00EC5C9D" w:rsidRPr="006E3223">
        <w:rPr>
          <w:sz w:val="24"/>
        </w:rPr>
        <w:t xml:space="preserve">periods for the institution of review </w:t>
      </w:r>
      <w:r w:rsidR="00EC5C9D" w:rsidRPr="006E3223">
        <w:rPr>
          <w:sz w:val="24"/>
        </w:rPr>
        <w:lastRenderedPageBreak/>
        <w:t>proceedings differently in relation to different fields</w:t>
      </w:r>
      <w:r w:rsidR="004B3ECE">
        <w:rPr>
          <w:sz w:val="24"/>
        </w:rPr>
        <w:t xml:space="preserve"> </w:t>
      </w:r>
      <w:r w:rsidR="00EC5C9D" w:rsidRPr="006E3223">
        <w:rPr>
          <w:sz w:val="24"/>
        </w:rPr>
        <w:t>because the type of prejudice that may arise is varied</w:t>
      </w:r>
      <w:r w:rsidR="004B3ECE">
        <w:rPr>
          <w:sz w:val="24"/>
        </w:rPr>
        <w:t>.  The following was stated in this regard</w:t>
      </w:r>
      <w:r w:rsidR="00EC5C9D" w:rsidRPr="006E3223">
        <w:rPr>
          <w:sz w:val="24"/>
        </w:rPr>
        <w:t>:</w:t>
      </w:r>
      <w:r w:rsidR="00EC5C9D" w:rsidRPr="006E3223">
        <w:rPr>
          <w:rStyle w:val="FootnoteReference"/>
          <w:rFonts w:cs="Arial"/>
          <w:sz w:val="24"/>
        </w:rPr>
        <w:footnoteReference w:id="9"/>
      </w:r>
      <w:r w:rsidR="00EC5C9D" w:rsidRPr="006E3223">
        <w:rPr>
          <w:sz w:val="24"/>
        </w:rPr>
        <w:t xml:space="preserve"> </w:t>
      </w:r>
      <w:r w:rsidR="00EC5C9D" w:rsidRPr="00EC5C9D">
        <w:rPr>
          <w:sz w:val="24"/>
        </w:rPr>
        <w:t xml:space="preserve"> </w:t>
      </w:r>
    </w:p>
    <w:p w14:paraId="402E2321" w14:textId="050ECE7A" w:rsidR="0013314F" w:rsidRPr="00061684" w:rsidRDefault="0013314F" w:rsidP="00EC5C9D">
      <w:pPr>
        <w:tabs>
          <w:tab w:val="left" w:pos="1134"/>
          <w:tab w:val="left" w:pos="1985"/>
          <w:tab w:val="right" w:pos="8595"/>
        </w:tabs>
        <w:spacing w:before="400" w:after="400" w:line="360" w:lineRule="auto"/>
        <w:ind w:left="1134"/>
        <w:jc w:val="both"/>
        <w:rPr>
          <w:i/>
          <w:iCs/>
          <w:sz w:val="24"/>
          <w:u w:val="single"/>
        </w:rPr>
      </w:pPr>
      <w:r w:rsidRPr="006A3BF7">
        <w:rPr>
          <w:sz w:val="24"/>
        </w:rPr>
        <w:t>“</w:t>
      </w:r>
      <w:r w:rsidR="00061684">
        <w:rPr>
          <w:sz w:val="24"/>
        </w:rPr>
        <w:t>…</w:t>
      </w:r>
      <w:r w:rsidR="00EC5C9D" w:rsidRPr="006E3223">
        <w:rPr>
          <w:i/>
          <w:sz w:val="24"/>
        </w:rPr>
        <w:t xml:space="preserve">PAJA requires that proceedings for judicial review be instituted without unreasonable delay and, in any event, not later than 180 days after exhaustion of internal remedies or after the person concerned became aware of the action challenged and the reasons for it (s 7(1). That is a longer period than the six weeks s 145(1) affords. However, as both the CC and this Court have emphasised, </w:t>
      </w:r>
      <w:r w:rsidR="00EC5C9D" w:rsidRPr="00061684">
        <w:rPr>
          <w:i/>
          <w:sz w:val="24"/>
        </w:rPr>
        <w:t>labour disputes require speedy resolution, and the Legislature gave clear effect to this special imperative in s 145(1) by requiring a labour disputant to act</w:t>
      </w:r>
      <w:r w:rsidR="00EC5C9D" w:rsidRPr="006E3223">
        <w:rPr>
          <w:i/>
          <w:sz w:val="24"/>
        </w:rPr>
        <w:t xml:space="preserve"> quickly. </w:t>
      </w:r>
      <w:r w:rsidR="00EC5C9D" w:rsidRPr="00061684">
        <w:rPr>
          <w:b/>
          <w:bCs/>
          <w:i/>
          <w:sz w:val="24"/>
        </w:rPr>
        <w:t>The Constitution does not require that the legislation enacted to give effect to the right to administrative justice must embody any particular time periods. This is therefore a question on which the Legislature may be expected to legislate differently in different fields, taking into account particular needs</w:t>
      </w:r>
      <w:r w:rsidR="00EC5C9D" w:rsidRPr="00061684">
        <w:rPr>
          <w:sz w:val="24"/>
        </w:rPr>
        <w:t>”.</w:t>
      </w:r>
      <w:r w:rsidRPr="006A3BF7">
        <w:rPr>
          <w:sz w:val="24"/>
        </w:rPr>
        <w:t xml:space="preserve">  </w:t>
      </w:r>
    </w:p>
    <w:p w14:paraId="45066E4D" w14:textId="7DBB8BFD" w:rsidR="0013314F" w:rsidRDefault="00EC5C9D" w:rsidP="00EC5C9D">
      <w:pPr>
        <w:tabs>
          <w:tab w:val="left" w:pos="0"/>
          <w:tab w:val="left" w:pos="1134"/>
          <w:tab w:val="left" w:pos="1985"/>
          <w:tab w:val="right" w:pos="8595"/>
        </w:tabs>
        <w:spacing w:before="400" w:after="400" w:line="480" w:lineRule="auto"/>
        <w:jc w:val="both"/>
        <w:rPr>
          <w:sz w:val="24"/>
        </w:rPr>
      </w:pPr>
      <w:r>
        <w:rPr>
          <w:sz w:val="24"/>
        </w:rPr>
        <w:tab/>
        <w:t xml:space="preserve">(Emphasis added) </w:t>
      </w:r>
    </w:p>
    <w:p w14:paraId="72D0D389" w14:textId="6AF396F4" w:rsidR="007873F7" w:rsidRDefault="006C4312" w:rsidP="006C4312">
      <w:pPr>
        <w:tabs>
          <w:tab w:val="left" w:pos="0"/>
          <w:tab w:val="left" w:pos="1134"/>
          <w:tab w:val="left" w:pos="1985"/>
          <w:tab w:val="right" w:pos="8595"/>
        </w:tabs>
        <w:spacing w:before="400" w:after="400" w:line="480" w:lineRule="auto"/>
        <w:jc w:val="both"/>
        <w:rPr>
          <w:sz w:val="24"/>
        </w:rPr>
      </w:pPr>
      <w:r>
        <w:rPr>
          <w:sz w:val="24"/>
        </w:rPr>
        <w:t>[64]</w:t>
      </w:r>
      <w:r>
        <w:rPr>
          <w:sz w:val="24"/>
        </w:rPr>
        <w:tab/>
      </w:r>
      <w:r w:rsidR="000B38FB">
        <w:rPr>
          <w:sz w:val="24"/>
        </w:rPr>
        <w:t xml:space="preserve">The Applicant’s counsel submitted that the </w:t>
      </w:r>
      <w:r w:rsidR="000B38FB" w:rsidRPr="000B38FB">
        <w:rPr>
          <w:i/>
          <w:iCs/>
          <w:sz w:val="24"/>
        </w:rPr>
        <w:t>Rustenburg</w:t>
      </w:r>
      <w:r w:rsidR="000B38FB">
        <w:rPr>
          <w:sz w:val="24"/>
        </w:rPr>
        <w:t xml:space="preserve"> case is of no assistance and pointed out that the decision in that case was overturned </w:t>
      </w:r>
      <w:r w:rsidR="00FE3F42">
        <w:rPr>
          <w:sz w:val="24"/>
        </w:rPr>
        <w:t>i</w:t>
      </w:r>
      <w:r w:rsidR="000B38FB">
        <w:rPr>
          <w:sz w:val="24"/>
        </w:rPr>
        <w:t xml:space="preserve">n the matter of </w:t>
      </w:r>
      <w:r w:rsidR="000B38FB" w:rsidRPr="000B38FB">
        <w:rPr>
          <w:i/>
          <w:iCs/>
          <w:sz w:val="24"/>
        </w:rPr>
        <w:t>Sidumo and Another v Rustenburg Platinum Mines Ltd and Others</w:t>
      </w:r>
      <w:r w:rsidR="000B38FB">
        <w:rPr>
          <w:sz w:val="24"/>
        </w:rPr>
        <w:t>.</w:t>
      </w:r>
      <w:r w:rsidR="000B38FB">
        <w:rPr>
          <w:rStyle w:val="FootnoteReference"/>
          <w:sz w:val="24"/>
        </w:rPr>
        <w:footnoteReference w:id="10"/>
      </w:r>
      <w:r w:rsidR="000B38FB">
        <w:rPr>
          <w:sz w:val="24"/>
        </w:rPr>
        <w:t xml:space="preserve"> </w:t>
      </w:r>
      <w:r w:rsidR="006E2FC4">
        <w:rPr>
          <w:sz w:val="24"/>
        </w:rPr>
        <w:t xml:space="preserve">Although the decision of the SCA in </w:t>
      </w:r>
      <w:r w:rsidR="006E2FC4" w:rsidRPr="007873F7">
        <w:rPr>
          <w:i/>
          <w:iCs/>
          <w:sz w:val="24"/>
        </w:rPr>
        <w:t>Rustenburg</w:t>
      </w:r>
      <w:r w:rsidR="006E2FC4">
        <w:rPr>
          <w:sz w:val="24"/>
        </w:rPr>
        <w:t xml:space="preserve"> that PAJA was appliable to arbitration awa</w:t>
      </w:r>
      <w:r w:rsidR="007873F7">
        <w:rPr>
          <w:sz w:val="24"/>
        </w:rPr>
        <w:t>rds was overturned</w:t>
      </w:r>
      <w:r w:rsidR="00FE3F42">
        <w:rPr>
          <w:sz w:val="24"/>
        </w:rPr>
        <w:t xml:space="preserve"> by the Constitutional Court</w:t>
      </w:r>
      <w:r w:rsidR="007873F7">
        <w:rPr>
          <w:sz w:val="24"/>
        </w:rPr>
        <w:t xml:space="preserve">, the bolded portion above was not stated to be incorrect. </w:t>
      </w:r>
      <w:r w:rsidR="000B38FB">
        <w:rPr>
          <w:sz w:val="24"/>
        </w:rPr>
        <w:t xml:space="preserve"> </w:t>
      </w:r>
    </w:p>
    <w:p w14:paraId="4E35AA63" w14:textId="4B893CF0" w:rsidR="000D0A42" w:rsidRDefault="006C4312" w:rsidP="006C4312">
      <w:pPr>
        <w:tabs>
          <w:tab w:val="left" w:pos="0"/>
          <w:tab w:val="left" w:pos="1134"/>
          <w:tab w:val="left" w:pos="1985"/>
          <w:tab w:val="right" w:pos="8595"/>
        </w:tabs>
        <w:spacing w:before="400" w:after="400" w:line="480" w:lineRule="auto"/>
        <w:jc w:val="both"/>
        <w:rPr>
          <w:sz w:val="24"/>
        </w:rPr>
      </w:pPr>
      <w:r>
        <w:rPr>
          <w:sz w:val="24"/>
        </w:rPr>
        <w:t>[65]</w:t>
      </w:r>
      <w:r>
        <w:rPr>
          <w:sz w:val="24"/>
        </w:rPr>
        <w:tab/>
      </w:r>
      <w:r w:rsidR="00532BB3">
        <w:rPr>
          <w:sz w:val="24"/>
        </w:rPr>
        <w:t xml:space="preserve">In the </w:t>
      </w:r>
      <w:r w:rsidR="00532BB3" w:rsidRPr="00532BB3">
        <w:rPr>
          <w:i/>
          <w:iCs/>
          <w:sz w:val="24"/>
        </w:rPr>
        <w:t>Evergrand</w:t>
      </w:r>
      <w:r w:rsidR="00532BB3">
        <w:rPr>
          <w:sz w:val="24"/>
        </w:rPr>
        <w:t xml:space="preserve"> judgment, the Court held </w:t>
      </w:r>
      <w:r w:rsidR="000D0A42">
        <w:rPr>
          <w:sz w:val="24"/>
        </w:rPr>
        <w:t>that “</w:t>
      </w:r>
      <w:r w:rsidR="000D0A42">
        <w:rPr>
          <w:i/>
          <w:iCs/>
          <w:sz w:val="24"/>
        </w:rPr>
        <w:t xml:space="preserve">any review concerning forfeiture decisions must be instituted at any time but not later than the 90-day </w:t>
      </w:r>
      <w:r w:rsidR="000D0A42">
        <w:rPr>
          <w:i/>
          <w:iCs/>
          <w:sz w:val="24"/>
        </w:rPr>
        <w:lastRenderedPageBreak/>
        <w:t>period</w:t>
      </w:r>
      <w:r w:rsidR="000D0A42">
        <w:rPr>
          <w:sz w:val="24"/>
        </w:rPr>
        <w:t xml:space="preserve">” </w:t>
      </w:r>
      <w:r w:rsidR="00532BB3">
        <w:rPr>
          <w:sz w:val="24"/>
        </w:rPr>
        <w:t xml:space="preserve">referred to </w:t>
      </w:r>
      <w:r w:rsidR="000D0A42">
        <w:rPr>
          <w:sz w:val="24"/>
        </w:rPr>
        <w:t>in the Exchanges Act and Regulations</w:t>
      </w:r>
      <w:r w:rsidR="000D0A42">
        <w:rPr>
          <w:rStyle w:val="FootnoteReference"/>
          <w:sz w:val="24"/>
        </w:rPr>
        <w:footnoteReference w:id="11"/>
      </w:r>
      <w:r w:rsidR="000D0A42">
        <w:rPr>
          <w:sz w:val="24"/>
        </w:rPr>
        <w:t xml:space="preserve"> and that the effective date upon which the 90-day period commences is the date of publication of the forfeiture notice.</w:t>
      </w:r>
      <w:r w:rsidR="000D0A42">
        <w:rPr>
          <w:rStyle w:val="FootnoteReference"/>
          <w:sz w:val="24"/>
        </w:rPr>
        <w:footnoteReference w:id="12"/>
      </w:r>
      <w:r w:rsidR="000D0A42">
        <w:rPr>
          <w:sz w:val="24"/>
        </w:rPr>
        <w:t xml:space="preserve">   </w:t>
      </w:r>
    </w:p>
    <w:p w14:paraId="0BA3B88D" w14:textId="5526C610" w:rsidR="00AF1655" w:rsidRDefault="006C4312" w:rsidP="006C4312">
      <w:pPr>
        <w:tabs>
          <w:tab w:val="left" w:pos="0"/>
          <w:tab w:val="left" w:pos="1134"/>
          <w:tab w:val="left" w:pos="1985"/>
          <w:tab w:val="right" w:pos="8595"/>
        </w:tabs>
        <w:spacing w:before="400" w:after="400" w:line="480" w:lineRule="auto"/>
        <w:jc w:val="both"/>
        <w:rPr>
          <w:sz w:val="24"/>
        </w:rPr>
      </w:pPr>
      <w:r>
        <w:rPr>
          <w:sz w:val="24"/>
        </w:rPr>
        <w:t>[66]</w:t>
      </w:r>
      <w:r>
        <w:rPr>
          <w:sz w:val="24"/>
        </w:rPr>
        <w:tab/>
      </w:r>
      <w:r w:rsidR="000D0A42">
        <w:rPr>
          <w:sz w:val="24"/>
        </w:rPr>
        <w:t xml:space="preserve">The court in the </w:t>
      </w:r>
      <w:r w:rsidR="000D0A42" w:rsidRPr="000D0A42">
        <w:rPr>
          <w:i/>
          <w:iCs/>
          <w:sz w:val="24"/>
        </w:rPr>
        <w:t>Evergrand</w:t>
      </w:r>
      <w:r w:rsidR="000D0A42">
        <w:rPr>
          <w:sz w:val="24"/>
        </w:rPr>
        <w:t xml:space="preserve"> </w:t>
      </w:r>
      <w:r w:rsidR="00532BB3">
        <w:rPr>
          <w:sz w:val="24"/>
        </w:rPr>
        <w:t xml:space="preserve">judgment </w:t>
      </w:r>
      <w:r w:rsidR="000D0A42">
        <w:rPr>
          <w:sz w:val="24"/>
        </w:rPr>
        <w:t>reasoned that the 90-day time limit “</w:t>
      </w:r>
      <w:r w:rsidR="000D0A42">
        <w:rPr>
          <w:i/>
          <w:iCs/>
          <w:sz w:val="24"/>
        </w:rPr>
        <w:t xml:space="preserve">has been imposed by the legislature and is therefore applicable … and </w:t>
      </w:r>
      <w:r w:rsidR="00AF1655">
        <w:rPr>
          <w:i/>
          <w:iCs/>
          <w:sz w:val="24"/>
        </w:rPr>
        <w:t xml:space="preserve">… </w:t>
      </w:r>
      <w:r w:rsidR="000D0A42">
        <w:rPr>
          <w:i/>
          <w:iCs/>
          <w:sz w:val="24"/>
        </w:rPr>
        <w:t>prevails over the 180-day period allowed for in PAJA</w:t>
      </w:r>
      <w:r w:rsidR="000D0A42">
        <w:rPr>
          <w:sz w:val="24"/>
        </w:rPr>
        <w:t>”</w:t>
      </w:r>
      <w:r w:rsidR="000D0A42">
        <w:rPr>
          <w:rStyle w:val="FootnoteReference"/>
          <w:sz w:val="24"/>
        </w:rPr>
        <w:footnoteReference w:id="13"/>
      </w:r>
      <w:r w:rsidR="000D0A42">
        <w:rPr>
          <w:sz w:val="24"/>
        </w:rPr>
        <w:t xml:space="preserve"> and that an application for review of a forfeiture order </w:t>
      </w:r>
      <w:r w:rsidR="00AF1655">
        <w:rPr>
          <w:sz w:val="24"/>
        </w:rPr>
        <w:t>is regulated by the Currency Act and the Regulations promulgated thereunder and no by PAJA</w:t>
      </w:r>
      <w:r w:rsidR="000D0A42">
        <w:rPr>
          <w:sz w:val="24"/>
        </w:rPr>
        <w:t>.</w:t>
      </w:r>
      <w:r w:rsidR="000D0A42">
        <w:rPr>
          <w:rStyle w:val="FootnoteReference"/>
          <w:sz w:val="24"/>
        </w:rPr>
        <w:footnoteReference w:id="14"/>
      </w:r>
      <w:r w:rsidR="000D0A42">
        <w:rPr>
          <w:sz w:val="24"/>
        </w:rPr>
        <w:t xml:space="preserve"> </w:t>
      </w:r>
      <w:r w:rsidR="00AF1655">
        <w:rPr>
          <w:sz w:val="24"/>
        </w:rPr>
        <w:t xml:space="preserve"> </w:t>
      </w:r>
    </w:p>
    <w:p w14:paraId="3AE8F45C" w14:textId="6FF2EACE" w:rsidR="00AF1655" w:rsidRPr="00AF1655" w:rsidRDefault="006C4312" w:rsidP="006C4312">
      <w:pPr>
        <w:tabs>
          <w:tab w:val="left" w:pos="0"/>
          <w:tab w:val="left" w:pos="1134"/>
          <w:tab w:val="left" w:pos="1985"/>
          <w:tab w:val="right" w:pos="8595"/>
        </w:tabs>
        <w:spacing w:before="400" w:after="400" w:line="480" w:lineRule="auto"/>
        <w:jc w:val="both"/>
        <w:rPr>
          <w:sz w:val="24"/>
        </w:rPr>
      </w:pPr>
      <w:r w:rsidRPr="00AF1655">
        <w:rPr>
          <w:sz w:val="24"/>
        </w:rPr>
        <w:t>[67]</w:t>
      </w:r>
      <w:r w:rsidRPr="00AF1655">
        <w:rPr>
          <w:sz w:val="24"/>
        </w:rPr>
        <w:tab/>
      </w:r>
      <w:r w:rsidR="00AF1655">
        <w:rPr>
          <w:sz w:val="24"/>
        </w:rPr>
        <w:t xml:space="preserve">Having regard to the relevant authorities and the recognition by the SCA in the </w:t>
      </w:r>
      <w:r w:rsidR="00AF1655" w:rsidRPr="00AF1655">
        <w:rPr>
          <w:i/>
          <w:iCs/>
          <w:sz w:val="24"/>
        </w:rPr>
        <w:t>Rustenburg</w:t>
      </w:r>
      <w:r w:rsidR="00AF1655">
        <w:rPr>
          <w:sz w:val="24"/>
        </w:rPr>
        <w:t xml:space="preserve"> judgment that the legislator may need to regulate the time periods for the institution of review proceedings differently in relation to different fields, I am of the view that the </w:t>
      </w:r>
      <w:r w:rsidR="00AF1655" w:rsidRPr="00AF1655">
        <w:rPr>
          <w:i/>
          <w:iCs/>
          <w:sz w:val="24"/>
        </w:rPr>
        <w:t>Evergrand</w:t>
      </w:r>
      <w:r w:rsidR="00AF1655">
        <w:rPr>
          <w:sz w:val="24"/>
        </w:rPr>
        <w:t xml:space="preserve"> decision on the applicability of the 90-day time period in the Currency Act and the Regulations, as opposed to the 180-day time period in PAJA, is correct.</w:t>
      </w:r>
    </w:p>
    <w:p w14:paraId="2C1A5FBC" w14:textId="7E0850EE" w:rsidR="00AF1655" w:rsidRDefault="00AF1655" w:rsidP="00AF1655">
      <w:pPr>
        <w:tabs>
          <w:tab w:val="left" w:pos="0"/>
          <w:tab w:val="left" w:pos="1134"/>
          <w:tab w:val="left" w:pos="1985"/>
          <w:tab w:val="right" w:pos="8595"/>
        </w:tabs>
        <w:spacing w:before="400" w:after="400" w:line="480" w:lineRule="auto"/>
        <w:jc w:val="both"/>
        <w:rPr>
          <w:b/>
          <w:bCs/>
          <w:sz w:val="24"/>
          <w:u w:val="single"/>
        </w:rPr>
      </w:pPr>
      <w:r w:rsidRPr="00AF1655">
        <w:rPr>
          <w:b/>
          <w:bCs/>
          <w:sz w:val="24"/>
          <w:u w:val="single"/>
        </w:rPr>
        <w:t>CAN CONDONATION BE GRANTED UNDER THE CURRENCY ACT</w:t>
      </w:r>
      <w:r w:rsidR="00B340DD">
        <w:rPr>
          <w:b/>
          <w:bCs/>
          <w:sz w:val="24"/>
          <w:u w:val="single"/>
        </w:rPr>
        <w:t>?</w:t>
      </w:r>
    </w:p>
    <w:p w14:paraId="2F883611" w14:textId="34AD1B09" w:rsidR="00AF1655" w:rsidRPr="007873F7" w:rsidRDefault="006C4312" w:rsidP="006C4312">
      <w:pPr>
        <w:tabs>
          <w:tab w:val="left" w:pos="0"/>
          <w:tab w:val="left" w:pos="1134"/>
          <w:tab w:val="left" w:pos="1985"/>
          <w:tab w:val="right" w:pos="8595"/>
        </w:tabs>
        <w:spacing w:before="400" w:after="400" w:line="480" w:lineRule="auto"/>
        <w:jc w:val="both"/>
        <w:rPr>
          <w:sz w:val="24"/>
        </w:rPr>
      </w:pPr>
      <w:r w:rsidRPr="007873F7">
        <w:rPr>
          <w:sz w:val="24"/>
        </w:rPr>
        <w:t>[68]</w:t>
      </w:r>
      <w:r w:rsidRPr="007873F7">
        <w:rPr>
          <w:sz w:val="24"/>
        </w:rPr>
        <w:tab/>
      </w:r>
      <w:r w:rsidR="00AF1655" w:rsidRPr="007873F7">
        <w:rPr>
          <w:sz w:val="24"/>
        </w:rPr>
        <w:t xml:space="preserve">Our appellate courts have recognised that the question of whether condonation for a delay will be availing will depend on the nature and type of decision concerned. The Respondent’s counsel referred to the matter of </w:t>
      </w:r>
      <w:r w:rsidR="00AF1655" w:rsidRPr="007873F7">
        <w:rPr>
          <w:i/>
          <w:sz w:val="24"/>
        </w:rPr>
        <w:t>Gqwetha v Transkei Development Corporation Ltd and Others</w:t>
      </w:r>
      <w:r w:rsidR="00AF1655" w:rsidRPr="006E3223">
        <w:rPr>
          <w:rStyle w:val="FootnoteReference"/>
          <w:rFonts w:cs="Arial"/>
          <w:sz w:val="24"/>
        </w:rPr>
        <w:footnoteReference w:id="15"/>
      </w:r>
      <w:r w:rsidR="00AF1655" w:rsidRPr="007873F7">
        <w:rPr>
          <w:sz w:val="24"/>
        </w:rPr>
        <w:t xml:space="preserve"> where the SCA found that </w:t>
      </w:r>
      <w:r w:rsidR="00AF1655" w:rsidRPr="007873F7">
        <w:rPr>
          <w:sz w:val="24"/>
        </w:rPr>
        <w:lastRenderedPageBreak/>
        <w:t>a delay in bringing a review of the respondent’s dismissal of an employee ought not to be condoned. The following was stated in this regard:</w:t>
      </w:r>
      <w:r w:rsidR="00AF1655" w:rsidRPr="006E3223">
        <w:rPr>
          <w:rStyle w:val="FootnoteReference"/>
          <w:rFonts w:cs="Arial"/>
          <w:sz w:val="24"/>
          <w:shd w:val="clear" w:color="auto" w:fill="FFFFFF"/>
          <w:lang w:eastAsia="en-GB"/>
        </w:rPr>
        <w:footnoteReference w:id="16"/>
      </w:r>
    </w:p>
    <w:p w14:paraId="178F07EA" w14:textId="77777777" w:rsidR="00AF1655" w:rsidRPr="00FE3F42" w:rsidRDefault="00AF1655" w:rsidP="00AF1655">
      <w:pPr>
        <w:tabs>
          <w:tab w:val="left" w:pos="1134"/>
          <w:tab w:val="left" w:pos="1985"/>
          <w:tab w:val="right" w:pos="8595"/>
        </w:tabs>
        <w:spacing w:before="400" w:after="400" w:line="360" w:lineRule="auto"/>
        <w:ind w:left="1134"/>
        <w:jc w:val="both"/>
        <w:rPr>
          <w:b/>
          <w:bCs/>
          <w:i/>
          <w:sz w:val="24"/>
        </w:rPr>
      </w:pPr>
      <w:r w:rsidRPr="006A3BF7">
        <w:rPr>
          <w:sz w:val="24"/>
        </w:rPr>
        <w:t>“</w:t>
      </w:r>
      <w:r>
        <w:rPr>
          <w:i/>
          <w:sz w:val="24"/>
        </w:rPr>
        <w:t>[24]</w:t>
      </w:r>
      <w:r>
        <w:rPr>
          <w:i/>
          <w:sz w:val="24"/>
        </w:rPr>
        <w:tab/>
        <w:t>W</w:t>
      </w:r>
      <w:r w:rsidRPr="006E3223">
        <w:rPr>
          <w:i/>
          <w:sz w:val="24"/>
        </w:rPr>
        <w:t>hether there has been undue delay</w:t>
      </w:r>
      <w:r w:rsidRPr="006E3223">
        <w:rPr>
          <w:rStyle w:val="apple-converted-space"/>
          <w:i/>
          <w:iCs/>
          <w:sz w:val="24"/>
        </w:rPr>
        <w:t> </w:t>
      </w:r>
      <w:r w:rsidRPr="006E3223">
        <w:rPr>
          <w:i/>
          <w:sz w:val="24"/>
        </w:rPr>
        <w:t xml:space="preserve">entails a factual enquiry upon which a value judgment is called for in the light of all the relevant circumstances including any explanation that is offered for the delay. A material fact to be taken into account in making that value judgment – bearing in mind the rationale for the rule – is the nature of the challenged decision. </w:t>
      </w:r>
      <w:r w:rsidRPr="00FE3F42">
        <w:rPr>
          <w:b/>
          <w:bCs/>
          <w:i/>
          <w:sz w:val="24"/>
        </w:rPr>
        <w:t>Not all decisions have the same potential for prejudice to result from their being set aside.</w:t>
      </w:r>
    </w:p>
    <w:p w14:paraId="652F5866" w14:textId="77777777" w:rsidR="00AF1655" w:rsidRPr="00EC5C9D" w:rsidRDefault="00AF1655" w:rsidP="00AF1655">
      <w:pPr>
        <w:tabs>
          <w:tab w:val="left" w:pos="1134"/>
          <w:tab w:val="left" w:pos="1985"/>
          <w:tab w:val="right" w:pos="8595"/>
        </w:tabs>
        <w:spacing w:before="400" w:after="400" w:line="360" w:lineRule="auto"/>
        <w:ind w:left="1134"/>
        <w:jc w:val="both"/>
        <w:rPr>
          <w:i/>
          <w:iCs/>
          <w:sz w:val="24"/>
        </w:rPr>
      </w:pPr>
      <w:r>
        <w:rPr>
          <w:i/>
          <w:sz w:val="24"/>
        </w:rPr>
        <w:t>[25]</w:t>
      </w:r>
      <w:r>
        <w:rPr>
          <w:i/>
          <w:sz w:val="24"/>
        </w:rPr>
        <w:tab/>
        <w:t xml:space="preserve">The challenged decision in the present case was a decision to dismiss the appellant for complicity in financial irregularities.  A decision of that kind will necessarily have immediate consequences for the ordinary administration of the organisation, and for other employees who will be called upon to perform the functions of the dismissed employee or even replace her.  </w:t>
      </w:r>
      <w:r w:rsidRPr="000A3524">
        <w:rPr>
          <w:b/>
          <w:bCs/>
          <w:i/>
          <w:sz w:val="24"/>
        </w:rPr>
        <w:t>Moreover, p</w:t>
      </w:r>
      <w:r w:rsidRPr="000A3524">
        <w:rPr>
          <w:b/>
          <w:bCs/>
          <w:i/>
          <w:sz w:val="24"/>
          <w:shd w:val="clear" w:color="auto" w:fill="FFFFFF"/>
          <w:lang w:eastAsia="en-GB"/>
        </w:rPr>
        <w:t>ersonnel</w:t>
      </w:r>
      <w:r w:rsidRPr="00FE3F42">
        <w:rPr>
          <w:b/>
          <w:bCs/>
          <w:i/>
          <w:sz w:val="24"/>
          <w:shd w:val="clear" w:color="auto" w:fill="FFFFFF"/>
          <w:lang w:eastAsia="en-GB"/>
        </w:rPr>
        <w:t xml:space="preserve"> decisions that are susceptible to review are no doubt made by any large organisation on a regular and ongoing basis, and some measure of prompt certainty as to their validity is required. The very nature of such decisions speaks of the potential for prejudice if they were all to be capable of being set aside on review after the lapse of any considerable time</w:t>
      </w:r>
      <w:r w:rsidRPr="006E3223">
        <w:rPr>
          <w:i/>
          <w:sz w:val="24"/>
          <w:shd w:val="clear" w:color="auto" w:fill="FFFFFF"/>
          <w:lang w:eastAsia="en-GB"/>
        </w:rPr>
        <w:t>.”</w:t>
      </w:r>
    </w:p>
    <w:p w14:paraId="645F2A54" w14:textId="77777777" w:rsidR="00AF1655" w:rsidRDefault="00AF1655" w:rsidP="00AF1655">
      <w:pPr>
        <w:tabs>
          <w:tab w:val="left" w:pos="0"/>
          <w:tab w:val="left" w:pos="1134"/>
          <w:tab w:val="left" w:pos="1985"/>
          <w:tab w:val="right" w:pos="8595"/>
        </w:tabs>
        <w:spacing w:before="400" w:after="400" w:line="480" w:lineRule="auto"/>
        <w:jc w:val="both"/>
        <w:rPr>
          <w:sz w:val="24"/>
        </w:rPr>
      </w:pPr>
      <w:r>
        <w:rPr>
          <w:sz w:val="24"/>
        </w:rPr>
        <w:tab/>
        <w:t xml:space="preserve">(Emphasis added) </w:t>
      </w:r>
    </w:p>
    <w:p w14:paraId="31E7BA39" w14:textId="22807249" w:rsidR="00AF1655" w:rsidRDefault="006C4312" w:rsidP="006C4312">
      <w:pPr>
        <w:tabs>
          <w:tab w:val="left" w:pos="0"/>
          <w:tab w:val="left" w:pos="1134"/>
          <w:tab w:val="left" w:pos="1985"/>
          <w:tab w:val="right" w:pos="8595"/>
        </w:tabs>
        <w:spacing w:before="400" w:after="400" w:line="480" w:lineRule="auto"/>
        <w:jc w:val="both"/>
        <w:rPr>
          <w:sz w:val="24"/>
        </w:rPr>
      </w:pPr>
      <w:r>
        <w:rPr>
          <w:sz w:val="24"/>
        </w:rPr>
        <w:t>[69]</w:t>
      </w:r>
      <w:r>
        <w:rPr>
          <w:sz w:val="24"/>
        </w:rPr>
        <w:tab/>
      </w:r>
      <w:r w:rsidR="00AF1655">
        <w:rPr>
          <w:sz w:val="24"/>
        </w:rPr>
        <w:t xml:space="preserve">It was argued by the Respondent’s counsel that forfeiture </w:t>
      </w:r>
      <w:r w:rsidR="00AF1655" w:rsidRPr="006E3223">
        <w:rPr>
          <w:sz w:val="24"/>
        </w:rPr>
        <w:t>decisions</w:t>
      </w:r>
      <w:r w:rsidR="00AF1655">
        <w:rPr>
          <w:sz w:val="24"/>
        </w:rPr>
        <w:t>, by th</w:t>
      </w:r>
      <w:r w:rsidR="00AF1655" w:rsidRPr="006E3223">
        <w:rPr>
          <w:sz w:val="24"/>
        </w:rPr>
        <w:t>eir very nature</w:t>
      </w:r>
      <w:r w:rsidR="00AF1655">
        <w:rPr>
          <w:sz w:val="24"/>
        </w:rPr>
        <w:t xml:space="preserve">, </w:t>
      </w:r>
      <w:r w:rsidR="00AF1655" w:rsidRPr="006E3223">
        <w:rPr>
          <w:sz w:val="24"/>
        </w:rPr>
        <w:t>require a degree of promptness in finalisation and certainty</w:t>
      </w:r>
      <w:r w:rsidR="00AF1655">
        <w:rPr>
          <w:sz w:val="24"/>
        </w:rPr>
        <w:t xml:space="preserve"> and that t</w:t>
      </w:r>
      <w:r w:rsidR="00AF1655" w:rsidRPr="006E3223">
        <w:rPr>
          <w:sz w:val="24"/>
        </w:rPr>
        <w:t>heir late review instantiates a unique type of prejudice</w:t>
      </w:r>
      <w:r w:rsidR="00AF1655">
        <w:rPr>
          <w:sz w:val="24"/>
        </w:rPr>
        <w:t xml:space="preserve">, </w:t>
      </w:r>
      <w:r w:rsidR="00AF1655" w:rsidRPr="006E3223">
        <w:rPr>
          <w:sz w:val="24"/>
        </w:rPr>
        <w:t xml:space="preserve">being prejudice to the national fiscus. </w:t>
      </w:r>
      <w:r w:rsidR="00AF1655">
        <w:rPr>
          <w:sz w:val="24"/>
        </w:rPr>
        <w:t xml:space="preserve">I agree with this reasoning.  The wording of section 9(2)(d)(iii) and </w:t>
      </w:r>
      <w:r w:rsidR="00AF1655">
        <w:rPr>
          <w:sz w:val="24"/>
        </w:rPr>
        <w:lastRenderedPageBreak/>
        <w:t>Regulation 22D(b) are peremptory and proceedings, hence, must be instituted within the 90-day time period</w:t>
      </w:r>
      <w:r w:rsidR="00AF1655" w:rsidRPr="006E3223">
        <w:rPr>
          <w:sz w:val="24"/>
        </w:rPr>
        <w:t>.</w:t>
      </w:r>
      <w:r w:rsidR="00AF1655">
        <w:rPr>
          <w:sz w:val="24"/>
        </w:rPr>
        <w:t xml:space="preserve">  </w:t>
      </w:r>
    </w:p>
    <w:p w14:paraId="21DFF127" w14:textId="69E8C953" w:rsidR="00AF1655" w:rsidRPr="00532BB3" w:rsidRDefault="006C4312" w:rsidP="006C4312">
      <w:pPr>
        <w:tabs>
          <w:tab w:val="left" w:pos="0"/>
          <w:tab w:val="left" w:pos="1134"/>
          <w:tab w:val="left" w:pos="1985"/>
          <w:tab w:val="right" w:pos="8595"/>
        </w:tabs>
        <w:spacing w:before="400" w:after="400" w:line="480" w:lineRule="auto"/>
        <w:jc w:val="both"/>
        <w:rPr>
          <w:sz w:val="24"/>
        </w:rPr>
      </w:pPr>
      <w:r w:rsidRPr="00532BB3">
        <w:rPr>
          <w:sz w:val="24"/>
        </w:rPr>
        <w:t>[70]</w:t>
      </w:r>
      <w:bookmarkStart w:id="18" w:name="_GoBack"/>
      <w:bookmarkEnd w:id="18"/>
      <w:r w:rsidRPr="00532BB3">
        <w:rPr>
          <w:sz w:val="24"/>
        </w:rPr>
        <w:tab/>
      </w:r>
      <w:r w:rsidR="00AF1655" w:rsidRPr="00532BB3">
        <w:rPr>
          <w:sz w:val="24"/>
        </w:rPr>
        <w:t xml:space="preserve">In the matter of </w:t>
      </w:r>
      <w:r w:rsidR="00AF1655" w:rsidRPr="00532BB3">
        <w:rPr>
          <w:i/>
          <w:iCs/>
          <w:sz w:val="24"/>
        </w:rPr>
        <w:t>Mohlomi v Minister of Defence</w:t>
      </w:r>
      <w:r w:rsidR="00AF1655">
        <w:rPr>
          <w:rStyle w:val="FootnoteReference"/>
          <w:sz w:val="24"/>
        </w:rPr>
        <w:footnoteReference w:id="17"/>
      </w:r>
      <w:r w:rsidR="00AF1655" w:rsidRPr="00532BB3">
        <w:rPr>
          <w:i/>
          <w:iCs/>
          <w:sz w:val="24"/>
        </w:rPr>
        <w:t xml:space="preserve"> </w:t>
      </w:r>
      <w:r w:rsidR="00AF1655" w:rsidRPr="00532BB3">
        <w:rPr>
          <w:sz w:val="24"/>
        </w:rPr>
        <w:t>the Constitutional Court confirmed that a court has no inherent power to grant condonation to a litigant beyond the statutory time period. Hence, unless there is a provision in the statute concerned expressly conferring a discretion on the Court to condone non-compliance, it cannot do so.</w:t>
      </w:r>
      <w:r w:rsidR="00AF1655" w:rsidRPr="006E3223">
        <w:rPr>
          <w:rStyle w:val="FootnoteReference"/>
          <w:rFonts w:cs="Arial"/>
          <w:sz w:val="24"/>
        </w:rPr>
        <w:footnoteReference w:id="18"/>
      </w:r>
      <w:r w:rsidR="00DF2910">
        <w:rPr>
          <w:sz w:val="24"/>
        </w:rPr>
        <w:t xml:space="preserve">  There is no provision in the Currency Act </w:t>
      </w:r>
      <w:r w:rsidR="003D4E2A">
        <w:rPr>
          <w:sz w:val="24"/>
        </w:rPr>
        <w:t xml:space="preserve">or the Regulations </w:t>
      </w:r>
      <w:r w:rsidR="00DF2910">
        <w:rPr>
          <w:sz w:val="24"/>
        </w:rPr>
        <w:t>providing the Court with a discretion</w:t>
      </w:r>
      <w:r w:rsidR="003D4E2A">
        <w:rPr>
          <w:sz w:val="24"/>
        </w:rPr>
        <w:t xml:space="preserve"> to condone non-compliance with the 90-day time period to institute proceedings</w:t>
      </w:r>
      <w:r w:rsidR="00DF2910">
        <w:rPr>
          <w:sz w:val="24"/>
        </w:rPr>
        <w:t>.</w:t>
      </w:r>
      <w:r w:rsidR="00AF1655" w:rsidRPr="00532BB3">
        <w:rPr>
          <w:sz w:val="24"/>
        </w:rPr>
        <w:t xml:space="preserve">  </w:t>
      </w:r>
    </w:p>
    <w:p w14:paraId="4987741A" w14:textId="313C1B1C" w:rsidR="000D0A42" w:rsidRDefault="006C4312" w:rsidP="006C4312">
      <w:pPr>
        <w:tabs>
          <w:tab w:val="left" w:pos="0"/>
          <w:tab w:val="left" w:pos="1134"/>
          <w:tab w:val="left" w:pos="1985"/>
          <w:tab w:val="right" w:pos="8595"/>
        </w:tabs>
        <w:spacing w:before="400" w:after="400" w:line="480" w:lineRule="auto"/>
        <w:jc w:val="both"/>
        <w:rPr>
          <w:sz w:val="24"/>
        </w:rPr>
      </w:pPr>
      <w:r>
        <w:rPr>
          <w:sz w:val="24"/>
        </w:rPr>
        <w:t>[71]</w:t>
      </w:r>
      <w:r>
        <w:rPr>
          <w:sz w:val="24"/>
        </w:rPr>
        <w:tab/>
      </w:r>
      <w:r w:rsidR="00AF1655">
        <w:rPr>
          <w:sz w:val="24"/>
        </w:rPr>
        <w:t>I</w:t>
      </w:r>
      <w:r w:rsidR="000D0A42">
        <w:rPr>
          <w:sz w:val="24"/>
        </w:rPr>
        <w:t xml:space="preserve">t is common cause that: </w:t>
      </w:r>
    </w:p>
    <w:p w14:paraId="67B76275" w14:textId="5168817B" w:rsidR="000D0A42" w:rsidRDefault="006C4312" w:rsidP="006C4312">
      <w:pPr>
        <w:tabs>
          <w:tab w:val="left" w:pos="0"/>
          <w:tab w:val="left" w:pos="1134"/>
          <w:tab w:val="left" w:pos="1985"/>
          <w:tab w:val="right" w:pos="8595"/>
        </w:tabs>
        <w:spacing w:before="400" w:after="400" w:line="480" w:lineRule="auto"/>
        <w:ind w:left="1985" w:hanging="851"/>
        <w:jc w:val="both"/>
        <w:rPr>
          <w:sz w:val="24"/>
        </w:rPr>
      </w:pPr>
      <w:r>
        <w:rPr>
          <w:sz w:val="24"/>
        </w:rPr>
        <w:t>[71.1]</w:t>
      </w:r>
      <w:r>
        <w:rPr>
          <w:sz w:val="24"/>
        </w:rPr>
        <w:tab/>
      </w:r>
      <w:r w:rsidR="00BE3C4D">
        <w:rPr>
          <w:sz w:val="24"/>
        </w:rPr>
        <w:t xml:space="preserve">the </w:t>
      </w:r>
      <w:r w:rsidR="00AF1655">
        <w:rPr>
          <w:sz w:val="24"/>
        </w:rPr>
        <w:t xml:space="preserve">forfeiture notice </w:t>
      </w:r>
      <w:r w:rsidR="00BE3C4D">
        <w:rPr>
          <w:sz w:val="24"/>
        </w:rPr>
        <w:t xml:space="preserve">was published on 4 June 2021; </w:t>
      </w:r>
    </w:p>
    <w:p w14:paraId="7C811A6D" w14:textId="09A9C7F4" w:rsidR="00BE3C4D" w:rsidRDefault="006C4312" w:rsidP="006C4312">
      <w:pPr>
        <w:tabs>
          <w:tab w:val="left" w:pos="0"/>
          <w:tab w:val="left" w:pos="1134"/>
          <w:tab w:val="left" w:pos="1985"/>
          <w:tab w:val="right" w:pos="8595"/>
        </w:tabs>
        <w:spacing w:before="400" w:after="400" w:line="480" w:lineRule="auto"/>
        <w:ind w:left="1985" w:hanging="851"/>
        <w:jc w:val="both"/>
        <w:rPr>
          <w:sz w:val="24"/>
        </w:rPr>
      </w:pPr>
      <w:r>
        <w:rPr>
          <w:sz w:val="24"/>
        </w:rPr>
        <w:t>[71.2]</w:t>
      </w:r>
      <w:r>
        <w:rPr>
          <w:sz w:val="24"/>
        </w:rPr>
        <w:tab/>
      </w:r>
      <w:r w:rsidR="00BE3C4D">
        <w:rPr>
          <w:sz w:val="24"/>
        </w:rPr>
        <w:t>the 90-day time limit prescribed by the Regulations therefore expired on 3 September 2021</w:t>
      </w:r>
      <w:r w:rsidR="00AF1655">
        <w:rPr>
          <w:sz w:val="24"/>
        </w:rPr>
        <w:t xml:space="preserve">; </w:t>
      </w:r>
      <w:r w:rsidR="00BE3C4D">
        <w:rPr>
          <w:sz w:val="24"/>
        </w:rPr>
        <w:t xml:space="preserve"> </w:t>
      </w:r>
    </w:p>
    <w:p w14:paraId="073A0A0A" w14:textId="296458A7" w:rsidR="00AF1655" w:rsidRDefault="006C4312" w:rsidP="006C4312">
      <w:pPr>
        <w:tabs>
          <w:tab w:val="left" w:pos="0"/>
          <w:tab w:val="left" w:pos="1134"/>
          <w:tab w:val="left" w:pos="1985"/>
          <w:tab w:val="right" w:pos="8595"/>
        </w:tabs>
        <w:spacing w:before="400" w:after="400" w:line="480" w:lineRule="auto"/>
        <w:ind w:left="1985" w:hanging="851"/>
        <w:jc w:val="both"/>
        <w:rPr>
          <w:sz w:val="24"/>
        </w:rPr>
      </w:pPr>
      <w:r>
        <w:rPr>
          <w:sz w:val="24"/>
        </w:rPr>
        <w:t>[71.3]</w:t>
      </w:r>
      <w:r>
        <w:rPr>
          <w:sz w:val="24"/>
        </w:rPr>
        <w:tab/>
      </w:r>
      <w:r w:rsidR="00BE3C4D">
        <w:rPr>
          <w:sz w:val="24"/>
        </w:rPr>
        <w:t xml:space="preserve">the review application was only launched on 9 November 2021 (i.e. over 2 months later).  </w:t>
      </w:r>
    </w:p>
    <w:p w14:paraId="24C9E5D4" w14:textId="77777777" w:rsidR="00AF1655" w:rsidRDefault="00AF1655" w:rsidP="00AF1655">
      <w:pPr>
        <w:tabs>
          <w:tab w:val="left" w:pos="0"/>
          <w:tab w:val="left" w:pos="1134"/>
          <w:tab w:val="left" w:pos="1985"/>
          <w:tab w:val="right" w:pos="8595"/>
        </w:tabs>
        <w:spacing w:before="400" w:after="400" w:line="480" w:lineRule="auto"/>
        <w:jc w:val="both"/>
        <w:rPr>
          <w:sz w:val="24"/>
        </w:rPr>
      </w:pPr>
      <w:r>
        <w:rPr>
          <w:sz w:val="24"/>
        </w:rPr>
        <w:t>[71]</w:t>
      </w:r>
      <w:r>
        <w:rPr>
          <w:sz w:val="24"/>
        </w:rPr>
        <w:tab/>
        <w:t>Absent authority being conferred on the Court to grant condonation for non-compliance with the 90-day time period, it cannot do so.</w:t>
      </w:r>
    </w:p>
    <w:p w14:paraId="34947C42" w14:textId="44AC8482" w:rsidR="00865B28" w:rsidRPr="005B1F46" w:rsidRDefault="006C4312" w:rsidP="006C4312">
      <w:pPr>
        <w:tabs>
          <w:tab w:val="left" w:pos="0"/>
          <w:tab w:val="left" w:pos="1134"/>
          <w:tab w:val="left" w:pos="1985"/>
          <w:tab w:val="right" w:pos="8595"/>
        </w:tabs>
        <w:spacing w:before="400" w:after="400" w:line="480" w:lineRule="auto"/>
        <w:jc w:val="both"/>
        <w:rPr>
          <w:sz w:val="24"/>
        </w:rPr>
      </w:pPr>
      <w:r w:rsidRPr="005B1F46">
        <w:rPr>
          <w:sz w:val="24"/>
        </w:rPr>
        <w:lastRenderedPageBreak/>
        <w:t>[72]</w:t>
      </w:r>
      <w:r w:rsidRPr="005B1F46">
        <w:rPr>
          <w:sz w:val="24"/>
        </w:rPr>
        <w:tab/>
      </w:r>
      <w:r w:rsidR="00AF1655">
        <w:rPr>
          <w:sz w:val="24"/>
        </w:rPr>
        <w:t xml:space="preserve">Where a </w:t>
      </w:r>
      <w:r w:rsidR="00865B28">
        <w:rPr>
          <w:sz w:val="24"/>
        </w:rPr>
        <w:t>review application is filed out of time</w:t>
      </w:r>
      <w:r w:rsidR="00AF1655">
        <w:rPr>
          <w:sz w:val="24"/>
        </w:rPr>
        <w:t xml:space="preserve"> and a Court has no power to grant condonation, </w:t>
      </w:r>
      <w:r w:rsidR="00865B28">
        <w:rPr>
          <w:sz w:val="24"/>
        </w:rPr>
        <w:t xml:space="preserve">the Court cannot entertain the merits of the application.  </w:t>
      </w:r>
      <w:r w:rsidR="00865B28" w:rsidRPr="005B1F46">
        <w:rPr>
          <w:sz w:val="24"/>
        </w:rPr>
        <w:t xml:space="preserve">In this regard, </w:t>
      </w:r>
      <w:r w:rsidR="00DF2910">
        <w:rPr>
          <w:sz w:val="24"/>
        </w:rPr>
        <w:t xml:space="preserve">I was referred to the matter of </w:t>
      </w:r>
      <w:r w:rsidR="00865B28" w:rsidRPr="005B1F46">
        <w:rPr>
          <w:i/>
          <w:iCs/>
          <w:lang w:val="en-US"/>
        </w:rPr>
        <w:t>Asla Construction (Pty) Ltd v Buffalo City Metropolitan Municipality</w:t>
      </w:r>
      <w:r w:rsidR="00DF2910">
        <w:rPr>
          <w:i/>
          <w:iCs/>
          <w:lang w:val="en-US"/>
        </w:rPr>
        <w:t>.</w:t>
      </w:r>
      <w:r w:rsidR="00865B28" w:rsidRPr="00B87574">
        <w:rPr>
          <w:rStyle w:val="FootnoteReference"/>
          <w:lang w:val="en-US"/>
        </w:rPr>
        <w:footnoteReference w:id="19"/>
      </w:r>
      <w:r w:rsidR="00865B28" w:rsidRPr="005B1F46">
        <w:rPr>
          <w:i/>
          <w:iCs/>
          <w:lang w:val="en-US"/>
        </w:rPr>
        <w:t xml:space="preserve"> </w:t>
      </w:r>
      <w:r w:rsidR="00865B28" w:rsidRPr="005B1F46">
        <w:rPr>
          <w:sz w:val="24"/>
        </w:rPr>
        <w:t xml:space="preserve">  </w:t>
      </w:r>
    </w:p>
    <w:p w14:paraId="49726CF6" w14:textId="77777777" w:rsidR="003D4E2A" w:rsidRDefault="00DF2910" w:rsidP="003D4E2A">
      <w:pPr>
        <w:tabs>
          <w:tab w:val="left" w:pos="0"/>
          <w:tab w:val="left" w:pos="1134"/>
          <w:tab w:val="left" w:pos="1985"/>
          <w:tab w:val="right" w:pos="8595"/>
        </w:tabs>
        <w:spacing w:before="400" w:after="400" w:line="480" w:lineRule="auto"/>
        <w:jc w:val="both"/>
        <w:rPr>
          <w:sz w:val="24"/>
        </w:rPr>
      </w:pPr>
      <w:r>
        <w:rPr>
          <w:sz w:val="24"/>
        </w:rPr>
        <w:t>[72]</w:t>
      </w:r>
      <w:r>
        <w:rPr>
          <w:sz w:val="24"/>
        </w:rPr>
        <w:tab/>
      </w:r>
      <w:r w:rsidR="003D4E2A">
        <w:rPr>
          <w:sz w:val="24"/>
        </w:rPr>
        <w:t>In the circumstances, the application falls to be dismissed.  As far as costs are concerned,  they must follow the result.</w:t>
      </w:r>
      <w:r w:rsidR="006E45F8">
        <w:rPr>
          <w:sz w:val="24"/>
        </w:rPr>
        <w:t xml:space="preserve"> </w:t>
      </w:r>
    </w:p>
    <w:p w14:paraId="3596841B" w14:textId="0FBFBAEA" w:rsidR="00022387" w:rsidRPr="006A3BF7" w:rsidRDefault="00022387" w:rsidP="003D4E2A">
      <w:pPr>
        <w:tabs>
          <w:tab w:val="left" w:pos="0"/>
          <w:tab w:val="left" w:pos="1134"/>
          <w:tab w:val="left" w:pos="1985"/>
          <w:tab w:val="right" w:pos="8595"/>
        </w:tabs>
        <w:spacing w:before="400" w:after="400" w:line="480" w:lineRule="auto"/>
        <w:jc w:val="both"/>
        <w:rPr>
          <w:sz w:val="24"/>
        </w:rPr>
      </w:pPr>
      <w:r w:rsidRPr="006A3BF7">
        <w:rPr>
          <w:sz w:val="24"/>
          <w:u w:val="single"/>
        </w:rPr>
        <w:t>ORDER</w:t>
      </w:r>
      <w:r w:rsidRPr="006A3BF7">
        <w:rPr>
          <w:sz w:val="24"/>
        </w:rPr>
        <w:t>:</w:t>
      </w:r>
    </w:p>
    <w:p w14:paraId="6A56C6B0" w14:textId="77777777" w:rsidR="00022387" w:rsidRPr="006A3BF7" w:rsidRDefault="00022387" w:rsidP="00022387">
      <w:pPr>
        <w:tabs>
          <w:tab w:val="left" w:pos="0"/>
          <w:tab w:val="left" w:pos="1134"/>
          <w:tab w:val="left" w:pos="1985"/>
          <w:tab w:val="right" w:pos="8595"/>
        </w:tabs>
        <w:spacing w:before="400" w:after="400" w:line="480" w:lineRule="auto"/>
        <w:jc w:val="both"/>
        <w:rPr>
          <w:sz w:val="24"/>
        </w:rPr>
      </w:pPr>
      <w:r w:rsidRPr="006A3BF7">
        <w:rPr>
          <w:sz w:val="24"/>
        </w:rPr>
        <w:t xml:space="preserve">In the circumstances, I grant an order in the following terms:  </w:t>
      </w:r>
    </w:p>
    <w:p w14:paraId="3C5DE749" w14:textId="569D9442" w:rsidR="003D4E2A" w:rsidRDefault="006C4312" w:rsidP="006C4312">
      <w:pPr>
        <w:tabs>
          <w:tab w:val="left" w:pos="851"/>
          <w:tab w:val="left" w:pos="1985"/>
          <w:tab w:val="left" w:pos="3119"/>
          <w:tab w:val="right" w:pos="8595"/>
        </w:tabs>
        <w:spacing w:before="400" w:after="400" w:line="480" w:lineRule="auto"/>
        <w:ind w:left="851" w:hanging="851"/>
        <w:jc w:val="both"/>
        <w:rPr>
          <w:sz w:val="24"/>
        </w:rPr>
      </w:pPr>
      <w:r>
        <w:rPr>
          <w:sz w:val="24"/>
        </w:rPr>
        <w:t>1.</w:t>
      </w:r>
      <w:r>
        <w:rPr>
          <w:sz w:val="24"/>
        </w:rPr>
        <w:tab/>
      </w:r>
      <w:r w:rsidR="003D4E2A">
        <w:rPr>
          <w:sz w:val="24"/>
        </w:rPr>
        <w:t>The application is dismissed; and</w:t>
      </w:r>
    </w:p>
    <w:p w14:paraId="1E1147B3" w14:textId="4E6011F4" w:rsidR="00022387" w:rsidRPr="006A3BF7" w:rsidRDefault="006C4312" w:rsidP="006C4312">
      <w:pPr>
        <w:tabs>
          <w:tab w:val="left" w:pos="851"/>
          <w:tab w:val="left" w:pos="1985"/>
          <w:tab w:val="left" w:pos="3119"/>
          <w:tab w:val="right" w:pos="8595"/>
        </w:tabs>
        <w:spacing w:before="400" w:after="400" w:line="480" w:lineRule="auto"/>
        <w:ind w:left="851" w:hanging="851"/>
        <w:jc w:val="both"/>
        <w:rPr>
          <w:sz w:val="24"/>
        </w:rPr>
      </w:pPr>
      <w:r w:rsidRPr="006A3BF7">
        <w:rPr>
          <w:sz w:val="24"/>
        </w:rPr>
        <w:t>2.</w:t>
      </w:r>
      <w:r w:rsidRPr="006A3BF7">
        <w:rPr>
          <w:sz w:val="24"/>
        </w:rPr>
        <w:tab/>
      </w:r>
      <w:r w:rsidR="003D4E2A">
        <w:rPr>
          <w:sz w:val="24"/>
        </w:rPr>
        <w:t>The Applicant is ordered to pay the costs of the application.</w:t>
      </w:r>
      <w:r w:rsidR="00022387" w:rsidRPr="006A3BF7">
        <w:rPr>
          <w:sz w:val="24"/>
        </w:rPr>
        <w:t xml:space="preserve"> </w:t>
      </w:r>
    </w:p>
    <w:p w14:paraId="292A97BF" w14:textId="00C39A65" w:rsidR="00A1732E" w:rsidRPr="006A3BF7" w:rsidRDefault="00A1732E" w:rsidP="00A1732E">
      <w:pPr>
        <w:tabs>
          <w:tab w:val="left" w:pos="1134"/>
          <w:tab w:val="left" w:pos="1985"/>
          <w:tab w:val="left" w:pos="3119"/>
          <w:tab w:val="right" w:pos="8595"/>
        </w:tabs>
        <w:spacing w:after="120" w:line="240" w:lineRule="auto"/>
        <w:ind w:left="3119"/>
        <w:rPr>
          <w:b/>
          <w:bCs/>
          <w:sz w:val="24"/>
        </w:rPr>
      </w:pPr>
      <w:r w:rsidRPr="006A3BF7">
        <w:rPr>
          <w:b/>
          <w:bCs/>
          <w:sz w:val="24"/>
        </w:rPr>
        <w:t>_______________________________</w:t>
      </w:r>
    </w:p>
    <w:p w14:paraId="24309D9F" w14:textId="5D2680DD" w:rsidR="00A1732E" w:rsidRPr="006A3BF7" w:rsidRDefault="001B7E59" w:rsidP="00A1732E">
      <w:pPr>
        <w:tabs>
          <w:tab w:val="left" w:pos="1134"/>
          <w:tab w:val="left" w:pos="1985"/>
          <w:tab w:val="left" w:pos="3119"/>
          <w:tab w:val="right" w:pos="8595"/>
        </w:tabs>
        <w:spacing w:after="120" w:line="240" w:lineRule="auto"/>
        <w:ind w:left="3119"/>
        <w:rPr>
          <w:b/>
          <w:bCs/>
          <w:sz w:val="24"/>
        </w:rPr>
      </w:pPr>
      <w:r w:rsidRPr="006A3BF7">
        <w:rPr>
          <w:b/>
          <w:bCs/>
          <w:sz w:val="24"/>
        </w:rPr>
        <w:t>LG KILMARTIN</w:t>
      </w:r>
      <w:r w:rsidRPr="006A3BF7">
        <w:rPr>
          <w:b/>
          <w:bCs/>
          <w:sz w:val="24"/>
        </w:rPr>
        <w:tab/>
      </w:r>
    </w:p>
    <w:p w14:paraId="7C16F949" w14:textId="6B1BCA66" w:rsidR="001B7E59" w:rsidRPr="006A3BF7" w:rsidRDefault="001B7E59" w:rsidP="00A1732E">
      <w:pPr>
        <w:tabs>
          <w:tab w:val="left" w:pos="1134"/>
          <w:tab w:val="left" w:pos="1985"/>
          <w:tab w:val="left" w:pos="3119"/>
          <w:tab w:val="right" w:pos="8595"/>
        </w:tabs>
        <w:spacing w:after="120" w:line="240" w:lineRule="auto"/>
        <w:ind w:left="3119"/>
        <w:rPr>
          <w:sz w:val="24"/>
        </w:rPr>
      </w:pPr>
      <w:r w:rsidRPr="006A3BF7">
        <w:rPr>
          <w:sz w:val="24"/>
        </w:rPr>
        <w:t>ACTING JUDGE OF THE HIGH COURT OF SOUTH AFRICA</w:t>
      </w:r>
    </w:p>
    <w:p w14:paraId="541FACE9" w14:textId="781BAC42" w:rsidR="001B7E59" w:rsidRPr="006A3BF7" w:rsidRDefault="001B7E59" w:rsidP="00A1732E">
      <w:pPr>
        <w:tabs>
          <w:tab w:val="left" w:pos="1134"/>
          <w:tab w:val="left" w:pos="1985"/>
          <w:tab w:val="left" w:pos="3119"/>
          <w:tab w:val="right" w:pos="8595"/>
        </w:tabs>
        <w:spacing w:after="120" w:line="240" w:lineRule="auto"/>
        <w:ind w:left="3119"/>
        <w:rPr>
          <w:sz w:val="24"/>
        </w:rPr>
      </w:pPr>
      <w:r w:rsidRPr="006A3BF7">
        <w:rPr>
          <w:sz w:val="24"/>
        </w:rPr>
        <w:t>GAUTENG DIVISION</w:t>
      </w:r>
    </w:p>
    <w:p w14:paraId="592FABF6" w14:textId="77777777" w:rsidR="001B7E59" w:rsidRPr="006A3BF7" w:rsidRDefault="001B7E59" w:rsidP="00A1732E">
      <w:pPr>
        <w:tabs>
          <w:tab w:val="left" w:pos="1134"/>
          <w:tab w:val="left" w:pos="1985"/>
          <w:tab w:val="left" w:pos="3119"/>
          <w:tab w:val="right" w:pos="8595"/>
        </w:tabs>
        <w:spacing w:after="120" w:line="240" w:lineRule="auto"/>
        <w:ind w:left="3119"/>
        <w:rPr>
          <w:sz w:val="24"/>
        </w:rPr>
      </w:pPr>
      <w:r w:rsidRPr="006A3BF7">
        <w:rPr>
          <w:sz w:val="24"/>
        </w:rPr>
        <w:t>PRETORIA</w:t>
      </w:r>
    </w:p>
    <w:p w14:paraId="5848DF38" w14:textId="77777777" w:rsidR="00A1732E" w:rsidRPr="006A3BF7" w:rsidRDefault="00A1732E" w:rsidP="00A1732E">
      <w:pPr>
        <w:tabs>
          <w:tab w:val="left" w:pos="0"/>
          <w:tab w:val="left" w:pos="1134"/>
          <w:tab w:val="left" w:pos="1985"/>
          <w:tab w:val="left" w:pos="3119"/>
          <w:tab w:val="right" w:pos="8595"/>
        </w:tabs>
        <w:spacing w:after="120" w:line="240" w:lineRule="auto"/>
        <w:jc w:val="both"/>
        <w:rPr>
          <w:sz w:val="24"/>
        </w:rPr>
      </w:pPr>
    </w:p>
    <w:p w14:paraId="5110D045" w14:textId="255DD030" w:rsidR="001B7E59" w:rsidRPr="006A3BF7" w:rsidRDefault="001B7E59" w:rsidP="00A1732E">
      <w:pPr>
        <w:tabs>
          <w:tab w:val="left" w:pos="0"/>
          <w:tab w:val="left" w:pos="1134"/>
          <w:tab w:val="left" w:pos="1985"/>
          <w:tab w:val="left" w:pos="3119"/>
          <w:tab w:val="right" w:pos="8595"/>
        </w:tabs>
        <w:spacing w:after="120" w:line="240" w:lineRule="auto"/>
        <w:jc w:val="both"/>
        <w:rPr>
          <w:sz w:val="24"/>
        </w:rPr>
      </w:pPr>
      <w:r w:rsidRPr="006A3BF7">
        <w:rPr>
          <w:sz w:val="24"/>
        </w:rPr>
        <w:t>Hearing date</w:t>
      </w:r>
      <w:r w:rsidR="00A1732E" w:rsidRPr="006A3BF7">
        <w:rPr>
          <w:sz w:val="24"/>
        </w:rPr>
        <w:t>:</w:t>
      </w:r>
      <w:r w:rsidRPr="006A3BF7">
        <w:rPr>
          <w:sz w:val="24"/>
        </w:rPr>
        <w:tab/>
      </w:r>
      <w:r w:rsidR="00A1732E" w:rsidRPr="006A3BF7">
        <w:rPr>
          <w:sz w:val="24"/>
        </w:rPr>
        <w:tab/>
      </w:r>
      <w:r w:rsidR="003D4E2A">
        <w:rPr>
          <w:sz w:val="24"/>
        </w:rPr>
        <w:t>22</w:t>
      </w:r>
      <w:r w:rsidRPr="006A3BF7">
        <w:rPr>
          <w:sz w:val="24"/>
        </w:rPr>
        <w:t xml:space="preserve"> November 2022 </w:t>
      </w:r>
    </w:p>
    <w:p w14:paraId="28125E64" w14:textId="711AD974" w:rsidR="008238F0" w:rsidRPr="006A3BF7" w:rsidRDefault="001B7E59" w:rsidP="00A1732E">
      <w:pPr>
        <w:tabs>
          <w:tab w:val="left" w:pos="1134"/>
          <w:tab w:val="left" w:pos="2268"/>
          <w:tab w:val="left" w:pos="3119"/>
          <w:tab w:val="right" w:pos="8595"/>
        </w:tabs>
        <w:spacing w:after="120" w:line="240" w:lineRule="auto"/>
        <w:jc w:val="both"/>
        <w:rPr>
          <w:sz w:val="24"/>
        </w:rPr>
      </w:pPr>
      <w:r w:rsidRPr="006A3BF7">
        <w:rPr>
          <w:sz w:val="24"/>
        </w:rPr>
        <w:t xml:space="preserve">Judgment date: </w:t>
      </w:r>
      <w:r w:rsidRPr="006A3BF7">
        <w:rPr>
          <w:sz w:val="24"/>
        </w:rPr>
        <w:tab/>
      </w:r>
      <w:r w:rsidR="00A1732E" w:rsidRPr="006A3BF7">
        <w:rPr>
          <w:sz w:val="24"/>
        </w:rPr>
        <w:tab/>
      </w:r>
      <w:r w:rsidR="003D4E2A">
        <w:rPr>
          <w:sz w:val="24"/>
        </w:rPr>
        <w:t>1</w:t>
      </w:r>
      <w:r w:rsidR="00DB2E6C">
        <w:rPr>
          <w:sz w:val="24"/>
        </w:rPr>
        <w:t>3</w:t>
      </w:r>
      <w:r w:rsidR="00950EF0" w:rsidRPr="006A3BF7">
        <w:rPr>
          <w:sz w:val="24"/>
        </w:rPr>
        <w:t xml:space="preserve"> </w:t>
      </w:r>
      <w:r w:rsidR="003D4E2A">
        <w:rPr>
          <w:sz w:val="24"/>
        </w:rPr>
        <w:t>February</w:t>
      </w:r>
      <w:r w:rsidR="008238F0" w:rsidRPr="006A3BF7">
        <w:rPr>
          <w:sz w:val="24"/>
        </w:rPr>
        <w:t xml:space="preserve"> 2023</w:t>
      </w:r>
    </w:p>
    <w:p w14:paraId="267EA2AD" w14:textId="19C86770" w:rsidR="008238F0" w:rsidRPr="006A3BF7" w:rsidRDefault="008238F0" w:rsidP="00A1732E">
      <w:pPr>
        <w:tabs>
          <w:tab w:val="left" w:pos="1134"/>
          <w:tab w:val="left" w:pos="2268"/>
          <w:tab w:val="left" w:pos="3119"/>
          <w:tab w:val="right" w:pos="8595"/>
        </w:tabs>
        <w:spacing w:after="120" w:line="240" w:lineRule="auto"/>
        <w:jc w:val="both"/>
        <w:rPr>
          <w:sz w:val="24"/>
        </w:rPr>
      </w:pPr>
      <w:r w:rsidRPr="006A3BF7">
        <w:rPr>
          <w:sz w:val="24"/>
        </w:rPr>
        <w:t xml:space="preserve">Counsel for the </w:t>
      </w:r>
      <w:r w:rsidR="003D4E2A">
        <w:rPr>
          <w:sz w:val="24"/>
        </w:rPr>
        <w:t>Applicant</w:t>
      </w:r>
      <w:r w:rsidRPr="006A3BF7">
        <w:rPr>
          <w:sz w:val="24"/>
        </w:rPr>
        <w:t xml:space="preserve">: </w:t>
      </w:r>
      <w:r w:rsidRPr="006A3BF7">
        <w:rPr>
          <w:sz w:val="24"/>
        </w:rPr>
        <w:tab/>
        <w:t xml:space="preserve">Adv </w:t>
      </w:r>
      <w:r w:rsidR="003D4E2A">
        <w:rPr>
          <w:sz w:val="24"/>
        </w:rPr>
        <w:t>R</w:t>
      </w:r>
      <w:r w:rsidRPr="006A3BF7">
        <w:rPr>
          <w:sz w:val="24"/>
        </w:rPr>
        <w:t xml:space="preserve"> </w:t>
      </w:r>
      <w:r w:rsidR="003D4E2A">
        <w:rPr>
          <w:sz w:val="24"/>
        </w:rPr>
        <w:t>Mastenbroek</w:t>
      </w:r>
    </w:p>
    <w:p w14:paraId="38645185" w14:textId="233FE6ED" w:rsidR="001B7E59" w:rsidRPr="006A3BF7" w:rsidRDefault="003D4E2A" w:rsidP="00A1732E">
      <w:pPr>
        <w:tabs>
          <w:tab w:val="left" w:pos="1134"/>
          <w:tab w:val="left" w:pos="2268"/>
          <w:tab w:val="left" w:pos="3119"/>
          <w:tab w:val="right" w:pos="8595"/>
        </w:tabs>
        <w:spacing w:after="120" w:line="240" w:lineRule="auto"/>
        <w:jc w:val="both"/>
        <w:rPr>
          <w:sz w:val="24"/>
        </w:rPr>
      </w:pPr>
      <w:r>
        <w:rPr>
          <w:sz w:val="24"/>
        </w:rPr>
        <w:t>Applicant</w:t>
      </w:r>
      <w:r w:rsidR="008238F0" w:rsidRPr="006A3BF7">
        <w:rPr>
          <w:sz w:val="24"/>
        </w:rPr>
        <w:t xml:space="preserve">’s Attorneys: </w:t>
      </w:r>
      <w:r w:rsidR="008238F0" w:rsidRPr="006A3BF7">
        <w:rPr>
          <w:sz w:val="24"/>
        </w:rPr>
        <w:tab/>
      </w:r>
      <w:r>
        <w:rPr>
          <w:sz w:val="24"/>
        </w:rPr>
        <w:t>KWP Attorneys</w:t>
      </w:r>
      <w:r w:rsidR="008238F0" w:rsidRPr="006A3BF7">
        <w:rPr>
          <w:sz w:val="24"/>
        </w:rPr>
        <w:t xml:space="preserve"> </w:t>
      </w:r>
    </w:p>
    <w:p w14:paraId="2A386D44" w14:textId="3F30080F" w:rsidR="008238F0" w:rsidRDefault="008238F0" w:rsidP="00A1732E">
      <w:pPr>
        <w:tabs>
          <w:tab w:val="left" w:pos="1134"/>
          <w:tab w:val="left" w:pos="2268"/>
          <w:tab w:val="left" w:pos="3119"/>
          <w:tab w:val="right" w:pos="8595"/>
        </w:tabs>
        <w:spacing w:after="120" w:line="240" w:lineRule="auto"/>
        <w:jc w:val="both"/>
        <w:rPr>
          <w:sz w:val="24"/>
        </w:rPr>
      </w:pPr>
      <w:r w:rsidRPr="006A3BF7">
        <w:rPr>
          <w:sz w:val="24"/>
        </w:rPr>
        <w:t xml:space="preserve">Counsel for the </w:t>
      </w:r>
      <w:r w:rsidR="003D4E2A">
        <w:rPr>
          <w:sz w:val="24"/>
        </w:rPr>
        <w:t>Respondent</w:t>
      </w:r>
      <w:r w:rsidRPr="006A3BF7">
        <w:rPr>
          <w:sz w:val="24"/>
        </w:rPr>
        <w:t>:</w:t>
      </w:r>
      <w:r w:rsidRPr="006A3BF7">
        <w:rPr>
          <w:sz w:val="24"/>
        </w:rPr>
        <w:tab/>
      </w:r>
      <w:r w:rsidR="003D4E2A">
        <w:rPr>
          <w:sz w:val="24"/>
        </w:rPr>
        <w:t>Adv M Stubbs</w:t>
      </w:r>
    </w:p>
    <w:p w14:paraId="64CFC967" w14:textId="3CF8B10E" w:rsidR="000372FE" w:rsidRPr="006A3BF7" w:rsidRDefault="003D4E2A" w:rsidP="009570D5">
      <w:pPr>
        <w:tabs>
          <w:tab w:val="left" w:pos="1134"/>
          <w:tab w:val="left" w:pos="2268"/>
          <w:tab w:val="left" w:pos="3119"/>
          <w:tab w:val="right" w:pos="8595"/>
        </w:tabs>
        <w:spacing w:after="120" w:line="240" w:lineRule="auto"/>
        <w:jc w:val="both"/>
        <w:rPr>
          <w:lang w:val="en-ZA"/>
        </w:rPr>
      </w:pPr>
      <w:r>
        <w:rPr>
          <w:sz w:val="24"/>
        </w:rPr>
        <w:t>Respondent’s Attorneys:</w:t>
      </w:r>
      <w:r>
        <w:rPr>
          <w:sz w:val="24"/>
        </w:rPr>
        <w:tab/>
        <w:t>Bowman Gilfillan</w:t>
      </w:r>
    </w:p>
    <w:sectPr w:rsidR="000372FE" w:rsidRPr="006A3BF7" w:rsidSect="000107FA">
      <w:headerReference w:type="default" r:id="rId16"/>
      <w:pgSz w:w="11906" w:h="16838"/>
      <w:pgMar w:top="1474" w:right="1440" w:bottom="1134" w:left="187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2D3EE3" w14:textId="77777777" w:rsidR="00FC0D41" w:rsidRDefault="00FC0D41" w:rsidP="000107FA">
      <w:pPr>
        <w:spacing w:after="0" w:line="240" w:lineRule="auto"/>
      </w:pPr>
      <w:r>
        <w:separator/>
      </w:r>
    </w:p>
  </w:endnote>
  <w:endnote w:type="continuationSeparator" w:id="0">
    <w:p w14:paraId="34EC8939" w14:textId="77777777" w:rsidR="00FC0D41" w:rsidRDefault="00FC0D41" w:rsidP="000107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A9C992" w14:textId="77777777" w:rsidR="00FC0D41" w:rsidRDefault="00FC0D41" w:rsidP="000107FA">
      <w:pPr>
        <w:spacing w:after="0" w:line="240" w:lineRule="auto"/>
      </w:pPr>
      <w:r>
        <w:separator/>
      </w:r>
    </w:p>
  </w:footnote>
  <w:footnote w:type="continuationSeparator" w:id="0">
    <w:p w14:paraId="10392DA6" w14:textId="77777777" w:rsidR="00FC0D41" w:rsidRDefault="00FC0D41" w:rsidP="000107FA">
      <w:pPr>
        <w:spacing w:after="0" w:line="240" w:lineRule="auto"/>
      </w:pPr>
      <w:r>
        <w:continuationSeparator/>
      </w:r>
    </w:p>
  </w:footnote>
  <w:footnote w:id="1">
    <w:p w14:paraId="313B4817" w14:textId="7D4510DE" w:rsidR="00C067A5" w:rsidRPr="00696F14" w:rsidRDefault="00C067A5" w:rsidP="00696F14">
      <w:pPr>
        <w:pStyle w:val="FootnoteText"/>
        <w:ind w:left="567" w:hanging="567"/>
        <w:jc w:val="both"/>
        <w:rPr>
          <w:rFonts w:ascii="Arial" w:hAnsi="Arial" w:cs="Arial"/>
          <w:lang w:val="en-US"/>
        </w:rPr>
      </w:pPr>
      <w:r w:rsidRPr="00696F14">
        <w:rPr>
          <w:rStyle w:val="FootnoteReference"/>
          <w:rFonts w:ascii="Arial" w:hAnsi="Arial" w:cs="Arial"/>
        </w:rPr>
        <w:footnoteRef/>
      </w:r>
      <w:r w:rsidRPr="00696F14">
        <w:rPr>
          <w:rFonts w:ascii="Arial" w:hAnsi="Arial" w:cs="Arial"/>
        </w:rPr>
        <w:t xml:space="preserve"> </w:t>
      </w:r>
      <w:r w:rsidRPr="00696F14">
        <w:rPr>
          <w:rFonts w:ascii="Arial" w:hAnsi="Arial" w:cs="Arial"/>
          <w:lang w:val="en-US"/>
        </w:rPr>
        <w:tab/>
        <w:t>2015 (5) SA 146 (CC) at paras [53] to [54]</w:t>
      </w:r>
      <w:r w:rsidR="00132CE5" w:rsidRPr="00696F14">
        <w:rPr>
          <w:rFonts w:ascii="Arial" w:hAnsi="Arial" w:cs="Arial"/>
          <w:lang w:val="en-US"/>
        </w:rPr>
        <w:t xml:space="preserve"> at 169 F/G – 170 D</w:t>
      </w:r>
      <w:r w:rsidRPr="00696F14">
        <w:rPr>
          <w:rFonts w:ascii="Arial" w:hAnsi="Arial" w:cs="Arial"/>
          <w:lang w:val="en-US"/>
        </w:rPr>
        <w:t>.</w:t>
      </w:r>
    </w:p>
  </w:footnote>
  <w:footnote w:id="2">
    <w:p w14:paraId="2D150DDA" w14:textId="544069A6" w:rsidR="006A3BF7" w:rsidRPr="00696F14" w:rsidRDefault="006A3BF7" w:rsidP="00696F14">
      <w:pPr>
        <w:pStyle w:val="FootnoteText"/>
        <w:ind w:left="567" w:hanging="567"/>
        <w:jc w:val="both"/>
        <w:rPr>
          <w:rFonts w:ascii="Arial" w:hAnsi="Arial" w:cs="Arial"/>
          <w:lang w:val="en-US"/>
        </w:rPr>
      </w:pPr>
      <w:r w:rsidRPr="00696F14">
        <w:rPr>
          <w:rStyle w:val="FootnoteReference"/>
          <w:rFonts w:ascii="Arial" w:hAnsi="Arial" w:cs="Arial"/>
        </w:rPr>
        <w:footnoteRef/>
      </w:r>
      <w:r w:rsidRPr="00696F14">
        <w:rPr>
          <w:rFonts w:ascii="Arial" w:hAnsi="Arial" w:cs="Arial"/>
        </w:rPr>
        <w:t xml:space="preserve"> </w:t>
      </w:r>
      <w:r w:rsidRPr="00696F14">
        <w:rPr>
          <w:rFonts w:ascii="Arial" w:hAnsi="Arial" w:cs="Arial"/>
          <w:lang w:val="en-US"/>
        </w:rPr>
        <w:tab/>
      </w:r>
      <w:r w:rsidRPr="00696F14">
        <w:rPr>
          <w:rFonts w:ascii="Arial" w:hAnsi="Arial" w:cs="Arial"/>
          <w:iCs/>
        </w:rPr>
        <w:t>1990 (3) SA 704 (T) at pp 710</w:t>
      </w:r>
      <w:r w:rsidR="000F386C" w:rsidRPr="00696F14">
        <w:rPr>
          <w:rFonts w:ascii="Arial" w:hAnsi="Arial" w:cs="Arial"/>
          <w:iCs/>
        </w:rPr>
        <w:t xml:space="preserve"> E/G</w:t>
      </w:r>
      <w:r w:rsidRPr="00696F14">
        <w:rPr>
          <w:rFonts w:ascii="Arial" w:hAnsi="Arial" w:cs="Arial"/>
          <w:iCs/>
        </w:rPr>
        <w:t xml:space="preserve"> and 711.</w:t>
      </w:r>
    </w:p>
  </w:footnote>
  <w:footnote w:id="3">
    <w:p w14:paraId="5A2A34C3" w14:textId="0AE38CFA" w:rsidR="00EC5C9D" w:rsidRPr="00696F14" w:rsidRDefault="00EC5C9D" w:rsidP="00696F14">
      <w:pPr>
        <w:pStyle w:val="FootnoteText"/>
        <w:ind w:left="567" w:hanging="567"/>
        <w:jc w:val="both"/>
        <w:rPr>
          <w:rFonts w:ascii="Arial" w:hAnsi="Arial" w:cs="Arial"/>
          <w:lang w:val="en-US"/>
        </w:rPr>
      </w:pPr>
      <w:r w:rsidRPr="00696F14">
        <w:rPr>
          <w:rStyle w:val="FootnoteReference"/>
          <w:rFonts w:ascii="Arial" w:hAnsi="Arial" w:cs="Arial"/>
        </w:rPr>
        <w:footnoteRef/>
      </w:r>
      <w:r w:rsidRPr="00696F14">
        <w:rPr>
          <w:rFonts w:ascii="Arial" w:hAnsi="Arial" w:cs="Arial"/>
        </w:rPr>
        <w:t xml:space="preserve"> </w:t>
      </w:r>
      <w:r w:rsidRPr="00696F14">
        <w:rPr>
          <w:rFonts w:ascii="Arial" w:hAnsi="Arial" w:cs="Arial"/>
          <w:lang w:val="en-US"/>
        </w:rPr>
        <w:tab/>
        <w:t xml:space="preserve">(54068/2020) [2022] ZAGPPHC 739 (3 October 2022). </w:t>
      </w:r>
    </w:p>
  </w:footnote>
  <w:footnote w:id="4">
    <w:p w14:paraId="33FA3663" w14:textId="77777777" w:rsidR="0023494F" w:rsidRPr="00696F14" w:rsidRDefault="0023494F" w:rsidP="00696F14">
      <w:pPr>
        <w:pStyle w:val="FootnoteText"/>
        <w:ind w:left="567" w:hanging="567"/>
        <w:jc w:val="both"/>
        <w:rPr>
          <w:rFonts w:ascii="Arial" w:hAnsi="Arial" w:cs="Arial"/>
          <w:lang w:val="en-US"/>
        </w:rPr>
      </w:pPr>
      <w:r w:rsidRPr="00696F14">
        <w:rPr>
          <w:rStyle w:val="FootnoteReference"/>
          <w:rFonts w:ascii="Arial" w:hAnsi="Arial" w:cs="Arial"/>
        </w:rPr>
        <w:footnoteRef/>
      </w:r>
      <w:r w:rsidRPr="00696F14">
        <w:rPr>
          <w:rFonts w:ascii="Arial" w:hAnsi="Arial" w:cs="Arial"/>
        </w:rPr>
        <w:t xml:space="preserve"> </w:t>
      </w:r>
      <w:r w:rsidRPr="00696F14">
        <w:rPr>
          <w:rFonts w:ascii="Arial" w:hAnsi="Arial" w:cs="Arial"/>
        </w:rPr>
        <w:tab/>
      </w:r>
      <w:r w:rsidRPr="00696F14">
        <w:rPr>
          <w:rFonts w:ascii="Arial" w:hAnsi="Arial" w:cs="Arial"/>
          <w:lang w:val="en-US"/>
        </w:rPr>
        <w:t>2012 (4) SA 593 (SCA) at [18].</w:t>
      </w:r>
    </w:p>
  </w:footnote>
  <w:footnote w:id="5">
    <w:p w14:paraId="47F75FCC" w14:textId="33CFD9A9" w:rsidR="00177EA0" w:rsidRPr="00696F14" w:rsidRDefault="00177EA0" w:rsidP="00696F14">
      <w:pPr>
        <w:pStyle w:val="FootnoteText"/>
        <w:ind w:left="567" w:hanging="567"/>
        <w:jc w:val="both"/>
        <w:rPr>
          <w:rFonts w:ascii="Arial" w:hAnsi="Arial" w:cs="Arial"/>
        </w:rPr>
      </w:pPr>
      <w:r w:rsidRPr="00696F14">
        <w:rPr>
          <w:rStyle w:val="FootnoteReference"/>
          <w:rFonts w:ascii="Arial" w:hAnsi="Arial" w:cs="Arial"/>
        </w:rPr>
        <w:footnoteRef/>
      </w:r>
      <w:r w:rsidRPr="00696F14">
        <w:rPr>
          <w:rFonts w:ascii="Arial" w:hAnsi="Arial" w:cs="Arial"/>
        </w:rPr>
        <w:t xml:space="preserve"> </w:t>
      </w:r>
      <w:r w:rsidRPr="00696F14">
        <w:rPr>
          <w:rFonts w:ascii="Arial" w:hAnsi="Arial" w:cs="Arial"/>
        </w:rPr>
        <w:tab/>
        <w:t>2010 (6) SA 439 (SCA) at para [24].</w:t>
      </w:r>
    </w:p>
  </w:footnote>
  <w:footnote w:id="6">
    <w:p w14:paraId="0BAD0495" w14:textId="77777777" w:rsidR="002B1EAD" w:rsidRPr="00696F14" w:rsidRDefault="002B1EAD" w:rsidP="00696F14">
      <w:pPr>
        <w:pStyle w:val="FootnoteText"/>
        <w:ind w:left="567" w:hanging="567"/>
        <w:jc w:val="both"/>
        <w:rPr>
          <w:rFonts w:ascii="Arial" w:hAnsi="Arial" w:cs="Arial"/>
          <w:lang w:val="en-US"/>
        </w:rPr>
      </w:pPr>
      <w:r w:rsidRPr="00696F14">
        <w:rPr>
          <w:rStyle w:val="FootnoteReference"/>
          <w:rFonts w:ascii="Arial" w:hAnsi="Arial" w:cs="Arial"/>
        </w:rPr>
        <w:footnoteRef/>
      </w:r>
      <w:r w:rsidRPr="00696F14">
        <w:rPr>
          <w:rFonts w:ascii="Arial" w:hAnsi="Arial" w:cs="Arial"/>
        </w:rPr>
        <w:t xml:space="preserve"> </w:t>
      </w:r>
      <w:r w:rsidRPr="00696F14">
        <w:rPr>
          <w:rFonts w:ascii="Arial" w:hAnsi="Arial" w:cs="Arial"/>
          <w:lang w:val="en-US"/>
        </w:rPr>
        <w:tab/>
        <w:t xml:space="preserve">(CCT176/21) [2022] ZACC 26 (6 July 2022). </w:t>
      </w:r>
    </w:p>
  </w:footnote>
  <w:footnote w:id="7">
    <w:p w14:paraId="5B4146A0" w14:textId="77777777" w:rsidR="00EC5C9D" w:rsidRPr="00696F14" w:rsidRDefault="00EC5C9D" w:rsidP="00696F14">
      <w:pPr>
        <w:pStyle w:val="FootnoteText"/>
        <w:ind w:left="567" w:hanging="567"/>
        <w:jc w:val="both"/>
        <w:rPr>
          <w:rFonts w:ascii="Arial" w:hAnsi="Arial" w:cs="Arial"/>
          <w:lang w:val="en-US"/>
        </w:rPr>
      </w:pPr>
      <w:r w:rsidRPr="00696F14">
        <w:rPr>
          <w:rStyle w:val="FootnoteReference"/>
          <w:rFonts w:ascii="Arial" w:hAnsi="Arial" w:cs="Arial"/>
        </w:rPr>
        <w:footnoteRef/>
      </w:r>
      <w:r w:rsidRPr="00696F14">
        <w:rPr>
          <w:rFonts w:ascii="Arial" w:hAnsi="Arial" w:cs="Arial"/>
        </w:rPr>
        <w:t xml:space="preserve"> </w:t>
      </w:r>
      <w:r w:rsidRPr="00696F14">
        <w:rPr>
          <w:rFonts w:ascii="Arial" w:hAnsi="Arial" w:cs="Arial"/>
        </w:rPr>
        <w:tab/>
      </w:r>
      <w:r w:rsidRPr="00696F14">
        <w:rPr>
          <w:rFonts w:ascii="Arial" w:hAnsi="Arial" w:cs="Arial"/>
          <w:lang w:val="en-US"/>
        </w:rPr>
        <w:t>Regulation 22B(3).</w:t>
      </w:r>
    </w:p>
  </w:footnote>
  <w:footnote w:id="8">
    <w:p w14:paraId="26A82458" w14:textId="17AA4070" w:rsidR="00EC5C9D" w:rsidRPr="00696F14" w:rsidRDefault="00EC5C9D" w:rsidP="00696F14">
      <w:pPr>
        <w:pStyle w:val="FootnoteText"/>
        <w:ind w:left="567" w:hanging="567"/>
        <w:jc w:val="both"/>
        <w:rPr>
          <w:rFonts w:ascii="Arial" w:hAnsi="Arial" w:cs="Arial"/>
          <w:lang w:val="en-US"/>
        </w:rPr>
      </w:pPr>
      <w:r w:rsidRPr="00696F14">
        <w:rPr>
          <w:rStyle w:val="FootnoteReference"/>
          <w:rFonts w:ascii="Arial" w:hAnsi="Arial" w:cs="Arial"/>
        </w:rPr>
        <w:footnoteRef/>
      </w:r>
      <w:r w:rsidRPr="00696F14">
        <w:rPr>
          <w:rFonts w:ascii="Arial" w:hAnsi="Arial" w:cs="Arial"/>
        </w:rPr>
        <w:t xml:space="preserve"> </w:t>
      </w:r>
      <w:r w:rsidRPr="00696F14">
        <w:rPr>
          <w:rFonts w:ascii="Arial" w:hAnsi="Arial" w:cs="Arial"/>
        </w:rPr>
        <w:tab/>
        <w:t xml:space="preserve">2007 (1) SA 576 (SCA) at para </w:t>
      </w:r>
      <w:r w:rsidR="000D0A42" w:rsidRPr="00696F14">
        <w:rPr>
          <w:rFonts w:ascii="Arial" w:hAnsi="Arial" w:cs="Arial"/>
        </w:rPr>
        <w:t>[</w:t>
      </w:r>
      <w:r w:rsidRPr="00696F14">
        <w:rPr>
          <w:rFonts w:ascii="Arial" w:hAnsi="Arial" w:cs="Arial"/>
        </w:rPr>
        <w:t>27</w:t>
      </w:r>
      <w:r w:rsidR="000D0A42" w:rsidRPr="00696F14">
        <w:rPr>
          <w:rFonts w:ascii="Arial" w:hAnsi="Arial" w:cs="Arial"/>
        </w:rPr>
        <w:t>]</w:t>
      </w:r>
      <w:r w:rsidR="00061684" w:rsidRPr="00696F14">
        <w:rPr>
          <w:rFonts w:ascii="Arial" w:hAnsi="Arial" w:cs="Arial"/>
        </w:rPr>
        <w:t xml:space="preserve"> at 588 D/E.</w:t>
      </w:r>
    </w:p>
  </w:footnote>
  <w:footnote w:id="9">
    <w:p w14:paraId="1B870E86" w14:textId="50DE8E88" w:rsidR="00EC5C9D" w:rsidRPr="00696F14" w:rsidRDefault="00EC5C9D" w:rsidP="00696F14">
      <w:pPr>
        <w:pStyle w:val="FootnoteText"/>
        <w:ind w:left="567" w:hanging="567"/>
        <w:jc w:val="both"/>
        <w:rPr>
          <w:rFonts w:ascii="Arial" w:hAnsi="Arial" w:cs="Arial"/>
          <w:lang w:val="en-US"/>
        </w:rPr>
      </w:pPr>
      <w:r w:rsidRPr="00696F14">
        <w:rPr>
          <w:rStyle w:val="FootnoteReference"/>
          <w:rFonts w:ascii="Arial" w:hAnsi="Arial" w:cs="Arial"/>
        </w:rPr>
        <w:footnoteRef/>
      </w:r>
      <w:r w:rsidRPr="00696F14">
        <w:rPr>
          <w:rFonts w:ascii="Arial" w:hAnsi="Arial" w:cs="Arial"/>
        </w:rPr>
        <w:t xml:space="preserve"> </w:t>
      </w:r>
      <w:r w:rsidRPr="00696F14">
        <w:rPr>
          <w:rFonts w:ascii="Arial" w:hAnsi="Arial" w:cs="Arial"/>
        </w:rPr>
        <w:tab/>
      </w:r>
      <w:r w:rsidR="007873F7" w:rsidRPr="00696F14">
        <w:rPr>
          <w:rFonts w:ascii="Arial" w:hAnsi="Arial" w:cs="Arial"/>
        </w:rPr>
        <w:t xml:space="preserve">The </w:t>
      </w:r>
      <w:r w:rsidR="007873F7" w:rsidRPr="00696F14">
        <w:rPr>
          <w:rFonts w:ascii="Arial" w:hAnsi="Arial" w:cs="Arial"/>
          <w:i/>
          <w:iCs/>
        </w:rPr>
        <w:t>Rustenburg</w:t>
      </w:r>
      <w:r w:rsidR="007873F7" w:rsidRPr="00696F14">
        <w:rPr>
          <w:rFonts w:ascii="Arial" w:hAnsi="Arial" w:cs="Arial"/>
        </w:rPr>
        <w:t xml:space="preserve"> case, para </w:t>
      </w:r>
      <w:r w:rsidR="000D0A42" w:rsidRPr="00696F14">
        <w:rPr>
          <w:rFonts w:ascii="Arial" w:hAnsi="Arial" w:cs="Arial"/>
        </w:rPr>
        <w:t>[</w:t>
      </w:r>
      <w:r w:rsidRPr="00696F14">
        <w:rPr>
          <w:rFonts w:ascii="Arial" w:hAnsi="Arial" w:cs="Arial"/>
        </w:rPr>
        <w:t>27</w:t>
      </w:r>
      <w:r w:rsidR="000D0A42" w:rsidRPr="00696F14">
        <w:rPr>
          <w:rFonts w:ascii="Arial" w:hAnsi="Arial" w:cs="Arial"/>
        </w:rPr>
        <w:t>]</w:t>
      </w:r>
      <w:r w:rsidR="00865B28" w:rsidRPr="00696F14">
        <w:rPr>
          <w:rFonts w:ascii="Arial" w:hAnsi="Arial" w:cs="Arial"/>
        </w:rPr>
        <w:t xml:space="preserve"> at 588 E.</w:t>
      </w:r>
    </w:p>
  </w:footnote>
  <w:footnote w:id="10">
    <w:p w14:paraId="6C98C43A" w14:textId="2A7C7249" w:rsidR="000B38FB" w:rsidRPr="00696F14" w:rsidRDefault="000B38FB" w:rsidP="00696F14">
      <w:pPr>
        <w:pStyle w:val="FootnoteText"/>
        <w:ind w:left="567" w:hanging="567"/>
        <w:jc w:val="both"/>
        <w:rPr>
          <w:rFonts w:ascii="Arial" w:hAnsi="Arial" w:cs="Arial"/>
        </w:rPr>
      </w:pPr>
      <w:r w:rsidRPr="00696F14">
        <w:rPr>
          <w:rStyle w:val="FootnoteReference"/>
          <w:rFonts w:ascii="Arial" w:hAnsi="Arial" w:cs="Arial"/>
        </w:rPr>
        <w:footnoteRef/>
      </w:r>
      <w:r w:rsidRPr="00696F14">
        <w:rPr>
          <w:rFonts w:ascii="Arial" w:hAnsi="Arial" w:cs="Arial"/>
        </w:rPr>
        <w:t xml:space="preserve"> </w:t>
      </w:r>
      <w:r w:rsidRPr="00696F14">
        <w:rPr>
          <w:rFonts w:ascii="Arial" w:hAnsi="Arial" w:cs="Arial"/>
        </w:rPr>
        <w:tab/>
        <w:t>2008 (2) SA 24 (CC).</w:t>
      </w:r>
    </w:p>
  </w:footnote>
  <w:footnote w:id="11">
    <w:p w14:paraId="433AC5B8" w14:textId="01E192B7" w:rsidR="000D0A42" w:rsidRPr="00696F14" w:rsidRDefault="000D0A42" w:rsidP="00696F14">
      <w:pPr>
        <w:pStyle w:val="FootnoteText"/>
        <w:ind w:left="567" w:hanging="567"/>
        <w:jc w:val="both"/>
        <w:rPr>
          <w:rFonts w:ascii="Arial" w:hAnsi="Arial" w:cs="Arial"/>
          <w:lang w:val="en-US"/>
        </w:rPr>
      </w:pPr>
      <w:r w:rsidRPr="00696F14">
        <w:rPr>
          <w:rStyle w:val="FootnoteReference"/>
          <w:rFonts w:ascii="Arial" w:hAnsi="Arial" w:cs="Arial"/>
        </w:rPr>
        <w:footnoteRef/>
      </w:r>
      <w:r w:rsidRPr="00696F14">
        <w:rPr>
          <w:rFonts w:ascii="Arial" w:hAnsi="Arial" w:cs="Arial"/>
        </w:rPr>
        <w:t xml:space="preserve"> </w:t>
      </w:r>
      <w:r w:rsidRPr="00696F14">
        <w:rPr>
          <w:rFonts w:ascii="Arial" w:hAnsi="Arial" w:cs="Arial"/>
          <w:lang w:val="en-US"/>
        </w:rPr>
        <w:tab/>
        <w:t xml:space="preserve">The </w:t>
      </w:r>
      <w:r w:rsidRPr="00696F14">
        <w:rPr>
          <w:rFonts w:ascii="Arial" w:hAnsi="Arial" w:cs="Arial"/>
          <w:i/>
          <w:iCs/>
          <w:lang w:val="en-US"/>
        </w:rPr>
        <w:t>Evergrand</w:t>
      </w:r>
      <w:r w:rsidRPr="00696F14">
        <w:rPr>
          <w:rFonts w:ascii="Arial" w:hAnsi="Arial" w:cs="Arial"/>
          <w:lang w:val="en-US"/>
        </w:rPr>
        <w:t xml:space="preserve"> </w:t>
      </w:r>
      <w:r w:rsidR="00532BB3" w:rsidRPr="00696F14">
        <w:rPr>
          <w:rFonts w:ascii="Arial" w:hAnsi="Arial" w:cs="Arial"/>
          <w:lang w:val="en-US"/>
        </w:rPr>
        <w:t>judgment</w:t>
      </w:r>
      <w:r w:rsidRPr="00696F14">
        <w:rPr>
          <w:rFonts w:ascii="Arial" w:hAnsi="Arial" w:cs="Arial"/>
          <w:lang w:val="en-US"/>
        </w:rPr>
        <w:t xml:space="preserve">, para [63]. </w:t>
      </w:r>
    </w:p>
  </w:footnote>
  <w:footnote w:id="12">
    <w:p w14:paraId="365DAB65" w14:textId="7DD9D6AB" w:rsidR="000D0A42" w:rsidRPr="00696F14" w:rsidRDefault="000D0A42" w:rsidP="00696F14">
      <w:pPr>
        <w:pStyle w:val="FootnoteText"/>
        <w:ind w:left="567" w:hanging="567"/>
        <w:jc w:val="both"/>
        <w:rPr>
          <w:rFonts w:ascii="Arial" w:hAnsi="Arial" w:cs="Arial"/>
          <w:lang w:val="en-US"/>
        </w:rPr>
      </w:pPr>
      <w:r w:rsidRPr="00696F14">
        <w:rPr>
          <w:rStyle w:val="FootnoteReference"/>
          <w:rFonts w:ascii="Arial" w:hAnsi="Arial" w:cs="Arial"/>
        </w:rPr>
        <w:footnoteRef/>
      </w:r>
      <w:r w:rsidRPr="00696F14">
        <w:rPr>
          <w:rFonts w:ascii="Arial" w:hAnsi="Arial" w:cs="Arial"/>
        </w:rPr>
        <w:t xml:space="preserve"> </w:t>
      </w:r>
      <w:r w:rsidRPr="00696F14">
        <w:rPr>
          <w:rFonts w:ascii="Arial" w:hAnsi="Arial" w:cs="Arial"/>
          <w:lang w:val="en-US"/>
        </w:rPr>
        <w:tab/>
        <w:t xml:space="preserve">The </w:t>
      </w:r>
      <w:r w:rsidRPr="00696F14">
        <w:rPr>
          <w:rFonts w:ascii="Arial" w:hAnsi="Arial" w:cs="Arial"/>
          <w:i/>
          <w:iCs/>
          <w:lang w:val="en-US"/>
        </w:rPr>
        <w:t>Evergrand</w:t>
      </w:r>
      <w:r w:rsidRPr="00696F14">
        <w:rPr>
          <w:rFonts w:ascii="Arial" w:hAnsi="Arial" w:cs="Arial"/>
          <w:lang w:val="en-US"/>
        </w:rPr>
        <w:t xml:space="preserve"> </w:t>
      </w:r>
      <w:r w:rsidR="00532BB3" w:rsidRPr="00696F14">
        <w:rPr>
          <w:rFonts w:ascii="Arial" w:hAnsi="Arial" w:cs="Arial"/>
          <w:lang w:val="en-US"/>
        </w:rPr>
        <w:t>judgment</w:t>
      </w:r>
      <w:r w:rsidRPr="00696F14">
        <w:rPr>
          <w:rFonts w:ascii="Arial" w:hAnsi="Arial" w:cs="Arial"/>
          <w:lang w:val="en-US"/>
        </w:rPr>
        <w:t>, para [64].</w:t>
      </w:r>
    </w:p>
  </w:footnote>
  <w:footnote w:id="13">
    <w:p w14:paraId="438A5471" w14:textId="0332E9B9" w:rsidR="000D0A42" w:rsidRPr="00696F14" w:rsidRDefault="000D0A42" w:rsidP="00696F14">
      <w:pPr>
        <w:pStyle w:val="FootnoteText"/>
        <w:ind w:left="567" w:hanging="567"/>
        <w:jc w:val="both"/>
        <w:rPr>
          <w:rFonts w:ascii="Arial" w:hAnsi="Arial" w:cs="Arial"/>
          <w:b/>
          <w:bCs/>
          <w:lang w:val="en-US"/>
        </w:rPr>
      </w:pPr>
      <w:r w:rsidRPr="00696F14">
        <w:rPr>
          <w:rStyle w:val="FootnoteReference"/>
          <w:rFonts w:ascii="Arial" w:hAnsi="Arial" w:cs="Arial"/>
        </w:rPr>
        <w:footnoteRef/>
      </w:r>
      <w:r w:rsidRPr="00696F14">
        <w:rPr>
          <w:rFonts w:ascii="Arial" w:hAnsi="Arial" w:cs="Arial"/>
        </w:rPr>
        <w:t xml:space="preserve"> </w:t>
      </w:r>
      <w:r w:rsidRPr="00696F14">
        <w:rPr>
          <w:rFonts w:ascii="Arial" w:hAnsi="Arial" w:cs="Arial"/>
          <w:lang w:val="en-US"/>
        </w:rPr>
        <w:tab/>
        <w:t xml:space="preserve">The </w:t>
      </w:r>
      <w:r w:rsidRPr="00696F14">
        <w:rPr>
          <w:rFonts w:ascii="Arial" w:hAnsi="Arial" w:cs="Arial"/>
          <w:i/>
          <w:iCs/>
          <w:lang w:val="en-US"/>
        </w:rPr>
        <w:t>Evergrand</w:t>
      </w:r>
      <w:r w:rsidRPr="00696F14">
        <w:rPr>
          <w:rFonts w:ascii="Arial" w:hAnsi="Arial" w:cs="Arial"/>
          <w:lang w:val="en-US"/>
        </w:rPr>
        <w:t xml:space="preserve"> case, para </w:t>
      </w:r>
      <w:r w:rsidR="00177EA0" w:rsidRPr="00696F14">
        <w:rPr>
          <w:rFonts w:ascii="Arial" w:hAnsi="Arial" w:cs="Arial"/>
          <w:lang w:val="en-US"/>
        </w:rPr>
        <w:t>[63]</w:t>
      </w:r>
      <w:r w:rsidRPr="00696F14">
        <w:rPr>
          <w:rFonts w:ascii="Arial" w:hAnsi="Arial" w:cs="Arial"/>
          <w:lang w:val="en-US"/>
        </w:rPr>
        <w:t>.</w:t>
      </w:r>
    </w:p>
  </w:footnote>
  <w:footnote w:id="14">
    <w:p w14:paraId="08F76451" w14:textId="71809884" w:rsidR="000D0A42" w:rsidRPr="00696F14" w:rsidRDefault="000D0A42" w:rsidP="00696F14">
      <w:pPr>
        <w:pStyle w:val="FootnoteText"/>
        <w:ind w:left="567" w:hanging="567"/>
        <w:jc w:val="both"/>
        <w:rPr>
          <w:rFonts w:ascii="Arial" w:hAnsi="Arial" w:cs="Arial"/>
          <w:lang w:val="en-US"/>
        </w:rPr>
      </w:pPr>
      <w:r w:rsidRPr="00696F14">
        <w:rPr>
          <w:rStyle w:val="FootnoteReference"/>
          <w:rFonts w:ascii="Arial" w:hAnsi="Arial" w:cs="Arial"/>
        </w:rPr>
        <w:footnoteRef/>
      </w:r>
      <w:r w:rsidRPr="00696F14">
        <w:rPr>
          <w:rFonts w:ascii="Arial" w:hAnsi="Arial" w:cs="Arial"/>
        </w:rPr>
        <w:t xml:space="preserve"> </w:t>
      </w:r>
      <w:r w:rsidRPr="00696F14">
        <w:rPr>
          <w:rFonts w:ascii="Arial" w:hAnsi="Arial" w:cs="Arial"/>
          <w:lang w:val="en-US"/>
        </w:rPr>
        <w:tab/>
        <w:t xml:space="preserve">The </w:t>
      </w:r>
      <w:r w:rsidRPr="00696F14">
        <w:rPr>
          <w:rFonts w:ascii="Arial" w:hAnsi="Arial" w:cs="Arial"/>
          <w:i/>
          <w:iCs/>
          <w:lang w:val="en-US"/>
        </w:rPr>
        <w:t>Evergrand</w:t>
      </w:r>
      <w:r w:rsidRPr="00696F14">
        <w:rPr>
          <w:rFonts w:ascii="Arial" w:hAnsi="Arial" w:cs="Arial"/>
          <w:lang w:val="en-US"/>
        </w:rPr>
        <w:t xml:space="preserve"> case, para [83](a).</w:t>
      </w:r>
    </w:p>
  </w:footnote>
  <w:footnote w:id="15">
    <w:p w14:paraId="273333D8" w14:textId="77777777" w:rsidR="00AF1655" w:rsidRPr="00696F14" w:rsidRDefault="00AF1655" w:rsidP="00696F14">
      <w:pPr>
        <w:pStyle w:val="FootnoteText"/>
        <w:ind w:left="567" w:hanging="567"/>
        <w:jc w:val="both"/>
        <w:rPr>
          <w:rFonts w:ascii="Arial" w:hAnsi="Arial" w:cs="Arial"/>
          <w:lang w:val="en-US"/>
        </w:rPr>
      </w:pPr>
      <w:r w:rsidRPr="00696F14">
        <w:rPr>
          <w:rStyle w:val="FootnoteReference"/>
          <w:rFonts w:ascii="Arial" w:hAnsi="Arial" w:cs="Arial"/>
        </w:rPr>
        <w:footnoteRef/>
      </w:r>
      <w:r w:rsidRPr="00696F14">
        <w:rPr>
          <w:rFonts w:ascii="Arial" w:hAnsi="Arial" w:cs="Arial"/>
        </w:rPr>
        <w:t xml:space="preserve"> </w:t>
      </w:r>
      <w:r w:rsidRPr="00696F14">
        <w:rPr>
          <w:rFonts w:ascii="Arial" w:hAnsi="Arial" w:cs="Arial"/>
        </w:rPr>
        <w:tab/>
      </w:r>
      <w:r w:rsidRPr="00696F14">
        <w:rPr>
          <w:rFonts w:ascii="Arial" w:hAnsi="Arial" w:cs="Arial"/>
          <w:lang w:val="en-US"/>
        </w:rPr>
        <w:t>2006 (2) SA 603 (SCA).</w:t>
      </w:r>
    </w:p>
  </w:footnote>
  <w:footnote w:id="16">
    <w:p w14:paraId="7258B4AA" w14:textId="77777777" w:rsidR="00AF1655" w:rsidRPr="00696F14" w:rsidRDefault="00AF1655" w:rsidP="00696F14">
      <w:pPr>
        <w:pStyle w:val="FootnoteText"/>
        <w:ind w:left="567" w:hanging="567"/>
        <w:jc w:val="both"/>
        <w:rPr>
          <w:rFonts w:ascii="Arial" w:hAnsi="Arial" w:cs="Arial"/>
          <w:lang w:val="en-US"/>
        </w:rPr>
      </w:pPr>
      <w:r w:rsidRPr="00696F14">
        <w:rPr>
          <w:rStyle w:val="FootnoteReference"/>
          <w:rFonts w:ascii="Arial" w:hAnsi="Arial" w:cs="Arial"/>
        </w:rPr>
        <w:footnoteRef/>
      </w:r>
      <w:r w:rsidRPr="00696F14">
        <w:rPr>
          <w:rFonts w:ascii="Arial" w:hAnsi="Arial" w:cs="Arial"/>
        </w:rPr>
        <w:t xml:space="preserve"> </w:t>
      </w:r>
      <w:r w:rsidRPr="00696F14">
        <w:rPr>
          <w:rFonts w:ascii="Arial" w:hAnsi="Arial" w:cs="Arial"/>
        </w:rPr>
        <w:tab/>
        <w:t xml:space="preserve">The </w:t>
      </w:r>
      <w:r w:rsidRPr="00696F14">
        <w:rPr>
          <w:rFonts w:ascii="Arial" w:hAnsi="Arial" w:cs="Arial"/>
          <w:i/>
          <w:iCs/>
        </w:rPr>
        <w:t>Gqwetha</w:t>
      </w:r>
      <w:r w:rsidRPr="00696F14">
        <w:rPr>
          <w:rFonts w:ascii="Arial" w:hAnsi="Arial" w:cs="Arial"/>
        </w:rPr>
        <w:t xml:space="preserve"> judgment at </w:t>
      </w:r>
      <w:r w:rsidRPr="00696F14">
        <w:rPr>
          <w:rFonts w:ascii="Arial" w:hAnsi="Arial" w:cs="Arial"/>
          <w:lang w:val="en-US"/>
        </w:rPr>
        <w:t>paras [24] to [25] at 613 A/B to 613 E.</w:t>
      </w:r>
    </w:p>
  </w:footnote>
  <w:footnote w:id="17">
    <w:p w14:paraId="5017DDBC" w14:textId="77777777" w:rsidR="00AF1655" w:rsidRPr="00696F14" w:rsidRDefault="00AF1655" w:rsidP="00696F14">
      <w:pPr>
        <w:pStyle w:val="FootnoteText"/>
        <w:ind w:left="567" w:hanging="567"/>
        <w:jc w:val="both"/>
        <w:rPr>
          <w:rFonts w:ascii="Arial" w:hAnsi="Arial" w:cs="Arial"/>
        </w:rPr>
      </w:pPr>
      <w:r w:rsidRPr="00696F14">
        <w:rPr>
          <w:rStyle w:val="FootnoteReference"/>
          <w:rFonts w:ascii="Arial" w:hAnsi="Arial" w:cs="Arial"/>
        </w:rPr>
        <w:footnoteRef/>
      </w:r>
      <w:r w:rsidRPr="00696F14">
        <w:rPr>
          <w:rFonts w:ascii="Arial" w:hAnsi="Arial" w:cs="Arial"/>
        </w:rPr>
        <w:t xml:space="preserve"> </w:t>
      </w:r>
      <w:r w:rsidRPr="00696F14">
        <w:rPr>
          <w:rFonts w:ascii="Arial" w:hAnsi="Arial" w:cs="Arial"/>
        </w:rPr>
        <w:tab/>
        <w:t xml:space="preserve">1997 (1) SA 124 (CC) at para 11, at 129 C – 130 B/E,  and para 17, at 132 E/F to 133 D.  </w:t>
      </w:r>
    </w:p>
  </w:footnote>
  <w:footnote w:id="18">
    <w:p w14:paraId="3EA2586D" w14:textId="77777777" w:rsidR="00AF1655" w:rsidRPr="00696F14" w:rsidRDefault="00AF1655" w:rsidP="00696F14">
      <w:pPr>
        <w:pStyle w:val="FootnoteText"/>
        <w:ind w:left="567" w:hanging="567"/>
        <w:jc w:val="both"/>
        <w:rPr>
          <w:rFonts w:ascii="Arial" w:hAnsi="Arial" w:cs="Arial"/>
          <w:lang w:val="en-US"/>
        </w:rPr>
      </w:pPr>
      <w:r w:rsidRPr="00696F14">
        <w:rPr>
          <w:rStyle w:val="FootnoteReference"/>
          <w:rFonts w:ascii="Arial" w:hAnsi="Arial" w:cs="Arial"/>
        </w:rPr>
        <w:footnoteRef/>
      </w:r>
      <w:r w:rsidRPr="00696F14">
        <w:rPr>
          <w:rFonts w:ascii="Arial" w:hAnsi="Arial" w:cs="Arial"/>
        </w:rPr>
        <w:t xml:space="preserve"> </w:t>
      </w:r>
      <w:r w:rsidRPr="00696F14">
        <w:rPr>
          <w:rFonts w:ascii="Arial" w:hAnsi="Arial" w:cs="Arial"/>
          <w:lang w:val="en-US"/>
        </w:rPr>
        <w:tab/>
        <w:t xml:space="preserve"> </w:t>
      </w:r>
      <w:r w:rsidRPr="00696F14">
        <w:rPr>
          <w:rFonts w:ascii="Arial" w:hAnsi="Arial" w:cs="Arial"/>
          <w:i/>
          <w:iCs/>
          <w:lang w:val="en-US"/>
        </w:rPr>
        <w:t xml:space="preserve">M v MEC for Health: Mpumalanga </w:t>
      </w:r>
      <w:r w:rsidRPr="00696F14">
        <w:rPr>
          <w:rFonts w:ascii="Arial" w:hAnsi="Arial" w:cs="Arial"/>
          <w:lang w:val="en-US"/>
        </w:rPr>
        <w:t>[2021] ZAMPMBHC 21 at para [20].</w:t>
      </w:r>
    </w:p>
  </w:footnote>
  <w:footnote w:id="19">
    <w:p w14:paraId="36E8EC0D" w14:textId="1A9CCB93" w:rsidR="00865B28" w:rsidRPr="00696F14" w:rsidRDefault="00865B28" w:rsidP="00696F14">
      <w:pPr>
        <w:pStyle w:val="FootnoteText"/>
        <w:ind w:left="567" w:hanging="567"/>
        <w:jc w:val="both"/>
        <w:rPr>
          <w:rFonts w:ascii="Arial" w:hAnsi="Arial" w:cs="Arial"/>
          <w:lang w:val="en-US"/>
        </w:rPr>
      </w:pPr>
      <w:r w:rsidRPr="00696F14">
        <w:rPr>
          <w:rStyle w:val="FootnoteReference"/>
          <w:rFonts w:ascii="Arial" w:hAnsi="Arial" w:cs="Arial"/>
        </w:rPr>
        <w:footnoteRef/>
      </w:r>
      <w:r w:rsidRPr="00696F14">
        <w:rPr>
          <w:rFonts w:ascii="Arial" w:hAnsi="Arial" w:cs="Arial"/>
        </w:rPr>
        <w:t xml:space="preserve"> </w:t>
      </w:r>
      <w:r w:rsidRPr="00696F14">
        <w:rPr>
          <w:rFonts w:ascii="Arial" w:hAnsi="Arial" w:cs="Arial"/>
          <w:lang w:val="en-US"/>
        </w:rPr>
        <w:tab/>
      </w:r>
      <w:r w:rsidR="00DF2910" w:rsidRPr="00696F14">
        <w:rPr>
          <w:rFonts w:ascii="Arial" w:hAnsi="Arial" w:cs="Arial"/>
          <w:i/>
          <w:iCs/>
          <w:lang w:val="en-US"/>
        </w:rPr>
        <w:t>Asla Construction (Pty) Ltd v Buffalo City Metropolitan Municipality</w:t>
      </w:r>
      <w:r w:rsidR="00DF2910" w:rsidRPr="00696F14">
        <w:rPr>
          <w:rFonts w:ascii="Arial" w:hAnsi="Arial" w:cs="Arial"/>
          <w:lang w:val="en-US"/>
        </w:rPr>
        <w:t xml:space="preserve"> </w:t>
      </w:r>
      <w:r w:rsidRPr="00696F14">
        <w:rPr>
          <w:rFonts w:ascii="Arial" w:hAnsi="Arial" w:cs="Arial"/>
          <w:lang w:val="en-US"/>
        </w:rPr>
        <w:t>2017 (6) 360 (SCA)</w:t>
      </w:r>
      <w:r w:rsidR="00DF2910" w:rsidRPr="00696F14">
        <w:rPr>
          <w:rFonts w:ascii="Arial" w:hAnsi="Arial" w:cs="Arial"/>
          <w:lang w:val="en-US"/>
        </w:rPr>
        <w:t xml:space="preserve">, </w:t>
      </w:r>
      <w:r w:rsidRPr="00696F14">
        <w:rPr>
          <w:rFonts w:ascii="Arial" w:hAnsi="Arial" w:cs="Arial"/>
          <w:lang w:val="en-US"/>
        </w:rPr>
        <w:t>para [1</w:t>
      </w:r>
      <w:r w:rsidR="00DF2910" w:rsidRPr="00696F14">
        <w:rPr>
          <w:rFonts w:ascii="Arial" w:hAnsi="Arial" w:cs="Arial"/>
          <w:lang w:val="en-US"/>
        </w:rPr>
        <w:t>2] at 366 B to 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CFA705" w14:textId="77777777" w:rsidR="004E755B" w:rsidRPr="004E755B" w:rsidRDefault="00FB664A">
    <w:pPr>
      <w:pStyle w:val="Header"/>
      <w:jc w:val="right"/>
      <w:rPr>
        <w:b/>
      </w:rPr>
    </w:pPr>
    <w:r>
      <w:rPr>
        <w:b/>
      </w:rPr>
      <w:t>|</w:t>
    </w:r>
    <w:r w:rsidR="004E755B" w:rsidRPr="004E755B">
      <w:rPr>
        <w:b/>
      </w:rPr>
      <w:fldChar w:fldCharType="begin"/>
    </w:r>
    <w:r w:rsidR="004E755B" w:rsidRPr="004E755B">
      <w:rPr>
        <w:b/>
      </w:rPr>
      <w:instrText xml:space="preserve"> PAGE   \* MERGEFORMAT </w:instrText>
    </w:r>
    <w:r w:rsidR="004E755B" w:rsidRPr="004E755B">
      <w:rPr>
        <w:b/>
      </w:rPr>
      <w:fldChar w:fldCharType="separate"/>
    </w:r>
    <w:r w:rsidR="006C4312">
      <w:rPr>
        <w:b/>
        <w:noProof/>
      </w:rPr>
      <w:t>32</w:t>
    </w:r>
    <w:r w:rsidR="004E755B" w:rsidRPr="004E755B">
      <w:rPr>
        <w:b/>
      </w:rPr>
      <w:fldChar w:fldCharType="end"/>
    </w:r>
  </w:p>
  <w:p w14:paraId="4E472E40" w14:textId="77777777" w:rsidR="004E755B" w:rsidRDefault="004E75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132429"/>
    <w:multiLevelType w:val="hybridMultilevel"/>
    <w:tmpl w:val="5DDAEADE"/>
    <w:lvl w:ilvl="0" w:tplc="859E9736">
      <w:start w:val="1"/>
      <w:numFmt w:val="decimal"/>
      <w:lvlText w:val="(%1)"/>
      <w:lvlJc w:val="left"/>
      <w:pPr>
        <w:tabs>
          <w:tab w:val="num" w:pos="900"/>
        </w:tabs>
        <w:ind w:left="900"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nsid w:val="215D23CB"/>
    <w:multiLevelType w:val="hybridMultilevel"/>
    <w:tmpl w:val="C96E06F8"/>
    <w:lvl w:ilvl="0" w:tplc="0A0237B0">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2A42F31"/>
    <w:multiLevelType w:val="multilevel"/>
    <w:tmpl w:val="274CEF32"/>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6321687"/>
    <w:multiLevelType w:val="hybridMultilevel"/>
    <w:tmpl w:val="54A2630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264B5389"/>
    <w:multiLevelType w:val="multilevel"/>
    <w:tmpl w:val="10C838E4"/>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2C2A76F0"/>
    <w:multiLevelType w:val="multilevel"/>
    <w:tmpl w:val="01A6B2B8"/>
    <w:styleLink w:val="Style1"/>
    <w:lvl w:ilvl="0">
      <w:start w:val="1"/>
      <w:numFmt w:val="decimal"/>
      <w:lvlText w:val="[%1]"/>
      <w:lvlJc w:val="left"/>
      <w:pPr>
        <w:ind w:left="1080" w:hanging="360"/>
      </w:pPr>
      <w:rPr>
        <w:rFonts w:ascii="Arial" w:hAnsi="Arial" w:cs="Arial" w:hint="default"/>
        <w:b w:val="0"/>
        <w:i w:val="0"/>
      </w:rPr>
    </w:lvl>
    <w:lvl w:ilvl="1">
      <w:start w:val="1"/>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6">
    <w:nsid w:val="2CF5788C"/>
    <w:multiLevelType w:val="hybridMultilevel"/>
    <w:tmpl w:val="7EF04232"/>
    <w:lvl w:ilvl="0" w:tplc="D3726D28">
      <w:start w:val="1"/>
      <w:numFmt w:val="decimal"/>
      <w:lvlText w:val="%1."/>
      <w:lvlJc w:val="left"/>
      <w:pPr>
        <w:ind w:left="1215" w:hanging="855"/>
      </w:pPr>
      <w:rPr>
        <w:rFonts w:ascii="Arial" w:eastAsia="Calibri"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376A2B78"/>
    <w:multiLevelType w:val="hybridMultilevel"/>
    <w:tmpl w:val="D0BAF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D494A37"/>
    <w:multiLevelType w:val="multilevel"/>
    <w:tmpl w:val="832A57AE"/>
    <w:lvl w:ilvl="0">
      <w:start w:val="1"/>
      <w:numFmt w:val="decimal"/>
      <w:lvlText w:val="[%1]"/>
      <w:lvlJc w:val="left"/>
      <w:pPr>
        <w:ind w:left="0" w:firstLine="0"/>
      </w:pPr>
      <w:rPr>
        <w:rFonts w:ascii="Arial" w:hAnsi="Arial" w:cs="Arial" w:hint="default"/>
        <w:b w:val="0"/>
        <w:i w:val="0"/>
      </w:rPr>
    </w:lvl>
    <w:lvl w:ilvl="1">
      <w:start w:val="1"/>
      <w:numFmt w:val="decimal"/>
      <w:lvlText w:val="[%1.%2]"/>
      <w:lvlJc w:val="left"/>
      <w:pPr>
        <w:ind w:left="1985" w:hanging="851"/>
      </w:pPr>
      <w:rPr>
        <w:rFonts w:hint="default"/>
      </w:rPr>
    </w:lvl>
    <w:lvl w:ilvl="2">
      <w:start w:val="1"/>
      <w:numFmt w:val="decimal"/>
      <w:lvlText w:val="[%1.%2.%3]"/>
      <w:lvlJc w:val="left"/>
      <w:pPr>
        <w:ind w:left="2835" w:hanging="850"/>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9">
    <w:nsid w:val="450769E1"/>
    <w:multiLevelType w:val="hybridMultilevel"/>
    <w:tmpl w:val="2722CD6C"/>
    <w:lvl w:ilvl="0" w:tplc="75604D48">
      <w:start w:val="1"/>
      <w:numFmt w:val="lowerLetter"/>
      <w:lvlText w:val="(%1)"/>
      <w:lvlJc w:val="left"/>
      <w:pPr>
        <w:ind w:left="1494" w:hanging="360"/>
      </w:pPr>
      <w:rPr>
        <w:rFonts w:hint="default"/>
        <w:i/>
      </w:rPr>
    </w:lvl>
    <w:lvl w:ilvl="1" w:tplc="1C090019" w:tentative="1">
      <w:start w:val="1"/>
      <w:numFmt w:val="lowerLetter"/>
      <w:lvlText w:val="%2."/>
      <w:lvlJc w:val="left"/>
      <w:pPr>
        <w:ind w:left="2214" w:hanging="360"/>
      </w:pPr>
    </w:lvl>
    <w:lvl w:ilvl="2" w:tplc="1C09001B" w:tentative="1">
      <w:start w:val="1"/>
      <w:numFmt w:val="lowerRoman"/>
      <w:lvlText w:val="%3."/>
      <w:lvlJc w:val="right"/>
      <w:pPr>
        <w:ind w:left="2934" w:hanging="180"/>
      </w:pPr>
    </w:lvl>
    <w:lvl w:ilvl="3" w:tplc="1C09000F" w:tentative="1">
      <w:start w:val="1"/>
      <w:numFmt w:val="decimal"/>
      <w:lvlText w:val="%4."/>
      <w:lvlJc w:val="left"/>
      <w:pPr>
        <w:ind w:left="3654" w:hanging="360"/>
      </w:pPr>
    </w:lvl>
    <w:lvl w:ilvl="4" w:tplc="1C090019" w:tentative="1">
      <w:start w:val="1"/>
      <w:numFmt w:val="lowerLetter"/>
      <w:lvlText w:val="%5."/>
      <w:lvlJc w:val="left"/>
      <w:pPr>
        <w:ind w:left="4374" w:hanging="360"/>
      </w:pPr>
    </w:lvl>
    <w:lvl w:ilvl="5" w:tplc="1C09001B" w:tentative="1">
      <w:start w:val="1"/>
      <w:numFmt w:val="lowerRoman"/>
      <w:lvlText w:val="%6."/>
      <w:lvlJc w:val="right"/>
      <w:pPr>
        <w:ind w:left="5094" w:hanging="180"/>
      </w:pPr>
    </w:lvl>
    <w:lvl w:ilvl="6" w:tplc="1C09000F" w:tentative="1">
      <w:start w:val="1"/>
      <w:numFmt w:val="decimal"/>
      <w:lvlText w:val="%7."/>
      <w:lvlJc w:val="left"/>
      <w:pPr>
        <w:ind w:left="5814" w:hanging="360"/>
      </w:pPr>
    </w:lvl>
    <w:lvl w:ilvl="7" w:tplc="1C090019" w:tentative="1">
      <w:start w:val="1"/>
      <w:numFmt w:val="lowerLetter"/>
      <w:lvlText w:val="%8."/>
      <w:lvlJc w:val="left"/>
      <w:pPr>
        <w:ind w:left="6534" w:hanging="360"/>
      </w:pPr>
    </w:lvl>
    <w:lvl w:ilvl="8" w:tplc="1C09001B" w:tentative="1">
      <w:start w:val="1"/>
      <w:numFmt w:val="lowerRoman"/>
      <w:lvlText w:val="%9."/>
      <w:lvlJc w:val="right"/>
      <w:pPr>
        <w:ind w:left="7254" w:hanging="180"/>
      </w:pPr>
    </w:lvl>
  </w:abstractNum>
  <w:abstractNum w:abstractNumId="10">
    <w:nsid w:val="46D351C8"/>
    <w:multiLevelType w:val="multilevel"/>
    <w:tmpl w:val="9C947832"/>
    <w:lvl w:ilvl="0">
      <w:start w:val="1"/>
      <w:numFmt w:val="decimal"/>
      <w:lvlText w:val="[%1]"/>
      <w:lvlJc w:val="left"/>
      <w:pPr>
        <w:ind w:left="0" w:firstLine="0"/>
      </w:pPr>
      <w:rPr>
        <w:rFonts w:ascii="Arial" w:hAnsi="Arial" w:cs="Arial" w:hint="default"/>
        <w:b w:val="0"/>
        <w:i w:val="0"/>
      </w:rPr>
    </w:lvl>
    <w:lvl w:ilvl="1">
      <w:start w:val="1"/>
      <w:numFmt w:val="decimal"/>
      <w:lvlText w:val="[%1.%2]"/>
      <w:lvlJc w:val="left"/>
      <w:pPr>
        <w:ind w:left="1985" w:hanging="851"/>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1">
    <w:nsid w:val="475F4C49"/>
    <w:multiLevelType w:val="hybridMultilevel"/>
    <w:tmpl w:val="90D49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541596C"/>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58EA5734"/>
    <w:multiLevelType w:val="multilevel"/>
    <w:tmpl w:val="BADE7D62"/>
    <w:lvl w:ilvl="0">
      <w:start w:val="16"/>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6"/>
      <w:numFmt w:val="decimal"/>
      <w:lvlText w:val="[%3.1.1]"/>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5DE159B4"/>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5E3B4BFE"/>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60A979FA"/>
    <w:multiLevelType w:val="multilevel"/>
    <w:tmpl w:val="9C947832"/>
    <w:lvl w:ilvl="0">
      <w:start w:val="1"/>
      <w:numFmt w:val="decimal"/>
      <w:lvlText w:val="[%1]"/>
      <w:lvlJc w:val="left"/>
      <w:pPr>
        <w:ind w:left="0" w:firstLine="0"/>
      </w:pPr>
      <w:rPr>
        <w:rFonts w:ascii="Arial" w:hAnsi="Arial" w:cs="Arial" w:hint="default"/>
        <w:b w:val="0"/>
        <w:i w:val="0"/>
      </w:rPr>
    </w:lvl>
    <w:lvl w:ilvl="1">
      <w:start w:val="1"/>
      <w:numFmt w:val="decimal"/>
      <w:lvlText w:val="[%1.%2]"/>
      <w:lvlJc w:val="left"/>
      <w:pPr>
        <w:ind w:left="1985" w:hanging="851"/>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7">
    <w:nsid w:val="61653AD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62E945E3"/>
    <w:multiLevelType w:val="hybridMultilevel"/>
    <w:tmpl w:val="B45CD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399260F"/>
    <w:multiLevelType w:val="hybridMultilevel"/>
    <w:tmpl w:val="FFFFFFFF"/>
    <w:lvl w:ilvl="0" w:tplc="E2B258C2">
      <w:start w:val="1"/>
      <w:numFmt w:val="decimal"/>
      <w:lvlText w:val="[%1]"/>
      <w:lvlJc w:val="left"/>
      <w:pPr>
        <w:ind w:left="720" w:hanging="360"/>
      </w:pPr>
      <w:rPr>
        <w:rFonts w:cs="Times New Roman" w:hint="default"/>
        <w:color w:val="auto"/>
      </w:rPr>
    </w:lvl>
    <w:lvl w:ilvl="1" w:tplc="1C090019">
      <w:start w:val="1"/>
      <w:numFmt w:val="lowerLetter"/>
      <w:lvlText w:val="%2."/>
      <w:lvlJc w:val="left"/>
      <w:pPr>
        <w:ind w:left="1440" w:hanging="360"/>
      </w:pPr>
      <w:rPr>
        <w:rFonts w:cs="Times New Roman"/>
      </w:rPr>
    </w:lvl>
    <w:lvl w:ilvl="2" w:tplc="1C09001B">
      <w:start w:val="1"/>
      <w:numFmt w:val="lowerRoman"/>
      <w:lvlText w:val="%3."/>
      <w:lvlJc w:val="right"/>
      <w:pPr>
        <w:ind w:left="2160" w:hanging="180"/>
      </w:pPr>
      <w:rPr>
        <w:rFonts w:cs="Times New Roman"/>
      </w:rPr>
    </w:lvl>
    <w:lvl w:ilvl="3" w:tplc="445007BC">
      <w:start w:val="1"/>
      <w:numFmt w:val="lowerRoman"/>
      <w:lvlText w:val="(%4)"/>
      <w:lvlJc w:val="left"/>
      <w:pPr>
        <w:ind w:left="3240" w:hanging="720"/>
      </w:pPr>
      <w:rPr>
        <w:rFonts w:cs="Times New Roman" w:hint="default"/>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0">
    <w:nsid w:val="66756C39"/>
    <w:multiLevelType w:val="multilevel"/>
    <w:tmpl w:val="10C838E4"/>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67C4223A"/>
    <w:multiLevelType w:val="multilevel"/>
    <w:tmpl w:val="91FCE788"/>
    <w:lvl w:ilvl="0">
      <w:start w:val="13"/>
      <w:numFmt w:val="decimal"/>
      <w:lvlText w:val="[%1]"/>
      <w:lvlJc w:val="left"/>
      <w:pPr>
        <w:ind w:left="0" w:firstLine="0"/>
      </w:pPr>
      <w:rPr>
        <w:rFonts w:ascii="Arial" w:hAnsi="Arial" w:cs="Arial" w:hint="default"/>
        <w:b w:val="0"/>
        <w:i w:val="0"/>
      </w:rPr>
    </w:lvl>
    <w:lvl w:ilvl="1">
      <w:start w:val="1"/>
      <w:numFmt w:val="decimal"/>
      <w:lvlText w:val="[%1.%2]"/>
      <w:lvlJc w:val="left"/>
      <w:pPr>
        <w:ind w:left="1985" w:hanging="851"/>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22">
    <w:nsid w:val="6A0E706B"/>
    <w:multiLevelType w:val="multilevel"/>
    <w:tmpl w:val="26D2B8F2"/>
    <w:lvl w:ilvl="0">
      <w:start w:val="1"/>
      <w:numFmt w:val="decimal"/>
      <w:pStyle w:val="1"/>
      <w:isLgl/>
      <w:lvlText w:val="%1."/>
      <w:lvlJc w:val="left"/>
      <w:pPr>
        <w:ind w:left="567" w:hanging="567"/>
      </w:pPr>
      <w:rPr>
        <w:rFonts w:ascii="Arial" w:hAnsi="Arial" w:hint="default"/>
        <w:b w:val="0"/>
        <w:i w:val="0"/>
        <w:sz w:val="24"/>
      </w:rPr>
    </w:lvl>
    <w:lvl w:ilvl="1">
      <w:start w:val="1"/>
      <w:numFmt w:val="decimal"/>
      <w:pStyle w:val="2"/>
      <w:isLgl/>
      <w:lvlText w:val="%1.%2."/>
      <w:lvlJc w:val="left"/>
      <w:pPr>
        <w:ind w:left="1134" w:hanging="567"/>
      </w:pPr>
      <w:rPr>
        <w:rFonts w:ascii="Arial" w:hAnsi="Arial" w:hint="default"/>
        <w:b w:val="0"/>
        <w:i w:val="0"/>
        <w:sz w:val="24"/>
      </w:rPr>
    </w:lvl>
    <w:lvl w:ilvl="2">
      <w:start w:val="1"/>
      <w:numFmt w:val="decimal"/>
      <w:pStyle w:val="3"/>
      <w:isLgl/>
      <w:lvlText w:val="%1.%2.%3."/>
      <w:lvlJc w:val="left"/>
      <w:pPr>
        <w:ind w:left="1561" w:hanging="851"/>
      </w:pPr>
      <w:rPr>
        <w:rFonts w:ascii="Arial" w:hAnsi="Arial" w:hint="default"/>
        <w:b w:val="0"/>
        <w:i w:val="0"/>
        <w:sz w:val="24"/>
      </w:rPr>
    </w:lvl>
    <w:lvl w:ilvl="3">
      <w:start w:val="1"/>
      <w:numFmt w:val="decimal"/>
      <w:pStyle w:val="4"/>
      <w:lvlText w:val="%1.%2.%3.%4."/>
      <w:lvlJc w:val="left"/>
      <w:pPr>
        <w:ind w:left="2268" w:hanging="283"/>
      </w:pPr>
      <w:rPr>
        <w:rFonts w:ascii="Arial" w:hAnsi="Arial" w:hint="default"/>
        <w:b w:val="0"/>
        <w:i w:val="0"/>
        <w:sz w:val="24"/>
      </w:rPr>
    </w:lvl>
    <w:lvl w:ilvl="4">
      <w:start w:val="1"/>
      <w:numFmt w:val="decimal"/>
      <w:pStyle w:val="5"/>
      <w:lvlText w:val="%1.%2.%3.%4.%5."/>
      <w:lvlJc w:val="left"/>
      <w:pPr>
        <w:ind w:left="2439" w:hanging="792"/>
      </w:pPr>
      <w:rPr>
        <w:rFonts w:hint="default"/>
      </w:rPr>
    </w:lvl>
    <w:lvl w:ilvl="5">
      <w:start w:val="1"/>
      <w:numFmt w:val="decimal"/>
      <w:lvlText w:val="%1.%2.%3.%4.%5.%6."/>
      <w:lvlJc w:val="left"/>
      <w:pPr>
        <w:ind w:left="2943" w:hanging="936"/>
      </w:pPr>
      <w:rPr>
        <w:rFonts w:hint="default"/>
      </w:rPr>
    </w:lvl>
    <w:lvl w:ilvl="6">
      <w:start w:val="1"/>
      <w:numFmt w:val="decimal"/>
      <w:lvlText w:val="%1.%2.%3.%4.%5.%6.%7."/>
      <w:lvlJc w:val="left"/>
      <w:pPr>
        <w:ind w:left="3447" w:hanging="1080"/>
      </w:pPr>
      <w:rPr>
        <w:rFonts w:hint="default"/>
      </w:rPr>
    </w:lvl>
    <w:lvl w:ilvl="7">
      <w:start w:val="1"/>
      <w:numFmt w:val="decimal"/>
      <w:lvlText w:val="%1.%2.%3.%4.%5.%6.%7.%8."/>
      <w:lvlJc w:val="left"/>
      <w:pPr>
        <w:ind w:left="3951" w:hanging="1224"/>
      </w:pPr>
      <w:rPr>
        <w:rFonts w:hint="default"/>
      </w:rPr>
    </w:lvl>
    <w:lvl w:ilvl="8">
      <w:start w:val="1"/>
      <w:numFmt w:val="decimal"/>
      <w:lvlText w:val="%1.%2.%3.%4.%5.%6.%7.%8.%9."/>
      <w:lvlJc w:val="left"/>
      <w:pPr>
        <w:ind w:left="4527" w:hanging="1440"/>
      </w:pPr>
      <w:rPr>
        <w:rFonts w:hint="default"/>
      </w:rPr>
    </w:lvl>
  </w:abstractNum>
  <w:abstractNum w:abstractNumId="23">
    <w:nsid w:val="6E7D76D9"/>
    <w:multiLevelType w:val="multilevel"/>
    <w:tmpl w:val="B35A135E"/>
    <w:lvl w:ilvl="0">
      <w:start w:val="1"/>
      <w:numFmt w:val="decimal"/>
      <w:lvlText w:val="%1."/>
      <w:lvlJc w:val="center"/>
      <w:pPr>
        <w:ind w:left="4253" w:firstLine="0"/>
      </w:pPr>
      <w:rPr>
        <w:rFonts w:hint="default"/>
        <w:b w:val="0"/>
        <w:sz w:val="24"/>
        <w:szCs w:val="25"/>
      </w:rPr>
    </w:lvl>
    <w:lvl w:ilvl="1">
      <w:start w:val="1"/>
      <w:numFmt w:val="decimal"/>
      <w:lvlText w:val="%1.%2."/>
      <w:lvlJc w:val="left"/>
      <w:pPr>
        <w:ind w:left="851" w:hanging="851"/>
      </w:pPr>
      <w:rPr>
        <w:rFonts w:hint="default"/>
        <w:b w:val="0"/>
        <w:i w:val="0"/>
        <w:color w:val="auto"/>
        <w:sz w:val="24"/>
        <w:szCs w:val="25"/>
        <w:u w:val="none"/>
      </w:rPr>
    </w:lvl>
    <w:lvl w:ilvl="2">
      <w:start w:val="1"/>
      <w:numFmt w:val="decimal"/>
      <w:lvlText w:val="%1.%2.%3."/>
      <w:lvlJc w:val="left"/>
      <w:pPr>
        <w:ind w:left="1701" w:hanging="850"/>
      </w:pPr>
      <w:rPr>
        <w:rFonts w:hint="default"/>
        <w:b w:val="0"/>
        <w:bCs w:val="0"/>
        <w:i w:val="0"/>
        <w:iCs w:val="0"/>
        <w:sz w:val="24"/>
        <w:szCs w:val="25"/>
        <w:u w:val="none"/>
      </w:rPr>
    </w:lvl>
    <w:lvl w:ilvl="3">
      <w:start w:val="1"/>
      <w:numFmt w:val="decimal"/>
      <w:lvlText w:val="%1.%2.%3.%4."/>
      <w:lvlJc w:val="left"/>
      <w:pPr>
        <w:ind w:left="2835" w:hanging="1134"/>
      </w:pPr>
      <w:rPr>
        <w:rFonts w:hint="default"/>
        <w:u w:val="none"/>
      </w:rPr>
    </w:lvl>
    <w:lvl w:ilvl="4">
      <w:start w:val="1"/>
      <w:numFmt w:val="decimal"/>
      <w:lvlText w:val="%1.%2.%3.%4.%5."/>
      <w:lvlJc w:val="left"/>
      <w:pPr>
        <w:ind w:left="4253" w:hanging="1418"/>
      </w:pPr>
      <w:rPr>
        <w:rFonts w:hint="default"/>
        <w:u w:val="none"/>
      </w:rPr>
    </w:lvl>
    <w:lvl w:ilvl="5">
      <w:start w:val="1"/>
      <w:numFmt w:val="decimal"/>
      <w:lvlText w:val="%1.%2.%3.%4.%5.%6."/>
      <w:lvlJc w:val="left"/>
      <w:pPr>
        <w:ind w:left="2736" w:hanging="936"/>
      </w:pPr>
      <w:rPr>
        <w:rFonts w:hint="default"/>
        <w:u w:val="none"/>
      </w:rPr>
    </w:lvl>
    <w:lvl w:ilvl="6">
      <w:start w:val="1"/>
      <w:numFmt w:val="decimal"/>
      <w:lvlText w:val="%1.%2.%3.%4.%5.%6.%7."/>
      <w:lvlJc w:val="left"/>
      <w:pPr>
        <w:ind w:left="3240" w:hanging="1080"/>
      </w:pPr>
      <w:rPr>
        <w:rFonts w:hint="default"/>
        <w:u w:val="none"/>
      </w:rPr>
    </w:lvl>
    <w:lvl w:ilvl="7">
      <w:start w:val="1"/>
      <w:numFmt w:val="decimal"/>
      <w:lvlText w:val="%1.%2.%3.%4.%5.%6.%7.%8."/>
      <w:lvlJc w:val="left"/>
      <w:pPr>
        <w:ind w:left="3744" w:hanging="1224"/>
      </w:pPr>
      <w:rPr>
        <w:rFonts w:hint="default"/>
        <w:u w:val="none"/>
      </w:rPr>
    </w:lvl>
    <w:lvl w:ilvl="8">
      <w:start w:val="1"/>
      <w:numFmt w:val="decimal"/>
      <w:lvlText w:val="%1.%2.%3.%4.%5.%6.%7.%8.%9."/>
      <w:lvlJc w:val="left"/>
      <w:pPr>
        <w:ind w:left="4320" w:hanging="1440"/>
      </w:pPr>
      <w:rPr>
        <w:rFonts w:hint="default"/>
        <w:u w:val="none"/>
      </w:rPr>
    </w:lvl>
  </w:abstractNum>
  <w:abstractNum w:abstractNumId="24">
    <w:nsid w:val="773A3287"/>
    <w:multiLevelType w:val="multilevel"/>
    <w:tmpl w:val="11D47250"/>
    <w:lvl w:ilvl="0">
      <w:start w:val="16"/>
      <w:numFmt w:val="decimal"/>
      <w:lvlText w:val="[%1]"/>
      <w:lvlJc w:val="left"/>
      <w:pPr>
        <w:ind w:left="360" w:hanging="360"/>
      </w:pPr>
      <w:rPr>
        <w:rFonts w:ascii="Arial" w:hAnsi="Arial" w:cs="Arial" w:hint="default"/>
        <w:b w:val="0"/>
        <w:i w:val="0"/>
      </w:rPr>
    </w:lvl>
    <w:lvl w:ilvl="1">
      <w:start w:val="2"/>
      <w:numFmt w:val="decimal"/>
      <w:lvlText w:val="[%1.%2]"/>
      <w:lvlJc w:val="left"/>
      <w:pPr>
        <w:ind w:left="792" w:hanging="432"/>
      </w:pPr>
      <w:rPr>
        <w:rFonts w:hint="default"/>
      </w:rPr>
    </w:lvl>
    <w:lvl w:ilvl="2">
      <w:start w:val="16"/>
      <w:numFmt w:val="decimal"/>
      <w:lvlText w:val="[%3.1.1]"/>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78D7343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792C592A"/>
    <w:multiLevelType w:val="multilevel"/>
    <w:tmpl w:val="01A6B2B8"/>
    <w:numStyleLink w:val="Style1"/>
  </w:abstractNum>
  <w:num w:numId="1">
    <w:abstractNumId w:val="12"/>
  </w:num>
  <w:num w:numId="2">
    <w:abstractNumId w:val="14"/>
  </w:num>
  <w:num w:numId="3">
    <w:abstractNumId w:val="15"/>
  </w:num>
  <w:num w:numId="4">
    <w:abstractNumId w:val="8"/>
  </w:num>
  <w:num w:numId="5">
    <w:abstractNumId w:val="1"/>
  </w:num>
  <w:num w:numId="6">
    <w:abstractNumId w:val="2"/>
  </w:num>
  <w:num w:numId="7">
    <w:abstractNumId w:val="20"/>
  </w:num>
  <w:num w:numId="8">
    <w:abstractNumId w:val="4"/>
  </w:num>
  <w:num w:numId="9">
    <w:abstractNumId w:val="5"/>
  </w:num>
  <w:num w:numId="10">
    <w:abstractNumId w:val="26"/>
  </w:num>
  <w:num w:numId="11">
    <w:abstractNumId w:val="13"/>
  </w:num>
  <w:num w:numId="12">
    <w:abstractNumId w:val="24"/>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7"/>
  </w:num>
  <w:num w:numId="16">
    <w:abstractNumId w:val="18"/>
  </w:num>
  <w:num w:numId="17">
    <w:abstractNumId w:val="11"/>
  </w:num>
  <w:num w:numId="18">
    <w:abstractNumId w:val="3"/>
  </w:num>
  <w:num w:numId="19">
    <w:abstractNumId w:val="10"/>
  </w:num>
  <w:num w:numId="20">
    <w:abstractNumId w:val="19"/>
  </w:num>
  <w:num w:numId="21">
    <w:abstractNumId w:val="16"/>
  </w:num>
  <w:num w:numId="22">
    <w:abstractNumId w:val="21"/>
  </w:num>
  <w:num w:numId="23">
    <w:abstractNumId w:val="6"/>
  </w:num>
  <w:num w:numId="24">
    <w:abstractNumId w:val="17"/>
  </w:num>
  <w:num w:numId="25">
    <w:abstractNumId w:val="22"/>
  </w:num>
  <w:num w:numId="26">
    <w:abstractNumId w:val="25"/>
  </w:num>
  <w:num w:numId="27">
    <w:abstractNumId w:val="9"/>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F0B"/>
    <w:rsid w:val="000000DC"/>
    <w:rsid w:val="000107FA"/>
    <w:rsid w:val="00015B6B"/>
    <w:rsid w:val="00022387"/>
    <w:rsid w:val="0003349C"/>
    <w:rsid w:val="000360AB"/>
    <w:rsid w:val="00036F39"/>
    <w:rsid w:val="000372FE"/>
    <w:rsid w:val="00037F0B"/>
    <w:rsid w:val="00055373"/>
    <w:rsid w:val="00060AC7"/>
    <w:rsid w:val="00061684"/>
    <w:rsid w:val="00095E9A"/>
    <w:rsid w:val="000A1088"/>
    <w:rsid w:val="000A3524"/>
    <w:rsid w:val="000B38FB"/>
    <w:rsid w:val="000C69D6"/>
    <w:rsid w:val="000C6C08"/>
    <w:rsid w:val="000D0A42"/>
    <w:rsid w:val="000D73C1"/>
    <w:rsid w:val="000E171B"/>
    <w:rsid w:val="000E3544"/>
    <w:rsid w:val="000E47D3"/>
    <w:rsid w:val="000F386C"/>
    <w:rsid w:val="000F43B0"/>
    <w:rsid w:val="00102DAB"/>
    <w:rsid w:val="001105A6"/>
    <w:rsid w:val="001108E9"/>
    <w:rsid w:val="001131F4"/>
    <w:rsid w:val="00124D3D"/>
    <w:rsid w:val="00132CE5"/>
    <w:rsid w:val="0013314F"/>
    <w:rsid w:val="00133260"/>
    <w:rsid w:val="00140158"/>
    <w:rsid w:val="00140AD7"/>
    <w:rsid w:val="00143050"/>
    <w:rsid w:val="001626B6"/>
    <w:rsid w:val="00167BFE"/>
    <w:rsid w:val="00167F8E"/>
    <w:rsid w:val="001752B9"/>
    <w:rsid w:val="00177EA0"/>
    <w:rsid w:val="00184F16"/>
    <w:rsid w:val="00186827"/>
    <w:rsid w:val="001B0AD7"/>
    <w:rsid w:val="001B7E59"/>
    <w:rsid w:val="001D53DA"/>
    <w:rsid w:val="00200EE4"/>
    <w:rsid w:val="0020199D"/>
    <w:rsid w:val="00201FDE"/>
    <w:rsid w:val="0021222B"/>
    <w:rsid w:val="00220549"/>
    <w:rsid w:val="0023494F"/>
    <w:rsid w:val="002526B3"/>
    <w:rsid w:val="00277947"/>
    <w:rsid w:val="00287434"/>
    <w:rsid w:val="002903FC"/>
    <w:rsid w:val="002A6121"/>
    <w:rsid w:val="002B0ADC"/>
    <w:rsid w:val="002B0D56"/>
    <w:rsid w:val="002B1EAD"/>
    <w:rsid w:val="002C36BD"/>
    <w:rsid w:val="002C656F"/>
    <w:rsid w:val="002F46D8"/>
    <w:rsid w:val="002F7E8C"/>
    <w:rsid w:val="00302030"/>
    <w:rsid w:val="00302158"/>
    <w:rsid w:val="003022EF"/>
    <w:rsid w:val="003038A8"/>
    <w:rsid w:val="003152A3"/>
    <w:rsid w:val="0031653D"/>
    <w:rsid w:val="0032265D"/>
    <w:rsid w:val="00322ED1"/>
    <w:rsid w:val="00333F1B"/>
    <w:rsid w:val="00343016"/>
    <w:rsid w:val="00360E65"/>
    <w:rsid w:val="00376739"/>
    <w:rsid w:val="003A405D"/>
    <w:rsid w:val="003A5F54"/>
    <w:rsid w:val="003A7FB5"/>
    <w:rsid w:val="003B6ECC"/>
    <w:rsid w:val="003D101A"/>
    <w:rsid w:val="003D1D0F"/>
    <w:rsid w:val="003D3EF1"/>
    <w:rsid w:val="003D4E2A"/>
    <w:rsid w:val="003D6AFB"/>
    <w:rsid w:val="003E304F"/>
    <w:rsid w:val="003F1E18"/>
    <w:rsid w:val="003F5B11"/>
    <w:rsid w:val="003F62B2"/>
    <w:rsid w:val="0040141C"/>
    <w:rsid w:val="004239A7"/>
    <w:rsid w:val="0042480A"/>
    <w:rsid w:val="00430A0E"/>
    <w:rsid w:val="0043145F"/>
    <w:rsid w:val="00432C19"/>
    <w:rsid w:val="00432DC0"/>
    <w:rsid w:val="004548A4"/>
    <w:rsid w:val="00462530"/>
    <w:rsid w:val="00471A24"/>
    <w:rsid w:val="00490C43"/>
    <w:rsid w:val="004B3ECE"/>
    <w:rsid w:val="004B782D"/>
    <w:rsid w:val="004C273A"/>
    <w:rsid w:val="004C4FC6"/>
    <w:rsid w:val="004E755B"/>
    <w:rsid w:val="005019B9"/>
    <w:rsid w:val="00512F1C"/>
    <w:rsid w:val="00532BB3"/>
    <w:rsid w:val="005459B7"/>
    <w:rsid w:val="00554504"/>
    <w:rsid w:val="00561F69"/>
    <w:rsid w:val="005634B5"/>
    <w:rsid w:val="00565B71"/>
    <w:rsid w:val="005748AE"/>
    <w:rsid w:val="00594546"/>
    <w:rsid w:val="005A78BB"/>
    <w:rsid w:val="005B1F46"/>
    <w:rsid w:val="005C5CE4"/>
    <w:rsid w:val="005D0268"/>
    <w:rsid w:val="005D115A"/>
    <w:rsid w:val="005D49A0"/>
    <w:rsid w:val="005F62DC"/>
    <w:rsid w:val="00607CF0"/>
    <w:rsid w:val="00607ECD"/>
    <w:rsid w:val="00614505"/>
    <w:rsid w:val="0061627B"/>
    <w:rsid w:val="00624259"/>
    <w:rsid w:val="00630295"/>
    <w:rsid w:val="00630D83"/>
    <w:rsid w:val="006323B4"/>
    <w:rsid w:val="00640933"/>
    <w:rsid w:val="00655E72"/>
    <w:rsid w:val="00656057"/>
    <w:rsid w:val="00656860"/>
    <w:rsid w:val="006571EB"/>
    <w:rsid w:val="006603DA"/>
    <w:rsid w:val="00676024"/>
    <w:rsid w:val="00680D95"/>
    <w:rsid w:val="00683CA6"/>
    <w:rsid w:val="00684C4F"/>
    <w:rsid w:val="00695214"/>
    <w:rsid w:val="00696F14"/>
    <w:rsid w:val="006A13BD"/>
    <w:rsid w:val="006A3BF7"/>
    <w:rsid w:val="006B1B26"/>
    <w:rsid w:val="006C0A13"/>
    <w:rsid w:val="006C4312"/>
    <w:rsid w:val="006D23B0"/>
    <w:rsid w:val="006E2FC4"/>
    <w:rsid w:val="006E302C"/>
    <w:rsid w:val="006E45F8"/>
    <w:rsid w:val="006F077F"/>
    <w:rsid w:val="00701E72"/>
    <w:rsid w:val="007139BC"/>
    <w:rsid w:val="00716E40"/>
    <w:rsid w:val="00727977"/>
    <w:rsid w:val="0073038F"/>
    <w:rsid w:val="00733291"/>
    <w:rsid w:val="00735355"/>
    <w:rsid w:val="007374C1"/>
    <w:rsid w:val="00770F21"/>
    <w:rsid w:val="00775EC0"/>
    <w:rsid w:val="007873F7"/>
    <w:rsid w:val="00790CFD"/>
    <w:rsid w:val="00796DCA"/>
    <w:rsid w:val="007B4977"/>
    <w:rsid w:val="007B49DE"/>
    <w:rsid w:val="007D41B8"/>
    <w:rsid w:val="00801B18"/>
    <w:rsid w:val="00811C90"/>
    <w:rsid w:val="008238F0"/>
    <w:rsid w:val="00842BD4"/>
    <w:rsid w:val="008559A6"/>
    <w:rsid w:val="008623EB"/>
    <w:rsid w:val="00865B28"/>
    <w:rsid w:val="008721BB"/>
    <w:rsid w:val="008748BF"/>
    <w:rsid w:val="00877674"/>
    <w:rsid w:val="0089225F"/>
    <w:rsid w:val="00895871"/>
    <w:rsid w:val="008A3D6E"/>
    <w:rsid w:val="008A6F4B"/>
    <w:rsid w:val="008B482A"/>
    <w:rsid w:val="008C4234"/>
    <w:rsid w:val="008C6DAA"/>
    <w:rsid w:val="008C71F7"/>
    <w:rsid w:val="008C78E0"/>
    <w:rsid w:val="008D7CFC"/>
    <w:rsid w:val="0090117E"/>
    <w:rsid w:val="00912BD4"/>
    <w:rsid w:val="00947E88"/>
    <w:rsid w:val="00950EF0"/>
    <w:rsid w:val="009539FB"/>
    <w:rsid w:val="009570D5"/>
    <w:rsid w:val="009639FB"/>
    <w:rsid w:val="00966C9C"/>
    <w:rsid w:val="00975783"/>
    <w:rsid w:val="00980BE9"/>
    <w:rsid w:val="009873AF"/>
    <w:rsid w:val="009B0EEE"/>
    <w:rsid w:val="009C3FF1"/>
    <w:rsid w:val="009C5419"/>
    <w:rsid w:val="009C67F9"/>
    <w:rsid w:val="009D5642"/>
    <w:rsid w:val="009D7671"/>
    <w:rsid w:val="009E12BC"/>
    <w:rsid w:val="009E2610"/>
    <w:rsid w:val="009F26CE"/>
    <w:rsid w:val="009F652B"/>
    <w:rsid w:val="00A020B8"/>
    <w:rsid w:val="00A052B3"/>
    <w:rsid w:val="00A1023C"/>
    <w:rsid w:val="00A1732E"/>
    <w:rsid w:val="00A3272F"/>
    <w:rsid w:val="00A32E5A"/>
    <w:rsid w:val="00A45FD8"/>
    <w:rsid w:val="00A50761"/>
    <w:rsid w:val="00A55CF3"/>
    <w:rsid w:val="00A55ED7"/>
    <w:rsid w:val="00A61BA8"/>
    <w:rsid w:val="00A90C74"/>
    <w:rsid w:val="00AA0D8B"/>
    <w:rsid w:val="00AB17B4"/>
    <w:rsid w:val="00AB2019"/>
    <w:rsid w:val="00AB52DF"/>
    <w:rsid w:val="00AB6DC4"/>
    <w:rsid w:val="00AD62E3"/>
    <w:rsid w:val="00AE48BA"/>
    <w:rsid w:val="00AE7BE7"/>
    <w:rsid w:val="00AF1655"/>
    <w:rsid w:val="00B00044"/>
    <w:rsid w:val="00B0201E"/>
    <w:rsid w:val="00B1141B"/>
    <w:rsid w:val="00B21C88"/>
    <w:rsid w:val="00B21FE0"/>
    <w:rsid w:val="00B22F20"/>
    <w:rsid w:val="00B247BE"/>
    <w:rsid w:val="00B268F6"/>
    <w:rsid w:val="00B340DD"/>
    <w:rsid w:val="00B37D3C"/>
    <w:rsid w:val="00B42C23"/>
    <w:rsid w:val="00B44AA4"/>
    <w:rsid w:val="00B55149"/>
    <w:rsid w:val="00B60E9C"/>
    <w:rsid w:val="00B87574"/>
    <w:rsid w:val="00BA116B"/>
    <w:rsid w:val="00BD1977"/>
    <w:rsid w:val="00BD4925"/>
    <w:rsid w:val="00BD6AEB"/>
    <w:rsid w:val="00BD6FE7"/>
    <w:rsid w:val="00BE0971"/>
    <w:rsid w:val="00BE3C4D"/>
    <w:rsid w:val="00BF4E97"/>
    <w:rsid w:val="00C04AE0"/>
    <w:rsid w:val="00C05135"/>
    <w:rsid w:val="00C067A5"/>
    <w:rsid w:val="00C07D4F"/>
    <w:rsid w:val="00C12589"/>
    <w:rsid w:val="00C171B1"/>
    <w:rsid w:val="00C2319A"/>
    <w:rsid w:val="00C352E7"/>
    <w:rsid w:val="00C35F19"/>
    <w:rsid w:val="00C47605"/>
    <w:rsid w:val="00C57647"/>
    <w:rsid w:val="00C5798F"/>
    <w:rsid w:val="00C757EE"/>
    <w:rsid w:val="00C928F0"/>
    <w:rsid w:val="00CB12F7"/>
    <w:rsid w:val="00CB1C98"/>
    <w:rsid w:val="00CC1528"/>
    <w:rsid w:val="00CD0C98"/>
    <w:rsid w:val="00CD4F3F"/>
    <w:rsid w:val="00CF3D02"/>
    <w:rsid w:val="00D04002"/>
    <w:rsid w:val="00D0475F"/>
    <w:rsid w:val="00D052D3"/>
    <w:rsid w:val="00D22C92"/>
    <w:rsid w:val="00D35D17"/>
    <w:rsid w:val="00D440FD"/>
    <w:rsid w:val="00D45BF6"/>
    <w:rsid w:val="00D53D37"/>
    <w:rsid w:val="00D54101"/>
    <w:rsid w:val="00D56AA2"/>
    <w:rsid w:val="00D64A8F"/>
    <w:rsid w:val="00D65E21"/>
    <w:rsid w:val="00D72A97"/>
    <w:rsid w:val="00D876C0"/>
    <w:rsid w:val="00D9495E"/>
    <w:rsid w:val="00DA75AF"/>
    <w:rsid w:val="00DB0382"/>
    <w:rsid w:val="00DB2E6C"/>
    <w:rsid w:val="00DB47B1"/>
    <w:rsid w:val="00DD1FE3"/>
    <w:rsid w:val="00DD48E2"/>
    <w:rsid w:val="00DD5CF5"/>
    <w:rsid w:val="00DE4F0B"/>
    <w:rsid w:val="00DF183F"/>
    <w:rsid w:val="00DF2910"/>
    <w:rsid w:val="00E01A2F"/>
    <w:rsid w:val="00E06432"/>
    <w:rsid w:val="00E32C8E"/>
    <w:rsid w:val="00E55634"/>
    <w:rsid w:val="00E57FA4"/>
    <w:rsid w:val="00E84B53"/>
    <w:rsid w:val="00E91887"/>
    <w:rsid w:val="00E961B0"/>
    <w:rsid w:val="00EA3959"/>
    <w:rsid w:val="00EA58DD"/>
    <w:rsid w:val="00EC5C9D"/>
    <w:rsid w:val="00EF678D"/>
    <w:rsid w:val="00EF78B5"/>
    <w:rsid w:val="00F0057C"/>
    <w:rsid w:val="00F02493"/>
    <w:rsid w:val="00F27635"/>
    <w:rsid w:val="00F35EC6"/>
    <w:rsid w:val="00F51794"/>
    <w:rsid w:val="00F602A3"/>
    <w:rsid w:val="00FA0608"/>
    <w:rsid w:val="00FA429D"/>
    <w:rsid w:val="00FA4B30"/>
    <w:rsid w:val="00FB664A"/>
    <w:rsid w:val="00FC0D41"/>
    <w:rsid w:val="00FC4FE1"/>
    <w:rsid w:val="00FD3D21"/>
    <w:rsid w:val="00FE3F42"/>
    <w:rsid w:val="00FE47F3"/>
    <w:rsid w:val="00FE5304"/>
    <w:rsid w:val="00FE59B2"/>
    <w:rsid w:val="00FE6A33"/>
    <w:rsid w:val="00FF37E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96CD7"/>
  <w15:docId w15:val="{F7BB7EE0-E5A6-4155-B097-8B0374C10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en-ZA" w:eastAsia="en-Z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2DC0"/>
    <w:pPr>
      <w:spacing w:after="200" w:line="276" w:lineRule="auto"/>
    </w:pPr>
    <w:rPr>
      <w:sz w:val="25"/>
      <w:szCs w:val="24"/>
      <w:lang w:val="en-GB" w:eastAsia="en-US"/>
    </w:rPr>
  </w:style>
  <w:style w:type="paragraph" w:styleId="Heading1">
    <w:name w:val="heading 1"/>
    <w:basedOn w:val="Normal"/>
    <w:next w:val="Normal"/>
    <w:link w:val="Heading1Char"/>
    <w:qFormat/>
    <w:rsid w:val="000372FE"/>
    <w:pPr>
      <w:keepNext/>
      <w:tabs>
        <w:tab w:val="left" w:pos="720"/>
        <w:tab w:val="left" w:pos="1680"/>
        <w:tab w:val="left" w:pos="2760"/>
        <w:tab w:val="right" w:pos="8040"/>
      </w:tabs>
      <w:spacing w:after="0" w:line="240" w:lineRule="auto"/>
      <w:jc w:val="center"/>
      <w:outlineLvl w:val="0"/>
    </w:pPr>
    <w:rPr>
      <w:rFonts w:eastAsia="Times New Roman"/>
      <w:b/>
      <w:bCs/>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9E2610"/>
    <w:pPr>
      <w:framePr w:w="7920" w:h="1980" w:hRule="exact" w:hSpace="180" w:wrap="auto" w:hAnchor="page" w:xAlign="center" w:yAlign="bottom"/>
      <w:spacing w:after="0" w:line="240" w:lineRule="auto"/>
      <w:ind w:left="2880"/>
    </w:pPr>
    <w:rPr>
      <w:rFonts w:ascii="Cambria" w:eastAsia="Times New Roman" w:hAnsi="Cambria" w:cs="Times New Roman"/>
      <w:sz w:val="28"/>
    </w:rPr>
  </w:style>
  <w:style w:type="paragraph" w:styleId="EnvelopeReturn">
    <w:name w:val="envelope return"/>
    <w:basedOn w:val="Normal"/>
    <w:uiPriority w:val="99"/>
    <w:semiHidden/>
    <w:unhideWhenUsed/>
    <w:rsid w:val="00594546"/>
    <w:pPr>
      <w:spacing w:after="0" w:line="240" w:lineRule="auto"/>
    </w:pPr>
    <w:rPr>
      <w:rFonts w:ascii="Cambria" w:eastAsia="Times New Roman" w:hAnsi="Cambria" w:cs="Times New Roman"/>
      <w:sz w:val="20"/>
      <w:szCs w:val="20"/>
    </w:rPr>
  </w:style>
  <w:style w:type="table" w:styleId="TableGrid">
    <w:name w:val="Table Grid"/>
    <w:basedOn w:val="TableNormal"/>
    <w:uiPriority w:val="59"/>
    <w:rsid w:val="00C051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107FA"/>
    <w:pPr>
      <w:tabs>
        <w:tab w:val="center" w:pos="4513"/>
        <w:tab w:val="right" w:pos="9026"/>
      </w:tabs>
    </w:pPr>
  </w:style>
  <w:style w:type="character" w:customStyle="1" w:styleId="HeaderChar">
    <w:name w:val="Header Char"/>
    <w:link w:val="Header"/>
    <w:uiPriority w:val="99"/>
    <w:rsid w:val="000107FA"/>
    <w:rPr>
      <w:sz w:val="25"/>
      <w:szCs w:val="24"/>
      <w:lang w:val="en-GB" w:eastAsia="en-US"/>
    </w:rPr>
  </w:style>
  <w:style w:type="paragraph" w:styleId="Footer">
    <w:name w:val="footer"/>
    <w:basedOn w:val="Normal"/>
    <w:link w:val="FooterChar"/>
    <w:uiPriority w:val="99"/>
    <w:unhideWhenUsed/>
    <w:rsid w:val="000107FA"/>
    <w:pPr>
      <w:tabs>
        <w:tab w:val="center" w:pos="4513"/>
        <w:tab w:val="right" w:pos="9026"/>
      </w:tabs>
    </w:pPr>
  </w:style>
  <w:style w:type="character" w:customStyle="1" w:styleId="FooterChar">
    <w:name w:val="Footer Char"/>
    <w:link w:val="Footer"/>
    <w:uiPriority w:val="99"/>
    <w:rsid w:val="000107FA"/>
    <w:rPr>
      <w:sz w:val="25"/>
      <w:szCs w:val="24"/>
      <w:lang w:val="en-GB" w:eastAsia="en-US"/>
    </w:rPr>
  </w:style>
  <w:style w:type="character" w:customStyle="1" w:styleId="Heading1Char">
    <w:name w:val="Heading 1 Char"/>
    <w:link w:val="Heading1"/>
    <w:rsid w:val="000372FE"/>
    <w:rPr>
      <w:rFonts w:eastAsia="Times New Roman"/>
      <w:b/>
      <w:bCs/>
      <w:sz w:val="24"/>
      <w:lang w:val="en-GB" w:eastAsia="en-GB"/>
    </w:rPr>
  </w:style>
  <w:style w:type="paragraph" w:styleId="BodyText">
    <w:name w:val="Body Text"/>
    <w:basedOn w:val="Normal"/>
    <w:link w:val="BodyTextChar"/>
    <w:semiHidden/>
    <w:rsid w:val="000372FE"/>
    <w:pPr>
      <w:tabs>
        <w:tab w:val="left" w:pos="720"/>
        <w:tab w:val="left" w:pos="1680"/>
        <w:tab w:val="left" w:pos="2760"/>
        <w:tab w:val="right" w:pos="8040"/>
      </w:tabs>
      <w:spacing w:after="0" w:line="480" w:lineRule="auto"/>
      <w:jc w:val="both"/>
    </w:pPr>
    <w:rPr>
      <w:rFonts w:eastAsia="Times New Roman" w:cs="Times New Roman"/>
      <w:sz w:val="24"/>
      <w:szCs w:val="20"/>
      <w:lang w:val="x-none" w:eastAsia="x-none"/>
    </w:rPr>
  </w:style>
  <w:style w:type="character" w:customStyle="1" w:styleId="BodyTextChar">
    <w:name w:val="Body Text Char"/>
    <w:link w:val="BodyText"/>
    <w:semiHidden/>
    <w:rsid w:val="000372FE"/>
    <w:rPr>
      <w:rFonts w:eastAsia="Times New Roman" w:cs="Times New Roman"/>
      <w:sz w:val="24"/>
      <w:lang w:val="x-none" w:eastAsia="x-none"/>
    </w:rPr>
  </w:style>
  <w:style w:type="numbering" w:customStyle="1" w:styleId="Style1">
    <w:name w:val="Style1"/>
    <w:uiPriority w:val="99"/>
    <w:rsid w:val="00BD1977"/>
    <w:pPr>
      <w:numPr>
        <w:numId w:val="9"/>
      </w:numPr>
    </w:pPr>
  </w:style>
  <w:style w:type="paragraph" w:styleId="ListParagraph">
    <w:name w:val="List Paragraph"/>
    <w:basedOn w:val="Normal"/>
    <w:link w:val="ListParagraphChar"/>
    <w:uiPriority w:val="34"/>
    <w:qFormat/>
    <w:rsid w:val="00947E88"/>
    <w:pPr>
      <w:ind w:left="720"/>
    </w:pPr>
  </w:style>
  <w:style w:type="paragraph" w:styleId="FootnoteText">
    <w:name w:val="footnote text"/>
    <w:aliases w:val="Footnote Text Char1,Footnote Text Char Char,Footnote Text Char1 Char Char,Footnote Text Char Char Char Char Char,Footnote Text Char Char1 Char Char,(NECG) Footnote Text,ALTS FOOTNOTE,AR Footnote Text,Footnote text Char,Char Char Char,Car,f"/>
    <w:basedOn w:val="Normal"/>
    <w:link w:val="FootnoteTextChar"/>
    <w:uiPriority w:val="99"/>
    <w:unhideWhenUsed/>
    <w:qFormat/>
    <w:rsid w:val="003B6ECC"/>
    <w:pPr>
      <w:spacing w:after="0" w:line="240" w:lineRule="auto"/>
    </w:pPr>
    <w:rPr>
      <w:rFonts w:ascii="Calibri" w:eastAsia="Times New Roman" w:hAnsi="Calibri" w:cs="Times New Roman"/>
      <w:sz w:val="20"/>
      <w:szCs w:val="20"/>
      <w:lang w:val="en-ZA"/>
    </w:rPr>
  </w:style>
  <w:style w:type="character" w:customStyle="1" w:styleId="FootnoteTextChar">
    <w:name w:val="Footnote Text Char"/>
    <w:aliases w:val="Footnote Text Char1 Char,Footnote Text Char Char Char,Footnote Text Char1 Char Char Char,Footnote Text Char Char Char Char Char Char,Footnote Text Char Char1 Char Char Char,(NECG) Footnote Text Char,ALTS FOOTNOTE Char,Car Char,f Char"/>
    <w:link w:val="FootnoteText"/>
    <w:uiPriority w:val="99"/>
    <w:rsid w:val="003B6ECC"/>
    <w:rPr>
      <w:rFonts w:ascii="Calibri" w:eastAsia="Times New Roman" w:hAnsi="Calibri" w:cs="Times New Roman"/>
      <w:lang w:eastAsia="en-US"/>
    </w:rPr>
  </w:style>
  <w:style w:type="character" w:styleId="FootnoteReference">
    <w:name w:val="footnote reference"/>
    <w:aliases w:val="(NECG) Footnote Reference,Ref,de nota al pie,註腳內容,Footnotes refss,Heading 6 Char1,do not use4 Char1,Footnote symbol,Style 12,Footnote,Appel note de bas de page,fr,Footnote Reference + Superscript,Bow_Footnote Reference,Ref1,11 pt,Nota"/>
    <w:uiPriority w:val="99"/>
    <w:unhideWhenUsed/>
    <w:qFormat/>
    <w:rsid w:val="003B6ECC"/>
    <w:rPr>
      <w:rFonts w:cs="Times New Roman"/>
      <w:vertAlign w:val="superscript"/>
    </w:rPr>
  </w:style>
  <w:style w:type="paragraph" w:customStyle="1" w:styleId="1">
    <w:name w:val="1"/>
    <w:basedOn w:val="Normal"/>
    <w:link w:val="1Char"/>
    <w:qFormat/>
    <w:rsid w:val="009F652B"/>
    <w:pPr>
      <w:numPr>
        <w:numId w:val="25"/>
      </w:numPr>
      <w:adjustRightInd w:val="0"/>
      <w:spacing w:before="240" w:after="240" w:line="480" w:lineRule="auto"/>
      <w:jc w:val="both"/>
    </w:pPr>
    <w:rPr>
      <w:rFonts w:eastAsia="Times New Roman"/>
      <w:iCs/>
      <w:color w:val="000000"/>
      <w:sz w:val="24"/>
      <w:szCs w:val="22"/>
    </w:rPr>
  </w:style>
  <w:style w:type="paragraph" w:customStyle="1" w:styleId="2">
    <w:name w:val="2"/>
    <w:basedOn w:val="1"/>
    <w:qFormat/>
    <w:rsid w:val="009F652B"/>
    <w:pPr>
      <w:numPr>
        <w:ilvl w:val="1"/>
      </w:numPr>
    </w:pPr>
  </w:style>
  <w:style w:type="paragraph" w:customStyle="1" w:styleId="3">
    <w:name w:val="3"/>
    <w:basedOn w:val="2"/>
    <w:link w:val="3Char"/>
    <w:qFormat/>
    <w:rsid w:val="009F652B"/>
    <w:pPr>
      <w:numPr>
        <w:ilvl w:val="2"/>
      </w:numPr>
    </w:pPr>
  </w:style>
  <w:style w:type="paragraph" w:customStyle="1" w:styleId="4">
    <w:name w:val="4"/>
    <w:basedOn w:val="Normal"/>
    <w:qFormat/>
    <w:rsid w:val="009F652B"/>
    <w:pPr>
      <w:numPr>
        <w:ilvl w:val="3"/>
        <w:numId w:val="25"/>
      </w:numPr>
      <w:adjustRightInd w:val="0"/>
      <w:spacing w:before="240" w:after="0" w:line="480" w:lineRule="auto"/>
      <w:outlineLvl w:val="3"/>
    </w:pPr>
    <w:rPr>
      <w:rFonts w:eastAsia="Times New Roman" w:cs="Times New Roman"/>
      <w:iCs/>
      <w:color w:val="000000"/>
      <w:sz w:val="24"/>
      <w:lang w:val="en-US"/>
    </w:rPr>
  </w:style>
  <w:style w:type="paragraph" w:customStyle="1" w:styleId="5">
    <w:name w:val="5"/>
    <w:basedOn w:val="4"/>
    <w:qFormat/>
    <w:rsid w:val="009F652B"/>
    <w:pPr>
      <w:numPr>
        <w:ilvl w:val="4"/>
      </w:numPr>
      <w:ind w:left="2232"/>
    </w:pPr>
  </w:style>
  <w:style w:type="character" w:customStyle="1" w:styleId="1Char">
    <w:name w:val="1 Char"/>
    <w:link w:val="1"/>
    <w:locked/>
    <w:rsid w:val="009F652B"/>
    <w:rPr>
      <w:rFonts w:eastAsia="Times New Roman"/>
      <w:iCs/>
      <w:color w:val="000000"/>
      <w:sz w:val="24"/>
      <w:szCs w:val="22"/>
      <w:lang w:val="en-GB" w:eastAsia="en-US"/>
    </w:rPr>
  </w:style>
  <w:style w:type="character" w:customStyle="1" w:styleId="3Char">
    <w:name w:val="3 Char"/>
    <w:link w:val="3"/>
    <w:rsid w:val="006A3BF7"/>
    <w:rPr>
      <w:rFonts w:eastAsia="Times New Roman"/>
      <w:iCs/>
      <w:color w:val="000000"/>
      <w:sz w:val="24"/>
      <w:szCs w:val="22"/>
      <w:lang w:val="en-GB" w:eastAsia="en-US"/>
    </w:rPr>
  </w:style>
  <w:style w:type="character" w:customStyle="1" w:styleId="apple-converted-space">
    <w:name w:val="apple-converted-space"/>
    <w:basedOn w:val="DefaultParagraphFont"/>
    <w:rsid w:val="00B87574"/>
  </w:style>
  <w:style w:type="character" w:customStyle="1" w:styleId="ListParagraphChar">
    <w:name w:val="List Paragraph Char"/>
    <w:link w:val="ListParagraph"/>
    <w:uiPriority w:val="34"/>
    <w:rsid w:val="0023494F"/>
    <w:rPr>
      <w:sz w:val="25"/>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9975822">
      <w:bodyDiv w:val="1"/>
      <w:marLeft w:val="0"/>
      <w:marRight w:val="0"/>
      <w:marTop w:val="0"/>
      <w:marBottom w:val="0"/>
      <w:divBdr>
        <w:top w:val="none" w:sz="0" w:space="0" w:color="auto"/>
        <w:left w:val="none" w:sz="0" w:space="0" w:color="auto"/>
        <w:bottom w:val="none" w:sz="0" w:space="0" w:color="auto"/>
        <w:right w:val="none" w:sz="0" w:space="0" w:color="auto"/>
      </w:divBdr>
    </w:div>
    <w:div w:id="14157113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jutastat.juta.co.za/nxt/foliolinks.asp?f=xhitlist&amp;xhitlist_x=Advanced&amp;xhitlist_vpc=first&amp;xhitlist_xsl=querylink.xsl&amp;xhitlist_sel=title;path;content-type;home-title&amp;xhitlist_d=%7bstatreg%7d&amp;xhitlist_q=%5bfield%20folio-destination-name:%27LJC_a9y1933s9(2)(c)%27%5d&amp;xhitlist_md=target-id=0-0-0-33353"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utastat.juta.co.za/nxt/foliolinks.asp?f=xhitlist&amp;xhitlist_x=Advanced&amp;xhitlist_vpc=first&amp;xhitlist_xsl=querylink.xsl&amp;xhitlist_sel=title;path;content-type;home-title&amp;xhitlist_d=%7bstatreg%7d&amp;xhitlist_q=%5bfield%20folio-destination-name:%27LJC_a9y1933s9(2)(b)(i)(aa)%27%5d&amp;xhitlist_md=target-id=0-0-0-3334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utastat.juta.co.za/nxt/foliolinks.asp?f=xhitlist&amp;xhitlist_x=Advanced&amp;xhitlist_vpc=first&amp;xhitlist_xsl=querylink.xsl&amp;xhitlist_sel=title;path;content-type;home-title&amp;xhitlist_d=%7bstatreg%7d&amp;xhitlist_q=%5bfield%20folio-destination-name:%27LJC_a9y1933s9(2)(b)(i)%27%5d&amp;xhitlist_md=target-id=0-0-0-33337" TargetMode="External"/><Relationship Id="rId5" Type="http://schemas.openxmlformats.org/officeDocument/2006/relationships/webSettings" Target="webSettings.xml"/><Relationship Id="rId15" Type="http://schemas.openxmlformats.org/officeDocument/2006/relationships/hyperlink" Target="https://jutastat.juta.co.za/nxt/foliolinks.asp?f=xhitlist&amp;xhitlist_x=Advanced&amp;xhitlist_vpc=first&amp;xhitlist_xsl=querylink.xsl&amp;xhitlist_sel=title;path;content-type;home-title&amp;xhitlist_d=%7bstatreg%7d&amp;xhitlist_q=%5bfield%20folio-destination-name:%27LJC_a9y1933s9(2)(d)(i)(bb)%27%5d&amp;xhitlist_md=target-id=0-0-0-33365" TargetMode="External"/><Relationship Id="rId10" Type="http://schemas.openxmlformats.org/officeDocument/2006/relationships/hyperlink" Target="https://jutastat.juta.co.za/nxt/foliolinks.asp?f=xhitlist&amp;xhitlist_x=Advanced&amp;xhitlist_vpc=first&amp;xhitlist_xsl=querylink.xsl&amp;xhitlist_sel=title;path;content-type;home-title&amp;xhitlist_d=%7bstatreg%7d&amp;xhitlist_q=%5bfield%20folio-destination-name:%27LJC_a9y1933s9(1)%27%5d&amp;xhitlist_md=target-id=0-0-0-33327" TargetMode="External"/><Relationship Id="rId4" Type="http://schemas.openxmlformats.org/officeDocument/2006/relationships/settings" Target="settings.xml"/><Relationship Id="rId9" Type="http://schemas.openxmlformats.org/officeDocument/2006/relationships/hyperlink" Target="https://jutastat.juta.co.za/nxt/foliolinks.asp?f=xhitlist&amp;xhitlist_x=Advanced&amp;xhitlist_vpc=first&amp;xhitlist_xsl=querylink.xsl&amp;xhitlist_sel=title;path;content-type;home-title&amp;xhitlist_d=%7bstatreg%7d&amp;xhitlist_q=%5bfield%20folio-destination-name:%27LJC_a9y1933s9%27%5d&amp;xhitlist_md=target-id=0-0-0-33323" TargetMode="External"/><Relationship Id="rId14" Type="http://schemas.openxmlformats.org/officeDocument/2006/relationships/hyperlink" Target="https://jutastat.juta.co.za/nxt/foliolinks.asp?f=xhitlist&amp;xhitlist_x=Advanced&amp;xhitlist_vpc=first&amp;xhitlist_xsl=querylink.xsl&amp;xhitlist_sel=title;path;content-type;home-title&amp;xhitlist_d=%7bstatreg%7d&amp;xhitlist_q=%5bfield%20folio-destination-name:%27LJC_a9y1933s9(2)(d)(i)%27%5d&amp;xhitlist_md=target-id=0-0-0-3335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BE7B2A-15E4-4185-9861-B35D5078B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33</Pages>
  <Words>6856</Words>
  <Characters>39085</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45850</CharactersWithSpaces>
  <SharedDoc>false</SharedDoc>
  <HLinks>
    <vt:vector size="6" baseType="variant">
      <vt:variant>
        <vt:i4>3407883</vt:i4>
      </vt:variant>
      <vt:variant>
        <vt:i4>2124</vt:i4>
      </vt:variant>
      <vt:variant>
        <vt:i4>1025</vt:i4>
      </vt:variant>
      <vt:variant>
        <vt:i4>1</vt:i4>
      </vt:variant>
      <vt:variant>
        <vt:lpwstr>cid:image001.png@01D102A3.6AE54470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Mokone</cp:lastModifiedBy>
  <cp:revision>3</cp:revision>
  <cp:lastPrinted>2023-02-10T11:22:00Z</cp:lastPrinted>
  <dcterms:created xsi:type="dcterms:W3CDTF">2023-02-16T11:05:00Z</dcterms:created>
  <dcterms:modified xsi:type="dcterms:W3CDTF">2023-02-16T11:09:00Z</dcterms:modified>
</cp:coreProperties>
</file>