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742C"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REPUBLIC OF SOUTH AFRICA</w:t>
      </w:r>
    </w:p>
    <w:p w14:paraId="3F57997F" w14:textId="77777777" w:rsidR="00A245CB" w:rsidRDefault="006A12DB">
      <w:pPr>
        <w:spacing w:after="0" w:line="360" w:lineRule="auto"/>
        <w:jc w:val="center"/>
        <w:rPr>
          <w:rFonts w:ascii="Arial" w:eastAsia="Arial" w:hAnsi="Arial" w:cs="Arial"/>
          <w:b/>
          <w:sz w:val="24"/>
          <w:szCs w:val="24"/>
        </w:rPr>
      </w:pPr>
      <w:r>
        <w:rPr>
          <w:rFonts w:ascii="Arial" w:eastAsia="Arial" w:hAnsi="Arial" w:cs="Arial"/>
          <w:noProof/>
          <w:sz w:val="24"/>
          <w:szCs w:val="24"/>
          <w:lang w:val="en-US" w:eastAsia="en-US"/>
        </w:rPr>
        <w:drawing>
          <wp:inline distT="0" distB="0" distL="0" distR="0" wp14:anchorId="6D8BF175" wp14:editId="2CBB0D9E">
            <wp:extent cx="1409700" cy="137160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409700" cy="1371600"/>
                    </a:xfrm>
                    <a:prstGeom prst="rect">
                      <a:avLst/>
                    </a:prstGeom>
                    <a:ln/>
                  </pic:spPr>
                </pic:pic>
              </a:graphicData>
            </a:graphic>
          </wp:inline>
        </w:drawing>
      </w:r>
    </w:p>
    <w:p w14:paraId="1EA86AFD"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IN THE HIGH COURT OF SOUTH AFRICA</w:t>
      </w:r>
    </w:p>
    <w:p w14:paraId="3E1D3B2F" w14:textId="41C54EEB" w:rsidR="00A245CB" w:rsidRDefault="0062737A">
      <w:pPr>
        <w:spacing w:after="0" w:line="360" w:lineRule="auto"/>
        <w:jc w:val="center"/>
        <w:rPr>
          <w:rFonts w:ascii="Arial" w:eastAsia="Arial" w:hAnsi="Arial" w:cs="Arial"/>
          <w:b/>
          <w:sz w:val="24"/>
          <w:szCs w:val="24"/>
        </w:rPr>
      </w:pPr>
      <w:r>
        <w:rPr>
          <w:rFonts w:ascii="Arial" w:eastAsia="Arial" w:hAnsi="Arial" w:cs="Arial"/>
          <w:b/>
          <w:sz w:val="24"/>
          <w:szCs w:val="24"/>
        </w:rPr>
        <w:t>GAUTENG DIVISION, PRETORIA</w:t>
      </w:r>
    </w:p>
    <w:p w14:paraId="02745AA9" w14:textId="77777777" w:rsidR="00A245CB" w:rsidRDefault="00A245CB">
      <w:pPr>
        <w:spacing w:after="0" w:line="360" w:lineRule="auto"/>
        <w:ind w:left="5040" w:firstLine="720"/>
        <w:jc w:val="both"/>
        <w:rPr>
          <w:rFonts w:ascii="Arial" w:eastAsia="Arial" w:hAnsi="Arial" w:cs="Arial"/>
          <w:b/>
          <w:sz w:val="24"/>
          <w:szCs w:val="24"/>
        </w:rPr>
      </w:pPr>
    </w:p>
    <w:p w14:paraId="44C6BE0A" w14:textId="382163DF" w:rsidR="00A245CB" w:rsidRDefault="0062737A">
      <w:pPr>
        <w:spacing w:after="0" w:line="360" w:lineRule="auto"/>
        <w:ind w:left="5760"/>
        <w:jc w:val="both"/>
        <w:rPr>
          <w:rFonts w:ascii="Arial" w:eastAsia="Arial" w:hAnsi="Arial" w:cs="Arial"/>
          <w:b/>
          <w:sz w:val="24"/>
          <w:szCs w:val="24"/>
        </w:rPr>
      </w:pPr>
      <w:r>
        <w:rPr>
          <w:rFonts w:ascii="Arial" w:eastAsia="Arial" w:hAnsi="Arial" w:cs="Arial"/>
          <w:b/>
          <w:sz w:val="24"/>
          <w:szCs w:val="24"/>
        </w:rPr>
        <w:t xml:space="preserve">CASE NO: </w:t>
      </w:r>
      <w:r w:rsidR="00FA01C3">
        <w:rPr>
          <w:rFonts w:ascii="Arial" w:eastAsia="Arial" w:hAnsi="Arial" w:cs="Arial"/>
          <w:b/>
          <w:sz w:val="24"/>
          <w:szCs w:val="24"/>
        </w:rPr>
        <w:t>87546/2018</w:t>
      </w:r>
    </w:p>
    <w:p w14:paraId="17756BC4" w14:textId="77777777" w:rsidR="00A245CB" w:rsidRDefault="00A245CB">
      <w:pPr>
        <w:spacing w:after="0" w:line="360" w:lineRule="auto"/>
        <w:jc w:val="both"/>
        <w:rPr>
          <w:rFonts w:ascii="Arial" w:eastAsia="Arial" w:hAnsi="Arial" w:cs="Arial"/>
          <w:b/>
          <w:sz w:val="24"/>
          <w:szCs w:val="24"/>
        </w:rPr>
      </w:pPr>
    </w:p>
    <w:tbl>
      <w:tblPr>
        <w:tblStyle w:val="a"/>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tblGrid>
      <w:tr w:rsidR="00A245CB" w14:paraId="29475CA9" w14:textId="77777777">
        <w:trPr>
          <w:trHeight w:val="2417"/>
        </w:trPr>
        <w:tc>
          <w:tcPr>
            <w:tcW w:w="5328" w:type="dxa"/>
            <w:tcBorders>
              <w:top w:val="single" w:sz="4" w:space="0" w:color="000000"/>
              <w:left w:val="single" w:sz="4" w:space="0" w:color="000000"/>
              <w:bottom w:val="single" w:sz="4" w:space="0" w:color="000000"/>
              <w:right w:val="single" w:sz="4" w:space="0" w:color="000000"/>
            </w:tcBorders>
          </w:tcPr>
          <w:p w14:paraId="0EB3F86D"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p w14:paraId="294E263F" w14:textId="56DEE53D" w:rsidR="00A245CB" w:rsidRPr="009B46AF" w:rsidRDefault="00A55D51" w:rsidP="00A55D51">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1.</w:t>
            </w:r>
            <w:r w:rsidRPr="009B46AF">
              <w:rPr>
                <w:rFonts w:ascii="Arial" w:eastAsia="Arial" w:hAnsi="Arial" w:cs="Arial"/>
                <w:color w:val="000000"/>
                <w:sz w:val="16"/>
                <w:szCs w:val="16"/>
              </w:rPr>
              <w:tab/>
            </w:r>
            <w:r w:rsidR="0062737A">
              <w:rPr>
                <w:rFonts w:ascii="Arial" w:eastAsia="Arial" w:hAnsi="Arial" w:cs="Arial"/>
                <w:color w:val="000000"/>
                <w:sz w:val="16"/>
                <w:szCs w:val="16"/>
              </w:rPr>
              <w:t xml:space="preserve">REPORTABLE: </w:t>
            </w:r>
            <w:r w:rsidR="00F84381">
              <w:rPr>
                <w:rFonts w:ascii="Arial" w:eastAsia="Arial" w:hAnsi="Arial" w:cs="Arial"/>
                <w:color w:val="000000"/>
                <w:sz w:val="16"/>
                <w:szCs w:val="16"/>
              </w:rPr>
              <w:t>YES</w:t>
            </w:r>
          </w:p>
          <w:p w14:paraId="361DFEA7" w14:textId="1ED7C64B" w:rsidR="00A245CB" w:rsidRPr="009B46AF" w:rsidRDefault="00A55D51" w:rsidP="00A55D51">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2.</w:t>
            </w:r>
            <w:r w:rsidRPr="009B46AF">
              <w:rPr>
                <w:rFonts w:ascii="Arial" w:eastAsia="Arial" w:hAnsi="Arial" w:cs="Arial"/>
                <w:color w:val="000000"/>
                <w:sz w:val="16"/>
                <w:szCs w:val="16"/>
              </w:rPr>
              <w:tab/>
            </w:r>
            <w:r w:rsidR="0062737A">
              <w:rPr>
                <w:rFonts w:ascii="Arial" w:eastAsia="Arial" w:hAnsi="Arial" w:cs="Arial"/>
                <w:color w:val="000000"/>
                <w:sz w:val="16"/>
                <w:szCs w:val="16"/>
              </w:rPr>
              <w:t xml:space="preserve">OF INTEREST TO OTHER JUDGES: </w:t>
            </w:r>
            <w:r w:rsidR="00F84381">
              <w:rPr>
                <w:rFonts w:ascii="Arial" w:eastAsia="Arial" w:hAnsi="Arial" w:cs="Arial"/>
                <w:color w:val="000000"/>
                <w:sz w:val="16"/>
                <w:szCs w:val="16"/>
              </w:rPr>
              <w:t>YES</w:t>
            </w:r>
          </w:p>
          <w:p w14:paraId="37BF1640" w14:textId="55830807" w:rsidR="00A245CB" w:rsidRPr="009B46AF" w:rsidRDefault="00A55D51" w:rsidP="00A55D51">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3.</w:t>
            </w:r>
            <w:r w:rsidRPr="009B46AF">
              <w:rPr>
                <w:rFonts w:ascii="Arial" w:eastAsia="Arial" w:hAnsi="Arial" w:cs="Arial"/>
                <w:color w:val="000000"/>
                <w:sz w:val="16"/>
                <w:szCs w:val="16"/>
              </w:rPr>
              <w:tab/>
            </w:r>
            <w:r w:rsidR="0062737A">
              <w:rPr>
                <w:rFonts w:ascii="Arial" w:eastAsia="Arial" w:hAnsi="Arial" w:cs="Arial"/>
                <w:color w:val="000000"/>
                <w:sz w:val="16"/>
                <w:szCs w:val="16"/>
              </w:rPr>
              <w:t>REVISED:  YE</w:t>
            </w:r>
            <w:r w:rsidR="002174B8">
              <w:rPr>
                <w:rFonts w:ascii="Arial" w:eastAsia="Arial" w:hAnsi="Arial" w:cs="Arial"/>
                <w:color w:val="000000"/>
                <w:sz w:val="16"/>
                <w:szCs w:val="16"/>
              </w:rPr>
              <w:t>S</w:t>
            </w:r>
          </w:p>
          <w:p w14:paraId="38C556F6" w14:textId="77777777" w:rsidR="00A245CB" w:rsidRPr="009B46AF" w:rsidRDefault="00A245CB">
            <w:pPr>
              <w:spacing w:after="0" w:line="360" w:lineRule="auto"/>
              <w:jc w:val="both"/>
              <w:rPr>
                <w:rFonts w:ascii="Arial" w:eastAsia="Arial" w:hAnsi="Arial" w:cs="Arial"/>
                <w:sz w:val="16"/>
                <w:szCs w:val="16"/>
              </w:rPr>
            </w:pPr>
          </w:p>
          <w:p w14:paraId="05A600AD" w14:textId="3153ED0A"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 xml:space="preserve">DATE: </w:t>
            </w:r>
            <w:r w:rsidR="00E32878">
              <w:rPr>
                <w:rFonts w:ascii="Arial" w:eastAsia="Arial" w:hAnsi="Arial" w:cs="Arial"/>
                <w:sz w:val="16"/>
                <w:szCs w:val="16"/>
              </w:rPr>
              <w:t>23</w:t>
            </w:r>
            <w:r w:rsidR="005B1FE2">
              <w:rPr>
                <w:rFonts w:ascii="Arial" w:eastAsia="Arial" w:hAnsi="Arial" w:cs="Arial"/>
                <w:sz w:val="16"/>
                <w:szCs w:val="16"/>
              </w:rPr>
              <w:t>/0</w:t>
            </w:r>
            <w:r w:rsidR="00DB2088">
              <w:rPr>
                <w:rFonts w:ascii="Arial" w:eastAsia="Arial" w:hAnsi="Arial" w:cs="Arial"/>
                <w:sz w:val="16"/>
                <w:szCs w:val="16"/>
              </w:rPr>
              <w:t>6</w:t>
            </w:r>
            <w:r w:rsidR="005B1FE2">
              <w:rPr>
                <w:rFonts w:ascii="Arial" w:eastAsia="Arial" w:hAnsi="Arial" w:cs="Arial"/>
                <w:sz w:val="16"/>
                <w:szCs w:val="16"/>
              </w:rPr>
              <w:t>/2023</w:t>
            </w:r>
          </w:p>
          <w:p w14:paraId="4C749023" w14:textId="77777777"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SIGNATURE OF JUDGE:</w:t>
            </w:r>
          </w:p>
          <w:p w14:paraId="2ECA7DC3"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tc>
      </w:tr>
    </w:tbl>
    <w:p w14:paraId="31BA896D" w14:textId="77777777" w:rsidR="00A245CB" w:rsidRDefault="00A245CB">
      <w:pPr>
        <w:spacing w:after="0" w:line="360" w:lineRule="auto"/>
        <w:jc w:val="both"/>
        <w:rPr>
          <w:rFonts w:ascii="Arial" w:eastAsia="Arial" w:hAnsi="Arial" w:cs="Arial"/>
          <w:b/>
          <w:sz w:val="24"/>
          <w:szCs w:val="24"/>
        </w:rPr>
      </w:pPr>
    </w:p>
    <w:p w14:paraId="5C36DFC1" w14:textId="77777777" w:rsidR="00A245CB" w:rsidRDefault="00A245CB">
      <w:pPr>
        <w:spacing w:after="0" w:line="240" w:lineRule="auto"/>
        <w:jc w:val="both"/>
        <w:rPr>
          <w:rFonts w:ascii="Arial" w:eastAsia="Arial" w:hAnsi="Arial" w:cs="Arial"/>
          <w:sz w:val="24"/>
          <w:szCs w:val="24"/>
        </w:rPr>
      </w:pPr>
    </w:p>
    <w:p w14:paraId="4032E20E"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In the matter between:</w:t>
      </w:r>
    </w:p>
    <w:p w14:paraId="7B16FEFC" w14:textId="77777777" w:rsidR="00A245CB" w:rsidRDefault="00A245CB">
      <w:pPr>
        <w:spacing w:after="0" w:line="240" w:lineRule="auto"/>
        <w:jc w:val="both"/>
        <w:rPr>
          <w:rFonts w:ascii="Arial" w:eastAsia="Arial" w:hAnsi="Arial" w:cs="Arial"/>
          <w:sz w:val="24"/>
          <w:szCs w:val="24"/>
        </w:rPr>
      </w:pPr>
    </w:p>
    <w:p w14:paraId="5340CAB3" w14:textId="77777777" w:rsidR="00887303" w:rsidRDefault="00887303">
      <w:pPr>
        <w:spacing w:after="0" w:line="240" w:lineRule="auto"/>
        <w:jc w:val="both"/>
        <w:rPr>
          <w:rFonts w:ascii="Arial" w:eastAsia="Arial" w:hAnsi="Arial" w:cs="Arial"/>
          <w:sz w:val="24"/>
          <w:szCs w:val="24"/>
        </w:rPr>
      </w:pPr>
    </w:p>
    <w:p w14:paraId="3C4109D3" w14:textId="65DC0FF9" w:rsidR="00A245CB" w:rsidRDefault="005B1FE2">
      <w:pPr>
        <w:spacing w:after="0" w:line="240" w:lineRule="auto"/>
        <w:jc w:val="both"/>
        <w:rPr>
          <w:rFonts w:ascii="Arial" w:eastAsia="Arial" w:hAnsi="Arial" w:cs="Arial"/>
          <w:b/>
          <w:sz w:val="24"/>
          <w:szCs w:val="24"/>
        </w:rPr>
      </w:pPr>
      <w:r>
        <w:rPr>
          <w:rFonts w:ascii="Arial" w:eastAsia="Arial" w:hAnsi="Arial" w:cs="Arial"/>
          <w:b/>
          <w:sz w:val="24"/>
          <w:szCs w:val="24"/>
        </w:rPr>
        <w:t>FLOORWOR</w:t>
      </w:r>
      <w:r w:rsidR="00C12C55">
        <w:rPr>
          <w:rFonts w:ascii="Arial" w:eastAsia="Arial" w:hAnsi="Arial" w:cs="Arial"/>
          <w:b/>
          <w:sz w:val="24"/>
          <w:szCs w:val="24"/>
        </w:rPr>
        <w:t>X AFRICA (PTY) LTD</w:t>
      </w:r>
      <w:r w:rsidR="00C12C55">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r w:rsidR="00887303">
        <w:rPr>
          <w:rFonts w:ascii="Arial" w:eastAsia="Arial" w:hAnsi="Arial" w:cs="Arial"/>
          <w:b/>
          <w:sz w:val="24"/>
          <w:szCs w:val="24"/>
        </w:rPr>
        <w:t>Plaintiff</w:t>
      </w:r>
      <w:r w:rsidR="006A12DB" w:rsidRPr="004E26EB">
        <w:rPr>
          <w:rFonts w:ascii="Arial" w:eastAsia="Arial" w:hAnsi="Arial" w:cs="Arial"/>
          <w:b/>
          <w:sz w:val="24"/>
          <w:szCs w:val="24"/>
        </w:rPr>
        <w:tab/>
      </w:r>
    </w:p>
    <w:p w14:paraId="2622BC4B" w14:textId="77777777" w:rsidR="00A245CB" w:rsidRDefault="00A245CB">
      <w:pPr>
        <w:spacing w:after="0" w:line="240" w:lineRule="auto"/>
        <w:jc w:val="both"/>
        <w:rPr>
          <w:rFonts w:ascii="Arial" w:eastAsia="Arial" w:hAnsi="Arial" w:cs="Arial"/>
          <w:sz w:val="24"/>
          <w:szCs w:val="24"/>
        </w:rPr>
      </w:pPr>
    </w:p>
    <w:p w14:paraId="46BB39D4" w14:textId="77777777" w:rsidR="00887303" w:rsidRDefault="00887303">
      <w:pPr>
        <w:spacing w:after="0" w:line="240" w:lineRule="auto"/>
        <w:jc w:val="both"/>
        <w:rPr>
          <w:rFonts w:ascii="Arial" w:eastAsia="Arial" w:hAnsi="Arial" w:cs="Arial"/>
          <w:sz w:val="24"/>
          <w:szCs w:val="24"/>
        </w:rPr>
      </w:pPr>
    </w:p>
    <w:p w14:paraId="1D9E5E84"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 xml:space="preserve">and </w:t>
      </w:r>
    </w:p>
    <w:p w14:paraId="5F9CBC8D" w14:textId="77777777" w:rsidR="00A245CB" w:rsidRDefault="00A245CB">
      <w:pPr>
        <w:spacing w:after="0" w:line="240" w:lineRule="auto"/>
        <w:jc w:val="both"/>
        <w:rPr>
          <w:rFonts w:ascii="Arial" w:eastAsia="Arial" w:hAnsi="Arial" w:cs="Arial"/>
          <w:sz w:val="24"/>
          <w:szCs w:val="24"/>
        </w:rPr>
      </w:pPr>
    </w:p>
    <w:p w14:paraId="60C9A2CD" w14:textId="77777777" w:rsidR="00887303" w:rsidRDefault="00887303">
      <w:pPr>
        <w:spacing w:after="0" w:line="240" w:lineRule="auto"/>
        <w:jc w:val="both"/>
        <w:rPr>
          <w:rFonts w:ascii="Arial" w:eastAsia="Arial" w:hAnsi="Arial" w:cs="Arial"/>
          <w:sz w:val="24"/>
          <w:szCs w:val="24"/>
        </w:rPr>
      </w:pPr>
    </w:p>
    <w:p w14:paraId="2F39C9E7" w14:textId="3389D832" w:rsidR="00887303" w:rsidRDefault="00C12C55">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MAZARS (GAUTENG) INC</w:t>
      </w:r>
      <w:r w:rsidR="00887303">
        <w:rPr>
          <w:rFonts w:ascii="Arial" w:eastAsia="Arial" w:hAnsi="Arial" w:cs="Arial"/>
          <w:b/>
          <w:sz w:val="24"/>
          <w:szCs w:val="24"/>
          <w:lang w:val="en-GB"/>
        </w:rPr>
        <w:tab/>
      </w:r>
      <w:r w:rsidR="00887303">
        <w:rPr>
          <w:rFonts w:ascii="Arial" w:eastAsia="Arial" w:hAnsi="Arial" w:cs="Arial"/>
          <w:b/>
          <w:sz w:val="24"/>
          <w:szCs w:val="24"/>
          <w:lang w:val="en-GB"/>
        </w:rPr>
        <w:tab/>
      </w:r>
      <w:r w:rsidR="00887303">
        <w:rPr>
          <w:rFonts w:ascii="Arial" w:eastAsia="Arial" w:hAnsi="Arial" w:cs="Arial"/>
          <w:b/>
          <w:sz w:val="24"/>
          <w:szCs w:val="24"/>
          <w:lang w:val="en-GB"/>
        </w:rPr>
        <w:tab/>
      </w:r>
      <w:r w:rsidR="0062737A">
        <w:rPr>
          <w:rFonts w:ascii="Arial" w:eastAsia="Arial" w:hAnsi="Arial" w:cs="Arial"/>
          <w:b/>
          <w:sz w:val="24"/>
          <w:szCs w:val="24"/>
          <w:lang w:val="en-GB"/>
        </w:rPr>
        <w:tab/>
      </w:r>
      <w:r w:rsidR="0062737A">
        <w:rPr>
          <w:rFonts w:ascii="Arial" w:eastAsia="Arial" w:hAnsi="Arial" w:cs="Arial"/>
          <w:b/>
          <w:sz w:val="24"/>
          <w:szCs w:val="24"/>
          <w:lang w:val="en-GB"/>
        </w:rPr>
        <w:tab/>
      </w:r>
      <w:r w:rsidR="00887303">
        <w:rPr>
          <w:rFonts w:ascii="Arial" w:eastAsia="Arial" w:hAnsi="Arial" w:cs="Arial"/>
          <w:b/>
          <w:sz w:val="24"/>
          <w:szCs w:val="24"/>
          <w:lang w:val="en-GB"/>
        </w:rPr>
        <w:t>First Defendant</w:t>
      </w:r>
    </w:p>
    <w:p w14:paraId="4702AC4A" w14:textId="77777777" w:rsidR="00887303" w:rsidRDefault="00887303">
      <w:pPr>
        <w:spacing w:after="0" w:line="240" w:lineRule="auto"/>
        <w:jc w:val="both"/>
        <w:rPr>
          <w:rFonts w:ascii="Arial" w:eastAsia="Arial" w:hAnsi="Arial" w:cs="Arial"/>
          <w:b/>
          <w:sz w:val="24"/>
          <w:szCs w:val="24"/>
          <w:lang w:val="en-GB"/>
        </w:rPr>
      </w:pPr>
    </w:p>
    <w:p w14:paraId="388E95EA" w14:textId="7101948E" w:rsidR="00887303" w:rsidRDefault="00663690">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MANO</w:t>
      </w:r>
      <w:r w:rsidR="00DB2088">
        <w:rPr>
          <w:rFonts w:ascii="Arial" w:eastAsia="Arial" w:hAnsi="Arial" w:cs="Arial"/>
          <w:b/>
          <w:sz w:val="24"/>
          <w:szCs w:val="24"/>
          <w:lang w:val="en-GB"/>
        </w:rPr>
        <w:t>J</w:t>
      </w:r>
      <w:r w:rsidR="00DE584C">
        <w:rPr>
          <w:rFonts w:ascii="Arial" w:eastAsia="Arial" w:hAnsi="Arial" w:cs="Arial"/>
          <w:b/>
          <w:sz w:val="24"/>
          <w:szCs w:val="24"/>
          <w:lang w:val="en-GB"/>
        </w:rPr>
        <w:t>KUMAR MAHENDRA MA</w:t>
      </w:r>
      <w:r w:rsidR="00E9337B">
        <w:rPr>
          <w:rFonts w:ascii="Arial" w:eastAsia="Arial" w:hAnsi="Arial" w:cs="Arial"/>
          <w:b/>
          <w:sz w:val="24"/>
          <w:szCs w:val="24"/>
          <w:lang w:val="en-GB"/>
        </w:rPr>
        <w:t>N</w:t>
      </w:r>
      <w:r w:rsidR="005D01D2">
        <w:rPr>
          <w:rFonts w:ascii="Arial" w:eastAsia="Arial" w:hAnsi="Arial" w:cs="Arial"/>
          <w:b/>
          <w:sz w:val="24"/>
          <w:szCs w:val="24"/>
          <w:lang w:val="en-GB"/>
        </w:rPr>
        <w:t>I</w:t>
      </w:r>
      <w:r w:rsidR="00E9337B">
        <w:rPr>
          <w:rFonts w:ascii="Arial" w:eastAsia="Arial" w:hAnsi="Arial" w:cs="Arial"/>
          <w:b/>
          <w:sz w:val="24"/>
          <w:szCs w:val="24"/>
          <w:lang w:val="en-GB"/>
        </w:rPr>
        <w:t xml:space="preserve">LAL </w:t>
      </w:r>
      <w:r w:rsidR="00E9337B">
        <w:rPr>
          <w:rFonts w:ascii="Arial" w:eastAsia="Arial" w:hAnsi="Arial" w:cs="Arial"/>
          <w:b/>
          <w:sz w:val="24"/>
          <w:szCs w:val="24"/>
          <w:lang w:val="en-GB"/>
        </w:rPr>
        <w:tab/>
      </w:r>
      <w:r w:rsidR="00E9337B">
        <w:rPr>
          <w:rFonts w:ascii="Arial" w:eastAsia="Arial" w:hAnsi="Arial" w:cs="Arial"/>
          <w:b/>
          <w:sz w:val="24"/>
          <w:szCs w:val="24"/>
          <w:lang w:val="en-GB"/>
        </w:rPr>
        <w:tab/>
      </w:r>
      <w:r w:rsidR="00E9337B">
        <w:rPr>
          <w:rFonts w:ascii="Arial" w:eastAsia="Arial" w:hAnsi="Arial" w:cs="Arial"/>
          <w:b/>
          <w:sz w:val="24"/>
          <w:szCs w:val="24"/>
          <w:lang w:val="en-GB"/>
        </w:rPr>
        <w:tab/>
      </w:r>
      <w:r w:rsidR="00887303">
        <w:rPr>
          <w:rFonts w:ascii="Arial" w:eastAsia="Arial" w:hAnsi="Arial" w:cs="Arial"/>
          <w:b/>
          <w:sz w:val="24"/>
          <w:szCs w:val="24"/>
          <w:lang w:val="en-GB"/>
        </w:rPr>
        <w:t>Second Defendant</w:t>
      </w:r>
    </w:p>
    <w:p w14:paraId="3DA3D960" w14:textId="77777777" w:rsidR="00887303" w:rsidRDefault="00887303">
      <w:pPr>
        <w:spacing w:after="0" w:line="240" w:lineRule="auto"/>
        <w:jc w:val="both"/>
        <w:rPr>
          <w:rFonts w:ascii="Arial" w:eastAsia="Arial" w:hAnsi="Arial" w:cs="Arial"/>
          <w:b/>
          <w:sz w:val="24"/>
          <w:szCs w:val="24"/>
          <w:lang w:val="en-GB"/>
        </w:rPr>
      </w:pPr>
    </w:p>
    <w:p w14:paraId="405427BC" w14:textId="482674E3" w:rsidR="00887303" w:rsidRDefault="00E9337B">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SANJ</w:t>
      </w:r>
      <w:r w:rsidR="005D01D2">
        <w:rPr>
          <w:rFonts w:ascii="Arial" w:eastAsia="Arial" w:hAnsi="Arial" w:cs="Arial"/>
          <w:b/>
          <w:sz w:val="24"/>
          <w:szCs w:val="24"/>
          <w:lang w:val="en-GB"/>
        </w:rPr>
        <w:t>A</w:t>
      </w:r>
      <w:r>
        <w:rPr>
          <w:rFonts w:ascii="Arial" w:eastAsia="Arial" w:hAnsi="Arial" w:cs="Arial"/>
          <w:b/>
          <w:sz w:val="24"/>
          <w:szCs w:val="24"/>
          <w:lang w:val="en-GB"/>
        </w:rPr>
        <w:t>Y RANCHHOO</w:t>
      </w:r>
      <w:r w:rsidR="005D01D2">
        <w:rPr>
          <w:rFonts w:ascii="Arial" w:eastAsia="Arial" w:hAnsi="Arial" w:cs="Arial"/>
          <w:b/>
          <w:sz w:val="24"/>
          <w:szCs w:val="24"/>
          <w:lang w:val="en-GB"/>
        </w:rPr>
        <w:t>J</w:t>
      </w:r>
      <w:r>
        <w:rPr>
          <w:rFonts w:ascii="Arial" w:eastAsia="Arial" w:hAnsi="Arial" w:cs="Arial"/>
          <w:b/>
          <w:sz w:val="24"/>
          <w:szCs w:val="24"/>
          <w:lang w:val="en-GB"/>
        </w:rPr>
        <w:t xml:space="preserve">EE </w:t>
      </w:r>
      <w:r>
        <w:rPr>
          <w:rFonts w:ascii="Arial" w:eastAsia="Arial" w:hAnsi="Arial" w:cs="Arial"/>
          <w:b/>
          <w:sz w:val="24"/>
          <w:szCs w:val="24"/>
          <w:lang w:val="en-GB"/>
        </w:rPr>
        <w:tab/>
      </w:r>
      <w:r w:rsidR="00887303">
        <w:rPr>
          <w:rFonts w:ascii="Arial" w:eastAsia="Arial" w:hAnsi="Arial" w:cs="Arial"/>
          <w:b/>
          <w:sz w:val="24"/>
          <w:szCs w:val="24"/>
          <w:lang w:val="en-GB"/>
        </w:rPr>
        <w:t xml:space="preserve"> </w:t>
      </w:r>
      <w:r w:rsidR="00887303">
        <w:rPr>
          <w:rFonts w:ascii="Arial" w:eastAsia="Arial" w:hAnsi="Arial" w:cs="Arial"/>
          <w:b/>
          <w:sz w:val="24"/>
          <w:szCs w:val="24"/>
          <w:lang w:val="en-GB"/>
        </w:rPr>
        <w:tab/>
      </w:r>
      <w:r w:rsidR="00887303">
        <w:rPr>
          <w:rFonts w:ascii="Arial" w:eastAsia="Arial" w:hAnsi="Arial" w:cs="Arial"/>
          <w:b/>
          <w:sz w:val="24"/>
          <w:szCs w:val="24"/>
          <w:lang w:val="en-GB"/>
        </w:rPr>
        <w:tab/>
      </w:r>
      <w:r w:rsidR="00887303">
        <w:rPr>
          <w:rFonts w:ascii="Arial" w:eastAsia="Arial" w:hAnsi="Arial" w:cs="Arial"/>
          <w:b/>
          <w:sz w:val="24"/>
          <w:szCs w:val="24"/>
          <w:lang w:val="en-GB"/>
        </w:rPr>
        <w:tab/>
      </w:r>
      <w:r w:rsidR="00887303">
        <w:rPr>
          <w:rFonts w:ascii="Arial" w:eastAsia="Arial" w:hAnsi="Arial" w:cs="Arial"/>
          <w:b/>
          <w:sz w:val="24"/>
          <w:szCs w:val="24"/>
          <w:lang w:val="en-GB"/>
        </w:rPr>
        <w:tab/>
        <w:t>Third Defendant</w:t>
      </w:r>
    </w:p>
    <w:p w14:paraId="7B8F3FBC" w14:textId="77777777" w:rsidR="00DD1243" w:rsidRDefault="00DD1243">
      <w:pPr>
        <w:spacing w:after="0" w:line="240" w:lineRule="auto"/>
        <w:jc w:val="both"/>
        <w:rPr>
          <w:rFonts w:ascii="Arial" w:eastAsia="Arial" w:hAnsi="Arial" w:cs="Arial"/>
          <w:b/>
          <w:sz w:val="24"/>
          <w:szCs w:val="24"/>
          <w:lang w:val="en-GB"/>
        </w:rPr>
      </w:pPr>
    </w:p>
    <w:p w14:paraId="5C89E862" w14:textId="455C5847" w:rsidR="00DD1243" w:rsidRDefault="00DD1243">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JOHANNES FREDERICK GROBLER</w:t>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t>Fourth Defendant</w:t>
      </w:r>
    </w:p>
    <w:p w14:paraId="196ACD97" w14:textId="77777777" w:rsidR="00DD1243" w:rsidRDefault="00DD1243">
      <w:pPr>
        <w:spacing w:after="0" w:line="240" w:lineRule="auto"/>
        <w:jc w:val="both"/>
        <w:rPr>
          <w:rFonts w:ascii="Arial" w:eastAsia="Arial" w:hAnsi="Arial" w:cs="Arial"/>
          <w:b/>
          <w:sz w:val="24"/>
          <w:szCs w:val="24"/>
          <w:lang w:val="en-GB"/>
        </w:rPr>
      </w:pPr>
    </w:p>
    <w:p w14:paraId="79278A31" w14:textId="5240DA65" w:rsidR="00DD1243" w:rsidRDefault="00DD1243">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GEO</w:t>
      </w:r>
      <w:r w:rsidR="008C11AD">
        <w:rPr>
          <w:rFonts w:ascii="Arial" w:eastAsia="Arial" w:hAnsi="Arial" w:cs="Arial"/>
          <w:b/>
          <w:sz w:val="24"/>
          <w:szCs w:val="24"/>
          <w:lang w:val="en-GB"/>
        </w:rPr>
        <w:t>R</w:t>
      </w:r>
      <w:r>
        <w:rPr>
          <w:rFonts w:ascii="Arial" w:eastAsia="Arial" w:hAnsi="Arial" w:cs="Arial"/>
          <w:b/>
          <w:sz w:val="24"/>
          <w:szCs w:val="24"/>
          <w:lang w:val="en-GB"/>
        </w:rPr>
        <w:t>GINA</w:t>
      </w:r>
      <w:r w:rsidR="00D9778A">
        <w:rPr>
          <w:rFonts w:ascii="Arial" w:eastAsia="Arial" w:hAnsi="Arial" w:cs="Arial"/>
          <w:b/>
          <w:sz w:val="24"/>
          <w:szCs w:val="24"/>
          <w:lang w:val="en-GB"/>
        </w:rPr>
        <w:t xml:space="preserve"> NELISWE TEKIE</w:t>
      </w:r>
      <w:r w:rsidR="00E95C89">
        <w:rPr>
          <w:rFonts w:ascii="Arial" w:eastAsia="Arial" w:hAnsi="Arial" w:cs="Arial"/>
          <w:b/>
          <w:sz w:val="24"/>
          <w:szCs w:val="24"/>
          <w:lang w:val="en-GB"/>
        </w:rPr>
        <w:tab/>
      </w:r>
      <w:r w:rsidR="00E95C89">
        <w:rPr>
          <w:rFonts w:ascii="Arial" w:eastAsia="Arial" w:hAnsi="Arial" w:cs="Arial"/>
          <w:b/>
          <w:sz w:val="24"/>
          <w:szCs w:val="24"/>
          <w:lang w:val="en-GB"/>
        </w:rPr>
        <w:tab/>
      </w:r>
      <w:r w:rsidR="00E95C89">
        <w:rPr>
          <w:rFonts w:ascii="Arial" w:eastAsia="Arial" w:hAnsi="Arial" w:cs="Arial"/>
          <w:b/>
          <w:sz w:val="24"/>
          <w:szCs w:val="24"/>
          <w:lang w:val="en-GB"/>
        </w:rPr>
        <w:tab/>
      </w:r>
      <w:r w:rsidR="00E95C89">
        <w:rPr>
          <w:rFonts w:ascii="Arial" w:eastAsia="Arial" w:hAnsi="Arial" w:cs="Arial"/>
          <w:b/>
          <w:sz w:val="24"/>
          <w:szCs w:val="24"/>
          <w:lang w:val="en-GB"/>
        </w:rPr>
        <w:tab/>
      </w:r>
      <w:r w:rsidR="00E95C89">
        <w:rPr>
          <w:rFonts w:ascii="Arial" w:eastAsia="Arial" w:hAnsi="Arial" w:cs="Arial"/>
          <w:b/>
          <w:sz w:val="24"/>
          <w:szCs w:val="24"/>
          <w:lang w:val="en-GB"/>
        </w:rPr>
        <w:tab/>
        <w:t>Fifth Defendant</w:t>
      </w:r>
    </w:p>
    <w:p w14:paraId="57A0DF29" w14:textId="77777777" w:rsidR="00E95C89" w:rsidRDefault="00E95C89">
      <w:pPr>
        <w:spacing w:after="0" w:line="240" w:lineRule="auto"/>
        <w:jc w:val="both"/>
        <w:rPr>
          <w:rFonts w:ascii="Arial" w:eastAsia="Arial" w:hAnsi="Arial" w:cs="Arial"/>
          <w:b/>
          <w:sz w:val="24"/>
          <w:szCs w:val="24"/>
          <w:lang w:val="en-GB"/>
        </w:rPr>
      </w:pPr>
    </w:p>
    <w:p w14:paraId="39DCEB1E" w14:textId="1D072E7F" w:rsidR="00E95C89" w:rsidRDefault="00E95C89">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TAFADZ</w:t>
      </w:r>
      <w:r w:rsidR="008C11AD">
        <w:rPr>
          <w:rFonts w:ascii="Arial" w:eastAsia="Arial" w:hAnsi="Arial" w:cs="Arial"/>
          <w:b/>
          <w:sz w:val="24"/>
          <w:szCs w:val="24"/>
          <w:lang w:val="en-GB"/>
        </w:rPr>
        <w:t>W</w:t>
      </w:r>
      <w:r>
        <w:rPr>
          <w:rFonts w:ascii="Arial" w:eastAsia="Arial" w:hAnsi="Arial" w:cs="Arial"/>
          <w:b/>
          <w:sz w:val="24"/>
          <w:szCs w:val="24"/>
          <w:lang w:val="en-GB"/>
        </w:rPr>
        <w:t>A CHIFAMBA</w:t>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t>Sixth Defendant</w:t>
      </w:r>
    </w:p>
    <w:p w14:paraId="61E56070" w14:textId="77777777" w:rsidR="00E95C89" w:rsidRDefault="00E95C89">
      <w:pPr>
        <w:spacing w:after="0" w:line="240" w:lineRule="auto"/>
        <w:jc w:val="both"/>
        <w:rPr>
          <w:rFonts w:ascii="Arial" w:eastAsia="Arial" w:hAnsi="Arial" w:cs="Arial"/>
          <w:b/>
          <w:sz w:val="24"/>
          <w:szCs w:val="24"/>
          <w:lang w:val="en-GB"/>
        </w:rPr>
      </w:pPr>
    </w:p>
    <w:p w14:paraId="302B63BE" w14:textId="3AB08BB5" w:rsidR="00E95C89" w:rsidRDefault="00446AB3">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lastRenderedPageBreak/>
        <w:t>RUDOLF PHILIPPUS BADENHORST</w:t>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t>Seventh Defendant</w:t>
      </w:r>
    </w:p>
    <w:p w14:paraId="18EF3A0E" w14:textId="77777777" w:rsidR="00887303" w:rsidRDefault="00887303">
      <w:pPr>
        <w:spacing w:after="0" w:line="240" w:lineRule="auto"/>
        <w:jc w:val="both"/>
        <w:rPr>
          <w:rFonts w:ascii="Arial" w:eastAsia="Arial" w:hAnsi="Arial" w:cs="Arial"/>
          <w:b/>
          <w:sz w:val="24"/>
          <w:szCs w:val="24"/>
          <w:lang w:val="en-GB"/>
        </w:rPr>
      </w:pPr>
    </w:p>
    <w:p w14:paraId="56C8C3C5" w14:textId="77777777" w:rsidR="00A245CB" w:rsidRDefault="006A12DB">
      <w:pPr>
        <w:pBdr>
          <w:bottom w:val="single" w:sz="12" w:space="1" w:color="000000"/>
        </w:pBdr>
        <w:spacing w:after="0" w:line="240" w:lineRule="auto"/>
        <w:jc w:val="both"/>
        <w:rPr>
          <w:rFonts w:ascii="Arial" w:eastAsia="Arial" w:hAnsi="Arial" w:cs="Arial"/>
          <w:b/>
          <w:sz w:val="24"/>
          <w:szCs w:val="24"/>
        </w:rPr>
      </w:pPr>
      <w:r>
        <w:rPr>
          <w:rFonts w:ascii="Arial" w:eastAsia="Arial" w:hAnsi="Arial" w:cs="Arial"/>
          <w:b/>
          <w:sz w:val="24"/>
          <w:szCs w:val="24"/>
        </w:rPr>
        <w:t>___________________________________________________________________</w:t>
      </w:r>
    </w:p>
    <w:p w14:paraId="6F0B4D7B" w14:textId="77777777" w:rsidR="00A245CB" w:rsidRDefault="00A245CB">
      <w:pPr>
        <w:pBdr>
          <w:bottom w:val="single" w:sz="12" w:space="1" w:color="000000"/>
        </w:pBdr>
        <w:spacing w:after="0" w:line="240" w:lineRule="auto"/>
        <w:jc w:val="both"/>
        <w:rPr>
          <w:rFonts w:ascii="Arial" w:eastAsia="Arial" w:hAnsi="Arial" w:cs="Arial"/>
          <w:b/>
          <w:sz w:val="24"/>
          <w:szCs w:val="24"/>
        </w:rPr>
      </w:pPr>
    </w:p>
    <w:p w14:paraId="1FA85D9F" w14:textId="77777777" w:rsidR="00A245CB" w:rsidRDefault="006A12DB">
      <w:pPr>
        <w:pBdr>
          <w:bottom w:val="single" w:sz="12" w:space="1" w:color="000000"/>
        </w:pBdr>
        <w:spacing w:after="0" w:line="240" w:lineRule="auto"/>
        <w:jc w:val="center"/>
        <w:rPr>
          <w:rFonts w:ascii="Arial" w:eastAsia="Arial" w:hAnsi="Arial" w:cs="Arial"/>
          <w:b/>
          <w:sz w:val="24"/>
          <w:szCs w:val="24"/>
        </w:rPr>
      </w:pPr>
      <w:r>
        <w:rPr>
          <w:rFonts w:ascii="Arial" w:eastAsia="Arial" w:hAnsi="Arial" w:cs="Arial"/>
          <w:b/>
          <w:sz w:val="24"/>
          <w:szCs w:val="24"/>
        </w:rPr>
        <w:t>JUDGMENT</w:t>
      </w:r>
    </w:p>
    <w:p w14:paraId="191C7302" w14:textId="77777777" w:rsidR="00A245CB" w:rsidRDefault="00A245CB">
      <w:pPr>
        <w:pBdr>
          <w:bottom w:val="single" w:sz="12" w:space="1" w:color="000000"/>
        </w:pBdr>
        <w:spacing w:after="0" w:line="240" w:lineRule="auto"/>
        <w:jc w:val="both"/>
        <w:rPr>
          <w:rFonts w:ascii="Arial" w:eastAsia="Arial" w:hAnsi="Arial" w:cs="Arial"/>
          <w:b/>
          <w:sz w:val="24"/>
          <w:szCs w:val="24"/>
        </w:rPr>
      </w:pPr>
    </w:p>
    <w:p w14:paraId="63EFEDF4" w14:textId="77777777" w:rsidR="00F86C8D" w:rsidRDefault="00F86C8D">
      <w:pPr>
        <w:spacing w:after="0" w:line="240" w:lineRule="auto"/>
        <w:jc w:val="both"/>
        <w:rPr>
          <w:rFonts w:ascii="Arial" w:eastAsia="Arial" w:hAnsi="Arial" w:cs="Arial"/>
          <w:b/>
          <w:sz w:val="24"/>
          <w:szCs w:val="24"/>
        </w:rPr>
      </w:pPr>
    </w:p>
    <w:p w14:paraId="133971DC" w14:textId="77777777" w:rsidR="004B5C7C" w:rsidRDefault="004B5C7C">
      <w:pPr>
        <w:spacing w:after="0" w:line="240" w:lineRule="auto"/>
        <w:jc w:val="both"/>
        <w:rPr>
          <w:rFonts w:ascii="Arial" w:eastAsia="Arial" w:hAnsi="Arial" w:cs="Arial"/>
          <w:b/>
          <w:sz w:val="24"/>
          <w:szCs w:val="24"/>
        </w:rPr>
      </w:pPr>
    </w:p>
    <w:p w14:paraId="5946FF69" w14:textId="2EA0971C" w:rsidR="00F86C8D" w:rsidRPr="00936EB4" w:rsidRDefault="00F86C8D">
      <w:pPr>
        <w:spacing w:after="0" w:line="240" w:lineRule="auto"/>
        <w:jc w:val="both"/>
        <w:rPr>
          <w:rFonts w:ascii="Arial" w:eastAsia="Arial" w:hAnsi="Arial" w:cs="Arial"/>
          <w:b/>
          <w:sz w:val="24"/>
          <w:szCs w:val="24"/>
        </w:rPr>
      </w:pPr>
      <w:r w:rsidRPr="00936EB4">
        <w:rPr>
          <w:rFonts w:ascii="Arial" w:eastAsia="Arial" w:hAnsi="Arial" w:cs="Arial"/>
          <w:b/>
          <w:sz w:val="24"/>
          <w:szCs w:val="24"/>
        </w:rPr>
        <w:t>L. Meintjes AJ:</w:t>
      </w:r>
    </w:p>
    <w:p w14:paraId="4C33944A" w14:textId="53CB1F90" w:rsidR="00F86C8D" w:rsidRDefault="00F86C8D">
      <w:pPr>
        <w:spacing w:after="0" w:line="240" w:lineRule="auto"/>
        <w:jc w:val="both"/>
        <w:rPr>
          <w:rFonts w:ascii="Arial" w:eastAsia="Arial" w:hAnsi="Arial" w:cs="Arial"/>
          <w:b/>
          <w:sz w:val="24"/>
          <w:szCs w:val="24"/>
        </w:rPr>
      </w:pPr>
    </w:p>
    <w:p w14:paraId="6B02D2F3" w14:textId="77777777" w:rsidR="009B46AF" w:rsidRDefault="009B46AF">
      <w:pPr>
        <w:spacing w:after="0" w:line="240" w:lineRule="auto"/>
        <w:jc w:val="both"/>
        <w:rPr>
          <w:rFonts w:ascii="Arial" w:eastAsia="Arial" w:hAnsi="Arial" w:cs="Arial"/>
          <w:b/>
          <w:sz w:val="24"/>
          <w:szCs w:val="24"/>
        </w:rPr>
      </w:pPr>
    </w:p>
    <w:p w14:paraId="7366C0ED" w14:textId="603D5ECB" w:rsidR="00F86C8D" w:rsidRDefault="009B46AF" w:rsidP="00F86C8D">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sz w:val="24"/>
          <w:szCs w:val="24"/>
        </w:rPr>
        <w:t>Introduction</w:t>
      </w:r>
    </w:p>
    <w:p w14:paraId="6A711FD6" w14:textId="77777777" w:rsidR="00F86C8D" w:rsidRDefault="00F86C8D" w:rsidP="00F86C8D">
      <w:pPr>
        <w:pBdr>
          <w:top w:val="nil"/>
          <w:left w:val="nil"/>
          <w:bottom w:val="nil"/>
          <w:right w:val="nil"/>
          <w:between w:val="nil"/>
        </w:pBdr>
        <w:spacing w:after="0" w:line="360" w:lineRule="auto"/>
        <w:jc w:val="both"/>
        <w:rPr>
          <w:rFonts w:ascii="Arial" w:eastAsia="Arial" w:hAnsi="Arial" w:cs="Arial"/>
          <w:color w:val="000000"/>
          <w:sz w:val="24"/>
          <w:szCs w:val="24"/>
        </w:rPr>
      </w:pPr>
    </w:p>
    <w:p w14:paraId="0BB9288B" w14:textId="7DFFB300" w:rsidR="000D5532"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r>
      <w:r w:rsidR="004B5C7C" w:rsidRPr="00A55D51">
        <w:rPr>
          <w:rFonts w:ascii="Arial" w:eastAsia="Arial" w:hAnsi="Arial" w:cs="Arial"/>
          <w:color w:val="000000"/>
          <w:sz w:val="24"/>
          <w:szCs w:val="24"/>
        </w:rPr>
        <w:t xml:space="preserve">The plaintiff is Floorworx Africa (Pty) Ltd that </w:t>
      </w:r>
      <w:r w:rsidR="00800D58" w:rsidRPr="00A55D51">
        <w:rPr>
          <w:rFonts w:ascii="Arial" w:eastAsia="Arial" w:hAnsi="Arial" w:cs="Arial"/>
          <w:color w:val="000000"/>
          <w:sz w:val="24"/>
          <w:szCs w:val="24"/>
        </w:rPr>
        <w:t>carries on business as a manufacturer of vinyl tiles and as an importer and distributor of floor coverings and wooden floors.  The first defendant is Mazars</w:t>
      </w:r>
      <w:r w:rsidR="00553DFD" w:rsidRPr="00A55D51">
        <w:rPr>
          <w:rFonts w:ascii="Arial" w:eastAsia="Arial" w:hAnsi="Arial" w:cs="Arial"/>
          <w:color w:val="000000"/>
          <w:sz w:val="24"/>
          <w:szCs w:val="24"/>
        </w:rPr>
        <w:t xml:space="preserve"> (Gauteng) Inc that is in the business of </w:t>
      </w:r>
      <w:r w:rsidR="001C7610" w:rsidRPr="00A55D51">
        <w:rPr>
          <w:rFonts w:ascii="Arial" w:eastAsia="Arial" w:hAnsi="Arial" w:cs="Arial"/>
          <w:color w:val="000000"/>
          <w:sz w:val="24"/>
          <w:szCs w:val="24"/>
        </w:rPr>
        <w:t>providing the services of chartered accountants and registered auditors.  The remaining six defendants are auditors by profession</w:t>
      </w:r>
      <w:r w:rsidR="003E1B84" w:rsidRPr="00A55D51">
        <w:rPr>
          <w:rFonts w:ascii="Arial" w:eastAsia="Arial" w:hAnsi="Arial" w:cs="Arial"/>
          <w:color w:val="000000"/>
          <w:sz w:val="24"/>
          <w:szCs w:val="24"/>
        </w:rPr>
        <w:t xml:space="preserve"> and were at one stage or another a director of the first defendant.</w:t>
      </w:r>
      <w:r w:rsidR="002B4C6D" w:rsidRPr="00A55D51">
        <w:rPr>
          <w:rFonts w:ascii="Arial" w:eastAsia="Arial" w:hAnsi="Arial" w:cs="Arial"/>
          <w:color w:val="000000"/>
          <w:sz w:val="24"/>
          <w:szCs w:val="24"/>
        </w:rPr>
        <w:t xml:space="preserve">  Hereinafter I refer to the plaintiff as “</w:t>
      </w:r>
      <w:r w:rsidR="002B4C6D" w:rsidRPr="00A55D51">
        <w:rPr>
          <w:rFonts w:ascii="Arial" w:eastAsia="Arial" w:hAnsi="Arial" w:cs="Arial"/>
          <w:i/>
          <w:iCs/>
          <w:color w:val="000000"/>
          <w:sz w:val="24"/>
          <w:szCs w:val="24"/>
        </w:rPr>
        <w:t>Floorworx</w:t>
      </w:r>
      <w:r w:rsidR="002B4C6D" w:rsidRPr="00A55D51">
        <w:rPr>
          <w:rFonts w:ascii="Arial" w:eastAsia="Arial" w:hAnsi="Arial" w:cs="Arial"/>
          <w:color w:val="000000"/>
          <w:sz w:val="24"/>
          <w:szCs w:val="24"/>
        </w:rPr>
        <w:t>”</w:t>
      </w:r>
      <w:r w:rsidR="004D197C" w:rsidRPr="00A55D51">
        <w:rPr>
          <w:rFonts w:ascii="Arial" w:eastAsia="Arial" w:hAnsi="Arial" w:cs="Arial"/>
          <w:color w:val="000000"/>
          <w:sz w:val="24"/>
          <w:szCs w:val="24"/>
        </w:rPr>
        <w:t xml:space="preserve">, while </w:t>
      </w:r>
      <w:r w:rsidR="008E4743" w:rsidRPr="00A55D51">
        <w:rPr>
          <w:rFonts w:ascii="Arial" w:eastAsia="Arial" w:hAnsi="Arial" w:cs="Arial"/>
          <w:color w:val="000000"/>
          <w:sz w:val="24"/>
          <w:szCs w:val="24"/>
        </w:rPr>
        <w:t>all the</w:t>
      </w:r>
      <w:r w:rsidR="004D197C" w:rsidRPr="00A55D51">
        <w:rPr>
          <w:rFonts w:ascii="Arial" w:eastAsia="Arial" w:hAnsi="Arial" w:cs="Arial"/>
          <w:color w:val="000000"/>
          <w:sz w:val="24"/>
          <w:szCs w:val="24"/>
        </w:rPr>
        <w:t xml:space="preserve"> defendants shall be referred to collectively as “</w:t>
      </w:r>
      <w:r w:rsidR="004D197C" w:rsidRPr="00A55D51">
        <w:rPr>
          <w:rFonts w:ascii="Arial" w:eastAsia="Arial" w:hAnsi="Arial" w:cs="Arial"/>
          <w:i/>
          <w:iCs/>
          <w:color w:val="000000"/>
          <w:sz w:val="24"/>
          <w:szCs w:val="24"/>
        </w:rPr>
        <w:t>Mazars</w:t>
      </w:r>
      <w:r w:rsidR="004D197C" w:rsidRPr="00A55D51">
        <w:rPr>
          <w:rFonts w:ascii="Arial" w:eastAsia="Arial" w:hAnsi="Arial" w:cs="Arial"/>
          <w:color w:val="000000"/>
          <w:sz w:val="24"/>
          <w:szCs w:val="24"/>
        </w:rPr>
        <w:t>”</w:t>
      </w:r>
      <w:r w:rsidR="00CF1561" w:rsidRPr="00A55D51">
        <w:rPr>
          <w:rFonts w:ascii="Arial" w:eastAsia="Arial" w:hAnsi="Arial" w:cs="Arial"/>
          <w:color w:val="000000"/>
          <w:sz w:val="24"/>
          <w:szCs w:val="24"/>
        </w:rPr>
        <w:t>.  This is done for purposes of convenience, to avoid confusion and because the parties were referred to as aforesaid during the hearing and in the Heads of Argument</w:t>
      </w:r>
      <w:r w:rsidR="00B248E5" w:rsidRPr="00A55D51">
        <w:rPr>
          <w:rFonts w:ascii="Arial" w:eastAsia="Arial" w:hAnsi="Arial" w:cs="Arial"/>
          <w:color w:val="000000"/>
          <w:sz w:val="24"/>
          <w:szCs w:val="24"/>
        </w:rPr>
        <w:t xml:space="preserve">.  No disrespect is intended </w:t>
      </w:r>
      <w:r w:rsidR="008E4743" w:rsidRPr="00A55D51">
        <w:rPr>
          <w:rFonts w:ascii="Arial" w:eastAsia="Arial" w:hAnsi="Arial" w:cs="Arial"/>
          <w:color w:val="000000"/>
          <w:sz w:val="24"/>
          <w:szCs w:val="24"/>
        </w:rPr>
        <w:t>by referring</w:t>
      </w:r>
      <w:r w:rsidR="00B248E5" w:rsidRPr="00A55D51">
        <w:rPr>
          <w:rFonts w:ascii="Arial" w:eastAsia="Arial" w:hAnsi="Arial" w:cs="Arial"/>
          <w:color w:val="000000"/>
          <w:sz w:val="24"/>
          <w:szCs w:val="24"/>
        </w:rPr>
        <w:t xml:space="preserve"> to the parties in the aforesaid manner.</w:t>
      </w:r>
    </w:p>
    <w:p w14:paraId="45EFBA37" w14:textId="77777777" w:rsidR="00B248E5" w:rsidRDefault="00B248E5" w:rsidP="00B248E5">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F3289FF" w14:textId="07188B85" w:rsidR="00B248E5"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w:t>
      </w:r>
      <w:bookmarkStart w:id="0" w:name="_GoBack"/>
      <w:bookmarkEnd w:id="0"/>
      <w:r>
        <w:rPr>
          <w:rFonts w:ascii="Arial" w:eastAsia="Arial" w:hAnsi="Arial" w:cs="Arial"/>
          <w:color w:val="000000"/>
          <w:sz w:val="24"/>
          <w:szCs w:val="24"/>
        </w:rPr>
        <w:t>.</w:t>
      </w:r>
      <w:r>
        <w:rPr>
          <w:rFonts w:ascii="Arial" w:eastAsia="Arial" w:hAnsi="Arial" w:cs="Arial"/>
          <w:color w:val="000000"/>
          <w:sz w:val="24"/>
          <w:szCs w:val="24"/>
        </w:rPr>
        <w:tab/>
      </w:r>
      <w:r w:rsidR="000F634B" w:rsidRPr="00A55D51">
        <w:rPr>
          <w:rFonts w:ascii="Arial" w:eastAsia="Arial" w:hAnsi="Arial" w:cs="Arial"/>
          <w:color w:val="000000"/>
          <w:sz w:val="24"/>
          <w:szCs w:val="24"/>
        </w:rPr>
        <w:t xml:space="preserve">Floorworx claims between R68,884,325.00 and R2,793,203.00 from Mazars (as the first defendant), </w:t>
      </w:r>
      <w:r w:rsidR="009C2BC2" w:rsidRPr="00A55D51">
        <w:rPr>
          <w:rFonts w:ascii="Arial" w:eastAsia="Arial" w:hAnsi="Arial" w:cs="Arial"/>
          <w:color w:val="000000"/>
          <w:sz w:val="24"/>
          <w:szCs w:val="24"/>
        </w:rPr>
        <w:t>based on 10 claims</w:t>
      </w:r>
      <w:r w:rsidR="000A5C04" w:rsidRPr="00A55D51">
        <w:rPr>
          <w:rFonts w:ascii="Arial" w:eastAsia="Arial" w:hAnsi="Arial" w:cs="Arial"/>
          <w:color w:val="000000"/>
          <w:sz w:val="24"/>
          <w:szCs w:val="24"/>
        </w:rPr>
        <w:t xml:space="preserve">.  It also </w:t>
      </w:r>
      <w:r w:rsidR="000F4F1D" w:rsidRPr="00A55D51">
        <w:rPr>
          <w:rFonts w:ascii="Arial" w:eastAsia="Arial" w:hAnsi="Arial" w:cs="Arial"/>
          <w:color w:val="000000"/>
          <w:sz w:val="24"/>
          <w:szCs w:val="24"/>
        </w:rPr>
        <w:t xml:space="preserve">seeks to hold the other defendants liable </w:t>
      </w:r>
      <w:r w:rsidR="00B77172" w:rsidRPr="00A55D51">
        <w:rPr>
          <w:rFonts w:ascii="Arial" w:eastAsia="Arial" w:hAnsi="Arial" w:cs="Arial"/>
          <w:color w:val="000000"/>
          <w:sz w:val="24"/>
          <w:szCs w:val="24"/>
        </w:rPr>
        <w:t xml:space="preserve">jointly and severally </w:t>
      </w:r>
      <w:r w:rsidR="00432D44" w:rsidRPr="00A55D51">
        <w:rPr>
          <w:rFonts w:ascii="Arial" w:eastAsia="Arial" w:hAnsi="Arial" w:cs="Arial"/>
          <w:color w:val="000000"/>
          <w:sz w:val="24"/>
          <w:szCs w:val="24"/>
        </w:rPr>
        <w:t>with Mazars (as the first defendant), purportedly in proportion to the</w:t>
      </w:r>
      <w:r w:rsidR="00784793" w:rsidRPr="00A55D51">
        <w:rPr>
          <w:rFonts w:ascii="Arial" w:eastAsia="Arial" w:hAnsi="Arial" w:cs="Arial"/>
          <w:color w:val="000000"/>
          <w:sz w:val="24"/>
          <w:szCs w:val="24"/>
        </w:rPr>
        <w:t>ir</w:t>
      </w:r>
      <w:r w:rsidR="00432D44" w:rsidRPr="00A55D51">
        <w:rPr>
          <w:rFonts w:ascii="Arial" w:eastAsia="Arial" w:hAnsi="Arial" w:cs="Arial"/>
          <w:color w:val="000000"/>
          <w:sz w:val="24"/>
          <w:szCs w:val="24"/>
        </w:rPr>
        <w:t xml:space="preserve"> respective periods of directorship</w:t>
      </w:r>
      <w:r w:rsidR="00E32878" w:rsidRPr="00A55D51">
        <w:rPr>
          <w:rFonts w:ascii="Arial" w:eastAsia="Arial" w:hAnsi="Arial" w:cs="Arial"/>
          <w:color w:val="000000"/>
          <w:sz w:val="24"/>
          <w:szCs w:val="24"/>
        </w:rPr>
        <w:t xml:space="preserve"> of Mazars</w:t>
      </w:r>
      <w:r w:rsidR="00432D44" w:rsidRPr="00A55D51">
        <w:rPr>
          <w:rFonts w:ascii="Arial" w:eastAsia="Arial" w:hAnsi="Arial" w:cs="Arial"/>
          <w:color w:val="000000"/>
          <w:sz w:val="24"/>
          <w:szCs w:val="24"/>
        </w:rPr>
        <w:t xml:space="preserve">. </w:t>
      </w:r>
      <w:r w:rsidR="001D4E3C" w:rsidRPr="00A55D51">
        <w:rPr>
          <w:rFonts w:ascii="Arial" w:eastAsia="Arial" w:hAnsi="Arial" w:cs="Arial"/>
          <w:color w:val="000000"/>
          <w:sz w:val="24"/>
          <w:szCs w:val="24"/>
        </w:rPr>
        <w:t>Floorworx alleges that these 10 claims are based on negligent audits carried out by Mazars for the financial years end</w:t>
      </w:r>
      <w:r w:rsidR="00C861D4" w:rsidRPr="00A55D51">
        <w:rPr>
          <w:rFonts w:ascii="Arial" w:eastAsia="Arial" w:hAnsi="Arial" w:cs="Arial"/>
          <w:color w:val="000000"/>
          <w:sz w:val="24"/>
          <w:szCs w:val="24"/>
        </w:rPr>
        <w:t>ing</w:t>
      </w:r>
      <w:r w:rsidR="001D4E3C" w:rsidRPr="00A55D51">
        <w:rPr>
          <w:rFonts w:ascii="Arial" w:eastAsia="Arial" w:hAnsi="Arial" w:cs="Arial"/>
          <w:color w:val="000000"/>
          <w:sz w:val="24"/>
          <w:szCs w:val="24"/>
        </w:rPr>
        <w:t xml:space="preserve"> between 30 June 2006 and 30 June 2015.</w:t>
      </w:r>
    </w:p>
    <w:p w14:paraId="74A2CF93" w14:textId="77777777" w:rsidR="00A012AC" w:rsidRPr="00A012AC" w:rsidRDefault="00A012AC" w:rsidP="00A012AC">
      <w:pPr>
        <w:pStyle w:val="ListParagraph"/>
        <w:rPr>
          <w:rFonts w:ascii="Arial" w:eastAsia="Arial" w:hAnsi="Arial" w:cs="Arial"/>
          <w:color w:val="000000"/>
          <w:sz w:val="24"/>
          <w:szCs w:val="24"/>
        </w:rPr>
      </w:pPr>
    </w:p>
    <w:p w14:paraId="72990D5E" w14:textId="2BD33F09" w:rsidR="00A012AC"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r>
      <w:r w:rsidR="00A012AC" w:rsidRPr="00A55D51">
        <w:rPr>
          <w:rFonts w:ascii="Arial" w:eastAsia="Arial" w:hAnsi="Arial" w:cs="Arial"/>
          <w:color w:val="000000"/>
          <w:sz w:val="24"/>
          <w:szCs w:val="24"/>
        </w:rPr>
        <w:t>Floorworx initiated action proceedings by way of Combined Summons against Mazars on 5 December 2018.</w:t>
      </w:r>
      <w:r w:rsidR="00894779" w:rsidRPr="00A55D51">
        <w:rPr>
          <w:rFonts w:ascii="Arial" w:eastAsia="Arial" w:hAnsi="Arial" w:cs="Arial"/>
          <w:color w:val="000000"/>
          <w:sz w:val="24"/>
          <w:szCs w:val="24"/>
        </w:rPr>
        <w:t xml:space="preserve">  The Particulars of Claim was amended on 8 January 2020 as prescribed by Rule 28 and subsequent to </w:t>
      </w:r>
      <w:r w:rsidR="00722C63" w:rsidRPr="00A55D51">
        <w:rPr>
          <w:rFonts w:ascii="Arial" w:eastAsia="Arial" w:hAnsi="Arial" w:cs="Arial"/>
          <w:color w:val="000000"/>
          <w:sz w:val="24"/>
          <w:szCs w:val="24"/>
        </w:rPr>
        <w:t>a</w:t>
      </w:r>
      <w:r w:rsidR="00894779" w:rsidRPr="00A55D51">
        <w:rPr>
          <w:rFonts w:ascii="Arial" w:eastAsia="Arial" w:hAnsi="Arial" w:cs="Arial"/>
          <w:color w:val="000000"/>
          <w:sz w:val="24"/>
          <w:szCs w:val="24"/>
        </w:rPr>
        <w:t xml:space="preserve"> notice to remove </w:t>
      </w:r>
      <w:r w:rsidR="00722C63" w:rsidRPr="00A55D51">
        <w:rPr>
          <w:rFonts w:ascii="Arial" w:eastAsia="Arial" w:hAnsi="Arial" w:cs="Arial"/>
          <w:color w:val="000000"/>
          <w:sz w:val="24"/>
          <w:szCs w:val="24"/>
        </w:rPr>
        <w:lastRenderedPageBreak/>
        <w:t xml:space="preserve">a </w:t>
      </w:r>
      <w:r w:rsidR="00894779" w:rsidRPr="00A55D51">
        <w:rPr>
          <w:rFonts w:ascii="Arial" w:eastAsia="Arial" w:hAnsi="Arial" w:cs="Arial"/>
          <w:color w:val="000000"/>
          <w:sz w:val="24"/>
          <w:szCs w:val="24"/>
        </w:rPr>
        <w:t>cause of complaint in terms of Rule 23(1) and Rule 30(2)(b)</w:t>
      </w:r>
      <w:r w:rsidR="00722C63" w:rsidRPr="00A55D51">
        <w:rPr>
          <w:rFonts w:ascii="Arial" w:eastAsia="Arial" w:hAnsi="Arial" w:cs="Arial"/>
          <w:color w:val="000000"/>
          <w:sz w:val="24"/>
          <w:szCs w:val="24"/>
        </w:rPr>
        <w:t xml:space="preserve"> [hereinafter “</w:t>
      </w:r>
      <w:r w:rsidR="00500D6F" w:rsidRPr="00A55D51">
        <w:rPr>
          <w:rFonts w:ascii="Arial" w:eastAsia="Arial" w:hAnsi="Arial" w:cs="Arial"/>
          <w:i/>
          <w:iCs/>
          <w:color w:val="000000"/>
          <w:sz w:val="24"/>
          <w:szCs w:val="24"/>
        </w:rPr>
        <w:t>f</w:t>
      </w:r>
      <w:r w:rsidR="00722C63" w:rsidRPr="00A55D51">
        <w:rPr>
          <w:rFonts w:ascii="Arial" w:eastAsia="Arial" w:hAnsi="Arial" w:cs="Arial"/>
          <w:i/>
          <w:iCs/>
          <w:color w:val="000000"/>
          <w:sz w:val="24"/>
          <w:szCs w:val="24"/>
        </w:rPr>
        <w:t xml:space="preserve">irst </w:t>
      </w:r>
      <w:r w:rsidR="00500D6F" w:rsidRPr="00A55D51">
        <w:rPr>
          <w:rFonts w:ascii="Arial" w:eastAsia="Arial" w:hAnsi="Arial" w:cs="Arial"/>
          <w:i/>
          <w:iCs/>
          <w:color w:val="000000"/>
          <w:sz w:val="24"/>
          <w:szCs w:val="24"/>
        </w:rPr>
        <w:t>n</w:t>
      </w:r>
      <w:r w:rsidR="00722C63" w:rsidRPr="00A55D51">
        <w:rPr>
          <w:rFonts w:ascii="Arial" w:eastAsia="Arial" w:hAnsi="Arial" w:cs="Arial"/>
          <w:i/>
          <w:iCs/>
          <w:color w:val="000000"/>
          <w:sz w:val="24"/>
          <w:szCs w:val="24"/>
        </w:rPr>
        <w:t xml:space="preserve">otice to </w:t>
      </w:r>
      <w:r w:rsidR="00500D6F" w:rsidRPr="00A55D51">
        <w:rPr>
          <w:rFonts w:ascii="Arial" w:eastAsia="Arial" w:hAnsi="Arial" w:cs="Arial"/>
          <w:i/>
          <w:iCs/>
          <w:color w:val="000000"/>
          <w:sz w:val="24"/>
          <w:szCs w:val="24"/>
        </w:rPr>
        <w:t>r</w:t>
      </w:r>
      <w:r w:rsidR="00722C63" w:rsidRPr="00A55D51">
        <w:rPr>
          <w:rFonts w:ascii="Arial" w:eastAsia="Arial" w:hAnsi="Arial" w:cs="Arial"/>
          <w:i/>
          <w:iCs/>
          <w:color w:val="000000"/>
          <w:sz w:val="24"/>
          <w:szCs w:val="24"/>
        </w:rPr>
        <w:t xml:space="preserve">emove </w:t>
      </w:r>
      <w:r w:rsidR="00500D6F" w:rsidRPr="00A55D51">
        <w:rPr>
          <w:rFonts w:ascii="Arial" w:eastAsia="Arial" w:hAnsi="Arial" w:cs="Arial"/>
          <w:i/>
          <w:iCs/>
          <w:color w:val="000000"/>
          <w:sz w:val="24"/>
          <w:szCs w:val="24"/>
        </w:rPr>
        <w:t>c</w:t>
      </w:r>
      <w:r w:rsidR="00722C63" w:rsidRPr="00A55D51">
        <w:rPr>
          <w:rFonts w:ascii="Arial" w:eastAsia="Arial" w:hAnsi="Arial" w:cs="Arial"/>
          <w:i/>
          <w:iCs/>
          <w:color w:val="000000"/>
          <w:sz w:val="24"/>
          <w:szCs w:val="24"/>
        </w:rPr>
        <w:t>omplaint</w:t>
      </w:r>
      <w:r w:rsidR="00722C63" w:rsidRPr="00A55D51">
        <w:rPr>
          <w:rFonts w:ascii="Arial" w:eastAsia="Arial" w:hAnsi="Arial" w:cs="Arial"/>
          <w:color w:val="000000"/>
          <w:sz w:val="24"/>
          <w:szCs w:val="24"/>
        </w:rPr>
        <w:t>”</w:t>
      </w:r>
      <w:r w:rsidR="00E32878" w:rsidRPr="00A55D51">
        <w:rPr>
          <w:rFonts w:ascii="Arial" w:eastAsia="Arial" w:hAnsi="Arial" w:cs="Arial"/>
          <w:color w:val="000000"/>
          <w:sz w:val="24"/>
          <w:szCs w:val="24"/>
        </w:rPr>
        <w:t>]</w:t>
      </w:r>
      <w:r w:rsidR="00894779" w:rsidRPr="00A55D51">
        <w:rPr>
          <w:rFonts w:ascii="Arial" w:eastAsia="Arial" w:hAnsi="Arial" w:cs="Arial"/>
          <w:color w:val="000000"/>
          <w:sz w:val="24"/>
          <w:szCs w:val="24"/>
        </w:rPr>
        <w:t>.</w:t>
      </w:r>
    </w:p>
    <w:p w14:paraId="46C85E14" w14:textId="77777777" w:rsidR="00894779" w:rsidRPr="00894779" w:rsidRDefault="00894779" w:rsidP="00894779">
      <w:pPr>
        <w:pStyle w:val="ListParagraph"/>
        <w:rPr>
          <w:rFonts w:ascii="Arial" w:eastAsia="Arial" w:hAnsi="Arial" w:cs="Arial"/>
          <w:color w:val="000000"/>
          <w:sz w:val="24"/>
          <w:szCs w:val="24"/>
        </w:rPr>
      </w:pPr>
    </w:p>
    <w:p w14:paraId="36A082D8" w14:textId="2AECAEA2" w:rsidR="00894779"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r>
      <w:r w:rsidR="00B66ED2" w:rsidRPr="00A55D51">
        <w:rPr>
          <w:rFonts w:ascii="Arial" w:eastAsia="Arial" w:hAnsi="Arial" w:cs="Arial"/>
          <w:color w:val="000000"/>
          <w:sz w:val="24"/>
          <w:szCs w:val="24"/>
        </w:rPr>
        <w:t>Thereafter, Mazars again caused a further notice to remove a cause of complaint in terms of Rule 23(1), Rule 23(2) and Rule 30(2)(b) to be served upon Floorworx</w:t>
      </w:r>
      <w:r w:rsidR="00E51DDF" w:rsidRPr="00A55D51">
        <w:rPr>
          <w:rFonts w:ascii="Arial" w:eastAsia="Arial" w:hAnsi="Arial" w:cs="Arial"/>
          <w:color w:val="000000"/>
          <w:sz w:val="24"/>
          <w:szCs w:val="24"/>
        </w:rPr>
        <w:t xml:space="preserve"> [hereinafter “</w:t>
      </w:r>
      <w:r w:rsidR="00E51DDF" w:rsidRPr="00A55D51">
        <w:rPr>
          <w:rFonts w:ascii="Arial" w:eastAsia="Arial" w:hAnsi="Arial" w:cs="Arial"/>
          <w:i/>
          <w:iCs/>
          <w:color w:val="000000"/>
          <w:sz w:val="24"/>
          <w:szCs w:val="24"/>
        </w:rPr>
        <w:t>second notice to remove complain</w:t>
      </w:r>
      <w:r w:rsidR="00E32878" w:rsidRPr="00A55D51">
        <w:rPr>
          <w:rFonts w:ascii="Arial" w:eastAsia="Arial" w:hAnsi="Arial" w:cs="Arial"/>
          <w:i/>
          <w:iCs/>
          <w:color w:val="000000"/>
          <w:sz w:val="24"/>
          <w:szCs w:val="24"/>
        </w:rPr>
        <w:t>t</w:t>
      </w:r>
      <w:r w:rsidR="00E51DDF" w:rsidRPr="00A55D51">
        <w:rPr>
          <w:rFonts w:ascii="Arial" w:eastAsia="Arial" w:hAnsi="Arial" w:cs="Arial"/>
          <w:color w:val="000000"/>
          <w:sz w:val="24"/>
          <w:szCs w:val="24"/>
        </w:rPr>
        <w:t>”</w:t>
      </w:r>
      <w:r w:rsidR="00E32878" w:rsidRPr="00A55D51">
        <w:rPr>
          <w:rFonts w:ascii="Arial" w:eastAsia="Arial" w:hAnsi="Arial" w:cs="Arial"/>
          <w:color w:val="000000"/>
          <w:sz w:val="24"/>
          <w:szCs w:val="24"/>
        </w:rPr>
        <w:t>]</w:t>
      </w:r>
      <w:r w:rsidR="00E51DDF" w:rsidRPr="00A55D51">
        <w:rPr>
          <w:rFonts w:ascii="Arial" w:eastAsia="Arial" w:hAnsi="Arial" w:cs="Arial"/>
          <w:color w:val="000000"/>
          <w:sz w:val="24"/>
          <w:szCs w:val="24"/>
        </w:rPr>
        <w:t xml:space="preserve">.  </w:t>
      </w:r>
      <w:r w:rsidR="00DB315B" w:rsidRPr="00A55D51">
        <w:rPr>
          <w:rFonts w:ascii="Arial" w:eastAsia="Arial" w:hAnsi="Arial" w:cs="Arial"/>
          <w:color w:val="000000"/>
          <w:sz w:val="24"/>
          <w:szCs w:val="24"/>
        </w:rPr>
        <w:t xml:space="preserve">Essentially the </w:t>
      </w:r>
      <w:r w:rsidR="00E51DDF" w:rsidRPr="00A55D51">
        <w:rPr>
          <w:rFonts w:ascii="Arial" w:eastAsia="Arial" w:hAnsi="Arial" w:cs="Arial"/>
          <w:color w:val="000000"/>
          <w:sz w:val="24"/>
          <w:szCs w:val="24"/>
        </w:rPr>
        <w:t>second notice to remove complaint</w:t>
      </w:r>
      <w:r w:rsidR="00DB315B" w:rsidRPr="00A55D51">
        <w:rPr>
          <w:rFonts w:ascii="Arial" w:eastAsia="Arial" w:hAnsi="Arial" w:cs="Arial"/>
          <w:color w:val="000000"/>
          <w:sz w:val="24"/>
          <w:szCs w:val="24"/>
        </w:rPr>
        <w:t xml:space="preserve"> is a </w:t>
      </w:r>
      <w:r w:rsidR="006C51CF" w:rsidRPr="00A55D51">
        <w:rPr>
          <w:rFonts w:ascii="Arial" w:eastAsia="Arial" w:hAnsi="Arial" w:cs="Arial"/>
          <w:color w:val="000000"/>
          <w:sz w:val="24"/>
          <w:szCs w:val="24"/>
        </w:rPr>
        <w:t>precursor</w:t>
      </w:r>
      <w:r w:rsidR="00DB315B" w:rsidRPr="00A55D51">
        <w:rPr>
          <w:rFonts w:ascii="Arial" w:eastAsia="Arial" w:hAnsi="Arial" w:cs="Arial"/>
          <w:color w:val="000000"/>
          <w:sz w:val="24"/>
          <w:szCs w:val="24"/>
        </w:rPr>
        <w:t xml:space="preserve"> </w:t>
      </w:r>
      <w:r w:rsidR="006C51CF" w:rsidRPr="00A55D51">
        <w:rPr>
          <w:rFonts w:ascii="Arial" w:eastAsia="Arial" w:hAnsi="Arial" w:cs="Arial"/>
          <w:color w:val="000000"/>
          <w:sz w:val="24"/>
          <w:szCs w:val="24"/>
        </w:rPr>
        <w:t>for two exceptions.  The first exception is based on a lack of a cause of action, alternatively</w:t>
      </w:r>
      <w:r w:rsidR="00E05077" w:rsidRPr="00A55D51">
        <w:rPr>
          <w:rFonts w:ascii="Arial" w:eastAsia="Arial" w:hAnsi="Arial" w:cs="Arial"/>
          <w:color w:val="000000"/>
          <w:sz w:val="24"/>
          <w:szCs w:val="24"/>
        </w:rPr>
        <w:t xml:space="preserve"> based on</w:t>
      </w:r>
      <w:r w:rsidR="006C51CF" w:rsidRPr="00A55D51">
        <w:rPr>
          <w:rFonts w:ascii="Arial" w:eastAsia="Arial" w:hAnsi="Arial" w:cs="Arial"/>
          <w:color w:val="000000"/>
          <w:sz w:val="24"/>
          <w:szCs w:val="24"/>
        </w:rPr>
        <w:t xml:space="preserve"> vague and embarrassing grounds, while the second exception is based upon vague and embarrassing grounds only.  In addition, the notice also dealt with the manner and/or form in which it is alleged that the Amended Particulars of Claim failed to comply with Rule 18 and therefore constitutes an irregularity.</w:t>
      </w:r>
    </w:p>
    <w:p w14:paraId="14F25561" w14:textId="77777777" w:rsidR="006C51CF" w:rsidRPr="006C51CF" w:rsidRDefault="006C51CF" w:rsidP="006C51CF">
      <w:pPr>
        <w:pStyle w:val="ListParagraph"/>
        <w:rPr>
          <w:rFonts w:ascii="Arial" w:eastAsia="Arial" w:hAnsi="Arial" w:cs="Arial"/>
          <w:color w:val="000000"/>
          <w:sz w:val="24"/>
          <w:szCs w:val="24"/>
        </w:rPr>
      </w:pPr>
    </w:p>
    <w:p w14:paraId="31513F33" w14:textId="0A347436" w:rsidR="006C51CF"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r>
      <w:r w:rsidR="003F0C71" w:rsidRPr="00A55D51">
        <w:rPr>
          <w:rFonts w:ascii="Arial" w:eastAsia="Arial" w:hAnsi="Arial" w:cs="Arial"/>
          <w:color w:val="000000"/>
          <w:sz w:val="24"/>
          <w:szCs w:val="24"/>
        </w:rPr>
        <w:t>Floorworx did not comply with the second notice to remove complaint. Mazar</w:t>
      </w:r>
      <w:r w:rsidR="00FB11EE" w:rsidRPr="00A55D51">
        <w:rPr>
          <w:rFonts w:ascii="Arial" w:eastAsia="Arial" w:hAnsi="Arial" w:cs="Arial"/>
          <w:color w:val="000000"/>
          <w:sz w:val="24"/>
          <w:szCs w:val="24"/>
        </w:rPr>
        <w:t xml:space="preserve">s, however, </w:t>
      </w:r>
      <w:r w:rsidR="003F0C71" w:rsidRPr="00A55D51">
        <w:rPr>
          <w:rFonts w:ascii="Arial" w:eastAsia="Arial" w:hAnsi="Arial" w:cs="Arial"/>
          <w:color w:val="000000"/>
          <w:sz w:val="24"/>
          <w:szCs w:val="24"/>
        </w:rPr>
        <w:t xml:space="preserve">failed to launch the application in terms of Rule 30(1) </w:t>
      </w:r>
      <w:r w:rsidR="00FB11EE" w:rsidRPr="00A55D51">
        <w:rPr>
          <w:rFonts w:ascii="Arial" w:eastAsia="Arial" w:hAnsi="Arial" w:cs="Arial"/>
          <w:color w:val="000000"/>
          <w:sz w:val="24"/>
          <w:szCs w:val="24"/>
        </w:rPr>
        <w:t xml:space="preserve">by </w:t>
      </w:r>
      <w:r w:rsidR="003F0C71" w:rsidRPr="00A55D51">
        <w:rPr>
          <w:rFonts w:ascii="Arial" w:eastAsia="Arial" w:hAnsi="Arial" w:cs="Arial"/>
          <w:color w:val="000000"/>
          <w:sz w:val="24"/>
          <w:szCs w:val="24"/>
        </w:rPr>
        <w:t>4 March 2020</w:t>
      </w:r>
      <w:r w:rsidR="00BB43AD">
        <w:rPr>
          <w:rStyle w:val="FootnoteReference"/>
          <w:rFonts w:ascii="Arial" w:eastAsia="Arial" w:hAnsi="Arial" w:cs="Arial"/>
          <w:color w:val="000000"/>
          <w:sz w:val="24"/>
          <w:szCs w:val="24"/>
        </w:rPr>
        <w:footnoteReference w:id="1"/>
      </w:r>
      <w:r w:rsidR="003F0C71" w:rsidRPr="00A55D51">
        <w:rPr>
          <w:rFonts w:ascii="Arial" w:eastAsia="Arial" w:hAnsi="Arial" w:cs="Arial"/>
          <w:color w:val="000000"/>
          <w:sz w:val="24"/>
          <w:szCs w:val="24"/>
        </w:rPr>
        <w:t xml:space="preserve"> and also failed to deliver </w:t>
      </w:r>
      <w:r w:rsidR="00E32878" w:rsidRPr="00A55D51">
        <w:rPr>
          <w:rFonts w:ascii="Arial" w:eastAsia="Arial" w:hAnsi="Arial" w:cs="Arial"/>
          <w:color w:val="000000"/>
          <w:sz w:val="24"/>
          <w:szCs w:val="24"/>
        </w:rPr>
        <w:t xml:space="preserve">its </w:t>
      </w:r>
      <w:r w:rsidR="003F0C71" w:rsidRPr="00A55D51">
        <w:rPr>
          <w:rFonts w:ascii="Arial" w:eastAsia="Arial" w:hAnsi="Arial" w:cs="Arial"/>
          <w:color w:val="000000"/>
          <w:sz w:val="24"/>
          <w:szCs w:val="24"/>
        </w:rPr>
        <w:t>exception</w:t>
      </w:r>
      <w:r w:rsidR="00BB43AD" w:rsidRPr="00A55D51">
        <w:rPr>
          <w:rFonts w:ascii="Arial" w:eastAsia="Arial" w:hAnsi="Arial" w:cs="Arial"/>
          <w:color w:val="000000"/>
          <w:sz w:val="24"/>
          <w:szCs w:val="24"/>
        </w:rPr>
        <w:t>s</w:t>
      </w:r>
      <w:r w:rsidR="003F0C71" w:rsidRPr="00A55D51">
        <w:rPr>
          <w:rFonts w:ascii="Arial" w:eastAsia="Arial" w:hAnsi="Arial" w:cs="Arial"/>
          <w:color w:val="000000"/>
          <w:sz w:val="24"/>
          <w:szCs w:val="24"/>
        </w:rPr>
        <w:t xml:space="preserve"> on vague and embarrassing grounds that fell due on 11 March 2020.</w:t>
      </w:r>
    </w:p>
    <w:p w14:paraId="116D1BEF" w14:textId="77777777" w:rsidR="003F0C71" w:rsidRPr="003F0C71" w:rsidRDefault="003F0C71" w:rsidP="003F0C71">
      <w:pPr>
        <w:pStyle w:val="ListParagraph"/>
        <w:rPr>
          <w:rFonts w:ascii="Arial" w:eastAsia="Arial" w:hAnsi="Arial" w:cs="Arial"/>
          <w:color w:val="000000"/>
          <w:sz w:val="24"/>
          <w:szCs w:val="24"/>
        </w:rPr>
      </w:pPr>
    </w:p>
    <w:p w14:paraId="58F6DC45" w14:textId="7EBAA911" w:rsidR="003F0C71"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r>
      <w:r w:rsidR="00BB43AD" w:rsidRPr="00A55D51">
        <w:rPr>
          <w:rFonts w:ascii="Arial" w:eastAsia="Arial" w:hAnsi="Arial" w:cs="Arial"/>
          <w:color w:val="000000"/>
          <w:sz w:val="24"/>
          <w:szCs w:val="24"/>
        </w:rPr>
        <w:t>More than a year later</w:t>
      </w:r>
      <w:r w:rsidR="003F0C71" w:rsidRPr="00A55D51">
        <w:rPr>
          <w:rFonts w:ascii="Arial" w:eastAsia="Arial" w:hAnsi="Arial" w:cs="Arial"/>
          <w:color w:val="000000"/>
          <w:sz w:val="24"/>
          <w:szCs w:val="24"/>
        </w:rPr>
        <w:t xml:space="preserve">, </w:t>
      </w:r>
      <w:r w:rsidR="00006534" w:rsidRPr="00A55D51">
        <w:rPr>
          <w:rFonts w:ascii="Arial" w:eastAsia="Arial" w:hAnsi="Arial" w:cs="Arial"/>
          <w:color w:val="000000"/>
          <w:sz w:val="24"/>
          <w:szCs w:val="24"/>
        </w:rPr>
        <w:t xml:space="preserve">and on 3 August 2021, Floorworx delivered a </w:t>
      </w:r>
      <w:r w:rsidR="0021405D" w:rsidRPr="00A55D51">
        <w:rPr>
          <w:rFonts w:ascii="Arial" w:eastAsia="Arial" w:hAnsi="Arial" w:cs="Arial"/>
          <w:color w:val="000000"/>
          <w:sz w:val="24"/>
          <w:szCs w:val="24"/>
        </w:rPr>
        <w:t>b</w:t>
      </w:r>
      <w:r w:rsidR="00006534" w:rsidRPr="00A55D51">
        <w:rPr>
          <w:rFonts w:ascii="Arial" w:eastAsia="Arial" w:hAnsi="Arial" w:cs="Arial"/>
          <w:color w:val="000000"/>
          <w:sz w:val="24"/>
          <w:szCs w:val="24"/>
        </w:rPr>
        <w:t>ar</w:t>
      </w:r>
      <w:r w:rsidR="0021405D">
        <w:rPr>
          <w:rStyle w:val="FootnoteReference"/>
          <w:rFonts w:ascii="Arial" w:eastAsia="Arial" w:hAnsi="Arial" w:cs="Arial"/>
          <w:color w:val="000000"/>
          <w:sz w:val="24"/>
          <w:szCs w:val="24"/>
        </w:rPr>
        <w:footnoteReference w:id="2"/>
      </w:r>
      <w:r w:rsidR="00006534" w:rsidRPr="00A55D51">
        <w:rPr>
          <w:rFonts w:ascii="Arial" w:eastAsia="Arial" w:hAnsi="Arial" w:cs="Arial"/>
          <w:color w:val="000000"/>
          <w:sz w:val="24"/>
          <w:szCs w:val="24"/>
        </w:rPr>
        <w:t xml:space="preserve"> whereby Mazars</w:t>
      </w:r>
      <w:r w:rsidR="0021405D" w:rsidRPr="00A55D51">
        <w:rPr>
          <w:rFonts w:ascii="Arial" w:eastAsia="Arial" w:hAnsi="Arial" w:cs="Arial"/>
          <w:color w:val="000000"/>
          <w:sz w:val="24"/>
          <w:szCs w:val="24"/>
        </w:rPr>
        <w:t xml:space="preserve"> was</w:t>
      </w:r>
      <w:r w:rsidR="00006534" w:rsidRPr="00A55D51">
        <w:rPr>
          <w:rFonts w:ascii="Arial" w:eastAsia="Arial" w:hAnsi="Arial" w:cs="Arial"/>
          <w:color w:val="000000"/>
          <w:sz w:val="24"/>
          <w:szCs w:val="24"/>
        </w:rPr>
        <w:t xml:space="preserve"> required to deliver </w:t>
      </w:r>
      <w:r w:rsidR="0086219C" w:rsidRPr="00A55D51">
        <w:rPr>
          <w:rFonts w:ascii="Arial" w:eastAsia="Arial" w:hAnsi="Arial" w:cs="Arial"/>
          <w:color w:val="000000"/>
          <w:sz w:val="24"/>
          <w:szCs w:val="24"/>
        </w:rPr>
        <w:t>its</w:t>
      </w:r>
      <w:r w:rsidR="00006534" w:rsidRPr="00A55D51">
        <w:rPr>
          <w:rFonts w:ascii="Arial" w:eastAsia="Arial" w:hAnsi="Arial" w:cs="Arial"/>
          <w:color w:val="000000"/>
          <w:sz w:val="24"/>
          <w:szCs w:val="24"/>
        </w:rPr>
        <w:t xml:space="preserve"> Plea to the Amended Particulars of Claim within 5 (five) days.</w:t>
      </w:r>
      <w:r w:rsidR="006C3ED3" w:rsidRPr="00A55D51">
        <w:rPr>
          <w:rFonts w:ascii="Arial" w:eastAsia="Arial" w:hAnsi="Arial" w:cs="Arial"/>
          <w:color w:val="000000"/>
          <w:sz w:val="24"/>
          <w:szCs w:val="24"/>
        </w:rPr>
        <w:t xml:space="preserve">  This step prompted Mazars</w:t>
      </w:r>
      <w:r w:rsidR="0086219C" w:rsidRPr="00A55D51">
        <w:rPr>
          <w:rFonts w:ascii="Arial" w:eastAsia="Arial" w:hAnsi="Arial" w:cs="Arial"/>
          <w:color w:val="000000"/>
          <w:sz w:val="24"/>
          <w:szCs w:val="24"/>
        </w:rPr>
        <w:t xml:space="preserve"> to deliver the following on</w:t>
      </w:r>
      <w:r w:rsidR="00F84381" w:rsidRPr="00A55D51">
        <w:rPr>
          <w:rFonts w:ascii="Arial" w:eastAsia="Arial" w:hAnsi="Arial" w:cs="Arial"/>
          <w:color w:val="000000"/>
          <w:sz w:val="24"/>
          <w:szCs w:val="24"/>
        </w:rPr>
        <w:t xml:space="preserve"> the</w:t>
      </w:r>
      <w:r w:rsidR="0086219C" w:rsidRPr="00A55D51">
        <w:rPr>
          <w:rFonts w:ascii="Arial" w:eastAsia="Arial" w:hAnsi="Arial" w:cs="Arial"/>
          <w:color w:val="000000"/>
          <w:sz w:val="24"/>
          <w:szCs w:val="24"/>
        </w:rPr>
        <w:t xml:space="preserve"> same date, namely</w:t>
      </w:r>
      <w:r w:rsidR="006C3ED3" w:rsidRPr="00A55D51">
        <w:rPr>
          <w:rFonts w:ascii="Arial" w:eastAsia="Arial" w:hAnsi="Arial" w:cs="Arial"/>
          <w:color w:val="000000"/>
          <w:sz w:val="24"/>
          <w:szCs w:val="24"/>
        </w:rPr>
        <w:t>:-</w:t>
      </w:r>
    </w:p>
    <w:p w14:paraId="7DF26D07" w14:textId="77777777" w:rsidR="006C3ED3" w:rsidRDefault="006C3ED3" w:rsidP="006C3ED3">
      <w:pPr>
        <w:pBdr>
          <w:top w:val="nil"/>
          <w:left w:val="nil"/>
          <w:bottom w:val="nil"/>
          <w:right w:val="nil"/>
          <w:between w:val="nil"/>
        </w:pBdr>
        <w:spacing w:after="0" w:line="360" w:lineRule="auto"/>
        <w:jc w:val="both"/>
        <w:rPr>
          <w:rFonts w:ascii="Arial" w:eastAsia="Arial" w:hAnsi="Arial" w:cs="Arial"/>
          <w:color w:val="000000"/>
          <w:sz w:val="24"/>
          <w:szCs w:val="24"/>
        </w:rPr>
      </w:pPr>
    </w:p>
    <w:p w14:paraId="5DB5ADA7" w14:textId="1BD4DA01" w:rsidR="006C3ED3" w:rsidRDefault="006C3ED3" w:rsidP="001A4301">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6.1</w:t>
      </w:r>
      <w:r>
        <w:rPr>
          <w:rFonts w:ascii="Arial" w:eastAsia="Arial" w:hAnsi="Arial" w:cs="Arial"/>
          <w:color w:val="000000"/>
          <w:sz w:val="24"/>
          <w:szCs w:val="24"/>
        </w:rPr>
        <w:tab/>
      </w:r>
      <w:r w:rsidR="000F4E86">
        <w:rPr>
          <w:rFonts w:ascii="Arial" w:eastAsia="Arial" w:hAnsi="Arial" w:cs="Arial"/>
          <w:color w:val="000000"/>
          <w:sz w:val="24"/>
          <w:szCs w:val="24"/>
        </w:rPr>
        <w:t>a</w:t>
      </w:r>
      <w:r w:rsidR="003E03B7">
        <w:rPr>
          <w:rFonts w:ascii="Arial" w:eastAsia="Arial" w:hAnsi="Arial" w:cs="Arial"/>
          <w:color w:val="000000"/>
          <w:sz w:val="24"/>
          <w:szCs w:val="24"/>
        </w:rPr>
        <w:t xml:space="preserve">n exception to the Amended Particulars of Claim.  As revealed, two exceptions were raised.  The first was raised </w:t>
      </w:r>
      <w:r w:rsidR="00DB589C">
        <w:rPr>
          <w:rFonts w:ascii="Arial" w:eastAsia="Arial" w:hAnsi="Arial" w:cs="Arial"/>
          <w:color w:val="000000"/>
          <w:sz w:val="24"/>
          <w:szCs w:val="24"/>
        </w:rPr>
        <w:t>on both a failure to disclose a cause of action and vague and embarrassing</w:t>
      </w:r>
      <w:r w:rsidR="000F4E86">
        <w:rPr>
          <w:rFonts w:ascii="Arial" w:eastAsia="Arial" w:hAnsi="Arial" w:cs="Arial"/>
          <w:color w:val="000000"/>
          <w:sz w:val="24"/>
          <w:szCs w:val="24"/>
        </w:rPr>
        <w:t xml:space="preserve"> grounds</w:t>
      </w:r>
      <w:r w:rsidR="00DB589C">
        <w:rPr>
          <w:rFonts w:ascii="Arial" w:eastAsia="Arial" w:hAnsi="Arial" w:cs="Arial"/>
          <w:color w:val="000000"/>
          <w:sz w:val="24"/>
          <w:szCs w:val="24"/>
        </w:rPr>
        <w:t xml:space="preserve"> while the second exception was only brought on the grounds of vague and embarrassing; </w:t>
      </w:r>
      <w:r w:rsidR="001A4301">
        <w:rPr>
          <w:rFonts w:ascii="Arial" w:eastAsia="Arial" w:hAnsi="Arial" w:cs="Arial"/>
          <w:color w:val="000000"/>
          <w:sz w:val="24"/>
          <w:szCs w:val="24"/>
        </w:rPr>
        <w:t>and</w:t>
      </w:r>
    </w:p>
    <w:p w14:paraId="670C0CBD" w14:textId="77777777" w:rsidR="001A4301" w:rsidRDefault="001A4301" w:rsidP="001A4301">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E025187" w14:textId="3CCCAF6B" w:rsidR="00B15DC3" w:rsidRDefault="001A4301" w:rsidP="001A4301">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6.2</w:t>
      </w:r>
      <w:r>
        <w:rPr>
          <w:rFonts w:ascii="Arial" w:eastAsia="Arial" w:hAnsi="Arial" w:cs="Arial"/>
          <w:color w:val="000000"/>
          <w:sz w:val="24"/>
          <w:szCs w:val="24"/>
        </w:rPr>
        <w:tab/>
      </w:r>
      <w:r w:rsidR="000F4E86">
        <w:rPr>
          <w:rFonts w:ascii="Arial" w:eastAsia="Arial" w:hAnsi="Arial" w:cs="Arial"/>
          <w:color w:val="000000"/>
          <w:sz w:val="24"/>
          <w:szCs w:val="24"/>
        </w:rPr>
        <w:t>a</w:t>
      </w:r>
      <w:r w:rsidR="00390546">
        <w:rPr>
          <w:rFonts w:ascii="Arial" w:eastAsia="Arial" w:hAnsi="Arial" w:cs="Arial"/>
          <w:color w:val="000000"/>
          <w:sz w:val="24"/>
          <w:szCs w:val="24"/>
        </w:rPr>
        <w:t xml:space="preserve"> combined substantive application </w:t>
      </w:r>
      <w:r w:rsidR="00F84381">
        <w:rPr>
          <w:rFonts w:ascii="Arial" w:eastAsia="Arial" w:hAnsi="Arial" w:cs="Arial"/>
          <w:color w:val="000000"/>
          <w:sz w:val="24"/>
          <w:szCs w:val="24"/>
        </w:rPr>
        <w:t xml:space="preserve">in terms whereof </w:t>
      </w:r>
      <w:r w:rsidR="00390546">
        <w:rPr>
          <w:rFonts w:ascii="Arial" w:eastAsia="Arial" w:hAnsi="Arial" w:cs="Arial"/>
          <w:color w:val="000000"/>
          <w:sz w:val="24"/>
          <w:szCs w:val="24"/>
        </w:rPr>
        <w:t xml:space="preserve">Mazars </w:t>
      </w:r>
      <w:r w:rsidR="00B45DD6">
        <w:rPr>
          <w:rFonts w:ascii="Arial" w:eastAsia="Arial" w:hAnsi="Arial" w:cs="Arial"/>
          <w:color w:val="000000"/>
          <w:sz w:val="24"/>
          <w:szCs w:val="24"/>
        </w:rPr>
        <w:t>seek</w:t>
      </w:r>
      <w:r w:rsidR="00F84381">
        <w:rPr>
          <w:rFonts w:ascii="Arial" w:eastAsia="Arial" w:hAnsi="Arial" w:cs="Arial"/>
          <w:color w:val="000000"/>
          <w:sz w:val="24"/>
          <w:szCs w:val="24"/>
        </w:rPr>
        <w:t>s</w:t>
      </w:r>
      <w:r w:rsidR="00B45DD6">
        <w:rPr>
          <w:rFonts w:ascii="Arial" w:eastAsia="Arial" w:hAnsi="Arial" w:cs="Arial"/>
          <w:color w:val="000000"/>
          <w:sz w:val="24"/>
          <w:szCs w:val="24"/>
        </w:rPr>
        <w:t xml:space="preserve"> relief whereby:-</w:t>
      </w:r>
      <w:r w:rsidR="00390546">
        <w:rPr>
          <w:rFonts w:ascii="Arial" w:eastAsia="Arial" w:hAnsi="Arial" w:cs="Arial"/>
          <w:color w:val="000000"/>
          <w:sz w:val="24"/>
          <w:szCs w:val="24"/>
        </w:rPr>
        <w:t xml:space="preserve"> (i) paragraph 11 of the Amended Particulars of Claim be </w:t>
      </w:r>
      <w:r w:rsidR="00390546">
        <w:rPr>
          <w:rFonts w:ascii="Arial" w:eastAsia="Arial" w:hAnsi="Arial" w:cs="Arial"/>
          <w:color w:val="000000"/>
          <w:sz w:val="24"/>
          <w:szCs w:val="24"/>
        </w:rPr>
        <w:lastRenderedPageBreak/>
        <w:t>struck out in terms of Rule 23(2); (ii) the Amended Particulars of Claim</w:t>
      </w:r>
      <w:r w:rsidR="000330D7">
        <w:rPr>
          <w:rFonts w:ascii="Arial" w:eastAsia="Arial" w:hAnsi="Arial" w:cs="Arial"/>
          <w:color w:val="000000"/>
          <w:sz w:val="24"/>
          <w:szCs w:val="24"/>
        </w:rPr>
        <w:t xml:space="preserve"> be set aside as an irregular step in terms of Rule 30(1)</w:t>
      </w:r>
      <w:r w:rsidR="00B45DD6">
        <w:rPr>
          <w:rFonts w:ascii="Arial" w:eastAsia="Arial" w:hAnsi="Arial" w:cs="Arial"/>
          <w:color w:val="000000"/>
          <w:sz w:val="24"/>
          <w:szCs w:val="24"/>
        </w:rPr>
        <w:t xml:space="preserve">; and (iii) </w:t>
      </w:r>
      <w:r w:rsidR="00F4603C">
        <w:rPr>
          <w:rFonts w:ascii="Arial" w:eastAsia="Arial" w:hAnsi="Arial" w:cs="Arial"/>
          <w:color w:val="000000"/>
          <w:sz w:val="24"/>
          <w:szCs w:val="24"/>
        </w:rPr>
        <w:t xml:space="preserve">condonation </w:t>
      </w:r>
      <w:r w:rsidR="00496F4D">
        <w:rPr>
          <w:rFonts w:ascii="Arial" w:eastAsia="Arial" w:hAnsi="Arial" w:cs="Arial"/>
          <w:color w:val="000000"/>
          <w:sz w:val="24"/>
          <w:szCs w:val="24"/>
        </w:rPr>
        <w:t>be granted for the late filing of the application in terms of Rule 30(1) and the exceptions based on vague and embarrassing grounds</w:t>
      </w:r>
      <w:r w:rsidR="00E75EF9">
        <w:rPr>
          <w:rStyle w:val="FootnoteReference"/>
          <w:rFonts w:ascii="Arial" w:eastAsia="Arial" w:hAnsi="Arial" w:cs="Arial"/>
          <w:color w:val="000000"/>
          <w:sz w:val="24"/>
          <w:szCs w:val="24"/>
        </w:rPr>
        <w:footnoteReference w:id="3"/>
      </w:r>
      <w:r w:rsidR="00354219">
        <w:rPr>
          <w:rFonts w:ascii="Arial" w:eastAsia="Arial" w:hAnsi="Arial" w:cs="Arial"/>
          <w:color w:val="000000"/>
          <w:sz w:val="24"/>
          <w:szCs w:val="24"/>
        </w:rPr>
        <w:t>.</w:t>
      </w:r>
    </w:p>
    <w:p w14:paraId="0EFC2CB8" w14:textId="77777777" w:rsidR="00B15DC3" w:rsidRDefault="00B15DC3" w:rsidP="00B15DC3">
      <w:pPr>
        <w:pBdr>
          <w:top w:val="nil"/>
          <w:left w:val="nil"/>
          <w:bottom w:val="nil"/>
          <w:right w:val="nil"/>
          <w:between w:val="nil"/>
        </w:pBdr>
        <w:spacing w:after="0" w:line="360" w:lineRule="auto"/>
        <w:jc w:val="both"/>
        <w:rPr>
          <w:rFonts w:ascii="Arial" w:eastAsia="Arial" w:hAnsi="Arial" w:cs="Arial"/>
          <w:color w:val="000000"/>
          <w:sz w:val="24"/>
          <w:szCs w:val="24"/>
        </w:rPr>
      </w:pPr>
    </w:p>
    <w:p w14:paraId="730D4583" w14:textId="23F5EC94" w:rsidR="001A4301"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z w:val="24"/>
          <w:szCs w:val="24"/>
        </w:rPr>
        <w:tab/>
      </w:r>
      <w:r w:rsidR="00E42D8E" w:rsidRPr="00A55D51">
        <w:rPr>
          <w:rFonts w:ascii="Arial" w:eastAsia="Arial" w:hAnsi="Arial" w:cs="Arial"/>
          <w:color w:val="000000"/>
          <w:sz w:val="24"/>
          <w:szCs w:val="24"/>
        </w:rPr>
        <w:t>I am consequently called upon to decide the following issues:</w:t>
      </w:r>
      <w:r w:rsidR="00B15DC3" w:rsidRPr="00A55D51">
        <w:rPr>
          <w:rFonts w:ascii="Arial" w:eastAsia="Arial" w:hAnsi="Arial" w:cs="Arial"/>
          <w:color w:val="000000"/>
          <w:sz w:val="24"/>
          <w:szCs w:val="24"/>
        </w:rPr>
        <w:t>-</w:t>
      </w:r>
    </w:p>
    <w:p w14:paraId="02266BC8" w14:textId="77777777" w:rsidR="00B15DC3" w:rsidRDefault="00B15DC3" w:rsidP="00B15DC3">
      <w:pPr>
        <w:pBdr>
          <w:top w:val="nil"/>
          <w:left w:val="nil"/>
          <w:bottom w:val="nil"/>
          <w:right w:val="nil"/>
          <w:between w:val="nil"/>
        </w:pBdr>
        <w:spacing w:after="0" w:line="360" w:lineRule="auto"/>
        <w:jc w:val="both"/>
        <w:rPr>
          <w:rFonts w:ascii="Arial" w:eastAsia="Arial" w:hAnsi="Arial" w:cs="Arial"/>
          <w:color w:val="000000"/>
          <w:sz w:val="24"/>
          <w:szCs w:val="24"/>
        </w:rPr>
      </w:pPr>
    </w:p>
    <w:p w14:paraId="26466B85" w14:textId="69E10538" w:rsidR="00B15DC3" w:rsidRDefault="00B15DC3" w:rsidP="00082A0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7.1</w:t>
      </w:r>
      <w:r>
        <w:rPr>
          <w:rFonts w:ascii="Arial" w:eastAsia="Arial" w:hAnsi="Arial" w:cs="Arial"/>
          <w:color w:val="000000"/>
          <w:sz w:val="24"/>
          <w:szCs w:val="24"/>
        </w:rPr>
        <w:tab/>
      </w:r>
      <w:r w:rsidR="00E01B6E">
        <w:rPr>
          <w:rFonts w:ascii="Arial" w:eastAsia="Arial" w:hAnsi="Arial" w:cs="Arial"/>
          <w:color w:val="000000"/>
          <w:sz w:val="24"/>
          <w:szCs w:val="24"/>
        </w:rPr>
        <w:t>w</w:t>
      </w:r>
      <w:r w:rsidR="00082A00">
        <w:rPr>
          <w:rFonts w:ascii="Arial" w:eastAsia="Arial" w:hAnsi="Arial" w:cs="Arial"/>
          <w:color w:val="000000"/>
          <w:sz w:val="24"/>
          <w:szCs w:val="24"/>
        </w:rPr>
        <w:t>hether paragraph 11 of the Amended Particulars of Claim should be struck out in terms of Rule 23(2);</w:t>
      </w:r>
    </w:p>
    <w:p w14:paraId="4C161919" w14:textId="77777777" w:rsidR="00082A00" w:rsidRDefault="00082A00" w:rsidP="00B15DC3">
      <w:pPr>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B680A7A" w14:textId="3AB86B9D" w:rsidR="00082A00" w:rsidRDefault="00082A00" w:rsidP="00A7404D">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7.2</w:t>
      </w:r>
      <w:r>
        <w:rPr>
          <w:rFonts w:ascii="Arial" w:eastAsia="Arial" w:hAnsi="Arial" w:cs="Arial"/>
          <w:color w:val="000000"/>
          <w:sz w:val="24"/>
          <w:szCs w:val="24"/>
        </w:rPr>
        <w:tab/>
      </w:r>
      <w:r w:rsidR="00E01B6E">
        <w:rPr>
          <w:rFonts w:ascii="Arial" w:eastAsia="Arial" w:hAnsi="Arial" w:cs="Arial"/>
          <w:color w:val="000000"/>
          <w:sz w:val="24"/>
          <w:szCs w:val="24"/>
        </w:rPr>
        <w:t xml:space="preserve">whether condonation is required for the late filing of the application in terms of Rule 30(1) as well as the exceptions based on vague and embarrassing grounds [this issue does not arise in respect </w:t>
      </w:r>
      <w:r w:rsidR="0049354D">
        <w:rPr>
          <w:rFonts w:ascii="Arial" w:eastAsia="Arial" w:hAnsi="Arial" w:cs="Arial"/>
          <w:color w:val="000000"/>
          <w:sz w:val="24"/>
          <w:szCs w:val="24"/>
        </w:rPr>
        <w:t>of the exception based on a lack of averments which are necessary to sustain a cause of action]</w:t>
      </w:r>
      <w:r w:rsidR="00A7404D">
        <w:rPr>
          <w:rFonts w:ascii="Arial" w:eastAsia="Arial" w:hAnsi="Arial" w:cs="Arial"/>
          <w:color w:val="000000"/>
          <w:sz w:val="24"/>
          <w:szCs w:val="24"/>
        </w:rPr>
        <w:t>;</w:t>
      </w:r>
    </w:p>
    <w:p w14:paraId="3FE9A83F" w14:textId="77777777" w:rsidR="00A7404D" w:rsidRDefault="00A7404D" w:rsidP="00B15DC3">
      <w:pPr>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69853D0" w14:textId="5A3EC972" w:rsidR="00A7404D" w:rsidRDefault="00A7404D" w:rsidP="00955488">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7.3</w:t>
      </w:r>
      <w:r>
        <w:rPr>
          <w:rFonts w:ascii="Arial" w:eastAsia="Arial" w:hAnsi="Arial" w:cs="Arial"/>
          <w:color w:val="000000"/>
          <w:sz w:val="24"/>
          <w:szCs w:val="24"/>
        </w:rPr>
        <w:tab/>
      </w:r>
      <w:r w:rsidR="00E01B6E">
        <w:rPr>
          <w:rFonts w:ascii="Arial" w:eastAsia="Arial" w:hAnsi="Arial" w:cs="Arial"/>
          <w:color w:val="000000"/>
          <w:sz w:val="24"/>
          <w:szCs w:val="24"/>
        </w:rPr>
        <w:t>i</w:t>
      </w:r>
      <w:r w:rsidR="00955488">
        <w:rPr>
          <w:rFonts w:ascii="Arial" w:eastAsia="Arial" w:hAnsi="Arial" w:cs="Arial"/>
          <w:color w:val="000000"/>
          <w:sz w:val="24"/>
          <w:szCs w:val="24"/>
        </w:rPr>
        <w:t>n the event that condonation is required, the merits of the condonation application; and</w:t>
      </w:r>
    </w:p>
    <w:p w14:paraId="74827D85" w14:textId="77777777" w:rsidR="00955488" w:rsidRDefault="00955488" w:rsidP="00B15DC3">
      <w:pPr>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A179E71" w14:textId="27335F27" w:rsidR="00955488" w:rsidRPr="00B15DC3" w:rsidRDefault="00955488" w:rsidP="008865C9">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7.4</w:t>
      </w:r>
      <w:r>
        <w:rPr>
          <w:rFonts w:ascii="Arial" w:eastAsia="Arial" w:hAnsi="Arial" w:cs="Arial"/>
          <w:color w:val="000000"/>
          <w:sz w:val="24"/>
          <w:szCs w:val="24"/>
        </w:rPr>
        <w:tab/>
      </w:r>
      <w:r w:rsidR="00E01B6E">
        <w:rPr>
          <w:rFonts w:ascii="Arial" w:eastAsia="Arial" w:hAnsi="Arial" w:cs="Arial"/>
          <w:color w:val="000000"/>
          <w:sz w:val="24"/>
          <w:szCs w:val="24"/>
        </w:rPr>
        <w:t>t</w:t>
      </w:r>
      <w:r>
        <w:rPr>
          <w:rFonts w:ascii="Arial" w:eastAsia="Arial" w:hAnsi="Arial" w:cs="Arial"/>
          <w:color w:val="000000"/>
          <w:sz w:val="24"/>
          <w:szCs w:val="24"/>
        </w:rPr>
        <w:t>he excepti</w:t>
      </w:r>
      <w:r w:rsidR="008865C9">
        <w:rPr>
          <w:rFonts w:ascii="Arial" w:eastAsia="Arial" w:hAnsi="Arial" w:cs="Arial"/>
          <w:color w:val="000000"/>
          <w:sz w:val="24"/>
          <w:szCs w:val="24"/>
        </w:rPr>
        <w:t>on based on a lack of averments which are necessary to sustain an action</w:t>
      </w:r>
      <w:r w:rsidR="00744BA8">
        <w:rPr>
          <w:rFonts w:ascii="Arial" w:eastAsia="Arial" w:hAnsi="Arial" w:cs="Arial"/>
          <w:color w:val="000000"/>
          <w:sz w:val="24"/>
          <w:szCs w:val="24"/>
        </w:rPr>
        <w:t>.</w:t>
      </w:r>
    </w:p>
    <w:p w14:paraId="783D4E23" w14:textId="55FA146C" w:rsidR="003E233C" w:rsidRDefault="003E233C" w:rsidP="00744BA8">
      <w:pPr>
        <w:pBdr>
          <w:top w:val="nil"/>
          <w:left w:val="nil"/>
          <w:bottom w:val="nil"/>
          <w:right w:val="nil"/>
          <w:between w:val="nil"/>
        </w:pBdr>
        <w:spacing w:after="0" w:line="360" w:lineRule="auto"/>
        <w:jc w:val="both"/>
        <w:rPr>
          <w:rFonts w:ascii="Arial" w:eastAsia="Arial" w:hAnsi="Arial" w:cs="Arial"/>
          <w:color w:val="000000"/>
          <w:sz w:val="24"/>
          <w:szCs w:val="24"/>
        </w:rPr>
      </w:pPr>
    </w:p>
    <w:p w14:paraId="63B0FCC8" w14:textId="4D489BDC" w:rsidR="00744BA8" w:rsidRPr="00744BA8" w:rsidRDefault="00744BA8" w:rsidP="00744BA8">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744BA8">
        <w:rPr>
          <w:rFonts w:ascii="Arial" w:eastAsia="Arial" w:hAnsi="Arial" w:cs="Arial"/>
          <w:b/>
          <w:bCs/>
          <w:color w:val="000000"/>
          <w:sz w:val="24"/>
          <w:szCs w:val="24"/>
        </w:rPr>
        <w:t>Amended Particulars of Claim</w:t>
      </w:r>
    </w:p>
    <w:p w14:paraId="48BC613B" w14:textId="77777777" w:rsidR="00744BA8" w:rsidRPr="00744BA8" w:rsidRDefault="00744BA8" w:rsidP="00744BA8">
      <w:pPr>
        <w:pBdr>
          <w:top w:val="nil"/>
          <w:left w:val="nil"/>
          <w:bottom w:val="nil"/>
          <w:right w:val="nil"/>
          <w:between w:val="nil"/>
        </w:pBdr>
        <w:spacing w:after="0" w:line="360" w:lineRule="auto"/>
        <w:jc w:val="both"/>
        <w:rPr>
          <w:rFonts w:ascii="Arial" w:eastAsia="Arial" w:hAnsi="Arial" w:cs="Arial"/>
          <w:color w:val="000000"/>
          <w:sz w:val="24"/>
          <w:szCs w:val="24"/>
        </w:rPr>
      </w:pPr>
    </w:p>
    <w:p w14:paraId="55342A4D" w14:textId="76F2C727" w:rsidR="0018112F"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r>
      <w:r w:rsidR="00851654" w:rsidRPr="00A55D51">
        <w:rPr>
          <w:rFonts w:ascii="Arial" w:eastAsia="Arial" w:hAnsi="Arial" w:cs="Arial"/>
          <w:color w:val="000000"/>
          <w:sz w:val="24"/>
          <w:szCs w:val="24"/>
        </w:rPr>
        <w:t>The Amended Particulars of Claim consists of 62 pages [excluding annexures] that is made up of 161 paragraphs</w:t>
      </w:r>
      <w:r w:rsidR="0018112F" w:rsidRPr="00A55D51">
        <w:rPr>
          <w:rFonts w:ascii="Arial" w:eastAsia="Arial" w:hAnsi="Arial" w:cs="Arial"/>
          <w:color w:val="000000"/>
          <w:sz w:val="24"/>
          <w:szCs w:val="24"/>
        </w:rPr>
        <w:t xml:space="preserve"> </w:t>
      </w:r>
      <w:r w:rsidR="00076581" w:rsidRPr="00A55D51">
        <w:rPr>
          <w:rFonts w:ascii="Arial" w:eastAsia="Arial" w:hAnsi="Arial" w:cs="Arial"/>
          <w:color w:val="000000"/>
          <w:sz w:val="24"/>
          <w:szCs w:val="24"/>
        </w:rPr>
        <w:t xml:space="preserve">plus </w:t>
      </w:r>
      <w:r w:rsidR="0018112F" w:rsidRPr="00A55D51">
        <w:rPr>
          <w:rFonts w:ascii="Arial" w:eastAsia="Arial" w:hAnsi="Arial" w:cs="Arial"/>
          <w:color w:val="000000"/>
          <w:sz w:val="24"/>
          <w:szCs w:val="24"/>
        </w:rPr>
        <w:t>10 prayers setting out the relief sought by Floorworx</w:t>
      </w:r>
      <w:r w:rsidR="00E32878" w:rsidRPr="00A55D51">
        <w:rPr>
          <w:rFonts w:ascii="Arial" w:eastAsia="Arial" w:hAnsi="Arial" w:cs="Arial"/>
          <w:color w:val="000000"/>
          <w:sz w:val="24"/>
          <w:szCs w:val="24"/>
        </w:rPr>
        <w:t xml:space="preserve"> in respect of each of the 10 Claims</w:t>
      </w:r>
      <w:r w:rsidR="0018112F" w:rsidRPr="00A55D51">
        <w:rPr>
          <w:rFonts w:ascii="Arial" w:eastAsia="Arial" w:hAnsi="Arial" w:cs="Arial"/>
          <w:color w:val="000000"/>
          <w:sz w:val="24"/>
          <w:szCs w:val="24"/>
        </w:rPr>
        <w:t>.  In addition, it has two attachments as annexures, namely:-</w:t>
      </w:r>
    </w:p>
    <w:p w14:paraId="2F92BF8B" w14:textId="77777777" w:rsidR="0018112F" w:rsidRDefault="0018112F" w:rsidP="0018112F">
      <w:pPr>
        <w:pBdr>
          <w:top w:val="nil"/>
          <w:left w:val="nil"/>
          <w:bottom w:val="nil"/>
          <w:right w:val="nil"/>
          <w:between w:val="nil"/>
        </w:pBdr>
        <w:spacing w:after="0" w:line="360" w:lineRule="auto"/>
        <w:jc w:val="both"/>
        <w:rPr>
          <w:rFonts w:ascii="Arial" w:eastAsia="Arial" w:hAnsi="Arial" w:cs="Arial"/>
          <w:color w:val="000000"/>
          <w:sz w:val="24"/>
          <w:szCs w:val="24"/>
        </w:rPr>
      </w:pPr>
    </w:p>
    <w:p w14:paraId="76609AE9" w14:textId="6F58CD20" w:rsidR="0018112F" w:rsidRDefault="0018112F" w:rsidP="00C2480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8.1</w:t>
      </w:r>
      <w:r>
        <w:rPr>
          <w:rFonts w:ascii="Arial" w:eastAsia="Arial" w:hAnsi="Arial" w:cs="Arial"/>
          <w:color w:val="000000"/>
          <w:sz w:val="24"/>
          <w:szCs w:val="24"/>
        </w:rPr>
        <w:tab/>
        <w:t xml:space="preserve">Annexure POC1 – </w:t>
      </w:r>
      <w:r w:rsidR="00FD424C">
        <w:rPr>
          <w:rFonts w:ascii="Arial" w:eastAsia="Arial" w:hAnsi="Arial" w:cs="Arial"/>
          <w:color w:val="000000"/>
          <w:sz w:val="24"/>
          <w:szCs w:val="24"/>
        </w:rPr>
        <w:t>a</w:t>
      </w:r>
      <w:r w:rsidR="002C2426">
        <w:rPr>
          <w:rFonts w:ascii="Arial" w:eastAsia="Arial" w:hAnsi="Arial" w:cs="Arial"/>
          <w:color w:val="000000"/>
          <w:sz w:val="24"/>
          <w:szCs w:val="24"/>
        </w:rPr>
        <w:t xml:space="preserve"> copy of a</w:t>
      </w:r>
      <w:r>
        <w:rPr>
          <w:rFonts w:ascii="Arial" w:eastAsia="Arial" w:hAnsi="Arial" w:cs="Arial"/>
          <w:color w:val="000000"/>
          <w:sz w:val="24"/>
          <w:szCs w:val="24"/>
        </w:rPr>
        <w:t xml:space="preserve"> written </w:t>
      </w:r>
      <w:r w:rsidR="00C9274F">
        <w:rPr>
          <w:rFonts w:ascii="Arial" w:eastAsia="Arial" w:hAnsi="Arial" w:cs="Arial"/>
          <w:color w:val="000000"/>
          <w:sz w:val="24"/>
          <w:szCs w:val="24"/>
        </w:rPr>
        <w:t>E</w:t>
      </w:r>
      <w:r>
        <w:rPr>
          <w:rFonts w:ascii="Arial" w:eastAsia="Arial" w:hAnsi="Arial" w:cs="Arial"/>
          <w:color w:val="000000"/>
          <w:sz w:val="24"/>
          <w:szCs w:val="24"/>
        </w:rPr>
        <w:t xml:space="preserve">ngagement </w:t>
      </w:r>
      <w:r w:rsidR="00C9274F">
        <w:rPr>
          <w:rFonts w:ascii="Arial" w:eastAsia="Arial" w:hAnsi="Arial" w:cs="Arial"/>
          <w:color w:val="000000"/>
          <w:sz w:val="24"/>
          <w:szCs w:val="24"/>
        </w:rPr>
        <w:t>L</w:t>
      </w:r>
      <w:r>
        <w:rPr>
          <w:rFonts w:ascii="Arial" w:eastAsia="Arial" w:hAnsi="Arial" w:cs="Arial"/>
          <w:color w:val="000000"/>
          <w:sz w:val="24"/>
          <w:szCs w:val="24"/>
        </w:rPr>
        <w:t>etter</w:t>
      </w:r>
      <w:r w:rsidR="00C9274F">
        <w:rPr>
          <w:rFonts w:ascii="Arial" w:eastAsia="Arial" w:hAnsi="Arial" w:cs="Arial"/>
          <w:color w:val="000000"/>
          <w:sz w:val="24"/>
          <w:szCs w:val="24"/>
        </w:rPr>
        <w:t xml:space="preserve"> on the letterhead of Mazars that is directed to </w:t>
      </w:r>
      <w:r w:rsidR="007330BA">
        <w:rPr>
          <w:rFonts w:ascii="Arial" w:eastAsia="Arial" w:hAnsi="Arial" w:cs="Arial"/>
          <w:color w:val="000000"/>
          <w:sz w:val="24"/>
          <w:szCs w:val="24"/>
        </w:rPr>
        <w:t>A</w:t>
      </w:r>
      <w:r w:rsidR="00C9274F">
        <w:rPr>
          <w:rFonts w:ascii="Arial" w:eastAsia="Arial" w:hAnsi="Arial" w:cs="Arial"/>
          <w:color w:val="000000"/>
          <w:sz w:val="24"/>
          <w:szCs w:val="24"/>
        </w:rPr>
        <w:t>ccentuate</w:t>
      </w:r>
      <w:r w:rsidR="007330BA">
        <w:rPr>
          <w:rFonts w:ascii="Arial" w:eastAsia="Arial" w:hAnsi="Arial" w:cs="Arial"/>
          <w:color w:val="000000"/>
          <w:sz w:val="24"/>
          <w:szCs w:val="24"/>
        </w:rPr>
        <w:t xml:space="preserve"> Limited </w:t>
      </w:r>
      <w:r w:rsidR="002C2426">
        <w:rPr>
          <w:rFonts w:ascii="Arial" w:eastAsia="Arial" w:hAnsi="Arial" w:cs="Arial"/>
          <w:color w:val="000000"/>
          <w:sz w:val="24"/>
          <w:szCs w:val="24"/>
        </w:rPr>
        <w:t xml:space="preserve">[hereinafter </w:t>
      </w:r>
      <w:r w:rsidR="002C2426">
        <w:rPr>
          <w:rFonts w:ascii="Arial" w:eastAsia="Arial" w:hAnsi="Arial" w:cs="Arial"/>
          <w:color w:val="000000"/>
          <w:sz w:val="24"/>
          <w:szCs w:val="24"/>
        </w:rPr>
        <w:lastRenderedPageBreak/>
        <w:t>“</w:t>
      </w:r>
      <w:r w:rsidR="002C2426" w:rsidRPr="002C2426">
        <w:rPr>
          <w:rFonts w:ascii="Arial" w:eastAsia="Arial" w:hAnsi="Arial" w:cs="Arial"/>
          <w:i/>
          <w:iCs/>
          <w:color w:val="000000"/>
          <w:sz w:val="24"/>
          <w:szCs w:val="24"/>
        </w:rPr>
        <w:t>Accentuate</w:t>
      </w:r>
      <w:r w:rsidR="002C2426">
        <w:rPr>
          <w:rFonts w:ascii="Arial" w:eastAsia="Arial" w:hAnsi="Arial" w:cs="Arial"/>
          <w:color w:val="000000"/>
          <w:sz w:val="24"/>
          <w:szCs w:val="24"/>
        </w:rPr>
        <w:t>”</w:t>
      </w:r>
      <w:r w:rsidR="00E32878">
        <w:rPr>
          <w:rFonts w:ascii="Arial" w:eastAsia="Arial" w:hAnsi="Arial" w:cs="Arial"/>
          <w:color w:val="000000"/>
          <w:sz w:val="24"/>
          <w:szCs w:val="24"/>
        </w:rPr>
        <w:t>]</w:t>
      </w:r>
      <w:r w:rsidR="002C2426">
        <w:rPr>
          <w:rFonts w:ascii="Arial" w:eastAsia="Arial" w:hAnsi="Arial" w:cs="Arial"/>
          <w:color w:val="000000"/>
          <w:sz w:val="24"/>
          <w:szCs w:val="24"/>
        </w:rPr>
        <w:t xml:space="preserve"> </w:t>
      </w:r>
      <w:r w:rsidR="007330BA" w:rsidRPr="002C2426">
        <w:rPr>
          <w:rFonts w:ascii="Arial" w:eastAsia="Arial" w:hAnsi="Arial" w:cs="Arial"/>
          <w:color w:val="000000"/>
          <w:sz w:val="24"/>
          <w:szCs w:val="24"/>
        </w:rPr>
        <w:t>and</w:t>
      </w:r>
      <w:r w:rsidR="007330BA">
        <w:rPr>
          <w:rFonts w:ascii="Arial" w:eastAsia="Arial" w:hAnsi="Arial" w:cs="Arial"/>
          <w:color w:val="000000"/>
          <w:sz w:val="24"/>
          <w:szCs w:val="24"/>
        </w:rPr>
        <w:t xml:space="preserve"> dated </w:t>
      </w:r>
      <w:r w:rsidR="00FD424C">
        <w:rPr>
          <w:rFonts w:ascii="Arial" w:eastAsia="Arial" w:hAnsi="Arial" w:cs="Arial"/>
          <w:color w:val="000000"/>
          <w:sz w:val="24"/>
          <w:szCs w:val="24"/>
        </w:rPr>
        <w:t>2</w:t>
      </w:r>
      <w:r w:rsidR="007330BA">
        <w:rPr>
          <w:rFonts w:ascii="Arial" w:eastAsia="Arial" w:hAnsi="Arial" w:cs="Arial"/>
          <w:color w:val="000000"/>
          <w:sz w:val="24"/>
          <w:szCs w:val="24"/>
        </w:rPr>
        <w:t xml:space="preserve">2 May 2014.  Same was countersigned by Accentuate on the same date.  It is important to appreciate that this </w:t>
      </w:r>
      <w:r w:rsidR="001B70E9">
        <w:rPr>
          <w:rFonts w:ascii="Arial" w:eastAsia="Arial" w:hAnsi="Arial" w:cs="Arial"/>
          <w:color w:val="000000"/>
          <w:sz w:val="24"/>
          <w:szCs w:val="24"/>
        </w:rPr>
        <w:t>annexure only features in relation to Claim 9 of the Amended Particulars of Claim; and</w:t>
      </w:r>
    </w:p>
    <w:p w14:paraId="40AB124F" w14:textId="77777777" w:rsidR="001B70E9" w:rsidRDefault="001B70E9" w:rsidP="0018112F">
      <w:pPr>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FABFC99" w14:textId="2774C10A" w:rsidR="001B70E9" w:rsidRDefault="001B70E9" w:rsidP="00C2480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8.2</w:t>
      </w:r>
      <w:r>
        <w:rPr>
          <w:rFonts w:ascii="Arial" w:eastAsia="Arial" w:hAnsi="Arial" w:cs="Arial"/>
          <w:color w:val="000000"/>
          <w:sz w:val="24"/>
          <w:szCs w:val="24"/>
        </w:rPr>
        <w:tab/>
        <w:t xml:space="preserve">Annexure POC2 – </w:t>
      </w:r>
      <w:r w:rsidR="00FD424C">
        <w:rPr>
          <w:rFonts w:ascii="Arial" w:eastAsia="Arial" w:hAnsi="Arial" w:cs="Arial"/>
          <w:color w:val="000000"/>
          <w:sz w:val="24"/>
          <w:szCs w:val="24"/>
        </w:rPr>
        <w:t>a</w:t>
      </w:r>
      <w:r>
        <w:rPr>
          <w:rFonts w:ascii="Arial" w:eastAsia="Arial" w:hAnsi="Arial" w:cs="Arial"/>
          <w:color w:val="000000"/>
          <w:sz w:val="24"/>
          <w:szCs w:val="24"/>
        </w:rPr>
        <w:t xml:space="preserve"> copy of a written Engagement Letter on the letterhead of Mazars </w:t>
      </w:r>
      <w:r w:rsidR="00C24800">
        <w:rPr>
          <w:rFonts w:ascii="Arial" w:eastAsia="Arial" w:hAnsi="Arial" w:cs="Arial"/>
          <w:color w:val="000000"/>
          <w:sz w:val="24"/>
          <w:szCs w:val="24"/>
        </w:rPr>
        <w:t>that is directed to Accentuate and dated 14 June 2015. Same was</w:t>
      </w:r>
      <w:r w:rsidR="00E32878">
        <w:rPr>
          <w:rFonts w:ascii="Arial" w:eastAsia="Arial" w:hAnsi="Arial" w:cs="Arial"/>
          <w:color w:val="000000"/>
          <w:sz w:val="24"/>
          <w:szCs w:val="24"/>
        </w:rPr>
        <w:t xml:space="preserve"> countersigned</w:t>
      </w:r>
      <w:r w:rsidR="00C24800">
        <w:rPr>
          <w:rFonts w:ascii="Arial" w:eastAsia="Arial" w:hAnsi="Arial" w:cs="Arial"/>
          <w:color w:val="000000"/>
          <w:sz w:val="24"/>
          <w:szCs w:val="24"/>
        </w:rPr>
        <w:t xml:space="preserve"> by Accentuate on 17 July 2015</w:t>
      </w:r>
      <w:r w:rsidR="00FD424C">
        <w:rPr>
          <w:rFonts w:ascii="Arial" w:eastAsia="Arial" w:hAnsi="Arial" w:cs="Arial"/>
          <w:color w:val="000000"/>
          <w:sz w:val="24"/>
          <w:szCs w:val="24"/>
        </w:rPr>
        <w:t>.</w:t>
      </w:r>
      <w:r w:rsidR="00C24800">
        <w:rPr>
          <w:rFonts w:ascii="Arial" w:eastAsia="Arial" w:hAnsi="Arial" w:cs="Arial"/>
          <w:color w:val="000000"/>
          <w:sz w:val="24"/>
          <w:szCs w:val="24"/>
        </w:rPr>
        <w:t xml:space="preserve"> </w:t>
      </w:r>
      <w:r w:rsidR="00014B2C">
        <w:rPr>
          <w:rFonts w:ascii="Arial" w:eastAsia="Arial" w:hAnsi="Arial" w:cs="Arial"/>
          <w:color w:val="000000"/>
          <w:sz w:val="24"/>
          <w:szCs w:val="24"/>
        </w:rPr>
        <w:t>U</w:t>
      </w:r>
      <w:r w:rsidR="003F63FB">
        <w:rPr>
          <w:rFonts w:ascii="Arial" w:eastAsia="Arial" w:hAnsi="Arial" w:cs="Arial"/>
          <w:color w:val="000000"/>
          <w:sz w:val="24"/>
          <w:szCs w:val="24"/>
        </w:rPr>
        <w:t xml:space="preserve">nlike Annexure POC1, </w:t>
      </w:r>
      <w:r w:rsidR="00E32878">
        <w:rPr>
          <w:rFonts w:ascii="Arial" w:eastAsia="Arial" w:hAnsi="Arial" w:cs="Arial"/>
          <w:color w:val="000000"/>
          <w:sz w:val="24"/>
          <w:szCs w:val="24"/>
        </w:rPr>
        <w:t>this particular a</w:t>
      </w:r>
      <w:r w:rsidR="00014B2C">
        <w:rPr>
          <w:rFonts w:ascii="Arial" w:eastAsia="Arial" w:hAnsi="Arial" w:cs="Arial"/>
          <w:color w:val="000000"/>
          <w:sz w:val="24"/>
          <w:szCs w:val="24"/>
        </w:rPr>
        <w:t xml:space="preserve">nnexure </w:t>
      </w:r>
      <w:r w:rsidR="003F63FB">
        <w:rPr>
          <w:rFonts w:ascii="Arial" w:eastAsia="Arial" w:hAnsi="Arial" w:cs="Arial"/>
          <w:color w:val="000000"/>
          <w:sz w:val="24"/>
          <w:szCs w:val="24"/>
        </w:rPr>
        <w:t xml:space="preserve">contains the </w:t>
      </w:r>
      <w:r w:rsidR="00014B2C">
        <w:rPr>
          <w:rFonts w:ascii="Arial" w:eastAsia="Arial" w:hAnsi="Arial" w:cs="Arial"/>
          <w:color w:val="000000"/>
          <w:sz w:val="24"/>
          <w:szCs w:val="24"/>
        </w:rPr>
        <w:t>S</w:t>
      </w:r>
      <w:r w:rsidR="003F63FB">
        <w:rPr>
          <w:rFonts w:ascii="Arial" w:eastAsia="Arial" w:hAnsi="Arial" w:cs="Arial"/>
          <w:color w:val="000000"/>
          <w:sz w:val="24"/>
          <w:szCs w:val="24"/>
        </w:rPr>
        <w:t xml:space="preserve">tandard </w:t>
      </w:r>
      <w:r w:rsidR="00014B2C">
        <w:rPr>
          <w:rFonts w:ascii="Arial" w:eastAsia="Arial" w:hAnsi="Arial" w:cs="Arial"/>
          <w:color w:val="000000"/>
          <w:sz w:val="24"/>
          <w:szCs w:val="24"/>
        </w:rPr>
        <w:t>T</w:t>
      </w:r>
      <w:r w:rsidR="003F63FB">
        <w:rPr>
          <w:rFonts w:ascii="Arial" w:eastAsia="Arial" w:hAnsi="Arial" w:cs="Arial"/>
          <w:color w:val="000000"/>
          <w:sz w:val="24"/>
          <w:szCs w:val="24"/>
        </w:rPr>
        <w:t xml:space="preserve">erms and </w:t>
      </w:r>
      <w:r w:rsidR="00014B2C">
        <w:rPr>
          <w:rFonts w:ascii="Arial" w:eastAsia="Arial" w:hAnsi="Arial" w:cs="Arial"/>
          <w:color w:val="000000"/>
          <w:sz w:val="24"/>
          <w:szCs w:val="24"/>
        </w:rPr>
        <w:t>C</w:t>
      </w:r>
      <w:r w:rsidR="003F63FB">
        <w:rPr>
          <w:rFonts w:ascii="Arial" w:eastAsia="Arial" w:hAnsi="Arial" w:cs="Arial"/>
          <w:color w:val="000000"/>
          <w:sz w:val="24"/>
          <w:szCs w:val="24"/>
        </w:rPr>
        <w:t xml:space="preserve">onditions of </w:t>
      </w:r>
      <w:r w:rsidR="00014B2C">
        <w:rPr>
          <w:rFonts w:ascii="Arial" w:eastAsia="Arial" w:hAnsi="Arial" w:cs="Arial"/>
          <w:color w:val="000000"/>
          <w:sz w:val="24"/>
          <w:szCs w:val="24"/>
        </w:rPr>
        <w:t>B</w:t>
      </w:r>
      <w:r w:rsidR="003F63FB">
        <w:rPr>
          <w:rFonts w:ascii="Arial" w:eastAsia="Arial" w:hAnsi="Arial" w:cs="Arial"/>
          <w:color w:val="000000"/>
          <w:sz w:val="24"/>
          <w:szCs w:val="24"/>
        </w:rPr>
        <w:t>usiness that was incorporated into Annexure POC</w:t>
      </w:r>
      <w:r w:rsidR="00557587">
        <w:rPr>
          <w:rFonts w:ascii="Arial" w:eastAsia="Arial" w:hAnsi="Arial" w:cs="Arial"/>
          <w:color w:val="000000"/>
          <w:sz w:val="24"/>
          <w:szCs w:val="24"/>
        </w:rPr>
        <w:t>2</w:t>
      </w:r>
      <w:r w:rsidR="003F63FB">
        <w:rPr>
          <w:rFonts w:ascii="Arial" w:eastAsia="Arial" w:hAnsi="Arial" w:cs="Arial"/>
          <w:color w:val="000000"/>
          <w:sz w:val="24"/>
          <w:szCs w:val="24"/>
        </w:rPr>
        <w:t xml:space="preserve"> by reference and which constitutes the terms and conditions on which Mazars will perform</w:t>
      </w:r>
      <w:r w:rsidR="00E32878">
        <w:rPr>
          <w:rFonts w:ascii="Arial" w:eastAsia="Arial" w:hAnsi="Arial" w:cs="Arial"/>
          <w:color w:val="000000"/>
          <w:sz w:val="24"/>
          <w:szCs w:val="24"/>
        </w:rPr>
        <w:t xml:space="preserve"> audit</w:t>
      </w:r>
      <w:r w:rsidR="003F63FB">
        <w:rPr>
          <w:rFonts w:ascii="Arial" w:eastAsia="Arial" w:hAnsi="Arial" w:cs="Arial"/>
          <w:color w:val="000000"/>
          <w:sz w:val="24"/>
          <w:szCs w:val="24"/>
        </w:rPr>
        <w:t xml:space="preserve"> work for Floorworx.  In this instance also, it is important to appreciate that Annexure POC2 is only relevant in respect of Claim 10 of the Amended Particulars of Claim.</w:t>
      </w:r>
    </w:p>
    <w:p w14:paraId="62611F90" w14:textId="6EF4A2A4" w:rsidR="00E42D8E" w:rsidRDefault="00E42D8E" w:rsidP="00E42D8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4463B22" w14:textId="1B581283" w:rsidR="00E42D8E"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r>
      <w:r w:rsidR="0005217C" w:rsidRPr="00A55D51">
        <w:rPr>
          <w:rFonts w:ascii="Arial" w:eastAsia="Arial" w:hAnsi="Arial" w:cs="Arial"/>
          <w:color w:val="000000"/>
          <w:sz w:val="24"/>
          <w:szCs w:val="24"/>
        </w:rPr>
        <w:t xml:space="preserve">As </w:t>
      </w:r>
      <w:r w:rsidR="00C54FB7" w:rsidRPr="00A55D51">
        <w:rPr>
          <w:rFonts w:ascii="Arial" w:eastAsia="Arial" w:hAnsi="Arial" w:cs="Arial"/>
          <w:color w:val="000000"/>
          <w:sz w:val="24"/>
          <w:szCs w:val="24"/>
        </w:rPr>
        <w:t>stated</w:t>
      </w:r>
      <w:r w:rsidR="0005217C" w:rsidRPr="00A55D51">
        <w:rPr>
          <w:rFonts w:ascii="Arial" w:eastAsia="Arial" w:hAnsi="Arial" w:cs="Arial"/>
          <w:color w:val="000000"/>
          <w:sz w:val="24"/>
          <w:szCs w:val="24"/>
        </w:rPr>
        <w:t xml:space="preserve">, </w:t>
      </w:r>
      <w:r w:rsidR="00D37707" w:rsidRPr="00A55D51">
        <w:rPr>
          <w:rFonts w:ascii="Arial" w:eastAsia="Arial" w:hAnsi="Arial" w:cs="Arial"/>
          <w:color w:val="000000"/>
          <w:sz w:val="24"/>
          <w:szCs w:val="24"/>
        </w:rPr>
        <w:t xml:space="preserve">there are 10 claims pleaded against Mazars by Floorworx.  </w:t>
      </w:r>
      <w:r w:rsidR="00BB6154" w:rsidRPr="00A55D51">
        <w:rPr>
          <w:rFonts w:ascii="Arial" w:eastAsia="Arial" w:hAnsi="Arial" w:cs="Arial"/>
          <w:color w:val="000000"/>
          <w:sz w:val="24"/>
          <w:szCs w:val="24"/>
        </w:rPr>
        <w:t>S</w:t>
      </w:r>
      <w:r w:rsidR="00012113" w:rsidRPr="00A55D51">
        <w:rPr>
          <w:rFonts w:ascii="Arial" w:eastAsia="Arial" w:hAnsi="Arial" w:cs="Arial"/>
          <w:color w:val="000000"/>
          <w:sz w:val="24"/>
          <w:szCs w:val="24"/>
        </w:rPr>
        <w:t>a</w:t>
      </w:r>
      <w:r w:rsidR="00BB6154" w:rsidRPr="00A55D51">
        <w:rPr>
          <w:rFonts w:ascii="Arial" w:eastAsia="Arial" w:hAnsi="Arial" w:cs="Arial"/>
          <w:color w:val="000000"/>
          <w:sz w:val="24"/>
          <w:szCs w:val="24"/>
        </w:rPr>
        <w:t>v</w:t>
      </w:r>
      <w:r w:rsidR="00012113" w:rsidRPr="00A55D51">
        <w:rPr>
          <w:rFonts w:ascii="Arial" w:eastAsia="Arial" w:hAnsi="Arial" w:cs="Arial"/>
          <w:color w:val="000000"/>
          <w:sz w:val="24"/>
          <w:szCs w:val="24"/>
        </w:rPr>
        <w:t>e for certain minor differences that I will shortly indicate, they are substantially similar</w:t>
      </w:r>
      <w:r w:rsidR="00BB6154" w:rsidRPr="00A55D51">
        <w:rPr>
          <w:rFonts w:ascii="Arial" w:eastAsia="Arial" w:hAnsi="Arial" w:cs="Arial"/>
          <w:color w:val="000000"/>
          <w:sz w:val="24"/>
          <w:szCs w:val="24"/>
        </w:rPr>
        <w:t>, if not identical</w:t>
      </w:r>
      <w:r w:rsidR="00012113" w:rsidRPr="00A55D51">
        <w:rPr>
          <w:rFonts w:ascii="Arial" w:eastAsia="Arial" w:hAnsi="Arial" w:cs="Arial"/>
          <w:color w:val="000000"/>
          <w:sz w:val="24"/>
          <w:szCs w:val="24"/>
        </w:rPr>
        <w:t xml:space="preserve">.  The differences relate to (i) the </w:t>
      </w:r>
      <w:r w:rsidR="00012113" w:rsidRPr="00A55D51">
        <w:rPr>
          <w:rFonts w:ascii="Arial" w:eastAsia="Arial" w:hAnsi="Arial" w:cs="Arial"/>
          <w:i/>
          <w:iCs/>
          <w:color w:val="000000"/>
          <w:sz w:val="24"/>
          <w:szCs w:val="24"/>
        </w:rPr>
        <w:t>quantum</w:t>
      </w:r>
      <w:r w:rsidR="00012113" w:rsidRPr="00A55D51">
        <w:rPr>
          <w:rFonts w:ascii="Arial" w:eastAsia="Arial" w:hAnsi="Arial" w:cs="Arial"/>
          <w:color w:val="000000"/>
          <w:sz w:val="24"/>
          <w:szCs w:val="24"/>
        </w:rPr>
        <w:t xml:space="preserve"> claimed </w:t>
      </w:r>
      <w:r w:rsidR="00E32878" w:rsidRPr="00A55D51">
        <w:rPr>
          <w:rFonts w:ascii="Arial" w:eastAsia="Arial" w:hAnsi="Arial" w:cs="Arial"/>
          <w:color w:val="000000"/>
          <w:sz w:val="24"/>
          <w:szCs w:val="24"/>
        </w:rPr>
        <w:t>in each respective claim</w:t>
      </w:r>
      <w:r w:rsidR="00012113" w:rsidRPr="00A55D51">
        <w:rPr>
          <w:rFonts w:ascii="Arial" w:eastAsia="Arial" w:hAnsi="Arial" w:cs="Arial"/>
          <w:color w:val="000000"/>
          <w:sz w:val="24"/>
          <w:szCs w:val="24"/>
        </w:rPr>
        <w:t xml:space="preserve">; </w:t>
      </w:r>
      <w:r w:rsidR="00555E59" w:rsidRPr="00A55D51">
        <w:rPr>
          <w:rFonts w:ascii="Arial" w:eastAsia="Arial" w:hAnsi="Arial" w:cs="Arial"/>
          <w:color w:val="000000"/>
          <w:sz w:val="24"/>
          <w:szCs w:val="24"/>
        </w:rPr>
        <w:t xml:space="preserve">(ii) the period </w:t>
      </w:r>
      <w:r w:rsidR="00E32878" w:rsidRPr="00A55D51">
        <w:rPr>
          <w:rFonts w:ascii="Arial" w:eastAsia="Arial" w:hAnsi="Arial" w:cs="Arial"/>
          <w:color w:val="000000"/>
          <w:sz w:val="24"/>
          <w:szCs w:val="24"/>
        </w:rPr>
        <w:t xml:space="preserve">to </w:t>
      </w:r>
      <w:r w:rsidR="00555E59" w:rsidRPr="00A55D51">
        <w:rPr>
          <w:rFonts w:ascii="Arial" w:eastAsia="Arial" w:hAnsi="Arial" w:cs="Arial"/>
          <w:color w:val="000000"/>
          <w:sz w:val="24"/>
          <w:szCs w:val="24"/>
        </w:rPr>
        <w:t xml:space="preserve">which each claim relates; (iii) Annexure POC1 relates to Claim </w:t>
      </w:r>
      <w:r w:rsidR="007D2CB9" w:rsidRPr="00A55D51">
        <w:rPr>
          <w:rFonts w:ascii="Arial" w:eastAsia="Arial" w:hAnsi="Arial" w:cs="Arial"/>
          <w:color w:val="000000"/>
          <w:sz w:val="24"/>
          <w:szCs w:val="24"/>
        </w:rPr>
        <w:t>9</w:t>
      </w:r>
      <w:r w:rsidR="00555E59" w:rsidRPr="00A55D51">
        <w:rPr>
          <w:rFonts w:ascii="Arial" w:eastAsia="Arial" w:hAnsi="Arial" w:cs="Arial"/>
          <w:color w:val="000000"/>
          <w:sz w:val="24"/>
          <w:szCs w:val="24"/>
        </w:rPr>
        <w:t xml:space="preserve"> and POC2 relates to Claim 10.  These annexures do not relate to any of the other 8 claims</w:t>
      </w:r>
      <w:r w:rsidR="00DB50CC" w:rsidRPr="00A55D51">
        <w:rPr>
          <w:rFonts w:ascii="Arial" w:eastAsia="Arial" w:hAnsi="Arial" w:cs="Arial"/>
          <w:color w:val="000000"/>
          <w:sz w:val="24"/>
          <w:szCs w:val="24"/>
        </w:rPr>
        <w:t xml:space="preserve">; and (iv) the other defendants are held liable jointly and severally with Mazars only in respect of some of the claims and which is again related to their respective </w:t>
      </w:r>
      <w:r w:rsidR="007618CA" w:rsidRPr="00A55D51">
        <w:rPr>
          <w:rFonts w:ascii="Arial" w:eastAsia="Arial" w:hAnsi="Arial" w:cs="Arial"/>
          <w:color w:val="000000"/>
          <w:sz w:val="24"/>
          <w:szCs w:val="24"/>
        </w:rPr>
        <w:t>periods of directorship.  Sa</w:t>
      </w:r>
      <w:r w:rsidR="007D2CB9" w:rsidRPr="00A55D51">
        <w:rPr>
          <w:rFonts w:ascii="Arial" w:eastAsia="Arial" w:hAnsi="Arial" w:cs="Arial"/>
          <w:color w:val="000000"/>
          <w:sz w:val="24"/>
          <w:szCs w:val="24"/>
        </w:rPr>
        <w:t>v</w:t>
      </w:r>
      <w:r w:rsidR="007618CA" w:rsidRPr="00A55D51">
        <w:rPr>
          <w:rFonts w:ascii="Arial" w:eastAsia="Arial" w:hAnsi="Arial" w:cs="Arial"/>
          <w:color w:val="000000"/>
          <w:sz w:val="24"/>
          <w:szCs w:val="24"/>
        </w:rPr>
        <w:t>e as aforesaid, each of the claims are in essence identical and I will accordingly only deal with Claim 1</w:t>
      </w:r>
      <w:r w:rsidR="00F466CC" w:rsidRPr="00A55D51">
        <w:rPr>
          <w:rFonts w:ascii="Arial" w:eastAsia="Arial" w:hAnsi="Arial" w:cs="Arial"/>
          <w:color w:val="000000"/>
          <w:sz w:val="24"/>
          <w:szCs w:val="24"/>
        </w:rPr>
        <w:t xml:space="preserve"> of the Amended Particulars of Claim.  Thereafter I shall deal with Annexures POC1 and POC2 </w:t>
      </w:r>
      <w:r w:rsidR="00A410B2" w:rsidRPr="00A55D51">
        <w:rPr>
          <w:rFonts w:ascii="Arial" w:eastAsia="Arial" w:hAnsi="Arial" w:cs="Arial"/>
          <w:color w:val="000000"/>
          <w:sz w:val="24"/>
          <w:szCs w:val="24"/>
        </w:rPr>
        <w:t>-</w:t>
      </w:r>
      <w:r w:rsidR="00F466CC" w:rsidRPr="00A55D51">
        <w:rPr>
          <w:rFonts w:ascii="Arial" w:eastAsia="Arial" w:hAnsi="Arial" w:cs="Arial"/>
          <w:color w:val="000000"/>
          <w:sz w:val="24"/>
          <w:szCs w:val="24"/>
        </w:rPr>
        <w:t xml:space="preserve"> keeping in mind that these two annexures relate only to Claim 9 and Claim 10 respectively.</w:t>
      </w:r>
    </w:p>
    <w:p w14:paraId="6C50AE83" w14:textId="6E43C2BC" w:rsidR="00E42D8E" w:rsidRDefault="00E42D8E" w:rsidP="00E42D8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6B9A5ECC" w14:textId="052A8FF2" w:rsidR="00E42D8E"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r>
      <w:r w:rsidR="003D3A7A" w:rsidRPr="00A55D51">
        <w:rPr>
          <w:rFonts w:ascii="Arial" w:eastAsia="Arial" w:hAnsi="Arial" w:cs="Arial"/>
          <w:color w:val="000000"/>
          <w:sz w:val="24"/>
          <w:szCs w:val="24"/>
        </w:rPr>
        <w:t xml:space="preserve">Further to the aforegoing, it is </w:t>
      </w:r>
      <w:r w:rsidR="00F656EF" w:rsidRPr="00A55D51">
        <w:rPr>
          <w:rFonts w:ascii="Arial" w:eastAsia="Arial" w:hAnsi="Arial" w:cs="Arial"/>
          <w:color w:val="000000"/>
          <w:sz w:val="24"/>
          <w:szCs w:val="24"/>
        </w:rPr>
        <w:t xml:space="preserve">also </w:t>
      </w:r>
      <w:r w:rsidR="003D3A7A" w:rsidRPr="00A55D51">
        <w:rPr>
          <w:rFonts w:ascii="Arial" w:eastAsia="Arial" w:hAnsi="Arial" w:cs="Arial"/>
          <w:color w:val="000000"/>
          <w:sz w:val="24"/>
          <w:szCs w:val="24"/>
        </w:rPr>
        <w:t xml:space="preserve">obvious that the allegations pertaining to the citation of the parties [paragraphs 1 to </w:t>
      </w:r>
      <w:r w:rsidR="00C326A9" w:rsidRPr="00A55D51">
        <w:rPr>
          <w:rFonts w:ascii="Arial" w:eastAsia="Arial" w:hAnsi="Arial" w:cs="Arial"/>
          <w:color w:val="000000"/>
          <w:sz w:val="24"/>
          <w:szCs w:val="24"/>
        </w:rPr>
        <w:t>8 of the Amended Particulars of Claim] as well as the background facts alleged therein [paragraphs 9 to 11 thereof] pertains to all 10 claims.</w:t>
      </w:r>
    </w:p>
    <w:p w14:paraId="33643460" w14:textId="77777777" w:rsidR="00C326A9" w:rsidRPr="00C326A9" w:rsidRDefault="00C326A9" w:rsidP="00C326A9">
      <w:pPr>
        <w:pStyle w:val="ListParagraph"/>
        <w:rPr>
          <w:rFonts w:ascii="Arial" w:eastAsia="Arial" w:hAnsi="Arial" w:cs="Arial"/>
          <w:color w:val="000000"/>
          <w:sz w:val="24"/>
          <w:szCs w:val="24"/>
        </w:rPr>
      </w:pPr>
    </w:p>
    <w:p w14:paraId="770C7151" w14:textId="18BF5554" w:rsidR="00C326A9"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11.</w:t>
      </w:r>
      <w:r>
        <w:rPr>
          <w:rFonts w:ascii="Arial" w:eastAsia="Arial" w:hAnsi="Arial" w:cs="Arial"/>
          <w:color w:val="000000"/>
          <w:sz w:val="24"/>
          <w:szCs w:val="24"/>
        </w:rPr>
        <w:tab/>
      </w:r>
      <w:r w:rsidR="00C326A9" w:rsidRPr="00A55D51">
        <w:rPr>
          <w:rFonts w:ascii="Arial" w:eastAsia="Arial" w:hAnsi="Arial" w:cs="Arial"/>
          <w:color w:val="000000"/>
          <w:sz w:val="24"/>
          <w:szCs w:val="24"/>
        </w:rPr>
        <w:t xml:space="preserve">I consequently proceed to deal with the description of the parties, the background facts alleged as well as </w:t>
      </w:r>
      <w:r w:rsidR="00F656EF" w:rsidRPr="00A55D51">
        <w:rPr>
          <w:rFonts w:ascii="Arial" w:eastAsia="Arial" w:hAnsi="Arial" w:cs="Arial"/>
          <w:color w:val="000000"/>
          <w:sz w:val="24"/>
          <w:szCs w:val="24"/>
        </w:rPr>
        <w:t xml:space="preserve">the allegations constituting the material facts making </w:t>
      </w:r>
      <w:r w:rsidR="007A31C0" w:rsidRPr="00A55D51">
        <w:rPr>
          <w:rFonts w:ascii="Arial" w:eastAsia="Arial" w:hAnsi="Arial" w:cs="Arial"/>
          <w:color w:val="000000"/>
          <w:sz w:val="24"/>
          <w:szCs w:val="24"/>
        </w:rPr>
        <w:t>up Claim 1</w:t>
      </w:r>
      <w:r w:rsidR="008F35F5" w:rsidRPr="00A55D51">
        <w:rPr>
          <w:rFonts w:ascii="Arial" w:eastAsia="Arial" w:hAnsi="Arial" w:cs="Arial"/>
          <w:color w:val="000000"/>
          <w:sz w:val="24"/>
          <w:szCs w:val="24"/>
        </w:rPr>
        <w:t>:-</w:t>
      </w:r>
    </w:p>
    <w:p w14:paraId="5C32CAF0" w14:textId="77777777" w:rsidR="008F35F5" w:rsidRPr="008F35F5" w:rsidRDefault="008F35F5" w:rsidP="008F35F5">
      <w:pPr>
        <w:pStyle w:val="ListParagraph"/>
        <w:rPr>
          <w:rFonts w:ascii="Arial" w:eastAsia="Arial" w:hAnsi="Arial" w:cs="Arial"/>
          <w:color w:val="000000"/>
          <w:sz w:val="24"/>
          <w:szCs w:val="24"/>
        </w:rPr>
      </w:pPr>
    </w:p>
    <w:p w14:paraId="16A1E74A" w14:textId="1690AAAF" w:rsidR="008F35F5" w:rsidRDefault="008F35F5"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11.1</w:t>
      </w:r>
      <w:r>
        <w:rPr>
          <w:rFonts w:ascii="Arial" w:eastAsia="Arial" w:hAnsi="Arial" w:cs="Arial"/>
          <w:color w:val="000000"/>
          <w:sz w:val="24"/>
          <w:szCs w:val="24"/>
        </w:rPr>
        <w:tab/>
      </w:r>
      <w:r w:rsidR="004E11F6">
        <w:rPr>
          <w:rFonts w:ascii="Arial" w:eastAsia="Arial" w:hAnsi="Arial" w:cs="Arial"/>
          <w:color w:val="000000"/>
          <w:sz w:val="24"/>
          <w:szCs w:val="24"/>
        </w:rPr>
        <w:t xml:space="preserve">Floorworx is a juristic person </w:t>
      </w:r>
      <w:r w:rsidR="00626880">
        <w:rPr>
          <w:rFonts w:ascii="Arial" w:eastAsia="Arial" w:hAnsi="Arial" w:cs="Arial"/>
          <w:color w:val="000000"/>
          <w:sz w:val="24"/>
          <w:szCs w:val="24"/>
        </w:rPr>
        <w:t>that carries on business as a manufacturer of vinyl tiles and as an importer and distributor of floor</w:t>
      </w:r>
      <w:r w:rsidR="002C4464">
        <w:rPr>
          <w:rFonts w:ascii="Arial" w:eastAsia="Arial" w:hAnsi="Arial" w:cs="Arial"/>
          <w:color w:val="000000"/>
          <w:sz w:val="24"/>
          <w:szCs w:val="24"/>
        </w:rPr>
        <w:t xml:space="preserve"> </w:t>
      </w:r>
      <w:r w:rsidR="00626880">
        <w:rPr>
          <w:rFonts w:ascii="Arial" w:eastAsia="Arial" w:hAnsi="Arial" w:cs="Arial"/>
          <w:color w:val="000000"/>
          <w:sz w:val="24"/>
          <w:szCs w:val="24"/>
        </w:rPr>
        <w:t>coverings and wooden floors.</w:t>
      </w:r>
      <w:r w:rsidR="00593CF8">
        <w:rPr>
          <w:rFonts w:ascii="Arial" w:eastAsia="Arial" w:hAnsi="Arial" w:cs="Arial"/>
          <w:color w:val="000000"/>
          <w:sz w:val="24"/>
          <w:szCs w:val="24"/>
        </w:rPr>
        <w:t xml:space="preserve">  It is also </w:t>
      </w:r>
      <w:r w:rsidR="00E32878">
        <w:rPr>
          <w:rFonts w:ascii="Arial" w:eastAsia="Arial" w:hAnsi="Arial" w:cs="Arial"/>
          <w:color w:val="000000"/>
          <w:sz w:val="24"/>
          <w:szCs w:val="24"/>
        </w:rPr>
        <w:t xml:space="preserve">a </w:t>
      </w:r>
      <w:r w:rsidR="00593CF8">
        <w:rPr>
          <w:rFonts w:ascii="Arial" w:eastAsia="Arial" w:hAnsi="Arial" w:cs="Arial"/>
          <w:color w:val="000000"/>
          <w:sz w:val="24"/>
          <w:szCs w:val="24"/>
        </w:rPr>
        <w:t>wholly-owned subsidiary of Accentuate</w:t>
      </w:r>
      <w:r w:rsidR="002C4464">
        <w:rPr>
          <w:rFonts w:ascii="Arial" w:eastAsia="Arial" w:hAnsi="Arial" w:cs="Arial"/>
          <w:color w:val="000000"/>
          <w:sz w:val="24"/>
          <w:szCs w:val="24"/>
        </w:rPr>
        <w:t xml:space="preserve"> </w:t>
      </w:r>
      <w:r w:rsidR="00E32878">
        <w:rPr>
          <w:rFonts w:ascii="Arial" w:eastAsia="Arial" w:hAnsi="Arial" w:cs="Arial"/>
          <w:color w:val="000000"/>
          <w:sz w:val="24"/>
          <w:szCs w:val="24"/>
        </w:rPr>
        <w:t>(</w:t>
      </w:r>
      <w:r w:rsidR="002C4464">
        <w:rPr>
          <w:rFonts w:ascii="Arial" w:eastAsia="Arial" w:hAnsi="Arial" w:cs="Arial"/>
          <w:color w:val="000000"/>
          <w:sz w:val="24"/>
          <w:szCs w:val="24"/>
        </w:rPr>
        <w:t>that is also a juristic person</w:t>
      </w:r>
      <w:r w:rsidR="007922BF">
        <w:rPr>
          <w:rFonts w:ascii="Arial" w:eastAsia="Arial" w:hAnsi="Arial" w:cs="Arial"/>
          <w:color w:val="000000"/>
          <w:sz w:val="24"/>
          <w:szCs w:val="24"/>
        </w:rPr>
        <w:t>)</w:t>
      </w:r>
      <w:r w:rsidR="003A5C29">
        <w:rPr>
          <w:rFonts w:ascii="Arial" w:eastAsia="Arial" w:hAnsi="Arial" w:cs="Arial"/>
          <w:color w:val="000000"/>
          <w:sz w:val="24"/>
          <w:szCs w:val="24"/>
        </w:rPr>
        <w:t xml:space="preserve"> </w:t>
      </w:r>
      <w:r w:rsidR="007922BF">
        <w:rPr>
          <w:rFonts w:ascii="Arial" w:eastAsia="Arial" w:hAnsi="Arial" w:cs="Arial"/>
          <w:color w:val="000000"/>
          <w:sz w:val="24"/>
          <w:szCs w:val="24"/>
        </w:rPr>
        <w:t>[</w:t>
      </w:r>
      <w:r w:rsidR="003A5C29">
        <w:rPr>
          <w:rFonts w:ascii="Arial" w:eastAsia="Arial" w:hAnsi="Arial" w:cs="Arial"/>
          <w:color w:val="000000"/>
          <w:sz w:val="24"/>
          <w:szCs w:val="24"/>
        </w:rPr>
        <w:t>paragraph 1</w:t>
      </w:r>
      <w:r w:rsidR="00593CF8">
        <w:rPr>
          <w:rFonts w:ascii="Arial" w:eastAsia="Arial" w:hAnsi="Arial" w:cs="Arial"/>
          <w:color w:val="000000"/>
          <w:sz w:val="24"/>
          <w:szCs w:val="24"/>
        </w:rPr>
        <w:t>]</w:t>
      </w:r>
      <w:r w:rsidR="003A5C29">
        <w:rPr>
          <w:rFonts w:ascii="Arial" w:eastAsia="Arial" w:hAnsi="Arial" w:cs="Arial"/>
          <w:color w:val="000000"/>
          <w:sz w:val="24"/>
          <w:szCs w:val="24"/>
        </w:rPr>
        <w:t>;</w:t>
      </w:r>
    </w:p>
    <w:p w14:paraId="7B7C918B" w14:textId="77777777" w:rsidR="003A5C29" w:rsidRDefault="003A5C29"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40FC105" w14:textId="46F0B1AC" w:rsidR="003A5C29" w:rsidRDefault="003A5C29"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11.2</w:t>
      </w:r>
      <w:r>
        <w:rPr>
          <w:rFonts w:ascii="Arial" w:eastAsia="Arial" w:hAnsi="Arial" w:cs="Arial"/>
          <w:color w:val="000000"/>
          <w:sz w:val="24"/>
          <w:szCs w:val="24"/>
        </w:rPr>
        <w:tab/>
        <w:t>Mazars is also a juristic person that is involved in the business of providing the services of chartered account</w:t>
      </w:r>
      <w:r w:rsidR="00E32878">
        <w:rPr>
          <w:rFonts w:ascii="Arial" w:eastAsia="Arial" w:hAnsi="Arial" w:cs="Arial"/>
          <w:color w:val="000000"/>
          <w:sz w:val="24"/>
          <w:szCs w:val="24"/>
        </w:rPr>
        <w:t>ant</w:t>
      </w:r>
      <w:r>
        <w:rPr>
          <w:rFonts w:ascii="Arial" w:eastAsia="Arial" w:hAnsi="Arial" w:cs="Arial"/>
          <w:color w:val="000000"/>
          <w:sz w:val="24"/>
          <w:szCs w:val="24"/>
        </w:rPr>
        <w:t xml:space="preserve">s and registered auditors </w:t>
      </w:r>
      <w:r w:rsidR="007922BF">
        <w:rPr>
          <w:rFonts w:ascii="Arial" w:eastAsia="Arial" w:hAnsi="Arial" w:cs="Arial"/>
          <w:color w:val="000000"/>
          <w:sz w:val="24"/>
          <w:szCs w:val="24"/>
        </w:rPr>
        <w:t>[paragraph 2];</w:t>
      </w:r>
    </w:p>
    <w:p w14:paraId="586D9F99" w14:textId="77777777" w:rsidR="007922BF" w:rsidRDefault="007922BF"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9F081CC" w14:textId="77777777" w:rsidR="00CA0687" w:rsidRDefault="007922BF"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11.3</w:t>
      </w:r>
      <w:r>
        <w:rPr>
          <w:rFonts w:ascii="Arial" w:eastAsia="Arial" w:hAnsi="Arial" w:cs="Arial"/>
          <w:color w:val="000000"/>
          <w:sz w:val="24"/>
          <w:szCs w:val="24"/>
        </w:rPr>
        <w:tab/>
      </w:r>
      <w:r w:rsidR="002C4464">
        <w:rPr>
          <w:rFonts w:ascii="Arial" w:eastAsia="Arial" w:hAnsi="Arial" w:cs="Arial"/>
          <w:color w:val="000000"/>
          <w:sz w:val="24"/>
          <w:szCs w:val="24"/>
        </w:rPr>
        <w:t>t</w:t>
      </w:r>
      <w:r>
        <w:rPr>
          <w:rFonts w:ascii="Arial" w:eastAsia="Arial" w:hAnsi="Arial" w:cs="Arial"/>
          <w:color w:val="000000"/>
          <w:sz w:val="24"/>
          <w:szCs w:val="24"/>
        </w:rPr>
        <w:t xml:space="preserve">he other defendants </w:t>
      </w:r>
      <w:r w:rsidR="00180269">
        <w:rPr>
          <w:rFonts w:ascii="Arial" w:eastAsia="Arial" w:hAnsi="Arial" w:cs="Arial"/>
          <w:color w:val="000000"/>
          <w:sz w:val="24"/>
          <w:szCs w:val="24"/>
        </w:rPr>
        <w:t xml:space="preserve">are auditors by profession [paragraphs 3 – 8].  </w:t>
      </w:r>
    </w:p>
    <w:p w14:paraId="1433EEC2" w14:textId="77777777" w:rsidR="00CA0687" w:rsidRDefault="00CA0687"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7B5D964" w14:textId="6220C9FE" w:rsidR="007922BF" w:rsidRDefault="00CA0687"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11.4</w:t>
      </w:r>
      <w:r>
        <w:rPr>
          <w:rFonts w:ascii="Arial" w:eastAsia="Arial" w:hAnsi="Arial" w:cs="Arial"/>
          <w:color w:val="000000"/>
          <w:sz w:val="24"/>
          <w:szCs w:val="24"/>
        </w:rPr>
        <w:tab/>
        <w:t>a</w:t>
      </w:r>
      <w:r w:rsidR="00180269">
        <w:rPr>
          <w:rFonts w:ascii="Arial" w:eastAsia="Arial" w:hAnsi="Arial" w:cs="Arial"/>
          <w:color w:val="000000"/>
          <w:sz w:val="24"/>
          <w:szCs w:val="24"/>
        </w:rPr>
        <w:t>t paragraph 9 and under the heading “</w:t>
      </w:r>
      <w:r w:rsidR="00180269">
        <w:rPr>
          <w:rFonts w:ascii="Arial" w:eastAsia="Arial" w:hAnsi="Arial" w:cs="Arial"/>
          <w:i/>
          <w:iCs/>
          <w:color w:val="000000"/>
          <w:sz w:val="24"/>
          <w:szCs w:val="24"/>
        </w:rPr>
        <w:t>Background Facts”</w:t>
      </w:r>
      <w:r w:rsidR="00984F96">
        <w:rPr>
          <w:rFonts w:ascii="Arial" w:eastAsia="Arial" w:hAnsi="Arial" w:cs="Arial"/>
          <w:color w:val="000000"/>
          <w:sz w:val="24"/>
          <w:szCs w:val="24"/>
        </w:rPr>
        <w:t xml:space="preserve"> it is alleged that at all times material to the claims framed in the Amended Particulars of Claim that</w:t>
      </w:r>
      <w:r w:rsidR="00372761">
        <w:rPr>
          <w:rFonts w:ascii="Arial" w:eastAsia="Arial" w:hAnsi="Arial" w:cs="Arial"/>
          <w:color w:val="000000"/>
          <w:sz w:val="24"/>
          <w:szCs w:val="24"/>
        </w:rPr>
        <w:t xml:space="preserve">: (i) </w:t>
      </w:r>
      <w:r w:rsidR="000F7363">
        <w:rPr>
          <w:rFonts w:ascii="Arial" w:eastAsia="Arial" w:hAnsi="Arial" w:cs="Arial"/>
          <w:color w:val="000000"/>
          <w:sz w:val="24"/>
          <w:szCs w:val="24"/>
        </w:rPr>
        <w:t>Mazars was a registered auditor under the Auditing Profession Act; (ii) at its various annual general meetings, Floorworx appointed Mazars to serve as its auditor; and (iii) in its capacity as auditor of Floorworx, Mazars at all times had the right of access to the accounting records and all the books and documents of Floorworx and was entitled to require from the directors or prescribed officers of Floorworx any information and explanations necessary for the performance of their duties and had the right of access to current and former financial statements of Floorworx and was entitled to require from directors and officers of Floorworx any information and explanations in connection with any such statements and in connection with accounting records, books and documents of Floorworx as was necessary for the performance of its duties;</w:t>
      </w:r>
    </w:p>
    <w:p w14:paraId="066EC7A8" w14:textId="77777777" w:rsidR="000F7363" w:rsidRDefault="000F7363"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7555CE5" w14:textId="40D425C6" w:rsidR="000F7363" w:rsidRDefault="0015273E"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w:t>
      </w:r>
      <w:r w:rsidR="000F7363">
        <w:rPr>
          <w:rFonts w:ascii="Arial" w:eastAsia="Arial" w:hAnsi="Arial" w:cs="Arial"/>
          <w:color w:val="000000"/>
          <w:sz w:val="24"/>
          <w:szCs w:val="24"/>
        </w:rPr>
        <w:t>1.</w:t>
      </w:r>
      <w:r w:rsidR="00CA0687">
        <w:rPr>
          <w:rFonts w:ascii="Arial" w:eastAsia="Arial" w:hAnsi="Arial" w:cs="Arial"/>
          <w:color w:val="000000"/>
          <w:sz w:val="24"/>
          <w:szCs w:val="24"/>
        </w:rPr>
        <w:t>5</w:t>
      </w:r>
      <w:r w:rsidR="000F7363">
        <w:rPr>
          <w:rFonts w:ascii="Arial" w:eastAsia="Arial" w:hAnsi="Arial" w:cs="Arial"/>
          <w:color w:val="000000"/>
          <w:sz w:val="24"/>
          <w:szCs w:val="24"/>
        </w:rPr>
        <w:tab/>
      </w:r>
      <w:r w:rsidR="00E32878">
        <w:rPr>
          <w:rFonts w:ascii="Arial" w:eastAsia="Arial" w:hAnsi="Arial" w:cs="Arial"/>
          <w:color w:val="000000"/>
          <w:sz w:val="24"/>
          <w:szCs w:val="24"/>
        </w:rPr>
        <w:t>at</w:t>
      </w:r>
      <w:r w:rsidR="00ED0A13">
        <w:rPr>
          <w:rFonts w:ascii="Arial" w:eastAsia="Arial" w:hAnsi="Arial" w:cs="Arial"/>
          <w:color w:val="000000"/>
          <w:sz w:val="24"/>
          <w:szCs w:val="24"/>
        </w:rPr>
        <w:t xml:space="preserve"> paragraph 10 it </w:t>
      </w:r>
      <w:r>
        <w:rPr>
          <w:rFonts w:ascii="Arial" w:eastAsia="Arial" w:hAnsi="Arial" w:cs="Arial"/>
          <w:color w:val="000000"/>
          <w:sz w:val="24"/>
          <w:szCs w:val="24"/>
        </w:rPr>
        <w:t>is</w:t>
      </w:r>
      <w:r w:rsidR="00ED0A13">
        <w:rPr>
          <w:rFonts w:ascii="Arial" w:eastAsia="Arial" w:hAnsi="Arial" w:cs="Arial"/>
          <w:color w:val="000000"/>
          <w:sz w:val="24"/>
          <w:szCs w:val="24"/>
        </w:rPr>
        <w:t xml:space="preserve"> alleged that at all material</w:t>
      </w:r>
      <w:r w:rsidR="005D119C">
        <w:rPr>
          <w:rFonts w:ascii="Arial" w:eastAsia="Arial" w:hAnsi="Arial" w:cs="Arial"/>
          <w:color w:val="000000"/>
          <w:sz w:val="24"/>
          <w:szCs w:val="24"/>
        </w:rPr>
        <w:t xml:space="preserve"> times</w:t>
      </w:r>
      <w:r w:rsidR="00ED0A13">
        <w:rPr>
          <w:rFonts w:ascii="Arial" w:eastAsia="Arial" w:hAnsi="Arial" w:cs="Arial"/>
          <w:color w:val="000000"/>
          <w:sz w:val="24"/>
          <w:szCs w:val="24"/>
        </w:rPr>
        <w:t xml:space="preserve"> one Henry Louis Fourie Schreuder</w:t>
      </w:r>
      <w:r w:rsidR="00E931BB">
        <w:rPr>
          <w:rFonts w:ascii="Arial" w:eastAsia="Arial" w:hAnsi="Arial" w:cs="Arial"/>
          <w:color w:val="000000"/>
          <w:sz w:val="24"/>
          <w:szCs w:val="24"/>
        </w:rPr>
        <w:t xml:space="preserve"> [hereinafter “</w:t>
      </w:r>
      <w:r w:rsidR="00E32878">
        <w:rPr>
          <w:rFonts w:ascii="Arial" w:eastAsia="Arial" w:hAnsi="Arial" w:cs="Arial"/>
          <w:i/>
          <w:iCs/>
          <w:color w:val="000000"/>
          <w:sz w:val="24"/>
          <w:szCs w:val="24"/>
        </w:rPr>
        <w:t>Schreuder</w:t>
      </w:r>
      <w:r w:rsidR="00E32878">
        <w:rPr>
          <w:rFonts w:ascii="Arial" w:eastAsia="Arial" w:hAnsi="Arial" w:cs="Arial"/>
          <w:iCs/>
          <w:color w:val="000000"/>
          <w:sz w:val="24"/>
          <w:szCs w:val="24"/>
        </w:rPr>
        <w:t>”]</w:t>
      </w:r>
      <w:r w:rsidR="00ED0A13">
        <w:rPr>
          <w:rFonts w:ascii="Arial" w:eastAsia="Arial" w:hAnsi="Arial" w:cs="Arial"/>
          <w:color w:val="000000"/>
          <w:sz w:val="24"/>
          <w:szCs w:val="24"/>
        </w:rPr>
        <w:t xml:space="preserve"> was the Chief Financial Officer of Floorworx;</w:t>
      </w:r>
    </w:p>
    <w:p w14:paraId="53F9A719" w14:textId="77777777" w:rsidR="00ED0A13" w:rsidRDefault="00ED0A13"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1978991" w14:textId="55A7A40A" w:rsidR="00ED0A13" w:rsidRDefault="00ED0A13"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w:t>
      </w:r>
      <w:r w:rsidR="00CA0687">
        <w:rPr>
          <w:rFonts w:ascii="Arial" w:eastAsia="Arial" w:hAnsi="Arial" w:cs="Arial"/>
          <w:color w:val="000000"/>
          <w:sz w:val="24"/>
          <w:szCs w:val="24"/>
        </w:rPr>
        <w:t>6</w:t>
      </w:r>
      <w:r>
        <w:rPr>
          <w:rFonts w:ascii="Arial" w:eastAsia="Arial" w:hAnsi="Arial" w:cs="Arial"/>
          <w:color w:val="000000"/>
          <w:sz w:val="24"/>
          <w:szCs w:val="24"/>
        </w:rPr>
        <w:tab/>
      </w:r>
      <w:r w:rsidR="00122B3D">
        <w:rPr>
          <w:rFonts w:ascii="Arial" w:eastAsia="Arial" w:hAnsi="Arial" w:cs="Arial"/>
          <w:color w:val="000000"/>
          <w:sz w:val="24"/>
          <w:szCs w:val="24"/>
        </w:rPr>
        <w:t>p</w:t>
      </w:r>
      <w:r w:rsidR="008913D4">
        <w:rPr>
          <w:rFonts w:ascii="Arial" w:eastAsia="Arial" w:hAnsi="Arial" w:cs="Arial"/>
          <w:color w:val="000000"/>
          <w:sz w:val="24"/>
          <w:szCs w:val="24"/>
        </w:rPr>
        <w:t xml:space="preserve">aragraph 11 is materially relevant for purposes of the application to strike out in terms of Rule 23(2) and I therefore quote same </w:t>
      </w:r>
      <w:r w:rsidR="008913D4">
        <w:rPr>
          <w:rFonts w:ascii="Arial" w:eastAsia="Arial" w:hAnsi="Arial" w:cs="Arial"/>
          <w:i/>
          <w:iCs/>
          <w:color w:val="000000"/>
          <w:sz w:val="24"/>
          <w:szCs w:val="24"/>
        </w:rPr>
        <w:t>verbatim</w:t>
      </w:r>
      <w:r w:rsidR="008913D4">
        <w:rPr>
          <w:rFonts w:ascii="Arial" w:eastAsia="Arial" w:hAnsi="Arial" w:cs="Arial"/>
          <w:color w:val="000000"/>
          <w:sz w:val="24"/>
          <w:szCs w:val="24"/>
        </w:rPr>
        <w:t>:-</w:t>
      </w:r>
    </w:p>
    <w:p w14:paraId="06B933D4" w14:textId="77777777" w:rsidR="008913D4" w:rsidRDefault="008913D4"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22302192" w14:textId="6F32C40C" w:rsidR="008913D4" w:rsidRPr="0085065A" w:rsidRDefault="0085065A" w:rsidP="00C06D47">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sidRPr="0085065A">
        <w:rPr>
          <w:rFonts w:ascii="Arial" w:eastAsia="Arial" w:hAnsi="Arial" w:cs="Arial"/>
          <w:i/>
          <w:iCs/>
          <w:color w:val="000000"/>
        </w:rPr>
        <w:t>“11:</w:t>
      </w:r>
      <w:r w:rsidRPr="0085065A">
        <w:rPr>
          <w:rFonts w:ascii="Arial" w:eastAsia="Arial" w:hAnsi="Arial" w:cs="Arial"/>
          <w:i/>
          <w:iCs/>
          <w:color w:val="000000"/>
        </w:rPr>
        <w:tab/>
        <w:t xml:space="preserve">On about </w:t>
      </w:r>
      <w:r w:rsidR="009A6826">
        <w:rPr>
          <w:rFonts w:ascii="Arial" w:eastAsia="Arial" w:hAnsi="Arial" w:cs="Arial"/>
          <w:i/>
          <w:iCs/>
          <w:color w:val="000000"/>
        </w:rPr>
        <w:t>8 November 2016, Mr Schreuder was convicted in the Eastern Cape Regional Court on 779 counts of defrauding the plaintiff, in amounts totalling R70,286,929.58</w:t>
      </w:r>
      <w:r w:rsidR="00FC0356">
        <w:rPr>
          <w:rFonts w:ascii="Arial" w:eastAsia="Arial" w:hAnsi="Arial" w:cs="Arial"/>
          <w:i/>
          <w:iCs/>
          <w:color w:val="000000"/>
        </w:rPr>
        <w:t>.”</w:t>
      </w:r>
    </w:p>
    <w:p w14:paraId="191CB7A0" w14:textId="77777777" w:rsidR="008913D4" w:rsidRDefault="008913D4"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5FD38AB3" w14:textId="5FAF0138" w:rsidR="008913D4" w:rsidRDefault="008913D4"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w:t>
      </w:r>
      <w:r w:rsidR="00CA0687">
        <w:rPr>
          <w:rFonts w:ascii="Arial" w:eastAsia="Arial" w:hAnsi="Arial" w:cs="Arial"/>
          <w:color w:val="000000"/>
          <w:sz w:val="24"/>
          <w:szCs w:val="24"/>
        </w:rPr>
        <w:t>7</w:t>
      </w:r>
      <w:r>
        <w:rPr>
          <w:rFonts w:ascii="Arial" w:eastAsia="Arial" w:hAnsi="Arial" w:cs="Arial"/>
          <w:color w:val="000000"/>
          <w:sz w:val="24"/>
          <w:szCs w:val="24"/>
        </w:rPr>
        <w:tab/>
      </w:r>
      <w:r w:rsidR="00B9046C">
        <w:rPr>
          <w:rFonts w:ascii="Arial" w:eastAsia="Arial" w:hAnsi="Arial" w:cs="Arial"/>
          <w:color w:val="000000"/>
          <w:sz w:val="24"/>
          <w:szCs w:val="24"/>
        </w:rPr>
        <w:t>t</w:t>
      </w:r>
      <w:r w:rsidR="001A5186">
        <w:rPr>
          <w:rFonts w:ascii="Arial" w:eastAsia="Arial" w:hAnsi="Arial" w:cs="Arial"/>
          <w:color w:val="000000"/>
          <w:sz w:val="24"/>
          <w:szCs w:val="24"/>
        </w:rPr>
        <w:t>hereafter</w:t>
      </w:r>
      <w:r w:rsidR="00B9046C">
        <w:rPr>
          <w:rFonts w:ascii="Arial" w:eastAsia="Arial" w:hAnsi="Arial" w:cs="Arial"/>
          <w:color w:val="000000"/>
          <w:sz w:val="24"/>
          <w:szCs w:val="24"/>
        </w:rPr>
        <w:t xml:space="preserve"> the </w:t>
      </w:r>
      <w:r w:rsidR="00AD2E0D">
        <w:rPr>
          <w:rFonts w:ascii="Arial" w:eastAsia="Arial" w:hAnsi="Arial" w:cs="Arial"/>
          <w:color w:val="000000"/>
          <w:sz w:val="24"/>
          <w:szCs w:val="24"/>
        </w:rPr>
        <w:t xml:space="preserve">claims </w:t>
      </w:r>
      <w:r w:rsidR="001C0762">
        <w:rPr>
          <w:rFonts w:ascii="Arial" w:eastAsia="Arial" w:hAnsi="Arial" w:cs="Arial"/>
          <w:color w:val="000000"/>
          <w:sz w:val="24"/>
          <w:szCs w:val="24"/>
        </w:rPr>
        <w:t>are set out starting with the first claim which spans from paragraph 12 to paragraph 30.</w:t>
      </w:r>
      <w:r w:rsidR="001D556B">
        <w:rPr>
          <w:rFonts w:ascii="Arial" w:eastAsia="Arial" w:hAnsi="Arial" w:cs="Arial"/>
          <w:color w:val="000000"/>
          <w:sz w:val="24"/>
          <w:szCs w:val="24"/>
        </w:rPr>
        <w:t xml:space="preserve"> </w:t>
      </w:r>
      <w:r w:rsidR="001C0762">
        <w:rPr>
          <w:rFonts w:ascii="Arial" w:eastAsia="Arial" w:hAnsi="Arial" w:cs="Arial"/>
          <w:color w:val="000000"/>
          <w:sz w:val="24"/>
          <w:szCs w:val="24"/>
        </w:rPr>
        <w:t xml:space="preserve"> In </w:t>
      </w:r>
      <w:r w:rsidR="001D556B">
        <w:rPr>
          <w:rFonts w:ascii="Arial" w:eastAsia="Arial" w:hAnsi="Arial" w:cs="Arial"/>
          <w:color w:val="000000"/>
          <w:sz w:val="24"/>
          <w:szCs w:val="24"/>
        </w:rPr>
        <w:t xml:space="preserve">paragraph 19 </w:t>
      </w:r>
      <w:r w:rsidR="00784335">
        <w:rPr>
          <w:rFonts w:ascii="Arial" w:eastAsia="Arial" w:hAnsi="Arial" w:cs="Arial"/>
          <w:color w:val="000000"/>
          <w:sz w:val="24"/>
          <w:szCs w:val="24"/>
        </w:rPr>
        <w:t>the terms of the agreement</w:t>
      </w:r>
      <w:r w:rsidR="0086731D">
        <w:rPr>
          <w:rFonts w:ascii="Arial" w:eastAsia="Arial" w:hAnsi="Arial" w:cs="Arial"/>
          <w:color w:val="000000"/>
          <w:sz w:val="24"/>
          <w:szCs w:val="24"/>
        </w:rPr>
        <w:t xml:space="preserve"> concluded</w:t>
      </w:r>
      <w:r w:rsidR="00784335">
        <w:rPr>
          <w:rFonts w:ascii="Arial" w:eastAsia="Arial" w:hAnsi="Arial" w:cs="Arial"/>
          <w:color w:val="000000"/>
          <w:sz w:val="24"/>
          <w:szCs w:val="24"/>
        </w:rPr>
        <w:t xml:space="preserve"> [whether express, tacit </w:t>
      </w:r>
      <w:r w:rsidR="00793A8D">
        <w:rPr>
          <w:rFonts w:ascii="Arial" w:eastAsia="Arial" w:hAnsi="Arial" w:cs="Arial"/>
          <w:color w:val="000000"/>
          <w:sz w:val="24"/>
          <w:szCs w:val="24"/>
        </w:rPr>
        <w:t>and/</w:t>
      </w:r>
      <w:r w:rsidR="00784335">
        <w:rPr>
          <w:rFonts w:ascii="Arial" w:eastAsia="Arial" w:hAnsi="Arial" w:cs="Arial"/>
          <w:color w:val="000000"/>
          <w:sz w:val="24"/>
          <w:szCs w:val="24"/>
        </w:rPr>
        <w:t xml:space="preserve">or implied] between Floorworx and Mazars </w:t>
      </w:r>
      <w:r w:rsidR="009C4A3E">
        <w:rPr>
          <w:rFonts w:ascii="Arial" w:eastAsia="Arial" w:hAnsi="Arial" w:cs="Arial"/>
          <w:color w:val="000000"/>
          <w:sz w:val="24"/>
          <w:szCs w:val="24"/>
        </w:rPr>
        <w:t>are</w:t>
      </w:r>
      <w:r w:rsidR="00784335">
        <w:rPr>
          <w:rFonts w:ascii="Arial" w:eastAsia="Arial" w:hAnsi="Arial" w:cs="Arial"/>
          <w:color w:val="000000"/>
          <w:sz w:val="24"/>
          <w:szCs w:val="24"/>
        </w:rPr>
        <w:t xml:space="preserve"> set out comprehensively.  This paragraph is pr</w:t>
      </w:r>
      <w:r w:rsidR="009C4A3E">
        <w:rPr>
          <w:rFonts w:ascii="Arial" w:eastAsia="Arial" w:hAnsi="Arial" w:cs="Arial"/>
          <w:color w:val="000000"/>
          <w:sz w:val="24"/>
          <w:szCs w:val="24"/>
        </w:rPr>
        <w:t>e</w:t>
      </w:r>
      <w:r w:rsidR="00784335">
        <w:rPr>
          <w:rFonts w:ascii="Arial" w:eastAsia="Arial" w:hAnsi="Arial" w:cs="Arial"/>
          <w:color w:val="000000"/>
          <w:sz w:val="24"/>
          <w:szCs w:val="24"/>
        </w:rPr>
        <w:t xml:space="preserve">ceded by various allegations setting out the manner and/or </w:t>
      </w:r>
      <w:r w:rsidR="0086731D">
        <w:rPr>
          <w:rFonts w:ascii="Arial" w:eastAsia="Arial" w:hAnsi="Arial" w:cs="Arial"/>
          <w:color w:val="000000"/>
          <w:sz w:val="24"/>
          <w:szCs w:val="24"/>
        </w:rPr>
        <w:t>form in which such</w:t>
      </w:r>
      <w:r w:rsidR="002E13F0">
        <w:rPr>
          <w:rFonts w:ascii="Arial" w:eastAsia="Arial" w:hAnsi="Arial" w:cs="Arial"/>
          <w:color w:val="000000"/>
          <w:sz w:val="24"/>
          <w:szCs w:val="24"/>
        </w:rPr>
        <w:t xml:space="preserve"> agreement was concluded between Floorworx and Mazars</w:t>
      </w:r>
      <w:r w:rsidR="0086731D">
        <w:rPr>
          <w:rFonts w:ascii="Arial" w:eastAsia="Arial" w:hAnsi="Arial" w:cs="Arial"/>
          <w:color w:val="000000"/>
          <w:sz w:val="24"/>
          <w:szCs w:val="24"/>
        </w:rPr>
        <w:t>.</w:t>
      </w:r>
      <w:r w:rsidR="002E13F0">
        <w:rPr>
          <w:rFonts w:ascii="Arial" w:eastAsia="Arial" w:hAnsi="Arial" w:cs="Arial"/>
          <w:color w:val="000000"/>
          <w:sz w:val="24"/>
          <w:szCs w:val="24"/>
        </w:rPr>
        <w:t xml:space="preserve"> </w:t>
      </w:r>
      <w:r w:rsidR="00850698">
        <w:rPr>
          <w:rFonts w:ascii="Arial" w:eastAsia="Arial" w:hAnsi="Arial" w:cs="Arial"/>
          <w:color w:val="000000"/>
          <w:sz w:val="24"/>
          <w:szCs w:val="24"/>
        </w:rPr>
        <w:t>Be</w:t>
      </w:r>
      <w:r w:rsidR="00793A8D">
        <w:rPr>
          <w:rFonts w:ascii="Arial" w:eastAsia="Arial" w:hAnsi="Arial" w:cs="Arial"/>
          <w:color w:val="000000"/>
          <w:sz w:val="24"/>
          <w:szCs w:val="24"/>
        </w:rPr>
        <w:t>cause these allegations are central to the first exception based on a failure to disclose a cause of action, I take the liberty to quote paragraphs 12 to 18 of the Amended Particulars of Claim</w:t>
      </w:r>
      <w:r w:rsidR="0025598D">
        <w:rPr>
          <w:rFonts w:ascii="Arial" w:eastAsia="Arial" w:hAnsi="Arial" w:cs="Arial"/>
          <w:color w:val="000000"/>
          <w:sz w:val="24"/>
          <w:szCs w:val="24"/>
        </w:rPr>
        <w:t xml:space="preserve"> </w:t>
      </w:r>
      <w:r w:rsidR="0025598D">
        <w:rPr>
          <w:rFonts w:ascii="Arial" w:eastAsia="Arial" w:hAnsi="Arial" w:cs="Arial"/>
          <w:i/>
          <w:iCs/>
          <w:color w:val="000000"/>
          <w:sz w:val="24"/>
          <w:szCs w:val="24"/>
        </w:rPr>
        <w:t>verbatim</w:t>
      </w:r>
      <w:r w:rsidR="0025598D">
        <w:rPr>
          <w:rFonts w:ascii="Arial" w:eastAsia="Arial" w:hAnsi="Arial" w:cs="Arial"/>
          <w:color w:val="000000"/>
          <w:sz w:val="24"/>
          <w:szCs w:val="24"/>
        </w:rPr>
        <w:t>:-</w:t>
      </w:r>
    </w:p>
    <w:p w14:paraId="008898A6" w14:textId="77777777" w:rsidR="0025598D" w:rsidRDefault="0025598D"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7B05EA8" w14:textId="0F2D2C55" w:rsidR="00B65617" w:rsidRDefault="0025598D" w:rsidP="008D1C94">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sidRPr="0025598D">
        <w:rPr>
          <w:rFonts w:ascii="Arial" w:eastAsia="Arial" w:hAnsi="Arial" w:cs="Arial"/>
          <w:i/>
          <w:iCs/>
          <w:color w:val="000000"/>
        </w:rPr>
        <w:t>“12.</w:t>
      </w:r>
      <w:r w:rsidRPr="0025598D">
        <w:rPr>
          <w:rFonts w:ascii="Arial" w:eastAsia="Arial" w:hAnsi="Arial" w:cs="Arial"/>
          <w:i/>
          <w:iCs/>
          <w:color w:val="000000"/>
        </w:rPr>
        <w:tab/>
      </w:r>
      <w:r w:rsidR="0000675E">
        <w:rPr>
          <w:rFonts w:ascii="Arial" w:eastAsia="Arial" w:hAnsi="Arial" w:cs="Arial"/>
          <w:i/>
          <w:iCs/>
          <w:color w:val="000000"/>
        </w:rPr>
        <w:t>At its annual general meeting held at Steel</w:t>
      </w:r>
      <w:r w:rsidR="00810B08">
        <w:rPr>
          <w:rFonts w:ascii="Arial" w:eastAsia="Arial" w:hAnsi="Arial" w:cs="Arial"/>
          <w:i/>
          <w:iCs/>
          <w:color w:val="000000"/>
        </w:rPr>
        <w:t>e</w:t>
      </w:r>
      <w:r w:rsidR="0000675E">
        <w:rPr>
          <w:rFonts w:ascii="Arial" w:eastAsia="Arial" w:hAnsi="Arial" w:cs="Arial"/>
          <w:i/>
          <w:iCs/>
          <w:color w:val="000000"/>
        </w:rPr>
        <w:t>dale, Johannesburg</w:t>
      </w:r>
      <w:r w:rsidR="00810B08">
        <w:rPr>
          <w:rFonts w:ascii="Arial" w:eastAsia="Arial" w:hAnsi="Arial" w:cs="Arial"/>
          <w:i/>
          <w:iCs/>
          <w:color w:val="000000"/>
        </w:rPr>
        <w:t>,</w:t>
      </w:r>
      <w:r w:rsidR="0000675E">
        <w:rPr>
          <w:rFonts w:ascii="Arial" w:eastAsia="Arial" w:hAnsi="Arial" w:cs="Arial"/>
          <w:i/>
          <w:iCs/>
          <w:color w:val="000000"/>
        </w:rPr>
        <w:t xml:space="preserve"> in 2005, the plaintiff appointed the first defendant to serve as auditor to it, for the period relevant to this claim.</w:t>
      </w:r>
    </w:p>
    <w:p w14:paraId="41D3E6C1" w14:textId="77777777" w:rsidR="00B65617" w:rsidRDefault="00B65617" w:rsidP="008D1C94">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6767A233" w14:textId="0E05CA43" w:rsidR="00B65617" w:rsidRDefault="00B65617"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r w:rsidRPr="00B65617">
        <w:rPr>
          <w:rFonts w:ascii="Arial" w:eastAsia="Arial" w:hAnsi="Arial" w:cs="Arial"/>
          <w:i/>
          <w:iCs/>
          <w:color w:val="000000"/>
        </w:rPr>
        <w:t>13.</w:t>
      </w:r>
      <w:r>
        <w:rPr>
          <w:rFonts w:ascii="Arial" w:eastAsia="Arial" w:hAnsi="Arial" w:cs="Arial"/>
          <w:i/>
          <w:iCs/>
          <w:color w:val="000000"/>
        </w:rPr>
        <w:t xml:space="preserve"> </w:t>
      </w:r>
      <w:r>
        <w:rPr>
          <w:rFonts w:ascii="Arial" w:eastAsia="Arial" w:hAnsi="Arial" w:cs="Arial"/>
          <w:i/>
          <w:iCs/>
          <w:color w:val="000000"/>
        </w:rPr>
        <w:tab/>
      </w:r>
      <w:r w:rsidR="00306DE9">
        <w:rPr>
          <w:rFonts w:ascii="Arial" w:eastAsia="Arial" w:hAnsi="Arial" w:cs="Arial"/>
          <w:i/>
          <w:iCs/>
          <w:color w:val="000000"/>
        </w:rPr>
        <w:t>In 2006 and at Steel</w:t>
      </w:r>
      <w:r w:rsidR="00810B08">
        <w:rPr>
          <w:rFonts w:ascii="Arial" w:eastAsia="Arial" w:hAnsi="Arial" w:cs="Arial"/>
          <w:i/>
          <w:iCs/>
          <w:color w:val="000000"/>
        </w:rPr>
        <w:t>e</w:t>
      </w:r>
      <w:r w:rsidR="00306DE9">
        <w:rPr>
          <w:rFonts w:ascii="Arial" w:eastAsia="Arial" w:hAnsi="Arial" w:cs="Arial"/>
          <w:i/>
          <w:iCs/>
          <w:color w:val="000000"/>
        </w:rPr>
        <w:t>dale, Johannesburg, Accentuate concluded an agreement with the first defendant by which the first defendant was appoint to audit the annual financial statements of Accentuate and of each of its subsidiaries, including the plaintiff, for the financial year ending 30 June 2006.</w:t>
      </w:r>
    </w:p>
    <w:p w14:paraId="1186D12A" w14:textId="77777777" w:rsidR="00306DE9" w:rsidRDefault="00306DE9"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7F1AE3BF" w14:textId="73185F39" w:rsidR="00306DE9" w:rsidRDefault="00306DE9"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14.</w:t>
      </w:r>
      <w:r>
        <w:rPr>
          <w:rFonts w:ascii="Arial" w:eastAsia="Arial" w:hAnsi="Arial" w:cs="Arial"/>
          <w:i/>
          <w:iCs/>
          <w:color w:val="000000"/>
        </w:rPr>
        <w:tab/>
        <w:t>In con</w:t>
      </w:r>
      <w:r w:rsidR="00553787">
        <w:rPr>
          <w:rFonts w:ascii="Arial" w:eastAsia="Arial" w:hAnsi="Arial" w:cs="Arial"/>
          <w:i/>
          <w:iCs/>
          <w:color w:val="000000"/>
        </w:rPr>
        <w:t>cluding that agreement:</w:t>
      </w:r>
    </w:p>
    <w:p w14:paraId="61B6161C" w14:textId="77777777" w:rsidR="00553787" w:rsidRDefault="00553787"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0D57CBEC" w14:textId="31AE3C0D" w:rsidR="00553787" w:rsidRDefault="00553787" w:rsidP="008D1C94">
      <w:pPr>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14.1</w:t>
      </w:r>
      <w:r>
        <w:rPr>
          <w:rFonts w:ascii="Arial" w:eastAsia="Arial" w:hAnsi="Arial" w:cs="Arial"/>
          <w:i/>
          <w:iCs/>
          <w:color w:val="000000"/>
        </w:rPr>
        <w:tab/>
        <w:t>Accentuate was represented by its board of directors, while the first defendant was represented by one of its directors; and</w:t>
      </w:r>
    </w:p>
    <w:p w14:paraId="761A8579" w14:textId="77777777" w:rsidR="00553787" w:rsidRDefault="00553787"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1AA34969" w14:textId="715DB8F4" w:rsidR="00553787" w:rsidRDefault="00553787" w:rsidP="0068795B">
      <w:pPr>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14.2</w:t>
      </w:r>
      <w:r>
        <w:rPr>
          <w:rFonts w:ascii="Arial" w:eastAsia="Arial" w:hAnsi="Arial" w:cs="Arial"/>
          <w:i/>
          <w:iCs/>
          <w:color w:val="000000"/>
        </w:rPr>
        <w:tab/>
      </w:r>
      <w:r w:rsidR="008D1C94">
        <w:rPr>
          <w:rFonts w:ascii="Arial" w:eastAsia="Arial" w:hAnsi="Arial" w:cs="Arial"/>
          <w:i/>
          <w:iCs/>
          <w:color w:val="000000"/>
        </w:rPr>
        <w:t xml:space="preserve">Accentuate acted as the disclosed agent of each of its subsidiaries, including the plaintiff and was mandated to conclude the agreement </w:t>
      </w:r>
      <w:r w:rsidR="0068795B">
        <w:rPr>
          <w:rFonts w:ascii="Arial" w:eastAsia="Arial" w:hAnsi="Arial" w:cs="Arial"/>
          <w:i/>
          <w:iCs/>
          <w:color w:val="000000"/>
        </w:rPr>
        <w:t>pleaded in paragraph 13 above on behalf of each of them.</w:t>
      </w:r>
    </w:p>
    <w:p w14:paraId="2B40D455" w14:textId="77777777" w:rsidR="0068795B" w:rsidRDefault="0068795B"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3DF178B7" w14:textId="124483E9" w:rsidR="0068795B" w:rsidRDefault="0068795B"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15.</w:t>
      </w:r>
      <w:r>
        <w:rPr>
          <w:rFonts w:ascii="Arial" w:eastAsia="Arial" w:hAnsi="Arial" w:cs="Arial"/>
          <w:i/>
          <w:iCs/>
          <w:color w:val="000000"/>
        </w:rPr>
        <w:tab/>
        <w:t>The agreement was partly oral, tacit and/or implied and partly in writing.</w:t>
      </w:r>
    </w:p>
    <w:p w14:paraId="373C8D76" w14:textId="77777777" w:rsidR="0068795B" w:rsidRDefault="0068795B"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3EF9DDA1" w14:textId="0E507D49" w:rsidR="0068795B" w:rsidRDefault="0068795B"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16.</w:t>
      </w:r>
      <w:r>
        <w:rPr>
          <w:rFonts w:ascii="Arial" w:eastAsia="Arial" w:hAnsi="Arial" w:cs="Arial"/>
          <w:i/>
          <w:iCs/>
          <w:color w:val="000000"/>
        </w:rPr>
        <w:tab/>
        <w:t>The written portion of the agreement is contained in the Letter of Engagement prepared by the first defendant for Accentuate.</w:t>
      </w:r>
    </w:p>
    <w:p w14:paraId="6402E6F3" w14:textId="77777777" w:rsidR="0068795B" w:rsidRDefault="0068795B"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139BD29D" w14:textId="19ED2CE7" w:rsidR="0068795B" w:rsidRDefault="0068795B"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17.</w:t>
      </w:r>
      <w:r>
        <w:rPr>
          <w:rFonts w:ascii="Arial" w:eastAsia="Arial" w:hAnsi="Arial" w:cs="Arial"/>
          <w:i/>
          <w:iCs/>
          <w:color w:val="000000"/>
        </w:rPr>
        <w:tab/>
        <w:t>The plaintiff has misplaced its copy of the Letter of Engagement and is unable to attach a copy.</w:t>
      </w:r>
    </w:p>
    <w:p w14:paraId="4EB1B790" w14:textId="77777777" w:rsidR="0068795B" w:rsidRDefault="0068795B"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1B46FAED" w14:textId="2C8C987A" w:rsidR="0068795B" w:rsidRPr="00B65617" w:rsidRDefault="0068795B" w:rsidP="008D1C94">
      <w:pPr>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lastRenderedPageBreak/>
        <w:t>18.</w:t>
      </w:r>
      <w:r>
        <w:rPr>
          <w:rFonts w:ascii="Arial" w:eastAsia="Arial" w:hAnsi="Arial" w:cs="Arial"/>
          <w:i/>
          <w:iCs/>
          <w:color w:val="000000"/>
        </w:rPr>
        <w:tab/>
        <w:t>The plaintiff seeks condonation for its failure to attach a copy of the Letter of Engagement”;</w:t>
      </w:r>
    </w:p>
    <w:p w14:paraId="1900E814" w14:textId="77777777" w:rsidR="0025598D" w:rsidRDefault="0025598D"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28D2B1EF" w14:textId="6419B0B9" w:rsidR="0025598D" w:rsidRDefault="0025598D"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w:t>
      </w:r>
      <w:r w:rsidR="00CA0687">
        <w:rPr>
          <w:rFonts w:ascii="Arial" w:eastAsia="Arial" w:hAnsi="Arial" w:cs="Arial"/>
          <w:color w:val="000000"/>
          <w:sz w:val="24"/>
          <w:szCs w:val="24"/>
        </w:rPr>
        <w:t>8</w:t>
      </w:r>
      <w:r>
        <w:rPr>
          <w:rFonts w:ascii="Arial" w:eastAsia="Arial" w:hAnsi="Arial" w:cs="Arial"/>
          <w:color w:val="000000"/>
          <w:sz w:val="24"/>
          <w:szCs w:val="24"/>
        </w:rPr>
        <w:tab/>
      </w:r>
      <w:r w:rsidR="00C364B5">
        <w:rPr>
          <w:rFonts w:ascii="Arial" w:eastAsia="Arial" w:hAnsi="Arial" w:cs="Arial"/>
          <w:color w:val="000000"/>
          <w:sz w:val="24"/>
          <w:szCs w:val="24"/>
        </w:rPr>
        <w:t>a</w:t>
      </w:r>
      <w:r w:rsidR="000C7D74">
        <w:rPr>
          <w:rFonts w:ascii="Arial" w:eastAsia="Arial" w:hAnsi="Arial" w:cs="Arial"/>
          <w:color w:val="000000"/>
          <w:sz w:val="24"/>
          <w:szCs w:val="24"/>
        </w:rPr>
        <w:t xml:space="preserve">s stated, paragraph 19 deals with the terms of the agreement and is rather lengthy.  It suffice to merely mention that the alleged terms included, </w:t>
      </w:r>
      <w:r w:rsidR="000C7D74">
        <w:rPr>
          <w:rFonts w:ascii="Arial" w:eastAsia="Arial" w:hAnsi="Arial" w:cs="Arial"/>
          <w:i/>
          <w:iCs/>
          <w:color w:val="000000"/>
          <w:sz w:val="24"/>
          <w:szCs w:val="24"/>
        </w:rPr>
        <w:t>inter alia</w:t>
      </w:r>
      <w:r w:rsidR="000C7D74">
        <w:rPr>
          <w:rFonts w:ascii="Arial" w:eastAsia="Arial" w:hAnsi="Arial" w:cs="Arial"/>
          <w:color w:val="000000"/>
          <w:sz w:val="24"/>
          <w:szCs w:val="24"/>
        </w:rPr>
        <w:t xml:space="preserve">, </w:t>
      </w:r>
      <w:r w:rsidR="00345FF8">
        <w:rPr>
          <w:rFonts w:ascii="Arial" w:eastAsia="Arial" w:hAnsi="Arial" w:cs="Arial"/>
          <w:color w:val="000000"/>
          <w:sz w:val="24"/>
          <w:szCs w:val="24"/>
        </w:rPr>
        <w:t xml:space="preserve">that </w:t>
      </w:r>
      <w:r w:rsidR="000C7D74">
        <w:rPr>
          <w:rFonts w:ascii="Arial" w:eastAsia="Arial" w:hAnsi="Arial" w:cs="Arial"/>
          <w:color w:val="000000"/>
          <w:sz w:val="24"/>
          <w:szCs w:val="24"/>
        </w:rPr>
        <w:t xml:space="preserve">(i) </w:t>
      </w:r>
      <w:r w:rsidR="00345FF8">
        <w:rPr>
          <w:rFonts w:ascii="Arial" w:eastAsia="Arial" w:hAnsi="Arial" w:cs="Arial"/>
          <w:color w:val="000000"/>
          <w:sz w:val="24"/>
          <w:szCs w:val="24"/>
        </w:rPr>
        <w:t>Mazars would audit the financial statements of Accentuate and each of its subsidiaries, including that of Floorworx, for the financial year ending 30 June 2006;</w:t>
      </w:r>
      <w:r w:rsidR="00956488">
        <w:rPr>
          <w:rFonts w:ascii="Arial" w:eastAsia="Arial" w:hAnsi="Arial" w:cs="Arial"/>
          <w:color w:val="000000"/>
          <w:sz w:val="24"/>
          <w:szCs w:val="24"/>
        </w:rPr>
        <w:t xml:space="preserve"> (ii) </w:t>
      </w:r>
      <w:r w:rsidR="004951BC">
        <w:rPr>
          <w:rFonts w:ascii="Arial" w:eastAsia="Arial" w:hAnsi="Arial" w:cs="Arial"/>
          <w:color w:val="000000"/>
          <w:sz w:val="24"/>
          <w:szCs w:val="24"/>
        </w:rPr>
        <w:t xml:space="preserve">Mazars would exercise the due professional care and skill expected of a registered auditor in public practice, in performance of the audit; (iii) </w:t>
      </w:r>
      <w:r w:rsidR="00F463A9">
        <w:rPr>
          <w:rFonts w:ascii="Arial" w:eastAsia="Arial" w:hAnsi="Arial" w:cs="Arial"/>
          <w:color w:val="000000"/>
          <w:sz w:val="24"/>
          <w:szCs w:val="24"/>
        </w:rPr>
        <w:t>Mazars would</w:t>
      </w:r>
      <w:r w:rsidR="00BE3C18">
        <w:rPr>
          <w:rFonts w:ascii="Arial" w:eastAsia="Arial" w:hAnsi="Arial" w:cs="Arial"/>
          <w:color w:val="000000"/>
          <w:sz w:val="24"/>
          <w:szCs w:val="24"/>
        </w:rPr>
        <w:t xml:space="preserve"> not</w:t>
      </w:r>
      <w:r w:rsidR="00F463A9">
        <w:rPr>
          <w:rFonts w:ascii="Arial" w:eastAsia="Arial" w:hAnsi="Arial" w:cs="Arial"/>
          <w:color w:val="000000"/>
          <w:sz w:val="24"/>
          <w:szCs w:val="24"/>
        </w:rPr>
        <w:t xml:space="preserve"> </w:t>
      </w:r>
      <w:r w:rsidR="00425A68">
        <w:rPr>
          <w:rFonts w:ascii="Arial" w:eastAsia="Arial" w:hAnsi="Arial" w:cs="Arial"/>
          <w:color w:val="000000"/>
          <w:sz w:val="24"/>
          <w:szCs w:val="24"/>
        </w:rPr>
        <w:t>act negligently in the performance of the audit; (iv) Mazars would comply with all the provisions of</w:t>
      </w:r>
      <w:r w:rsidR="00BE3C18">
        <w:rPr>
          <w:rFonts w:ascii="Arial" w:eastAsia="Arial" w:hAnsi="Arial" w:cs="Arial"/>
          <w:color w:val="000000"/>
          <w:sz w:val="24"/>
          <w:szCs w:val="24"/>
        </w:rPr>
        <w:t xml:space="preserve"> the Auditing Profession Act</w:t>
      </w:r>
      <w:r w:rsidR="00140079">
        <w:rPr>
          <w:rFonts w:ascii="Arial" w:eastAsia="Arial" w:hAnsi="Arial" w:cs="Arial"/>
          <w:color w:val="000000"/>
          <w:sz w:val="24"/>
          <w:szCs w:val="24"/>
        </w:rPr>
        <w:t>, 2005</w:t>
      </w:r>
      <w:r w:rsidR="00425A68">
        <w:rPr>
          <w:rFonts w:ascii="Arial" w:eastAsia="Arial" w:hAnsi="Arial" w:cs="Arial"/>
          <w:color w:val="000000"/>
          <w:sz w:val="24"/>
          <w:szCs w:val="24"/>
        </w:rPr>
        <w:t>; and (v) Mazars would perform the audit in accordance with the Auditing Standards prescribed by the Independent Regulatory Board for Auditors;</w:t>
      </w:r>
    </w:p>
    <w:p w14:paraId="3946FE6E" w14:textId="77777777" w:rsidR="00425A68" w:rsidRDefault="00425A68"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3953A91" w14:textId="15CE7D8D" w:rsidR="00425A68" w:rsidRDefault="00425A68"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w:t>
      </w:r>
      <w:r w:rsidR="00CA0687">
        <w:rPr>
          <w:rFonts w:ascii="Arial" w:eastAsia="Arial" w:hAnsi="Arial" w:cs="Arial"/>
          <w:color w:val="000000"/>
          <w:sz w:val="24"/>
          <w:szCs w:val="24"/>
        </w:rPr>
        <w:t>9</w:t>
      </w:r>
      <w:r>
        <w:rPr>
          <w:rFonts w:ascii="Arial" w:eastAsia="Arial" w:hAnsi="Arial" w:cs="Arial"/>
          <w:color w:val="000000"/>
          <w:sz w:val="24"/>
          <w:szCs w:val="24"/>
        </w:rPr>
        <w:tab/>
      </w:r>
      <w:r w:rsidR="00140079">
        <w:rPr>
          <w:rFonts w:ascii="Arial" w:eastAsia="Arial" w:hAnsi="Arial" w:cs="Arial"/>
          <w:color w:val="000000"/>
          <w:sz w:val="24"/>
          <w:szCs w:val="24"/>
        </w:rPr>
        <w:t>at</w:t>
      </w:r>
      <w:r>
        <w:rPr>
          <w:rFonts w:ascii="Arial" w:eastAsia="Arial" w:hAnsi="Arial" w:cs="Arial"/>
          <w:color w:val="000000"/>
          <w:sz w:val="24"/>
          <w:szCs w:val="24"/>
        </w:rPr>
        <w:t xml:space="preserve"> paragraphs 20 to 24</w:t>
      </w:r>
      <w:r w:rsidR="005364A0">
        <w:rPr>
          <w:rFonts w:ascii="Arial" w:eastAsia="Arial" w:hAnsi="Arial" w:cs="Arial"/>
          <w:color w:val="000000"/>
          <w:sz w:val="24"/>
          <w:szCs w:val="24"/>
        </w:rPr>
        <w:t>, Floorworx identif</w:t>
      </w:r>
      <w:r w:rsidR="00140079">
        <w:rPr>
          <w:rFonts w:ascii="Arial" w:eastAsia="Arial" w:hAnsi="Arial" w:cs="Arial"/>
          <w:color w:val="000000"/>
          <w:sz w:val="24"/>
          <w:szCs w:val="24"/>
        </w:rPr>
        <w:t>ies</w:t>
      </w:r>
      <w:r w:rsidR="005364A0">
        <w:rPr>
          <w:rFonts w:ascii="Arial" w:eastAsia="Arial" w:hAnsi="Arial" w:cs="Arial"/>
          <w:color w:val="000000"/>
          <w:sz w:val="24"/>
          <w:szCs w:val="24"/>
        </w:rPr>
        <w:t xml:space="preserve"> </w:t>
      </w:r>
      <w:r w:rsidR="00BA4429">
        <w:rPr>
          <w:rFonts w:ascii="Arial" w:eastAsia="Arial" w:hAnsi="Arial" w:cs="Arial"/>
          <w:color w:val="000000"/>
          <w:sz w:val="24"/>
          <w:szCs w:val="24"/>
        </w:rPr>
        <w:t>the problem with the audit in respect of its own annual financial statements as audited by Mazars</w:t>
      </w:r>
      <w:r w:rsidR="005364A0">
        <w:rPr>
          <w:rFonts w:ascii="Arial" w:eastAsia="Arial" w:hAnsi="Arial" w:cs="Arial"/>
          <w:color w:val="000000"/>
          <w:sz w:val="24"/>
          <w:szCs w:val="24"/>
        </w:rPr>
        <w:t xml:space="preserve">.  It is alleged that </w:t>
      </w:r>
      <w:r w:rsidR="00B22FBB">
        <w:rPr>
          <w:rFonts w:ascii="Arial" w:eastAsia="Arial" w:hAnsi="Arial" w:cs="Arial"/>
          <w:color w:val="000000"/>
          <w:sz w:val="24"/>
          <w:szCs w:val="24"/>
        </w:rPr>
        <w:t>the accounting records of Floorworx included a “</w:t>
      </w:r>
      <w:r w:rsidR="00B22FBB">
        <w:rPr>
          <w:rFonts w:ascii="Arial" w:eastAsia="Arial" w:hAnsi="Arial" w:cs="Arial"/>
          <w:i/>
          <w:iCs/>
          <w:color w:val="000000"/>
          <w:sz w:val="24"/>
          <w:szCs w:val="24"/>
        </w:rPr>
        <w:t>clearing account</w:t>
      </w:r>
      <w:r w:rsidR="00B22FBB">
        <w:rPr>
          <w:rFonts w:ascii="Arial" w:eastAsia="Arial" w:hAnsi="Arial" w:cs="Arial"/>
          <w:color w:val="000000"/>
          <w:sz w:val="24"/>
          <w:szCs w:val="24"/>
        </w:rPr>
        <w:t>”</w:t>
      </w:r>
      <w:r w:rsidR="00643B34">
        <w:rPr>
          <w:rFonts w:ascii="Arial" w:eastAsia="Arial" w:hAnsi="Arial" w:cs="Arial"/>
          <w:color w:val="000000"/>
          <w:sz w:val="24"/>
          <w:szCs w:val="24"/>
        </w:rPr>
        <w:t xml:space="preserve"> and that the balance in such account at the end of each accounting period was included as an asset </w:t>
      </w:r>
      <w:r w:rsidR="00104A7D">
        <w:rPr>
          <w:rFonts w:ascii="Arial" w:eastAsia="Arial" w:hAnsi="Arial" w:cs="Arial"/>
          <w:color w:val="000000"/>
          <w:sz w:val="24"/>
          <w:szCs w:val="24"/>
        </w:rPr>
        <w:t>in its</w:t>
      </w:r>
      <w:r w:rsidR="00643B34">
        <w:rPr>
          <w:rFonts w:ascii="Arial" w:eastAsia="Arial" w:hAnsi="Arial" w:cs="Arial"/>
          <w:color w:val="000000"/>
          <w:sz w:val="24"/>
          <w:szCs w:val="24"/>
        </w:rPr>
        <w:t xml:space="preserve"> annual financial statements by Mazars in the form of trade and other receivables.  The problem, however, is that not all the amounts recorded in such account related to </w:t>
      </w:r>
      <w:r w:rsidR="00B16F44">
        <w:rPr>
          <w:rFonts w:ascii="Arial" w:eastAsia="Arial" w:hAnsi="Arial" w:cs="Arial"/>
          <w:i/>
          <w:iCs/>
          <w:color w:val="000000"/>
          <w:sz w:val="24"/>
          <w:szCs w:val="24"/>
        </w:rPr>
        <w:t>bona fide</w:t>
      </w:r>
      <w:r w:rsidR="00B16F44">
        <w:rPr>
          <w:rFonts w:ascii="Arial" w:eastAsia="Arial" w:hAnsi="Arial" w:cs="Arial"/>
          <w:color w:val="000000"/>
          <w:sz w:val="24"/>
          <w:szCs w:val="24"/>
        </w:rPr>
        <w:t xml:space="preserve"> expenses incurred </w:t>
      </w:r>
      <w:r w:rsidR="00104A7D">
        <w:rPr>
          <w:rFonts w:ascii="Arial" w:eastAsia="Arial" w:hAnsi="Arial" w:cs="Arial"/>
          <w:color w:val="000000"/>
          <w:sz w:val="24"/>
          <w:szCs w:val="24"/>
        </w:rPr>
        <w:t>or</w:t>
      </w:r>
      <w:r w:rsidR="00B16F44">
        <w:rPr>
          <w:rFonts w:ascii="Arial" w:eastAsia="Arial" w:hAnsi="Arial" w:cs="Arial"/>
          <w:color w:val="000000"/>
          <w:sz w:val="24"/>
          <w:szCs w:val="24"/>
        </w:rPr>
        <w:t xml:space="preserve"> to be incurred by Floorworx in importing goods into South Africa.  This is because certain of the amounts recorded in the clearing account were fictitious amounts, recorded in </w:t>
      </w:r>
      <w:r w:rsidR="008B7473">
        <w:rPr>
          <w:rFonts w:ascii="Arial" w:eastAsia="Arial" w:hAnsi="Arial" w:cs="Arial"/>
          <w:color w:val="000000"/>
          <w:sz w:val="24"/>
          <w:szCs w:val="24"/>
        </w:rPr>
        <w:t>order</w:t>
      </w:r>
      <w:r w:rsidR="00B16F44">
        <w:rPr>
          <w:rFonts w:ascii="Arial" w:eastAsia="Arial" w:hAnsi="Arial" w:cs="Arial"/>
          <w:color w:val="000000"/>
          <w:sz w:val="24"/>
          <w:szCs w:val="24"/>
        </w:rPr>
        <w:t xml:space="preserve"> to</w:t>
      </w:r>
      <w:r w:rsidR="00EE6357">
        <w:rPr>
          <w:rFonts w:ascii="Arial" w:eastAsia="Arial" w:hAnsi="Arial" w:cs="Arial"/>
          <w:color w:val="000000"/>
          <w:sz w:val="24"/>
          <w:szCs w:val="24"/>
        </w:rPr>
        <w:t xml:space="preserve"> disguise the misappropriation of amounts from Floorworx by Schreuder;</w:t>
      </w:r>
    </w:p>
    <w:p w14:paraId="3C71370E" w14:textId="77777777" w:rsidR="00EE6357" w:rsidRDefault="00EE6357"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8F88691" w14:textId="68C1464F" w:rsidR="00EE6357" w:rsidRDefault="00EE6357"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w:t>
      </w:r>
      <w:r w:rsidR="00CA0687">
        <w:rPr>
          <w:rFonts w:ascii="Arial" w:eastAsia="Arial" w:hAnsi="Arial" w:cs="Arial"/>
          <w:color w:val="000000"/>
          <w:sz w:val="24"/>
          <w:szCs w:val="24"/>
        </w:rPr>
        <w:t>10</w:t>
      </w:r>
      <w:r>
        <w:rPr>
          <w:rFonts w:ascii="Arial" w:eastAsia="Arial" w:hAnsi="Arial" w:cs="Arial"/>
          <w:color w:val="000000"/>
          <w:sz w:val="24"/>
          <w:szCs w:val="24"/>
        </w:rPr>
        <w:tab/>
      </w:r>
      <w:r w:rsidR="008B7473">
        <w:rPr>
          <w:rFonts w:ascii="Arial" w:eastAsia="Arial" w:hAnsi="Arial" w:cs="Arial"/>
          <w:color w:val="000000"/>
          <w:sz w:val="24"/>
          <w:szCs w:val="24"/>
        </w:rPr>
        <w:t>d</w:t>
      </w:r>
      <w:r>
        <w:rPr>
          <w:rFonts w:ascii="Arial" w:eastAsia="Arial" w:hAnsi="Arial" w:cs="Arial"/>
          <w:color w:val="000000"/>
          <w:sz w:val="24"/>
          <w:szCs w:val="24"/>
        </w:rPr>
        <w:t xml:space="preserve">uring the hearing it was conceded by counsel on behalf of </w:t>
      </w:r>
      <w:r w:rsidR="00E32878">
        <w:rPr>
          <w:rFonts w:ascii="Arial" w:eastAsia="Arial" w:hAnsi="Arial" w:cs="Arial"/>
          <w:color w:val="000000"/>
          <w:sz w:val="24"/>
          <w:szCs w:val="24"/>
        </w:rPr>
        <w:t xml:space="preserve">Floorworx </w:t>
      </w:r>
      <w:r>
        <w:rPr>
          <w:rFonts w:ascii="Arial" w:eastAsia="Arial" w:hAnsi="Arial" w:cs="Arial"/>
          <w:color w:val="000000"/>
          <w:sz w:val="24"/>
          <w:szCs w:val="24"/>
        </w:rPr>
        <w:t>that paragraph 25 is “</w:t>
      </w:r>
      <w:r>
        <w:rPr>
          <w:rFonts w:ascii="Arial" w:eastAsia="Arial" w:hAnsi="Arial" w:cs="Arial"/>
          <w:i/>
          <w:iCs/>
          <w:color w:val="000000"/>
          <w:sz w:val="24"/>
          <w:szCs w:val="24"/>
        </w:rPr>
        <w:t>plainly connected</w:t>
      </w:r>
      <w:r>
        <w:rPr>
          <w:rFonts w:ascii="Arial" w:eastAsia="Arial" w:hAnsi="Arial" w:cs="Arial"/>
          <w:color w:val="000000"/>
          <w:sz w:val="24"/>
          <w:szCs w:val="24"/>
        </w:rPr>
        <w:t>” to paragraph 11</w:t>
      </w:r>
      <w:r w:rsidR="00B4439A">
        <w:rPr>
          <w:rFonts w:ascii="Arial" w:eastAsia="Arial" w:hAnsi="Arial" w:cs="Arial"/>
          <w:color w:val="000000"/>
          <w:sz w:val="24"/>
          <w:szCs w:val="24"/>
        </w:rPr>
        <w:t>.</w:t>
      </w:r>
      <w:r>
        <w:rPr>
          <w:rFonts w:ascii="Arial" w:eastAsia="Arial" w:hAnsi="Arial" w:cs="Arial"/>
          <w:color w:val="000000"/>
          <w:sz w:val="24"/>
          <w:szCs w:val="24"/>
        </w:rPr>
        <w:t xml:space="preserve"> This paragraph indicates the manner in which Schreuder defrauded </w:t>
      </w:r>
      <w:r w:rsidR="0058268D">
        <w:rPr>
          <w:rFonts w:ascii="Arial" w:eastAsia="Arial" w:hAnsi="Arial" w:cs="Arial"/>
          <w:color w:val="000000"/>
          <w:sz w:val="24"/>
          <w:szCs w:val="24"/>
        </w:rPr>
        <w:t xml:space="preserve">Floorworx.  Because of its relevance I therefore also take the liberty to quote this paragraph </w:t>
      </w:r>
      <w:r w:rsidR="0058268D">
        <w:rPr>
          <w:rFonts w:ascii="Arial" w:eastAsia="Arial" w:hAnsi="Arial" w:cs="Arial"/>
          <w:i/>
          <w:iCs/>
          <w:color w:val="000000"/>
          <w:sz w:val="24"/>
          <w:szCs w:val="24"/>
        </w:rPr>
        <w:t>verbatim</w:t>
      </w:r>
      <w:r w:rsidR="0058268D">
        <w:rPr>
          <w:rFonts w:ascii="Arial" w:eastAsia="Arial" w:hAnsi="Arial" w:cs="Arial"/>
          <w:color w:val="000000"/>
          <w:sz w:val="24"/>
          <w:szCs w:val="24"/>
        </w:rPr>
        <w:t>:-</w:t>
      </w:r>
    </w:p>
    <w:p w14:paraId="31EEC36A" w14:textId="32F42CDC" w:rsidR="0058268D" w:rsidRDefault="00A0149A" w:rsidP="00244642">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sidRPr="00A0149A">
        <w:rPr>
          <w:rFonts w:ascii="Arial" w:eastAsia="Arial" w:hAnsi="Arial" w:cs="Arial"/>
          <w:i/>
          <w:iCs/>
          <w:color w:val="000000"/>
        </w:rPr>
        <w:lastRenderedPageBreak/>
        <w:t>“25.</w:t>
      </w:r>
      <w:r w:rsidRPr="00A0149A">
        <w:rPr>
          <w:rFonts w:ascii="Arial" w:eastAsia="Arial" w:hAnsi="Arial" w:cs="Arial"/>
          <w:i/>
          <w:iCs/>
          <w:color w:val="000000"/>
        </w:rPr>
        <w:tab/>
      </w:r>
      <w:r>
        <w:rPr>
          <w:rFonts w:ascii="Arial" w:eastAsia="Arial" w:hAnsi="Arial" w:cs="Arial"/>
          <w:i/>
          <w:iCs/>
          <w:color w:val="000000"/>
        </w:rPr>
        <w:t>In the financial year ended 30 June 2006, Mr Schreuder misappropriated amounts totalling R347</w:t>
      </w:r>
      <w:r w:rsidR="00244642">
        <w:rPr>
          <w:rFonts w:ascii="Arial" w:eastAsia="Arial" w:hAnsi="Arial" w:cs="Arial"/>
          <w:i/>
          <w:iCs/>
          <w:color w:val="000000"/>
        </w:rPr>
        <w:t>,823.00 from the plaintiff, defrauding it in the following manner:</w:t>
      </w:r>
    </w:p>
    <w:p w14:paraId="08A6D981" w14:textId="77777777" w:rsidR="00244642" w:rsidRDefault="00244642" w:rsidP="0024464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188F33DB" w14:textId="2454C6E6" w:rsidR="00244642" w:rsidRDefault="00244642" w:rsidP="00244642">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25.1</w:t>
      </w:r>
      <w:r>
        <w:rPr>
          <w:rFonts w:ascii="Arial" w:eastAsia="Arial" w:hAnsi="Arial" w:cs="Arial"/>
          <w:i/>
          <w:iCs/>
          <w:color w:val="000000"/>
        </w:rPr>
        <w:tab/>
      </w:r>
      <w:r w:rsidR="00D86CA6">
        <w:rPr>
          <w:rFonts w:ascii="Arial" w:eastAsia="Arial" w:hAnsi="Arial" w:cs="Arial"/>
          <w:i/>
          <w:iCs/>
          <w:color w:val="000000"/>
        </w:rPr>
        <w:t>h</w:t>
      </w:r>
      <w:r>
        <w:rPr>
          <w:rFonts w:ascii="Arial" w:eastAsia="Arial" w:hAnsi="Arial" w:cs="Arial"/>
          <w:i/>
          <w:iCs/>
          <w:color w:val="000000"/>
        </w:rPr>
        <w:t>e created fictitious invoices to the plaintiff purporting to be from bona fide suppliers of the plaintiff;</w:t>
      </w:r>
    </w:p>
    <w:p w14:paraId="40DF9929" w14:textId="77777777" w:rsidR="00244642" w:rsidRDefault="00244642" w:rsidP="0024464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6AA6C33B" w14:textId="56D0C5B8" w:rsidR="00244642" w:rsidRDefault="00244642" w:rsidP="004658A5">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25.2</w:t>
      </w:r>
      <w:r>
        <w:rPr>
          <w:rFonts w:ascii="Arial" w:eastAsia="Arial" w:hAnsi="Arial" w:cs="Arial"/>
          <w:i/>
          <w:iCs/>
          <w:color w:val="000000"/>
        </w:rPr>
        <w:tab/>
      </w:r>
      <w:r w:rsidR="00D86CA6">
        <w:rPr>
          <w:rFonts w:ascii="Arial" w:eastAsia="Arial" w:hAnsi="Arial" w:cs="Arial"/>
          <w:i/>
          <w:iCs/>
          <w:color w:val="000000"/>
        </w:rPr>
        <w:t>h</w:t>
      </w:r>
      <w:r w:rsidR="004658A5">
        <w:rPr>
          <w:rFonts w:ascii="Arial" w:eastAsia="Arial" w:hAnsi="Arial" w:cs="Arial"/>
          <w:i/>
          <w:iCs/>
          <w:color w:val="000000"/>
        </w:rPr>
        <w:t>owever, no goods or services were provided by the suppliers in question, in respect of those invoices;</w:t>
      </w:r>
    </w:p>
    <w:p w14:paraId="7D8549AB" w14:textId="77777777" w:rsidR="004658A5" w:rsidRDefault="004658A5" w:rsidP="0024464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205E280A" w14:textId="3EB89A11" w:rsidR="004658A5" w:rsidRDefault="004658A5" w:rsidP="002740FA">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25.3</w:t>
      </w:r>
      <w:r>
        <w:rPr>
          <w:rFonts w:ascii="Arial" w:eastAsia="Arial" w:hAnsi="Arial" w:cs="Arial"/>
          <w:i/>
          <w:iCs/>
          <w:color w:val="000000"/>
        </w:rPr>
        <w:tab/>
      </w:r>
      <w:r w:rsidR="00D86CA6">
        <w:rPr>
          <w:rFonts w:ascii="Arial" w:eastAsia="Arial" w:hAnsi="Arial" w:cs="Arial"/>
          <w:i/>
          <w:iCs/>
          <w:color w:val="000000"/>
        </w:rPr>
        <w:t>t</w:t>
      </w:r>
      <w:r>
        <w:rPr>
          <w:rFonts w:ascii="Arial" w:eastAsia="Arial" w:hAnsi="Arial" w:cs="Arial"/>
          <w:i/>
          <w:iCs/>
          <w:color w:val="000000"/>
        </w:rPr>
        <w:t>he invoices thus created by Mr Schreuder purported to contain the bank account details of the supplier concerned while those details were of his personal bank account</w:t>
      </w:r>
      <w:r w:rsidR="002740FA">
        <w:rPr>
          <w:rFonts w:ascii="Arial" w:eastAsia="Arial" w:hAnsi="Arial" w:cs="Arial"/>
          <w:i/>
          <w:iCs/>
          <w:color w:val="000000"/>
        </w:rPr>
        <w:t>(s);</w:t>
      </w:r>
    </w:p>
    <w:p w14:paraId="4C65BF3B" w14:textId="77777777" w:rsidR="002740FA" w:rsidRDefault="002740FA" w:rsidP="0024464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46F07E69" w14:textId="45E995BC" w:rsidR="002740FA" w:rsidRDefault="002740FA" w:rsidP="002740FA">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25.4</w:t>
      </w:r>
      <w:r>
        <w:rPr>
          <w:rFonts w:ascii="Arial" w:eastAsia="Arial" w:hAnsi="Arial" w:cs="Arial"/>
          <w:i/>
          <w:iCs/>
          <w:color w:val="000000"/>
        </w:rPr>
        <w:tab/>
      </w:r>
      <w:r w:rsidR="00D86CA6">
        <w:rPr>
          <w:rFonts w:ascii="Arial" w:eastAsia="Arial" w:hAnsi="Arial" w:cs="Arial"/>
          <w:i/>
          <w:iCs/>
          <w:color w:val="000000"/>
        </w:rPr>
        <w:t>h</w:t>
      </w:r>
      <w:r>
        <w:rPr>
          <w:rFonts w:ascii="Arial" w:eastAsia="Arial" w:hAnsi="Arial" w:cs="Arial"/>
          <w:i/>
          <w:iCs/>
          <w:color w:val="000000"/>
        </w:rPr>
        <w:t>e</w:t>
      </w:r>
      <w:r w:rsidR="00E32878">
        <w:rPr>
          <w:rFonts w:ascii="Arial" w:eastAsia="Arial" w:hAnsi="Arial" w:cs="Arial"/>
          <w:i/>
          <w:iCs/>
          <w:color w:val="000000"/>
        </w:rPr>
        <w:t xml:space="preserve"> procured that the plaintiff mak</w:t>
      </w:r>
      <w:r>
        <w:rPr>
          <w:rFonts w:ascii="Arial" w:eastAsia="Arial" w:hAnsi="Arial" w:cs="Arial"/>
          <w:i/>
          <w:iCs/>
          <w:color w:val="000000"/>
        </w:rPr>
        <w:t>e payment in respect of the amounts referred to in</w:t>
      </w:r>
      <w:r w:rsidR="00E32878">
        <w:rPr>
          <w:rFonts w:ascii="Arial" w:eastAsia="Arial" w:hAnsi="Arial" w:cs="Arial"/>
          <w:i/>
          <w:iCs/>
          <w:color w:val="000000"/>
        </w:rPr>
        <w:t xml:space="preserve"> the</w:t>
      </w:r>
      <w:r>
        <w:rPr>
          <w:rFonts w:ascii="Arial" w:eastAsia="Arial" w:hAnsi="Arial" w:cs="Arial"/>
          <w:i/>
          <w:iCs/>
          <w:color w:val="000000"/>
        </w:rPr>
        <w:t xml:space="preserve"> fictitious invoices, to his personal bank account(s); and</w:t>
      </w:r>
    </w:p>
    <w:p w14:paraId="51A1E226" w14:textId="77777777" w:rsidR="002740FA" w:rsidRDefault="002740FA" w:rsidP="0024464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6A5EC949" w14:textId="7A9ADDAC" w:rsidR="002740FA" w:rsidRDefault="002740FA" w:rsidP="002740FA">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25.5</w:t>
      </w:r>
      <w:r>
        <w:rPr>
          <w:rFonts w:ascii="Arial" w:eastAsia="Arial" w:hAnsi="Arial" w:cs="Arial"/>
          <w:i/>
          <w:iCs/>
          <w:color w:val="000000"/>
        </w:rPr>
        <w:tab/>
      </w:r>
      <w:r w:rsidR="00D86CA6">
        <w:rPr>
          <w:rFonts w:ascii="Arial" w:eastAsia="Arial" w:hAnsi="Arial" w:cs="Arial"/>
          <w:i/>
          <w:iCs/>
          <w:color w:val="000000"/>
        </w:rPr>
        <w:t>t</w:t>
      </w:r>
      <w:r>
        <w:rPr>
          <w:rFonts w:ascii="Arial" w:eastAsia="Arial" w:hAnsi="Arial" w:cs="Arial"/>
          <w:i/>
          <w:iCs/>
          <w:color w:val="000000"/>
        </w:rPr>
        <w:t>he clearing account was offered as evidence that the amount</w:t>
      </w:r>
      <w:r w:rsidR="00D86CA6">
        <w:rPr>
          <w:rFonts w:ascii="Arial" w:eastAsia="Arial" w:hAnsi="Arial" w:cs="Arial"/>
          <w:i/>
          <w:iCs/>
          <w:color w:val="000000"/>
        </w:rPr>
        <w:t>s</w:t>
      </w:r>
      <w:r>
        <w:rPr>
          <w:rFonts w:ascii="Arial" w:eastAsia="Arial" w:hAnsi="Arial" w:cs="Arial"/>
          <w:i/>
          <w:iCs/>
          <w:color w:val="000000"/>
        </w:rPr>
        <w:t xml:space="preserve"> so paid by the plaintiff were in respect of bona fide expenses, incurred in the importation of goods by the plaintiff”;</w:t>
      </w:r>
    </w:p>
    <w:p w14:paraId="2D3D0D66" w14:textId="77777777" w:rsidR="0058268D" w:rsidRDefault="0058268D"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2D319A0" w14:textId="25CBB102" w:rsidR="00787AD3" w:rsidRDefault="0058268D"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w:t>
      </w:r>
      <w:r w:rsidR="00CA0687">
        <w:rPr>
          <w:rFonts w:ascii="Arial" w:eastAsia="Arial" w:hAnsi="Arial" w:cs="Arial"/>
          <w:color w:val="000000"/>
          <w:sz w:val="24"/>
          <w:szCs w:val="24"/>
        </w:rPr>
        <w:t>11</w:t>
      </w:r>
      <w:r w:rsidR="00820D64">
        <w:rPr>
          <w:rFonts w:ascii="Arial" w:eastAsia="Arial" w:hAnsi="Arial" w:cs="Arial"/>
          <w:color w:val="000000"/>
          <w:sz w:val="24"/>
          <w:szCs w:val="24"/>
        </w:rPr>
        <w:tab/>
      </w:r>
      <w:r w:rsidR="004B4B67">
        <w:rPr>
          <w:rFonts w:ascii="Arial" w:eastAsia="Arial" w:hAnsi="Arial" w:cs="Arial"/>
          <w:color w:val="000000"/>
          <w:sz w:val="24"/>
          <w:szCs w:val="24"/>
        </w:rPr>
        <w:t>a</w:t>
      </w:r>
      <w:r w:rsidR="00783697">
        <w:rPr>
          <w:rFonts w:ascii="Arial" w:eastAsia="Arial" w:hAnsi="Arial" w:cs="Arial"/>
          <w:color w:val="000000"/>
          <w:sz w:val="24"/>
          <w:szCs w:val="24"/>
        </w:rPr>
        <w:t>t paragraph 26 Floorworx alleges that Mazars was negligent in the performance of its duties in performing the audit and/or failed to exercise the due professional care and skill expected of a registered auditor in public practice in performing the audit and then set</w:t>
      </w:r>
      <w:r w:rsidR="004B4B67">
        <w:rPr>
          <w:rFonts w:ascii="Arial" w:eastAsia="Arial" w:hAnsi="Arial" w:cs="Arial"/>
          <w:color w:val="000000"/>
          <w:sz w:val="24"/>
          <w:szCs w:val="24"/>
        </w:rPr>
        <w:t>s</w:t>
      </w:r>
      <w:r w:rsidR="00783697">
        <w:rPr>
          <w:rFonts w:ascii="Arial" w:eastAsia="Arial" w:hAnsi="Arial" w:cs="Arial"/>
          <w:color w:val="000000"/>
          <w:sz w:val="24"/>
          <w:szCs w:val="24"/>
        </w:rPr>
        <w:t xml:space="preserve"> out the manner and/or form as to how such audit was </w:t>
      </w:r>
      <w:r w:rsidR="004B4B67">
        <w:rPr>
          <w:rFonts w:ascii="Arial" w:eastAsia="Arial" w:hAnsi="Arial" w:cs="Arial"/>
          <w:color w:val="000000"/>
          <w:sz w:val="24"/>
          <w:szCs w:val="24"/>
        </w:rPr>
        <w:t xml:space="preserve">allegedly </w:t>
      </w:r>
      <w:r w:rsidR="00783697">
        <w:rPr>
          <w:rFonts w:ascii="Arial" w:eastAsia="Arial" w:hAnsi="Arial" w:cs="Arial"/>
          <w:color w:val="000000"/>
          <w:sz w:val="24"/>
          <w:szCs w:val="24"/>
        </w:rPr>
        <w:t xml:space="preserve">negligently performed.  </w:t>
      </w:r>
      <w:r w:rsidR="00E32878">
        <w:rPr>
          <w:rFonts w:ascii="Arial" w:eastAsia="Arial" w:hAnsi="Arial" w:cs="Arial"/>
          <w:color w:val="000000"/>
          <w:sz w:val="24"/>
          <w:szCs w:val="24"/>
        </w:rPr>
        <w:t xml:space="preserve">Same </w:t>
      </w:r>
      <w:r w:rsidR="00783697">
        <w:rPr>
          <w:rFonts w:ascii="Arial" w:eastAsia="Arial" w:hAnsi="Arial" w:cs="Arial"/>
          <w:color w:val="000000"/>
          <w:sz w:val="24"/>
          <w:szCs w:val="24"/>
        </w:rPr>
        <w:t xml:space="preserve">is also </w:t>
      </w:r>
      <w:r w:rsidR="004B4B67">
        <w:rPr>
          <w:rFonts w:ascii="Arial" w:eastAsia="Arial" w:hAnsi="Arial" w:cs="Arial"/>
          <w:color w:val="000000"/>
          <w:sz w:val="24"/>
          <w:szCs w:val="24"/>
        </w:rPr>
        <w:t>a</w:t>
      </w:r>
      <w:r w:rsidR="00783697">
        <w:rPr>
          <w:rFonts w:ascii="Arial" w:eastAsia="Arial" w:hAnsi="Arial" w:cs="Arial"/>
          <w:color w:val="000000"/>
          <w:sz w:val="24"/>
          <w:szCs w:val="24"/>
        </w:rPr>
        <w:t xml:space="preserve"> </w:t>
      </w:r>
      <w:r w:rsidR="00797DF0">
        <w:rPr>
          <w:rFonts w:ascii="Arial" w:eastAsia="Arial" w:hAnsi="Arial" w:cs="Arial"/>
          <w:color w:val="000000"/>
          <w:sz w:val="24"/>
          <w:szCs w:val="24"/>
        </w:rPr>
        <w:t>lengthy</w:t>
      </w:r>
      <w:r w:rsidR="004B4B67">
        <w:rPr>
          <w:rFonts w:ascii="Arial" w:eastAsia="Arial" w:hAnsi="Arial" w:cs="Arial"/>
          <w:color w:val="000000"/>
          <w:sz w:val="24"/>
          <w:szCs w:val="24"/>
        </w:rPr>
        <w:t xml:space="preserve"> paragraph</w:t>
      </w:r>
      <w:r w:rsidR="00783697">
        <w:rPr>
          <w:rFonts w:ascii="Arial" w:eastAsia="Arial" w:hAnsi="Arial" w:cs="Arial"/>
          <w:color w:val="000000"/>
          <w:sz w:val="24"/>
          <w:szCs w:val="24"/>
        </w:rPr>
        <w:t xml:space="preserve"> and I simply reference three such instances of </w:t>
      </w:r>
      <w:r w:rsidR="00260F73">
        <w:rPr>
          <w:rFonts w:ascii="Arial" w:eastAsia="Arial" w:hAnsi="Arial" w:cs="Arial"/>
          <w:color w:val="000000"/>
          <w:sz w:val="24"/>
          <w:szCs w:val="24"/>
        </w:rPr>
        <w:t xml:space="preserve">alleged </w:t>
      </w:r>
      <w:r w:rsidR="00783697">
        <w:rPr>
          <w:rFonts w:ascii="Arial" w:eastAsia="Arial" w:hAnsi="Arial" w:cs="Arial"/>
          <w:color w:val="000000"/>
          <w:sz w:val="24"/>
          <w:szCs w:val="24"/>
        </w:rPr>
        <w:t>negligence</w:t>
      </w:r>
      <w:r w:rsidR="00260F73">
        <w:rPr>
          <w:rFonts w:ascii="Arial" w:eastAsia="Arial" w:hAnsi="Arial" w:cs="Arial"/>
          <w:color w:val="000000"/>
          <w:sz w:val="24"/>
          <w:szCs w:val="24"/>
        </w:rPr>
        <w:t xml:space="preserve"> as examples</w:t>
      </w:r>
      <w:r w:rsidR="00783697">
        <w:rPr>
          <w:rFonts w:ascii="Arial" w:eastAsia="Arial" w:hAnsi="Arial" w:cs="Arial"/>
          <w:color w:val="000000"/>
          <w:sz w:val="24"/>
          <w:szCs w:val="24"/>
        </w:rPr>
        <w:t>.  The first is that Mazars failed to identify the “</w:t>
      </w:r>
      <w:r w:rsidR="00783697">
        <w:rPr>
          <w:rFonts w:ascii="Arial" w:eastAsia="Arial" w:hAnsi="Arial" w:cs="Arial"/>
          <w:i/>
          <w:iCs/>
          <w:color w:val="000000"/>
          <w:sz w:val="24"/>
          <w:szCs w:val="24"/>
        </w:rPr>
        <w:t>clearing account</w:t>
      </w:r>
      <w:r w:rsidR="00783697">
        <w:rPr>
          <w:rFonts w:ascii="Arial" w:eastAsia="Arial" w:hAnsi="Arial" w:cs="Arial"/>
          <w:color w:val="000000"/>
          <w:sz w:val="24"/>
          <w:szCs w:val="24"/>
        </w:rPr>
        <w:t xml:space="preserve">”, by virtue of its nature as a repository </w:t>
      </w:r>
      <w:r w:rsidR="00DD4C1B">
        <w:rPr>
          <w:rFonts w:ascii="Arial" w:eastAsia="Arial" w:hAnsi="Arial" w:cs="Arial"/>
          <w:color w:val="000000"/>
          <w:sz w:val="24"/>
          <w:szCs w:val="24"/>
        </w:rPr>
        <w:t>of provisional amounts, that posed a risk of material misstatement due to fraud.  The second is that Mazars failed to design and</w:t>
      </w:r>
      <w:r w:rsidR="00787AD3">
        <w:rPr>
          <w:rFonts w:ascii="Arial" w:eastAsia="Arial" w:hAnsi="Arial" w:cs="Arial"/>
          <w:color w:val="000000"/>
          <w:sz w:val="24"/>
          <w:szCs w:val="24"/>
        </w:rPr>
        <w:t xml:space="preserve"> perform audit procedures to interrogate the journal entries in </w:t>
      </w:r>
      <w:r w:rsidR="006B1022">
        <w:rPr>
          <w:rFonts w:ascii="Arial" w:eastAsia="Arial" w:hAnsi="Arial" w:cs="Arial"/>
          <w:color w:val="000000"/>
          <w:sz w:val="24"/>
          <w:szCs w:val="24"/>
        </w:rPr>
        <w:t xml:space="preserve">the </w:t>
      </w:r>
      <w:r w:rsidR="00787AD3">
        <w:rPr>
          <w:rFonts w:ascii="Arial" w:eastAsia="Arial" w:hAnsi="Arial" w:cs="Arial"/>
          <w:color w:val="000000"/>
          <w:sz w:val="24"/>
          <w:szCs w:val="24"/>
        </w:rPr>
        <w:t>“</w:t>
      </w:r>
      <w:r w:rsidR="00787AD3">
        <w:rPr>
          <w:rFonts w:ascii="Arial" w:eastAsia="Arial" w:hAnsi="Arial" w:cs="Arial"/>
          <w:i/>
          <w:iCs/>
          <w:color w:val="000000"/>
          <w:sz w:val="24"/>
          <w:szCs w:val="24"/>
        </w:rPr>
        <w:t>clearing account</w:t>
      </w:r>
      <w:r w:rsidR="00787AD3">
        <w:rPr>
          <w:rFonts w:ascii="Arial" w:eastAsia="Arial" w:hAnsi="Arial" w:cs="Arial"/>
          <w:color w:val="000000"/>
          <w:sz w:val="24"/>
          <w:szCs w:val="24"/>
        </w:rPr>
        <w:t xml:space="preserve">”.  The third is that </w:t>
      </w:r>
      <w:r w:rsidR="006B1022">
        <w:rPr>
          <w:rFonts w:ascii="Arial" w:eastAsia="Arial" w:hAnsi="Arial" w:cs="Arial"/>
          <w:color w:val="000000"/>
          <w:sz w:val="24"/>
          <w:szCs w:val="24"/>
        </w:rPr>
        <w:t>Mazars</w:t>
      </w:r>
      <w:r w:rsidR="00787AD3">
        <w:rPr>
          <w:rFonts w:ascii="Arial" w:eastAsia="Arial" w:hAnsi="Arial" w:cs="Arial"/>
          <w:color w:val="000000"/>
          <w:sz w:val="24"/>
          <w:szCs w:val="24"/>
        </w:rPr>
        <w:t xml:space="preserve"> failed to design and perform audit procedures to interrogate the journal entries in</w:t>
      </w:r>
      <w:r w:rsidR="006B1022">
        <w:rPr>
          <w:rFonts w:ascii="Arial" w:eastAsia="Arial" w:hAnsi="Arial" w:cs="Arial"/>
          <w:color w:val="000000"/>
          <w:sz w:val="24"/>
          <w:szCs w:val="24"/>
        </w:rPr>
        <w:t xml:space="preserve"> the</w:t>
      </w:r>
      <w:r w:rsidR="00787AD3">
        <w:rPr>
          <w:rFonts w:ascii="Arial" w:eastAsia="Arial" w:hAnsi="Arial" w:cs="Arial"/>
          <w:color w:val="000000"/>
          <w:sz w:val="24"/>
          <w:szCs w:val="24"/>
        </w:rPr>
        <w:t xml:space="preserve"> </w:t>
      </w:r>
      <w:r w:rsidR="00787AD3">
        <w:rPr>
          <w:rFonts w:ascii="Arial" w:eastAsia="Arial" w:hAnsi="Arial" w:cs="Arial"/>
          <w:i/>
          <w:iCs/>
          <w:color w:val="000000"/>
          <w:sz w:val="24"/>
          <w:szCs w:val="24"/>
        </w:rPr>
        <w:t>“clearing account</w:t>
      </w:r>
      <w:r w:rsidR="00787AD3">
        <w:rPr>
          <w:rFonts w:ascii="Arial" w:eastAsia="Arial" w:hAnsi="Arial" w:cs="Arial"/>
          <w:color w:val="000000"/>
          <w:sz w:val="24"/>
          <w:szCs w:val="24"/>
        </w:rPr>
        <w:t>” despite that account not being reconciled periodically</w:t>
      </w:r>
      <w:r w:rsidR="006B1022">
        <w:rPr>
          <w:rFonts w:ascii="Arial" w:eastAsia="Arial" w:hAnsi="Arial" w:cs="Arial"/>
          <w:color w:val="000000"/>
          <w:sz w:val="24"/>
          <w:szCs w:val="24"/>
        </w:rPr>
        <w:t>,</w:t>
      </w:r>
      <w:r w:rsidR="00787AD3">
        <w:rPr>
          <w:rFonts w:ascii="Arial" w:eastAsia="Arial" w:hAnsi="Arial" w:cs="Arial"/>
          <w:color w:val="000000"/>
          <w:sz w:val="24"/>
          <w:szCs w:val="24"/>
        </w:rPr>
        <w:t xml:space="preserve"> as required by general accepted accounting practice.</w:t>
      </w:r>
    </w:p>
    <w:p w14:paraId="6970E25F" w14:textId="77777777" w:rsidR="00787AD3" w:rsidRDefault="00787AD3"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79204B0" w14:textId="62C2B837" w:rsidR="0058268D" w:rsidRDefault="00787AD3"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w:t>
      </w:r>
      <w:r w:rsidR="00CA0687">
        <w:rPr>
          <w:rFonts w:ascii="Arial" w:eastAsia="Arial" w:hAnsi="Arial" w:cs="Arial"/>
          <w:color w:val="000000"/>
          <w:sz w:val="24"/>
          <w:szCs w:val="24"/>
        </w:rPr>
        <w:t>1</w:t>
      </w:r>
      <w:r>
        <w:rPr>
          <w:rFonts w:ascii="Arial" w:eastAsia="Arial" w:hAnsi="Arial" w:cs="Arial"/>
          <w:color w:val="000000"/>
          <w:sz w:val="24"/>
          <w:szCs w:val="24"/>
        </w:rPr>
        <w:t>2</w:t>
      </w:r>
      <w:r>
        <w:rPr>
          <w:rFonts w:ascii="Arial" w:eastAsia="Arial" w:hAnsi="Arial" w:cs="Arial"/>
          <w:color w:val="000000"/>
          <w:sz w:val="24"/>
          <w:szCs w:val="24"/>
        </w:rPr>
        <w:tab/>
      </w:r>
      <w:r w:rsidR="006B1022">
        <w:rPr>
          <w:rFonts w:ascii="Arial" w:eastAsia="Arial" w:hAnsi="Arial" w:cs="Arial"/>
          <w:color w:val="000000"/>
          <w:sz w:val="24"/>
          <w:szCs w:val="24"/>
        </w:rPr>
        <w:t>a</w:t>
      </w:r>
      <w:r>
        <w:rPr>
          <w:rFonts w:ascii="Arial" w:eastAsia="Arial" w:hAnsi="Arial" w:cs="Arial"/>
          <w:color w:val="000000"/>
          <w:sz w:val="24"/>
          <w:szCs w:val="24"/>
        </w:rPr>
        <w:t xml:space="preserve">t paragraphs 27 and 28, Floorworx deals with causation and </w:t>
      </w:r>
      <w:r w:rsidRPr="003C57F9">
        <w:rPr>
          <w:rFonts w:ascii="Arial" w:eastAsia="Arial" w:hAnsi="Arial" w:cs="Arial"/>
          <w:i/>
          <w:iCs/>
          <w:color w:val="000000"/>
          <w:sz w:val="24"/>
          <w:szCs w:val="24"/>
        </w:rPr>
        <w:t>quantum</w:t>
      </w:r>
      <w:r w:rsidR="003C57F9">
        <w:rPr>
          <w:rFonts w:ascii="Arial" w:eastAsia="Arial" w:hAnsi="Arial" w:cs="Arial"/>
          <w:color w:val="000000"/>
          <w:sz w:val="24"/>
          <w:szCs w:val="24"/>
        </w:rPr>
        <w:t xml:space="preserve">. </w:t>
      </w:r>
      <w:r>
        <w:rPr>
          <w:rFonts w:ascii="Arial" w:eastAsia="Arial" w:hAnsi="Arial" w:cs="Arial"/>
          <w:color w:val="000000"/>
          <w:sz w:val="24"/>
          <w:szCs w:val="24"/>
        </w:rPr>
        <w:t xml:space="preserve"> Because what is alleged in these paragraphs are materially relevant to the second exception</w:t>
      </w:r>
      <w:r w:rsidR="00321386">
        <w:rPr>
          <w:rFonts w:ascii="Arial" w:eastAsia="Arial" w:hAnsi="Arial" w:cs="Arial"/>
          <w:color w:val="000000"/>
          <w:sz w:val="24"/>
          <w:szCs w:val="24"/>
        </w:rPr>
        <w:t xml:space="preserve"> that was grounded on the basis of vague and </w:t>
      </w:r>
      <w:r w:rsidR="00321386">
        <w:rPr>
          <w:rFonts w:ascii="Arial" w:eastAsia="Arial" w:hAnsi="Arial" w:cs="Arial"/>
          <w:color w:val="000000"/>
          <w:sz w:val="24"/>
          <w:szCs w:val="24"/>
        </w:rPr>
        <w:lastRenderedPageBreak/>
        <w:t xml:space="preserve">embarrassing only, I take the liberty to quote these paragraphs </w:t>
      </w:r>
      <w:r w:rsidR="00321386">
        <w:rPr>
          <w:rFonts w:ascii="Arial" w:eastAsia="Arial" w:hAnsi="Arial" w:cs="Arial"/>
          <w:i/>
          <w:iCs/>
          <w:color w:val="000000"/>
          <w:sz w:val="24"/>
          <w:szCs w:val="24"/>
        </w:rPr>
        <w:t>verbatim</w:t>
      </w:r>
      <w:r w:rsidR="00321386">
        <w:rPr>
          <w:rFonts w:ascii="Arial" w:eastAsia="Arial" w:hAnsi="Arial" w:cs="Arial"/>
          <w:color w:val="000000"/>
          <w:sz w:val="24"/>
          <w:szCs w:val="24"/>
        </w:rPr>
        <w:t>:-</w:t>
      </w:r>
    </w:p>
    <w:p w14:paraId="2AA63E2F" w14:textId="77777777" w:rsidR="003C57F9" w:rsidRDefault="003C57F9"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9D4760E" w14:textId="768ADA1D" w:rsidR="00321386" w:rsidRDefault="00F56C26" w:rsidP="001632AC">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sidRPr="00F56C26">
        <w:rPr>
          <w:rFonts w:ascii="Arial" w:eastAsia="Arial" w:hAnsi="Arial" w:cs="Arial"/>
          <w:i/>
          <w:iCs/>
          <w:color w:val="000000"/>
        </w:rPr>
        <w:t>“27.</w:t>
      </w:r>
      <w:r w:rsidRPr="00F56C26">
        <w:rPr>
          <w:rFonts w:ascii="Arial" w:eastAsia="Arial" w:hAnsi="Arial" w:cs="Arial"/>
          <w:i/>
          <w:iCs/>
          <w:color w:val="000000"/>
        </w:rPr>
        <w:tab/>
      </w:r>
      <w:r w:rsidR="00AD3DD4">
        <w:rPr>
          <w:rFonts w:ascii="Arial" w:eastAsia="Arial" w:hAnsi="Arial" w:cs="Arial"/>
          <w:i/>
          <w:iCs/>
          <w:color w:val="000000"/>
        </w:rPr>
        <w:t>Had the first defendant not been negligent in one or more of the respects referred to in the preceding paragraph</w:t>
      </w:r>
      <w:r w:rsidR="001632AC">
        <w:rPr>
          <w:rFonts w:ascii="Arial" w:eastAsia="Arial" w:hAnsi="Arial" w:cs="Arial"/>
          <w:i/>
          <w:iCs/>
          <w:color w:val="000000"/>
        </w:rPr>
        <w:t>:</w:t>
      </w:r>
    </w:p>
    <w:p w14:paraId="28296E33" w14:textId="77777777" w:rsidR="001632AC" w:rsidRDefault="001632AC" w:rsidP="00AD3DD4">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2CD00DE4" w14:textId="451751FF" w:rsidR="001632AC" w:rsidRDefault="001632AC" w:rsidP="001632AC">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27.1</w:t>
      </w:r>
      <w:r>
        <w:rPr>
          <w:rFonts w:ascii="Arial" w:eastAsia="Arial" w:hAnsi="Arial" w:cs="Arial"/>
          <w:i/>
          <w:iCs/>
          <w:color w:val="000000"/>
        </w:rPr>
        <w:tab/>
        <w:t>The first defendant would have detected the ongoing misappropriation of money from the plaintiff by Mr Schreuder; and</w:t>
      </w:r>
    </w:p>
    <w:p w14:paraId="6F4CF108" w14:textId="77777777" w:rsidR="001632AC" w:rsidRDefault="001632AC" w:rsidP="00AD3DD4">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088F819D" w14:textId="622D8A7D" w:rsidR="001632AC" w:rsidRDefault="001632AC" w:rsidP="00BA4E04">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27.2</w:t>
      </w:r>
      <w:r>
        <w:rPr>
          <w:rFonts w:ascii="Arial" w:eastAsia="Arial" w:hAnsi="Arial" w:cs="Arial"/>
          <w:i/>
          <w:iCs/>
          <w:color w:val="000000"/>
        </w:rPr>
        <w:tab/>
      </w:r>
      <w:r w:rsidR="00BA4E04">
        <w:rPr>
          <w:rFonts w:ascii="Arial" w:eastAsia="Arial" w:hAnsi="Arial" w:cs="Arial"/>
          <w:i/>
          <w:iCs/>
          <w:color w:val="000000"/>
        </w:rPr>
        <w:t>The plaintiff would have been alerted to the ongoing misappropriation of money from the plaintiff by Mr Schreuder, by no later than the end of September 2006; and</w:t>
      </w:r>
    </w:p>
    <w:p w14:paraId="763AE39E" w14:textId="77777777" w:rsidR="00BA4E04" w:rsidRDefault="00BA4E04" w:rsidP="00AD3DD4">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1065E2D2" w14:textId="25D3E139" w:rsidR="00BA4E04" w:rsidRDefault="00BA4E04" w:rsidP="00E044F1">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27.3</w:t>
      </w:r>
      <w:r>
        <w:rPr>
          <w:rFonts w:ascii="Arial" w:eastAsia="Arial" w:hAnsi="Arial" w:cs="Arial"/>
          <w:i/>
          <w:iCs/>
          <w:color w:val="000000"/>
        </w:rPr>
        <w:tab/>
      </w:r>
      <w:r w:rsidR="00562B5F">
        <w:rPr>
          <w:rFonts w:ascii="Arial" w:eastAsia="Arial" w:hAnsi="Arial" w:cs="Arial"/>
          <w:i/>
          <w:iCs/>
          <w:color w:val="000000"/>
        </w:rPr>
        <w:t>Additional amounts totalling R68,88</w:t>
      </w:r>
      <w:r w:rsidR="00536A29">
        <w:rPr>
          <w:rFonts w:ascii="Arial" w:eastAsia="Arial" w:hAnsi="Arial" w:cs="Arial"/>
          <w:i/>
          <w:iCs/>
          <w:color w:val="000000"/>
        </w:rPr>
        <w:t>4</w:t>
      </w:r>
      <w:r w:rsidR="00562B5F">
        <w:rPr>
          <w:rFonts w:ascii="Arial" w:eastAsia="Arial" w:hAnsi="Arial" w:cs="Arial"/>
          <w:i/>
          <w:iCs/>
          <w:color w:val="000000"/>
        </w:rPr>
        <w:t xml:space="preserve">,325.00 in the </w:t>
      </w:r>
      <w:r w:rsidR="00E044F1">
        <w:rPr>
          <w:rFonts w:ascii="Arial" w:eastAsia="Arial" w:hAnsi="Arial" w:cs="Arial"/>
          <w:i/>
          <w:iCs/>
          <w:color w:val="000000"/>
        </w:rPr>
        <w:t>aggregate would and could not have been misappropriated by Mr Schreuder from the plaintiff after the end of September 2006.</w:t>
      </w:r>
    </w:p>
    <w:p w14:paraId="237C8B5B" w14:textId="777E5414" w:rsidR="00AD3DD4" w:rsidRDefault="00536A29" w:rsidP="00AD3DD4">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ab/>
      </w:r>
    </w:p>
    <w:p w14:paraId="1097F461" w14:textId="2C3B728F" w:rsidR="00536A29" w:rsidRDefault="0096305F" w:rsidP="0096305F">
      <w:pPr>
        <w:pStyle w:val="ListParagraph"/>
        <w:pBdr>
          <w:top w:val="nil"/>
          <w:left w:val="nil"/>
          <w:bottom w:val="nil"/>
          <w:right w:val="nil"/>
          <w:between w:val="nil"/>
        </w:pBdr>
        <w:spacing w:after="0" w:line="276" w:lineRule="auto"/>
        <w:ind w:left="2127" w:hanging="687"/>
        <w:jc w:val="both"/>
        <w:rPr>
          <w:rFonts w:ascii="Arial" w:eastAsia="Arial" w:hAnsi="Arial" w:cs="Arial"/>
          <w:i/>
          <w:iCs/>
          <w:color w:val="000000"/>
        </w:rPr>
      </w:pPr>
      <w:r>
        <w:rPr>
          <w:rFonts w:ascii="Arial" w:eastAsia="Arial" w:hAnsi="Arial" w:cs="Arial"/>
          <w:i/>
          <w:iCs/>
          <w:color w:val="000000"/>
        </w:rPr>
        <w:t>28.</w:t>
      </w:r>
      <w:r>
        <w:rPr>
          <w:rFonts w:ascii="Arial" w:eastAsia="Arial" w:hAnsi="Arial" w:cs="Arial"/>
          <w:i/>
          <w:iCs/>
          <w:color w:val="000000"/>
        </w:rPr>
        <w:tab/>
      </w:r>
      <w:r w:rsidR="00536A29">
        <w:rPr>
          <w:rFonts w:ascii="Arial" w:eastAsia="Arial" w:hAnsi="Arial" w:cs="Arial"/>
          <w:i/>
          <w:iCs/>
          <w:color w:val="000000"/>
        </w:rPr>
        <w:t>In the circumstances, the first defendant has caused the plaintiff damages in</w:t>
      </w:r>
      <w:r>
        <w:rPr>
          <w:rFonts w:ascii="Arial" w:eastAsia="Arial" w:hAnsi="Arial" w:cs="Arial"/>
          <w:i/>
          <w:iCs/>
          <w:color w:val="000000"/>
        </w:rPr>
        <w:t xml:space="preserve"> </w:t>
      </w:r>
      <w:r w:rsidR="00536A29">
        <w:rPr>
          <w:rFonts w:ascii="Arial" w:eastAsia="Arial" w:hAnsi="Arial" w:cs="Arial"/>
          <w:i/>
          <w:iCs/>
          <w:color w:val="000000"/>
        </w:rPr>
        <w:t>the amount of R68,884,325.00</w:t>
      </w:r>
      <w:r>
        <w:rPr>
          <w:rFonts w:ascii="Arial" w:eastAsia="Arial" w:hAnsi="Arial" w:cs="Arial"/>
          <w:i/>
          <w:iCs/>
          <w:color w:val="000000"/>
        </w:rPr>
        <w:t>.”</w:t>
      </w:r>
    </w:p>
    <w:p w14:paraId="7114CCD3" w14:textId="77777777" w:rsidR="00321386" w:rsidRDefault="00321386"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E7FDB11" w14:textId="0956B534" w:rsidR="00321386" w:rsidRDefault="00321386" w:rsidP="00593CF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11.</w:t>
      </w:r>
      <w:r w:rsidR="00CA0687">
        <w:rPr>
          <w:rFonts w:ascii="Arial" w:eastAsia="Arial" w:hAnsi="Arial" w:cs="Arial"/>
          <w:color w:val="000000"/>
          <w:sz w:val="24"/>
          <w:szCs w:val="24"/>
        </w:rPr>
        <w:t>13</w:t>
      </w:r>
      <w:r>
        <w:rPr>
          <w:rFonts w:ascii="Arial" w:eastAsia="Arial" w:hAnsi="Arial" w:cs="Arial"/>
          <w:color w:val="000000"/>
          <w:sz w:val="24"/>
          <w:szCs w:val="24"/>
        </w:rPr>
        <w:tab/>
      </w:r>
      <w:r w:rsidR="003C57F9">
        <w:rPr>
          <w:rFonts w:ascii="Arial" w:eastAsia="Arial" w:hAnsi="Arial" w:cs="Arial"/>
          <w:color w:val="000000"/>
          <w:sz w:val="24"/>
          <w:szCs w:val="24"/>
        </w:rPr>
        <w:t>at</w:t>
      </w:r>
      <w:r w:rsidR="00DC429E">
        <w:rPr>
          <w:rFonts w:ascii="Arial" w:eastAsia="Arial" w:hAnsi="Arial" w:cs="Arial"/>
          <w:color w:val="000000"/>
          <w:sz w:val="24"/>
          <w:szCs w:val="24"/>
        </w:rPr>
        <w:t xml:space="preserve"> p</w:t>
      </w:r>
      <w:r w:rsidR="0096305F">
        <w:rPr>
          <w:rFonts w:ascii="Arial" w:eastAsia="Arial" w:hAnsi="Arial" w:cs="Arial"/>
          <w:color w:val="000000"/>
          <w:sz w:val="24"/>
          <w:szCs w:val="24"/>
        </w:rPr>
        <w:t xml:space="preserve">aragraph 29 </w:t>
      </w:r>
      <w:r w:rsidR="00DC429E">
        <w:rPr>
          <w:rFonts w:ascii="Arial" w:eastAsia="Arial" w:hAnsi="Arial" w:cs="Arial"/>
          <w:color w:val="000000"/>
          <w:sz w:val="24"/>
          <w:szCs w:val="24"/>
        </w:rPr>
        <w:t xml:space="preserve">it is alleged that the damages </w:t>
      </w:r>
      <w:r w:rsidR="00B5642A">
        <w:rPr>
          <w:rFonts w:ascii="Arial" w:eastAsia="Arial" w:hAnsi="Arial" w:cs="Arial"/>
          <w:color w:val="000000"/>
          <w:sz w:val="24"/>
          <w:szCs w:val="24"/>
        </w:rPr>
        <w:t>flow naturally and generally from the breach</w:t>
      </w:r>
      <w:r w:rsidR="00BE6B0F">
        <w:rPr>
          <w:rFonts w:ascii="Arial" w:eastAsia="Arial" w:hAnsi="Arial" w:cs="Arial"/>
          <w:color w:val="000000"/>
          <w:sz w:val="24"/>
          <w:szCs w:val="24"/>
        </w:rPr>
        <w:t>(</w:t>
      </w:r>
      <w:r w:rsidR="00B5642A">
        <w:rPr>
          <w:rFonts w:ascii="Arial" w:eastAsia="Arial" w:hAnsi="Arial" w:cs="Arial"/>
          <w:color w:val="000000"/>
          <w:sz w:val="24"/>
          <w:szCs w:val="24"/>
        </w:rPr>
        <w:t>es</w:t>
      </w:r>
      <w:r w:rsidR="00BE6B0F">
        <w:rPr>
          <w:rFonts w:ascii="Arial" w:eastAsia="Arial" w:hAnsi="Arial" w:cs="Arial"/>
          <w:color w:val="000000"/>
          <w:sz w:val="24"/>
          <w:szCs w:val="24"/>
        </w:rPr>
        <w:t>)</w:t>
      </w:r>
      <w:r w:rsidR="00B5642A">
        <w:rPr>
          <w:rFonts w:ascii="Arial" w:eastAsia="Arial" w:hAnsi="Arial" w:cs="Arial"/>
          <w:color w:val="000000"/>
          <w:sz w:val="24"/>
          <w:szCs w:val="24"/>
        </w:rPr>
        <w:t xml:space="preserve"> of the agreement, alternatively </w:t>
      </w:r>
      <w:r w:rsidR="00BE6B0F">
        <w:rPr>
          <w:rFonts w:ascii="Arial" w:eastAsia="Arial" w:hAnsi="Arial" w:cs="Arial"/>
          <w:color w:val="000000"/>
          <w:sz w:val="24"/>
          <w:szCs w:val="24"/>
        </w:rPr>
        <w:t xml:space="preserve">they were </w:t>
      </w:r>
      <w:r w:rsidR="00B5642A">
        <w:rPr>
          <w:rFonts w:ascii="Arial" w:eastAsia="Arial" w:hAnsi="Arial" w:cs="Arial"/>
          <w:color w:val="000000"/>
          <w:sz w:val="24"/>
          <w:szCs w:val="24"/>
        </w:rPr>
        <w:t>within the contemplation of the parties at the time the agreement was concluded.</w:t>
      </w:r>
      <w:r w:rsidR="00C30F12">
        <w:rPr>
          <w:rFonts w:ascii="Arial" w:eastAsia="Arial" w:hAnsi="Arial" w:cs="Arial"/>
          <w:color w:val="000000"/>
          <w:sz w:val="24"/>
          <w:szCs w:val="24"/>
        </w:rPr>
        <w:t xml:space="preserve">  Finally, paragraph 13 identifies two of the other defendants (to wit</w:t>
      </w:r>
      <w:r w:rsidR="00BE6B0F">
        <w:rPr>
          <w:rFonts w:ascii="Arial" w:eastAsia="Arial" w:hAnsi="Arial" w:cs="Arial"/>
          <w:color w:val="000000"/>
          <w:sz w:val="24"/>
          <w:szCs w:val="24"/>
        </w:rPr>
        <w:t>,</w:t>
      </w:r>
      <w:r w:rsidR="00C30F12">
        <w:rPr>
          <w:rFonts w:ascii="Arial" w:eastAsia="Arial" w:hAnsi="Arial" w:cs="Arial"/>
          <w:color w:val="000000"/>
          <w:sz w:val="24"/>
          <w:szCs w:val="24"/>
        </w:rPr>
        <w:t xml:space="preserve"> the third defendant and the seventh defendant) as being jointly and severally liable for the aforesaid damages by virtue of the fact that they were directors of Mazars at the time that the agreement was concluded</w:t>
      </w:r>
      <w:r w:rsidR="00C91908">
        <w:rPr>
          <w:rStyle w:val="FootnoteReference"/>
          <w:rFonts w:ascii="Arial" w:eastAsia="Arial" w:hAnsi="Arial" w:cs="Arial"/>
          <w:color w:val="000000"/>
          <w:sz w:val="24"/>
          <w:szCs w:val="24"/>
        </w:rPr>
        <w:footnoteReference w:id="4"/>
      </w:r>
      <w:r w:rsidR="00C30F12">
        <w:rPr>
          <w:rFonts w:ascii="Arial" w:eastAsia="Arial" w:hAnsi="Arial" w:cs="Arial"/>
          <w:color w:val="000000"/>
          <w:sz w:val="24"/>
          <w:szCs w:val="24"/>
        </w:rPr>
        <w:t>.</w:t>
      </w:r>
    </w:p>
    <w:p w14:paraId="13F21DEA" w14:textId="4A7250A1" w:rsidR="00E42D8E" w:rsidRDefault="00E42D8E" w:rsidP="00E42D8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7855243" w14:textId="26C3D619" w:rsidR="00C30F12"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sidR="00C30F12" w:rsidRPr="00A55D51">
        <w:rPr>
          <w:rFonts w:ascii="Arial" w:eastAsia="Arial" w:hAnsi="Arial" w:cs="Arial"/>
          <w:color w:val="000000"/>
          <w:sz w:val="24"/>
          <w:szCs w:val="24"/>
        </w:rPr>
        <w:t xml:space="preserve">Annexure POC1 is related to Claim 9 and constitutes the Engagement Letter referred to therein and which went missing in respect of Claim 1 </w:t>
      </w:r>
      <w:r w:rsidR="00E32878" w:rsidRPr="00A55D51">
        <w:rPr>
          <w:rFonts w:ascii="Arial" w:eastAsia="Arial" w:hAnsi="Arial" w:cs="Arial"/>
          <w:color w:val="000000"/>
          <w:sz w:val="24"/>
          <w:szCs w:val="24"/>
        </w:rPr>
        <w:t>to</w:t>
      </w:r>
      <w:r w:rsidR="00C30F12" w:rsidRPr="00A55D51">
        <w:rPr>
          <w:rFonts w:ascii="Arial" w:eastAsia="Arial" w:hAnsi="Arial" w:cs="Arial"/>
          <w:color w:val="000000"/>
          <w:sz w:val="24"/>
          <w:szCs w:val="24"/>
        </w:rPr>
        <w:t xml:space="preserve"> Claim 8 and could therefore not be attached.  The following is evident from this annexure:-</w:t>
      </w:r>
    </w:p>
    <w:p w14:paraId="37A713D9" w14:textId="77777777" w:rsidR="00C30F12" w:rsidRDefault="00C30F12" w:rsidP="00C30F1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E2C9044" w14:textId="23C231CF" w:rsidR="00C30F12" w:rsidRDefault="00C30F12" w:rsidP="0044341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12.1</w:t>
      </w:r>
      <w:r>
        <w:rPr>
          <w:rFonts w:ascii="Arial" w:eastAsia="Arial" w:hAnsi="Arial" w:cs="Arial"/>
          <w:color w:val="000000"/>
          <w:sz w:val="24"/>
          <w:szCs w:val="24"/>
        </w:rPr>
        <w:tab/>
      </w:r>
      <w:r w:rsidR="006677E1">
        <w:rPr>
          <w:rFonts w:ascii="Arial" w:eastAsia="Arial" w:hAnsi="Arial" w:cs="Arial"/>
          <w:color w:val="000000"/>
          <w:sz w:val="24"/>
          <w:szCs w:val="24"/>
        </w:rPr>
        <w:t>i</w:t>
      </w:r>
      <w:r w:rsidR="007F227C">
        <w:rPr>
          <w:rFonts w:ascii="Arial" w:eastAsia="Arial" w:hAnsi="Arial" w:cs="Arial"/>
          <w:color w:val="000000"/>
          <w:sz w:val="24"/>
          <w:szCs w:val="24"/>
        </w:rPr>
        <w:t>t is directed by Mazars to Accentuate and dated 22 May 2014.  It was countersigned by Accentuate on the same date and contains a certain Annexure A that identifies the subsidiaries of Accentuate.  Seven of these subsidiaries are identified which includes Floorworx</w:t>
      </w:r>
      <w:r w:rsidR="00443419">
        <w:rPr>
          <w:rFonts w:ascii="Arial" w:eastAsia="Arial" w:hAnsi="Arial" w:cs="Arial"/>
          <w:color w:val="000000"/>
          <w:sz w:val="24"/>
          <w:szCs w:val="24"/>
        </w:rPr>
        <w:t>;</w:t>
      </w:r>
    </w:p>
    <w:p w14:paraId="33E21D04" w14:textId="77777777" w:rsidR="00443419" w:rsidRDefault="00443419" w:rsidP="00C30F1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D2C98D9" w14:textId="3915A087" w:rsidR="00443419" w:rsidRDefault="00443419" w:rsidP="00361B9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12.2</w:t>
      </w:r>
      <w:r>
        <w:rPr>
          <w:rFonts w:ascii="Arial" w:eastAsia="Arial" w:hAnsi="Arial" w:cs="Arial"/>
          <w:color w:val="000000"/>
          <w:sz w:val="24"/>
          <w:szCs w:val="24"/>
        </w:rPr>
        <w:tab/>
      </w:r>
      <w:r w:rsidR="006677E1">
        <w:rPr>
          <w:rFonts w:ascii="Arial" w:eastAsia="Arial" w:hAnsi="Arial" w:cs="Arial"/>
          <w:color w:val="000000"/>
          <w:sz w:val="24"/>
          <w:szCs w:val="24"/>
        </w:rPr>
        <w:t>i</w:t>
      </w:r>
      <w:r w:rsidR="00361B9B">
        <w:rPr>
          <w:rFonts w:ascii="Arial" w:eastAsia="Arial" w:hAnsi="Arial" w:cs="Arial"/>
          <w:color w:val="000000"/>
          <w:sz w:val="24"/>
          <w:szCs w:val="24"/>
        </w:rPr>
        <w:t>n</w:t>
      </w:r>
      <w:r w:rsidR="00E32878">
        <w:rPr>
          <w:rFonts w:ascii="Arial" w:eastAsia="Arial" w:hAnsi="Arial" w:cs="Arial"/>
          <w:color w:val="000000"/>
          <w:sz w:val="24"/>
          <w:szCs w:val="24"/>
        </w:rPr>
        <w:t xml:space="preserve"> the first paragraph [on page 1</w:t>
      </w:r>
      <w:r w:rsidR="00361B9B">
        <w:rPr>
          <w:rFonts w:ascii="Arial" w:eastAsia="Arial" w:hAnsi="Arial" w:cs="Arial"/>
          <w:color w:val="000000"/>
          <w:sz w:val="24"/>
          <w:szCs w:val="24"/>
        </w:rPr>
        <w:t xml:space="preserve"> thereof</w:t>
      </w:r>
      <w:r w:rsidR="00E32878">
        <w:rPr>
          <w:rFonts w:ascii="Arial" w:eastAsia="Arial" w:hAnsi="Arial" w:cs="Arial"/>
          <w:color w:val="000000"/>
          <w:sz w:val="24"/>
          <w:szCs w:val="24"/>
        </w:rPr>
        <w:t>]</w:t>
      </w:r>
      <w:r w:rsidR="00361B9B">
        <w:rPr>
          <w:rFonts w:ascii="Arial" w:eastAsia="Arial" w:hAnsi="Arial" w:cs="Arial"/>
          <w:color w:val="000000"/>
          <w:sz w:val="24"/>
          <w:szCs w:val="24"/>
        </w:rPr>
        <w:t xml:space="preserve"> and under the heading “</w:t>
      </w:r>
      <w:r w:rsidR="00361B9B">
        <w:rPr>
          <w:rFonts w:ascii="Arial" w:eastAsia="Arial" w:hAnsi="Arial" w:cs="Arial"/>
          <w:i/>
          <w:iCs/>
          <w:color w:val="000000"/>
          <w:sz w:val="24"/>
          <w:szCs w:val="24"/>
        </w:rPr>
        <w:t>The objective and scope of the audit”</w:t>
      </w:r>
      <w:r w:rsidR="00361B9B">
        <w:rPr>
          <w:rFonts w:ascii="Arial" w:eastAsia="Arial" w:hAnsi="Arial" w:cs="Arial"/>
          <w:color w:val="000000"/>
          <w:sz w:val="24"/>
          <w:szCs w:val="24"/>
        </w:rPr>
        <w:t xml:space="preserve"> the following is recorded:-</w:t>
      </w:r>
    </w:p>
    <w:p w14:paraId="36CD36C9" w14:textId="77777777" w:rsidR="00361B9B" w:rsidRDefault="00361B9B" w:rsidP="00C30F1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E5B1FFA" w14:textId="72D63C5C" w:rsidR="0052515F" w:rsidRPr="00D648F0" w:rsidRDefault="009E0CA0" w:rsidP="005D29E4">
      <w:pPr>
        <w:pStyle w:val="ListParagraph"/>
        <w:pBdr>
          <w:top w:val="nil"/>
          <w:left w:val="nil"/>
          <w:bottom w:val="nil"/>
          <w:right w:val="nil"/>
          <w:between w:val="nil"/>
        </w:pBdr>
        <w:spacing w:after="0" w:line="276" w:lineRule="auto"/>
        <w:ind w:left="1440" w:firstLine="4"/>
        <w:jc w:val="both"/>
        <w:rPr>
          <w:rFonts w:ascii="Arial" w:eastAsia="Arial" w:hAnsi="Arial" w:cs="Arial"/>
          <w:color w:val="000000"/>
        </w:rPr>
      </w:pPr>
      <w:r w:rsidRPr="009E0CA0">
        <w:rPr>
          <w:rFonts w:ascii="Arial" w:eastAsia="Arial" w:hAnsi="Arial" w:cs="Arial"/>
          <w:i/>
          <w:iCs/>
          <w:color w:val="000000"/>
        </w:rPr>
        <w:t>“Yo</w:t>
      </w:r>
      <w:r w:rsidR="0052515F">
        <w:rPr>
          <w:rFonts w:ascii="Arial" w:eastAsia="Arial" w:hAnsi="Arial" w:cs="Arial"/>
          <w:i/>
          <w:iCs/>
          <w:color w:val="000000"/>
        </w:rPr>
        <w:t xml:space="preserve">u have requested that we audit the annual financial statements of Accentuate Limited and its subsidiaries (the group), which comprise the consolidated and separate statements of financial position as at 30 June 2014 and </w:t>
      </w:r>
      <w:r w:rsidR="00C407A7">
        <w:rPr>
          <w:rFonts w:ascii="Arial" w:eastAsia="Arial" w:hAnsi="Arial" w:cs="Arial"/>
          <w:i/>
          <w:iCs/>
          <w:color w:val="000000"/>
        </w:rPr>
        <w:t>the</w:t>
      </w:r>
      <w:r w:rsidR="0052515F">
        <w:rPr>
          <w:rFonts w:ascii="Arial" w:eastAsia="Arial" w:hAnsi="Arial" w:cs="Arial"/>
          <w:i/>
          <w:iCs/>
          <w:color w:val="000000"/>
        </w:rPr>
        <w:t xml:space="preserve"> consolidated and separate statement</w:t>
      </w:r>
      <w:r w:rsidR="005D29E4">
        <w:rPr>
          <w:rFonts w:ascii="Arial" w:eastAsia="Arial" w:hAnsi="Arial" w:cs="Arial"/>
          <w:i/>
          <w:iCs/>
          <w:color w:val="000000"/>
        </w:rPr>
        <w:t xml:space="preserve"> of comprehensive income, </w:t>
      </w:r>
      <w:r w:rsidR="00C407A7">
        <w:rPr>
          <w:rFonts w:ascii="Arial" w:eastAsia="Arial" w:hAnsi="Arial" w:cs="Arial"/>
          <w:i/>
          <w:iCs/>
          <w:color w:val="000000"/>
        </w:rPr>
        <w:t>the</w:t>
      </w:r>
      <w:r w:rsidR="005D29E4">
        <w:rPr>
          <w:rFonts w:ascii="Arial" w:eastAsia="Arial" w:hAnsi="Arial" w:cs="Arial"/>
          <w:i/>
          <w:iCs/>
          <w:color w:val="000000"/>
        </w:rPr>
        <w:t xml:space="preserve"> consolidated and separate statements of changes </w:t>
      </w:r>
      <w:r w:rsidR="0045699B">
        <w:rPr>
          <w:rFonts w:ascii="Arial" w:eastAsia="Arial" w:hAnsi="Arial" w:cs="Arial"/>
          <w:i/>
          <w:iCs/>
          <w:color w:val="000000"/>
        </w:rPr>
        <w:t>in</w:t>
      </w:r>
      <w:r w:rsidR="005D29E4">
        <w:rPr>
          <w:rFonts w:ascii="Arial" w:eastAsia="Arial" w:hAnsi="Arial" w:cs="Arial"/>
          <w:i/>
          <w:iCs/>
          <w:color w:val="000000"/>
        </w:rPr>
        <w:t xml:space="preserve"> equity and consolidated and </w:t>
      </w:r>
      <w:r w:rsidR="0045699B">
        <w:rPr>
          <w:rFonts w:ascii="Arial" w:eastAsia="Arial" w:hAnsi="Arial" w:cs="Arial"/>
          <w:i/>
          <w:iCs/>
          <w:color w:val="000000"/>
        </w:rPr>
        <w:t xml:space="preserve">separate </w:t>
      </w:r>
      <w:r w:rsidR="005D29E4">
        <w:rPr>
          <w:rFonts w:ascii="Arial" w:eastAsia="Arial" w:hAnsi="Arial" w:cs="Arial"/>
          <w:i/>
          <w:iCs/>
          <w:color w:val="000000"/>
        </w:rPr>
        <w:t>cash</w:t>
      </w:r>
      <w:r w:rsidR="0045699B">
        <w:rPr>
          <w:rFonts w:ascii="Arial" w:eastAsia="Arial" w:hAnsi="Arial" w:cs="Arial"/>
          <w:i/>
          <w:iCs/>
          <w:color w:val="000000"/>
        </w:rPr>
        <w:t xml:space="preserve"> </w:t>
      </w:r>
      <w:r w:rsidR="005D29E4">
        <w:rPr>
          <w:rFonts w:ascii="Arial" w:eastAsia="Arial" w:hAnsi="Arial" w:cs="Arial"/>
          <w:i/>
          <w:iCs/>
          <w:color w:val="000000"/>
        </w:rPr>
        <w:t>flow statements for the year then ended, and a summary of significant accounting policies and other explanatory notes, and the directors’ report.”</w:t>
      </w:r>
      <w:r w:rsidR="00850DA6">
        <w:rPr>
          <w:rFonts w:ascii="Arial" w:eastAsia="Arial" w:hAnsi="Arial" w:cs="Arial"/>
          <w:i/>
          <w:iCs/>
          <w:color w:val="000000"/>
        </w:rPr>
        <w:t>;</w:t>
      </w:r>
      <w:r w:rsidR="00D648F0">
        <w:rPr>
          <w:rFonts w:ascii="Arial" w:eastAsia="Arial" w:hAnsi="Arial" w:cs="Arial"/>
          <w:color w:val="000000"/>
        </w:rPr>
        <w:t xml:space="preserve"> and</w:t>
      </w:r>
    </w:p>
    <w:p w14:paraId="2B275826" w14:textId="1AED4081" w:rsidR="00361B9B" w:rsidRPr="009E0CA0" w:rsidRDefault="0052515F" w:rsidP="00C30F1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r w:rsidR="009E0CA0" w:rsidRPr="009E0CA0">
        <w:rPr>
          <w:rFonts w:ascii="Arial" w:eastAsia="Arial" w:hAnsi="Arial" w:cs="Arial"/>
          <w:color w:val="000000"/>
          <w:sz w:val="24"/>
          <w:szCs w:val="24"/>
        </w:rPr>
        <w:t xml:space="preserve"> </w:t>
      </w:r>
    </w:p>
    <w:p w14:paraId="36600BF9" w14:textId="26FAFFB4" w:rsidR="00C30F12" w:rsidRDefault="00C30F12" w:rsidP="00A77ECF">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12.</w:t>
      </w:r>
      <w:r w:rsidR="00D648F0">
        <w:rPr>
          <w:rFonts w:ascii="Arial" w:eastAsia="Arial" w:hAnsi="Arial" w:cs="Arial"/>
          <w:color w:val="000000"/>
          <w:sz w:val="24"/>
          <w:szCs w:val="24"/>
        </w:rPr>
        <w:t>3</w:t>
      </w:r>
      <w:r>
        <w:rPr>
          <w:rFonts w:ascii="Arial" w:eastAsia="Arial" w:hAnsi="Arial" w:cs="Arial"/>
          <w:color w:val="000000"/>
          <w:sz w:val="24"/>
          <w:szCs w:val="24"/>
        </w:rPr>
        <w:tab/>
      </w:r>
      <w:r w:rsidR="00D648F0">
        <w:rPr>
          <w:rFonts w:ascii="Arial" w:eastAsia="Arial" w:hAnsi="Arial" w:cs="Arial"/>
          <w:color w:val="000000"/>
          <w:sz w:val="24"/>
          <w:szCs w:val="24"/>
        </w:rPr>
        <w:t>i</w:t>
      </w:r>
      <w:r w:rsidR="00A92304">
        <w:rPr>
          <w:rFonts w:ascii="Arial" w:eastAsia="Arial" w:hAnsi="Arial" w:cs="Arial"/>
          <w:color w:val="000000"/>
          <w:sz w:val="24"/>
          <w:szCs w:val="24"/>
        </w:rPr>
        <w:t>n the third paragraph [page 3 thereof] and under the heading “</w:t>
      </w:r>
      <w:r w:rsidR="00A92304">
        <w:rPr>
          <w:rFonts w:ascii="Arial" w:eastAsia="Arial" w:hAnsi="Arial" w:cs="Arial"/>
          <w:i/>
          <w:iCs/>
          <w:color w:val="000000"/>
          <w:sz w:val="24"/>
          <w:szCs w:val="24"/>
        </w:rPr>
        <w:t>Documents issued with the annual financial statements”</w:t>
      </w:r>
      <w:r w:rsidR="00A77ECF">
        <w:rPr>
          <w:rFonts w:ascii="Arial" w:eastAsia="Arial" w:hAnsi="Arial" w:cs="Arial"/>
          <w:color w:val="000000"/>
          <w:sz w:val="24"/>
          <w:szCs w:val="24"/>
        </w:rPr>
        <w:t xml:space="preserve"> it was recorded </w:t>
      </w:r>
      <w:r w:rsidR="00A77ECF">
        <w:rPr>
          <w:rFonts w:ascii="Arial" w:eastAsia="Arial" w:hAnsi="Arial" w:cs="Arial"/>
          <w:i/>
          <w:iCs/>
          <w:color w:val="000000"/>
          <w:sz w:val="24"/>
          <w:szCs w:val="24"/>
        </w:rPr>
        <w:t>verbatim</w:t>
      </w:r>
      <w:r w:rsidR="00A77ECF">
        <w:rPr>
          <w:rFonts w:ascii="Arial" w:eastAsia="Arial" w:hAnsi="Arial" w:cs="Arial"/>
          <w:color w:val="000000"/>
          <w:sz w:val="24"/>
          <w:szCs w:val="24"/>
        </w:rPr>
        <w:t xml:space="preserve"> as follows:-</w:t>
      </w:r>
      <w:r w:rsidR="00850DA6">
        <w:rPr>
          <w:rFonts w:ascii="Arial" w:eastAsia="Arial" w:hAnsi="Arial" w:cs="Arial"/>
          <w:color w:val="000000"/>
          <w:sz w:val="24"/>
          <w:szCs w:val="24"/>
        </w:rPr>
        <w:t xml:space="preserve"> </w:t>
      </w:r>
    </w:p>
    <w:p w14:paraId="3DAB0AB6" w14:textId="77777777" w:rsidR="00A77ECF" w:rsidRDefault="00A77ECF" w:rsidP="00A77ECF">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2A1A17C" w14:textId="2C247005" w:rsidR="00A77ECF" w:rsidRPr="00C9225E" w:rsidRDefault="00A77ECF" w:rsidP="00C9225E">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sidRPr="00C9225E">
        <w:rPr>
          <w:rFonts w:ascii="Arial" w:eastAsia="Arial" w:hAnsi="Arial" w:cs="Arial"/>
          <w:i/>
          <w:iCs/>
          <w:color w:val="000000"/>
        </w:rPr>
        <w:tab/>
        <w:t>“Our audit will only extend to your annual financial statements as defined in the opening paragraph of this Engagement Letter …”</w:t>
      </w:r>
      <w:r w:rsidR="00C9225E" w:rsidRPr="00C9225E">
        <w:rPr>
          <w:rFonts w:ascii="Arial" w:eastAsia="Arial" w:hAnsi="Arial" w:cs="Arial"/>
          <w:i/>
          <w:iCs/>
          <w:color w:val="000000"/>
        </w:rPr>
        <w:t>.</w:t>
      </w:r>
    </w:p>
    <w:p w14:paraId="28E8771E" w14:textId="77777777" w:rsidR="00C30F12" w:rsidRDefault="00C30F12" w:rsidP="00C30F1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D1436FD" w14:textId="4F46FF50" w:rsidR="00AF677B"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r>
      <w:r w:rsidR="00C9225E" w:rsidRPr="00A55D51">
        <w:rPr>
          <w:rFonts w:ascii="Arial" w:eastAsia="Arial" w:hAnsi="Arial" w:cs="Arial"/>
          <w:color w:val="000000"/>
          <w:sz w:val="24"/>
          <w:szCs w:val="24"/>
        </w:rPr>
        <w:t>Annexure POC2 [which only relates to Claim 10] evidence</w:t>
      </w:r>
      <w:r w:rsidR="00D648F0" w:rsidRPr="00A55D51">
        <w:rPr>
          <w:rFonts w:ascii="Arial" w:eastAsia="Arial" w:hAnsi="Arial" w:cs="Arial"/>
          <w:color w:val="000000"/>
          <w:sz w:val="24"/>
          <w:szCs w:val="24"/>
        </w:rPr>
        <w:t>s</w:t>
      </w:r>
      <w:r w:rsidR="00AF677B" w:rsidRPr="00A55D51">
        <w:rPr>
          <w:rFonts w:ascii="Arial" w:eastAsia="Arial" w:hAnsi="Arial" w:cs="Arial"/>
          <w:color w:val="000000"/>
          <w:sz w:val="24"/>
          <w:szCs w:val="24"/>
        </w:rPr>
        <w:t xml:space="preserve">, </w:t>
      </w:r>
      <w:r w:rsidR="00AF677B" w:rsidRPr="00A55D51">
        <w:rPr>
          <w:rFonts w:ascii="Arial" w:eastAsia="Arial" w:hAnsi="Arial" w:cs="Arial"/>
          <w:i/>
          <w:iCs/>
          <w:color w:val="000000"/>
          <w:sz w:val="24"/>
          <w:szCs w:val="24"/>
        </w:rPr>
        <w:t>inter alia</w:t>
      </w:r>
      <w:r w:rsidR="00AF677B" w:rsidRPr="00A55D51">
        <w:rPr>
          <w:rFonts w:ascii="Arial" w:eastAsia="Arial" w:hAnsi="Arial" w:cs="Arial"/>
          <w:color w:val="000000"/>
          <w:sz w:val="24"/>
          <w:szCs w:val="24"/>
        </w:rPr>
        <w:t>, the following:</w:t>
      </w:r>
    </w:p>
    <w:p w14:paraId="7C5320C0" w14:textId="77777777" w:rsidR="00AF677B" w:rsidRDefault="00AF677B" w:rsidP="00AF677B">
      <w:pPr>
        <w:pBdr>
          <w:top w:val="nil"/>
          <w:left w:val="nil"/>
          <w:bottom w:val="nil"/>
          <w:right w:val="nil"/>
          <w:between w:val="nil"/>
        </w:pBdr>
        <w:spacing w:after="0" w:line="360" w:lineRule="auto"/>
        <w:jc w:val="both"/>
        <w:rPr>
          <w:rFonts w:ascii="Arial" w:eastAsia="Arial" w:hAnsi="Arial" w:cs="Arial"/>
          <w:color w:val="000000"/>
          <w:sz w:val="24"/>
          <w:szCs w:val="24"/>
        </w:rPr>
      </w:pPr>
    </w:p>
    <w:p w14:paraId="4930F046" w14:textId="02915169" w:rsidR="00AF677B" w:rsidRDefault="00AF677B" w:rsidP="0052202B">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13.1</w:t>
      </w:r>
      <w:r>
        <w:rPr>
          <w:rFonts w:ascii="Arial" w:eastAsia="Arial" w:hAnsi="Arial" w:cs="Arial"/>
          <w:color w:val="000000"/>
          <w:sz w:val="24"/>
          <w:szCs w:val="24"/>
        </w:rPr>
        <w:tab/>
      </w:r>
      <w:r w:rsidR="003D6BFB">
        <w:rPr>
          <w:rFonts w:ascii="Arial" w:eastAsia="Arial" w:hAnsi="Arial" w:cs="Arial"/>
          <w:color w:val="000000"/>
          <w:sz w:val="24"/>
          <w:szCs w:val="24"/>
        </w:rPr>
        <w:t>i</w:t>
      </w:r>
      <w:r w:rsidR="0052202B">
        <w:rPr>
          <w:rFonts w:ascii="Arial" w:eastAsia="Arial" w:hAnsi="Arial" w:cs="Arial"/>
          <w:color w:val="000000"/>
          <w:sz w:val="24"/>
          <w:szCs w:val="24"/>
        </w:rPr>
        <w:t>t is dated 14 June 2015 and is directed by Mazars to Accentuate.  It was countersigned by Accentuate on 17 July 2015 and also contains a similar Annexure A thereto that identifies the subsidiaries of Accentuate.  Ten such subsidiaries are identified which include</w:t>
      </w:r>
      <w:r w:rsidR="003D6BFB">
        <w:rPr>
          <w:rFonts w:ascii="Arial" w:eastAsia="Arial" w:hAnsi="Arial" w:cs="Arial"/>
          <w:color w:val="000000"/>
          <w:sz w:val="24"/>
          <w:szCs w:val="24"/>
        </w:rPr>
        <w:t>s</w:t>
      </w:r>
      <w:r w:rsidR="0052202B">
        <w:rPr>
          <w:rFonts w:ascii="Arial" w:eastAsia="Arial" w:hAnsi="Arial" w:cs="Arial"/>
          <w:color w:val="000000"/>
          <w:sz w:val="24"/>
          <w:szCs w:val="24"/>
        </w:rPr>
        <w:t xml:space="preserve"> Floorworx;</w:t>
      </w:r>
    </w:p>
    <w:p w14:paraId="5266D643" w14:textId="77777777" w:rsidR="0052202B" w:rsidRDefault="0052202B" w:rsidP="00AF677B">
      <w:pPr>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A7B9424" w14:textId="60908748" w:rsidR="0052202B" w:rsidRDefault="0052202B" w:rsidP="00752D7E">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13.2</w:t>
      </w:r>
      <w:r>
        <w:rPr>
          <w:rFonts w:ascii="Arial" w:eastAsia="Arial" w:hAnsi="Arial" w:cs="Arial"/>
          <w:color w:val="000000"/>
          <w:sz w:val="24"/>
          <w:szCs w:val="24"/>
        </w:rPr>
        <w:tab/>
      </w:r>
      <w:r w:rsidR="00E32878">
        <w:rPr>
          <w:rFonts w:ascii="Arial" w:eastAsia="Arial" w:hAnsi="Arial" w:cs="Arial"/>
          <w:color w:val="000000"/>
          <w:sz w:val="24"/>
          <w:szCs w:val="24"/>
        </w:rPr>
        <w:t>t</w:t>
      </w:r>
      <w:r w:rsidR="0095771E">
        <w:rPr>
          <w:rFonts w:ascii="Arial" w:eastAsia="Arial" w:hAnsi="Arial" w:cs="Arial"/>
          <w:color w:val="000000"/>
          <w:sz w:val="24"/>
          <w:szCs w:val="24"/>
        </w:rPr>
        <w:t xml:space="preserve">he same recordings as per paragraphs 12.2 and 12.3 </w:t>
      </w:r>
      <w:r w:rsidR="0095771E" w:rsidRPr="0095771E">
        <w:rPr>
          <w:rFonts w:ascii="Arial" w:eastAsia="Arial" w:hAnsi="Arial" w:cs="Arial"/>
          <w:i/>
          <w:iCs/>
          <w:color w:val="000000"/>
          <w:sz w:val="24"/>
          <w:szCs w:val="24"/>
        </w:rPr>
        <w:t>supra</w:t>
      </w:r>
      <w:r w:rsidR="0095771E">
        <w:rPr>
          <w:rFonts w:ascii="Arial" w:eastAsia="Arial" w:hAnsi="Arial" w:cs="Arial"/>
          <w:color w:val="000000"/>
          <w:sz w:val="24"/>
          <w:szCs w:val="24"/>
        </w:rPr>
        <w:t xml:space="preserve"> also appear therein a</w:t>
      </w:r>
      <w:r w:rsidR="00E32878">
        <w:rPr>
          <w:rFonts w:ascii="Arial" w:eastAsia="Arial" w:hAnsi="Arial" w:cs="Arial"/>
          <w:color w:val="000000"/>
          <w:sz w:val="24"/>
          <w:szCs w:val="24"/>
        </w:rPr>
        <w:t>nd, as stated, this particular a</w:t>
      </w:r>
      <w:r w:rsidR="0095771E">
        <w:rPr>
          <w:rFonts w:ascii="Arial" w:eastAsia="Arial" w:hAnsi="Arial" w:cs="Arial"/>
          <w:color w:val="000000"/>
          <w:sz w:val="24"/>
          <w:szCs w:val="24"/>
        </w:rPr>
        <w:t>nnexure includes the Standard Terms and Conditions of Business</w:t>
      </w:r>
      <w:r w:rsidR="00307CC0">
        <w:rPr>
          <w:rFonts w:ascii="Arial" w:eastAsia="Arial" w:hAnsi="Arial" w:cs="Arial"/>
          <w:color w:val="000000"/>
          <w:sz w:val="24"/>
          <w:szCs w:val="24"/>
        </w:rPr>
        <w:t xml:space="preserve"> that was incorporated by reference.  In particular, t</w:t>
      </w:r>
      <w:r w:rsidR="009841F6" w:rsidRPr="0095771E">
        <w:rPr>
          <w:rFonts w:ascii="Arial" w:eastAsia="Arial" w:hAnsi="Arial" w:cs="Arial"/>
          <w:color w:val="000000"/>
          <w:sz w:val="24"/>
          <w:szCs w:val="24"/>
        </w:rPr>
        <w:t>he</w:t>
      </w:r>
      <w:r w:rsidR="009841F6">
        <w:rPr>
          <w:rFonts w:ascii="Arial" w:eastAsia="Arial" w:hAnsi="Arial" w:cs="Arial"/>
          <w:color w:val="000000"/>
          <w:sz w:val="24"/>
          <w:szCs w:val="24"/>
        </w:rPr>
        <w:t xml:space="preserve"> second last paragraph under the heading “</w:t>
      </w:r>
      <w:r w:rsidR="009841F6">
        <w:rPr>
          <w:rFonts w:ascii="Arial" w:eastAsia="Arial" w:hAnsi="Arial" w:cs="Arial"/>
          <w:i/>
          <w:iCs/>
          <w:color w:val="000000"/>
          <w:sz w:val="24"/>
          <w:szCs w:val="24"/>
        </w:rPr>
        <w:t>Third Party</w:t>
      </w:r>
      <w:r w:rsidR="003528F2">
        <w:rPr>
          <w:rFonts w:ascii="Arial" w:eastAsia="Arial" w:hAnsi="Arial" w:cs="Arial"/>
          <w:color w:val="000000"/>
          <w:sz w:val="24"/>
          <w:szCs w:val="24"/>
        </w:rPr>
        <w:t>”</w:t>
      </w:r>
      <w:r w:rsidR="00307CC0">
        <w:rPr>
          <w:rStyle w:val="FootnoteReference"/>
          <w:rFonts w:ascii="Arial" w:eastAsia="Arial" w:hAnsi="Arial" w:cs="Arial"/>
          <w:color w:val="000000"/>
          <w:sz w:val="24"/>
          <w:szCs w:val="24"/>
        </w:rPr>
        <w:footnoteReference w:id="5"/>
      </w:r>
      <w:r w:rsidR="003528F2">
        <w:rPr>
          <w:rFonts w:ascii="Arial" w:eastAsia="Arial" w:hAnsi="Arial" w:cs="Arial"/>
          <w:color w:val="000000"/>
          <w:sz w:val="24"/>
          <w:szCs w:val="24"/>
        </w:rPr>
        <w:t xml:space="preserve"> is invoked by Mazars in respect of the first exception on the vague and embarrassing ground</w:t>
      </w:r>
      <w:r w:rsidR="00957951">
        <w:rPr>
          <w:rFonts w:ascii="Arial" w:eastAsia="Arial" w:hAnsi="Arial" w:cs="Arial"/>
          <w:color w:val="000000"/>
          <w:sz w:val="24"/>
          <w:szCs w:val="24"/>
        </w:rPr>
        <w:t>s</w:t>
      </w:r>
      <w:r w:rsidR="003528F2">
        <w:rPr>
          <w:rFonts w:ascii="Arial" w:eastAsia="Arial" w:hAnsi="Arial" w:cs="Arial"/>
          <w:color w:val="000000"/>
          <w:sz w:val="24"/>
          <w:szCs w:val="24"/>
        </w:rPr>
        <w:t xml:space="preserve"> and for this reason I quote same </w:t>
      </w:r>
      <w:r w:rsidR="00213FDC">
        <w:rPr>
          <w:rFonts w:ascii="Arial" w:eastAsia="Arial" w:hAnsi="Arial" w:cs="Arial"/>
          <w:i/>
          <w:iCs/>
          <w:color w:val="000000"/>
          <w:sz w:val="24"/>
          <w:szCs w:val="24"/>
        </w:rPr>
        <w:t>verbatim</w:t>
      </w:r>
      <w:r w:rsidR="00EE5A12">
        <w:rPr>
          <w:rFonts w:ascii="Arial" w:eastAsia="Arial" w:hAnsi="Arial" w:cs="Arial"/>
          <w:color w:val="000000"/>
          <w:sz w:val="24"/>
          <w:szCs w:val="24"/>
        </w:rPr>
        <w:t>:-</w:t>
      </w:r>
    </w:p>
    <w:p w14:paraId="5864748E" w14:textId="77777777" w:rsidR="00752D7E" w:rsidRDefault="00752D7E" w:rsidP="00752D7E">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2619DF2F" w14:textId="2034E11D" w:rsidR="00752D7E" w:rsidRPr="00750255" w:rsidRDefault="00750255" w:rsidP="00752D7E">
      <w:pPr>
        <w:pBdr>
          <w:top w:val="nil"/>
          <w:left w:val="nil"/>
          <w:bottom w:val="nil"/>
          <w:right w:val="nil"/>
          <w:between w:val="nil"/>
        </w:pBdr>
        <w:spacing w:after="0" w:line="360" w:lineRule="auto"/>
        <w:ind w:left="1440" w:hanging="731"/>
        <w:jc w:val="both"/>
        <w:rPr>
          <w:rFonts w:ascii="Arial" w:eastAsia="Arial" w:hAnsi="Arial" w:cs="Arial"/>
          <w:i/>
          <w:iCs/>
          <w:color w:val="000000"/>
        </w:rPr>
      </w:pPr>
      <w:r>
        <w:rPr>
          <w:rFonts w:ascii="Arial" w:eastAsia="Arial" w:hAnsi="Arial" w:cs="Arial"/>
          <w:i/>
          <w:iCs/>
          <w:color w:val="000000"/>
        </w:rPr>
        <w:lastRenderedPageBreak/>
        <w:tab/>
      </w:r>
      <w:r w:rsidR="00213FDC">
        <w:rPr>
          <w:rFonts w:ascii="Arial" w:eastAsia="Arial" w:hAnsi="Arial" w:cs="Arial"/>
          <w:i/>
          <w:iCs/>
          <w:color w:val="000000"/>
        </w:rPr>
        <w:t>“Sa</w:t>
      </w:r>
      <w:r w:rsidR="00520C7C">
        <w:rPr>
          <w:rFonts w:ascii="Arial" w:eastAsia="Arial" w:hAnsi="Arial" w:cs="Arial"/>
          <w:i/>
          <w:iCs/>
          <w:color w:val="000000"/>
        </w:rPr>
        <w:t>v</w:t>
      </w:r>
      <w:r w:rsidR="00213FDC">
        <w:rPr>
          <w:rFonts w:ascii="Arial" w:eastAsia="Arial" w:hAnsi="Arial" w:cs="Arial"/>
          <w:i/>
          <w:iCs/>
          <w:color w:val="000000"/>
        </w:rPr>
        <w:t>e to the extent that these terms and conditions provide benefits to our employees, directors, consultants or contractors, nothing herein is to be construed as creating any rights in favour of any other third parties”</w:t>
      </w:r>
      <w:r w:rsidR="00791BED">
        <w:rPr>
          <w:rFonts w:ascii="Arial" w:eastAsia="Arial" w:hAnsi="Arial" w:cs="Arial"/>
          <w:i/>
          <w:iCs/>
          <w:color w:val="000000"/>
        </w:rPr>
        <w:t>.</w:t>
      </w:r>
    </w:p>
    <w:p w14:paraId="454F8611" w14:textId="77777777" w:rsidR="00752D7E" w:rsidRPr="003528F2" w:rsidRDefault="00752D7E" w:rsidP="00752D7E">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1297A9D" w14:textId="14088F2B" w:rsidR="00E42D8E" w:rsidRPr="00791BED" w:rsidRDefault="00791BED" w:rsidP="00791BED">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791BED">
        <w:rPr>
          <w:rFonts w:ascii="Arial" w:eastAsia="Arial" w:hAnsi="Arial" w:cs="Arial"/>
          <w:b/>
          <w:bCs/>
          <w:color w:val="000000"/>
          <w:sz w:val="24"/>
          <w:szCs w:val="24"/>
        </w:rPr>
        <w:t>Application to strike out – Rule 23(2)</w:t>
      </w:r>
    </w:p>
    <w:p w14:paraId="06414396" w14:textId="77777777" w:rsidR="00791BED" w:rsidRPr="00791BED" w:rsidRDefault="00791BED" w:rsidP="00791BED">
      <w:pPr>
        <w:pBdr>
          <w:top w:val="nil"/>
          <w:left w:val="nil"/>
          <w:bottom w:val="nil"/>
          <w:right w:val="nil"/>
          <w:between w:val="nil"/>
        </w:pBdr>
        <w:spacing w:after="0" w:line="360" w:lineRule="auto"/>
        <w:jc w:val="both"/>
        <w:rPr>
          <w:rFonts w:ascii="Arial" w:eastAsia="Arial" w:hAnsi="Arial" w:cs="Arial"/>
          <w:color w:val="000000"/>
          <w:sz w:val="24"/>
          <w:szCs w:val="24"/>
        </w:rPr>
      </w:pPr>
    </w:p>
    <w:p w14:paraId="31E981A8" w14:textId="2FA130B1" w:rsidR="00E42D8E"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r>
      <w:r w:rsidR="00791BED" w:rsidRPr="00A55D51">
        <w:rPr>
          <w:rFonts w:ascii="Arial" w:eastAsia="Arial" w:hAnsi="Arial" w:cs="Arial"/>
          <w:color w:val="000000"/>
          <w:sz w:val="24"/>
          <w:szCs w:val="24"/>
        </w:rPr>
        <w:t>Rule 23(2) provides as follows:-</w:t>
      </w:r>
    </w:p>
    <w:p w14:paraId="3BDFEA6A" w14:textId="77777777" w:rsidR="00C74BD6" w:rsidRDefault="00C74BD6" w:rsidP="00C74BD6">
      <w:pPr>
        <w:pBdr>
          <w:top w:val="nil"/>
          <w:left w:val="nil"/>
          <w:bottom w:val="nil"/>
          <w:right w:val="nil"/>
          <w:between w:val="nil"/>
        </w:pBdr>
        <w:spacing w:after="0" w:line="360" w:lineRule="auto"/>
        <w:jc w:val="both"/>
        <w:rPr>
          <w:rFonts w:ascii="Arial" w:eastAsia="Arial" w:hAnsi="Arial" w:cs="Arial"/>
          <w:color w:val="000000"/>
          <w:sz w:val="24"/>
          <w:szCs w:val="24"/>
        </w:rPr>
      </w:pPr>
    </w:p>
    <w:p w14:paraId="0BF7AA3A" w14:textId="327BA541" w:rsidR="00C74BD6" w:rsidRDefault="00C74BD6" w:rsidP="009D0E6F">
      <w:pPr>
        <w:pBdr>
          <w:top w:val="nil"/>
          <w:left w:val="nil"/>
          <w:bottom w:val="nil"/>
          <w:right w:val="nil"/>
          <w:between w:val="nil"/>
        </w:pBdr>
        <w:spacing w:after="0" w:line="276" w:lineRule="auto"/>
        <w:ind w:left="1440" w:hanging="731"/>
        <w:jc w:val="both"/>
        <w:rPr>
          <w:rFonts w:ascii="Arial" w:eastAsia="Arial" w:hAnsi="Arial" w:cs="Arial"/>
          <w:i/>
          <w:iCs/>
          <w:color w:val="000000"/>
        </w:rPr>
      </w:pPr>
      <w:r w:rsidRPr="009D0E6F">
        <w:rPr>
          <w:rFonts w:ascii="Arial" w:eastAsia="Arial" w:hAnsi="Arial" w:cs="Arial"/>
          <w:i/>
          <w:iCs/>
          <w:color w:val="000000"/>
        </w:rPr>
        <w:t>“(2)</w:t>
      </w:r>
      <w:r w:rsidRPr="009D0E6F">
        <w:rPr>
          <w:rFonts w:ascii="Arial" w:eastAsia="Arial" w:hAnsi="Arial" w:cs="Arial"/>
          <w:i/>
          <w:iCs/>
          <w:color w:val="000000"/>
        </w:rPr>
        <w:tab/>
        <w:t xml:space="preserve">Where any pleading contains averments which are scandalous, vexatious, or irrelevant, the opposite party may, within the period allowed for filing any subsequent pleading, apply for the striking out of the aforesaid matter, and may set </w:t>
      </w:r>
      <w:r w:rsidR="003B4A6B">
        <w:rPr>
          <w:rFonts w:ascii="Arial" w:eastAsia="Arial" w:hAnsi="Arial" w:cs="Arial"/>
          <w:i/>
          <w:iCs/>
          <w:color w:val="000000"/>
        </w:rPr>
        <w:t xml:space="preserve">such application down for hearing within 5 (five) days of expiry of the time limit for the delivery of an answering affidavit or, if an answering affidavit is delivered, within 5 (five) days </w:t>
      </w:r>
      <w:r w:rsidR="00294138">
        <w:rPr>
          <w:rFonts w:ascii="Arial" w:eastAsia="Arial" w:hAnsi="Arial" w:cs="Arial"/>
          <w:i/>
          <w:iCs/>
          <w:color w:val="000000"/>
        </w:rPr>
        <w:t xml:space="preserve">after the delivery of a replying affidavit or expiry of the time limit for delivery of a replying affidavit, referred to in </w:t>
      </w:r>
      <w:r w:rsidR="00F20C3A">
        <w:rPr>
          <w:rFonts w:ascii="Arial" w:eastAsia="Arial" w:hAnsi="Arial" w:cs="Arial"/>
          <w:i/>
          <w:iCs/>
          <w:color w:val="000000"/>
        </w:rPr>
        <w:t>r</w:t>
      </w:r>
      <w:r w:rsidR="00294138">
        <w:rPr>
          <w:rFonts w:ascii="Arial" w:eastAsia="Arial" w:hAnsi="Arial" w:cs="Arial"/>
          <w:i/>
          <w:iCs/>
          <w:color w:val="000000"/>
        </w:rPr>
        <w:t xml:space="preserve">ule 6(5)(f): </w:t>
      </w:r>
      <w:r w:rsidR="00F20C3A">
        <w:rPr>
          <w:rFonts w:ascii="Arial" w:eastAsia="Arial" w:hAnsi="Arial" w:cs="Arial"/>
          <w:i/>
          <w:iCs/>
          <w:color w:val="000000"/>
        </w:rPr>
        <w:t>P</w:t>
      </w:r>
      <w:r w:rsidR="00294138">
        <w:rPr>
          <w:rFonts w:ascii="Arial" w:eastAsia="Arial" w:hAnsi="Arial" w:cs="Arial"/>
          <w:i/>
          <w:iCs/>
          <w:color w:val="000000"/>
        </w:rPr>
        <w:t>rovided that –</w:t>
      </w:r>
    </w:p>
    <w:p w14:paraId="16187CAC" w14:textId="77777777" w:rsidR="00294138" w:rsidRDefault="00294138" w:rsidP="009D0E6F">
      <w:pPr>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492E8077" w14:textId="5F933260" w:rsidR="00294138" w:rsidRDefault="00294138" w:rsidP="00EF26D0">
      <w:pPr>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(a)</w:t>
      </w:r>
      <w:r>
        <w:rPr>
          <w:rFonts w:ascii="Arial" w:eastAsia="Arial" w:hAnsi="Arial" w:cs="Arial"/>
          <w:i/>
          <w:iCs/>
          <w:color w:val="000000"/>
        </w:rPr>
        <w:tab/>
      </w:r>
      <w:r w:rsidR="00EF26D0">
        <w:rPr>
          <w:rFonts w:ascii="Arial" w:eastAsia="Arial" w:hAnsi="Arial" w:cs="Arial"/>
          <w:i/>
          <w:iCs/>
          <w:color w:val="000000"/>
        </w:rPr>
        <w:t>the party intending to make an application to strike out shall, by notice delivered within 10 (ten) days of receipt of the pleading, afford the party delivering the pleading an opportunity to remove the cause of complaint within 15 (fifteen) days of delivery of the notice of intention to strike out; and</w:t>
      </w:r>
    </w:p>
    <w:p w14:paraId="148D1F2B" w14:textId="77777777" w:rsidR="00EF26D0" w:rsidRDefault="00EF26D0" w:rsidP="009D0E6F">
      <w:pPr>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3E07E3AD" w14:textId="20C60892" w:rsidR="00EF26D0" w:rsidRPr="009D0E6F" w:rsidRDefault="00EF26D0" w:rsidP="00EF26D0">
      <w:pPr>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(b)</w:t>
      </w:r>
      <w:r>
        <w:rPr>
          <w:rFonts w:ascii="Arial" w:eastAsia="Arial" w:hAnsi="Arial" w:cs="Arial"/>
          <w:i/>
          <w:iCs/>
          <w:color w:val="000000"/>
        </w:rPr>
        <w:tab/>
        <w:t>the court shall not grant the application unless it is satisfied that the applicant will be prejudiced in the conduct of any claim or defence if the application is not granted”.</w:t>
      </w:r>
    </w:p>
    <w:p w14:paraId="7D84329E" w14:textId="5396C5C4" w:rsidR="003E233C" w:rsidRDefault="003E233C" w:rsidP="00E44FC7">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2CE2F4AF" w14:textId="3442696A" w:rsidR="003E233C"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r>
      <w:r w:rsidR="00F20C3A" w:rsidRPr="00A55D51">
        <w:rPr>
          <w:rFonts w:ascii="Arial" w:eastAsia="Arial" w:hAnsi="Arial" w:cs="Arial"/>
          <w:color w:val="000000"/>
          <w:sz w:val="24"/>
          <w:szCs w:val="24"/>
        </w:rPr>
        <w:t>Mazars contends</w:t>
      </w:r>
      <w:r w:rsidR="00415120" w:rsidRPr="00A55D51">
        <w:rPr>
          <w:rFonts w:ascii="Arial" w:eastAsia="Arial" w:hAnsi="Arial" w:cs="Arial"/>
          <w:color w:val="000000"/>
          <w:sz w:val="24"/>
          <w:szCs w:val="24"/>
        </w:rPr>
        <w:t xml:space="preserve"> that the content of paragraph 11 of the Amended Particulars of Claim is irrelevant because a conviction in a criminal court is not admissible </w:t>
      </w:r>
      <w:r w:rsidR="00D450A6" w:rsidRPr="00A55D51">
        <w:rPr>
          <w:rFonts w:ascii="Arial" w:eastAsia="Arial" w:hAnsi="Arial" w:cs="Arial"/>
          <w:color w:val="000000"/>
          <w:sz w:val="24"/>
          <w:szCs w:val="24"/>
        </w:rPr>
        <w:t>in</w:t>
      </w:r>
      <w:r w:rsidR="00FD4BC6" w:rsidRPr="00A55D51">
        <w:rPr>
          <w:rFonts w:ascii="Arial" w:eastAsia="Arial" w:hAnsi="Arial" w:cs="Arial"/>
          <w:color w:val="000000"/>
          <w:sz w:val="24"/>
          <w:szCs w:val="24"/>
        </w:rPr>
        <w:t xml:space="preserve"> subsequent</w:t>
      </w:r>
      <w:r w:rsidR="00E32878" w:rsidRPr="00A55D51">
        <w:rPr>
          <w:rFonts w:ascii="Arial" w:eastAsia="Arial" w:hAnsi="Arial" w:cs="Arial"/>
          <w:color w:val="000000"/>
          <w:sz w:val="24"/>
          <w:szCs w:val="24"/>
        </w:rPr>
        <w:t xml:space="preserve"> civil</w:t>
      </w:r>
      <w:r w:rsidR="00FD4BC6" w:rsidRPr="00A55D51">
        <w:rPr>
          <w:rFonts w:ascii="Arial" w:eastAsia="Arial" w:hAnsi="Arial" w:cs="Arial"/>
          <w:color w:val="000000"/>
          <w:sz w:val="24"/>
          <w:szCs w:val="24"/>
        </w:rPr>
        <w:t xml:space="preserve"> proceedings as evidence that the accused committed the offence of which he was convicted.</w:t>
      </w:r>
      <w:r w:rsidR="00534EB6" w:rsidRPr="00A55D51">
        <w:rPr>
          <w:rFonts w:ascii="Arial" w:eastAsia="Arial" w:hAnsi="Arial" w:cs="Arial"/>
          <w:color w:val="000000"/>
          <w:sz w:val="24"/>
          <w:szCs w:val="24"/>
        </w:rPr>
        <w:t xml:space="preserve">  In other words, the averments in paragraph 11 is in direct conflict with the </w:t>
      </w:r>
      <w:r w:rsidR="005B675E" w:rsidRPr="00A55D51">
        <w:rPr>
          <w:rFonts w:ascii="Arial" w:eastAsia="Arial" w:hAnsi="Arial" w:cs="Arial"/>
          <w:color w:val="000000"/>
          <w:sz w:val="24"/>
          <w:szCs w:val="24"/>
        </w:rPr>
        <w:t>r</w:t>
      </w:r>
      <w:r w:rsidR="00534EB6" w:rsidRPr="00A55D51">
        <w:rPr>
          <w:rFonts w:ascii="Arial" w:eastAsia="Arial" w:hAnsi="Arial" w:cs="Arial"/>
          <w:color w:val="000000"/>
          <w:sz w:val="24"/>
          <w:szCs w:val="24"/>
        </w:rPr>
        <w:t xml:space="preserve">ule in </w:t>
      </w:r>
      <w:r w:rsidR="00534EB6" w:rsidRPr="00A55D51">
        <w:rPr>
          <w:rFonts w:ascii="Arial" w:eastAsia="Arial" w:hAnsi="Arial" w:cs="Arial"/>
          <w:i/>
          <w:iCs/>
          <w:color w:val="000000"/>
          <w:sz w:val="24"/>
          <w:szCs w:val="24"/>
        </w:rPr>
        <w:t xml:space="preserve">Hollington v </w:t>
      </w:r>
      <w:r w:rsidR="00BC1BAC" w:rsidRPr="00A55D51">
        <w:rPr>
          <w:rFonts w:ascii="Arial" w:eastAsia="Arial" w:hAnsi="Arial" w:cs="Arial"/>
          <w:i/>
          <w:iCs/>
          <w:color w:val="000000"/>
          <w:sz w:val="24"/>
          <w:szCs w:val="24"/>
        </w:rPr>
        <w:t>H</w:t>
      </w:r>
      <w:r w:rsidR="005B675E" w:rsidRPr="00A55D51">
        <w:rPr>
          <w:rFonts w:ascii="Arial" w:eastAsia="Arial" w:hAnsi="Arial" w:cs="Arial"/>
          <w:i/>
          <w:iCs/>
          <w:color w:val="000000"/>
          <w:sz w:val="24"/>
          <w:szCs w:val="24"/>
        </w:rPr>
        <w:t>e</w:t>
      </w:r>
      <w:r w:rsidR="00BC1BAC" w:rsidRPr="00A55D51">
        <w:rPr>
          <w:rFonts w:ascii="Arial" w:eastAsia="Arial" w:hAnsi="Arial" w:cs="Arial"/>
          <w:i/>
          <w:iCs/>
          <w:color w:val="000000"/>
          <w:sz w:val="24"/>
          <w:szCs w:val="24"/>
        </w:rPr>
        <w:t>wthorn</w:t>
      </w:r>
      <w:r w:rsidR="00E32878" w:rsidRPr="00A55D51">
        <w:rPr>
          <w:rFonts w:ascii="Arial" w:eastAsia="Arial" w:hAnsi="Arial" w:cs="Arial"/>
          <w:i/>
          <w:iCs/>
          <w:color w:val="000000"/>
          <w:sz w:val="24"/>
          <w:szCs w:val="24"/>
        </w:rPr>
        <w:t>e</w:t>
      </w:r>
      <w:r w:rsidR="00BC1BAC" w:rsidRPr="00A55D51">
        <w:rPr>
          <w:rFonts w:ascii="Arial" w:eastAsia="Arial" w:hAnsi="Arial" w:cs="Arial"/>
          <w:i/>
          <w:iCs/>
          <w:color w:val="000000"/>
          <w:sz w:val="24"/>
          <w:szCs w:val="24"/>
        </w:rPr>
        <w:t xml:space="preserve"> and Co Ltd</w:t>
      </w:r>
      <w:r w:rsidR="00BC1BAC" w:rsidRPr="00A55D51">
        <w:rPr>
          <w:rFonts w:ascii="Arial" w:eastAsia="Arial" w:hAnsi="Arial" w:cs="Arial"/>
          <w:color w:val="000000"/>
          <w:sz w:val="24"/>
          <w:szCs w:val="24"/>
        </w:rPr>
        <w:t xml:space="preserve"> [hereinafter “</w:t>
      </w:r>
      <w:r w:rsidR="00BC1BAC" w:rsidRPr="00A55D51">
        <w:rPr>
          <w:rFonts w:ascii="Arial" w:eastAsia="Arial" w:hAnsi="Arial" w:cs="Arial"/>
          <w:i/>
          <w:iCs/>
          <w:color w:val="000000"/>
          <w:sz w:val="24"/>
          <w:szCs w:val="24"/>
        </w:rPr>
        <w:t>Hollington</w:t>
      </w:r>
      <w:r w:rsidR="00BC1BAC" w:rsidRPr="00A55D51">
        <w:rPr>
          <w:rFonts w:ascii="Arial" w:eastAsia="Arial" w:hAnsi="Arial" w:cs="Arial"/>
          <w:color w:val="000000"/>
          <w:sz w:val="24"/>
          <w:szCs w:val="24"/>
        </w:rPr>
        <w:t>”</w:t>
      </w:r>
      <w:r w:rsidR="005664FC" w:rsidRPr="00A55D51">
        <w:rPr>
          <w:rFonts w:ascii="Arial" w:eastAsia="Arial" w:hAnsi="Arial" w:cs="Arial"/>
          <w:color w:val="000000"/>
          <w:sz w:val="24"/>
          <w:szCs w:val="24"/>
        </w:rPr>
        <w:t>]</w:t>
      </w:r>
      <w:r w:rsidR="000028AB">
        <w:rPr>
          <w:rStyle w:val="FootnoteReference"/>
          <w:rFonts w:ascii="Arial" w:eastAsia="Arial" w:hAnsi="Arial" w:cs="Arial"/>
          <w:color w:val="000000"/>
          <w:sz w:val="24"/>
          <w:szCs w:val="24"/>
        </w:rPr>
        <w:footnoteReference w:id="6"/>
      </w:r>
    </w:p>
    <w:p w14:paraId="62914A36" w14:textId="7AD8D46D" w:rsidR="003E233C" w:rsidRDefault="003E233C" w:rsidP="00E44FC7">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50E5565" w14:textId="7A972FE1" w:rsidR="003E233C"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16.</w:t>
      </w:r>
      <w:r>
        <w:rPr>
          <w:rFonts w:ascii="Arial" w:eastAsia="Arial" w:hAnsi="Arial" w:cs="Arial"/>
          <w:color w:val="000000"/>
          <w:sz w:val="24"/>
          <w:szCs w:val="24"/>
        </w:rPr>
        <w:tab/>
      </w:r>
      <w:r w:rsidR="00D911CF" w:rsidRPr="00A55D51">
        <w:rPr>
          <w:rFonts w:ascii="Arial" w:eastAsia="Arial" w:hAnsi="Arial" w:cs="Arial"/>
          <w:color w:val="000000"/>
          <w:sz w:val="24"/>
          <w:szCs w:val="24"/>
        </w:rPr>
        <w:t>Floorworx attempt</w:t>
      </w:r>
      <w:r w:rsidR="00957951" w:rsidRPr="00A55D51">
        <w:rPr>
          <w:rFonts w:ascii="Arial" w:eastAsia="Arial" w:hAnsi="Arial" w:cs="Arial"/>
          <w:color w:val="000000"/>
          <w:sz w:val="24"/>
          <w:szCs w:val="24"/>
        </w:rPr>
        <w:t>s</w:t>
      </w:r>
      <w:r w:rsidR="00D911CF" w:rsidRPr="00A55D51">
        <w:rPr>
          <w:rFonts w:ascii="Arial" w:eastAsia="Arial" w:hAnsi="Arial" w:cs="Arial"/>
          <w:color w:val="000000"/>
          <w:sz w:val="24"/>
          <w:szCs w:val="24"/>
        </w:rPr>
        <w:t xml:space="preserve"> to justify </w:t>
      </w:r>
      <w:r w:rsidR="0096772F" w:rsidRPr="00A55D51">
        <w:rPr>
          <w:rFonts w:ascii="Arial" w:eastAsia="Arial" w:hAnsi="Arial" w:cs="Arial"/>
          <w:color w:val="000000"/>
          <w:sz w:val="24"/>
          <w:szCs w:val="24"/>
        </w:rPr>
        <w:t xml:space="preserve">the inclusion of paragraph 11 by contending that it is not irrelevant </w:t>
      </w:r>
      <w:r w:rsidR="00EF3C6E" w:rsidRPr="00A55D51">
        <w:rPr>
          <w:rFonts w:ascii="Arial" w:eastAsia="Arial" w:hAnsi="Arial" w:cs="Arial"/>
          <w:color w:val="000000"/>
          <w:sz w:val="24"/>
          <w:szCs w:val="24"/>
        </w:rPr>
        <w:t>and</w:t>
      </w:r>
      <w:r w:rsidR="0096772F" w:rsidRPr="00A55D51">
        <w:rPr>
          <w:rFonts w:ascii="Arial" w:eastAsia="Arial" w:hAnsi="Arial" w:cs="Arial"/>
          <w:color w:val="000000"/>
          <w:sz w:val="24"/>
          <w:szCs w:val="24"/>
        </w:rPr>
        <w:t xml:space="preserve"> was in any event pleaded by way of background.</w:t>
      </w:r>
    </w:p>
    <w:p w14:paraId="6CB38B50" w14:textId="77777777" w:rsidR="0096772F" w:rsidRDefault="0096772F" w:rsidP="0096772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2708AC9" w14:textId="0475F479" w:rsidR="0096772F"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17.</w:t>
      </w:r>
      <w:r>
        <w:rPr>
          <w:rFonts w:ascii="Arial" w:eastAsia="Arial" w:hAnsi="Arial" w:cs="Arial"/>
          <w:color w:val="000000"/>
          <w:sz w:val="24"/>
          <w:szCs w:val="24"/>
        </w:rPr>
        <w:tab/>
      </w:r>
      <w:r w:rsidR="000D3086" w:rsidRPr="00A55D51">
        <w:rPr>
          <w:rFonts w:ascii="Arial" w:eastAsia="Arial" w:hAnsi="Arial" w:cs="Arial"/>
          <w:color w:val="000000"/>
          <w:sz w:val="24"/>
          <w:szCs w:val="24"/>
        </w:rPr>
        <w:t>“</w:t>
      </w:r>
      <w:r w:rsidR="000D3086" w:rsidRPr="00A55D51">
        <w:rPr>
          <w:rFonts w:ascii="Arial" w:eastAsia="Arial" w:hAnsi="Arial" w:cs="Arial"/>
          <w:i/>
          <w:iCs/>
          <w:color w:val="000000"/>
          <w:sz w:val="24"/>
          <w:szCs w:val="24"/>
        </w:rPr>
        <w:t>Irrelevant matter</w:t>
      </w:r>
      <w:r w:rsidR="000D3086" w:rsidRPr="00A55D51">
        <w:rPr>
          <w:rFonts w:ascii="Arial" w:eastAsia="Arial" w:hAnsi="Arial" w:cs="Arial"/>
          <w:color w:val="000000"/>
          <w:sz w:val="24"/>
          <w:szCs w:val="24"/>
        </w:rPr>
        <w:t>” has been defined in this context as meaning allegations that do not apply to the matter in hand and do not contribute in one way or the other to a decision of such matter</w:t>
      </w:r>
      <w:r w:rsidR="00311296" w:rsidRPr="00A55D51">
        <w:rPr>
          <w:rFonts w:ascii="Arial" w:eastAsia="Arial" w:hAnsi="Arial" w:cs="Arial"/>
          <w:color w:val="000000"/>
          <w:sz w:val="24"/>
          <w:szCs w:val="24"/>
        </w:rPr>
        <w:t>.  I</w:t>
      </w:r>
      <w:r w:rsidR="00EF3C6E" w:rsidRPr="00A55D51">
        <w:rPr>
          <w:rFonts w:ascii="Arial" w:eastAsia="Arial" w:hAnsi="Arial" w:cs="Arial"/>
          <w:color w:val="000000"/>
          <w:sz w:val="24"/>
          <w:szCs w:val="24"/>
        </w:rPr>
        <w:t>n other words,</w:t>
      </w:r>
      <w:r w:rsidR="00311296" w:rsidRPr="00A55D51">
        <w:rPr>
          <w:rFonts w:ascii="Arial" w:eastAsia="Arial" w:hAnsi="Arial" w:cs="Arial"/>
          <w:color w:val="000000"/>
          <w:sz w:val="24"/>
          <w:szCs w:val="24"/>
        </w:rPr>
        <w:t xml:space="preserve"> allegations which are irrelevant to </w:t>
      </w:r>
      <w:r w:rsidR="00311296" w:rsidRPr="00A55D51">
        <w:rPr>
          <w:rFonts w:ascii="Arial" w:eastAsia="Arial" w:hAnsi="Arial" w:cs="Arial"/>
          <w:color w:val="000000"/>
          <w:sz w:val="24"/>
          <w:szCs w:val="24"/>
        </w:rPr>
        <w:lastRenderedPageBreak/>
        <w:t>the issue</w:t>
      </w:r>
      <w:r w:rsidR="00311296">
        <w:rPr>
          <w:rStyle w:val="FootnoteReference"/>
          <w:rFonts w:ascii="Arial" w:eastAsia="Arial" w:hAnsi="Arial" w:cs="Arial"/>
          <w:color w:val="000000"/>
          <w:sz w:val="24"/>
          <w:szCs w:val="24"/>
        </w:rPr>
        <w:footnoteReference w:id="7"/>
      </w:r>
      <w:r w:rsidR="00311296" w:rsidRPr="00A55D51">
        <w:rPr>
          <w:rFonts w:ascii="Arial" w:eastAsia="Arial" w:hAnsi="Arial" w:cs="Arial"/>
          <w:color w:val="000000"/>
          <w:sz w:val="24"/>
          <w:szCs w:val="24"/>
        </w:rPr>
        <w:t>.</w:t>
      </w:r>
      <w:r w:rsidR="00DA4A06" w:rsidRPr="00A55D51">
        <w:rPr>
          <w:rFonts w:ascii="Arial" w:eastAsia="Arial" w:hAnsi="Arial" w:cs="Arial"/>
          <w:color w:val="000000"/>
          <w:sz w:val="24"/>
          <w:szCs w:val="24"/>
        </w:rPr>
        <w:t xml:space="preserve"> All that concerns a court in applications of this nature is whether the </w:t>
      </w:r>
      <w:r w:rsidR="00537126" w:rsidRPr="00A55D51">
        <w:rPr>
          <w:rFonts w:ascii="Arial" w:eastAsia="Arial" w:hAnsi="Arial" w:cs="Arial"/>
          <w:color w:val="000000"/>
          <w:sz w:val="24"/>
          <w:szCs w:val="24"/>
        </w:rPr>
        <w:t>passage</w:t>
      </w:r>
      <w:r w:rsidR="00D81FC9" w:rsidRPr="00A55D51">
        <w:rPr>
          <w:rFonts w:ascii="Arial" w:eastAsia="Arial" w:hAnsi="Arial" w:cs="Arial"/>
          <w:color w:val="000000"/>
          <w:sz w:val="24"/>
          <w:szCs w:val="24"/>
        </w:rPr>
        <w:t xml:space="preserve"> that</w:t>
      </w:r>
      <w:r w:rsidR="00DA4A06" w:rsidRPr="00A55D51">
        <w:rPr>
          <w:rFonts w:ascii="Arial" w:eastAsia="Arial" w:hAnsi="Arial" w:cs="Arial"/>
          <w:color w:val="000000"/>
          <w:sz w:val="24"/>
          <w:szCs w:val="24"/>
        </w:rPr>
        <w:t xml:space="preserve"> is sought to be struck out is relevant in order to raise an issue on the pleadings.  Another test which may be applied, is whether or not evidence would be admissible at </w:t>
      </w:r>
      <w:r w:rsidR="00D81FC9" w:rsidRPr="00A55D51">
        <w:rPr>
          <w:rFonts w:ascii="Arial" w:eastAsia="Arial" w:hAnsi="Arial" w:cs="Arial"/>
          <w:color w:val="000000"/>
          <w:sz w:val="24"/>
          <w:szCs w:val="24"/>
        </w:rPr>
        <w:t>the</w:t>
      </w:r>
      <w:r w:rsidR="00DA4A06" w:rsidRPr="00A55D51">
        <w:rPr>
          <w:rFonts w:ascii="Arial" w:eastAsia="Arial" w:hAnsi="Arial" w:cs="Arial"/>
          <w:color w:val="000000"/>
          <w:sz w:val="24"/>
          <w:szCs w:val="24"/>
        </w:rPr>
        <w:t xml:space="preserve"> trial to prove certain facts: if evidence would be admissible, those facts cannot be regarded as irrelevant when pleaded</w:t>
      </w:r>
      <w:r w:rsidR="00E534B0">
        <w:rPr>
          <w:rStyle w:val="FootnoteReference"/>
          <w:rFonts w:ascii="Arial" w:eastAsia="Arial" w:hAnsi="Arial" w:cs="Arial"/>
          <w:color w:val="000000"/>
          <w:sz w:val="24"/>
          <w:szCs w:val="24"/>
        </w:rPr>
        <w:footnoteReference w:id="8"/>
      </w:r>
      <w:r w:rsidR="006F27B0" w:rsidRPr="00A55D51">
        <w:rPr>
          <w:rFonts w:ascii="Arial" w:eastAsia="Arial" w:hAnsi="Arial" w:cs="Arial"/>
          <w:color w:val="000000"/>
          <w:sz w:val="24"/>
          <w:szCs w:val="24"/>
        </w:rPr>
        <w:t>.  Irrelevant matter pleaded as history will not be struck out</w:t>
      </w:r>
      <w:r w:rsidR="00DE45F7">
        <w:rPr>
          <w:rStyle w:val="FootnoteReference"/>
          <w:rFonts w:ascii="Arial" w:eastAsia="Arial" w:hAnsi="Arial" w:cs="Arial"/>
          <w:color w:val="000000"/>
          <w:sz w:val="24"/>
          <w:szCs w:val="24"/>
        </w:rPr>
        <w:footnoteReference w:id="9"/>
      </w:r>
      <w:r w:rsidR="00BD2CE9" w:rsidRPr="00A55D51">
        <w:rPr>
          <w:rFonts w:ascii="Arial" w:eastAsia="Arial" w:hAnsi="Arial" w:cs="Arial"/>
          <w:color w:val="000000"/>
          <w:sz w:val="24"/>
          <w:szCs w:val="24"/>
        </w:rPr>
        <w:t>.  On the other hand, facts state</w:t>
      </w:r>
      <w:r w:rsidR="00E32878" w:rsidRPr="00A55D51">
        <w:rPr>
          <w:rFonts w:ascii="Arial" w:eastAsia="Arial" w:hAnsi="Arial" w:cs="Arial"/>
          <w:color w:val="000000"/>
          <w:sz w:val="24"/>
          <w:szCs w:val="24"/>
        </w:rPr>
        <w:t>d</w:t>
      </w:r>
      <w:r w:rsidR="00BD2CE9" w:rsidRPr="00A55D51">
        <w:rPr>
          <w:rFonts w:ascii="Arial" w:eastAsia="Arial" w:hAnsi="Arial" w:cs="Arial"/>
          <w:color w:val="000000"/>
          <w:sz w:val="24"/>
          <w:szCs w:val="24"/>
        </w:rPr>
        <w:t xml:space="preserve"> not for the purpose of supporting any claim for relief, but in anticipation of a possible defence, will be struck out. </w:t>
      </w:r>
      <w:r w:rsidR="00662295" w:rsidRPr="00A55D51">
        <w:rPr>
          <w:rFonts w:ascii="Arial" w:eastAsia="Arial" w:hAnsi="Arial" w:cs="Arial"/>
          <w:color w:val="000000"/>
          <w:sz w:val="24"/>
          <w:szCs w:val="24"/>
        </w:rPr>
        <w:t>It is also apparent that in applications of this nature that the key consideration is that of prejudice. If the court is in doubt as to the relevancy of any matter, such matter will not be struck out</w:t>
      </w:r>
      <w:r w:rsidR="00314891">
        <w:rPr>
          <w:rStyle w:val="FootnoteReference"/>
          <w:rFonts w:ascii="Arial" w:eastAsia="Arial" w:hAnsi="Arial" w:cs="Arial"/>
          <w:color w:val="000000"/>
          <w:sz w:val="24"/>
          <w:szCs w:val="24"/>
        </w:rPr>
        <w:footnoteReference w:id="10"/>
      </w:r>
      <w:r w:rsidR="00BA1389" w:rsidRPr="00A55D51">
        <w:rPr>
          <w:rFonts w:ascii="Arial" w:eastAsia="Arial" w:hAnsi="Arial" w:cs="Arial"/>
          <w:color w:val="000000"/>
          <w:sz w:val="24"/>
          <w:szCs w:val="24"/>
        </w:rPr>
        <w:t>.  Finally, a decision whether to strike out or not is discretionary in nature</w:t>
      </w:r>
      <w:r w:rsidR="002C61A4">
        <w:rPr>
          <w:rStyle w:val="FootnoteReference"/>
          <w:rFonts w:ascii="Arial" w:eastAsia="Arial" w:hAnsi="Arial" w:cs="Arial"/>
          <w:color w:val="000000"/>
          <w:sz w:val="24"/>
          <w:szCs w:val="24"/>
        </w:rPr>
        <w:footnoteReference w:id="11"/>
      </w:r>
      <w:r w:rsidR="002C61A4" w:rsidRPr="00A55D51">
        <w:rPr>
          <w:rFonts w:ascii="Arial" w:eastAsia="Arial" w:hAnsi="Arial" w:cs="Arial"/>
          <w:color w:val="000000"/>
          <w:sz w:val="24"/>
          <w:szCs w:val="24"/>
        </w:rPr>
        <w:t>.</w:t>
      </w:r>
    </w:p>
    <w:p w14:paraId="7803B349" w14:textId="77777777" w:rsidR="002C61A4" w:rsidRDefault="002C61A4" w:rsidP="002C61A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6DA88F0" w14:textId="1D52E615" w:rsidR="002C61A4"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18.</w:t>
      </w:r>
      <w:r>
        <w:rPr>
          <w:rFonts w:ascii="Arial" w:eastAsia="Arial" w:hAnsi="Arial" w:cs="Arial"/>
          <w:color w:val="000000"/>
          <w:sz w:val="24"/>
          <w:szCs w:val="24"/>
        </w:rPr>
        <w:tab/>
      </w:r>
      <w:r w:rsidR="000A79DC" w:rsidRPr="00A55D51">
        <w:rPr>
          <w:rFonts w:ascii="Arial" w:eastAsia="Arial" w:hAnsi="Arial" w:cs="Arial"/>
          <w:color w:val="000000"/>
          <w:sz w:val="24"/>
          <w:szCs w:val="24"/>
        </w:rPr>
        <w:t>Subject to certain exceptions, opinion evidence is not admissible in a court of law.  A consequence thereof</w:t>
      </w:r>
      <w:r w:rsidR="00043876" w:rsidRPr="00A55D51">
        <w:rPr>
          <w:rFonts w:ascii="Arial" w:eastAsia="Arial" w:hAnsi="Arial" w:cs="Arial"/>
          <w:color w:val="000000"/>
          <w:sz w:val="24"/>
          <w:szCs w:val="24"/>
        </w:rPr>
        <w:t xml:space="preserve"> is the rule that a conviction in a criminal court is not admissible in subsequent civil proceedings as evidence that the accused committed the offence of which he was convicted.  This is the rule known </w:t>
      </w:r>
      <w:r w:rsidR="00BC0F79" w:rsidRPr="00A55D51">
        <w:rPr>
          <w:rFonts w:ascii="Arial" w:eastAsia="Arial" w:hAnsi="Arial" w:cs="Arial"/>
          <w:color w:val="000000"/>
          <w:sz w:val="24"/>
          <w:szCs w:val="24"/>
        </w:rPr>
        <w:t xml:space="preserve">as </w:t>
      </w:r>
      <w:r w:rsidR="00BC0F79" w:rsidRPr="00A55D51">
        <w:rPr>
          <w:rFonts w:ascii="Arial" w:eastAsia="Arial" w:hAnsi="Arial" w:cs="Arial"/>
          <w:i/>
          <w:iCs/>
          <w:color w:val="000000"/>
          <w:sz w:val="24"/>
          <w:szCs w:val="24"/>
        </w:rPr>
        <w:t>Hollington v Hewthorn</w:t>
      </w:r>
      <w:r w:rsidR="00FA5458" w:rsidRPr="00A55D51">
        <w:rPr>
          <w:rFonts w:ascii="Arial" w:eastAsia="Arial" w:hAnsi="Arial" w:cs="Arial"/>
          <w:i/>
          <w:iCs/>
          <w:color w:val="000000"/>
          <w:sz w:val="24"/>
          <w:szCs w:val="24"/>
        </w:rPr>
        <w:t>e</w:t>
      </w:r>
      <w:r w:rsidR="00BC0F79" w:rsidRPr="00A55D51">
        <w:rPr>
          <w:rFonts w:ascii="Arial" w:eastAsia="Arial" w:hAnsi="Arial" w:cs="Arial"/>
          <w:color w:val="000000"/>
          <w:sz w:val="24"/>
          <w:szCs w:val="24"/>
        </w:rPr>
        <w:t xml:space="preserve">.  </w:t>
      </w:r>
      <w:r w:rsidR="00210D34" w:rsidRPr="00A55D51">
        <w:rPr>
          <w:rFonts w:ascii="Arial" w:eastAsia="Arial" w:hAnsi="Arial" w:cs="Arial"/>
          <w:i/>
          <w:iCs/>
          <w:color w:val="000000"/>
          <w:sz w:val="24"/>
          <w:szCs w:val="24"/>
        </w:rPr>
        <w:t>Hollington</w:t>
      </w:r>
      <w:r w:rsidR="00BC0F79" w:rsidRPr="00A55D51">
        <w:rPr>
          <w:rFonts w:ascii="Arial" w:eastAsia="Arial" w:hAnsi="Arial" w:cs="Arial"/>
          <w:color w:val="000000"/>
          <w:sz w:val="24"/>
          <w:szCs w:val="24"/>
        </w:rPr>
        <w:t xml:space="preserve"> </w:t>
      </w:r>
      <w:r w:rsidR="00210D34" w:rsidRPr="00A55D51">
        <w:rPr>
          <w:rFonts w:ascii="Arial" w:eastAsia="Arial" w:hAnsi="Arial" w:cs="Arial"/>
          <w:color w:val="000000"/>
          <w:sz w:val="24"/>
          <w:szCs w:val="24"/>
        </w:rPr>
        <w:t xml:space="preserve">concerned </w:t>
      </w:r>
      <w:r w:rsidR="00BC0F79" w:rsidRPr="00A55D51">
        <w:rPr>
          <w:rFonts w:ascii="Arial" w:eastAsia="Arial" w:hAnsi="Arial" w:cs="Arial"/>
          <w:color w:val="000000"/>
          <w:sz w:val="24"/>
          <w:szCs w:val="24"/>
        </w:rPr>
        <w:t xml:space="preserve">an action for damages </w:t>
      </w:r>
      <w:r w:rsidR="00210D34" w:rsidRPr="00A55D51">
        <w:rPr>
          <w:rFonts w:ascii="Arial" w:eastAsia="Arial" w:hAnsi="Arial" w:cs="Arial"/>
          <w:color w:val="000000"/>
          <w:sz w:val="24"/>
          <w:szCs w:val="24"/>
        </w:rPr>
        <w:t>a</w:t>
      </w:r>
      <w:r w:rsidR="00BC0F79" w:rsidRPr="00A55D51">
        <w:rPr>
          <w:rFonts w:ascii="Arial" w:eastAsia="Arial" w:hAnsi="Arial" w:cs="Arial"/>
          <w:color w:val="000000"/>
          <w:sz w:val="24"/>
          <w:szCs w:val="24"/>
        </w:rPr>
        <w:t xml:space="preserve">rising out of </w:t>
      </w:r>
      <w:r w:rsidR="00B41839" w:rsidRPr="00A55D51">
        <w:rPr>
          <w:rFonts w:ascii="Arial" w:eastAsia="Arial" w:hAnsi="Arial" w:cs="Arial"/>
          <w:color w:val="000000"/>
          <w:sz w:val="24"/>
          <w:szCs w:val="24"/>
        </w:rPr>
        <w:t xml:space="preserve">a </w:t>
      </w:r>
      <w:r w:rsidR="00BC0F79" w:rsidRPr="00A55D51">
        <w:rPr>
          <w:rFonts w:ascii="Arial" w:eastAsia="Arial" w:hAnsi="Arial" w:cs="Arial"/>
          <w:color w:val="000000"/>
          <w:sz w:val="24"/>
          <w:szCs w:val="24"/>
        </w:rPr>
        <w:t>collision between motor cars, which was brought by the plaintiff on</w:t>
      </w:r>
      <w:r w:rsidR="00491802" w:rsidRPr="00A55D51">
        <w:rPr>
          <w:rFonts w:ascii="Arial" w:eastAsia="Arial" w:hAnsi="Arial" w:cs="Arial"/>
          <w:color w:val="000000"/>
          <w:sz w:val="24"/>
          <w:szCs w:val="24"/>
        </w:rPr>
        <w:t xml:space="preserve"> behalf of his son’s estate</w:t>
      </w:r>
      <w:r w:rsidR="00B41839" w:rsidRPr="00A55D51">
        <w:rPr>
          <w:rFonts w:ascii="Arial" w:eastAsia="Arial" w:hAnsi="Arial" w:cs="Arial"/>
          <w:color w:val="000000"/>
          <w:sz w:val="24"/>
          <w:szCs w:val="24"/>
        </w:rPr>
        <w:t>.</w:t>
      </w:r>
      <w:r w:rsidR="00491802" w:rsidRPr="00A55D51">
        <w:rPr>
          <w:rFonts w:ascii="Arial" w:eastAsia="Arial" w:hAnsi="Arial" w:cs="Arial"/>
          <w:color w:val="000000"/>
          <w:sz w:val="24"/>
          <w:szCs w:val="24"/>
        </w:rPr>
        <w:t xml:space="preserve"> </w:t>
      </w:r>
      <w:r w:rsidR="00B41839" w:rsidRPr="00A55D51">
        <w:rPr>
          <w:rFonts w:ascii="Arial" w:eastAsia="Arial" w:hAnsi="Arial" w:cs="Arial"/>
          <w:color w:val="000000"/>
          <w:sz w:val="24"/>
          <w:szCs w:val="24"/>
        </w:rPr>
        <w:t>T</w:t>
      </w:r>
      <w:r w:rsidR="00491802" w:rsidRPr="00A55D51">
        <w:rPr>
          <w:rFonts w:ascii="Arial" w:eastAsia="Arial" w:hAnsi="Arial" w:cs="Arial"/>
          <w:color w:val="000000"/>
          <w:sz w:val="24"/>
          <w:szCs w:val="24"/>
        </w:rPr>
        <w:t xml:space="preserve">he plaintiff was unable to produce any direct evidence of negligence.  This was owing to his son’s death from injuries.  The plaintiff accordingly tendered </w:t>
      </w:r>
      <w:r w:rsidR="000705EE" w:rsidRPr="00A55D51">
        <w:rPr>
          <w:rFonts w:ascii="Arial" w:eastAsia="Arial" w:hAnsi="Arial" w:cs="Arial"/>
          <w:color w:val="000000"/>
          <w:sz w:val="24"/>
          <w:szCs w:val="24"/>
        </w:rPr>
        <w:t xml:space="preserve">instead the record of the other driver’s convictions for careless driving in a prosecution which followed the same accident, but the trial judge and the court of appeal ruled that it was inadmissible.  It was held, </w:t>
      </w:r>
      <w:r w:rsidR="000705EE" w:rsidRPr="00A55D51">
        <w:rPr>
          <w:rFonts w:ascii="Arial" w:eastAsia="Arial" w:hAnsi="Arial" w:cs="Arial"/>
          <w:i/>
          <w:iCs/>
          <w:color w:val="000000"/>
          <w:sz w:val="24"/>
          <w:szCs w:val="24"/>
        </w:rPr>
        <w:t>inter alia</w:t>
      </w:r>
      <w:r w:rsidR="000705EE" w:rsidRPr="00A55D51">
        <w:rPr>
          <w:rFonts w:ascii="Arial" w:eastAsia="Arial" w:hAnsi="Arial" w:cs="Arial"/>
          <w:color w:val="000000"/>
          <w:sz w:val="24"/>
          <w:szCs w:val="24"/>
        </w:rPr>
        <w:t>, as follows:-</w:t>
      </w:r>
    </w:p>
    <w:p w14:paraId="582B2C76" w14:textId="77777777" w:rsidR="000705EE" w:rsidRDefault="000705EE" w:rsidP="000705E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CF02CFB" w14:textId="71DE72CF" w:rsidR="000705EE" w:rsidRPr="00F35A4B" w:rsidRDefault="000705EE" w:rsidP="006E1EA2">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F35A4B">
        <w:rPr>
          <w:rFonts w:ascii="Arial" w:eastAsia="Arial" w:hAnsi="Arial" w:cs="Arial"/>
          <w:i/>
          <w:iCs/>
          <w:color w:val="000000"/>
        </w:rPr>
        <w:t>“</w:t>
      </w:r>
      <w:r w:rsidR="00F35A4B" w:rsidRPr="00F35A4B">
        <w:rPr>
          <w:rFonts w:ascii="Arial" w:eastAsia="Arial" w:hAnsi="Arial" w:cs="Arial"/>
          <w:i/>
          <w:iCs/>
          <w:color w:val="000000"/>
        </w:rPr>
        <w:t xml:space="preserve">… </w:t>
      </w:r>
      <w:r w:rsidR="00D9562D">
        <w:rPr>
          <w:rFonts w:ascii="Arial" w:eastAsia="Arial" w:hAnsi="Arial" w:cs="Arial"/>
          <w:i/>
          <w:iCs/>
          <w:color w:val="000000"/>
        </w:rPr>
        <w:t>I</w:t>
      </w:r>
      <w:r w:rsidR="00F35A4B" w:rsidRPr="00F35A4B">
        <w:rPr>
          <w:rFonts w:ascii="Arial" w:eastAsia="Arial" w:hAnsi="Arial" w:cs="Arial"/>
          <w:i/>
          <w:iCs/>
          <w:color w:val="000000"/>
        </w:rPr>
        <w:t xml:space="preserve">n truth the </w:t>
      </w:r>
      <w:r w:rsidR="00B84344">
        <w:rPr>
          <w:rFonts w:ascii="Arial" w:eastAsia="Arial" w:hAnsi="Arial" w:cs="Arial"/>
          <w:i/>
          <w:iCs/>
          <w:color w:val="000000"/>
        </w:rPr>
        <w:t xml:space="preserve">conviction is only proof that another court considered that the defendant was guilty of careless driving.  Even were it proved that it was the accident that led to the prosecution, the conviction proves no more than what has just been stated.  The court which </w:t>
      </w:r>
      <w:r w:rsidR="00B84344">
        <w:rPr>
          <w:rFonts w:ascii="Arial" w:eastAsia="Arial" w:hAnsi="Arial" w:cs="Arial"/>
          <w:i/>
          <w:iCs/>
          <w:color w:val="000000"/>
        </w:rPr>
        <w:lastRenderedPageBreak/>
        <w:t xml:space="preserve">has to try the claim for damages knows nothing of the evidence that was before the criminal court.  It cannot know what arguments were addressed to it, or what influenced the court in arriving at its decision.  Moreover, the issue in the criminal proceedings is not identical with that raised in the claim for damages.  Assume that evidence is called to prove that the defendant did collide with the plaintiff, that has only </w:t>
      </w:r>
      <w:r w:rsidR="002558E9">
        <w:rPr>
          <w:rFonts w:ascii="Arial" w:eastAsia="Arial" w:hAnsi="Arial" w:cs="Arial"/>
          <w:i/>
          <w:iCs/>
          <w:color w:val="000000"/>
        </w:rPr>
        <w:t>evidential value on the issue whether the defendant, by driving carelessly, caused damage to the plaintiff.  To link up or identify the careless driving with the accident, it would be necessary in most cases, probably in all, to call substantially the same evidence before the court trying the claim for personal injuries, and so proof of the conviction by itself would amount to no more than proof tha</w:t>
      </w:r>
      <w:r w:rsidR="00430E7D">
        <w:rPr>
          <w:rFonts w:ascii="Arial" w:eastAsia="Arial" w:hAnsi="Arial" w:cs="Arial"/>
          <w:i/>
          <w:iCs/>
          <w:color w:val="000000"/>
        </w:rPr>
        <w:t>t the criminal court came to the conclusion that the defendant was guilty.  It is admitted that the conviction is</w:t>
      </w:r>
      <w:r w:rsidR="001803D0">
        <w:rPr>
          <w:rFonts w:ascii="Arial" w:eastAsia="Arial" w:hAnsi="Arial" w:cs="Arial"/>
          <w:i/>
          <w:iCs/>
          <w:color w:val="000000"/>
        </w:rPr>
        <w:t xml:space="preserve"> in</w:t>
      </w:r>
      <w:r w:rsidR="00430E7D">
        <w:rPr>
          <w:rFonts w:ascii="Arial" w:eastAsia="Arial" w:hAnsi="Arial" w:cs="Arial"/>
          <w:i/>
          <w:iCs/>
          <w:color w:val="000000"/>
        </w:rPr>
        <w:t xml:space="preserve"> no sense an </w:t>
      </w:r>
      <w:r w:rsidR="001803D0">
        <w:rPr>
          <w:rFonts w:ascii="Arial" w:eastAsia="Arial" w:hAnsi="Arial" w:cs="Arial"/>
          <w:i/>
          <w:iCs/>
          <w:color w:val="000000"/>
        </w:rPr>
        <w:t>e</w:t>
      </w:r>
      <w:r w:rsidR="00430E7D">
        <w:rPr>
          <w:rFonts w:ascii="Arial" w:eastAsia="Arial" w:hAnsi="Arial" w:cs="Arial"/>
          <w:i/>
          <w:iCs/>
          <w:color w:val="000000"/>
        </w:rPr>
        <w:t>stoppel, but only evidence to which the court or a jury can attach such weight as they think proper, but it is obvious that once the defendant challenges the propriety of the conviction the court, on the subsequent trial, would have to retr</w:t>
      </w:r>
      <w:r w:rsidR="001803D0">
        <w:rPr>
          <w:rFonts w:ascii="Arial" w:eastAsia="Arial" w:hAnsi="Arial" w:cs="Arial"/>
          <w:i/>
          <w:iCs/>
          <w:color w:val="000000"/>
        </w:rPr>
        <w:t>y</w:t>
      </w:r>
      <w:r w:rsidR="00430E7D">
        <w:rPr>
          <w:rFonts w:ascii="Arial" w:eastAsia="Arial" w:hAnsi="Arial" w:cs="Arial"/>
          <w:i/>
          <w:iCs/>
          <w:color w:val="000000"/>
        </w:rPr>
        <w:t xml:space="preserve"> the criminal case to find out what weight ought to be attached to the result.  It frequently happens th</w:t>
      </w:r>
      <w:r w:rsidR="001803D0">
        <w:rPr>
          <w:rFonts w:ascii="Arial" w:eastAsia="Arial" w:hAnsi="Arial" w:cs="Arial"/>
          <w:i/>
          <w:iCs/>
          <w:color w:val="000000"/>
        </w:rPr>
        <w:t>at a</w:t>
      </w:r>
      <w:r w:rsidR="00430E7D">
        <w:rPr>
          <w:rFonts w:ascii="Arial" w:eastAsia="Arial" w:hAnsi="Arial" w:cs="Arial"/>
          <w:i/>
          <w:iCs/>
          <w:color w:val="000000"/>
        </w:rPr>
        <w:t xml:space="preserve"> bystander has complete and full view of an accident.  It is beyond question</w:t>
      </w:r>
      <w:r w:rsidR="0086040C">
        <w:rPr>
          <w:rFonts w:ascii="Arial" w:eastAsia="Arial" w:hAnsi="Arial" w:cs="Arial"/>
          <w:i/>
          <w:iCs/>
          <w:color w:val="000000"/>
        </w:rPr>
        <w:t xml:space="preserve"> that</w:t>
      </w:r>
      <w:r w:rsidR="00430E7D">
        <w:rPr>
          <w:rFonts w:ascii="Arial" w:eastAsia="Arial" w:hAnsi="Arial" w:cs="Arial"/>
          <w:i/>
          <w:iCs/>
          <w:color w:val="000000"/>
        </w:rPr>
        <w:t>,</w:t>
      </w:r>
      <w:r w:rsidR="00C12E16">
        <w:rPr>
          <w:rFonts w:ascii="Arial" w:eastAsia="Arial" w:hAnsi="Arial" w:cs="Arial"/>
          <w:i/>
          <w:iCs/>
          <w:color w:val="000000"/>
        </w:rPr>
        <w:t xml:space="preserve"> while he may inform the court of everything that he saw, he may not express any opinion on whether either or both of the parties were negligent. The reason commonly assigned is that this </w:t>
      </w:r>
      <w:r w:rsidR="00317CCE">
        <w:rPr>
          <w:rFonts w:ascii="Arial" w:eastAsia="Arial" w:hAnsi="Arial" w:cs="Arial"/>
          <w:i/>
          <w:iCs/>
          <w:color w:val="000000"/>
        </w:rPr>
        <w:t>is the</w:t>
      </w:r>
      <w:r w:rsidR="00C12E16">
        <w:rPr>
          <w:rFonts w:ascii="Arial" w:eastAsia="Arial" w:hAnsi="Arial" w:cs="Arial"/>
          <w:i/>
          <w:iCs/>
          <w:color w:val="000000"/>
        </w:rPr>
        <w:t xml:space="preserve"> precise question the court has to decide, but, in truth, it is because his opinion is not relevant.  Any fact that he can prove is relevant, but his opinion is not. The well-recognized exception in the case of scientific or expert witnesses depends on considerations which, for present purposes, are immaterial. So, on the trial</w:t>
      </w:r>
      <w:r w:rsidR="00F5010B">
        <w:rPr>
          <w:rFonts w:ascii="Arial" w:eastAsia="Arial" w:hAnsi="Arial" w:cs="Arial"/>
          <w:i/>
          <w:iCs/>
          <w:color w:val="000000"/>
        </w:rPr>
        <w:t xml:space="preserve"> of the issue in the civil court, the opinion of the criminal court is equally irrelevant. … </w:t>
      </w:r>
      <w:r w:rsidR="00317CCE">
        <w:rPr>
          <w:rFonts w:ascii="Arial" w:eastAsia="Arial" w:hAnsi="Arial" w:cs="Arial"/>
          <w:i/>
          <w:iCs/>
          <w:color w:val="000000"/>
        </w:rPr>
        <w:t>T</w:t>
      </w:r>
      <w:r w:rsidR="00F5010B">
        <w:rPr>
          <w:rFonts w:ascii="Arial" w:eastAsia="Arial" w:hAnsi="Arial" w:cs="Arial"/>
          <w:i/>
          <w:iCs/>
          <w:color w:val="000000"/>
        </w:rPr>
        <w:t>his is true</w:t>
      </w:r>
      <w:r w:rsidR="00317CCE">
        <w:rPr>
          <w:rFonts w:ascii="Arial" w:eastAsia="Arial" w:hAnsi="Arial" w:cs="Arial"/>
          <w:i/>
          <w:iCs/>
          <w:color w:val="000000"/>
        </w:rPr>
        <w:t>,</w:t>
      </w:r>
      <w:r w:rsidR="00F5010B">
        <w:rPr>
          <w:rFonts w:ascii="Arial" w:eastAsia="Arial" w:hAnsi="Arial" w:cs="Arial"/>
          <w:i/>
          <w:iCs/>
          <w:color w:val="000000"/>
        </w:rPr>
        <w:t xml:space="preserve"> not only of convictions, but also of judgments in civil actions.  If given between the same parties they are conclusive, but not against anyone who was not a party.  If the judgment is not conclusive we have already given our reasons for holding that it ought not to be admitted as some evidence of </w:t>
      </w:r>
      <w:r w:rsidR="00317CCE">
        <w:rPr>
          <w:rFonts w:ascii="Arial" w:eastAsia="Arial" w:hAnsi="Arial" w:cs="Arial"/>
          <w:i/>
          <w:iCs/>
          <w:color w:val="000000"/>
        </w:rPr>
        <w:t>a</w:t>
      </w:r>
      <w:r w:rsidR="00F5010B">
        <w:rPr>
          <w:rFonts w:ascii="Arial" w:eastAsia="Arial" w:hAnsi="Arial" w:cs="Arial"/>
          <w:i/>
          <w:iCs/>
          <w:color w:val="000000"/>
        </w:rPr>
        <w:t xml:space="preserve"> fact which must have been found owing mainly to the impossibility of determining what weight should be given </w:t>
      </w:r>
      <w:r w:rsidR="00FF2986">
        <w:rPr>
          <w:rFonts w:ascii="Arial" w:eastAsia="Arial" w:hAnsi="Arial" w:cs="Arial"/>
          <w:i/>
          <w:iCs/>
          <w:color w:val="000000"/>
        </w:rPr>
        <w:t>to it without retrying the former case.”</w:t>
      </w:r>
      <w:r w:rsidR="00317CCE">
        <w:rPr>
          <w:rStyle w:val="FootnoteReference"/>
          <w:rFonts w:ascii="Arial" w:eastAsia="Arial" w:hAnsi="Arial" w:cs="Arial"/>
          <w:i/>
          <w:iCs/>
          <w:color w:val="000000"/>
        </w:rPr>
        <w:footnoteReference w:id="12"/>
      </w:r>
    </w:p>
    <w:p w14:paraId="5C906899" w14:textId="2B09A620" w:rsidR="005B2456" w:rsidRDefault="005B2456" w:rsidP="005B245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5224398A" w14:textId="4F604AD3" w:rsidR="005B2456"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19.</w:t>
      </w:r>
      <w:r>
        <w:rPr>
          <w:rFonts w:ascii="Arial" w:eastAsia="Arial" w:hAnsi="Arial" w:cs="Arial"/>
          <w:color w:val="000000"/>
          <w:sz w:val="24"/>
          <w:szCs w:val="24"/>
        </w:rPr>
        <w:tab/>
      </w:r>
      <w:r w:rsidR="00FF2986" w:rsidRPr="00A55D51">
        <w:rPr>
          <w:rFonts w:ascii="Arial" w:eastAsia="Arial" w:hAnsi="Arial" w:cs="Arial"/>
          <w:color w:val="000000"/>
          <w:sz w:val="24"/>
          <w:szCs w:val="24"/>
        </w:rPr>
        <w:t xml:space="preserve">It is clear that </w:t>
      </w:r>
      <w:r w:rsidR="008B04D6" w:rsidRPr="00A55D51">
        <w:rPr>
          <w:rFonts w:ascii="Arial" w:eastAsia="Arial" w:hAnsi="Arial" w:cs="Arial"/>
          <w:color w:val="000000"/>
          <w:sz w:val="24"/>
          <w:szCs w:val="24"/>
        </w:rPr>
        <w:t xml:space="preserve">although </w:t>
      </w:r>
      <w:r w:rsidR="00FF2986" w:rsidRPr="00A55D51">
        <w:rPr>
          <w:rFonts w:ascii="Arial" w:eastAsia="Arial" w:hAnsi="Arial" w:cs="Arial"/>
          <w:i/>
          <w:iCs/>
          <w:color w:val="000000"/>
          <w:sz w:val="24"/>
          <w:szCs w:val="24"/>
        </w:rPr>
        <w:t>Hollington</w:t>
      </w:r>
      <w:r w:rsidR="005B4820" w:rsidRPr="00A55D51">
        <w:rPr>
          <w:rFonts w:ascii="Arial" w:eastAsia="Arial" w:hAnsi="Arial" w:cs="Arial"/>
          <w:color w:val="000000"/>
          <w:sz w:val="24"/>
          <w:szCs w:val="24"/>
        </w:rPr>
        <w:t xml:space="preserve"> </w:t>
      </w:r>
      <w:r w:rsidR="008B04D6" w:rsidRPr="00A55D51">
        <w:rPr>
          <w:rFonts w:ascii="Arial" w:eastAsia="Arial" w:hAnsi="Arial" w:cs="Arial"/>
          <w:color w:val="000000"/>
          <w:sz w:val="24"/>
          <w:szCs w:val="24"/>
        </w:rPr>
        <w:t xml:space="preserve">was concerned only with the admissibility of a conviction in subsequent civil proceedings, its </w:t>
      </w:r>
      <w:r w:rsidR="008B04D6" w:rsidRPr="00A55D51">
        <w:rPr>
          <w:rFonts w:ascii="Arial" w:eastAsia="Arial" w:hAnsi="Arial" w:cs="Arial"/>
          <w:i/>
          <w:iCs/>
          <w:color w:val="000000"/>
          <w:sz w:val="24"/>
          <w:szCs w:val="24"/>
        </w:rPr>
        <w:t>ratio</w:t>
      </w:r>
      <w:r w:rsidR="00E858D6" w:rsidRPr="00A55D51">
        <w:rPr>
          <w:rFonts w:ascii="Arial" w:eastAsia="Arial" w:hAnsi="Arial" w:cs="Arial"/>
          <w:i/>
          <w:iCs/>
          <w:color w:val="000000"/>
          <w:sz w:val="24"/>
          <w:szCs w:val="24"/>
        </w:rPr>
        <w:t xml:space="preserve"> dec</w:t>
      </w:r>
      <w:r w:rsidR="009E5C03" w:rsidRPr="00A55D51">
        <w:rPr>
          <w:rFonts w:ascii="Arial" w:eastAsia="Arial" w:hAnsi="Arial" w:cs="Arial"/>
          <w:i/>
          <w:iCs/>
          <w:color w:val="000000"/>
          <w:sz w:val="24"/>
          <w:szCs w:val="24"/>
        </w:rPr>
        <w:t>i</w:t>
      </w:r>
      <w:r w:rsidR="00E858D6" w:rsidRPr="00A55D51">
        <w:rPr>
          <w:rFonts w:ascii="Arial" w:eastAsia="Arial" w:hAnsi="Arial" w:cs="Arial"/>
          <w:i/>
          <w:iCs/>
          <w:color w:val="000000"/>
          <w:sz w:val="24"/>
          <w:szCs w:val="24"/>
        </w:rPr>
        <w:t>dendi</w:t>
      </w:r>
      <w:r w:rsidR="00E858D6" w:rsidRPr="00A55D51">
        <w:rPr>
          <w:rFonts w:ascii="Arial" w:eastAsia="Arial" w:hAnsi="Arial" w:cs="Arial"/>
          <w:color w:val="000000"/>
          <w:sz w:val="24"/>
          <w:szCs w:val="24"/>
        </w:rPr>
        <w:t xml:space="preserve"> </w:t>
      </w:r>
      <w:r w:rsidR="003030D6" w:rsidRPr="00A55D51">
        <w:rPr>
          <w:rFonts w:ascii="Arial" w:eastAsia="Arial" w:hAnsi="Arial" w:cs="Arial"/>
          <w:color w:val="000000"/>
          <w:sz w:val="24"/>
          <w:szCs w:val="24"/>
        </w:rPr>
        <w:t>also exclude the findings of a civil court in subsequent proceedings which are not between the same parties, or a conviction in a subsequent prosecution against someone else.</w:t>
      </w:r>
      <w:r w:rsidR="009E5C03">
        <w:rPr>
          <w:rStyle w:val="FootnoteReference"/>
          <w:rFonts w:ascii="Arial" w:eastAsia="Arial" w:hAnsi="Arial" w:cs="Arial"/>
          <w:color w:val="000000"/>
          <w:sz w:val="24"/>
          <w:szCs w:val="24"/>
        </w:rPr>
        <w:footnoteReference w:id="13"/>
      </w:r>
    </w:p>
    <w:p w14:paraId="255FEBE1" w14:textId="77777777" w:rsidR="003030D6" w:rsidRDefault="003030D6" w:rsidP="003030D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79DEB26" w14:textId="231D2577" w:rsidR="003030D6"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20.</w:t>
      </w:r>
      <w:r>
        <w:rPr>
          <w:rFonts w:ascii="Arial" w:eastAsia="Arial" w:hAnsi="Arial" w:cs="Arial"/>
          <w:color w:val="000000"/>
          <w:sz w:val="24"/>
          <w:szCs w:val="24"/>
        </w:rPr>
        <w:tab/>
      </w:r>
      <w:r w:rsidR="00886222" w:rsidRPr="00A55D51">
        <w:rPr>
          <w:rFonts w:ascii="Arial" w:eastAsia="Arial" w:hAnsi="Arial" w:cs="Arial"/>
          <w:color w:val="000000"/>
          <w:sz w:val="24"/>
          <w:szCs w:val="24"/>
        </w:rPr>
        <w:t xml:space="preserve">The rule in </w:t>
      </w:r>
      <w:r w:rsidR="00886222" w:rsidRPr="00A55D51">
        <w:rPr>
          <w:rFonts w:ascii="Arial" w:eastAsia="Arial" w:hAnsi="Arial" w:cs="Arial"/>
          <w:i/>
          <w:iCs/>
          <w:color w:val="000000"/>
          <w:sz w:val="24"/>
          <w:szCs w:val="24"/>
        </w:rPr>
        <w:t>Hollington</w:t>
      </w:r>
      <w:r w:rsidR="00886222" w:rsidRPr="00A55D51">
        <w:rPr>
          <w:rFonts w:ascii="Arial" w:eastAsia="Arial" w:hAnsi="Arial" w:cs="Arial"/>
          <w:color w:val="000000"/>
          <w:sz w:val="24"/>
          <w:szCs w:val="24"/>
        </w:rPr>
        <w:t xml:space="preserve"> was applied by the Constitutional Court in </w:t>
      </w:r>
      <w:r w:rsidR="00886222" w:rsidRPr="00A55D51">
        <w:rPr>
          <w:rFonts w:ascii="Arial" w:eastAsia="Arial" w:hAnsi="Arial" w:cs="Arial"/>
          <w:i/>
          <w:iCs/>
          <w:color w:val="000000"/>
          <w:sz w:val="24"/>
          <w:szCs w:val="24"/>
        </w:rPr>
        <w:t>Prophet v National Director of Public Prosecutions</w:t>
      </w:r>
      <w:r w:rsidR="00E66910" w:rsidRPr="00A55D51">
        <w:rPr>
          <w:rFonts w:ascii="Arial" w:eastAsia="Arial" w:hAnsi="Arial" w:cs="Arial"/>
          <w:color w:val="000000"/>
          <w:sz w:val="24"/>
          <w:szCs w:val="24"/>
        </w:rPr>
        <w:t xml:space="preserve"> 2007 (6) SA 169 (C</w:t>
      </w:r>
      <w:r w:rsidR="00B76D43" w:rsidRPr="00A55D51">
        <w:rPr>
          <w:rFonts w:ascii="Arial" w:eastAsia="Arial" w:hAnsi="Arial" w:cs="Arial"/>
          <w:color w:val="000000"/>
          <w:sz w:val="24"/>
          <w:szCs w:val="24"/>
        </w:rPr>
        <w:t>C</w:t>
      </w:r>
      <w:r w:rsidR="00E66910" w:rsidRPr="00A55D51">
        <w:rPr>
          <w:rFonts w:ascii="Arial" w:eastAsia="Arial" w:hAnsi="Arial" w:cs="Arial"/>
          <w:color w:val="000000"/>
          <w:sz w:val="24"/>
          <w:szCs w:val="24"/>
        </w:rPr>
        <w:t>) at par 42 where the following was stated:-</w:t>
      </w:r>
    </w:p>
    <w:p w14:paraId="29B9ACF1" w14:textId="77777777" w:rsidR="00E66910" w:rsidRDefault="00E66910" w:rsidP="00E6691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9C9C6B7" w14:textId="40E9A9F7" w:rsidR="00E66910" w:rsidRPr="00771581" w:rsidRDefault="00771581" w:rsidP="000E38C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771581">
        <w:rPr>
          <w:rFonts w:ascii="Arial" w:eastAsia="Arial" w:hAnsi="Arial" w:cs="Arial"/>
          <w:i/>
          <w:iCs/>
          <w:color w:val="000000"/>
        </w:rPr>
        <w:t>“The findings of the magistrate</w:t>
      </w:r>
      <w:r w:rsidR="006E1EA2">
        <w:rPr>
          <w:rFonts w:ascii="Arial" w:eastAsia="Arial" w:hAnsi="Arial" w:cs="Arial"/>
          <w:i/>
          <w:iCs/>
          <w:color w:val="000000"/>
        </w:rPr>
        <w:t xml:space="preserve"> as reflected in the transcript in a related criminal trial are, for the purpose of this judgment, irrelevant and may be described as “superfluous</w:t>
      </w:r>
      <w:r w:rsidR="001674C5">
        <w:rPr>
          <w:rFonts w:ascii="Arial" w:eastAsia="Arial" w:hAnsi="Arial" w:cs="Arial"/>
          <w:i/>
          <w:iCs/>
          <w:color w:val="000000"/>
        </w:rPr>
        <w:t>” or “supere</w:t>
      </w:r>
      <w:r w:rsidR="000E38CE">
        <w:rPr>
          <w:rFonts w:ascii="Arial" w:eastAsia="Arial" w:hAnsi="Arial" w:cs="Arial"/>
          <w:i/>
          <w:iCs/>
          <w:color w:val="000000"/>
        </w:rPr>
        <w:t>rogatory</w:t>
      </w:r>
      <w:r w:rsidR="00E77D72">
        <w:rPr>
          <w:rFonts w:ascii="Arial" w:eastAsia="Arial" w:hAnsi="Arial" w:cs="Arial"/>
          <w:i/>
          <w:iCs/>
          <w:color w:val="000000"/>
        </w:rPr>
        <w:t xml:space="preserve"> evidence</w:t>
      </w:r>
      <w:r w:rsidR="000E38CE">
        <w:rPr>
          <w:rFonts w:ascii="Arial" w:eastAsia="Arial" w:hAnsi="Arial" w:cs="Arial"/>
          <w:i/>
          <w:iCs/>
          <w:color w:val="000000"/>
        </w:rPr>
        <w:t>” because they amount to an opinion on a matter in which a judge might, in the forfeiture application, have to decide”.</w:t>
      </w:r>
      <w:r w:rsidRPr="00771581">
        <w:rPr>
          <w:rFonts w:ascii="Arial" w:eastAsia="Arial" w:hAnsi="Arial" w:cs="Arial"/>
          <w:i/>
          <w:iCs/>
          <w:color w:val="000000"/>
        </w:rPr>
        <w:t xml:space="preserve"> </w:t>
      </w:r>
    </w:p>
    <w:p w14:paraId="56A1DBD7" w14:textId="1A7BA9DD" w:rsidR="005B4820" w:rsidRDefault="005B4820" w:rsidP="005B482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7801CDDE" w14:textId="2217954C" w:rsidR="005B4820"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21.</w:t>
      </w:r>
      <w:r>
        <w:rPr>
          <w:rFonts w:ascii="Arial" w:eastAsia="Arial" w:hAnsi="Arial" w:cs="Arial"/>
          <w:color w:val="000000"/>
          <w:sz w:val="24"/>
          <w:szCs w:val="24"/>
        </w:rPr>
        <w:tab/>
      </w:r>
      <w:r w:rsidR="0053412C" w:rsidRPr="00A55D51">
        <w:rPr>
          <w:rFonts w:ascii="Arial" w:eastAsia="Arial" w:hAnsi="Arial" w:cs="Arial"/>
          <w:color w:val="000000"/>
          <w:sz w:val="24"/>
          <w:szCs w:val="24"/>
        </w:rPr>
        <w:t xml:space="preserve">Although the fact of </w:t>
      </w:r>
      <w:r w:rsidR="00E77D72" w:rsidRPr="00A55D51">
        <w:rPr>
          <w:rFonts w:ascii="Arial" w:eastAsia="Arial" w:hAnsi="Arial" w:cs="Arial"/>
          <w:color w:val="000000"/>
          <w:sz w:val="24"/>
          <w:szCs w:val="24"/>
        </w:rPr>
        <w:t>S</w:t>
      </w:r>
      <w:r w:rsidR="0053412C" w:rsidRPr="00A55D51">
        <w:rPr>
          <w:rFonts w:ascii="Arial" w:eastAsia="Arial" w:hAnsi="Arial" w:cs="Arial"/>
          <w:color w:val="000000"/>
          <w:sz w:val="24"/>
          <w:szCs w:val="24"/>
        </w:rPr>
        <w:t xml:space="preserve">chreuder’s conviction can obviously be objectively determined and was also pleaded as background, the fact of the matter is that what </w:t>
      </w:r>
      <w:r w:rsidR="00FA5458" w:rsidRPr="00A55D51">
        <w:rPr>
          <w:rFonts w:ascii="Arial" w:eastAsia="Arial" w:hAnsi="Arial" w:cs="Arial"/>
          <w:color w:val="000000"/>
          <w:sz w:val="24"/>
          <w:szCs w:val="24"/>
        </w:rPr>
        <w:t xml:space="preserve">is alleged </w:t>
      </w:r>
      <w:r w:rsidR="0053412C" w:rsidRPr="00A55D51">
        <w:rPr>
          <w:rFonts w:ascii="Arial" w:eastAsia="Arial" w:hAnsi="Arial" w:cs="Arial"/>
          <w:color w:val="000000"/>
          <w:sz w:val="24"/>
          <w:szCs w:val="24"/>
        </w:rPr>
        <w:t xml:space="preserve">in paragraph 11 goes much further than mere background.  It will be recalled that </w:t>
      </w:r>
      <w:r w:rsidR="00AC05A1" w:rsidRPr="00A55D51">
        <w:rPr>
          <w:rFonts w:ascii="Arial" w:eastAsia="Arial" w:hAnsi="Arial" w:cs="Arial"/>
          <w:color w:val="000000"/>
          <w:sz w:val="24"/>
          <w:szCs w:val="24"/>
        </w:rPr>
        <w:t>in paragraph 25 of the Amended Particulars of Claim, Floorworx alleged the manner in which Schreuder defrauded it by creating fictitious invoices</w:t>
      </w:r>
      <w:r w:rsidR="0097742E" w:rsidRPr="00A55D51">
        <w:rPr>
          <w:rFonts w:ascii="Arial" w:eastAsia="Arial" w:hAnsi="Arial" w:cs="Arial"/>
          <w:color w:val="000000"/>
          <w:sz w:val="24"/>
          <w:szCs w:val="24"/>
        </w:rPr>
        <w:t>.  Th</w:t>
      </w:r>
      <w:r w:rsidR="0018045C" w:rsidRPr="00A55D51">
        <w:rPr>
          <w:rFonts w:ascii="Arial" w:eastAsia="Arial" w:hAnsi="Arial" w:cs="Arial"/>
          <w:color w:val="000000"/>
          <w:sz w:val="24"/>
          <w:szCs w:val="24"/>
        </w:rPr>
        <w:t xml:space="preserve">e only relevance that paragraph 11 can </w:t>
      </w:r>
      <w:r w:rsidR="00E90961" w:rsidRPr="00A55D51">
        <w:rPr>
          <w:rFonts w:ascii="Arial" w:eastAsia="Arial" w:hAnsi="Arial" w:cs="Arial"/>
          <w:color w:val="000000"/>
          <w:sz w:val="24"/>
          <w:szCs w:val="24"/>
        </w:rPr>
        <w:t>therefore have is</w:t>
      </w:r>
      <w:r w:rsidR="0018045C" w:rsidRPr="00A55D51">
        <w:rPr>
          <w:rFonts w:ascii="Arial" w:eastAsia="Arial" w:hAnsi="Arial" w:cs="Arial"/>
          <w:color w:val="000000"/>
          <w:sz w:val="24"/>
          <w:szCs w:val="24"/>
        </w:rPr>
        <w:t xml:space="preserve"> to prove that which is alleged in paragraph 25 of the Amended Particulars of Claim.  This much was conceded by </w:t>
      </w:r>
      <w:r w:rsidR="00780CFE" w:rsidRPr="00A55D51">
        <w:rPr>
          <w:rFonts w:ascii="Arial" w:eastAsia="Arial" w:hAnsi="Arial" w:cs="Arial"/>
          <w:color w:val="000000"/>
          <w:sz w:val="24"/>
          <w:szCs w:val="24"/>
        </w:rPr>
        <w:t xml:space="preserve">counsel for Floorworx.  If the convictions for fraud as alleged in paragraph 11 is </w:t>
      </w:r>
      <w:r w:rsidR="00700338" w:rsidRPr="00A55D51">
        <w:rPr>
          <w:rFonts w:ascii="Arial" w:eastAsia="Arial" w:hAnsi="Arial" w:cs="Arial"/>
          <w:color w:val="000000"/>
          <w:sz w:val="24"/>
          <w:szCs w:val="24"/>
        </w:rPr>
        <w:t>inadmissible,</w:t>
      </w:r>
      <w:r w:rsidR="00780CFE" w:rsidRPr="00A55D51">
        <w:rPr>
          <w:rFonts w:ascii="Arial" w:eastAsia="Arial" w:hAnsi="Arial" w:cs="Arial"/>
          <w:color w:val="000000"/>
          <w:sz w:val="24"/>
          <w:szCs w:val="24"/>
        </w:rPr>
        <w:t xml:space="preserve"> then it will also be inadmissible for purposes </w:t>
      </w:r>
      <w:r w:rsidR="00700338" w:rsidRPr="00A55D51">
        <w:rPr>
          <w:rFonts w:ascii="Arial" w:eastAsia="Arial" w:hAnsi="Arial" w:cs="Arial"/>
          <w:color w:val="000000"/>
          <w:sz w:val="24"/>
          <w:szCs w:val="24"/>
        </w:rPr>
        <w:t xml:space="preserve">of proving what is alleged in paragraph 25 of the Amended Particulars of Claim.  As revealed, </w:t>
      </w:r>
      <w:r w:rsidR="00DA37EA" w:rsidRPr="00A55D51">
        <w:rPr>
          <w:rFonts w:ascii="Arial" w:eastAsia="Arial" w:hAnsi="Arial" w:cs="Arial"/>
          <w:color w:val="000000"/>
          <w:sz w:val="24"/>
          <w:szCs w:val="24"/>
        </w:rPr>
        <w:t xml:space="preserve">the rule in </w:t>
      </w:r>
      <w:r w:rsidR="00DA37EA" w:rsidRPr="00A55D51">
        <w:rPr>
          <w:rFonts w:ascii="Arial" w:eastAsia="Arial" w:hAnsi="Arial" w:cs="Arial"/>
          <w:i/>
          <w:iCs/>
          <w:color w:val="000000"/>
          <w:sz w:val="24"/>
          <w:szCs w:val="24"/>
        </w:rPr>
        <w:t>Hollington</w:t>
      </w:r>
      <w:r w:rsidR="00DA37EA" w:rsidRPr="00A55D51">
        <w:rPr>
          <w:rFonts w:ascii="Arial" w:eastAsia="Arial" w:hAnsi="Arial" w:cs="Arial"/>
          <w:color w:val="000000"/>
          <w:sz w:val="24"/>
          <w:szCs w:val="24"/>
        </w:rPr>
        <w:t xml:space="preserve"> makes inadmissible the conviction of Schreuder in subsequent civil proceedings</w:t>
      </w:r>
      <w:r w:rsidR="00B45104" w:rsidRPr="00A55D51">
        <w:rPr>
          <w:rFonts w:ascii="Arial" w:eastAsia="Arial" w:hAnsi="Arial" w:cs="Arial"/>
          <w:color w:val="000000"/>
          <w:sz w:val="24"/>
          <w:szCs w:val="24"/>
        </w:rPr>
        <w:t xml:space="preserve"> to prove the fraud and/or misappropriation.  As inadmissible evidence is irrelevant</w:t>
      </w:r>
      <w:r w:rsidR="00CF5CAC" w:rsidRPr="00A55D51">
        <w:rPr>
          <w:rFonts w:ascii="Arial" w:eastAsia="Arial" w:hAnsi="Arial" w:cs="Arial"/>
          <w:color w:val="000000"/>
          <w:sz w:val="24"/>
          <w:szCs w:val="24"/>
        </w:rPr>
        <w:t>,</w:t>
      </w:r>
      <w:r w:rsidR="00B03258" w:rsidRPr="00A55D51">
        <w:rPr>
          <w:rFonts w:ascii="Arial" w:eastAsia="Arial" w:hAnsi="Arial" w:cs="Arial"/>
          <w:color w:val="000000"/>
          <w:sz w:val="24"/>
          <w:szCs w:val="24"/>
        </w:rPr>
        <w:t xml:space="preserve"> paragraph 11 records inadmissible opinion evidence and not material facts </w:t>
      </w:r>
      <w:r w:rsidR="0039227B" w:rsidRPr="00A55D51">
        <w:rPr>
          <w:rFonts w:ascii="Arial" w:eastAsia="Arial" w:hAnsi="Arial" w:cs="Arial"/>
          <w:color w:val="000000"/>
          <w:sz w:val="24"/>
          <w:szCs w:val="24"/>
        </w:rPr>
        <w:t>that can</w:t>
      </w:r>
      <w:r w:rsidR="00B03258" w:rsidRPr="00A55D51">
        <w:rPr>
          <w:rFonts w:ascii="Arial" w:eastAsia="Arial" w:hAnsi="Arial" w:cs="Arial"/>
          <w:color w:val="000000"/>
          <w:sz w:val="24"/>
          <w:szCs w:val="24"/>
        </w:rPr>
        <w:t xml:space="preserve"> be proved by admissible evidence</w:t>
      </w:r>
      <w:r w:rsidR="0039227B" w:rsidRPr="00A55D51">
        <w:rPr>
          <w:rFonts w:ascii="Arial" w:eastAsia="Arial" w:hAnsi="Arial" w:cs="Arial"/>
          <w:color w:val="000000"/>
          <w:sz w:val="24"/>
          <w:szCs w:val="24"/>
        </w:rPr>
        <w:t>.</w:t>
      </w:r>
      <w:r w:rsidR="00B03258" w:rsidRPr="00A55D51">
        <w:rPr>
          <w:rFonts w:ascii="Arial" w:eastAsia="Arial" w:hAnsi="Arial" w:cs="Arial"/>
          <w:color w:val="000000"/>
          <w:sz w:val="24"/>
          <w:szCs w:val="24"/>
        </w:rPr>
        <w:t xml:space="preserve"> </w:t>
      </w:r>
      <w:r w:rsidR="00F55B0F" w:rsidRPr="00A55D51">
        <w:rPr>
          <w:rFonts w:ascii="Arial" w:eastAsia="Arial" w:hAnsi="Arial" w:cs="Arial"/>
          <w:i/>
          <w:iCs/>
          <w:color w:val="000000"/>
          <w:sz w:val="24"/>
          <w:szCs w:val="24"/>
        </w:rPr>
        <w:t>Ergo</w:t>
      </w:r>
      <w:r w:rsidR="00B04E67" w:rsidRPr="00A55D51">
        <w:rPr>
          <w:rFonts w:ascii="Arial" w:eastAsia="Arial" w:hAnsi="Arial" w:cs="Arial"/>
          <w:i/>
          <w:iCs/>
          <w:color w:val="000000"/>
          <w:sz w:val="24"/>
          <w:szCs w:val="24"/>
        </w:rPr>
        <w:t>,</w:t>
      </w:r>
      <w:r w:rsidR="00B03258" w:rsidRPr="00A55D51">
        <w:rPr>
          <w:rFonts w:ascii="Arial" w:eastAsia="Arial" w:hAnsi="Arial" w:cs="Arial"/>
          <w:color w:val="000000"/>
          <w:sz w:val="24"/>
          <w:szCs w:val="24"/>
        </w:rPr>
        <w:t xml:space="preserve"> paragraph 11 is inadmissible and therefore irrelevant</w:t>
      </w:r>
      <w:r w:rsidR="0059773C">
        <w:rPr>
          <w:rStyle w:val="FootnoteReference"/>
          <w:rFonts w:ascii="Arial" w:eastAsia="Arial" w:hAnsi="Arial" w:cs="Arial"/>
          <w:color w:val="000000"/>
          <w:sz w:val="24"/>
          <w:szCs w:val="24"/>
        </w:rPr>
        <w:footnoteReference w:id="14"/>
      </w:r>
      <w:r w:rsidR="00252D94" w:rsidRPr="00A55D51">
        <w:rPr>
          <w:rFonts w:ascii="Arial" w:eastAsia="Arial" w:hAnsi="Arial" w:cs="Arial"/>
          <w:color w:val="000000"/>
          <w:sz w:val="24"/>
          <w:szCs w:val="24"/>
        </w:rPr>
        <w:t>.</w:t>
      </w:r>
    </w:p>
    <w:p w14:paraId="2A09A6DB" w14:textId="4F52FC05" w:rsidR="005B4820" w:rsidRDefault="005B4820" w:rsidP="005B482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4D52623" w14:textId="71FB06D3" w:rsidR="005B4820"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22.</w:t>
      </w:r>
      <w:r>
        <w:rPr>
          <w:rFonts w:ascii="Arial" w:eastAsia="Arial" w:hAnsi="Arial" w:cs="Arial"/>
          <w:color w:val="000000"/>
          <w:sz w:val="24"/>
          <w:szCs w:val="24"/>
        </w:rPr>
        <w:tab/>
      </w:r>
      <w:r w:rsidR="00906C0E" w:rsidRPr="00A55D51">
        <w:rPr>
          <w:rFonts w:ascii="Arial" w:eastAsia="Arial" w:hAnsi="Arial" w:cs="Arial"/>
          <w:color w:val="000000"/>
          <w:sz w:val="24"/>
          <w:szCs w:val="24"/>
        </w:rPr>
        <w:t xml:space="preserve">Further to the above, I also </w:t>
      </w:r>
      <w:r w:rsidR="00F22A12" w:rsidRPr="00A55D51">
        <w:rPr>
          <w:rFonts w:ascii="Arial" w:eastAsia="Arial" w:hAnsi="Arial" w:cs="Arial"/>
          <w:color w:val="000000"/>
          <w:sz w:val="24"/>
          <w:szCs w:val="24"/>
        </w:rPr>
        <w:t>find that if paragraph 11 is allowed to stand</w:t>
      </w:r>
      <w:r w:rsidR="00C3793B" w:rsidRPr="00A55D51">
        <w:rPr>
          <w:rFonts w:ascii="Arial" w:eastAsia="Arial" w:hAnsi="Arial" w:cs="Arial"/>
          <w:color w:val="000000"/>
          <w:sz w:val="24"/>
          <w:szCs w:val="24"/>
        </w:rPr>
        <w:t>,</w:t>
      </w:r>
      <w:r w:rsidR="00F22A12" w:rsidRPr="00A55D51">
        <w:rPr>
          <w:rFonts w:ascii="Arial" w:eastAsia="Arial" w:hAnsi="Arial" w:cs="Arial"/>
          <w:color w:val="000000"/>
          <w:sz w:val="24"/>
          <w:szCs w:val="24"/>
        </w:rPr>
        <w:t xml:space="preserve"> that Mazars would suffer severe prejudice.  This is because Floorworx will </w:t>
      </w:r>
      <w:r w:rsidR="007771CE" w:rsidRPr="00A55D51">
        <w:rPr>
          <w:rFonts w:ascii="Arial" w:eastAsia="Arial" w:hAnsi="Arial" w:cs="Arial"/>
          <w:color w:val="000000"/>
          <w:sz w:val="24"/>
          <w:szCs w:val="24"/>
        </w:rPr>
        <w:t>seek</w:t>
      </w:r>
      <w:r w:rsidR="00F22A12" w:rsidRPr="00A55D51">
        <w:rPr>
          <w:rFonts w:ascii="Arial" w:eastAsia="Arial" w:hAnsi="Arial" w:cs="Arial"/>
          <w:color w:val="000000"/>
          <w:sz w:val="24"/>
          <w:szCs w:val="24"/>
        </w:rPr>
        <w:t xml:space="preserve"> to adduce evidence in support of paragraph 11 (ie that Schreuder was convicted of fraud) and will then attempt to leverage that finding as proof of the fact that </w:t>
      </w:r>
      <w:r w:rsidR="007771CE" w:rsidRPr="00A55D51">
        <w:rPr>
          <w:rFonts w:ascii="Arial" w:eastAsia="Arial" w:hAnsi="Arial" w:cs="Arial"/>
          <w:color w:val="000000"/>
          <w:sz w:val="24"/>
          <w:szCs w:val="24"/>
        </w:rPr>
        <w:t>S</w:t>
      </w:r>
      <w:r w:rsidR="00F22A12" w:rsidRPr="00A55D51">
        <w:rPr>
          <w:rFonts w:ascii="Arial" w:eastAsia="Arial" w:hAnsi="Arial" w:cs="Arial"/>
          <w:color w:val="000000"/>
          <w:sz w:val="24"/>
          <w:szCs w:val="24"/>
        </w:rPr>
        <w:t>chreuder indeed committed fraud of the nature and kind of which he was found guilty in the criminal trial and particular in relation to paragraph 25 of the Amended Particulars of Claim.  This will force Mazars to plead to inadmissible evidence regarding criminal litigation in which they were not even involved</w:t>
      </w:r>
      <w:r w:rsidR="00FA5458" w:rsidRPr="00A55D51">
        <w:rPr>
          <w:rFonts w:ascii="Arial" w:eastAsia="Arial" w:hAnsi="Arial" w:cs="Arial"/>
          <w:color w:val="000000"/>
          <w:sz w:val="24"/>
          <w:szCs w:val="24"/>
        </w:rPr>
        <w:t xml:space="preserve"> in</w:t>
      </w:r>
      <w:r w:rsidR="00F22A12" w:rsidRPr="00A55D51">
        <w:rPr>
          <w:rFonts w:ascii="Arial" w:eastAsia="Arial" w:hAnsi="Arial" w:cs="Arial"/>
          <w:color w:val="000000"/>
          <w:sz w:val="24"/>
          <w:szCs w:val="24"/>
        </w:rPr>
        <w:t xml:space="preserve"> and/or privy </w:t>
      </w:r>
      <w:r w:rsidR="00390100" w:rsidRPr="00A55D51">
        <w:rPr>
          <w:rFonts w:ascii="Arial" w:eastAsia="Arial" w:hAnsi="Arial" w:cs="Arial"/>
          <w:color w:val="000000"/>
          <w:sz w:val="24"/>
          <w:szCs w:val="24"/>
        </w:rPr>
        <w:t xml:space="preserve">to.  </w:t>
      </w:r>
      <w:r w:rsidR="0044052D" w:rsidRPr="00A55D51">
        <w:rPr>
          <w:rFonts w:ascii="Arial" w:eastAsia="Arial" w:hAnsi="Arial" w:cs="Arial"/>
          <w:color w:val="000000"/>
          <w:sz w:val="24"/>
          <w:szCs w:val="24"/>
        </w:rPr>
        <w:t>In other words, Mazars will</w:t>
      </w:r>
      <w:r w:rsidR="00390100" w:rsidRPr="00A55D51">
        <w:rPr>
          <w:rFonts w:ascii="Arial" w:eastAsia="Arial" w:hAnsi="Arial" w:cs="Arial"/>
          <w:color w:val="000000"/>
          <w:sz w:val="24"/>
          <w:szCs w:val="24"/>
        </w:rPr>
        <w:t xml:space="preserve"> be forced to plead to an irrelevant issue regardless of whether the conviction and the facts found by the regional magistrate were correct – rather than to the (relevant) issue as to whether Schreuder in fact committed fraud, and if so, what it entailed as alleged in paragraph 25 of the Amended Particulars of Claim.</w:t>
      </w:r>
    </w:p>
    <w:p w14:paraId="18658B24" w14:textId="77777777" w:rsidR="00390100" w:rsidRDefault="00390100" w:rsidP="0039010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7DAA7A5" w14:textId="298B64A1" w:rsidR="00104049"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23.</w:t>
      </w:r>
      <w:r>
        <w:rPr>
          <w:rFonts w:ascii="Arial" w:eastAsia="Arial" w:hAnsi="Arial" w:cs="Arial"/>
          <w:color w:val="000000"/>
          <w:sz w:val="24"/>
          <w:szCs w:val="24"/>
        </w:rPr>
        <w:tab/>
      </w:r>
      <w:r w:rsidR="00390100" w:rsidRPr="00A55D51">
        <w:rPr>
          <w:rFonts w:ascii="Arial" w:eastAsia="Arial" w:hAnsi="Arial" w:cs="Arial"/>
          <w:color w:val="000000"/>
          <w:sz w:val="24"/>
          <w:szCs w:val="24"/>
        </w:rPr>
        <w:t>In the circumstances</w:t>
      </w:r>
      <w:r w:rsidR="00DE3B9D" w:rsidRPr="00A55D51">
        <w:rPr>
          <w:rFonts w:ascii="Arial" w:eastAsia="Arial" w:hAnsi="Arial" w:cs="Arial"/>
          <w:color w:val="000000"/>
          <w:sz w:val="24"/>
          <w:szCs w:val="24"/>
        </w:rPr>
        <w:t>, I find that Mazars has made out a proper case for paragraph 11 to be struck out in terms of Rule 23(2)</w:t>
      </w:r>
      <w:r w:rsidR="003A1C9E" w:rsidRPr="00A55D51">
        <w:rPr>
          <w:rFonts w:ascii="Arial" w:eastAsia="Arial" w:hAnsi="Arial" w:cs="Arial"/>
          <w:color w:val="000000"/>
          <w:sz w:val="24"/>
          <w:szCs w:val="24"/>
        </w:rPr>
        <w:t>.  As regards costs, and which pertains to all the issues, counsel for both parties were agreed that costs should follow the result and in the exercise of my discretion, I</w:t>
      </w:r>
      <w:r w:rsidR="001E57C9" w:rsidRPr="00A55D51">
        <w:rPr>
          <w:rFonts w:ascii="Arial" w:eastAsia="Arial" w:hAnsi="Arial" w:cs="Arial"/>
          <w:color w:val="000000"/>
          <w:sz w:val="24"/>
          <w:szCs w:val="24"/>
        </w:rPr>
        <w:t xml:space="preserve"> find that such agreement is fair and reasonable in the circumstances.</w:t>
      </w:r>
      <w:r w:rsidR="00104049" w:rsidRPr="00A55D51">
        <w:rPr>
          <w:rFonts w:ascii="Arial" w:eastAsia="Arial" w:hAnsi="Arial" w:cs="Arial"/>
          <w:color w:val="000000"/>
          <w:sz w:val="24"/>
          <w:szCs w:val="24"/>
        </w:rPr>
        <w:t xml:space="preserve"> </w:t>
      </w:r>
    </w:p>
    <w:p w14:paraId="30F81FF6" w14:textId="77777777" w:rsidR="00104049" w:rsidRDefault="00104049" w:rsidP="00104049">
      <w:pPr>
        <w:pBdr>
          <w:top w:val="nil"/>
          <w:left w:val="nil"/>
          <w:bottom w:val="nil"/>
          <w:right w:val="nil"/>
          <w:between w:val="nil"/>
        </w:pBdr>
        <w:spacing w:after="0" w:line="360" w:lineRule="auto"/>
        <w:jc w:val="both"/>
        <w:rPr>
          <w:rFonts w:ascii="Arial" w:eastAsia="Arial" w:hAnsi="Arial" w:cs="Arial"/>
          <w:color w:val="000000"/>
          <w:sz w:val="24"/>
          <w:szCs w:val="24"/>
        </w:rPr>
      </w:pPr>
    </w:p>
    <w:p w14:paraId="643FC49C" w14:textId="462A1D25" w:rsidR="00390100" w:rsidRPr="003B7ABC" w:rsidRDefault="00104049" w:rsidP="00104049">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3B7ABC">
        <w:rPr>
          <w:rFonts w:ascii="Arial" w:eastAsia="Arial" w:hAnsi="Arial" w:cs="Arial"/>
          <w:b/>
          <w:bCs/>
          <w:color w:val="000000"/>
          <w:sz w:val="24"/>
          <w:szCs w:val="24"/>
        </w:rPr>
        <w:t>Exception – failure to disclose cause of action</w:t>
      </w:r>
      <w:r w:rsidR="00DE3B9D" w:rsidRPr="003B7ABC">
        <w:rPr>
          <w:rFonts w:ascii="Arial" w:eastAsia="Arial" w:hAnsi="Arial" w:cs="Arial"/>
          <w:b/>
          <w:bCs/>
          <w:color w:val="000000"/>
          <w:sz w:val="24"/>
          <w:szCs w:val="24"/>
        </w:rPr>
        <w:t xml:space="preserve"> </w:t>
      </w:r>
    </w:p>
    <w:p w14:paraId="0BA2E62A" w14:textId="03649701" w:rsidR="005B4820" w:rsidRDefault="005B4820" w:rsidP="005B482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6BA08380" w14:textId="500DA736" w:rsidR="005B4820"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24.</w:t>
      </w:r>
      <w:r>
        <w:rPr>
          <w:rFonts w:ascii="Arial" w:eastAsia="Arial" w:hAnsi="Arial" w:cs="Arial"/>
          <w:color w:val="000000"/>
          <w:sz w:val="24"/>
          <w:szCs w:val="24"/>
        </w:rPr>
        <w:tab/>
      </w:r>
      <w:r w:rsidR="00D4364F" w:rsidRPr="00A55D51">
        <w:rPr>
          <w:rFonts w:ascii="Arial" w:eastAsia="Arial" w:hAnsi="Arial" w:cs="Arial"/>
          <w:color w:val="000000"/>
          <w:sz w:val="24"/>
          <w:szCs w:val="24"/>
        </w:rPr>
        <w:t xml:space="preserve">I deal with this issue prior to dealing with the other issues concerning condonation and the like as it was common cause </w:t>
      </w:r>
      <w:r w:rsidR="0076057C" w:rsidRPr="00A55D51">
        <w:rPr>
          <w:rFonts w:ascii="Arial" w:eastAsia="Arial" w:hAnsi="Arial" w:cs="Arial"/>
          <w:color w:val="000000"/>
          <w:sz w:val="24"/>
          <w:szCs w:val="24"/>
        </w:rPr>
        <w:t>on the papers and during the hearing that th</w:t>
      </w:r>
      <w:r w:rsidR="00A34088" w:rsidRPr="00A55D51">
        <w:rPr>
          <w:rFonts w:ascii="Arial" w:eastAsia="Arial" w:hAnsi="Arial" w:cs="Arial"/>
          <w:color w:val="000000"/>
          <w:sz w:val="24"/>
          <w:szCs w:val="24"/>
        </w:rPr>
        <w:t>is</w:t>
      </w:r>
      <w:r w:rsidR="0076057C" w:rsidRPr="00A55D51">
        <w:rPr>
          <w:rFonts w:ascii="Arial" w:eastAsia="Arial" w:hAnsi="Arial" w:cs="Arial"/>
          <w:color w:val="000000"/>
          <w:sz w:val="24"/>
          <w:szCs w:val="24"/>
        </w:rPr>
        <w:t xml:space="preserve"> exception was delivered timeously in view thereof that </w:t>
      </w:r>
      <w:r w:rsidR="00F76D94" w:rsidRPr="00A55D51">
        <w:rPr>
          <w:rFonts w:ascii="Arial" w:eastAsia="Arial" w:hAnsi="Arial" w:cs="Arial"/>
          <w:color w:val="000000"/>
          <w:sz w:val="24"/>
          <w:szCs w:val="24"/>
        </w:rPr>
        <w:t xml:space="preserve">Mazars delivered </w:t>
      </w:r>
      <w:r w:rsidR="00E57E0A" w:rsidRPr="00A55D51">
        <w:rPr>
          <w:rFonts w:ascii="Arial" w:eastAsia="Arial" w:hAnsi="Arial" w:cs="Arial"/>
          <w:color w:val="000000"/>
          <w:sz w:val="24"/>
          <w:szCs w:val="24"/>
        </w:rPr>
        <w:t>this</w:t>
      </w:r>
      <w:r w:rsidR="00F76D94" w:rsidRPr="00A55D51">
        <w:rPr>
          <w:rFonts w:ascii="Arial" w:eastAsia="Arial" w:hAnsi="Arial" w:cs="Arial"/>
          <w:color w:val="000000"/>
          <w:sz w:val="24"/>
          <w:szCs w:val="24"/>
        </w:rPr>
        <w:t xml:space="preserve"> exception before the period of </w:t>
      </w:r>
      <w:r w:rsidR="00E57E0A" w:rsidRPr="00A55D51">
        <w:rPr>
          <w:rFonts w:ascii="Arial" w:eastAsia="Arial" w:hAnsi="Arial" w:cs="Arial"/>
          <w:color w:val="000000"/>
          <w:sz w:val="24"/>
          <w:szCs w:val="24"/>
        </w:rPr>
        <w:t>b</w:t>
      </w:r>
      <w:r w:rsidR="00F76D94" w:rsidRPr="00A55D51">
        <w:rPr>
          <w:rFonts w:ascii="Arial" w:eastAsia="Arial" w:hAnsi="Arial" w:cs="Arial"/>
          <w:color w:val="000000"/>
          <w:sz w:val="24"/>
          <w:szCs w:val="24"/>
        </w:rPr>
        <w:t>ar expired.  Afterall, an exception is</w:t>
      </w:r>
      <w:r w:rsidR="00B7014A" w:rsidRPr="00A55D51">
        <w:rPr>
          <w:rFonts w:ascii="Arial" w:eastAsia="Arial" w:hAnsi="Arial" w:cs="Arial"/>
          <w:color w:val="000000"/>
          <w:sz w:val="24"/>
          <w:szCs w:val="24"/>
        </w:rPr>
        <w:t xml:space="preserve"> a</w:t>
      </w:r>
      <w:r w:rsidR="00F76D94" w:rsidRPr="00A55D51">
        <w:rPr>
          <w:rFonts w:ascii="Arial" w:eastAsia="Arial" w:hAnsi="Arial" w:cs="Arial"/>
          <w:color w:val="000000"/>
          <w:sz w:val="24"/>
          <w:szCs w:val="24"/>
        </w:rPr>
        <w:t xml:space="preserve"> pleading and according to Rule 23(1) an exception on this particular ground must be delivered: “</w:t>
      </w:r>
      <w:r w:rsidR="00F76D94" w:rsidRPr="00A55D51">
        <w:rPr>
          <w:rFonts w:ascii="Arial" w:eastAsia="Arial" w:hAnsi="Arial" w:cs="Arial"/>
          <w:i/>
          <w:iCs/>
          <w:color w:val="000000"/>
          <w:sz w:val="24"/>
          <w:szCs w:val="24"/>
        </w:rPr>
        <w:t>within the period allowed for filing any subsequent pleading</w:t>
      </w:r>
      <w:r w:rsidR="00F76D94" w:rsidRPr="00A55D51">
        <w:rPr>
          <w:rFonts w:ascii="Arial" w:eastAsia="Arial" w:hAnsi="Arial" w:cs="Arial"/>
          <w:color w:val="000000"/>
          <w:sz w:val="24"/>
          <w:szCs w:val="24"/>
        </w:rPr>
        <w:t>”.</w:t>
      </w:r>
    </w:p>
    <w:p w14:paraId="4E93FEE8" w14:textId="77777777" w:rsidR="00F76D94" w:rsidRDefault="00F76D94" w:rsidP="00F76D9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B15BA38" w14:textId="2E0718A0" w:rsidR="00F76D94"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25.</w:t>
      </w:r>
      <w:r>
        <w:rPr>
          <w:rFonts w:ascii="Arial" w:eastAsia="Arial" w:hAnsi="Arial" w:cs="Arial"/>
          <w:color w:val="000000"/>
          <w:sz w:val="24"/>
          <w:szCs w:val="24"/>
        </w:rPr>
        <w:tab/>
      </w:r>
      <w:r w:rsidR="00F76D94" w:rsidRPr="00A55D51">
        <w:rPr>
          <w:rFonts w:ascii="Arial" w:eastAsia="Arial" w:hAnsi="Arial" w:cs="Arial"/>
          <w:color w:val="000000"/>
          <w:sz w:val="24"/>
          <w:szCs w:val="24"/>
        </w:rPr>
        <w:t xml:space="preserve">The exception on this ground proceeds on the following </w:t>
      </w:r>
      <w:r w:rsidR="00D13A40" w:rsidRPr="00A55D51">
        <w:rPr>
          <w:rFonts w:ascii="Arial" w:eastAsia="Arial" w:hAnsi="Arial" w:cs="Arial"/>
          <w:color w:val="000000"/>
          <w:sz w:val="24"/>
          <w:szCs w:val="24"/>
        </w:rPr>
        <w:t>reasoning:-</w:t>
      </w:r>
    </w:p>
    <w:p w14:paraId="7B50FD1A" w14:textId="6D0AC5A7" w:rsidR="005B4820" w:rsidRDefault="005B4820" w:rsidP="005B482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28BC9847" w14:textId="3E061530" w:rsidR="005B4820" w:rsidRDefault="00D13A40" w:rsidP="00E44BE3">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25.1</w:t>
      </w:r>
      <w:r>
        <w:rPr>
          <w:rFonts w:ascii="Arial" w:eastAsia="Arial" w:hAnsi="Arial" w:cs="Arial"/>
          <w:color w:val="000000"/>
          <w:sz w:val="24"/>
          <w:szCs w:val="24"/>
        </w:rPr>
        <w:tab/>
      </w:r>
      <w:r w:rsidR="007D2D00">
        <w:rPr>
          <w:rFonts w:ascii="Arial" w:eastAsia="Arial" w:hAnsi="Arial" w:cs="Arial"/>
          <w:color w:val="000000"/>
          <w:sz w:val="24"/>
          <w:szCs w:val="24"/>
        </w:rPr>
        <w:t xml:space="preserve">Floorworx allege in paragraph 14.2 </w:t>
      </w:r>
      <w:r w:rsidR="00A07453">
        <w:rPr>
          <w:rFonts w:ascii="Arial" w:eastAsia="Arial" w:hAnsi="Arial" w:cs="Arial"/>
          <w:color w:val="000000"/>
          <w:sz w:val="24"/>
          <w:szCs w:val="24"/>
        </w:rPr>
        <w:t>of the Amended Particulars of Claim</w:t>
      </w:r>
      <w:r w:rsidR="00A07453">
        <w:rPr>
          <w:rStyle w:val="FootnoteReference"/>
          <w:rFonts w:ascii="Arial" w:eastAsia="Arial" w:hAnsi="Arial" w:cs="Arial"/>
          <w:color w:val="000000"/>
          <w:sz w:val="24"/>
          <w:szCs w:val="24"/>
        </w:rPr>
        <w:footnoteReference w:id="15"/>
      </w:r>
      <w:r w:rsidR="00A07453">
        <w:rPr>
          <w:rFonts w:ascii="Arial" w:eastAsia="Arial" w:hAnsi="Arial" w:cs="Arial"/>
          <w:color w:val="000000"/>
          <w:sz w:val="24"/>
          <w:szCs w:val="24"/>
        </w:rPr>
        <w:t xml:space="preserve"> </w:t>
      </w:r>
      <w:r w:rsidR="007D2D00">
        <w:rPr>
          <w:rFonts w:ascii="Arial" w:eastAsia="Arial" w:hAnsi="Arial" w:cs="Arial"/>
          <w:color w:val="000000"/>
          <w:sz w:val="24"/>
          <w:szCs w:val="24"/>
        </w:rPr>
        <w:t xml:space="preserve">that Accentuate acted as its disclosed agent in terms of a mandate in concluding an agreement in each relevant </w:t>
      </w:r>
      <w:r w:rsidR="0044016C">
        <w:rPr>
          <w:rFonts w:ascii="Arial" w:eastAsia="Arial" w:hAnsi="Arial" w:cs="Arial"/>
          <w:color w:val="000000"/>
          <w:sz w:val="24"/>
          <w:szCs w:val="24"/>
        </w:rPr>
        <w:t>year</w:t>
      </w:r>
      <w:r w:rsidR="00E44BE3">
        <w:rPr>
          <w:rFonts w:ascii="Arial" w:eastAsia="Arial" w:hAnsi="Arial" w:cs="Arial"/>
          <w:color w:val="000000"/>
          <w:sz w:val="24"/>
          <w:szCs w:val="24"/>
        </w:rPr>
        <w:t xml:space="preserve"> between Floorworx and Mazars.  Accordingly, Floorworx relies for its causes of action against Mazars on a contract or contracts of agency and</w:t>
      </w:r>
      <w:r w:rsidR="00FA5458">
        <w:rPr>
          <w:rFonts w:ascii="Arial" w:eastAsia="Arial" w:hAnsi="Arial" w:cs="Arial"/>
          <w:color w:val="000000"/>
          <w:sz w:val="24"/>
          <w:szCs w:val="24"/>
        </w:rPr>
        <w:t>/or</w:t>
      </w:r>
      <w:r w:rsidR="00E44BE3">
        <w:rPr>
          <w:rFonts w:ascii="Arial" w:eastAsia="Arial" w:hAnsi="Arial" w:cs="Arial"/>
          <w:color w:val="000000"/>
          <w:sz w:val="24"/>
          <w:szCs w:val="24"/>
        </w:rPr>
        <w:t xml:space="preserve"> mandate between Accentuate and itself;</w:t>
      </w:r>
    </w:p>
    <w:p w14:paraId="14D8C707" w14:textId="77777777" w:rsidR="00D13A40" w:rsidRDefault="00D13A40" w:rsidP="00D13A4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D99FA3E" w14:textId="123F2E71" w:rsidR="00D13A40" w:rsidRDefault="00D13A40" w:rsidP="00AA1EB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25.2</w:t>
      </w:r>
      <w:r>
        <w:rPr>
          <w:rFonts w:ascii="Arial" w:eastAsia="Arial" w:hAnsi="Arial" w:cs="Arial"/>
          <w:color w:val="000000"/>
          <w:sz w:val="24"/>
          <w:szCs w:val="24"/>
        </w:rPr>
        <w:tab/>
      </w:r>
      <w:r w:rsidR="0044016C">
        <w:rPr>
          <w:rFonts w:ascii="Arial" w:eastAsia="Arial" w:hAnsi="Arial" w:cs="Arial"/>
          <w:color w:val="000000"/>
          <w:sz w:val="24"/>
          <w:szCs w:val="24"/>
        </w:rPr>
        <w:t>h</w:t>
      </w:r>
      <w:r w:rsidR="00AA1EB9">
        <w:rPr>
          <w:rFonts w:ascii="Arial" w:eastAsia="Arial" w:hAnsi="Arial" w:cs="Arial"/>
          <w:color w:val="000000"/>
          <w:sz w:val="24"/>
          <w:szCs w:val="24"/>
        </w:rPr>
        <w:t>owever, Floorworx allegedly failed to plead and/or to be done the following:</w:t>
      </w:r>
    </w:p>
    <w:p w14:paraId="5CBE83FA" w14:textId="77777777" w:rsidR="00AA1EB9" w:rsidRDefault="00AA1EB9" w:rsidP="00D13A4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DC93FD4" w14:textId="2753AFC4" w:rsidR="00AA1EB9" w:rsidRDefault="00AA1EB9" w:rsidP="00D13A4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25.2.1</w:t>
      </w:r>
      <w:r>
        <w:rPr>
          <w:rFonts w:ascii="Arial" w:eastAsia="Arial" w:hAnsi="Arial" w:cs="Arial"/>
          <w:color w:val="000000"/>
          <w:sz w:val="24"/>
          <w:szCs w:val="24"/>
        </w:rPr>
        <w:tab/>
      </w:r>
      <w:r w:rsidR="0044016C">
        <w:rPr>
          <w:rFonts w:ascii="Arial" w:eastAsia="Arial" w:hAnsi="Arial" w:cs="Arial"/>
          <w:color w:val="000000"/>
          <w:sz w:val="24"/>
          <w:szCs w:val="24"/>
        </w:rPr>
        <w:t>w</w:t>
      </w:r>
      <w:r>
        <w:rPr>
          <w:rFonts w:ascii="Arial" w:eastAsia="Arial" w:hAnsi="Arial" w:cs="Arial"/>
          <w:color w:val="000000"/>
          <w:sz w:val="24"/>
          <w:szCs w:val="24"/>
        </w:rPr>
        <w:t>hether those contracts were written or oral;</w:t>
      </w:r>
    </w:p>
    <w:p w14:paraId="4F0AB296" w14:textId="77777777" w:rsidR="00AA1EB9" w:rsidRDefault="00AA1EB9" w:rsidP="00D13A4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808D69E" w14:textId="75612F15" w:rsidR="00AA1EB9" w:rsidRDefault="00AA1EB9" w:rsidP="00D13A4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25.2.2</w:t>
      </w:r>
      <w:r>
        <w:rPr>
          <w:rFonts w:ascii="Arial" w:eastAsia="Arial" w:hAnsi="Arial" w:cs="Arial"/>
          <w:color w:val="000000"/>
          <w:sz w:val="24"/>
          <w:szCs w:val="24"/>
        </w:rPr>
        <w:tab/>
      </w:r>
      <w:r w:rsidR="0044016C">
        <w:rPr>
          <w:rFonts w:ascii="Arial" w:eastAsia="Arial" w:hAnsi="Arial" w:cs="Arial"/>
          <w:color w:val="000000"/>
          <w:sz w:val="24"/>
          <w:szCs w:val="24"/>
        </w:rPr>
        <w:t>w</w:t>
      </w:r>
      <w:r>
        <w:rPr>
          <w:rFonts w:ascii="Arial" w:eastAsia="Arial" w:hAnsi="Arial" w:cs="Arial"/>
          <w:color w:val="000000"/>
          <w:sz w:val="24"/>
          <w:szCs w:val="24"/>
        </w:rPr>
        <w:t>hen, where and by whom those contracts were concluded;</w:t>
      </w:r>
    </w:p>
    <w:p w14:paraId="07DDFEAA" w14:textId="77777777" w:rsidR="00AA1EB9" w:rsidRDefault="00AA1EB9" w:rsidP="00D13A4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926776E" w14:textId="2AFE14C7" w:rsidR="00AA1EB9" w:rsidRDefault="00AA1EB9" w:rsidP="00701E58">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r>
        <w:rPr>
          <w:rFonts w:ascii="Arial" w:eastAsia="Arial" w:hAnsi="Arial" w:cs="Arial"/>
          <w:color w:val="000000"/>
          <w:sz w:val="24"/>
          <w:szCs w:val="24"/>
        </w:rPr>
        <w:lastRenderedPageBreak/>
        <w:t>25.2.3</w:t>
      </w:r>
      <w:r>
        <w:rPr>
          <w:rFonts w:ascii="Arial" w:eastAsia="Arial" w:hAnsi="Arial" w:cs="Arial"/>
          <w:color w:val="000000"/>
          <w:sz w:val="24"/>
          <w:szCs w:val="24"/>
        </w:rPr>
        <w:tab/>
      </w:r>
      <w:r w:rsidR="0044016C">
        <w:rPr>
          <w:rFonts w:ascii="Arial" w:eastAsia="Arial" w:hAnsi="Arial" w:cs="Arial"/>
          <w:color w:val="000000"/>
          <w:sz w:val="24"/>
          <w:szCs w:val="24"/>
        </w:rPr>
        <w:t>w</w:t>
      </w:r>
      <w:r w:rsidR="00701E58">
        <w:rPr>
          <w:rFonts w:ascii="Arial" w:eastAsia="Arial" w:hAnsi="Arial" w:cs="Arial"/>
          <w:color w:val="000000"/>
          <w:sz w:val="24"/>
          <w:szCs w:val="24"/>
        </w:rPr>
        <w:t>hat the material written and/or oral terms of those contracts are;</w:t>
      </w:r>
    </w:p>
    <w:p w14:paraId="70330C9B" w14:textId="77777777" w:rsidR="00701E58" w:rsidRDefault="00701E58" w:rsidP="00701E58">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p>
    <w:p w14:paraId="1015DC89" w14:textId="2DDEC12E" w:rsidR="00701E58" w:rsidRDefault="00701E58" w:rsidP="00701E58">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r>
        <w:rPr>
          <w:rFonts w:ascii="Arial" w:eastAsia="Arial" w:hAnsi="Arial" w:cs="Arial"/>
          <w:color w:val="000000"/>
          <w:sz w:val="24"/>
          <w:szCs w:val="24"/>
        </w:rPr>
        <w:t>25.2.4</w:t>
      </w:r>
      <w:r>
        <w:rPr>
          <w:rFonts w:ascii="Arial" w:eastAsia="Arial" w:hAnsi="Arial" w:cs="Arial"/>
          <w:color w:val="000000"/>
          <w:sz w:val="24"/>
          <w:szCs w:val="24"/>
        </w:rPr>
        <w:tab/>
      </w:r>
      <w:r w:rsidR="0044016C">
        <w:rPr>
          <w:rFonts w:ascii="Arial" w:eastAsia="Arial" w:hAnsi="Arial" w:cs="Arial"/>
          <w:color w:val="000000"/>
          <w:sz w:val="24"/>
          <w:szCs w:val="24"/>
        </w:rPr>
        <w:t>t</w:t>
      </w:r>
      <w:r>
        <w:rPr>
          <w:rFonts w:ascii="Arial" w:eastAsia="Arial" w:hAnsi="Arial" w:cs="Arial"/>
          <w:color w:val="000000"/>
          <w:sz w:val="24"/>
          <w:szCs w:val="24"/>
        </w:rPr>
        <w:t>he existence and scope of Accentuate’s authori</w:t>
      </w:r>
      <w:r w:rsidR="00C24BC2">
        <w:rPr>
          <w:rFonts w:ascii="Arial" w:eastAsia="Arial" w:hAnsi="Arial" w:cs="Arial"/>
          <w:color w:val="000000"/>
          <w:sz w:val="24"/>
          <w:szCs w:val="24"/>
        </w:rPr>
        <w:t xml:space="preserve">ty </w:t>
      </w:r>
      <w:r w:rsidR="00C24BC2">
        <w:rPr>
          <w:rFonts w:ascii="Arial" w:eastAsia="Arial" w:hAnsi="Arial" w:cs="Arial"/>
          <w:i/>
          <w:iCs/>
          <w:color w:val="000000"/>
          <w:sz w:val="24"/>
          <w:szCs w:val="24"/>
        </w:rPr>
        <w:t>qu</w:t>
      </w:r>
      <w:r w:rsidR="0044016C">
        <w:rPr>
          <w:rFonts w:ascii="Arial" w:eastAsia="Arial" w:hAnsi="Arial" w:cs="Arial"/>
          <w:i/>
          <w:iCs/>
          <w:color w:val="000000"/>
          <w:sz w:val="24"/>
          <w:szCs w:val="24"/>
        </w:rPr>
        <w:t>a</w:t>
      </w:r>
      <w:r w:rsidR="00C24BC2">
        <w:rPr>
          <w:rFonts w:ascii="Arial" w:eastAsia="Arial" w:hAnsi="Arial" w:cs="Arial"/>
          <w:color w:val="000000"/>
          <w:sz w:val="24"/>
          <w:szCs w:val="24"/>
        </w:rPr>
        <w:t xml:space="preserve"> disclosed agent/</w:t>
      </w:r>
      <w:r w:rsidR="00E02686">
        <w:rPr>
          <w:rFonts w:ascii="Arial" w:eastAsia="Arial" w:hAnsi="Arial" w:cs="Arial"/>
          <w:color w:val="000000"/>
          <w:sz w:val="24"/>
          <w:szCs w:val="24"/>
        </w:rPr>
        <w:t>mandatee;</w:t>
      </w:r>
      <w:r w:rsidR="00FA3D29">
        <w:rPr>
          <w:rFonts w:ascii="Arial" w:eastAsia="Arial" w:hAnsi="Arial" w:cs="Arial"/>
          <w:color w:val="000000"/>
          <w:sz w:val="24"/>
          <w:szCs w:val="24"/>
        </w:rPr>
        <w:t xml:space="preserve"> </w:t>
      </w:r>
      <w:r w:rsidR="00056C0A">
        <w:rPr>
          <w:rFonts w:ascii="Arial" w:eastAsia="Arial" w:hAnsi="Arial" w:cs="Arial"/>
          <w:color w:val="000000"/>
          <w:sz w:val="24"/>
          <w:szCs w:val="24"/>
        </w:rPr>
        <w:t>and</w:t>
      </w:r>
    </w:p>
    <w:p w14:paraId="4087B8B8" w14:textId="77777777" w:rsidR="00E02686" w:rsidRDefault="00E02686" w:rsidP="00701E58">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p>
    <w:p w14:paraId="1BB37CDD" w14:textId="0A67AD67" w:rsidR="00E02686" w:rsidRDefault="00E02686" w:rsidP="00701E58">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r>
        <w:rPr>
          <w:rFonts w:ascii="Arial" w:eastAsia="Arial" w:hAnsi="Arial" w:cs="Arial"/>
          <w:color w:val="000000"/>
          <w:sz w:val="24"/>
          <w:szCs w:val="24"/>
        </w:rPr>
        <w:t>25.2.5</w:t>
      </w:r>
      <w:r>
        <w:rPr>
          <w:rFonts w:ascii="Arial" w:eastAsia="Arial" w:hAnsi="Arial" w:cs="Arial"/>
          <w:color w:val="000000"/>
          <w:sz w:val="24"/>
          <w:szCs w:val="24"/>
        </w:rPr>
        <w:tab/>
      </w:r>
      <w:r w:rsidR="0044016C">
        <w:rPr>
          <w:rFonts w:ascii="Arial" w:eastAsia="Arial" w:hAnsi="Arial" w:cs="Arial"/>
          <w:color w:val="000000"/>
          <w:sz w:val="24"/>
          <w:szCs w:val="24"/>
        </w:rPr>
        <w:t>f</w:t>
      </w:r>
      <w:r>
        <w:rPr>
          <w:rFonts w:ascii="Arial" w:eastAsia="Arial" w:hAnsi="Arial" w:cs="Arial"/>
          <w:color w:val="000000"/>
          <w:sz w:val="24"/>
          <w:szCs w:val="24"/>
        </w:rPr>
        <w:t>ailed to annex a true copy o</w:t>
      </w:r>
      <w:r w:rsidR="009C152F">
        <w:rPr>
          <w:rFonts w:ascii="Arial" w:eastAsia="Arial" w:hAnsi="Arial" w:cs="Arial"/>
          <w:color w:val="000000"/>
          <w:sz w:val="24"/>
          <w:szCs w:val="24"/>
        </w:rPr>
        <w:t>f the agency contracts to the Amended Particulars of Claim</w:t>
      </w:r>
      <w:r w:rsidR="00FA3D29">
        <w:rPr>
          <w:rFonts w:ascii="Arial" w:eastAsia="Arial" w:hAnsi="Arial" w:cs="Arial"/>
          <w:color w:val="000000"/>
          <w:sz w:val="24"/>
          <w:szCs w:val="24"/>
        </w:rPr>
        <w:t>,</w:t>
      </w:r>
      <w:r w:rsidR="009C152F">
        <w:rPr>
          <w:rFonts w:ascii="Arial" w:eastAsia="Arial" w:hAnsi="Arial" w:cs="Arial"/>
          <w:color w:val="000000"/>
          <w:sz w:val="24"/>
          <w:szCs w:val="24"/>
        </w:rPr>
        <w:t xml:space="preserve"> if they were written; </w:t>
      </w:r>
      <w:r w:rsidR="00FA5458">
        <w:rPr>
          <w:rFonts w:ascii="Arial" w:eastAsia="Arial" w:hAnsi="Arial" w:cs="Arial"/>
          <w:color w:val="000000"/>
          <w:sz w:val="24"/>
          <w:szCs w:val="24"/>
        </w:rPr>
        <w:t>and</w:t>
      </w:r>
    </w:p>
    <w:p w14:paraId="2CC3195B" w14:textId="77777777" w:rsidR="003A7BF9" w:rsidRDefault="003A7BF9" w:rsidP="00701E58">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p>
    <w:p w14:paraId="1B02BB49" w14:textId="0CC8C408" w:rsidR="009C152F" w:rsidRDefault="009C152F" w:rsidP="00056C0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sidRPr="00056C0A">
        <w:rPr>
          <w:rFonts w:ascii="Arial" w:eastAsia="Arial" w:hAnsi="Arial" w:cs="Arial"/>
          <w:color w:val="000000"/>
          <w:sz w:val="24"/>
          <w:szCs w:val="24"/>
        </w:rPr>
        <w:t>25.</w:t>
      </w:r>
      <w:r w:rsidR="00056C0A">
        <w:rPr>
          <w:rFonts w:ascii="Arial" w:eastAsia="Arial" w:hAnsi="Arial" w:cs="Arial"/>
          <w:color w:val="000000"/>
          <w:sz w:val="24"/>
          <w:szCs w:val="24"/>
        </w:rPr>
        <w:t>3</w:t>
      </w:r>
      <w:r w:rsidR="00FA5458">
        <w:rPr>
          <w:rFonts w:ascii="Arial" w:eastAsia="Arial" w:hAnsi="Arial" w:cs="Arial"/>
          <w:color w:val="000000"/>
          <w:sz w:val="24"/>
          <w:szCs w:val="24"/>
        </w:rPr>
        <w:tab/>
        <w:t>o</w:t>
      </w:r>
      <w:r w:rsidRPr="00056C0A">
        <w:rPr>
          <w:rFonts w:ascii="Arial" w:eastAsia="Arial" w:hAnsi="Arial" w:cs="Arial"/>
          <w:color w:val="000000"/>
          <w:sz w:val="24"/>
          <w:szCs w:val="24"/>
        </w:rPr>
        <w:t xml:space="preserve">n the aforesaid basis, it is concluded that Floorworx failed to establish a contractual nexus between itself and Mazars </w:t>
      </w:r>
      <w:r w:rsidR="000815DD" w:rsidRPr="00056C0A">
        <w:rPr>
          <w:rFonts w:ascii="Arial" w:eastAsia="Arial" w:hAnsi="Arial" w:cs="Arial"/>
          <w:color w:val="000000"/>
          <w:sz w:val="24"/>
          <w:szCs w:val="24"/>
        </w:rPr>
        <w:t>as a result of which it is concluded that the Amended Particulars of Claim lacks the necessary averments to disclose a cause of action</w:t>
      </w:r>
      <w:r w:rsidR="000F670D">
        <w:rPr>
          <w:rStyle w:val="FootnoteReference"/>
          <w:rFonts w:ascii="Arial" w:eastAsia="Arial" w:hAnsi="Arial" w:cs="Arial"/>
          <w:color w:val="000000"/>
          <w:sz w:val="24"/>
          <w:szCs w:val="24"/>
        </w:rPr>
        <w:footnoteReference w:id="16"/>
      </w:r>
      <w:r w:rsidR="000F670D" w:rsidRPr="00056C0A">
        <w:rPr>
          <w:rFonts w:ascii="Arial" w:eastAsia="Arial" w:hAnsi="Arial" w:cs="Arial"/>
          <w:color w:val="000000"/>
          <w:sz w:val="24"/>
          <w:szCs w:val="24"/>
        </w:rPr>
        <w:t>.</w:t>
      </w:r>
    </w:p>
    <w:p w14:paraId="116356A1" w14:textId="77777777" w:rsidR="00324BF1" w:rsidRDefault="00324BF1" w:rsidP="00324BF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E635F1C" w14:textId="6F738553" w:rsidR="00545036"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324BF1">
        <w:rPr>
          <w:rFonts w:ascii="Arial" w:eastAsia="Arial" w:hAnsi="Arial" w:cs="Arial"/>
          <w:color w:val="000000"/>
          <w:sz w:val="24"/>
          <w:szCs w:val="24"/>
        </w:rPr>
        <w:t>26.</w:t>
      </w:r>
      <w:r w:rsidRPr="00324BF1">
        <w:rPr>
          <w:rFonts w:ascii="Arial" w:eastAsia="Arial" w:hAnsi="Arial" w:cs="Arial"/>
          <w:color w:val="000000"/>
          <w:sz w:val="24"/>
          <w:szCs w:val="24"/>
        </w:rPr>
        <w:tab/>
      </w:r>
      <w:r w:rsidR="00545036" w:rsidRPr="00A55D51">
        <w:rPr>
          <w:rFonts w:ascii="Arial" w:eastAsia="Arial" w:hAnsi="Arial" w:cs="Arial"/>
          <w:color w:val="000000"/>
          <w:sz w:val="24"/>
          <w:szCs w:val="24"/>
        </w:rPr>
        <w:t xml:space="preserve">Exceptions are governed by Rule 23(1) of the Uniform Rules of Court which provides for the delivery of an exception where a pleading is either (i) vague and embarrassing, or (ii) lack averments which are necessary to sustain a cause of action or defence.  From the case law it is possible to extract </w:t>
      </w:r>
      <w:r w:rsidR="0095246F" w:rsidRPr="00A55D51">
        <w:rPr>
          <w:rFonts w:ascii="Arial" w:eastAsia="Arial" w:hAnsi="Arial" w:cs="Arial"/>
          <w:color w:val="000000"/>
          <w:sz w:val="24"/>
          <w:szCs w:val="24"/>
        </w:rPr>
        <w:t>the following materially relevant principles applicable to an exception on the basis that it lacks the necessary averments to sustain a cause of action:-</w:t>
      </w:r>
    </w:p>
    <w:p w14:paraId="11604114" w14:textId="77777777" w:rsidR="00545036" w:rsidRDefault="00545036" w:rsidP="00545036">
      <w:pPr>
        <w:pBdr>
          <w:top w:val="nil"/>
          <w:left w:val="nil"/>
          <w:bottom w:val="nil"/>
          <w:right w:val="nil"/>
          <w:between w:val="nil"/>
        </w:pBdr>
        <w:spacing w:after="0" w:line="360" w:lineRule="auto"/>
        <w:jc w:val="both"/>
        <w:rPr>
          <w:rFonts w:ascii="Arial" w:eastAsia="Arial" w:hAnsi="Arial" w:cs="Arial"/>
          <w:color w:val="000000"/>
          <w:sz w:val="24"/>
          <w:szCs w:val="24"/>
        </w:rPr>
      </w:pPr>
    </w:p>
    <w:p w14:paraId="70F3B41C" w14:textId="0CF6AD32" w:rsidR="0064737A" w:rsidRDefault="00545036" w:rsidP="00545036">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26.1</w:t>
      </w:r>
      <w:r>
        <w:rPr>
          <w:rFonts w:ascii="Arial" w:eastAsia="Arial" w:hAnsi="Arial" w:cs="Arial"/>
          <w:color w:val="000000"/>
          <w:sz w:val="24"/>
          <w:szCs w:val="24"/>
        </w:rPr>
        <w:tab/>
      </w:r>
      <w:r w:rsidR="00FA5458">
        <w:rPr>
          <w:rFonts w:ascii="Arial" w:eastAsia="Arial" w:hAnsi="Arial" w:cs="Arial"/>
          <w:color w:val="000000"/>
          <w:sz w:val="24"/>
          <w:szCs w:val="24"/>
        </w:rPr>
        <w:t>i</w:t>
      </w:r>
      <w:r w:rsidR="003726B2" w:rsidRPr="0064737A">
        <w:rPr>
          <w:rFonts w:ascii="Arial" w:eastAsia="Arial" w:hAnsi="Arial" w:cs="Arial"/>
          <w:color w:val="000000"/>
          <w:sz w:val="24"/>
          <w:szCs w:val="24"/>
        </w:rPr>
        <w:t>n order to disclose “</w:t>
      </w:r>
      <w:r w:rsidR="003726B2" w:rsidRPr="0064737A">
        <w:rPr>
          <w:rFonts w:ascii="Arial" w:eastAsia="Arial" w:hAnsi="Arial" w:cs="Arial"/>
          <w:i/>
          <w:iCs/>
          <w:color w:val="000000"/>
          <w:sz w:val="24"/>
          <w:szCs w:val="24"/>
        </w:rPr>
        <w:t>a cause of action</w:t>
      </w:r>
      <w:r w:rsidR="003726B2" w:rsidRPr="0064737A">
        <w:rPr>
          <w:rFonts w:ascii="Arial" w:eastAsia="Arial" w:hAnsi="Arial" w:cs="Arial"/>
          <w:color w:val="000000"/>
          <w:sz w:val="24"/>
          <w:szCs w:val="24"/>
        </w:rPr>
        <w:t xml:space="preserve">”, the plaintiff is required to allege only those facts that are necessary to support his right to judgment of the court.  It does not comprise every piece of evidence which is necessary to prove each of the aforementioned facts, but every fact which is necessary to be proved. Put differently, it is only necessary to allege the </w:t>
      </w:r>
      <w:r w:rsidR="003726B2" w:rsidRPr="0064737A">
        <w:rPr>
          <w:rFonts w:ascii="Arial" w:eastAsia="Arial" w:hAnsi="Arial" w:cs="Arial"/>
          <w:i/>
          <w:iCs/>
          <w:color w:val="000000"/>
          <w:sz w:val="24"/>
          <w:szCs w:val="24"/>
        </w:rPr>
        <w:t>facta probanda</w:t>
      </w:r>
      <w:r w:rsidR="003726B2" w:rsidRPr="0064737A">
        <w:rPr>
          <w:rFonts w:ascii="Arial" w:eastAsia="Arial" w:hAnsi="Arial" w:cs="Arial"/>
          <w:color w:val="000000"/>
          <w:sz w:val="24"/>
          <w:szCs w:val="24"/>
        </w:rPr>
        <w:t xml:space="preserve"> and not the </w:t>
      </w:r>
      <w:r w:rsidR="003E06AB">
        <w:rPr>
          <w:rFonts w:ascii="Arial" w:eastAsia="Arial" w:hAnsi="Arial" w:cs="Arial"/>
          <w:i/>
          <w:iCs/>
          <w:color w:val="000000"/>
          <w:sz w:val="24"/>
          <w:szCs w:val="24"/>
        </w:rPr>
        <w:t>facta probantia</w:t>
      </w:r>
      <w:r w:rsidR="003726B2">
        <w:rPr>
          <w:rStyle w:val="FootnoteReference"/>
          <w:rFonts w:ascii="Arial" w:eastAsia="Arial" w:hAnsi="Arial" w:cs="Arial"/>
          <w:i/>
          <w:iCs/>
          <w:color w:val="000000"/>
          <w:sz w:val="24"/>
          <w:szCs w:val="24"/>
        </w:rPr>
        <w:footnoteReference w:id="17"/>
      </w:r>
      <w:r w:rsidR="003726B2" w:rsidRPr="0064737A">
        <w:rPr>
          <w:rFonts w:ascii="Arial" w:eastAsia="Arial" w:hAnsi="Arial" w:cs="Arial"/>
          <w:i/>
          <w:iCs/>
          <w:color w:val="000000"/>
          <w:sz w:val="24"/>
          <w:szCs w:val="24"/>
        </w:rPr>
        <w:t>;</w:t>
      </w:r>
    </w:p>
    <w:p w14:paraId="6208F4F7" w14:textId="77777777" w:rsidR="0064737A" w:rsidRDefault="0064737A" w:rsidP="0064737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p>
    <w:p w14:paraId="674689F3" w14:textId="4DF52D0E" w:rsidR="0064737A" w:rsidRDefault="0095246F" w:rsidP="0064737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26</w:t>
      </w:r>
      <w:r w:rsidR="0064737A">
        <w:rPr>
          <w:rFonts w:ascii="Arial" w:eastAsia="Arial" w:hAnsi="Arial" w:cs="Arial"/>
          <w:color w:val="000000"/>
          <w:sz w:val="24"/>
          <w:szCs w:val="24"/>
        </w:rPr>
        <w:t>.</w:t>
      </w:r>
      <w:r>
        <w:rPr>
          <w:rFonts w:ascii="Arial" w:eastAsia="Arial" w:hAnsi="Arial" w:cs="Arial"/>
          <w:color w:val="000000"/>
          <w:sz w:val="24"/>
          <w:szCs w:val="24"/>
        </w:rPr>
        <w:t>2</w:t>
      </w:r>
      <w:r w:rsidR="0064737A">
        <w:rPr>
          <w:rFonts w:ascii="Arial" w:eastAsia="Arial" w:hAnsi="Arial" w:cs="Arial"/>
          <w:color w:val="000000"/>
          <w:sz w:val="24"/>
          <w:szCs w:val="24"/>
        </w:rPr>
        <w:tab/>
      </w:r>
      <w:r w:rsidR="003E06AB">
        <w:rPr>
          <w:rFonts w:ascii="Arial" w:eastAsia="Arial" w:hAnsi="Arial" w:cs="Arial"/>
          <w:color w:val="000000"/>
          <w:sz w:val="24"/>
          <w:szCs w:val="24"/>
        </w:rPr>
        <w:t>i</w:t>
      </w:r>
      <w:r w:rsidR="003726B2" w:rsidRPr="0064737A">
        <w:rPr>
          <w:rFonts w:ascii="Arial" w:eastAsia="Arial" w:hAnsi="Arial" w:cs="Arial"/>
          <w:color w:val="000000"/>
          <w:sz w:val="24"/>
          <w:szCs w:val="24"/>
        </w:rPr>
        <w:t>n considering an exception on this ground, the Court will accept, as true, the allegations pleaded by the plaintiff to assess whether they disclose a cause of action</w:t>
      </w:r>
      <w:r w:rsidR="003726B2">
        <w:rPr>
          <w:rStyle w:val="FootnoteReference"/>
          <w:rFonts w:ascii="Arial" w:eastAsia="Arial" w:hAnsi="Arial" w:cs="Arial"/>
          <w:color w:val="000000"/>
          <w:sz w:val="24"/>
          <w:szCs w:val="24"/>
        </w:rPr>
        <w:footnoteReference w:id="18"/>
      </w:r>
      <w:r w:rsidR="003726B2" w:rsidRPr="0064737A">
        <w:rPr>
          <w:rFonts w:ascii="Arial" w:eastAsia="Arial" w:hAnsi="Arial" w:cs="Arial"/>
          <w:color w:val="000000"/>
          <w:sz w:val="24"/>
          <w:szCs w:val="24"/>
        </w:rPr>
        <w:t>;</w:t>
      </w:r>
    </w:p>
    <w:p w14:paraId="2D4D8D4B" w14:textId="77777777" w:rsidR="0064737A" w:rsidRDefault="0064737A" w:rsidP="0064737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p>
    <w:p w14:paraId="50ED08EB" w14:textId="7374470F" w:rsidR="0064737A" w:rsidRDefault="0064737A" w:rsidP="0064737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w:t>
      </w:r>
      <w:r w:rsidR="0095246F">
        <w:rPr>
          <w:rFonts w:ascii="Arial" w:eastAsia="Arial" w:hAnsi="Arial" w:cs="Arial"/>
          <w:color w:val="000000"/>
          <w:sz w:val="24"/>
          <w:szCs w:val="24"/>
        </w:rPr>
        <w:t>6</w:t>
      </w:r>
      <w:r>
        <w:rPr>
          <w:rFonts w:ascii="Arial" w:eastAsia="Arial" w:hAnsi="Arial" w:cs="Arial"/>
          <w:color w:val="000000"/>
          <w:sz w:val="24"/>
          <w:szCs w:val="24"/>
        </w:rPr>
        <w:t>.</w:t>
      </w:r>
      <w:r w:rsidR="0095246F">
        <w:rPr>
          <w:rFonts w:ascii="Arial" w:eastAsia="Arial" w:hAnsi="Arial" w:cs="Arial"/>
          <w:color w:val="000000"/>
          <w:sz w:val="24"/>
          <w:szCs w:val="24"/>
        </w:rPr>
        <w:t>3</w:t>
      </w:r>
      <w:r>
        <w:rPr>
          <w:rFonts w:ascii="Arial" w:eastAsia="Arial" w:hAnsi="Arial" w:cs="Arial"/>
          <w:color w:val="000000"/>
          <w:sz w:val="24"/>
          <w:szCs w:val="24"/>
        </w:rPr>
        <w:tab/>
      </w:r>
      <w:r w:rsidR="003E06AB">
        <w:rPr>
          <w:rFonts w:ascii="Arial" w:eastAsia="Arial" w:hAnsi="Arial" w:cs="Arial"/>
          <w:color w:val="000000"/>
          <w:sz w:val="24"/>
          <w:szCs w:val="24"/>
        </w:rPr>
        <w:t>t</w:t>
      </w:r>
      <w:r w:rsidR="003726B2" w:rsidRPr="0064737A">
        <w:rPr>
          <w:rFonts w:ascii="Arial" w:eastAsia="Arial" w:hAnsi="Arial" w:cs="Arial"/>
          <w:color w:val="000000"/>
          <w:sz w:val="24"/>
          <w:szCs w:val="24"/>
        </w:rPr>
        <w:t>he purpose of this type of exception is to weed out cases which lack merit.  The ultimate goal is to set aside the pleading objected to in its entirety or in part.  The exception must therefore go to the root of the entire claim or defence, as the case may be.  The excipient alleges that the pleading objected to, taken as it stands, is legally invalid for its purpose</w:t>
      </w:r>
      <w:r w:rsidR="003726B2">
        <w:rPr>
          <w:rStyle w:val="FootnoteReference"/>
          <w:rFonts w:ascii="Arial" w:eastAsia="Arial" w:hAnsi="Arial" w:cs="Arial"/>
          <w:color w:val="000000"/>
          <w:sz w:val="24"/>
          <w:szCs w:val="24"/>
        </w:rPr>
        <w:footnoteReference w:id="19"/>
      </w:r>
      <w:r w:rsidR="003726B2" w:rsidRPr="0064737A">
        <w:rPr>
          <w:rFonts w:ascii="Arial" w:eastAsia="Arial" w:hAnsi="Arial" w:cs="Arial"/>
          <w:color w:val="000000"/>
          <w:sz w:val="24"/>
          <w:szCs w:val="24"/>
        </w:rPr>
        <w:t>.  That is to say, unless the upholding of the exception would have the effect of destroying it altogether.</w:t>
      </w:r>
      <w:r w:rsidR="003726B2">
        <w:rPr>
          <w:rStyle w:val="FootnoteReference"/>
          <w:rFonts w:ascii="Arial" w:eastAsia="Arial" w:hAnsi="Arial" w:cs="Arial"/>
          <w:color w:val="000000"/>
          <w:sz w:val="24"/>
          <w:szCs w:val="24"/>
        </w:rPr>
        <w:footnoteReference w:id="20"/>
      </w:r>
      <w:r w:rsidR="003726B2" w:rsidRPr="0064737A">
        <w:rPr>
          <w:rFonts w:ascii="Arial" w:eastAsia="Arial" w:hAnsi="Arial" w:cs="Arial"/>
          <w:color w:val="000000"/>
          <w:sz w:val="24"/>
          <w:szCs w:val="24"/>
        </w:rPr>
        <w:t xml:space="preserve">  The exception must therefore have the effect of destroying a claim or defence altogether as the main function of an exception is to eliminate unnecessary evidence;</w:t>
      </w:r>
      <w:r w:rsidR="003726B2">
        <w:rPr>
          <w:rStyle w:val="FootnoteReference"/>
          <w:rFonts w:ascii="Arial" w:eastAsia="Arial" w:hAnsi="Arial" w:cs="Arial"/>
          <w:color w:val="000000"/>
          <w:sz w:val="24"/>
          <w:szCs w:val="24"/>
        </w:rPr>
        <w:footnoteReference w:id="21"/>
      </w:r>
    </w:p>
    <w:p w14:paraId="220B3C26" w14:textId="77777777" w:rsidR="0064737A" w:rsidRDefault="0064737A" w:rsidP="0064737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p>
    <w:p w14:paraId="40F6C4A1" w14:textId="287614CD" w:rsidR="0064737A" w:rsidRDefault="0064737A" w:rsidP="0064737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w:t>
      </w:r>
      <w:r w:rsidR="0095246F">
        <w:rPr>
          <w:rFonts w:ascii="Arial" w:eastAsia="Arial" w:hAnsi="Arial" w:cs="Arial"/>
          <w:color w:val="000000"/>
          <w:sz w:val="24"/>
          <w:szCs w:val="24"/>
        </w:rPr>
        <w:t>6</w:t>
      </w:r>
      <w:r>
        <w:rPr>
          <w:rFonts w:ascii="Arial" w:eastAsia="Arial" w:hAnsi="Arial" w:cs="Arial"/>
          <w:color w:val="000000"/>
          <w:sz w:val="24"/>
          <w:szCs w:val="24"/>
        </w:rPr>
        <w:t>.</w:t>
      </w:r>
      <w:r w:rsidR="0095246F">
        <w:rPr>
          <w:rFonts w:ascii="Arial" w:eastAsia="Arial" w:hAnsi="Arial" w:cs="Arial"/>
          <w:color w:val="000000"/>
          <w:sz w:val="24"/>
          <w:szCs w:val="24"/>
        </w:rPr>
        <w:t>4</w:t>
      </w:r>
      <w:r>
        <w:rPr>
          <w:rFonts w:ascii="Arial" w:eastAsia="Arial" w:hAnsi="Arial" w:cs="Arial"/>
          <w:color w:val="000000"/>
          <w:sz w:val="24"/>
          <w:szCs w:val="24"/>
        </w:rPr>
        <w:tab/>
      </w:r>
      <w:r w:rsidR="003E06AB">
        <w:rPr>
          <w:rFonts w:ascii="Arial" w:eastAsia="Arial" w:hAnsi="Arial" w:cs="Arial"/>
          <w:color w:val="000000"/>
          <w:sz w:val="24"/>
          <w:szCs w:val="24"/>
        </w:rPr>
        <w:t>a</w:t>
      </w:r>
      <w:r w:rsidR="003726B2" w:rsidRPr="0064737A">
        <w:rPr>
          <w:rFonts w:ascii="Arial" w:eastAsia="Arial" w:hAnsi="Arial" w:cs="Arial"/>
          <w:color w:val="000000"/>
          <w:sz w:val="24"/>
          <w:szCs w:val="24"/>
        </w:rPr>
        <w:t>n excipient who relies on this ground of exception must establish that upon any construction of the Particulars of Claim, no cause of action is disclosed.  Put differently, the excipient is required to show that upon every interpretation that the pleading in question can reasonably bear no cause of action is disclosed</w:t>
      </w:r>
      <w:r w:rsidR="003726B2">
        <w:rPr>
          <w:rStyle w:val="FootnoteReference"/>
          <w:rFonts w:ascii="Arial" w:eastAsia="Arial" w:hAnsi="Arial" w:cs="Arial"/>
          <w:color w:val="000000"/>
          <w:sz w:val="24"/>
          <w:szCs w:val="24"/>
        </w:rPr>
        <w:footnoteReference w:id="22"/>
      </w:r>
      <w:r w:rsidR="003726B2" w:rsidRPr="0064737A">
        <w:rPr>
          <w:rFonts w:ascii="Arial" w:eastAsia="Arial" w:hAnsi="Arial" w:cs="Arial"/>
          <w:color w:val="000000"/>
          <w:sz w:val="24"/>
          <w:szCs w:val="24"/>
        </w:rPr>
        <w:t>;</w:t>
      </w:r>
    </w:p>
    <w:p w14:paraId="62E9C93C" w14:textId="77777777" w:rsidR="0064737A" w:rsidRDefault="0064737A" w:rsidP="0064737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p>
    <w:p w14:paraId="06CEB499" w14:textId="49CE6963" w:rsidR="003726B2" w:rsidRPr="0064737A" w:rsidRDefault="0064737A" w:rsidP="0064737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w:t>
      </w:r>
      <w:r w:rsidR="000C56BC">
        <w:rPr>
          <w:rFonts w:ascii="Arial" w:eastAsia="Arial" w:hAnsi="Arial" w:cs="Arial"/>
          <w:color w:val="000000"/>
          <w:sz w:val="24"/>
          <w:szCs w:val="24"/>
        </w:rPr>
        <w:t>6</w:t>
      </w:r>
      <w:r>
        <w:rPr>
          <w:rFonts w:ascii="Arial" w:eastAsia="Arial" w:hAnsi="Arial" w:cs="Arial"/>
          <w:color w:val="000000"/>
          <w:sz w:val="24"/>
          <w:szCs w:val="24"/>
        </w:rPr>
        <w:t>.</w:t>
      </w:r>
      <w:r w:rsidR="000C56BC">
        <w:rPr>
          <w:rFonts w:ascii="Arial" w:eastAsia="Arial" w:hAnsi="Arial" w:cs="Arial"/>
          <w:color w:val="000000"/>
          <w:sz w:val="24"/>
          <w:szCs w:val="24"/>
        </w:rPr>
        <w:t>5</w:t>
      </w:r>
      <w:r>
        <w:rPr>
          <w:rFonts w:ascii="Arial" w:eastAsia="Arial" w:hAnsi="Arial" w:cs="Arial"/>
          <w:color w:val="000000"/>
          <w:sz w:val="24"/>
          <w:szCs w:val="24"/>
        </w:rPr>
        <w:tab/>
      </w:r>
      <w:r w:rsidR="003E06AB">
        <w:rPr>
          <w:rFonts w:ascii="Arial" w:eastAsia="Arial" w:hAnsi="Arial" w:cs="Arial"/>
          <w:color w:val="000000"/>
          <w:sz w:val="24"/>
          <w:szCs w:val="24"/>
        </w:rPr>
        <w:t>a</w:t>
      </w:r>
      <w:r w:rsidR="003726B2" w:rsidRPr="0064737A">
        <w:rPr>
          <w:rFonts w:ascii="Arial" w:eastAsia="Arial" w:hAnsi="Arial" w:cs="Arial"/>
          <w:color w:val="000000"/>
          <w:sz w:val="24"/>
          <w:szCs w:val="24"/>
        </w:rPr>
        <w:t xml:space="preserve"> charitable test is used on exception, especially in deciding whether a cause of action is established, and the pleader is entitled to a benevolent interpretation.  Put differently, a Court should not look at a pleading “</w:t>
      </w:r>
      <w:r w:rsidR="003726B2" w:rsidRPr="0064737A">
        <w:rPr>
          <w:rFonts w:ascii="Arial" w:eastAsia="Arial" w:hAnsi="Arial" w:cs="Arial"/>
          <w:i/>
          <w:iCs/>
          <w:color w:val="000000"/>
          <w:sz w:val="24"/>
          <w:szCs w:val="24"/>
        </w:rPr>
        <w:t>with a magnifying glass of too high power</w:t>
      </w:r>
      <w:r w:rsidR="003726B2" w:rsidRPr="0064737A">
        <w:rPr>
          <w:rFonts w:ascii="Arial" w:eastAsia="Arial" w:hAnsi="Arial" w:cs="Arial"/>
          <w:color w:val="000000"/>
          <w:sz w:val="24"/>
          <w:szCs w:val="24"/>
        </w:rPr>
        <w:t>”.  Similarly, the pleading must be read as a whole and no paragraph can be read in isolation.  It follows further that courts are reluctant to decide exceptions on this ground in respect of fact bound issues</w:t>
      </w:r>
      <w:r w:rsidR="003726B2">
        <w:rPr>
          <w:rStyle w:val="FootnoteReference"/>
          <w:rFonts w:ascii="Arial" w:eastAsia="Arial" w:hAnsi="Arial" w:cs="Arial"/>
          <w:color w:val="000000"/>
          <w:sz w:val="24"/>
          <w:szCs w:val="24"/>
        </w:rPr>
        <w:footnoteReference w:id="23"/>
      </w:r>
      <w:r w:rsidR="003726B2" w:rsidRPr="0064737A">
        <w:rPr>
          <w:rFonts w:ascii="Arial" w:eastAsia="Arial" w:hAnsi="Arial" w:cs="Arial"/>
          <w:color w:val="000000"/>
          <w:sz w:val="24"/>
          <w:szCs w:val="24"/>
        </w:rPr>
        <w:t>;</w:t>
      </w:r>
    </w:p>
    <w:p w14:paraId="42F307FB" w14:textId="77777777" w:rsidR="003726B2" w:rsidRPr="00497086" w:rsidRDefault="003726B2" w:rsidP="003726B2">
      <w:pPr>
        <w:pStyle w:val="ListParagraph"/>
        <w:rPr>
          <w:rFonts w:ascii="Arial" w:eastAsia="Arial" w:hAnsi="Arial" w:cs="Arial"/>
          <w:color w:val="000000"/>
          <w:sz w:val="24"/>
          <w:szCs w:val="24"/>
        </w:rPr>
      </w:pPr>
    </w:p>
    <w:p w14:paraId="5CD8B94D" w14:textId="3FE8FC11" w:rsidR="0064737A" w:rsidRDefault="0064737A" w:rsidP="0064737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w:t>
      </w:r>
      <w:r w:rsidR="000C56BC">
        <w:rPr>
          <w:rFonts w:ascii="Arial" w:eastAsia="Arial" w:hAnsi="Arial" w:cs="Arial"/>
          <w:color w:val="000000"/>
          <w:sz w:val="24"/>
          <w:szCs w:val="24"/>
        </w:rPr>
        <w:t>6</w:t>
      </w:r>
      <w:r>
        <w:rPr>
          <w:rFonts w:ascii="Arial" w:eastAsia="Arial" w:hAnsi="Arial" w:cs="Arial"/>
          <w:color w:val="000000"/>
          <w:sz w:val="24"/>
          <w:szCs w:val="24"/>
        </w:rPr>
        <w:t>.</w:t>
      </w:r>
      <w:r w:rsidR="000C56BC">
        <w:rPr>
          <w:rFonts w:ascii="Arial" w:eastAsia="Arial" w:hAnsi="Arial" w:cs="Arial"/>
          <w:color w:val="000000"/>
          <w:sz w:val="24"/>
          <w:szCs w:val="24"/>
        </w:rPr>
        <w:t>6</w:t>
      </w:r>
      <w:r>
        <w:rPr>
          <w:rFonts w:ascii="Arial" w:eastAsia="Arial" w:hAnsi="Arial" w:cs="Arial"/>
          <w:color w:val="000000"/>
          <w:sz w:val="24"/>
          <w:szCs w:val="24"/>
        </w:rPr>
        <w:tab/>
      </w:r>
      <w:r w:rsidR="003E06AB">
        <w:rPr>
          <w:rFonts w:ascii="Arial" w:eastAsia="Arial" w:hAnsi="Arial" w:cs="Arial"/>
          <w:color w:val="000000"/>
          <w:sz w:val="24"/>
          <w:szCs w:val="24"/>
        </w:rPr>
        <w:t>t</w:t>
      </w:r>
      <w:r w:rsidR="003726B2" w:rsidRPr="0064737A">
        <w:rPr>
          <w:rFonts w:ascii="Arial" w:eastAsia="Arial" w:hAnsi="Arial" w:cs="Arial"/>
          <w:color w:val="000000"/>
          <w:sz w:val="24"/>
          <w:szCs w:val="24"/>
        </w:rPr>
        <w:t xml:space="preserve">he distinction between </w:t>
      </w:r>
      <w:r w:rsidR="003726B2" w:rsidRPr="0064737A">
        <w:rPr>
          <w:rFonts w:ascii="Arial" w:eastAsia="Arial" w:hAnsi="Arial" w:cs="Arial"/>
          <w:i/>
          <w:iCs/>
          <w:color w:val="000000"/>
          <w:sz w:val="24"/>
          <w:szCs w:val="24"/>
        </w:rPr>
        <w:t>facta probanda</w:t>
      </w:r>
      <w:r w:rsidR="003726B2" w:rsidRPr="0064737A">
        <w:rPr>
          <w:rFonts w:ascii="Arial" w:eastAsia="Arial" w:hAnsi="Arial" w:cs="Arial"/>
          <w:color w:val="000000"/>
          <w:sz w:val="24"/>
          <w:szCs w:val="24"/>
        </w:rPr>
        <w:t xml:space="preserve">, or primary factual allegations which every plaintiff must make, and </w:t>
      </w:r>
      <w:r w:rsidR="003726B2" w:rsidRPr="0064737A">
        <w:rPr>
          <w:rFonts w:ascii="Arial" w:eastAsia="Arial" w:hAnsi="Arial" w:cs="Arial"/>
          <w:i/>
          <w:iCs/>
          <w:color w:val="000000"/>
          <w:sz w:val="24"/>
          <w:szCs w:val="24"/>
        </w:rPr>
        <w:t>facta probantia</w:t>
      </w:r>
      <w:r w:rsidR="003726B2" w:rsidRPr="0064737A">
        <w:rPr>
          <w:rFonts w:ascii="Arial" w:eastAsia="Arial" w:hAnsi="Arial" w:cs="Arial"/>
          <w:color w:val="000000"/>
          <w:sz w:val="24"/>
          <w:szCs w:val="24"/>
        </w:rPr>
        <w:t xml:space="preserve">, which are the secondary allegations upon which the plaintiff will rely in support of his </w:t>
      </w:r>
      <w:r w:rsidR="003726B2" w:rsidRPr="0064737A">
        <w:rPr>
          <w:rFonts w:ascii="Arial" w:eastAsia="Arial" w:hAnsi="Arial" w:cs="Arial"/>
          <w:color w:val="000000"/>
          <w:sz w:val="24"/>
          <w:szCs w:val="24"/>
        </w:rPr>
        <w:lastRenderedPageBreak/>
        <w:t>primary factual allegations must be ever present in the mind of the Court.  Generally speaking, the latter are matters for particulars for trial and even then are limited.  For the rest they are matters of evidence.  Accordingly, only facts need be pleaded.  Conclusions of law need not be pleaded. Bound up therewith is the consideration that certain allegations of fact expressly made carry with them implied allegations and the pleading must be so read</w:t>
      </w:r>
      <w:r w:rsidR="003726B2">
        <w:rPr>
          <w:rStyle w:val="FootnoteReference"/>
          <w:rFonts w:ascii="Arial" w:eastAsia="Arial" w:hAnsi="Arial" w:cs="Arial"/>
          <w:color w:val="000000"/>
          <w:sz w:val="24"/>
          <w:szCs w:val="24"/>
        </w:rPr>
        <w:footnoteReference w:id="24"/>
      </w:r>
      <w:r w:rsidR="003726B2" w:rsidRPr="0064737A">
        <w:rPr>
          <w:rFonts w:ascii="Arial" w:eastAsia="Arial" w:hAnsi="Arial" w:cs="Arial"/>
          <w:color w:val="000000"/>
          <w:sz w:val="24"/>
          <w:szCs w:val="24"/>
        </w:rPr>
        <w:t xml:space="preserve">.  Insofar as there can be an </w:t>
      </w:r>
      <w:r w:rsidR="003726B2" w:rsidRPr="0064737A">
        <w:rPr>
          <w:rFonts w:ascii="Arial" w:eastAsia="Arial" w:hAnsi="Arial" w:cs="Arial"/>
          <w:i/>
          <w:iCs/>
          <w:color w:val="000000"/>
          <w:sz w:val="24"/>
          <w:szCs w:val="24"/>
        </w:rPr>
        <w:t>onus</w:t>
      </w:r>
      <w:r w:rsidR="003726B2" w:rsidRPr="0064737A">
        <w:rPr>
          <w:rFonts w:ascii="Arial" w:eastAsia="Arial" w:hAnsi="Arial" w:cs="Arial"/>
          <w:color w:val="000000"/>
          <w:sz w:val="24"/>
          <w:szCs w:val="24"/>
        </w:rPr>
        <w:t>, the excipient has a duty to persuade the Court that the pleading is excipiable on every interpretation that can reasonably be attached to it.  The pleading must be looked at as a whole.  If there is uncertainty in regard to a pleader’s intention, the excipient cannot avail himself thereof unless he shows that upon any construction of the pleading the claim is excipiable</w:t>
      </w:r>
      <w:r w:rsidR="003726B2">
        <w:rPr>
          <w:rStyle w:val="FootnoteReference"/>
          <w:rFonts w:ascii="Arial" w:eastAsia="Arial" w:hAnsi="Arial" w:cs="Arial"/>
          <w:color w:val="000000"/>
          <w:sz w:val="24"/>
          <w:szCs w:val="24"/>
        </w:rPr>
        <w:footnoteReference w:id="25"/>
      </w:r>
      <w:r w:rsidR="003726B2" w:rsidRPr="0064737A">
        <w:rPr>
          <w:rFonts w:ascii="Arial" w:eastAsia="Arial" w:hAnsi="Arial" w:cs="Arial"/>
          <w:color w:val="000000"/>
          <w:sz w:val="24"/>
          <w:szCs w:val="24"/>
        </w:rPr>
        <w:t>;</w:t>
      </w:r>
    </w:p>
    <w:p w14:paraId="7FA3534A" w14:textId="77777777" w:rsidR="0064737A" w:rsidRDefault="0064737A" w:rsidP="0064737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p>
    <w:p w14:paraId="452E55F5" w14:textId="6AF489F2" w:rsidR="004C3247" w:rsidRDefault="0064737A" w:rsidP="004C3247">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w:t>
      </w:r>
      <w:r w:rsidR="000C56BC">
        <w:rPr>
          <w:rFonts w:ascii="Arial" w:eastAsia="Arial" w:hAnsi="Arial" w:cs="Arial"/>
          <w:color w:val="000000"/>
          <w:sz w:val="24"/>
          <w:szCs w:val="24"/>
        </w:rPr>
        <w:t>6</w:t>
      </w:r>
      <w:r>
        <w:rPr>
          <w:rFonts w:ascii="Arial" w:eastAsia="Arial" w:hAnsi="Arial" w:cs="Arial"/>
          <w:color w:val="000000"/>
          <w:sz w:val="24"/>
          <w:szCs w:val="24"/>
        </w:rPr>
        <w:t>.</w:t>
      </w:r>
      <w:r w:rsidR="000C56BC">
        <w:rPr>
          <w:rFonts w:ascii="Arial" w:eastAsia="Arial" w:hAnsi="Arial" w:cs="Arial"/>
          <w:color w:val="000000"/>
          <w:sz w:val="24"/>
          <w:szCs w:val="24"/>
        </w:rPr>
        <w:t>7</w:t>
      </w:r>
      <w:r>
        <w:rPr>
          <w:rFonts w:ascii="Arial" w:eastAsia="Arial" w:hAnsi="Arial" w:cs="Arial"/>
          <w:color w:val="000000"/>
          <w:sz w:val="24"/>
          <w:szCs w:val="24"/>
        </w:rPr>
        <w:tab/>
      </w:r>
      <w:r w:rsidR="003E06AB">
        <w:rPr>
          <w:rFonts w:ascii="Arial" w:eastAsia="Arial" w:hAnsi="Arial" w:cs="Arial"/>
          <w:color w:val="000000"/>
          <w:sz w:val="24"/>
          <w:szCs w:val="24"/>
        </w:rPr>
        <w:t>a</w:t>
      </w:r>
      <w:r w:rsidR="003726B2" w:rsidRPr="0064737A">
        <w:rPr>
          <w:rFonts w:ascii="Arial" w:eastAsia="Arial" w:hAnsi="Arial" w:cs="Arial"/>
          <w:color w:val="000000"/>
          <w:sz w:val="24"/>
          <w:szCs w:val="24"/>
        </w:rPr>
        <w:t>n excipient should make out a very clear and strong case before same should be allowed.  Furthermore, a commercial document executed by the parties with the clear intention that it should have commercial operation will not likely be held to be ineffective and a similar approach should be adopted to oral agreements</w:t>
      </w:r>
      <w:r w:rsidR="003726B2">
        <w:rPr>
          <w:rStyle w:val="FootnoteReference"/>
          <w:rFonts w:ascii="Arial" w:eastAsia="Arial" w:hAnsi="Arial" w:cs="Arial"/>
          <w:color w:val="000000"/>
          <w:sz w:val="24"/>
          <w:szCs w:val="24"/>
        </w:rPr>
        <w:footnoteReference w:id="26"/>
      </w:r>
      <w:r w:rsidR="003726B2" w:rsidRPr="0064737A">
        <w:rPr>
          <w:rFonts w:ascii="Arial" w:eastAsia="Arial" w:hAnsi="Arial" w:cs="Arial"/>
          <w:color w:val="000000"/>
          <w:sz w:val="24"/>
          <w:szCs w:val="24"/>
        </w:rPr>
        <w:t>;</w:t>
      </w:r>
    </w:p>
    <w:p w14:paraId="4B735D53" w14:textId="77777777" w:rsidR="004C3247" w:rsidRDefault="004C3247" w:rsidP="004C3247">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p>
    <w:p w14:paraId="7C287F34" w14:textId="0214A509" w:rsidR="004C3247" w:rsidRDefault="004C3247" w:rsidP="004C3247">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w:t>
      </w:r>
      <w:r w:rsidR="000C56BC">
        <w:rPr>
          <w:rFonts w:ascii="Arial" w:eastAsia="Arial" w:hAnsi="Arial" w:cs="Arial"/>
          <w:color w:val="000000"/>
          <w:sz w:val="24"/>
          <w:szCs w:val="24"/>
        </w:rPr>
        <w:t>6</w:t>
      </w:r>
      <w:r>
        <w:rPr>
          <w:rFonts w:ascii="Arial" w:eastAsia="Arial" w:hAnsi="Arial" w:cs="Arial"/>
          <w:color w:val="000000"/>
          <w:sz w:val="24"/>
          <w:szCs w:val="24"/>
        </w:rPr>
        <w:t>.</w:t>
      </w:r>
      <w:r w:rsidR="000C56BC">
        <w:rPr>
          <w:rFonts w:ascii="Arial" w:eastAsia="Arial" w:hAnsi="Arial" w:cs="Arial"/>
          <w:color w:val="000000"/>
          <w:sz w:val="24"/>
          <w:szCs w:val="24"/>
        </w:rPr>
        <w:t>8</w:t>
      </w:r>
      <w:r>
        <w:rPr>
          <w:rFonts w:ascii="Arial" w:eastAsia="Arial" w:hAnsi="Arial" w:cs="Arial"/>
          <w:color w:val="000000"/>
          <w:sz w:val="24"/>
          <w:szCs w:val="24"/>
        </w:rPr>
        <w:tab/>
      </w:r>
      <w:r w:rsidR="003E06AB">
        <w:rPr>
          <w:rFonts w:ascii="Arial" w:eastAsia="Arial" w:hAnsi="Arial" w:cs="Arial"/>
          <w:color w:val="000000"/>
          <w:sz w:val="24"/>
          <w:szCs w:val="24"/>
        </w:rPr>
        <w:t>a</w:t>
      </w:r>
      <w:r w:rsidR="003726B2" w:rsidRPr="004C3247">
        <w:rPr>
          <w:rFonts w:ascii="Arial" w:eastAsia="Arial" w:hAnsi="Arial" w:cs="Arial"/>
          <w:color w:val="000000"/>
          <w:sz w:val="24"/>
          <w:szCs w:val="24"/>
        </w:rPr>
        <w:t>n exception should also be dealt with sensibly and not in an over technical manner</w:t>
      </w:r>
      <w:r w:rsidR="003726B2">
        <w:rPr>
          <w:rStyle w:val="FootnoteReference"/>
          <w:rFonts w:ascii="Arial" w:eastAsia="Arial" w:hAnsi="Arial" w:cs="Arial"/>
          <w:color w:val="000000"/>
          <w:sz w:val="24"/>
          <w:szCs w:val="24"/>
        </w:rPr>
        <w:footnoteReference w:id="27"/>
      </w:r>
      <w:r w:rsidR="003726B2" w:rsidRPr="004C3247">
        <w:rPr>
          <w:rFonts w:ascii="Arial" w:eastAsia="Arial" w:hAnsi="Arial" w:cs="Arial"/>
          <w:color w:val="000000"/>
          <w:sz w:val="24"/>
          <w:szCs w:val="24"/>
        </w:rPr>
        <w:t>; and</w:t>
      </w:r>
    </w:p>
    <w:p w14:paraId="26F926F4" w14:textId="77777777" w:rsidR="004C3247" w:rsidRDefault="004C3247" w:rsidP="004C3247">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p>
    <w:p w14:paraId="377172D1" w14:textId="0270DEC7" w:rsidR="003726B2" w:rsidRPr="004C3247" w:rsidRDefault="004C3247" w:rsidP="004C3247">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w:t>
      </w:r>
      <w:r w:rsidR="000C56BC">
        <w:rPr>
          <w:rFonts w:ascii="Arial" w:eastAsia="Arial" w:hAnsi="Arial" w:cs="Arial"/>
          <w:color w:val="000000"/>
          <w:sz w:val="24"/>
          <w:szCs w:val="24"/>
        </w:rPr>
        <w:t>6</w:t>
      </w:r>
      <w:r>
        <w:rPr>
          <w:rFonts w:ascii="Arial" w:eastAsia="Arial" w:hAnsi="Arial" w:cs="Arial"/>
          <w:color w:val="000000"/>
          <w:sz w:val="24"/>
          <w:szCs w:val="24"/>
        </w:rPr>
        <w:t>.</w:t>
      </w:r>
      <w:r w:rsidR="000C56BC">
        <w:rPr>
          <w:rFonts w:ascii="Arial" w:eastAsia="Arial" w:hAnsi="Arial" w:cs="Arial"/>
          <w:color w:val="000000"/>
          <w:sz w:val="24"/>
          <w:szCs w:val="24"/>
        </w:rPr>
        <w:t>9</w:t>
      </w:r>
      <w:r>
        <w:rPr>
          <w:rFonts w:ascii="Arial" w:eastAsia="Arial" w:hAnsi="Arial" w:cs="Arial"/>
          <w:color w:val="000000"/>
          <w:sz w:val="24"/>
          <w:szCs w:val="24"/>
        </w:rPr>
        <w:tab/>
      </w:r>
      <w:r w:rsidR="003E06AB">
        <w:rPr>
          <w:rFonts w:ascii="Arial" w:eastAsia="Arial" w:hAnsi="Arial" w:cs="Arial"/>
          <w:color w:val="000000"/>
          <w:sz w:val="24"/>
          <w:szCs w:val="24"/>
        </w:rPr>
        <w:t>i</w:t>
      </w:r>
      <w:r w:rsidR="003726B2" w:rsidRPr="004C3247">
        <w:rPr>
          <w:rFonts w:ascii="Arial" w:eastAsia="Arial" w:hAnsi="Arial" w:cs="Arial"/>
          <w:color w:val="000000"/>
          <w:sz w:val="24"/>
          <w:szCs w:val="24"/>
        </w:rPr>
        <w:t>t is the invariable practice of the courts in cases where an exception has successfully been taken as disclosing no cause of action to order that the pleading be set aside and that the plaintiff and/or defendant be given leave, if so advised, to file an amended pleading within a certain period of time</w:t>
      </w:r>
      <w:r w:rsidR="003726B2">
        <w:rPr>
          <w:rStyle w:val="FootnoteReference"/>
          <w:rFonts w:ascii="Arial" w:eastAsia="Arial" w:hAnsi="Arial" w:cs="Arial"/>
          <w:color w:val="000000"/>
          <w:sz w:val="24"/>
          <w:szCs w:val="24"/>
        </w:rPr>
        <w:footnoteReference w:id="28"/>
      </w:r>
      <w:r w:rsidR="003726B2" w:rsidRPr="004C3247">
        <w:rPr>
          <w:rFonts w:ascii="Arial" w:eastAsia="Arial" w:hAnsi="Arial" w:cs="Arial"/>
          <w:color w:val="000000"/>
          <w:sz w:val="24"/>
          <w:szCs w:val="24"/>
        </w:rPr>
        <w:t>.</w:t>
      </w:r>
    </w:p>
    <w:p w14:paraId="74F0F77B" w14:textId="5B531E32" w:rsidR="005B4820" w:rsidRDefault="005B4820" w:rsidP="005B482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3F1F28C6" w14:textId="00DF8238" w:rsidR="003E06AB"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27.</w:t>
      </w:r>
      <w:r>
        <w:rPr>
          <w:rFonts w:ascii="Arial" w:eastAsia="Arial" w:hAnsi="Arial" w:cs="Arial"/>
          <w:color w:val="000000"/>
          <w:sz w:val="24"/>
          <w:szCs w:val="24"/>
        </w:rPr>
        <w:tab/>
      </w:r>
      <w:r w:rsidR="00116C41" w:rsidRPr="00A55D51">
        <w:rPr>
          <w:rFonts w:ascii="Arial" w:eastAsia="Arial" w:hAnsi="Arial" w:cs="Arial"/>
          <w:color w:val="000000"/>
          <w:sz w:val="24"/>
          <w:szCs w:val="24"/>
        </w:rPr>
        <w:t>I also draw attention to the provisions of Rule 18(4) that provides that a party who in its pleading relies upon a contract shall state whether the contract is written or oral and when, where and by whom it was concluded, and if the contract is written a true copy thereof or of the part relied on in the pleading shall be annexed to the pleading.  A party “</w:t>
      </w:r>
      <w:r w:rsidR="00116C41" w:rsidRPr="00A55D51">
        <w:rPr>
          <w:rFonts w:ascii="Arial" w:eastAsia="Arial" w:hAnsi="Arial" w:cs="Arial"/>
          <w:i/>
          <w:iCs/>
          <w:color w:val="000000"/>
          <w:sz w:val="24"/>
          <w:szCs w:val="24"/>
        </w:rPr>
        <w:t>relies</w:t>
      </w:r>
      <w:r w:rsidR="00A27B6F" w:rsidRPr="00A55D51">
        <w:rPr>
          <w:rFonts w:ascii="Arial" w:eastAsia="Arial" w:hAnsi="Arial" w:cs="Arial"/>
          <w:i/>
          <w:iCs/>
          <w:color w:val="000000"/>
          <w:sz w:val="24"/>
          <w:szCs w:val="24"/>
        </w:rPr>
        <w:t xml:space="preserve"> upon a contract</w:t>
      </w:r>
      <w:r w:rsidR="00A27B6F" w:rsidRPr="00A55D51">
        <w:rPr>
          <w:rFonts w:ascii="Arial" w:eastAsia="Arial" w:hAnsi="Arial" w:cs="Arial"/>
          <w:color w:val="000000"/>
          <w:sz w:val="24"/>
          <w:szCs w:val="24"/>
        </w:rPr>
        <w:t>” when he uses it as a “</w:t>
      </w:r>
      <w:r w:rsidR="00A27B6F" w:rsidRPr="00A55D51">
        <w:rPr>
          <w:rFonts w:ascii="Arial" w:eastAsia="Arial" w:hAnsi="Arial" w:cs="Arial"/>
          <w:i/>
          <w:iCs/>
          <w:color w:val="000000"/>
          <w:sz w:val="24"/>
          <w:szCs w:val="24"/>
        </w:rPr>
        <w:t>link in the chain of his cause of action</w:t>
      </w:r>
      <w:r w:rsidR="00A27B6F" w:rsidRPr="00A55D51">
        <w:rPr>
          <w:rFonts w:ascii="Arial" w:eastAsia="Arial" w:hAnsi="Arial" w:cs="Arial"/>
          <w:color w:val="000000"/>
          <w:sz w:val="24"/>
          <w:szCs w:val="24"/>
        </w:rPr>
        <w:t>”</w:t>
      </w:r>
      <w:r w:rsidR="00A27B6F">
        <w:rPr>
          <w:rStyle w:val="FootnoteReference"/>
          <w:rFonts w:ascii="Arial" w:eastAsia="Arial" w:hAnsi="Arial" w:cs="Arial"/>
          <w:color w:val="000000"/>
          <w:sz w:val="24"/>
          <w:szCs w:val="24"/>
        </w:rPr>
        <w:footnoteReference w:id="29"/>
      </w:r>
      <w:r w:rsidR="004C3247" w:rsidRPr="00A55D51">
        <w:rPr>
          <w:rFonts w:ascii="Arial" w:eastAsia="Arial" w:hAnsi="Arial" w:cs="Arial"/>
          <w:color w:val="000000"/>
          <w:sz w:val="24"/>
          <w:szCs w:val="24"/>
        </w:rPr>
        <w:t>.</w:t>
      </w:r>
    </w:p>
    <w:p w14:paraId="1ACBE061" w14:textId="77777777" w:rsidR="003E06AB" w:rsidRDefault="003E06AB" w:rsidP="003E06AB">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73A2F5B" w14:textId="46B3BFAD" w:rsidR="003E06AB"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28.</w:t>
      </w:r>
      <w:r>
        <w:rPr>
          <w:rFonts w:ascii="Arial" w:eastAsia="Arial" w:hAnsi="Arial" w:cs="Arial"/>
          <w:color w:val="000000"/>
          <w:sz w:val="24"/>
          <w:szCs w:val="24"/>
        </w:rPr>
        <w:tab/>
      </w:r>
      <w:r w:rsidR="00DF0D22" w:rsidRPr="00A55D51">
        <w:rPr>
          <w:rFonts w:ascii="Arial" w:eastAsia="Arial" w:hAnsi="Arial" w:cs="Arial"/>
          <w:color w:val="000000"/>
          <w:sz w:val="24"/>
          <w:szCs w:val="24"/>
        </w:rPr>
        <w:t xml:space="preserve">The cause of </w:t>
      </w:r>
      <w:r w:rsidR="004E1A36" w:rsidRPr="00A55D51">
        <w:rPr>
          <w:rFonts w:ascii="Arial" w:eastAsia="Arial" w:hAnsi="Arial" w:cs="Arial"/>
          <w:color w:val="000000"/>
          <w:sz w:val="24"/>
          <w:szCs w:val="24"/>
        </w:rPr>
        <w:t>action relied upon by Floorworx against Mazars is an agreement concluded between Fl</w:t>
      </w:r>
      <w:r w:rsidR="003E06AB" w:rsidRPr="00A55D51">
        <w:rPr>
          <w:rFonts w:ascii="Arial" w:eastAsia="Arial" w:hAnsi="Arial" w:cs="Arial"/>
          <w:color w:val="000000"/>
          <w:sz w:val="24"/>
          <w:szCs w:val="24"/>
        </w:rPr>
        <w:t>oorworx and Mazars.  That is its cause of action.  Its</w:t>
      </w:r>
      <w:r w:rsidR="004E1A36" w:rsidRPr="00A55D51">
        <w:rPr>
          <w:rFonts w:ascii="Arial" w:eastAsia="Arial" w:hAnsi="Arial" w:cs="Arial"/>
          <w:color w:val="000000"/>
          <w:sz w:val="24"/>
          <w:szCs w:val="24"/>
        </w:rPr>
        <w:t xml:space="preserve"> cause of action is not the agreement of agency subsisting between </w:t>
      </w:r>
      <w:r w:rsidR="003E06AB" w:rsidRPr="00A55D51">
        <w:rPr>
          <w:rFonts w:ascii="Arial" w:eastAsia="Arial" w:hAnsi="Arial" w:cs="Arial"/>
          <w:color w:val="000000"/>
          <w:sz w:val="24"/>
          <w:szCs w:val="24"/>
        </w:rPr>
        <w:t xml:space="preserve">itself </w:t>
      </w:r>
      <w:r w:rsidR="004E1A36" w:rsidRPr="00A55D51">
        <w:rPr>
          <w:rFonts w:ascii="Arial" w:eastAsia="Arial" w:hAnsi="Arial" w:cs="Arial"/>
          <w:color w:val="000000"/>
          <w:sz w:val="24"/>
          <w:szCs w:val="24"/>
        </w:rPr>
        <w:t xml:space="preserve">and Accentuate.  The agreement of agency </w:t>
      </w:r>
      <w:r w:rsidR="009B4FFC" w:rsidRPr="00A55D51">
        <w:rPr>
          <w:rFonts w:ascii="Arial" w:eastAsia="Arial" w:hAnsi="Arial" w:cs="Arial"/>
          <w:color w:val="000000"/>
          <w:sz w:val="24"/>
          <w:szCs w:val="24"/>
        </w:rPr>
        <w:t>merely clothes Accentuat</w:t>
      </w:r>
      <w:r w:rsidR="003E06AB" w:rsidRPr="00A55D51">
        <w:rPr>
          <w:rFonts w:ascii="Arial" w:eastAsia="Arial" w:hAnsi="Arial" w:cs="Arial"/>
          <w:color w:val="000000"/>
          <w:sz w:val="24"/>
          <w:szCs w:val="24"/>
        </w:rPr>
        <w:t>e with authority to represent</w:t>
      </w:r>
      <w:r w:rsidR="009B4FFC" w:rsidRPr="00A55D51">
        <w:rPr>
          <w:rFonts w:ascii="Arial" w:eastAsia="Arial" w:hAnsi="Arial" w:cs="Arial"/>
          <w:color w:val="000000"/>
          <w:sz w:val="24"/>
          <w:szCs w:val="24"/>
        </w:rPr>
        <w:t xml:space="preserve"> Floorworx and does not make Accentuate a party to the agreement concluded between Floorworx and Mazars.  However, there are instances where the agent not merely represents his/her principal</w:t>
      </w:r>
      <w:r w:rsidR="0013601D" w:rsidRPr="00A55D51">
        <w:rPr>
          <w:rFonts w:ascii="Arial" w:eastAsia="Arial" w:hAnsi="Arial" w:cs="Arial"/>
          <w:color w:val="000000"/>
          <w:sz w:val="24"/>
          <w:szCs w:val="24"/>
        </w:rPr>
        <w:t xml:space="preserve">, but can also be privy to the agreement in its own right as a contracting party.  This is exactly what happened </w:t>
      </w:r>
      <w:r w:rsidR="0013601D" w:rsidRPr="00A55D51">
        <w:rPr>
          <w:rFonts w:ascii="Arial" w:eastAsia="Arial" w:hAnsi="Arial" w:cs="Arial"/>
          <w:i/>
          <w:iCs/>
          <w:color w:val="000000"/>
          <w:sz w:val="24"/>
          <w:szCs w:val="24"/>
        </w:rPr>
        <w:t>in casu</w:t>
      </w:r>
      <w:r w:rsidR="00A64E79" w:rsidRPr="00A55D51">
        <w:rPr>
          <w:rFonts w:ascii="Arial" w:eastAsia="Arial" w:hAnsi="Arial" w:cs="Arial"/>
          <w:color w:val="000000"/>
          <w:sz w:val="24"/>
          <w:szCs w:val="24"/>
        </w:rPr>
        <w:t>, namely, Accentuate acted as agent for Floorworx and also on its own behalf in concluding the agreement/s in the Amended Particulars of Claim</w:t>
      </w:r>
      <w:r w:rsidR="00C81E8C" w:rsidRPr="00A55D51">
        <w:rPr>
          <w:rFonts w:ascii="Arial" w:eastAsia="Arial" w:hAnsi="Arial" w:cs="Arial"/>
          <w:color w:val="000000"/>
          <w:sz w:val="24"/>
          <w:szCs w:val="24"/>
        </w:rPr>
        <w:t>.  It follows that the agency agreement is not a link in the chain in the cause of action relied upon by Floorworx</w:t>
      </w:r>
      <w:r w:rsidR="00C81E8C">
        <w:rPr>
          <w:rStyle w:val="FootnoteReference"/>
          <w:rFonts w:ascii="Arial" w:eastAsia="Arial" w:hAnsi="Arial" w:cs="Arial"/>
          <w:color w:val="000000"/>
          <w:sz w:val="24"/>
          <w:szCs w:val="24"/>
        </w:rPr>
        <w:footnoteReference w:id="30"/>
      </w:r>
      <w:r w:rsidR="003E06AB" w:rsidRPr="00A55D51">
        <w:rPr>
          <w:rFonts w:ascii="Arial" w:eastAsia="Arial" w:hAnsi="Arial" w:cs="Arial"/>
          <w:color w:val="000000"/>
          <w:sz w:val="24"/>
          <w:szCs w:val="24"/>
        </w:rPr>
        <w:t xml:space="preserve"> as the allegations of agency merely go to the issue of representation.</w:t>
      </w:r>
    </w:p>
    <w:p w14:paraId="68C41C38" w14:textId="77777777" w:rsidR="003E06AB" w:rsidRPr="003E06AB" w:rsidRDefault="003E06AB" w:rsidP="003E06AB">
      <w:pPr>
        <w:pStyle w:val="ListParagraph"/>
        <w:rPr>
          <w:rFonts w:ascii="Arial" w:eastAsia="Arial" w:hAnsi="Arial" w:cs="Arial"/>
          <w:color w:val="000000"/>
          <w:sz w:val="24"/>
          <w:szCs w:val="24"/>
        </w:rPr>
      </w:pPr>
    </w:p>
    <w:p w14:paraId="2C641722" w14:textId="6324E0CB" w:rsidR="004C3247"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29.</w:t>
      </w:r>
      <w:r>
        <w:rPr>
          <w:rFonts w:ascii="Arial" w:eastAsia="Arial" w:hAnsi="Arial" w:cs="Arial"/>
          <w:color w:val="000000"/>
          <w:sz w:val="24"/>
          <w:szCs w:val="24"/>
        </w:rPr>
        <w:tab/>
      </w:r>
      <w:r w:rsidR="003E06AB" w:rsidRPr="00A55D51">
        <w:rPr>
          <w:rFonts w:ascii="Arial" w:eastAsia="Arial" w:hAnsi="Arial" w:cs="Arial"/>
          <w:color w:val="000000"/>
          <w:sz w:val="24"/>
          <w:szCs w:val="24"/>
        </w:rPr>
        <w:t xml:space="preserve">In addition, </w:t>
      </w:r>
      <w:r w:rsidR="000F26EC" w:rsidRPr="00A55D51">
        <w:rPr>
          <w:rFonts w:ascii="Arial" w:eastAsia="Arial" w:hAnsi="Arial" w:cs="Arial"/>
          <w:color w:val="000000"/>
          <w:sz w:val="24"/>
          <w:szCs w:val="24"/>
        </w:rPr>
        <w:t xml:space="preserve">Rule 18(6) does not require from Floorworx to attach and/or plead particulars relating to whether the agency agreements were concluded </w:t>
      </w:r>
      <w:r w:rsidR="003F2D41" w:rsidRPr="00A55D51">
        <w:rPr>
          <w:rFonts w:ascii="Arial" w:eastAsia="Arial" w:hAnsi="Arial" w:cs="Arial"/>
          <w:color w:val="000000"/>
          <w:sz w:val="24"/>
          <w:szCs w:val="24"/>
        </w:rPr>
        <w:t>orally or in writing; when, where and by whom the agency agreements were concluded; what the terms of such agency agreements entailed; particulars relating to the existence and scope of Accentuate’s</w:t>
      </w:r>
      <w:r w:rsidR="008B08E8" w:rsidRPr="00A55D51">
        <w:rPr>
          <w:rFonts w:ascii="Arial" w:eastAsia="Arial" w:hAnsi="Arial" w:cs="Arial"/>
          <w:color w:val="000000"/>
          <w:sz w:val="24"/>
          <w:szCs w:val="24"/>
        </w:rPr>
        <w:t xml:space="preserve"> authority; or to annex a copy of the agency contracts if they were written.  </w:t>
      </w:r>
      <w:r w:rsidR="00355552" w:rsidRPr="00A55D51">
        <w:rPr>
          <w:rFonts w:ascii="Arial" w:eastAsia="Arial" w:hAnsi="Arial" w:cs="Arial"/>
          <w:color w:val="000000"/>
          <w:sz w:val="24"/>
          <w:szCs w:val="24"/>
        </w:rPr>
        <w:t xml:space="preserve">This is because what </w:t>
      </w:r>
      <w:r w:rsidR="00B956D7" w:rsidRPr="00A55D51">
        <w:rPr>
          <w:rFonts w:ascii="Arial" w:eastAsia="Arial" w:hAnsi="Arial" w:cs="Arial"/>
          <w:color w:val="000000"/>
          <w:sz w:val="24"/>
          <w:szCs w:val="24"/>
        </w:rPr>
        <w:t xml:space="preserve">Rule 18(6) requires in respect of </w:t>
      </w:r>
      <w:r w:rsidR="00355552" w:rsidRPr="00A55D51">
        <w:rPr>
          <w:rFonts w:ascii="Arial" w:eastAsia="Arial" w:hAnsi="Arial" w:cs="Arial"/>
          <w:color w:val="000000"/>
          <w:sz w:val="24"/>
          <w:szCs w:val="24"/>
        </w:rPr>
        <w:t>representation and/or authority</w:t>
      </w:r>
      <w:r w:rsidR="00B956D7" w:rsidRPr="00A55D51">
        <w:rPr>
          <w:rFonts w:ascii="Arial" w:eastAsia="Arial" w:hAnsi="Arial" w:cs="Arial"/>
          <w:color w:val="000000"/>
          <w:sz w:val="24"/>
          <w:szCs w:val="24"/>
        </w:rPr>
        <w:t xml:space="preserve"> is</w:t>
      </w:r>
      <w:r w:rsidR="00355552" w:rsidRPr="00A55D51">
        <w:rPr>
          <w:rFonts w:ascii="Arial" w:eastAsia="Arial" w:hAnsi="Arial" w:cs="Arial"/>
          <w:color w:val="000000"/>
          <w:sz w:val="24"/>
          <w:szCs w:val="24"/>
        </w:rPr>
        <w:t xml:space="preserve"> only</w:t>
      </w:r>
      <w:r w:rsidR="00B956D7" w:rsidRPr="00A55D51">
        <w:rPr>
          <w:rFonts w:ascii="Arial" w:eastAsia="Arial" w:hAnsi="Arial" w:cs="Arial"/>
          <w:color w:val="000000"/>
          <w:sz w:val="24"/>
          <w:szCs w:val="24"/>
        </w:rPr>
        <w:t xml:space="preserve"> an allegation as to “</w:t>
      </w:r>
      <w:r w:rsidR="00B956D7" w:rsidRPr="00A55D51">
        <w:rPr>
          <w:rFonts w:ascii="Arial" w:eastAsia="Arial" w:hAnsi="Arial" w:cs="Arial"/>
          <w:i/>
          <w:iCs/>
          <w:color w:val="000000"/>
          <w:sz w:val="24"/>
          <w:szCs w:val="24"/>
        </w:rPr>
        <w:t>by whom it was concluded</w:t>
      </w:r>
      <w:r w:rsidR="00B956D7" w:rsidRPr="00A55D51">
        <w:rPr>
          <w:rFonts w:ascii="Arial" w:eastAsia="Arial" w:hAnsi="Arial" w:cs="Arial"/>
          <w:color w:val="000000"/>
          <w:sz w:val="24"/>
          <w:szCs w:val="24"/>
        </w:rPr>
        <w:t xml:space="preserve">” – nothing further </w:t>
      </w:r>
      <w:r w:rsidR="00E916CB" w:rsidRPr="00A55D51">
        <w:rPr>
          <w:rFonts w:ascii="Arial" w:eastAsia="Arial" w:hAnsi="Arial" w:cs="Arial"/>
          <w:color w:val="000000"/>
          <w:sz w:val="24"/>
          <w:szCs w:val="24"/>
        </w:rPr>
        <w:t>needs to be alleged in respect of representation.</w:t>
      </w:r>
      <w:r w:rsidR="00355552" w:rsidRPr="00A55D51">
        <w:rPr>
          <w:rFonts w:ascii="Arial" w:eastAsia="Arial" w:hAnsi="Arial" w:cs="Arial"/>
          <w:color w:val="000000"/>
          <w:sz w:val="24"/>
          <w:szCs w:val="24"/>
        </w:rPr>
        <w:t xml:space="preserve"> These matters that according to Mazars had to be pleaded and/or attached are </w:t>
      </w:r>
      <w:r w:rsidR="00355552" w:rsidRPr="00A55D51">
        <w:rPr>
          <w:rFonts w:ascii="Arial" w:eastAsia="Arial" w:hAnsi="Arial" w:cs="Arial"/>
          <w:i/>
          <w:color w:val="000000"/>
          <w:sz w:val="24"/>
          <w:szCs w:val="24"/>
        </w:rPr>
        <w:t>facta probantia</w:t>
      </w:r>
      <w:r w:rsidR="00355552" w:rsidRPr="00A55D51">
        <w:rPr>
          <w:rFonts w:ascii="Arial" w:eastAsia="Arial" w:hAnsi="Arial" w:cs="Arial"/>
          <w:color w:val="000000"/>
          <w:sz w:val="24"/>
          <w:szCs w:val="24"/>
        </w:rPr>
        <w:t xml:space="preserve"> and not </w:t>
      </w:r>
      <w:r w:rsidR="00355552" w:rsidRPr="00A55D51">
        <w:rPr>
          <w:rFonts w:ascii="Arial" w:eastAsia="Arial" w:hAnsi="Arial" w:cs="Arial"/>
          <w:i/>
          <w:color w:val="000000"/>
          <w:sz w:val="24"/>
          <w:szCs w:val="24"/>
        </w:rPr>
        <w:t>facta probanda</w:t>
      </w:r>
      <w:r w:rsidR="00355552" w:rsidRPr="00A55D51">
        <w:rPr>
          <w:rFonts w:ascii="Arial" w:eastAsia="Arial" w:hAnsi="Arial" w:cs="Arial"/>
          <w:color w:val="000000"/>
          <w:sz w:val="24"/>
          <w:szCs w:val="24"/>
        </w:rPr>
        <w:t xml:space="preserve">. In other words, </w:t>
      </w:r>
      <w:r w:rsidR="00355552" w:rsidRPr="00A55D51">
        <w:rPr>
          <w:rFonts w:ascii="Arial" w:eastAsia="Arial" w:hAnsi="Arial" w:cs="Arial"/>
          <w:color w:val="000000"/>
          <w:sz w:val="24"/>
          <w:szCs w:val="24"/>
        </w:rPr>
        <w:lastRenderedPageBreak/>
        <w:t>they constitute evidence and not facts. Clearly, Floorworx alleged facts and it did not have to allege evidence. In any event, evidence can be led on the allegations made which will mean that unnecessary evidence is not eliminated.</w:t>
      </w:r>
    </w:p>
    <w:p w14:paraId="63C0882F" w14:textId="77777777" w:rsidR="00E916CB" w:rsidRDefault="00E916CB" w:rsidP="00E916CB">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D9EC5F4" w14:textId="6C9C597F" w:rsidR="00E916CB"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30.</w:t>
      </w:r>
      <w:r>
        <w:rPr>
          <w:rFonts w:ascii="Arial" w:eastAsia="Arial" w:hAnsi="Arial" w:cs="Arial"/>
          <w:color w:val="000000"/>
          <w:sz w:val="24"/>
          <w:szCs w:val="24"/>
        </w:rPr>
        <w:tab/>
      </w:r>
      <w:r w:rsidR="00E916CB" w:rsidRPr="00A55D51">
        <w:rPr>
          <w:rFonts w:ascii="Arial" w:eastAsia="Arial" w:hAnsi="Arial" w:cs="Arial"/>
          <w:color w:val="000000"/>
          <w:sz w:val="24"/>
          <w:szCs w:val="24"/>
        </w:rPr>
        <w:t xml:space="preserve">I must </w:t>
      </w:r>
      <w:r w:rsidR="002E232D" w:rsidRPr="00A55D51">
        <w:rPr>
          <w:rFonts w:ascii="Arial" w:eastAsia="Arial" w:hAnsi="Arial" w:cs="Arial"/>
          <w:color w:val="000000"/>
          <w:sz w:val="24"/>
          <w:szCs w:val="24"/>
        </w:rPr>
        <w:t xml:space="preserve">also </w:t>
      </w:r>
      <w:r w:rsidR="00E916CB" w:rsidRPr="00A55D51">
        <w:rPr>
          <w:rFonts w:ascii="Arial" w:eastAsia="Arial" w:hAnsi="Arial" w:cs="Arial"/>
          <w:color w:val="000000"/>
          <w:sz w:val="24"/>
          <w:szCs w:val="24"/>
        </w:rPr>
        <w:t xml:space="preserve">accept as true </w:t>
      </w:r>
      <w:r w:rsidR="0050525F" w:rsidRPr="00A55D51">
        <w:rPr>
          <w:rFonts w:ascii="Arial" w:eastAsia="Arial" w:hAnsi="Arial" w:cs="Arial"/>
          <w:color w:val="000000"/>
          <w:sz w:val="24"/>
          <w:szCs w:val="24"/>
        </w:rPr>
        <w:t xml:space="preserve">the allegations appearing in the Amended Particulars of Claim.  This means that I must accept as true that Accentuate concluded an agreement with Mazars by which Mazars was appointed to audit the annual financial statements of not merely Accentuate, but of each of its subsidiaries </w:t>
      </w:r>
      <w:r w:rsidR="00332DCF" w:rsidRPr="00A55D51">
        <w:rPr>
          <w:rFonts w:ascii="Arial" w:eastAsia="Arial" w:hAnsi="Arial" w:cs="Arial"/>
          <w:color w:val="000000"/>
          <w:sz w:val="24"/>
          <w:szCs w:val="24"/>
        </w:rPr>
        <w:t xml:space="preserve">which included </w:t>
      </w:r>
      <w:r w:rsidR="007045C9" w:rsidRPr="00A55D51">
        <w:rPr>
          <w:rFonts w:ascii="Arial" w:eastAsia="Arial" w:hAnsi="Arial" w:cs="Arial"/>
          <w:color w:val="000000"/>
          <w:sz w:val="24"/>
          <w:szCs w:val="24"/>
        </w:rPr>
        <w:t>Floorworx</w:t>
      </w:r>
      <w:r w:rsidR="002E232D" w:rsidRPr="00A55D51">
        <w:rPr>
          <w:rFonts w:ascii="Arial" w:eastAsia="Arial" w:hAnsi="Arial" w:cs="Arial"/>
          <w:color w:val="000000"/>
          <w:sz w:val="24"/>
          <w:szCs w:val="24"/>
        </w:rPr>
        <w:t>,</w:t>
      </w:r>
      <w:r w:rsidR="007045C9" w:rsidRPr="00A55D51">
        <w:rPr>
          <w:rFonts w:ascii="Arial" w:eastAsia="Arial" w:hAnsi="Arial" w:cs="Arial"/>
          <w:color w:val="000000"/>
          <w:sz w:val="24"/>
          <w:szCs w:val="24"/>
        </w:rPr>
        <w:t xml:space="preserve">  and </w:t>
      </w:r>
      <w:r w:rsidR="0055535C" w:rsidRPr="00A55D51">
        <w:rPr>
          <w:rFonts w:ascii="Arial" w:eastAsia="Arial" w:hAnsi="Arial" w:cs="Arial"/>
          <w:color w:val="000000"/>
          <w:sz w:val="24"/>
          <w:szCs w:val="24"/>
        </w:rPr>
        <w:t xml:space="preserve">that </w:t>
      </w:r>
      <w:r w:rsidR="00C65465" w:rsidRPr="00A55D51">
        <w:rPr>
          <w:rFonts w:ascii="Arial" w:eastAsia="Arial" w:hAnsi="Arial" w:cs="Arial"/>
          <w:color w:val="000000"/>
          <w:sz w:val="24"/>
          <w:szCs w:val="24"/>
        </w:rPr>
        <w:t>in concluding the mentioned</w:t>
      </w:r>
      <w:r w:rsidR="007045C9" w:rsidRPr="00A55D51">
        <w:rPr>
          <w:rFonts w:ascii="Arial" w:eastAsia="Arial" w:hAnsi="Arial" w:cs="Arial"/>
          <w:color w:val="000000"/>
          <w:sz w:val="24"/>
          <w:szCs w:val="24"/>
        </w:rPr>
        <w:t xml:space="preserve"> audit</w:t>
      </w:r>
      <w:r w:rsidR="00C65465" w:rsidRPr="00A55D51">
        <w:rPr>
          <w:rFonts w:ascii="Arial" w:eastAsia="Arial" w:hAnsi="Arial" w:cs="Arial"/>
          <w:color w:val="000000"/>
          <w:sz w:val="24"/>
          <w:szCs w:val="24"/>
        </w:rPr>
        <w:t xml:space="preserve"> agreement</w:t>
      </w:r>
      <w:r w:rsidR="007045C9" w:rsidRPr="00A55D51">
        <w:rPr>
          <w:rFonts w:ascii="Arial" w:eastAsia="Arial" w:hAnsi="Arial" w:cs="Arial"/>
          <w:color w:val="000000"/>
          <w:sz w:val="24"/>
          <w:szCs w:val="24"/>
        </w:rPr>
        <w:t>/s</w:t>
      </w:r>
      <w:r w:rsidR="00C65465" w:rsidRPr="00A55D51">
        <w:rPr>
          <w:rFonts w:ascii="Arial" w:eastAsia="Arial" w:hAnsi="Arial" w:cs="Arial"/>
          <w:color w:val="000000"/>
          <w:sz w:val="24"/>
          <w:szCs w:val="24"/>
        </w:rPr>
        <w:t>, Accentuate was acting as disclosed agent of Floorworx and</w:t>
      </w:r>
      <w:r w:rsidR="002E232D" w:rsidRPr="00A55D51">
        <w:rPr>
          <w:rFonts w:ascii="Arial" w:eastAsia="Arial" w:hAnsi="Arial" w:cs="Arial"/>
          <w:color w:val="000000"/>
          <w:sz w:val="24"/>
          <w:szCs w:val="24"/>
        </w:rPr>
        <w:t xml:space="preserve"> further</w:t>
      </w:r>
      <w:r w:rsidR="00C65465" w:rsidRPr="00A55D51">
        <w:rPr>
          <w:rFonts w:ascii="Arial" w:eastAsia="Arial" w:hAnsi="Arial" w:cs="Arial"/>
          <w:color w:val="000000"/>
          <w:sz w:val="24"/>
          <w:szCs w:val="24"/>
        </w:rPr>
        <w:t xml:space="preserve"> that Accentuate was mandated to conclude such agreement</w:t>
      </w:r>
      <w:r w:rsidR="007045C9" w:rsidRPr="00A55D51">
        <w:rPr>
          <w:rFonts w:ascii="Arial" w:eastAsia="Arial" w:hAnsi="Arial" w:cs="Arial"/>
          <w:color w:val="000000"/>
          <w:sz w:val="24"/>
          <w:szCs w:val="24"/>
        </w:rPr>
        <w:t>/s</w:t>
      </w:r>
      <w:r w:rsidR="00C65465" w:rsidRPr="00A55D51">
        <w:rPr>
          <w:rFonts w:ascii="Arial" w:eastAsia="Arial" w:hAnsi="Arial" w:cs="Arial"/>
          <w:color w:val="000000"/>
          <w:sz w:val="24"/>
          <w:szCs w:val="24"/>
        </w:rPr>
        <w:t xml:space="preserve"> on behalf of Floorworx</w:t>
      </w:r>
      <w:r w:rsidR="00B46E71">
        <w:rPr>
          <w:rStyle w:val="FootnoteReference"/>
          <w:rFonts w:ascii="Arial" w:eastAsia="Arial" w:hAnsi="Arial" w:cs="Arial"/>
          <w:color w:val="000000"/>
          <w:sz w:val="24"/>
          <w:szCs w:val="24"/>
        </w:rPr>
        <w:footnoteReference w:id="31"/>
      </w:r>
      <w:r w:rsidR="009A02D1" w:rsidRPr="00A55D51">
        <w:rPr>
          <w:rFonts w:ascii="Arial" w:eastAsia="Arial" w:hAnsi="Arial" w:cs="Arial"/>
          <w:color w:val="000000"/>
          <w:sz w:val="24"/>
          <w:szCs w:val="24"/>
        </w:rPr>
        <w:t xml:space="preserve">.  Accepting these allegations as true, then it appears patently clear that Floorworx made the necessary averments to disclose a cause of action because </w:t>
      </w:r>
      <w:r w:rsidR="00BB39A2" w:rsidRPr="00A55D51">
        <w:rPr>
          <w:rFonts w:ascii="Arial" w:eastAsia="Arial" w:hAnsi="Arial" w:cs="Arial"/>
          <w:color w:val="000000"/>
          <w:sz w:val="24"/>
          <w:szCs w:val="24"/>
        </w:rPr>
        <w:t xml:space="preserve">(i) in alleging that </w:t>
      </w:r>
      <w:r w:rsidR="007045C9" w:rsidRPr="00A55D51">
        <w:rPr>
          <w:rFonts w:ascii="Arial" w:eastAsia="Arial" w:hAnsi="Arial" w:cs="Arial"/>
          <w:color w:val="000000"/>
          <w:sz w:val="24"/>
          <w:szCs w:val="24"/>
        </w:rPr>
        <w:t xml:space="preserve">Accentuate </w:t>
      </w:r>
      <w:r w:rsidR="00BB39A2" w:rsidRPr="00A55D51">
        <w:rPr>
          <w:rFonts w:ascii="Arial" w:eastAsia="Arial" w:hAnsi="Arial" w:cs="Arial"/>
          <w:color w:val="000000"/>
          <w:sz w:val="24"/>
          <w:szCs w:val="24"/>
        </w:rPr>
        <w:t>acted as its disclosed agent, carries with it that the agreement</w:t>
      </w:r>
      <w:r w:rsidR="007045C9" w:rsidRPr="00A55D51">
        <w:rPr>
          <w:rFonts w:ascii="Arial" w:eastAsia="Arial" w:hAnsi="Arial" w:cs="Arial"/>
          <w:color w:val="000000"/>
          <w:sz w:val="24"/>
          <w:szCs w:val="24"/>
        </w:rPr>
        <w:t>/s</w:t>
      </w:r>
      <w:r w:rsidR="00BB39A2" w:rsidRPr="00A55D51">
        <w:rPr>
          <w:rFonts w:ascii="Arial" w:eastAsia="Arial" w:hAnsi="Arial" w:cs="Arial"/>
          <w:color w:val="000000"/>
          <w:sz w:val="24"/>
          <w:szCs w:val="24"/>
        </w:rPr>
        <w:t xml:space="preserve"> alleged in paragraph 13 of the</w:t>
      </w:r>
      <w:r w:rsidR="007045C9" w:rsidRPr="00A55D51">
        <w:rPr>
          <w:rFonts w:ascii="Arial" w:eastAsia="Arial" w:hAnsi="Arial" w:cs="Arial"/>
          <w:color w:val="000000"/>
          <w:sz w:val="24"/>
          <w:szCs w:val="24"/>
        </w:rPr>
        <w:t xml:space="preserve"> Amended Particulars of Claim were</w:t>
      </w:r>
      <w:r w:rsidR="00BB39A2" w:rsidRPr="00A55D51">
        <w:rPr>
          <w:rFonts w:ascii="Arial" w:eastAsia="Arial" w:hAnsi="Arial" w:cs="Arial"/>
          <w:color w:val="000000"/>
          <w:sz w:val="24"/>
          <w:szCs w:val="24"/>
        </w:rPr>
        <w:t xml:space="preserve"> concluded between Floorworx and Mazars while Accentuate merely acted as its agen</w:t>
      </w:r>
      <w:r w:rsidR="007045C9" w:rsidRPr="00A55D51">
        <w:rPr>
          <w:rFonts w:ascii="Arial" w:eastAsia="Arial" w:hAnsi="Arial" w:cs="Arial"/>
          <w:color w:val="000000"/>
          <w:sz w:val="24"/>
          <w:szCs w:val="24"/>
        </w:rPr>
        <w:t>t and that this was known to Mazars</w:t>
      </w:r>
      <w:r w:rsidR="00BB39A2" w:rsidRPr="00A55D51">
        <w:rPr>
          <w:rFonts w:ascii="Arial" w:eastAsia="Arial" w:hAnsi="Arial" w:cs="Arial"/>
          <w:color w:val="000000"/>
          <w:sz w:val="24"/>
          <w:szCs w:val="24"/>
        </w:rPr>
        <w:t xml:space="preserve">; and (ii) in alleging as aforesaid, and by acting as its agent it follows that </w:t>
      </w:r>
      <w:r w:rsidR="00576A00" w:rsidRPr="00A55D51">
        <w:rPr>
          <w:rFonts w:ascii="Arial" w:eastAsia="Arial" w:hAnsi="Arial" w:cs="Arial"/>
          <w:color w:val="000000"/>
          <w:sz w:val="24"/>
          <w:szCs w:val="24"/>
        </w:rPr>
        <w:t>Accentuate did not become a party to the agreement</w:t>
      </w:r>
      <w:r w:rsidR="007045C9" w:rsidRPr="00A55D51">
        <w:rPr>
          <w:rFonts w:ascii="Arial" w:eastAsia="Arial" w:hAnsi="Arial" w:cs="Arial"/>
          <w:color w:val="000000"/>
          <w:sz w:val="24"/>
          <w:szCs w:val="24"/>
        </w:rPr>
        <w:t>/a</w:t>
      </w:r>
      <w:r w:rsidR="00576A00" w:rsidRPr="00A55D51">
        <w:rPr>
          <w:rFonts w:ascii="Arial" w:eastAsia="Arial" w:hAnsi="Arial" w:cs="Arial"/>
          <w:color w:val="000000"/>
          <w:sz w:val="24"/>
          <w:szCs w:val="24"/>
        </w:rPr>
        <w:t xml:space="preserve"> as alleged in paragraph 13 of the Amended Particulars of Claim and its mandate to do so extended</w:t>
      </w:r>
      <w:r w:rsidR="007045C9" w:rsidRPr="00A55D51">
        <w:rPr>
          <w:rFonts w:ascii="Arial" w:eastAsia="Arial" w:hAnsi="Arial" w:cs="Arial"/>
          <w:color w:val="000000"/>
          <w:sz w:val="24"/>
          <w:szCs w:val="24"/>
        </w:rPr>
        <w:t xml:space="preserve"> to and/or included the audit </w:t>
      </w:r>
      <w:r w:rsidR="00576A00" w:rsidRPr="00A55D51">
        <w:rPr>
          <w:rFonts w:ascii="Arial" w:eastAsia="Arial" w:hAnsi="Arial" w:cs="Arial"/>
          <w:color w:val="000000"/>
          <w:sz w:val="24"/>
          <w:szCs w:val="24"/>
        </w:rPr>
        <w:t>agreement</w:t>
      </w:r>
      <w:r w:rsidR="007045C9" w:rsidRPr="00A55D51">
        <w:rPr>
          <w:rFonts w:ascii="Arial" w:eastAsia="Arial" w:hAnsi="Arial" w:cs="Arial"/>
          <w:color w:val="000000"/>
          <w:sz w:val="24"/>
          <w:szCs w:val="24"/>
        </w:rPr>
        <w:t>/s</w:t>
      </w:r>
      <w:r w:rsidR="00576A00" w:rsidRPr="00A55D51">
        <w:rPr>
          <w:rFonts w:ascii="Arial" w:eastAsia="Arial" w:hAnsi="Arial" w:cs="Arial"/>
          <w:color w:val="000000"/>
          <w:sz w:val="24"/>
          <w:szCs w:val="24"/>
        </w:rPr>
        <w:t xml:space="preserve"> as alleged.</w:t>
      </w:r>
      <w:r w:rsidR="007045C9" w:rsidRPr="00A55D51">
        <w:rPr>
          <w:rFonts w:ascii="Arial" w:eastAsia="Arial" w:hAnsi="Arial" w:cs="Arial"/>
          <w:color w:val="000000"/>
          <w:sz w:val="24"/>
          <w:szCs w:val="24"/>
        </w:rPr>
        <w:t xml:space="preserve"> </w:t>
      </w:r>
    </w:p>
    <w:p w14:paraId="77EC3753" w14:textId="77777777" w:rsidR="00576A00" w:rsidRDefault="00576A00" w:rsidP="00576A0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99AB0BA" w14:textId="42A36025" w:rsidR="00576A00"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31.</w:t>
      </w:r>
      <w:r>
        <w:rPr>
          <w:rFonts w:ascii="Arial" w:eastAsia="Arial" w:hAnsi="Arial" w:cs="Arial"/>
          <w:color w:val="000000"/>
          <w:sz w:val="24"/>
          <w:szCs w:val="24"/>
        </w:rPr>
        <w:tab/>
      </w:r>
      <w:r w:rsidR="00576A00" w:rsidRPr="00A55D51">
        <w:rPr>
          <w:rFonts w:ascii="Arial" w:eastAsia="Arial" w:hAnsi="Arial" w:cs="Arial"/>
          <w:color w:val="000000"/>
          <w:sz w:val="24"/>
          <w:szCs w:val="24"/>
        </w:rPr>
        <w:t>Further to the</w:t>
      </w:r>
      <w:r w:rsidR="002E232D" w:rsidRPr="00A55D51">
        <w:rPr>
          <w:rFonts w:ascii="Arial" w:eastAsia="Arial" w:hAnsi="Arial" w:cs="Arial"/>
          <w:color w:val="000000"/>
          <w:sz w:val="24"/>
          <w:szCs w:val="24"/>
        </w:rPr>
        <w:t xml:space="preserve"> above</w:t>
      </w:r>
      <w:r w:rsidR="00576A00" w:rsidRPr="00A55D51">
        <w:rPr>
          <w:rFonts w:ascii="Arial" w:eastAsia="Arial" w:hAnsi="Arial" w:cs="Arial"/>
          <w:color w:val="000000"/>
          <w:sz w:val="24"/>
          <w:szCs w:val="24"/>
        </w:rPr>
        <w:t xml:space="preserve">, </w:t>
      </w:r>
      <w:r w:rsidR="00BA0AA1" w:rsidRPr="00A55D51">
        <w:rPr>
          <w:rFonts w:ascii="Arial" w:eastAsia="Arial" w:hAnsi="Arial" w:cs="Arial"/>
          <w:color w:val="000000"/>
          <w:sz w:val="24"/>
          <w:szCs w:val="24"/>
        </w:rPr>
        <w:t>and subject to certain statutory exceptions</w:t>
      </w:r>
      <w:r w:rsidR="00BA0AA1">
        <w:rPr>
          <w:rStyle w:val="FootnoteReference"/>
          <w:rFonts w:ascii="Arial" w:eastAsia="Arial" w:hAnsi="Arial" w:cs="Arial"/>
          <w:color w:val="000000"/>
          <w:sz w:val="24"/>
          <w:szCs w:val="24"/>
        </w:rPr>
        <w:footnoteReference w:id="32"/>
      </w:r>
      <w:r w:rsidR="00A71D36" w:rsidRPr="00A55D51">
        <w:rPr>
          <w:rFonts w:ascii="Arial" w:eastAsia="Arial" w:hAnsi="Arial" w:cs="Arial"/>
          <w:color w:val="000000"/>
          <w:sz w:val="24"/>
          <w:szCs w:val="24"/>
        </w:rPr>
        <w:t xml:space="preserve">, even if an agent is unauthorised, it will be of no moment.  </w:t>
      </w:r>
      <w:r w:rsidR="0025627B" w:rsidRPr="00A55D51">
        <w:rPr>
          <w:rFonts w:ascii="Arial" w:eastAsia="Arial" w:hAnsi="Arial" w:cs="Arial"/>
          <w:color w:val="000000"/>
          <w:sz w:val="24"/>
          <w:szCs w:val="24"/>
        </w:rPr>
        <w:t xml:space="preserve">The reason therefore is that </w:t>
      </w:r>
      <w:r w:rsidR="0037191C" w:rsidRPr="00A55D51">
        <w:rPr>
          <w:rFonts w:ascii="Arial" w:eastAsia="Arial" w:hAnsi="Arial" w:cs="Arial"/>
          <w:color w:val="000000"/>
          <w:sz w:val="24"/>
          <w:szCs w:val="24"/>
        </w:rPr>
        <w:t>the actions of an unauthorised agent may be ratified by the principal and which ratification then takes effect retrospectively with the</w:t>
      </w:r>
      <w:r w:rsidR="002E232D" w:rsidRPr="00A55D51">
        <w:rPr>
          <w:rFonts w:ascii="Arial" w:eastAsia="Arial" w:hAnsi="Arial" w:cs="Arial"/>
          <w:color w:val="000000"/>
          <w:sz w:val="24"/>
          <w:szCs w:val="24"/>
        </w:rPr>
        <w:t xml:space="preserve"> result that even if Floorworx </w:t>
      </w:r>
      <w:r w:rsidR="0037191C" w:rsidRPr="00A55D51">
        <w:rPr>
          <w:rFonts w:ascii="Arial" w:eastAsia="Arial" w:hAnsi="Arial" w:cs="Arial"/>
          <w:color w:val="000000"/>
          <w:sz w:val="24"/>
          <w:szCs w:val="24"/>
        </w:rPr>
        <w:t>fails to prove the authority of Accentua</w:t>
      </w:r>
      <w:r w:rsidR="002E232D" w:rsidRPr="00A55D51">
        <w:rPr>
          <w:rFonts w:ascii="Arial" w:eastAsia="Arial" w:hAnsi="Arial" w:cs="Arial"/>
          <w:color w:val="000000"/>
          <w:sz w:val="24"/>
          <w:szCs w:val="24"/>
        </w:rPr>
        <w:t>te,</w:t>
      </w:r>
      <w:r w:rsidR="0037191C" w:rsidRPr="00A55D51">
        <w:rPr>
          <w:rFonts w:ascii="Arial" w:eastAsia="Arial" w:hAnsi="Arial" w:cs="Arial"/>
          <w:color w:val="000000"/>
          <w:sz w:val="24"/>
          <w:szCs w:val="24"/>
        </w:rPr>
        <w:t xml:space="preserve"> Floorworx </w:t>
      </w:r>
      <w:r w:rsidR="00DC0610" w:rsidRPr="00A55D51">
        <w:rPr>
          <w:rFonts w:ascii="Arial" w:eastAsia="Arial" w:hAnsi="Arial" w:cs="Arial"/>
          <w:color w:val="000000"/>
          <w:sz w:val="24"/>
          <w:szCs w:val="24"/>
        </w:rPr>
        <w:t>will be able to ratify with th</w:t>
      </w:r>
      <w:r w:rsidR="00021B89" w:rsidRPr="00A55D51">
        <w:rPr>
          <w:rFonts w:ascii="Arial" w:eastAsia="Arial" w:hAnsi="Arial" w:cs="Arial"/>
          <w:color w:val="000000"/>
          <w:sz w:val="24"/>
          <w:szCs w:val="24"/>
        </w:rPr>
        <w:t>e result that Accentuate is cloth</w:t>
      </w:r>
      <w:r w:rsidR="00DC0610" w:rsidRPr="00A55D51">
        <w:rPr>
          <w:rFonts w:ascii="Arial" w:eastAsia="Arial" w:hAnsi="Arial" w:cs="Arial"/>
          <w:color w:val="000000"/>
          <w:sz w:val="24"/>
          <w:szCs w:val="24"/>
        </w:rPr>
        <w:t>ed with authority retrospectively and again the agreement</w:t>
      </w:r>
      <w:r w:rsidR="00021B89" w:rsidRPr="00A55D51">
        <w:rPr>
          <w:rFonts w:ascii="Arial" w:eastAsia="Arial" w:hAnsi="Arial" w:cs="Arial"/>
          <w:color w:val="000000"/>
          <w:sz w:val="24"/>
          <w:szCs w:val="24"/>
        </w:rPr>
        <w:t>/s</w:t>
      </w:r>
      <w:r w:rsidR="00DC0610" w:rsidRPr="00A55D51">
        <w:rPr>
          <w:rFonts w:ascii="Arial" w:eastAsia="Arial" w:hAnsi="Arial" w:cs="Arial"/>
          <w:color w:val="000000"/>
          <w:sz w:val="24"/>
          <w:szCs w:val="24"/>
        </w:rPr>
        <w:t xml:space="preserve"> as alleged in paragraph 13 of the Amended Particulars of Claim will be valid.</w:t>
      </w:r>
      <w:r w:rsidR="00DC0610">
        <w:rPr>
          <w:rStyle w:val="FootnoteReference"/>
          <w:rFonts w:ascii="Arial" w:eastAsia="Arial" w:hAnsi="Arial" w:cs="Arial"/>
          <w:color w:val="000000"/>
          <w:sz w:val="24"/>
          <w:szCs w:val="24"/>
        </w:rPr>
        <w:footnoteReference w:id="33"/>
      </w:r>
    </w:p>
    <w:p w14:paraId="03575469" w14:textId="77777777" w:rsidR="00F11A42" w:rsidRDefault="00F11A42" w:rsidP="00F11A4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79FA78A" w14:textId="74613506" w:rsidR="00F11A42"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32.</w:t>
      </w:r>
      <w:r>
        <w:rPr>
          <w:rFonts w:ascii="Arial" w:eastAsia="Arial" w:hAnsi="Arial" w:cs="Arial"/>
          <w:color w:val="000000"/>
          <w:sz w:val="24"/>
          <w:szCs w:val="24"/>
        </w:rPr>
        <w:tab/>
      </w:r>
      <w:r w:rsidR="00447F35" w:rsidRPr="00A55D51">
        <w:rPr>
          <w:rFonts w:ascii="Arial" w:eastAsia="Arial" w:hAnsi="Arial" w:cs="Arial"/>
          <w:color w:val="000000"/>
          <w:sz w:val="24"/>
          <w:szCs w:val="24"/>
        </w:rPr>
        <w:t>I am in any event of the view that the particulars sought by Mazars and which they allege should h</w:t>
      </w:r>
      <w:r w:rsidR="00021B89" w:rsidRPr="00A55D51">
        <w:rPr>
          <w:rFonts w:ascii="Arial" w:eastAsia="Arial" w:hAnsi="Arial" w:cs="Arial"/>
          <w:color w:val="000000"/>
          <w:sz w:val="24"/>
          <w:szCs w:val="24"/>
        </w:rPr>
        <w:t>ave been pleaded and/or annexed</w:t>
      </w:r>
      <w:r w:rsidR="00AF0E3E" w:rsidRPr="00A55D51">
        <w:rPr>
          <w:rFonts w:ascii="Arial" w:eastAsia="Arial" w:hAnsi="Arial" w:cs="Arial"/>
          <w:color w:val="000000"/>
          <w:sz w:val="24"/>
          <w:szCs w:val="24"/>
        </w:rPr>
        <w:t xml:space="preserve"> can easily be obtained by way of</w:t>
      </w:r>
      <w:r w:rsidR="002E232D" w:rsidRPr="00A55D51">
        <w:rPr>
          <w:rFonts w:ascii="Arial" w:eastAsia="Arial" w:hAnsi="Arial" w:cs="Arial"/>
          <w:color w:val="000000"/>
          <w:sz w:val="24"/>
          <w:szCs w:val="24"/>
        </w:rPr>
        <w:t xml:space="preserve"> a</w:t>
      </w:r>
      <w:r w:rsidR="00AF0E3E" w:rsidRPr="00A55D51">
        <w:rPr>
          <w:rFonts w:ascii="Arial" w:eastAsia="Arial" w:hAnsi="Arial" w:cs="Arial"/>
          <w:color w:val="000000"/>
          <w:sz w:val="24"/>
          <w:szCs w:val="24"/>
        </w:rPr>
        <w:t xml:space="preserve"> request for further particulars</w:t>
      </w:r>
      <w:r w:rsidR="00021B89" w:rsidRPr="00A55D51">
        <w:rPr>
          <w:rFonts w:ascii="Arial" w:eastAsia="Arial" w:hAnsi="Arial" w:cs="Arial"/>
          <w:color w:val="000000"/>
          <w:sz w:val="24"/>
          <w:szCs w:val="24"/>
        </w:rPr>
        <w:t xml:space="preserve"> and/or discovery as the</w:t>
      </w:r>
      <w:r w:rsidR="002E232D" w:rsidRPr="00A55D51">
        <w:rPr>
          <w:rFonts w:ascii="Arial" w:eastAsia="Arial" w:hAnsi="Arial" w:cs="Arial"/>
          <w:color w:val="000000"/>
          <w:sz w:val="24"/>
          <w:szCs w:val="24"/>
        </w:rPr>
        <w:t>y</w:t>
      </w:r>
      <w:r w:rsidR="00021B89" w:rsidRPr="00A55D51">
        <w:rPr>
          <w:rFonts w:ascii="Arial" w:eastAsia="Arial" w:hAnsi="Arial" w:cs="Arial"/>
          <w:color w:val="000000"/>
          <w:sz w:val="24"/>
          <w:szCs w:val="24"/>
        </w:rPr>
        <w:t xml:space="preserve"> constitute </w:t>
      </w:r>
      <w:r w:rsidR="00021B89" w:rsidRPr="00A55D51">
        <w:rPr>
          <w:rFonts w:ascii="Arial" w:eastAsia="Arial" w:hAnsi="Arial" w:cs="Arial"/>
          <w:i/>
          <w:color w:val="000000"/>
          <w:sz w:val="24"/>
          <w:szCs w:val="24"/>
        </w:rPr>
        <w:t>facta probantia</w:t>
      </w:r>
      <w:r w:rsidR="00AF0E3E" w:rsidRPr="00A55D51">
        <w:rPr>
          <w:rFonts w:ascii="Arial" w:eastAsia="Arial" w:hAnsi="Arial" w:cs="Arial"/>
          <w:color w:val="000000"/>
          <w:sz w:val="24"/>
          <w:szCs w:val="24"/>
        </w:rPr>
        <w:t>.</w:t>
      </w:r>
    </w:p>
    <w:p w14:paraId="4FFF13C2" w14:textId="77777777" w:rsidR="00AF0E3E" w:rsidRDefault="00AF0E3E" w:rsidP="00AF0E3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15737E4" w14:textId="4DA3C2EF" w:rsidR="00AF0E3E"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33.</w:t>
      </w:r>
      <w:r>
        <w:rPr>
          <w:rFonts w:ascii="Arial" w:eastAsia="Arial" w:hAnsi="Arial" w:cs="Arial"/>
          <w:color w:val="000000"/>
          <w:sz w:val="24"/>
          <w:szCs w:val="24"/>
        </w:rPr>
        <w:tab/>
      </w:r>
      <w:r w:rsidR="00AF0E3E" w:rsidRPr="00A55D51">
        <w:rPr>
          <w:rFonts w:ascii="Arial" w:eastAsia="Arial" w:hAnsi="Arial" w:cs="Arial"/>
          <w:color w:val="000000"/>
          <w:sz w:val="24"/>
          <w:szCs w:val="24"/>
        </w:rPr>
        <w:t>In the circumstances, I find that there is</w:t>
      </w:r>
      <w:r w:rsidR="002E232D" w:rsidRPr="00A55D51">
        <w:rPr>
          <w:rFonts w:ascii="Arial" w:eastAsia="Arial" w:hAnsi="Arial" w:cs="Arial"/>
          <w:color w:val="000000"/>
          <w:sz w:val="24"/>
          <w:szCs w:val="24"/>
        </w:rPr>
        <w:t xml:space="preserve"> no merit in Mazars’</w:t>
      </w:r>
      <w:r w:rsidR="00AF0E3E" w:rsidRPr="00A55D51">
        <w:rPr>
          <w:rFonts w:ascii="Arial" w:eastAsia="Arial" w:hAnsi="Arial" w:cs="Arial"/>
          <w:color w:val="000000"/>
          <w:sz w:val="24"/>
          <w:szCs w:val="24"/>
        </w:rPr>
        <w:t xml:space="preserve"> exception on the ground that the Amended Particulars of Claim </w:t>
      </w:r>
      <w:r w:rsidR="0076437D" w:rsidRPr="00A55D51">
        <w:rPr>
          <w:rFonts w:ascii="Arial" w:eastAsia="Arial" w:hAnsi="Arial" w:cs="Arial"/>
          <w:color w:val="000000"/>
          <w:sz w:val="24"/>
          <w:szCs w:val="24"/>
        </w:rPr>
        <w:t>lacks averments necessary to sustain a cause of action.</w:t>
      </w:r>
    </w:p>
    <w:p w14:paraId="001C64C0" w14:textId="354A2EAB" w:rsidR="004C3247" w:rsidRDefault="00E916CB" w:rsidP="0076437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52B54EAA" w14:textId="2AE798AD" w:rsidR="004C3247" w:rsidRPr="00C70135" w:rsidRDefault="00C70135" w:rsidP="004C3247">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C70135">
        <w:rPr>
          <w:rFonts w:ascii="Arial" w:eastAsia="Arial" w:hAnsi="Arial" w:cs="Arial"/>
          <w:b/>
          <w:bCs/>
          <w:color w:val="000000"/>
          <w:sz w:val="24"/>
          <w:szCs w:val="24"/>
        </w:rPr>
        <w:t>Condonation</w:t>
      </w:r>
    </w:p>
    <w:p w14:paraId="262FC86D" w14:textId="1228B952" w:rsidR="00C743A2" w:rsidRDefault="00C743A2" w:rsidP="00C743A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C846007" w14:textId="000C3930" w:rsidR="005B4820"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34.</w:t>
      </w:r>
      <w:r>
        <w:rPr>
          <w:rFonts w:ascii="Arial" w:eastAsia="Arial" w:hAnsi="Arial" w:cs="Arial"/>
          <w:color w:val="000000"/>
          <w:sz w:val="24"/>
          <w:szCs w:val="24"/>
        </w:rPr>
        <w:tab/>
      </w:r>
      <w:r w:rsidR="00FB3F62" w:rsidRPr="00A55D51">
        <w:rPr>
          <w:rFonts w:ascii="Arial" w:eastAsia="Arial" w:hAnsi="Arial" w:cs="Arial"/>
          <w:color w:val="000000"/>
          <w:sz w:val="24"/>
          <w:szCs w:val="24"/>
        </w:rPr>
        <w:t xml:space="preserve">The basis upon which it alleged that the Amended Particulars of Claim falls to be set aside as an irregular step is based thereon that </w:t>
      </w:r>
      <w:r w:rsidR="002674CE" w:rsidRPr="00A55D51">
        <w:rPr>
          <w:rFonts w:ascii="Arial" w:eastAsia="Arial" w:hAnsi="Arial" w:cs="Arial"/>
          <w:color w:val="000000"/>
          <w:sz w:val="24"/>
          <w:szCs w:val="24"/>
        </w:rPr>
        <w:t>it is alleged that Floorworx failed to comply with Rule 18.  In this regard:-</w:t>
      </w:r>
    </w:p>
    <w:p w14:paraId="75991FEE" w14:textId="77777777" w:rsidR="002674CE" w:rsidRDefault="002674CE" w:rsidP="002674C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488903F" w14:textId="251E6390" w:rsidR="009E373B" w:rsidRDefault="0076437D" w:rsidP="00FC283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3</w:t>
      </w:r>
      <w:r w:rsidR="006A2515">
        <w:rPr>
          <w:rFonts w:ascii="Arial" w:eastAsia="Arial" w:hAnsi="Arial" w:cs="Arial"/>
          <w:color w:val="000000"/>
          <w:sz w:val="24"/>
          <w:szCs w:val="24"/>
        </w:rPr>
        <w:t>4</w:t>
      </w:r>
      <w:r w:rsidR="002674CE">
        <w:rPr>
          <w:rFonts w:ascii="Arial" w:eastAsia="Arial" w:hAnsi="Arial" w:cs="Arial"/>
          <w:color w:val="000000"/>
          <w:sz w:val="24"/>
          <w:szCs w:val="24"/>
        </w:rPr>
        <w:t>.1</w:t>
      </w:r>
      <w:r w:rsidR="002674CE">
        <w:rPr>
          <w:rFonts w:ascii="Arial" w:eastAsia="Arial" w:hAnsi="Arial" w:cs="Arial"/>
          <w:color w:val="000000"/>
          <w:sz w:val="24"/>
          <w:szCs w:val="24"/>
        </w:rPr>
        <w:tab/>
      </w:r>
      <w:r w:rsidR="00021B89">
        <w:rPr>
          <w:rFonts w:ascii="Arial" w:eastAsia="Arial" w:hAnsi="Arial" w:cs="Arial"/>
          <w:color w:val="000000"/>
          <w:sz w:val="24"/>
          <w:szCs w:val="24"/>
        </w:rPr>
        <w:t>i</w:t>
      </w:r>
      <w:r w:rsidR="00F01DA6">
        <w:rPr>
          <w:rFonts w:ascii="Arial" w:eastAsia="Arial" w:hAnsi="Arial" w:cs="Arial"/>
          <w:color w:val="000000"/>
          <w:sz w:val="24"/>
          <w:szCs w:val="24"/>
        </w:rPr>
        <w:t>n the first instance, it is alleged that Floorworx failed to plead a contractual nexus between itself and Mazars</w:t>
      </w:r>
      <w:r w:rsidR="009764B8">
        <w:rPr>
          <w:rFonts w:ascii="Arial" w:eastAsia="Arial" w:hAnsi="Arial" w:cs="Arial"/>
          <w:color w:val="000000"/>
          <w:sz w:val="24"/>
          <w:szCs w:val="24"/>
        </w:rPr>
        <w:t xml:space="preserve"> and did so in a way that is wholly insufficient to comply with Rules 18(4), (6) and (12).  In essence, same constitutes repetition </w:t>
      </w:r>
      <w:r w:rsidR="00F67794">
        <w:rPr>
          <w:rFonts w:ascii="Arial" w:eastAsia="Arial" w:hAnsi="Arial" w:cs="Arial"/>
          <w:color w:val="000000"/>
          <w:sz w:val="24"/>
          <w:szCs w:val="24"/>
        </w:rPr>
        <w:t xml:space="preserve">of the exception based on a failure to disclose a cause of action, but with the </w:t>
      </w:r>
      <w:r w:rsidR="00205D27">
        <w:rPr>
          <w:rFonts w:ascii="Arial" w:eastAsia="Arial" w:hAnsi="Arial" w:cs="Arial"/>
          <w:color w:val="000000"/>
          <w:sz w:val="24"/>
          <w:szCs w:val="24"/>
        </w:rPr>
        <w:t>added</w:t>
      </w:r>
      <w:r w:rsidR="00F67794">
        <w:rPr>
          <w:rFonts w:ascii="Arial" w:eastAsia="Arial" w:hAnsi="Arial" w:cs="Arial"/>
          <w:color w:val="000000"/>
          <w:sz w:val="24"/>
          <w:szCs w:val="24"/>
        </w:rPr>
        <w:t xml:space="preserve"> caveat that there was a failure to comply with the mentioned rules</w:t>
      </w:r>
      <w:r w:rsidR="00927428">
        <w:rPr>
          <w:rFonts w:ascii="Arial" w:eastAsia="Arial" w:hAnsi="Arial" w:cs="Arial"/>
          <w:color w:val="000000"/>
          <w:sz w:val="24"/>
          <w:szCs w:val="24"/>
        </w:rPr>
        <w:t>;</w:t>
      </w:r>
      <w:r w:rsidR="00770784">
        <w:rPr>
          <w:rStyle w:val="FootnoteReference"/>
          <w:rFonts w:ascii="Arial" w:eastAsia="Arial" w:hAnsi="Arial" w:cs="Arial"/>
          <w:color w:val="000000"/>
          <w:sz w:val="24"/>
          <w:szCs w:val="24"/>
        </w:rPr>
        <w:footnoteReference w:id="34"/>
      </w:r>
      <w:r w:rsidR="002E232D">
        <w:rPr>
          <w:rFonts w:ascii="Arial" w:eastAsia="Arial" w:hAnsi="Arial" w:cs="Arial"/>
          <w:color w:val="000000"/>
          <w:sz w:val="24"/>
          <w:szCs w:val="24"/>
        </w:rPr>
        <w:t>and</w:t>
      </w:r>
    </w:p>
    <w:p w14:paraId="1C322F08" w14:textId="77777777" w:rsidR="009E373B" w:rsidRDefault="009E373B" w:rsidP="00FC283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0DC67C4" w14:textId="7D3540CA" w:rsidR="00457942" w:rsidRDefault="006A2515" w:rsidP="00FC283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34</w:t>
      </w:r>
      <w:r w:rsidR="009E373B">
        <w:rPr>
          <w:rFonts w:ascii="Arial" w:eastAsia="Arial" w:hAnsi="Arial" w:cs="Arial"/>
          <w:color w:val="000000"/>
          <w:sz w:val="24"/>
          <w:szCs w:val="24"/>
        </w:rPr>
        <w:t>.2</w:t>
      </w:r>
      <w:r w:rsidR="009E373B">
        <w:rPr>
          <w:rFonts w:ascii="Arial" w:eastAsia="Arial" w:hAnsi="Arial" w:cs="Arial"/>
          <w:color w:val="000000"/>
          <w:sz w:val="24"/>
          <w:szCs w:val="24"/>
        </w:rPr>
        <w:tab/>
      </w:r>
      <w:r w:rsidR="00021B89">
        <w:rPr>
          <w:rFonts w:ascii="Arial" w:eastAsia="Arial" w:hAnsi="Arial" w:cs="Arial"/>
          <w:color w:val="000000"/>
          <w:sz w:val="24"/>
          <w:szCs w:val="24"/>
        </w:rPr>
        <w:t>i</w:t>
      </w:r>
      <w:r w:rsidR="00600B16">
        <w:rPr>
          <w:rFonts w:ascii="Arial" w:eastAsia="Arial" w:hAnsi="Arial" w:cs="Arial"/>
          <w:color w:val="000000"/>
          <w:sz w:val="24"/>
          <w:szCs w:val="24"/>
        </w:rPr>
        <w:t>n the second instance, it is alleged that Floorworx failed to comply with Rule 18(1</w:t>
      </w:r>
      <w:r w:rsidR="00175F79">
        <w:rPr>
          <w:rFonts w:ascii="Arial" w:eastAsia="Arial" w:hAnsi="Arial" w:cs="Arial"/>
          <w:color w:val="000000"/>
          <w:sz w:val="24"/>
          <w:szCs w:val="24"/>
        </w:rPr>
        <w:t xml:space="preserve">0) as read with Rule 18(12).  </w:t>
      </w:r>
      <w:r w:rsidR="00873561">
        <w:rPr>
          <w:rFonts w:ascii="Arial" w:eastAsia="Arial" w:hAnsi="Arial" w:cs="Arial"/>
          <w:color w:val="000000"/>
          <w:sz w:val="24"/>
          <w:szCs w:val="24"/>
        </w:rPr>
        <w:t>Floorworx pleaded that Mazars</w:t>
      </w:r>
      <w:r w:rsidR="00021B89">
        <w:rPr>
          <w:rFonts w:ascii="Arial" w:eastAsia="Arial" w:hAnsi="Arial" w:cs="Arial"/>
          <w:color w:val="000000"/>
          <w:sz w:val="24"/>
          <w:szCs w:val="24"/>
        </w:rPr>
        <w:t>’</w:t>
      </w:r>
      <w:r w:rsidR="00873561">
        <w:rPr>
          <w:rFonts w:ascii="Arial" w:eastAsia="Arial" w:hAnsi="Arial" w:cs="Arial"/>
          <w:color w:val="000000"/>
          <w:sz w:val="24"/>
          <w:szCs w:val="24"/>
        </w:rPr>
        <w:t xml:space="preserve"> liability for damages is circumscribed and determined with reference to certain dates and time periods, depending on whe</w:t>
      </w:r>
      <w:r w:rsidR="00021B89">
        <w:rPr>
          <w:rFonts w:ascii="Arial" w:eastAsia="Arial" w:hAnsi="Arial" w:cs="Arial"/>
          <w:color w:val="000000"/>
          <w:sz w:val="24"/>
          <w:szCs w:val="24"/>
        </w:rPr>
        <w:t>n Mazars alleged omission caused</w:t>
      </w:r>
      <w:r w:rsidR="00873561">
        <w:rPr>
          <w:rFonts w:ascii="Arial" w:eastAsia="Arial" w:hAnsi="Arial" w:cs="Arial"/>
          <w:color w:val="000000"/>
          <w:sz w:val="24"/>
          <w:szCs w:val="24"/>
        </w:rPr>
        <w:t xml:space="preserve"> losses to Floorworx.  In this regard</w:t>
      </w:r>
      <w:r w:rsidR="00021B89">
        <w:rPr>
          <w:rFonts w:ascii="Arial" w:eastAsia="Arial" w:hAnsi="Arial" w:cs="Arial"/>
          <w:color w:val="000000"/>
          <w:sz w:val="24"/>
          <w:szCs w:val="24"/>
        </w:rPr>
        <w:t>:</w:t>
      </w:r>
      <w:r w:rsidR="00873561">
        <w:rPr>
          <w:rFonts w:ascii="Arial" w:eastAsia="Arial" w:hAnsi="Arial" w:cs="Arial"/>
          <w:color w:val="000000"/>
          <w:sz w:val="24"/>
          <w:szCs w:val="24"/>
        </w:rPr>
        <w:t xml:space="preserve"> (i) in paragraph 25 Floorworx pleaded the amounts of money Schreuder allegedly misappropriated from Floorworx in a given financial year (between 2006 and 2015) ending on 30 June</w:t>
      </w:r>
      <w:r w:rsidR="002E232D">
        <w:rPr>
          <w:rFonts w:ascii="Arial" w:eastAsia="Arial" w:hAnsi="Arial" w:cs="Arial"/>
          <w:color w:val="000000"/>
          <w:sz w:val="24"/>
          <w:szCs w:val="24"/>
        </w:rPr>
        <w:t xml:space="preserve"> of each year</w:t>
      </w:r>
      <w:r w:rsidR="00873561">
        <w:rPr>
          <w:rFonts w:ascii="Arial" w:eastAsia="Arial" w:hAnsi="Arial" w:cs="Arial"/>
          <w:color w:val="000000"/>
          <w:sz w:val="24"/>
          <w:szCs w:val="24"/>
        </w:rPr>
        <w:t xml:space="preserve">; (ii) in paragraph 27.2, Floorworx pleaded that Mazars would have alerted Floorworx as to the ongoing misappropriation by no later than the end of September in a </w:t>
      </w:r>
      <w:r w:rsidR="00873561">
        <w:rPr>
          <w:rFonts w:ascii="Arial" w:eastAsia="Arial" w:hAnsi="Arial" w:cs="Arial"/>
          <w:color w:val="000000"/>
          <w:sz w:val="24"/>
          <w:szCs w:val="24"/>
        </w:rPr>
        <w:lastRenderedPageBreak/>
        <w:t>given calendar year (between 2006 and 2015); and (iii) in paragraph 27.3, Floorworx further plead that the additional amounts in the aggregate would not have been misappropriated by Schreuder from Floorworx after the end of September in a given year (between 2006 and 2015</w:t>
      </w:r>
      <w:r w:rsidR="00B5329A">
        <w:rPr>
          <w:rFonts w:ascii="Arial" w:eastAsia="Arial" w:hAnsi="Arial" w:cs="Arial"/>
          <w:color w:val="000000"/>
          <w:sz w:val="24"/>
          <w:szCs w:val="24"/>
        </w:rPr>
        <w:t xml:space="preserve">). Rule 18(10) requires of a plaintiff suing for damages to set them out in such a manner as would enable a defendant reasonably to assess the </w:t>
      </w:r>
      <w:r w:rsidR="00B5329A" w:rsidRPr="00021B89">
        <w:rPr>
          <w:rFonts w:ascii="Arial" w:eastAsia="Arial" w:hAnsi="Arial" w:cs="Arial"/>
          <w:i/>
          <w:color w:val="000000"/>
          <w:sz w:val="24"/>
          <w:szCs w:val="24"/>
        </w:rPr>
        <w:t>quantum</w:t>
      </w:r>
      <w:r w:rsidR="00B5329A">
        <w:rPr>
          <w:rFonts w:ascii="Arial" w:eastAsia="Arial" w:hAnsi="Arial" w:cs="Arial"/>
          <w:color w:val="000000"/>
          <w:sz w:val="24"/>
          <w:szCs w:val="24"/>
        </w:rPr>
        <w:t xml:space="preserve"> thereof.  However, Mazars alleges that the true </w:t>
      </w:r>
      <w:r w:rsidR="00B5329A" w:rsidRPr="00021B89">
        <w:rPr>
          <w:rFonts w:ascii="Arial" w:eastAsia="Arial" w:hAnsi="Arial" w:cs="Arial"/>
          <w:i/>
          <w:color w:val="000000"/>
          <w:sz w:val="24"/>
          <w:szCs w:val="24"/>
        </w:rPr>
        <w:t>quantum</w:t>
      </w:r>
      <w:r w:rsidR="00B5329A">
        <w:rPr>
          <w:rFonts w:ascii="Arial" w:eastAsia="Arial" w:hAnsi="Arial" w:cs="Arial"/>
          <w:color w:val="000000"/>
          <w:sz w:val="24"/>
          <w:szCs w:val="24"/>
        </w:rPr>
        <w:t xml:space="preserve"> of Floorworx’s claim is dependent on exactly when Mazars would have been expected to alert Floorworx of the fraud and that moment would constitute the end point of Mazars alleged liability.  </w:t>
      </w:r>
      <w:r w:rsidR="00021B89">
        <w:rPr>
          <w:rFonts w:ascii="Arial" w:eastAsia="Arial" w:hAnsi="Arial" w:cs="Arial"/>
          <w:color w:val="000000"/>
          <w:sz w:val="24"/>
          <w:szCs w:val="24"/>
        </w:rPr>
        <w:t>According to Mazars, Floorworx did not particular</w:t>
      </w:r>
      <w:r w:rsidR="00B5329A">
        <w:rPr>
          <w:rFonts w:ascii="Arial" w:eastAsia="Arial" w:hAnsi="Arial" w:cs="Arial"/>
          <w:color w:val="000000"/>
          <w:sz w:val="24"/>
          <w:szCs w:val="24"/>
        </w:rPr>
        <w:t>ise when each specific fraudulent transaction took place.</w:t>
      </w:r>
      <w:r w:rsidR="00E640E0">
        <w:rPr>
          <w:rFonts w:ascii="Arial" w:eastAsia="Arial" w:hAnsi="Arial" w:cs="Arial"/>
          <w:color w:val="000000"/>
          <w:sz w:val="24"/>
          <w:szCs w:val="24"/>
        </w:rPr>
        <w:t xml:space="preserve">  It is consequently alleged that the absence of such particularity means that Mazars is unable to assess the damages sustained by Floorworx arising from a given claim or the </w:t>
      </w:r>
      <w:r w:rsidR="00E640E0" w:rsidRPr="00021B89">
        <w:rPr>
          <w:rFonts w:ascii="Arial" w:eastAsia="Arial" w:hAnsi="Arial" w:cs="Arial"/>
          <w:i/>
          <w:color w:val="000000"/>
          <w:sz w:val="24"/>
          <w:szCs w:val="24"/>
        </w:rPr>
        <w:t>quantum</w:t>
      </w:r>
      <w:r w:rsidR="00E640E0">
        <w:rPr>
          <w:rFonts w:ascii="Arial" w:eastAsia="Arial" w:hAnsi="Arial" w:cs="Arial"/>
          <w:color w:val="000000"/>
          <w:sz w:val="24"/>
          <w:szCs w:val="24"/>
        </w:rPr>
        <w:t xml:space="preserve"> of its damages. In the premises, it is concluded that the Amended Particulars of Claim constitute an irregular ste</w:t>
      </w:r>
      <w:r w:rsidR="002E232D">
        <w:rPr>
          <w:rFonts w:ascii="Arial" w:eastAsia="Arial" w:hAnsi="Arial" w:cs="Arial"/>
          <w:color w:val="000000"/>
          <w:sz w:val="24"/>
          <w:szCs w:val="24"/>
        </w:rPr>
        <w:t>p within the</w:t>
      </w:r>
      <w:r w:rsidR="00021B89">
        <w:rPr>
          <w:rFonts w:ascii="Arial" w:eastAsia="Arial" w:hAnsi="Arial" w:cs="Arial"/>
          <w:color w:val="000000"/>
          <w:sz w:val="24"/>
          <w:szCs w:val="24"/>
        </w:rPr>
        <w:t xml:space="preserve"> meaning of Rule 18(10</w:t>
      </w:r>
      <w:r w:rsidR="00E640E0">
        <w:rPr>
          <w:rFonts w:ascii="Arial" w:eastAsia="Arial" w:hAnsi="Arial" w:cs="Arial"/>
          <w:color w:val="000000"/>
          <w:sz w:val="24"/>
          <w:szCs w:val="24"/>
        </w:rPr>
        <w:t>), alternatively is vague and embarrassing.</w:t>
      </w:r>
    </w:p>
    <w:p w14:paraId="32AFB59A" w14:textId="77777777" w:rsidR="00B53CE9" w:rsidRDefault="00B53CE9" w:rsidP="00257C7D">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p>
    <w:p w14:paraId="5F0FCF53" w14:textId="1C11098D" w:rsidR="00521AD4"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35.</w:t>
      </w:r>
      <w:r>
        <w:rPr>
          <w:rFonts w:ascii="Arial" w:eastAsia="Arial" w:hAnsi="Arial" w:cs="Arial"/>
          <w:color w:val="000000"/>
          <w:sz w:val="24"/>
          <w:szCs w:val="24"/>
        </w:rPr>
        <w:tab/>
      </w:r>
      <w:r w:rsidR="00BE72E1" w:rsidRPr="00A55D51">
        <w:rPr>
          <w:rFonts w:ascii="Arial" w:eastAsia="Arial" w:hAnsi="Arial" w:cs="Arial"/>
          <w:color w:val="000000"/>
          <w:sz w:val="24"/>
          <w:szCs w:val="24"/>
        </w:rPr>
        <w:t>It will be seen that the second basis upon which it is alleged that the Amended Particulars of Claim constitutes an irregularity, is also the same basis upon which it is alleged that the Amended Particulars of Claim</w:t>
      </w:r>
      <w:r w:rsidR="00CD181E" w:rsidRPr="00A55D51">
        <w:rPr>
          <w:rFonts w:ascii="Arial" w:eastAsia="Arial" w:hAnsi="Arial" w:cs="Arial"/>
          <w:color w:val="000000"/>
          <w:sz w:val="24"/>
          <w:szCs w:val="24"/>
        </w:rPr>
        <w:t xml:space="preserve"> is vague and embarrassing.  During the hearing it became common cause that this particular exception based on vague and embarrassing grounds had no merit and consequently counsel for Mazars expressly abandoned this particular exception.  However, counsel for Mazars persisted with the other exception based on vague and embarrassing grounds.</w:t>
      </w:r>
    </w:p>
    <w:p w14:paraId="56706276" w14:textId="77777777" w:rsidR="001B60AF" w:rsidRDefault="001B60AF" w:rsidP="001B60A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A904518" w14:textId="3C4685FD" w:rsidR="001B60AF"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36.</w:t>
      </w:r>
      <w:r>
        <w:rPr>
          <w:rFonts w:ascii="Arial" w:eastAsia="Arial" w:hAnsi="Arial" w:cs="Arial"/>
          <w:color w:val="000000"/>
          <w:sz w:val="24"/>
          <w:szCs w:val="24"/>
        </w:rPr>
        <w:tab/>
      </w:r>
      <w:r w:rsidR="001B60AF" w:rsidRPr="00A55D51">
        <w:rPr>
          <w:rFonts w:ascii="Arial" w:eastAsia="Arial" w:hAnsi="Arial" w:cs="Arial"/>
          <w:color w:val="000000"/>
          <w:sz w:val="24"/>
          <w:szCs w:val="24"/>
        </w:rPr>
        <w:t xml:space="preserve">The other exception based on vague and </w:t>
      </w:r>
      <w:r w:rsidR="006A2515" w:rsidRPr="00A55D51">
        <w:rPr>
          <w:rFonts w:ascii="Arial" w:eastAsia="Arial" w:hAnsi="Arial" w:cs="Arial"/>
          <w:color w:val="000000"/>
          <w:sz w:val="24"/>
          <w:szCs w:val="24"/>
        </w:rPr>
        <w:t>embarrassing grounds proceeds from</w:t>
      </w:r>
      <w:r w:rsidR="001B60AF" w:rsidRPr="00A55D51">
        <w:rPr>
          <w:rFonts w:ascii="Arial" w:eastAsia="Arial" w:hAnsi="Arial" w:cs="Arial"/>
          <w:color w:val="000000"/>
          <w:sz w:val="24"/>
          <w:szCs w:val="24"/>
        </w:rPr>
        <w:t xml:space="preserve"> the following reasoning:-</w:t>
      </w:r>
    </w:p>
    <w:p w14:paraId="14655152" w14:textId="77777777" w:rsidR="001B60AF" w:rsidRDefault="001B60AF" w:rsidP="001B60A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3FE45CC" w14:textId="67CAFED0" w:rsidR="001B60AF" w:rsidRDefault="006A2515" w:rsidP="00A9762C">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36</w:t>
      </w:r>
      <w:r w:rsidR="001B60AF">
        <w:rPr>
          <w:rFonts w:ascii="Arial" w:eastAsia="Arial" w:hAnsi="Arial" w:cs="Arial"/>
          <w:color w:val="000000"/>
          <w:sz w:val="24"/>
          <w:szCs w:val="24"/>
        </w:rPr>
        <w:t>.1</w:t>
      </w:r>
      <w:r w:rsidR="001B60AF">
        <w:rPr>
          <w:rFonts w:ascii="Arial" w:eastAsia="Arial" w:hAnsi="Arial" w:cs="Arial"/>
          <w:color w:val="000000"/>
          <w:sz w:val="24"/>
          <w:szCs w:val="24"/>
        </w:rPr>
        <w:tab/>
      </w:r>
      <w:r w:rsidR="00A9762C">
        <w:rPr>
          <w:rFonts w:ascii="Arial" w:eastAsia="Arial" w:hAnsi="Arial" w:cs="Arial"/>
          <w:color w:val="000000"/>
          <w:sz w:val="24"/>
          <w:szCs w:val="24"/>
        </w:rPr>
        <w:t>Floorworx alleged in paragraph 13 of the Amended Particulars of Claim that Accentuate concluded an agreement with Mazars in terms of which Mazars was appointed to audit the financial statements for Accentuate as well as each of its subsidiaries which included Floorworx;</w:t>
      </w:r>
      <w:r w:rsidR="0040139B">
        <w:rPr>
          <w:rFonts w:ascii="Arial" w:eastAsia="Arial" w:hAnsi="Arial" w:cs="Arial"/>
          <w:color w:val="000000"/>
          <w:sz w:val="24"/>
          <w:szCs w:val="24"/>
        </w:rPr>
        <w:t xml:space="preserve"> and</w:t>
      </w:r>
    </w:p>
    <w:p w14:paraId="2F557B74" w14:textId="77777777" w:rsidR="00A9762C" w:rsidRDefault="00A9762C" w:rsidP="001B60A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D8EA8D5" w14:textId="5668B559" w:rsidR="00A9762C" w:rsidRPr="00FE3CFE" w:rsidRDefault="006A2515" w:rsidP="0076511D">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36</w:t>
      </w:r>
      <w:r w:rsidR="00A9762C">
        <w:rPr>
          <w:rFonts w:ascii="Arial" w:eastAsia="Arial" w:hAnsi="Arial" w:cs="Arial"/>
          <w:color w:val="000000"/>
          <w:sz w:val="24"/>
          <w:szCs w:val="24"/>
        </w:rPr>
        <w:t>.2</w:t>
      </w:r>
      <w:r w:rsidR="00A9762C">
        <w:rPr>
          <w:rFonts w:ascii="Arial" w:eastAsia="Arial" w:hAnsi="Arial" w:cs="Arial"/>
          <w:color w:val="000000"/>
          <w:sz w:val="24"/>
          <w:szCs w:val="24"/>
        </w:rPr>
        <w:tab/>
      </w:r>
      <w:r w:rsidR="00A86051">
        <w:rPr>
          <w:rFonts w:ascii="Arial" w:eastAsia="Arial" w:hAnsi="Arial" w:cs="Arial"/>
          <w:color w:val="000000"/>
          <w:sz w:val="24"/>
          <w:szCs w:val="24"/>
        </w:rPr>
        <w:t xml:space="preserve">Annexure POC2 [and which relates to Claim 10 only], however, provides in relevant part: </w:t>
      </w:r>
      <w:r w:rsidR="00FE3CFE">
        <w:rPr>
          <w:rFonts w:ascii="Arial" w:eastAsia="Arial" w:hAnsi="Arial" w:cs="Arial"/>
          <w:color w:val="000000"/>
          <w:sz w:val="24"/>
          <w:szCs w:val="24"/>
        </w:rPr>
        <w:t>”</w:t>
      </w:r>
      <w:r w:rsidR="00FE3CFE">
        <w:rPr>
          <w:rFonts w:ascii="Arial" w:eastAsia="Arial" w:hAnsi="Arial" w:cs="Arial"/>
          <w:i/>
          <w:iCs/>
          <w:color w:val="000000"/>
          <w:sz w:val="24"/>
          <w:szCs w:val="24"/>
        </w:rPr>
        <w:t>… nothing herein is to be construed as creating any rights in favour of any other third party</w:t>
      </w:r>
      <w:r w:rsidR="00FE3CFE">
        <w:rPr>
          <w:rFonts w:ascii="Arial" w:eastAsia="Arial" w:hAnsi="Arial" w:cs="Arial"/>
          <w:color w:val="000000"/>
          <w:sz w:val="24"/>
          <w:szCs w:val="24"/>
        </w:rPr>
        <w:t>”.  Mazars alleges that the aforesaid quoted provision</w:t>
      </w:r>
      <w:r w:rsidR="0076511D">
        <w:rPr>
          <w:rFonts w:ascii="Arial" w:eastAsia="Arial" w:hAnsi="Arial" w:cs="Arial"/>
          <w:color w:val="000000"/>
          <w:sz w:val="24"/>
          <w:szCs w:val="24"/>
        </w:rPr>
        <w:t xml:space="preserve"> of Annexure POC2 contradicts paragraph</w:t>
      </w:r>
      <w:r>
        <w:rPr>
          <w:rFonts w:ascii="Arial" w:eastAsia="Arial" w:hAnsi="Arial" w:cs="Arial"/>
          <w:color w:val="000000"/>
          <w:sz w:val="24"/>
          <w:szCs w:val="24"/>
        </w:rPr>
        <w:t>s 13 and</w:t>
      </w:r>
      <w:r w:rsidR="0076511D">
        <w:rPr>
          <w:rFonts w:ascii="Arial" w:eastAsia="Arial" w:hAnsi="Arial" w:cs="Arial"/>
          <w:color w:val="000000"/>
          <w:sz w:val="24"/>
          <w:szCs w:val="24"/>
        </w:rPr>
        <w:t xml:space="preserve"> 14 of the Amended Particulars of Claim where it was alleged that Accentuate acted as the disclosed agent or mandatee of Floorworx.  On this basis, it is alleged that the Amended Particulars of Claim is excipiable on the basis that it is vague and embarrassing.</w:t>
      </w:r>
    </w:p>
    <w:p w14:paraId="6B452FE7" w14:textId="77777777" w:rsidR="00B2033F" w:rsidRDefault="00B2033F" w:rsidP="00B2033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A4AAD45" w14:textId="340AA636" w:rsidR="00B2033F"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37.</w:t>
      </w:r>
      <w:r>
        <w:rPr>
          <w:rFonts w:ascii="Arial" w:eastAsia="Arial" w:hAnsi="Arial" w:cs="Arial"/>
          <w:color w:val="000000"/>
          <w:sz w:val="24"/>
          <w:szCs w:val="24"/>
        </w:rPr>
        <w:tab/>
      </w:r>
      <w:r w:rsidR="00580BD9" w:rsidRPr="00A55D51">
        <w:rPr>
          <w:rFonts w:ascii="Arial" w:eastAsia="Arial" w:hAnsi="Arial" w:cs="Arial"/>
          <w:color w:val="000000"/>
          <w:sz w:val="24"/>
          <w:szCs w:val="24"/>
        </w:rPr>
        <w:t xml:space="preserve">Rule 30 provides </w:t>
      </w:r>
      <w:r w:rsidR="00580BD9" w:rsidRPr="00A55D51">
        <w:rPr>
          <w:rFonts w:ascii="Arial" w:eastAsia="Arial" w:hAnsi="Arial" w:cs="Arial"/>
          <w:i/>
          <w:iCs/>
          <w:color w:val="000000"/>
          <w:sz w:val="24"/>
          <w:szCs w:val="24"/>
        </w:rPr>
        <w:t>verbatim</w:t>
      </w:r>
      <w:r w:rsidR="00580BD9" w:rsidRPr="00A55D51">
        <w:rPr>
          <w:rFonts w:ascii="Arial" w:eastAsia="Arial" w:hAnsi="Arial" w:cs="Arial"/>
          <w:color w:val="000000"/>
          <w:sz w:val="24"/>
          <w:szCs w:val="24"/>
        </w:rPr>
        <w:t xml:space="preserve"> as follows:-</w:t>
      </w:r>
    </w:p>
    <w:p w14:paraId="0C327471" w14:textId="77777777" w:rsidR="00580BD9" w:rsidRDefault="00580BD9" w:rsidP="00580BD9">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D8D740C" w14:textId="37B9C910" w:rsidR="00580BD9" w:rsidRDefault="00580BD9" w:rsidP="006767C5">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sidRPr="00580BD9">
        <w:rPr>
          <w:rFonts w:ascii="Arial" w:eastAsia="Arial" w:hAnsi="Arial" w:cs="Arial"/>
          <w:i/>
          <w:iCs/>
          <w:color w:val="000000"/>
        </w:rPr>
        <w:t>“(1)</w:t>
      </w:r>
      <w:r w:rsidRPr="00580BD9">
        <w:rPr>
          <w:rFonts w:ascii="Arial" w:eastAsia="Arial" w:hAnsi="Arial" w:cs="Arial"/>
          <w:i/>
          <w:iCs/>
          <w:color w:val="000000"/>
        </w:rPr>
        <w:tab/>
      </w:r>
      <w:r w:rsidR="005D53CB">
        <w:rPr>
          <w:rFonts w:ascii="Arial" w:eastAsia="Arial" w:hAnsi="Arial" w:cs="Arial"/>
          <w:i/>
          <w:iCs/>
          <w:color w:val="000000"/>
        </w:rPr>
        <w:t>A party to a cause in which an irregular step has been taken by any other party may apply to court to set it aside.</w:t>
      </w:r>
    </w:p>
    <w:p w14:paraId="14D1C665" w14:textId="77777777" w:rsidR="005D53CB" w:rsidRDefault="005D53CB" w:rsidP="006767C5">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081B7431" w14:textId="31620A1B" w:rsidR="005D53CB" w:rsidRDefault="005D53CB" w:rsidP="006767C5">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(2)</w:t>
      </w:r>
      <w:r>
        <w:rPr>
          <w:rFonts w:ascii="Arial" w:eastAsia="Arial" w:hAnsi="Arial" w:cs="Arial"/>
          <w:i/>
          <w:iCs/>
          <w:color w:val="000000"/>
        </w:rPr>
        <w:tab/>
      </w:r>
      <w:r w:rsidR="00B85AAE">
        <w:rPr>
          <w:rFonts w:ascii="Arial" w:eastAsia="Arial" w:hAnsi="Arial" w:cs="Arial"/>
          <w:i/>
          <w:iCs/>
          <w:color w:val="000000"/>
        </w:rPr>
        <w:t xml:space="preserve">An application in terms of subrule (1) shall be on notice to all parties specifying particulars of the irregularity or </w:t>
      </w:r>
      <w:r w:rsidR="00514D06">
        <w:rPr>
          <w:rFonts w:ascii="Arial" w:eastAsia="Arial" w:hAnsi="Arial" w:cs="Arial"/>
          <w:i/>
          <w:iCs/>
          <w:color w:val="000000"/>
        </w:rPr>
        <w:t>impropriety</w:t>
      </w:r>
      <w:r w:rsidR="00B85AAE">
        <w:rPr>
          <w:rFonts w:ascii="Arial" w:eastAsia="Arial" w:hAnsi="Arial" w:cs="Arial"/>
          <w:i/>
          <w:iCs/>
          <w:color w:val="000000"/>
        </w:rPr>
        <w:t xml:space="preserve"> </w:t>
      </w:r>
      <w:r w:rsidR="00514D06">
        <w:rPr>
          <w:rFonts w:ascii="Arial" w:eastAsia="Arial" w:hAnsi="Arial" w:cs="Arial"/>
          <w:i/>
          <w:iCs/>
          <w:color w:val="000000"/>
        </w:rPr>
        <w:t>alleged, and may</w:t>
      </w:r>
      <w:r w:rsidR="00DE3948">
        <w:rPr>
          <w:rFonts w:ascii="Arial" w:eastAsia="Arial" w:hAnsi="Arial" w:cs="Arial"/>
          <w:i/>
          <w:iCs/>
          <w:color w:val="000000"/>
        </w:rPr>
        <w:t xml:space="preserve"> </w:t>
      </w:r>
      <w:r w:rsidR="00514D06">
        <w:rPr>
          <w:rFonts w:ascii="Arial" w:eastAsia="Arial" w:hAnsi="Arial" w:cs="Arial"/>
          <w:i/>
          <w:iCs/>
          <w:color w:val="000000"/>
        </w:rPr>
        <w:t xml:space="preserve">be made only if </w:t>
      </w:r>
      <w:r w:rsidR="006767C5">
        <w:rPr>
          <w:rFonts w:ascii="Arial" w:eastAsia="Arial" w:hAnsi="Arial" w:cs="Arial"/>
          <w:i/>
          <w:iCs/>
          <w:color w:val="000000"/>
        </w:rPr>
        <w:t>–</w:t>
      </w:r>
      <w:r w:rsidR="00514D06">
        <w:rPr>
          <w:rFonts w:ascii="Arial" w:eastAsia="Arial" w:hAnsi="Arial" w:cs="Arial"/>
          <w:i/>
          <w:iCs/>
          <w:color w:val="000000"/>
        </w:rPr>
        <w:t xml:space="preserve"> </w:t>
      </w:r>
    </w:p>
    <w:p w14:paraId="5272182A" w14:textId="77777777" w:rsidR="006767C5" w:rsidRDefault="006767C5" w:rsidP="006767C5">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6C9E0F26" w14:textId="27691C37" w:rsidR="006767C5" w:rsidRDefault="006767C5" w:rsidP="006767C5">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(a)</w:t>
      </w:r>
      <w:r>
        <w:rPr>
          <w:rFonts w:ascii="Arial" w:eastAsia="Arial" w:hAnsi="Arial" w:cs="Arial"/>
          <w:i/>
          <w:iCs/>
          <w:color w:val="000000"/>
        </w:rPr>
        <w:tab/>
        <w:t>the applicant has not himself taken a further step in the cause with knowledge of the irregularity;</w:t>
      </w:r>
    </w:p>
    <w:p w14:paraId="7BE2E6B4" w14:textId="77777777" w:rsidR="006767C5" w:rsidRDefault="006767C5" w:rsidP="006767C5">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4B571B2C" w14:textId="605C7345" w:rsidR="006767C5" w:rsidRDefault="006767C5" w:rsidP="00EE4E3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(b)</w:t>
      </w:r>
      <w:r>
        <w:rPr>
          <w:rFonts w:ascii="Arial" w:eastAsia="Arial" w:hAnsi="Arial" w:cs="Arial"/>
          <w:i/>
          <w:iCs/>
          <w:color w:val="000000"/>
        </w:rPr>
        <w:tab/>
      </w:r>
      <w:r w:rsidR="00EE4E36">
        <w:rPr>
          <w:rFonts w:ascii="Arial" w:eastAsia="Arial" w:hAnsi="Arial" w:cs="Arial"/>
          <w:i/>
          <w:iCs/>
          <w:color w:val="000000"/>
        </w:rPr>
        <w:t>the applicant has, within 10 (ten) days of becoming aware of the step, by written notice afforded his opponent an opportunity of removing the cause of complaint within 10 (ten) days;</w:t>
      </w:r>
    </w:p>
    <w:p w14:paraId="37F03F49" w14:textId="77777777" w:rsidR="00EE4E36" w:rsidRDefault="00EE4E36" w:rsidP="006767C5">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41F72119" w14:textId="09B01E17" w:rsidR="00EE4E36" w:rsidRDefault="00EE4E36" w:rsidP="00D00B19">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(c)</w:t>
      </w:r>
      <w:r>
        <w:rPr>
          <w:rFonts w:ascii="Arial" w:eastAsia="Arial" w:hAnsi="Arial" w:cs="Arial"/>
          <w:i/>
          <w:iCs/>
          <w:color w:val="000000"/>
        </w:rPr>
        <w:tab/>
      </w:r>
      <w:r w:rsidR="006A2515">
        <w:rPr>
          <w:rFonts w:ascii="Arial" w:eastAsia="Arial" w:hAnsi="Arial" w:cs="Arial"/>
          <w:i/>
          <w:iCs/>
          <w:color w:val="000000"/>
        </w:rPr>
        <w:t>t</w:t>
      </w:r>
      <w:r w:rsidR="00D00B19">
        <w:rPr>
          <w:rFonts w:ascii="Arial" w:eastAsia="Arial" w:hAnsi="Arial" w:cs="Arial"/>
          <w:i/>
          <w:iCs/>
          <w:color w:val="000000"/>
        </w:rPr>
        <w:t>he application is delivered within 15 (fifteen) days after the expiry of the second period mentioned in paragraph (b) of subrule (2).</w:t>
      </w:r>
    </w:p>
    <w:p w14:paraId="28233C07" w14:textId="77777777" w:rsidR="00D00B19" w:rsidRDefault="00D00B19" w:rsidP="006767C5">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46D572B8" w14:textId="0D21B9D2" w:rsidR="00D00B19" w:rsidRDefault="00D00B19" w:rsidP="006767C5">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(3)</w:t>
      </w:r>
      <w:r>
        <w:rPr>
          <w:rFonts w:ascii="Arial" w:eastAsia="Arial" w:hAnsi="Arial" w:cs="Arial"/>
          <w:i/>
          <w:iCs/>
          <w:color w:val="000000"/>
        </w:rPr>
        <w:tab/>
      </w:r>
      <w:r w:rsidR="00F2281A">
        <w:rPr>
          <w:rFonts w:ascii="Arial" w:eastAsia="Arial" w:hAnsi="Arial" w:cs="Arial"/>
          <w:i/>
          <w:iCs/>
          <w:color w:val="000000"/>
        </w:rPr>
        <w:t xml:space="preserve">If at the hearing of such application the court is of opinion that the proceeding or step is irregular or improper, it may set it aside in whole or in part, either as against all the parties or as against some of them, </w:t>
      </w:r>
      <w:r w:rsidR="00B22677">
        <w:rPr>
          <w:rFonts w:ascii="Arial" w:eastAsia="Arial" w:hAnsi="Arial" w:cs="Arial"/>
          <w:i/>
          <w:iCs/>
          <w:color w:val="000000"/>
        </w:rPr>
        <w:t>and gran</w:t>
      </w:r>
      <w:r w:rsidR="00DE3948">
        <w:rPr>
          <w:rFonts w:ascii="Arial" w:eastAsia="Arial" w:hAnsi="Arial" w:cs="Arial"/>
          <w:i/>
          <w:iCs/>
          <w:color w:val="000000"/>
        </w:rPr>
        <w:t>t</w:t>
      </w:r>
      <w:r w:rsidR="00B22677">
        <w:rPr>
          <w:rFonts w:ascii="Arial" w:eastAsia="Arial" w:hAnsi="Arial" w:cs="Arial"/>
          <w:i/>
          <w:iCs/>
          <w:color w:val="000000"/>
        </w:rPr>
        <w:t xml:space="preserve"> leave to amend or make any such order as to it seems meet.</w:t>
      </w:r>
    </w:p>
    <w:p w14:paraId="50976B64" w14:textId="77777777" w:rsidR="00B22677" w:rsidRDefault="00B22677" w:rsidP="006767C5">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7A99D284" w14:textId="3596FC14" w:rsidR="00B22677" w:rsidRDefault="00B22677" w:rsidP="006767C5">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(4)</w:t>
      </w:r>
      <w:r>
        <w:rPr>
          <w:rFonts w:ascii="Arial" w:eastAsia="Arial" w:hAnsi="Arial" w:cs="Arial"/>
          <w:i/>
          <w:iCs/>
          <w:color w:val="000000"/>
        </w:rPr>
        <w:tab/>
        <w:t>Until a party has complied with any order of court made against him in terms of this rule, he shall not take any further step in the cause, sa</w:t>
      </w:r>
      <w:r w:rsidR="001F06C1">
        <w:rPr>
          <w:rFonts w:ascii="Arial" w:eastAsia="Arial" w:hAnsi="Arial" w:cs="Arial"/>
          <w:i/>
          <w:iCs/>
          <w:color w:val="000000"/>
        </w:rPr>
        <w:t>v</w:t>
      </w:r>
      <w:r>
        <w:rPr>
          <w:rFonts w:ascii="Arial" w:eastAsia="Arial" w:hAnsi="Arial" w:cs="Arial"/>
          <w:i/>
          <w:iCs/>
          <w:color w:val="000000"/>
        </w:rPr>
        <w:t>e to apply for an extension of time within which to comply with such order.</w:t>
      </w:r>
      <w:r w:rsidR="00DC39E2">
        <w:rPr>
          <w:rFonts w:ascii="Arial" w:eastAsia="Arial" w:hAnsi="Arial" w:cs="Arial"/>
          <w:i/>
          <w:iCs/>
          <w:color w:val="000000"/>
        </w:rPr>
        <w:t>”</w:t>
      </w:r>
    </w:p>
    <w:p w14:paraId="52FA3CA4" w14:textId="6E4F5C12" w:rsidR="005B2456" w:rsidRDefault="005B2456" w:rsidP="005B245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6911416" w14:textId="67667420" w:rsidR="005B2456"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38.</w:t>
      </w:r>
      <w:r>
        <w:rPr>
          <w:rFonts w:ascii="Arial" w:eastAsia="Arial" w:hAnsi="Arial" w:cs="Arial"/>
          <w:color w:val="000000"/>
          <w:sz w:val="24"/>
          <w:szCs w:val="24"/>
        </w:rPr>
        <w:tab/>
      </w:r>
      <w:r w:rsidR="00DC39E2" w:rsidRPr="00A55D51">
        <w:rPr>
          <w:rFonts w:ascii="Arial" w:eastAsia="Arial" w:hAnsi="Arial" w:cs="Arial"/>
          <w:color w:val="000000"/>
          <w:sz w:val="24"/>
          <w:szCs w:val="24"/>
        </w:rPr>
        <w:t>I</w:t>
      </w:r>
      <w:r w:rsidR="001F06C1" w:rsidRPr="00A55D51">
        <w:rPr>
          <w:rFonts w:ascii="Arial" w:eastAsia="Arial" w:hAnsi="Arial" w:cs="Arial"/>
          <w:color w:val="000000"/>
          <w:sz w:val="24"/>
          <w:szCs w:val="24"/>
        </w:rPr>
        <w:t>n</w:t>
      </w:r>
      <w:r w:rsidR="00DC39E2" w:rsidRPr="00A55D51">
        <w:rPr>
          <w:rFonts w:ascii="Arial" w:eastAsia="Arial" w:hAnsi="Arial" w:cs="Arial"/>
          <w:color w:val="000000"/>
          <w:sz w:val="24"/>
          <w:szCs w:val="24"/>
        </w:rPr>
        <w:t xml:space="preserve"> relevant part</w:t>
      </w:r>
      <w:r w:rsidR="001F06C1" w:rsidRPr="00A55D51">
        <w:rPr>
          <w:rFonts w:ascii="Arial" w:eastAsia="Arial" w:hAnsi="Arial" w:cs="Arial"/>
          <w:color w:val="000000"/>
          <w:sz w:val="24"/>
          <w:szCs w:val="24"/>
        </w:rPr>
        <w:t>,</w:t>
      </w:r>
      <w:r w:rsidR="00DC39E2" w:rsidRPr="00A55D51">
        <w:rPr>
          <w:rFonts w:ascii="Arial" w:eastAsia="Arial" w:hAnsi="Arial" w:cs="Arial"/>
          <w:color w:val="000000"/>
          <w:sz w:val="24"/>
          <w:szCs w:val="24"/>
        </w:rPr>
        <w:t xml:space="preserve"> Rule 23 provides </w:t>
      </w:r>
      <w:r w:rsidR="00DC39E2" w:rsidRPr="00A55D51">
        <w:rPr>
          <w:rFonts w:ascii="Arial" w:eastAsia="Arial" w:hAnsi="Arial" w:cs="Arial"/>
          <w:i/>
          <w:iCs/>
          <w:color w:val="000000"/>
          <w:sz w:val="24"/>
          <w:szCs w:val="24"/>
        </w:rPr>
        <w:t>verbatim</w:t>
      </w:r>
      <w:r w:rsidR="00DC39E2" w:rsidRPr="00A55D51">
        <w:rPr>
          <w:rFonts w:ascii="Arial" w:eastAsia="Arial" w:hAnsi="Arial" w:cs="Arial"/>
          <w:color w:val="000000"/>
          <w:sz w:val="24"/>
          <w:szCs w:val="24"/>
        </w:rPr>
        <w:t xml:space="preserve"> as follows:</w:t>
      </w:r>
      <w:r w:rsidR="00E917EF" w:rsidRPr="00A55D51">
        <w:rPr>
          <w:rFonts w:ascii="Arial" w:eastAsia="Arial" w:hAnsi="Arial" w:cs="Arial"/>
          <w:color w:val="000000"/>
          <w:sz w:val="24"/>
          <w:szCs w:val="24"/>
        </w:rPr>
        <w:t>-</w:t>
      </w:r>
    </w:p>
    <w:p w14:paraId="6A930D45" w14:textId="77777777" w:rsidR="00DC39E2" w:rsidRDefault="00DC39E2" w:rsidP="005B245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542F585" w14:textId="76816BD8" w:rsidR="00DC39E2" w:rsidRDefault="00DC39E2" w:rsidP="001D1D4D">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sidRPr="00DC39E2">
        <w:rPr>
          <w:rFonts w:ascii="Arial" w:eastAsia="Arial" w:hAnsi="Arial" w:cs="Arial"/>
          <w:i/>
          <w:iCs/>
          <w:color w:val="000000"/>
        </w:rPr>
        <w:t>“</w:t>
      </w:r>
      <w:r w:rsidR="00E917EF">
        <w:rPr>
          <w:rFonts w:ascii="Arial" w:eastAsia="Arial" w:hAnsi="Arial" w:cs="Arial"/>
          <w:i/>
          <w:iCs/>
          <w:color w:val="000000"/>
        </w:rPr>
        <w:t>(1)</w:t>
      </w:r>
      <w:r w:rsidR="00E917EF">
        <w:rPr>
          <w:rFonts w:ascii="Arial" w:eastAsia="Arial" w:hAnsi="Arial" w:cs="Arial"/>
          <w:i/>
          <w:iCs/>
          <w:color w:val="000000"/>
        </w:rPr>
        <w:tab/>
        <w:t xml:space="preserve">Where any pleading is vague and embarrassing, or lacks averments which are necessary to sustain an action or defence, as the case may be, the opposing party may, within the period allowed for filing any subsequent pleading, deliver an exception thereto and may apply to the registrar to set it down for hearing within 15 (fifteen) days after the delivery of such exception: </w:t>
      </w:r>
      <w:r w:rsidR="00E60063">
        <w:rPr>
          <w:rFonts w:ascii="Arial" w:eastAsia="Arial" w:hAnsi="Arial" w:cs="Arial"/>
          <w:i/>
          <w:iCs/>
          <w:color w:val="000000"/>
        </w:rPr>
        <w:t>P</w:t>
      </w:r>
      <w:r w:rsidR="00E917EF">
        <w:rPr>
          <w:rFonts w:ascii="Arial" w:eastAsia="Arial" w:hAnsi="Arial" w:cs="Arial"/>
          <w:i/>
          <w:iCs/>
          <w:color w:val="000000"/>
        </w:rPr>
        <w:t>rovided that:</w:t>
      </w:r>
      <w:r w:rsidR="001D1D4D">
        <w:rPr>
          <w:rFonts w:ascii="Arial" w:eastAsia="Arial" w:hAnsi="Arial" w:cs="Arial"/>
          <w:i/>
          <w:iCs/>
          <w:color w:val="000000"/>
        </w:rPr>
        <w:t>-</w:t>
      </w:r>
    </w:p>
    <w:p w14:paraId="25533FCD" w14:textId="77777777" w:rsidR="001D1D4D" w:rsidRDefault="001D1D4D" w:rsidP="001D1D4D">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34BAC3C8" w14:textId="5688D7FC" w:rsidR="001D1D4D" w:rsidRDefault="001D1D4D" w:rsidP="00324241">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(a)</w:t>
      </w:r>
      <w:r>
        <w:rPr>
          <w:rFonts w:ascii="Arial" w:eastAsia="Arial" w:hAnsi="Arial" w:cs="Arial"/>
          <w:i/>
          <w:iCs/>
          <w:color w:val="000000"/>
        </w:rPr>
        <w:tab/>
      </w:r>
      <w:r w:rsidR="006A2515">
        <w:rPr>
          <w:rFonts w:ascii="Arial" w:eastAsia="Arial" w:hAnsi="Arial" w:cs="Arial"/>
          <w:i/>
          <w:iCs/>
          <w:color w:val="000000"/>
        </w:rPr>
        <w:t>w</w:t>
      </w:r>
      <w:r w:rsidR="001E1E3E">
        <w:rPr>
          <w:rFonts w:ascii="Arial" w:eastAsia="Arial" w:hAnsi="Arial" w:cs="Arial"/>
          <w:i/>
          <w:iCs/>
          <w:color w:val="000000"/>
        </w:rPr>
        <w:t xml:space="preserve">here a party intends to take an exception that a pleading is vague and embarrassing </w:t>
      </w:r>
      <w:r w:rsidR="00324241">
        <w:rPr>
          <w:rFonts w:ascii="Arial" w:eastAsia="Arial" w:hAnsi="Arial" w:cs="Arial"/>
          <w:i/>
          <w:iCs/>
          <w:color w:val="000000"/>
        </w:rPr>
        <w:t>such party shall by notice, within 10 (ten) days of receipt of the pleading, afford the party delivering the pleading, an opportunity to remove the cause of complaint within 15 (fifteen) days of such notice; and</w:t>
      </w:r>
    </w:p>
    <w:p w14:paraId="091F694D" w14:textId="77777777" w:rsidR="00324241" w:rsidRDefault="00324241" w:rsidP="001D1D4D">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3D6224DD" w14:textId="621232F6" w:rsidR="00324241" w:rsidRDefault="00324241" w:rsidP="00A20081">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(b)</w:t>
      </w:r>
      <w:r>
        <w:rPr>
          <w:rFonts w:ascii="Arial" w:eastAsia="Arial" w:hAnsi="Arial" w:cs="Arial"/>
          <w:i/>
          <w:iCs/>
          <w:color w:val="000000"/>
        </w:rPr>
        <w:tab/>
      </w:r>
      <w:r w:rsidR="006A2515">
        <w:rPr>
          <w:rFonts w:ascii="Arial" w:eastAsia="Arial" w:hAnsi="Arial" w:cs="Arial"/>
          <w:i/>
          <w:iCs/>
          <w:color w:val="000000"/>
        </w:rPr>
        <w:t>t</w:t>
      </w:r>
      <w:r w:rsidR="004D33B9">
        <w:rPr>
          <w:rFonts w:ascii="Arial" w:eastAsia="Arial" w:hAnsi="Arial" w:cs="Arial"/>
          <w:i/>
          <w:iCs/>
          <w:color w:val="000000"/>
        </w:rPr>
        <w:t xml:space="preserve">he party </w:t>
      </w:r>
      <w:r w:rsidR="00E60063">
        <w:rPr>
          <w:rFonts w:ascii="Arial" w:eastAsia="Arial" w:hAnsi="Arial" w:cs="Arial"/>
          <w:i/>
          <w:iCs/>
          <w:color w:val="000000"/>
        </w:rPr>
        <w:t>ex</w:t>
      </w:r>
      <w:r w:rsidR="004D33B9">
        <w:rPr>
          <w:rFonts w:ascii="Arial" w:eastAsia="Arial" w:hAnsi="Arial" w:cs="Arial"/>
          <w:i/>
          <w:iCs/>
          <w:color w:val="000000"/>
        </w:rPr>
        <w:t>cepting shall, within 10 (ten) days from the date on which a reply to the notice referred to in paragraph (</w:t>
      </w:r>
      <w:r w:rsidR="00A20081">
        <w:rPr>
          <w:rFonts w:ascii="Arial" w:eastAsia="Arial" w:hAnsi="Arial" w:cs="Arial"/>
          <w:i/>
          <w:iCs/>
          <w:color w:val="000000"/>
        </w:rPr>
        <w:t>a) is received, or within 15 (fifteen) days from which such reply is due, deliver the exception.</w:t>
      </w:r>
    </w:p>
    <w:p w14:paraId="1B9A1071" w14:textId="77777777" w:rsidR="00E60063" w:rsidRDefault="00E60063" w:rsidP="00A20081">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06CB2141" w14:textId="6B2250E5" w:rsidR="00A20081" w:rsidRDefault="00A20081" w:rsidP="00A20081">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w:t>
      </w:r>
      <w:r w:rsidR="00154E05">
        <w:rPr>
          <w:rFonts w:ascii="Arial" w:eastAsia="Arial" w:hAnsi="Arial" w:cs="Arial"/>
          <w:i/>
          <w:iCs/>
          <w:color w:val="000000"/>
        </w:rPr>
        <w:t>3</w:t>
      </w:r>
      <w:r>
        <w:rPr>
          <w:rFonts w:ascii="Arial" w:eastAsia="Arial" w:hAnsi="Arial" w:cs="Arial"/>
          <w:i/>
          <w:iCs/>
          <w:color w:val="000000"/>
        </w:rPr>
        <w:t>)</w:t>
      </w:r>
      <w:r>
        <w:rPr>
          <w:rFonts w:ascii="Arial" w:eastAsia="Arial" w:hAnsi="Arial" w:cs="Arial"/>
          <w:i/>
          <w:iCs/>
          <w:color w:val="000000"/>
        </w:rPr>
        <w:tab/>
        <w:t>Where</w:t>
      </w:r>
      <w:r w:rsidR="00154E05">
        <w:rPr>
          <w:rFonts w:ascii="Arial" w:eastAsia="Arial" w:hAnsi="Arial" w:cs="Arial"/>
          <w:i/>
          <w:iCs/>
          <w:color w:val="000000"/>
        </w:rPr>
        <w:t>ver</w:t>
      </w:r>
      <w:r>
        <w:rPr>
          <w:rFonts w:ascii="Arial" w:eastAsia="Arial" w:hAnsi="Arial" w:cs="Arial"/>
          <w:i/>
          <w:iCs/>
          <w:color w:val="000000"/>
        </w:rPr>
        <w:t xml:space="preserve"> an exception is taken to any pleading, the grounds upon which the exception is founded shall be clearly and concisely stated.</w:t>
      </w:r>
    </w:p>
    <w:p w14:paraId="25AD0136" w14:textId="77777777" w:rsidR="00A20081" w:rsidRDefault="00A20081" w:rsidP="00A20081">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19E4DDC2" w14:textId="218A5183" w:rsidR="00A20081" w:rsidRDefault="006C4887" w:rsidP="00A20081">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w:t>
      </w:r>
      <w:r w:rsidR="00154E05">
        <w:rPr>
          <w:rFonts w:ascii="Arial" w:eastAsia="Arial" w:hAnsi="Arial" w:cs="Arial"/>
          <w:i/>
          <w:iCs/>
          <w:color w:val="000000"/>
        </w:rPr>
        <w:t>4</w:t>
      </w:r>
      <w:r>
        <w:rPr>
          <w:rFonts w:ascii="Arial" w:eastAsia="Arial" w:hAnsi="Arial" w:cs="Arial"/>
          <w:i/>
          <w:iCs/>
          <w:color w:val="000000"/>
        </w:rPr>
        <w:t>)</w:t>
      </w:r>
      <w:r>
        <w:rPr>
          <w:rFonts w:ascii="Arial" w:eastAsia="Arial" w:hAnsi="Arial" w:cs="Arial"/>
          <w:i/>
          <w:iCs/>
          <w:color w:val="000000"/>
        </w:rPr>
        <w:tab/>
        <w:t xml:space="preserve">Wherever any exception is taken to any pleading or an application to strike out is made, no plea, replication or other pleading </w:t>
      </w:r>
      <w:r w:rsidR="00273C69">
        <w:rPr>
          <w:rFonts w:ascii="Arial" w:eastAsia="Arial" w:hAnsi="Arial" w:cs="Arial"/>
          <w:i/>
          <w:iCs/>
          <w:color w:val="000000"/>
        </w:rPr>
        <w:t>over shall be necessary.”</w:t>
      </w:r>
    </w:p>
    <w:p w14:paraId="7FE1D117" w14:textId="2670ED0E" w:rsidR="005B2456" w:rsidRDefault="005B2456" w:rsidP="005B245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4F236F3D" w14:textId="1E77822A" w:rsidR="00041A4E"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39.</w:t>
      </w:r>
      <w:r>
        <w:rPr>
          <w:rFonts w:ascii="Arial" w:eastAsia="Arial" w:hAnsi="Arial" w:cs="Arial"/>
          <w:color w:val="000000"/>
          <w:sz w:val="24"/>
          <w:szCs w:val="24"/>
        </w:rPr>
        <w:tab/>
      </w:r>
      <w:r w:rsidR="00273C69" w:rsidRPr="00A55D51">
        <w:rPr>
          <w:rFonts w:ascii="Arial" w:eastAsia="Arial" w:hAnsi="Arial" w:cs="Arial"/>
          <w:color w:val="000000"/>
          <w:sz w:val="24"/>
          <w:szCs w:val="24"/>
        </w:rPr>
        <w:t xml:space="preserve">As revealed, the second notice to remove complaint was delivered on 29 January 2020.  Floorworx did not remove the causes of complaint which meant that an application in terms of Rule 30 </w:t>
      </w:r>
      <w:r w:rsidR="00371872" w:rsidRPr="00A55D51">
        <w:rPr>
          <w:rFonts w:ascii="Arial" w:eastAsia="Arial" w:hAnsi="Arial" w:cs="Arial"/>
          <w:color w:val="000000"/>
          <w:sz w:val="24"/>
          <w:szCs w:val="24"/>
        </w:rPr>
        <w:t>was due to be delivered on 4 March 2020.  However, the application in terms of Rule 30 was only delivered on 3 August 2021.</w:t>
      </w:r>
      <w:r w:rsidR="00041A4E" w:rsidRPr="00A55D51">
        <w:rPr>
          <w:rFonts w:ascii="Arial" w:eastAsia="Arial" w:hAnsi="Arial" w:cs="Arial"/>
          <w:color w:val="000000"/>
          <w:sz w:val="24"/>
          <w:szCs w:val="24"/>
        </w:rPr>
        <w:t xml:space="preserve">  It therefore came as no surprise that both parties wer</w:t>
      </w:r>
      <w:r w:rsidR="0072562F" w:rsidRPr="00A55D51">
        <w:rPr>
          <w:rFonts w:ascii="Arial" w:eastAsia="Arial" w:hAnsi="Arial" w:cs="Arial"/>
          <w:color w:val="000000"/>
          <w:sz w:val="24"/>
          <w:szCs w:val="24"/>
        </w:rPr>
        <w:t xml:space="preserve">e </w:t>
      </w:r>
      <w:r w:rsidR="0072562F" w:rsidRPr="00A55D51">
        <w:rPr>
          <w:rFonts w:ascii="Arial" w:eastAsia="Arial" w:hAnsi="Arial" w:cs="Arial"/>
          <w:i/>
          <w:iCs/>
          <w:color w:val="000000"/>
          <w:sz w:val="24"/>
          <w:szCs w:val="24"/>
        </w:rPr>
        <w:t>ad idem</w:t>
      </w:r>
      <w:r w:rsidR="0006775C" w:rsidRPr="00A55D51">
        <w:rPr>
          <w:rFonts w:ascii="Arial" w:eastAsia="Arial" w:hAnsi="Arial" w:cs="Arial"/>
          <w:color w:val="000000"/>
          <w:sz w:val="24"/>
          <w:szCs w:val="24"/>
        </w:rPr>
        <w:t xml:space="preserve"> </w:t>
      </w:r>
      <w:r w:rsidR="00041A4E" w:rsidRPr="00A55D51">
        <w:rPr>
          <w:rFonts w:ascii="Arial" w:eastAsia="Arial" w:hAnsi="Arial" w:cs="Arial"/>
          <w:color w:val="000000"/>
          <w:sz w:val="24"/>
          <w:szCs w:val="24"/>
        </w:rPr>
        <w:t xml:space="preserve">that Mazars required condonation </w:t>
      </w:r>
      <w:r w:rsidR="00970AAD" w:rsidRPr="00A55D51">
        <w:rPr>
          <w:rFonts w:ascii="Arial" w:eastAsia="Arial" w:hAnsi="Arial" w:cs="Arial"/>
          <w:color w:val="000000"/>
          <w:sz w:val="24"/>
          <w:szCs w:val="24"/>
        </w:rPr>
        <w:t>for</w:t>
      </w:r>
      <w:r w:rsidR="00041A4E" w:rsidRPr="00A55D51">
        <w:rPr>
          <w:rFonts w:ascii="Arial" w:eastAsia="Arial" w:hAnsi="Arial" w:cs="Arial"/>
          <w:color w:val="000000"/>
          <w:sz w:val="24"/>
          <w:szCs w:val="24"/>
        </w:rPr>
        <w:t xml:space="preserve"> its application in terms of Rule 30.</w:t>
      </w:r>
    </w:p>
    <w:p w14:paraId="51864A0D" w14:textId="77777777" w:rsidR="00041A4E" w:rsidRDefault="00041A4E" w:rsidP="00041A4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6FD08C3" w14:textId="2181514E" w:rsidR="00530F5F"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961310">
        <w:rPr>
          <w:rFonts w:ascii="Arial" w:eastAsia="Arial" w:hAnsi="Arial" w:cs="Arial"/>
          <w:color w:val="000000"/>
          <w:sz w:val="24"/>
          <w:szCs w:val="24"/>
        </w:rPr>
        <w:t>40.</w:t>
      </w:r>
      <w:r w:rsidRPr="00961310">
        <w:rPr>
          <w:rFonts w:ascii="Arial" w:eastAsia="Arial" w:hAnsi="Arial" w:cs="Arial"/>
          <w:color w:val="000000"/>
          <w:sz w:val="24"/>
          <w:szCs w:val="24"/>
        </w:rPr>
        <w:tab/>
      </w:r>
      <w:r w:rsidR="006753EA" w:rsidRPr="00A55D51">
        <w:rPr>
          <w:rFonts w:ascii="Arial" w:eastAsia="Arial" w:hAnsi="Arial" w:cs="Arial"/>
          <w:color w:val="000000"/>
          <w:sz w:val="24"/>
          <w:szCs w:val="24"/>
        </w:rPr>
        <w:t>As regards the exceptions on vague and embarrassing ground</w:t>
      </w:r>
      <w:r w:rsidR="00BC734E" w:rsidRPr="00A55D51">
        <w:rPr>
          <w:rFonts w:ascii="Arial" w:eastAsia="Arial" w:hAnsi="Arial" w:cs="Arial"/>
          <w:color w:val="000000"/>
          <w:sz w:val="24"/>
          <w:szCs w:val="24"/>
        </w:rPr>
        <w:t>s</w:t>
      </w:r>
      <w:r w:rsidR="006753EA" w:rsidRPr="00A55D51">
        <w:rPr>
          <w:rFonts w:ascii="Arial" w:eastAsia="Arial" w:hAnsi="Arial" w:cs="Arial"/>
          <w:color w:val="000000"/>
          <w:sz w:val="24"/>
          <w:szCs w:val="24"/>
        </w:rPr>
        <w:t>, counsel for Mazars argued that an exception is a “</w:t>
      </w:r>
      <w:r w:rsidR="006753EA" w:rsidRPr="00A55D51">
        <w:rPr>
          <w:rFonts w:ascii="Arial" w:eastAsia="Arial" w:hAnsi="Arial" w:cs="Arial"/>
          <w:i/>
          <w:iCs/>
          <w:color w:val="000000"/>
          <w:sz w:val="24"/>
          <w:szCs w:val="24"/>
        </w:rPr>
        <w:t>pleading</w:t>
      </w:r>
      <w:r w:rsidR="006753EA" w:rsidRPr="00A55D51">
        <w:rPr>
          <w:rFonts w:ascii="Arial" w:eastAsia="Arial" w:hAnsi="Arial" w:cs="Arial"/>
          <w:color w:val="000000"/>
          <w:sz w:val="24"/>
          <w:szCs w:val="24"/>
        </w:rPr>
        <w:t xml:space="preserve">” and </w:t>
      </w:r>
      <w:r w:rsidR="00BC734E" w:rsidRPr="00A55D51">
        <w:rPr>
          <w:rFonts w:ascii="Arial" w:eastAsia="Arial" w:hAnsi="Arial" w:cs="Arial"/>
          <w:color w:val="000000"/>
          <w:sz w:val="24"/>
          <w:szCs w:val="24"/>
        </w:rPr>
        <w:t>is</w:t>
      </w:r>
      <w:r w:rsidR="006753EA" w:rsidRPr="00A55D51">
        <w:rPr>
          <w:rFonts w:ascii="Arial" w:eastAsia="Arial" w:hAnsi="Arial" w:cs="Arial"/>
          <w:color w:val="000000"/>
          <w:sz w:val="24"/>
          <w:szCs w:val="24"/>
        </w:rPr>
        <w:t xml:space="preserve"> required </w:t>
      </w:r>
      <w:r w:rsidR="00FB3895" w:rsidRPr="00A55D51">
        <w:rPr>
          <w:rFonts w:ascii="Arial" w:eastAsia="Arial" w:hAnsi="Arial" w:cs="Arial"/>
          <w:color w:val="000000"/>
          <w:sz w:val="24"/>
          <w:szCs w:val="24"/>
        </w:rPr>
        <w:t>to be delivered “</w:t>
      </w:r>
      <w:r w:rsidR="00FB3895" w:rsidRPr="00A55D51">
        <w:rPr>
          <w:rFonts w:ascii="Arial" w:eastAsia="Arial" w:hAnsi="Arial" w:cs="Arial"/>
          <w:i/>
          <w:iCs/>
          <w:color w:val="000000"/>
          <w:sz w:val="24"/>
          <w:szCs w:val="24"/>
        </w:rPr>
        <w:t>within the period allowed for filing any subsequent pleading</w:t>
      </w:r>
      <w:r w:rsidR="00FB3895" w:rsidRPr="00A55D51">
        <w:rPr>
          <w:rFonts w:ascii="Arial" w:eastAsia="Arial" w:hAnsi="Arial" w:cs="Arial"/>
          <w:color w:val="000000"/>
          <w:sz w:val="24"/>
          <w:szCs w:val="24"/>
        </w:rPr>
        <w:t xml:space="preserve">”.  </w:t>
      </w:r>
      <w:r w:rsidR="00DE2B69" w:rsidRPr="00A55D51">
        <w:rPr>
          <w:rFonts w:ascii="Arial" w:eastAsia="Arial" w:hAnsi="Arial" w:cs="Arial"/>
          <w:color w:val="000000"/>
          <w:sz w:val="24"/>
          <w:szCs w:val="24"/>
        </w:rPr>
        <w:t>Although</w:t>
      </w:r>
      <w:r w:rsidR="006A2515" w:rsidRPr="00A55D51">
        <w:rPr>
          <w:rFonts w:ascii="Arial" w:eastAsia="Arial" w:hAnsi="Arial" w:cs="Arial"/>
          <w:color w:val="000000"/>
          <w:sz w:val="24"/>
          <w:szCs w:val="24"/>
        </w:rPr>
        <w:t xml:space="preserve"> Floorworx delivered the notice of</w:t>
      </w:r>
      <w:r w:rsidR="00112954" w:rsidRPr="00A55D51">
        <w:rPr>
          <w:rFonts w:ascii="Arial" w:eastAsia="Arial" w:hAnsi="Arial" w:cs="Arial"/>
          <w:color w:val="000000"/>
          <w:sz w:val="24"/>
          <w:szCs w:val="24"/>
        </w:rPr>
        <w:t xml:space="preserve"> </w:t>
      </w:r>
      <w:r w:rsidR="00BC734E" w:rsidRPr="00A55D51">
        <w:rPr>
          <w:rFonts w:ascii="Arial" w:eastAsia="Arial" w:hAnsi="Arial" w:cs="Arial"/>
          <w:color w:val="000000"/>
          <w:sz w:val="24"/>
          <w:szCs w:val="24"/>
        </w:rPr>
        <w:t>b</w:t>
      </w:r>
      <w:r w:rsidR="006A2515" w:rsidRPr="00A55D51">
        <w:rPr>
          <w:rFonts w:ascii="Arial" w:eastAsia="Arial" w:hAnsi="Arial" w:cs="Arial"/>
          <w:color w:val="000000"/>
          <w:sz w:val="24"/>
          <w:szCs w:val="24"/>
        </w:rPr>
        <w:t>ar on 3 August 2021, Mazar</w:t>
      </w:r>
      <w:r w:rsidR="00112954" w:rsidRPr="00A55D51">
        <w:rPr>
          <w:rFonts w:ascii="Arial" w:eastAsia="Arial" w:hAnsi="Arial" w:cs="Arial"/>
          <w:color w:val="000000"/>
          <w:sz w:val="24"/>
          <w:szCs w:val="24"/>
        </w:rPr>
        <w:t>s</w:t>
      </w:r>
      <w:r w:rsidR="006A2515" w:rsidRPr="00A55D51">
        <w:rPr>
          <w:rFonts w:ascii="Arial" w:eastAsia="Arial" w:hAnsi="Arial" w:cs="Arial"/>
          <w:color w:val="000000"/>
          <w:sz w:val="24"/>
          <w:szCs w:val="24"/>
        </w:rPr>
        <w:t>’</w:t>
      </w:r>
      <w:r w:rsidR="00112954" w:rsidRPr="00A55D51">
        <w:rPr>
          <w:rFonts w:ascii="Arial" w:eastAsia="Arial" w:hAnsi="Arial" w:cs="Arial"/>
          <w:color w:val="000000"/>
          <w:sz w:val="24"/>
          <w:szCs w:val="24"/>
        </w:rPr>
        <w:t xml:space="preserve"> exception based on vague and embarrassing grounds was delivered before the expiry of the period</w:t>
      </w:r>
      <w:r w:rsidR="00045B4A" w:rsidRPr="00A55D51">
        <w:rPr>
          <w:rFonts w:ascii="Arial" w:eastAsia="Arial" w:hAnsi="Arial" w:cs="Arial"/>
          <w:color w:val="000000"/>
          <w:sz w:val="24"/>
          <w:szCs w:val="24"/>
        </w:rPr>
        <w:t xml:space="preserve"> of </w:t>
      </w:r>
      <w:r w:rsidR="00642BF0" w:rsidRPr="00A55D51">
        <w:rPr>
          <w:rFonts w:ascii="Arial" w:eastAsia="Arial" w:hAnsi="Arial" w:cs="Arial"/>
          <w:color w:val="000000"/>
          <w:sz w:val="24"/>
          <w:szCs w:val="24"/>
        </w:rPr>
        <w:t>b</w:t>
      </w:r>
      <w:r w:rsidR="00045B4A" w:rsidRPr="00A55D51">
        <w:rPr>
          <w:rFonts w:ascii="Arial" w:eastAsia="Arial" w:hAnsi="Arial" w:cs="Arial"/>
          <w:color w:val="000000"/>
          <w:sz w:val="24"/>
          <w:szCs w:val="24"/>
        </w:rPr>
        <w:t>ar.  As such, it was contended that no condonation is required</w:t>
      </w:r>
      <w:r w:rsidR="00642BF0" w:rsidRPr="00A55D51">
        <w:rPr>
          <w:rFonts w:ascii="Arial" w:eastAsia="Arial" w:hAnsi="Arial" w:cs="Arial"/>
          <w:color w:val="000000"/>
          <w:sz w:val="24"/>
          <w:szCs w:val="24"/>
        </w:rPr>
        <w:t>.</w:t>
      </w:r>
      <w:r w:rsidR="00045B4A" w:rsidRPr="00A55D51">
        <w:rPr>
          <w:rFonts w:ascii="Arial" w:eastAsia="Arial" w:hAnsi="Arial" w:cs="Arial"/>
          <w:color w:val="000000"/>
          <w:sz w:val="24"/>
          <w:szCs w:val="24"/>
        </w:rPr>
        <w:t xml:space="preserve">   Counsel for Floorworx readily accepted than an exception </w:t>
      </w:r>
      <w:r w:rsidR="00862393" w:rsidRPr="00A55D51">
        <w:rPr>
          <w:rFonts w:ascii="Arial" w:eastAsia="Arial" w:hAnsi="Arial" w:cs="Arial"/>
          <w:color w:val="000000"/>
          <w:sz w:val="24"/>
          <w:szCs w:val="24"/>
        </w:rPr>
        <w:t xml:space="preserve">based on the vague and embarrassing ground is a pleading.  However, he contended that the </w:t>
      </w:r>
      <w:r w:rsidR="00862393" w:rsidRPr="00A55D51">
        <w:rPr>
          <w:rFonts w:ascii="Arial" w:eastAsia="Arial" w:hAnsi="Arial" w:cs="Arial"/>
          <w:i/>
          <w:color w:val="000000"/>
          <w:sz w:val="24"/>
          <w:szCs w:val="24"/>
        </w:rPr>
        <w:t>proviso</w:t>
      </w:r>
      <w:r w:rsidR="00862393" w:rsidRPr="00A55D51">
        <w:rPr>
          <w:rFonts w:ascii="Arial" w:eastAsia="Arial" w:hAnsi="Arial" w:cs="Arial"/>
          <w:color w:val="000000"/>
          <w:sz w:val="24"/>
          <w:szCs w:val="24"/>
        </w:rPr>
        <w:t xml:space="preserve"> to Rule 23(1) constituted </w:t>
      </w:r>
      <w:r w:rsidR="00BD48A5" w:rsidRPr="00A55D51">
        <w:rPr>
          <w:rFonts w:ascii="Arial" w:eastAsia="Arial" w:hAnsi="Arial" w:cs="Arial"/>
          <w:color w:val="000000"/>
          <w:sz w:val="24"/>
          <w:szCs w:val="24"/>
        </w:rPr>
        <w:t xml:space="preserve">a </w:t>
      </w:r>
      <w:r w:rsidR="00862393" w:rsidRPr="00A55D51">
        <w:rPr>
          <w:rFonts w:ascii="Arial" w:eastAsia="Arial" w:hAnsi="Arial" w:cs="Arial"/>
          <w:color w:val="000000"/>
          <w:sz w:val="24"/>
          <w:szCs w:val="24"/>
        </w:rPr>
        <w:t>jurisdictional requirement that had to be complied with, failure of which an application for condonation is necessary.</w:t>
      </w:r>
    </w:p>
    <w:p w14:paraId="211D7616" w14:textId="77777777" w:rsidR="00530F5F" w:rsidRDefault="00530F5F" w:rsidP="00530F5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73870B74" w14:textId="749B135B" w:rsidR="00862393"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41.</w:t>
      </w:r>
      <w:r>
        <w:rPr>
          <w:rFonts w:ascii="Arial" w:eastAsia="Arial" w:hAnsi="Arial" w:cs="Arial"/>
          <w:color w:val="000000"/>
          <w:sz w:val="24"/>
          <w:szCs w:val="24"/>
        </w:rPr>
        <w:tab/>
      </w:r>
      <w:r w:rsidR="00346900" w:rsidRPr="00A55D51">
        <w:rPr>
          <w:rFonts w:ascii="Arial" w:eastAsia="Arial" w:hAnsi="Arial" w:cs="Arial"/>
          <w:color w:val="000000"/>
          <w:sz w:val="24"/>
          <w:szCs w:val="24"/>
        </w:rPr>
        <w:t>As it is common cause that the merits of Mazars</w:t>
      </w:r>
      <w:r w:rsidR="00B8533E" w:rsidRPr="00A55D51">
        <w:rPr>
          <w:rFonts w:ascii="Arial" w:eastAsia="Arial" w:hAnsi="Arial" w:cs="Arial"/>
          <w:color w:val="000000"/>
          <w:sz w:val="24"/>
          <w:szCs w:val="24"/>
        </w:rPr>
        <w:t>’</w:t>
      </w:r>
      <w:r w:rsidR="00346900" w:rsidRPr="00A55D51">
        <w:rPr>
          <w:rFonts w:ascii="Arial" w:eastAsia="Arial" w:hAnsi="Arial" w:cs="Arial"/>
          <w:color w:val="000000"/>
          <w:sz w:val="24"/>
          <w:szCs w:val="24"/>
        </w:rPr>
        <w:t xml:space="preserve"> condonation application in respect of the Rule 30 application will in any event have to be considered, I find that this will be an appropriate juncture </w:t>
      </w:r>
      <w:r w:rsidR="00063DD6" w:rsidRPr="00A55D51">
        <w:rPr>
          <w:rFonts w:ascii="Arial" w:eastAsia="Arial" w:hAnsi="Arial" w:cs="Arial"/>
          <w:color w:val="000000"/>
          <w:sz w:val="24"/>
          <w:szCs w:val="24"/>
        </w:rPr>
        <w:t xml:space="preserve">to set out the facts in chronological order as well as the parties’ respective submissions in relation thereto.  </w:t>
      </w:r>
      <w:r w:rsidR="0007479B" w:rsidRPr="00A55D51">
        <w:rPr>
          <w:rFonts w:ascii="Arial" w:eastAsia="Arial" w:hAnsi="Arial" w:cs="Arial"/>
          <w:color w:val="000000"/>
          <w:sz w:val="24"/>
          <w:szCs w:val="24"/>
        </w:rPr>
        <w:t xml:space="preserve">It is to that issue to which I now </w:t>
      </w:r>
      <w:r w:rsidR="008160CC" w:rsidRPr="00A55D51">
        <w:rPr>
          <w:rFonts w:ascii="Arial" w:eastAsia="Arial" w:hAnsi="Arial" w:cs="Arial"/>
          <w:color w:val="000000"/>
          <w:sz w:val="24"/>
          <w:szCs w:val="24"/>
        </w:rPr>
        <w:t>turn</w:t>
      </w:r>
      <w:r w:rsidR="0007479B" w:rsidRPr="00A55D51">
        <w:rPr>
          <w:rFonts w:ascii="Arial" w:eastAsia="Arial" w:hAnsi="Arial" w:cs="Arial"/>
          <w:color w:val="000000"/>
          <w:sz w:val="24"/>
          <w:szCs w:val="24"/>
        </w:rPr>
        <w:t xml:space="preserve">.  </w:t>
      </w:r>
      <w:r w:rsidR="0054719A" w:rsidRPr="00A55D51">
        <w:rPr>
          <w:rFonts w:ascii="Arial" w:eastAsia="Arial" w:hAnsi="Arial" w:cs="Arial"/>
          <w:color w:val="000000"/>
          <w:sz w:val="24"/>
          <w:szCs w:val="24"/>
        </w:rPr>
        <w:t>The facts are</w:t>
      </w:r>
      <w:r w:rsidR="0007479B" w:rsidRPr="00A55D51">
        <w:rPr>
          <w:rFonts w:ascii="Arial" w:eastAsia="Arial" w:hAnsi="Arial" w:cs="Arial"/>
          <w:color w:val="000000"/>
          <w:sz w:val="24"/>
          <w:szCs w:val="24"/>
        </w:rPr>
        <w:t>:-</w:t>
      </w:r>
    </w:p>
    <w:p w14:paraId="5BA1F9FC" w14:textId="77777777" w:rsidR="005C5D04" w:rsidRDefault="005C5D04" w:rsidP="005C5D0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5CB80FE" w14:textId="5B5C65A9" w:rsidR="00DD7496" w:rsidRDefault="00B8533E" w:rsidP="00DD749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41</w:t>
      </w:r>
      <w:r w:rsidR="005C5D04">
        <w:rPr>
          <w:rFonts w:ascii="Arial" w:eastAsia="Arial" w:hAnsi="Arial" w:cs="Arial"/>
          <w:color w:val="000000"/>
          <w:sz w:val="24"/>
          <w:szCs w:val="24"/>
        </w:rPr>
        <w:t>.1</w:t>
      </w:r>
      <w:r>
        <w:rPr>
          <w:rFonts w:ascii="Arial" w:eastAsia="Arial" w:hAnsi="Arial" w:cs="Arial"/>
          <w:color w:val="000000"/>
          <w:sz w:val="24"/>
          <w:szCs w:val="24"/>
        </w:rPr>
        <w:tab/>
        <w:t>o</w:t>
      </w:r>
      <w:r w:rsidR="00DD7496">
        <w:rPr>
          <w:rFonts w:ascii="Arial" w:eastAsia="Arial" w:hAnsi="Arial" w:cs="Arial"/>
          <w:color w:val="000000"/>
          <w:sz w:val="24"/>
          <w:szCs w:val="24"/>
        </w:rPr>
        <w:t xml:space="preserve">n 13 February 2019, </w:t>
      </w:r>
      <w:r w:rsidR="00615C3B">
        <w:rPr>
          <w:rFonts w:ascii="Arial" w:eastAsia="Arial" w:hAnsi="Arial" w:cs="Arial"/>
          <w:color w:val="000000"/>
          <w:sz w:val="24"/>
          <w:szCs w:val="24"/>
        </w:rPr>
        <w:t xml:space="preserve">Mazars delivered the </w:t>
      </w:r>
      <w:r w:rsidR="00C6009D">
        <w:rPr>
          <w:rFonts w:ascii="Arial" w:eastAsia="Arial" w:hAnsi="Arial" w:cs="Arial"/>
          <w:color w:val="000000"/>
          <w:sz w:val="24"/>
          <w:szCs w:val="24"/>
        </w:rPr>
        <w:t xml:space="preserve">first </w:t>
      </w:r>
      <w:r w:rsidR="00615C3B">
        <w:rPr>
          <w:rFonts w:ascii="Arial" w:eastAsia="Arial" w:hAnsi="Arial" w:cs="Arial"/>
          <w:color w:val="000000"/>
          <w:sz w:val="24"/>
          <w:szCs w:val="24"/>
        </w:rPr>
        <w:t>notice to remove complaint</w:t>
      </w:r>
      <w:r w:rsidR="00C6009D">
        <w:rPr>
          <w:rStyle w:val="FootnoteReference"/>
          <w:rFonts w:ascii="Arial" w:eastAsia="Arial" w:hAnsi="Arial" w:cs="Arial"/>
          <w:color w:val="000000"/>
          <w:sz w:val="24"/>
          <w:szCs w:val="24"/>
        </w:rPr>
        <w:footnoteReference w:id="35"/>
      </w:r>
      <w:r w:rsidR="00615C3B">
        <w:rPr>
          <w:rFonts w:ascii="Arial" w:eastAsia="Arial" w:hAnsi="Arial" w:cs="Arial"/>
          <w:color w:val="000000"/>
          <w:sz w:val="24"/>
          <w:szCs w:val="24"/>
        </w:rPr>
        <w:t>;</w:t>
      </w:r>
      <w:r w:rsidR="005C5D04">
        <w:rPr>
          <w:rFonts w:ascii="Arial" w:eastAsia="Arial" w:hAnsi="Arial" w:cs="Arial"/>
          <w:color w:val="000000"/>
          <w:sz w:val="24"/>
          <w:szCs w:val="24"/>
        </w:rPr>
        <w:tab/>
      </w:r>
      <w:r w:rsidR="00DD7496">
        <w:rPr>
          <w:rFonts w:ascii="Arial" w:eastAsia="Arial" w:hAnsi="Arial" w:cs="Arial"/>
          <w:color w:val="000000"/>
          <w:sz w:val="24"/>
          <w:szCs w:val="24"/>
        </w:rPr>
        <w:t xml:space="preserve"> </w:t>
      </w:r>
    </w:p>
    <w:p w14:paraId="0451BAB2" w14:textId="77777777" w:rsidR="00DD7496" w:rsidRDefault="00DD7496" w:rsidP="00DD749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6E966B9" w14:textId="03F79144" w:rsidR="00BA14B4" w:rsidRDefault="00B8533E" w:rsidP="003E21D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41</w:t>
      </w:r>
      <w:r w:rsidR="00BA14B4">
        <w:rPr>
          <w:rFonts w:ascii="Arial" w:eastAsia="Arial" w:hAnsi="Arial" w:cs="Arial"/>
          <w:color w:val="000000"/>
          <w:sz w:val="24"/>
          <w:szCs w:val="24"/>
        </w:rPr>
        <w:t>.</w:t>
      </w:r>
      <w:r w:rsidR="00554657">
        <w:rPr>
          <w:rFonts w:ascii="Arial" w:eastAsia="Arial" w:hAnsi="Arial" w:cs="Arial"/>
          <w:color w:val="000000"/>
          <w:sz w:val="24"/>
          <w:szCs w:val="24"/>
        </w:rPr>
        <w:t>2</w:t>
      </w:r>
      <w:r w:rsidR="00BA14B4">
        <w:rPr>
          <w:rFonts w:ascii="Arial" w:eastAsia="Arial" w:hAnsi="Arial" w:cs="Arial"/>
          <w:color w:val="000000"/>
          <w:sz w:val="24"/>
          <w:szCs w:val="24"/>
        </w:rPr>
        <w:tab/>
      </w:r>
      <w:r>
        <w:rPr>
          <w:rFonts w:ascii="Arial" w:eastAsia="Arial" w:hAnsi="Arial" w:cs="Arial"/>
          <w:color w:val="000000"/>
          <w:sz w:val="24"/>
          <w:szCs w:val="24"/>
        </w:rPr>
        <w:t>o</w:t>
      </w:r>
      <w:r w:rsidR="00775C51">
        <w:rPr>
          <w:rFonts w:ascii="Arial" w:eastAsia="Arial" w:hAnsi="Arial" w:cs="Arial"/>
          <w:color w:val="000000"/>
          <w:sz w:val="24"/>
          <w:szCs w:val="24"/>
        </w:rPr>
        <w:t>n 27 March 2019, the attorney for Floorworx [Fullard</w:t>
      </w:r>
      <w:r w:rsidR="0070112A">
        <w:rPr>
          <w:rFonts w:ascii="Arial" w:eastAsia="Arial" w:hAnsi="Arial" w:cs="Arial"/>
          <w:color w:val="000000"/>
          <w:sz w:val="24"/>
          <w:szCs w:val="24"/>
        </w:rPr>
        <w:t xml:space="preserve"> M</w:t>
      </w:r>
      <w:r w:rsidR="000F515C">
        <w:rPr>
          <w:rFonts w:ascii="Arial" w:eastAsia="Arial" w:hAnsi="Arial" w:cs="Arial"/>
          <w:color w:val="000000"/>
          <w:sz w:val="24"/>
          <w:szCs w:val="24"/>
        </w:rPr>
        <w:t>a</w:t>
      </w:r>
      <w:r w:rsidR="0070112A">
        <w:rPr>
          <w:rFonts w:ascii="Arial" w:eastAsia="Arial" w:hAnsi="Arial" w:cs="Arial"/>
          <w:color w:val="000000"/>
          <w:sz w:val="24"/>
          <w:szCs w:val="24"/>
        </w:rPr>
        <w:t>yer Morrison Inc – hereinafter “</w:t>
      </w:r>
      <w:r w:rsidR="0070112A" w:rsidRPr="004D672F">
        <w:rPr>
          <w:rFonts w:ascii="Arial" w:eastAsia="Arial" w:hAnsi="Arial" w:cs="Arial"/>
          <w:i/>
          <w:iCs/>
          <w:color w:val="000000"/>
          <w:sz w:val="24"/>
          <w:szCs w:val="24"/>
        </w:rPr>
        <w:t>FMM</w:t>
      </w:r>
      <w:r w:rsidR="0070112A">
        <w:rPr>
          <w:rFonts w:ascii="Arial" w:eastAsia="Arial" w:hAnsi="Arial" w:cs="Arial"/>
          <w:color w:val="000000"/>
          <w:sz w:val="24"/>
          <w:szCs w:val="24"/>
        </w:rPr>
        <w:t>”</w:t>
      </w:r>
      <w:r w:rsidR="004D672F">
        <w:rPr>
          <w:rFonts w:ascii="Arial" w:eastAsia="Arial" w:hAnsi="Arial" w:cs="Arial"/>
          <w:color w:val="000000"/>
          <w:sz w:val="24"/>
          <w:szCs w:val="24"/>
        </w:rPr>
        <w:t>] sent a letter</w:t>
      </w:r>
      <w:r>
        <w:rPr>
          <w:rStyle w:val="FootnoteReference"/>
          <w:rFonts w:ascii="Arial" w:eastAsia="Arial" w:hAnsi="Arial" w:cs="Arial"/>
          <w:color w:val="000000"/>
          <w:sz w:val="24"/>
          <w:szCs w:val="24"/>
        </w:rPr>
        <w:footnoteReference w:id="36"/>
      </w:r>
      <w:r w:rsidR="004D672F">
        <w:rPr>
          <w:rFonts w:ascii="Arial" w:eastAsia="Arial" w:hAnsi="Arial" w:cs="Arial"/>
          <w:color w:val="000000"/>
          <w:sz w:val="24"/>
          <w:szCs w:val="24"/>
        </w:rPr>
        <w:t xml:space="preserve"> via email to the attorneys of record for Mazars [to wit</w:t>
      </w:r>
      <w:r>
        <w:rPr>
          <w:rFonts w:ascii="Arial" w:eastAsia="Arial" w:hAnsi="Arial" w:cs="Arial"/>
          <w:color w:val="000000"/>
          <w:sz w:val="24"/>
          <w:szCs w:val="24"/>
        </w:rPr>
        <w:t>,</w:t>
      </w:r>
      <w:r w:rsidR="004D672F">
        <w:rPr>
          <w:rFonts w:ascii="Arial" w:eastAsia="Arial" w:hAnsi="Arial" w:cs="Arial"/>
          <w:color w:val="000000"/>
          <w:sz w:val="24"/>
          <w:szCs w:val="24"/>
        </w:rPr>
        <w:t xml:space="preserve"> Webber Wentzel Inc – hereinafter “</w:t>
      </w:r>
      <w:r w:rsidR="004D672F" w:rsidRPr="003E21DB">
        <w:rPr>
          <w:rFonts w:ascii="Arial" w:eastAsia="Arial" w:hAnsi="Arial" w:cs="Arial"/>
          <w:i/>
          <w:iCs/>
          <w:color w:val="000000"/>
          <w:sz w:val="24"/>
          <w:szCs w:val="24"/>
        </w:rPr>
        <w:t>WW</w:t>
      </w:r>
      <w:r w:rsidR="004D672F">
        <w:rPr>
          <w:rFonts w:ascii="Arial" w:eastAsia="Arial" w:hAnsi="Arial" w:cs="Arial"/>
          <w:color w:val="000000"/>
          <w:sz w:val="24"/>
          <w:szCs w:val="24"/>
        </w:rPr>
        <w:t>”</w:t>
      </w:r>
      <w:r w:rsidR="003E21DB">
        <w:rPr>
          <w:rFonts w:ascii="Arial" w:eastAsia="Arial" w:hAnsi="Arial" w:cs="Arial"/>
          <w:color w:val="000000"/>
          <w:sz w:val="24"/>
          <w:szCs w:val="24"/>
        </w:rPr>
        <w:t>]</w:t>
      </w:r>
      <w:r w:rsidR="000F515C">
        <w:rPr>
          <w:rFonts w:ascii="Arial" w:eastAsia="Arial" w:hAnsi="Arial" w:cs="Arial"/>
          <w:color w:val="000000"/>
          <w:sz w:val="24"/>
          <w:szCs w:val="24"/>
        </w:rPr>
        <w:t>.</w:t>
      </w:r>
      <w:r w:rsidR="003E21DB">
        <w:rPr>
          <w:rFonts w:ascii="Arial" w:eastAsia="Arial" w:hAnsi="Arial" w:cs="Arial"/>
          <w:color w:val="000000"/>
          <w:sz w:val="24"/>
          <w:szCs w:val="24"/>
        </w:rPr>
        <w:t xml:space="preserve"> </w:t>
      </w:r>
      <w:r w:rsidR="000F515C">
        <w:rPr>
          <w:rFonts w:ascii="Arial" w:eastAsia="Arial" w:hAnsi="Arial" w:cs="Arial"/>
          <w:color w:val="000000"/>
          <w:sz w:val="24"/>
          <w:szCs w:val="24"/>
        </w:rPr>
        <w:t>I</w:t>
      </w:r>
      <w:r w:rsidR="003E21DB">
        <w:rPr>
          <w:rFonts w:ascii="Arial" w:eastAsia="Arial" w:hAnsi="Arial" w:cs="Arial"/>
          <w:color w:val="000000"/>
          <w:sz w:val="24"/>
          <w:szCs w:val="24"/>
        </w:rPr>
        <w:t xml:space="preserve">n terms thereof, </w:t>
      </w:r>
      <w:r w:rsidR="003E21DB">
        <w:rPr>
          <w:rFonts w:ascii="Arial" w:eastAsia="Arial" w:hAnsi="Arial" w:cs="Arial"/>
          <w:i/>
          <w:iCs/>
          <w:color w:val="000000"/>
          <w:sz w:val="24"/>
          <w:szCs w:val="24"/>
        </w:rPr>
        <w:t>inter alia</w:t>
      </w:r>
      <w:r w:rsidR="003E21DB">
        <w:rPr>
          <w:rFonts w:ascii="Arial" w:eastAsia="Arial" w:hAnsi="Arial" w:cs="Arial"/>
          <w:color w:val="000000"/>
          <w:sz w:val="24"/>
          <w:szCs w:val="24"/>
        </w:rPr>
        <w:t>, the following:</w:t>
      </w:r>
    </w:p>
    <w:p w14:paraId="2138FD58" w14:textId="77777777" w:rsidR="003E21DB" w:rsidRDefault="003E21DB" w:rsidP="003E21D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834B246" w14:textId="3562364A" w:rsidR="003E21DB" w:rsidRDefault="00B8533E"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41</w:t>
      </w:r>
      <w:r w:rsidR="003E21DB">
        <w:rPr>
          <w:rFonts w:ascii="Arial" w:eastAsia="Arial" w:hAnsi="Arial" w:cs="Arial"/>
          <w:color w:val="000000"/>
          <w:sz w:val="24"/>
          <w:szCs w:val="24"/>
        </w:rPr>
        <w:t>.</w:t>
      </w:r>
      <w:r w:rsidR="00554657">
        <w:rPr>
          <w:rFonts w:ascii="Arial" w:eastAsia="Arial" w:hAnsi="Arial" w:cs="Arial"/>
          <w:color w:val="000000"/>
          <w:sz w:val="24"/>
          <w:szCs w:val="24"/>
        </w:rPr>
        <w:t>2</w:t>
      </w:r>
      <w:r w:rsidR="003E21DB">
        <w:rPr>
          <w:rFonts w:ascii="Arial" w:eastAsia="Arial" w:hAnsi="Arial" w:cs="Arial"/>
          <w:color w:val="000000"/>
          <w:sz w:val="24"/>
          <w:szCs w:val="24"/>
        </w:rPr>
        <w:t>.1</w:t>
      </w:r>
      <w:r w:rsidR="003E21DB">
        <w:rPr>
          <w:rFonts w:ascii="Arial" w:eastAsia="Arial" w:hAnsi="Arial" w:cs="Arial"/>
          <w:color w:val="000000"/>
          <w:sz w:val="24"/>
          <w:szCs w:val="24"/>
        </w:rPr>
        <w:tab/>
      </w:r>
      <w:r w:rsidR="0078016A">
        <w:rPr>
          <w:rFonts w:ascii="Arial" w:eastAsia="Arial" w:hAnsi="Arial" w:cs="Arial"/>
          <w:color w:val="000000"/>
          <w:sz w:val="24"/>
          <w:szCs w:val="24"/>
        </w:rPr>
        <w:t>r</w:t>
      </w:r>
      <w:r w:rsidR="003E21DB">
        <w:rPr>
          <w:rFonts w:ascii="Arial" w:eastAsia="Arial" w:hAnsi="Arial" w:cs="Arial"/>
          <w:color w:val="000000"/>
          <w:sz w:val="24"/>
          <w:szCs w:val="24"/>
        </w:rPr>
        <w:t xml:space="preserve">eference was made to the </w:t>
      </w:r>
      <w:r w:rsidR="0078016A">
        <w:rPr>
          <w:rFonts w:ascii="Arial" w:eastAsia="Arial" w:hAnsi="Arial" w:cs="Arial"/>
          <w:color w:val="000000"/>
          <w:sz w:val="24"/>
          <w:szCs w:val="24"/>
        </w:rPr>
        <w:t>first</w:t>
      </w:r>
      <w:r w:rsidR="003E21DB">
        <w:rPr>
          <w:rFonts w:ascii="Arial" w:eastAsia="Arial" w:hAnsi="Arial" w:cs="Arial"/>
          <w:color w:val="000000"/>
          <w:sz w:val="24"/>
          <w:szCs w:val="24"/>
        </w:rPr>
        <w:t xml:space="preserve"> notice to remove complaint</w:t>
      </w:r>
      <w:r w:rsidR="00620E38">
        <w:rPr>
          <w:rFonts w:ascii="Arial" w:eastAsia="Arial" w:hAnsi="Arial" w:cs="Arial"/>
          <w:color w:val="000000"/>
          <w:sz w:val="24"/>
          <w:szCs w:val="24"/>
        </w:rPr>
        <w:t>;</w:t>
      </w:r>
    </w:p>
    <w:p w14:paraId="0FE058C8" w14:textId="77777777" w:rsidR="00620E38" w:rsidRDefault="00620E38"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0D60133C" w14:textId="344419FA" w:rsidR="00620E38" w:rsidRDefault="00B8533E"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41</w:t>
      </w:r>
      <w:r w:rsidR="00620E38">
        <w:rPr>
          <w:rFonts w:ascii="Arial" w:eastAsia="Arial" w:hAnsi="Arial" w:cs="Arial"/>
          <w:color w:val="000000"/>
          <w:sz w:val="24"/>
          <w:szCs w:val="24"/>
        </w:rPr>
        <w:t>.</w:t>
      </w:r>
      <w:r w:rsidR="00554657">
        <w:rPr>
          <w:rFonts w:ascii="Arial" w:eastAsia="Arial" w:hAnsi="Arial" w:cs="Arial"/>
          <w:color w:val="000000"/>
          <w:sz w:val="24"/>
          <w:szCs w:val="24"/>
        </w:rPr>
        <w:t>2</w:t>
      </w:r>
      <w:r w:rsidR="00620E38">
        <w:rPr>
          <w:rFonts w:ascii="Arial" w:eastAsia="Arial" w:hAnsi="Arial" w:cs="Arial"/>
          <w:color w:val="000000"/>
          <w:sz w:val="24"/>
          <w:szCs w:val="24"/>
        </w:rPr>
        <w:t>.2</w:t>
      </w:r>
      <w:r w:rsidR="00620E38">
        <w:rPr>
          <w:rFonts w:ascii="Arial" w:eastAsia="Arial" w:hAnsi="Arial" w:cs="Arial"/>
          <w:color w:val="000000"/>
          <w:sz w:val="24"/>
          <w:szCs w:val="24"/>
        </w:rPr>
        <w:tab/>
      </w:r>
      <w:r w:rsidR="0078016A">
        <w:rPr>
          <w:rFonts w:ascii="Arial" w:eastAsia="Arial" w:hAnsi="Arial" w:cs="Arial"/>
          <w:color w:val="000000"/>
          <w:sz w:val="24"/>
          <w:szCs w:val="24"/>
        </w:rPr>
        <w:t>i</w:t>
      </w:r>
      <w:r w:rsidR="00620E38">
        <w:rPr>
          <w:rFonts w:ascii="Arial" w:eastAsia="Arial" w:hAnsi="Arial" w:cs="Arial"/>
          <w:color w:val="000000"/>
          <w:sz w:val="24"/>
          <w:szCs w:val="24"/>
        </w:rPr>
        <w:t>t was noted that to the extent that the initial Particulars of Claim are vague and embarrassing, alternative</w:t>
      </w:r>
      <w:r>
        <w:rPr>
          <w:rFonts w:ascii="Arial" w:eastAsia="Arial" w:hAnsi="Arial" w:cs="Arial"/>
          <w:color w:val="000000"/>
          <w:sz w:val="24"/>
          <w:szCs w:val="24"/>
        </w:rPr>
        <w:t>ly</w:t>
      </w:r>
      <w:r w:rsidR="00620E38">
        <w:rPr>
          <w:rFonts w:ascii="Arial" w:eastAsia="Arial" w:hAnsi="Arial" w:cs="Arial"/>
          <w:color w:val="000000"/>
          <w:sz w:val="24"/>
          <w:szCs w:val="24"/>
        </w:rPr>
        <w:t xml:space="preserve"> constitutes an irregular step, that Mazars made no attempt to act in accordance with either Rule 23(1) o</w:t>
      </w:r>
      <w:r w:rsidR="00AF63BF">
        <w:rPr>
          <w:rFonts w:ascii="Arial" w:eastAsia="Arial" w:hAnsi="Arial" w:cs="Arial"/>
          <w:color w:val="000000"/>
          <w:sz w:val="24"/>
          <w:szCs w:val="24"/>
        </w:rPr>
        <w:t>r</w:t>
      </w:r>
      <w:r w:rsidR="00620E38">
        <w:rPr>
          <w:rFonts w:ascii="Arial" w:eastAsia="Arial" w:hAnsi="Arial" w:cs="Arial"/>
          <w:color w:val="000000"/>
          <w:sz w:val="24"/>
          <w:szCs w:val="24"/>
        </w:rPr>
        <w:t xml:space="preserve"> Rule 30;</w:t>
      </w:r>
    </w:p>
    <w:p w14:paraId="4A6C7F53" w14:textId="77777777" w:rsidR="00620E38" w:rsidRDefault="00620E38"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7CC3CE1C" w14:textId="56AC8A57" w:rsidR="00620E38" w:rsidRDefault="00B8533E"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41</w:t>
      </w:r>
      <w:r w:rsidR="00620E38">
        <w:rPr>
          <w:rFonts w:ascii="Arial" w:eastAsia="Arial" w:hAnsi="Arial" w:cs="Arial"/>
          <w:color w:val="000000"/>
          <w:sz w:val="24"/>
          <w:szCs w:val="24"/>
        </w:rPr>
        <w:t>.</w:t>
      </w:r>
      <w:r w:rsidR="00554657">
        <w:rPr>
          <w:rFonts w:ascii="Arial" w:eastAsia="Arial" w:hAnsi="Arial" w:cs="Arial"/>
          <w:color w:val="000000"/>
          <w:sz w:val="24"/>
          <w:szCs w:val="24"/>
        </w:rPr>
        <w:t>2</w:t>
      </w:r>
      <w:r w:rsidR="00620E38">
        <w:rPr>
          <w:rFonts w:ascii="Arial" w:eastAsia="Arial" w:hAnsi="Arial" w:cs="Arial"/>
          <w:color w:val="000000"/>
          <w:sz w:val="24"/>
          <w:szCs w:val="24"/>
        </w:rPr>
        <w:t>.3</w:t>
      </w:r>
      <w:r w:rsidR="00620E38">
        <w:rPr>
          <w:rFonts w:ascii="Arial" w:eastAsia="Arial" w:hAnsi="Arial" w:cs="Arial"/>
          <w:color w:val="000000"/>
          <w:sz w:val="24"/>
          <w:szCs w:val="24"/>
        </w:rPr>
        <w:tab/>
      </w:r>
      <w:r w:rsidR="00AF63BF">
        <w:rPr>
          <w:rFonts w:ascii="Arial" w:eastAsia="Arial" w:hAnsi="Arial" w:cs="Arial"/>
          <w:color w:val="000000"/>
          <w:sz w:val="24"/>
          <w:szCs w:val="24"/>
        </w:rPr>
        <w:t>i</w:t>
      </w:r>
      <w:r w:rsidR="00ED13FE">
        <w:rPr>
          <w:rFonts w:ascii="Arial" w:eastAsia="Arial" w:hAnsi="Arial" w:cs="Arial"/>
          <w:color w:val="000000"/>
          <w:sz w:val="24"/>
          <w:szCs w:val="24"/>
        </w:rPr>
        <w:t xml:space="preserve">t was noted that Floorworx will in due course seek an amendment to its initial Particulars of Claim and </w:t>
      </w:r>
      <w:r w:rsidR="00750D12">
        <w:rPr>
          <w:rFonts w:ascii="Arial" w:eastAsia="Arial" w:hAnsi="Arial" w:cs="Arial"/>
          <w:color w:val="000000"/>
          <w:sz w:val="24"/>
          <w:szCs w:val="24"/>
        </w:rPr>
        <w:t>that</w:t>
      </w:r>
      <w:r w:rsidR="00ED13FE">
        <w:rPr>
          <w:rFonts w:ascii="Arial" w:eastAsia="Arial" w:hAnsi="Arial" w:cs="Arial"/>
          <w:color w:val="000000"/>
          <w:sz w:val="24"/>
          <w:szCs w:val="24"/>
        </w:rPr>
        <w:t xml:space="preserve"> such amendment </w:t>
      </w:r>
      <w:r w:rsidR="00750D12">
        <w:rPr>
          <w:rFonts w:ascii="Arial" w:eastAsia="Arial" w:hAnsi="Arial" w:cs="Arial"/>
          <w:color w:val="000000"/>
          <w:sz w:val="24"/>
          <w:szCs w:val="24"/>
        </w:rPr>
        <w:t xml:space="preserve">is completely independent of the </w:t>
      </w:r>
      <w:r w:rsidR="00AF63BF">
        <w:rPr>
          <w:rFonts w:ascii="Arial" w:eastAsia="Arial" w:hAnsi="Arial" w:cs="Arial"/>
          <w:color w:val="000000"/>
          <w:sz w:val="24"/>
          <w:szCs w:val="24"/>
        </w:rPr>
        <w:t>first</w:t>
      </w:r>
      <w:r w:rsidR="00750D12">
        <w:rPr>
          <w:rFonts w:ascii="Arial" w:eastAsia="Arial" w:hAnsi="Arial" w:cs="Arial"/>
          <w:color w:val="000000"/>
          <w:sz w:val="24"/>
          <w:szCs w:val="24"/>
        </w:rPr>
        <w:t xml:space="preserve"> notice to remove complaint;</w:t>
      </w:r>
    </w:p>
    <w:p w14:paraId="037EF2FE" w14:textId="77777777" w:rsidR="00750D12" w:rsidRDefault="00750D12"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0889AB74" w14:textId="2B89CDB2" w:rsidR="00750D12" w:rsidRDefault="00B8533E"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41</w:t>
      </w:r>
      <w:r w:rsidR="00750D12">
        <w:rPr>
          <w:rFonts w:ascii="Arial" w:eastAsia="Arial" w:hAnsi="Arial" w:cs="Arial"/>
          <w:color w:val="000000"/>
          <w:sz w:val="24"/>
          <w:szCs w:val="24"/>
        </w:rPr>
        <w:t>.</w:t>
      </w:r>
      <w:r w:rsidR="00554657">
        <w:rPr>
          <w:rFonts w:ascii="Arial" w:eastAsia="Arial" w:hAnsi="Arial" w:cs="Arial"/>
          <w:color w:val="000000"/>
          <w:sz w:val="24"/>
          <w:szCs w:val="24"/>
        </w:rPr>
        <w:t>2</w:t>
      </w:r>
      <w:r w:rsidR="00750D12">
        <w:rPr>
          <w:rFonts w:ascii="Arial" w:eastAsia="Arial" w:hAnsi="Arial" w:cs="Arial"/>
          <w:color w:val="000000"/>
          <w:sz w:val="24"/>
          <w:szCs w:val="24"/>
        </w:rPr>
        <w:t>.4</w:t>
      </w:r>
      <w:r w:rsidR="00750D12">
        <w:rPr>
          <w:rFonts w:ascii="Arial" w:eastAsia="Arial" w:hAnsi="Arial" w:cs="Arial"/>
          <w:color w:val="000000"/>
          <w:sz w:val="24"/>
          <w:szCs w:val="24"/>
        </w:rPr>
        <w:tab/>
        <w:t xml:space="preserve">Mazars was requested to agree that the </w:t>
      </w:r>
      <w:r w:rsidR="000A422E" w:rsidRPr="000A422E">
        <w:rPr>
          <w:rFonts w:ascii="Arial" w:eastAsia="Arial" w:hAnsi="Arial" w:cs="Arial"/>
          <w:i/>
          <w:iCs/>
          <w:color w:val="000000"/>
          <w:sz w:val="24"/>
          <w:szCs w:val="24"/>
        </w:rPr>
        <w:t>dies</w:t>
      </w:r>
      <w:r w:rsidR="000A422E">
        <w:rPr>
          <w:rFonts w:ascii="Arial" w:eastAsia="Arial" w:hAnsi="Arial" w:cs="Arial"/>
          <w:color w:val="000000"/>
          <w:sz w:val="24"/>
          <w:szCs w:val="24"/>
        </w:rPr>
        <w:t xml:space="preserve"> be suspended until 5 May 2019 to enable Mazars to consider the proposed amendment to the</w:t>
      </w:r>
      <w:r w:rsidR="005330CC">
        <w:rPr>
          <w:rFonts w:ascii="Arial" w:eastAsia="Arial" w:hAnsi="Arial" w:cs="Arial"/>
          <w:color w:val="000000"/>
          <w:sz w:val="24"/>
          <w:szCs w:val="24"/>
        </w:rPr>
        <w:t xml:space="preserve"> initial</w:t>
      </w:r>
      <w:r w:rsidR="000A422E">
        <w:rPr>
          <w:rFonts w:ascii="Arial" w:eastAsia="Arial" w:hAnsi="Arial" w:cs="Arial"/>
          <w:color w:val="000000"/>
          <w:sz w:val="24"/>
          <w:szCs w:val="24"/>
        </w:rPr>
        <w:t xml:space="preserve"> Particulars of Claim and it was expressly noted that such invitation to agree to suspend the </w:t>
      </w:r>
      <w:r w:rsidR="000A422E">
        <w:rPr>
          <w:rFonts w:ascii="Arial" w:eastAsia="Arial" w:hAnsi="Arial" w:cs="Arial"/>
          <w:i/>
          <w:iCs/>
          <w:color w:val="000000"/>
          <w:sz w:val="24"/>
          <w:szCs w:val="24"/>
        </w:rPr>
        <w:t>dies</w:t>
      </w:r>
      <w:r w:rsidR="000A422E">
        <w:rPr>
          <w:rFonts w:ascii="Arial" w:eastAsia="Arial" w:hAnsi="Arial" w:cs="Arial"/>
          <w:color w:val="000000"/>
          <w:sz w:val="24"/>
          <w:szCs w:val="24"/>
        </w:rPr>
        <w:t xml:space="preserve"> should not be construed a</w:t>
      </w:r>
      <w:r w:rsidR="003D12F6">
        <w:rPr>
          <w:rFonts w:ascii="Arial" w:eastAsia="Arial" w:hAnsi="Arial" w:cs="Arial"/>
          <w:color w:val="000000"/>
          <w:sz w:val="24"/>
          <w:szCs w:val="24"/>
        </w:rPr>
        <w:t xml:space="preserve">s an admission that there is any merit in the </w:t>
      </w:r>
      <w:r w:rsidR="00892BD8">
        <w:rPr>
          <w:rFonts w:ascii="Arial" w:eastAsia="Arial" w:hAnsi="Arial" w:cs="Arial"/>
          <w:color w:val="000000"/>
          <w:sz w:val="24"/>
          <w:szCs w:val="24"/>
        </w:rPr>
        <w:t>first notice</w:t>
      </w:r>
      <w:r w:rsidR="003D12F6">
        <w:rPr>
          <w:rFonts w:ascii="Arial" w:eastAsia="Arial" w:hAnsi="Arial" w:cs="Arial"/>
          <w:color w:val="000000"/>
          <w:sz w:val="24"/>
          <w:szCs w:val="24"/>
        </w:rPr>
        <w:t xml:space="preserve"> to remove complaint;</w:t>
      </w:r>
      <w:r w:rsidR="005330CC">
        <w:rPr>
          <w:rFonts w:ascii="Arial" w:eastAsia="Arial" w:hAnsi="Arial" w:cs="Arial"/>
          <w:color w:val="000000"/>
          <w:sz w:val="24"/>
          <w:szCs w:val="24"/>
        </w:rPr>
        <w:t xml:space="preserve"> and</w:t>
      </w:r>
    </w:p>
    <w:p w14:paraId="71D0F365" w14:textId="77777777" w:rsidR="003D12F6" w:rsidRDefault="003D12F6"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0DBB7599" w14:textId="7BD653A4" w:rsidR="003D12F6" w:rsidRDefault="005330CC"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41</w:t>
      </w:r>
      <w:r w:rsidR="003D12F6">
        <w:rPr>
          <w:rFonts w:ascii="Arial" w:eastAsia="Arial" w:hAnsi="Arial" w:cs="Arial"/>
          <w:color w:val="000000"/>
          <w:sz w:val="24"/>
          <w:szCs w:val="24"/>
        </w:rPr>
        <w:t>.</w:t>
      </w:r>
      <w:r w:rsidR="00554657">
        <w:rPr>
          <w:rFonts w:ascii="Arial" w:eastAsia="Arial" w:hAnsi="Arial" w:cs="Arial"/>
          <w:color w:val="000000"/>
          <w:sz w:val="24"/>
          <w:szCs w:val="24"/>
        </w:rPr>
        <w:t>2</w:t>
      </w:r>
      <w:r w:rsidR="003D12F6">
        <w:rPr>
          <w:rFonts w:ascii="Arial" w:eastAsia="Arial" w:hAnsi="Arial" w:cs="Arial"/>
          <w:color w:val="000000"/>
          <w:sz w:val="24"/>
          <w:szCs w:val="24"/>
        </w:rPr>
        <w:t>.5</w:t>
      </w:r>
      <w:r w:rsidR="003D12F6">
        <w:rPr>
          <w:rFonts w:ascii="Arial" w:eastAsia="Arial" w:hAnsi="Arial" w:cs="Arial"/>
          <w:color w:val="000000"/>
          <w:sz w:val="24"/>
          <w:szCs w:val="24"/>
        </w:rPr>
        <w:tab/>
      </w:r>
      <w:r w:rsidR="00892BD8">
        <w:rPr>
          <w:rFonts w:ascii="Arial" w:eastAsia="Arial" w:hAnsi="Arial" w:cs="Arial"/>
          <w:color w:val="000000"/>
          <w:sz w:val="24"/>
          <w:szCs w:val="24"/>
        </w:rPr>
        <w:t>c</w:t>
      </w:r>
      <w:r w:rsidR="00EE5434">
        <w:rPr>
          <w:rFonts w:ascii="Arial" w:eastAsia="Arial" w:hAnsi="Arial" w:cs="Arial"/>
          <w:color w:val="000000"/>
          <w:sz w:val="24"/>
          <w:szCs w:val="24"/>
        </w:rPr>
        <w:t xml:space="preserve">opies of the relevant </w:t>
      </w:r>
      <w:r w:rsidR="00392AD7">
        <w:rPr>
          <w:rFonts w:ascii="Arial" w:eastAsia="Arial" w:hAnsi="Arial" w:cs="Arial"/>
          <w:color w:val="000000"/>
          <w:sz w:val="24"/>
          <w:szCs w:val="24"/>
        </w:rPr>
        <w:t>L</w:t>
      </w:r>
      <w:r w:rsidR="00EE5434">
        <w:rPr>
          <w:rFonts w:ascii="Arial" w:eastAsia="Arial" w:hAnsi="Arial" w:cs="Arial"/>
          <w:color w:val="000000"/>
          <w:sz w:val="24"/>
          <w:szCs w:val="24"/>
        </w:rPr>
        <w:t xml:space="preserve">etters of </w:t>
      </w:r>
      <w:r w:rsidR="00392AD7">
        <w:rPr>
          <w:rFonts w:ascii="Arial" w:eastAsia="Arial" w:hAnsi="Arial" w:cs="Arial"/>
          <w:color w:val="000000"/>
          <w:sz w:val="24"/>
          <w:szCs w:val="24"/>
        </w:rPr>
        <w:t>E</w:t>
      </w:r>
      <w:r w:rsidR="00EE5434">
        <w:rPr>
          <w:rFonts w:ascii="Arial" w:eastAsia="Arial" w:hAnsi="Arial" w:cs="Arial"/>
          <w:color w:val="000000"/>
          <w:sz w:val="24"/>
          <w:szCs w:val="24"/>
        </w:rPr>
        <w:t xml:space="preserve">ngagement should have been retained by Mazars and accordingly a request was made </w:t>
      </w:r>
      <w:r w:rsidR="00EE5434">
        <w:rPr>
          <w:rFonts w:ascii="Arial" w:eastAsia="Arial" w:hAnsi="Arial" w:cs="Arial"/>
          <w:color w:val="000000"/>
          <w:sz w:val="24"/>
          <w:szCs w:val="24"/>
        </w:rPr>
        <w:lastRenderedPageBreak/>
        <w:t>to provide copies thereof</w:t>
      </w:r>
      <w:r w:rsidR="00406FAE">
        <w:rPr>
          <w:rFonts w:ascii="Arial" w:eastAsia="Arial" w:hAnsi="Arial" w:cs="Arial"/>
          <w:color w:val="000000"/>
          <w:sz w:val="24"/>
          <w:szCs w:val="24"/>
        </w:rPr>
        <w:t xml:space="preserve"> for the years 2005 to 2015 for purposes of the proposed amendment;</w:t>
      </w:r>
    </w:p>
    <w:p w14:paraId="7FDD3155" w14:textId="77777777" w:rsidR="00406FAE" w:rsidRDefault="00406FAE"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048FAD8E" w14:textId="225EB1B8" w:rsidR="00406FAE" w:rsidRPr="00392AD7" w:rsidRDefault="005330CC" w:rsidP="00392AD7">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41</w:t>
      </w:r>
      <w:r w:rsidR="00406FAE" w:rsidRPr="00392AD7">
        <w:rPr>
          <w:rFonts w:ascii="Arial" w:eastAsia="Arial" w:hAnsi="Arial" w:cs="Arial"/>
          <w:color w:val="000000"/>
          <w:sz w:val="24"/>
          <w:szCs w:val="24"/>
        </w:rPr>
        <w:t>.</w:t>
      </w:r>
      <w:r w:rsidR="00392AD7">
        <w:rPr>
          <w:rFonts w:ascii="Arial" w:eastAsia="Arial" w:hAnsi="Arial" w:cs="Arial"/>
          <w:color w:val="000000"/>
          <w:sz w:val="24"/>
          <w:szCs w:val="24"/>
        </w:rPr>
        <w:t>3</w:t>
      </w:r>
      <w:r w:rsidR="00392AD7">
        <w:rPr>
          <w:rFonts w:ascii="Arial" w:eastAsia="Arial" w:hAnsi="Arial" w:cs="Arial"/>
          <w:color w:val="000000"/>
          <w:sz w:val="24"/>
          <w:szCs w:val="24"/>
        </w:rPr>
        <w:tab/>
      </w:r>
      <w:r>
        <w:rPr>
          <w:rFonts w:ascii="Arial" w:eastAsia="Arial" w:hAnsi="Arial" w:cs="Arial"/>
          <w:color w:val="000000"/>
          <w:sz w:val="24"/>
          <w:szCs w:val="24"/>
        </w:rPr>
        <w:t>s</w:t>
      </w:r>
      <w:r w:rsidR="00406FAE" w:rsidRPr="00392AD7">
        <w:rPr>
          <w:rFonts w:ascii="Arial" w:eastAsia="Arial" w:hAnsi="Arial" w:cs="Arial"/>
          <w:color w:val="000000"/>
          <w:sz w:val="24"/>
          <w:szCs w:val="24"/>
        </w:rPr>
        <w:t xml:space="preserve">ubsequent to the aforesaid request, WW responded in a letter of the same date indicating that they are taking instructions and will revert in due course.  </w:t>
      </w:r>
      <w:r w:rsidR="00434EAE">
        <w:rPr>
          <w:rFonts w:ascii="Arial" w:eastAsia="Arial" w:hAnsi="Arial" w:cs="Arial"/>
          <w:color w:val="000000"/>
          <w:sz w:val="24"/>
          <w:szCs w:val="24"/>
        </w:rPr>
        <w:t>However</w:t>
      </w:r>
      <w:r w:rsidR="00406FAE" w:rsidRPr="00392AD7">
        <w:rPr>
          <w:rFonts w:ascii="Arial" w:eastAsia="Arial" w:hAnsi="Arial" w:cs="Arial"/>
          <w:color w:val="000000"/>
          <w:sz w:val="24"/>
          <w:szCs w:val="24"/>
        </w:rPr>
        <w:t>, WW agreed to suspend</w:t>
      </w:r>
      <w:r w:rsidR="006C336C">
        <w:rPr>
          <w:rFonts w:ascii="Arial" w:eastAsia="Arial" w:hAnsi="Arial" w:cs="Arial"/>
          <w:color w:val="000000"/>
          <w:sz w:val="24"/>
          <w:szCs w:val="24"/>
        </w:rPr>
        <w:t xml:space="preserve"> the</w:t>
      </w:r>
      <w:r w:rsidR="00406FAE" w:rsidRPr="00392AD7">
        <w:rPr>
          <w:rFonts w:ascii="Arial" w:eastAsia="Arial" w:hAnsi="Arial" w:cs="Arial"/>
          <w:color w:val="000000"/>
          <w:sz w:val="24"/>
          <w:szCs w:val="24"/>
        </w:rPr>
        <w:t xml:space="preserve"> </w:t>
      </w:r>
      <w:r w:rsidR="00406FAE" w:rsidRPr="00392AD7">
        <w:rPr>
          <w:rFonts w:ascii="Arial" w:eastAsia="Arial" w:hAnsi="Arial" w:cs="Arial"/>
          <w:i/>
          <w:iCs/>
          <w:color w:val="000000"/>
          <w:sz w:val="24"/>
          <w:szCs w:val="24"/>
        </w:rPr>
        <w:t>dies</w:t>
      </w:r>
      <w:r w:rsidR="00406FAE" w:rsidRPr="00392AD7">
        <w:rPr>
          <w:rFonts w:ascii="Arial" w:eastAsia="Arial" w:hAnsi="Arial" w:cs="Arial"/>
          <w:color w:val="000000"/>
          <w:sz w:val="24"/>
          <w:szCs w:val="24"/>
        </w:rPr>
        <w:t xml:space="preserve"> until 9 May 2019</w:t>
      </w:r>
      <w:r w:rsidR="006C336C">
        <w:rPr>
          <w:rFonts w:ascii="Arial" w:eastAsia="Arial" w:hAnsi="Arial" w:cs="Arial"/>
          <w:color w:val="000000"/>
          <w:sz w:val="24"/>
          <w:szCs w:val="24"/>
        </w:rPr>
        <w:t xml:space="preserve"> (and not merely to 5 May 2019)</w:t>
      </w:r>
      <w:r w:rsidR="001C7011">
        <w:rPr>
          <w:rStyle w:val="FootnoteReference"/>
          <w:rFonts w:ascii="Arial" w:eastAsia="Arial" w:hAnsi="Arial" w:cs="Arial"/>
          <w:color w:val="000000"/>
          <w:sz w:val="24"/>
          <w:szCs w:val="24"/>
        </w:rPr>
        <w:footnoteReference w:id="37"/>
      </w:r>
      <w:r w:rsidR="001C7011" w:rsidRPr="00392AD7">
        <w:rPr>
          <w:rFonts w:ascii="Arial" w:eastAsia="Arial" w:hAnsi="Arial" w:cs="Arial"/>
          <w:color w:val="000000"/>
          <w:sz w:val="24"/>
          <w:szCs w:val="24"/>
        </w:rPr>
        <w:t>;</w:t>
      </w:r>
    </w:p>
    <w:p w14:paraId="4FCBA9F3" w14:textId="77777777" w:rsidR="001C7011" w:rsidRDefault="001C7011"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64E13F66" w14:textId="61EA7E74" w:rsidR="001C7011" w:rsidRDefault="005330CC" w:rsidP="006C336C">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41</w:t>
      </w:r>
      <w:r w:rsidR="006C336C">
        <w:rPr>
          <w:rFonts w:ascii="Arial" w:eastAsia="Arial" w:hAnsi="Arial" w:cs="Arial"/>
          <w:color w:val="000000"/>
          <w:sz w:val="24"/>
          <w:szCs w:val="24"/>
        </w:rPr>
        <w:t>.4</w:t>
      </w:r>
      <w:r w:rsidR="006C336C">
        <w:rPr>
          <w:rFonts w:ascii="Arial" w:eastAsia="Arial" w:hAnsi="Arial" w:cs="Arial"/>
          <w:color w:val="000000"/>
          <w:sz w:val="24"/>
          <w:szCs w:val="24"/>
        </w:rPr>
        <w:tab/>
      </w:r>
      <w:r>
        <w:rPr>
          <w:rFonts w:ascii="Arial" w:eastAsia="Arial" w:hAnsi="Arial" w:cs="Arial"/>
          <w:color w:val="000000"/>
          <w:sz w:val="24"/>
          <w:szCs w:val="24"/>
        </w:rPr>
        <w:t>d</w:t>
      </w:r>
      <w:r w:rsidR="001C7011" w:rsidRPr="006C336C">
        <w:rPr>
          <w:rFonts w:ascii="Arial" w:eastAsia="Arial" w:hAnsi="Arial" w:cs="Arial"/>
          <w:color w:val="000000"/>
          <w:sz w:val="24"/>
          <w:szCs w:val="24"/>
        </w:rPr>
        <w:t xml:space="preserve">espite the parties having agreed that the </w:t>
      </w:r>
      <w:r w:rsidR="001C7011" w:rsidRPr="006C336C">
        <w:rPr>
          <w:rFonts w:ascii="Arial" w:eastAsia="Arial" w:hAnsi="Arial" w:cs="Arial"/>
          <w:i/>
          <w:iCs/>
          <w:color w:val="000000"/>
          <w:sz w:val="24"/>
          <w:szCs w:val="24"/>
        </w:rPr>
        <w:t>dies</w:t>
      </w:r>
      <w:r w:rsidR="001C7011" w:rsidRPr="006C336C">
        <w:rPr>
          <w:rFonts w:ascii="Arial" w:eastAsia="Arial" w:hAnsi="Arial" w:cs="Arial"/>
          <w:color w:val="000000"/>
          <w:sz w:val="24"/>
          <w:szCs w:val="24"/>
        </w:rPr>
        <w:t xml:space="preserve"> </w:t>
      </w:r>
      <w:r w:rsidR="00956AB8">
        <w:rPr>
          <w:rFonts w:ascii="Arial" w:eastAsia="Arial" w:hAnsi="Arial" w:cs="Arial"/>
          <w:color w:val="000000"/>
          <w:sz w:val="24"/>
          <w:szCs w:val="24"/>
        </w:rPr>
        <w:t>was</w:t>
      </w:r>
      <w:r w:rsidR="001C7011" w:rsidRPr="006C336C">
        <w:rPr>
          <w:rFonts w:ascii="Arial" w:eastAsia="Arial" w:hAnsi="Arial" w:cs="Arial"/>
          <w:color w:val="000000"/>
          <w:sz w:val="24"/>
          <w:szCs w:val="24"/>
        </w:rPr>
        <w:t xml:space="preserve"> suspended until 9 May 2019, Floorworx only delivered its </w:t>
      </w:r>
      <w:r w:rsidR="002B768C" w:rsidRPr="006C336C">
        <w:rPr>
          <w:rFonts w:ascii="Arial" w:eastAsia="Arial" w:hAnsi="Arial" w:cs="Arial"/>
          <w:color w:val="000000"/>
          <w:sz w:val="24"/>
          <w:szCs w:val="24"/>
        </w:rPr>
        <w:t>N</w:t>
      </w:r>
      <w:r w:rsidR="001C7011" w:rsidRPr="006C336C">
        <w:rPr>
          <w:rFonts w:ascii="Arial" w:eastAsia="Arial" w:hAnsi="Arial" w:cs="Arial"/>
          <w:color w:val="000000"/>
          <w:sz w:val="24"/>
          <w:szCs w:val="24"/>
        </w:rPr>
        <w:t xml:space="preserve">otice of </w:t>
      </w:r>
      <w:r w:rsidR="002B768C" w:rsidRPr="006C336C">
        <w:rPr>
          <w:rFonts w:ascii="Arial" w:eastAsia="Arial" w:hAnsi="Arial" w:cs="Arial"/>
          <w:color w:val="000000"/>
          <w:sz w:val="24"/>
          <w:szCs w:val="24"/>
        </w:rPr>
        <w:t>I</w:t>
      </w:r>
      <w:r w:rsidR="001C7011" w:rsidRPr="006C336C">
        <w:rPr>
          <w:rFonts w:ascii="Arial" w:eastAsia="Arial" w:hAnsi="Arial" w:cs="Arial"/>
          <w:color w:val="000000"/>
          <w:sz w:val="24"/>
          <w:szCs w:val="24"/>
        </w:rPr>
        <w:t xml:space="preserve">ntention to </w:t>
      </w:r>
      <w:r w:rsidR="002B768C" w:rsidRPr="006C336C">
        <w:rPr>
          <w:rFonts w:ascii="Arial" w:eastAsia="Arial" w:hAnsi="Arial" w:cs="Arial"/>
          <w:color w:val="000000"/>
          <w:sz w:val="24"/>
          <w:szCs w:val="24"/>
        </w:rPr>
        <w:t>A</w:t>
      </w:r>
      <w:r w:rsidR="001C7011" w:rsidRPr="006C336C">
        <w:rPr>
          <w:rFonts w:ascii="Arial" w:eastAsia="Arial" w:hAnsi="Arial" w:cs="Arial"/>
          <w:color w:val="000000"/>
          <w:sz w:val="24"/>
          <w:szCs w:val="24"/>
        </w:rPr>
        <w:t>mend</w:t>
      </w:r>
      <w:r w:rsidR="002B768C" w:rsidRPr="006C336C">
        <w:rPr>
          <w:rFonts w:ascii="Arial" w:eastAsia="Arial" w:hAnsi="Arial" w:cs="Arial"/>
          <w:color w:val="000000"/>
          <w:sz w:val="24"/>
          <w:szCs w:val="24"/>
        </w:rPr>
        <w:t xml:space="preserve"> in terms of Rule 28 on 17 December 2019</w:t>
      </w:r>
      <w:r w:rsidR="00972450">
        <w:rPr>
          <w:rStyle w:val="FootnoteReference"/>
          <w:rFonts w:ascii="Arial" w:eastAsia="Arial" w:hAnsi="Arial" w:cs="Arial"/>
          <w:color w:val="000000"/>
          <w:sz w:val="24"/>
          <w:szCs w:val="24"/>
        </w:rPr>
        <w:footnoteReference w:id="38"/>
      </w:r>
      <w:r w:rsidR="002B768C" w:rsidRPr="006C336C">
        <w:rPr>
          <w:rFonts w:ascii="Arial" w:eastAsia="Arial" w:hAnsi="Arial" w:cs="Arial"/>
          <w:color w:val="000000"/>
          <w:sz w:val="24"/>
          <w:szCs w:val="24"/>
        </w:rPr>
        <w:t>;</w:t>
      </w:r>
    </w:p>
    <w:p w14:paraId="6820FA03" w14:textId="77777777" w:rsidR="00AD36AE" w:rsidRDefault="00AD36AE" w:rsidP="006C336C">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0BF3BD68" w14:textId="5E234EA6" w:rsidR="00AD36AE" w:rsidRPr="006C336C" w:rsidRDefault="005330CC" w:rsidP="006C336C">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41</w:t>
      </w:r>
      <w:r w:rsidR="00AD36AE">
        <w:rPr>
          <w:rFonts w:ascii="Arial" w:eastAsia="Arial" w:hAnsi="Arial" w:cs="Arial"/>
          <w:color w:val="000000"/>
          <w:sz w:val="24"/>
          <w:szCs w:val="24"/>
        </w:rPr>
        <w:t>.</w:t>
      </w:r>
      <w:r>
        <w:rPr>
          <w:rFonts w:ascii="Arial" w:eastAsia="Arial" w:hAnsi="Arial" w:cs="Arial"/>
          <w:color w:val="000000"/>
          <w:sz w:val="24"/>
          <w:szCs w:val="24"/>
        </w:rPr>
        <w:t>5</w:t>
      </w:r>
      <w:r>
        <w:rPr>
          <w:rFonts w:ascii="Arial" w:eastAsia="Arial" w:hAnsi="Arial" w:cs="Arial"/>
          <w:color w:val="000000"/>
          <w:sz w:val="24"/>
          <w:szCs w:val="24"/>
        </w:rPr>
        <w:tab/>
        <w:t>o</w:t>
      </w:r>
      <w:r w:rsidR="004F3F4A">
        <w:rPr>
          <w:rFonts w:ascii="Arial" w:eastAsia="Arial" w:hAnsi="Arial" w:cs="Arial"/>
          <w:color w:val="000000"/>
          <w:sz w:val="24"/>
          <w:szCs w:val="24"/>
        </w:rPr>
        <w:t xml:space="preserve">n 8 January 2020, Floorworx </w:t>
      </w:r>
      <w:r w:rsidR="00087CB8">
        <w:rPr>
          <w:rFonts w:ascii="Arial" w:eastAsia="Arial" w:hAnsi="Arial" w:cs="Arial"/>
          <w:color w:val="000000"/>
          <w:sz w:val="24"/>
          <w:szCs w:val="24"/>
        </w:rPr>
        <w:t>duly amended its Particulars of Claim as contemplated by Rule 28(7)</w:t>
      </w:r>
      <w:r w:rsidR="00087CB8">
        <w:rPr>
          <w:rStyle w:val="FootnoteReference"/>
          <w:rFonts w:ascii="Arial" w:eastAsia="Arial" w:hAnsi="Arial" w:cs="Arial"/>
          <w:color w:val="000000"/>
          <w:sz w:val="24"/>
          <w:szCs w:val="24"/>
        </w:rPr>
        <w:footnoteReference w:id="39"/>
      </w:r>
      <w:r w:rsidR="000E2D00">
        <w:rPr>
          <w:rFonts w:ascii="Arial" w:eastAsia="Arial" w:hAnsi="Arial" w:cs="Arial"/>
          <w:color w:val="000000"/>
          <w:sz w:val="24"/>
          <w:szCs w:val="24"/>
        </w:rPr>
        <w:t>;</w:t>
      </w:r>
    </w:p>
    <w:p w14:paraId="5213DB57" w14:textId="77777777" w:rsidR="002B768C" w:rsidRDefault="002B768C"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63B8B916" w14:textId="12255214" w:rsidR="00A70B23" w:rsidRPr="00FD32A1" w:rsidRDefault="005330CC" w:rsidP="00FD32A1">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41</w:t>
      </w:r>
      <w:r w:rsidR="002B768C" w:rsidRPr="00AD36AE">
        <w:rPr>
          <w:rFonts w:ascii="Arial" w:eastAsia="Arial" w:hAnsi="Arial" w:cs="Arial"/>
          <w:color w:val="000000"/>
          <w:sz w:val="24"/>
          <w:szCs w:val="24"/>
        </w:rPr>
        <w:t>.</w:t>
      </w:r>
      <w:r w:rsidR="00087CB8">
        <w:rPr>
          <w:rFonts w:ascii="Arial" w:eastAsia="Arial" w:hAnsi="Arial" w:cs="Arial"/>
          <w:color w:val="000000"/>
          <w:sz w:val="24"/>
          <w:szCs w:val="24"/>
        </w:rPr>
        <w:t>6</w:t>
      </w:r>
      <w:r>
        <w:rPr>
          <w:rFonts w:ascii="Arial" w:eastAsia="Arial" w:hAnsi="Arial" w:cs="Arial"/>
          <w:color w:val="000000"/>
          <w:sz w:val="24"/>
          <w:szCs w:val="24"/>
        </w:rPr>
        <w:tab/>
        <w:t>o</w:t>
      </w:r>
      <w:r w:rsidR="002B768C" w:rsidRPr="00AD36AE">
        <w:rPr>
          <w:rFonts w:ascii="Arial" w:eastAsia="Arial" w:hAnsi="Arial" w:cs="Arial"/>
          <w:color w:val="000000"/>
          <w:sz w:val="24"/>
          <w:szCs w:val="24"/>
        </w:rPr>
        <w:t xml:space="preserve">n </w:t>
      </w:r>
      <w:r w:rsidR="00A70B23" w:rsidRPr="00AD36AE">
        <w:rPr>
          <w:rFonts w:ascii="Arial" w:eastAsia="Arial" w:hAnsi="Arial" w:cs="Arial"/>
          <w:color w:val="000000"/>
          <w:sz w:val="24"/>
          <w:szCs w:val="24"/>
        </w:rPr>
        <w:t xml:space="preserve">29 January 2020, Mazars delivered </w:t>
      </w:r>
      <w:r w:rsidR="000E2D00">
        <w:rPr>
          <w:rFonts w:ascii="Arial" w:eastAsia="Arial" w:hAnsi="Arial" w:cs="Arial"/>
          <w:color w:val="000000"/>
          <w:sz w:val="24"/>
          <w:szCs w:val="24"/>
        </w:rPr>
        <w:t>the</w:t>
      </w:r>
      <w:r w:rsidR="00A70B23" w:rsidRPr="00AD36AE">
        <w:rPr>
          <w:rFonts w:ascii="Arial" w:eastAsia="Arial" w:hAnsi="Arial" w:cs="Arial"/>
          <w:color w:val="000000"/>
          <w:sz w:val="24"/>
          <w:szCs w:val="24"/>
        </w:rPr>
        <w:t xml:space="preserve"> second notice to remove complaint in relation to the Amended Particulars of Claim</w:t>
      </w:r>
      <w:r w:rsidR="000E2D00">
        <w:rPr>
          <w:rStyle w:val="FootnoteReference"/>
          <w:rFonts w:ascii="Arial" w:eastAsia="Arial" w:hAnsi="Arial" w:cs="Arial"/>
          <w:color w:val="000000"/>
          <w:sz w:val="24"/>
          <w:szCs w:val="24"/>
        </w:rPr>
        <w:footnoteReference w:id="40"/>
      </w:r>
      <w:r w:rsidR="00FD32A1">
        <w:rPr>
          <w:rFonts w:ascii="Arial" w:eastAsia="Arial" w:hAnsi="Arial" w:cs="Arial"/>
          <w:color w:val="000000"/>
          <w:sz w:val="24"/>
          <w:szCs w:val="24"/>
        </w:rPr>
        <w:t xml:space="preserve">.  </w:t>
      </w:r>
      <w:r w:rsidR="00A70B23" w:rsidRPr="00FD32A1">
        <w:rPr>
          <w:rFonts w:ascii="Arial" w:eastAsia="Arial" w:hAnsi="Arial" w:cs="Arial"/>
          <w:color w:val="000000"/>
          <w:sz w:val="24"/>
          <w:szCs w:val="24"/>
        </w:rPr>
        <w:t xml:space="preserve">As revealed, Floorworx did not remove the causes of complaint as a result </w:t>
      </w:r>
      <w:r w:rsidR="00BF43A9" w:rsidRPr="00FD32A1">
        <w:rPr>
          <w:rFonts w:ascii="Arial" w:eastAsia="Arial" w:hAnsi="Arial" w:cs="Arial"/>
          <w:color w:val="000000"/>
          <w:sz w:val="24"/>
          <w:szCs w:val="24"/>
        </w:rPr>
        <w:t>of which it is common cause that the application in terms of Rule 30 was due to be delivered on 4 March 2020.  Furthermore, an</w:t>
      </w:r>
      <w:r w:rsidR="00790C51">
        <w:rPr>
          <w:rFonts w:ascii="Arial" w:eastAsia="Arial" w:hAnsi="Arial" w:cs="Arial"/>
          <w:color w:val="000000"/>
          <w:sz w:val="24"/>
          <w:szCs w:val="24"/>
        </w:rPr>
        <w:t>d</w:t>
      </w:r>
      <w:r w:rsidR="00BF43A9" w:rsidRPr="00FD32A1">
        <w:rPr>
          <w:rFonts w:ascii="Arial" w:eastAsia="Arial" w:hAnsi="Arial" w:cs="Arial"/>
          <w:color w:val="000000"/>
          <w:sz w:val="24"/>
          <w:szCs w:val="24"/>
        </w:rPr>
        <w:t xml:space="preserve"> although there is a d</w:t>
      </w:r>
      <w:r w:rsidR="00790C51">
        <w:rPr>
          <w:rFonts w:ascii="Arial" w:eastAsia="Arial" w:hAnsi="Arial" w:cs="Arial"/>
          <w:color w:val="000000"/>
          <w:sz w:val="24"/>
          <w:szCs w:val="24"/>
        </w:rPr>
        <w:t>ispute</w:t>
      </w:r>
      <w:r w:rsidR="00BF43A9" w:rsidRPr="00FD32A1">
        <w:rPr>
          <w:rFonts w:ascii="Arial" w:eastAsia="Arial" w:hAnsi="Arial" w:cs="Arial"/>
          <w:color w:val="000000"/>
          <w:sz w:val="24"/>
          <w:szCs w:val="24"/>
        </w:rPr>
        <w:t xml:space="preserve"> in relation thereto, but at the very least </w:t>
      </w:r>
      <w:r w:rsidR="00BF43A9" w:rsidRPr="00FD32A1">
        <w:rPr>
          <w:rFonts w:ascii="Arial" w:eastAsia="Arial" w:hAnsi="Arial" w:cs="Arial"/>
          <w:i/>
          <w:iCs/>
          <w:color w:val="000000"/>
          <w:sz w:val="24"/>
          <w:szCs w:val="24"/>
        </w:rPr>
        <w:t>prima facie</w:t>
      </w:r>
      <w:r w:rsidR="0090662C" w:rsidRPr="00FD32A1">
        <w:rPr>
          <w:rFonts w:ascii="Arial" w:eastAsia="Arial" w:hAnsi="Arial" w:cs="Arial"/>
          <w:color w:val="000000"/>
          <w:sz w:val="24"/>
          <w:szCs w:val="24"/>
        </w:rPr>
        <w:t xml:space="preserve"> having regard to the wording</w:t>
      </w:r>
      <w:r>
        <w:rPr>
          <w:rFonts w:ascii="Arial" w:eastAsia="Arial" w:hAnsi="Arial" w:cs="Arial"/>
          <w:color w:val="000000"/>
          <w:sz w:val="24"/>
          <w:szCs w:val="24"/>
        </w:rPr>
        <w:t>/language</w:t>
      </w:r>
      <w:r w:rsidR="0090662C" w:rsidRPr="00FD32A1">
        <w:rPr>
          <w:rFonts w:ascii="Arial" w:eastAsia="Arial" w:hAnsi="Arial" w:cs="Arial"/>
          <w:color w:val="000000"/>
          <w:sz w:val="24"/>
          <w:szCs w:val="24"/>
        </w:rPr>
        <w:t xml:space="preserve"> of the </w:t>
      </w:r>
      <w:r w:rsidR="0090662C" w:rsidRPr="00EA612D">
        <w:rPr>
          <w:rFonts w:ascii="Arial" w:eastAsia="Arial" w:hAnsi="Arial" w:cs="Arial"/>
          <w:i/>
          <w:color w:val="000000"/>
          <w:sz w:val="24"/>
          <w:szCs w:val="24"/>
        </w:rPr>
        <w:t>proviso</w:t>
      </w:r>
      <w:r w:rsidR="0090662C" w:rsidRPr="00FD32A1">
        <w:rPr>
          <w:rFonts w:ascii="Arial" w:eastAsia="Arial" w:hAnsi="Arial" w:cs="Arial"/>
          <w:color w:val="000000"/>
          <w:sz w:val="24"/>
          <w:szCs w:val="24"/>
        </w:rPr>
        <w:t xml:space="preserve"> to Rule 23(1), </w:t>
      </w:r>
      <w:r w:rsidR="00D42545" w:rsidRPr="00FD32A1">
        <w:rPr>
          <w:rFonts w:ascii="Arial" w:eastAsia="Arial" w:hAnsi="Arial" w:cs="Arial"/>
          <w:color w:val="000000"/>
          <w:sz w:val="24"/>
          <w:szCs w:val="24"/>
        </w:rPr>
        <w:t xml:space="preserve">the exceptions on vague and embarrassing grounds </w:t>
      </w:r>
      <w:r w:rsidR="00E42E43">
        <w:rPr>
          <w:rFonts w:ascii="Arial" w:eastAsia="Arial" w:hAnsi="Arial" w:cs="Arial"/>
          <w:color w:val="000000"/>
          <w:sz w:val="24"/>
          <w:szCs w:val="24"/>
        </w:rPr>
        <w:t>were</w:t>
      </w:r>
      <w:r w:rsidR="00D42545" w:rsidRPr="00FD32A1">
        <w:rPr>
          <w:rFonts w:ascii="Arial" w:eastAsia="Arial" w:hAnsi="Arial" w:cs="Arial"/>
          <w:color w:val="000000"/>
          <w:sz w:val="24"/>
          <w:szCs w:val="24"/>
        </w:rPr>
        <w:t xml:space="preserve"> due on 11 March 2020</w:t>
      </w:r>
      <w:r w:rsidR="00E42E43">
        <w:rPr>
          <w:rFonts w:ascii="Arial" w:eastAsia="Arial" w:hAnsi="Arial" w:cs="Arial"/>
          <w:color w:val="000000"/>
          <w:sz w:val="24"/>
          <w:szCs w:val="24"/>
        </w:rPr>
        <w:t xml:space="preserve"> [It is</w:t>
      </w:r>
      <w:r>
        <w:rPr>
          <w:rFonts w:ascii="Arial" w:eastAsia="Arial" w:hAnsi="Arial" w:cs="Arial"/>
          <w:color w:val="000000"/>
          <w:sz w:val="24"/>
          <w:szCs w:val="24"/>
        </w:rPr>
        <w:t xml:space="preserve"> also</w:t>
      </w:r>
      <w:r w:rsidR="00E42E43">
        <w:rPr>
          <w:rFonts w:ascii="Arial" w:eastAsia="Arial" w:hAnsi="Arial" w:cs="Arial"/>
          <w:color w:val="000000"/>
          <w:sz w:val="24"/>
          <w:szCs w:val="24"/>
        </w:rPr>
        <w:t xml:space="preserve"> apparent when comparing the first notice to remove complaint with the second notice to remove complaint that they are in many respects similar]</w:t>
      </w:r>
      <w:r w:rsidR="00687EF4" w:rsidRPr="00FD32A1">
        <w:rPr>
          <w:rFonts w:ascii="Arial" w:eastAsia="Arial" w:hAnsi="Arial" w:cs="Arial"/>
          <w:color w:val="000000"/>
          <w:sz w:val="24"/>
          <w:szCs w:val="24"/>
        </w:rPr>
        <w:t>;</w:t>
      </w:r>
    </w:p>
    <w:p w14:paraId="5341F379" w14:textId="77777777" w:rsidR="00687EF4" w:rsidRDefault="00687EF4"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6E8F133B" w14:textId="071F66BD" w:rsidR="00687EF4" w:rsidRPr="001A0EA0" w:rsidRDefault="005330CC" w:rsidP="001A0EA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41</w:t>
      </w:r>
      <w:r w:rsidR="001A0EA0">
        <w:rPr>
          <w:rFonts w:ascii="Arial" w:eastAsia="Arial" w:hAnsi="Arial" w:cs="Arial"/>
          <w:color w:val="000000"/>
          <w:sz w:val="24"/>
          <w:szCs w:val="24"/>
        </w:rPr>
        <w:t>.7</w:t>
      </w:r>
      <w:r w:rsidR="001A0EA0">
        <w:rPr>
          <w:rFonts w:ascii="Arial" w:eastAsia="Arial" w:hAnsi="Arial" w:cs="Arial"/>
          <w:color w:val="000000"/>
          <w:sz w:val="24"/>
          <w:szCs w:val="24"/>
        </w:rPr>
        <w:tab/>
      </w:r>
      <w:r>
        <w:rPr>
          <w:rFonts w:ascii="Arial" w:eastAsia="Arial" w:hAnsi="Arial" w:cs="Arial"/>
          <w:color w:val="000000"/>
          <w:sz w:val="24"/>
          <w:szCs w:val="24"/>
        </w:rPr>
        <w:t>t</w:t>
      </w:r>
      <w:r w:rsidR="00794D74" w:rsidRPr="001A0EA0">
        <w:rPr>
          <w:rFonts w:ascii="Arial" w:eastAsia="Arial" w:hAnsi="Arial" w:cs="Arial"/>
          <w:color w:val="000000"/>
          <w:sz w:val="24"/>
          <w:szCs w:val="24"/>
        </w:rPr>
        <w:t xml:space="preserve">hereafter nothing happened until May 2021. On 18 May 2021, WW approached FMM in an attempt to have Floorworx’s action against Mazars </w:t>
      </w:r>
      <w:r w:rsidR="00B74D64">
        <w:rPr>
          <w:rFonts w:ascii="Arial" w:eastAsia="Arial" w:hAnsi="Arial" w:cs="Arial"/>
          <w:color w:val="000000"/>
          <w:sz w:val="24"/>
          <w:szCs w:val="24"/>
        </w:rPr>
        <w:t>(</w:t>
      </w:r>
      <w:r w:rsidR="00794D74" w:rsidRPr="001A0EA0">
        <w:rPr>
          <w:rFonts w:ascii="Arial" w:eastAsia="Arial" w:hAnsi="Arial" w:cs="Arial"/>
          <w:color w:val="000000"/>
          <w:sz w:val="24"/>
          <w:szCs w:val="24"/>
        </w:rPr>
        <w:t>and the other defendants</w:t>
      </w:r>
      <w:r w:rsidR="00B74D64">
        <w:rPr>
          <w:rFonts w:ascii="Arial" w:eastAsia="Arial" w:hAnsi="Arial" w:cs="Arial"/>
          <w:color w:val="000000"/>
          <w:sz w:val="24"/>
          <w:szCs w:val="24"/>
        </w:rPr>
        <w:t>)</w:t>
      </w:r>
      <w:r w:rsidR="00794D74" w:rsidRPr="001A0EA0">
        <w:rPr>
          <w:rFonts w:ascii="Arial" w:eastAsia="Arial" w:hAnsi="Arial" w:cs="Arial"/>
          <w:color w:val="000000"/>
          <w:sz w:val="24"/>
          <w:szCs w:val="24"/>
        </w:rPr>
        <w:t xml:space="preserve"> withdrawn</w:t>
      </w:r>
      <w:r w:rsidR="00F94361">
        <w:rPr>
          <w:rStyle w:val="FootnoteReference"/>
          <w:rFonts w:ascii="Arial" w:eastAsia="Arial" w:hAnsi="Arial" w:cs="Arial"/>
          <w:color w:val="000000"/>
          <w:sz w:val="24"/>
          <w:szCs w:val="24"/>
        </w:rPr>
        <w:footnoteReference w:id="41"/>
      </w:r>
      <w:r w:rsidR="00F94361" w:rsidRPr="001A0EA0">
        <w:rPr>
          <w:rFonts w:ascii="Arial" w:eastAsia="Arial" w:hAnsi="Arial" w:cs="Arial"/>
          <w:color w:val="000000"/>
          <w:sz w:val="24"/>
          <w:szCs w:val="24"/>
        </w:rPr>
        <w:t>;</w:t>
      </w:r>
    </w:p>
    <w:p w14:paraId="712E80F3" w14:textId="77777777" w:rsidR="00F94361" w:rsidRDefault="00F94361" w:rsidP="003D12F6">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007E68B7" w14:textId="60C438A4" w:rsidR="00F94361" w:rsidRDefault="00B74D64" w:rsidP="001A0EA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41</w:t>
      </w:r>
      <w:r w:rsidR="001A0EA0">
        <w:rPr>
          <w:rFonts w:ascii="Arial" w:eastAsia="Arial" w:hAnsi="Arial" w:cs="Arial"/>
          <w:color w:val="000000"/>
          <w:sz w:val="24"/>
          <w:szCs w:val="24"/>
        </w:rPr>
        <w:t>.8</w:t>
      </w:r>
      <w:r w:rsidR="001A0EA0">
        <w:rPr>
          <w:rFonts w:ascii="Arial" w:eastAsia="Arial" w:hAnsi="Arial" w:cs="Arial"/>
          <w:color w:val="000000"/>
          <w:sz w:val="24"/>
          <w:szCs w:val="24"/>
        </w:rPr>
        <w:tab/>
      </w:r>
      <w:r>
        <w:rPr>
          <w:rFonts w:ascii="Arial" w:eastAsia="Arial" w:hAnsi="Arial" w:cs="Arial"/>
          <w:color w:val="000000"/>
          <w:sz w:val="24"/>
          <w:szCs w:val="24"/>
        </w:rPr>
        <w:t>o</w:t>
      </w:r>
      <w:r w:rsidR="00F94361" w:rsidRPr="001A0EA0">
        <w:rPr>
          <w:rFonts w:ascii="Arial" w:eastAsia="Arial" w:hAnsi="Arial" w:cs="Arial"/>
          <w:color w:val="000000"/>
          <w:sz w:val="24"/>
          <w:szCs w:val="24"/>
        </w:rPr>
        <w:t xml:space="preserve">n 31 May 2021, FMM responded to WW that the action should proceed and that it appeared to them that Mazars were out of time to deliver the exceptions and/or the application in terms of Rule 30.  Accordingly, FMM requested that Mazars deliver </w:t>
      </w:r>
      <w:r>
        <w:rPr>
          <w:rFonts w:ascii="Arial" w:eastAsia="Arial" w:hAnsi="Arial" w:cs="Arial"/>
          <w:color w:val="000000"/>
          <w:sz w:val="24"/>
          <w:szCs w:val="24"/>
        </w:rPr>
        <w:t xml:space="preserve">its </w:t>
      </w:r>
      <w:r w:rsidR="00F94361" w:rsidRPr="001A0EA0">
        <w:rPr>
          <w:rFonts w:ascii="Arial" w:eastAsia="Arial" w:hAnsi="Arial" w:cs="Arial"/>
          <w:color w:val="000000"/>
          <w:sz w:val="24"/>
          <w:szCs w:val="24"/>
        </w:rPr>
        <w:t>Plea</w:t>
      </w:r>
      <w:r w:rsidR="00B145FD">
        <w:rPr>
          <w:rStyle w:val="FootnoteReference"/>
          <w:rFonts w:ascii="Arial" w:eastAsia="Arial" w:hAnsi="Arial" w:cs="Arial"/>
          <w:color w:val="000000"/>
          <w:sz w:val="24"/>
          <w:szCs w:val="24"/>
        </w:rPr>
        <w:footnoteReference w:id="42"/>
      </w:r>
      <w:r w:rsidR="00437400">
        <w:rPr>
          <w:rFonts w:ascii="Arial" w:eastAsia="Arial" w:hAnsi="Arial" w:cs="Arial"/>
          <w:color w:val="000000"/>
          <w:sz w:val="24"/>
          <w:szCs w:val="24"/>
        </w:rPr>
        <w:t>;</w:t>
      </w:r>
    </w:p>
    <w:p w14:paraId="16DE452C" w14:textId="77777777" w:rsidR="00437400" w:rsidRDefault="00437400" w:rsidP="001A0EA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5713E866" w14:textId="7F515393" w:rsidR="00437400" w:rsidRDefault="00B74D64" w:rsidP="001A0EA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41.9</w:t>
      </w:r>
      <w:r>
        <w:rPr>
          <w:rFonts w:ascii="Arial" w:eastAsia="Arial" w:hAnsi="Arial" w:cs="Arial"/>
          <w:color w:val="000000"/>
          <w:sz w:val="24"/>
          <w:szCs w:val="24"/>
        </w:rPr>
        <w:tab/>
        <w:t>a</w:t>
      </w:r>
      <w:r w:rsidR="00437400">
        <w:rPr>
          <w:rFonts w:ascii="Arial" w:eastAsia="Arial" w:hAnsi="Arial" w:cs="Arial"/>
          <w:color w:val="000000"/>
          <w:sz w:val="24"/>
          <w:szCs w:val="24"/>
        </w:rPr>
        <w:t xml:space="preserve">fter receipt of the aforesaid response, Mazars resolved to deliver the exceptions and the application in terms of Rule 30.  However, it was delayed by the fact that the husband of the attending </w:t>
      </w:r>
      <w:r w:rsidR="0026066C">
        <w:rPr>
          <w:rFonts w:ascii="Arial" w:eastAsia="Arial" w:hAnsi="Arial" w:cs="Arial"/>
          <w:color w:val="000000"/>
          <w:sz w:val="24"/>
          <w:szCs w:val="24"/>
        </w:rPr>
        <w:t>attorney on behalf of WW passed away in hospital on 1 July 2021 after having fallen ill with Covid-19</w:t>
      </w:r>
      <w:r w:rsidR="0026066C">
        <w:rPr>
          <w:rStyle w:val="FootnoteReference"/>
          <w:rFonts w:ascii="Arial" w:eastAsia="Arial" w:hAnsi="Arial" w:cs="Arial"/>
          <w:color w:val="000000"/>
          <w:sz w:val="24"/>
          <w:szCs w:val="24"/>
        </w:rPr>
        <w:footnoteReference w:id="43"/>
      </w:r>
      <w:r w:rsidR="00C35F97">
        <w:rPr>
          <w:rFonts w:ascii="Arial" w:eastAsia="Arial" w:hAnsi="Arial" w:cs="Arial"/>
          <w:color w:val="000000"/>
          <w:sz w:val="24"/>
          <w:szCs w:val="24"/>
        </w:rPr>
        <w:t>;</w:t>
      </w:r>
    </w:p>
    <w:p w14:paraId="79A0C90B" w14:textId="77777777" w:rsidR="00C35F97" w:rsidRDefault="00C35F97" w:rsidP="001A0EA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47544DC6" w14:textId="6DB00071" w:rsidR="00C35F97" w:rsidRDefault="00B74D64" w:rsidP="001A0EA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41</w:t>
      </w:r>
      <w:r w:rsidR="00C35F97">
        <w:rPr>
          <w:rFonts w:ascii="Arial" w:eastAsia="Arial" w:hAnsi="Arial" w:cs="Arial"/>
          <w:color w:val="000000"/>
          <w:sz w:val="24"/>
          <w:szCs w:val="24"/>
        </w:rPr>
        <w:t>.10</w:t>
      </w:r>
      <w:r w:rsidR="00C35F97">
        <w:rPr>
          <w:rFonts w:ascii="Arial" w:eastAsia="Arial" w:hAnsi="Arial" w:cs="Arial"/>
          <w:color w:val="000000"/>
          <w:sz w:val="24"/>
          <w:szCs w:val="24"/>
        </w:rPr>
        <w:tab/>
      </w:r>
      <w:r>
        <w:rPr>
          <w:rFonts w:ascii="Arial" w:eastAsia="Arial" w:hAnsi="Arial" w:cs="Arial"/>
          <w:color w:val="000000"/>
          <w:sz w:val="24"/>
          <w:szCs w:val="24"/>
        </w:rPr>
        <w:t>o</w:t>
      </w:r>
      <w:r w:rsidR="00704F49">
        <w:rPr>
          <w:rFonts w:ascii="Arial" w:eastAsia="Arial" w:hAnsi="Arial" w:cs="Arial"/>
          <w:color w:val="000000"/>
          <w:sz w:val="24"/>
          <w:szCs w:val="24"/>
        </w:rPr>
        <w:t xml:space="preserve">n </w:t>
      </w:r>
      <w:r w:rsidR="00E11591">
        <w:rPr>
          <w:rFonts w:ascii="Arial" w:eastAsia="Arial" w:hAnsi="Arial" w:cs="Arial"/>
          <w:color w:val="000000"/>
          <w:sz w:val="24"/>
          <w:szCs w:val="24"/>
        </w:rPr>
        <w:t xml:space="preserve">5 July 2021, FMM directed an email to WW requesting that Mazars </w:t>
      </w:r>
      <w:r w:rsidR="00D5602F">
        <w:rPr>
          <w:rFonts w:ascii="Arial" w:eastAsia="Arial" w:hAnsi="Arial" w:cs="Arial"/>
          <w:color w:val="000000"/>
          <w:sz w:val="24"/>
          <w:szCs w:val="24"/>
        </w:rPr>
        <w:t>deliver its Plea within five days, failing which FMM would deliver a notice of bar.  On the same day, WW responded that the attending</w:t>
      </w:r>
      <w:r>
        <w:rPr>
          <w:rFonts w:ascii="Arial" w:eastAsia="Arial" w:hAnsi="Arial" w:cs="Arial"/>
          <w:color w:val="000000"/>
          <w:sz w:val="24"/>
          <w:szCs w:val="24"/>
        </w:rPr>
        <w:t xml:space="preserve"> attorney</w:t>
      </w:r>
      <w:r w:rsidR="00D5602F">
        <w:rPr>
          <w:rFonts w:ascii="Arial" w:eastAsia="Arial" w:hAnsi="Arial" w:cs="Arial"/>
          <w:color w:val="000000"/>
          <w:sz w:val="24"/>
          <w:szCs w:val="24"/>
        </w:rPr>
        <w:t xml:space="preserve"> </w:t>
      </w:r>
      <w:r w:rsidR="000B3FF3">
        <w:rPr>
          <w:rFonts w:ascii="Arial" w:eastAsia="Arial" w:hAnsi="Arial" w:cs="Arial"/>
          <w:color w:val="000000"/>
          <w:sz w:val="24"/>
          <w:szCs w:val="24"/>
        </w:rPr>
        <w:t xml:space="preserve">was unable to </w:t>
      </w:r>
      <w:r>
        <w:rPr>
          <w:rFonts w:ascii="Arial" w:eastAsia="Arial" w:hAnsi="Arial" w:cs="Arial"/>
          <w:color w:val="000000"/>
          <w:sz w:val="24"/>
          <w:szCs w:val="24"/>
        </w:rPr>
        <w:t xml:space="preserve">do so </w:t>
      </w:r>
      <w:r w:rsidR="000B3FF3">
        <w:rPr>
          <w:rFonts w:ascii="Arial" w:eastAsia="Arial" w:hAnsi="Arial" w:cs="Arial"/>
          <w:color w:val="000000"/>
          <w:sz w:val="24"/>
          <w:szCs w:val="24"/>
        </w:rPr>
        <w:t>due to the passing of her spouse and requested</w:t>
      </w:r>
      <w:r>
        <w:rPr>
          <w:rFonts w:ascii="Arial" w:eastAsia="Arial" w:hAnsi="Arial" w:cs="Arial"/>
          <w:color w:val="000000"/>
          <w:sz w:val="24"/>
          <w:szCs w:val="24"/>
        </w:rPr>
        <w:t xml:space="preserve"> FMM</w:t>
      </w:r>
      <w:r w:rsidR="000B3FF3">
        <w:rPr>
          <w:rFonts w:ascii="Arial" w:eastAsia="Arial" w:hAnsi="Arial" w:cs="Arial"/>
          <w:color w:val="000000"/>
          <w:sz w:val="24"/>
          <w:szCs w:val="24"/>
        </w:rPr>
        <w:t xml:space="preserve"> not to issue a notice of bar.  On the same date, FMM agreed not to do so</w:t>
      </w:r>
      <w:r w:rsidR="0080522D">
        <w:rPr>
          <w:rStyle w:val="FootnoteReference"/>
          <w:rFonts w:ascii="Arial" w:eastAsia="Arial" w:hAnsi="Arial" w:cs="Arial"/>
          <w:color w:val="000000"/>
          <w:sz w:val="24"/>
          <w:szCs w:val="24"/>
        </w:rPr>
        <w:footnoteReference w:id="44"/>
      </w:r>
      <w:r w:rsidR="0080522D">
        <w:rPr>
          <w:rFonts w:ascii="Arial" w:eastAsia="Arial" w:hAnsi="Arial" w:cs="Arial"/>
          <w:color w:val="000000"/>
          <w:sz w:val="24"/>
          <w:szCs w:val="24"/>
        </w:rPr>
        <w:t>;</w:t>
      </w:r>
    </w:p>
    <w:p w14:paraId="5C7DC95E" w14:textId="77777777" w:rsidR="0080522D" w:rsidRDefault="0080522D" w:rsidP="001A0EA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6AFB8D46" w14:textId="2019222D" w:rsidR="0080522D" w:rsidRDefault="00B74D64" w:rsidP="001A0EA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41</w:t>
      </w:r>
      <w:r w:rsidR="0080522D">
        <w:rPr>
          <w:rFonts w:ascii="Arial" w:eastAsia="Arial" w:hAnsi="Arial" w:cs="Arial"/>
          <w:color w:val="000000"/>
          <w:sz w:val="24"/>
          <w:szCs w:val="24"/>
        </w:rPr>
        <w:t>.11</w:t>
      </w:r>
      <w:r w:rsidR="0080522D">
        <w:rPr>
          <w:rFonts w:ascii="Arial" w:eastAsia="Arial" w:hAnsi="Arial" w:cs="Arial"/>
          <w:color w:val="000000"/>
          <w:sz w:val="24"/>
          <w:szCs w:val="24"/>
        </w:rPr>
        <w:tab/>
      </w:r>
      <w:r>
        <w:rPr>
          <w:rFonts w:ascii="Arial" w:eastAsia="Arial" w:hAnsi="Arial" w:cs="Arial"/>
          <w:color w:val="000000"/>
          <w:sz w:val="24"/>
          <w:szCs w:val="24"/>
        </w:rPr>
        <w:t>i</w:t>
      </w:r>
      <w:r w:rsidR="00041B9E">
        <w:rPr>
          <w:rFonts w:ascii="Arial" w:eastAsia="Arial" w:hAnsi="Arial" w:cs="Arial"/>
          <w:color w:val="000000"/>
          <w:sz w:val="24"/>
          <w:szCs w:val="24"/>
        </w:rPr>
        <w:t>t was only during the week</w:t>
      </w:r>
      <w:r w:rsidR="00EA612D">
        <w:rPr>
          <w:rFonts w:ascii="Arial" w:eastAsia="Arial" w:hAnsi="Arial" w:cs="Arial"/>
          <w:color w:val="000000"/>
          <w:sz w:val="24"/>
          <w:szCs w:val="24"/>
        </w:rPr>
        <w:t xml:space="preserve"> of 19 July 2021</w:t>
      </w:r>
      <w:r w:rsidR="00F745C5">
        <w:rPr>
          <w:rFonts w:ascii="Arial" w:eastAsia="Arial" w:hAnsi="Arial" w:cs="Arial"/>
          <w:color w:val="000000"/>
          <w:sz w:val="24"/>
          <w:szCs w:val="24"/>
        </w:rPr>
        <w:t xml:space="preserve"> that</w:t>
      </w:r>
      <w:r w:rsidR="00080690">
        <w:rPr>
          <w:rFonts w:ascii="Arial" w:eastAsia="Arial" w:hAnsi="Arial" w:cs="Arial"/>
          <w:color w:val="000000"/>
          <w:sz w:val="24"/>
          <w:szCs w:val="24"/>
        </w:rPr>
        <w:t xml:space="preserve"> the attending attorney was able to attend to</w:t>
      </w:r>
      <w:r w:rsidR="00EA612D">
        <w:rPr>
          <w:rFonts w:ascii="Arial" w:eastAsia="Arial" w:hAnsi="Arial" w:cs="Arial"/>
          <w:color w:val="000000"/>
          <w:sz w:val="24"/>
          <w:szCs w:val="24"/>
        </w:rPr>
        <w:t xml:space="preserve"> and deal with</w:t>
      </w:r>
      <w:r w:rsidR="00080690">
        <w:rPr>
          <w:rFonts w:ascii="Arial" w:eastAsia="Arial" w:hAnsi="Arial" w:cs="Arial"/>
          <w:color w:val="000000"/>
          <w:sz w:val="24"/>
          <w:szCs w:val="24"/>
        </w:rPr>
        <w:t xml:space="preserve"> the matter</w:t>
      </w:r>
      <w:r w:rsidR="00080690">
        <w:rPr>
          <w:rStyle w:val="FootnoteReference"/>
          <w:rFonts w:ascii="Arial" w:eastAsia="Arial" w:hAnsi="Arial" w:cs="Arial"/>
          <w:color w:val="000000"/>
          <w:sz w:val="24"/>
          <w:szCs w:val="24"/>
        </w:rPr>
        <w:footnoteReference w:id="45"/>
      </w:r>
      <w:r w:rsidR="00080690">
        <w:rPr>
          <w:rFonts w:ascii="Arial" w:eastAsia="Arial" w:hAnsi="Arial" w:cs="Arial"/>
          <w:color w:val="000000"/>
          <w:sz w:val="24"/>
          <w:szCs w:val="24"/>
        </w:rPr>
        <w:t>;</w:t>
      </w:r>
    </w:p>
    <w:p w14:paraId="0C3703BD" w14:textId="77777777" w:rsidR="00080690" w:rsidRDefault="00080690" w:rsidP="001A0EA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03ACBDB7" w14:textId="1445F245" w:rsidR="00080690" w:rsidRDefault="00B74D64" w:rsidP="001A0EA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41.12</w:t>
      </w:r>
      <w:r>
        <w:rPr>
          <w:rFonts w:ascii="Arial" w:eastAsia="Arial" w:hAnsi="Arial" w:cs="Arial"/>
          <w:color w:val="000000"/>
          <w:sz w:val="24"/>
          <w:szCs w:val="24"/>
        </w:rPr>
        <w:tab/>
        <w:t>o</w:t>
      </w:r>
      <w:r w:rsidR="00080690">
        <w:rPr>
          <w:rFonts w:ascii="Arial" w:eastAsia="Arial" w:hAnsi="Arial" w:cs="Arial"/>
          <w:color w:val="000000"/>
          <w:sz w:val="24"/>
          <w:szCs w:val="24"/>
        </w:rPr>
        <w:t xml:space="preserve">n 3 August 2021, Floorworx caused to be </w:t>
      </w:r>
      <w:r>
        <w:rPr>
          <w:rFonts w:ascii="Arial" w:eastAsia="Arial" w:hAnsi="Arial" w:cs="Arial"/>
          <w:color w:val="000000"/>
          <w:sz w:val="24"/>
          <w:szCs w:val="24"/>
        </w:rPr>
        <w:t>delivered on Mazars a notice of b</w:t>
      </w:r>
      <w:r w:rsidR="00872E24">
        <w:rPr>
          <w:rFonts w:ascii="Arial" w:eastAsia="Arial" w:hAnsi="Arial" w:cs="Arial"/>
          <w:color w:val="000000"/>
          <w:sz w:val="24"/>
          <w:szCs w:val="24"/>
        </w:rPr>
        <w:t>ar calling on Mazars to deliver its Plea within five days after receipt thereof</w:t>
      </w:r>
      <w:r w:rsidR="00872E24">
        <w:rPr>
          <w:rStyle w:val="FootnoteReference"/>
          <w:rFonts w:ascii="Arial" w:eastAsia="Arial" w:hAnsi="Arial" w:cs="Arial"/>
          <w:color w:val="000000"/>
          <w:sz w:val="24"/>
          <w:szCs w:val="24"/>
        </w:rPr>
        <w:footnoteReference w:id="46"/>
      </w:r>
      <w:r w:rsidR="00F97B20">
        <w:rPr>
          <w:rFonts w:ascii="Arial" w:eastAsia="Arial" w:hAnsi="Arial" w:cs="Arial"/>
          <w:color w:val="000000"/>
          <w:sz w:val="24"/>
          <w:szCs w:val="24"/>
        </w:rPr>
        <w:t>;</w:t>
      </w:r>
      <w:r w:rsidR="00872E24">
        <w:rPr>
          <w:rFonts w:ascii="Arial" w:eastAsia="Arial" w:hAnsi="Arial" w:cs="Arial"/>
          <w:color w:val="000000"/>
          <w:sz w:val="24"/>
          <w:szCs w:val="24"/>
        </w:rPr>
        <w:t xml:space="preserve"> and</w:t>
      </w:r>
    </w:p>
    <w:p w14:paraId="245C79B4" w14:textId="77777777" w:rsidR="00F97B20" w:rsidRDefault="00F97B20" w:rsidP="001A0EA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6B9232CD" w14:textId="1CD35A59" w:rsidR="00F97B20" w:rsidRPr="00530F5F" w:rsidRDefault="00B74D64" w:rsidP="001A0EA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41.13</w:t>
      </w:r>
      <w:r>
        <w:rPr>
          <w:rFonts w:ascii="Arial" w:eastAsia="Arial" w:hAnsi="Arial" w:cs="Arial"/>
          <w:color w:val="000000"/>
          <w:sz w:val="24"/>
          <w:szCs w:val="24"/>
        </w:rPr>
        <w:tab/>
        <w:t>s</w:t>
      </w:r>
      <w:r w:rsidR="00F97B20">
        <w:rPr>
          <w:rFonts w:ascii="Arial" w:eastAsia="Arial" w:hAnsi="Arial" w:cs="Arial"/>
          <w:color w:val="000000"/>
          <w:sz w:val="24"/>
          <w:szCs w:val="24"/>
        </w:rPr>
        <w:t xml:space="preserve">ubsequent to the notice of bar, but also on 3 August 2021, Mazars caused to be delivered the </w:t>
      </w:r>
      <w:r w:rsidR="00530F5F">
        <w:rPr>
          <w:rFonts w:ascii="Arial" w:eastAsia="Arial" w:hAnsi="Arial" w:cs="Arial"/>
          <w:color w:val="000000"/>
          <w:sz w:val="24"/>
          <w:szCs w:val="24"/>
        </w:rPr>
        <w:t xml:space="preserve">pleadings and applications identified in paragraph 6 </w:t>
      </w:r>
      <w:r w:rsidR="00530F5F">
        <w:rPr>
          <w:rFonts w:ascii="Arial" w:eastAsia="Arial" w:hAnsi="Arial" w:cs="Arial"/>
          <w:i/>
          <w:iCs/>
          <w:color w:val="000000"/>
          <w:sz w:val="24"/>
          <w:szCs w:val="24"/>
        </w:rPr>
        <w:t>supra</w:t>
      </w:r>
      <w:r w:rsidR="00530F5F">
        <w:rPr>
          <w:rFonts w:ascii="Arial" w:eastAsia="Arial" w:hAnsi="Arial" w:cs="Arial"/>
          <w:color w:val="000000"/>
          <w:sz w:val="24"/>
          <w:szCs w:val="24"/>
        </w:rPr>
        <w:t>.</w:t>
      </w:r>
    </w:p>
    <w:p w14:paraId="114184C8" w14:textId="77777777" w:rsidR="00530F5F" w:rsidRDefault="00530F5F" w:rsidP="00530F5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98FADEC" w14:textId="6FE7D948" w:rsidR="00530F5F"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42.</w:t>
      </w:r>
      <w:r>
        <w:rPr>
          <w:rFonts w:ascii="Arial" w:eastAsia="Arial" w:hAnsi="Arial" w:cs="Arial"/>
          <w:color w:val="000000"/>
          <w:sz w:val="24"/>
          <w:szCs w:val="24"/>
        </w:rPr>
        <w:tab/>
      </w:r>
      <w:r w:rsidR="00865177" w:rsidRPr="00A55D51">
        <w:rPr>
          <w:rFonts w:ascii="Arial" w:eastAsia="Arial" w:hAnsi="Arial" w:cs="Arial"/>
          <w:color w:val="000000"/>
          <w:sz w:val="24"/>
          <w:szCs w:val="24"/>
        </w:rPr>
        <w:t xml:space="preserve">In essence, Mazars contends that good cause has been shown for condonation due to, </w:t>
      </w:r>
      <w:r w:rsidR="00865177" w:rsidRPr="00A55D51">
        <w:rPr>
          <w:rFonts w:ascii="Arial" w:eastAsia="Arial" w:hAnsi="Arial" w:cs="Arial"/>
          <w:i/>
          <w:iCs/>
          <w:color w:val="000000"/>
          <w:sz w:val="24"/>
          <w:szCs w:val="24"/>
        </w:rPr>
        <w:t>inter alia</w:t>
      </w:r>
      <w:r w:rsidR="00865177" w:rsidRPr="00A55D51">
        <w:rPr>
          <w:rFonts w:ascii="Arial" w:eastAsia="Arial" w:hAnsi="Arial" w:cs="Arial"/>
          <w:color w:val="000000"/>
          <w:sz w:val="24"/>
          <w:szCs w:val="24"/>
        </w:rPr>
        <w:t>, the following:-</w:t>
      </w:r>
    </w:p>
    <w:p w14:paraId="0DC508AB" w14:textId="77777777" w:rsidR="004F75F3" w:rsidRDefault="004F75F3" w:rsidP="004F75F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63F76CA" w14:textId="01B0686F" w:rsidR="004F75F3" w:rsidRDefault="00B74D64" w:rsidP="00CD596F">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42.1</w:t>
      </w:r>
      <w:r>
        <w:rPr>
          <w:rFonts w:ascii="Arial" w:eastAsia="Arial" w:hAnsi="Arial" w:cs="Arial"/>
          <w:color w:val="000000"/>
          <w:sz w:val="24"/>
          <w:szCs w:val="24"/>
        </w:rPr>
        <w:tab/>
        <w:t>b</w:t>
      </w:r>
      <w:r w:rsidR="004F75F3">
        <w:rPr>
          <w:rFonts w:ascii="Arial" w:eastAsia="Arial" w:hAnsi="Arial" w:cs="Arial"/>
          <w:color w:val="000000"/>
          <w:sz w:val="24"/>
          <w:szCs w:val="24"/>
        </w:rPr>
        <w:t>ecause of the first notice to remove complaint which took Floorworx 9 (nine) months to deliver its N</w:t>
      </w:r>
      <w:r w:rsidR="00367A95">
        <w:rPr>
          <w:rFonts w:ascii="Arial" w:eastAsia="Arial" w:hAnsi="Arial" w:cs="Arial"/>
          <w:color w:val="000000"/>
          <w:sz w:val="24"/>
          <w:szCs w:val="24"/>
        </w:rPr>
        <w:t xml:space="preserve">otice of Intention to Amend, Mazars states </w:t>
      </w:r>
      <w:r w:rsidR="00CD596F">
        <w:rPr>
          <w:rFonts w:ascii="Arial" w:eastAsia="Arial" w:hAnsi="Arial" w:cs="Arial"/>
          <w:color w:val="000000"/>
          <w:sz w:val="24"/>
          <w:szCs w:val="24"/>
        </w:rPr>
        <w:t>that it was not unreasonable</w:t>
      </w:r>
      <w:r>
        <w:rPr>
          <w:rFonts w:ascii="Arial" w:eastAsia="Arial" w:hAnsi="Arial" w:cs="Arial"/>
          <w:color w:val="000000"/>
          <w:sz w:val="24"/>
          <w:szCs w:val="24"/>
        </w:rPr>
        <w:t xml:space="preserve"> for it</w:t>
      </w:r>
      <w:r w:rsidR="00CD596F">
        <w:rPr>
          <w:rFonts w:ascii="Arial" w:eastAsia="Arial" w:hAnsi="Arial" w:cs="Arial"/>
          <w:color w:val="000000"/>
          <w:sz w:val="24"/>
          <w:szCs w:val="24"/>
        </w:rPr>
        <w:t xml:space="preserve"> to assume that Floorworx would again take its time in doing so in respect of the second notice to remove complaint;</w:t>
      </w:r>
      <w:r>
        <w:rPr>
          <w:rFonts w:ascii="Arial" w:eastAsia="Arial" w:hAnsi="Arial" w:cs="Arial"/>
          <w:color w:val="000000"/>
          <w:sz w:val="24"/>
          <w:szCs w:val="24"/>
        </w:rPr>
        <w:t xml:space="preserve"> and</w:t>
      </w:r>
    </w:p>
    <w:p w14:paraId="3BD9AF37" w14:textId="77777777" w:rsidR="00CD596F" w:rsidRDefault="00CD596F" w:rsidP="004F75F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920832A" w14:textId="4F52E908" w:rsidR="00CD596F" w:rsidRDefault="00B74D64" w:rsidP="00E721AA">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42</w:t>
      </w:r>
      <w:r w:rsidR="00CD596F">
        <w:rPr>
          <w:rFonts w:ascii="Arial" w:eastAsia="Arial" w:hAnsi="Arial" w:cs="Arial"/>
          <w:color w:val="000000"/>
          <w:sz w:val="24"/>
          <w:szCs w:val="24"/>
        </w:rPr>
        <w:t>.2</w:t>
      </w:r>
      <w:r w:rsidR="00CD596F">
        <w:rPr>
          <w:rFonts w:ascii="Arial" w:eastAsia="Arial" w:hAnsi="Arial" w:cs="Arial"/>
          <w:color w:val="000000"/>
          <w:sz w:val="24"/>
          <w:szCs w:val="24"/>
        </w:rPr>
        <w:tab/>
      </w:r>
      <w:r>
        <w:rPr>
          <w:rFonts w:ascii="Arial" w:eastAsia="Arial" w:hAnsi="Arial" w:cs="Arial"/>
          <w:color w:val="000000"/>
          <w:sz w:val="24"/>
          <w:szCs w:val="24"/>
        </w:rPr>
        <w:t>g</w:t>
      </w:r>
      <w:r w:rsidR="00E721AA">
        <w:rPr>
          <w:rFonts w:ascii="Arial" w:eastAsia="Arial" w:hAnsi="Arial" w:cs="Arial"/>
          <w:color w:val="000000"/>
          <w:sz w:val="24"/>
          <w:szCs w:val="24"/>
        </w:rPr>
        <w:t>ranting condonation will not cause any prejudice to Floorworx and because Floorworx is in</w:t>
      </w:r>
      <w:r>
        <w:rPr>
          <w:rFonts w:ascii="Arial" w:eastAsia="Arial" w:hAnsi="Arial" w:cs="Arial"/>
          <w:color w:val="000000"/>
          <w:sz w:val="24"/>
          <w:szCs w:val="24"/>
        </w:rPr>
        <w:t xml:space="preserve"> no</w:t>
      </w:r>
      <w:r w:rsidR="00E721AA">
        <w:rPr>
          <w:rFonts w:ascii="Arial" w:eastAsia="Arial" w:hAnsi="Arial" w:cs="Arial"/>
          <w:color w:val="000000"/>
          <w:sz w:val="24"/>
          <w:szCs w:val="24"/>
        </w:rPr>
        <w:t xml:space="preserve"> hurry to progress the action, it is alleged that Floorworx cannot now claim to be prejudiced by the effluxion of time.  This stems from the fact that it was only on 31 May 2021 that Floorworx unequivocally </w:t>
      </w:r>
      <w:r w:rsidR="00666E18">
        <w:rPr>
          <w:rFonts w:ascii="Arial" w:eastAsia="Arial" w:hAnsi="Arial" w:cs="Arial"/>
          <w:color w:val="000000"/>
          <w:sz w:val="24"/>
          <w:szCs w:val="24"/>
        </w:rPr>
        <w:t>indicated that it wished to proceed with the action</w:t>
      </w:r>
      <w:r w:rsidR="00666E18">
        <w:rPr>
          <w:rStyle w:val="FootnoteReference"/>
          <w:rFonts w:ascii="Arial" w:eastAsia="Arial" w:hAnsi="Arial" w:cs="Arial"/>
          <w:color w:val="000000"/>
          <w:sz w:val="24"/>
          <w:szCs w:val="24"/>
        </w:rPr>
        <w:footnoteReference w:id="47"/>
      </w:r>
      <w:r w:rsidR="00666E18">
        <w:rPr>
          <w:rFonts w:ascii="Arial" w:eastAsia="Arial" w:hAnsi="Arial" w:cs="Arial"/>
          <w:color w:val="000000"/>
          <w:sz w:val="24"/>
          <w:szCs w:val="24"/>
        </w:rPr>
        <w:t>.</w:t>
      </w:r>
    </w:p>
    <w:p w14:paraId="0CBE4036" w14:textId="77777777" w:rsidR="004F75F3" w:rsidRDefault="004F75F3" w:rsidP="004F75F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5E8E895" w14:textId="6FE7D13C" w:rsidR="004F75F3"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43.</w:t>
      </w:r>
      <w:r>
        <w:rPr>
          <w:rFonts w:ascii="Arial" w:eastAsia="Arial" w:hAnsi="Arial" w:cs="Arial"/>
          <w:color w:val="000000"/>
          <w:sz w:val="24"/>
          <w:szCs w:val="24"/>
        </w:rPr>
        <w:tab/>
      </w:r>
      <w:r w:rsidR="00266A2A" w:rsidRPr="00A55D51">
        <w:rPr>
          <w:rFonts w:ascii="Arial" w:eastAsia="Arial" w:hAnsi="Arial" w:cs="Arial"/>
          <w:color w:val="000000"/>
          <w:sz w:val="24"/>
          <w:szCs w:val="24"/>
        </w:rPr>
        <w:t>The opposing contentions of Floorworx proceeded</w:t>
      </w:r>
      <w:r w:rsidR="00B74D64" w:rsidRPr="00A55D51">
        <w:rPr>
          <w:rFonts w:ascii="Arial" w:eastAsia="Arial" w:hAnsi="Arial" w:cs="Arial"/>
          <w:color w:val="000000"/>
          <w:sz w:val="24"/>
          <w:szCs w:val="24"/>
        </w:rPr>
        <w:t xml:space="preserve">, </w:t>
      </w:r>
      <w:r w:rsidR="00B74D64" w:rsidRPr="00A55D51">
        <w:rPr>
          <w:rFonts w:ascii="Arial" w:eastAsia="Arial" w:hAnsi="Arial" w:cs="Arial"/>
          <w:i/>
          <w:color w:val="000000"/>
          <w:sz w:val="24"/>
          <w:szCs w:val="24"/>
        </w:rPr>
        <w:t>inter alia</w:t>
      </w:r>
      <w:r w:rsidR="00B74D64" w:rsidRPr="00A55D51">
        <w:rPr>
          <w:rFonts w:ascii="Arial" w:eastAsia="Arial" w:hAnsi="Arial" w:cs="Arial"/>
          <w:color w:val="000000"/>
          <w:sz w:val="24"/>
          <w:szCs w:val="24"/>
        </w:rPr>
        <w:t>,</w:t>
      </w:r>
      <w:r w:rsidR="00266A2A" w:rsidRPr="00A55D51">
        <w:rPr>
          <w:rFonts w:ascii="Arial" w:eastAsia="Arial" w:hAnsi="Arial" w:cs="Arial"/>
          <w:color w:val="000000"/>
          <w:sz w:val="24"/>
          <w:szCs w:val="24"/>
        </w:rPr>
        <w:t xml:space="preserve"> </w:t>
      </w:r>
      <w:r w:rsidR="00B74D64" w:rsidRPr="00A55D51">
        <w:rPr>
          <w:rFonts w:ascii="Arial" w:eastAsia="Arial" w:hAnsi="Arial" w:cs="Arial"/>
          <w:color w:val="000000"/>
          <w:sz w:val="24"/>
          <w:szCs w:val="24"/>
        </w:rPr>
        <w:t>as follows</w:t>
      </w:r>
      <w:r w:rsidR="00266A2A" w:rsidRPr="00A55D51">
        <w:rPr>
          <w:rFonts w:ascii="Arial" w:eastAsia="Arial" w:hAnsi="Arial" w:cs="Arial"/>
          <w:color w:val="000000"/>
          <w:sz w:val="24"/>
          <w:szCs w:val="24"/>
        </w:rPr>
        <w:t>:-</w:t>
      </w:r>
    </w:p>
    <w:p w14:paraId="7E9358C6" w14:textId="77777777" w:rsidR="00266A2A" w:rsidRDefault="00266A2A" w:rsidP="00266A2A">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1A593F5" w14:textId="233DEE80" w:rsidR="00266A2A" w:rsidRDefault="00B74D64" w:rsidP="00B513F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43.1</w:t>
      </w:r>
      <w:r>
        <w:rPr>
          <w:rFonts w:ascii="Arial" w:eastAsia="Arial" w:hAnsi="Arial" w:cs="Arial"/>
          <w:color w:val="000000"/>
          <w:sz w:val="24"/>
          <w:szCs w:val="24"/>
        </w:rPr>
        <w:tab/>
        <w:t>n</w:t>
      </w:r>
      <w:r w:rsidR="00266A2A">
        <w:rPr>
          <w:rFonts w:ascii="Arial" w:eastAsia="Arial" w:hAnsi="Arial" w:cs="Arial"/>
          <w:color w:val="000000"/>
          <w:sz w:val="24"/>
          <w:szCs w:val="24"/>
        </w:rPr>
        <w:t xml:space="preserve">o good explanation for the delay has been given.  Essentially, Mazars relies on </w:t>
      </w:r>
      <w:r w:rsidR="00B513F6">
        <w:rPr>
          <w:rFonts w:ascii="Arial" w:eastAsia="Arial" w:hAnsi="Arial" w:cs="Arial"/>
          <w:color w:val="000000"/>
          <w:sz w:val="24"/>
          <w:szCs w:val="24"/>
        </w:rPr>
        <w:t>an assumption that Floorworx would take its time to remove the causes of complaint subsequent to the second notice to remove complaint.  Importantly, there is no basis provided for such assumption whatsoever</w:t>
      </w:r>
      <w:r w:rsidR="00B513F6">
        <w:rPr>
          <w:rStyle w:val="FootnoteReference"/>
          <w:rFonts w:ascii="Arial" w:eastAsia="Arial" w:hAnsi="Arial" w:cs="Arial"/>
          <w:color w:val="000000"/>
          <w:sz w:val="24"/>
          <w:szCs w:val="24"/>
        </w:rPr>
        <w:footnoteReference w:id="48"/>
      </w:r>
      <w:r w:rsidR="00B513F6">
        <w:rPr>
          <w:rFonts w:ascii="Arial" w:eastAsia="Arial" w:hAnsi="Arial" w:cs="Arial"/>
          <w:color w:val="000000"/>
          <w:sz w:val="24"/>
          <w:szCs w:val="24"/>
        </w:rPr>
        <w:t>;</w:t>
      </w:r>
    </w:p>
    <w:p w14:paraId="7C2FC4A2" w14:textId="77777777" w:rsidR="00B513F6" w:rsidRDefault="00B513F6" w:rsidP="00B513F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02894C21" w14:textId="06F6FE45" w:rsidR="00B513F6" w:rsidRDefault="00B74D64" w:rsidP="00B513F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43</w:t>
      </w:r>
      <w:r w:rsidR="00B513F6">
        <w:rPr>
          <w:rFonts w:ascii="Arial" w:eastAsia="Arial" w:hAnsi="Arial" w:cs="Arial"/>
          <w:color w:val="000000"/>
          <w:sz w:val="24"/>
          <w:szCs w:val="24"/>
        </w:rPr>
        <w:t>.2</w:t>
      </w:r>
      <w:r w:rsidR="00B513F6">
        <w:rPr>
          <w:rFonts w:ascii="Arial" w:eastAsia="Arial" w:hAnsi="Arial" w:cs="Arial"/>
          <w:color w:val="000000"/>
          <w:sz w:val="24"/>
          <w:szCs w:val="24"/>
        </w:rPr>
        <w:tab/>
      </w:r>
      <w:r>
        <w:rPr>
          <w:rFonts w:ascii="Arial" w:eastAsia="Arial" w:hAnsi="Arial" w:cs="Arial"/>
          <w:color w:val="000000"/>
          <w:sz w:val="24"/>
          <w:szCs w:val="24"/>
        </w:rPr>
        <w:t>t</w:t>
      </w:r>
      <w:r w:rsidR="00F9761D">
        <w:rPr>
          <w:rFonts w:ascii="Arial" w:eastAsia="Arial" w:hAnsi="Arial" w:cs="Arial"/>
          <w:color w:val="000000"/>
          <w:sz w:val="24"/>
          <w:szCs w:val="24"/>
        </w:rPr>
        <w:t xml:space="preserve">he period of delay is an inordinately </w:t>
      </w:r>
      <w:r w:rsidR="00CA737C">
        <w:rPr>
          <w:rFonts w:ascii="Arial" w:eastAsia="Arial" w:hAnsi="Arial" w:cs="Arial"/>
          <w:color w:val="000000"/>
          <w:sz w:val="24"/>
          <w:szCs w:val="24"/>
        </w:rPr>
        <w:t>long time and when the first notice to remove complaint is compared to the second notice to remove complaint it becomes apparent that there is a large overlap between the two.  More importantly</w:t>
      </w:r>
      <w:r w:rsidR="004F1B4B">
        <w:rPr>
          <w:rFonts w:ascii="Arial" w:eastAsia="Arial" w:hAnsi="Arial" w:cs="Arial"/>
          <w:color w:val="000000"/>
          <w:sz w:val="24"/>
          <w:szCs w:val="24"/>
        </w:rPr>
        <w:t xml:space="preserve"> however, is the fact that in response to the first notice, Floorworx (through FMM) informed WW that Floorworx intended to amend its Particulars of Claim</w:t>
      </w:r>
      <w:r w:rsidR="007570DF">
        <w:rPr>
          <w:rFonts w:ascii="Arial" w:eastAsia="Arial" w:hAnsi="Arial" w:cs="Arial"/>
          <w:color w:val="000000"/>
          <w:sz w:val="24"/>
          <w:szCs w:val="24"/>
        </w:rPr>
        <w:t xml:space="preserve"> – no such letter was sent in response to the second notice whatsoever.  Consequently, any assumption held</w:t>
      </w:r>
      <w:r w:rsidR="00EB3A38">
        <w:rPr>
          <w:rFonts w:ascii="Arial" w:eastAsia="Arial" w:hAnsi="Arial" w:cs="Arial"/>
          <w:color w:val="000000"/>
          <w:sz w:val="24"/>
          <w:szCs w:val="24"/>
        </w:rPr>
        <w:t xml:space="preserve"> was unreasonable and reckless in the circumstances; and</w:t>
      </w:r>
    </w:p>
    <w:p w14:paraId="63BBD4C2" w14:textId="77777777" w:rsidR="00EB3A38" w:rsidRDefault="00EB3A38" w:rsidP="00B513F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5B5E624F" w14:textId="33C2AD7D" w:rsidR="00EB3A38" w:rsidRDefault="00B74D64" w:rsidP="00B513F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43.3</w:t>
      </w:r>
      <w:r>
        <w:rPr>
          <w:rFonts w:ascii="Arial" w:eastAsia="Arial" w:hAnsi="Arial" w:cs="Arial"/>
          <w:color w:val="000000"/>
          <w:sz w:val="24"/>
          <w:szCs w:val="24"/>
        </w:rPr>
        <w:tab/>
        <w:t>a</w:t>
      </w:r>
      <w:r w:rsidR="00EB3A38">
        <w:rPr>
          <w:rFonts w:ascii="Arial" w:eastAsia="Arial" w:hAnsi="Arial" w:cs="Arial"/>
          <w:color w:val="000000"/>
          <w:sz w:val="24"/>
          <w:szCs w:val="24"/>
        </w:rPr>
        <w:t>lthough Floorworx takes no issue with the explanation for the</w:t>
      </w:r>
      <w:r>
        <w:rPr>
          <w:rFonts w:ascii="Arial" w:eastAsia="Arial" w:hAnsi="Arial" w:cs="Arial"/>
          <w:color w:val="000000"/>
          <w:sz w:val="24"/>
          <w:szCs w:val="24"/>
        </w:rPr>
        <w:t xml:space="preserve"> delay for the period between</w:t>
      </w:r>
      <w:r w:rsidR="00EB3A38">
        <w:rPr>
          <w:rFonts w:ascii="Arial" w:eastAsia="Arial" w:hAnsi="Arial" w:cs="Arial"/>
          <w:color w:val="000000"/>
          <w:sz w:val="24"/>
          <w:szCs w:val="24"/>
        </w:rPr>
        <w:t xml:space="preserve"> May 2021 to 1 July 2021</w:t>
      </w:r>
      <w:r w:rsidR="00E70FA7">
        <w:rPr>
          <w:rFonts w:ascii="Arial" w:eastAsia="Arial" w:hAnsi="Arial" w:cs="Arial"/>
          <w:color w:val="000000"/>
          <w:sz w:val="24"/>
          <w:szCs w:val="24"/>
        </w:rPr>
        <w:t xml:space="preserve">, issue is taken with the balance of such period.  </w:t>
      </w:r>
      <w:r>
        <w:rPr>
          <w:rFonts w:ascii="Arial" w:eastAsia="Arial" w:hAnsi="Arial" w:cs="Arial"/>
          <w:color w:val="000000"/>
          <w:sz w:val="24"/>
          <w:szCs w:val="24"/>
        </w:rPr>
        <w:t>Furthermore</w:t>
      </w:r>
      <w:r w:rsidR="00E70FA7">
        <w:rPr>
          <w:rFonts w:ascii="Arial" w:eastAsia="Arial" w:hAnsi="Arial" w:cs="Arial"/>
          <w:color w:val="000000"/>
          <w:sz w:val="24"/>
          <w:szCs w:val="24"/>
        </w:rPr>
        <w:t xml:space="preserve">, it is alleged that there is prejudice for Floorworx as they now have to face additional delay and costs in respect of interlocutory proceedings in circumstances where Mazars should already have delivered </w:t>
      </w:r>
      <w:r>
        <w:rPr>
          <w:rFonts w:ascii="Arial" w:eastAsia="Arial" w:hAnsi="Arial" w:cs="Arial"/>
          <w:color w:val="000000"/>
          <w:sz w:val="24"/>
          <w:szCs w:val="24"/>
        </w:rPr>
        <w:t xml:space="preserve">its </w:t>
      </w:r>
      <w:r w:rsidR="00E70FA7">
        <w:rPr>
          <w:rFonts w:ascii="Arial" w:eastAsia="Arial" w:hAnsi="Arial" w:cs="Arial"/>
          <w:color w:val="000000"/>
          <w:sz w:val="24"/>
          <w:szCs w:val="24"/>
        </w:rPr>
        <w:t>Plea</w:t>
      </w:r>
      <w:r w:rsidR="00A55692">
        <w:rPr>
          <w:rStyle w:val="FootnoteReference"/>
          <w:rFonts w:ascii="Arial" w:eastAsia="Arial" w:hAnsi="Arial" w:cs="Arial"/>
          <w:color w:val="000000"/>
          <w:sz w:val="24"/>
          <w:szCs w:val="24"/>
        </w:rPr>
        <w:footnoteReference w:id="49"/>
      </w:r>
      <w:r w:rsidR="00A55692">
        <w:rPr>
          <w:rFonts w:ascii="Arial" w:eastAsia="Arial" w:hAnsi="Arial" w:cs="Arial"/>
          <w:color w:val="000000"/>
          <w:sz w:val="24"/>
          <w:szCs w:val="24"/>
        </w:rPr>
        <w:t>.</w:t>
      </w:r>
    </w:p>
    <w:p w14:paraId="2C5273F0" w14:textId="77777777" w:rsidR="00266A2A" w:rsidRDefault="00266A2A" w:rsidP="00266A2A">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148C063" w14:textId="5E49C138" w:rsidR="00266A2A"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44.</w:t>
      </w:r>
      <w:r>
        <w:rPr>
          <w:rFonts w:ascii="Arial" w:eastAsia="Arial" w:hAnsi="Arial" w:cs="Arial"/>
          <w:color w:val="000000"/>
          <w:sz w:val="24"/>
          <w:szCs w:val="24"/>
        </w:rPr>
        <w:tab/>
      </w:r>
      <w:r w:rsidR="00F27EB1" w:rsidRPr="00A55D51">
        <w:rPr>
          <w:rFonts w:ascii="Arial" w:eastAsia="Arial" w:hAnsi="Arial" w:cs="Arial"/>
          <w:color w:val="000000"/>
          <w:sz w:val="24"/>
          <w:szCs w:val="24"/>
        </w:rPr>
        <w:t>In terms of Rule 27(1), the Court may on good cause shown, make an order extending or abridging any time period</w:t>
      </w:r>
      <w:r w:rsidR="00F763BF" w:rsidRPr="00A55D51">
        <w:rPr>
          <w:rFonts w:ascii="Arial" w:eastAsia="Arial" w:hAnsi="Arial" w:cs="Arial"/>
          <w:color w:val="000000"/>
          <w:sz w:val="24"/>
          <w:szCs w:val="24"/>
        </w:rPr>
        <w:t>s prescribed by the rules.  “</w:t>
      </w:r>
      <w:r w:rsidR="00F763BF" w:rsidRPr="00A55D51">
        <w:rPr>
          <w:rFonts w:ascii="Arial" w:eastAsia="Arial" w:hAnsi="Arial" w:cs="Arial"/>
          <w:i/>
          <w:iCs/>
          <w:color w:val="000000"/>
          <w:sz w:val="24"/>
          <w:szCs w:val="24"/>
        </w:rPr>
        <w:t>Good cause</w:t>
      </w:r>
      <w:r w:rsidR="00F763BF" w:rsidRPr="00A55D51">
        <w:rPr>
          <w:rFonts w:ascii="Arial" w:eastAsia="Arial" w:hAnsi="Arial" w:cs="Arial"/>
          <w:color w:val="000000"/>
          <w:sz w:val="24"/>
          <w:szCs w:val="24"/>
        </w:rPr>
        <w:t>” requires Mazars to satisfy me to exercise my discretion in its favour by establishing</w:t>
      </w:r>
      <w:r w:rsidR="00B74D64" w:rsidRPr="00A55D51">
        <w:rPr>
          <w:rFonts w:ascii="Arial" w:eastAsia="Arial" w:hAnsi="Arial" w:cs="Arial"/>
          <w:color w:val="000000"/>
          <w:sz w:val="24"/>
          <w:szCs w:val="24"/>
        </w:rPr>
        <w:t xml:space="preserve"> that</w:t>
      </w:r>
      <w:r w:rsidR="00F763BF" w:rsidRPr="00A55D51">
        <w:rPr>
          <w:rFonts w:ascii="Arial" w:eastAsia="Arial" w:hAnsi="Arial" w:cs="Arial"/>
          <w:color w:val="000000"/>
          <w:sz w:val="24"/>
          <w:szCs w:val="24"/>
        </w:rPr>
        <w:t>:-</w:t>
      </w:r>
    </w:p>
    <w:p w14:paraId="688035A7" w14:textId="77777777" w:rsidR="00F763BF" w:rsidRDefault="00F763BF" w:rsidP="00F763B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AEF5038" w14:textId="22D8E797" w:rsidR="00F763BF" w:rsidRDefault="00B74D64" w:rsidP="00F763B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44</w:t>
      </w:r>
      <w:r w:rsidR="004D5E2F">
        <w:rPr>
          <w:rFonts w:ascii="Arial" w:eastAsia="Arial" w:hAnsi="Arial" w:cs="Arial"/>
          <w:color w:val="000000"/>
          <w:sz w:val="24"/>
          <w:szCs w:val="24"/>
        </w:rPr>
        <w:t>.1</w:t>
      </w:r>
      <w:r w:rsidR="004D5E2F">
        <w:rPr>
          <w:rFonts w:ascii="Arial" w:eastAsia="Arial" w:hAnsi="Arial" w:cs="Arial"/>
          <w:color w:val="000000"/>
          <w:sz w:val="24"/>
          <w:szCs w:val="24"/>
        </w:rPr>
        <w:tab/>
        <w:t>t</w:t>
      </w:r>
      <w:r w:rsidR="00F763BF">
        <w:rPr>
          <w:rFonts w:ascii="Arial" w:eastAsia="Arial" w:hAnsi="Arial" w:cs="Arial"/>
          <w:color w:val="000000"/>
          <w:sz w:val="24"/>
          <w:szCs w:val="24"/>
        </w:rPr>
        <w:t>here is a reasonable explanation for the delay and/or late filing;</w:t>
      </w:r>
    </w:p>
    <w:p w14:paraId="2C99E231" w14:textId="77777777" w:rsidR="00F763BF" w:rsidRDefault="00F763BF" w:rsidP="00F763B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BD5CDA3" w14:textId="579CB176" w:rsidR="00F763BF" w:rsidRDefault="00B74D64" w:rsidP="00F763BF">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44</w:t>
      </w:r>
      <w:r w:rsidR="004D5E2F">
        <w:rPr>
          <w:rFonts w:ascii="Arial" w:eastAsia="Arial" w:hAnsi="Arial" w:cs="Arial"/>
          <w:color w:val="000000"/>
          <w:sz w:val="24"/>
          <w:szCs w:val="24"/>
        </w:rPr>
        <w:t>.2</w:t>
      </w:r>
      <w:r w:rsidR="004D5E2F">
        <w:rPr>
          <w:rFonts w:ascii="Arial" w:eastAsia="Arial" w:hAnsi="Arial" w:cs="Arial"/>
          <w:color w:val="000000"/>
          <w:sz w:val="24"/>
          <w:szCs w:val="24"/>
        </w:rPr>
        <w:tab/>
        <w:t>t</w:t>
      </w:r>
      <w:r w:rsidR="00F763BF">
        <w:rPr>
          <w:rFonts w:ascii="Arial" w:eastAsia="Arial" w:hAnsi="Arial" w:cs="Arial"/>
          <w:color w:val="000000"/>
          <w:sz w:val="24"/>
          <w:szCs w:val="24"/>
        </w:rPr>
        <w:t xml:space="preserve">he application for condonation is made </w:t>
      </w:r>
      <w:r w:rsidR="00F763BF">
        <w:rPr>
          <w:rFonts w:ascii="Arial" w:eastAsia="Arial" w:hAnsi="Arial" w:cs="Arial"/>
          <w:i/>
          <w:iCs/>
          <w:color w:val="000000"/>
          <w:sz w:val="24"/>
          <w:szCs w:val="24"/>
        </w:rPr>
        <w:t>bona fide</w:t>
      </w:r>
      <w:r w:rsidR="00F763BF">
        <w:rPr>
          <w:rFonts w:ascii="Arial" w:eastAsia="Arial" w:hAnsi="Arial" w:cs="Arial"/>
          <w:color w:val="000000"/>
          <w:sz w:val="24"/>
          <w:szCs w:val="24"/>
        </w:rPr>
        <w:t xml:space="preserve"> and not with the object of delay;</w:t>
      </w:r>
    </w:p>
    <w:p w14:paraId="25357321" w14:textId="77777777" w:rsidR="00F763BF" w:rsidRDefault="00F763BF" w:rsidP="00F763B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B22C90A" w14:textId="6DF3652A" w:rsidR="00F763BF" w:rsidRDefault="004D5E2F" w:rsidP="00F763BF">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44</w:t>
      </w:r>
      <w:r w:rsidR="00F763BF">
        <w:rPr>
          <w:rFonts w:ascii="Arial" w:eastAsia="Arial" w:hAnsi="Arial" w:cs="Arial"/>
          <w:color w:val="000000"/>
          <w:sz w:val="24"/>
          <w:szCs w:val="24"/>
        </w:rPr>
        <w:t>.</w:t>
      </w:r>
      <w:r>
        <w:rPr>
          <w:rFonts w:ascii="Arial" w:eastAsia="Arial" w:hAnsi="Arial" w:cs="Arial"/>
          <w:color w:val="000000"/>
          <w:sz w:val="24"/>
          <w:szCs w:val="24"/>
        </w:rPr>
        <w:t>3</w:t>
      </w:r>
      <w:r>
        <w:rPr>
          <w:rFonts w:ascii="Arial" w:eastAsia="Arial" w:hAnsi="Arial" w:cs="Arial"/>
          <w:color w:val="000000"/>
          <w:sz w:val="24"/>
          <w:szCs w:val="24"/>
        </w:rPr>
        <w:tab/>
        <w:t>t</w:t>
      </w:r>
      <w:r w:rsidR="00F763BF">
        <w:rPr>
          <w:rFonts w:ascii="Arial" w:eastAsia="Arial" w:hAnsi="Arial" w:cs="Arial"/>
          <w:color w:val="000000"/>
          <w:sz w:val="24"/>
          <w:szCs w:val="24"/>
        </w:rPr>
        <w:t>here has not been a reckless or intentional disregard of the Rules of Court;</w:t>
      </w:r>
    </w:p>
    <w:p w14:paraId="427D7FC5" w14:textId="77777777" w:rsidR="00F763BF" w:rsidRDefault="00F763BF" w:rsidP="00F763B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E5A0A4D" w14:textId="22EE730B" w:rsidR="00F763BF" w:rsidRDefault="004D5E2F" w:rsidP="00F763B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44.4</w:t>
      </w:r>
      <w:r>
        <w:rPr>
          <w:rFonts w:ascii="Arial" w:eastAsia="Arial" w:hAnsi="Arial" w:cs="Arial"/>
          <w:color w:val="000000"/>
          <w:sz w:val="24"/>
          <w:szCs w:val="24"/>
        </w:rPr>
        <w:tab/>
        <w:t>t</w:t>
      </w:r>
      <w:r w:rsidR="00F763BF">
        <w:rPr>
          <w:rFonts w:ascii="Arial" w:eastAsia="Arial" w:hAnsi="Arial" w:cs="Arial"/>
          <w:color w:val="000000"/>
          <w:sz w:val="24"/>
          <w:szCs w:val="24"/>
        </w:rPr>
        <w:t>here are reasonable prospects of success; and</w:t>
      </w:r>
    </w:p>
    <w:p w14:paraId="0247AB59" w14:textId="77777777" w:rsidR="00F763BF" w:rsidRDefault="00F763BF" w:rsidP="00F763B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7D1F204" w14:textId="7C1BAED4" w:rsidR="00F763BF" w:rsidRPr="00F763BF" w:rsidRDefault="004D5E2F" w:rsidP="00B13FD7">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44.5</w:t>
      </w:r>
      <w:r>
        <w:rPr>
          <w:rFonts w:ascii="Arial" w:eastAsia="Arial" w:hAnsi="Arial" w:cs="Arial"/>
          <w:color w:val="000000"/>
          <w:sz w:val="24"/>
          <w:szCs w:val="24"/>
        </w:rPr>
        <w:tab/>
        <w:t>t</w:t>
      </w:r>
      <w:r w:rsidR="00F763BF">
        <w:rPr>
          <w:rFonts w:ascii="Arial" w:eastAsia="Arial" w:hAnsi="Arial" w:cs="Arial"/>
          <w:color w:val="000000"/>
          <w:sz w:val="24"/>
          <w:szCs w:val="24"/>
        </w:rPr>
        <w:t xml:space="preserve">here would be no prejudice </w:t>
      </w:r>
      <w:r w:rsidR="00B13FD7">
        <w:rPr>
          <w:rFonts w:ascii="Arial" w:eastAsia="Arial" w:hAnsi="Arial" w:cs="Arial"/>
          <w:color w:val="000000"/>
          <w:sz w:val="24"/>
          <w:szCs w:val="24"/>
        </w:rPr>
        <w:t>suffered by Floorworx if condonation is granted</w:t>
      </w:r>
      <w:r w:rsidR="00B13FD7">
        <w:rPr>
          <w:rStyle w:val="FootnoteReference"/>
          <w:rFonts w:ascii="Arial" w:eastAsia="Arial" w:hAnsi="Arial" w:cs="Arial"/>
          <w:color w:val="000000"/>
          <w:sz w:val="24"/>
          <w:szCs w:val="24"/>
        </w:rPr>
        <w:footnoteReference w:id="50"/>
      </w:r>
      <w:r w:rsidR="00607214">
        <w:rPr>
          <w:rFonts w:ascii="Arial" w:eastAsia="Arial" w:hAnsi="Arial" w:cs="Arial"/>
          <w:color w:val="000000"/>
          <w:sz w:val="24"/>
          <w:szCs w:val="24"/>
        </w:rPr>
        <w:t>.</w:t>
      </w:r>
    </w:p>
    <w:p w14:paraId="5D682D92" w14:textId="77777777" w:rsidR="00F763BF" w:rsidRDefault="00F763BF" w:rsidP="00F763B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E19D63D" w14:textId="0973C218" w:rsidR="00F763BF"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45.</w:t>
      </w:r>
      <w:r>
        <w:rPr>
          <w:rFonts w:ascii="Arial" w:eastAsia="Arial" w:hAnsi="Arial" w:cs="Arial"/>
          <w:color w:val="000000"/>
          <w:sz w:val="24"/>
          <w:szCs w:val="24"/>
        </w:rPr>
        <w:tab/>
      </w:r>
      <w:r w:rsidR="00CB5669" w:rsidRPr="00A55D51">
        <w:rPr>
          <w:rFonts w:ascii="Arial" w:eastAsia="Arial" w:hAnsi="Arial" w:cs="Arial"/>
          <w:color w:val="000000"/>
          <w:sz w:val="24"/>
          <w:szCs w:val="24"/>
        </w:rPr>
        <w:t xml:space="preserve">The tendency of the courts is to avoid </w:t>
      </w:r>
      <w:r w:rsidR="004A1200" w:rsidRPr="00A55D51">
        <w:rPr>
          <w:rFonts w:ascii="Arial" w:eastAsia="Arial" w:hAnsi="Arial" w:cs="Arial"/>
          <w:color w:val="000000"/>
          <w:sz w:val="24"/>
          <w:szCs w:val="24"/>
        </w:rPr>
        <w:t>undue formalism and rather</w:t>
      </w:r>
      <w:r w:rsidR="004D5E2F" w:rsidRPr="00A55D51">
        <w:rPr>
          <w:rFonts w:ascii="Arial" w:eastAsia="Arial" w:hAnsi="Arial" w:cs="Arial"/>
          <w:color w:val="000000"/>
          <w:sz w:val="24"/>
          <w:szCs w:val="24"/>
        </w:rPr>
        <w:t xml:space="preserve"> to</w:t>
      </w:r>
      <w:r w:rsidR="004A1200" w:rsidRPr="00A55D51">
        <w:rPr>
          <w:rFonts w:ascii="Arial" w:eastAsia="Arial" w:hAnsi="Arial" w:cs="Arial"/>
          <w:color w:val="000000"/>
          <w:sz w:val="24"/>
          <w:szCs w:val="24"/>
        </w:rPr>
        <w:t xml:space="preserve"> have regard to substance over form</w:t>
      </w:r>
      <w:r w:rsidR="004A1200">
        <w:rPr>
          <w:rStyle w:val="FootnoteReference"/>
          <w:rFonts w:ascii="Arial" w:eastAsia="Arial" w:hAnsi="Arial" w:cs="Arial"/>
          <w:color w:val="000000"/>
          <w:sz w:val="24"/>
          <w:szCs w:val="24"/>
        </w:rPr>
        <w:footnoteReference w:id="51"/>
      </w:r>
      <w:r w:rsidR="00226A6A" w:rsidRPr="00A55D51">
        <w:rPr>
          <w:rFonts w:ascii="Arial" w:eastAsia="Arial" w:hAnsi="Arial" w:cs="Arial"/>
          <w:color w:val="000000"/>
          <w:sz w:val="24"/>
          <w:szCs w:val="24"/>
        </w:rPr>
        <w:t>.</w:t>
      </w:r>
    </w:p>
    <w:p w14:paraId="69253BDF" w14:textId="77777777" w:rsidR="00226A6A" w:rsidRDefault="00226A6A" w:rsidP="00226A6A">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513007A" w14:textId="7CF760E0" w:rsidR="00226A6A"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46.</w:t>
      </w:r>
      <w:r>
        <w:rPr>
          <w:rFonts w:ascii="Arial" w:eastAsia="Arial" w:hAnsi="Arial" w:cs="Arial"/>
          <w:color w:val="000000"/>
          <w:sz w:val="24"/>
          <w:szCs w:val="24"/>
        </w:rPr>
        <w:tab/>
      </w:r>
      <w:r w:rsidR="003A75E6" w:rsidRPr="00A55D51">
        <w:rPr>
          <w:rFonts w:ascii="Arial" w:eastAsia="Arial" w:hAnsi="Arial" w:cs="Arial"/>
          <w:color w:val="000000"/>
          <w:sz w:val="24"/>
          <w:szCs w:val="24"/>
        </w:rPr>
        <w:t>A Court will grant condonation if it is in the interests of justice to do so</w:t>
      </w:r>
      <w:r w:rsidR="003A75E6">
        <w:rPr>
          <w:rStyle w:val="FootnoteReference"/>
          <w:rFonts w:ascii="Arial" w:eastAsia="Arial" w:hAnsi="Arial" w:cs="Arial"/>
          <w:color w:val="000000"/>
          <w:sz w:val="24"/>
          <w:szCs w:val="24"/>
        </w:rPr>
        <w:footnoteReference w:id="52"/>
      </w:r>
      <w:r w:rsidR="002F5DE6" w:rsidRPr="00A55D51">
        <w:rPr>
          <w:rFonts w:ascii="Arial" w:eastAsia="Arial" w:hAnsi="Arial" w:cs="Arial"/>
          <w:color w:val="000000"/>
          <w:sz w:val="24"/>
          <w:szCs w:val="24"/>
        </w:rPr>
        <w:t>.</w:t>
      </w:r>
    </w:p>
    <w:p w14:paraId="771159A9" w14:textId="77777777" w:rsidR="002F5DE6" w:rsidRDefault="002F5DE6" w:rsidP="002F5DE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A435FB1" w14:textId="02D184BF" w:rsidR="002F5DE6"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47.</w:t>
      </w:r>
      <w:r>
        <w:rPr>
          <w:rFonts w:ascii="Arial" w:eastAsia="Arial" w:hAnsi="Arial" w:cs="Arial"/>
          <w:color w:val="000000"/>
          <w:sz w:val="24"/>
          <w:szCs w:val="24"/>
        </w:rPr>
        <w:tab/>
      </w:r>
      <w:r w:rsidR="004F14F9" w:rsidRPr="00A55D51">
        <w:rPr>
          <w:rFonts w:ascii="Arial" w:eastAsia="Arial" w:hAnsi="Arial" w:cs="Arial"/>
          <w:color w:val="000000"/>
          <w:sz w:val="24"/>
          <w:szCs w:val="24"/>
        </w:rPr>
        <w:t xml:space="preserve">In </w:t>
      </w:r>
      <w:r w:rsidR="004F14F9" w:rsidRPr="00A55D51">
        <w:rPr>
          <w:rFonts w:ascii="Arial" w:eastAsia="Arial" w:hAnsi="Arial" w:cs="Arial"/>
          <w:i/>
          <w:iCs/>
          <w:color w:val="000000"/>
          <w:sz w:val="24"/>
          <w:szCs w:val="24"/>
        </w:rPr>
        <w:t>Grootboom v National Prosecuting Authority and Another</w:t>
      </w:r>
      <w:r w:rsidR="004F14F9" w:rsidRPr="00A55D51">
        <w:rPr>
          <w:rFonts w:ascii="Arial" w:eastAsia="Arial" w:hAnsi="Arial" w:cs="Arial"/>
          <w:color w:val="000000"/>
          <w:sz w:val="24"/>
          <w:szCs w:val="24"/>
        </w:rPr>
        <w:t xml:space="preserve"> 2014 (2) SA 68 (CC)</w:t>
      </w:r>
      <w:r w:rsidR="00B50004">
        <w:rPr>
          <w:rStyle w:val="FootnoteReference"/>
          <w:rFonts w:ascii="Arial" w:eastAsia="Arial" w:hAnsi="Arial" w:cs="Arial"/>
          <w:color w:val="000000"/>
          <w:sz w:val="24"/>
          <w:szCs w:val="24"/>
        </w:rPr>
        <w:footnoteReference w:id="53"/>
      </w:r>
      <w:r w:rsidR="00B50004" w:rsidRPr="00A55D51">
        <w:rPr>
          <w:rFonts w:ascii="Arial" w:eastAsia="Arial" w:hAnsi="Arial" w:cs="Arial"/>
          <w:color w:val="000000"/>
          <w:sz w:val="24"/>
          <w:szCs w:val="24"/>
        </w:rPr>
        <w:t xml:space="preserve"> it was held as follows:-</w:t>
      </w:r>
    </w:p>
    <w:p w14:paraId="6642C50B" w14:textId="531EA136" w:rsidR="00B50004" w:rsidRDefault="00B50004" w:rsidP="005E048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sidRPr="00B50004">
        <w:rPr>
          <w:rFonts w:ascii="Arial" w:eastAsia="Arial" w:hAnsi="Arial" w:cs="Arial"/>
          <w:i/>
          <w:iCs/>
          <w:color w:val="000000"/>
        </w:rPr>
        <w:t>“</w:t>
      </w:r>
      <w:r w:rsidR="005E0482">
        <w:rPr>
          <w:rFonts w:ascii="Arial" w:eastAsia="Arial" w:hAnsi="Arial" w:cs="Arial"/>
          <w:i/>
          <w:iCs/>
          <w:color w:val="000000"/>
        </w:rPr>
        <w:t>[</w:t>
      </w:r>
      <w:r w:rsidRPr="00B50004">
        <w:rPr>
          <w:rFonts w:ascii="Arial" w:eastAsia="Arial" w:hAnsi="Arial" w:cs="Arial"/>
          <w:i/>
          <w:iCs/>
          <w:color w:val="000000"/>
        </w:rPr>
        <w:t>22</w:t>
      </w:r>
      <w:r w:rsidR="005E0482">
        <w:rPr>
          <w:rFonts w:ascii="Arial" w:eastAsia="Arial" w:hAnsi="Arial" w:cs="Arial"/>
          <w:i/>
          <w:iCs/>
          <w:color w:val="000000"/>
        </w:rPr>
        <w:t>]</w:t>
      </w:r>
      <w:r w:rsidRPr="00B50004">
        <w:rPr>
          <w:rFonts w:ascii="Arial" w:eastAsia="Arial" w:hAnsi="Arial" w:cs="Arial"/>
          <w:i/>
          <w:iCs/>
          <w:color w:val="000000"/>
        </w:rPr>
        <w:tab/>
      </w:r>
      <w:r>
        <w:rPr>
          <w:rFonts w:ascii="Arial" w:eastAsia="Arial" w:hAnsi="Arial" w:cs="Arial"/>
          <w:i/>
          <w:iCs/>
          <w:color w:val="000000"/>
        </w:rPr>
        <w:t xml:space="preserve">I have read the judgment by my colleague </w:t>
      </w:r>
      <w:r w:rsidR="00DC67B0">
        <w:rPr>
          <w:rFonts w:ascii="Arial" w:eastAsia="Arial" w:hAnsi="Arial" w:cs="Arial"/>
          <w:i/>
          <w:iCs/>
          <w:color w:val="000000"/>
        </w:rPr>
        <w:t>Zondo J.  I agree with him that, based on Brummer and Van Wyk, the standard for considering an application for condonation is</w:t>
      </w:r>
      <w:r w:rsidR="004E39E1">
        <w:rPr>
          <w:rFonts w:ascii="Arial" w:eastAsia="Arial" w:hAnsi="Arial" w:cs="Arial"/>
          <w:i/>
          <w:iCs/>
          <w:color w:val="000000"/>
        </w:rPr>
        <w:t xml:space="preserve"> </w:t>
      </w:r>
      <w:r w:rsidR="00DC67B0">
        <w:rPr>
          <w:rFonts w:ascii="Arial" w:eastAsia="Arial" w:hAnsi="Arial" w:cs="Arial"/>
          <w:i/>
          <w:iCs/>
          <w:color w:val="000000"/>
        </w:rPr>
        <w:t>the interests of justice</w:t>
      </w:r>
      <w:r w:rsidR="004E39E1">
        <w:rPr>
          <w:rFonts w:ascii="Arial" w:eastAsia="Arial" w:hAnsi="Arial" w:cs="Arial"/>
          <w:i/>
          <w:iCs/>
          <w:color w:val="000000"/>
        </w:rPr>
        <w:t xml:space="preserve">.  However, the concept “interests of justice” is so elastic </w:t>
      </w:r>
      <w:r w:rsidR="00CA2885">
        <w:rPr>
          <w:rFonts w:ascii="Arial" w:eastAsia="Arial" w:hAnsi="Arial" w:cs="Arial"/>
          <w:i/>
          <w:iCs/>
          <w:color w:val="000000"/>
        </w:rPr>
        <w:t>that it is not capable of precise definition.  As the two cases demonstrate, it includes: the nature of the relief sought; the extent and cause of the delay; the effect of the delay on the administration of justice and other litigants; the reasonableness of the explanation for the delay; the importance of the issue to be raised in the intended</w:t>
      </w:r>
      <w:r w:rsidR="00CB2838">
        <w:rPr>
          <w:rFonts w:ascii="Arial" w:eastAsia="Arial" w:hAnsi="Arial" w:cs="Arial"/>
          <w:i/>
          <w:iCs/>
          <w:color w:val="000000"/>
        </w:rPr>
        <w:t xml:space="preserve"> appeal; and the prospects of success.  It is crucial to reiterate that both Brummer and Van Wyk emphasi</w:t>
      </w:r>
      <w:r w:rsidR="0038597C">
        <w:rPr>
          <w:rFonts w:ascii="Arial" w:eastAsia="Arial" w:hAnsi="Arial" w:cs="Arial"/>
          <w:i/>
          <w:iCs/>
          <w:color w:val="000000"/>
        </w:rPr>
        <w:t>se that the ultimate determination of what is in the interest of justice must reflect due regard to all the relevant factors but it is not necessarily limited to those mentioned above.  The particular</w:t>
      </w:r>
      <w:r w:rsidR="005E0482">
        <w:rPr>
          <w:rFonts w:ascii="Arial" w:eastAsia="Arial" w:hAnsi="Arial" w:cs="Arial"/>
          <w:i/>
          <w:iCs/>
          <w:color w:val="000000"/>
        </w:rPr>
        <w:t xml:space="preserve"> circumstances of each case will determine which of these factors are relevant. </w:t>
      </w:r>
    </w:p>
    <w:p w14:paraId="2542120C" w14:textId="77777777" w:rsidR="005E0482" w:rsidRDefault="005E0482" w:rsidP="005E048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1220C71C" w14:textId="7A7F76E7" w:rsidR="005E0482" w:rsidRPr="00B50004" w:rsidRDefault="005E0482" w:rsidP="005E048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[23]</w:t>
      </w:r>
      <w:r>
        <w:rPr>
          <w:rFonts w:ascii="Arial" w:eastAsia="Arial" w:hAnsi="Arial" w:cs="Arial"/>
          <w:i/>
          <w:iCs/>
          <w:color w:val="000000"/>
        </w:rPr>
        <w:tab/>
      </w:r>
      <w:r w:rsidR="006E35BC">
        <w:rPr>
          <w:rFonts w:ascii="Arial" w:eastAsia="Arial" w:hAnsi="Arial" w:cs="Arial"/>
          <w:i/>
          <w:iCs/>
          <w:color w:val="000000"/>
        </w:rPr>
        <w:t>It is now trite that condonation cannot be had for the mere asking.  A party seeking condonation must make out a case entitling it to the Court’s indulgence</w:t>
      </w:r>
      <w:r w:rsidR="003B4F0C">
        <w:rPr>
          <w:rFonts w:ascii="Arial" w:eastAsia="Arial" w:hAnsi="Arial" w:cs="Arial"/>
          <w:i/>
          <w:iCs/>
          <w:color w:val="000000"/>
        </w:rPr>
        <w:t>.  It must show sufficient cause.  This requires a party</w:t>
      </w:r>
      <w:r w:rsidR="00753F68">
        <w:rPr>
          <w:rFonts w:ascii="Arial" w:eastAsia="Arial" w:hAnsi="Arial" w:cs="Arial"/>
          <w:i/>
          <w:iCs/>
          <w:color w:val="000000"/>
        </w:rPr>
        <w:t xml:space="preserve"> to give a full explanation for the non-compliance with the rules or the court’s directions.  Of great significance, the explanation must be reasonable enough to excuse the default.”</w:t>
      </w:r>
    </w:p>
    <w:p w14:paraId="2B6182CA" w14:textId="77777777" w:rsidR="00B50004" w:rsidRDefault="00B50004" w:rsidP="00B5000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7BC9C93" w14:textId="1CB5D05A" w:rsidR="00B50004"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48.</w:t>
      </w:r>
      <w:r>
        <w:rPr>
          <w:rFonts w:ascii="Arial" w:eastAsia="Arial" w:hAnsi="Arial" w:cs="Arial"/>
          <w:color w:val="000000"/>
          <w:sz w:val="24"/>
          <w:szCs w:val="24"/>
        </w:rPr>
        <w:tab/>
      </w:r>
      <w:r w:rsidR="00875DDB" w:rsidRPr="00A55D51">
        <w:rPr>
          <w:rFonts w:ascii="Arial" w:eastAsia="Arial" w:hAnsi="Arial" w:cs="Arial"/>
          <w:color w:val="000000"/>
          <w:sz w:val="24"/>
          <w:szCs w:val="24"/>
        </w:rPr>
        <w:t xml:space="preserve">The authors of </w:t>
      </w:r>
      <w:r w:rsidR="00875DDB" w:rsidRPr="00A55D51">
        <w:rPr>
          <w:rFonts w:ascii="Arial" w:eastAsia="Arial" w:hAnsi="Arial" w:cs="Arial"/>
          <w:i/>
          <w:iCs/>
          <w:color w:val="000000"/>
          <w:sz w:val="24"/>
          <w:szCs w:val="24"/>
        </w:rPr>
        <w:t>Erasmus</w:t>
      </w:r>
      <w:r w:rsidR="00875DDB">
        <w:rPr>
          <w:rStyle w:val="FootnoteReference"/>
          <w:rFonts w:ascii="Arial" w:eastAsia="Arial" w:hAnsi="Arial" w:cs="Arial"/>
          <w:i/>
          <w:iCs/>
          <w:color w:val="000000"/>
          <w:sz w:val="24"/>
          <w:szCs w:val="24"/>
        </w:rPr>
        <w:footnoteReference w:id="54"/>
      </w:r>
      <w:r w:rsidR="00875DDB" w:rsidRPr="00A55D51">
        <w:rPr>
          <w:rFonts w:ascii="Arial" w:eastAsia="Arial" w:hAnsi="Arial" w:cs="Arial"/>
          <w:i/>
          <w:iCs/>
          <w:color w:val="000000"/>
          <w:sz w:val="24"/>
          <w:szCs w:val="24"/>
        </w:rPr>
        <w:t xml:space="preserve"> </w:t>
      </w:r>
      <w:r w:rsidR="00657846" w:rsidRPr="00A55D51">
        <w:rPr>
          <w:rFonts w:ascii="Arial" w:eastAsia="Arial" w:hAnsi="Arial" w:cs="Arial"/>
          <w:color w:val="000000"/>
          <w:sz w:val="24"/>
          <w:szCs w:val="24"/>
        </w:rPr>
        <w:t>state the principles governing condonation as follows:-</w:t>
      </w:r>
    </w:p>
    <w:p w14:paraId="7DC966FC" w14:textId="77777777" w:rsidR="00657846" w:rsidRDefault="00657846" w:rsidP="0065784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006C441" w14:textId="43F252F1" w:rsidR="00657846" w:rsidRPr="003F644A" w:rsidRDefault="003F644A" w:rsidP="006262E5">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3F644A">
        <w:rPr>
          <w:rFonts w:ascii="Arial" w:eastAsia="Arial" w:hAnsi="Arial" w:cs="Arial"/>
          <w:i/>
          <w:iCs/>
          <w:color w:val="000000"/>
        </w:rPr>
        <w:t xml:space="preserve">“The courts have consistently </w:t>
      </w:r>
      <w:r w:rsidR="00FC0EA4">
        <w:rPr>
          <w:rFonts w:ascii="Arial" w:eastAsia="Arial" w:hAnsi="Arial" w:cs="Arial"/>
          <w:i/>
          <w:iCs/>
          <w:color w:val="000000"/>
        </w:rPr>
        <w:t xml:space="preserve">refrained </w:t>
      </w:r>
      <w:r w:rsidR="00F438F8">
        <w:rPr>
          <w:rFonts w:ascii="Arial" w:eastAsia="Arial" w:hAnsi="Arial" w:cs="Arial"/>
          <w:i/>
          <w:iCs/>
          <w:color w:val="000000"/>
        </w:rPr>
        <w:t xml:space="preserve">from attempting to formulate an exhaustive definition of what constitutes “good cause”, because to do so would hamper unnecessarily the exercise of the discretion.  Two </w:t>
      </w:r>
      <w:r w:rsidR="00F77AF9">
        <w:rPr>
          <w:rFonts w:ascii="Arial" w:eastAsia="Arial" w:hAnsi="Arial" w:cs="Arial"/>
          <w:i/>
          <w:iCs/>
          <w:color w:val="000000"/>
        </w:rPr>
        <w:t>principal</w:t>
      </w:r>
      <w:r w:rsidR="00F438F8">
        <w:rPr>
          <w:rFonts w:ascii="Arial" w:eastAsia="Arial" w:hAnsi="Arial" w:cs="Arial"/>
          <w:i/>
          <w:iCs/>
          <w:color w:val="000000"/>
        </w:rPr>
        <w:t xml:space="preserve"> requirements for the favourable exercise of the court’s discretion </w:t>
      </w:r>
      <w:r w:rsidR="00FF2F6E">
        <w:rPr>
          <w:rFonts w:ascii="Arial" w:eastAsia="Arial" w:hAnsi="Arial" w:cs="Arial"/>
          <w:i/>
          <w:iCs/>
          <w:color w:val="000000"/>
        </w:rPr>
        <w:t xml:space="preserve">have crystalized out.  The first </w:t>
      </w:r>
      <w:r w:rsidR="00F77AF9">
        <w:rPr>
          <w:rFonts w:ascii="Arial" w:eastAsia="Arial" w:hAnsi="Arial" w:cs="Arial"/>
          <w:i/>
          <w:iCs/>
          <w:color w:val="000000"/>
        </w:rPr>
        <w:t>is that the applicant should file an affidavit satisfactorily explaining the delay.  In this regard it has been</w:t>
      </w:r>
      <w:r w:rsidR="000413FC">
        <w:rPr>
          <w:rFonts w:ascii="Arial" w:eastAsia="Arial" w:hAnsi="Arial" w:cs="Arial"/>
          <w:i/>
          <w:iCs/>
          <w:color w:val="000000"/>
        </w:rPr>
        <w:t xml:space="preserve"> held that the defendant must at least furnish an explanation of his default sufficiently fu</w:t>
      </w:r>
      <w:r w:rsidR="006A7DFD">
        <w:rPr>
          <w:rFonts w:ascii="Arial" w:eastAsia="Arial" w:hAnsi="Arial" w:cs="Arial"/>
          <w:i/>
          <w:iCs/>
          <w:color w:val="000000"/>
        </w:rPr>
        <w:t>ll to enable the court to understand how it really came about, and to assess his conduct and motives.  A full and reasonable explanation, which covers the entire period of delay, must be given.  If there has been a long delay, the court should require the party in default to satisfy the court that the relief sought should be granted, especially in a case where the applicant is the dominus li</w:t>
      </w:r>
      <w:r w:rsidR="001F416E">
        <w:rPr>
          <w:rFonts w:ascii="Arial" w:eastAsia="Arial" w:hAnsi="Arial" w:cs="Arial"/>
          <w:i/>
          <w:iCs/>
          <w:color w:val="000000"/>
        </w:rPr>
        <w:t xml:space="preserve">tis.  It is not sufficient for the applicant to show that condonation will not result in prejudice to the other party.  An applicant for relief under this rule must show good cause; the question of prejudice does not arise if it is unable to do so.  The court will refuse to grant the application </w:t>
      </w:r>
      <w:r w:rsidR="00F27535">
        <w:rPr>
          <w:rFonts w:ascii="Arial" w:eastAsia="Arial" w:hAnsi="Arial" w:cs="Arial"/>
          <w:i/>
          <w:iCs/>
          <w:color w:val="000000"/>
        </w:rPr>
        <w:t>where there has been a reckless or intentional disregard of the rules of court, or the court is convinced that the applicant does not seriously intend to proceed.  The applicant must be bona fide and not made with the intention of delaying the opposite party’s claim.  The second requirement is that the applicant should satisfy the court on oath that he has a bona fide defence or that his action is clearly not ill-founded, as the case may be.  Regarding this requirement it has been held that the minimum that the applicant must show is that his defence is not pa</w:t>
      </w:r>
      <w:r w:rsidR="0006109E">
        <w:rPr>
          <w:rFonts w:ascii="Arial" w:eastAsia="Arial" w:hAnsi="Arial" w:cs="Arial"/>
          <w:i/>
          <w:iCs/>
          <w:color w:val="000000"/>
        </w:rPr>
        <w:t>tently unfounded and that it is based upon facts (which must be set out in outline), whi</w:t>
      </w:r>
      <w:r w:rsidR="00F21A6B">
        <w:rPr>
          <w:rFonts w:ascii="Arial" w:eastAsia="Arial" w:hAnsi="Arial" w:cs="Arial"/>
          <w:i/>
          <w:iCs/>
          <w:color w:val="000000"/>
        </w:rPr>
        <w:t>ch, if proved would constitute a defence”.</w:t>
      </w:r>
    </w:p>
    <w:p w14:paraId="394CD790" w14:textId="77777777" w:rsidR="004F75F3" w:rsidRDefault="004F75F3" w:rsidP="004F75F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1B2C38B" w14:textId="4359F2E5" w:rsidR="004F75F3"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49.</w:t>
      </w:r>
      <w:r>
        <w:rPr>
          <w:rFonts w:ascii="Arial" w:eastAsia="Arial" w:hAnsi="Arial" w:cs="Arial"/>
          <w:color w:val="000000"/>
          <w:sz w:val="24"/>
          <w:szCs w:val="24"/>
        </w:rPr>
        <w:tab/>
      </w:r>
      <w:r w:rsidR="00D95CD7" w:rsidRPr="00A55D51">
        <w:rPr>
          <w:rFonts w:ascii="Arial" w:eastAsia="Arial" w:hAnsi="Arial" w:cs="Arial"/>
          <w:color w:val="000000"/>
          <w:sz w:val="24"/>
          <w:szCs w:val="24"/>
        </w:rPr>
        <w:t xml:space="preserve">Although no issue is taken with the period of delay </w:t>
      </w:r>
      <w:r w:rsidR="00433CFC" w:rsidRPr="00A55D51">
        <w:rPr>
          <w:rFonts w:ascii="Arial" w:eastAsia="Arial" w:hAnsi="Arial" w:cs="Arial"/>
          <w:color w:val="000000"/>
          <w:sz w:val="24"/>
          <w:szCs w:val="24"/>
        </w:rPr>
        <w:t>from May</w:t>
      </w:r>
      <w:r w:rsidR="00EA612D" w:rsidRPr="00A55D51">
        <w:rPr>
          <w:rFonts w:ascii="Arial" w:eastAsia="Arial" w:hAnsi="Arial" w:cs="Arial"/>
          <w:color w:val="000000"/>
          <w:sz w:val="24"/>
          <w:szCs w:val="24"/>
        </w:rPr>
        <w:t xml:space="preserve"> 2021</w:t>
      </w:r>
      <w:r w:rsidR="00433CFC" w:rsidRPr="00A55D51">
        <w:rPr>
          <w:rFonts w:ascii="Arial" w:eastAsia="Arial" w:hAnsi="Arial" w:cs="Arial"/>
          <w:color w:val="000000"/>
          <w:sz w:val="24"/>
          <w:szCs w:val="24"/>
        </w:rPr>
        <w:t xml:space="preserve"> to </w:t>
      </w:r>
      <w:r w:rsidR="00EA612D" w:rsidRPr="00A55D51">
        <w:rPr>
          <w:rFonts w:ascii="Arial" w:eastAsia="Arial" w:hAnsi="Arial" w:cs="Arial"/>
          <w:color w:val="000000"/>
          <w:sz w:val="24"/>
          <w:szCs w:val="24"/>
        </w:rPr>
        <w:t>1 July 2021</w:t>
      </w:r>
      <w:r w:rsidR="00433CFC" w:rsidRPr="00A55D51">
        <w:rPr>
          <w:rFonts w:ascii="Arial" w:eastAsia="Arial" w:hAnsi="Arial" w:cs="Arial"/>
          <w:color w:val="000000"/>
          <w:sz w:val="24"/>
          <w:szCs w:val="24"/>
        </w:rPr>
        <w:t xml:space="preserve"> and I</w:t>
      </w:r>
      <w:r w:rsidR="004B74A0" w:rsidRPr="00A55D51">
        <w:rPr>
          <w:rFonts w:ascii="Arial" w:eastAsia="Arial" w:hAnsi="Arial" w:cs="Arial"/>
          <w:color w:val="000000"/>
          <w:sz w:val="24"/>
          <w:szCs w:val="24"/>
        </w:rPr>
        <w:t xml:space="preserve"> also</w:t>
      </w:r>
      <w:r w:rsidR="00433CFC" w:rsidRPr="00A55D51">
        <w:rPr>
          <w:rFonts w:ascii="Arial" w:eastAsia="Arial" w:hAnsi="Arial" w:cs="Arial"/>
          <w:color w:val="000000"/>
          <w:sz w:val="24"/>
          <w:szCs w:val="24"/>
        </w:rPr>
        <w:t xml:space="preserve"> find that an acceptable </w:t>
      </w:r>
      <w:r w:rsidR="00564B70" w:rsidRPr="00A55D51">
        <w:rPr>
          <w:rFonts w:ascii="Arial" w:eastAsia="Arial" w:hAnsi="Arial" w:cs="Arial"/>
          <w:color w:val="000000"/>
          <w:sz w:val="24"/>
          <w:szCs w:val="24"/>
        </w:rPr>
        <w:t>explanation was provided for that particular period, I find the explanation for the delay for the remainder</w:t>
      </w:r>
      <w:r w:rsidR="004B74A0" w:rsidRPr="00A55D51">
        <w:rPr>
          <w:rFonts w:ascii="Arial" w:eastAsia="Arial" w:hAnsi="Arial" w:cs="Arial"/>
          <w:color w:val="000000"/>
          <w:sz w:val="24"/>
          <w:szCs w:val="24"/>
        </w:rPr>
        <w:t>/balance</w:t>
      </w:r>
      <w:r w:rsidR="00564B70" w:rsidRPr="00A55D51">
        <w:rPr>
          <w:rFonts w:ascii="Arial" w:eastAsia="Arial" w:hAnsi="Arial" w:cs="Arial"/>
          <w:color w:val="000000"/>
          <w:sz w:val="24"/>
          <w:szCs w:val="24"/>
        </w:rPr>
        <w:t xml:space="preserve"> of the period to be insufficient</w:t>
      </w:r>
      <w:r w:rsidR="00291FBA" w:rsidRPr="00A55D51">
        <w:rPr>
          <w:rFonts w:ascii="Arial" w:eastAsia="Arial" w:hAnsi="Arial" w:cs="Arial"/>
          <w:color w:val="000000"/>
          <w:sz w:val="24"/>
          <w:szCs w:val="24"/>
        </w:rPr>
        <w:t>.  Afterall, the explanation that is provided is based on an assumption and that assumption is not founded upon fact whatsoever.</w:t>
      </w:r>
      <w:r w:rsidR="00BC3D64" w:rsidRPr="00A55D51">
        <w:rPr>
          <w:rFonts w:ascii="Arial" w:eastAsia="Arial" w:hAnsi="Arial" w:cs="Arial"/>
          <w:color w:val="000000"/>
          <w:sz w:val="24"/>
          <w:szCs w:val="24"/>
        </w:rPr>
        <w:t xml:space="preserve">  Put differently, there is no reason in fact provided as to why the purported assumption was held, particularly in view thereof that Floorworx did not send a similar letter subsequent to the second notice to remove complaint as it had done on a previous occasion.  In short, I find the explanation for delay to be totally unsatisfactory.</w:t>
      </w:r>
    </w:p>
    <w:p w14:paraId="15D3E66A" w14:textId="77777777" w:rsidR="00BB65BA" w:rsidRDefault="00BB65BA" w:rsidP="00BB65BA">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6339603" w14:textId="1C6910DF" w:rsidR="00BB65BA"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50.</w:t>
      </w:r>
      <w:r>
        <w:rPr>
          <w:rFonts w:ascii="Arial" w:eastAsia="Arial" w:hAnsi="Arial" w:cs="Arial"/>
          <w:color w:val="000000"/>
          <w:sz w:val="24"/>
          <w:szCs w:val="24"/>
        </w:rPr>
        <w:tab/>
      </w:r>
      <w:r w:rsidR="00BB65BA" w:rsidRPr="00A55D51">
        <w:rPr>
          <w:rFonts w:ascii="Arial" w:eastAsia="Arial" w:hAnsi="Arial" w:cs="Arial"/>
          <w:color w:val="000000"/>
          <w:sz w:val="24"/>
          <w:szCs w:val="24"/>
        </w:rPr>
        <w:t xml:space="preserve">With reference to </w:t>
      </w:r>
      <w:r w:rsidR="00BB65BA" w:rsidRPr="00A55D51">
        <w:rPr>
          <w:rFonts w:ascii="Arial" w:eastAsia="Arial" w:hAnsi="Arial" w:cs="Arial"/>
          <w:i/>
          <w:iCs/>
          <w:color w:val="000000"/>
          <w:sz w:val="24"/>
          <w:szCs w:val="24"/>
        </w:rPr>
        <w:t>Erasmus</w:t>
      </w:r>
      <w:r w:rsidR="00BB65BA" w:rsidRPr="00A55D51">
        <w:rPr>
          <w:rFonts w:ascii="Arial" w:eastAsia="Arial" w:hAnsi="Arial" w:cs="Arial"/>
          <w:color w:val="000000"/>
          <w:sz w:val="24"/>
          <w:szCs w:val="24"/>
        </w:rPr>
        <w:t xml:space="preserve"> it was held that good cause must be shown as the question of prejudice does not arise if Mazars is unable to </w:t>
      </w:r>
      <w:r w:rsidR="00B076D9" w:rsidRPr="00A55D51">
        <w:rPr>
          <w:rFonts w:ascii="Arial" w:eastAsia="Arial" w:hAnsi="Arial" w:cs="Arial"/>
          <w:color w:val="000000"/>
          <w:sz w:val="24"/>
          <w:szCs w:val="24"/>
        </w:rPr>
        <w:t>do so.  The fact of the matter is that Mazars gave a totally unacceptable explanation for its delay and which carries with it that it did not show “</w:t>
      </w:r>
      <w:r w:rsidR="00B076D9" w:rsidRPr="00A55D51">
        <w:rPr>
          <w:rFonts w:ascii="Arial" w:eastAsia="Arial" w:hAnsi="Arial" w:cs="Arial"/>
          <w:i/>
          <w:iCs/>
          <w:color w:val="000000"/>
          <w:sz w:val="24"/>
          <w:szCs w:val="24"/>
        </w:rPr>
        <w:t>good cause</w:t>
      </w:r>
      <w:r w:rsidR="00B076D9" w:rsidRPr="00A55D51">
        <w:rPr>
          <w:rFonts w:ascii="Arial" w:eastAsia="Arial" w:hAnsi="Arial" w:cs="Arial"/>
          <w:color w:val="000000"/>
          <w:sz w:val="24"/>
          <w:szCs w:val="24"/>
        </w:rPr>
        <w:t>”.</w:t>
      </w:r>
      <w:r w:rsidR="004E32A1" w:rsidRPr="00A55D51">
        <w:rPr>
          <w:rFonts w:ascii="Arial" w:eastAsia="Arial" w:hAnsi="Arial" w:cs="Arial"/>
          <w:color w:val="000000"/>
          <w:sz w:val="24"/>
          <w:szCs w:val="24"/>
        </w:rPr>
        <w:t xml:space="preserve">  </w:t>
      </w:r>
      <w:r w:rsidR="004E32A1" w:rsidRPr="00A55D51">
        <w:rPr>
          <w:rFonts w:ascii="Arial" w:eastAsia="Arial" w:hAnsi="Arial" w:cs="Arial"/>
          <w:i/>
          <w:iCs/>
          <w:color w:val="000000"/>
          <w:sz w:val="24"/>
          <w:szCs w:val="24"/>
        </w:rPr>
        <w:t>Ergo</w:t>
      </w:r>
      <w:r w:rsidR="004E32A1" w:rsidRPr="00A55D51">
        <w:rPr>
          <w:rFonts w:ascii="Arial" w:eastAsia="Arial" w:hAnsi="Arial" w:cs="Arial"/>
          <w:color w:val="000000"/>
          <w:sz w:val="24"/>
          <w:szCs w:val="24"/>
        </w:rPr>
        <w:t>, the question of prejudice does not even arise.</w:t>
      </w:r>
    </w:p>
    <w:p w14:paraId="7082AF29" w14:textId="77777777" w:rsidR="004E32A1" w:rsidRDefault="004E32A1" w:rsidP="004E32A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FE0DB5E" w14:textId="37F695C7" w:rsidR="004E32A1"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51.</w:t>
      </w:r>
      <w:r>
        <w:rPr>
          <w:rFonts w:ascii="Arial" w:eastAsia="Arial" w:hAnsi="Arial" w:cs="Arial"/>
          <w:color w:val="000000"/>
          <w:sz w:val="24"/>
          <w:szCs w:val="24"/>
        </w:rPr>
        <w:tab/>
      </w:r>
      <w:r w:rsidR="004B74A0" w:rsidRPr="00A55D51">
        <w:rPr>
          <w:rFonts w:ascii="Arial" w:eastAsia="Arial" w:hAnsi="Arial" w:cs="Arial"/>
          <w:color w:val="000000"/>
          <w:sz w:val="24"/>
          <w:szCs w:val="24"/>
        </w:rPr>
        <w:t>T</w:t>
      </w:r>
      <w:r w:rsidR="004E32A1" w:rsidRPr="00A55D51">
        <w:rPr>
          <w:rFonts w:ascii="Arial" w:eastAsia="Arial" w:hAnsi="Arial" w:cs="Arial"/>
          <w:color w:val="000000"/>
          <w:sz w:val="24"/>
          <w:szCs w:val="24"/>
        </w:rPr>
        <w:t xml:space="preserve">he contention that there is good cause because </w:t>
      </w:r>
      <w:r w:rsidR="00C22F7B" w:rsidRPr="00A55D51">
        <w:rPr>
          <w:rFonts w:ascii="Arial" w:eastAsia="Arial" w:hAnsi="Arial" w:cs="Arial"/>
          <w:color w:val="000000"/>
          <w:sz w:val="24"/>
          <w:szCs w:val="24"/>
        </w:rPr>
        <w:t xml:space="preserve">Floorworx has been lax and/or in no hurry to progress the action is irrelevant.  This is because it is Mazars that became the </w:t>
      </w:r>
      <w:r w:rsidR="00C22F7B" w:rsidRPr="00A55D51">
        <w:rPr>
          <w:rFonts w:ascii="Arial" w:eastAsia="Arial" w:hAnsi="Arial" w:cs="Arial"/>
          <w:i/>
          <w:iCs/>
          <w:color w:val="000000"/>
          <w:sz w:val="24"/>
          <w:szCs w:val="24"/>
        </w:rPr>
        <w:t>domin</w:t>
      </w:r>
      <w:r w:rsidR="00C850C6" w:rsidRPr="00A55D51">
        <w:rPr>
          <w:rFonts w:ascii="Arial" w:eastAsia="Arial" w:hAnsi="Arial" w:cs="Arial"/>
          <w:i/>
          <w:iCs/>
          <w:color w:val="000000"/>
          <w:sz w:val="24"/>
          <w:szCs w:val="24"/>
        </w:rPr>
        <w:t>us litis</w:t>
      </w:r>
      <w:r w:rsidR="00C850C6" w:rsidRPr="00A55D51">
        <w:rPr>
          <w:rFonts w:ascii="Arial" w:eastAsia="Arial" w:hAnsi="Arial" w:cs="Arial"/>
          <w:color w:val="000000"/>
          <w:sz w:val="24"/>
          <w:szCs w:val="24"/>
        </w:rPr>
        <w:t xml:space="preserve"> in respect of the interlocutory procedures.  In other words, it does not lay in the mouth of Mazars to complain about </w:t>
      </w:r>
      <w:r w:rsidR="004B74A0" w:rsidRPr="00A55D51">
        <w:rPr>
          <w:rFonts w:ascii="Arial" w:eastAsia="Arial" w:hAnsi="Arial" w:cs="Arial"/>
          <w:color w:val="000000"/>
          <w:sz w:val="24"/>
          <w:szCs w:val="24"/>
        </w:rPr>
        <w:t>the delay of Floorworx</w:t>
      </w:r>
      <w:r w:rsidR="002C3A20" w:rsidRPr="00A55D51">
        <w:rPr>
          <w:rFonts w:ascii="Arial" w:eastAsia="Arial" w:hAnsi="Arial" w:cs="Arial"/>
          <w:color w:val="000000"/>
          <w:sz w:val="24"/>
          <w:szCs w:val="24"/>
        </w:rPr>
        <w:t xml:space="preserve"> when it is the author of its own delay and which delay could simply never have been caused by the delay of Floorworx</w:t>
      </w:r>
      <w:r w:rsidR="004F24BA" w:rsidRPr="00A55D51">
        <w:rPr>
          <w:rFonts w:ascii="Arial" w:eastAsia="Arial" w:hAnsi="Arial" w:cs="Arial"/>
          <w:color w:val="000000"/>
          <w:sz w:val="24"/>
          <w:szCs w:val="24"/>
        </w:rPr>
        <w:t>.</w:t>
      </w:r>
      <w:r w:rsidR="004B74A0" w:rsidRPr="00A55D51">
        <w:rPr>
          <w:rFonts w:ascii="Arial" w:eastAsia="Arial" w:hAnsi="Arial" w:cs="Arial"/>
          <w:color w:val="000000"/>
          <w:sz w:val="24"/>
          <w:szCs w:val="24"/>
        </w:rPr>
        <w:t xml:space="preserve"> In any event, and because Mazars only jumped into action after FMM informed that the action will proceed, I find that the application is not </w:t>
      </w:r>
      <w:r w:rsidR="004B74A0" w:rsidRPr="00A55D51">
        <w:rPr>
          <w:rFonts w:ascii="Arial" w:eastAsia="Arial" w:hAnsi="Arial" w:cs="Arial"/>
          <w:i/>
          <w:color w:val="000000"/>
          <w:sz w:val="24"/>
          <w:szCs w:val="24"/>
        </w:rPr>
        <w:t>bona fide</w:t>
      </w:r>
      <w:r w:rsidR="004B74A0" w:rsidRPr="00A55D51">
        <w:rPr>
          <w:rFonts w:ascii="Arial" w:eastAsia="Arial" w:hAnsi="Arial" w:cs="Arial"/>
          <w:color w:val="000000"/>
          <w:sz w:val="24"/>
          <w:szCs w:val="24"/>
        </w:rPr>
        <w:t>, but brought with the object to delay delivery of its Plea and thus to delay progress in the action.</w:t>
      </w:r>
    </w:p>
    <w:p w14:paraId="32E1A174" w14:textId="77777777" w:rsidR="004B74A0" w:rsidRPr="004B74A0" w:rsidRDefault="004B74A0" w:rsidP="004B74A0">
      <w:pPr>
        <w:pStyle w:val="ListParagraph"/>
        <w:rPr>
          <w:rFonts w:ascii="Arial" w:eastAsia="Arial" w:hAnsi="Arial" w:cs="Arial"/>
          <w:color w:val="000000"/>
          <w:sz w:val="24"/>
          <w:szCs w:val="24"/>
        </w:rPr>
      </w:pPr>
    </w:p>
    <w:p w14:paraId="650421C2" w14:textId="5AD7F34A" w:rsidR="004B74A0"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52.</w:t>
      </w:r>
      <w:r>
        <w:rPr>
          <w:rFonts w:ascii="Arial" w:eastAsia="Arial" w:hAnsi="Arial" w:cs="Arial"/>
          <w:color w:val="000000"/>
          <w:sz w:val="24"/>
          <w:szCs w:val="24"/>
        </w:rPr>
        <w:tab/>
      </w:r>
      <w:r w:rsidR="004B74A0" w:rsidRPr="00A55D51">
        <w:rPr>
          <w:rFonts w:ascii="Arial" w:eastAsia="Arial" w:hAnsi="Arial" w:cs="Arial"/>
          <w:color w:val="000000"/>
          <w:sz w:val="24"/>
          <w:szCs w:val="24"/>
        </w:rPr>
        <w:t xml:space="preserve">Without finally deciding, I am also of the view that there is little to no prospect of success for the following reasons:- </w:t>
      </w:r>
    </w:p>
    <w:p w14:paraId="62FC7AD1" w14:textId="77777777" w:rsidR="00FC6E16" w:rsidRPr="00FC6E16" w:rsidRDefault="00FC6E16" w:rsidP="00FC6E16">
      <w:pPr>
        <w:pStyle w:val="ListParagraph"/>
        <w:rPr>
          <w:rFonts w:ascii="Arial" w:eastAsia="Arial" w:hAnsi="Arial" w:cs="Arial"/>
          <w:color w:val="000000"/>
          <w:sz w:val="24"/>
          <w:szCs w:val="24"/>
        </w:rPr>
      </w:pPr>
    </w:p>
    <w:p w14:paraId="034757B5" w14:textId="22FDEED8" w:rsidR="00FC6E16" w:rsidRPr="00157666" w:rsidRDefault="00FC6E16" w:rsidP="005238B7">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52.1</w:t>
      </w:r>
      <w:r w:rsidR="00157666">
        <w:rPr>
          <w:rFonts w:ascii="Arial" w:eastAsia="Arial" w:hAnsi="Arial" w:cs="Arial"/>
          <w:color w:val="000000"/>
          <w:sz w:val="24"/>
          <w:szCs w:val="24"/>
        </w:rPr>
        <w:tab/>
        <w:t xml:space="preserve">the one exception on vague and embarrassing grounds was expressly abandoned during the hearing.  The other, and in my view, concerns an </w:t>
      </w:r>
      <w:r w:rsidR="00157666">
        <w:rPr>
          <w:rFonts w:ascii="Arial" w:eastAsia="Arial" w:hAnsi="Arial" w:cs="Arial"/>
          <w:color w:val="000000"/>
          <w:sz w:val="24"/>
          <w:szCs w:val="24"/>
        </w:rPr>
        <w:lastRenderedPageBreak/>
        <w:t xml:space="preserve">issue of interpretation and therefore law.  Ever since </w:t>
      </w:r>
      <w:r w:rsidR="00157666" w:rsidRPr="00157666">
        <w:rPr>
          <w:rFonts w:ascii="Arial" w:eastAsia="Arial" w:hAnsi="Arial" w:cs="Arial"/>
          <w:i/>
          <w:color w:val="000000"/>
          <w:sz w:val="24"/>
          <w:szCs w:val="24"/>
        </w:rPr>
        <w:t>Auckland</w:t>
      </w:r>
      <w:r w:rsidR="00157666">
        <w:rPr>
          <w:rFonts w:ascii="Arial" w:eastAsia="Arial" w:hAnsi="Arial" w:cs="Arial"/>
          <w:color w:val="000000"/>
          <w:sz w:val="24"/>
          <w:szCs w:val="24"/>
        </w:rPr>
        <w:t xml:space="preserve"> </w:t>
      </w:r>
      <w:r w:rsidR="00157666">
        <w:rPr>
          <w:rStyle w:val="FootnoteReference"/>
          <w:rFonts w:ascii="Arial" w:eastAsia="Arial" w:hAnsi="Arial" w:cs="Arial"/>
          <w:color w:val="000000"/>
          <w:sz w:val="24"/>
          <w:szCs w:val="24"/>
        </w:rPr>
        <w:footnoteReference w:id="55"/>
      </w:r>
      <w:r w:rsidR="00157666">
        <w:rPr>
          <w:rFonts w:ascii="Arial" w:eastAsia="Arial" w:hAnsi="Arial" w:cs="Arial"/>
          <w:color w:val="000000"/>
          <w:sz w:val="24"/>
          <w:szCs w:val="24"/>
        </w:rPr>
        <w:t xml:space="preserve"> it is clear that parol evidence is admissible as “</w:t>
      </w:r>
      <w:r w:rsidR="00157666">
        <w:rPr>
          <w:rFonts w:ascii="Arial" w:eastAsia="Arial" w:hAnsi="Arial" w:cs="Arial"/>
          <w:i/>
          <w:color w:val="000000"/>
          <w:sz w:val="24"/>
          <w:szCs w:val="24"/>
        </w:rPr>
        <w:t>context”</w:t>
      </w:r>
      <w:r w:rsidR="00157666">
        <w:rPr>
          <w:rFonts w:ascii="Arial" w:eastAsia="Arial" w:hAnsi="Arial" w:cs="Arial"/>
          <w:color w:val="000000"/>
          <w:sz w:val="24"/>
          <w:szCs w:val="24"/>
        </w:rPr>
        <w:t xml:space="preserve"> for purposes of interpretation of a clause in a written agreement that co</w:t>
      </w:r>
      <w:r w:rsidR="00340B98">
        <w:rPr>
          <w:rFonts w:ascii="Arial" w:eastAsia="Arial" w:hAnsi="Arial" w:cs="Arial"/>
          <w:color w:val="000000"/>
          <w:sz w:val="24"/>
          <w:szCs w:val="24"/>
        </w:rPr>
        <w:t>nstitutes the complete jur</w:t>
      </w:r>
      <w:r w:rsidR="00157666">
        <w:rPr>
          <w:rFonts w:ascii="Arial" w:eastAsia="Arial" w:hAnsi="Arial" w:cs="Arial"/>
          <w:color w:val="000000"/>
          <w:sz w:val="24"/>
          <w:szCs w:val="24"/>
        </w:rPr>
        <w:t>al act. Having regard to paragraphs 12 – 18 of the Amended Particulars of Claim read with paragraphs 12.2</w:t>
      </w:r>
      <w:r w:rsidR="00F4532A">
        <w:rPr>
          <w:rFonts w:ascii="Arial" w:eastAsia="Arial" w:hAnsi="Arial" w:cs="Arial"/>
          <w:color w:val="000000"/>
          <w:sz w:val="24"/>
          <w:szCs w:val="24"/>
        </w:rPr>
        <w:t>,</w:t>
      </w:r>
      <w:r w:rsidR="00157666">
        <w:rPr>
          <w:rFonts w:ascii="Arial" w:eastAsia="Arial" w:hAnsi="Arial" w:cs="Arial"/>
          <w:color w:val="000000"/>
          <w:sz w:val="24"/>
          <w:szCs w:val="24"/>
        </w:rPr>
        <w:t xml:space="preserve"> 12.3</w:t>
      </w:r>
      <w:r w:rsidR="00F4532A">
        <w:rPr>
          <w:rFonts w:ascii="Arial" w:eastAsia="Arial" w:hAnsi="Arial" w:cs="Arial"/>
          <w:color w:val="000000"/>
          <w:sz w:val="24"/>
          <w:szCs w:val="24"/>
        </w:rPr>
        <w:t xml:space="preserve"> and 13.1</w:t>
      </w:r>
      <w:r w:rsidR="00157666">
        <w:rPr>
          <w:rFonts w:ascii="Arial" w:eastAsia="Arial" w:hAnsi="Arial" w:cs="Arial"/>
          <w:color w:val="000000"/>
          <w:sz w:val="24"/>
          <w:szCs w:val="24"/>
        </w:rPr>
        <w:t xml:space="preserve"> </w:t>
      </w:r>
      <w:r w:rsidR="00157666">
        <w:rPr>
          <w:rFonts w:ascii="Arial" w:eastAsia="Arial" w:hAnsi="Arial" w:cs="Arial"/>
          <w:i/>
          <w:color w:val="000000"/>
          <w:sz w:val="24"/>
          <w:szCs w:val="24"/>
        </w:rPr>
        <w:t>supra</w:t>
      </w:r>
      <w:r w:rsidR="00157666">
        <w:rPr>
          <w:rFonts w:ascii="Arial" w:eastAsia="Arial" w:hAnsi="Arial" w:cs="Arial"/>
          <w:color w:val="000000"/>
          <w:sz w:val="24"/>
          <w:szCs w:val="24"/>
        </w:rPr>
        <w:t xml:space="preserve"> </w:t>
      </w:r>
      <w:r w:rsidR="005238B7">
        <w:rPr>
          <w:rFonts w:ascii="Arial" w:eastAsia="Arial" w:hAnsi="Arial" w:cs="Arial"/>
          <w:color w:val="000000"/>
          <w:sz w:val="24"/>
          <w:szCs w:val="24"/>
        </w:rPr>
        <w:t>where it was show</w:t>
      </w:r>
      <w:r w:rsidR="00340B98">
        <w:rPr>
          <w:rFonts w:ascii="Arial" w:eastAsia="Arial" w:hAnsi="Arial" w:cs="Arial"/>
          <w:color w:val="000000"/>
          <w:sz w:val="24"/>
          <w:szCs w:val="24"/>
        </w:rPr>
        <w:t>n that it was provided in both A</w:t>
      </w:r>
      <w:r w:rsidR="005238B7">
        <w:rPr>
          <w:rFonts w:ascii="Arial" w:eastAsia="Arial" w:hAnsi="Arial" w:cs="Arial"/>
          <w:color w:val="000000"/>
          <w:sz w:val="24"/>
          <w:szCs w:val="24"/>
        </w:rPr>
        <w:t>nnexures POC1 and POC2 that the request for the audit to be undertaken by Mazars encompassed the financial statements of not merely Accentuate, but also the subsi</w:t>
      </w:r>
      <w:r w:rsidR="00340B98">
        <w:rPr>
          <w:rFonts w:ascii="Arial" w:eastAsia="Arial" w:hAnsi="Arial" w:cs="Arial"/>
          <w:color w:val="000000"/>
          <w:sz w:val="24"/>
          <w:szCs w:val="24"/>
        </w:rPr>
        <w:t>diaries that includes Floorworx,</w:t>
      </w:r>
      <w:r w:rsidR="005238B7">
        <w:rPr>
          <w:rFonts w:ascii="Arial" w:eastAsia="Arial" w:hAnsi="Arial" w:cs="Arial"/>
          <w:color w:val="000000"/>
          <w:sz w:val="24"/>
          <w:szCs w:val="24"/>
        </w:rPr>
        <w:t xml:space="preserve"> a proper interpretation of the </w:t>
      </w:r>
      <w:r w:rsidR="005238B7" w:rsidRPr="00340B98">
        <w:rPr>
          <w:rFonts w:ascii="Arial" w:eastAsia="Arial" w:hAnsi="Arial" w:cs="Arial"/>
          <w:color w:val="000000"/>
          <w:sz w:val="24"/>
          <w:szCs w:val="24"/>
        </w:rPr>
        <w:t>third party clause</w:t>
      </w:r>
      <w:r w:rsidR="005238B7">
        <w:rPr>
          <w:rFonts w:ascii="Arial" w:eastAsia="Arial" w:hAnsi="Arial" w:cs="Arial"/>
          <w:color w:val="000000"/>
          <w:sz w:val="24"/>
          <w:szCs w:val="24"/>
        </w:rPr>
        <w:t xml:space="preserve"> </w:t>
      </w:r>
      <w:r w:rsidR="00340B98">
        <w:rPr>
          <w:rFonts w:ascii="Arial" w:eastAsia="Arial" w:hAnsi="Arial" w:cs="Arial"/>
          <w:color w:val="000000"/>
          <w:sz w:val="24"/>
          <w:szCs w:val="24"/>
        </w:rPr>
        <w:t xml:space="preserve">of </w:t>
      </w:r>
      <w:r w:rsidR="005238B7">
        <w:rPr>
          <w:rFonts w:ascii="Arial" w:eastAsia="Arial" w:hAnsi="Arial" w:cs="Arial"/>
          <w:color w:val="000000"/>
          <w:sz w:val="24"/>
          <w:szCs w:val="24"/>
        </w:rPr>
        <w:t>the words: ”</w:t>
      </w:r>
      <w:r w:rsidR="005238B7">
        <w:rPr>
          <w:rFonts w:ascii="Arial" w:eastAsia="Arial" w:hAnsi="Arial" w:cs="Arial"/>
          <w:i/>
          <w:color w:val="000000"/>
          <w:sz w:val="24"/>
          <w:szCs w:val="24"/>
        </w:rPr>
        <w:t>… nothing herein is to be construed as creating any rights in favour of any other third parties</w:t>
      </w:r>
      <w:r w:rsidR="005238B7">
        <w:rPr>
          <w:rFonts w:ascii="Arial" w:eastAsia="Arial" w:hAnsi="Arial" w:cs="Arial"/>
          <w:color w:val="000000"/>
          <w:sz w:val="24"/>
          <w:szCs w:val="24"/>
        </w:rPr>
        <w:t>” means parties over and above Accentuate, its subsidiaries and Floorworx.  So interpreted there will be no contradiction and therefore it will not be vague and embarrassing.  Mazars must consequently plead their stance whereupon it will be open to Floorworx to replicate on</w:t>
      </w:r>
      <w:r w:rsidR="00340B98">
        <w:rPr>
          <w:rFonts w:ascii="Arial" w:eastAsia="Arial" w:hAnsi="Arial" w:cs="Arial"/>
          <w:color w:val="000000"/>
          <w:sz w:val="24"/>
          <w:szCs w:val="24"/>
        </w:rPr>
        <w:t xml:space="preserve"> a</w:t>
      </w:r>
      <w:r w:rsidR="00F4532A">
        <w:rPr>
          <w:rFonts w:ascii="Arial" w:eastAsia="Arial" w:hAnsi="Arial" w:cs="Arial"/>
          <w:color w:val="000000"/>
          <w:sz w:val="24"/>
          <w:szCs w:val="24"/>
        </w:rPr>
        <w:t xml:space="preserve"> similar interpretive basis; </w:t>
      </w:r>
      <w:r w:rsidR="00340B98">
        <w:rPr>
          <w:rFonts w:ascii="Arial" w:eastAsia="Arial" w:hAnsi="Arial" w:cs="Arial"/>
          <w:color w:val="000000"/>
          <w:sz w:val="24"/>
          <w:szCs w:val="24"/>
        </w:rPr>
        <w:t>and</w:t>
      </w:r>
    </w:p>
    <w:p w14:paraId="71311C3C" w14:textId="77777777" w:rsidR="00FC6E16" w:rsidRDefault="00FC6E16" w:rsidP="00FC6E1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F915668" w14:textId="6F4B7020" w:rsidR="00FC6E16" w:rsidRPr="000B3C96" w:rsidRDefault="00FC6E16" w:rsidP="000B3C9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52.2</w:t>
      </w:r>
      <w:r w:rsidR="005238B7">
        <w:rPr>
          <w:rFonts w:ascii="Arial" w:eastAsia="Arial" w:hAnsi="Arial" w:cs="Arial"/>
          <w:color w:val="000000"/>
          <w:sz w:val="24"/>
          <w:szCs w:val="24"/>
        </w:rPr>
        <w:tab/>
      </w:r>
      <w:r w:rsidR="00340B98">
        <w:rPr>
          <w:rFonts w:ascii="Arial" w:eastAsia="Arial" w:hAnsi="Arial" w:cs="Arial"/>
          <w:color w:val="000000"/>
          <w:sz w:val="24"/>
          <w:szCs w:val="24"/>
        </w:rPr>
        <w:t>t</w:t>
      </w:r>
      <w:r w:rsidR="005238B7">
        <w:rPr>
          <w:rFonts w:ascii="Arial" w:eastAsia="Arial" w:hAnsi="Arial" w:cs="Arial"/>
          <w:color w:val="000000"/>
          <w:sz w:val="24"/>
          <w:szCs w:val="24"/>
        </w:rPr>
        <w:t>he first purported irregularity is the same as the exception based on a lack of necessary averments to sustain a cause of action.  I have already shown hereinabove t</w:t>
      </w:r>
      <w:r w:rsidR="00F4532A">
        <w:rPr>
          <w:rFonts w:ascii="Arial" w:eastAsia="Arial" w:hAnsi="Arial" w:cs="Arial"/>
          <w:color w:val="000000"/>
          <w:sz w:val="24"/>
          <w:szCs w:val="24"/>
        </w:rPr>
        <w:t>hat such exception has no merit</w:t>
      </w:r>
      <w:r w:rsidR="005238B7">
        <w:rPr>
          <w:rFonts w:ascii="Arial" w:eastAsia="Arial" w:hAnsi="Arial" w:cs="Arial"/>
          <w:color w:val="000000"/>
          <w:sz w:val="24"/>
          <w:szCs w:val="24"/>
        </w:rPr>
        <w:t xml:space="preserve"> and for reasons </w:t>
      </w:r>
      <w:r w:rsidR="005238B7">
        <w:rPr>
          <w:rFonts w:ascii="Arial" w:eastAsia="Arial" w:hAnsi="Arial" w:cs="Arial"/>
          <w:i/>
          <w:color w:val="000000"/>
          <w:sz w:val="24"/>
          <w:szCs w:val="24"/>
        </w:rPr>
        <w:t>mutatis mutandis</w:t>
      </w:r>
      <w:r w:rsidR="005238B7">
        <w:rPr>
          <w:rFonts w:ascii="Arial" w:eastAsia="Arial" w:hAnsi="Arial" w:cs="Arial"/>
          <w:color w:val="000000"/>
          <w:sz w:val="24"/>
          <w:szCs w:val="24"/>
        </w:rPr>
        <w:t xml:space="preserve"> in respect thereof, the same applies to the purported irregularity.  As regards the issue of </w:t>
      </w:r>
      <w:r w:rsidR="005238B7">
        <w:rPr>
          <w:rFonts w:ascii="Arial" w:eastAsia="Arial" w:hAnsi="Arial" w:cs="Arial"/>
          <w:i/>
          <w:color w:val="000000"/>
          <w:sz w:val="24"/>
          <w:szCs w:val="24"/>
        </w:rPr>
        <w:t>quantum</w:t>
      </w:r>
      <w:r w:rsidR="005238B7">
        <w:rPr>
          <w:rFonts w:ascii="Arial" w:eastAsia="Arial" w:hAnsi="Arial" w:cs="Arial"/>
          <w:color w:val="000000"/>
          <w:sz w:val="24"/>
          <w:szCs w:val="24"/>
        </w:rPr>
        <w:t xml:space="preserve">, </w:t>
      </w:r>
      <w:r w:rsidR="000B3C96">
        <w:rPr>
          <w:rFonts w:ascii="Arial" w:eastAsia="Arial" w:hAnsi="Arial" w:cs="Arial"/>
          <w:color w:val="000000"/>
          <w:sz w:val="24"/>
          <w:szCs w:val="24"/>
        </w:rPr>
        <w:t>Mazars is purported</w:t>
      </w:r>
      <w:r w:rsidR="00340B98">
        <w:rPr>
          <w:rFonts w:ascii="Arial" w:eastAsia="Arial" w:hAnsi="Arial" w:cs="Arial"/>
          <w:color w:val="000000"/>
          <w:sz w:val="24"/>
          <w:szCs w:val="24"/>
        </w:rPr>
        <w:t>ly</w:t>
      </w:r>
      <w:r w:rsidR="000B3C96">
        <w:rPr>
          <w:rFonts w:ascii="Arial" w:eastAsia="Arial" w:hAnsi="Arial" w:cs="Arial"/>
          <w:color w:val="000000"/>
          <w:sz w:val="24"/>
          <w:szCs w:val="24"/>
        </w:rPr>
        <w:t xml:space="preserve"> unable to investigate how or whether it could, through adequate audit procedures, have discovered each transaction.  However, from paragraph 27.2 of the Amended Particulars of Claim it is apparent that Floorworx identifies a date in September of a particular year, coinciding with the date of the audit completion report of that particular year, in respect of which it says that, absent the n</w:t>
      </w:r>
      <w:r w:rsidR="00F4532A">
        <w:rPr>
          <w:rFonts w:ascii="Arial" w:eastAsia="Arial" w:hAnsi="Arial" w:cs="Arial"/>
          <w:color w:val="000000"/>
          <w:sz w:val="24"/>
          <w:szCs w:val="24"/>
        </w:rPr>
        <w:t>egligence of Mazars, Schreuder’s</w:t>
      </w:r>
      <w:r w:rsidR="000B3C96">
        <w:rPr>
          <w:rFonts w:ascii="Arial" w:eastAsia="Arial" w:hAnsi="Arial" w:cs="Arial"/>
          <w:color w:val="000000"/>
          <w:sz w:val="24"/>
          <w:szCs w:val="24"/>
        </w:rPr>
        <w:t xml:space="preserve"> fraud would have been detected by no later than such date. In any event, Mazars is not entitled to insist on an advance “</w:t>
      </w:r>
      <w:r w:rsidR="000B3C96">
        <w:rPr>
          <w:rFonts w:ascii="Arial" w:eastAsia="Arial" w:hAnsi="Arial" w:cs="Arial"/>
          <w:i/>
          <w:color w:val="000000"/>
          <w:sz w:val="24"/>
          <w:szCs w:val="24"/>
        </w:rPr>
        <w:t>sneak peek</w:t>
      </w:r>
      <w:r w:rsidR="000B3C96">
        <w:rPr>
          <w:rFonts w:ascii="Arial" w:eastAsia="Arial" w:hAnsi="Arial" w:cs="Arial"/>
          <w:color w:val="000000"/>
          <w:sz w:val="24"/>
          <w:szCs w:val="24"/>
        </w:rPr>
        <w:t>”</w:t>
      </w:r>
      <w:r w:rsidR="00340B98">
        <w:rPr>
          <w:rFonts w:ascii="Arial" w:eastAsia="Arial" w:hAnsi="Arial" w:cs="Arial"/>
          <w:color w:val="000000"/>
          <w:sz w:val="24"/>
          <w:szCs w:val="24"/>
        </w:rPr>
        <w:t xml:space="preserve"> of</w:t>
      </w:r>
      <w:r w:rsidR="000B3C96">
        <w:rPr>
          <w:rFonts w:ascii="Arial" w:eastAsia="Arial" w:hAnsi="Arial" w:cs="Arial"/>
          <w:color w:val="000000"/>
          <w:sz w:val="24"/>
          <w:szCs w:val="24"/>
        </w:rPr>
        <w:t xml:space="preserve"> Floorworxs’ evidence.</w:t>
      </w:r>
      <w:r w:rsidR="000B3C96">
        <w:rPr>
          <w:rStyle w:val="FootnoteReference"/>
          <w:rFonts w:ascii="Arial" w:eastAsia="Arial" w:hAnsi="Arial" w:cs="Arial"/>
          <w:color w:val="000000"/>
          <w:sz w:val="24"/>
          <w:szCs w:val="24"/>
        </w:rPr>
        <w:footnoteReference w:id="56"/>
      </w:r>
      <w:r w:rsidR="000B3C96">
        <w:rPr>
          <w:rFonts w:ascii="Arial" w:eastAsia="Arial" w:hAnsi="Arial" w:cs="Arial"/>
          <w:color w:val="000000"/>
          <w:sz w:val="24"/>
          <w:szCs w:val="24"/>
        </w:rPr>
        <w:t xml:space="preserve">  Misappropriation via fraud and/or theft of </w:t>
      </w:r>
      <w:r w:rsidR="000B3C96">
        <w:rPr>
          <w:rFonts w:ascii="Arial" w:eastAsia="Arial" w:hAnsi="Arial" w:cs="Arial"/>
          <w:color w:val="000000"/>
          <w:sz w:val="24"/>
          <w:szCs w:val="24"/>
        </w:rPr>
        <w:lastRenderedPageBreak/>
        <w:t xml:space="preserve">money </w:t>
      </w:r>
      <w:r w:rsidR="00340B98">
        <w:rPr>
          <w:rFonts w:ascii="Arial" w:eastAsia="Arial" w:hAnsi="Arial" w:cs="Arial"/>
          <w:color w:val="000000"/>
          <w:sz w:val="24"/>
          <w:szCs w:val="24"/>
        </w:rPr>
        <w:t xml:space="preserve">occurs in </w:t>
      </w:r>
      <w:r w:rsidR="000B3C96">
        <w:rPr>
          <w:rFonts w:ascii="Arial" w:eastAsia="Arial" w:hAnsi="Arial" w:cs="Arial"/>
          <w:color w:val="000000"/>
          <w:sz w:val="24"/>
          <w:szCs w:val="24"/>
        </w:rPr>
        <w:t>fixed amount</w:t>
      </w:r>
      <w:r w:rsidR="00340B98">
        <w:rPr>
          <w:rFonts w:ascii="Arial" w:eastAsia="Arial" w:hAnsi="Arial" w:cs="Arial"/>
          <w:color w:val="000000"/>
          <w:sz w:val="24"/>
          <w:szCs w:val="24"/>
        </w:rPr>
        <w:t>s</w:t>
      </w:r>
      <w:r w:rsidR="000B3C96">
        <w:rPr>
          <w:rFonts w:ascii="Arial" w:eastAsia="Arial" w:hAnsi="Arial" w:cs="Arial"/>
          <w:color w:val="000000"/>
          <w:sz w:val="24"/>
          <w:szCs w:val="24"/>
        </w:rPr>
        <w:t xml:space="preserve"> that it not subject to reduction or “</w:t>
      </w:r>
      <w:r w:rsidR="000B3C96">
        <w:rPr>
          <w:rFonts w:ascii="Arial" w:eastAsia="Arial" w:hAnsi="Arial" w:cs="Arial"/>
          <w:i/>
          <w:color w:val="000000"/>
          <w:sz w:val="24"/>
          <w:szCs w:val="24"/>
        </w:rPr>
        <w:t>assessment</w:t>
      </w:r>
      <w:r w:rsidR="000B3C96">
        <w:rPr>
          <w:rFonts w:ascii="Arial" w:eastAsia="Arial" w:hAnsi="Arial" w:cs="Arial"/>
          <w:color w:val="000000"/>
          <w:sz w:val="24"/>
          <w:szCs w:val="24"/>
        </w:rPr>
        <w:t>”</w:t>
      </w:r>
      <w:r w:rsidR="000B3C96">
        <w:rPr>
          <w:rStyle w:val="FootnoteReference"/>
          <w:rFonts w:ascii="Arial" w:eastAsia="Arial" w:hAnsi="Arial" w:cs="Arial"/>
          <w:color w:val="000000"/>
          <w:sz w:val="24"/>
          <w:szCs w:val="24"/>
        </w:rPr>
        <w:footnoteReference w:id="57"/>
      </w:r>
      <w:r w:rsidR="00340B98">
        <w:rPr>
          <w:rFonts w:ascii="Arial" w:eastAsia="Arial" w:hAnsi="Arial" w:cs="Arial"/>
          <w:color w:val="000000"/>
          <w:sz w:val="24"/>
          <w:szCs w:val="24"/>
        </w:rPr>
        <w:t xml:space="preserve"> and is not the product of a calculation comprising various unknown parts</w:t>
      </w:r>
      <w:r w:rsidR="00340B98">
        <w:rPr>
          <w:rStyle w:val="FootnoteReference"/>
          <w:rFonts w:ascii="Arial" w:eastAsia="Arial" w:hAnsi="Arial" w:cs="Arial"/>
          <w:color w:val="000000"/>
          <w:sz w:val="24"/>
          <w:szCs w:val="24"/>
        </w:rPr>
        <w:footnoteReference w:id="58"/>
      </w:r>
      <w:r w:rsidR="00340B98">
        <w:rPr>
          <w:rFonts w:ascii="Arial" w:eastAsia="Arial" w:hAnsi="Arial" w:cs="Arial"/>
          <w:color w:val="000000"/>
          <w:sz w:val="24"/>
          <w:szCs w:val="24"/>
        </w:rPr>
        <w:t xml:space="preserve">. </w:t>
      </w:r>
    </w:p>
    <w:p w14:paraId="7B4F6951" w14:textId="77777777" w:rsidR="004F24BA" w:rsidRDefault="004F24BA" w:rsidP="004F24BA">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243214D" w14:textId="1235DA08" w:rsidR="004F24BA"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53.</w:t>
      </w:r>
      <w:r>
        <w:rPr>
          <w:rFonts w:ascii="Arial" w:eastAsia="Arial" w:hAnsi="Arial" w:cs="Arial"/>
          <w:color w:val="000000"/>
          <w:sz w:val="24"/>
          <w:szCs w:val="24"/>
        </w:rPr>
        <w:tab/>
      </w:r>
      <w:r w:rsidR="00A51331" w:rsidRPr="00A55D51">
        <w:rPr>
          <w:rFonts w:ascii="Arial" w:eastAsia="Arial" w:hAnsi="Arial" w:cs="Arial"/>
          <w:color w:val="000000"/>
          <w:sz w:val="24"/>
          <w:szCs w:val="24"/>
        </w:rPr>
        <w:t xml:space="preserve">I </w:t>
      </w:r>
      <w:r w:rsidR="004B74A0" w:rsidRPr="00A55D51">
        <w:rPr>
          <w:rFonts w:ascii="Arial" w:eastAsia="Arial" w:hAnsi="Arial" w:cs="Arial"/>
          <w:color w:val="000000"/>
          <w:sz w:val="24"/>
          <w:szCs w:val="24"/>
        </w:rPr>
        <w:t xml:space="preserve">therefore </w:t>
      </w:r>
      <w:r w:rsidR="00A51331" w:rsidRPr="00A55D51">
        <w:rPr>
          <w:rFonts w:ascii="Arial" w:eastAsia="Arial" w:hAnsi="Arial" w:cs="Arial"/>
          <w:color w:val="000000"/>
          <w:sz w:val="24"/>
          <w:szCs w:val="24"/>
        </w:rPr>
        <w:t>find that Mazars failed to show good cause as required by Rule 27(1) to condone the late filing of the exceptions based on vague and embarrassing ground</w:t>
      </w:r>
      <w:r w:rsidR="004B74A0" w:rsidRPr="00A55D51">
        <w:rPr>
          <w:rFonts w:ascii="Arial" w:eastAsia="Arial" w:hAnsi="Arial" w:cs="Arial"/>
          <w:color w:val="000000"/>
          <w:sz w:val="24"/>
          <w:szCs w:val="24"/>
        </w:rPr>
        <w:t>s</w:t>
      </w:r>
      <w:r w:rsidR="005E2D83" w:rsidRPr="00A55D51">
        <w:rPr>
          <w:rFonts w:ascii="Arial" w:eastAsia="Arial" w:hAnsi="Arial" w:cs="Arial"/>
          <w:color w:val="000000"/>
          <w:sz w:val="24"/>
          <w:szCs w:val="24"/>
        </w:rPr>
        <w:t xml:space="preserve"> and the</w:t>
      </w:r>
      <w:r w:rsidR="004B74A0" w:rsidRPr="00A55D51">
        <w:rPr>
          <w:rFonts w:ascii="Arial" w:eastAsia="Arial" w:hAnsi="Arial" w:cs="Arial"/>
          <w:color w:val="000000"/>
          <w:sz w:val="24"/>
          <w:szCs w:val="24"/>
        </w:rPr>
        <w:t xml:space="preserve"> late filing of the</w:t>
      </w:r>
      <w:r w:rsidR="005E2D83" w:rsidRPr="00A55D51">
        <w:rPr>
          <w:rFonts w:ascii="Arial" w:eastAsia="Arial" w:hAnsi="Arial" w:cs="Arial"/>
          <w:color w:val="000000"/>
          <w:sz w:val="24"/>
          <w:szCs w:val="24"/>
        </w:rPr>
        <w:t xml:space="preserve"> application to strike out in terms of Rule 30(1).  The consequence of this finding is that the application to strike out in terms of Rule </w:t>
      </w:r>
      <w:r w:rsidR="004B74A0" w:rsidRPr="00A55D51">
        <w:rPr>
          <w:rFonts w:ascii="Arial" w:eastAsia="Arial" w:hAnsi="Arial" w:cs="Arial"/>
          <w:color w:val="000000"/>
          <w:sz w:val="24"/>
          <w:szCs w:val="24"/>
        </w:rPr>
        <w:t>30(1) is not properly on my roll</w:t>
      </w:r>
      <w:r w:rsidR="005E2D83" w:rsidRPr="00A55D51">
        <w:rPr>
          <w:rFonts w:ascii="Arial" w:eastAsia="Arial" w:hAnsi="Arial" w:cs="Arial"/>
          <w:color w:val="000000"/>
          <w:sz w:val="24"/>
          <w:szCs w:val="24"/>
        </w:rPr>
        <w:t xml:space="preserve"> and must accordingly be removed.  In regard to the </w:t>
      </w:r>
      <w:r w:rsidR="0075081F" w:rsidRPr="00A55D51">
        <w:rPr>
          <w:rFonts w:ascii="Arial" w:eastAsia="Arial" w:hAnsi="Arial" w:cs="Arial"/>
          <w:color w:val="000000"/>
          <w:sz w:val="24"/>
          <w:szCs w:val="24"/>
        </w:rPr>
        <w:t>exceptions based on vague and embarrassing grounds, the question now arises whether an application</w:t>
      </w:r>
      <w:r w:rsidR="004B74A0" w:rsidRPr="00A55D51">
        <w:rPr>
          <w:rFonts w:ascii="Arial" w:eastAsia="Arial" w:hAnsi="Arial" w:cs="Arial"/>
          <w:color w:val="000000"/>
          <w:sz w:val="24"/>
          <w:szCs w:val="24"/>
        </w:rPr>
        <w:t xml:space="preserve"> for condonation is at all required</w:t>
      </w:r>
      <w:r w:rsidR="0075081F" w:rsidRPr="00A55D51">
        <w:rPr>
          <w:rFonts w:ascii="Arial" w:eastAsia="Arial" w:hAnsi="Arial" w:cs="Arial"/>
          <w:color w:val="000000"/>
          <w:sz w:val="24"/>
          <w:szCs w:val="24"/>
        </w:rPr>
        <w:t>.  It is to that issue that I now turn.</w:t>
      </w:r>
    </w:p>
    <w:p w14:paraId="448AE3AC" w14:textId="1F4D1647" w:rsidR="00565219" w:rsidRDefault="00565219" w:rsidP="00565219">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4561295C" w14:textId="60CB1DAF" w:rsidR="00565219"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54.</w:t>
      </w:r>
      <w:r>
        <w:rPr>
          <w:rFonts w:ascii="Arial" w:eastAsia="Arial" w:hAnsi="Arial" w:cs="Arial"/>
          <w:color w:val="000000"/>
          <w:sz w:val="24"/>
          <w:szCs w:val="24"/>
        </w:rPr>
        <w:tab/>
      </w:r>
      <w:r w:rsidR="00E83634" w:rsidRPr="00A55D51">
        <w:rPr>
          <w:rFonts w:ascii="Arial" w:eastAsia="Arial" w:hAnsi="Arial" w:cs="Arial"/>
          <w:color w:val="000000"/>
          <w:sz w:val="24"/>
          <w:szCs w:val="24"/>
        </w:rPr>
        <w:t>Rule 23(1) was substituted/amended by GN R</w:t>
      </w:r>
      <w:r w:rsidR="00DE0769" w:rsidRPr="00A55D51">
        <w:rPr>
          <w:rFonts w:ascii="Arial" w:eastAsia="Arial" w:hAnsi="Arial" w:cs="Arial"/>
          <w:color w:val="000000"/>
          <w:sz w:val="24"/>
          <w:szCs w:val="24"/>
        </w:rPr>
        <w:t xml:space="preserve">1343 of 18 October 2019.  After that date, Rule 23(1) provides as </w:t>
      </w:r>
      <w:r w:rsidR="00FC6E16" w:rsidRPr="00A55D51">
        <w:rPr>
          <w:rFonts w:ascii="Arial" w:eastAsia="Arial" w:hAnsi="Arial" w:cs="Arial"/>
          <w:color w:val="000000"/>
          <w:sz w:val="24"/>
          <w:szCs w:val="24"/>
        </w:rPr>
        <w:t>appears in paragraph 38</w:t>
      </w:r>
      <w:r w:rsidR="0069560F" w:rsidRPr="00A55D51">
        <w:rPr>
          <w:rFonts w:ascii="Arial" w:eastAsia="Arial" w:hAnsi="Arial" w:cs="Arial"/>
          <w:color w:val="000000"/>
          <w:sz w:val="24"/>
          <w:szCs w:val="24"/>
        </w:rPr>
        <w:t xml:space="preserve"> </w:t>
      </w:r>
      <w:r w:rsidR="0069560F" w:rsidRPr="00A55D51">
        <w:rPr>
          <w:rFonts w:ascii="Arial" w:eastAsia="Arial" w:hAnsi="Arial" w:cs="Arial"/>
          <w:i/>
          <w:iCs/>
          <w:color w:val="000000"/>
          <w:sz w:val="24"/>
          <w:szCs w:val="24"/>
        </w:rPr>
        <w:t>supra</w:t>
      </w:r>
      <w:r w:rsidR="0069560F" w:rsidRPr="00A55D51">
        <w:rPr>
          <w:rFonts w:ascii="Arial" w:eastAsia="Arial" w:hAnsi="Arial" w:cs="Arial"/>
          <w:color w:val="000000"/>
          <w:sz w:val="24"/>
          <w:szCs w:val="24"/>
        </w:rPr>
        <w:t xml:space="preserve">.  Prior to 18 October 2019, Rule 23(1) provided </w:t>
      </w:r>
      <w:r w:rsidR="0069560F" w:rsidRPr="00A55D51">
        <w:rPr>
          <w:rFonts w:ascii="Arial" w:eastAsia="Arial" w:hAnsi="Arial" w:cs="Arial"/>
          <w:i/>
          <w:iCs/>
          <w:color w:val="000000"/>
          <w:sz w:val="24"/>
          <w:szCs w:val="24"/>
        </w:rPr>
        <w:t>verbatim</w:t>
      </w:r>
      <w:r w:rsidR="0069560F" w:rsidRPr="00A55D51">
        <w:rPr>
          <w:rFonts w:ascii="Arial" w:eastAsia="Arial" w:hAnsi="Arial" w:cs="Arial"/>
          <w:color w:val="000000"/>
          <w:sz w:val="24"/>
          <w:szCs w:val="24"/>
        </w:rPr>
        <w:t xml:space="preserve"> as follows:-</w:t>
      </w:r>
    </w:p>
    <w:p w14:paraId="23350767" w14:textId="77777777" w:rsidR="0069560F" w:rsidRDefault="0069560F" w:rsidP="0069560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DBCA996" w14:textId="18C12FCB" w:rsidR="0069560F" w:rsidRPr="003F3250" w:rsidRDefault="003F3250" w:rsidP="0042699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sidRPr="003F3250">
        <w:rPr>
          <w:rFonts w:ascii="Arial" w:eastAsia="Arial" w:hAnsi="Arial" w:cs="Arial"/>
          <w:i/>
          <w:iCs/>
          <w:color w:val="000000"/>
        </w:rPr>
        <w:t>“</w:t>
      </w:r>
      <w:r>
        <w:rPr>
          <w:rFonts w:ascii="Arial" w:eastAsia="Arial" w:hAnsi="Arial" w:cs="Arial"/>
          <w:i/>
          <w:iCs/>
          <w:color w:val="000000"/>
        </w:rPr>
        <w:t>(1)</w:t>
      </w:r>
      <w:r>
        <w:rPr>
          <w:rFonts w:ascii="Arial" w:eastAsia="Arial" w:hAnsi="Arial" w:cs="Arial"/>
          <w:i/>
          <w:iCs/>
          <w:color w:val="000000"/>
        </w:rPr>
        <w:tab/>
        <w:t xml:space="preserve">Where any pleading is vague and embarrassing or lacks averments which are necessary to sustain an action or defence, as the case may be, the opposing party may, </w:t>
      </w:r>
      <w:r w:rsidRPr="00FC6E16">
        <w:rPr>
          <w:rFonts w:ascii="Arial" w:eastAsia="Arial" w:hAnsi="Arial" w:cs="Arial"/>
          <w:i/>
          <w:iCs/>
          <w:color w:val="000000"/>
          <w:u w:val="single"/>
        </w:rPr>
        <w:t>within the period allowed for filing any subsequent pleading</w:t>
      </w:r>
      <w:r>
        <w:rPr>
          <w:rFonts w:ascii="Arial" w:eastAsia="Arial" w:hAnsi="Arial" w:cs="Arial"/>
          <w:i/>
          <w:iCs/>
          <w:color w:val="000000"/>
        </w:rPr>
        <w:t>, deliver an exception thereto and may set it down for hearing in terms of p</w:t>
      </w:r>
      <w:r w:rsidR="000A07B7">
        <w:rPr>
          <w:rFonts w:ascii="Arial" w:eastAsia="Arial" w:hAnsi="Arial" w:cs="Arial"/>
          <w:i/>
          <w:iCs/>
          <w:color w:val="000000"/>
        </w:rPr>
        <w:t>aragraph (f) of subrule (5) of r</w:t>
      </w:r>
      <w:r>
        <w:rPr>
          <w:rFonts w:ascii="Arial" w:eastAsia="Arial" w:hAnsi="Arial" w:cs="Arial"/>
          <w:i/>
          <w:iCs/>
          <w:color w:val="000000"/>
        </w:rPr>
        <w:t xml:space="preserve">ule </w:t>
      </w:r>
      <w:r w:rsidR="00EA3792">
        <w:rPr>
          <w:rFonts w:ascii="Arial" w:eastAsia="Arial" w:hAnsi="Arial" w:cs="Arial"/>
          <w:i/>
          <w:iCs/>
          <w:color w:val="000000"/>
        </w:rPr>
        <w:t xml:space="preserve">(6): Provided that where a party intends to take an exception that a pleading is vague and embarrassing, </w:t>
      </w:r>
      <w:r w:rsidR="00EA3792" w:rsidRPr="002C6383">
        <w:rPr>
          <w:rFonts w:ascii="Arial" w:eastAsia="Arial" w:hAnsi="Arial" w:cs="Arial"/>
          <w:i/>
          <w:iCs/>
          <w:color w:val="000000"/>
          <w:u w:val="single"/>
        </w:rPr>
        <w:t>he shall within the period allowed as aforesaid</w:t>
      </w:r>
      <w:r w:rsidR="002C6383">
        <w:rPr>
          <w:rFonts w:ascii="Arial" w:eastAsia="Arial" w:hAnsi="Arial" w:cs="Arial"/>
          <w:i/>
          <w:iCs/>
          <w:color w:val="000000"/>
        </w:rPr>
        <w:t xml:space="preserve"> by notice afford his opponent an opportunity of removing the cause of complain</w:t>
      </w:r>
      <w:r w:rsidR="000A07B7">
        <w:rPr>
          <w:rFonts w:ascii="Arial" w:eastAsia="Arial" w:hAnsi="Arial" w:cs="Arial"/>
          <w:i/>
          <w:iCs/>
          <w:color w:val="000000"/>
        </w:rPr>
        <w:t>t</w:t>
      </w:r>
      <w:r w:rsidR="002C6383">
        <w:rPr>
          <w:rFonts w:ascii="Arial" w:eastAsia="Arial" w:hAnsi="Arial" w:cs="Arial"/>
          <w:i/>
          <w:iCs/>
          <w:color w:val="000000"/>
        </w:rPr>
        <w:t xml:space="preserve"> within 15 (fifteen) days: Provided further that the party excepting shall within 10 (ten) days from the date on which a reply to such notice is received or from the date on which such a reply is due, deliver his exception</w:t>
      </w:r>
      <w:r w:rsidR="00426992">
        <w:rPr>
          <w:rFonts w:ascii="Arial" w:eastAsia="Arial" w:hAnsi="Arial" w:cs="Arial"/>
          <w:i/>
          <w:iCs/>
          <w:color w:val="000000"/>
        </w:rPr>
        <w:t>”</w:t>
      </w:r>
      <w:r w:rsidR="002C6383">
        <w:rPr>
          <w:rFonts w:ascii="Arial" w:eastAsia="Arial" w:hAnsi="Arial" w:cs="Arial"/>
          <w:i/>
          <w:iCs/>
          <w:color w:val="000000"/>
        </w:rPr>
        <w:t>.</w:t>
      </w:r>
      <w:r w:rsidR="00426992">
        <w:rPr>
          <w:rFonts w:ascii="Arial" w:eastAsia="Arial" w:hAnsi="Arial" w:cs="Arial"/>
          <w:i/>
          <w:iCs/>
          <w:color w:val="000000"/>
        </w:rPr>
        <w:t xml:space="preserve"> </w:t>
      </w:r>
      <w:r w:rsidR="00426992" w:rsidRPr="000A07B7">
        <w:rPr>
          <w:rFonts w:ascii="Arial" w:eastAsia="Arial" w:hAnsi="Arial" w:cs="Arial"/>
          <w:iCs/>
          <w:color w:val="000000"/>
        </w:rPr>
        <w:t>[my underlining]</w:t>
      </w:r>
    </w:p>
    <w:p w14:paraId="2A993E4E" w14:textId="77777777" w:rsidR="0069560F" w:rsidRDefault="0069560F" w:rsidP="0069560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C8B1FC5" w14:textId="5A1036CD" w:rsidR="0069560F"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55.</w:t>
      </w:r>
      <w:r>
        <w:rPr>
          <w:rFonts w:ascii="Arial" w:eastAsia="Arial" w:hAnsi="Arial" w:cs="Arial"/>
          <w:color w:val="000000"/>
          <w:sz w:val="24"/>
          <w:szCs w:val="24"/>
        </w:rPr>
        <w:tab/>
      </w:r>
      <w:r w:rsidR="00593A8A" w:rsidRPr="00A55D51">
        <w:rPr>
          <w:rFonts w:ascii="Arial" w:eastAsia="Arial" w:hAnsi="Arial" w:cs="Arial"/>
          <w:color w:val="000000"/>
          <w:sz w:val="24"/>
          <w:szCs w:val="24"/>
        </w:rPr>
        <w:t xml:space="preserve">As can be seen </w:t>
      </w:r>
      <w:r w:rsidR="000F479A" w:rsidRPr="00A55D51">
        <w:rPr>
          <w:rFonts w:ascii="Arial" w:eastAsia="Arial" w:hAnsi="Arial" w:cs="Arial"/>
          <w:color w:val="000000"/>
          <w:sz w:val="24"/>
          <w:szCs w:val="24"/>
        </w:rPr>
        <w:t>from the underlining</w:t>
      </w:r>
      <w:r w:rsidR="000C4EA5" w:rsidRPr="00A55D51">
        <w:rPr>
          <w:rFonts w:ascii="Arial" w:eastAsia="Arial" w:hAnsi="Arial" w:cs="Arial"/>
          <w:color w:val="000000"/>
          <w:sz w:val="24"/>
          <w:szCs w:val="24"/>
        </w:rPr>
        <w:t xml:space="preserve">, it was previously required that a notice first had to be provided to an opponent </w:t>
      </w:r>
      <w:r w:rsidR="000A07B7" w:rsidRPr="00A55D51">
        <w:rPr>
          <w:rFonts w:ascii="Arial" w:eastAsia="Arial" w:hAnsi="Arial" w:cs="Arial"/>
          <w:color w:val="000000"/>
          <w:sz w:val="24"/>
          <w:szCs w:val="24"/>
        </w:rPr>
        <w:t xml:space="preserve">affording </w:t>
      </w:r>
      <w:r w:rsidR="000C4EA5" w:rsidRPr="00A55D51">
        <w:rPr>
          <w:rFonts w:ascii="Arial" w:eastAsia="Arial" w:hAnsi="Arial" w:cs="Arial"/>
          <w:color w:val="000000"/>
          <w:sz w:val="24"/>
          <w:szCs w:val="24"/>
        </w:rPr>
        <w:t>such opponent an opportunity of removing the cause of complaint and which notice had to be provided: “</w:t>
      </w:r>
      <w:r w:rsidR="000C4EA5" w:rsidRPr="00A55D51">
        <w:rPr>
          <w:rFonts w:ascii="Arial" w:eastAsia="Arial" w:hAnsi="Arial" w:cs="Arial"/>
          <w:i/>
          <w:iCs/>
          <w:color w:val="000000"/>
          <w:sz w:val="24"/>
          <w:szCs w:val="24"/>
        </w:rPr>
        <w:t>… within the period allowed as aforesaid</w:t>
      </w:r>
      <w:r w:rsidR="000C4EA5" w:rsidRPr="00A55D51">
        <w:rPr>
          <w:rFonts w:ascii="Arial" w:eastAsia="Arial" w:hAnsi="Arial" w:cs="Arial"/>
          <w:color w:val="000000"/>
          <w:sz w:val="24"/>
          <w:szCs w:val="24"/>
        </w:rPr>
        <w:t xml:space="preserve">”.  This meant that such notice </w:t>
      </w:r>
      <w:r w:rsidR="000A07B7" w:rsidRPr="00A55D51">
        <w:rPr>
          <w:rFonts w:ascii="Arial" w:eastAsia="Arial" w:hAnsi="Arial" w:cs="Arial"/>
          <w:color w:val="000000"/>
          <w:sz w:val="24"/>
          <w:szCs w:val="24"/>
        </w:rPr>
        <w:t xml:space="preserve">had to </w:t>
      </w:r>
      <w:r w:rsidR="003C12DC" w:rsidRPr="00A55D51">
        <w:rPr>
          <w:rFonts w:ascii="Arial" w:eastAsia="Arial" w:hAnsi="Arial" w:cs="Arial"/>
          <w:color w:val="000000"/>
          <w:sz w:val="24"/>
          <w:szCs w:val="24"/>
        </w:rPr>
        <w:t>be delivered: “</w:t>
      </w:r>
      <w:r w:rsidR="003C12DC" w:rsidRPr="00A55D51">
        <w:rPr>
          <w:rFonts w:ascii="Arial" w:eastAsia="Arial" w:hAnsi="Arial" w:cs="Arial"/>
          <w:i/>
          <w:iCs/>
          <w:color w:val="000000"/>
          <w:sz w:val="24"/>
          <w:szCs w:val="24"/>
        </w:rPr>
        <w:t>… within the period allowed for filing any subsequent pleading</w:t>
      </w:r>
      <w:r w:rsidR="003C12DC" w:rsidRPr="00A55D51">
        <w:rPr>
          <w:rFonts w:ascii="Arial" w:eastAsia="Arial" w:hAnsi="Arial" w:cs="Arial"/>
          <w:color w:val="000000"/>
          <w:sz w:val="24"/>
          <w:szCs w:val="24"/>
        </w:rPr>
        <w:t xml:space="preserve">”. </w:t>
      </w:r>
      <w:r w:rsidR="000A07B7" w:rsidRPr="00A55D51">
        <w:rPr>
          <w:rFonts w:ascii="Arial" w:eastAsia="Arial" w:hAnsi="Arial" w:cs="Arial"/>
          <w:color w:val="000000"/>
          <w:sz w:val="24"/>
          <w:szCs w:val="24"/>
        </w:rPr>
        <w:t>After all, these two phrases were linked by the words “</w:t>
      </w:r>
      <w:r w:rsidR="000A07B7" w:rsidRPr="00A55D51">
        <w:rPr>
          <w:rFonts w:ascii="Arial" w:eastAsia="Arial" w:hAnsi="Arial" w:cs="Arial"/>
          <w:i/>
          <w:color w:val="000000"/>
          <w:sz w:val="24"/>
          <w:szCs w:val="24"/>
        </w:rPr>
        <w:t>as aforesaid</w:t>
      </w:r>
      <w:r w:rsidR="000A07B7" w:rsidRPr="00A55D51">
        <w:rPr>
          <w:rFonts w:ascii="Arial" w:eastAsia="Arial" w:hAnsi="Arial" w:cs="Arial"/>
          <w:color w:val="000000"/>
          <w:sz w:val="24"/>
          <w:szCs w:val="24"/>
        </w:rPr>
        <w:t xml:space="preserve">”. </w:t>
      </w:r>
      <w:r w:rsidR="003C12DC" w:rsidRPr="00A55D51">
        <w:rPr>
          <w:rFonts w:ascii="Arial" w:eastAsia="Arial" w:hAnsi="Arial" w:cs="Arial"/>
          <w:color w:val="000000"/>
          <w:sz w:val="24"/>
          <w:szCs w:val="24"/>
        </w:rPr>
        <w:t xml:space="preserve">Consequently, it was </w:t>
      </w:r>
      <w:r w:rsidR="00EA698F" w:rsidRPr="00A55D51">
        <w:rPr>
          <w:rFonts w:ascii="Arial" w:eastAsia="Arial" w:hAnsi="Arial" w:cs="Arial"/>
          <w:color w:val="000000"/>
          <w:sz w:val="24"/>
          <w:szCs w:val="24"/>
        </w:rPr>
        <w:t xml:space="preserve">commonly </w:t>
      </w:r>
      <w:r w:rsidR="003C12DC" w:rsidRPr="00A55D51">
        <w:rPr>
          <w:rFonts w:ascii="Arial" w:eastAsia="Arial" w:hAnsi="Arial" w:cs="Arial"/>
          <w:color w:val="000000"/>
          <w:sz w:val="24"/>
          <w:szCs w:val="24"/>
        </w:rPr>
        <w:t xml:space="preserve">accepted </w:t>
      </w:r>
      <w:r w:rsidR="00EA698F" w:rsidRPr="00A55D51">
        <w:rPr>
          <w:rFonts w:ascii="Arial" w:eastAsia="Arial" w:hAnsi="Arial" w:cs="Arial"/>
          <w:color w:val="000000"/>
          <w:sz w:val="24"/>
          <w:szCs w:val="24"/>
        </w:rPr>
        <w:t xml:space="preserve">that an exception based on vague and embarrassing </w:t>
      </w:r>
      <w:r w:rsidR="00EA698F" w:rsidRPr="00A55D51">
        <w:rPr>
          <w:rFonts w:ascii="Arial" w:eastAsia="Arial" w:hAnsi="Arial" w:cs="Arial"/>
          <w:color w:val="000000"/>
          <w:sz w:val="24"/>
          <w:szCs w:val="24"/>
        </w:rPr>
        <w:lastRenderedPageBreak/>
        <w:t xml:space="preserve">grounds in respect of a </w:t>
      </w:r>
      <w:r w:rsidR="00B1447E" w:rsidRPr="00A55D51">
        <w:rPr>
          <w:rFonts w:ascii="Arial" w:eastAsia="Arial" w:hAnsi="Arial" w:cs="Arial"/>
          <w:color w:val="000000"/>
          <w:sz w:val="24"/>
          <w:szCs w:val="24"/>
        </w:rPr>
        <w:t>D</w:t>
      </w:r>
      <w:r w:rsidR="00EA698F" w:rsidRPr="00A55D51">
        <w:rPr>
          <w:rFonts w:ascii="Arial" w:eastAsia="Arial" w:hAnsi="Arial" w:cs="Arial"/>
          <w:color w:val="000000"/>
          <w:sz w:val="24"/>
          <w:szCs w:val="24"/>
        </w:rPr>
        <w:t xml:space="preserve">eclaration or </w:t>
      </w:r>
      <w:r w:rsidR="00B1447E" w:rsidRPr="00A55D51">
        <w:rPr>
          <w:rFonts w:ascii="Arial" w:eastAsia="Arial" w:hAnsi="Arial" w:cs="Arial"/>
          <w:color w:val="000000"/>
          <w:sz w:val="24"/>
          <w:szCs w:val="24"/>
        </w:rPr>
        <w:t>Combined Summons, required a notice of bar in terms of Rule 26 before a plaintiff can object to the exception on the ground that it was delivered out of time</w:t>
      </w:r>
      <w:r w:rsidR="008973F7">
        <w:rPr>
          <w:rStyle w:val="FootnoteReference"/>
          <w:rFonts w:ascii="Arial" w:eastAsia="Arial" w:hAnsi="Arial" w:cs="Arial"/>
          <w:color w:val="000000"/>
          <w:sz w:val="24"/>
          <w:szCs w:val="24"/>
        </w:rPr>
        <w:footnoteReference w:id="59"/>
      </w:r>
      <w:r w:rsidR="006B32B6" w:rsidRPr="00A55D51">
        <w:rPr>
          <w:rFonts w:ascii="Arial" w:eastAsia="Arial" w:hAnsi="Arial" w:cs="Arial"/>
          <w:color w:val="000000"/>
          <w:sz w:val="24"/>
          <w:szCs w:val="24"/>
        </w:rPr>
        <w:t>.</w:t>
      </w:r>
    </w:p>
    <w:p w14:paraId="6D2B3BEB" w14:textId="77777777" w:rsidR="006B32B6" w:rsidRDefault="006B32B6" w:rsidP="006B32B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260A11D" w14:textId="44F51D35" w:rsidR="000A07B7"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56.</w:t>
      </w:r>
      <w:r>
        <w:rPr>
          <w:rFonts w:ascii="Arial" w:eastAsia="Arial" w:hAnsi="Arial" w:cs="Arial"/>
          <w:color w:val="000000"/>
          <w:sz w:val="24"/>
          <w:szCs w:val="24"/>
        </w:rPr>
        <w:tab/>
      </w:r>
      <w:r w:rsidR="006B32B6" w:rsidRPr="00A55D51">
        <w:rPr>
          <w:rFonts w:ascii="Arial" w:eastAsia="Arial" w:hAnsi="Arial" w:cs="Arial"/>
          <w:color w:val="000000"/>
          <w:sz w:val="24"/>
          <w:szCs w:val="24"/>
        </w:rPr>
        <w:t xml:space="preserve">However, and since the substitution/amendment </w:t>
      </w:r>
      <w:r w:rsidR="00D43F2F" w:rsidRPr="00A55D51">
        <w:rPr>
          <w:rFonts w:ascii="Arial" w:eastAsia="Arial" w:hAnsi="Arial" w:cs="Arial"/>
          <w:color w:val="000000"/>
          <w:sz w:val="24"/>
          <w:szCs w:val="24"/>
        </w:rPr>
        <w:t xml:space="preserve">brought about </w:t>
      </w:r>
      <w:r w:rsidR="00CB16C1" w:rsidRPr="00A55D51">
        <w:rPr>
          <w:rFonts w:ascii="Arial" w:eastAsia="Arial" w:hAnsi="Arial" w:cs="Arial"/>
          <w:color w:val="000000"/>
          <w:sz w:val="24"/>
          <w:szCs w:val="24"/>
        </w:rPr>
        <w:t xml:space="preserve">during </w:t>
      </w:r>
      <w:r w:rsidR="000A07B7" w:rsidRPr="00A55D51">
        <w:rPr>
          <w:rFonts w:ascii="Arial" w:eastAsia="Arial" w:hAnsi="Arial" w:cs="Arial"/>
          <w:color w:val="000000"/>
          <w:sz w:val="24"/>
          <w:szCs w:val="24"/>
        </w:rPr>
        <w:t>October/</w:t>
      </w:r>
      <w:r w:rsidR="00CB16C1" w:rsidRPr="00A55D51">
        <w:rPr>
          <w:rFonts w:ascii="Arial" w:eastAsia="Arial" w:hAnsi="Arial" w:cs="Arial"/>
          <w:color w:val="000000"/>
          <w:sz w:val="24"/>
          <w:szCs w:val="24"/>
        </w:rPr>
        <w:t xml:space="preserve">November </w:t>
      </w:r>
      <w:r w:rsidR="008643F3" w:rsidRPr="00A55D51">
        <w:rPr>
          <w:rFonts w:ascii="Arial" w:eastAsia="Arial" w:hAnsi="Arial" w:cs="Arial"/>
          <w:color w:val="000000"/>
          <w:sz w:val="24"/>
          <w:szCs w:val="24"/>
        </w:rPr>
        <w:t xml:space="preserve">2019, it is clear that the words: </w:t>
      </w:r>
      <w:r w:rsidR="001603BC" w:rsidRPr="00A55D51">
        <w:rPr>
          <w:rFonts w:ascii="Arial" w:eastAsia="Arial" w:hAnsi="Arial" w:cs="Arial"/>
          <w:color w:val="000000"/>
          <w:sz w:val="24"/>
          <w:szCs w:val="24"/>
        </w:rPr>
        <w:t>“</w:t>
      </w:r>
      <w:r w:rsidR="001603BC" w:rsidRPr="00A55D51">
        <w:rPr>
          <w:rFonts w:ascii="Arial" w:eastAsia="Arial" w:hAnsi="Arial" w:cs="Arial"/>
          <w:i/>
          <w:iCs/>
          <w:color w:val="000000"/>
          <w:sz w:val="24"/>
          <w:szCs w:val="24"/>
        </w:rPr>
        <w:t>… within the period allowed as aforesaid</w:t>
      </w:r>
      <w:r w:rsidR="000A07B7" w:rsidRPr="00A55D51">
        <w:rPr>
          <w:rFonts w:ascii="Arial" w:eastAsia="Arial" w:hAnsi="Arial" w:cs="Arial"/>
          <w:color w:val="000000"/>
          <w:sz w:val="24"/>
          <w:szCs w:val="24"/>
        </w:rPr>
        <w:t>” were</w:t>
      </w:r>
      <w:r w:rsidR="001603BC" w:rsidRPr="00A55D51">
        <w:rPr>
          <w:rFonts w:ascii="Arial" w:eastAsia="Arial" w:hAnsi="Arial" w:cs="Arial"/>
          <w:color w:val="000000"/>
          <w:sz w:val="24"/>
          <w:szCs w:val="24"/>
        </w:rPr>
        <w:t xml:space="preserve"> removed and replaced with the words: “</w:t>
      </w:r>
      <w:r w:rsidR="001603BC" w:rsidRPr="00A55D51">
        <w:rPr>
          <w:rFonts w:ascii="Arial" w:eastAsia="Arial" w:hAnsi="Arial" w:cs="Arial"/>
          <w:i/>
          <w:iCs/>
          <w:color w:val="000000"/>
          <w:sz w:val="24"/>
          <w:szCs w:val="24"/>
        </w:rPr>
        <w:t>… within 10 (ten) days of receipt of the pleading</w:t>
      </w:r>
      <w:r w:rsidR="001603BC" w:rsidRPr="00A55D51">
        <w:rPr>
          <w:rFonts w:ascii="Arial" w:eastAsia="Arial" w:hAnsi="Arial" w:cs="Arial"/>
          <w:color w:val="000000"/>
          <w:sz w:val="24"/>
          <w:szCs w:val="24"/>
        </w:rPr>
        <w:t>”.</w:t>
      </w:r>
      <w:r w:rsidR="00464521" w:rsidRPr="00A55D51">
        <w:rPr>
          <w:rFonts w:ascii="Arial" w:eastAsia="Arial" w:hAnsi="Arial" w:cs="Arial"/>
          <w:color w:val="000000"/>
          <w:sz w:val="24"/>
          <w:szCs w:val="24"/>
        </w:rPr>
        <w:t xml:space="preserve"> </w:t>
      </w:r>
      <w:r w:rsidR="000A07B7" w:rsidRPr="00A55D51">
        <w:rPr>
          <w:rFonts w:ascii="Arial" w:eastAsia="Arial" w:hAnsi="Arial" w:cs="Arial"/>
          <w:color w:val="000000"/>
          <w:sz w:val="24"/>
          <w:szCs w:val="24"/>
        </w:rPr>
        <w:t xml:space="preserve">In my view, </w:t>
      </w:r>
      <w:r w:rsidR="00F4532A" w:rsidRPr="00A55D51">
        <w:rPr>
          <w:rFonts w:ascii="Arial" w:eastAsia="Arial" w:hAnsi="Arial" w:cs="Arial"/>
          <w:color w:val="000000"/>
          <w:sz w:val="24"/>
          <w:szCs w:val="24"/>
        </w:rPr>
        <w:t>this change is vital as there is</w:t>
      </w:r>
      <w:r w:rsidR="000A07B7" w:rsidRPr="00A55D51">
        <w:rPr>
          <w:rFonts w:ascii="Arial" w:eastAsia="Arial" w:hAnsi="Arial" w:cs="Arial"/>
          <w:color w:val="000000"/>
          <w:sz w:val="24"/>
          <w:szCs w:val="24"/>
        </w:rPr>
        <w:t xml:space="preserve"> no longer</w:t>
      </w:r>
      <w:r w:rsidR="00F4532A" w:rsidRPr="00A55D51">
        <w:rPr>
          <w:rFonts w:ascii="Arial" w:eastAsia="Arial" w:hAnsi="Arial" w:cs="Arial"/>
          <w:color w:val="000000"/>
          <w:sz w:val="24"/>
          <w:szCs w:val="24"/>
        </w:rPr>
        <w:t xml:space="preserve"> a link as referred to in paragraph 55 </w:t>
      </w:r>
      <w:r w:rsidR="00F4532A" w:rsidRPr="00A55D51">
        <w:rPr>
          <w:rFonts w:ascii="Arial" w:eastAsia="Arial" w:hAnsi="Arial" w:cs="Arial"/>
          <w:i/>
          <w:color w:val="000000"/>
          <w:sz w:val="24"/>
          <w:szCs w:val="24"/>
        </w:rPr>
        <w:t>supra</w:t>
      </w:r>
      <w:r w:rsidR="00F4532A" w:rsidRPr="00A55D51">
        <w:rPr>
          <w:rFonts w:ascii="Arial" w:eastAsia="Arial" w:hAnsi="Arial" w:cs="Arial"/>
          <w:color w:val="000000"/>
          <w:sz w:val="24"/>
          <w:szCs w:val="24"/>
        </w:rPr>
        <w:t>.</w:t>
      </w:r>
    </w:p>
    <w:p w14:paraId="6EA7A865" w14:textId="77777777" w:rsidR="000A07B7" w:rsidRPr="000A07B7" w:rsidRDefault="000A07B7" w:rsidP="000A07B7">
      <w:pPr>
        <w:pStyle w:val="ListParagraph"/>
        <w:rPr>
          <w:rFonts w:ascii="Arial" w:eastAsia="Arial" w:hAnsi="Arial" w:cs="Arial"/>
          <w:color w:val="000000"/>
          <w:sz w:val="24"/>
          <w:szCs w:val="24"/>
        </w:rPr>
      </w:pPr>
    </w:p>
    <w:p w14:paraId="0601BFE3" w14:textId="47219D4D" w:rsidR="006B32B6"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57.</w:t>
      </w:r>
      <w:r>
        <w:rPr>
          <w:rFonts w:ascii="Arial" w:eastAsia="Arial" w:hAnsi="Arial" w:cs="Arial"/>
          <w:color w:val="000000"/>
          <w:sz w:val="24"/>
          <w:szCs w:val="24"/>
        </w:rPr>
        <w:tab/>
      </w:r>
      <w:r w:rsidR="00464521" w:rsidRPr="00A55D51">
        <w:rPr>
          <w:rFonts w:ascii="Arial" w:eastAsia="Arial" w:hAnsi="Arial" w:cs="Arial"/>
          <w:color w:val="000000"/>
          <w:sz w:val="24"/>
          <w:szCs w:val="24"/>
        </w:rPr>
        <w:t xml:space="preserve">There are conflicting judgments on the question whether the service of a Rule 23(1)(a) notice is a valid response to a notice of bar to deliver a Plea.  In </w:t>
      </w:r>
      <w:r w:rsidR="00464521" w:rsidRPr="00A55D51">
        <w:rPr>
          <w:rFonts w:ascii="Arial" w:eastAsia="Arial" w:hAnsi="Arial" w:cs="Arial"/>
          <w:i/>
          <w:iCs/>
          <w:color w:val="000000"/>
          <w:sz w:val="24"/>
          <w:szCs w:val="24"/>
        </w:rPr>
        <w:t>Steve’s</w:t>
      </w:r>
      <w:r w:rsidR="00DB1E45" w:rsidRPr="00A55D51">
        <w:rPr>
          <w:rFonts w:ascii="Arial" w:eastAsia="Arial" w:hAnsi="Arial" w:cs="Arial"/>
          <w:i/>
          <w:iCs/>
          <w:color w:val="000000"/>
          <w:sz w:val="24"/>
          <w:szCs w:val="24"/>
        </w:rPr>
        <w:t xml:space="preserve"> Wrought Iron Works v Nelson Mandela Metro</w:t>
      </w:r>
      <w:r w:rsidR="00DB1E45" w:rsidRPr="00A55D51">
        <w:rPr>
          <w:rFonts w:ascii="Arial" w:eastAsia="Arial" w:hAnsi="Arial" w:cs="Arial"/>
          <w:color w:val="000000"/>
          <w:sz w:val="24"/>
          <w:szCs w:val="24"/>
        </w:rPr>
        <w:t xml:space="preserve"> 2020 (3) SA 535 (ECP) the plaintiffs therein delivered a notice of bar </w:t>
      </w:r>
      <w:r w:rsidR="00F3462D" w:rsidRPr="00A55D51">
        <w:rPr>
          <w:rFonts w:ascii="Arial" w:eastAsia="Arial" w:hAnsi="Arial" w:cs="Arial"/>
          <w:color w:val="000000"/>
          <w:sz w:val="24"/>
          <w:szCs w:val="24"/>
        </w:rPr>
        <w:t xml:space="preserve">to deliver a Plea within 5 (five) days as provided for in Rule 26.  In response, the defendant delivered a notice in terms of Rule 23(1)(a) within the stipulated 5 (five) day period, complaining that the plaintiffs’ Particulars of Claim were vague and embarrassing and giving them 15 (fifteen) days to remove the cause of complaint, which they failed to do.  The defendant then </w:t>
      </w:r>
      <w:r w:rsidR="00546373" w:rsidRPr="00A55D51">
        <w:rPr>
          <w:rFonts w:ascii="Arial" w:eastAsia="Arial" w:hAnsi="Arial" w:cs="Arial"/>
          <w:color w:val="000000"/>
          <w:sz w:val="24"/>
          <w:szCs w:val="24"/>
        </w:rPr>
        <w:t>delivered an exception to the Particulars of Claim.  The plaintiffs object</w:t>
      </w:r>
      <w:r w:rsidR="001B64B0" w:rsidRPr="00A55D51">
        <w:rPr>
          <w:rFonts w:ascii="Arial" w:eastAsia="Arial" w:hAnsi="Arial" w:cs="Arial"/>
          <w:color w:val="000000"/>
          <w:sz w:val="24"/>
          <w:szCs w:val="24"/>
        </w:rPr>
        <w:t xml:space="preserve">ed to the exception on the ground that it was </w:t>
      </w:r>
      <w:r w:rsidR="000237E4" w:rsidRPr="00A55D51">
        <w:rPr>
          <w:rFonts w:ascii="Arial" w:eastAsia="Arial" w:hAnsi="Arial" w:cs="Arial"/>
          <w:color w:val="000000"/>
          <w:sz w:val="24"/>
          <w:szCs w:val="24"/>
        </w:rPr>
        <w:t>late and fell to be struck out.  In rejecting the plaintiff’s objection, Goosen J reasoned as follows:-</w:t>
      </w:r>
    </w:p>
    <w:p w14:paraId="537ACEC1" w14:textId="77777777" w:rsidR="000237E4" w:rsidRDefault="000237E4" w:rsidP="000237E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C05FEE7" w14:textId="0BA6035B" w:rsidR="000237E4" w:rsidRPr="00BD45B7" w:rsidRDefault="00792A29" w:rsidP="00FD4D52">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BD45B7">
        <w:rPr>
          <w:rFonts w:ascii="Arial" w:eastAsia="Arial" w:hAnsi="Arial" w:cs="Arial"/>
          <w:i/>
          <w:iCs/>
          <w:color w:val="000000"/>
        </w:rPr>
        <w:t xml:space="preserve">“In the case of all </w:t>
      </w:r>
      <w:r w:rsidR="00BD45B7">
        <w:rPr>
          <w:rFonts w:ascii="Arial" w:eastAsia="Arial" w:hAnsi="Arial" w:cs="Arial"/>
          <w:i/>
          <w:iCs/>
          <w:color w:val="000000"/>
        </w:rPr>
        <w:t xml:space="preserve">pleadings except a replication or subsequent pleading, the bar occurs only upon lapse of the notice of bar, ie within 5 (five) days of its receipt.  If within the stipulated 5 (five) day period a pleading which the party is entitled to deliver, is delivered, </w:t>
      </w:r>
      <w:r w:rsidR="005C6358">
        <w:rPr>
          <w:rFonts w:ascii="Arial" w:eastAsia="Arial" w:hAnsi="Arial" w:cs="Arial"/>
          <w:i/>
          <w:iCs/>
          <w:color w:val="000000"/>
        </w:rPr>
        <w:t>there is no bar. A notice of exception is a proper response to a notice of bar. The contrary view contended for by the plaintiffs</w:t>
      </w:r>
      <w:r w:rsidR="003D2104">
        <w:rPr>
          <w:rFonts w:ascii="Arial" w:eastAsia="Arial" w:hAnsi="Arial" w:cs="Arial"/>
          <w:i/>
          <w:iCs/>
          <w:color w:val="000000"/>
        </w:rPr>
        <w:t xml:space="preserve"> viz that the notice of exception is not a pleading and that only the exception itself is a proper response to the notice of bar, would defeat the purpose </w:t>
      </w:r>
      <w:r w:rsidR="00434FB3">
        <w:rPr>
          <w:rFonts w:ascii="Arial" w:eastAsia="Arial" w:hAnsi="Arial" w:cs="Arial"/>
          <w:i/>
          <w:iCs/>
          <w:color w:val="000000"/>
        </w:rPr>
        <w:t xml:space="preserve">served by the process of excepting </w:t>
      </w:r>
      <w:r w:rsidR="00B63E34">
        <w:rPr>
          <w:rFonts w:ascii="Arial" w:eastAsia="Arial" w:hAnsi="Arial" w:cs="Arial"/>
          <w:i/>
          <w:iCs/>
          <w:color w:val="000000"/>
        </w:rPr>
        <w:t>to a pleading”.</w:t>
      </w:r>
    </w:p>
    <w:p w14:paraId="164E3819" w14:textId="77777777" w:rsidR="000237E4" w:rsidRDefault="000237E4" w:rsidP="000237E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845F700" w14:textId="5A9551F4" w:rsidR="000237E4"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58.</w:t>
      </w:r>
      <w:r>
        <w:rPr>
          <w:rFonts w:ascii="Arial" w:eastAsia="Arial" w:hAnsi="Arial" w:cs="Arial"/>
          <w:color w:val="000000"/>
          <w:sz w:val="24"/>
          <w:szCs w:val="24"/>
        </w:rPr>
        <w:tab/>
      </w:r>
      <w:r w:rsidR="00B63E34" w:rsidRPr="00A55D51">
        <w:rPr>
          <w:rFonts w:ascii="Arial" w:eastAsia="Arial" w:hAnsi="Arial" w:cs="Arial"/>
          <w:color w:val="000000"/>
          <w:sz w:val="24"/>
          <w:szCs w:val="24"/>
        </w:rPr>
        <w:t xml:space="preserve">Accordingly, and in </w:t>
      </w:r>
      <w:r w:rsidR="00B63E34" w:rsidRPr="00A55D51">
        <w:rPr>
          <w:rFonts w:ascii="Arial" w:eastAsia="Arial" w:hAnsi="Arial" w:cs="Arial"/>
          <w:i/>
          <w:iCs/>
          <w:color w:val="000000"/>
          <w:sz w:val="24"/>
          <w:szCs w:val="24"/>
        </w:rPr>
        <w:t>Wrought Iron</w:t>
      </w:r>
      <w:r w:rsidR="00B63E34" w:rsidRPr="00A55D51">
        <w:rPr>
          <w:rFonts w:ascii="Arial" w:eastAsia="Arial" w:hAnsi="Arial" w:cs="Arial"/>
          <w:color w:val="000000"/>
          <w:sz w:val="24"/>
          <w:szCs w:val="24"/>
        </w:rPr>
        <w:t xml:space="preserve"> the exception was allowed and upheld.  In </w:t>
      </w:r>
      <w:r w:rsidR="009372E3" w:rsidRPr="00A55D51">
        <w:rPr>
          <w:rFonts w:ascii="Arial" w:eastAsia="Arial" w:hAnsi="Arial" w:cs="Arial"/>
          <w:i/>
          <w:iCs/>
          <w:color w:val="000000"/>
          <w:sz w:val="24"/>
          <w:szCs w:val="24"/>
        </w:rPr>
        <w:t>Hill NO v Brown</w:t>
      </w:r>
      <w:r w:rsidR="009372E3">
        <w:rPr>
          <w:rStyle w:val="FootnoteReference"/>
          <w:rFonts w:ascii="Arial" w:eastAsia="Arial" w:hAnsi="Arial" w:cs="Arial"/>
          <w:i/>
          <w:iCs/>
          <w:color w:val="000000"/>
          <w:sz w:val="24"/>
          <w:szCs w:val="24"/>
        </w:rPr>
        <w:footnoteReference w:id="60"/>
      </w:r>
      <w:r w:rsidR="00722E79" w:rsidRPr="00A55D51">
        <w:rPr>
          <w:rFonts w:ascii="Arial" w:eastAsia="Arial" w:hAnsi="Arial" w:cs="Arial"/>
          <w:color w:val="000000"/>
          <w:sz w:val="24"/>
          <w:szCs w:val="24"/>
        </w:rPr>
        <w:t xml:space="preserve"> </w:t>
      </w:r>
      <w:r w:rsidR="006563C6" w:rsidRPr="00A55D51">
        <w:rPr>
          <w:rFonts w:ascii="Arial" w:eastAsia="Arial" w:hAnsi="Arial" w:cs="Arial"/>
          <w:color w:val="000000"/>
          <w:sz w:val="24"/>
          <w:szCs w:val="24"/>
        </w:rPr>
        <w:t xml:space="preserve">Rogers J, and without referring to or considering the </w:t>
      </w:r>
      <w:r w:rsidR="009C4708" w:rsidRPr="00A55D51">
        <w:rPr>
          <w:rFonts w:ascii="Arial" w:eastAsia="Arial" w:hAnsi="Arial" w:cs="Arial"/>
          <w:i/>
          <w:iCs/>
          <w:color w:val="000000"/>
          <w:sz w:val="24"/>
          <w:szCs w:val="24"/>
        </w:rPr>
        <w:t xml:space="preserve">Wrought </w:t>
      </w:r>
      <w:r w:rsidR="009C4708" w:rsidRPr="00A55D51">
        <w:rPr>
          <w:rFonts w:ascii="Arial" w:eastAsia="Arial" w:hAnsi="Arial" w:cs="Arial"/>
          <w:i/>
          <w:iCs/>
          <w:color w:val="000000"/>
          <w:sz w:val="24"/>
          <w:szCs w:val="24"/>
        </w:rPr>
        <w:lastRenderedPageBreak/>
        <w:t>Iron</w:t>
      </w:r>
      <w:r w:rsidR="009C4708" w:rsidRPr="00A55D51">
        <w:rPr>
          <w:rFonts w:ascii="Arial" w:eastAsia="Arial" w:hAnsi="Arial" w:cs="Arial"/>
          <w:color w:val="000000"/>
          <w:sz w:val="24"/>
          <w:szCs w:val="24"/>
        </w:rPr>
        <w:t xml:space="preserve"> case, and relying on </w:t>
      </w:r>
      <w:r w:rsidR="009C4708" w:rsidRPr="00A55D51">
        <w:rPr>
          <w:rFonts w:ascii="Arial" w:eastAsia="Arial" w:hAnsi="Arial" w:cs="Arial"/>
          <w:i/>
          <w:iCs/>
          <w:color w:val="000000"/>
          <w:sz w:val="24"/>
          <w:szCs w:val="24"/>
        </w:rPr>
        <w:t>McNelly NO v Codron</w:t>
      </w:r>
      <w:r w:rsidR="009C4708">
        <w:rPr>
          <w:rStyle w:val="FootnoteReference"/>
          <w:rFonts w:ascii="Arial" w:eastAsia="Arial" w:hAnsi="Arial" w:cs="Arial"/>
          <w:i/>
          <w:iCs/>
          <w:color w:val="000000"/>
          <w:sz w:val="24"/>
          <w:szCs w:val="24"/>
        </w:rPr>
        <w:footnoteReference w:id="61"/>
      </w:r>
      <w:r w:rsidR="000F7BE3" w:rsidRPr="00A55D51">
        <w:rPr>
          <w:rFonts w:ascii="Arial" w:eastAsia="Arial" w:hAnsi="Arial" w:cs="Arial"/>
          <w:color w:val="000000"/>
          <w:sz w:val="24"/>
          <w:szCs w:val="24"/>
        </w:rPr>
        <w:t>, held</w:t>
      </w:r>
      <w:r w:rsidR="000F7BE3">
        <w:rPr>
          <w:rStyle w:val="FootnoteReference"/>
          <w:rFonts w:ascii="Arial" w:eastAsia="Arial" w:hAnsi="Arial" w:cs="Arial"/>
          <w:color w:val="000000"/>
          <w:sz w:val="24"/>
          <w:szCs w:val="24"/>
        </w:rPr>
        <w:footnoteReference w:id="62"/>
      </w:r>
      <w:r w:rsidR="00713990" w:rsidRPr="00A55D51">
        <w:rPr>
          <w:rFonts w:ascii="Arial" w:eastAsia="Arial" w:hAnsi="Arial" w:cs="Arial"/>
          <w:color w:val="000000"/>
          <w:sz w:val="24"/>
          <w:szCs w:val="24"/>
        </w:rPr>
        <w:t xml:space="preserve"> that if a defendant was to avoid being barred pursuant to a notice of bar in terms of Rule 26, he had to deliver a </w:t>
      </w:r>
      <w:r w:rsidR="00713990" w:rsidRPr="00A55D51">
        <w:rPr>
          <w:rFonts w:ascii="Arial" w:eastAsia="Arial" w:hAnsi="Arial" w:cs="Arial"/>
          <w:i/>
          <w:iCs/>
          <w:color w:val="000000"/>
          <w:sz w:val="24"/>
          <w:szCs w:val="24"/>
        </w:rPr>
        <w:t>“pleading</w:t>
      </w:r>
      <w:r w:rsidR="00713990" w:rsidRPr="00A55D51">
        <w:rPr>
          <w:rFonts w:ascii="Arial" w:eastAsia="Arial" w:hAnsi="Arial" w:cs="Arial"/>
          <w:color w:val="000000"/>
          <w:sz w:val="24"/>
          <w:szCs w:val="24"/>
        </w:rPr>
        <w:t>”</w:t>
      </w:r>
      <w:r w:rsidR="00874D04" w:rsidRPr="00A55D51">
        <w:rPr>
          <w:rFonts w:ascii="Arial" w:eastAsia="Arial" w:hAnsi="Arial" w:cs="Arial"/>
          <w:color w:val="000000"/>
          <w:sz w:val="24"/>
          <w:szCs w:val="24"/>
        </w:rPr>
        <w:t xml:space="preserve">, ie a plea or an exception within the stipulated period of bar. A Rule 23(1)(a) notice, which is merely a precursor </w:t>
      </w:r>
      <w:r w:rsidR="008C6DAB" w:rsidRPr="00A55D51">
        <w:rPr>
          <w:rFonts w:ascii="Arial" w:eastAsia="Arial" w:hAnsi="Arial" w:cs="Arial"/>
          <w:color w:val="000000"/>
          <w:sz w:val="24"/>
          <w:szCs w:val="24"/>
        </w:rPr>
        <w:t>to an exception (which may or may not be delivered), was not a proper response.  As a result, it was set aside as an irregular step.</w:t>
      </w:r>
    </w:p>
    <w:p w14:paraId="29B6B125" w14:textId="77777777" w:rsidR="008C6DAB" w:rsidRDefault="008C6DAB" w:rsidP="008C6DAB">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6A9CCF4" w14:textId="496894CF" w:rsidR="008C6DAB"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59.</w:t>
      </w:r>
      <w:r>
        <w:rPr>
          <w:rFonts w:ascii="Arial" w:eastAsia="Arial" w:hAnsi="Arial" w:cs="Arial"/>
          <w:color w:val="000000"/>
          <w:sz w:val="24"/>
          <w:szCs w:val="24"/>
        </w:rPr>
        <w:tab/>
      </w:r>
      <w:r w:rsidR="006203C8" w:rsidRPr="00A55D51">
        <w:rPr>
          <w:rFonts w:ascii="Arial" w:eastAsia="Arial" w:hAnsi="Arial" w:cs="Arial"/>
          <w:color w:val="000000"/>
          <w:sz w:val="24"/>
          <w:szCs w:val="24"/>
        </w:rPr>
        <w:t xml:space="preserve">In my view, the answer to the conundrum </w:t>
      </w:r>
      <w:r w:rsidR="00377F5B" w:rsidRPr="00A55D51">
        <w:rPr>
          <w:rFonts w:ascii="Arial" w:eastAsia="Arial" w:hAnsi="Arial" w:cs="Arial"/>
          <w:color w:val="000000"/>
          <w:sz w:val="24"/>
          <w:szCs w:val="24"/>
        </w:rPr>
        <w:t>is firstly to be found in the words “</w:t>
      </w:r>
      <w:r w:rsidR="00722E79" w:rsidRPr="00A55D51">
        <w:rPr>
          <w:rFonts w:ascii="Arial" w:eastAsia="Arial" w:hAnsi="Arial" w:cs="Arial"/>
          <w:i/>
          <w:iCs/>
          <w:color w:val="000000"/>
          <w:sz w:val="24"/>
          <w:szCs w:val="24"/>
        </w:rPr>
        <w:t>P</w:t>
      </w:r>
      <w:r w:rsidR="00377F5B" w:rsidRPr="00A55D51">
        <w:rPr>
          <w:rFonts w:ascii="Arial" w:eastAsia="Arial" w:hAnsi="Arial" w:cs="Arial"/>
          <w:i/>
          <w:iCs/>
          <w:color w:val="000000"/>
          <w:sz w:val="24"/>
          <w:szCs w:val="24"/>
        </w:rPr>
        <w:t>rovided that</w:t>
      </w:r>
      <w:r w:rsidR="00377F5B" w:rsidRPr="00A55D51">
        <w:rPr>
          <w:rFonts w:ascii="Arial" w:eastAsia="Arial" w:hAnsi="Arial" w:cs="Arial"/>
          <w:color w:val="000000"/>
          <w:sz w:val="24"/>
          <w:szCs w:val="24"/>
        </w:rPr>
        <w:t xml:space="preserve">” that introduces the procedure to be followed for an exception based on vague and embarrassing grounds. </w:t>
      </w:r>
      <w:r w:rsidR="00722E79" w:rsidRPr="00A55D51">
        <w:rPr>
          <w:rFonts w:ascii="Arial" w:eastAsia="Arial" w:hAnsi="Arial" w:cs="Arial"/>
          <w:color w:val="000000"/>
          <w:sz w:val="24"/>
          <w:szCs w:val="24"/>
        </w:rPr>
        <w:t xml:space="preserve">In the first instance, </w:t>
      </w:r>
      <w:r w:rsidR="00370760" w:rsidRPr="00A55D51">
        <w:rPr>
          <w:rFonts w:ascii="Arial" w:eastAsia="Arial" w:hAnsi="Arial" w:cs="Arial"/>
          <w:color w:val="000000"/>
          <w:sz w:val="24"/>
          <w:szCs w:val="24"/>
        </w:rPr>
        <w:t>i</w:t>
      </w:r>
      <w:r w:rsidR="00377F5B" w:rsidRPr="00A55D51">
        <w:rPr>
          <w:rFonts w:ascii="Arial" w:eastAsia="Arial" w:hAnsi="Arial" w:cs="Arial"/>
          <w:color w:val="000000"/>
          <w:sz w:val="24"/>
          <w:szCs w:val="24"/>
        </w:rPr>
        <w:t xml:space="preserve">t has been held that these words </w:t>
      </w:r>
      <w:r w:rsidR="00A06F2B" w:rsidRPr="00A55D51">
        <w:rPr>
          <w:rFonts w:ascii="Arial" w:eastAsia="Arial" w:hAnsi="Arial" w:cs="Arial"/>
          <w:color w:val="000000"/>
          <w:sz w:val="24"/>
          <w:szCs w:val="24"/>
        </w:rPr>
        <w:t>are</w:t>
      </w:r>
      <w:r w:rsidR="00377F5B" w:rsidRPr="00A55D51">
        <w:rPr>
          <w:rFonts w:ascii="Arial" w:eastAsia="Arial" w:hAnsi="Arial" w:cs="Arial"/>
          <w:color w:val="000000"/>
          <w:sz w:val="24"/>
          <w:szCs w:val="24"/>
        </w:rPr>
        <w:t xml:space="preserve"> peremptory in nature and therefore a condition precedent </w:t>
      </w:r>
      <w:r w:rsidR="006566FD" w:rsidRPr="00A55D51">
        <w:rPr>
          <w:rFonts w:ascii="Arial" w:eastAsia="Arial" w:hAnsi="Arial" w:cs="Arial"/>
          <w:color w:val="000000"/>
          <w:sz w:val="24"/>
          <w:szCs w:val="24"/>
        </w:rPr>
        <w:t>to the taking of an exception that a pleading is vague and embarrassing</w:t>
      </w:r>
      <w:r w:rsidR="004D7CEC">
        <w:rPr>
          <w:rStyle w:val="FootnoteReference"/>
          <w:rFonts w:ascii="Arial" w:eastAsia="Arial" w:hAnsi="Arial" w:cs="Arial"/>
          <w:color w:val="000000"/>
          <w:sz w:val="24"/>
          <w:szCs w:val="24"/>
        </w:rPr>
        <w:footnoteReference w:id="63"/>
      </w:r>
      <w:r w:rsidR="00A06F2B" w:rsidRPr="00A55D51">
        <w:rPr>
          <w:rFonts w:ascii="Arial" w:eastAsia="Arial" w:hAnsi="Arial" w:cs="Arial"/>
          <w:color w:val="000000"/>
          <w:sz w:val="24"/>
          <w:szCs w:val="24"/>
        </w:rPr>
        <w:t xml:space="preserve">.  In the second instance, effect must be given to the fact that </w:t>
      </w:r>
      <w:r w:rsidR="00C42DDD" w:rsidRPr="00A55D51">
        <w:rPr>
          <w:rFonts w:ascii="Arial" w:eastAsia="Arial" w:hAnsi="Arial" w:cs="Arial"/>
          <w:color w:val="000000"/>
          <w:sz w:val="24"/>
          <w:szCs w:val="24"/>
        </w:rPr>
        <w:t xml:space="preserve">Rule 23(1)(a) and (b) </w:t>
      </w:r>
      <w:r w:rsidR="00722E79" w:rsidRPr="00A55D51">
        <w:rPr>
          <w:rFonts w:ascii="Arial" w:eastAsia="Arial" w:hAnsi="Arial" w:cs="Arial"/>
          <w:color w:val="000000"/>
          <w:sz w:val="24"/>
          <w:szCs w:val="24"/>
        </w:rPr>
        <w:t xml:space="preserve">are </w:t>
      </w:r>
      <w:r w:rsidR="00C42DDD" w:rsidRPr="00A55D51">
        <w:rPr>
          <w:rFonts w:ascii="Arial" w:eastAsia="Arial" w:hAnsi="Arial" w:cs="Arial"/>
          <w:color w:val="000000"/>
          <w:sz w:val="24"/>
          <w:szCs w:val="24"/>
        </w:rPr>
        <w:t xml:space="preserve">introduced with the words </w:t>
      </w:r>
      <w:r w:rsidR="00722E79" w:rsidRPr="00A55D51">
        <w:rPr>
          <w:rFonts w:ascii="Arial" w:eastAsia="Arial" w:hAnsi="Arial" w:cs="Arial"/>
          <w:i/>
          <w:iCs/>
          <w:color w:val="000000"/>
          <w:sz w:val="24"/>
          <w:szCs w:val="24"/>
        </w:rPr>
        <w:t>“P</w:t>
      </w:r>
      <w:r w:rsidR="00C42DDD" w:rsidRPr="00A55D51">
        <w:rPr>
          <w:rFonts w:ascii="Arial" w:eastAsia="Arial" w:hAnsi="Arial" w:cs="Arial"/>
          <w:i/>
          <w:iCs/>
          <w:color w:val="000000"/>
          <w:sz w:val="24"/>
          <w:szCs w:val="24"/>
        </w:rPr>
        <w:t>rovided that</w:t>
      </w:r>
      <w:r w:rsidR="00C42DDD" w:rsidRPr="00A55D51">
        <w:rPr>
          <w:rFonts w:ascii="Arial" w:eastAsia="Arial" w:hAnsi="Arial" w:cs="Arial"/>
          <w:color w:val="000000"/>
          <w:sz w:val="24"/>
          <w:szCs w:val="24"/>
        </w:rPr>
        <w:t xml:space="preserve">” </w:t>
      </w:r>
      <w:r w:rsidR="00722E79" w:rsidRPr="00A55D51">
        <w:rPr>
          <w:rFonts w:ascii="Arial" w:eastAsia="Arial" w:hAnsi="Arial" w:cs="Arial"/>
          <w:color w:val="000000"/>
          <w:sz w:val="24"/>
          <w:szCs w:val="24"/>
        </w:rPr>
        <w:t xml:space="preserve">and which therefore means that it </w:t>
      </w:r>
      <w:r w:rsidR="00C42DDD" w:rsidRPr="00A55D51">
        <w:rPr>
          <w:rFonts w:ascii="Arial" w:eastAsia="Arial" w:hAnsi="Arial" w:cs="Arial"/>
          <w:color w:val="000000"/>
          <w:sz w:val="24"/>
          <w:szCs w:val="24"/>
        </w:rPr>
        <w:t xml:space="preserve">constitutes a </w:t>
      </w:r>
      <w:r w:rsidR="00C42DDD" w:rsidRPr="00A55D51">
        <w:rPr>
          <w:rFonts w:ascii="Arial" w:eastAsia="Arial" w:hAnsi="Arial" w:cs="Arial"/>
          <w:i/>
          <w:iCs/>
          <w:color w:val="000000"/>
          <w:sz w:val="24"/>
          <w:szCs w:val="24"/>
        </w:rPr>
        <w:t>proviso.</w:t>
      </w:r>
      <w:r w:rsidR="00C42DDD" w:rsidRPr="00A55D51">
        <w:rPr>
          <w:rFonts w:ascii="Arial" w:eastAsia="Arial" w:hAnsi="Arial" w:cs="Arial"/>
          <w:color w:val="000000"/>
          <w:sz w:val="24"/>
          <w:szCs w:val="24"/>
        </w:rPr>
        <w:t xml:space="preserve"> </w:t>
      </w:r>
    </w:p>
    <w:p w14:paraId="07412F70" w14:textId="77777777" w:rsidR="00C42DDD" w:rsidRDefault="00C42DDD" w:rsidP="00C42DD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B39E323" w14:textId="3CF8B474" w:rsidR="00C42DDD"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6563C6">
        <w:rPr>
          <w:rFonts w:ascii="Arial" w:eastAsia="Arial" w:hAnsi="Arial" w:cs="Arial"/>
          <w:color w:val="000000"/>
          <w:sz w:val="24"/>
          <w:szCs w:val="24"/>
        </w:rPr>
        <w:t>60.</w:t>
      </w:r>
      <w:r w:rsidRPr="006563C6">
        <w:rPr>
          <w:rFonts w:ascii="Arial" w:eastAsia="Arial" w:hAnsi="Arial" w:cs="Arial"/>
          <w:color w:val="000000"/>
          <w:sz w:val="24"/>
          <w:szCs w:val="24"/>
        </w:rPr>
        <w:tab/>
      </w:r>
      <w:r w:rsidR="00C42DDD" w:rsidRPr="00A55D51">
        <w:rPr>
          <w:rFonts w:ascii="Arial" w:eastAsia="Arial" w:hAnsi="Arial" w:cs="Arial"/>
          <w:color w:val="000000"/>
          <w:sz w:val="24"/>
          <w:szCs w:val="24"/>
        </w:rPr>
        <w:t xml:space="preserve">The </w:t>
      </w:r>
      <w:r w:rsidR="0031516F" w:rsidRPr="00A55D51">
        <w:rPr>
          <w:rFonts w:ascii="Arial" w:eastAsia="Arial" w:hAnsi="Arial" w:cs="Arial"/>
          <w:color w:val="000000"/>
          <w:sz w:val="24"/>
          <w:szCs w:val="24"/>
        </w:rPr>
        <w:t xml:space="preserve">fallacy underlying Mazars’s approach lay in its failure to recognize that </w:t>
      </w:r>
      <w:r w:rsidR="00AF25EE" w:rsidRPr="00A55D51">
        <w:rPr>
          <w:rFonts w:ascii="Arial" w:eastAsia="Arial" w:hAnsi="Arial" w:cs="Arial"/>
          <w:color w:val="000000"/>
          <w:sz w:val="24"/>
          <w:szCs w:val="24"/>
        </w:rPr>
        <w:t xml:space="preserve">Rule 23(1)(a) and (b) constitute a </w:t>
      </w:r>
      <w:r w:rsidR="00AF25EE" w:rsidRPr="00A55D51">
        <w:rPr>
          <w:rFonts w:ascii="Arial" w:eastAsia="Arial" w:hAnsi="Arial" w:cs="Arial"/>
          <w:i/>
          <w:iCs/>
          <w:color w:val="000000"/>
          <w:sz w:val="24"/>
          <w:szCs w:val="24"/>
        </w:rPr>
        <w:t>proviso</w:t>
      </w:r>
      <w:r w:rsidR="00AF25EE" w:rsidRPr="00A55D51">
        <w:rPr>
          <w:rFonts w:ascii="Arial" w:eastAsia="Arial" w:hAnsi="Arial" w:cs="Arial"/>
          <w:color w:val="000000"/>
          <w:sz w:val="24"/>
          <w:szCs w:val="24"/>
        </w:rPr>
        <w:t xml:space="preserve"> to the main part of the Rule 23(1).  Afterall, any form of words that serves </w:t>
      </w:r>
      <w:r w:rsidR="00C0120D" w:rsidRPr="00A55D51">
        <w:rPr>
          <w:rFonts w:ascii="Arial" w:eastAsia="Arial" w:hAnsi="Arial" w:cs="Arial"/>
          <w:color w:val="000000"/>
          <w:sz w:val="24"/>
          <w:szCs w:val="24"/>
        </w:rPr>
        <w:t>to narrow the scope of another provision by qualifying its scope of operation or excepting from it something that would otherwise fall within it</w:t>
      </w:r>
      <w:r w:rsidR="00393897" w:rsidRPr="00A55D51">
        <w:rPr>
          <w:rFonts w:ascii="Arial" w:eastAsia="Arial" w:hAnsi="Arial" w:cs="Arial"/>
          <w:color w:val="000000"/>
          <w:sz w:val="24"/>
          <w:szCs w:val="24"/>
        </w:rPr>
        <w:t xml:space="preserve"> is treated as a </w:t>
      </w:r>
      <w:r w:rsidR="00393897" w:rsidRPr="00A55D51">
        <w:rPr>
          <w:rFonts w:ascii="Arial" w:eastAsia="Arial" w:hAnsi="Arial" w:cs="Arial"/>
          <w:i/>
          <w:iCs/>
          <w:color w:val="000000"/>
          <w:sz w:val="24"/>
          <w:szCs w:val="24"/>
        </w:rPr>
        <w:t>proviso</w:t>
      </w:r>
      <w:r w:rsidR="004649FE">
        <w:rPr>
          <w:rStyle w:val="FootnoteReference"/>
          <w:rFonts w:ascii="Arial" w:eastAsia="Arial" w:hAnsi="Arial" w:cs="Arial"/>
          <w:color w:val="000000"/>
          <w:sz w:val="24"/>
          <w:szCs w:val="24"/>
        </w:rPr>
        <w:footnoteReference w:id="64"/>
      </w:r>
      <w:r w:rsidR="003540BF" w:rsidRPr="00A55D51">
        <w:rPr>
          <w:rFonts w:ascii="Arial" w:eastAsia="Arial" w:hAnsi="Arial" w:cs="Arial"/>
          <w:i/>
          <w:iCs/>
          <w:color w:val="000000"/>
          <w:sz w:val="24"/>
          <w:szCs w:val="24"/>
        </w:rPr>
        <w:t>.</w:t>
      </w:r>
    </w:p>
    <w:p w14:paraId="51A75992" w14:textId="15BB16AA" w:rsidR="00565219" w:rsidRDefault="00565219" w:rsidP="00565219">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5AF4420B" w14:textId="7BE8D42B" w:rsidR="00565219"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61.</w:t>
      </w:r>
      <w:r>
        <w:rPr>
          <w:rFonts w:ascii="Arial" w:eastAsia="Arial" w:hAnsi="Arial" w:cs="Arial"/>
          <w:color w:val="000000"/>
          <w:sz w:val="24"/>
          <w:szCs w:val="24"/>
        </w:rPr>
        <w:tab/>
      </w:r>
      <w:r w:rsidR="003540BF" w:rsidRPr="00A55D51">
        <w:rPr>
          <w:rFonts w:ascii="Arial" w:eastAsia="Arial" w:hAnsi="Arial" w:cs="Arial"/>
          <w:color w:val="000000"/>
          <w:sz w:val="24"/>
          <w:szCs w:val="24"/>
        </w:rPr>
        <w:t xml:space="preserve">The correct approach to the interpretation of a </w:t>
      </w:r>
      <w:r w:rsidR="003540BF" w:rsidRPr="00A55D51">
        <w:rPr>
          <w:rFonts w:ascii="Arial" w:eastAsia="Arial" w:hAnsi="Arial" w:cs="Arial"/>
          <w:i/>
          <w:iCs/>
          <w:color w:val="000000"/>
          <w:sz w:val="24"/>
          <w:szCs w:val="24"/>
        </w:rPr>
        <w:t>proviso</w:t>
      </w:r>
      <w:r w:rsidR="003540BF" w:rsidRPr="00A55D51">
        <w:rPr>
          <w:rFonts w:ascii="Arial" w:eastAsia="Arial" w:hAnsi="Arial" w:cs="Arial"/>
          <w:color w:val="000000"/>
          <w:sz w:val="24"/>
          <w:szCs w:val="24"/>
        </w:rPr>
        <w:t xml:space="preserve"> and the fallacies that arise </w:t>
      </w:r>
      <w:r w:rsidR="00EF4FB3" w:rsidRPr="00A55D51">
        <w:rPr>
          <w:rFonts w:ascii="Arial" w:eastAsia="Arial" w:hAnsi="Arial" w:cs="Arial"/>
          <w:color w:val="000000"/>
          <w:sz w:val="24"/>
          <w:szCs w:val="24"/>
        </w:rPr>
        <w:t xml:space="preserve">in respect thereof was identified in the following passage from the judgment of Botha JA in </w:t>
      </w:r>
      <w:r w:rsidR="00EF4FB3" w:rsidRPr="00A55D51">
        <w:rPr>
          <w:rFonts w:ascii="Arial" w:eastAsia="Arial" w:hAnsi="Arial" w:cs="Arial"/>
          <w:i/>
          <w:iCs/>
          <w:color w:val="000000"/>
          <w:sz w:val="24"/>
          <w:szCs w:val="24"/>
        </w:rPr>
        <w:t>Mphosi v Central Board for Co-operative Insurance Ltd</w:t>
      </w:r>
      <w:r w:rsidR="00E63292" w:rsidRPr="00A55D51">
        <w:rPr>
          <w:rFonts w:ascii="Arial" w:eastAsia="Arial" w:hAnsi="Arial" w:cs="Arial"/>
          <w:color w:val="000000"/>
          <w:sz w:val="24"/>
          <w:szCs w:val="24"/>
        </w:rPr>
        <w:t xml:space="preserve"> 1974 (4) SA 633 (A) at 645C-F:-</w:t>
      </w:r>
    </w:p>
    <w:p w14:paraId="2C7466A2" w14:textId="77777777" w:rsidR="00E63292" w:rsidRDefault="00E63292" w:rsidP="00E6329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C86202F" w14:textId="13F6AB4E" w:rsidR="006A595A" w:rsidRDefault="004509C5" w:rsidP="00FD4D52">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77202C">
        <w:rPr>
          <w:rFonts w:ascii="Arial" w:eastAsia="Arial" w:hAnsi="Arial" w:cs="Arial"/>
          <w:color w:val="000000"/>
        </w:rPr>
        <w:t>“</w:t>
      </w:r>
      <w:r w:rsidR="0077202C" w:rsidRPr="0077202C">
        <w:rPr>
          <w:rFonts w:ascii="Arial" w:eastAsia="Arial" w:hAnsi="Arial" w:cs="Arial"/>
          <w:i/>
          <w:iCs/>
          <w:color w:val="000000"/>
        </w:rPr>
        <w:t>This argument</w:t>
      </w:r>
      <w:r w:rsidR="0077202C">
        <w:rPr>
          <w:rFonts w:ascii="Arial" w:eastAsia="Arial" w:hAnsi="Arial" w:cs="Arial"/>
          <w:i/>
          <w:iCs/>
          <w:color w:val="000000"/>
        </w:rPr>
        <w:t xml:space="preserve"> altogether overlooks the true function and effect of a proviso.  According to Crai</w:t>
      </w:r>
      <w:r w:rsidR="00395370">
        <w:rPr>
          <w:rFonts w:ascii="Arial" w:eastAsia="Arial" w:hAnsi="Arial" w:cs="Arial"/>
          <w:i/>
          <w:iCs/>
          <w:color w:val="000000"/>
        </w:rPr>
        <w:t>es, Statute Law, 7</w:t>
      </w:r>
      <w:r w:rsidR="006A595A" w:rsidRPr="006A595A">
        <w:rPr>
          <w:rFonts w:ascii="Arial" w:eastAsia="Arial" w:hAnsi="Arial" w:cs="Arial"/>
          <w:i/>
          <w:iCs/>
          <w:color w:val="000000"/>
          <w:vertAlign w:val="superscript"/>
        </w:rPr>
        <w:t>th</w:t>
      </w:r>
      <w:r w:rsidR="006A595A">
        <w:rPr>
          <w:rFonts w:ascii="Arial" w:eastAsia="Arial" w:hAnsi="Arial" w:cs="Arial"/>
          <w:i/>
          <w:iCs/>
          <w:color w:val="000000"/>
        </w:rPr>
        <w:t xml:space="preserve"> Ed., at p.218 –</w:t>
      </w:r>
    </w:p>
    <w:p w14:paraId="370CB78B" w14:textId="77777777" w:rsidR="00582DEA" w:rsidRDefault="008E082C" w:rsidP="00FD4D52">
      <w:pPr>
        <w:pStyle w:val="ListParagraph"/>
        <w:pBdr>
          <w:top w:val="nil"/>
          <w:left w:val="nil"/>
          <w:bottom w:val="nil"/>
          <w:right w:val="nil"/>
          <w:between w:val="nil"/>
        </w:pBdr>
        <w:spacing w:after="0" w:line="276" w:lineRule="auto"/>
        <w:ind w:left="709"/>
        <w:jc w:val="both"/>
        <w:rPr>
          <w:rFonts w:ascii="Arial" w:eastAsia="Arial" w:hAnsi="Arial" w:cs="Arial"/>
          <w:i/>
          <w:iCs/>
          <w:color w:val="000000"/>
          <w:sz w:val="18"/>
          <w:szCs w:val="18"/>
        </w:rPr>
      </w:pPr>
      <w:r w:rsidRPr="00CE01B2">
        <w:rPr>
          <w:rFonts w:ascii="Arial" w:eastAsia="Arial" w:hAnsi="Arial" w:cs="Arial"/>
          <w:i/>
          <w:iCs/>
          <w:color w:val="000000"/>
          <w:sz w:val="18"/>
          <w:szCs w:val="18"/>
        </w:rPr>
        <w:t>The effect of an excepting or qualifying proviso, according to the ordinary rules of construction, is to except out of the preceding portion of the enactment</w:t>
      </w:r>
      <w:r w:rsidR="00CE01B2" w:rsidRPr="00CE01B2">
        <w:rPr>
          <w:rFonts w:ascii="Arial" w:eastAsia="Arial" w:hAnsi="Arial" w:cs="Arial"/>
          <w:i/>
          <w:iCs/>
          <w:color w:val="000000"/>
          <w:sz w:val="18"/>
          <w:szCs w:val="18"/>
        </w:rPr>
        <w:t xml:space="preserve">, </w:t>
      </w:r>
      <w:r w:rsidR="00CE01B2">
        <w:rPr>
          <w:rFonts w:ascii="Arial" w:eastAsia="Arial" w:hAnsi="Arial" w:cs="Arial"/>
          <w:i/>
          <w:iCs/>
          <w:color w:val="000000"/>
          <w:sz w:val="18"/>
          <w:szCs w:val="18"/>
        </w:rPr>
        <w:t xml:space="preserve">or to qualify something enacted therein, which but for the </w:t>
      </w:r>
      <w:r w:rsidR="00CE01B2">
        <w:rPr>
          <w:rFonts w:ascii="Arial" w:eastAsia="Arial" w:hAnsi="Arial" w:cs="Arial"/>
          <w:i/>
          <w:iCs/>
          <w:color w:val="000000"/>
          <w:sz w:val="18"/>
          <w:szCs w:val="18"/>
        </w:rPr>
        <w:lastRenderedPageBreak/>
        <w:t>proviso would be within it; and such proviso cannot be construed as enlarging the scope of an enactment</w:t>
      </w:r>
      <w:r w:rsidR="00582DEA">
        <w:rPr>
          <w:rFonts w:ascii="Arial" w:eastAsia="Arial" w:hAnsi="Arial" w:cs="Arial"/>
          <w:i/>
          <w:iCs/>
          <w:color w:val="000000"/>
          <w:sz w:val="18"/>
          <w:szCs w:val="18"/>
        </w:rPr>
        <w:t xml:space="preserve"> when it can be fairly and properly construed without attributing to it that effect. </w:t>
      </w:r>
    </w:p>
    <w:p w14:paraId="7FB2CCF4" w14:textId="7488BE60" w:rsidR="00A2564A" w:rsidRDefault="005C433E" w:rsidP="00FD4D52">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 xml:space="preserve">In R. v Dibdin, 1910 </w:t>
      </w:r>
      <w:r w:rsidR="00EC76AF">
        <w:rPr>
          <w:rFonts w:ascii="Arial" w:eastAsia="Arial" w:hAnsi="Arial" w:cs="Arial"/>
          <w:i/>
          <w:iCs/>
          <w:color w:val="000000"/>
        </w:rPr>
        <w:t>p</w:t>
      </w:r>
      <w:r>
        <w:rPr>
          <w:rFonts w:ascii="Arial" w:eastAsia="Arial" w:hAnsi="Arial" w:cs="Arial"/>
          <w:i/>
          <w:iCs/>
          <w:color w:val="000000"/>
        </w:rPr>
        <w:t xml:space="preserve">.57, Lord Fletcher </w:t>
      </w:r>
      <w:r w:rsidR="00EC76AF">
        <w:rPr>
          <w:rFonts w:ascii="Arial" w:eastAsia="Arial" w:hAnsi="Arial" w:cs="Arial"/>
          <w:i/>
          <w:iCs/>
          <w:color w:val="000000"/>
        </w:rPr>
        <w:t>M</w:t>
      </w:r>
      <w:r w:rsidR="004B302A">
        <w:rPr>
          <w:rFonts w:ascii="Arial" w:eastAsia="Arial" w:hAnsi="Arial" w:cs="Arial"/>
          <w:i/>
          <w:iCs/>
          <w:color w:val="000000"/>
        </w:rPr>
        <w:t>o</w:t>
      </w:r>
      <w:r w:rsidR="00EC76AF">
        <w:rPr>
          <w:rFonts w:ascii="Arial" w:eastAsia="Arial" w:hAnsi="Arial" w:cs="Arial"/>
          <w:i/>
          <w:iCs/>
          <w:color w:val="000000"/>
        </w:rPr>
        <w:t>ulton at p.125, in the Court of Appeal, said</w:t>
      </w:r>
      <w:r w:rsidR="00A2564A">
        <w:rPr>
          <w:rFonts w:ascii="Arial" w:eastAsia="Arial" w:hAnsi="Arial" w:cs="Arial"/>
          <w:i/>
          <w:iCs/>
          <w:color w:val="000000"/>
        </w:rPr>
        <w:t xml:space="preserve"> –</w:t>
      </w:r>
    </w:p>
    <w:p w14:paraId="3B0A2DFF" w14:textId="77777777" w:rsidR="004B302A" w:rsidRDefault="00A2564A" w:rsidP="00FD4D52">
      <w:pPr>
        <w:pStyle w:val="ListParagraph"/>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A2564A">
        <w:rPr>
          <w:rFonts w:ascii="Arial" w:eastAsia="Arial" w:hAnsi="Arial" w:cs="Arial"/>
          <w:i/>
          <w:iCs/>
          <w:color w:val="000000"/>
          <w:sz w:val="18"/>
          <w:szCs w:val="18"/>
        </w:rPr>
        <w:t>The fallacy of</w:t>
      </w:r>
      <w:r>
        <w:rPr>
          <w:rFonts w:ascii="Arial" w:eastAsia="Arial" w:hAnsi="Arial" w:cs="Arial"/>
          <w:i/>
          <w:iCs/>
          <w:color w:val="000000"/>
          <w:sz w:val="18"/>
          <w:szCs w:val="18"/>
        </w:rPr>
        <w:t xml:space="preserve"> the proposed method of interpretation (ie to treat a proviso as an independent enacting clause</w:t>
      </w:r>
      <w:r w:rsidR="0056677C">
        <w:rPr>
          <w:rFonts w:ascii="Arial" w:eastAsia="Arial" w:hAnsi="Arial" w:cs="Arial"/>
          <w:i/>
          <w:iCs/>
          <w:color w:val="000000"/>
          <w:sz w:val="18"/>
          <w:szCs w:val="18"/>
        </w:rPr>
        <w:t xml:space="preserve">) is not far to seek.  It sins against the fundamental rule of construction that a proviso must be considered in relation to the principal matter to which it stands as a proviso.  It </w:t>
      </w:r>
      <w:r w:rsidR="00606921">
        <w:rPr>
          <w:rFonts w:ascii="Arial" w:eastAsia="Arial" w:hAnsi="Arial" w:cs="Arial"/>
          <w:i/>
          <w:iCs/>
          <w:color w:val="000000"/>
          <w:sz w:val="18"/>
          <w:szCs w:val="18"/>
        </w:rPr>
        <w:t>treats</w:t>
      </w:r>
      <w:r w:rsidR="0056677C">
        <w:rPr>
          <w:rFonts w:ascii="Arial" w:eastAsia="Arial" w:hAnsi="Arial" w:cs="Arial"/>
          <w:i/>
          <w:iCs/>
          <w:color w:val="000000"/>
          <w:sz w:val="18"/>
          <w:szCs w:val="18"/>
        </w:rPr>
        <w:t xml:space="preserve"> it as if it were an independent enacting clause instead of being dependent on the main enactment.  The courts</w:t>
      </w:r>
      <w:r w:rsidR="00606921">
        <w:rPr>
          <w:rFonts w:ascii="Arial" w:eastAsia="Arial" w:hAnsi="Arial" w:cs="Arial"/>
          <w:i/>
          <w:iCs/>
          <w:color w:val="000000"/>
          <w:sz w:val="18"/>
          <w:szCs w:val="18"/>
        </w:rPr>
        <w:t xml:space="preserve"> … have frequently pointed out this fallacy, and have refused to be led astray by arguments such as those which have been addressed</w:t>
      </w:r>
      <w:r w:rsidR="00E613B4">
        <w:rPr>
          <w:rFonts w:ascii="Arial" w:eastAsia="Arial" w:hAnsi="Arial" w:cs="Arial"/>
          <w:i/>
          <w:iCs/>
          <w:color w:val="000000"/>
          <w:sz w:val="18"/>
          <w:szCs w:val="18"/>
        </w:rPr>
        <w:t xml:space="preserve"> to us, which depends solely on taking words absolute</w:t>
      </w:r>
      <w:r w:rsidR="004B302A">
        <w:rPr>
          <w:rFonts w:ascii="Arial" w:eastAsia="Arial" w:hAnsi="Arial" w:cs="Arial"/>
          <w:i/>
          <w:iCs/>
          <w:color w:val="000000"/>
          <w:sz w:val="18"/>
          <w:szCs w:val="18"/>
        </w:rPr>
        <w:t>ly</w:t>
      </w:r>
      <w:r w:rsidR="00E613B4">
        <w:rPr>
          <w:rFonts w:ascii="Arial" w:eastAsia="Arial" w:hAnsi="Arial" w:cs="Arial"/>
          <w:i/>
          <w:iCs/>
          <w:color w:val="000000"/>
          <w:sz w:val="18"/>
          <w:szCs w:val="18"/>
        </w:rPr>
        <w:t xml:space="preserve"> in their strict literal sense, disregarding the fundamental consideration that they appear in a proviso.”</w:t>
      </w:r>
      <w:r w:rsidRPr="00A2564A">
        <w:rPr>
          <w:rFonts w:ascii="Arial" w:eastAsia="Arial" w:hAnsi="Arial" w:cs="Arial"/>
          <w:i/>
          <w:iCs/>
          <w:color w:val="000000"/>
          <w:sz w:val="18"/>
          <w:szCs w:val="18"/>
        </w:rPr>
        <w:t xml:space="preserve"> </w:t>
      </w:r>
      <w:r w:rsidR="008E082C" w:rsidRPr="00A2564A">
        <w:rPr>
          <w:rFonts w:ascii="Arial" w:eastAsia="Arial" w:hAnsi="Arial" w:cs="Arial"/>
          <w:color w:val="000000"/>
          <w:sz w:val="24"/>
          <w:szCs w:val="24"/>
        </w:rPr>
        <w:t xml:space="preserve"> </w:t>
      </w:r>
    </w:p>
    <w:p w14:paraId="7F70BF73" w14:textId="77777777" w:rsidR="004B302A" w:rsidRDefault="004B302A" w:rsidP="00FD4D52">
      <w:pPr>
        <w:pStyle w:val="ListParagraph"/>
        <w:pBdr>
          <w:top w:val="nil"/>
          <w:left w:val="nil"/>
          <w:bottom w:val="nil"/>
          <w:right w:val="nil"/>
          <w:between w:val="nil"/>
        </w:pBdr>
        <w:spacing w:after="0" w:line="276" w:lineRule="auto"/>
        <w:ind w:left="709"/>
        <w:jc w:val="both"/>
        <w:rPr>
          <w:rFonts w:ascii="Arial" w:eastAsia="Arial" w:hAnsi="Arial" w:cs="Arial"/>
          <w:color w:val="000000"/>
          <w:sz w:val="24"/>
          <w:szCs w:val="24"/>
        </w:rPr>
      </w:pPr>
    </w:p>
    <w:p w14:paraId="6AD6D0D1" w14:textId="109356AC" w:rsidR="00E63292" w:rsidRPr="00A2564A" w:rsidRDefault="00395370" w:rsidP="00FD4D52">
      <w:pPr>
        <w:pStyle w:val="ListParagraph"/>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A2564A">
        <w:rPr>
          <w:rFonts w:ascii="Arial" w:eastAsia="Arial" w:hAnsi="Arial" w:cs="Arial"/>
          <w:color w:val="000000"/>
          <w:sz w:val="24"/>
          <w:szCs w:val="24"/>
        </w:rPr>
        <w:t xml:space="preserve"> </w:t>
      </w:r>
      <w:r w:rsidR="0077202C" w:rsidRPr="00A2564A">
        <w:rPr>
          <w:rFonts w:ascii="Arial" w:eastAsia="Arial" w:hAnsi="Arial" w:cs="Arial"/>
          <w:color w:val="000000"/>
          <w:sz w:val="24"/>
          <w:szCs w:val="24"/>
        </w:rPr>
        <w:t xml:space="preserve"> </w:t>
      </w:r>
    </w:p>
    <w:p w14:paraId="236D9D1C" w14:textId="4DAFE38F" w:rsidR="004B302A"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62.</w:t>
      </w:r>
      <w:r>
        <w:rPr>
          <w:rFonts w:ascii="Arial" w:eastAsia="Arial" w:hAnsi="Arial" w:cs="Arial"/>
          <w:color w:val="000000"/>
          <w:sz w:val="24"/>
          <w:szCs w:val="24"/>
        </w:rPr>
        <w:tab/>
      </w:r>
      <w:r w:rsidR="004B302A" w:rsidRPr="00A55D51">
        <w:rPr>
          <w:rFonts w:ascii="Arial" w:eastAsia="Arial" w:hAnsi="Arial" w:cs="Arial"/>
          <w:color w:val="000000"/>
          <w:sz w:val="24"/>
          <w:szCs w:val="24"/>
        </w:rPr>
        <w:t xml:space="preserve">Having regard to the correct interpretation of a </w:t>
      </w:r>
      <w:r w:rsidR="004B302A" w:rsidRPr="00A55D51">
        <w:rPr>
          <w:rFonts w:ascii="Arial" w:eastAsia="Arial" w:hAnsi="Arial" w:cs="Arial"/>
          <w:i/>
          <w:color w:val="000000"/>
          <w:sz w:val="24"/>
          <w:szCs w:val="24"/>
        </w:rPr>
        <w:t>proviso</w:t>
      </w:r>
      <w:r w:rsidR="004B302A" w:rsidRPr="00A55D51">
        <w:rPr>
          <w:rFonts w:ascii="Arial" w:eastAsia="Arial" w:hAnsi="Arial" w:cs="Arial"/>
          <w:color w:val="000000"/>
          <w:sz w:val="24"/>
          <w:szCs w:val="24"/>
        </w:rPr>
        <w:t xml:space="preserve"> it follows that the words: “</w:t>
      </w:r>
      <w:r w:rsidR="004B302A" w:rsidRPr="00A55D51">
        <w:rPr>
          <w:rFonts w:ascii="Arial" w:eastAsia="Arial" w:hAnsi="Arial" w:cs="Arial"/>
          <w:i/>
          <w:color w:val="000000"/>
          <w:sz w:val="24"/>
          <w:szCs w:val="24"/>
        </w:rPr>
        <w:t>within 10 (ten) days of receipt of the pleading”</w:t>
      </w:r>
      <w:r w:rsidR="00533BF0" w:rsidRPr="00A55D51">
        <w:rPr>
          <w:rFonts w:ascii="Arial" w:eastAsia="Arial" w:hAnsi="Arial" w:cs="Arial"/>
          <w:color w:val="000000"/>
          <w:sz w:val="24"/>
          <w:szCs w:val="24"/>
        </w:rPr>
        <w:t xml:space="preserve"> were</w:t>
      </w:r>
      <w:r w:rsidR="004B302A" w:rsidRPr="00A55D51">
        <w:rPr>
          <w:rFonts w:ascii="Arial" w:eastAsia="Arial" w:hAnsi="Arial" w:cs="Arial"/>
          <w:color w:val="000000"/>
          <w:sz w:val="24"/>
          <w:szCs w:val="24"/>
        </w:rPr>
        <w:t xml:space="preserve"> intended to narrow the scope of the main provision by qualifying its scope of operation or excepting from it something that would otherwise fall within the main provision.  What this means is simply that the words: </w:t>
      </w:r>
      <w:r w:rsidR="004B302A" w:rsidRPr="00A55D51">
        <w:rPr>
          <w:rFonts w:ascii="Arial" w:eastAsia="Arial" w:hAnsi="Arial" w:cs="Arial"/>
          <w:i/>
          <w:color w:val="000000"/>
          <w:sz w:val="24"/>
          <w:szCs w:val="24"/>
        </w:rPr>
        <w:t>“within 10 (ten) days of receipt of the pleading</w:t>
      </w:r>
      <w:r w:rsidR="004B302A" w:rsidRPr="00A55D51">
        <w:rPr>
          <w:rFonts w:ascii="Arial" w:eastAsia="Arial" w:hAnsi="Arial" w:cs="Arial"/>
          <w:color w:val="000000"/>
          <w:sz w:val="24"/>
          <w:szCs w:val="24"/>
        </w:rPr>
        <w:t>” cannot and does not have the same meaning or effect as the words:</w:t>
      </w:r>
      <w:r w:rsidR="00370760" w:rsidRPr="00A55D51">
        <w:rPr>
          <w:rFonts w:ascii="Arial" w:eastAsia="Arial" w:hAnsi="Arial" w:cs="Arial"/>
          <w:color w:val="000000"/>
          <w:sz w:val="24"/>
          <w:szCs w:val="24"/>
        </w:rPr>
        <w:t xml:space="preserve"> </w:t>
      </w:r>
      <w:r w:rsidR="004B302A" w:rsidRPr="00A55D51">
        <w:rPr>
          <w:rFonts w:ascii="Arial" w:eastAsia="Arial" w:hAnsi="Arial" w:cs="Arial"/>
          <w:i/>
          <w:color w:val="000000"/>
          <w:sz w:val="24"/>
          <w:szCs w:val="24"/>
        </w:rPr>
        <w:t>”within the period allowed for filing any subsequent pleading</w:t>
      </w:r>
      <w:r w:rsidR="004B302A" w:rsidRPr="00A55D51">
        <w:rPr>
          <w:rFonts w:ascii="Arial" w:eastAsia="Arial" w:hAnsi="Arial" w:cs="Arial"/>
          <w:color w:val="000000"/>
          <w:sz w:val="24"/>
          <w:szCs w:val="24"/>
        </w:rPr>
        <w:t xml:space="preserve">”. In other words, the words: </w:t>
      </w:r>
      <w:r w:rsidR="004B302A" w:rsidRPr="00A55D51">
        <w:rPr>
          <w:rFonts w:ascii="Arial" w:eastAsia="Arial" w:hAnsi="Arial" w:cs="Arial"/>
          <w:i/>
          <w:color w:val="000000"/>
          <w:sz w:val="24"/>
          <w:szCs w:val="24"/>
        </w:rPr>
        <w:t>“within 10 (ten) days of receipt of the pleading</w:t>
      </w:r>
      <w:r w:rsidR="004B302A" w:rsidRPr="00A55D51">
        <w:rPr>
          <w:rFonts w:ascii="Arial" w:eastAsia="Arial" w:hAnsi="Arial" w:cs="Arial"/>
          <w:color w:val="000000"/>
          <w:sz w:val="24"/>
          <w:szCs w:val="24"/>
        </w:rPr>
        <w:t xml:space="preserve">” excepted out of the main portion/provision something that would, but for the proviso, be within it.  </w:t>
      </w:r>
      <w:r w:rsidR="00533BF0" w:rsidRPr="00A55D51">
        <w:rPr>
          <w:rFonts w:ascii="Arial" w:eastAsia="Arial" w:hAnsi="Arial" w:cs="Arial"/>
          <w:i/>
          <w:color w:val="000000"/>
          <w:sz w:val="24"/>
          <w:szCs w:val="24"/>
        </w:rPr>
        <w:t>Ergo</w:t>
      </w:r>
      <w:r w:rsidR="00533BF0" w:rsidRPr="00A55D51">
        <w:rPr>
          <w:rFonts w:ascii="Arial" w:eastAsia="Arial" w:hAnsi="Arial" w:cs="Arial"/>
          <w:color w:val="000000"/>
          <w:sz w:val="24"/>
          <w:szCs w:val="24"/>
        </w:rPr>
        <w:t xml:space="preserve">, I, and with respect, disagree with the reasoning and order in </w:t>
      </w:r>
      <w:r w:rsidR="00533BF0" w:rsidRPr="00A55D51">
        <w:rPr>
          <w:rFonts w:ascii="Arial" w:eastAsia="Arial" w:hAnsi="Arial" w:cs="Arial"/>
          <w:i/>
          <w:color w:val="000000"/>
          <w:sz w:val="24"/>
          <w:szCs w:val="24"/>
        </w:rPr>
        <w:t>Wrought Iron</w:t>
      </w:r>
      <w:r w:rsidR="00533BF0" w:rsidRPr="00A55D51">
        <w:rPr>
          <w:rFonts w:ascii="Arial" w:eastAsia="Arial" w:hAnsi="Arial" w:cs="Arial"/>
          <w:color w:val="000000"/>
          <w:sz w:val="24"/>
          <w:szCs w:val="24"/>
        </w:rPr>
        <w:t xml:space="preserve"> and agree with the reasoning and order in </w:t>
      </w:r>
      <w:r w:rsidR="00533BF0" w:rsidRPr="00A55D51">
        <w:rPr>
          <w:rFonts w:ascii="Arial" w:eastAsia="Arial" w:hAnsi="Arial" w:cs="Arial"/>
          <w:i/>
          <w:color w:val="000000"/>
          <w:sz w:val="24"/>
          <w:szCs w:val="24"/>
        </w:rPr>
        <w:t>Hill NO v Brown</w:t>
      </w:r>
      <w:r w:rsidR="00533BF0" w:rsidRPr="00A55D51">
        <w:rPr>
          <w:rFonts w:ascii="Arial" w:eastAsia="Arial" w:hAnsi="Arial" w:cs="Arial"/>
          <w:color w:val="000000"/>
          <w:sz w:val="24"/>
          <w:szCs w:val="24"/>
        </w:rPr>
        <w:t>.</w:t>
      </w:r>
      <w:r w:rsidR="004B302A" w:rsidRPr="00A55D51">
        <w:rPr>
          <w:rFonts w:ascii="Arial" w:eastAsia="Arial" w:hAnsi="Arial" w:cs="Arial"/>
          <w:color w:val="000000"/>
          <w:sz w:val="24"/>
          <w:szCs w:val="24"/>
        </w:rPr>
        <w:br/>
      </w:r>
    </w:p>
    <w:p w14:paraId="14A43560" w14:textId="378207D2" w:rsidR="005B2456"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63.</w:t>
      </w:r>
      <w:r>
        <w:rPr>
          <w:rFonts w:ascii="Arial" w:eastAsia="Arial" w:hAnsi="Arial" w:cs="Arial"/>
          <w:color w:val="000000"/>
          <w:sz w:val="24"/>
          <w:szCs w:val="24"/>
        </w:rPr>
        <w:tab/>
      </w:r>
      <w:r w:rsidR="00E95DD5" w:rsidRPr="00A55D51">
        <w:rPr>
          <w:rFonts w:ascii="Arial" w:eastAsia="Arial" w:hAnsi="Arial" w:cs="Arial"/>
          <w:color w:val="000000"/>
          <w:sz w:val="24"/>
          <w:szCs w:val="24"/>
        </w:rPr>
        <w:t>In view of the above, it follows that the provisions of Rule 23(1)(a) and (b) constitute jurisdictional requirements that had to be strictly complied with</w:t>
      </w:r>
      <w:r w:rsidR="00533BF0" w:rsidRPr="00A55D51">
        <w:rPr>
          <w:rFonts w:ascii="Arial" w:eastAsia="Arial" w:hAnsi="Arial" w:cs="Arial"/>
          <w:color w:val="000000"/>
          <w:sz w:val="24"/>
          <w:szCs w:val="24"/>
        </w:rPr>
        <w:t>,</w:t>
      </w:r>
      <w:r w:rsidR="005E46B5" w:rsidRPr="00A55D51">
        <w:rPr>
          <w:rFonts w:ascii="Arial" w:eastAsia="Arial" w:hAnsi="Arial" w:cs="Arial"/>
          <w:color w:val="000000"/>
          <w:sz w:val="24"/>
          <w:szCs w:val="24"/>
        </w:rPr>
        <w:t xml:space="preserve"> failure of which an application for condonation is necessary in terms of Rule 27.  I have already found that Mazars failed to show good cause for condonation with the concomitant result that the exceptions based on vague and embarrassing grounds are not properly before me and falls to be removed from the roll.</w:t>
      </w:r>
      <w:r w:rsidR="005B2456" w:rsidRPr="00A55D51">
        <w:rPr>
          <w:rFonts w:ascii="Arial" w:eastAsia="Arial" w:hAnsi="Arial" w:cs="Arial"/>
          <w:color w:val="000000"/>
          <w:sz w:val="24"/>
          <w:szCs w:val="24"/>
        </w:rPr>
        <w:t xml:space="preserve"> </w:t>
      </w:r>
    </w:p>
    <w:p w14:paraId="1934EEC4" w14:textId="77777777" w:rsidR="005C1A83" w:rsidRDefault="005C1A83" w:rsidP="005C1A8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07803B8" w14:textId="77777777" w:rsidR="00D23A31" w:rsidRDefault="00D23A31" w:rsidP="001B5CE0">
      <w:pPr>
        <w:spacing w:after="0" w:line="240" w:lineRule="auto"/>
        <w:jc w:val="both"/>
        <w:rPr>
          <w:rFonts w:ascii="Arial" w:hAnsi="Arial" w:cs="Arial"/>
          <w:b/>
        </w:rPr>
      </w:pPr>
    </w:p>
    <w:p w14:paraId="68B72C67" w14:textId="6548447B" w:rsidR="00887303" w:rsidRPr="00586CFF" w:rsidRDefault="00887303" w:rsidP="001B5CE0">
      <w:pPr>
        <w:spacing w:after="0" w:line="240" w:lineRule="auto"/>
        <w:jc w:val="both"/>
        <w:rPr>
          <w:rFonts w:ascii="Arial" w:hAnsi="Arial" w:cs="Arial"/>
          <w:b/>
        </w:rPr>
      </w:pPr>
      <w:r w:rsidRPr="00586CFF">
        <w:rPr>
          <w:rFonts w:ascii="Arial" w:hAnsi="Arial" w:cs="Arial"/>
          <w:b/>
        </w:rPr>
        <w:t>___________________________________________________________________</w:t>
      </w:r>
      <w:r>
        <w:rPr>
          <w:rFonts w:ascii="Arial" w:hAnsi="Arial" w:cs="Arial"/>
          <w:b/>
        </w:rPr>
        <w:t>_____________</w:t>
      </w:r>
    </w:p>
    <w:p w14:paraId="562F6C12" w14:textId="77777777" w:rsidR="00887303" w:rsidRPr="00586CFF" w:rsidRDefault="00887303" w:rsidP="001B5CE0">
      <w:pPr>
        <w:spacing w:after="0" w:line="240" w:lineRule="auto"/>
        <w:jc w:val="center"/>
        <w:rPr>
          <w:rFonts w:ascii="Arial" w:hAnsi="Arial" w:cs="Arial"/>
          <w:b/>
        </w:rPr>
      </w:pPr>
    </w:p>
    <w:p w14:paraId="7451C3A8" w14:textId="77777777" w:rsidR="00887303" w:rsidRPr="00586CFF" w:rsidRDefault="00887303" w:rsidP="001B5CE0">
      <w:pPr>
        <w:spacing w:after="0" w:line="240" w:lineRule="auto"/>
        <w:jc w:val="center"/>
        <w:rPr>
          <w:rFonts w:ascii="Arial" w:hAnsi="Arial" w:cs="Arial"/>
          <w:b/>
          <w:sz w:val="28"/>
          <w:szCs w:val="28"/>
        </w:rPr>
      </w:pPr>
      <w:r w:rsidRPr="00586CFF">
        <w:rPr>
          <w:rFonts w:ascii="Arial" w:hAnsi="Arial" w:cs="Arial"/>
          <w:b/>
          <w:sz w:val="28"/>
          <w:szCs w:val="28"/>
        </w:rPr>
        <w:t>ORDER</w:t>
      </w:r>
    </w:p>
    <w:p w14:paraId="7FCBEB0E" w14:textId="77777777" w:rsidR="00887303" w:rsidRPr="00586CFF" w:rsidRDefault="00887303" w:rsidP="001B5CE0">
      <w:pPr>
        <w:spacing w:after="0" w:line="240" w:lineRule="auto"/>
        <w:jc w:val="both"/>
        <w:rPr>
          <w:rFonts w:ascii="Arial" w:hAnsi="Arial" w:cs="Arial"/>
          <w:b/>
        </w:rPr>
      </w:pPr>
      <w:r w:rsidRPr="00586CFF">
        <w:rPr>
          <w:rFonts w:ascii="Arial" w:hAnsi="Arial" w:cs="Arial"/>
          <w:b/>
        </w:rPr>
        <w:t>___________________________________________________________________</w:t>
      </w:r>
      <w:r>
        <w:rPr>
          <w:rFonts w:ascii="Arial" w:hAnsi="Arial" w:cs="Arial"/>
          <w:b/>
        </w:rPr>
        <w:t>______________</w:t>
      </w:r>
    </w:p>
    <w:p w14:paraId="4D056EFF" w14:textId="77777777" w:rsidR="00887303" w:rsidRPr="00586CFF" w:rsidRDefault="00887303" w:rsidP="00887303">
      <w:pPr>
        <w:jc w:val="both"/>
        <w:rPr>
          <w:rFonts w:ascii="Arial" w:hAnsi="Arial" w:cs="Arial"/>
          <w:b/>
        </w:rPr>
      </w:pPr>
    </w:p>
    <w:p w14:paraId="52526AF5" w14:textId="1DC61F3C" w:rsidR="00F1674D" w:rsidRDefault="00C341CD" w:rsidP="001B5CE0">
      <w:pPr>
        <w:pBdr>
          <w:top w:val="nil"/>
          <w:left w:val="nil"/>
          <w:bottom w:val="nil"/>
          <w:right w:val="nil"/>
          <w:between w:val="nil"/>
        </w:pBdr>
        <w:spacing w:after="0" w:line="360" w:lineRule="auto"/>
        <w:jc w:val="both"/>
        <w:rPr>
          <w:rFonts w:ascii="Arial" w:eastAsia="Arial" w:hAnsi="Arial" w:cs="Arial"/>
          <w:color w:val="000000"/>
          <w:sz w:val="24"/>
          <w:szCs w:val="24"/>
        </w:rPr>
      </w:pPr>
      <w:r w:rsidRPr="001B5CE0">
        <w:rPr>
          <w:rFonts w:ascii="Arial" w:eastAsia="Arial" w:hAnsi="Arial" w:cs="Arial"/>
          <w:color w:val="000000"/>
          <w:sz w:val="24"/>
          <w:szCs w:val="24"/>
        </w:rPr>
        <w:t xml:space="preserve">In the </w:t>
      </w:r>
      <w:r w:rsidR="00837B15">
        <w:rPr>
          <w:rFonts w:ascii="Arial" w:eastAsia="Arial" w:hAnsi="Arial" w:cs="Arial"/>
          <w:color w:val="000000"/>
          <w:sz w:val="24"/>
          <w:szCs w:val="24"/>
        </w:rPr>
        <w:t>result</w:t>
      </w:r>
      <w:r w:rsidR="00AD040E">
        <w:rPr>
          <w:rFonts w:ascii="Arial" w:eastAsia="Arial" w:hAnsi="Arial" w:cs="Arial"/>
          <w:color w:val="000000"/>
          <w:sz w:val="24"/>
          <w:szCs w:val="24"/>
        </w:rPr>
        <w:t>,</w:t>
      </w:r>
      <w:r w:rsidRPr="001B5CE0">
        <w:rPr>
          <w:rFonts w:ascii="Arial" w:eastAsia="Arial" w:hAnsi="Arial" w:cs="Arial"/>
          <w:color w:val="000000"/>
          <w:sz w:val="24"/>
          <w:szCs w:val="24"/>
        </w:rPr>
        <w:t xml:space="preserve"> </w:t>
      </w:r>
      <w:r w:rsidR="001B5CE0" w:rsidRPr="001B5CE0">
        <w:rPr>
          <w:rFonts w:ascii="Arial" w:eastAsia="Arial" w:hAnsi="Arial" w:cs="Arial"/>
          <w:color w:val="000000"/>
          <w:sz w:val="24"/>
          <w:szCs w:val="24"/>
        </w:rPr>
        <w:t>I make the following order:</w:t>
      </w:r>
    </w:p>
    <w:p w14:paraId="1B8D990E" w14:textId="77777777" w:rsidR="001B5CE0" w:rsidRPr="001B5CE0" w:rsidRDefault="001B5CE0" w:rsidP="001B5CE0">
      <w:pPr>
        <w:pBdr>
          <w:top w:val="nil"/>
          <w:left w:val="nil"/>
          <w:bottom w:val="nil"/>
          <w:right w:val="nil"/>
          <w:between w:val="nil"/>
        </w:pBdr>
        <w:spacing w:after="0" w:line="360" w:lineRule="auto"/>
        <w:jc w:val="both"/>
        <w:rPr>
          <w:rFonts w:ascii="Arial" w:eastAsia="Arial" w:hAnsi="Arial" w:cs="Arial"/>
          <w:color w:val="000000"/>
          <w:sz w:val="24"/>
          <w:szCs w:val="24"/>
        </w:rPr>
      </w:pPr>
    </w:p>
    <w:p w14:paraId="41BAB16B" w14:textId="248030D8" w:rsidR="001B5CE0"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1.</w:t>
      </w:r>
      <w:r>
        <w:rPr>
          <w:rFonts w:ascii="Arial" w:eastAsia="Arial" w:hAnsi="Arial" w:cs="Arial"/>
          <w:color w:val="000000"/>
          <w:sz w:val="24"/>
          <w:szCs w:val="24"/>
        </w:rPr>
        <w:tab/>
      </w:r>
      <w:r w:rsidR="00837B15" w:rsidRPr="00A55D51">
        <w:rPr>
          <w:rFonts w:ascii="Arial" w:eastAsia="Arial" w:hAnsi="Arial" w:cs="Arial"/>
          <w:color w:val="000000"/>
          <w:sz w:val="24"/>
          <w:szCs w:val="24"/>
        </w:rPr>
        <w:t>Paragraph 11 of the plaintiff’s Amended Particulars of Claim [dated 8 January 2020] is struck with costs;</w:t>
      </w:r>
    </w:p>
    <w:p w14:paraId="2442A9DD" w14:textId="77777777" w:rsidR="008043C0" w:rsidRDefault="008043C0" w:rsidP="008043C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94BE763" w14:textId="2640B771" w:rsidR="008043C0"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r>
      <w:r w:rsidR="00837B15" w:rsidRPr="00A55D51">
        <w:rPr>
          <w:rFonts w:ascii="Arial" w:eastAsia="Arial" w:hAnsi="Arial" w:cs="Arial"/>
          <w:color w:val="000000"/>
          <w:sz w:val="24"/>
          <w:szCs w:val="24"/>
        </w:rPr>
        <w:t xml:space="preserve">The defendants’ exception [dated 3 August 2021] on the ground that the plaintiff’s Amended Particulars of Claim lacks the necessary averments to disclose </w:t>
      </w:r>
      <w:r w:rsidR="0042403A" w:rsidRPr="00A55D51">
        <w:rPr>
          <w:rFonts w:ascii="Arial" w:eastAsia="Arial" w:hAnsi="Arial" w:cs="Arial"/>
          <w:color w:val="000000"/>
          <w:sz w:val="24"/>
          <w:szCs w:val="24"/>
        </w:rPr>
        <w:t xml:space="preserve">a </w:t>
      </w:r>
      <w:r w:rsidR="00837B15" w:rsidRPr="00A55D51">
        <w:rPr>
          <w:rFonts w:ascii="Arial" w:eastAsia="Arial" w:hAnsi="Arial" w:cs="Arial"/>
          <w:color w:val="000000"/>
          <w:sz w:val="24"/>
          <w:szCs w:val="24"/>
        </w:rPr>
        <w:t>cause of action, is dismissed with costs;</w:t>
      </w:r>
    </w:p>
    <w:p w14:paraId="0E103AD7" w14:textId="77777777" w:rsidR="00533BF0" w:rsidRPr="00533BF0" w:rsidRDefault="00533BF0" w:rsidP="00533BF0">
      <w:pPr>
        <w:rPr>
          <w:rFonts w:ascii="Arial" w:eastAsia="Arial" w:hAnsi="Arial" w:cs="Arial"/>
          <w:color w:val="000000"/>
          <w:sz w:val="24"/>
          <w:szCs w:val="24"/>
        </w:rPr>
      </w:pPr>
    </w:p>
    <w:p w14:paraId="7C0993C4" w14:textId="672B9875" w:rsidR="00D35FC6"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r>
      <w:r w:rsidR="00807CDE" w:rsidRPr="00A55D51">
        <w:rPr>
          <w:rFonts w:ascii="Arial" w:eastAsia="Arial" w:hAnsi="Arial" w:cs="Arial"/>
          <w:color w:val="000000"/>
          <w:sz w:val="24"/>
          <w:szCs w:val="24"/>
        </w:rPr>
        <w:t>The defendants’ application for condonation pertaining to (i) the application to set aside the Amended Particulars of Claim</w:t>
      </w:r>
      <w:r w:rsidR="00F26937" w:rsidRPr="00A55D51">
        <w:rPr>
          <w:rFonts w:ascii="Arial" w:eastAsia="Arial" w:hAnsi="Arial" w:cs="Arial"/>
          <w:color w:val="000000"/>
          <w:sz w:val="24"/>
          <w:szCs w:val="24"/>
        </w:rPr>
        <w:t xml:space="preserve"> as an irregular step; and (ii) the defendants’ exception</w:t>
      </w:r>
      <w:r w:rsidR="00003C66" w:rsidRPr="00A55D51">
        <w:rPr>
          <w:rFonts w:ascii="Arial" w:eastAsia="Arial" w:hAnsi="Arial" w:cs="Arial"/>
          <w:color w:val="000000"/>
          <w:sz w:val="24"/>
          <w:szCs w:val="24"/>
        </w:rPr>
        <w:t>s</w:t>
      </w:r>
      <w:r w:rsidR="00F26937" w:rsidRPr="00A55D51">
        <w:rPr>
          <w:rFonts w:ascii="Arial" w:eastAsia="Arial" w:hAnsi="Arial" w:cs="Arial"/>
          <w:color w:val="000000"/>
          <w:sz w:val="24"/>
          <w:szCs w:val="24"/>
        </w:rPr>
        <w:t xml:space="preserve"> </w:t>
      </w:r>
      <w:r w:rsidR="00003C66" w:rsidRPr="00A55D51">
        <w:rPr>
          <w:rFonts w:ascii="Arial" w:eastAsia="Arial" w:hAnsi="Arial" w:cs="Arial"/>
          <w:color w:val="000000"/>
          <w:sz w:val="24"/>
          <w:szCs w:val="24"/>
        </w:rPr>
        <w:t>(by way of notice dated 3 August 2021)</w:t>
      </w:r>
      <w:r w:rsidR="00F26937" w:rsidRPr="00A55D51">
        <w:rPr>
          <w:rFonts w:ascii="Arial" w:eastAsia="Arial" w:hAnsi="Arial" w:cs="Arial"/>
          <w:color w:val="000000"/>
          <w:sz w:val="24"/>
          <w:szCs w:val="24"/>
        </w:rPr>
        <w:t xml:space="preserve"> </w:t>
      </w:r>
      <w:r w:rsidR="007433CE" w:rsidRPr="00A55D51">
        <w:rPr>
          <w:rFonts w:ascii="Arial" w:eastAsia="Arial" w:hAnsi="Arial" w:cs="Arial"/>
          <w:color w:val="000000"/>
          <w:sz w:val="24"/>
          <w:szCs w:val="24"/>
        </w:rPr>
        <w:t>on the v</w:t>
      </w:r>
      <w:r w:rsidR="00533BF0" w:rsidRPr="00A55D51">
        <w:rPr>
          <w:rFonts w:ascii="Arial" w:eastAsia="Arial" w:hAnsi="Arial" w:cs="Arial"/>
          <w:color w:val="000000"/>
          <w:sz w:val="24"/>
          <w:szCs w:val="24"/>
        </w:rPr>
        <w:t>ague and embarrassing ground</w:t>
      </w:r>
      <w:r w:rsidR="00B00A90" w:rsidRPr="00A55D51">
        <w:rPr>
          <w:rFonts w:ascii="Arial" w:eastAsia="Arial" w:hAnsi="Arial" w:cs="Arial"/>
          <w:color w:val="000000"/>
          <w:sz w:val="24"/>
          <w:szCs w:val="24"/>
        </w:rPr>
        <w:t>s</w:t>
      </w:r>
      <w:r w:rsidR="00533BF0" w:rsidRPr="00A55D51">
        <w:rPr>
          <w:rFonts w:ascii="Arial" w:eastAsia="Arial" w:hAnsi="Arial" w:cs="Arial"/>
          <w:color w:val="000000"/>
          <w:sz w:val="24"/>
          <w:szCs w:val="24"/>
        </w:rPr>
        <w:t>, are</w:t>
      </w:r>
      <w:r w:rsidR="007433CE" w:rsidRPr="00A55D51">
        <w:rPr>
          <w:rFonts w:ascii="Arial" w:eastAsia="Arial" w:hAnsi="Arial" w:cs="Arial"/>
          <w:color w:val="000000"/>
          <w:sz w:val="24"/>
          <w:szCs w:val="24"/>
        </w:rPr>
        <w:t xml:space="preserve"> dismissed</w:t>
      </w:r>
      <w:r w:rsidR="0042403A" w:rsidRPr="00A55D51">
        <w:rPr>
          <w:rFonts w:ascii="Arial" w:eastAsia="Arial" w:hAnsi="Arial" w:cs="Arial"/>
          <w:color w:val="000000"/>
          <w:sz w:val="24"/>
          <w:szCs w:val="24"/>
        </w:rPr>
        <w:t xml:space="preserve">/refused </w:t>
      </w:r>
      <w:r w:rsidR="007433CE" w:rsidRPr="00A55D51">
        <w:rPr>
          <w:rFonts w:ascii="Arial" w:eastAsia="Arial" w:hAnsi="Arial" w:cs="Arial"/>
          <w:color w:val="000000"/>
          <w:sz w:val="24"/>
          <w:szCs w:val="24"/>
        </w:rPr>
        <w:t>with costs and concomitantly</w:t>
      </w:r>
      <w:r w:rsidR="00533BF0" w:rsidRPr="00A55D51">
        <w:rPr>
          <w:rFonts w:ascii="Arial" w:eastAsia="Arial" w:hAnsi="Arial" w:cs="Arial"/>
          <w:color w:val="000000"/>
          <w:sz w:val="24"/>
          <w:szCs w:val="24"/>
        </w:rPr>
        <w:t xml:space="preserve"> t</w:t>
      </w:r>
      <w:r w:rsidR="00D35FC6" w:rsidRPr="00A55D51">
        <w:rPr>
          <w:rFonts w:ascii="Arial" w:eastAsia="Arial" w:hAnsi="Arial" w:cs="Arial"/>
          <w:color w:val="000000"/>
          <w:sz w:val="24"/>
          <w:szCs w:val="24"/>
        </w:rPr>
        <w:t>he following is removed from the roll with costs:-</w:t>
      </w:r>
    </w:p>
    <w:p w14:paraId="5BB4C278" w14:textId="77777777" w:rsidR="00D35FC6" w:rsidRDefault="00D35FC6" w:rsidP="00D35FC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C9EF547" w14:textId="2C1C63EF" w:rsidR="00D35FC6" w:rsidRDefault="00D35FC6" w:rsidP="00EC600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3.1</w:t>
      </w:r>
      <w:r>
        <w:rPr>
          <w:rFonts w:ascii="Arial" w:eastAsia="Arial" w:hAnsi="Arial" w:cs="Arial"/>
          <w:color w:val="000000"/>
          <w:sz w:val="24"/>
          <w:szCs w:val="24"/>
        </w:rPr>
        <w:tab/>
      </w:r>
      <w:r w:rsidR="00370760">
        <w:rPr>
          <w:rFonts w:ascii="Arial" w:eastAsia="Arial" w:hAnsi="Arial" w:cs="Arial"/>
          <w:color w:val="000000"/>
          <w:sz w:val="24"/>
          <w:szCs w:val="24"/>
        </w:rPr>
        <w:t>t</w:t>
      </w:r>
      <w:r w:rsidR="00EC6001">
        <w:rPr>
          <w:rFonts w:ascii="Arial" w:eastAsia="Arial" w:hAnsi="Arial" w:cs="Arial"/>
          <w:color w:val="000000"/>
          <w:sz w:val="24"/>
          <w:szCs w:val="24"/>
        </w:rPr>
        <w:t>he defendant’s exception [dated 3 August 2021] on the vague and embarrassing grounds; and</w:t>
      </w:r>
    </w:p>
    <w:p w14:paraId="2CF256EA" w14:textId="77777777" w:rsidR="00EC6001" w:rsidRDefault="00EC6001" w:rsidP="00D35FC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320E084" w14:textId="3D9E24F1" w:rsidR="00EC6001" w:rsidRDefault="00370760" w:rsidP="00A272B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3.2</w:t>
      </w:r>
      <w:r>
        <w:rPr>
          <w:rFonts w:ascii="Arial" w:eastAsia="Arial" w:hAnsi="Arial" w:cs="Arial"/>
          <w:color w:val="000000"/>
          <w:sz w:val="24"/>
          <w:szCs w:val="24"/>
        </w:rPr>
        <w:tab/>
        <w:t>t</w:t>
      </w:r>
      <w:r w:rsidR="00EC6001">
        <w:rPr>
          <w:rFonts w:ascii="Arial" w:eastAsia="Arial" w:hAnsi="Arial" w:cs="Arial"/>
          <w:color w:val="000000"/>
          <w:sz w:val="24"/>
          <w:szCs w:val="24"/>
        </w:rPr>
        <w:t xml:space="preserve">he defendant’s </w:t>
      </w:r>
      <w:r w:rsidR="00E00352">
        <w:rPr>
          <w:rFonts w:ascii="Arial" w:eastAsia="Arial" w:hAnsi="Arial" w:cs="Arial"/>
          <w:color w:val="000000"/>
          <w:sz w:val="24"/>
          <w:szCs w:val="24"/>
        </w:rPr>
        <w:t>Notice of Motion (dated 30 July 2021) in order to set aside the plaintiff’s Amended Particulars of Claim</w:t>
      </w:r>
      <w:r w:rsidR="00A272B6">
        <w:rPr>
          <w:rFonts w:ascii="Arial" w:eastAsia="Arial" w:hAnsi="Arial" w:cs="Arial"/>
          <w:color w:val="000000"/>
          <w:sz w:val="24"/>
          <w:szCs w:val="24"/>
        </w:rPr>
        <w:t xml:space="preserve"> as an irregu</w:t>
      </w:r>
      <w:r w:rsidR="00533BF0">
        <w:rPr>
          <w:rFonts w:ascii="Arial" w:eastAsia="Arial" w:hAnsi="Arial" w:cs="Arial"/>
          <w:color w:val="000000"/>
          <w:sz w:val="24"/>
          <w:szCs w:val="24"/>
        </w:rPr>
        <w:t>lar step in terms of Rule 30(1); and</w:t>
      </w:r>
    </w:p>
    <w:p w14:paraId="42A41142" w14:textId="77777777" w:rsidR="00533BF0" w:rsidRDefault="00533BF0" w:rsidP="00A272B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4275B8F" w14:textId="38FF2532" w:rsidR="00533BF0" w:rsidRPr="00A55D51" w:rsidRDefault="00A55D51" w:rsidP="00A55D5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r>
      <w:r w:rsidR="00533BF0" w:rsidRPr="00A55D51">
        <w:rPr>
          <w:rFonts w:ascii="Arial" w:eastAsia="Arial" w:hAnsi="Arial" w:cs="Arial"/>
          <w:color w:val="000000"/>
          <w:sz w:val="24"/>
          <w:szCs w:val="24"/>
        </w:rPr>
        <w:t xml:space="preserve">The orders of costs in 2 and 3 </w:t>
      </w:r>
      <w:r w:rsidR="00533BF0" w:rsidRPr="00A55D51">
        <w:rPr>
          <w:rFonts w:ascii="Arial" w:eastAsia="Arial" w:hAnsi="Arial" w:cs="Arial"/>
          <w:i/>
          <w:color w:val="000000"/>
          <w:sz w:val="24"/>
          <w:szCs w:val="24"/>
        </w:rPr>
        <w:t>supra</w:t>
      </w:r>
      <w:r w:rsidR="00533BF0" w:rsidRPr="00A55D51">
        <w:rPr>
          <w:rFonts w:ascii="Arial" w:eastAsia="Arial" w:hAnsi="Arial" w:cs="Arial"/>
          <w:color w:val="000000"/>
          <w:sz w:val="24"/>
          <w:szCs w:val="24"/>
        </w:rPr>
        <w:t xml:space="preserve"> shall be paid by the defendants jointly and severally, the one to pay the other to be absolved.</w:t>
      </w:r>
    </w:p>
    <w:p w14:paraId="7FC7B64E" w14:textId="77777777" w:rsidR="008043C0" w:rsidRPr="00A272B6" w:rsidRDefault="008043C0" w:rsidP="00A272B6">
      <w:pPr>
        <w:rPr>
          <w:rFonts w:ascii="Arial" w:eastAsia="Arial" w:hAnsi="Arial" w:cs="Arial"/>
          <w:color w:val="000000"/>
          <w:sz w:val="24"/>
          <w:szCs w:val="24"/>
        </w:rPr>
      </w:pPr>
    </w:p>
    <w:p w14:paraId="6A623943" w14:textId="01B45A18" w:rsidR="001B5CE0" w:rsidRDefault="001B5CE0" w:rsidP="001B5CE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E03AB3D" w14:textId="77777777" w:rsidR="00FD4D52" w:rsidRDefault="00FD4D52" w:rsidP="001B5CE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8F42585" w14:textId="77777777" w:rsidR="00D23A31" w:rsidRDefault="00D23A31" w:rsidP="001B5CE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8978BE2" w14:textId="34F7B0FC" w:rsidR="009148E0" w:rsidRDefault="00D23955"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_____________________</w:t>
      </w:r>
    </w:p>
    <w:p w14:paraId="4446F45A" w14:textId="10650CF9"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L MEINTJES</w:t>
      </w:r>
    </w:p>
    <w:p w14:paraId="55596CFF" w14:textId="48D78F44"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ACTING JUDGE OF THE HIGH COURT</w:t>
      </w:r>
    </w:p>
    <w:p w14:paraId="63AC3C3A" w14:textId="7C936011"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DATE OF HEARING:</w:t>
      </w:r>
    </w:p>
    <w:p w14:paraId="7A53ABAD" w14:textId="7CD0874B"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1</w:t>
      </w:r>
      <w:r w:rsidR="002202FE">
        <w:rPr>
          <w:rFonts w:ascii="Arial" w:eastAsia="Arial" w:hAnsi="Arial" w:cs="Arial"/>
          <w:b/>
          <w:bCs/>
          <w:color w:val="000000"/>
          <w:sz w:val="24"/>
          <w:szCs w:val="24"/>
        </w:rPr>
        <w:t>9</w:t>
      </w:r>
      <w:r w:rsidRPr="006A44B0">
        <w:rPr>
          <w:rFonts w:ascii="Arial" w:eastAsia="Arial" w:hAnsi="Arial" w:cs="Arial"/>
          <w:b/>
          <w:bCs/>
          <w:color w:val="000000"/>
          <w:sz w:val="24"/>
          <w:szCs w:val="24"/>
        </w:rPr>
        <w:t xml:space="preserve"> APRIL 2023</w:t>
      </w:r>
    </w:p>
    <w:p w14:paraId="12924C28" w14:textId="77777777" w:rsidR="006E0C0F" w:rsidRDefault="006E0C0F"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p>
    <w:p w14:paraId="4C964877" w14:textId="3DB63815"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DATE OF JUDGMENT:</w:t>
      </w:r>
    </w:p>
    <w:p w14:paraId="530F5440" w14:textId="42CC377B" w:rsidR="00D23955" w:rsidRDefault="00A272B6"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b/>
          <w:bCs/>
          <w:color w:val="000000"/>
          <w:sz w:val="24"/>
          <w:szCs w:val="24"/>
        </w:rPr>
        <w:t>23 JUNE</w:t>
      </w:r>
      <w:r w:rsidR="00D23955" w:rsidRPr="006A44B0">
        <w:rPr>
          <w:rFonts w:ascii="Arial" w:eastAsia="Arial" w:hAnsi="Arial" w:cs="Arial"/>
          <w:b/>
          <w:bCs/>
          <w:color w:val="000000"/>
          <w:sz w:val="24"/>
          <w:szCs w:val="24"/>
        </w:rPr>
        <w:t xml:space="preserve"> 2023</w:t>
      </w:r>
    </w:p>
    <w:p w14:paraId="4E128FE0" w14:textId="77777777" w:rsidR="006A44B0" w:rsidRDefault="006A44B0"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0E35E9F6" w14:textId="77777777" w:rsidR="006A44B0" w:rsidRDefault="006A44B0"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3F35675B" w14:textId="77777777" w:rsidR="00FD4D52" w:rsidRDefault="00FD4D52"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47DEE35C" w14:textId="77777777" w:rsidR="00FD4D52" w:rsidRDefault="00FD4D52"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36319C1A" w14:textId="77777777" w:rsidR="007245CD" w:rsidRDefault="007245CD"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59977757" w14:textId="27A5C430"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COUNSEL O</w:t>
      </w:r>
      <w:r w:rsidR="006A44B0">
        <w:rPr>
          <w:rFonts w:ascii="Arial" w:eastAsia="Arial" w:hAnsi="Arial" w:cs="Arial"/>
          <w:b/>
          <w:bCs/>
          <w:color w:val="000000"/>
          <w:sz w:val="24"/>
          <w:szCs w:val="24"/>
        </w:rPr>
        <w:t>N</w:t>
      </w:r>
      <w:r w:rsidRPr="006A44B0">
        <w:rPr>
          <w:rFonts w:ascii="Arial" w:eastAsia="Arial" w:hAnsi="Arial" w:cs="Arial"/>
          <w:b/>
          <w:bCs/>
          <w:color w:val="000000"/>
          <w:sz w:val="24"/>
          <w:szCs w:val="24"/>
        </w:rPr>
        <w:t xml:space="preserve"> BEHALF OF </w:t>
      </w:r>
      <w:r w:rsidR="002202FE">
        <w:rPr>
          <w:rFonts w:ascii="Arial" w:eastAsia="Arial" w:hAnsi="Arial" w:cs="Arial"/>
          <w:b/>
          <w:bCs/>
          <w:color w:val="000000"/>
          <w:sz w:val="24"/>
          <w:szCs w:val="24"/>
        </w:rPr>
        <w:t>FLOORWORX</w:t>
      </w:r>
      <w:r w:rsidR="00F95827" w:rsidRPr="006A44B0">
        <w:rPr>
          <w:rFonts w:ascii="Arial" w:eastAsia="Arial" w:hAnsi="Arial" w:cs="Arial"/>
          <w:b/>
          <w:bCs/>
          <w:color w:val="000000"/>
          <w:sz w:val="24"/>
          <w:szCs w:val="24"/>
        </w:rPr>
        <w:t>:</w:t>
      </w:r>
    </w:p>
    <w:p w14:paraId="44F4461B" w14:textId="553DB012" w:rsidR="00F95827" w:rsidRDefault="00F95827"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sidRPr="006A44B0">
        <w:rPr>
          <w:rFonts w:ascii="Arial" w:eastAsia="Arial" w:hAnsi="Arial" w:cs="Arial"/>
          <w:b/>
          <w:bCs/>
          <w:color w:val="000000"/>
          <w:sz w:val="24"/>
          <w:szCs w:val="24"/>
        </w:rPr>
        <w:t xml:space="preserve">ADVOCATE </w:t>
      </w:r>
      <w:r w:rsidR="002202FE">
        <w:rPr>
          <w:rFonts w:ascii="Arial" w:eastAsia="Arial" w:hAnsi="Arial" w:cs="Arial"/>
          <w:b/>
          <w:bCs/>
          <w:color w:val="000000"/>
          <w:sz w:val="24"/>
          <w:szCs w:val="24"/>
        </w:rPr>
        <w:t>JJ MEIRING</w:t>
      </w:r>
    </w:p>
    <w:p w14:paraId="31AB5693" w14:textId="46C88FB0" w:rsidR="00CA3649" w:rsidRDefault="00CA3649"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INSTRUCTED BY:</w:t>
      </w:r>
    </w:p>
    <w:p w14:paraId="1EF1B6BA" w14:textId="395FA484" w:rsidR="00CA3649" w:rsidRDefault="002202FE"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FULLAR</w:t>
      </w:r>
      <w:r w:rsidR="00003AF8">
        <w:rPr>
          <w:rFonts w:ascii="Arial" w:eastAsia="Arial" w:hAnsi="Arial" w:cs="Arial"/>
          <w:color w:val="000000"/>
          <w:sz w:val="24"/>
          <w:szCs w:val="24"/>
        </w:rPr>
        <w:t>D</w:t>
      </w:r>
      <w:r>
        <w:rPr>
          <w:rFonts w:ascii="Arial" w:eastAsia="Arial" w:hAnsi="Arial" w:cs="Arial"/>
          <w:color w:val="000000"/>
          <w:sz w:val="24"/>
          <w:szCs w:val="24"/>
        </w:rPr>
        <w:t xml:space="preserve"> </w:t>
      </w:r>
      <w:r w:rsidR="000A5EF3">
        <w:rPr>
          <w:rFonts w:ascii="Arial" w:eastAsia="Arial" w:hAnsi="Arial" w:cs="Arial"/>
          <w:color w:val="000000"/>
          <w:sz w:val="24"/>
          <w:szCs w:val="24"/>
        </w:rPr>
        <w:t>M</w:t>
      </w:r>
      <w:r w:rsidR="007F4E05">
        <w:rPr>
          <w:rFonts w:ascii="Arial" w:eastAsia="Arial" w:hAnsi="Arial" w:cs="Arial"/>
          <w:color w:val="000000"/>
          <w:sz w:val="24"/>
          <w:szCs w:val="24"/>
        </w:rPr>
        <w:t>A</w:t>
      </w:r>
      <w:r w:rsidR="000A5EF3">
        <w:rPr>
          <w:rFonts w:ascii="Arial" w:eastAsia="Arial" w:hAnsi="Arial" w:cs="Arial"/>
          <w:color w:val="000000"/>
          <w:sz w:val="24"/>
          <w:szCs w:val="24"/>
        </w:rPr>
        <w:t>YER MORRISON INC</w:t>
      </w:r>
    </w:p>
    <w:p w14:paraId="00D697BA" w14:textId="5BFBC76B" w:rsidR="000A5EF3" w:rsidRDefault="000A5EF3"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(011) 234-3209</w:t>
      </w:r>
    </w:p>
    <w:p w14:paraId="469B0341" w14:textId="196C9EF1" w:rsidR="000A5EF3" w:rsidRDefault="000A5EF3"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 xml:space="preserve">EMAIL: </w:t>
      </w:r>
      <w:hyperlink r:id="rId9" w:history="1">
        <w:r w:rsidR="00003AF8" w:rsidRPr="002143DB">
          <w:rPr>
            <w:rStyle w:val="Hyperlink"/>
            <w:rFonts w:ascii="Arial" w:eastAsia="Arial" w:hAnsi="Arial" w:cs="Arial"/>
            <w:sz w:val="24"/>
            <w:szCs w:val="24"/>
          </w:rPr>
          <w:t>fullar@fullardmeyer.co.za</w:t>
        </w:r>
      </w:hyperlink>
      <w:r w:rsidR="00003AF8">
        <w:rPr>
          <w:rFonts w:ascii="Arial" w:eastAsia="Arial" w:hAnsi="Arial" w:cs="Arial"/>
          <w:color w:val="000000"/>
          <w:sz w:val="24"/>
          <w:szCs w:val="24"/>
        </w:rPr>
        <w:t xml:space="preserve"> </w:t>
      </w:r>
    </w:p>
    <w:p w14:paraId="3E2680E8" w14:textId="77777777" w:rsidR="006A44B0" w:rsidRDefault="006A44B0"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594F070E" w14:textId="77777777" w:rsidR="00241193" w:rsidRDefault="00241193"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68DB608D" w14:textId="0A3218A2" w:rsidR="006A44B0" w:rsidRPr="006E0C0F" w:rsidRDefault="006A44B0"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E0C0F">
        <w:rPr>
          <w:rFonts w:ascii="Arial" w:eastAsia="Arial" w:hAnsi="Arial" w:cs="Arial"/>
          <w:b/>
          <w:bCs/>
          <w:color w:val="000000"/>
          <w:sz w:val="24"/>
          <w:szCs w:val="24"/>
        </w:rPr>
        <w:t xml:space="preserve">COUNSEL </w:t>
      </w:r>
      <w:r w:rsidR="00D3701D" w:rsidRPr="006E0C0F">
        <w:rPr>
          <w:rFonts w:ascii="Arial" w:eastAsia="Arial" w:hAnsi="Arial" w:cs="Arial"/>
          <w:b/>
          <w:bCs/>
          <w:color w:val="000000"/>
          <w:sz w:val="24"/>
          <w:szCs w:val="24"/>
        </w:rPr>
        <w:t xml:space="preserve">FOR </w:t>
      </w:r>
      <w:r w:rsidR="00003AF8">
        <w:rPr>
          <w:rFonts w:ascii="Arial" w:eastAsia="Arial" w:hAnsi="Arial" w:cs="Arial"/>
          <w:b/>
          <w:bCs/>
          <w:color w:val="000000"/>
          <w:sz w:val="24"/>
          <w:szCs w:val="24"/>
        </w:rPr>
        <w:t>MAZAR</w:t>
      </w:r>
      <w:r w:rsidR="007F4E05">
        <w:rPr>
          <w:rFonts w:ascii="Arial" w:eastAsia="Arial" w:hAnsi="Arial" w:cs="Arial"/>
          <w:b/>
          <w:bCs/>
          <w:color w:val="000000"/>
          <w:sz w:val="24"/>
          <w:szCs w:val="24"/>
        </w:rPr>
        <w:t>S</w:t>
      </w:r>
      <w:r w:rsidR="00D3701D" w:rsidRPr="006E0C0F">
        <w:rPr>
          <w:rFonts w:ascii="Arial" w:eastAsia="Arial" w:hAnsi="Arial" w:cs="Arial"/>
          <w:b/>
          <w:bCs/>
          <w:color w:val="000000"/>
          <w:sz w:val="24"/>
          <w:szCs w:val="24"/>
        </w:rPr>
        <w:t>:</w:t>
      </w:r>
    </w:p>
    <w:p w14:paraId="465198EE" w14:textId="0436B835" w:rsidR="00D3701D" w:rsidRDefault="00003AF8"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b/>
          <w:bCs/>
          <w:color w:val="000000"/>
          <w:sz w:val="24"/>
          <w:szCs w:val="24"/>
        </w:rPr>
        <w:t>ADVOCATE DANIE SMIT</w:t>
      </w:r>
    </w:p>
    <w:p w14:paraId="2D81AC35" w14:textId="6085680B" w:rsidR="00D3701D" w:rsidRDefault="00D3701D"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INSTRUCTED BY:</w:t>
      </w:r>
    </w:p>
    <w:p w14:paraId="786F44C5" w14:textId="0BA81E9F" w:rsidR="00D3701D" w:rsidRDefault="00003AF8"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WEBBER WENTZEL INC</w:t>
      </w:r>
    </w:p>
    <w:p w14:paraId="156001EA" w14:textId="0F6EDC0D" w:rsidR="005179A0" w:rsidRDefault="00003AF8" w:rsidP="00004896">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(011) 530-5</w:t>
      </w:r>
      <w:r w:rsidR="00510BC6">
        <w:rPr>
          <w:rFonts w:ascii="Arial" w:eastAsia="Arial" w:hAnsi="Arial" w:cs="Arial"/>
          <w:color w:val="000000"/>
          <w:sz w:val="24"/>
          <w:szCs w:val="24"/>
        </w:rPr>
        <w:t>2</w:t>
      </w:r>
      <w:r>
        <w:rPr>
          <w:rFonts w:ascii="Arial" w:eastAsia="Arial" w:hAnsi="Arial" w:cs="Arial"/>
          <w:color w:val="000000"/>
          <w:sz w:val="24"/>
          <w:szCs w:val="24"/>
        </w:rPr>
        <w:t>66</w:t>
      </w:r>
    </w:p>
    <w:p w14:paraId="4639FA3D" w14:textId="63DA15AB" w:rsidR="00004896" w:rsidRDefault="00003AF8" w:rsidP="00004896">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 xml:space="preserve">EMAIL: </w:t>
      </w:r>
      <w:hyperlink r:id="rId10" w:history="1">
        <w:r w:rsidR="00510BC6" w:rsidRPr="00E10763">
          <w:rPr>
            <w:rStyle w:val="Hyperlink"/>
            <w:rFonts w:ascii="Arial" w:eastAsia="Arial" w:hAnsi="Arial" w:cs="Arial"/>
            <w:sz w:val="24"/>
            <w:szCs w:val="24"/>
          </w:rPr>
          <w:t>Kathryn.gawith@webberwentzel.com</w:t>
        </w:r>
      </w:hyperlink>
    </w:p>
    <w:p w14:paraId="70832209" w14:textId="540DC6A9" w:rsidR="00D05AF6" w:rsidRDefault="00BD32B7" w:rsidP="00004896">
      <w:pPr>
        <w:pBdr>
          <w:top w:val="nil"/>
          <w:left w:val="nil"/>
          <w:bottom w:val="nil"/>
          <w:right w:val="nil"/>
          <w:between w:val="nil"/>
        </w:pBdr>
        <w:spacing w:after="0" w:line="360" w:lineRule="auto"/>
        <w:jc w:val="right"/>
        <w:rPr>
          <w:rFonts w:ascii="Arial" w:eastAsia="Arial" w:hAnsi="Arial" w:cs="Arial"/>
          <w:color w:val="000000"/>
          <w:sz w:val="24"/>
          <w:szCs w:val="24"/>
        </w:rPr>
      </w:pPr>
      <w:hyperlink r:id="rId11" w:history="1">
        <w:r w:rsidR="00D23A31" w:rsidRPr="00E10763">
          <w:rPr>
            <w:rStyle w:val="Hyperlink"/>
            <w:rFonts w:ascii="Arial" w:eastAsia="Arial" w:hAnsi="Arial" w:cs="Arial"/>
            <w:sz w:val="24"/>
            <w:szCs w:val="24"/>
          </w:rPr>
          <w:t>Jason.fraser@webberwentzel.com</w:t>
        </w:r>
      </w:hyperlink>
      <w:r w:rsidR="00394E5B">
        <w:rPr>
          <w:rFonts w:ascii="Arial" w:eastAsia="Arial" w:hAnsi="Arial" w:cs="Arial"/>
          <w:color w:val="000000"/>
          <w:sz w:val="24"/>
          <w:szCs w:val="24"/>
        </w:rPr>
        <w:t xml:space="preserve"> </w:t>
      </w:r>
    </w:p>
    <w:p w14:paraId="1AF1C518" w14:textId="77777777" w:rsidR="00AE1980" w:rsidRPr="009148E0" w:rsidRDefault="00AE1980"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2ED8A8D0" w14:textId="77777777" w:rsidR="00C341CD" w:rsidRPr="00FD4D52" w:rsidRDefault="00C341CD" w:rsidP="00FD4D52">
      <w:pPr>
        <w:pBdr>
          <w:top w:val="nil"/>
          <w:left w:val="nil"/>
          <w:bottom w:val="nil"/>
          <w:right w:val="nil"/>
          <w:between w:val="nil"/>
        </w:pBdr>
        <w:spacing w:after="0" w:line="360" w:lineRule="auto"/>
        <w:jc w:val="both"/>
        <w:rPr>
          <w:rFonts w:ascii="Arial" w:eastAsia="Arial" w:hAnsi="Arial" w:cs="Arial"/>
          <w:color w:val="000000"/>
          <w:sz w:val="24"/>
          <w:szCs w:val="24"/>
        </w:rPr>
      </w:pPr>
    </w:p>
    <w:sectPr w:rsidR="00C341CD" w:rsidRPr="00FD4D52" w:rsidSect="007B594B">
      <w:footerReference w:type="defaul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91B1" w14:textId="77777777" w:rsidR="00BD32B7" w:rsidRDefault="00BD32B7">
      <w:pPr>
        <w:spacing w:after="0" w:line="240" w:lineRule="auto"/>
      </w:pPr>
      <w:r>
        <w:separator/>
      </w:r>
    </w:p>
  </w:endnote>
  <w:endnote w:type="continuationSeparator" w:id="0">
    <w:p w14:paraId="544C916E" w14:textId="77777777" w:rsidR="00BD32B7" w:rsidRDefault="00BD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40E3" w14:textId="49C0F37C" w:rsidR="00F84381" w:rsidRDefault="00F8438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55D51">
      <w:rPr>
        <w:noProof/>
        <w:color w:val="000000"/>
      </w:rPr>
      <w:t>2</w:t>
    </w:r>
    <w:r>
      <w:rPr>
        <w:color w:val="000000"/>
      </w:rPr>
      <w:fldChar w:fldCharType="end"/>
    </w:r>
  </w:p>
  <w:p w14:paraId="575A2040" w14:textId="77777777" w:rsidR="00F84381" w:rsidRDefault="00F8438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74DE4" w14:textId="77777777" w:rsidR="00BD32B7" w:rsidRDefault="00BD32B7">
      <w:pPr>
        <w:spacing w:after="0" w:line="240" w:lineRule="auto"/>
      </w:pPr>
      <w:r>
        <w:separator/>
      </w:r>
    </w:p>
  </w:footnote>
  <w:footnote w:type="continuationSeparator" w:id="0">
    <w:p w14:paraId="6A946A5E" w14:textId="77777777" w:rsidR="00BD32B7" w:rsidRDefault="00BD32B7">
      <w:pPr>
        <w:spacing w:after="0" w:line="240" w:lineRule="auto"/>
      </w:pPr>
      <w:r>
        <w:continuationSeparator/>
      </w:r>
    </w:p>
  </w:footnote>
  <w:footnote w:id="1">
    <w:p w14:paraId="5D9A8F13" w14:textId="5B01A33B" w:rsidR="00F84381" w:rsidRDefault="00F84381">
      <w:pPr>
        <w:pStyle w:val="FootnoteText"/>
      </w:pPr>
      <w:r>
        <w:rPr>
          <w:rStyle w:val="FootnoteReference"/>
        </w:rPr>
        <w:footnoteRef/>
      </w:r>
      <w:r>
        <w:t xml:space="preserve"> The date on which such application fell due.</w:t>
      </w:r>
    </w:p>
  </w:footnote>
  <w:footnote w:id="2">
    <w:p w14:paraId="6DD495EC" w14:textId="590BC775" w:rsidR="00F84381" w:rsidRDefault="00F84381">
      <w:pPr>
        <w:pStyle w:val="FootnoteText"/>
      </w:pPr>
      <w:r>
        <w:rPr>
          <w:rStyle w:val="FootnoteReference"/>
        </w:rPr>
        <w:footnoteRef/>
      </w:r>
      <w:r>
        <w:t xml:space="preserve"> Rule 26.</w:t>
      </w:r>
    </w:p>
  </w:footnote>
  <w:footnote w:id="3">
    <w:p w14:paraId="12290401" w14:textId="17AF2767" w:rsidR="00F84381" w:rsidRDefault="00F84381">
      <w:pPr>
        <w:pStyle w:val="FootnoteText"/>
      </w:pPr>
      <w:r>
        <w:rPr>
          <w:rStyle w:val="FootnoteReference"/>
        </w:rPr>
        <w:footnoteRef/>
      </w:r>
      <w:r>
        <w:t xml:space="preserve"> CL013 – CL144 [Prayers 1, 2, 2.1 and 2.2 read with CL013 – CL149 [paragraph 7].</w:t>
      </w:r>
    </w:p>
  </w:footnote>
  <w:footnote w:id="4">
    <w:p w14:paraId="5E723CBE" w14:textId="3560B350" w:rsidR="00F84381" w:rsidRDefault="00F84381">
      <w:pPr>
        <w:pStyle w:val="FootnoteText"/>
      </w:pPr>
      <w:r>
        <w:rPr>
          <w:rStyle w:val="FootnoteReference"/>
        </w:rPr>
        <w:footnoteRef/>
      </w:r>
      <w:r>
        <w:t xml:space="preserve"> The aforesaid represents the allegations making out the first claim and, as stated, are almost identical to the allegations making up the other nine claims – subject thereto that different paragraph numbers were utilized.</w:t>
      </w:r>
    </w:p>
  </w:footnote>
  <w:footnote w:id="5">
    <w:p w14:paraId="79600748" w14:textId="263F4811" w:rsidR="00F84381" w:rsidRDefault="00F84381">
      <w:pPr>
        <w:pStyle w:val="FootnoteText"/>
      </w:pPr>
      <w:r>
        <w:rPr>
          <w:rStyle w:val="FootnoteReference"/>
        </w:rPr>
        <w:footnoteRef/>
      </w:r>
      <w:r>
        <w:t xml:space="preserve"> Forming part of the Standard Terms and Conditions of Business – CPL013 - CL124.</w:t>
      </w:r>
    </w:p>
  </w:footnote>
  <w:footnote w:id="6">
    <w:p w14:paraId="0C6023D9" w14:textId="29D3CB54" w:rsidR="00F84381" w:rsidRDefault="00F84381">
      <w:pPr>
        <w:pStyle w:val="FootnoteText"/>
      </w:pPr>
      <w:r>
        <w:rPr>
          <w:rStyle w:val="FootnoteReference"/>
        </w:rPr>
        <w:footnoteRef/>
      </w:r>
      <w:r>
        <w:t xml:space="preserve"> [1943] KB 587 (CA); [1943] 2 All ER 35.</w:t>
      </w:r>
    </w:p>
  </w:footnote>
  <w:footnote w:id="7">
    <w:p w14:paraId="53854ACF" w14:textId="23400D6B" w:rsidR="00F84381" w:rsidRDefault="00F84381">
      <w:pPr>
        <w:pStyle w:val="FootnoteText"/>
      </w:pPr>
      <w:r>
        <w:rPr>
          <w:rStyle w:val="FootnoteReference"/>
        </w:rPr>
        <w:footnoteRef/>
      </w:r>
      <w:r>
        <w:t xml:space="preserve"> </w:t>
      </w:r>
      <w:r w:rsidRPr="00311296">
        <w:rPr>
          <w:i/>
          <w:iCs/>
        </w:rPr>
        <w:t>Vaatz v Law Society of Namibia</w:t>
      </w:r>
      <w:r>
        <w:t xml:space="preserve"> 1991 (3) SA 563 (NM) at 566 C - E and </w:t>
      </w:r>
      <w:r w:rsidRPr="00311296">
        <w:rPr>
          <w:i/>
          <w:iCs/>
        </w:rPr>
        <w:t>Meintjes v Wallachs Ltd</w:t>
      </w:r>
      <w:r>
        <w:t xml:space="preserve"> 1913 TPD 278 at 285.</w:t>
      </w:r>
    </w:p>
  </w:footnote>
  <w:footnote w:id="8">
    <w:p w14:paraId="0C471908" w14:textId="33780FA8" w:rsidR="00F84381" w:rsidRDefault="00F84381">
      <w:pPr>
        <w:pStyle w:val="FootnoteText"/>
      </w:pPr>
      <w:r>
        <w:rPr>
          <w:rStyle w:val="FootnoteReference"/>
        </w:rPr>
        <w:footnoteRef/>
      </w:r>
      <w:r>
        <w:t xml:space="preserve"> </w:t>
      </w:r>
      <w:r w:rsidRPr="00912115">
        <w:rPr>
          <w:i/>
          <w:iCs/>
        </w:rPr>
        <w:t>Rail Commuters’ Action Group v Transnet Ltd</w:t>
      </w:r>
      <w:r>
        <w:t xml:space="preserve"> 2006 (6) SA 68 (C) at 83G – </w:t>
      </w:r>
      <w:r w:rsidRPr="00912115">
        <w:rPr>
          <w:i/>
          <w:iCs/>
        </w:rPr>
        <w:t>H and Golding v Torch Printing and Publishing Co (Pty) Ltd</w:t>
      </w:r>
      <w:r>
        <w:t xml:space="preserve"> 1948 (3) SA 1067 (C) at 1090.</w:t>
      </w:r>
    </w:p>
  </w:footnote>
  <w:footnote w:id="9">
    <w:p w14:paraId="4B0461CD" w14:textId="161FD293" w:rsidR="00F84381" w:rsidRDefault="00F84381">
      <w:pPr>
        <w:pStyle w:val="FootnoteText"/>
      </w:pPr>
      <w:r>
        <w:rPr>
          <w:rStyle w:val="FootnoteReference"/>
        </w:rPr>
        <w:footnoteRef/>
      </w:r>
      <w:r>
        <w:t xml:space="preserve"> </w:t>
      </w:r>
      <w:r w:rsidRPr="00407C78">
        <w:rPr>
          <w:i/>
          <w:iCs/>
        </w:rPr>
        <w:t>Richter v Town Council of Bloemfontein</w:t>
      </w:r>
      <w:r>
        <w:t xml:space="preserve"> 1920 OPD 172 at 174; </w:t>
      </w:r>
      <w:r w:rsidRPr="00407C78">
        <w:rPr>
          <w:i/>
          <w:iCs/>
        </w:rPr>
        <w:t>Ahlers NO v Snoeck</w:t>
      </w:r>
      <w:r>
        <w:t xml:space="preserve"> 1946 TPD 590 at 594 and </w:t>
      </w:r>
      <w:r w:rsidRPr="00407C78">
        <w:rPr>
          <w:i/>
          <w:iCs/>
        </w:rPr>
        <w:t>Rail Commuters’</w:t>
      </w:r>
      <w:r>
        <w:t xml:space="preserve"> at 83I – 84B.</w:t>
      </w:r>
    </w:p>
  </w:footnote>
  <w:footnote w:id="10">
    <w:p w14:paraId="0863D85E" w14:textId="73CE91E3" w:rsidR="00F84381" w:rsidRDefault="00F84381">
      <w:pPr>
        <w:pStyle w:val="FootnoteText"/>
      </w:pPr>
      <w:r>
        <w:rPr>
          <w:rStyle w:val="FootnoteReference"/>
        </w:rPr>
        <w:footnoteRef/>
      </w:r>
      <w:r>
        <w:t xml:space="preserve"> </w:t>
      </w:r>
      <w:r w:rsidRPr="00FC0834">
        <w:rPr>
          <w:i/>
          <w:iCs/>
        </w:rPr>
        <w:t>Swissborough Diamond Mines (Pty) Ltd v Government of the Republic of South Africa</w:t>
      </w:r>
      <w:r>
        <w:t xml:space="preserve"> 1999 (2) SA 279 (T) at 337C; </w:t>
      </w:r>
      <w:r w:rsidRPr="00FC0834">
        <w:rPr>
          <w:i/>
          <w:iCs/>
        </w:rPr>
        <w:t>Living Hands (Pty) Ltd v Ditz</w:t>
      </w:r>
      <w:r>
        <w:t xml:space="preserve"> 2013 (2) SA 368 (GSJ) at 394D – E; </w:t>
      </w:r>
      <w:r w:rsidRPr="00FC0834">
        <w:rPr>
          <w:i/>
          <w:iCs/>
        </w:rPr>
        <w:t>University of the Free State v Afriforum</w:t>
      </w:r>
      <w:r>
        <w:t xml:space="preserve"> 2017 (4) SA 283 (SCA) as well as </w:t>
      </w:r>
      <w:r w:rsidRPr="00FC0834">
        <w:rPr>
          <w:i/>
          <w:iCs/>
        </w:rPr>
        <w:t>Golding</w:t>
      </w:r>
      <w:r>
        <w:t xml:space="preserve"> at 1090 and </w:t>
      </w:r>
      <w:r w:rsidRPr="00FC0834">
        <w:rPr>
          <w:i/>
          <w:iCs/>
        </w:rPr>
        <w:t>Richter</w:t>
      </w:r>
      <w:r>
        <w:t xml:space="preserve"> at 174.</w:t>
      </w:r>
    </w:p>
  </w:footnote>
  <w:footnote w:id="11">
    <w:p w14:paraId="3C87314C" w14:textId="1F2B52C8" w:rsidR="00F84381" w:rsidRDefault="00F84381">
      <w:pPr>
        <w:pStyle w:val="FootnoteText"/>
      </w:pPr>
      <w:r>
        <w:rPr>
          <w:rStyle w:val="FootnoteReference"/>
        </w:rPr>
        <w:footnoteRef/>
      </w:r>
      <w:r>
        <w:t xml:space="preserve"> </w:t>
      </w:r>
      <w:r w:rsidRPr="002C61A4">
        <w:rPr>
          <w:i/>
          <w:iCs/>
        </w:rPr>
        <w:t>Rail Commuters’</w:t>
      </w:r>
      <w:r>
        <w:t xml:space="preserve"> at 83E.</w:t>
      </w:r>
    </w:p>
  </w:footnote>
  <w:footnote w:id="12">
    <w:p w14:paraId="7DE769A1" w14:textId="44422D36" w:rsidR="00F84381" w:rsidRDefault="00F84381">
      <w:pPr>
        <w:pStyle w:val="FootnoteText"/>
      </w:pPr>
      <w:r>
        <w:rPr>
          <w:rStyle w:val="FootnoteReference"/>
        </w:rPr>
        <w:footnoteRef/>
      </w:r>
      <w:r>
        <w:t xml:space="preserve"> Pages 594 to 596 of the report.</w:t>
      </w:r>
    </w:p>
  </w:footnote>
  <w:footnote w:id="13">
    <w:p w14:paraId="4ACFB152" w14:textId="179E2FEB" w:rsidR="00F84381" w:rsidRPr="00A20C9C" w:rsidRDefault="00F84381">
      <w:pPr>
        <w:pStyle w:val="FootnoteText"/>
      </w:pPr>
      <w:r>
        <w:rPr>
          <w:rStyle w:val="FootnoteReference"/>
        </w:rPr>
        <w:footnoteRef/>
      </w:r>
      <w:r>
        <w:t xml:space="preserve"> </w:t>
      </w:r>
      <w:r>
        <w:rPr>
          <w:i/>
          <w:iCs/>
        </w:rPr>
        <w:t>Zeffert et al</w:t>
      </w:r>
      <w:r>
        <w:t xml:space="preserve"> The South African Law of Evidence, 2</w:t>
      </w:r>
      <w:r w:rsidRPr="00A20C9C">
        <w:rPr>
          <w:vertAlign w:val="superscript"/>
        </w:rPr>
        <w:t>nd</w:t>
      </w:r>
      <w:r>
        <w:t xml:space="preserve"> Edition at page 340 – 341.</w:t>
      </w:r>
    </w:p>
  </w:footnote>
  <w:footnote w:id="14">
    <w:p w14:paraId="6E569531" w14:textId="7D350C3E" w:rsidR="00F84381" w:rsidRDefault="00F84381">
      <w:pPr>
        <w:pStyle w:val="FootnoteText"/>
      </w:pPr>
      <w:r>
        <w:rPr>
          <w:rStyle w:val="FootnoteReference"/>
        </w:rPr>
        <w:footnoteRef/>
      </w:r>
      <w:r>
        <w:t xml:space="preserve"> </w:t>
      </w:r>
      <w:r w:rsidRPr="00252D94">
        <w:rPr>
          <w:i/>
          <w:iCs/>
        </w:rPr>
        <w:t>Buchner v Johannesburg Consolidated Investments Co Ltd</w:t>
      </w:r>
      <w:r>
        <w:t xml:space="preserve"> 1995 (1) SA 215 (T) at 216I, </w:t>
      </w:r>
      <w:r w:rsidRPr="00252D94">
        <w:rPr>
          <w:i/>
          <w:iCs/>
        </w:rPr>
        <w:t>FJ Hawkes v Nagel</w:t>
      </w:r>
      <w:r>
        <w:t xml:space="preserve"> 1957 (3) SA 126 (W) at 130 and </w:t>
      </w:r>
      <w:r w:rsidRPr="00252D94">
        <w:rPr>
          <w:i/>
          <w:iCs/>
        </w:rPr>
        <w:t>SA Defence v Minister of Justice</w:t>
      </w:r>
      <w:r>
        <w:t xml:space="preserve"> 1967 (1) SA 31 (C) 37.</w:t>
      </w:r>
    </w:p>
  </w:footnote>
  <w:footnote w:id="15">
    <w:p w14:paraId="2F5BB0A8" w14:textId="67C8AD04" w:rsidR="00F84381" w:rsidRDefault="00F84381">
      <w:pPr>
        <w:pStyle w:val="FootnoteText"/>
      </w:pPr>
      <w:r>
        <w:rPr>
          <w:rStyle w:val="FootnoteReference"/>
        </w:rPr>
        <w:footnoteRef/>
      </w:r>
      <w:r>
        <w:t xml:space="preserve"> The equivalent paragraphs pertaining to the other claims were also referred to.</w:t>
      </w:r>
    </w:p>
  </w:footnote>
  <w:footnote w:id="16">
    <w:p w14:paraId="6D620A59" w14:textId="78910931" w:rsidR="00F84381" w:rsidRDefault="00F84381">
      <w:pPr>
        <w:pStyle w:val="FootnoteText"/>
      </w:pPr>
      <w:r>
        <w:rPr>
          <w:rStyle w:val="FootnoteReference"/>
        </w:rPr>
        <w:footnoteRef/>
      </w:r>
      <w:r>
        <w:t xml:space="preserve"> CaseLines: 013-136 to 013-137 [paragraphs 2 – 7].</w:t>
      </w:r>
    </w:p>
  </w:footnote>
  <w:footnote w:id="17">
    <w:p w14:paraId="602A8DFE" w14:textId="77777777" w:rsidR="00F84381" w:rsidRPr="005D265B" w:rsidRDefault="00F84381" w:rsidP="003726B2">
      <w:pPr>
        <w:pStyle w:val="FootnoteText"/>
      </w:pPr>
      <w:r>
        <w:rPr>
          <w:rStyle w:val="FootnoteReference"/>
        </w:rPr>
        <w:footnoteRef/>
      </w:r>
      <w:r>
        <w:t xml:space="preserve"> </w:t>
      </w:r>
      <w:r w:rsidRPr="004A13B4">
        <w:rPr>
          <w:i/>
          <w:iCs/>
        </w:rPr>
        <w:t>McKenzies v Farmers’ Cooperative Meat Industries Ltd</w:t>
      </w:r>
      <w:r>
        <w:t xml:space="preserve"> 1922 AD 16 at 23 and </w:t>
      </w:r>
      <w:r>
        <w:rPr>
          <w:i/>
          <w:iCs/>
        </w:rPr>
        <w:t>Jowell v Bramwell-Jones</w:t>
      </w:r>
      <w:r>
        <w:t xml:space="preserve"> 1998 (1) SA 836 at 903 A-B.</w:t>
      </w:r>
    </w:p>
  </w:footnote>
  <w:footnote w:id="18">
    <w:p w14:paraId="5B96407C" w14:textId="77777777" w:rsidR="00F84381" w:rsidRPr="003264D8" w:rsidRDefault="00F84381" w:rsidP="003726B2">
      <w:pPr>
        <w:pStyle w:val="FootnoteText"/>
      </w:pPr>
      <w:r>
        <w:rPr>
          <w:rStyle w:val="FootnoteReference"/>
        </w:rPr>
        <w:footnoteRef/>
      </w:r>
      <w:r>
        <w:t xml:space="preserve"> </w:t>
      </w:r>
      <w:r>
        <w:rPr>
          <w:i/>
          <w:iCs/>
        </w:rPr>
        <w:t>Living Hands (Pty) Ltd v Ditz</w:t>
      </w:r>
      <w:r>
        <w:t xml:space="preserve"> 2013 (2) SA 368 (GSJ) at 374 G.</w:t>
      </w:r>
    </w:p>
  </w:footnote>
  <w:footnote w:id="19">
    <w:p w14:paraId="2E34AE83" w14:textId="77777777" w:rsidR="00F84381" w:rsidRPr="001A6B0A" w:rsidRDefault="00F84381" w:rsidP="003726B2">
      <w:pPr>
        <w:pStyle w:val="FootnoteText"/>
      </w:pPr>
      <w:r>
        <w:rPr>
          <w:rStyle w:val="FootnoteReference"/>
        </w:rPr>
        <w:footnoteRef/>
      </w:r>
      <w:r>
        <w:t xml:space="preserve"> </w:t>
      </w:r>
      <w:r>
        <w:rPr>
          <w:i/>
          <w:iCs/>
        </w:rPr>
        <w:t>Saltzman v Holmes</w:t>
      </w:r>
      <w:r>
        <w:t xml:space="preserve"> 1914 AD 152 at 156.</w:t>
      </w:r>
    </w:p>
  </w:footnote>
  <w:footnote w:id="20">
    <w:p w14:paraId="3617ACC9" w14:textId="77777777" w:rsidR="00F84381" w:rsidRPr="0040458B" w:rsidRDefault="00F84381" w:rsidP="003726B2">
      <w:pPr>
        <w:pStyle w:val="FootnoteText"/>
      </w:pPr>
      <w:r>
        <w:rPr>
          <w:rStyle w:val="FootnoteReference"/>
        </w:rPr>
        <w:footnoteRef/>
      </w:r>
      <w:r>
        <w:t xml:space="preserve"> </w:t>
      </w:r>
      <w:r>
        <w:rPr>
          <w:i/>
          <w:iCs/>
        </w:rPr>
        <w:t>Dharumpal Transport v Dharumpal</w:t>
      </w:r>
      <w:r>
        <w:t xml:space="preserve"> 1956 (1) SA 700 AD at 706.</w:t>
      </w:r>
    </w:p>
  </w:footnote>
  <w:footnote w:id="21">
    <w:p w14:paraId="454C62A7" w14:textId="77777777" w:rsidR="00F84381" w:rsidRPr="008763AB" w:rsidRDefault="00F84381" w:rsidP="003726B2">
      <w:pPr>
        <w:pStyle w:val="FootnoteText"/>
      </w:pPr>
      <w:r>
        <w:rPr>
          <w:rStyle w:val="FootnoteReference"/>
        </w:rPr>
        <w:footnoteRef/>
      </w:r>
      <w:r>
        <w:rPr>
          <w:i/>
          <w:iCs/>
        </w:rPr>
        <w:t>Dharumpal at 706</w:t>
      </w:r>
      <w:r>
        <w:t>.</w:t>
      </w:r>
    </w:p>
  </w:footnote>
  <w:footnote w:id="22">
    <w:p w14:paraId="1E716D06" w14:textId="77777777" w:rsidR="00F84381" w:rsidRPr="00F0212F" w:rsidRDefault="00F84381" w:rsidP="003726B2">
      <w:pPr>
        <w:pStyle w:val="FootnoteText"/>
      </w:pPr>
      <w:r>
        <w:rPr>
          <w:rStyle w:val="FootnoteReference"/>
        </w:rPr>
        <w:footnoteRef/>
      </w:r>
      <w:r>
        <w:t xml:space="preserve"> </w:t>
      </w:r>
      <w:r>
        <w:rPr>
          <w:i/>
          <w:iCs/>
        </w:rPr>
        <w:t xml:space="preserve">Living Hands </w:t>
      </w:r>
      <w:r>
        <w:t xml:space="preserve">at 374G, </w:t>
      </w:r>
      <w:r>
        <w:rPr>
          <w:i/>
          <w:iCs/>
        </w:rPr>
        <w:t>First Rand Bank of SA Ltd v Perry NO</w:t>
      </w:r>
      <w:r>
        <w:t xml:space="preserve"> 2001 (3) SA 960 (SCA) at 965C-D and </w:t>
      </w:r>
      <w:r>
        <w:rPr>
          <w:i/>
          <w:iCs/>
        </w:rPr>
        <w:t>Sanan v Eskom Holdings (Pty) Ltd</w:t>
      </w:r>
      <w:r>
        <w:t xml:space="preserve"> 2010 (6) SA 638 (GSJ) at 645 D.</w:t>
      </w:r>
    </w:p>
  </w:footnote>
  <w:footnote w:id="23">
    <w:p w14:paraId="0070362E" w14:textId="77777777" w:rsidR="00F84381" w:rsidRPr="00A14166" w:rsidRDefault="00F84381" w:rsidP="003726B2">
      <w:pPr>
        <w:pStyle w:val="FootnoteText"/>
      </w:pPr>
      <w:r>
        <w:rPr>
          <w:rStyle w:val="FootnoteReference"/>
        </w:rPr>
        <w:footnoteRef/>
      </w:r>
      <w:r>
        <w:t xml:space="preserve"> </w:t>
      </w:r>
      <w:r>
        <w:rPr>
          <w:i/>
          <w:iCs/>
        </w:rPr>
        <w:t>Living Hands</w:t>
      </w:r>
      <w:r>
        <w:t xml:space="preserve"> at 374G-375C, </w:t>
      </w:r>
      <w:r>
        <w:rPr>
          <w:i/>
          <w:iCs/>
        </w:rPr>
        <w:t>Southern Poort Developments (Pty) Ltd v Transnet Ltd</w:t>
      </w:r>
      <w:r>
        <w:t xml:space="preserve"> 2003 (5) SA 665 (W) at par 6.</w:t>
      </w:r>
    </w:p>
  </w:footnote>
  <w:footnote w:id="24">
    <w:p w14:paraId="6BDB429F" w14:textId="77777777" w:rsidR="00F84381" w:rsidRPr="00C07A54" w:rsidRDefault="00F84381" w:rsidP="003726B2">
      <w:pPr>
        <w:pStyle w:val="FootnoteText"/>
      </w:pPr>
      <w:r>
        <w:rPr>
          <w:rStyle w:val="FootnoteReference"/>
        </w:rPr>
        <w:footnoteRef/>
      </w:r>
      <w:r>
        <w:t xml:space="preserve"> </w:t>
      </w:r>
      <w:r>
        <w:rPr>
          <w:i/>
          <w:iCs/>
        </w:rPr>
        <w:t xml:space="preserve">Jowell </w:t>
      </w:r>
      <w:r w:rsidRPr="00556847">
        <w:t>at 902 I - 903 E</w:t>
      </w:r>
      <w:r>
        <w:t>.</w:t>
      </w:r>
    </w:p>
  </w:footnote>
  <w:footnote w:id="25">
    <w:p w14:paraId="5597CBA4" w14:textId="77777777" w:rsidR="00F84381" w:rsidRPr="00B72FCD" w:rsidRDefault="00F84381" w:rsidP="003726B2">
      <w:pPr>
        <w:pStyle w:val="FootnoteText"/>
      </w:pPr>
      <w:r>
        <w:rPr>
          <w:rStyle w:val="FootnoteReference"/>
        </w:rPr>
        <w:footnoteRef/>
      </w:r>
      <w:r>
        <w:t xml:space="preserve"> </w:t>
      </w:r>
      <w:r>
        <w:rPr>
          <w:i/>
          <w:iCs/>
        </w:rPr>
        <w:t>Klerck v Van Zyl NNO</w:t>
      </w:r>
      <w:r>
        <w:t xml:space="preserve"> 1998 (4) SA 263 (SE) at 288 E, </w:t>
      </w:r>
      <w:r>
        <w:rPr>
          <w:i/>
          <w:iCs/>
        </w:rPr>
        <w:t>Perry</w:t>
      </w:r>
      <w:r>
        <w:t xml:space="preserve"> at 956 C-D, </w:t>
      </w:r>
      <w:r>
        <w:rPr>
          <w:i/>
          <w:iCs/>
        </w:rPr>
        <w:t>Stewart v Botha</w:t>
      </w:r>
      <w:r>
        <w:t xml:space="preserve"> 2008 (6) SA 310 (SCA) at 313 E-F, </w:t>
      </w:r>
      <w:r>
        <w:rPr>
          <w:i/>
          <w:iCs/>
        </w:rPr>
        <w:t>Brocsand (Pty) Ltd v Tip Trans Resources</w:t>
      </w:r>
      <w:r>
        <w:t xml:space="preserve"> 2021 (5) SA 457 (SCA) at par 14.</w:t>
      </w:r>
    </w:p>
  </w:footnote>
  <w:footnote w:id="26">
    <w:p w14:paraId="3B6C3DF3" w14:textId="77777777" w:rsidR="00F84381" w:rsidRPr="006F0304" w:rsidRDefault="00F84381" w:rsidP="003726B2">
      <w:pPr>
        <w:pStyle w:val="FootnoteText"/>
      </w:pPr>
      <w:r>
        <w:rPr>
          <w:rStyle w:val="FootnoteReference"/>
        </w:rPr>
        <w:footnoteRef/>
      </w:r>
      <w:r>
        <w:t xml:space="preserve"> </w:t>
      </w:r>
      <w:r>
        <w:rPr>
          <w:i/>
          <w:iCs/>
        </w:rPr>
        <w:t>South African National Parks v Ras</w:t>
      </w:r>
      <w:r>
        <w:t xml:space="preserve"> 2002 (2) SA 537 (C) at 541 B – 452 G, </w:t>
      </w:r>
      <w:r>
        <w:rPr>
          <w:i/>
          <w:iCs/>
        </w:rPr>
        <w:t>Francis v Sharp</w:t>
      </w:r>
      <w:r>
        <w:t xml:space="preserve"> 2004 (3) SA 230 (C) at 237 D-I and </w:t>
      </w:r>
      <w:r>
        <w:rPr>
          <w:i/>
          <w:iCs/>
        </w:rPr>
        <w:t xml:space="preserve">Erasmus Superior Court Practice </w:t>
      </w:r>
      <w:r>
        <w:t>[D1-298].</w:t>
      </w:r>
    </w:p>
  </w:footnote>
  <w:footnote w:id="27">
    <w:p w14:paraId="42917848" w14:textId="77777777" w:rsidR="00F84381" w:rsidRPr="003479B2" w:rsidRDefault="00F84381" w:rsidP="003726B2">
      <w:pPr>
        <w:pStyle w:val="FootnoteText"/>
      </w:pPr>
      <w:r>
        <w:rPr>
          <w:rStyle w:val="FootnoteReference"/>
        </w:rPr>
        <w:footnoteRef/>
      </w:r>
      <w:r>
        <w:t xml:space="preserve"> </w:t>
      </w:r>
      <w:r>
        <w:rPr>
          <w:i/>
          <w:iCs/>
        </w:rPr>
        <w:t>Telematrix v Advertising Standards Authority</w:t>
      </w:r>
      <w:r>
        <w:t xml:space="preserve"> 2006 (1) SA 461 (SCA) at 465 H.</w:t>
      </w:r>
    </w:p>
  </w:footnote>
  <w:footnote w:id="28">
    <w:p w14:paraId="61C0364D" w14:textId="77777777" w:rsidR="00F84381" w:rsidRPr="003C5D57" w:rsidRDefault="00F84381" w:rsidP="003726B2">
      <w:pPr>
        <w:pStyle w:val="FootnoteText"/>
      </w:pPr>
      <w:r>
        <w:rPr>
          <w:rStyle w:val="FootnoteReference"/>
        </w:rPr>
        <w:footnoteRef/>
      </w:r>
      <w:r>
        <w:t xml:space="preserve"> </w:t>
      </w:r>
      <w:r>
        <w:rPr>
          <w:i/>
          <w:iCs/>
        </w:rPr>
        <w:t>Group 5 Building Ltd v Government of the Republic of South Africa (Minister of Public Works and Land Affairs)</w:t>
      </w:r>
      <w:r>
        <w:t xml:space="preserve"> 1993 (2) SA 593 (A) at 602 D.</w:t>
      </w:r>
    </w:p>
  </w:footnote>
  <w:footnote w:id="29">
    <w:p w14:paraId="2F173C46" w14:textId="109D8565" w:rsidR="00F84381" w:rsidRPr="00DF0D22" w:rsidRDefault="00F84381">
      <w:pPr>
        <w:pStyle w:val="FootnoteText"/>
      </w:pPr>
      <w:r>
        <w:rPr>
          <w:rStyle w:val="FootnoteReference"/>
        </w:rPr>
        <w:footnoteRef/>
      </w:r>
      <w:r>
        <w:t xml:space="preserve"> </w:t>
      </w:r>
      <w:r>
        <w:rPr>
          <w:i/>
          <w:iCs/>
        </w:rPr>
        <w:t>Moosa and others NNO v Hassam</w:t>
      </w:r>
      <w:r>
        <w:t xml:space="preserve"> 2010 (2) SA 410 (KZP) at 413B – 414B.</w:t>
      </w:r>
    </w:p>
  </w:footnote>
  <w:footnote w:id="30">
    <w:p w14:paraId="140F5A7E" w14:textId="5A60A90A" w:rsidR="00F84381" w:rsidRPr="000F26EC" w:rsidRDefault="00F84381">
      <w:pPr>
        <w:pStyle w:val="FootnoteText"/>
      </w:pPr>
      <w:r>
        <w:rPr>
          <w:rStyle w:val="FootnoteReference"/>
        </w:rPr>
        <w:footnoteRef/>
      </w:r>
      <w:r>
        <w:t xml:space="preserve"> </w:t>
      </w:r>
      <w:r>
        <w:rPr>
          <w:i/>
          <w:iCs/>
        </w:rPr>
        <w:t>Blouwer v Van Noorden</w:t>
      </w:r>
      <w:r>
        <w:t xml:space="preserve"> 1909 TS 890 at 899.</w:t>
      </w:r>
    </w:p>
  </w:footnote>
  <w:footnote w:id="31">
    <w:p w14:paraId="60F63AED" w14:textId="11DC45D5" w:rsidR="00F84381" w:rsidRDefault="00F84381">
      <w:pPr>
        <w:pStyle w:val="FootnoteText"/>
      </w:pPr>
      <w:r>
        <w:rPr>
          <w:rStyle w:val="FootnoteReference"/>
        </w:rPr>
        <w:footnoteRef/>
      </w:r>
      <w:r>
        <w:t xml:space="preserve"> See paragraphs 13, 14.1 and 14.2 of Amended Particulars of Claim [CL013 - CL049 to CL013 – CL050]</w:t>
      </w:r>
    </w:p>
  </w:footnote>
  <w:footnote w:id="32">
    <w:p w14:paraId="2D0ADB4A" w14:textId="7106A7B3" w:rsidR="00F84381" w:rsidRDefault="00F84381">
      <w:pPr>
        <w:pStyle w:val="FootnoteText"/>
      </w:pPr>
      <w:r>
        <w:rPr>
          <w:rStyle w:val="FootnoteReference"/>
        </w:rPr>
        <w:footnoteRef/>
      </w:r>
      <w:r>
        <w:t xml:space="preserve"> Which do not seem to be of application in casu – such as the Alienation of Land Act, 68 of 1981</w:t>
      </w:r>
    </w:p>
  </w:footnote>
  <w:footnote w:id="33">
    <w:p w14:paraId="3E706037" w14:textId="3B748075" w:rsidR="00F84381" w:rsidRPr="00F11A42" w:rsidRDefault="00F84381">
      <w:pPr>
        <w:pStyle w:val="FootnoteText"/>
      </w:pPr>
      <w:r>
        <w:rPr>
          <w:rStyle w:val="FootnoteReference"/>
        </w:rPr>
        <w:footnoteRef/>
      </w:r>
      <w:r>
        <w:t xml:space="preserve"> </w:t>
      </w:r>
      <w:r>
        <w:rPr>
          <w:i/>
          <w:iCs/>
        </w:rPr>
        <w:t xml:space="preserve">Smith v Kwanonqubela Town Council </w:t>
      </w:r>
      <w:r>
        <w:t>1999 (4) SA 947 (SCA) at 952F – H.</w:t>
      </w:r>
    </w:p>
  </w:footnote>
  <w:footnote w:id="34">
    <w:p w14:paraId="60745D1F" w14:textId="50E3AC60" w:rsidR="00F84381" w:rsidRDefault="00F84381">
      <w:pPr>
        <w:pStyle w:val="FootnoteText"/>
      </w:pPr>
      <w:r>
        <w:rPr>
          <w:rStyle w:val="FootnoteReference"/>
        </w:rPr>
        <w:footnoteRef/>
      </w:r>
      <w:r>
        <w:t xml:space="preserve"> CaseLines: 013-154 to 013-155 [paragraph 26 – 27.6].</w:t>
      </w:r>
    </w:p>
  </w:footnote>
  <w:footnote w:id="35">
    <w:p w14:paraId="09E8E530" w14:textId="6D93A848" w:rsidR="00F84381" w:rsidRDefault="00F84381">
      <w:pPr>
        <w:pStyle w:val="FootnoteText"/>
      </w:pPr>
      <w:r>
        <w:rPr>
          <w:rStyle w:val="FootnoteReference"/>
        </w:rPr>
        <w:footnoteRef/>
      </w:r>
      <w:r>
        <w:t xml:space="preserve"> CL013 – CL281 to CL013 – CL293.</w:t>
      </w:r>
    </w:p>
  </w:footnote>
  <w:footnote w:id="36">
    <w:p w14:paraId="4B8C92D4" w14:textId="78B32AF3" w:rsidR="00F84381" w:rsidRPr="00B8533E" w:rsidRDefault="00F84381">
      <w:pPr>
        <w:pStyle w:val="FootnoteText"/>
        <w:rPr>
          <w:lang w:val="en-US"/>
        </w:rPr>
      </w:pPr>
      <w:r>
        <w:rPr>
          <w:rStyle w:val="FootnoteReference"/>
        </w:rPr>
        <w:footnoteRef/>
      </w:r>
      <w:r>
        <w:t xml:space="preserve"> </w:t>
      </w:r>
      <w:r>
        <w:rPr>
          <w:lang w:val="en-US"/>
        </w:rPr>
        <w:t>CL013 – CL252 to CL013 – CL253.</w:t>
      </w:r>
    </w:p>
  </w:footnote>
  <w:footnote w:id="37">
    <w:p w14:paraId="181E946A" w14:textId="4921E452" w:rsidR="00F84381" w:rsidRDefault="00F84381">
      <w:pPr>
        <w:pStyle w:val="FootnoteText"/>
      </w:pPr>
      <w:r>
        <w:rPr>
          <w:rStyle w:val="FootnoteReference"/>
        </w:rPr>
        <w:footnoteRef/>
      </w:r>
      <w:r>
        <w:t xml:space="preserve"> CaseLines: 013-254.</w:t>
      </w:r>
    </w:p>
  </w:footnote>
  <w:footnote w:id="38">
    <w:p w14:paraId="50E085E9" w14:textId="3504BBBC" w:rsidR="00F84381" w:rsidRDefault="00F84381">
      <w:pPr>
        <w:pStyle w:val="FootnoteText"/>
      </w:pPr>
      <w:r>
        <w:rPr>
          <w:rStyle w:val="FootnoteReference"/>
        </w:rPr>
        <w:footnoteRef/>
      </w:r>
      <w:r>
        <w:t xml:space="preserve"> CL007 – 1 to CL007 – 3.</w:t>
      </w:r>
    </w:p>
  </w:footnote>
  <w:footnote w:id="39">
    <w:p w14:paraId="178EA459" w14:textId="64743899" w:rsidR="00F84381" w:rsidRDefault="00F84381">
      <w:pPr>
        <w:pStyle w:val="FootnoteText"/>
      </w:pPr>
      <w:r>
        <w:rPr>
          <w:rStyle w:val="FootnoteReference"/>
        </w:rPr>
        <w:footnoteRef/>
      </w:r>
      <w:r>
        <w:t xml:space="preserve"> CL013 – 43 to CL013 – 44.</w:t>
      </w:r>
    </w:p>
  </w:footnote>
  <w:footnote w:id="40">
    <w:p w14:paraId="28C8E901" w14:textId="403A1574" w:rsidR="00F84381" w:rsidRDefault="00F84381">
      <w:pPr>
        <w:pStyle w:val="FootnoteText"/>
      </w:pPr>
      <w:r>
        <w:rPr>
          <w:rStyle w:val="FootnoteReference"/>
        </w:rPr>
        <w:footnoteRef/>
      </w:r>
      <w:r>
        <w:t xml:space="preserve"> CL013 – 125 to CL013 – 132.</w:t>
      </w:r>
    </w:p>
  </w:footnote>
  <w:footnote w:id="41">
    <w:p w14:paraId="18037074" w14:textId="47F76134" w:rsidR="00F84381" w:rsidRDefault="00F84381">
      <w:pPr>
        <w:pStyle w:val="FootnoteText"/>
      </w:pPr>
      <w:r>
        <w:rPr>
          <w:rStyle w:val="FootnoteReference"/>
        </w:rPr>
        <w:footnoteRef/>
      </w:r>
      <w:r>
        <w:t xml:space="preserve"> CL013 – 151 [paragraph 16].</w:t>
      </w:r>
    </w:p>
  </w:footnote>
  <w:footnote w:id="42">
    <w:p w14:paraId="314E5D90" w14:textId="451B551E" w:rsidR="00F84381" w:rsidRDefault="00F84381">
      <w:pPr>
        <w:pStyle w:val="FootnoteText"/>
      </w:pPr>
      <w:r>
        <w:rPr>
          <w:rStyle w:val="FootnoteReference"/>
        </w:rPr>
        <w:footnoteRef/>
      </w:r>
      <w:r>
        <w:t xml:space="preserve"> CL013 – 151 to CL013 – 152 [paragraph 17].</w:t>
      </w:r>
    </w:p>
  </w:footnote>
  <w:footnote w:id="43">
    <w:p w14:paraId="2D665D77" w14:textId="0F2EDB00" w:rsidR="00F84381" w:rsidRDefault="00F84381">
      <w:pPr>
        <w:pStyle w:val="FootnoteText"/>
      </w:pPr>
      <w:r>
        <w:rPr>
          <w:rStyle w:val="FootnoteReference"/>
        </w:rPr>
        <w:footnoteRef/>
      </w:r>
      <w:r>
        <w:t xml:space="preserve"> CL013 – 152 [paragraph 19 and 20].</w:t>
      </w:r>
    </w:p>
  </w:footnote>
  <w:footnote w:id="44">
    <w:p w14:paraId="56DEE219" w14:textId="2E16CFFE" w:rsidR="00F84381" w:rsidRDefault="00F84381">
      <w:pPr>
        <w:pStyle w:val="FootnoteText"/>
      </w:pPr>
      <w:r>
        <w:rPr>
          <w:rStyle w:val="FootnoteReference"/>
        </w:rPr>
        <w:footnoteRef/>
      </w:r>
      <w:r>
        <w:t xml:space="preserve"> CL013 – 153 [paragraph 21] and CL013 – 255 to CL013 – 257.</w:t>
      </w:r>
    </w:p>
  </w:footnote>
  <w:footnote w:id="45">
    <w:p w14:paraId="1AABCE37" w14:textId="0DB2CDDD" w:rsidR="00F84381" w:rsidRDefault="00F84381">
      <w:pPr>
        <w:pStyle w:val="FootnoteText"/>
      </w:pPr>
      <w:r>
        <w:rPr>
          <w:rStyle w:val="FootnoteReference"/>
        </w:rPr>
        <w:footnoteRef/>
      </w:r>
      <w:r>
        <w:t xml:space="preserve"> CL013 – 153 [paragraph 22].</w:t>
      </w:r>
    </w:p>
  </w:footnote>
  <w:footnote w:id="46">
    <w:p w14:paraId="238ECD14" w14:textId="6CF01D26" w:rsidR="00F84381" w:rsidRDefault="00F84381">
      <w:pPr>
        <w:pStyle w:val="FootnoteText"/>
      </w:pPr>
      <w:r>
        <w:rPr>
          <w:rStyle w:val="FootnoteReference"/>
        </w:rPr>
        <w:footnoteRef/>
      </w:r>
      <w:r>
        <w:t xml:space="preserve"> CL013 – 133 to CL013 – 134.</w:t>
      </w:r>
    </w:p>
  </w:footnote>
  <w:footnote w:id="47">
    <w:p w14:paraId="3A3CD7FD" w14:textId="6F17DA51" w:rsidR="00F84381" w:rsidRDefault="00F84381">
      <w:pPr>
        <w:pStyle w:val="FootnoteText"/>
      </w:pPr>
      <w:r>
        <w:rPr>
          <w:rStyle w:val="FootnoteReference"/>
        </w:rPr>
        <w:footnoteRef/>
      </w:r>
      <w:r>
        <w:t xml:space="preserve"> CL013 – 159 to CL013 – 160 [paragraphs 33 and 34].</w:t>
      </w:r>
    </w:p>
  </w:footnote>
  <w:footnote w:id="48">
    <w:p w14:paraId="50F2C76D" w14:textId="07B56437" w:rsidR="00F84381" w:rsidRDefault="00F84381">
      <w:pPr>
        <w:pStyle w:val="FootnoteText"/>
      </w:pPr>
      <w:r>
        <w:rPr>
          <w:rStyle w:val="FootnoteReference"/>
        </w:rPr>
        <w:footnoteRef/>
      </w:r>
      <w:r>
        <w:t xml:space="preserve"> CL013 – 267 [paragraphs 11 – 13].</w:t>
      </w:r>
    </w:p>
  </w:footnote>
  <w:footnote w:id="49">
    <w:p w14:paraId="5EC0C3D6" w14:textId="383F5DE3" w:rsidR="00F84381" w:rsidRDefault="00F84381">
      <w:pPr>
        <w:pStyle w:val="FootnoteText"/>
      </w:pPr>
      <w:r>
        <w:rPr>
          <w:rStyle w:val="FootnoteReference"/>
        </w:rPr>
        <w:footnoteRef/>
      </w:r>
      <w:r>
        <w:t xml:space="preserve"> CL013 – 276 to CL013 – 279 [paragraph 63 to 86].</w:t>
      </w:r>
    </w:p>
  </w:footnote>
  <w:footnote w:id="50">
    <w:p w14:paraId="39DB1FD3" w14:textId="02EE34AA" w:rsidR="00F84381" w:rsidRPr="00607214" w:rsidRDefault="00F84381">
      <w:pPr>
        <w:pStyle w:val="FootnoteText"/>
      </w:pPr>
      <w:r>
        <w:rPr>
          <w:rStyle w:val="FootnoteReference"/>
        </w:rPr>
        <w:footnoteRef/>
      </w:r>
      <w:r>
        <w:t xml:space="preserve"> </w:t>
      </w:r>
      <w:r>
        <w:rPr>
          <w:i/>
          <w:iCs/>
        </w:rPr>
        <w:t>Van Aswegen v Kruger</w:t>
      </w:r>
      <w:r>
        <w:t xml:space="preserve"> 1974 (3) SA 204 (O) at 205C and </w:t>
      </w:r>
      <w:r>
        <w:rPr>
          <w:i/>
          <w:iCs/>
        </w:rPr>
        <w:t>Smith NO v Brummer NO</w:t>
      </w:r>
      <w:r>
        <w:t xml:space="preserve"> 1954 (3) SA 352 (O) at 358A.</w:t>
      </w:r>
    </w:p>
  </w:footnote>
  <w:footnote w:id="51">
    <w:p w14:paraId="004814F7" w14:textId="3EF5BAE1" w:rsidR="00F84381" w:rsidRPr="004A1200" w:rsidRDefault="00F84381">
      <w:pPr>
        <w:pStyle w:val="FootnoteText"/>
      </w:pPr>
      <w:r>
        <w:rPr>
          <w:rStyle w:val="FootnoteReference"/>
        </w:rPr>
        <w:footnoteRef/>
      </w:r>
      <w:r>
        <w:t xml:space="preserve"> </w:t>
      </w:r>
      <w:r>
        <w:rPr>
          <w:i/>
          <w:iCs/>
        </w:rPr>
        <w:t>Pangbourne Properties Ltd v Pulse Moving CC</w:t>
      </w:r>
      <w:r>
        <w:t xml:space="preserve"> 2013 (3) SA 140 (GSJ).</w:t>
      </w:r>
    </w:p>
  </w:footnote>
  <w:footnote w:id="52">
    <w:p w14:paraId="34CA2F1B" w14:textId="73FD2200" w:rsidR="00F84381" w:rsidRPr="002F5DE6" w:rsidRDefault="00F84381">
      <w:pPr>
        <w:pStyle w:val="FootnoteText"/>
      </w:pPr>
      <w:r>
        <w:rPr>
          <w:rStyle w:val="FootnoteReference"/>
        </w:rPr>
        <w:footnoteRef/>
      </w:r>
      <w:r>
        <w:t xml:space="preserve"> </w:t>
      </w:r>
      <w:r>
        <w:rPr>
          <w:i/>
          <w:iCs/>
        </w:rPr>
        <w:t>Ferris v Firstrand Bank Ltd</w:t>
      </w:r>
      <w:r>
        <w:t xml:space="preserve"> 2014 (3) SA 39 (CC) at paragraph 10.</w:t>
      </w:r>
    </w:p>
  </w:footnote>
  <w:footnote w:id="53">
    <w:p w14:paraId="12FF3E35" w14:textId="2E3DFF27" w:rsidR="00F84381" w:rsidRDefault="00F84381">
      <w:pPr>
        <w:pStyle w:val="FootnoteText"/>
      </w:pPr>
      <w:r>
        <w:rPr>
          <w:rStyle w:val="FootnoteReference"/>
        </w:rPr>
        <w:footnoteRef/>
      </w:r>
      <w:r>
        <w:t xml:space="preserve"> At paragraphs 22 and 23.</w:t>
      </w:r>
    </w:p>
  </w:footnote>
  <w:footnote w:id="54">
    <w:p w14:paraId="0D733D6F" w14:textId="3F4BF0B4" w:rsidR="00F84381" w:rsidRPr="00657846" w:rsidRDefault="00F84381">
      <w:pPr>
        <w:pStyle w:val="FootnoteText"/>
      </w:pPr>
      <w:r>
        <w:rPr>
          <w:rStyle w:val="FootnoteReference"/>
        </w:rPr>
        <w:footnoteRef/>
      </w:r>
      <w:r>
        <w:t xml:space="preserve"> </w:t>
      </w:r>
      <w:r>
        <w:rPr>
          <w:i/>
          <w:iCs/>
        </w:rPr>
        <w:t xml:space="preserve">Van Loggerenberg et al. </w:t>
      </w:r>
      <w:r>
        <w:t>Erasmus Superior Court Practice at D1-323 and D1-328.</w:t>
      </w:r>
    </w:p>
  </w:footnote>
  <w:footnote w:id="55">
    <w:p w14:paraId="7EB1D6EA" w14:textId="43935F80" w:rsidR="00F84381" w:rsidRPr="00157666" w:rsidRDefault="00F84381">
      <w:pPr>
        <w:pStyle w:val="FootnoteText"/>
        <w:rPr>
          <w:lang w:val="en-US"/>
        </w:rPr>
      </w:pPr>
      <w:r>
        <w:rPr>
          <w:rStyle w:val="FootnoteReference"/>
        </w:rPr>
        <w:footnoteRef/>
      </w:r>
      <w:r>
        <w:t xml:space="preserve"> </w:t>
      </w:r>
      <w:r w:rsidRPr="00157666">
        <w:rPr>
          <w:i/>
          <w:lang w:val="en-US"/>
        </w:rPr>
        <w:t>University of Johannesburg v Auckland Park Theological Seminary</w:t>
      </w:r>
      <w:r>
        <w:rPr>
          <w:lang w:val="en-US"/>
        </w:rPr>
        <w:t xml:space="preserve"> 2021 (6) SA 1 (CC) and </w:t>
      </w:r>
      <w:r w:rsidRPr="00157666">
        <w:rPr>
          <w:i/>
          <w:lang w:val="en-US"/>
        </w:rPr>
        <w:t>Capitec Bank Holdings v Coral Lagoon Investments 194 (Pty) Ltd</w:t>
      </w:r>
      <w:r>
        <w:rPr>
          <w:lang w:val="en-US"/>
        </w:rPr>
        <w:t xml:space="preserve"> [2021] ZASCA 99 (9 July 2021).</w:t>
      </w:r>
    </w:p>
  </w:footnote>
  <w:footnote w:id="56">
    <w:p w14:paraId="2B387B62" w14:textId="5AC53B5C" w:rsidR="00F84381" w:rsidRPr="000B3C96" w:rsidRDefault="00F84381">
      <w:pPr>
        <w:pStyle w:val="FootnoteText"/>
        <w:rPr>
          <w:lang w:val="en-US"/>
        </w:rPr>
      </w:pPr>
      <w:r>
        <w:rPr>
          <w:rStyle w:val="FootnoteReference"/>
        </w:rPr>
        <w:footnoteRef/>
      </w:r>
      <w:r>
        <w:t xml:space="preserve"> </w:t>
      </w:r>
      <w:r>
        <w:rPr>
          <w:i/>
          <w:lang w:val="en-US"/>
        </w:rPr>
        <w:t xml:space="preserve">Simmonds NO v White </w:t>
      </w:r>
      <w:r>
        <w:rPr>
          <w:lang w:val="en-US"/>
        </w:rPr>
        <w:t>1980 (1) SA 755 (C) at 759E.</w:t>
      </w:r>
    </w:p>
  </w:footnote>
  <w:footnote w:id="57">
    <w:p w14:paraId="46952E7A" w14:textId="3E53387E" w:rsidR="00F84381" w:rsidRPr="000B3C96" w:rsidRDefault="00F84381">
      <w:pPr>
        <w:pStyle w:val="FootnoteText"/>
        <w:rPr>
          <w:lang w:val="en-US"/>
        </w:rPr>
      </w:pPr>
      <w:r>
        <w:rPr>
          <w:rStyle w:val="FootnoteReference"/>
        </w:rPr>
        <w:footnoteRef/>
      </w:r>
      <w:r>
        <w:t xml:space="preserve"> </w:t>
      </w:r>
      <w:r>
        <w:rPr>
          <w:i/>
          <w:lang w:val="en-US"/>
        </w:rPr>
        <w:t>Kleynhans v Van der Westhuizen</w:t>
      </w:r>
      <w:r>
        <w:rPr>
          <w:lang w:val="en-US"/>
        </w:rPr>
        <w:t xml:space="preserve"> 1970 (2) SA 742 (AA) at 750D – F.</w:t>
      </w:r>
    </w:p>
  </w:footnote>
  <w:footnote w:id="58">
    <w:p w14:paraId="70F82F1F" w14:textId="55524346" w:rsidR="00F84381" w:rsidRPr="00340B98" w:rsidRDefault="00F84381">
      <w:pPr>
        <w:pStyle w:val="FootnoteText"/>
        <w:rPr>
          <w:lang w:val="en-US"/>
        </w:rPr>
      </w:pPr>
      <w:r>
        <w:rPr>
          <w:rStyle w:val="FootnoteReference"/>
        </w:rPr>
        <w:footnoteRef/>
      </w:r>
      <w:r>
        <w:t xml:space="preserve"> </w:t>
      </w:r>
      <w:r w:rsidRPr="00340B98">
        <w:rPr>
          <w:lang w:val="en-US"/>
        </w:rPr>
        <w:t>It is therefore</w:t>
      </w:r>
      <w:r>
        <w:rPr>
          <w:lang w:val="en-US"/>
        </w:rPr>
        <w:t xml:space="preserve"> also</w:t>
      </w:r>
      <w:r w:rsidRPr="00340B98">
        <w:rPr>
          <w:lang w:val="en-US"/>
        </w:rPr>
        <w:t xml:space="preserve"> distinquishable from</w:t>
      </w:r>
      <w:r>
        <w:rPr>
          <w:i/>
          <w:lang w:val="en-US"/>
        </w:rPr>
        <w:t xml:space="preserve"> Getz v Pahlavi </w:t>
      </w:r>
      <w:r>
        <w:rPr>
          <w:lang w:val="en-US"/>
        </w:rPr>
        <w:t>1943 WLD 142.</w:t>
      </w:r>
    </w:p>
  </w:footnote>
  <w:footnote w:id="59">
    <w:p w14:paraId="011F8FA1" w14:textId="1EC0782E" w:rsidR="00F84381" w:rsidRPr="006B32B6" w:rsidRDefault="00F84381">
      <w:pPr>
        <w:pStyle w:val="FootnoteText"/>
      </w:pPr>
      <w:r>
        <w:rPr>
          <w:rStyle w:val="FootnoteReference"/>
        </w:rPr>
        <w:footnoteRef/>
      </w:r>
      <w:r>
        <w:t xml:space="preserve"> </w:t>
      </w:r>
      <w:r>
        <w:rPr>
          <w:i/>
          <w:iCs/>
        </w:rPr>
        <w:t>Tyulu v Southern Insurance Association Ltd</w:t>
      </w:r>
      <w:r>
        <w:t xml:space="preserve"> 1974 (3) SA 726 (E) at 729C-E, </w:t>
      </w:r>
      <w:r>
        <w:rPr>
          <w:i/>
          <w:iCs/>
        </w:rPr>
        <w:t>Felix v Nortier NO</w:t>
      </w:r>
      <w:r>
        <w:t xml:space="preserve"> 1994 (4) SA 502 (SE) at 506E.</w:t>
      </w:r>
    </w:p>
  </w:footnote>
  <w:footnote w:id="60">
    <w:p w14:paraId="4E00FAE6" w14:textId="54BD8D09" w:rsidR="00F84381" w:rsidRPr="00760F08" w:rsidRDefault="00F84381">
      <w:pPr>
        <w:pStyle w:val="FootnoteText"/>
        <w:rPr>
          <w:i/>
          <w:iCs/>
        </w:rPr>
      </w:pPr>
      <w:r>
        <w:rPr>
          <w:rStyle w:val="FootnoteReference"/>
        </w:rPr>
        <w:footnoteRef/>
      </w:r>
      <w:r>
        <w:t xml:space="preserve"> Unreported, WCC Case no: 3069/20 dated 3 July 2020 and followed in </w:t>
      </w:r>
      <w:r>
        <w:rPr>
          <w:i/>
          <w:iCs/>
        </w:rPr>
        <w:t>Van den Heever v Potgieter NO</w:t>
      </w:r>
      <w:r>
        <w:t xml:space="preserve"> 2022 (6) SA 315 (FB) at paragraphs 19 – 26 and </w:t>
      </w:r>
      <w:r>
        <w:rPr>
          <w:i/>
          <w:iCs/>
        </w:rPr>
        <w:t xml:space="preserve">Quinn v MQ Finance (Pty) Ltd t/a Marguis Finance (unreported, GJ </w:t>
      </w:r>
      <w:r w:rsidRPr="00087881">
        <w:t>Case no: 13330/21 dated 22 June 2022 at paragraphs 12 – 16 and 23</w:t>
      </w:r>
      <w:r>
        <w:rPr>
          <w:i/>
          <w:iCs/>
        </w:rPr>
        <w:t>.</w:t>
      </w:r>
    </w:p>
  </w:footnote>
  <w:footnote w:id="61">
    <w:p w14:paraId="78A117EA" w14:textId="113C7BDA" w:rsidR="00F84381" w:rsidRDefault="00F84381">
      <w:pPr>
        <w:pStyle w:val="FootnoteText"/>
      </w:pPr>
      <w:r>
        <w:rPr>
          <w:rStyle w:val="FootnoteReference"/>
        </w:rPr>
        <w:footnoteRef/>
      </w:r>
      <w:r>
        <w:t xml:space="preserve"> Unreported, WCC Case no: 20406/11 dated 9 March 2012.</w:t>
      </w:r>
    </w:p>
  </w:footnote>
  <w:footnote w:id="62">
    <w:p w14:paraId="7A40FE9E" w14:textId="0E8824F7" w:rsidR="00F84381" w:rsidRDefault="00F84381">
      <w:pPr>
        <w:pStyle w:val="FootnoteText"/>
      </w:pPr>
      <w:r>
        <w:rPr>
          <w:rStyle w:val="FootnoteReference"/>
        </w:rPr>
        <w:footnoteRef/>
      </w:r>
      <w:r>
        <w:t xml:space="preserve"> At paragraphs 4 – 11.</w:t>
      </w:r>
    </w:p>
  </w:footnote>
  <w:footnote w:id="63">
    <w:p w14:paraId="1726070F" w14:textId="42EA90CC" w:rsidR="00F84381" w:rsidRPr="00A06F2B" w:rsidRDefault="00F84381">
      <w:pPr>
        <w:pStyle w:val="FootnoteText"/>
      </w:pPr>
      <w:r>
        <w:rPr>
          <w:rStyle w:val="FootnoteReference"/>
        </w:rPr>
        <w:footnoteRef/>
      </w:r>
      <w:r>
        <w:t xml:space="preserve"> </w:t>
      </w:r>
      <w:r>
        <w:rPr>
          <w:i/>
          <w:iCs/>
        </w:rPr>
        <w:t>Viljoen v Federated Trust Ltd</w:t>
      </w:r>
      <w:r>
        <w:t xml:space="preserve"> 1971 (1) SA 750 (O) at 743F and </w:t>
      </w:r>
      <w:r>
        <w:rPr>
          <w:i/>
          <w:iCs/>
        </w:rPr>
        <w:t>NKP Kunsmisverspreiders (Edms) Bpk v Sentrale Kunsmis Korporasie (Edms) Bpk</w:t>
      </w:r>
      <w:r>
        <w:t xml:space="preserve"> 1973 (2) SA 680 (T) at 788D.</w:t>
      </w:r>
    </w:p>
  </w:footnote>
  <w:footnote w:id="64">
    <w:p w14:paraId="72429E84" w14:textId="3A08EE8F" w:rsidR="00F84381" w:rsidRPr="004649FE" w:rsidRDefault="00F84381">
      <w:pPr>
        <w:pStyle w:val="FootnoteText"/>
      </w:pPr>
      <w:r>
        <w:rPr>
          <w:rStyle w:val="FootnoteReference"/>
        </w:rPr>
        <w:footnoteRef/>
      </w:r>
      <w:r>
        <w:t xml:space="preserve"> </w:t>
      </w:r>
      <w:r>
        <w:rPr>
          <w:i/>
          <w:iCs/>
        </w:rPr>
        <w:t>Strydom v Engen Petroleum Ltd</w:t>
      </w:r>
      <w:r>
        <w:t xml:space="preserve"> 2013 (2) SA 187 (SCA) at paragraph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5A86"/>
    <w:multiLevelType w:val="hybridMultilevel"/>
    <w:tmpl w:val="7B947F2A"/>
    <w:lvl w:ilvl="0" w:tplc="35D48570">
      <w:start w:val="3"/>
      <w:numFmt w:val="decimal"/>
      <w:lvlText w:val="%1."/>
      <w:lvlJc w:val="left"/>
      <w:pPr>
        <w:ind w:left="2513" w:hanging="360"/>
      </w:pPr>
      <w:rPr>
        <w:rFonts w:hint="default"/>
      </w:rPr>
    </w:lvl>
    <w:lvl w:ilvl="1" w:tplc="1C090019">
      <w:start w:val="1"/>
      <w:numFmt w:val="lowerLetter"/>
      <w:lvlText w:val="%2."/>
      <w:lvlJc w:val="left"/>
      <w:pPr>
        <w:ind w:left="3233" w:hanging="360"/>
      </w:pPr>
    </w:lvl>
    <w:lvl w:ilvl="2" w:tplc="1C09001B" w:tentative="1">
      <w:start w:val="1"/>
      <w:numFmt w:val="lowerRoman"/>
      <w:lvlText w:val="%3."/>
      <w:lvlJc w:val="right"/>
      <w:pPr>
        <w:ind w:left="3953" w:hanging="180"/>
      </w:pPr>
    </w:lvl>
    <w:lvl w:ilvl="3" w:tplc="1C09000F" w:tentative="1">
      <w:start w:val="1"/>
      <w:numFmt w:val="decimal"/>
      <w:lvlText w:val="%4."/>
      <w:lvlJc w:val="left"/>
      <w:pPr>
        <w:ind w:left="4673" w:hanging="360"/>
      </w:pPr>
    </w:lvl>
    <w:lvl w:ilvl="4" w:tplc="1C090019" w:tentative="1">
      <w:start w:val="1"/>
      <w:numFmt w:val="lowerLetter"/>
      <w:lvlText w:val="%5."/>
      <w:lvlJc w:val="left"/>
      <w:pPr>
        <w:ind w:left="5393" w:hanging="360"/>
      </w:pPr>
    </w:lvl>
    <w:lvl w:ilvl="5" w:tplc="1C09001B" w:tentative="1">
      <w:start w:val="1"/>
      <w:numFmt w:val="lowerRoman"/>
      <w:lvlText w:val="%6."/>
      <w:lvlJc w:val="right"/>
      <w:pPr>
        <w:ind w:left="6113" w:hanging="180"/>
      </w:pPr>
    </w:lvl>
    <w:lvl w:ilvl="6" w:tplc="1C09000F" w:tentative="1">
      <w:start w:val="1"/>
      <w:numFmt w:val="decimal"/>
      <w:lvlText w:val="%7."/>
      <w:lvlJc w:val="left"/>
      <w:pPr>
        <w:ind w:left="6833" w:hanging="360"/>
      </w:pPr>
    </w:lvl>
    <w:lvl w:ilvl="7" w:tplc="1C090019" w:tentative="1">
      <w:start w:val="1"/>
      <w:numFmt w:val="lowerLetter"/>
      <w:lvlText w:val="%8."/>
      <w:lvlJc w:val="left"/>
      <w:pPr>
        <w:ind w:left="7553" w:hanging="360"/>
      </w:pPr>
    </w:lvl>
    <w:lvl w:ilvl="8" w:tplc="1C09001B" w:tentative="1">
      <w:start w:val="1"/>
      <w:numFmt w:val="lowerRoman"/>
      <w:lvlText w:val="%9."/>
      <w:lvlJc w:val="right"/>
      <w:pPr>
        <w:ind w:left="8273" w:hanging="180"/>
      </w:pPr>
    </w:lvl>
  </w:abstractNum>
  <w:abstractNum w:abstractNumId="1">
    <w:nsid w:val="0AB44993"/>
    <w:multiLevelType w:val="hybridMultilevel"/>
    <w:tmpl w:val="9B687830"/>
    <w:lvl w:ilvl="0" w:tplc="1C125DA2">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
    <w:nsid w:val="0D9E1882"/>
    <w:multiLevelType w:val="multilevel"/>
    <w:tmpl w:val="F5CE8D34"/>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E8766A"/>
    <w:multiLevelType w:val="hybridMultilevel"/>
    <w:tmpl w:val="74A0A720"/>
    <w:lvl w:ilvl="0" w:tplc="AD122F3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6335F32"/>
    <w:multiLevelType w:val="multilevel"/>
    <w:tmpl w:val="A134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4B1676"/>
    <w:multiLevelType w:val="multilevel"/>
    <w:tmpl w:val="BC6AD1EA"/>
    <w:lvl w:ilvl="0">
      <w:start w:val="8"/>
      <w:numFmt w:val="decimal"/>
      <w:lvlText w:val="%1."/>
      <w:lvlJc w:val="left"/>
      <w:pPr>
        <w:ind w:left="2160" w:hanging="360"/>
      </w:pPr>
      <w:rPr>
        <w:rFonts w:hint="default"/>
      </w:rPr>
    </w:lvl>
    <w:lvl w:ilvl="1">
      <w:start w:val="1"/>
      <w:numFmt w:val="decimal"/>
      <w:isLgl/>
      <w:lvlText w:val="%1.%2"/>
      <w:lvlJc w:val="left"/>
      <w:pPr>
        <w:ind w:left="2535" w:hanging="735"/>
      </w:pPr>
      <w:rPr>
        <w:rFonts w:hint="default"/>
      </w:rPr>
    </w:lvl>
    <w:lvl w:ilvl="2">
      <w:start w:val="1"/>
      <w:numFmt w:val="decimal"/>
      <w:isLgl/>
      <w:lvlText w:val="%1.%2.%3"/>
      <w:lvlJc w:val="left"/>
      <w:pPr>
        <w:ind w:left="2535" w:hanging="735"/>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6">
    <w:nsid w:val="20727589"/>
    <w:multiLevelType w:val="multilevel"/>
    <w:tmpl w:val="D7685E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BB1B0F"/>
    <w:multiLevelType w:val="multilevel"/>
    <w:tmpl w:val="AC640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4E7D90"/>
    <w:multiLevelType w:val="hybridMultilevel"/>
    <w:tmpl w:val="169014FA"/>
    <w:lvl w:ilvl="0" w:tplc="70E0DB98">
      <w:start w:val="5"/>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nsid w:val="2FF92769"/>
    <w:multiLevelType w:val="hybridMultilevel"/>
    <w:tmpl w:val="B4D0FE3A"/>
    <w:lvl w:ilvl="0" w:tplc="980697F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392F7151"/>
    <w:multiLevelType w:val="hybridMultilevel"/>
    <w:tmpl w:val="FF760542"/>
    <w:lvl w:ilvl="0" w:tplc="22BA944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5A62A6D"/>
    <w:multiLevelType w:val="multilevel"/>
    <w:tmpl w:val="81F89D8A"/>
    <w:lvl w:ilvl="0">
      <w:start w:val="2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BBC3B81"/>
    <w:multiLevelType w:val="multilevel"/>
    <w:tmpl w:val="F766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A76B74"/>
    <w:multiLevelType w:val="multilevel"/>
    <w:tmpl w:val="4448DB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AC91868"/>
    <w:multiLevelType w:val="multilevel"/>
    <w:tmpl w:val="2828E578"/>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5">
    <w:nsid w:val="65F248BC"/>
    <w:multiLevelType w:val="multilevel"/>
    <w:tmpl w:val="46A45E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617469B"/>
    <w:multiLevelType w:val="multilevel"/>
    <w:tmpl w:val="F3E2B18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726ADF"/>
    <w:multiLevelType w:val="multilevel"/>
    <w:tmpl w:val="84926122"/>
    <w:lvl w:ilvl="0">
      <w:start w:val="1"/>
      <w:numFmt w:val="decimal"/>
      <w:lvlText w:val="%1."/>
      <w:lvlJc w:val="left"/>
      <w:pPr>
        <w:ind w:left="900" w:hanging="720"/>
      </w:pPr>
      <w:rPr>
        <w:rFonts w:ascii="Arial" w:eastAsia="Arial" w:hAnsi="Arial" w:cs="Aria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nsid w:val="6DEA6A72"/>
    <w:multiLevelType w:val="multilevel"/>
    <w:tmpl w:val="D4FAFB08"/>
    <w:lvl w:ilvl="0">
      <w:start w:val="24"/>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9">
    <w:nsid w:val="742F0513"/>
    <w:multiLevelType w:val="multilevel"/>
    <w:tmpl w:val="C22C93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7"/>
  </w:num>
  <w:num w:numId="3">
    <w:abstractNumId w:val="16"/>
  </w:num>
  <w:num w:numId="4">
    <w:abstractNumId w:val="19"/>
  </w:num>
  <w:num w:numId="5">
    <w:abstractNumId w:val="6"/>
  </w:num>
  <w:num w:numId="6">
    <w:abstractNumId w:val="12"/>
  </w:num>
  <w:num w:numId="7">
    <w:abstractNumId w:val="15"/>
  </w:num>
  <w:num w:numId="8">
    <w:abstractNumId w:val="14"/>
  </w:num>
  <w:num w:numId="9">
    <w:abstractNumId w:val="9"/>
  </w:num>
  <w:num w:numId="10">
    <w:abstractNumId w:val="3"/>
  </w:num>
  <w:num w:numId="11">
    <w:abstractNumId w:val="13"/>
  </w:num>
  <w:num w:numId="12">
    <w:abstractNumId w:val="7"/>
  </w:num>
  <w:num w:numId="13">
    <w:abstractNumId w:val="10"/>
  </w:num>
  <w:num w:numId="14">
    <w:abstractNumId w:val="11"/>
  </w:num>
  <w:num w:numId="15">
    <w:abstractNumId w:val="2"/>
  </w:num>
  <w:num w:numId="16">
    <w:abstractNumId w:val="18"/>
  </w:num>
  <w:num w:numId="17">
    <w:abstractNumId w:val="8"/>
  </w:num>
  <w:num w:numId="18">
    <w:abstractNumId w:val="5"/>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B"/>
    <w:rsid w:val="00000BE7"/>
    <w:rsid w:val="000028AB"/>
    <w:rsid w:val="000033E9"/>
    <w:rsid w:val="00003AF8"/>
    <w:rsid w:val="00003C66"/>
    <w:rsid w:val="00004896"/>
    <w:rsid w:val="00006534"/>
    <w:rsid w:val="0000675E"/>
    <w:rsid w:val="00007CDD"/>
    <w:rsid w:val="00011F0B"/>
    <w:rsid w:val="00011FB3"/>
    <w:rsid w:val="00012113"/>
    <w:rsid w:val="00013738"/>
    <w:rsid w:val="00014B2C"/>
    <w:rsid w:val="00021440"/>
    <w:rsid w:val="00021B89"/>
    <w:rsid w:val="00022EB4"/>
    <w:rsid w:val="0002312E"/>
    <w:rsid w:val="000237E4"/>
    <w:rsid w:val="0002520F"/>
    <w:rsid w:val="000330D7"/>
    <w:rsid w:val="00036099"/>
    <w:rsid w:val="000412C6"/>
    <w:rsid w:val="000413FC"/>
    <w:rsid w:val="00041A4E"/>
    <w:rsid w:val="00041B9E"/>
    <w:rsid w:val="00042F61"/>
    <w:rsid w:val="00043876"/>
    <w:rsid w:val="000439E1"/>
    <w:rsid w:val="00045035"/>
    <w:rsid w:val="00045B4A"/>
    <w:rsid w:val="0005217C"/>
    <w:rsid w:val="00056C0A"/>
    <w:rsid w:val="0006109E"/>
    <w:rsid w:val="00063DD6"/>
    <w:rsid w:val="0006775C"/>
    <w:rsid w:val="000705EE"/>
    <w:rsid w:val="0007479B"/>
    <w:rsid w:val="00074EB1"/>
    <w:rsid w:val="00076581"/>
    <w:rsid w:val="0007726A"/>
    <w:rsid w:val="00080690"/>
    <w:rsid w:val="000815DD"/>
    <w:rsid w:val="000828B0"/>
    <w:rsid w:val="00082A00"/>
    <w:rsid w:val="00082F80"/>
    <w:rsid w:val="00083211"/>
    <w:rsid w:val="0008651B"/>
    <w:rsid w:val="00087881"/>
    <w:rsid w:val="00087CB8"/>
    <w:rsid w:val="00087E39"/>
    <w:rsid w:val="000928BF"/>
    <w:rsid w:val="00097A26"/>
    <w:rsid w:val="000A07B7"/>
    <w:rsid w:val="000A422E"/>
    <w:rsid w:val="000A42FD"/>
    <w:rsid w:val="000A5C04"/>
    <w:rsid w:val="000A5C60"/>
    <w:rsid w:val="000A5EF3"/>
    <w:rsid w:val="000A674B"/>
    <w:rsid w:val="000A79DC"/>
    <w:rsid w:val="000B3C96"/>
    <w:rsid w:val="000B3FF3"/>
    <w:rsid w:val="000C28BA"/>
    <w:rsid w:val="000C29DD"/>
    <w:rsid w:val="000C4EA5"/>
    <w:rsid w:val="000C56BC"/>
    <w:rsid w:val="000C680A"/>
    <w:rsid w:val="000C7D74"/>
    <w:rsid w:val="000D04E2"/>
    <w:rsid w:val="000D2381"/>
    <w:rsid w:val="000D3086"/>
    <w:rsid w:val="000D340E"/>
    <w:rsid w:val="000D4384"/>
    <w:rsid w:val="000D4DDB"/>
    <w:rsid w:val="000D5532"/>
    <w:rsid w:val="000D67B7"/>
    <w:rsid w:val="000D68A3"/>
    <w:rsid w:val="000E2D00"/>
    <w:rsid w:val="000E38CE"/>
    <w:rsid w:val="000F26EC"/>
    <w:rsid w:val="000F479A"/>
    <w:rsid w:val="000F4E86"/>
    <w:rsid w:val="000F4F1D"/>
    <w:rsid w:val="000F515C"/>
    <w:rsid w:val="000F634B"/>
    <w:rsid w:val="000F670D"/>
    <w:rsid w:val="000F6945"/>
    <w:rsid w:val="000F7363"/>
    <w:rsid w:val="000F7A58"/>
    <w:rsid w:val="000F7BE3"/>
    <w:rsid w:val="00104049"/>
    <w:rsid w:val="00104827"/>
    <w:rsid w:val="00104A7D"/>
    <w:rsid w:val="00112954"/>
    <w:rsid w:val="001142C9"/>
    <w:rsid w:val="00114414"/>
    <w:rsid w:val="00116C41"/>
    <w:rsid w:val="00122B3D"/>
    <w:rsid w:val="001305E8"/>
    <w:rsid w:val="0013601D"/>
    <w:rsid w:val="00137EA6"/>
    <w:rsid w:val="00140079"/>
    <w:rsid w:val="00144BEA"/>
    <w:rsid w:val="00146031"/>
    <w:rsid w:val="0015083E"/>
    <w:rsid w:val="0015273E"/>
    <w:rsid w:val="00154E05"/>
    <w:rsid w:val="00157666"/>
    <w:rsid w:val="0015798B"/>
    <w:rsid w:val="001603BC"/>
    <w:rsid w:val="00161DEF"/>
    <w:rsid w:val="001632AC"/>
    <w:rsid w:val="00165423"/>
    <w:rsid w:val="001658A4"/>
    <w:rsid w:val="001658AD"/>
    <w:rsid w:val="001674C5"/>
    <w:rsid w:val="00175F79"/>
    <w:rsid w:val="001773B6"/>
    <w:rsid w:val="00180269"/>
    <w:rsid w:val="001803D0"/>
    <w:rsid w:val="0018045C"/>
    <w:rsid w:val="0018112F"/>
    <w:rsid w:val="00182281"/>
    <w:rsid w:val="00184BB9"/>
    <w:rsid w:val="00187901"/>
    <w:rsid w:val="00193BFF"/>
    <w:rsid w:val="001A0971"/>
    <w:rsid w:val="001A0A2A"/>
    <w:rsid w:val="001A0EA0"/>
    <w:rsid w:val="001A4301"/>
    <w:rsid w:val="001A5186"/>
    <w:rsid w:val="001A5387"/>
    <w:rsid w:val="001A6B0A"/>
    <w:rsid w:val="001A7008"/>
    <w:rsid w:val="001A7BA1"/>
    <w:rsid w:val="001B1CE1"/>
    <w:rsid w:val="001B2F34"/>
    <w:rsid w:val="001B33DB"/>
    <w:rsid w:val="001B5CE0"/>
    <w:rsid w:val="001B60AF"/>
    <w:rsid w:val="001B64B0"/>
    <w:rsid w:val="001B70E9"/>
    <w:rsid w:val="001C0762"/>
    <w:rsid w:val="001C160A"/>
    <w:rsid w:val="001C27A4"/>
    <w:rsid w:val="001C7011"/>
    <w:rsid w:val="001C7610"/>
    <w:rsid w:val="001D1D4D"/>
    <w:rsid w:val="001D3746"/>
    <w:rsid w:val="001D4E3C"/>
    <w:rsid w:val="001D556B"/>
    <w:rsid w:val="001D613B"/>
    <w:rsid w:val="001D6D90"/>
    <w:rsid w:val="001D7C14"/>
    <w:rsid w:val="001D7C65"/>
    <w:rsid w:val="001E1598"/>
    <w:rsid w:val="001E1786"/>
    <w:rsid w:val="001E1BA2"/>
    <w:rsid w:val="001E1E3E"/>
    <w:rsid w:val="001E34DB"/>
    <w:rsid w:val="001E4EF4"/>
    <w:rsid w:val="001E57C9"/>
    <w:rsid w:val="001E6FB9"/>
    <w:rsid w:val="001F06C1"/>
    <w:rsid w:val="001F130B"/>
    <w:rsid w:val="001F21E6"/>
    <w:rsid w:val="001F416E"/>
    <w:rsid w:val="001F41A0"/>
    <w:rsid w:val="001F5FF6"/>
    <w:rsid w:val="00205D27"/>
    <w:rsid w:val="002064BC"/>
    <w:rsid w:val="002077DD"/>
    <w:rsid w:val="00210889"/>
    <w:rsid w:val="00210D34"/>
    <w:rsid w:val="002122ED"/>
    <w:rsid w:val="00213FDC"/>
    <w:rsid w:val="0021405D"/>
    <w:rsid w:val="002174B8"/>
    <w:rsid w:val="00217F8B"/>
    <w:rsid w:val="002202FE"/>
    <w:rsid w:val="00222720"/>
    <w:rsid w:val="002240C6"/>
    <w:rsid w:val="0022640F"/>
    <w:rsid w:val="00226A6A"/>
    <w:rsid w:val="00227BC7"/>
    <w:rsid w:val="00230C5F"/>
    <w:rsid w:val="00230D98"/>
    <w:rsid w:val="002357CC"/>
    <w:rsid w:val="00241193"/>
    <w:rsid w:val="00244642"/>
    <w:rsid w:val="00247999"/>
    <w:rsid w:val="0025006A"/>
    <w:rsid w:val="00250836"/>
    <w:rsid w:val="00252D94"/>
    <w:rsid w:val="00254DE8"/>
    <w:rsid w:val="002558E9"/>
    <w:rsid w:val="0025598D"/>
    <w:rsid w:val="0025627B"/>
    <w:rsid w:val="00257511"/>
    <w:rsid w:val="00257C7D"/>
    <w:rsid w:val="0026066C"/>
    <w:rsid w:val="00260F73"/>
    <w:rsid w:val="0026392E"/>
    <w:rsid w:val="00266A2A"/>
    <w:rsid w:val="002670AA"/>
    <w:rsid w:val="002674CE"/>
    <w:rsid w:val="0027157A"/>
    <w:rsid w:val="00273C69"/>
    <w:rsid w:val="002740FA"/>
    <w:rsid w:val="00284898"/>
    <w:rsid w:val="00290F30"/>
    <w:rsid w:val="0029152C"/>
    <w:rsid w:val="00291FBA"/>
    <w:rsid w:val="00292117"/>
    <w:rsid w:val="00294138"/>
    <w:rsid w:val="00294867"/>
    <w:rsid w:val="002A115B"/>
    <w:rsid w:val="002A398B"/>
    <w:rsid w:val="002A4B5A"/>
    <w:rsid w:val="002B27ED"/>
    <w:rsid w:val="002B4C6D"/>
    <w:rsid w:val="002B768C"/>
    <w:rsid w:val="002C2426"/>
    <w:rsid w:val="002C30FE"/>
    <w:rsid w:val="002C3A20"/>
    <w:rsid w:val="002C4464"/>
    <w:rsid w:val="002C5473"/>
    <w:rsid w:val="002C61A4"/>
    <w:rsid w:val="002C6383"/>
    <w:rsid w:val="002C6452"/>
    <w:rsid w:val="002D3571"/>
    <w:rsid w:val="002D4185"/>
    <w:rsid w:val="002D4722"/>
    <w:rsid w:val="002D4C49"/>
    <w:rsid w:val="002D74C3"/>
    <w:rsid w:val="002E03D8"/>
    <w:rsid w:val="002E061B"/>
    <w:rsid w:val="002E13F0"/>
    <w:rsid w:val="002E18DD"/>
    <w:rsid w:val="002E232D"/>
    <w:rsid w:val="002E63CD"/>
    <w:rsid w:val="002E7A67"/>
    <w:rsid w:val="002F05BB"/>
    <w:rsid w:val="002F09E8"/>
    <w:rsid w:val="002F5DE6"/>
    <w:rsid w:val="002F5FB3"/>
    <w:rsid w:val="002F7465"/>
    <w:rsid w:val="00301F61"/>
    <w:rsid w:val="003030D6"/>
    <w:rsid w:val="00304CA1"/>
    <w:rsid w:val="00306DE9"/>
    <w:rsid w:val="00307CC0"/>
    <w:rsid w:val="00311296"/>
    <w:rsid w:val="00312095"/>
    <w:rsid w:val="003126D3"/>
    <w:rsid w:val="00314891"/>
    <w:rsid w:val="00314FD5"/>
    <w:rsid w:val="0031516F"/>
    <w:rsid w:val="003156AB"/>
    <w:rsid w:val="00317CCE"/>
    <w:rsid w:val="00320D93"/>
    <w:rsid w:val="00321386"/>
    <w:rsid w:val="00324241"/>
    <w:rsid w:val="00324BF1"/>
    <w:rsid w:val="00325122"/>
    <w:rsid w:val="003264D8"/>
    <w:rsid w:val="003300CD"/>
    <w:rsid w:val="00332DCF"/>
    <w:rsid w:val="00335050"/>
    <w:rsid w:val="00340B98"/>
    <w:rsid w:val="003428AB"/>
    <w:rsid w:val="00345FF8"/>
    <w:rsid w:val="00346900"/>
    <w:rsid w:val="003479B2"/>
    <w:rsid w:val="003505AF"/>
    <w:rsid w:val="00350646"/>
    <w:rsid w:val="003528F2"/>
    <w:rsid w:val="003540BF"/>
    <w:rsid w:val="00354219"/>
    <w:rsid w:val="00354677"/>
    <w:rsid w:val="00355552"/>
    <w:rsid w:val="00357FD7"/>
    <w:rsid w:val="00361B9B"/>
    <w:rsid w:val="00366C7B"/>
    <w:rsid w:val="00367A95"/>
    <w:rsid w:val="00370760"/>
    <w:rsid w:val="00371872"/>
    <w:rsid w:val="0037191C"/>
    <w:rsid w:val="00372495"/>
    <w:rsid w:val="003726B2"/>
    <w:rsid w:val="00372761"/>
    <w:rsid w:val="003734B3"/>
    <w:rsid w:val="00377F5B"/>
    <w:rsid w:val="00380C4F"/>
    <w:rsid w:val="003810B9"/>
    <w:rsid w:val="00382A3C"/>
    <w:rsid w:val="00382CE6"/>
    <w:rsid w:val="00385392"/>
    <w:rsid w:val="0038597C"/>
    <w:rsid w:val="00386868"/>
    <w:rsid w:val="00387DE5"/>
    <w:rsid w:val="00390100"/>
    <w:rsid w:val="00390546"/>
    <w:rsid w:val="00391506"/>
    <w:rsid w:val="00391D6D"/>
    <w:rsid w:val="0039227B"/>
    <w:rsid w:val="00392AD7"/>
    <w:rsid w:val="00393897"/>
    <w:rsid w:val="00394E5B"/>
    <w:rsid w:val="00395370"/>
    <w:rsid w:val="00395B3F"/>
    <w:rsid w:val="003A0B18"/>
    <w:rsid w:val="003A1C9E"/>
    <w:rsid w:val="003A5C29"/>
    <w:rsid w:val="003A75E6"/>
    <w:rsid w:val="003A7BF9"/>
    <w:rsid w:val="003B15B8"/>
    <w:rsid w:val="003B3811"/>
    <w:rsid w:val="003B4A6B"/>
    <w:rsid w:val="003B4F0C"/>
    <w:rsid w:val="003B5549"/>
    <w:rsid w:val="003B7ABC"/>
    <w:rsid w:val="003C12DC"/>
    <w:rsid w:val="003C57F9"/>
    <w:rsid w:val="003C5D57"/>
    <w:rsid w:val="003C6F6C"/>
    <w:rsid w:val="003C7E62"/>
    <w:rsid w:val="003D12F6"/>
    <w:rsid w:val="003D2104"/>
    <w:rsid w:val="003D3A7A"/>
    <w:rsid w:val="003D4C9F"/>
    <w:rsid w:val="003D6BFB"/>
    <w:rsid w:val="003E03B7"/>
    <w:rsid w:val="003E06AB"/>
    <w:rsid w:val="003E1B84"/>
    <w:rsid w:val="003E1D4F"/>
    <w:rsid w:val="003E21DB"/>
    <w:rsid w:val="003E233C"/>
    <w:rsid w:val="003E3970"/>
    <w:rsid w:val="003E4F50"/>
    <w:rsid w:val="003F0C71"/>
    <w:rsid w:val="003F2D41"/>
    <w:rsid w:val="003F3250"/>
    <w:rsid w:val="003F4998"/>
    <w:rsid w:val="003F57B9"/>
    <w:rsid w:val="003F63FB"/>
    <w:rsid w:val="003F644A"/>
    <w:rsid w:val="003F79FA"/>
    <w:rsid w:val="0040091C"/>
    <w:rsid w:val="0040139B"/>
    <w:rsid w:val="00401529"/>
    <w:rsid w:val="00401F5A"/>
    <w:rsid w:val="0040458B"/>
    <w:rsid w:val="0040483D"/>
    <w:rsid w:val="00406FAE"/>
    <w:rsid w:val="00407C78"/>
    <w:rsid w:val="00411EAD"/>
    <w:rsid w:val="00415120"/>
    <w:rsid w:val="00415EE5"/>
    <w:rsid w:val="00416F6E"/>
    <w:rsid w:val="00422D1F"/>
    <w:rsid w:val="0042403A"/>
    <w:rsid w:val="00425A68"/>
    <w:rsid w:val="00426992"/>
    <w:rsid w:val="00430C5B"/>
    <w:rsid w:val="00430E7D"/>
    <w:rsid w:val="00432D44"/>
    <w:rsid w:val="00433CFC"/>
    <w:rsid w:val="0043462F"/>
    <w:rsid w:val="00434EAE"/>
    <w:rsid w:val="00434FB3"/>
    <w:rsid w:val="00437400"/>
    <w:rsid w:val="004376CD"/>
    <w:rsid w:val="0044016C"/>
    <w:rsid w:val="0044052D"/>
    <w:rsid w:val="00443419"/>
    <w:rsid w:val="004454AB"/>
    <w:rsid w:val="00446AB3"/>
    <w:rsid w:val="00447869"/>
    <w:rsid w:val="00447F35"/>
    <w:rsid w:val="004509C5"/>
    <w:rsid w:val="00453C50"/>
    <w:rsid w:val="0045699B"/>
    <w:rsid w:val="00457257"/>
    <w:rsid w:val="00457942"/>
    <w:rsid w:val="004640CD"/>
    <w:rsid w:val="00464521"/>
    <w:rsid w:val="004649FE"/>
    <w:rsid w:val="004658A5"/>
    <w:rsid w:val="00470C6A"/>
    <w:rsid w:val="0047500A"/>
    <w:rsid w:val="00476D98"/>
    <w:rsid w:val="00481C0E"/>
    <w:rsid w:val="00485A19"/>
    <w:rsid w:val="00487484"/>
    <w:rsid w:val="00491802"/>
    <w:rsid w:val="00492D24"/>
    <w:rsid w:val="004932DF"/>
    <w:rsid w:val="0049354D"/>
    <w:rsid w:val="004942F2"/>
    <w:rsid w:val="004951BC"/>
    <w:rsid w:val="00496F4D"/>
    <w:rsid w:val="00497086"/>
    <w:rsid w:val="004A1200"/>
    <w:rsid w:val="004A13B4"/>
    <w:rsid w:val="004A1CF7"/>
    <w:rsid w:val="004A34C7"/>
    <w:rsid w:val="004A50D6"/>
    <w:rsid w:val="004B302A"/>
    <w:rsid w:val="004B34B6"/>
    <w:rsid w:val="004B383E"/>
    <w:rsid w:val="004B4B67"/>
    <w:rsid w:val="004B5C7C"/>
    <w:rsid w:val="004B74A0"/>
    <w:rsid w:val="004C060F"/>
    <w:rsid w:val="004C1F39"/>
    <w:rsid w:val="004C24DB"/>
    <w:rsid w:val="004C3247"/>
    <w:rsid w:val="004C3BAF"/>
    <w:rsid w:val="004D0189"/>
    <w:rsid w:val="004D197C"/>
    <w:rsid w:val="004D33B9"/>
    <w:rsid w:val="004D402E"/>
    <w:rsid w:val="004D5605"/>
    <w:rsid w:val="004D5E2F"/>
    <w:rsid w:val="004D672F"/>
    <w:rsid w:val="004D6B9F"/>
    <w:rsid w:val="004D74CB"/>
    <w:rsid w:val="004D7BA7"/>
    <w:rsid w:val="004D7CEC"/>
    <w:rsid w:val="004E11F6"/>
    <w:rsid w:val="004E1A36"/>
    <w:rsid w:val="004E26EB"/>
    <w:rsid w:val="004E32A1"/>
    <w:rsid w:val="004E39E1"/>
    <w:rsid w:val="004E71E2"/>
    <w:rsid w:val="004E7E0F"/>
    <w:rsid w:val="004F14F9"/>
    <w:rsid w:val="004F1B4B"/>
    <w:rsid w:val="004F24BA"/>
    <w:rsid w:val="004F2936"/>
    <w:rsid w:val="004F3F4A"/>
    <w:rsid w:val="004F65B6"/>
    <w:rsid w:val="004F75F3"/>
    <w:rsid w:val="00500D6F"/>
    <w:rsid w:val="0050242C"/>
    <w:rsid w:val="0050525F"/>
    <w:rsid w:val="00510BC6"/>
    <w:rsid w:val="005122CE"/>
    <w:rsid w:val="00514575"/>
    <w:rsid w:val="00514D06"/>
    <w:rsid w:val="00515B49"/>
    <w:rsid w:val="005179A0"/>
    <w:rsid w:val="00517C9D"/>
    <w:rsid w:val="00520C7C"/>
    <w:rsid w:val="00521AD4"/>
    <w:rsid w:val="0052202B"/>
    <w:rsid w:val="005238B7"/>
    <w:rsid w:val="0052515F"/>
    <w:rsid w:val="005263E1"/>
    <w:rsid w:val="00527698"/>
    <w:rsid w:val="00530F5F"/>
    <w:rsid w:val="005330CC"/>
    <w:rsid w:val="0053330E"/>
    <w:rsid w:val="00533BF0"/>
    <w:rsid w:val="0053412C"/>
    <w:rsid w:val="00534EB6"/>
    <w:rsid w:val="00535214"/>
    <w:rsid w:val="005364A0"/>
    <w:rsid w:val="00536A29"/>
    <w:rsid w:val="00537126"/>
    <w:rsid w:val="00542AA4"/>
    <w:rsid w:val="00543F2A"/>
    <w:rsid w:val="00545036"/>
    <w:rsid w:val="005450AC"/>
    <w:rsid w:val="00546373"/>
    <w:rsid w:val="0054719A"/>
    <w:rsid w:val="00547288"/>
    <w:rsid w:val="00552F5F"/>
    <w:rsid w:val="00553787"/>
    <w:rsid w:val="00553DFD"/>
    <w:rsid w:val="00554657"/>
    <w:rsid w:val="0055535C"/>
    <w:rsid w:val="00555DAB"/>
    <w:rsid w:val="00555E59"/>
    <w:rsid w:val="00556847"/>
    <w:rsid w:val="00557587"/>
    <w:rsid w:val="00560D10"/>
    <w:rsid w:val="00562B5F"/>
    <w:rsid w:val="005639E9"/>
    <w:rsid w:val="00564B70"/>
    <w:rsid w:val="00565148"/>
    <w:rsid w:val="00565219"/>
    <w:rsid w:val="005664FC"/>
    <w:rsid w:val="0056677C"/>
    <w:rsid w:val="00566B3C"/>
    <w:rsid w:val="00566D71"/>
    <w:rsid w:val="005709B3"/>
    <w:rsid w:val="00572615"/>
    <w:rsid w:val="0057273B"/>
    <w:rsid w:val="005751A8"/>
    <w:rsid w:val="00576A00"/>
    <w:rsid w:val="00580BD9"/>
    <w:rsid w:val="0058268D"/>
    <w:rsid w:val="00582DEA"/>
    <w:rsid w:val="00585A61"/>
    <w:rsid w:val="00585C2E"/>
    <w:rsid w:val="00586762"/>
    <w:rsid w:val="00586829"/>
    <w:rsid w:val="00592854"/>
    <w:rsid w:val="00592862"/>
    <w:rsid w:val="00593A8A"/>
    <w:rsid w:val="00593CF8"/>
    <w:rsid w:val="0059571E"/>
    <w:rsid w:val="00596261"/>
    <w:rsid w:val="0059773C"/>
    <w:rsid w:val="00597A94"/>
    <w:rsid w:val="005A0BD4"/>
    <w:rsid w:val="005A4FCD"/>
    <w:rsid w:val="005B0007"/>
    <w:rsid w:val="005B0F58"/>
    <w:rsid w:val="005B109E"/>
    <w:rsid w:val="005B1FE2"/>
    <w:rsid w:val="005B2456"/>
    <w:rsid w:val="005B4820"/>
    <w:rsid w:val="005B675E"/>
    <w:rsid w:val="005B79CA"/>
    <w:rsid w:val="005C1901"/>
    <w:rsid w:val="005C1A83"/>
    <w:rsid w:val="005C433E"/>
    <w:rsid w:val="005C5D04"/>
    <w:rsid w:val="005C6358"/>
    <w:rsid w:val="005D01D2"/>
    <w:rsid w:val="005D119C"/>
    <w:rsid w:val="005D1BA8"/>
    <w:rsid w:val="005D23F0"/>
    <w:rsid w:val="005D265B"/>
    <w:rsid w:val="005D2674"/>
    <w:rsid w:val="005D29E4"/>
    <w:rsid w:val="005D53CB"/>
    <w:rsid w:val="005D6B1B"/>
    <w:rsid w:val="005D74D8"/>
    <w:rsid w:val="005E0482"/>
    <w:rsid w:val="005E0F29"/>
    <w:rsid w:val="005E197E"/>
    <w:rsid w:val="005E1E6A"/>
    <w:rsid w:val="005E2D83"/>
    <w:rsid w:val="005E46B5"/>
    <w:rsid w:val="005F1D2A"/>
    <w:rsid w:val="005F2494"/>
    <w:rsid w:val="00600B16"/>
    <w:rsid w:val="00600D2C"/>
    <w:rsid w:val="006016DE"/>
    <w:rsid w:val="00606921"/>
    <w:rsid w:val="00607214"/>
    <w:rsid w:val="006078A0"/>
    <w:rsid w:val="00610950"/>
    <w:rsid w:val="00611CE1"/>
    <w:rsid w:val="00611EFE"/>
    <w:rsid w:val="00615121"/>
    <w:rsid w:val="00615C3B"/>
    <w:rsid w:val="00617F7E"/>
    <w:rsid w:val="006203C8"/>
    <w:rsid w:val="00620E38"/>
    <w:rsid w:val="006262E5"/>
    <w:rsid w:val="00626880"/>
    <w:rsid w:val="0062737A"/>
    <w:rsid w:val="006304DB"/>
    <w:rsid w:val="0063246A"/>
    <w:rsid w:val="00632BA6"/>
    <w:rsid w:val="00634185"/>
    <w:rsid w:val="00636F32"/>
    <w:rsid w:val="00637F75"/>
    <w:rsid w:val="00640D9F"/>
    <w:rsid w:val="00642BF0"/>
    <w:rsid w:val="00643B34"/>
    <w:rsid w:val="00645BA2"/>
    <w:rsid w:val="00646260"/>
    <w:rsid w:val="0064737A"/>
    <w:rsid w:val="006545A8"/>
    <w:rsid w:val="006563C6"/>
    <w:rsid w:val="006566FD"/>
    <w:rsid w:val="0065685C"/>
    <w:rsid w:val="00657846"/>
    <w:rsid w:val="00657FC9"/>
    <w:rsid w:val="00662295"/>
    <w:rsid w:val="00663690"/>
    <w:rsid w:val="00666E18"/>
    <w:rsid w:val="006677E1"/>
    <w:rsid w:val="006739F9"/>
    <w:rsid w:val="00674B07"/>
    <w:rsid w:val="006753EA"/>
    <w:rsid w:val="00676593"/>
    <w:rsid w:val="006767C5"/>
    <w:rsid w:val="006853FC"/>
    <w:rsid w:val="0068795B"/>
    <w:rsid w:val="00687EF4"/>
    <w:rsid w:val="00693361"/>
    <w:rsid w:val="0069560F"/>
    <w:rsid w:val="006A128B"/>
    <w:rsid w:val="006A12DB"/>
    <w:rsid w:val="006A1C6F"/>
    <w:rsid w:val="006A2515"/>
    <w:rsid w:val="006A44B0"/>
    <w:rsid w:val="006A5737"/>
    <w:rsid w:val="006A595A"/>
    <w:rsid w:val="006A7DFD"/>
    <w:rsid w:val="006B0C2D"/>
    <w:rsid w:val="006B1022"/>
    <w:rsid w:val="006B275B"/>
    <w:rsid w:val="006B32B6"/>
    <w:rsid w:val="006B3F00"/>
    <w:rsid w:val="006B702C"/>
    <w:rsid w:val="006C17B8"/>
    <w:rsid w:val="006C336C"/>
    <w:rsid w:val="006C3ED3"/>
    <w:rsid w:val="006C4887"/>
    <w:rsid w:val="006C51CF"/>
    <w:rsid w:val="006E0C0F"/>
    <w:rsid w:val="006E1EA2"/>
    <w:rsid w:val="006E355A"/>
    <w:rsid w:val="006E35BC"/>
    <w:rsid w:val="006F0304"/>
    <w:rsid w:val="006F27B0"/>
    <w:rsid w:val="006F3ACC"/>
    <w:rsid w:val="006F650D"/>
    <w:rsid w:val="00700338"/>
    <w:rsid w:val="0070112A"/>
    <w:rsid w:val="00701E58"/>
    <w:rsid w:val="00703F42"/>
    <w:rsid w:val="007045C9"/>
    <w:rsid w:val="00704F49"/>
    <w:rsid w:val="00705AA2"/>
    <w:rsid w:val="0071145A"/>
    <w:rsid w:val="0071312B"/>
    <w:rsid w:val="00713990"/>
    <w:rsid w:val="00713EF9"/>
    <w:rsid w:val="0071641F"/>
    <w:rsid w:val="00717E3E"/>
    <w:rsid w:val="0072270D"/>
    <w:rsid w:val="00722C63"/>
    <w:rsid w:val="00722E79"/>
    <w:rsid w:val="007245CD"/>
    <w:rsid w:val="0072562F"/>
    <w:rsid w:val="00727944"/>
    <w:rsid w:val="00731207"/>
    <w:rsid w:val="00731896"/>
    <w:rsid w:val="0073212A"/>
    <w:rsid w:val="007330BA"/>
    <w:rsid w:val="0073531C"/>
    <w:rsid w:val="0073568A"/>
    <w:rsid w:val="007373EF"/>
    <w:rsid w:val="007410BA"/>
    <w:rsid w:val="007427EC"/>
    <w:rsid w:val="007433CE"/>
    <w:rsid w:val="007448CA"/>
    <w:rsid w:val="00744BA8"/>
    <w:rsid w:val="00745E11"/>
    <w:rsid w:val="00746060"/>
    <w:rsid w:val="00750255"/>
    <w:rsid w:val="0075081F"/>
    <w:rsid w:val="00750D12"/>
    <w:rsid w:val="00751E3A"/>
    <w:rsid w:val="00752D7E"/>
    <w:rsid w:val="00753EFE"/>
    <w:rsid w:val="00753F68"/>
    <w:rsid w:val="00754542"/>
    <w:rsid w:val="007570DF"/>
    <w:rsid w:val="007574F7"/>
    <w:rsid w:val="00757BE6"/>
    <w:rsid w:val="0076057C"/>
    <w:rsid w:val="00760F08"/>
    <w:rsid w:val="0076154D"/>
    <w:rsid w:val="007618CA"/>
    <w:rsid w:val="00761E1C"/>
    <w:rsid w:val="007641F9"/>
    <w:rsid w:val="0076437D"/>
    <w:rsid w:val="0076511D"/>
    <w:rsid w:val="00766D3E"/>
    <w:rsid w:val="00767A29"/>
    <w:rsid w:val="00770784"/>
    <w:rsid w:val="00771581"/>
    <w:rsid w:val="0077202C"/>
    <w:rsid w:val="00774297"/>
    <w:rsid w:val="00775C51"/>
    <w:rsid w:val="007771CE"/>
    <w:rsid w:val="00777299"/>
    <w:rsid w:val="0078016A"/>
    <w:rsid w:val="00780CFE"/>
    <w:rsid w:val="00783697"/>
    <w:rsid w:val="00784335"/>
    <w:rsid w:val="00784793"/>
    <w:rsid w:val="007876C7"/>
    <w:rsid w:val="00787AD3"/>
    <w:rsid w:val="00790C51"/>
    <w:rsid w:val="007916DC"/>
    <w:rsid w:val="007919C0"/>
    <w:rsid w:val="00791B24"/>
    <w:rsid w:val="00791BED"/>
    <w:rsid w:val="007922BF"/>
    <w:rsid w:val="00792A29"/>
    <w:rsid w:val="00793A8D"/>
    <w:rsid w:val="00793BCD"/>
    <w:rsid w:val="00794188"/>
    <w:rsid w:val="00794D74"/>
    <w:rsid w:val="0079510A"/>
    <w:rsid w:val="00796068"/>
    <w:rsid w:val="00797DF0"/>
    <w:rsid w:val="007A1460"/>
    <w:rsid w:val="007A31C0"/>
    <w:rsid w:val="007A3644"/>
    <w:rsid w:val="007B594B"/>
    <w:rsid w:val="007B5F23"/>
    <w:rsid w:val="007C27FA"/>
    <w:rsid w:val="007C5A82"/>
    <w:rsid w:val="007C6A4C"/>
    <w:rsid w:val="007D2CB9"/>
    <w:rsid w:val="007D2D00"/>
    <w:rsid w:val="007D6D38"/>
    <w:rsid w:val="007E25E4"/>
    <w:rsid w:val="007E360B"/>
    <w:rsid w:val="007F227C"/>
    <w:rsid w:val="007F3FA6"/>
    <w:rsid w:val="007F40DA"/>
    <w:rsid w:val="007F4E05"/>
    <w:rsid w:val="00800D58"/>
    <w:rsid w:val="008043C0"/>
    <w:rsid w:val="0080522D"/>
    <w:rsid w:val="00805ED9"/>
    <w:rsid w:val="00807AB7"/>
    <w:rsid w:val="00807CDE"/>
    <w:rsid w:val="00810B08"/>
    <w:rsid w:val="00811802"/>
    <w:rsid w:val="00812018"/>
    <w:rsid w:val="008120BD"/>
    <w:rsid w:val="008160CC"/>
    <w:rsid w:val="00816DCA"/>
    <w:rsid w:val="00820D64"/>
    <w:rsid w:val="0082202B"/>
    <w:rsid w:val="00822A28"/>
    <w:rsid w:val="0082546A"/>
    <w:rsid w:val="00830CCE"/>
    <w:rsid w:val="00837B03"/>
    <w:rsid w:val="00837B15"/>
    <w:rsid w:val="00840BD0"/>
    <w:rsid w:val="00841083"/>
    <w:rsid w:val="00846726"/>
    <w:rsid w:val="008470F3"/>
    <w:rsid w:val="00847108"/>
    <w:rsid w:val="0085065A"/>
    <w:rsid w:val="00850698"/>
    <w:rsid w:val="00850DA6"/>
    <w:rsid w:val="00850E97"/>
    <w:rsid w:val="00851654"/>
    <w:rsid w:val="00851F64"/>
    <w:rsid w:val="008533C3"/>
    <w:rsid w:val="00855B6F"/>
    <w:rsid w:val="0086040C"/>
    <w:rsid w:val="0086219C"/>
    <w:rsid w:val="00862393"/>
    <w:rsid w:val="008643F3"/>
    <w:rsid w:val="00865177"/>
    <w:rsid w:val="0086539B"/>
    <w:rsid w:val="00866BC2"/>
    <w:rsid w:val="0086731D"/>
    <w:rsid w:val="00871416"/>
    <w:rsid w:val="00872823"/>
    <w:rsid w:val="00872E24"/>
    <w:rsid w:val="00873561"/>
    <w:rsid w:val="00874D04"/>
    <w:rsid w:val="00874E12"/>
    <w:rsid w:val="00875DDB"/>
    <w:rsid w:val="008763AB"/>
    <w:rsid w:val="00877E7A"/>
    <w:rsid w:val="00877E9E"/>
    <w:rsid w:val="00881104"/>
    <w:rsid w:val="00882DA5"/>
    <w:rsid w:val="00884451"/>
    <w:rsid w:val="00886222"/>
    <w:rsid w:val="0088645A"/>
    <w:rsid w:val="008865C9"/>
    <w:rsid w:val="00887303"/>
    <w:rsid w:val="00887AA7"/>
    <w:rsid w:val="008913D4"/>
    <w:rsid w:val="00891688"/>
    <w:rsid w:val="00891A18"/>
    <w:rsid w:val="00892BD8"/>
    <w:rsid w:val="00893539"/>
    <w:rsid w:val="00894779"/>
    <w:rsid w:val="0089491F"/>
    <w:rsid w:val="008949F3"/>
    <w:rsid w:val="008973F7"/>
    <w:rsid w:val="00897732"/>
    <w:rsid w:val="008A3F44"/>
    <w:rsid w:val="008A5986"/>
    <w:rsid w:val="008A7DA9"/>
    <w:rsid w:val="008B04D6"/>
    <w:rsid w:val="008B08E8"/>
    <w:rsid w:val="008B0A7F"/>
    <w:rsid w:val="008B1434"/>
    <w:rsid w:val="008B2A8D"/>
    <w:rsid w:val="008B30BE"/>
    <w:rsid w:val="008B6BB1"/>
    <w:rsid w:val="008B7473"/>
    <w:rsid w:val="008C11AD"/>
    <w:rsid w:val="008C6DAB"/>
    <w:rsid w:val="008D1350"/>
    <w:rsid w:val="008D1B33"/>
    <w:rsid w:val="008D1C94"/>
    <w:rsid w:val="008E082C"/>
    <w:rsid w:val="008E4743"/>
    <w:rsid w:val="008E550B"/>
    <w:rsid w:val="008E65DB"/>
    <w:rsid w:val="008E7A9F"/>
    <w:rsid w:val="008F27FE"/>
    <w:rsid w:val="008F35F5"/>
    <w:rsid w:val="008F60E2"/>
    <w:rsid w:val="0090481C"/>
    <w:rsid w:val="0090662C"/>
    <w:rsid w:val="00906C0E"/>
    <w:rsid w:val="00910496"/>
    <w:rsid w:val="00911C59"/>
    <w:rsid w:val="00912115"/>
    <w:rsid w:val="009123FB"/>
    <w:rsid w:val="009148E0"/>
    <w:rsid w:val="0091574E"/>
    <w:rsid w:val="0092311C"/>
    <w:rsid w:val="00926768"/>
    <w:rsid w:val="00927428"/>
    <w:rsid w:val="00930D3F"/>
    <w:rsid w:val="0093158B"/>
    <w:rsid w:val="00933004"/>
    <w:rsid w:val="00933EC3"/>
    <w:rsid w:val="009366E0"/>
    <w:rsid w:val="00936EB4"/>
    <w:rsid w:val="009372E3"/>
    <w:rsid w:val="009379C3"/>
    <w:rsid w:val="00942238"/>
    <w:rsid w:val="00946C19"/>
    <w:rsid w:val="0095246F"/>
    <w:rsid w:val="00955488"/>
    <w:rsid w:val="00956488"/>
    <w:rsid w:val="00956AB8"/>
    <w:rsid w:val="0095771E"/>
    <w:rsid w:val="00957951"/>
    <w:rsid w:val="00961310"/>
    <w:rsid w:val="0096305F"/>
    <w:rsid w:val="0096772F"/>
    <w:rsid w:val="00970AAD"/>
    <w:rsid w:val="00972450"/>
    <w:rsid w:val="0097289E"/>
    <w:rsid w:val="009741FA"/>
    <w:rsid w:val="009764B8"/>
    <w:rsid w:val="0097742E"/>
    <w:rsid w:val="00980996"/>
    <w:rsid w:val="00983907"/>
    <w:rsid w:val="00984097"/>
    <w:rsid w:val="009841F6"/>
    <w:rsid w:val="00984F96"/>
    <w:rsid w:val="00986181"/>
    <w:rsid w:val="00991E95"/>
    <w:rsid w:val="009962EC"/>
    <w:rsid w:val="009A02B5"/>
    <w:rsid w:val="009A02D1"/>
    <w:rsid w:val="009A4039"/>
    <w:rsid w:val="009A6826"/>
    <w:rsid w:val="009B17CF"/>
    <w:rsid w:val="009B46AF"/>
    <w:rsid w:val="009B4FFC"/>
    <w:rsid w:val="009B6094"/>
    <w:rsid w:val="009B782E"/>
    <w:rsid w:val="009C0DD8"/>
    <w:rsid w:val="009C152F"/>
    <w:rsid w:val="009C2BC2"/>
    <w:rsid w:val="009C4708"/>
    <w:rsid w:val="009C4A3E"/>
    <w:rsid w:val="009D0792"/>
    <w:rsid w:val="009D0C61"/>
    <w:rsid w:val="009D0E6F"/>
    <w:rsid w:val="009D43FF"/>
    <w:rsid w:val="009D6BC6"/>
    <w:rsid w:val="009D6E5B"/>
    <w:rsid w:val="009E0CA0"/>
    <w:rsid w:val="009E2A8F"/>
    <w:rsid w:val="009E373B"/>
    <w:rsid w:val="009E3ACB"/>
    <w:rsid w:val="009E5C03"/>
    <w:rsid w:val="009F115E"/>
    <w:rsid w:val="009F2609"/>
    <w:rsid w:val="009F42B4"/>
    <w:rsid w:val="009F4EBF"/>
    <w:rsid w:val="00A000ED"/>
    <w:rsid w:val="00A012AC"/>
    <w:rsid w:val="00A0149A"/>
    <w:rsid w:val="00A034B8"/>
    <w:rsid w:val="00A04411"/>
    <w:rsid w:val="00A0530A"/>
    <w:rsid w:val="00A06F2B"/>
    <w:rsid w:val="00A07453"/>
    <w:rsid w:val="00A0766F"/>
    <w:rsid w:val="00A07D3E"/>
    <w:rsid w:val="00A1100A"/>
    <w:rsid w:val="00A14166"/>
    <w:rsid w:val="00A15160"/>
    <w:rsid w:val="00A20081"/>
    <w:rsid w:val="00A20C9C"/>
    <w:rsid w:val="00A218FA"/>
    <w:rsid w:val="00A22079"/>
    <w:rsid w:val="00A245CB"/>
    <w:rsid w:val="00A2489E"/>
    <w:rsid w:val="00A2564A"/>
    <w:rsid w:val="00A272B6"/>
    <w:rsid w:val="00A27B6F"/>
    <w:rsid w:val="00A30265"/>
    <w:rsid w:val="00A307DC"/>
    <w:rsid w:val="00A3342D"/>
    <w:rsid w:val="00A34088"/>
    <w:rsid w:val="00A340E9"/>
    <w:rsid w:val="00A37F7A"/>
    <w:rsid w:val="00A410B2"/>
    <w:rsid w:val="00A45195"/>
    <w:rsid w:val="00A45CF8"/>
    <w:rsid w:val="00A47FFB"/>
    <w:rsid w:val="00A51331"/>
    <w:rsid w:val="00A51559"/>
    <w:rsid w:val="00A5318A"/>
    <w:rsid w:val="00A55692"/>
    <w:rsid w:val="00A55D51"/>
    <w:rsid w:val="00A57F87"/>
    <w:rsid w:val="00A6018A"/>
    <w:rsid w:val="00A60BF6"/>
    <w:rsid w:val="00A64E79"/>
    <w:rsid w:val="00A70B23"/>
    <w:rsid w:val="00A71D36"/>
    <w:rsid w:val="00A72730"/>
    <w:rsid w:val="00A7404D"/>
    <w:rsid w:val="00A74D03"/>
    <w:rsid w:val="00A774F2"/>
    <w:rsid w:val="00A77C42"/>
    <w:rsid w:val="00A77ECF"/>
    <w:rsid w:val="00A807AD"/>
    <w:rsid w:val="00A82DE6"/>
    <w:rsid w:val="00A86051"/>
    <w:rsid w:val="00A92304"/>
    <w:rsid w:val="00A96143"/>
    <w:rsid w:val="00A9762C"/>
    <w:rsid w:val="00AA1EB9"/>
    <w:rsid w:val="00AA257E"/>
    <w:rsid w:val="00AB12CE"/>
    <w:rsid w:val="00AB5890"/>
    <w:rsid w:val="00AC05A1"/>
    <w:rsid w:val="00AC363D"/>
    <w:rsid w:val="00AC3D51"/>
    <w:rsid w:val="00AC42CD"/>
    <w:rsid w:val="00AD040E"/>
    <w:rsid w:val="00AD2853"/>
    <w:rsid w:val="00AD2E0D"/>
    <w:rsid w:val="00AD36AE"/>
    <w:rsid w:val="00AD3DD4"/>
    <w:rsid w:val="00AE1980"/>
    <w:rsid w:val="00AE1F88"/>
    <w:rsid w:val="00AE2B18"/>
    <w:rsid w:val="00AE2CF8"/>
    <w:rsid w:val="00AE497B"/>
    <w:rsid w:val="00AF0E3E"/>
    <w:rsid w:val="00AF25EE"/>
    <w:rsid w:val="00AF276B"/>
    <w:rsid w:val="00AF27CD"/>
    <w:rsid w:val="00AF63BF"/>
    <w:rsid w:val="00AF677B"/>
    <w:rsid w:val="00B00A90"/>
    <w:rsid w:val="00B03258"/>
    <w:rsid w:val="00B033A3"/>
    <w:rsid w:val="00B04880"/>
    <w:rsid w:val="00B04E67"/>
    <w:rsid w:val="00B076D9"/>
    <w:rsid w:val="00B07D7C"/>
    <w:rsid w:val="00B106C2"/>
    <w:rsid w:val="00B13E79"/>
    <w:rsid w:val="00B13FD7"/>
    <w:rsid w:val="00B1447E"/>
    <w:rsid w:val="00B145FD"/>
    <w:rsid w:val="00B15DC3"/>
    <w:rsid w:val="00B16F44"/>
    <w:rsid w:val="00B1720C"/>
    <w:rsid w:val="00B2033F"/>
    <w:rsid w:val="00B210FB"/>
    <w:rsid w:val="00B224FA"/>
    <w:rsid w:val="00B22677"/>
    <w:rsid w:val="00B226EE"/>
    <w:rsid w:val="00B22FBB"/>
    <w:rsid w:val="00B248E5"/>
    <w:rsid w:val="00B30134"/>
    <w:rsid w:val="00B3076B"/>
    <w:rsid w:val="00B31298"/>
    <w:rsid w:val="00B31E4B"/>
    <w:rsid w:val="00B3309C"/>
    <w:rsid w:val="00B34CA5"/>
    <w:rsid w:val="00B36B01"/>
    <w:rsid w:val="00B3738C"/>
    <w:rsid w:val="00B41839"/>
    <w:rsid w:val="00B41C3E"/>
    <w:rsid w:val="00B440BE"/>
    <w:rsid w:val="00B4439A"/>
    <w:rsid w:val="00B45104"/>
    <w:rsid w:val="00B4516B"/>
    <w:rsid w:val="00B458E0"/>
    <w:rsid w:val="00B459E5"/>
    <w:rsid w:val="00B45DD6"/>
    <w:rsid w:val="00B46E71"/>
    <w:rsid w:val="00B46F54"/>
    <w:rsid w:val="00B46F5B"/>
    <w:rsid w:val="00B47C2D"/>
    <w:rsid w:val="00B50004"/>
    <w:rsid w:val="00B5137A"/>
    <w:rsid w:val="00B513F6"/>
    <w:rsid w:val="00B5329A"/>
    <w:rsid w:val="00B53CE9"/>
    <w:rsid w:val="00B5642A"/>
    <w:rsid w:val="00B56B92"/>
    <w:rsid w:val="00B60CED"/>
    <w:rsid w:val="00B63BC9"/>
    <w:rsid w:val="00B63E34"/>
    <w:rsid w:val="00B64768"/>
    <w:rsid w:val="00B65617"/>
    <w:rsid w:val="00B66ED2"/>
    <w:rsid w:val="00B67096"/>
    <w:rsid w:val="00B7014A"/>
    <w:rsid w:val="00B71C22"/>
    <w:rsid w:val="00B720F3"/>
    <w:rsid w:val="00B72FCD"/>
    <w:rsid w:val="00B73343"/>
    <w:rsid w:val="00B73F2A"/>
    <w:rsid w:val="00B74D64"/>
    <w:rsid w:val="00B74D9C"/>
    <w:rsid w:val="00B74E84"/>
    <w:rsid w:val="00B750C1"/>
    <w:rsid w:val="00B75925"/>
    <w:rsid w:val="00B75AB0"/>
    <w:rsid w:val="00B766ED"/>
    <w:rsid w:val="00B76D43"/>
    <w:rsid w:val="00B77172"/>
    <w:rsid w:val="00B8083F"/>
    <w:rsid w:val="00B80D1B"/>
    <w:rsid w:val="00B83CE6"/>
    <w:rsid w:val="00B841B8"/>
    <w:rsid w:val="00B84344"/>
    <w:rsid w:val="00B84EED"/>
    <w:rsid w:val="00B8533E"/>
    <w:rsid w:val="00B8573A"/>
    <w:rsid w:val="00B85AAE"/>
    <w:rsid w:val="00B901AA"/>
    <w:rsid w:val="00B9046C"/>
    <w:rsid w:val="00B91830"/>
    <w:rsid w:val="00B93253"/>
    <w:rsid w:val="00B956D7"/>
    <w:rsid w:val="00BA0AA1"/>
    <w:rsid w:val="00BA1389"/>
    <w:rsid w:val="00BA14B4"/>
    <w:rsid w:val="00BA2EB7"/>
    <w:rsid w:val="00BA4429"/>
    <w:rsid w:val="00BA4E04"/>
    <w:rsid w:val="00BB39A2"/>
    <w:rsid w:val="00BB43AD"/>
    <w:rsid w:val="00BB5228"/>
    <w:rsid w:val="00BB6154"/>
    <w:rsid w:val="00BB65BA"/>
    <w:rsid w:val="00BC0F79"/>
    <w:rsid w:val="00BC1BAC"/>
    <w:rsid w:val="00BC1FB2"/>
    <w:rsid w:val="00BC2363"/>
    <w:rsid w:val="00BC2542"/>
    <w:rsid w:val="00BC2654"/>
    <w:rsid w:val="00BC3895"/>
    <w:rsid w:val="00BC3D64"/>
    <w:rsid w:val="00BC5C7C"/>
    <w:rsid w:val="00BC5F28"/>
    <w:rsid w:val="00BC5F63"/>
    <w:rsid w:val="00BC734E"/>
    <w:rsid w:val="00BD2CE9"/>
    <w:rsid w:val="00BD32B7"/>
    <w:rsid w:val="00BD45B7"/>
    <w:rsid w:val="00BD48A5"/>
    <w:rsid w:val="00BD5E93"/>
    <w:rsid w:val="00BD7B5C"/>
    <w:rsid w:val="00BE0276"/>
    <w:rsid w:val="00BE3089"/>
    <w:rsid w:val="00BE3C18"/>
    <w:rsid w:val="00BE4C11"/>
    <w:rsid w:val="00BE6B0F"/>
    <w:rsid w:val="00BE72E1"/>
    <w:rsid w:val="00BF0F0A"/>
    <w:rsid w:val="00BF43A9"/>
    <w:rsid w:val="00C009F5"/>
    <w:rsid w:val="00C01189"/>
    <w:rsid w:val="00C0120D"/>
    <w:rsid w:val="00C0209D"/>
    <w:rsid w:val="00C06D47"/>
    <w:rsid w:val="00C07A54"/>
    <w:rsid w:val="00C12C55"/>
    <w:rsid w:val="00C12E16"/>
    <w:rsid w:val="00C14BE5"/>
    <w:rsid w:val="00C17E2E"/>
    <w:rsid w:val="00C200F8"/>
    <w:rsid w:val="00C22F7B"/>
    <w:rsid w:val="00C2340D"/>
    <w:rsid w:val="00C24800"/>
    <w:rsid w:val="00C24BC2"/>
    <w:rsid w:val="00C266CD"/>
    <w:rsid w:val="00C26DAC"/>
    <w:rsid w:val="00C30E6F"/>
    <w:rsid w:val="00C30F12"/>
    <w:rsid w:val="00C31F3B"/>
    <w:rsid w:val="00C326A9"/>
    <w:rsid w:val="00C333BC"/>
    <w:rsid w:val="00C341CD"/>
    <w:rsid w:val="00C345FA"/>
    <w:rsid w:val="00C35538"/>
    <w:rsid w:val="00C35F97"/>
    <w:rsid w:val="00C364B5"/>
    <w:rsid w:val="00C3793B"/>
    <w:rsid w:val="00C407A7"/>
    <w:rsid w:val="00C41FEA"/>
    <w:rsid w:val="00C42DDD"/>
    <w:rsid w:val="00C44436"/>
    <w:rsid w:val="00C45F3F"/>
    <w:rsid w:val="00C51EA4"/>
    <w:rsid w:val="00C53D84"/>
    <w:rsid w:val="00C541A1"/>
    <w:rsid w:val="00C54352"/>
    <w:rsid w:val="00C543DB"/>
    <w:rsid w:val="00C54FB7"/>
    <w:rsid w:val="00C55E3A"/>
    <w:rsid w:val="00C6009D"/>
    <w:rsid w:val="00C61FC2"/>
    <w:rsid w:val="00C6312A"/>
    <w:rsid w:val="00C64401"/>
    <w:rsid w:val="00C65465"/>
    <w:rsid w:val="00C70135"/>
    <w:rsid w:val="00C70A9F"/>
    <w:rsid w:val="00C72591"/>
    <w:rsid w:val="00C73E7D"/>
    <w:rsid w:val="00C743A2"/>
    <w:rsid w:val="00C74BD6"/>
    <w:rsid w:val="00C77273"/>
    <w:rsid w:val="00C77C9C"/>
    <w:rsid w:val="00C81E8C"/>
    <w:rsid w:val="00C850C6"/>
    <w:rsid w:val="00C861D4"/>
    <w:rsid w:val="00C87EB9"/>
    <w:rsid w:val="00C91908"/>
    <w:rsid w:val="00C92171"/>
    <w:rsid w:val="00C9225E"/>
    <w:rsid w:val="00C9274F"/>
    <w:rsid w:val="00C9648D"/>
    <w:rsid w:val="00C973E4"/>
    <w:rsid w:val="00CA0687"/>
    <w:rsid w:val="00CA1435"/>
    <w:rsid w:val="00CA2885"/>
    <w:rsid w:val="00CA2DFB"/>
    <w:rsid w:val="00CA3649"/>
    <w:rsid w:val="00CA6D1F"/>
    <w:rsid w:val="00CA737C"/>
    <w:rsid w:val="00CB0993"/>
    <w:rsid w:val="00CB16C1"/>
    <w:rsid w:val="00CB2838"/>
    <w:rsid w:val="00CB2AC8"/>
    <w:rsid w:val="00CB4A33"/>
    <w:rsid w:val="00CB4A8E"/>
    <w:rsid w:val="00CB55A2"/>
    <w:rsid w:val="00CB5669"/>
    <w:rsid w:val="00CB643E"/>
    <w:rsid w:val="00CB6810"/>
    <w:rsid w:val="00CC1BA0"/>
    <w:rsid w:val="00CC3F13"/>
    <w:rsid w:val="00CC7B60"/>
    <w:rsid w:val="00CD181E"/>
    <w:rsid w:val="00CD4C0A"/>
    <w:rsid w:val="00CD51DB"/>
    <w:rsid w:val="00CD596F"/>
    <w:rsid w:val="00CD655E"/>
    <w:rsid w:val="00CD7246"/>
    <w:rsid w:val="00CE01B2"/>
    <w:rsid w:val="00CE0B18"/>
    <w:rsid w:val="00CE27C1"/>
    <w:rsid w:val="00CE7E21"/>
    <w:rsid w:val="00CF1561"/>
    <w:rsid w:val="00CF5CAC"/>
    <w:rsid w:val="00CF74D2"/>
    <w:rsid w:val="00D00B19"/>
    <w:rsid w:val="00D04534"/>
    <w:rsid w:val="00D05A73"/>
    <w:rsid w:val="00D05AF6"/>
    <w:rsid w:val="00D07757"/>
    <w:rsid w:val="00D1056E"/>
    <w:rsid w:val="00D13A40"/>
    <w:rsid w:val="00D2036E"/>
    <w:rsid w:val="00D22574"/>
    <w:rsid w:val="00D23955"/>
    <w:rsid w:val="00D23A31"/>
    <w:rsid w:val="00D24277"/>
    <w:rsid w:val="00D24932"/>
    <w:rsid w:val="00D25AED"/>
    <w:rsid w:val="00D34953"/>
    <w:rsid w:val="00D352C6"/>
    <w:rsid w:val="00D35FC6"/>
    <w:rsid w:val="00D36C62"/>
    <w:rsid w:val="00D3701D"/>
    <w:rsid w:val="00D37707"/>
    <w:rsid w:val="00D42545"/>
    <w:rsid w:val="00D4258B"/>
    <w:rsid w:val="00D4364F"/>
    <w:rsid w:val="00D43F2F"/>
    <w:rsid w:val="00D450A6"/>
    <w:rsid w:val="00D45989"/>
    <w:rsid w:val="00D46CA1"/>
    <w:rsid w:val="00D50659"/>
    <w:rsid w:val="00D5602F"/>
    <w:rsid w:val="00D57BD4"/>
    <w:rsid w:val="00D57FF1"/>
    <w:rsid w:val="00D62CFD"/>
    <w:rsid w:val="00D648F0"/>
    <w:rsid w:val="00D67918"/>
    <w:rsid w:val="00D67E2B"/>
    <w:rsid w:val="00D70B30"/>
    <w:rsid w:val="00D70CA5"/>
    <w:rsid w:val="00D72205"/>
    <w:rsid w:val="00D7381D"/>
    <w:rsid w:val="00D73E94"/>
    <w:rsid w:val="00D76140"/>
    <w:rsid w:val="00D7704D"/>
    <w:rsid w:val="00D775BC"/>
    <w:rsid w:val="00D80DE4"/>
    <w:rsid w:val="00D81FC9"/>
    <w:rsid w:val="00D8469E"/>
    <w:rsid w:val="00D85882"/>
    <w:rsid w:val="00D863E9"/>
    <w:rsid w:val="00D86CA6"/>
    <w:rsid w:val="00D911CF"/>
    <w:rsid w:val="00D913B8"/>
    <w:rsid w:val="00D9562D"/>
    <w:rsid w:val="00D95CD7"/>
    <w:rsid w:val="00D9778A"/>
    <w:rsid w:val="00DA0C04"/>
    <w:rsid w:val="00DA1003"/>
    <w:rsid w:val="00DA37EA"/>
    <w:rsid w:val="00DA4A06"/>
    <w:rsid w:val="00DA5BBB"/>
    <w:rsid w:val="00DA76D2"/>
    <w:rsid w:val="00DB0C92"/>
    <w:rsid w:val="00DB1B88"/>
    <w:rsid w:val="00DB1E45"/>
    <w:rsid w:val="00DB2088"/>
    <w:rsid w:val="00DB25B1"/>
    <w:rsid w:val="00DB315B"/>
    <w:rsid w:val="00DB50CC"/>
    <w:rsid w:val="00DB589C"/>
    <w:rsid w:val="00DC0610"/>
    <w:rsid w:val="00DC2CDF"/>
    <w:rsid w:val="00DC39E2"/>
    <w:rsid w:val="00DC429E"/>
    <w:rsid w:val="00DC676B"/>
    <w:rsid w:val="00DC67B0"/>
    <w:rsid w:val="00DD0BB7"/>
    <w:rsid w:val="00DD1243"/>
    <w:rsid w:val="00DD3A18"/>
    <w:rsid w:val="00DD4C1B"/>
    <w:rsid w:val="00DD7496"/>
    <w:rsid w:val="00DE0769"/>
    <w:rsid w:val="00DE2B69"/>
    <w:rsid w:val="00DE3481"/>
    <w:rsid w:val="00DE3948"/>
    <w:rsid w:val="00DE3B9D"/>
    <w:rsid w:val="00DE45F7"/>
    <w:rsid w:val="00DE584C"/>
    <w:rsid w:val="00DE7447"/>
    <w:rsid w:val="00DE7E98"/>
    <w:rsid w:val="00DF0D22"/>
    <w:rsid w:val="00DF0D95"/>
    <w:rsid w:val="00DF3639"/>
    <w:rsid w:val="00DF50D1"/>
    <w:rsid w:val="00E00352"/>
    <w:rsid w:val="00E01B6E"/>
    <w:rsid w:val="00E02686"/>
    <w:rsid w:val="00E044F1"/>
    <w:rsid w:val="00E048D7"/>
    <w:rsid w:val="00E04C9D"/>
    <w:rsid w:val="00E05077"/>
    <w:rsid w:val="00E06820"/>
    <w:rsid w:val="00E100E0"/>
    <w:rsid w:val="00E11591"/>
    <w:rsid w:val="00E2254B"/>
    <w:rsid w:val="00E24678"/>
    <w:rsid w:val="00E24BA7"/>
    <w:rsid w:val="00E254CA"/>
    <w:rsid w:val="00E26A43"/>
    <w:rsid w:val="00E3049D"/>
    <w:rsid w:val="00E313A0"/>
    <w:rsid w:val="00E321DF"/>
    <w:rsid w:val="00E32878"/>
    <w:rsid w:val="00E42D8E"/>
    <w:rsid w:val="00E42E43"/>
    <w:rsid w:val="00E42E65"/>
    <w:rsid w:val="00E444AB"/>
    <w:rsid w:val="00E44BE3"/>
    <w:rsid w:val="00E44FC7"/>
    <w:rsid w:val="00E462B4"/>
    <w:rsid w:val="00E4636C"/>
    <w:rsid w:val="00E465CF"/>
    <w:rsid w:val="00E51DDF"/>
    <w:rsid w:val="00E534B0"/>
    <w:rsid w:val="00E57E0A"/>
    <w:rsid w:val="00E60063"/>
    <w:rsid w:val="00E60643"/>
    <w:rsid w:val="00E613B4"/>
    <w:rsid w:val="00E62462"/>
    <w:rsid w:val="00E63292"/>
    <w:rsid w:val="00E640E0"/>
    <w:rsid w:val="00E65013"/>
    <w:rsid w:val="00E66910"/>
    <w:rsid w:val="00E7046D"/>
    <w:rsid w:val="00E70FA7"/>
    <w:rsid w:val="00E721AA"/>
    <w:rsid w:val="00E75EF9"/>
    <w:rsid w:val="00E75F50"/>
    <w:rsid w:val="00E77D72"/>
    <w:rsid w:val="00E82169"/>
    <w:rsid w:val="00E83634"/>
    <w:rsid w:val="00E858D6"/>
    <w:rsid w:val="00E90961"/>
    <w:rsid w:val="00E90D79"/>
    <w:rsid w:val="00E916CB"/>
    <w:rsid w:val="00E917EF"/>
    <w:rsid w:val="00E93095"/>
    <w:rsid w:val="00E931BB"/>
    <w:rsid w:val="00E9337B"/>
    <w:rsid w:val="00E939F2"/>
    <w:rsid w:val="00E95C89"/>
    <w:rsid w:val="00E95DD5"/>
    <w:rsid w:val="00EA0DDE"/>
    <w:rsid w:val="00EA271E"/>
    <w:rsid w:val="00EA3792"/>
    <w:rsid w:val="00EA3B69"/>
    <w:rsid w:val="00EA612D"/>
    <w:rsid w:val="00EA698F"/>
    <w:rsid w:val="00EA7A38"/>
    <w:rsid w:val="00EB14E8"/>
    <w:rsid w:val="00EB2B1A"/>
    <w:rsid w:val="00EB3A38"/>
    <w:rsid w:val="00EB5932"/>
    <w:rsid w:val="00EB72AA"/>
    <w:rsid w:val="00EC079F"/>
    <w:rsid w:val="00EC6001"/>
    <w:rsid w:val="00EC76AF"/>
    <w:rsid w:val="00ED00BA"/>
    <w:rsid w:val="00ED0A13"/>
    <w:rsid w:val="00ED13FE"/>
    <w:rsid w:val="00ED21FF"/>
    <w:rsid w:val="00EE0136"/>
    <w:rsid w:val="00EE3CD2"/>
    <w:rsid w:val="00EE4E36"/>
    <w:rsid w:val="00EE508B"/>
    <w:rsid w:val="00EE5434"/>
    <w:rsid w:val="00EE5A12"/>
    <w:rsid w:val="00EE5F99"/>
    <w:rsid w:val="00EE6357"/>
    <w:rsid w:val="00EF1853"/>
    <w:rsid w:val="00EF1CE4"/>
    <w:rsid w:val="00EF26D0"/>
    <w:rsid w:val="00EF3C6E"/>
    <w:rsid w:val="00EF4FB3"/>
    <w:rsid w:val="00F005BC"/>
    <w:rsid w:val="00F01DA6"/>
    <w:rsid w:val="00F0212F"/>
    <w:rsid w:val="00F067D9"/>
    <w:rsid w:val="00F11700"/>
    <w:rsid w:val="00F11A42"/>
    <w:rsid w:val="00F12685"/>
    <w:rsid w:val="00F1285C"/>
    <w:rsid w:val="00F15491"/>
    <w:rsid w:val="00F1674D"/>
    <w:rsid w:val="00F20C3A"/>
    <w:rsid w:val="00F21A6B"/>
    <w:rsid w:val="00F2281A"/>
    <w:rsid w:val="00F22A12"/>
    <w:rsid w:val="00F23F54"/>
    <w:rsid w:val="00F23FEB"/>
    <w:rsid w:val="00F25BFB"/>
    <w:rsid w:val="00F26937"/>
    <w:rsid w:val="00F27535"/>
    <w:rsid w:val="00F27EB1"/>
    <w:rsid w:val="00F3462D"/>
    <w:rsid w:val="00F35A4B"/>
    <w:rsid w:val="00F361F7"/>
    <w:rsid w:val="00F36F8A"/>
    <w:rsid w:val="00F40098"/>
    <w:rsid w:val="00F40B89"/>
    <w:rsid w:val="00F438F8"/>
    <w:rsid w:val="00F442D7"/>
    <w:rsid w:val="00F447C5"/>
    <w:rsid w:val="00F4532A"/>
    <w:rsid w:val="00F4603C"/>
    <w:rsid w:val="00F463A9"/>
    <w:rsid w:val="00F466CC"/>
    <w:rsid w:val="00F5010B"/>
    <w:rsid w:val="00F55297"/>
    <w:rsid w:val="00F55B0F"/>
    <w:rsid w:val="00F56C26"/>
    <w:rsid w:val="00F62EEF"/>
    <w:rsid w:val="00F650A5"/>
    <w:rsid w:val="00F656EF"/>
    <w:rsid w:val="00F67794"/>
    <w:rsid w:val="00F70416"/>
    <w:rsid w:val="00F71BB7"/>
    <w:rsid w:val="00F71F89"/>
    <w:rsid w:val="00F72929"/>
    <w:rsid w:val="00F737A4"/>
    <w:rsid w:val="00F745C5"/>
    <w:rsid w:val="00F75D78"/>
    <w:rsid w:val="00F763BF"/>
    <w:rsid w:val="00F76D94"/>
    <w:rsid w:val="00F77347"/>
    <w:rsid w:val="00F77AF9"/>
    <w:rsid w:val="00F828BD"/>
    <w:rsid w:val="00F84381"/>
    <w:rsid w:val="00F86C8D"/>
    <w:rsid w:val="00F92A3C"/>
    <w:rsid w:val="00F94361"/>
    <w:rsid w:val="00F95827"/>
    <w:rsid w:val="00F9761D"/>
    <w:rsid w:val="00F97B20"/>
    <w:rsid w:val="00FA01C3"/>
    <w:rsid w:val="00FA3D29"/>
    <w:rsid w:val="00FA5458"/>
    <w:rsid w:val="00FB11EE"/>
    <w:rsid w:val="00FB2E4A"/>
    <w:rsid w:val="00FB3434"/>
    <w:rsid w:val="00FB3895"/>
    <w:rsid w:val="00FB3F62"/>
    <w:rsid w:val="00FC0356"/>
    <w:rsid w:val="00FC0834"/>
    <w:rsid w:val="00FC0EA4"/>
    <w:rsid w:val="00FC1E7B"/>
    <w:rsid w:val="00FC2838"/>
    <w:rsid w:val="00FC2A4F"/>
    <w:rsid w:val="00FC41A1"/>
    <w:rsid w:val="00FC473C"/>
    <w:rsid w:val="00FC6E16"/>
    <w:rsid w:val="00FD0255"/>
    <w:rsid w:val="00FD08C8"/>
    <w:rsid w:val="00FD2051"/>
    <w:rsid w:val="00FD32A1"/>
    <w:rsid w:val="00FD424C"/>
    <w:rsid w:val="00FD4BC6"/>
    <w:rsid w:val="00FD4D52"/>
    <w:rsid w:val="00FD4E57"/>
    <w:rsid w:val="00FD5FDB"/>
    <w:rsid w:val="00FE1F95"/>
    <w:rsid w:val="00FE3CFE"/>
    <w:rsid w:val="00FE583F"/>
    <w:rsid w:val="00FF2986"/>
    <w:rsid w:val="00FF2F6E"/>
    <w:rsid w:val="00FF6E98"/>
    <w:rsid w:val="00FF7D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C4D"/>
  <w15:docId w15:val="{B22833BA-A284-4BC7-887B-ED601F6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5F1D2A"/>
    <w:pPr>
      <w:ind w:left="720"/>
      <w:contextualSpacing/>
    </w:pPr>
  </w:style>
  <w:style w:type="paragraph" w:styleId="PlainText">
    <w:name w:val="Plain Text"/>
    <w:basedOn w:val="Normal"/>
    <w:link w:val="PlainTextChar"/>
    <w:uiPriority w:val="99"/>
    <w:unhideWhenUsed/>
    <w:rsid w:val="00485A19"/>
    <w:pPr>
      <w:spacing w:after="0" w:line="240" w:lineRule="auto"/>
    </w:pPr>
    <w:rPr>
      <w:rFonts w:ascii="Courier New" w:eastAsia="Times New Roman" w:hAnsi="Courier New" w:cs="Times New Roman"/>
      <w:lang w:val="af-ZA" w:eastAsia="en-US"/>
    </w:rPr>
  </w:style>
  <w:style w:type="character" w:customStyle="1" w:styleId="PlainTextChar">
    <w:name w:val="Plain Text Char"/>
    <w:basedOn w:val="DefaultParagraphFont"/>
    <w:link w:val="PlainText"/>
    <w:uiPriority w:val="99"/>
    <w:rsid w:val="00485A19"/>
    <w:rPr>
      <w:rFonts w:ascii="Courier New" w:eastAsia="Times New Roman" w:hAnsi="Courier New" w:cs="Times New Roman"/>
      <w:lang w:val="af-ZA" w:eastAsia="en-US"/>
    </w:rPr>
  </w:style>
  <w:style w:type="paragraph" w:styleId="FootnoteText">
    <w:name w:val="footnote text"/>
    <w:basedOn w:val="Normal"/>
    <w:link w:val="FootnoteTextChar"/>
    <w:uiPriority w:val="99"/>
    <w:semiHidden/>
    <w:unhideWhenUsed/>
    <w:rsid w:val="00E462B4"/>
    <w:pPr>
      <w:spacing w:after="0" w:line="240" w:lineRule="auto"/>
    </w:pPr>
  </w:style>
  <w:style w:type="character" w:customStyle="1" w:styleId="FootnoteTextChar">
    <w:name w:val="Footnote Text Char"/>
    <w:basedOn w:val="DefaultParagraphFont"/>
    <w:link w:val="FootnoteText"/>
    <w:uiPriority w:val="99"/>
    <w:semiHidden/>
    <w:rsid w:val="00E462B4"/>
  </w:style>
  <w:style w:type="character" w:styleId="FootnoteReference">
    <w:name w:val="footnote reference"/>
    <w:basedOn w:val="DefaultParagraphFont"/>
    <w:uiPriority w:val="99"/>
    <w:semiHidden/>
    <w:unhideWhenUsed/>
    <w:rsid w:val="00E462B4"/>
    <w:rPr>
      <w:vertAlign w:val="superscript"/>
    </w:rPr>
  </w:style>
  <w:style w:type="character" w:styleId="CommentReference">
    <w:name w:val="annotation reference"/>
    <w:basedOn w:val="DefaultParagraphFont"/>
    <w:uiPriority w:val="99"/>
    <w:semiHidden/>
    <w:unhideWhenUsed/>
    <w:rsid w:val="00D7381D"/>
    <w:rPr>
      <w:sz w:val="16"/>
      <w:szCs w:val="16"/>
    </w:rPr>
  </w:style>
  <w:style w:type="paragraph" w:styleId="CommentText">
    <w:name w:val="annotation text"/>
    <w:basedOn w:val="Normal"/>
    <w:link w:val="CommentTextChar"/>
    <w:uiPriority w:val="99"/>
    <w:unhideWhenUsed/>
    <w:rsid w:val="00D7381D"/>
    <w:pPr>
      <w:spacing w:line="240" w:lineRule="auto"/>
    </w:pPr>
  </w:style>
  <w:style w:type="character" w:customStyle="1" w:styleId="CommentTextChar">
    <w:name w:val="Comment Text Char"/>
    <w:basedOn w:val="DefaultParagraphFont"/>
    <w:link w:val="CommentText"/>
    <w:uiPriority w:val="99"/>
    <w:rsid w:val="00D7381D"/>
  </w:style>
  <w:style w:type="paragraph" w:styleId="CommentSubject">
    <w:name w:val="annotation subject"/>
    <w:basedOn w:val="CommentText"/>
    <w:next w:val="CommentText"/>
    <w:link w:val="CommentSubjectChar"/>
    <w:uiPriority w:val="99"/>
    <w:semiHidden/>
    <w:unhideWhenUsed/>
    <w:rsid w:val="00D7381D"/>
    <w:rPr>
      <w:b/>
      <w:bCs/>
    </w:rPr>
  </w:style>
  <w:style w:type="character" w:customStyle="1" w:styleId="CommentSubjectChar">
    <w:name w:val="Comment Subject Char"/>
    <w:basedOn w:val="CommentTextChar"/>
    <w:link w:val="CommentSubject"/>
    <w:uiPriority w:val="99"/>
    <w:semiHidden/>
    <w:rsid w:val="00D7381D"/>
    <w:rPr>
      <w:b/>
      <w:bCs/>
    </w:rPr>
  </w:style>
  <w:style w:type="paragraph" w:styleId="BalloonText">
    <w:name w:val="Balloon Text"/>
    <w:basedOn w:val="Normal"/>
    <w:link w:val="BalloonTextChar"/>
    <w:uiPriority w:val="99"/>
    <w:semiHidden/>
    <w:unhideWhenUsed/>
    <w:rsid w:val="0038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E5"/>
    <w:rPr>
      <w:rFonts w:ascii="Segoe UI" w:hAnsi="Segoe UI" w:cs="Segoe UI"/>
      <w:sz w:val="18"/>
      <w:szCs w:val="18"/>
    </w:rPr>
  </w:style>
  <w:style w:type="paragraph" w:styleId="EndnoteText">
    <w:name w:val="endnote text"/>
    <w:basedOn w:val="Normal"/>
    <w:link w:val="EndnoteTextChar"/>
    <w:uiPriority w:val="99"/>
    <w:semiHidden/>
    <w:unhideWhenUsed/>
    <w:rsid w:val="00754542"/>
    <w:pPr>
      <w:spacing w:after="0" w:line="240" w:lineRule="auto"/>
    </w:pPr>
  </w:style>
  <w:style w:type="character" w:customStyle="1" w:styleId="EndnoteTextChar">
    <w:name w:val="Endnote Text Char"/>
    <w:basedOn w:val="DefaultParagraphFont"/>
    <w:link w:val="EndnoteText"/>
    <w:uiPriority w:val="99"/>
    <w:semiHidden/>
    <w:rsid w:val="00754542"/>
  </w:style>
  <w:style w:type="character" w:styleId="EndnoteReference">
    <w:name w:val="endnote reference"/>
    <w:basedOn w:val="DefaultParagraphFont"/>
    <w:uiPriority w:val="99"/>
    <w:semiHidden/>
    <w:unhideWhenUsed/>
    <w:rsid w:val="00754542"/>
    <w:rPr>
      <w:vertAlign w:val="superscript"/>
    </w:rPr>
  </w:style>
  <w:style w:type="character" w:styleId="Hyperlink">
    <w:name w:val="Hyperlink"/>
    <w:basedOn w:val="DefaultParagraphFont"/>
    <w:uiPriority w:val="99"/>
    <w:unhideWhenUsed/>
    <w:rsid w:val="00AE1980"/>
    <w:rPr>
      <w:color w:val="0000FF" w:themeColor="hyperlink"/>
      <w:u w:val="single"/>
    </w:rPr>
  </w:style>
  <w:style w:type="character" w:customStyle="1" w:styleId="UnresolvedMention">
    <w:name w:val="Unresolved Mention"/>
    <w:basedOn w:val="DefaultParagraphFont"/>
    <w:uiPriority w:val="99"/>
    <w:semiHidden/>
    <w:unhideWhenUsed/>
    <w:rsid w:val="00AE1980"/>
    <w:rPr>
      <w:color w:val="605E5C"/>
      <w:shd w:val="clear" w:color="auto" w:fill="E1DFDD"/>
    </w:rPr>
  </w:style>
  <w:style w:type="paragraph" w:styleId="Revision">
    <w:name w:val="Revision"/>
    <w:hidden/>
    <w:uiPriority w:val="99"/>
    <w:semiHidden/>
    <w:rsid w:val="00AF2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fraser@webberwentzel.com" TargetMode="External"/><Relationship Id="rId5" Type="http://schemas.openxmlformats.org/officeDocument/2006/relationships/webSettings" Target="webSettings.xml"/><Relationship Id="rId10" Type="http://schemas.openxmlformats.org/officeDocument/2006/relationships/hyperlink" Target="mailto:Kathryn.gawith@webberwentzel.com" TargetMode="External"/><Relationship Id="rId4" Type="http://schemas.openxmlformats.org/officeDocument/2006/relationships/settings" Target="settings.xml"/><Relationship Id="rId9" Type="http://schemas.openxmlformats.org/officeDocument/2006/relationships/hyperlink" Target="mailto:fullar@fullardmeyer.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FD27-9CB2-4DF2-A2EF-FE450D47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11014</Words>
  <Characters>62785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Judge-Luleka Flatela</dc:creator>
  <cp:lastModifiedBy>Mokone</cp:lastModifiedBy>
  <cp:revision>3</cp:revision>
  <cp:lastPrinted>2023-06-22T15:17:00Z</cp:lastPrinted>
  <dcterms:created xsi:type="dcterms:W3CDTF">2023-07-06T09:25:00Z</dcterms:created>
  <dcterms:modified xsi:type="dcterms:W3CDTF">2023-07-06T09:25:00Z</dcterms:modified>
</cp:coreProperties>
</file>