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6C" w:rsidRPr="003C0A4D" w:rsidRDefault="0080606C" w:rsidP="0080606C">
      <w:pPr>
        <w:jc w:val="center"/>
        <w:rPr>
          <w:rFonts w:ascii="Arial" w:hAnsi="Arial" w:cs="Arial"/>
          <w:b/>
          <w:sz w:val="24"/>
          <w:szCs w:val="24"/>
        </w:rPr>
      </w:pPr>
      <w:bookmarkStart w:id="0" w:name="_GoBack"/>
      <w:bookmarkEnd w:id="0"/>
      <w:r>
        <w:rPr>
          <w:rFonts w:ascii="Arial" w:hAnsi="Arial" w:cs="Arial"/>
          <w:b/>
          <w:sz w:val="24"/>
          <w:szCs w:val="24"/>
        </w:rPr>
        <w:t>(</w:t>
      </w:r>
      <w:r w:rsidRPr="003C0A4D">
        <w:rPr>
          <w:rFonts w:ascii="Arial" w:hAnsi="Arial" w:cs="Arial"/>
          <w:b/>
          <w:sz w:val="24"/>
          <w:szCs w:val="24"/>
        </w:rPr>
        <w:t>IN THE HIGH COURT OF SOUTH AFRICA</w:t>
      </w:r>
    </w:p>
    <w:p w:rsidR="0080606C" w:rsidRPr="003C0A4D" w:rsidRDefault="0080606C" w:rsidP="0080606C">
      <w:pPr>
        <w:jc w:val="center"/>
        <w:rPr>
          <w:rFonts w:ascii="Arial" w:hAnsi="Arial" w:cs="Arial"/>
          <w:b/>
          <w:sz w:val="24"/>
          <w:szCs w:val="24"/>
        </w:rPr>
      </w:pPr>
      <w:r w:rsidRPr="003C0A4D">
        <w:rPr>
          <w:rFonts w:ascii="Arial" w:hAnsi="Arial" w:cs="Arial"/>
          <w:b/>
          <w:sz w:val="24"/>
          <w:szCs w:val="24"/>
        </w:rPr>
        <w:t>(GAUTENG DIVISION, PRETORIA)</w:t>
      </w:r>
    </w:p>
    <w:p w:rsidR="0080606C" w:rsidRPr="003C0A4D" w:rsidRDefault="0080606C" w:rsidP="0080606C">
      <w:pPr>
        <w:rPr>
          <w:rFonts w:ascii="Arial" w:hAnsi="Arial" w:cs="Arial"/>
          <w:b/>
          <w:sz w:val="24"/>
          <w:szCs w:val="24"/>
        </w:rPr>
      </w:pPr>
    </w:p>
    <w:p w:rsidR="0080606C" w:rsidRPr="003C0A4D" w:rsidRDefault="0080606C" w:rsidP="0080606C">
      <w:pPr>
        <w:jc w:val="center"/>
        <w:rPr>
          <w:rFonts w:ascii="Arial" w:hAnsi="Arial" w:cs="Arial"/>
          <w:b/>
          <w:sz w:val="24"/>
          <w:szCs w:val="24"/>
        </w:rPr>
      </w:pPr>
      <w:r w:rsidRPr="003C0A4D">
        <w:rPr>
          <w:rFonts w:ascii="Arial" w:hAnsi="Arial" w:cs="Arial"/>
          <w:b/>
          <w:noProof/>
          <w:sz w:val="24"/>
          <w:szCs w:val="24"/>
          <w:lang w:val="en-US"/>
        </w:rPr>
        <mc:AlternateContent>
          <mc:Choice Requires="wpc">
            <w:drawing>
              <wp:inline distT="0" distB="0" distL="0" distR="0" wp14:anchorId="67A00739" wp14:editId="0141F372">
                <wp:extent cx="2095500" cy="161925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83820" y="0"/>
                            <a:ext cx="1723390" cy="1619250"/>
                          </a:xfrm>
                          <a:prstGeom prst="rect">
                            <a:avLst/>
                          </a:prstGeom>
                          <a:noFill/>
                          <a:ln>
                            <a:noFill/>
                          </a:ln>
                        </pic:spPr>
                      </pic:pic>
                    </wpc:wpc>
                  </a:graphicData>
                </a:graphic>
              </wp:inline>
            </w:drawing>
          </mc:Choice>
          <mc:Fallback xmlns:cx1="http://schemas.microsoft.com/office/drawing/2015/9/8/chartex" xmlns:w16se="http://schemas.microsoft.com/office/word/2015/wordml/symex" xmlns:cx="http://schemas.microsoft.com/office/drawing/2014/chartex">
            <w:pict>
              <v:group w14:anchorId="6A40B341" id="Canvas 2" o:spid="_x0000_s1026" editas="canvas" style="width:165pt;height:127.5pt;mso-position-horizontal-relative:char;mso-position-vertical-relative:line" coordsize="20955,16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955;height:16192;visibility:visible;mso-wrap-style:square">
                  <v:fill o:detectmouseclick="t"/>
                  <v:path o:connecttype="none"/>
                </v:shape>
                <v:shape id="Picture 6" o:spid="_x0000_s1028" type="#_x0000_t75" alt="Description: Description: cid:image002.jpg@01D019DE.127D2590" style="position:absolute;left:838;width:17234;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">
                  <v:imagedata r:id="rId10" r:href="rId11"/>
                </v:shape>
                <w10:anchorlock/>
              </v:group>
            </w:pict>
          </mc:Fallback>
        </mc:AlternateContent>
      </w:r>
    </w:p>
    <w:p w:rsidR="0080606C" w:rsidRPr="003C0A4D" w:rsidRDefault="0080606C" w:rsidP="0080606C">
      <w:pPr>
        <w:tabs>
          <w:tab w:val="right" w:pos="8199"/>
        </w:tabs>
        <w:spacing w:line="360" w:lineRule="auto"/>
        <w:jc w:val="right"/>
        <w:rPr>
          <w:rFonts w:ascii="Arial" w:hAnsi="Arial" w:cs="Arial"/>
          <w:b/>
          <w:sz w:val="24"/>
          <w:szCs w:val="24"/>
        </w:rPr>
      </w:pPr>
      <w:r w:rsidRPr="003C0A4D">
        <w:rPr>
          <w:rFonts w:ascii="Arial" w:hAnsi="Arial" w:cs="Arial"/>
          <w:b/>
          <w:sz w:val="24"/>
          <w:szCs w:val="24"/>
        </w:rPr>
        <w:tab/>
        <w:t xml:space="preserve">     Case number: </w:t>
      </w:r>
      <w:r>
        <w:rPr>
          <w:rFonts w:ascii="Arial" w:hAnsi="Arial" w:cs="Arial"/>
          <w:b/>
          <w:sz w:val="24"/>
          <w:szCs w:val="24"/>
        </w:rPr>
        <w:t>18374/2022</w:t>
      </w:r>
    </w:p>
    <w:p w:rsidR="0080606C" w:rsidRPr="003C0A4D" w:rsidRDefault="0080606C" w:rsidP="0080606C">
      <w:pPr>
        <w:jc w:val="center"/>
        <w:rPr>
          <w:rFonts w:ascii="Arial" w:hAnsi="Arial" w:cs="Arial"/>
          <w:b/>
          <w:sz w:val="24"/>
          <w:szCs w:val="24"/>
        </w:rPr>
      </w:pPr>
      <w:r w:rsidRPr="003C0A4D">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5A2518CE" wp14:editId="5C35801C">
                <wp:simplePos x="0" y="0"/>
                <wp:positionH relativeFrom="column">
                  <wp:posOffset>-30480</wp:posOffset>
                </wp:positionH>
                <wp:positionV relativeFrom="paragraph">
                  <wp:posOffset>76835</wp:posOffset>
                </wp:positionV>
                <wp:extent cx="3371850" cy="1394460"/>
                <wp:effectExtent l="0" t="0" r="1905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94460"/>
                        </a:xfrm>
                        <a:prstGeom prst="rect">
                          <a:avLst/>
                        </a:prstGeom>
                        <a:solidFill>
                          <a:srgbClr val="FFFFFF"/>
                        </a:solidFill>
                        <a:ln w="9525">
                          <a:solidFill>
                            <a:srgbClr val="000000"/>
                          </a:solidFill>
                          <a:miter lim="800000"/>
                          <a:headEnd/>
                          <a:tailEnd/>
                        </a:ln>
                      </wps:spPr>
                      <wps:txbx>
                        <w:txbxContent>
                          <w:p w:rsidR="00CF3A74" w:rsidRPr="006F3810" w:rsidRDefault="00CF3A74" w:rsidP="0080606C">
                            <w:pPr>
                              <w:pStyle w:val="ListParagraph"/>
                              <w:numPr>
                                <w:ilvl w:val="0"/>
                                <w:numId w:val="1"/>
                              </w:numPr>
                              <w:tabs>
                                <w:tab w:val="clear" w:pos="900"/>
                              </w:tabs>
                              <w:rPr>
                                <w:rFonts w:ascii="Century Gothic" w:hAnsi="Century Gothic"/>
                                <w:sz w:val="19"/>
                                <w:szCs w:val="19"/>
                              </w:rPr>
                            </w:pPr>
                            <w:r w:rsidRPr="006F3810">
                              <w:rPr>
                                <w:rFonts w:ascii="Century Gothic" w:hAnsi="Century Gothic"/>
                                <w:sz w:val="19"/>
                                <w:szCs w:val="19"/>
                              </w:rPr>
                              <w:t xml:space="preserve">REPORTABLE: </w:t>
                            </w:r>
                            <w:r w:rsidRPr="006F3810">
                              <w:rPr>
                                <w:rFonts w:ascii="Century Gothic" w:hAnsi="Century Gothic"/>
                                <w:b/>
                                <w:sz w:val="19"/>
                                <w:szCs w:val="19"/>
                              </w:rPr>
                              <w:t>NO</w:t>
                            </w:r>
                          </w:p>
                          <w:p w:rsidR="00CF3A74" w:rsidRPr="00DD47F2" w:rsidRDefault="00CF3A74" w:rsidP="0080606C">
                            <w:pPr>
                              <w:numPr>
                                <w:ilvl w:val="0"/>
                                <w:numId w:val="1"/>
                              </w:numPr>
                              <w:tabs>
                                <w:tab w:val="clear" w:pos="900"/>
                              </w:tabs>
                              <w:spacing w:after="0" w:line="240" w:lineRule="auto"/>
                              <w:rPr>
                                <w:rFonts w:ascii="Century Gothic" w:hAnsi="Century Gothic"/>
                                <w:sz w:val="19"/>
                                <w:szCs w:val="19"/>
                              </w:rPr>
                            </w:pPr>
                            <w:r w:rsidRPr="00DD47F2">
                              <w:rPr>
                                <w:rFonts w:ascii="Century Gothic" w:hAnsi="Century Gothic"/>
                                <w:sz w:val="19"/>
                                <w:szCs w:val="19"/>
                              </w:rPr>
                              <w:t xml:space="preserve">OF INTEREST TO OTHER JUDGES: </w:t>
                            </w:r>
                            <w:r>
                              <w:rPr>
                                <w:rFonts w:ascii="Century Gothic" w:hAnsi="Century Gothic"/>
                                <w:b/>
                                <w:sz w:val="19"/>
                                <w:szCs w:val="19"/>
                              </w:rPr>
                              <w:t>NO</w:t>
                            </w:r>
                          </w:p>
                          <w:p w:rsidR="00CF3A74" w:rsidRPr="00475182" w:rsidRDefault="00CF3A74" w:rsidP="0080606C">
                            <w:pPr>
                              <w:numPr>
                                <w:ilvl w:val="0"/>
                                <w:numId w:val="1"/>
                              </w:numPr>
                              <w:tabs>
                                <w:tab w:val="clear" w:pos="900"/>
                              </w:tabs>
                              <w:spacing w:after="0" w:line="240" w:lineRule="auto"/>
                              <w:rPr>
                                <w:rFonts w:ascii="Century Gothic" w:hAnsi="Century Gothic"/>
                                <w:sz w:val="19"/>
                                <w:szCs w:val="19"/>
                              </w:rPr>
                            </w:pPr>
                            <w:r w:rsidRPr="00DD47F2">
                              <w:rPr>
                                <w:rFonts w:ascii="Century Gothic" w:hAnsi="Century Gothic"/>
                                <w:sz w:val="19"/>
                                <w:szCs w:val="19"/>
                              </w:rPr>
                              <w:t xml:space="preserve">REVISED. </w:t>
                            </w:r>
                            <w:r w:rsidRPr="00DD47F2">
                              <w:rPr>
                                <w:rFonts w:ascii="Century Gothic" w:hAnsi="Century Gothic"/>
                                <w:b/>
                                <w:sz w:val="19"/>
                                <w:szCs w:val="19"/>
                              </w:rPr>
                              <w:t>YES</w:t>
                            </w:r>
                          </w:p>
                          <w:p w:rsidR="00CF3A74" w:rsidRPr="00DD47F2" w:rsidRDefault="00CF3A74" w:rsidP="0080606C">
                            <w:pPr>
                              <w:ind w:left="900"/>
                              <w:rPr>
                                <w:rFonts w:ascii="Century Gothic" w:hAnsi="Century Gothic"/>
                                <w:sz w:val="19"/>
                                <w:szCs w:val="19"/>
                              </w:rPr>
                            </w:pPr>
                          </w:p>
                          <w:p w:rsidR="00CF3A74" w:rsidRPr="00CC26FD" w:rsidRDefault="001A1AAF" w:rsidP="0080606C">
                            <w:pPr>
                              <w:spacing w:after="0" w:line="240" w:lineRule="auto"/>
                              <w:rPr>
                                <w:rFonts w:ascii="Century Gothic" w:hAnsi="Century Gothic"/>
                                <w:b/>
                                <w:sz w:val="19"/>
                                <w:szCs w:val="19"/>
                              </w:rPr>
                            </w:pPr>
                            <w:r>
                              <w:rPr>
                                <w:rFonts w:ascii="Century Gothic" w:hAnsi="Century Gothic"/>
                                <w:b/>
                                <w:sz w:val="19"/>
                                <w:szCs w:val="19"/>
                                <w:u w:val="single"/>
                              </w:rPr>
                              <w:t>27</w:t>
                            </w:r>
                            <w:r w:rsidR="005817AD" w:rsidRPr="003071C1">
                              <w:rPr>
                                <w:rFonts w:ascii="Century Gothic" w:hAnsi="Century Gothic"/>
                                <w:b/>
                                <w:sz w:val="19"/>
                                <w:szCs w:val="19"/>
                                <w:u w:val="single"/>
                              </w:rPr>
                              <w:t xml:space="preserve"> JUNE 2023</w:t>
                            </w:r>
                            <w:r w:rsidR="005817AD">
                              <w:rPr>
                                <w:rFonts w:ascii="Century Gothic" w:hAnsi="Century Gothic"/>
                                <w:b/>
                                <w:sz w:val="19"/>
                                <w:szCs w:val="19"/>
                              </w:rPr>
                              <w:tab/>
                            </w:r>
                            <w:r w:rsidR="005817AD">
                              <w:rPr>
                                <w:rFonts w:ascii="Century Gothic" w:hAnsi="Century Gothic"/>
                                <w:b/>
                                <w:sz w:val="19"/>
                                <w:szCs w:val="19"/>
                              </w:rPr>
                              <w:tab/>
                            </w:r>
                            <w:r w:rsidR="00CF3A74" w:rsidRPr="00DD47F2">
                              <w:rPr>
                                <w:rFonts w:ascii="Century Gothic" w:hAnsi="Century Gothic"/>
                                <w:sz w:val="19"/>
                                <w:szCs w:val="19"/>
                              </w:rPr>
                              <w:t>DATE</w:t>
                            </w:r>
                            <w:r w:rsidR="00CF3A74" w:rsidRPr="00DD47F2">
                              <w:rPr>
                                <w:rFonts w:ascii="Century Gothic" w:hAnsi="Century Gothic"/>
                                <w:sz w:val="19"/>
                                <w:szCs w:val="19"/>
                              </w:rPr>
                              <w:tab/>
                            </w:r>
                            <w:r w:rsidR="00CF3A74" w:rsidRPr="00DD47F2">
                              <w:rPr>
                                <w:rFonts w:ascii="Century Gothic" w:hAnsi="Century Gothic"/>
                                <w:sz w:val="19"/>
                                <w:szCs w:val="19"/>
                              </w:rPr>
                              <w:tab/>
                              <w:t xml:space="preserve">        </w:t>
                            </w:r>
                            <w:r w:rsidR="00CF3A74">
                              <w:rPr>
                                <w:rFonts w:ascii="Century Gothic" w:hAnsi="Century Gothic"/>
                                <w:sz w:val="19"/>
                                <w:szCs w:val="19"/>
                              </w:rPr>
                              <w:t xml:space="preserve">          </w:t>
                            </w:r>
                            <w:r w:rsidR="00CF3A74" w:rsidRPr="00DD47F2">
                              <w:rPr>
                                <w:rFonts w:ascii="Century Gothic" w:hAnsi="Century Gothic"/>
                                <w:sz w:val="19"/>
                                <w:szCs w:val="19"/>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A2518CE" id="_x0000_t202" coordsize="21600,21600" o:spt="202" path="m,l,21600r21600,l21600,xe">
                <v:stroke joinstyle="miter"/>
                <v:path gradientshapeok="t" o:connecttype="rect"/>
              </v:shapetype>
              <v:shape id="Text Box 5" o:spid="_x0000_s1026" type="#_x0000_t202" style="position:absolute;left:0;text-align:left;margin-left:-2.4pt;margin-top:6.05pt;width:265.5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">
                <v:textbox>
                  <w:txbxContent>
                    <w:p w:rsidR="00CF3A74" w:rsidRPr="006F3810" w:rsidRDefault="00CF3A74" w:rsidP="0080606C">
                      <w:pPr>
                        <w:pStyle w:val="ListParagraph"/>
                        <w:numPr>
                          <w:ilvl w:val="0"/>
                          <w:numId w:val="1"/>
                        </w:numPr>
                        <w:tabs>
                          <w:tab w:val="clear" w:pos="900"/>
                        </w:tabs>
                        <w:rPr>
                          <w:rFonts w:ascii="Century Gothic" w:hAnsi="Century Gothic"/>
                          <w:sz w:val="19"/>
                          <w:szCs w:val="19"/>
                        </w:rPr>
                      </w:pPr>
                      <w:r w:rsidRPr="006F3810">
                        <w:rPr>
                          <w:rFonts w:ascii="Century Gothic" w:hAnsi="Century Gothic"/>
                          <w:sz w:val="19"/>
                          <w:szCs w:val="19"/>
                        </w:rPr>
                        <w:t xml:space="preserve">REPORTABLE: </w:t>
                      </w:r>
                      <w:r w:rsidRPr="006F3810">
                        <w:rPr>
                          <w:rFonts w:ascii="Century Gothic" w:hAnsi="Century Gothic"/>
                          <w:b/>
                          <w:sz w:val="19"/>
                          <w:szCs w:val="19"/>
                        </w:rPr>
                        <w:t>NO</w:t>
                      </w:r>
                    </w:p>
                    <w:p w:rsidR="00CF3A74" w:rsidRPr="00DD47F2" w:rsidRDefault="00CF3A74" w:rsidP="0080606C">
                      <w:pPr>
                        <w:numPr>
                          <w:ilvl w:val="0"/>
                          <w:numId w:val="1"/>
                        </w:numPr>
                        <w:tabs>
                          <w:tab w:val="clear" w:pos="900"/>
                        </w:tabs>
                        <w:spacing w:after="0" w:line="240" w:lineRule="auto"/>
                        <w:rPr>
                          <w:rFonts w:ascii="Century Gothic" w:hAnsi="Century Gothic"/>
                          <w:sz w:val="19"/>
                          <w:szCs w:val="19"/>
                        </w:rPr>
                      </w:pPr>
                      <w:r w:rsidRPr="00DD47F2">
                        <w:rPr>
                          <w:rFonts w:ascii="Century Gothic" w:hAnsi="Century Gothic"/>
                          <w:sz w:val="19"/>
                          <w:szCs w:val="19"/>
                        </w:rPr>
                        <w:t xml:space="preserve">OF INTEREST TO OTHER JUDGES: </w:t>
                      </w:r>
                      <w:r>
                        <w:rPr>
                          <w:rFonts w:ascii="Century Gothic" w:hAnsi="Century Gothic"/>
                          <w:b/>
                          <w:sz w:val="19"/>
                          <w:szCs w:val="19"/>
                        </w:rPr>
                        <w:t>NO</w:t>
                      </w:r>
                    </w:p>
                    <w:p w:rsidR="00CF3A74" w:rsidRPr="00475182" w:rsidRDefault="00CF3A74" w:rsidP="0080606C">
                      <w:pPr>
                        <w:numPr>
                          <w:ilvl w:val="0"/>
                          <w:numId w:val="1"/>
                        </w:numPr>
                        <w:tabs>
                          <w:tab w:val="clear" w:pos="900"/>
                        </w:tabs>
                        <w:spacing w:after="0" w:line="240" w:lineRule="auto"/>
                        <w:rPr>
                          <w:rFonts w:ascii="Century Gothic" w:hAnsi="Century Gothic"/>
                          <w:sz w:val="19"/>
                          <w:szCs w:val="19"/>
                        </w:rPr>
                      </w:pPr>
                      <w:r w:rsidRPr="00DD47F2">
                        <w:rPr>
                          <w:rFonts w:ascii="Century Gothic" w:hAnsi="Century Gothic"/>
                          <w:sz w:val="19"/>
                          <w:szCs w:val="19"/>
                        </w:rPr>
                        <w:t xml:space="preserve">REVISED. </w:t>
                      </w:r>
                      <w:r w:rsidRPr="00DD47F2">
                        <w:rPr>
                          <w:rFonts w:ascii="Century Gothic" w:hAnsi="Century Gothic"/>
                          <w:b/>
                          <w:sz w:val="19"/>
                          <w:szCs w:val="19"/>
                        </w:rPr>
                        <w:t>YES</w:t>
                      </w:r>
                    </w:p>
                    <w:p w:rsidR="00CF3A74" w:rsidRPr="00DD47F2" w:rsidRDefault="00CF3A74" w:rsidP="0080606C">
                      <w:pPr>
                        <w:ind w:left="900"/>
                        <w:rPr>
                          <w:rFonts w:ascii="Century Gothic" w:hAnsi="Century Gothic"/>
                          <w:sz w:val="19"/>
                          <w:szCs w:val="19"/>
                        </w:rPr>
                      </w:pPr>
                    </w:p>
                    <w:p w:rsidR="00CF3A74" w:rsidRPr="00CC26FD" w:rsidRDefault="001A1AAF" w:rsidP="0080606C">
                      <w:pPr>
                        <w:spacing w:after="0" w:line="240" w:lineRule="auto"/>
                        <w:rPr>
                          <w:rFonts w:ascii="Century Gothic" w:hAnsi="Century Gothic"/>
                          <w:b/>
                          <w:sz w:val="19"/>
                          <w:szCs w:val="19"/>
                        </w:rPr>
                      </w:pPr>
                      <w:r>
                        <w:rPr>
                          <w:rFonts w:ascii="Century Gothic" w:hAnsi="Century Gothic"/>
                          <w:b/>
                          <w:sz w:val="19"/>
                          <w:szCs w:val="19"/>
                          <w:u w:val="single"/>
                        </w:rPr>
                        <w:t>27</w:t>
                      </w:r>
                      <w:r w:rsidR="005817AD" w:rsidRPr="003071C1">
                        <w:rPr>
                          <w:rFonts w:ascii="Century Gothic" w:hAnsi="Century Gothic"/>
                          <w:b/>
                          <w:sz w:val="19"/>
                          <w:szCs w:val="19"/>
                          <w:u w:val="single"/>
                        </w:rPr>
                        <w:t xml:space="preserve"> JUNE 2023</w:t>
                      </w:r>
                      <w:r w:rsidR="005817AD">
                        <w:rPr>
                          <w:rFonts w:ascii="Century Gothic" w:hAnsi="Century Gothic"/>
                          <w:b/>
                          <w:sz w:val="19"/>
                          <w:szCs w:val="19"/>
                        </w:rPr>
                        <w:tab/>
                      </w:r>
                      <w:r w:rsidR="005817AD">
                        <w:rPr>
                          <w:rFonts w:ascii="Century Gothic" w:hAnsi="Century Gothic"/>
                          <w:b/>
                          <w:sz w:val="19"/>
                          <w:szCs w:val="19"/>
                        </w:rPr>
                        <w:tab/>
                      </w:r>
                      <w:r w:rsidR="00CF3A74" w:rsidRPr="00DD47F2">
                        <w:rPr>
                          <w:rFonts w:ascii="Century Gothic" w:hAnsi="Century Gothic"/>
                          <w:sz w:val="19"/>
                          <w:szCs w:val="19"/>
                        </w:rPr>
                        <w:t>DATE</w:t>
                      </w:r>
                      <w:r w:rsidR="00CF3A74" w:rsidRPr="00DD47F2">
                        <w:rPr>
                          <w:rFonts w:ascii="Century Gothic" w:hAnsi="Century Gothic"/>
                          <w:sz w:val="19"/>
                          <w:szCs w:val="19"/>
                        </w:rPr>
                        <w:tab/>
                      </w:r>
                      <w:r w:rsidR="00CF3A74" w:rsidRPr="00DD47F2">
                        <w:rPr>
                          <w:rFonts w:ascii="Century Gothic" w:hAnsi="Century Gothic"/>
                          <w:sz w:val="19"/>
                          <w:szCs w:val="19"/>
                        </w:rPr>
                        <w:tab/>
                        <w:t xml:space="preserve">        </w:t>
                      </w:r>
                      <w:r w:rsidR="00CF3A74">
                        <w:rPr>
                          <w:rFonts w:ascii="Century Gothic" w:hAnsi="Century Gothic"/>
                          <w:sz w:val="19"/>
                          <w:szCs w:val="19"/>
                        </w:rPr>
                        <w:t xml:space="preserve">          </w:t>
                      </w:r>
                      <w:r w:rsidR="00CF3A74" w:rsidRPr="00DD47F2">
                        <w:rPr>
                          <w:rFonts w:ascii="Century Gothic" w:hAnsi="Century Gothic"/>
                          <w:sz w:val="19"/>
                          <w:szCs w:val="19"/>
                        </w:rPr>
                        <w:t>SIGNATURE</w:t>
                      </w:r>
                    </w:p>
                  </w:txbxContent>
                </v:textbox>
              </v:shape>
            </w:pict>
          </mc:Fallback>
        </mc:AlternateContent>
      </w:r>
    </w:p>
    <w:p w:rsidR="0080606C" w:rsidRPr="003C0A4D" w:rsidRDefault="0080606C" w:rsidP="0080606C">
      <w:pPr>
        <w:tabs>
          <w:tab w:val="right" w:pos="8199"/>
        </w:tabs>
        <w:spacing w:line="360" w:lineRule="auto"/>
        <w:rPr>
          <w:rFonts w:ascii="Arial" w:hAnsi="Arial" w:cs="Arial"/>
          <w:sz w:val="24"/>
          <w:szCs w:val="24"/>
        </w:rPr>
      </w:pPr>
      <w:r w:rsidRPr="003C0A4D">
        <w:rPr>
          <w:rFonts w:ascii="Arial" w:hAnsi="Arial" w:cs="Arial"/>
          <w:b/>
          <w:sz w:val="24"/>
          <w:szCs w:val="24"/>
        </w:rPr>
        <w:tab/>
      </w:r>
      <w:r w:rsidRPr="003C0A4D">
        <w:rPr>
          <w:rFonts w:ascii="Arial" w:hAnsi="Arial" w:cs="Arial"/>
          <w:b/>
          <w:sz w:val="24"/>
          <w:szCs w:val="24"/>
        </w:rPr>
        <w:tab/>
      </w:r>
      <w:r w:rsidRPr="003C0A4D">
        <w:rPr>
          <w:rFonts w:ascii="Arial" w:hAnsi="Arial" w:cs="Arial"/>
          <w:b/>
          <w:sz w:val="24"/>
          <w:szCs w:val="24"/>
        </w:rPr>
        <w:tab/>
      </w:r>
      <w:r w:rsidRPr="003C0A4D">
        <w:rPr>
          <w:rFonts w:ascii="Arial" w:hAnsi="Arial" w:cs="Arial"/>
          <w:b/>
          <w:sz w:val="24"/>
          <w:szCs w:val="24"/>
        </w:rPr>
        <w:tab/>
      </w:r>
      <w:r w:rsidRPr="003C0A4D">
        <w:rPr>
          <w:rFonts w:ascii="Arial" w:hAnsi="Arial" w:cs="Arial"/>
          <w:b/>
          <w:sz w:val="24"/>
          <w:szCs w:val="24"/>
        </w:rPr>
        <w:tab/>
      </w:r>
    </w:p>
    <w:p w:rsidR="0080606C" w:rsidRPr="003C0A4D" w:rsidRDefault="0080606C" w:rsidP="0080606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sz w:val="24"/>
          <w:szCs w:val="24"/>
        </w:rPr>
      </w:pPr>
    </w:p>
    <w:p w:rsidR="0080606C" w:rsidRDefault="0080606C" w:rsidP="0080606C">
      <w:pPr>
        <w:spacing w:line="360" w:lineRule="auto"/>
        <w:rPr>
          <w:rFonts w:ascii="Arial" w:eastAsia="Calibri" w:hAnsi="Arial" w:cs="Arial"/>
          <w:sz w:val="24"/>
          <w:szCs w:val="24"/>
          <w:lang w:val="en-GB"/>
        </w:rPr>
      </w:pPr>
    </w:p>
    <w:p w:rsidR="0080606C" w:rsidRPr="00D03900" w:rsidRDefault="0080606C" w:rsidP="0080606C">
      <w:pPr>
        <w:spacing w:line="360" w:lineRule="auto"/>
        <w:rPr>
          <w:rFonts w:ascii="Arial" w:eastAsia="Calibri" w:hAnsi="Arial" w:cs="Arial"/>
          <w:sz w:val="24"/>
          <w:szCs w:val="24"/>
          <w:lang w:val="en-GB"/>
        </w:rPr>
      </w:pPr>
      <w:r w:rsidRPr="00D03900">
        <w:rPr>
          <w:rFonts w:ascii="Arial" w:eastAsia="Calibri" w:hAnsi="Arial" w:cs="Arial"/>
          <w:sz w:val="24"/>
          <w:szCs w:val="24"/>
          <w:lang w:val="en-GB"/>
        </w:rPr>
        <w:t>In the matter between:</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49"/>
        <w:gridCol w:w="3061"/>
      </w:tblGrid>
      <w:tr w:rsidR="0080606C" w:rsidRPr="004729A3" w:rsidTr="00CF3A74">
        <w:tc>
          <w:tcPr>
            <w:tcW w:w="5949" w:type="dxa"/>
            <w:hideMark/>
          </w:tcPr>
          <w:p w:rsidR="0080606C" w:rsidRPr="004729A3" w:rsidRDefault="0080606C" w:rsidP="00CF3A74">
            <w:pPr>
              <w:spacing w:line="360" w:lineRule="auto"/>
              <w:ind w:left="-108"/>
              <w:rPr>
                <w:rFonts w:ascii="Arial" w:hAnsi="Arial" w:cs="Arial"/>
                <w:b/>
              </w:rPr>
            </w:pPr>
            <w:r>
              <w:rPr>
                <w:rFonts w:ascii="Arial" w:hAnsi="Arial" w:cs="Arial"/>
                <w:b/>
              </w:rPr>
              <w:t>LOMASTEP (PTY) LTD</w:t>
            </w:r>
          </w:p>
        </w:tc>
        <w:tc>
          <w:tcPr>
            <w:tcW w:w="3061" w:type="dxa"/>
            <w:hideMark/>
          </w:tcPr>
          <w:p w:rsidR="0080606C" w:rsidRPr="004729A3" w:rsidRDefault="0080606C" w:rsidP="007A6E7B">
            <w:pPr>
              <w:spacing w:line="360" w:lineRule="auto"/>
              <w:jc w:val="right"/>
              <w:rPr>
                <w:rFonts w:ascii="Arial" w:hAnsi="Arial" w:cs="Arial"/>
              </w:rPr>
            </w:pPr>
            <w:r>
              <w:rPr>
                <w:rFonts w:ascii="Arial" w:hAnsi="Arial" w:cs="Arial"/>
              </w:rPr>
              <w:t>Plaint</w:t>
            </w:r>
            <w:r w:rsidR="007A6E7B">
              <w:rPr>
                <w:rFonts w:ascii="Arial" w:hAnsi="Arial" w:cs="Arial"/>
              </w:rPr>
              <w:t>i</w:t>
            </w:r>
            <w:r>
              <w:rPr>
                <w:rFonts w:ascii="Arial" w:hAnsi="Arial" w:cs="Arial"/>
              </w:rPr>
              <w:t>ff/Respondent</w:t>
            </w:r>
          </w:p>
        </w:tc>
      </w:tr>
    </w:tbl>
    <w:p w:rsidR="0080606C" w:rsidRPr="00D03900" w:rsidRDefault="0080606C" w:rsidP="0080606C">
      <w:pPr>
        <w:tabs>
          <w:tab w:val="left" w:pos="3375"/>
          <w:tab w:val="left" w:pos="4917"/>
        </w:tabs>
        <w:spacing w:before="120" w:after="120" w:line="360" w:lineRule="auto"/>
        <w:rPr>
          <w:rFonts w:ascii="Arial" w:eastAsia="Times New Roman" w:hAnsi="Arial" w:cs="Arial"/>
          <w:b/>
          <w:sz w:val="24"/>
          <w:szCs w:val="24"/>
          <w:lang w:val="en-GB"/>
        </w:rPr>
      </w:pPr>
      <w:r w:rsidRPr="00D03900">
        <w:rPr>
          <w:rFonts w:ascii="Arial" w:hAnsi="Arial" w:cs="Arial"/>
          <w:b/>
          <w:sz w:val="24"/>
          <w:szCs w:val="24"/>
        </w:rPr>
        <w:tab/>
      </w:r>
      <w:r w:rsidRPr="00D03900">
        <w:rPr>
          <w:rFonts w:ascii="Arial" w:hAnsi="Arial" w:cs="Arial"/>
          <w:b/>
          <w:sz w:val="24"/>
          <w:szCs w:val="24"/>
        </w:rPr>
        <w:tab/>
        <w:t xml:space="preserve">                       </w:t>
      </w:r>
    </w:p>
    <w:p w:rsidR="0080606C" w:rsidRPr="00D03900" w:rsidRDefault="0080606C" w:rsidP="0080606C">
      <w:pPr>
        <w:tabs>
          <w:tab w:val="left" w:pos="4917"/>
        </w:tabs>
        <w:spacing w:before="120" w:after="120" w:line="360" w:lineRule="auto"/>
        <w:rPr>
          <w:rFonts w:ascii="Arial" w:hAnsi="Arial" w:cs="Arial"/>
          <w:sz w:val="24"/>
          <w:szCs w:val="24"/>
        </w:rPr>
      </w:pPr>
      <w:r w:rsidRPr="00D03900">
        <w:rPr>
          <w:rFonts w:ascii="Arial" w:hAnsi="Arial" w:cs="Arial"/>
          <w:sz w:val="24"/>
          <w:szCs w:val="24"/>
        </w:rPr>
        <w:t>and</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49"/>
        <w:gridCol w:w="3407"/>
      </w:tblGrid>
      <w:tr w:rsidR="0080606C" w:rsidRPr="004729A3" w:rsidTr="007A6E7B">
        <w:tc>
          <w:tcPr>
            <w:tcW w:w="5949" w:type="dxa"/>
            <w:hideMark/>
          </w:tcPr>
          <w:p w:rsidR="007A6E7B" w:rsidRDefault="007A6E7B" w:rsidP="007A6E7B">
            <w:pPr>
              <w:tabs>
                <w:tab w:val="left" w:pos="4917"/>
              </w:tabs>
              <w:spacing w:before="120" w:after="120" w:line="360" w:lineRule="auto"/>
              <w:ind w:hanging="108"/>
              <w:rPr>
                <w:rFonts w:ascii="Arial" w:hAnsi="Arial" w:cs="Arial"/>
                <w:b/>
              </w:rPr>
            </w:pPr>
            <w:r>
              <w:rPr>
                <w:rFonts w:ascii="Arial" w:hAnsi="Arial" w:cs="Arial"/>
                <w:b/>
              </w:rPr>
              <w:t>CARLOS ALBERTO PEREIRA</w:t>
            </w:r>
            <w:r w:rsidR="0080606C">
              <w:rPr>
                <w:rFonts w:ascii="Arial" w:hAnsi="Arial" w:cs="Arial"/>
                <w:b/>
              </w:rPr>
              <w:t xml:space="preserve"> GALEGO </w:t>
            </w:r>
          </w:p>
          <w:p w:rsidR="0080606C" w:rsidRDefault="007A6E7B" w:rsidP="007A6E7B">
            <w:pPr>
              <w:tabs>
                <w:tab w:val="left" w:pos="4917"/>
              </w:tabs>
              <w:spacing w:before="120" w:after="120" w:line="360" w:lineRule="auto"/>
              <w:ind w:hanging="108"/>
              <w:rPr>
                <w:rFonts w:ascii="Arial" w:hAnsi="Arial" w:cs="Arial"/>
                <w:b/>
              </w:rPr>
            </w:pPr>
            <w:r>
              <w:rPr>
                <w:rFonts w:ascii="Arial" w:hAnsi="Arial" w:cs="Arial"/>
                <w:b/>
              </w:rPr>
              <w:t>MANUEL ANTONION DA FONSCECA VASCONCELOS DA MOTA</w:t>
            </w:r>
          </w:p>
          <w:p w:rsidR="007A6E7B" w:rsidRDefault="007A6E7B" w:rsidP="0080606C">
            <w:pPr>
              <w:tabs>
                <w:tab w:val="left" w:pos="4917"/>
              </w:tabs>
              <w:spacing w:before="120" w:after="120" w:line="360" w:lineRule="auto"/>
              <w:ind w:hanging="108"/>
              <w:rPr>
                <w:rFonts w:ascii="Arial" w:hAnsi="Arial" w:cs="Arial"/>
                <w:b/>
              </w:rPr>
            </w:pPr>
            <w:r>
              <w:rPr>
                <w:rFonts w:ascii="Arial" w:hAnsi="Arial" w:cs="Arial"/>
                <w:b/>
              </w:rPr>
              <w:t>NUNO MIGUEL DE SOUSA ALEXANDRE</w:t>
            </w:r>
          </w:p>
          <w:p w:rsidR="007A6E7B" w:rsidRDefault="007A6E7B" w:rsidP="0080606C">
            <w:pPr>
              <w:tabs>
                <w:tab w:val="left" w:pos="4917"/>
              </w:tabs>
              <w:spacing w:before="120" w:after="120" w:line="360" w:lineRule="auto"/>
              <w:ind w:hanging="108"/>
              <w:rPr>
                <w:rFonts w:ascii="Arial" w:hAnsi="Arial" w:cs="Arial"/>
                <w:b/>
              </w:rPr>
            </w:pPr>
            <w:r>
              <w:rPr>
                <w:rFonts w:ascii="Arial" w:hAnsi="Arial" w:cs="Arial"/>
                <w:b/>
              </w:rPr>
              <w:t>CARLOS ALBERTO GRILO PASCOAL</w:t>
            </w:r>
          </w:p>
          <w:p w:rsidR="007A6E7B" w:rsidRDefault="007A6E7B" w:rsidP="0080606C">
            <w:pPr>
              <w:tabs>
                <w:tab w:val="left" w:pos="4917"/>
              </w:tabs>
              <w:spacing w:before="120" w:after="120" w:line="360" w:lineRule="auto"/>
              <w:ind w:hanging="108"/>
              <w:rPr>
                <w:rFonts w:ascii="Arial" w:hAnsi="Arial" w:cs="Arial"/>
                <w:b/>
              </w:rPr>
            </w:pPr>
            <w:r>
              <w:rPr>
                <w:rFonts w:ascii="Arial" w:hAnsi="Arial" w:cs="Arial"/>
                <w:b/>
              </w:rPr>
              <w:t>TEMBALIKAYISE JOHN LUPEPE</w:t>
            </w:r>
          </w:p>
          <w:p w:rsidR="007A6E7B" w:rsidRDefault="007A6E7B" w:rsidP="0080606C">
            <w:pPr>
              <w:tabs>
                <w:tab w:val="left" w:pos="4917"/>
              </w:tabs>
              <w:spacing w:before="120" w:after="120" w:line="360" w:lineRule="auto"/>
              <w:ind w:hanging="108"/>
              <w:rPr>
                <w:rFonts w:ascii="Arial" w:hAnsi="Arial" w:cs="Arial"/>
                <w:b/>
              </w:rPr>
            </w:pPr>
            <w:r>
              <w:rPr>
                <w:rFonts w:ascii="Arial" w:hAnsi="Arial" w:cs="Arial"/>
                <w:b/>
              </w:rPr>
              <w:lastRenderedPageBreak/>
              <w:t>MHANSI MALABA</w:t>
            </w:r>
          </w:p>
          <w:p w:rsidR="007A6E7B" w:rsidRDefault="007A6E7B" w:rsidP="0080606C">
            <w:pPr>
              <w:tabs>
                <w:tab w:val="left" w:pos="4917"/>
              </w:tabs>
              <w:spacing w:before="120" w:after="120" w:line="360" w:lineRule="auto"/>
              <w:ind w:hanging="108"/>
              <w:rPr>
                <w:rFonts w:ascii="Arial" w:hAnsi="Arial" w:cs="Arial"/>
                <w:b/>
              </w:rPr>
            </w:pPr>
            <w:r>
              <w:rPr>
                <w:rFonts w:ascii="Arial" w:hAnsi="Arial" w:cs="Arial"/>
                <w:b/>
              </w:rPr>
              <w:t>CARMEN KHETIWE NONDUMISO MCCLAIN</w:t>
            </w:r>
          </w:p>
          <w:p w:rsidR="007A6E7B" w:rsidRDefault="007A6E7B" w:rsidP="0080606C">
            <w:pPr>
              <w:tabs>
                <w:tab w:val="left" w:pos="4917"/>
              </w:tabs>
              <w:spacing w:before="120" w:after="120" w:line="360" w:lineRule="auto"/>
              <w:ind w:hanging="108"/>
              <w:rPr>
                <w:rFonts w:ascii="Arial" w:hAnsi="Arial" w:cs="Arial"/>
                <w:b/>
              </w:rPr>
            </w:pPr>
            <w:r>
              <w:rPr>
                <w:rFonts w:ascii="Arial" w:hAnsi="Arial" w:cs="Arial"/>
                <w:b/>
              </w:rPr>
              <w:t>NOLOYISO LULAMA MHLONGO</w:t>
            </w:r>
          </w:p>
          <w:p w:rsidR="007A6E7B" w:rsidRDefault="007A6E7B" w:rsidP="0080606C">
            <w:pPr>
              <w:tabs>
                <w:tab w:val="left" w:pos="4917"/>
              </w:tabs>
              <w:spacing w:before="120" w:after="120" w:line="360" w:lineRule="auto"/>
              <w:ind w:hanging="108"/>
              <w:rPr>
                <w:rFonts w:ascii="Arial" w:hAnsi="Arial" w:cs="Arial"/>
                <w:b/>
              </w:rPr>
            </w:pPr>
            <w:r>
              <w:rPr>
                <w:rFonts w:ascii="Arial" w:hAnsi="Arial" w:cs="Arial"/>
                <w:b/>
              </w:rPr>
              <w:t>PEDRO MIGUEL PEREIRA GONCALVES</w:t>
            </w:r>
          </w:p>
          <w:p w:rsidR="007A6E7B" w:rsidRPr="004729A3" w:rsidRDefault="007A6E7B" w:rsidP="00D77BEF">
            <w:pPr>
              <w:tabs>
                <w:tab w:val="left" w:pos="4917"/>
              </w:tabs>
              <w:spacing w:before="120" w:after="120" w:line="360" w:lineRule="auto"/>
              <w:rPr>
                <w:rFonts w:ascii="Arial" w:hAnsi="Arial" w:cs="Arial"/>
                <w:b/>
              </w:rPr>
            </w:pPr>
          </w:p>
        </w:tc>
        <w:tc>
          <w:tcPr>
            <w:tcW w:w="3407" w:type="dxa"/>
            <w:hideMark/>
          </w:tcPr>
          <w:p w:rsidR="007A6E7B" w:rsidRDefault="007A6E7B" w:rsidP="007A6E7B">
            <w:pPr>
              <w:tabs>
                <w:tab w:val="left" w:pos="4917"/>
              </w:tabs>
              <w:spacing w:before="120" w:after="120" w:line="360" w:lineRule="auto"/>
              <w:rPr>
                <w:rFonts w:ascii="Arial" w:hAnsi="Arial" w:cs="Arial"/>
              </w:rPr>
            </w:pPr>
            <w:r>
              <w:rPr>
                <w:rFonts w:ascii="Arial" w:hAnsi="Arial" w:cs="Arial"/>
              </w:rPr>
              <w:lastRenderedPageBreak/>
              <w:t xml:space="preserve">First Defendant/ </w:t>
            </w:r>
            <w:r w:rsidR="0080606C">
              <w:rPr>
                <w:rFonts w:ascii="Arial" w:hAnsi="Arial" w:cs="Arial"/>
              </w:rPr>
              <w:t xml:space="preserve">Excipient      </w:t>
            </w:r>
          </w:p>
          <w:p w:rsidR="0080606C" w:rsidRDefault="0080606C" w:rsidP="007A6E7B">
            <w:pPr>
              <w:tabs>
                <w:tab w:val="left" w:pos="4917"/>
              </w:tabs>
              <w:spacing w:before="120" w:after="120" w:line="360" w:lineRule="auto"/>
              <w:rPr>
                <w:rFonts w:ascii="Arial" w:hAnsi="Arial" w:cs="Arial"/>
              </w:rPr>
            </w:pPr>
            <w:r>
              <w:rPr>
                <w:rFonts w:ascii="Arial" w:hAnsi="Arial" w:cs="Arial"/>
              </w:rPr>
              <w:t xml:space="preserve">Second </w:t>
            </w:r>
            <w:r w:rsidR="007A6E7B">
              <w:rPr>
                <w:rFonts w:ascii="Arial" w:hAnsi="Arial" w:cs="Arial"/>
              </w:rPr>
              <w:t>Defendant/ Excipient</w:t>
            </w:r>
          </w:p>
          <w:p w:rsidR="007A6E7B" w:rsidRDefault="007A6E7B" w:rsidP="007A6E7B">
            <w:pPr>
              <w:tabs>
                <w:tab w:val="left" w:pos="4917"/>
              </w:tabs>
              <w:spacing w:before="120" w:after="120" w:line="360" w:lineRule="auto"/>
              <w:rPr>
                <w:rFonts w:ascii="Arial" w:hAnsi="Arial" w:cs="Arial"/>
              </w:rPr>
            </w:pPr>
          </w:p>
          <w:p w:rsidR="007A6E7B" w:rsidRDefault="007A6E7B" w:rsidP="007A6E7B">
            <w:pPr>
              <w:tabs>
                <w:tab w:val="left" w:pos="4917"/>
              </w:tabs>
              <w:spacing w:before="120" w:after="120" w:line="360" w:lineRule="auto"/>
              <w:rPr>
                <w:rFonts w:ascii="Arial" w:hAnsi="Arial" w:cs="Arial"/>
              </w:rPr>
            </w:pPr>
            <w:r>
              <w:rPr>
                <w:rFonts w:ascii="Arial" w:hAnsi="Arial" w:cs="Arial"/>
              </w:rPr>
              <w:t>Third Defendant/ Excipient</w:t>
            </w:r>
          </w:p>
          <w:p w:rsidR="007A6E7B" w:rsidRDefault="007A6E7B" w:rsidP="007A6E7B">
            <w:pPr>
              <w:tabs>
                <w:tab w:val="left" w:pos="4917"/>
              </w:tabs>
              <w:spacing w:before="120" w:after="120" w:line="360" w:lineRule="auto"/>
              <w:rPr>
                <w:rFonts w:ascii="Arial" w:hAnsi="Arial" w:cs="Arial"/>
              </w:rPr>
            </w:pPr>
            <w:r>
              <w:rPr>
                <w:rFonts w:ascii="Arial" w:hAnsi="Arial" w:cs="Arial"/>
              </w:rPr>
              <w:t>Fourth Defendant/ Excipient</w:t>
            </w:r>
          </w:p>
          <w:p w:rsidR="007A6E7B" w:rsidRDefault="007A6E7B" w:rsidP="007A6E7B">
            <w:pPr>
              <w:tabs>
                <w:tab w:val="left" w:pos="4917"/>
              </w:tabs>
              <w:spacing w:before="120" w:after="120" w:line="360" w:lineRule="auto"/>
              <w:rPr>
                <w:rFonts w:ascii="Arial" w:hAnsi="Arial" w:cs="Arial"/>
              </w:rPr>
            </w:pPr>
            <w:r>
              <w:rPr>
                <w:rFonts w:ascii="Arial" w:hAnsi="Arial" w:cs="Arial"/>
              </w:rPr>
              <w:t>Fifth Defendant/ Excipient</w:t>
            </w:r>
          </w:p>
          <w:p w:rsidR="007A6E7B" w:rsidRDefault="007A6E7B" w:rsidP="007A6E7B">
            <w:pPr>
              <w:tabs>
                <w:tab w:val="left" w:pos="4917"/>
              </w:tabs>
              <w:spacing w:before="120" w:after="120" w:line="360" w:lineRule="auto"/>
              <w:rPr>
                <w:rFonts w:ascii="Arial" w:hAnsi="Arial" w:cs="Arial"/>
              </w:rPr>
            </w:pPr>
            <w:r>
              <w:rPr>
                <w:rFonts w:ascii="Arial" w:hAnsi="Arial" w:cs="Arial"/>
              </w:rPr>
              <w:lastRenderedPageBreak/>
              <w:t>Sixth Defendant/ Excipient</w:t>
            </w:r>
          </w:p>
          <w:p w:rsidR="007A6E7B" w:rsidRDefault="007A6E7B" w:rsidP="007A6E7B">
            <w:pPr>
              <w:tabs>
                <w:tab w:val="left" w:pos="4917"/>
              </w:tabs>
              <w:spacing w:before="120" w:after="120" w:line="360" w:lineRule="auto"/>
              <w:rPr>
                <w:rFonts w:ascii="Arial" w:hAnsi="Arial" w:cs="Arial"/>
              </w:rPr>
            </w:pPr>
            <w:r>
              <w:rPr>
                <w:rFonts w:ascii="Arial" w:hAnsi="Arial" w:cs="Arial"/>
              </w:rPr>
              <w:t>Seventh Defendant/ Excipient</w:t>
            </w:r>
          </w:p>
          <w:p w:rsidR="007A6E7B" w:rsidRDefault="007A6E7B" w:rsidP="007A6E7B">
            <w:pPr>
              <w:tabs>
                <w:tab w:val="left" w:pos="4917"/>
              </w:tabs>
              <w:spacing w:before="120" w:after="120" w:line="360" w:lineRule="auto"/>
              <w:rPr>
                <w:rFonts w:ascii="Arial" w:hAnsi="Arial" w:cs="Arial"/>
              </w:rPr>
            </w:pPr>
            <w:r>
              <w:rPr>
                <w:rFonts w:ascii="Arial" w:hAnsi="Arial" w:cs="Arial"/>
              </w:rPr>
              <w:t>Eighth Defendant/ Excipient</w:t>
            </w:r>
          </w:p>
          <w:p w:rsidR="00AA0A44" w:rsidRPr="004729A3" w:rsidRDefault="00AA0A44" w:rsidP="007A6E7B">
            <w:pPr>
              <w:tabs>
                <w:tab w:val="left" w:pos="4917"/>
              </w:tabs>
              <w:spacing w:before="120" w:after="120" w:line="360" w:lineRule="auto"/>
              <w:rPr>
                <w:rFonts w:ascii="Arial" w:hAnsi="Arial" w:cs="Arial"/>
              </w:rPr>
            </w:pPr>
            <w:r>
              <w:rPr>
                <w:rFonts w:ascii="Arial" w:hAnsi="Arial" w:cs="Arial"/>
              </w:rPr>
              <w:t>Ninth Defendant/ Excipient</w:t>
            </w:r>
          </w:p>
        </w:tc>
      </w:tr>
    </w:tbl>
    <w:p w:rsidR="0080606C" w:rsidRPr="00D03900" w:rsidRDefault="0080606C" w:rsidP="0080606C">
      <w:pPr>
        <w:rPr>
          <w:rFonts w:ascii="Arial" w:hAnsi="Arial" w:cs="Arial"/>
          <w:sz w:val="24"/>
          <w:szCs w:val="24"/>
        </w:rPr>
      </w:pPr>
      <w:r w:rsidRPr="00D03900">
        <w:rPr>
          <w:rFonts w:ascii="Arial" w:hAnsi="Arial" w:cs="Arial"/>
          <w:sz w:val="24"/>
          <w:szCs w:val="24"/>
        </w:rPr>
        <w:lastRenderedPageBreak/>
        <w:t>____________________________________________________</w:t>
      </w:r>
      <w:r>
        <w:rPr>
          <w:rFonts w:ascii="Arial" w:hAnsi="Arial" w:cs="Arial"/>
          <w:sz w:val="24"/>
          <w:szCs w:val="24"/>
        </w:rPr>
        <w:t>_______________</w:t>
      </w:r>
    </w:p>
    <w:p w:rsidR="0080606C" w:rsidRPr="00D03900" w:rsidRDefault="0080606C" w:rsidP="0080606C">
      <w:pPr>
        <w:jc w:val="center"/>
        <w:rPr>
          <w:rFonts w:ascii="Arial" w:hAnsi="Arial" w:cs="Arial"/>
          <w:b/>
          <w:sz w:val="24"/>
          <w:szCs w:val="24"/>
        </w:rPr>
      </w:pPr>
      <w:r w:rsidRPr="00D03900">
        <w:rPr>
          <w:rFonts w:ascii="Arial" w:hAnsi="Arial" w:cs="Arial"/>
          <w:b/>
          <w:sz w:val="24"/>
          <w:szCs w:val="24"/>
        </w:rPr>
        <w:t>JUDGMENT</w:t>
      </w:r>
    </w:p>
    <w:p w:rsidR="0080606C" w:rsidRPr="00D03900" w:rsidRDefault="0080606C" w:rsidP="0080606C">
      <w:pPr>
        <w:rPr>
          <w:rFonts w:ascii="Arial" w:hAnsi="Arial" w:cs="Arial"/>
          <w:b/>
          <w:sz w:val="24"/>
          <w:szCs w:val="24"/>
        </w:rPr>
      </w:pPr>
      <w:r w:rsidRPr="00D03900">
        <w:rPr>
          <w:rFonts w:ascii="Arial" w:hAnsi="Arial" w:cs="Arial"/>
          <w:sz w:val="24"/>
          <w:szCs w:val="24"/>
        </w:rPr>
        <w:t>_______________________________________________________</w:t>
      </w:r>
      <w:r>
        <w:rPr>
          <w:rFonts w:ascii="Arial" w:hAnsi="Arial" w:cs="Arial"/>
          <w:sz w:val="24"/>
          <w:szCs w:val="24"/>
        </w:rPr>
        <w:t>____________</w:t>
      </w:r>
    </w:p>
    <w:p w:rsidR="0080606C" w:rsidRPr="00C36AD1" w:rsidRDefault="0080606C" w:rsidP="0080606C">
      <w:pPr>
        <w:spacing w:line="480" w:lineRule="auto"/>
        <w:jc w:val="both"/>
        <w:rPr>
          <w:rFonts w:ascii="Arial" w:hAnsi="Arial" w:cs="Arial"/>
          <w:b/>
          <w:sz w:val="24"/>
          <w:szCs w:val="24"/>
        </w:rPr>
      </w:pPr>
      <w:r w:rsidRPr="00C36AD1">
        <w:rPr>
          <w:rFonts w:ascii="Arial" w:hAnsi="Arial" w:cs="Arial"/>
          <w:b/>
          <w:sz w:val="24"/>
          <w:szCs w:val="24"/>
        </w:rPr>
        <w:t>NEUKIRCHER J:</w:t>
      </w:r>
    </w:p>
    <w:p w:rsidR="0080606C" w:rsidRDefault="0080606C" w:rsidP="0080606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23 March 2022 the plaintiff issued out summons in this court against the defendants, the purpose of which was threefold:</w:t>
      </w:r>
    </w:p>
    <w:p w:rsidR="0080606C" w:rsidRDefault="008D43BF" w:rsidP="0080606C">
      <w:pPr>
        <w:spacing w:after="0" w:line="48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it sought a declarator</w:t>
      </w:r>
      <w:r w:rsidR="0080606C">
        <w:rPr>
          <w:rFonts w:ascii="Arial" w:hAnsi="Arial" w:cs="Arial"/>
          <w:sz w:val="24"/>
          <w:szCs w:val="24"/>
        </w:rPr>
        <w:t xml:space="preserve"> in terms of s 162(5)(c)(iv)(aa) or (bb) of the Companies Act 71 of 2008 (the new Act) that the defendants be declared delinquent;</w:t>
      </w:r>
    </w:p>
    <w:p w:rsidR="0080606C" w:rsidRDefault="0080606C" w:rsidP="0080606C">
      <w:pPr>
        <w:spacing w:after="0" w:line="48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it sought a declarator that the defendants are personally liable in terms of s 218(2), read with s 22</w:t>
      </w:r>
      <w:r w:rsidR="008D43BF">
        <w:rPr>
          <w:rFonts w:ascii="Arial" w:hAnsi="Arial" w:cs="Arial"/>
          <w:sz w:val="24"/>
          <w:szCs w:val="24"/>
        </w:rPr>
        <w:t>(1)</w:t>
      </w:r>
      <w:r>
        <w:rPr>
          <w:rFonts w:ascii="Arial" w:hAnsi="Arial" w:cs="Arial"/>
          <w:sz w:val="24"/>
          <w:szCs w:val="24"/>
        </w:rPr>
        <w:t xml:space="preserve"> of the new Act, for damages resulting from the breach and subsequent cancellation of a contract which had been concluded between the plaintiff and a company known as Mota-Engil Construction South Africa (Pty) Ltd (MECSA), of which the defendants are the erstwhile directors; and</w:t>
      </w:r>
    </w:p>
    <w:p w:rsidR="0080606C" w:rsidRDefault="0080606C" w:rsidP="0080606C">
      <w:pPr>
        <w:spacing w:after="0" w:line="48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it sought judgment against the defendants jointly and severally for R1 435 680 928-33</w:t>
      </w:r>
      <w:r w:rsidR="00582047">
        <w:rPr>
          <w:rFonts w:ascii="Arial" w:hAnsi="Arial" w:cs="Arial"/>
          <w:sz w:val="24"/>
          <w:szCs w:val="24"/>
        </w:rPr>
        <w:t>, being the amount of damages resulting from the abovementioned breach a</w:t>
      </w:r>
      <w:r w:rsidR="008D43BF">
        <w:rPr>
          <w:rFonts w:ascii="Arial" w:hAnsi="Arial" w:cs="Arial"/>
          <w:sz w:val="24"/>
          <w:szCs w:val="24"/>
        </w:rPr>
        <w:t>n</w:t>
      </w:r>
      <w:r w:rsidR="00582047">
        <w:rPr>
          <w:rFonts w:ascii="Arial" w:hAnsi="Arial" w:cs="Arial"/>
          <w:sz w:val="24"/>
          <w:szCs w:val="24"/>
        </w:rPr>
        <w:t>d cancellation of the contract.</w:t>
      </w:r>
    </w:p>
    <w:p w:rsidR="001A1394" w:rsidRDefault="001A1394" w:rsidP="001A1394">
      <w:pPr>
        <w:spacing w:after="0" w:line="480" w:lineRule="auto"/>
        <w:jc w:val="both"/>
        <w:rPr>
          <w:rFonts w:ascii="Arial" w:hAnsi="Arial" w:cs="Arial"/>
          <w:sz w:val="24"/>
          <w:szCs w:val="24"/>
        </w:rPr>
      </w:pPr>
    </w:p>
    <w:p w:rsidR="001A1394" w:rsidRDefault="001A1394" w:rsidP="001A1394">
      <w:pPr>
        <w:spacing w:after="0" w:line="48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In response, the defendant excepted to the Particulars of Claim. They allege that not only does the pleading fail to make the necessary avermen</w:t>
      </w:r>
      <w:r w:rsidR="008D43BF">
        <w:rPr>
          <w:rFonts w:ascii="Arial" w:hAnsi="Arial" w:cs="Arial"/>
          <w:sz w:val="24"/>
          <w:szCs w:val="24"/>
        </w:rPr>
        <w:t>ts to sustain a cause of action against them</w:t>
      </w:r>
      <w:r>
        <w:rPr>
          <w:rFonts w:ascii="Arial" w:hAnsi="Arial" w:cs="Arial"/>
          <w:sz w:val="24"/>
          <w:szCs w:val="24"/>
        </w:rPr>
        <w:t xml:space="preserve"> but additionally the pleading is vague and embarrassing.</w:t>
      </w:r>
    </w:p>
    <w:p w:rsidR="001A1394" w:rsidRDefault="001A1394" w:rsidP="001A1394">
      <w:pPr>
        <w:spacing w:after="0" w:line="480" w:lineRule="auto"/>
        <w:jc w:val="both"/>
        <w:rPr>
          <w:rFonts w:ascii="Arial" w:hAnsi="Arial" w:cs="Arial"/>
          <w:sz w:val="24"/>
          <w:szCs w:val="24"/>
        </w:rPr>
      </w:pPr>
    </w:p>
    <w:p w:rsidR="001A1394" w:rsidRDefault="001A1394" w:rsidP="001A1394">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parties are referred to as they are stated in the pleadings in order to avoid confusion.</w:t>
      </w:r>
    </w:p>
    <w:p w:rsidR="001A1394" w:rsidRDefault="001A1394" w:rsidP="001A1394">
      <w:pPr>
        <w:spacing w:after="0" w:line="480" w:lineRule="auto"/>
        <w:jc w:val="both"/>
        <w:rPr>
          <w:rFonts w:ascii="Arial" w:hAnsi="Arial" w:cs="Arial"/>
          <w:sz w:val="24"/>
          <w:szCs w:val="24"/>
        </w:rPr>
      </w:pPr>
    </w:p>
    <w:p w:rsidR="001A1394" w:rsidRDefault="001A1394" w:rsidP="001A1394">
      <w:pPr>
        <w:spacing w:after="0" w:line="480" w:lineRule="auto"/>
        <w:jc w:val="both"/>
        <w:rPr>
          <w:rFonts w:ascii="Arial" w:hAnsi="Arial" w:cs="Arial"/>
          <w:sz w:val="24"/>
          <w:szCs w:val="24"/>
        </w:rPr>
      </w:pPr>
      <w:r>
        <w:rPr>
          <w:rFonts w:ascii="Arial" w:hAnsi="Arial" w:cs="Arial"/>
          <w:b/>
          <w:sz w:val="24"/>
          <w:szCs w:val="24"/>
          <w:u w:val="single"/>
        </w:rPr>
        <w:t>THE FACTS</w:t>
      </w:r>
    </w:p>
    <w:p w:rsidR="001A1394" w:rsidRDefault="001A1394" w:rsidP="001A1394">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facts </w:t>
      </w:r>
      <w:r w:rsidR="00257059">
        <w:rPr>
          <w:rFonts w:ascii="Arial" w:hAnsi="Arial" w:cs="Arial"/>
          <w:sz w:val="24"/>
          <w:szCs w:val="24"/>
        </w:rPr>
        <w:t xml:space="preserve">pleaded by the plaintiff </w:t>
      </w:r>
      <w:r>
        <w:rPr>
          <w:rFonts w:ascii="Arial" w:hAnsi="Arial" w:cs="Arial"/>
          <w:sz w:val="24"/>
          <w:szCs w:val="24"/>
        </w:rPr>
        <w:t>are</w:t>
      </w:r>
      <w:r w:rsidR="00257059">
        <w:rPr>
          <w:rFonts w:ascii="Arial" w:hAnsi="Arial" w:cs="Arial"/>
          <w:sz w:val="24"/>
          <w:szCs w:val="24"/>
        </w:rPr>
        <w:t xml:space="preserve"> essentially</w:t>
      </w:r>
      <w:r>
        <w:rPr>
          <w:rFonts w:ascii="Arial" w:hAnsi="Arial" w:cs="Arial"/>
          <w:sz w:val="24"/>
          <w:szCs w:val="24"/>
        </w:rPr>
        <w:t xml:space="preserve"> the following:</w:t>
      </w:r>
    </w:p>
    <w:p w:rsidR="001A1394" w:rsidRDefault="001A1394" w:rsidP="001A1394">
      <w:pPr>
        <w:spacing w:after="0" w:line="48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on 29 July 2016 the plaintiff and MECSA entered into a written agreement for the construction of a 20 floored mixed-use build</w:t>
      </w:r>
      <w:r w:rsidR="003E3DB2">
        <w:rPr>
          <w:rFonts w:ascii="Arial" w:hAnsi="Arial" w:cs="Arial"/>
          <w:sz w:val="24"/>
          <w:szCs w:val="24"/>
        </w:rPr>
        <w:t>ing in Benmore Gardens, Sandton</w:t>
      </w:r>
      <w:r>
        <w:rPr>
          <w:rFonts w:ascii="Arial" w:hAnsi="Arial" w:cs="Arial"/>
          <w:sz w:val="24"/>
          <w:szCs w:val="24"/>
        </w:rPr>
        <w:t xml:space="preserve"> for R930 906 559-52 (VAT incl).</w:t>
      </w:r>
    </w:p>
    <w:p w:rsidR="001A1394" w:rsidRDefault="001A1394" w:rsidP="001A1394">
      <w:pPr>
        <w:spacing w:after="0" w:line="48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the plaintiff is a third party creditor of MECSA;</w:t>
      </w:r>
    </w:p>
    <w:p w:rsidR="001A1394" w:rsidRDefault="001A1394" w:rsidP="001A1394">
      <w:pPr>
        <w:spacing w:after="0" w:line="48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the defendants were, at all relevant time, directors of MECSA;</w:t>
      </w:r>
    </w:p>
    <w:p w:rsidR="001A1394" w:rsidRDefault="001A1394" w:rsidP="001A1394">
      <w:pPr>
        <w:spacing w:after="0" w:line="480" w:lineRule="auto"/>
        <w:ind w:left="720"/>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on 12 April 2019, MECSA notified the plaintiff </w:t>
      </w:r>
      <w:r w:rsidR="003E3DB2">
        <w:rPr>
          <w:rFonts w:ascii="Arial" w:hAnsi="Arial" w:cs="Arial"/>
          <w:sz w:val="24"/>
          <w:szCs w:val="24"/>
        </w:rPr>
        <w:t>that it would suspend its work and</w:t>
      </w:r>
      <w:r>
        <w:rPr>
          <w:rFonts w:ascii="Arial" w:hAnsi="Arial" w:cs="Arial"/>
          <w:sz w:val="24"/>
          <w:szCs w:val="24"/>
        </w:rPr>
        <w:t xml:space="preserve"> that this constituted a repudiation</w:t>
      </w:r>
      <w:r>
        <w:rPr>
          <w:rStyle w:val="FootnoteReference"/>
          <w:rFonts w:ascii="Arial" w:hAnsi="Arial" w:cs="Arial"/>
          <w:sz w:val="24"/>
          <w:szCs w:val="24"/>
        </w:rPr>
        <w:footnoteReference w:id="1"/>
      </w:r>
      <w:r>
        <w:rPr>
          <w:rFonts w:ascii="Arial" w:hAnsi="Arial" w:cs="Arial"/>
          <w:sz w:val="24"/>
          <w:szCs w:val="24"/>
        </w:rPr>
        <w:t xml:space="preserve"> of the contract;</w:t>
      </w:r>
    </w:p>
    <w:p w:rsidR="001A1394" w:rsidRDefault="001A1394" w:rsidP="001A1394">
      <w:pPr>
        <w:spacing w:after="0" w:line="480" w:lineRule="auto"/>
        <w:ind w:left="720"/>
        <w:jc w:val="both"/>
        <w:rPr>
          <w:rFonts w:ascii="Arial" w:hAnsi="Arial" w:cs="Arial"/>
          <w:sz w:val="24"/>
          <w:szCs w:val="24"/>
        </w:rPr>
      </w:pPr>
      <w:r>
        <w:rPr>
          <w:rFonts w:ascii="Arial" w:hAnsi="Arial" w:cs="Arial"/>
          <w:sz w:val="24"/>
          <w:szCs w:val="24"/>
        </w:rPr>
        <w:t>(e)</w:t>
      </w:r>
      <w:r>
        <w:rPr>
          <w:rFonts w:ascii="Arial" w:hAnsi="Arial" w:cs="Arial"/>
          <w:sz w:val="24"/>
          <w:szCs w:val="24"/>
        </w:rPr>
        <w:tab/>
        <w:t>for the period January 2016 to April 2019 the defendants, in their capacities as directors of MECSA carried on its business recklessly alternatively grossly negligently alternatively with the intent to defraud the plaintiff and other creditors or carried on the business for a fraudulent purpose;</w:t>
      </w:r>
    </w:p>
    <w:p w:rsidR="001A1394" w:rsidRDefault="001A1394" w:rsidP="001A1394">
      <w:pPr>
        <w:spacing w:after="0" w:line="480" w:lineRule="auto"/>
        <w:ind w:left="720"/>
        <w:jc w:val="both"/>
        <w:rPr>
          <w:rFonts w:ascii="Arial" w:hAnsi="Arial" w:cs="Arial"/>
          <w:sz w:val="24"/>
          <w:szCs w:val="24"/>
        </w:rPr>
      </w:pPr>
      <w:r>
        <w:rPr>
          <w:rFonts w:ascii="Arial" w:hAnsi="Arial" w:cs="Arial"/>
          <w:sz w:val="24"/>
          <w:szCs w:val="24"/>
        </w:rPr>
        <w:t>(f)</w:t>
      </w:r>
      <w:r>
        <w:rPr>
          <w:rFonts w:ascii="Arial" w:hAnsi="Arial" w:cs="Arial"/>
          <w:sz w:val="24"/>
          <w:szCs w:val="24"/>
        </w:rPr>
        <w:tab/>
        <w:t>that during the existence of the contract MECSA was trading in insolvent circumstances and the defendant</w:t>
      </w:r>
      <w:r w:rsidR="00B27218">
        <w:rPr>
          <w:rFonts w:ascii="Arial" w:hAnsi="Arial" w:cs="Arial"/>
          <w:sz w:val="24"/>
          <w:szCs w:val="24"/>
        </w:rPr>
        <w:t>s were aware of this;</w:t>
      </w:r>
    </w:p>
    <w:p w:rsidR="0080606C" w:rsidRDefault="00B27218" w:rsidP="00492783">
      <w:pPr>
        <w:spacing w:after="0" w:line="480" w:lineRule="auto"/>
        <w:ind w:left="720"/>
        <w:jc w:val="both"/>
        <w:rPr>
          <w:rFonts w:ascii="Arial" w:hAnsi="Arial" w:cs="Arial"/>
          <w:sz w:val="24"/>
          <w:szCs w:val="24"/>
        </w:rPr>
      </w:pPr>
      <w:r>
        <w:rPr>
          <w:rFonts w:ascii="Arial" w:hAnsi="Arial" w:cs="Arial"/>
          <w:sz w:val="24"/>
          <w:szCs w:val="24"/>
        </w:rPr>
        <w:lastRenderedPageBreak/>
        <w:t>(g)</w:t>
      </w:r>
      <w:r>
        <w:rPr>
          <w:rFonts w:ascii="Arial" w:hAnsi="Arial" w:cs="Arial"/>
          <w:sz w:val="24"/>
          <w:szCs w:val="24"/>
        </w:rPr>
        <w:tab/>
        <w:t xml:space="preserve">that of MECSA </w:t>
      </w:r>
      <w:r w:rsidR="003E3DB2">
        <w:rPr>
          <w:rFonts w:ascii="Arial" w:hAnsi="Arial" w:cs="Arial"/>
          <w:sz w:val="24"/>
          <w:szCs w:val="24"/>
        </w:rPr>
        <w:t>sold</w:t>
      </w:r>
      <w:r>
        <w:rPr>
          <w:rFonts w:ascii="Arial" w:hAnsi="Arial" w:cs="Arial"/>
          <w:sz w:val="24"/>
          <w:szCs w:val="24"/>
        </w:rPr>
        <w:t xml:space="preserve"> its shares to an entity known as CN Holdings (Pty) Ltd in 2019 for a nominal value which had the effect of the shares </w:t>
      </w:r>
      <w:r w:rsidR="003E3DB2">
        <w:rPr>
          <w:rFonts w:ascii="Arial" w:hAnsi="Arial" w:cs="Arial"/>
          <w:sz w:val="24"/>
          <w:szCs w:val="24"/>
        </w:rPr>
        <w:t xml:space="preserve">being worthless </w:t>
      </w:r>
      <w:r w:rsidR="00492783">
        <w:rPr>
          <w:rFonts w:ascii="Arial" w:hAnsi="Arial" w:cs="Arial"/>
          <w:sz w:val="24"/>
          <w:szCs w:val="24"/>
        </w:rPr>
        <w:t>and, in addition</w:t>
      </w:r>
      <w:r w:rsidR="003E3DB2">
        <w:rPr>
          <w:rFonts w:ascii="Arial" w:hAnsi="Arial" w:cs="Arial"/>
          <w:sz w:val="24"/>
          <w:szCs w:val="24"/>
        </w:rPr>
        <w:t>,</w:t>
      </w:r>
      <w:r>
        <w:rPr>
          <w:rFonts w:ascii="Arial" w:hAnsi="Arial" w:cs="Arial"/>
          <w:sz w:val="24"/>
          <w:szCs w:val="24"/>
        </w:rPr>
        <w:t xml:space="preserve"> the letters of comfort</w:t>
      </w:r>
      <w:r w:rsidR="003174E2">
        <w:rPr>
          <w:rFonts w:ascii="Arial" w:hAnsi="Arial" w:cs="Arial"/>
          <w:sz w:val="24"/>
          <w:szCs w:val="24"/>
        </w:rPr>
        <w:t xml:space="preserve"> provided to the plaintiff and other creditors in respect of the works had lapsed thereby depriving any creditor of MECSA </w:t>
      </w:r>
      <w:r w:rsidR="003E3DB2">
        <w:rPr>
          <w:rFonts w:ascii="Arial" w:hAnsi="Arial" w:cs="Arial"/>
          <w:sz w:val="24"/>
          <w:szCs w:val="24"/>
        </w:rPr>
        <w:t>of any recourse</w:t>
      </w:r>
      <w:r w:rsidR="00492783">
        <w:rPr>
          <w:rFonts w:ascii="Arial" w:hAnsi="Arial" w:cs="Arial"/>
          <w:sz w:val="24"/>
          <w:szCs w:val="24"/>
        </w:rPr>
        <w:t xml:space="preserve">. Thus the conduct of the directors, in acting in this manner, repudiating the contract and executing their duties as directors in </w:t>
      </w:r>
      <w:r w:rsidR="008467BD">
        <w:rPr>
          <w:rFonts w:ascii="Arial" w:hAnsi="Arial" w:cs="Arial"/>
          <w:sz w:val="24"/>
          <w:szCs w:val="24"/>
        </w:rPr>
        <w:t xml:space="preserve">a </w:t>
      </w:r>
      <w:r w:rsidR="00492783">
        <w:rPr>
          <w:rFonts w:ascii="Arial" w:hAnsi="Arial" w:cs="Arial"/>
          <w:sz w:val="24"/>
          <w:szCs w:val="24"/>
        </w:rPr>
        <w:t>grossly negligent or reckless manner, meant that they were personally liable for the plaintiff’s damages under s 218(2) as read with s 22(1) of the new Act</w:t>
      </w:r>
      <w:r w:rsidR="008467BD">
        <w:rPr>
          <w:rFonts w:ascii="Arial" w:hAnsi="Arial" w:cs="Arial"/>
          <w:sz w:val="24"/>
          <w:szCs w:val="24"/>
        </w:rPr>
        <w:t>,</w:t>
      </w:r>
      <w:r w:rsidR="00492783">
        <w:rPr>
          <w:rFonts w:ascii="Arial" w:hAnsi="Arial" w:cs="Arial"/>
          <w:sz w:val="24"/>
          <w:szCs w:val="24"/>
        </w:rPr>
        <w:t xml:space="preserve"> and their conduct </w:t>
      </w:r>
      <w:r w:rsidR="008467BD">
        <w:rPr>
          <w:rFonts w:ascii="Arial" w:hAnsi="Arial" w:cs="Arial"/>
          <w:sz w:val="24"/>
          <w:szCs w:val="24"/>
        </w:rPr>
        <w:t xml:space="preserve">was such that it was actionable in terms of </w:t>
      </w:r>
      <w:r w:rsidR="00492783">
        <w:rPr>
          <w:rFonts w:ascii="Arial" w:hAnsi="Arial" w:cs="Arial"/>
          <w:sz w:val="24"/>
          <w:szCs w:val="24"/>
        </w:rPr>
        <w:t>s 162(5)(c)(iv)(aa) or (bb).</w:t>
      </w:r>
    </w:p>
    <w:p w:rsidR="00492783" w:rsidRDefault="00492783" w:rsidP="00492783">
      <w:pPr>
        <w:spacing w:after="0" w:line="480" w:lineRule="auto"/>
        <w:ind w:left="720"/>
        <w:jc w:val="both"/>
        <w:rPr>
          <w:rFonts w:ascii="Arial" w:hAnsi="Arial" w:cs="Arial"/>
          <w:sz w:val="24"/>
          <w:szCs w:val="24"/>
        </w:rPr>
      </w:pPr>
    </w:p>
    <w:p w:rsidR="00492783" w:rsidRDefault="00492783" w:rsidP="00492783">
      <w:pPr>
        <w:spacing w:after="0" w:line="480" w:lineRule="auto"/>
        <w:jc w:val="both"/>
        <w:rPr>
          <w:rFonts w:ascii="Arial" w:hAnsi="Arial" w:cs="Arial"/>
          <w:sz w:val="24"/>
          <w:szCs w:val="24"/>
        </w:rPr>
      </w:pPr>
      <w:r>
        <w:rPr>
          <w:rFonts w:ascii="Arial" w:hAnsi="Arial" w:cs="Arial"/>
          <w:b/>
          <w:sz w:val="24"/>
          <w:szCs w:val="24"/>
          <w:u w:val="single"/>
        </w:rPr>
        <w:t>The Exception</w:t>
      </w:r>
    </w:p>
    <w:p w:rsidR="00492783" w:rsidRDefault="00492783" w:rsidP="00492783">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defendants filed their exception to these facts: there are 8 grounds set out in that pleading. In brief, they are the following:</w:t>
      </w:r>
    </w:p>
    <w:p w:rsidR="00492783" w:rsidRDefault="00492783" w:rsidP="00492783">
      <w:pPr>
        <w:spacing w:after="0" w:line="48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492783">
        <w:rPr>
          <w:rFonts w:ascii="Arial" w:hAnsi="Arial" w:cs="Arial"/>
          <w:sz w:val="24"/>
          <w:szCs w:val="24"/>
          <w:u w:val="single"/>
        </w:rPr>
        <w:t>Grounds 1 and 2</w:t>
      </w:r>
      <w:r w:rsidR="00FF093D">
        <w:rPr>
          <w:rFonts w:ascii="Arial" w:hAnsi="Arial" w:cs="Arial"/>
          <w:sz w:val="24"/>
          <w:szCs w:val="24"/>
        </w:rPr>
        <w:t xml:space="preserve"> relate to the s</w:t>
      </w:r>
      <w:r>
        <w:rPr>
          <w:rFonts w:ascii="Arial" w:hAnsi="Arial" w:cs="Arial"/>
          <w:sz w:val="24"/>
          <w:szCs w:val="24"/>
        </w:rPr>
        <w:t xml:space="preserve"> 162 declarator. The exception is based on the fact that this remedy is only available to the specific class</w:t>
      </w:r>
      <w:r w:rsidR="00FF093D">
        <w:rPr>
          <w:rFonts w:ascii="Arial" w:hAnsi="Arial" w:cs="Arial"/>
          <w:sz w:val="24"/>
          <w:szCs w:val="24"/>
        </w:rPr>
        <w:t>es</w:t>
      </w:r>
      <w:r>
        <w:rPr>
          <w:rFonts w:ascii="Arial" w:hAnsi="Arial" w:cs="Arial"/>
          <w:sz w:val="24"/>
          <w:szCs w:val="24"/>
        </w:rPr>
        <w:t xml:space="preserve"> of persons set out in the new Act, of which a creditor is not one and therefore this cause of action is bad in law;</w:t>
      </w:r>
    </w:p>
    <w:p w:rsidR="00492783" w:rsidRDefault="00492783" w:rsidP="00492783">
      <w:pPr>
        <w:spacing w:after="0" w:line="48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single"/>
        </w:rPr>
        <w:t>Grounds 3 and 4</w:t>
      </w:r>
      <w:r>
        <w:rPr>
          <w:rFonts w:ascii="Arial" w:hAnsi="Arial" w:cs="Arial"/>
          <w:sz w:val="24"/>
          <w:szCs w:val="24"/>
        </w:rPr>
        <w:t xml:space="preserve"> relate to the plaintiff’s reliance on s 218(2), as read with s 22(1) of the Act, to hold the defendants personally liable for losses allegedly suffered by it as a result of the breach and subsequent cancellation of the contract. It is defendants’ argument that these sections do not found such a cause of action and that the claim is therefore bad in law;</w:t>
      </w:r>
    </w:p>
    <w:p w:rsidR="00492783" w:rsidRDefault="00492783" w:rsidP="00492783">
      <w:pPr>
        <w:spacing w:after="0" w:line="480" w:lineRule="auto"/>
        <w:ind w:left="720"/>
        <w:jc w:val="both"/>
        <w:rPr>
          <w:rFonts w:ascii="Arial" w:hAnsi="Arial" w:cs="Arial"/>
          <w:sz w:val="24"/>
          <w:szCs w:val="24"/>
        </w:rPr>
      </w:pPr>
      <w:r>
        <w:rPr>
          <w:rFonts w:ascii="Arial" w:hAnsi="Arial" w:cs="Arial"/>
          <w:sz w:val="24"/>
          <w:szCs w:val="24"/>
        </w:rPr>
        <w:lastRenderedPageBreak/>
        <w:t>(c)</w:t>
      </w:r>
      <w:r>
        <w:rPr>
          <w:rFonts w:ascii="Arial" w:hAnsi="Arial" w:cs="Arial"/>
          <w:sz w:val="24"/>
          <w:szCs w:val="24"/>
        </w:rPr>
        <w:tab/>
      </w:r>
      <w:r>
        <w:rPr>
          <w:rFonts w:ascii="Arial" w:hAnsi="Arial" w:cs="Arial"/>
          <w:sz w:val="24"/>
          <w:szCs w:val="24"/>
          <w:u w:val="single"/>
        </w:rPr>
        <w:t>Ground 5</w:t>
      </w:r>
      <w:r>
        <w:rPr>
          <w:rFonts w:ascii="Arial" w:hAnsi="Arial" w:cs="Arial"/>
          <w:sz w:val="24"/>
          <w:szCs w:val="24"/>
        </w:rPr>
        <w:t xml:space="preserve"> related to the allegation that the defendants repudiated the contract in a reckless alternatively grossly negligent manner. The exception lies therein that the plaintiff failed to make the necessary allegations which would lead to this conclusion;</w:t>
      </w:r>
    </w:p>
    <w:p w:rsidR="00492783" w:rsidRDefault="00492783" w:rsidP="00492783">
      <w:pPr>
        <w:spacing w:after="0" w:line="480" w:lineRule="auto"/>
        <w:ind w:left="720"/>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492783">
        <w:rPr>
          <w:rFonts w:ascii="Arial" w:hAnsi="Arial" w:cs="Arial"/>
          <w:sz w:val="24"/>
          <w:szCs w:val="24"/>
          <w:u w:val="single"/>
        </w:rPr>
        <w:t>Ground 6</w:t>
      </w:r>
      <w:r>
        <w:rPr>
          <w:rFonts w:ascii="Arial" w:hAnsi="Arial" w:cs="Arial"/>
          <w:sz w:val="24"/>
          <w:szCs w:val="24"/>
        </w:rPr>
        <w:t xml:space="preserve"> has its origins in the </w:t>
      </w:r>
      <w:r>
        <w:rPr>
          <w:rFonts w:ascii="Arial" w:hAnsi="Arial" w:cs="Arial"/>
          <w:i/>
          <w:sz w:val="24"/>
          <w:szCs w:val="24"/>
        </w:rPr>
        <w:t>“reckless trading”</w:t>
      </w:r>
      <w:r>
        <w:rPr>
          <w:rFonts w:ascii="Arial" w:hAnsi="Arial" w:cs="Arial"/>
          <w:sz w:val="24"/>
          <w:szCs w:val="24"/>
        </w:rPr>
        <w:t xml:space="preserve"> allegations. The defendants allege that the plaintiff has failed to set out facts upon which one</w:t>
      </w:r>
      <w:r w:rsidR="00C560DA">
        <w:rPr>
          <w:rFonts w:ascii="Arial" w:hAnsi="Arial" w:cs="Arial"/>
          <w:sz w:val="24"/>
          <w:szCs w:val="24"/>
        </w:rPr>
        <w:t xml:space="preserve"> can conclude that their conduct, as it relates to the repudiation, was reckless;</w:t>
      </w:r>
    </w:p>
    <w:p w:rsidR="00C560DA" w:rsidRDefault="00C560DA" w:rsidP="00492783">
      <w:pPr>
        <w:spacing w:after="0" w:line="480" w:lineRule="auto"/>
        <w:ind w:left="720"/>
        <w:jc w:val="both"/>
        <w:rPr>
          <w:rFonts w:ascii="Arial" w:hAnsi="Arial" w:cs="Arial"/>
          <w:sz w:val="24"/>
          <w:szCs w:val="24"/>
        </w:rPr>
      </w:pPr>
      <w:r>
        <w:rPr>
          <w:rFonts w:ascii="Arial" w:hAnsi="Arial" w:cs="Arial"/>
          <w:sz w:val="24"/>
          <w:szCs w:val="24"/>
        </w:rPr>
        <w:t>(e)</w:t>
      </w:r>
      <w:r>
        <w:rPr>
          <w:rFonts w:ascii="Arial" w:hAnsi="Arial" w:cs="Arial"/>
          <w:sz w:val="24"/>
          <w:szCs w:val="24"/>
        </w:rPr>
        <w:tab/>
      </w:r>
      <w:r>
        <w:rPr>
          <w:rFonts w:ascii="Arial" w:hAnsi="Arial" w:cs="Arial"/>
          <w:sz w:val="24"/>
          <w:szCs w:val="24"/>
          <w:u w:val="single"/>
        </w:rPr>
        <w:t>Ground 7</w:t>
      </w:r>
      <w:r>
        <w:rPr>
          <w:rFonts w:ascii="Arial" w:hAnsi="Arial" w:cs="Arial"/>
          <w:sz w:val="24"/>
          <w:szCs w:val="24"/>
        </w:rPr>
        <w:t xml:space="preserve"> is based on the complaint that the plaintiff failed to plead or establish the causal link between the wrongful conduct and the damages suffered;</w:t>
      </w:r>
    </w:p>
    <w:p w:rsidR="00C560DA" w:rsidRDefault="00C560DA" w:rsidP="00492783">
      <w:pPr>
        <w:spacing w:after="0" w:line="480" w:lineRule="auto"/>
        <w:ind w:left="720"/>
        <w:jc w:val="both"/>
        <w:rPr>
          <w:rFonts w:ascii="Arial" w:hAnsi="Arial" w:cs="Arial"/>
          <w:sz w:val="24"/>
          <w:szCs w:val="24"/>
        </w:rPr>
      </w:pPr>
      <w:r>
        <w:rPr>
          <w:rFonts w:ascii="Arial" w:hAnsi="Arial" w:cs="Arial"/>
          <w:sz w:val="24"/>
          <w:szCs w:val="24"/>
        </w:rPr>
        <w:t>(f)</w:t>
      </w:r>
      <w:r>
        <w:rPr>
          <w:rFonts w:ascii="Arial" w:hAnsi="Arial" w:cs="Arial"/>
          <w:sz w:val="24"/>
          <w:szCs w:val="24"/>
        </w:rPr>
        <w:tab/>
      </w:r>
      <w:r>
        <w:rPr>
          <w:rFonts w:ascii="Arial" w:hAnsi="Arial" w:cs="Arial"/>
          <w:sz w:val="24"/>
          <w:szCs w:val="24"/>
          <w:u w:val="single"/>
        </w:rPr>
        <w:t>Ground 8</w:t>
      </w:r>
      <w:r>
        <w:rPr>
          <w:rFonts w:ascii="Arial" w:hAnsi="Arial" w:cs="Arial"/>
          <w:sz w:val="24"/>
          <w:szCs w:val="24"/>
        </w:rPr>
        <w:t xml:space="preserve"> relates to the allegations that the plaintiff was trading in insolvent circumstances and yet, at the same time pleads that MECSA was able to meet its obligations until the contract was cancelled. The defendants </w:t>
      </w:r>
      <w:r w:rsidR="00EB2586">
        <w:rPr>
          <w:rFonts w:ascii="Arial" w:hAnsi="Arial" w:cs="Arial"/>
          <w:sz w:val="24"/>
          <w:szCs w:val="24"/>
        </w:rPr>
        <w:t>argue</w:t>
      </w:r>
      <w:r>
        <w:rPr>
          <w:rFonts w:ascii="Arial" w:hAnsi="Arial" w:cs="Arial"/>
          <w:sz w:val="24"/>
          <w:szCs w:val="24"/>
        </w:rPr>
        <w:t xml:space="preserve"> that these two </w:t>
      </w:r>
      <w:r w:rsidR="00EB2586">
        <w:rPr>
          <w:rFonts w:ascii="Arial" w:hAnsi="Arial" w:cs="Arial"/>
          <w:sz w:val="24"/>
          <w:szCs w:val="24"/>
        </w:rPr>
        <w:t xml:space="preserve">sets of </w:t>
      </w:r>
      <w:r>
        <w:rPr>
          <w:rFonts w:ascii="Arial" w:hAnsi="Arial" w:cs="Arial"/>
          <w:sz w:val="24"/>
          <w:szCs w:val="24"/>
        </w:rPr>
        <w:t>facts are at variance with each other and therefore the pleading is vague and embarrassing.</w:t>
      </w:r>
    </w:p>
    <w:p w:rsidR="00C560DA" w:rsidRDefault="00C560DA" w:rsidP="00492783">
      <w:pPr>
        <w:spacing w:after="0" w:line="480" w:lineRule="auto"/>
        <w:ind w:left="720"/>
        <w:jc w:val="both"/>
        <w:rPr>
          <w:rFonts w:ascii="Arial" w:hAnsi="Arial" w:cs="Arial"/>
          <w:sz w:val="24"/>
          <w:szCs w:val="24"/>
        </w:rPr>
      </w:pPr>
      <w:r>
        <w:rPr>
          <w:rFonts w:ascii="Arial" w:hAnsi="Arial" w:cs="Arial"/>
          <w:sz w:val="24"/>
          <w:szCs w:val="24"/>
        </w:rPr>
        <w:t>(g)</w:t>
      </w:r>
      <w:r>
        <w:rPr>
          <w:rFonts w:ascii="Arial" w:hAnsi="Arial" w:cs="Arial"/>
          <w:sz w:val="24"/>
          <w:szCs w:val="24"/>
        </w:rPr>
        <w:tab/>
      </w:r>
      <w:r>
        <w:rPr>
          <w:rFonts w:ascii="Arial" w:hAnsi="Arial" w:cs="Arial"/>
          <w:sz w:val="24"/>
          <w:szCs w:val="24"/>
          <w:u w:val="single"/>
        </w:rPr>
        <w:t>Ground 9</w:t>
      </w:r>
      <w:r>
        <w:rPr>
          <w:rFonts w:ascii="Arial" w:hAnsi="Arial" w:cs="Arial"/>
          <w:sz w:val="24"/>
          <w:szCs w:val="24"/>
        </w:rPr>
        <w:t xml:space="preserve"> relates to the alleged insufficient particularity provided in respect of the computation of each head of damage claimed.</w:t>
      </w:r>
    </w:p>
    <w:p w:rsidR="00C560DA" w:rsidRDefault="00C560DA" w:rsidP="00C560DA">
      <w:pPr>
        <w:spacing w:after="0" w:line="480" w:lineRule="auto"/>
        <w:jc w:val="both"/>
        <w:rPr>
          <w:rFonts w:ascii="Arial" w:hAnsi="Arial" w:cs="Arial"/>
          <w:sz w:val="24"/>
          <w:szCs w:val="24"/>
        </w:rPr>
      </w:pPr>
    </w:p>
    <w:p w:rsidR="00C560DA" w:rsidRDefault="00C560DA" w:rsidP="00C560DA">
      <w:pPr>
        <w:spacing w:after="0" w:line="480" w:lineRule="auto"/>
        <w:jc w:val="both"/>
        <w:rPr>
          <w:rFonts w:ascii="Arial" w:hAnsi="Arial" w:cs="Arial"/>
          <w:sz w:val="24"/>
          <w:szCs w:val="24"/>
        </w:rPr>
      </w:pPr>
      <w:r>
        <w:rPr>
          <w:rFonts w:ascii="Arial" w:hAnsi="Arial" w:cs="Arial"/>
          <w:b/>
          <w:sz w:val="24"/>
          <w:szCs w:val="24"/>
          <w:u w:val="single"/>
        </w:rPr>
        <w:t>Exceptions</w:t>
      </w:r>
    </w:p>
    <w:p w:rsidR="00C560DA" w:rsidRDefault="00C560DA" w:rsidP="00C560DA">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Rule 23(1) provides as follows:</w:t>
      </w:r>
    </w:p>
    <w:p w:rsidR="00700C4F" w:rsidRPr="005E2FB7" w:rsidRDefault="00700C4F" w:rsidP="00700C4F">
      <w:pPr>
        <w:spacing w:after="0" w:line="480" w:lineRule="auto"/>
        <w:ind w:left="720"/>
        <w:jc w:val="both"/>
        <w:rPr>
          <w:rFonts w:ascii="Arial" w:hAnsi="Arial" w:cs="Arial"/>
          <w:i/>
        </w:rPr>
      </w:pPr>
      <w:r w:rsidRPr="005E2FB7">
        <w:rPr>
          <w:rFonts w:ascii="Arial" w:hAnsi="Arial" w:cs="Arial"/>
          <w:i/>
        </w:rPr>
        <w:t xml:space="preserve">“(1) Where any pleading is vague and embarrassing, or lacks averments which are necessary to sustain an action or defence, as the case may be, the opposing party may, within the period allowed for filing any subsequent pleading, deliver an exception thereto and may apply to the registrar to set it down for hearing within 15 days after the delivery of such exception: Provided that—  </w:t>
      </w:r>
    </w:p>
    <w:p w:rsidR="00700C4F" w:rsidRPr="005E2FB7" w:rsidRDefault="00700C4F" w:rsidP="00700C4F">
      <w:pPr>
        <w:spacing w:after="0" w:line="480" w:lineRule="auto"/>
        <w:ind w:left="720"/>
        <w:jc w:val="both"/>
        <w:rPr>
          <w:rFonts w:ascii="Arial" w:hAnsi="Arial" w:cs="Arial"/>
          <w:i/>
        </w:rPr>
      </w:pPr>
      <w:r w:rsidRPr="005E2FB7">
        <w:rPr>
          <w:rFonts w:ascii="Arial" w:hAnsi="Arial" w:cs="Arial"/>
          <w:i/>
        </w:rPr>
        <w:lastRenderedPageBreak/>
        <w:t xml:space="preserve">(a) where a party intends to take an exception that a pleading is vague and embarrassing such party shall, by notice, within 10 days of receipt of the pleading, afford the party delivering the pleading, an opportunity to remove the cause of complaint within 15 days of such notice; and </w:t>
      </w:r>
    </w:p>
    <w:p w:rsidR="00C560DA" w:rsidRDefault="00700C4F" w:rsidP="00700C4F">
      <w:pPr>
        <w:spacing w:after="0" w:line="480" w:lineRule="auto"/>
        <w:ind w:left="720"/>
        <w:jc w:val="both"/>
        <w:rPr>
          <w:rFonts w:ascii="Arial" w:hAnsi="Arial" w:cs="Arial"/>
          <w:i/>
        </w:rPr>
      </w:pPr>
      <w:r w:rsidRPr="005E2FB7">
        <w:rPr>
          <w:rFonts w:ascii="Arial" w:hAnsi="Arial" w:cs="Arial"/>
          <w:i/>
        </w:rPr>
        <w:t xml:space="preserve"> (b) the party excepting shall, within 10 days from the date on which a reply to the notice referred to in paragraph (a) is received, or within 15 days from which such reply is due, deliver the exception.”</w:t>
      </w:r>
    </w:p>
    <w:p w:rsidR="00EB2586" w:rsidRPr="005E2FB7" w:rsidRDefault="00EB2586" w:rsidP="00700C4F">
      <w:pPr>
        <w:spacing w:after="0" w:line="480" w:lineRule="auto"/>
        <w:ind w:left="720"/>
        <w:jc w:val="both"/>
        <w:rPr>
          <w:rFonts w:ascii="Arial" w:hAnsi="Arial" w:cs="Arial"/>
        </w:rPr>
      </w:pPr>
    </w:p>
    <w:p w:rsidR="00700C4F" w:rsidRDefault="00700C4F" w:rsidP="00700C4F">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Over the years, a number of basic principles relating to exceptions have been laid out by our courts</w:t>
      </w:r>
      <w:r>
        <w:rPr>
          <w:rStyle w:val="FootnoteReference"/>
          <w:rFonts w:ascii="Arial" w:hAnsi="Arial" w:cs="Arial"/>
          <w:sz w:val="24"/>
          <w:szCs w:val="24"/>
        </w:rPr>
        <w:footnoteReference w:id="2"/>
      </w:r>
      <w:r>
        <w:rPr>
          <w:rFonts w:ascii="Arial" w:hAnsi="Arial" w:cs="Arial"/>
          <w:sz w:val="24"/>
          <w:szCs w:val="24"/>
        </w:rPr>
        <w:t>:</w:t>
      </w:r>
    </w:p>
    <w:p w:rsidR="00700C4F" w:rsidRDefault="00700C4F" w:rsidP="00B529DF">
      <w:pPr>
        <w:spacing w:after="0" w:line="48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the court must look at the pleadings as they stand</w:t>
      </w:r>
      <w:r>
        <w:rPr>
          <w:rStyle w:val="FootnoteReference"/>
          <w:rFonts w:ascii="Arial" w:hAnsi="Arial" w:cs="Arial"/>
          <w:sz w:val="24"/>
          <w:szCs w:val="24"/>
        </w:rPr>
        <w:footnoteReference w:id="3"/>
      </w:r>
      <w:r>
        <w:rPr>
          <w:rFonts w:ascii="Arial" w:hAnsi="Arial" w:cs="Arial"/>
          <w:sz w:val="24"/>
          <w:szCs w:val="24"/>
        </w:rPr>
        <w:t xml:space="preserve"> and no facts outside of those pleaded may be adduced;</w:t>
      </w:r>
      <w:r>
        <w:rPr>
          <w:rStyle w:val="FootnoteReference"/>
          <w:rFonts w:ascii="Arial" w:hAnsi="Arial" w:cs="Arial"/>
          <w:sz w:val="24"/>
          <w:szCs w:val="24"/>
        </w:rPr>
        <w:footnoteReference w:id="4"/>
      </w:r>
    </w:p>
    <w:p w:rsidR="00B529DF" w:rsidRDefault="00B529DF" w:rsidP="00B529DF">
      <w:pPr>
        <w:spacing w:after="0" w:line="48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an excipient cannot go beyond the record and no reference may be made to any other document;</w:t>
      </w:r>
      <w:r>
        <w:rPr>
          <w:rStyle w:val="FootnoteReference"/>
          <w:rFonts w:ascii="Arial" w:hAnsi="Arial" w:cs="Arial"/>
          <w:sz w:val="24"/>
          <w:szCs w:val="24"/>
        </w:rPr>
        <w:footnoteReference w:id="5"/>
      </w:r>
    </w:p>
    <w:p w:rsidR="00B529DF" w:rsidRDefault="00B529DF" w:rsidP="00B529DF">
      <w:pPr>
        <w:spacing w:after="0" w:line="48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a pleading is excipiable if, on all possible reading of the facts, no cause of action can be made out;</w:t>
      </w:r>
      <w:r>
        <w:rPr>
          <w:rStyle w:val="FootnoteReference"/>
          <w:rFonts w:ascii="Arial" w:hAnsi="Arial" w:cs="Arial"/>
          <w:sz w:val="24"/>
          <w:szCs w:val="24"/>
        </w:rPr>
        <w:footnoteReference w:id="6"/>
      </w:r>
    </w:p>
    <w:p w:rsidR="00B529DF" w:rsidRDefault="00B529DF" w:rsidP="00B529DF">
      <w:pPr>
        <w:spacing w:after="0" w:line="480" w:lineRule="auto"/>
        <w:ind w:left="720"/>
        <w:jc w:val="both"/>
        <w:rPr>
          <w:rFonts w:ascii="Arial" w:hAnsi="Arial" w:cs="Arial"/>
          <w:sz w:val="24"/>
          <w:szCs w:val="24"/>
        </w:rPr>
      </w:pPr>
      <w:r>
        <w:rPr>
          <w:rFonts w:ascii="Arial" w:hAnsi="Arial" w:cs="Arial"/>
          <w:sz w:val="24"/>
          <w:szCs w:val="24"/>
        </w:rPr>
        <w:t>(d)</w:t>
      </w:r>
      <w:r>
        <w:rPr>
          <w:rFonts w:ascii="Arial" w:hAnsi="Arial" w:cs="Arial"/>
          <w:sz w:val="24"/>
          <w:szCs w:val="24"/>
        </w:rPr>
        <w:tab/>
        <w:t>an exception that a pleadings is vague and embarrassing ought not to be allowed unless the excipient would be seriously prejudiced if the offending allegations were not expunged.</w:t>
      </w:r>
      <w:r>
        <w:rPr>
          <w:rStyle w:val="FootnoteReference"/>
          <w:rFonts w:ascii="Arial" w:hAnsi="Arial" w:cs="Arial"/>
          <w:sz w:val="24"/>
          <w:szCs w:val="24"/>
        </w:rPr>
        <w:footnoteReference w:id="7"/>
      </w:r>
      <w:r>
        <w:rPr>
          <w:rFonts w:ascii="Arial" w:hAnsi="Arial" w:cs="Arial"/>
          <w:sz w:val="24"/>
          <w:szCs w:val="24"/>
        </w:rPr>
        <w:t xml:space="preserve"> The prejudice must ultimately lie in the inability to properly prepare to meet the opponent’s case;</w:t>
      </w:r>
      <w:r>
        <w:rPr>
          <w:rStyle w:val="FootnoteReference"/>
          <w:rFonts w:ascii="Arial" w:hAnsi="Arial" w:cs="Arial"/>
          <w:sz w:val="24"/>
          <w:szCs w:val="24"/>
        </w:rPr>
        <w:footnoteReference w:id="8"/>
      </w:r>
    </w:p>
    <w:p w:rsidR="00B529DF" w:rsidRPr="00700C4F" w:rsidRDefault="00B529DF" w:rsidP="00B529DF">
      <w:pPr>
        <w:spacing w:after="0" w:line="480" w:lineRule="auto"/>
        <w:ind w:left="720"/>
        <w:jc w:val="both"/>
        <w:rPr>
          <w:rFonts w:ascii="Arial" w:hAnsi="Arial" w:cs="Arial"/>
          <w:sz w:val="24"/>
          <w:szCs w:val="24"/>
        </w:rPr>
      </w:pPr>
      <w:r>
        <w:rPr>
          <w:rFonts w:ascii="Arial" w:hAnsi="Arial" w:cs="Arial"/>
          <w:sz w:val="24"/>
          <w:szCs w:val="24"/>
        </w:rPr>
        <w:lastRenderedPageBreak/>
        <w:t>(e)</w:t>
      </w:r>
      <w:r>
        <w:rPr>
          <w:rFonts w:ascii="Arial" w:hAnsi="Arial" w:cs="Arial"/>
          <w:sz w:val="24"/>
          <w:szCs w:val="24"/>
        </w:rPr>
        <w:tab/>
        <w:t>the exception o</w:t>
      </w:r>
      <w:r w:rsidR="00A25F85">
        <w:rPr>
          <w:rFonts w:ascii="Arial" w:hAnsi="Arial" w:cs="Arial"/>
          <w:sz w:val="24"/>
          <w:szCs w:val="24"/>
        </w:rPr>
        <w:t>n the ground</w:t>
      </w:r>
      <w:r w:rsidR="00EB2586">
        <w:rPr>
          <w:rFonts w:ascii="Arial" w:hAnsi="Arial" w:cs="Arial"/>
          <w:sz w:val="24"/>
          <w:szCs w:val="24"/>
        </w:rPr>
        <w:t xml:space="preserve"> that the pleading</w:t>
      </w:r>
      <w:r>
        <w:rPr>
          <w:rFonts w:ascii="Arial" w:hAnsi="Arial" w:cs="Arial"/>
          <w:sz w:val="24"/>
          <w:szCs w:val="24"/>
        </w:rPr>
        <w:t xml:space="preserve"> is vague and embarrassing covers cases where there is a defect or incompleteness in the manner in which the cause of action is pleaded that this has resulted in embarrassment to the defendant of such a nature that the defendant is prejudiced.</w:t>
      </w:r>
      <w:r>
        <w:rPr>
          <w:rStyle w:val="FootnoteReference"/>
          <w:rFonts w:ascii="Arial" w:hAnsi="Arial" w:cs="Arial"/>
          <w:sz w:val="24"/>
          <w:szCs w:val="24"/>
        </w:rPr>
        <w:footnoteReference w:id="9"/>
      </w:r>
    </w:p>
    <w:p w:rsidR="005E2FB7" w:rsidRDefault="005E2FB7" w:rsidP="00492783">
      <w:pPr>
        <w:spacing w:after="0" w:line="480" w:lineRule="auto"/>
        <w:jc w:val="both"/>
        <w:rPr>
          <w:rFonts w:ascii="Arial" w:hAnsi="Arial" w:cs="Arial"/>
          <w:sz w:val="24"/>
          <w:szCs w:val="24"/>
        </w:rPr>
      </w:pPr>
    </w:p>
    <w:p w:rsidR="00052D7E" w:rsidRPr="00052D7E" w:rsidRDefault="00052D7E" w:rsidP="00492783">
      <w:pPr>
        <w:spacing w:after="0" w:line="480" w:lineRule="auto"/>
        <w:jc w:val="both"/>
        <w:rPr>
          <w:rFonts w:ascii="Arial" w:hAnsi="Arial" w:cs="Arial"/>
          <w:b/>
          <w:sz w:val="24"/>
          <w:szCs w:val="24"/>
          <w:u w:val="single"/>
        </w:rPr>
      </w:pPr>
      <w:r>
        <w:rPr>
          <w:rFonts w:ascii="Arial" w:hAnsi="Arial" w:cs="Arial"/>
          <w:b/>
          <w:sz w:val="24"/>
          <w:szCs w:val="24"/>
          <w:u w:val="single"/>
        </w:rPr>
        <w:t>Exception: Grounds 1 and 2</w:t>
      </w:r>
    </w:p>
    <w:p w:rsidR="00492783" w:rsidRDefault="00052D7E" w:rsidP="00052D7E">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plaintiff has conceded that these are well-taken and has abandoned its prayer for delinquency.</w:t>
      </w:r>
      <w:r>
        <w:rPr>
          <w:rStyle w:val="FootnoteReference"/>
          <w:rFonts w:ascii="Arial" w:hAnsi="Arial" w:cs="Arial"/>
          <w:sz w:val="24"/>
          <w:szCs w:val="24"/>
        </w:rPr>
        <w:footnoteReference w:id="10"/>
      </w:r>
      <w:r w:rsidR="002C34D6">
        <w:rPr>
          <w:rFonts w:ascii="Arial" w:hAnsi="Arial" w:cs="Arial"/>
          <w:sz w:val="24"/>
          <w:szCs w:val="24"/>
        </w:rPr>
        <w:t>This being so, it is unnecess</w:t>
      </w:r>
      <w:r w:rsidR="00A3644E">
        <w:rPr>
          <w:rFonts w:ascii="Arial" w:hAnsi="Arial" w:cs="Arial"/>
          <w:sz w:val="24"/>
          <w:szCs w:val="24"/>
        </w:rPr>
        <w:t>ary to discuss the first</w:t>
      </w:r>
      <w:r w:rsidR="002C34D6">
        <w:rPr>
          <w:rFonts w:ascii="Arial" w:hAnsi="Arial" w:cs="Arial"/>
          <w:sz w:val="24"/>
          <w:szCs w:val="24"/>
        </w:rPr>
        <w:t xml:space="preserve"> two grounds of exception.</w:t>
      </w:r>
    </w:p>
    <w:p w:rsidR="002C34D6" w:rsidRDefault="002C34D6" w:rsidP="00052D7E">
      <w:pPr>
        <w:spacing w:after="0" w:line="480" w:lineRule="auto"/>
        <w:jc w:val="both"/>
        <w:rPr>
          <w:rFonts w:ascii="Arial" w:hAnsi="Arial" w:cs="Arial"/>
          <w:sz w:val="24"/>
          <w:szCs w:val="24"/>
        </w:rPr>
      </w:pPr>
    </w:p>
    <w:p w:rsidR="002C34D6" w:rsidRDefault="002C34D6" w:rsidP="00052D7E">
      <w:pPr>
        <w:spacing w:after="0" w:line="480" w:lineRule="auto"/>
        <w:jc w:val="both"/>
        <w:rPr>
          <w:rFonts w:ascii="Arial" w:hAnsi="Arial" w:cs="Arial"/>
          <w:sz w:val="24"/>
          <w:szCs w:val="24"/>
        </w:rPr>
      </w:pPr>
      <w:r>
        <w:rPr>
          <w:rFonts w:ascii="Arial" w:hAnsi="Arial" w:cs="Arial"/>
          <w:b/>
          <w:sz w:val="24"/>
          <w:szCs w:val="24"/>
          <w:u w:val="single"/>
        </w:rPr>
        <w:t>Exception</w:t>
      </w:r>
      <w:r w:rsidR="0007111F">
        <w:rPr>
          <w:rFonts w:ascii="Arial" w:hAnsi="Arial" w:cs="Arial"/>
          <w:b/>
          <w:sz w:val="24"/>
          <w:szCs w:val="24"/>
          <w:u w:val="single"/>
        </w:rPr>
        <w:t>:</w:t>
      </w:r>
      <w:r>
        <w:rPr>
          <w:rFonts w:ascii="Arial" w:hAnsi="Arial" w:cs="Arial"/>
          <w:b/>
          <w:sz w:val="24"/>
          <w:szCs w:val="24"/>
          <w:u w:val="single"/>
        </w:rPr>
        <w:t xml:space="preserve"> Grounds 3 and 4</w:t>
      </w:r>
    </w:p>
    <w:p w:rsidR="0007111F" w:rsidRDefault="002C34D6" w:rsidP="005E2FB7">
      <w:pPr>
        <w:rPr>
          <w:rFonts w:ascii="Arial" w:hAnsi="Arial" w:cs="Arial"/>
          <w:sz w:val="24"/>
          <w:szCs w:val="24"/>
        </w:rPr>
      </w:pPr>
      <w:r>
        <w:rPr>
          <w:rFonts w:ascii="Arial" w:hAnsi="Arial" w:cs="Arial"/>
          <w:sz w:val="24"/>
          <w:szCs w:val="24"/>
        </w:rPr>
        <w:t>9]</w:t>
      </w:r>
      <w:r>
        <w:rPr>
          <w:rFonts w:ascii="Arial" w:hAnsi="Arial" w:cs="Arial"/>
          <w:sz w:val="24"/>
          <w:szCs w:val="24"/>
        </w:rPr>
        <w:tab/>
      </w:r>
      <w:r w:rsidR="0007111F">
        <w:rPr>
          <w:rFonts w:ascii="Arial" w:hAnsi="Arial" w:cs="Arial"/>
          <w:sz w:val="24"/>
          <w:szCs w:val="24"/>
        </w:rPr>
        <w:t>S 22 and s218 state:</w:t>
      </w:r>
    </w:p>
    <w:p w:rsidR="0007111F" w:rsidRPr="0007111F" w:rsidRDefault="0007111F" w:rsidP="0007111F">
      <w:pPr>
        <w:ind w:firstLine="284"/>
        <w:rPr>
          <w:rFonts w:ascii="Arial" w:eastAsia="Times New Roman" w:hAnsi="Arial" w:cs="Arial"/>
          <w:bCs/>
          <w:color w:val="000000"/>
          <w:lang w:val="en-US"/>
        </w:rPr>
      </w:pPr>
      <w:r w:rsidRPr="0007111F">
        <w:rPr>
          <w:rFonts w:ascii="Arial" w:eastAsia="Times New Roman" w:hAnsi="Arial" w:cs="Arial"/>
          <w:bCs/>
          <w:color w:val="000000"/>
          <w:lang w:val="en-US"/>
        </w:rPr>
        <w:t>(a)</w:t>
      </w:r>
      <w:r w:rsidRPr="0007111F">
        <w:rPr>
          <w:rFonts w:ascii="Arial" w:eastAsia="Times New Roman" w:hAnsi="Arial" w:cs="Arial"/>
          <w:bCs/>
          <w:color w:val="000000"/>
          <w:lang w:val="en-US"/>
        </w:rPr>
        <w:tab/>
      </w:r>
      <w:r w:rsidRPr="0007111F">
        <w:rPr>
          <w:rFonts w:ascii="Arial" w:eastAsia="Times New Roman" w:hAnsi="Arial" w:cs="Arial"/>
          <w:bCs/>
          <w:color w:val="000000"/>
          <w:u w:val="single"/>
          <w:lang w:val="en-US"/>
        </w:rPr>
        <w:t>S 22:</w:t>
      </w:r>
    </w:p>
    <w:p w:rsidR="005E2FB7" w:rsidRPr="0007111F" w:rsidRDefault="0007111F" w:rsidP="0007111F">
      <w:pPr>
        <w:ind w:firstLine="284"/>
        <w:rPr>
          <w:rFonts w:ascii="Arial" w:eastAsia="Times New Roman" w:hAnsi="Arial" w:cs="Arial"/>
          <w:b/>
          <w:bCs/>
          <w:i/>
          <w:color w:val="000000"/>
          <w:lang w:val="en-US"/>
        </w:rPr>
      </w:pPr>
      <w:r>
        <w:rPr>
          <w:rFonts w:ascii="Arial" w:eastAsia="Times New Roman" w:hAnsi="Arial" w:cs="Arial"/>
          <w:b/>
          <w:bCs/>
          <w:i/>
          <w:color w:val="000000"/>
          <w:lang w:val="en-US"/>
        </w:rPr>
        <w:t>“</w:t>
      </w:r>
      <w:r w:rsidR="005E2FB7" w:rsidRPr="0007111F">
        <w:rPr>
          <w:rFonts w:ascii="Arial" w:eastAsia="Times New Roman" w:hAnsi="Arial" w:cs="Arial"/>
          <w:b/>
          <w:bCs/>
          <w:i/>
          <w:color w:val="000000"/>
          <w:lang w:val="en-US"/>
        </w:rPr>
        <w:t>Reckless trading prohibited</w:t>
      </w:r>
    </w:p>
    <w:p w:rsidR="005E2FB7" w:rsidRPr="005E2FB7" w:rsidRDefault="0007111F" w:rsidP="0007111F">
      <w:pPr>
        <w:spacing w:after="0" w:line="480" w:lineRule="auto"/>
        <w:ind w:left="284"/>
        <w:jc w:val="both"/>
        <w:rPr>
          <w:rFonts w:ascii="Arial" w:eastAsia="Times New Roman" w:hAnsi="Arial" w:cs="Arial"/>
          <w:i/>
          <w:lang w:val="en-US"/>
        </w:rPr>
      </w:pPr>
      <w:bookmarkStart w:id="1" w:name="0-0-0-63319"/>
      <w:bookmarkEnd w:id="1"/>
      <w:r w:rsidRPr="0007111F">
        <w:rPr>
          <w:rFonts w:ascii="Arial" w:eastAsia="Times New Roman" w:hAnsi="Arial" w:cs="Arial"/>
          <w:i/>
          <w:lang w:val="en-US"/>
        </w:rPr>
        <w:t>“</w:t>
      </w:r>
      <w:hyperlink r:id="rId12" w:tgtFrame="main" w:history="1">
        <w:r w:rsidR="005E2FB7" w:rsidRPr="0007111F">
          <w:rPr>
            <w:rFonts w:ascii="Arial" w:eastAsia="Times New Roman" w:hAnsi="Arial" w:cs="Arial"/>
            <w:i/>
            <w:lang w:val="en-US"/>
          </w:rPr>
          <w:t>(1)</w:t>
        </w:r>
      </w:hyperlink>
      <w:r w:rsidR="005E2FB7" w:rsidRPr="005E2FB7">
        <w:rPr>
          <w:rFonts w:ascii="Arial" w:eastAsia="Times New Roman" w:hAnsi="Arial" w:cs="Arial"/>
          <w:i/>
          <w:lang w:val="en-US"/>
        </w:rPr>
        <w:t> A company must not carry on its business recklessly, with gross negligence, with intent to defraud any person or for any fraudulent purpose.</w:t>
      </w:r>
    </w:p>
    <w:p w:rsidR="005E2FB7" w:rsidRPr="005E2FB7" w:rsidRDefault="005E2FB7" w:rsidP="0007111F">
      <w:pPr>
        <w:spacing w:after="0" w:line="480" w:lineRule="auto"/>
        <w:ind w:left="284"/>
        <w:jc w:val="both"/>
        <w:rPr>
          <w:rFonts w:ascii="Arial" w:eastAsia="Times New Roman" w:hAnsi="Arial" w:cs="Arial"/>
          <w:i/>
          <w:lang w:val="en-US"/>
        </w:rPr>
      </w:pPr>
      <w:bookmarkStart w:id="2" w:name="0-0-0-63325"/>
      <w:bookmarkEnd w:id="2"/>
      <w:r w:rsidRPr="005E2FB7">
        <w:rPr>
          <w:rFonts w:ascii="Arial" w:eastAsia="Times New Roman" w:hAnsi="Arial" w:cs="Arial"/>
          <w:i/>
          <w:lang w:val="en-US"/>
        </w:rPr>
        <w:t>(2) If the Commission has reasonable grounds to believe that a company is engaging in conduct prohibited by subsection (1), or is unable to pay its debts as they become due and payable in the normal course of business, the Commission may issue a notice to the company to show cause why the company should be permitted to continue carrying on its business, or to trade, as the case may be.</w:t>
      </w:r>
    </w:p>
    <w:p w:rsidR="005E2FB7" w:rsidRPr="005E2FB7" w:rsidRDefault="005E2FB7" w:rsidP="0007111F">
      <w:pPr>
        <w:spacing w:after="0" w:line="480" w:lineRule="auto"/>
        <w:ind w:left="284"/>
        <w:jc w:val="both"/>
        <w:rPr>
          <w:rFonts w:ascii="Arial" w:eastAsia="Times New Roman" w:hAnsi="Arial" w:cs="Arial"/>
          <w:i/>
          <w:lang w:val="en-US"/>
        </w:rPr>
      </w:pPr>
      <w:bookmarkStart w:id="3" w:name="0-0-0-63327"/>
      <w:bookmarkEnd w:id="3"/>
      <w:r w:rsidRPr="005E2FB7">
        <w:rPr>
          <w:rFonts w:ascii="Arial" w:eastAsia="Times New Roman" w:hAnsi="Arial" w:cs="Arial"/>
          <w:i/>
          <w:lang w:val="en-US"/>
        </w:rPr>
        <w:t xml:space="preserve">(3) If a company to whom a notice has been issued in terms of subsection (2) fails within 20 business days to satisfy the Commission that it is not engaging in conduct prohibited by </w:t>
      </w:r>
      <w:r w:rsidRPr="005E2FB7">
        <w:rPr>
          <w:rFonts w:ascii="Arial" w:eastAsia="Times New Roman" w:hAnsi="Arial" w:cs="Arial"/>
          <w:i/>
          <w:lang w:val="en-US"/>
        </w:rPr>
        <w:lastRenderedPageBreak/>
        <w:t>subsection (1), or that it is able to pay its debts as they become due and payable in the normal course of business, the Commission may issue a compliance notice to the company requiring it to cease carrying on its business or trading, as the case may be.</w:t>
      </w:r>
      <w:r w:rsidR="0007111F">
        <w:rPr>
          <w:rFonts w:ascii="Arial" w:eastAsia="Times New Roman" w:hAnsi="Arial" w:cs="Arial"/>
          <w:i/>
          <w:lang w:val="en-US"/>
        </w:rPr>
        <w:t>”</w:t>
      </w:r>
    </w:p>
    <w:p w:rsidR="005E2FB7" w:rsidRDefault="0007111F" w:rsidP="00052D7E">
      <w:pPr>
        <w:spacing w:after="0" w:line="480" w:lineRule="auto"/>
        <w:jc w:val="both"/>
        <w:rPr>
          <w:rFonts w:ascii="Arial" w:hAnsi="Arial" w:cs="Arial"/>
          <w:sz w:val="24"/>
          <w:szCs w:val="24"/>
          <w:u w:val="single"/>
        </w:rPr>
      </w:pPr>
      <w:r>
        <w:rPr>
          <w:rFonts w:ascii="Arial" w:hAnsi="Arial" w:cs="Arial"/>
          <w:sz w:val="24"/>
          <w:szCs w:val="24"/>
        </w:rPr>
        <w:t>(b)</w:t>
      </w:r>
      <w:r>
        <w:rPr>
          <w:rFonts w:ascii="Arial" w:hAnsi="Arial" w:cs="Arial"/>
          <w:sz w:val="24"/>
          <w:szCs w:val="24"/>
        </w:rPr>
        <w:tab/>
      </w:r>
      <w:r w:rsidRPr="0007111F">
        <w:rPr>
          <w:rFonts w:ascii="Arial" w:hAnsi="Arial" w:cs="Arial"/>
          <w:sz w:val="24"/>
          <w:szCs w:val="24"/>
          <w:u w:val="single"/>
        </w:rPr>
        <w:t>S 218:</w:t>
      </w:r>
    </w:p>
    <w:p w:rsidR="0007111F" w:rsidRPr="0007111F" w:rsidRDefault="0007111F" w:rsidP="0007111F">
      <w:pPr>
        <w:spacing w:after="0" w:line="480" w:lineRule="auto"/>
        <w:ind w:firstLine="720"/>
        <w:jc w:val="both"/>
        <w:rPr>
          <w:rFonts w:ascii="Arial" w:eastAsia="Times New Roman" w:hAnsi="Arial" w:cs="Arial"/>
          <w:b/>
          <w:bCs/>
          <w:i/>
          <w:color w:val="000000"/>
          <w:lang w:val="en-US"/>
        </w:rPr>
      </w:pPr>
      <w:r>
        <w:rPr>
          <w:rFonts w:ascii="Arial" w:eastAsia="Times New Roman" w:hAnsi="Arial" w:cs="Arial"/>
          <w:b/>
          <w:bCs/>
          <w:i/>
          <w:color w:val="000000"/>
          <w:lang w:val="en-US"/>
        </w:rPr>
        <w:t>“</w:t>
      </w:r>
      <w:r w:rsidRPr="0007111F">
        <w:rPr>
          <w:rFonts w:ascii="Arial" w:eastAsia="Times New Roman" w:hAnsi="Arial" w:cs="Arial"/>
          <w:b/>
          <w:bCs/>
          <w:i/>
          <w:color w:val="000000"/>
          <w:lang w:val="en-US"/>
        </w:rPr>
        <w:t> Civil actions</w:t>
      </w:r>
    </w:p>
    <w:p w:rsidR="0007111F" w:rsidRPr="0007111F" w:rsidRDefault="0007111F" w:rsidP="0007111F">
      <w:pPr>
        <w:spacing w:after="0" w:line="480" w:lineRule="auto"/>
        <w:ind w:left="720"/>
        <w:jc w:val="both"/>
        <w:rPr>
          <w:rFonts w:ascii="Arial" w:eastAsia="Times New Roman" w:hAnsi="Arial" w:cs="Arial"/>
          <w:i/>
          <w:color w:val="000000"/>
          <w:lang w:val="en-US"/>
        </w:rPr>
      </w:pPr>
      <w:bookmarkStart w:id="4" w:name="0-0-0-70829"/>
      <w:bookmarkEnd w:id="4"/>
      <w:r w:rsidRPr="0007111F">
        <w:rPr>
          <w:rFonts w:ascii="Arial" w:eastAsia="Times New Roman" w:hAnsi="Arial" w:cs="Arial"/>
          <w:i/>
          <w:color w:val="000000"/>
          <w:lang w:val="en-US"/>
        </w:rPr>
        <w:t>(1) Subject to any provision in this Act specifically declaring void an agreement, resolution or provision of an agreement, Memorandum of Incorporation, or rules of a company, nothing in this Act renders void any other agreement, resolution or provision of an agreement, Memorandum of Incorporation or rules of a company that is prohibited, voidable or that may be declared unlawful in terms of this Act, unless a court has made a declaration to that effect regarding that agreement, resolution or provision</w:t>
      </w:r>
      <w:r w:rsidRPr="0007111F">
        <w:rPr>
          <w:rFonts w:ascii="Arial" w:eastAsia="Times New Roman" w:hAnsi="Arial" w:cs="Arial"/>
          <w:b/>
          <w:bCs/>
          <w:i/>
          <w:color w:val="000000"/>
          <w:lang w:val="en-US"/>
        </w:rPr>
        <w:t>.</w:t>
      </w:r>
    </w:p>
    <w:bookmarkStart w:id="5" w:name="0-0-0-70833"/>
    <w:bookmarkEnd w:id="5"/>
    <w:p w:rsidR="0007111F" w:rsidRPr="0007111F" w:rsidRDefault="0007111F" w:rsidP="0007111F">
      <w:pPr>
        <w:spacing w:after="0" w:line="480" w:lineRule="auto"/>
        <w:ind w:left="720"/>
        <w:jc w:val="both"/>
        <w:rPr>
          <w:rFonts w:ascii="Arial" w:eastAsia="Times New Roman" w:hAnsi="Arial" w:cs="Arial"/>
          <w:i/>
          <w:lang w:val="en-US"/>
        </w:rPr>
      </w:pPr>
      <w:r w:rsidRPr="0007111F">
        <w:rPr>
          <w:rFonts w:ascii="Arial" w:eastAsia="Times New Roman" w:hAnsi="Arial" w:cs="Arial"/>
          <w:i/>
          <w:lang w:val="en-US"/>
        </w:rPr>
        <w:fldChar w:fldCharType="begin"/>
      </w:r>
      <w:r w:rsidRPr="0007111F">
        <w:rPr>
          <w:rFonts w:ascii="Arial" w:eastAsia="Times New Roman" w:hAnsi="Arial" w:cs="Arial"/>
          <w:i/>
          <w:lang w:val="en-US"/>
        </w:rPr>
        <w:instrText xml:space="preserve"> HYPERLINK "https://jutastat.juta.co.za/nxt/foliolinks.asp?f=xhitlist&amp;xhitlist_x=Advanced&amp;xhitlist_vpc=first&amp;xhitlist_xsl=querylink.xsl&amp;xhitlist_sel=title;path;content-type;home-title&amp;xhitlist_d=%7bstatreg%7d&amp;xhitlist_q=%5bfield%20folio-destination-name:%27LJC_a71y2008s218(2)%27%5d&amp;xhitlist_md=target-id=0-0-0-70835" \t "main" </w:instrText>
      </w:r>
      <w:r w:rsidRPr="0007111F">
        <w:rPr>
          <w:rFonts w:ascii="Arial" w:eastAsia="Times New Roman" w:hAnsi="Arial" w:cs="Arial"/>
          <w:i/>
          <w:lang w:val="en-US"/>
        </w:rPr>
        <w:fldChar w:fldCharType="separate"/>
      </w:r>
      <w:r w:rsidRPr="0007111F">
        <w:rPr>
          <w:rFonts w:ascii="Arial" w:eastAsia="Times New Roman" w:hAnsi="Arial" w:cs="Arial"/>
          <w:i/>
          <w:lang w:val="en-US"/>
        </w:rPr>
        <w:t>(2)</w:t>
      </w:r>
      <w:r w:rsidRPr="0007111F">
        <w:rPr>
          <w:rFonts w:ascii="Arial" w:eastAsia="Times New Roman" w:hAnsi="Arial" w:cs="Arial"/>
          <w:i/>
          <w:lang w:val="en-US"/>
        </w:rPr>
        <w:fldChar w:fldCharType="end"/>
      </w:r>
      <w:r w:rsidRPr="0007111F">
        <w:rPr>
          <w:rFonts w:ascii="Arial" w:eastAsia="Times New Roman" w:hAnsi="Arial" w:cs="Arial"/>
          <w:i/>
          <w:lang w:val="en-US"/>
        </w:rPr>
        <w:t> Any person who contravenes any provision of this Act is liable to any other person for any loss or damage suffered by that person as a result of that contravention.</w:t>
      </w:r>
    </w:p>
    <w:p w:rsidR="0007111F" w:rsidRPr="0007111F" w:rsidRDefault="0007111F" w:rsidP="0007111F">
      <w:pPr>
        <w:spacing w:after="0" w:line="480" w:lineRule="auto"/>
        <w:ind w:left="720"/>
        <w:jc w:val="both"/>
        <w:rPr>
          <w:rFonts w:ascii="Arial" w:eastAsia="Times New Roman" w:hAnsi="Arial" w:cs="Arial"/>
          <w:i/>
          <w:lang w:val="en-US"/>
        </w:rPr>
      </w:pPr>
      <w:bookmarkStart w:id="6" w:name="0-0-0-70837"/>
      <w:bookmarkEnd w:id="6"/>
      <w:r w:rsidRPr="0007111F">
        <w:rPr>
          <w:rFonts w:ascii="Arial" w:eastAsia="Times New Roman" w:hAnsi="Arial" w:cs="Arial"/>
          <w:i/>
          <w:lang w:val="en-US"/>
        </w:rPr>
        <w:t>(3) The provisions of this section do not affect the right to any remedy that a person may otherwise have.”</w:t>
      </w:r>
    </w:p>
    <w:p w:rsidR="0007111F" w:rsidRDefault="0007111F" w:rsidP="00052D7E">
      <w:pPr>
        <w:spacing w:after="0" w:line="480" w:lineRule="auto"/>
        <w:jc w:val="both"/>
        <w:rPr>
          <w:rFonts w:ascii="Arial" w:hAnsi="Arial" w:cs="Arial"/>
          <w:sz w:val="24"/>
          <w:szCs w:val="24"/>
          <w:u w:val="single"/>
        </w:rPr>
      </w:pPr>
    </w:p>
    <w:p w:rsidR="002C34D6" w:rsidRDefault="005E2FB7" w:rsidP="00052D7E">
      <w:pPr>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C34D6">
        <w:rPr>
          <w:rFonts w:ascii="Arial" w:hAnsi="Arial" w:cs="Arial"/>
          <w:sz w:val="24"/>
          <w:szCs w:val="24"/>
        </w:rPr>
        <w:t>The plaintiff argues that where s22(1) of the new Act was contravened, s218 (2) of the new Act extends liability to the directors of a company as towards the company’s creditors. The plaintiff is a creditor of MECSA and, as stated, the defendants its directors. It argues that such a claim has its origins in s 424 of the Companies Act 61 of 1973 (the Old Act) which stated:</w:t>
      </w:r>
    </w:p>
    <w:p w:rsidR="002C34D6" w:rsidRPr="002C34D6" w:rsidRDefault="002C34D6" w:rsidP="00052D7E">
      <w:pPr>
        <w:spacing w:after="0" w:line="480" w:lineRule="auto"/>
        <w:jc w:val="both"/>
        <w:rPr>
          <w:rFonts w:ascii="Arial" w:hAnsi="Arial" w:cs="Arial"/>
          <w:i/>
        </w:rPr>
      </w:pPr>
      <w:r w:rsidRPr="002C34D6">
        <w:rPr>
          <w:rFonts w:ascii="Arial" w:hAnsi="Arial" w:cs="Arial"/>
          <w:i/>
        </w:rPr>
        <w:t xml:space="preserve">“When it appears, whether it be in a winding up, judicial management, or otherwise, that any business of the company was  or is being carried on recklessly, or with intent to defraud creditors or any other person  or for any other fraudulent purpose, the court may, on the application of the Master, the Liquidator, the Judicial Manager, any creditor or member or contributory of the </w:t>
      </w:r>
      <w:r w:rsidRPr="002C34D6">
        <w:rPr>
          <w:rFonts w:ascii="Arial" w:hAnsi="Arial" w:cs="Arial"/>
          <w:i/>
        </w:rPr>
        <w:lastRenderedPageBreak/>
        <w:t>company declare that any person who was knowingly a party to the carrying on of the business in the manner aforesaid, shall be personally responsible, without any limitation of liability, for all or any of the debts or other liabilities of the company as the court may direct.”</w:t>
      </w:r>
    </w:p>
    <w:p w:rsidR="00492783" w:rsidRDefault="00492783" w:rsidP="005E2FB7">
      <w:pPr>
        <w:spacing w:after="0" w:line="480" w:lineRule="auto"/>
        <w:jc w:val="both"/>
        <w:rPr>
          <w:rFonts w:ascii="Arial" w:hAnsi="Arial" w:cs="Arial"/>
          <w:sz w:val="24"/>
          <w:szCs w:val="24"/>
        </w:rPr>
      </w:pPr>
    </w:p>
    <w:p w:rsidR="005E2FB7" w:rsidRDefault="0007111F" w:rsidP="005E2FB7">
      <w:pPr>
        <w:spacing w:after="0" w:line="480" w:lineRule="auto"/>
        <w:jc w:val="both"/>
        <w:rPr>
          <w:rFonts w:ascii="Arial" w:hAnsi="Arial" w:cs="Arial"/>
          <w:sz w:val="24"/>
          <w:szCs w:val="24"/>
        </w:rPr>
      </w:pPr>
      <w:r>
        <w:rPr>
          <w:rFonts w:ascii="Arial" w:hAnsi="Arial" w:cs="Arial"/>
          <w:sz w:val="24"/>
          <w:szCs w:val="24"/>
        </w:rPr>
        <w:t>11</w:t>
      </w:r>
      <w:r w:rsidR="005E2FB7">
        <w:rPr>
          <w:rFonts w:ascii="Arial" w:hAnsi="Arial" w:cs="Arial"/>
          <w:sz w:val="24"/>
          <w:szCs w:val="24"/>
        </w:rPr>
        <w:t>]</w:t>
      </w:r>
      <w:r w:rsidR="005E2FB7">
        <w:rPr>
          <w:rFonts w:ascii="Arial" w:hAnsi="Arial" w:cs="Arial"/>
          <w:sz w:val="24"/>
          <w:szCs w:val="24"/>
        </w:rPr>
        <w:tab/>
      </w:r>
      <w:r>
        <w:rPr>
          <w:rFonts w:ascii="Arial" w:hAnsi="Arial" w:cs="Arial"/>
          <w:sz w:val="24"/>
          <w:szCs w:val="24"/>
        </w:rPr>
        <w:t xml:space="preserve">It is however common cause that s 424 was not incorporated in the new Act outside of the ambit of companies in liquidation. It remains there to hold directors of those companies personally liable for the debts of the companies in the circumstances set out in s 424. In </w:t>
      </w:r>
      <w:r>
        <w:rPr>
          <w:rFonts w:ascii="Arial" w:hAnsi="Arial" w:cs="Arial"/>
          <w:b/>
          <w:sz w:val="24"/>
          <w:szCs w:val="24"/>
        </w:rPr>
        <w:t>Cooper NO and Another v Myburgh and Others</w:t>
      </w:r>
      <w:r w:rsidRPr="0007111F">
        <w:rPr>
          <w:rStyle w:val="FootnoteReference"/>
          <w:rFonts w:ascii="Arial" w:hAnsi="Arial" w:cs="Arial"/>
          <w:sz w:val="24"/>
          <w:szCs w:val="24"/>
        </w:rPr>
        <w:footnoteReference w:id="11"/>
      </w:r>
      <w:r>
        <w:rPr>
          <w:rFonts w:ascii="Arial" w:hAnsi="Arial" w:cs="Arial"/>
          <w:b/>
          <w:sz w:val="24"/>
          <w:szCs w:val="24"/>
        </w:rPr>
        <w:t xml:space="preserve"> </w:t>
      </w:r>
      <w:r>
        <w:rPr>
          <w:rFonts w:ascii="Arial" w:hAnsi="Arial" w:cs="Arial"/>
          <w:sz w:val="24"/>
          <w:szCs w:val="24"/>
        </w:rPr>
        <w:t>the object of s 424 was summarised as follows:</w:t>
      </w:r>
    </w:p>
    <w:p w:rsidR="0007111F" w:rsidRPr="0007111F" w:rsidRDefault="0007111F" w:rsidP="0007111F">
      <w:pPr>
        <w:shd w:val="clear" w:color="auto" w:fill="FFFFFF"/>
        <w:spacing w:after="0" w:line="480" w:lineRule="auto"/>
        <w:jc w:val="both"/>
        <w:rPr>
          <w:rFonts w:ascii="Arial" w:eastAsia="Times New Roman" w:hAnsi="Arial" w:cs="Arial"/>
          <w:i/>
          <w:lang w:val="en-US"/>
        </w:rPr>
      </w:pPr>
      <w:r>
        <w:rPr>
          <w:rFonts w:ascii="Arial" w:eastAsia="Times New Roman" w:hAnsi="Arial" w:cs="Arial"/>
          <w:i/>
          <w:lang w:val="en-GB"/>
        </w:rPr>
        <w:t>“</w:t>
      </w:r>
      <w:r w:rsidRPr="0007111F">
        <w:rPr>
          <w:rFonts w:ascii="Arial" w:eastAsia="Times New Roman" w:hAnsi="Arial" w:cs="Arial"/>
          <w:i/>
          <w:lang w:val="en-GB"/>
        </w:rPr>
        <w:t xml:space="preserve"> [8] The object of s 424 was eloquently summarised by Cameron JA in </w:t>
      </w:r>
      <w:r w:rsidRPr="0007111F">
        <w:rPr>
          <w:rFonts w:ascii="Arial" w:eastAsia="Times New Roman" w:hAnsi="Arial" w:cs="Arial"/>
          <w:i/>
          <w:iCs/>
          <w:lang w:val="en-GB"/>
        </w:rPr>
        <w:t>Ebrahim and Another v Airport Cold Storage (Pty) Ltd</w:t>
      </w:r>
      <w:r w:rsidRPr="0007111F">
        <w:rPr>
          <w:rFonts w:ascii="Arial" w:eastAsia="Times New Roman" w:hAnsi="Arial" w:cs="Arial"/>
          <w:i/>
          <w:lang w:val="en-GB"/>
        </w:rPr>
        <w:t> </w:t>
      </w:r>
      <w:hyperlink r:id="rId13" w:tooltip="View Case" w:history="1">
        <w:r w:rsidRPr="0007111F">
          <w:rPr>
            <w:rFonts w:ascii="Arial" w:eastAsia="Times New Roman" w:hAnsi="Arial" w:cs="Arial"/>
            <w:bCs/>
            <w:i/>
            <w:lang w:val="en-GB"/>
          </w:rPr>
          <w:t>[2008] ZASCA 113</w:t>
        </w:r>
      </w:hyperlink>
      <w:r w:rsidRPr="0007111F">
        <w:rPr>
          <w:rFonts w:ascii="Arial" w:eastAsia="Times New Roman" w:hAnsi="Arial" w:cs="Arial"/>
          <w:i/>
          <w:lang w:val="en-GB"/>
        </w:rPr>
        <w:t>; </w:t>
      </w:r>
      <w:hyperlink r:id="rId14" w:tooltip="View LawCiteRecord" w:history="1">
        <w:r w:rsidRPr="0007111F">
          <w:rPr>
            <w:rFonts w:ascii="Arial" w:eastAsia="Times New Roman" w:hAnsi="Arial" w:cs="Arial"/>
            <w:bCs/>
            <w:i/>
            <w:lang w:val="en-GB"/>
          </w:rPr>
          <w:t>2008 (6) SA 585</w:t>
        </w:r>
      </w:hyperlink>
      <w:r w:rsidRPr="0007111F">
        <w:rPr>
          <w:rFonts w:ascii="Arial" w:eastAsia="Times New Roman" w:hAnsi="Arial" w:cs="Arial"/>
          <w:i/>
          <w:lang w:val="en-GB"/>
        </w:rPr>
        <w:t> (SCA).  That case was concerned with s 64 of the Close Corporation Act 69 of 1984 but, as the learned judge pointed out,</w:t>
      </w:r>
      <w:bookmarkStart w:id="7" w:name="_ftnref1"/>
      <w:r w:rsidRPr="0007111F">
        <w:rPr>
          <w:rFonts w:ascii="Arial" w:eastAsia="Times New Roman" w:hAnsi="Arial" w:cs="Arial"/>
          <w:i/>
          <w:lang w:val="en-US"/>
        </w:rPr>
        <w:fldChar w:fldCharType="begin"/>
      </w:r>
      <w:r w:rsidRPr="0007111F">
        <w:rPr>
          <w:rFonts w:ascii="Arial" w:eastAsia="Times New Roman" w:hAnsi="Arial" w:cs="Arial"/>
          <w:i/>
          <w:lang w:val="en-US"/>
        </w:rPr>
        <w:instrText xml:space="preserve"> HYPERLINK "http://www.saflii.org/za/cases/ZAWCHC/2020/174.html" \l "_ftn1" </w:instrText>
      </w:r>
      <w:r w:rsidRPr="0007111F">
        <w:rPr>
          <w:rFonts w:ascii="Arial" w:eastAsia="Times New Roman" w:hAnsi="Arial" w:cs="Arial"/>
          <w:i/>
          <w:lang w:val="en-US"/>
        </w:rPr>
        <w:fldChar w:fldCharType="separate"/>
      </w:r>
      <w:r w:rsidRPr="0007111F">
        <w:rPr>
          <w:rFonts w:ascii="Arial" w:eastAsia="Times New Roman" w:hAnsi="Arial" w:cs="Arial"/>
          <w:bCs/>
          <w:i/>
          <w:lang w:val="en-GB"/>
        </w:rPr>
        <w:t>[1]</w:t>
      </w:r>
      <w:r w:rsidRPr="0007111F">
        <w:rPr>
          <w:rFonts w:ascii="Arial" w:eastAsia="Times New Roman" w:hAnsi="Arial" w:cs="Arial"/>
          <w:i/>
          <w:lang w:val="en-US"/>
        </w:rPr>
        <w:fldChar w:fldCharType="end"/>
      </w:r>
      <w:bookmarkEnd w:id="7"/>
      <w:r w:rsidRPr="0007111F">
        <w:rPr>
          <w:rFonts w:ascii="Arial" w:eastAsia="Times New Roman" w:hAnsi="Arial" w:cs="Arial"/>
          <w:i/>
          <w:lang w:val="en-GB"/>
        </w:rPr>
        <w:t> that provision ‘</w:t>
      </w:r>
      <w:r w:rsidRPr="0007111F">
        <w:rPr>
          <w:rFonts w:ascii="Arial" w:eastAsia="Times New Roman" w:hAnsi="Arial" w:cs="Arial"/>
          <w:i/>
          <w:iCs/>
          <w:lang w:val="en-GB"/>
        </w:rPr>
        <w:t>is for all intents and purposes identical to s 424 of the Companies Act</w:t>
      </w:r>
      <w:r w:rsidRPr="0007111F">
        <w:rPr>
          <w:rFonts w:ascii="Arial" w:eastAsia="Times New Roman" w:hAnsi="Arial" w:cs="Arial"/>
          <w:i/>
          <w:lang w:val="en-GB"/>
        </w:rPr>
        <w:t>’. In para 15 of the judgment, Cameron JA explained that ‘[t]</w:t>
      </w:r>
      <w:r w:rsidRPr="0007111F">
        <w:rPr>
          <w:rFonts w:ascii="Arial" w:eastAsia="Times New Roman" w:hAnsi="Arial" w:cs="Arial"/>
          <w:i/>
          <w:iCs/>
          <w:lang w:val="en-GB"/>
        </w:rPr>
        <w:t>he section retracts the fundamental attribute of corporate personality, namely separate legal existence, with its corollary of autonomous and independent liability for debts, when the level of mismanagement of the corporation’s affairs exceeds the merely inept or incompetent and becomes heedlessly gross or dishonest.  The provision in effect exacts a quid pro quo: for the benefit of immunity from liability for its debts, those running the corporation may not use its formal identity to incur obligations recklessly, gross</w:t>
      </w:r>
      <w:r w:rsidRPr="0007111F">
        <w:rPr>
          <w:rFonts w:ascii="Arial" w:eastAsia="Times New Roman" w:hAnsi="Arial" w:cs="Arial"/>
          <w:i/>
          <w:lang w:val="en-GB"/>
        </w:rPr>
        <w:t> </w:t>
      </w:r>
      <w:r w:rsidRPr="0007111F">
        <w:rPr>
          <w:rFonts w:ascii="Arial" w:eastAsia="Times New Roman" w:hAnsi="Arial" w:cs="Arial"/>
          <w:i/>
          <w:iCs/>
          <w:lang w:val="en-GB"/>
        </w:rPr>
        <w:t>negligently or fraudulently.  If they do, they risk being made personally liable.</w:t>
      </w:r>
      <w:r w:rsidRPr="0007111F">
        <w:rPr>
          <w:rFonts w:ascii="Arial" w:eastAsia="Times New Roman" w:hAnsi="Arial" w:cs="Arial"/>
          <w:i/>
          <w:lang w:val="en-GB"/>
        </w:rPr>
        <w:t>’  I would only add that the ambit of reckless or fraudulent conduct of a company’s business for the purpose of the section is not limited to the incurrence of obligations by the company, it extends also, as illustrated by the facts in </w:t>
      </w:r>
      <w:r w:rsidRPr="0007111F">
        <w:rPr>
          <w:rFonts w:ascii="Arial" w:eastAsia="Times New Roman" w:hAnsi="Arial" w:cs="Arial"/>
          <w:i/>
          <w:iCs/>
          <w:lang w:val="en-GB"/>
        </w:rPr>
        <w:t>Philotex (Pty) Ltd and Others v Snyman and Others; Braitex (Pty) Ltd and Others v Snyman and Others</w:t>
      </w:r>
      <w:r w:rsidRPr="0007111F">
        <w:rPr>
          <w:rFonts w:ascii="Arial" w:eastAsia="Times New Roman" w:hAnsi="Arial" w:cs="Arial"/>
          <w:i/>
          <w:lang w:val="en-GB"/>
        </w:rPr>
        <w:t> </w:t>
      </w:r>
      <w:hyperlink r:id="rId15" w:tooltip="View Case" w:history="1">
        <w:r w:rsidRPr="0007111F">
          <w:rPr>
            <w:rFonts w:ascii="Arial" w:eastAsia="Times New Roman" w:hAnsi="Arial" w:cs="Arial"/>
            <w:bCs/>
            <w:i/>
            <w:lang w:val="en-GB"/>
          </w:rPr>
          <w:t>[1997] ZASCA 92</w:t>
        </w:r>
      </w:hyperlink>
      <w:r w:rsidRPr="0007111F">
        <w:rPr>
          <w:rFonts w:ascii="Arial" w:eastAsia="Times New Roman" w:hAnsi="Arial" w:cs="Arial"/>
          <w:i/>
          <w:lang w:val="en-GB"/>
        </w:rPr>
        <w:t>; </w:t>
      </w:r>
      <w:hyperlink r:id="rId16" w:tooltip="View LawCiteRecord" w:history="1">
        <w:r w:rsidRPr="0007111F">
          <w:rPr>
            <w:rFonts w:ascii="Arial" w:eastAsia="Times New Roman" w:hAnsi="Arial" w:cs="Arial"/>
            <w:bCs/>
            <w:i/>
            <w:lang w:val="en-GB"/>
          </w:rPr>
          <w:t>1998 (2) SA 138</w:t>
        </w:r>
      </w:hyperlink>
      <w:r w:rsidRPr="0007111F">
        <w:rPr>
          <w:rFonts w:ascii="Arial" w:eastAsia="Times New Roman" w:hAnsi="Arial" w:cs="Arial"/>
          <w:i/>
          <w:lang w:val="en-GB"/>
        </w:rPr>
        <w:t xml:space="preserve"> (SCA), to the </w:t>
      </w:r>
      <w:r w:rsidRPr="0007111F">
        <w:rPr>
          <w:rFonts w:ascii="Arial" w:eastAsia="Times New Roman" w:hAnsi="Arial" w:cs="Arial"/>
          <w:i/>
          <w:lang w:val="en-GB"/>
        </w:rPr>
        <w:lastRenderedPageBreak/>
        <w:t>carrying on of the company’s business in any way that recklessly or fraudulently prejudices the company’s creditors, or ‘</w:t>
      </w:r>
      <w:r w:rsidRPr="0007111F">
        <w:rPr>
          <w:rFonts w:ascii="Arial" w:eastAsia="Times New Roman" w:hAnsi="Arial" w:cs="Arial"/>
          <w:i/>
          <w:iCs/>
          <w:lang w:val="en-GB"/>
        </w:rPr>
        <w:t>disregards their interests</w:t>
      </w:r>
      <w:r w:rsidRPr="0007111F">
        <w:rPr>
          <w:rFonts w:ascii="Arial" w:eastAsia="Times New Roman" w:hAnsi="Arial" w:cs="Arial"/>
          <w:i/>
          <w:lang w:val="en-GB"/>
        </w:rPr>
        <w:t>’. When a company finds itself in financial difficulty, and especially if it is in a state of insolvency, those charged with the carrying-on of its business are obliged in addressing the situation to have reasonable regard for the interests of its creditors</w:t>
      </w:r>
      <w:r>
        <w:rPr>
          <w:rFonts w:ascii="Arial" w:eastAsia="Times New Roman" w:hAnsi="Arial" w:cs="Arial"/>
          <w:i/>
          <w:lang w:val="en-GB"/>
        </w:rPr>
        <w:t>.”</w:t>
      </w:r>
    </w:p>
    <w:p w:rsidR="0007111F" w:rsidRPr="0007111F" w:rsidRDefault="0007111F" w:rsidP="005E2FB7">
      <w:pPr>
        <w:spacing w:after="0" w:line="480" w:lineRule="auto"/>
        <w:jc w:val="both"/>
        <w:rPr>
          <w:rFonts w:ascii="Arial" w:hAnsi="Arial" w:cs="Arial"/>
          <w:sz w:val="24"/>
          <w:szCs w:val="24"/>
        </w:rPr>
      </w:pPr>
    </w:p>
    <w:p w:rsidR="009E2394" w:rsidRDefault="009E2394" w:rsidP="009E2394">
      <w:pPr>
        <w:spacing w:after="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plaintiff’s</w:t>
      </w:r>
      <w:r w:rsidR="006D4A12">
        <w:rPr>
          <w:rFonts w:ascii="Arial" w:hAnsi="Arial" w:cs="Arial"/>
          <w:sz w:val="24"/>
          <w:szCs w:val="24"/>
        </w:rPr>
        <w:t xml:space="preserve"> argument is that outside of those</w:t>
      </w:r>
      <w:r>
        <w:rPr>
          <w:rFonts w:ascii="Arial" w:hAnsi="Arial" w:cs="Arial"/>
          <w:sz w:val="24"/>
          <w:szCs w:val="24"/>
        </w:rPr>
        <w:t xml:space="preserve"> circumstances, s </w:t>
      </w:r>
      <w:r w:rsidR="006D4A12">
        <w:rPr>
          <w:rFonts w:ascii="Arial" w:hAnsi="Arial" w:cs="Arial"/>
          <w:sz w:val="24"/>
          <w:szCs w:val="24"/>
        </w:rPr>
        <w:t>218(2)</w:t>
      </w:r>
      <w:r>
        <w:rPr>
          <w:rFonts w:ascii="Arial" w:hAnsi="Arial" w:cs="Arial"/>
          <w:sz w:val="24"/>
          <w:szCs w:val="24"/>
        </w:rPr>
        <w:t xml:space="preserve"> as read with s</w:t>
      </w:r>
      <w:r w:rsidR="006D4A12">
        <w:rPr>
          <w:rFonts w:ascii="Arial" w:hAnsi="Arial" w:cs="Arial"/>
          <w:sz w:val="24"/>
          <w:szCs w:val="24"/>
        </w:rPr>
        <w:t xml:space="preserve"> </w:t>
      </w:r>
      <w:r>
        <w:rPr>
          <w:rFonts w:ascii="Arial" w:hAnsi="Arial" w:cs="Arial"/>
          <w:sz w:val="24"/>
          <w:szCs w:val="24"/>
        </w:rPr>
        <w:t>2</w:t>
      </w:r>
      <w:r w:rsidR="006D4A12">
        <w:rPr>
          <w:rFonts w:ascii="Arial" w:hAnsi="Arial" w:cs="Arial"/>
          <w:sz w:val="24"/>
          <w:szCs w:val="24"/>
        </w:rPr>
        <w:t>2(1)</w:t>
      </w:r>
      <w:r>
        <w:rPr>
          <w:rFonts w:ascii="Arial" w:hAnsi="Arial" w:cs="Arial"/>
          <w:sz w:val="24"/>
          <w:szCs w:val="24"/>
        </w:rPr>
        <w:t xml:space="preserve"> of the new Act substitute the identical liability. This, argues the plaintiff would achieve the purpose of the new Act as set out in s7(j) which states:</w:t>
      </w:r>
    </w:p>
    <w:p w:rsidR="009E2394" w:rsidRPr="009E2394" w:rsidRDefault="009E2394" w:rsidP="009E2394">
      <w:pPr>
        <w:spacing w:after="0" w:line="480" w:lineRule="auto"/>
        <w:jc w:val="both"/>
        <w:rPr>
          <w:rFonts w:ascii="Arial" w:eastAsia="Times New Roman" w:hAnsi="Arial" w:cs="Arial"/>
          <w:b/>
          <w:bCs/>
          <w:i/>
          <w:color w:val="000000"/>
          <w:lang w:val="en-US"/>
        </w:rPr>
      </w:pPr>
      <w:r>
        <w:rPr>
          <w:rFonts w:ascii="Arial" w:eastAsia="Times New Roman" w:hAnsi="Arial" w:cs="Arial"/>
          <w:b/>
          <w:bCs/>
          <w:i/>
          <w:color w:val="000000"/>
          <w:lang w:val="en-US"/>
        </w:rPr>
        <w:t>“</w:t>
      </w:r>
      <w:r w:rsidRPr="009E2394">
        <w:rPr>
          <w:rFonts w:ascii="Arial" w:eastAsia="Times New Roman" w:hAnsi="Arial" w:cs="Arial"/>
          <w:b/>
          <w:bCs/>
          <w:i/>
          <w:color w:val="000000"/>
          <w:lang w:val="en-US"/>
        </w:rPr>
        <w:t>7  Purposes of Act</w:t>
      </w:r>
    </w:p>
    <w:p w:rsidR="009E2394" w:rsidRPr="009E2394" w:rsidRDefault="009E2394" w:rsidP="009E2394">
      <w:pPr>
        <w:spacing w:after="0" w:line="480" w:lineRule="auto"/>
        <w:ind w:firstLine="284"/>
        <w:jc w:val="both"/>
        <w:rPr>
          <w:rFonts w:ascii="Arial" w:eastAsia="Times New Roman" w:hAnsi="Arial" w:cs="Arial"/>
          <w:i/>
          <w:color w:val="000000"/>
          <w:lang w:val="en-US"/>
        </w:rPr>
      </w:pPr>
      <w:r w:rsidRPr="009E2394">
        <w:rPr>
          <w:rFonts w:ascii="Arial" w:eastAsia="Times New Roman" w:hAnsi="Arial" w:cs="Arial"/>
          <w:i/>
          <w:color w:val="000000"/>
          <w:lang w:val="en-US"/>
        </w:rPr>
        <w:t>The purposes of this Act are to –</w:t>
      </w:r>
    </w:p>
    <w:p w:rsidR="009E2394" w:rsidRPr="009E2394" w:rsidRDefault="009E2394" w:rsidP="009E2394">
      <w:pPr>
        <w:spacing w:after="0" w:line="480" w:lineRule="auto"/>
        <w:ind w:firstLine="284"/>
        <w:jc w:val="both"/>
        <w:rPr>
          <w:rFonts w:ascii="Arial" w:eastAsia="Times New Roman" w:hAnsi="Arial" w:cs="Arial"/>
          <w:i/>
          <w:color w:val="000000"/>
          <w:lang w:val="en-US"/>
        </w:rPr>
      </w:pPr>
      <w:r w:rsidRPr="009E2394">
        <w:rPr>
          <w:rFonts w:ascii="Arial" w:eastAsia="Times New Roman" w:hAnsi="Arial" w:cs="Arial"/>
          <w:i/>
          <w:color w:val="000000"/>
          <w:lang w:val="en-US"/>
        </w:rPr>
        <w:t>….</w:t>
      </w:r>
    </w:p>
    <w:p w:rsidR="009E2394" w:rsidRDefault="009E2394" w:rsidP="009E2394">
      <w:pPr>
        <w:spacing w:after="0" w:line="480" w:lineRule="auto"/>
        <w:jc w:val="both"/>
        <w:rPr>
          <w:rFonts w:ascii="Arial" w:hAnsi="Arial" w:cs="Arial"/>
          <w:i/>
          <w:color w:val="000000"/>
        </w:rPr>
      </w:pPr>
      <w:r w:rsidRPr="009E2394">
        <w:rPr>
          <w:rFonts w:ascii="Arial" w:hAnsi="Arial" w:cs="Arial"/>
          <w:i/>
          <w:color w:val="000000"/>
        </w:rPr>
        <w:t>  </w:t>
      </w:r>
      <w:bookmarkStart w:id="8" w:name="0-0-0-62611"/>
      <w:bookmarkEnd w:id="8"/>
      <w:r w:rsidRPr="009E2394">
        <w:rPr>
          <w:rFonts w:ascii="Arial" w:hAnsi="Arial" w:cs="Arial"/>
          <w:i/>
          <w:iCs/>
          <w:color w:val="000000"/>
        </w:rPr>
        <w:t>(j)</w:t>
      </w:r>
      <w:r w:rsidRPr="009E2394">
        <w:rPr>
          <w:rFonts w:ascii="Arial" w:hAnsi="Arial" w:cs="Arial"/>
          <w:i/>
          <w:color w:val="000000"/>
        </w:rPr>
        <w:t>   encourage the efficient and responsible management of companies;…”</w:t>
      </w:r>
    </w:p>
    <w:p w:rsidR="006D4A12" w:rsidRDefault="006D4A12" w:rsidP="009E2394">
      <w:pPr>
        <w:spacing w:after="0" w:line="480" w:lineRule="auto"/>
        <w:jc w:val="both"/>
        <w:rPr>
          <w:rFonts w:ascii="Arial" w:hAnsi="Arial" w:cs="Arial"/>
          <w:color w:val="000000"/>
          <w:sz w:val="24"/>
          <w:szCs w:val="24"/>
        </w:rPr>
      </w:pPr>
    </w:p>
    <w:p w:rsidR="009E2394" w:rsidRPr="006D4A12" w:rsidRDefault="009E2394" w:rsidP="009E2394">
      <w:pPr>
        <w:spacing w:after="0" w:line="480" w:lineRule="auto"/>
        <w:jc w:val="both"/>
        <w:rPr>
          <w:rFonts w:ascii="Arial" w:hAnsi="Arial" w:cs="Arial"/>
          <w:color w:val="000000"/>
          <w:sz w:val="24"/>
          <w:szCs w:val="24"/>
        </w:rPr>
      </w:pPr>
      <w:r w:rsidRPr="006D4A12">
        <w:rPr>
          <w:rFonts w:ascii="Arial" w:hAnsi="Arial" w:cs="Arial"/>
          <w:color w:val="000000"/>
          <w:sz w:val="24"/>
          <w:szCs w:val="24"/>
        </w:rPr>
        <w:t xml:space="preserve">and </w:t>
      </w:r>
      <w:r w:rsidR="006D4A12">
        <w:rPr>
          <w:rFonts w:ascii="Arial" w:hAnsi="Arial" w:cs="Arial"/>
          <w:color w:val="000000"/>
          <w:sz w:val="24"/>
          <w:szCs w:val="24"/>
        </w:rPr>
        <w:t xml:space="preserve">it argues that </w:t>
      </w:r>
      <w:r w:rsidRPr="006D4A12">
        <w:rPr>
          <w:rFonts w:ascii="Arial" w:hAnsi="Arial" w:cs="Arial"/>
          <w:color w:val="000000"/>
          <w:sz w:val="24"/>
          <w:szCs w:val="24"/>
        </w:rPr>
        <w:t>the purpose would not be achieved by holding directors less liable for reckless conduct.</w:t>
      </w:r>
    </w:p>
    <w:p w:rsidR="009E2394" w:rsidRPr="006D4A12" w:rsidRDefault="009E2394" w:rsidP="009E2394">
      <w:pPr>
        <w:spacing w:after="0" w:line="480" w:lineRule="auto"/>
        <w:jc w:val="both"/>
        <w:rPr>
          <w:rFonts w:ascii="Arial" w:hAnsi="Arial" w:cs="Arial"/>
          <w:color w:val="000000"/>
          <w:sz w:val="24"/>
          <w:szCs w:val="24"/>
        </w:rPr>
      </w:pPr>
    </w:p>
    <w:p w:rsidR="00492783" w:rsidRDefault="009E2394" w:rsidP="009E2394">
      <w:pPr>
        <w:spacing w:after="0" w:line="480" w:lineRule="auto"/>
        <w:jc w:val="both"/>
        <w:rPr>
          <w:rFonts w:ascii="Arial" w:hAnsi="Arial" w:cs="Arial"/>
          <w:sz w:val="24"/>
          <w:szCs w:val="24"/>
        </w:rPr>
      </w:pPr>
      <w:r w:rsidRPr="00A91590">
        <w:rPr>
          <w:rFonts w:ascii="Arial" w:hAnsi="Arial" w:cs="Arial"/>
          <w:color w:val="000000"/>
          <w:sz w:val="24"/>
          <w:szCs w:val="24"/>
        </w:rPr>
        <w:t>13]</w:t>
      </w:r>
      <w:r w:rsidRPr="00A91590">
        <w:rPr>
          <w:rFonts w:ascii="Arial" w:hAnsi="Arial" w:cs="Arial"/>
          <w:color w:val="000000"/>
          <w:sz w:val="24"/>
          <w:szCs w:val="24"/>
        </w:rPr>
        <w:tab/>
      </w:r>
      <w:r w:rsidRPr="00A91590">
        <w:rPr>
          <w:rFonts w:ascii="Arial" w:hAnsi="Arial" w:cs="Arial"/>
          <w:sz w:val="24"/>
          <w:szCs w:val="24"/>
        </w:rPr>
        <w:t>The</w:t>
      </w:r>
      <w:r>
        <w:rPr>
          <w:rFonts w:ascii="Arial" w:hAnsi="Arial" w:cs="Arial"/>
          <w:sz w:val="24"/>
          <w:szCs w:val="24"/>
        </w:rPr>
        <w:t xml:space="preserve"> argument is that it could never have been the intention of the legislature to have created a remedy for creditors who are victims of reckless or fraudulent mismanagement of a company in terms of s</w:t>
      </w:r>
      <w:r w:rsidR="00A4058C">
        <w:rPr>
          <w:rFonts w:ascii="Arial" w:hAnsi="Arial" w:cs="Arial"/>
          <w:sz w:val="24"/>
          <w:szCs w:val="24"/>
        </w:rPr>
        <w:t xml:space="preserve"> </w:t>
      </w:r>
      <w:r>
        <w:rPr>
          <w:rFonts w:ascii="Arial" w:hAnsi="Arial" w:cs="Arial"/>
          <w:sz w:val="24"/>
          <w:szCs w:val="24"/>
        </w:rPr>
        <w:t>424 in a winding-up, but not otherwise. The argument is that the intent of s 218 is clear: that in good time new provisions would be enacted to replace the old s</w:t>
      </w:r>
      <w:r w:rsidR="00A4058C">
        <w:rPr>
          <w:rFonts w:ascii="Arial" w:hAnsi="Arial" w:cs="Arial"/>
          <w:sz w:val="24"/>
          <w:szCs w:val="24"/>
        </w:rPr>
        <w:t xml:space="preserve"> 424 remedy and to provide </w:t>
      </w:r>
      <w:r>
        <w:rPr>
          <w:rFonts w:ascii="Arial" w:hAnsi="Arial" w:cs="Arial"/>
          <w:sz w:val="24"/>
          <w:szCs w:val="24"/>
        </w:rPr>
        <w:t>a similar remedy to those creditors.</w:t>
      </w:r>
    </w:p>
    <w:p w:rsidR="009E2394" w:rsidRDefault="009E2394" w:rsidP="009E2394">
      <w:pPr>
        <w:spacing w:after="0" w:line="480" w:lineRule="auto"/>
        <w:jc w:val="both"/>
        <w:rPr>
          <w:rFonts w:ascii="Arial" w:hAnsi="Arial" w:cs="Arial"/>
          <w:sz w:val="24"/>
          <w:szCs w:val="24"/>
        </w:rPr>
      </w:pPr>
    </w:p>
    <w:p w:rsidR="005223E9" w:rsidRPr="005223E9" w:rsidRDefault="009E2394" w:rsidP="00DA2127">
      <w:pPr>
        <w:spacing w:after="0" w:line="480" w:lineRule="auto"/>
        <w:rPr>
          <w:rFonts w:ascii="Arial" w:eastAsia="Times New Roman" w:hAnsi="Arial" w:cs="Arial"/>
          <w:lang w:val="en-US"/>
        </w:rPr>
      </w:pPr>
      <w:r>
        <w:rPr>
          <w:rFonts w:ascii="Arial" w:hAnsi="Arial" w:cs="Arial"/>
          <w:sz w:val="24"/>
          <w:szCs w:val="24"/>
        </w:rPr>
        <w:lastRenderedPageBreak/>
        <w:t>14]</w:t>
      </w:r>
      <w:r>
        <w:rPr>
          <w:rFonts w:ascii="Arial" w:hAnsi="Arial" w:cs="Arial"/>
          <w:sz w:val="24"/>
          <w:szCs w:val="24"/>
        </w:rPr>
        <w:tab/>
        <w:t xml:space="preserve">According to the plaintiff, this argument finds support in the decision of </w:t>
      </w:r>
      <w:r>
        <w:rPr>
          <w:rFonts w:ascii="Arial" w:hAnsi="Arial" w:cs="Arial"/>
          <w:b/>
          <w:sz w:val="24"/>
          <w:szCs w:val="24"/>
        </w:rPr>
        <w:t>Natal Joint Municipal Pension Fund v Endumeni Municipality</w:t>
      </w:r>
      <w:r w:rsidR="00417DE2">
        <w:rPr>
          <w:rFonts w:ascii="Arial" w:hAnsi="Arial" w:cs="Arial"/>
          <w:sz w:val="24"/>
          <w:szCs w:val="24"/>
        </w:rPr>
        <w:t>:</w:t>
      </w:r>
      <w:r w:rsidRPr="0024102E">
        <w:rPr>
          <w:rStyle w:val="FootnoteReference"/>
          <w:rFonts w:ascii="Arial" w:hAnsi="Arial" w:cs="Arial"/>
          <w:sz w:val="24"/>
          <w:szCs w:val="24"/>
        </w:rPr>
        <w:footnoteReference w:id="12"/>
      </w:r>
      <w:r w:rsidR="005223E9" w:rsidRPr="005223E9">
        <w:rPr>
          <w:rFonts w:ascii="Arial" w:eastAsia="Times New Roman" w:hAnsi="Arial" w:cs="Arial"/>
          <w:i/>
          <w:lang w:val="en-US"/>
        </w:rPr>
        <w:br/>
      </w:r>
      <w:r w:rsidR="005223E9">
        <w:rPr>
          <w:rFonts w:ascii="Arial" w:eastAsia="Times New Roman" w:hAnsi="Arial" w:cs="Arial"/>
          <w:i/>
          <w:lang w:val="en-US"/>
        </w:rPr>
        <w:t>“</w:t>
      </w:r>
      <w:r w:rsidR="005223E9" w:rsidRPr="005223E9">
        <w:rPr>
          <w:rFonts w:ascii="Arial" w:eastAsia="Times New Roman" w:hAnsi="Arial" w:cs="Arial"/>
          <w:i/>
          <w:lang w:val="en-US"/>
        </w:rPr>
        <w:t xml:space="preserve">[18] </w:t>
      </w:r>
      <w:r w:rsidR="005223E9">
        <w:rPr>
          <w:rFonts w:ascii="Arial" w:eastAsia="Times New Roman" w:hAnsi="Arial" w:cs="Arial"/>
          <w:i/>
          <w:lang w:val="en-US"/>
        </w:rPr>
        <w:t>…</w:t>
      </w:r>
      <w:r w:rsidR="005223E9" w:rsidRPr="005223E9">
        <w:rPr>
          <w:rFonts w:ascii="Arial" w:eastAsia="Times New Roman" w:hAnsi="Arial" w:cs="Arial"/>
          <w:i/>
          <w:lang w:val="en-US"/>
        </w:rPr>
        <w:t xml:space="preserve"> 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w:t>
      </w:r>
      <w:r w:rsidR="005223E9">
        <w:rPr>
          <w:rFonts w:ascii="Arial" w:eastAsia="Times New Roman" w:hAnsi="Arial" w:cs="Arial"/>
          <w:i/>
          <w:lang w:val="en-US"/>
        </w:rPr>
        <w:t xml:space="preserve"> </w:t>
      </w:r>
      <w:r w:rsidR="005223E9" w:rsidRPr="005223E9">
        <w:rPr>
          <w:rFonts w:ascii="Arial" w:eastAsia="Times New Roman" w:hAnsi="Arial" w:cs="Arial"/>
          <w:i/>
          <w:lang w:val="en-US"/>
        </w:rPr>
        <w:t>document, consideration must be given to the language used in the light</w:t>
      </w:r>
      <w:r w:rsidR="005223E9">
        <w:rPr>
          <w:rFonts w:ascii="Arial" w:eastAsia="Times New Roman" w:hAnsi="Arial" w:cs="Arial"/>
          <w:i/>
          <w:lang w:val="en-US"/>
        </w:rPr>
        <w:t xml:space="preserve"> </w:t>
      </w:r>
      <w:r w:rsidR="005223E9" w:rsidRPr="005223E9">
        <w:rPr>
          <w:rFonts w:ascii="Arial" w:eastAsia="Times New Roman" w:hAnsi="Arial" w:cs="Arial"/>
          <w:i/>
          <w:lang w:val="en-US"/>
        </w:rPr>
        <w:t>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w:t>
      </w:r>
      <w:bookmarkStart w:id="9" w:name="0-0-0-272537"/>
      <w:bookmarkEnd w:id="9"/>
      <w:r w:rsidR="005223E9">
        <w:rPr>
          <w:rFonts w:ascii="Arial" w:eastAsia="Times New Roman" w:hAnsi="Arial" w:cs="Arial"/>
          <w:i/>
          <w:lang w:val="en-US"/>
        </w:rPr>
        <w:t xml:space="preserve">. </w:t>
      </w:r>
      <w:r w:rsidR="005223E9" w:rsidRPr="005223E9">
        <w:rPr>
          <w:rFonts w:ascii="Arial" w:eastAsia="Times New Roman" w:hAnsi="Arial" w:cs="Arial"/>
          <w:i/>
          <w:lang w:val="en-US"/>
        </w:rPr>
        <w:t>The process is objective, not subjecti</w:t>
      </w:r>
      <w:r w:rsidR="005223E9">
        <w:rPr>
          <w:rFonts w:ascii="Arial" w:eastAsia="Times New Roman" w:hAnsi="Arial" w:cs="Arial"/>
          <w:i/>
          <w:lang w:val="en-US"/>
        </w:rPr>
        <w:t>ve. A sensible </w:t>
      </w:r>
      <w:r w:rsidR="005223E9" w:rsidRPr="005223E9">
        <w:rPr>
          <w:rFonts w:ascii="Arial" w:eastAsia="Times New Roman" w:hAnsi="Arial" w:cs="Arial"/>
          <w:i/>
          <w:lang w:val="en-US"/>
        </w:rPr>
        <w:t>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w:t>
      </w:r>
      <w:r w:rsidR="005223E9">
        <w:rPr>
          <w:rFonts w:ascii="Arial" w:eastAsia="Times New Roman" w:hAnsi="Arial" w:cs="Arial"/>
          <w:i/>
          <w:lang w:val="en-US"/>
        </w:rPr>
        <w:t xml:space="preserve">atutory instrument is to cross </w:t>
      </w:r>
      <w:r w:rsidR="005223E9" w:rsidRPr="005223E9">
        <w:rPr>
          <w:rFonts w:ascii="Arial" w:eastAsia="Times New Roman" w:hAnsi="Arial" w:cs="Arial"/>
          <w:i/>
          <w:lang w:val="en-US"/>
        </w:rPr>
        <w:t>the divide between interpretation and legislation; in a contractual context it is to make a contract for the parties other than the one they in fact made. The 'inevitable point of departure is the language of the provision itself',</w:t>
      </w:r>
      <w:bookmarkStart w:id="10" w:name="0-0-0-272541"/>
      <w:bookmarkEnd w:id="10"/>
      <w:r w:rsidR="005223E9" w:rsidRPr="005223E9">
        <w:rPr>
          <w:rFonts w:ascii="Arial" w:eastAsia="Times New Roman" w:hAnsi="Arial" w:cs="Arial"/>
          <w:i/>
          <w:lang w:val="en-US"/>
        </w:rPr>
        <w:t xml:space="preserve"> read in context and having regard to the purpose of the provision and the background to the</w:t>
      </w:r>
      <w:r w:rsidR="005223E9">
        <w:rPr>
          <w:rFonts w:ascii="Arial" w:eastAsia="Times New Roman" w:hAnsi="Arial" w:cs="Arial"/>
          <w:i/>
          <w:lang w:val="en-US"/>
        </w:rPr>
        <w:t xml:space="preserve"> preparation and production of </w:t>
      </w:r>
      <w:r w:rsidR="005223E9" w:rsidRPr="005223E9">
        <w:rPr>
          <w:rFonts w:ascii="Arial" w:eastAsia="Times New Roman" w:hAnsi="Arial" w:cs="Arial"/>
          <w:i/>
          <w:lang w:val="en-US"/>
        </w:rPr>
        <w:t>the document.</w:t>
      </w:r>
      <w:r w:rsidR="005223E9">
        <w:rPr>
          <w:rFonts w:ascii="Arial" w:eastAsia="Times New Roman" w:hAnsi="Arial" w:cs="Arial"/>
          <w:i/>
          <w:lang w:val="en-US"/>
        </w:rPr>
        <w:t>”</w:t>
      </w:r>
    </w:p>
    <w:p w:rsidR="00492783" w:rsidRDefault="00492783" w:rsidP="00975362">
      <w:pPr>
        <w:spacing w:after="0" w:line="480" w:lineRule="auto"/>
        <w:jc w:val="both"/>
        <w:rPr>
          <w:rFonts w:ascii="Arial" w:hAnsi="Arial" w:cs="Arial"/>
          <w:sz w:val="24"/>
          <w:szCs w:val="24"/>
        </w:rPr>
      </w:pPr>
    </w:p>
    <w:p w:rsidR="00975362" w:rsidRDefault="00975362" w:rsidP="00975362">
      <w:pPr>
        <w:spacing w:after="0"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A825EE">
        <w:rPr>
          <w:rFonts w:ascii="Arial" w:hAnsi="Arial" w:cs="Arial"/>
          <w:sz w:val="24"/>
          <w:szCs w:val="24"/>
        </w:rPr>
        <w:t>According to the plaintiff, the purpose of the new Act is to enhance the responsibilities of directors, not to remove them. This is clearly from</w:t>
      </w:r>
      <w:r>
        <w:rPr>
          <w:rFonts w:ascii="Arial" w:hAnsi="Arial" w:cs="Arial"/>
          <w:sz w:val="24"/>
          <w:szCs w:val="24"/>
        </w:rPr>
        <w:t xml:space="preserve"> </w:t>
      </w:r>
      <w:r>
        <w:rPr>
          <w:rFonts w:ascii="Arial" w:hAnsi="Arial" w:cs="Arial"/>
          <w:b/>
          <w:sz w:val="24"/>
          <w:szCs w:val="24"/>
        </w:rPr>
        <w:t>Gihwala and Others v Grancy Property Ltd and Others</w:t>
      </w:r>
      <w:r w:rsidRPr="00975362">
        <w:rPr>
          <w:rStyle w:val="FootnoteReference"/>
          <w:rFonts w:ascii="Arial" w:hAnsi="Arial" w:cs="Arial"/>
          <w:sz w:val="24"/>
          <w:szCs w:val="24"/>
        </w:rPr>
        <w:footnoteReference w:id="13"/>
      </w:r>
      <w:r>
        <w:rPr>
          <w:rFonts w:ascii="Arial" w:hAnsi="Arial" w:cs="Arial"/>
          <w:sz w:val="24"/>
          <w:szCs w:val="24"/>
        </w:rPr>
        <w:t xml:space="preserve"> </w:t>
      </w:r>
      <w:r w:rsidR="00A4058C">
        <w:rPr>
          <w:rFonts w:ascii="Arial" w:hAnsi="Arial" w:cs="Arial"/>
          <w:sz w:val="24"/>
          <w:szCs w:val="24"/>
        </w:rPr>
        <w:t xml:space="preserve">where </w:t>
      </w:r>
      <w:r>
        <w:rPr>
          <w:rFonts w:ascii="Arial" w:hAnsi="Arial" w:cs="Arial"/>
          <w:sz w:val="24"/>
          <w:szCs w:val="24"/>
        </w:rPr>
        <w:t>Wallis JA stated:</w:t>
      </w:r>
    </w:p>
    <w:p w:rsidR="00A825EE" w:rsidRPr="00A825EE" w:rsidRDefault="00A825EE" w:rsidP="00A825EE">
      <w:pPr>
        <w:spacing w:after="0" w:line="480" w:lineRule="auto"/>
        <w:jc w:val="both"/>
        <w:rPr>
          <w:rFonts w:ascii="Arial" w:eastAsia="Times New Roman" w:hAnsi="Arial" w:cs="Arial"/>
          <w:i/>
          <w:color w:val="000000"/>
          <w:lang w:val="en-US"/>
        </w:rPr>
      </w:pPr>
      <w:r>
        <w:rPr>
          <w:rFonts w:ascii="Arial" w:eastAsia="Times New Roman" w:hAnsi="Arial" w:cs="Arial"/>
          <w:i/>
          <w:color w:val="000000"/>
          <w:lang w:val="en-US"/>
        </w:rPr>
        <w:lastRenderedPageBreak/>
        <w:t>“</w:t>
      </w:r>
      <w:r w:rsidRPr="00A825EE">
        <w:rPr>
          <w:rFonts w:ascii="Arial" w:eastAsia="Times New Roman" w:hAnsi="Arial" w:cs="Arial"/>
          <w:i/>
          <w:color w:val="000000"/>
          <w:lang w:val="en-US"/>
        </w:rPr>
        <w:t>[144] All of these involve serious misconduct on the part of a director. In the affidavits raising the constitutional issue there was a complaint that gross negligence could trigger a delinquency order. There is no merit in this complaint. There is a long history of courts treating gross negligence as the equivalent of recklessness, when dealing with the conduct of those responsible for the administration of companies, </w:t>
      </w:r>
      <w:bookmarkStart w:id="11" w:name="0-0-0-153309"/>
      <w:bookmarkEnd w:id="11"/>
      <w:r w:rsidRPr="00A825EE">
        <w:rPr>
          <w:rFonts w:ascii="Arial" w:eastAsia="Times New Roman" w:hAnsi="Arial" w:cs="Arial"/>
          <w:i/>
          <w:color w:val="000000"/>
          <w:lang w:val="en-US"/>
        </w:rPr>
        <w:t xml:space="preserve">and recklessness is plainly serious misconduct. It was urged upon us </w:t>
      </w:r>
      <w:r>
        <w:rPr>
          <w:rFonts w:ascii="Arial" w:eastAsia="Times New Roman" w:hAnsi="Arial" w:cs="Arial"/>
          <w:i/>
          <w:color w:val="000000"/>
          <w:lang w:val="en-US"/>
        </w:rPr>
        <w:t>that there might be </w:t>
      </w:r>
      <w:r w:rsidRPr="00A825EE">
        <w:rPr>
          <w:rFonts w:ascii="Arial" w:eastAsia="Times New Roman" w:hAnsi="Arial" w:cs="Arial"/>
          <w:i/>
          <w:color w:val="000000"/>
          <w:lang w:val="en-US"/>
        </w:rPr>
        <w:t>circumstances of extenuation, or perhaps that, notwithstanding the seriousness of the conduct, the company might not have suffered any loss. But neither of those is relevant to the protective purpose of the section. Its aim is to ensure that those who invest in companies, big or small, are protected against directors wh</w:t>
      </w:r>
      <w:r>
        <w:rPr>
          <w:rFonts w:ascii="Arial" w:eastAsia="Times New Roman" w:hAnsi="Arial" w:cs="Arial"/>
          <w:i/>
          <w:color w:val="000000"/>
          <w:lang w:val="en-US"/>
        </w:rPr>
        <w:t xml:space="preserve">o engage in serious misconduct </w:t>
      </w:r>
      <w:r w:rsidRPr="00A825EE">
        <w:rPr>
          <w:rFonts w:ascii="Arial" w:eastAsia="Times New Roman" w:hAnsi="Arial" w:cs="Arial"/>
          <w:i/>
          <w:color w:val="000000"/>
          <w:lang w:val="en-US"/>
        </w:rPr>
        <w:t>of the type described in these sections. That is conduct that breaches the bond of trust that shareholders have in the people they appoint to the board of directors. Directors who show themselves unworthy of that trust are declared delinquent and excluded from the office of director. It protects those who deal with companies by seeking to ensure that the management of those companies is in fit hands. And it is</w:t>
      </w:r>
      <w:r>
        <w:rPr>
          <w:rFonts w:ascii="Arial" w:eastAsia="Times New Roman" w:hAnsi="Arial" w:cs="Arial"/>
          <w:i/>
          <w:color w:val="000000"/>
          <w:lang w:val="en-US"/>
        </w:rPr>
        <w:t xml:space="preserve"> required in the </w:t>
      </w:r>
      <w:r w:rsidRPr="00A825EE">
        <w:rPr>
          <w:rFonts w:ascii="Arial" w:eastAsia="Times New Roman" w:hAnsi="Arial" w:cs="Arial"/>
          <w:i/>
          <w:color w:val="000000"/>
          <w:lang w:val="en-US"/>
        </w:rPr>
        <w:t>public interest that those who enjoy the benefits of incorporation and limited liability should not abuse their position. The exclusion is for a minimum period of seven years,</w:t>
      </w:r>
      <w:bookmarkStart w:id="12" w:name="0-0-0-153313"/>
      <w:bookmarkEnd w:id="12"/>
      <w:r w:rsidRPr="00A825EE">
        <w:rPr>
          <w:rFonts w:ascii="Arial" w:eastAsia="Times New Roman" w:hAnsi="Arial" w:cs="Arial"/>
          <w:i/>
          <w:color w:val="000000"/>
          <w:lang w:val="en-US"/>
        </w:rPr>
        <w:t xml:space="preserve"> but the court has the power to relax that after three years and instead place the person under probation in terms of the section. </w:t>
      </w:r>
      <w:bookmarkStart w:id="13" w:name="0-0-0-153317"/>
      <w:bookmarkEnd w:id="13"/>
      <w:r w:rsidRPr="00A825EE">
        <w:rPr>
          <w:rFonts w:ascii="Arial" w:eastAsia="Times New Roman" w:hAnsi="Arial" w:cs="Arial"/>
          <w:i/>
          <w:color w:val="000000"/>
          <w:lang w:val="en-US"/>
        </w:rPr>
        <w:t>So there is power to relax the full effect of a declaration of delinquency once the delinquent has demonstrated that this is appropriate. In addition, the court may restrict the operation of the declaration of delinquency to one or more particular categories of company. A director declared delinquent in relation to a financial services company may be permitted to be a director of an engineering firm.</w:t>
      </w:r>
      <w:r>
        <w:rPr>
          <w:rFonts w:ascii="Arial" w:eastAsia="Times New Roman" w:hAnsi="Arial" w:cs="Arial"/>
          <w:i/>
          <w:color w:val="000000"/>
          <w:lang w:val="en-US"/>
        </w:rPr>
        <w:t>”</w:t>
      </w:r>
    </w:p>
    <w:p w:rsidR="00975362" w:rsidRDefault="00975362" w:rsidP="00975362">
      <w:pPr>
        <w:spacing w:after="0" w:line="480" w:lineRule="auto"/>
        <w:jc w:val="both"/>
        <w:rPr>
          <w:rFonts w:ascii="Arial" w:hAnsi="Arial" w:cs="Arial"/>
          <w:sz w:val="24"/>
          <w:szCs w:val="24"/>
        </w:rPr>
      </w:pPr>
    </w:p>
    <w:p w:rsidR="00A825EE" w:rsidRDefault="00A825EE" w:rsidP="00975362">
      <w:pPr>
        <w:spacing w:after="0"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833605">
        <w:rPr>
          <w:rFonts w:ascii="Arial" w:hAnsi="Arial" w:cs="Arial"/>
          <w:sz w:val="24"/>
          <w:szCs w:val="24"/>
        </w:rPr>
        <w:t xml:space="preserve">But what plaintiff loses sight of is that </w:t>
      </w:r>
      <w:r w:rsidR="0042133F">
        <w:rPr>
          <w:rFonts w:ascii="Arial" w:hAnsi="Arial" w:cs="Arial"/>
          <w:b/>
          <w:sz w:val="24"/>
          <w:szCs w:val="24"/>
        </w:rPr>
        <w:t>G</w:t>
      </w:r>
      <w:r w:rsidR="00833605">
        <w:rPr>
          <w:rFonts w:ascii="Arial" w:hAnsi="Arial" w:cs="Arial"/>
          <w:b/>
          <w:sz w:val="24"/>
          <w:szCs w:val="24"/>
        </w:rPr>
        <w:t>i</w:t>
      </w:r>
      <w:r w:rsidR="0042133F">
        <w:rPr>
          <w:rFonts w:ascii="Arial" w:hAnsi="Arial" w:cs="Arial"/>
          <w:b/>
          <w:sz w:val="24"/>
          <w:szCs w:val="24"/>
        </w:rPr>
        <w:t>h</w:t>
      </w:r>
      <w:r w:rsidR="00833605">
        <w:rPr>
          <w:rFonts w:ascii="Arial" w:hAnsi="Arial" w:cs="Arial"/>
          <w:b/>
          <w:sz w:val="24"/>
          <w:szCs w:val="24"/>
        </w:rPr>
        <w:t>wala</w:t>
      </w:r>
      <w:r w:rsidR="00833605">
        <w:rPr>
          <w:rFonts w:ascii="Arial" w:hAnsi="Arial" w:cs="Arial"/>
          <w:sz w:val="24"/>
          <w:szCs w:val="24"/>
        </w:rPr>
        <w:t xml:space="preserve"> specifically pertains to the legislative purpose of s 162 – it is now common cause that the plaintiff has no claim under s 162. And whilst I agree that s 7(j) makes provision for encouraging the efficient and </w:t>
      </w:r>
      <w:r w:rsidR="00833605">
        <w:rPr>
          <w:rFonts w:ascii="Arial" w:hAnsi="Arial" w:cs="Arial"/>
          <w:sz w:val="24"/>
          <w:szCs w:val="24"/>
        </w:rPr>
        <w:lastRenderedPageBreak/>
        <w:t>responsible management of companies, the plaintiff must still make out a case that it</w:t>
      </w:r>
      <w:r w:rsidR="001E19B3">
        <w:rPr>
          <w:rFonts w:ascii="Arial" w:hAnsi="Arial" w:cs="Arial"/>
          <w:sz w:val="24"/>
          <w:szCs w:val="24"/>
        </w:rPr>
        <w:t>s</w:t>
      </w:r>
      <w:r w:rsidR="00833605">
        <w:rPr>
          <w:rFonts w:ascii="Arial" w:hAnsi="Arial" w:cs="Arial"/>
          <w:sz w:val="24"/>
          <w:szCs w:val="24"/>
        </w:rPr>
        <w:t xml:space="preserve"> claim falls within the provisions of the new Act.</w:t>
      </w:r>
    </w:p>
    <w:p w:rsidR="00833605" w:rsidRDefault="00833605" w:rsidP="00975362">
      <w:pPr>
        <w:spacing w:after="0" w:line="480" w:lineRule="auto"/>
        <w:jc w:val="both"/>
        <w:rPr>
          <w:rFonts w:ascii="Arial" w:hAnsi="Arial" w:cs="Arial"/>
          <w:sz w:val="24"/>
          <w:szCs w:val="24"/>
        </w:rPr>
      </w:pPr>
    </w:p>
    <w:p w:rsidR="00833605" w:rsidRPr="00833605" w:rsidRDefault="001E19B3" w:rsidP="00975362">
      <w:pPr>
        <w:spacing w:after="0" w:line="480" w:lineRule="auto"/>
        <w:jc w:val="both"/>
        <w:rPr>
          <w:rFonts w:ascii="Arial" w:hAnsi="Arial" w:cs="Arial"/>
          <w:b/>
          <w:sz w:val="24"/>
          <w:szCs w:val="24"/>
          <w:u w:val="single"/>
        </w:rPr>
      </w:pPr>
      <w:r>
        <w:rPr>
          <w:rFonts w:ascii="Arial" w:hAnsi="Arial" w:cs="Arial"/>
          <w:b/>
          <w:sz w:val="24"/>
          <w:szCs w:val="24"/>
          <w:u w:val="single"/>
        </w:rPr>
        <w:t>Can plaintiff re</w:t>
      </w:r>
      <w:r w:rsidR="00833605">
        <w:rPr>
          <w:rFonts w:ascii="Arial" w:hAnsi="Arial" w:cs="Arial"/>
          <w:b/>
          <w:sz w:val="24"/>
          <w:szCs w:val="24"/>
          <w:u w:val="single"/>
        </w:rPr>
        <w:t>ly on s 218(2) as read with s</w:t>
      </w:r>
      <w:r>
        <w:rPr>
          <w:rFonts w:ascii="Arial" w:hAnsi="Arial" w:cs="Arial"/>
          <w:b/>
          <w:sz w:val="24"/>
          <w:szCs w:val="24"/>
          <w:u w:val="single"/>
        </w:rPr>
        <w:t xml:space="preserve"> </w:t>
      </w:r>
      <w:r w:rsidR="00833605">
        <w:rPr>
          <w:rFonts w:ascii="Arial" w:hAnsi="Arial" w:cs="Arial"/>
          <w:b/>
          <w:sz w:val="24"/>
          <w:szCs w:val="24"/>
          <w:u w:val="single"/>
        </w:rPr>
        <w:t>22(1)?</w:t>
      </w:r>
    </w:p>
    <w:p w:rsidR="00492783" w:rsidRDefault="00833605" w:rsidP="00833605">
      <w:pPr>
        <w:spacing w:after="0"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The plaintiff’s argument is that s218(2) must be interpreted in light of the </w:t>
      </w:r>
      <w:r w:rsidRPr="00833605">
        <w:rPr>
          <w:rFonts w:ascii="Arial" w:hAnsi="Arial" w:cs="Arial"/>
          <w:b/>
          <w:sz w:val="24"/>
          <w:szCs w:val="24"/>
        </w:rPr>
        <w:t>Endumeni</w:t>
      </w:r>
      <w:r>
        <w:rPr>
          <w:rFonts w:ascii="Arial" w:hAnsi="Arial" w:cs="Arial"/>
          <w:b/>
          <w:sz w:val="24"/>
          <w:szCs w:val="24"/>
        </w:rPr>
        <w:t xml:space="preserve"> </w:t>
      </w:r>
      <w:r w:rsidR="001E19B3">
        <w:rPr>
          <w:rFonts w:ascii="Arial" w:hAnsi="Arial" w:cs="Arial"/>
          <w:sz w:val="24"/>
          <w:szCs w:val="24"/>
        </w:rPr>
        <w:t>judgment; that the word</w:t>
      </w:r>
      <w:r>
        <w:rPr>
          <w:rFonts w:ascii="Arial" w:hAnsi="Arial" w:cs="Arial"/>
          <w:sz w:val="24"/>
          <w:szCs w:val="24"/>
        </w:rPr>
        <w:t xml:space="preserve">s </w:t>
      </w:r>
      <w:r>
        <w:rPr>
          <w:rFonts w:ascii="Arial" w:hAnsi="Arial" w:cs="Arial"/>
          <w:i/>
          <w:sz w:val="24"/>
          <w:szCs w:val="24"/>
        </w:rPr>
        <w:t>“any person”</w:t>
      </w:r>
      <w:r>
        <w:rPr>
          <w:rFonts w:ascii="Arial" w:hAnsi="Arial" w:cs="Arial"/>
          <w:sz w:val="24"/>
          <w:szCs w:val="24"/>
        </w:rPr>
        <w:t xml:space="preserve"> and </w:t>
      </w:r>
      <w:r>
        <w:rPr>
          <w:rFonts w:ascii="Arial" w:hAnsi="Arial" w:cs="Arial"/>
          <w:i/>
          <w:sz w:val="24"/>
          <w:szCs w:val="24"/>
        </w:rPr>
        <w:t>“any provision”</w:t>
      </w:r>
      <w:r>
        <w:rPr>
          <w:rFonts w:ascii="Arial" w:hAnsi="Arial" w:cs="Arial"/>
          <w:sz w:val="24"/>
          <w:szCs w:val="24"/>
        </w:rPr>
        <w:t xml:space="preserve"> in s 218(2) (it being a general provision of the new Act) do not detract from anything contained in s 22(1) and that the words </w:t>
      </w:r>
      <w:r>
        <w:rPr>
          <w:rFonts w:ascii="Arial" w:hAnsi="Arial" w:cs="Arial"/>
          <w:i/>
          <w:sz w:val="24"/>
          <w:szCs w:val="24"/>
        </w:rPr>
        <w:t>“the company”</w:t>
      </w:r>
      <w:r>
        <w:rPr>
          <w:rFonts w:ascii="Arial" w:hAnsi="Arial" w:cs="Arial"/>
          <w:sz w:val="24"/>
          <w:szCs w:val="24"/>
        </w:rPr>
        <w:t xml:space="preserve"> in s 2</w:t>
      </w:r>
      <w:r w:rsidR="001E19B3">
        <w:rPr>
          <w:rFonts w:ascii="Arial" w:hAnsi="Arial" w:cs="Arial"/>
          <w:sz w:val="24"/>
          <w:szCs w:val="24"/>
        </w:rPr>
        <w:t>2(1) includes its directors. T</w:t>
      </w:r>
      <w:r>
        <w:rPr>
          <w:rFonts w:ascii="Arial" w:hAnsi="Arial" w:cs="Arial"/>
          <w:sz w:val="24"/>
          <w:szCs w:val="24"/>
        </w:rPr>
        <w:t>herefore, if it is found that the directors are conducting the company in the manner set out in s 22(1), the mechanism available to the creditors to hold them liable is via s218(2).</w:t>
      </w:r>
    </w:p>
    <w:p w:rsidR="00114E4F" w:rsidRDefault="00114E4F" w:rsidP="00833605">
      <w:pPr>
        <w:spacing w:after="0" w:line="480" w:lineRule="auto"/>
        <w:jc w:val="both"/>
        <w:rPr>
          <w:rFonts w:ascii="Arial" w:hAnsi="Arial" w:cs="Arial"/>
          <w:sz w:val="24"/>
          <w:szCs w:val="24"/>
        </w:rPr>
      </w:pPr>
    </w:p>
    <w:p w:rsidR="00114E4F" w:rsidRDefault="00114E4F" w:rsidP="00833605">
      <w:pPr>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The plaintiff’s argument is based on the judgment in </w:t>
      </w:r>
      <w:r w:rsidR="00DF5212">
        <w:rPr>
          <w:rFonts w:ascii="Arial" w:hAnsi="Arial" w:cs="Arial"/>
          <w:b/>
          <w:sz w:val="24"/>
          <w:szCs w:val="24"/>
        </w:rPr>
        <w:t>Rabinowitz</w:t>
      </w:r>
      <w:r>
        <w:rPr>
          <w:rFonts w:ascii="Arial" w:hAnsi="Arial" w:cs="Arial"/>
          <w:b/>
          <w:sz w:val="24"/>
          <w:szCs w:val="24"/>
        </w:rPr>
        <w:t xml:space="preserve"> v Van Graan</w:t>
      </w:r>
      <w:r w:rsidRPr="00B41C83">
        <w:rPr>
          <w:rStyle w:val="FootnoteReference"/>
          <w:rFonts w:ascii="Arial" w:hAnsi="Arial" w:cs="Arial"/>
          <w:sz w:val="24"/>
          <w:szCs w:val="24"/>
        </w:rPr>
        <w:footnoteReference w:id="14"/>
      </w:r>
      <w:r w:rsidR="00B41C83">
        <w:rPr>
          <w:rFonts w:ascii="Arial" w:hAnsi="Arial" w:cs="Arial"/>
          <w:sz w:val="24"/>
          <w:szCs w:val="24"/>
        </w:rPr>
        <w:t xml:space="preserve"> in which Du Plessis AJ found that a third party can hold a director personally liable in terms of the new Act </w:t>
      </w:r>
      <w:r w:rsidR="00B41C83">
        <w:rPr>
          <w:rFonts w:ascii="Arial" w:hAnsi="Arial" w:cs="Arial"/>
          <w:i/>
          <w:sz w:val="24"/>
          <w:szCs w:val="24"/>
        </w:rPr>
        <w:t>“for acquiescing  in or knowing about conduct that falls within the ambit of s22(1).”</w:t>
      </w:r>
      <w:r w:rsidR="00B41C83">
        <w:rPr>
          <w:rFonts w:ascii="Arial" w:hAnsi="Arial" w:cs="Arial"/>
          <w:sz w:val="24"/>
          <w:szCs w:val="24"/>
        </w:rPr>
        <w:t xml:space="preserve"> His reasoning was the following:</w:t>
      </w:r>
    </w:p>
    <w:p w:rsidR="00B41C83" w:rsidRPr="00B41C83" w:rsidRDefault="00B41C83" w:rsidP="00B41C83">
      <w:pPr>
        <w:spacing w:after="0" w:line="480" w:lineRule="auto"/>
        <w:jc w:val="both"/>
        <w:rPr>
          <w:rFonts w:ascii="Arial" w:eastAsia="Times New Roman" w:hAnsi="Arial" w:cs="Arial"/>
          <w:i/>
          <w:color w:val="000000"/>
          <w:lang w:val="en-US"/>
        </w:rPr>
      </w:pPr>
      <w:r>
        <w:rPr>
          <w:rFonts w:ascii="Arial" w:eastAsia="Times New Roman" w:hAnsi="Arial" w:cs="Arial"/>
          <w:i/>
          <w:color w:val="000000"/>
          <w:lang w:val="en-US"/>
        </w:rPr>
        <w:t>“</w:t>
      </w:r>
      <w:r w:rsidRPr="00B41C83">
        <w:rPr>
          <w:rFonts w:ascii="Arial" w:eastAsia="Times New Roman" w:hAnsi="Arial" w:cs="Arial"/>
          <w:i/>
          <w:color w:val="000000"/>
          <w:lang w:val="en-US"/>
        </w:rPr>
        <w:t>[19] Mr </w:t>
      </w:r>
      <w:r w:rsidRPr="00B41C83">
        <w:rPr>
          <w:rFonts w:ascii="Arial" w:eastAsia="Times New Roman" w:hAnsi="Arial" w:cs="Arial"/>
          <w:i/>
          <w:iCs/>
          <w:color w:val="000000"/>
          <w:lang w:val="en-US"/>
        </w:rPr>
        <w:t>Subel</w:t>
      </w:r>
      <w:r w:rsidRPr="00B41C83">
        <w:rPr>
          <w:rFonts w:ascii="Arial" w:eastAsia="Times New Roman" w:hAnsi="Arial" w:cs="Arial"/>
          <w:i/>
          <w:color w:val="000000"/>
          <w:lang w:val="en-US"/>
        </w:rPr>
        <w:t> submitted that these authors are wrong and that a director could only be liable in terms of the Act for the losses or damages sustained by the company of which he was a director. The proper plaintiff should therefore be the company itself or, when it is in liquidation such as the case here, the liquidator/s thereof. This is so as s 77(3) thereof provides as follows:</w:t>
      </w:r>
    </w:p>
    <w:p w:rsidR="00B41C83" w:rsidRPr="00B41C83" w:rsidRDefault="00B41C83" w:rsidP="00B41C83">
      <w:pPr>
        <w:spacing w:after="0" w:line="480" w:lineRule="auto"/>
        <w:jc w:val="both"/>
        <w:rPr>
          <w:rFonts w:ascii="Arial" w:eastAsia="Times New Roman" w:hAnsi="Arial" w:cs="Arial"/>
          <w:i/>
          <w:color w:val="000000"/>
          <w:sz w:val="20"/>
          <w:szCs w:val="20"/>
          <w:lang w:val="en-US"/>
        </w:rPr>
      </w:pPr>
      <w:r w:rsidRPr="00B41C83">
        <w:rPr>
          <w:rFonts w:ascii="Arial" w:eastAsia="Times New Roman" w:hAnsi="Arial" w:cs="Arial"/>
          <w:i/>
          <w:color w:val="000000"/>
          <w:sz w:val="20"/>
          <w:szCs w:val="20"/>
          <w:lang w:val="en-US"/>
        </w:rPr>
        <w:t>'(3) A director of a company is liable for any loss, damages or costs sustained by the company as a direct or indirect consequence of the director having —</w:t>
      </w:r>
    </w:p>
    <w:p w:rsidR="00B41C83" w:rsidRPr="00B41C83" w:rsidRDefault="00B41C83" w:rsidP="00B41C83">
      <w:pPr>
        <w:spacing w:after="0" w:line="480" w:lineRule="auto"/>
        <w:jc w:val="both"/>
        <w:rPr>
          <w:rFonts w:ascii="Arial" w:eastAsia="Times New Roman" w:hAnsi="Arial" w:cs="Arial"/>
          <w:i/>
          <w:color w:val="000000"/>
          <w:sz w:val="20"/>
          <w:szCs w:val="20"/>
          <w:lang w:val="en-US"/>
        </w:rPr>
      </w:pPr>
      <w:r w:rsidRPr="00B41C83">
        <w:rPr>
          <w:rFonts w:ascii="Arial" w:eastAsia="Times New Roman" w:hAnsi="Arial" w:cs="Arial"/>
          <w:i/>
          <w:color w:val="000000"/>
          <w:sz w:val="20"/>
          <w:szCs w:val="20"/>
          <w:lang w:val="en-US"/>
        </w:rPr>
        <w:t>   . . .</w:t>
      </w:r>
    </w:p>
    <w:p w:rsidR="00B41C83" w:rsidRPr="00B41C83" w:rsidRDefault="00B41C83" w:rsidP="00B41C83">
      <w:pPr>
        <w:spacing w:after="0" w:line="480" w:lineRule="auto"/>
        <w:ind w:hanging="851"/>
        <w:jc w:val="both"/>
        <w:rPr>
          <w:rFonts w:ascii="Arial" w:eastAsia="Times New Roman" w:hAnsi="Arial" w:cs="Arial"/>
          <w:i/>
          <w:color w:val="000000"/>
          <w:sz w:val="20"/>
          <w:szCs w:val="20"/>
          <w:lang w:val="en-US"/>
        </w:rPr>
      </w:pPr>
      <w:r w:rsidRPr="00B41C83">
        <w:rPr>
          <w:rFonts w:ascii="Arial" w:eastAsia="Times New Roman" w:hAnsi="Arial" w:cs="Arial"/>
          <w:i/>
          <w:color w:val="000000"/>
          <w:sz w:val="20"/>
          <w:szCs w:val="20"/>
          <w:lang w:val="en-US"/>
        </w:rPr>
        <w:lastRenderedPageBreak/>
        <w:t>   </w:t>
      </w:r>
      <w:r w:rsidRPr="00A9086E">
        <w:rPr>
          <w:rFonts w:ascii="Arial" w:eastAsia="Times New Roman" w:hAnsi="Arial" w:cs="Arial"/>
          <w:i/>
          <w:color w:val="000000"/>
          <w:sz w:val="20"/>
          <w:szCs w:val="20"/>
          <w:lang w:val="en-US"/>
        </w:rPr>
        <w:tab/>
      </w:r>
      <w:r w:rsidRPr="00B41C83">
        <w:rPr>
          <w:rFonts w:ascii="Arial" w:eastAsia="Times New Roman" w:hAnsi="Arial" w:cs="Arial"/>
          <w:i/>
          <w:iCs/>
          <w:color w:val="000000"/>
          <w:sz w:val="20"/>
          <w:szCs w:val="20"/>
          <w:lang w:val="en-US"/>
        </w:rPr>
        <w:t>(b)</w:t>
      </w:r>
      <w:r w:rsidRPr="00B41C83">
        <w:rPr>
          <w:rFonts w:ascii="Arial" w:eastAsia="Times New Roman" w:hAnsi="Arial" w:cs="Arial"/>
          <w:i/>
          <w:color w:val="000000"/>
          <w:sz w:val="20"/>
          <w:szCs w:val="20"/>
          <w:lang w:val="en-US"/>
        </w:rPr>
        <w:t>   acquiesced in the carrying on of the company's business despite knowing that it was being condu</w:t>
      </w:r>
      <w:r w:rsidRPr="00A9086E">
        <w:rPr>
          <w:rFonts w:ascii="Arial" w:eastAsia="Times New Roman" w:hAnsi="Arial" w:cs="Arial"/>
          <w:i/>
          <w:color w:val="000000"/>
          <w:sz w:val="20"/>
          <w:szCs w:val="20"/>
          <w:lang w:val="en-US"/>
        </w:rPr>
        <w:t>cted in a manner prohibited by </w:t>
      </w:r>
      <w:r w:rsidRPr="00B41C83">
        <w:rPr>
          <w:rFonts w:ascii="Arial" w:eastAsia="Times New Roman" w:hAnsi="Arial" w:cs="Arial"/>
          <w:i/>
          <w:color w:val="000000"/>
          <w:sz w:val="20"/>
          <w:szCs w:val="20"/>
          <w:lang w:val="en-US"/>
        </w:rPr>
        <w:t>section 22(1); . . . .'</w:t>
      </w:r>
    </w:p>
    <w:p w:rsidR="00B41C83" w:rsidRPr="00B41C83" w:rsidRDefault="00B41C83" w:rsidP="00B41C83">
      <w:pPr>
        <w:spacing w:after="0" w:line="480" w:lineRule="auto"/>
        <w:jc w:val="both"/>
        <w:rPr>
          <w:rFonts w:ascii="Arial" w:eastAsia="Times New Roman" w:hAnsi="Arial" w:cs="Arial"/>
          <w:i/>
          <w:color w:val="000000"/>
          <w:lang w:val="en-US"/>
        </w:rPr>
      </w:pPr>
      <w:r w:rsidRPr="00B41C83">
        <w:rPr>
          <w:rFonts w:ascii="Arial" w:eastAsia="Times New Roman" w:hAnsi="Arial" w:cs="Arial"/>
          <w:i/>
          <w:color w:val="000000"/>
          <w:lang w:val="en-US"/>
        </w:rPr>
        <w:t>[20] Mr </w:t>
      </w:r>
      <w:r w:rsidRPr="00B41C83">
        <w:rPr>
          <w:rFonts w:ascii="Arial" w:eastAsia="Times New Roman" w:hAnsi="Arial" w:cs="Arial"/>
          <w:i/>
          <w:iCs/>
          <w:color w:val="000000"/>
          <w:lang w:val="en-US"/>
        </w:rPr>
        <w:t>Sawma</w:t>
      </w:r>
      <w:r w:rsidRPr="00B41C83">
        <w:rPr>
          <w:rFonts w:ascii="Arial" w:eastAsia="Times New Roman" w:hAnsi="Arial" w:cs="Arial"/>
          <w:i/>
          <w:color w:val="000000"/>
          <w:lang w:val="en-US"/>
        </w:rPr>
        <w:t>, on the other hand, pointed out that a court has no discretion but to declare a director acting in the manner contemplated in s 77(3)</w:t>
      </w:r>
      <w:r w:rsidRPr="00B41C83">
        <w:rPr>
          <w:rFonts w:ascii="Arial" w:eastAsia="Times New Roman" w:hAnsi="Arial" w:cs="Arial"/>
          <w:i/>
          <w:iCs/>
          <w:color w:val="000000"/>
          <w:lang w:val="en-US"/>
        </w:rPr>
        <w:t>(b)</w:t>
      </w:r>
      <w:r w:rsidRPr="00B41C83">
        <w:rPr>
          <w:rFonts w:ascii="Arial" w:eastAsia="Times New Roman" w:hAnsi="Arial" w:cs="Arial"/>
          <w:i/>
          <w:color w:val="000000"/>
          <w:lang w:val="en-US"/>
        </w:rPr>
        <w:t> to be a delinquent director in terms of s 162(5)</w:t>
      </w:r>
      <w:r w:rsidRPr="00B41C83">
        <w:rPr>
          <w:rFonts w:ascii="Arial" w:eastAsia="Times New Roman" w:hAnsi="Arial" w:cs="Arial"/>
          <w:i/>
          <w:iCs/>
          <w:color w:val="000000"/>
          <w:lang w:val="en-US"/>
        </w:rPr>
        <w:t>(c)</w:t>
      </w:r>
      <w:r w:rsidRPr="00B41C83">
        <w:rPr>
          <w:rFonts w:ascii="Arial" w:eastAsia="Times New Roman" w:hAnsi="Arial" w:cs="Arial"/>
          <w:i/>
          <w:color w:val="000000"/>
          <w:lang w:val="en-US"/>
        </w:rPr>
        <w:t>(iv)</w:t>
      </w:r>
      <w:r w:rsidRPr="00B41C83">
        <w:rPr>
          <w:rFonts w:ascii="Arial" w:eastAsia="Times New Roman" w:hAnsi="Arial" w:cs="Arial"/>
          <w:i/>
          <w:iCs/>
          <w:color w:val="000000"/>
          <w:lang w:val="en-US"/>
        </w:rPr>
        <w:t>(bb)</w:t>
      </w:r>
      <w:r w:rsidRPr="00B41C83">
        <w:rPr>
          <w:rFonts w:ascii="Arial" w:eastAsia="Times New Roman" w:hAnsi="Arial" w:cs="Arial"/>
          <w:i/>
          <w:color w:val="000000"/>
          <w:lang w:val="en-US"/>
        </w:rPr>
        <w:t>. The consequence of an order of delinquency is that such a person is disqualified from being a director of the company. </w:t>
      </w:r>
      <w:bookmarkStart w:id="14" w:name="0-0-0-254073"/>
      <w:bookmarkEnd w:id="14"/>
      <w:r w:rsidRPr="00B41C83">
        <w:rPr>
          <w:rFonts w:ascii="Arial" w:eastAsia="Times New Roman" w:hAnsi="Arial" w:cs="Arial"/>
          <w:i/>
          <w:color w:val="000000"/>
          <w:lang w:val="en-US"/>
        </w:rPr>
        <w:t>In these circumstances the Act prohibits directors from engaging in conduct as provided for in s 22 thereof.</w:t>
      </w:r>
    </w:p>
    <w:p w:rsidR="00B41C83" w:rsidRPr="00B41C83" w:rsidRDefault="00B41C83" w:rsidP="00B41C83">
      <w:pPr>
        <w:spacing w:after="0" w:line="480" w:lineRule="auto"/>
        <w:jc w:val="both"/>
        <w:rPr>
          <w:rFonts w:ascii="Arial" w:eastAsia="Times New Roman" w:hAnsi="Arial" w:cs="Arial"/>
          <w:i/>
          <w:color w:val="000000"/>
          <w:lang w:val="en-US"/>
        </w:rPr>
      </w:pPr>
      <w:r w:rsidRPr="00B41C83">
        <w:rPr>
          <w:rFonts w:ascii="Arial" w:eastAsia="Times New Roman" w:hAnsi="Arial" w:cs="Arial"/>
          <w:i/>
          <w:color w:val="000000"/>
          <w:lang w:val="en-US"/>
        </w:rPr>
        <w:t>[21] To find the converse, so it was argued, would mean that, despite the</w:t>
      </w:r>
      <w:r>
        <w:rPr>
          <w:rFonts w:ascii="Arial" w:eastAsia="Times New Roman" w:hAnsi="Arial" w:cs="Arial"/>
          <w:i/>
          <w:color w:val="000000"/>
          <w:lang w:val="en-US"/>
        </w:rPr>
        <w:t xml:space="preserve"> </w:t>
      </w:r>
      <w:r w:rsidRPr="00B41C83">
        <w:rPr>
          <w:rFonts w:ascii="Arial" w:eastAsia="Times New Roman" w:hAnsi="Arial" w:cs="Arial"/>
          <w:i/>
          <w:color w:val="000000"/>
          <w:lang w:val="en-US"/>
        </w:rPr>
        <w:t>criminal liability that the Act contemplates, despite the declaration of delinquency provided for and despite the express liability created in s 77(3) thereof, the legislature did not intend to preclude a director from knowingly being a party to conduct specified in s 22 of the Act. Bearing in mind that the Act specifically contemplates that the business and</w:t>
      </w:r>
      <w:r>
        <w:rPr>
          <w:rFonts w:ascii="Arial" w:eastAsia="Times New Roman" w:hAnsi="Arial" w:cs="Arial"/>
          <w:i/>
          <w:color w:val="000000"/>
          <w:lang w:val="en-US"/>
        </w:rPr>
        <w:t xml:space="preserve"> </w:t>
      </w:r>
      <w:r w:rsidRPr="00B41C83">
        <w:rPr>
          <w:rFonts w:ascii="Arial" w:eastAsia="Times New Roman" w:hAnsi="Arial" w:cs="Arial"/>
          <w:i/>
          <w:color w:val="000000"/>
          <w:lang w:val="en-US"/>
        </w:rPr>
        <w:t>affairs of a company are to be managed by or under the direction of its board,</w:t>
      </w:r>
      <w:bookmarkStart w:id="15" w:name="0-0-0-254077"/>
      <w:bookmarkEnd w:id="15"/>
      <w:r w:rsidRPr="00B41C83">
        <w:rPr>
          <w:rFonts w:ascii="Arial" w:eastAsia="Times New Roman" w:hAnsi="Arial" w:cs="Arial"/>
          <w:i/>
          <w:color w:val="000000"/>
          <w:lang w:val="en-US"/>
        </w:rPr>
        <w:t xml:space="preserve"> it is hard to conceive of any basis upon which the legislature intended to prevent a company from acting in the manner provided for in s 22, but did not intend to prevent the directors responsible for the management of the company from acting in that manner.</w:t>
      </w:r>
      <w:r>
        <w:rPr>
          <w:rFonts w:ascii="Arial" w:eastAsia="Times New Roman" w:hAnsi="Arial" w:cs="Arial"/>
          <w:i/>
          <w:color w:val="000000"/>
          <w:lang w:val="en-US"/>
        </w:rPr>
        <w:t>”</w:t>
      </w:r>
    </w:p>
    <w:p w:rsidR="00B41C83" w:rsidRPr="00B41C83" w:rsidRDefault="00B41C83" w:rsidP="00833605">
      <w:pPr>
        <w:spacing w:after="0" w:line="480" w:lineRule="auto"/>
        <w:jc w:val="both"/>
        <w:rPr>
          <w:rFonts w:ascii="Arial" w:hAnsi="Arial" w:cs="Arial"/>
          <w:sz w:val="24"/>
          <w:szCs w:val="24"/>
        </w:rPr>
      </w:pPr>
    </w:p>
    <w:p w:rsidR="00833605" w:rsidRDefault="008160A5" w:rsidP="00833605">
      <w:pPr>
        <w:spacing w:after="0"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But the line of </w:t>
      </w:r>
      <w:r w:rsidR="00EB1188">
        <w:rPr>
          <w:rFonts w:ascii="Arial" w:hAnsi="Arial" w:cs="Arial"/>
          <w:sz w:val="24"/>
          <w:szCs w:val="24"/>
        </w:rPr>
        <w:t xml:space="preserve">decisions </w:t>
      </w:r>
      <w:r>
        <w:rPr>
          <w:rFonts w:ascii="Arial" w:hAnsi="Arial" w:cs="Arial"/>
          <w:sz w:val="24"/>
          <w:szCs w:val="24"/>
        </w:rPr>
        <w:t xml:space="preserve">following on </w:t>
      </w:r>
      <w:r>
        <w:rPr>
          <w:rFonts w:ascii="Arial" w:hAnsi="Arial" w:cs="Arial"/>
          <w:b/>
          <w:sz w:val="24"/>
          <w:szCs w:val="24"/>
        </w:rPr>
        <w:t xml:space="preserve">Rabinowitz </w:t>
      </w:r>
      <w:r w:rsidR="00EB1188">
        <w:rPr>
          <w:rFonts w:ascii="Arial" w:hAnsi="Arial" w:cs="Arial"/>
          <w:sz w:val="24"/>
          <w:szCs w:val="24"/>
        </w:rPr>
        <w:t>have</w:t>
      </w:r>
      <w:r>
        <w:rPr>
          <w:rFonts w:ascii="Arial" w:hAnsi="Arial" w:cs="Arial"/>
          <w:sz w:val="24"/>
          <w:szCs w:val="24"/>
        </w:rPr>
        <w:t xml:space="preserve"> not followed this line of reasoning. The defendants argue that, given the decision of Unterhalter J in </w:t>
      </w:r>
      <w:r>
        <w:rPr>
          <w:rFonts w:ascii="Arial" w:hAnsi="Arial" w:cs="Arial"/>
          <w:b/>
          <w:sz w:val="24"/>
          <w:szCs w:val="24"/>
        </w:rPr>
        <w:t>De Bruyn v Steinhoff International Holdings NV and Others</w:t>
      </w:r>
      <w:r w:rsidRPr="008160A5">
        <w:rPr>
          <w:rStyle w:val="FootnoteReference"/>
          <w:rFonts w:ascii="Arial" w:hAnsi="Arial" w:cs="Arial"/>
          <w:sz w:val="24"/>
          <w:szCs w:val="24"/>
        </w:rPr>
        <w:footnoteReference w:id="15"/>
      </w:r>
      <w:r>
        <w:rPr>
          <w:rFonts w:ascii="Arial" w:hAnsi="Arial" w:cs="Arial"/>
          <w:b/>
          <w:sz w:val="24"/>
          <w:szCs w:val="24"/>
        </w:rPr>
        <w:t xml:space="preserve"> </w:t>
      </w:r>
      <w:r>
        <w:rPr>
          <w:rFonts w:ascii="Arial" w:hAnsi="Arial" w:cs="Arial"/>
          <w:sz w:val="24"/>
          <w:szCs w:val="24"/>
        </w:rPr>
        <w:t xml:space="preserve">the decision in </w:t>
      </w:r>
      <w:r>
        <w:rPr>
          <w:rFonts w:ascii="Arial" w:hAnsi="Arial" w:cs="Arial"/>
          <w:b/>
          <w:sz w:val="24"/>
          <w:szCs w:val="24"/>
        </w:rPr>
        <w:t>Rabinowitz</w:t>
      </w:r>
      <w:r>
        <w:rPr>
          <w:rFonts w:ascii="Arial" w:hAnsi="Arial" w:cs="Arial"/>
          <w:sz w:val="24"/>
          <w:szCs w:val="24"/>
        </w:rPr>
        <w:t xml:space="preserve"> is clearly wrong and I should not follow it: the plaintiff’s argument is premised upon the fact that </w:t>
      </w:r>
      <w:r w:rsidR="00EB1188">
        <w:rPr>
          <w:rFonts w:ascii="Arial" w:hAnsi="Arial" w:cs="Arial"/>
          <w:sz w:val="24"/>
          <w:szCs w:val="24"/>
        </w:rPr>
        <w:t xml:space="preserve">     </w:t>
      </w:r>
      <w:r>
        <w:rPr>
          <w:rFonts w:ascii="Arial" w:hAnsi="Arial" w:cs="Arial"/>
          <w:sz w:val="24"/>
          <w:szCs w:val="24"/>
        </w:rPr>
        <w:t>s 424 of the old Act has been retained only insofar as liquidated companies is concerned. But s 218(2) as read with s22(1) is premised upon a claim for damages. Thus the premise and cause of action for which each section provides is clearly different.</w:t>
      </w:r>
    </w:p>
    <w:p w:rsidR="008160A5" w:rsidRPr="008160A5" w:rsidRDefault="008160A5" w:rsidP="00833605">
      <w:pPr>
        <w:spacing w:after="0" w:line="480" w:lineRule="auto"/>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t xml:space="preserve">In </w:t>
      </w:r>
      <w:r>
        <w:rPr>
          <w:rFonts w:ascii="Arial" w:hAnsi="Arial" w:cs="Arial"/>
          <w:b/>
          <w:sz w:val="24"/>
          <w:szCs w:val="24"/>
        </w:rPr>
        <w:t>De Bruyn</w:t>
      </w:r>
      <w:r>
        <w:rPr>
          <w:rFonts w:ascii="Arial" w:hAnsi="Arial" w:cs="Arial"/>
          <w:sz w:val="24"/>
          <w:szCs w:val="24"/>
        </w:rPr>
        <w:t xml:space="preserve"> Unterhlater J stated that </w:t>
      </w:r>
    </w:p>
    <w:p w:rsidR="00CF3A74" w:rsidRPr="00CF3A74" w:rsidRDefault="00CF3A74" w:rsidP="00CF3A74">
      <w:pPr>
        <w:spacing w:after="0" w:line="480" w:lineRule="auto"/>
        <w:jc w:val="both"/>
        <w:rPr>
          <w:rFonts w:ascii="Arial" w:eastAsia="Times New Roman" w:hAnsi="Arial" w:cs="Arial"/>
          <w:i/>
          <w:color w:val="000000"/>
          <w:lang w:val="en-US"/>
        </w:rPr>
      </w:pPr>
      <w:r>
        <w:rPr>
          <w:rFonts w:ascii="Arial" w:eastAsia="Times New Roman" w:hAnsi="Arial" w:cs="Arial"/>
          <w:i/>
          <w:color w:val="000000"/>
          <w:lang w:val="en-US"/>
        </w:rPr>
        <w:t>“</w:t>
      </w:r>
      <w:r w:rsidRPr="00CF3A74">
        <w:rPr>
          <w:rFonts w:ascii="Arial" w:eastAsia="Times New Roman" w:hAnsi="Arial" w:cs="Arial"/>
          <w:i/>
          <w:color w:val="000000"/>
          <w:lang w:val="en-US"/>
        </w:rPr>
        <w:t>[191] Section 218(2) should not be interpreted in a literal way. Rather, the provision recognises that liability for loss or damage may arise from contraventions of the Companies Act. And so, the statute confers a right of action. But what that right consists of, who enjoys the right, and against whom the right may be exercised, are all issues to be resolved by reference to the substantive provisions of the Companies Act.</w:t>
      </w:r>
    </w:p>
    <w:p w:rsidR="00CF3A74" w:rsidRPr="00CF3A74" w:rsidRDefault="00CF3A74" w:rsidP="00CF3A74">
      <w:pPr>
        <w:spacing w:after="0" w:line="480" w:lineRule="auto"/>
        <w:jc w:val="both"/>
        <w:rPr>
          <w:rFonts w:ascii="Arial" w:eastAsia="Times New Roman" w:hAnsi="Arial" w:cs="Arial"/>
          <w:i/>
          <w:color w:val="000000"/>
          <w:lang w:val="en-US"/>
        </w:rPr>
      </w:pPr>
      <w:r w:rsidRPr="00CF3A74">
        <w:rPr>
          <w:rFonts w:ascii="Arial" w:eastAsia="Times New Roman" w:hAnsi="Arial" w:cs="Arial"/>
          <w:i/>
          <w:color w:val="000000"/>
          <w:lang w:val="en-US"/>
        </w:rPr>
        <w:t>[192] Such an interpretation answers another difficulty that the literal interpretation of s 218(2) does not. As </w:t>
      </w:r>
      <w:r w:rsidRPr="00CF3A74">
        <w:rPr>
          <w:rFonts w:ascii="Arial" w:eastAsia="Times New Roman" w:hAnsi="Arial" w:cs="Arial"/>
          <w:i/>
          <w:iCs/>
          <w:color w:val="000000"/>
          <w:lang w:val="en-US"/>
        </w:rPr>
        <w:t>Hlumisa</w:t>
      </w:r>
      <w:r w:rsidRPr="00CF3A74">
        <w:rPr>
          <w:rFonts w:ascii="Arial" w:eastAsia="Times New Roman" w:hAnsi="Arial" w:cs="Arial"/>
          <w:i/>
          <w:color w:val="000000"/>
          <w:lang w:val="en-US"/>
        </w:rPr>
        <w:t> observed, can s 218(2) be understood to impose liability without the regulating concepts of fault, foreseeability and remoteness, and an undifferentiated conception of permissible plaintiffs? Such an understanding would require an interpretation of s 218(2) that gives rise to wholesale liability at the instance of all persons who sustained loss or damage as a result of the contravention. That is to place a burden of liability and hence risk upon directors so great that it is hard to imagine who would accept office on these terms. And if that is what the legislature intended it would be expected to have made the imposition of so great a burden clear. The better interpretation is that the legislature intended that the specific requirements of any liability are to be found in the substantive provisions of the Companies Act. Section 218(2) has a different function. It determines the question posed in </w:t>
      </w:r>
      <w:r w:rsidRPr="00CF3A74">
        <w:rPr>
          <w:rFonts w:ascii="Arial" w:eastAsia="Times New Roman" w:hAnsi="Arial" w:cs="Arial"/>
          <w:i/>
          <w:iCs/>
          <w:color w:val="000000"/>
          <w:lang w:val="en-US"/>
        </w:rPr>
        <w:t>Steenkamp</w:t>
      </w:r>
      <w:r w:rsidRPr="00CF3A74">
        <w:rPr>
          <w:rFonts w:ascii="Arial" w:eastAsia="Times New Roman" w:hAnsi="Arial" w:cs="Arial"/>
          <w:i/>
          <w:color w:val="000000"/>
          <w:lang w:val="en-US"/>
        </w:rPr>
        <w:t>: contraventions do permit of a right of action. Whether there is a right of action, who enjoys the right, and on what basis are all matters regulated by the substantive provisions of the Companies Act.</w:t>
      </w:r>
      <w:r>
        <w:rPr>
          <w:rFonts w:ascii="Arial" w:eastAsia="Times New Roman" w:hAnsi="Arial" w:cs="Arial"/>
          <w:i/>
          <w:color w:val="000000"/>
          <w:lang w:val="en-US"/>
        </w:rPr>
        <w:t>”</w:t>
      </w:r>
    </w:p>
    <w:p w:rsidR="00833605" w:rsidRDefault="00833605" w:rsidP="00833605">
      <w:pPr>
        <w:spacing w:after="0" w:line="480" w:lineRule="auto"/>
        <w:jc w:val="both"/>
        <w:rPr>
          <w:rFonts w:ascii="Arial" w:hAnsi="Arial" w:cs="Arial"/>
          <w:sz w:val="24"/>
          <w:szCs w:val="24"/>
        </w:rPr>
      </w:pPr>
    </w:p>
    <w:p w:rsidR="00CF3A74" w:rsidRPr="00CF3A74" w:rsidRDefault="00CF3A74" w:rsidP="00833605">
      <w:pPr>
        <w:spacing w:after="0" w:line="480" w:lineRule="auto"/>
        <w:jc w:val="both"/>
        <w:rPr>
          <w:i/>
        </w:rPr>
      </w:pPr>
      <w:r>
        <w:rPr>
          <w:rFonts w:ascii="Arial" w:hAnsi="Arial" w:cs="Arial"/>
          <w:sz w:val="24"/>
          <w:szCs w:val="24"/>
        </w:rPr>
        <w:t>21]</w:t>
      </w:r>
      <w:r>
        <w:rPr>
          <w:rFonts w:ascii="Arial" w:hAnsi="Arial" w:cs="Arial"/>
          <w:sz w:val="24"/>
          <w:szCs w:val="24"/>
        </w:rPr>
        <w:tab/>
        <w:t xml:space="preserve">The point made is that s 218(2) cannot be interpreted as a “stand alone” provision – it must be interpreted purposefully. In this matter the plaintiff alleges that s 22(1) provides that purpose. But as stated in </w:t>
      </w:r>
      <w:r>
        <w:rPr>
          <w:rFonts w:ascii="Arial" w:hAnsi="Arial" w:cs="Arial"/>
          <w:b/>
          <w:sz w:val="24"/>
          <w:szCs w:val="24"/>
        </w:rPr>
        <w:t>Hlumisa Investment Holdings (RF) Ltd and Another v Kirkinis and Others</w:t>
      </w:r>
      <w:r w:rsidRPr="00CF3A74">
        <w:rPr>
          <w:rStyle w:val="FootnoteReference"/>
          <w:rFonts w:ascii="Arial" w:hAnsi="Arial" w:cs="Arial"/>
          <w:sz w:val="24"/>
          <w:szCs w:val="24"/>
        </w:rPr>
        <w:footnoteReference w:id="16"/>
      </w:r>
      <w:r>
        <w:rPr>
          <w:rFonts w:ascii="Arial" w:hAnsi="Arial" w:cs="Arial"/>
          <w:sz w:val="24"/>
          <w:szCs w:val="24"/>
        </w:rPr>
        <w:t xml:space="preserve"> the word </w:t>
      </w:r>
      <w:r>
        <w:rPr>
          <w:rFonts w:ascii="Arial" w:hAnsi="Arial" w:cs="Arial"/>
          <w:i/>
          <w:sz w:val="24"/>
          <w:szCs w:val="24"/>
        </w:rPr>
        <w:t xml:space="preserve">“contravenes” </w:t>
      </w:r>
      <w:r w:rsidRPr="000C352A">
        <w:rPr>
          <w:rFonts w:ascii="Arial" w:hAnsi="Arial" w:cs="Arial"/>
          <w:sz w:val="24"/>
          <w:szCs w:val="24"/>
        </w:rPr>
        <w:t xml:space="preserve">in s 218(2) includes a breach </w:t>
      </w:r>
      <w:r w:rsidRPr="000C352A">
        <w:rPr>
          <w:rFonts w:ascii="Arial" w:hAnsi="Arial" w:cs="Arial"/>
          <w:sz w:val="24"/>
          <w:szCs w:val="24"/>
        </w:rPr>
        <w:lastRenderedPageBreak/>
        <w:t>or an infringement of any provision of the Act</w:t>
      </w:r>
      <w:r>
        <w:rPr>
          <w:rFonts w:ascii="Arial" w:hAnsi="Arial" w:cs="Arial"/>
          <w:i/>
          <w:sz w:val="24"/>
          <w:szCs w:val="24"/>
        </w:rPr>
        <w:t>, ‘which is by nature prescriptive or which, in some way regulates conduct’ of which s22(1) triggers the operation of s218(2) and clearly falls into this category.”</w:t>
      </w:r>
      <w:r>
        <w:rPr>
          <w:rStyle w:val="FootnoteReference"/>
          <w:rFonts w:ascii="Arial" w:hAnsi="Arial" w:cs="Arial"/>
          <w:i/>
          <w:sz w:val="24"/>
          <w:szCs w:val="24"/>
        </w:rPr>
        <w:footnoteReference w:id="17"/>
      </w:r>
    </w:p>
    <w:p w:rsidR="00833605" w:rsidRDefault="00833605" w:rsidP="00833605">
      <w:pPr>
        <w:spacing w:after="0" w:line="480" w:lineRule="auto"/>
        <w:jc w:val="both"/>
        <w:rPr>
          <w:rFonts w:ascii="Arial" w:hAnsi="Arial" w:cs="Arial"/>
          <w:sz w:val="24"/>
          <w:szCs w:val="24"/>
        </w:rPr>
      </w:pPr>
    </w:p>
    <w:p w:rsidR="00833605" w:rsidRDefault="00CF3A74" w:rsidP="00833605">
      <w:pPr>
        <w:spacing w:after="0"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In para [50] of </w:t>
      </w:r>
      <w:r>
        <w:rPr>
          <w:rFonts w:ascii="Arial" w:hAnsi="Arial" w:cs="Arial"/>
          <w:b/>
          <w:sz w:val="24"/>
          <w:szCs w:val="24"/>
        </w:rPr>
        <w:t>Hlumisa</w:t>
      </w:r>
      <w:r>
        <w:rPr>
          <w:rFonts w:ascii="Arial" w:hAnsi="Arial" w:cs="Arial"/>
          <w:sz w:val="24"/>
          <w:szCs w:val="24"/>
        </w:rPr>
        <w:t>, the SCA stated:</w:t>
      </w:r>
    </w:p>
    <w:p w:rsidR="00CF3A74" w:rsidRDefault="00CF3A74" w:rsidP="00833605">
      <w:pPr>
        <w:spacing w:after="0" w:line="480" w:lineRule="auto"/>
        <w:jc w:val="both"/>
        <w:rPr>
          <w:rFonts w:ascii="Arial" w:hAnsi="Arial" w:cs="Arial"/>
          <w:i/>
          <w:sz w:val="24"/>
          <w:szCs w:val="24"/>
        </w:rPr>
      </w:pPr>
      <w:r>
        <w:rPr>
          <w:rFonts w:ascii="Arial" w:hAnsi="Arial" w:cs="Arial"/>
          <w:i/>
          <w:sz w:val="24"/>
          <w:szCs w:val="24"/>
        </w:rPr>
        <w:t>“These provision of the Companies Act make it clear that the Legislature decided where liability should lie for conduct by directors in contravention of certain sections of the Act</w:t>
      </w:r>
      <w:r>
        <w:rPr>
          <w:rStyle w:val="FootnoteReference"/>
          <w:rFonts w:ascii="Arial" w:hAnsi="Arial" w:cs="Arial"/>
          <w:i/>
          <w:sz w:val="24"/>
          <w:szCs w:val="24"/>
        </w:rPr>
        <w:footnoteReference w:id="18"/>
      </w:r>
      <w:r>
        <w:rPr>
          <w:rFonts w:ascii="Arial" w:hAnsi="Arial" w:cs="Arial"/>
          <w:i/>
          <w:sz w:val="24"/>
          <w:szCs w:val="24"/>
        </w:rPr>
        <w:t xml:space="preserve"> and who could recover the resultant loss. It is also clear that the legislature was astute to preserve certain common law principles. It makes for a harmonious blend.”</w:t>
      </w:r>
    </w:p>
    <w:p w:rsidR="00CF3A74" w:rsidRDefault="00CF3A74" w:rsidP="0080606C">
      <w:pPr>
        <w:spacing w:after="0" w:line="480" w:lineRule="auto"/>
        <w:ind w:left="720" w:hanging="720"/>
        <w:jc w:val="right"/>
        <w:rPr>
          <w:rFonts w:ascii="Arial" w:hAnsi="Arial" w:cs="Arial"/>
          <w:sz w:val="24"/>
          <w:szCs w:val="24"/>
        </w:rPr>
      </w:pPr>
    </w:p>
    <w:p w:rsidR="00CF3A74" w:rsidRDefault="00CF3A74" w:rsidP="001B0BB8">
      <w:pPr>
        <w:spacing w:after="0" w:line="480" w:lineRule="auto"/>
        <w:rPr>
          <w:rFonts w:ascii="Arial" w:hAnsi="Arial" w:cs="Arial"/>
          <w:sz w:val="24"/>
          <w:szCs w:val="24"/>
        </w:rPr>
      </w:pPr>
      <w:r>
        <w:rPr>
          <w:rFonts w:ascii="Arial" w:hAnsi="Arial" w:cs="Arial"/>
          <w:sz w:val="24"/>
          <w:szCs w:val="24"/>
        </w:rPr>
        <w:t>23]</w:t>
      </w:r>
      <w:r>
        <w:rPr>
          <w:rFonts w:ascii="Arial" w:hAnsi="Arial" w:cs="Arial"/>
          <w:sz w:val="24"/>
          <w:szCs w:val="24"/>
        </w:rPr>
        <w:tab/>
        <w:t>The common law principles are that</w:t>
      </w:r>
    </w:p>
    <w:p w:rsidR="00CF3A74" w:rsidRDefault="00CF3A74" w:rsidP="001B0BB8">
      <w:pPr>
        <w:spacing w:after="0" w:line="480" w:lineRule="auto"/>
        <w:jc w:val="both"/>
        <w:rPr>
          <w:rFonts w:ascii="Arial" w:hAnsi="Arial" w:cs="Arial"/>
          <w:sz w:val="24"/>
          <w:szCs w:val="24"/>
        </w:rPr>
      </w:pPr>
      <w:r>
        <w:rPr>
          <w:rFonts w:ascii="Arial" w:hAnsi="Arial" w:cs="Arial"/>
          <w:i/>
          <w:sz w:val="24"/>
          <w:szCs w:val="24"/>
        </w:rPr>
        <w:t>“[47]</w:t>
      </w:r>
      <w:r>
        <w:rPr>
          <w:rFonts w:ascii="Arial" w:hAnsi="Arial" w:cs="Arial"/>
          <w:i/>
          <w:sz w:val="24"/>
          <w:szCs w:val="24"/>
        </w:rPr>
        <w:tab/>
        <w:t xml:space="preserve">…a director has to act bona fide and in the best interests of the company, This is the fundamental duty which qualifies the exercise of any powers which the directors in fact have…The duties to act bona fide and in the best interests of the company are now entrenched in the Act…With regard to the duty to act in the best interests of the company and who the beneficiary of a director’s duty is, the common law potion is as follows: At common law </w:t>
      </w:r>
      <w:r>
        <w:rPr>
          <w:rFonts w:ascii="Arial" w:hAnsi="Arial" w:cs="Arial"/>
          <w:i/>
          <w:sz w:val="24"/>
          <w:szCs w:val="24"/>
          <w:u w:val="single"/>
        </w:rPr>
        <w:t>directors owe fiduciary duties to the company</w:t>
      </w:r>
      <w:r>
        <w:rPr>
          <w:rFonts w:ascii="Arial" w:hAnsi="Arial" w:cs="Arial"/>
          <w:i/>
          <w:sz w:val="24"/>
          <w:szCs w:val="24"/>
        </w:rPr>
        <w:t>….Such duties are owed even by non-executive directors. Where, therefore</w:t>
      </w:r>
      <w:r w:rsidR="00761E39">
        <w:rPr>
          <w:rFonts w:ascii="Arial" w:hAnsi="Arial" w:cs="Arial"/>
          <w:i/>
          <w:sz w:val="24"/>
          <w:szCs w:val="24"/>
        </w:rPr>
        <w:t xml:space="preserve"> a director acts in breach of a fiduciary duty be may depending on the circumstances, also act in breach of his duty of care, skill and diligence….”</w:t>
      </w:r>
    </w:p>
    <w:p w:rsidR="00761E39" w:rsidRDefault="00761E39" w:rsidP="001B0BB8">
      <w:pPr>
        <w:spacing w:after="0" w:line="480" w:lineRule="auto"/>
        <w:jc w:val="both"/>
        <w:rPr>
          <w:rFonts w:ascii="Arial" w:hAnsi="Arial" w:cs="Arial"/>
          <w:sz w:val="24"/>
          <w:szCs w:val="24"/>
        </w:rPr>
      </w:pPr>
    </w:p>
    <w:p w:rsidR="00761E39" w:rsidRDefault="00761E39" w:rsidP="001B0BB8">
      <w:pPr>
        <w:spacing w:after="0" w:line="480" w:lineRule="auto"/>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t>The common law position being that set out supra, it provides no succour for the plaintiff – but this is, in any event, not the basis of the plaintiff’s claim.</w:t>
      </w:r>
    </w:p>
    <w:p w:rsidR="000C352A" w:rsidRDefault="000C352A" w:rsidP="001B0BB8">
      <w:pPr>
        <w:spacing w:after="0" w:line="480" w:lineRule="auto"/>
        <w:jc w:val="both"/>
        <w:rPr>
          <w:rFonts w:ascii="Arial" w:hAnsi="Arial" w:cs="Arial"/>
          <w:sz w:val="24"/>
          <w:szCs w:val="24"/>
        </w:rPr>
      </w:pPr>
    </w:p>
    <w:p w:rsidR="00761E39" w:rsidRDefault="00761E39" w:rsidP="001B0BB8">
      <w:pPr>
        <w:spacing w:after="0"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But what of s 22? In my view this similarly does not assist plaintiff as s</w:t>
      </w:r>
      <w:r w:rsidR="002102C5">
        <w:rPr>
          <w:rFonts w:ascii="Arial" w:hAnsi="Arial" w:cs="Arial"/>
          <w:sz w:val="24"/>
          <w:szCs w:val="24"/>
        </w:rPr>
        <w:t xml:space="preserve"> </w:t>
      </w:r>
      <w:r>
        <w:rPr>
          <w:rFonts w:ascii="Arial" w:hAnsi="Arial" w:cs="Arial"/>
          <w:sz w:val="24"/>
          <w:szCs w:val="24"/>
        </w:rPr>
        <w:t xml:space="preserve">22 contains no express provision that </w:t>
      </w:r>
      <w:r w:rsidRPr="002102C5">
        <w:rPr>
          <w:rFonts w:ascii="Arial" w:hAnsi="Arial" w:cs="Arial"/>
          <w:sz w:val="24"/>
          <w:szCs w:val="24"/>
          <w:u w:val="single"/>
        </w:rPr>
        <w:t>a director</w:t>
      </w:r>
      <w:r w:rsidR="002102C5" w:rsidRPr="00F50700">
        <w:rPr>
          <w:rStyle w:val="FootnoteReference"/>
          <w:rFonts w:ascii="Arial" w:hAnsi="Arial" w:cs="Arial"/>
          <w:sz w:val="24"/>
          <w:szCs w:val="24"/>
        </w:rPr>
        <w:footnoteReference w:id="19"/>
      </w:r>
      <w:r>
        <w:rPr>
          <w:rFonts w:ascii="Arial" w:hAnsi="Arial" w:cs="Arial"/>
          <w:sz w:val="24"/>
          <w:szCs w:val="24"/>
        </w:rPr>
        <w:t xml:space="preserve"> may be held liable for </w:t>
      </w:r>
      <w:r w:rsidRPr="00761E39">
        <w:rPr>
          <w:rFonts w:ascii="Arial" w:hAnsi="Arial" w:cs="Arial"/>
          <w:i/>
          <w:sz w:val="24"/>
          <w:szCs w:val="24"/>
        </w:rPr>
        <w:t>“carrying on [the company’</w:t>
      </w:r>
      <w:r>
        <w:rPr>
          <w:rFonts w:ascii="Arial" w:hAnsi="Arial" w:cs="Arial"/>
          <w:i/>
          <w:sz w:val="24"/>
          <w:szCs w:val="24"/>
        </w:rPr>
        <w:t>s] business recklessly</w:t>
      </w:r>
      <w:r w:rsidRPr="00761E39">
        <w:rPr>
          <w:rFonts w:ascii="Arial" w:hAnsi="Arial" w:cs="Arial"/>
          <w:i/>
          <w:sz w:val="24"/>
          <w:szCs w:val="24"/>
        </w:rPr>
        <w:t>, with gross negligence, with intent to defraud any person or for any fraudulent purpose”</w:t>
      </w:r>
      <w:r>
        <w:rPr>
          <w:rFonts w:ascii="Arial" w:hAnsi="Arial" w:cs="Arial"/>
          <w:sz w:val="24"/>
          <w:szCs w:val="24"/>
        </w:rPr>
        <w:t xml:space="preserve">. In </w:t>
      </w:r>
      <w:r>
        <w:rPr>
          <w:rFonts w:ascii="Arial" w:hAnsi="Arial" w:cs="Arial"/>
          <w:b/>
          <w:sz w:val="24"/>
          <w:szCs w:val="24"/>
        </w:rPr>
        <w:t>Venator Africa (Pty) Ltd v Bekker and Another</w:t>
      </w:r>
      <w:r w:rsidRPr="001B0BB8">
        <w:rPr>
          <w:rStyle w:val="FootnoteReference"/>
          <w:rFonts w:ascii="Arial" w:hAnsi="Arial" w:cs="Arial"/>
          <w:sz w:val="24"/>
          <w:szCs w:val="24"/>
        </w:rPr>
        <w:footnoteReference w:id="20"/>
      </w:r>
      <w:r w:rsidR="001B0BB8">
        <w:rPr>
          <w:rFonts w:ascii="Arial" w:hAnsi="Arial" w:cs="Arial"/>
          <w:sz w:val="24"/>
          <w:szCs w:val="24"/>
        </w:rPr>
        <w:t xml:space="preserve"> the court differed from the </w:t>
      </w:r>
      <w:r w:rsidR="001B0BB8">
        <w:rPr>
          <w:rFonts w:ascii="Arial" w:hAnsi="Arial" w:cs="Arial"/>
          <w:b/>
          <w:sz w:val="24"/>
          <w:szCs w:val="24"/>
        </w:rPr>
        <w:t>Rabinowitz</w:t>
      </w:r>
      <w:r w:rsidR="001B0BB8">
        <w:rPr>
          <w:rFonts w:ascii="Arial" w:hAnsi="Arial" w:cs="Arial"/>
          <w:sz w:val="24"/>
          <w:szCs w:val="24"/>
        </w:rPr>
        <w:t xml:space="preserve"> judgment as follows:</w:t>
      </w:r>
    </w:p>
    <w:p w:rsidR="001B0BB8" w:rsidRPr="001B0BB8" w:rsidRDefault="001B0BB8" w:rsidP="001B0BB8">
      <w:pPr>
        <w:shd w:val="clear" w:color="auto" w:fill="FFFFFF"/>
        <w:spacing w:after="0" w:line="480" w:lineRule="auto"/>
        <w:jc w:val="both"/>
        <w:rPr>
          <w:rFonts w:ascii="Arial" w:eastAsia="Times New Roman" w:hAnsi="Arial" w:cs="Arial"/>
          <w:i/>
          <w:lang w:val="en-US"/>
        </w:rPr>
      </w:pPr>
      <w:r>
        <w:rPr>
          <w:rFonts w:ascii="Arial" w:eastAsia="Times New Roman" w:hAnsi="Arial" w:cs="Arial"/>
          <w:i/>
          <w:lang w:val="en-GB"/>
        </w:rPr>
        <w:t>“</w:t>
      </w:r>
      <w:r w:rsidRPr="001B0BB8">
        <w:rPr>
          <w:rFonts w:ascii="Arial" w:eastAsia="Times New Roman" w:hAnsi="Arial" w:cs="Arial"/>
          <w:i/>
          <w:lang w:val="en-GB"/>
        </w:rPr>
        <w:t>[79]       In </w:t>
      </w:r>
      <w:r w:rsidRPr="001B0BB8">
        <w:rPr>
          <w:rFonts w:ascii="Arial" w:eastAsia="Times New Roman" w:hAnsi="Arial" w:cs="Arial"/>
          <w:i/>
          <w:iCs/>
          <w:lang w:val="en-GB"/>
        </w:rPr>
        <w:t>Rabinowitz, </w:t>
      </w:r>
      <w:r w:rsidRPr="001B0BB8">
        <w:rPr>
          <w:rFonts w:ascii="Arial" w:eastAsia="Times New Roman" w:hAnsi="Arial" w:cs="Arial"/>
          <w:i/>
          <w:lang w:val="en-GB"/>
        </w:rPr>
        <w:t>the court clearly considered </w:t>
      </w:r>
      <w:hyperlink r:id="rId17" w:anchor="s22" w:history="1">
        <w:r w:rsidRPr="001B0BB8">
          <w:rPr>
            <w:rFonts w:ascii="Arial" w:eastAsia="Times New Roman" w:hAnsi="Arial" w:cs="Arial"/>
            <w:bCs/>
            <w:i/>
            <w:lang w:val="en-GB"/>
          </w:rPr>
          <w:t>section 22(1)</w:t>
        </w:r>
      </w:hyperlink>
      <w:r w:rsidRPr="001B0BB8">
        <w:rPr>
          <w:rFonts w:ascii="Arial" w:eastAsia="Times New Roman" w:hAnsi="Arial" w:cs="Arial"/>
          <w:i/>
          <w:iCs/>
          <w:lang w:val="en-GB"/>
        </w:rPr>
        <w:t>(c)</w:t>
      </w:r>
      <w:r w:rsidRPr="001B0BB8">
        <w:rPr>
          <w:rFonts w:ascii="Arial" w:eastAsia="Times New Roman" w:hAnsi="Arial" w:cs="Arial"/>
          <w:i/>
          <w:lang w:val="en-GB"/>
        </w:rPr>
        <w:t> in its original form and referred to this pertinently in para 13, and then proceeded in para 17 to agree with the submission that if the director is guilty of the offence created in </w:t>
      </w:r>
      <w:hyperlink r:id="rId18" w:anchor="s214" w:history="1">
        <w:r w:rsidRPr="001B0BB8">
          <w:rPr>
            <w:rFonts w:ascii="Arial" w:eastAsia="Times New Roman" w:hAnsi="Arial" w:cs="Arial"/>
            <w:bCs/>
            <w:i/>
            <w:lang w:val="en-GB"/>
          </w:rPr>
          <w:t>section 214</w:t>
        </w:r>
      </w:hyperlink>
      <w:r w:rsidRPr="001B0BB8">
        <w:rPr>
          <w:rFonts w:ascii="Arial" w:eastAsia="Times New Roman" w:hAnsi="Arial" w:cs="Arial"/>
          <w:i/>
          <w:lang w:val="en-GB"/>
        </w:rPr>
        <w:t>, such director must be found to have contravened </w:t>
      </w:r>
      <w:hyperlink r:id="rId19" w:anchor="s218" w:history="1">
        <w:r w:rsidRPr="001B0BB8">
          <w:rPr>
            <w:rFonts w:ascii="Arial" w:eastAsia="Times New Roman" w:hAnsi="Arial" w:cs="Arial"/>
            <w:bCs/>
            <w:i/>
            <w:lang w:val="en-GB"/>
          </w:rPr>
          <w:t>section 218(2).</w:t>
        </w:r>
      </w:hyperlink>
      <w:r w:rsidRPr="001B0BB8">
        <w:rPr>
          <w:rFonts w:ascii="Arial" w:eastAsia="Times New Roman" w:hAnsi="Arial" w:cs="Arial"/>
          <w:i/>
          <w:lang w:val="en-GB"/>
        </w:rPr>
        <w:t> The court then relied on </w:t>
      </w:r>
      <w:r w:rsidRPr="001B0BB8">
        <w:rPr>
          <w:rFonts w:ascii="Arial" w:eastAsia="Times New Roman" w:hAnsi="Arial" w:cs="Arial"/>
          <w:i/>
          <w:iCs/>
          <w:lang w:val="en-GB"/>
        </w:rPr>
        <w:t>Contemporary Company Law</w:t>
      </w:r>
      <w:r>
        <w:rPr>
          <w:rFonts w:ascii="Arial" w:eastAsia="Times New Roman" w:hAnsi="Arial" w:cs="Arial"/>
          <w:i/>
          <w:iCs/>
          <w:lang w:val="en-GB"/>
        </w:rPr>
        <w:t xml:space="preserve">, </w:t>
      </w:r>
      <w:r w:rsidRPr="001B0BB8">
        <w:rPr>
          <w:rFonts w:ascii="Arial" w:eastAsia="Times New Roman" w:hAnsi="Arial" w:cs="Arial"/>
          <w:i/>
          <w:lang w:val="en-GB"/>
        </w:rPr>
        <w:t> as authority that directors are personally liable to creditors if </w:t>
      </w:r>
      <w:hyperlink r:id="rId20" w:anchor="s22" w:history="1">
        <w:r w:rsidRPr="001B0BB8">
          <w:rPr>
            <w:rFonts w:ascii="Arial" w:eastAsia="Times New Roman" w:hAnsi="Arial" w:cs="Arial"/>
            <w:bCs/>
            <w:i/>
            <w:lang w:val="en-GB"/>
          </w:rPr>
          <w:t>section 22(1)</w:t>
        </w:r>
      </w:hyperlink>
      <w:r w:rsidRPr="001B0BB8">
        <w:rPr>
          <w:rFonts w:ascii="Arial" w:eastAsia="Times New Roman" w:hAnsi="Arial" w:cs="Arial"/>
          <w:i/>
          <w:lang w:val="en-GB"/>
        </w:rPr>
        <w:t> is breached. The remark by the author of </w:t>
      </w:r>
      <w:r w:rsidRPr="001B0BB8">
        <w:rPr>
          <w:rFonts w:ascii="Arial" w:eastAsia="Times New Roman" w:hAnsi="Arial" w:cs="Arial"/>
          <w:i/>
          <w:iCs/>
          <w:lang w:val="en-GB"/>
        </w:rPr>
        <w:t>Contemporary Company Law </w:t>
      </w:r>
      <w:r w:rsidRPr="001B0BB8">
        <w:rPr>
          <w:rFonts w:ascii="Arial" w:eastAsia="Times New Roman" w:hAnsi="Arial" w:cs="Arial"/>
          <w:i/>
          <w:lang w:val="en-GB"/>
        </w:rPr>
        <w:t>is made in the context of </w:t>
      </w:r>
      <w:hyperlink r:id="rId21" w:anchor="s218" w:history="1">
        <w:r w:rsidRPr="001B0BB8">
          <w:rPr>
            <w:rFonts w:ascii="Arial" w:eastAsia="Times New Roman" w:hAnsi="Arial" w:cs="Arial"/>
            <w:bCs/>
            <w:i/>
            <w:lang w:val="en-GB"/>
          </w:rPr>
          <w:t>section 218(2)</w:t>
        </w:r>
      </w:hyperlink>
      <w:r w:rsidRPr="001B0BB8">
        <w:rPr>
          <w:rFonts w:ascii="Arial" w:eastAsia="Times New Roman" w:hAnsi="Arial" w:cs="Arial"/>
          <w:i/>
          <w:lang w:val="en-GB"/>
        </w:rPr>
        <w:t> but after having discussed the amendment to </w:t>
      </w:r>
      <w:hyperlink r:id="rId22" w:anchor="s214" w:history="1">
        <w:r w:rsidRPr="001B0BB8">
          <w:rPr>
            <w:rFonts w:ascii="Arial" w:eastAsia="Times New Roman" w:hAnsi="Arial" w:cs="Arial"/>
            <w:bCs/>
            <w:i/>
            <w:lang w:val="en-GB"/>
          </w:rPr>
          <w:t>section 214(1)</w:t>
        </w:r>
      </w:hyperlink>
      <w:r w:rsidRPr="001B0BB8">
        <w:rPr>
          <w:rFonts w:ascii="Arial" w:eastAsia="Times New Roman" w:hAnsi="Arial" w:cs="Arial"/>
          <w:i/>
          <w:iCs/>
          <w:lang w:val="en-GB"/>
        </w:rPr>
        <w:t>(c)</w:t>
      </w:r>
      <w:r w:rsidRPr="001B0BB8">
        <w:rPr>
          <w:rFonts w:ascii="Arial" w:eastAsia="Times New Roman" w:hAnsi="Arial" w:cs="Arial"/>
          <w:i/>
          <w:lang w:val="en-GB"/>
        </w:rPr>
        <w:t> where the legislator removed the reference to </w:t>
      </w:r>
      <w:hyperlink r:id="rId23" w:anchor="s22" w:history="1">
        <w:r w:rsidRPr="001B0BB8">
          <w:rPr>
            <w:rFonts w:ascii="Arial" w:eastAsia="Times New Roman" w:hAnsi="Arial" w:cs="Arial"/>
            <w:bCs/>
            <w:i/>
            <w:lang w:val="en-GB"/>
          </w:rPr>
          <w:t>section 22(1).</w:t>
        </w:r>
      </w:hyperlink>
      <w:r w:rsidRPr="001B0BB8">
        <w:rPr>
          <w:rFonts w:ascii="Arial" w:eastAsia="Times New Roman" w:hAnsi="Arial" w:cs="Arial"/>
          <w:i/>
          <w:lang w:val="en-GB"/>
        </w:rPr>
        <w:t> The statement made that ‘[c]reditors, in particular, will be entitled to redress from the company or its directors for fraudulent or reckless trading’</w:t>
      </w:r>
      <w:bookmarkStart w:id="16" w:name="_ftnref39"/>
      <w:r w:rsidRPr="001B0BB8">
        <w:rPr>
          <w:rFonts w:ascii="Arial" w:eastAsia="Times New Roman" w:hAnsi="Arial" w:cs="Arial"/>
          <w:i/>
          <w:lang w:val="en-GB"/>
        </w:rPr>
        <w:fldChar w:fldCharType="begin"/>
      </w:r>
      <w:r w:rsidRPr="001B0BB8">
        <w:rPr>
          <w:rFonts w:ascii="Arial" w:eastAsia="Times New Roman" w:hAnsi="Arial" w:cs="Arial"/>
          <w:i/>
          <w:lang w:val="en-GB"/>
        </w:rPr>
        <w:instrText xml:space="preserve"> HYPERLINK "http://www.saflii.org/za/cases/ZAKZPHC/2022/50.html" \l "_ftn39" </w:instrText>
      </w:r>
      <w:r w:rsidRPr="001B0BB8">
        <w:rPr>
          <w:rFonts w:ascii="Arial" w:eastAsia="Times New Roman" w:hAnsi="Arial" w:cs="Arial"/>
          <w:i/>
          <w:lang w:val="en-GB"/>
        </w:rPr>
        <w:fldChar w:fldCharType="separate"/>
      </w:r>
      <w:r w:rsidRPr="001B0BB8">
        <w:rPr>
          <w:rFonts w:ascii="Arial" w:eastAsia="Times New Roman" w:hAnsi="Arial" w:cs="Arial"/>
          <w:bCs/>
          <w:i/>
          <w:lang w:val="en-GB"/>
        </w:rPr>
        <w:t>[39]</w:t>
      </w:r>
      <w:r w:rsidRPr="001B0BB8">
        <w:rPr>
          <w:rFonts w:ascii="Arial" w:eastAsia="Times New Roman" w:hAnsi="Arial" w:cs="Arial"/>
          <w:i/>
          <w:lang w:val="en-GB"/>
        </w:rPr>
        <w:fldChar w:fldCharType="end"/>
      </w:r>
      <w:bookmarkEnd w:id="16"/>
      <w:r w:rsidRPr="001B0BB8">
        <w:rPr>
          <w:rFonts w:ascii="Arial" w:eastAsia="Times New Roman" w:hAnsi="Arial" w:cs="Arial"/>
          <w:i/>
          <w:lang w:val="en-GB"/>
        </w:rPr>
        <w:t> is done with no reference to any authorities or any in-depth analysis or discussion.</w:t>
      </w:r>
    </w:p>
    <w:p w:rsidR="001B0BB8" w:rsidRPr="001B0BB8" w:rsidRDefault="001B0BB8" w:rsidP="001B0BB8">
      <w:pPr>
        <w:shd w:val="clear" w:color="auto" w:fill="FFFFFF"/>
        <w:spacing w:after="0" w:line="480" w:lineRule="auto"/>
        <w:jc w:val="both"/>
        <w:rPr>
          <w:rFonts w:ascii="Arial" w:eastAsia="Times New Roman" w:hAnsi="Arial" w:cs="Arial"/>
          <w:i/>
          <w:lang w:val="en-US"/>
        </w:rPr>
      </w:pPr>
      <w:r w:rsidRPr="001B0BB8">
        <w:rPr>
          <w:rFonts w:ascii="Arial" w:eastAsia="Times New Roman" w:hAnsi="Arial" w:cs="Arial"/>
          <w:i/>
          <w:lang w:val="en-US"/>
        </w:rPr>
        <w:t> </w:t>
      </w:r>
      <w:r w:rsidRPr="001B0BB8">
        <w:rPr>
          <w:rFonts w:ascii="Arial" w:eastAsia="Times New Roman" w:hAnsi="Arial" w:cs="Arial"/>
          <w:i/>
          <w:lang w:val="en-GB"/>
        </w:rPr>
        <w:t>[80]       The court in </w:t>
      </w:r>
      <w:r w:rsidRPr="001B0BB8">
        <w:rPr>
          <w:rFonts w:ascii="Arial" w:eastAsia="Times New Roman" w:hAnsi="Arial" w:cs="Arial"/>
          <w:i/>
          <w:iCs/>
          <w:lang w:val="en-GB"/>
        </w:rPr>
        <w:t>Rabinowitz</w:t>
      </w:r>
      <w:r w:rsidRPr="001B0BB8">
        <w:rPr>
          <w:rFonts w:ascii="Arial" w:eastAsia="Times New Roman" w:hAnsi="Arial" w:cs="Arial"/>
          <w:i/>
          <w:lang w:val="en-GB"/>
        </w:rPr>
        <w:t> also relied on submissions made regarding the declaration of a director as delinquent in terms of </w:t>
      </w:r>
      <w:hyperlink r:id="rId24" w:anchor="s162" w:history="1">
        <w:r w:rsidRPr="001B0BB8">
          <w:rPr>
            <w:rFonts w:ascii="Arial" w:eastAsia="Times New Roman" w:hAnsi="Arial" w:cs="Arial"/>
            <w:bCs/>
            <w:i/>
            <w:lang w:val="en-GB"/>
          </w:rPr>
          <w:t>section 162(5)</w:t>
        </w:r>
      </w:hyperlink>
      <w:r w:rsidRPr="001B0BB8">
        <w:rPr>
          <w:rFonts w:ascii="Arial" w:eastAsia="Times New Roman" w:hAnsi="Arial" w:cs="Arial"/>
          <w:i/>
          <w:iCs/>
          <w:lang w:val="en-GB"/>
        </w:rPr>
        <w:t>(c)</w:t>
      </w:r>
      <w:r w:rsidRPr="001B0BB8">
        <w:rPr>
          <w:rFonts w:ascii="Arial" w:eastAsia="Times New Roman" w:hAnsi="Arial" w:cs="Arial"/>
          <w:i/>
          <w:lang w:val="en-GB"/>
        </w:rPr>
        <w:t>(iv)</w:t>
      </w:r>
      <w:r w:rsidRPr="001B0BB8">
        <w:rPr>
          <w:rFonts w:ascii="Arial" w:eastAsia="Times New Roman" w:hAnsi="Arial" w:cs="Arial"/>
          <w:i/>
          <w:iCs/>
          <w:lang w:val="en-GB"/>
        </w:rPr>
        <w:t>(bb)</w:t>
      </w:r>
      <w:r w:rsidRPr="001B0BB8">
        <w:rPr>
          <w:rFonts w:ascii="Arial" w:eastAsia="Times New Roman" w:hAnsi="Arial" w:cs="Arial"/>
          <w:i/>
          <w:lang w:val="en-GB"/>
        </w:rPr>
        <w:t> if he or she acted in a manner contemplated in </w:t>
      </w:r>
      <w:hyperlink r:id="rId25" w:anchor="s77" w:history="1">
        <w:r w:rsidRPr="001B0BB8">
          <w:rPr>
            <w:rFonts w:ascii="Arial" w:eastAsia="Times New Roman" w:hAnsi="Arial" w:cs="Arial"/>
            <w:bCs/>
            <w:i/>
            <w:lang w:val="en-GB"/>
          </w:rPr>
          <w:t>section 77(3)</w:t>
        </w:r>
      </w:hyperlink>
      <w:r w:rsidRPr="001B0BB8">
        <w:rPr>
          <w:rFonts w:ascii="Arial" w:eastAsia="Times New Roman" w:hAnsi="Arial" w:cs="Arial"/>
          <w:i/>
          <w:iCs/>
          <w:lang w:val="en-GB"/>
        </w:rPr>
        <w:t>(a)</w:t>
      </w:r>
      <w:r w:rsidRPr="001B0BB8">
        <w:rPr>
          <w:rFonts w:ascii="Arial" w:eastAsia="Times New Roman" w:hAnsi="Arial" w:cs="Arial"/>
          <w:i/>
          <w:lang w:val="en-GB"/>
        </w:rPr>
        <w:t>, </w:t>
      </w:r>
      <w:r w:rsidRPr="001B0BB8">
        <w:rPr>
          <w:rFonts w:ascii="Arial" w:eastAsia="Times New Roman" w:hAnsi="Arial" w:cs="Arial"/>
          <w:i/>
          <w:iCs/>
          <w:lang w:val="en-GB"/>
        </w:rPr>
        <w:t>(b)</w:t>
      </w:r>
      <w:r w:rsidRPr="001B0BB8">
        <w:rPr>
          <w:rFonts w:ascii="Arial" w:eastAsia="Times New Roman" w:hAnsi="Arial" w:cs="Arial"/>
          <w:i/>
          <w:lang w:val="en-GB"/>
        </w:rPr>
        <w:t> or </w:t>
      </w:r>
      <w:r w:rsidRPr="001B0BB8">
        <w:rPr>
          <w:rFonts w:ascii="Arial" w:eastAsia="Times New Roman" w:hAnsi="Arial" w:cs="Arial"/>
          <w:i/>
          <w:iCs/>
          <w:lang w:val="en-GB"/>
        </w:rPr>
        <w:t>(c)</w:t>
      </w:r>
      <w:r w:rsidRPr="001B0BB8">
        <w:rPr>
          <w:rFonts w:ascii="Arial" w:eastAsia="Times New Roman" w:hAnsi="Arial" w:cs="Arial"/>
          <w:i/>
          <w:lang w:val="en-GB"/>
        </w:rPr>
        <w:t>. The court found that</w:t>
      </w:r>
    </w:p>
    <w:p w:rsidR="001B0BB8" w:rsidRPr="001B0BB8" w:rsidRDefault="001B0BB8" w:rsidP="001B0BB8">
      <w:pPr>
        <w:shd w:val="clear" w:color="auto" w:fill="FFFFFF"/>
        <w:spacing w:after="0" w:line="480" w:lineRule="auto"/>
        <w:jc w:val="both"/>
        <w:rPr>
          <w:rFonts w:ascii="Arial" w:eastAsia="Times New Roman" w:hAnsi="Arial" w:cs="Arial"/>
          <w:i/>
          <w:lang w:val="en-US"/>
        </w:rPr>
      </w:pPr>
      <w:r w:rsidRPr="001B0BB8">
        <w:rPr>
          <w:rFonts w:ascii="Arial" w:eastAsia="Times New Roman" w:hAnsi="Arial" w:cs="Arial"/>
          <w:i/>
          <w:lang w:val="en-US"/>
        </w:rPr>
        <w:lastRenderedPageBreak/>
        <w:t>‘it is hard to conceive of any basis upon which the legislature intended to prevent a company from acting in the manner provided for in </w:t>
      </w:r>
      <w:hyperlink r:id="rId26" w:anchor="s22" w:history="1">
        <w:r w:rsidRPr="001B0BB8">
          <w:rPr>
            <w:rFonts w:ascii="Arial" w:eastAsia="Times New Roman" w:hAnsi="Arial" w:cs="Arial"/>
            <w:bCs/>
            <w:i/>
            <w:lang w:val="en-US"/>
          </w:rPr>
          <w:t>s 22</w:t>
        </w:r>
      </w:hyperlink>
      <w:r w:rsidRPr="001B0BB8">
        <w:rPr>
          <w:rFonts w:ascii="Arial" w:eastAsia="Times New Roman" w:hAnsi="Arial" w:cs="Arial"/>
          <w:i/>
          <w:lang w:val="en-US"/>
        </w:rPr>
        <w:t>, but did not intend to prevent the directors responsible for the management of the company from acting in that manner’</w:t>
      </w:r>
      <w:r w:rsidRPr="001B0BB8">
        <w:rPr>
          <w:rFonts w:ascii="Arial" w:eastAsia="Times New Roman" w:hAnsi="Arial" w:cs="Arial"/>
          <w:i/>
          <w:lang w:val="en-GB"/>
        </w:rPr>
        <w:t>.</w:t>
      </w:r>
      <w:r w:rsidRPr="001B0BB8">
        <w:rPr>
          <w:rFonts w:ascii="Arial" w:eastAsia="Times New Roman" w:hAnsi="Arial" w:cs="Arial"/>
          <w:i/>
          <w:lang w:val="en-US"/>
        </w:rPr>
        <w:t xml:space="preserve"> </w:t>
      </w:r>
    </w:p>
    <w:p w:rsidR="001B0BB8" w:rsidRPr="001B0BB8" w:rsidRDefault="001B0BB8" w:rsidP="001B0BB8">
      <w:pPr>
        <w:shd w:val="clear" w:color="auto" w:fill="FFFFFF"/>
        <w:spacing w:after="0" w:line="480" w:lineRule="auto"/>
        <w:jc w:val="both"/>
        <w:rPr>
          <w:rFonts w:ascii="Arial" w:eastAsia="Times New Roman" w:hAnsi="Arial" w:cs="Arial"/>
          <w:i/>
          <w:lang w:val="en-US"/>
        </w:rPr>
      </w:pPr>
      <w:r w:rsidRPr="001B0BB8">
        <w:rPr>
          <w:rFonts w:ascii="Arial" w:eastAsia="Times New Roman" w:hAnsi="Arial" w:cs="Arial"/>
          <w:i/>
          <w:lang w:val="en-GB"/>
        </w:rPr>
        <w:t>The court then simply proceeded to find that ‘</w:t>
      </w:r>
      <w:r w:rsidRPr="001B0BB8">
        <w:rPr>
          <w:rFonts w:ascii="Arial" w:eastAsia="Times New Roman" w:hAnsi="Arial" w:cs="Arial"/>
          <w:i/>
          <w:lang w:val="en-US"/>
        </w:rPr>
        <w:t>a third party can hold a director personally liable in terms of the Act for acquiescing in or knowing about conduct that falls within the ambit of s 22(1) thereof’</w:t>
      </w:r>
      <w:r w:rsidRPr="001B0BB8">
        <w:rPr>
          <w:rFonts w:ascii="Arial" w:eastAsia="Times New Roman" w:hAnsi="Arial" w:cs="Arial"/>
          <w:i/>
          <w:lang w:val="en-GB"/>
        </w:rPr>
        <w:t>.</w:t>
      </w:r>
      <w:r w:rsidRPr="001B0BB8">
        <w:rPr>
          <w:rFonts w:ascii="Arial" w:eastAsia="Times New Roman" w:hAnsi="Arial" w:cs="Arial"/>
          <w:i/>
          <w:lang w:val="en-US"/>
        </w:rPr>
        <w:t xml:space="preserve"> </w:t>
      </w:r>
    </w:p>
    <w:p w:rsidR="001B0BB8" w:rsidRPr="001B0BB8" w:rsidRDefault="001B0BB8" w:rsidP="001B0BB8">
      <w:pPr>
        <w:shd w:val="clear" w:color="auto" w:fill="FFFFFF"/>
        <w:spacing w:after="0" w:line="480" w:lineRule="auto"/>
        <w:jc w:val="both"/>
        <w:rPr>
          <w:rFonts w:ascii="Arial" w:eastAsia="Times New Roman" w:hAnsi="Arial" w:cs="Arial"/>
          <w:i/>
          <w:lang w:val="en-US"/>
        </w:rPr>
      </w:pPr>
      <w:r w:rsidRPr="001B0BB8">
        <w:rPr>
          <w:rFonts w:ascii="Arial" w:eastAsia="Times New Roman" w:hAnsi="Arial" w:cs="Arial"/>
          <w:i/>
          <w:lang w:val="en-GB"/>
        </w:rPr>
        <w:t>[81]       I respectfully disagree with this finding and am of the view that the court failed to consider the fact that if the legislator had wanted to make a director criminally liable for being a party to conduct prohibited by section 22(1), it would not have amended the </w:t>
      </w:r>
      <w:hyperlink r:id="rId27" w:history="1">
        <w:r w:rsidRPr="001B0BB8">
          <w:rPr>
            <w:rFonts w:ascii="Arial" w:eastAsia="Times New Roman" w:hAnsi="Arial" w:cs="Arial"/>
            <w:bCs/>
            <w:i/>
            <w:lang w:val="en-GB"/>
          </w:rPr>
          <w:t>Companies Act by</w:t>
        </w:r>
      </w:hyperlink>
      <w:r w:rsidRPr="001B0BB8">
        <w:rPr>
          <w:rFonts w:ascii="Arial" w:eastAsia="Times New Roman" w:hAnsi="Arial" w:cs="Arial"/>
          <w:i/>
          <w:lang w:val="en-GB"/>
        </w:rPr>
        <w:t> removing the reference to </w:t>
      </w:r>
      <w:hyperlink r:id="rId28" w:anchor="s22" w:history="1">
        <w:r w:rsidRPr="001B0BB8">
          <w:rPr>
            <w:rFonts w:ascii="Arial" w:eastAsia="Times New Roman" w:hAnsi="Arial" w:cs="Arial"/>
            <w:bCs/>
            <w:i/>
            <w:lang w:val="en-GB"/>
          </w:rPr>
          <w:t>section 22(1)</w:t>
        </w:r>
      </w:hyperlink>
      <w:r w:rsidRPr="001B0BB8">
        <w:rPr>
          <w:rFonts w:ascii="Arial" w:eastAsia="Times New Roman" w:hAnsi="Arial" w:cs="Arial"/>
          <w:i/>
          <w:lang w:val="en-GB"/>
        </w:rPr>
        <w:t> in </w:t>
      </w:r>
      <w:hyperlink r:id="rId29" w:anchor="s214" w:history="1">
        <w:r w:rsidRPr="001B0BB8">
          <w:rPr>
            <w:rFonts w:ascii="Arial" w:eastAsia="Times New Roman" w:hAnsi="Arial" w:cs="Arial"/>
            <w:bCs/>
            <w:i/>
            <w:lang w:val="en-GB"/>
          </w:rPr>
          <w:t>section 214(1)</w:t>
        </w:r>
      </w:hyperlink>
      <w:r w:rsidRPr="001B0BB8">
        <w:rPr>
          <w:rFonts w:ascii="Arial" w:eastAsia="Times New Roman" w:hAnsi="Arial" w:cs="Arial"/>
          <w:i/>
          <w:iCs/>
          <w:lang w:val="en-GB"/>
        </w:rPr>
        <w:t>(c)</w:t>
      </w:r>
      <w:r w:rsidRPr="001B0BB8">
        <w:rPr>
          <w:rFonts w:ascii="Arial" w:eastAsia="Times New Roman" w:hAnsi="Arial" w:cs="Arial"/>
          <w:i/>
          <w:lang w:val="en-GB"/>
        </w:rPr>
        <w:t>. More importantly, if the legislator intended to hold a director liable to a third party for acquiescing in the carrying on of the company’s business as prohibited by </w:t>
      </w:r>
      <w:hyperlink r:id="rId30" w:anchor="s22" w:history="1">
        <w:r w:rsidRPr="001B0BB8">
          <w:rPr>
            <w:rFonts w:ascii="Arial" w:eastAsia="Times New Roman" w:hAnsi="Arial" w:cs="Arial"/>
            <w:bCs/>
            <w:i/>
            <w:lang w:val="en-GB"/>
          </w:rPr>
          <w:t>section 22(1)</w:t>
        </w:r>
      </w:hyperlink>
      <w:r w:rsidRPr="001B0BB8">
        <w:rPr>
          <w:rFonts w:ascii="Arial" w:eastAsia="Times New Roman" w:hAnsi="Arial" w:cs="Arial"/>
          <w:i/>
          <w:lang w:val="en-GB"/>
        </w:rPr>
        <w:t> or in any other respects for that matter, it would have said so expressly as it has done in section 424 of the 1973 </w:t>
      </w:r>
      <w:hyperlink r:id="rId31" w:history="1">
        <w:r w:rsidRPr="001B0BB8">
          <w:rPr>
            <w:rFonts w:ascii="Arial" w:eastAsia="Times New Roman" w:hAnsi="Arial" w:cs="Arial"/>
            <w:bCs/>
            <w:i/>
            <w:lang w:val="en-GB"/>
          </w:rPr>
          <w:t>Companies Act, and</w:t>
        </w:r>
      </w:hyperlink>
      <w:r w:rsidRPr="001B0BB8">
        <w:rPr>
          <w:rFonts w:ascii="Arial" w:eastAsia="Times New Roman" w:hAnsi="Arial" w:cs="Arial"/>
          <w:i/>
          <w:lang w:val="en-GB"/>
        </w:rPr>
        <w:t> </w:t>
      </w:r>
      <w:hyperlink r:id="rId32" w:anchor="s19" w:history="1">
        <w:r w:rsidRPr="001B0BB8">
          <w:rPr>
            <w:rFonts w:ascii="Arial" w:eastAsia="Times New Roman" w:hAnsi="Arial" w:cs="Arial"/>
            <w:bCs/>
            <w:i/>
            <w:lang w:val="en-GB"/>
          </w:rPr>
          <w:t>section 19(3)</w:t>
        </w:r>
      </w:hyperlink>
      <w:r w:rsidRPr="001B0BB8">
        <w:rPr>
          <w:rFonts w:ascii="Arial" w:eastAsia="Times New Roman" w:hAnsi="Arial" w:cs="Arial"/>
          <w:i/>
          <w:lang w:val="en-GB"/>
        </w:rPr>
        <w:t> of the </w:t>
      </w:r>
      <w:hyperlink r:id="rId33" w:history="1">
        <w:r w:rsidRPr="001B0BB8">
          <w:rPr>
            <w:rFonts w:ascii="Arial" w:eastAsia="Times New Roman" w:hAnsi="Arial" w:cs="Arial"/>
            <w:bCs/>
            <w:i/>
            <w:lang w:val="en-GB"/>
          </w:rPr>
          <w:t>Companies Act. The</w:t>
        </w:r>
      </w:hyperlink>
      <w:r w:rsidRPr="001B0BB8">
        <w:rPr>
          <w:rFonts w:ascii="Arial" w:eastAsia="Times New Roman" w:hAnsi="Arial" w:cs="Arial"/>
          <w:i/>
          <w:lang w:val="en-GB"/>
        </w:rPr>
        <w:t> express provisions in </w:t>
      </w:r>
      <w:hyperlink r:id="rId34" w:anchor="s64" w:history="1">
        <w:r w:rsidRPr="001B0BB8">
          <w:rPr>
            <w:rFonts w:ascii="Arial" w:eastAsia="Times New Roman" w:hAnsi="Arial" w:cs="Arial"/>
            <w:bCs/>
            <w:i/>
            <w:lang w:val="en-GB"/>
          </w:rPr>
          <w:t>section 64(1)</w:t>
        </w:r>
      </w:hyperlink>
      <w:r w:rsidRPr="001B0BB8">
        <w:rPr>
          <w:rFonts w:ascii="Arial" w:eastAsia="Times New Roman" w:hAnsi="Arial" w:cs="Arial"/>
          <w:i/>
          <w:lang w:val="en-GB"/>
        </w:rPr>
        <w:t> of the </w:t>
      </w:r>
      <w:hyperlink r:id="rId35" w:history="1">
        <w:r w:rsidRPr="001B0BB8">
          <w:rPr>
            <w:rFonts w:ascii="Arial" w:eastAsia="Times New Roman" w:hAnsi="Arial" w:cs="Arial"/>
            <w:bCs/>
            <w:i/>
            <w:lang w:val="en-GB"/>
          </w:rPr>
          <w:t>Close Corporations Act also</w:t>
        </w:r>
      </w:hyperlink>
      <w:r w:rsidRPr="001B0BB8">
        <w:rPr>
          <w:rFonts w:ascii="Arial" w:eastAsia="Times New Roman" w:hAnsi="Arial" w:cs="Arial"/>
          <w:i/>
          <w:lang w:val="en-GB"/>
        </w:rPr>
        <w:t> comes to mind in this regard.”</w:t>
      </w:r>
    </w:p>
    <w:p w:rsidR="001B0BB8" w:rsidRDefault="001B0BB8" w:rsidP="00761E39">
      <w:pPr>
        <w:spacing w:after="0" w:line="480" w:lineRule="auto"/>
        <w:ind w:left="720" w:hanging="720"/>
        <w:jc w:val="both"/>
        <w:rPr>
          <w:rFonts w:ascii="Arial" w:hAnsi="Arial" w:cs="Arial"/>
          <w:sz w:val="24"/>
          <w:szCs w:val="24"/>
        </w:rPr>
      </w:pPr>
    </w:p>
    <w:p w:rsidR="00CF3A74" w:rsidRDefault="001B0BB8" w:rsidP="001B0BB8">
      <w:pPr>
        <w:spacing w:after="0" w:line="480" w:lineRule="auto"/>
        <w:rPr>
          <w:rFonts w:ascii="Arial" w:hAnsi="Arial" w:cs="Arial"/>
          <w:sz w:val="24"/>
          <w:szCs w:val="24"/>
        </w:rPr>
      </w:pPr>
      <w:r>
        <w:rPr>
          <w:rFonts w:ascii="Arial" w:hAnsi="Arial" w:cs="Arial"/>
          <w:sz w:val="24"/>
          <w:szCs w:val="24"/>
        </w:rPr>
        <w:t>26]</w:t>
      </w:r>
      <w:r>
        <w:rPr>
          <w:rFonts w:ascii="Arial" w:hAnsi="Arial" w:cs="Arial"/>
          <w:sz w:val="24"/>
          <w:szCs w:val="24"/>
        </w:rPr>
        <w:tab/>
      </w:r>
      <w:r w:rsidR="00E2126A">
        <w:rPr>
          <w:rFonts w:ascii="Arial" w:hAnsi="Arial" w:cs="Arial"/>
          <w:sz w:val="24"/>
          <w:szCs w:val="24"/>
        </w:rPr>
        <w:t xml:space="preserve">So too must the </w:t>
      </w:r>
      <w:r w:rsidR="00E2126A">
        <w:rPr>
          <w:rFonts w:ascii="Arial" w:hAnsi="Arial" w:cs="Arial"/>
          <w:b/>
          <w:sz w:val="24"/>
          <w:szCs w:val="24"/>
        </w:rPr>
        <w:t>Rabinowitz</w:t>
      </w:r>
      <w:r w:rsidR="00E2126A">
        <w:rPr>
          <w:rFonts w:ascii="Arial" w:hAnsi="Arial" w:cs="Arial"/>
          <w:sz w:val="24"/>
          <w:szCs w:val="24"/>
        </w:rPr>
        <w:t xml:space="preserve"> decision suffer a similar fate dealt to it by the </w:t>
      </w:r>
      <w:r w:rsidR="00E2126A">
        <w:rPr>
          <w:rFonts w:ascii="Arial" w:hAnsi="Arial" w:cs="Arial"/>
          <w:b/>
          <w:sz w:val="24"/>
          <w:szCs w:val="24"/>
        </w:rPr>
        <w:t>De Bruyn</w:t>
      </w:r>
      <w:r w:rsidR="00E2126A">
        <w:rPr>
          <w:rFonts w:ascii="Arial" w:hAnsi="Arial" w:cs="Arial"/>
          <w:sz w:val="24"/>
          <w:szCs w:val="24"/>
        </w:rPr>
        <w:t xml:space="preserve"> judgment which stated:</w:t>
      </w:r>
    </w:p>
    <w:p w:rsidR="00E2126A" w:rsidRPr="00E2126A" w:rsidRDefault="00E2126A" w:rsidP="00E2126A">
      <w:pPr>
        <w:spacing w:after="0" w:line="480" w:lineRule="auto"/>
        <w:jc w:val="both"/>
        <w:rPr>
          <w:rFonts w:ascii="Arial" w:hAnsi="Arial" w:cs="Arial"/>
          <w:i/>
        </w:rPr>
      </w:pPr>
      <w:r>
        <w:rPr>
          <w:rFonts w:ascii="Arial" w:hAnsi="Arial" w:cs="Arial"/>
          <w:i/>
          <w:color w:val="000000"/>
        </w:rPr>
        <w:t>“</w:t>
      </w:r>
      <w:r w:rsidRPr="00E2126A">
        <w:rPr>
          <w:rFonts w:ascii="Arial" w:hAnsi="Arial" w:cs="Arial"/>
          <w:i/>
          <w:color w:val="000000"/>
        </w:rPr>
        <w:t>[190] This point of interpretation is further illustrated by considering s 22. Section 22 states that a company must not carry on its business recklessly, with gross negligence, with intent to defraud any person or for any fraudulent purpose. A company contravenes s 22 only if it carries on its business with one or other of the specified species of fault. Any liability that arises under s 22 is determined under the disciplining concepts of fault to be found in this provision. No coherent interpretation would suggest that because s 218(2) provides for liability without reference to fault, s 22 can be read to impose strict liability. On the contrary, fault is constitutive of the contravention.</w:t>
      </w:r>
      <w:r>
        <w:rPr>
          <w:rFonts w:ascii="Arial" w:hAnsi="Arial" w:cs="Arial"/>
          <w:i/>
          <w:color w:val="000000"/>
        </w:rPr>
        <w:t>”</w:t>
      </w:r>
    </w:p>
    <w:p w:rsidR="00E2126A" w:rsidRDefault="00E2126A" w:rsidP="006C2676">
      <w:pPr>
        <w:spacing w:after="0" w:line="480" w:lineRule="auto"/>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6C2676">
        <w:rPr>
          <w:rFonts w:ascii="Arial" w:hAnsi="Arial" w:cs="Arial"/>
          <w:sz w:val="24"/>
          <w:szCs w:val="24"/>
        </w:rPr>
        <w:t>An</w:t>
      </w:r>
      <w:r w:rsidR="00340E15">
        <w:rPr>
          <w:rFonts w:ascii="Arial" w:hAnsi="Arial" w:cs="Arial"/>
          <w:sz w:val="24"/>
          <w:szCs w:val="24"/>
        </w:rPr>
        <w:t xml:space="preserve">y purposeful interpretation of s 218(2) and s </w:t>
      </w:r>
      <w:r w:rsidR="006C2676">
        <w:rPr>
          <w:rFonts w:ascii="Arial" w:hAnsi="Arial" w:cs="Arial"/>
          <w:sz w:val="24"/>
          <w:szCs w:val="24"/>
        </w:rPr>
        <w:t>22(1) would thus be only achieved with reference to s</w:t>
      </w:r>
      <w:r w:rsidR="00340E15">
        <w:rPr>
          <w:rFonts w:ascii="Arial" w:hAnsi="Arial" w:cs="Arial"/>
          <w:sz w:val="24"/>
          <w:szCs w:val="24"/>
        </w:rPr>
        <w:t xml:space="preserve"> </w:t>
      </w:r>
      <w:r w:rsidR="006C2676">
        <w:rPr>
          <w:rFonts w:ascii="Arial" w:hAnsi="Arial" w:cs="Arial"/>
          <w:sz w:val="24"/>
          <w:szCs w:val="24"/>
        </w:rPr>
        <w:t>77(3)(b) of the Act which states:</w:t>
      </w:r>
    </w:p>
    <w:p w:rsidR="00047876" w:rsidRPr="00047876" w:rsidRDefault="00047876" w:rsidP="00047876">
      <w:pPr>
        <w:spacing w:after="0" w:line="480" w:lineRule="auto"/>
        <w:jc w:val="both"/>
        <w:rPr>
          <w:rFonts w:ascii="Arial" w:eastAsia="Times New Roman" w:hAnsi="Arial" w:cs="Arial"/>
          <w:i/>
          <w:lang w:val="en-US"/>
        </w:rPr>
      </w:pPr>
      <w:r>
        <w:rPr>
          <w:rFonts w:ascii="Arial" w:eastAsia="Times New Roman" w:hAnsi="Arial" w:cs="Arial"/>
          <w:i/>
          <w:lang w:val="en-US"/>
        </w:rPr>
        <w:t>“</w:t>
      </w:r>
      <w:hyperlink r:id="rId36" w:tgtFrame="main" w:history="1">
        <w:r w:rsidRPr="00047876">
          <w:rPr>
            <w:rFonts w:ascii="Arial" w:eastAsia="Times New Roman" w:hAnsi="Arial" w:cs="Arial"/>
            <w:i/>
            <w:lang w:val="en-US"/>
          </w:rPr>
          <w:t>(3)</w:t>
        </w:r>
      </w:hyperlink>
      <w:r w:rsidRPr="00047876">
        <w:rPr>
          <w:rFonts w:ascii="Arial" w:eastAsia="Times New Roman" w:hAnsi="Arial" w:cs="Arial"/>
          <w:i/>
          <w:lang w:val="en-US"/>
        </w:rPr>
        <w:t> A director of a company is liable for any loss, damages or costs sustained by the company as a direct or indirect consequence of the director having-</w:t>
      </w:r>
    </w:p>
    <w:p w:rsidR="00047876" w:rsidRPr="00047876" w:rsidRDefault="00047876" w:rsidP="00047876">
      <w:pPr>
        <w:spacing w:after="0" w:line="480" w:lineRule="auto"/>
        <w:ind w:left="720" w:hanging="2"/>
        <w:jc w:val="both"/>
        <w:rPr>
          <w:rFonts w:ascii="Arial" w:eastAsia="Times New Roman" w:hAnsi="Arial" w:cs="Arial"/>
          <w:i/>
          <w:lang w:val="en-US"/>
        </w:rPr>
      </w:pPr>
      <w:r>
        <w:rPr>
          <w:rFonts w:ascii="Arial" w:eastAsia="Times New Roman" w:hAnsi="Arial" w:cs="Arial"/>
          <w:i/>
          <w:lang w:val="en-US"/>
        </w:rPr>
        <w:t>…</w:t>
      </w:r>
      <w:r w:rsidRPr="00047876">
        <w:rPr>
          <w:rFonts w:ascii="Arial" w:eastAsia="Times New Roman" w:hAnsi="Arial" w:cs="Arial"/>
          <w:i/>
          <w:lang w:val="en-US"/>
        </w:rPr>
        <w:t>   </w:t>
      </w:r>
      <w:bookmarkStart w:id="17" w:name="0-0-0-65735"/>
      <w:bookmarkEnd w:id="17"/>
      <w:r w:rsidRPr="00047876">
        <w:rPr>
          <w:rFonts w:ascii="Arial" w:eastAsia="Times New Roman" w:hAnsi="Arial" w:cs="Arial"/>
          <w:i/>
          <w:iCs/>
          <w:lang w:val="en-US"/>
        </w:rPr>
        <w:t>(b)</w:t>
      </w:r>
      <w:r w:rsidRPr="00047876">
        <w:rPr>
          <w:rFonts w:ascii="Arial" w:eastAsia="Times New Roman" w:hAnsi="Arial" w:cs="Arial"/>
          <w:i/>
          <w:lang w:val="en-US"/>
        </w:rPr>
        <w:t>   acquiesced in the carrying on of the company's business despite knowing that it was being conducted in a mann</w:t>
      </w:r>
      <w:r>
        <w:rPr>
          <w:rFonts w:ascii="Arial" w:eastAsia="Times New Roman" w:hAnsi="Arial" w:cs="Arial"/>
          <w:i/>
          <w:lang w:val="en-US"/>
        </w:rPr>
        <w:t>er prohibited by section 22 (1)…”</w:t>
      </w:r>
    </w:p>
    <w:p w:rsidR="006C2676" w:rsidRDefault="006C2676" w:rsidP="006C2676">
      <w:pPr>
        <w:spacing w:after="0" w:line="480" w:lineRule="auto"/>
        <w:rPr>
          <w:rFonts w:ascii="Arial" w:hAnsi="Arial" w:cs="Arial"/>
          <w:sz w:val="24"/>
          <w:szCs w:val="24"/>
        </w:rPr>
      </w:pPr>
    </w:p>
    <w:p w:rsidR="006C2676" w:rsidRDefault="006C2676" w:rsidP="006C2676">
      <w:pPr>
        <w:spacing w:after="0" w:line="480" w:lineRule="auto"/>
        <w:rPr>
          <w:rFonts w:ascii="Arial" w:hAnsi="Arial" w:cs="Arial"/>
          <w:sz w:val="24"/>
          <w:szCs w:val="24"/>
        </w:rPr>
      </w:pPr>
      <w:r>
        <w:rPr>
          <w:rFonts w:ascii="Arial" w:hAnsi="Arial" w:cs="Arial"/>
          <w:sz w:val="24"/>
          <w:szCs w:val="24"/>
        </w:rPr>
        <w:t>28]</w:t>
      </w:r>
      <w:r>
        <w:rPr>
          <w:rFonts w:ascii="Arial" w:hAnsi="Arial" w:cs="Arial"/>
          <w:sz w:val="24"/>
          <w:szCs w:val="24"/>
        </w:rPr>
        <w:tab/>
        <w:t>But in this too the plaintiff cannot succeed as that provides a remedy only to the company</w:t>
      </w:r>
      <w:r w:rsidR="008F51AD">
        <w:rPr>
          <w:rFonts w:ascii="Arial" w:hAnsi="Arial" w:cs="Arial"/>
          <w:sz w:val="24"/>
          <w:szCs w:val="24"/>
        </w:rPr>
        <w:t xml:space="preserve"> - </w:t>
      </w:r>
      <w:r>
        <w:rPr>
          <w:rFonts w:ascii="Arial" w:hAnsi="Arial" w:cs="Arial"/>
          <w:sz w:val="24"/>
          <w:szCs w:val="24"/>
        </w:rPr>
        <w:t xml:space="preserve">ie to MECSA </w:t>
      </w:r>
      <w:r w:rsidR="008F51AD">
        <w:rPr>
          <w:rFonts w:ascii="Arial" w:hAnsi="Arial" w:cs="Arial"/>
          <w:sz w:val="24"/>
          <w:szCs w:val="24"/>
        </w:rPr>
        <w:t xml:space="preserve">- </w:t>
      </w:r>
      <w:r>
        <w:rPr>
          <w:rFonts w:ascii="Arial" w:hAnsi="Arial" w:cs="Arial"/>
          <w:sz w:val="24"/>
          <w:szCs w:val="24"/>
        </w:rPr>
        <w:t>as against the defendants:</w:t>
      </w:r>
    </w:p>
    <w:p w:rsidR="006C2676" w:rsidRPr="006C2676" w:rsidRDefault="006C2676" w:rsidP="006C2676">
      <w:pPr>
        <w:spacing w:after="0" w:line="480" w:lineRule="auto"/>
        <w:jc w:val="both"/>
        <w:rPr>
          <w:rFonts w:ascii="Arial" w:eastAsia="Times New Roman" w:hAnsi="Arial" w:cs="Arial"/>
          <w:i/>
          <w:color w:val="000000"/>
          <w:lang w:val="en-US"/>
        </w:rPr>
      </w:pPr>
      <w:r>
        <w:rPr>
          <w:rFonts w:ascii="Arial" w:eastAsia="Times New Roman" w:hAnsi="Arial" w:cs="Arial"/>
          <w:i/>
          <w:color w:val="000000"/>
          <w:lang w:val="en-US"/>
        </w:rPr>
        <w:t>“</w:t>
      </w:r>
      <w:r w:rsidRPr="006C2676">
        <w:rPr>
          <w:rFonts w:ascii="Arial" w:eastAsia="Times New Roman" w:hAnsi="Arial" w:cs="Arial"/>
          <w:i/>
          <w:color w:val="000000"/>
          <w:lang w:val="en-US"/>
        </w:rPr>
        <w:t>[208] Section 77(3) also answers this central question: to whom is a director liable for knowingly acquiescing in the company's reckless trading? Put differently, who enjoys a right of action against a director? The introductory language of s 77(3) provides the answer. A director of a company is liable for any loss, damages or costs sustained by the company as a direct or indirect consequence of the director's knowing acquiescence. It is the company's loss that is claimed and it is the company that is the obvious person upon whom the right is conferred to make good its loss. Such a construction is also consistent with the interpretative force of the common law that directors owe their duties to the company, and if they fail in those duties by knowingly acquiescing in the company's reckless conduct, it is the company that exacts compensation for its loss.”</w:t>
      </w:r>
      <w:r>
        <w:rPr>
          <w:rStyle w:val="FootnoteReference"/>
          <w:rFonts w:ascii="Arial" w:eastAsia="Times New Roman" w:hAnsi="Arial" w:cs="Arial"/>
          <w:i/>
          <w:color w:val="000000"/>
          <w:lang w:val="en-US"/>
        </w:rPr>
        <w:footnoteReference w:id="21"/>
      </w:r>
    </w:p>
    <w:p w:rsidR="006C2676" w:rsidRDefault="006C2676" w:rsidP="006C2676">
      <w:pPr>
        <w:spacing w:after="0" w:line="480" w:lineRule="auto"/>
        <w:rPr>
          <w:rFonts w:ascii="Arial" w:hAnsi="Arial" w:cs="Arial"/>
          <w:sz w:val="24"/>
          <w:szCs w:val="24"/>
        </w:rPr>
      </w:pPr>
    </w:p>
    <w:p w:rsidR="00261C23" w:rsidRDefault="00261C23" w:rsidP="00261C23">
      <w:pPr>
        <w:spacing w:after="0" w:line="480" w:lineRule="auto"/>
        <w:jc w:val="both"/>
        <w:rPr>
          <w:rFonts w:ascii="Arial" w:hAnsi="Arial" w:cs="Arial"/>
          <w:i/>
          <w:sz w:val="24"/>
          <w:szCs w:val="24"/>
        </w:rPr>
      </w:pPr>
      <w:r>
        <w:rPr>
          <w:rFonts w:ascii="Arial" w:hAnsi="Arial" w:cs="Arial"/>
          <w:sz w:val="24"/>
          <w:szCs w:val="24"/>
        </w:rPr>
        <w:t>29]</w:t>
      </w:r>
      <w:r>
        <w:rPr>
          <w:rFonts w:ascii="Arial" w:hAnsi="Arial" w:cs="Arial"/>
          <w:sz w:val="24"/>
          <w:szCs w:val="24"/>
        </w:rPr>
        <w:tab/>
        <w:t>I agree with the interpretation placed on s</w:t>
      </w:r>
      <w:r w:rsidR="00863F4D">
        <w:rPr>
          <w:rFonts w:ascii="Arial" w:hAnsi="Arial" w:cs="Arial"/>
          <w:sz w:val="24"/>
          <w:szCs w:val="24"/>
        </w:rPr>
        <w:t xml:space="preserve"> </w:t>
      </w:r>
      <w:r>
        <w:rPr>
          <w:rFonts w:ascii="Arial" w:hAnsi="Arial" w:cs="Arial"/>
          <w:sz w:val="24"/>
          <w:szCs w:val="24"/>
        </w:rPr>
        <w:t>218(2) as read with s</w:t>
      </w:r>
      <w:r w:rsidR="00863F4D">
        <w:rPr>
          <w:rFonts w:ascii="Arial" w:hAnsi="Arial" w:cs="Arial"/>
          <w:sz w:val="24"/>
          <w:szCs w:val="24"/>
        </w:rPr>
        <w:t xml:space="preserve"> </w:t>
      </w:r>
      <w:r>
        <w:rPr>
          <w:rFonts w:ascii="Arial" w:hAnsi="Arial" w:cs="Arial"/>
          <w:sz w:val="24"/>
          <w:szCs w:val="24"/>
        </w:rPr>
        <w:t xml:space="preserve">22(1) in </w:t>
      </w:r>
      <w:r>
        <w:rPr>
          <w:rFonts w:ascii="Arial" w:hAnsi="Arial" w:cs="Arial"/>
          <w:b/>
          <w:sz w:val="24"/>
          <w:szCs w:val="24"/>
        </w:rPr>
        <w:t>De Bruyn</w:t>
      </w:r>
      <w:r>
        <w:rPr>
          <w:rFonts w:ascii="Arial" w:hAnsi="Arial" w:cs="Arial"/>
          <w:sz w:val="24"/>
          <w:szCs w:val="24"/>
        </w:rPr>
        <w:t xml:space="preserve"> and </w:t>
      </w:r>
      <w:r>
        <w:rPr>
          <w:rFonts w:ascii="Arial" w:hAnsi="Arial" w:cs="Arial"/>
          <w:b/>
          <w:sz w:val="24"/>
          <w:szCs w:val="24"/>
        </w:rPr>
        <w:t>Venator</w:t>
      </w:r>
      <w:r w:rsidR="00863F4D">
        <w:rPr>
          <w:rFonts w:ascii="Arial" w:hAnsi="Arial" w:cs="Arial"/>
          <w:b/>
          <w:sz w:val="24"/>
          <w:szCs w:val="24"/>
        </w:rPr>
        <w:t>,</w:t>
      </w:r>
      <w:r>
        <w:rPr>
          <w:rFonts w:ascii="Arial" w:hAnsi="Arial" w:cs="Arial"/>
          <w:sz w:val="24"/>
          <w:szCs w:val="24"/>
        </w:rPr>
        <w:t xml:space="preserve"> and I also agree that </w:t>
      </w:r>
      <w:r>
        <w:rPr>
          <w:rFonts w:ascii="Arial" w:hAnsi="Arial" w:cs="Arial"/>
          <w:i/>
          <w:sz w:val="24"/>
          <w:szCs w:val="24"/>
        </w:rPr>
        <w:t xml:space="preserve">“therefore the so-called lacuna created by the legislature in not providing expressly for the liability of directors to other person, such as creditors, for loss or damage suffered, is a clear indication that it was not its intention to </w:t>
      </w:r>
      <w:r>
        <w:rPr>
          <w:rFonts w:ascii="Arial" w:hAnsi="Arial" w:cs="Arial"/>
          <w:i/>
          <w:sz w:val="24"/>
          <w:szCs w:val="24"/>
        </w:rPr>
        <w:lastRenderedPageBreak/>
        <w:t>do so, thereby continuing to recognise what has been referred to a foundation of company law.”</w:t>
      </w:r>
      <w:r w:rsidR="002D239E">
        <w:rPr>
          <w:rStyle w:val="FootnoteReference"/>
          <w:rFonts w:ascii="Arial" w:hAnsi="Arial" w:cs="Arial"/>
          <w:i/>
          <w:sz w:val="24"/>
          <w:szCs w:val="24"/>
        </w:rPr>
        <w:footnoteReference w:id="22"/>
      </w:r>
    </w:p>
    <w:p w:rsidR="002D239E" w:rsidRDefault="002D239E" w:rsidP="00261C23">
      <w:pPr>
        <w:spacing w:after="0" w:line="480" w:lineRule="auto"/>
        <w:jc w:val="both"/>
        <w:rPr>
          <w:rFonts w:ascii="Arial" w:hAnsi="Arial" w:cs="Arial"/>
          <w:sz w:val="24"/>
          <w:szCs w:val="24"/>
        </w:rPr>
      </w:pPr>
    </w:p>
    <w:p w:rsidR="002D239E" w:rsidRDefault="002D239E" w:rsidP="00261C23">
      <w:pPr>
        <w:spacing w:after="0"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This view, in any event, would align itself with the plaintiff’s initial argument that by limiting the application of s</w:t>
      </w:r>
      <w:r w:rsidR="009322B9">
        <w:rPr>
          <w:rFonts w:ascii="Arial" w:hAnsi="Arial" w:cs="Arial"/>
          <w:sz w:val="24"/>
          <w:szCs w:val="24"/>
        </w:rPr>
        <w:t xml:space="preserve"> </w:t>
      </w:r>
      <w:r>
        <w:rPr>
          <w:rFonts w:ascii="Arial" w:hAnsi="Arial" w:cs="Arial"/>
          <w:sz w:val="24"/>
          <w:szCs w:val="24"/>
        </w:rPr>
        <w:t>424 of the old Act, the legislature had intended to enact specific provisions in the new Act which would mirror the previous ones – the fact is that it has yet to do so.</w:t>
      </w:r>
    </w:p>
    <w:p w:rsidR="002D239E" w:rsidRDefault="002D239E" w:rsidP="00261C23">
      <w:pPr>
        <w:spacing w:after="0" w:line="480" w:lineRule="auto"/>
        <w:jc w:val="both"/>
        <w:rPr>
          <w:rFonts w:ascii="Arial" w:hAnsi="Arial" w:cs="Arial"/>
          <w:sz w:val="24"/>
          <w:szCs w:val="24"/>
        </w:rPr>
      </w:pPr>
    </w:p>
    <w:p w:rsidR="002D239E" w:rsidRDefault="002D239E" w:rsidP="00261C23">
      <w:pPr>
        <w:spacing w:after="0"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Give</w:t>
      </w:r>
      <w:r w:rsidR="00ED6E50">
        <w:rPr>
          <w:rFonts w:ascii="Arial" w:hAnsi="Arial" w:cs="Arial"/>
          <w:sz w:val="24"/>
          <w:szCs w:val="24"/>
        </w:rPr>
        <w:t>n</w:t>
      </w:r>
      <w:r>
        <w:rPr>
          <w:rFonts w:ascii="Arial" w:hAnsi="Arial" w:cs="Arial"/>
          <w:sz w:val="24"/>
          <w:szCs w:val="24"/>
        </w:rPr>
        <w:t xml:space="preserve"> that I am of the view that Grounds 3 and 4 of the exception must succeed, and that these go to the v</w:t>
      </w:r>
      <w:r w:rsidR="009322B9">
        <w:rPr>
          <w:rFonts w:ascii="Arial" w:hAnsi="Arial" w:cs="Arial"/>
          <w:sz w:val="24"/>
          <w:szCs w:val="24"/>
        </w:rPr>
        <w:t xml:space="preserve">ery heart of the claim itself. This being so, </w:t>
      </w:r>
      <w:r>
        <w:rPr>
          <w:rFonts w:ascii="Arial" w:hAnsi="Arial" w:cs="Arial"/>
          <w:sz w:val="24"/>
          <w:szCs w:val="24"/>
        </w:rPr>
        <w:t>I am of the view that it is unnecessary to deal with</w:t>
      </w:r>
      <w:r w:rsidR="009322B9">
        <w:rPr>
          <w:rFonts w:ascii="Arial" w:hAnsi="Arial" w:cs="Arial"/>
          <w:sz w:val="24"/>
          <w:szCs w:val="24"/>
        </w:rPr>
        <w:t xml:space="preserve"> the remainder of the exception.</w:t>
      </w:r>
    </w:p>
    <w:p w:rsidR="009322B9" w:rsidRDefault="009322B9" w:rsidP="00261C23">
      <w:pPr>
        <w:spacing w:after="0" w:line="480" w:lineRule="auto"/>
        <w:jc w:val="both"/>
        <w:rPr>
          <w:rFonts w:ascii="Arial" w:hAnsi="Arial" w:cs="Arial"/>
          <w:sz w:val="24"/>
          <w:szCs w:val="24"/>
        </w:rPr>
      </w:pPr>
    </w:p>
    <w:p w:rsidR="002D239E" w:rsidRDefault="002D239E" w:rsidP="00261C23">
      <w:pPr>
        <w:spacing w:after="0" w:line="480" w:lineRule="auto"/>
        <w:jc w:val="both"/>
        <w:rPr>
          <w:rFonts w:ascii="Arial" w:hAnsi="Arial" w:cs="Arial"/>
          <w:sz w:val="24"/>
          <w:szCs w:val="24"/>
        </w:rPr>
      </w:pPr>
      <w:r>
        <w:rPr>
          <w:rFonts w:ascii="Arial" w:hAnsi="Arial" w:cs="Arial"/>
          <w:b/>
          <w:sz w:val="24"/>
          <w:szCs w:val="24"/>
          <w:u w:val="single"/>
        </w:rPr>
        <w:t>Order</w:t>
      </w:r>
    </w:p>
    <w:p w:rsidR="002D239E" w:rsidRDefault="002D239E" w:rsidP="00261C23">
      <w:pPr>
        <w:spacing w:after="0"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The order I make is the following:</w:t>
      </w:r>
    </w:p>
    <w:p w:rsidR="002D239E" w:rsidRDefault="002D239E" w:rsidP="00261C23">
      <w:pPr>
        <w:spacing w:after="0" w:line="480" w:lineRule="auto"/>
        <w:jc w:val="both"/>
        <w:rPr>
          <w:rFonts w:ascii="Arial" w:hAnsi="Arial" w:cs="Arial"/>
          <w:sz w:val="24"/>
          <w:szCs w:val="24"/>
        </w:rPr>
      </w:pPr>
      <w:r>
        <w:rPr>
          <w:rFonts w:ascii="Arial" w:hAnsi="Arial" w:cs="Arial"/>
          <w:sz w:val="24"/>
          <w:szCs w:val="24"/>
        </w:rPr>
        <w:tab/>
        <w:t>1.</w:t>
      </w:r>
      <w:r>
        <w:rPr>
          <w:rFonts w:ascii="Arial" w:hAnsi="Arial" w:cs="Arial"/>
          <w:sz w:val="24"/>
          <w:szCs w:val="24"/>
        </w:rPr>
        <w:tab/>
        <w:t>Grounds 3 and 4 of the exception are upheld.</w:t>
      </w:r>
    </w:p>
    <w:p w:rsidR="002D239E" w:rsidRDefault="002D239E" w:rsidP="00261C23">
      <w:pPr>
        <w:spacing w:after="0" w:line="480" w:lineRule="auto"/>
        <w:jc w:val="both"/>
        <w:rPr>
          <w:rFonts w:ascii="Arial" w:hAnsi="Arial" w:cs="Arial"/>
          <w:sz w:val="24"/>
          <w:szCs w:val="24"/>
        </w:rPr>
      </w:pPr>
      <w:r>
        <w:rPr>
          <w:rFonts w:ascii="Arial" w:hAnsi="Arial" w:cs="Arial"/>
          <w:sz w:val="24"/>
          <w:szCs w:val="24"/>
        </w:rPr>
        <w:tab/>
        <w:t>2.</w:t>
      </w:r>
      <w:r>
        <w:rPr>
          <w:rFonts w:ascii="Arial" w:hAnsi="Arial" w:cs="Arial"/>
          <w:sz w:val="24"/>
          <w:szCs w:val="24"/>
        </w:rPr>
        <w:tab/>
        <w:t>The particulars of claim are struck out.</w:t>
      </w:r>
    </w:p>
    <w:p w:rsidR="002D239E" w:rsidRDefault="002D239E" w:rsidP="002D239E">
      <w:pPr>
        <w:spacing w:after="0" w:line="48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plaintiff is given leave to </w:t>
      </w:r>
      <w:r w:rsidR="009322B9">
        <w:rPr>
          <w:rFonts w:ascii="Arial" w:hAnsi="Arial" w:cs="Arial"/>
          <w:sz w:val="24"/>
          <w:szCs w:val="24"/>
        </w:rPr>
        <w:t>amend its Particulars of Claim within 3</w:t>
      </w:r>
      <w:r>
        <w:rPr>
          <w:rFonts w:ascii="Arial" w:hAnsi="Arial" w:cs="Arial"/>
          <w:sz w:val="24"/>
          <w:szCs w:val="24"/>
        </w:rPr>
        <w:t>0 days of date of this judgment.</w:t>
      </w:r>
    </w:p>
    <w:p w:rsidR="002D239E" w:rsidRDefault="002D239E" w:rsidP="002D239E">
      <w:pPr>
        <w:spacing w:after="0" w:line="480" w:lineRule="auto"/>
        <w:ind w:left="1440" w:hanging="720"/>
        <w:jc w:val="both"/>
        <w:rPr>
          <w:rFonts w:ascii="Arial" w:hAnsi="Arial" w:cs="Arial"/>
          <w:sz w:val="24"/>
          <w:szCs w:val="24"/>
        </w:rPr>
      </w:pPr>
      <w:r>
        <w:rPr>
          <w:rFonts w:ascii="Arial" w:hAnsi="Arial" w:cs="Arial"/>
          <w:sz w:val="24"/>
          <w:szCs w:val="24"/>
        </w:rPr>
        <w:t>4.</w:t>
      </w:r>
      <w:r>
        <w:rPr>
          <w:rFonts w:ascii="Arial" w:hAnsi="Arial" w:cs="Arial"/>
          <w:sz w:val="24"/>
          <w:szCs w:val="24"/>
        </w:rPr>
        <w:tab/>
        <w:t>The plaintiff is ordered to pay the defendants’ costs of the exception, including the costs of two counsel.</w:t>
      </w:r>
    </w:p>
    <w:p w:rsidR="004922D2" w:rsidRDefault="004922D2" w:rsidP="002D239E">
      <w:pPr>
        <w:spacing w:after="0" w:line="480" w:lineRule="auto"/>
        <w:ind w:left="1440" w:hanging="720"/>
        <w:jc w:val="both"/>
        <w:rPr>
          <w:rFonts w:ascii="Arial" w:hAnsi="Arial" w:cs="Arial"/>
          <w:sz w:val="24"/>
          <w:szCs w:val="24"/>
        </w:rPr>
      </w:pPr>
    </w:p>
    <w:p w:rsidR="004922D2" w:rsidRPr="002D239E" w:rsidRDefault="004922D2" w:rsidP="002D239E">
      <w:pPr>
        <w:spacing w:after="0" w:line="480" w:lineRule="auto"/>
        <w:ind w:left="1440" w:hanging="720"/>
        <w:jc w:val="both"/>
        <w:rPr>
          <w:rFonts w:ascii="Arial" w:hAnsi="Arial" w:cs="Arial"/>
          <w:sz w:val="24"/>
          <w:szCs w:val="24"/>
        </w:rPr>
      </w:pPr>
    </w:p>
    <w:p w:rsidR="002D239E" w:rsidRDefault="002D239E" w:rsidP="006C2676">
      <w:pPr>
        <w:spacing w:after="0" w:line="480" w:lineRule="auto"/>
        <w:jc w:val="right"/>
        <w:rPr>
          <w:rFonts w:ascii="Arial" w:hAnsi="Arial" w:cs="Arial"/>
          <w:sz w:val="24"/>
          <w:szCs w:val="24"/>
        </w:rPr>
      </w:pPr>
    </w:p>
    <w:p w:rsidR="002D239E" w:rsidRDefault="002D239E" w:rsidP="00B93459">
      <w:pPr>
        <w:spacing w:after="0" w:line="480" w:lineRule="auto"/>
        <w:jc w:val="center"/>
        <w:rPr>
          <w:rFonts w:ascii="Arial" w:hAnsi="Arial" w:cs="Arial"/>
          <w:sz w:val="24"/>
          <w:szCs w:val="24"/>
        </w:rPr>
      </w:pPr>
    </w:p>
    <w:p w:rsidR="0080606C" w:rsidRPr="003325B2" w:rsidRDefault="0080606C" w:rsidP="002D239E">
      <w:pPr>
        <w:spacing w:after="0" w:line="360" w:lineRule="auto"/>
        <w:ind w:left="720" w:hanging="720"/>
        <w:jc w:val="right"/>
        <w:rPr>
          <w:rFonts w:ascii="Arial" w:hAnsi="Arial" w:cs="Arial"/>
          <w:sz w:val="24"/>
          <w:szCs w:val="24"/>
        </w:rPr>
      </w:pPr>
      <w:r w:rsidRPr="003325B2">
        <w:rPr>
          <w:rFonts w:ascii="Arial" w:hAnsi="Arial" w:cs="Arial"/>
          <w:sz w:val="24"/>
          <w:szCs w:val="24"/>
        </w:rPr>
        <w:t>_______________________</w:t>
      </w:r>
    </w:p>
    <w:p w:rsidR="0080606C" w:rsidRPr="003325B2" w:rsidRDefault="0080606C" w:rsidP="002D239E">
      <w:pPr>
        <w:spacing w:after="0" w:line="360" w:lineRule="auto"/>
        <w:ind w:left="720" w:hanging="720"/>
        <w:jc w:val="right"/>
        <w:rPr>
          <w:rFonts w:ascii="Arial" w:hAnsi="Arial" w:cs="Arial"/>
          <w:b/>
          <w:sz w:val="24"/>
          <w:szCs w:val="24"/>
        </w:rPr>
      </w:pPr>
      <w:r w:rsidRPr="003325B2">
        <w:rPr>
          <w:rFonts w:ascii="Arial" w:hAnsi="Arial" w:cs="Arial"/>
          <w:b/>
          <w:sz w:val="24"/>
          <w:szCs w:val="24"/>
        </w:rPr>
        <w:t>B NEUKIRCHER</w:t>
      </w:r>
    </w:p>
    <w:p w:rsidR="0080606C" w:rsidRPr="003325B2" w:rsidRDefault="0080606C" w:rsidP="002D239E">
      <w:pPr>
        <w:spacing w:after="0" w:line="360" w:lineRule="auto"/>
        <w:ind w:left="720" w:hanging="720"/>
        <w:jc w:val="right"/>
        <w:rPr>
          <w:rFonts w:ascii="Arial" w:hAnsi="Arial" w:cs="Arial"/>
          <w:b/>
          <w:sz w:val="24"/>
          <w:szCs w:val="24"/>
        </w:rPr>
      </w:pPr>
      <w:r w:rsidRPr="003325B2">
        <w:rPr>
          <w:rFonts w:ascii="Arial" w:hAnsi="Arial" w:cs="Arial"/>
          <w:b/>
          <w:sz w:val="24"/>
          <w:szCs w:val="24"/>
        </w:rPr>
        <w:t>JUDGE OF THE HIGH COURT</w:t>
      </w:r>
    </w:p>
    <w:p w:rsidR="0080606C" w:rsidRPr="003325B2" w:rsidRDefault="0080606C" w:rsidP="002D239E">
      <w:pPr>
        <w:spacing w:after="0" w:line="360" w:lineRule="auto"/>
        <w:ind w:left="720" w:hanging="720"/>
        <w:jc w:val="right"/>
        <w:rPr>
          <w:rFonts w:ascii="Arial" w:hAnsi="Arial" w:cs="Arial"/>
          <w:sz w:val="24"/>
          <w:szCs w:val="24"/>
        </w:rPr>
      </w:pPr>
      <w:r w:rsidRPr="003325B2">
        <w:rPr>
          <w:rFonts w:ascii="Arial" w:hAnsi="Arial" w:cs="Arial"/>
          <w:b/>
          <w:sz w:val="24"/>
          <w:szCs w:val="24"/>
        </w:rPr>
        <w:t>GAUTENG DIVISION, PRETORIA</w:t>
      </w:r>
    </w:p>
    <w:p w:rsidR="0080606C" w:rsidRPr="003325B2" w:rsidRDefault="0080606C" w:rsidP="0080606C">
      <w:pPr>
        <w:spacing w:after="0" w:line="480" w:lineRule="auto"/>
        <w:ind w:left="720" w:hanging="720"/>
        <w:jc w:val="both"/>
        <w:rPr>
          <w:rFonts w:ascii="Arial" w:hAnsi="Arial" w:cs="Arial"/>
          <w:sz w:val="24"/>
          <w:szCs w:val="24"/>
        </w:rPr>
      </w:pPr>
    </w:p>
    <w:p w:rsidR="0080606C" w:rsidRPr="003325B2" w:rsidRDefault="0080606C" w:rsidP="0080606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rFonts w:ascii="Arial" w:hAnsi="Arial" w:cs="Arial"/>
          <w:sz w:val="24"/>
          <w:szCs w:val="24"/>
        </w:rPr>
      </w:pPr>
      <w:r w:rsidRPr="003325B2">
        <w:rPr>
          <w:rFonts w:ascii="Arial" w:hAnsi="Arial" w:cs="Arial"/>
          <w:sz w:val="24"/>
          <w:szCs w:val="24"/>
        </w:rPr>
        <w:t>Delivered:  This judgment was pre</w:t>
      </w:r>
      <w:r w:rsidR="001D3EF4">
        <w:rPr>
          <w:rFonts w:ascii="Arial" w:hAnsi="Arial" w:cs="Arial"/>
          <w:sz w:val="24"/>
          <w:szCs w:val="24"/>
        </w:rPr>
        <w:t>pared and authored by the Judge</w:t>
      </w:r>
      <w:r w:rsidRPr="003325B2">
        <w:rPr>
          <w:rFonts w:ascii="Arial" w:hAnsi="Arial" w:cs="Arial"/>
          <w:sz w:val="24"/>
          <w:szCs w:val="24"/>
        </w:rPr>
        <w:t xml:space="preserve"> whose name</w:t>
      </w:r>
      <w:r w:rsidR="001D3EF4">
        <w:rPr>
          <w:rFonts w:ascii="Arial" w:hAnsi="Arial" w:cs="Arial"/>
          <w:sz w:val="24"/>
          <w:szCs w:val="24"/>
        </w:rPr>
        <w:t xml:space="preserve"> is</w:t>
      </w:r>
      <w:r w:rsidRPr="003325B2">
        <w:rPr>
          <w:rFonts w:ascii="Arial" w:hAnsi="Arial" w:cs="Arial"/>
          <w:sz w:val="24"/>
          <w:szCs w:val="24"/>
        </w:rPr>
        <w:t xml:space="preserve"> reflected</w:t>
      </w:r>
      <w:r w:rsidR="001D3EF4">
        <w:rPr>
          <w:rFonts w:ascii="Arial" w:hAnsi="Arial" w:cs="Arial"/>
          <w:sz w:val="24"/>
          <w:szCs w:val="24"/>
        </w:rPr>
        <w:t>,</w:t>
      </w:r>
      <w:r w:rsidRPr="003325B2">
        <w:rPr>
          <w:rFonts w:ascii="Arial" w:hAnsi="Arial" w:cs="Arial"/>
          <w:sz w:val="24"/>
          <w:szCs w:val="24"/>
        </w:rPr>
        <w:t xml:space="preserve"> and is handed down electronically by circulation to the Parties/their legal representatives by email and by uploading it to the electronic file of this matter on CaseLines.  The date for hand-down is deemed to be </w:t>
      </w:r>
      <w:r w:rsidR="001A1AAF">
        <w:rPr>
          <w:rFonts w:ascii="Arial" w:hAnsi="Arial" w:cs="Arial"/>
          <w:sz w:val="24"/>
          <w:szCs w:val="24"/>
        </w:rPr>
        <w:t>27</w:t>
      </w:r>
      <w:r>
        <w:rPr>
          <w:rFonts w:ascii="Arial" w:hAnsi="Arial" w:cs="Arial"/>
          <w:sz w:val="24"/>
          <w:szCs w:val="24"/>
        </w:rPr>
        <w:t xml:space="preserve"> June 2023</w:t>
      </w:r>
      <w:r w:rsidRPr="003325B2">
        <w:rPr>
          <w:rFonts w:ascii="Arial" w:hAnsi="Arial" w:cs="Arial"/>
          <w:sz w:val="24"/>
          <w:szCs w:val="24"/>
        </w:rPr>
        <w:t>.</w:t>
      </w:r>
    </w:p>
    <w:p w:rsidR="0080606C" w:rsidRPr="003325B2" w:rsidRDefault="0080606C" w:rsidP="0080606C">
      <w:pPr>
        <w:widowControl w:val="0"/>
        <w:autoSpaceDE w:val="0"/>
        <w:autoSpaceDN w:val="0"/>
        <w:adjustRightInd w:val="0"/>
        <w:spacing w:after="0"/>
        <w:jc w:val="both"/>
        <w:rPr>
          <w:rFonts w:ascii="Arial" w:eastAsia="Times New Roman" w:hAnsi="Arial" w:cs="Arial"/>
          <w:sz w:val="24"/>
          <w:szCs w:val="24"/>
          <w:lang w:val="en-GB" w:eastAsia="en-GB"/>
        </w:rPr>
      </w:pPr>
    </w:p>
    <w:p w:rsidR="0080606C" w:rsidRDefault="0080606C" w:rsidP="0080606C">
      <w:pPr>
        <w:widowControl w:val="0"/>
        <w:autoSpaceDE w:val="0"/>
        <w:autoSpaceDN w:val="0"/>
        <w:adjustRightInd w:val="0"/>
        <w:spacing w:after="0" w:line="240" w:lineRule="auto"/>
        <w:jc w:val="both"/>
        <w:rPr>
          <w:rFonts w:ascii="Arial" w:hAnsi="Arial" w:cs="Arial"/>
          <w:sz w:val="24"/>
          <w:szCs w:val="24"/>
        </w:rPr>
      </w:pPr>
    </w:p>
    <w:p w:rsidR="0080606C" w:rsidRPr="004E056D" w:rsidRDefault="0080606C" w:rsidP="0080606C">
      <w:pPr>
        <w:widowControl w:val="0"/>
        <w:autoSpaceDE w:val="0"/>
        <w:autoSpaceDN w:val="0"/>
        <w:adjustRightInd w:val="0"/>
        <w:spacing w:after="0" w:line="240" w:lineRule="auto"/>
        <w:jc w:val="both"/>
        <w:rPr>
          <w:rFonts w:ascii="Arial" w:hAnsi="Arial" w:cs="Arial"/>
          <w:sz w:val="20"/>
          <w:szCs w:val="20"/>
        </w:rPr>
      </w:pPr>
      <w:r w:rsidRPr="004E056D">
        <w:rPr>
          <w:rFonts w:ascii="Arial" w:hAnsi="Arial" w:cs="Arial"/>
          <w:sz w:val="20"/>
          <w:szCs w:val="20"/>
        </w:rPr>
        <w:t>Appearances:</w:t>
      </w:r>
    </w:p>
    <w:p w:rsidR="0080606C" w:rsidRPr="004E056D" w:rsidRDefault="0080606C" w:rsidP="0080606C">
      <w:pPr>
        <w:widowControl w:val="0"/>
        <w:autoSpaceDE w:val="0"/>
        <w:autoSpaceDN w:val="0"/>
        <w:adjustRightInd w:val="0"/>
        <w:spacing w:after="0" w:line="240" w:lineRule="auto"/>
        <w:jc w:val="both"/>
        <w:rPr>
          <w:rFonts w:ascii="Arial" w:hAnsi="Arial" w:cs="Arial"/>
          <w:sz w:val="20"/>
          <w:szCs w:val="20"/>
        </w:rPr>
      </w:pPr>
    </w:p>
    <w:p w:rsidR="0080606C" w:rsidRPr="004E056D" w:rsidRDefault="0080606C" w:rsidP="0080606C">
      <w:pPr>
        <w:tabs>
          <w:tab w:val="left" w:pos="720"/>
        </w:tabs>
        <w:spacing w:after="0" w:line="360" w:lineRule="auto"/>
        <w:jc w:val="both"/>
        <w:rPr>
          <w:rFonts w:ascii="Arial" w:hAnsi="Arial" w:cs="Arial"/>
          <w:sz w:val="20"/>
          <w:szCs w:val="20"/>
        </w:rPr>
      </w:pPr>
      <w:r w:rsidRPr="004E056D">
        <w:rPr>
          <w:rFonts w:ascii="Arial" w:hAnsi="Arial" w:cs="Arial"/>
          <w:sz w:val="20"/>
          <w:szCs w:val="20"/>
        </w:rPr>
        <w:t xml:space="preserve">On behalf of </w:t>
      </w:r>
      <w:r>
        <w:rPr>
          <w:rFonts w:ascii="Arial" w:hAnsi="Arial" w:cs="Arial"/>
          <w:sz w:val="20"/>
          <w:szCs w:val="20"/>
        </w:rPr>
        <w:t>Excipient</w:t>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4E056D">
        <w:rPr>
          <w:rFonts w:ascii="Arial" w:hAnsi="Arial" w:cs="Arial"/>
          <w:sz w:val="20"/>
          <w:szCs w:val="20"/>
        </w:rPr>
        <w:tab/>
      </w:r>
      <w:r>
        <w:rPr>
          <w:rFonts w:ascii="Arial" w:hAnsi="Arial" w:cs="Arial"/>
          <w:sz w:val="20"/>
          <w:szCs w:val="20"/>
        </w:rPr>
        <w:t>Adv N Redman SC; with him Adv Z Cornelissen</w:t>
      </w:r>
    </w:p>
    <w:p w:rsidR="0080606C" w:rsidRPr="004E056D" w:rsidRDefault="0080606C" w:rsidP="0080606C">
      <w:pPr>
        <w:tabs>
          <w:tab w:val="left" w:pos="720"/>
        </w:tabs>
        <w:spacing w:after="0" w:line="360" w:lineRule="auto"/>
        <w:jc w:val="both"/>
        <w:rPr>
          <w:rFonts w:ascii="Arial" w:hAnsi="Arial" w:cs="Arial"/>
          <w:sz w:val="20"/>
          <w:szCs w:val="20"/>
        </w:rPr>
      </w:pPr>
      <w:r w:rsidRPr="004E056D">
        <w:rPr>
          <w:rFonts w:ascii="Arial" w:hAnsi="Arial" w:cs="Arial"/>
          <w:sz w:val="20"/>
          <w:szCs w:val="20"/>
        </w:rPr>
        <w:t>Instructed by</w:t>
      </w:r>
      <w:r w:rsidRPr="004E056D">
        <w:rPr>
          <w:rFonts w:ascii="Arial" w:hAnsi="Arial" w:cs="Arial"/>
          <w:sz w:val="20"/>
          <w:szCs w:val="20"/>
        </w:rPr>
        <w:tab/>
      </w:r>
      <w:r w:rsidRPr="004E056D">
        <w:rPr>
          <w:rFonts w:ascii="Arial" w:hAnsi="Arial" w:cs="Arial"/>
          <w:sz w:val="20"/>
          <w:szCs w:val="20"/>
        </w:rPr>
        <w:tab/>
      </w:r>
      <w:r w:rsidRPr="004E056D">
        <w:rPr>
          <w:rFonts w:ascii="Arial" w:hAnsi="Arial" w:cs="Arial"/>
          <w:sz w:val="20"/>
          <w:szCs w:val="20"/>
        </w:rPr>
        <w:tab/>
      </w:r>
      <w:r w:rsidRPr="004E056D">
        <w:rPr>
          <w:rFonts w:ascii="Arial" w:hAnsi="Arial" w:cs="Arial"/>
          <w:sz w:val="20"/>
          <w:szCs w:val="20"/>
        </w:rPr>
        <w:tab/>
        <w:t>:</w:t>
      </w:r>
      <w:r w:rsidRPr="004E056D">
        <w:rPr>
          <w:rFonts w:ascii="Arial" w:hAnsi="Arial" w:cs="Arial"/>
          <w:sz w:val="20"/>
          <w:szCs w:val="20"/>
        </w:rPr>
        <w:tab/>
      </w:r>
      <w:r>
        <w:rPr>
          <w:rFonts w:ascii="Arial" w:hAnsi="Arial" w:cs="Arial"/>
          <w:sz w:val="20"/>
          <w:szCs w:val="20"/>
        </w:rPr>
        <w:t>C de Villiers Attorneys</w:t>
      </w:r>
      <w:r w:rsidRPr="004E056D">
        <w:rPr>
          <w:rFonts w:ascii="Arial" w:hAnsi="Arial" w:cs="Arial"/>
          <w:sz w:val="20"/>
          <w:szCs w:val="20"/>
        </w:rPr>
        <w:tab/>
      </w:r>
      <w:r w:rsidRPr="004E056D">
        <w:rPr>
          <w:rFonts w:ascii="Arial" w:hAnsi="Arial" w:cs="Arial"/>
          <w:sz w:val="20"/>
          <w:szCs w:val="20"/>
        </w:rPr>
        <w:tab/>
      </w:r>
    </w:p>
    <w:p w:rsidR="0080606C" w:rsidRPr="004E056D" w:rsidRDefault="0080606C" w:rsidP="0080606C">
      <w:pPr>
        <w:pStyle w:val="ListParagraph"/>
        <w:widowControl w:val="0"/>
        <w:autoSpaceDE w:val="0"/>
        <w:autoSpaceDN w:val="0"/>
        <w:adjustRightInd w:val="0"/>
        <w:spacing w:line="360" w:lineRule="auto"/>
        <w:ind w:left="360" w:hanging="360"/>
        <w:jc w:val="both"/>
        <w:rPr>
          <w:rFonts w:ascii="Arial" w:hAnsi="Arial" w:cs="Arial"/>
          <w:sz w:val="20"/>
          <w:szCs w:val="20"/>
        </w:rPr>
      </w:pPr>
      <w:r w:rsidRPr="004E056D">
        <w:rPr>
          <w:rFonts w:ascii="Arial" w:hAnsi="Arial" w:cs="Arial"/>
          <w:sz w:val="20"/>
          <w:szCs w:val="20"/>
          <w:lang w:val="en-ZA"/>
        </w:rPr>
        <w:t>On behalf of 2</w:t>
      </w:r>
      <w:r w:rsidRPr="004E056D">
        <w:rPr>
          <w:rFonts w:ascii="Arial" w:hAnsi="Arial" w:cs="Arial"/>
          <w:sz w:val="20"/>
          <w:szCs w:val="20"/>
          <w:vertAlign w:val="superscript"/>
          <w:lang w:val="en-ZA"/>
        </w:rPr>
        <w:t>nd</w:t>
      </w:r>
      <w:r w:rsidRPr="004E056D">
        <w:rPr>
          <w:rFonts w:ascii="Arial" w:hAnsi="Arial" w:cs="Arial"/>
          <w:sz w:val="20"/>
          <w:szCs w:val="20"/>
          <w:lang w:val="en-ZA"/>
        </w:rPr>
        <w:t xml:space="preserve"> Respondent</w:t>
      </w:r>
      <w:r w:rsidRPr="004E056D">
        <w:rPr>
          <w:rFonts w:ascii="Arial" w:hAnsi="Arial" w:cs="Arial"/>
          <w:sz w:val="20"/>
          <w:szCs w:val="20"/>
          <w:lang w:val="en-ZA"/>
        </w:rPr>
        <w:tab/>
      </w:r>
      <w:r>
        <w:rPr>
          <w:rFonts w:ascii="Arial" w:hAnsi="Arial" w:cs="Arial"/>
          <w:sz w:val="20"/>
          <w:szCs w:val="20"/>
          <w:lang w:val="en-ZA"/>
        </w:rPr>
        <w:tab/>
        <w:t>:</w:t>
      </w:r>
      <w:r w:rsidRPr="004E056D">
        <w:rPr>
          <w:rFonts w:ascii="Arial" w:hAnsi="Arial" w:cs="Arial"/>
          <w:sz w:val="20"/>
          <w:szCs w:val="20"/>
          <w:lang w:val="en-ZA"/>
        </w:rPr>
        <w:tab/>
      </w:r>
      <w:r>
        <w:rPr>
          <w:rFonts w:ascii="Arial" w:hAnsi="Arial" w:cs="Arial"/>
          <w:sz w:val="20"/>
          <w:szCs w:val="20"/>
          <w:lang w:val="en-ZA"/>
        </w:rPr>
        <w:t>Adv P Ellis SC; with him Adv R Ellis</w:t>
      </w:r>
    </w:p>
    <w:p w:rsidR="0080606C" w:rsidRPr="004E056D" w:rsidRDefault="0080606C" w:rsidP="0080606C">
      <w:pPr>
        <w:widowControl w:val="0"/>
        <w:autoSpaceDE w:val="0"/>
        <w:autoSpaceDN w:val="0"/>
        <w:adjustRightInd w:val="0"/>
        <w:spacing w:after="0" w:line="360" w:lineRule="auto"/>
        <w:jc w:val="both"/>
        <w:rPr>
          <w:rFonts w:ascii="Arial" w:hAnsi="Arial" w:cs="Arial"/>
          <w:sz w:val="20"/>
          <w:szCs w:val="20"/>
        </w:rPr>
      </w:pPr>
      <w:r w:rsidRPr="004E056D">
        <w:rPr>
          <w:rFonts w:ascii="Arial" w:hAnsi="Arial" w:cs="Arial"/>
          <w:sz w:val="20"/>
          <w:szCs w:val="20"/>
        </w:rPr>
        <w:t>Instructed by</w:t>
      </w:r>
      <w:r w:rsidRPr="004E056D">
        <w:rPr>
          <w:rFonts w:ascii="Arial" w:hAnsi="Arial" w:cs="Arial"/>
          <w:sz w:val="20"/>
          <w:szCs w:val="20"/>
        </w:rPr>
        <w:tab/>
      </w:r>
      <w:r w:rsidRPr="004E056D">
        <w:rPr>
          <w:rFonts w:ascii="Arial" w:hAnsi="Arial" w:cs="Arial"/>
          <w:sz w:val="20"/>
          <w:szCs w:val="20"/>
        </w:rPr>
        <w:tab/>
      </w:r>
      <w:r w:rsidRPr="004E056D">
        <w:rPr>
          <w:rFonts w:ascii="Arial" w:hAnsi="Arial" w:cs="Arial"/>
          <w:sz w:val="20"/>
          <w:szCs w:val="20"/>
        </w:rPr>
        <w:tab/>
      </w:r>
      <w:r w:rsidRPr="004E056D">
        <w:rPr>
          <w:rFonts w:ascii="Arial" w:hAnsi="Arial" w:cs="Arial"/>
          <w:sz w:val="20"/>
          <w:szCs w:val="20"/>
        </w:rPr>
        <w:tab/>
        <w:t>:</w:t>
      </w:r>
      <w:r w:rsidRPr="004E056D">
        <w:rPr>
          <w:rFonts w:ascii="Arial" w:hAnsi="Arial" w:cs="Arial"/>
          <w:sz w:val="20"/>
          <w:szCs w:val="20"/>
        </w:rPr>
        <w:tab/>
      </w:r>
      <w:r>
        <w:rPr>
          <w:rFonts w:ascii="Arial" w:hAnsi="Arial" w:cs="Arial"/>
          <w:sz w:val="20"/>
          <w:szCs w:val="20"/>
        </w:rPr>
        <w:t>Mina Raptis Inc</w:t>
      </w:r>
    </w:p>
    <w:p w:rsidR="0080606C" w:rsidRPr="004E056D" w:rsidRDefault="0080606C" w:rsidP="0080606C">
      <w:pPr>
        <w:widowControl w:val="0"/>
        <w:autoSpaceDE w:val="0"/>
        <w:autoSpaceDN w:val="0"/>
        <w:adjustRightInd w:val="0"/>
        <w:spacing w:after="0" w:line="360" w:lineRule="auto"/>
        <w:jc w:val="both"/>
        <w:rPr>
          <w:rFonts w:ascii="Arial" w:hAnsi="Arial" w:cs="Arial"/>
          <w:sz w:val="20"/>
          <w:szCs w:val="20"/>
        </w:rPr>
      </w:pPr>
    </w:p>
    <w:p w:rsidR="0080606C" w:rsidRDefault="0080606C" w:rsidP="0080606C">
      <w:pPr>
        <w:pStyle w:val="ListParagraph"/>
        <w:widowControl w:val="0"/>
        <w:autoSpaceDE w:val="0"/>
        <w:autoSpaceDN w:val="0"/>
        <w:adjustRightInd w:val="0"/>
        <w:spacing w:line="360" w:lineRule="auto"/>
        <w:ind w:left="360" w:hanging="360"/>
        <w:jc w:val="both"/>
        <w:rPr>
          <w:rFonts w:ascii="Arial" w:hAnsi="Arial" w:cs="Arial"/>
          <w:sz w:val="20"/>
          <w:szCs w:val="20"/>
        </w:rPr>
      </w:pPr>
      <w:r w:rsidRPr="004E056D">
        <w:rPr>
          <w:rFonts w:ascii="Arial" w:hAnsi="Arial" w:cs="Arial"/>
          <w:sz w:val="20"/>
          <w:szCs w:val="20"/>
        </w:rPr>
        <w:t xml:space="preserve">Heard on      </w:t>
      </w:r>
      <w:r w:rsidRPr="004E056D">
        <w:rPr>
          <w:rFonts w:ascii="Arial" w:hAnsi="Arial" w:cs="Arial"/>
          <w:sz w:val="20"/>
          <w:szCs w:val="20"/>
        </w:rPr>
        <w:tab/>
      </w:r>
      <w:r w:rsidRPr="004E056D">
        <w:rPr>
          <w:rFonts w:ascii="Arial" w:hAnsi="Arial" w:cs="Arial"/>
          <w:sz w:val="20"/>
          <w:szCs w:val="20"/>
        </w:rPr>
        <w:tab/>
      </w:r>
      <w:r w:rsidRPr="004E056D">
        <w:rPr>
          <w:rFonts w:ascii="Arial" w:hAnsi="Arial" w:cs="Arial"/>
          <w:sz w:val="20"/>
          <w:szCs w:val="20"/>
        </w:rPr>
        <w:tab/>
      </w:r>
      <w:r w:rsidRPr="004E056D">
        <w:rPr>
          <w:rFonts w:ascii="Arial" w:hAnsi="Arial" w:cs="Arial"/>
          <w:sz w:val="20"/>
          <w:szCs w:val="20"/>
        </w:rPr>
        <w:tab/>
        <w:t xml:space="preserve">: </w:t>
      </w:r>
      <w:r w:rsidRPr="004E056D">
        <w:rPr>
          <w:rFonts w:ascii="Arial" w:hAnsi="Arial" w:cs="Arial"/>
          <w:sz w:val="20"/>
          <w:szCs w:val="20"/>
        </w:rPr>
        <w:tab/>
      </w:r>
      <w:r w:rsidR="00470771">
        <w:rPr>
          <w:rFonts w:ascii="Arial" w:hAnsi="Arial" w:cs="Arial"/>
          <w:sz w:val="20"/>
          <w:szCs w:val="20"/>
        </w:rPr>
        <w:t>10 May 2023</w:t>
      </w:r>
    </w:p>
    <w:p w:rsidR="00470771" w:rsidRPr="004E056D" w:rsidRDefault="00470771" w:rsidP="0080606C">
      <w:pPr>
        <w:pStyle w:val="ListParagraph"/>
        <w:widowControl w:val="0"/>
        <w:autoSpaceDE w:val="0"/>
        <w:autoSpaceDN w:val="0"/>
        <w:adjustRightInd w:val="0"/>
        <w:spacing w:line="360" w:lineRule="auto"/>
        <w:ind w:left="360" w:hanging="360"/>
        <w:jc w:val="both"/>
        <w:rPr>
          <w:rFonts w:ascii="Arial" w:hAnsi="Arial" w:cs="Arial"/>
          <w:sz w:val="20"/>
          <w:szCs w:val="20"/>
        </w:rPr>
      </w:pPr>
      <w:r>
        <w:rPr>
          <w:rFonts w:ascii="Arial" w:hAnsi="Arial" w:cs="Arial"/>
          <w:sz w:val="20"/>
          <w:szCs w:val="20"/>
        </w:rPr>
        <w:t>Date of judgment</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2</w:t>
      </w:r>
      <w:r w:rsidR="001A1AAF">
        <w:rPr>
          <w:rFonts w:ascii="Arial" w:hAnsi="Arial" w:cs="Arial"/>
          <w:sz w:val="20"/>
          <w:szCs w:val="20"/>
        </w:rPr>
        <w:t>7</w:t>
      </w:r>
      <w:r>
        <w:rPr>
          <w:rFonts w:ascii="Arial" w:hAnsi="Arial" w:cs="Arial"/>
          <w:sz w:val="20"/>
          <w:szCs w:val="20"/>
        </w:rPr>
        <w:t xml:space="preserve"> June 2023</w:t>
      </w:r>
    </w:p>
    <w:p w:rsidR="00CF3A74" w:rsidRDefault="00CF3A74"/>
    <w:sectPr w:rsidR="00CF3A74">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6E" w:rsidRDefault="00FC346E" w:rsidP="0080606C">
      <w:pPr>
        <w:spacing w:after="0" w:line="240" w:lineRule="auto"/>
      </w:pPr>
      <w:r>
        <w:separator/>
      </w:r>
    </w:p>
  </w:endnote>
  <w:endnote w:type="continuationSeparator" w:id="0">
    <w:p w:rsidR="00FC346E" w:rsidRDefault="00FC346E" w:rsidP="0080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6E" w:rsidRDefault="00FC346E" w:rsidP="0080606C">
      <w:pPr>
        <w:spacing w:after="0" w:line="240" w:lineRule="auto"/>
      </w:pPr>
      <w:r>
        <w:separator/>
      </w:r>
    </w:p>
  </w:footnote>
  <w:footnote w:type="continuationSeparator" w:id="0">
    <w:p w:rsidR="00FC346E" w:rsidRDefault="00FC346E" w:rsidP="0080606C">
      <w:pPr>
        <w:spacing w:after="0" w:line="240" w:lineRule="auto"/>
      </w:pPr>
      <w:r>
        <w:continuationSeparator/>
      </w:r>
    </w:p>
  </w:footnote>
  <w:footnote w:id="1">
    <w:p w:rsidR="00CF3A74" w:rsidRPr="001A1394" w:rsidRDefault="00CF3A74">
      <w:pPr>
        <w:pStyle w:val="FootnoteText"/>
        <w:rPr>
          <w:lang w:val="en-US"/>
        </w:rPr>
      </w:pPr>
      <w:r>
        <w:rPr>
          <w:rStyle w:val="FootnoteReference"/>
        </w:rPr>
        <w:footnoteRef/>
      </w:r>
      <w:r>
        <w:rPr>
          <w:lang w:val="en-US"/>
        </w:rPr>
        <w:tab/>
        <w:t>Which it pleads was reckless alternatively grossly negligent</w:t>
      </w:r>
    </w:p>
  </w:footnote>
  <w:footnote w:id="2">
    <w:p w:rsidR="00CF3A74" w:rsidRPr="00700C4F" w:rsidRDefault="00CF3A74">
      <w:pPr>
        <w:pStyle w:val="FootnoteText"/>
        <w:rPr>
          <w:lang w:val="en-US"/>
        </w:rPr>
      </w:pPr>
      <w:r>
        <w:rPr>
          <w:rStyle w:val="FootnoteReference"/>
        </w:rPr>
        <w:footnoteRef/>
      </w:r>
      <w:r>
        <w:t xml:space="preserve"> </w:t>
      </w:r>
      <w:r>
        <w:rPr>
          <w:lang w:val="en-US"/>
        </w:rPr>
        <w:tab/>
        <w:t>As set out in</w:t>
      </w:r>
      <w:r w:rsidR="00FC6D2C">
        <w:rPr>
          <w:lang w:val="en-US"/>
        </w:rPr>
        <w:t xml:space="preserve"> </w:t>
      </w:r>
      <w:r w:rsidR="00FC6D2C">
        <w:rPr>
          <w:i/>
          <w:lang w:val="en-US"/>
        </w:rPr>
        <w:t xml:space="preserve">inter alia </w:t>
      </w:r>
      <w:r>
        <w:rPr>
          <w:lang w:val="en-US"/>
        </w:rPr>
        <w:t>Jowell v Bromwell-Jones 1998 (1) SA 836 (W) at 299-903</w:t>
      </w:r>
    </w:p>
  </w:footnote>
  <w:footnote w:id="3">
    <w:p w:rsidR="00CF3A74" w:rsidRPr="00700C4F" w:rsidRDefault="00CF3A74">
      <w:pPr>
        <w:pStyle w:val="FootnoteText"/>
        <w:rPr>
          <w:lang w:val="en-US"/>
        </w:rPr>
      </w:pPr>
      <w:r>
        <w:rPr>
          <w:rStyle w:val="FootnoteReference"/>
        </w:rPr>
        <w:footnoteRef/>
      </w:r>
      <w:r>
        <w:t xml:space="preserve"> </w:t>
      </w:r>
      <w:r>
        <w:rPr>
          <w:lang w:val="en-US"/>
        </w:rPr>
        <w:tab/>
        <w:t>Salzmann v Holmes 1914 AD 152</w:t>
      </w:r>
    </w:p>
  </w:footnote>
  <w:footnote w:id="4">
    <w:p w:rsidR="00CF3A74" w:rsidRPr="00700C4F" w:rsidRDefault="00CF3A74">
      <w:pPr>
        <w:pStyle w:val="FootnoteText"/>
        <w:rPr>
          <w:lang w:val="en-US"/>
        </w:rPr>
      </w:pPr>
      <w:r>
        <w:rPr>
          <w:rStyle w:val="FootnoteReference"/>
        </w:rPr>
        <w:footnoteRef/>
      </w:r>
      <w:r>
        <w:t xml:space="preserve"> </w:t>
      </w:r>
      <w:r>
        <w:rPr>
          <w:lang w:val="en-US"/>
        </w:rPr>
        <w:tab/>
        <w:t>Viljoen v Federated Trust Ltd 1971 (1) SA 750 (O) at 754</w:t>
      </w:r>
    </w:p>
  </w:footnote>
  <w:footnote w:id="5">
    <w:p w:rsidR="00CF3A74" w:rsidRPr="00B529DF" w:rsidRDefault="00CF3A74">
      <w:pPr>
        <w:pStyle w:val="FootnoteText"/>
        <w:rPr>
          <w:lang w:val="en-US"/>
        </w:rPr>
      </w:pPr>
      <w:r>
        <w:rPr>
          <w:rStyle w:val="FootnoteReference"/>
        </w:rPr>
        <w:footnoteRef/>
      </w:r>
      <w:r>
        <w:t xml:space="preserve"> </w:t>
      </w:r>
      <w:r>
        <w:rPr>
          <w:lang w:val="en-US"/>
        </w:rPr>
        <w:tab/>
        <w:t>Serobe v Koppies Bantu Community School Board 1958 (2) SA 265 (O) at 269A</w:t>
      </w:r>
    </w:p>
  </w:footnote>
  <w:footnote w:id="6">
    <w:p w:rsidR="00CF3A74" w:rsidRPr="00B529DF" w:rsidRDefault="00CF3A74">
      <w:pPr>
        <w:pStyle w:val="FootnoteText"/>
        <w:rPr>
          <w:lang w:val="en-US"/>
        </w:rPr>
      </w:pPr>
      <w:r>
        <w:rPr>
          <w:rStyle w:val="FootnoteReference"/>
        </w:rPr>
        <w:footnoteRef/>
      </w:r>
      <w:r>
        <w:t xml:space="preserve"> </w:t>
      </w:r>
      <w:r>
        <w:rPr>
          <w:lang w:val="en-US"/>
        </w:rPr>
        <w:tab/>
        <w:t>H v Federated Assessment Centre 2015 (2) SA 193 (CC) at para [10]</w:t>
      </w:r>
    </w:p>
  </w:footnote>
  <w:footnote w:id="7">
    <w:p w:rsidR="00CF3A74" w:rsidRPr="00B529DF" w:rsidRDefault="00CF3A74" w:rsidP="008D6300">
      <w:pPr>
        <w:pStyle w:val="FootnoteText"/>
        <w:ind w:left="709" w:hanging="709"/>
        <w:rPr>
          <w:lang w:val="en-US"/>
        </w:rPr>
      </w:pPr>
      <w:r>
        <w:rPr>
          <w:rStyle w:val="FootnoteReference"/>
        </w:rPr>
        <w:footnoteRef/>
      </w:r>
      <w:r>
        <w:t xml:space="preserve"> </w:t>
      </w:r>
      <w:r>
        <w:rPr>
          <w:lang w:val="en-US"/>
        </w:rPr>
        <w:tab/>
        <w:t>Levitan v Newhaven Holiday Enterprises CC 1991 (2) SA 297 (C) at 298A-D; Francis v Sharp 2004 (3) SA 230 (C) at 240</w:t>
      </w:r>
    </w:p>
  </w:footnote>
  <w:footnote w:id="8">
    <w:p w:rsidR="00CF3A74" w:rsidRPr="00B529DF" w:rsidRDefault="00CF3A74">
      <w:pPr>
        <w:pStyle w:val="FootnoteText"/>
        <w:rPr>
          <w:lang w:val="en-US"/>
        </w:rPr>
      </w:pPr>
      <w:r>
        <w:rPr>
          <w:rStyle w:val="FootnoteReference"/>
        </w:rPr>
        <w:footnoteRef/>
      </w:r>
      <w:r>
        <w:t xml:space="preserve"> </w:t>
      </w:r>
      <w:r>
        <w:rPr>
          <w:lang w:val="en-US"/>
        </w:rPr>
        <w:tab/>
        <w:t>Ibid</w:t>
      </w:r>
    </w:p>
  </w:footnote>
  <w:footnote w:id="9">
    <w:p w:rsidR="00CF3A74" w:rsidRPr="00B529DF" w:rsidRDefault="00CF3A74">
      <w:pPr>
        <w:pStyle w:val="FootnoteText"/>
        <w:rPr>
          <w:lang w:val="en-US"/>
        </w:rPr>
      </w:pPr>
      <w:r>
        <w:rPr>
          <w:rStyle w:val="FootnoteReference"/>
        </w:rPr>
        <w:footnoteRef/>
      </w:r>
      <w:r>
        <w:t xml:space="preserve"> </w:t>
      </w:r>
      <w:r>
        <w:rPr>
          <w:lang w:val="en-US"/>
        </w:rPr>
        <w:tab/>
        <w:t>Trope v South African Reserve Bank 1992 (3) SA 208 (T) at 210-211</w:t>
      </w:r>
    </w:p>
  </w:footnote>
  <w:footnote w:id="10">
    <w:p w:rsidR="00CF3A74" w:rsidRPr="00052D7E" w:rsidRDefault="00CF3A74">
      <w:pPr>
        <w:pStyle w:val="FootnoteText"/>
        <w:rPr>
          <w:lang w:val="en-US"/>
        </w:rPr>
      </w:pPr>
      <w:r>
        <w:rPr>
          <w:rStyle w:val="FootnoteReference"/>
        </w:rPr>
        <w:footnoteRef/>
      </w:r>
      <w:r>
        <w:t xml:space="preserve"> </w:t>
      </w:r>
      <w:r>
        <w:rPr>
          <w:lang w:val="en-US"/>
        </w:rPr>
        <w:tab/>
        <w:t>Ie prayer 1 of the Particulars of Claim</w:t>
      </w:r>
    </w:p>
  </w:footnote>
  <w:footnote w:id="11">
    <w:p w:rsidR="00CF3A74" w:rsidRPr="0007111F" w:rsidRDefault="00CF3A74">
      <w:pPr>
        <w:pStyle w:val="FootnoteText"/>
        <w:rPr>
          <w:lang w:val="en-US"/>
        </w:rPr>
      </w:pPr>
      <w:r>
        <w:rPr>
          <w:rStyle w:val="FootnoteReference"/>
        </w:rPr>
        <w:footnoteRef/>
      </w:r>
      <w:r>
        <w:t xml:space="preserve"> </w:t>
      </w:r>
      <w:r>
        <w:rPr>
          <w:lang w:val="en-US"/>
        </w:rPr>
        <w:t>[2021] 3 All SA 114 (WCC) at para [8]</w:t>
      </w:r>
    </w:p>
  </w:footnote>
  <w:footnote w:id="12">
    <w:p w:rsidR="00CF3A74" w:rsidRPr="009E2394" w:rsidRDefault="00CF3A74">
      <w:pPr>
        <w:pStyle w:val="FootnoteText"/>
        <w:rPr>
          <w:lang w:val="en-US"/>
        </w:rPr>
      </w:pPr>
      <w:r>
        <w:rPr>
          <w:rStyle w:val="FootnoteReference"/>
        </w:rPr>
        <w:footnoteRef/>
      </w:r>
      <w:r>
        <w:t xml:space="preserve"> </w:t>
      </w:r>
      <w:r>
        <w:rPr>
          <w:lang w:val="en-US"/>
        </w:rPr>
        <w:tab/>
        <w:t>2012 (4) SA 593 (SCA) at para [18]</w:t>
      </w:r>
    </w:p>
  </w:footnote>
  <w:footnote w:id="13">
    <w:p w:rsidR="00CF3A74" w:rsidRPr="00975362" w:rsidRDefault="00CF3A74">
      <w:pPr>
        <w:pStyle w:val="FootnoteText"/>
        <w:rPr>
          <w:lang w:val="en-US"/>
        </w:rPr>
      </w:pPr>
      <w:r>
        <w:rPr>
          <w:rStyle w:val="FootnoteReference"/>
        </w:rPr>
        <w:footnoteRef/>
      </w:r>
      <w:r>
        <w:t xml:space="preserve"> </w:t>
      </w:r>
      <w:r>
        <w:rPr>
          <w:lang w:val="en-US"/>
        </w:rPr>
        <w:tab/>
        <w:t>2017 (2) SA 337 (SCA)</w:t>
      </w:r>
    </w:p>
  </w:footnote>
  <w:footnote w:id="14">
    <w:p w:rsidR="00CF3A74" w:rsidRPr="00114E4F" w:rsidRDefault="00CF3A74">
      <w:pPr>
        <w:pStyle w:val="FootnoteText"/>
        <w:rPr>
          <w:lang w:val="en-US"/>
        </w:rPr>
      </w:pPr>
      <w:r>
        <w:rPr>
          <w:rStyle w:val="FootnoteReference"/>
        </w:rPr>
        <w:footnoteRef/>
      </w:r>
      <w:r>
        <w:t xml:space="preserve"> </w:t>
      </w:r>
      <w:r>
        <w:rPr>
          <w:lang w:val="en-US"/>
        </w:rPr>
        <w:tab/>
        <w:t>2013 (5) SA 315 (GJ)</w:t>
      </w:r>
    </w:p>
  </w:footnote>
  <w:footnote w:id="15">
    <w:p w:rsidR="00CF3A74" w:rsidRPr="008160A5" w:rsidRDefault="00CF3A74">
      <w:pPr>
        <w:pStyle w:val="FootnoteText"/>
        <w:rPr>
          <w:lang w:val="en-US"/>
        </w:rPr>
      </w:pPr>
      <w:r>
        <w:rPr>
          <w:rStyle w:val="FootnoteReference"/>
        </w:rPr>
        <w:footnoteRef/>
      </w:r>
      <w:r>
        <w:t xml:space="preserve"> </w:t>
      </w:r>
      <w:r>
        <w:rPr>
          <w:lang w:val="en-US"/>
        </w:rPr>
        <w:tab/>
        <w:t>2022 (1) SA 442 (GP)</w:t>
      </w:r>
    </w:p>
  </w:footnote>
  <w:footnote w:id="16">
    <w:p w:rsidR="00CF3A74" w:rsidRPr="00CF3A74" w:rsidRDefault="00CF3A74">
      <w:pPr>
        <w:pStyle w:val="FootnoteText"/>
        <w:rPr>
          <w:lang w:val="en-US"/>
        </w:rPr>
      </w:pPr>
      <w:r>
        <w:rPr>
          <w:rStyle w:val="FootnoteReference"/>
        </w:rPr>
        <w:footnoteRef/>
      </w:r>
      <w:r>
        <w:t xml:space="preserve"> </w:t>
      </w:r>
      <w:r>
        <w:rPr>
          <w:lang w:val="en-US"/>
        </w:rPr>
        <w:tab/>
        <w:t xml:space="preserve">2020 (5) SA 419 (SCA), which upheld the decision of the court </w:t>
      </w:r>
      <w:r>
        <w:rPr>
          <w:i/>
          <w:lang w:val="en-US"/>
        </w:rPr>
        <w:t>a quo</w:t>
      </w:r>
      <w:r>
        <w:rPr>
          <w:lang w:val="en-US"/>
        </w:rPr>
        <w:t xml:space="preserve"> </w:t>
      </w:r>
    </w:p>
  </w:footnote>
  <w:footnote w:id="17">
    <w:p w:rsidR="00CF3A74" w:rsidRPr="00CF3A74" w:rsidRDefault="00CF3A74">
      <w:pPr>
        <w:pStyle w:val="FootnoteText"/>
        <w:rPr>
          <w:lang w:val="en-US"/>
        </w:rPr>
      </w:pPr>
      <w:r>
        <w:rPr>
          <w:rStyle w:val="FootnoteReference"/>
        </w:rPr>
        <w:footnoteRef/>
      </w:r>
      <w:r>
        <w:t xml:space="preserve"> </w:t>
      </w:r>
      <w:r>
        <w:tab/>
      </w:r>
      <w:r>
        <w:rPr>
          <w:lang w:val="en-US"/>
        </w:rPr>
        <w:t>At para [45]</w:t>
      </w:r>
    </w:p>
  </w:footnote>
  <w:footnote w:id="18">
    <w:p w:rsidR="00CF3A74" w:rsidRPr="00CF3A74" w:rsidRDefault="00CF3A74">
      <w:pPr>
        <w:pStyle w:val="FootnoteText"/>
        <w:rPr>
          <w:lang w:val="en-US"/>
        </w:rPr>
      </w:pPr>
      <w:r>
        <w:rPr>
          <w:rStyle w:val="FootnoteReference"/>
        </w:rPr>
        <w:footnoteRef/>
      </w:r>
      <w:r>
        <w:t xml:space="preserve"> </w:t>
      </w:r>
      <w:r>
        <w:rPr>
          <w:lang w:val="en-US"/>
        </w:rPr>
        <w:tab/>
        <w:t>Ie s 22(1); s 45, s 74 and s 76(3)</w:t>
      </w:r>
    </w:p>
  </w:footnote>
  <w:footnote w:id="19">
    <w:p w:rsidR="002102C5" w:rsidRPr="002102C5" w:rsidRDefault="002102C5">
      <w:pPr>
        <w:pStyle w:val="FootnoteText"/>
        <w:rPr>
          <w:lang w:val="en-GB"/>
        </w:rPr>
      </w:pPr>
      <w:r>
        <w:rPr>
          <w:rStyle w:val="FootnoteReference"/>
        </w:rPr>
        <w:footnoteRef/>
      </w:r>
      <w:r>
        <w:t xml:space="preserve"> </w:t>
      </w:r>
      <w:r>
        <w:rPr>
          <w:lang w:val="en-GB"/>
        </w:rPr>
        <w:tab/>
        <w:t>My emphasis</w:t>
      </w:r>
    </w:p>
  </w:footnote>
  <w:footnote w:id="20">
    <w:p w:rsidR="00761E39" w:rsidRPr="00761E39" w:rsidRDefault="00761E39">
      <w:pPr>
        <w:pStyle w:val="FootnoteText"/>
        <w:rPr>
          <w:lang w:val="en-US"/>
        </w:rPr>
      </w:pPr>
      <w:r>
        <w:rPr>
          <w:rStyle w:val="FootnoteReference"/>
        </w:rPr>
        <w:footnoteRef/>
      </w:r>
      <w:r>
        <w:t xml:space="preserve"> </w:t>
      </w:r>
      <w:r>
        <w:rPr>
          <w:lang w:val="en-US"/>
        </w:rPr>
        <w:tab/>
        <w:t>(8800/2021P) [2022] ZAKPHC 50; [2022] 4 All SA 600 (KZP) (16 September 2022)</w:t>
      </w:r>
    </w:p>
  </w:footnote>
  <w:footnote w:id="21">
    <w:p w:rsidR="006C2676" w:rsidRPr="006C2676" w:rsidRDefault="006C2676">
      <w:pPr>
        <w:pStyle w:val="FootnoteText"/>
        <w:rPr>
          <w:lang w:val="en-US"/>
        </w:rPr>
      </w:pPr>
      <w:r>
        <w:rPr>
          <w:rStyle w:val="FootnoteReference"/>
        </w:rPr>
        <w:footnoteRef/>
      </w:r>
      <w:r>
        <w:t xml:space="preserve"> </w:t>
      </w:r>
      <w:r>
        <w:rPr>
          <w:lang w:val="en-US"/>
        </w:rPr>
        <w:tab/>
        <w:t>De Bruyn at para [208]</w:t>
      </w:r>
    </w:p>
  </w:footnote>
  <w:footnote w:id="22">
    <w:p w:rsidR="002D239E" w:rsidRPr="002D239E" w:rsidRDefault="002D239E">
      <w:pPr>
        <w:pStyle w:val="FootnoteText"/>
        <w:rPr>
          <w:lang w:val="en-US"/>
        </w:rPr>
      </w:pPr>
      <w:r>
        <w:rPr>
          <w:rStyle w:val="FootnoteReference"/>
        </w:rPr>
        <w:footnoteRef/>
      </w:r>
      <w:r>
        <w:t xml:space="preserve"> </w:t>
      </w:r>
      <w:r>
        <w:rPr>
          <w:lang w:val="en-US"/>
        </w:rPr>
        <w:tab/>
        <w:t>Venator supra at para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038317"/>
      <w:docPartObj>
        <w:docPartGallery w:val="Page Numbers (Top of Page)"/>
        <w:docPartUnique/>
      </w:docPartObj>
    </w:sdtPr>
    <w:sdtEndPr>
      <w:rPr>
        <w:noProof/>
      </w:rPr>
    </w:sdtEndPr>
    <w:sdtContent>
      <w:p w:rsidR="00CF3A74" w:rsidRDefault="00CF3A74">
        <w:pPr>
          <w:pStyle w:val="Header"/>
          <w:jc w:val="right"/>
        </w:pPr>
        <w:r>
          <w:fldChar w:fldCharType="begin"/>
        </w:r>
        <w:r>
          <w:instrText xml:space="preserve"> PAGE   \* MERGEFORMAT </w:instrText>
        </w:r>
        <w:r>
          <w:fldChar w:fldCharType="separate"/>
        </w:r>
        <w:r w:rsidR="001D3D2D">
          <w:rPr>
            <w:noProof/>
          </w:rPr>
          <w:t>2</w:t>
        </w:r>
        <w:r>
          <w:rPr>
            <w:noProof/>
          </w:rPr>
          <w:fldChar w:fldCharType="end"/>
        </w:r>
      </w:p>
    </w:sdtContent>
  </w:sdt>
  <w:p w:rsidR="00CF3A74" w:rsidRDefault="00CF3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2498475C"/>
    <w:lvl w:ilvl="0" w:tplc="FD229878">
      <w:start w:val="1"/>
      <w:numFmt w:val="decimal"/>
      <w:lvlText w:val="(%1)"/>
      <w:lvlJc w:val="left"/>
      <w:pPr>
        <w:tabs>
          <w:tab w:val="num" w:pos="900"/>
        </w:tabs>
        <w:ind w:left="900" w:hanging="720"/>
      </w:pPr>
      <w:rPr>
        <w:rFonts w:ascii="Century Gothic" w:eastAsiaTheme="minorHAnsi" w:hAnsi="Century Gothic" w:cstheme="minorBid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7BC3A60"/>
    <w:multiLevelType w:val="multilevel"/>
    <w:tmpl w:val="43BA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6C"/>
    <w:rsid w:val="00047876"/>
    <w:rsid w:val="00052D7E"/>
    <w:rsid w:val="0007111F"/>
    <w:rsid w:val="000C352A"/>
    <w:rsid w:val="00114E4F"/>
    <w:rsid w:val="00161E35"/>
    <w:rsid w:val="001A1394"/>
    <w:rsid w:val="001A1AAF"/>
    <w:rsid w:val="001B0BB8"/>
    <w:rsid w:val="001D3D2D"/>
    <w:rsid w:val="001D3EF4"/>
    <w:rsid w:val="001E19B3"/>
    <w:rsid w:val="002102C5"/>
    <w:rsid w:val="0024102E"/>
    <w:rsid w:val="00257059"/>
    <w:rsid w:val="00261C23"/>
    <w:rsid w:val="00294AF0"/>
    <w:rsid w:val="002C34D6"/>
    <w:rsid w:val="002D239E"/>
    <w:rsid w:val="003071C1"/>
    <w:rsid w:val="003174E2"/>
    <w:rsid w:val="00340E15"/>
    <w:rsid w:val="003E3DB2"/>
    <w:rsid w:val="00417DE2"/>
    <w:rsid w:val="0042133F"/>
    <w:rsid w:val="00470771"/>
    <w:rsid w:val="004922D2"/>
    <w:rsid w:val="00492783"/>
    <w:rsid w:val="005223E9"/>
    <w:rsid w:val="005817AD"/>
    <w:rsid w:val="00582047"/>
    <w:rsid w:val="005E2FB7"/>
    <w:rsid w:val="006C2676"/>
    <w:rsid w:val="006D4A12"/>
    <w:rsid w:val="00700C4F"/>
    <w:rsid w:val="007243AE"/>
    <w:rsid w:val="00761E39"/>
    <w:rsid w:val="00777D89"/>
    <w:rsid w:val="00790688"/>
    <w:rsid w:val="007A6E7B"/>
    <w:rsid w:val="007B450E"/>
    <w:rsid w:val="0080606C"/>
    <w:rsid w:val="008160A5"/>
    <w:rsid w:val="00833605"/>
    <w:rsid w:val="008467BD"/>
    <w:rsid w:val="00863F4D"/>
    <w:rsid w:val="008D43BF"/>
    <w:rsid w:val="008D6300"/>
    <w:rsid w:val="008F51AD"/>
    <w:rsid w:val="009322B9"/>
    <w:rsid w:val="00947407"/>
    <w:rsid w:val="00975362"/>
    <w:rsid w:val="009E2394"/>
    <w:rsid w:val="00A25F85"/>
    <w:rsid w:val="00A3644E"/>
    <w:rsid w:val="00A4058C"/>
    <w:rsid w:val="00A825EE"/>
    <w:rsid w:val="00A9086E"/>
    <w:rsid w:val="00A91590"/>
    <w:rsid w:val="00AA0A44"/>
    <w:rsid w:val="00B27218"/>
    <w:rsid w:val="00B41C83"/>
    <w:rsid w:val="00B529DF"/>
    <w:rsid w:val="00B93459"/>
    <w:rsid w:val="00C466AD"/>
    <w:rsid w:val="00C560DA"/>
    <w:rsid w:val="00CF3A74"/>
    <w:rsid w:val="00D1234D"/>
    <w:rsid w:val="00D77BEF"/>
    <w:rsid w:val="00DA2127"/>
    <w:rsid w:val="00DF5212"/>
    <w:rsid w:val="00E2126A"/>
    <w:rsid w:val="00EB1188"/>
    <w:rsid w:val="00EB2586"/>
    <w:rsid w:val="00ED6E50"/>
    <w:rsid w:val="00F50700"/>
    <w:rsid w:val="00FC346E"/>
    <w:rsid w:val="00FC6D2C"/>
    <w:rsid w:val="00FF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AFCC0-E3E6-4E7D-A904-B2B452A9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06C"/>
    <w:rPr>
      <w:lang w:val="en-ZA"/>
    </w:rPr>
  </w:style>
  <w:style w:type="paragraph" w:styleId="Heading1">
    <w:name w:val="heading 1"/>
    <w:basedOn w:val="Normal"/>
    <w:link w:val="Heading1Char"/>
    <w:uiPriority w:val="9"/>
    <w:qFormat/>
    <w:rsid w:val="0007111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07111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06C"/>
    <w:pPr>
      <w:spacing w:after="0" w:line="240" w:lineRule="auto"/>
      <w:ind w:left="720"/>
      <w:contextualSpacing/>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80606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6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06C"/>
    <w:rPr>
      <w:lang w:val="en-ZA"/>
    </w:rPr>
  </w:style>
  <w:style w:type="paragraph" w:styleId="Footer">
    <w:name w:val="footer"/>
    <w:basedOn w:val="Normal"/>
    <w:link w:val="FooterChar"/>
    <w:uiPriority w:val="99"/>
    <w:unhideWhenUsed/>
    <w:rsid w:val="00806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06C"/>
    <w:rPr>
      <w:lang w:val="en-ZA"/>
    </w:rPr>
  </w:style>
  <w:style w:type="paragraph" w:styleId="FootnoteText">
    <w:name w:val="footnote text"/>
    <w:basedOn w:val="Normal"/>
    <w:link w:val="FootnoteTextChar"/>
    <w:uiPriority w:val="99"/>
    <w:semiHidden/>
    <w:unhideWhenUsed/>
    <w:rsid w:val="001A13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394"/>
    <w:rPr>
      <w:sz w:val="20"/>
      <w:szCs w:val="20"/>
      <w:lang w:val="en-ZA"/>
    </w:rPr>
  </w:style>
  <w:style w:type="character" w:styleId="FootnoteReference">
    <w:name w:val="footnote reference"/>
    <w:basedOn w:val="DefaultParagraphFont"/>
    <w:uiPriority w:val="99"/>
    <w:semiHidden/>
    <w:unhideWhenUsed/>
    <w:rsid w:val="001A1394"/>
    <w:rPr>
      <w:vertAlign w:val="superscript"/>
    </w:rPr>
  </w:style>
  <w:style w:type="character" w:styleId="Hyperlink">
    <w:name w:val="Hyperlink"/>
    <w:basedOn w:val="DefaultParagraphFont"/>
    <w:uiPriority w:val="99"/>
    <w:semiHidden/>
    <w:unhideWhenUsed/>
    <w:rsid w:val="005E2FB7"/>
    <w:rPr>
      <w:color w:val="0000FF"/>
      <w:u w:val="single"/>
    </w:rPr>
  </w:style>
  <w:style w:type="character" w:customStyle="1" w:styleId="Heading1Char">
    <w:name w:val="Heading 1 Char"/>
    <w:basedOn w:val="DefaultParagraphFont"/>
    <w:link w:val="Heading1"/>
    <w:uiPriority w:val="9"/>
    <w:rsid w:val="000711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11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11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5223E9"/>
  </w:style>
  <w:style w:type="character" w:customStyle="1" w:styleId="g1">
    <w:name w:val="g1"/>
    <w:basedOn w:val="DefaultParagraphFont"/>
    <w:rsid w:val="005223E9"/>
  </w:style>
  <w:style w:type="paragraph" w:styleId="EndnoteText">
    <w:name w:val="endnote text"/>
    <w:basedOn w:val="Normal"/>
    <w:link w:val="EndnoteTextChar"/>
    <w:uiPriority w:val="99"/>
    <w:semiHidden/>
    <w:unhideWhenUsed/>
    <w:rsid w:val="009753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362"/>
    <w:rPr>
      <w:sz w:val="20"/>
      <w:szCs w:val="20"/>
      <w:lang w:val="en-ZA"/>
    </w:rPr>
  </w:style>
  <w:style w:type="character" w:styleId="EndnoteReference">
    <w:name w:val="endnote reference"/>
    <w:basedOn w:val="DefaultParagraphFont"/>
    <w:uiPriority w:val="99"/>
    <w:semiHidden/>
    <w:unhideWhenUsed/>
    <w:rsid w:val="00975362"/>
    <w:rPr>
      <w:vertAlign w:val="superscript"/>
    </w:rPr>
  </w:style>
  <w:style w:type="paragraph" w:styleId="BalloonText">
    <w:name w:val="Balloon Text"/>
    <w:basedOn w:val="Normal"/>
    <w:link w:val="BalloonTextChar"/>
    <w:uiPriority w:val="99"/>
    <w:semiHidden/>
    <w:unhideWhenUsed/>
    <w:rsid w:val="001D3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EF4"/>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3693">
      <w:bodyDiv w:val="1"/>
      <w:marLeft w:val="0"/>
      <w:marRight w:val="0"/>
      <w:marTop w:val="0"/>
      <w:marBottom w:val="0"/>
      <w:divBdr>
        <w:top w:val="none" w:sz="0" w:space="0" w:color="auto"/>
        <w:left w:val="none" w:sz="0" w:space="0" w:color="auto"/>
        <w:bottom w:val="none" w:sz="0" w:space="0" w:color="auto"/>
        <w:right w:val="none" w:sz="0" w:space="0" w:color="auto"/>
      </w:divBdr>
    </w:div>
    <w:div w:id="205027518">
      <w:bodyDiv w:val="1"/>
      <w:marLeft w:val="0"/>
      <w:marRight w:val="0"/>
      <w:marTop w:val="0"/>
      <w:marBottom w:val="0"/>
      <w:divBdr>
        <w:top w:val="none" w:sz="0" w:space="0" w:color="auto"/>
        <w:left w:val="none" w:sz="0" w:space="0" w:color="auto"/>
        <w:bottom w:val="none" w:sz="0" w:space="0" w:color="auto"/>
        <w:right w:val="none" w:sz="0" w:space="0" w:color="auto"/>
      </w:divBdr>
      <w:divsChild>
        <w:div w:id="774131316">
          <w:marLeft w:val="0"/>
          <w:marRight w:val="0"/>
          <w:marTop w:val="120"/>
          <w:marBottom w:val="0"/>
          <w:divBdr>
            <w:top w:val="none" w:sz="0" w:space="0" w:color="auto"/>
            <w:left w:val="none" w:sz="0" w:space="0" w:color="auto"/>
            <w:bottom w:val="none" w:sz="0" w:space="0" w:color="auto"/>
            <w:right w:val="none" w:sz="0" w:space="0" w:color="auto"/>
          </w:divBdr>
        </w:div>
        <w:div w:id="1398934720">
          <w:marLeft w:val="0"/>
          <w:marRight w:val="0"/>
          <w:marTop w:val="240"/>
          <w:marBottom w:val="24"/>
          <w:divBdr>
            <w:top w:val="single" w:sz="8" w:space="2" w:color="808080"/>
            <w:left w:val="none" w:sz="0" w:space="0" w:color="auto"/>
            <w:bottom w:val="none" w:sz="0" w:space="0" w:color="auto"/>
            <w:right w:val="none" w:sz="0" w:space="0" w:color="auto"/>
          </w:divBdr>
        </w:div>
        <w:div w:id="904149371">
          <w:marLeft w:val="0"/>
          <w:marRight w:val="0"/>
          <w:marTop w:val="120"/>
          <w:marBottom w:val="0"/>
          <w:divBdr>
            <w:top w:val="none" w:sz="0" w:space="0" w:color="auto"/>
            <w:left w:val="none" w:sz="0" w:space="0" w:color="auto"/>
            <w:bottom w:val="none" w:sz="0" w:space="0" w:color="auto"/>
            <w:right w:val="none" w:sz="0" w:space="0" w:color="auto"/>
          </w:divBdr>
        </w:div>
        <w:div w:id="1291858647">
          <w:marLeft w:val="0"/>
          <w:marRight w:val="0"/>
          <w:marTop w:val="120"/>
          <w:marBottom w:val="0"/>
          <w:divBdr>
            <w:top w:val="none" w:sz="0" w:space="0" w:color="auto"/>
            <w:left w:val="none" w:sz="0" w:space="0" w:color="auto"/>
            <w:bottom w:val="none" w:sz="0" w:space="0" w:color="auto"/>
            <w:right w:val="none" w:sz="0" w:space="0" w:color="auto"/>
          </w:divBdr>
        </w:div>
      </w:divsChild>
    </w:div>
    <w:div w:id="207033089">
      <w:bodyDiv w:val="1"/>
      <w:marLeft w:val="0"/>
      <w:marRight w:val="0"/>
      <w:marTop w:val="0"/>
      <w:marBottom w:val="0"/>
      <w:divBdr>
        <w:top w:val="none" w:sz="0" w:space="0" w:color="auto"/>
        <w:left w:val="none" w:sz="0" w:space="0" w:color="auto"/>
        <w:bottom w:val="none" w:sz="0" w:space="0" w:color="auto"/>
        <w:right w:val="none" w:sz="0" w:space="0" w:color="auto"/>
      </w:divBdr>
      <w:divsChild>
        <w:div w:id="972640850">
          <w:marLeft w:val="0"/>
          <w:marRight w:val="0"/>
          <w:marTop w:val="120"/>
          <w:marBottom w:val="0"/>
          <w:divBdr>
            <w:top w:val="none" w:sz="0" w:space="0" w:color="auto"/>
            <w:left w:val="none" w:sz="0" w:space="0" w:color="auto"/>
            <w:bottom w:val="none" w:sz="0" w:space="0" w:color="auto"/>
            <w:right w:val="none" w:sz="0" w:space="0" w:color="auto"/>
          </w:divBdr>
        </w:div>
        <w:div w:id="699932519">
          <w:marLeft w:val="0"/>
          <w:marRight w:val="0"/>
          <w:marTop w:val="240"/>
          <w:marBottom w:val="24"/>
          <w:divBdr>
            <w:top w:val="single" w:sz="8" w:space="2" w:color="808080"/>
            <w:left w:val="none" w:sz="0" w:space="0" w:color="auto"/>
            <w:bottom w:val="none" w:sz="0" w:space="0" w:color="auto"/>
            <w:right w:val="none" w:sz="0" w:space="0" w:color="auto"/>
          </w:divBdr>
        </w:div>
        <w:div w:id="868495739">
          <w:marLeft w:val="0"/>
          <w:marRight w:val="0"/>
          <w:marTop w:val="120"/>
          <w:marBottom w:val="0"/>
          <w:divBdr>
            <w:top w:val="none" w:sz="0" w:space="0" w:color="auto"/>
            <w:left w:val="none" w:sz="0" w:space="0" w:color="auto"/>
            <w:bottom w:val="none" w:sz="0" w:space="0" w:color="auto"/>
            <w:right w:val="none" w:sz="0" w:space="0" w:color="auto"/>
          </w:divBdr>
        </w:div>
        <w:div w:id="1289312860">
          <w:marLeft w:val="0"/>
          <w:marRight w:val="0"/>
          <w:marTop w:val="120"/>
          <w:marBottom w:val="0"/>
          <w:divBdr>
            <w:top w:val="none" w:sz="0" w:space="0" w:color="auto"/>
            <w:left w:val="none" w:sz="0" w:space="0" w:color="auto"/>
            <w:bottom w:val="none" w:sz="0" w:space="0" w:color="auto"/>
            <w:right w:val="none" w:sz="0" w:space="0" w:color="auto"/>
          </w:divBdr>
        </w:div>
      </w:divsChild>
    </w:div>
    <w:div w:id="399451976">
      <w:bodyDiv w:val="1"/>
      <w:marLeft w:val="0"/>
      <w:marRight w:val="0"/>
      <w:marTop w:val="0"/>
      <w:marBottom w:val="0"/>
      <w:divBdr>
        <w:top w:val="none" w:sz="0" w:space="0" w:color="auto"/>
        <w:left w:val="none" w:sz="0" w:space="0" w:color="auto"/>
        <w:bottom w:val="none" w:sz="0" w:space="0" w:color="auto"/>
        <w:right w:val="none" w:sz="0" w:space="0" w:color="auto"/>
      </w:divBdr>
      <w:divsChild>
        <w:div w:id="530456806">
          <w:marLeft w:val="0"/>
          <w:marRight w:val="0"/>
          <w:marTop w:val="120"/>
          <w:marBottom w:val="0"/>
          <w:divBdr>
            <w:top w:val="none" w:sz="0" w:space="0" w:color="auto"/>
            <w:left w:val="none" w:sz="0" w:space="0" w:color="auto"/>
            <w:bottom w:val="none" w:sz="0" w:space="0" w:color="auto"/>
            <w:right w:val="none" w:sz="0" w:space="0" w:color="auto"/>
          </w:divBdr>
        </w:div>
        <w:div w:id="537592552">
          <w:marLeft w:val="567"/>
          <w:marRight w:val="0"/>
          <w:marTop w:val="60"/>
          <w:marBottom w:val="0"/>
          <w:divBdr>
            <w:top w:val="none" w:sz="0" w:space="0" w:color="auto"/>
            <w:left w:val="none" w:sz="0" w:space="0" w:color="auto"/>
            <w:bottom w:val="none" w:sz="0" w:space="0" w:color="auto"/>
            <w:right w:val="none" w:sz="0" w:space="0" w:color="auto"/>
          </w:divBdr>
        </w:div>
        <w:div w:id="437406266">
          <w:marLeft w:val="567"/>
          <w:marRight w:val="0"/>
          <w:marTop w:val="60"/>
          <w:marBottom w:val="0"/>
          <w:divBdr>
            <w:top w:val="none" w:sz="0" w:space="0" w:color="auto"/>
            <w:left w:val="none" w:sz="0" w:space="0" w:color="auto"/>
            <w:bottom w:val="none" w:sz="0" w:space="0" w:color="auto"/>
            <w:right w:val="none" w:sz="0" w:space="0" w:color="auto"/>
          </w:divBdr>
        </w:div>
        <w:div w:id="562180206">
          <w:marLeft w:val="1134"/>
          <w:marRight w:val="0"/>
          <w:marTop w:val="60"/>
          <w:marBottom w:val="0"/>
          <w:divBdr>
            <w:top w:val="none" w:sz="0" w:space="0" w:color="auto"/>
            <w:left w:val="none" w:sz="0" w:space="0" w:color="auto"/>
            <w:bottom w:val="none" w:sz="0" w:space="0" w:color="auto"/>
            <w:right w:val="none" w:sz="0" w:space="0" w:color="auto"/>
          </w:divBdr>
        </w:div>
        <w:div w:id="2049600416">
          <w:marLeft w:val="0"/>
          <w:marRight w:val="0"/>
          <w:marTop w:val="120"/>
          <w:marBottom w:val="0"/>
          <w:divBdr>
            <w:top w:val="none" w:sz="0" w:space="0" w:color="auto"/>
            <w:left w:val="none" w:sz="0" w:space="0" w:color="auto"/>
            <w:bottom w:val="none" w:sz="0" w:space="0" w:color="auto"/>
            <w:right w:val="none" w:sz="0" w:space="0" w:color="auto"/>
          </w:divBdr>
        </w:div>
        <w:div w:id="1934701946">
          <w:marLeft w:val="0"/>
          <w:marRight w:val="0"/>
          <w:marTop w:val="120"/>
          <w:marBottom w:val="0"/>
          <w:divBdr>
            <w:top w:val="none" w:sz="0" w:space="0" w:color="auto"/>
            <w:left w:val="none" w:sz="0" w:space="0" w:color="auto"/>
            <w:bottom w:val="none" w:sz="0" w:space="0" w:color="auto"/>
            <w:right w:val="none" w:sz="0" w:space="0" w:color="auto"/>
          </w:divBdr>
        </w:div>
      </w:divsChild>
    </w:div>
    <w:div w:id="635455406">
      <w:bodyDiv w:val="1"/>
      <w:marLeft w:val="0"/>
      <w:marRight w:val="0"/>
      <w:marTop w:val="0"/>
      <w:marBottom w:val="0"/>
      <w:divBdr>
        <w:top w:val="none" w:sz="0" w:space="0" w:color="auto"/>
        <w:left w:val="none" w:sz="0" w:space="0" w:color="auto"/>
        <w:bottom w:val="none" w:sz="0" w:space="0" w:color="auto"/>
        <w:right w:val="none" w:sz="0" w:space="0" w:color="auto"/>
      </w:divBdr>
      <w:divsChild>
        <w:div w:id="456333247">
          <w:marLeft w:val="0"/>
          <w:marRight w:val="0"/>
          <w:marTop w:val="120"/>
          <w:marBottom w:val="0"/>
          <w:divBdr>
            <w:top w:val="none" w:sz="0" w:space="0" w:color="auto"/>
            <w:left w:val="none" w:sz="0" w:space="0" w:color="auto"/>
            <w:bottom w:val="none" w:sz="0" w:space="0" w:color="auto"/>
            <w:right w:val="none" w:sz="0" w:space="0" w:color="auto"/>
          </w:divBdr>
        </w:div>
        <w:div w:id="2044675470">
          <w:marLeft w:val="0"/>
          <w:marRight w:val="0"/>
          <w:marTop w:val="240"/>
          <w:marBottom w:val="24"/>
          <w:divBdr>
            <w:top w:val="single" w:sz="8" w:space="2" w:color="808080"/>
            <w:left w:val="none" w:sz="0" w:space="0" w:color="auto"/>
            <w:bottom w:val="none" w:sz="0" w:space="0" w:color="auto"/>
            <w:right w:val="none" w:sz="0" w:space="0" w:color="auto"/>
          </w:divBdr>
        </w:div>
        <w:div w:id="2091460990">
          <w:marLeft w:val="0"/>
          <w:marRight w:val="0"/>
          <w:marTop w:val="120"/>
          <w:marBottom w:val="0"/>
          <w:divBdr>
            <w:top w:val="none" w:sz="0" w:space="0" w:color="auto"/>
            <w:left w:val="none" w:sz="0" w:space="0" w:color="auto"/>
            <w:bottom w:val="none" w:sz="0" w:space="0" w:color="auto"/>
            <w:right w:val="none" w:sz="0" w:space="0" w:color="auto"/>
          </w:divBdr>
        </w:div>
        <w:div w:id="1446193322">
          <w:marLeft w:val="0"/>
          <w:marRight w:val="0"/>
          <w:marTop w:val="120"/>
          <w:marBottom w:val="0"/>
          <w:divBdr>
            <w:top w:val="none" w:sz="0" w:space="0" w:color="auto"/>
            <w:left w:val="none" w:sz="0" w:space="0" w:color="auto"/>
            <w:bottom w:val="none" w:sz="0" w:space="0" w:color="auto"/>
            <w:right w:val="none" w:sz="0" w:space="0" w:color="auto"/>
          </w:divBdr>
        </w:div>
      </w:divsChild>
    </w:div>
    <w:div w:id="646592702">
      <w:bodyDiv w:val="1"/>
      <w:marLeft w:val="0"/>
      <w:marRight w:val="0"/>
      <w:marTop w:val="0"/>
      <w:marBottom w:val="0"/>
      <w:divBdr>
        <w:top w:val="none" w:sz="0" w:space="0" w:color="auto"/>
        <w:left w:val="none" w:sz="0" w:space="0" w:color="auto"/>
        <w:bottom w:val="none" w:sz="0" w:space="0" w:color="auto"/>
        <w:right w:val="none" w:sz="0" w:space="0" w:color="auto"/>
      </w:divBdr>
      <w:divsChild>
        <w:div w:id="1742210974">
          <w:marLeft w:val="0"/>
          <w:marRight w:val="0"/>
          <w:marTop w:val="120"/>
          <w:marBottom w:val="0"/>
          <w:divBdr>
            <w:top w:val="none" w:sz="0" w:space="0" w:color="auto"/>
            <w:left w:val="none" w:sz="0" w:space="0" w:color="auto"/>
            <w:bottom w:val="none" w:sz="0" w:space="0" w:color="auto"/>
            <w:right w:val="none" w:sz="0" w:space="0" w:color="auto"/>
          </w:divBdr>
        </w:div>
        <w:div w:id="1304388956">
          <w:marLeft w:val="0"/>
          <w:marRight w:val="0"/>
          <w:marTop w:val="120"/>
          <w:marBottom w:val="0"/>
          <w:divBdr>
            <w:top w:val="none" w:sz="0" w:space="0" w:color="auto"/>
            <w:left w:val="none" w:sz="0" w:space="0" w:color="auto"/>
            <w:bottom w:val="none" w:sz="0" w:space="0" w:color="auto"/>
            <w:right w:val="none" w:sz="0" w:space="0" w:color="auto"/>
          </w:divBdr>
        </w:div>
      </w:divsChild>
    </w:div>
    <w:div w:id="879631234">
      <w:bodyDiv w:val="1"/>
      <w:marLeft w:val="0"/>
      <w:marRight w:val="0"/>
      <w:marTop w:val="0"/>
      <w:marBottom w:val="0"/>
      <w:divBdr>
        <w:top w:val="none" w:sz="0" w:space="0" w:color="auto"/>
        <w:left w:val="none" w:sz="0" w:space="0" w:color="auto"/>
        <w:bottom w:val="none" w:sz="0" w:space="0" w:color="auto"/>
        <w:right w:val="none" w:sz="0" w:space="0" w:color="auto"/>
      </w:divBdr>
      <w:divsChild>
        <w:div w:id="460920535">
          <w:marLeft w:val="0"/>
          <w:marRight w:val="0"/>
          <w:marTop w:val="240"/>
          <w:marBottom w:val="0"/>
          <w:divBdr>
            <w:top w:val="none" w:sz="0" w:space="0" w:color="auto"/>
            <w:left w:val="none" w:sz="0" w:space="0" w:color="auto"/>
            <w:bottom w:val="none" w:sz="0" w:space="0" w:color="auto"/>
            <w:right w:val="none" w:sz="0" w:space="0" w:color="auto"/>
          </w:divBdr>
        </w:div>
        <w:div w:id="1179924755">
          <w:marLeft w:val="0"/>
          <w:marRight w:val="0"/>
          <w:marTop w:val="120"/>
          <w:marBottom w:val="0"/>
          <w:divBdr>
            <w:top w:val="none" w:sz="0" w:space="0" w:color="auto"/>
            <w:left w:val="none" w:sz="0" w:space="0" w:color="auto"/>
            <w:bottom w:val="none" w:sz="0" w:space="0" w:color="auto"/>
            <w:right w:val="none" w:sz="0" w:space="0" w:color="auto"/>
          </w:divBdr>
        </w:div>
      </w:divsChild>
    </w:div>
    <w:div w:id="898324306">
      <w:bodyDiv w:val="1"/>
      <w:marLeft w:val="0"/>
      <w:marRight w:val="0"/>
      <w:marTop w:val="0"/>
      <w:marBottom w:val="0"/>
      <w:divBdr>
        <w:top w:val="none" w:sz="0" w:space="0" w:color="auto"/>
        <w:left w:val="none" w:sz="0" w:space="0" w:color="auto"/>
        <w:bottom w:val="none" w:sz="0" w:space="0" w:color="auto"/>
        <w:right w:val="none" w:sz="0" w:space="0" w:color="auto"/>
      </w:divBdr>
      <w:divsChild>
        <w:div w:id="423960424">
          <w:marLeft w:val="0"/>
          <w:marRight w:val="0"/>
          <w:marTop w:val="240"/>
          <w:marBottom w:val="0"/>
          <w:divBdr>
            <w:top w:val="none" w:sz="0" w:space="0" w:color="auto"/>
            <w:left w:val="none" w:sz="0" w:space="0" w:color="auto"/>
            <w:bottom w:val="none" w:sz="0" w:space="0" w:color="auto"/>
            <w:right w:val="none" w:sz="0" w:space="0" w:color="auto"/>
          </w:divBdr>
        </w:div>
        <w:div w:id="1947538472">
          <w:marLeft w:val="0"/>
          <w:marRight w:val="0"/>
          <w:marTop w:val="120"/>
          <w:marBottom w:val="0"/>
          <w:divBdr>
            <w:top w:val="none" w:sz="0" w:space="0" w:color="auto"/>
            <w:left w:val="none" w:sz="0" w:space="0" w:color="auto"/>
            <w:bottom w:val="none" w:sz="0" w:space="0" w:color="auto"/>
            <w:right w:val="none" w:sz="0" w:space="0" w:color="auto"/>
          </w:divBdr>
        </w:div>
        <w:div w:id="1578442502">
          <w:marLeft w:val="567"/>
          <w:marRight w:val="567"/>
          <w:marTop w:val="20"/>
          <w:marBottom w:val="20"/>
          <w:divBdr>
            <w:top w:val="none" w:sz="0" w:space="0" w:color="auto"/>
            <w:left w:val="none" w:sz="0" w:space="0" w:color="auto"/>
            <w:bottom w:val="none" w:sz="0" w:space="0" w:color="auto"/>
            <w:right w:val="none" w:sz="0" w:space="0" w:color="auto"/>
          </w:divBdr>
        </w:div>
        <w:div w:id="919825952">
          <w:marLeft w:val="0"/>
          <w:marRight w:val="0"/>
          <w:marTop w:val="120"/>
          <w:marBottom w:val="0"/>
          <w:divBdr>
            <w:top w:val="none" w:sz="0" w:space="0" w:color="auto"/>
            <w:left w:val="none" w:sz="0" w:space="0" w:color="auto"/>
            <w:bottom w:val="none" w:sz="0" w:space="0" w:color="auto"/>
            <w:right w:val="none" w:sz="0" w:space="0" w:color="auto"/>
          </w:divBdr>
        </w:div>
        <w:div w:id="1857231931">
          <w:marLeft w:val="567"/>
          <w:marRight w:val="567"/>
          <w:marTop w:val="20"/>
          <w:marBottom w:val="20"/>
          <w:divBdr>
            <w:top w:val="none" w:sz="0" w:space="0" w:color="auto"/>
            <w:left w:val="none" w:sz="0" w:space="0" w:color="auto"/>
            <w:bottom w:val="none" w:sz="0" w:space="0" w:color="auto"/>
            <w:right w:val="none" w:sz="0" w:space="0" w:color="auto"/>
          </w:divBdr>
        </w:div>
        <w:div w:id="89618438">
          <w:marLeft w:val="0"/>
          <w:marRight w:val="0"/>
          <w:marTop w:val="120"/>
          <w:marBottom w:val="0"/>
          <w:divBdr>
            <w:top w:val="none" w:sz="0" w:space="0" w:color="auto"/>
            <w:left w:val="none" w:sz="0" w:space="0" w:color="auto"/>
            <w:bottom w:val="none" w:sz="0" w:space="0" w:color="auto"/>
            <w:right w:val="none" w:sz="0" w:space="0" w:color="auto"/>
          </w:divBdr>
        </w:div>
      </w:divsChild>
    </w:div>
    <w:div w:id="1801414849">
      <w:bodyDiv w:val="1"/>
      <w:marLeft w:val="0"/>
      <w:marRight w:val="0"/>
      <w:marTop w:val="0"/>
      <w:marBottom w:val="0"/>
      <w:divBdr>
        <w:top w:val="none" w:sz="0" w:space="0" w:color="auto"/>
        <w:left w:val="none" w:sz="0" w:space="0" w:color="auto"/>
        <w:bottom w:val="none" w:sz="0" w:space="0" w:color="auto"/>
        <w:right w:val="none" w:sz="0" w:space="0" w:color="auto"/>
      </w:divBdr>
      <w:divsChild>
        <w:div w:id="1806313648">
          <w:marLeft w:val="0"/>
          <w:marRight w:val="0"/>
          <w:marTop w:val="0"/>
          <w:marBottom w:val="225"/>
          <w:divBdr>
            <w:top w:val="single" w:sz="24" w:space="0" w:color="auto"/>
            <w:left w:val="single" w:sz="24" w:space="0" w:color="auto"/>
            <w:bottom w:val="single" w:sz="36" w:space="0" w:color="003300"/>
            <w:right w:val="single" w:sz="24" w:space="0" w:color="auto"/>
          </w:divBdr>
          <w:divsChild>
            <w:div w:id="568611681">
              <w:marLeft w:val="0"/>
              <w:marRight w:val="0"/>
              <w:marTop w:val="0"/>
              <w:marBottom w:val="0"/>
              <w:divBdr>
                <w:top w:val="none" w:sz="0" w:space="0" w:color="auto"/>
                <w:left w:val="none" w:sz="0" w:space="0" w:color="auto"/>
                <w:bottom w:val="none" w:sz="0" w:space="0" w:color="auto"/>
                <w:right w:val="none" w:sz="0" w:space="0" w:color="auto"/>
              </w:divBdr>
            </w:div>
          </w:divsChild>
        </w:div>
        <w:div w:id="386225501">
          <w:marLeft w:val="0"/>
          <w:marRight w:val="0"/>
          <w:marTop w:val="0"/>
          <w:marBottom w:val="0"/>
          <w:divBdr>
            <w:top w:val="none" w:sz="0" w:space="0" w:color="auto"/>
            <w:left w:val="none" w:sz="0" w:space="0" w:color="auto"/>
            <w:bottom w:val="none" w:sz="0" w:space="0" w:color="auto"/>
            <w:right w:val="none" w:sz="0" w:space="0" w:color="auto"/>
          </w:divBdr>
          <w:divsChild>
            <w:div w:id="1746418583">
              <w:marLeft w:val="0"/>
              <w:marRight w:val="0"/>
              <w:marTop w:val="0"/>
              <w:marBottom w:val="0"/>
              <w:divBdr>
                <w:top w:val="none" w:sz="0" w:space="0" w:color="auto"/>
                <w:left w:val="none" w:sz="0" w:space="0" w:color="auto"/>
                <w:bottom w:val="none" w:sz="0" w:space="0" w:color="auto"/>
                <w:right w:val="none" w:sz="0" w:space="0" w:color="auto"/>
              </w:divBdr>
              <w:divsChild>
                <w:div w:id="2078894080">
                  <w:marLeft w:val="0"/>
                  <w:marRight w:val="0"/>
                  <w:marTop w:val="0"/>
                  <w:marBottom w:val="0"/>
                  <w:divBdr>
                    <w:top w:val="none" w:sz="0" w:space="0" w:color="auto"/>
                    <w:left w:val="none" w:sz="0" w:space="0" w:color="auto"/>
                    <w:bottom w:val="none" w:sz="0" w:space="0" w:color="auto"/>
                    <w:right w:val="none" w:sz="0" w:space="0" w:color="auto"/>
                  </w:divBdr>
                  <w:divsChild>
                    <w:div w:id="5929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47567">
      <w:bodyDiv w:val="1"/>
      <w:marLeft w:val="0"/>
      <w:marRight w:val="0"/>
      <w:marTop w:val="0"/>
      <w:marBottom w:val="0"/>
      <w:divBdr>
        <w:top w:val="none" w:sz="0" w:space="0" w:color="auto"/>
        <w:left w:val="none" w:sz="0" w:space="0" w:color="auto"/>
        <w:bottom w:val="none" w:sz="0" w:space="0" w:color="auto"/>
        <w:right w:val="none" w:sz="0" w:space="0" w:color="auto"/>
      </w:divBdr>
      <w:divsChild>
        <w:div w:id="45227884">
          <w:marLeft w:val="0"/>
          <w:marRight w:val="0"/>
          <w:marTop w:val="120"/>
          <w:marBottom w:val="0"/>
          <w:divBdr>
            <w:top w:val="none" w:sz="0" w:space="0" w:color="auto"/>
            <w:left w:val="none" w:sz="0" w:space="0" w:color="auto"/>
            <w:bottom w:val="none" w:sz="0" w:space="0" w:color="auto"/>
            <w:right w:val="none" w:sz="0" w:space="0" w:color="auto"/>
          </w:divBdr>
        </w:div>
        <w:div w:id="2073196155">
          <w:marLeft w:val="1134"/>
          <w:marRight w:val="0"/>
          <w:marTop w:val="60"/>
          <w:marBottom w:val="0"/>
          <w:divBdr>
            <w:top w:val="none" w:sz="0" w:space="0" w:color="auto"/>
            <w:left w:val="none" w:sz="0" w:space="0" w:color="auto"/>
            <w:bottom w:val="none" w:sz="0" w:space="0" w:color="auto"/>
            <w:right w:val="none" w:sz="0" w:space="0" w:color="auto"/>
          </w:divBdr>
        </w:div>
        <w:div w:id="1788348109">
          <w:marLeft w:val="1134"/>
          <w:marRight w:val="0"/>
          <w:marTop w:val="60"/>
          <w:marBottom w:val="0"/>
          <w:divBdr>
            <w:top w:val="none" w:sz="0" w:space="0" w:color="auto"/>
            <w:left w:val="none" w:sz="0" w:space="0" w:color="auto"/>
            <w:bottom w:val="none" w:sz="0" w:space="0" w:color="auto"/>
            <w:right w:val="none" w:sz="0" w:space="0" w:color="auto"/>
          </w:divBdr>
        </w:div>
      </w:divsChild>
    </w:div>
    <w:div w:id="2099449315">
      <w:bodyDiv w:val="1"/>
      <w:marLeft w:val="0"/>
      <w:marRight w:val="0"/>
      <w:marTop w:val="0"/>
      <w:marBottom w:val="0"/>
      <w:divBdr>
        <w:top w:val="none" w:sz="0" w:space="0" w:color="auto"/>
        <w:left w:val="none" w:sz="0" w:space="0" w:color="auto"/>
        <w:bottom w:val="none" w:sz="0" w:space="0" w:color="auto"/>
        <w:right w:val="none" w:sz="0" w:space="0" w:color="auto"/>
      </w:divBdr>
      <w:divsChild>
        <w:div w:id="1359576924">
          <w:marLeft w:val="0"/>
          <w:marRight w:val="0"/>
          <w:marTop w:val="240"/>
          <w:marBottom w:val="0"/>
          <w:divBdr>
            <w:top w:val="none" w:sz="0" w:space="0" w:color="auto"/>
            <w:left w:val="none" w:sz="0" w:space="0" w:color="auto"/>
            <w:bottom w:val="none" w:sz="0" w:space="0" w:color="auto"/>
            <w:right w:val="none" w:sz="0" w:space="0" w:color="auto"/>
          </w:divBdr>
        </w:div>
        <w:div w:id="577060354">
          <w:marLeft w:val="0"/>
          <w:marRight w:val="0"/>
          <w:marTop w:val="120"/>
          <w:marBottom w:val="0"/>
          <w:divBdr>
            <w:top w:val="none" w:sz="0" w:space="0" w:color="auto"/>
            <w:left w:val="none" w:sz="0" w:space="0" w:color="auto"/>
            <w:bottom w:val="none" w:sz="0" w:space="0" w:color="auto"/>
            <w:right w:val="none" w:sz="0" w:space="0" w:color="auto"/>
          </w:divBdr>
        </w:div>
        <w:div w:id="2135833116">
          <w:marLeft w:val="567"/>
          <w:marRight w:val="567"/>
          <w:marTop w:val="20"/>
          <w:marBottom w:val="20"/>
          <w:divBdr>
            <w:top w:val="none" w:sz="0" w:space="0" w:color="auto"/>
            <w:left w:val="none" w:sz="0" w:space="0" w:color="auto"/>
            <w:bottom w:val="none" w:sz="0" w:space="0" w:color="auto"/>
            <w:right w:val="none" w:sz="0" w:space="0" w:color="auto"/>
          </w:divBdr>
        </w:div>
        <w:div w:id="1784153189">
          <w:marLeft w:val="0"/>
          <w:marRight w:val="0"/>
          <w:marTop w:val="120"/>
          <w:marBottom w:val="0"/>
          <w:divBdr>
            <w:top w:val="none" w:sz="0" w:space="0" w:color="auto"/>
            <w:left w:val="none" w:sz="0" w:space="0" w:color="auto"/>
            <w:bottom w:val="none" w:sz="0" w:space="0" w:color="auto"/>
            <w:right w:val="none" w:sz="0" w:space="0" w:color="auto"/>
          </w:divBdr>
        </w:div>
        <w:div w:id="4888652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lii.org/za/cases/ZASCA/2008/113.html" TargetMode="External"/><Relationship Id="rId18" Type="http://schemas.openxmlformats.org/officeDocument/2006/relationships/hyperlink" Target="http://www.saflii.org/za/legis/consol_act/ca2008107/index.html" TargetMode="External"/><Relationship Id="rId26" Type="http://schemas.openxmlformats.org/officeDocument/2006/relationships/hyperlink" Target="http://www.saflii.org/za/legis/consol_act/ca2008107/index.html" TargetMode="External"/><Relationship Id="rId39" Type="http://schemas.openxmlformats.org/officeDocument/2006/relationships/theme" Target="theme/theme1.xml"/><Relationship Id="rId21" Type="http://schemas.openxmlformats.org/officeDocument/2006/relationships/hyperlink" Target="http://www.saflii.org/za/legis/consol_act/ca2008107/index.html" TargetMode="External"/><Relationship Id="rId34" Type="http://schemas.openxmlformats.org/officeDocument/2006/relationships/hyperlink" Target="http://www.saflii.org/za/legis/consol_act/cca1984221/index.html" TargetMode="Externa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71y2008s22(1)%27%5d&amp;xhitlist_md=target-id=0-0-0-63321" TargetMode="External"/><Relationship Id="rId17" Type="http://schemas.openxmlformats.org/officeDocument/2006/relationships/hyperlink" Target="http://www.saflii.org/za/legis/consol_act/ca2008107/index.html" TargetMode="External"/><Relationship Id="rId25" Type="http://schemas.openxmlformats.org/officeDocument/2006/relationships/hyperlink" Target="http://www.saflii.org/za/legis/consol_act/ca2008107/index.html" TargetMode="External"/><Relationship Id="rId33" Type="http://schemas.openxmlformats.org/officeDocument/2006/relationships/hyperlink" Target="http://www.saflii.org/za/legis/consol_act/ca200810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flii.org/cgi-bin/LawCite?cit=1998%20%282%29%20SA%20138" TargetMode="External"/><Relationship Id="rId20" Type="http://schemas.openxmlformats.org/officeDocument/2006/relationships/hyperlink" Target="http://www.saflii.org/za/legis/consol_act/ca2008107/index.html" TargetMode="External"/><Relationship Id="rId29" Type="http://schemas.openxmlformats.org/officeDocument/2006/relationships/hyperlink" Target="http://www.saflii.org/za/legis/consol_act/ca2008107/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409E.93246230" TargetMode="External"/><Relationship Id="rId24" Type="http://schemas.openxmlformats.org/officeDocument/2006/relationships/hyperlink" Target="http://www.saflii.org/za/legis/consol_act/ca2008107/index.html" TargetMode="External"/><Relationship Id="rId32" Type="http://schemas.openxmlformats.org/officeDocument/2006/relationships/hyperlink" Target="http://www.saflii.org/za/legis/consol_act/ca2008107/index.htm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aflii.org/za/cases/ZASCA/1997/92.html" TargetMode="External"/><Relationship Id="rId23" Type="http://schemas.openxmlformats.org/officeDocument/2006/relationships/hyperlink" Target="http://www.saflii.org/za/legis/consol_act/ca2008107/index.html" TargetMode="External"/><Relationship Id="rId28" Type="http://schemas.openxmlformats.org/officeDocument/2006/relationships/hyperlink" Target="http://www.saflii.org/za/legis/consol_act/ca2008107/index.html" TargetMode="External"/><Relationship Id="rId36"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71y2008s77(3)%27%5d&amp;xhitlist_md=target-id=0-0-0-65731" TargetMode="External"/><Relationship Id="rId10" Type="http://schemas.openxmlformats.org/officeDocument/2006/relationships/image" Target="media/image2.jpeg"/><Relationship Id="rId19" Type="http://schemas.openxmlformats.org/officeDocument/2006/relationships/hyperlink" Target="http://www.saflii.org/za/legis/consol_act/ca2008107/index.html" TargetMode="External"/><Relationship Id="rId31" Type="http://schemas.openxmlformats.org/officeDocument/2006/relationships/hyperlink" Target="http://www.saflii.org/za/legis/consol_act/ca2008107/" TargetMode="External"/><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hyperlink" Target="http://www.saflii.org/cgi-bin/LawCite?cit=2008%20%286%29%20SA%20585" TargetMode="External"/><Relationship Id="rId22" Type="http://schemas.openxmlformats.org/officeDocument/2006/relationships/hyperlink" Target="http://www.saflii.org/za/legis/consol_act/ca2008107/index.html" TargetMode="External"/><Relationship Id="rId27" Type="http://schemas.openxmlformats.org/officeDocument/2006/relationships/hyperlink" Target="http://www.saflii.org/za/legis/consol_act/ca2008107/" TargetMode="External"/><Relationship Id="rId30" Type="http://schemas.openxmlformats.org/officeDocument/2006/relationships/hyperlink" Target="http://www.saflii.org/za/legis/consol_act/ca2008107/index.html" TargetMode="External"/><Relationship Id="rId35" Type="http://schemas.openxmlformats.org/officeDocument/2006/relationships/hyperlink" Target="http://www.saflii.org/za/legis/consol_act/cca1984221/"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D6408-E682-459A-909D-8E855E69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5311</Words>
  <Characters>30277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Neukircher</dc:creator>
  <cp:keywords/>
  <dc:description/>
  <cp:lastModifiedBy>Mokone</cp:lastModifiedBy>
  <cp:revision>2</cp:revision>
  <cp:lastPrinted>2023-06-27T07:22:00Z</cp:lastPrinted>
  <dcterms:created xsi:type="dcterms:W3CDTF">2023-07-06T09:36:00Z</dcterms:created>
  <dcterms:modified xsi:type="dcterms:W3CDTF">2023-07-06T09:36:00Z</dcterms:modified>
</cp:coreProperties>
</file>