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965F" w14:textId="77777777" w:rsidR="00BD3602" w:rsidRPr="0080183F" w:rsidRDefault="00BD3602" w:rsidP="00652C45">
      <w:pPr>
        <w:jc w:val="center"/>
        <w:rPr>
          <w:rFonts w:eastAsia="Times New Roman" w:cstheme="minorHAnsi"/>
          <w:sz w:val="32"/>
          <w:szCs w:val="32"/>
          <w:lang w:eastAsia="en-GB"/>
        </w:rPr>
      </w:pPr>
      <w:r w:rsidRPr="00B93312">
        <w:rPr>
          <w:noProof/>
          <w:lang w:val="en-US"/>
        </w:rPr>
        <w:drawing>
          <wp:inline distT="0" distB="0" distL="0" distR="0" wp14:anchorId="4F48F8F9" wp14:editId="3D843B67">
            <wp:extent cx="1352550" cy="121920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p w14:paraId="101AA058" w14:textId="77777777" w:rsidR="00BD3602" w:rsidRPr="00E57141" w:rsidRDefault="00BD3602" w:rsidP="00BD3602">
      <w:pPr>
        <w:spacing w:after="0" w:line="360" w:lineRule="auto"/>
        <w:jc w:val="center"/>
        <w:rPr>
          <w:rFonts w:ascii="Arial" w:eastAsia="Times New Roman" w:hAnsi="Arial" w:cs="Arial"/>
          <w:sz w:val="24"/>
          <w:szCs w:val="24"/>
          <w:lang w:eastAsia="en-GB"/>
        </w:rPr>
      </w:pPr>
      <w:r w:rsidRPr="00E57141">
        <w:rPr>
          <w:rFonts w:ascii="Arial" w:eastAsia="Times New Roman" w:hAnsi="Arial" w:cs="Arial"/>
          <w:sz w:val="24"/>
          <w:szCs w:val="24"/>
          <w:lang w:eastAsia="en-GB"/>
        </w:rPr>
        <w:t>IN THE HIGH COURT OF SOUTH AFRICA</w:t>
      </w:r>
    </w:p>
    <w:p w14:paraId="6885FDAC" w14:textId="77777777" w:rsidR="00BD3602" w:rsidRPr="00E57141" w:rsidRDefault="00BD3602" w:rsidP="00BD3602">
      <w:pPr>
        <w:spacing w:after="0" w:line="360" w:lineRule="auto"/>
        <w:jc w:val="center"/>
        <w:rPr>
          <w:rFonts w:ascii="Arial" w:eastAsia="Times New Roman" w:hAnsi="Arial" w:cs="Arial"/>
          <w:sz w:val="24"/>
          <w:szCs w:val="24"/>
          <w:lang w:eastAsia="en-GB"/>
        </w:rPr>
      </w:pPr>
      <w:r w:rsidRPr="00E57141">
        <w:rPr>
          <w:rFonts w:ascii="Arial" w:eastAsia="Times New Roman" w:hAnsi="Arial" w:cs="Arial"/>
          <w:sz w:val="24"/>
          <w:szCs w:val="24"/>
          <w:lang w:eastAsia="en-GB"/>
        </w:rPr>
        <w:t>GAUTENG DIVISION, PRETORIA</w:t>
      </w:r>
    </w:p>
    <w:p w14:paraId="7761A80A" w14:textId="77777777" w:rsidR="00BD3602" w:rsidRPr="00E57141" w:rsidRDefault="00BD3602" w:rsidP="00BD3602">
      <w:pPr>
        <w:pStyle w:val="NormalWeb"/>
        <w:jc w:val="right"/>
        <w:rPr>
          <w:rFonts w:ascii="Arial" w:hAnsi="Arial" w:cs="Arial"/>
          <w:b/>
          <w:lang w:eastAsia="en-GB"/>
        </w:rPr>
      </w:pPr>
      <w:r w:rsidRPr="00E57141">
        <w:rPr>
          <w:rFonts w:ascii="Arial" w:hAnsi="Arial" w:cs="Arial"/>
          <w:b/>
          <w:lang w:eastAsia="en-GB"/>
        </w:rPr>
        <w:t xml:space="preserve">CASE NO: </w:t>
      </w:r>
      <w:r w:rsidR="00790D8D">
        <w:rPr>
          <w:rFonts w:ascii="Arial" w:hAnsi="Arial" w:cs="Arial"/>
          <w:b/>
          <w:lang w:eastAsia="en-GB"/>
        </w:rPr>
        <w:t>27524/2017</w:t>
      </w:r>
    </w:p>
    <w:p w14:paraId="787891CC" w14:textId="77777777" w:rsidR="00BD3602" w:rsidRPr="001700E1" w:rsidRDefault="00BD3602" w:rsidP="00BD3602">
      <w:pPr>
        <w:spacing w:after="0" w:line="240" w:lineRule="auto"/>
        <w:ind w:left="566" w:hangingChars="236" w:hanging="566"/>
        <w:jc w:val="right"/>
        <w:rPr>
          <w:rFonts w:ascii="Verdana" w:eastAsia="Times New Roman" w:hAnsi="Verdana" w:cs="Arial"/>
          <w:sz w:val="28"/>
          <w:szCs w:val="28"/>
          <w:lang w:eastAsia="en-GB"/>
        </w:rPr>
      </w:pPr>
      <w:r w:rsidRPr="001700E1">
        <w:rPr>
          <w:rFonts w:ascii="Verdana" w:hAnsi="Verdana" w:cs="Arial"/>
          <w:noProof/>
          <w:sz w:val="24"/>
          <w:szCs w:val="24"/>
          <w:lang w:val="en-US"/>
        </w:rPr>
        <mc:AlternateContent>
          <mc:Choice Requires="wps">
            <w:drawing>
              <wp:anchor distT="0" distB="0" distL="114300" distR="114300" simplePos="0" relativeHeight="251659264" behindDoc="0" locked="0" layoutInCell="1" allowOverlap="1" wp14:anchorId="14E7BB2F" wp14:editId="1904A89B">
                <wp:simplePos x="0" y="0"/>
                <wp:positionH relativeFrom="margin">
                  <wp:align>left</wp:align>
                </wp:positionH>
                <wp:positionV relativeFrom="paragraph">
                  <wp:posOffset>6350</wp:posOffset>
                </wp:positionV>
                <wp:extent cx="3232785" cy="15443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44320"/>
                        </a:xfrm>
                        <a:prstGeom prst="rect">
                          <a:avLst/>
                        </a:prstGeom>
                        <a:solidFill>
                          <a:srgbClr val="FFFFFF"/>
                        </a:solidFill>
                        <a:ln w="9525">
                          <a:solidFill>
                            <a:srgbClr val="000000"/>
                          </a:solidFill>
                          <a:miter lim="800000"/>
                          <a:headEnd/>
                          <a:tailEnd/>
                        </a:ln>
                      </wps:spPr>
                      <wps:txbx>
                        <w:txbxContent>
                          <w:p w14:paraId="2D987700" w14:textId="77777777" w:rsidR="00BD3602" w:rsidRDefault="00BD3602" w:rsidP="00BD3602">
                            <w:pPr>
                              <w:jc w:val="center"/>
                              <w:rPr>
                                <w:rFonts w:ascii="Century Gothic" w:hAnsi="Century Gothic"/>
                                <w:b/>
                                <w:sz w:val="20"/>
                                <w:szCs w:val="20"/>
                              </w:rPr>
                            </w:pPr>
                          </w:p>
                          <w:p w14:paraId="4D1A12F7" w14:textId="3F519689" w:rsidR="00BD3602" w:rsidRDefault="00BE38D7" w:rsidP="00BE3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BD3602">
                              <w:rPr>
                                <w:rFonts w:ascii="Century Gothic" w:hAnsi="Century Gothic"/>
                                <w:sz w:val="20"/>
                                <w:szCs w:val="20"/>
                              </w:rPr>
                              <w:t>REPORTABLE: YES/NO</w:t>
                            </w:r>
                          </w:p>
                          <w:p w14:paraId="7C567102" w14:textId="57C86EDA" w:rsidR="00BD3602" w:rsidRDefault="00BE38D7" w:rsidP="00BE3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BD3602">
                              <w:rPr>
                                <w:rFonts w:ascii="Century Gothic" w:hAnsi="Century Gothic"/>
                                <w:sz w:val="20"/>
                                <w:szCs w:val="20"/>
                              </w:rPr>
                              <w:t>OF INTEREST TO OTHER JUDGES: YES/NO</w:t>
                            </w:r>
                          </w:p>
                          <w:p w14:paraId="1B3A4D6B" w14:textId="61C82F38" w:rsidR="00BD3602" w:rsidRDefault="00BE38D7" w:rsidP="00BE3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D3602">
                              <w:rPr>
                                <w:rFonts w:ascii="Century Gothic" w:hAnsi="Century Gothic"/>
                                <w:sz w:val="20"/>
                                <w:szCs w:val="20"/>
                              </w:rPr>
                              <w:t>REVISED: YES/NO</w:t>
                            </w:r>
                          </w:p>
                          <w:p w14:paraId="26B8C6BB" w14:textId="77777777" w:rsidR="00BD3602" w:rsidRDefault="00BD3602" w:rsidP="00BD3602">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9ACCB01" w14:textId="77777777" w:rsidR="00BD3602" w:rsidRDefault="00BD3602" w:rsidP="00BD3602">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14F49B64" w14:textId="77777777" w:rsidR="00BD3602" w:rsidRPr="00F36A7E" w:rsidRDefault="00BD3602" w:rsidP="00BD3602">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7BB2F" id="_x0000_t202" coordsize="21600,21600" o:spt="202" path="m,l,21600r21600,l21600,xe">
                <v:stroke joinstyle="miter"/>
                <v:path gradientshapeok="t" o:connecttype="rect"/>
              </v:shapetype>
              <v:shape id="Text Box 2" o:spid="_x0000_s1026" type="#_x0000_t202" style="position:absolute;left:0;text-align:left;margin-left:0;margin-top:.5pt;width:254.55pt;height:1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">
                <v:textbox>
                  <w:txbxContent>
                    <w:p w14:paraId="2D987700" w14:textId="77777777" w:rsidR="00BD3602" w:rsidRDefault="00BD3602" w:rsidP="00BD3602">
                      <w:pPr>
                        <w:jc w:val="center"/>
                        <w:rPr>
                          <w:rFonts w:ascii="Century Gothic" w:hAnsi="Century Gothic"/>
                          <w:b/>
                          <w:sz w:val="20"/>
                          <w:szCs w:val="20"/>
                        </w:rPr>
                      </w:pPr>
                    </w:p>
                    <w:p w14:paraId="4D1A12F7" w14:textId="3F519689" w:rsidR="00BD3602" w:rsidRDefault="00BE38D7" w:rsidP="00BE3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BD3602">
                        <w:rPr>
                          <w:rFonts w:ascii="Century Gothic" w:hAnsi="Century Gothic"/>
                          <w:sz w:val="20"/>
                          <w:szCs w:val="20"/>
                        </w:rPr>
                        <w:t>REPORTABLE: YES/NO</w:t>
                      </w:r>
                    </w:p>
                    <w:p w14:paraId="7C567102" w14:textId="57C86EDA" w:rsidR="00BD3602" w:rsidRDefault="00BE38D7" w:rsidP="00BE3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BD3602">
                        <w:rPr>
                          <w:rFonts w:ascii="Century Gothic" w:hAnsi="Century Gothic"/>
                          <w:sz w:val="20"/>
                          <w:szCs w:val="20"/>
                        </w:rPr>
                        <w:t>OF INTEREST TO OTHER JUDGES: YES/NO</w:t>
                      </w:r>
                    </w:p>
                    <w:p w14:paraId="1B3A4D6B" w14:textId="61C82F38" w:rsidR="00BD3602" w:rsidRDefault="00BE38D7" w:rsidP="00BE38D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D3602">
                        <w:rPr>
                          <w:rFonts w:ascii="Century Gothic" w:hAnsi="Century Gothic"/>
                          <w:sz w:val="20"/>
                          <w:szCs w:val="20"/>
                        </w:rPr>
                        <w:t>REVISED: YES/NO</w:t>
                      </w:r>
                    </w:p>
                    <w:p w14:paraId="26B8C6BB" w14:textId="77777777" w:rsidR="00BD3602" w:rsidRDefault="00BD3602" w:rsidP="00BD3602">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9ACCB01" w14:textId="77777777" w:rsidR="00BD3602" w:rsidRDefault="00BD3602" w:rsidP="00BD3602">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14F49B64" w14:textId="77777777" w:rsidR="00BD3602" w:rsidRPr="00F36A7E" w:rsidRDefault="00BD3602" w:rsidP="00BD3602">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14:paraId="447E3D37" w14:textId="77777777" w:rsidR="00BD3602" w:rsidRPr="001700E1" w:rsidRDefault="00BD3602" w:rsidP="00BD3602">
      <w:pPr>
        <w:spacing w:after="0" w:line="240" w:lineRule="auto"/>
        <w:ind w:left="661" w:hangingChars="236" w:hanging="661"/>
        <w:jc w:val="center"/>
        <w:rPr>
          <w:rFonts w:ascii="Verdana" w:eastAsia="Times New Roman" w:hAnsi="Verdana" w:cs="Arial"/>
          <w:sz w:val="28"/>
          <w:szCs w:val="28"/>
          <w:lang w:eastAsia="en-GB"/>
        </w:rPr>
      </w:pPr>
    </w:p>
    <w:p w14:paraId="39FF356E" w14:textId="77777777" w:rsidR="00BD3602" w:rsidRPr="001700E1" w:rsidRDefault="00BD3602" w:rsidP="00BD3602">
      <w:pPr>
        <w:spacing w:before="120" w:after="120" w:line="360" w:lineRule="auto"/>
        <w:jc w:val="center"/>
        <w:rPr>
          <w:rFonts w:ascii="Verdana" w:hAnsi="Verdana" w:cs="Arial"/>
          <w:sz w:val="24"/>
          <w:szCs w:val="24"/>
        </w:rPr>
      </w:pPr>
    </w:p>
    <w:p w14:paraId="0EB19D9F" w14:textId="77777777" w:rsidR="00BD3602" w:rsidRPr="001700E1" w:rsidRDefault="00BD3602" w:rsidP="00BD3602">
      <w:pPr>
        <w:tabs>
          <w:tab w:val="left" w:pos="4917"/>
        </w:tabs>
        <w:spacing w:before="120" w:after="120" w:line="360" w:lineRule="auto"/>
        <w:jc w:val="center"/>
        <w:rPr>
          <w:rFonts w:ascii="Verdana" w:hAnsi="Verdana" w:cs="Arial"/>
          <w:sz w:val="24"/>
          <w:szCs w:val="24"/>
        </w:rPr>
      </w:pPr>
    </w:p>
    <w:p w14:paraId="4EF89C60" w14:textId="77777777" w:rsidR="00BD3602" w:rsidRPr="001700E1" w:rsidRDefault="00BD3602" w:rsidP="00BD3602">
      <w:pPr>
        <w:tabs>
          <w:tab w:val="left" w:pos="4917"/>
        </w:tabs>
        <w:spacing w:before="120" w:after="120" w:line="360" w:lineRule="auto"/>
        <w:jc w:val="center"/>
        <w:rPr>
          <w:rFonts w:ascii="Verdana" w:hAnsi="Verdana" w:cs="Arial"/>
          <w:sz w:val="24"/>
          <w:szCs w:val="24"/>
        </w:rPr>
      </w:pPr>
    </w:p>
    <w:p w14:paraId="3293F0E2" w14:textId="77777777" w:rsidR="00BD3602" w:rsidRPr="00CB5B9E" w:rsidRDefault="00BD3602" w:rsidP="00BD3602">
      <w:pPr>
        <w:tabs>
          <w:tab w:val="left" w:pos="4917"/>
        </w:tabs>
        <w:spacing w:after="0" w:line="240" w:lineRule="auto"/>
        <w:jc w:val="both"/>
        <w:rPr>
          <w:rFonts w:ascii="Arial" w:hAnsi="Arial" w:cs="Arial"/>
          <w:sz w:val="24"/>
          <w:szCs w:val="24"/>
        </w:rPr>
      </w:pPr>
    </w:p>
    <w:p w14:paraId="708CD80E" w14:textId="77777777" w:rsidR="00BD3602" w:rsidRPr="00745C96" w:rsidRDefault="00BD3602" w:rsidP="00BD3602">
      <w:pPr>
        <w:tabs>
          <w:tab w:val="left" w:pos="4917"/>
        </w:tabs>
        <w:spacing w:before="120" w:after="120" w:line="360" w:lineRule="auto"/>
        <w:rPr>
          <w:rFonts w:ascii="Arial" w:hAnsi="Arial" w:cs="Arial"/>
          <w:sz w:val="24"/>
          <w:szCs w:val="24"/>
        </w:rPr>
      </w:pPr>
      <w:r w:rsidRPr="00745C96">
        <w:rPr>
          <w:rFonts w:ascii="Arial" w:hAnsi="Arial" w:cs="Arial"/>
          <w:sz w:val="24"/>
          <w:szCs w:val="24"/>
        </w:rPr>
        <w:t>In the matter between:</w:t>
      </w:r>
    </w:p>
    <w:p w14:paraId="664975A3" w14:textId="77777777" w:rsidR="00BD3602" w:rsidRPr="00745C96" w:rsidRDefault="00BD3602" w:rsidP="00BD3602">
      <w:pPr>
        <w:tabs>
          <w:tab w:val="left" w:pos="4917"/>
        </w:tabs>
        <w:spacing w:after="0" w:line="240" w:lineRule="auto"/>
        <w:rPr>
          <w:rFonts w:ascii="Arial" w:hAnsi="Arial" w:cs="Arial"/>
          <w:sz w:val="24"/>
          <w:szCs w:val="24"/>
        </w:rPr>
      </w:pPr>
    </w:p>
    <w:p w14:paraId="2B32E56D" w14:textId="77777777" w:rsidR="00BD3602" w:rsidRPr="006D5304" w:rsidRDefault="00790D8D" w:rsidP="006D5304">
      <w:pPr>
        <w:pStyle w:val="NoSpacing"/>
        <w:rPr>
          <w:rFonts w:ascii="Arial" w:hAnsi="Arial" w:cs="Arial"/>
          <w:sz w:val="24"/>
          <w:szCs w:val="24"/>
        </w:rPr>
      </w:pPr>
      <w:r w:rsidRPr="006D5304">
        <w:rPr>
          <w:rFonts w:ascii="Arial" w:hAnsi="Arial" w:cs="Arial"/>
          <w:b/>
          <w:sz w:val="24"/>
          <w:szCs w:val="24"/>
        </w:rPr>
        <w:t>AFRICAN CENTRE FOR BIODIVERSITY NPC</w:t>
      </w:r>
      <w:r w:rsidRPr="006D5304">
        <w:rPr>
          <w:rFonts w:ascii="Arial" w:hAnsi="Arial" w:cs="Arial"/>
          <w:b/>
          <w:sz w:val="24"/>
          <w:szCs w:val="24"/>
        </w:rPr>
        <w:tab/>
      </w:r>
      <w:r w:rsidRPr="006D5304">
        <w:rPr>
          <w:rFonts w:ascii="Arial" w:hAnsi="Arial" w:cs="Arial"/>
          <w:b/>
          <w:sz w:val="24"/>
          <w:szCs w:val="24"/>
        </w:rPr>
        <w:tab/>
      </w:r>
      <w:r w:rsidRPr="006D5304">
        <w:rPr>
          <w:rFonts w:ascii="Arial" w:hAnsi="Arial" w:cs="Arial"/>
          <w:sz w:val="24"/>
          <w:szCs w:val="24"/>
        </w:rPr>
        <w:t xml:space="preserve">                     </w:t>
      </w:r>
      <w:r w:rsidRPr="006D5304">
        <w:rPr>
          <w:rFonts w:ascii="Arial" w:hAnsi="Arial" w:cs="Arial"/>
          <w:sz w:val="24"/>
          <w:szCs w:val="24"/>
        </w:rPr>
        <w:tab/>
        <w:t xml:space="preserve">      Applicant</w:t>
      </w:r>
    </w:p>
    <w:p w14:paraId="5A986010" w14:textId="77777777" w:rsidR="006D5304" w:rsidRPr="006D5304" w:rsidRDefault="006D5304" w:rsidP="006D5304">
      <w:pPr>
        <w:pStyle w:val="NoSpacing"/>
        <w:rPr>
          <w:rFonts w:ascii="Arial" w:hAnsi="Arial" w:cs="Arial"/>
          <w:sz w:val="24"/>
          <w:szCs w:val="24"/>
        </w:rPr>
      </w:pPr>
      <w:r w:rsidRPr="006D5304">
        <w:rPr>
          <w:rFonts w:ascii="Arial" w:hAnsi="Arial" w:cs="Arial"/>
          <w:sz w:val="24"/>
          <w:szCs w:val="24"/>
        </w:rPr>
        <w:t>(NPO Registration no: 2004/025137/08)</w:t>
      </w:r>
    </w:p>
    <w:p w14:paraId="22AA1B02" w14:textId="77777777" w:rsidR="00BD3602" w:rsidRPr="00745C96" w:rsidRDefault="00BD3602" w:rsidP="00BD3602">
      <w:pPr>
        <w:tabs>
          <w:tab w:val="left" w:pos="3375"/>
          <w:tab w:val="left" w:pos="4917"/>
        </w:tabs>
        <w:spacing w:after="0" w:line="240" w:lineRule="auto"/>
        <w:jc w:val="both"/>
        <w:rPr>
          <w:rFonts w:ascii="Arial" w:hAnsi="Arial" w:cs="Arial"/>
          <w:sz w:val="24"/>
          <w:szCs w:val="24"/>
        </w:rPr>
      </w:pPr>
    </w:p>
    <w:p w14:paraId="72DAE35B" w14:textId="77777777" w:rsidR="00BD3602" w:rsidRPr="00745C96" w:rsidRDefault="00BD3602" w:rsidP="00BD3602">
      <w:pPr>
        <w:tabs>
          <w:tab w:val="left" w:pos="3375"/>
          <w:tab w:val="left" w:pos="4917"/>
        </w:tabs>
        <w:spacing w:after="0" w:line="240" w:lineRule="auto"/>
        <w:rPr>
          <w:rFonts w:ascii="Arial" w:hAnsi="Arial" w:cs="Arial"/>
          <w:b/>
          <w:sz w:val="24"/>
          <w:szCs w:val="24"/>
        </w:rPr>
      </w:pPr>
    </w:p>
    <w:p w14:paraId="52510CC6" w14:textId="77777777" w:rsidR="00BD3602" w:rsidRDefault="00BD3602" w:rsidP="00BD3602">
      <w:pPr>
        <w:tabs>
          <w:tab w:val="left" w:pos="4917"/>
        </w:tabs>
        <w:spacing w:before="120" w:after="120" w:line="360" w:lineRule="auto"/>
        <w:rPr>
          <w:rFonts w:ascii="Arial" w:hAnsi="Arial" w:cs="Arial"/>
          <w:b/>
          <w:sz w:val="24"/>
          <w:szCs w:val="24"/>
        </w:rPr>
      </w:pPr>
      <w:r w:rsidRPr="00745C96">
        <w:rPr>
          <w:rFonts w:ascii="Arial" w:hAnsi="Arial" w:cs="Arial"/>
          <w:b/>
          <w:sz w:val="24"/>
          <w:szCs w:val="24"/>
        </w:rPr>
        <w:t>And</w:t>
      </w:r>
    </w:p>
    <w:p w14:paraId="0A63E55E" w14:textId="77777777" w:rsidR="00BD3602" w:rsidRPr="00CB5B9E" w:rsidRDefault="00BD3602" w:rsidP="00BD3602">
      <w:pPr>
        <w:tabs>
          <w:tab w:val="left" w:pos="4917"/>
        </w:tabs>
        <w:spacing w:after="0" w:line="240" w:lineRule="auto"/>
        <w:jc w:val="both"/>
        <w:rPr>
          <w:rFonts w:ascii="Arial" w:hAnsi="Arial" w:cs="Arial"/>
          <w:sz w:val="24"/>
          <w:szCs w:val="24"/>
        </w:rPr>
      </w:pPr>
    </w:p>
    <w:p w14:paraId="35630E08" w14:textId="77777777" w:rsidR="006D5304" w:rsidRPr="00395713" w:rsidRDefault="006D5304" w:rsidP="00395713">
      <w:pPr>
        <w:pStyle w:val="NoSpacing"/>
        <w:rPr>
          <w:rFonts w:ascii="Arial" w:hAnsi="Arial" w:cs="Arial"/>
          <w:b/>
          <w:sz w:val="24"/>
          <w:szCs w:val="24"/>
        </w:rPr>
      </w:pPr>
      <w:r w:rsidRPr="00395713">
        <w:rPr>
          <w:rFonts w:ascii="Arial" w:hAnsi="Arial" w:cs="Arial"/>
          <w:b/>
          <w:sz w:val="24"/>
          <w:szCs w:val="24"/>
        </w:rPr>
        <w:t>MINISTER OF AGR</w:t>
      </w:r>
      <w:r w:rsidR="00395713" w:rsidRPr="00395713">
        <w:rPr>
          <w:rFonts w:ascii="Arial" w:hAnsi="Arial" w:cs="Arial"/>
          <w:b/>
          <w:sz w:val="24"/>
          <w:szCs w:val="24"/>
        </w:rPr>
        <w:t>I</w:t>
      </w:r>
      <w:r w:rsidRPr="00395713">
        <w:rPr>
          <w:rFonts w:ascii="Arial" w:hAnsi="Arial" w:cs="Arial"/>
          <w:b/>
          <w:sz w:val="24"/>
          <w:szCs w:val="24"/>
        </w:rPr>
        <w:t xml:space="preserve">CULTURE, FORESTY </w:t>
      </w:r>
    </w:p>
    <w:p w14:paraId="341E1C4D" w14:textId="77777777" w:rsidR="00BD3602" w:rsidRDefault="006D5304" w:rsidP="00395713">
      <w:pPr>
        <w:pStyle w:val="NoSpacing"/>
        <w:rPr>
          <w:rFonts w:ascii="Arial" w:hAnsi="Arial" w:cs="Arial"/>
          <w:sz w:val="24"/>
          <w:szCs w:val="24"/>
        </w:rPr>
      </w:pPr>
      <w:r w:rsidRPr="00395713">
        <w:rPr>
          <w:rFonts w:ascii="Arial" w:hAnsi="Arial" w:cs="Arial"/>
          <w:b/>
          <w:sz w:val="24"/>
          <w:szCs w:val="24"/>
        </w:rPr>
        <w:t>AND FISHERIES</w:t>
      </w:r>
      <w:r w:rsidR="00BD3602" w:rsidRPr="00745C96">
        <w:tab/>
      </w:r>
      <w:r w:rsidR="00BD3602" w:rsidRPr="00745C96">
        <w:tab/>
      </w:r>
      <w:r w:rsidR="00BD3602" w:rsidRPr="00745C96">
        <w:tab/>
      </w:r>
      <w:r w:rsidR="00395713">
        <w:tab/>
      </w:r>
      <w:r w:rsidR="00395713">
        <w:tab/>
      </w:r>
      <w:r w:rsidR="00395713">
        <w:tab/>
        <w:t xml:space="preserve">                     </w:t>
      </w:r>
      <w:r w:rsidR="00AE3734">
        <w:t xml:space="preserve">       </w:t>
      </w:r>
      <w:r w:rsidR="00395713" w:rsidRPr="00395713">
        <w:rPr>
          <w:rFonts w:ascii="Arial" w:hAnsi="Arial" w:cs="Arial"/>
          <w:sz w:val="24"/>
          <w:szCs w:val="24"/>
        </w:rPr>
        <w:tab/>
      </w:r>
      <w:r w:rsidR="00395713">
        <w:rPr>
          <w:rFonts w:ascii="Arial" w:hAnsi="Arial" w:cs="Arial"/>
          <w:sz w:val="24"/>
          <w:szCs w:val="24"/>
        </w:rPr>
        <w:t xml:space="preserve">    </w:t>
      </w:r>
      <w:r w:rsidR="00395713" w:rsidRPr="00395713">
        <w:rPr>
          <w:rFonts w:ascii="Arial" w:hAnsi="Arial" w:cs="Arial"/>
          <w:sz w:val="24"/>
          <w:szCs w:val="24"/>
        </w:rPr>
        <w:t>First</w:t>
      </w:r>
      <w:r w:rsidRPr="00395713">
        <w:rPr>
          <w:rFonts w:ascii="Arial" w:hAnsi="Arial" w:cs="Arial"/>
          <w:sz w:val="24"/>
          <w:szCs w:val="24"/>
        </w:rPr>
        <w:t xml:space="preserve"> </w:t>
      </w:r>
      <w:r w:rsidR="00BD3602" w:rsidRPr="00395713">
        <w:rPr>
          <w:rFonts w:ascii="Arial" w:hAnsi="Arial" w:cs="Arial"/>
          <w:sz w:val="24"/>
          <w:szCs w:val="24"/>
        </w:rPr>
        <w:t>Respondent</w:t>
      </w:r>
    </w:p>
    <w:p w14:paraId="0230962F" w14:textId="77777777" w:rsidR="00395713" w:rsidRDefault="00395713" w:rsidP="00395713">
      <w:pPr>
        <w:pStyle w:val="NoSpacing"/>
        <w:rPr>
          <w:rFonts w:ascii="Arial" w:hAnsi="Arial" w:cs="Arial"/>
          <w:sz w:val="24"/>
          <w:szCs w:val="24"/>
        </w:rPr>
      </w:pPr>
    </w:p>
    <w:p w14:paraId="1CFE453E" w14:textId="77777777" w:rsidR="00395713" w:rsidRPr="00040681" w:rsidRDefault="00040681" w:rsidP="00395713">
      <w:pPr>
        <w:pStyle w:val="NoSpacing"/>
        <w:rPr>
          <w:rFonts w:ascii="Arial" w:hAnsi="Arial" w:cs="Arial"/>
          <w:b/>
          <w:sz w:val="24"/>
          <w:szCs w:val="24"/>
        </w:rPr>
      </w:pPr>
      <w:r>
        <w:rPr>
          <w:rFonts w:ascii="Arial" w:hAnsi="Arial" w:cs="Arial"/>
          <w:b/>
          <w:sz w:val="24"/>
          <w:szCs w:val="24"/>
        </w:rPr>
        <w:t>DIRECTOR-</w:t>
      </w:r>
      <w:r w:rsidR="00395713" w:rsidRPr="00040681">
        <w:rPr>
          <w:rFonts w:ascii="Arial" w:hAnsi="Arial" w:cs="Arial"/>
          <w:b/>
          <w:sz w:val="24"/>
          <w:szCs w:val="24"/>
        </w:rPr>
        <w:t>GENERAL</w:t>
      </w:r>
      <w:r w:rsidRPr="00040681">
        <w:rPr>
          <w:rFonts w:ascii="Arial" w:hAnsi="Arial" w:cs="Arial"/>
          <w:b/>
          <w:sz w:val="24"/>
          <w:szCs w:val="24"/>
        </w:rPr>
        <w:t>: DEPARTMENT OF</w:t>
      </w:r>
    </w:p>
    <w:p w14:paraId="61B32FE5" w14:textId="77777777" w:rsidR="00040681" w:rsidRDefault="00040681" w:rsidP="00395713">
      <w:pPr>
        <w:pStyle w:val="NoSpacing"/>
        <w:rPr>
          <w:rFonts w:ascii="Arial" w:hAnsi="Arial" w:cs="Arial"/>
          <w:sz w:val="24"/>
          <w:szCs w:val="24"/>
        </w:rPr>
      </w:pPr>
      <w:r w:rsidRPr="00040681">
        <w:rPr>
          <w:rFonts w:ascii="Arial" w:hAnsi="Arial" w:cs="Arial"/>
          <w:b/>
          <w:sz w:val="24"/>
          <w:szCs w:val="24"/>
        </w:rPr>
        <w:t xml:space="preserve">AGRICULTURE, FORESTRY AND FISHERIES               </w:t>
      </w:r>
      <w:r>
        <w:rPr>
          <w:rFonts w:ascii="Arial" w:hAnsi="Arial" w:cs="Arial"/>
          <w:b/>
          <w:sz w:val="24"/>
          <w:szCs w:val="24"/>
        </w:rPr>
        <w:t xml:space="preserve">             </w:t>
      </w:r>
      <w:r w:rsidR="00AE3734">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Second Respondent</w:t>
      </w:r>
    </w:p>
    <w:p w14:paraId="324142E7" w14:textId="77777777" w:rsidR="00040681" w:rsidRDefault="00040681" w:rsidP="00395713">
      <w:pPr>
        <w:pStyle w:val="NoSpacing"/>
        <w:rPr>
          <w:rFonts w:ascii="Arial" w:hAnsi="Arial" w:cs="Arial"/>
          <w:sz w:val="24"/>
          <w:szCs w:val="24"/>
        </w:rPr>
      </w:pPr>
    </w:p>
    <w:p w14:paraId="0CB0622D" w14:textId="77777777" w:rsidR="00AE3734" w:rsidRPr="00416DFA" w:rsidRDefault="00AE3734" w:rsidP="00395713">
      <w:pPr>
        <w:pStyle w:val="NoSpacing"/>
        <w:rPr>
          <w:rFonts w:ascii="Arial" w:hAnsi="Arial" w:cs="Arial"/>
          <w:b/>
          <w:sz w:val="24"/>
          <w:szCs w:val="24"/>
        </w:rPr>
      </w:pPr>
      <w:r w:rsidRPr="00416DFA">
        <w:rPr>
          <w:rFonts w:ascii="Arial" w:hAnsi="Arial" w:cs="Arial"/>
          <w:b/>
          <w:sz w:val="24"/>
          <w:szCs w:val="24"/>
        </w:rPr>
        <w:t>APPEAL BOARD: GENETICALLY MODIFIED</w:t>
      </w:r>
    </w:p>
    <w:p w14:paraId="65B30C0C" w14:textId="77777777" w:rsidR="00416DFA" w:rsidRDefault="00AE3734" w:rsidP="00395713">
      <w:pPr>
        <w:pStyle w:val="NoSpacing"/>
        <w:rPr>
          <w:rFonts w:ascii="Arial" w:hAnsi="Arial" w:cs="Arial"/>
          <w:b/>
          <w:sz w:val="24"/>
          <w:szCs w:val="24"/>
        </w:rPr>
      </w:pPr>
      <w:r w:rsidRPr="00416DFA">
        <w:rPr>
          <w:rFonts w:ascii="Arial" w:hAnsi="Arial" w:cs="Arial"/>
          <w:b/>
          <w:sz w:val="24"/>
          <w:szCs w:val="24"/>
        </w:rPr>
        <w:t xml:space="preserve">ORGANISMS                                                                                        </w:t>
      </w:r>
      <w:r w:rsidR="00416DFA">
        <w:rPr>
          <w:rFonts w:ascii="Arial" w:hAnsi="Arial" w:cs="Arial"/>
          <w:b/>
          <w:sz w:val="24"/>
          <w:szCs w:val="24"/>
        </w:rPr>
        <w:t xml:space="preserve"> </w:t>
      </w:r>
      <w:r w:rsidRPr="00416DFA">
        <w:rPr>
          <w:rFonts w:ascii="Arial" w:hAnsi="Arial" w:cs="Arial"/>
          <w:b/>
          <w:sz w:val="24"/>
          <w:szCs w:val="24"/>
        </w:rPr>
        <w:t xml:space="preserve"> </w:t>
      </w:r>
      <w:r>
        <w:rPr>
          <w:rFonts w:ascii="Arial" w:hAnsi="Arial" w:cs="Arial"/>
          <w:sz w:val="24"/>
          <w:szCs w:val="24"/>
        </w:rPr>
        <w:t>Third Respondent</w:t>
      </w:r>
      <w:r w:rsidR="00040681" w:rsidRPr="00040681">
        <w:rPr>
          <w:rFonts w:ascii="Arial" w:hAnsi="Arial" w:cs="Arial"/>
          <w:b/>
          <w:sz w:val="24"/>
          <w:szCs w:val="24"/>
        </w:rPr>
        <w:t xml:space="preserve">   </w:t>
      </w:r>
    </w:p>
    <w:p w14:paraId="20E20EF0" w14:textId="77777777" w:rsidR="00040681" w:rsidRPr="00416DFA" w:rsidRDefault="00040681" w:rsidP="00395713">
      <w:pPr>
        <w:pStyle w:val="NoSpacing"/>
        <w:rPr>
          <w:rFonts w:ascii="Arial" w:hAnsi="Arial" w:cs="Arial"/>
          <w:sz w:val="24"/>
          <w:szCs w:val="24"/>
        </w:rPr>
      </w:pPr>
      <w:r w:rsidRPr="00040681">
        <w:rPr>
          <w:rFonts w:ascii="Arial" w:hAnsi="Arial" w:cs="Arial"/>
          <w:b/>
          <w:sz w:val="24"/>
          <w:szCs w:val="24"/>
        </w:rPr>
        <w:t xml:space="preserve">           </w:t>
      </w:r>
    </w:p>
    <w:p w14:paraId="1B63DA37" w14:textId="77777777" w:rsidR="00416DFA" w:rsidRPr="00416DFA" w:rsidRDefault="00416DFA" w:rsidP="00416DFA">
      <w:pPr>
        <w:pStyle w:val="NoSpacing"/>
        <w:rPr>
          <w:rFonts w:ascii="Arial" w:hAnsi="Arial" w:cs="Arial"/>
          <w:b/>
          <w:sz w:val="24"/>
          <w:szCs w:val="24"/>
        </w:rPr>
      </w:pPr>
      <w:r w:rsidRPr="00416DFA">
        <w:rPr>
          <w:rFonts w:ascii="Arial" w:hAnsi="Arial" w:cs="Arial"/>
          <w:b/>
          <w:sz w:val="24"/>
          <w:szCs w:val="24"/>
        </w:rPr>
        <w:t xml:space="preserve">EXECUTIVE COUNCIL FOR GENETICALLY </w:t>
      </w:r>
    </w:p>
    <w:p w14:paraId="60B73F54" w14:textId="77777777" w:rsidR="00416DFA" w:rsidRDefault="00416DFA" w:rsidP="00416DFA">
      <w:pPr>
        <w:pStyle w:val="NoSpacing"/>
        <w:rPr>
          <w:rFonts w:ascii="Arial" w:hAnsi="Arial" w:cs="Arial"/>
          <w:sz w:val="24"/>
          <w:szCs w:val="24"/>
        </w:rPr>
      </w:pPr>
      <w:r w:rsidRPr="00416DFA">
        <w:rPr>
          <w:rFonts w:ascii="Arial" w:hAnsi="Arial" w:cs="Arial"/>
          <w:b/>
          <w:sz w:val="24"/>
          <w:szCs w:val="24"/>
        </w:rPr>
        <w:t>MODIFIED ORGANISMS</w:t>
      </w:r>
      <w:r>
        <w:rPr>
          <w:rFonts w:ascii="Arial" w:hAnsi="Arial" w:cs="Arial"/>
          <w:b/>
          <w:sz w:val="24"/>
          <w:szCs w:val="24"/>
        </w:rPr>
        <w:t xml:space="preserve">                                                                      </w:t>
      </w:r>
      <w:r>
        <w:rPr>
          <w:rFonts w:ascii="Arial" w:hAnsi="Arial" w:cs="Arial"/>
          <w:sz w:val="24"/>
          <w:szCs w:val="24"/>
        </w:rPr>
        <w:t>Fourth Respondent</w:t>
      </w:r>
    </w:p>
    <w:p w14:paraId="71056110" w14:textId="77777777" w:rsidR="00416DFA" w:rsidRDefault="00416DFA" w:rsidP="00416DFA">
      <w:pPr>
        <w:pStyle w:val="NoSpacing"/>
        <w:rPr>
          <w:rFonts w:ascii="Arial" w:hAnsi="Arial" w:cs="Arial"/>
          <w:sz w:val="24"/>
          <w:szCs w:val="24"/>
        </w:rPr>
      </w:pPr>
    </w:p>
    <w:p w14:paraId="7669A410" w14:textId="77777777" w:rsidR="00416DFA" w:rsidRDefault="00416DFA" w:rsidP="00416DFA">
      <w:pPr>
        <w:pStyle w:val="NoSpacing"/>
        <w:rPr>
          <w:rFonts w:ascii="Arial" w:hAnsi="Arial" w:cs="Arial"/>
          <w:b/>
          <w:sz w:val="24"/>
          <w:szCs w:val="24"/>
        </w:rPr>
      </w:pPr>
      <w:r w:rsidRPr="00416DFA">
        <w:rPr>
          <w:rFonts w:ascii="Arial" w:hAnsi="Arial" w:cs="Arial"/>
          <w:b/>
          <w:sz w:val="24"/>
          <w:szCs w:val="24"/>
        </w:rPr>
        <w:t xml:space="preserve">MONSANTO SOUTH AFRICA (PTY) LTD </w:t>
      </w:r>
      <w:r w:rsidR="00EA4E8E">
        <w:rPr>
          <w:rFonts w:ascii="Arial" w:hAnsi="Arial" w:cs="Arial"/>
          <w:b/>
          <w:sz w:val="24"/>
          <w:szCs w:val="24"/>
        </w:rPr>
        <w:t xml:space="preserve">                                             </w:t>
      </w:r>
    </w:p>
    <w:p w14:paraId="4DC7E064" w14:textId="77777777" w:rsidR="00416DFA" w:rsidRPr="00416DFA" w:rsidRDefault="00416DFA" w:rsidP="00416DFA">
      <w:pPr>
        <w:pStyle w:val="NoSpacing"/>
        <w:rPr>
          <w:rFonts w:ascii="Arial" w:hAnsi="Arial" w:cs="Arial"/>
          <w:sz w:val="24"/>
          <w:szCs w:val="24"/>
        </w:rPr>
      </w:pPr>
      <w:r>
        <w:rPr>
          <w:rFonts w:ascii="Arial" w:hAnsi="Arial" w:cs="Arial"/>
          <w:sz w:val="24"/>
          <w:szCs w:val="24"/>
        </w:rPr>
        <w:t>(Registration no: 1968/0014</w:t>
      </w:r>
      <w:r w:rsidR="00EA4E8E">
        <w:rPr>
          <w:rFonts w:ascii="Arial" w:hAnsi="Arial" w:cs="Arial"/>
          <w:sz w:val="24"/>
          <w:szCs w:val="24"/>
        </w:rPr>
        <w:t>85/08</w:t>
      </w:r>
      <w:r>
        <w:rPr>
          <w:rFonts w:ascii="Arial" w:hAnsi="Arial" w:cs="Arial"/>
          <w:sz w:val="24"/>
          <w:szCs w:val="24"/>
        </w:rPr>
        <w:t>)</w:t>
      </w:r>
      <w:r w:rsidR="00EA4E8E">
        <w:rPr>
          <w:rFonts w:ascii="Arial" w:hAnsi="Arial" w:cs="Arial"/>
          <w:sz w:val="24"/>
          <w:szCs w:val="24"/>
        </w:rPr>
        <w:t xml:space="preserve">                                                           </w:t>
      </w:r>
      <w:r w:rsidR="00EA4E8E" w:rsidRPr="00EA4E8E">
        <w:rPr>
          <w:rFonts w:ascii="Arial" w:hAnsi="Arial" w:cs="Arial"/>
          <w:sz w:val="24"/>
          <w:szCs w:val="24"/>
        </w:rPr>
        <w:t>Fifth Respondent</w:t>
      </w:r>
      <w:r w:rsidR="00EA4E8E">
        <w:rPr>
          <w:rFonts w:ascii="Arial" w:hAnsi="Arial" w:cs="Arial"/>
          <w:b/>
          <w:sz w:val="24"/>
          <w:szCs w:val="24"/>
        </w:rPr>
        <w:t xml:space="preserve">                    </w:t>
      </w:r>
    </w:p>
    <w:p w14:paraId="07F8296F" w14:textId="77777777" w:rsidR="00BD3602" w:rsidRPr="00790D8D" w:rsidRDefault="00BD3602" w:rsidP="00BD3602">
      <w:pPr>
        <w:spacing w:after="0" w:line="240" w:lineRule="auto"/>
        <w:jc w:val="both"/>
        <w:rPr>
          <w:rFonts w:ascii="Arial" w:hAnsi="Arial" w:cs="Arial"/>
          <w:b/>
          <w:sz w:val="24"/>
          <w:szCs w:val="24"/>
        </w:rPr>
      </w:pPr>
    </w:p>
    <w:p w14:paraId="565A3747" w14:textId="77777777" w:rsidR="00652C45" w:rsidRPr="00D14925" w:rsidRDefault="00652C45" w:rsidP="00652C45">
      <w:pPr>
        <w:pBdr>
          <w:top w:val="single" w:sz="12" w:space="1" w:color="auto"/>
          <w:bottom w:val="single" w:sz="12" w:space="23" w:color="auto"/>
        </w:pBdr>
        <w:tabs>
          <w:tab w:val="left" w:pos="4917"/>
        </w:tabs>
        <w:spacing w:before="120" w:after="120" w:line="240" w:lineRule="auto"/>
        <w:contextualSpacing/>
        <w:jc w:val="center"/>
        <w:rPr>
          <w:rFonts w:ascii="Arial" w:hAnsi="Arial" w:cs="Arial"/>
          <w:bCs/>
          <w:sz w:val="24"/>
          <w:szCs w:val="24"/>
        </w:rPr>
      </w:pPr>
    </w:p>
    <w:p w14:paraId="5E078239" w14:textId="77777777" w:rsidR="00652C45" w:rsidRDefault="00652C45" w:rsidP="00652C45">
      <w:pPr>
        <w:pBdr>
          <w:top w:val="single" w:sz="12" w:space="1" w:color="auto"/>
          <w:bottom w:val="single" w:sz="12" w:space="23" w:color="auto"/>
        </w:pBdr>
        <w:tabs>
          <w:tab w:val="left" w:pos="4917"/>
        </w:tabs>
        <w:spacing w:before="120" w:after="120" w:line="240" w:lineRule="auto"/>
        <w:contextualSpacing/>
        <w:jc w:val="center"/>
        <w:rPr>
          <w:rFonts w:ascii="Arial" w:hAnsi="Arial" w:cs="Arial"/>
          <w:b/>
          <w:bCs/>
          <w:sz w:val="24"/>
          <w:szCs w:val="24"/>
        </w:rPr>
      </w:pPr>
    </w:p>
    <w:p w14:paraId="611B9FF8" w14:textId="77777777" w:rsidR="00BD3602" w:rsidRPr="00652C45" w:rsidRDefault="00652C45" w:rsidP="00652C45">
      <w:pPr>
        <w:pBdr>
          <w:top w:val="single" w:sz="12" w:space="1" w:color="auto"/>
          <w:bottom w:val="single" w:sz="12" w:space="23" w:color="auto"/>
        </w:pBdr>
        <w:tabs>
          <w:tab w:val="left" w:pos="4917"/>
        </w:tabs>
        <w:spacing w:before="120" w:after="120" w:line="240" w:lineRule="auto"/>
        <w:contextualSpacing/>
        <w:jc w:val="center"/>
        <w:rPr>
          <w:rFonts w:ascii="Arial" w:hAnsi="Arial" w:cs="Arial"/>
          <w:b/>
          <w:bCs/>
          <w:sz w:val="24"/>
          <w:szCs w:val="24"/>
        </w:rPr>
      </w:pPr>
      <w:r w:rsidRPr="00652C45">
        <w:rPr>
          <w:rFonts w:ascii="Arial" w:hAnsi="Arial" w:cs="Arial"/>
          <w:b/>
          <w:bCs/>
          <w:sz w:val="24"/>
          <w:szCs w:val="24"/>
        </w:rPr>
        <w:t>JUDGMENT</w:t>
      </w:r>
    </w:p>
    <w:p w14:paraId="7BD4D012" w14:textId="77777777" w:rsidR="00BD3602" w:rsidRPr="00745C96" w:rsidRDefault="00BD3602" w:rsidP="00BD3602">
      <w:pPr>
        <w:pStyle w:val="Heading1"/>
      </w:pPr>
      <w:r w:rsidRPr="00745C96">
        <w:t xml:space="preserve"> </w:t>
      </w:r>
      <w:r w:rsidR="00EA4E8E">
        <w:t>Tolmay J</w:t>
      </w:r>
    </w:p>
    <w:p w14:paraId="2E3F40B8" w14:textId="77777777" w:rsidR="00BD3602" w:rsidRDefault="00BD3602" w:rsidP="00BD3602">
      <w:pPr>
        <w:spacing w:line="360" w:lineRule="auto"/>
        <w:jc w:val="center"/>
        <w:rPr>
          <w:rFonts w:ascii="Arial" w:hAnsi="Arial" w:cs="Arial"/>
          <w:sz w:val="24"/>
          <w:szCs w:val="24"/>
          <w:u w:val="single"/>
        </w:rPr>
      </w:pPr>
    </w:p>
    <w:p w14:paraId="4BA2A830" w14:textId="77777777" w:rsidR="007677F7" w:rsidRPr="00BD3602" w:rsidRDefault="00BD3602" w:rsidP="00E23109">
      <w:pPr>
        <w:spacing w:line="360" w:lineRule="auto"/>
        <w:jc w:val="both"/>
        <w:rPr>
          <w:rFonts w:ascii="Arial" w:hAnsi="Arial" w:cs="Arial"/>
          <w:sz w:val="24"/>
          <w:szCs w:val="24"/>
          <w:u w:val="single"/>
        </w:rPr>
      </w:pPr>
      <w:r w:rsidRPr="00BD3602">
        <w:rPr>
          <w:rFonts w:ascii="Arial" w:hAnsi="Arial" w:cs="Arial"/>
          <w:sz w:val="24"/>
          <w:szCs w:val="24"/>
          <w:u w:val="single"/>
        </w:rPr>
        <w:t>Introduction</w:t>
      </w:r>
    </w:p>
    <w:p w14:paraId="3A1B0F02" w14:textId="7EA6D862" w:rsidR="007677F7"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1</w:t>
      </w:r>
      <w:bookmarkStart w:id="0" w:name="_GoBack"/>
      <w:bookmarkEnd w:id="0"/>
      <w:r>
        <w:rPr>
          <w:rFonts w:ascii="Arial" w:hAnsi="Arial" w:cs="Arial"/>
          <w:color w:val="000000" w:themeColor="text1"/>
          <w:sz w:val="24"/>
          <w:szCs w:val="24"/>
        </w:rPr>
        <w:t>.</w:t>
      </w:r>
      <w:r>
        <w:rPr>
          <w:rFonts w:ascii="Arial" w:hAnsi="Arial" w:cs="Arial"/>
          <w:color w:val="000000" w:themeColor="text1"/>
          <w:sz w:val="24"/>
          <w:szCs w:val="24"/>
        </w:rPr>
        <w:tab/>
      </w:r>
      <w:r w:rsidR="007677F7" w:rsidRPr="00BE38D7">
        <w:rPr>
          <w:rFonts w:ascii="Arial" w:hAnsi="Arial" w:cs="Arial"/>
          <w:sz w:val="24"/>
          <w:szCs w:val="24"/>
        </w:rPr>
        <w:t>This is</w:t>
      </w:r>
      <w:r w:rsidR="004B0AA5" w:rsidRPr="00BE38D7">
        <w:rPr>
          <w:rFonts w:ascii="Arial" w:hAnsi="Arial" w:cs="Arial"/>
          <w:sz w:val="24"/>
          <w:szCs w:val="24"/>
        </w:rPr>
        <w:t xml:space="preserve"> </w:t>
      </w:r>
      <w:r w:rsidR="007677F7" w:rsidRPr="00BE38D7">
        <w:rPr>
          <w:rFonts w:ascii="Arial" w:hAnsi="Arial" w:cs="Arial"/>
          <w:sz w:val="24"/>
          <w:szCs w:val="24"/>
        </w:rPr>
        <w:t>an application to review and set aside the approval of the general release</w:t>
      </w:r>
      <w:r w:rsidR="00706959" w:rsidRPr="00BE38D7">
        <w:rPr>
          <w:rFonts w:ascii="Arial" w:hAnsi="Arial" w:cs="Arial"/>
          <w:sz w:val="24"/>
          <w:szCs w:val="24"/>
        </w:rPr>
        <w:t xml:space="preserve"> of MON 87460, a genetically modified</w:t>
      </w:r>
      <w:r w:rsidR="009B7008" w:rsidRPr="00BE38D7">
        <w:rPr>
          <w:rFonts w:ascii="Arial" w:hAnsi="Arial" w:cs="Arial"/>
          <w:sz w:val="24"/>
          <w:szCs w:val="24"/>
        </w:rPr>
        <w:t xml:space="preserve"> variety of maize. The applica</w:t>
      </w:r>
      <w:r w:rsidR="00C97ED4" w:rsidRPr="00BE38D7">
        <w:rPr>
          <w:rFonts w:ascii="Arial" w:hAnsi="Arial" w:cs="Arial"/>
          <w:sz w:val="24"/>
          <w:szCs w:val="24"/>
        </w:rPr>
        <w:t>nt</w:t>
      </w:r>
      <w:r w:rsidR="009B7008" w:rsidRPr="00BE38D7">
        <w:rPr>
          <w:rFonts w:ascii="Arial" w:hAnsi="Arial" w:cs="Arial"/>
          <w:sz w:val="24"/>
          <w:szCs w:val="24"/>
        </w:rPr>
        <w:t xml:space="preserve"> (ACB) brings t</w:t>
      </w:r>
      <w:r w:rsidR="00BC2651" w:rsidRPr="00BE38D7">
        <w:rPr>
          <w:rFonts w:ascii="Arial" w:hAnsi="Arial" w:cs="Arial"/>
          <w:sz w:val="24"/>
          <w:szCs w:val="24"/>
        </w:rPr>
        <w:t>h</w:t>
      </w:r>
      <w:r w:rsidR="009B7008" w:rsidRPr="00BE38D7">
        <w:rPr>
          <w:rFonts w:ascii="Arial" w:hAnsi="Arial" w:cs="Arial"/>
          <w:sz w:val="24"/>
          <w:szCs w:val="24"/>
        </w:rPr>
        <w:t xml:space="preserve">is application </w:t>
      </w:r>
      <w:r w:rsidR="00BC2651" w:rsidRPr="00BE38D7">
        <w:rPr>
          <w:rFonts w:ascii="Arial" w:hAnsi="Arial" w:cs="Arial"/>
          <w:sz w:val="24"/>
          <w:szCs w:val="24"/>
        </w:rPr>
        <w:t xml:space="preserve">for the review and setting aside of  three decisions </w:t>
      </w:r>
      <w:r w:rsidR="001E725F" w:rsidRPr="00BE38D7">
        <w:rPr>
          <w:rFonts w:ascii="Arial" w:hAnsi="Arial" w:cs="Arial"/>
          <w:sz w:val="24"/>
          <w:szCs w:val="24"/>
        </w:rPr>
        <w:t>(the impugned decisions), namely the approval by the fourth respondent (EC) given during</w:t>
      </w:r>
      <w:r w:rsidR="006D76A0" w:rsidRPr="00BE38D7">
        <w:rPr>
          <w:rFonts w:ascii="Arial" w:hAnsi="Arial" w:cs="Arial"/>
          <w:sz w:val="24"/>
          <w:szCs w:val="24"/>
        </w:rPr>
        <w:t xml:space="preserve"> </w:t>
      </w:r>
      <w:r w:rsidR="00712E95" w:rsidRPr="00BE38D7">
        <w:rPr>
          <w:rFonts w:ascii="Arial" w:hAnsi="Arial" w:cs="Arial"/>
          <w:sz w:val="24"/>
          <w:szCs w:val="24"/>
        </w:rPr>
        <w:t>June 20</w:t>
      </w:r>
      <w:r w:rsidR="00077B5B" w:rsidRPr="00BE38D7">
        <w:rPr>
          <w:rFonts w:ascii="Arial" w:hAnsi="Arial" w:cs="Arial"/>
          <w:sz w:val="24"/>
          <w:szCs w:val="24"/>
        </w:rPr>
        <w:t>1</w:t>
      </w:r>
      <w:r w:rsidR="00712E95" w:rsidRPr="00BE38D7">
        <w:rPr>
          <w:rFonts w:ascii="Arial" w:hAnsi="Arial" w:cs="Arial"/>
          <w:sz w:val="24"/>
          <w:szCs w:val="24"/>
        </w:rPr>
        <w:t>5 for the general release of MO</w:t>
      </w:r>
      <w:r w:rsidR="00077B5B" w:rsidRPr="00BE38D7">
        <w:rPr>
          <w:rFonts w:ascii="Arial" w:hAnsi="Arial" w:cs="Arial"/>
          <w:sz w:val="24"/>
          <w:szCs w:val="24"/>
        </w:rPr>
        <w:t>N</w:t>
      </w:r>
      <w:r w:rsidR="00712E95" w:rsidRPr="00BE38D7">
        <w:rPr>
          <w:rFonts w:ascii="Arial" w:hAnsi="Arial" w:cs="Arial"/>
          <w:sz w:val="24"/>
          <w:szCs w:val="24"/>
        </w:rPr>
        <w:t xml:space="preserve"> 87460 (the EC decision)</w:t>
      </w:r>
      <w:r w:rsidR="003A1B76" w:rsidRPr="00BE38D7">
        <w:rPr>
          <w:rFonts w:ascii="Arial" w:hAnsi="Arial" w:cs="Arial"/>
          <w:sz w:val="24"/>
          <w:szCs w:val="24"/>
        </w:rPr>
        <w:t xml:space="preserve"> , the dismissal of the thir</w:t>
      </w:r>
      <w:r w:rsidR="00712E95" w:rsidRPr="00BE38D7">
        <w:rPr>
          <w:rFonts w:ascii="Arial" w:hAnsi="Arial" w:cs="Arial"/>
          <w:sz w:val="24"/>
          <w:szCs w:val="24"/>
        </w:rPr>
        <w:t>d respondent (</w:t>
      </w:r>
      <w:r w:rsidR="00077B5B" w:rsidRPr="00BE38D7">
        <w:rPr>
          <w:rFonts w:ascii="Arial" w:hAnsi="Arial" w:cs="Arial"/>
          <w:sz w:val="24"/>
          <w:szCs w:val="24"/>
        </w:rPr>
        <w:t>t</w:t>
      </w:r>
      <w:r w:rsidR="00712E95" w:rsidRPr="00BE38D7">
        <w:rPr>
          <w:rFonts w:ascii="Arial" w:hAnsi="Arial" w:cs="Arial"/>
          <w:sz w:val="24"/>
          <w:szCs w:val="24"/>
        </w:rPr>
        <w:t xml:space="preserve">he </w:t>
      </w:r>
      <w:r w:rsidR="00077B5B" w:rsidRPr="00BE38D7">
        <w:rPr>
          <w:rFonts w:ascii="Arial" w:hAnsi="Arial" w:cs="Arial"/>
          <w:sz w:val="24"/>
          <w:szCs w:val="24"/>
        </w:rPr>
        <w:t>A</w:t>
      </w:r>
      <w:r w:rsidR="00712E95" w:rsidRPr="00BE38D7">
        <w:rPr>
          <w:rFonts w:ascii="Arial" w:hAnsi="Arial" w:cs="Arial"/>
          <w:sz w:val="24"/>
          <w:szCs w:val="24"/>
        </w:rPr>
        <w:t xml:space="preserve">ppeal </w:t>
      </w:r>
      <w:r w:rsidR="00077B5B" w:rsidRPr="00BE38D7">
        <w:rPr>
          <w:rFonts w:ascii="Arial" w:hAnsi="Arial" w:cs="Arial"/>
          <w:sz w:val="24"/>
          <w:szCs w:val="24"/>
        </w:rPr>
        <w:t>B</w:t>
      </w:r>
      <w:r w:rsidR="00712E95" w:rsidRPr="00BE38D7">
        <w:rPr>
          <w:rFonts w:ascii="Arial" w:hAnsi="Arial" w:cs="Arial"/>
          <w:sz w:val="24"/>
          <w:szCs w:val="24"/>
        </w:rPr>
        <w:t xml:space="preserve">oard) </w:t>
      </w:r>
      <w:r w:rsidR="003A1B76" w:rsidRPr="00BE38D7">
        <w:rPr>
          <w:rFonts w:ascii="Arial" w:hAnsi="Arial" w:cs="Arial"/>
          <w:sz w:val="24"/>
          <w:szCs w:val="24"/>
        </w:rPr>
        <w:t>on 1 September 2016</w:t>
      </w:r>
      <w:r w:rsidR="00B965E8" w:rsidRPr="00BE38D7">
        <w:rPr>
          <w:rFonts w:ascii="Arial" w:hAnsi="Arial" w:cs="Arial"/>
          <w:sz w:val="24"/>
          <w:szCs w:val="24"/>
        </w:rPr>
        <w:t xml:space="preserve"> of</w:t>
      </w:r>
      <w:r w:rsidR="003A1B76" w:rsidRPr="00BE38D7">
        <w:rPr>
          <w:rFonts w:ascii="Arial" w:hAnsi="Arial" w:cs="Arial"/>
          <w:sz w:val="24"/>
          <w:szCs w:val="24"/>
        </w:rPr>
        <w:t xml:space="preserve">  ACB’s appeal against the EC decision (the Appeal Board decision) and the first respondent</w:t>
      </w:r>
      <w:r w:rsidR="00B878D2" w:rsidRPr="00BE38D7">
        <w:rPr>
          <w:rFonts w:ascii="Arial" w:hAnsi="Arial" w:cs="Arial"/>
          <w:sz w:val="24"/>
          <w:szCs w:val="24"/>
        </w:rPr>
        <w:t>’s</w:t>
      </w:r>
      <w:r w:rsidR="003A1B76" w:rsidRPr="00BE38D7">
        <w:rPr>
          <w:rFonts w:ascii="Arial" w:hAnsi="Arial" w:cs="Arial"/>
          <w:sz w:val="24"/>
          <w:szCs w:val="24"/>
        </w:rPr>
        <w:t xml:space="preserve"> (The Minister) confirmation of the Appeal Board decision </w:t>
      </w:r>
      <w:r w:rsidR="00E23109" w:rsidRPr="00BE38D7">
        <w:rPr>
          <w:rFonts w:ascii="Arial" w:hAnsi="Arial" w:cs="Arial"/>
          <w:sz w:val="24"/>
          <w:szCs w:val="24"/>
        </w:rPr>
        <w:t>dated 2 December 2016 (The Minster’s decision).</w:t>
      </w:r>
    </w:p>
    <w:p w14:paraId="3B1B83D6" w14:textId="77777777" w:rsidR="00E23109" w:rsidRDefault="00E23109" w:rsidP="00136F10">
      <w:pPr>
        <w:spacing w:line="360" w:lineRule="auto"/>
        <w:jc w:val="both"/>
        <w:rPr>
          <w:rFonts w:ascii="Arial" w:hAnsi="Arial" w:cs="Arial"/>
          <w:sz w:val="24"/>
          <w:szCs w:val="24"/>
        </w:rPr>
      </w:pPr>
    </w:p>
    <w:p w14:paraId="299D86DB" w14:textId="71CCDFA3" w:rsidR="00632870" w:rsidRPr="00BE38D7" w:rsidRDefault="00BE38D7" w:rsidP="00BE38D7">
      <w:pPr>
        <w:spacing w:line="360" w:lineRule="auto"/>
        <w:ind w:left="720" w:hanging="720"/>
        <w:jc w:val="both"/>
        <w:rPr>
          <w:rFonts w:ascii="Arial" w:hAnsi="Arial" w:cs="Arial"/>
          <w:sz w:val="24"/>
          <w:szCs w:val="24"/>
        </w:rPr>
      </w:pPr>
      <w:r w:rsidRPr="00632870">
        <w:rPr>
          <w:rFonts w:ascii="Arial" w:hAnsi="Arial" w:cs="Arial"/>
          <w:color w:val="000000" w:themeColor="text1"/>
          <w:sz w:val="24"/>
          <w:szCs w:val="24"/>
        </w:rPr>
        <w:t>2.</w:t>
      </w:r>
      <w:r w:rsidRPr="00632870">
        <w:rPr>
          <w:rFonts w:ascii="Arial" w:hAnsi="Arial" w:cs="Arial"/>
          <w:color w:val="000000" w:themeColor="text1"/>
          <w:sz w:val="24"/>
          <w:szCs w:val="24"/>
        </w:rPr>
        <w:tab/>
      </w:r>
      <w:r w:rsidR="00136F10" w:rsidRPr="00BE38D7">
        <w:rPr>
          <w:rFonts w:ascii="Arial" w:hAnsi="Arial" w:cs="Arial"/>
          <w:sz w:val="24"/>
          <w:szCs w:val="24"/>
        </w:rPr>
        <w:t xml:space="preserve">ACB seeks an order referring the fifth </w:t>
      </w:r>
      <w:r w:rsidR="00AC30C5" w:rsidRPr="00BE38D7">
        <w:rPr>
          <w:rFonts w:ascii="Arial" w:hAnsi="Arial" w:cs="Arial"/>
          <w:sz w:val="24"/>
          <w:szCs w:val="24"/>
        </w:rPr>
        <w:t>respondent’s (</w:t>
      </w:r>
      <w:r w:rsidR="00D33D5E" w:rsidRPr="00BE38D7">
        <w:rPr>
          <w:rFonts w:ascii="Arial" w:hAnsi="Arial" w:cs="Arial"/>
          <w:sz w:val="24"/>
          <w:szCs w:val="24"/>
        </w:rPr>
        <w:t>Monsanto</w:t>
      </w:r>
      <w:r w:rsidR="002F758E" w:rsidRPr="00BE38D7">
        <w:rPr>
          <w:rFonts w:ascii="Arial" w:hAnsi="Arial" w:cs="Arial"/>
          <w:sz w:val="24"/>
          <w:szCs w:val="24"/>
        </w:rPr>
        <w:t>)</w:t>
      </w:r>
      <w:r w:rsidR="00136F10" w:rsidRPr="00BE38D7">
        <w:rPr>
          <w:rFonts w:ascii="Arial" w:hAnsi="Arial" w:cs="Arial"/>
          <w:sz w:val="24"/>
          <w:szCs w:val="24"/>
        </w:rPr>
        <w:t xml:space="preserve"> </w:t>
      </w:r>
      <w:r w:rsidR="006E457F" w:rsidRPr="00BE38D7">
        <w:rPr>
          <w:rFonts w:ascii="Arial" w:hAnsi="Arial" w:cs="Arial"/>
          <w:sz w:val="24"/>
          <w:szCs w:val="24"/>
        </w:rPr>
        <w:t>application</w:t>
      </w:r>
      <w:r w:rsidR="00136F10" w:rsidRPr="00BE38D7">
        <w:rPr>
          <w:rFonts w:ascii="Arial" w:hAnsi="Arial" w:cs="Arial"/>
          <w:sz w:val="24"/>
          <w:szCs w:val="24"/>
        </w:rPr>
        <w:t xml:space="preserve"> for approval for the general release</w:t>
      </w:r>
      <w:r w:rsidR="00A6606A" w:rsidRPr="00BE38D7">
        <w:rPr>
          <w:rFonts w:ascii="Arial" w:hAnsi="Arial" w:cs="Arial"/>
          <w:sz w:val="24"/>
          <w:szCs w:val="24"/>
        </w:rPr>
        <w:t xml:space="preserve"> of</w:t>
      </w:r>
      <w:r w:rsidR="00136F10" w:rsidRPr="00BE38D7">
        <w:rPr>
          <w:rFonts w:ascii="Arial" w:hAnsi="Arial" w:cs="Arial"/>
          <w:sz w:val="24"/>
          <w:szCs w:val="24"/>
        </w:rPr>
        <w:t xml:space="preserve"> MON 87460 back to the EC for reconsideration. After the launch of this application, Bayer (Pty) </w:t>
      </w:r>
      <w:r w:rsidR="006B48AB" w:rsidRPr="00BE38D7">
        <w:rPr>
          <w:rFonts w:ascii="Arial" w:hAnsi="Arial" w:cs="Arial"/>
          <w:sz w:val="24"/>
          <w:szCs w:val="24"/>
        </w:rPr>
        <w:t>Ltd (Bayer) acquired full ownership of Monsanto and was joined as a party to the proceedings.</w:t>
      </w:r>
      <w:r w:rsidR="00632870" w:rsidRPr="00BE38D7">
        <w:rPr>
          <w:rFonts w:ascii="Arial" w:hAnsi="Arial" w:cs="Arial"/>
          <w:sz w:val="24"/>
          <w:szCs w:val="24"/>
        </w:rPr>
        <w:t xml:space="preserve"> </w:t>
      </w:r>
      <w:r w:rsidR="006B48AB" w:rsidRPr="00BE38D7">
        <w:rPr>
          <w:rFonts w:ascii="Arial" w:hAnsi="Arial" w:cs="Arial"/>
          <w:sz w:val="24"/>
          <w:szCs w:val="24"/>
        </w:rPr>
        <w:t xml:space="preserve">The crux of ACB’s case is that the respective decision makers accepted the data included </w:t>
      </w:r>
      <w:r w:rsidR="00381425" w:rsidRPr="00BE38D7">
        <w:rPr>
          <w:rFonts w:ascii="Arial" w:hAnsi="Arial" w:cs="Arial"/>
          <w:sz w:val="24"/>
          <w:szCs w:val="24"/>
        </w:rPr>
        <w:t>i</w:t>
      </w:r>
      <w:r w:rsidR="006B48AB" w:rsidRPr="00BE38D7">
        <w:rPr>
          <w:rFonts w:ascii="Arial" w:hAnsi="Arial" w:cs="Arial"/>
          <w:sz w:val="24"/>
          <w:szCs w:val="24"/>
        </w:rPr>
        <w:t xml:space="preserve">n Monsanto’s application at face </w:t>
      </w:r>
      <w:r w:rsidR="00632870" w:rsidRPr="00BE38D7">
        <w:rPr>
          <w:rFonts w:ascii="Arial" w:hAnsi="Arial" w:cs="Arial"/>
          <w:sz w:val="24"/>
          <w:szCs w:val="24"/>
        </w:rPr>
        <w:t>v</w:t>
      </w:r>
      <w:r w:rsidR="006B48AB" w:rsidRPr="00BE38D7">
        <w:rPr>
          <w:rFonts w:ascii="Arial" w:hAnsi="Arial" w:cs="Arial"/>
          <w:sz w:val="24"/>
          <w:szCs w:val="24"/>
        </w:rPr>
        <w:t>alue and without ensuring that the necessary health and safety risks associated with MON 87</w:t>
      </w:r>
      <w:r w:rsidR="00632870" w:rsidRPr="00BE38D7">
        <w:rPr>
          <w:rFonts w:ascii="Arial" w:hAnsi="Arial" w:cs="Arial"/>
          <w:sz w:val="24"/>
          <w:szCs w:val="24"/>
        </w:rPr>
        <w:t>460 had been properly and independently assessed.</w:t>
      </w:r>
    </w:p>
    <w:p w14:paraId="1B4B386F" w14:textId="77777777" w:rsidR="00632870" w:rsidRPr="00632870" w:rsidRDefault="00632870" w:rsidP="00632870">
      <w:pPr>
        <w:pStyle w:val="ListParagraph"/>
        <w:rPr>
          <w:rFonts w:ascii="Arial" w:hAnsi="Arial" w:cs="Arial"/>
          <w:sz w:val="24"/>
          <w:szCs w:val="24"/>
        </w:rPr>
      </w:pPr>
    </w:p>
    <w:p w14:paraId="2FC0A8A2" w14:textId="54A64866" w:rsidR="006B48AB"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3.</w:t>
      </w:r>
      <w:r>
        <w:rPr>
          <w:rFonts w:ascii="Arial" w:hAnsi="Arial" w:cs="Arial"/>
          <w:color w:val="000000" w:themeColor="text1"/>
          <w:sz w:val="24"/>
          <w:szCs w:val="24"/>
        </w:rPr>
        <w:tab/>
      </w:r>
      <w:r w:rsidR="006B48AB" w:rsidRPr="00BE38D7">
        <w:rPr>
          <w:rFonts w:ascii="Arial" w:hAnsi="Arial" w:cs="Arial"/>
          <w:sz w:val="24"/>
          <w:szCs w:val="24"/>
        </w:rPr>
        <w:t xml:space="preserve">  </w:t>
      </w:r>
      <w:r w:rsidR="00632870" w:rsidRPr="00BE38D7">
        <w:rPr>
          <w:rFonts w:ascii="Arial" w:hAnsi="Arial" w:cs="Arial"/>
          <w:sz w:val="24"/>
          <w:szCs w:val="24"/>
        </w:rPr>
        <w:t>ACB did not launch the application under rule 53</w:t>
      </w:r>
      <w:r w:rsidR="003926C4" w:rsidRPr="00BE38D7">
        <w:rPr>
          <w:rFonts w:ascii="Arial" w:hAnsi="Arial" w:cs="Arial"/>
          <w:sz w:val="24"/>
          <w:szCs w:val="24"/>
        </w:rPr>
        <w:t xml:space="preserve"> and did not call for a record. Monsanto however called for such a record</w:t>
      </w:r>
      <w:r w:rsidR="00E63033" w:rsidRPr="00BE38D7">
        <w:rPr>
          <w:rFonts w:ascii="Arial" w:hAnsi="Arial" w:cs="Arial"/>
          <w:sz w:val="24"/>
          <w:szCs w:val="24"/>
        </w:rPr>
        <w:t xml:space="preserve"> and</w:t>
      </w:r>
      <w:r w:rsidR="001630B5" w:rsidRPr="00BE38D7">
        <w:rPr>
          <w:rFonts w:ascii="Arial" w:hAnsi="Arial" w:cs="Arial"/>
          <w:sz w:val="24"/>
          <w:szCs w:val="24"/>
        </w:rPr>
        <w:t xml:space="preserve"> </w:t>
      </w:r>
      <w:r w:rsidR="003926C4" w:rsidRPr="00BE38D7">
        <w:rPr>
          <w:rFonts w:ascii="Arial" w:hAnsi="Arial" w:cs="Arial"/>
          <w:sz w:val="24"/>
          <w:szCs w:val="24"/>
        </w:rPr>
        <w:t>ACB failed to file a s</w:t>
      </w:r>
      <w:r w:rsidR="00413523" w:rsidRPr="00BE38D7">
        <w:rPr>
          <w:rFonts w:ascii="Arial" w:hAnsi="Arial" w:cs="Arial"/>
          <w:sz w:val="24"/>
          <w:szCs w:val="24"/>
        </w:rPr>
        <w:t>upplementary founding affidavit</w:t>
      </w:r>
      <w:r w:rsidR="00A6606A" w:rsidRPr="00BE38D7">
        <w:rPr>
          <w:rFonts w:ascii="Arial" w:hAnsi="Arial" w:cs="Arial"/>
          <w:sz w:val="24"/>
          <w:szCs w:val="24"/>
        </w:rPr>
        <w:t xml:space="preserve"> after the filing of the record.</w:t>
      </w:r>
    </w:p>
    <w:p w14:paraId="0D120C12" w14:textId="77777777" w:rsidR="00413523" w:rsidRPr="00413523" w:rsidRDefault="00413523" w:rsidP="00413523">
      <w:pPr>
        <w:pStyle w:val="ListParagraph"/>
        <w:rPr>
          <w:rFonts w:ascii="Arial" w:hAnsi="Arial" w:cs="Arial"/>
          <w:sz w:val="24"/>
          <w:szCs w:val="24"/>
        </w:rPr>
      </w:pPr>
    </w:p>
    <w:p w14:paraId="0865D161" w14:textId="77777777" w:rsidR="00413523" w:rsidRPr="00BF5F41" w:rsidRDefault="00BF5F41" w:rsidP="00413523">
      <w:pPr>
        <w:spacing w:line="360" w:lineRule="auto"/>
        <w:jc w:val="both"/>
        <w:rPr>
          <w:rFonts w:ascii="Arial" w:hAnsi="Arial" w:cs="Arial"/>
          <w:sz w:val="24"/>
          <w:szCs w:val="24"/>
          <w:u w:val="single"/>
        </w:rPr>
      </w:pPr>
      <w:r w:rsidRPr="00BF5F41">
        <w:rPr>
          <w:rFonts w:ascii="Arial" w:hAnsi="Arial" w:cs="Arial"/>
          <w:sz w:val="24"/>
          <w:szCs w:val="24"/>
          <w:u w:val="single"/>
        </w:rPr>
        <w:t>Background</w:t>
      </w:r>
    </w:p>
    <w:p w14:paraId="451E2A9D" w14:textId="77777777" w:rsidR="00413523" w:rsidRDefault="00413523" w:rsidP="00413523">
      <w:pPr>
        <w:spacing w:line="360" w:lineRule="auto"/>
        <w:jc w:val="both"/>
        <w:rPr>
          <w:rFonts w:ascii="Arial" w:hAnsi="Arial" w:cs="Arial"/>
          <w:sz w:val="24"/>
          <w:szCs w:val="24"/>
        </w:rPr>
      </w:pPr>
    </w:p>
    <w:p w14:paraId="3155A19A" w14:textId="678F029C" w:rsidR="00A0474A"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lastRenderedPageBreak/>
        <w:t>4.</w:t>
      </w:r>
      <w:r>
        <w:rPr>
          <w:rFonts w:ascii="Arial" w:hAnsi="Arial" w:cs="Arial"/>
          <w:color w:val="000000" w:themeColor="text1"/>
          <w:sz w:val="24"/>
          <w:szCs w:val="24"/>
        </w:rPr>
        <w:tab/>
      </w:r>
      <w:r w:rsidR="00413523" w:rsidRPr="00BE38D7">
        <w:rPr>
          <w:rFonts w:ascii="Arial" w:hAnsi="Arial" w:cs="Arial"/>
          <w:sz w:val="24"/>
          <w:szCs w:val="24"/>
        </w:rPr>
        <w:t>The permit</w:t>
      </w:r>
      <w:r w:rsidR="00EC462B" w:rsidRPr="00BE38D7">
        <w:rPr>
          <w:rFonts w:ascii="Arial" w:hAnsi="Arial" w:cs="Arial"/>
          <w:sz w:val="24"/>
          <w:szCs w:val="24"/>
        </w:rPr>
        <w:t xml:space="preserve"> for the general release of MON </w:t>
      </w:r>
      <w:r w:rsidR="006D1C9B" w:rsidRPr="00BE38D7">
        <w:rPr>
          <w:rFonts w:ascii="Arial" w:hAnsi="Arial" w:cs="Arial"/>
          <w:sz w:val="24"/>
          <w:szCs w:val="24"/>
        </w:rPr>
        <w:t>87460</w:t>
      </w:r>
      <w:r w:rsidR="00413523" w:rsidRPr="00BE38D7">
        <w:rPr>
          <w:rFonts w:ascii="Arial" w:hAnsi="Arial" w:cs="Arial"/>
          <w:sz w:val="24"/>
          <w:szCs w:val="24"/>
        </w:rPr>
        <w:t xml:space="preserve"> was issued in terms of the Genetically Modified Organism</w:t>
      </w:r>
      <w:r w:rsidR="00902840" w:rsidRPr="00BE38D7">
        <w:rPr>
          <w:rFonts w:ascii="Arial" w:hAnsi="Arial" w:cs="Arial"/>
          <w:sz w:val="24"/>
          <w:szCs w:val="24"/>
        </w:rPr>
        <w:t>s</w:t>
      </w:r>
      <w:r w:rsidR="00413523" w:rsidRPr="00BE38D7">
        <w:rPr>
          <w:rFonts w:ascii="Arial" w:hAnsi="Arial" w:cs="Arial"/>
          <w:sz w:val="24"/>
          <w:szCs w:val="24"/>
        </w:rPr>
        <w:t xml:space="preserve"> Act 15 of 1997 (GMO Act)</w:t>
      </w:r>
      <w:r w:rsidR="00FE5CA6" w:rsidRPr="00BE38D7">
        <w:rPr>
          <w:rFonts w:ascii="Arial" w:hAnsi="Arial" w:cs="Arial"/>
          <w:sz w:val="24"/>
          <w:szCs w:val="24"/>
        </w:rPr>
        <w:t xml:space="preserve"> by the EC, which is a body created by the GMO Act to determine whether such permits should be granted.</w:t>
      </w:r>
      <w:r w:rsidR="00FE5CA6">
        <w:rPr>
          <w:rStyle w:val="FootnoteReference"/>
          <w:rFonts w:ascii="Arial" w:hAnsi="Arial" w:cs="Arial"/>
          <w:sz w:val="24"/>
          <w:szCs w:val="24"/>
        </w:rPr>
        <w:footnoteReference w:id="1"/>
      </w:r>
      <w:r w:rsidR="00FE5CA6" w:rsidRPr="00BE38D7">
        <w:rPr>
          <w:rFonts w:ascii="Arial" w:hAnsi="Arial" w:cs="Arial"/>
          <w:sz w:val="24"/>
          <w:szCs w:val="24"/>
        </w:rPr>
        <w:t xml:space="preserve"> </w:t>
      </w:r>
      <w:r w:rsidR="00823A4E" w:rsidRPr="00BE38D7">
        <w:rPr>
          <w:rFonts w:ascii="Arial" w:hAnsi="Arial" w:cs="Arial"/>
          <w:sz w:val="24"/>
          <w:szCs w:val="24"/>
        </w:rPr>
        <w:t xml:space="preserve">The decision was taken in consultation with the </w:t>
      </w:r>
      <w:r w:rsidR="00372C62" w:rsidRPr="00BE38D7">
        <w:rPr>
          <w:rFonts w:ascii="Arial" w:hAnsi="Arial" w:cs="Arial"/>
          <w:sz w:val="24"/>
          <w:szCs w:val="24"/>
        </w:rPr>
        <w:t>A</w:t>
      </w:r>
      <w:r w:rsidR="00823A4E" w:rsidRPr="00BE38D7">
        <w:rPr>
          <w:rFonts w:ascii="Arial" w:hAnsi="Arial" w:cs="Arial"/>
          <w:sz w:val="24"/>
          <w:szCs w:val="24"/>
        </w:rPr>
        <w:t xml:space="preserve">dvisory </w:t>
      </w:r>
      <w:r w:rsidR="008540D4" w:rsidRPr="00BE38D7">
        <w:rPr>
          <w:rFonts w:ascii="Arial" w:hAnsi="Arial" w:cs="Arial"/>
          <w:sz w:val="24"/>
          <w:szCs w:val="24"/>
        </w:rPr>
        <w:t>Committee (</w:t>
      </w:r>
      <w:r w:rsidR="00B90774" w:rsidRPr="00BE38D7">
        <w:rPr>
          <w:rFonts w:ascii="Arial" w:hAnsi="Arial" w:cs="Arial"/>
          <w:sz w:val="24"/>
          <w:szCs w:val="24"/>
        </w:rPr>
        <w:t>AC)</w:t>
      </w:r>
      <w:r w:rsidR="00823A4E" w:rsidRPr="00BE38D7">
        <w:rPr>
          <w:rFonts w:ascii="Arial" w:hAnsi="Arial" w:cs="Arial"/>
          <w:sz w:val="24"/>
          <w:szCs w:val="24"/>
        </w:rPr>
        <w:t xml:space="preserve"> which is a specialist body comprised of </w:t>
      </w:r>
      <w:proofErr w:type="gramStart"/>
      <w:r w:rsidR="00823A4E" w:rsidRPr="00BE38D7">
        <w:rPr>
          <w:rFonts w:ascii="Arial" w:hAnsi="Arial" w:cs="Arial"/>
          <w:sz w:val="24"/>
          <w:szCs w:val="24"/>
        </w:rPr>
        <w:t xml:space="preserve">experts </w:t>
      </w:r>
      <w:proofErr w:type="gramEnd"/>
      <w:r w:rsidR="00823A4E">
        <w:rPr>
          <w:rStyle w:val="FootnoteReference"/>
          <w:rFonts w:ascii="Arial" w:hAnsi="Arial" w:cs="Arial"/>
          <w:sz w:val="24"/>
          <w:szCs w:val="24"/>
        </w:rPr>
        <w:footnoteReference w:id="2"/>
      </w:r>
      <w:r w:rsidR="00A0474A" w:rsidRPr="00BE38D7">
        <w:rPr>
          <w:rFonts w:ascii="Arial" w:hAnsi="Arial" w:cs="Arial"/>
          <w:sz w:val="24"/>
          <w:szCs w:val="24"/>
        </w:rPr>
        <w:t>. Both the EC and the A</w:t>
      </w:r>
      <w:r w:rsidR="00B765AF" w:rsidRPr="00BE38D7">
        <w:rPr>
          <w:rFonts w:ascii="Arial" w:hAnsi="Arial" w:cs="Arial"/>
          <w:sz w:val="24"/>
          <w:szCs w:val="24"/>
        </w:rPr>
        <w:t>C</w:t>
      </w:r>
      <w:r w:rsidR="00A0474A" w:rsidRPr="00BE38D7">
        <w:rPr>
          <w:rFonts w:ascii="Arial" w:hAnsi="Arial" w:cs="Arial"/>
          <w:sz w:val="24"/>
          <w:szCs w:val="24"/>
        </w:rPr>
        <w:t xml:space="preserve"> found MON 87460 to be safe for animals, </w:t>
      </w:r>
      <w:r w:rsidR="00721D6C" w:rsidRPr="00BE38D7">
        <w:rPr>
          <w:rFonts w:ascii="Arial" w:hAnsi="Arial" w:cs="Arial"/>
          <w:sz w:val="24"/>
          <w:szCs w:val="24"/>
        </w:rPr>
        <w:t>humans,</w:t>
      </w:r>
      <w:r w:rsidR="00A0474A" w:rsidRPr="00BE38D7">
        <w:rPr>
          <w:rFonts w:ascii="Arial" w:hAnsi="Arial" w:cs="Arial"/>
          <w:sz w:val="24"/>
          <w:szCs w:val="24"/>
        </w:rPr>
        <w:t xml:space="preserve"> and the environment.</w:t>
      </w:r>
      <w:r w:rsidR="00741FF5" w:rsidRPr="00BE38D7">
        <w:rPr>
          <w:rFonts w:ascii="Arial" w:hAnsi="Arial" w:cs="Arial"/>
          <w:sz w:val="24"/>
          <w:szCs w:val="24"/>
        </w:rPr>
        <w:t xml:space="preserve"> ACB brought the review application under the Promotion of Administrative Justice Act 3 of 2000 (PAJA). </w:t>
      </w:r>
    </w:p>
    <w:p w14:paraId="3D255F3F" w14:textId="77777777" w:rsidR="00741FF5" w:rsidRDefault="00741FF5" w:rsidP="00741FF5">
      <w:pPr>
        <w:spacing w:line="360" w:lineRule="auto"/>
        <w:jc w:val="both"/>
        <w:rPr>
          <w:rFonts w:ascii="Arial" w:hAnsi="Arial" w:cs="Arial"/>
          <w:sz w:val="24"/>
          <w:szCs w:val="24"/>
        </w:rPr>
      </w:pPr>
    </w:p>
    <w:p w14:paraId="5DC3C69B" w14:textId="785E4E72" w:rsidR="005265D8"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5.</w:t>
      </w:r>
      <w:r>
        <w:rPr>
          <w:rFonts w:ascii="Arial" w:hAnsi="Arial" w:cs="Arial"/>
          <w:color w:val="000000" w:themeColor="text1"/>
          <w:sz w:val="24"/>
          <w:szCs w:val="24"/>
        </w:rPr>
        <w:tab/>
      </w:r>
      <w:proofErr w:type="gramStart"/>
      <w:r w:rsidR="00741FF5" w:rsidRPr="00BE38D7">
        <w:rPr>
          <w:rFonts w:ascii="Arial" w:hAnsi="Arial" w:cs="Arial"/>
          <w:sz w:val="24"/>
          <w:szCs w:val="24"/>
        </w:rPr>
        <w:t>On</w:t>
      </w:r>
      <w:proofErr w:type="gramEnd"/>
      <w:r w:rsidR="00741FF5" w:rsidRPr="00BE38D7">
        <w:rPr>
          <w:rFonts w:ascii="Arial" w:hAnsi="Arial" w:cs="Arial"/>
          <w:sz w:val="24"/>
          <w:szCs w:val="24"/>
        </w:rPr>
        <w:t xml:space="preserve"> the 14</w:t>
      </w:r>
      <w:r w:rsidR="00741FF5" w:rsidRPr="00BE38D7">
        <w:rPr>
          <w:rFonts w:ascii="Arial" w:hAnsi="Arial" w:cs="Arial"/>
          <w:sz w:val="24"/>
          <w:szCs w:val="24"/>
          <w:vertAlign w:val="superscript"/>
        </w:rPr>
        <w:t>th</w:t>
      </w:r>
      <w:r w:rsidR="00741FF5" w:rsidRPr="00BE38D7">
        <w:rPr>
          <w:rFonts w:ascii="Arial" w:hAnsi="Arial" w:cs="Arial"/>
          <w:sz w:val="24"/>
          <w:szCs w:val="24"/>
        </w:rPr>
        <w:t xml:space="preserve"> of July 2014, Monsanto</w:t>
      </w:r>
      <w:r w:rsidR="004F57F2" w:rsidRPr="00BE38D7">
        <w:rPr>
          <w:rFonts w:ascii="Arial" w:hAnsi="Arial" w:cs="Arial"/>
          <w:sz w:val="24"/>
          <w:szCs w:val="24"/>
        </w:rPr>
        <w:t xml:space="preserve"> applied </w:t>
      </w:r>
      <w:r w:rsidR="00BD42A7" w:rsidRPr="00BE38D7">
        <w:rPr>
          <w:rFonts w:ascii="Arial" w:hAnsi="Arial" w:cs="Arial"/>
          <w:sz w:val="24"/>
          <w:szCs w:val="24"/>
        </w:rPr>
        <w:t>for a</w:t>
      </w:r>
      <w:r w:rsidR="008540D4" w:rsidRPr="00BE38D7">
        <w:rPr>
          <w:rFonts w:ascii="Arial" w:hAnsi="Arial" w:cs="Arial"/>
          <w:sz w:val="24"/>
          <w:szCs w:val="24"/>
        </w:rPr>
        <w:t xml:space="preserve"> permit</w:t>
      </w:r>
      <w:r w:rsidR="009361C8" w:rsidRPr="00BE38D7">
        <w:rPr>
          <w:rFonts w:ascii="Arial" w:hAnsi="Arial" w:cs="Arial"/>
          <w:sz w:val="24"/>
          <w:szCs w:val="24"/>
        </w:rPr>
        <w:t xml:space="preserve"> for </w:t>
      </w:r>
      <w:r w:rsidR="004F57F2" w:rsidRPr="00BE38D7">
        <w:rPr>
          <w:rFonts w:ascii="Arial" w:hAnsi="Arial" w:cs="Arial"/>
          <w:sz w:val="24"/>
          <w:szCs w:val="24"/>
        </w:rPr>
        <w:t xml:space="preserve">the general release </w:t>
      </w:r>
      <w:r w:rsidR="00E56B95" w:rsidRPr="00BE38D7">
        <w:rPr>
          <w:rFonts w:ascii="Arial" w:hAnsi="Arial" w:cs="Arial"/>
          <w:sz w:val="24"/>
          <w:szCs w:val="24"/>
        </w:rPr>
        <w:t>of MON</w:t>
      </w:r>
      <w:r w:rsidR="004F57F2" w:rsidRPr="00BE38D7">
        <w:rPr>
          <w:rFonts w:ascii="Arial" w:hAnsi="Arial" w:cs="Arial"/>
          <w:sz w:val="24"/>
          <w:szCs w:val="24"/>
        </w:rPr>
        <w:t xml:space="preserve"> 87460, a genetically modified maize variety. On the 15</w:t>
      </w:r>
      <w:r w:rsidR="004F57F2" w:rsidRPr="00BE38D7">
        <w:rPr>
          <w:rFonts w:ascii="Arial" w:hAnsi="Arial" w:cs="Arial"/>
          <w:sz w:val="24"/>
          <w:szCs w:val="24"/>
          <w:vertAlign w:val="superscript"/>
        </w:rPr>
        <w:t>th</w:t>
      </w:r>
      <w:r w:rsidR="004F57F2" w:rsidRPr="00BE38D7">
        <w:rPr>
          <w:rFonts w:ascii="Arial" w:hAnsi="Arial" w:cs="Arial"/>
          <w:sz w:val="24"/>
          <w:szCs w:val="24"/>
        </w:rPr>
        <w:t xml:space="preserve"> of June 2015, the EC granted the permit. ACB made no submissions to the EC, as it was unaware of the application</w:t>
      </w:r>
      <w:r w:rsidR="00614D2C" w:rsidRPr="00BE38D7">
        <w:rPr>
          <w:rFonts w:ascii="Arial" w:hAnsi="Arial" w:cs="Arial"/>
          <w:sz w:val="24"/>
          <w:szCs w:val="24"/>
        </w:rPr>
        <w:t>.</w:t>
      </w:r>
      <w:r w:rsidR="004F57F2" w:rsidRPr="00BE38D7">
        <w:rPr>
          <w:rFonts w:ascii="Arial" w:hAnsi="Arial" w:cs="Arial"/>
          <w:sz w:val="24"/>
          <w:szCs w:val="24"/>
        </w:rPr>
        <w:t xml:space="preserve"> ACB had </w:t>
      </w:r>
      <w:r w:rsidR="00C505E3" w:rsidRPr="00BE38D7">
        <w:rPr>
          <w:rFonts w:ascii="Arial" w:hAnsi="Arial" w:cs="Arial"/>
          <w:sz w:val="24"/>
          <w:szCs w:val="24"/>
        </w:rPr>
        <w:t xml:space="preserve">been engaging the respondents in various applications relating to MON 87460 since </w:t>
      </w:r>
      <w:r w:rsidR="006F4648" w:rsidRPr="00BE38D7">
        <w:rPr>
          <w:rFonts w:ascii="Arial" w:hAnsi="Arial" w:cs="Arial"/>
          <w:sz w:val="24"/>
          <w:szCs w:val="24"/>
        </w:rPr>
        <w:t>2007. ACB</w:t>
      </w:r>
      <w:r w:rsidR="003D5D49" w:rsidRPr="00BE38D7">
        <w:rPr>
          <w:rFonts w:ascii="Arial" w:hAnsi="Arial" w:cs="Arial"/>
          <w:sz w:val="24"/>
          <w:szCs w:val="24"/>
        </w:rPr>
        <w:t>,</w:t>
      </w:r>
      <w:r w:rsidR="006F4648" w:rsidRPr="00BE38D7">
        <w:rPr>
          <w:rFonts w:ascii="Arial" w:hAnsi="Arial" w:cs="Arial"/>
          <w:sz w:val="24"/>
          <w:szCs w:val="24"/>
        </w:rPr>
        <w:t xml:space="preserve"> </w:t>
      </w:r>
      <w:r w:rsidR="003D5D49" w:rsidRPr="00BE38D7">
        <w:rPr>
          <w:rFonts w:ascii="Arial" w:hAnsi="Arial" w:cs="Arial"/>
          <w:sz w:val="24"/>
          <w:szCs w:val="24"/>
        </w:rPr>
        <w:t xml:space="preserve">due to a lack of </w:t>
      </w:r>
      <w:r w:rsidR="005F5D59" w:rsidRPr="00BE38D7">
        <w:rPr>
          <w:rFonts w:ascii="Arial" w:hAnsi="Arial" w:cs="Arial"/>
          <w:sz w:val="24"/>
          <w:szCs w:val="24"/>
        </w:rPr>
        <w:t>resources did</w:t>
      </w:r>
      <w:r w:rsidR="00FA2D1D" w:rsidRPr="00BE38D7">
        <w:rPr>
          <w:rFonts w:ascii="Arial" w:hAnsi="Arial" w:cs="Arial"/>
          <w:sz w:val="24"/>
          <w:szCs w:val="24"/>
        </w:rPr>
        <w:t xml:space="preserve"> not see the notices that were published in three new</w:t>
      </w:r>
      <w:r w:rsidR="00CB6F64" w:rsidRPr="00BE38D7">
        <w:rPr>
          <w:rFonts w:ascii="Arial" w:hAnsi="Arial" w:cs="Arial"/>
          <w:sz w:val="24"/>
          <w:szCs w:val="24"/>
        </w:rPr>
        <w:t>s</w:t>
      </w:r>
      <w:r w:rsidR="00FA2D1D" w:rsidRPr="00BE38D7">
        <w:rPr>
          <w:rFonts w:ascii="Arial" w:hAnsi="Arial" w:cs="Arial"/>
          <w:sz w:val="24"/>
          <w:szCs w:val="24"/>
        </w:rPr>
        <w:t>papers as is required by the GM</w:t>
      </w:r>
      <w:r w:rsidR="00C5181C" w:rsidRPr="00BE38D7">
        <w:rPr>
          <w:rFonts w:ascii="Arial" w:hAnsi="Arial" w:cs="Arial"/>
          <w:sz w:val="24"/>
          <w:szCs w:val="24"/>
        </w:rPr>
        <w:t>O</w:t>
      </w:r>
      <w:r w:rsidR="00FA2D1D" w:rsidRPr="00BE38D7">
        <w:rPr>
          <w:rFonts w:ascii="Arial" w:hAnsi="Arial" w:cs="Arial"/>
          <w:sz w:val="24"/>
          <w:szCs w:val="24"/>
        </w:rPr>
        <w:t xml:space="preserve"> regulations</w:t>
      </w:r>
      <w:r w:rsidR="00C5181C" w:rsidRPr="00BE38D7">
        <w:rPr>
          <w:rFonts w:ascii="Arial" w:hAnsi="Arial" w:cs="Arial"/>
          <w:sz w:val="24"/>
          <w:szCs w:val="24"/>
        </w:rPr>
        <w:t xml:space="preserve">, and only became aware of the EC decision by way of an email dated 18 June 2015. ACB requested reasons and this was provided. On 7 August </w:t>
      </w:r>
      <w:r w:rsidR="005265D8" w:rsidRPr="00BE38D7">
        <w:rPr>
          <w:rFonts w:ascii="Arial" w:hAnsi="Arial" w:cs="Arial"/>
          <w:sz w:val="24"/>
          <w:szCs w:val="24"/>
        </w:rPr>
        <w:t xml:space="preserve">2015 it lodged and appeal, de novo. On 1 September 2016 </w:t>
      </w:r>
      <w:r w:rsidR="004C261D" w:rsidRPr="00BE38D7">
        <w:rPr>
          <w:rFonts w:ascii="Arial" w:hAnsi="Arial" w:cs="Arial"/>
          <w:sz w:val="24"/>
          <w:szCs w:val="24"/>
        </w:rPr>
        <w:t>A</w:t>
      </w:r>
      <w:r w:rsidR="005265D8" w:rsidRPr="00BE38D7">
        <w:rPr>
          <w:rFonts w:ascii="Arial" w:hAnsi="Arial" w:cs="Arial"/>
          <w:sz w:val="24"/>
          <w:szCs w:val="24"/>
        </w:rPr>
        <w:t xml:space="preserve">CB was informed that the appeal was dismissed and on 2 December 2016 it was informed that the Minister had upheld the Appeal Board’s decision. </w:t>
      </w:r>
    </w:p>
    <w:p w14:paraId="3AA71687" w14:textId="77777777" w:rsidR="005265D8" w:rsidRPr="005265D8" w:rsidRDefault="005265D8" w:rsidP="005265D8">
      <w:pPr>
        <w:pStyle w:val="ListParagraph"/>
        <w:rPr>
          <w:rFonts w:ascii="Arial" w:hAnsi="Arial" w:cs="Arial"/>
          <w:sz w:val="24"/>
          <w:szCs w:val="24"/>
        </w:rPr>
      </w:pPr>
    </w:p>
    <w:p w14:paraId="37181A4D" w14:textId="418B08AB" w:rsidR="00741FF5"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6.</w:t>
      </w:r>
      <w:r>
        <w:rPr>
          <w:rFonts w:ascii="Arial" w:hAnsi="Arial" w:cs="Arial"/>
          <w:color w:val="000000" w:themeColor="text1"/>
          <w:sz w:val="24"/>
          <w:szCs w:val="24"/>
        </w:rPr>
        <w:tab/>
      </w:r>
      <w:r w:rsidR="00280808" w:rsidRPr="00BE38D7">
        <w:rPr>
          <w:rFonts w:ascii="Arial" w:hAnsi="Arial" w:cs="Arial"/>
          <w:sz w:val="24"/>
          <w:szCs w:val="24"/>
        </w:rPr>
        <w:t>Monsanto cl</w:t>
      </w:r>
      <w:r w:rsidR="00356F67" w:rsidRPr="00BE38D7">
        <w:rPr>
          <w:rFonts w:ascii="Arial" w:hAnsi="Arial" w:cs="Arial"/>
          <w:sz w:val="24"/>
          <w:szCs w:val="24"/>
        </w:rPr>
        <w:t xml:space="preserve">aims that </w:t>
      </w:r>
      <w:r w:rsidR="005265D8" w:rsidRPr="00BE38D7">
        <w:rPr>
          <w:rFonts w:ascii="Arial" w:hAnsi="Arial" w:cs="Arial"/>
          <w:sz w:val="24"/>
          <w:szCs w:val="24"/>
        </w:rPr>
        <w:t>MON 87460 suffer</w:t>
      </w:r>
      <w:r w:rsidR="006A741E" w:rsidRPr="00BE38D7">
        <w:rPr>
          <w:rFonts w:ascii="Arial" w:hAnsi="Arial" w:cs="Arial"/>
          <w:sz w:val="24"/>
          <w:szCs w:val="24"/>
        </w:rPr>
        <w:t>s</w:t>
      </w:r>
      <w:r w:rsidR="005265D8" w:rsidRPr="00BE38D7">
        <w:rPr>
          <w:rFonts w:ascii="Arial" w:hAnsi="Arial" w:cs="Arial"/>
          <w:sz w:val="24"/>
          <w:szCs w:val="24"/>
        </w:rPr>
        <w:t xml:space="preserve"> less yield loss in water limited conditions</w:t>
      </w:r>
      <w:r w:rsidR="00D01BCB" w:rsidRPr="00BE38D7">
        <w:rPr>
          <w:rFonts w:ascii="Arial" w:hAnsi="Arial" w:cs="Arial"/>
          <w:sz w:val="24"/>
          <w:szCs w:val="24"/>
        </w:rPr>
        <w:t xml:space="preserve">, </w:t>
      </w:r>
      <w:r w:rsidR="00E92877" w:rsidRPr="00BE38D7">
        <w:rPr>
          <w:rFonts w:ascii="Arial" w:hAnsi="Arial" w:cs="Arial"/>
          <w:sz w:val="24"/>
          <w:szCs w:val="24"/>
        </w:rPr>
        <w:t>than conventional</w:t>
      </w:r>
      <w:r w:rsidR="00D01BCB" w:rsidRPr="00BE38D7">
        <w:rPr>
          <w:rFonts w:ascii="Arial" w:hAnsi="Arial" w:cs="Arial"/>
          <w:sz w:val="24"/>
          <w:szCs w:val="24"/>
        </w:rPr>
        <w:t xml:space="preserve"> maize, it is referred to as a drought tolerant variety of maize. It has been approved for use in food, animal feed and environmental release in 17 countries, including the United States, the European Union, </w:t>
      </w:r>
      <w:r w:rsidR="00472F70" w:rsidRPr="00BE38D7">
        <w:rPr>
          <w:rFonts w:ascii="Arial" w:hAnsi="Arial" w:cs="Arial"/>
          <w:sz w:val="24"/>
          <w:szCs w:val="24"/>
        </w:rPr>
        <w:t>Korea,</w:t>
      </w:r>
      <w:r w:rsidR="00D01BCB" w:rsidRPr="00BE38D7">
        <w:rPr>
          <w:rFonts w:ascii="Arial" w:hAnsi="Arial" w:cs="Arial"/>
          <w:sz w:val="24"/>
          <w:szCs w:val="24"/>
        </w:rPr>
        <w:t xml:space="preserve"> and Japan. Certain field </w:t>
      </w:r>
      <w:r w:rsidR="00566475" w:rsidRPr="00BE38D7">
        <w:rPr>
          <w:rFonts w:ascii="Arial" w:hAnsi="Arial" w:cs="Arial"/>
          <w:sz w:val="24"/>
          <w:szCs w:val="24"/>
        </w:rPr>
        <w:t>trials</w:t>
      </w:r>
      <w:r w:rsidR="00D01BCB" w:rsidRPr="00BE38D7">
        <w:rPr>
          <w:rFonts w:ascii="Arial" w:hAnsi="Arial" w:cs="Arial"/>
          <w:sz w:val="24"/>
          <w:szCs w:val="24"/>
        </w:rPr>
        <w:t xml:space="preserve"> were also concluded in South Africa, although the results of these trials were confidential, ACB’s legal representative</w:t>
      </w:r>
      <w:r w:rsidR="00192AE9" w:rsidRPr="00BE38D7">
        <w:rPr>
          <w:rFonts w:ascii="Arial" w:hAnsi="Arial" w:cs="Arial"/>
          <w:sz w:val="24"/>
          <w:szCs w:val="24"/>
        </w:rPr>
        <w:t>s and experts were granted access to this information</w:t>
      </w:r>
      <w:r w:rsidR="00B91763" w:rsidRPr="00BE38D7">
        <w:rPr>
          <w:rFonts w:ascii="Arial" w:hAnsi="Arial" w:cs="Arial"/>
          <w:sz w:val="24"/>
          <w:szCs w:val="24"/>
        </w:rPr>
        <w:t xml:space="preserve"> by way of a court order</w:t>
      </w:r>
      <w:r w:rsidR="00635081" w:rsidRPr="00BE38D7">
        <w:rPr>
          <w:rFonts w:ascii="Arial" w:hAnsi="Arial" w:cs="Arial"/>
          <w:sz w:val="24"/>
          <w:szCs w:val="24"/>
        </w:rPr>
        <w:t>.</w:t>
      </w:r>
    </w:p>
    <w:p w14:paraId="32B5CCF9" w14:textId="77777777" w:rsidR="00192AE9" w:rsidRPr="00192AE9" w:rsidRDefault="00192AE9" w:rsidP="00192AE9">
      <w:pPr>
        <w:pStyle w:val="ListParagraph"/>
        <w:rPr>
          <w:rFonts w:ascii="Arial" w:hAnsi="Arial" w:cs="Arial"/>
          <w:sz w:val="24"/>
          <w:szCs w:val="24"/>
        </w:rPr>
      </w:pPr>
    </w:p>
    <w:p w14:paraId="03852D80" w14:textId="77777777" w:rsidR="00192AE9" w:rsidRDefault="00192AE9" w:rsidP="00192AE9">
      <w:pPr>
        <w:spacing w:line="360" w:lineRule="auto"/>
        <w:jc w:val="both"/>
        <w:rPr>
          <w:rFonts w:ascii="Arial" w:hAnsi="Arial" w:cs="Arial"/>
          <w:sz w:val="24"/>
          <w:szCs w:val="24"/>
          <w:u w:val="single"/>
        </w:rPr>
      </w:pPr>
      <w:r w:rsidRPr="00192AE9">
        <w:rPr>
          <w:rFonts w:ascii="Arial" w:hAnsi="Arial" w:cs="Arial"/>
          <w:sz w:val="24"/>
          <w:szCs w:val="24"/>
          <w:u w:val="single"/>
        </w:rPr>
        <w:lastRenderedPageBreak/>
        <w:t xml:space="preserve">Issues to be </w:t>
      </w:r>
      <w:r w:rsidR="00BF5F41">
        <w:rPr>
          <w:rFonts w:ascii="Arial" w:hAnsi="Arial" w:cs="Arial"/>
          <w:sz w:val="24"/>
          <w:szCs w:val="24"/>
          <w:u w:val="single"/>
        </w:rPr>
        <w:t>decided</w:t>
      </w:r>
    </w:p>
    <w:p w14:paraId="272F2E17" w14:textId="77777777" w:rsidR="00192AE9" w:rsidRDefault="00192AE9" w:rsidP="00192AE9">
      <w:pPr>
        <w:spacing w:line="360" w:lineRule="auto"/>
        <w:jc w:val="both"/>
        <w:rPr>
          <w:rFonts w:ascii="Arial" w:hAnsi="Arial" w:cs="Arial"/>
          <w:sz w:val="24"/>
          <w:szCs w:val="24"/>
          <w:u w:val="single"/>
        </w:rPr>
      </w:pPr>
    </w:p>
    <w:p w14:paraId="5807F0BC" w14:textId="74764B21" w:rsidR="00192AE9"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7.</w:t>
      </w:r>
      <w:r>
        <w:rPr>
          <w:rFonts w:ascii="Arial" w:hAnsi="Arial" w:cs="Arial"/>
          <w:color w:val="000000" w:themeColor="text1"/>
          <w:sz w:val="24"/>
          <w:szCs w:val="24"/>
        </w:rPr>
        <w:tab/>
      </w:r>
      <w:r w:rsidR="00702E0C" w:rsidRPr="00BE38D7">
        <w:rPr>
          <w:rFonts w:ascii="Arial" w:hAnsi="Arial" w:cs="Arial"/>
          <w:sz w:val="24"/>
          <w:szCs w:val="24"/>
        </w:rPr>
        <w:t xml:space="preserve">The court </w:t>
      </w:r>
      <w:r w:rsidR="001F2AB6" w:rsidRPr="00BE38D7">
        <w:rPr>
          <w:rFonts w:ascii="Arial" w:hAnsi="Arial" w:cs="Arial"/>
          <w:sz w:val="24"/>
          <w:szCs w:val="24"/>
        </w:rPr>
        <w:t>has to decide whether</w:t>
      </w:r>
      <w:r w:rsidR="00A2738A" w:rsidRPr="00BE38D7">
        <w:rPr>
          <w:rFonts w:ascii="Arial" w:hAnsi="Arial" w:cs="Arial"/>
          <w:sz w:val="24"/>
          <w:szCs w:val="24"/>
        </w:rPr>
        <w:t xml:space="preserve"> the impugned decisions</w:t>
      </w:r>
      <w:r w:rsidR="003572E8" w:rsidRPr="00BE38D7">
        <w:rPr>
          <w:rFonts w:ascii="Arial" w:hAnsi="Arial" w:cs="Arial"/>
          <w:sz w:val="24"/>
          <w:szCs w:val="24"/>
        </w:rPr>
        <w:t xml:space="preserve"> should be reviewed and set</w:t>
      </w:r>
      <w:r w:rsidR="006D3E78" w:rsidRPr="00BE38D7">
        <w:rPr>
          <w:rFonts w:ascii="Arial" w:hAnsi="Arial" w:cs="Arial"/>
          <w:sz w:val="24"/>
          <w:szCs w:val="24"/>
        </w:rPr>
        <w:t xml:space="preserve"> </w:t>
      </w:r>
      <w:r w:rsidR="00F44D17" w:rsidRPr="00BE38D7">
        <w:rPr>
          <w:rFonts w:ascii="Arial" w:hAnsi="Arial" w:cs="Arial"/>
          <w:sz w:val="24"/>
          <w:szCs w:val="24"/>
        </w:rPr>
        <w:t>aside in</w:t>
      </w:r>
      <w:r w:rsidR="00F21973" w:rsidRPr="00BE38D7">
        <w:rPr>
          <w:rFonts w:ascii="Arial" w:hAnsi="Arial" w:cs="Arial"/>
          <w:sz w:val="24"/>
          <w:szCs w:val="24"/>
        </w:rPr>
        <w:t xml:space="preserve"> ter</w:t>
      </w:r>
      <w:r w:rsidR="00A7060C" w:rsidRPr="00BE38D7">
        <w:rPr>
          <w:rFonts w:ascii="Arial" w:hAnsi="Arial" w:cs="Arial"/>
          <w:sz w:val="24"/>
          <w:szCs w:val="24"/>
        </w:rPr>
        <w:t xml:space="preserve">ms of PAJA </w:t>
      </w:r>
      <w:r w:rsidR="006D3E78" w:rsidRPr="00BE38D7">
        <w:rPr>
          <w:rFonts w:ascii="Arial" w:hAnsi="Arial" w:cs="Arial"/>
          <w:sz w:val="24"/>
          <w:szCs w:val="24"/>
        </w:rPr>
        <w:t>and in particular whether</w:t>
      </w:r>
      <w:r w:rsidR="00B31EDC" w:rsidRPr="00BE38D7">
        <w:rPr>
          <w:rFonts w:ascii="Arial" w:hAnsi="Arial" w:cs="Arial"/>
          <w:sz w:val="24"/>
          <w:szCs w:val="24"/>
        </w:rPr>
        <w:t>;</w:t>
      </w:r>
    </w:p>
    <w:p w14:paraId="43AB47F8" w14:textId="0A46683A" w:rsidR="00192AE9" w:rsidRPr="00BE38D7" w:rsidRDefault="00BE38D7" w:rsidP="00BE38D7">
      <w:pPr>
        <w:spacing w:line="36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954C61" w:rsidRPr="00BE38D7">
        <w:rPr>
          <w:rFonts w:ascii="Arial" w:hAnsi="Arial" w:cs="Arial"/>
          <w:sz w:val="24"/>
          <w:szCs w:val="24"/>
        </w:rPr>
        <w:t xml:space="preserve"> </w:t>
      </w:r>
      <w:proofErr w:type="gramStart"/>
      <w:r w:rsidR="00954C61" w:rsidRPr="00BE38D7">
        <w:rPr>
          <w:rFonts w:ascii="Arial" w:hAnsi="Arial" w:cs="Arial"/>
          <w:sz w:val="24"/>
          <w:szCs w:val="24"/>
        </w:rPr>
        <w:t>the</w:t>
      </w:r>
      <w:proofErr w:type="gramEnd"/>
      <w:r w:rsidR="00954C61" w:rsidRPr="00BE38D7">
        <w:rPr>
          <w:rFonts w:ascii="Arial" w:hAnsi="Arial" w:cs="Arial"/>
          <w:sz w:val="24"/>
          <w:szCs w:val="24"/>
        </w:rPr>
        <w:t xml:space="preserve"> EC decision comp</w:t>
      </w:r>
      <w:r w:rsidR="00212E4A" w:rsidRPr="00BE38D7">
        <w:rPr>
          <w:rFonts w:ascii="Arial" w:hAnsi="Arial" w:cs="Arial"/>
          <w:sz w:val="24"/>
          <w:szCs w:val="24"/>
        </w:rPr>
        <w:t>lied</w:t>
      </w:r>
      <w:r w:rsidR="00954C61" w:rsidRPr="00BE38D7">
        <w:rPr>
          <w:rFonts w:ascii="Arial" w:hAnsi="Arial" w:cs="Arial"/>
          <w:sz w:val="24"/>
          <w:szCs w:val="24"/>
        </w:rPr>
        <w:t xml:space="preserve"> with section 5</w:t>
      </w:r>
      <w:r w:rsidR="00212E4A" w:rsidRPr="00BE38D7">
        <w:rPr>
          <w:rFonts w:ascii="Arial" w:hAnsi="Arial" w:cs="Arial"/>
          <w:sz w:val="24"/>
          <w:szCs w:val="24"/>
        </w:rPr>
        <w:t>(1)</w:t>
      </w:r>
      <w:r w:rsidR="00954C61" w:rsidRPr="00BE38D7">
        <w:rPr>
          <w:rFonts w:ascii="Arial" w:hAnsi="Arial" w:cs="Arial"/>
          <w:sz w:val="24"/>
          <w:szCs w:val="24"/>
        </w:rPr>
        <w:t>(a)</w:t>
      </w:r>
      <w:r w:rsidR="00B50A67" w:rsidRPr="00BE38D7">
        <w:rPr>
          <w:rFonts w:ascii="Arial" w:hAnsi="Arial" w:cs="Arial"/>
          <w:sz w:val="24"/>
          <w:szCs w:val="24"/>
        </w:rPr>
        <w:t xml:space="preserve"> of the GMO </w:t>
      </w:r>
      <w:r w:rsidR="00BB1105" w:rsidRPr="00BE38D7">
        <w:rPr>
          <w:rFonts w:ascii="Arial" w:hAnsi="Arial" w:cs="Arial"/>
          <w:sz w:val="24"/>
          <w:szCs w:val="24"/>
        </w:rPr>
        <w:t>Act.</w:t>
      </w:r>
    </w:p>
    <w:p w14:paraId="1CF4CF9C" w14:textId="6B808B6E" w:rsidR="00B50A67" w:rsidRPr="00BE38D7" w:rsidRDefault="00BE38D7" w:rsidP="00BE38D7">
      <w:pPr>
        <w:spacing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50A67" w:rsidRPr="00BE38D7">
        <w:rPr>
          <w:rFonts w:ascii="Arial" w:hAnsi="Arial" w:cs="Arial"/>
          <w:sz w:val="24"/>
          <w:szCs w:val="24"/>
        </w:rPr>
        <w:t xml:space="preserve"> </w:t>
      </w:r>
      <w:proofErr w:type="gramStart"/>
      <w:r w:rsidR="00B50A67" w:rsidRPr="00BE38D7">
        <w:rPr>
          <w:rFonts w:ascii="Arial" w:hAnsi="Arial" w:cs="Arial"/>
          <w:sz w:val="24"/>
          <w:szCs w:val="24"/>
        </w:rPr>
        <w:t>the</w:t>
      </w:r>
      <w:proofErr w:type="gramEnd"/>
      <w:r w:rsidR="00B50A67" w:rsidRPr="00BE38D7">
        <w:rPr>
          <w:rFonts w:ascii="Arial" w:hAnsi="Arial" w:cs="Arial"/>
          <w:sz w:val="24"/>
          <w:szCs w:val="24"/>
        </w:rPr>
        <w:t xml:space="preserve"> EC decision was procedurally </w:t>
      </w:r>
      <w:r w:rsidR="00BB1105" w:rsidRPr="00BE38D7">
        <w:rPr>
          <w:rFonts w:ascii="Arial" w:hAnsi="Arial" w:cs="Arial"/>
          <w:sz w:val="24"/>
          <w:szCs w:val="24"/>
        </w:rPr>
        <w:t>fair.</w:t>
      </w:r>
    </w:p>
    <w:p w14:paraId="76CD5754" w14:textId="373469B2" w:rsidR="00983D3D" w:rsidRPr="00BE38D7" w:rsidRDefault="00BE38D7" w:rsidP="00BE38D7">
      <w:pPr>
        <w:spacing w:line="36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983D3D" w:rsidRPr="00BE38D7">
        <w:rPr>
          <w:rFonts w:ascii="Arial" w:hAnsi="Arial" w:cs="Arial"/>
          <w:sz w:val="24"/>
          <w:szCs w:val="24"/>
        </w:rPr>
        <w:t xml:space="preserve"> </w:t>
      </w:r>
      <w:proofErr w:type="gramStart"/>
      <w:r w:rsidR="00983D3D" w:rsidRPr="00BE38D7">
        <w:rPr>
          <w:rFonts w:ascii="Arial" w:hAnsi="Arial" w:cs="Arial"/>
          <w:sz w:val="24"/>
          <w:szCs w:val="24"/>
        </w:rPr>
        <w:t>the</w:t>
      </w:r>
      <w:proofErr w:type="gramEnd"/>
      <w:r w:rsidR="00983D3D" w:rsidRPr="00BE38D7">
        <w:rPr>
          <w:rFonts w:ascii="Arial" w:hAnsi="Arial" w:cs="Arial"/>
          <w:sz w:val="24"/>
          <w:szCs w:val="24"/>
        </w:rPr>
        <w:t xml:space="preserve"> EC provided adequate reasons for its </w:t>
      </w:r>
      <w:r w:rsidR="00DA75A5" w:rsidRPr="00BE38D7">
        <w:rPr>
          <w:rFonts w:ascii="Arial" w:hAnsi="Arial" w:cs="Arial"/>
          <w:sz w:val="24"/>
          <w:szCs w:val="24"/>
        </w:rPr>
        <w:t>decision.</w:t>
      </w:r>
    </w:p>
    <w:p w14:paraId="3E9C328B" w14:textId="74BF7DE9" w:rsidR="00B50A67" w:rsidRPr="00BE38D7" w:rsidRDefault="00BE38D7" w:rsidP="00BE38D7">
      <w:pPr>
        <w:spacing w:line="360" w:lineRule="auto"/>
        <w:ind w:left="108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50A67" w:rsidRPr="00BE38D7">
        <w:rPr>
          <w:rFonts w:ascii="Arial" w:hAnsi="Arial" w:cs="Arial"/>
          <w:sz w:val="24"/>
          <w:szCs w:val="24"/>
        </w:rPr>
        <w:t xml:space="preserve"> </w:t>
      </w:r>
      <w:proofErr w:type="gramStart"/>
      <w:r w:rsidR="00B50A67" w:rsidRPr="00BE38D7">
        <w:rPr>
          <w:rFonts w:ascii="Arial" w:hAnsi="Arial" w:cs="Arial"/>
          <w:sz w:val="24"/>
          <w:szCs w:val="24"/>
        </w:rPr>
        <w:t>the</w:t>
      </w:r>
      <w:proofErr w:type="gramEnd"/>
      <w:r w:rsidR="00B50A67" w:rsidRPr="00BE38D7">
        <w:rPr>
          <w:rFonts w:ascii="Arial" w:hAnsi="Arial" w:cs="Arial"/>
          <w:sz w:val="24"/>
          <w:szCs w:val="24"/>
        </w:rPr>
        <w:t xml:space="preserve"> EC failed to apply its mind to the information provided</w:t>
      </w:r>
      <w:r w:rsidR="00DA75A5" w:rsidRPr="00BE38D7">
        <w:rPr>
          <w:rFonts w:ascii="Arial" w:hAnsi="Arial" w:cs="Arial"/>
          <w:sz w:val="24"/>
          <w:szCs w:val="24"/>
        </w:rPr>
        <w:t>.</w:t>
      </w:r>
    </w:p>
    <w:p w14:paraId="094BD03F" w14:textId="53547AA7" w:rsidR="00B50A67" w:rsidRPr="00BE38D7" w:rsidRDefault="00BE38D7" w:rsidP="00BE38D7">
      <w:pPr>
        <w:spacing w:line="360" w:lineRule="auto"/>
        <w:ind w:left="108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983D3D" w:rsidRPr="00BE38D7">
        <w:rPr>
          <w:rFonts w:ascii="Arial" w:hAnsi="Arial" w:cs="Arial"/>
          <w:sz w:val="24"/>
          <w:szCs w:val="24"/>
        </w:rPr>
        <w:t xml:space="preserve"> </w:t>
      </w:r>
      <w:proofErr w:type="gramStart"/>
      <w:r w:rsidR="00983D3D" w:rsidRPr="00BE38D7">
        <w:rPr>
          <w:rFonts w:ascii="Arial" w:hAnsi="Arial" w:cs="Arial"/>
          <w:sz w:val="24"/>
          <w:szCs w:val="24"/>
        </w:rPr>
        <w:t>the</w:t>
      </w:r>
      <w:proofErr w:type="gramEnd"/>
      <w:r w:rsidR="00983D3D" w:rsidRPr="00BE38D7">
        <w:rPr>
          <w:rFonts w:ascii="Arial" w:hAnsi="Arial" w:cs="Arial"/>
          <w:sz w:val="24"/>
          <w:szCs w:val="24"/>
        </w:rPr>
        <w:t xml:space="preserve"> EC’s decision was supported by the evidence before </w:t>
      </w:r>
      <w:r w:rsidR="00DA75A5" w:rsidRPr="00BE38D7">
        <w:rPr>
          <w:rFonts w:ascii="Arial" w:hAnsi="Arial" w:cs="Arial"/>
          <w:sz w:val="24"/>
          <w:szCs w:val="24"/>
        </w:rPr>
        <w:t>it.</w:t>
      </w:r>
    </w:p>
    <w:p w14:paraId="3C80BAE2" w14:textId="42194CBE" w:rsidR="00983D3D" w:rsidRPr="00BE38D7" w:rsidRDefault="00BE38D7" w:rsidP="00BE38D7">
      <w:pPr>
        <w:spacing w:line="360" w:lineRule="auto"/>
        <w:ind w:left="108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006547DA" w:rsidRPr="00BE38D7">
        <w:rPr>
          <w:rFonts w:ascii="Arial" w:hAnsi="Arial" w:cs="Arial"/>
          <w:sz w:val="24"/>
          <w:szCs w:val="24"/>
        </w:rPr>
        <w:t xml:space="preserve"> </w:t>
      </w:r>
      <w:proofErr w:type="gramStart"/>
      <w:r w:rsidR="006547DA" w:rsidRPr="00BE38D7">
        <w:rPr>
          <w:rFonts w:ascii="Arial" w:hAnsi="Arial" w:cs="Arial"/>
          <w:sz w:val="24"/>
          <w:szCs w:val="24"/>
        </w:rPr>
        <w:t>the</w:t>
      </w:r>
      <w:proofErr w:type="gramEnd"/>
      <w:r w:rsidR="006547DA" w:rsidRPr="00BE38D7">
        <w:rPr>
          <w:rFonts w:ascii="Arial" w:hAnsi="Arial" w:cs="Arial"/>
          <w:sz w:val="24"/>
          <w:szCs w:val="24"/>
        </w:rPr>
        <w:t xml:space="preserve"> Appeal Board adequately addressed the appeal grounds raised by the </w:t>
      </w:r>
      <w:r w:rsidR="00DA75A5" w:rsidRPr="00BE38D7">
        <w:rPr>
          <w:rFonts w:ascii="Arial" w:hAnsi="Arial" w:cs="Arial"/>
          <w:sz w:val="24"/>
          <w:szCs w:val="24"/>
        </w:rPr>
        <w:t>applicant.</w:t>
      </w:r>
    </w:p>
    <w:p w14:paraId="318E3A35" w14:textId="77777777" w:rsidR="006547DA" w:rsidRPr="0067591D" w:rsidRDefault="0067591D" w:rsidP="0067591D">
      <w:pPr>
        <w:spacing w:line="360" w:lineRule="auto"/>
        <w:ind w:left="720"/>
        <w:jc w:val="both"/>
        <w:rPr>
          <w:rFonts w:ascii="Arial" w:hAnsi="Arial" w:cs="Arial"/>
          <w:sz w:val="24"/>
          <w:szCs w:val="24"/>
        </w:rPr>
      </w:pPr>
      <w:r>
        <w:rPr>
          <w:rFonts w:ascii="Arial" w:hAnsi="Arial" w:cs="Arial"/>
          <w:sz w:val="24"/>
          <w:szCs w:val="24"/>
        </w:rPr>
        <w:t>g)</w:t>
      </w:r>
      <w:r w:rsidR="00CB47D9" w:rsidRPr="0067591D">
        <w:rPr>
          <w:rFonts w:ascii="Arial" w:hAnsi="Arial" w:cs="Arial"/>
          <w:sz w:val="24"/>
          <w:szCs w:val="24"/>
        </w:rPr>
        <w:t xml:space="preserve"> </w:t>
      </w:r>
      <w:proofErr w:type="gramStart"/>
      <w:r w:rsidR="00CB47D9" w:rsidRPr="0067591D">
        <w:rPr>
          <w:rFonts w:ascii="Arial" w:hAnsi="Arial" w:cs="Arial"/>
          <w:sz w:val="24"/>
          <w:szCs w:val="24"/>
        </w:rPr>
        <w:t>the</w:t>
      </w:r>
      <w:proofErr w:type="gramEnd"/>
      <w:r w:rsidR="00CB47D9" w:rsidRPr="0067591D">
        <w:rPr>
          <w:rFonts w:ascii="Arial" w:hAnsi="Arial" w:cs="Arial"/>
          <w:sz w:val="24"/>
          <w:szCs w:val="24"/>
        </w:rPr>
        <w:t xml:space="preserve"> Minister failed to give reasons for </w:t>
      </w:r>
      <w:r w:rsidR="00E52E02">
        <w:rPr>
          <w:rFonts w:ascii="Arial" w:hAnsi="Arial" w:cs="Arial"/>
          <w:sz w:val="24"/>
          <w:szCs w:val="24"/>
        </w:rPr>
        <w:t>her</w:t>
      </w:r>
      <w:r w:rsidR="00CB47D9" w:rsidRPr="0067591D">
        <w:rPr>
          <w:rFonts w:ascii="Arial" w:hAnsi="Arial" w:cs="Arial"/>
          <w:sz w:val="24"/>
          <w:szCs w:val="24"/>
        </w:rPr>
        <w:t xml:space="preserve"> decision or failed to engage with the issues </w:t>
      </w:r>
      <w:r w:rsidR="002D211B" w:rsidRPr="0067591D">
        <w:rPr>
          <w:rFonts w:ascii="Arial" w:hAnsi="Arial" w:cs="Arial"/>
          <w:sz w:val="24"/>
          <w:szCs w:val="24"/>
        </w:rPr>
        <w:t xml:space="preserve">before the EC and Appeal </w:t>
      </w:r>
      <w:r w:rsidR="00704D13" w:rsidRPr="0067591D">
        <w:rPr>
          <w:rFonts w:ascii="Arial" w:hAnsi="Arial" w:cs="Arial"/>
          <w:sz w:val="24"/>
          <w:szCs w:val="24"/>
        </w:rPr>
        <w:t>Board.</w:t>
      </w:r>
    </w:p>
    <w:p w14:paraId="385BCF62" w14:textId="77777777" w:rsidR="00CB47D9" w:rsidRDefault="006A6105" w:rsidP="0067591D">
      <w:pPr>
        <w:spacing w:line="360" w:lineRule="auto"/>
        <w:ind w:left="720"/>
        <w:jc w:val="both"/>
        <w:rPr>
          <w:rFonts w:ascii="Arial" w:hAnsi="Arial" w:cs="Arial"/>
          <w:sz w:val="24"/>
          <w:szCs w:val="24"/>
        </w:rPr>
      </w:pPr>
      <w:r>
        <w:rPr>
          <w:rFonts w:ascii="Arial" w:hAnsi="Arial" w:cs="Arial"/>
          <w:sz w:val="24"/>
          <w:szCs w:val="24"/>
        </w:rPr>
        <w:t xml:space="preserve">h) </w:t>
      </w:r>
      <w:r w:rsidR="002D211B" w:rsidRPr="0067591D">
        <w:rPr>
          <w:rFonts w:ascii="Arial" w:hAnsi="Arial" w:cs="Arial"/>
          <w:sz w:val="24"/>
          <w:szCs w:val="24"/>
        </w:rPr>
        <w:t xml:space="preserve">the application for the general release of MON87460 ought to be </w:t>
      </w:r>
      <w:r w:rsidR="00B3220E" w:rsidRPr="0067591D">
        <w:rPr>
          <w:rFonts w:ascii="Arial" w:hAnsi="Arial" w:cs="Arial"/>
          <w:sz w:val="24"/>
          <w:szCs w:val="24"/>
        </w:rPr>
        <w:t>referred</w:t>
      </w:r>
      <w:r w:rsidR="002D211B" w:rsidRPr="0067591D">
        <w:rPr>
          <w:rFonts w:ascii="Arial" w:hAnsi="Arial" w:cs="Arial"/>
          <w:sz w:val="24"/>
          <w:szCs w:val="24"/>
        </w:rPr>
        <w:t xml:space="preserve"> to the EC for reconsideration.</w:t>
      </w:r>
    </w:p>
    <w:p w14:paraId="352FAB0F" w14:textId="77777777" w:rsidR="00BD5C8E" w:rsidRPr="0067591D" w:rsidRDefault="00BD5C8E" w:rsidP="0067591D">
      <w:pPr>
        <w:spacing w:line="360" w:lineRule="auto"/>
        <w:ind w:left="720"/>
        <w:jc w:val="both"/>
        <w:rPr>
          <w:rFonts w:ascii="Arial" w:hAnsi="Arial" w:cs="Arial"/>
          <w:sz w:val="24"/>
          <w:szCs w:val="24"/>
        </w:rPr>
      </w:pPr>
    </w:p>
    <w:p w14:paraId="00C22ABB" w14:textId="77777777" w:rsidR="00E23109" w:rsidRDefault="002D211B" w:rsidP="00E04218">
      <w:pPr>
        <w:spacing w:line="360" w:lineRule="auto"/>
        <w:jc w:val="both"/>
        <w:rPr>
          <w:rFonts w:ascii="Arial" w:hAnsi="Arial" w:cs="Arial"/>
          <w:sz w:val="24"/>
          <w:szCs w:val="24"/>
          <w:u w:val="single"/>
        </w:rPr>
      </w:pPr>
      <w:r w:rsidRPr="002D211B">
        <w:rPr>
          <w:rFonts w:ascii="Arial" w:hAnsi="Arial" w:cs="Arial"/>
          <w:sz w:val="24"/>
          <w:szCs w:val="24"/>
          <w:u w:val="single"/>
        </w:rPr>
        <w:t>Review p</w:t>
      </w:r>
      <w:r w:rsidR="00E04218">
        <w:rPr>
          <w:rFonts w:ascii="Arial" w:hAnsi="Arial" w:cs="Arial"/>
          <w:sz w:val="24"/>
          <w:szCs w:val="24"/>
          <w:u w:val="single"/>
        </w:rPr>
        <w:t>roceedings</w:t>
      </w:r>
    </w:p>
    <w:p w14:paraId="33EDF7F7" w14:textId="77777777" w:rsidR="00E04218" w:rsidRDefault="00E04218" w:rsidP="00E04218">
      <w:pPr>
        <w:spacing w:line="360" w:lineRule="auto"/>
        <w:jc w:val="both"/>
        <w:rPr>
          <w:rFonts w:ascii="Arial" w:hAnsi="Arial" w:cs="Arial"/>
          <w:sz w:val="24"/>
          <w:szCs w:val="24"/>
          <w:u w:val="single"/>
        </w:rPr>
      </w:pPr>
    </w:p>
    <w:p w14:paraId="4B4E82C4" w14:textId="5FB11DF1" w:rsidR="00E04218"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8.</w:t>
      </w:r>
      <w:r>
        <w:rPr>
          <w:rFonts w:ascii="Arial" w:hAnsi="Arial" w:cs="Arial"/>
          <w:color w:val="000000" w:themeColor="text1"/>
          <w:sz w:val="24"/>
          <w:szCs w:val="24"/>
        </w:rPr>
        <w:tab/>
      </w:r>
      <w:r w:rsidR="00E63586" w:rsidRPr="00BE38D7">
        <w:rPr>
          <w:rFonts w:ascii="Arial" w:hAnsi="Arial" w:cs="Arial"/>
          <w:sz w:val="24"/>
          <w:szCs w:val="24"/>
        </w:rPr>
        <w:t>It</w:t>
      </w:r>
      <w:r w:rsidR="00FD0BF4" w:rsidRPr="00BE38D7">
        <w:rPr>
          <w:rFonts w:ascii="Arial" w:hAnsi="Arial" w:cs="Arial"/>
          <w:sz w:val="24"/>
          <w:szCs w:val="24"/>
        </w:rPr>
        <w:t xml:space="preserve"> is trite</w:t>
      </w:r>
      <w:r w:rsidR="00A83297" w:rsidRPr="00BE38D7">
        <w:rPr>
          <w:rFonts w:ascii="Arial" w:hAnsi="Arial" w:cs="Arial"/>
          <w:sz w:val="24"/>
          <w:szCs w:val="24"/>
        </w:rPr>
        <w:t xml:space="preserve"> that</w:t>
      </w:r>
      <w:r w:rsidR="005A65E6" w:rsidRPr="00BE38D7">
        <w:rPr>
          <w:rFonts w:ascii="Arial" w:hAnsi="Arial" w:cs="Arial"/>
          <w:sz w:val="24"/>
          <w:szCs w:val="24"/>
        </w:rPr>
        <w:t xml:space="preserve"> in review proceedings</w:t>
      </w:r>
      <w:r w:rsidR="00FD0BF4" w:rsidRPr="00BE38D7">
        <w:rPr>
          <w:rFonts w:ascii="Arial" w:hAnsi="Arial" w:cs="Arial"/>
          <w:sz w:val="24"/>
          <w:szCs w:val="24"/>
        </w:rPr>
        <w:t xml:space="preserve"> that</w:t>
      </w:r>
      <w:r w:rsidR="005A65E6" w:rsidRPr="00BE38D7">
        <w:rPr>
          <w:rFonts w:ascii="Arial" w:hAnsi="Arial" w:cs="Arial"/>
          <w:sz w:val="24"/>
          <w:szCs w:val="24"/>
        </w:rPr>
        <w:t xml:space="preserve"> the question is not wh</w:t>
      </w:r>
      <w:r w:rsidR="00B566C4" w:rsidRPr="00BE38D7">
        <w:rPr>
          <w:rFonts w:ascii="Arial" w:hAnsi="Arial" w:cs="Arial"/>
          <w:sz w:val="24"/>
          <w:szCs w:val="24"/>
        </w:rPr>
        <w:t>e</w:t>
      </w:r>
      <w:r w:rsidR="005A65E6" w:rsidRPr="00BE38D7">
        <w:rPr>
          <w:rFonts w:ascii="Arial" w:hAnsi="Arial" w:cs="Arial"/>
          <w:sz w:val="24"/>
          <w:szCs w:val="24"/>
        </w:rPr>
        <w:t>ther the relevant decision is correct, it is whether the decision maker exercised its powers properly. The focus thus is on the process and the way in which the decision maker came to the decision</w:t>
      </w:r>
      <w:r w:rsidR="008B1CE9" w:rsidRPr="00BE38D7">
        <w:rPr>
          <w:rFonts w:ascii="Arial" w:hAnsi="Arial" w:cs="Arial"/>
          <w:sz w:val="24"/>
          <w:szCs w:val="24"/>
        </w:rPr>
        <w:t>.</w:t>
      </w:r>
      <w:r w:rsidR="008B1CE9">
        <w:rPr>
          <w:rStyle w:val="FootnoteReference"/>
          <w:rFonts w:ascii="Arial" w:hAnsi="Arial" w:cs="Arial"/>
          <w:sz w:val="24"/>
          <w:szCs w:val="24"/>
        </w:rPr>
        <w:footnoteReference w:id="3"/>
      </w:r>
      <w:r w:rsidR="00B566C4" w:rsidRPr="00BE38D7">
        <w:rPr>
          <w:rFonts w:ascii="Arial" w:hAnsi="Arial" w:cs="Arial"/>
          <w:sz w:val="24"/>
          <w:szCs w:val="24"/>
        </w:rPr>
        <w:t xml:space="preserve"> </w:t>
      </w:r>
      <w:r w:rsidR="00F24A7B" w:rsidRPr="00BE38D7">
        <w:rPr>
          <w:rFonts w:ascii="Arial" w:hAnsi="Arial" w:cs="Arial"/>
          <w:sz w:val="24"/>
          <w:szCs w:val="24"/>
        </w:rPr>
        <w:t>It is common cause</w:t>
      </w:r>
      <w:r w:rsidR="002B615C" w:rsidRPr="00BE38D7">
        <w:rPr>
          <w:rFonts w:ascii="Arial" w:hAnsi="Arial" w:cs="Arial"/>
          <w:sz w:val="24"/>
          <w:szCs w:val="24"/>
        </w:rPr>
        <w:t xml:space="preserve"> </w:t>
      </w:r>
      <w:r w:rsidR="00B566C4" w:rsidRPr="00BE38D7">
        <w:rPr>
          <w:rFonts w:ascii="Arial" w:hAnsi="Arial" w:cs="Arial"/>
          <w:sz w:val="24"/>
          <w:szCs w:val="24"/>
        </w:rPr>
        <w:t>that the decision</w:t>
      </w:r>
      <w:r w:rsidR="002943D9" w:rsidRPr="00BE38D7">
        <w:rPr>
          <w:rFonts w:ascii="Arial" w:hAnsi="Arial" w:cs="Arial"/>
          <w:sz w:val="24"/>
          <w:szCs w:val="24"/>
        </w:rPr>
        <w:t>s</w:t>
      </w:r>
      <w:r w:rsidR="008E79AD" w:rsidRPr="00BE38D7">
        <w:rPr>
          <w:rFonts w:ascii="Arial" w:hAnsi="Arial" w:cs="Arial"/>
          <w:sz w:val="24"/>
          <w:szCs w:val="24"/>
        </w:rPr>
        <w:t xml:space="preserve"> made</w:t>
      </w:r>
      <w:r w:rsidR="00B566C4" w:rsidRPr="00BE38D7">
        <w:rPr>
          <w:rFonts w:ascii="Arial" w:hAnsi="Arial" w:cs="Arial"/>
          <w:sz w:val="24"/>
          <w:szCs w:val="24"/>
        </w:rPr>
        <w:t xml:space="preserve"> in this matter</w:t>
      </w:r>
      <w:r w:rsidR="008E79AD" w:rsidRPr="00BE38D7">
        <w:rPr>
          <w:rFonts w:ascii="Arial" w:hAnsi="Arial" w:cs="Arial"/>
          <w:sz w:val="24"/>
          <w:szCs w:val="24"/>
        </w:rPr>
        <w:t xml:space="preserve"> are</w:t>
      </w:r>
      <w:r w:rsidR="00B566C4" w:rsidRPr="00BE38D7">
        <w:rPr>
          <w:rFonts w:ascii="Arial" w:hAnsi="Arial" w:cs="Arial"/>
          <w:sz w:val="24"/>
          <w:szCs w:val="24"/>
        </w:rPr>
        <w:t xml:space="preserve"> administrative actions and </w:t>
      </w:r>
      <w:r w:rsidR="00022DAB" w:rsidRPr="00BE38D7">
        <w:rPr>
          <w:rFonts w:ascii="Arial" w:hAnsi="Arial" w:cs="Arial"/>
          <w:sz w:val="24"/>
          <w:szCs w:val="24"/>
        </w:rPr>
        <w:t>that ACB</w:t>
      </w:r>
      <w:r w:rsidR="00B566C4" w:rsidRPr="00BE38D7">
        <w:rPr>
          <w:rFonts w:ascii="Arial" w:hAnsi="Arial" w:cs="Arial"/>
          <w:sz w:val="24"/>
          <w:szCs w:val="24"/>
        </w:rPr>
        <w:t xml:space="preserve"> must establish grounds of review under</w:t>
      </w:r>
      <w:r w:rsidR="00247F8E" w:rsidRPr="00BE38D7">
        <w:rPr>
          <w:rFonts w:ascii="Arial" w:hAnsi="Arial" w:cs="Arial"/>
          <w:sz w:val="24"/>
          <w:szCs w:val="24"/>
        </w:rPr>
        <w:t xml:space="preserve"> PAJA</w:t>
      </w:r>
      <w:r w:rsidR="00D63B1A" w:rsidRPr="00BE38D7">
        <w:rPr>
          <w:rFonts w:ascii="Arial" w:hAnsi="Arial" w:cs="Arial"/>
          <w:sz w:val="24"/>
          <w:szCs w:val="24"/>
        </w:rPr>
        <w:t xml:space="preserve"> as the decisio</w:t>
      </w:r>
      <w:r w:rsidR="00526990" w:rsidRPr="00BE38D7">
        <w:rPr>
          <w:rFonts w:ascii="Arial" w:hAnsi="Arial" w:cs="Arial"/>
          <w:sz w:val="24"/>
          <w:szCs w:val="24"/>
        </w:rPr>
        <w:t xml:space="preserve">ns were </w:t>
      </w:r>
      <w:r w:rsidR="00F44D17" w:rsidRPr="00BE38D7">
        <w:rPr>
          <w:rFonts w:ascii="Arial" w:hAnsi="Arial" w:cs="Arial"/>
          <w:sz w:val="24"/>
          <w:szCs w:val="24"/>
        </w:rPr>
        <w:t>taken “by</w:t>
      </w:r>
      <w:r w:rsidR="006E7CBC" w:rsidRPr="00BE38D7">
        <w:rPr>
          <w:rFonts w:ascii="Arial" w:hAnsi="Arial" w:cs="Arial"/>
          <w:sz w:val="24"/>
          <w:szCs w:val="24"/>
        </w:rPr>
        <w:t xml:space="preserve"> an organ of State in the performance of a public </w:t>
      </w:r>
      <w:r w:rsidR="006E7CBC" w:rsidRPr="00BE38D7">
        <w:rPr>
          <w:rFonts w:ascii="Arial" w:hAnsi="Arial" w:cs="Arial"/>
          <w:sz w:val="24"/>
          <w:szCs w:val="24"/>
        </w:rPr>
        <w:lastRenderedPageBreak/>
        <w:t>function”</w:t>
      </w:r>
      <w:r w:rsidR="00FA2E89" w:rsidRPr="00A860C7">
        <w:rPr>
          <w:rStyle w:val="FootnoteReference"/>
          <w:rFonts w:ascii="Arial" w:hAnsi="Arial" w:cs="Arial"/>
          <w:sz w:val="24"/>
          <w:szCs w:val="24"/>
        </w:rPr>
        <w:footnoteReference w:id="4"/>
      </w:r>
      <w:r w:rsidR="00B566C4" w:rsidRPr="00BE38D7">
        <w:rPr>
          <w:rFonts w:ascii="Arial" w:hAnsi="Arial" w:cs="Arial"/>
          <w:sz w:val="24"/>
          <w:szCs w:val="24"/>
        </w:rPr>
        <w:t>.</w:t>
      </w:r>
      <w:r w:rsidR="00516BBB" w:rsidRPr="00BE38D7">
        <w:rPr>
          <w:rFonts w:ascii="Arial" w:hAnsi="Arial" w:cs="Arial"/>
          <w:sz w:val="24"/>
          <w:szCs w:val="24"/>
        </w:rPr>
        <w:t xml:space="preserve"> In review applications, the doctrine of separation of powers requires a </w:t>
      </w:r>
      <w:r w:rsidR="00FF4490" w:rsidRPr="00BE38D7">
        <w:rPr>
          <w:rFonts w:ascii="Arial" w:hAnsi="Arial" w:cs="Arial"/>
          <w:sz w:val="24"/>
          <w:szCs w:val="24"/>
        </w:rPr>
        <w:t>court, when</w:t>
      </w:r>
      <w:r w:rsidR="00516BBB" w:rsidRPr="00BE38D7">
        <w:rPr>
          <w:rFonts w:ascii="Arial" w:hAnsi="Arial" w:cs="Arial"/>
          <w:sz w:val="24"/>
          <w:szCs w:val="24"/>
        </w:rPr>
        <w:t xml:space="preserve"> reviewing administrative actions</w:t>
      </w:r>
      <w:r w:rsidR="005C7703" w:rsidRPr="00BE38D7">
        <w:rPr>
          <w:rFonts w:ascii="Arial" w:hAnsi="Arial" w:cs="Arial"/>
          <w:sz w:val="24"/>
          <w:szCs w:val="24"/>
        </w:rPr>
        <w:t>,</w:t>
      </w:r>
      <w:r w:rsidR="00516BBB" w:rsidRPr="00BE38D7">
        <w:rPr>
          <w:rFonts w:ascii="Arial" w:hAnsi="Arial" w:cs="Arial"/>
          <w:sz w:val="24"/>
          <w:szCs w:val="24"/>
        </w:rPr>
        <w:t xml:space="preserve"> to treat administrative decisions with appropriate </w:t>
      </w:r>
      <w:r w:rsidR="007B5124" w:rsidRPr="00BE38D7">
        <w:rPr>
          <w:rFonts w:ascii="Arial" w:hAnsi="Arial" w:cs="Arial"/>
          <w:sz w:val="24"/>
          <w:szCs w:val="24"/>
        </w:rPr>
        <w:t xml:space="preserve">deference and </w:t>
      </w:r>
      <w:r w:rsidR="00B03E48" w:rsidRPr="00BE38D7">
        <w:rPr>
          <w:rFonts w:ascii="Arial" w:hAnsi="Arial" w:cs="Arial"/>
          <w:sz w:val="24"/>
          <w:szCs w:val="24"/>
        </w:rPr>
        <w:t>respect and</w:t>
      </w:r>
      <w:r w:rsidR="007B5124" w:rsidRPr="00BE38D7">
        <w:rPr>
          <w:rFonts w:ascii="Arial" w:hAnsi="Arial" w:cs="Arial"/>
          <w:sz w:val="24"/>
          <w:szCs w:val="24"/>
        </w:rPr>
        <w:t xml:space="preserve"> is</w:t>
      </w:r>
      <w:r w:rsidR="00516BBB" w:rsidRPr="00BE38D7">
        <w:rPr>
          <w:rFonts w:ascii="Arial" w:hAnsi="Arial" w:cs="Arial"/>
          <w:sz w:val="24"/>
          <w:szCs w:val="24"/>
        </w:rPr>
        <w:t xml:space="preserve"> required to “give due weight to </w:t>
      </w:r>
      <w:r w:rsidR="00DC0913" w:rsidRPr="00BE38D7">
        <w:rPr>
          <w:rFonts w:ascii="Arial" w:hAnsi="Arial" w:cs="Arial"/>
          <w:sz w:val="24"/>
          <w:szCs w:val="24"/>
        </w:rPr>
        <w:t>findings of fact and policy decisions made by those with special expertise and experience in the field</w:t>
      </w:r>
      <w:r w:rsidR="004D08AA" w:rsidRPr="00BE38D7">
        <w:rPr>
          <w:rFonts w:ascii="Arial" w:hAnsi="Arial" w:cs="Arial"/>
          <w:sz w:val="24"/>
          <w:szCs w:val="24"/>
        </w:rPr>
        <w:t>.</w:t>
      </w:r>
      <w:r w:rsidR="00516BBB" w:rsidRPr="00BE38D7">
        <w:rPr>
          <w:rFonts w:ascii="Arial" w:hAnsi="Arial" w:cs="Arial"/>
          <w:sz w:val="24"/>
          <w:szCs w:val="24"/>
        </w:rPr>
        <w:t>”</w:t>
      </w:r>
      <w:r w:rsidR="00FA2E89">
        <w:rPr>
          <w:rStyle w:val="FootnoteReference"/>
          <w:rFonts w:ascii="Arial" w:hAnsi="Arial" w:cs="Arial"/>
          <w:sz w:val="24"/>
          <w:szCs w:val="24"/>
        </w:rPr>
        <w:footnoteReference w:id="5"/>
      </w:r>
    </w:p>
    <w:p w14:paraId="1DFB7BD9" w14:textId="77777777" w:rsidR="004D08AA" w:rsidRDefault="004D08AA" w:rsidP="004D08AA">
      <w:pPr>
        <w:spacing w:line="360" w:lineRule="auto"/>
        <w:jc w:val="both"/>
        <w:rPr>
          <w:rFonts w:ascii="Arial" w:hAnsi="Arial" w:cs="Arial"/>
          <w:sz w:val="24"/>
          <w:szCs w:val="24"/>
        </w:rPr>
      </w:pPr>
    </w:p>
    <w:p w14:paraId="53CAFF82" w14:textId="689E1DE5" w:rsidR="004D08AA"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9.</w:t>
      </w:r>
      <w:r>
        <w:rPr>
          <w:rFonts w:ascii="Arial" w:hAnsi="Arial" w:cs="Arial"/>
          <w:color w:val="000000" w:themeColor="text1"/>
          <w:sz w:val="24"/>
          <w:szCs w:val="24"/>
        </w:rPr>
        <w:tab/>
      </w:r>
      <w:r w:rsidR="004D08AA" w:rsidRPr="00BE38D7">
        <w:rPr>
          <w:rFonts w:ascii="Arial" w:hAnsi="Arial" w:cs="Arial"/>
          <w:sz w:val="24"/>
          <w:szCs w:val="24"/>
        </w:rPr>
        <w:t>In this case, the court is confronted with disputes of fact as the experts of ACB have conflicting views with the experts of the Adv</w:t>
      </w:r>
      <w:r w:rsidR="006F64B4" w:rsidRPr="00BE38D7">
        <w:rPr>
          <w:rFonts w:ascii="Arial" w:hAnsi="Arial" w:cs="Arial"/>
          <w:sz w:val="24"/>
          <w:szCs w:val="24"/>
        </w:rPr>
        <w:t>isory Committee (AC)</w:t>
      </w:r>
      <w:r w:rsidR="00BE3D7B" w:rsidRPr="00BE38D7">
        <w:rPr>
          <w:rFonts w:ascii="Arial" w:hAnsi="Arial" w:cs="Arial"/>
          <w:sz w:val="24"/>
          <w:szCs w:val="24"/>
        </w:rPr>
        <w:t>,</w:t>
      </w:r>
      <w:r w:rsidR="004D08AA" w:rsidRPr="00BE38D7">
        <w:rPr>
          <w:rFonts w:ascii="Arial" w:hAnsi="Arial" w:cs="Arial"/>
          <w:sz w:val="24"/>
          <w:szCs w:val="24"/>
        </w:rPr>
        <w:t xml:space="preserve"> who advised </w:t>
      </w:r>
      <w:r w:rsidR="00715CAD" w:rsidRPr="00BE38D7">
        <w:rPr>
          <w:rFonts w:ascii="Arial" w:hAnsi="Arial" w:cs="Arial"/>
          <w:sz w:val="24"/>
          <w:szCs w:val="24"/>
        </w:rPr>
        <w:t>the EC</w:t>
      </w:r>
      <w:r w:rsidR="00BE3D7B" w:rsidRPr="00BE38D7">
        <w:rPr>
          <w:rFonts w:ascii="Arial" w:hAnsi="Arial" w:cs="Arial"/>
          <w:sz w:val="24"/>
          <w:szCs w:val="24"/>
        </w:rPr>
        <w:t>,</w:t>
      </w:r>
      <w:r w:rsidR="00715CAD" w:rsidRPr="00BE38D7">
        <w:rPr>
          <w:rFonts w:ascii="Arial" w:hAnsi="Arial" w:cs="Arial"/>
          <w:sz w:val="24"/>
          <w:szCs w:val="24"/>
        </w:rPr>
        <w:t xml:space="preserve"> and those</w:t>
      </w:r>
      <w:r w:rsidR="00D05966" w:rsidRPr="00BE38D7">
        <w:rPr>
          <w:rFonts w:ascii="Arial" w:hAnsi="Arial" w:cs="Arial"/>
          <w:sz w:val="24"/>
          <w:szCs w:val="24"/>
        </w:rPr>
        <w:t xml:space="preserve"> experts</w:t>
      </w:r>
      <w:r w:rsidR="00715CAD" w:rsidRPr="00BE38D7">
        <w:rPr>
          <w:rFonts w:ascii="Arial" w:hAnsi="Arial" w:cs="Arial"/>
          <w:sz w:val="24"/>
          <w:szCs w:val="24"/>
        </w:rPr>
        <w:t xml:space="preserve"> </w:t>
      </w:r>
      <w:r w:rsidR="00D05966" w:rsidRPr="00BE38D7">
        <w:rPr>
          <w:rFonts w:ascii="Arial" w:hAnsi="Arial" w:cs="Arial"/>
          <w:sz w:val="24"/>
          <w:szCs w:val="24"/>
        </w:rPr>
        <w:t>consulted</w:t>
      </w:r>
      <w:r w:rsidR="00715CAD" w:rsidRPr="00BE38D7">
        <w:rPr>
          <w:rFonts w:ascii="Arial" w:hAnsi="Arial" w:cs="Arial"/>
          <w:sz w:val="24"/>
          <w:szCs w:val="24"/>
        </w:rPr>
        <w:t xml:space="preserve"> by Monsanto</w:t>
      </w:r>
      <w:r w:rsidR="00933568" w:rsidRPr="00BE38D7">
        <w:rPr>
          <w:rFonts w:ascii="Arial" w:hAnsi="Arial" w:cs="Arial"/>
          <w:sz w:val="24"/>
          <w:szCs w:val="24"/>
        </w:rPr>
        <w:t>.</w:t>
      </w:r>
      <w:r w:rsidR="00715CAD" w:rsidRPr="00BE38D7">
        <w:rPr>
          <w:rFonts w:ascii="Arial" w:hAnsi="Arial" w:cs="Arial"/>
          <w:sz w:val="24"/>
          <w:szCs w:val="24"/>
        </w:rPr>
        <w:t xml:space="preserve"> ACB accepted that there are disputes</w:t>
      </w:r>
      <w:r w:rsidR="00185D09" w:rsidRPr="00BE38D7">
        <w:rPr>
          <w:rFonts w:ascii="Arial" w:hAnsi="Arial" w:cs="Arial"/>
          <w:sz w:val="24"/>
          <w:szCs w:val="24"/>
        </w:rPr>
        <w:t xml:space="preserve"> between the relevant experts</w:t>
      </w:r>
      <w:r w:rsidR="006E62F6" w:rsidRPr="00BE38D7">
        <w:rPr>
          <w:rFonts w:ascii="Arial" w:hAnsi="Arial" w:cs="Arial"/>
          <w:sz w:val="24"/>
          <w:szCs w:val="24"/>
        </w:rPr>
        <w:t xml:space="preserve"> relied on by the parties</w:t>
      </w:r>
      <w:r w:rsidR="00AD5420" w:rsidRPr="00BE38D7">
        <w:rPr>
          <w:rFonts w:ascii="Arial" w:hAnsi="Arial" w:cs="Arial"/>
          <w:sz w:val="24"/>
          <w:szCs w:val="24"/>
        </w:rPr>
        <w:t>,</w:t>
      </w:r>
      <w:r w:rsidR="006E62F6" w:rsidRPr="00BE38D7">
        <w:rPr>
          <w:rFonts w:ascii="Arial" w:hAnsi="Arial" w:cs="Arial"/>
          <w:sz w:val="24"/>
          <w:szCs w:val="24"/>
        </w:rPr>
        <w:t xml:space="preserve"> ACB</w:t>
      </w:r>
      <w:r w:rsidR="00AD5420" w:rsidRPr="00BE38D7">
        <w:rPr>
          <w:rFonts w:ascii="Arial" w:hAnsi="Arial" w:cs="Arial"/>
          <w:sz w:val="24"/>
          <w:szCs w:val="24"/>
        </w:rPr>
        <w:t xml:space="preserve"> however</w:t>
      </w:r>
      <w:r w:rsidR="006E62F6" w:rsidRPr="00BE38D7">
        <w:rPr>
          <w:rFonts w:ascii="Arial" w:hAnsi="Arial" w:cs="Arial"/>
          <w:sz w:val="24"/>
          <w:szCs w:val="24"/>
        </w:rPr>
        <w:t xml:space="preserve"> invited the court to follow the approach set out in Michael v Linksfield Park Clinic (Pty) Ltd</w:t>
      </w:r>
      <w:r w:rsidR="0094290E">
        <w:rPr>
          <w:rStyle w:val="FootnoteReference"/>
          <w:rFonts w:ascii="Arial" w:hAnsi="Arial" w:cs="Arial"/>
          <w:sz w:val="24"/>
          <w:szCs w:val="24"/>
        </w:rPr>
        <w:footnoteReference w:id="6"/>
      </w:r>
      <w:proofErr w:type="gramStart"/>
      <w:r w:rsidR="0094290E" w:rsidRPr="00BE38D7">
        <w:rPr>
          <w:rFonts w:ascii="Arial" w:hAnsi="Arial" w:cs="Arial"/>
          <w:sz w:val="24"/>
          <w:szCs w:val="24"/>
        </w:rPr>
        <w:t xml:space="preserve">, </w:t>
      </w:r>
      <w:r w:rsidR="00EC480D" w:rsidRPr="00BE38D7">
        <w:rPr>
          <w:rFonts w:ascii="Arial" w:hAnsi="Arial" w:cs="Arial"/>
          <w:sz w:val="24"/>
          <w:szCs w:val="24"/>
        </w:rPr>
        <w:t xml:space="preserve"> in</w:t>
      </w:r>
      <w:proofErr w:type="gramEnd"/>
      <w:r w:rsidR="00EC480D" w:rsidRPr="00BE38D7">
        <w:rPr>
          <w:rFonts w:ascii="Arial" w:hAnsi="Arial" w:cs="Arial"/>
          <w:sz w:val="24"/>
          <w:szCs w:val="24"/>
        </w:rPr>
        <w:t xml:space="preserve"> that instance</w:t>
      </w:r>
      <w:r w:rsidR="00B20753" w:rsidRPr="00BE38D7">
        <w:rPr>
          <w:rFonts w:ascii="Arial" w:hAnsi="Arial" w:cs="Arial"/>
          <w:sz w:val="24"/>
          <w:szCs w:val="24"/>
        </w:rPr>
        <w:t xml:space="preserve"> however,</w:t>
      </w:r>
      <w:r w:rsidR="00EC480D" w:rsidRPr="00BE38D7">
        <w:rPr>
          <w:rFonts w:ascii="Arial" w:hAnsi="Arial" w:cs="Arial"/>
          <w:sz w:val="24"/>
          <w:szCs w:val="24"/>
        </w:rPr>
        <w:t xml:space="preserve"> the claim was for damages </w:t>
      </w:r>
      <w:r w:rsidR="00FB221F" w:rsidRPr="00BE38D7">
        <w:rPr>
          <w:rFonts w:ascii="Arial" w:hAnsi="Arial" w:cs="Arial"/>
          <w:sz w:val="24"/>
          <w:szCs w:val="24"/>
        </w:rPr>
        <w:t xml:space="preserve">and the hearing </w:t>
      </w:r>
      <w:r w:rsidR="00EC480D" w:rsidRPr="00BE38D7">
        <w:rPr>
          <w:rFonts w:ascii="Arial" w:hAnsi="Arial" w:cs="Arial"/>
          <w:sz w:val="24"/>
          <w:szCs w:val="24"/>
        </w:rPr>
        <w:t xml:space="preserve">was conducted </w:t>
      </w:r>
      <w:r w:rsidR="00572701" w:rsidRPr="00BE38D7">
        <w:rPr>
          <w:rFonts w:ascii="Arial" w:hAnsi="Arial" w:cs="Arial"/>
          <w:sz w:val="24"/>
          <w:szCs w:val="24"/>
        </w:rPr>
        <w:t>by way of</w:t>
      </w:r>
      <w:r w:rsidR="00195DAE" w:rsidRPr="00BE38D7">
        <w:rPr>
          <w:rFonts w:ascii="Arial" w:hAnsi="Arial" w:cs="Arial"/>
          <w:sz w:val="24"/>
          <w:szCs w:val="24"/>
        </w:rPr>
        <w:t xml:space="preserve"> a</w:t>
      </w:r>
      <w:r w:rsidR="00572701" w:rsidRPr="00BE38D7">
        <w:rPr>
          <w:rFonts w:ascii="Arial" w:hAnsi="Arial" w:cs="Arial"/>
          <w:sz w:val="24"/>
          <w:szCs w:val="24"/>
        </w:rPr>
        <w:t xml:space="preserve"> trial. It follows </w:t>
      </w:r>
      <w:r w:rsidR="00D649EB" w:rsidRPr="00BE38D7">
        <w:rPr>
          <w:rFonts w:ascii="Arial" w:hAnsi="Arial" w:cs="Arial"/>
          <w:sz w:val="24"/>
          <w:szCs w:val="24"/>
        </w:rPr>
        <w:t xml:space="preserve">that disputes of fact </w:t>
      </w:r>
      <w:r w:rsidR="003962E5" w:rsidRPr="00BE38D7">
        <w:rPr>
          <w:rFonts w:ascii="Arial" w:hAnsi="Arial" w:cs="Arial"/>
          <w:sz w:val="24"/>
          <w:szCs w:val="24"/>
        </w:rPr>
        <w:t>were</w:t>
      </w:r>
      <w:r w:rsidR="00D649EB" w:rsidRPr="00BE38D7">
        <w:rPr>
          <w:rFonts w:ascii="Arial" w:hAnsi="Arial" w:cs="Arial"/>
          <w:sz w:val="24"/>
          <w:szCs w:val="24"/>
        </w:rPr>
        <w:t xml:space="preserve"> resolved </w:t>
      </w:r>
      <w:r w:rsidR="00FB221F" w:rsidRPr="00BE38D7">
        <w:rPr>
          <w:rFonts w:ascii="Arial" w:hAnsi="Arial" w:cs="Arial"/>
          <w:sz w:val="24"/>
          <w:szCs w:val="24"/>
        </w:rPr>
        <w:t>by, inter</w:t>
      </w:r>
      <w:r w:rsidR="00D649EB" w:rsidRPr="00BE38D7">
        <w:rPr>
          <w:rFonts w:ascii="Arial" w:hAnsi="Arial" w:cs="Arial"/>
          <w:sz w:val="24"/>
          <w:szCs w:val="24"/>
        </w:rPr>
        <w:t xml:space="preserve"> alia</w:t>
      </w:r>
      <w:r w:rsidR="00883482" w:rsidRPr="00BE38D7">
        <w:rPr>
          <w:rFonts w:ascii="Arial" w:hAnsi="Arial" w:cs="Arial"/>
          <w:sz w:val="24"/>
          <w:szCs w:val="24"/>
        </w:rPr>
        <w:t>,</w:t>
      </w:r>
      <w:r w:rsidR="00D649EB" w:rsidRPr="00BE38D7">
        <w:rPr>
          <w:rFonts w:ascii="Arial" w:hAnsi="Arial" w:cs="Arial"/>
          <w:sz w:val="24"/>
          <w:szCs w:val="24"/>
        </w:rPr>
        <w:t xml:space="preserve"> assessing the credibility and inherent probabilities of the evidence led. The witnesses </w:t>
      </w:r>
      <w:r w:rsidR="003962E5" w:rsidRPr="00BE38D7">
        <w:rPr>
          <w:rFonts w:ascii="Arial" w:hAnsi="Arial" w:cs="Arial"/>
          <w:sz w:val="24"/>
          <w:szCs w:val="24"/>
        </w:rPr>
        <w:t>were</w:t>
      </w:r>
      <w:r w:rsidR="00D649EB" w:rsidRPr="00BE38D7">
        <w:rPr>
          <w:rFonts w:ascii="Arial" w:hAnsi="Arial" w:cs="Arial"/>
          <w:sz w:val="24"/>
          <w:szCs w:val="24"/>
        </w:rPr>
        <w:t xml:space="preserve"> subjected to cross-examination and the </w:t>
      </w:r>
      <w:r w:rsidR="004A1914" w:rsidRPr="00BE38D7">
        <w:rPr>
          <w:rFonts w:ascii="Arial" w:hAnsi="Arial" w:cs="Arial"/>
          <w:sz w:val="24"/>
          <w:szCs w:val="24"/>
        </w:rPr>
        <w:t xml:space="preserve">court </w:t>
      </w:r>
      <w:r w:rsidR="00952B04" w:rsidRPr="00BE38D7">
        <w:rPr>
          <w:rFonts w:ascii="Arial" w:hAnsi="Arial" w:cs="Arial"/>
          <w:sz w:val="24"/>
          <w:szCs w:val="24"/>
        </w:rPr>
        <w:t>had</w:t>
      </w:r>
      <w:r w:rsidR="004A1914" w:rsidRPr="00BE38D7">
        <w:rPr>
          <w:rFonts w:ascii="Arial" w:hAnsi="Arial" w:cs="Arial"/>
          <w:sz w:val="24"/>
          <w:szCs w:val="24"/>
        </w:rPr>
        <w:t xml:space="preserve"> the opportunity to properly consider and evaluate the evidence </w:t>
      </w:r>
      <w:r w:rsidR="00BD779E" w:rsidRPr="00BE38D7">
        <w:rPr>
          <w:rFonts w:ascii="Arial" w:hAnsi="Arial" w:cs="Arial"/>
          <w:sz w:val="24"/>
          <w:szCs w:val="24"/>
        </w:rPr>
        <w:t>led.</w:t>
      </w:r>
      <w:r w:rsidR="00C55C6E" w:rsidRPr="00BE38D7">
        <w:rPr>
          <w:rFonts w:ascii="Arial" w:hAnsi="Arial" w:cs="Arial"/>
          <w:sz w:val="24"/>
          <w:szCs w:val="24"/>
        </w:rPr>
        <w:t xml:space="preserve"> </w:t>
      </w:r>
      <w:r w:rsidR="008A619D" w:rsidRPr="00BE38D7">
        <w:rPr>
          <w:rFonts w:ascii="Arial" w:hAnsi="Arial" w:cs="Arial"/>
          <w:sz w:val="24"/>
          <w:szCs w:val="24"/>
        </w:rPr>
        <w:t>T</w:t>
      </w:r>
      <w:r w:rsidR="00C55C6E" w:rsidRPr="00BE38D7">
        <w:rPr>
          <w:rFonts w:ascii="Arial" w:hAnsi="Arial" w:cs="Arial"/>
          <w:sz w:val="24"/>
          <w:szCs w:val="24"/>
        </w:rPr>
        <w:t xml:space="preserve">his </w:t>
      </w:r>
      <w:r w:rsidR="00C60F3D" w:rsidRPr="00BE38D7">
        <w:rPr>
          <w:rFonts w:ascii="Arial" w:hAnsi="Arial" w:cs="Arial"/>
          <w:sz w:val="24"/>
          <w:szCs w:val="24"/>
        </w:rPr>
        <w:t xml:space="preserve">matter is to be distinguished </w:t>
      </w:r>
      <w:r w:rsidR="005A5A1A" w:rsidRPr="00BE38D7">
        <w:rPr>
          <w:rFonts w:ascii="Arial" w:hAnsi="Arial" w:cs="Arial"/>
          <w:sz w:val="24"/>
          <w:szCs w:val="24"/>
        </w:rPr>
        <w:t xml:space="preserve">from the Linksfield </w:t>
      </w:r>
      <w:r w:rsidR="00DD580F" w:rsidRPr="00BE38D7">
        <w:rPr>
          <w:rFonts w:ascii="Arial" w:hAnsi="Arial" w:cs="Arial"/>
          <w:sz w:val="24"/>
          <w:szCs w:val="24"/>
        </w:rPr>
        <w:t>matter, as</w:t>
      </w:r>
      <w:r w:rsidR="008A619D" w:rsidRPr="00BE38D7">
        <w:rPr>
          <w:rFonts w:ascii="Arial" w:hAnsi="Arial" w:cs="Arial"/>
          <w:sz w:val="24"/>
          <w:szCs w:val="24"/>
        </w:rPr>
        <w:t xml:space="preserve"> no evidence was </w:t>
      </w:r>
      <w:r w:rsidR="00611945" w:rsidRPr="00BE38D7">
        <w:rPr>
          <w:rFonts w:ascii="Arial" w:hAnsi="Arial" w:cs="Arial"/>
          <w:sz w:val="24"/>
          <w:szCs w:val="24"/>
        </w:rPr>
        <w:t>led,</w:t>
      </w:r>
      <w:r w:rsidR="008A619D" w:rsidRPr="00BE38D7">
        <w:rPr>
          <w:rFonts w:ascii="Arial" w:hAnsi="Arial" w:cs="Arial"/>
          <w:sz w:val="24"/>
          <w:szCs w:val="24"/>
        </w:rPr>
        <w:t xml:space="preserve"> and the </w:t>
      </w:r>
      <w:r w:rsidR="00DD580F" w:rsidRPr="00BE38D7">
        <w:rPr>
          <w:rFonts w:ascii="Arial" w:hAnsi="Arial" w:cs="Arial"/>
          <w:sz w:val="24"/>
          <w:szCs w:val="24"/>
        </w:rPr>
        <w:t>Court was</w:t>
      </w:r>
      <w:r w:rsidR="000914F4" w:rsidRPr="00BE38D7">
        <w:rPr>
          <w:rFonts w:ascii="Arial" w:hAnsi="Arial" w:cs="Arial"/>
          <w:sz w:val="24"/>
          <w:szCs w:val="24"/>
        </w:rPr>
        <w:t xml:space="preserve"> confronted with </w:t>
      </w:r>
      <w:r w:rsidR="000F560F" w:rsidRPr="00BE38D7">
        <w:rPr>
          <w:rFonts w:ascii="Arial" w:hAnsi="Arial" w:cs="Arial"/>
          <w:sz w:val="24"/>
          <w:szCs w:val="24"/>
        </w:rPr>
        <w:t xml:space="preserve">conflicting opinions of </w:t>
      </w:r>
      <w:r w:rsidR="00DD580F" w:rsidRPr="00BE38D7">
        <w:rPr>
          <w:rFonts w:ascii="Arial" w:hAnsi="Arial" w:cs="Arial"/>
          <w:sz w:val="24"/>
          <w:szCs w:val="24"/>
        </w:rPr>
        <w:t>experts. The</w:t>
      </w:r>
      <w:r w:rsidR="005E3736" w:rsidRPr="00BE38D7">
        <w:rPr>
          <w:rFonts w:ascii="Arial" w:hAnsi="Arial" w:cs="Arial"/>
          <w:sz w:val="24"/>
          <w:szCs w:val="24"/>
        </w:rPr>
        <w:t xml:space="preserve"> evidence is of a highly technical and scientific</w:t>
      </w:r>
      <w:r w:rsidR="00DD580F" w:rsidRPr="00BE38D7">
        <w:rPr>
          <w:rFonts w:ascii="Arial" w:hAnsi="Arial" w:cs="Arial"/>
          <w:sz w:val="24"/>
          <w:szCs w:val="24"/>
        </w:rPr>
        <w:t xml:space="preserve"> nature.</w:t>
      </w:r>
    </w:p>
    <w:p w14:paraId="2DB9099A" w14:textId="77777777" w:rsidR="004A1914" w:rsidRPr="004A1914" w:rsidRDefault="004A1914" w:rsidP="004A1914">
      <w:pPr>
        <w:pStyle w:val="ListParagraph"/>
        <w:rPr>
          <w:rFonts w:ascii="Arial" w:hAnsi="Arial" w:cs="Arial"/>
          <w:sz w:val="24"/>
          <w:szCs w:val="24"/>
        </w:rPr>
      </w:pPr>
    </w:p>
    <w:p w14:paraId="2EB21796" w14:textId="02B9E641" w:rsidR="004A1914"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10.</w:t>
      </w:r>
      <w:r>
        <w:rPr>
          <w:rFonts w:ascii="Arial" w:hAnsi="Arial" w:cs="Arial"/>
          <w:color w:val="000000" w:themeColor="text1"/>
          <w:sz w:val="24"/>
          <w:szCs w:val="24"/>
        </w:rPr>
        <w:tab/>
      </w:r>
      <w:r w:rsidR="004A1914" w:rsidRPr="00BE38D7">
        <w:rPr>
          <w:rFonts w:ascii="Arial" w:hAnsi="Arial" w:cs="Arial"/>
          <w:sz w:val="24"/>
          <w:szCs w:val="24"/>
        </w:rPr>
        <w:t>There was no attempt to refer</w:t>
      </w:r>
      <w:r w:rsidR="004D627F" w:rsidRPr="00BE38D7">
        <w:rPr>
          <w:rFonts w:ascii="Arial" w:hAnsi="Arial" w:cs="Arial"/>
          <w:sz w:val="24"/>
          <w:szCs w:val="24"/>
        </w:rPr>
        <w:t xml:space="preserve"> this</w:t>
      </w:r>
      <w:r w:rsidR="004A1914" w:rsidRPr="00BE38D7">
        <w:rPr>
          <w:rFonts w:ascii="Arial" w:hAnsi="Arial" w:cs="Arial"/>
          <w:sz w:val="24"/>
          <w:szCs w:val="24"/>
        </w:rPr>
        <w:t xml:space="preserve"> matter to oral evidence. </w:t>
      </w:r>
      <w:r w:rsidR="0030351B" w:rsidRPr="00BE38D7">
        <w:rPr>
          <w:rFonts w:ascii="Arial" w:hAnsi="Arial" w:cs="Arial"/>
          <w:sz w:val="24"/>
          <w:szCs w:val="24"/>
        </w:rPr>
        <w:t>I</w:t>
      </w:r>
      <w:r w:rsidR="004A1914" w:rsidRPr="00BE38D7">
        <w:rPr>
          <w:rFonts w:ascii="Arial" w:hAnsi="Arial" w:cs="Arial"/>
          <w:sz w:val="24"/>
          <w:szCs w:val="24"/>
        </w:rPr>
        <w:t>n motion proceedings</w:t>
      </w:r>
      <w:r w:rsidR="008345FF" w:rsidRPr="00BE38D7">
        <w:rPr>
          <w:rFonts w:ascii="Arial" w:hAnsi="Arial" w:cs="Arial"/>
          <w:sz w:val="24"/>
          <w:szCs w:val="24"/>
        </w:rPr>
        <w:t xml:space="preserve"> the pr</w:t>
      </w:r>
      <w:r w:rsidR="001511D2" w:rsidRPr="00BE38D7">
        <w:rPr>
          <w:rFonts w:ascii="Arial" w:hAnsi="Arial" w:cs="Arial"/>
          <w:sz w:val="24"/>
          <w:szCs w:val="24"/>
        </w:rPr>
        <w:t>inciple established in Plascon-</w:t>
      </w:r>
      <w:r w:rsidR="008345FF" w:rsidRPr="00BE38D7">
        <w:rPr>
          <w:rFonts w:ascii="Arial" w:hAnsi="Arial" w:cs="Arial"/>
          <w:sz w:val="24"/>
          <w:szCs w:val="24"/>
        </w:rPr>
        <w:t xml:space="preserve">Evans Paints Ltd V Van Riebeek Paints (Pty) </w:t>
      </w:r>
      <w:proofErr w:type="gramStart"/>
      <w:r w:rsidR="008345FF" w:rsidRPr="00BE38D7">
        <w:rPr>
          <w:rFonts w:ascii="Arial" w:hAnsi="Arial" w:cs="Arial"/>
          <w:sz w:val="24"/>
          <w:szCs w:val="24"/>
        </w:rPr>
        <w:t>Ltd</w:t>
      </w:r>
      <w:r w:rsidR="00B40BD4" w:rsidRPr="00BE38D7">
        <w:rPr>
          <w:rFonts w:ascii="Arial" w:hAnsi="Arial" w:cs="Arial"/>
          <w:sz w:val="24"/>
          <w:szCs w:val="24"/>
        </w:rPr>
        <w:t xml:space="preserve"> </w:t>
      </w:r>
      <w:proofErr w:type="gramEnd"/>
      <w:r w:rsidR="00B40BD4">
        <w:rPr>
          <w:rStyle w:val="FootnoteReference"/>
          <w:rFonts w:ascii="Arial" w:hAnsi="Arial" w:cs="Arial"/>
          <w:sz w:val="24"/>
          <w:szCs w:val="24"/>
        </w:rPr>
        <w:footnoteReference w:id="7"/>
      </w:r>
      <w:r w:rsidR="009A54CA" w:rsidRPr="00BE38D7">
        <w:rPr>
          <w:rFonts w:ascii="Arial" w:hAnsi="Arial" w:cs="Arial"/>
          <w:sz w:val="24"/>
          <w:szCs w:val="24"/>
        </w:rPr>
        <w:t>,</w:t>
      </w:r>
      <w:r w:rsidR="0030351B" w:rsidRPr="00BE38D7">
        <w:rPr>
          <w:rFonts w:ascii="Arial" w:hAnsi="Arial" w:cs="Arial"/>
          <w:sz w:val="24"/>
          <w:szCs w:val="24"/>
        </w:rPr>
        <w:t xml:space="preserve"> </w:t>
      </w:r>
      <w:r w:rsidR="00A53033" w:rsidRPr="00BE38D7">
        <w:rPr>
          <w:rFonts w:ascii="Arial" w:hAnsi="Arial" w:cs="Arial"/>
          <w:sz w:val="24"/>
          <w:szCs w:val="24"/>
        </w:rPr>
        <w:t>must be applied.</w:t>
      </w:r>
      <w:r w:rsidR="009A54CA" w:rsidRPr="00BE38D7">
        <w:rPr>
          <w:rFonts w:ascii="Arial" w:hAnsi="Arial" w:cs="Arial"/>
          <w:sz w:val="24"/>
          <w:szCs w:val="24"/>
        </w:rPr>
        <w:t xml:space="preserve"> </w:t>
      </w:r>
      <w:r w:rsidR="00A53033" w:rsidRPr="00BE38D7">
        <w:rPr>
          <w:rFonts w:ascii="Arial" w:hAnsi="Arial" w:cs="Arial"/>
          <w:sz w:val="24"/>
          <w:szCs w:val="24"/>
        </w:rPr>
        <w:t xml:space="preserve">This </w:t>
      </w:r>
      <w:r w:rsidR="00ED01E5" w:rsidRPr="00BE38D7">
        <w:rPr>
          <w:rFonts w:ascii="Arial" w:hAnsi="Arial" w:cs="Arial"/>
          <w:sz w:val="24"/>
          <w:szCs w:val="24"/>
        </w:rPr>
        <w:t>well-known</w:t>
      </w:r>
      <w:r w:rsidR="00A53033" w:rsidRPr="00BE38D7">
        <w:rPr>
          <w:rFonts w:ascii="Arial" w:hAnsi="Arial" w:cs="Arial"/>
          <w:sz w:val="24"/>
          <w:szCs w:val="24"/>
        </w:rPr>
        <w:t xml:space="preserve"> principle </w:t>
      </w:r>
      <w:r w:rsidR="006D3EAA" w:rsidRPr="00BE38D7">
        <w:rPr>
          <w:rFonts w:ascii="Arial" w:hAnsi="Arial" w:cs="Arial"/>
          <w:sz w:val="24"/>
          <w:szCs w:val="24"/>
        </w:rPr>
        <w:t>holds that</w:t>
      </w:r>
      <w:r w:rsidR="009A54CA" w:rsidRPr="00BE38D7">
        <w:rPr>
          <w:rFonts w:ascii="Arial" w:hAnsi="Arial" w:cs="Arial"/>
          <w:sz w:val="24"/>
          <w:szCs w:val="24"/>
        </w:rPr>
        <w:t xml:space="preserve"> in motion proceedings an applicant can only succeed if its case can be established </w:t>
      </w:r>
      <w:r w:rsidR="006F170A" w:rsidRPr="00BE38D7">
        <w:rPr>
          <w:rFonts w:ascii="Arial" w:hAnsi="Arial" w:cs="Arial"/>
          <w:sz w:val="24"/>
          <w:szCs w:val="24"/>
        </w:rPr>
        <w:t>based on</w:t>
      </w:r>
      <w:r w:rsidR="009A54CA" w:rsidRPr="00BE38D7">
        <w:rPr>
          <w:rFonts w:ascii="Arial" w:hAnsi="Arial" w:cs="Arial"/>
          <w:sz w:val="24"/>
          <w:szCs w:val="24"/>
        </w:rPr>
        <w:t xml:space="preserve"> the facts alleged by the respondent, read together with the facts alleged by the </w:t>
      </w:r>
      <w:r w:rsidR="00770445" w:rsidRPr="00BE38D7">
        <w:rPr>
          <w:rFonts w:ascii="Arial" w:hAnsi="Arial" w:cs="Arial"/>
          <w:sz w:val="24"/>
          <w:szCs w:val="24"/>
        </w:rPr>
        <w:t>applicant,</w:t>
      </w:r>
      <w:r w:rsidR="009A54CA" w:rsidRPr="00BE38D7">
        <w:rPr>
          <w:rFonts w:ascii="Arial" w:hAnsi="Arial" w:cs="Arial"/>
          <w:sz w:val="24"/>
          <w:szCs w:val="24"/>
        </w:rPr>
        <w:t xml:space="preserve"> and admitted by the respondent</w:t>
      </w:r>
      <w:r w:rsidR="00A33215" w:rsidRPr="00BE38D7">
        <w:rPr>
          <w:rFonts w:ascii="Arial" w:hAnsi="Arial" w:cs="Arial"/>
          <w:sz w:val="24"/>
          <w:szCs w:val="24"/>
        </w:rPr>
        <w:t>.</w:t>
      </w:r>
      <w:r w:rsidR="009A54CA" w:rsidRPr="00BE38D7">
        <w:rPr>
          <w:rFonts w:ascii="Arial" w:hAnsi="Arial" w:cs="Arial"/>
          <w:sz w:val="24"/>
          <w:szCs w:val="24"/>
        </w:rPr>
        <w:t xml:space="preserve"> </w:t>
      </w:r>
      <w:r w:rsidR="00A33215" w:rsidRPr="00BE38D7">
        <w:rPr>
          <w:rFonts w:ascii="Arial" w:hAnsi="Arial" w:cs="Arial"/>
          <w:sz w:val="24"/>
          <w:szCs w:val="24"/>
        </w:rPr>
        <w:t>W</w:t>
      </w:r>
      <w:r w:rsidR="009A54CA" w:rsidRPr="00BE38D7">
        <w:rPr>
          <w:rFonts w:ascii="Arial" w:hAnsi="Arial" w:cs="Arial"/>
          <w:sz w:val="24"/>
          <w:szCs w:val="24"/>
        </w:rPr>
        <w:t>ith the exception that if the respondent</w:t>
      </w:r>
      <w:r w:rsidR="001C25AB" w:rsidRPr="00BE38D7">
        <w:rPr>
          <w:rFonts w:ascii="Arial" w:hAnsi="Arial" w:cs="Arial"/>
          <w:sz w:val="24"/>
          <w:szCs w:val="24"/>
        </w:rPr>
        <w:t>’</w:t>
      </w:r>
      <w:r w:rsidR="009A54CA" w:rsidRPr="00BE38D7">
        <w:rPr>
          <w:rFonts w:ascii="Arial" w:hAnsi="Arial" w:cs="Arial"/>
          <w:sz w:val="24"/>
          <w:szCs w:val="24"/>
        </w:rPr>
        <w:t>s denial is far-fetched or untenable the court may reject it on the papers</w:t>
      </w:r>
      <w:r w:rsidR="005E5808" w:rsidRPr="00BE38D7">
        <w:rPr>
          <w:rFonts w:ascii="Arial" w:hAnsi="Arial" w:cs="Arial"/>
          <w:sz w:val="24"/>
          <w:szCs w:val="24"/>
        </w:rPr>
        <w:t>,</w:t>
      </w:r>
      <w:r w:rsidR="009A54CA" w:rsidRPr="00BE38D7">
        <w:rPr>
          <w:rFonts w:ascii="Arial" w:hAnsi="Arial" w:cs="Arial"/>
          <w:sz w:val="24"/>
          <w:szCs w:val="24"/>
        </w:rPr>
        <w:t xml:space="preserve"> or if the </w:t>
      </w:r>
      <w:r w:rsidR="009A54CA" w:rsidRPr="00BE38D7">
        <w:rPr>
          <w:rFonts w:ascii="Arial" w:hAnsi="Arial" w:cs="Arial"/>
          <w:sz w:val="24"/>
          <w:szCs w:val="24"/>
        </w:rPr>
        <w:lastRenderedPageBreak/>
        <w:t xml:space="preserve">respondent’s </w:t>
      </w:r>
      <w:r w:rsidR="001C25AB" w:rsidRPr="00BE38D7">
        <w:rPr>
          <w:rFonts w:ascii="Arial" w:hAnsi="Arial" w:cs="Arial"/>
          <w:sz w:val="24"/>
          <w:szCs w:val="24"/>
        </w:rPr>
        <w:t>denial does not raise a bona fide dispute of fact. The rule in P</w:t>
      </w:r>
      <w:r w:rsidR="009E163A" w:rsidRPr="00BE38D7">
        <w:rPr>
          <w:rFonts w:ascii="Arial" w:hAnsi="Arial" w:cs="Arial"/>
          <w:sz w:val="24"/>
          <w:szCs w:val="24"/>
        </w:rPr>
        <w:t>l</w:t>
      </w:r>
      <w:r w:rsidR="001C25AB" w:rsidRPr="00BE38D7">
        <w:rPr>
          <w:rFonts w:ascii="Arial" w:hAnsi="Arial" w:cs="Arial"/>
          <w:sz w:val="24"/>
          <w:szCs w:val="24"/>
        </w:rPr>
        <w:t>ascon-Evans was confirmed by the Constitutional Court.</w:t>
      </w:r>
      <w:r w:rsidR="001C25AB">
        <w:rPr>
          <w:rStyle w:val="FootnoteReference"/>
          <w:rFonts w:ascii="Arial" w:hAnsi="Arial" w:cs="Arial"/>
          <w:sz w:val="24"/>
          <w:szCs w:val="24"/>
        </w:rPr>
        <w:footnoteReference w:id="8"/>
      </w:r>
    </w:p>
    <w:p w14:paraId="013FA9A4" w14:textId="77777777" w:rsidR="009E163A" w:rsidRPr="009E163A" w:rsidRDefault="009E163A" w:rsidP="009E163A">
      <w:pPr>
        <w:pStyle w:val="ListParagraph"/>
        <w:rPr>
          <w:rFonts w:ascii="Arial" w:hAnsi="Arial" w:cs="Arial"/>
          <w:sz w:val="24"/>
          <w:szCs w:val="24"/>
        </w:rPr>
      </w:pPr>
    </w:p>
    <w:p w14:paraId="025BAB62" w14:textId="75549A53" w:rsidR="00747416"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sidR="009E163A" w:rsidRPr="00BE38D7">
        <w:rPr>
          <w:rFonts w:ascii="Arial" w:hAnsi="Arial" w:cs="Arial"/>
          <w:sz w:val="24"/>
          <w:szCs w:val="24"/>
        </w:rPr>
        <w:t>In this instance, the expert</w:t>
      </w:r>
      <w:r w:rsidR="009126C3" w:rsidRPr="00BE38D7">
        <w:rPr>
          <w:rFonts w:ascii="Arial" w:hAnsi="Arial" w:cs="Arial"/>
          <w:sz w:val="24"/>
          <w:szCs w:val="24"/>
        </w:rPr>
        <w:t>’</w:t>
      </w:r>
      <w:r w:rsidR="009E163A" w:rsidRPr="00BE38D7">
        <w:rPr>
          <w:rFonts w:ascii="Arial" w:hAnsi="Arial" w:cs="Arial"/>
          <w:sz w:val="24"/>
          <w:szCs w:val="24"/>
        </w:rPr>
        <w:t>s opinions are highly technical and based on scientific analysis</w:t>
      </w:r>
      <w:r w:rsidR="00EC587B" w:rsidRPr="00BE38D7">
        <w:rPr>
          <w:rFonts w:ascii="Arial" w:hAnsi="Arial" w:cs="Arial"/>
          <w:sz w:val="24"/>
          <w:szCs w:val="24"/>
        </w:rPr>
        <w:t>.</w:t>
      </w:r>
      <w:r w:rsidR="009E163A" w:rsidRPr="00BE38D7">
        <w:rPr>
          <w:rFonts w:ascii="Arial" w:hAnsi="Arial" w:cs="Arial"/>
          <w:sz w:val="24"/>
          <w:szCs w:val="24"/>
        </w:rPr>
        <w:t xml:space="preserve"> </w:t>
      </w:r>
      <w:r w:rsidR="00EC587B" w:rsidRPr="00BE38D7">
        <w:rPr>
          <w:rFonts w:ascii="Arial" w:hAnsi="Arial" w:cs="Arial"/>
          <w:sz w:val="24"/>
          <w:szCs w:val="24"/>
        </w:rPr>
        <w:t>T</w:t>
      </w:r>
      <w:r w:rsidR="000817AD" w:rsidRPr="00BE38D7">
        <w:rPr>
          <w:rFonts w:ascii="Arial" w:hAnsi="Arial" w:cs="Arial"/>
          <w:sz w:val="24"/>
          <w:szCs w:val="24"/>
        </w:rPr>
        <w:t>o</w:t>
      </w:r>
      <w:r w:rsidR="009E163A" w:rsidRPr="00BE38D7">
        <w:rPr>
          <w:rFonts w:ascii="Arial" w:hAnsi="Arial" w:cs="Arial"/>
          <w:sz w:val="24"/>
          <w:szCs w:val="24"/>
        </w:rPr>
        <w:t xml:space="preserve"> test the</w:t>
      </w:r>
      <w:r w:rsidR="009126C3" w:rsidRPr="00BE38D7">
        <w:rPr>
          <w:rFonts w:ascii="Arial" w:hAnsi="Arial" w:cs="Arial"/>
          <w:sz w:val="24"/>
          <w:szCs w:val="24"/>
        </w:rPr>
        <w:t xml:space="preserve"> veracity of the different </w:t>
      </w:r>
      <w:r w:rsidR="00D72546" w:rsidRPr="00BE38D7">
        <w:rPr>
          <w:rFonts w:ascii="Arial" w:hAnsi="Arial" w:cs="Arial"/>
          <w:sz w:val="24"/>
          <w:szCs w:val="24"/>
        </w:rPr>
        <w:t>viewpoints</w:t>
      </w:r>
      <w:r w:rsidR="004E2003" w:rsidRPr="00BE38D7">
        <w:rPr>
          <w:rFonts w:ascii="Arial" w:hAnsi="Arial" w:cs="Arial"/>
          <w:sz w:val="24"/>
          <w:szCs w:val="24"/>
        </w:rPr>
        <w:t xml:space="preserve"> evidential scrutiny is required</w:t>
      </w:r>
      <w:r w:rsidR="0098609E" w:rsidRPr="00BE38D7">
        <w:rPr>
          <w:rFonts w:ascii="Arial" w:hAnsi="Arial" w:cs="Arial"/>
          <w:sz w:val="24"/>
          <w:szCs w:val="24"/>
        </w:rPr>
        <w:t>.</w:t>
      </w:r>
      <w:r w:rsidR="009E163A" w:rsidRPr="00BE38D7">
        <w:rPr>
          <w:rFonts w:ascii="Arial" w:hAnsi="Arial" w:cs="Arial"/>
          <w:sz w:val="24"/>
          <w:szCs w:val="24"/>
        </w:rPr>
        <w:t xml:space="preserve"> The Court is ill-suited to, without </w:t>
      </w:r>
      <w:r w:rsidR="00EC587B" w:rsidRPr="00BE38D7">
        <w:rPr>
          <w:rFonts w:ascii="Arial" w:hAnsi="Arial" w:cs="Arial"/>
          <w:sz w:val="24"/>
          <w:szCs w:val="24"/>
        </w:rPr>
        <w:t>evidence, determine</w:t>
      </w:r>
      <w:r w:rsidR="009E163A" w:rsidRPr="00BE38D7">
        <w:rPr>
          <w:rFonts w:ascii="Arial" w:hAnsi="Arial" w:cs="Arial"/>
          <w:sz w:val="24"/>
          <w:szCs w:val="24"/>
        </w:rPr>
        <w:t xml:space="preserve"> the disputes between </w:t>
      </w:r>
      <w:r w:rsidR="007E6404" w:rsidRPr="00BE38D7">
        <w:rPr>
          <w:rFonts w:ascii="Arial" w:hAnsi="Arial" w:cs="Arial"/>
          <w:sz w:val="24"/>
          <w:szCs w:val="24"/>
        </w:rPr>
        <w:t>different expert opinions and is therefore obliged to follow the so-called Plascon-Evans rule. To deviate from the Plascon-Evans rule would, as counsel for Monsanto argued, amount to a substantial intrusion on</w:t>
      </w:r>
      <w:r w:rsidR="00DB1FFC" w:rsidRPr="00BE38D7">
        <w:rPr>
          <w:rFonts w:ascii="Arial" w:hAnsi="Arial" w:cs="Arial"/>
          <w:sz w:val="24"/>
          <w:szCs w:val="24"/>
        </w:rPr>
        <w:t xml:space="preserve"> the</w:t>
      </w:r>
      <w:r w:rsidR="007E6404" w:rsidRPr="00BE38D7">
        <w:rPr>
          <w:rFonts w:ascii="Arial" w:hAnsi="Arial" w:cs="Arial"/>
          <w:sz w:val="24"/>
          <w:szCs w:val="24"/>
        </w:rPr>
        <w:t xml:space="preserve"> separation of powers.</w:t>
      </w:r>
      <w:r w:rsidR="00747416" w:rsidRPr="00BE38D7">
        <w:rPr>
          <w:rFonts w:ascii="Arial" w:hAnsi="Arial" w:cs="Arial"/>
          <w:sz w:val="24"/>
          <w:szCs w:val="24"/>
        </w:rPr>
        <w:t xml:space="preserve"> </w:t>
      </w:r>
      <w:r w:rsidR="007E6404" w:rsidRPr="00BE38D7">
        <w:rPr>
          <w:rFonts w:ascii="Arial" w:hAnsi="Arial" w:cs="Arial"/>
          <w:sz w:val="24"/>
          <w:szCs w:val="24"/>
        </w:rPr>
        <w:t>The starting point</w:t>
      </w:r>
      <w:r w:rsidR="002311E9" w:rsidRPr="00BE38D7">
        <w:rPr>
          <w:rFonts w:ascii="Arial" w:hAnsi="Arial" w:cs="Arial"/>
          <w:sz w:val="24"/>
          <w:szCs w:val="24"/>
        </w:rPr>
        <w:t xml:space="preserve"> in considering this review, must therefore be to </w:t>
      </w:r>
      <w:r w:rsidR="00DB1FFC" w:rsidRPr="00BE38D7">
        <w:rPr>
          <w:rFonts w:ascii="Arial" w:hAnsi="Arial" w:cs="Arial"/>
          <w:sz w:val="24"/>
          <w:szCs w:val="24"/>
        </w:rPr>
        <w:t>apply</w:t>
      </w:r>
      <w:r w:rsidR="002311E9" w:rsidRPr="00BE38D7">
        <w:rPr>
          <w:rFonts w:ascii="Arial" w:hAnsi="Arial" w:cs="Arial"/>
          <w:sz w:val="24"/>
          <w:szCs w:val="24"/>
        </w:rPr>
        <w:t xml:space="preserve"> the Plascon-Evans rule</w:t>
      </w:r>
      <w:r w:rsidR="001B70EC" w:rsidRPr="00BE38D7">
        <w:rPr>
          <w:rFonts w:ascii="Arial" w:hAnsi="Arial" w:cs="Arial"/>
          <w:sz w:val="24"/>
          <w:szCs w:val="24"/>
        </w:rPr>
        <w:t xml:space="preserve"> and </w:t>
      </w:r>
      <w:r w:rsidR="001E5800" w:rsidRPr="00BE38D7">
        <w:rPr>
          <w:rFonts w:ascii="Arial" w:hAnsi="Arial" w:cs="Arial"/>
          <w:sz w:val="24"/>
          <w:szCs w:val="24"/>
        </w:rPr>
        <w:t>the Court must therefore accept the expert evidence provided by the State Respondents and Monsanto.</w:t>
      </w:r>
    </w:p>
    <w:p w14:paraId="11CA87ED" w14:textId="77777777" w:rsidR="00747416" w:rsidRPr="00747416" w:rsidRDefault="00747416" w:rsidP="00747416">
      <w:pPr>
        <w:pStyle w:val="ListParagraph"/>
        <w:rPr>
          <w:rFonts w:ascii="Arial" w:hAnsi="Arial" w:cs="Arial"/>
          <w:sz w:val="24"/>
          <w:szCs w:val="24"/>
          <w:u w:val="single"/>
        </w:rPr>
      </w:pPr>
    </w:p>
    <w:p w14:paraId="21CD4C5A" w14:textId="77777777" w:rsidR="002311E9" w:rsidRDefault="009E295C" w:rsidP="00E60684">
      <w:pPr>
        <w:tabs>
          <w:tab w:val="left" w:pos="720"/>
        </w:tabs>
        <w:spacing w:line="360" w:lineRule="auto"/>
        <w:jc w:val="both"/>
        <w:rPr>
          <w:rFonts w:ascii="Arial" w:hAnsi="Arial" w:cs="Arial"/>
          <w:sz w:val="24"/>
          <w:szCs w:val="24"/>
          <w:u w:val="single"/>
        </w:rPr>
      </w:pPr>
      <w:r>
        <w:rPr>
          <w:rFonts w:ascii="Arial" w:hAnsi="Arial" w:cs="Arial"/>
          <w:sz w:val="24"/>
          <w:szCs w:val="24"/>
          <w:u w:val="single"/>
        </w:rPr>
        <w:t>Compliance with section 5(1)(</w:t>
      </w:r>
      <w:r w:rsidR="006D68F6">
        <w:rPr>
          <w:rFonts w:ascii="Arial" w:hAnsi="Arial" w:cs="Arial"/>
          <w:sz w:val="24"/>
          <w:szCs w:val="24"/>
          <w:u w:val="single"/>
        </w:rPr>
        <w:t>a) of the GMO Act and application of the precautionary pri</w:t>
      </w:r>
      <w:r w:rsidR="00BF5F41">
        <w:rPr>
          <w:rFonts w:ascii="Arial" w:hAnsi="Arial" w:cs="Arial"/>
          <w:sz w:val="24"/>
          <w:szCs w:val="24"/>
          <w:u w:val="single"/>
        </w:rPr>
        <w:t>nciple</w:t>
      </w:r>
    </w:p>
    <w:p w14:paraId="5BF6DB31" w14:textId="77777777" w:rsidR="00BD5C8E" w:rsidRPr="00E60684" w:rsidRDefault="00BD5C8E" w:rsidP="00E60684">
      <w:pPr>
        <w:tabs>
          <w:tab w:val="left" w:pos="720"/>
        </w:tabs>
        <w:spacing w:line="360" w:lineRule="auto"/>
        <w:jc w:val="both"/>
        <w:rPr>
          <w:rFonts w:ascii="Arial" w:hAnsi="Arial" w:cs="Arial"/>
          <w:sz w:val="24"/>
          <w:szCs w:val="24"/>
        </w:rPr>
      </w:pPr>
    </w:p>
    <w:p w14:paraId="2843DBBA" w14:textId="1BD305BF" w:rsidR="00F851E0"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12.</w:t>
      </w:r>
      <w:r>
        <w:rPr>
          <w:rFonts w:ascii="Arial" w:hAnsi="Arial" w:cs="Arial"/>
          <w:color w:val="000000" w:themeColor="text1"/>
          <w:sz w:val="24"/>
          <w:szCs w:val="24"/>
        </w:rPr>
        <w:tab/>
      </w:r>
      <w:r w:rsidR="00D823F2" w:rsidRPr="00BE38D7">
        <w:rPr>
          <w:rFonts w:ascii="Arial" w:hAnsi="Arial" w:cs="Arial"/>
          <w:sz w:val="24"/>
          <w:szCs w:val="24"/>
        </w:rPr>
        <w:t xml:space="preserve">Section 5 </w:t>
      </w:r>
      <w:r w:rsidR="005A1117" w:rsidRPr="00BE38D7">
        <w:rPr>
          <w:rFonts w:ascii="Arial" w:hAnsi="Arial" w:cs="Arial"/>
          <w:sz w:val="24"/>
          <w:szCs w:val="24"/>
        </w:rPr>
        <w:t>(</w:t>
      </w:r>
      <w:r w:rsidR="00D823F2" w:rsidRPr="00BE38D7">
        <w:rPr>
          <w:rFonts w:ascii="Arial" w:hAnsi="Arial" w:cs="Arial"/>
          <w:sz w:val="24"/>
          <w:szCs w:val="24"/>
        </w:rPr>
        <w:t>1</w:t>
      </w:r>
      <w:r w:rsidR="005A1117" w:rsidRPr="00BE38D7">
        <w:rPr>
          <w:rFonts w:ascii="Arial" w:hAnsi="Arial" w:cs="Arial"/>
          <w:sz w:val="24"/>
          <w:szCs w:val="24"/>
        </w:rPr>
        <w:t>)</w:t>
      </w:r>
      <w:r w:rsidR="00D823F2" w:rsidRPr="00BE38D7">
        <w:rPr>
          <w:rFonts w:ascii="Arial" w:hAnsi="Arial" w:cs="Arial"/>
          <w:sz w:val="24"/>
          <w:szCs w:val="24"/>
        </w:rPr>
        <w:t>(a)</w:t>
      </w:r>
      <w:r w:rsidR="00491B8B" w:rsidRPr="00BE38D7">
        <w:rPr>
          <w:rFonts w:ascii="Arial" w:hAnsi="Arial" w:cs="Arial"/>
          <w:sz w:val="24"/>
          <w:szCs w:val="24"/>
        </w:rPr>
        <w:t xml:space="preserve"> provides that the Council</w:t>
      </w:r>
      <w:r w:rsidR="00D823F2" w:rsidRPr="00BE38D7">
        <w:rPr>
          <w:rFonts w:ascii="Arial" w:hAnsi="Arial" w:cs="Arial"/>
          <w:sz w:val="24"/>
          <w:szCs w:val="24"/>
        </w:rPr>
        <w:t xml:space="preserve"> shall</w:t>
      </w:r>
      <w:r w:rsidR="00ED036B" w:rsidRPr="00BE38D7">
        <w:rPr>
          <w:rFonts w:ascii="Arial" w:hAnsi="Arial" w:cs="Arial"/>
          <w:sz w:val="24"/>
          <w:szCs w:val="24"/>
        </w:rPr>
        <w:t>,</w:t>
      </w:r>
      <w:r w:rsidR="00D823F2" w:rsidRPr="00BE38D7">
        <w:rPr>
          <w:rFonts w:ascii="Arial" w:hAnsi="Arial" w:cs="Arial"/>
          <w:sz w:val="24"/>
          <w:szCs w:val="24"/>
        </w:rPr>
        <w:t xml:space="preserve"> when an applicant applies for a </w:t>
      </w:r>
      <w:r w:rsidR="00491B8B" w:rsidRPr="00BE38D7">
        <w:rPr>
          <w:rFonts w:ascii="Arial" w:hAnsi="Arial" w:cs="Arial"/>
          <w:sz w:val="24"/>
          <w:szCs w:val="24"/>
        </w:rPr>
        <w:t>permit</w:t>
      </w:r>
      <w:r w:rsidR="00041034" w:rsidRPr="00BE38D7">
        <w:rPr>
          <w:rFonts w:ascii="Arial" w:hAnsi="Arial" w:cs="Arial"/>
          <w:sz w:val="24"/>
          <w:szCs w:val="24"/>
        </w:rPr>
        <w:t>,</w:t>
      </w:r>
      <w:r w:rsidR="00491B8B" w:rsidRPr="00BE38D7">
        <w:rPr>
          <w:rFonts w:ascii="Arial" w:hAnsi="Arial" w:cs="Arial"/>
          <w:sz w:val="24"/>
          <w:szCs w:val="24"/>
        </w:rPr>
        <w:t xml:space="preserve"> determine whether the applicant must in addition</w:t>
      </w:r>
      <w:r w:rsidR="005A1117" w:rsidRPr="00BE38D7">
        <w:rPr>
          <w:rFonts w:ascii="Arial" w:hAnsi="Arial" w:cs="Arial"/>
          <w:sz w:val="24"/>
          <w:szCs w:val="24"/>
        </w:rPr>
        <w:t>,</w:t>
      </w:r>
      <w:r w:rsidR="00491B8B" w:rsidRPr="00BE38D7">
        <w:rPr>
          <w:rFonts w:ascii="Arial" w:hAnsi="Arial" w:cs="Arial"/>
          <w:sz w:val="24"/>
          <w:szCs w:val="24"/>
        </w:rPr>
        <w:t xml:space="preserve"> submit an assessment in accordance with the provisions of the National Environmental Management Act 107 of 1998 (NEMA), of the impact</w:t>
      </w:r>
      <w:r w:rsidR="00747416" w:rsidRPr="00BE38D7">
        <w:rPr>
          <w:rFonts w:ascii="Arial" w:hAnsi="Arial" w:cs="Arial"/>
          <w:sz w:val="24"/>
          <w:szCs w:val="24"/>
        </w:rPr>
        <w:t xml:space="preserve"> on the environment and an assessment of the socio-economic consideration of such activities.</w:t>
      </w:r>
      <w:r w:rsidR="00862612" w:rsidRPr="00BE38D7">
        <w:rPr>
          <w:rFonts w:ascii="Arial" w:hAnsi="Arial" w:cs="Arial"/>
          <w:sz w:val="24"/>
          <w:szCs w:val="24"/>
        </w:rPr>
        <w:t xml:space="preserve"> </w:t>
      </w:r>
      <w:r w:rsidR="006A7A16" w:rsidRPr="00BE38D7">
        <w:rPr>
          <w:rFonts w:ascii="Arial" w:hAnsi="Arial" w:cs="Arial"/>
          <w:sz w:val="24"/>
          <w:szCs w:val="24"/>
        </w:rPr>
        <w:t>ACB is of the view</w:t>
      </w:r>
      <w:r w:rsidR="00342D94" w:rsidRPr="00BE38D7">
        <w:rPr>
          <w:rFonts w:ascii="Arial" w:hAnsi="Arial" w:cs="Arial"/>
          <w:sz w:val="24"/>
          <w:szCs w:val="24"/>
        </w:rPr>
        <w:t xml:space="preserve"> that the decision not to call for an</w:t>
      </w:r>
      <w:r w:rsidR="00C27621" w:rsidRPr="00BE38D7">
        <w:rPr>
          <w:rFonts w:ascii="Arial" w:hAnsi="Arial" w:cs="Arial"/>
          <w:sz w:val="24"/>
          <w:szCs w:val="24"/>
        </w:rPr>
        <w:t xml:space="preserve"> independent</w:t>
      </w:r>
      <w:r w:rsidR="00342D94" w:rsidRPr="00BE38D7">
        <w:rPr>
          <w:rFonts w:ascii="Arial" w:hAnsi="Arial" w:cs="Arial"/>
          <w:sz w:val="24"/>
          <w:szCs w:val="24"/>
        </w:rPr>
        <w:t xml:space="preserve"> assessment</w:t>
      </w:r>
      <w:r w:rsidR="00862612" w:rsidRPr="00BE38D7">
        <w:rPr>
          <w:rFonts w:ascii="Arial" w:hAnsi="Arial" w:cs="Arial"/>
          <w:sz w:val="24"/>
          <w:szCs w:val="24"/>
        </w:rPr>
        <w:t xml:space="preserve"> was procedurally </w:t>
      </w:r>
      <w:r w:rsidR="00D22A37" w:rsidRPr="00BE38D7">
        <w:rPr>
          <w:rFonts w:ascii="Arial" w:hAnsi="Arial" w:cs="Arial"/>
          <w:sz w:val="24"/>
          <w:szCs w:val="24"/>
        </w:rPr>
        <w:t>unfair,</w:t>
      </w:r>
      <w:r w:rsidR="000F52B4" w:rsidRPr="00BE38D7">
        <w:rPr>
          <w:rFonts w:ascii="Arial" w:hAnsi="Arial" w:cs="Arial"/>
          <w:sz w:val="24"/>
          <w:szCs w:val="24"/>
        </w:rPr>
        <w:t xml:space="preserve"> and</w:t>
      </w:r>
      <w:r w:rsidR="00016A01" w:rsidRPr="00BE38D7">
        <w:rPr>
          <w:rFonts w:ascii="Arial" w:hAnsi="Arial" w:cs="Arial"/>
          <w:sz w:val="24"/>
          <w:szCs w:val="24"/>
        </w:rPr>
        <w:t xml:space="preserve"> that the precautionary principle was</w:t>
      </w:r>
      <w:r w:rsidR="00705A26" w:rsidRPr="00BE38D7">
        <w:rPr>
          <w:rFonts w:ascii="Arial" w:hAnsi="Arial" w:cs="Arial"/>
          <w:sz w:val="24"/>
          <w:szCs w:val="24"/>
        </w:rPr>
        <w:t xml:space="preserve"> not applied.</w:t>
      </w:r>
    </w:p>
    <w:p w14:paraId="4E514689" w14:textId="77777777" w:rsidR="0096203A" w:rsidRDefault="0096203A" w:rsidP="0096203A">
      <w:pPr>
        <w:pStyle w:val="ListParagraph"/>
        <w:spacing w:line="360" w:lineRule="auto"/>
        <w:jc w:val="both"/>
        <w:rPr>
          <w:rFonts w:ascii="Arial" w:hAnsi="Arial" w:cs="Arial"/>
          <w:sz w:val="24"/>
          <w:szCs w:val="24"/>
        </w:rPr>
      </w:pPr>
    </w:p>
    <w:p w14:paraId="1F0BD90D" w14:textId="69F2B3DA" w:rsidR="004B3A7B"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13.</w:t>
      </w:r>
      <w:r>
        <w:rPr>
          <w:rFonts w:ascii="Arial" w:hAnsi="Arial" w:cs="Arial"/>
          <w:color w:val="000000" w:themeColor="text1"/>
          <w:sz w:val="24"/>
          <w:szCs w:val="24"/>
        </w:rPr>
        <w:tab/>
      </w:r>
      <w:r w:rsidR="009126C3" w:rsidRPr="00BE38D7">
        <w:rPr>
          <w:rFonts w:ascii="Arial" w:hAnsi="Arial" w:cs="Arial"/>
          <w:sz w:val="24"/>
          <w:szCs w:val="24"/>
        </w:rPr>
        <w:t xml:space="preserve"> ACB, in the founding affidavit, stated that the EC ought to have called on Monsanto to </w:t>
      </w:r>
      <w:r w:rsidR="00D22A37" w:rsidRPr="00BE38D7">
        <w:rPr>
          <w:rFonts w:ascii="Arial" w:hAnsi="Arial" w:cs="Arial"/>
          <w:sz w:val="24"/>
          <w:szCs w:val="24"/>
        </w:rPr>
        <w:t>submit risk</w:t>
      </w:r>
      <w:r w:rsidR="009126C3" w:rsidRPr="00BE38D7">
        <w:rPr>
          <w:rFonts w:ascii="Arial" w:hAnsi="Arial" w:cs="Arial"/>
          <w:sz w:val="24"/>
          <w:szCs w:val="24"/>
        </w:rPr>
        <w:t xml:space="preserve"> assess</w:t>
      </w:r>
      <w:r w:rsidR="00A545FA" w:rsidRPr="00BE38D7">
        <w:rPr>
          <w:rFonts w:ascii="Arial" w:hAnsi="Arial" w:cs="Arial"/>
          <w:sz w:val="24"/>
          <w:szCs w:val="24"/>
        </w:rPr>
        <w:t>ment and environmental impact studies.</w:t>
      </w:r>
      <w:r w:rsidR="00E2322C" w:rsidRPr="00BE38D7">
        <w:rPr>
          <w:rFonts w:ascii="Arial" w:hAnsi="Arial" w:cs="Arial"/>
          <w:sz w:val="24"/>
          <w:szCs w:val="24"/>
        </w:rPr>
        <w:t xml:space="preserve"> The </w:t>
      </w:r>
      <w:r w:rsidR="00903B3E" w:rsidRPr="00BE38D7">
        <w:rPr>
          <w:rFonts w:ascii="Arial" w:hAnsi="Arial" w:cs="Arial"/>
          <w:sz w:val="24"/>
          <w:szCs w:val="24"/>
        </w:rPr>
        <w:t>record</w:t>
      </w:r>
      <w:r w:rsidR="00E2322C" w:rsidRPr="00BE38D7">
        <w:rPr>
          <w:rFonts w:ascii="Arial" w:hAnsi="Arial" w:cs="Arial"/>
          <w:sz w:val="24"/>
          <w:szCs w:val="24"/>
        </w:rPr>
        <w:t xml:space="preserve"> shows that Monsanto provided a risk </w:t>
      </w:r>
      <w:r w:rsidR="00A252CE" w:rsidRPr="00BE38D7">
        <w:rPr>
          <w:rFonts w:ascii="Arial" w:hAnsi="Arial" w:cs="Arial"/>
          <w:sz w:val="24"/>
          <w:szCs w:val="24"/>
        </w:rPr>
        <w:t>assessment, but</w:t>
      </w:r>
      <w:r w:rsidR="00AC2DE6" w:rsidRPr="00BE38D7">
        <w:rPr>
          <w:rFonts w:ascii="Arial" w:hAnsi="Arial" w:cs="Arial"/>
          <w:sz w:val="24"/>
          <w:szCs w:val="24"/>
        </w:rPr>
        <w:t xml:space="preserve"> AC</w:t>
      </w:r>
      <w:r w:rsidR="00DA6E97" w:rsidRPr="00BE38D7">
        <w:rPr>
          <w:rFonts w:ascii="Arial" w:hAnsi="Arial" w:cs="Arial"/>
          <w:sz w:val="24"/>
          <w:szCs w:val="24"/>
        </w:rPr>
        <w:t>B</w:t>
      </w:r>
      <w:r w:rsidR="00AC2DE6" w:rsidRPr="00BE38D7">
        <w:rPr>
          <w:rFonts w:ascii="Arial" w:hAnsi="Arial" w:cs="Arial"/>
          <w:sz w:val="24"/>
          <w:szCs w:val="24"/>
        </w:rPr>
        <w:t xml:space="preserve"> insists</w:t>
      </w:r>
      <w:r w:rsidR="00A252CE" w:rsidRPr="00BE38D7">
        <w:rPr>
          <w:rFonts w:ascii="Arial" w:hAnsi="Arial" w:cs="Arial"/>
          <w:sz w:val="24"/>
          <w:szCs w:val="24"/>
        </w:rPr>
        <w:t xml:space="preserve"> that an independent risk assessment should have been </w:t>
      </w:r>
      <w:r w:rsidR="00822BE8" w:rsidRPr="00BE38D7">
        <w:rPr>
          <w:rFonts w:ascii="Arial" w:hAnsi="Arial" w:cs="Arial"/>
          <w:sz w:val="24"/>
          <w:szCs w:val="24"/>
        </w:rPr>
        <w:t>provided. Monsanto’s</w:t>
      </w:r>
      <w:r w:rsidR="00A545FA" w:rsidRPr="00BE38D7">
        <w:rPr>
          <w:rFonts w:ascii="Arial" w:hAnsi="Arial" w:cs="Arial"/>
          <w:sz w:val="24"/>
          <w:szCs w:val="24"/>
        </w:rPr>
        <w:t xml:space="preserve"> argument</w:t>
      </w:r>
      <w:r w:rsidR="002147E4" w:rsidRPr="00BE38D7">
        <w:rPr>
          <w:rFonts w:ascii="Arial" w:hAnsi="Arial" w:cs="Arial"/>
          <w:sz w:val="24"/>
          <w:szCs w:val="24"/>
        </w:rPr>
        <w:t xml:space="preserve"> is</w:t>
      </w:r>
      <w:r w:rsidR="00A545FA" w:rsidRPr="00BE38D7">
        <w:rPr>
          <w:rFonts w:ascii="Arial" w:hAnsi="Arial" w:cs="Arial"/>
          <w:sz w:val="24"/>
          <w:szCs w:val="24"/>
        </w:rPr>
        <w:t xml:space="preserve"> </w:t>
      </w:r>
      <w:r w:rsidR="006A7A16" w:rsidRPr="00BE38D7">
        <w:rPr>
          <w:rFonts w:ascii="Arial" w:hAnsi="Arial" w:cs="Arial"/>
          <w:sz w:val="24"/>
          <w:szCs w:val="24"/>
        </w:rPr>
        <w:t xml:space="preserve">that the EC did </w:t>
      </w:r>
      <w:r w:rsidR="006A7A16" w:rsidRPr="00BE38D7">
        <w:rPr>
          <w:rFonts w:ascii="Arial" w:hAnsi="Arial" w:cs="Arial"/>
          <w:sz w:val="24"/>
          <w:szCs w:val="24"/>
        </w:rPr>
        <w:lastRenderedPageBreak/>
        <w:t>not fail</w:t>
      </w:r>
      <w:r w:rsidR="00A545FA" w:rsidRPr="00BE38D7">
        <w:rPr>
          <w:rFonts w:ascii="Arial" w:hAnsi="Arial" w:cs="Arial"/>
          <w:sz w:val="24"/>
          <w:szCs w:val="24"/>
        </w:rPr>
        <w:t xml:space="preserve"> to take a </w:t>
      </w:r>
      <w:r w:rsidR="007A50D7" w:rsidRPr="00BE38D7">
        <w:rPr>
          <w:rFonts w:ascii="Arial" w:hAnsi="Arial" w:cs="Arial"/>
          <w:sz w:val="24"/>
          <w:szCs w:val="24"/>
        </w:rPr>
        <w:t>decision</w:t>
      </w:r>
      <w:r w:rsidR="00F4681A" w:rsidRPr="00BE38D7">
        <w:rPr>
          <w:rFonts w:ascii="Arial" w:hAnsi="Arial" w:cs="Arial"/>
          <w:sz w:val="24"/>
          <w:szCs w:val="24"/>
        </w:rPr>
        <w:t xml:space="preserve"> as envisaged in section 5(1</w:t>
      </w:r>
      <w:proofErr w:type="gramStart"/>
      <w:r w:rsidR="00F4681A" w:rsidRPr="00BE38D7">
        <w:rPr>
          <w:rFonts w:ascii="Arial" w:hAnsi="Arial" w:cs="Arial"/>
          <w:sz w:val="24"/>
          <w:szCs w:val="24"/>
        </w:rPr>
        <w:t>)</w:t>
      </w:r>
      <w:r w:rsidR="00D22A37" w:rsidRPr="00BE38D7">
        <w:rPr>
          <w:rFonts w:ascii="Arial" w:hAnsi="Arial" w:cs="Arial"/>
          <w:sz w:val="24"/>
          <w:szCs w:val="24"/>
        </w:rPr>
        <w:t>(</w:t>
      </w:r>
      <w:proofErr w:type="gramEnd"/>
      <w:r w:rsidR="00D22A37" w:rsidRPr="00BE38D7">
        <w:rPr>
          <w:rFonts w:ascii="Arial" w:hAnsi="Arial" w:cs="Arial"/>
          <w:sz w:val="24"/>
          <w:szCs w:val="24"/>
        </w:rPr>
        <w:t>a</w:t>
      </w:r>
      <w:r w:rsidR="003234A6" w:rsidRPr="00BE38D7">
        <w:rPr>
          <w:rFonts w:ascii="Arial" w:hAnsi="Arial" w:cs="Arial"/>
          <w:sz w:val="24"/>
          <w:szCs w:val="24"/>
        </w:rPr>
        <w:t>) but</w:t>
      </w:r>
      <w:r w:rsidR="00A545FA" w:rsidRPr="00BE38D7">
        <w:rPr>
          <w:rFonts w:ascii="Arial" w:hAnsi="Arial" w:cs="Arial"/>
          <w:sz w:val="24"/>
          <w:szCs w:val="24"/>
        </w:rPr>
        <w:t xml:space="preserve"> </w:t>
      </w:r>
      <w:r w:rsidR="0024596A" w:rsidRPr="00BE38D7">
        <w:rPr>
          <w:rFonts w:ascii="Arial" w:hAnsi="Arial" w:cs="Arial"/>
          <w:sz w:val="24"/>
          <w:szCs w:val="24"/>
        </w:rPr>
        <w:t>to</w:t>
      </w:r>
      <w:r w:rsidR="006A7A16" w:rsidRPr="00BE38D7">
        <w:rPr>
          <w:rFonts w:ascii="Arial" w:hAnsi="Arial" w:cs="Arial"/>
          <w:sz w:val="24"/>
          <w:szCs w:val="24"/>
        </w:rPr>
        <w:t>ok</w:t>
      </w:r>
      <w:r w:rsidR="0024596A" w:rsidRPr="00BE38D7">
        <w:rPr>
          <w:rFonts w:ascii="Arial" w:hAnsi="Arial" w:cs="Arial"/>
          <w:sz w:val="24"/>
          <w:szCs w:val="24"/>
        </w:rPr>
        <w:t xml:space="preserve"> a decision not</w:t>
      </w:r>
      <w:r w:rsidR="00A545FA" w:rsidRPr="00BE38D7">
        <w:rPr>
          <w:rFonts w:ascii="Arial" w:hAnsi="Arial" w:cs="Arial"/>
          <w:sz w:val="24"/>
          <w:szCs w:val="24"/>
        </w:rPr>
        <w:t xml:space="preserve"> to </w:t>
      </w:r>
      <w:r w:rsidR="00CE517D" w:rsidRPr="00BE38D7">
        <w:rPr>
          <w:rFonts w:ascii="Arial" w:hAnsi="Arial" w:cs="Arial"/>
          <w:sz w:val="24"/>
          <w:szCs w:val="24"/>
        </w:rPr>
        <w:t>request a</w:t>
      </w:r>
      <w:r w:rsidR="003C2992" w:rsidRPr="00BE38D7">
        <w:rPr>
          <w:rFonts w:ascii="Arial" w:hAnsi="Arial" w:cs="Arial"/>
          <w:sz w:val="24"/>
          <w:szCs w:val="24"/>
        </w:rPr>
        <w:t>n</w:t>
      </w:r>
      <w:r w:rsidR="008A4555" w:rsidRPr="00BE38D7">
        <w:rPr>
          <w:rFonts w:ascii="Arial" w:hAnsi="Arial" w:cs="Arial"/>
          <w:sz w:val="24"/>
          <w:szCs w:val="24"/>
        </w:rPr>
        <w:t xml:space="preserve"> independent</w:t>
      </w:r>
      <w:r w:rsidR="003C2992" w:rsidRPr="00BE38D7">
        <w:rPr>
          <w:rFonts w:ascii="Arial" w:hAnsi="Arial" w:cs="Arial"/>
          <w:sz w:val="24"/>
          <w:szCs w:val="24"/>
        </w:rPr>
        <w:t xml:space="preserve"> </w:t>
      </w:r>
      <w:r w:rsidR="006F182C" w:rsidRPr="00BE38D7">
        <w:rPr>
          <w:rFonts w:ascii="Arial" w:hAnsi="Arial" w:cs="Arial"/>
          <w:sz w:val="24"/>
          <w:szCs w:val="24"/>
        </w:rPr>
        <w:t>assessment based</w:t>
      </w:r>
      <w:r w:rsidR="00760A40" w:rsidRPr="00BE38D7">
        <w:rPr>
          <w:rFonts w:ascii="Arial" w:hAnsi="Arial" w:cs="Arial"/>
          <w:sz w:val="24"/>
          <w:szCs w:val="24"/>
        </w:rPr>
        <w:t xml:space="preserve"> on the evidence before it.</w:t>
      </w:r>
      <w:r w:rsidR="00A545FA" w:rsidRPr="00BE38D7">
        <w:rPr>
          <w:rFonts w:ascii="Arial" w:hAnsi="Arial" w:cs="Arial"/>
          <w:sz w:val="24"/>
          <w:szCs w:val="24"/>
        </w:rPr>
        <w:t xml:space="preserve"> </w:t>
      </w:r>
    </w:p>
    <w:p w14:paraId="2492950D" w14:textId="77777777" w:rsidR="0096203A" w:rsidRPr="0096203A" w:rsidRDefault="0096203A" w:rsidP="0096203A">
      <w:pPr>
        <w:pStyle w:val="ListParagraph"/>
        <w:rPr>
          <w:rFonts w:ascii="Arial" w:hAnsi="Arial" w:cs="Arial"/>
          <w:sz w:val="24"/>
          <w:szCs w:val="24"/>
        </w:rPr>
      </w:pPr>
    </w:p>
    <w:p w14:paraId="266CD895" w14:textId="77777777" w:rsidR="0096203A" w:rsidRPr="00E60684" w:rsidRDefault="0096203A" w:rsidP="0096203A">
      <w:pPr>
        <w:pStyle w:val="ListParagraph"/>
        <w:spacing w:line="360" w:lineRule="auto"/>
        <w:jc w:val="both"/>
        <w:rPr>
          <w:rFonts w:ascii="Arial" w:hAnsi="Arial" w:cs="Arial"/>
          <w:sz w:val="24"/>
          <w:szCs w:val="24"/>
        </w:rPr>
      </w:pPr>
    </w:p>
    <w:p w14:paraId="38BDA332" w14:textId="5D1190C8" w:rsidR="008E668C" w:rsidRPr="00BE38D7" w:rsidRDefault="00BE38D7" w:rsidP="00BE38D7">
      <w:pPr>
        <w:spacing w:line="360" w:lineRule="auto"/>
        <w:ind w:left="810" w:hanging="810"/>
        <w:jc w:val="both"/>
        <w:rPr>
          <w:rFonts w:ascii="Arial" w:hAnsi="Arial" w:cs="Arial"/>
          <w:sz w:val="24"/>
          <w:szCs w:val="24"/>
        </w:rPr>
      </w:pPr>
      <w:r>
        <w:rPr>
          <w:rFonts w:ascii="Arial" w:hAnsi="Arial" w:cs="Arial"/>
          <w:color w:val="000000" w:themeColor="text1"/>
          <w:sz w:val="24"/>
          <w:szCs w:val="24"/>
        </w:rPr>
        <w:t>14.</w:t>
      </w:r>
      <w:r>
        <w:rPr>
          <w:rFonts w:ascii="Arial" w:hAnsi="Arial" w:cs="Arial"/>
          <w:color w:val="000000" w:themeColor="text1"/>
          <w:sz w:val="24"/>
          <w:szCs w:val="24"/>
        </w:rPr>
        <w:tab/>
      </w:r>
      <w:r w:rsidR="004B3A7B" w:rsidRPr="00BE38D7">
        <w:rPr>
          <w:rFonts w:ascii="Arial" w:hAnsi="Arial" w:cs="Arial"/>
          <w:sz w:val="24"/>
          <w:szCs w:val="24"/>
        </w:rPr>
        <w:t xml:space="preserve">The </w:t>
      </w:r>
      <w:r w:rsidR="00AB4EF2" w:rsidRPr="00BE38D7">
        <w:rPr>
          <w:rFonts w:ascii="Arial" w:hAnsi="Arial" w:cs="Arial"/>
          <w:sz w:val="24"/>
          <w:szCs w:val="24"/>
        </w:rPr>
        <w:t xml:space="preserve">State </w:t>
      </w:r>
      <w:r w:rsidR="00A51D5E" w:rsidRPr="00BE38D7">
        <w:rPr>
          <w:rFonts w:ascii="Arial" w:hAnsi="Arial" w:cs="Arial"/>
          <w:sz w:val="24"/>
          <w:szCs w:val="24"/>
        </w:rPr>
        <w:t>Respondents</w:t>
      </w:r>
      <w:r w:rsidR="00AB4EF2" w:rsidRPr="00BE38D7">
        <w:rPr>
          <w:rFonts w:ascii="Arial" w:hAnsi="Arial" w:cs="Arial"/>
          <w:sz w:val="24"/>
          <w:szCs w:val="24"/>
        </w:rPr>
        <w:t xml:space="preserve"> pointed out</w:t>
      </w:r>
      <w:r w:rsidR="009C5C89" w:rsidRPr="00BE38D7">
        <w:rPr>
          <w:rFonts w:ascii="Arial" w:hAnsi="Arial" w:cs="Arial"/>
          <w:sz w:val="24"/>
          <w:szCs w:val="24"/>
        </w:rPr>
        <w:t>,</w:t>
      </w:r>
      <w:r w:rsidR="00AB4EF2" w:rsidRPr="00BE38D7">
        <w:rPr>
          <w:rFonts w:ascii="Arial" w:hAnsi="Arial" w:cs="Arial"/>
          <w:sz w:val="24"/>
          <w:szCs w:val="24"/>
        </w:rPr>
        <w:t xml:space="preserve"> in their</w:t>
      </w:r>
      <w:r w:rsidR="00932020" w:rsidRPr="00BE38D7">
        <w:rPr>
          <w:rFonts w:ascii="Arial" w:hAnsi="Arial" w:cs="Arial"/>
          <w:sz w:val="24"/>
          <w:szCs w:val="24"/>
        </w:rPr>
        <w:t xml:space="preserve"> answering</w:t>
      </w:r>
      <w:r w:rsidR="00AB4EF2" w:rsidRPr="00BE38D7">
        <w:rPr>
          <w:rFonts w:ascii="Arial" w:hAnsi="Arial" w:cs="Arial"/>
          <w:sz w:val="24"/>
          <w:szCs w:val="24"/>
        </w:rPr>
        <w:t xml:space="preserve"> affidavit that Monsanto was not required to submit an environmental impact assessment (EIA) in accordance with NEMA</w:t>
      </w:r>
      <w:r w:rsidR="00436CE0" w:rsidRPr="00BE38D7">
        <w:rPr>
          <w:rFonts w:ascii="Arial" w:hAnsi="Arial" w:cs="Arial"/>
          <w:sz w:val="24"/>
          <w:szCs w:val="24"/>
        </w:rPr>
        <w:t>,</w:t>
      </w:r>
      <w:r w:rsidR="00AB4EF2" w:rsidRPr="00BE38D7">
        <w:rPr>
          <w:rFonts w:ascii="Arial" w:hAnsi="Arial" w:cs="Arial"/>
          <w:sz w:val="24"/>
          <w:szCs w:val="24"/>
        </w:rPr>
        <w:t xml:space="preserve"> because section 24 of NEMA only requires EIA’s to be conducted for listed activities, as published in section 24 (d) of NEMA. Monsanto was not required to submit an environmental</w:t>
      </w:r>
      <w:r w:rsidR="00281E16" w:rsidRPr="00BE38D7">
        <w:rPr>
          <w:rFonts w:ascii="Arial" w:hAnsi="Arial" w:cs="Arial"/>
          <w:sz w:val="24"/>
          <w:szCs w:val="24"/>
        </w:rPr>
        <w:t xml:space="preserve"> assessment, because the South African trials did not show that the GMO may pose a threat to any indigenous species</w:t>
      </w:r>
      <w:r w:rsidR="006776ED" w:rsidRPr="00BE38D7">
        <w:rPr>
          <w:rFonts w:ascii="Arial" w:hAnsi="Arial" w:cs="Arial"/>
          <w:sz w:val="24"/>
          <w:szCs w:val="24"/>
        </w:rPr>
        <w:t>,</w:t>
      </w:r>
      <w:r w:rsidR="00281E16" w:rsidRPr="00BE38D7">
        <w:rPr>
          <w:rFonts w:ascii="Arial" w:hAnsi="Arial" w:cs="Arial"/>
          <w:sz w:val="24"/>
          <w:szCs w:val="24"/>
        </w:rPr>
        <w:t xml:space="preserve"> or the environment.</w:t>
      </w:r>
    </w:p>
    <w:p w14:paraId="5E2A918D" w14:textId="77777777" w:rsidR="0096203A" w:rsidRDefault="0096203A" w:rsidP="0096203A">
      <w:pPr>
        <w:pStyle w:val="ListParagraph"/>
        <w:spacing w:line="360" w:lineRule="auto"/>
        <w:ind w:left="810"/>
        <w:jc w:val="both"/>
        <w:rPr>
          <w:rFonts w:ascii="Arial" w:hAnsi="Arial" w:cs="Arial"/>
          <w:sz w:val="24"/>
          <w:szCs w:val="24"/>
        </w:rPr>
      </w:pPr>
    </w:p>
    <w:p w14:paraId="221EA6A4" w14:textId="4303F09B" w:rsidR="00AE4960" w:rsidRPr="00BE38D7" w:rsidRDefault="00BE38D7" w:rsidP="00BE38D7">
      <w:pPr>
        <w:spacing w:line="360" w:lineRule="auto"/>
        <w:ind w:left="810" w:hanging="810"/>
        <w:jc w:val="both"/>
        <w:rPr>
          <w:rFonts w:ascii="Arial" w:hAnsi="Arial" w:cs="Arial"/>
          <w:sz w:val="24"/>
          <w:szCs w:val="24"/>
        </w:rPr>
      </w:pPr>
      <w:r>
        <w:rPr>
          <w:rFonts w:ascii="Arial" w:hAnsi="Arial" w:cs="Arial"/>
          <w:color w:val="000000" w:themeColor="text1"/>
          <w:sz w:val="24"/>
          <w:szCs w:val="24"/>
        </w:rPr>
        <w:t>15.</w:t>
      </w:r>
      <w:r>
        <w:rPr>
          <w:rFonts w:ascii="Arial" w:hAnsi="Arial" w:cs="Arial"/>
          <w:color w:val="000000" w:themeColor="text1"/>
          <w:sz w:val="24"/>
          <w:szCs w:val="24"/>
        </w:rPr>
        <w:tab/>
      </w:r>
      <w:r w:rsidR="00B80065" w:rsidRPr="00BE38D7">
        <w:rPr>
          <w:rFonts w:ascii="Arial" w:hAnsi="Arial" w:cs="Arial"/>
          <w:sz w:val="24"/>
          <w:szCs w:val="24"/>
        </w:rPr>
        <w:t>Th</w:t>
      </w:r>
      <w:r w:rsidR="00164E57" w:rsidRPr="00BE38D7">
        <w:rPr>
          <w:rFonts w:ascii="Arial" w:hAnsi="Arial" w:cs="Arial"/>
          <w:sz w:val="24"/>
          <w:szCs w:val="24"/>
        </w:rPr>
        <w:t xml:space="preserve">e failure to call </w:t>
      </w:r>
      <w:r w:rsidR="001235AB" w:rsidRPr="00BE38D7">
        <w:rPr>
          <w:rFonts w:ascii="Arial" w:hAnsi="Arial" w:cs="Arial"/>
          <w:sz w:val="24"/>
          <w:szCs w:val="24"/>
        </w:rPr>
        <w:t>for</w:t>
      </w:r>
      <w:r w:rsidR="00164E57" w:rsidRPr="00BE38D7">
        <w:rPr>
          <w:rFonts w:ascii="Arial" w:hAnsi="Arial" w:cs="Arial"/>
          <w:sz w:val="24"/>
          <w:szCs w:val="24"/>
        </w:rPr>
        <w:t xml:space="preserve"> an EIA</w:t>
      </w:r>
      <w:r w:rsidR="001235AB" w:rsidRPr="00BE38D7">
        <w:rPr>
          <w:rFonts w:ascii="Arial" w:hAnsi="Arial" w:cs="Arial"/>
          <w:sz w:val="24"/>
          <w:szCs w:val="24"/>
        </w:rPr>
        <w:t xml:space="preserve"> is linked to the </w:t>
      </w:r>
      <w:r w:rsidR="00221140" w:rsidRPr="00BE38D7">
        <w:rPr>
          <w:rFonts w:ascii="Arial" w:hAnsi="Arial" w:cs="Arial"/>
          <w:sz w:val="24"/>
          <w:szCs w:val="24"/>
        </w:rPr>
        <w:t>precautionary principle</w:t>
      </w:r>
      <w:r w:rsidR="00AE06BD" w:rsidRPr="00BE38D7">
        <w:rPr>
          <w:rFonts w:ascii="Arial" w:hAnsi="Arial" w:cs="Arial"/>
          <w:sz w:val="24"/>
          <w:szCs w:val="24"/>
        </w:rPr>
        <w:t xml:space="preserve">. </w:t>
      </w:r>
      <w:r w:rsidR="004B0623" w:rsidRPr="00BE38D7">
        <w:rPr>
          <w:rFonts w:ascii="Arial" w:hAnsi="Arial" w:cs="Arial"/>
          <w:sz w:val="24"/>
          <w:szCs w:val="24"/>
        </w:rPr>
        <w:t xml:space="preserve">ACB </w:t>
      </w:r>
      <w:r w:rsidR="007F72F1" w:rsidRPr="00BE38D7">
        <w:rPr>
          <w:rFonts w:ascii="Arial" w:hAnsi="Arial" w:cs="Arial"/>
          <w:sz w:val="24"/>
          <w:szCs w:val="24"/>
        </w:rPr>
        <w:t xml:space="preserve">argued that the precautionary principle should be </w:t>
      </w:r>
      <w:r w:rsidR="004336E7" w:rsidRPr="00BE38D7">
        <w:rPr>
          <w:rFonts w:ascii="Arial" w:hAnsi="Arial" w:cs="Arial"/>
          <w:sz w:val="24"/>
          <w:szCs w:val="24"/>
        </w:rPr>
        <w:t>applied. This</w:t>
      </w:r>
      <w:r w:rsidR="007F72F1" w:rsidRPr="00BE38D7">
        <w:rPr>
          <w:rFonts w:ascii="Arial" w:hAnsi="Arial" w:cs="Arial"/>
          <w:sz w:val="24"/>
          <w:szCs w:val="24"/>
        </w:rPr>
        <w:t xml:space="preserve"> principle</w:t>
      </w:r>
      <w:r w:rsidR="008A2B1E" w:rsidRPr="00BE38D7">
        <w:rPr>
          <w:rFonts w:ascii="Arial" w:hAnsi="Arial" w:cs="Arial"/>
          <w:sz w:val="24"/>
          <w:szCs w:val="24"/>
        </w:rPr>
        <w:t xml:space="preserve"> is included in</w:t>
      </w:r>
      <w:r w:rsidR="005D4962" w:rsidRPr="00BE38D7">
        <w:rPr>
          <w:rFonts w:ascii="Arial" w:hAnsi="Arial" w:cs="Arial"/>
          <w:sz w:val="24"/>
          <w:szCs w:val="24"/>
        </w:rPr>
        <w:t xml:space="preserve"> chapter 2 of NEMA.</w:t>
      </w:r>
      <w:r w:rsidR="006D7889" w:rsidRPr="00BE38D7">
        <w:rPr>
          <w:rFonts w:ascii="Arial" w:hAnsi="Arial" w:cs="Arial"/>
          <w:sz w:val="24"/>
          <w:szCs w:val="24"/>
        </w:rPr>
        <w:t xml:space="preserve"> </w:t>
      </w:r>
      <w:r w:rsidR="005D4962" w:rsidRPr="00BE38D7">
        <w:rPr>
          <w:rFonts w:ascii="Arial" w:hAnsi="Arial" w:cs="Arial"/>
          <w:sz w:val="24"/>
          <w:szCs w:val="24"/>
        </w:rPr>
        <w:t>Section</w:t>
      </w:r>
      <w:r w:rsidR="00134F81" w:rsidRPr="00BE38D7">
        <w:rPr>
          <w:rFonts w:ascii="Arial" w:hAnsi="Arial" w:cs="Arial"/>
          <w:sz w:val="24"/>
          <w:szCs w:val="24"/>
        </w:rPr>
        <w:t xml:space="preserve"> 2(4</w:t>
      </w:r>
      <w:proofErr w:type="gramStart"/>
      <w:r w:rsidR="00134F81" w:rsidRPr="00BE38D7">
        <w:rPr>
          <w:rFonts w:ascii="Arial" w:hAnsi="Arial" w:cs="Arial"/>
          <w:sz w:val="24"/>
          <w:szCs w:val="24"/>
        </w:rPr>
        <w:t>)(</w:t>
      </w:r>
      <w:proofErr w:type="gramEnd"/>
      <w:r w:rsidR="00134F81" w:rsidRPr="00BE38D7">
        <w:rPr>
          <w:rFonts w:ascii="Arial" w:hAnsi="Arial" w:cs="Arial"/>
          <w:sz w:val="24"/>
          <w:szCs w:val="24"/>
        </w:rPr>
        <w:t>a)</w:t>
      </w:r>
      <w:r w:rsidR="00507E55" w:rsidRPr="00BE38D7">
        <w:rPr>
          <w:rFonts w:ascii="Arial" w:hAnsi="Arial" w:cs="Arial"/>
          <w:sz w:val="24"/>
          <w:szCs w:val="24"/>
        </w:rPr>
        <w:t>(</w:t>
      </w:r>
      <w:r w:rsidR="00920EFE" w:rsidRPr="00BE38D7">
        <w:rPr>
          <w:rFonts w:ascii="Arial" w:hAnsi="Arial" w:cs="Arial"/>
          <w:sz w:val="24"/>
          <w:szCs w:val="24"/>
        </w:rPr>
        <w:t>vii) of NEMA provides that</w:t>
      </w:r>
      <w:r w:rsidR="004C1C59" w:rsidRPr="00BE38D7">
        <w:rPr>
          <w:rFonts w:ascii="Arial" w:hAnsi="Arial" w:cs="Arial"/>
          <w:sz w:val="24"/>
          <w:szCs w:val="24"/>
        </w:rPr>
        <w:t xml:space="preserve"> a risk adverse and cautionary approach should be </w:t>
      </w:r>
      <w:r w:rsidR="006D7889" w:rsidRPr="00BE38D7">
        <w:rPr>
          <w:rFonts w:ascii="Arial" w:hAnsi="Arial" w:cs="Arial"/>
          <w:sz w:val="24"/>
          <w:szCs w:val="24"/>
        </w:rPr>
        <w:t>followed. This</w:t>
      </w:r>
      <w:r w:rsidR="004C1C59" w:rsidRPr="00BE38D7">
        <w:rPr>
          <w:rFonts w:ascii="Arial" w:hAnsi="Arial" w:cs="Arial"/>
          <w:sz w:val="24"/>
          <w:szCs w:val="24"/>
        </w:rPr>
        <w:t xml:space="preserve"> </w:t>
      </w:r>
      <w:r w:rsidR="00B3114B" w:rsidRPr="00BE38D7">
        <w:rPr>
          <w:rFonts w:ascii="Arial" w:hAnsi="Arial" w:cs="Arial"/>
          <w:sz w:val="24"/>
          <w:szCs w:val="24"/>
        </w:rPr>
        <w:t xml:space="preserve">implies </w:t>
      </w:r>
      <w:r w:rsidR="007C2E51" w:rsidRPr="00BE38D7">
        <w:rPr>
          <w:rFonts w:ascii="Arial" w:hAnsi="Arial" w:cs="Arial"/>
          <w:sz w:val="24"/>
          <w:szCs w:val="24"/>
        </w:rPr>
        <w:t>that the limits of current knowledge</w:t>
      </w:r>
      <w:r w:rsidR="001357EB" w:rsidRPr="00BE38D7">
        <w:rPr>
          <w:rFonts w:ascii="Arial" w:hAnsi="Arial" w:cs="Arial"/>
          <w:sz w:val="24"/>
          <w:szCs w:val="24"/>
        </w:rPr>
        <w:t xml:space="preserve"> about the consequences of decisions and actions</w:t>
      </w:r>
      <w:r w:rsidR="005A5FD6" w:rsidRPr="00BE38D7">
        <w:rPr>
          <w:rFonts w:ascii="Arial" w:hAnsi="Arial" w:cs="Arial"/>
          <w:sz w:val="24"/>
          <w:szCs w:val="24"/>
        </w:rPr>
        <w:t xml:space="preserve"> should be considered when decisions are taken</w:t>
      </w:r>
      <w:r w:rsidR="009546CA" w:rsidRPr="00BE38D7">
        <w:rPr>
          <w:rFonts w:ascii="Arial" w:hAnsi="Arial" w:cs="Arial"/>
          <w:sz w:val="24"/>
          <w:szCs w:val="24"/>
        </w:rPr>
        <w:t>.</w:t>
      </w:r>
      <w:r w:rsidR="002128D7" w:rsidRPr="00BE38D7">
        <w:rPr>
          <w:rFonts w:ascii="Arial" w:hAnsi="Arial" w:cs="Arial"/>
          <w:sz w:val="24"/>
          <w:szCs w:val="24"/>
        </w:rPr>
        <w:t xml:space="preserve"> </w:t>
      </w:r>
      <w:r w:rsidR="009546CA" w:rsidRPr="00BE38D7">
        <w:rPr>
          <w:rFonts w:ascii="Arial" w:hAnsi="Arial" w:cs="Arial"/>
          <w:sz w:val="24"/>
          <w:szCs w:val="24"/>
        </w:rPr>
        <w:t>The precautionary rule has been incorporated in</w:t>
      </w:r>
      <w:r w:rsidR="003215D3" w:rsidRPr="00BE38D7">
        <w:rPr>
          <w:rFonts w:ascii="Arial" w:hAnsi="Arial" w:cs="Arial"/>
          <w:sz w:val="24"/>
          <w:szCs w:val="24"/>
        </w:rPr>
        <w:t xml:space="preserve"> the GMO </w:t>
      </w:r>
      <w:proofErr w:type="gramStart"/>
      <w:r w:rsidR="003215D3" w:rsidRPr="00BE38D7">
        <w:rPr>
          <w:rFonts w:ascii="Arial" w:hAnsi="Arial" w:cs="Arial"/>
          <w:sz w:val="24"/>
          <w:szCs w:val="24"/>
        </w:rPr>
        <w:t>Regulations.Regulation</w:t>
      </w:r>
      <w:r w:rsidR="00873085" w:rsidRPr="00BE38D7">
        <w:rPr>
          <w:rFonts w:ascii="Arial" w:hAnsi="Arial" w:cs="Arial"/>
          <w:sz w:val="24"/>
          <w:szCs w:val="24"/>
        </w:rPr>
        <w:t>4(</w:t>
      </w:r>
      <w:proofErr w:type="gramEnd"/>
      <w:r w:rsidR="00873085" w:rsidRPr="00BE38D7">
        <w:rPr>
          <w:rFonts w:ascii="Arial" w:hAnsi="Arial" w:cs="Arial"/>
          <w:sz w:val="24"/>
          <w:szCs w:val="24"/>
        </w:rPr>
        <w:t>6) reads:</w:t>
      </w:r>
      <w:r w:rsidR="00E24D8B" w:rsidRPr="00BE38D7">
        <w:rPr>
          <w:rFonts w:ascii="Arial" w:hAnsi="Arial" w:cs="Arial"/>
          <w:sz w:val="24"/>
          <w:szCs w:val="24"/>
        </w:rPr>
        <w:t>”</w:t>
      </w:r>
      <w:r w:rsidR="002128D7" w:rsidRPr="00BE38D7">
        <w:rPr>
          <w:rFonts w:ascii="Arial" w:hAnsi="Arial" w:cs="Arial"/>
          <w:sz w:val="24"/>
          <w:szCs w:val="24"/>
        </w:rPr>
        <w:t xml:space="preserve"> </w:t>
      </w:r>
      <w:r w:rsidR="00873085" w:rsidRPr="00BE38D7">
        <w:rPr>
          <w:rFonts w:ascii="Arial" w:hAnsi="Arial" w:cs="Arial"/>
          <w:sz w:val="24"/>
          <w:szCs w:val="24"/>
        </w:rPr>
        <w:t>lack of scientific knowledge or scientific</w:t>
      </w:r>
      <w:r w:rsidR="00530A4A" w:rsidRPr="00BE38D7">
        <w:rPr>
          <w:rFonts w:ascii="Arial" w:hAnsi="Arial" w:cs="Arial"/>
          <w:sz w:val="24"/>
          <w:szCs w:val="24"/>
        </w:rPr>
        <w:t xml:space="preserve"> consensus sh</w:t>
      </w:r>
      <w:r w:rsidR="002128D7" w:rsidRPr="00BE38D7">
        <w:rPr>
          <w:rFonts w:ascii="Arial" w:hAnsi="Arial" w:cs="Arial"/>
          <w:sz w:val="24"/>
          <w:szCs w:val="24"/>
        </w:rPr>
        <w:t>all</w:t>
      </w:r>
      <w:r w:rsidR="00E502D6" w:rsidRPr="00BE38D7">
        <w:rPr>
          <w:rFonts w:ascii="Arial" w:hAnsi="Arial" w:cs="Arial"/>
          <w:sz w:val="24"/>
          <w:szCs w:val="24"/>
        </w:rPr>
        <w:t xml:space="preserve"> not be interpreted as indicating a particular level of </w:t>
      </w:r>
      <w:r w:rsidR="00792EEE" w:rsidRPr="00BE38D7">
        <w:rPr>
          <w:rFonts w:ascii="Arial" w:hAnsi="Arial" w:cs="Arial"/>
          <w:sz w:val="24"/>
          <w:szCs w:val="24"/>
        </w:rPr>
        <w:t>risk, an</w:t>
      </w:r>
      <w:r w:rsidR="00E502D6" w:rsidRPr="00BE38D7">
        <w:rPr>
          <w:rFonts w:ascii="Arial" w:hAnsi="Arial" w:cs="Arial"/>
          <w:sz w:val="24"/>
          <w:szCs w:val="24"/>
        </w:rPr>
        <w:t xml:space="preserve"> acceptable </w:t>
      </w:r>
      <w:r w:rsidR="005F4867" w:rsidRPr="00BE38D7">
        <w:rPr>
          <w:rFonts w:ascii="Arial" w:hAnsi="Arial" w:cs="Arial"/>
          <w:sz w:val="24"/>
          <w:szCs w:val="24"/>
        </w:rPr>
        <w:t>risk,</w:t>
      </w:r>
      <w:r w:rsidR="00E502D6" w:rsidRPr="00BE38D7">
        <w:rPr>
          <w:rFonts w:ascii="Arial" w:hAnsi="Arial" w:cs="Arial"/>
          <w:sz w:val="24"/>
          <w:szCs w:val="24"/>
        </w:rPr>
        <w:t xml:space="preserve"> or an absence</w:t>
      </w:r>
      <w:r w:rsidR="009B1B03" w:rsidRPr="00BE38D7">
        <w:rPr>
          <w:rFonts w:ascii="Arial" w:hAnsi="Arial" w:cs="Arial"/>
          <w:sz w:val="24"/>
          <w:szCs w:val="24"/>
        </w:rPr>
        <w:t xml:space="preserve"> of risk.”</w:t>
      </w:r>
      <w:r w:rsidR="00FB1988" w:rsidRPr="00BE38D7">
        <w:rPr>
          <w:rFonts w:ascii="Arial" w:hAnsi="Arial" w:cs="Arial"/>
          <w:sz w:val="24"/>
          <w:szCs w:val="24"/>
        </w:rPr>
        <w:t xml:space="preserve"> </w:t>
      </w:r>
      <w:r w:rsidR="009D32D5" w:rsidRPr="00BE38D7">
        <w:rPr>
          <w:rFonts w:ascii="Arial" w:hAnsi="Arial" w:cs="Arial"/>
          <w:sz w:val="24"/>
          <w:szCs w:val="24"/>
        </w:rPr>
        <w:t>I</w:t>
      </w:r>
      <w:r w:rsidR="001A582A" w:rsidRPr="00BE38D7">
        <w:rPr>
          <w:rFonts w:ascii="Arial" w:hAnsi="Arial" w:cs="Arial"/>
          <w:sz w:val="24"/>
          <w:szCs w:val="24"/>
        </w:rPr>
        <w:t>n Fuel Retaile</w:t>
      </w:r>
      <w:r w:rsidR="00DD79E3" w:rsidRPr="00BE38D7">
        <w:rPr>
          <w:rFonts w:ascii="Arial" w:hAnsi="Arial" w:cs="Arial"/>
          <w:sz w:val="24"/>
          <w:szCs w:val="24"/>
        </w:rPr>
        <w:t>r</w:t>
      </w:r>
      <w:r w:rsidR="001A582A" w:rsidRPr="00BE38D7">
        <w:rPr>
          <w:rFonts w:ascii="Arial" w:hAnsi="Arial" w:cs="Arial"/>
          <w:sz w:val="24"/>
          <w:szCs w:val="24"/>
        </w:rPr>
        <w:t>s</w:t>
      </w:r>
      <w:r w:rsidR="00B17258">
        <w:rPr>
          <w:rStyle w:val="FootnoteReference"/>
          <w:rFonts w:ascii="Arial" w:hAnsi="Arial" w:cs="Arial"/>
          <w:sz w:val="24"/>
          <w:szCs w:val="24"/>
        </w:rPr>
        <w:footnoteReference w:id="9"/>
      </w:r>
      <w:r w:rsidR="00DD79E3" w:rsidRPr="00BE38D7">
        <w:rPr>
          <w:rFonts w:ascii="Arial" w:hAnsi="Arial" w:cs="Arial"/>
          <w:sz w:val="24"/>
          <w:szCs w:val="24"/>
        </w:rPr>
        <w:t xml:space="preserve"> </w:t>
      </w:r>
      <w:r w:rsidR="005F4867" w:rsidRPr="00BE38D7">
        <w:rPr>
          <w:rFonts w:ascii="Arial" w:hAnsi="Arial" w:cs="Arial"/>
          <w:sz w:val="24"/>
          <w:szCs w:val="24"/>
        </w:rPr>
        <w:t>it</w:t>
      </w:r>
      <w:r w:rsidR="004C2A3F" w:rsidRPr="00BE38D7">
        <w:rPr>
          <w:rFonts w:ascii="Arial" w:hAnsi="Arial" w:cs="Arial"/>
          <w:sz w:val="24"/>
          <w:szCs w:val="24"/>
        </w:rPr>
        <w:t xml:space="preserve"> was confirmed that the principle will </w:t>
      </w:r>
      <w:r w:rsidR="00687D9D" w:rsidRPr="00BE38D7">
        <w:rPr>
          <w:rFonts w:ascii="Arial" w:hAnsi="Arial" w:cs="Arial"/>
          <w:sz w:val="24"/>
          <w:szCs w:val="24"/>
        </w:rPr>
        <w:t>apply, where</w:t>
      </w:r>
      <w:r w:rsidR="003524FD" w:rsidRPr="00BE38D7">
        <w:rPr>
          <w:rFonts w:ascii="Arial" w:hAnsi="Arial" w:cs="Arial"/>
          <w:sz w:val="24"/>
          <w:szCs w:val="24"/>
        </w:rPr>
        <w:t xml:space="preserve"> due to unavailable scientific </w:t>
      </w:r>
      <w:r w:rsidR="00687D9D" w:rsidRPr="00BE38D7">
        <w:rPr>
          <w:rFonts w:ascii="Arial" w:hAnsi="Arial" w:cs="Arial"/>
          <w:sz w:val="24"/>
          <w:szCs w:val="24"/>
        </w:rPr>
        <w:t>knowledge “there</w:t>
      </w:r>
      <w:r w:rsidR="00B203D3" w:rsidRPr="00BE38D7">
        <w:rPr>
          <w:rFonts w:ascii="Arial" w:hAnsi="Arial" w:cs="Arial"/>
          <w:sz w:val="24"/>
          <w:szCs w:val="24"/>
        </w:rPr>
        <w:t xml:space="preserve"> is uncertainty as to the future </w:t>
      </w:r>
      <w:r w:rsidR="00687D9D" w:rsidRPr="00BE38D7">
        <w:rPr>
          <w:rFonts w:ascii="Arial" w:hAnsi="Arial" w:cs="Arial"/>
          <w:sz w:val="24"/>
          <w:szCs w:val="24"/>
        </w:rPr>
        <w:t>impact of</w:t>
      </w:r>
      <w:r w:rsidR="00232F2B" w:rsidRPr="00BE38D7">
        <w:rPr>
          <w:rFonts w:ascii="Arial" w:hAnsi="Arial" w:cs="Arial"/>
          <w:sz w:val="24"/>
          <w:szCs w:val="24"/>
        </w:rPr>
        <w:t xml:space="preserve"> the proposed development” </w:t>
      </w:r>
      <w:r w:rsidR="001521C7" w:rsidRPr="00BE38D7">
        <w:rPr>
          <w:rFonts w:ascii="Arial" w:hAnsi="Arial" w:cs="Arial"/>
          <w:sz w:val="24"/>
          <w:szCs w:val="24"/>
        </w:rPr>
        <w:t>and emphasised</w:t>
      </w:r>
      <w:r w:rsidR="00381172" w:rsidRPr="00BE38D7">
        <w:rPr>
          <w:rFonts w:ascii="Arial" w:hAnsi="Arial" w:cs="Arial"/>
          <w:sz w:val="24"/>
          <w:szCs w:val="24"/>
        </w:rPr>
        <w:t xml:space="preserve"> that</w:t>
      </w:r>
      <w:r w:rsidR="001521C7" w:rsidRPr="00BE38D7">
        <w:rPr>
          <w:rFonts w:ascii="Arial" w:hAnsi="Arial" w:cs="Arial"/>
          <w:sz w:val="24"/>
          <w:szCs w:val="24"/>
        </w:rPr>
        <w:t xml:space="preserve"> NEMA requires</w:t>
      </w:r>
      <w:r w:rsidR="0009104F" w:rsidRPr="00BE38D7">
        <w:rPr>
          <w:rFonts w:ascii="Arial" w:hAnsi="Arial" w:cs="Arial"/>
          <w:sz w:val="24"/>
          <w:szCs w:val="24"/>
        </w:rPr>
        <w:t xml:space="preserve"> </w:t>
      </w:r>
      <w:r w:rsidR="00687D9D" w:rsidRPr="00BE38D7">
        <w:rPr>
          <w:rFonts w:ascii="Arial" w:hAnsi="Arial" w:cs="Arial"/>
          <w:sz w:val="24"/>
          <w:szCs w:val="24"/>
        </w:rPr>
        <w:t>a “risk</w:t>
      </w:r>
      <w:r w:rsidR="0009104F" w:rsidRPr="00BE38D7">
        <w:rPr>
          <w:rFonts w:ascii="Arial" w:hAnsi="Arial" w:cs="Arial"/>
          <w:sz w:val="24"/>
          <w:szCs w:val="24"/>
        </w:rPr>
        <w:t xml:space="preserve"> averse</w:t>
      </w:r>
      <w:r w:rsidR="00687D9D" w:rsidRPr="00BE38D7">
        <w:rPr>
          <w:rFonts w:ascii="Arial" w:hAnsi="Arial" w:cs="Arial"/>
          <w:sz w:val="24"/>
          <w:szCs w:val="24"/>
        </w:rPr>
        <w:t xml:space="preserve"> and cautious” </w:t>
      </w:r>
      <w:r w:rsidR="0089726A" w:rsidRPr="00BE38D7">
        <w:rPr>
          <w:rFonts w:ascii="Arial" w:hAnsi="Arial" w:cs="Arial"/>
          <w:sz w:val="24"/>
          <w:szCs w:val="24"/>
        </w:rPr>
        <w:t>approach. In</w:t>
      </w:r>
      <w:r w:rsidR="0016633F" w:rsidRPr="00BE38D7">
        <w:rPr>
          <w:rFonts w:ascii="Arial" w:hAnsi="Arial" w:cs="Arial"/>
          <w:sz w:val="24"/>
          <w:szCs w:val="24"/>
        </w:rPr>
        <w:t xml:space="preserve"> WWF</w:t>
      </w:r>
      <w:r w:rsidR="00F700EE" w:rsidRPr="00BE38D7">
        <w:rPr>
          <w:rFonts w:ascii="Arial" w:hAnsi="Arial" w:cs="Arial"/>
          <w:sz w:val="24"/>
          <w:szCs w:val="24"/>
        </w:rPr>
        <w:t xml:space="preserve"> South Africa</w:t>
      </w:r>
      <w:r w:rsidR="0074485A" w:rsidRPr="00BE38D7">
        <w:rPr>
          <w:rFonts w:ascii="Arial" w:hAnsi="Arial" w:cs="Arial"/>
          <w:sz w:val="24"/>
          <w:szCs w:val="24"/>
        </w:rPr>
        <w:t xml:space="preserve"> v Minister of </w:t>
      </w:r>
      <w:r w:rsidR="001F234D" w:rsidRPr="00BE38D7">
        <w:rPr>
          <w:rFonts w:ascii="Arial" w:hAnsi="Arial" w:cs="Arial"/>
          <w:sz w:val="24"/>
          <w:szCs w:val="24"/>
        </w:rPr>
        <w:t>Agriculture, Forestry</w:t>
      </w:r>
      <w:r w:rsidR="0074485A" w:rsidRPr="00BE38D7">
        <w:rPr>
          <w:rFonts w:ascii="Arial" w:hAnsi="Arial" w:cs="Arial"/>
          <w:sz w:val="24"/>
          <w:szCs w:val="24"/>
        </w:rPr>
        <w:t xml:space="preserve"> </w:t>
      </w:r>
      <w:r w:rsidR="001F234D" w:rsidRPr="00BE38D7">
        <w:rPr>
          <w:rFonts w:ascii="Arial" w:hAnsi="Arial" w:cs="Arial"/>
          <w:sz w:val="24"/>
          <w:szCs w:val="24"/>
        </w:rPr>
        <w:t>and Fisheries</w:t>
      </w:r>
      <w:r w:rsidR="00503BE1">
        <w:rPr>
          <w:rStyle w:val="FootnoteReference"/>
          <w:rFonts w:ascii="Arial" w:hAnsi="Arial" w:cs="Arial"/>
          <w:sz w:val="24"/>
          <w:szCs w:val="24"/>
        </w:rPr>
        <w:footnoteReference w:id="10"/>
      </w:r>
      <w:r w:rsidR="00503BE1" w:rsidRPr="00BE38D7">
        <w:rPr>
          <w:rFonts w:ascii="Arial" w:hAnsi="Arial" w:cs="Arial"/>
          <w:sz w:val="24"/>
          <w:szCs w:val="24"/>
        </w:rPr>
        <w:t xml:space="preserve"> </w:t>
      </w:r>
      <w:r w:rsidR="00FF1221" w:rsidRPr="00BE38D7">
        <w:rPr>
          <w:rFonts w:ascii="Arial" w:hAnsi="Arial" w:cs="Arial"/>
          <w:sz w:val="24"/>
          <w:szCs w:val="24"/>
        </w:rPr>
        <w:t xml:space="preserve"> the court referred</w:t>
      </w:r>
      <w:r w:rsidR="00416E48" w:rsidRPr="00BE38D7">
        <w:rPr>
          <w:rFonts w:ascii="Arial" w:hAnsi="Arial" w:cs="Arial"/>
          <w:sz w:val="24"/>
          <w:szCs w:val="24"/>
        </w:rPr>
        <w:t xml:space="preserve"> with approval</w:t>
      </w:r>
      <w:r w:rsidR="00FF1221" w:rsidRPr="00BE38D7">
        <w:rPr>
          <w:rFonts w:ascii="Arial" w:hAnsi="Arial" w:cs="Arial"/>
          <w:sz w:val="24"/>
          <w:szCs w:val="24"/>
        </w:rPr>
        <w:t xml:space="preserve"> to </w:t>
      </w:r>
      <w:r w:rsidR="00416E48" w:rsidRPr="00BE38D7">
        <w:rPr>
          <w:rFonts w:ascii="Arial" w:hAnsi="Arial" w:cs="Arial"/>
          <w:sz w:val="24"/>
          <w:szCs w:val="24"/>
        </w:rPr>
        <w:t>the Australian decision of</w:t>
      </w:r>
      <w:r w:rsidR="000D03C1" w:rsidRPr="00BE38D7">
        <w:rPr>
          <w:rFonts w:ascii="Arial" w:hAnsi="Arial" w:cs="Arial"/>
          <w:sz w:val="24"/>
          <w:szCs w:val="24"/>
        </w:rPr>
        <w:t xml:space="preserve"> Telstra Corporation v </w:t>
      </w:r>
      <w:r w:rsidR="003C1377" w:rsidRPr="00BE38D7">
        <w:rPr>
          <w:rFonts w:ascii="Arial" w:hAnsi="Arial" w:cs="Arial"/>
          <w:sz w:val="24"/>
          <w:szCs w:val="24"/>
        </w:rPr>
        <w:t>Hornsby Shire</w:t>
      </w:r>
      <w:r w:rsidR="009F0D1C" w:rsidRPr="00BE38D7">
        <w:rPr>
          <w:rFonts w:ascii="Arial" w:hAnsi="Arial" w:cs="Arial"/>
          <w:sz w:val="24"/>
          <w:szCs w:val="24"/>
        </w:rPr>
        <w:t xml:space="preserve"> Council</w:t>
      </w:r>
      <w:r w:rsidR="00503BE1" w:rsidRPr="00BE38D7">
        <w:rPr>
          <w:rFonts w:ascii="Arial" w:hAnsi="Arial" w:cs="Arial"/>
          <w:sz w:val="24"/>
          <w:szCs w:val="24"/>
        </w:rPr>
        <w:t xml:space="preserve"> </w:t>
      </w:r>
      <w:r w:rsidR="00503BE1">
        <w:rPr>
          <w:rStyle w:val="FootnoteReference"/>
          <w:rFonts w:ascii="Arial" w:hAnsi="Arial" w:cs="Arial"/>
          <w:sz w:val="24"/>
          <w:szCs w:val="24"/>
        </w:rPr>
        <w:footnoteReference w:id="11"/>
      </w:r>
      <w:r w:rsidR="00DB2D34" w:rsidRPr="00BE38D7">
        <w:rPr>
          <w:rFonts w:ascii="Arial" w:hAnsi="Arial" w:cs="Arial"/>
          <w:sz w:val="24"/>
          <w:szCs w:val="24"/>
        </w:rPr>
        <w:t xml:space="preserve"> </w:t>
      </w:r>
      <w:r w:rsidR="00DF0B5C" w:rsidRPr="00BE38D7">
        <w:rPr>
          <w:rFonts w:ascii="Arial" w:hAnsi="Arial" w:cs="Arial"/>
          <w:sz w:val="24"/>
          <w:szCs w:val="24"/>
        </w:rPr>
        <w:t xml:space="preserve">two conclusions were </w:t>
      </w:r>
      <w:r w:rsidR="00EC1C29" w:rsidRPr="00BE38D7">
        <w:rPr>
          <w:rFonts w:ascii="Arial" w:hAnsi="Arial" w:cs="Arial"/>
          <w:sz w:val="24"/>
          <w:szCs w:val="24"/>
        </w:rPr>
        <w:t>made, firstly</w:t>
      </w:r>
      <w:r w:rsidR="005F59AD" w:rsidRPr="00BE38D7">
        <w:rPr>
          <w:rFonts w:ascii="Arial" w:hAnsi="Arial" w:cs="Arial"/>
          <w:sz w:val="24"/>
          <w:szCs w:val="24"/>
        </w:rPr>
        <w:t xml:space="preserve"> that there must be </w:t>
      </w:r>
      <w:r w:rsidR="00EC1C29" w:rsidRPr="00BE38D7">
        <w:rPr>
          <w:rFonts w:ascii="Arial" w:hAnsi="Arial" w:cs="Arial"/>
          <w:sz w:val="24"/>
          <w:szCs w:val="24"/>
        </w:rPr>
        <w:t>a threat</w:t>
      </w:r>
      <w:r w:rsidR="005F59AD" w:rsidRPr="00BE38D7">
        <w:rPr>
          <w:rFonts w:ascii="Arial" w:hAnsi="Arial" w:cs="Arial"/>
          <w:sz w:val="24"/>
          <w:szCs w:val="24"/>
        </w:rPr>
        <w:t xml:space="preserve"> o</w:t>
      </w:r>
      <w:r w:rsidR="008E6A6F" w:rsidRPr="00BE38D7">
        <w:rPr>
          <w:rFonts w:ascii="Arial" w:hAnsi="Arial" w:cs="Arial"/>
          <w:sz w:val="24"/>
          <w:szCs w:val="24"/>
        </w:rPr>
        <w:t>f</w:t>
      </w:r>
      <w:r w:rsidR="005F59AD" w:rsidRPr="00BE38D7">
        <w:rPr>
          <w:rFonts w:ascii="Arial" w:hAnsi="Arial" w:cs="Arial"/>
          <w:sz w:val="24"/>
          <w:szCs w:val="24"/>
        </w:rPr>
        <w:t xml:space="preserve"> seri</w:t>
      </w:r>
      <w:r w:rsidR="00EC1C29" w:rsidRPr="00BE38D7">
        <w:rPr>
          <w:rFonts w:ascii="Arial" w:hAnsi="Arial" w:cs="Arial"/>
          <w:sz w:val="24"/>
          <w:szCs w:val="24"/>
        </w:rPr>
        <w:t xml:space="preserve">ous </w:t>
      </w:r>
      <w:r w:rsidR="008E6A6F" w:rsidRPr="00BE38D7">
        <w:rPr>
          <w:rFonts w:ascii="Arial" w:hAnsi="Arial" w:cs="Arial"/>
          <w:sz w:val="24"/>
          <w:szCs w:val="24"/>
        </w:rPr>
        <w:t>or irreversible</w:t>
      </w:r>
      <w:r w:rsidR="0089726A" w:rsidRPr="00BE38D7">
        <w:rPr>
          <w:rFonts w:ascii="Arial" w:hAnsi="Arial" w:cs="Arial"/>
          <w:sz w:val="24"/>
          <w:szCs w:val="24"/>
        </w:rPr>
        <w:t xml:space="preserve"> </w:t>
      </w:r>
      <w:r w:rsidR="009D198F" w:rsidRPr="00BE38D7">
        <w:rPr>
          <w:rFonts w:ascii="Arial" w:hAnsi="Arial" w:cs="Arial"/>
          <w:sz w:val="24"/>
          <w:szCs w:val="24"/>
        </w:rPr>
        <w:t>envir</w:t>
      </w:r>
      <w:r w:rsidR="0089726A" w:rsidRPr="00BE38D7">
        <w:rPr>
          <w:rFonts w:ascii="Arial" w:hAnsi="Arial" w:cs="Arial"/>
          <w:sz w:val="24"/>
          <w:szCs w:val="24"/>
        </w:rPr>
        <w:t>o</w:t>
      </w:r>
      <w:r w:rsidR="009D198F" w:rsidRPr="00BE38D7">
        <w:rPr>
          <w:rFonts w:ascii="Arial" w:hAnsi="Arial" w:cs="Arial"/>
          <w:sz w:val="24"/>
          <w:szCs w:val="24"/>
        </w:rPr>
        <w:t>nmental damage and secondly that there must be</w:t>
      </w:r>
      <w:r w:rsidR="004C482A" w:rsidRPr="00BE38D7">
        <w:rPr>
          <w:rFonts w:ascii="Arial" w:hAnsi="Arial" w:cs="Arial"/>
          <w:sz w:val="24"/>
          <w:szCs w:val="24"/>
        </w:rPr>
        <w:t xml:space="preserve"> scientific uncertainty as regards the environmental </w:t>
      </w:r>
      <w:r w:rsidR="006219B0" w:rsidRPr="00BE38D7">
        <w:rPr>
          <w:rFonts w:ascii="Arial" w:hAnsi="Arial" w:cs="Arial"/>
          <w:sz w:val="24"/>
          <w:szCs w:val="24"/>
        </w:rPr>
        <w:t>damage</w:t>
      </w:r>
      <w:r w:rsidR="009B2D49" w:rsidRPr="00BE38D7">
        <w:rPr>
          <w:rFonts w:ascii="Arial" w:hAnsi="Arial" w:cs="Arial"/>
          <w:sz w:val="24"/>
          <w:szCs w:val="24"/>
        </w:rPr>
        <w:t>,</w:t>
      </w:r>
      <w:r w:rsidR="008365CF" w:rsidRPr="00BE38D7">
        <w:rPr>
          <w:rFonts w:ascii="Arial" w:hAnsi="Arial" w:cs="Arial"/>
          <w:sz w:val="24"/>
          <w:szCs w:val="24"/>
        </w:rPr>
        <w:t xml:space="preserve"> for the precautionary principle to find application</w:t>
      </w:r>
      <w:r w:rsidR="00A81E12" w:rsidRPr="00BE38D7">
        <w:rPr>
          <w:rFonts w:ascii="Arial" w:hAnsi="Arial" w:cs="Arial"/>
          <w:sz w:val="24"/>
          <w:szCs w:val="24"/>
        </w:rPr>
        <w:t>.</w:t>
      </w:r>
      <w:r w:rsidR="006219B0" w:rsidRPr="00BE38D7">
        <w:rPr>
          <w:rFonts w:ascii="Arial" w:hAnsi="Arial" w:cs="Arial"/>
          <w:sz w:val="24"/>
          <w:szCs w:val="24"/>
        </w:rPr>
        <w:t xml:space="preserve"> It</w:t>
      </w:r>
      <w:r w:rsidR="00737531" w:rsidRPr="00BE38D7">
        <w:rPr>
          <w:rFonts w:ascii="Arial" w:hAnsi="Arial" w:cs="Arial"/>
          <w:sz w:val="24"/>
          <w:szCs w:val="24"/>
        </w:rPr>
        <w:t xml:space="preserve"> was held that the risk</w:t>
      </w:r>
      <w:r w:rsidR="00B1780F" w:rsidRPr="00BE38D7">
        <w:rPr>
          <w:rFonts w:ascii="Arial" w:hAnsi="Arial" w:cs="Arial"/>
          <w:sz w:val="24"/>
          <w:szCs w:val="24"/>
        </w:rPr>
        <w:t xml:space="preserve"> must be adequately sustained by scientific </w:t>
      </w:r>
      <w:r w:rsidR="00B1780F" w:rsidRPr="00BE38D7">
        <w:rPr>
          <w:rFonts w:ascii="Arial" w:hAnsi="Arial" w:cs="Arial"/>
          <w:sz w:val="24"/>
          <w:szCs w:val="24"/>
        </w:rPr>
        <w:lastRenderedPageBreak/>
        <w:t>evidence</w:t>
      </w:r>
      <w:r w:rsidR="003F6087" w:rsidRPr="00BE38D7">
        <w:rPr>
          <w:rFonts w:ascii="Arial" w:hAnsi="Arial" w:cs="Arial"/>
          <w:sz w:val="24"/>
          <w:szCs w:val="24"/>
        </w:rPr>
        <w:t xml:space="preserve"> and should not be based on unsupported </w:t>
      </w:r>
      <w:r w:rsidR="00E86B0E" w:rsidRPr="00BE38D7">
        <w:rPr>
          <w:rFonts w:ascii="Arial" w:hAnsi="Arial" w:cs="Arial"/>
          <w:sz w:val="24"/>
          <w:szCs w:val="24"/>
        </w:rPr>
        <w:t>speculation.</w:t>
      </w:r>
      <w:r w:rsidR="00DB2D34">
        <w:rPr>
          <w:rStyle w:val="FootnoteReference"/>
          <w:rFonts w:ascii="Arial" w:hAnsi="Arial" w:cs="Arial"/>
          <w:sz w:val="24"/>
          <w:szCs w:val="24"/>
        </w:rPr>
        <w:footnoteReference w:id="12"/>
      </w:r>
      <w:r w:rsidR="00272C38" w:rsidRPr="00BE38D7">
        <w:rPr>
          <w:rFonts w:ascii="Arial" w:hAnsi="Arial" w:cs="Arial"/>
          <w:sz w:val="24"/>
          <w:szCs w:val="24"/>
        </w:rPr>
        <w:t xml:space="preserve"> </w:t>
      </w:r>
      <w:r w:rsidR="00131B32" w:rsidRPr="00BE38D7">
        <w:rPr>
          <w:rFonts w:ascii="Arial" w:hAnsi="Arial" w:cs="Arial"/>
          <w:sz w:val="24"/>
          <w:szCs w:val="24"/>
        </w:rPr>
        <w:t>The second criterium</w:t>
      </w:r>
      <w:r w:rsidR="00FE54F2" w:rsidRPr="00BE38D7">
        <w:rPr>
          <w:rFonts w:ascii="Arial" w:hAnsi="Arial" w:cs="Arial"/>
          <w:sz w:val="24"/>
          <w:szCs w:val="24"/>
        </w:rPr>
        <w:t xml:space="preserve"> requires</w:t>
      </w:r>
      <w:r w:rsidR="003168E4" w:rsidRPr="00BE38D7">
        <w:rPr>
          <w:rFonts w:ascii="Arial" w:hAnsi="Arial" w:cs="Arial"/>
          <w:sz w:val="24"/>
          <w:szCs w:val="24"/>
        </w:rPr>
        <w:t xml:space="preserve"> considerable scientific </w:t>
      </w:r>
      <w:proofErr w:type="gramStart"/>
      <w:r w:rsidR="003168E4" w:rsidRPr="00BE38D7">
        <w:rPr>
          <w:rFonts w:ascii="Arial" w:hAnsi="Arial" w:cs="Arial"/>
          <w:sz w:val="24"/>
          <w:szCs w:val="24"/>
        </w:rPr>
        <w:t>uncertainty ,</w:t>
      </w:r>
      <w:proofErr w:type="gramEnd"/>
      <w:r w:rsidR="003168E4" w:rsidRPr="00BE38D7">
        <w:rPr>
          <w:rFonts w:ascii="Arial" w:hAnsi="Arial" w:cs="Arial"/>
          <w:sz w:val="24"/>
          <w:szCs w:val="24"/>
        </w:rPr>
        <w:t xml:space="preserve"> which will be established</w:t>
      </w:r>
      <w:r w:rsidR="006609A6" w:rsidRPr="00BE38D7">
        <w:rPr>
          <w:rFonts w:ascii="Arial" w:hAnsi="Arial" w:cs="Arial"/>
          <w:sz w:val="24"/>
          <w:szCs w:val="24"/>
        </w:rPr>
        <w:t xml:space="preserve"> </w:t>
      </w:r>
      <w:r w:rsidR="003C6926" w:rsidRPr="00BE38D7">
        <w:rPr>
          <w:rFonts w:ascii="Arial" w:hAnsi="Arial" w:cs="Arial"/>
          <w:sz w:val="24"/>
          <w:szCs w:val="24"/>
        </w:rPr>
        <w:t>when “empirical</w:t>
      </w:r>
      <w:r w:rsidR="006609A6" w:rsidRPr="00BE38D7">
        <w:rPr>
          <w:rFonts w:ascii="Arial" w:hAnsi="Arial" w:cs="Arial"/>
          <w:sz w:val="24"/>
          <w:szCs w:val="24"/>
        </w:rPr>
        <w:t xml:space="preserve"> data(as opposed to </w:t>
      </w:r>
      <w:r w:rsidR="00EA3C42" w:rsidRPr="00BE38D7">
        <w:rPr>
          <w:rFonts w:ascii="Arial" w:hAnsi="Arial" w:cs="Arial"/>
          <w:sz w:val="24"/>
          <w:szCs w:val="24"/>
        </w:rPr>
        <w:t xml:space="preserve">simply </w:t>
      </w:r>
      <w:r w:rsidR="00691D6B" w:rsidRPr="00BE38D7">
        <w:rPr>
          <w:rFonts w:ascii="Arial" w:hAnsi="Arial" w:cs="Arial"/>
          <w:sz w:val="24"/>
          <w:szCs w:val="24"/>
        </w:rPr>
        <w:t>hypothesis, speculation</w:t>
      </w:r>
      <w:r w:rsidR="00EA3C42" w:rsidRPr="00BE38D7">
        <w:rPr>
          <w:rFonts w:ascii="Arial" w:hAnsi="Arial" w:cs="Arial"/>
          <w:sz w:val="24"/>
          <w:szCs w:val="24"/>
        </w:rPr>
        <w:t xml:space="preserve"> or intuition</w:t>
      </w:r>
      <w:r w:rsidR="00B0000A" w:rsidRPr="00BE38D7">
        <w:rPr>
          <w:rFonts w:ascii="Arial" w:hAnsi="Arial" w:cs="Arial"/>
          <w:sz w:val="24"/>
          <w:szCs w:val="24"/>
        </w:rPr>
        <w:t>) make it reasonable to envisage a</w:t>
      </w:r>
      <w:r w:rsidR="0095056B" w:rsidRPr="00BE38D7">
        <w:rPr>
          <w:rFonts w:ascii="Arial" w:hAnsi="Arial" w:cs="Arial"/>
          <w:sz w:val="24"/>
          <w:szCs w:val="24"/>
        </w:rPr>
        <w:t xml:space="preserve"> scenario, even</w:t>
      </w:r>
      <w:r w:rsidR="00615749" w:rsidRPr="00BE38D7">
        <w:rPr>
          <w:rFonts w:ascii="Arial" w:hAnsi="Arial" w:cs="Arial"/>
          <w:sz w:val="24"/>
          <w:szCs w:val="24"/>
        </w:rPr>
        <w:t xml:space="preserve"> if it </w:t>
      </w:r>
      <w:r w:rsidR="0095056B" w:rsidRPr="00BE38D7">
        <w:rPr>
          <w:rFonts w:ascii="Arial" w:hAnsi="Arial" w:cs="Arial"/>
          <w:sz w:val="24"/>
          <w:szCs w:val="24"/>
        </w:rPr>
        <w:t>does</w:t>
      </w:r>
      <w:r w:rsidR="00615749" w:rsidRPr="00BE38D7">
        <w:rPr>
          <w:rFonts w:ascii="Arial" w:hAnsi="Arial" w:cs="Arial"/>
          <w:sz w:val="24"/>
          <w:szCs w:val="24"/>
        </w:rPr>
        <w:t xml:space="preserve"> not enjoy unanimous support</w:t>
      </w:r>
      <w:r w:rsidR="001E3BD1" w:rsidRPr="00BE38D7">
        <w:rPr>
          <w:rFonts w:ascii="Arial" w:hAnsi="Arial" w:cs="Arial"/>
          <w:sz w:val="24"/>
          <w:szCs w:val="24"/>
        </w:rPr>
        <w:t xml:space="preserve">” </w:t>
      </w:r>
      <w:r w:rsidR="004819BE">
        <w:rPr>
          <w:rStyle w:val="FootnoteReference"/>
          <w:rFonts w:ascii="Arial" w:hAnsi="Arial" w:cs="Arial"/>
          <w:sz w:val="24"/>
          <w:szCs w:val="24"/>
        </w:rPr>
        <w:footnoteReference w:id="13"/>
      </w:r>
      <w:r w:rsidR="007506A2" w:rsidRPr="00BE38D7">
        <w:rPr>
          <w:rFonts w:ascii="Arial" w:hAnsi="Arial" w:cs="Arial"/>
          <w:sz w:val="24"/>
          <w:szCs w:val="24"/>
        </w:rPr>
        <w:t>.It was also pointed out that the precautionary prin</w:t>
      </w:r>
      <w:r w:rsidR="00D25B49" w:rsidRPr="00BE38D7">
        <w:rPr>
          <w:rFonts w:ascii="Arial" w:hAnsi="Arial" w:cs="Arial"/>
          <w:sz w:val="24"/>
          <w:szCs w:val="24"/>
        </w:rPr>
        <w:t>ciple</w:t>
      </w:r>
      <w:r w:rsidR="00753241" w:rsidRPr="00BE38D7">
        <w:rPr>
          <w:rFonts w:ascii="Arial" w:hAnsi="Arial" w:cs="Arial"/>
          <w:sz w:val="24"/>
          <w:szCs w:val="24"/>
        </w:rPr>
        <w:t xml:space="preserve"> does not seek to avoid all risk.</w:t>
      </w:r>
    </w:p>
    <w:p w14:paraId="0CEBA1F2" w14:textId="77777777" w:rsidR="0096203A" w:rsidRDefault="0096203A" w:rsidP="0096203A">
      <w:pPr>
        <w:pStyle w:val="ListParagraph"/>
        <w:spacing w:line="360" w:lineRule="auto"/>
        <w:ind w:left="810"/>
        <w:jc w:val="both"/>
        <w:rPr>
          <w:rFonts w:ascii="Arial" w:hAnsi="Arial" w:cs="Arial"/>
          <w:sz w:val="24"/>
          <w:szCs w:val="24"/>
        </w:rPr>
      </w:pPr>
    </w:p>
    <w:p w14:paraId="46B07583" w14:textId="3B222348" w:rsidR="00F231B0" w:rsidRPr="00BE38D7" w:rsidRDefault="00BE38D7" w:rsidP="00BE38D7">
      <w:pPr>
        <w:spacing w:line="360" w:lineRule="auto"/>
        <w:ind w:left="810" w:hanging="810"/>
        <w:jc w:val="both"/>
        <w:rPr>
          <w:rFonts w:ascii="Arial" w:hAnsi="Arial" w:cs="Arial"/>
          <w:sz w:val="24"/>
          <w:szCs w:val="24"/>
        </w:rPr>
      </w:pPr>
      <w:r>
        <w:rPr>
          <w:rFonts w:ascii="Arial" w:hAnsi="Arial" w:cs="Arial"/>
          <w:color w:val="000000" w:themeColor="text1"/>
          <w:sz w:val="24"/>
          <w:szCs w:val="24"/>
        </w:rPr>
        <w:t>16.</w:t>
      </w:r>
      <w:r>
        <w:rPr>
          <w:rFonts w:ascii="Arial" w:hAnsi="Arial" w:cs="Arial"/>
          <w:color w:val="000000" w:themeColor="text1"/>
          <w:sz w:val="24"/>
          <w:szCs w:val="24"/>
        </w:rPr>
        <w:tab/>
      </w:r>
      <w:r w:rsidR="00992CB5" w:rsidRPr="00BE38D7">
        <w:rPr>
          <w:rFonts w:ascii="Arial" w:hAnsi="Arial" w:cs="Arial"/>
          <w:sz w:val="24"/>
          <w:szCs w:val="24"/>
        </w:rPr>
        <w:t>Once the two</w:t>
      </w:r>
      <w:r w:rsidR="002B29C1" w:rsidRPr="00BE38D7">
        <w:rPr>
          <w:rFonts w:ascii="Arial" w:hAnsi="Arial" w:cs="Arial"/>
          <w:sz w:val="24"/>
          <w:szCs w:val="24"/>
        </w:rPr>
        <w:t xml:space="preserve"> conditions referred to above are </w:t>
      </w:r>
      <w:r w:rsidR="003C4D37" w:rsidRPr="00BE38D7">
        <w:rPr>
          <w:rFonts w:ascii="Arial" w:hAnsi="Arial" w:cs="Arial"/>
          <w:sz w:val="24"/>
          <w:szCs w:val="24"/>
        </w:rPr>
        <w:t>met, the</w:t>
      </w:r>
      <w:r w:rsidR="006E564A" w:rsidRPr="00BE38D7">
        <w:rPr>
          <w:rFonts w:ascii="Arial" w:hAnsi="Arial" w:cs="Arial"/>
          <w:sz w:val="24"/>
          <w:szCs w:val="24"/>
        </w:rPr>
        <w:t xml:space="preserve"> precautionary</w:t>
      </w:r>
      <w:r w:rsidR="00AC550D" w:rsidRPr="00BE38D7">
        <w:rPr>
          <w:rFonts w:ascii="Arial" w:hAnsi="Arial" w:cs="Arial"/>
          <w:sz w:val="24"/>
          <w:szCs w:val="24"/>
        </w:rPr>
        <w:t xml:space="preserve"> principle is activated and</w:t>
      </w:r>
      <w:r w:rsidR="002063F7" w:rsidRPr="00BE38D7">
        <w:rPr>
          <w:rFonts w:ascii="Arial" w:hAnsi="Arial" w:cs="Arial"/>
          <w:sz w:val="24"/>
          <w:szCs w:val="24"/>
        </w:rPr>
        <w:t xml:space="preserve"> the evidentiary burden shifts</w:t>
      </w:r>
      <w:r w:rsidR="005D408E">
        <w:rPr>
          <w:rStyle w:val="FootnoteReference"/>
          <w:rFonts w:ascii="Arial" w:hAnsi="Arial" w:cs="Arial"/>
          <w:sz w:val="24"/>
          <w:szCs w:val="24"/>
        </w:rPr>
        <w:footnoteReference w:id="14"/>
      </w:r>
      <w:r w:rsidR="00ED0D95" w:rsidRPr="00BE38D7">
        <w:rPr>
          <w:rFonts w:ascii="Arial" w:hAnsi="Arial" w:cs="Arial"/>
          <w:sz w:val="24"/>
          <w:szCs w:val="24"/>
        </w:rPr>
        <w:t xml:space="preserve"> </w:t>
      </w:r>
      <w:r w:rsidR="001D3340" w:rsidRPr="00BE38D7">
        <w:rPr>
          <w:rFonts w:ascii="Arial" w:hAnsi="Arial" w:cs="Arial"/>
          <w:sz w:val="24"/>
          <w:szCs w:val="24"/>
        </w:rPr>
        <w:t>.</w:t>
      </w:r>
      <w:r w:rsidR="00D303A7" w:rsidRPr="00BE38D7">
        <w:rPr>
          <w:rFonts w:ascii="Arial" w:hAnsi="Arial" w:cs="Arial"/>
          <w:sz w:val="24"/>
          <w:szCs w:val="24"/>
        </w:rPr>
        <w:t xml:space="preserve">In this </w:t>
      </w:r>
      <w:r w:rsidR="00A81E12" w:rsidRPr="00BE38D7">
        <w:rPr>
          <w:rFonts w:ascii="Arial" w:hAnsi="Arial" w:cs="Arial"/>
          <w:sz w:val="24"/>
          <w:szCs w:val="24"/>
        </w:rPr>
        <w:t>case, as</w:t>
      </w:r>
      <w:r w:rsidR="00D303A7" w:rsidRPr="00BE38D7">
        <w:rPr>
          <w:rFonts w:ascii="Arial" w:hAnsi="Arial" w:cs="Arial"/>
          <w:sz w:val="24"/>
          <w:szCs w:val="24"/>
        </w:rPr>
        <w:t xml:space="preserve"> was argued </w:t>
      </w:r>
      <w:r w:rsidR="004E6BB2" w:rsidRPr="00BE38D7">
        <w:rPr>
          <w:rFonts w:ascii="Arial" w:hAnsi="Arial" w:cs="Arial"/>
          <w:sz w:val="24"/>
          <w:szCs w:val="24"/>
        </w:rPr>
        <w:t xml:space="preserve">on behalf of </w:t>
      </w:r>
      <w:r w:rsidR="001450F5" w:rsidRPr="00BE38D7">
        <w:rPr>
          <w:rFonts w:ascii="Arial" w:hAnsi="Arial" w:cs="Arial"/>
          <w:sz w:val="24"/>
          <w:szCs w:val="24"/>
        </w:rPr>
        <w:t>Monsanto, it</w:t>
      </w:r>
      <w:r w:rsidR="004E6BB2" w:rsidRPr="00BE38D7">
        <w:rPr>
          <w:rFonts w:ascii="Arial" w:hAnsi="Arial" w:cs="Arial"/>
          <w:sz w:val="24"/>
          <w:szCs w:val="24"/>
        </w:rPr>
        <w:t xml:space="preserve"> means</w:t>
      </w:r>
      <w:r w:rsidR="008F3BAE" w:rsidRPr="00BE38D7">
        <w:rPr>
          <w:rFonts w:ascii="Arial" w:hAnsi="Arial" w:cs="Arial"/>
          <w:sz w:val="24"/>
          <w:szCs w:val="24"/>
        </w:rPr>
        <w:t xml:space="preserve"> that once the threat is </w:t>
      </w:r>
      <w:r w:rsidR="00EE2601" w:rsidRPr="00BE38D7">
        <w:rPr>
          <w:rFonts w:ascii="Arial" w:hAnsi="Arial" w:cs="Arial"/>
          <w:sz w:val="24"/>
          <w:szCs w:val="24"/>
        </w:rPr>
        <w:t xml:space="preserve">established </w:t>
      </w:r>
      <w:r w:rsidR="009D46B5" w:rsidRPr="00BE38D7">
        <w:rPr>
          <w:rFonts w:ascii="Arial" w:hAnsi="Arial" w:cs="Arial"/>
          <w:sz w:val="24"/>
          <w:szCs w:val="24"/>
        </w:rPr>
        <w:t>the evidentiary burden will shift to Monsanto</w:t>
      </w:r>
      <w:r w:rsidR="00947968" w:rsidRPr="00BE38D7">
        <w:rPr>
          <w:rFonts w:ascii="Arial" w:hAnsi="Arial" w:cs="Arial"/>
          <w:sz w:val="24"/>
          <w:szCs w:val="24"/>
        </w:rPr>
        <w:t xml:space="preserve"> to demonstrate that the release of MON</w:t>
      </w:r>
      <w:r w:rsidR="0059724C" w:rsidRPr="00BE38D7">
        <w:rPr>
          <w:rFonts w:ascii="Arial" w:hAnsi="Arial" w:cs="Arial"/>
          <w:sz w:val="24"/>
          <w:szCs w:val="24"/>
        </w:rPr>
        <w:t xml:space="preserve"> </w:t>
      </w:r>
      <w:r w:rsidR="00947968" w:rsidRPr="00BE38D7">
        <w:rPr>
          <w:rFonts w:ascii="Arial" w:hAnsi="Arial" w:cs="Arial"/>
          <w:sz w:val="24"/>
          <w:szCs w:val="24"/>
        </w:rPr>
        <w:t>87460</w:t>
      </w:r>
      <w:r w:rsidR="00BA61BC" w:rsidRPr="00BE38D7">
        <w:rPr>
          <w:rFonts w:ascii="Arial" w:hAnsi="Arial" w:cs="Arial"/>
          <w:sz w:val="24"/>
          <w:szCs w:val="24"/>
        </w:rPr>
        <w:t xml:space="preserve"> does not pose a </w:t>
      </w:r>
      <w:r w:rsidR="00846436" w:rsidRPr="00BE38D7">
        <w:rPr>
          <w:rFonts w:ascii="Arial" w:hAnsi="Arial" w:cs="Arial"/>
          <w:sz w:val="24"/>
          <w:szCs w:val="24"/>
        </w:rPr>
        <w:t>risk,</w:t>
      </w:r>
      <w:r w:rsidR="00BA61BC" w:rsidRPr="00BE38D7">
        <w:rPr>
          <w:rFonts w:ascii="Arial" w:hAnsi="Arial" w:cs="Arial"/>
          <w:sz w:val="24"/>
          <w:szCs w:val="24"/>
        </w:rPr>
        <w:t xml:space="preserve"> or the risk is </w:t>
      </w:r>
      <w:r w:rsidR="001450F5" w:rsidRPr="00BE38D7">
        <w:rPr>
          <w:rFonts w:ascii="Arial" w:hAnsi="Arial" w:cs="Arial"/>
          <w:sz w:val="24"/>
          <w:szCs w:val="24"/>
        </w:rPr>
        <w:t>negligible.</w:t>
      </w:r>
    </w:p>
    <w:p w14:paraId="7A99100F" w14:textId="77777777" w:rsidR="0096203A" w:rsidRPr="0096203A" w:rsidRDefault="0096203A" w:rsidP="0096203A">
      <w:pPr>
        <w:pStyle w:val="ListParagraph"/>
        <w:rPr>
          <w:rFonts w:ascii="Arial" w:hAnsi="Arial" w:cs="Arial"/>
          <w:sz w:val="24"/>
          <w:szCs w:val="24"/>
        </w:rPr>
      </w:pPr>
    </w:p>
    <w:p w14:paraId="5D09F7BF" w14:textId="77777777" w:rsidR="0096203A" w:rsidRDefault="0096203A" w:rsidP="0096203A">
      <w:pPr>
        <w:pStyle w:val="ListParagraph"/>
        <w:spacing w:line="360" w:lineRule="auto"/>
        <w:ind w:left="810"/>
        <w:jc w:val="both"/>
        <w:rPr>
          <w:rFonts w:ascii="Arial" w:hAnsi="Arial" w:cs="Arial"/>
          <w:sz w:val="24"/>
          <w:szCs w:val="24"/>
        </w:rPr>
      </w:pPr>
    </w:p>
    <w:p w14:paraId="62725498" w14:textId="02091B94" w:rsidR="00691D6B" w:rsidRPr="00BE38D7" w:rsidRDefault="00BE38D7" w:rsidP="00BE38D7">
      <w:pPr>
        <w:spacing w:line="360" w:lineRule="auto"/>
        <w:ind w:left="810" w:hanging="810"/>
        <w:jc w:val="both"/>
        <w:rPr>
          <w:rFonts w:ascii="Arial" w:hAnsi="Arial" w:cs="Arial"/>
          <w:sz w:val="24"/>
          <w:szCs w:val="24"/>
        </w:rPr>
      </w:pPr>
      <w:r>
        <w:rPr>
          <w:rFonts w:ascii="Arial" w:hAnsi="Arial" w:cs="Arial"/>
          <w:color w:val="000000" w:themeColor="text1"/>
          <w:sz w:val="24"/>
          <w:szCs w:val="24"/>
        </w:rPr>
        <w:t>17.</w:t>
      </w:r>
      <w:r>
        <w:rPr>
          <w:rFonts w:ascii="Arial" w:hAnsi="Arial" w:cs="Arial"/>
          <w:color w:val="000000" w:themeColor="text1"/>
          <w:sz w:val="24"/>
          <w:szCs w:val="24"/>
        </w:rPr>
        <w:tab/>
      </w:r>
      <w:r w:rsidR="001C7A32" w:rsidRPr="00BE38D7">
        <w:rPr>
          <w:rFonts w:ascii="Arial" w:hAnsi="Arial" w:cs="Arial"/>
          <w:sz w:val="24"/>
          <w:szCs w:val="24"/>
        </w:rPr>
        <w:t>The precautionary</w:t>
      </w:r>
      <w:r w:rsidR="00963DFD" w:rsidRPr="00BE38D7">
        <w:rPr>
          <w:rFonts w:ascii="Arial" w:hAnsi="Arial" w:cs="Arial"/>
          <w:sz w:val="24"/>
          <w:szCs w:val="24"/>
        </w:rPr>
        <w:t xml:space="preserve"> principle is</w:t>
      </w:r>
      <w:r w:rsidR="00E24B21" w:rsidRPr="00BE38D7">
        <w:rPr>
          <w:rFonts w:ascii="Arial" w:hAnsi="Arial" w:cs="Arial"/>
          <w:sz w:val="24"/>
          <w:szCs w:val="24"/>
        </w:rPr>
        <w:t xml:space="preserve">, as was argued on behalf of </w:t>
      </w:r>
      <w:r w:rsidR="006219B0" w:rsidRPr="00BE38D7">
        <w:rPr>
          <w:rFonts w:ascii="Arial" w:hAnsi="Arial" w:cs="Arial"/>
          <w:sz w:val="24"/>
          <w:szCs w:val="24"/>
        </w:rPr>
        <w:t>Monsanto, not</w:t>
      </w:r>
      <w:r w:rsidR="00E24B21" w:rsidRPr="00BE38D7">
        <w:rPr>
          <w:rFonts w:ascii="Arial" w:hAnsi="Arial" w:cs="Arial"/>
          <w:sz w:val="24"/>
          <w:szCs w:val="24"/>
        </w:rPr>
        <w:t xml:space="preserve"> directly applicable in review </w:t>
      </w:r>
      <w:r w:rsidR="0095056B" w:rsidRPr="00BE38D7">
        <w:rPr>
          <w:rFonts w:ascii="Arial" w:hAnsi="Arial" w:cs="Arial"/>
          <w:sz w:val="24"/>
          <w:szCs w:val="24"/>
        </w:rPr>
        <w:t>proceedings. Review</w:t>
      </w:r>
      <w:r w:rsidR="00871B2F" w:rsidRPr="00BE38D7">
        <w:rPr>
          <w:rFonts w:ascii="Arial" w:hAnsi="Arial" w:cs="Arial"/>
          <w:sz w:val="24"/>
          <w:szCs w:val="24"/>
        </w:rPr>
        <w:t xml:space="preserve"> proceedings</w:t>
      </w:r>
      <w:r w:rsidR="00A8216F" w:rsidRPr="00BE38D7">
        <w:rPr>
          <w:rFonts w:ascii="Arial" w:hAnsi="Arial" w:cs="Arial"/>
          <w:sz w:val="24"/>
          <w:szCs w:val="24"/>
        </w:rPr>
        <w:t xml:space="preserve"> are not concerned with the </w:t>
      </w:r>
      <w:r w:rsidR="00E05D7D" w:rsidRPr="00BE38D7">
        <w:rPr>
          <w:rFonts w:ascii="Arial" w:hAnsi="Arial" w:cs="Arial"/>
          <w:sz w:val="24"/>
          <w:szCs w:val="24"/>
        </w:rPr>
        <w:t>merits, but</w:t>
      </w:r>
      <w:r w:rsidR="00A8216F" w:rsidRPr="00BE38D7">
        <w:rPr>
          <w:rFonts w:ascii="Arial" w:hAnsi="Arial" w:cs="Arial"/>
          <w:sz w:val="24"/>
          <w:szCs w:val="24"/>
        </w:rPr>
        <w:t xml:space="preserve"> rather with whether a</w:t>
      </w:r>
      <w:r w:rsidR="007E6757" w:rsidRPr="00BE38D7">
        <w:rPr>
          <w:rFonts w:ascii="Arial" w:hAnsi="Arial" w:cs="Arial"/>
          <w:sz w:val="24"/>
          <w:szCs w:val="24"/>
        </w:rPr>
        <w:t xml:space="preserve"> decision was </w:t>
      </w:r>
      <w:r w:rsidR="00363B09" w:rsidRPr="00BE38D7">
        <w:rPr>
          <w:rFonts w:ascii="Arial" w:hAnsi="Arial" w:cs="Arial"/>
          <w:sz w:val="24"/>
          <w:szCs w:val="24"/>
        </w:rPr>
        <w:t xml:space="preserve">taken in a </w:t>
      </w:r>
      <w:r w:rsidR="006219B0" w:rsidRPr="00BE38D7">
        <w:rPr>
          <w:rFonts w:ascii="Arial" w:hAnsi="Arial" w:cs="Arial"/>
          <w:sz w:val="24"/>
          <w:szCs w:val="24"/>
        </w:rPr>
        <w:t xml:space="preserve">lawful, </w:t>
      </w:r>
      <w:r w:rsidR="00E05D7D" w:rsidRPr="00BE38D7">
        <w:rPr>
          <w:rFonts w:ascii="Arial" w:hAnsi="Arial" w:cs="Arial"/>
          <w:sz w:val="24"/>
          <w:szCs w:val="24"/>
        </w:rPr>
        <w:t>reasonable,</w:t>
      </w:r>
      <w:r w:rsidR="00363B09" w:rsidRPr="00BE38D7">
        <w:rPr>
          <w:rFonts w:ascii="Arial" w:hAnsi="Arial" w:cs="Arial"/>
          <w:sz w:val="24"/>
          <w:szCs w:val="24"/>
        </w:rPr>
        <w:t xml:space="preserve"> and procedurally fair </w:t>
      </w:r>
      <w:r w:rsidR="004C0EED" w:rsidRPr="00BE38D7">
        <w:rPr>
          <w:rFonts w:ascii="Arial" w:hAnsi="Arial" w:cs="Arial"/>
          <w:sz w:val="24"/>
          <w:szCs w:val="24"/>
        </w:rPr>
        <w:t>manner. The</w:t>
      </w:r>
      <w:r w:rsidR="005F10E3" w:rsidRPr="00BE38D7">
        <w:rPr>
          <w:rFonts w:ascii="Arial" w:hAnsi="Arial" w:cs="Arial"/>
          <w:sz w:val="24"/>
          <w:szCs w:val="24"/>
        </w:rPr>
        <w:t xml:space="preserve"> application of the precautionary principle </w:t>
      </w:r>
      <w:r w:rsidR="006665AB" w:rsidRPr="00BE38D7">
        <w:rPr>
          <w:rFonts w:ascii="Arial" w:hAnsi="Arial" w:cs="Arial"/>
          <w:sz w:val="24"/>
          <w:szCs w:val="24"/>
        </w:rPr>
        <w:t xml:space="preserve">will require of this court to venture into the </w:t>
      </w:r>
      <w:r w:rsidR="004C0EED" w:rsidRPr="00BE38D7">
        <w:rPr>
          <w:rFonts w:ascii="Arial" w:hAnsi="Arial" w:cs="Arial"/>
          <w:sz w:val="24"/>
          <w:szCs w:val="24"/>
        </w:rPr>
        <w:t>merits, which</w:t>
      </w:r>
      <w:r w:rsidR="006665AB" w:rsidRPr="00BE38D7">
        <w:rPr>
          <w:rFonts w:ascii="Arial" w:hAnsi="Arial" w:cs="Arial"/>
          <w:sz w:val="24"/>
          <w:szCs w:val="24"/>
        </w:rPr>
        <w:t xml:space="preserve"> is not appropriate in review proceedings</w:t>
      </w:r>
      <w:r w:rsidR="004C0EED" w:rsidRPr="00BE38D7">
        <w:rPr>
          <w:rFonts w:ascii="Arial" w:hAnsi="Arial" w:cs="Arial"/>
          <w:sz w:val="24"/>
          <w:szCs w:val="24"/>
        </w:rPr>
        <w:t>.</w:t>
      </w:r>
      <w:r w:rsidR="007C5B96" w:rsidRPr="00BE38D7">
        <w:rPr>
          <w:rFonts w:ascii="Arial" w:hAnsi="Arial" w:cs="Arial"/>
          <w:sz w:val="24"/>
          <w:szCs w:val="24"/>
        </w:rPr>
        <w:t xml:space="preserve"> The</w:t>
      </w:r>
      <w:r w:rsidR="00144B80" w:rsidRPr="00BE38D7">
        <w:rPr>
          <w:rFonts w:ascii="Arial" w:hAnsi="Arial" w:cs="Arial"/>
          <w:sz w:val="24"/>
          <w:szCs w:val="24"/>
        </w:rPr>
        <w:t xml:space="preserve"> </w:t>
      </w:r>
      <w:r w:rsidR="00D3135B" w:rsidRPr="00BE38D7">
        <w:rPr>
          <w:rFonts w:ascii="Arial" w:hAnsi="Arial" w:cs="Arial"/>
          <w:sz w:val="24"/>
          <w:szCs w:val="24"/>
        </w:rPr>
        <w:t>applicant, in</w:t>
      </w:r>
      <w:r w:rsidR="00144B80" w:rsidRPr="00BE38D7">
        <w:rPr>
          <w:rFonts w:ascii="Arial" w:hAnsi="Arial" w:cs="Arial"/>
          <w:sz w:val="24"/>
          <w:szCs w:val="24"/>
        </w:rPr>
        <w:t xml:space="preserve"> this case</w:t>
      </w:r>
      <w:r w:rsidR="00D3135B" w:rsidRPr="00BE38D7">
        <w:rPr>
          <w:rFonts w:ascii="Arial" w:hAnsi="Arial" w:cs="Arial"/>
          <w:sz w:val="24"/>
          <w:szCs w:val="24"/>
        </w:rPr>
        <w:t xml:space="preserve">, </w:t>
      </w:r>
      <w:r w:rsidR="00E05D7D" w:rsidRPr="00BE38D7">
        <w:rPr>
          <w:rFonts w:ascii="Arial" w:hAnsi="Arial" w:cs="Arial"/>
          <w:sz w:val="24"/>
          <w:szCs w:val="24"/>
        </w:rPr>
        <w:t>ACB, bears</w:t>
      </w:r>
      <w:r w:rsidR="00BE1222" w:rsidRPr="00BE38D7">
        <w:rPr>
          <w:rFonts w:ascii="Arial" w:hAnsi="Arial" w:cs="Arial"/>
          <w:sz w:val="24"/>
          <w:szCs w:val="24"/>
        </w:rPr>
        <w:t xml:space="preserve"> the onus to establish the</w:t>
      </w:r>
      <w:r w:rsidR="00674122" w:rsidRPr="00BE38D7">
        <w:rPr>
          <w:rFonts w:ascii="Arial" w:hAnsi="Arial" w:cs="Arial"/>
          <w:sz w:val="24"/>
          <w:szCs w:val="24"/>
        </w:rPr>
        <w:t xml:space="preserve"> grounds of review relied </w:t>
      </w:r>
      <w:r w:rsidR="00E05D7D" w:rsidRPr="00BE38D7">
        <w:rPr>
          <w:rFonts w:ascii="Arial" w:hAnsi="Arial" w:cs="Arial"/>
          <w:sz w:val="24"/>
          <w:szCs w:val="24"/>
        </w:rPr>
        <w:t>on. Based</w:t>
      </w:r>
      <w:r w:rsidR="00FB2A51" w:rsidRPr="00BE38D7">
        <w:rPr>
          <w:rFonts w:ascii="Arial" w:hAnsi="Arial" w:cs="Arial"/>
          <w:sz w:val="24"/>
          <w:szCs w:val="24"/>
        </w:rPr>
        <w:t xml:space="preserve"> on the Plascon-Evans </w:t>
      </w:r>
      <w:r w:rsidR="00E05D7D" w:rsidRPr="00BE38D7">
        <w:rPr>
          <w:rFonts w:ascii="Arial" w:hAnsi="Arial" w:cs="Arial"/>
          <w:sz w:val="24"/>
          <w:szCs w:val="24"/>
        </w:rPr>
        <w:t>principle, the</w:t>
      </w:r>
      <w:r w:rsidR="00F21885" w:rsidRPr="00BE38D7">
        <w:rPr>
          <w:rFonts w:ascii="Arial" w:hAnsi="Arial" w:cs="Arial"/>
          <w:sz w:val="24"/>
          <w:szCs w:val="24"/>
        </w:rPr>
        <w:t xml:space="preserve"> court is obliged to </w:t>
      </w:r>
      <w:r w:rsidR="001903BA" w:rsidRPr="00BE38D7">
        <w:rPr>
          <w:rFonts w:ascii="Arial" w:hAnsi="Arial" w:cs="Arial"/>
          <w:sz w:val="24"/>
          <w:szCs w:val="24"/>
        </w:rPr>
        <w:t>rely on the respondents’</w:t>
      </w:r>
      <w:r w:rsidR="003D61BD" w:rsidRPr="00BE38D7">
        <w:rPr>
          <w:rFonts w:ascii="Arial" w:hAnsi="Arial" w:cs="Arial"/>
          <w:sz w:val="24"/>
          <w:szCs w:val="24"/>
        </w:rPr>
        <w:t xml:space="preserve"> </w:t>
      </w:r>
      <w:r w:rsidR="006108FC" w:rsidRPr="00BE38D7">
        <w:rPr>
          <w:rFonts w:ascii="Arial" w:hAnsi="Arial" w:cs="Arial"/>
          <w:sz w:val="24"/>
          <w:szCs w:val="24"/>
        </w:rPr>
        <w:t>experts’</w:t>
      </w:r>
      <w:r w:rsidR="003D61BD" w:rsidRPr="00BE38D7">
        <w:rPr>
          <w:rFonts w:ascii="Arial" w:hAnsi="Arial" w:cs="Arial"/>
          <w:sz w:val="24"/>
          <w:szCs w:val="24"/>
        </w:rPr>
        <w:t xml:space="preserve"> </w:t>
      </w:r>
      <w:r w:rsidR="00E05D7D" w:rsidRPr="00BE38D7">
        <w:rPr>
          <w:rFonts w:ascii="Arial" w:hAnsi="Arial" w:cs="Arial"/>
          <w:sz w:val="24"/>
          <w:szCs w:val="24"/>
        </w:rPr>
        <w:t>evidence, unless</w:t>
      </w:r>
      <w:r w:rsidR="00876555" w:rsidRPr="00BE38D7">
        <w:rPr>
          <w:rFonts w:ascii="Arial" w:hAnsi="Arial" w:cs="Arial"/>
          <w:sz w:val="24"/>
          <w:szCs w:val="24"/>
        </w:rPr>
        <w:t xml:space="preserve"> it is clearly </w:t>
      </w:r>
      <w:r w:rsidR="00DC411E" w:rsidRPr="00BE38D7">
        <w:rPr>
          <w:rFonts w:ascii="Arial" w:hAnsi="Arial" w:cs="Arial"/>
          <w:sz w:val="24"/>
          <w:szCs w:val="24"/>
        </w:rPr>
        <w:t>untenable. In</w:t>
      </w:r>
      <w:r w:rsidR="00F839A3" w:rsidRPr="00BE38D7">
        <w:rPr>
          <w:rFonts w:ascii="Arial" w:hAnsi="Arial" w:cs="Arial"/>
          <w:sz w:val="24"/>
          <w:szCs w:val="24"/>
        </w:rPr>
        <w:t xml:space="preserve"> the absence of </w:t>
      </w:r>
      <w:r w:rsidR="00360194" w:rsidRPr="00BE38D7">
        <w:rPr>
          <w:rFonts w:ascii="Arial" w:hAnsi="Arial" w:cs="Arial"/>
          <w:sz w:val="24"/>
          <w:szCs w:val="24"/>
        </w:rPr>
        <w:t>oral evidence</w:t>
      </w:r>
      <w:r w:rsidR="00694B7D" w:rsidRPr="00BE38D7">
        <w:rPr>
          <w:rFonts w:ascii="Arial" w:hAnsi="Arial" w:cs="Arial"/>
          <w:sz w:val="24"/>
          <w:szCs w:val="24"/>
        </w:rPr>
        <w:t xml:space="preserve">, </w:t>
      </w:r>
      <w:r w:rsidR="00360194" w:rsidRPr="00BE38D7">
        <w:rPr>
          <w:rFonts w:ascii="Arial" w:hAnsi="Arial" w:cs="Arial"/>
          <w:sz w:val="24"/>
          <w:szCs w:val="24"/>
        </w:rPr>
        <w:t xml:space="preserve">the Court is not </w:t>
      </w:r>
      <w:r w:rsidR="000B6428" w:rsidRPr="00BE38D7">
        <w:rPr>
          <w:rFonts w:ascii="Arial" w:hAnsi="Arial" w:cs="Arial"/>
          <w:sz w:val="24"/>
          <w:szCs w:val="24"/>
        </w:rPr>
        <w:t>able</w:t>
      </w:r>
      <w:r w:rsidR="00360194" w:rsidRPr="00BE38D7">
        <w:rPr>
          <w:rFonts w:ascii="Arial" w:hAnsi="Arial" w:cs="Arial"/>
          <w:sz w:val="24"/>
          <w:szCs w:val="24"/>
        </w:rPr>
        <w:t xml:space="preserve"> to evaluate the experts</w:t>
      </w:r>
      <w:r w:rsidR="00E913A7" w:rsidRPr="00BE38D7">
        <w:rPr>
          <w:rFonts w:ascii="Arial" w:hAnsi="Arial" w:cs="Arial"/>
          <w:sz w:val="24"/>
          <w:szCs w:val="24"/>
        </w:rPr>
        <w:t xml:space="preserve">’ conflicting </w:t>
      </w:r>
      <w:r w:rsidR="00E03998" w:rsidRPr="00BE38D7">
        <w:rPr>
          <w:rFonts w:ascii="Arial" w:hAnsi="Arial" w:cs="Arial"/>
          <w:sz w:val="24"/>
          <w:szCs w:val="24"/>
        </w:rPr>
        <w:t>views</w:t>
      </w:r>
      <w:r w:rsidR="001B5FB1" w:rsidRPr="00BE38D7">
        <w:rPr>
          <w:rFonts w:ascii="Arial" w:hAnsi="Arial" w:cs="Arial"/>
          <w:sz w:val="24"/>
          <w:szCs w:val="24"/>
        </w:rPr>
        <w:t xml:space="preserve"> and must accept the respondents’ expert evidence</w:t>
      </w:r>
      <w:r w:rsidR="00E4286E" w:rsidRPr="00BE38D7">
        <w:rPr>
          <w:rFonts w:ascii="Arial" w:hAnsi="Arial" w:cs="Arial"/>
          <w:sz w:val="24"/>
          <w:szCs w:val="24"/>
        </w:rPr>
        <w:t xml:space="preserve"> and their evidence proclaims the safety of MON87460.</w:t>
      </w:r>
    </w:p>
    <w:p w14:paraId="57242EDF" w14:textId="77777777" w:rsidR="0096203A" w:rsidRDefault="0096203A" w:rsidP="0096203A">
      <w:pPr>
        <w:pStyle w:val="ListParagraph"/>
        <w:spacing w:line="360" w:lineRule="auto"/>
        <w:ind w:left="810"/>
        <w:jc w:val="both"/>
        <w:rPr>
          <w:rFonts w:ascii="Arial" w:hAnsi="Arial" w:cs="Arial"/>
          <w:sz w:val="24"/>
          <w:szCs w:val="24"/>
        </w:rPr>
      </w:pPr>
    </w:p>
    <w:p w14:paraId="2227112E" w14:textId="1456A08F" w:rsidR="00ED0D95"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18.</w:t>
      </w:r>
      <w:r>
        <w:rPr>
          <w:rFonts w:ascii="Arial" w:hAnsi="Arial" w:cs="Arial"/>
          <w:color w:val="000000" w:themeColor="text1"/>
          <w:sz w:val="24"/>
          <w:szCs w:val="24"/>
        </w:rPr>
        <w:tab/>
      </w:r>
      <w:r w:rsidR="00ED0D95" w:rsidRPr="00BE38D7">
        <w:rPr>
          <w:rFonts w:ascii="Arial" w:hAnsi="Arial" w:cs="Arial"/>
          <w:sz w:val="24"/>
          <w:szCs w:val="24"/>
        </w:rPr>
        <w:t xml:space="preserve">ACB referred to Sustaining the Wild Coast NPC and Others v. Minister of Mineral Resources and Energy and others </w:t>
      </w:r>
      <w:r w:rsidR="00ED0D95">
        <w:rPr>
          <w:rStyle w:val="FootnoteReference"/>
          <w:rFonts w:ascii="Arial" w:hAnsi="Arial" w:cs="Arial"/>
          <w:sz w:val="24"/>
          <w:szCs w:val="24"/>
        </w:rPr>
        <w:footnoteReference w:id="15"/>
      </w:r>
      <w:r w:rsidR="00ED0D95" w:rsidRPr="00BE38D7">
        <w:rPr>
          <w:rFonts w:ascii="Arial" w:hAnsi="Arial" w:cs="Arial"/>
          <w:sz w:val="24"/>
          <w:szCs w:val="24"/>
        </w:rPr>
        <w:t xml:space="preserve"> to support the argument that the precautionary </w:t>
      </w:r>
      <w:r w:rsidR="00ED0D95" w:rsidRPr="00BE38D7">
        <w:rPr>
          <w:rFonts w:ascii="Arial" w:hAnsi="Arial" w:cs="Arial"/>
          <w:sz w:val="24"/>
          <w:szCs w:val="24"/>
        </w:rPr>
        <w:lastRenderedPageBreak/>
        <w:t>principle should be applied. The facts were different as it dealt with an exploration right to use seismic survey to seek out oil and gas reserves off the Eastern Cape coast. The decision related to a listed activity and as a result an EIA was prescribed by NEMA. It was common cause that no environmental authorisation was secured to undertake the impugned survey and exploration. The court also found that there was no proper notification and consultation with affected parties and</w:t>
      </w:r>
      <w:r w:rsidR="00E82495" w:rsidRPr="00BE38D7">
        <w:rPr>
          <w:rFonts w:ascii="Arial" w:hAnsi="Arial" w:cs="Arial"/>
          <w:sz w:val="24"/>
          <w:szCs w:val="24"/>
        </w:rPr>
        <w:t xml:space="preserve"> the process</w:t>
      </w:r>
      <w:r w:rsidR="00ED0D95" w:rsidRPr="00BE38D7">
        <w:rPr>
          <w:rFonts w:ascii="Arial" w:hAnsi="Arial" w:cs="Arial"/>
          <w:sz w:val="24"/>
          <w:szCs w:val="24"/>
        </w:rPr>
        <w:t xml:space="preserve"> was accordingly procedurally unfair.</w:t>
      </w:r>
      <w:r w:rsidR="0096203A" w:rsidRPr="00BE38D7">
        <w:rPr>
          <w:rFonts w:ascii="Arial" w:hAnsi="Arial" w:cs="Arial"/>
          <w:sz w:val="24"/>
          <w:szCs w:val="24"/>
        </w:rPr>
        <w:t xml:space="preserve"> </w:t>
      </w:r>
      <w:r w:rsidR="00ED0D95" w:rsidRPr="00BE38D7">
        <w:rPr>
          <w:rFonts w:ascii="Arial" w:hAnsi="Arial" w:cs="Arial"/>
          <w:sz w:val="24"/>
          <w:szCs w:val="24"/>
        </w:rPr>
        <w:t xml:space="preserve">In this instance there was compliance with the statutory framework regarding notification as </w:t>
      </w:r>
      <w:r w:rsidR="00896D30" w:rsidRPr="00BE38D7">
        <w:rPr>
          <w:rFonts w:ascii="Arial" w:hAnsi="Arial" w:cs="Arial"/>
          <w:sz w:val="24"/>
          <w:szCs w:val="24"/>
        </w:rPr>
        <w:t xml:space="preserve">is </w:t>
      </w:r>
      <w:r w:rsidR="00ED0D95" w:rsidRPr="00BE38D7">
        <w:rPr>
          <w:rFonts w:ascii="Arial" w:hAnsi="Arial" w:cs="Arial"/>
          <w:sz w:val="24"/>
          <w:szCs w:val="24"/>
        </w:rPr>
        <w:t xml:space="preserve">explained </w:t>
      </w:r>
      <w:r w:rsidR="00896D30" w:rsidRPr="00BE38D7">
        <w:rPr>
          <w:rFonts w:ascii="Arial" w:hAnsi="Arial" w:cs="Arial"/>
          <w:sz w:val="24"/>
          <w:szCs w:val="24"/>
        </w:rPr>
        <w:t>later on</w:t>
      </w:r>
      <w:r w:rsidR="003E7443" w:rsidRPr="00BE38D7">
        <w:rPr>
          <w:rFonts w:ascii="Arial" w:hAnsi="Arial" w:cs="Arial"/>
          <w:sz w:val="24"/>
          <w:szCs w:val="24"/>
        </w:rPr>
        <w:t>,</w:t>
      </w:r>
      <w:r w:rsidR="00ED0D95" w:rsidRPr="00BE38D7">
        <w:rPr>
          <w:rFonts w:ascii="Arial" w:hAnsi="Arial" w:cs="Arial"/>
          <w:sz w:val="24"/>
          <w:szCs w:val="24"/>
        </w:rPr>
        <w:t xml:space="preserve"> and apart from that an appeal process</w:t>
      </w:r>
      <w:r w:rsidR="00B7294A" w:rsidRPr="00BE38D7">
        <w:rPr>
          <w:rFonts w:ascii="Arial" w:hAnsi="Arial" w:cs="Arial"/>
          <w:sz w:val="24"/>
          <w:szCs w:val="24"/>
        </w:rPr>
        <w:t xml:space="preserve"> had </w:t>
      </w:r>
      <w:r w:rsidR="00D65666" w:rsidRPr="00BE38D7">
        <w:rPr>
          <w:rFonts w:ascii="Arial" w:hAnsi="Arial" w:cs="Arial"/>
          <w:sz w:val="24"/>
          <w:szCs w:val="24"/>
        </w:rPr>
        <w:t>been followed,</w:t>
      </w:r>
      <w:r w:rsidR="00ED0D95" w:rsidRPr="00BE38D7">
        <w:rPr>
          <w:rFonts w:ascii="Arial" w:hAnsi="Arial" w:cs="Arial"/>
          <w:sz w:val="24"/>
          <w:szCs w:val="24"/>
        </w:rPr>
        <w:t xml:space="preserve"> where ACB had the full opportunity to partake in the proceedings</w:t>
      </w:r>
      <w:r w:rsidR="00D65666" w:rsidRPr="00BE38D7">
        <w:rPr>
          <w:rFonts w:ascii="Arial" w:hAnsi="Arial" w:cs="Arial"/>
          <w:sz w:val="24"/>
          <w:szCs w:val="24"/>
        </w:rPr>
        <w:t xml:space="preserve"> and to place submissions and evidence before the Appeal Board.</w:t>
      </w:r>
    </w:p>
    <w:p w14:paraId="4FCAE854" w14:textId="77777777" w:rsidR="00F44D17" w:rsidRPr="0096203A" w:rsidRDefault="00F44D17" w:rsidP="0096203A">
      <w:pPr>
        <w:spacing w:line="360" w:lineRule="auto"/>
        <w:jc w:val="both"/>
        <w:rPr>
          <w:rFonts w:ascii="Arial" w:hAnsi="Arial" w:cs="Arial"/>
          <w:sz w:val="24"/>
          <w:szCs w:val="24"/>
        </w:rPr>
      </w:pPr>
    </w:p>
    <w:p w14:paraId="363FB775" w14:textId="643579C6" w:rsidR="00747416" w:rsidRPr="00BE38D7" w:rsidRDefault="00BE38D7" w:rsidP="00BE38D7">
      <w:pPr>
        <w:spacing w:line="360" w:lineRule="auto"/>
        <w:ind w:left="810" w:hanging="810"/>
        <w:jc w:val="both"/>
        <w:rPr>
          <w:rFonts w:ascii="Arial" w:hAnsi="Arial" w:cs="Arial"/>
          <w:sz w:val="24"/>
          <w:szCs w:val="24"/>
        </w:rPr>
      </w:pPr>
      <w:r>
        <w:rPr>
          <w:rFonts w:ascii="Arial" w:hAnsi="Arial" w:cs="Arial"/>
          <w:color w:val="000000" w:themeColor="text1"/>
          <w:sz w:val="24"/>
          <w:szCs w:val="24"/>
        </w:rPr>
        <w:t>19.</w:t>
      </w:r>
      <w:r>
        <w:rPr>
          <w:rFonts w:ascii="Arial" w:hAnsi="Arial" w:cs="Arial"/>
          <w:color w:val="000000" w:themeColor="text1"/>
          <w:sz w:val="24"/>
          <w:szCs w:val="24"/>
        </w:rPr>
        <w:tab/>
      </w:r>
      <w:r w:rsidR="0088314A" w:rsidRPr="00BE38D7">
        <w:rPr>
          <w:rFonts w:ascii="Arial" w:hAnsi="Arial" w:cs="Arial"/>
          <w:sz w:val="24"/>
          <w:szCs w:val="24"/>
        </w:rPr>
        <w:t>The EC and later the Appeal Board relied on the expert opinions of the AC</w:t>
      </w:r>
      <w:r w:rsidR="000E4816" w:rsidRPr="00BE38D7">
        <w:rPr>
          <w:rFonts w:ascii="Arial" w:hAnsi="Arial" w:cs="Arial"/>
          <w:sz w:val="24"/>
          <w:szCs w:val="24"/>
        </w:rPr>
        <w:t xml:space="preserve"> and the expert evidence provided by Monsanto to determine the environmental </w:t>
      </w:r>
      <w:r w:rsidR="00531F60" w:rsidRPr="00BE38D7">
        <w:rPr>
          <w:rFonts w:ascii="Arial" w:hAnsi="Arial" w:cs="Arial"/>
          <w:sz w:val="24"/>
          <w:szCs w:val="24"/>
        </w:rPr>
        <w:t>risks</w:t>
      </w:r>
      <w:r w:rsidR="007F32CC" w:rsidRPr="00BE38D7">
        <w:rPr>
          <w:rFonts w:ascii="Arial" w:hAnsi="Arial" w:cs="Arial"/>
          <w:sz w:val="24"/>
          <w:szCs w:val="24"/>
        </w:rPr>
        <w:t>. It</w:t>
      </w:r>
      <w:r w:rsidR="00236359" w:rsidRPr="00BE38D7">
        <w:rPr>
          <w:rFonts w:ascii="Arial" w:hAnsi="Arial" w:cs="Arial"/>
          <w:sz w:val="24"/>
          <w:szCs w:val="24"/>
        </w:rPr>
        <w:t xml:space="preserve"> can </w:t>
      </w:r>
      <w:r w:rsidR="007F32CC" w:rsidRPr="00BE38D7">
        <w:rPr>
          <w:rFonts w:ascii="Arial" w:hAnsi="Arial" w:cs="Arial"/>
          <w:sz w:val="24"/>
          <w:szCs w:val="24"/>
        </w:rPr>
        <w:t>accordingly</w:t>
      </w:r>
      <w:r w:rsidR="00236359" w:rsidRPr="00BE38D7">
        <w:rPr>
          <w:rFonts w:ascii="Arial" w:hAnsi="Arial" w:cs="Arial"/>
          <w:sz w:val="24"/>
          <w:szCs w:val="24"/>
        </w:rPr>
        <w:t xml:space="preserve"> not be said that the </w:t>
      </w:r>
      <w:r w:rsidR="007E04AF" w:rsidRPr="00BE38D7">
        <w:rPr>
          <w:rFonts w:ascii="Arial" w:hAnsi="Arial" w:cs="Arial"/>
          <w:sz w:val="24"/>
          <w:szCs w:val="24"/>
        </w:rPr>
        <w:t xml:space="preserve">impugned decisions were </w:t>
      </w:r>
      <w:r w:rsidR="007F32CC" w:rsidRPr="00BE38D7">
        <w:rPr>
          <w:rFonts w:ascii="Arial" w:hAnsi="Arial" w:cs="Arial"/>
          <w:sz w:val="24"/>
          <w:szCs w:val="24"/>
        </w:rPr>
        <w:t xml:space="preserve">unlawful, </w:t>
      </w:r>
      <w:r w:rsidR="00446DA7" w:rsidRPr="00BE38D7">
        <w:rPr>
          <w:rFonts w:ascii="Arial" w:hAnsi="Arial" w:cs="Arial"/>
          <w:sz w:val="24"/>
          <w:szCs w:val="24"/>
        </w:rPr>
        <w:t>unreasonable,</w:t>
      </w:r>
      <w:r w:rsidR="007E04AF" w:rsidRPr="00BE38D7">
        <w:rPr>
          <w:rFonts w:ascii="Arial" w:hAnsi="Arial" w:cs="Arial"/>
          <w:sz w:val="24"/>
          <w:szCs w:val="24"/>
        </w:rPr>
        <w:t xml:space="preserve"> or procedurally</w:t>
      </w:r>
      <w:r w:rsidR="007F32CC" w:rsidRPr="00BE38D7">
        <w:rPr>
          <w:rFonts w:ascii="Arial" w:hAnsi="Arial" w:cs="Arial"/>
          <w:sz w:val="24"/>
          <w:szCs w:val="24"/>
        </w:rPr>
        <w:t xml:space="preserve"> unfair</w:t>
      </w:r>
      <w:r w:rsidR="004F1180" w:rsidRPr="00BE38D7">
        <w:rPr>
          <w:rFonts w:ascii="Arial" w:hAnsi="Arial" w:cs="Arial"/>
          <w:sz w:val="24"/>
          <w:szCs w:val="24"/>
        </w:rPr>
        <w:t>.</w:t>
      </w:r>
      <w:r w:rsidR="006855D4" w:rsidRPr="00BE38D7">
        <w:rPr>
          <w:rFonts w:ascii="Arial" w:hAnsi="Arial" w:cs="Arial"/>
          <w:sz w:val="24"/>
          <w:szCs w:val="24"/>
        </w:rPr>
        <w:t xml:space="preserve"> </w:t>
      </w:r>
      <w:r w:rsidR="00755EAE" w:rsidRPr="00BE38D7">
        <w:rPr>
          <w:rFonts w:ascii="Arial" w:hAnsi="Arial" w:cs="Arial"/>
          <w:sz w:val="24"/>
          <w:szCs w:val="24"/>
        </w:rPr>
        <w:t>Furthermore,</w:t>
      </w:r>
      <w:r w:rsidR="00205D76" w:rsidRPr="00BE38D7">
        <w:rPr>
          <w:rFonts w:ascii="Arial" w:hAnsi="Arial" w:cs="Arial"/>
          <w:sz w:val="24"/>
          <w:szCs w:val="24"/>
        </w:rPr>
        <w:t xml:space="preserve"> an </w:t>
      </w:r>
      <w:r w:rsidR="006E148C" w:rsidRPr="00BE38D7">
        <w:rPr>
          <w:rFonts w:ascii="Arial" w:hAnsi="Arial" w:cs="Arial"/>
          <w:sz w:val="24"/>
          <w:szCs w:val="24"/>
        </w:rPr>
        <w:t xml:space="preserve">EIA </w:t>
      </w:r>
      <w:r w:rsidR="00FA2FEB" w:rsidRPr="00BE38D7">
        <w:rPr>
          <w:rFonts w:ascii="Arial" w:hAnsi="Arial" w:cs="Arial"/>
          <w:sz w:val="24"/>
          <w:szCs w:val="24"/>
        </w:rPr>
        <w:t>was not</w:t>
      </w:r>
      <w:r w:rsidR="006E148C" w:rsidRPr="00BE38D7">
        <w:rPr>
          <w:rFonts w:ascii="Arial" w:hAnsi="Arial" w:cs="Arial"/>
          <w:sz w:val="24"/>
          <w:szCs w:val="24"/>
        </w:rPr>
        <w:t xml:space="preserve"> called for under the </w:t>
      </w:r>
      <w:r w:rsidR="00446DA7" w:rsidRPr="00BE38D7">
        <w:rPr>
          <w:rFonts w:ascii="Arial" w:hAnsi="Arial" w:cs="Arial"/>
          <w:sz w:val="24"/>
          <w:szCs w:val="24"/>
        </w:rPr>
        <w:t>circumstances of this application. The</w:t>
      </w:r>
      <w:r w:rsidR="009C412C" w:rsidRPr="00BE38D7">
        <w:rPr>
          <w:rFonts w:ascii="Arial" w:hAnsi="Arial" w:cs="Arial"/>
          <w:sz w:val="24"/>
          <w:szCs w:val="24"/>
        </w:rPr>
        <w:t xml:space="preserve"> result is that</w:t>
      </w:r>
      <w:r w:rsidR="00C171E2" w:rsidRPr="00BE38D7">
        <w:rPr>
          <w:rFonts w:ascii="Arial" w:hAnsi="Arial" w:cs="Arial"/>
          <w:sz w:val="24"/>
          <w:szCs w:val="24"/>
        </w:rPr>
        <w:t xml:space="preserve"> there was compliance with</w:t>
      </w:r>
      <w:r w:rsidR="00F025F7" w:rsidRPr="00BE38D7">
        <w:rPr>
          <w:rFonts w:ascii="Arial" w:hAnsi="Arial" w:cs="Arial"/>
          <w:sz w:val="24"/>
          <w:szCs w:val="24"/>
        </w:rPr>
        <w:t xml:space="preserve"> </w:t>
      </w:r>
      <w:r w:rsidR="00865140" w:rsidRPr="00BE38D7">
        <w:rPr>
          <w:rFonts w:ascii="Arial" w:hAnsi="Arial" w:cs="Arial"/>
          <w:sz w:val="24"/>
          <w:szCs w:val="24"/>
        </w:rPr>
        <w:t>section 5(1</w:t>
      </w:r>
      <w:proofErr w:type="gramStart"/>
      <w:r w:rsidR="00865140" w:rsidRPr="00BE38D7">
        <w:rPr>
          <w:rFonts w:ascii="Arial" w:hAnsi="Arial" w:cs="Arial"/>
          <w:sz w:val="24"/>
          <w:szCs w:val="24"/>
        </w:rPr>
        <w:t>)(</w:t>
      </w:r>
      <w:proofErr w:type="gramEnd"/>
      <w:r w:rsidR="00865140" w:rsidRPr="00BE38D7">
        <w:rPr>
          <w:rFonts w:ascii="Arial" w:hAnsi="Arial" w:cs="Arial"/>
          <w:sz w:val="24"/>
          <w:szCs w:val="24"/>
        </w:rPr>
        <w:t xml:space="preserve">a) of the </w:t>
      </w:r>
      <w:r w:rsidR="00AE6DDA" w:rsidRPr="00BE38D7">
        <w:rPr>
          <w:rFonts w:ascii="Arial" w:hAnsi="Arial" w:cs="Arial"/>
          <w:sz w:val="24"/>
          <w:szCs w:val="24"/>
        </w:rPr>
        <w:t>GMO Act and</w:t>
      </w:r>
      <w:r w:rsidR="00755EAE" w:rsidRPr="00BE38D7">
        <w:rPr>
          <w:rFonts w:ascii="Arial" w:hAnsi="Arial" w:cs="Arial"/>
          <w:sz w:val="24"/>
          <w:szCs w:val="24"/>
        </w:rPr>
        <w:t xml:space="preserve"> this</w:t>
      </w:r>
      <w:r w:rsidR="00AE6DDA" w:rsidRPr="00BE38D7">
        <w:rPr>
          <w:rFonts w:ascii="Arial" w:hAnsi="Arial" w:cs="Arial"/>
          <w:sz w:val="24"/>
          <w:szCs w:val="24"/>
        </w:rPr>
        <w:t xml:space="preserve"> </w:t>
      </w:r>
      <w:r w:rsidR="00D25BD8" w:rsidRPr="00BE38D7">
        <w:rPr>
          <w:rFonts w:ascii="Arial" w:hAnsi="Arial" w:cs="Arial"/>
          <w:sz w:val="24"/>
          <w:szCs w:val="24"/>
        </w:rPr>
        <w:t>point</w:t>
      </w:r>
      <w:r w:rsidR="00AE6DDA" w:rsidRPr="00BE38D7">
        <w:rPr>
          <w:rFonts w:ascii="Arial" w:hAnsi="Arial" w:cs="Arial"/>
          <w:sz w:val="24"/>
          <w:szCs w:val="24"/>
        </w:rPr>
        <w:t xml:space="preserve"> must fail</w:t>
      </w:r>
      <w:r w:rsidR="0034718F" w:rsidRPr="00BE38D7">
        <w:rPr>
          <w:rFonts w:ascii="Arial" w:hAnsi="Arial" w:cs="Arial"/>
          <w:sz w:val="24"/>
          <w:szCs w:val="24"/>
        </w:rPr>
        <w:t>.</w:t>
      </w:r>
    </w:p>
    <w:p w14:paraId="456DCE48" w14:textId="77777777" w:rsidR="00BF5F41" w:rsidRPr="00BF5F41" w:rsidRDefault="00BF5F41" w:rsidP="00BF5F41">
      <w:pPr>
        <w:pStyle w:val="ListParagraph"/>
        <w:rPr>
          <w:rFonts w:ascii="Arial" w:hAnsi="Arial" w:cs="Arial"/>
          <w:sz w:val="24"/>
          <w:szCs w:val="24"/>
        </w:rPr>
      </w:pPr>
    </w:p>
    <w:p w14:paraId="208F84A3" w14:textId="77777777" w:rsidR="00BF5F41" w:rsidRDefault="00BF5F41" w:rsidP="00BF5F41">
      <w:pPr>
        <w:pStyle w:val="ListParagraph"/>
        <w:spacing w:line="360" w:lineRule="auto"/>
        <w:ind w:left="810"/>
        <w:jc w:val="both"/>
        <w:rPr>
          <w:rFonts w:ascii="Arial" w:hAnsi="Arial" w:cs="Arial"/>
          <w:sz w:val="24"/>
          <w:szCs w:val="24"/>
        </w:rPr>
      </w:pPr>
    </w:p>
    <w:p w14:paraId="3CE02AF2" w14:textId="77777777" w:rsidR="00E60684" w:rsidRDefault="00E60684" w:rsidP="00E60684">
      <w:pPr>
        <w:spacing w:line="360" w:lineRule="auto"/>
        <w:ind w:left="360"/>
        <w:jc w:val="both"/>
        <w:rPr>
          <w:rFonts w:ascii="Arial" w:hAnsi="Arial" w:cs="Arial"/>
          <w:sz w:val="24"/>
          <w:szCs w:val="24"/>
          <w:u w:val="single"/>
        </w:rPr>
      </w:pPr>
      <w:r w:rsidRPr="00E60684">
        <w:rPr>
          <w:rFonts w:ascii="Arial" w:hAnsi="Arial" w:cs="Arial"/>
          <w:sz w:val="24"/>
          <w:szCs w:val="24"/>
          <w:u w:val="single"/>
        </w:rPr>
        <w:t>Procedural Fairnes</w:t>
      </w:r>
      <w:r w:rsidR="005E6C7A">
        <w:rPr>
          <w:rFonts w:ascii="Arial" w:hAnsi="Arial" w:cs="Arial"/>
          <w:sz w:val="24"/>
          <w:szCs w:val="24"/>
          <w:u w:val="single"/>
        </w:rPr>
        <w:t xml:space="preserve">s </w:t>
      </w:r>
      <w:r w:rsidR="00FA10E5">
        <w:rPr>
          <w:rFonts w:ascii="Arial" w:hAnsi="Arial" w:cs="Arial"/>
          <w:sz w:val="24"/>
          <w:szCs w:val="24"/>
          <w:u w:val="single"/>
        </w:rPr>
        <w:t>with reference to public participation</w:t>
      </w:r>
    </w:p>
    <w:p w14:paraId="7EDC558F" w14:textId="77777777" w:rsidR="00BF5F41" w:rsidRDefault="00BF5F41" w:rsidP="00E60684">
      <w:pPr>
        <w:spacing w:line="360" w:lineRule="auto"/>
        <w:ind w:left="360"/>
        <w:jc w:val="both"/>
        <w:rPr>
          <w:rFonts w:ascii="Arial" w:hAnsi="Arial" w:cs="Arial"/>
          <w:sz w:val="24"/>
          <w:szCs w:val="24"/>
          <w:u w:val="single"/>
        </w:rPr>
      </w:pPr>
    </w:p>
    <w:p w14:paraId="65CB525F" w14:textId="323C819E" w:rsidR="00E60684"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20.</w:t>
      </w:r>
      <w:r>
        <w:rPr>
          <w:rFonts w:ascii="Arial" w:hAnsi="Arial" w:cs="Arial"/>
          <w:color w:val="000000" w:themeColor="text1"/>
          <w:sz w:val="24"/>
          <w:szCs w:val="24"/>
        </w:rPr>
        <w:tab/>
      </w:r>
      <w:r w:rsidR="00E4286E" w:rsidRPr="00BE38D7">
        <w:rPr>
          <w:rFonts w:ascii="Arial" w:hAnsi="Arial" w:cs="Arial"/>
          <w:sz w:val="24"/>
          <w:szCs w:val="24"/>
        </w:rPr>
        <w:t xml:space="preserve">ACB </w:t>
      </w:r>
      <w:r w:rsidR="00083ED1" w:rsidRPr="00BE38D7">
        <w:rPr>
          <w:rFonts w:ascii="Arial" w:hAnsi="Arial" w:cs="Arial"/>
          <w:sz w:val="24"/>
          <w:szCs w:val="24"/>
        </w:rPr>
        <w:t>argued that there was no proper public participation</w:t>
      </w:r>
      <w:r w:rsidR="004514CF" w:rsidRPr="00BE38D7">
        <w:rPr>
          <w:rFonts w:ascii="Arial" w:hAnsi="Arial" w:cs="Arial"/>
          <w:sz w:val="24"/>
          <w:szCs w:val="24"/>
        </w:rPr>
        <w:t xml:space="preserve"> as it did not have the opportunity to place its submissions before the EC</w:t>
      </w:r>
      <w:r w:rsidR="001B5153" w:rsidRPr="00BE38D7">
        <w:rPr>
          <w:rFonts w:ascii="Arial" w:hAnsi="Arial" w:cs="Arial"/>
          <w:sz w:val="24"/>
          <w:szCs w:val="24"/>
        </w:rPr>
        <w:t>.</w:t>
      </w:r>
      <w:r w:rsidR="00665D64" w:rsidRPr="00BE38D7">
        <w:rPr>
          <w:rFonts w:ascii="Arial" w:hAnsi="Arial" w:cs="Arial"/>
          <w:sz w:val="24"/>
          <w:szCs w:val="24"/>
        </w:rPr>
        <w:t xml:space="preserve"> Section 3(5) of PAJA provides that when an administrator is empowere</w:t>
      </w:r>
      <w:r w:rsidR="00B324CE" w:rsidRPr="00BE38D7">
        <w:rPr>
          <w:rFonts w:ascii="Arial" w:hAnsi="Arial" w:cs="Arial"/>
          <w:sz w:val="24"/>
          <w:szCs w:val="24"/>
        </w:rPr>
        <w:t>d by any empowering provision to follow a provision which is fair</w:t>
      </w:r>
      <w:r w:rsidR="00C057DA" w:rsidRPr="00BE38D7">
        <w:rPr>
          <w:rFonts w:ascii="Arial" w:hAnsi="Arial" w:cs="Arial"/>
          <w:sz w:val="24"/>
          <w:szCs w:val="24"/>
        </w:rPr>
        <w:t>,</w:t>
      </w:r>
      <w:r w:rsidR="00B324CE" w:rsidRPr="00BE38D7">
        <w:rPr>
          <w:rFonts w:ascii="Arial" w:hAnsi="Arial" w:cs="Arial"/>
          <w:sz w:val="24"/>
          <w:szCs w:val="24"/>
        </w:rPr>
        <w:t xml:space="preserve"> but different from the provisions of section 3 (2)</w:t>
      </w:r>
      <w:r w:rsidR="00D559F2" w:rsidRPr="00BE38D7">
        <w:rPr>
          <w:rFonts w:ascii="Arial" w:hAnsi="Arial" w:cs="Arial"/>
          <w:sz w:val="24"/>
          <w:szCs w:val="24"/>
        </w:rPr>
        <w:t xml:space="preserve"> of </w:t>
      </w:r>
      <w:r w:rsidR="001B5153" w:rsidRPr="00BE38D7">
        <w:rPr>
          <w:rFonts w:ascii="Arial" w:hAnsi="Arial" w:cs="Arial"/>
          <w:sz w:val="24"/>
          <w:szCs w:val="24"/>
        </w:rPr>
        <w:t>PAJA, the</w:t>
      </w:r>
      <w:r w:rsidR="00B324CE" w:rsidRPr="00BE38D7">
        <w:rPr>
          <w:rFonts w:ascii="Arial" w:hAnsi="Arial" w:cs="Arial"/>
          <w:sz w:val="24"/>
          <w:szCs w:val="24"/>
        </w:rPr>
        <w:t xml:space="preserve"> administrator may act in accordance with that different </w:t>
      </w:r>
      <w:r w:rsidR="003A2475" w:rsidRPr="00BE38D7">
        <w:rPr>
          <w:rFonts w:ascii="Arial" w:hAnsi="Arial" w:cs="Arial"/>
          <w:sz w:val="24"/>
          <w:szCs w:val="24"/>
        </w:rPr>
        <w:t>procedure. In</w:t>
      </w:r>
      <w:r w:rsidR="00B324CE" w:rsidRPr="00BE38D7">
        <w:rPr>
          <w:rFonts w:ascii="Arial" w:hAnsi="Arial" w:cs="Arial"/>
          <w:sz w:val="24"/>
          <w:szCs w:val="24"/>
        </w:rPr>
        <w:t xml:space="preserve"> this instance Regulation 9 of the GMO regulations prescribes the process for public participation </w:t>
      </w:r>
      <w:r w:rsidR="00AD271E" w:rsidRPr="00BE38D7">
        <w:rPr>
          <w:rFonts w:ascii="Arial" w:hAnsi="Arial" w:cs="Arial"/>
          <w:sz w:val="24"/>
          <w:szCs w:val="24"/>
        </w:rPr>
        <w:t xml:space="preserve">of the proposed release of a GMO and for interested parties to </w:t>
      </w:r>
      <w:r w:rsidR="00176203" w:rsidRPr="00BE38D7">
        <w:rPr>
          <w:rFonts w:ascii="Arial" w:hAnsi="Arial" w:cs="Arial"/>
          <w:sz w:val="24"/>
          <w:szCs w:val="24"/>
        </w:rPr>
        <w:t xml:space="preserve">make </w:t>
      </w:r>
      <w:r w:rsidR="00C057DA" w:rsidRPr="00BE38D7">
        <w:rPr>
          <w:rFonts w:ascii="Arial" w:hAnsi="Arial" w:cs="Arial"/>
          <w:sz w:val="24"/>
          <w:szCs w:val="24"/>
        </w:rPr>
        <w:t>submissions. It</w:t>
      </w:r>
      <w:r w:rsidR="004F2619" w:rsidRPr="00BE38D7">
        <w:rPr>
          <w:rFonts w:ascii="Arial" w:hAnsi="Arial" w:cs="Arial"/>
          <w:sz w:val="24"/>
          <w:szCs w:val="24"/>
        </w:rPr>
        <w:t xml:space="preserve"> follows that the procedure set out in the regulation could</w:t>
      </w:r>
      <w:r w:rsidR="009B4038" w:rsidRPr="00BE38D7">
        <w:rPr>
          <w:rFonts w:ascii="Arial" w:hAnsi="Arial" w:cs="Arial"/>
          <w:sz w:val="24"/>
          <w:szCs w:val="24"/>
        </w:rPr>
        <w:t xml:space="preserve"> </w:t>
      </w:r>
      <w:r w:rsidR="00F33E33" w:rsidRPr="00BE38D7">
        <w:rPr>
          <w:rFonts w:ascii="Arial" w:hAnsi="Arial" w:cs="Arial"/>
          <w:sz w:val="24"/>
          <w:szCs w:val="24"/>
        </w:rPr>
        <w:t>have been</w:t>
      </w:r>
      <w:r w:rsidR="004F2619" w:rsidRPr="00BE38D7">
        <w:rPr>
          <w:rFonts w:ascii="Arial" w:hAnsi="Arial" w:cs="Arial"/>
          <w:sz w:val="24"/>
          <w:szCs w:val="24"/>
        </w:rPr>
        <w:t xml:space="preserve"> followed.</w:t>
      </w:r>
    </w:p>
    <w:p w14:paraId="4423F76E" w14:textId="77777777" w:rsidR="00176203" w:rsidRDefault="00176203" w:rsidP="00176203">
      <w:pPr>
        <w:pStyle w:val="ListParagraph"/>
        <w:spacing w:line="360" w:lineRule="auto"/>
        <w:jc w:val="both"/>
        <w:rPr>
          <w:rFonts w:ascii="Arial" w:hAnsi="Arial" w:cs="Arial"/>
          <w:sz w:val="24"/>
          <w:szCs w:val="24"/>
        </w:rPr>
      </w:pPr>
    </w:p>
    <w:p w14:paraId="32D80689" w14:textId="4E2C44FC" w:rsidR="00176203"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lastRenderedPageBreak/>
        <w:t>21.</w:t>
      </w:r>
      <w:r>
        <w:rPr>
          <w:rFonts w:ascii="Arial" w:hAnsi="Arial" w:cs="Arial"/>
          <w:color w:val="000000" w:themeColor="text1"/>
          <w:sz w:val="24"/>
          <w:szCs w:val="24"/>
        </w:rPr>
        <w:tab/>
      </w:r>
      <w:r w:rsidR="00176203" w:rsidRPr="00BE38D7">
        <w:rPr>
          <w:rFonts w:ascii="Arial" w:hAnsi="Arial" w:cs="Arial"/>
          <w:sz w:val="24"/>
          <w:szCs w:val="24"/>
        </w:rPr>
        <w:t xml:space="preserve">ACB’s </w:t>
      </w:r>
      <w:r w:rsidR="00385294" w:rsidRPr="00BE38D7">
        <w:rPr>
          <w:rFonts w:ascii="Arial" w:hAnsi="Arial" w:cs="Arial"/>
          <w:sz w:val="24"/>
          <w:szCs w:val="24"/>
        </w:rPr>
        <w:t>complaint</w:t>
      </w:r>
      <w:r w:rsidR="00176203" w:rsidRPr="00BE38D7">
        <w:rPr>
          <w:rFonts w:ascii="Arial" w:hAnsi="Arial" w:cs="Arial"/>
          <w:sz w:val="24"/>
          <w:szCs w:val="24"/>
        </w:rPr>
        <w:t xml:space="preserve"> with the process </w:t>
      </w:r>
      <w:r w:rsidR="002F471A" w:rsidRPr="00BE38D7">
        <w:rPr>
          <w:rFonts w:ascii="Arial" w:hAnsi="Arial" w:cs="Arial"/>
          <w:sz w:val="24"/>
          <w:szCs w:val="24"/>
        </w:rPr>
        <w:t>is</w:t>
      </w:r>
      <w:r w:rsidR="001C0265" w:rsidRPr="00BE38D7">
        <w:rPr>
          <w:rFonts w:ascii="Arial" w:hAnsi="Arial" w:cs="Arial"/>
          <w:sz w:val="24"/>
          <w:szCs w:val="24"/>
        </w:rPr>
        <w:t>,</w:t>
      </w:r>
      <w:r w:rsidR="002F471A" w:rsidRPr="00BE38D7">
        <w:rPr>
          <w:rFonts w:ascii="Arial" w:hAnsi="Arial" w:cs="Arial"/>
          <w:sz w:val="24"/>
          <w:szCs w:val="24"/>
        </w:rPr>
        <w:t xml:space="preserve"> that</w:t>
      </w:r>
      <w:r w:rsidR="003271A7" w:rsidRPr="00BE38D7">
        <w:rPr>
          <w:rFonts w:ascii="Arial" w:hAnsi="Arial" w:cs="Arial"/>
          <w:sz w:val="24"/>
          <w:szCs w:val="24"/>
        </w:rPr>
        <w:t xml:space="preserve"> it</w:t>
      </w:r>
      <w:r w:rsidR="00EE1CDD" w:rsidRPr="00BE38D7">
        <w:rPr>
          <w:rFonts w:ascii="Arial" w:hAnsi="Arial" w:cs="Arial"/>
          <w:sz w:val="24"/>
          <w:szCs w:val="24"/>
        </w:rPr>
        <w:t xml:space="preserve"> was not given direct notice of the </w:t>
      </w:r>
      <w:r w:rsidR="00CF2D4C" w:rsidRPr="00BE38D7">
        <w:rPr>
          <w:rFonts w:ascii="Arial" w:hAnsi="Arial" w:cs="Arial"/>
          <w:sz w:val="24"/>
          <w:szCs w:val="24"/>
        </w:rPr>
        <w:t>application. It</w:t>
      </w:r>
      <w:r w:rsidR="00EE1CDD" w:rsidRPr="00BE38D7">
        <w:rPr>
          <w:rFonts w:ascii="Arial" w:hAnsi="Arial" w:cs="Arial"/>
          <w:sz w:val="24"/>
          <w:szCs w:val="24"/>
        </w:rPr>
        <w:t xml:space="preserve"> ha</w:t>
      </w:r>
      <w:r w:rsidR="00DB1830" w:rsidRPr="00BE38D7">
        <w:rPr>
          <w:rFonts w:ascii="Arial" w:hAnsi="Arial" w:cs="Arial"/>
          <w:sz w:val="24"/>
          <w:szCs w:val="24"/>
        </w:rPr>
        <w:t>d</w:t>
      </w:r>
      <w:r w:rsidR="00EE1CDD" w:rsidRPr="00BE38D7">
        <w:rPr>
          <w:rFonts w:ascii="Arial" w:hAnsi="Arial" w:cs="Arial"/>
          <w:sz w:val="24"/>
          <w:szCs w:val="24"/>
        </w:rPr>
        <w:t xml:space="preserve"> been engaging with the respondents since </w:t>
      </w:r>
      <w:r w:rsidR="00F64016" w:rsidRPr="00BE38D7">
        <w:rPr>
          <w:rFonts w:ascii="Arial" w:hAnsi="Arial" w:cs="Arial"/>
          <w:sz w:val="24"/>
          <w:szCs w:val="24"/>
        </w:rPr>
        <w:t>2</w:t>
      </w:r>
      <w:r w:rsidR="00EE1CDD" w:rsidRPr="00BE38D7">
        <w:rPr>
          <w:rFonts w:ascii="Arial" w:hAnsi="Arial" w:cs="Arial"/>
          <w:sz w:val="24"/>
          <w:szCs w:val="24"/>
        </w:rPr>
        <w:t>007 about MON8746</w:t>
      </w:r>
      <w:r w:rsidR="003271A7" w:rsidRPr="00BE38D7">
        <w:rPr>
          <w:rFonts w:ascii="Arial" w:hAnsi="Arial" w:cs="Arial"/>
          <w:sz w:val="24"/>
          <w:szCs w:val="24"/>
        </w:rPr>
        <w:t xml:space="preserve"> and </w:t>
      </w:r>
      <w:r w:rsidR="00FE2A87" w:rsidRPr="00BE38D7">
        <w:rPr>
          <w:rFonts w:ascii="Arial" w:hAnsi="Arial" w:cs="Arial"/>
          <w:sz w:val="24"/>
          <w:szCs w:val="24"/>
        </w:rPr>
        <w:t>says that</w:t>
      </w:r>
      <w:r w:rsidR="00CF2D4C" w:rsidRPr="00BE38D7">
        <w:rPr>
          <w:rFonts w:ascii="Arial" w:hAnsi="Arial" w:cs="Arial"/>
          <w:sz w:val="24"/>
          <w:szCs w:val="24"/>
        </w:rPr>
        <w:t xml:space="preserve">, </w:t>
      </w:r>
      <w:r w:rsidR="00E17D9D" w:rsidRPr="00BE38D7">
        <w:rPr>
          <w:rFonts w:ascii="Arial" w:hAnsi="Arial" w:cs="Arial"/>
          <w:sz w:val="24"/>
          <w:szCs w:val="24"/>
        </w:rPr>
        <w:t>because of</w:t>
      </w:r>
      <w:r w:rsidR="003271A7" w:rsidRPr="00BE38D7">
        <w:rPr>
          <w:rFonts w:ascii="Arial" w:hAnsi="Arial" w:cs="Arial"/>
          <w:sz w:val="24"/>
          <w:szCs w:val="24"/>
        </w:rPr>
        <w:t xml:space="preserve"> </w:t>
      </w:r>
      <w:r w:rsidR="00CF2D4C" w:rsidRPr="00BE38D7">
        <w:rPr>
          <w:rFonts w:ascii="Arial" w:hAnsi="Arial" w:cs="Arial"/>
          <w:sz w:val="24"/>
          <w:szCs w:val="24"/>
        </w:rPr>
        <w:t>this, it</w:t>
      </w:r>
      <w:r w:rsidR="00963AF6" w:rsidRPr="00BE38D7">
        <w:rPr>
          <w:rFonts w:ascii="Arial" w:hAnsi="Arial" w:cs="Arial"/>
          <w:sz w:val="24"/>
          <w:szCs w:val="24"/>
        </w:rPr>
        <w:t xml:space="preserve"> should have been notified specifically</w:t>
      </w:r>
      <w:r w:rsidR="00EE1CDD" w:rsidRPr="00BE38D7">
        <w:rPr>
          <w:rFonts w:ascii="Arial" w:hAnsi="Arial" w:cs="Arial"/>
          <w:sz w:val="24"/>
          <w:szCs w:val="24"/>
        </w:rPr>
        <w:t xml:space="preserve">. </w:t>
      </w:r>
      <w:r w:rsidR="00E75F74" w:rsidRPr="00BE38D7">
        <w:rPr>
          <w:rFonts w:ascii="Arial" w:hAnsi="Arial" w:cs="Arial"/>
          <w:sz w:val="24"/>
          <w:szCs w:val="24"/>
        </w:rPr>
        <w:t xml:space="preserve">Regulation 9 of the GMO </w:t>
      </w:r>
      <w:r w:rsidR="00566475" w:rsidRPr="00BE38D7">
        <w:rPr>
          <w:rFonts w:ascii="Arial" w:hAnsi="Arial" w:cs="Arial"/>
          <w:sz w:val="24"/>
          <w:szCs w:val="24"/>
        </w:rPr>
        <w:t>Regulations</w:t>
      </w:r>
      <w:r w:rsidR="00E75F74" w:rsidRPr="00BE38D7">
        <w:rPr>
          <w:rFonts w:ascii="Arial" w:hAnsi="Arial" w:cs="Arial"/>
          <w:sz w:val="24"/>
          <w:szCs w:val="24"/>
        </w:rPr>
        <w:t xml:space="preserve"> prescribes the process for public participation</w:t>
      </w:r>
      <w:r w:rsidR="00566475" w:rsidRPr="00BE38D7">
        <w:rPr>
          <w:rFonts w:ascii="Arial" w:hAnsi="Arial" w:cs="Arial"/>
          <w:sz w:val="24"/>
          <w:szCs w:val="24"/>
        </w:rPr>
        <w:t xml:space="preserve"> for</w:t>
      </w:r>
      <w:r w:rsidR="0046473F" w:rsidRPr="00BE38D7">
        <w:rPr>
          <w:rFonts w:ascii="Arial" w:hAnsi="Arial" w:cs="Arial"/>
          <w:sz w:val="24"/>
          <w:szCs w:val="24"/>
        </w:rPr>
        <w:t xml:space="preserve"> the</w:t>
      </w:r>
      <w:r w:rsidR="00E75F74" w:rsidRPr="00BE38D7">
        <w:rPr>
          <w:rFonts w:ascii="Arial" w:hAnsi="Arial" w:cs="Arial"/>
          <w:sz w:val="24"/>
          <w:szCs w:val="24"/>
        </w:rPr>
        <w:t xml:space="preserve"> general release of a </w:t>
      </w:r>
      <w:r w:rsidR="00566475" w:rsidRPr="00BE38D7">
        <w:rPr>
          <w:rFonts w:ascii="Arial" w:hAnsi="Arial" w:cs="Arial"/>
          <w:sz w:val="24"/>
          <w:szCs w:val="24"/>
        </w:rPr>
        <w:t>GMO</w:t>
      </w:r>
      <w:r w:rsidR="007F181B" w:rsidRPr="00BE38D7">
        <w:rPr>
          <w:rFonts w:ascii="Arial" w:hAnsi="Arial" w:cs="Arial"/>
          <w:sz w:val="24"/>
          <w:szCs w:val="24"/>
        </w:rPr>
        <w:t>.</w:t>
      </w:r>
      <w:r w:rsidR="00E75F74" w:rsidRPr="00BE38D7">
        <w:rPr>
          <w:rFonts w:ascii="Arial" w:hAnsi="Arial" w:cs="Arial"/>
          <w:sz w:val="24"/>
          <w:szCs w:val="24"/>
        </w:rPr>
        <w:t xml:space="preserve"> </w:t>
      </w:r>
      <w:r w:rsidR="007F181B" w:rsidRPr="00BE38D7">
        <w:rPr>
          <w:rFonts w:ascii="Arial" w:hAnsi="Arial" w:cs="Arial"/>
          <w:sz w:val="24"/>
          <w:szCs w:val="24"/>
        </w:rPr>
        <w:t>T</w:t>
      </w:r>
      <w:r w:rsidR="00E75F74" w:rsidRPr="00BE38D7">
        <w:rPr>
          <w:rFonts w:ascii="Arial" w:hAnsi="Arial" w:cs="Arial"/>
          <w:sz w:val="24"/>
          <w:szCs w:val="24"/>
        </w:rPr>
        <w:t xml:space="preserve">he </w:t>
      </w:r>
      <w:r w:rsidR="00566475" w:rsidRPr="00BE38D7">
        <w:rPr>
          <w:rFonts w:ascii="Arial" w:hAnsi="Arial" w:cs="Arial"/>
          <w:sz w:val="24"/>
          <w:szCs w:val="24"/>
        </w:rPr>
        <w:t>process is</w:t>
      </w:r>
      <w:r w:rsidR="00E75F74" w:rsidRPr="00BE38D7">
        <w:rPr>
          <w:rFonts w:ascii="Arial" w:hAnsi="Arial" w:cs="Arial"/>
          <w:sz w:val="24"/>
          <w:szCs w:val="24"/>
        </w:rPr>
        <w:t xml:space="preserve"> the following:</w:t>
      </w:r>
    </w:p>
    <w:p w14:paraId="247F8BDD" w14:textId="77777777" w:rsidR="00E75F74" w:rsidRPr="00E75F74" w:rsidRDefault="00E75F74" w:rsidP="00E75F74">
      <w:pPr>
        <w:pStyle w:val="ListParagraph"/>
        <w:rPr>
          <w:rFonts w:ascii="Arial" w:hAnsi="Arial" w:cs="Arial"/>
          <w:sz w:val="24"/>
          <w:szCs w:val="24"/>
        </w:rPr>
      </w:pPr>
    </w:p>
    <w:p w14:paraId="4C256BCF" w14:textId="39032BC0" w:rsidR="00E75F74" w:rsidRPr="00BE38D7" w:rsidRDefault="00BE38D7" w:rsidP="00BE38D7">
      <w:pPr>
        <w:spacing w:line="360" w:lineRule="auto"/>
        <w:ind w:left="1250" w:hanging="530"/>
        <w:jc w:val="both"/>
        <w:rPr>
          <w:rFonts w:ascii="Arial" w:hAnsi="Arial" w:cs="Arial"/>
          <w:sz w:val="24"/>
          <w:szCs w:val="24"/>
        </w:rPr>
      </w:pPr>
      <w:r>
        <w:rPr>
          <w:rFonts w:ascii="Arial" w:hAnsi="Arial" w:cs="Arial"/>
          <w:sz w:val="24"/>
          <w:szCs w:val="24"/>
        </w:rPr>
        <w:t>21.1</w:t>
      </w:r>
      <w:r>
        <w:rPr>
          <w:rFonts w:ascii="Arial" w:hAnsi="Arial" w:cs="Arial"/>
          <w:sz w:val="24"/>
          <w:szCs w:val="24"/>
        </w:rPr>
        <w:tab/>
      </w:r>
      <w:r w:rsidR="007F181B" w:rsidRPr="00BE38D7">
        <w:rPr>
          <w:rFonts w:ascii="Arial" w:hAnsi="Arial" w:cs="Arial"/>
          <w:sz w:val="24"/>
          <w:szCs w:val="24"/>
        </w:rPr>
        <w:t>T</w:t>
      </w:r>
      <w:r w:rsidR="00E75F74" w:rsidRPr="00BE38D7">
        <w:rPr>
          <w:rFonts w:ascii="Arial" w:hAnsi="Arial" w:cs="Arial"/>
          <w:sz w:val="24"/>
          <w:szCs w:val="24"/>
        </w:rPr>
        <w:t xml:space="preserve">he proposed release must be advertised in three national </w:t>
      </w:r>
      <w:r w:rsidR="00976DBA" w:rsidRPr="00BE38D7">
        <w:rPr>
          <w:rFonts w:ascii="Arial" w:hAnsi="Arial" w:cs="Arial"/>
          <w:sz w:val="24"/>
          <w:szCs w:val="24"/>
        </w:rPr>
        <w:t>newspapers</w:t>
      </w:r>
      <w:r w:rsidR="00635700" w:rsidRPr="00BE38D7">
        <w:rPr>
          <w:rFonts w:ascii="Arial" w:hAnsi="Arial" w:cs="Arial"/>
          <w:sz w:val="24"/>
          <w:szCs w:val="24"/>
        </w:rPr>
        <w:t>;</w:t>
      </w:r>
      <w:r w:rsidR="00E75F74">
        <w:rPr>
          <w:rStyle w:val="FootnoteReference"/>
          <w:rFonts w:ascii="Arial" w:hAnsi="Arial" w:cs="Arial"/>
          <w:sz w:val="24"/>
          <w:szCs w:val="24"/>
        </w:rPr>
        <w:footnoteReference w:id="16"/>
      </w:r>
    </w:p>
    <w:p w14:paraId="52A5CBD3" w14:textId="27BD67B2" w:rsidR="00D02D91" w:rsidRPr="00BE38D7" w:rsidRDefault="00BE38D7" w:rsidP="00BE38D7">
      <w:pPr>
        <w:spacing w:line="360" w:lineRule="auto"/>
        <w:ind w:left="1250" w:hanging="530"/>
        <w:jc w:val="both"/>
        <w:rPr>
          <w:rFonts w:ascii="Arial" w:hAnsi="Arial" w:cs="Arial"/>
          <w:sz w:val="24"/>
          <w:szCs w:val="24"/>
        </w:rPr>
      </w:pPr>
      <w:r>
        <w:rPr>
          <w:rFonts w:ascii="Arial" w:hAnsi="Arial" w:cs="Arial"/>
          <w:sz w:val="24"/>
          <w:szCs w:val="24"/>
        </w:rPr>
        <w:t>21.2</w:t>
      </w:r>
      <w:r>
        <w:rPr>
          <w:rFonts w:ascii="Arial" w:hAnsi="Arial" w:cs="Arial"/>
          <w:sz w:val="24"/>
          <w:szCs w:val="24"/>
        </w:rPr>
        <w:tab/>
      </w:r>
      <w:r w:rsidR="007F181B" w:rsidRPr="00BE38D7">
        <w:rPr>
          <w:rFonts w:ascii="Arial" w:hAnsi="Arial" w:cs="Arial"/>
          <w:sz w:val="24"/>
          <w:szCs w:val="24"/>
        </w:rPr>
        <w:t>C</w:t>
      </w:r>
      <w:r w:rsidR="00832C3E" w:rsidRPr="00BE38D7">
        <w:rPr>
          <w:rFonts w:ascii="Arial" w:hAnsi="Arial" w:cs="Arial"/>
          <w:sz w:val="24"/>
          <w:szCs w:val="24"/>
        </w:rPr>
        <w:t>ertain particulars must be included in the notice;</w:t>
      </w:r>
      <w:r w:rsidR="00832C3E">
        <w:rPr>
          <w:rStyle w:val="FootnoteReference"/>
          <w:rFonts w:ascii="Arial" w:hAnsi="Arial" w:cs="Arial"/>
          <w:sz w:val="24"/>
          <w:szCs w:val="24"/>
        </w:rPr>
        <w:footnoteReference w:id="17"/>
      </w:r>
    </w:p>
    <w:p w14:paraId="3D893F82" w14:textId="7A91ACB8" w:rsidR="00D02D91" w:rsidRPr="00BE38D7" w:rsidRDefault="00BE38D7" w:rsidP="00BE38D7">
      <w:pPr>
        <w:spacing w:line="360" w:lineRule="auto"/>
        <w:ind w:left="1250" w:hanging="530"/>
        <w:jc w:val="both"/>
        <w:rPr>
          <w:rFonts w:ascii="Arial" w:hAnsi="Arial" w:cs="Arial"/>
          <w:sz w:val="24"/>
          <w:szCs w:val="24"/>
        </w:rPr>
      </w:pPr>
      <w:r>
        <w:rPr>
          <w:rFonts w:ascii="Arial" w:hAnsi="Arial" w:cs="Arial"/>
          <w:sz w:val="24"/>
          <w:szCs w:val="24"/>
        </w:rPr>
        <w:t>21.3</w:t>
      </w:r>
      <w:r>
        <w:rPr>
          <w:rFonts w:ascii="Arial" w:hAnsi="Arial" w:cs="Arial"/>
          <w:sz w:val="24"/>
          <w:szCs w:val="24"/>
        </w:rPr>
        <w:tab/>
      </w:r>
      <w:r w:rsidR="004B7A72" w:rsidRPr="00BE38D7">
        <w:rPr>
          <w:rFonts w:ascii="Arial" w:hAnsi="Arial" w:cs="Arial"/>
          <w:sz w:val="24"/>
          <w:szCs w:val="24"/>
        </w:rPr>
        <w:t>T</w:t>
      </w:r>
      <w:r w:rsidR="00460741" w:rsidRPr="00BE38D7">
        <w:rPr>
          <w:rFonts w:ascii="Arial" w:hAnsi="Arial" w:cs="Arial"/>
          <w:sz w:val="24"/>
          <w:szCs w:val="24"/>
        </w:rPr>
        <w:t>he notice must indicate that any interested party may submit comments or objections within a period of not less than 30 days;</w:t>
      </w:r>
      <w:r w:rsidR="00460741">
        <w:rPr>
          <w:rStyle w:val="FootnoteReference"/>
          <w:rFonts w:ascii="Arial" w:hAnsi="Arial" w:cs="Arial"/>
          <w:sz w:val="24"/>
          <w:szCs w:val="24"/>
        </w:rPr>
        <w:footnoteReference w:id="18"/>
      </w:r>
    </w:p>
    <w:p w14:paraId="5556409B" w14:textId="6F83718C" w:rsidR="00DA2E6B" w:rsidRPr="00BE38D7" w:rsidRDefault="00BE38D7" w:rsidP="00BE38D7">
      <w:pPr>
        <w:spacing w:line="360" w:lineRule="auto"/>
        <w:ind w:left="1250" w:hanging="530"/>
        <w:jc w:val="both"/>
        <w:rPr>
          <w:rFonts w:ascii="Arial" w:hAnsi="Arial" w:cs="Arial"/>
          <w:sz w:val="24"/>
          <w:szCs w:val="24"/>
        </w:rPr>
      </w:pPr>
      <w:r w:rsidRPr="00D02D91">
        <w:rPr>
          <w:rFonts w:ascii="Arial" w:hAnsi="Arial" w:cs="Arial"/>
          <w:sz w:val="24"/>
          <w:szCs w:val="24"/>
        </w:rPr>
        <w:t>21.4</w:t>
      </w:r>
      <w:r w:rsidRPr="00D02D91">
        <w:rPr>
          <w:rFonts w:ascii="Arial" w:hAnsi="Arial" w:cs="Arial"/>
          <w:sz w:val="24"/>
          <w:szCs w:val="24"/>
        </w:rPr>
        <w:tab/>
      </w:r>
      <w:r w:rsidR="002864B7" w:rsidRPr="00BE38D7">
        <w:rPr>
          <w:rFonts w:ascii="Arial" w:hAnsi="Arial" w:cs="Arial"/>
          <w:sz w:val="24"/>
          <w:szCs w:val="24"/>
        </w:rPr>
        <w:t>A</w:t>
      </w:r>
      <w:r w:rsidR="00DA2E6B" w:rsidRPr="00BE38D7">
        <w:rPr>
          <w:rFonts w:ascii="Arial" w:hAnsi="Arial" w:cs="Arial"/>
          <w:sz w:val="24"/>
          <w:szCs w:val="24"/>
        </w:rPr>
        <w:t xml:space="preserve">ny comments or objections </w:t>
      </w:r>
      <w:r w:rsidR="00566475" w:rsidRPr="00BE38D7">
        <w:rPr>
          <w:rFonts w:ascii="Arial" w:hAnsi="Arial" w:cs="Arial"/>
          <w:sz w:val="24"/>
          <w:szCs w:val="24"/>
        </w:rPr>
        <w:t>received</w:t>
      </w:r>
      <w:r w:rsidR="00DA2E6B" w:rsidRPr="00BE38D7">
        <w:rPr>
          <w:rFonts w:ascii="Arial" w:hAnsi="Arial" w:cs="Arial"/>
          <w:sz w:val="24"/>
          <w:szCs w:val="24"/>
        </w:rPr>
        <w:t xml:space="preserve"> must be referred to the EC</w:t>
      </w:r>
      <w:r w:rsidR="00BC3B0B" w:rsidRPr="00BE38D7">
        <w:rPr>
          <w:rFonts w:ascii="Arial" w:hAnsi="Arial" w:cs="Arial"/>
          <w:sz w:val="24"/>
          <w:szCs w:val="24"/>
        </w:rPr>
        <w:t>.</w:t>
      </w:r>
      <w:r w:rsidR="00DA2E6B">
        <w:rPr>
          <w:rStyle w:val="FootnoteReference"/>
          <w:rFonts w:ascii="Arial" w:hAnsi="Arial" w:cs="Arial"/>
          <w:sz w:val="24"/>
          <w:szCs w:val="24"/>
        </w:rPr>
        <w:footnoteReference w:id="19"/>
      </w:r>
    </w:p>
    <w:p w14:paraId="68F9671A" w14:textId="77777777" w:rsidR="00D02D91" w:rsidRDefault="00D02D91" w:rsidP="00D02D91">
      <w:pPr>
        <w:spacing w:line="360" w:lineRule="auto"/>
        <w:jc w:val="both"/>
        <w:rPr>
          <w:rFonts w:ascii="Arial" w:hAnsi="Arial" w:cs="Arial"/>
          <w:sz w:val="24"/>
          <w:szCs w:val="24"/>
        </w:rPr>
      </w:pPr>
    </w:p>
    <w:p w14:paraId="42F546C2" w14:textId="4767112B" w:rsidR="00D02D91"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22.</w:t>
      </w:r>
      <w:r>
        <w:rPr>
          <w:rFonts w:ascii="Arial" w:hAnsi="Arial" w:cs="Arial"/>
          <w:color w:val="000000" w:themeColor="text1"/>
          <w:sz w:val="24"/>
          <w:szCs w:val="24"/>
        </w:rPr>
        <w:tab/>
      </w:r>
      <w:r w:rsidR="006E09D7" w:rsidRPr="00BE38D7">
        <w:rPr>
          <w:rFonts w:ascii="Arial" w:hAnsi="Arial" w:cs="Arial"/>
          <w:sz w:val="24"/>
          <w:szCs w:val="24"/>
        </w:rPr>
        <w:t>I</w:t>
      </w:r>
      <w:r w:rsidR="00B76A94" w:rsidRPr="00BE38D7">
        <w:rPr>
          <w:rFonts w:ascii="Arial" w:hAnsi="Arial" w:cs="Arial"/>
          <w:sz w:val="24"/>
          <w:szCs w:val="24"/>
        </w:rPr>
        <w:t>t</w:t>
      </w:r>
      <w:r w:rsidR="006E09D7" w:rsidRPr="00BE38D7">
        <w:rPr>
          <w:rFonts w:ascii="Arial" w:hAnsi="Arial" w:cs="Arial"/>
          <w:sz w:val="24"/>
          <w:szCs w:val="24"/>
        </w:rPr>
        <w:t xml:space="preserve"> </w:t>
      </w:r>
      <w:r w:rsidR="00902AA1" w:rsidRPr="00BE38D7">
        <w:rPr>
          <w:rFonts w:ascii="Arial" w:hAnsi="Arial" w:cs="Arial"/>
          <w:sz w:val="24"/>
          <w:szCs w:val="24"/>
        </w:rPr>
        <w:t>was alleged</w:t>
      </w:r>
      <w:r w:rsidR="00234825" w:rsidRPr="00BE38D7">
        <w:rPr>
          <w:rFonts w:ascii="Arial" w:hAnsi="Arial" w:cs="Arial"/>
          <w:sz w:val="24"/>
          <w:szCs w:val="24"/>
        </w:rPr>
        <w:t xml:space="preserve"> that it </w:t>
      </w:r>
      <w:r w:rsidR="00B76A94" w:rsidRPr="00BE38D7">
        <w:rPr>
          <w:rFonts w:ascii="Arial" w:hAnsi="Arial" w:cs="Arial"/>
          <w:sz w:val="24"/>
          <w:szCs w:val="24"/>
        </w:rPr>
        <w:t xml:space="preserve">has not been established that the application was advertised in three national newspapers. However public notices </w:t>
      </w:r>
      <w:r w:rsidR="00AA600C" w:rsidRPr="00BE38D7">
        <w:rPr>
          <w:rFonts w:ascii="Arial" w:hAnsi="Arial" w:cs="Arial"/>
          <w:sz w:val="24"/>
          <w:szCs w:val="24"/>
        </w:rPr>
        <w:t xml:space="preserve">were </w:t>
      </w:r>
      <w:r w:rsidR="00566475" w:rsidRPr="00BE38D7">
        <w:rPr>
          <w:rFonts w:ascii="Arial" w:hAnsi="Arial" w:cs="Arial"/>
          <w:sz w:val="24"/>
          <w:szCs w:val="24"/>
        </w:rPr>
        <w:t>published</w:t>
      </w:r>
      <w:r w:rsidR="00AA600C" w:rsidRPr="00BE38D7">
        <w:rPr>
          <w:rFonts w:ascii="Arial" w:hAnsi="Arial" w:cs="Arial"/>
          <w:sz w:val="24"/>
          <w:szCs w:val="24"/>
        </w:rPr>
        <w:t xml:space="preserve"> in the Beeld on the 25</w:t>
      </w:r>
      <w:r w:rsidR="00AA600C" w:rsidRPr="00BE38D7">
        <w:rPr>
          <w:rFonts w:ascii="Arial" w:hAnsi="Arial" w:cs="Arial"/>
          <w:sz w:val="24"/>
          <w:szCs w:val="24"/>
          <w:vertAlign w:val="superscript"/>
        </w:rPr>
        <w:t>th</w:t>
      </w:r>
      <w:r w:rsidR="00AA600C" w:rsidRPr="00BE38D7">
        <w:rPr>
          <w:rFonts w:ascii="Arial" w:hAnsi="Arial" w:cs="Arial"/>
          <w:sz w:val="24"/>
          <w:szCs w:val="24"/>
        </w:rPr>
        <w:t xml:space="preserve"> of March 2014, </w:t>
      </w:r>
      <w:r w:rsidR="00E07DB8" w:rsidRPr="00BE38D7">
        <w:rPr>
          <w:rFonts w:ascii="Arial" w:hAnsi="Arial" w:cs="Arial"/>
          <w:sz w:val="24"/>
          <w:szCs w:val="24"/>
        </w:rPr>
        <w:t>Business Day</w:t>
      </w:r>
      <w:r w:rsidR="00AA600C" w:rsidRPr="00BE38D7">
        <w:rPr>
          <w:rFonts w:ascii="Arial" w:hAnsi="Arial" w:cs="Arial"/>
          <w:sz w:val="24"/>
          <w:szCs w:val="24"/>
        </w:rPr>
        <w:t xml:space="preserve"> on the 26</w:t>
      </w:r>
      <w:r w:rsidR="00AA600C" w:rsidRPr="00BE38D7">
        <w:rPr>
          <w:rFonts w:ascii="Arial" w:hAnsi="Arial" w:cs="Arial"/>
          <w:sz w:val="24"/>
          <w:szCs w:val="24"/>
          <w:vertAlign w:val="superscript"/>
        </w:rPr>
        <w:t>th</w:t>
      </w:r>
      <w:r w:rsidR="00AA600C" w:rsidRPr="00BE38D7">
        <w:rPr>
          <w:rFonts w:ascii="Arial" w:hAnsi="Arial" w:cs="Arial"/>
          <w:sz w:val="24"/>
          <w:szCs w:val="24"/>
        </w:rPr>
        <w:t xml:space="preserve"> of Match 2014 and Rapport of 3 April 2014. In the replying affidavit, ACB </w:t>
      </w:r>
      <w:r w:rsidR="00E8237F" w:rsidRPr="00BE38D7">
        <w:rPr>
          <w:rFonts w:ascii="Arial" w:hAnsi="Arial" w:cs="Arial"/>
          <w:sz w:val="24"/>
          <w:szCs w:val="24"/>
        </w:rPr>
        <w:t>explained that</w:t>
      </w:r>
      <w:r w:rsidR="00AA600C" w:rsidRPr="00BE38D7">
        <w:rPr>
          <w:rFonts w:ascii="Arial" w:hAnsi="Arial" w:cs="Arial"/>
          <w:sz w:val="24"/>
          <w:szCs w:val="24"/>
        </w:rPr>
        <w:t xml:space="preserve"> it did not become aware of the notices due to the </w:t>
      </w:r>
      <w:r w:rsidR="00566475" w:rsidRPr="00BE38D7">
        <w:rPr>
          <w:rFonts w:ascii="Arial" w:hAnsi="Arial" w:cs="Arial"/>
          <w:sz w:val="24"/>
          <w:szCs w:val="24"/>
        </w:rPr>
        <w:t>constraints</w:t>
      </w:r>
      <w:r w:rsidR="00AA600C" w:rsidRPr="00BE38D7">
        <w:rPr>
          <w:rFonts w:ascii="Arial" w:hAnsi="Arial" w:cs="Arial"/>
          <w:sz w:val="24"/>
          <w:szCs w:val="24"/>
        </w:rPr>
        <w:t xml:space="preserve"> it operates </w:t>
      </w:r>
      <w:r w:rsidR="00566475" w:rsidRPr="00BE38D7">
        <w:rPr>
          <w:rFonts w:ascii="Arial" w:hAnsi="Arial" w:cs="Arial"/>
          <w:sz w:val="24"/>
          <w:szCs w:val="24"/>
        </w:rPr>
        <w:t>under</w:t>
      </w:r>
      <w:r w:rsidR="00AA600C" w:rsidRPr="00BE38D7">
        <w:rPr>
          <w:rFonts w:ascii="Arial" w:hAnsi="Arial" w:cs="Arial"/>
          <w:sz w:val="24"/>
          <w:szCs w:val="24"/>
        </w:rPr>
        <w:t xml:space="preserve">. There was no </w:t>
      </w:r>
      <w:r w:rsidR="00E8237F" w:rsidRPr="00BE38D7">
        <w:rPr>
          <w:rFonts w:ascii="Arial" w:hAnsi="Arial" w:cs="Arial"/>
          <w:sz w:val="24"/>
          <w:szCs w:val="24"/>
        </w:rPr>
        <w:t>attempt, during</w:t>
      </w:r>
      <w:r w:rsidR="00526FBA" w:rsidRPr="00BE38D7">
        <w:rPr>
          <w:rFonts w:ascii="Arial" w:hAnsi="Arial" w:cs="Arial"/>
          <w:sz w:val="24"/>
          <w:szCs w:val="24"/>
        </w:rPr>
        <w:t xml:space="preserve"> argument</w:t>
      </w:r>
      <w:r w:rsidR="00E8237F" w:rsidRPr="00BE38D7">
        <w:rPr>
          <w:rFonts w:ascii="Arial" w:hAnsi="Arial" w:cs="Arial"/>
          <w:sz w:val="24"/>
          <w:szCs w:val="24"/>
        </w:rPr>
        <w:t>,</w:t>
      </w:r>
      <w:r w:rsidR="00AA600C" w:rsidRPr="00BE38D7">
        <w:rPr>
          <w:rFonts w:ascii="Arial" w:hAnsi="Arial" w:cs="Arial"/>
          <w:sz w:val="24"/>
          <w:szCs w:val="24"/>
        </w:rPr>
        <w:t xml:space="preserve"> to deny that the </w:t>
      </w:r>
      <w:r w:rsidR="00CD2FC2" w:rsidRPr="00BE38D7">
        <w:rPr>
          <w:rFonts w:ascii="Arial" w:hAnsi="Arial" w:cs="Arial"/>
          <w:sz w:val="24"/>
          <w:szCs w:val="24"/>
        </w:rPr>
        <w:t>publications</w:t>
      </w:r>
      <w:r w:rsidR="004056E0" w:rsidRPr="00BE38D7">
        <w:rPr>
          <w:rFonts w:ascii="Arial" w:hAnsi="Arial" w:cs="Arial"/>
          <w:sz w:val="24"/>
          <w:szCs w:val="24"/>
        </w:rPr>
        <w:t xml:space="preserve"> referred to</w:t>
      </w:r>
      <w:r w:rsidR="002C4EC4" w:rsidRPr="00BE38D7">
        <w:rPr>
          <w:rFonts w:ascii="Arial" w:hAnsi="Arial" w:cs="Arial"/>
          <w:sz w:val="24"/>
          <w:szCs w:val="24"/>
        </w:rPr>
        <w:t>,</w:t>
      </w:r>
      <w:r w:rsidR="00AA600C" w:rsidRPr="00BE38D7">
        <w:rPr>
          <w:rFonts w:ascii="Arial" w:hAnsi="Arial" w:cs="Arial"/>
          <w:sz w:val="24"/>
          <w:szCs w:val="24"/>
        </w:rPr>
        <w:t xml:space="preserve"> are national publications</w:t>
      </w:r>
      <w:r w:rsidR="003F1AEC" w:rsidRPr="00BE38D7">
        <w:rPr>
          <w:rFonts w:ascii="Arial" w:hAnsi="Arial" w:cs="Arial"/>
          <w:sz w:val="24"/>
          <w:szCs w:val="24"/>
        </w:rPr>
        <w:t>,</w:t>
      </w:r>
      <w:r w:rsidR="00AF274F" w:rsidRPr="00BE38D7">
        <w:rPr>
          <w:rFonts w:ascii="Arial" w:hAnsi="Arial" w:cs="Arial"/>
          <w:sz w:val="24"/>
          <w:szCs w:val="24"/>
        </w:rPr>
        <w:t xml:space="preserve"> or that the notification itself suffered from any defects.</w:t>
      </w:r>
      <w:r w:rsidR="00AA600C" w:rsidRPr="00BE38D7">
        <w:rPr>
          <w:rFonts w:ascii="Arial" w:hAnsi="Arial" w:cs="Arial"/>
          <w:sz w:val="24"/>
          <w:szCs w:val="24"/>
        </w:rPr>
        <w:t xml:space="preserve"> Even if o</w:t>
      </w:r>
      <w:r w:rsidR="004D652A" w:rsidRPr="00BE38D7">
        <w:rPr>
          <w:rFonts w:ascii="Arial" w:hAnsi="Arial" w:cs="Arial"/>
          <w:sz w:val="24"/>
          <w:szCs w:val="24"/>
        </w:rPr>
        <w:t>ne</w:t>
      </w:r>
      <w:r w:rsidR="007B3BE9" w:rsidRPr="00BE38D7">
        <w:rPr>
          <w:rFonts w:ascii="Arial" w:hAnsi="Arial" w:cs="Arial"/>
          <w:sz w:val="24"/>
          <w:szCs w:val="24"/>
        </w:rPr>
        <w:t xml:space="preserve"> is of </w:t>
      </w:r>
      <w:r w:rsidR="00AA600C" w:rsidRPr="00BE38D7">
        <w:rPr>
          <w:rFonts w:ascii="Arial" w:hAnsi="Arial" w:cs="Arial"/>
          <w:sz w:val="24"/>
          <w:szCs w:val="24"/>
        </w:rPr>
        <w:t>the view</w:t>
      </w:r>
      <w:r w:rsidR="007B3BE9" w:rsidRPr="00BE38D7">
        <w:rPr>
          <w:rFonts w:ascii="Arial" w:hAnsi="Arial" w:cs="Arial"/>
          <w:sz w:val="24"/>
          <w:szCs w:val="24"/>
        </w:rPr>
        <w:t>,</w:t>
      </w:r>
      <w:r w:rsidR="00AA600C" w:rsidRPr="00BE38D7">
        <w:rPr>
          <w:rFonts w:ascii="Arial" w:hAnsi="Arial" w:cs="Arial"/>
          <w:sz w:val="24"/>
          <w:szCs w:val="24"/>
        </w:rPr>
        <w:t xml:space="preserve"> that in the </w:t>
      </w:r>
      <w:r w:rsidR="00052BE3" w:rsidRPr="00BE38D7">
        <w:rPr>
          <w:rFonts w:ascii="Arial" w:hAnsi="Arial" w:cs="Arial"/>
          <w:sz w:val="24"/>
          <w:szCs w:val="24"/>
        </w:rPr>
        <w:t>light</w:t>
      </w:r>
      <w:r w:rsidR="00AA600C" w:rsidRPr="00BE38D7">
        <w:rPr>
          <w:rFonts w:ascii="Arial" w:hAnsi="Arial" w:cs="Arial"/>
          <w:sz w:val="24"/>
          <w:szCs w:val="24"/>
        </w:rPr>
        <w:t xml:space="preserve"> of the longstanding </w:t>
      </w:r>
      <w:r w:rsidR="00052BE3" w:rsidRPr="00BE38D7">
        <w:rPr>
          <w:rFonts w:ascii="Arial" w:hAnsi="Arial" w:cs="Arial"/>
          <w:sz w:val="24"/>
          <w:szCs w:val="24"/>
        </w:rPr>
        <w:t>opposition</w:t>
      </w:r>
      <w:r w:rsidR="00AA600C" w:rsidRPr="00BE38D7">
        <w:rPr>
          <w:rFonts w:ascii="Arial" w:hAnsi="Arial" w:cs="Arial"/>
          <w:sz w:val="24"/>
          <w:szCs w:val="24"/>
        </w:rPr>
        <w:t xml:space="preserve"> of ACB to the </w:t>
      </w:r>
      <w:r w:rsidR="00052BE3" w:rsidRPr="00BE38D7">
        <w:rPr>
          <w:rFonts w:ascii="Arial" w:hAnsi="Arial" w:cs="Arial"/>
          <w:sz w:val="24"/>
          <w:szCs w:val="24"/>
        </w:rPr>
        <w:t>release</w:t>
      </w:r>
      <w:r w:rsidR="00AA600C" w:rsidRPr="00BE38D7">
        <w:rPr>
          <w:rFonts w:ascii="Arial" w:hAnsi="Arial" w:cs="Arial"/>
          <w:sz w:val="24"/>
          <w:szCs w:val="24"/>
        </w:rPr>
        <w:t xml:space="preserve"> of MON87460, direct notice should idea</w:t>
      </w:r>
      <w:r w:rsidR="00052BE3" w:rsidRPr="00BE38D7">
        <w:rPr>
          <w:rFonts w:ascii="Arial" w:hAnsi="Arial" w:cs="Arial"/>
          <w:sz w:val="24"/>
          <w:szCs w:val="24"/>
        </w:rPr>
        <w:t>lly have been g</w:t>
      </w:r>
      <w:r w:rsidR="00AA600C" w:rsidRPr="00BE38D7">
        <w:rPr>
          <w:rFonts w:ascii="Arial" w:hAnsi="Arial" w:cs="Arial"/>
          <w:sz w:val="24"/>
          <w:szCs w:val="24"/>
        </w:rPr>
        <w:t xml:space="preserve">iven to it, ACB failed to establish </w:t>
      </w:r>
      <w:r w:rsidR="006D406C" w:rsidRPr="00BE38D7">
        <w:rPr>
          <w:rFonts w:ascii="Arial" w:hAnsi="Arial" w:cs="Arial"/>
          <w:sz w:val="24"/>
          <w:szCs w:val="24"/>
        </w:rPr>
        <w:t>that Regulation</w:t>
      </w:r>
      <w:r w:rsidR="00AA600C" w:rsidRPr="00BE38D7">
        <w:rPr>
          <w:rFonts w:ascii="Arial" w:hAnsi="Arial" w:cs="Arial"/>
          <w:sz w:val="24"/>
          <w:szCs w:val="24"/>
        </w:rPr>
        <w:t xml:space="preserve"> 9 </w:t>
      </w:r>
      <w:r w:rsidR="000853EA" w:rsidRPr="00BE38D7">
        <w:rPr>
          <w:rFonts w:ascii="Arial" w:hAnsi="Arial" w:cs="Arial"/>
          <w:sz w:val="24"/>
          <w:szCs w:val="24"/>
        </w:rPr>
        <w:t>is</w:t>
      </w:r>
      <w:r w:rsidR="00AA600C" w:rsidRPr="00BE38D7">
        <w:rPr>
          <w:rFonts w:ascii="Arial" w:hAnsi="Arial" w:cs="Arial"/>
          <w:sz w:val="24"/>
          <w:szCs w:val="24"/>
        </w:rPr>
        <w:t xml:space="preserve"> unfair, nor did it </w:t>
      </w:r>
      <w:r w:rsidR="00052BE3" w:rsidRPr="00BE38D7">
        <w:rPr>
          <w:rFonts w:ascii="Arial" w:hAnsi="Arial" w:cs="Arial"/>
          <w:sz w:val="24"/>
          <w:szCs w:val="24"/>
        </w:rPr>
        <w:t>establish any statutory basis on which it was entitled to direct notice of the application.</w:t>
      </w:r>
    </w:p>
    <w:p w14:paraId="56A8530C" w14:textId="77777777" w:rsidR="00D02D91" w:rsidRDefault="00D02D91" w:rsidP="00D02D91">
      <w:pPr>
        <w:pStyle w:val="ListParagraph"/>
        <w:spacing w:line="360" w:lineRule="auto"/>
        <w:jc w:val="both"/>
        <w:rPr>
          <w:rFonts w:ascii="Arial" w:hAnsi="Arial" w:cs="Arial"/>
          <w:sz w:val="24"/>
          <w:szCs w:val="24"/>
        </w:rPr>
      </w:pPr>
    </w:p>
    <w:p w14:paraId="1286D3A5" w14:textId="154730BE" w:rsidR="00052BE3" w:rsidRPr="00BE38D7" w:rsidRDefault="00BE38D7" w:rsidP="00BE38D7">
      <w:pPr>
        <w:spacing w:line="360" w:lineRule="auto"/>
        <w:ind w:left="720" w:hanging="720"/>
        <w:jc w:val="both"/>
        <w:rPr>
          <w:rFonts w:ascii="Arial" w:hAnsi="Arial" w:cs="Arial"/>
          <w:sz w:val="24"/>
          <w:szCs w:val="24"/>
        </w:rPr>
      </w:pPr>
      <w:r w:rsidRPr="00D02D91">
        <w:rPr>
          <w:rFonts w:ascii="Arial" w:hAnsi="Arial" w:cs="Arial"/>
          <w:color w:val="000000" w:themeColor="text1"/>
          <w:sz w:val="24"/>
          <w:szCs w:val="24"/>
        </w:rPr>
        <w:t>23.</w:t>
      </w:r>
      <w:r w:rsidRPr="00D02D91">
        <w:rPr>
          <w:rFonts w:ascii="Arial" w:hAnsi="Arial" w:cs="Arial"/>
          <w:color w:val="000000" w:themeColor="text1"/>
          <w:sz w:val="24"/>
          <w:szCs w:val="24"/>
        </w:rPr>
        <w:tab/>
      </w:r>
      <w:r w:rsidR="00F93305" w:rsidRPr="00BE38D7">
        <w:rPr>
          <w:rFonts w:ascii="Arial" w:hAnsi="Arial" w:cs="Arial"/>
          <w:sz w:val="24"/>
          <w:szCs w:val="24"/>
        </w:rPr>
        <w:t>In any event,</w:t>
      </w:r>
      <w:r w:rsidR="00A356DC" w:rsidRPr="00BE38D7">
        <w:rPr>
          <w:rFonts w:ascii="Arial" w:hAnsi="Arial" w:cs="Arial"/>
          <w:sz w:val="24"/>
          <w:szCs w:val="24"/>
        </w:rPr>
        <w:t xml:space="preserve"> despite not having had the opportunity to sub</w:t>
      </w:r>
      <w:r w:rsidR="00EC523C" w:rsidRPr="00BE38D7">
        <w:rPr>
          <w:rFonts w:ascii="Arial" w:hAnsi="Arial" w:cs="Arial"/>
          <w:sz w:val="24"/>
          <w:szCs w:val="24"/>
        </w:rPr>
        <w:t>m</w:t>
      </w:r>
      <w:r w:rsidR="00A356DC" w:rsidRPr="00BE38D7">
        <w:rPr>
          <w:rFonts w:ascii="Arial" w:hAnsi="Arial" w:cs="Arial"/>
          <w:sz w:val="24"/>
          <w:szCs w:val="24"/>
        </w:rPr>
        <w:t xml:space="preserve">it submissions </w:t>
      </w:r>
      <w:r w:rsidR="00FE13A1" w:rsidRPr="00BE38D7">
        <w:rPr>
          <w:rFonts w:ascii="Arial" w:hAnsi="Arial" w:cs="Arial"/>
          <w:sz w:val="24"/>
          <w:szCs w:val="24"/>
        </w:rPr>
        <w:t>t</w:t>
      </w:r>
      <w:r w:rsidR="00A356DC" w:rsidRPr="00BE38D7">
        <w:rPr>
          <w:rFonts w:ascii="Arial" w:hAnsi="Arial" w:cs="Arial"/>
          <w:sz w:val="24"/>
          <w:szCs w:val="24"/>
        </w:rPr>
        <w:t>o the EC, this was eventually do</w:t>
      </w:r>
      <w:r w:rsidR="00FE13A1" w:rsidRPr="00BE38D7">
        <w:rPr>
          <w:rFonts w:ascii="Arial" w:hAnsi="Arial" w:cs="Arial"/>
          <w:sz w:val="24"/>
          <w:szCs w:val="24"/>
        </w:rPr>
        <w:t>ne</w:t>
      </w:r>
      <w:r w:rsidR="00A356DC" w:rsidRPr="00BE38D7">
        <w:rPr>
          <w:rFonts w:ascii="Arial" w:hAnsi="Arial" w:cs="Arial"/>
          <w:sz w:val="24"/>
          <w:szCs w:val="24"/>
        </w:rPr>
        <w:t xml:space="preserve"> when ACB submitted their </w:t>
      </w:r>
      <w:r w:rsidR="00EC523C" w:rsidRPr="00BE38D7">
        <w:rPr>
          <w:rFonts w:ascii="Arial" w:hAnsi="Arial" w:cs="Arial"/>
          <w:sz w:val="24"/>
          <w:szCs w:val="24"/>
        </w:rPr>
        <w:t>oppo</w:t>
      </w:r>
      <w:r w:rsidR="00A356DC" w:rsidRPr="00BE38D7">
        <w:rPr>
          <w:rFonts w:ascii="Arial" w:hAnsi="Arial" w:cs="Arial"/>
          <w:sz w:val="24"/>
          <w:szCs w:val="24"/>
        </w:rPr>
        <w:t xml:space="preserve">sition and submissions to the </w:t>
      </w:r>
      <w:r w:rsidR="00D21194" w:rsidRPr="00BE38D7">
        <w:rPr>
          <w:rFonts w:ascii="Arial" w:hAnsi="Arial" w:cs="Arial"/>
          <w:sz w:val="24"/>
          <w:szCs w:val="24"/>
        </w:rPr>
        <w:t xml:space="preserve">Appeal Board.  </w:t>
      </w:r>
      <w:r w:rsidR="00CD61F6" w:rsidRPr="00BE38D7">
        <w:rPr>
          <w:rFonts w:ascii="Arial" w:hAnsi="Arial" w:cs="Arial"/>
          <w:sz w:val="24"/>
          <w:szCs w:val="24"/>
        </w:rPr>
        <w:t>T</w:t>
      </w:r>
      <w:r w:rsidR="00D21194" w:rsidRPr="00BE38D7">
        <w:rPr>
          <w:rFonts w:ascii="Arial" w:hAnsi="Arial" w:cs="Arial"/>
          <w:sz w:val="24"/>
          <w:szCs w:val="24"/>
        </w:rPr>
        <w:t xml:space="preserve">he appeal is an appeal in the wide sense, </w:t>
      </w:r>
      <w:r w:rsidR="00EC523C" w:rsidRPr="00BE38D7">
        <w:rPr>
          <w:rFonts w:ascii="Arial" w:hAnsi="Arial" w:cs="Arial"/>
          <w:sz w:val="24"/>
          <w:szCs w:val="24"/>
        </w:rPr>
        <w:t>w</w:t>
      </w:r>
      <w:r w:rsidR="00D21194" w:rsidRPr="00BE38D7">
        <w:rPr>
          <w:rFonts w:ascii="Arial" w:hAnsi="Arial" w:cs="Arial"/>
          <w:sz w:val="24"/>
          <w:szCs w:val="24"/>
        </w:rPr>
        <w:t xml:space="preserve">hich </w:t>
      </w:r>
      <w:r w:rsidR="000B2D97" w:rsidRPr="00BE38D7">
        <w:rPr>
          <w:rFonts w:ascii="Arial" w:hAnsi="Arial" w:cs="Arial"/>
          <w:sz w:val="24"/>
          <w:szCs w:val="24"/>
        </w:rPr>
        <w:lastRenderedPageBreak/>
        <w:t>entails</w:t>
      </w:r>
      <w:r w:rsidR="005C05D7" w:rsidRPr="00BE38D7">
        <w:rPr>
          <w:rFonts w:ascii="Arial" w:hAnsi="Arial" w:cs="Arial"/>
          <w:sz w:val="24"/>
          <w:szCs w:val="24"/>
        </w:rPr>
        <w:t xml:space="preserve"> a full</w:t>
      </w:r>
      <w:r w:rsidR="00B82B15" w:rsidRPr="00BE38D7">
        <w:rPr>
          <w:rFonts w:ascii="Arial" w:hAnsi="Arial" w:cs="Arial"/>
          <w:sz w:val="24"/>
          <w:szCs w:val="24"/>
        </w:rPr>
        <w:t xml:space="preserve"> rehearing of the objection.</w:t>
      </w:r>
      <w:r w:rsidR="00B82B15">
        <w:rPr>
          <w:rStyle w:val="FootnoteReference"/>
          <w:rFonts w:ascii="Arial" w:hAnsi="Arial" w:cs="Arial"/>
          <w:sz w:val="24"/>
          <w:szCs w:val="24"/>
        </w:rPr>
        <w:footnoteReference w:id="20"/>
      </w:r>
      <w:r w:rsidR="00EC523C" w:rsidRPr="00BE38D7">
        <w:rPr>
          <w:rFonts w:ascii="Arial" w:hAnsi="Arial" w:cs="Arial"/>
          <w:sz w:val="24"/>
          <w:szCs w:val="24"/>
        </w:rPr>
        <w:t xml:space="preserve"> </w:t>
      </w:r>
      <w:r w:rsidR="004F1E29" w:rsidRPr="00BE38D7">
        <w:rPr>
          <w:rFonts w:ascii="Arial" w:hAnsi="Arial" w:cs="Arial"/>
          <w:sz w:val="24"/>
          <w:szCs w:val="24"/>
        </w:rPr>
        <w:t>ACB, accordingly</w:t>
      </w:r>
      <w:r w:rsidR="00430873" w:rsidRPr="00BE38D7">
        <w:rPr>
          <w:rFonts w:ascii="Arial" w:hAnsi="Arial" w:cs="Arial"/>
          <w:sz w:val="24"/>
          <w:szCs w:val="24"/>
        </w:rPr>
        <w:t xml:space="preserve"> had the opportunity to fully ventilate</w:t>
      </w:r>
      <w:r w:rsidR="00513ED8" w:rsidRPr="00BE38D7">
        <w:rPr>
          <w:rFonts w:ascii="Arial" w:hAnsi="Arial" w:cs="Arial"/>
          <w:sz w:val="24"/>
          <w:szCs w:val="24"/>
        </w:rPr>
        <w:t xml:space="preserve"> </w:t>
      </w:r>
      <w:r w:rsidR="001B3329" w:rsidRPr="00BE38D7">
        <w:rPr>
          <w:rFonts w:ascii="Arial" w:hAnsi="Arial" w:cs="Arial"/>
          <w:sz w:val="24"/>
          <w:szCs w:val="24"/>
        </w:rPr>
        <w:t xml:space="preserve">its opposition to the granting </w:t>
      </w:r>
      <w:r w:rsidR="003F04D2" w:rsidRPr="00BE38D7">
        <w:rPr>
          <w:rFonts w:ascii="Arial" w:hAnsi="Arial" w:cs="Arial"/>
          <w:sz w:val="24"/>
          <w:szCs w:val="24"/>
        </w:rPr>
        <w:t xml:space="preserve">of the permit during the </w:t>
      </w:r>
      <w:r w:rsidR="006A1972" w:rsidRPr="00BE38D7">
        <w:rPr>
          <w:rFonts w:ascii="Arial" w:hAnsi="Arial" w:cs="Arial"/>
          <w:sz w:val="24"/>
          <w:szCs w:val="24"/>
        </w:rPr>
        <w:t xml:space="preserve">appeal. This then raises the </w:t>
      </w:r>
      <w:r w:rsidR="00FB1DEC" w:rsidRPr="00BE38D7">
        <w:rPr>
          <w:rFonts w:ascii="Arial" w:hAnsi="Arial" w:cs="Arial"/>
          <w:sz w:val="24"/>
          <w:szCs w:val="24"/>
        </w:rPr>
        <w:t>question whether</w:t>
      </w:r>
      <w:r w:rsidR="001D5FCE" w:rsidRPr="00BE38D7">
        <w:rPr>
          <w:rFonts w:ascii="Arial" w:hAnsi="Arial" w:cs="Arial"/>
          <w:sz w:val="24"/>
          <w:szCs w:val="24"/>
        </w:rPr>
        <w:t xml:space="preserve"> the relief </w:t>
      </w:r>
      <w:r w:rsidR="004F1E29" w:rsidRPr="00BE38D7">
        <w:rPr>
          <w:rFonts w:ascii="Arial" w:hAnsi="Arial" w:cs="Arial"/>
          <w:sz w:val="24"/>
          <w:szCs w:val="24"/>
        </w:rPr>
        <w:t xml:space="preserve">claimed, which is a referral back to the </w:t>
      </w:r>
      <w:r w:rsidR="00513D82" w:rsidRPr="00BE38D7">
        <w:rPr>
          <w:rFonts w:ascii="Arial" w:hAnsi="Arial" w:cs="Arial"/>
          <w:sz w:val="24"/>
          <w:szCs w:val="24"/>
        </w:rPr>
        <w:t>EC, is</w:t>
      </w:r>
      <w:r w:rsidR="00EF4DA7" w:rsidRPr="00BE38D7">
        <w:rPr>
          <w:rFonts w:ascii="Arial" w:hAnsi="Arial" w:cs="Arial"/>
          <w:sz w:val="24"/>
          <w:szCs w:val="24"/>
        </w:rPr>
        <w:t xml:space="preserve"> </w:t>
      </w:r>
      <w:r w:rsidR="00C750DA" w:rsidRPr="00BE38D7">
        <w:rPr>
          <w:rFonts w:ascii="Arial" w:hAnsi="Arial" w:cs="Arial"/>
          <w:sz w:val="24"/>
          <w:szCs w:val="24"/>
        </w:rPr>
        <w:t xml:space="preserve">at all </w:t>
      </w:r>
      <w:r w:rsidR="007E4ECD" w:rsidRPr="00BE38D7">
        <w:rPr>
          <w:rFonts w:ascii="Arial" w:hAnsi="Arial" w:cs="Arial"/>
          <w:sz w:val="24"/>
          <w:szCs w:val="24"/>
        </w:rPr>
        <w:t>appropriate. The</w:t>
      </w:r>
      <w:r w:rsidR="000543FD" w:rsidRPr="00BE38D7">
        <w:rPr>
          <w:rFonts w:ascii="Arial" w:hAnsi="Arial" w:cs="Arial"/>
          <w:sz w:val="24"/>
          <w:szCs w:val="24"/>
        </w:rPr>
        <w:t xml:space="preserve"> opportunity of being heard</w:t>
      </w:r>
      <w:r w:rsidR="00BD7C47" w:rsidRPr="00BE38D7">
        <w:rPr>
          <w:rFonts w:ascii="Arial" w:hAnsi="Arial" w:cs="Arial"/>
          <w:sz w:val="24"/>
          <w:szCs w:val="24"/>
        </w:rPr>
        <w:t xml:space="preserve"> was fully granted during the </w:t>
      </w:r>
      <w:r w:rsidR="007E4ECD" w:rsidRPr="00BE38D7">
        <w:rPr>
          <w:rFonts w:ascii="Arial" w:hAnsi="Arial" w:cs="Arial"/>
          <w:sz w:val="24"/>
          <w:szCs w:val="24"/>
        </w:rPr>
        <w:t>appeal process</w:t>
      </w:r>
      <w:r w:rsidR="002C4EC4" w:rsidRPr="00BE38D7">
        <w:rPr>
          <w:rFonts w:ascii="Arial" w:hAnsi="Arial" w:cs="Arial"/>
          <w:sz w:val="24"/>
          <w:szCs w:val="24"/>
        </w:rPr>
        <w:t xml:space="preserve"> and a referral back to the EC</w:t>
      </w:r>
      <w:r w:rsidR="00B263A3" w:rsidRPr="00BE38D7">
        <w:rPr>
          <w:rFonts w:ascii="Arial" w:hAnsi="Arial" w:cs="Arial"/>
          <w:sz w:val="24"/>
          <w:szCs w:val="24"/>
        </w:rPr>
        <w:t xml:space="preserve"> would be</w:t>
      </w:r>
      <w:r w:rsidR="00AC5DD8" w:rsidRPr="00BE38D7">
        <w:rPr>
          <w:rFonts w:ascii="Arial" w:hAnsi="Arial" w:cs="Arial"/>
          <w:sz w:val="24"/>
          <w:szCs w:val="24"/>
        </w:rPr>
        <w:t xml:space="preserve"> </w:t>
      </w:r>
      <w:r w:rsidR="00FB29A3" w:rsidRPr="00BE38D7">
        <w:rPr>
          <w:rFonts w:ascii="Arial" w:hAnsi="Arial" w:cs="Arial"/>
          <w:sz w:val="24"/>
          <w:szCs w:val="24"/>
        </w:rPr>
        <w:t>pointless, due</w:t>
      </w:r>
      <w:r w:rsidR="00AC5DD8" w:rsidRPr="00BE38D7">
        <w:rPr>
          <w:rFonts w:ascii="Arial" w:hAnsi="Arial" w:cs="Arial"/>
          <w:sz w:val="24"/>
          <w:szCs w:val="24"/>
        </w:rPr>
        <w:t xml:space="preserve"> to the very nature of a wide appe</w:t>
      </w:r>
      <w:r w:rsidR="00FB29A3" w:rsidRPr="00BE38D7">
        <w:rPr>
          <w:rFonts w:ascii="Arial" w:hAnsi="Arial" w:cs="Arial"/>
          <w:sz w:val="24"/>
          <w:szCs w:val="24"/>
        </w:rPr>
        <w:t>al.</w:t>
      </w:r>
    </w:p>
    <w:p w14:paraId="59722413" w14:textId="77777777" w:rsidR="00EC523C" w:rsidRPr="00EC523C" w:rsidRDefault="00EC523C" w:rsidP="00EC523C">
      <w:pPr>
        <w:pStyle w:val="ListParagraph"/>
        <w:rPr>
          <w:rFonts w:ascii="Arial" w:hAnsi="Arial" w:cs="Arial"/>
          <w:sz w:val="24"/>
          <w:szCs w:val="24"/>
        </w:rPr>
      </w:pPr>
    </w:p>
    <w:p w14:paraId="0ADEE384" w14:textId="77777777" w:rsidR="00EC523C" w:rsidRDefault="00EC523C" w:rsidP="00EC523C">
      <w:pPr>
        <w:spacing w:line="360" w:lineRule="auto"/>
        <w:jc w:val="both"/>
        <w:rPr>
          <w:rFonts w:ascii="Arial" w:hAnsi="Arial" w:cs="Arial"/>
          <w:sz w:val="24"/>
          <w:szCs w:val="24"/>
          <w:u w:val="single"/>
        </w:rPr>
      </w:pPr>
      <w:r w:rsidRPr="00EC523C">
        <w:rPr>
          <w:rFonts w:ascii="Arial" w:hAnsi="Arial" w:cs="Arial"/>
          <w:sz w:val="24"/>
          <w:szCs w:val="24"/>
          <w:u w:val="single"/>
        </w:rPr>
        <w:t>Adequacy of the reasons</w:t>
      </w:r>
    </w:p>
    <w:p w14:paraId="23CB0709" w14:textId="77777777" w:rsidR="00EC523C" w:rsidRDefault="00EC523C" w:rsidP="00EC523C">
      <w:pPr>
        <w:spacing w:line="360" w:lineRule="auto"/>
        <w:jc w:val="both"/>
        <w:rPr>
          <w:rFonts w:ascii="Arial" w:hAnsi="Arial" w:cs="Arial"/>
          <w:sz w:val="24"/>
          <w:szCs w:val="24"/>
          <w:u w:val="single"/>
        </w:rPr>
      </w:pPr>
    </w:p>
    <w:p w14:paraId="3ED9B412" w14:textId="6798D52D" w:rsidR="00EC523C" w:rsidRPr="00BE38D7" w:rsidRDefault="00BE38D7" w:rsidP="00BE38D7">
      <w:pPr>
        <w:spacing w:line="360" w:lineRule="auto"/>
        <w:ind w:left="720" w:hanging="720"/>
        <w:jc w:val="both"/>
        <w:rPr>
          <w:rFonts w:ascii="Arial" w:hAnsi="Arial" w:cs="Arial"/>
          <w:sz w:val="24"/>
          <w:szCs w:val="24"/>
        </w:rPr>
      </w:pPr>
      <w:r w:rsidRPr="00A033EF">
        <w:rPr>
          <w:rFonts w:ascii="Arial" w:hAnsi="Arial" w:cs="Arial"/>
          <w:color w:val="000000" w:themeColor="text1"/>
          <w:sz w:val="24"/>
          <w:szCs w:val="24"/>
        </w:rPr>
        <w:t>24.</w:t>
      </w:r>
      <w:r w:rsidRPr="00A033EF">
        <w:rPr>
          <w:rFonts w:ascii="Arial" w:hAnsi="Arial" w:cs="Arial"/>
          <w:color w:val="000000" w:themeColor="text1"/>
          <w:sz w:val="24"/>
          <w:szCs w:val="24"/>
        </w:rPr>
        <w:tab/>
      </w:r>
      <w:r w:rsidR="00EC523C" w:rsidRPr="00BE38D7">
        <w:rPr>
          <w:rFonts w:ascii="Arial" w:hAnsi="Arial" w:cs="Arial"/>
          <w:sz w:val="24"/>
          <w:szCs w:val="24"/>
        </w:rPr>
        <w:t xml:space="preserve">ACB </w:t>
      </w:r>
      <w:r w:rsidR="0079367D" w:rsidRPr="00BE38D7">
        <w:rPr>
          <w:rFonts w:ascii="Arial" w:hAnsi="Arial" w:cs="Arial"/>
          <w:sz w:val="24"/>
          <w:szCs w:val="24"/>
        </w:rPr>
        <w:t>argues</w:t>
      </w:r>
      <w:r w:rsidR="00EC523C" w:rsidRPr="00BE38D7">
        <w:rPr>
          <w:rFonts w:ascii="Arial" w:hAnsi="Arial" w:cs="Arial"/>
          <w:sz w:val="24"/>
          <w:szCs w:val="24"/>
        </w:rPr>
        <w:t xml:space="preserve"> that the reasons provided by the EC were insufficient as </w:t>
      </w:r>
      <w:r w:rsidR="00331F07" w:rsidRPr="00BE38D7">
        <w:rPr>
          <w:rFonts w:ascii="Arial" w:hAnsi="Arial" w:cs="Arial"/>
          <w:sz w:val="24"/>
          <w:szCs w:val="24"/>
        </w:rPr>
        <w:t>it</w:t>
      </w:r>
      <w:r w:rsidR="00EC523C" w:rsidRPr="00BE38D7">
        <w:rPr>
          <w:rFonts w:ascii="Arial" w:hAnsi="Arial" w:cs="Arial"/>
          <w:sz w:val="24"/>
          <w:szCs w:val="24"/>
        </w:rPr>
        <w:t xml:space="preserve"> did not indicate whether the </w:t>
      </w:r>
      <w:r w:rsidR="00724CAA" w:rsidRPr="00BE38D7">
        <w:rPr>
          <w:rFonts w:ascii="Arial" w:hAnsi="Arial" w:cs="Arial"/>
          <w:sz w:val="24"/>
          <w:szCs w:val="24"/>
        </w:rPr>
        <w:t>E</w:t>
      </w:r>
      <w:r w:rsidR="00EC523C" w:rsidRPr="00BE38D7">
        <w:rPr>
          <w:rFonts w:ascii="Arial" w:hAnsi="Arial" w:cs="Arial"/>
          <w:sz w:val="24"/>
          <w:szCs w:val="24"/>
        </w:rPr>
        <w:t xml:space="preserve">C was properly </w:t>
      </w:r>
      <w:r w:rsidR="00AF50B9" w:rsidRPr="00BE38D7">
        <w:rPr>
          <w:rFonts w:ascii="Arial" w:hAnsi="Arial" w:cs="Arial"/>
          <w:sz w:val="24"/>
          <w:szCs w:val="24"/>
        </w:rPr>
        <w:t>constituted and</w:t>
      </w:r>
      <w:r w:rsidR="00EC523C" w:rsidRPr="00BE38D7">
        <w:rPr>
          <w:rFonts w:ascii="Arial" w:hAnsi="Arial" w:cs="Arial"/>
          <w:sz w:val="24"/>
          <w:szCs w:val="24"/>
        </w:rPr>
        <w:t xml:space="preserve"> did not </w:t>
      </w:r>
      <w:r w:rsidR="00315250" w:rsidRPr="00BE38D7">
        <w:rPr>
          <w:rFonts w:ascii="Arial" w:hAnsi="Arial" w:cs="Arial"/>
          <w:sz w:val="24"/>
          <w:szCs w:val="24"/>
        </w:rPr>
        <w:t>record</w:t>
      </w:r>
      <w:r w:rsidR="00EC523C" w:rsidRPr="00BE38D7">
        <w:rPr>
          <w:rFonts w:ascii="Arial" w:hAnsi="Arial" w:cs="Arial"/>
          <w:sz w:val="24"/>
          <w:szCs w:val="24"/>
        </w:rPr>
        <w:t xml:space="preserve"> whether Monsanto submitted all the necessary </w:t>
      </w:r>
      <w:r w:rsidR="000C239D" w:rsidRPr="00BE38D7">
        <w:rPr>
          <w:rFonts w:ascii="Arial" w:hAnsi="Arial" w:cs="Arial"/>
          <w:sz w:val="24"/>
          <w:szCs w:val="24"/>
        </w:rPr>
        <w:t>information, including</w:t>
      </w:r>
      <w:r w:rsidR="007D49BF" w:rsidRPr="00BE38D7">
        <w:rPr>
          <w:rFonts w:ascii="Arial" w:hAnsi="Arial" w:cs="Arial"/>
          <w:sz w:val="24"/>
          <w:szCs w:val="24"/>
        </w:rPr>
        <w:t xml:space="preserve"> the risk </w:t>
      </w:r>
      <w:r w:rsidR="000C239D" w:rsidRPr="00BE38D7">
        <w:rPr>
          <w:rFonts w:ascii="Arial" w:hAnsi="Arial" w:cs="Arial"/>
          <w:sz w:val="24"/>
          <w:szCs w:val="24"/>
        </w:rPr>
        <w:t>assessment</w:t>
      </w:r>
      <w:r w:rsidR="007D49BF" w:rsidRPr="00BE38D7">
        <w:rPr>
          <w:rFonts w:ascii="Arial" w:hAnsi="Arial" w:cs="Arial"/>
          <w:sz w:val="24"/>
          <w:szCs w:val="24"/>
        </w:rPr>
        <w:t xml:space="preserve"> and risk management measures</w:t>
      </w:r>
      <w:r w:rsidR="00EC523C" w:rsidRPr="00BE38D7">
        <w:rPr>
          <w:rFonts w:ascii="Arial" w:hAnsi="Arial" w:cs="Arial"/>
          <w:sz w:val="24"/>
          <w:szCs w:val="24"/>
        </w:rPr>
        <w:t xml:space="preserve">. ACB also complained that the EC’s reasons did not suggest </w:t>
      </w:r>
      <w:r w:rsidR="00B921F1" w:rsidRPr="00BE38D7">
        <w:rPr>
          <w:rFonts w:ascii="Arial" w:hAnsi="Arial" w:cs="Arial"/>
          <w:sz w:val="24"/>
          <w:szCs w:val="24"/>
        </w:rPr>
        <w:t>that the</w:t>
      </w:r>
      <w:r w:rsidR="00EC523C" w:rsidRPr="00BE38D7">
        <w:rPr>
          <w:rFonts w:ascii="Arial" w:hAnsi="Arial" w:cs="Arial"/>
          <w:sz w:val="24"/>
          <w:szCs w:val="24"/>
        </w:rPr>
        <w:t xml:space="preserve"> information provided by Monsanto was evaluated critically and were no</w:t>
      </w:r>
      <w:r w:rsidR="001D33AF" w:rsidRPr="00BE38D7">
        <w:rPr>
          <w:rFonts w:ascii="Arial" w:hAnsi="Arial" w:cs="Arial"/>
          <w:sz w:val="24"/>
          <w:szCs w:val="24"/>
        </w:rPr>
        <w:t xml:space="preserve">thing but an overview of Monsanto’s application. It was also alleged that the reasons did not contain any explanation as to what, if any, other evidence, apart from those provided by Monsanto, were </w:t>
      </w:r>
      <w:r w:rsidR="001C6C38" w:rsidRPr="00BE38D7">
        <w:rPr>
          <w:rFonts w:ascii="Arial" w:hAnsi="Arial" w:cs="Arial"/>
          <w:sz w:val="24"/>
          <w:szCs w:val="24"/>
        </w:rPr>
        <w:t>considered,</w:t>
      </w:r>
      <w:r w:rsidR="001D33AF" w:rsidRPr="00BE38D7">
        <w:rPr>
          <w:rFonts w:ascii="Arial" w:hAnsi="Arial" w:cs="Arial"/>
          <w:sz w:val="24"/>
          <w:szCs w:val="24"/>
        </w:rPr>
        <w:t xml:space="preserve"> and did not explain why Monsanto’s claims were accepted.</w:t>
      </w:r>
    </w:p>
    <w:p w14:paraId="40DDDB2C" w14:textId="77777777" w:rsidR="001D33AF" w:rsidRDefault="001D33AF" w:rsidP="001D33AF">
      <w:pPr>
        <w:pStyle w:val="ListParagraph"/>
        <w:spacing w:line="360" w:lineRule="auto"/>
        <w:jc w:val="both"/>
        <w:rPr>
          <w:rFonts w:ascii="Arial" w:hAnsi="Arial" w:cs="Arial"/>
          <w:sz w:val="24"/>
          <w:szCs w:val="24"/>
        </w:rPr>
      </w:pPr>
    </w:p>
    <w:p w14:paraId="1A2E0F83" w14:textId="3BC04717" w:rsidR="001D33AF"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25.</w:t>
      </w:r>
      <w:r>
        <w:rPr>
          <w:rFonts w:ascii="Arial" w:hAnsi="Arial" w:cs="Arial"/>
          <w:color w:val="000000" w:themeColor="text1"/>
          <w:sz w:val="24"/>
          <w:szCs w:val="24"/>
        </w:rPr>
        <w:tab/>
      </w:r>
      <w:r w:rsidR="001D33AF" w:rsidRPr="00BE38D7">
        <w:rPr>
          <w:rFonts w:ascii="Arial" w:hAnsi="Arial" w:cs="Arial"/>
          <w:sz w:val="24"/>
          <w:szCs w:val="24"/>
        </w:rPr>
        <w:t xml:space="preserve"> The EC’s decision records that MON 87460 is su</w:t>
      </w:r>
      <w:r w:rsidR="004F52B5" w:rsidRPr="00BE38D7">
        <w:rPr>
          <w:rFonts w:ascii="Arial" w:hAnsi="Arial" w:cs="Arial"/>
          <w:sz w:val="24"/>
          <w:szCs w:val="24"/>
        </w:rPr>
        <w:t xml:space="preserve">bstantially equivalent to conventional maize and has a low environmental risk. </w:t>
      </w:r>
      <w:r w:rsidR="0047677C" w:rsidRPr="00BE38D7">
        <w:rPr>
          <w:rFonts w:ascii="Arial" w:hAnsi="Arial" w:cs="Arial"/>
          <w:sz w:val="24"/>
          <w:szCs w:val="24"/>
        </w:rPr>
        <w:t>The decision makes it clear</w:t>
      </w:r>
      <w:r w:rsidR="004F52B5" w:rsidRPr="00BE38D7">
        <w:rPr>
          <w:rFonts w:ascii="Arial" w:hAnsi="Arial" w:cs="Arial"/>
          <w:sz w:val="24"/>
          <w:szCs w:val="24"/>
        </w:rPr>
        <w:t xml:space="preserve"> that</w:t>
      </w:r>
      <w:r w:rsidR="0047677C" w:rsidRPr="00BE38D7">
        <w:rPr>
          <w:rFonts w:ascii="Arial" w:hAnsi="Arial" w:cs="Arial"/>
          <w:sz w:val="24"/>
          <w:szCs w:val="24"/>
        </w:rPr>
        <w:t xml:space="preserve"> the EC was satisfied</w:t>
      </w:r>
      <w:r w:rsidR="00E92489" w:rsidRPr="00BE38D7">
        <w:rPr>
          <w:rFonts w:ascii="Arial" w:hAnsi="Arial" w:cs="Arial"/>
          <w:sz w:val="24"/>
          <w:szCs w:val="24"/>
        </w:rPr>
        <w:t xml:space="preserve"> that</w:t>
      </w:r>
      <w:r w:rsidR="004F52B5" w:rsidRPr="00BE38D7">
        <w:rPr>
          <w:rFonts w:ascii="Arial" w:hAnsi="Arial" w:cs="Arial"/>
          <w:sz w:val="24"/>
          <w:szCs w:val="24"/>
        </w:rPr>
        <w:t xml:space="preserve"> there </w:t>
      </w:r>
      <w:r w:rsidR="00E92489" w:rsidRPr="00BE38D7">
        <w:rPr>
          <w:rFonts w:ascii="Arial" w:hAnsi="Arial" w:cs="Arial"/>
          <w:sz w:val="24"/>
          <w:szCs w:val="24"/>
        </w:rPr>
        <w:t>was</w:t>
      </w:r>
      <w:r w:rsidR="004F52B5" w:rsidRPr="00BE38D7">
        <w:rPr>
          <w:rFonts w:ascii="Arial" w:hAnsi="Arial" w:cs="Arial"/>
          <w:sz w:val="24"/>
          <w:szCs w:val="24"/>
        </w:rPr>
        <w:t xml:space="preserve"> adequate scientific support to indicate </w:t>
      </w:r>
      <w:r w:rsidR="002B48DC" w:rsidRPr="00BE38D7">
        <w:rPr>
          <w:rFonts w:ascii="Arial" w:hAnsi="Arial" w:cs="Arial"/>
          <w:sz w:val="24"/>
          <w:szCs w:val="24"/>
        </w:rPr>
        <w:t>that MON</w:t>
      </w:r>
      <w:r w:rsidR="000E32C1" w:rsidRPr="00BE38D7">
        <w:rPr>
          <w:rFonts w:ascii="Arial" w:hAnsi="Arial" w:cs="Arial"/>
          <w:sz w:val="24"/>
          <w:szCs w:val="24"/>
        </w:rPr>
        <w:t>87460 is</w:t>
      </w:r>
      <w:r w:rsidR="004F52B5" w:rsidRPr="00BE38D7">
        <w:rPr>
          <w:rFonts w:ascii="Arial" w:hAnsi="Arial" w:cs="Arial"/>
          <w:sz w:val="24"/>
          <w:szCs w:val="24"/>
        </w:rPr>
        <w:t xml:space="preserve"> safe and </w:t>
      </w:r>
      <w:r w:rsidR="00B921F1" w:rsidRPr="00BE38D7">
        <w:rPr>
          <w:rFonts w:ascii="Arial" w:hAnsi="Arial" w:cs="Arial"/>
          <w:sz w:val="24"/>
          <w:szCs w:val="24"/>
        </w:rPr>
        <w:t>nutritionally</w:t>
      </w:r>
      <w:r w:rsidR="004F52B5" w:rsidRPr="00BE38D7">
        <w:rPr>
          <w:rFonts w:ascii="Arial" w:hAnsi="Arial" w:cs="Arial"/>
          <w:sz w:val="24"/>
          <w:szCs w:val="24"/>
        </w:rPr>
        <w:t xml:space="preserve"> </w:t>
      </w:r>
      <w:r w:rsidR="00B921F1" w:rsidRPr="00BE38D7">
        <w:rPr>
          <w:rFonts w:ascii="Arial" w:hAnsi="Arial" w:cs="Arial"/>
          <w:sz w:val="24"/>
          <w:szCs w:val="24"/>
        </w:rPr>
        <w:t>adequate</w:t>
      </w:r>
      <w:r w:rsidR="004F52B5" w:rsidRPr="00BE38D7">
        <w:rPr>
          <w:rFonts w:ascii="Arial" w:hAnsi="Arial" w:cs="Arial"/>
          <w:sz w:val="24"/>
          <w:szCs w:val="24"/>
        </w:rPr>
        <w:t xml:space="preserve"> </w:t>
      </w:r>
      <w:r w:rsidR="00B921F1" w:rsidRPr="00BE38D7">
        <w:rPr>
          <w:rFonts w:ascii="Arial" w:hAnsi="Arial" w:cs="Arial"/>
          <w:sz w:val="24"/>
          <w:szCs w:val="24"/>
        </w:rPr>
        <w:t xml:space="preserve">for human and animal </w:t>
      </w:r>
      <w:r w:rsidR="006A6841" w:rsidRPr="00BE38D7">
        <w:rPr>
          <w:rFonts w:ascii="Arial" w:hAnsi="Arial" w:cs="Arial"/>
          <w:sz w:val="24"/>
          <w:szCs w:val="24"/>
        </w:rPr>
        <w:t>consumption</w:t>
      </w:r>
      <w:r w:rsidR="00597DEE" w:rsidRPr="00BE38D7">
        <w:rPr>
          <w:rFonts w:ascii="Arial" w:hAnsi="Arial" w:cs="Arial"/>
          <w:sz w:val="24"/>
          <w:szCs w:val="24"/>
        </w:rPr>
        <w:t>,</w:t>
      </w:r>
      <w:r w:rsidR="006A6841" w:rsidRPr="00BE38D7">
        <w:rPr>
          <w:rFonts w:ascii="Arial" w:hAnsi="Arial" w:cs="Arial"/>
          <w:sz w:val="24"/>
          <w:szCs w:val="24"/>
        </w:rPr>
        <w:t xml:space="preserve"> and</w:t>
      </w:r>
      <w:r w:rsidR="00B921F1" w:rsidRPr="00BE38D7">
        <w:rPr>
          <w:rFonts w:ascii="Arial" w:hAnsi="Arial" w:cs="Arial"/>
          <w:sz w:val="24"/>
          <w:szCs w:val="24"/>
        </w:rPr>
        <w:t xml:space="preserve"> is expected to be beneficial to the environment due to the protection of yield</w:t>
      </w:r>
      <w:r w:rsidR="00C46937" w:rsidRPr="00BE38D7">
        <w:rPr>
          <w:rFonts w:ascii="Arial" w:hAnsi="Arial" w:cs="Arial"/>
          <w:sz w:val="24"/>
          <w:szCs w:val="24"/>
        </w:rPr>
        <w:t xml:space="preserve"> loss</w:t>
      </w:r>
      <w:r w:rsidR="00B921F1" w:rsidRPr="00BE38D7">
        <w:rPr>
          <w:rFonts w:ascii="Arial" w:hAnsi="Arial" w:cs="Arial"/>
          <w:sz w:val="24"/>
          <w:szCs w:val="24"/>
        </w:rPr>
        <w:t xml:space="preserve"> under </w:t>
      </w:r>
      <w:r w:rsidR="00303171" w:rsidRPr="00BE38D7">
        <w:rPr>
          <w:rFonts w:ascii="Arial" w:hAnsi="Arial" w:cs="Arial"/>
          <w:sz w:val="24"/>
          <w:szCs w:val="24"/>
        </w:rPr>
        <w:t>dr</w:t>
      </w:r>
      <w:r w:rsidR="00DF410F" w:rsidRPr="00BE38D7">
        <w:rPr>
          <w:rFonts w:ascii="Arial" w:hAnsi="Arial" w:cs="Arial"/>
          <w:sz w:val="24"/>
          <w:szCs w:val="24"/>
        </w:rPr>
        <w:t>o</w:t>
      </w:r>
      <w:r w:rsidR="00303171" w:rsidRPr="00BE38D7">
        <w:rPr>
          <w:rFonts w:ascii="Arial" w:hAnsi="Arial" w:cs="Arial"/>
          <w:sz w:val="24"/>
          <w:szCs w:val="24"/>
        </w:rPr>
        <w:t xml:space="preserve">ught conditions. The reasons record that the conclusions referred to above </w:t>
      </w:r>
      <w:r w:rsidR="008C7D06" w:rsidRPr="00BE38D7">
        <w:rPr>
          <w:rFonts w:ascii="Arial" w:hAnsi="Arial" w:cs="Arial"/>
          <w:sz w:val="24"/>
          <w:szCs w:val="24"/>
        </w:rPr>
        <w:t>were</w:t>
      </w:r>
      <w:r w:rsidR="00303171" w:rsidRPr="00BE38D7">
        <w:rPr>
          <w:rFonts w:ascii="Arial" w:hAnsi="Arial" w:cs="Arial"/>
          <w:sz w:val="24"/>
          <w:szCs w:val="24"/>
        </w:rPr>
        <w:t xml:space="preserve"> drawn from certain fin</w:t>
      </w:r>
      <w:r w:rsidR="00506170" w:rsidRPr="00BE38D7">
        <w:rPr>
          <w:rFonts w:ascii="Arial" w:hAnsi="Arial" w:cs="Arial"/>
          <w:sz w:val="24"/>
          <w:szCs w:val="24"/>
        </w:rPr>
        <w:t>d</w:t>
      </w:r>
      <w:r w:rsidR="00303171" w:rsidRPr="00BE38D7">
        <w:rPr>
          <w:rFonts w:ascii="Arial" w:hAnsi="Arial" w:cs="Arial"/>
          <w:sz w:val="24"/>
          <w:szCs w:val="24"/>
        </w:rPr>
        <w:t xml:space="preserve">ings </w:t>
      </w:r>
      <w:r w:rsidR="00506170" w:rsidRPr="00BE38D7">
        <w:rPr>
          <w:rFonts w:ascii="Arial" w:hAnsi="Arial" w:cs="Arial"/>
          <w:sz w:val="24"/>
          <w:szCs w:val="24"/>
        </w:rPr>
        <w:t>of</w:t>
      </w:r>
      <w:r w:rsidR="00303171" w:rsidRPr="00BE38D7">
        <w:rPr>
          <w:rFonts w:ascii="Arial" w:hAnsi="Arial" w:cs="Arial"/>
          <w:sz w:val="24"/>
          <w:szCs w:val="24"/>
        </w:rPr>
        <w:t xml:space="preserve"> </w:t>
      </w:r>
      <w:r w:rsidR="00E46AA9" w:rsidRPr="00BE38D7">
        <w:rPr>
          <w:rFonts w:ascii="Arial" w:hAnsi="Arial" w:cs="Arial"/>
          <w:sz w:val="24"/>
          <w:szCs w:val="24"/>
        </w:rPr>
        <w:t>fact. The</w:t>
      </w:r>
      <w:r w:rsidR="00E33703" w:rsidRPr="00BE38D7">
        <w:rPr>
          <w:rFonts w:ascii="Arial" w:hAnsi="Arial" w:cs="Arial"/>
          <w:sz w:val="24"/>
          <w:szCs w:val="24"/>
        </w:rPr>
        <w:t xml:space="preserve"> facts on which the conclusions</w:t>
      </w:r>
      <w:r w:rsidR="00270C6E" w:rsidRPr="00BE38D7">
        <w:rPr>
          <w:rFonts w:ascii="Arial" w:hAnsi="Arial" w:cs="Arial"/>
          <w:sz w:val="24"/>
          <w:szCs w:val="24"/>
        </w:rPr>
        <w:t xml:space="preserve"> </w:t>
      </w:r>
      <w:r w:rsidR="008C7D06" w:rsidRPr="00BE38D7">
        <w:rPr>
          <w:rFonts w:ascii="Arial" w:hAnsi="Arial" w:cs="Arial"/>
          <w:sz w:val="24"/>
          <w:szCs w:val="24"/>
        </w:rPr>
        <w:t>were</w:t>
      </w:r>
      <w:r w:rsidR="00270C6E" w:rsidRPr="00BE38D7">
        <w:rPr>
          <w:rFonts w:ascii="Arial" w:hAnsi="Arial" w:cs="Arial"/>
          <w:sz w:val="24"/>
          <w:szCs w:val="24"/>
        </w:rPr>
        <w:t xml:space="preserve"> based </w:t>
      </w:r>
      <w:r w:rsidR="008C7D06" w:rsidRPr="00BE38D7">
        <w:rPr>
          <w:rFonts w:ascii="Arial" w:hAnsi="Arial" w:cs="Arial"/>
          <w:sz w:val="24"/>
          <w:szCs w:val="24"/>
        </w:rPr>
        <w:t>were</w:t>
      </w:r>
      <w:r w:rsidR="00270C6E" w:rsidRPr="00BE38D7">
        <w:rPr>
          <w:rFonts w:ascii="Arial" w:hAnsi="Arial" w:cs="Arial"/>
          <w:sz w:val="24"/>
          <w:szCs w:val="24"/>
        </w:rPr>
        <w:t xml:space="preserve"> set out.</w:t>
      </w:r>
      <w:r w:rsidR="00303171" w:rsidRPr="00BE38D7">
        <w:rPr>
          <w:rFonts w:ascii="Arial" w:hAnsi="Arial" w:cs="Arial"/>
          <w:sz w:val="24"/>
          <w:szCs w:val="24"/>
        </w:rPr>
        <w:t xml:space="preserve"> </w:t>
      </w:r>
    </w:p>
    <w:p w14:paraId="7415D6F9" w14:textId="77777777" w:rsidR="00303171" w:rsidRPr="00303171" w:rsidRDefault="00303171" w:rsidP="00303171">
      <w:pPr>
        <w:pStyle w:val="ListParagraph"/>
        <w:rPr>
          <w:rFonts w:ascii="Arial" w:hAnsi="Arial" w:cs="Arial"/>
          <w:sz w:val="24"/>
          <w:szCs w:val="24"/>
        </w:rPr>
      </w:pPr>
    </w:p>
    <w:p w14:paraId="04E50C1E" w14:textId="3B3F7CBC" w:rsidR="00F83795"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lastRenderedPageBreak/>
        <w:t>26.</w:t>
      </w:r>
      <w:r>
        <w:rPr>
          <w:rFonts w:ascii="Arial" w:hAnsi="Arial" w:cs="Arial"/>
          <w:color w:val="000000" w:themeColor="text1"/>
          <w:sz w:val="24"/>
          <w:szCs w:val="24"/>
        </w:rPr>
        <w:tab/>
      </w:r>
      <w:r w:rsidR="00303171" w:rsidRPr="00BE38D7">
        <w:rPr>
          <w:rFonts w:ascii="Arial" w:hAnsi="Arial" w:cs="Arial"/>
          <w:sz w:val="24"/>
          <w:szCs w:val="24"/>
        </w:rPr>
        <w:t xml:space="preserve">The EC’s </w:t>
      </w:r>
      <w:r w:rsidR="00512AA1" w:rsidRPr="00BE38D7">
        <w:rPr>
          <w:rFonts w:ascii="Arial" w:hAnsi="Arial" w:cs="Arial"/>
          <w:sz w:val="24"/>
          <w:szCs w:val="24"/>
        </w:rPr>
        <w:t>decision</w:t>
      </w:r>
      <w:r w:rsidR="00705301" w:rsidRPr="00BE38D7">
        <w:rPr>
          <w:rFonts w:ascii="Arial" w:hAnsi="Arial" w:cs="Arial"/>
          <w:sz w:val="24"/>
          <w:szCs w:val="24"/>
        </w:rPr>
        <w:t xml:space="preserve"> furthermore</w:t>
      </w:r>
      <w:r w:rsidR="00512AA1" w:rsidRPr="00BE38D7">
        <w:rPr>
          <w:rFonts w:ascii="Arial" w:hAnsi="Arial" w:cs="Arial"/>
          <w:sz w:val="24"/>
          <w:szCs w:val="24"/>
        </w:rPr>
        <w:t xml:space="preserve"> sets</w:t>
      </w:r>
      <w:r w:rsidR="00F84367" w:rsidRPr="00BE38D7">
        <w:rPr>
          <w:rFonts w:ascii="Arial" w:hAnsi="Arial" w:cs="Arial"/>
          <w:sz w:val="24"/>
          <w:szCs w:val="24"/>
        </w:rPr>
        <w:t xml:space="preserve"> out the conclusion based on its factual finding</w:t>
      </w:r>
      <w:r w:rsidR="00CF0CB4" w:rsidRPr="00BE38D7">
        <w:rPr>
          <w:rFonts w:ascii="Arial" w:hAnsi="Arial" w:cs="Arial"/>
          <w:sz w:val="24"/>
          <w:szCs w:val="24"/>
        </w:rPr>
        <w:t>s</w:t>
      </w:r>
      <w:r w:rsidR="00F84367" w:rsidRPr="00BE38D7">
        <w:rPr>
          <w:rFonts w:ascii="Arial" w:hAnsi="Arial" w:cs="Arial"/>
          <w:sz w:val="24"/>
          <w:szCs w:val="24"/>
        </w:rPr>
        <w:t xml:space="preserve"> and </w:t>
      </w:r>
      <w:r w:rsidR="003D26D0" w:rsidRPr="00BE38D7">
        <w:rPr>
          <w:rFonts w:ascii="Arial" w:hAnsi="Arial" w:cs="Arial"/>
          <w:sz w:val="24"/>
          <w:szCs w:val="24"/>
        </w:rPr>
        <w:t>concluded</w:t>
      </w:r>
      <w:r w:rsidR="00F84367" w:rsidRPr="00BE38D7">
        <w:rPr>
          <w:rFonts w:ascii="Arial" w:hAnsi="Arial" w:cs="Arial"/>
          <w:sz w:val="24"/>
          <w:szCs w:val="24"/>
        </w:rPr>
        <w:t xml:space="preserve"> that MON 87460 is </w:t>
      </w:r>
      <w:r w:rsidR="003D26D0" w:rsidRPr="00BE38D7">
        <w:rPr>
          <w:rFonts w:ascii="Arial" w:hAnsi="Arial" w:cs="Arial"/>
          <w:sz w:val="24"/>
          <w:szCs w:val="24"/>
        </w:rPr>
        <w:t>equivalent</w:t>
      </w:r>
      <w:r w:rsidR="00F84367" w:rsidRPr="00BE38D7">
        <w:rPr>
          <w:rFonts w:ascii="Arial" w:hAnsi="Arial" w:cs="Arial"/>
          <w:sz w:val="24"/>
          <w:szCs w:val="24"/>
        </w:rPr>
        <w:t xml:space="preserve"> to conventional maize, does not pose a threat</w:t>
      </w:r>
      <w:r w:rsidR="00623316" w:rsidRPr="00BE38D7">
        <w:rPr>
          <w:rFonts w:ascii="Arial" w:hAnsi="Arial" w:cs="Arial"/>
          <w:sz w:val="24"/>
          <w:szCs w:val="24"/>
        </w:rPr>
        <w:t xml:space="preserve"> to</w:t>
      </w:r>
      <w:r w:rsidR="003D26D0" w:rsidRPr="00BE38D7">
        <w:rPr>
          <w:rFonts w:ascii="Arial" w:hAnsi="Arial" w:cs="Arial"/>
          <w:sz w:val="24"/>
          <w:szCs w:val="24"/>
        </w:rPr>
        <w:t xml:space="preserve"> the environment and does not pose a threat to human or animal safety. It explains the factual findings which underlie the conclusion. </w:t>
      </w:r>
    </w:p>
    <w:p w14:paraId="620E7F89" w14:textId="77777777" w:rsidR="00F83795" w:rsidRPr="00F83795" w:rsidRDefault="00F83795" w:rsidP="00F83795">
      <w:pPr>
        <w:pStyle w:val="ListParagraph"/>
        <w:rPr>
          <w:rFonts w:ascii="Arial" w:hAnsi="Arial" w:cs="Arial"/>
          <w:sz w:val="24"/>
          <w:szCs w:val="24"/>
        </w:rPr>
      </w:pPr>
    </w:p>
    <w:p w14:paraId="613FA427" w14:textId="6014CC71" w:rsidR="00303171"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3D26D0" w:rsidRPr="00BE38D7">
        <w:rPr>
          <w:rFonts w:ascii="Arial" w:hAnsi="Arial" w:cs="Arial"/>
          <w:sz w:val="24"/>
          <w:szCs w:val="24"/>
        </w:rPr>
        <w:t>To determine whether there is merit in ACB’s criticism of the rea</w:t>
      </w:r>
      <w:r w:rsidR="00560FEB" w:rsidRPr="00BE38D7">
        <w:rPr>
          <w:rFonts w:ascii="Arial" w:hAnsi="Arial" w:cs="Arial"/>
          <w:sz w:val="24"/>
          <w:szCs w:val="24"/>
        </w:rPr>
        <w:t>s</w:t>
      </w:r>
      <w:r w:rsidR="003D26D0" w:rsidRPr="00BE38D7">
        <w:rPr>
          <w:rFonts w:ascii="Arial" w:hAnsi="Arial" w:cs="Arial"/>
          <w:sz w:val="24"/>
          <w:szCs w:val="24"/>
        </w:rPr>
        <w:t xml:space="preserve">ons </w:t>
      </w:r>
      <w:r w:rsidR="00560FEB" w:rsidRPr="00BE38D7">
        <w:rPr>
          <w:rFonts w:ascii="Arial" w:hAnsi="Arial" w:cs="Arial"/>
          <w:sz w:val="24"/>
          <w:szCs w:val="24"/>
        </w:rPr>
        <w:t>provided, one should consider what the requirements for adequate reasons are. In Koyabe v Minister of H</w:t>
      </w:r>
      <w:r w:rsidR="00B76874" w:rsidRPr="00BE38D7">
        <w:rPr>
          <w:rFonts w:ascii="Arial" w:hAnsi="Arial" w:cs="Arial"/>
          <w:sz w:val="24"/>
          <w:szCs w:val="24"/>
        </w:rPr>
        <w:t>om</w:t>
      </w:r>
      <w:r w:rsidR="00560FEB" w:rsidRPr="00BE38D7">
        <w:rPr>
          <w:rFonts w:ascii="Arial" w:hAnsi="Arial" w:cs="Arial"/>
          <w:sz w:val="24"/>
          <w:szCs w:val="24"/>
        </w:rPr>
        <w:t>e Affairs</w:t>
      </w:r>
      <w:r w:rsidR="00560FEB">
        <w:rPr>
          <w:rStyle w:val="FootnoteReference"/>
          <w:rFonts w:ascii="Arial" w:hAnsi="Arial" w:cs="Arial"/>
          <w:sz w:val="24"/>
          <w:szCs w:val="24"/>
        </w:rPr>
        <w:footnoteReference w:id="21"/>
      </w:r>
      <w:r w:rsidR="00560FEB" w:rsidRPr="00BE38D7">
        <w:rPr>
          <w:rFonts w:ascii="Arial" w:hAnsi="Arial" w:cs="Arial"/>
          <w:sz w:val="24"/>
          <w:szCs w:val="24"/>
        </w:rPr>
        <w:t xml:space="preserve"> </w:t>
      </w:r>
      <w:r w:rsidR="00F33F4E" w:rsidRPr="00BE38D7">
        <w:rPr>
          <w:rFonts w:ascii="Arial" w:hAnsi="Arial" w:cs="Arial"/>
          <w:sz w:val="24"/>
          <w:szCs w:val="24"/>
        </w:rPr>
        <w:t xml:space="preserve">it was </w:t>
      </w:r>
      <w:r w:rsidR="007D0BB5" w:rsidRPr="00BE38D7">
        <w:rPr>
          <w:rFonts w:ascii="Arial" w:hAnsi="Arial" w:cs="Arial"/>
          <w:sz w:val="24"/>
          <w:szCs w:val="24"/>
        </w:rPr>
        <w:t>held</w:t>
      </w:r>
      <w:r w:rsidR="00F33F4E" w:rsidRPr="00BE38D7">
        <w:rPr>
          <w:rFonts w:ascii="Arial" w:hAnsi="Arial" w:cs="Arial"/>
          <w:sz w:val="24"/>
          <w:szCs w:val="24"/>
        </w:rPr>
        <w:t xml:space="preserve"> that</w:t>
      </w:r>
      <w:r w:rsidR="00982BB9" w:rsidRPr="00BE38D7">
        <w:rPr>
          <w:rFonts w:ascii="Arial" w:hAnsi="Arial" w:cs="Arial"/>
          <w:sz w:val="24"/>
          <w:szCs w:val="24"/>
        </w:rPr>
        <w:t>,</w:t>
      </w:r>
      <w:r w:rsidR="00F33F4E" w:rsidRPr="00BE38D7">
        <w:rPr>
          <w:rFonts w:ascii="Arial" w:hAnsi="Arial" w:cs="Arial"/>
          <w:sz w:val="24"/>
          <w:szCs w:val="24"/>
        </w:rPr>
        <w:t xml:space="preserve"> although the rea</w:t>
      </w:r>
      <w:r w:rsidR="00AD1610" w:rsidRPr="00BE38D7">
        <w:rPr>
          <w:rFonts w:ascii="Arial" w:hAnsi="Arial" w:cs="Arial"/>
          <w:sz w:val="24"/>
          <w:szCs w:val="24"/>
        </w:rPr>
        <w:t>s</w:t>
      </w:r>
      <w:r w:rsidR="00F33F4E" w:rsidRPr="00BE38D7">
        <w:rPr>
          <w:rFonts w:ascii="Arial" w:hAnsi="Arial" w:cs="Arial"/>
          <w:sz w:val="24"/>
          <w:szCs w:val="24"/>
        </w:rPr>
        <w:t>ons must be sufficient, they need not be set out in minute detail and ordinarily, reasons will be adequate if a com</w:t>
      </w:r>
      <w:r w:rsidR="00AD1610" w:rsidRPr="00BE38D7">
        <w:rPr>
          <w:rFonts w:ascii="Arial" w:hAnsi="Arial" w:cs="Arial"/>
          <w:sz w:val="24"/>
          <w:szCs w:val="24"/>
        </w:rPr>
        <w:t>plainant can make out a reasona</w:t>
      </w:r>
      <w:r w:rsidR="00F33F4E" w:rsidRPr="00BE38D7">
        <w:rPr>
          <w:rFonts w:ascii="Arial" w:hAnsi="Arial" w:cs="Arial"/>
          <w:sz w:val="24"/>
          <w:szCs w:val="24"/>
        </w:rPr>
        <w:t>ble substantial case.</w:t>
      </w:r>
      <w:r w:rsidR="00F33F4E">
        <w:rPr>
          <w:rStyle w:val="FootnoteReference"/>
          <w:rFonts w:ascii="Arial" w:hAnsi="Arial" w:cs="Arial"/>
          <w:sz w:val="24"/>
          <w:szCs w:val="24"/>
        </w:rPr>
        <w:footnoteReference w:id="22"/>
      </w:r>
    </w:p>
    <w:p w14:paraId="61894FE5" w14:textId="77777777" w:rsidR="00D85B68" w:rsidRPr="00D85B68" w:rsidRDefault="00D85B68" w:rsidP="00D85B68">
      <w:pPr>
        <w:pStyle w:val="ListParagraph"/>
        <w:rPr>
          <w:rFonts w:ascii="Arial" w:hAnsi="Arial" w:cs="Arial"/>
          <w:sz w:val="24"/>
          <w:szCs w:val="24"/>
        </w:rPr>
      </w:pPr>
    </w:p>
    <w:p w14:paraId="6BCAFB53" w14:textId="5D25DE5C" w:rsidR="00D85B68"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28.</w:t>
      </w:r>
      <w:r>
        <w:rPr>
          <w:rFonts w:ascii="Arial" w:hAnsi="Arial" w:cs="Arial"/>
          <w:color w:val="000000" w:themeColor="text1"/>
          <w:sz w:val="24"/>
          <w:szCs w:val="24"/>
        </w:rPr>
        <w:tab/>
      </w:r>
      <w:r w:rsidR="00D85B68" w:rsidRPr="00BE38D7">
        <w:rPr>
          <w:rFonts w:ascii="Arial" w:hAnsi="Arial" w:cs="Arial"/>
          <w:sz w:val="24"/>
          <w:szCs w:val="24"/>
        </w:rPr>
        <w:t xml:space="preserve">In </w:t>
      </w:r>
      <w:proofErr w:type="spellStart"/>
      <w:r w:rsidR="00D85B68" w:rsidRPr="00BE38D7">
        <w:rPr>
          <w:rFonts w:ascii="Arial" w:hAnsi="Arial" w:cs="Arial"/>
          <w:sz w:val="24"/>
          <w:szCs w:val="24"/>
        </w:rPr>
        <w:t>Phambili</w:t>
      </w:r>
      <w:proofErr w:type="spellEnd"/>
      <w:r w:rsidR="00D85B68" w:rsidRPr="00BE38D7">
        <w:rPr>
          <w:rFonts w:ascii="Arial" w:hAnsi="Arial" w:cs="Arial"/>
          <w:sz w:val="24"/>
          <w:szCs w:val="24"/>
        </w:rPr>
        <w:t xml:space="preserve"> Fisheries </w:t>
      </w:r>
      <w:r w:rsidR="00D85B68">
        <w:rPr>
          <w:rStyle w:val="FootnoteReference"/>
          <w:rFonts w:ascii="Arial" w:hAnsi="Arial" w:cs="Arial"/>
          <w:sz w:val="24"/>
          <w:szCs w:val="24"/>
        </w:rPr>
        <w:footnoteReference w:id="23"/>
      </w:r>
      <w:r w:rsidR="00BB4795" w:rsidRPr="00BE38D7">
        <w:rPr>
          <w:rFonts w:ascii="Arial" w:hAnsi="Arial" w:cs="Arial"/>
          <w:sz w:val="24"/>
          <w:szCs w:val="24"/>
        </w:rPr>
        <w:t xml:space="preserve"> the following was said: </w:t>
      </w:r>
    </w:p>
    <w:p w14:paraId="65189802" w14:textId="77777777" w:rsidR="00AA0AF1" w:rsidRPr="00260A09" w:rsidRDefault="00AA0AF1" w:rsidP="00AA0AF1">
      <w:pPr>
        <w:spacing w:line="360" w:lineRule="auto"/>
        <w:ind w:left="810"/>
        <w:jc w:val="both"/>
        <w:rPr>
          <w:rFonts w:ascii="Arial" w:hAnsi="Arial" w:cs="Arial"/>
          <w:i/>
          <w:sz w:val="24"/>
          <w:szCs w:val="24"/>
        </w:rPr>
      </w:pPr>
      <w:r w:rsidRPr="00260A09">
        <w:rPr>
          <w:rFonts w:ascii="Arial" w:hAnsi="Arial" w:cs="Arial"/>
          <w:i/>
          <w:sz w:val="24"/>
          <w:szCs w:val="24"/>
        </w:rPr>
        <w:t>What constitutes adequate reasons has been aptly described by Woodward J, sitting in the Federal Court of Australia, in the case of Ansett Transport Industries (Operations) Pty Ltd and another v Wraith and others (1983) 48 ALR 500 at 507 (23–41), as follows:</w:t>
      </w:r>
    </w:p>
    <w:p w14:paraId="7B8C847A" w14:textId="77777777" w:rsidR="00AA0AF1" w:rsidRPr="00AA0AF1" w:rsidRDefault="00AA0AF1" w:rsidP="00AA0AF1">
      <w:pPr>
        <w:spacing w:line="360" w:lineRule="auto"/>
        <w:ind w:firstLine="810"/>
        <w:jc w:val="both"/>
        <w:rPr>
          <w:rFonts w:ascii="Arial" w:hAnsi="Arial" w:cs="Arial"/>
          <w:sz w:val="24"/>
          <w:szCs w:val="24"/>
        </w:rPr>
      </w:pPr>
    </w:p>
    <w:p w14:paraId="58C330E8" w14:textId="77777777" w:rsidR="00AA0AF1" w:rsidRPr="00260A09" w:rsidRDefault="00AA0AF1" w:rsidP="00260A09">
      <w:pPr>
        <w:spacing w:line="360" w:lineRule="auto"/>
        <w:ind w:left="900" w:hanging="90"/>
        <w:jc w:val="both"/>
        <w:rPr>
          <w:rFonts w:ascii="Arial" w:hAnsi="Arial" w:cs="Arial"/>
          <w:i/>
          <w:sz w:val="24"/>
          <w:szCs w:val="24"/>
        </w:rPr>
      </w:pPr>
      <w:r w:rsidRPr="00260A09">
        <w:rPr>
          <w:rFonts w:ascii="Arial" w:hAnsi="Arial" w:cs="Arial"/>
          <w:i/>
          <w:sz w:val="24"/>
          <w:szCs w:val="24"/>
        </w:rPr>
        <w:t>“The passages from judgments which are conveniently brought together in Re Palmer and Minister for the Capital Territory (1978) 23 ALR 196 at 206–7; 1 ALD 183 at 193–4, serve to confirm my view that s 13(1) of the Judicial Review Act requires the decision-maker to explain his decision in a way which will enable a person aggrieved to say, in effect: ‘Even though I may not agree with it, I now understand why the decision went against me. I am now in a position to decide whether that decision has involved an unwarranted finding of fact, or an error of law, which is worth challenging.’</w:t>
      </w:r>
    </w:p>
    <w:p w14:paraId="53382665" w14:textId="77777777" w:rsidR="00AA0AF1" w:rsidRPr="00260A09" w:rsidRDefault="00AA0AF1" w:rsidP="00260A09">
      <w:pPr>
        <w:spacing w:line="360" w:lineRule="auto"/>
        <w:ind w:left="810"/>
        <w:jc w:val="both"/>
        <w:rPr>
          <w:rFonts w:ascii="Arial" w:hAnsi="Arial" w:cs="Arial"/>
          <w:i/>
          <w:sz w:val="24"/>
          <w:szCs w:val="24"/>
        </w:rPr>
      </w:pPr>
      <w:r w:rsidRPr="00260A09">
        <w:rPr>
          <w:rFonts w:ascii="Arial" w:hAnsi="Arial" w:cs="Arial"/>
          <w:i/>
          <w:sz w:val="24"/>
          <w:szCs w:val="24"/>
        </w:rPr>
        <w:lastRenderedPageBreak/>
        <w:t>This requires that the decision-maker should set out his understanding of the relevant law, any findings of fact on which his conclusions depend (especially if those facts have been in dispute), and the reasoning processes which led him</w:t>
      </w:r>
    </w:p>
    <w:p w14:paraId="2C25E309" w14:textId="77777777" w:rsidR="00AA0AF1" w:rsidRPr="00260A09" w:rsidRDefault="00AA0AF1" w:rsidP="00260A09">
      <w:pPr>
        <w:spacing w:line="360" w:lineRule="auto"/>
        <w:ind w:left="810"/>
        <w:jc w:val="both"/>
        <w:rPr>
          <w:rFonts w:ascii="Arial" w:hAnsi="Arial" w:cs="Arial"/>
          <w:i/>
          <w:sz w:val="24"/>
          <w:szCs w:val="24"/>
        </w:rPr>
      </w:pPr>
      <w:r w:rsidRPr="00260A09">
        <w:rPr>
          <w:rFonts w:ascii="Arial" w:hAnsi="Arial" w:cs="Arial"/>
          <w:i/>
          <w:sz w:val="24"/>
          <w:szCs w:val="24"/>
        </w:rPr>
        <w:t>to those conclusions. He should do so in clear and unambiguous language, not in vague generalities or the formal language of legislation. The appropriate length of the statement covering such matters will depend upon considerations such as the nature and importance of the decision, its complexity and the time available to formulate the statement. Often those factors may suggest a brief statement of one or two pages only.”</w:t>
      </w:r>
    </w:p>
    <w:p w14:paraId="44838ACA" w14:textId="77777777" w:rsidR="00AA0AF1" w:rsidRPr="00260A09" w:rsidRDefault="00AA0AF1" w:rsidP="00260A09">
      <w:pPr>
        <w:spacing w:line="360" w:lineRule="auto"/>
        <w:ind w:left="720"/>
        <w:jc w:val="both"/>
        <w:rPr>
          <w:rFonts w:ascii="Arial" w:hAnsi="Arial" w:cs="Arial"/>
          <w:i/>
          <w:sz w:val="24"/>
          <w:szCs w:val="24"/>
        </w:rPr>
      </w:pPr>
      <w:r w:rsidRPr="00260A09">
        <w:rPr>
          <w:rFonts w:ascii="Arial" w:hAnsi="Arial" w:cs="Arial"/>
          <w:i/>
          <w:sz w:val="24"/>
          <w:szCs w:val="24"/>
        </w:rPr>
        <w:t>To the same effect, but more brief, is Hoexter The New Constitutional and Administrative Law Vol 2 244:</w:t>
      </w:r>
    </w:p>
    <w:p w14:paraId="05703BE8" w14:textId="77777777" w:rsidR="00887DD5" w:rsidRPr="00031C0C" w:rsidRDefault="00AA0AF1" w:rsidP="00D51CA5">
      <w:pPr>
        <w:spacing w:line="360" w:lineRule="auto"/>
        <w:ind w:left="810"/>
        <w:jc w:val="both"/>
        <w:rPr>
          <w:rFonts w:ascii="Arial" w:hAnsi="Arial" w:cs="Arial"/>
          <w:sz w:val="24"/>
          <w:szCs w:val="24"/>
        </w:rPr>
      </w:pPr>
      <w:r w:rsidRPr="00260A09">
        <w:rPr>
          <w:rFonts w:ascii="Arial" w:hAnsi="Arial" w:cs="Arial"/>
          <w:i/>
          <w:sz w:val="24"/>
          <w:szCs w:val="24"/>
        </w:rPr>
        <w:t>“[I]t is apparent that reasons are not really reasons unless they are properly informative. They must explain why action was taken or not taken; otherwise they are better described as findings or other information.”</w:t>
      </w:r>
      <w:r w:rsidR="006126F3">
        <w:rPr>
          <w:rFonts w:ascii="Arial" w:hAnsi="Arial" w:cs="Arial"/>
          <w:i/>
          <w:sz w:val="24"/>
          <w:szCs w:val="24"/>
        </w:rPr>
        <w:t xml:space="preserve"> </w:t>
      </w:r>
      <w:r w:rsidR="006126F3">
        <w:rPr>
          <w:rStyle w:val="FootnoteReference"/>
          <w:rFonts w:ascii="Arial" w:hAnsi="Arial" w:cs="Arial"/>
          <w:i/>
          <w:sz w:val="24"/>
          <w:szCs w:val="24"/>
        </w:rPr>
        <w:footnoteReference w:id="24"/>
      </w:r>
      <w:r w:rsidR="00031C0C">
        <w:rPr>
          <w:rFonts w:ascii="Arial" w:hAnsi="Arial" w:cs="Arial"/>
          <w:i/>
          <w:sz w:val="24"/>
          <w:szCs w:val="24"/>
        </w:rPr>
        <w:t xml:space="preserve"> </w:t>
      </w:r>
    </w:p>
    <w:p w14:paraId="3DB6E290" w14:textId="77777777" w:rsidR="00260A09" w:rsidRDefault="00260A09" w:rsidP="00260A09">
      <w:pPr>
        <w:spacing w:line="360" w:lineRule="auto"/>
        <w:jc w:val="both"/>
        <w:rPr>
          <w:rFonts w:ascii="Arial" w:hAnsi="Arial" w:cs="Arial"/>
          <w:sz w:val="24"/>
          <w:szCs w:val="24"/>
        </w:rPr>
      </w:pPr>
    </w:p>
    <w:p w14:paraId="2C1E7964" w14:textId="48FBF7B4" w:rsidR="009A0EB6"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29.</w:t>
      </w:r>
      <w:r>
        <w:rPr>
          <w:rFonts w:ascii="Arial" w:hAnsi="Arial" w:cs="Arial"/>
          <w:color w:val="000000" w:themeColor="text1"/>
          <w:sz w:val="24"/>
          <w:szCs w:val="24"/>
        </w:rPr>
        <w:tab/>
      </w:r>
      <w:r w:rsidR="00D51CA5" w:rsidRPr="00BE38D7">
        <w:rPr>
          <w:rFonts w:ascii="Arial" w:hAnsi="Arial" w:cs="Arial"/>
          <w:sz w:val="24"/>
          <w:szCs w:val="24"/>
        </w:rPr>
        <w:t>For the reasons to be adequate</w:t>
      </w:r>
      <w:r w:rsidR="00550BA6" w:rsidRPr="00BE38D7">
        <w:rPr>
          <w:rFonts w:ascii="Arial" w:hAnsi="Arial" w:cs="Arial"/>
          <w:sz w:val="24"/>
          <w:szCs w:val="24"/>
        </w:rPr>
        <w:t xml:space="preserve"> the decision </w:t>
      </w:r>
      <w:r w:rsidR="00ED2B57" w:rsidRPr="00BE38D7">
        <w:rPr>
          <w:rFonts w:ascii="Arial" w:hAnsi="Arial" w:cs="Arial"/>
          <w:sz w:val="24"/>
          <w:szCs w:val="24"/>
        </w:rPr>
        <w:t>maker, as</w:t>
      </w:r>
      <w:r w:rsidR="007C4A2F" w:rsidRPr="00BE38D7">
        <w:rPr>
          <w:rFonts w:ascii="Arial" w:hAnsi="Arial" w:cs="Arial"/>
          <w:sz w:val="24"/>
          <w:szCs w:val="24"/>
        </w:rPr>
        <w:t xml:space="preserve"> was argued on behalf of </w:t>
      </w:r>
      <w:r w:rsidR="00ED2B57" w:rsidRPr="00BE38D7">
        <w:rPr>
          <w:rFonts w:ascii="Arial" w:hAnsi="Arial" w:cs="Arial"/>
          <w:sz w:val="24"/>
          <w:szCs w:val="24"/>
        </w:rPr>
        <w:t>Monsanto, must</w:t>
      </w:r>
      <w:r w:rsidR="009B6132" w:rsidRPr="00BE38D7">
        <w:rPr>
          <w:rFonts w:ascii="Arial" w:hAnsi="Arial" w:cs="Arial"/>
          <w:sz w:val="24"/>
          <w:szCs w:val="24"/>
        </w:rPr>
        <w:t xml:space="preserve"> set out his understanding of the </w:t>
      </w:r>
      <w:r w:rsidR="00AF0DEF" w:rsidRPr="00BE38D7">
        <w:rPr>
          <w:rFonts w:ascii="Arial" w:hAnsi="Arial" w:cs="Arial"/>
          <w:sz w:val="24"/>
          <w:szCs w:val="24"/>
        </w:rPr>
        <w:t>law, the</w:t>
      </w:r>
      <w:r w:rsidR="00092CBD" w:rsidRPr="00BE38D7">
        <w:rPr>
          <w:rFonts w:ascii="Arial" w:hAnsi="Arial" w:cs="Arial"/>
          <w:sz w:val="24"/>
          <w:szCs w:val="24"/>
        </w:rPr>
        <w:t xml:space="preserve"> findings of fact and the reasons</w:t>
      </w:r>
      <w:r w:rsidR="00AF0DEF" w:rsidRPr="00BE38D7">
        <w:rPr>
          <w:rFonts w:ascii="Arial" w:hAnsi="Arial" w:cs="Arial"/>
          <w:sz w:val="24"/>
          <w:szCs w:val="24"/>
        </w:rPr>
        <w:t xml:space="preserve"> that led to the conclusions arrived </w:t>
      </w:r>
      <w:r w:rsidR="00CB5671" w:rsidRPr="00BE38D7">
        <w:rPr>
          <w:rFonts w:ascii="Arial" w:hAnsi="Arial" w:cs="Arial"/>
          <w:sz w:val="24"/>
          <w:szCs w:val="24"/>
        </w:rPr>
        <w:t xml:space="preserve">at. </w:t>
      </w:r>
      <w:r w:rsidR="00F00F4C" w:rsidRPr="00BE38D7">
        <w:rPr>
          <w:rFonts w:ascii="Arial" w:hAnsi="Arial" w:cs="Arial"/>
          <w:sz w:val="24"/>
          <w:szCs w:val="24"/>
        </w:rPr>
        <w:t xml:space="preserve"> </w:t>
      </w:r>
      <w:r w:rsidR="00CA3AE6" w:rsidRPr="00BE38D7">
        <w:rPr>
          <w:rFonts w:ascii="Arial" w:hAnsi="Arial" w:cs="Arial"/>
          <w:sz w:val="24"/>
          <w:szCs w:val="24"/>
        </w:rPr>
        <w:t>In this</w:t>
      </w:r>
      <w:r w:rsidR="00CB5671" w:rsidRPr="00BE38D7">
        <w:rPr>
          <w:rFonts w:ascii="Arial" w:hAnsi="Arial" w:cs="Arial"/>
          <w:sz w:val="24"/>
          <w:szCs w:val="24"/>
        </w:rPr>
        <w:t xml:space="preserve"> instance no finding of law was </w:t>
      </w:r>
      <w:r w:rsidR="00ED2B57" w:rsidRPr="00BE38D7">
        <w:rPr>
          <w:rFonts w:ascii="Arial" w:hAnsi="Arial" w:cs="Arial"/>
          <w:sz w:val="24"/>
          <w:szCs w:val="24"/>
        </w:rPr>
        <w:t>required</w:t>
      </w:r>
      <w:r w:rsidR="00F00F4C" w:rsidRPr="00BE38D7">
        <w:rPr>
          <w:rFonts w:ascii="Arial" w:hAnsi="Arial" w:cs="Arial"/>
          <w:sz w:val="24"/>
          <w:szCs w:val="24"/>
        </w:rPr>
        <w:t xml:space="preserve"> </w:t>
      </w:r>
      <w:r w:rsidR="002D4C55" w:rsidRPr="00BE38D7">
        <w:rPr>
          <w:rFonts w:ascii="Arial" w:hAnsi="Arial" w:cs="Arial"/>
          <w:sz w:val="24"/>
          <w:szCs w:val="24"/>
        </w:rPr>
        <w:t>The E</w:t>
      </w:r>
      <w:r w:rsidR="00102BE7" w:rsidRPr="00BE38D7">
        <w:rPr>
          <w:rFonts w:ascii="Arial" w:hAnsi="Arial" w:cs="Arial"/>
          <w:sz w:val="24"/>
          <w:szCs w:val="24"/>
        </w:rPr>
        <w:t>C decision sets out the findings of fact</w:t>
      </w:r>
      <w:r w:rsidR="008250A7" w:rsidRPr="00BE38D7">
        <w:rPr>
          <w:rFonts w:ascii="Arial" w:hAnsi="Arial" w:cs="Arial"/>
          <w:sz w:val="24"/>
          <w:szCs w:val="24"/>
        </w:rPr>
        <w:t xml:space="preserve"> and the </w:t>
      </w:r>
      <w:r w:rsidR="008E103D" w:rsidRPr="00BE38D7">
        <w:rPr>
          <w:rFonts w:ascii="Arial" w:hAnsi="Arial" w:cs="Arial"/>
          <w:sz w:val="24"/>
          <w:szCs w:val="24"/>
        </w:rPr>
        <w:t>conclusions</w:t>
      </w:r>
      <w:r w:rsidR="008250A7" w:rsidRPr="00BE38D7">
        <w:rPr>
          <w:rFonts w:ascii="Arial" w:hAnsi="Arial" w:cs="Arial"/>
          <w:sz w:val="24"/>
          <w:szCs w:val="24"/>
        </w:rPr>
        <w:t xml:space="preserve"> arrived at</w:t>
      </w:r>
      <w:r w:rsidR="0063506E" w:rsidRPr="00BE38D7">
        <w:rPr>
          <w:rFonts w:ascii="Arial" w:hAnsi="Arial" w:cs="Arial"/>
          <w:sz w:val="24"/>
          <w:szCs w:val="24"/>
        </w:rPr>
        <w:t xml:space="preserve">. As a </w:t>
      </w:r>
      <w:r w:rsidR="0069415F" w:rsidRPr="00BE38D7">
        <w:rPr>
          <w:rFonts w:ascii="Arial" w:hAnsi="Arial" w:cs="Arial"/>
          <w:sz w:val="24"/>
          <w:szCs w:val="24"/>
        </w:rPr>
        <w:t>result,</w:t>
      </w:r>
      <w:r w:rsidR="0063506E" w:rsidRPr="00BE38D7">
        <w:rPr>
          <w:rFonts w:ascii="Arial" w:hAnsi="Arial" w:cs="Arial"/>
          <w:sz w:val="24"/>
          <w:szCs w:val="24"/>
        </w:rPr>
        <w:t xml:space="preserve"> t</w:t>
      </w:r>
      <w:r w:rsidR="0069415F" w:rsidRPr="00BE38D7">
        <w:rPr>
          <w:rFonts w:ascii="Arial" w:hAnsi="Arial" w:cs="Arial"/>
          <w:sz w:val="24"/>
          <w:szCs w:val="24"/>
        </w:rPr>
        <w:t xml:space="preserve">he EC </w:t>
      </w:r>
      <w:r w:rsidR="00F00F4C" w:rsidRPr="00BE38D7">
        <w:rPr>
          <w:rFonts w:ascii="Arial" w:hAnsi="Arial" w:cs="Arial"/>
          <w:sz w:val="24"/>
          <w:szCs w:val="24"/>
        </w:rPr>
        <w:t>decision</w:t>
      </w:r>
      <w:r w:rsidR="009916AC" w:rsidRPr="00BE38D7">
        <w:rPr>
          <w:rFonts w:ascii="Arial" w:hAnsi="Arial" w:cs="Arial"/>
          <w:sz w:val="24"/>
          <w:szCs w:val="24"/>
        </w:rPr>
        <w:t xml:space="preserve"> </w:t>
      </w:r>
      <w:r w:rsidR="00DD5BE8" w:rsidRPr="00BE38D7">
        <w:rPr>
          <w:rFonts w:ascii="Arial" w:hAnsi="Arial" w:cs="Arial"/>
          <w:sz w:val="24"/>
          <w:szCs w:val="24"/>
        </w:rPr>
        <w:t>met</w:t>
      </w:r>
      <w:r w:rsidR="009916AC" w:rsidRPr="00BE38D7">
        <w:rPr>
          <w:rFonts w:ascii="Arial" w:hAnsi="Arial" w:cs="Arial"/>
          <w:sz w:val="24"/>
          <w:szCs w:val="24"/>
        </w:rPr>
        <w:t xml:space="preserve"> the requirements set out in Phambili</w:t>
      </w:r>
      <w:r w:rsidR="00DD5BE8" w:rsidRPr="00BE38D7">
        <w:rPr>
          <w:rFonts w:ascii="Arial" w:hAnsi="Arial" w:cs="Arial"/>
          <w:sz w:val="24"/>
          <w:szCs w:val="24"/>
        </w:rPr>
        <w:t xml:space="preserve"> </w:t>
      </w:r>
      <w:r w:rsidR="00205D29" w:rsidRPr="00BE38D7">
        <w:rPr>
          <w:rFonts w:ascii="Arial" w:hAnsi="Arial" w:cs="Arial"/>
          <w:sz w:val="24"/>
          <w:szCs w:val="24"/>
        </w:rPr>
        <w:t>and the other authorities referred</w:t>
      </w:r>
      <w:r w:rsidR="00FD149A" w:rsidRPr="00BE38D7">
        <w:rPr>
          <w:rFonts w:ascii="Arial" w:hAnsi="Arial" w:cs="Arial"/>
          <w:sz w:val="24"/>
          <w:szCs w:val="24"/>
        </w:rPr>
        <w:t xml:space="preserve"> to</w:t>
      </w:r>
      <w:r w:rsidR="00645054" w:rsidRPr="00BE38D7">
        <w:rPr>
          <w:rFonts w:ascii="Arial" w:hAnsi="Arial" w:cs="Arial"/>
          <w:sz w:val="24"/>
          <w:szCs w:val="24"/>
        </w:rPr>
        <w:t>.</w:t>
      </w:r>
      <w:r w:rsidR="009916AC" w:rsidRPr="00BE38D7">
        <w:rPr>
          <w:rFonts w:ascii="Arial" w:hAnsi="Arial" w:cs="Arial"/>
          <w:sz w:val="24"/>
          <w:szCs w:val="24"/>
        </w:rPr>
        <w:t xml:space="preserve"> ACB was placed in a position to decide whether the decision involved “an unwarranted finding”, which should be appealed or </w:t>
      </w:r>
      <w:r w:rsidR="00F00F4C" w:rsidRPr="00BE38D7">
        <w:rPr>
          <w:rFonts w:ascii="Arial" w:hAnsi="Arial" w:cs="Arial"/>
          <w:sz w:val="24"/>
          <w:szCs w:val="24"/>
        </w:rPr>
        <w:t>reviewed. The</w:t>
      </w:r>
      <w:r w:rsidR="001C4B51" w:rsidRPr="00BE38D7">
        <w:rPr>
          <w:rFonts w:ascii="Arial" w:hAnsi="Arial" w:cs="Arial"/>
          <w:sz w:val="24"/>
          <w:szCs w:val="24"/>
        </w:rPr>
        <w:t xml:space="preserve"> </w:t>
      </w:r>
      <w:r w:rsidR="001A47BD" w:rsidRPr="00BE38D7">
        <w:rPr>
          <w:rFonts w:ascii="Arial" w:hAnsi="Arial" w:cs="Arial"/>
          <w:sz w:val="24"/>
          <w:szCs w:val="24"/>
        </w:rPr>
        <w:t xml:space="preserve">complainant </w:t>
      </w:r>
      <w:r w:rsidR="001C4B51" w:rsidRPr="00BE38D7">
        <w:rPr>
          <w:rFonts w:ascii="Arial" w:hAnsi="Arial" w:cs="Arial"/>
          <w:sz w:val="24"/>
          <w:szCs w:val="24"/>
        </w:rPr>
        <w:t>was</w:t>
      </w:r>
      <w:r w:rsidR="001A47BD" w:rsidRPr="00BE38D7">
        <w:rPr>
          <w:rFonts w:ascii="Arial" w:hAnsi="Arial" w:cs="Arial"/>
          <w:sz w:val="24"/>
          <w:szCs w:val="24"/>
        </w:rPr>
        <w:t xml:space="preserve"> provided</w:t>
      </w:r>
      <w:r w:rsidR="00174E84" w:rsidRPr="00BE38D7">
        <w:rPr>
          <w:rFonts w:ascii="Arial" w:hAnsi="Arial" w:cs="Arial"/>
          <w:sz w:val="24"/>
          <w:szCs w:val="24"/>
        </w:rPr>
        <w:t xml:space="preserve"> with the decision maker’s actual reasons</w:t>
      </w:r>
      <w:r w:rsidR="00503417" w:rsidRPr="00BE38D7">
        <w:rPr>
          <w:rFonts w:ascii="Arial" w:hAnsi="Arial" w:cs="Arial"/>
          <w:sz w:val="24"/>
          <w:szCs w:val="24"/>
        </w:rPr>
        <w:t xml:space="preserve"> </w:t>
      </w:r>
      <w:r w:rsidR="00087DFB" w:rsidRPr="00BE38D7">
        <w:rPr>
          <w:rFonts w:ascii="Arial" w:hAnsi="Arial" w:cs="Arial"/>
          <w:sz w:val="24"/>
          <w:szCs w:val="24"/>
        </w:rPr>
        <w:t>to</w:t>
      </w:r>
      <w:r w:rsidR="00503417" w:rsidRPr="00BE38D7">
        <w:rPr>
          <w:rFonts w:ascii="Arial" w:hAnsi="Arial" w:cs="Arial"/>
          <w:sz w:val="24"/>
          <w:szCs w:val="24"/>
        </w:rPr>
        <w:t xml:space="preserve"> enable it to formulate its ob</w:t>
      </w:r>
      <w:r w:rsidR="002C42DC" w:rsidRPr="00BE38D7">
        <w:rPr>
          <w:rFonts w:ascii="Arial" w:hAnsi="Arial" w:cs="Arial"/>
          <w:sz w:val="24"/>
          <w:szCs w:val="24"/>
        </w:rPr>
        <w:t xml:space="preserve">jections </w:t>
      </w:r>
      <w:r w:rsidR="00D31277" w:rsidRPr="00BE38D7">
        <w:rPr>
          <w:rFonts w:ascii="Arial" w:hAnsi="Arial" w:cs="Arial"/>
          <w:sz w:val="24"/>
          <w:szCs w:val="24"/>
        </w:rPr>
        <w:t>thereto, the</w:t>
      </w:r>
      <w:r w:rsidR="00022BF9" w:rsidRPr="00BE38D7">
        <w:rPr>
          <w:rFonts w:ascii="Arial" w:hAnsi="Arial" w:cs="Arial"/>
          <w:sz w:val="24"/>
          <w:szCs w:val="24"/>
        </w:rPr>
        <w:t xml:space="preserve"> adequacy of reasons does not include</w:t>
      </w:r>
      <w:r w:rsidR="008E2C1F" w:rsidRPr="00BE38D7">
        <w:rPr>
          <w:rFonts w:ascii="Arial" w:hAnsi="Arial" w:cs="Arial"/>
          <w:sz w:val="24"/>
          <w:szCs w:val="24"/>
        </w:rPr>
        <w:t xml:space="preserve"> a consideration of the cogency or rationality of the reasons</w:t>
      </w:r>
      <w:r w:rsidR="00952EDD" w:rsidRPr="00BE38D7">
        <w:rPr>
          <w:rFonts w:ascii="Arial" w:hAnsi="Arial" w:cs="Arial"/>
          <w:sz w:val="24"/>
          <w:szCs w:val="24"/>
        </w:rPr>
        <w:t>.</w:t>
      </w:r>
      <w:r w:rsidR="006126F3">
        <w:rPr>
          <w:rStyle w:val="FootnoteReference"/>
          <w:rFonts w:ascii="Arial" w:hAnsi="Arial" w:cs="Arial"/>
          <w:sz w:val="24"/>
          <w:szCs w:val="24"/>
        </w:rPr>
        <w:footnoteReference w:id="25"/>
      </w:r>
      <w:r w:rsidR="005D402B" w:rsidRPr="00BE38D7">
        <w:rPr>
          <w:rFonts w:ascii="Arial" w:hAnsi="Arial" w:cs="Arial"/>
          <w:sz w:val="24"/>
          <w:szCs w:val="24"/>
        </w:rPr>
        <w:t xml:space="preserve"> </w:t>
      </w:r>
      <w:r w:rsidR="00952EDD" w:rsidRPr="00BE38D7">
        <w:rPr>
          <w:rFonts w:ascii="Arial" w:hAnsi="Arial" w:cs="Arial"/>
          <w:sz w:val="24"/>
          <w:szCs w:val="24"/>
        </w:rPr>
        <w:t>A</w:t>
      </w:r>
      <w:r w:rsidR="00BD5C8E" w:rsidRPr="00BE38D7">
        <w:rPr>
          <w:rFonts w:ascii="Arial" w:hAnsi="Arial" w:cs="Arial"/>
          <w:sz w:val="24"/>
          <w:szCs w:val="24"/>
        </w:rPr>
        <w:t>s</w:t>
      </w:r>
      <w:r w:rsidR="00B17258" w:rsidRPr="00BE38D7">
        <w:rPr>
          <w:rFonts w:ascii="Arial" w:hAnsi="Arial" w:cs="Arial"/>
          <w:sz w:val="24"/>
          <w:szCs w:val="24"/>
        </w:rPr>
        <w:t xml:space="preserve"> </w:t>
      </w:r>
      <w:r w:rsidR="00A31E3A" w:rsidRPr="00BE38D7">
        <w:rPr>
          <w:rFonts w:ascii="Arial" w:hAnsi="Arial" w:cs="Arial"/>
          <w:sz w:val="24"/>
          <w:szCs w:val="24"/>
        </w:rPr>
        <w:t xml:space="preserve">a </w:t>
      </w:r>
      <w:r w:rsidR="00313B07" w:rsidRPr="00BE38D7">
        <w:rPr>
          <w:rFonts w:ascii="Arial" w:hAnsi="Arial" w:cs="Arial"/>
          <w:sz w:val="24"/>
          <w:szCs w:val="24"/>
        </w:rPr>
        <w:t>result</w:t>
      </w:r>
      <w:r w:rsidR="00B17258" w:rsidRPr="00BE38D7">
        <w:rPr>
          <w:rFonts w:ascii="Arial" w:hAnsi="Arial" w:cs="Arial"/>
          <w:sz w:val="24"/>
          <w:szCs w:val="24"/>
        </w:rPr>
        <w:t>,</w:t>
      </w:r>
      <w:r w:rsidR="00313B07" w:rsidRPr="00BE38D7">
        <w:rPr>
          <w:rFonts w:ascii="Arial" w:hAnsi="Arial" w:cs="Arial"/>
          <w:sz w:val="24"/>
          <w:szCs w:val="24"/>
        </w:rPr>
        <w:t xml:space="preserve"> the conclusion is that the reasons</w:t>
      </w:r>
      <w:r w:rsidR="00B44EA0" w:rsidRPr="00BE38D7">
        <w:rPr>
          <w:rFonts w:ascii="Arial" w:hAnsi="Arial" w:cs="Arial"/>
          <w:sz w:val="24"/>
          <w:szCs w:val="24"/>
        </w:rPr>
        <w:t xml:space="preserve"> provided were adequate and this objection must fail</w:t>
      </w:r>
      <w:r w:rsidR="008222F3" w:rsidRPr="00BE38D7">
        <w:rPr>
          <w:rFonts w:ascii="Arial" w:hAnsi="Arial" w:cs="Arial"/>
          <w:sz w:val="24"/>
          <w:szCs w:val="24"/>
        </w:rPr>
        <w:t>.</w:t>
      </w:r>
      <w:r w:rsidR="009916AC" w:rsidRPr="00BE38D7">
        <w:rPr>
          <w:rFonts w:ascii="Arial" w:hAnsi="Arial" w:cs="Arial"/>
          <w:sz w:val="24"/>
          <w:szCs w:val="24"/>
        </w:rPr>
        <w:t xml:space="preserve"> </w:t>
      </w:r>
    </w:p>
    <w:p w14:paraId="2823CB52" w14:textId="77777777" w:rsidR="00310F63" w:rsidRDefault="00310F63" w:rsidP="00310F63">
      <w:pPr>
        <w:pStyle w:val="ListParagraph"/>
        <w:spacing w:line="360" w:lineRule="auto"/>
        <w:jc w:val="both"/>
        <w:rPr>
          <w:rFonts w:ascii="Arial" w:hAnsi="Arial" w:cs="Arial"/>
          <w:sz w:val="24"/>
          <w:szCs w:val="24"/>
        </w:rPr>
      </w:pPr>
    </w:p>
    <w:p w14:paraId="003BC20A" w14:textId="77777777" w:rsidR="00203BA3" w:rsidRDefault="00203BA3" w:rsidP="00203BA3">
      <w:pPr>
        <w:spacing w:line="360" w:lineRule="auto"/>
        <w:jc w:val="both"/>
        <w:rPr>
          <w:rFonts w:ascii="Arial" w:hAnsi="Arial" w:cs="Arial"/>
          <w:sz w:val="24"/>
          <w:szCs w:val="24"/>
          <w:u w:val="single"/>
        </w:rPr>
      </w:pPr>
      <w:r w:rsidRPr="00203BA3">
        <w:rPr>
          <w:rFonts w:ascii="Arial" w:hAnsi="Arial" w:cs="Arial"/>
          <w:sz w:val="24"/>
          <w:szCs w:val="24"/>
          <w:u w:val="single"/>
        </w:rPr>
        <w:lastRenderedPageBreak/>
        <w:t>Did the EC apply its mind to the information provided to it by Monsanto and was the decision supported by the evidence before it</w:t>
      </w:r>
    </w:p>
    <w:p w14:paraId="0F8FA46C" w14:textId="77777777" w:rsidR="00310F63" w:rsidRDefault="00310F63" w:rsidP="00203BA3">
      <w:pPr>
        <w:spacing w:line="360" w:lineRule="auto"/>
        <w:jc w:val="both"/>
        <w:rPr>
          <w:rFonts w:ascii="Arial" w:hAnsi="Arial" w:cs="Arial"/>
          <w:sz w:val="24"/>
          <w:szCs w:val="24"/>
          <w:u w:val="single"/>
        </w:rPr>
      </w:pPr>
    </w:p>
    <w:p w14:paraId="14A36BDA" w14:textId="51E339BD" w:rsidR="00310F63" w:rsidRPr="00BE38D7" w:rsidRDefault="00BE38D7" w:rsidP="00BE38D7">
      <w:pPr>
        <w:spacing w:line="360" w:lineRule="auto"/>
        <w:ind w:left="720" w:hanging="720"/>
        <w:jc w:val="both"/>
        <w:rPr>
          <w:rFonts w:ascii="Arial" w:hAnsi="Arial" w:cs="Arial"/>
          <w:sz w:val="24"/>
          <w:szCs w:val="24"/>
          <w:u w:val="single"/>
        </w:rPr>
      </w:pPr>
      <w:r w:rsidRPr="00962E24">
        <w:rPr>
          <w:rFonts w:ascii="Arial" w:hAnsi="Arial" w:cs="Arial"/>
          <w:color w:val="000000" w:themeColor="text1"/>
          <w:sz w:val="24"/>
          <w:szCs w:val="24"/>
        </w:rPr>
        <w:t>30.</w:t>
      </w:r>
      <w:r w:rsidRPr="00962E24">
        <w:rPr>
          <w:rFonts w:ascii="Arial" w:hAnsi="Arial" w:cs="Arial"/>
          <w:color w:val="000000" w:themeColor="text1"/>
          <w:sz w:val="24"/>
          <w:szCs w:val="24"/>
        </w:rPr>
        <w:tab/>
      </w:r>
      <w:r w:rsidR="00BC512E" w:rsidRPr="00BE38D7">
        <w:rPr>
          <w:rFonts w:ascii="Arial" w:hAnsi="Arial" w:cs="Arial"/>
          <w:sz w:val="24"/>
          <w:szCs w:val="24"/>
        </w:rPr>
        <w:t xml:space="preserve">The record shows that </w:t>
      </w:r>
      <w:r w:rsidR="00CE785E" w:rsidRPr="00BE38D7">
        <w:rPr>
          <w:rFonts w:ascii="Arial" w:hAnsi="Arial" w:cs="Arial"/>
          <w:sz w:val="24"/>
          <w:szCs w:val="24"/>
        </w:rPr>
        <w:t>n</w:t>
      </w:r>
      <w:r w:rsidR="00F971D5" w:rsidRPr="00BE38D7">
        <w:rPr>
          <w:rFonts w:ascii="Arial" w:hAnsi="Arial" w:cs="Arial"/>
          <w:sz w:val="24"/>
          <w:szCs w:val="24"/>
        </w:rPr>
        <w:t>o</w:t>
      </w:r>
      <w:r w:rsidR="00310F63" w:rsidRPr="00BE38D7">
        <w:rPr>
          <w:rFonts w:ascii="Arial" w:hAnsi="Arial" w:cs="Arial"/>
          <w:sz w:val="24"/>
          <w:szCs w:val="24"/>
        </w:rPr>
        <w:t xml:space="preserve"> submissions by third parties </w:t>
      </w:r>
      <w:r w:rsidR="00F971D5" w:rsidRPr="00BE38D7">
        <w:rPr>
          <w:rFonts w:ascii="Arial" w:hAnsi="Arial" w:cs="Arial"/>
          <w:sz w:val="24"/>
          <w:szCs w:val="24"/>
        </w:rPr>
        <w:t>were</w:t>
      </w:r>
      <w:r w:rsidR="00310F63" w:rsidRPr="00BE38D7">
        <w:rPr>
          <w:rFonts w:ascii="Arial" w:hAnsi="Arial" w:cs="Arial"/>
          <w:sz w:val="24"/>
          <w:szCs w:val="24"/>
        </w:rPr>
        <w:t xml:space="preserve"> placed before </w:t>
      </w:r>
      <w:r w:rsidR="00F971D5" w:rsidRPr="00BE38D7">
        <w:rPr>
          <w:rFonts w:ascii="Arial" w:hAnsi="Arial" w:cs="Arial"/>
          <w:sz w:val="24"/>
          <w:szCs w:val="24"/>
        </w:rPr>
        <w:t>the EC</w:t>
      </w:r>
      <w:r w:rsidR="00310F63" w:rsidRPr="00BE38D7">
        <w:rPr>
          <w:rFonts w:ascii="Arial" w:hAnsi="Arial" w:cs="Arial"/>
          <w:sz w:val="24"/>
          <w:szCs w:val="24"/>
        </w:rPr>
        <w:t xml:space="preserve">. However, </w:t>
      </w:r>
      <w:r w:rsidR="00F971D5" w:rsidRPr="00BE38D7">
        <w:rPr>
          <w:rFonts w:ascii="Arial" w:hAnsi="Arial" w:cs="Arial"/>
          <w:sz w:val="24"/>
          <w:szCs w:val="24"/>
        </w:rPr>
        <w:t>it</w:t>
      </w:r>
      <w:r w:rsidR="00310F63" w:rsidRPr="00BE38D7">
        <w:rPr>
          <w:rFonts w:ascii="Arial" w:hAnsi="Arial" w:cs="Arial"/>
          <w:sz w:val="24"/>
          <w:szCs w:val="24"/>
        </w:rPr>
        <w:t xml:space="preserve"> was </w:t>
      </w:r>
      <w:r w:rsidR="00667AE0" w:rsidRPr="00BE38D7">
        <w:rPr>
          <w:rFonts w:ascii="Arial" w:hAnsi="Arial" w:cs="Arial"/>
          <w:sz w:val="24"/>
          <w:szCs w:val="24"/>
        </w:rPr>
        <w:t>assisted by th</w:t>
      </w:r>
      <w:r w:rsidR="00735304" w:rsidRPr="00BE38D7">
        <w:rPr>
          <w:rFonts w:ascii="Arial" w:hAnsi="Arial" w:cs="Arial"/>
          <w:sz w:val="24"/>
          <w:szCs w:val="24"/>
        </w:rPr>
        <w:t>e AC</w:t>
      </w:r>
      <w:r w:rsidR="00CE1F3E" w:rsidRPr="00BE38D7">
        <w:rPr>
          <w:rFonts w:ascii="Arial" w:hAnsi="Arial" w:cs="Arial"/>
          <w:sz w:val="24"/>
          <w:szCs w:val="24"/>
        </w:rPr>
        <w:t xml:space="preserve"> in coming to the decision</w:t>
      </w:r>
      <w:r w:rsidR="00F971D5" w:rsidRPr="00BE38D7">
        <w:rPr>
          <w:rFonts w:ascii="Arial" w:hAnsi="Arial" w:cs="Arial"/>
          <w:sz w:val="24"/>
          <w:szCs w:val="24"/>
        </w:rPr>
        <w:t>.</w:t>
      </w:r>
      <w:r w:rsidR="009958F7" w:rsidRPr="00BE38D7">
        <w:rPr>
          <w:rFonts w:ascii="Arial" w:hAnsi="Arial" w:cs="Arial"/>
          <w:sz w:val="24"/>
          <w:szCs w:val="24"/>
        </w:rPr>
        <w:t xml:space="preserve"> The EC consisted of five members, who represented the Department of Agriculture, Forestry and Fisheries, the Department of Environmental Affairs, the Department of Science and Technology, the Department of Trade and Industry </w:t>
      </w:r>
      <w:r w:rsidR="008F010F" w:rsidRPr="00BE38D7">
        <w:rPr>
          <w:rFonts w:ascii="Arial" w:hAnsi="Arial" w:cs="Arial"/>
          <w:sz w:val="24"/>
          <w:szCs w:val="24"/>
        </w:rPr>
        <w:t>and Professor Bouwer, the Chairperson of the AC. Two meetings were held on 21 January 2015 and 26 June 2015 where Monsanto’s application was considered. The minutes were kept and form part of the record.</w:t>
      </w:r>
    </w:p>
    <w:p w14:paraId="5C6D36E8" w14:textId="77777777" w:rsidR="00962E24" w:rsidRPr="008F010F" w:rsidRDefault="00962E24" w:rsidP="00962E24">
      <w:pPr>
        <w:pStyle w:val="ListParagraph"/>
        <w:spacing w:line="360" w:lineRule="auto"/>
        <w:jc w:val="both"/>
        <w:rPr>
          <w:rFonts w:ascii="Arial" w:hAnsi="Arial" w:cs="Arial"/>
          <w:sz w:val="24"/>
          <w:szCs w:val="24"/>
          <w:u w:val="single"/>
        </w:rPr>
      </w:pPr>
    </w:p>
    <w:p w14:paraId="64E054D3" w14:textId="14A9FF79" w:rsidR="00982762"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31.</w:t>
      </w:r>
      <w:r>
        <w:rPr>
          <w:rFonts w:ascii="Arial" w:hAnsi="Arial" w:cs="Arial"/>
          <w:color w:val="000000" w:themeColor="text1"/>
          <w:sz w:val="24"/>
          <w:szCs w:val="24"/>
        </w:rPr>
        <w:tab/>
      </w:r>
      <w:r w:rsidR="008F010F" w:rsidRPr="00BE38D7">
        <w:rPr>
          <w:rFonts w:ascii="Arial" w:hAnsi="Arial" w:cs="Arial"/>
          <w:sz w:val="24"/>
          <w:szCs w:val="24"/>
        </w:rPr>
        <w:t xml:space="preserve">ACB </w:t>
      </w:r>
      <w:r w:rsidR="00940AD3" w:rsidRPr="00BE38D7">
        <w:rPr>
          <w:rFonts w:ascii="Arial" w:hAnsi="Arial" w:cs="Arial"/>
          <w:sz w:val="24"/>
          <w:szCs w:val="24"/>
        </w:rPr>
        <w:t>argues</w:t>
      </w:r>
      <w:r w:rsidR="008F010F" w:rsidRPr="00BE38D7">
        <w:rPr>
          <w:rFonts w:ascii="Arial" w:hAnsi="Arial" w:cs="Arial"/>
          <w:sz w:val="24"/>
          <w:szCs w:val="24"/>
        </w:rPr>
        <w:t xml:space="preserve"> that the EC did not attend to a rigorous scientific assessment in relation to the safety and efficacy of MON 87460 and uncritically accep</w:t>
      </w:r>
      <w:r w:rsidR="00B0381B" w:rsidRPr="00BE38D7">
        <w:rPr>
          <w:rFonts w:ascii="Arial" w:hAnsi="Arial" w:cs="Arial"/>
          <w:sz w:val="24"/>
          <w:szCs w:val="24"/>
        </w:rPr>
        <w:t>t</w:t>
      </w:r>
      <w:r w:rsidR="008F010F" w:rsidRPr="00BE38D7">
        <w:rPr>
          <w:rFonts w:ascii="Arial" w:hAnsi="Arial" w:cs="Arial"/>
          <w:sz w:val="24"/>
          <w:szCs w:val="24"/>
        </w:rPr>
        <w:t>ed</w:t>
      </w:r>
      <w:r w:rsidR="00B0381B" w:rsidRPr="00BE38D7">
        <w:rPr>
          <w:rFonts w:ascii="Arial" w:hAnsi="Arial" w:cs="Arial"/>
          <w:sz w:val="24"/>
          <w:szCs w:val="24"/>
        </w:rPr>
        <w:t xml:space="preserve"> the evidence contained in Monsanto’s application</w:t>
      </w:r>
      <w:r w:rsidR="0052425F" w:rsidRPr="00BE38D7">
        <w:rPr>
          <w:rFonts w:ascii="Arial" w:hAnsi="Arial" w:cs="Arial"/>
          <w:sz w:val="24"/>
          <w:szCs w:val="24"/>
        </w:rPr>
        <w:t>.</w:t>
      </w:r>
      <w:r w:rsidR="00B0381B" w:rsidRPr="00BE38D7">
        <w:rPr>
          <w:rFonts w:ascii="Arial" w:hAnsi="Arial" w:cs="Arial"/>
          <w:sz w:val="24"/>
          <w:szCs w:val="24"/>
        </w:rPr>
        <w:t xml:space="preserve"> </w:t>
      </w:r>
      <w:r w:rsidR="0052425F" w:rsidRPr="00BE38D7">
        <w:rPr>
          <w:rFonts w:ascii="Arial" w:hAnsi="Arial" w:cs="Arial"/>
          <w:sz w:val="24"/>
          <w:szCs w:val="24"/>
        </w:rPr>
        <w:t>ACB argued that the EC should have</w:t>
      </w:r>
      <w:r w:rsidR="00867AE8" w:rsidRPr="00BE38D7">
        <w:rPr>
          <w:rFonts w:ascii="Arial" w:hAnsi="Arial" w:cs="Arial"/>
          <w:sz w:val="24"/>
          <w:szCs w:val="24"/>
        </w:rPr>
        <w:t xml:space="preserve"> called </w:t>
      </w:r>
      <w:r w:rsidR="0099687C" w:rsidRPr="00BE38D7">
        <w:rPr>
          <w:rFonts w:ascii="Arial" w:hAnsi="Arial" w:cs="Arial"/>
          <w:sz w:val="24"/>
          <w:szCs w:val="24"/>
        </w:rPr>
        <w:t>for an</w:t>
      </w:r>
      <w:r w:rsidR="00B0381B" w:rsidRPr="00BE38D7">
        <w:rPr>
          <w:rFonts w:ascii="Arial" w:hAnsi="Arial" w:cs="Arial"/>
          <w:sz w:val="24"/>
          <w:szCs w:val="24"/>
        </w:rPr>
        <w:t xml:space="preserve"> independent risk </w:t>
      </w:r>
      <w:r w:rsidR="00FF00A4" w:rsidRPr="00BE38D7">
        <w:rPr>
          <w:rFonts w:ascii="Arial" w:hAnsi="Arial" w:cs="Arial"/>
          <w:sz w:val="24"/>
          <w:szCs w:val="24"/>
        </w:rPr>
        <w:t>assessment. This</w:t>
      </w:r>
      <w:r w:rsidR="0088519D" w:rsidRPr="00BE38D7">
        <w:rPr>
          <w:rFonts w:ascii="Arial" w:hAnsi="Arial" w:cs="Arial"/>
          <w:sz w:val="24"/>
          <w:szCs w:val="24"/>
        </w:rPr>
        <w:t xml:space="preserve"> aspect was already dealt with earlier in the </w:t>
      </w:r>
      <w:r w:rsidR="00FF00A4" w:rsidRPr="00BE38D7">
        <w:rPr>
          <w:rFonts w:ascii="Arial" w:hAnsi="Arial" w:cs="Arial"/>
          <w:sz w:val="24"/>
          <w:szCs w:val="24"/>
        </w:rPr>
        <w:t>judgment. It</w:t>
      </w:r>
      <w:r w:rsidR="00044577" w:rsidRPr="00BE38D7">
        <w:rPr>
          <w:rFonts w:ascii="Arial" w:hAnsi="Arial" w:cs="Arial"/>
          <w:sz w:val="24"/>
          <w:szCs w:val="24"/>
        </w:rPr>
        <w:t xml:space="preserve"> is also clear from the record that there was a proper consideration of all the aspects relevant to the </w:t>
      </w:r>
      <w:r w:rsidR="004738F8" w:rsidRPr="00BE38D7">
        <w:rPr>
          <w:rFonts w:ascii="Arial" w:hAnsi="Arial" w:cs="Arial"/>
          <w:sz w:val="24"/>
          <w:szCs w:val="24"/>
        </w:rPr>
        <w:t xml:space="preserve">application. ACB </w:t>
      </w:r>
      <w:r w:rsidR="00642AA0" w:rsidRPr="00BE38D7">
        <w:rPr>
          <w:rFonts w:ascii="Arial" w:hAnsi="Arial" w:cs="Arial"/>
          <w:sz w:val="24"/>
          <w:szCs w:val="24"/>
        </w:rPr>
        <w:t>failed to file a supplementary affidavit,</w:t>
      </w:r>
      <w:r w:rsidR="004738F8" w:rsidRPr="00BE38D7">
        <w:rPr>
          <w:rFonts w:ascii="Arial" w:hAnsi="Arial" w:cs="Arial"/>
          <w:sz w:val="24"/>
          <w:szCs w:val="24"/>
        </w:rPr>
        <w:t xml:space="preserve"> </w:t>
      </w:r>
      <w:r w:rsidR="00642AA0" w:rsidRPr="00BE38D7">
        <w:rPr>
          <w:rFonts w:ascii="Arial" w:hAnsi="Arial" w:cs="Arial"/>
          <w:sz w:val="24"/>
          <w:szCs w:val="24"/>
        </w:rPr>
        <w:t>after the f</w:t>
      </w:r>
      <w:r w:rsidR="00FF00A4" w:rsidRPr="00BE38D7">
        <w:rPr>
          <w:rFonts w:ascii="Arial" w:hAnsi="Arial" w:cs="Arial"/>
          <w:sz w:val="24"/>
          <w:szCs w:val="24"/>
        </w:rPr>
        <w:t>iling of the record</w:t>
      </w:r>
      <w:r w:rsidR="004738F8" w:rsidRPr="00BE38D7">
        <w:rPr>
          <w:rFonts w:ascii="Arial" w:hAnsi="Arial" w:cs="Arial"/>
          <w:sz w:val="24"/>
          <w:szCs w:val="24"/>
        </w:rPr>
        <w:t xml:space="preserve"> and forfeited an </w:t>
      </w:r>
      <w:r w:rsidR="006914B0" w:rsidRPr="00BE38D7">
        <w:rPr>
          <w:rFonts w:ascii="Arial" w:hAnsi="Arial" w:cs="Arial"/>
          <w:sz w:val="24"/>
          <w:szCs w:val="24"/>
        </w:rPr>
        <w:t xml:space="preserve">opportunity to address any </w:t>
      </w:r>
      <w:r w:rsidR="00E103DA" w:rsidRPr="00BE38D7">
        <w:rPr>
          <w:rFonts w:ascii="Arial" w:hAnsi="Arial" w:cs="Arial"/>
          <w:sz w:val="24"/>
          <w:szCs w:val="24"/>
        </w:rPr>
        <w:t>aspects pertaining to the recommendations and the minutes</w:t>
      </w:r>
      <w:r w:rsidR="000B6C24" w:rsidRPr="00BE38D7">
        <w:rPr>
          <w:rFonts w:ascii="Arial" w:hAnsi="Arial" w:cs="Arial"/>
          <w:sz w:val="24"/>
          <w:szCs w:val="24"/>
        </w:rPr>
        <w:t xml:space="preserve"> of the meetings held when the application was considered</w:t>
      </w:r>
      <w:r w:rsidR="00223365" w:rsidRPr="00BE38D7">
        <w:rPr>
          <w:rFonts w:ascii="Arial" w:hAnsi="Arial" w:cs="Arial"/>
          <w:sz w:val="24"/>
          <w:szCs w:val="24"/>
        </w:rPr>
        <w:t>.</w:t>
      </w:r>
    </w:p>
    <w:p w14:paraId="0D23204F" w14:textId="77777777" w:rsidR="00962E24" w:rsidRPr="004E78B4" w:rsidRDefault="00962E24" w:rsidP="00962E24">
      <w:pPr>
        <w:pStyle w:val="ListParagraph"/>
        <w:spacing w:line="360" w:lineRule="auto"/>
        <w:jc w:val="both"/>
        <w:rPr>
          <w:rFonts w:ascii="Arial" w:hAnsi="Arial" w:cs="Arial"/>
          <w:sz w:val="24"/>
          <w:szCs w:val="24"/>
        </w:rPr>
      </w:pPr>
    </w:p>
    <w:p w14:paraId="179B41A1" w14:textId="4C07C66E" w:rsidR="00CB1746" w:rsidRPr="00BE38D7" w:rsidRDefault="00BE38D7" w:rsidP="00BE38D7">
      <w:pPr>
        <w:spacing w:line="360" w:lineRule="auto"/>
        <w:ind w:left="720" w:hanging="720"/>
        <w:jc w:val="both"/>
        <w:rPr>
          <w:rFonts w:ascii="Arial" w:hAnsi="Arial" w:cs="Arial"/>
          <w:sz w:val="24"/>
          <w:szCs w:val="24"/>
        </w:rPr>
      </w:pPr>
      <w:r w:rsidRPr="00962E24">
        <w:rPr>
          <w:rFonts w:ascii="Arial" w:hAnsi="Arial" w:cs="Arial"/>
          <w:color w:val="000000" w:themeColor="text1"/>
          <w:sz w:val="24"/>
          <w:szCs w:val="24"/>
        </w:rPr>
        <w:t>32.</w:t>
      </w:r>
      <w:r w:rsidRPr="00962E24">
        <w:rPr>
          <w:rFonts w:ascii="Arial" w:hAnsi="Arial" w:cs="Arial"/>
          <w:color w:val="000000" w:themeColor="text1"/>
          <w:sz w:val="24"/>
          <w:szCs w:val="24"/>
        </w:rPr>
        <w:tab/>
      </w:r>
      <w:r w:rsidR="00CF00DD" w:rsidRPr="00BE38D7">
        <w:rPr>
          <w:rFonts w:ascii="Arial" w:hAnsi="Arial" w:cs="Arial"/>
          <w:sz w:val="24"/>
          <w:szCs w:val="24"/>
        </w:rPr>
        <w:t xml:space="preserve">A golden thread </w:t>
      </w:r>
      <w:r w:rsidR="00D34781" w:rsidRPr="00BE38D7">
        <w:rPr>
          <w:rFonts w:ascii="Arial" w:hAnsi="Arial" w:cs="Arial"/>
          <w:sz w:val="24"/>
          <w:szCs w:val="24"/>
        </w:rPr>
        <w:t>throughout</w:t>
      </w:r>
      <w:r w:rsidR="00CF00DD" w:rsidRPr="00BE38D7">
        <w:rPr>
          <w:rFonts w:ascii="Arial" w:hAnsi="Arial" w:cs="Arial"/>
          <w:sz w:val="24"/>
          <w:szCs w:val="24"/>
        </w:rPr>
        <w:t xml:space="preserve"> the application </w:t>
      </w:r>
      <w:r w:rsidR="00D34781" w:rsidRPr="00BE38D7">
        <w:rPr>
          <w:rFonts w:ascii="Arial" w:hAnsi="Arial" w:cs="Arial"/>
          <w:sz w:val="24"/>
          <w:szCs w:val="24"/>
        </w:rPr>
        <w:t>is</w:t>
      </w:r>
      <w:r w:rsidR="00CF00DD" w:rsidRPr="00BE38D7">
        <w:rPr>
          <w:rFonts w:ascii="Arial" w:hAnsi="Arial" w:cs="Arial"/>
          <w:sz w:val="24"/>
          <w:szCs w:val="24"/>
        </w:rPr>
        <w:t xml:space="preserve"> ACB’s failure to specifically identify the gr</w:t>
      </w:r>
      <w:r w:rsidR="00D34781" w:rsidRPr="00BE38D7">
        <w:rPr>
          <w:rFonts w:ascii="Arial" w:hAnsi="Arial" w:cs="Arial"/>
          <w:sz w:val="24"/>
          <w:szCs w:val="24"/>
        </w:rPr>
        <w:t>ounds of review</w:t>
      </w:r>
      <w:r w:rsidR="00BE7E0F" w:rsidRPr="00BE38D7">
        <w:rPr>
          <w:rFonts w:ascii="Arial" w:hAnsi="Arial" w:cs="Arial"/>
          <w:sz w:val="24"/>
          <w:szCs w:val="24"/>
        </w:rPr>
        <w:t xml:space="preserve"> relied on</w:t>
      </w:r>
      <w:r w:rsidR="00D34781" w:rsidRPr="00BE38D7">
        <w:rPr>
          <w:rFonts w:ascii="Arial" w:hAnsi="Arial" w:cs="Arial"/>
          <w:sz w:val="24"/>
          <w:szCs w:val="24"/>
        </w:rPr>
        <w:t xml:space="preserve"> in terms of PAJA </w:t>
      </w:r>
      <w:r w:rsidR="00C32B68" w:rsidRPr="00BE38D7">
        <w:rPr>
          <w:rFonts w:ascii="Arial" w:hAnsi="Arial" w:cs="Arial"/>
          <w:sz w:val="24"/>
          <w:szCs w:val="24"/>
        </w:rPr>
        <w:t>clearly. This</w:t>
      </w:r>
      <w:r w:rsidR="00BE7E0F" w:rsidRPr="00BE38D7">
        <w:rPr>
          <w:rFonts w:ascii="Arial" w:hAnsi="Arial" w:cs="Arial"/>
          <w:sz w:val="24"/>
          <w:szCs w:val="24"/>
        </w:rPr>
        <w:t xml:space="preserve"> resulted in the Court </w:t>
      </w:r>
      <w:r w:rsidR="007F392F" w:rsidRPr="00BE38D7">
        <w:rPr>
          <w:rFonts w:ascii="Arial" w:hAnsi="Arial" w:cs="Arial"/>
          <w:sz w:val="24"/>
          <w:szCs w:val="24"/>
        </w:rPr>
        <w:t>attempting</w:t>
      </w:r>
      <w:r w:rsidR="00C32B68" w:rsidRPr="00BE38D7">
        <w:rPr>
          <w:rFonts w:ascii="Arial" w:hAnsi="Arial" w:cs="Arial"/>
          <w:sz w:val="24"/>
          <w:szCs w:val="24"/>
        </w:rPr>
        <w:t xml:space="preserve"> to establish the exact </w:t>
      </w:r>
      <w:r w:rsidR="00F652C2" w:rsidRPr="00BE38D7">
        <w:rPr>
          <w:rFonts w:ascii="Arial" w:hAnsi="Arial" w:cs="Arial"/>
          <w:sz w:val="24"/>
          <w:szCs w:val="24"/>
        </w:rPr>
        <w:t>grounds relied</w:t>
      </w:r>
      <w:r w:rsidR="00A65E30" w:rsidRPr="00BE38D7">
        <w:rPr>
          <w:rFonts w:ascii="Arial" w:hAnsi="Arial" w:cs="Arial"/>
          <w:sz w:val="24"/>
          <w:szCs w:val="24"/>
        </w:rPr>
        <w:t xml:space="preserve"> </w:t>
      </w:r>
      <w:r w:rsidR="00F652C2" w:rsidRPr="00BE38D7">
        <w:rPr>
          <w:rFonts w:ascii="Arial" w:hAnsi="Arial" w:cs="Arial"/>
          <w:sz w:val="24"/>
          <w:szCs w:val="24"/>
        </w:rPr>
        <w:t>on. There</w:t>
      </w:r>
      <w:r w:rsidR="00A65E30" w:rsidRPr="00BE38D7">
        <w:rPr>
          <w:rFonts w:ascii="Arial" w:hAnsi="Arial" w:cs="Arial"/>
          <w:sz w:val="24"/>
          <w:szCs w:val="24"/>
        </w:rPr>
        <w:t xml:space="preserve"> was also not al</w:t>
      </w:r>
      <w:r w:rsidR="00CA7CCB" w:rsidRPr="00BE38D7">
        <w:rPr>
          <w:rFonts w:ascii="Arial" w:hAnsi="Arial" w:cs="Arial"/>
          <w:sz w:val="24"/>
          <w:szCs w:val="24"/>
        </w:rPr>
        <w:t>ways coherence between the founding affidavit and heads of argument</w:t>
      </w:r>
      <w:r w:rsidR="00F652C2" w:rsidRPr="00BE38D7">
        <w:rPr>
          <w:rFonts w:ascii="Arial" w:hAnsi="Arial" w:cs="Arial"/>
          <w:sz w:val="24"/>
          <w:szCs w:val="24"/>
        </w:rPr>
        <w:t xml:space="preserve"> in this regard.</w:t>
      </w:r>
      <w:r w:rsidR="00962E24" w:rsidRPr="00BE38D7">
        <w:rPr>
          <w:rFonts w:ascii="Arial" w:hAnsi="Arial" w:cs="Arial"/>
          <w:sz w:val="24"/>
          <w:szCs w:val="24"/>
        </w:rPr>
        <w:t xml:space="preserve"> </w:t>
      </w:r>
      <w:r w:rsidR="00372961" w:rsidRPr="00BE38D7">
        <w:rPr>
          <w:rFonts w:ascii="Arial" w:hAnsi="Arial" w:cs="Arial"/>
          <w:sz w:val="24"/>
          <w:szCs w:val="24"/>
        </w:rPr>
        <w:t>It</w:t>
      </w:r>
      <w:r w:rsidR="00F652C2" w:rsidRPr="00BE38D7">
        <w:rPr>
          <w:rFonts w:ascii="Arial" w:hAnsi="Arial" w:cs="Arial"/>
          <w:sz w:val="24"/>
          <w:szCs w:val="24"/>
        </w:rPr>
        <w:t xml:space="preserve"> </w:t>
      </w:r>
      <w:r w:rsidR="00962E24" w:rsidRPr="00BE38D7">
        <w:rPr>
          <w:rFonts w:ascii="Arial" w:hAnsi="Arial" w:cs="Arial"/>
          <w:sz w:val="24"/>
          <w:szCs w:val="24"/>
        </w:rPr>
        <w:t>seems that ACB</w:t>
      </w:r>
      <w:r w:rsidR="007F392F" w:rsidRPr="00BE38D7">
        <w:rPr>
          <w:rFonts w:ascii="Arial" w:hAnsi="Arial" w:cs="Arial"/>
          <w:sz w:val="24"/>
          <w:szCs w:val="24"/>
        </w:rPr>
        <w:t xml:space="preserve"> inter alia</w:t>
      </w:r>
      <w:r w:rsidR="00AD3A06" w:rsidRPr="00BE38D7">
        <w:rPr>
          <w:rFonts w:ascii="Arial" w:hAnsi="Arial" w:cs="Arial"/>
          <w:sz w:val="24"/>
          <w:szCs w:val="24"/>
        </w:rPr>
        <w:t xml:space="preserve"> rel</w:t>
      </w:r>
      <w:r w:rsidR="00F946D7" w:rsidRPr="00BE38D7">
        <w:rPr>
          <w:rFonts w:ascii="Arial" w:hAnsi="Arial" w:cs="Arial"/>
          <w:sz w:val="24"/>
          <w:szCs w:val="24"/>
        </w:rPr>
        <w:t>ied</w:t>
      </w:r>
      <w:r w:rsidR="00AD3A06" w:rsidRPr="00BE38D7">
        <w:rPr>
          <w:rFonts w:ascii="Arial" w:hAnsi="Arial" w:cs="Arial"/>
          <w:sz w:val="24"/>
          <w:szCs w:val="24"/>
        </w:rPr>
        <w:t xml:space="preserve"> on</w:t>
      </w:r>
      <w:r w:rsidR="00C27F5E" w:rsidRPr="00BE38D7">
        <w:rPr>
          <w:rFonts w:ascii="Arial" w:hAnsi="Arial" w:cs="Arial"/>
          <w:sz w:val="24"/>
          <w:szCs w:val="24"/>
        </w:rPr>
        <w:t xml:space="preserve"> section 6 (2)(a)</w:t>
      </w:r>
      <w:r w:rsidR="003C3779" w:rsidRPr="00BE38D7">
        <w:rPr>
          <w:rFonts w:ascii="Arial" w:hAnsi="Arial" w:cs="Arial"/>
          <w:sz w:val="24"/>
          <w:szCs w:val="24"/>
        </w:rPr>
        <w:t xml:space="preserve"> (</w:t>
      </w:r>
      <w:r w:rsidR="009F09F5" w:rsidRPr="00BE38D7">
        <w:rPr>
          <w:rFonts w:ascii="Arial" w:hAnsi="Arial" w:cs="Arial"/>
          <w:sz w:val="24"/>
          <w:szCs w:val="24"/>
        </w:rPr>
        <w:t>ii) and</w:t>
      </w:r>
      <w:r w:rsidR="00C27F5E" w:rsidRPr="00BE38D7">
        <w:rPr>
          <w:rFonts w:ascii="Arial" w:hAnsi="Arial" w:cs="Arial"/>
          <w:sz w:val="24"/>
          <w:szCs w:val="24"/>
        </w:rPr>
        <w:t>(i</w:t>
      </w:r>
      <w:r w:rsidR="00B45055" w:rsidRPr="00BE38D7">
        <w:rPr>
          <w:rFonts w:ascii="Arial" w:hAnsi="Arial" w:cs="Arial"/>
          <w:sz w:val="24"/>
          <w:szCs w:val="24"/>
        </w:rPr>
        <w:t>i</w:t>
      </w:r>
      <w:r w:rsidR="00C27F5E" w:rsidRPr="00BE38D7">
        <w:rPr>
          <w:rFonts w:ascii="Arial" w:hAnsi="Arial" w:cs="Arial"/>
          <w:sz w:val="24"/>
          <w:szCs w:val="24"/>
        </w:rPr>
        <w:t>i)</w:t>
      </w:r>
      <w:r w:rsidR="0060769D" w:rsidRPr="00BE38D7">
        <w:rPr>
          <w:rFonts w:ascii="Arial" w:hAnsi="Arial" w:cs="Arial"/>
          <w:sz w:val="24"/>
          <w:szCs w:val="24"/>
        </w:rPr>
        <w:t>,</w:t>
      </w:r>
      <w:r w:rsidR="00B80466" w:rsidRPr="00BE38D7">
        <w:rPr>
          <w:rFonts w:ascii="Arial" w:hAnsi="Arial" w:cs="Arial"/>
          <w:sz w:val="24"/>
          <w:szCs w:val="24"/>
        </w:rPr>
        <w:t xml:space="preserve"> </w:t>
      </w:r>
      <w:r w:rsidR="0060769D" w:rsidRPr="00BE38D7">
        <w:rPr>
          <w:rFonts w:ascii="Arial" w:hAnsi="Arial" w:cs="Arial"/>
          <w:sz w:val="24"/>
          <w:szCs w:val="24"/>
        </w:rPr>
        <w:t>section</w:t>
      </w:r>
      <w:r w:rsidR="0015090E" w:rsidRPr="00BE38D7">
        <w:rPr>
          <w:rFonts w:ascii="Arial" w:hAnsi="Arial" w:cs="Arial"/>
          <w:sz w:val="24"/>
          <w:szCs w:val="24"/>
        </w:rPr>
        <w:t xml:space="preserve"> </w:t>
      </w:r>
      <w:r w:rsidR="00786E6E" w:rsidRPr="00BE38D7">
        <w:rPr>
          <w:rFonts w:ascii="Arial" w:hAnsi="Arial" w:cs="Arial"/>
          <w:sz w:val="24"/>
          <w:szCs w:val="24"/>
        </w:rPr>
        <w:t>(2</w:t>
      </w:r>
      <w:r w:rsidR="006F4562" w:rsidRPr="00BE38D7">
        <w:rPr>
          <w:rFonts w:ascii="Arial" w:hAnsi="Arial" w:cs="Arial"/>
          <w:sz w:val="24"/>
          <w:szCs w:val="24"/>
        </w:rPr>
        <w:t>(e)(</w:t>
      </w:r>
      <w:r w:rsidR="00311EA2" w:rsidRPr="00BE38D7">
        <w:rPr>
          <w:rFonts w:ascii="Arial" w:hAnsi="Arial" w:cs="Arial"/>
          <w:sz w:val="24"/>
          <w:szCs w:val="24"/>
        </w:rPr>
        <w:t>vi</w:t>
      </w:r>
      <w:r w:rsidR="00786E6E" w:rsidRPr="00BE38D7">
        <w:rPr>
          <w:rFonts w:ascii="Arial" w:hAnsi="Arial" w:cs="Arial"/>
          <w:sz w:val="24"/>
          <w:szCs w:val="24"/>
        </w:rPr>
        <w:t>)</w:t>
      </w:r>
      <w:r w:rsidR="00C27F5E" w:rsidRPr="00BE38D7">
        <w:rPr>
          <w:rFonts w:ascii="Arial" w:hAnsi="Arial" w:cs="Arial"/>
          <w:sz w:val="24"/>
          <w:szCs w:val="24"/>
        </w:rPr>
        <w:t xml:space="preserve"> and </w:t>
      </w:r>
      <w:r w:rsidR="00311EA2" w:rsidRPr="00BE38D7">
        <w:rPr>
          <w:rFonts w:ascii="Arial" w:hAnsi="Arial" w:cs="Arial"/>
          <w:sz w:val="24"/>
          <w:szCs w:val="24"/>
        </w:rPr>
        <w:t>s</w:t>
      </w:r>
      <w:r w:rsidR="00C27F5E" w:rsidRPr="00BE38D7">
        <w:rPr>
          <w:rFonts w:ascii="Arial" w:hAnsi="Arial" w:cs="Arial"/>
          <w:sz w:val="24"/>
          <w:szCs w:val="24"/>
        </w:rPr>
        <w:t>ection 6 (2)(h)</w:t>
      </w:r>
      <w:r w:rsidR="00FB212B" w:rsidRPr="00BE38D7">
        <w:rPr>
          <w:rFonts w:ascii="Arial" w:hAnsi="Arial" w:cs="Arial"/>
          <w:sz w:val="24"/>
          <w:szCs w:val="24"/>
        </w:rPr>
        <w:t xml:space="preserve"> of PAJA</w:t>
      </w:r>
      <w:r w:rsidR="002D76F3" w:rsidRPr="00BE38D7">
        <w:rPr>
          <w:rFonts w:ascii="Arial" w:hAnsi="Arial" w:cs="Arial"/>
          <w:sz w:val="24"/>
          <w:szCs w:val="24"/>
        </w:rPr>
        <w:t>,</w:t>
      </w:r>
      <w:r w:rsidR="00B80466" w:rsidRPr="00BE38D7">
        <w:rPr>
          <w:rFonts w:ascii="Arial" w:hAnsi="Arial" w:cs="Arial"/>
          <w:sz w:val="24"/>
          <w:szCs w:val="24"/>
        </w:rPr>
        <w:t xml:space="preserve"> which</w:t>
      </w:r>
      <w:r w:rsidR="00457A73" w:rsidRPr="00BE38D7">
        <w:rPr>
          <w:rFonts w:ascii="Arial" w:hAnsi="Arial" w:cs="Arial"/>
          <w:sz w:val="24"/>
          <w:szCs w:val="24"/>
        </w:rPr>
        <w:t xml:space="preserve"> provides</w:t>
      </w:r>
      <w:r w:rsidR="00C27F5E" w:rsidRPr="00BE38D7">
        <w:rPr>
          <w:rFonts w:ascii="Arial" w:hAnsi="Arial" w:cs="Arial"/>
          <w:sz w:val="24"/>
          <w:szCs w:val="24"/>
        </w:rPr>
        <w:t xml:space="preserve"> that a decision is subject to review where the decision </w:t>
      </w:r>
      <w:r w:rsidR="00156CDE" w:rsidRPr="00BE38D7">
        <w:rPr>
          <w:rFonts w:ascii="Arial" w:hAnsi="Arial" w:cs="Arial"/>
          <w:sz w:val="24"/>
          <w:szCs w:val="24"/>
        </w:rPr>
        <w:t xml:space="preserve"> maker</w:t>
      </w:r>
      <w:r w:rsidR="009F09F5" w:rsidRPr="00BE38D7">
        <w:rPr>
          <w:rFonts w:ascii="Arial" w:hAnsi="Arial" w:cs="Arial"/>
          <w:sz w:val="24"/>
          <w:szCs w:val="24"/>
        </w:rPr>
        <w:t xml:space="preserve"> </w:t>
      </w:r>
      <w:r w:rsidR="0095300C" w:rsidRPr="00BE38D7">
        <w:rPr>
          <w:rFonts w:ascii="Arial" w:hAnsi="Arial" w:cs="Arial"/>
          <w:sz w:val="24"/>
          <w:szCs w:val="24"/>
        </w:rPr>
        <w:t>acted under</w:t>
      </w:r>
      <w:r w:rsidR="00722D87" w:rsidRPr="00BE38D7">
        <w:rPr>
          <w:rFonts w:ascii="Arial" w:hAnsi="Arial" w:cs="Arial"/>
          <w:sz w:val="24"/>
          <w:szCs w:val="24"/>
        </w:rPr>
        <w:t xml:space="preserve"> an unauthorised delegation of power</w:t>
      </w:r>
      <w:r w:rsidR="0095300C" w:rsidRPr="00BE38D7">
        <w:rPr>
          <w:rFonts w:ascii="Arial" w:hAnsi="Arial" w:cs="Arial"/>
          <w:sz w:val="24"/>
          <w:szCs w:val="24"/>
        </w:rPr>
        <w:t xml:space="preserve">, </w:t>
      </w:r>
      <w:r w:rsidR="00156CDE" w:rsidRPr="00BE38D7">
        <w:rPr>
          <w:rFonts w:ascii="Arial" w:hAnsi="Arial" w:cs="Arial"/>
          <w:sz w:val="24"/>
          <w:szCs w:val="24"/>
        </w:rPr>
        <w:t xml:space="preserve"> </w:t>
      </w:r>
      <w:r w:rsidR="00C27F5E" w:rsidRPr="00BE38D7">
        <w:rPr>
          <w:rFonts w:ascii="Arial" w:hAnsi="Arial" w:cs="Arial"/>
          <w:sz w:val="24"/>
          <w:szCs w:val="24"/>
        </w:rPr>
        <w:t xml:space="preserve">was biased </w:t>
      </w:r>
      <w:r w:rsidR="00962E24" w:rsidRPr="00BE38D7">
        <w:rPr>
          <w:rFonts w:ascii="Arial" w:hAnsi="Arial" w:cs="Arial"/>
          <w:sz w:val="24"/>
          <w:szCs w:val="24"/>
        </w:rPr>
        <w:t>or reasonably suspected of bias</w:t>
      </w:r>
      <w:r w:rsidR="00156CDE" w:rsidRPr="00BE38D7">
        <w:rPr>
          <w:rFonts w:ascii="Arial" w:hAnsi="Arial" w:cs="Arial"/>
          <w:sz w:val="24"/>
          <w:szCs w:val="24"/>
        </w:rPr>
        <w:t>,</w:t>
      </w:r>
      <w:r w:rsidR="00962E24" w:rsidRPr="00BE38D7">
        <w:rPr>
          <w:rFonts w:ascii="Arial" w:hAnsi="Arial" w:cs="Arial"/>
          <w:sz w:val="24"/>
          <w:szCs w:val="24"/>
        </w:rPr>
        <w:t xml:space="preserve"> </w:t>
      </w:r>
      <w:r w:rsidR="00156CDE" w:rsidRPr="00BE38D7">
        <w:rPr>
          <w:rFonts w:ascii="Arial" w:hAnsi="Arial" w:cs="Arial"/>
          <w:sz w:val="24"/>
          <w:szCs w:val="24"/>
        </w:rPr>
        <w:t>where the decision maker acted</w:t>
      </w:r>
      <w:r w:rsidR="00FD1191" w:rsidRPr="00BE38D7">
        <w:rPr>
          <w:rFonts w:ascii="Arial" w:hAnsi="Arial" w:cs="Arial"/>
          <w:sz w:val="24"/>
          <w:szCs w:val="24"/>
        </w:rPr>
        <w:t xml:space="preserve"> arbitrarily or capriciously</w:t>
      </w:r>
      <w:r w:rsidR="00B07EF7" w:rsidRPr="00BE38D7">
        <w:rPr>
          <w:rFonts w:ascii="Arial" w:hAnsi="Arial" w:cs="Arial"/>
          <w:sz w:val="24"/>
          <w:szCs w:val="24"/>
        </w:rPr>
        <w:t>,</w:t>
      </w:r>
      <w:r w:rsidR="00E9030D" w:rsidRPr="00BE38D7">
        <w:rPr>
          <w:rFonts w:ascii="Arial" w:hAnsi="Arial" w:cs="Arial"/>
          <w:sz w:val="24"/>
          <w:szCs w:val="24"/>
        </w:rPr>
        <w:t xml:space="preserve"> and</w:t>
      </w:r>
      <w:r w:rsidR="00C27F5E" w:rsidRPr="00BE38D7">
        <w:rPr>
          <w:rFonts w:ascii="Arial" w:hAnsi="Arial" w:cs="Arial"/>
          <w:sz w:val="24"/>
          <w:szCs w:val="24"/>
        </w:rPr>
        <w:t xml:space="preserve"> where a decision maker exercises its power in such a manner that </w:t>
      </w:r>
      <w:r w:rsidR="00C27F5E" w:rsidRPr="00BE38D7">
        <w:rPr>
          <w:rFonts w:ascii="Arial" w:hAnsi="Arial" w:cs="Arial"/>
          <w:sz w:val="24"/>
          <w:szCs w:val="24"/>
        </w:rPr>
        <w:lastRenderedPageBreak/>
        <w:t xml:space="preserve">no reasonable person could have exercised the power in such </w:t>
      </w:r>
      <w:r w:rsidR="004739E6" w:rsidRPr="00BE38D7">
        <w:rPr>
          <w:rFonts w:ascii="Arial" w:hAnsi="Arial" w:cs="Arial"/>
          <w:sz w:val="24"/>
          <w:szCs w:val="24"/>
        </w:rPr>
        <w:t>a</w:t>
      </w:r>
      <w:r w:rsidR="00C27F5E" w:rsidRPr="00BE38D7">
        <w:rPr>
          <w:rFonts w:ascii="Arial" w:hAnsi="Arial" w:cs="Arial"/>
          <w:sz w:val="24"/>
          <w:szCs w:val="24"/>
        </w:rPr>
        <w:t xml:space="preserve"> </w:t>
      </w:r>
      <w:r w:rsidR="00181AB2" w:rsidRPr="00BE38D7">
        <w:rPr>
          <w:rFonts w:ascii="Arial" w:hAnsi="Arial" w:cs="Arial"/>
          <w:sz w:val="24"/>
          <w:szCs w:val="24"/>
        </w:rPr>
        <w:t>manner. This</w:t>
      </w:r>
      <w:r w:rsidR="00AD3A06" w:rsidRPr="00BE38D7">
        <w:rPr>
          <w:rFonts w:ascii="Arial" w:hAnsi="Arial" w:cs="Arial"/>
          <w:sz w:val="24"/>
          <w:szCs w:val="24"/>
        </w:rPr>
        <w:t xml:space="preserve"> inference is drawn </w:t>
      </w:r>
      <w:r w:rsidR="00F946D7" w:rsidRPr="00BE38D7">
        <w:rPr>
          <w:rFonts w:ascii="Arial" w:hAnsi="Arial" w:cs="Arial"/>
          <w:sz w:val="24"/>
          <w:szCs w:val="24"/>
        </w:rPr>
        <w:t>because</w:t>
      </w:r>
      <w:r w:rsidR="006453FF" w:rsidRPr="00BE38D7">
        <w:rPr>
          <w:rFonts w:ascii="Arial" w:hAnsi="Arial" w:cs="Arial"/>
          <w:sz w:val="24"/>
          <w:szCs w:val="24"/>
        </w:rPr>
        <w:t xml:space="preserve"> </w:t>
      </w:r>
      <w:r w:rsidR="004739E6" w:rsidRPr="00BE38D7">
        <w:rPr>
          <w:rFonts w:ascii="Arial" w:hAnsi="Arial" w:cs="Arial"/>
          <w:sz w:val="24"/>
          <w:szCs w:val="24"/>
        </w:rPr>
        <w:t>ACB</w:t>
      </w:r>
      <w:r w:rsidR="008520C8" w:rsidRPr="00BE38D7">
        <w:rPr>
          <w:rFonts w:ascii="Arial" w:hAnsi="Arial" w:cs="Arial"/>
          <w:sz w:val="24"/>
          <w:szCs w:val="24"/>
        </w:rPr>
        <w:t xml:space="preserve"> relied</w:t>
      </w:r>
      <w:r w:rsidR="0095300C" w:rsidRPr="00BE38D7">
        <w:rPr>
          <w:rFonts w:ascii="Arial" w:hAnsi="Arial" w:cs="Arial"/>
          <w:sz w:val="24"/>
          <w:szCs w:val="24"/>
        </w:rPr>
        <w:t xml:space="preserve"> inter alia</w:t>
      </w:r>
      <w:r w:rsidR="008520C8" w:rsidRPr="00BE38D7">
        <w:rPr>
          <w:rFonts w:ascii="Arial" w:hAnsi="Arial" w:cs="Arial"/>
          <w:sz w:val="24"/>
          <w:szCs w:val="24"/>
        </w:rPr>
        <w:t xml:space="preserve"> on Minister of Environmental Affairs and Tourism v Scenematic Fourteen (Pty) Ltd</w:t>
      </w:r>
      <w:r w:rsidR="009F6CA8" w:rsidRPr="00BE38D7">
        <w:rPr>
          <w:rFonts w:ascii="Arial" w:hAnsi="Arial" w:cs="Arial"/>
          <w:sz w:val="24"/>
          <w:szCs w:val="24"/>
        </w:rPr>
        <w:t xml:space="preserve"> </w:t>
      </w:r>
      <w:r w:rsidR="008520C8">
        <w:rPr>
          <w:rStyle w:val="FootnoteReference"/>
          <w:rFonts w:ascii="Arial" w:hAnsi="Arial" w:cs="Arial"/>
          <w:sz w:val="24"/>
          <w:szCs w:val="24"/>
        </w:rPr>
        <w:footnoteReference w:id="26"/>
      </w:r>
      <w:r w:rsidR="009F6CA8" w:rsidRPr="00BE38D7">
        <w:rPr>
          <w:rFonts w:ascii="Arial" w:hAnsi="Arial" w:cs="Arial"/>
          <w:sz w:val="24"/>
          <w:szCs w:val="24"/>
        </w:rPr>
        <w:t xml:space="preserve">, </w:t>
      </w:r>
      <w:r w:rsidR="0095300C" w:rsidRPr="00BE38D7">
        <w:rPr>
          <w:rFonts w:ascii="Arial" w:hAnsi="Arial" w:cs="Arial"/>
          <w:sz w:val="24"/>
          <w:szCs w:val="24"/>
        </w:rPr>
        <w:t>where</w:t>
      </w:r>
      <w:r w:rsidR="009F6CA8" w:rsidRPr="00BE38D7">
        <w:rPr>
          <w:rFonts w:ascii="Arial" w:hAnsi="Arial" w:cs="Arial"/>
          <w:sz w:val="24"/>
          <w:szCs w:val="24"/>
        </w:rPr>
        <w:t xml:space="preserve"> it was </w:t>
      </w:r>
      <w:r w:rsidR="00EC3BEA" w:rsidRPr="00BE38D7">
        <w:rPr>
          <w:rFonts w:ascii="Arial" w:hAnsi="Arial" w:cs="Arial"/>
          <w:sz w:val="24"/>
          <w:szCs w:val="24"/>
        </w:rPr>
        <w:t>held</w:t>
      </w:r>
      <w:r w:rsidR="009F6CA8" w:rsidRPr="00BE38D7">
        <w:rPr>
          <w:rFonts w:ascii="Arial" w:hAnsi="Arial" w:cs="Arial"/>
          <w:sz w:val="24"/>
          <w:szCs w:val="24"/>
        </w:rPr>
        <w:t xml:space="preserve"> that a functionary must exercise her power herself in the absence of a delegation and should not rubber</w:t>
      </w:r>
      <w:r w:rsidR="00AB7CBD" w:rsidRPr="00BE38D7">
        <w:rPr>
          <w:rFonts w:ascii="Arial" w:hAnsi="Arial" w:cs="Arial"/>
          <w:sz w:val="24"/>
          <w:szCs w:val="24"/>
        </w:rPr>
        <w:t xml:space="preserve"> </w:t>
      </w:r>
      <w:r w:rsidR="009F6CA8" w:rsidRPr="00BE38D7">
        <w:rPr>
          <w:rFonts w:ascii="Arial" w:hAnsi="Arial" w:cs="Arial"/>
          <w:sz w:val="24"/>
          <w:szCs w:val="24"/>
        </w:rPr>
        <w:t xml:space="preserve">stamp the application before her. </w:t>
      </w:r>
      <w:r w:rsidR="00AC2A5D" w:rsidRPr="00BE38D7">
        <w:rPr>
          <w:rFonts w:ascii="Arial" w:hAnsi="Arial" w:cs="Arial"/>
          <w:sz w:val="24"/>
          <w:szCs w:val="24"/>
        </w:rPr>
        <w:t>However, considering</w:t>
      </w:r>
      <w:r w:rsidR="009F6CA8" w:rsidRPr="00BE38D7">
        <w:rPr>
          <w:rFonts w:ascii="Arial" w:hAnsi="Arial" w:cs="Arial"/>
          <w:sz w:val="24"/>
          <w:szCs w:val="24"/>
        </w:rPr>
        <w:t xml:space="preserve"> the opinion o</w:t>
      </w:r>
      <w:r w:rsidR="00AB7CBD" w:rsidRPr="00BE38D7">
        <w:rPr>
          <w:rFonts w:ascii="Arial" w:hAnsi="Arial" w:cs="Arial"/>
          <w:sz w:val="24"/>
          <w:szCs w:val="24"/>
        </w:rPr>
        <w:t>f the AC and the meetings held,</w:t>
      </w:r>
      <w:r w:rsidR="009F6CA8" w:rsidRPr="00BE38D7">
        <w:rPr>
          <w:rFonts w:ascii="Arial" w:hAnsi="Arial" w:cs="Arial"/>
          <w:sz w:val="24"/>
          <w:szCs w:val="24"/>
        </w:rPr>
        <w:t xml:space="preserve"> </w:t>
      </w:r>
      <w:r w:rsidR="00AB7CBD" w:rsidRPr="00BE38D7">
        <w:rPr>
          <w:rFonts w:ascii="Arial" w:hAnsi="Arial" w:cs="Arial"/>
          <w:sz w:val="24"/>
          <w:szCs w:val="24"/>
        </w:rPr>
        <w:t>there is no indication of either an unlawful delegation of power or a mere rubber stamp of the application of Monsanto.</w:t>
      </w:r>
    </w:p>
    <w:p w14:paraId="3A31898B" w14:textId="77777777" w:rsidR="00CB1746" w:rsidRPr="00CB1746" w:rsidRDefault="00CB1746" w:rsidP="00CB1746">
      <w:pPr>
        <w:pStyle w:val="ListParagraph"/>
        <w:rPr>
          <w:rFonts w:ascii="Arial" w:hAnsi="Arial" w:cs="Arial"/>
          <w:sz w:val="24"/>
          <w:szCs w:val="24"/>
        </w:rPr>
      </w:pPr>
    </w:p>
    <w:p w14:paraId="19765AFC" w14:textId="288E82E1" w:rsidR="008D7701"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33.</w:t>
      </w:r>
      <w:r>
        <w:rPr>
          <w:rFonts w:ascii="Arial" w:hAnsi="Arial" w:cs="Arial"/>
          <w:color w:val="000000" w:themeColor="text1"/>
          <w:sz w:val="24"/>
          <w:szCs w:val="24"/>
        </w:rPr>
        <w:tab/>
      </w:r>
      <w:r w:rsidR="00AB7CBD" w:rsidRPr="00BE38D7">
        <w:rPr>
          <w:rFonts w:ascii="Arial" w:hAnsi="Arial" w:cs="Arial"/>
          <w:sz w:val="24"/>
          <w:szCs w:val="24"/>
        </w:rPr>
        <w:t xml:space="preserve"> </w:t>
      </w:r>
      <w:r w:rsidR="00A7086A" w:rsidRPr="00BE38D7">
        <w:rPr>
          <w:rFonts w:ascii="Arial" w:hAnsi="Arial" w:cs="Arial"/>
          <w:sz w:val="24"/>
          <w:szCs w:val="24"/>
        </w:rPr>
        <w:t>Reliance was</w:t>
      </w:r>
      <w:r w:rsidR="001A5C4D" w:rsidRPr="00BE38D7">
        <w:rPr>
          <w:rFonts w:ascii="Arial" w:hAnsi="Arial" w:cs="Arial"/>
          <w:sz w:val="24"/>
          <w:szCs w:val="24"/>
        </w:rPr>
        <w:t xml:space="preserve"> also</w:t>
      </w:r>
      <w:r w:rsidR="00A7086A" w:rsidRPr="00BE38D7">
        <w:rPr>
          <w:rFonts w:ascii="Arial" w:hAnsi="Arial" w:cs="Arial"/>
          <w:sz w:val="24"/>
          <w:szCs w:val="24"/>
        </w:rPr>
        <w:t xml:space="preserve"> </w:t>
      </w:r>
      <w:r w:rsidR="00902AA1" w:rsidRPr="00BE38D7">
        <w:rPr>
          <w:rFonts w:ascii="Arial" w:hAnsi="Arial" w:cs="Arial"/>
          <w:sz w:val="24"/>
          <w:szCs w:val="24"/>
        </w:rPr>
        <w:t>placed by</w:t>
      </w:r>
      <w:r w:rsidR="001A5C4D" w:rsidRPr="00BE38D7">
        <w:rPr>
          <w:rFonts w:ascii="Arial" w:hAnsi="Arial" w:cs="Arial"/>
          <w:sz w:val="24"/>
          <w:szCs w:val="24"/>
        </w:rPr>
        <w:t xml:space="preserve"> ACB </w:t>
      </w:r>
      <w:r w:rsidR="00A7086A" w:rsidRPr="00BE38D7">
        <w:rPr>
          <w:rFonts w:ascii="Arial" w:hAnsi="Arial" w:cs="Arial"/>
          <w:sz w:val="24"/>
          <w:szCs w:val="24"/>
        </w:rPr>
        <w:t>on</w:t>
      </w:r>
      <w:r w:rsidR="00AB7CBD" w:rsidRPr="00BE38D7">
        <w:rPr>
          <w:rFonts w:ascii="Arial" w:hAnsi="Arial" w:cs="Arial"/>
          <w:sz w:val="24"/>
          <w:szCs w:val="24"/>
        </w:rPr>
        <w:t xml:space="preserve"> Tantoush v Refugee Appeal </w:t>
      </w:r>
      <w:proofErr w:type="gramStart"/>
      <w:r w:rsidR="00AB7CBD" w:rsidRPr="00BE38D7">
        <w:rPr>
          <w:rFonts w:ascii="Arial" w:hAnsi="Arial" w:cs="Arial"/>
          <w:sz w:val="24"/>
          <w:szCs w:val="24"/>
        </w:rPr>
        <w:t xml:space="preserve">Board </w:t>
      </w:r>
      <w:proofErr w:type="gramEnd"/>
      <w:r w:rsidR="00AB7CBD">
        <w:rPr>
          <w:rStyle w:val="FootnoteReference"/>
          <w:rFonts w:ascii="Arial" w:hAnsi="Arial" w:cs="Arial"/>
          <w:sz w:val="24"/>
          <w:szCs w:val="24"/>
        </w:rPr>
        <w:footnoteReference w:id="27"/>
      </w:r>
      <w:r w:rsidR="004945F8" w:rsidRPr="00BE38D7">
        <w:rPr>
          <w:rFonts w:ascii="Arial" w:hAnsi="Arial" w:cs="Arial"/>
          <w:sz w:val="24"/>
          <w:szCs w:val="24"/>
        </w:rPr>
        <w:t>,</w:t>
      </w:r>
      <w:r w:rsidR="00B252B1" w:rsidRPr="00BE38D7">
        <w:rPr>
          <w:rFonts w:ascii="Arial" w:hAnsi="Arial" w:cs="Arial"/>
          <w:sz w:val="24"/>
          <w:szCs w:val="24"/>
        </w:rPr>
        <w:t xml:space="preserve"> in</w:t>
      </w:r>
      <w:r w:rsidR="009342E7" w:rsidRPr="00BE38D7">
        <w:rPr>
          <w:rFonts w:ascii="Arial" w:hAnsi="Arial" w:cs="Arial"/>
          <w:sz w:val="24"/>
          <w:szCs w:val="24"/>
        </w:rPr>
        <w:t xml:space="preserve"> </w:t>
      </w:r>
      <w:r w:rsidR="00B252B1" w:rsidRPr="00BE38D7">
        <w:rPr>
          <w:rFonts w:ascii="Arial" w:hAnsi="Arial" w:cs="Arial"/>
          <w:sz w:val="24"/>
          <w:szCs w:val="24"/>
        </w:rPr>
        <w:t>support of the argument</w:t>
      </w:r>
      <w:r w:rsidR="009342E7" w:rsidRPr="00BE38D7">
        <w:rPr>
          <w:rFonts w:ascii="Arial" w:hAnsi="Arial" w:cs="Arial"/>
          <w:sz w:val="24"/>
          <w:szCs w:val="24"/>
        </w:rPr>
        <w:t xml:space="preserve"> </w:t>
      </w:r>
      <w:r w:rsidR="00F761C4" w:rsidRPr="00BE38D7">
        <w:rPr>
          <w:rFonts w:ascii="Arial" w:hAnsi="Arial" w:cs="Arial"/>
          <w:sz w:val="24"/>
          <w:szCs w:val="24"/>
        </w:rPr>
        <w:t>of bias</w:t>
      </w:r>
      <w:r w:rsidR="004945F8" w:rsidRPr="00BE38D7">
        <w:rPr>
          <w:rFonts w:ascii="Arial" w:hAnsi="Arial" w:cs="Arial"/>
          <w:sz w:val="24"/>
          <w:szCs w:val="24"/>
        </w:rPr>
        <w:t xml:space="preserve"> in that </w:t>
      </w:r>
      <w:r w:rsidR="00BF36D7" w:rsidRPr="00BE38D7">
        <w:rPr>
          <w:rFonts w:ascii="Arial" w:hAnsi="Arial" w:cs="Arial"/>
          <w:sz w:val="24"/>
          <w:szCs w:val="24"/>
        </w:rPr>
        <w:t>instance however</w:t>
      </w:r>
      <w:r w:rsidR="00FE491B" w:rsidRPr="00BE38D7">
        <w:rPr>
          <w:rFonts w:ascii="Arial" w:hAnsi="Arial" w:cs="Arial"/>
          <w:sz w:val="24"/>
          <w:szCs w:val="24"/>
        </w:rPr>
        <w:t>,</w:t>
      </w:r>
      <w:r w:rsidR="004945F8" w:rsidRPr="00BE38D7">
        <w:rPr>
          <w:rFonts w:ascii="Arial" w:hAnsi="Arial" w:cs="Arial"/>
          <w:sz w:val="24"/>
          <w:szCs w:val="24"/>
        </w:rPr>
        <w:t xml:space="preserve"> there was </w:t>
      </w:r>
      <w:r w:rsidR="002B79B2" w:rsidRPr="00BE38D7">
        <w:rPr>
          <w:rFonts w:ascii="Arial" w:hAnsi="Arial" w:cs="Arial"/>
          <w:sz w:val="24"/>
          <w:szCs w:val="24"/>
        </w:rPr>
        <w:t>evidence</w:t>
      </w:r>
      <w:r w:rsidR="003625B7" w:rsidRPr="00BE38D7">
        <w:rPr>
          <w:rFonts w:ascii="Arial" w:hAnsi="Arial" w:cs="Arial"/>
          <w:sz w:val="24"/>
          <w:szCs w:val="24"/>
        </w:rPr>
        <w:t xml:space="preserve"> of</w:t>
      </w:r>
      <w:r w:rsidR="002B79B2" w:rsidRPr="00BE38D7">
        <w:rPr>
          <w:rFonts w:ascii="Arial" w:hAnsi="Arial" w:cs="Arial"/>
          <w:sz w:val="24"/>
          <w:szCs w:val="24"/>
        </w:rPr>
        <w:t xml:space="preserve"> probable</w:t>
      </w:r>
      <w:r w:rsidR="004945F8" w:rsidRPr="00BE38D7">
        <w:rPr>
          <w:rFonts w:ascii="Arial" w:hAnsi="Arial" w:cs="Arial"/>
          <w:sz w:val="24"/>
          <w:szCs w:val="24"/>
        </w:rPr>
        <w:t xml:space="preserve"> external </w:t>
      </w:r>
      <w:r w:rsidR="00E0633A" w:rsidRPr="00BE38D7">
        <w:rPr>
          <w:rFonts w:ascii="Arial" w:hAnsi="Arial" w:cs="Arial"/>
          <w:sz w:val="24"/>
          <w:szCs w:val="24"/>
        </w:rPr>
        <w:t>influence.</w:t>
      </w:r>
      <w:r w:rsidR="007A57D8" w:rsidRPr="00BE38D7">
        <w:rPr>
          <w:rFonts w:ascii="Arial" w:hAnsi="Arial" w:cs="Arial"/>
          <w:sz w:val="24"/>
          <w:szCs w:val="24"/>
        </w:rPr>
        <w:t xml:space="preserve"> There is no evidence of external influence</w:t>
      </w:r>
      <w:r w:rsidR="00C92115" w:rsidRPr="00BE38D7">
        <w:rPr>
          <w:rFonts w:ascii="Arial" w:hAnsi="Arial" w:cs="Arial"/>
          <w:sz w:val="24"/>
          <w:szCs w:val="24"/>
        </w:rPr>
        <w:t xml:space="preserve"> in this </w:t>
      </w:r>
      <w:r w:rsidR="00BF36D7" w:rsidRPr="00BE38D7">
        <w:rPr>
          <w:rFonts w:ascii="Arial" w:hAnsi="Arial" w:cs="Arial"/>
          <w:sz w:val="24"/>
          <w:szCs w:val="24"/>
        </w:rPr>
        <w:t>instance.</w:t>
      </w:r>
      <w:r w:rsidR="00E0633A" w:rsidRPr="00BE38D7">
        <w:rPr>
          <w:rFonts w:ascii="Arial" w:hAnsi="Arial" w:cs="Arial"/>
          <w:sz w:val="24"/>
          <w:szCs w:val="24"/>
        </w:rPr>
        <w:t xml:space="preserve"> </w:t>
      </w:r>
      <w:r w:rsidR="007A6F1A" w:rsidRPr="00BE38D7">
        <w:rPr>
          <w:rFonts w:ascii="Arial" w:hAnsi="Arial" w:cs="Arial"/>
          <w:sz w:val="24"/>
          <w:szCs w:val="24"/>
        </w:rPr>
        <w:t>ACB’s argument</w:t>
      </w:r>
      <w:r w:rsidR="003D47FE" w:rsidRPr="00BE38D7">
        <w:rPr>
          <w:rFonts w:ascii="Arial" w:hAnsi="Arial" w:cs="Arial"/>
          <w:sz w:val="24"/>
          <w:szCs w:val="24"/>
        </w:rPr>
        <w:t xml:space="preserve"> </w:t>
      </w:r>
      <w:r w:rsidR="000367C4" w:rsidRPr="00BE38D7">
        <w:rPr>
          <w:rFonts w:ascii="Arial" w:hAnsi="Arial" w:cs="Arial"/>
          <w:sz w:val="24"/>
          <w:szCs w:val="24"/>
        </w:rPr>
        <w:t>that where a decision is influenced by pressure from an external source, that decision will be reviewable</w:t>
      </w:r>
      <w:r w:rsidR="003D47FE" w:rsidRPr="00BE38D7">
        <w:rPr>
          <w:rFonts w:ascii="Arial" w:hAnsi="Arial" w:cs="Arial"/>
          <w:sz w:val="24"/>
          <w:szCs w:val="24"/>
        </w:rPr>
        <w:t xml:space="preserve"> is </w:t>
      </w:r>
      <w:r w:rsidR="007A6F1A" w:rsidRPr="00BE38D7">
        <w:rPr>
          <w:rFonts w:ascii="Arial" w:hAnsi="Arial" w:cs="Arial"/>
          <w:sz w:val="24"/>
          <w:szCs w:val="24"/>
        </w:rPr>
        <w:t>correct, but</w:t>
      </w:r>
      <w:r w:rsidR="003D47FE" w:rsidRPr="00BE38D7">
        <w:rPr>
          <w:rFonts w:ascii="Arial" w:hAnsi="Arial" w:cs="Arial"/>
          <w:sz w:val="24"/>
          <w:szCs w:val="24"/>
        </w:rPr>
        <w:t xml:space="preserve"> </w:t>
      </w:r>
      <w:r w:rsidR="00714E1A" w:rsidRPr="00BE38D7">
        <w:rPr>
          <w:rFonts w:ascii="Arial" w:hAnsi="Arial" w:cs="Arial"/>
          <w:sz w:val="24"/>
          <w:szCs w:val="24"/>
        </w:rPr>
        <w:t xml:space="preserve">the evidence does not support its application in this </w:t>
      </w:r>
      <w:r w:rsidR="007A6F1A" w:rsidRPr="00BE38D7">
        <w:rPr>
          <w:rFonts w:ascii="Arial" w:hAnsi="Arial" w:cs="Arial"/>
          <w:sz w:val="24"/>
          <w:szCs w:val="24"/>
        </w:rPr>
        <w:t>case. There</w:t>
      </w:r>
      <w:r w:rsidR="000367C4" w:rsidRPr="00BE38D7">
        <w:rPr>
          <w:rFonts w:ascii="Arial" w:hAnsi="Arial" w:cs="Arial"/>
          <w:sz w:val="24"/>
          <w:szCs w:val="24"/>
        </w:rPr>
        <w:t xml:space="preserve"> is no evidence that the EC</w:t>
      </w:r>
      <w:r w:rsidR="007A6F1A" w:rsidRPr="00BE38D7">
        <w:rPr>
          <w:rFonts w:ascii="Arial" w:hAnsi="Arial" w:cs="Arial"/>
          <w:sz w:val="24"/>
          <w:szCs w:val="24"/>
        </w:rPr>
        <w:t xml:space="preserve"> </w:t>
      </w:r>
      <w:r w:rsidR="003A111C" w:rsidRPr="00BE38D7">
        <w:rPr>
          <w:rFonts w:ascii="Arial" w:hAnsi="Arial" w:cs="Arial"/>
          <w:sz w:val="24"/>
          <w:szCs w:val="24"/>
        </w:rPr>
        <w:t>did</w:t>
      </w:r>
      <w:r w:rsidR="007A6F1A" w:rsidRPr="00BE38D7">
        <w:rPr>
          <w:rFonts w:ascii="Arial" w:hAnsi="Arial" w:cs="Arial"/>
          <w:sz w:val="24"/>
          <w:szCs w:val="24"/>
        </w:rPr>
        <w:t xml:space="preserve"> not</w:t>
      </w:r>
      <w:r w:rsidR="000367C4" w:rsidRPr="00BE38D7">
        <w:rPr>
          <w:rFonts w:ascii="Arial" w:hAnsi="Arial" w:cs="Arial"/>
          <w:sz w:val="24"/>
          <w:szCs w:val="24"/>
        </w:rPr>
        <w:t xml:space="preserve"> exercise its own decision-making power. The record</w:t>
      </w:r>
      <w:r w:rsidR="00682725" w:rsidRPr="00BE38D7">
        <w:rPr>
          <w:rFonts w:ascii="Arial" w:hAnsi="Arial" w:cs="Arial"/>
          <w:sz w:val="24"/>
          <w:szCs w:val="24"/>
        </w:rPr>
        <w:t xml:space="preserve"> shows</w:t>
      </w:r>
      <w:r w:rsidR="00694FA9" w:rsidRPr="00BE38D7">
        <w:rPr>
          <w:rFonts w:ascii="Arial" w:hAnsi="Arial" w:cs="Arial"/>
          <w:sz w:val="24"/>
          <w:szCs w:val="24"/>
        </w:rPr>
        <w:t xml:space="preserve"> that</w:t>
      </w:r>
      <w:r w:rsidR="000367C4" w:rsidRPr="00BE38D7">
        <w:rPr>
          <w:rFonts w:ascii="Arial" w:hAnsi="Arial" w:cs="Arial"/>
          <w:sz w:val="24"/>
          <w:szCs w:val="24"/>
        </w:rPr>
        <w:t xml:space="preserve"> the views of the AC</w:t>
      </w:r>
      <w:r w:rsidR="009F4127" w:rsidRPr="00BE38D7">
        <w:rPr>
          <w:rFonts w:ascii="Arial" w:hAnsi="Arial" w:cs="Arial"/>
          <w:sz w:val="24"/>
          <w:szCs w:val="24"/>
        </w:rPr>
        <w:t xml:space="preserve"> was </w:t>
      </w:r>
      <w:r w:rsidR="00C47666" w:rsidRPr="00BE38D7">
        <w:rPr>
          <w:rFonts w:ascii="Arial" w:hAnsi="Arial" w:cs="Arial"/>
          <w:sz w:val="24"/>
          <w:szCs w:val="24"/>
        </w:rPr>
        <w:t>provided</w:t>
      </w:r>
      <w:r w:rsidR="000367C4" w:rsidRPr="00BE38D7">
        <w:rPr>
          <w:rFonts w:ascii="Arial" w:hAnsi="Arial" w:cs="Arial"/>
          <w:sz w:val="24"/>
          <w:szCs w:val="24"/>
        </w:rPr>
        <w:t xml:space="preserve"> and the</w:t>
      </w:r>
      <w:r w:rsidR="00C47666" w:rsidRPr="00BE38D7">
        <w:rPr>
          <w:rFonts w:ascii="Arial" w:hAnsi="Arial" w:cs="Arial"/>
          <w:sz w:val="24"/>
          <w:szCs w:val="24"/>
        </w:rPr>
        <w:t xml:space="preserve">re are </w:t>
      </w:r>
      <w:r w:rsidR="000367C4" w:rsidRPr="00BE38D7">
        <w:rPr>
          <w:rFonts w:ascii="Arial" w:hAnsi="Arial" w:cs="Arial"/>
          <w:sz w:val="24"/>
          <w:szCs w:val="24"/>
        </w:rPr>
        <w:t>minutes of the meetings held when the application was considered.</w:t>
      </w:r>
      <w:r w:rsidR="004F4433" w:rsidRPr="00BE38D7">
        <w:rPr>
          <w:rFonts w:ascii="Arial" w:hAnsi="Arial" w:cs="Arial"/>
          <w:sz w:val="24"/>
          <w:szCs w:val="24"/>
        </w:rPr>
        <w:t xml:space="preserve"> </w:t>
      </w:r>
      <w:r w:rsidR="004762E5" w:rsidRPr="00BE38D7">
        <w:rPr>
          <w:rFonts w:ascii="Arial" w:hAnsi="Arial" w:cs="Arial"/>
          <w:sz w:val="24"/>
          <w:szCs w:val="24"/>
        </w:rPr>
        <w:t xml:space="preserve">The highwater mark in this instance </w:t>
      </w:r>
      <w:r w:rsidR="00E42AED" w:rsidRPr="00BE38D7">
        <w:rPr>
          <w:rFonts w:ascii="Arial" w:hAnsi="Arial" w:cs="Arial"/>
          <w:sz w:val="24"/>
          <w:szCs w:val="24"/>
        </w:rPr>
        <w:t>of</w:t>
      </w:r>
      <w:r w:rsidR="004762E5" w:rsidRPr="00BE38D7">
        <w:rPr>
          <w:rFonts w:ascii="Arial" w:hAnsi="Arial" w:cs="Arial"/>
          <w:sz w:val="24"/>
          <w:szCs w:val="24"/>
        </w:rPr>
        <w:t xml:space="preserve"> ACB’s criticism</w:t>
      </w:r>
      <w:r w:rsidR="00E42AED" w:rsidRPr="00BE38D7">
        <w:rPr>
          <w:rFonts w:ascii="Arial" w:hAnsi="Arial" w:cs="Arial"/>
          <w:sz w:val="24"/>
          <w:szCs w:val="24"/>
        </w:rPr>
        <w:t xml:space="preserve"> is</w:t>
      </w:r>
      <w:r w:rsidR="004762E5" w:rsidRPr="00BE38D7">
        <w:rPr>
          <w:rFonts w:ascii="Arial" w:hAnsi="Arial" w:cs="Arial"/>
          <w:sz w:val="24"/>
          <w:szCs w:val="24"/>
        </w:rPr>
        <w:t xml:space="preserve"> that </w:t>
      </w:r>
      <w:r w:rsidR="00DA413B" w:rsidRPr="00BE38D7">
        <w:rPr>
          <w:rFonts w:ascii="Arial" w:hAnsi="Arial" w:cs="Arial"/>
          <w:sz w:val="24"/>
          <w:szCs w:val="24"/>
        </w:rPr>
        <w:t xml:space="preserve">Monsanto’s application was uncritically </w:t>
      </w:r>
      <w:r w:rsidR="003625B7" w:rsidRPr="00BE38D7">
        <w:rPr>
          <w:rFonts w:ascii="Arial" w:hAnsi="Arial" w:cs="Arial"/>
          <w:sz w:val="24"/>
          <w:szCs w:val="24"/>
        </w:rPr>
        <w:t>accepted, but</w:t>
      </w:r>
      <w:r w:rsidR="004F4433" w:rsidRPr="00BE38D7">
        <w:rPr>
          <w:rFonts w:ascii="Arial" w:hAnsi="Arial" w:cs="Arial"/>
          <w:sz w:val="24"/>
          <w:szCs w:val="24"/>
        </w:rPr>
        <w:t xml:space="preserve"> the record indicate</w:t>
      </w:r>
      <w:r w:rsidR="00AE201F" w:rsidRPr="00BE38D7">
        <w:rPr>
          <w:rFonts w:ascii="Arial" w:hAnsi="Arial" w:cs="Arial"/>
          <w:sz w:val="24"/>
          <w:szCs w:val="24"/>
        </w:rPr>
        <w:t>s otherwise.</w:t>
      </w:r>
    </w:p>
    <w:p w14:paraId="6C8D45F1" w14:textId="77777777" w:rsidR="00EA3E24" w:rsidRPr="00B80466" w:rsidRDefault="00EA3E24" w:rsidP="00B80466">
      <w:pPr>
        <w:spacing w:line="360" w:lineRule="auto"/>
        <w:jc w:val="both"/>
        <w:rPr>
          <w:rFonts w:ascii="Arial" w:hAnsi="Arial" w:cs="Arial"/>
          <w:sz w:val="24"/>
          <w:szCs w:val="24"/>
        </w:rPr>
      </w:pPr>
    </w:p>
    <w:p w14:paraId="02C12AF0" w14:textId="157BF774" w:rsidR="007221B8" w:rsidRPr="00BE38D7" w:rsidRDefault="00BE38D7" w:rsidP="00BE38D7">
      <w:pPr>
        <w:spacing w:line="360" w:lineRule="auto"/>
        <w:ind w:left="720" w:hanging="720"/>
        <w:jc w:val="both"/>
        <w:rPr>
          <w:rFonts w:ascii="Arial" w:hAnsi="Arial" w:cs="Arial"/>
          <w:sz w:val="24"/>
          <w:szCs w:val="24"/>
        </w:rPr>
      </w:pPr>
      <w:r w:rsidRPr="00B80466">
        <w:rPr>
          <w:rFonts w:ascii="Arial" w:hAnsi="Arial" w:cs="Arial"/>
          <w:color w:val="000000" w:themeColor="text1"/>
          <w:sz w:val="24"/>
          <w:szCs w:val="24"/>
        </w:rPr>
        <w:t>34.</w:t>
      </w:r>
      <w:r w:rsidRPr="00B80466">
        <w:rPr>
          <w:rFonts w:ascii="Arial" w:hAnsi="Arial" w:cs="Arial"/>
          <w:color w:val="000000" w:themeColor="text1"/>
          <w:sz w:val="24"/>
          <w:szCs w:val="24"/>
        </w:rPr>
        <w:tab/>
      </w:r>
      <w:r w:rsidR="003D228A" w:rsidRPr="00BE38D7">
        <w:rPr>
          <w:rFonts w:ascii="Arial" w:hAnsi="Arial" w:cs="Arial"/>
          <w:sz w:val="24"/>
          <w:szCs w:val="24"/>
        </w:rPr>
        <w:t xml:space="preserve"> The </w:t>
      </w:r>
      <w:r w:rsidR="00172F7D" w:rsidRPr="00BE38D7">
        <w:rPr>
          <w:rFonts w:ascii="Arial" w:hAnsi="Arial" w:cs="Arial"/>
          <w:sz w:val="24"/>
          <w:szCs w:val="24"/>
        </w:rPr>
        <w:t>r</w:t>
      </w:r>
      <w:r w:rsidR="003D228A" w:rsidRPr="00BE38D7">
        <w:rPr>
          <w:rFonts w:ascii="Arial" w:hAnsi="Arial" w:cs="Arial"/>
          <w:sz w:val="24"/>
          <w:szCs w:val="24"/>
        </w:rPr>
        <w:t>ecord and the EC’s decision</w:t>
      </w:r>
      <w:r w:rsidR="00660C91" w:rsidRPr="00BE38D7">
        <w:rPr>
          <w:rFonts w:ascii="Arial" w:hAnsi="Arial" w:cs="Arial"/>
          <w:sz w:val="24"/>
          <w:szCs w:val="24"/>
        </w:rPr>
        <w:t xml:space="preserve"> make it clear that</w:t>
      </w:r>
      <w:r w:rsidR="0070035E" w:rsidRPr="00BE38D7">
        <w:rPr>
          <w:rFonts w:ascii="Arial" w:hAnsi="Arial" w:cs="Arial"/>
          <w:sz w:val="24"/>
          <w:szCs w:val="24"/>
        </w:rPr>
        <w:t xml:space="preserve"> </w:t>
      </w:r>
      <w:r w:rsidR="00554AED" w:rsidRPr="00BE38D7">
        <w:rPr>
          <w:rFonts w:ascii="Arial" w:hAnsi="Arial" w:cs="Arial"/>
          <w:sz w:val="24"/>
          <w:szCs w:val="24"/>
        </w:rPr>
        <w:t>the EC</w:t>
      </w:r>
      <w:r w:rsidR="00AB595D" w:rsidRPr="00BE38D7">
        <w:rPr>
          <w:rFonts w:ascii="Arial" w:hAnsi="Arial" w:cs="Arial"/>
          <w:sz w:val="24"/>
          <w:szCs w:val="24"/>
        </w:rPr>
        <w:t xml:space="preserve"> did consider the </w:t>
      </w:r>
      <w:r w:rsidR="00660C91" w:rsidRPr="00BE38D7">
        <w:rPr>
          <w:rFonts w:ascii="Arial" w:hAnsi="Arial" w:cs="Arial"/>
          <w:sz w:val="24"/>
          <w:szCs w:val="24"/>
        </w:rPr>
        <w:t>risk assessment</w:t>
      </w:r>
      <w:r w:rsidR="00E00470" w:rsidRPr="00BE38D7">
        <w:rPr>
          <w:rFonts w:ascii="Arial" w:hAnsi="Arial" w:cs="Arial"/>
          <w:sz w:val="24"/>
          <w:szCs w:val="24"/>
        </w:rPr>
        <w:t xml:space="preserve"> provided by </w:t>
      </w:r>
      <w:r w:rsidR="001D7D3F" w:rsidRPr="00BE38D7">
        <w:rPr>
          <w:rFonts w:ascii="Arial" w:hAnsi="Arial" w:cs="Arial"/>
          <w:sz w:val="24"/>
          <w:szCs w:val="24"/>
        </w:rPr>
        <w:t>Monsanto, in</w:t>
      </w:r>
      <w:r w:rsidR="00093D2C" w:rsidRPr="00BE38D7">
        <w:rPr>
          <w:rFonts w:ascii="Arial" w:hAnsi="Arial" w:cs="Arial"/>
          <w:sz w:val="24"/>
          <w:szCs w:val="24"/>
        </w:rPr>
        <w:t xml:space="preserve"> the absence of submissions by third parties</w:t>
      </w:r>
      <w:r w:rsidR="001D7D3F" w:rsidRPr="00BE38D7">
        <w:rPr>
          <w:rFonts w:ascii="Arial" w:hAnsi="Arial" w:cs="Arial"/>
          <w:sz w:val="24"/>
          <w:szCs w:val="24"/>
        </w:rPr>
        <w:t>,</w:t>
      </w:r>
      <w:r w:rsidR="00660C91" w:rsidRPr="00BE38D7">
        <w:rPr>
          <w:rFonts w:ascii="Arial" w:hAnsi="Arial" w:cs="Arial"/>
          <w:sz w:val="24"/>
          <w:szCs w:val="24"/>
        </w:rPr>
        <w:t xml:space="preserve"> and concluded that MON 87460 was safe for humans, animals and the environment. It was already pointed out that neither NEMA</w:t>
      </w:r>
      <w:r w:rsidR="007D5CC6" w:rsidRPr="00BE38D7">
        <w:rPr>
          <w:rFonts w:ascii="Arial" w:hAnsi="Arial" w:cs="Arial"/>
          <w:sz w:val="24"/>
          <w:szCs w:val="24"/>
        </w:rPr>
        <w:t>,</w:t>
      </w:r>
      <w:r w:rsidR="00660C91" w:rsidRPr="00BE38D7">
        <w:rPr>
          <w:rFonts w:ascii="Arial" w:hAnsi="Arial" w:cs="Arial"/>
          <w:sz w:val="24"/>
          <w:szCs w:val="24"/>
        </w:rPr>
        <w:t xml:space="preserve"> nor</w:t>
      </w:r>
      <w:r w:rsidR="007D5CC6" w:rsidRPr="00BE38D7">
        <w:rPr>
          <w:rFonts w:ascii="Arial" w:hAnsi="Arial" w:cs="Arial"/>
          <w:sz w:val="24"/>
          <w:szCs w:val="24"/>
        </w:rPr>
        <w:t xml:space="preserve"> the</w:t>
      </w:r>
      <w:r w:rsidR="00660C91" w:rsidRPr="00BE38D7">
        <w:rPr>
          <w:rFonts w:ascii="Arial" w:hAnsi="Arial" w:cs="Arial"/>
          <w:sz w:val="24"/>
          <w:szCs w:val="24"/>
        </w:rPr>
        <w:t xml:space="preserve"> GMO Act and Regulations require</w:t>
      </w:r>
      <w:r w:rsidR="007D5CC6" w:rsidRPr="00BE38D7">
        <w:rPr>
          <w:rFonts w:ascii="Arial" w:hAnsi="Arial" w:cs="Arial"/>
          <w:sz w:val="24"/>
          <w:szCs w:val="24"/>
        </w:rPr>
        <w:t>s</w:t>
      </w:r>
      <w:r w:rsidR="00660C91" w:rsidRPr="00BE38D7">
        <w:rPr>
          <w:rFonts w:ascii="Arial" w:hAnsi="Arial" w:cs="Arial"/>
          <w:sz w:val="24"/>
          <w:szCs w:val="24"/>
        </w:rPr>
        <w:t xml:space="preserve"> an EIA </w:t>
      </w:r>
      <w:r w:rsidR="00D1513C" w:rsidRPr="00BE38D7">
        <w:rPr>
          <w:rFonts w:ascii="Arial" w:hAnsi="Arial" w:cs="Arial"/>
          <w:sz w:val="24"/>
          <w:szCs w:val="24"/>
        </w:rPr>
        <w:t>in the circumstances</w:t>
      </w:r>
      <w:r w:rsidR="009F0941" w:rsidRPr="00BE38D7">
        <w:rPr>
          <w:rFonts w:ascii="Arial" w:hAnsi="Arial" w:cs="Arial"/>
          <w:sz w:val="24"/>
          <w:szCs w:val="24"/>
        </w:rPr>
        <w:t xml:space="preserve"> that prevail</w:t>
      </w:r>
      <w:r w:rsidR="000E459C" w:rsidRPr="00BE38D7">
        <w:rPr>
          <w:rFonts w:ascii="Arial" w:hAnsi="Arial" w:cs="Arial"/>
          <w:sz w:val="24"/>
          <w:szCs w:val="24"/>
        </w:rPr>
        <w:t>ed</w:t>
      </w:r>
      <w:r w:rsidR="009F0941" w:rsidRPr="00BE38D7">
        <w:rPr>
          <w:rFonts w:ascii="Arial" w:hAnsi="Arial" w:cs="Arial"/>
          <w:sz w:val="24"/>
          <w:szCs w:val="24"/>
        </w:rPr>
        <w:t xml:space="preserve"> in this matter.</w:t>
      </w:r>
      <w:r w:rsidR="00660C91" w:rsidRPr="00BE38D7">
        <w:rPr>
          <w:rFonts w:ascii="Arial" w:hAnsi="Arial" w:cs="Arial"/>
          <w:sz w:val="24"/>
          <w:szCs w:val="24"/>
        </w:rPr>
        <w:t xml:space="preserve">  The f</w:t>
      </w:r>
      <w:r w:rsidR="00A96E60" w:rsidRPr="00BE38D7">
        <w:rPr>
          <w:rFonts w:ascii="Arial" w:hAnsi="Arial" w:cs="Arial"/>
          <w:sz w:val="24"/>
          <w:szCs w:val="24"/>
        </w:rPr>
        <w:t>a</w:t>
      </w:r>
      <w:r w:rsidR="00660C91" w:rsidRPr="00BE38D7">
        <w:rPr>
          <w:rFonts w:ascii="Arial" w:hAnsi="Arial" w:cs="Arial"/>
          <w:sz w:val="24"/>
          <w:szCs w:val="24"/>
        </w:rPr>
        <w:t>ct of the matter is that procedures required by legislation were followed</w:t>
      </w:r>
      <w:r w:rsidR="00AB048B" w:rsidRPr="00BE38D7">
        <w:rPr>
          <w:rFonts w:ascii="Arial" w:hAnsi="Arial" w:cs="Arial"/>
          <w:sz w:val="24"/>
          <w:szCs w:val="24"/>
        </w:rPr>
        <w:t>.</w:t>
      </w:r>
      <w:r w:rsidR="0015090E" w:rsidRPr="00BE38D7">
        <w:rPr>
          <w:rFonts w:ascii="Arial" w:hAnsi="Arial" w:cs="Arial"/>
          <w:sz w:val="24"/>
          <w:szCs w:val="24"/>
        </w:rPr>
        <w:t xml:space="preserve"> </w:t>
      </w:r>
      <w:r w:rsidR="00F52DB1" w:rsidRPr="00BE38D7">
        <w:rPr>
          <w:rFonts w:ascii="Arial" w:hAnsi="Arial" w:cs="Arial"/>
          <w:sz w:val="24"/>
          <w:szCs w:val="24"/>
        </w:rPr>
        <w:t>In any event</w:t>
      </w:r>
      <w:r w:rsidR="002C0429" w:rsidRPr="00BE38D7">
        <w:rPr>
          <w:rFonts w:ascii="Arial" w:hAnsi="Arial" w:cs="Arial"/>
          <w:sz w:val="24"/>
          <w:szCs w:val="24"/>
        </w:rPr>
        <w:t xml:space="preserve"> any procedural unfairness was cured by the </w:t>
      </w:r>
      <w:r w:rsidR="00DD7750" w:rsidRPr="00BE38D7">
        <w:rPr>
          <w:rFonts w:ascii="Arial" w:hAnsi="Arial" w:cs="Arial"/>
          <w:sz w:val="24"/>
          <w:szCs w:val="24"/>
        </w:rPr>
        <w:t>appeal that followed.</w:t>
      </w:r>
      <w:r w:rsidR="003E69B4" w:rsidRPr="00BE38D7">
        <w:rPr>
          <w:rFonts w:ascii="Arial" w:hAnsi="Arial" w:cs="Arial"/>
          <w:sz w:val="24"/>
          <w:szCs w:val="24"/>
        </w:rPr>
        <w:t xml:space="preserve"> I</w:t>
      </w:r>
      <w:r w:rsidR="000376D0" w:rsidRPr="00BE38D7">
        <w:rPr>
          <w:rFonts w:ascii="Arial" w:hAnsi="Arial" w:cs="Arial"/>
          <w:sz w:val="24"/>
          <w:szCs w:val="24"/>
        </w:rPr>
        <w:t xml:space="preserve"> must therefore conclude </w:t>
      </w:r>
      <w:r w:rsidR="00402A3B" w:rsidRPr="00BE38D7">
        <w:rPr>
          <w:rFonts w:ascii="Arial" w:hAnsi="Arial" w:cs="Arial"/>
          <w:sz w:val="24"/>
          <w:szCs w:val="24"/>
        </w:rPr>
        <w:t xml:space="preserve">that the EC did apply </w:t>
      </w:r>
      <w:r w:rsidR="000A6C94" w:rsidRPr="00BE38D7">
        <w:rPr>
          <w:rFonts w:ascii="Arial" w:hAnsi="Arial" w:cs="Arial"/>
          <w:sz w:val="24"/>
          <w:szCs w:val="24"/>
        </w:rPr>
        <w:t>its mind and considered the evidence before it</w:t>
      </w:r>
      <w:r w:rsidR="003E69B4" w:rsidRPr="00BE38D7">
        <w:rPr>
          <w:rFonts w:ascii="Arial" w:hAnsi="Arial" w:cs="Arial"/>
          <w:sz w:val="24"/>
          <w:szCs w:val="24"/>
        </w:rPr>
        <w:t>.</w:t>
      </w:r>
    </w:p>
    <w:p w14:paraId="4798DA61" w14:textId="77777777" w:rsidR="00A96E60" w:rsidRPr="00A96E60" w:rsidRDefault="00A96E60" w:rsidP="00A96E60">
      <w:pPr>
        <w:pStyle w:val="ListParagraph"/>
        <w:rPr>
          <w:rFonts w:ascii="Arial" w:hAnsi="Arial" w:cs="Arial"/>
          <w:sz w:val="24"/>
          <w:szCs w:val="24"/>
        </w:rPr>
      </w:pPr>
    </w:p>
    <w:p w14:paraId="4DFEA6FD" w14:textId="77777777" w:rsidR="00A96E60" w:rsidRPr="001F2A91" w:rsidRDefault="00A96E60" w:rsidP="00A96E60">
      <w:pPr>
        <w:spacing w:line="360" w:lineRule="auto"/>
        <w:jc w:val="both"/>
        <w:rPr>
          <w:rFonts w:ascii="Arial" w:hAnsi="Arial" w:cs="Arial"/>
          <w:sz w:val="24"/>
          <w:szCs w:val="24"/>
          <w:u w:val="single"/>
        </w:rPr>
      </w:pPr>
      <w:r w:rsidRPr="001F2A91">
        <w:rPr>
          <w:rFonts w:ascii="Arial" w:hAnsi="Arial" w:cs="Arial"/>
          <w:sz w:val="24"/>
          <w:szCs w:val="24"/>
          <w:u w:val="single"/>
        </w:rPr>
        <w:lastRenderedPageBreak/>
        <w:t>Did the Appeal Board adequately address the appeal</w:t>
      </w:r>
      <w:r w:rsidR="001F2A91">
        <w:rPr>
          <w:rFonts w:ascii="Arial" w:hAnsi="Arial" w:cs="Arial"/>
          <w:sz w:val="24"/>
          <w:szCs w:val="24"/>
          <w:u w:val="single"/>
        </w:rPr>
        <w:t xml:space="preserve"> grounds raised by the R</w:t>
      </w:r>
      <w:r w:rsidR="001F2A91" w:rsidRPr="001F2A91">
        <w:rPr>
          <w:rFonts w:ascii="Arial" w:hAnsi="Arial" w:cs="Arial"/>
          <w:sz w:val="24"/>
          <w:szCs w:val="24"/>
          <w:u w:val="single"/>
        </w:rPr>
        <w:t>espondent</w:t>
      </w:r>
      <w:r w:rsidR="00723FC4">
        <w:rPr>
          <w:rFonts w:ascii="Arial" w:hAnsi="Arial" w:cs="Arial"/>
          <w:sz w:val="24"/>
          <w:szCs w:val="24"/>
          <w:u w:val="single"/>
        </w:rPr>
        <w:t>s</w:t>
      </w:r>
      <w:r w:rsidR="00B67AF5">
        <w:rPr>
          <w:rFonts w:ascii="Arial" w:hAnsi="Arial" w:cs="Arial"/>
          <w:sz w:val="24"/>
          <w:szCs w:val="24"/>
          <w:u w:val="single"/>
        </w:rPr>
        <w:t>.</w:t>
      </w:r>
    </w:p>
    <w:p w14:paraId="3D590A08" w14:textId="77777777" w:rsidR="004945F8" w:rsidRPr="004945F8" w:rsidRDefault="004945F8" w:rsidP="004945F8">
      <w:pPr>
        <w:pStyle w:val="ListParagraph"/>
        <w:rPr>
          <w:rFonts w:ascii="Arial" w:hAnsi="Arial" w:cs="Arial"/>
          <w:sz w:val="24"/>
          <w:szCs w:val="24"/>
        </w:rPr>
      </w:pPr>
    </w:p>
    <w:p w14:paraId="1BE2B1BF" w14:textId="2AFB5F5B" w:rsidR="00952B77" w:rsidRPr="00BE38D7" w:rsidRDefault="00BE38D7" w:rsidP="00BE38D7">
      <w:pPr>
        <w:spacing w:line="360" w:lineRule="auto"/>
        <w:ind w:left="720" w:hanging="720"/>
        <w:jc w:val="both"/>
        <w:rPr>
          <w:rFonts w:ascii="Arial" w:hAnsi="Arial" w:cs="Arial"/>
          <w:sz w:val="24"/>
          <w:szCs w:val="24"/>
        </w:rPr>
      </w:pPr>
      <w:r w:rsidRPr="0015090E">
        <w:rPr>
          <w:rFonts w:ascii="Arial" w:hAnsi="Arial" w:cs="Arial"/>
          <w:color w:val="000000" w:themeColor="text1"/>
          <w:sz w:val="24"/>
          <w:szCs w:val="24"/>
        </w:rPr>
        <w:t>35.</w:t>
      </w:r>
      <w:r w:rsidRPr="0015090E">
        <w:rPr>
          <w:rFonts w:ascii="Arial" w:hAnsi="Arial" w:cs="Arial"/>
          <w:color w:val="000000" w:themeColor="text1"/>
          <w:sz w:val="24"/>
          <w:szCs w:val="24"/>
        </w:rPr>
        <w:tab/>
      </w:r>
      <w:r w:rsidR="00DE787D" w:rsidRPr="00BE38D7">
        <w:rPr>
          <w:rFonts w:ascii="Arial" w:hAnsi="Arial" w:cs="Arial"/>
          <w:sz w:val="24"/>
          <w:szCs w:val="24"/>
        </w:rPr>
        <w:t xml:space="preserve">ACB did not indicate in either the founding </w:t>
      </w:r>
      <w:r w:rsidR="00B64EF8" w:rsidRPr="00BE38D7">
        <w:rPr>
          <w:rFonts w:ascii="Arial" w:hAnsi="Arial" w:cs="Arial"/>
          <w:sz w:val="24"/>
          <w:szCs w:val="24"/>
        </w:rPr>
        <w:t xml:space="preserve">affidavit, </w:t>
      </w:r>
      <w:r w:rsidR="001E34EF" w:rsidRPr="00BE38D7">
        <w:rPr>
          <w:rFonts w:ascii="Arial" w:hAnsi="Arial" w:cs="Arial"/>
          <w:sz w:val="24"/>
          <w:szCs w:val="24"/>
        </w:rPr>
        <w:t>or</w:t>
      </w:r>
      <w:r w:rsidR="00BD1C3A" w:rsidRPr="00BE38D7">
        <w:rPr>
          <w:rFonts w:ascii="Arial" w:hAnsi="Arial" w:cs="Arial"/>
          <w:sz w:val="24"/>
          <w:szCs w:val="24"/>
        </w:rPr>
        <w:t xml:space="preserve"> </w:t>
      </w:r>
      <w:r w:rsidR="00DE787D" w:rsidRPr="00BE38D7">
        <w:rPr>
          <w:rFonts w:ascii="Arial" w:hAnsi="Arial" w:cs="Arial"/>
          <w:sz w:val="24"/>
          <w:szCs w:val="24"/>
        </w:rPr>
        <w:t>the heads of argument</w:t>
      </w:r>
      <w:r w:rsidR="00191068" w:rsidRPr="00BE38D7">
        <w:rPr>
          <w:rFonts w:ascii="Arial" w:hAnsi="Arial" w:cs="Arial"/>
          <w:sz w:val="24"/>
          <w:szCs w:val="24"/>
        </w:rPr>
        <w:t xml:space="preserve"> on which provisions of PAJA </w:t>
      </w:r>
      <w:r w:rsidR="00120A08" w:rsidRPr="00BE38D7">
        <w:rPr>
          <w:rFonts w:ascii="Arial" w:hAnsi="Arial" w:cs="Arial"/>
          <w:sz w:val="24"/>
          <w:szCs w:val="24"/>
        </w:rPr>
        <w:t xml:space="preserve">it based its </w:t>
      </w:r>
      <w:r w:rsidR="00FC7000" w:rsidRPr="00BE38D7">
        <w:rPr>
          <w:rFonts w:ascii="Arial" w:hAnsi="Arial" w:cs="Arial"/>
          <w:sz w:val="24"/>
          <w:szCs w:val="24"/>
        </w:rPr>
        <w:t xml:space="preserve">review </w:t>
      </w:r>
      <w:r w:rsidR="00B64EF8" w:rsidRPr="00BE38D7">
        <w:rPr>
          <w:rFonts w:ascii="Arial" w:hAnsi="Arial" w:cs="Arial"/>
          <w:sz w:val="24"/>
          <w:szCs w:val="24"/>
        </w:rPr>
        <w:t>against the Appeal decision. ACB</w:t>
      </w:r>
      <w:r w:rsidR="001F2A91" w:rsidRPr="00BE38D7">
        <w:rPr>
          <w:rFonts w:ascii="Arial" w:hAnsi="Arial" w:cs="Arial"/>
          <w:sz w:val="24"/>
          <w:szCs w:val="24"/>
        </w:rPr>
        <w:t xml:space="preserve"> alleges in its heads of argument that </w:t>
      </w:r>
      <w:r w:rsidR="00A567F6" w:rsidRPr="00BE38D7">
        <w:rPr>
          <w:rFonts w:ascii="Arial" w:hAnsi="Arial" w:cs="Arial"/>
          <w:sz w:val="24"/>
          <w:szCs w:val="24"/>
        </w:rPr>
        <w:t>the Appeal Board decision did not engage with the appeal grounds</w:t>
      </w:r>
      <w:r w:rsidR="00960BB5" w:rsidRPr="00BE38D7">
        <w:rPr>
          <w:rFonts w:ascii="Arial" w:hAnsi="Arial" w:cs="Arial"/>
          <w:sz w:val="24"/>
          <w:szCs w:val="24"/>
        </w:rPr>
        <w:t>,</w:t>
      </w:r>
      <w:r w:rsidR="00A567F6" w:rsidRPr="00BE38D7">
        <w:rPr>
          <w:rFonts w:ascii="Arial" w:hAnsi="Arial" w:cs="Arial"/>
          <w:sz w:val="24"/>
          <w:szCs w:val="24"/>
        </w:rPr>
        <w:t xml:space="preserve"> because it d</w:t>
      </w:r>
      <w:r w:rsidR="001E34EF" w:rsidRPr="00BE38D7">
        <w:rPr>
          <w:rFonts w:ascii="Arial" w:hAnsi="Arial" w:cs="Arial"/>
          <w:sz w:val="24"/>
          <w:szCs w:val="24"/>
        </w:rPr>
        <w:t>id</w:t>
      </w:r>
      <w:r w:rsidR="00A567F6" w:rsidRPr="00BE38D7">
        <w:rPr>
          <w:rFonts w:ascii="Arial" w:hAnsi="Arial" w:cs="Arial"/>
          <w:sz w:val="24"/>
          <w:szCs w:val="24"/>
        </w:rPr>
        <w:t xml:space="preserve"> not </w:t>
      </w:r>
      <w:r w:rsidR="00FB3C25" w:rsidRPr="00BE38D7">
        <w:rPr>
          <w:rFonts w:ascii="Arial" w:hAnsi="Arial" w:cs="Arial"/>
          <w:sz w:val="24"/>
          <w:szCs w:val="24"/>
        </w:rPr>
        <w:t>address the</w:t>
      </w:r>
      <w:r w:rsidR="00A567F6" w:rsidRPr="00BE38D7">
        <w:rPr>
          <w:rFonts w:ascii="Arial" w:hAnsi="Arial" w:cs="Arial"/>
          <w:sz w:val="24"/>
          <w:szCs w:val="24"/>
        </w:rPr>
        <w:t xml:space="preserve"> lack of adequate </w:t>
      </w:r>
      <w:r w:rsidR="00B67AF5" w:rsidRPr="00BE38D7">
        <w:rPr>
          <w:rFonts w:ascii="Arial" w:hAnsi="Arial" w:cs="Arial"/>
          <w:sz w:val="24"/>
          <w:szCs w:val="24"/>
        </w:rPr>
        <w:t>notice</w:t>
      </w:r>
      <w:r w:rsidR="00BD1C3A" w:rsidRPr="00BE38D7">
        <w:rPr>
          <w:rFonts w:ascii="Arial" w:hAnsi="Arial" w:cs="Arial"/>
          <w:sz w:val="24"/>
          <w:szCs w:val="24"/>
        </w:rPr>
        <w:t>,</w:t>
      </w:r>
      <w:r w:rsidR="00B67AF5" w:rsidRPr="00BE38D7">
        <w:rPr>
          <w:rFonts w:ascii="Arial" w:hAnsi="Arial" w:cs="Arial"/>
          <w:sz w:val="24"/>
          <w:szCs w:val="24"/>
        </w:rPr>
        <w:t xml:space="preserve"> Professor</w:t>
      </w:r>
      <w:r w:rsidR="00A567F6" w:rsidRPr="00BE38D7">
        <w:rPr>
          <w:rFonts w:ascii="Arial" w:hAnsi="Arial" w:cs="Arial"/>
          <w:sz w:val="24"/>
          <w:szCs w:val="24"/>
        </w:rPr>
        <w:t xml:space="preserve"> Heinemann’s </w:t>
      </w:r>
      <w:r w:rsidR="0041151F" w:rsidRPr="00BE38D7">
        <w:rPr>
          <w:rFonts w:ascii="Arial" w:hAnsi="Arial" w:cs="Arial"/>
          <w:sz w:val="24"/>
          <w:szCs w:val="24"/>
        </w:rPr>
        <w:t>evidence</w:t>
      </w:r>
      <w:r w:rsidR="001E34EF" w:rsidRPr="00BE38D7">
        <w:rPr>
          <w:rFonts w:ascii="Arial" w:hAnsi="Arial" w:cs="Arial"/>
          <w:sz w:val="24"/>
          <w:szCs w:val="24"/>
        </w:rPr>
        <w:t>,</w:t>
      </w:r>
      <w:r w:rsidR="0041151F" w:rsidRPr="00BE38D7">
        <w:rPr>
          <w:rFonts w:ascii="Arial" w:hAnsi="Arial" w:cs="Arial"/>
          <w:sz w:val="24"/>
          <w:szCs w:val="24"/>
        </w:rPr>
        <w:t xml:space="preserve"> the</w:t>
      </w:r>
      <w:r w:rsidR="00A567F6" w:rsidRPr="00BE38D7">
        <w:rPr>
          <w:rFonts w:ascii="Arial" w:hAnsi="Arial" w:cs="Arial"/>
          <w:sz w:val="24"/>
          <w:szCs w:val="24"/>
        </w:rPr>
        <w:t xml:space="preserve"> absence of a determination</w:t>
      </w:r>
      <w:r w:rsidR="003E2AA0" w:rsidRPr="00BE38D7">
        <w:rPr>
          <w:rFonts w:ascii="Arial" w:hAnsi="Arial" w:cs="Arial"/>
          <w:sz w:val="24"/>
          <w:szCs w:val="24"/>
        </w:rPr>
        <w:t xml:space="preserve"> in terms</w:t>
      </w:r>
      <w:r w:rsidR="00A567F6" w:rsidRPr="00BE38D7">
        <w:rPr>
          <w:rFonts w:ascii="Arial" w:hAnsi="Arial" w:cs="Arial"/>
          <w:sz w:val="24"/>
          <w:szCs w:val="24"/>
        </w:rPr>
        <w:t xml:space="preserve"> of Section 5 </w:t>
      </w:r>
      <w:r w:rsidR="00B735E6" w:rsidRPr="00BE38D7">
        <w:rPr>
          <w:rFonts w:ascii="Arial" w:hAnsi="Arial" w:cs="Arial"/>
          <w:sz w:val="24"/>
          <w:szCs w:val="24"/>
        </w:rPr>
        <w:t xml:space="preserve">(1) </w:t>
      </w:r>
      <w:r w:rsidR="00A567F6" w:rsidRPr="00BE38D7">
        <w:rPr>
          <w:rFonts w:ascii="Arial" w:hAnsi="Arial" w:cs="Arial"/>
          <w:sz w:val="24"/>
          <w:szCs w:val="24"/>
        </w:rPr>
        <w:t>(</w:t>
      </w:r>
      <w:r w:rsidR="00952B77" w:rsidRPr="00BE38D7">
        <w:rPr>
          <w:rFonts w:ascii="Arial" w:hAnsi="Arial" w:cs="Arial"/>
          <w:sz w:val="24"/>
          <w:szCs w:val="24"/>
        </w:rPr>
        <w:t>a</w:t>
      </w:r>
      <w:r w:rsidR="00A567F6" w:rsidRPr="00BE38D7">
        <w:rPr>
          <w:rFonts w:ascii="Arial" w:hAnsi="Arial" w:cs="Arial"/>
          <w:sz w:val="24"/>
          <w:szCs w:val="24"/>
        </w:rPr>
        <w:t>)</w:t>
      </w:r>
      <w:r w:rsidR="00952B77" w:rsidRPr="00BE38D7">
        <w:rPr>
          <w:rFonts w:ascii="Arial" w:hAnsi="Arial" w:cs="Arial"/>
          <w:sz w:val="24"/>
          <w:szCs w:val="24"/>
        </w:rPr>
        <w:t xml:space="preserve"> of the GMO </w:t>
      </w:r>
      <w:r w:rsidR="00B735E6" w:rsidRPr="00BE38D7">
        <w:rPr>
          <w:rFonts w:ascii="Arial" w:hAnsi="Arial" w:cs="Arial"/>
          <w:sz w:val="24"/>
          <w:szCs w:val="24"/>
        </w:rPr>
        <w:t>Act</w:t>
      </w:r>
      <w:r w:rsidR="00BD1C3A" w:rsidRPr="00BE38D7">
        <w:rPr>
          <w:rFonts w:ascii="Arial" w:hAnsi="Arial" w:cs="Arial"/>
          <w:sz w:val="24"/>
          <w:szCs w:val="24"/>
        </w:rPr>
        <w:t>,</w:t>
      </w:r>
      <w:r w:rsidR="0015090E" w:rsidRPr="00BE38D7">
        <w:rPr>
          <w:rFonts w:ascii="Arial" w:hAnsi="Arial" w:cs="Arial"/>
          <w:sz w:val="24"/>
          <w:szCs w:val="24"/>
        </w:rPr>
        <w:t xml:space="preserve"> </w:t>
      </w:r>
      <w:r w:rsidR="00B735E6" w:rsidRPr="00BE38D7">
        <w:rPr>
          <w:rFonts w:ascii="Arial" w:hAnsi="Arial" w:cs="Arial"/>
          <w:sz w:val="24"/>
          <w:szCs w:val="24"/>
        </w:rPr>
        <w:t>the</w:t>
      </w:r>
      <w:r w:rsidR="00952B77" w:rsidRPr="00BE38D7">
        <w:rPr>
          <w:rFonts w:ascii="Arial" w:hAnsi="Arial" w:cs="Arial"/>
          <w:sz w:val="24"/>
          <w:szCs w:val="24"/>
        </w:rPr>
        <w:t xml:space="preserve"> inadequacy of </w:t>
      </w:r>
      <w:r w:rsidR="00B735E6" w:rsidRPr="00BE38D7">
        <w:rPr>
          <w:rFonts w:ascii="Arial" w:hAnsi="Arial" w:cs="Arial"/>
          <w:sz w:val="24"/>
          <w:szCs w:val="24"/>
        </w:rPr>
        <w:t>Monsanto’s</w:t>
      </w:r>
      <w:r w:rsidR="00952B77" w:rsidRPr="00BE38D7">
        <w:rPr>
          <w:rFonts w:ascii="Arial" w:hAnsi="Arial" w:cs="Arial"/>
          <w:sz w:val="24"/>
          <w:szCs w:val="24"/>
        </w:rPr>
        <w:t xml:space="preserve"> risk assessment;</w:t>
      </w:r>
      <w:r w:rsidR="00FB3C25" w:rsidRPr="00BE38D7">
        <w:rPr>
          <w:rFonts w:ascii="Arial" w:hAnsi="Arial" w:cs="Arial"/>
          <w:sz w:val="24"/>
          <w:szCs w:val="24"/>
        </w:rPr>
        <w:t xml:space="preserve"> </w:t>
      </w:r>
      <w:r w:rsidR="00B735E6" w:rsidRPr="00BE38D7">
        <w:rPr>
          <w:rFonts w:ascii="Arial" w:hAnsi="Arial" w:cs="Arial"/>
          <w:sz w:val="24"/>
          <w:szCs w:val="24"/>
        </w:rPr>
        <w:t>t</w:t>
      </w:r>
      <w:r w:rsidR="00E200D8" w:rsidRPr="00BE38D7">
        <w:rPr>
          <w:rFonts w:ascii="Arial" w:hAnsi="Arial" w:cs="Arial"/>
          <w:sz w:val="24"/>
          <w:szCs w:val="24"/>
        </w:rPr>
        <w:t>he claim of d</w:t>
      </w:r>
      <w:r w:rsidR="00952B77" w:rsidRPr="00BE38D7">
        <w:rPr>
          <w:rFonts w:ascii="Arial" w:hAnsi="Arial" w:cs="Arial"/>
          <w:sz w:val="24"/>
          <w:szCs w:val="24"/>
        </w:rPr>
        <w:t xml:space="preserve">rought resistance and the South African field </w:t>
      </w:r>
      <w:r w:rsidR="00C97BCC" w:rsidRPr="00BE38D7">
        <w:rPr>
          <w:rFonts w:ascii="Arial" w:hAnsi="Arial" w:cs="Arial"/>
          <w:sz w:val="24"/>
          <w:szCs w:val="24"/>
        </w:rPr>
        <w:t>trials</w:t>
      </w:r>
      <w:r w:rsidR="00BD1C3A" w:rsidRPr="00BE38D7">
        <w:rPr>
          <w:rFonts w:ascii="Arial" w:hAnsi="Arial" w:cs="Arial"/>
          <w:sz w:val="24"/>
          <w:szCs w:val="24"/>
        </w:rPr>
        <w:t xml:space="preserve"> and</w:t>
      </w:r>
      <w:r w:rsidR="00C97BCC" w:rsidRPr="00BE38D7">
        <w:rPr>
          <w:rFonts w:ascii="Arial" w:hAnsi="Arial" w:cs="Arial"/>
          <w:sz w:val="24"/>
          <w:szCs w:val="24"/>
        </w:rPr>
        <w:t xml:space="preserve"> the</w:t>
      </w:r>
      <w:r w:rsidR="00952B77" w:rsidRPr="00BE38D7">
        <w:rPr>
          <w:rFonts w:ascii="Arial" w:hAnsi="Arial" w:cs="Arial"/>
          <w:sz w:val="24"/>
          <w:szCs w:val="24"/>
        </w:rPr>
        <w:t xml:space="preserve"> withholding of relevant information which made</w:t>
      </w:r>
      <w:r w:rsidR="001357BC" w:rsidRPr="00BE38D7">
        <w:rPr>
          <w:rFonts w:ascii="Arial" w:hAnsi="Arial" w:cs="Arial"/>
          <w:sz w:val="24"/>
          <w:szCs w:val="24"/>
        </w:rPr>
        <w:t xml:space="preserve"> it impossible to evaluate experimental conditions and methods.</w:t>
      </w:r>
    </w:p>
    <w:p w14:paraId="62C9A1E2" w14:textId="77777777" w:rsidR="001357BC" w:rsidRDefault="001357BC" w:rsidP="001357BC">
      <w:pPr>
        <w:spacing w:line="360" w:lineRule="auto"/>
        <w:jc w:val="both"/>
        <w:rPr>
          <w:rFonts w:ascii="Arial" w:hAnsi="Arial" w:cs="Arial"/>
          <w:sz w:val="24"/>
          <w:szCs w:val="24"/>
        </w:rPr>
      </w:pPr>
    </w:p>
    <w:p w14:paraId="6C544F76" w14:textId="20834AA5" w:rsidR="0025186A"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1357BC" w:rsidRPr="00BE38D7">
        <w:rPr>
          <w:rFonts w:ascii="Arial" w:hAnsi="Arial" w:cs="Arial"/>
          <w:sz w:val="24"/>
          <w:szCs w:val="24"/>
        </w:rPr>
        <w:t xml:space="preserve">The founding </w:t>
      </w:r>
      <w:r w:rsidR="003302DA" w:rsidRPr="00BE38D7">
        <w:rPr>
          <w:rFonts w:ascii="Arial" w:hAnsi="Arial" w:cs="Arial"/>
          <w:sz w:val="24"/>
          <w:szCs w:val="24"/>
        </w:rPr>
        <w:t xml:space="preserve">affidavit, </w:t>
      </w:r>
      <w:r w:rsidR="00B850CF" w:rsidRPr="00BE38D7">
        <w:rPr>
          <w:rFonts w:ascii="Arial" w:hAnsi="Arial" w:cs="Arial"/>
          <w:sz w:val="24"/>
          <w:szCs w:val="24"/>
        </w:rPr>
        <w:t>however,</w:t>
      </w:r>
      <w:r w:rsidR="001357BC" w:rsidRPr="00BE38D7">
        <w:rPr>
          <w:rFonts w:ascii="Arial" w:hAnsi="Arial" w:cs="Arial"/>
          <w:sz w:val="24"/>
          <w:szCs w:val="24"/>
        </w:rPr>
        <w:t xml:space="preserve"> only deals </w:t>
      </w:r>
      <w:r w:rsidR="006303EB" w:rsidRPr="00BE38D7">
        <w:rPr>
          <w:rFonts w:ascii="Arial" w:hAnsi="Arial" w:cs="Arial"/>
          <w:sz w:val="24"/>
          <w:szCs w:val="24"/>
        </w:rPr>
        <w:t>with procedural</w:t>
      </w:r>
      <w:r w:rsidR="00C43CF4" w:rsidRPr="00BE38D7">
        <w:rPr>
          <w:rFonts w:ascii="Arial" w:hAnsi="Arial" w:cs="Arial"/>
          <w:sz w:val="24"/>
          <w:szCs w:val="24"/>
        </w:rPr>
        <w:t xml:space="preserve"> </w:t>
      </w:r>
      <w:r w:rsidR="006303EB" w:rsidRPr="00BE38D7">
        <w:rPr>
          <w:rFonts w:ascii="Arial" w:hAnsi="Arial" w:cs="Arial"/>
          <w:sz w:val="24"/>
          <w:szCs w:val="24"/>
        </w:rPr>
        <w:t xml:space="preserve">irregularities. </w:t>
      </w:r>
      <w:r w:rsidR="00871329" w:rsidRPr="00BE38D7">
        <w:rPr>
          <w:rFonts w:ascii="Arial" w:hAnsi="Arial" w:cs="Arial"/>
          <w:sz w:val="24"/>
          <w:szCs w:val="24"/>
        </w:rPr>
        <w:t xml:space="preserve"> It</w:t>
      </w:r>
      <w:r w:rsidR="003320D3" w:rsidRPr="00BE38D7">
        <w:rPr>
          <w:rFonts w:ascii="Arial" w:hAnsi="Arial" w:cs="Arial"/>
          <w:sz w:val="24"/>
          <w:szCs w:val="24"/>
        </w:rPr>
        <w:t xml:space="preserve"> was pointed out that t</w:t>
      </w:r>
      <w:r w:rsidR="006F686A" w:rsidRPr="00BE38D7">
        <w:rPr>
          <w:rFonts w:ascii="Arial" w:hAnsi="Arial" w:cs="Arial"/>
          <w:sz w:val="24"/>
          <w:szCs w:val="24"/>
        </w:rPr>
        <w:t>he Appeal Board decision was not dated or signed</w:t>
      </w:r>
      <w:r w:rsidR="00892AA6" w:rsidRPr="00BE38D7">
        <w:rPr>
          <w:rFonts w:ascii="Arial" w:hAnsi="Arial" w:cs="Arial"/>
          <w:sz w:val="24"/>
          <w:szCs w:val="24"/>
        </w:rPr>
        <w:t xml:space="preserve"> and </w:t>
      </w:r>
      <w:r w:rsidR="006F686A" w:rsidRPr="00BE38D7">
        <w:rPr>
          <w:rFonts w:ascii="Arial" w:hAnsi="Arial" w:cs="Arial"/>
          <w:sz w:val="24"/>
          <w:szCs w:val="24"/>
        </w:rPr>
        <w:t xml:space="preserve">did not identify </w:t>
      </w:r>
      <w:r w:rsidR="00FB19A3" w:rsidRPr="00BE38D7">
        <w:rPr>
          <w:rFonts w:ascii="Arial" w:hAnsi="Arial" w:cs="Arial"/>
          <w:sz w:val="24"/>
          <w:szCs w:val="24"/>
        </w:rPr>
        <w:t>its members. This</w:t>
      </w:r>
      <w:r w:rsidR="00892AA6" w:rsidRPr="00BE38D7">
        <w:rPr>
          <w:rFonts w:ascii="Arial" w:hAnsi="Arial" w:cs="Arial"/>
          <w:sz w:val="24"/>
          <w:szCs w:val="24"/>
        </w:rPr>
        <w:t xml:space="preserve"> point</w:t>
      </w:r>
      <w:r w:rsidR="00FB19A3" w:rsidRPr="00BE38D7">
        <w:rPr>
          <w:rFonts w:ascii="Arial" w:hAnsi="Arial" w:cs="Arial"/>
          <w:sz w:val="24"/>
          <w:szCs w:val="24"/>
        </w:rPr>
        <w:t xml:space="preserve"> was not persisted with </w:t>
      </w:r>
      <w:r w:rsidR="00552982" w:rsidRPr="00BE38D7">
        <w:rPr>
          <w:rFonts w:ascii="Arial" w:hAnsi="Arial" w:cs="Arial"/>
          <w:sz w:val="24"/>
          <w:szCs w:val="24"/>
        </w:rPr>
        <w:t>i</w:t>
      </w:r>
      <w:r w:rsidR="001178C8" w:rsidRPr="00BE38D7">
        <w:rPr>
          <w:rFonts w:ascii="Arial" w:hAnsi="Arial" w:cs="Arial"/>
          <w:sz w:val="24"/>
          <w:szCs w:val="24"/>
        </w:rPr>
        <w:t xml:space="preserve">n the heads of </w:t>
      </w:r>
      <w:r w:rsidR="006B21F1" w:rsidRPr="00BE38D7">
        <w:rPr>
          <w:rFonts w:ascii="Arial" w:hAnsi="Arial" w:cs="Arial"/>
          <w:sz w:val="24"/>
          <w:szCs w:val="24"/>
        </w:rPr>
        <w:t>argument</w:t>
      </w:r>
      <w:r w:rsidR="00871329" w:rsidRPr="00BE38D7">
        <w:rPr>
          <w:rFonts w:ascii="Arial" w:hAnsi="Arial" w:cs="Arial"/>
          <w:sz w:val="24"/>
          <w:szCs w:val="24"/>
        </w:rPr>
        <w:t>.</w:t>
      </w:r>
      <w:r w:rsidR="006B21F1" w:rsidRPr="00BE38D7">
        <w:rPr>
          <w:rFonts w:ascii="Arial" w:hAnsi="Arial" w:cs="Arial"/>
          <w:sz w:val="24"/>
          <w:szCs w:val="24"/>
        </w:rPr>
        <w:t xml:space="preserve"> The</w:t>
      </w:r>
      <w:r w:rsidR="00FB19A3" w:rsidRPr="00BE38D7">
        <w:rPr>
          <w:rFonts w:ascii="Arial" w:hAnsi="Arial" w:cs="Arial"/>
          <w:sz w:val="24"/>
          <w:szCs w:val="24"/>
        </w:rPr>
        <w:t xml:space="preserve"> failure to address</w:t>
      </w:r>
      <w:r w:rsidR="00474828" w:rsidRPr="00BE38D7">
        <w:rPr>
          <w:rFonts w:ascii="Arial" w:hAnsi="Arial" w:cs="Arial"/>
          <w:sz w:val="24"/>
          <w:szCs w:val="24"/>
        </w:rPr>
        <w:t xml:space="preserve"> the expert opinions of Dr Hillbeck and Professor Heinemann</w:t>
      </w:r>
      <w:r w:rsidR="00552982" w:rsidRPr="00BE38D7">
        <w:rPr>
          <w:rFonts w:ascii="Arial" w:hAnsi="Arial" w:cs="Arial"/>
          <w:sz w:val="24"/>
          <w:szCs w:val="24"/>
        </w:rPr>
        <w:t xml:space="preserve"> in the Appeal Board dec</w:t>
      </w:r>
      <w:r w:rsidR="002D1B31" w:rsidRPr="00BE38D7">
        <w:rPr>
          <w:rFonts w:ascii="Arial" w:hAnsi="Arial" w:cs="Arial"/>
          <w:sz w:val="24"/>
          <w:szCs w:val="24"/>
        </w:rPr>
        <w:t xml:space="preserve">ision was </w:t>
      </w:r>
      <w:r w:rsidR="005B12EB" w:rsidRPr="00BE38D7">
        <w:rPr>
          <w:rFonts w:ascii="Arial" w:hAnsi="Arial" w:cs="Arial"/>
          <w:sz w:val="24"/>
          <w:szCs w:val="24"/>
        </w:rPr>
        <w:t>raised. The</w:t>
      </w:r>
      <w:r w:rsidR="00474828" w:rsidRPr="00BE38D7">
        <w:rPr>
          <w:rFonts w:ascii="Arial" w:hAnsi="Arial" w:cs="Arial"/>
          <w:sz w:val="24"/>
          <w:szCs w:val="24"/>
        </w:rPr>
        <w:t xml:space="preserve"> point relating to Dr Hillbeck</w:t>
      </w:r>
      <w:r w:rsidR="003033B8" w:rsidRPr="00BE38D7">
        <w:rPr>
          <w:rFonts w:ascii="Arial" w:hAnsi="Arial" w:cs="Arial"/>
          <w:sz w:val="24"/>
          <w:szCs w:val="24"/>
        </w:rPr>
        <w:t>’s evidence</w:t>
      </w:r>
      <w:r w:rsidR="00474828" w:rsidRPr="00BE38D7">
        <w:rPr>
          <w:rFonts w:ascii="Arial" w:hAnsi="Arial" w:cs="Arial"/>
          <w:sz w:val="24"/>
          <w:szCs w:val="24"/>
        </w:rPr>
        <w:t xml:space="preserve"> was not persisted with in the heads of </w:t>
      </w:r>
      <w:r w:rsidR="006B21F1" w:rsidRPr="00BE38D7">
        <w:rPr>
          <w:rFonts w:ascii="Arial" w:hAnsi="Arial" w:cs="Arial"/>
          <w:sz w:val="24"/>
          <w:szCs w:val="24"/>
        </w:rPr>
        <w:t>argument</w:t>
      </w:r>
      <w:r w:rsidR="003033B8" w:rsidRPr="00BE38D7">
        <w:rPr>
          <w:rFonts w:ascii="Arial" w:hAnsi="Arial" w:cs="Arial"/>
          <w:sz w:val="24"/>
          <w:szCs w:val="24"/>
        </w:rPr>
        <w:t xml:space="preserve"> and correctly </w:t>
      </w:r>
      <w:r w:rsidR="005B12EB" w:rsidRPr="00BE38D7">
        <w:rPr>
          <w:rFonts w:ascii="Arial" w:hAnsi="Arial" w:cs="Arial"/>
          <w:sz w:val="24"/>
          <w:szCs w:val="24"/>
        </w:rPr>
        <w:t>so, as</w:t>
      </w:r>
      <w:r w:rsidR="003033B8" w:rsidRPr="00BE38D7">
        <w:rPr>
          <w:rFonts w:ascii="Arial" w:hAnsi="Arial" w:cs="Arial"/>
          <w:sz w:val="24"/>
          <w:szCs w:val="24"/>
        </w:rPr>
        <w:t xml:space="preserve"> </w:t>
      </w:r>
      <w:r w:rsidR="001511D2" w:rsidRPr="00BE38D7">
        <w:rPr>
          <w:rFonts w:ascii="Arial" w:hAnsi="Arial" w:cs="Arial"/>
          <w:sz w:val="24"/>
          <w:szCs w:val="24"/>
        </w:rPr>
        <w:t>Dr</w:t>
      </w:r>
      <w:r w:rsidR="0015090E" w:rsidRPr="00BE38D7">
        <w:rPr>
          <w:rFonts w:ascii="Arial" w:hAnsi="Arial" w:cs="Arial"/>
          <w:sz w:val="24"/>
          <w:szCs w:val="24"/>
        </w:rPr>
        <w:t xml:space="preserve"> </w:t>
      </w:r>
      <w:r w:rsidR="00C22208" w:rsidRPr="00BE38D7">
        <w:rPr>
          <w:rFonts w:ascii="Arial" w:hAnsi="Arial" w:cs="Arial"/>
          <w:sz w:val="24"/>
          <w:szCs w:val="24"/>
        </w:rPr>
        <w:t xml:space="preserve">Hillbeck assisted ACB in the </w:t>
      </w:r>
      <w:r w:rsidR="008B43AF" w:rsidRPr="00BE38D7">
        <w:rPr>
          <w:rFonts w:ascii="Arial" w:hAnsi="Arial" w:cs="Arial"/>
          <w:sz w:val="24"/>
          <w:szCs w:val="24"/>
        </w:rPr>
        <w:t>preparation of ACB’s appeal</w:t>
      </w:r>
      <w:r w:rsidR="00C22208" w:rsidRPr="00BE38D7">
        <w:rPr>
          <w:rFonts w:ascii="Arial" w:hAnsi="Arial" w:cs="Arial"/>
          <w:sz w:val="24"/>
          <w:szCs w:val="24"/>
        </w:rPr>
        <w:t xml:space="preserve"> and </w:t>
      </w:r>
      <w:r w:rsidR="005B12EB" w:rsidRPr="00BE38D7">
        <w:rPr>
          <w:rFonts w:ascii="Arial" w:hAnsi="Arial" w:cs="Arial"/>
          <w:sz w:val="24"/>
          <w:szCs w:val="24"/>
        </w:rPr>
        <w:t xml:space="preserve">cannot be regarded as an independent </w:t>
      </w:r>
      <w:r w:rsidR="008F2375" w:rsidRPr="00BE38D7">
        <w:rPr>
          <w:rFonts w:ascii="Arial" w:hAnsi="Arial" w:cs="Arial"/>
          <w:sz w:val="24"/>
          <w:szCs w:val="24"/>
        </w:rPr>
        <w:t xml:space="preserve">expert. </w:t>
      </w:r>
      <w:r w:rsidR="00F36AA3">
        <w:rPr>
          <w:rStyle w:val="FootnoteReference"/>
          <w:rFonts w:ascii="Arial" w:hAnsi="Arial" w:cs="Arial"/>
          <w:sz w:val="24"/>
          <w:szCs w:val="24"/>
        </w:rPr>
        <w:footnoteReference w:id="28"/>
      </w:r>
    </w:p>
    <w:p w14:paraId="79796570" w14:textId="77777777" w:rsidR="008F5288" w:rsidRPr="008F5288" w:rsidRDefault="008F5288" w:rsidP="008F5288">
      <w:pPr>
        <w:pStyle w:val="ListParagraph"/>
        <w:rPr>
          <w:rFonts w:ascii="Arial" w:hAnsi="Arial" w:cs="Arial"/>
          <w:sz w:val="24"/>
          <w:szCs w:val="24"/>
        </w:rPr>
      </w:pPr>
    </w:p>
    <w:p w14:paraId="41357864" w14:textId="77777777" w:rsidR="008F5288" w:rsidRDefault="008F5288" w:rsidP="008F5288">
      <w:pPr>
        <w:pStyle w:val="ListParagraph"/>
        <w:spacing w:line="360" w:lineRule="auto"/>
        <w:jc w:val="both"/>
        <w:rPr>
          <w:rFonts w:ascii="Arial" w:hAnsi="Arial" w:cs="Arial"/>
          <w:sz w:val="24"/>
          <w:szCs w:val="24"/>
        </w:rPr>
      </w:pPr>
    </w:p>
    <w:p w14:paraId="3B587429" w14:textId="0742F6E1" w:rsidR="00F321B2"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37.</w:t>
      </w:r>
      <w:r>
        <w:rPr>
          <w:rFonts w:ascii="Arial" w:hAnsi="Arial" w:cs="Arial"/>
          <w:color w:val="000000" w:themeColor="text1"/>
          <w:sz w:val="24"/>
          <w:szCs w:val="24"/>
        </w:rPr>
        <w:tab/>
      </w:r>
      <w:r w:rsidR="00686F70" w:rsidRPr="00BE38D7">
        <w:rPr>
          <w:rFonts w:ascii="Arial" w:hAnsi="Arial" w:cs="Arial"/>
          <w:sz w:val="24"/>
          <w:szCs w:val="24"/>
        </w:rPr>
        <w:t xml:space="preserve"> </w:t>
      </w:r>
      <w:r w:rsidR="000B52E2" w:rsidRPr="00BE38D7">
        <w:rPr>
          <w:rFonts w:ascii="Arial" w:hAnsi="Arial" w:cs="Arial"/>
          <w:sz w:val="24"/>
          <w:szCs w:val="24"/>
        </w:rPr>
        <w:t>The other concern</w:t>
      </w:r>
      <w:r w:rsidR="007D02BE" w:rsidRPr="00BE38D7">
        <w:rPr>
          <w:rFonts w:ascii="Arial" w:hAnsi="Arial" w:cs="Arial"/>
          <w:sz w:val="24"/>
          <w:szCs w:val="24"/>
        </w:rPr>
        <w:t>s</w:t>
      </w:r>
      <w:r w:rsidR="000B52E2" w:rsidRPr="00BE38D7">
        <w:rPr>
          <w:rFonts w:ascii="Arial" w:hAnsi="Arial" w:cs="Arial"/>
          <w:sz w:val="24"/>
          <w:szCs w:val="24"/>
        </w:rPr>
        <w:t xml:space="preserve"> w</w:t>
      </w:r>
      <w:r w:rsidR="007D02BE" w:rsidRPr="00BE38D7">
        <w:rPr>
          <w:rFonts w:ascii="Arial" w:hAnsi="Arial" w:cs="Arial"/>
          <w:sz w:val="24"/>
          <w:szCs w:val="24"/>
        </w:rPr>
        <w:t>ere</w:t>
      </w:r>
      <w:r w:rsidR="000B52E2" w:rsidRPr="00BE38D7">
        <w:rPr>
          <w:rFonts w:ascii="Arial" w:hAnsi="Arial" w:cs="Arial"/>
          <w:sz w:val="24"/>
          <w:szCs w:val="24"/>
        </w:rPr>
        <w:t xml:space="preserve"> that certain</w:t>
      </w:r>
      <w:r w:rsidR="001178C8" w:rsidRPr="00BE38D7">
        <w:rPr>
          <w:rFonts w:ascii="Arial" w:hAnsi="Arial" w:cs="Arial"/>
          <w:sz w:val="24"/>
          <w:szCs w:val="24"/>
        </w:rPr>
        <w:t xml:space="preserve"> of the Appeal Board’s findings were set out in vague and generalised terms.</w:t>
      </w:r>
      <w:r w:rsidR="009D3CA6" w:rsidRPr="00BE38D7">
        <w:rPr>
          <w:rFonts w:ascii="Arial" w:hAnsi="Arial" w:cs="Arial"/>
          <w:sz w:val="24"/>
          <w:szCs w:val="24"/>
        </w:rPr>
        <w:t xml:space="preserve"> ACB concluded that the Appeal Board failed in taking a rational decision, failed to apply its mind to ACB’s grounds of appeal, acted unreasonably, failed to take an independent and</w:t>
      </w:r>
      <w:r w:rsidR="003237EE" w:rsidRPr="00BE38D7">
        <w:rPr>
          <w:rFonts w:ascii="Arial" w:hAnsi="Arial" w:cs="Arial"/>
          <w:sz w:val="24"/>
          <w:szCs w:val="24"/>
        </w:rPr>
        <w:t xml:space="preserve"> an</w:t>
      </w:r>
      <w:r w:rsidR="009D3CA6" w:rsidRPr="00BE38D7">
        <w:rPr>
          <w:rFonts w:ascii="Arial" w:hAnsi="Arial" w:cs="Arial"/>
          <w:sz w:val="24"/>
          <w:szCs w:val="24"/>
        </w:rPr>
        <w:t xml:space="preserve"> unbiased decision</w:t>
      </w:r>
      <w:r w:rsidR="007D02BE" w:rsidRPr="00BE38D7">
        <w:rPr>
          <w:rFonts w:ascii="Arial" w:hAnsi="Arial" w:cs="Arial"/>
          <w:sz w:val="24"/>
          <w:szCs w:val="24"/>
        </w:rPr>
        <w:t xml:space="preserve"> and </w:t>
      </w:r>
      <w:r w:rsidR="009D3CA6" w:rsidRPr="00BE38D7">
        <w:rPr>
          <w:rFonts w:ascii="Arial" w:hAnsi="Arial" w:cs="Arial"/>
          <w:sz w:val="24"/>
          <w:szCs w:val="24"/>
        </w:rPr>
        <w:t xml:space="preserve">did not provide reasons for its decision. </w:t>
      </w:r>
    </w:p>
    <w:p w14:paraId="4B6D2EF2" w14:textId="77777777" w:rsidR="00BF5F41" w:rsidRDefault="00BF5F41" w:rsidP="00BF5F41">
      <w:pPr>
        <w:pStyle w:val="ListParagraph"/>
        <w:spacing w:line="360" w:lineRule="auto"/>
        <w:jc w:val="both"/>
        <w:rPr>
          <w:rFonts w:ascii="Arial" w:hAnsi="Arial" w:cs="Arial"/>
          <w:sz w:val="24"/>
          <w:szCs w:val="24"/>
        </w:rPr>
      </w:pPr>
    </w:p>
    <w:p w14:paraId="36AEE2E4" w14:textId="4FAFF563" w:rsidR="009D02EF"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lastRenderedPageBreak/>
        <w:t>38.</w:t>
      </w:r>
      <w:r>
        <w:rPr>
          <w:rFonts w:ascii="Arial" w:hAnsi="Arial" w:cs="Arial"/>
          <w:color w:val="000000" w:themeColor="text1"/>
          <w:sz w:val="24"/>
          <w:szCs w:val="24"/>
        </w:rPr>
        <w:tab/>
      </w:r>
      <w:r w:rsidR="009D3CA6" w:rsidRPr="00BE38D7">
        <w:rPr>
          <w:rFonts w:ascii="Arial" w:hAnsi="Arial" w:cs="Arial"/>
          <w:sz w:val="24"/>
          <w:szCs w:val="24"/>
        </w:rPr>
        <w:t xml:space="preserve">The issue of notice was already dealt </w:t>
      </w:r>
      <w:r w:rsidR="00387255" w:rsidRPr="00BE38D7">
        <w:rPr>
          <w:rFonts w:ascii="Arial" w:hAnsi="Arial" w:cs="Arial"/>
          <w:sz w:val="24"/>
          <w:szCs w:val="24"/>
        </w:rPr>
        <w:t>with,</w:t>
      </w:r>
      <w:r w:rsidR="00371F48" w:rsidRPr="00BE38D7">
        <w:rPr>
          <w:rFonts w:ascii="Arial" w:hAnsi="Arial" w:cs="Arial"/>
          <w:sz w:val="24"/>
          <w:szCs w:val="24"/>
        </w:rPr>
        <w:t xml:space="preserve"> as</w:t>
      </w:r>
      <w:r w:rsidR="00DA511F" w:rsidRPr="00BE38D7">
        <w:rPr>
          <w:rFonts w:ascii="Arial" w:hAnsi="Arial" w:cs="Arial"/>
          <w:sz w:val="24"/>
          <w:szCs w:val="24"/>
        </w:rPr>
        <w:t xml:space="preserve"> </w:t>
      </w:r>
      <w:r w:rsidR="009D3CA6" w:rsidRPr="00BE38D7">
        <w:rPr>
          <w:rFonts w:ascii="Arial" w:hAnsi="Arial" w:cs="Arial"/>
          <w:sz w:val="24"/>
          <w:szCs w:val="24"/>
        </w:rPr>
        <w:t>notice was given as required by legislation. As far as compliance with section 5</w:t>
      </w:r>
      <w:r w:rsidR="00DA511F" w:rsidRPr="00BE38D7">
        <w:rPr>
          <w:rFonts w:ascii="Arial" w:hAnsi="Arial" w:cs="Arial"/>
          <w:sz w:val="24"/>
          <w:szCs w:val="24"/>
        </w:rPr>
        <w:t>(1)</w:t>
      </w:r>
      <w:r w:rsidR="009D3CA6" w:rsidRPr="00BE38D7">
        <w:rPr>
          <w:rFonts w:ascii="Arial" w:hAnsi="Arial" w:cs="Arial"/>
          <w:sz w:val="24"/>
          <w:szCs w:val="24"/>
        </w:rPr>
        <w:t xml:space="preserve"> (a) of the GMO Act is </w:t>
      </w:r>
      <w:r w:rsidR="00E61FD7" w:rsidRPr="00BE38D7">
        <w:rPr>
          <w:rFonts w:ascii="Arial" w:hAnsi="Arial" w:cs="Arial"/>
          <w:sz w:val="24"/>
          <w:szCs w:val="24"/>
        </w:rPr>
        <w:t>concerned, this was dealt with abov</w:t>
      </w:r>
      <w:r w:rsidR="00C51894" w:rsidRPr="00BE38D7">
        <w:rPr>
          <w:rFonts w:ascii="Arial" w:hAnsi="Arial" w:cs="Arial"/>
          <w:sz w:val="24"/>
          <w:szCs w:val="24"/>
        </w:rPr>
        <w:t>e.</w:t>
      </w:r>
      <w:r w:rsidR="00E61FD7" w:rsidRPr="00BE38D7">
        <w:rPr>
          <w:rFonts w:ascii="Arial" w:hAnsi="Arial" w:cs="Arial"/>
          <w:sz w:val="24"/>
          <w:szCs w:val="24"/>
        </w:rPr>
        <w:t xml:space="preserve"> Procedurally, there was no failure in this regard for the reasons set out above.</w:t>
      </w:r>
    </w:p>
    <w:p w14:paraId="6E430AA9" w14:textId="77777777" w:rsidR="008F5288" w:rsidRDefault="008F5288" w:rsidP="008F5288">
      <w:pPr>
        <w:pStyle w:val="ListParagraph"/>
        <w:spacing w:line="360" w:lineRule="auto"/>
        <w:jc w:val="both"/>
        <w:rPr>
          <w:rFonts w:ascii="Arial" w:hAnsi="Arial" w:cs="Arial"/>
          <w:sz w:val="24"/>
          <w:szCs w:val="24"/>
        </w:rPr>
      </w:pPr>
    </w:p>
    <w:p w14:paraId="1CFCDA53" w14:textId="2425757A" w:rsidR="007612D4"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E61FD7" w:rsidRPr="00BE38D7">
        <w:rPr>
          <w:rFonts w:ascii="Arial" w:hAnsi="Arial" w:cs="Arial"/>
          <w:sz w:val="24"/>
          <w:szCs w:val="24"/>
        </w:rPr>
        <w:t xml:space="preserve"> As far as the alleged inadequacy of the reasons provided</w:t>
      </w:r>
      <w:r w:rsidR="00C549D4" w:rsidRPr="00BE38D7">
        <w:rPr>
          <w:rFonts w:ascii="Arial" w:hAnsi="Arial" w:cs="Arial"/>
          <w:sz w:val="24"/>
          <w:szCs w:val="24"/>
        </w:rPr>
        <w:t xml:space="preserve"> are concerned, the test for adequacy of reasons was already dealt with</w:t>
      </w:r>
      <w:r w:rsidR="00087FFB" w:rsidRPr="00BE38D7">
        <w:rPr>
          <w:rFonts w:ascii="Arial" w:hAnsi="Arial" w:cs="Arial"/>
          <w:sz w:val="24"/>
          <w:szCs w:val="24"/>
        </w:rPr>
        <w:t xml:space="preserve"> above</w:t>
      </w:r>
      <w:r w:rsidR="00C549D4" w:rsidRPr="00BE38D7">
        <w:rPr>
          <w:rFonts w:ascii="Arial" w:hAnsi="Arial" w:cs="Arial"/>
          <w:sz w:val="24"/>
          <w:szCs w:val="24"/>
        </w:rPr>
        <w:t xml:space="preserve"> and the Appeal Board’s reasons must be tested with reference to th</w:t>
      </w:r>
      <w:r w:rsidR="0060105C" w:rsidRPr="00BE38D7">
        <w:rPr>
          <w:rFonts w:ascii="Arial" w:hAnsi="Arial" w:cs="Arial"/>
          <w:sz w:val="24"/>
          <w:szCs w:val="24"/>
        </w:rPr>
        <w:t>o</w:t>
      </w:r>
      <w:r w:rsidR="00C549D4" w:rsidRPr="00BE38D7">
        <w:rPr>
          <w:rFonts w:ascii="Arial" w:hAnsi="Arial" w:cs="Arial"/>
          <w:sz w:val="24"/>
          <w:szCs w:val="24"/>
        </w:rPr>
        <w:t xml:space="preserve">se </w:t>
      </w:r>
      <w:r w:rsidR="007612D4" w:rsidRPr="00BE38D7">
        <w:rPr>
          <w:rFonts w:ascii="Arial" w:hAnsi="Arial" w:cs="Arial"/>
          <w:sz w:val="24"/>
          <w:szCs w:val="24"/>
        </w:rPr>
        <w:t>requirement</w:t>
      </w:r>
      <w:r w:rsidR="002560FE" w:rsidRPr="00BE38D7">
        <w:rPr>
          <w:rFonts w:ascii="Arial" w:hAnsi="Arial" w:cs="Arial"/>
          <w:sz w:val="24"/>
          <w:szCs w:val="24"/>
        </w:rPr>
        <w:t xml:space="preserve">s and for the same reasons as </w:t>
      </w:r>
      <w:r w:rsidR="00DC588B" w:rsidRPr="00BE38D7">
        <w:rPr>
          <w:rFonts w:ascii="Arial" w:hAnsi="Arial" w:cs="Arial"/>
          <w:sz w:val="24"/>
          <w:szCs w:val="24"/>
        </w:rPr>
        <w:t xml:space="preserve">set out with reference to the EC decision there is no merit in this </w:t>
      </w:r>
      <w:r w:rsidR="00F66014" w:rsidRPr="00BE38D7">
        <w:rPr>
          <w:rFonts w:ascii="Arial" w:hAnsi="Arial" w:cs="Arial"/>
          <w:sz w:val="24"/>
          <w:szCs w:val="24"/>
        </w:rPr>
        <w:t>argument.</w:t>
      </w:r>
      <w:r w:rsidR="007612D4" w:rsidRPr="00BE38D7">
        <w:rPr>
          <w:rFonts w:ascii="Arial" w:hAnsi="Arial" w:cs="Arial"/>
          <w:sz w:val="24"/>
          <w:szCs w:val="24"/>
        </w:rPr>
        <w:t xml:space="preserve"> </w:t>
      </w:r>
    </w:p>
    <w:p w14:paraId="2B506F68" w14:textId="77777777" w:rsidR="008F5288" w:rsidRPr="008F5288" w:rsidRDefault="008F5288" w:rsidP="008F5288">
      <w:pPr>
        <w:spacing w:line="360" w:lineRule="auto"/>
        <w:jc w:val="both"/>
        <w:rPr>
          <w:rFonts w:ascii="Arial" w:hAnsi="Arial" w:cs="Arial"/>
          <w:sz w:val="24"/>
          <w:szCs w:val="24"/>
        </w:rPr>
      </w:pPr>
    </w:p>
    <w:p w14:paraId="47CEA6AC" w14:textId="65A74E59" w:rsidR="001178C8" w:rsidRPr="00BE38D7" w:rsidRDefault="00BE38D7" w:rsidP="00BE38D7">
      <w:pPr>
        <w:spacing w:line="360" w:lineRule="auto"/>
        <w:ind w:left="720" w:hanging="720"/>
        <w:jc w:val="both"/>
        <w:rPr>
          <w:rFonts w:ascii="Arial" w:hAnsi="Arial" w:cs="Arial"/>
          <w:sz w:val="24"/>
          <w:szCs w:val="24"/>
        </w:rPr>
      </w:pPr>
      <w:r w:rsidRPr="009D02EF">
        <w:rPr>
          <w:rFonts w:ascii="Arial" w:hAnsi="Arial" w:cs="Arial"/>
          <w:color w:val="000000" w:themeColor="text1"/>
          <w:sz w:val="24"/>
          <w:szCs w:val="24"/>
        </w:rPr>
        <w:t>40.</w:t>
      </w:r>
      <w:r w:rsidRPr="009D02EF">
        <w:rPr>
          <w:rFonts w:ascii="Arial" w:hAnsi="Arial" w:cs="Arial"/>
          <w:color w:val="000000" w:themeColor="text1"/>
          <w:sz w:val="24"/>
          <w:szCs w:val="24"/>
        </w:rPr>
        <w:tab/>
      </w:r>
      <w:r w:rsidR="007F694D" w:rsidRPr="00BE38D7">
        <w:rPr>
          <w:rFonts w:ascii="Arial" w:hAnsi="Arial" w:cs="Arial"/>
          <w:sz w:val="24"/>
          <w:szCs w:val="24"/>
        </w:rPr>
        <w:t>ACB is especially concerned with the safet</w:t>
      </w:r>
      <w:r w:rsidR="00501636" w:rsidRPr="00BE38D7">
        <w:rPr>
          <w:rFonts w:ascii="Arial" w:hAnsi="Arial" w:cs="Arial"/>
          <w:sz w:val="24"/>
          <w:szCs w:val="24"/>
        </w:rPr>
        <w:t xml:space="preserve">y of MON 87460 and dealt with the various </w:t>
      </w:r>
      <w:r w:rsidR="00654ACB" w:rsidRPr="00BE38D7">
        <w:rPr>
          <w:rFonts w:ascii="Arial" w:hAnsi="Arial" w:cs="Arial"/>
          <w:sz w:val="24"/>
          <w:szCs w:val="24"/>
        </w:rPr>
        <w:t>arguments pertaining to its safety</w:t>
      </w:r>
      <w:r w:rsidR="009037B2" w:rsidRPr="00BE38D7">
        <w:rPr>
          <w:rFonts w:ascii="Arial" w:hAnsi="Arial" w:cs="Arial"/>
          <w:sz w:val="24"/>
          <w:szCs w:val="24"/>
        </w:rPr>
        <w:t>. Yet</w:t>
      </w:r>
      <w:r w:rsidR="00501636" w:rsidRPr="00BE38D7">
        <w:rPr>
          <w:rFonts w:ascii="Arial" w:hAnsi="Arial" w:cs="Arial"/>
          <w:sz w:val="24"/>
          <w:szCs w:val="24"/>
        </w:rPr>
        <w:t xml:space="preserve"> </w:t>
      </w:r>
      <w:r w:rsidR="009037B2" w:rsidRPr="00BE38D7">
        <w:rPr>
          <w:rFonts w:ascii="Arial" w:hAnsi="Arial" w:cs="Arial"/>
          <w:sz w:val="24"/>
          <w:szCs w:val="24"/>
        </w:rPr>
        <w:t>again</w:t>
      </w:r>
      <w:r w:rsidR="00654ACB" w:rsidRPr="00BE38D7">
        <w:rPr>
          <w:rFonts w:ascii="Arial" w:hAnsi="Arial" w:cs="Arial"/>
          <w:sz w:val="24"/>
          <w:szCs w:val="24"/>
        </w:rPr>
        <w:t>,</w:t>
      </w:r>
      <w:r w:rsidR="00501636" w:rsidRPr="00BE38D7">
        <w:rPr>
          <w:rFonts w:ascii="Arial" w:hAnsi="Arial" w:cs="Arial"/>
          <w:sz w:val="24"/>
          <w:szCs w:val="24"/>
        </w:rPr>
        <w:t xml:space="preserve"> it is not for this Court to determine the safety</w:t>
      </w:r>
      <w:r w:rsidR="009037B2" w:rsidRPr="00BE38D7">
        <w:rPr>
          <w:rFonts w:ascii="Arial" w:hAnsi="Arial" w:cs="Arial"/>
          <w:sz w:val="24"/>
          <w:szCs w:val="24"/>
        </w:rPr>
        <w:t xml:space="preserve"> of MON 87460</w:t>
      </w:r>
      <w:r w:rsidR="00501636" w:rsidRPr="00BE38D7">
        <w:rPr>
          <w:rFonts w:ascii="Arial" w:hAnsi="Arial" w:cs="Arial"/>
          <w:sz w:val="24"/>
          <w:szCs w:val="24"/>
        </w:rPr>
        <w:t xml:space="preserve"> and all this Court can legally do is to examine the procedure followed</w:t>
      </w:r>
      <w:r w:rsidR="009037B2" w:rsidRPr="00BE38D7">
        <w:rPr>
          <w:rFonts w:ascii="Arial" w:hAnsi="Arial" w:cs="Arial"/>
          <w:sz w:val="24"/>
          <w:szCs w:val="24"/>
        </w:rPr>
        <w:t>.</w:t>
      </w:r>
      <w:r w:rsidR="00EA5B55" w:rsidRPr="00BE38D7">
        <w:rPr>
          <w:rFonts w:ascii="Arial" w:hAnsi="Arial" w:cs="Arial"/>
          <w:sz w:val="24"/>
          <w:szCs w:val="24"/>
        </w:rPr>
        <w:t xml:space="preserve"> </w:t>
      </w:r>
      <w:r w:rsidR="007612D4" w:rsidRPr="00BE38D7">
        <w:rPr>
          <w:rFonts w:ascii="Arial" w:hAnsi="Arial" w:cs="Arial"/>
          <w:sz w:val="24"/>
          <w:szCs w:val="24"/>
        </w:rPr>
        <w:t>The</w:t>
      </w:r>
      <w:r w:rsidR="00C549D4" w:rsidRPr="00BE38D7">
        <w:rPr>
          <w:rFonts w:ascii="Arial" w:hAnsi="Arial" w:cs="Arial"/>
          <w:sz w:val="24"/>
          <w:szCs w:val="24"/>
        </w:rPr>
        <w:t xml:space="preserve"> </w:t>
      </w:r>
      <w:r w:rsidR="00976735" w:rsidRPr="00BE38D7">
        <w:rPr>
          <w:rFonts w:ascii="Arial" w:hAnsi="Arial" w:cs="Arial"/>
          <w:sz w:val="24"/>
          <w:szCs w:val="24"/>
        </w:rPr>
        <w:t>Appeal D</w:t>
      </w:r>
      <w:r w:rsidR="00C549D4" w:rsidRPr="00BE38D7">
        <w:rPr>
          <w:rFonts w:ascii="Arial" w:hAnsi="Arial" w:cs="Arial"/>
          <w:sz w:val="24"/>
          <w:szCs w:val="24"/>
        </w:rPr>
        <w:t xml:space="preserve">ecision dealt with the safety of MON 87460 and concluded that “all required scientific rigour has </w:t>
      </w:r>
      <w:r w:rsidR="00F90EFC" w:rsidRPr="00BE38D7">
        <w:rPr>
          <w:rFonts w:ascii="Arial" w:hAnsi="Arial" w:cs="Arial"/>
          <w:sz w:val="24"/>
          <w:szCs w:val="24"/>
        </w:rPr>
        <w:t>b</w:t>
      </w:r>
      <w:r w:rsidR="00C549D4" w:rsidRPr="00BE38D7">
        <w:rPr>
          <w:rFonts w:ascii="Arial" w:hAnsi="Arial" w:cs="Arial"/>
          <w:sz w:val="24"/>
          <w:szCs w:val="24"/>
        </w:rPr>
        <w:t>een applied, including review process</w:t>
      </w:r>
      <w:r w:rsidR="00F90EFC" w:rsidRPr="00BE38D7">
        <w:rPr>
          <w:rFonts w:ascii="Arial" w:hAnsi="Arial" w:cs="Arial"/>
          <w:sz w:val="24"/>
          <w:szCs w:val="24"/>
        </w:rPr>
        <w:t xml:space="preserve"> from the </w:t>
      </w:r>
      <w:r w:rsidR="00A542C1" w:rsidRPr="00BE38D7">
        <w:rPr>
          <w:rFonts w:ascii="Arial" w:hAnsi="Arial" w:cs="Arial"/>
          <w:sz w:val="24"/>
          <w:szCs w:val="24"/>
        </w:rPr>
        <w:t>A</w:t>
      </w:r>
      <w:r w:rsidR="00AA2B50" w:rsidRPr="00BE38D7">
        <w:rPr>
          <w:rFonts w:ascii="Arial" w:hAnsi="Arial" w:cs="Arial"/>
          <w:sz w:val="24"/>
          <w:szCs w:val="24"/>
        </w:rPr>
        <w:t>dvisory Committee members</w:t>
      </w:r>
      <w:r w:rsidR="00F90EFC" w:rsidRPr="00BE38D7">
        <w:rPr>
          <w:rFonts w:ascii="Arial" w:hAnsi="Arial" w:cs="Arial"/>
          <w:sz w:val="24"/>
          <w:szCs w:val="24"/>
        </w:rPr>
        <w:t xml:space="preserve">, with relevant scientific expertise to determine </w:t>
      </w:r>
      <w:r w:rsidR="00DF08DE" w:rsidRPr="00BE38D7">
        <w:rPr>
          <w:rFonts w:ascii="Arial" w:hAnsi="Arial" w:cs="Arial"/>
          <w:sz w:val="24"/>
          <w:szCs w:val="24"/>
        </w:rPr>
        <w:t>the safety of the GM event in respect of human, animal and environmental safety</w:t>
      </w:r>
      <w:r w:rsidR="000E0431" w:rsidRPr="00BE38D7">
        <w:rPr>
          <w:rFonts w:ascii="Arial" w:hAnsi="Arial" w:cs="Arial"/>
          <w:sz w:val="24"/>
          <w:szCs w:val="24"/>
        </w:rPr>
        <w:t>,</w:t>
      </w:r>
      <w:r w:rsidR="00C549D4" w:rsidRPr="00BE38D7">
        <w:rPr>
          <w:rFonts w:ascii="Arial" w:hAnsi="Arial" w:cs="Arial"/>
          <w:sz w:val="24"/>
          <w:szCs w:val="24"/>
        </w:rPr>
        <w:t>”</w:t>
      </w:r>
      <w:r w:rsidR="00EA5B55" w:rsidRPr="00BE38D7">
        <w:rPr>
          <w:rFonts w:ascii="Arial" w:hAnsi="Arial" w:cs="Arial"/>
          <w:sz w:val="24"/>
          <w:szCs w:val="24"/>
        </w:rPr>
        <w:t xml:space="preserve"> after being presented with the opinions of all the stakeholders.</w:t>
      </w:r>
      <w:r w:rsidR="00DF08DE" w:rsidRPr="00BE38D7">
        <w:rPr>
          <w:rFonts w:ascii="Arial" w:hAnsi="Arial" w:cs="Arial"/>
          <w:sz w:val="24"/>
          <w:szCs w:val="24"/>
        </w:rPr>
        <w:t xml:space="preserve"> The </w:t>
      </w:r>
      <w:r w:rsidR="00976735" w:rsidRPr="00BE38D7">
        <w:rPr>
          <w:rFonts w:ascii="Arial" w:hAnsi="Arial" w:cs="Arial"/>
          <w:sz w:val="24"/>
          <w:szCs w:val="24"/>
        </w:rPr>
        <w:t>Appeal D</w:t>
      </w:r>
      <w:r w:rsidR="00DF08DE" w:rsidRPr="00BE38D7">
        <w:rPr>
          <w:rFonts w:ascii="Arial" w:hAnsi="Arial" w:cs="Arial"/>
          <w:sz w:val="24"/>
          <w:szCs w:val="24"/>
        </w:rPr>
        <w:t>ecision</w:t>
      </w:r>
      <w:r w:rsidR="007533F6" w:rsidRPr="00BE38D7">
        <w:rPr>
          <w:rFonts w:ascii="Arial" w:hAnsi="Arial" w:cs="Arial"/>
          <w:sz w:val="24"/>
          <w:szCs w:val="24"/>
        </w:rPr>
        <w:t xml:space="preserve"> </w:t>
      </w:r>
      <w:r w:rsidR="004F24E4" w:rsidRPr="00BE38D7">
        <w:rPr>
          <w:rFonts w:ascii="Arial" w:hAnsi="Arial" w:cs="Arial"/>
          <w:sz w:val="24"/>
          <w:szCs w:val="24"/>
        </w:rPr>
        <w:t>deals</w:t>
      </w:r>
      <w:r w:rsidR="00DF08DE" w:rsidRPr="00BE38D7">
        <w:rPr>
          <w:rFonts w:ascii="Arial" w:hAnsi="Arial" w:cs="Arial"/>
          <w:sz w:val="24"/>
          <w:szCs w:val="24"/>
        </w:rPr>
        <w:t xml:space="preserve"> with MON </w:t>
      </w:r>
      <w:proofErr w:type="gramStart"/>
      <w:r w:rsidR="00DF08DE" w:rsidRPr="00BE38D7">
        <w:rPr>
          <w:rFonts w:ascii="Arial" w:hAnsi="Arial" w:cs="Arial"/>
          <w:sz w:val="24"/>
          <w:szCs w:val="24"/>
        </w:rPr>
        <w:t>87460 ‘s</w:t>
      </w:r>
      <w:proofErr w:type="gramEnd"/>
      <w:r w:rsidR="00DF08DE" w:rsidRPr="00BE38D7">
        <w:rPr>
          <w:rFonts w:ascii="Arial" w:hAnsi="Arial" w:cs="Arial"/>
          <w:sz w:val="24"/>
          <w:szCs w:val="24"/>
        </w:rPr>
        <w:t xml:space="preserve"> traits and </w:t>
      </w:r>
      <w:r w:rsidR="00C0242D" w:rsidRPr="00BE38D7">
        <w:rPr>
          <w:rFonts w:ascii="Arial" w:hAnsi="Arial" w:cs="Arial"/>
          <w:sz w:val="24"/>
          <w:szCs w:val="24"/>
        </w:rPr>
        <w:t>draws comparisons with conventional maize</w:t>
      </w:r>
      <w:r w:rsidR="004F24E4" w:rsidRPr="00BE38D7">
        <w:rPr>
          <w:rFonts w:ascii="Arial" w:hAnsi="Arial" w:cs="Arial"/>
          <w:sz w:val="24"/>
          <w:szCs w:val="24"/>
        </w:rPr>
        <w:t>.</w:t>
      </w:r>
      <w:r w:rsidR="00D334A9" w:rsidRPr="00BE38D7">
        <w:rPr>
          <w:rFonts w:ascii="Arial" w:hAnsi="Arial" w:cs="Arial"/>
          <w:sz w:val="24"/>
          <w:szCs w:val="24"/>
        </w:rPr>
        <w:t xml:space="preserve"> It</w:t>
      </w:r>
      <w:r w:rsidR="00765733" w:rsidRPr="00BE38D7">
        <w:rPr>
          <w:rFonts w:ascii="Arial" w:hAnsi="Arial" w:cs="Arial"/>
          <w:sz w:val="24"/>
          <w:szCs w:val="24"/>
        </w:rPr>
        <w:t xml:space="preserve"> deals with unintended gene fl</w:t>
      </w:r>
      <w:r w:rsidR="008944FE" w:rsidRPr="00BE38D7">
        <w:rPr>
          <w:rFonts w:ascii="Arial" w:hAnsi="Arial" w:cs="Arial"/>
          <w:sz w:val="24"/>
          <w:szCs w:val="24"/>
        </w:rPr>
        <w:t>ow</w:t>
      </w:r>
      <w:r w:rsidR="00D334A9" w:rsidRPr="00BE38D7">
        <w:rPr>
          <w:rFonts w:ascii="Arial" w:hAnsi="Arial" w:cs="Arial"/>
          <w:sz w:val="24"/>
          <w:szCs w:val="24"/>
        </w:rPr>
        <w:t xml:space="preserve"> and </w:t>
      </w:r>
      <w:r w:rsidR="0012042D" w:rsidRPr="00BE38D7">
        <w:rPr>
          <w:rFonts w:ascii="Arial" w:hAnsi="Arial" w:cs="Arial"/>
          <w:sz w:val="24"/>
          <w:szCs w:val="24"/>
        </w:rPr>
        <w:t>concludes</w:t>
      </w:r>
      <w:r w:rsidR="00765733" w:rsidRPr="00BE38D7">
        <w:rPr>
          <w:rFonts w:ascii="Arial" w:hAnsi="Arial" w:cs="Arial"/>
          <w:sz w:val="24"/>
          <w:szCs w:val="24"/>
        </w:rPr>
        <w:t xml:space="preserve"> that the risk is minimal and in the rare event that it occurs, it concludes that it does not necessarily present a risk. The Appeal </w:t>
      </w:r>
      <w:r w:rsidR="00976735" w:rsidRPr="00BE38D7">
        <w:rPr>
          <w:rFonts w:ascii="Arial" w:hAnsi="Arial" w:cs="Arial"/>
          <w:sz w:val="24"/>
          <w:szCs w:val="24"/>
        </w:rPr>
        <w:t>D</w:t>
      </w:r>
      <w:r w:rsidR="00765733" w:rsidRPr="00BE38D7">
        <w:rPr>
          <w:rFonts w:ascii="Arial" w:hAnsi="Arial" w:cs="Arial"/>
          <w:sz w:val="24"/>
          <w:szCs w:val="24"/>
        </w:rPr>
        <w:t>ecision refers to the history of safe use and concludes that the extent of the proposed yield loss reduction is low, but statistically significant.</w:t>
      </w:r>
    </w:p>
    <w:p w14:paraId="5DDCEFAC" w14:textId="77777777" w:rsidR="00976735" w:rsidRPr="00976735" w:rsidRDefault="00976735" w:rsidP="00976735">
      <w:pPr>
        <w:pStyle w:val="ListParagraph"/>
        <w:rPr>
          <w:rFonts w:ascii="Arial" w:hAnsi="Arial" w:cs="Arial"/>
          <w:sz w:val="24"/>
          <w:szCs w:val="24"/>
        </w:rPr>
      </w:pPr>
    </w:p>
    <w:p w14:paraId="7FE3757E" w14:textId="6B0FE04E" w:rsidR="005902B5"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41.</w:t>
      </w:r>
      <w:r>
        <w:rPr>
          <w:rFonts w:ascii="Arial" w:hAnsi="Arial" w:cs="Arial"/>
          <w:color w:val="000000" w:themeColor="text1"/>
          <w:sz w:val="24"/>
          <w:szCs w:val="24"/>
        </w:rPr>
        <w:tab/>
      </w:r>
      <w:r w:rsidR="004A679F" w:rsidRPr="00BE38D7">
        <w:rPr>
          <w:rFonts w:ascii="Arial" w:hAnsi="Arial" w:cs="Arial"/>
          <w:sz w:val="24"/>
          <w:szCs w:val="24"/>
        </w:rPr>
        <w:t>T</w:t>
      </w:r>
      <w:r w:rsidR="00976735" w:rsidRPr="00BE38D7">
        <w:rPr>
          <w:rFonts w:ascii="Arial" w:hAnsi="Arial" w:cs="Arial"/>
          <w:sz w:val="24"/>
          <w:szCs w:val="24"/>
        </w:rPr>
        <w:t>he Appeal Decision set</w:t>
      </w:r>
      <w:r w:rsidR="007D5B53" w:rsidRPr="00BE38D7">
        <w:rPr>
          <w:rFonts w:ascii="Arial" w:hAnsi="Arial" w:cs="Arial"/>
          <w:sz w:val="24"/>
          <w:szCs w:val="24"/>
        </w:rPr>
        <w:t>s</w:t>
      </w:r>
      <w:r w:rsidR="00976735" w:rsidRPr="00BE38D7">
        <w:rPr>
          <w:rFonts w:ascii="Arial" w:hAnsi="Arial" w:cs="Arial"/>
          <w:sz w:val="24"/>
          <w:szCs w:val="24"/>
        </w:rPr>
        <w:t xml:space="preserve"> out its </w:t>
      </w:r>
      <w:r w:rsidR="00F37118" w:rsidRPr="00BE38D7">
        <w:rPr>
          <w:rFonts w:ascii="Arial" w:hAnsi="Arial" w:cs="Arial"/>
          <w:sz w:val="24"/>
          <w:szCs w:val="24"/>
        </w:rPr>
        <w:t>conclusions, the</w:t>
      </w:r>
      <w:r w:rsidR="001E4C62" w:rsidRPr="00BE38D7">
        <w:rPr>
          <w:rFonts w:ascii="Arial" w:hAnsi="Arial" w:cs="Arial"/>
          <w:sz w:val="24"/>
          <w:szCs w:val="24"/>
        </w:rPr>
        <w:t xml:space="preserve"> facts</w:t>
      </w:r>
      <w:r w:rsidR="00B65164" w:rsidRPr="00BE38D7">
        <w:rPr>
          <w:rFonts w:ascii="Arial" w:hAnsi="Arial" w:cs="Arial"/>
          <w:sz w:val="24"/>
          <w:szCs w:val="24"/>
        </w:rPr>
        <w:t>,</w:t>
      </w:r>
      <w:r w:rsidR="00976735" w:rsidRPr="00BE38D7">
        <w:rPr>
          <w:rFonts w:ascii="Arial" w:hAnsi="Arial" w:cs="Arial"/>
          <w:sz w:val="24"/>
          <w:szCs w:val="24"/>
        </w:rPr>
        <w:t xml:space="preserve"> and the underlying reasoning for the conclusion. </w:t>
      </w:r>
      <w:r w:rsidR="00F37118" w:rsidRPr="00BE38D7">
        <w:rPr>
          <w:rFonts w:ascii="Arial" w:hAnsi="Arial" w:cs="Arial"/>
          <w:sz w:val="24"/>
          <w:szCs w:val="24"/>
        </w:rPr>
        <w:t>ACB, when considering the Appeal Board’s decision</w:t>
      </w:r>
      <w:r w:rsidR="00CE5490" w:rsidRPr="00BE38D7">
        <w:rPr>
          <w:rFonts w:ascii="Arial" w:hAnsi="Arial" w:cs="Arial"/>
          <w:sz w:val="24"/>
          <w:szCs w:val="24"/>
        </w:rPr>
        <w:t xml:space="preserve"> </w:t>
      </w:r>
      <w:r w:rsidR="00976735" w:rsidRPr="00BE38D7">
        <w:rPr>
          <w:rFonts w:ascii="Arial" w:hAnsi="Arial" w:cs="Arial"/>
          <w:sz w:val="24"/>
          <w:szCs w:val="24"/>
        </w:rPr>
        <w:t>should at least have been appraised of the Appeal Decision</w:t>
      </w:r>
      <w:r w:rsidR="00CE5490" w:rsidRPr="00BE38D7">
        <w:rPr>
          <w:rFonts w:ascii="Arial" w:hAnsi="Arial" w:cs="Arial"/>
          <w:sz w:val="24"/>
          <w:szCs w:val="24"/>
        </w:rPr>
        <w:t>,</w:t>
      </w:r>
      <w:r w:rsidR="00976735" w:rsidRPr="00BE38D7">
        <w:rPr>
          <w:rFonts w:ascii="Arial" w:hAnsi="Arial" w:cs="Arial"/>
          <w:sz w:val="24"/>
          <w:szCs w:val="24"/>
        </w:rPr>
        <w:t xml:space="preserve"> as to understand why the appeal was rejected. There is accordingly no merit in the assertion that the rea</w:t>
      </w:r>
      <w:r w:rsidR="004F7013" w:rsidRPr="00BE38D7">
        <w:rPr>
          <w:rFonts w:ascii="Arial" w:hAnsi="Arial" w:cs="Arial"/>
          <w:sz w:val="24"/>
          <w:szCs w:val="24"/>
        </w:rPr>
        <w:t>s</w:t>
      </w:r>
      <w:r w:rsidR="00976735" w:rsidRPr="00BE38D7">
        <w:rPr>
          <w:rFonts w:ascii="Arial" w:hAnsi="Arial" w:cs="Arial"/>
          <w:sz w:val="24"/>
          <w:szCs w:val="24"/>
        </w:rPr>
        <w:t>ons were inadequate.</w:t>
      </w:r>
    </w:p>
    <w:p w14:paraId="541F6513" w14:textId="77777777" w:rsidR="005902B5" w:rsidRDefault="005902B5" w:rsidP="005902B5">
      <w:pPr>
        <w:pStyle w:val="ListParagraph"/>
      </w:pPr>
    </w:p>
    <w:p w14:paraId="53755EF2" w14:textId="11EB081A" w:rsidR="00160E4D" w:rsidRPr="00BE38D7" w:rsidRDefault="00BE38D7" w:rsidP="00BE38D7">
      <w:pPr>
        <w:spacing w:line="360" w:lineRule="auto"/>
        <w:ind w:left="720" w:hanging="720"/>
        <w:jc w:val="both"/>
        <w:rPr>
          <w:rFonts w:ascii="Arial" w:hAnsi="Arial" w:cs="Arial"/>
          <w:sz w:val="24"/>
          <w:szCs w:val="24"/>
        </w:rPr>
      </w:pPr>
      <w:r w:rsidRPr="008F5288">
        <w:rPr>
          <w:rFonts w:ascii="Arial" w:hAnsi="Arial" w:cs="Arial"/>
          <w:color w:val="000000" w:themeColor="text1"/>
          <w:sz w:val="24"/>
          <w:szCs w:val="24"/>
        </w:rPr>
        <w:t>42.</w:t>
      </w:r>
      <w:r w:rsidRPr="008F5288">
        <w:rPr>
          <w:rFonts w:ascii="Arial" w:hAnsi="Arial" w:cs="Arial"/>
          <w:color w:val="000000" w:themeColor="text1"/>
          <w:sz w:val="24"/>
          <w:szCs w:val="24"/>
        </w:rPr>
        <w:tab/>
      </w:r>
      <w:r w:rsidR="00976735" w:rsidRPr="00BE38D7">
        <w:rPr>
          <w:rFonts w:ascii="Arial" w:hAnsi="Arial" w:cs="Arial"/>
          <w:sz w:val="24"/>
          <w:szCs w:val="24"/>
        </w:rPr>
        <w:t xml:space="preserve">ACB raised concern that Dr Heinemann’s opinion was not addressed by the Appeal Decision. Dr Heinemann’s opinion related to the safety of MON 87460. In concluding that MON 87460 is safe, </w:t>
      </w:r>
      <w:r w:rsidR="009D508F" w:rsidRPr="00BE38D7">
        <w:rPr>
          <w:rFonts w:ascii="Arial" w:hAnsi="Arial" w:cs="Arial"/>
          <w:sz w:val="24"/>
          <w:szCs w:val="24"/>
        </w:rPr>
        <w:t>the</w:t>
      </w:r>
      <w:r w:rsidR="00976735" w:rsidRPr="00BE38D7">
        <w:rPr>
          <w:rFonts w:ascii="Arial" w:hAnsi="Arial" w:cs="Arial"/>
          <w:sz w:val="24"/>
          <w:szCs w:val="24"/>
        </w:rPr>
        <w:t xml:space="preserve"> Appeal Board did consider</w:t>
      </w:r>
      <w:r w:rsidR="004F7013" w:rsidRPr="00BE38D7">
        <w:rPr>
          <w:rFonts w:ascii="Arial" w:hAnsi="Arial" w:cs="Arial"/>
          <w:sz w:val="24"/>
          <w:szCs w:val="24"/>
        </w:rPr>
        <w:t xml:space="preserve"> the safety and in concluding that it was safe for use, rejected by implication Dr Heinemann’s opinion. Dr Ba</w:t>
      </w:r>
      <w:r w:rsidR="00102BA6" w:rsidRPr="00BE38D7">
        <w:rPr>
          <w:rFonts w:ascii="Arial" w:hAnsi="Arial" w:cs="Arial"/>
          <w:sz w:val="24"/>
          <w:szCs w:val="24"/>
        </w:rPr>
        <w:t>rthotomaeus</w:t>
      </w:r>
      <w:r w:rsidR="00160E4D" w:rsidRPr="00BE38D7">
        <w:rPr>
          <w:rFonts w:ascii="Arial" w:hAnsi="Arial" w:cs="Arial"/>
          <w:sz w:val="24"/>
          <w:szCs w:val="24"/>
        </w:rPr>
        <w:t>, a toxicologist provided evidence that Dr Heinemann’s risk assessment had no basis</w:t>
      </w:r>
      <w:r w:rsidR="00CC5EC5" w:rsidRPr="00BE38D7">
        <w:rPr>
          <w:rFonts w:ascii="Arial" w:hAnsi="Arial" w:cs="Arial"/>
          <w:sz w:val="24"/>
          <w:szCs w:val="24"/>
        </w:rPr>
        <w:t>.</w:t>
      </w:r>
      <w:r w:rsidR="00403B0F" w:rsidRPr="00BE38D7">
        <w:rPr>
          <w:rFonts w:ascii="Arial" w:hAnsi="Arial" w:cs="Arial"/>
          <w:sz w:val="24"/>
          <w:szCs w:val="24"/>
        </w:rPr>
        <w:t xml:space="preserve"> </w:t>
      </w:r>
      <w:r w:rsidR="00CC5EC5" w:rsidRPr="00BE38D7">
        <w:rPr>
          <w:rFonts w:ascii="Arial" w:hAnsi="Arial" w:cs="Arial"/>
          <w:sz w:val="24"/>
          <w:szCs w:val="24"/>
        </w:rPr>
        <w:t>Dr Peters addressed the issue of yield loss.</w:t>
      </w:r>
      <w:r w:rsidR="00160E4D" w:rsidRPr="00BE38D7">
        <w:rPr>
          <w:rFonts w:ascii="Arial" w:hAnsi="Arial" w:cs="Arial"/>
          <w:sz w:val="24"/>
          <w:szCs w:val="24"/>
        </w:rPr>
        <w:t xml:space="preserve"> Contradictory expert opinions flow through this application and ultimately as already stated, it is not for this court to decide on either the merits or the safety of MON87460, but to determine whether the requirements for a review have been met. </w:t>
      </w:r>
    </w:p>
    <w:p w14:paraId="58C849F9" w14:textId="77777777" w:rsidR="00160E4D" w:rsidRPr="008F5288" w:rsidRDefault="00160E4D" w:rsidP="00160E4D">
      <w:pPr>
        <w:pStyle w:val="ListParagraph"/>
        <w:rPr>
          <w:rFonts w:ascii="Arial" w:hAnsi="Arial" w:cs="Arial"/>
          <w:sz w:val="24"/>
          <w:szCs w:val="24"/>
        </w:rPr>
      </w:pPr>
    </w:p>
    <w:p w14:paraId="16CAAA0E" w14:textId="2A85C28E" w:rsidR="0053158C" w:rsidRPr="00BE38D7" w:rsidRDefault="00BE38D7" w:rsidP="00BE38D7">
      <w:pPr>
        <w:spacing w:line="360" w:lineRule="auto"/>
        <w:ind w:left="720" w:hanging="720"/>
        <w:jc w:val="both"/>
        <w:rPr>
          <w:rFonts w:ascii="Arial" w:hAnsi="Arial" w:cs="Arial"/>
          <w:sz w:val="24"/>
          <w:szCs w:val="24"/>
        </w:rPr>
      </w:pPr>
      <w:r w:rsidRPr="008F5288">
        <w:rPr>
          <w:rFonts w:ascii="Arial" w:hAnsi="Arial" w:cs="Arial"/>
          <w:color w:val="000000" w:themeColor="text1"/>
          <w:sz w:val="24"/>
          <w:szCs w:val="24"/>
        </w:rPr>
        <w:t>43.</w:t>
      </w:r>
      <w:r w:rsidRPr="008F5288">
        <w:rPr>
          <w:rFonts w:ascii="Arial" w:hAnsi="Arial" w:cs="Arial"/>
          <w:color w:val="000000" w:themeColor="text1"/>
          <w:sz w:val="24"/>
          <w:szCs w:val="24"/>
        </w:rPr>
        <w:tab/>
      </w:r>
      <w:r w:rsidR="00730912" w:rsidRPr="00BE38D7">
        <w:rPr>
          <w:rFonts w:ascii="Arial" w:hAnsi="Arial" w:cs="Arial"/>
          <w:sz w:val="24"/>
          <w:szCs w:val="24"/>
        </w:rPr>
        <w:t xml:space="preserve"> The Appeal Board relied on the evidence before it and </w:t>
      </w:r>
      <w:r w:rsidR="00880053" w:rsidRPr="00BE38D7">
        <w:rPr>
          <w:rFonts w:ascii="Arial" w:hAnsi="Arial" w:cs="Arial"/>
          <w:sz w:val="24"/>
          <w:szCs w:val="24"/>
        </w:rPr>
        <w:t>concluded</w:t>
      </w:r>
      <w:r w:rsidR="00730912" w:rsidRPr="00BE38D7">
        <w:rPr>
          <w:rFonts w:ascii="Arial" w:hAnsi="Arial" w:cs="Arial"/>
          <w:sz w:val="24"/>
          <w:szCs w:val="24"/>
        </w:rPr>
        <w:t xml:space="preserve">, right or </w:t>
      </w:r>
      <w:r w:rsidR="00564F48" w:rsidRPr="00BE38D7">
        <w:rPr>
          <w:rFonts w:ascii="Arial" w:hAnsi="Arial" w:cs="Arial"/>
          <w:sz w:val="24"/>
          <w:szCs w:val="24"/>
        </w:rPr>
        <w:t>wrong, that</w:t>
      </w:r>
      <w:r w:rsidR="00C3336C" w:rsidRPr="00BE38D7">
        <w:rPr>
          <w:rFonts w:ascii="Arial" w:hAnsi="Arial" w:cs="Arial"/>
          <w:sz w:val="24"/>
          <w:szCs w:val="24"/>
        </w:rPr>
        <w:t xml:space="preserve"> MO</w:t>
      </w:r>
      <w:r w:rsidR="00F24000" w:rsidRPr="00BE38D7">
        <w:rPr>
          <w:rFonts w:ascii="Arial" w:hAnsi="Arial" w:cs="Arial"/>
          <w:sz w:val="24"/>
          <w:szCs w:val="24"/>
        </w:rPr>
        <w:t xml:space="preserve">N87460 is </w:t>
      </w:r>
      <w:r w:rsidR="00564F48" w:rsidRPr="00BE38D7">
        <w:rPr>
          <w:rFonts w:ascii="Arial" w:hAnsi="Arial" w:cs="Arial"/>
          <w:sz w:val="24"/>
          <w:szCs w:val="24"/>
        </w:rPr>
        <w:t>safe. On</w:t>
      </w:r>
      <w:r w:rsidR="00F24000" w:rsidRPr="00BE38D7">
        <w:rPr>
          <w:rFonts w:ascii="Arial" w:hAnsi="Arial" w:cs="Arial"/>
          <w:sz w:val="24"/>
          <w:szCs w:val="24"/>
        </w:rPr>
        <w:t xml:space="preserve"> the evidence before this </w:t>
      </w:r>
      <w:r w:rsidR="00264E97" w:rsidRPr="00BE38D7">
        <w:rPr>
          <w:rFonts w:ascii="Arial" w:hAnsi="Arial" w:cs="Arial"/>
          <w:sz w:val="24"/>
          <w:szCs w:val="24"/>
        </w:rPr>
        <w:t>court,</w:t>
      </w:r>
      <w:r w:rsidR="00730912" w:rsidRPr="00BE38D7">
        <w:rPr>
          <w:rFonts w:ascii="Arial" w:hAnsi="Arial" w:cs="Arial"/>
          <w:sz w:val="24"/>
          <w:szCs w:val="24"/>
        </w:rPr>
        <w:t xml:space="preserve"> it cannot be concluded that the decision was either irrational or unreasonable. As far as the question of the alleged dr</w:t>
      </w:r>
      <w:r w:rsidR="000E73CD" w:rsidRPr="00BE38D7">
        <w:rPr>
          <w:rFonts w:ascii="Arial" w:hAnsi="Arial" w:cs="Arial"/>
          <w:sz w:val="24"/>
          <w:szCs w:val="24"/>
        </w:rPr>
        <w:t>o</w:t>
      </w:r>
      <w:r w:rsidR="00730912" w:rsidRPr="00BE38D7">
        <w:rPr>
          <w:rFonts w:ascii="Arial" w:hAnsi="Arial" w:cs="Arial"/>
          <w:sz w:val="24"/>
          <w:szCs w:val="24"/>
        </w:rPr>
        <w:t>ught resistance is concerned, the Appeal Board considered this issue and that should suffice</w:t>
      </w:r>
      <w:r w:rsidR="0042171C" w:rsidRPr="00BE38D7">
        <w:rPr>
          <w:rFonts w:ascii="Arial" w:hAnsi="Arial" w:cs="Arial"/>
          <w:sz w:val="24"/>
          <w:szCs w:val="24"/>
        </w:rPr>
        <w:t xml:space="preserve"> for purposes of a review.</w:t>
      </w:r>
    </w:p>
    <w:p w14:paraId="77EA9155" w14:textId="77777777" w:rsidR="0053158C" w:rsidRPr="008F5288" w:rsidRDefault="0053158C" w:rsidP="0053158C">
      <w:pPr>
        <w:pStyle w:val="ListParagraph"/>
        <w:rPr>
          <w:rFonts w:ascii="Arial" w:hAnsi="Arial" w:cs="Arial"/>
          <w:sz w:val="24"/>
          <w:szCs w:val="24"/>
        </w:rPr>
      </w:pPr>
    </w:p>
    <w:p w14:paraId="7CD65732" w14:textId="36D2BC20" w:rsidR="00C45E6A" w:rsidRPr="00BE38D7" w:rsidRDefault="00BE38D7" w:rsidP="00BE38D7">
      <w:pPr>
        <w:spacing w:line="360" w:lineRule="auto"/>
        <w:ind w:left="720" w:hanging="720"/>
        <w:jc w:val="both"/>
        <w:rPr>
          <w:rFonts w:ascii="Arial" w:hAnsi="Arial" w:cs="Arial"/>
          <w:sz w:val="24"/>
          <w:szCs w:val="24"/>
        </w:rPr>
      </w:pPr>
      <w:r w:rsidRPr="0053158C">
        <w:rPr>
          <w:rFonts w:ascii="Arial" w:hAnsi="Arial" w:cs="Arial"/>
          <w:color w:val="000000" w:themeColor="text1"/>
          <w:sz w:val="24"/>
          <w:szCs w:val="24"/>
        </w:rPr>
        <w:t>44.</w:t>
      </w:r>
      <w:r w:rsidRPr="0053158C">
        <w:rPr>
          <w:rFonts w:ascii="Arial" w:hAnsi="Arial" w:cs="Arial"/>
          <w:color w:val="000000" w:themeColor="text1"/>
          <w:sz w:val="24"/>
          <w:szCs w:val="24"/>
        </w:rPr>
        <w:tab/>
      </w:r>
      <w:r w:rsidR="00730912" w:rsidRPr="00BE38D7">
        <w:rPr>
          <w:rFonts w:ascii="Arial" w:hAnsi="Arial" w:cs="Arial"/>
          <w:sz w:val="24"/>
          <w:szCs w:val="24"/>
        </w:rPr>
        <w:t xml:space="preserve"> ACB also relied on Section 68 of the </w:t>
      </w:r>
      <w:r w:rsidR="00C45E6A" w:rsidRPr="00BE38D7">
        <w:rPr>
          <w:rFonts w:ascii="Arial" w:hAnsi="Arial" w:cs="Arial"/>
          <w:sz w:val="24"/>
          <w:szCs w:val="24"/>
        </w:rPr>
        <w:t xml:space="preserve">Promotion to Access to Information Act 2 of 2000 (PAIA), namely the refusal of access to </w:t>
      </w:r>
      <w:r w:rsidR="00561851" w:rsidRPr="00BE38D7">
        <w:rPr>
          <w:rFonts w:ascii="Arial" w:hAnsi="Arial" w:cs="Arial"/>
          <w:sz w:val="24"/>
          <w:szCs w:val="24"/>
        </w:rPr>
        <w:t>information. This</w:t>
      </w:r>
      <w:r w:rsidR="00A23728" w:rsidRPr="00BE38D7">
        <w:rPr>
          <w:rFonts w:ascii="Arial" w:hAnsi="Arial" w:cs="Arial"/>
          <w:sz w:val="24"/>
          <w:szCs w:val="24"/>
        </w:rPr>
        <w:t xml:space="preserve"> relates to the confidential information relating to the field trials</w:t>
      </w:r>
      <w:r w:rsidR="00561851" w:rsidRPr="00BE38D7">
        <w:rPr>
          <w:rFonts w:ascii="Arial" w:hAnsi="Arial" w:cs="Arial"/>
          <w:sz w:val="24"/>
          <w:szCs w:val="24"/>
        </w:rPr>
        <w:t xml:space="preserve"> by Monsanto in S</w:t>
      </w:r>
      <w:r w:rsidR="005D6A1E" w:rsidRPr="00BE38D7">
        <w:rPr>
          <w:rFonts w:ascii="Arial" w:hAnsi="Arial" w:cs="Arial"/>
          <w:sz w:val="24"/>
          <w:szCs w:val="24"/>
        </w:rPr>
        <w:t>outh Africa.</w:t>
      </w:r>
      <w:r w:rsidR="00C45E6A" w:rsidRPr="00BE38D7">
        <w:rPr>
          <w:rFonts w:ascii="Arial" w:hAnsi="Arial" w:cs="Arial"/>
          <w:sz w:val="24"/>
          <w:szCs w:val="24"/>
        </w:rPr>
        <w:t xml:space="preserve"> </w:t>
      </w:r>
      <w:r w:rsidR="005D6A1E" w:rsidRPr="00BE38D7">
        <w:rPr>
          <w:rFonts w:ascii="Arial" w:hAnsi="Arial" w:cs="Arial"/>
          <w:sz w:val="24"/>
          <w:szCs w:val="24"/>
        </w:rPr>
        <w:t>However,</w:t>
      </w:r>
      <w:r w:rsidR="00C45E6A" w:rsidRPr="00BE38D7">
        <w:rPr>
          <w:rFonts w:ascii="Arial" w:hAnsi="Arial" w:cs="Arial"/>
          <w:sz w:val="24"/>
          <w:szCs w:val="24"/>
        </w:rPr>
        <w:t xml:space="preserve"> once the review was launched, redacted information was made available to ACB’s legal representatives and experts. The conclusion therefore that ACB </w:t>
      </w:r>
      <w:r w:rsidR="005D6A1E" w:rsidRPr="00BE38D7">
        <w:rPr>
          <w:rFonts w:ascii="Arial" w:hAnsi="Arial" w:cs="Arial"/>
          <w:sz w:val="24"/>
          <w:szCs w:val="24"/>
        </w:rPr>
        <w:t>failed</w:t>
      </w:r>
      <w:r w:rsidR="00C45E6A" w:rsidRPr="00BE38D7">
        <w:rPr>
          <w:rFonts w:ascii="Arial" w:hAnsi="Arial" w:cs="Arial"/>
          <w:sz w:val="24"/>
          <w:szCs w:val="24"/>
        </w:rPr>
        <w:t xml:space="preserve"> in proving its grounds of review relating</w:t>
      </w:r>
      <w:r w:rsidR="00EE5362" w:rsidRPr="00BE38D7">
        <w:rPr>
          <w:rFonts w:ascii="Arial" w:hAnsi="Arial" w:cs="Arial"/>
          <w:sz w:val="24"/>
          <w:szCs w:val="24"/>
        </w:rPr>
        <w:t xml:space="preserve"> to the Appeal Board decision.</w:t>
      </w:r>
    </w:p>
    <w:p w14:paraId="45DC19F7" w14:textId="77777777" w:rsidR="00EE5362" w:rsidRPr="00EE5362" w:rsidRDefault="00EE5362" w:rsidP="00EE5362">
      <w:pPr>
        <w:pStyle w:val="ListParagraph"/>
        <w:rPr>
          <w:rFonts w:ascii="Arial" w:hAnsi="Arial" w:cs="Arial"/>
          <w:sz w:val="24"/>
          <w:szCs w:val="24"/>
        </w:rPr>
      </w:pPr>
    </w:p>
    <w:p w14:paraId="27DCFBDD" w14:textId="77777777" w:rsidR="00EE5362" w:rsidRDefault="00EE5362" w:rsidP="00EE5362">
      <w:pPr>
        <w:spacing w:line="360" w:lineRule="auto"/>
        <w:jc w:val="both"/>
        <w:rPr>
          <w:rFonts w:ascii="Arial" w:hAnsi="Arial" w:cs="Arial"/>
          <w:sz w:val="24"/>
          <w:szCs w:val="24"/>
          <w:u w:val="single"/>
        </w:rPr>
      </w:pPr>
      <w:r w:rsidRPr="00EE5362">
        <w:rPr>
          <w:rFonts w:ascii="Arial" w:hAnsi="Arial" w:cs="Arial"/>
          <w:sz w:val="24"/>
          <w:szCs w:val="24"/>
          <w:u w:val="single"/>
        </w:rPr>
        <w:t>The Minister’s failure to give reasons or to engage with the issues before the EC and Appeal Board</w:t>
      </w:r>
    </w:p>
    <w:p w14:paraId="63B70CAC" w14:textId="77777777" w:rsidR="00D608D7" w:rsidRPr="00EE5362" w:rsidRDefault="00D608D7" w:rsidP="00EE5362">
      <w:pPr>
        <w:spacing w:line="360" w:lineRule="auto"/>
        <w:jc w:val="both"/>
        <w:rPr>
          <w:rFonts w:ascii="Arial" w:hAnsi="Arial" w:cs="Arial"/>
          <w:sz w:val="24"/>
          <w:szCs w:val="24"/>
          <w:u w:val="single"/>
        </w:rPr>
      </w:pPr>
    </w:p>
    <w:p w14:paraId="006E15F4" w14:textId="00012721" w:rsidR="00D608D7" w:rsidRPr="00BE38D7" w:rsidRDefault="00BE38D7" w:rsidP="00BE38D7">
      <w:pPr>
        <w:spacing w:line="360" w:lineRule="auto"/>
        <w:ind w:left="720" w:hanging="720"/>
        <w:jc w:val="both"/>
        <w:rPr>
          <w:rFonts w:ascii="Arial" w:hAnsi="Arial" w:cs="Arial"/>
          <w:sz w:val="24"/>
          <w:szCs w:val="24"/>
          <w:u w:val="single"/>
        </w:rPr>
      </w:pPr>
      <w:r w:rsidRPr="00D608D7">
        <w:rPr>
          <w:rFonts w:ascii="Arial" w:hAnsi="Arial" w:cs="Arial"/>
          <w:color w:val="000000" w:themeColor="text1"/>
          <w:sz w:val="24"/>
          <w:szCs w:val="24"/>
        </w:rPr>
        <w:t>45.</w:t>
      </w:r>
      <w:r w:rsidRPr="00D608D7">
        <w:rPr>
          <w:rFonts w:ascii="Arial" w:hAnsi="Arial" w:cs="Arial"/>
          <w:color w:val="000000" w:themeColor="text1"/>
          <w:sz w:val="24"/>
          <w:szCs w:val="24"/>
        </w:rPr>
        <w:tab/>
      </w:r>
      <w:r w:rsidR="00D608D7" w:rsidRPr="00BE38D7">
        <w:rPr>
          <w:rFonts w:ascii="Arial" w:hAnsi="Arial" w:cs="Arial"/>
          <w:sz w:val="24"/>
          <w:szCs w:val="24"/>
        </w:rPr>
        <w:t xml:space="preserve">The Minster accepted the Appeal Board’s findings and recommendations. </w:t>
      </w:r>
    </w:p>
    <w:p w14:paraId="1A4CE199" w14:textId="77777777" w:rsidR="00D608D7" w:rsidRPr="00D608D7" w:rsidRDefault="00D608D7" w:rsidP="00D608D7">
      <w:pPr>
        <w:pStyle w:val="ListParagraph"/>
        <w:spacing w:line="360" w:lineRule="auto"/>
        <w:jc w:val="both"/>
        <w:rPr>
          <w:rFonts w:ascii="Arial" w:hAnsi="Arial" w:cs="Arial"/>
          <w:sz w:val="24"/>
          <w:szCs w:val="24"/>
          <w:u w:val="single"/>
        </w:rPr>
      </w:pPr>
    </w:p>
    <w:p w14:paraId="127767A7" w14:textId="02F6878F" w:rsidR="00310F63" w:rsidRPr="00BE38D7" w:rsidRDefault="00BE38D7" w:rsidP="00BE38D7">
      <w:pPr>
        <w:spacing w:line="360" w:lineRule="auto"/>
        <w:ind w:left="720" w:hanging="720"/>
        <w:jc w:val="both"/>
        <w:rPr>
          <w:rFonts w:ascii="Arial" w:hAnsi="Arial" w:cs="Arial"/>
          <w:sz w:val="24"/>
          <w:szCs w:val="24"/>
          <w:u w:val="single"/>
        </w:rPr>
      </w:pPr>
      <w:r w:rsidRPr="00CB51E0">
        <w:rPr>
          <w:rFonts w:ascii="Arial" w:hAnsi="Arial" w:cs="Arial"/>
          <w:color w:val="000000" w:themeColor="text1"/>
          <w:sz w:val="24"/>
          <w:szCs w:val="24"/>
        </w:rPr>
        <w:lastRenderedPageBreak/>
        <w:t>46.</w:t>
      </w:r>
      <w:r w:rsidRPr="00CB51E0">
        <w:rPr>
          <w:rFonts w:ascii="Arial" w:hAnsi="Arial" w:cs="Arial"/>
          <w:color w:val="000000" w:themeColor="text1"/>
          <w:sz w:val="24"/>
          <w:szCs w:val="24"/>
        </w:rPr>
        <w:tab/>
      </w:r>
      <w:r w:rsidR="00D608D7" w:rsidRPr="00BE38D7">
        <w:rPr>
          <w:rFonts w:ascii="Arial" w:hAnsi="Arial" w:cs="Arial"/>
          <w:sz w:val="24"/>
          <w:szCs w:val="24"/>
        </w:rPr>
        <w:t>The power to adjudicate an appeal lies with the Appeal Board. Section 19 (4) of the GMO Act gives the power to the Appeal Board to confirm, set aside or substitute the decision of the EC. Section 19 (6)</w:t>
      </w:r>
      <w:r w:rsidR="00BA1F26" w:rsidRPr="00BE38D7">
        <w:rPr>
          <w:rFonts w:ascii="Arial" w:hAnsi="Arial" w:cs="Arial"/>
          <w:sz w:val="24"/>
          <w:szCs w:val="24"/>
        </w:rPr>
        <w:t xml:space="preserve"> </w:t>
      </w:r>
      <w:r w:rsidR="00D608D7" w:rsidRPr="00BE38D7">
        <w:rPr>
          <w:rFonts w:ascii="Arial" w:hAnsi="Arial" w:cs="Arial"/>
          <w:sz w:val="24"/>
          <w:szCs w:val="24"/>
        </w:rPr>
        <w:t xml:space="preserve">of the GMO Act then provides that </w:t>
      </w:r>
      <w:r w:rsidR="00BA1F26" w:rsidRPr="00BE38D7">
        <w:rPr>
          <w:rFonts w:ascii="Arial" w:hAnsi="Arial" w:cs="Arial"/>
          <w:sz w:val="24"/>
          <w:szCs w:val="24"/>
        </w:rPr>
        <w:t>“</w:t>
      </w:r>
      <w:r w:rsidR="00D608D7" w:rsidRPr="00BE38D7">
        <w:rPr>
          <w:rFonts w:ascii="Arial" w:hAnsi="Arial" w:cs="Arial"/>
          <w:sz w:val="24"/>
          <w:szCs w:val="24"/>
        </w:rPr>
        <w:t>the full decision of the Appeal Board must be put in writing and furnished to the Minster, the registrar and all the parties directly involved</w:t>
      </w:r>
      <w:r w:rsidR="00BA1F26" w:rsidRPr="00BE38D7">
        <w:rPr>
          <w:rFonts w:ascii="Arial" w:hAnsi="Arial" w:cs="Arial"/>
          <w:sz w:val="24"/>
          <w:szCs w:val="24"/>
        </w:rPr>
        <w:t>”</w:t>
      </w:r>
      <w:r w:rsidR="00A130A2" w:rsidRPr="00BE38D7">
        <w:rPr>
          <w:rFonts w:ascii="Arial" w:hAnsi="Arial" w:cs="Arial"/>
          <w:sz w:val="24"/>
          <w:szCs w:val="24"/>
        </w:rPr>
        <w:t xml:space="preserve">. The Section goes further to state that the Minister “may take such further action as he or she may consider necessary”. </w:t>
      </w:r>
      <w:r w:rsidR="00AB32DC" w:rsidRPr="00BE38D7">
        <w:rPr>
          <w:rFonts w:ascii="Arial" w:hAnsi="Arial" w:cs="Arial"/>
          <w:sz w:val="24"/>
          <w:szCs w:val="24"/>
        </w:rPr>
        <w:t>No obligation is put on the Minister to provide reasons or take any further steps. As a result, there is no merit in this ground for review</w:t>
      </w:r>
      <w:r w:rsidR="00CB51E0" w:rsidRPr="00BE38D7">
        <w:rPr>
          <w:rFonts w:ascii="Arial" w:hAnsi="Arial" w:cs="Arial"/>
          <w:sz w:val="24"/>
          <w:szCs w:val="24"/>
        </w:rPr>
        <w:t>.</w:t>
      </w:r>
    </w:p>
    <w:p w14:paraId="09D03213" w14:textId="77777777" w:rsidR="00CB51E0" w:rsidRPr="00CB51E0" w:rsidRDefault="00CB51E0" w:rsidP="00CB51E0">
      <w:pPr>
        <w:pStyle w:val="ListParagraph"/>
        <w:rPr>
          <w:rFonts w:ascii="Arial" w:hAnsi="Arial" w:cs="Arial"/>
          <w:sz w:val="24"/>
          <w:szCs w:val="24"/>
          <w:u w:val="single"/>
        </w:rPr>
      </w:pPr>
    </w:p>
    <w:p w14:paraId="131DA7CF" w14:textId="77777777" w:rsidR="00CB51E0" w:rsidRDefault="00CB51E0" w:rsidP="00CB51E0">
      <w:pPr>
        <w:spacing w:line="360" w:lineRule="auto"/>
        <w:jc w:val="both"/>
        <w:rPr>
          <w:rFonts w:ascii="Arial" w:hAnsi="Arial" w:cs="Arial"/>
          <w:sz w:val="24"/>
          <w:szCs w:val="24"/>
          <w:u w:val="single"/>
        </w:rPr>
      </w:pPr>
      <w:r>
        <w:rPr>
          <w:rFonts w:ascii="Arial" w:hAnsi="Arial" w:cs="Arial"/>
          <w:sz w:val="24"/>
          <w:szCs w:val="24"/>
          <w:u w:val="single"/>
        </w:rPr>
        <w:t>Conclusion</w:t>
      </w:r>
    </w:p>
    <w:p w14:paraId="73BB6210" w14:textId="77777777" w:rsidR="00CB51E0" w:rsidRDefault="00CB51E0" w:rsidP="00CB51E0">
      <w:pPr>
        <w:spacing w:line="360" w:lineRule="auto"/>
        <w:jc w:val="both"/>
        <w:rPr>
          <w:rFonts w:ascii="Arial" w:hAnsi="Arial" w:cs="Arial"/>
          <w:sz w:val="24"/>
          <w:szCs w:val="24"/>
          <w:u w:val="single"/>
        </w:rPr>
      </w:pPr>
    </w:p>
    <w:p w14:paraId="76ADE84C" w14:textId="6C93B6FE" w:rsidR="00C35429"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47.</w:t>
      </w:r>
      <w:r>
        <w:rPr>
          <w:rFonts w:ascii="Arial" w:hAnsi="Arial" w:cs="Arial"/>
          <w:color w:val="000000" w:themeColor="text1"/>
          <w:sz w:val="24"/>
          <w:szCs w:val="24"/>
        </w:rPr>
        <w:tab/>
      </w:r>
      <w:r w:rsidR="00CB51E0" w:rsidRPr="00BE38D7">
        <w:rPr>
          <w:rFonts w:ascii="Arial" w:hAnsi="Arial" w:cs="Arial"/>
          <w:sz w:val="24"/>
          <w:szCs w:val="24"/>
        </w:rPr>
        <w:t xml:space="preserve">There is no indication that either the EC or the Appeal Board failed to comply with the rationality test </w:t>
      </w:r>
      <w:r w:rsidR="00F24154" w:rsidRPr="00BE38D7">
        <w:rPr>
          <w:rFonts w:ascii="Arial" w:hAnsi="Arial" w:cs="Arial"/>
          <w:sz w:val="24"/>
          <w:szCs w:val="24"/>
        </w:rPr>
        <w:t>envisaged</w:t>
      </w:r>
      <w:r w:rsidR="00CB51E0" w:rsidRPr="00BE38D7">
        <w:rPr>
          <w:rFonts w:ascii="Arial" w:hAnsi="Arial" w:cs="Arial"/>
          <w:sz w:val="24"/>
          <w:szCs w:val="24"/>
        </w:rPr>
        <w:t xml:space="preserve"> in Section 6 (2</w:t>
      </w:r>
      <w:proofErr w:type="gramStart"/>
      <w:r w:rsidR="00CB51E0" w:rsidRPr="00BE38D7">
        <w:rPr>
          <w:rFonts w:ascii="Arial" w:hAnsi="Arial" w:cs="Arial"/>
          <w:sz w:val="24"/>
          <w:szCs w:val="24"/>
        </w:rPr>
        <w:t>)(</w:t>
      </w:r>
      <w:proofErr w:type="gramEnd"/>
      <w:r w:rsidR="00CB51E0" w:rsidRPr="00BE38D7">
        <w:rPr>
          <w:rFonts w:ascii="Arial" w:hAnsi="Arial" w:cs="Arial"/>
          <w:sz w:val="24"/>
          <w:szCs w:val="24"/>
        </w:rPr>
        <w:t xml:space="preserve">f)(ii) of PAJA. Although one might not agree with the decisions, the </w:t>
      </w:r>
      <w:r w:rsidR="00F24154" w:rsidRPr="00BE38D7">
        <w:rPr>
          <w:rFonts w:ascii="Arial" w:hAnsi="Arial" w:cs="Arial"/>
          <w:sz w:val="24"/>
          <w:szCs w:val="24"/>
        </w:rPr>
        <w:t>test</w:t>
      </w:r>
      <w:r w:rsidR="00CB51E0" w:rsidRPr="00BE38D7">
        <w:rPr>
          <w:rFonts w:ascii="Arial" w:hAnsi="Arial" w:cs="Arial"/>
          <w:sz w:val="24"/>
          <w:szCs w:val="24"/>
        </w:rPr>
        <w:t xml:space="preserve"> is ultimately whether there is a rational objective basis between the material</w:t>
      </w:r>
      <w:r w:rsidR="00F24154" w:rsidRPr="00BE38D7">
        <w:rPr>
          <w:rFonts w:ascii="Arial" w:hAnsi="Arial" w:cs="Arial"/>
          <w:sz w:val="24"/>
          <w:szCs w:val="24"/>
        </w:rPr>
        <w:t xml:space="preserve"> made available and the conclusion arrived at.</w:t>
      </w:r>
      <w:r w:rsidR="00F24154">
        <w:rPr>
          <w:rStyle w:val="FootnoteReference"/>
          <w:rFonts w:ascii="Arial" w:hAnsi="Arial" w:cs="Arial"/>
          <w:sz w:val="24"/>
          <w:szCs w:val="24"/>
        </w:rPr>
        <w:footnoteReference w:id="29"/>
      </w:r>
      <w:r w:rsidR="00F24154" w:rsidRPr="00BE38D7">
        <w:rPr>
          <w:rFonts w:ascii="Arial" w:hAnsi="Arial" w:cs="Arial"/>
          <w:sz w:val="24"/>
          <w:szCs w:val="24"/>
        </w:rPr>
        <w:t xml:space="preserve"> </w:t>
      </w:r>
      <w:r w:rsidR="0059416B" w:rsidRPr="00BE38D7">
        <w:rPr>
          <w:rFonts w:ascii="Arial" w:hAnsi="Arial" w:cs="Arial"/>
          <w:sz w:val="24"/>
          <w:szCs w:val="24"/>
        </w:rPr>
        <w:t xml:space="preserve">As far as </w:t>
      </w:r>
      <w:r w:rsidR="00BA3DDB" w:rsidRPr="00BE38D7">
        <w:rPr>
          <w:rFonts w:ascii="Arial" w:hAnsi="Arial" w:cs="Arial"/>
          <w:sz w:val="24"/>
          <w:szCs w:val="24"/>
        </w:rPr>
        <w:t>reasonableness,</w:t>
      </w:r>
      <w:r w:rsidR="0059416B" w:rsidRPr="00BE38D7">
        <w:rPr>
          <w:rFonts w:ascii="Arial" w:hAnsi="Arial" w:cs="Arial"/>
          <w:sz w:val="24"/>
          <w:szCs w:val="24"/>
        </w:rPr>
        <w:t xml:space="preserve"> as envisaged in Section 6(2</w:t>
      </w:r>
      <w:proofErr w:type="gramStart"/>
      <w:r w:rsidR="0059416B" w:rsidRPr="00BE38D7">
        <w:rPr>
          <w:rFonts w:ascii="Arial" w:hAnsi="Arial" w:cs="Arial"/>
          <w:sz w:val="24"/>
          <w:szCs w:val="24"/>
        </w:rPr>
        <w:t>)(</w:t>
      </w:r>
      <w:proofErr w:type="gramEnd"/>
      <w:r w:rsidR="0059416B" w:rsidRPr="00BE38D7">
        <w:rPr>
          <w:rFonts w:ascii="Arial" w:hAnsi="Arial" w:cs="Arial"/>
          <w:sz w:val="24"/>
          <w:szCs w:val="24"/>
        </w:rPr>
        <w:t>h)</w:t>
      </w:r>
      <w:r w:rsidR="000F013B" w:rsidRPr="00BE38D7">
        <w:rPr>
          <w:rFonts w:ascii="Arial" w:hAnsi="Arial" w:cs="Arial"/>
          <w:sz w:val="24"/>
          <w:szCs w:val="24"/>
        </w:rPr>
        <w:t xml:space="preserve"> of PAJA</w:t>
      </w:r>
      <w:r w:rsidR="0059416B" w:rsidRPr="00BE38D7">
        <w:rPr>
          <w:rFonts w:ascii="Arial" w:hAnsi="Arial" w:cs="Arial"/>
          <w:sz w:val="24"/>
          <w:szCs w:val="24"/>
        </w:rPr>
        <w:t xml:space="preserve"> is concerned, the EC relied on the A</w:t>
      </w:r>
      <w:r w:rsidR="006C4247" w:rsidRPr="00BE38D7">
        <w:rPr>
          <w:rFonts w:ascii="Arial" w:hAnsi="Arial" w:cs="Arial"/>
          <w:sz w:val="24"/>
          <w:szCs w:val="24"/>
        </w:rPr>
        <w:t>C</w:t>
      </w:r>
      <w:r w:rsidR="0059416B" w:rsidRPr="00BE38D7">
        <w:rPr>
          <w:rFonts w:ascii="Arial" w:hAnsi="Arial" w:cs="Arial"/>
          <w:sz w:val="24"/>
          <w:szCs w:val="24"/>
        </w:rPr>
        <w:t>, who consisted of experts</w:t>
      </w:r>
      <w:r w:rsidR="00C171DB" w:rsidRPr="00BE38D7">
        <w:rPr>
          <w:rFonts w:ascii="Arial" w:hAnsi="Arial" w:cs="Arial"/>
          <w:sz w:val="24"/>
          <w:szCs w:val="24"/>
        </w:rPr>
        <w:t xml:space="preserve"> who considered</w:t>
      </w:r>
      <w:r w:rsidR="003D0B57" w:rsidRPr="00BE38D7">
        <w:rPr>
          <w:rFonts w:ascii="Arial" w:hAnsi="Arial" w:cs="Arial"/>
          <w:sz w:val="24"/>
          <w:szCs w:val="24"/>
        </w:rPr>
        <w:t xml:space="preserve"> Monsanto’s application and who recommended that the application be approved. A recommendation report was prepared and formed part of </w:t>
      </w:r>
      <w:r w:rsidR="00E22F99" w:rsidRPr="00BE38D7">
        <w:rPr>
          <w:rFonts w:ascii="Arial" w:hAnsi="Arial" w:cs="Arial"/>
          <w:sz w:val="24"/>
          <w:szCs w:val="24"/>
        </w:rPr>
        <w:t>the record. The EC took its decision in consultation with the A</w:t>
      </w:r>
      <w:r w:rsidR="009336A4" w:rsidRPr="00BE38D7">
        <w:rPr>
          <w:rFonts w:ascii="Arial" w:hAnsi="Arial" w:cs="Arial"/>
          <w:sz w:val="24"/>
          <w:szCs w:val="24"/>
        </w:rPr>
        <w:t>C</w:t>
      </w:r>
      <w:r w:rsidR="00E22F99" w:rsidRPr="00BE38D7">
        <w:rPr>
          <w:rFonts w:ascii="Arial" w:hAnsi="Arial" w:cs="Arial"/>
          <w:sz w:val="24"/>
          <w:szCs w:val="24"/>
        </w:rPr>
        <w:t xml:space="preserve">. The information before the EC included a report from a statutory body whose specific function is to consider applications for GMO permits. As a result, the EC’s decision can neither be irrational </w:t>
      </w:r>
      <w:r w:rsidR="00FA12CD" w:rsidRPr="00BE38D7">
        <w:rPr>
          <w:rFonts w:ascii="Arial" w:hAnsi="Arial" w:cs="Arial"/>
          <w:sz w:val="24"/>
          <w:szCs w:val="24"/>
        </w:rPr>
        <w:t>n</w:t>
      </w:r>
      <w:r w:rsidR="00E22F99" w:rsidRPr="00BE38D7">
        <w:rPr>
          <w:rFonts w:ascii="Arial" w:hAnsi="Arial" w:cs="Arial"/>
          <w:sz w:val="24"/>
          <w:szCs w:val="24"/>
        </w:rPr>
        <w:t>or unreasonable.</w:t>
      </w:r>
      <w:r w:rsidR="009E54A4" w:rsidRPr="00BE38D7">
        <w:rPr>
          <w:rFonts w:ascii="Arial" w:hAnsi="Arial" w:cs="Arial"/>
          <w:sz w:val="24"/>
          <w:szCs w:val="24"/>
        </w:rPr>
        <w:t xml:space="preserve"> </w:t>
      </w:r>
    </w:p>
    <w:p w14:paraId="08B5A42C" w14:textId="77777777" w:rsidR="00A71BFF" w:rsidRDefault="00A71BFF" w:rsidP="00A71BFF">
      <w:pPr>
        <w:pStyle w:val="ListParagraph"/>
        <w:spacing w:line="360" w:lineRule="auto"/>
        <w:jc w:val="both"/>
        <w:rPr>
          <w:rFonts w:ascii="Arial" w:hAnsi="Arial" w:cs="Arial"/>
          <w:sz w:val="24"/>
          <w:szCs w:val="24"/>
        </w:rPr>
      </w:pPr>
    </w:p>
    <w:p w14:paraId="3B67E980" w14:textId="002E19BF" w:rsidR="003F6BB8" w:rsidRPr="00BE38D7" w:rsidRDefault="00BE38D7" w:rsidP="00BE38D7">
      <w:pPr>
        <w:spacing w:line="360" w:lineRule="auto"/>
        <w:ind w:left="720" w:hanging="720"/>
        <w:jc w:val="both"/>
        <w:rPr>
          <w:rFonts w:ascii="Arial" w:hAnsi="Arial" w:cs="Arial"/>
          <w:sz w:val="24"/>
          <w:szCs w:val="24"/>
        </w:rPr>
      </w:pPr>
      <w:r>
        <w:rPr>
          <w:rFonts w:ascii="Arial" w:hAnsi="Arial" w:cs="Arial"/>
          <w:color w:val="000000" w:themeColor="text1"/>
          <w:sz w:val="24"/>
          <w:szCs w:val="24"/>
        </w:rPr>
        <w:t>48.</w:t>
      </w:r>
      <w:r>
        <w:rPr>
          <w:rFonts w:ascii="Arial" w:hAnsi="Arial" w:cs="Arial"/>
          <w:color w:val="000000" w:themeColor="text1"/>
          <w:sz w:val="24"/>
          <w:szCs w:val="24"/>
        </w:rPr>
        <w:tab/>
      </w:r>
      <w:r w:rsidR="00C35429" w:rsidRPr="00BE38D7">
        <w:rPr>
          <w:rFonts w:ascii="Arial" w:hAnsi="Arial" w:cs="Arial"/>
          <w:sz w:val="24"/>
          <w:szCs w:val="24"/>
        </w:rPr>
        <w:t xml:space="preserve">The Appeal Board considered everything that was before the EC </w:t>
      </w:r>
      <w:r w:rsidR="002C21B8" w:rsidRPr="00BE38D7">
        <w:rPr>
          <w:rFonts w:ascii="Arial" w:hAnsi="Arial" w:cs="Arial"/>
          <w:sz w:val="24"/>
          <w:szCs w:val="24"/>
        </w:rPr>
        <w:t>and</w:t>
      </w:r>
      <w:r w:rsidR="003A48E7" w:rsidRPr="00BE38D7">
        <w:rPr>
          <w:rFonts w:ascii="Arial" w:hAnsi="Arial" w:cs="Arial"/>
          <w:sz w:val="24"/>
          <w:szCs w:val="24"/>
        </w:rPr>
        <w:t xml:space="preserve"> had</w:t>
      </w:r>
      <w:r w:rsidR="0041751D" w:rsidRPr="00BE38D7">
        <w:rPr>
          <w:rFonts w:ascii="Arial" w:hAnsi="Arial" w:cs="Arial"/>
          <w:sz w:val="24"/>
          <w:szCs w:val="24"/>
        </w:rPr>
        <w:t xml:space="preserve"> available</w:t>
      </w:r>
      <w:r w:rsidR="003A48E7" w:rsidRPr="00BE38D7">
        <w:rPr>
          <w:rFonts w:ascii="Arial" w:hAnsi="Arial" w:cs="Arial"/>
          <w:sz w:val="24"/>
          <w:szCs w:val="24"/>
        </w:rPr>
        <w:t xml:space="preserve"> the submissions of ACB, including</w:t>
      </w:r>
      <w:r w:rsidR="008A073C" w:rsidRPr="00BE38D7">
        <w:rPr>
          <w:rFonts w:ascii="Arial" w:hAnsi="Arial" w:cs="Arial"/>
          <w:sz w:val="24"/>
          <w:szCs w:val="24"/>
        </w:rPr>
        <w:t xml:space="preserve"> the reports of their experts</w:t>
      </w:r>
      <w:r w:rsidR="00C35429" w:rsidRPr="00BE38D7">
        <w:rPr>
          <w:rFonts w:ascii="Arial" w:hAnsi="Arial" w:cs="Arial"/>
          <w:sz w:val="24"/>
          <w:szCs w:val="24"/>
        </w:rPr>
        <w:t xml:space="preserve">. The Appeal Board considered all of this and concluded that the permit could be granted. There is no evidence that the decision was either irrational or unreasonable. </w:t>
      </w:r>
      <w:r w:rsidR="00E07B37" w:rsidRPr="00BE38D7">
        <w:rPr>
          <w:rFonts w:ascii="Arial" w:hAnsi="Arial" w:cs="Arial"/>
          <w:sz w:val="24"/>
          <w:szCs w:val="24"/>
        </w:rPr>
        <w:t>Nor was there any credible evidence that either the EC or the Appeal Board did not apply their minds to the information before them. Despite the</w:t>
      </w:r>
      <w:r w:rsidR="00A71BFF" w:rsidRPr="00BE38D7">
        <w:rPr>
          <w:rFonts w:ascii="Arial" w:hAnsi="Arial" w:cs="Arial"/>
          <w:sz w:val="24"/>
          <w:szCs w:val="24"/>
        </w:rPr>
        <w:t xml:space="preserve"> allegations of bias and/or influence by </w:t>
      </w:r>
      <w:r w:rsidR="00A71BFF" w:rsidRPr="00BE38D7">
        <w:rPr>
          <w:rFonts w:ascii="Arial" w:hAnsi="Arial" w:cs="Arial"/>
          <w:sz w:val="24"/>
          <w:szCs w:val="24"/>
        </w:rPr>
        <w:lastRenderedPageBreak/>
        <w:t>third parties, no objective</w:t>
      </w:r>
      <w:r w:rsidR="005B408E" w:rsidRPr="00BE38D7">
        <w:rPr>
          <w:rFonts w:ascii="Arial" w:hAnsi="Arial" w:cs="Arial"/>
          <w:sz w:val="24"/>
          <w:szCs w:val="24"/>
        </w:rPr>
        <w:t xml:space="preserve"> evidence was provided to prove that</w:t>
      </w:r>
      <w:r w:rsidR="0041751D" w:rsidRPr="00BE38D7">
        <w:rPr>
          <w:rFonts w:ascii="Arial" w:hAnsi="Arial" w:cs="Arial"/>
          <w:sz w:val="24"/>
          <w:szCs w:val="24"/>
        </w:rPr>
        <w:t>,</w:t>
      </w:r>
      <w:r w:rsidR="005B408E" w:rsidRPr="00BE38D7">
        <w:rPr>
          <w:rFonts w:ascii="Arial" w:hAnsi="Arial" w:cs="Arial"/>
          <w:sz w:val="24"/>
          <w:szCs w:val="24"/>
        </w:rPr>
        <w:t xml:space="preserve"> or any unlawful delegation</w:t>
      </w:r>
      <w:r w:rsidR="00356BD2" w:rsidRPr="00BE38D7">
        <w:rPr>
          <w:rFonts w:ascii="Arial" w:hAnsi="Arial" w:cs="Arial"/>
          <w:sz w:val="24"/>
          <w:szCs w:val="24"/>
        </w:rPr>
        <w:t xml:space="preserve"> of power</w:t>
      </w:r>
      <w:r w:rsidR="003F6BB8" w:rsidRPr="00BE38D7">
        <w:rPr>
          <w:rFonts w:ascii="Arial" w:hAnsi="Arial" w:cs="Arial"/>
          <w:sz w:val="24"/>
          <w:szCs w:val="24"/>
        </w:rPr>
        <w:t>.</w:t>
      </w:r>
    </w:p>
    <w:p w14:paraId="1C75B236" w14:textId="77777777" w:rsidR="003F6BB8" w:rsidRPr="003F6BB8" w:rsidRDefault="00631130" w:rsidP="003F6BB8">
      <w:pPr>
        <w:pStyle w:val="ListParagraph"/>
        <w:rPr>
          <w:rFonts w:ascii="Arial" w:hAnsi="Arial" w:cs="Arial"/>
          <w:sz w:val="24"/>
          <w:szCs w:val="24"/>
        </w:rPr>
      </w:pPr>
      <w:r>
        <w:rPr>
          <w:rFonts w:ascii="Arial" w:hAnsi="Arial" w:cs="Arial"/>
          <w:sz w:val="24"/>
          <w:szCs w:val="24"/>
        </w:rPr>
        <w:t>.</w:t>
      </w:r>
    </w:p>
    <w:p w14:paraId="6A428BDE" w14:textId="6DE5ECA2" w:rsidR="00F51713" w:rsidRPr="00BE38D7" w:rsidRDefault="00BE38D7" w:rsidP="00BE38D7">
      <w:pPr>
        <w:spacing w:line="360" w:lineRule="auto"/>
        <w:ind w:left="720" w:hanging="720"/>
        <w:jc w:val="both"/>
        <w:rPr>
          <w:rFonts w:ascii="Arial" w:hAnsi="Arial" w:cs="Arial"/>
          <w:sz w:val="24"/>
          <w:szCs w:val="24"/>
        </w:rPr>
      </w:pPr>
      <w:r w:rsidRPr="00BF5F41">
        <w:rPr>
          <w:rFonts w:ascii="Arial" w:hAnsi="Arial" w:cs="Arial"/>
          <w:color w:val="000000" w:themeColor="text1"/>
          <w:sz w:val="24"/>
          <w:szCs w:val="24"/>
        </w:rPr>
        <w:t>49.</w:t>
      </w:r>
      <w:r w:rsidRPr="00BF5F41">
        <w:rPr>
          <w:rFonts w:ascii="Arial" w:hAnsi="Arial" w:cs="Arial"/>
          <w:color w:val="000000" w:themeColor="text1"/>
          <w:sz w:val="24"/>
          <w:szCs w:val="24"/>
        </w:rPr>
        <w:tab/>
      </w:r>
      <w:r w:rsidR="006E6498" w:rsidRPr="00BE38D7">
        <w:rPr>
          <w:rFonts w:ascii="Arial" w:hAnsi="Arial" w:cs="Arial"/>
          <w:sz w:val="24"/>
          <w:szCs w:val="24"/>
        </w:rPr>
        <w:t>A perusal of the papers</w:t>
      </w:r>
      <w:r w:rsidR="00254C98" w:rsidRPr="00BE38D7">
        <w:rPr>
          <w:rFonts w:ascii="Arial" w:hAnsi="Arial" w:cs="Arial"/>
          <w:sz w:val="24"/>
          <w:szCs w:val="24"/>
        </w:rPr>
        <w:t xml:space="preserve"> reveals that ACB’</w:t>
      </w:r>
      <w:r w:rsidR="005E4D2E" w:rsidRPr="00BE38D7">
        <w:rPr>
          <w:rFonts w:ascii="Arial" w:hAnsi="Arial" w:cs="Arial"/>
          <w:sz w:val="24"/>
          <w:szCs w:val="24"/>
        </w:rPr>
        <w:t>s</w:t>
      </w:r>
      <w:r w:rsidR="00254C98" w:rsidRPr="00BE38D7">
        <w:rPr>
          <w:rFonts w:ascii="Arial" w:hAnsi="Arial" w:cs="Arial"/>
          <w:sz w:val="24"/>
          <w:szCs w:val="24"/>
        </w:rPr>
        <w:t xml:space="preserve"> real concern is </w:t>
      </w:r>
      <w:r w:rsidR="003B2CBA" w:rsidRPr="00BE38D7">
        <w:rPr>
          <w:rFonts w:ascii="Arial" w:hAnsi="Arial" w:cs="Arial"/>
          <w:sz w:val="24"/>
          <w:szCs w:val="24"/>
        </w:rPr>
        <w:t xml:space="preserve">the safety of the release of MON </w:t>
      </w:r>
      <w:r w:rsidR="006E7161" w:rsidRPr="00BE38D7">
        <w:rPr>
          <w:rFonts w:ascii="Arial" w:hAnsi="Arial" w:cs="Arial"/>
          <w:sz w:val="24"/>
          <w:szCs w:val="24"/>
        </w:rPr>
        <w:t>87460, which</w:t>
      </w:r>
      <w:r w:rsidR="001957B4" w:rsidRPr="00BE38D7">
        <w:rPr>
          <w:rFonts w:ascii="Arial" w:hAnsi="Arial" w:cs="Arial"/>
          <w:sz w:val="24"/>
          <w:szCs w:val="24"/>
        </w:rPr>
        <w:t xml:space="preserve"> maybe a legitimate concern,</w:t>
      </w:r>
      <w:r w:rsidR="00403B0F" w:rsidRPr="00BE38D7">
        <w:rPr>
          <w:rFonts w:ascii="Arial" w:hAnsi="Arial" w:cs="Arial"/>
          <w:sz w:val="24"/>
          <w:szCs w:val="24"/>
        </w:rPr>
        <w:t xml:space="preserve"> </w:t>
      </w:r>
      <w:r w:rsidR="00ED2C69" w:rsidRPr="00BE38D7">
        <w:rPr>
          <w:rFonts w:ascii="Arial" w:hAnsi="Arial" w:cs="Arial"/>
          <w:sz w:val="24"/>
          <w:szCs w:val="24"/>
        </w:rPr>
        <w:t>but</w:t>
      </w:r>
      <w:r w:rsidR="00CC2E70" w:rsidRPr="00BE38D7">
        <w:rPr>
          <w:rFonts w:ascii="Arial" w:hAnsi="Arial" w:cs="Arial"/>
          <w:sz w:val="24"/>
          <w:szCs w:val="24"/>
        </w:rPr>
        <w:t xml:space="preserve"> it is</w:t>
      </w:r>
      <w:r w:rsidR="00ED2C69" w:rsidRPr="00BE38D7">
        <w:rPr>
          <w:rFonts w:ascii="Arial" w:hAnsi="Arial" w:cs="Arial"/>
          <w:sz w:val="24"/>
          <w:szCs w:val="24"/>
        </w:rPr>
        <w:t xml:space="preserve"> something this Court is not able to determine within the confines of a PAJA review</w:t>
      </w:r>
      <w:r w:rsidR="004F072E" w:rsidRPr="00BE38D7">
        <w:rPr>
          <w:rFonts w:ascii="Arial" w:hAnsi="Arial" w:cs="Arial"/>
          <w:sz w:val="24"/>
          <w:szCs w:val="24"/>
        </w:rPr>
        <w:t xml:space="preserve"> and in the light of the conflicting expert </w:t>
      </w:r>
      <w:r w:rsidR="0096142D" w:rsidRPr="00BE38D7">
        <w:rPr>
          <w:rFonts w:ascii="Arial" w:hAnsi="Arial" w:cs="Arial"/>
          <w:sz w:val="24"/>
          <w:szCs w:val="24"/>
        </w:rPr>
        <w:t>opinions</w:t>
      </w:r>
      <w:r w:rsidR="0041751D" w:rsidRPr="00BE38D7">
        <w:rPr>
          <w:rFonts w:ascii="Arial" w:hAnsi="Arial" w:cs="Arial"/>
          <w:sz w:val="24"/>
          <w:szCs w:val="24"/>
        </w:rPr>
        <w:t>,</w:t>
      </w:r>
      <w:r w:rsidR="0096142D" w:rsidRPr="00BE38D7">
        <w:rPr>
          <w:rFonts w:ascii="Arial" w:hAnsi="Arial" w:cs="Arial"/>
          <w:sz w:val="24"/>
          <w:szCs w:val="24"/>
        </w:rPr>
        <w:t xml:space="preserve"> without the benefit of oral evidence</w:t>
      </w:r>
      <w:r w:rsidR="00CA43FB" w:rsidRPr="00BE38D7">
        <w:rPr>
          <w:rFonts w:ascii="Arial" w:hAnsi="Arial" w:cs="Arial"/>
          <w:sz w:val="24"/>
          <w:szCs w:val="24"/>
        </w:rPr>
        <w:t>.</w:t>
      </w:r>
      <w:r w:rsidR="004E1B1C" w:rsidRPr="00BE38D7">
        <w:rPr>
          <w:rFonts w:ascii="Arial" w:hAnsi="Arial" w:cs="Arial"/>
          <w:sz w:val="24"/>
          <w:szCs w:val="24"/>
        </w:rPr>
        <w:t xml:space="preserve"> As a </w:t>
      </w:r>
      <w:r w:rsidR="001511D2" w:rsidRPr="00BE38D7">
        <w:rPr>
          <w:rFonts w:ascii="Arial" w:hAnsi="Arial" w:cs="Arial"/>
          <w:sz w:val="24"/>
          <w:szCs w:val="24"/>
        </w:rPr>
        <w:t>result,</w:t>
      </w:r>
      <w:r w:rsidR="004E1B1C" w:rsidRPr="00BE38D7">
        <w:rPr>
          <w:rFonts w:ascii="Arial" w:hAnsi="Arial" w:cs="Arial"/>
          <w:sz w:val="24"/>
          <w:szCs w:val="24"/>
        </w:rPr>
        <w:t xml:space="preserve"> the application </w:t>
      </w:r>
      <w:r w:rsidR="00CF07B4" w:rsidRPr="00BE38D7">
        <w:rPr>
          <w:rFonts w:ascii="Arial" w:hAnsi="Arial" w:cs="Arial"/>
          <w:sz w:val="24"/>
          <w:szCs w:val="24"/>
        </w:rPr>
        <w:t>stands</w:t>
      </w:r>
      <w:r w:rsidR="004E1B1C" w:rsidRPr="00BE38D7">
        <w:rPr>
          <w:rFonts w:ascii="Arial" w:hAnsi="Arial" w:cs="Arial"/>
          <w:sz w:val="24"/>
          <w:szCs w:val="24"/>
        </w:rPr>
        <w:t xml:space="preserve"> to be dismissed.</w:t>
      </w:r>
      <w:r w:rsidR="000C46F0" w:rsidRPr="00BE38D7">
        <w:rPr>
          <w:rFonts w:ascii="Arial" w:hAnsi="Arial" w:cs="Arial"/>
          <w:sz w:val="24"/>
          <w:szCs w:val="24"/>
        </w:rPr>
        <w:t xml:space="preserve"> </w:t>
      </w:r>
    </w:p>
    <w:p w14:paraId="15FCC414" w14:textId="77777777" w:rsidR="0073436C" w:rsidRPr="0073436C" w:rsidRDefault="0073436C" w:rsidP="0073436C">
      <w:pPr>
        <w:spacing w:line="360" w:lineRule="auto"/>
        <w:jc w:val="both"/>
        <w:rPr>
          <w:rFonts w:ascii="Arial" w:hAnsi="Arial" w:cs="Arial"/>
          <w:sz w:val="24"/>
          <w:szCs w:val="24"/>
          <w:u w:val="single"/>
        </w:rPr>
      </w:pPr>
    </w:p>
    <w:p w14:paraId="1CFAF37B" w14:textId="77777777" w:rsidR="0073436C" w:rsidRDefault="0073436C" w:rsidP="0073436C">
      <w:pPr>
        <w:spacing w:line="360" w:lineRule="auto"/>
        <w:jc w:val="both"/>
        <w:rPr>
          <w:rFonts w:ascii="Arial" w:hAnsi="Arial" w:cs="Arial"/>
          <w:sz w:val="24"/>
          <w:szCs w:val="24"/>
          <w:u w:val="single"/>
        </w:rPr>
      </w:pPr>
      <w:r w:rsidRPr="0073436C">
        <w:rPr>
          <w:rFonts w:ascii="Arial" w:hAnsi="Arial" w:cs="Arial"/>
          <w:sz w:val="24"/>
          <w:szCs w:val="24"/>
          <w:u w:val="single"/>
        </w:rPr>
        <w:t>Costs</w:t>
      </w:r>
    </w:p>
    <w:p w14:paraId="625B82B5" w14:textId="77777777" w:rsidR="0073436C" w:rsidRDefault="0073436C" w:rsidP="0073436C">
      <w:pPr>
        <w:spacing w:line="360" w:lineRule="auto"/>
        <w:jc w:val="both"/>
        <w:rPr>
          <w:rFonts w:ascii="Arial" w:hAnsi="Arial" w:cs="Arial"/>
          <w:sz w:val="24"/>
          <w:szCs w:val="24"/>
          <w:u w:val="single"/>
        </w:rPr>
      </w:pPr>
    </w:p>
    <w:p w14:paraId="6BB24F77" w14:textId="61AD7A40" w:rsidR="0073436C" w:rsidRPr="00BE38D7" w:rsidRDefault="00BE38D7" w:rsidP="00BE38D7">
      <w:pPr>
        <w:spacing w:line="360" w:lineRule="auto"/>
        <w:ind w:left="720" w:hanging="720"/>
        <w:jc w:val="both"/>
        <w:rPr>
          <w:rFonts w:ascii="Arial" w:hAnsi="Arial" w:cs="Arial"/>
          <w:sz w:val="24"/>
          <w:szCs w:val="24"/>
          <w:u w:val="single"/>
        </w:rPr>
      </w:pPr>
      <w:r w:rsidRPr="00541F91">
        <w:rPr>
          <w:rFonts w:ascii="Arial" w:hAnsi="Arial" w:cs="Arial"/>
          <w:color w:val="000000" w:themeColor="text1"/>
          <w:sz w:val="24"/>
          <w:szCs w:val="24"/>
        </w:rPr>
        <w:t>50.</w:t>
      </w:r>
      <w:r w:rsidRPr="00541F91">
        <w:rPr>
          <w:rFonts w:ascii="Arial" w:hAnsi="Arial" w:cs="Arial"/>
          <w:color w:val="000000" w:themeColor="text1"/>
          <w:sz w:val="24"/>
          <w:szCs w:val="24"/>
        </w:rPr>
        <w:tab/>
      </w:r>
      <w:r w:rsidR="004517A8" w:rsidRPr="00BE38D7">
        <w:rPr>
          <w:rFonts w:ascii="Arial" w:hAnsi="Arial" w:cs="Arial"/>
          <w:sz w:val="24"/>
          <w:szCs w:val="24"/>
        </w:rPr>
        <w:t>Considering</w:t>
      </w:r>
      <w:r w:rsidR="0073436C" w:rsidRPr="00BE38D7">
        <w:rPr>
          <w:rFonts w:ascii="Arial" w:hAnsi="Arial" w:cs="Arial"/>
          <w:sz w:val="24"/>
          <w:szCs w:val="24"/>
        </w:rPr>
        <w:t xml:space="preserve"> the nature of the litigation, it is a</w:t>
      </w:r>
      <w:r w:rsidR="00541F91" w:rsidRPr="00BE38D7">
        <w:rPr>
          <w:rFonts w:ascii="Arial" w:hAnsi="Arial" w:cs="Arial"/>
          <w:sz w:val="24"/>
          <w:szCs w:val="24"/>
        </w:rPr>
        <w:t>ppropriate that no order as to costs is made</w:t>
      </w:r>
      <w:r w:rsidR="00805DAF" w:rsidRPr="00BE38D7">
        <w:rPr>
          <w:rFonts w:ascii="Arial" w:hAnsi="Arial" w:cs="Arial"/>
          <w:sz w:val="24"/>
          <w:szCs w:val="24"/>
        </w:rPr>
        <w:t xml:space="preserve"> following the Biowatch </w:t>
      </w:r>
      <w:r w:rsidR="006E7161" w:rsidRPr="00BE38D7">
        <w:rPr>
          <w:rFonts w:ascii="Arial" w:hAnsi="Arial" w:cs="Arial"/>
          <w:sz w:val="24"/>
          <w:szCs w:val="24"/>
        </w:rPr>
        <w:t>principle.</w:t>
      </w:r>
      <w:r w:rsidR="00403B0F">
        <w:rPr>
          <w:rStyle w:val="FootnoteReference"/>
          <w:rFonts w:ascii="Arial" w:hAnsi="Arial" w:cs="Arial"/>
          <w:sz w:val="24"/>
          <w:szCs w:val="24"/>
        </w:rPr>
        <w:footnoteReference w:id="30"/>
      </w:r>
      <w:r w:rsidR="00403B0F" w:rsidRPr="00BE38D7">
        <w:rPr>
          <w:rFonts w:ascii="Arial" w:hAnsi="Arial" w:cs="Arial"/>
          <w:sz w:val="24"/>
          <w:szCs w:val="24"/>
        </w:rPr>
        <w:t xml:space="preserve"> </w:t>
      </w:r>
    </w:p>
    <w:p w14:paraId="329F6FC8" w14:textId="77777777" w:rsidR="00541F91" w:rsidRDefault="00541F91" w:rsidP="00541F91">
      <w:pPr>
        <w:spacing w:line="360" w:lineRule="auto"/>
        <w:jc w:val="both"/>
        <w:rPr>
          <w:rFonts w:ascii="Arial" w:hAnsi="Arial" w:cs="Arial"/>
          <w:sz w:val="24"/>
          <w:szCs w:val="24"/>
          <w:u w:val="single"/>
        </w:rPr>
      </w:pPr>
    </w:p>
    <w:p w14:paraId="299026B2" w14:textId="77777777" w:rsidR="00541F91" w:rsidRDefault="00541F91" w:rsidP="00541F91">
      <w:pPr>
        <w:spacing w:line="360" w:lineRule="auto"/>
        <w:jc w:val="both"/>
        <w:rPr>
          <w:rFonts w:ascii="Arial" w:hAnsi="Arial" w:cs="Arial"/>
          <w:sz w:val="24"/>
          <w:szCs w:val="24"/>
        </w:rPr>
      </w:pPr>
      <w:r w:rsidRPr="00541F91">
        <w:rPr>
          <w:rFonts w:ascii="Arial" w:hAnsi="Arial" w:cs="Arial"/>
          <w:sz w:val="24"/>
          <w:szCs w:val="24"/>
        </w:rPr>
        <w:t>T</w:t>
      </w:r>
      <w:r>
        <w:rPr>
          <w:rFonts w:ascii="Arial" w:hAnsi="Arial" w:cs="Arial"/>
          <w:sz w:val="24"/>
          <w:szCs w:val="24"/>
        </w:rPr>
        <w:t>he following order is made:</w:t>
      </w:r>
    </w:p>
    <w:p w14:paraId="1A2948BE" w14:textId="1482580D" w:rsidR="00541F91" w:rsidRPr="00BE38D7" w:rsidRDefault="00BE38D7" w:rsidP="00BE38D7">
      <w:pPr>
        <w:spacing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41F91" w:rsidRPr="00BE38D7">
        <w:rPr>
          <w:rFonts w:ascii="Arial" w:hAnsi="Arial" w:cs="Arial"/>
          <w:sz w:val="24"/>
          <w:szCs w:val="24"/>
        </w:rPr>
        <w:t>The application is dismissed.</w:t>
      </w:r>
    </w:p>
    <w:p w14:paraId="3CD85ED7" w14:textId="77777777" w:rsidR="00A33219" w:rsidRDefault="00A33219" w:rsidP="00A33219">
      <w:pPr>
        <w:spacing w:line="360" w:lineRule="auto"/>
        <w:jc w:val="both"/>
        <w:rPr>
          <w:rFonts w:ascii="Arial" w:hAnsi="Arial" w:cs="Arial"/>
          <w:sz w:val="24"/>
          <w:szCs w:val="24"/>
        </w:rPr>
      </w:pPr>
    </w:p>
    <w:p w14:paraId="53BB3253" w14:textId="77777777" w:rsidR="00A33219" w:rsidRDefault="00A33219" w:rsidP="00A33219">
      <w:pPr>
        <w:spacing w:line="360" w:lineRule="auto"/>
        <w:jc w:val="right"/>
        <w:rPr>
          <w:rFonts w:ascii="Arial" w:hAnsi="Arial" w:cs="Arial"/>
          <w:sz w:val="24"/>
          <w:szCs w:val="24"/>
        </w:rPr>
      </w:pPr>
      <w:r>
        <w:rPr>
          <w:rFonts w:ascii="Arial" w:hAnsi="Arial" w:cs="Arial"/>
          <w:sz w:val="24"/>
          <w:szCs w:val="24"/>
        </w:rPr>
        <w:t>__________________________</w:t>
      </w:r>
    </w:p>
    <w:p w14:paraId="4F867A49" w14:textId="77777777" w:rsidR="00A33219" w:rsidRPr="00BF5F41" w:rsidRDefault="00A33219" w:rsidP="00BF5F41">
      <w:pPr>
        <w:pStyle w:val="NoSpacing"/>
        <w:spacing w:line="360" w:lineRule="auto"/>
        <w:jc w:val="right"/>
        <w:rPr>
          <w:rFonts w:ascii="Arial" w:hAnsi="Arial" w:cs="Arial"/>
          <w:sz w:val="24"/>
          <w:szCs w:val="24"/>
        </w:rPr>
      </w:pPr>
      <w:r w:rsidRPr="00BF5F41">
        <w:rPr>
          <w:rFonts w:ascii="Arial" w:hAnsi="Arial" w:cs="Arial"/>
          <w:sz w:val="24"/>
          <w:szCs w:val="24"/>
        </w:rPr>
        <w:t>R</w:t>
      </w:r>
      <w:r w:rsidR="00E52F87" w:rsidRPr="00BF5F41">
        <w:rPr>
          <w:rFonts w:ascii="Arial" w:hAnsi="Arial" w:cs="Arial"/>
          <w:sz w:val="24"/>
          <w:szCs w:val="24"/>
        </w:rPr>
        <w:t>.G</w:t>
      </w:r>
      <w:r w:rsidRPr="00BF5F41">
        <w:rPr>
          <w:rFonts w:ascii="Arial" w:hAnsi="Arial" w:cs="Arial"/>
          <w:sz w:val="24"/>
          <w:szCs w:val="24"/>
        </w:rPr>
        <w:t xml:space="preserve"> Tolmay</w:t>
      </w:r>
    </w:p>
    <w:p w14:paraId="750E1E14" w14:textId="77777777" w:rsidR="00A33219" w:rsidRPr="00BF5F41" w:rsidRDefault="009C536A" w:rsidP="00BF5F41">
      <w:pPr>
        <w:pStyle w:val="NoSpacing"/>
        <w:spacing w:line="360" w:lineRule="auto"/>
        <w:jc w:val="right"/>
        <w:rPr>
          <w:rFonts w:ascii="Arial" w:hAnsi="Arial" w:cs="Arial"/>
          <w:sz w:val="24"/>
          <w:szCs w:val="24"/>
        </w:rPr>
      </w:pPr>
      <w:r w:rsidRPr="00BF5F41">
        <w:rPr>
          <w:rFonts w:ascii="Arial" w:hAnsi="Arial" w:cs="Arial"/>
          <w:sz w:val="24"/>
          <w:szCs w:val="24"/>
        </w:rPr>
        <w:t>Judge of the High Court of South Africa</w:t>
      </w:r>
    </w:p>
    <w:p w14:paraId="39A4E41F" w14:textId="77777777" w:rsidR="00B80466" w:rsidRPr="00BF5F41" w:rsidRDefault="009C536A" w:rsidP="00BF5F41">
      <w:pPr>
        <w:pStyle w:val="NoSpacing"/>
        <w:spacing w:line="360" w:lineRule="auto"/>
        <w:jc w:val="right"/>
        <w:rPr>
          <w:rFonts w:ascii="Arial" w:hAnsi="Arial" w:cs="Arial"/>
          <w:sz w:val="24"/>
          <w:szCs w:val="24"/>
        </w:rPr>
      </w:pPr>
      <w:r w:rsidRPr="00BF5F41">
        <w:rPr>
          <w:rFonts w:ascii="Arial" w:hAnsi="Arial" w:cs="Arial"/>
          <w:sz w:val="24"/>
          <w:szCs w:val="24"/>
        </w:rPr>
        <w:t>Gauteng Division, Pretoria</w:t>
      </w:r>
    </w:p>
    <w:p w14:paraId="05D040AC" w14:textId="77777777" w:rsidR="00BF5F41" w:rsidRDefault="00BF5F41" w:rsidP="00541F91">
      <w:pPr>
        <w:spacing w:line="360" w:lineRule="auto"/>
        <w:jc w:val="both"/>
        <w:rPr>
          <w:rFonts w:ascii="Arial" w:hAnsi="Arial" w:cs="Arial"/>
          <w:sz w:val="24"/>
          <w:szCs w:val="24"/>
          <w:u w:val="single"/>
        </w:rPr>
      </w:pPr>
    </w:p>
    <w:p w14:paraId="214DBDEF" w14:textId="77777777" w:rsidR="00541F91" w:rsidRPr="001B7FD7" w:rsidRDefault="00C51FB0" w:rsidP="00541F91">
      <w:pPr>
        <w:spacing w:line="360" w:lineRule="auto"/>
        <w:jc w:val="both"/>
        <w:rPr>
          <w:rFonts w:ascii="Arial" w:hAnsi="Arial" w:cs="Arial"/>
          <w:sz w:val="24"/>
          <w:szCs w:val="24"/>
          <w:u w:val="single"/>
        </w:rPr>
      </w:pPr>
      <w:r w:rsidRPr="001B7FD7">
        <w:rPr>
          <w:rFonts w:ascii="Arial" w:hAnsi="Arial" w:cs="Arial"/>
          <w:sz w:val="24"/>
          <w:szCs w:val="24"/>
          <w:u w:val="single"/>
        </w:rPr>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C51FB0" w14:paraId="3288A827" w14:textId="77777777" w:rsidTr="001B7FD7">
        <w:tc>
          <w:tcPr>
            <w:tcW w:w="4720" w:type="dxa"/>
          </w:tcPr>
          <w:p w14:paraId="3E7C3D2F"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Counsel for Applicant</w:t>
            </w:r>
          </w:p>
        </w:tc>
        <w:tc>
          <w:tcPr>
            <w:tcW w:w="4720" w:type="dxa"/>
          </w:tcPr>
          <w:p w14:paraId="3F44193A"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w:t>
            </w:r>
            <w:r w:rsidR="000D6EF4">
              <w:rPr>
                <w:rFonts w:ascii="Arial" w:hAnsi="Arial" w:cs="Arial"/>
                <w:sz w:val="24"/>
                <w:szCs w:val="24"/>
              </w:rPr>
              <w:t xml:space="preserve"> Adv K Pillay SC; Adv N Steyn</w:t>
            </w:r>
          </w:p>
        </w:tc>
      </w:tr>
      <w:tr w:rsidR="00C51FB0" w14:paraId="339BD975" w14:textId="77777777" w:rsidTr="001B7FD7">
        <w:tc>
          <w:tcPr>
            <w:tcW w:w="4720" w:type="dxa"/>
          </w:tcPr>
          <w:p w14:paraId="3FA7B117"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Attorney for Applicant</w:t>
            </w:r>
          </w:p>
        </w:tc>
        <w:tc>
          <w:tcPr>
            <w:tcW w:w="4720" w:type="dxa"/>
          </w:tcPr>
          <w:p w14:paraId="1F419FCA"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w:t>
            </w:r>
            <w:r w:rsidR="000D6EF4">
              <w:rPr>
                <w:rFonts w:ascii="Arial" w:hAnsi="Arial" w:cs="Arial"/>
                <w:sz w:val="24"/>
                <w:szCs w:val="24"/>
              </w:rPr>
              <w:t xml:space="preserve"> Legal-Aid South Africa</w:t>
            </w:r>
          </w:p>
        </w:tc>
      </w:tr>
      <w:tr w:rsidR="00C51FB0" w14:paraId="400F86FD" w14:textId="77777777" w:rsidTr="001B7FD7">
        <w:tc>
          <w:tcPr>
            <w:tcW w:w="4720" w:type="dxa"/>
          </w:tcPr>
          <w:p w14:paraId="7CF22582"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Counsel for</w:t>
            </w:r>
            <w:r w:rsidR="0012229E">
              <w:rPr>
                <w:rFonts w:ascii="Arial" w:hAnsi="Arial" w:cs="Arial"/>
                <w:sz w:val="24"/>
                <w:szCs w:val="24"/>
              </w:rPr>
              <w:t xml:space="preserve"> First to Fourth</w:t>
            </w:r>
            <w:r>
              <w:rPr>
                <w:rFonts w:ascii="Arial" w:hAnsi="Arial" w:cs="Arial"/>
                <w:sz w:val="24"/>
                <w:szCs w:val="24"/>
              </w:rPr>
              <w:t xml:space="preserve"> Respondents</w:t>
            </w:r>
          </w:p>
        </w:tc>
        <w:tc>
          <w:tcPr>
            <w:tcW w:w="4720" w:type="dxa"/>
          </w:tcPr>
          <w:p w14:paraId="7095DB6B"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w:t>
            </w:r>
            <w:r w:rsidR="0012229E">
              <w:rPr>
                <w:rFonts w:ascii="Arial" w:hAnsi="Arial" w:cs="Arial"/>
                <w:sz w:val="24"/>
                <w:szCs w:val="24"/>
              </w:rPr>
              <w:t xml:space="preserve"> Adv M Jozana</w:t>
            </w:r>
          </w:p>
        </w:tc>
      </w:tr>
      <w:tr w:rsidR="00C51FB0" w14:paraId="7F4207A1" w14:textId="77777777" w:rsidTr="001B7FD7">
        <w:tc>
          <w:tcPr>
            <w:tcW w:w="4720" w:type="dxa"/>
          </w:tcPr>
          <w:p w14:paraId="2EBA8023"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Attorney for</w:t>
            </w:r>
            <w:r w:rsidR="0012229E">
              <w:rPr>
                <w:rFonts w:ascii="Arial" w:hAnsi="Arial" w:cs="Arial"/>
                <w:sz w:val="24"/>
                <w:szCs w:val="24"/>
              </w:rPr>
              <w:t xml:space="preserve"> First to Fourth</w:t>
            </w:r>
            <w:r>
              <w:rPr>
                <w:rFonts w:ascii="Arial" w:hAnsi="Arial" w:cs="Arial"/>
                <w:sz w:val="24"/>
                <w:szCs w:val="24"/>
              </w:rPr>
              <w:t xml:space="preserve"> Respondents</w:t>
            </w:r>
          </w:p>
        </w:tc>
        <w:tc>
          <w:tcPr>
            <w:tcW w:w="4720" w:type="dxa"/>
          </w:tcPr>
          <w:p w14:paraId="43D28B97" w14:textId="77777777" w:rsidR="00C51FB0" w:rsidRDefault="00C51FB0" w:rsidP="00541F91">
            <w:pPr>
              <w:spacing w:line="360" w:lineRule="auto"/>
              <w:jc w:val="both"/>
              <w:rPr>
                <w:rFonts w:ascii="Arial" w:hAnsi="Arial" w:cs="Arial"/>
                <w:sz w:val="24"/>
                <w:szCs w:val="24"/>
              </w:rPr>
            </w:pPr>
            <w:r>
              <w:rPr>
                <w:rFonts w:ascii="Arial" w:hAnsi="Arial" w:cs="Arial"/>
                <w:sz w:val="24"/>
                <w:szCs w:val="24"/>
              </w:rPr>
              <w:t>:</w:t>
            </w:r>
            <w:r w:rsidR="0012229E">
              <w:rPr>
                <w:rFonts w:ascii="Arial" w:hAnsi="Arial" w:cs="Arial"/>
                <w:sz w:val="24"/>
                <w:szCs w:val="24"/>
              </w:rPr>
              <w:t xml:space="preserve"> State Attorney Pretoria</w:t>
            </w:r>
          </w:p>
        </w:tc>
      </w:tr>
      <w:tr w:rsidR="00C51FB0" w14:paraId="68B271CA" w14:textId="77777777" w:rsidTr="001B7FD7">
        <w:tc>
          <w:tcPr>
            <w:tcW w:w="4720" w:type="dxa"/>
          </w:tcPr>
          <w:p w14:paraId="232B9B49" w14:textId="77777777" w:rsidR="00C51FB0" w:rsidRDefault="0012229E" w:rsidP="00541F91">
            <w:pPr>
              <w:spacing w:line="360" w:lineRule="auto"/>
              <w:jc w:val="both"/>
              <w:rPr>
                <w:rFonts w:ascii="Arial" w:hAnsi="Arial" w:cs="Arial"/>
                <w:sz w:val="24"/>
                <w:szCs w:val="24"/>
              </w:rPr>
            </w:pPr>
            <w:r>
              <w:rPr>
                <w:rFonts w:ascii="Arial" w:hAnsi="Arial" w:cs="Arial"/>
                <w:sz w:val="24"/>
                <w:szCs w:val="24"/>
              </w:rPr>
              <w:lastRenderedPageBreak/>
              <w:t>Counsel for Fifth Respondent</w:t>
            </w:r>
          </w:p>
        </w:tc>
        <w:tc>
          <w:tcPr>
            <w:tcW w:w="4720" w:type="dxa"/>
          </w:tcPr>
          <w:p w14:paraId="5AF0F34B" w14:textId="77777777" w:rsidR="00C51FB0" w:rsidRDefault="0012229E" w:rsidP="00541F91">
            <w:pPr>
              <w:spacing w:line="360" w:lineRule="auto"/>
              <w:jc w:val="both"/>
              <w:rPr>
                <w:rFonts w:ascii="Arial" w:hAnsi="Arial" w:cs="Arial"/>
                <w:sz w:val="24"/>
                <w:szCs w:val="24"/>
              </w:rPr>
            </w:pPr>
            <w:r>
              <w:rPr>
                <w:rFonts w:ascii="Arial" w:hAnsi="Arial" w:cs="Arial"/>
                <w:sz w:val="24"/>
                <w:szCs w:val="24"/>
              </w:rPr>
              <w:t>:</w:t>
            </w:r>
            <w:r>
              <w:t xml:space="preserve"> </w:t>
            </w:r>
            <w:r w:rsidRPr="0012229E">
              <w:rPr>
                <w:rFonts w:ascii="Arial" w:hAnsi="Arial" w:cs="Arial"/>
                <w:sz w:val="24"/>
                <w:szCs w:val="24"/>
              </w:rPr>
              <w:t>Adv P Lazarus SC; Adv I Learmonth</w:t>
            </w:r>
          </w:p>
        </w:tc>
      </w:tr>
      <w:tr w:rsidR="0012229E" w14:paraId="32B2A75C" w14:textId="77777777" w:rsidTr="001B7FD7">
        <w:tc>
          <w:tcPr>
            <w:tcW w:w="4720" w:type="dxa"/>
          </w:tcPr>
          <w:p w14:paraId="20C441A7" w14:textId="77777777" w:rsidR="0012229E" w:rsidRDefault="0012229E" w:rsidP="00541F91">
            <w:pPr>
              <w:spacing w:line="360" w:lineRule="auto"/>
              <w:jc w:val="both"/>
              <w:rPr>
                <w:rFonts w:ascii="Arial" w:hAnsi="Arial" w:cs="Arial"/>
                <w:sz w:val="24"/>
                <w:szCs w:val="24"/>
              </w:rPr>
            </w:pPr>
            <w:r>
              <w:rPr>
                <w:rFonts w:ascii="Arial" w:hAnsi="Arial" w:cs="Arial"/>
                <w:sz w:val="24"/>
                <w:szCs w:val="24"/>
              </w:rPr>
              <w:t>Attorney for Fifth Respondent</w:t>
            </w:r>
          </w:p>
        </w:tc>
        <w:tc>
          <w:tcPr>
            <w:tcW w:w="4720" w:type="dxa"/>
          </w:tcPr>
          <w:p w14:paraId="24177365" w14:textId="77777777" w:rsidR="0012229E" w:rsidRDefault="0012229E" w:rsidP="0012229E">
            <w:pPr>
              <w:spacing w:line="360" w:lineRule="auto"/>
              <w:jc w:val="both"/>
              <w:rPr>
                <w:rFonts w:ascii="Arial" w:hAnsi="Arial" w:cs="Arial"/>
                <w:sz w:val="24"/>
                <w:szCs w:val="24"/>
              </w:rPr>
            </w:pPr>
            <w:r>
              <w:rPr>
                <w:rFonts w:ascii="Arial" w:hAnsi="Arial" w:cs="Arial"/>
                <w:sz w:val="24"/>
                <w:szCs w:val="24"/>
              </w:rPr>
              <w:t>: Webber</w:t>
            </w:r>
            <w:r w:rsidR="001B7FD7">
              <w:rPr>
                <w:rFonts w:ascii="Arial" w:hAnsi="Arial" w:cs="Arial"/>
                <w:sz w:val="24"/>
                <w:szCs w:val="24"/>
              </w:rPr>
              <w:t xml:space="preserve"> </w:t>
            </w:r>
            <w:r>
              <w:rPr>
                <w:rFonts w:ascii="Arial" w:hAnsi="Arial" w:cs="Arial"/>
                <w:sz w:val="24"/>
                <w:szCs w:val="24"/>
              </w:rPr>
              <w:t>Wentzel</w:t>
            </w:r>
          </w:p>
        </w:tc>
      </w:tr>
      <w:tr w:rsidR="0012229E" w14:paraId="2D6F8105" w14:textId="77777777" w:rsidTr="001B7FD7">
        <w:tc>
          <w:tcPr>
            <w:tcW w:w="4720" w:type="dxa"/>
          </w:tcPr>
          <w:p w14:paraId="0ACB3AB5" w14:textId="77777777" w:rsidR="0012229E" w:rsidRDefault="001B7FD7" w:rsidP="00541F91">
            <w:pPr>
              <w:spacing w:line="360" w:lineRule="auto"/>
              <w:jc w:val="both"/>
              <w:rPr>
                <w:rFonts w:ascii="Arial" w:hAnsi="Arial" w:cs="Arial"/>
                <w:sz w:val="24"/>
                <w:szCs w:val="24"/>
              </w:rPr>
            </w:pPr>
            <w:r>
              <w:rPr>
                <w:rFonts w:ascii="Arial" w:hAnsi="Arial" w:cs="Arial"/>
                <w:sz w:val="24"/>
                <w:szCs w:val="24"/>
              </w:rPr>
              <w:t>Date of Hearing</w:t>
            </w:r>
          </w:p>
        </w:tc>
        <w:tc>
          <w:tcPr>
            <w:tcW w:w="4720" w:type="dxa"/>
          </w:tcPr>
          <w:p w14:paraId="3197F3C4" w14:textId="77777777" w:rsidR="0012229E" w:rsidRDefault="001B7FD7" w:rsidP="00541F91">
            <w:pPr>
              <w:spacing w:line="360" w:lineRule="auto"/>
              <w:jc w:val="both"/>
              <w:rPr>
                <w:rFonts w:ascii="Arial" w:hAnsi="Arial" w:cs="Arial"/>
                <w:sz w:val="24"/>
                <w:szCs w:val="24"/>
              </w:rPr>
            </w:pPr>
            <w:r>
              <w:rPr>
                <w:rFonts w:ascii="Arial" w:hAnsi="Arial" w:cs="Arial"/>
                <w:sz w:val="24"/>
                <w:szCs w:val="24"/>
              </w:rPr>
              <w:t>: 8 February 2023</w:t>
            </w:r>
          </w:p>
        </w:tc>
      </w:tr>
      <w:tr w:rsidR="00C51FB0" w14:paraId="0D546674" w14:textId="77777777" w:rsidTr="001B7FD7">
        <w:tc>
          <w:tcPr>
            <w:tcW w:w="4720" w:type="dxa"/>
          </w:tcPr>
          <w:p w14:paraId="29B555FD" w14:textId="77777777" w:rsidR="00C51FB0" w:rsidRDefault="001B7FD7" w:rsidP="00541F91">
            <w:pPr>
              <w:spacing w:line="360" w:lineRule="auto"/>
              <w:jc w:val="both"/>
              <w:rPr>
                <w:rFonts w:ascii="Arial" w:hAnsi="Arial" w:cs="Arial"/>
                <w:sz w:val="24"/>
                <w:szCs w:val="24"/>
              </w:rPr>
            </w:pPr>
            <w:r>
              <w:rPr>
                <w:rFonts w:ascii="Arial" w:hAnsi="Arial" w:cs="Arial"/>
                <w:sz w:val="24"/>
                <w:szCs w:val="24"/>
              </w:rPr>
              <w:t>Date of Judgment</w:t>
            </w:r>
          </w:p>
        </w:tc>
        <w:tc>
          <w:tcPr>
            <w:tcW w:w="4720" w:type="dxa"/>
          </w:tcPr>
          <w:p w14:paraId="2CB09517" w14:textId="77777777" w:rsidR="00C51FB0" w:rsidRDefault="001B7FD7" w:rsidP="00541F91">
            <w:pPr>
              <w:spacing w:line="360" w:lineRule="auto"/>
              <w:jc w:val="both"/>
              <w:rPr>
                <w:rFonts w:ascii="Arial" w:hAnsi="Arial" w:cs="Arial"/>
                <w:sz w:val="24"/>
                <w:szCs w:val="24"/>
              </w:rPr>
            </w:pPr>
            <w:r>
              <w:rPr>
                <w:rFonts w:ascii="Arial" w:hAnsi="Arial" w:cs="Arial"/>
                <w:sz w:val="24"/>
                <w:szCs w:val="24"/>
              </w:rPr>
              <w:t>:</w:t>
            </w:r>
            <w:r w:rsidR="007F61B6">
              <w:rPr>
                <w:rFonts w:ascii="Arial" w:hAnsi="Arial" w:cs="Arial"/>
                <w:sz w:val="24"/>
                <w:szCs w:val="24"/>
              </w:rPr>
              <w:t xml:space="preserve"> 27 June 2023</w:t>
            </w:r>
          </w:p>
        </w:tc>
      </w:tr>
    </w:tbl>
    <w:p w14:paraId="79EB3479" w14:textId="77777777" w:rsidR="00541F91" w:rsidRPr="00541F91" w:rsidRDefault="00541F91" w:rsidP="00541F91">
      <w:pPr>
        <w:spacing w:line="360" w:lineRule="auto"/>
        <w:jc w:val="both"/>
        <w:rPr>
          <w:rFonts w:ascii="Arial" w:hAnsi="Arial" w:cs="Arial"/>
          <w:sz w:val="24"/>
          <w:szCs w:val="24"/>
        </w:rPr>
      </w:pPr>
    </w:p>
    <w:sectPr w:rsidR="00541F91" w:rsidRPr="00541F91" w:rsidSect="00E23109">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0A16" w14:textId="77777777" w:rsidR="00DD192B" w:rsidRDefault="00DD192B" w:rsidP="00FE5CA6">
      <w:pPr>
        <w:spacing w:after="0" w:line="240" w:lineRule="auto"/>
      </w:pPr>
      <w:r>
        <w:separator/>
      </w:r>
    </w:p>
  </w:endnote>
  <w:endnote w:type="continuationSeparator" w:id="0">
    <w:p w14:paraId="54B974F7" w14:textId="77777777" w:rsidR="00DD192B" w:rsidRDefault="00DD192B" w:rsidP="00FE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FF2EC" w14:textId="77777777" w:rsidR="00DD192B" w:rsidRDefault="00DD192B" w:rsidP="00FE5CA6">
      <w:pPr>
        <w:spacing w:after="0" w:line="240" w:lineRule="auto"/>
      </w:pPr>
      <w:r>
        <w:separator/>
      </w:r>
    </w:p>
  </w:footnote>
  <w:footnote w:type="continuationSeparator" w:id="0">
    <w:p w14:paraId="7331E28B" w14:textId="77777777" w:rsidR="00DD192B" w:rsidRDefault="00DD192B" w:rsidP="00FE5CA6">
      <w:pPr>
        <w:spacing w:after="0" w:line="240" w:lineRule="auto"/>
      </w:pPr>
      <w:r>
        <w:continuationSeparator/>
      </w:r>
    </w:p>
  </w:footnote>
  <w:footnote w:id="1">
    <w:p w14:paraId="4BC65E43" w14:textId="77777777" w:rsidR="00D608D7" w:rsidRPr="00FE5CA6" w:rsidRDefault="00D608D7">
      <w:pPr>
        <w:pStyle w:val="FootnoteText"/>
        <w:rPr>
          <w:lang w:val="en-US"/>
        </w:rPr>
      </w:pPr>
      <w:r>
        <w:rPr>
          <w:rStyle w:val="FootnoteReference"/>
        </w:rPr>
        <w:footnoteRef/>
      </w:r>
      <w:r>
        <w:t xml:space="preserve"> </w:t>
      </w:r>
      <w:r>
        <w:rPr>
          <w:lang w:val="en-US"/>
        </w:rPr>
        <w:t>GMO Act section 5</w:t>
      </w:r>
      <w:r w:rsidR="005E23B9">
        <w:rPr>
          <w:lang w:val="en-US"/>
        </w:rPr>
        <w:t>(1)</w:t>
      </w:r>
      <w:r>
        <w:rPr>
          <w:lang w:val="en-US"/>
        </w:rPr>
        <w:t xml:space="preserve"> (c).</w:t>
      </w:r>
    </w:p>
  </w:footnote>
  <w:footnote w:id="2">
    <w:p w14:paraId="141B18DE" w14:textId="77777777" w:rsidR="00D608D7" w:rsidRPr="00823A4E" w:rsidRDefault="00D608D7">
      <w:pPr>
        <w:pStyle w:val="FootnoteText"/>
        <w:rPr>
          <w:lang w:val="en-US"/>
        </w:rPr>
      </w:pPr>
      <w:r>
        <w:rPr>
          <w:rStyle w:val="FootnoteReference"/>
        </w:rPr>
        <w:footnoteRef/>
      </w:r>
      <w:r>
        <w:t xml:space="preserve"> </w:t>
      </w:r>
      <w:r>
        <w:rPr>
          <w:lang w:val="en-US"/>
        </w:rPr>
        <w:t>GMO Regulations 9 (1), 9 (5)(c) and (9)(6).</w:t>
      </w:r>
    </w:p>
  </w:footnote>
  <w:footnote w:id="3">
    <w:p w14:paraId="6E95BF08" w14:textId="77777777" w:rsidR="00D608D7" w:rsidRPr="008B1CE9" w:rsidRDefault="00D608D7">
      <w:pPr>
        <w:pStyle w:val="FootnoteText"/>
        <w:rPr>
          <w:lang w:val="en-US"/>
        </w:rPr>
      </w:pPr>
      <w:r>
        <w:rPr>
          <w:rStyle w:val="FootnoteReference"/>
        </w:rPr>
        <w:footnoteRef/>
      </w:r>
      <w:r>
        <w:t xml:space="preserve"> </w:t>
      </w:r>
      <w:r>
        <w:rPr>
          <w:lang w:val="en-US"/>
        </w:rPr>
        <w:t>Rustenburg Platinum Mines (Ltd) (Rustenburg Section) v CCMA 2007 (1) SA 576 (SCA) at para 31-32; South Durban Community Environmental Alliance v MEC for Economic Development Tourism and Environmental Affairs, Kwazulu-Natal Provincial Government 2020 (4) SA 453 (SCA) at para 12.</w:t>
      </w:r>
    </w:p>
  </w:footnote>
  <w:footnote w:id="4">
    <w:p w14:paraId="01CE9391" w14:textId="77777777" w:rsidR="00D608D7" w:rsidRPr="00FA2E89" w:rsidRDefault="00D608D7" w:rsidP="00FA2E89">
      <w:pPr>
        <w:pStyle w:val="FootnoteText"/>
      </w:pPr>
      <w:r>
        <w:rPr>
          <w:rStyle w:val="FootnoteReference"/>
        </w:rPr>
        <w:footnoteRef/>
      </w:r>
      <w:r>
        <w:t xml:space="preserve"> </w:t>
      </w:r>
      <w:r w:rsidRPr="00FA2E89">
        <w:t xml:space="preserve">  Fuel Retailers Association of Southern Africa v Director General Environmental Management, Department of Agriculture, Conservation and Environment, Mpumalanga Province 2007 (6) SA 4 at para 38 (Fuel Retailers).</w:t>
      </w:r>
    </w:p>
  </w:footnote>
  <w:footnote w:id="5">
    <w:p w14:paraId="6CFFC650" w14:textId="77777777" w:rsidR="00D608D7" w:rsidRPr="00FA2E89" w:rsidRDefault="00D608D7">
      <w:pPr>
        <w:pStyle w:val="FootnoteText"/>
        <w:rPr>
          <w:lang w:val="en-US"/>
        </w:rPr>
      </w:pPr>
      <w:r>
        <w:rPr>
          <w:rStyle w:val="FootnoteReference"/>
        </w:rPr>
        <w:footnoteRef/>
      </w:r>
      <w:r>
        <w:t xml:space="preserve"> </w:t>
      </w:r>
      <w:r>
        <w:rPr>
          <w:lang w:val="en-US"/>
        </w:rPr>
        <w:t>Bato Star Fishing (Pty) Ltd v Minster of Environment Affairs and Tourism 2004 (4) SA 490 (CC) at para 48; Somali Association of South Africa v The Refugee Appeal Board 2021 JDR 2182 (SCA) at para 93.</w:t>
      </w:r>
    </w:p>
  </w:footnote>
  <w:footnote w:id="6">
    <w:p w14:paraId="2B67E473" w14:textId="77777777" w:rsidR="00D608D7" w:rsidRPr="0094290E" w:rsidRDefault="00D608D7">
      <w:pPr>
        <w:pStyle w:val="FootnoteText"/>
        <w:rPr>
          <w:lang w:val="en-US"/>
        </w:rPr>
      </w:pPr>
      <w:r>
        <w:rPr>
          <w:rStyle w:val="FootnoteReference"/>
        </w:rPr>
        <w:footnoteRef/>
      </w:r>
      <w:r>
        <w:t xml:space="preserve"> </w:t>
      </w:r>
      <w:r>
        <w:rPr>
          <w:lang w:val="en-US"/>
        </w:rPr>
        <w:t>2001 (3) SA 1188 (SCA).</w:t>
      </w:r>
    </w:p>
  </w:footnote>
  <w:footnote w:id="7">
    <w:p w14:paraId="4BB3E439" w14:textId="77777777" w:rsidR="00D608D7" w:rsidRPr="00B40BD4" w:rsidRDefault="00D608D7">
      <w:pPr>
        <w:pStyle w:val="FootnoteText"/>
        <w:rPr>
          <w:lang w:val="en-US"/>
        </w:rPr>
      </w:pPr>
      <w:r>
        <w:rPr>
          <w:rStyle w:val="FootnoteReference"/>
        </w:rPr>
        <w:footnoteRef/>
      </w:r>
      <w:r>
        <w:t xml:space="preserve"> </w:t>
      </w:r>
      <w:r>
        <w:rPr>
          <w:lang w:val="en-US"/>
        </w:rPr>
        <w:t>1984 (3) SA 623 (A) 634 D-I, see also Mbethe v United Maganese of Kalahari (Pty) Ltd 2017 (6) SA 409 (SCA) at para 23.</w:t>
      </w:r>
    </w:p>
  </w:footnote>
  <w:footnote w:id="8">
    <w:p w14:paraId="4F472D62" w14:textId="77777777" w:rsidR="00D608D7" w:rsidRPr="001C25AB" w:rsidRDefault="00D608D7">
      <w:pPr>
        <w:pStyle w:val="FootnoteText"/>
        <w:rPr>
          <w:lang w:val="en-US"/>
        </w:rPr>
      </w:pPr>
      <w:r>
        <w:rPr>
          <w:rStyle w:val="FootnoteReference"/>
        </w:rPr>
        <w:footnoteRef/>
      </w:r>
      <w:r>
        <w:t xml:space="preserve"> </w:t>
      </w:r>
      <w:r>
        <w:rPr>
          <w:lang w:val="en-US"/>
        </w:rPr>
        <w:t>Walele v Cit</w:t>
      </w:r>
      <w:r w:rsidR="00CF07B4">
        <w:rPr>
          <w:lang w:val="en-US"/>
        </w:rPr>
        <w:t>y of Cap</w:t>
      </w:r>
      <w:r>
        <w:rPr>
          <w:lang w:val="en-US"/>
        </w:rPr>
        <w:t>e Town 2008 (6) SA 129 CC at paras 17 &amp; 33, Pilane v Pilane 2013 (4) BCLR 431 (CC) at paras 47 &amp; 48.</w:t>
      </w:r>
    </w:p>
  </w:footnote>
  <w:footnote w:id="9">
    <w:p w14:paraId="78A4D7CC" w14:textId="77777777" w:rsidR="00B17258" w:rsidRPr="00B17258" w:rsidRDefault="00B17258">
      <w:pPr>
        <w:pStyle w:val="FootnoteText"/>
        <w:rPr>
          <w:lang w:val="en-US"/>
        </w:rPr>
      </w:pPr>
      <w:r>
        <w:rPr>
          <w:rStyle w:val="FootnoteReference"/>
        </w:rPr>
        <w:footnoteRef/>
      </w:r>
      <w:r>
        <w:t xml:space="preserve"> </w:t>
      </w:r>
      <w:r>
        <w:rPr>
          <w:lang w:val="en-US"/>
        </w:rPr>
        <w:t xml:space="preserve">Fuel Retailers </w:t>
      </w:r>
      <w:r w:rsidR="00BF5F41">
        <w:rPr>
          <w:lang w:val="en-US"/>
        </w:rPr>
        <w:t>at para 98.</w:t>
      </w:r>
    </w:p>
  </w:footnote>
  <w:footnote w:id="10">
    <w:p w14:paraId="66F7AD16" w14:textId="77777777" w:rsidR="00503BE1" w:rsidRPr="00503BE1" w:rsidRDefault="00503BE1">
      <w:pPr>
        <w:pStyle w:val="FootnoteText"/>
        <w:rPr>
          <w:lang w:val="en-US"/>
        </w:rPr>
      </w:pPr>
      <w:r>
        <w:rPr>
          <w:rStyle w:val="FootnoteReference"/>
        </w:rPr>
        <w:footnoteRef/>
      </w:r>
      <w:r>
        <w:t xml:space="preserve"> 2019(2) SA 403 (WCC) at para </w:t>
      </w:r>
      <w:r w:rsidRPr="00503BE1">
        <w:t>104</w:t>
      </w:r>
      <w:r>
        <w:t>.</w:t>
      </w:r>
    </w:p>
  </w:footnote>
  <w:footnote w:id="11">
    <w:p w14:paraId="46B8081F" w14:textId="77777777" w:rsidR="00503BE1" w:rsidRPr="00503BE1" w:rsidRDefault="00503BE1">
      <w:pPr>
        <w:pStyle w:val="FootnoteText"/>
        <w:rPr>
          <w:lang w:val="en-US"/>
        </w:rPr>
      </w:pPr>
      <w:r>
        <w:rPr>
          <w:rStyle w:val="FootnoteReference"/>
        </w:rPr>
        <w:footnoteRef/>
      </w:r>
      <w:r>
        <w:t xml:space="preserve"> </w:t>
      </w:r>
      <w:r w:rsidRPr="00503BE1">
        <w:t>[2006]</w:t>
      </w:r>
      <w:r w:rsidR="00DB2D34">
        <w:t xml:space="preserve"> </w:t>
      </w:r>
      <w:r w:rsidRPr="00503BE1">
        <w:t>NSWLEC 199</w:t>
      </w:r>
      <w:r w:rsidR="00DB2D34">
        <w:t>.</w:t>
      </w:r>
    </w:p>
  </w:footnote>
  <w:footnote w:id="12">
    <w:p w14:paraId="1D1C7304" w14:textId="77777777" w:rsidR="00DB2D34" w:rsidRPr="00DB2D34" w:rsidRDefault="00DB2D34">
      <w:pPr>
        <w:pStyle w:val="FootnoteText"/>
        <w:rPr>
          <w:lang w:val="en-US"/>
        </w:rPr>
      </w:pPr>
      <w:r>
        <w:rPr>
          <w:rStyle w:val="FootnoteReference"/>
        </w:rPr>
        <w:footnoteRef/>
      </w:r>
      <w:r>
        <w:t xml:space="preserve"> </w:t>
      </w:r>
      <w:r w:rsidR="004819BE">
        <w:t xml:space="preserve">Telstra at para </w:t>
      </w:r>
      <w:r w:rsidR="00272C38" w:rsidRPr="00272C38">
        <w:t>134-135</w:t>
      </w:r>
      <w:r w:rsidR="00272C38">
        <w:t>.</w:t>
      </w:r>
    </w:p>
  </w:footnote>
  <w:footnote w:id="13">
    <w:p w14:paraId="67752D8D" w14:textId="77777777" w:rsidR="004819BE" w:rsidRPr="004819BE" w:rsidRDefault="004819BE">
      <w:pPr>
        <w:pStyle w:val="FootnoteText"/>
        <w:rPr>
          <w:lang w:val="en-US"/>
        </w:rPr>
      </w:pPr>
      <w:r>
        <w:rPr>
          <w:rStyle w:val="FootnoteReference"/>
        </w:rPr>
        <w:footnoteRef/>
      </w:r>
      <w:r>
        <w:t xml:space="preserve"> </w:t>
      </w:r>
      <w:r w:rsidRPr="004819BE">
        <w:t xml:space="preserve">Telstra </w:t>
      </w:r>
      <w:r>
        <w:t xml:space="preserve">at para </w:t>
      </w:r>
      <w:r w:rsidRPr="004819BE">
        <w:t>147</w:t>
      </w:r>
      <w:r>
        <w:t>-148.</w:t>
      </w:r>
    </w:p>
  </w:footnote>
  <w:footnote w:id="14">
    <w:p w14:paraId="156176E8" w14:textId="77777777" w:rsidR="005D408E" w:rsidRPr="005D408E" w:rsidRDefault="005D408E" w:rsidP="005D408E">
      <w:pPr>
        <w:pStyle w:val="FootnoteText"/>
      </w:pPr>
      <w:r>
        <w:rPr>
          <w:rStyle w:val="FootnoteReference"/>
        </w:rPr>
        <w:footnoteRef/>
      </w:r>
      <w:r>
        <w:t xml:space="preserve"> </w:t>
      </w:r>
      <w:r w:rsidRPr="005D408E">
        <w:t xml:space="preserve">Telstra </w:t>
      </w:r>
      <w:r>
        <w:t xml:space="preserve">at </w:t>
      </w:r>
      <w:r w:rsidRPr="005D408E">
        <w:t>par</w:t>
      </w:r>
      <w:r>
        <w:t xml:space="preserve">a </w:t>
      </w:r>
      <w:r w:rsidRPr="005D408E">
        <w:t>150</w:t>
      </w:r>
      <w:r>
        <w:t>.</w:t>
      </w:r>
      <w:r w:rsidR="00ED0D95">
        <w:t xml:space="preserve"> </w:t>
      </w:r>
    </w:p>
  </w:footnote>
  <w:footnote w:id="15">
    <w:p w14:paraId="571B5F59" w14:textId="77777777" w:rsidR="00ED0D95" w:rsidRPr="00ED0D95" w:rsidRDefault="00ED0D95">
      <w:pPr>
        <w:pStyle w:val="FootnoteText"/>
        <w:rPr>
          <w:lang w:val="en-US"/>
        </w:rPr>
      </w:pPr>
      <w:r>
        <w:rPr>
          <w:rStyle w:val="FootnoteReference"/>
        </w:rPr>
        <w:footnoteRef/>
      </w:r>
      <w:r>
        <w:t xml:space="preserve"> 2022(6) SA 589 </w:t>
      </w:r>
      <w:r w:rsidRPr="00ED0D95">
        <w:t>ECM</w:t>
      </w:r>
      <w:r>
        <w:t>.</w:t>
      </w:r>
    </w:p>
  </w:footnote>
  <w:footnote w:id="16">
    <w:p w14:paraId="5025B498" w14:textId="77777777" w:rsidR="00D608D7" w:rsidRPr="00E75F74" w:rsidRDefault="00D608D7">
      <w:pPr>
        <w:pStyle w:val="FootnoteText"/>
        <w:rPr>
          <w:lang w:val="en-US"/>
        </w:rPr>
      </w:pPr>
      <w:r>
        <w:rPr>
          <w:rStyle w:val="FootnoteReference"/>
        </w:rPr>
        <w:footnoteRef/>
      </w:r>
      <w:r>
        <w:t xml:space="preserve"> </w:t>
      </w:r>
      <w:r>
        <w:rPr>
          <w:lang w:val="en-US"/>
        </w:rPr>
        <w:t>GMO Regulation 9 (2).</w:t>
      </w:r>
    </w:p>
  </w:footnote>
  <w:footnote w:id="17">
    <w:p w14:paraId="518E0E33" w14:textId="77777777" w:rsidR="00D608D7" w:rsidRPr="00832C3E" w:rsidRDefault="00D608D7">
      <w:pPr>
        <w:pStyle w:val="FootnoteText"/>
        <w:rPr>
          <w:lang w:val="en-US"/>
        </w:rPr>
      </w:pPr>
      <w:r>
        <w:rPr>
          <w:rStyle w:val="FootnoteReference"/>
        </w:rPr>
        <w:footnoteRef/>
      </w:r>
      <w:r>
        <w:t xml:space="preserve"> </w:t>
      </w:r>
      <w:r>
        <w:rPr>
          <w:lang w:val="en-US"/>
        </w:rPr>
        <w:t>GMO Regulation 9 (5).</w:t>
      </w:r>
    </w:p>
  </w:footnote>
  <w:footnote w:id="18">
    <w:p w14:paraId="51C39258" w14:textId="77777777" w:rsidR="00D608D7" w:rsidRPr="00460741" w:rsidRDefault="00D608D7">
      <w:pPr>
        <w:pStyle w:val="FootnoteText"/>
        <w:rPr>
          <w:lang w:val="en-US"/>
        </w:rPr>
      </w:pPr>
      <w:r>
        <w:rPr>
          <w:rStyle w:val="FootnoteReference"/>
        </w:rPr>
        <w:footnoteRef/>
      </w:r>
      <w:r>
        <w:t xml:space="preserve"> </w:t>
      </w:r>
      <w:r w:rsidR="006126F3">
        <w:rPr>
          <w:lang w:val="en-US"/>
        </w:rPr>
        <w:t>GMO Regul</w:t>
      </w:r>
      <w:r>
        <w:rPr>
          <w:lang w:val="en-US"/>
        </w:rPr>
        <w:t>ation 9 (5)(1).</w:t>
      </w:r>
    </w:p>
  </w:footnote>
  <w:footnote w:id="19">
    <w:p w14:paraId="56D20F50" w14:textId="77777777" w:rsidR="00D608D7" w:rsidRPr="00DA2E6B" w:rsidRDefault="00D608D7">
      <w:pPr>
        <w:pStyle w:val="FootnoteText"/>
        <w:rPr>
          <w:lang w:val="en-US"/>
        </w:rPr>
      </w:pPr>
      <w:r>
        <w:rPr>
          <w:rStyle w:val="FootnoteReference"/>
        </w:rPr>
        <w:footnoteRef/>
      </w:r>
      <w:r>
        <w:t xml:space="preserve"> </w:t>
      </w:r>
      <w:r>
        <w:rPr>
          <w:lang w:val="en-US"/>
        </w:rPr>
        <w:t>GMO Regulation 9 (6).</w:t>
      </w:r>
    </w:p>
  </w:footnote>
  <w:footnote w:id="20">
    <w:p w14:paraId="53A245A1" w14:textId="77777777" w:rsidR="00D608D7" w:rsidRPr="00B82B15" w:rsidRDefault="00D608D7">
      <w:pPr>
        <w:pStyle w:val="FootnoteText"/>
        <w:rPr>
          <w:lang w:val="en-US"/>
        </w:rPr>
      </w:pPr>
      <w:r>
        <w:rPr>
          <w:rStyle w:val="FootnoteReference"/>
        </w:rPr>
        <w:footnoteRef/>
      </w:r>
      <w:r>
        <w:t xml:space="preserve"> </w:t>
      </w:r>
      <w:r>
        <w:rPr>
          <w:lang w:val="en-US"/>
        </w:rPr>
        <w:t>GMO Regulation 11, Wings P</w:t>
      </w:r>
      <w:r w:rsidR="003C59D4">
        <w:rPr>
          <w:lang w:val="en-US"/>
        </w:rPr>
        <w:t>a</w:t>
      </w:r>
      <w:r>
        <w:rPr>
          <w:lang w:val="en-US"/>
        </w:rPr>
        <w:t>rk Port Elizabeth (Pty) Ltd v MEC for Environmental Affairs, Eastern 2019 (2) SA 606 (ECG) at para 29.</w:t>
      </w:r>
    </w:p>
  </w:footnote>
  <w:footnote w:id="21">
    <w:p w14:paraId="13561BF7" w14:textId="77777777" w:rsidR="00D608D7" w:rsidRPr="00560FEB" w:rsidRDefault="00D608D7">
      <w:pPr>
        <w:pStyle w:val="FootnoteText"/>
        <w:rPr>
          <w:lang w:val="en-US"/>
        </w:rPr>
      </w:pPr>
      <w:r>
        <w:rPr>
          <w:rStyle w:val="FootnoteReference"/>
        </w:rPr>
        <w:footnoteRef/>
      </w:r>
      <w:r>
        <w:t xml:space="preserve"> </w:t>
      </w:r>
      <w:r>
        <w:rPr>
          <w:lang w:val="en-US"/>
        </w:rPr>
        <w:t>2010 (4) SA 327 at para 63.</w:t>
      </w:r>
    </w:p>
  </w:footnote>
  <w:footnote w:id="22">
    <w:p w14:paraId="697B8A7A" w14:textId="77777777" w:rsidR="00D608D7" w:rsidRPr="00F33F4E" w:rsidRDefault="00D608D7">
      <w:pPr>
        <w:pStyle w:val="FootnoteText"/>
        <w:rPr>
          <w:lang w:val="en-US"/>
        </w:rPr>
      </w:pPr>
      <w:r>
        <w:rPr>
          <w:rStyle w:val="FootnoteReference"/>
        </w:rPr>
        <w:footnoteRef/>
      </w:r>
      <w:r>
        <w:t xml:space="preserve"> </w:t>
      </w:r>
      <w:r>
        <w:rPr>
          <w:lang w:val="en-US"/>
        </w:rPr>
        <w:t>Minister of Environmental Affairs and Tourism and Others v Phambili Fisheries (Pty) Ltd; Minster of Environmental Affairs and Tourism and Others v Bato Star Fishing (Pty) Ltd 2003 (6) 407 (SCA)</w:t>
      </w:r>
      <w:r w:rsidR="00187D99">
        <w:rPr>
          <w:lang w:val="en-US"/>
        </w:rPr>
        <w:t>.</w:t>
      </w:r>
      <w:r w:rsidR="00256342">
        <w:rPr>
          <w:lang w:val="en-US"/>
        </w:rPr>
        <w:t xml:space="preserve"> </w:t>
      </w:r>
      <w:r w:rsidR="00187D99">
        <w:rPr>
          <w:lang w:val="en-US"/>
        </w:rPr>
        <w:t>(Phambili Fisheries</w:t>
      </w:r>
      <w:r w:rsidR="007C0CBB">
        <w:rPr>
          <w:lang w:val="en-US"/>
        </w:rPr>
        <w:t>)</w:t>
      </w:r>
      <w:r>
        <w:rPr>
          <w:lang w:val="en-US"/>
        </w:rPr>
        <w:t xml:space="preserve">   </w:t>
      </w:r>
    </w:p>
  </w:footnote>
  <w:footnote w:id="23">
    <w:p w14:paraId="437C498E" w14:textId="77777777" w:rsidR="00D608D7" w:rsidRPr="00D85B68" w:rsidRDefault="00D608D7">
      <w:pPr>
        <w:pStyle w:val="FootnoteText"/>
        <w:rPr>
          <w:lang w:val="en-US"/>
        </w:rPr>
      </w:pPr>
      <w:r>
        <w:rPr>
          <w:rStyle w:val="FootnoteReference"/>
        </w:rPr>
        <w:footnoteRef/>
      </w:r>
      <w:r>
        <w:t xml:space="preserve"> </w:t>
      </w:r>
      <w:r>
        <w:rPr>
          <w:lang w:val="en-US"/>
        </w:rPr>
        <w:t xml:space="preserve">Ibid a para 40, See also </w:t>
      </w:r>
      <w:r w:rsidR="00D055CB">
        <w:rPr>
          <w:lang w:val="en-US"/>
        </w:rPr>
        <w:t>Co</w:t>
      </w:r>
      <w:r>
        <w:rPr>
          <w:lang w:val="en-US"/>
        </w:rPr>
        <w:t>mmissioner of Revenue Services v Sprigg Investment 117 CC t/a Global Investment 2011 (4) SA (SCA) at para 11-14</w:t>
      </w:r>
      <w:r w:rsidR="00FF6FEF">
        <w:rPr>
          <w:lang w:val="en-US"/>
        </w:rPr>
        <w:t>(Sprigg</w:t>
      </w:r>
      <w:r w:rsidR="006642F8">
        <w:rPr>
          <w:lang w:val="en-US"/>
        </w:rPr>
        <w:t xml:space="preserve"> Investments)</w:t>
      </w:r>
    </w:p>
  </w:footnote>
  <w:footnote w:id="24">
    <w:p w14:paraId="121EA142" w14:textId="77777777" w:rsidR="006126F3" w:rsidRPr="006126F3" w:rsidRDefault="006126F3">
      <w:pPr>
        <w:pStyle w:val="FootnoteText"/>
        <w:rPr>
          <w:lang w:val="en-US"/>
        </w:rPr>
      </w:pPr>
      <w:r>
        <w:rPr>
          <w:rStyle w:val="FootnoteReference"/>
        </w:rPr>
        <w:footnoteRef/>
      </w:r>
      <w:r>
        <w:t xml:space="preserve"> </w:t>
      </w:r>
      <w:r>
        <w:rPr>
          <w:lang w:val="en-US"/>
        </w:rPr>
        <w:t>GMO Regulation 9 (5)(1).</w:t>
      </w:r>
    </w:p>
  </w:footnote>
  <w:footnote w:id="25">
    <w:p w14:paraId="3C1D1E32" w14:textId="77777777" w:rsidR="006126F3" w:rsidRPr="006126F3" w:rsidRDefault="006126F3">
      <w:pPr>
        <w:pStyle w:val="FootnoteText"/>
        <w:rPr>
          <w:lang w:val="en-US"/>
        </w:rPr>
      </w:pPr>
      <w:r>
        <w:rPr>
          <w:rStyle w:val="FootnoteReference"/>
        </w:rPr>
        <w:footnoteRef/>
      </w:r>
      <w:r>
        <w:t xml:space="preserve"> Sprigg Investments at para 14.</w:t>
      </w:r>
    </w:p>
  </w:footnote>
  <w:footnote w:id="26">
    <w:p w14:paraId="441C2700" w14:textId="77777777" w:rsidR="00D608D7" w:rsidRPr="008520C8" w:rsidRDefault="00D608D7">
      <w:pPr>
        <w:pStyle w:val="FootnoteText"/>
        <w:rPr>
          <w:lang w:val="en-US"/>
        </w:rPr>
      </w:pPr>
      <w:r>
        <w:rPr>
          <w:rStyle w:val="FootnoteReference"/>
        </w:rPr>
        <w:footnoteRef/>
      </w:r>
      <w:r>
        <w:t xml:space="preserve"> </w:t>
      </w:r>
      <w:r>
        <w:rPr>
          <w:lang w:val="en-US"/>
        </w:rPr>
        <w:t>2005 (6) SA 182 (Scenematic) at para 20.</w:t>
      </w:r>
    </w:p>
  </w:footnote>
  <w:footnote w:id="27">
    <w:p w14:paraId="071105BE" w14:textId="77777777" w:rsidR="00D608D7" w:rsidRPr="00AB7CBD" w:rsidRDefault="00D608D7">
      <w:pPr>
        <w:pStyle w:val="FootnoteText"/>
        <w:rPr>
          <w:lang w:val="en-US"/>
        </w:rPr>
      </w:pPr>
      <w:r>
        <w:rPr>
          <w:rStyle w:val="FootnoteReference"/>
        </w:rPr>
        <w:footnoteRef/>
      </w:r>
      <w:r>
        <w:t xml:space="preserve"> </w:t>
      </w:r>
      <w:r>
        <w:rPr>
          <w:lang w:val="en-US"/>
        </w:rPr>
        <w:t>2008 (1) SA 232 (T).</w:t>
      </w:r>
    </w:p>
  </w:footnote>
  <w:footnote w:id="28">
    <w:p w14:paraId="3315FC3A" w14:textId="77777777" w:rsidR="00F36AA3" w:rsidRPr="00F36AA3" w:rsidRDefault="00F36AA3">
      <w:pPr>
        <w:pStyle w:val="FootnoteText"/>
        <w:rPr>
          <w:lang w:val="en-US"/>
        </w:rPr>
      </w:pPr>
      <w:r>
        <w:rPr>
          <w:rStyle w:val="FootnoteReference"/>
        </w:rPr>
        <w:footnoteRef/>
      </w:r>
      <w:r>
        <w:t xml:space="preserve"> </w:t>
      </w:r>
      <w:r w:rsidR="00F63A48" w:rsidRPr="00F36AA3">
        <w:t>Price Waterhouse</w:t>
      </w:r>
      <w:r w:rsidRPr="00F36AA3">
        <w:t xml:space="preserve"> Coopers </w:t>
      </w:r>
      <w:r w:rsidR="00371F48" w:rsidRPr="00F36AA3">
        <w:t>Inc.</w:t>
      </w:r>
      <w:r w:rsidRPr="00F36AA3">
        <w:t xml:space="preserve"> </w:t>
      </w:r>
      <w:r w:rsidR="00371F48">
        <w:t xml:space="preserve">v </w:t>
      </w:r>
      <w:r w:rsidRPr="00F36AA3">
        <w:t>National Potato Co-Oper</w:t>
      </w:r>
      <w:r>
        <w:t xml:space="preserve">ative.Ltd.2015 JDR 0371 (SCA) at para </w:t>
      </w:r>
      <w:r w:rsidRPr="00F36AA3">
        <w:t>113</w:t>
      </w:r>
      <w:r>
        <w:t>.</w:t>
      </w:r>
    </w:p>
  </w:footnote>
  <w:footnote w:id="29">
    <w:p w14:paraId="6D7A0B5E" w14:textId="77777777" w:rsidR="00F24154" w:rsidRPr="00F24154" w:rsidRDefault="00F24154">
      <w:pPr>
        <w:pStyle w:val="FootnoteText"/>
        <w:rPr>
          <w:lang w:val="en-US"/>
        </w:rPr>
      </w:pPr>
      <w:r>
        <w:rPr>
          <w:rStyle w:val="FootnoteReference"/>
        </w:rPr>
        <w:footnoteRef/>
      </w:r>
      <w:r>
        <w:t xml:space="preserve"> </w:t>
      </w:r>
      <w:r>
        <w:rPr>
          <w:lang w:val="en-US"/>
        </w:rPr>
        <w:t>Trinity Broadcasting (Ciskei) v Independent Communications Authority of South Africa 2004 (3) SA 346 at paras 20-21.</w:t>
      </w:r>
    </w:p>
  </w:footnote>
  <w:footnote w:id="30">
    <w:p w14:paraId="7E130E3B" w14:textId="77777777" w:rsidR="00403B0F" w:rsidRPr="00403B0F" w:rsidRDefault="00403B0F">
      <w:pPr>
        <w:pStyle w:val="FootnoteText"/>
        <w:rPr>
          <w:lang w:val="en-US"/>
        </w:rPr>
      </w:pPr>
      <w:r>
        <w:rPr>
          <w:rStyle w:val="FootnoteReference"/>
        </w:rPr>
        <w:footnoteRef/>
      </w:r>
      <w:r>
        <w:t xml:space="preserve"> </w:t>
      </w:r>
      <w:r w:rsidRPr="00403B0F">
        <w:t>Biowatch Trust v Registrar,</w:t>
      </w:r>
      <w:r w:rsidR="00B80466">
        <w:t xml:space="preserve"> </w:t>
      </w:r>
      <w:r w:rsidRPr="00403B0F">
        <w:t>Genetic Resources 2009</w:t>
      </w:r>
      <w:r w:rsidR="00B80466">
        <w:t xml:space="preserve"> </w:t>
      </w:r>
      <w:r w:rsidRPr="00403B0F">
        <w:t>(6) SA 232</w:t>
      </w:r>
      <w:r w:rsidR="00B80466">
        <w:t xml:space="preserve"> (CC</w:t>
      </w:r>
      <w:r w:rsidRPr="00403B0F">
        <w:t>)</w:t>
      </w:r>
      <w:r w:rsidR="00B8046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17A12959"/>
    <w:multiLevelType w:val="multilevel"/>
    <w:tmpl w:val="1278FBB4"/>
    <w:lvl w:ilvl="0">
      <w:start w:val="1"/>
      <w:numFmt w:val="decimal"/>
      <w:lvlText w:val="%1."/>
      <w:lvlJc w:val="left"/>
      <w:pPr>
        <w:ind w:left="720" w:hanging="360"/>
      </w:pPr>
      <w:rPr>
        <w:rFonts w:ascii="Arial" w:hAnsi="Arial" w:cs="Arial" w:hint="default"/>
        <w:color w:val="000000" w:themeColor="text1"/>
        <w:sz w:val="24"/>
        <w:szCs w:val="24"/>
        <w:u w:val="none"/>
      </w:rPr>
    </w:lvl>
    <w:lvl w:ilvl="1">
      <w:start w:val="1"/>
      <w:numFmt w:val="decimal"/>
      <w:isLgl/>
      <w:lvlText w:val="%1.%2"/>
      <w:lvlJc w:val="left"/>
      <w:pPr>
        <w:ind w:left="1250" w:hanging="5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22DC7C12"/>
    <w:multiLevelType w:val="hybridMultilevel"/>
    <w:tmpl w:val="83F4D1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03C10"/>
    <w:multiLevelType w:val="hybridMultilevel"/>
    <w:tmpl w:val="59D819C8"/>
    <w:lvl w:ilvl="0" w:tplc="D5D028A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078A7"/>
    <w:multiLevelType w:val="hybridMultilevel"/>
    <w:tmpl w:val="C96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552D1"/>
    <w:multiLevelType w:val="hybridMultilevel"/>
    <w:tmpl w:val="E85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054ED"/>
    <w:multiLevelType w:val="hybridMultilevel"/>
    <w:tmpl w:val="7DA4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57EB5"/>
    <w:multiLevelType w:val="multilevel"/>
    <w:tmpl w:val="89D65D32"/>
    <w:lvl w:ilvl="0">
      <w:start w:val="16"/>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1A39A4"/>
    <w:multiLevelType w:val="hybridMultilevel"/>
    <w:tmpl w:val="794CDBF6"/>
    <w:lvl w:ilvl="0" w:tplc="E0BAF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F7"/>
    <w:rsid w:val="00000873"/>
    <w:rsid w:val="000014FC"/>
    <w:rsid w:val="00011697"/>
    <w:rsid w:val="00016A01"/>
    <w:rsid w:val="00020203"/>
    <w:rsid w:val="00022BF9"/>
    <w:rsid w:val="00022DAB"/>
    <w:rsid w:val="00031C0C"/>
    <w:rsid w:val="0003658E"/>
    <w:rsid w:val="000367C4"/>
    <w:rsid w:val="000376D0"/>
    <w:rsid w:val="00040681"/>
    <w:rsid w:val="00041034"/>
    <w:rsid w:val="00044577"/>
    <w:rsid w:val="000511E3"/>
    <w:rsid w:val="00052BE3"/>
    <w:rsid w:val="000543FD"/>
    <w:rsid w:val="00060393"/>
    <w:rsid w:val="00066AE6"/>
    <w:rsid w:val="00073FC0"/>
    <w:rsid w:val="00074E9C"/>
    <w:rsid w:val="000774F4"/>
    <w:rsid w:val="00077B5B"/>
    <w:rsid w:val="000817AD"/>
    <w:rsid w:val="00083ED1"/>
    <w:rsid w:val="000853EA"/>
    <w:rsid w:val="00087DFB"/>
    <w:rsid w:val="00087FFB"/>
    <w:rsid w:val="0009104F"/>
    <w:rsid w:val="000914F4"/>
    <w:rsid w:val="00092817"/>
    <w:rsid w:val="00092CBD"/>
    <w:rsid w:val="00093D2C"/>
    <w:rsid w:val="00095D78"/>
    <w:rsid w:val="000A0A73"/>
    <w:rsid w:val="000A4C79"/>
    <w:rsid w:val="000A5760"/>
    <w:rsid w:val="000A6C94"/>
    <w:rsid w:val="000B05CD"/>
    <w:rsid w:val="000B2D97"/>
    <w:rsid w:val="000B52E2"/>
    <w:rsid w:val="000B6122"/>
    <w:rsid w:val="000B6428"/>
    <w:rsid w:val="000B6C24"/>
    <w:rsid w:val="000C239D"/>
    <w:rsid w:val="000C46F0"/>
    <w:rsid w:val="000C4BD0"/>
    <w:rsid w:val="000C5AB0"/>
    <w:rsid w:val="000D03C1"/>
    <w:rsid w:val="000D1235"/>
    <w:rsid w:val="000D3C1F"/>
    <w:rsid w:val="000D6D1E"/>
    <w:rsid w:val="000D6EF4"/>
    <w:rsid w:val="000D741E"/>
    <w:rsid w:val="000E0431"/>
    <w:rsid w:val="000E32C1"/>
    <w:rsid w:val="000E459C"/>
    <w:rsid w:val="000E4816"/>
    <w:rsid w:val="000E6DBB"/>
    <w:rsid w:val="000E73CD"/>
    <w:rsid w:val="000F013B"/>
    <w:rsid w:val="000F52B4"/>
    <w:rsid w:val="000F560F"/>
    <w:rsid w:val="000F5FFE"/>
    <w:rsid w:val="00102BA6"/>
    <w:rsid w:val="00102BE7"/>
    <w:rsid w:val="001031CE"/>
    <w:rsid w:val="00103A60"/>
    <w:rsid w:val="00112495"/>
    <w:rsid w:val="001178C8"/>
    <w:rsid w:val="0012042D"/>
    <w:rsid w:val="00120A08"/>
    <w:rsid w:val="0012229E"/>
    <w:rsid w:val="001235AB"/>
    <w:rsid w:val="00124146"/>
    <w:rsid w:val="0013140D"/>
    <w:rsid w:val="00131B32"/>
    <w:rsid w:val="00134F81"/>
    <w:rsid w:val="001357BC"/>
    <w:rsid w:val="001357EB"/>
    <w:rsid w:val="00135E1C"/>
    <w:rsid w:val="00136795"/>
    <w:rsid w:val="00136F10"/>
    <w:rsid w:val="0014435A"/>
    <w:rsid w:val="00144B80"/>
    <w:rsid w:val="001450F5"/>
    <w:rsid w:val="00146E98"/>
    <w:rsid w:val="0015090E"/>
    <w:rsid w:val="001511D2"/>
    <w:rsid w:val="001521C7"/>
    <w:rsid w:val="001542C6"/>
    <w:rsid w:val="00156CDE"/>
    <w:rsid w:val="00157696"/>
    <w:rsid w:val="001607BF"/>
    <w:rsid w:val="00160E4D"/>
    <w:rsid w:val="001630B5"/>
    <w:rsid w:val="00164E57"/>
    <w:rsid w:val="001652A0"/>
    <w:rsid w:val="0016633F"/>
    <w:rsid w:val="00167AC8"/>
    <w:rsid w:val="00172F7D"/>
    <w:rsid w:val="00174E84"/>
    <w:rsid w:val="00176203"/>
    <w:rsid w:val="00181AB2"/>
    <w:rsid w:val="00185D09"/>
    <w:rsid w:val="00187D99"/>
    <w:rsid w:val="001903BA"/>
    <w:rsid w:val="00190AB5"/>
    <w:rsid w:val="00191068"/>
    <w:rsid w:val="00192AE9"/>
    <w:rsid w:val="00192B55"/>
    <w:rsid w:val="001957B4"/>
    <w:rsid w:val="00195DAE"/>
    <w:rsid w:val="001A47BD"/>
    <w:rsid w:val="001A582A"/>
    <w:rsid w:val="001A5C4D"/>
    <w:rsid w:val="001B3329"/>
    <w:rsid w:val="001B5153"/>
    <w:rsid w:val="001B5FB1"/>
    <w:rsid w:val="001B70EC"/>
    <w:rsid w:val="001B7868"/>
    <w:rsid w:val="001B7FD7"/>
    <w:rsid w:val="001C0265"/>
    <w:rsid w:val="001C0659"/>
    <w:rsid w:val="001C25AB"/>
    <w:rsid w:val="001C3570"/>
    <w:rsid w:val="001C4B51"/>
    <w:rsid w:val="001C6C38"/>
    <w:rsid w:val="001C7A32"/>
    <w:rsid w:val="001D3340"/>
    <w:rsid w:val="001D33AF"/>
    <w:rsid w:val="001D4E74"/>
    <w:rsid w:val="001D5FCE"/>
    <w:rsid w:val="001D7D3F"/>
    <w:rsid w:val="001E0249"/>
    <w:rsid w:val="001E34EF"/>
    <w:rsid w:val="001E3BD1"/>
    <w:rsid w:val="001E4C62"/>
    <w:rsid w:val="001E5800"/>
    <w:rsid w:val="001E725F"/>
    <w:rsid w:val="001E737D"/>
    <w:rsid w:val="001F234D"/>
    <w:rsid w:val="001F2A91"/>
    <w:rsid w:val="001F2AB6"/>
    <w:rsid w:val="001F2F82"/>
    <w:rsid w:val="00202497"/>
    <w:rsid w:val="00203BA3"/>
    <w:rsid w:val="00205D29"/>
    <w:rsid w:val="00205D76"/>
    <w:rsid w:val="002063F7"/>
    <w:rsid w:val="00206CA7"/>
    <w:rsid w:val="00210971"/>
    <w:rsid w:val="002128D7"/>
    <w:rsid w:val="00212E4A"/>
    <w:rsid w:val="002147E4"/>
    <w:rsid w:val="00221140"/>
    <w:rsid w:val="00223365"/>
    <w:rsid w:val="002311E9"/>
    <w:rsid w:val="00232F2B"/>
    <w:rsid w:val="002342E0"/>
    <w:rsid w:val="00234825"/>
    <w:rsid w:val="00236359"/>
    <w:rsid w:val="00242B22"/>
    <w:rsid w:val="0024596A"/>
    <w:rsid w:val="00247F8E"/>
    <w:rsid w:val="0025186A"/>
    <w:rsid w:val="00254C98"/>
    <w:rsid w:val="002560FE"/>
    <w:rsid w:val="00256342"/>
    <w:rsid w:val="00260A09"/>
    <w:rsid w:val="00264E97"/>
    <w:rsid w:val="00270C6E"/>
    <w:rsid w:val="00272C38"/>
    <w:rsid w:val="0027739F"/>
    <w:rsid w:val="00280808"/>
    <w:rsid w:val="00281E16"/>
    <w:rsid w:val="002864B7"/>
    <w:rsid w:val="002915FD"/>
    <w:rsid w:val="002943D9"/>
    <w:rsid w:val="00297474"/>
    <w:rsid w:val="00297623"/>
    <w:rsid w:val="002A1A7E"/>
    <w:rsid w:val="002B056C"/>
    <w:rsid w:val="002B29C1"/>
    <w:rsid w:val="002B48DC"/>
    <w:rsid w:val="002B615C"/>
    <w:rsid w:val="002B79B2"/>
    <w:rsid w:val="002C0429"/>
    <w:rsid w:val="002C21B8"/>
    <w:rsid w:val="002C42DC"/>
    <w:rsid w:val="002C4EC4"/>
    <w:rsid w:val="002D1B31"/>
    <w:rsid w:val="002D1E76"/>
    <w:rsid w:val="002D211B"/>
    <w:rsid w:val="002D3A4E"/>
    <w:rsid w:val="002D4C55"/>
    <w:rsid w:val="002D76F3"/>
    <w:rsid w:val="002D785E"/>
    <w:rsid w:val="002E5631"/>
    <w:rsid w:val="002E7EBB"/>
    <w:rsid w:val="002F22A2"/>
    <w:rsid w:val="002F471A"/>
    <w:rsid w:val="002F758E"/>
    <w:rsid w:val="00303171"/>
    <w:rsid w:val="003033B8"/>
    <w:rsid w:val="0030351B"/>
    <w:rsid w:val="00310F63"/>
    <w:rsid w:val="00311EA2"/>
    <w:rsid w:val="00313B07"/>
    <w:rsid w:val="00315250"/>
    <w:rsid w:val="0031590A"/>
    <w:rsid w:val="003168E4"/>
    <w:rsid w:val="00316ABA"/>
    <w:rsid w:val="003215D3"/>
    <w:rsid w:val="003234A6"/>
    <w:rsid w:val="003237EE"/>
    <w:rsid w:val="003239B1"/>
    <w:rsid w:val="00324818"/>
    <w:rsid w:val="003271A7"/>
    <w:rsid w:val="003302DA"/>
    <w:rsid w:val="00331F07"/>
    <w:rsid w:val="003320D3"/>
    <w:rsid w:val="00333A99"/>
    <w:rsid w:val="00333E8B"/>
    <w:rsid w:val="00342D94"/>
    <w:rsid w:val="0034718F"/>
    <w:rsid w:val="003524FD"/>
    <w:rsid w:val="00353C3D"/>
    <w:rsid w:val="00354055"/>
    <w:rsid w:val="00356BD2"/>
    <w:rsid w:val="00356DEB"/>
    <w:rsid w:val="00356F67"/>
    <w:rsid w:val="003572E8"/>
    <w:rsid w:val="00360194"/>
    <w:rsid w:val="003625B7"/>
    <w:rsid w:val="00363B09"/>
    <w:rsid w:val="00366533"/>
    <w:rsid w:val="00366582"/>
    <w:rsid w:val="00371F48"/>
    <w:rsid w:val="00372961"/>
    <w:rsid w:val="00372BF8"/>
    <w:rsid w:val="00372C62"/>
    <w:rsid w:val="00373B7E"/>
    <w:rsid w:val="00381172"/>
    <w:rsid w:val="00381425"/>
    <w:rsid w:val="00385294"/>
    <w:rsid w:val="00387255"/>
    <w:rsid w:val="003926C4"/>
    <w:rsid w:val="00395713"/>
    <w:rsid w:val="003962E5"/>
    <w:rsid w:val="003A111C"/>
    <w:rsid w:val="003A1B76"/>
    <w:rsid w:val="003A2475"/>
    <w:rsid w:val="003A48E7"/>
    <w:rsid w:val="003B1EE0"/>
    <w:rsid w:val="003B247D"/>
    <w:rsid w:val="003B2CBA"/>
    <w:rsid w:val="003B517F"/>
    <w:rsid w:val="003C09C1"/>
    <w:rsid w:val="003C0C26"/>
    <w:rsid w:val="003C1377"/>
    <w:rsid w:val="003C2992"/>
    <w:rsid w:val="003C3779"/>
    <w:rsid w:val="003C4D37"/>
    <w:rsid w:val="003C59D4"/>
    <w:rsid w:val="003C6926"/>
    <w:rsid w:val="003D0B57"/>
    <w:rsid w:val="003D228A"/>
    <w:rsid w:val="003D26D0"/>
    <w:rsid w:val="003D47FE"/>
    <w:rsid w:val="003D4C07"/>
    <w:rsid w:val="003D5D49"/>
    <w:rsid w:val="003D61BD"/>
    <w:rsid w:val="003E2AA0"/>
    <w:rsid w:val="003E2CE7"/>
    <w:rsid w:val="003E69B4"/>
    <w:rsid w:val="003E7443"/>
    <w:rsid w:val="003E7FC7"/>
    <w:rsid w:val="003F04D2"/>
    <w:rsid w:val="003F1AEC"/>
    <w:rsid w:val="003F5956"/>
    <w:rsid w:val="003F6087"/>
    <w:rsid w:val="003F6BB8"/>
    <w:rsid w:val="003F7D0D"/>
    <w:rsid w:val="004018F9"/>
    <w:rsid w:val="00401DA8"/>
    <w:rsid w:val="00402225"/>
    <w:rsid w:val="00402A3B"/>
    <w:rsid w:val="00403B0F"/>
    <w:rsid w:val="004056E0"/>
    <w:rsid w:val="0041151F"/>
    <w:rsid w:val="004128FC"/>
    <w:rsid w:val="00413523"/>
    <w:rsid w:val="00415230"/>
    <w:rsid w:val="004158B9"/>
    <w:rsid w:val="00416DFA"/>
    <w:rsid w:val="00416E48"/>
    <w:rsid w:val="0041751D"/>
    <w:rsid w:val="0042171C"/>
    <w:rsid w:val="004228BC"/>
    <w:rsid w:val="004229AD"/>
    <w:rsid w:val="00425F80"/>
    <w:rsid w:val="0042601A"/>
    <w:rsid w:val="00430873"/>
    <w:rsid w:val="00432295"/>
    <w:rsid w:val="0043269F"/>
    <w:rsid w:val="004336E7"/>
    <w:rsid w:val="00436CE0"/>
    <w:rsid w:val="00446DA7"/>
    <w:rsid w:val="0045108E"/>
    <w:rsid w:val="004514CF"/>
    <w:rsid w:val="004517A8"/>
    <w:rsid w:val="00457A73"/>
    <w:rsid w:val="00460741"/>
    <w:rsid w:val="00460875"/>
    <w:rsid w:val="0046473F"/>
    <w:rsid w:val="004708A5"/>
    <w:rsid w:val="00472F70"/>
    <w:rsid w:val="004738F8"/>
    <w:rsid w:val="004739E6"/>
    <w:rsid w:val="00473AF9"/>
    <w:rsid w:val="00474716"/>
    <w:rsid w:val="00474828"/>
    <w:rsid w:val="004762E5"/>
    <w:rsid w:val="0047677C"/>
    <w:rsid w:val="004819BE"/>
    <w:rsid w:val="00483CCF"/>
    <w:rsid w:val="0048696B"/>
    <w:rsid w:val="00490625"/>
    <w:rsid w:val="00491B8B"/>
    <w:rsid w:val="00493B67"/>
    <w:rsid w:val="004945F8"/>
    <w:rsid w:val="00494FBF"/>
    <w:rsid w:val="004A1914"/>
    <w:rsid w:val="004A679F"/>
    <w:rsid w:val="004B0623"/>
    <w:rsid w:val="004B0AA5"/>
    <w:rsid w:val="004B3A7B"/>
    <w:rsid w:val="004B6B8C"/>
    <w:rsid w:val="004B7A72"/>
    <w:rsid w:val="004C0EED"/>
    <w:rsid w:val="004C1C59"/>
    <w:rsid w:val="004C261D"/>
    <w:rsid w:val="004C2A3F"/>
    <w:rsid w:val="004C482A"/>
    <w:rsid w:val="004D08AA"/>
    <w:rsid w:val="004D627F"/>
    <w:rsid w:val="004D652A"/>
    <w:rsid w:val="004E1B1C"/>
    <w:rsid w:val="004E2003"/>
    <w:rsid w:val="004E608B"/>
    <w:rsid w:val="004E6BB2"/>
    <w:rsid w:val="004E78B4"/>
    <w:rsid w:val="004F0564"/>
    <w:rsid w:val="004F072E"/>
    <w:rsid w:val="004F1180"/>
    <w:rsid w:val="004F1E29"/>
    <w:rsid w:val="004F24E4"/>
    <w:rsid w:val="004F2619"/>
    <w:rsid w:val="004F4433"/>
    <w:rsid w:val="004F52B5"/>
    <w:rsid w:val="004F57F2"/>
    <w:rsid w:val="004F7013"/>
    <w:rsid w:val="00501636"/>
    <w:rsid w:val="00501DDF"/>
    <w:rsid w:val="00503417"/>
    <w:rsid w:val="00503BE1"/>
    <w:rsid w:val="00506170"/>
    <w:rsid w:val="00507E55"/>
    <w:rsid w:val="00512AA1"/>
    <w:rsid w:val="00513D82"/>
    <w:rsid w:val="00513ED8"/>
    <w:rsid w:val="00516BBB"/>
    <w:rsid w:val="00517D70"/>
    <w:rsid w:val="0052425F"/>
    <w:rsid w:val="005265D8"/>
    <w:rsid w:val="00526990"/>
    <w:rsid w:val="00526FBA"/>
    <w:rsid w:val="00530A4A"/>
    <w:rsid w:val="0053158C"/>
    <w:rsid w:val="00531F60"/>
    <w:rsid w:val="00537C43"/>
    <w:rsid w:val="00541F91"/>
    <w:rsid w:val="00550BA6"/>
    <w:rsid w:val="00552982"/>
    <w:rsid w:val="00554AED"/>
    <w:rsid w:val="005553D7"/>
    <w:rsid w:val="00560FEB"/>
    <w:rsid w:val="00561851"/>
    <w:rsid w:val="00564F48"/>
    <w:rsid w:val="00566475"/>
    <w:rsid w:val="00572701"/>
    <w:rsid w:val="00580EC1"/>
    <w:rsid w:val="00585B3C"/>
    <w:rsid w:val="005902B5"/>
    <w:rsid w:val="00591618"/>
    <w:rsid w:val="0059416B"/>
    <w:rsid w:val="0059724C"/>
    <w:rsid w:val="00597DEE"/>
    <w:rsid w:val="005A1117"/>
    <w:rsid w:val="005A1E65"/>
    <w:rsid w:val="005A5A1A"/>
    <w:rsid w:val="005A5FD6"/>
    <w:rsid w:val="005A65E6"/>
    <w:rsid w:val="005B12EB"/>
    <w:rsid w:val="005B408E"/>
    <w:rsid w:val="005C05D7"/>
    <w:rsid w:val="005C0702"/>
    <w:rsid w:val="005C7703"/>
    <w:rsid w:val="005D2D77"/>
    <w:rsid w:val="005D402B"/>
    <w:rsid w:val="005D408E"/>
    <w:rsid w:val="005D4962"/>
    <w:rsid w:val="005D6A1E"/>
    <w:rsid w:val="005E1F48"/>
    <w:rsid w:val="005E23B9"/>
    <w:rsid w:val="005E3736"/>
    <w:rsid w:val="005E4773"/>
    <w:rsid w:val="005E4D2E"/>
    <w:rsid w:val="005E5808"/>
    <w:rsid w:val="005E5D31"/>
    <w:rsid w:val="005E6C7A"/>
    <w:rsid w:val="005F10E3"/>
    <w:rsid w:val="005F4867"/>
    <w:rsid w:val="005F4A2C"/>
    <w:rsid w:val="005F59AD"/>
    <w:rsid w:val="005F5D59"/>
    <w:rsid w:val="005F7AF8"/>
    <w:rsid w:val="0060105C"/>
    <w:rsid w:val="0060237F"/>
    <w:rsid w:val="00606CA5"/>
    <w:rsid w:val="0060769D"/>
    <w:rsid w:val="006100C1"/>
    <w:rsid w:val="006108FC"/>
    <w:rsid w:val="00611945"/>
    <w:rsid w:val="006126F3"/>
    <w:rsid w:val="00614D2C"/>
    <w:rsid w:val="00615749"/>
    <w:rsid w:val="006219B0"/>
    <w:rsid w:val="00623316"/>
    <w:rsid w:val="00626589"/>
    <w:rsid w:val="006303EB"/>
    <w:rsid w:val="00631130"/>
    <w:rsid w:val="00632870"/>
    <w:rsid w:val="00633E56"/>
    <w:rsid w:val="0063506E"/>
    <w:rsid w:val="00635081"/>
    <w:rsid w:val="00635700"/>
    <w:rsid w:val="00635C44"/>
    <w:rsid w:val="00642AA0"/>
    <w:rsid w:val="006431E0"/>
    <w:rsid w:val="00645054"/>
    <w:rsid w:val="006453FF"/>
    <w:rsid w:val="00652C45"/>
    <w:rsid w:val="006547DA"/>
    <w:rsid w:val="00654ACB"/>
    <w:rsid w:val="006609A6"/>
    <w:rsid w:val="00660C91"/>
    <w:rsid w:val="00661CD2"/>
    <w:rsid w:val="006642F8"/>
    <w:rsid w:val="00664421"/>
    <w:rsid w:val="00665D64"/>
    <w:rsid w:val="006665AB"/>
    <w:rsid w:val="0066674B"/>
    <w:rsid w:val="00667066"/>
    <w:rsid w:val="00667AE0"/>
    <w:rsid w:val="00672520"/>
    <w:rsid w:val="00674122"/>
    <w:rsid w:val="0067591D"/>
    <w:rsid w:val="006776ED"/>
    <w:rsid w:val="00682725"/>
    <w:rsid w:val="006855D4"/>
    <w:rsid w:val="00686F70"/>
    <w:rsid w:val="00687D9D"/>
    <w:rsid w:val="006914B0"/>
    <w:rsid w:val="00691D6B"/>
    <w:rsid w:val="0069415F"/>
    <w:rsid w:val="00694B7D"/>
    <w:rsid w:val="00694FA9"/>
    <w:rsid w:val="006A1972"/>
    <w:rsid w:val="006A3776"/>
    <w:rsid w:val="006A6105"/>
    <w:rsid w:val="006A6841"/>
    <w:rsid w:val="006A741E"/>
    <w:rsid w:val="006A7A16"/>
    <w:rsid w:val="006A7CED"/>
    <w:rsid w:val="006B21F1"/>
    <w:rsid w:val="006B48AB"/>
    <w:rsid w:val="006B5451"/>
    <w:rsid w:val="006B62E4"/>
    <w:rsid w:val="006C1CB8"/>
    <w:rsid w:val="006C4247"/>
    <w:rsid w:val="006C52FE"/>
    <w:rsid w:val="006D1C9B"/>
    <w:rsid w:val="006D3E78"/>
    <w:rsid w:val="006D3EAA"/>
    <w:rsid w:val="006D406C"/>
    <w:rsid w:val="006D5304"/>
    <w:rsid w:val="006D68F6"/>
    <w:rsid w:val="006D76A0"/>
    <w:rsid w:val="006D7889"/>
    <w:rsid w:val="006E09D7"/>
    <w:rsid w:val="006E148C"/>
    <w:rsid w:val="006E457F"/>
    <w:rsid w:val="006E4D81"/>
    <w:rsid w:val="006E564A"/>
    <w:rsid w:val="006E62F6"/>
    <w:rsid w:val="006E6498"/>
    <w:rsid w:val="006E6FF0"/>
    <w:rsid w:val="006E7161"/>
    <w:rsid w:val="006E7CBC"/>
    <w:rsid w:val="006F170A"/>
    <w:rsid w:val="006F182C"/>
    <w:rsid w:val="006F1F19"/>
    <w:rsid w:val="006F4562"/>
    <w:rsid w:val="006F4648"/>
    <w:rsid w:val="006F64B4"/>
    <w:rsid w:val="006F686A"/>
    <w:rsid w:val="0070035E"/>
    <w:rsid w:val="00702E0C"/>
    <w:rsid w:val="00704D13"/>
    <w:rsid w:val="00705301"/>
    <w:rsid w:val="00705A26"/>
    <w:rsid w:val="00706918"/>
    <w:rsid w:val="00706959"/>
    <w:rsid w:val="00710F47"/>
    <w:rsid w:val="00712E95"/>
    <w:rsid w:val="00714E1A"/>
    <w:rsid w:val="00715CAD"/>
    <w:rsid w:val="0072090D"/>
    <w:rsid w:val="00721019"/>
    <w:rsid w:val="00721D6C"/>
    <w:rsid w:val="00721FAC"/>
    <w:rsid w:val="007221B8"/>
    <w:rsid w:val="00722D87"/>
    <w:rsid w:val="0072382B"/>
    <w:rsid w:val="00723FC4"/>
    <w:rsid w:val="00724CAA"/>
    <w:rsid w:val="007250A4"/>
    <w:rsid w:val="00730912"/>
    <w:rsid w:val="00732BD5"/>
    <w:rsid w:val="0073436C"/>
    <w:rsid w:val="00735304"/>
    <w:rsid w:val="00736432"/>
    <w:rsid w:val="007374AE"/>
    <w:rsid w:val="00737531"/>
    <w:rsid w:val="00741FF5"/>
    <w:rsid w:val="0074485A"/>
    <w:rsid w:val="0074695A"/>
    <w:rsid w:val="00747416"/>
    <w:rsid w:val="007506A2"/>
    <w:rsid w:val="00753241"/>
    <w:rsid w:val="007533F6"/>
    <w:rsid w:val="00755EAE"/>
    <w:rsid w:val="0075733E"/>
    <w:rsid w:val="00760A40"/>
    <w:rsid w:val="007612D4"/>
    <w:rsid w:val="00762E19"/>
    <w:rsid w:val="0076571A"/>
    <w:rsid w:val="00765733"/>
    <w:rsid w:val="0076748C"/>
    <w:rsid w:val="007677F7"/>
    <w:rsid w:val="00770445"/>
    <w:rsid w:val="007705CD"/>
    <w:rsid w:val="007731F9"/>
    <w:rsid w:val="007807B7"/>
    <w:rsid w:val="00781BD3"/>
    <w:rsid w:val="00782EF7"/>
    <w:rsid w:val="00783E4A"/>
    <w:rsid w:val="00786E6E"/>
    <w:rsid w:val="00790D8D"/>
    <w:rsid w:val="00792EEE"/>
    <w:rsid w:val="0079367D"/>
    <w:rsid w:val="007A16A5"/>
    <w:rsid w:val="007A3B52"/>
    <w:rsid w:val="007A41E2"/>
    <w:rsid w:val="007A4E8F"/>
    <w:rsid w:val="007A50D7"/>
    <w:rsid w:val="007A57D8"/>
    <w:rsid w:val="007A6F1A"/>
    <w:rsid w:val="007B3BE9"/>
    <w:rsid w:val="007B4F45"/>
    <w:rsid w:val="007B5124"/>
    <w:rsid w:val="007B7285"/>
    <w:rsid w:val="007C0CBB"/>
    <w:rsid w:val="007C2E51"/>
    <w:rsid w:val="007C30CA"/>
    <w:rsid w:val="007C4A2F"/>
    <w:rsid w:val="007C5B96"/>
    <w:rsid w:val="007D02BE"/>
    <w:rsid w:val="007D0BB5"/>
    <w:rsid w:val="007D1B7A"/>
    <w:rsid w:val="007D4991"/>
    <w:rsid w:val="007D49BF"/>
    <w:rsid w:val="007D5B53"/>
    <w:rsid w:val="007D5CC6"/>
    <w:rsid w:val="007E04AF"/>
    <w:rsid w:val="007E4ECD"/>
    <w:rsid w:val="007E5618"/>
    <w:rsid w:val="007E6404"/>
    <w:rsid w:val="007E6757"/>
    <w:rsid w:val="007F181B"/>
    <w:rsid w:val="007F32CC"/>
    <w:rsid w:val="007F392F"/>
    <w:rsid w:val="007F61B6"/>
    <w:rsid w:val="007F694D"/>
    <w:rsid w:val="007F72F1"/>
    <w:rsid w:val="007F7A55"/>
    <w:rsid w:val="0080183F"/>
    <w:rsid w:val="00803F26"/>
    <w:rsid w:val="00805DAF"/>
    <w:rsid w:val="008122DD"/>
    <w:rsid w:val="008133F1"/>
    <w:rsid w:val="00816D80"/>
    <w:rsid w:val="008222F3"/>
    <w:rsid w:val="00822BE8"/>
    <w:rsid w:val="00823A4E"/>
    <w:rsid w:val="00824B39"/>
    <w:rsid w:val="008250A7"/>
    <w:rsid w:val="00825CFF"/>
    <w:rsid w:val="00831D7A"/>
    <w:rsid w:val="00832C3E"/>
    <w:rsid w:val="008345FF"/>
    <w:rsid w:val="008365CF"/>
    <w:rsid w:val="00846436"/>
    <w:rsid w:val="008473E3"/>
    <w:rsid w:val="008520C8"/>
    <w:rsid w:val="008540D4"/>
    <w:rsid w:val="00862612"/>
    <w:rsid w:val="00865140"/>
    <w:rsid w:val="0086620E"/>
    <w:rsid w:val="00866C44"/>
    <w:rsid w:val="00867AE8"/>
    <w:rsid w:val="008701F6"/>
    <w:rsid w:val="00871329"/>
    <w:rsid w:val="00871B2F"/>
    <w:rsid w:val="00873085"/>
    <w:rsid w:val="00876555"/>
    <w:rsid w:val="00880053"/>
    <w:rsid w:val="008810EF"/>
    <w:rsid w:val="00881651"/>
    <w:rsid w:val="0088314A"/>
    <w:rsid w:val="00883482"/>
    <w:rsid w:val="0088519D"/>
    <w:rsid w:val="00887DD5"/>
    <w:rsid w:val="00892AA6"/>
    <w:rsid w:val="008944FE"/>
    <w:rsid w:val="00896D30"/>
    <w:rsid w:val="0089726A"/>
    <w:rsid w:val="008A073C"/>
    <w:rsid w:val="008A2B1E"/>
    <w:rsid w:val="008A2E4E"/>
    <w:rsid w:val="008A4555"/>
    <w:rsid w:val="008A525F"/>
    <w:rsid w:val="008A5B4F"/>
    <w:rsid w:val="008A5D71"/>
    <w:rsid w:val="008A619D"/>
    <w:rsid w:val="008B1CE9"/>
    <w:rsid w:val="008B2943"/>
    <w:rsid w:val="008B43AF"/>
    <w:rsid w:val="008C0858"/>
    <w:rsid w:val="008C5A89"/>
    <w:rsid w:val="008C7D06"/>
    <w:rsid w:val="008D225A"/>
    <w:rsid w:val="008D2A73"/>
    <w:rsid w:val="008D41A7"/>
    <w:rsid w:val="008D7701"/>
    <w:rsid w:val="008E103D"/>
    <w:rsid w:val="008E2C1F"/>
    <w:rsid w:val="008E2EA8"/>
    <w:rsid w:val="008E5CBC"/>
    <w:rsid w:val="008E668C"/>
    <w:rsid w:val="008E6A6F"/>
    <w:rsid w:val="008E79AD"/>
    <w:rsid w:val="008F010F"/>
    <w:rsid w:val="008F2375"/>
    <w:rsid w:val="008F2621"/>
    <w:rsid w:val="008F273F"/>
    <w:rsid w:val="008F3BAE"/>
    <w:rsid w:val="008F5288"/>
    <w:rsid w:val="00902840"/>
    <w:rsid w:val="00902885"/>
    <w:rsid w:val="00902AA1"/>
    <w:rsid w:val="009037B2"/>
    <w:rsid w:val="00903B3E"/>
    <w:rsid w:val="00905480"/>
    <w:rsid w:val="00905D52"/>
    <w:rsid w:val="009126C3"/>
    <w:rsid w:val="009127B4"/>
    <w:rsid w:val="00914271"/>
    <w:rsid w:val="00920EFE"/>
    <w:rsid w:val="009238B1"/>
    <w:rsid w:val="00926758"/>
    <w:rsid w:val="00927102"/>
    <w:rsid w:val="00930724"/>
    <w:rsid w:val="009316AF"/>
    <w:rsid w:val="00932020"/>
    <w:rsid w:val="00933568"/>
    <w:rsid w:val="009336A4"/>
    <w:rsid w:val="009342E7"/>
    <w:rsid w:val="009361C8"/>
    <w:rsid w:val="00936442"/>
    <w:rsid w:val="00940AD3"/>
    <w:rsid w:val="0094290E"/>
    <w:rsid w:val="00944703"/>
    <w:rsid w:val="009457DB"/>
    <w:rsid w:val="00947968"/>
    <w:rsid w:val="0095056B"/>
    <w:rsid w:val="009506C6"/>
    <w:rsid w:val="0095213C"/>
    <w:rsid w:val="00952B04"/>
    <w:rsid w:val="00952B77"/>
    <w:rsid w:val="00952E27"/>
    <w:rsid w:val="00952EDD"/>
    <w:rsid w:val="0095300C"/>
    <w:rsid w:val="009546CA"/>
    <w:rsid w:val="00954C61"/>
    <w:rsid w:val="00960BB5"/>
    <w:rsid w:val="0096142D"/>
    <w:rsid w:val="0096203A"/>
    <w:rsid w:val="00962E24"/>
    <w:rsid w:val="00963AF6"/>
    <w:rsid w:val="00963DFD"/>
    <w:rsid w:val="00966A3B"/>
    <w:rsid w:val="00976735"/>
    <w:rsid w:val="00976DBA"/>
    <w:rsid w:val="00982762"/>
    <w:rsid w:val="00982BB9"/>
    <w:rsid w:val="00983C28"/>
    <w:rsid w:val="00983D3D"/>
    <w:rsid w:val="0098609E"/>
    <w:rsid w:val="009916AC"/>
    <w:rsid w:val="00992CB5"/>
    <w:rsid w:val="009958F7"/>
    <w:rsid w:val="0099687C"/>
    <w:rsid w:val="009A0EB6"/>
    <w:rsid w:val="009A46C7"/>
    <w:rsid w:val="009A54CA"/>
    <w:rsid w:val="009A741C"/>
    <w:rsid w:val="009B1B03"/>
    <w:rsid w:val="009B28BA"/>
    <w:rsid w:val="009B2D49"/>
    <w:rsid w:val="009B3A3B"/>
    <w:rsid w:val="009B4038"/>
    <w:rsid w:val="009B6132"/>
    <w:rsid w:val="009B7008"/>
    <w:rsid w:val="009C09C9"/>
    <w:rsid w:val="009C279B"/>
    <w:rsid w:val="009C412C"/>
    <w:rsid w:val="009C536A"/>
    <w:rsid w:val="009C5C89"/>
    <w:rsid w:val="009D02EF"/>
    <w:rsid w:val="009D13E8"/>
    <w:rsid w:val="009D198F"/>
    <w:rsid w:val="009D32D5"/>
    <w:rsid w:val="009D3CA6"/>
    <w:rsid w:val="009D46B5"/>
    <w:rsid w:val="009D508F"/>
    <w:rsid w:val="009D79DC"/>
    <w:rsid w:val="009E163A"/>
    <w:rsid w:val="009E295C"/>
    <w:rsid w:val="009E2B96"/>
    <w:rsid w:val="009E54A4"/>
    <w:rsid w:val="009E5E9C"/>
    <w:rsid w:val="009E629E"/>
    <w:rsid w:val="009F007F"/>
    <w:rsid w:val="009F0941"/>
    <w:rsid w:val="009F09F5"/>
    <w:rsid w:val="009F0D1C"/>
    <w:rsid w:val="009F4127"/>
    <w:rsid w:val="009F6621"/>
    <w:rsid w:val="009F662D"/>
    <w:rsid w:val="009F6CA8"/>
    <w:rsid w:val="00A01BF0"/>
    <w:rsid w:val="00A033EF"/>
    <w:rsid w:val="00A0474A"/>
    <w:rsid w:val="00A130A2"/>
    <w:rsid w:val="00A16F6F"/>
    <w:rsid w:val="00A2002D"/>
    <w:rsid w:val="00A20AF7"/>
    <w:rsid w:val="00A21F7A"/>
    <w:rsid w:val="00A22998"/>
    <w:rsid w:val="00A23728"/>
    <w:rsid w:val="00A239F8"/>
    <w:rsid w:val="00A23DA8"/>
    <w:rsid w:val="00A252CE"/>
    <w:rsid w:val="00A2738A"/>
    <w:rsid w:val="00A31E3A"/>
    <w:rsid w:val="00A33215"/>
    <w:rsid w:val="00A33219"/>
    <w:rsid w:val="00A356DC"/>
    <w:rsid w:val="00A42DDC"/>
    <w:rsid w:val="00A44EE8"/>
    <w:rsid w:val="00A45FC2"/>
    <w:rsid w:val="00A46909"/>
    <w:rsid w:val="00A51659"/>
    <w:rsid w:val="00A51D5E"/>
    <w:rsid w:val="00A53033"/>
    <w:rsid w:val="00A542C1"/>
    <w:rsid w:val="00A545FA"/>
    <w:rsid w:val="00A567F6"/>
    <w:rsid w:val="00A6146E"/>
    <w:rsid w:val="00A61942"/>
    <w:rsid w:val="00A649D7"/>
    <w:rsid w:val="00A65E30"/>
    <w:rsid w:val="00A6606A"/>
    <w:rsid w:val="00A66509"/>
    <w:rsid w:val="00A665AC"/>
    <w:rsid w:val="00A679B6"/>
    <w:rsid w:val="00A7060C"/>
    <w:rsid w:val="00A7086A"/>
    <w:rsid w:val="00A71BFF"/>
    <w:rsid w:val="00A77F77"/>
    <w:rsid w:val="00A81E12"/>
    <w:rsid w:val="00A8216F"/>
    <w:rsid w:val="00A8222D"/>
    <w:rsid w:val="00A83297"/>
    <w:rsid w:val="00A860C7"/>
    <w:rsid w:val="00A94ACC"/>
    <w:rsid w:val="00A94D4A"/>
    <w:rsid w:val="00A96E60"/>
    <w:rsid w:val="00A97D69"/>
    <w:rsid w:val="00AA0AF1"/>
    <w:rsid w:val="00AA16AC"/>
    <w:rsid w:val="00AA2B50"/>
    <w:rsid w:val="00AA39C6"/>
    <w:rsid w:val="00AA600C"/>
    <w:rsid w:val="00AB048B"/>
    <w:rsid w:val="00AB190C"/>
    <w:rsid w:val="00AB32DC"/>
    <w:rsid w:val="00AB4EF2"/>
    <w:rsid w:val="00AB595D"/>
    <w:rsid w:val="00AB7CBD"/>
    <w:rsid w:val="00AC009F"/>
    <w:rsid w:val="00AC2A5D"/>
    <w:rsid w:val="00AC2DE6"/>
    <w:rsid w:val="00AC30C5"/>
    <w:rsid w:val="00AC4DA3"/>
    <w:rsid w:val="00AC550D"/>
    <w:rsid w:val="00AC5DD8"/>
    <w:rsid w:val="00AD1610"/>
    <w:rsid w:val="00AD271E"/>
    <w:rsid w:val="00AD3A06"/>
    <w:rsid w:val="00AD500C"/>
    <w:rsid w:val="00AD5420"/>
    <w:rsid w:val="00AD6961"/>
    <w:rsid w:val="00AE06BD"/>
    <w:rsid w:val="00AE201F"/>
    <w:rsid w:val="00AE2672"/>
    <w:rsid w:val="00AE3734"/>
    <w:rsid w:val="00AE4960"/>
    <w:rsid w:val="00AE6DDA"/>
    <w:rsid w:val="00AE7A58"/>
    <w:rsid w:val="00AF0DEF"/>
    <w:rsid w:val="00AF274F"/>
    <w:rsid w:val="00AF2C44"/>
    <w:rsid w:val="00AF50B9"/>
    <w:rsid w:val="00B0000A"/>
    <w:rsid w:val="00B0381B"/>
    <w:rsid w:val="00B03E48"/>
    <w:rsid w:val="00B07EF7"/>
    <w:rsid w:val="00B07F68"/>
    <w:rsid w:val="00B17258"/>
    <w:rsid w:val="00B1780F"/>
    <w:rsid w:val="00B203D3"/>
    <w:rsid w:val="00B20753"/>
    <w:rsid w:val="00B23225"/>
    <w:rsid w:val="00B2329C"/>
    <w:rsid w:val="00B247AB"/>
    <w:rsid w:val="00B252B1"/>
    <w:rsid w:val="00B263A3"/>
    <w:rsid w:val="00B3114B"/>
    <w:rsid w:val="00B31EDC"/>
    <w:rsid w:val="00B3220E"/>
    <w:rsid w:val="00B324CE"/>
    <w:rsid w:val="00B40BD4"/>
    <w:rsid w:val="00B43A01"/>
    <w:rsid w:val="00B44EA0"/>
    <w:rsid w:val="00B44FA3"/>
    <w:rsid w:val="00B45055"/>
    <w:rsid w:val="00B50A67"/>
    <w:rsid w:val="00B5365A"/>
    <w:rsid w:val="00B5665C"/>
    <w:rsid w:val="00B566C4"/>
    <w:rsid w:val="00B63C97"/>
    <w:rsid w:val="00B64423"/>
    <w:rsid w:val="00B64EF8"/>
    <w:rsid w:val="00B65164"/>
    <w:rsid w:val="00B67AF5"/>
    <w:rsid w:val="00B67EFB"/>
    <w:rsid w:val="00B7294A"/>
    <w:rsid w:val="00B735E6"/>
    <w:rsid w:val="00B76588"/>
    <w:rsid w:val="00B765AF"/>
    <w:rsid w:val="00B76874"/>
    <w:rsid w:val="00B76A94"/>
    <w:rsid w:val="00B80065"/>
    <w:rsid w:val="00B80466"/>
    <w:rsid w:val="00B82B15"/>
    <w:rsid w:val="00B850CF"/>
    <w:rsid w:val="00B878D2"/>
    <w:rsid w:val="00B90774"/>
    <w:rsid w:val="00B907F6"/>
    <w:rsid w:val="00B910CA"/>
    <w:rsid w:val="00B912A1"/>
    <w:rsid w:val="00B91763"/>
    <w:rsid w:val="00B921F1"/>
    <w:rsid w:val="00B93D39"/>
    <w:rsid w:val="00B965E8"/>
    <w:rsid w:val="00BA1F26"/>
    <w:rsid w:val="00BA3DDB"/>
    <w:rsid w:val="00BA5764"/>
    <w:rsid w:val="00BA61BC"/>
    <w:rsid w:val="00BB0334"/>
    <w:rsid w:val="00BB1105"/>
    <w:rsid w:val="00BB4795"/>
    <w:rsid w:val="00BC2651"/>
    <w:rsid w:val="00BC3B0B"/>
    <w:rsid w:val="00BC512E"/>
    <w:rsid w:val="00BD00A3"/>
    <w:rsid w:val="00BD1C3A"/>
    <w:rsid w:val="00BD3602"/>
    <w:rsid w:val="00BD42A7"/>
    <w:rsid w:val="00BD5C8E"/>
    <w:rsid w:val="00BD779E"/>
    <w:rsid w:val="00BD7C47"/>
    <w:rsid w:val="00BE1222"/>
    <w:rsid w:val="00BE28E4"/>
    <w:rsid w:val="00BE38D7"/>
    <w:rsid w:val="00BE3D7B"/>
    <w:rsid w:val="00BE504B"/>
    <w:rsid w:val="00BE5CF7"/>
    <w:rsid w:val="00BE7E0F"/>
    <w:rsid w:val="00BF1342"/>
    <w:rsid w:val="00BF36D7"/>
    <w:rsid w:val="00BF3A22"/>
    <w:rsid w:val="00BF5927"/>
    <w:rsid w:val="00BF5F41"/>
    <w:rsid w:val="00BF7957"/>
    <w:rsid w:val="00C01FC9"/>
    <w:rsid w:val="00C0242D"/>
    <w:rsid w:val="00C04872"/>
    <w:rsid w:val="00C057DA"/>
    <w:rsid w:val="00C171DB"/>
    <w:rsid w:val="00C171E2"/>
    <w:rsid w:val="00C177DE"/>
    <w:rsid w:val="00C22208"/>
    <w:rsid w:val="00C223FF"/>
    <w:rsid w:val="00C23637"/>
    <w:rsid w:val="00C27621"/>
    <w:rsid w:val="00C27F5E"/>
    <w:rsid w:val="00C32B68"/>
    <w:rsid w:val="00C3336C"/>
    <w:rsid w:val="00C3402F"/>
    <w:rsid w:val="00C35429"/>
    <w:rsid w:val="00C41CF8"/>
    <w:rsid w:val="00C43CF4"/>
    <w:rsid w:val="00C45425"/>
    <w:rsid w:val="00C45E6A"/>
    <w:rsid w:val="00C461E6"/>
    <w:rsid w:val="00C46937"/>
    <w:rsid w:val="00C47666"/>
    <w:rsid w:val="00C505E3"/>
    <w:rsid w:val="00C5181C"/>
    <w:rsid w:val="00C51894"/>
    <w:rsid w:val="00C51FB0"/>
    <w:rsid w:val="00C549D4"/>
    <w:rsid w:val="00C55C6E"/>
    <w:rsid w:val="00C56555"/>
    <w:rsid w:val="00C60F3D"/>
    <w:rsid w:val="00C71802"/>
    <w:rsid w:val="00C74711"/>
    <w:rsid w:val="00C750DA"/>
    <w:rsid w:val="00C800E5"/>
    <w:rsid w:val="00C92115"/>
    <w:rsid w:val="00C97BCC"/>
    <w:rsid w:val="00C97ED4"/>
    <w:rsid w:val="00CA1F04"/>
    <w:rsid w:val="00CA3295"/>
    <w:rsid w:val="00CA3AE6"/>
    <w:rsid w:val="00CA43FB"/>
    <w:rsid w:val="00CA7CCB"/>
    <w:rsid w:val="00CB1746"/>
    <w:rsid w:val="00CB47D9"/>
    <w:rsid w:val="00CB51E0"/>
    <w:rsid w:val="00CB5671"/>
    <w:rsid w:val="00CB6F64"/>
    <w:rsid w:val="00CC2E70"/>
    <w:rsid w:val="00CC5EC5"/>
    <w:rsid w:val="00CC6C68"/>
    <w:rsid w:val="00CC6CDC"/>
    <w:rsid w:val="00CD0926"/>
    <w:rsid w:val="00CD2FC2"/>
    <w:rsid w:val="00CD3FE4"/>
    <w:rsid w:val="00CD51A6"/>
    <w:rsid w:val="00CD61F6"/>
    <w:rsid w:val="00CE1F3E"/>
    <w:rsid w:val="00CE517D"/>
    <w:rsid w:val="00CE5490"/>
    <w:rsid w:val="00CE785E"/>
    <w:rsid w:val="00CE79BE"/>
    <w:rsid w:val="00CF00DD"/>
    <w:rsid w:val="00CF07B4"/>
    <w:rsid w:val="00CF0CB4"/>
    <w:rsid w:val="00CF0D07"/>
    <w:rsid w:val="00CF2D4C"/>
    <w:rsid w:val="00D01BCB"/>
    <w:rsid w:val="00D02165"/>
    <w:rsid w:val="00D02A7E"/>
    <w:rsid w:val="00D02D91"/>
    <w:rsid w:val="00D04EB5"/>
    <w:rsid w:val="00D055CB"/>
    <w:rsid w:val="00D05966"/>
    <w:rsid w:val="00D12B86"/>
    <w:rsid w:val="00D13AC6"/>
    <w:rsid w:val="00D14925"/>
    <w:rsid w:val="00D14D1A"/>
    <w:rsid w:val="00D1513C"/>
    <w:rsid w:val="00D21194"/>
    <w:rsid w:val="00D22A37"/>
    <w:rsid w:val="00D25B49"/>
    <w:rsid w:val="00D25BD8"/>
    <w:rsid w:val="00D303A7"/>
    <w:rsid w:val="00D31277"/>
    <w:rsid w:val="00D3135B"/>
    <w:rsid w:val="00D333F7"/>
    <w:rsid w:val="00D334A9"/>
    <w:rsid w:val="00D33D5E"/>
    <w:rsid w:val="00D34781"/>
    <w:rsid w:val="00D36551"/>
    <w:rsid w:val="00D4207D"/>
    <w:rsid w:val="00D4711B"/>
    <w:rsid w:val="00D47D13"/>
    <w:rsid w:val="00D50AF0"/>
    <w:rsid w:val="00D51CA5"/>
    <w:rsid w:val="00D54B83"/>
    <w:rsid w:val="00D559F2"/>
    <w:rsid w:val="00D57F94"/>
    <w:rsid w:val="00D608D7"/>
    <w:rsid w:val="00D61753"/>
    <w:rsid w:val="00D63B1A"/>
    <w:rsid w:val="00D649EB"/>
    <w:rsid w:val="00D65666"/>
    <w:rsid w:val="00D72546"/>
    <w:rsid w:val="00D823F2"/>
    <w:rsid w:val="00D85B68"/>
    <w:rsid w:val="00D90841"/>
    <w:rsid w:val="00D95B80"/>
    <w:rsid w:val="00D97516"/>
    <w:rsid w:val="00DA2E6B"/>
    <w:rsid w:val="00DA413B"/>
    <w:rsid w:val="00DA4ACE"/>
    <w:rsid w:val="00DA511F"/>
    <w:rsid w:val="00DA69DB"/>
    <w:rsid w:val="00DA6E97"/>
    <w:rsid w:val="00DA75A5"/>
    <w:rsid w:val="00DB1830"/>
    <w:rsid w:val="00DB18E2"/>
    <w:rsid w:val="00DB1FFC"/>
    <w:rsid w:val="00DB2D34"/>
    <w:rsid w:val="00DC0913"/>
    <w:rsid w:val="00DC3FA2"/>
    <w:rsid w:val="00DC411E"/>
    <w:rsid w:val="00DC588B"/>
    <w:rsid w:val="00DD192B"/>
    <w:rsid w:val="00DD580F"/>
    <w:rsid w:val="00DD5BE8"/>
    <w:rsid w:val="00DD7750"/>
    <w:rsid w:val="00DD79E3"/>
    <w:rsid w:val="00DE08D3"/>
    <w:rsid w:val="00DE1CA2"/>
    <w:rsid w:val="00DE787D"/>
    <w:rsid w:val="00DF08DE"/>
    <w:rsid w:val="00DF0B5C"/>
    <w:rsid w:val="00DF11E5"/>
    <w:rsid w:val="00DF410F"/>
    <w:rsid w:val="00DF6AFE"/>
    <w:rsid w:val="00DF7157"/>
    <w:rsid w:val="00E00470"/>
    <w:rsid w:val="00E02BDA"/>
    <w:rsid w:val="00E03998"/>
    <w:rsid w:val="00E04218"/>
    <w:rsid w:val="00E04F9A"/>
    <w:rsid w:val="00E058AD"/>
    <w:rsid w:val="00E05D7D"/>
    <w:rsid w:val="00E0633A"/>
    <w:rsid w:val="00E07B37"/>
    <w:rsid w:val="00E07DB8"/>
    <w:rsid w:val="00E103DA"/>
    <w:rsid w:val="00E1074B"/>
    <w:rsid w:val="00E116F7"/>
    <w:rsid w:val="00E14BFE"/>
    <w:rsid w:val="00E150E8"/>
    <w:rsid w:val="00E159EC"/>
    <w:rsid w:val="00E1660B"/>
    <w:rsid w:val="00E17D9D"/>
    <w:rsid w:val="00E200D8"/>
    <w:rsid w:val="00E205EB"/>
    <w:rsid w:val="00E22F99"/>
    <w:rsid w:val="00E23109"/>
    <w:rsid w:val="00E2322C"/>
    <w:rsid w:val="00E24B21"/>
    <w:rsid w:val="00E24D8B"/>
    <w:rsid w:val="00E33703"/>
    <w:rsid w:val="00E4286E"/>
    <w:rsid w:val="00E42AED"/>
    <w:rsid w:val="00E46502"/>
    <w:rsid w:val="00E46AA9"/>
    <w:rsid w:val="00E502D6"/>
    <w:rsid w:val="00E52E02"/>
    <w:rsid w:val="00E52F87"/>
    <w:rsid w:val="00E56B95"/>
    <w:rsid w:val="00E60684"/>
    <w:rsid w:val="00E61FD7"/>
    <w:rsid w:val="00E62731"/>
    <w:rsid w:val="00E63033"/>
    <w:rsid w:val="00E63586"/>
    <w:rsid w:val="00E75F74"/>
    <w:rsid w:val="00E76011"/>
    <w:rsid w:val="00E7752D"/>
    <w:rsid w:val="00E80D18"/>
    <w:rsid w:val="00E8237F"/>
    <w:rsid w:val="00E82495"/>
    <w:rsid w:val="00E86B0E"/>
    <w:rsid w:val="00E9030D"/>
    <w:rsid w:val="00E913A7"/>
    <w:rsid w:val="00E92489"/>
    <w:rsid w:val="00E92877"/>
    <w:rsid w:val="00EA1816"/>
    <w:rsid w:val="00EA26C9"/>
    <w:rsid w:val="00EA3C42"/>
    <w:rsid w:val="00EA3E24"/>
    <w:rsid w:val="00EA4D8A"/>
    <w:rsid w:val="00EA4E8E"/>
    <w:rsid w:val="00EA5B55"/>
    <w:rsid w:val="00EA7BBF"/>
    <w:rsid w:val="00EC1C29"/>
    <w:rsid w:val="00EC3BEA"/>
    <w:rsid w:val="00EC462B"/>
    <w:rsid w:val="00EC480D"/>
    <w:rsid w:val="00EC523C"/>
    <w:rsid w:val="00EC587B"/>
    <w:rsid w:val="00EC58BC"/>
    <w:rsid w:val="00ED01E5"/>
    <w:rsid w:val="00ED036B"/>
    <w:rsid w:val="00ED0D95"/>
    <w:rsid w:val="00ED2B57"/>
    <w:rsid w:val="00ED2C69"/>
    <w:rsid w:val="00ED3907"/>
    <w:rsid w:val="00EE1CDD"/>
    <w:rsid w:val="00EE2601"/>
    <w:rsid w:val="00EE4957"/>
    <w:rsid w:val="00EE5362"/>
    <w:rsid w:val="00EF4DA7"/>
    <w:rsid w:val="00F00F4C"/>
    <w:rsid w:val="00F025F7"/>
    <w:rsid w:val="00F140A6"/>
    <w:rsid w:val="00F21885"/>
    <w:rsid w:val="00F21973"/>
    <w:rsid w:val="00F231B0"/>
    <w:rsid w:val="00F239EC"/>
    <w:rsid w:val="00F24000"/>
    <w:rsid w:val="00F24154"/>
    <w:rsid w:val="00F24A7B"/>
    <w:rsid w:val="00F321B2"/>
    <w:rsid w:val="00F323C4"/>
    <w:rsid w:val="00F33E33"/>
    <w:rsid w:val="00F33F4E"/>
    <w:rsid w:val="00F36AA3"/>
    <w:rsid w:val="00F37118"/>
    <w:rsid w:val="00F43B63"/>
    <w:rsid w:val="00F44D17"/>
    <w:rsid w:val="00F4681A"/>
    <w:rsid w:val="00F47E5F"/>
    <w:rsid w:val="00F51713"/>
    <w:rsid w:val="00F52DB1"/>
    <w:rsid w:val="00F54E55"/>
    <w:rsid w:val="00F61E13"/>
    <w:rsid w:val="00F636C2"/>
    <w:rsid w:val="00F63A48"/>
    <w:rsid w:val="00F64016"/>
    <w:rsid w:val="00F652C2"/>
    <w:rsid w:val="00F653EC"/>
    <w:rsid w:val="00F66014"/>
    <w:rsid w:val="00F700EE"/>
    <w:rsid w:val="00F761C4"/>
    <w:rsid w:val="00F806C8"/>
    <w:rsid w:val="00F83795"/>
    <w:rsid w:val="00F839A3"/>
    <w:rsid w:val="00F84367"/>
    <w:rsid w:val="00F851E0"/>
    <w:rsid w:val="00F90EFC"/>
    <w:rsid w:val="00F91DE5"/>
    <w:rsid w:val="00F93305"/>
    <w:rsid w:val="00F946D7"/>
    <w:rsid w:val="00F971D5"/>
    <w:rsid w:val="00FA10E5"/>
    <w:rsid w:val="00FA12CD"/>
    <w:rsid w:val="00FA2D1D"/>
    <w:rsid w:val="00FA2E89"/>
    <w:rsid w:val="00FA2FEB"/>
    <w:rsid w:val="00FB1988"/>
    <w:rsid w:val="00FB19A3"/>
    <w:rsid w:val="00FB1DEC"/>
    <w:rsid w:val="00FB212B"/>
    <w:rsid w:val="00FB221F"/>
    <w:rsid w:val="00FB29A3"/>
    <w:rsid w:val="00FB29F6"/>
    <w:rsid w:val="00FB2A51"/>
    <w:rsid w:val="00FB3C25"/>
    <w:rsid w:val="00FB3C7E"/>
    <w:rsid w:val="00FC7000"/>
    <w:rsid w:val="00FD0BF4"/>
    <w:rsid w:val="00FD1191"/>
    <w:rsid w:val="00FD1490"/>
    <w:rsid w:val="00FD149A"/>
    <w:rsid w:val="00FE102A"/>
    <w:rsid w:val="00FE13A1"/>
    <w:rsid w:val="00FE24F4"/>
    <w:rsid w:val="00FE2A87"/>
    <w:rsid w:val="00FE491B"/>
    <w:rsid w:val="00FE54F2"/>
    <w:rsid w:val="00FE5CA6"/>
    <w:rsid w:val="00FE6100"/>
    <w:rsid w:val="00FF00A4"/>
    <w:rsid w:val="00FF1221"/>
    <w:rsid w:val="00FF4490"/>
    <w:rsid w:val="00FF54C6"/>
    <w:rsid w:val="00FF6F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31C6"/>
  <w15:chartTrackingRefBased/>
  <w15:docId w15:val="{8925BD3F-DEE4-48EE-ADDB-B2D75330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D3602"/>
    <w:pPr>
      <w:keepNext/>
      <w:spacing w:before="120" w:after="120" w:line="360" w:lineRule="auto"/>
      <w:ind w:left="0"/>
      <w:contextualSpacing w:val="0"/>
      <w:jc w:val="both"/>
      <w:outlineLvl w:val="0"/>
    </w:pPr>
    <w:rPr>
      <w:rFonts w:ascii="Arial" w:eastAsiaTheme="min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09"/>
    <w:pPr>
      <w:ind w:left="720"/>
      <w:contextualSpacing/>
    </w:pPr>
  </w:style>
  <w:style w:type="paragraph" w:styleId="FootnoteText">
    <w:name w:val="footnote text"/>
    <w:basedOn w:val="Normal"/>
    <w:link w:val="FootnoteTextChar"/>
    <w:uiPriority w:val="99"/>
    <w:semiHidden/>
    <w:unhideWhenUsed/>
    <w:rsid w:val="00FE5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CA6"/>
    <w:rPr>
      <w:sz w:val="20"/>
      <w:szCs w:val="20"/>
    </w:rPr>
  </w:style>
  <w:style w:type="character" w:styleId="FootnoteReference">
    <w:name w:val="footnote reference"/>
    <w:basedOn w:val="DefaultParagraphFont"/>
    <w:uiPriority w:val="99"/>
    <w:semiHidden/>
    <w:unhideWhenUsed/>
    <w:rsid w:val="00FE5CA6"/>
    <w:rPr>
      <w:vertAlign w:val="superscript"/>
    </w:rPr>
  </w:style>
  <w:style w:type="table" w:styleId="TableGrid">
    <w:name w:val="Table Grid"/>
    <w:basedOn w:val="TableNormal"/>
    <w:uiPriority w:val="39"/>
    <w:rsid w:val="00C51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3602"/>
    <w:rPr>
      <w:rFonts w:ascii="Arial" w:eastAsiaTheme="minorEastAsia" w:hAnsi="Arial" w:cs="Arial"/>
      <w:b/>
      <w:sz w:val="24"/>
      <w:szCs w:val="24"/>
    </w:rPr>
  </w:style>
  <w:style w:type="paragraph" w:styleId="NormalWeb">
    <w:name w:val="Normal (Web)"/>
    <w:basedOn w:val="Normal"/>
    <w:uiPriority w:val="99"/>
    <w:unhideWhenUsed/>
    <w:rsid w:val="00BD36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6D5304"/>
    <w:pPr>
      <w:spacing w:after="0" w:line="240" w:lineRule="auto"/>
    </w:pPr>
  </w:style>
  <w:style w:type="paragraph" w:styleId="Revision">
    <w:name w:val="Revision"/>
    <w:hidden/>
    <w:uiPriority w:val="99"/>
    <w:semiHidden/>
    <w:rsid w:val="002F22A2"/>
    <w:pPr>
      <w:spacing w:after="0" w:line="240" w:lineRule="auto"/>
    </w:pPr>
  </w:style>
  <w:style w:type="character" w:styleId="CommentReference">
    <w:name w:val="annotation reference"/>
    <w:basedOn w:val="DefaultParagraphFont"/>
    <w:uiPriority w:val="99"/>
    <w:semiHidden/>
    <w:unhideWhenUsed/>
    <w:rsid w:val="004E608B"/>
    <w:rPr>
      <w:sz w:val="16"/>
      <w:szCs w:val="16"/>
    </w:rPr>
  </w:style>
  <w:style w:type="paragraph" w:styleId="CommentText">
    <w:name w:val="annotation text"/>
    <w:basedOn w:val="Normal"/>
    <w:link w:val="CommentTextChar"/>
    <w:uiPriority w:val="99"/>
    <w:unhideWhenUsed/>
    <w:rsid w:val="004E608B"/>
    <w:pPr>
      <w:spacing w:line="240" w:lineRule="auto"/>
    </w:pPr>
    <w:rPr>
      <w:sz w:val="20"/>
      <w:szCs w:val="20"/>
    </w:rPr>
  </w:style>
  <w:style w:type="character" w:customStyle="1" w:styleId="CommentTextChar">
    <w:name w:val="Comment Text Char"/>
    <w:basedOn w:val="DefaultParagraphFont"/>
    <w:link w:val="CommentText"/>
    <w:uiPriority w:val="99"/>
    <w:rsid w:val="004E608B"/>
    <w:rPr>
      <w:sz w:val="20"/>
      <w:szCs w:val="20"/>
    </w:rPr>
  </w:style>
  <w:style w:type="paragraph" w:styleId="CommentSubject">
    <w:name w:val="annotation subject"/>
    <w:basedOn w:val="CommentText"/>
    <w:next w:val="CommentText"/>
    <w:link w:val="CommentSubjectChar"/>
    <w:uiPriority w:val="99"/>
    <w:semiHidden/>
    <w:unhideWhenUsed/>
    <w:rsid w:val="004E608B"/>
    <w:rPr>
      <w:b/>
      <w:bCs/>
    </w:rPr>
  </w:style>
  <w:style w:type="character" w:customStyle="1" w:styleId="CommentSubjectChar">
    <w:name w:val="Comment Subject Char"/>
    <w:basedOn w:val="CommentTextChar"/>
    <w:link w:val="CommentSubject"/>
    <w:uiPriority w:val="99"/>
    <w:semiHidden/>
    <w:rsid w:val="004E608B"/>
    <w:rPr>
      <w:b/>
      <w:bCs/>
      <w:sz w:val="20"/>
      <w:szCs w:val="20"/>
    </w:rPr>
  </w:style>
  <w:style w:type="paragraph" w:styleId="BalloonText">
    <w:name w:val="Balloon Text"/>
    <w:basedOn w:val="Normal"/>
    <w:link w:val="BalloonTextChar"/>
    <w:uiPriority w:val="99"/>
    <w:semiHidden/>
    <w:unhideWhenUsed/>
    <w:rsid w:val="00C1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9BA7-A67D-4B03-ABB5-C193F5E8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Tshireletso Peele</dc:creator>
  <cp:keywords/>
  <dc:description/>
  <cp:lastModifiedBy>Mokone</cp:lastModifiedBy>
  <cp:revision>3</cp:revision>
  <cp:lastPrinted>2023-06-27T09:44:00Z</cp:lastPrinted>
  <dcterms:created xsi:type="dcterms:W3CDTF">2023-07-06T10:13:00Z</dcterms:created>
  <dcterms:modified xsi:type="dcterms:W3CDTF">2023-07-06T10:14:00Z</dcterms:modified>
</cp:coreProperties>
</file>