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E07" w:rsidRDefault="00EF67E1">
      <w:pPr>
        <w:pStyle w:val="BodyA"/>
        <w:suppressAutoHyphens/>
        <w:spacing w:line="360" w:lineRule="auto"/>
        <w:jc w:val="center"/>
        <w:rPr>
          <w:b/>
          <w:bCs/>
        </w:rPr>
      </w:pPr>
      <w:r>
        <w:rPr>
          <w:b/>
          <w:bCs/>
        </w:rPr>
        <w:t>REPUBLIC OF SOUTH AFRICA</w:t>
      </w:r>
    </w:p>
    <w:p w:rsidR="005F7E07" w:rsidRDefault="00EF67E1">
      <w:pPr>
        <w:pStyle w:val="BodyA"/>
        <w:suppressAutoHyphens/>
        <w:spacing w:line="360" w:lineRule="auto"/>
        <w:jc w:val="center"/>
        <w:rPr>
          <w:b/>
          <w:bCs/>
        </w:rPr>
      </w:pPr>
      <w:r>
        <w:rPr>
          <w:rFonts w:ascii="Times New Roman" w:eastAsia="Times New Roman" w:hAnsi="Times New Roman" w:cs="Times New Roman"/>
          <w:b/>
          <w:bCs/>
          <w:noProof/>
          <w:lang w:eastAsia="en-US"/>
        </w:rPr>
        <w:drawing>
          <wp:inline distT="0" distB="0" distL="0" distR="0">
            <wp:extent cx="1400175" cy="1400175"/>
            <wp:effectExtent l="0" t="0" r="0" b="0"/>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7">
                      <a:extLst/>
                    </a:blip>
                    <a:stretch>
                      <a:fillRect/>
                    </a:stretch>
                  </pic:blipFill>
                  <pic:spPr>
                    <a:xfrm>
                      <a:off x="0" y="0"/>
                      <a:ext cx="1400175" cy="1400175"/>
                    </a:xfrm>
                    <a:prstGeom prst="rect">
                      <a:avLst/>
                    </a:prstGeom>
                    <a:ln w="12700" cap="flat">
                      <a:noFill/>
                      <a:miter lim="400000"/>
                    </a:ln>
                    <a:effectLst/>
                  </pic:spPr>
                </pic:pic>
              </a:graphicData>
            </a:graphic>
          </wp:inline>
        </w:drawing>
      </w:r>
    </w:p>
    <w:p w:rsidR="005F7E07" w:rsidRDefault="00EF67E1">
      <w:pPr>
        <w:pStyle w:val="BodyA"/>
        <w:suppressAutoHyphens/>
        <w:spacing w:line="360" w:lineRule="auto"/>
        <w:jc w:val="center"/>
        <w:rPr>
          <w:b/>
          <w:bCs/>
        </w:rPr>
      </w:pPr>
      <w:r>
        <w:rPr>
          <w:b/>
          <w:bCs/>
        </w:rPr>
        <w:t>IN THE HIGH COURT OF SOUTH AFRICA</w:t>
      </w:r>
    </w:p>
    <w:p w:rsidR="005F7E07" w:rsidRDefault="00EF67E1">
      <w:pPr>
        <w:pStyle w:val="BodyA"/>
        <w:suppressAutoHyphens/>
        <w:spacing w:line="360" w:lineRule="auto"/>
        <w:jc w:val="center"/>
        <w:rPr>
          <w:b/>
          <w:bCs/>
          <w:lang w:val="de-DE"/>
        </w:rPr>
      </w:pPr>
      <w:r>
        <w:rPr>
          <w:b/>
          <w:bCs/>
          <w:lang w:val="de-DE"/>
        </w:rPr>
        <w:t>GAUTENG DIVISION, PRETORIA</w:t>
      </w:r>
    </w:p>
    <w:p w:rsidR="005F7E07" w:rsidRDefault="00EF67E1">
      <w:pPr>
        <w:pStyle w:val="BodyA"/>
        <w:tabs>
          <w:tab w:val="left" w:pos="780"/>
        </w:tabs>
        <w:suppressAutoHyphens/>
        <w:spacing w:line="360" w:lineRule="auto"/>
        <w:jc w:val="both"/>
      </w:pPr>
      <w:r>
        <w:tab/>
      </w:r>
      <w:r>
        <w:tab/>
      </w:r>
    </w:p>
    <w:p w:rsidR="005F7E07" w:rsidRDefault="00EF67E1">
      <w:pPr>
        <w:pStyle w:val="BodyA"/>
        <w:suppressAutoHyphens/>
        <w:spacing w:line="360" w:lineRule="auto"/>
        <w:jc w:val="righ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CASE NO</w:t>
      </w:r>
      <w:r>
        <w:rPr>
          <w:rFonts w:ascii="Times New Roman" w:hAnsi="Times New Roman"/>
          <w:b/>
          <w:bCs/>
        </w:rPr>
        <w:t xml:space="preserve">: </w:t>
      </w:r>
      <w:r>
        <w:rPr>
          <w:b/>
          <w:bCs/>
        </w:rPr>
        <w:t>2022/045283</w:t>
      </w:r>
    </w:p>
    <w:p w:rsidR="005F7E07" w:rsidRDefault="00EF67E1">
      <w:pPr>
        <w:pStyle w:val="BodyA"/>
        <w:suppressAutoHyphens/>
        <w:spacing w:line="360" w:lineRule="auto"/>
        <w:jc w:val="right"/>
        <w:rPr>
          <w:b/>
          <w:bCs/>
          <w:sz w:val="28"/>
          <w:szCs w:val="28"/>
        </w:rPr>
      </w:pPr>
      <w:r>
        <w:rPr>
          <w:b/>
          <w:bCs/>
        </w:rPr>
        <w:t>DOH</w:t>
      </w:r>
      <w:r w:rsidR="00013347">
        <w:rPr>
          <w:b/>
          <w:bCs/>
        </w:rPr>
        <w:t>:</w:t>
      </w:r>
      <w:r>
        <w:rPr>
          <w:b/>
          <w:bCs/>
        </w:rPr>
        <w:t xml:space="preserve"> 8 MARCH 2023</w:t>
      </w:r>
      <w:r>
        <w:rPr>
          <w:rFonts w:ascii="Times New Roman" w:eastAsia="Times New Roman" w:hAnsi="Times New Roman" w:cs="Times New Roman"/>
          <w:b/>
          <w:bCs/>
          <w:noProof/>
          <w:lang w:eastAsia="en-US"/>
        </w:rPr>
        <mc:AlternateContent>
          <mc:Choice Requires="wpg">
            <w:drawing>
              <wp:anchor distT="152400" distB="152400" distL="152400" distR="152400" simplePos="0" relativeHeight="251659264" behindDoc="0" locked="0" layoutInCell="1" allowOverlap="1">
                <wp:simplePos x="0" y="0"/>
                <wp:positionH relativeFrom="page">
                  <wp:posOffset>914395</wp:posOffset>
                </wp:positionH>
                <wp:positionV relativeFrom="line">
                  <wp:posOffset>451995</wp:posOffset>
                </wp:positionV>
                <wp:extent cx="3495455" cy="1335923"/>
                <wp:effectExtent l="0" t="0" r="0" b="0"/>
                <wp:wrapThrough wrapText="bothSides" distL="152400" distR="152400">
                  <wp:wrapPolygon edited="1">
                    <wp:start x="0" y="0"/>
                    <wp:lineTo x="21600" y="0"/>
                    <wp:lineTo x="21600" y="21600"/>
                    <wp:lineTo x="0" y="21600"/>
                    <wp:lineTo x="0" y="0"/>
                  </wp:wrapPolygon>
                </wp:wrapThrough>
                <wp:docPr id="1073741830" name="officeArt object" descr="officeArt object"/>
                <wp:cNvGraphicFramePr/>
                <a:graphic xmlns:a="http://schemas.openxmlformats.org/drawingml/2006/main">
                  <a:graphicData uri="http://schemas.microsoft.com/office/word/2010/wordprocessingGroup">
                    <wpg:wgp>
                      <wpg:cNvGrpSpPr/>
                      <wpg:grpSpPr>
                        <a:xfrm>
                          <a:off x="0" y="0"/>
                          <a:ext cx="3495455" cy="1335923"/>
                          <a:chOff x="-1" y="-1"/>
                          <a:chExt cx="3495454" cy="1335922"/>
                        </a:xfrm>
                      </wpg:grpSpPr>
                      <wps:wsp>
                        <wps:cNvPr id="1073741828" name="Shape 1073741826"/>
                        <wps:cNvSpPr/>
                        <wps:spPr>
                          <a:xfrm>
                            <a:off x="-2" y="-2"/>
                            <a:ext cx="3495455" cy="1335923"/>
                          </a:xfrm>
                          <a:prstGeom prst="rect">
                            <a:avLst/>
                          </a:prstGeom>
                          <a:solidFill>
                            <a:srgbClr val="FFFFFF"/>
                          </a:solidFill>
                          <a:ln w="9525" cap="flat">
                            <a:solidFill>
                              <a:srgbClr val="000000"/>
                            </a:solidFill>
                            <a:prstDash val="solid"/>
                            <a:round/>
                          </a:ln>
                          <a:effectLst/>
                        </wps:spPr>
                        <wps:bodyPr/>
                      </wps:wsp>
                      <wps:wsp>
                        <wps:cNvPr id="1073741829" name="Shape 1073741827"/>
                        <wps:cNvSpPr txBox="1"/>
                        <wps:spPr>
                          <a:xfrm>
                            <a:off x="-2" y="-2"/>
                            <a:ext cx="3495455" cy="1335923"/>
                          </a:xfrm>
                          <a:prstGeom prst="rect">
                            <a:avLst/>
                          </a:prstGeom>
                          <a:noFill/>
                          <a:ln w="12700" cap="flat">
                            <a:noFill/>
                            <a:miter lim="400000"/>
                          </a:ln>
                          <a:effectLst/>
                        </wps:spPr>
                        <wps:txbx>
                          <w:txbxContent>
                            <w:p w:rsidR="005F7E07" w:rsidRDefault="005F7E07">
                              <w:pPr>
                                <w:pStyle w:val="BodyA"/>
                                <w:ind w:firstLine="720"/>
                                <w:rPr>
                                  <w:rFonts w:ascii="Century Gothic" w:eastAsia="Century Gothic" w:hAnsi="Century Gothic" w:cs="Century Gothic"/>
                                  <w:sz w:val="18"/>
                                  <w:szCs w:val="18"/>
                                </w:rPr>
                              </w:pPr>
                            </w:p>
                            <w:p w:rsidR="005F7E07" w:rsidRDefault="00227BF6" w:rsidP="00227BF6">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1.</w:t>
                              </w:r>
                              <w:r>
                                <w:rPr>
                                  <w:rFonts w:ascii="Century Gothic" w:eastAsia="Century Gothic" w:hAnsi="Century Gothic" w:cs="Century Gothic"/>
                                  <w:kern w:val="0"/>
                                  <w:sz w:val="18"/>
                                  <w:szCs w:val="18"/>
                                </w:rPr>
                                <w:tab/>
                              </w:r>
                              <w:r w:rsidR="00EF67E1">
                                <w:rPr>
                                  <w:rFonts w:ascii="Century Gothic" w:hAnsi="Century Gothic"/>
                                  <w:sz w:val="18"/>
                                  <w:szCs w:val="18"/>
                                </w:rPr>
                                <w:t xml:space="preserve">REPORTABLE: </w:t>
                              </w:r>
                              <w:r w:rsidR="00EF67E1">
                                <w:rPr>
                                  <w:rFonts w:ascii="Century Gothic" w:hAnsi="Century Gothic"/>
                                  <w:b/>
                                  <w:bCs/>
                                  <w:sz w:val="18"/>
                                  <w:szCs w:val="18"/>
                                </w:rPr>
                                <w:t>NO</w:t>
                              </w:r>
                              <w:r w:rsidR="00EF67E1">
                                <w:rPr>
                                  <w:rFonts w:ascii="Century Gothic" w:hAnsi="Century Gothic"/>
                                  <w:sz w:val="18"/>
                                  <w:szCs w:val="18"/>
                                </w:rPr>
                                <w:t>/YES</w:t>
                              </w:r>
                            </w:p>
                            <w:p w:rsidR="005F7E07" w:rsidRDefault="00227BF6" w:rsidP="00227BF6">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2.</w:t>
                              </w:r>
                              <w:r>
                                <w:rPr>
                                  <w:rFonts w:ascii="Century Gothic" w:eastAsia="Century Gothic" w:hAnsi="Century Gothic" w:cs="Century Gothic"/>
                                  <w:kern w:val="0"/>
                                  <w:sz w:val="18"/>
                                  <w:szCs w:val="18"/>
                                </w:rPr>
                                <w:tab/>
                              </w:r>
                              <w:r w:rsidR="00EF67E1">
                                <w:rPr>
                                  <w:rFonts w:ascii="Century Gothic" w:hAnsi="Century Gothic"/>
                                  <w:sz w:val="18"/>
                                  <w:szCs w:val="18"/>
                                </w:rPr>
                                <w:t xml:space="preserve">OF INTEREST TO OTHER JUDGES: </w:t>
                              </w:r>
                              <w:r w:rsidR="00EF67E1">
                                <w:rPr>
                                  <w:rFonts w:ascii="Century Gothic" w:hAnsi="Century Gothic"/>
                                  <w:b/>
                                  <w:bCs/>
                                  <w:sz w:val="18"/>
                                  <w:szCs w:val="18"/>
                                </w:rPr>
                                <w:t>NO</w:t>
                              </w:r>
                              <w:r w:rsidR="00EF67E1">
                                <w:rPr>
                                  <w:rFonts w:ascii="Century Gothic" w:hAnsi="Century Gothic"/>
                                  <w:sz w:val="18"/>
                                  <w:szCs w:val="18"/>
                                </w:rPr>
                                <w:t>/YES</w:t>
                              </w:r>
                            </w:p>
                            <w:p w:rsidR="005F7E07" w:rsidRDefault="00227BF6" w:rsidP="00227BF6">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3.</w:t>
                              </w:r>
                              <w:r>
                                <w:rPr>
                                  <w:rFonts w:ascii="Century Gothic" w:eastAsia="Century Gothic" w:hAnsi="Century Gothic" w:cs="Century Gothic"/>
                                  <w:kern w:val="0"/>
                                  <w:sz w:val="18"/>
                                  <w:szCs w:val="18"/>
                                </w:rPr>
                                <w:tab/>
                              </w:r>
                              <w:r w:rsidR="00EF67E1">
                                <w:rPr>
                                  <w:rFonts w:ascii="Century Gothic" w:hAnsi="Century Gothic"/>
                                  <w:sz w:val="18"/>
                                  <w:szCs w:val="18"/>
                                </w:rPr>
                                <w:t xml:space="preserve">REVISED. </w:t>
                              </w:r>
                            </w:p>
                            <w:p w:rsidR="005F7E07" w:rsidRDefault="005F7E07">
                              <w:pPr>
                                <w:pStyle w:val="BodyA"/>
                                <w:rPr>
                                  <w:rFonts w:ascii="Century Gothic" w:eastAsia="Century Gothic" w:hAnsi="Century Gothic" w:cs="Century Gothic"/>
                                  <w:b/>
                                  <w:bCs/>
                                  <w:sz w:val="18"/>
                                  <w:szCs w:val="18"/>
                                </w:rPr>
                              </w:pPr>
                            </w:p>
                            <w:p w:rsidR="005F7E07" w:rsidRPr="00013347" w:rsidRDefault="00EF67E1">
                              <w:pPr>
                                <w:pStyle w:val="BodyA"/>
                                <w:rPr>
                                  <w:rFonts w:ascii="Century Gothic" w:eastAsia="Century Gothic" w:hAnsi="Century Gothic" w:cs="Century Gothic"/>
                                  <w:b/>
                                  <w:bCs/>
                                  <w:sz w:val="18"/>
                                  <w:szCs w:val="18"/>
                                  <w:u w:val="dotted"/>
                                </w:rPr>
                              </w:pPr>
                              <w:r>
                                <w:rPr>
                                  <w:b/>
                                  <w:bCs/>
                                  <w:sz w:val="18"/>
                                  <w:szCs w:val="18"/>
                                </w:rPr>
                                <w:t xml:space="preserve"> </w:t>
                              </w:r>
                              <w:r>
                                <w:rPr>
                                  <w:rFonts w:ascii="Century Gothic" w:hAnsi="Century Gothic"/>
                                  <w:b/>
                                  <w:bCs/>
                                  <w:sz w:val="18"/>
                                  <w:szCs w:val="18"/>
                                </w:rPr>
                                <w:t>…………..………….............</w:t>
                              </w:r>
                              <w:r>
                                <w:rPr>
                                  <w:rFonts w:ascii="Century Gothic" w:hAnsi="Century Gothic"/>
                                  <w:b/>
                                  <w:bCs/>
                                  <w:sz w:val="18"/>
                                  <w:szCs w:val="18"/>
                                </w:rPr>
                                <w:tab/>
                              </w:r>
                              <w:r w:rsidR="00013347">
                                <w:rPr>
                                  <w:rFonts w:ascii="Century Gothic" w:hAnsi="Century Gothic"/>
                                  <w:b/>
                                  <w:bCs/>
                                  <w:sz w:val="18"/>
                                  <w:szCs w:val="18"/>
                                  <w:u w:val="dotted"/>
                                </w:rPr>
                                <w:t>05 July 2023</w:t>
                              </w:r>
                            </w:p>
                            <w:p w:rsidR="005F7E07" w:rsidRDefault="00EF67E1">
                              <w:pPr>
                                <w:pStyle w:val="BodyA"/>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wps:txbx>
                        <wps:bodyPr wrap="square" lIns="45718" tIns="45718" rIns="45718" bIns="45718" numCol="1" anchor="t">
                          <a:noAutofit/>
                        </wps:bodyPr>
                      </wps:wsp>
                    </wpg:wgp>
                  </a:graphicData>
                </a:graphic>
              </wp:anchor>
            </w:drawing>
          </mc:Choice>
          <mc:Fallback>
            <w:pict>
              <v:group id="officeArt object" o:spid="_x0000_s1026" alt="officeArt object" style="position:absolute;left:0;text-align:left;margin-left:1in;margin-top:35.6pt;width:275.25pt;height:105.2pt;z-index:251659264;mso-wrap-distance-left:12pt;mso-wrap-distance-top:12pt;mso-wrap-distance-right:12pt;mso-wrap-distance-bottom:12pt;mso-position-horizontal-relative:page;mso-position-vertical-relative:line" coordorigin="" coordsize="34954,13359" wrapcoords="-4 -10 21592 -10 21592 21579 -4 21579 -4 -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s7qQIAAAUHAAAOAAAAZHJzL2Uyb0RvYy54bWy8VW1P2zAQ/j5p/8Hyd8hLW0qjpojBQJOm&#10;gcT2A1zHeZkc27PdJvz7ne02TQsTEpPIBydnn+/lee4uy6u+5WjLtGmkyHFyHmPEBJVFI6oc//p5&#10;d3aJkbFEFIRLwXL8zAy+Wn3+tOxUxlJZS14wjcCIMFmnclxbq7IoMrRmLTHnUjEBh6XULbEg6ioq&#10;NOnAesujNI4vok7qQmlJmTGwexsO8crbL0tG7UNZGmYRzzHEZv2q/bp2a7RakqzSRNUN3YVB3hFF&#10;SxoBTgdTt8QStNHNC1NtQ7U0srTnVLaRLMuGMp8DZJPEJ9nca7lRPpcq6yo1wATQnuD0brP0x/ZR&#10;o6YA7uL5ZD5NLicAkyAtcBWiu9YWyfVvQBKjghkK4L04ABQ7VWVg7F6rJ/WodxtVkBwwfalb94a7&#10;qPf4Pw/4s94iCpuT6WI2nc0wonCWTCazRToJDNH6Idw7SzCCQ3h55mj99ejudHw3dTrR3nXkIhwC&#10;6hTUmzlAav4P0qeaKOaZMg6FE0hTaIIAqddDe6jTCxehCwXuDLCZzACCr2B2lobcfV4kewu1IXOS&#10;KW3sPZMtch851o5M54BsvxsbQNqruG0jeVPcNZx7QVfrG67RlkAL3flnh+uRGheoy/Filjr6CHRy&#10;yUlwcqRmxtZi/7xmzUVzS0wdvHoLTo1k0BGiCBFz4TaYb/JdGg7KAJ77Wsvi2ZciUO/ZDlh/HO2L&#10;f9A+P6Ed2f6LhPr3RX3IYV+5Q9N8WAEI6dj3gAdek3Qew1w4Jnak1TYWxjhv2hxPx6S+yZHt1z34&#10;OdCFOhjGOTZ/NkQzjPg3Aa05nc0T6CE7FvRYWI8FsWlvJBQrjAoiaC1hYoVKFPJ6Y2XZ+JI/uIQh&#10;MRSInxIwa/3g2P0X3DAfy17/8Pda/QUAAP//AwBQSwMEFAAGAAgAAAAhAMX5heHhAAAACgEAAA8A&#10;AABkcnMvZG93bnJldi54bWxMj0FLw0AUhO+C/2F5gje72ZjGGrMppainUrAVSm/b7GsSmn0bstsk&#10;/feuJz0OM8x8ky8n07IBe9dYkiBmETCk0uqGKgnf+4+nBTDnFWnVWkIJN3SwLO7vcpVpO9IXDjtf&#10;sVBCLlMSau+7jHNX1miUm9kOKXhn2xvlg+wrrns1hnLT8jiKUm5UQ2GhVh2uaywvu6uR8DmqcfUs&#10;3ofN5by+Hffz7WEjUMrHh2n1Bszj5P/C8Isf0KEITCd7Je1YG3SShC9ewouIgYVA+prMgZ0kxAuR&#10;Ai9y/v9C8QMAAP//AwBQSwECLQAUAAYACAAAACEAtoM4kv4AAADhAQAAEwAAAAAAAAAAAAAAAAAA&#10;AAAAW0NvbnRlbnRfVHlwZXNdLnhtbFBLAQItABQABgAIAAAAIQA4/SH/1gAAAJQBAAALAAAAAAAA&#10;AAAAAAAAAC8BAABfcmVscy8ucmVsc1BLAQItABQABgAIAAAAIQB/65s7qQIAAAUHAAAOAAAAAAAA&#10;AAAAAAAAAC4CAABkcnMvZTJvRG9jLnhtbFBLAQItABQABgAIAAAAIQDF+YXh4QAAAAoBAAAPAAAA&#10;AAAAAAAAAAAAAAMFAABkcnMvZG93bnJldi54bWxQSwUGAAAAAAQABADzAAAAEQYAAAAA&#10;">
                <v:rect id="Shape 1073741826" o:spid="_x0000_s1027" style="position:absolute;width:34954;height:1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9QMsA&#10;AADjAAAADwAAAGRycy9kb3ducmV2LnhtbESPQU/CQBCF7yb8h82QeJNdihGsLIRgMHqEcvE2dse2&#10;2p1tugtUf71zIPE48968981yPfhWnamPTWAL04kBRVwG13Bl4Vjs7hagYkJ22AYmCz8UYb0a3Swx&#10;d+HCezofUqUkhGOOFuqUulzrWNbkMU5CRyzaZ+g9Jhn7SrseLxLuW50Z86A9NiwNNXa0ran8Ppy8&#10;hY8mO+Lvvngx/nE3S29D8XV6f7b2djxsnkAlGtK/+Xr96gTfzGfz++kiE2j5SRagV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qor1AywAAAOMAAAAPAAAAAAAAAAAAAAAAAJgC&#10;AABkcnMvZG93bnJldi54bWxQSwUGAAAAAAQABAD1AAAAkAMAAAAA&#10;">
                  <v:stroke joinstyle="round"/>
                </v:rect>
                <v:shapetype id="_x0000_t202" coordsize="21600,21600" o:spt="202" path="m,l,21600r21600,l21600,xe">
                  <v:stroke joinstyle="miter"/>
                  <v:path gradientshapeok="t" o:connecttype="rect"/>
                </v:shapetype>
                <v:shape id="Shape 1073741827" o:spid="_x0000_s1028" type="#_x0000_t202" style="position:absolute;width:34954;height:1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lNtckA&#10;AADjAAAADwAAAGRycy9kb3ducmV2LnhtbERPS08CMRC+m/AfmjHxJl3QCCwUghIVOfE8cBu3w+5C&#10;O91sC6z/3pqYcJzvPaNJY424UO1Lxwo67QQEceZ0ybmC7eb9sQ/CB2SNxjEp+CEPk3HrboSpdlde&#10;0WUdchFD2KeooAihSqX0WUEWfdtVxJE7uNpiiGedS13jNYZbI7tJ8iItlhwbCqzoraDstD5bBV+L&#10;wW4125nNYfl5/DY0ez3vPxqlHu6b6RBEoCbcxP/uuY7zk95T77nT7w7g76cIgB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DlNtckAAADjAAAADwAAAAAAAAAAAAAAAACYAgAA&#10;ZHJzL2Rvd25yZXYueG1sUEsFBgAAAAAEAAQA9QAAAI4DAAAAAA==&#10;" filled="f" stroked="f" strokeweight="1pt">
                  <v:stroke miterlimit="4"/>
                  <v:textbox inset="1.2699mm,1.2699mm,1.2699mm,1.2699mm">
                    <w:txbxContent>
                      <w:p w:rsidR="005F7E07" w:rsidRDefault="005F7E07">
                        <w:pPr>
                          <w:pStyle w:val="BodyA"/>
                          <w:ind w:firstLine="720"/>
                          <w:rPr>
                            <w:rFonts w:ascii="Century Gothic" w:eastAsia="Century Gothic" w:hAnsi="Century Gothic" w:cs="Century Gothic"/>
                            <w:sz w:val="18"/>
                            <w:szCs w:val="18"/>
                          </w:rPr>
                        </w:pPr>
                      </w:p>
                      <w:p w:rsidR="005F7E07" w:rsidRDefault="00227BF6" w:rsidP="00227BF6">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1.</w:t>
                        </w:r>
                        <w:r>
                          <w:rPr>
                            <w:rFonts w:ascii="Century Gothic" w:eastAsia="Century Gothic" w:hAnsi="Century Gothic" w:cs="Century Gothic"/>
                            <w:kern w:val="0"/>
                            <w:sz w:val="18"/>
                            <w:szCs w:val="18"/>
                          </w:rPr>
                          <w:tab/>
                        </w:r>
                        <w:r w:rsidR="00EF67E1">
                          <w:rPr>
                            <w:rFonts w:ascii="Century Gothic" w:hAnsi="Century Gothic"/>
                            <w:sz w:val="18"/>
                            <w:szCs w:val="18"/>
                          </w:rPr>
                          <w:t xml:space="preserve">REPORTABLE: </w:t>
                        </w:r>
                        <w:r w:rsidR="00EF67E1">
                          <w:rPr>
                            <w:rFonts w:ascii="Century Gothic" w:hAnsi="Century Gothic"/>
                            <w:b/>
                            <w:bCs/>
                            <w:sz w:val="18"/>
                            <w:szCs w:val="18"/>
                          </w:rPr>
                          <w:t>NO</w:t>
                        </w:r>
                        <w:r w:rsidR="00EF67E1">
                          <w:rPr>
                            <w:rFonts w:ascii="Century Gothic" w:hAnsi="Century Gothic"/>
                            <w:sz w:val="18"/>
                            <w:szCs w:val="18"/>
                          </w:rPr>
                          <w:t>/YES</w:t>
                        </w:r>
                      </w:p>
                      <w:p w:rsidR="005F7E07" w:rsidRDefault="00227BF6" w:rsidP="00227BF6">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2.</w:t>
                        </w:r>
                        <w:r>
                          <w:rPr>
                            <w:rFonts w:ascii="Century Gothic" w:eastAsia="Century Gothic" w:hAnsi="Century Gothic" w:cs="Century Gothic"/>
                            <w:kern w:val="0"/>
                            <w:sz w:val="18"/>
                            <w:szCs w:val="18"/>
                          </w:rPr>
                          <w:tab/>
                        </w:r>
                        <w:r w:rsidR="00EF67E1">
                          <w:rPr>
                            <w:rFonts w:ascii="Century Gothic" w:hAnsi="Century Gothic"/>
                            <w:sz w:val="18"/>
                            <w:szCs w:val="18"/>
                          </w:rPr>
                          <w:t xml:space="preserve">OF INTEREST TO OTHER JUDGES: </w:t>
                        </w:r>
                        <w:r w:rsidR="00EF67E1">
                          <w:rPr>
                            <w:rFonts w:ascii="Century Gothic" w:hAnsi="Century Gothic"/>
                            <w:b/>
                            <w:bCs/>
                            <w:sz w:val="18"/>
                            <w:szCs w:val="18"/>
                          </w:rPr>
                          <w:t>NO</w:t>
                        </w:r>
                        <w:r w:rsidR="00EF67E1">
                          <w:rPr>
                            <w:rFonts w:ascii="Century Gothic" w:hAnsi="Century Gothic"/>
                            <w:sz w:val="18"/>
                            <w:szCs w:val="18"/>
                          </w:rPr>
                          <w:t>/YES</w:t>
                        </w:r>
                      </w:p>
                      <w:p w:rsidR="005F7E07" w:rsidRDefault="00227BF6" w:rsidP="00227BF6">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3.</w:t>
                        </w:r>
                        <w:r>
                          <w:rPr>
                            <w:rFonts w:ascii="Century Gothic" w:eastAsia="Century Gothic" w:hAnsi="Century Gothic" w:cs="Century Gothic"/>
                            <w:kern w:val="0"/>
                            <w:sz w:val="18"/>
                            <w:szCs w:val="18"/>
                          </w:rPr>
                          <w:tab/>
                        </w:r>
                        <w:r w:rsidR="00EF67E1">
                          <w:rPr>
                            <w:rFonts w:ascii="Century Gothic" w:hAnsi="Century Gothic"/>
                            <w:sz w:val="18"/>
                            <w:szCs w:val="18"/>
                          </w:rPr>
                          <w:t xml:space="preserve">REVISED. </w:t>
                        </w:r>
                      </w:p>
                      <w:p w:rsidR="005F7E07" w:rsidRDefault="005F7E07">
                        <w:pPr>
                          <w:pStyle w:val="BodyA"/>
                          <w:rPr>
                            <w:rFonts w:ascii="Century Gothic" w:eastAsia="Century Gothic" w:hAnsi="Century Gothic" w:cs="Century Gothic"/>
                            <w:b/>
                            <w:bCs/>
                            <w:sz w:val="18"/>
                            <w:szCs w:val="18"/>
                          </w:rPr>
                        </w:pPr>
                      </w:p>
                      <w:p w:rsidR="005F7E07" w:rsidRPr="00013347" w:rsidRDefault="00EF67E1">
                        <w:pPr>
                          <w:pStyle w:val="BodyA"/>
                          <w:rPr>
                            <w:rFonts w:ascii="Century Gothic" w:eastAsia="Century Gothic" w:hAnsi="Century Gothic" w:cs="Century Gothic"/>
                            <w:b/>
                            <w:bCs/>
                            <w:sz w:val="18"/>
                            <w:szCs w:val="18"/>
                            <w:u w:val="dotted"/>
                          </w:rPr>
                        </w:pPr>
                        <w:r>
                          <w:rPr>
                            <w:b/>
                            <w:bCs/>
                            <w:sz w:val="18"/>
                            <w:szCs w:val="18"/>
                          </w:rPr>
                          <w:t xml:space="preserve"> </w:t>
                        </w:r>
                        <w:r>
                          <w:rPr>
                            <w:rFonts w:ascii="Century Gothic" w:hAnsi="Century Gothic"/>
                            <w:b/>
                            <w:bCs/>
                            <w:sz w:val="18"/>
                            <w:szCs w:val="18"/>
                          </w:rPr>
                          <w:t>…………..………….............</w:t>
                        </w:r>
                        <w:r>
                          <w:rPr>
                            <w:rFonts w:ascii="Century Gothic" w:hAnsi="Century Gothic"/>
                            <w:b/>
                            <w:bCs/>
                            <w:sz w:val="18"/>
                            <w:szCs w:val="18"/>
                          </w:rPr>
                          <w:tab/>
                        </w:r>
                        <w:r w:rsidR="00013347">
                          <w:rPr>
                            <w:rFonts w:ascii="Century Gothic" w:hAnsi="Century Gothic"/>
                            <w:b/>
                            <w:bCs/>
                            <w:sz w:val="18"/>
                            <w:szCs w:val="18"/>
                            <w:u w:val="dotted"/>
                          </w:rPr>
                          <w:t>05 July 2023</w:t>
                        </w:r>
                      </w:p>
                      <w:p w:rsidR="005F7E07" w:rsidRDefault="00EF67E1">
                        <w:pPr>
                          <w:pStyle w:val="BodyA"/>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v:textbox>
                </v:shape>
                <w10:wrap type="through" anchorx="page" anchory="line"/>
              </v:group>
            </w:pict>
          </mc:Fallback>
        </mc:AlternateContent>
      </w:r>
    </w:p>
    <w:p w:rsidR="005F7E07" w:rsidRDefault="00EF67E1">
      <w:pPr>
        <w:pStyle w:val="BodyA"/>
        <w:suppressAutoHyphens/>
        <w:spacing w:line="360" w:lineRule="auto"/>
        <w:jc w:val="right"/>
        <w:rPr>
          <w:b/>
          <w:bCs/>
          <w:kern w:val="25"/>
        </w:rPr>
      </w:pPr>
      <w:r>
        <w:rPr>
          <w:b/>
          <w:bCs/>
          <w:kern w:val="25"/>
        </w:rPr>
        <w:tab/>
      </w:r>
      <w:r>
        <w:rPr>
          <w:b/>
          <w:bCs/>
          <w:kern w:val="25"/>
        </w:rPr>
        <w:tab/>
      </w:r>
      <w:r>
        <w:rPr>
          <w:b/>
          <w:bCs/>
          <w:kern w:val="25"/>
        </w:rPr>
        <w:tab/>
      </w:r>
      <w:r>
        <w:rPr>
          <w:b/>
          <w:bCs/>
          <w:kern w:val="25"/>
        </w:rPr>
        <w:tab/>
      </w:r>
    </w:p>
    <w:p w:rsidR="005F7E07" w:rsidRDefault="005F7E07">
      <w:pPr>
        <w:pStyle w:val="BodyA"/>
        <w:suppressAutoHyphens/>
        <w:spacing w:line="360" w:lineRule="auto"/>
        <w:ind w:left="785"/>
        <w:jc w:val="both"/>
        <w:rPr>
          <w:kern w:val="25"/>
        </w:rPr>
      </w:pPr>
    </w:p>
    <w:p w:rsidR="005F7E07" w:rsidRDefault="005F7E07">
      <w:pPr>
        <w:pStyle w:val="BodyA"/>
        <w:suppressAutoHyphens/>
        <w:spacing w:line="360" w:lineRule="auto"/>
        <w:jc w:val="both"/>
        <w:rPr>
          <w:u w:val="single"/>
        </w:rPr>
      </w:pPr>
    </w:p>
    <w:p w:rsidR="005F7E07" w:rsidRDefault="005F7E07">
      <w:pPr>
        <w:pStyle w:val="BodyA"/>
        <w:suppressAutoHyphens/>
        <w:spacing w:line="360" w:lineRule="auto"/>
        <w:jc w:val="both"/>
        <w:rPr>
          <w:u w:val="single"/>
        </w:rPr>
      </w:pPr>
    </w:p>
    <w:p w:rsidR="005F7E07" w:rsidRDefault="005F7E07">
      <w:pPr>
        <w:pStyle w:val="BodyA"/>
        <w:suppressAutoHyphens/>
        <w:spacing w:line="360" w:lineRule="auto"/>
        <w:jc w:val="both"/>
        <w:rPr>
          <w:u w:val="single"/>
        </w:rPr>
      </w:pPr>
    </w:p>
    <w:p w:rsidR="005F7E07" w:rsidRDefault="00EF67E1">
      <w:pPr>
        <w:pStyle w:val="BodyA"/>
        <w:tabs>
          <w:tab w:val="left" w:pos="6253"/>
        </w:tabs>
        <w:suppressAutoHyphens/>
        <w:spacing w:line="360" w:lineRule="auto"/>
        <w:jc w:val="both"/>
      </w:pPr>
      <w:r>
        <w:tab/>
      </w:r>
    </w:p>
    <w:p w:rsidR="005F7E07" w:rsidRDefault="005F7E07">
      <w:pPr>
        <w:pStyle w:val="BodyB"/>
        <w:widowControl w:val="0"/>
        <w:spacing w:line="360" w:lineRule="auto"/>
        <w:rPr>
          <w:rFonts w:ascii="Arial" w:eastAsia="Arial" w:hAnsi="Arial" w:cs="Arial"/>
        </w:rPr>
      </w:pPr>
    </w:p>
    <w:p w:rsidR="005F7E07" w:rsidRDefault="005F7E07">
      <w:pPr>
        <w:pStyle w:val="BodyA"/>
        <w:tabs>
          <w:tab w:val="left" w:pos="6253"/>
        </w:tabs>
        <w:suppressAutoHyphens/>
        <w:spacing w:line="360" w:lineRule="auto"/>
        <w:jc w:val="both"/>
      </w:pPr>
    </w:p>
    <w:p w:rsidR="005F7E07" w:rsidRDefault="00EF67E1">
      <w:pPr>
        <w:pStyle w:val="BodyA"/>
        <w:tabs>
          <w:tab w:val="left" w:pos="6253"/>
        </w:tabs>
        <w:suppressAutoHyphens/>
        <w:spacing w:line="360" w:lineRule="auto"/>
        <w:jc w:val="both"/>
        <w:rPr>
          <w:b/>
          <w:bCs/>
        </w:rPr>
      </w:pPr>
      <w:r>
        <w:t>In the matter of:</w:t>
      </w:r>
    </w:p>
    <w:p w:rsidR="005F7E07" w:rsidRDefault="00EF67E1">
      <w:pPr>
        <w:pStyle w:val="Default"/>
        <w:spacing w:before="0" w:after="240"/>
        <w:rPr>
          <w:rFonts w:ascii="Arial" w:eastAsia="Arial" w:hAnsi="Arial" w:cs="Arial"/>
          <w:b/>
          <w:bCs/>
          <w:shd w:val="clear" w:color="auto" w:fill="FFFFFF"/>
        </w:rPr>
      </w:pPr>
      <w:r>
        <w:rPr>
          <w:rFonts w:ascii="Arial" w:eastAsia="Arial" w:hAnsi="Arial" w:cs="Arial"/>
          <w:b/>
          <w:bCs/>
          <w:shd w:val="clear" w:color="auto" w:fill="FFFFFF"/>
        </w:rPr>
        <w:tab/>
      </w:r>
      <w:r>
        <w:rPr>
          <w:rFonts w:ascii="Arial" w:eastAsia="Arial" w:hAnsi="Arial" w:cs="Arial"/>
          <w:b/>
          <w:bCs/>
          <w:shd w:val="clear" w:color="auto" w:fill="FFFFFF"/>
        </w:rPr>
        <w:tab/>
      </w:r>
    </w:p>
    <w:p w:rsidR="005F7E07" w:rsidRDefault="00EF67E1">
      <w:pPr>
        <w:pStyle w:val="Default"/>
        <w:spacing w:before="0" w:after="240"/>
        <w:rPr>
          <w:rFonts w:ascii="Arial" w:eastAsia="Arial" w:hAnsi="Arial" w:cs="Arial"/>
          <w:b/>
          <w:bCs/>
          <w:shd w:val="clear" w:color="auto" w:fill="FFFFFF"/>
        </w:rPr>
      </w:pPr>
      <w:r>
        <w:rPr>
          <w:rFonts w:ascii="Arial" w:hAnsi="Arial"/>
          <w:b/>
          <w:bCs/>
          <w:shd w:val="clear" w:color="auto" w:fill="FFFFFF"/>
        </w:rPr>
        <w:t xml:space="preserve">RAM TRANSPORT SOUTH AFRICA (PTY) LTD </w:t>
      </w:r>
      <w:r>
        <w:rPr>
          <w:rFonts w:ascii="Arial" w:hAnsi="Arial"/>
          <w:b/>
          <w:bCs/>
          <w:shd w:val="clear" w:color="auto" w:fill="FFFFFF"/>
        </w:rPr>
        <w:tab/>
      </w:r>
      <w:r>
        <w:rPr>
          <w:rFonts w:ascii="Arial" w:hAnsi="Arial"/>
          <w:b/>
          <w:bCs/>
          <w:shd w:val="clear" w:color="auto" w:fill="FFFFFF"/>
        </w:rPr>
        <w:tab/>
      </w:r>
      <w:r>
        <w:rPr>
          <w:rFonts w:ascii="Arial" w:hAnsi="Arial"/>
          <w:b/>
          <w:bCs/>
          <w:shd w:val="clear" w:color="auto" w:fill="FFFFFF"/>
        </w:rPr>
        <w:tab/>
      </w:r>
      <w:r w:rsidR="00053910">
        <w:rPr>
          <w:rFonts w:ascii="Arial" w:hAnsi="Arial"/>
          <w:b/>
          <w:bCs/>
          <w:shd w:val="clear" w:color="auto" w:fill="FFFFFF"/>
        </w:rPr>
        <w:t xml:space="preserve">       </w:t>
      </w:r>
      <w:r>
        <w:rPr>
          <w:rFonts w:ascii="Arial" w:hAnsi="Arial"/>
          <w:b/>
          <w:bCs/>
          <w:shd w:val="clear" w:color="auto" w:fill="FFFFFF"/>
        </w:rPr>
        <w:t>First Applicant</w:t>
      </w:r>
    </w:p>
    <w:p w:rsidR="005F7E07" w:rsidRDefault="00053910">
      <w:pPr>
        <w:pStyle w:val="Default"/>
        <w:spacing w:before="0" w:after="240"/>
        <w:rPr>
          <w:rFonts w:ascii="Arial" w:eastAsia="Arial" w:hAnsi="Arial" w:cs="Arial"/>
          <w:b/>
          <w:bCs/>
          <w:sz w:val="20"/>
          <w:szCs w:val="20"/>
          <w:shd w:val="clear" w:color="auto" w:fill="FFFFFF"/>
        </w:rPr>
      </w:pPr>
      <w:r w:rsidRPr="00053910">
        <w:rPr>
          <w:rFonts w:ascii="Arial" w:hAnsi="Arial"/>
          <w:b/>
          <w:bCs/>
          <w:szCs w:val="20"/>
          <w:shd w:val="clear" w:color="auto" w:fill="FFFFFF"/>
        </w:rPr>
        <w:t>trading as RAM HAND TO HAND COURIERS</w:t>
      </w:r>
      <w:r w:rsidR="00EF67E1" w:rsidRPr="00053910">
        <w:rPr>
          <w:rFonts w:ascii="Arial" w:hAnsi="Arial"/>
          <w:b/>
          <w:bCs/>
          <w:szCs w:val="20"/>
          <w:shd w:val="clear" w:color="auto" w:fill="FFFFFF"/>
        </w:rPr>
        <w:t xml:space="preserve"> </w:t>
      </w:r>
    </w:p>
    <w:p w:rsidR="005F7E07" w:rsidRDefault="00EF67E1">
      <w:pPr>
        <w:pStyle w:val="Default"/>
        <w:spacing w:before="0" w:after="240"/>
        <w:rPr>
          <w:rFonts w:ascii="Arial" w:eastAsia="Arial" w:hAnsi="Arial" w:cs="Arial"/>
          <w:b/>
          <w:bCs/>
          <w:sz w:val="20"/>
          <w:szCs w:val="20"/>
          <w:shd w:val="clear" w:color="auto" w:fill="FFFFFF"/>
        </w:rPr>
      </w:pPr>
      <w:r>
        <w:rPr>
          <w:rFonts w:ascii="Arial" w:hAnsi="Arial"/>
          <w:b/>
          <w:bCs/>
          <w:sz w:val="20"/>
          <w:szCs w:val="20"/>
          <w:shd w:val="clear" w:color="auto" w:fill="FFFFFF"/>
        </w:rPr>
        <w:t>(Registration No. 1997/009992/07)</w:t>
      </w:r>
      <w:r>
        <w:rPr>
          <w:rFonts w:ascii="Arial" w:eastAsia="Arial" w:hAnsi="Arial" w:cs="Arial"/>
          <w:b/>
          <w:bCs/>
          <w:sz w:val="20"/>
          <w:szCs w:val="20"/>
          <w:shd w:val="clear" w:color="auto" w:fill="FFFFFF"/>
        </w:rPr>
        <w:tab/>
      </w:r>
    </w:p>
    <w:p w:rsidR="005F7E07" w:rsidRDefault="005F7E07">
      <w:pPr>
        <w:pStyle w:val="Default"/>
        <w:spacing w:before="0" w:after="240"/>
        <w:rPr>
          <w:rFonts w:ascii="Arial" w:eastAsia="Arial" w:hAnsi="Arial" w:cs="Arial"/>
          <w:b/>
          <w:bCs/>
          <w:sz w:val="20"/>
          <w:szCs w:val="20"/>
          <w:shd w:val="clear" w:color="auto" w:fill="FFFFFF"/>
        </w:rPr>
      </w:pPr>
    </w:p>
    <w:p w:rsidR="005F7E07" w:rsidRDefault="00EF67E1">
      <w:pPr>
        <w:pStyle w:val="Default"/>
        <w:spacing w:before="0" w:after="240"/>
        <w:rPr>
          <w:rFonts w:ascii="Arial" w:eastAsia="Arial" w:hAnsi="Arial" w:cs="Arial"/>
          <w:b/>
          <w:bCs/>
          <w:shd w:val="clear" w:color="auto" w:fill="FFFFFF"/>
        </w:rPr>
      </w:pPr>
      <w:r>
        <w:rPr>
          <w:rFonts w:ascii="Arial" w:hAnsi="Arial"/>
          <w:b/>
          <w:bCs/>
          <w:shd w:val="clear" w:color="auto" w:fill="FFFFFF"/>
        </w:rPr>
        <w:t xml:space="preserve">THE SOUTH AFRICAN ARMS AND AMMUNITION </w:t>
      </w:r>
      <w:r>
        <w:rPr>
          <w:rFonts w:ascii="Arial" w:hAnsi="Arial"/>
          <w:b/>
          <w:bCs/>
          <w:shd w:val="clear" w:color="auto" w:fill="FFFFFF"/>
        </w:rPr>
        <w:tab/>
      </w:r>
      <w:r>
        <w:rPr>
          <w:rFonts w:ascii="Arial" w:hAnsi="Arial"/>
          <w:b/>
          <w:bCs/>
          <w:shd w:val="clear" w:color="auto" w:fill="FFFFFF"/>
        </w:rPr>
        <w:tab/>
      </w:r>
      <w:r>
        <w:rPr>
          <w:rFonts w:ascii="Arial" w:hAnsi="Arial"/>
          <w:b/>
          <w:bCs/>
          <w:shd w:val="clear" w:color="auto" w:fill="FFFFFF"/>
        </w:rPr>
        <w:tab/>
      </w:r>
      <w:r w:rsidR="00053910">
        <w:rPr>
          <w:rFonts w:ascii="Arial" w:hAnsi="Arial"/>
          <w:b/>
          <w:bCs/>
          <w:shd w:val="clear" w:color="auto" w:fill="FFFFFF"/>
        </w:rPr>
        <w:t xml:space="preserve"> </w:t>
      </w:r>
      <w:r>
        <w:rPr>
          <w:rFonts w:ascii="Arial" w:hAnsi="Arial"/>
          <w:b/>
          <w:bCs/>
          <w:shd w:val="clear" w:color="auto" w:fill="FFFFFF"/>
        </w:rPr>
        <w:t>Second Applicant</w:t>
      </w:r>
    </w:p>
    <w:p w:rsidR="005F7E07" w:rsidRDefault="00EF67E1">
      <w:pPr>
        <w:pStyle w:val="Default"/>
        <w:spacing w:before="0" w:after="240"/>
        <w:rPr>
          <w:rFonts w:ascii="Arial" w:eastAsia="Arial" w:hAnsi="Arial" w:cs="Arial"/>
          <w:b/>
          <w:bCs/>
          <w:shd w:val="clear" w:color="auto" w:fill="FFFFFF"/>
        </w:rPr>
      </w:pPr>
      <w:r>
        <w:rPr>
          <w:rFonts w:ascii="Arial" w:hAnsi="Arial"/>
          <w:b/>
          <w:bCs/>
          <w:shd w:val="clear" w:color="auto" w:fill="FFFFFF"/>
        </w:rPr>
        <w:t xml:space="preserve">DEALER’S ASSOCIATION NPO </w:t>
      </w:r>
    </w:p>
    <w:p w:rsidR="005F7E07" w:rsidRDefault="00EF67E1">
      <w:pPr>
        <w:pStyle w:val="Default"/>
        <w:spacing w:before="0" w:after="240"/>
        <w:rPr>
          <w:rFonts w:ascii="Arial" w:eastAsia="Arial" w:hAnsi="Arial" w:cs="Arial"/>
          <w:b/>
          <w:bCs/>
          <w:sz w:val="20"/>
          <w:szCs w:val="20"/>
        </w:rPr>
      </w:pPr>
      <w:r>
        <w:rPr>
          <w:rFonts w:ascii="Arial" w:hAnsi="Arial"/>
          <w:b/>
          <w:bCs/>
          <w:sz w:val="20"/>
          <w:szCs w:val="20"/>
          <w:shd w:val="clear" w:color="auto" w:fill="FFFFFF"/>
        </w:rPr>
        <w:t>(Registration No.188-323NOP)</w:t>
      </w:r>
      <w:r>
        <w:rPr>
          <w:rFonts w:ascii="Arial" w:eastAsia="Arial" w:hAnsi="Arial" w:cs="Arial"/>
          <w:b/>
          <w:bCs/>
          <w:sz w:val="20"/>
          <w:szCs w:val="20"/>
          <w:shd w:val="clear" w:color="auto" w:fill="FFFFFF"/>
        </w:rPr>
        <w:tab/>
      </w:r>
      <w:r>
        <w:rPr>
          <w:rFonts w:ascii="Arial" w:eastAsia="Arial" w:hAnsi="Arial" w:cs="Arial"/>
          <w:b/>
          <w:bCs/>
          <w:sz w:val="20"/>
          <w:szCs w:val="20"/>
          <w:shd w:val="clear" w:color="auto" w:fill="FFFFFF"/>
        </w:rPr>
        <w:tab/>
      </w:r>
      <w:r>
        <w:rPr>
          <w:rFonts w:ascii="Arial" w:eastAsia="Arial" w:hAnsi="Arial" w:cs="Arial"/>
          <w:b/>
          <w:bCs/>
          <w:sz w:val="20"/>
          <w:szCs w:val="20"/>
          <w:shd w:val="clear" w:color="auto" w:fill="FFFFFF"/>
        </w:rPr>
        <w:tab/>
      </w:r>
      <w:r>
        <w:rPr>
          <w:rFonts w:ascii="Arial" w:eastAsia="Arial" w:hAnsi="Arial" w:cs="Arial"/>
          <w:b/>
          <w:bCs/>
          <w:sz w:val="20"/>
          <w:szCs w:val="20"/>
          <w:shd w:val="clear" w:color="auto" w:fill="FFFFFF"/>
        </w:rPr>
        <w:tab/>
      </w:r>
      <w:r>
        <w:rPr>
          <w:rFonts w:ascii="Arial" w:eastAsia="Arial" w:hAnsi="Arial" w:cs="Arial"/>
          <w:b/>
          <w:bCs/>
          <w:sz w:val="20"/>
          <w:szCs w:val="20"/>
          <w:shd w:val="clear" w:color="auto" w:fill="FFFFFF"/>
        </w:rPr>
        <w:tab/>
      </w:r>
      <w:r>
        <w:rPr>
          <w:rFonts w:ascii="Arial" w:eastAsia="Arial" w:hAnsi="Arial" w:cs="Arial"/>
          <w:b/>
          <w:bCs/>
          <w:sz w:val="20"/>
          <w:szCs w:val="20"/>
          <w:shd w:val="clear" w:color="auto" w:fill="FFFFFF"/>
        </w:rPr>
        <w:tab/>
      </w:r>
      <w:r>
        <w:rPr>
          <w:rFonts w:ascii="Arial" w:eastAsia="Arial" w:hAnsi="Arial" w:cs="Arial"/>
          <w:b/>
          <w:bCs/>
          <w:sz w:val="20"/>
          <w:szCs w:val="20"/>
        </w:rPr>
        <w:tab/>
      </w:r>
    </w:p>
    <w:p w:rsidR="005F7E07" w:rsidRDefault="005F7E07">
      <w:pPr>
        <w:pStyle w:val="BodyA"/>
        <w:tabs>
          <w:tab w:val="right" w:pos="9270"/>
        </w:tabs>
        <w:suppressAutoHyphens/>
        <w:spacing w:line="360" w:lineRule="auto"/>
        <w:rPr>
          <w:b/>
          <w:bCs/>
        </w:rPr>
      </w:pPr>
    </w:p>
    <w:p w:rsidR="005F7E07" w:rsidRDefault="00EF67E1">
      <w:pPr>
        <w:pStyle w:val="BodyA"/>
        <w:tabs>
          <w:tab w:val="right" w:pos="9270"/>
        </w:tabs>
        <w:suppressAutoHyphens/>
        <w:spacing w:line="360" w:lineRule="auto"/>
        <w:rPr>
          <w:b/>
          <w:bCs/>
        </w:rPr>
      </w:pPr>
      <w:r>
        <w:rPr>
          <w:b/>
          <w:bCs/>
        </w:rPr>
        <w:lastRenderedPageBreak/>
        <w:t>And</w:t>
      </w:r>
    </w:p>
    <w:p w:rsidR="005F7E07" w:rsidRDefault="005F7E07">
      <w:pPr>
        <w:pStyle w:val="BodyA"/>
        <w:tabs>
          <w:tab w:val="right" w:pos="9270"/>
        </w:tabs>
        <w:suppressAutoHyphens/>
        <w:spacing w:line="360" w:lineRule="auto"/>
        <w:rPr>
          <w:b/>
          <w:bCs/>
        </w:rPr>
      </w:pPr>
    </w:p>
    <w:p w:rsidR="005F7E07" w:rsidRDefault="00EF67E1">
      <w:pPr>
        <w:pStyle w:val="BodyA"/>
        <w:tabs>
          <w:tab w:val="right" w:pos="9270"/>
        </w:tabs>
        <w:suppressAutoHyphens/>
        <w:spacing w:line="360" w:lineRule="auto"/>
        <w:rPr>
          <w:b/>
          <w:bCs/>
        </w:rPr>
      </w:pPr>
      <w:r>
        <w:rPr>
          <w:b/>
          <w:bCs/>
        </w:rPr>
        <w:t xml:space="preserve">THE NATIONAL COMMISSIONER OF THE </w:t>
      </w:r>
      <w:r>
        <w:rPr>
          <w:b/>
          <w:bCs/>
        </w:rPr>
        <w:tab/>
        <w:t>First Respondent</w:t>
      </w:r>
    </w:p>
    <w:p w:rsidR="005F7E07" w:rsidRDefault="00EF67E1">
      <w:pPr>
        <w:pStyle w:val="BodyA"/>
        <w:tabs>
          <w:tab w:val="right" w:pos="9270"/>
        </w:tabs>
        <w:suppressAutoHyphens/>
        <w:spacing w:line="360" w:lineRule="auto"/>
        <w:rPr>
          <w:b/>
          <w:bCs/>
        </w:rPr>
      </w:pPr>
      <w:r>
        <w:rPr>
          <w:b/>
          <w:bCs/>
        </w:rPr>
        <w:t>SOUTH AFRICAN POLICE SERVICE</w:t>
      </w:r>
    </w:p>
    <w:p w:rsidR="005F7E07" w:rsidRDefault="00EF67E1">
      <w:pPr>
        <w:pStyle w:val="BodyA"/>
        <w:tabs>
          <w:tab w:val="right" w:pos="9270"/>
        </w:tabs>
        <w:suppressAutoHyphens/>
        <w:spacing w:line="360" w:lineRule="auto"/>
        <w:rPr>
          <w:b/>
          <w:bCs/>
          <w:sz w:val="20"/>
          <w:szCs w:val="20"/>
        </w:rPr>
      </w:pPr>
      <w:r>
        <w:rPr>
          <w:b/>
          <w:bCs/>
        </w:rPr>
        <w:t xml:space="preserve">(IN HIS CAPACITY AS REGISTRAR OF FIREARMS) </w:t>
      </w:r>
      <w:r>
        <w:rPr>
          <w:b/>
          <w:bCs/>
        </w:rPr>
        <w:tab/>
      </w:r>
    </w:p>
    <w:p w:rsidR="005F7E07" w:rsidRDefault="005F7E07">
      <w:pPr>
        <w:pStyle w:val="BodyA"/>
        <w:tabs>
          <w:tab w:val="right" w:pos="9270"/>
        </w:tabs>
        <w:suppressAutoHyphens/>
        <w:spacing w:line="360" w:lineRule="auto"/>
        <w:rPr>
          <w:b/>
          <w:bCs/>
        </w:rPr>
      </w:pPr>
    </w:p>
    <w:p w:rsidR="005F7E07" w:rsidRDefault="00EF67E1">
      <w:pPr>
        <w:pStyle w:val="BodyA"/>
        <w:tabs>
          <w:tab w:val="right" w:pos="9270"/>
        </w:tabs>
        <w:suppressAutoHyphens/>
        <w:spacing w:line="360" w:lineRule="auto"/>
        <w:rPr>
          <w:b/>
          <w:bCs/>
        </w:rPr>
      </w:pPr>
      <w:r>
        <w:rPr>
          <w:b/>
          <w:bCs/>
        </w:rPr>
        <w:t xml:space="preserve">COLONEL </w:t>
      </w:r>
      <w:r w:rsidR="00053910">
        <w:rPr>
          <w:b/>
          <w:bCs/>
        </w:rPr>
        <w:t xml:space="preserve">P.N </w:t>
      </w:r>
      <w:r>
        <w:rPr>
          <w:b/>
          <w:bCs/>
        </w:rPr>
        <w:t xml:space="preserve">SIKHAKHANE </w:t>
      </w:r>
      <w:r>
        <w:rPr>
          <w:b/>
          <w:bCs/>
        </w:rPr>
        <w:tab/>
        <w:t>Second Respondent</w:t>
      </w:r>
    </w:p>
    <w:p w:rsidR="005F7E07" w:rsidRDefault="00EF67E1">
      <w:pPr>
        <w:pStyle w:val="BodyA"/>
        <w:tabs>
          <w:tab w:val="right" w:pos="9270"/>
        </w:tabs>
        <w:suppressAutoHyphens/>
        <w:spacing w:line="360" w:lineRule="auto"/>
        <w:rPr>
          <w:b/>
          <w:bCs/>
        </w:rPr>
      </w:pPr>
      <w:r>
        <w:rPr>
          <w:b/>
          <w:bCs/>
        </w:rPr>
        <w:t xml:space="preserve">(IN HER CAPACITY AS ACTING SECTION HEAD, </w:t>
      </w:r>
    </w:p>
    <w:p w:rsidR="005F7E07" w:rsidRDefault="00EF67E1">
      <w:pPr>
        <w:pStyle w:val="BodyA"/>
        <w:tabs>
          <w:tab w:val="right" w:pos="9270"/>
        </w:tabs>
        <w:suppressAutoHyphens/>
        <w:spacing w:line="360" w:lineRule="auto"/>
        <w:rPr>
          <w:b/>
          <w:bCs/>
        </w:rPr>
      </w:pPr>
      <w:r>
        <w:rPr>
          <w:b/>
          <w:bCs/>
        </w:rPr>
        <w:t>CENTRAL FIREARMS REGISTRY</w:t>
      </w:r>
      <w:r>
        <w:tab/>
      </w:r>
    </w:p>
    <w:p w:rsidR="005F7E07" w:rsidRDefault="00EF67E1">
      <w:pPr>
        <w:pStyle w:val="BodyA"/>
        <w:tabs>
          <w:tab w:val="right" w:pos="9270"/>
        </w:tabs>
        <w:suppressAutoHyphens/>
        <w:spacing w:line="360" w:lineRule="auto"/>
      </w:pPr>
      <w:r>
        <w:rPr>
          <w:b/>
          <w:bCs/>
        </w:rPr>
        <w:tab/>
      </w:r>
    </w:p>
    <w:p w:rsidR="005F7E07" w:rsidRDefault="00EF67E1">
      <w:pPr>
        <w:pStyle w:val="BodyA"/>
        <w:tabs>
          <w:tab w:val="right" w:pos="9270"/>
        </w:tabs>
        <w:suppressAutoHyphens/>
        <w:spacing w:line="360" w:lineRule="auto"/>
        <w:rPr>
          <w:b/>
          <w:bCs/>
        </w:rPr>
      </w:pPr>
      <w:r>
        <w:rPr>
          <w:b/>
          <w:bCs/>
        </w:rPr>
        <w:t xml:space="preserve">MAJOR GENERAL MAMOTHETI </w:t>
      </w:r>
      <w:r>
        <w:tab/>
      </w:r>
      <w:r>
        <w:rPr>
          <w:b/>
          <w:bCs/>
        </w:rPr>
        <w:t>Third</w:t>
      </w:r>
      <w:r>
        <w:t xml:space="preserve"> </w:t>
      </w:r>
      <w:r>
        <w:rPr>
          <w:b/>
          <w:bCs/>
        </w:rPr>
        <w:t>Respondent</w:t>
      </w:r>
    </w:p>
    <w:p w:rsidR="005F7E07" w:rsidRDefault="00EF67E1">
      <w:pPr>
        <w:pStyle w:val="BodyA"/>
        <w:tabs>
          <w:tab w:val="right" w:pos="9270"/>
        </w:tabs>
        <w:suppressAutoHyphens/>
        <w:spacing w:line="360" w:lineRule="auto"/>
        <w:rPr>
          <w:b/>
          <w:bCs/>
        </w:rPr>
      </w:pPr>
      <w:r>
        <w:rPr>
          <w:b/>
          <w:bCs/>
        </w:rPr>
        <w:t xml:space="preserve">(IN HER CAPACITY AS HEAD OF FIREARMS, </w:t>
      </w:r>
    </w:p>
    <w:p w:rsidR="005F7E07" w:rsidRDefault="00EF67E1">
      <w:pPr>
        <w:pStyle w:val="BodyA"/>
        <w:tabs>
          <w:tab w:val="right" w:pos="9270"/>
        </w:tabs>
        <w:suppressAutoHyphens/>
        <w:spacing w:line="360" w:lineRule="auto"/>
        <w:rPr>
          <w:b/>
          <w:bCs/>
        </w:rPr>
      </w:pPr>
      <w:r>
        <w:rPr>
          <w:b/>
          <w:bCs/>
        </w:rPr>
        <w:t xml:space="preserve">LIQUOR AND SECOND HAND GOODS </w:t>
      </w:r>
    </w:p>
    <w:p w:rsidR="005F7E07" w:rsidRDefault="00EF67E1">
      <w:pPr>
        <w:pStyle w:val="BodyA"/>
        <w:tabs>
          <w:tab w:val="right" w:pos="9270"/>
        </w:tabs>
        <w:suppressAutoHyphens/>
        <w:spacing w:line="360" w:lineRule="auto"/>
        <w:rPr>
          <w:b/>
          <w:bCs/>
        </w:rPr>
      </w:pPr>
      <w:r>
        <w:rPr>
          <w:b/>
          <w:bCs/>
        </w:rPr>
        <w:t>CONTROL DEPARTMENT FLASH)</w:t>
      </w:r>
      <w:r>
        <w:rPr>
          <w:b/>
          <w:bCs/>
        </w:rPr>
        <w:tab/>
      </w:r>
    </w:p>
    <w:p w:rsidR="005F7E07" w:rsidRDefault="00EF67E1">
      <w:pPr>
        <w:pStyle w:val="BodyA"/>
        <w:tabs>
          <w:tab w:val="right" w:pos="9270"/>
        </w:tabs>
        <w:suppressAutoHyphens/>
        <w:spacing w:line="360" w:lineRule="auto"/>
      </w:pPr>
      <w:r>
        <w:rPr>
          <w:b/>
          <w:bCs/>
        </w:rPr>
        <w:tab/>
      </w:r>
    </w:p>
    <w:p w:rsidR="005F7E07" w:rsidRDefault="00EF67E1">
      <w:pPr>
        <w:pStyle w:val="BodyA"/>
        <w:tabs>
          <w:tab w:val="right" w:pos="9270"/>
        </w:tabs>
        <w:suppressAutoHyphens/>
        <w:spacing w:line="360" w:lineRule="auto"/>
        <w:rPr>
          <w:b/>
          <w:bCs/>
        </w:rPr>
      </w:pPr>
      <w:r>
        <w:rPr>
          <w:b/>
          <w:bCs/>
        </w:rPr>
        <w:t xml:space="preserve">THE MINISTER OF POLICE </w:t>
      </w:r>
      <w:r>
        <w:tab/>
      </w:r>
      <w:r>
        <w:rPr>
          <w:b/>
          <w:bCs/>
        </w:rPr>
        <w:t>Fourth Respondent</w:t>
      </w:r>
    </w:p>
    <w:p w:rsidR="005F7E07" w:rsidRDefault="005F7E07">
      <w:pPr>
        <w:pStyle w:val="BodyA"/>
        <w:tabs>
          <w:tab w:val="right" w:pos="9270"/>
        </w:tabs>
        <w:suppressAutoHyphens/>
        <w:spacing w:line="360" w:lineRule="auto"/>
      </w:pPr>
    </w:p>
    <w:p w:rsidR="005F7E07" w:rsidRDefault="00EF67E1" w:rsidP="00053910">
      <w:pPr>
        <w:pStyle w:val="BodyA"/>
        <w:suppressAutoHyphens/>
        <w:spacing w:line="360" w:lineRule="auto"/>
        <w:jc w:val="both"/>
        <w:outlineLvl w:val="0"/>
        <w:rPr>
          <w:b/>
          <w:bCs/>
        </w:rPr>
      </w:pPr>
      <w:r>
        <w:rPr>
          <w:b/>
          <w:bCs/>
        </w:rPr>
        <w:t>———————————————————————————————————————</w:t>
      </w:r>
    </w:p>
    <w:p w:rsidR="005F7E07" w:rsidRDefault="00EF67E1">
      <w:pPr>
        <w:pStyle w:val="BodyA"/>
        <w:suppressAutoHyphens/>
        <w:spacing w:line="360" w:lineRule="auto"/>
        <w:ind w:firstLine="720"/>
        <w:jc w:val="center"/>
        <w:outlineLvl w:val="0"/>
        <w:rPr>
          <w:b/>
          <w:bCs/>
        </w:rPr>
      </w:pPr>
      <w:r>
        <w:rPr>
          <w:b/>
          <w:bCs/>
        </w:rPr>
        <w:t xml:space="preserve">JUDGEMENT </w:t>
      </w:r>
    </w:p>
    <w:p w:rsidR="005F7E07" w:rsidRDefault="00EF67E1">
      <w:pPr>
        <w:pStyle w:val="BodyC"/>
        <w:suppressAutoHyphens/>
        <w:spacing w:line="360" w:lineRule="auto"/>
        <w:jc w:val="center"/>
        <w:outlineLvl w:val="0"/>
      </w:pPr>
      <w:r>
        <w:rPr>
          <w:rFonts w:ascii="Arial" w:hAnsi="Arial"/>
          <w:b/>
          <w:bCs/>
          <w:kern w:val="28"/>
        </w:rPr>
        <w:t>THIS JUDGEMENT HAS BEEN HANDED DOWN REMOTELY AND SHALL BE CIRCULATED TO THE PARTIES BY WAY OF E- MAIL / UPLOADING ON CASELINES. ITS DATE OF HAN</w:t>
      </w:r>
      <w:r w:rsidR="00053910">
        <w:rPr>
          <w:rFonts w:ascii="Arial" w:hAnsi="Arial"/>
          <w:b/>
          <w:bCs/>
          <w:kern w:val="28"/>
        </w:rPr>
        <w:t>D DOWN SHALL BE DEEMED TO BE 05</w:t>
      </w:r>
      <w:r>
        <w:rPr>
          <w:rFonts w:ascii="Arial" w:hAnsi="Arial"/>
          <w:b/>
          <w:bCs/>
          <w:kern w:val="28"/>
        </w:rPr>
        <w:t xml:space="preserve"> JULY 2023</w:t>
      </w:r>
    </w:p>
    <w:p w:rsidR="005F7E07" w:rsidRDefault="00EF67E1">
      <w:pPr>
        <w:pStyle w:val="BodyA"/>
        <w:suppressAutoHyphens/>
        <w:spacing w:line="360" w:lineRule="auto"/>
        <w:jc w:val="center"/>
        <w:outlineLvl w:val="0"/>
        <w:rPr>
          <w:b/>
          <w:bCs/>
          <w:u w:val="single"/>
        </w:rPr>
      </w:pPr>
      <w:r>
        <w:rPr>
          <w:b/>
          <w:bCs/>
        </w:rPr>
        <w:t>———————————————————————————————————————</w:t>
      </w:r>
    </w:p>
    <w:p w:rsidR="005F7E07" w:rsidRDefault="00053910">
      <w:pPr>
        <w:pStyle w:val="level1"/>
        <w:suppressAutoHyphens/>
        <w:spacing w:after="480"/>
        <w:rPr>
          <w:b/>
          <w:bCs/>
          <w:u w:val="single"/>
        </w:rPr>
      </w:pPr>
      <w:r>
        <w:rPr>
          <w:b/>
          <w:bCs/>
        </w:rPr>
        <w:t xml:space="preserve">Bam </w:t>
      </w:r>
      <w:r w:rsidR="00EF67E1">
        <w:rPr>
          <w:b/>
          <w:bCs/>
        </w:rPr>
        <w:t>J</w:t>
      </w:r>
    </w:p>
    <w:p w:rsidR="005F7E07" w:rsidRDefault="00EF67E1">
      <w:pPr>
        <w:pStyle w:val="level1"/>
        <w:suppressAutoHyphens/>
        <w:spacing w:after="480"/>
        <w:rPr>
          <w14:textOutline w14:w="12700" w14:cap="flat" w14:cmpd="sng" w14:algn="ctr">
            <w14:noFill/>
            <w14:prstDash w14:val="solid"/>
            <w14:miter w14:lim="400000"/>
          </w14:textOutline>
        </w:rPr>
      </w:pPr>
      <w:r>
        <w:rPr>
          <w:b/>
          <w:bCs/>
        </w:rPr>
        <w:t xml:space="preserve">A. Introduction </w:t>
      </w:r>
    </w:p>
    <w:p w:rsidR="005F7E07" w:rsidRDefault="00227BF6" w:rsidP="00227BF6">
      <w:pPr>
        <w:pStyle w:val="BodyB"/>
        <w:suppressAutoHyphens/>
        <w:spacing w:line="480" w:lineRule="auto"/>
        <w:ind w:left="393" w:hanging="393"/>
        <w:jc w:val="both"/>
        <w:rPr>
          <w:rFonts w:ascii="Arial" w:hAnsi="Arial"/>
        </w:rPr>
      </w:pPr>
      <w:r>
        <w:rPr>
          <w:rFonts w:ascii="Arial" w:hAnsi="Arial Unicode MS"/>
        </w:rPr>
        <w:t>1</w:t>
      </w:r>
      <w:bookmarkStart w:id="0" w:name="_GoBack"/>
      <w:bookmarkEnd w:id="0"/>
      <w:r>
        <w:rPr>
          <w:rFonts w:ascii="Arial" w:hAnsi="Arial Unicode MS"/>
        </w:rPr>
        <w:t>.</w:t>
      </w:r>
      <w:r>
        <w:rPr>
          <w:rFonts w:ascii="Arial" w:hAnsi="Arial Unicode MS"/>
        </w:rPr>
        <w:tab/>
      </w:r>
      <w:r w:rsidR="00EF67E1">
        <w:rPr>
          <w:rFonts w:ascii="Arial" w:hAnsi="Arial"/>
        </w:rPr>
        <w:t>The applicants launched an urgent motion which was to be heard on 6 December 2022. In their notice of motion, they sought the following orders:</w:t>
      </w:r>
    </w:p>
    <w:p w:rsidR="005F7E07" w:rsidRDefault="00EF67E1">
      <w:pPr>
        <w:pStyle w:val="BodyB"/>
        <w:suppressAutoHyphens/>
        <w:spacing w:line="360" w:lineRule="auto"/>
        <w:ind w:left="567"/>
        <w:jc w:val="both"/>
        <w:rPr>
          <w:rFonts w:ascii="Arial" w:eastAsia="Arial" w:hAnsi="Arial" w:cs="Arial"/>
          <w:sz w:val="22"/>
          <w:szCs w:val="22"/>
        </w:rPr>
      </w:pPr>
      <w:r>
        <w:rPr>
          <w:rFonts w:ascii="Arial" w:hAnsi="Arial"/>
          <w:sz w:val="22"/>
          <w:szCs w:val="22"/>
        </w:rPr>
        <w:t>1. Dispensing with the normal rules contained in Rule 6…</w:t>
      </w:r>
    </w:p>
    <w:p w:rsidR="005F7E07" w:rsidRDefault="00EF67E1">
      <w:pPr>
        <w:pStyle w:val="BodyB"/>
        <w:suppressAutoHyphens/>
        <w:spacing w:line="360" w:lineRule="auto"/>
        <w:ind w:left="567"/>
        <w:jc w:val="both"/>
        <w:rPr>
          <w:rFonts w:ascii="Arial" w:eastAsia="Arial" w:hAnsi="Arial" w:cs="Arial"/>
          <w:sz w:val="22"/>
          <w:szCs w:val="22"/>
        </w:rPr>
      </w:pPr>
      <w:r>
        <w:rPr>
          <w:rFonts w:ascii="Arial" w:hAnsi="Arial"/>
          <w:sz w:val="22"/>
          <w:szCs w:val="22"/>
        </w:rPr>
        <w:lastRenderedPageBreak/>
        <w:t>2. An order interdicting and restraining any member of the South African Police Service acting…from effecting an arrest of any employe</w:t>
      </w:r>
      <w:r w:rsidR="009D42E6">
        <w:rPr>
          <w:rFonts w:ascii="Arial" w:hAnsi="Arial"/>
          <w:sz w:val="22"/>
          <w:szCs w:val="22"/>
        </w:rPr>
        <w:t>e of a transporter or a firearm</w:t>
      </w:r>
      <w:r>
        <w:rPr>
          <w:rFonts w:ascii="Arial" w:hAnsi="Arial"/>
          <w:sz w:val="22"/>
          <w:szCs w:val="22"/>
        </w:rPr>
        <w:t>…</w:t>
      </w:r>
    </w:p>
    <w:p w:rsidR="005F7E07" w:rsidRDefault="00EF67E1">
      <w:pPr>
        <w:pStyle w:val="BodyB"/>
        <w:suppressAutoHyphens/>
        <w:spacing w:line="360" w:lineRule="auto"/>
        <w:ind w:left="567"/>
        <w:jc w:val="both"/>
        <w:rPr>
          <w:rFonts w:ascii="Arial" w:eastAsia="Arial" w:hAnsi="Arial" w:cs="Arial"/>
          <w:sz w:val="22"/>
          <w:szCs w:val="22"/>
        </w:rPr>
      </w:pPr>
      <w:r>
        <w:rPr>
          <w:rFonts w:ascii="Arial" w:hAnsi="Arial"/>
          <w:sz w:val="22"/>
          <w:szCs w:val="22"/>
        </w:rPr>
        <w:t>3. An order that the provisions of Regulation 68 apply to the transportation of firearms by licensed transporters and by firearm dealers who have a licence to trade in arms and ammunition.</w:t>
      </w:r>
    </w:p>
    <w:p w:rsidR="005F7E07" w:rsidRDefault="00EF67E1">
      <w:pPr>
        <w:pStyle w:val="BodyB"/>
        <w:suppressAutoHyphens/>
        <w:spacing w:line="360" w:lineRule="auto"/>
        <w:ind w:left="567"/>
        <w:jc w:val="both"/>
        <w:rPr>
          <w:rFonts w:ascii="Arial" w:eastAsia="Arial" w:hAnsi="Arial" w:cs="Arial"/>
          <w:sz w:val="22"/>
          <w:szCs w:val="22"/>
        </w:rPr>
      </w:pPr>
      <w:r>
        <w:rPr>
          <w:rFonts w:ascii="Arial" w:hAnsi="Arial"/>
          <w:sz w:val="22"/>
          <w:szCs w:val="22"/>
        </w:rPr>
        <w:t>4. For an order declaring that the persons whose names have been submitted to the Central Firearms Registry in accordance with Regulation 70 (c) of the Firearms Control Act 60 of 2000 do not need to be in possession of and have granted a</w:t>
      </w:r>
      <w:r w:rsidR="009D42E6">
        <w:rPr>
          <w:rFonts w:ascii="Arial" w:hAnsi="Arial"/>
          <w:sz w:val="22"/>
          <w:szCs w:val="22"/>
        </w:rPr>
        <w:t xml:space="preserve"> competency certificate by the R</w:t>
      </w:r>
      <w:r>
        <w:rPr>
          <w:rFonts w:ascii="Arial" w:hAnsi="Arial"/>
          <w:sz w:val="22"/>
          <w:szCs w:val="22"/>
        </w:rPr>
        <w:t>espondents.</w:t>
      </w:r>
    </w:p>
    <w:p w:rsidR="005F7E07" w:rsidRDefault="00EF67E1">
      <w:pPr>
        <w:pStyle w:val="BodyB"/>
        <w:suppressAutoHyphens/>
        <w:spacing w:line="360" w:lineRule="auto"/>
        <w:ind w:left="567"/>
        <w:jc w:val="both"/>
        <w:rPr>
          <w:rFonts w:ascii="Arial" w:eastAsia="Arial" w:hAnsi="Arial" w:cs="Arial"/>
          <w:sz w:val="22"/>
          <w:szCs w:val="22"/>
        </w:rPr>
      </w:pPr>
      <w:r>
        <w:rPr>
          <w:rFonts w:ascii="Arial" w:hAnsi="Arial"/>
          <w:sz w:val="22"/>
          <w:szCs w:val="22"/>
        </w:rPr>
        <w:t>5. For an order that subject to the provisions of Regulation 68 and 70 of the Firearms Control Act, firearm dealers and firearm transporters, may transport firearms and ammunition with other non-controlled items in the same vehicle.</w:t>
      </w:r>
    </w:p>
    <w:p w:rsidR="005F7E07" w:rsidRDefault="00EF67E1">
      <w:pPr>
        <w:pStyle w:val="BodyB"/>
        <w:suppressAutoHyphens/>
        <w:spacing w:line="360" w:lineRule="auto"/>
        <w:ind w:left="567"/>
        <w:jc w:val="both"/>
        <w:rPr>
          <w:rFonts w:ascii="Arial" w:eastAsia="Arial" w:hAnsi="Arial" w:cs="Arial"/>
          <w:sz w:val="22"/>
          <w:szCs w:val="22"/>
        </w:rPr>
      </w:pPr>
      <w:r>
        <w:rPr>
          <w:rFonts w:ascii="Arial" w:hAnsi="Arial"/>
          <w:sz w:val="22"/>
          <w:szCs w:val="22"/>
        </w:rPr>
        <w:t xml:space="preserve">6. For an order that the Respondents can only impose conditions in terms of the Regulations of the Firearms Control Act. </w:t>
      </w:r>
    </w:p>
    <w:p w:rsidR="005F7E07" w:rsidRDefault="005F7E07">
      <w:pPr>
        <w:pStyle w:val="BodyB"/>
        <w:suppressAutoHyphens/>
        <w:spacing w:line="480" w:lineRule="auto"/>
        <w:jc w:val="both"/>
        <w:rPr>
          <w:rFonts w:ascii="Arial" w:eastAsia="Arial" w:hAnsi="Arial" w:cs="Arial"/>
        </w:rPr>
      </w:pPr>
    </w:p>
    <w:p w:rsidR="005F7E07" w:rsidRDefault="00227BF6" w:rsidP="00227BF6">
      <w:pPr>
        <w:pStyle w:val="BodyB"/>
        <w:suppressAutoHyphens/>
        <w:spacing w:line="480" w:lineRule="auto"/>
        <w:ind w:left="393" w:hanging="393"/>
        <w:jc w:val="both"/>
        <w:rPr>
          <w:rFonts w:ascii="Arial" w:hAnsi="Arial"/>
        </w:rPr>
      </w:pPr>
      <w:r>
        <w:rPr>
          <w:rFonts w:ascii="Arial" w:hAnsi="Arial Unicode MS"/>
        </w:rPr>
        <w:t>2.</w:t>
      </w:r>
      <w:r>
        <w:rPr>
          <w:rFonts w:ascii="Arial" w:hAnsi="Arial Unicode MS"/>
        </w:rPr>
        <w:tab/>
      </w:r>
      <w:r w:rsidR="00EF67E1">
        <w:rPr>
          <w:rFonts w:ascii="Arial" w:hAnsi="Arial"/>
        </w:rPr>
        <w:t xml:space="preserve">The interdict was granted on 9 December 2022, per Neukircher J, who postponed prayers 3, 4, 5, and 6 and reserved costs. In this application, the applicants seek the last mentioned prayers for the declaratory orders. The respondents are opposing the relief on various bases. </w:t>
      </w:r>
    </w:p>
    <w:p w:rsidR="005F7E07" w:rsidRDefault="005F7E07">
      <w:pPr>
        <w:pStyle w:val="BodyB"/>
        <w:suppressAutoHyphens/>
        <w:spacing w:line="480" w:lineRule="auto"/>
        <w:jc w:val="both"/>
        <w:rPr>
          <w:rFonts w:ascii="Arial" w:eastAsia="Arial" w:hAnsi="Arial" w:cs="Arial"/>
        </w:rPr>
      </w:pPr>
    </w:p>
    <w:p w:rsidR="005F7E07" w:rsidRDefault="00EF67E1">
      <w:pPr>
        <w:pStyle w:val="BodyB"/>
        <w:suppressAutoHyphens/>
        <w:spacing w:line="480" w:lineRule="auto"/>
        <w:jc w:val="both"/>
        <w:rPr>
          <w:rFonts w:ascii="Arial" w:eastAsia="Arial" w:hAnsi="Arial" w:cs="Arial"/>
          <w:b/>
          <w:bCs/>
        </w:rPr>
      </w:pPr>
      <w:r>
        <w:rPr>
          <w:rFonts w:ascii="Arial" w:hAnsi="Arial"/>
          <w:b/>
          <w:bCs/>
        </w:rPr>
        <w:t>B. Merits</w:t>
      </w:r>
    </w:p>
    <w:p w:rsidR="005F7E07" w:rsidRDefault="00227BF6" w:rsidP="00227BF6">
      <w:pPr>
        <w:pStyle w:val="BodyB"/>
        <w:suppressAutoHyphens/>
        <w:spacing w:line="480" w:lineRule="auto"/>
        <w:ind w:left="393" w:hanging="393"/>
        <w:jc w:val="both"/>
        <w:rPr>
          <w:rFonts w:ascii="Arial" w:hAnsi="Arial"/>
        </w:rPr>
      </w:pPr>
      <w:r>
        <w:rPr>
          <w:rFonts w:ascii="Arial" w:hAnsi="Arial Unicode MS"/>
        </w:rPr>
        <w:t>3.</w:t>
      </w:r>
      <w:r>
        <w:rPr>
          <w:rFonts w:ascii="Arial" w:hAnsi="Arial Unicode MS"/>
        </w:rPr>
        <w:tab/>
      </w:r>
      <w:r w:rsidR="00EF67E1">
        <w:rPr>
          <w:rFonts w:ascii="Arial" w:hAnsi="Arial"/>
        </w:rPr>
        <w:t>The applicants’ case is set out in the founding affidavit. It begins with the purpose of the application, which, according to the deponent, Mr Sean Wayne Ahmed, Head of Security for the first applicant, is to:</w:t>
      </w:r>
    </w:p>
    <w:p w:rsidR="005F7E07" w:rsidRDefault="00EF67E1">
      <w:pPr>
        <w:pStyle w:val="BodyB"/>
        <w:suppressAutoHyphens/>
        <w:spacing w:line="480" w:lineRule="auto"/>
        <w:ind w:left="567"/>
        <w:jc w:val="both"/>
        <w:rPr>
          <w:rFonts w:ascii="Arial" w:eastAsia="Arial" w:hAnsi="Arial" w:cs="Arial"/>
        </w:rPr>
      </w:pPr>
      <w:r>
        <w:rPr>
          <w:rFonts w:ascii="Arial" w:hAnsi="Arial"/>
        </w:rPr>
        <w:t>‘…</w:t>
      </w:r>
      <w:r>
        <w:rPr>
          <w:rFonts w:ascii="Arial" w:hAnsi="Arial"/>
          <w:b/>
          <w:bCs/>
        </w:rPr>
        <w:t xml:space="preserve">obtain clarity on the relevant legislation </w:t>
      </w:r>
      <w:r>
        <w:rPr>
          <w:rFonts w:ascii="Arial" w:hAnsi="Arial"/>
        </w:rPr>
        <w:t xml:space="preserve">that is applicable to the transport of firearms by licensed transporters and licensed firearm dealers, and to prevent unlawful arrests of persons who are deemed to be non-compliant with applicable provisions of the Firearms Control Act.’ (The emphasis is my own) </w:t>
      </w:r>
    </w:p>
    <w:p w:rsidR="005F7E07" w:rsidRDefault="00227BF6" w:rsidP="00227BF6">
      <w:pPr>
        <w:pStyle w:val="BodyB"/>
        <w:suppressAutoHyphens/>
        <w:spacing w:line="480" w:lineRule="auto"/>
        <w:ind w:left="393" w:hanging="393"/>
        <w:jc w:val="both"/>
        <w:rPr>
          <w:rFonts w:ascii="Arial" w:hAnsi="Arial"/>
        </w:rPr>
      </w:pPr>
      <w:r>
        <w:rPr>
          <w:rFonts w:ascii="Arial" w:hAnsi="Arial Unicode MS"/>
        </w:rPr>
        <w:lastRenderedPageBreak/>
        <w:t>4.</w:t>
      </w:r>
      <w:r>
        <w:rPr>
          <w:rFonts w:ascii="Arial" w:hAnsi="Arial Unicode MS"/>
        </w:rPr>
        <w:tab/>
      </w:r>
      <w:r w:rsidR="00EF67E1">
        <w:rPr>
          <w:rFonts w:ascii="Arial" w:hAnsi="Arial"/>
        </w:rPr>
        <w:t xml:space="preserve">The applicants thereafter delve into narrating the various provisions of the Firearms Control Act. These are sections 85 and 86, including regulations 68, 69, and 70 of the Firearms Control Act Regulations. After setting out the provisions of the Act and regulations, the applicants detail what they refer to as the detrimental and severe consequences of the actions of the respondents, which they say continue to impair the lawful transportation of firearms between firearm dealers and individuals spread throughout the Republic of South Africa. The applicants also include a narrative about how firearms are imported into South African and then distributed throughout the Republic. </w:t>
      </w:r>
    </w:p>
    <w:p w:rsidR="005F7E07" w:rsidRDefault="005F7E07">
      <w:pPr>
        <w:pStyle w:val="BodyB"/>
        <w:suppressAutoHyphens/>
        <w:spacing w:line="480" w:lineRule="auto"/>
        <w:jc w:val="both"/>
        <w:rPr>
          <w:rFonts w:ascii="Arial" w:eastAsia="Arial" w:hAnsi="Arial" w:cs="Arial"/>
        </w:rPr>
      </w:pPr>
    </w:p>
    <w:p w:rsidR="005F7E07" w:rsidRDefault="00227BF6" w:rsidP="00227BF6">
      <w:pPr>
        <w:pStyle w:val="BodyB"/>
        <w:suppressAutoHyphens/>
        <w:spacing w:line="480" w:lineRule="auto"/>
        <w:ind w:left="393" w:hanging="393"/>
        <w:jc w:val="both"/>
        <w:rPr>
          <w:rFonts w:ascii="Arial" w:hAnsi="Arial"/>
        </w:rPr>
      </w:pPr>
      <w:r>
        <w:rPr>
          <w:rFonts w:ascii="Arial" w:hAnsi="Arial Unicode MS"/>
        </w:rPr>
        <w:t>5.</w:t>
      </w:r>
      <w:r>
        <w:rPr>
          <w:rFonts w:ascii="Arial" w:hAnsi="Arial Unicode MS"/>
        </w:rPr>
        <w:tab/>
      </w:r>
      <w:r w:rsidR="00EF67E1">
        <w:rPr>
          <w:rFonts w:ascii="Arial" w:hAnsi="Arial"/>
        </w:rPr>
        <w:t xml:space="preserve">The applicants further point out that some threat of arrest had been made against it and its employees, which the </w:t>
      </w:r>
      <w:r w:rsidR="00EF67E1" w:rsidRPr="00013347">
        <w:rPr>
          <w:rFonts w:ascii="Arial" w:hAnsi="Arial"/>
        </w:rPr>
        <w:t>applicant</w:t>
      </w:r>
      <w:r w:rsidR="0060691E" w:rsidRPr="00013347">
        <w:rPr>
          <w:rFonts w:ascii="Arial" w:hAnsi="Arial"/>
        </w:rPr>
        <w:t>s</w:t>
      </w:r>
      <w:r w:rsidR="00EF67E1">
        <w:rPr>
          <w:rFonts w:ascii="Arial" w:hAnsi="Arial"/>
        </w:rPr>
        <w:t xml:space="preserve"> regards as serious.  They further attach copies of various e-mail communications between the first applicant and members of</w:t>
      </w:r>
      <w:r w:rsidR="0060691E">
        <w:rPr>
          <w:rFonts w:ascii="Arial" w:hAnsi="Arial"/>
        </w:rPr>
        <w:t xml:space="preserve"> </w:t>
      </w:r>
      <w:r w:rsidR="0060691E" w:rsidRPr="00013347">
        <w:rPr>
          <w:rFonts w:ascii="Arial" w:hAnsi="Arial"/>
        </w:rPr>
        <w:t>the</w:t>
      </w:r>
      <w:r w:rsidR="00EF67E1">
        <w:rPr>
          <w:rFonts w:ascii="Arial" w:hAnsi="Arial"/>
        </w:rPr>
        <w:t xml:space="preserve"> SAPS and discuss at length the proceedings of various meetings held with members of SAPS. The applicants conclude with a statement that if there were to be requirements for competency certificate for couriers, RAM, which has in excess of 2000 employees would simply not be able to obtain such competency certificates overnight to transport arms, and that the approval of a competency certificate takes about eight months and that if the conditions sought to be imposed are indeed imposed then there will be no lawful movement of firearms in South Africa, a result that will severely impede trade in firearms. </w:t>
      </w:r>
    </w:p>
    <w:p w:rsidR="005F7E07" w:rsidRDefault="005F7E07">
      <w:pPr>
        <w:pStyle w:val="BodyB"/>
        <w:suppressAutoHyphens/>
        <w:spacing w:line="480" w:lineRule="auto"/>
        <w:jc w:val="both"/>
        <w:rPr>
          <w:rFonts w:ascii="Arial" w:eastAsia="Arial" w:hAnsi="Arial" w:cs="Arial"/>
        </w:rPr>
      </w:pPr>
    </w:p>
    <w:p w:rsidR="0060691E" w:rsidRDefault="0060691E">
      <w:pPr>
        <w:pStyle w:val="BodyB"/>
        <w:suppressAutoHyphens/>
        <w:spacing w:line="480" w:lineRule="auto"/>
        <w:jc w:val="both"/>
        <w:rPr>
          <w:rFonts w:ascii="Arial" w:eastAsia="Arial" w:hAnsi="Arial" w:cs="Arial"/>
        </w:rPr>
      </w:pPr>
    </w:p>
    <w:p w:rsidR="005F7E07" w:rsidRDefault="0060691E">
      <w:pPr>
        <w:pStyle w:val="BodyB"/>
        <w:suppressAutoHyphens/>
        <w:spacing w:line="480" w:lineRule="auto"/>
        <w:jc w:val="both"/>
        <w:rPr>
          <w:rFonts w:ascii="Arial" w:eastAsia="Arial" w:hAnsi="Arial" w:cs="Arial"/>
          <w:b/>
          <w:bCs/>
        </w:rPr>
      </w:pPr>
      <w:r>
        <w:rPr>
          <w:rFonts w:ascii="Arial" w:hAnsi="Arial"/>
          <w:b/>
          <w:bCs/>
        </w:rPr>
        <w:lastRenderedPageBreak/>
        <w:t>C</w:t>
      </w:r>
      <w:r w:rsidR="00EF67E1">
        <w:rPr>
          <w:rFonts w:ascii="Arial" w:hAnsi="Arial"/>
          <w:b/>
          <w:bCs/>
        </w:rPr>
        <w:t>. The Law</w:t>
      </w:r>
    </w:p>
    <w:p w:rsidR="005F7E07" w:rsidRDefault="00227BF6" w:rsidP="00227BF6">
      <w:pPr>
        <w:pStyle w:val="BodyB"/>
        <w:suppressAutoHyphens/>
        <w:spacing w:line="480" w:lineRule="auto"/>
        <w:ind w:left="393" w:hanging="393"/>
        <w:jc w:val="both"/>
        <w:rPr>
          <w:rFonts w:ascii="Arial" w:hAnsi="Arial"/>
        </w:rPr>
      </w:pPr>
      <w:r>
        <w:rPr>
          <w:rFonts w:ascii="Arial" w:hAnsi="Arial Unicode MS"/>
        </w:rPr>
        <w:t>6.</w:t>
      </w:r>
      <w:r>
        <w:rPr>
          <w:rFonts w:ascii="Arial" w:hAnsi="Arial Unicode MS"/>
        </w:rPr>
        <w:tab/>
      </w:r>
      <w:r w:rsidR="00EF67E1">
        <w:rPr>
          <w:rFonts w:ascii="Arial" w:hAnsi="Arial"/>
        </w:rPr>
        <w:t xml:space="preserve">The statutory provision dealing with declaratory order is located in provision 21 (c) of the Superior </w:t>
      </w:r>
      <w:r w:rsidR="00EF67E1" w:rsidRPr="00013347">
        <w:rPr>
          <w:rFonts w:ascii="Arial" w:hAnsi="Arial"/>
        </w:rPr>
        <w:t>Court</w:t>
      </w:r>
      <w:r w:rsidR="0060691E" w:rsidRPr="00013347">
        <w:rPr>
          <w:rFonts w:ascii="Arial" w:hAnsi="Arial"/>
        </w:rPr>
        <w:t>s</w:t>
      </w:r>
      <w:r w:rsidR="00EF67E1">
        <w:rPr>
          <w:rFonts w:ascii="Arial" w:hAnsi="Arial"/>
        </w:rPr>
        <w:t xml:space="preserve"> Act</w:t>
      </w:r>
      <w:r w:rsidR="00EF67E1">
        <w:rPr>
          <w:rFonts w:ascii="Arial" w:eastAsia="Arial" w:hAnsi="Arial" w:cs="Arial"/>
          <w:vertAlign w:val="superscript"/>
        </w:rPr>
        <w:footnoteReference w:id="2"/>
      </w:r>
      <w:r w:rsidR="00EF67E1">
        <w:rPr>
          <w:rFonts w:ascii="Arial" w:hAnsi="Arial"/>
        </w:rPr>
        <w:t xml:space="preserve"> and it reads:</w:t>
      </w:r>
    </w:p>
    <w:p w:rsidR="005F7E07" w:rsidRDefault="00EF67E1">
      <w:pPr>
        <w:pStyle w:val="BodyB"/>
        <w:suppressAutoHyphens/>
        <w:spacing w:line="360" w:lineRule="auto"/>
        <w:ind w:left="567"/>
        <w:jc w:val="both"/>
        <w:rPr>
          <w:rFonts w:ascii="Arial" w:eastAsia="Arial" w:hAnsi="Arial" w:cs="Arial"/>
          <w:sz w:val="22"/>
          <w:szCs w:val="22"/>
        </w:rPr>
      </w:pPr>
      <w:r>
        <w:rPr>
          <w:rFonts w:ascii="Arial" w:hAnsi="Arial"/>
          <w:sz w:val="22"/>
          <w:szCs w:val="22"/>
        </w:rPr>
        <w:t>‘A Division [of the High Court] has jurisdiction over all persons residing or being in, and in relation to all causes arising and all offences triable within, its area of jurisdiction and all other matters of which it may according to law take cognisance, and has the power to - …</w:t>
      </w:r>
    </w:p>
    <w:p w:rsidR="005F7E07" w:rsidRDefault="005F7E07">
      <w:pPr>
        <w:pStyle w:val="BodyB"/>
        <w:suppressAutoHyphens/>
        <w:spacing w:line="360" w:lineRule="auto"/>
        <w:ind w:left="567"/>
        <w:jc w:val="both"/>
        <w:rPr>
          <w:rFonts w:ascii="Arial" w:eastAsia="Arial" w:hAnsi="Arial" w:cs="Arial"/>
          <w:sz w:val="22"/>
          <w:szCs w:val="22"/>
        </w:rPr>
      </w:pPr>
    </w:p>
    <w:p w:rsidR="005F7E07" w:rsidRDefault="00EF67E1">
      <w:pPr>
        <w:pStyle w:val="BodyB"/>
        <w:suppressAutoHyphens/>
        <w:spacing w:line="360" w:lineRule="auto"/>
        <w:ind w:left="567"/>
        <w:jc w:val="both"/>
        <w:rPr>
          <w:rFonts w:ascii="Arial" w:eastAsia="Arial" w:hAnsi="Arial" w:cs="Arial"/>
        </w:rPr>
      </w:pPr>
      <w:r>
        <w:rPr>
          <w:rFonts w:ascii="Arial" w:hAnsi="Arial"/>
          <w:sz w:val="22"/>
          <w:szCs w:val="22"/>
        </w:rPr>
        <w:t>(c) in its discretion, and at the instance of any interested person, to enquire into and determine any existing, future or contingent right or obligation, notwithstanding that such person cannot claim any relief consequential upon the determination.’</w:t>
      </w:r>
      <w:r>
        <w:rPr>
          <w:rFonts w:ascii="Arial" w:hAnsi="Arial"/>
        </w:rPr>
        <w:t xml:space="preserve"> </w:t>
      </w:r>
    </w:p>
    <w:p w:rsidR="005F7E07" w:rsidRDefault="005F7E07">
      <w:pPr>
        <w:pStyle w:val="BodyB"/>
        <w:suppressAutoHyphens/>
        <w:spacing w:line="360" w:lineRule="auto"/>
        <w:ind w:left="567"/>
        <w:jc w:val="both"/>
        <w:rPr>
          <w:rFonts w:ascii="Arial" w:eastAsia="Arial" w:hAnsi="Arial" w:cs="Arial"/>
        </w:rPr>
      </w:pPr>
    </w:p>
    <w:p w:rsidR="005F7E07" w:rsidRDefault="00227BF6" w:rsidP="00227BF6">
      <w:pPr>
        <w:pStyle w:val="BodyB"/>
        <w:suppressAutoHyphens/>
        <w:spacing w:line="480" w:lineRule="auto"/>
        <w:ind w:left="393" w:hanging="393"/>
        <w:jc w:val="both"/>
        <w:rPr>
          <w:rFonts w:ascii="Arial" w:hAnsi="Arial"/>
        </w:rPr>
      </w:pPr>
      <w:r>
        <w:rPr>
          <w:rFonts w:ascii="Arial" w:hAnsi="Arial Unicode MS"/>
        </w:rPr>
        <w:t>7.</w:t>
      </w:r>
      <w:r>
        <w:rPr>
          <w:rFonts w:ascii="Arial" w:hAnsi="Arial Unicode MS"/>
        </w:rPr>
        <w:tab/>
      </w:r>
      <w:r w:rsidR="00EF67E1">
        <w:rPr>
          <w:rFonts w:ascii="Arial" w:hAnsi="Arial"/>
        </w:rPr>
        <w:t xml:space="preserve">The predecessor to section 21 (c) is section 19 (c) of the Supreme Court Act, 59 of 1959, which was worded in exactly the same fashion as the current provision. Interpreting provision 19 (c) in </w:t>
      </w:r>
      <w:r w:rsidR="00EF67E1">
        <w:rPr>
          <w:rFonts w:ascii="Arial" w:hAnsi="Arial"/>
          <w:i/>
          <w:iCs/>
        </w:rPr>
        <w:t>Cordiant Trading CC</w:t>
      </w:r>
      <w:r w:rsidR="00EF67E1">
        <w:rPr>
          <w:rFonts w:ascii="Arial" w:hAnsi="Arial"/>
        </w:rPr>
        <w:t xml:space="preserve"> v </w:t>
      </w:r>
      <w:r w:rsidR="00EF67E1">
        <w:rPr>
          <w:rFonts w:ascii="Arial" w:hAnsi="Arial"/>
          <w:i/>
          <w:iCs/>
        </w:rPr>
        <w:t>Daimler Chrysler Financial Services (Pty) Ltd</w:t>
      </w:r>
      <w:r w:rsidR="00EF67E1">
        <w:rPr>
          <w:rFonts w:ascii="Arial" w:hAnsi="Arial"/>
        </w:rPr>
        <w:t>, it was said:</w:t>
      </w:r>
    </w:p>
    <w:p w:rsidR="005F7E07" w:rsidRDefault="00EF67E1">
      <w:pPr>
        <w:pStyle w:val="BodyB"/>
        <w:suppressAutoHyphens/>
        <w:spacing w:line="360" w:lineRule="auto"/>
        <w:ind w:left="567"/>
        <w:jc w:val="both"/>
        <w:rPr>
          <w:rFonts w:ascii="Arial" w:eastAsia="Arial" w:hAnsi="Arial" w:cs="Arial"/>
          <w:sz w:val="22"/>
          <w:szCs w:val="22"/>
        </w:rPr>
      </w:pPr>
      <w:r>
        <w:rPr>
          <w:rFonts w:ascii="Arial" w:hAnsi="Arial"/>
          <w:sz w:val="22"/>
          <w:szCs w:val="22"/>
        </w:rPr>
        <w:t>‘The question whether or not an order should be made under this section has to be examined in two stages. First the Court must be satisfied that the applicant is a person interested in an “existing, future or contingent right or obligation”, and then, if satisfied on that point, the Court must decide whether the case is a proper one for the exercise of the discretion conferred on it….[18] Put differently, the two-stage approach under the subsection consists of the following. During the first leg of the enquiry the court must be satisfied that the applicant has an interest in an ‘existing, future or contingent right or obligation’. At this stage the focus is only upon establishing that the necessary conditions precedent for the exercise of the court’s discretion exist. If the court is satisfied that the existence of such conditions has been proved, it has to exercise the discretion by deciding either to refuse or grant the order sought. The consideration of whether or not to grant the order constitutes the second leg of the enquiry.’</w:t>
      </w:r>
      <w:r>
        <w:rPr>
          <w:rFonts w:ascii="Arial" w:eastAsia="Arial" w:hAnsi="Arial" w:cs="Arial"/>
          <w:sz w:val="22"/>
          <w:szCs w:val="22"/>
          <w:vertAlign w:val="superscript"/>
        </w:rPr>
        <w:footnoteReference w:id="3"/>
      </w:r>
    </w:p>
    <w:p w:rsidR="005F7E07" w:rsidRDefault="005F7E07">
      <w:pPr>
        <w:pStyle w:val="BodyB"/>
        <w:suppressAutoHyphens/>
        <w:spacing w:line="360" w:lineRule="auto"/>
        <w:ind w:left="567"/>
        <w:jc w:val="both"/>
        <w:rPr>
          <w:rFonts w:ascii="Arial" w:eastAsia="Arial" w:hAnsi="Arial" w:cs="Arial"/>
          <w:sz w:val="22"/>
          <w:szCs w:val="22"/>
        </w:rPr>
      </w:pPr>
    </w:p>
    <w:p w:rsidR="005F7E07" w:rsidRDefault="00227BF6" w:rsidP="00227BF6">
      <w:pPr>
        <w:pStyle w:val="BodyB"/>
        <w:suppressAutoHyphens/>
        <w:spacing w:line="480" w:lineRule="auto"/>
        <w:ind w:left="393" w:hanging="393"/>
        <w:jc w:val="both"/>
        <w:rPr>
          <w:rFonts w:ascii="Arial" w:hAnsi="Arial"/>
        </w:rPr>
      </w:pPr>
      <w:r>
        <w:rPr>
          <w:rFonts w:ascii="Arial" w:hAnsi="Arial Unicode MS"/>
        </w:rPr>
        <w:lastRenderedPageBreak/>
        <w:t>8.</w:t>
      </w:r>
      <w:r>
        <w:rPr>
          <w:rFonts w:ascii="Arial" w:hAnsi="Arial Unicode MS"/>
        </w:rPr>
        <w:tab/>
      </w:r>
      <w:r w:rsidR="00EF67E1">
        <w:rPr>
          <w:rFonts w:ascii="Arial" w:hAnsi="Arial"/>
        </w:rPr>
        <w:t xml:space="preserve"> In </w:t>
      </w:r>
      <w:r w:rsidR="00EF67E1">
        <w:rPr>
          <w:rFonts w:ascii="Arial" w:hAnsi="Arial"/>
          <w:i/>
          <w:iCs/>
        </w:rPr>
        <w:t>Shoba</w:t>
      </w:r>
      <w:r w:rsidR="00EF67E1">
        <w:rPr>
          <w:rFonts w:ascii="Arial" w:hAnsi="Arial"/>
        </w:rPr>
        <w:t xml:space="preserve"> v </w:t>
      </w:r>
      <w:r w:rsidR="00EF67E1">
        <w:rPr>
          <w:rFonts w:ascii="Arial" w:hAnsi="Arial"/>
          <w:i/>
          <w:iCs/>
        </w:rPr>
        <w:t xml:space="preserve">Officer Commanding, Temporary Police Camp, Wagendrift Dam, Maphanga </w:t>
      </w:r>
      <w:r w:rsidR="00EF67E1">
        <w:rPr>
          <w:rFonts w:ascii="Arial" w:hAnsi="Arial"/>
        </w:rPr>
        <w:t xml:space="preserve">v </w:t>
      </w:r>
      <w:r w:rsidR="00EF67E1">
        <w:rPr>
          <w:rFonts w:ascii="Arial" w:hAnsi="Arial"/>
          <w:i/>
          <w:iCs/>
        </w:rPr>
        <w:t>Officer Commanding, SA Police Murder &amp; Robbery Unit, Pietermaritzburg</w:t>
      </w:r>
      <w:r w:rsidR="00EF67E1">
        <w:rPr>
          <w:rFonts w:ascii="Arial" w:hAnsi="Arial"/>
        </w:rPr>
        <w:t>, the applicant, appellant at the Supreme Court of Appeal, had applied, for what appeared to be an Anton Pillar order. It was turned down by the Pietermaritzburg High Court. In the process of endorsing the High Court’s reasoning, the SCA first noted:</w:t>
      </w:r>
    </w:p>
    <w:p w:rsidR="005F7E07" w:rsidRDefault="00EF67E1">
      <w:pPr>
        <w:pStyle w:val="BodyB"/>
        <w:suppressAutoHyphens/>
        <w:spacing w:line="360" w:lineRule="auto"/>
        <w:ind w:left="567"/>
        <w:jc w:val="both"/>
        <w:rPr>
          <w:rFonts w:ascii="Arial" w:eastAsia="Arial" w:hAnsi="Arial" w:cs="Arial"/>
          <w:sz w:val="22"/>
          <w:szCs w:val="22"/>
        </w:rPr>
      </w:pPr>
      <w:r>
        <w:rPr>
          <w:rFonts w:ascii="Arial" w:hAnsi="Arial"/>
          <w:sz w:val="22"/>
          <w:szCs w:val="22"/>
        </w:rPr>
        <w:t xml:space="preserve">‘ "Accordingly it seems to me that what this Court is now being asked to enquire into is not really the determination of an existing, future or contingent right, but a question of whether there were good prospects of success, to put it roughly, available to the applicant if he had moved for urgent relief in camera… It follows that I do not consider that this is a case in which the Court is being asked to enquire into a matter which falls under section 19(l)(a)(iii) of the Supreme Court Act even though the question at issue in this application is obviously an important one and even though it would be most desirable to have a ruling by the Courts on the question of whether the statutes which are referred to in Jafta's case may prove to be a bar to relief in camera in the type of situation contemplated in this application. I unfortunately do not consider that I have the power, especially sitting as a Judge of first instance, to grasp the nettle and resolve the question which the applicant implicitly poses in this application.” ’ </w:t>
      </w:r>
      <w:r>
        <w:rPr>
          <w:rFonts w:ascii="Arial" w:eastAsia="Arial" w:hAnsi="Arial" w:cs="Arial"/>
          <w:sz w:val="22"/>
          <w:szCs w:val="22"/>
          <w:vertAlign w:val="superscript"/>
        </w:rPr>
        <w:footnoteReference w:id="4"/>
      </w:r>
    </w:p>
    <w:p w:rsidR="005F7E07" w:rsidRDefault="005F7E07">
      <w:pPr>
        <w:pStyle w:val="BodyB"/>
        <w:suppressAutoHyphens/>
        <w:spacing w:line="360" w:lineRule="auto"/>
        <w:ind w:left="567"/>
        <w:jc w:val="both"/>
        <w:rPr>
          <w:rFonts w:ascii="Arial" w:eastAsia="Arial" w:hAnsi="Arial" w:cs="Arial"/>
          <w:sz w:val="22"/>
          <w:szCs w:val="22"/>
        </w:rPr>
      </w:pPr>
    </w:p>
    <w:p w:rsidR="005F7E07" w:rsidRDefault="00227BF6" w:rsidP="00227BF6">
      <w:pPr>
        <w:pStyle w:val="BodyB"/>
        <w:suppressAutoHyphens/>
        <w:spacing w:line="480" w:lineRule="auto"/>
        <w:ind w:left="393" w:hanging="393"/>
        <w:jc w:val="both"/>
        <w:rPr>
          <w:rFonts w:ascii="Arial" w:hAnsi="Arial"/>
        </w:rPr>
      </w:pPr>
      <w:r>
        <w:rPr>
          <w:rFonts w:ascii="Arial" w:hAnsi="Arial Unicode MS"/>
        </w:rPr>
        <w:t>9.</w:t>
      </w:r>
      <w:r>
        <w:rPr>
          <w:rFonts w:ascii="Arial" w:hAnsi="Arial Unicode MS"/>
        </w:rPr>
        <w:tab/>
      </w:r>
      <w:r w:rsidR="00EF67E1">
        <w:rPr>
          <w:rFonts w:ascii="Arial" w:hAnsi="Arial"/>
        </w:rPr>
        <w:t xml:space="preserve"> In </w:t>
      </w:r>
      <w:r w:rsidR="00EF67E1">
        <w:rPr>
          <w:rFonts w:ascii="Arial" w:hAnsi="Arial"/>
          <w:i/>
          <w:iCs/>
        </w:rPr>
        <w:t>Ferreira v Levin NO and Others</w:t>
      </w:r>
      <w:r w:rsidR="00EF67E1">
        <w:rPr>
          <w:rFonts w:ascii="Arial" w:hAnsi="Arial"/>
        </w:rPr>
        <w:t xml:space="preserve">; </w:t>
      </w:r>
      <w:r w:rsidR="00EF67E1">
        <w:rPr>
          <w:rFonts w:ascii="Arial" w:hAnsi="Arial"/>
          <w:i/>
          <w:iCs/>
        </w:rPr>
        <w:t>Vryenhoek and Others v Powell NO and Others</w:t>
      </w:r>
      <w:r w:rsidR="00EF67E1">
        <w:rPr>
          <w:rFonts w:ascii="Arial" w:hAnsi="Arial"/>
        </w:rPr>
        <w:t xml:space="preserve">, Kriegler J, dissenting, put the point aptly in this extract:  </w:t>
      </w:r>
    </w:p>
    <w:p w:rsidR="005F7E07" w:rsidRDefault="00EF67E1">
      <w:pPr>
        <w:pStyle w:val="BodyB"/>
        <w:suppressAutoHyphens/>
        <w:spacing w:line="360" w:lineRule="auto"/>
        <w:ind w:left="567"/>
        <w:jc w:val="both"/>
        <w:rPr>
          <w:rFonts w:ascii="Arial" w:eastAsia="Arial" w:hAnsi="Arial" w:cs="Arial"/>
          <w:sz w:val="22"/>
          <w:szCs w:val="22"/>
        </w:rPr>
      </w:pPr>
      <w:r>
        <w:rPr>
          <w:rFonts w:ascii="Arial" w:hAnsi="Arial"/>
          <w:sz w:val="22"/>
          <w:szCs w:val="22"/>
        </w:rPr>
        <w:t>‘The essential flaw in the applicants' cases is one of timing or, as the Americans and, occasionally, the Canadians call it, "ripeness". That term has a particular connotation in the constitutional jurisprudence of those countries which need not be analysed now. Suffice it to say that the doctrine of ripeness serves the useful purpose of highlighting that the business of a court is generally retrospective; it deals with situations or problems that have already ripened or crystallised, and not with prospective or hypothetical ones.</w:t>
      </w:r>
    </w:p>
    <w:p w:rsidR="005F7E07" w:rsidRDefault="00EF67E1">
      <w:pPr>
        <w:pStyle w:val="BodyB"/>
        <w:suppressAutoHyphens/>
        <w:spacing w:line="360" w:lineRule="auto"/>
        <w:ind w:left="567"/>
        <w:jc w:val="both"/>
        <w:rPr>
          <w:rFonts w:ascii="Arial" w:eastAsia="Arial" w:hAnsi="Arial" w:cs="Arial"/>
          <w:sz w:val="22"/>
          <w:szCs w:val="22"/>
        </w:rPr>
      </w:pPr>
      <w:r>
        <w:rPr>
          <w:rFonts w:ascii="Arial" w:hAnsi="Arial"/>
          <w:sz w:val="22"/>
          <w:szCs w:val="22"/>
        </w:rPr>
        <w:t xml:space="preserve">Although, as Professor Sharpe points out and our Constitution acknowledges, the criteria for hearing constitutional case are more generous than for ordinary suits, even cases for </w:t>
      </w:r>
      <w:r>
        <w:rPr>
          <w:rFonts w:ascii="Arial" w:hAnsi="Arial"/>
          <w:sz w:val="22"/>
          <w:szCs w:val="22"/>
        </w:rPr>
        <w:lastRenderedPageBreak/>
        <w:t>relief on constitutional grounds are not decided in the air. And the present cases seem to me, as I have tried to show in the parody above, to be pre-eminent examples of speculative cases. The time of this Court is too valuable to be frittered away on hypothetical fears of corporate skeletons being discovered.’</w:t>
      </w:r>
      <w:r>
        <w:rPr>
          <w:rFonts w:ascii="Arial" w:eastAsia="Arial" w:hAnsi="Arial" w:cs="Arial"/>
          <w:sz w:val="22"/>
          <w:szCs w:val="22"/>
          <w:vertAlign w:val="superscript"/>
        </w:rPr>
        <w:footnoteReference w:id="5"/>
      </w:r>
    </w:p>
    <w:p w:rsidR="005F7E07" w:rsidRDefault="005F7E07">
      <w:pPr>
        <w:pStyle w:val="BodyB"/>
        <w:suppressAutoHyphens/>
        <w:spacing w:line="480" w:lineRule="auto"/>
        <w:jc w:val="both"/>
        <w:rPr>
          <w:rFonts w:ascii="Arial" w:eastAsia="Arial" w:hAnsi="Arial" w:cs="Arial"/>
        </w:rPr>
      </w:pPr>
    </w:p>
    <w:p w:rsidR="005F7E07" w:rsidRDefault="00227BF6" w:rsidP="00227BF6">
      <w:pPr>
        <w:pStyle w:val="BodyB"/>
        <w:suppressAutoHyphens/>
        <w:spacing w:line="480" w:lineRule="auto"/>
        <w:ind w:left="393" w:hanging="393"/>
        <w:jc w:val="both"/>
        <w:rPr>
          <w:rFonts w:ascii="Arial" w:hAnsi="Arial"/>
        </w:rPr>
      </w:pPr>
      <w:r>
        <w:rPr>
          <w:rFonts w:ascii="Arial" w:hAnsi="Arial Unicode MS"/>
        </w:rPr>
        <w:t>10.</w:t>
      </w:r>
      <w:r>
        <w:rPr>
          <w:rFonts w:ascii="Arial" w:hAnsi="Arial Unicode MS"/>
        </w:rPr>
        <w:tab/>
      </w:r>
      <w:r w:rsidR="00EF67E1">
        <w:rPr>
          <w:rFonts w:ascii="Arial" w:hAnsi="Arial"/>
        </w:rPr>
        <w:t xml:space="preserve">More recently in </w:t>
      </w:r>
      <w:r w:rsidR="00EF67E1">
        <w:rPr>
          <w:rFonts w:ascii="Arial" w:hAnsi="Arial"/>
          <w:i/>
          <w:iCs/>
        </w:rPr>
        <w:t xml:space="preserve">N S </w:t>
      </w:r>
      <w:r w:rsidR="00EF67E1">
        <w:rPr>
          <w:rFonts w:ascii="Arial" w:hAnsi="Arial"/>
        </w:rPr>
        <w:t xml:space="preserve">v </w:t>
      </w:r>
      <w:r w:rsidR="00EF67E1">
        <w:rPr>
          <w:rFonts w:ascii="Arial" w:hAnsi="Arial"/>
          <w:i/>
          <w:iCs/>
        </w:rPr>
        <w:t>J N</w:t>
      </w:r>
      <w:r w:rsidR="00EF67E1">
        <w:rPr>
          <w:rFonts w:ascii="Arial" w:hAnsi="Arial"/>
        </w:rPr>
        <w:t>, it was said:</w:t>
      </w:r>
    </w:p>
    <w:p w:rsidR="005F7E07" w:rsidRDefault="00EF67E1">
      <w:pPr>
        <w:pStyle w:val="BodyB"/>
        <w:suppressAutoHyphens/>
        <w:spacing w:line="360" w:lineRule="auto"/>
        <w:ind w:left="567"/>
        <w:jc w:val="both"/>
        <w:rPr>
          <w:rFonts w:ascii="Arial" w:eastAsia="Arial" w:hAnsi="Arial" w:cs="Arial"/>
          <w:sz w:val="22"/>
          <w:szCs w:val="22"/>
        </w:rPr>
      </w:pPr>
      <w:r>
        <w:rPr>
          <w:rFonts w:ascii="Arial" w:hAnsi="Arial"/>
          <w:sz w:val="22"/>
          <w:szCs w:val="22"/>
        </w:rPr>
        <w:t xml:space="preserve">‘After all, courts of appeal often have to deal with congested rolls. And, as Innes CJ observed in Geldenhuys &amp; Neethling v Beuthin, they exist for the settlement of concrete controversies and actual infringements of rights, not to pronounce upon abstract questions, or to </w:t>
      </w:r>
      <w:r>
        <w:rPr>
          <w:rFonts w:ascii="Arial" w:hAnsi="Arial"/>
          <w:b/>
          <w:bCs/>
          <w:sz w:val="22"/>
          <w:szCs w:val="22"/>
        </w:rPr>
        <w:t xml:space="preserve">advise </w:t>
      </w:r>
      <w:r>
        <w:rPr>
          <w:rFonts w:ascii="Arial" w:hAnsi="Arial"/>
          <w:sz w:val="22"/>
          <w:szCs w:val="22"/>
        </w:rPr>
        <w:t>upon differing contentions, however important. . .’</w:t>
      </w:r>
      <w:r>
        <w:rPr>
          <w:rFonts w:ascii="Arial" w:eastAsia="Arial" w:hAnsi="Arial" w:cs="Arial"/>
          <w:sz w:val="22"/>
          <w:szCs w:val="22"/>
          <w:vertAlign w:val="superscript"/>
        </w:rPr>
        <w:footnoteReference w:id="6"/>
      </w:r>
      <w:r>
        <w:rPr>
          <w:rFonts w:ascii="Arial" w:hAnsi="Arial"/>
          <w:sz w:val="22"/>
          <w:szCs w:val="22"/>
        </w:rPr>
        <w:t xml:space="preserve"> (emphasis supplied)</w:t>
      </w:r>
    </w:p>
    <w:p w:rsidR="005F7E07" w:rsidRDefault="005F7E07">
      <w:pPr>
        <w:pStyle w:val="BodyB"/>
        <w:suppressAutoHyphens/>
        <w:spacing w:line="360" w:lineRule="auto"/>
        <w:ind w:left="567"/>
        <w:jc w:val="both"/>
        <w:rPr>
          <w:rFonts w:ascii="Arial" w:eastAsia="Arial" w:hAnsi="Arial" w:cs="Arial"/>
          <w:sz w:val="22"/>
          <w:szCs w:val="22"/>
        </w:rPr>
      </w:pPr>
    </w:p>
    <w:p w:rsidR="005F7E07" w:rsidRDefault="00227BF6" w:rsidP="00227BF6">
      <w:pPr>
        <w:pStyle w:val="BodyB"/>
        <w:suppressAutoHyphens/>
        <w:spacing w:line="480" w:lineRule="auto"/>
        <w:ind w:left="393" w:hanging="393"/>
        <w:jc w:val="both"/>
        <w:rPr>
          <w:rFonts w:ascii="Arial" w:hAnsi="Arial"/>
        </w:rPr>
      </w:pPr>
      <w:r>
        <w:rPr>
          <w:rFonts w:ascii="Arial" w:hAnsi="Arial Unicode MS"/>
        </w:rPr>
        <w:t>11.</w:t>
      </w:r>
      <w:r>
        <w:rPr>
          <w:rFonts w:ascii="Arial" w:hAnsi="Arial Unicode MS"/>
        </w:rPr>
        <w:tab/>
      </w:r>
      <w:r w:rsidR="00EF67E1">
        <w:rPr>
          <w:rFonts w:ascii="Arial" w:hAnsi="Arial"/>
        </w:rPr>
        <w:t xml:space="preserve"> The applicants in their founding affidavit are clear that they seek clarity from this court. In simple terms, the applicants are looking for legal advice. But courts, as made clear by the cases quoted in this judgement exist to decide concrete controversies and actual infringements of rights and not to pronounce on abstract questions or to advise upon differing contentions, however important. It is clear that the questions the applicants are grappling with are of importance to them and their businesses. If one carefully analyses the applicants’ affidavit i</w:t>
      </w:r>
      <w:r w:rsidR="00013347">
        <w:rPr>
          <w:rFonts w:ascii="Arial" w:hAnsi="Arial"/>
        </w:rPr>
        <w:t xml:space="preserve">n its entirety, the applicants </w:t>
      </w:r>
      <w:r w:rsidR="00EF67E1">
        <w:rPr>
          <w:rFonts w:ascii="Arial" w:hAnsi="Arial"/>
        </w:rPr>
        <w:t xml:space="preserve">are clear; they seek a legal opinion from this court. The applications on those bases cannot succeed on this basis alone.  Besides, I consider that in providing such an opinion, as the respondents argue, this court will be committing an unnecessary trespass into the terrain of the executive. See in this regard the court’s ratio in </w:t>
      </w:r>
      <w:r w:rsidR="00EF67E1" w:rsidRPr="00013347">
        <w:rPr>
          <w:rFonts w:ascii="Arial" w:hAnsi="Arial"/>
          <w:i/>
        </w:rPr>
        <w:t>Bato Star Fishing (Pty) Ltd v Minister of Environmental Affairs and Tourism and Others</w:t>
      </w:r>
      <w:r w:rsidR="00EF67E1">
        <w:rPr>
          <w:rFonts w:ascii="Arial" w:eastAsia="Arial" w:hAnsi="Arial" w:cs="Arial"/>
          <w:vertAlign w:val="superscript"/>
        </w:rPr>
        <w:footnoteReference w:id="7"/>
      </w:r>
      <w:r w:rsidR="00EF67E1">
        <w:rPr>
          <w:rFonts w:ascii="Arial" w:hAnsi="Arial"/>
        </w:rPr>
        <w:t>.</w:t>
      </w:r>
    </w:p>
    <w:p w:rsidR="005F7E07" w:rsidRDefault="005F7E07">
      <w:pPr>
        <w:pStyle w:val="BodyB"/>
        <w:suppressAutoHyphens/>
        <w:spacing w:line="480" w:lineRule="auto"/>
        <w:jc w:val="both"/>
        <w:rPr>
          <w:rFonts w:ascii="Arial" w:eastAsia="Arial" w:hAnsi="Arial" w:cs="Arial"/>
        </w:rPr>
      </w:pPr>
    </w:p>
    <w:p w:rsidR="005F7E07" w:rsidRDefault="00013347">
      <w:pPr>
        <w:pStyle w:val="level1"/>
        <w:tabs>
          <w:tab w:val="left" w:pos="331"/>
          <w:tab w:val="left" w:pos="359"/>
          <w:tab w:val="left" w:pos="389"/>
          <w:tab w:val="left" w:pos="393"/>
        </w:tabs>
        <w:suppressAutoHyphens/>
        <w:spacing w:after="480" w:line="480" w:lineRule="auto"/>
        <w:jc w:val="both"/>
        <w:rPr>
          <w:b/>
          <w:bCs/>
        </w:rPr>
      </w:pPr>
      <w:r>
        <w:rPr>
          <w:b/>
          <w:bCs/>
        </w:rPr>
        <w:lastRenderedPageBreak/>
        <w:t>D</w:t>
      </w:r>
      <w:r w:rsidR="00EF67E1">
        <w:rPr>
          <w:b/>
          <w:bCs/>
        </w:rPr>
        <w:t xml:space="preserve">. </w:t>
      </w:r>
      <w:r w:rsidR="00EF67E1">
        <w:rPr>
          <w:b/>
          <w:bCs/>
          <w:color w:val="191926"/>
          <w:u w:color="191926"/>
        </w:rPr>
        <w:t>Order</w:t>
      </w:r>
    </w:p>
    <w:p w:rsidR="005F7E07" w:rsidRDefault="00227BF6" w:rsidP="00227BF6">
      <w:pPr>
        <w:pStyle w:val="BodyB"/>
        <w:suppressAutoHyphens/>
        <w:spacing w:line="480" w:lineRule="auto"/>
        <w:ind w:left="720" w:hanging="720"/>
        <w:jc w:val="both"/>
        <w:rPr>
          <w:rFonts w:ascii="Arial" w:hAnsi="Arial"/>
        </w:rPr>
      </w:pPr>
      <w:r>
        <w:rPr>
          <w:rFonts w:ascii="Arial" w:hAnsi="Arial Unicode MS"/>
        </w:rPr>
        <w:t>12.</w:t>
      </w:r>
      <w:r>
        <w:rPr>
          <w:rFonts w:ascii="Arial" w:hAnsi="Arial Unicode MS"/>
        </w:rPr>
        <w:tab/>
      </w:r>
      <w:r w:rsidR="00EF67E1">
        <w:rPr>
          <w:rFonts w:ascii="Arial" w:hAnsi="Arial"/>
        </w:rPr>
        <w:t>The application is dismissed with costs.</w:t>
      </w:r>
    </w:p>
    <w:p w:rsidR="005F7E07" w:rsidRDefault="00EF67E1">
      <w:pPr>
        <w:pStyle w:val="BodyA"/>
        <w:suppressAutoHyphens/>
        <w:spacing w:line="480" w:lineRule="auto"/>
        <w:ind w:left="3600" w:firstLine="720"/>
      </w:pPr>
      <w:r>
        <w:tab/>
      </w:r>
    </w:p>
    <w:p w:rsidR="00013347" w:rsidRDefault="00013347">
      <w:pPr>
        <w:pStyle w:val="BodyA"/>
        <w:suppressAutoHyphens/>
        <w:spacing w:line="480" w:lineRule="auto"/>
        <w:ind w:left="3600" w:firstLine="720"/>
      </w:pPr>
    </w:p>
    <w:p w:rsidR="00013347" w:rsidRDefault="00013347">
      <w:pPr>
        <w:pStyle w:val="BodyA"/>
        <w:suppressAutoHyphens/>
        <w:spacing w:line="480" w:lineRule="auto"/>
        <w:ind w:left="3600" w:firstLine="720"/>
      </w:pPr>
    </w:p>
    <w:p w:rsidR="005F7E07" w:rsidRDefault="00EF67E1">
      <w:pPr>
        <w:pStyle w:val="BodyA"/>
        <w:suppressAutoHyphens/>
        <w:spacing w:line="480" w:lineRule="auto"/>
        <w:ind w:left="3600" w:firstLine="720"/>
      </w:pPr>
      <w:r>
        <w:t>——————————————————</w:t>
      </w:r>
    </w:p>
    <w:p w:rsidR="00013347" w:rsidRDefault="00EF67E1" w:rsidP="00013347">
      <w:pPr>
        <w:pStyle w:val="BodyA"/>
        <w:suppressAutoHyphens/>
        <w:spacing w:line="480" w:lineRule="auto"/>
        <w:ind w:left="3600" w:firstLine="720"/>
        <w:rPr>
          <w:b/>
          <w:bCs/>
        </w:rPr>
      </w:pPr>
      <w:r>
        <w:rPr>
          <w:b/>
          <w:bCs/>
        </w:rPr>
        <w:t>BAM N</w:t>
      </w:r>
      <w:r w:rsidR="00013347">
        <w:rPr>
          <w:b/>
          <w:bCs/>
        </w:rPr>
        <w:t>.</w:t>
      </w:r>
      <w:r>
        <w:rPr>
          <w:b/>
          <w:bCs/>
        </w:rPr>
        <w:t xml:space="preserve">N  </w:t>
      </w:r>
      <w:r>
        <w:t xml:space="preserve">                     </w:t>
      </w:r>
      <w:bookmarkStart w:id="1" w:name="_Hlk267640"/>
    </w:p>
    <w:p w:rsidR="00013347" w:rsidRDefault="00EF67E1" w:rsidP="00013347">
      <w:pPr>
        <w:pStyle w:val="BodyA"/>
        <w:suppressAutoHyphens/>
        <w:spacing w:line="480" w:lineRule="auto"/>
        <w:ind w:left="3600" w:firstLine="720"/>
        <w:rPr>
          <w:b/>
          <w:bCs/>
        </w:rPr>
      </w:pPr>
      <w:r>
        <w:rPr>
          <w:b/>
          <w:bCs/>
        </w:rPr>
        <w:t xml:space="preserve">JUDGE OF THE HIGH COURT, </w:t>
      </w:r>
      <w:bookmarkEnd w:id="1"/>
    </w:p>
    <w:p w:rsidR="005F7E07" w:rsidRDefault="00EF67E1" w:rsidP="00013347">
      <w:pPr>
        <w:pStyle w:val="BodyA"/>
        <w:suppressAutoHyphens/>
        <w:spacing w:line="480" w:lineRule="auto"/>
        <w:ind w:left="3600" w:firstLine="720"/>
        <w:rPr>
          <w:b/>
          <w:bCs/>
        </w:rPr>
      </w:pPr>
      <w:r>
        <w:rPr>
          <w:b/>
          <w:bCs/>
        </w:rPr>
        <w:t>PRETORIA</w:t>
      </w:r>
    </w:p>
    <w:p w:rsidR="005F7E07" w:rsidRDefault="005F7E07">
      <w:pPr>
        <w:pStyle w:val="BodyA"/>
        <w:suppressAutoHyphens/>
        <w:spacing w:line="480" w:lineRule="auto"/>
        <w:ind w:left="4395"/>
        <w:rPr>
          <w:b/>
          <w:bCs/>
        </w:rPr>
      </w:pPr>
    </w:p>
    <w:p w:rsidR="005F7E07" w:rsidRDefault="00013347">
      <w:pPr>
        <w:pStyle w:val="BodyA"/>
        <w:suppressAutoHyphens/>
        <w:spacing w:line="480" w:lineRule="auto"/>
        <w:ind w:left="4395" w:hanging="4395"/>
        <w:rPr>
          <w:b/>
          <w:bCs/>
        </w:rPr>
      </w:pPr>
      <w:r>
        <w:rPr>
          <w:b/>
          <w:bCs/>
        </w:rPr>
        <w:t>Date of Hearing:</w:t>
      </w:r>
      <w:r>
        <w:rPr>
          <w:b/>
          <w:bCs/>
        </w:rPr>
        <w:tab/>
        <w:t>8 March</w:t>
      </w:r>
      <w:r w:rsidR="00EF67E1">
        <w:rPr>
          <w:b/>
          <w:bCs/>
        </w:rPr>
        <w:t xml:space="preserve"> 2023</w:t>
      </w:r>
    </w:p>
    <w:p w:rsidR="005F7E07" w:rsidRDefault="00013347">
      <w:pPr>
        <w:pStyle w:val="BodyA"/>
        <w:suppressAutoHyphens/>
        <w:spacing w:line="480" w:lineRule="auto"/>
        <w:ind w:left="4395" w:hanging="4395"/>
        <w:rPr>
          <w:b/>
          <w:bCs/>
        </w:rPr>
      </w:pPr>
      <w:r>
        <w:rPr>
          <w:b/>
          <w:bCs/>
        </w:rPr>
        <w:t xml:space="preserve">Date of Judgement: </w:t>
      </w:r>
      <w:r>
        <w:rPr>
          <w:b/>
          <w:bCs/>
        </w:rPr>
        <w:tab/>
        <w:t>05 July</w:t>
      </w:r>
      <w:r w:rsidR="00EF67E1">
        <w:rPr>
          <w:b/>
          <w:bCs/>
        </w:rPr>
        <w:t xml:space="preserve"> 2023</w:t>
      </w:r>
    </w:p>
    <w:p w:rsidR="005F7E07" w:rsidRDefault="005F7E07">
      <w:pPr>
        <w:pStyle w:val="BodyA"/>
        <w:suppressAutoHyphens/>
        <w:spacing w:line="480" w:lineRule="auto"/>
        <w:ind w:left="4395"/>
      </w:pPr>
    </w:p>
    <w:p w:rsidR="005F7E07" w:rsidRDefault="00EF67E1">
      <w:pPr>
        <w:pStyle w:val="BodyA"/>
        <w:suppressAutoHyphens/>
        <w:spacing w:line="480" w:lineRule="auto"/>
        <w:rPr>
          <w:b/>
          <w:bCs/>
        </w:rPr>
      </w:pPr>
      <w:r>
        <w:t>Appearances:</w:t>
      </w:r>
    </w:p>
    <w:p w:rsidR="00013347" w:rsidRDefault="00EF67E1">
      <w:pPr>
        <w:pStyle w:val="BodyA"/>
        <w:suppressAutoHyphens/>
        <w:spacing w:line="480" w:lineRule="auto"/>
        <w:rPr>
          <w:b/>
          <w:bCs/>
        </w:rPr>
      </w:pPr>
      <w:r w:rsidRPr="00013347">
        <w:rPr>
          <w:b/>
        </w:rPr>
        <w:t>Applicants:</w:t>
      </w:r>
      <w:r>
        <w:tab/>
      </w:r>
      <w:r w:rsidR="00013347">
        <w:rPr>
          <w:b/>
          <w:bCs/>
        </w:rPr>
        <w:tab/>
      </w:r>
      <w:r w:rsidR="00013347">
        <w:rPr>
          <w:b/>
          <w:bCs/>
        </w:rPr>
        <w:tab/>
      </w:r>
      <w:r w:rsidR="00013347">
        <w:rPr>
          <w:b/>
          <w:bCs/>
        </w:rPr>
        <w:tab/>
      </w:r>
      <w:r w:rsidR="00013347">
        <w:rPr>
          <w:b/>
          <w:bCs/>
        </w:rPr>
        <w:tab/>
      </w:r>
      <w:r>
        <w:rPr>
          <w:b/>
          <w:bCs/>
        </w:rPr>
        <w:t xml:space="preserve">Adv </w:t>
      </w:r>
      <w:r w:rsidR="00013347">
        <w:rPr>
          <w:b/>
          <w:bCs/>
        </w:rPr>
        <w:t xml:space="preserve">M </w:t>
      </w:r>
      <w:r>
        <w:rPr>
          <w:b/>
          <w:bCs/>
        </w:rPr>
        <w:t>Snyman</w:t>
      </w:r>
      <w:r w:rsidR="00013347">
        <w:rPr>
          <w:b/>
          <w:bCs/>
        </w:rPr>
        <w:t xml:space="preserve"> SC </w:t>
      </w:r>
      <w:r w:rsidR="00013347">
        <w:rPr>
          <w:b/>
          <w:bCs/>
        </w:rPr>
        <w:tab/>
      </w:r>
    </w:p>
    <w:p w:rsidR="005F7E07" w:rsidRDefault="00013347">
      <w:pPr>
        <w:pStyle w:val="BodyA"/>
        <w:suppressAutoHyphens/>
        <w:spacing w:line="480" w:lineRule="auto"/>
      </w:pPr>
      <w:r>
        <w:t xml:space="preserve">Instructed by: </w:t>
      </w:r>
      <w:r>
        <w:tab/>
      </w:r>
      <w:r>
        <w:tab/>
      </w:r>
      <w:r>
        <w:tab/>
      </w:r>
      <w:r>
        <w:tab/>
        <w:t>M</w:t>
      </w:r>
      <w:r w:rsidR="00EF67E1">
        <w:t xml:space="preserve">J </w:t>
      </w:r>
      <w:r>
        <w:t xml:space="preserve">Hood and Associates Inc </w:t>
      </w:r>
      <w:r>
        <w:tab/>
      </w:r>
      <w:r>
        <w:tab/>
      </w:r>
      <w:r>
        <w:tab/>
      </w:r>
      <w:r>
        <w:tab/>
      </w:r>
      <w:r>
        <w:tab/>
      </w:r>
      <w:r>
        <w:tab/>
      </w:r>
      <w:r>
        <w:tab/>
      </w:r>
      <w:r>
        <w:tab/>
      </w:r>
      <w:r>
        <w:tab/>
      </w:r>
      <w:r w:rsidR="00EF67E1">
        <w:t>Woodmead</w:t>
      </w:r>
    </w:p>
    <w:p w:rsidR="005F7E07" w:rsidRDefault="005F7E07">
      <w:pPr>
        <w:pStyle w:val="BodyA"/>
        <w:suppressAutoHyphens/>
        <w:spacing w:line="480" w:lineRule="auto"/>
      </w:pPr>
    </w:p>
    <w:p w:rsidR="005F7E07" w:rsidRDefault="00EF67E1">
      <w:pPr>
        <w:pStyle w:val="BodyA"/>
        <w:suppressAutoHyphens/>
        <w:spacing w:line="480" w:lineRule="auto"/>
      </w:pPr>
      <w:r>
        <w:rPr>
          <w:b/>
          <w:bCs/>
        </w:rPr>
        <w:t>Respondents:</w:t>
      </w:r>
      <w:r>
        <w:rPr>
          <w:b/>
          <w:bCs/>
        </w:rPr>
        <w:tab/>
      </w:r>
      <w:r w:rsidR="00013347">
        <w:tab/>
      </w:r>
      <w:r w:rsidR="00013347">
        <w:tab/>
      </w:r>
      <w:r w:rsidR="00013347">
        <w:tab/>
      </w:r>
      <w:r>
        <w:rPr>
          <w:b/>
          <w:bCs/>
        </w:rPr>
        <w:t>Adv N Matidza</w:t>
      </w:r>
    </w:p>
    <w:p w:rsidR="005F7E07" w:rsidRDefault="00013347">
      <w:pPr>
        <w:pStyle w:val="BodyA"/>
        <w:suppressAutoHyphens/>
        <w:spacing w:line="480" w:lineRule="auto"/>
      </w:pPr>
      <w:r>
        <w:t>Instructed by:</w:t>
      </w:r>
      <w:r>
        <w:tab/>
      </w:r>
      <w:r>
        <w:tab/>
      </w:r>
      <w:r>
        <w:tab/>
      </w:r>
      <w:r>
        <w:tab/>
        <w:t>The State Attorney</w:t>
      </w:r>
    </w:p>
    <w:p w:rsidR="00013347" w:rsidRDefault="00013347">
      <w:pPr>
        <w:pStyle w:val="BodyA"/>
        <w:suppressAutoHyphens/>
        <w:spacing w:line="480" w:lineRule="auto"/>
      </w:pPr>
      <w:r>
        <w:tab/>
      </w:r>
      <w:r>
        <w:tab/>
      </w:r>
      <w:r>
        <w:tab/>
      </w:r>
      <w:r>
        <w:tab/>
      </w:r>
      <w:r>
        <w:tab/>
      </w:r>
      <w:r>
        <w:tab/>
        <w:t>Pretoria</w:t>
      </w:r>
    </w:p>
    <w:sectPr w:rsidR="00013347">
      <w:headerReference w:type="default" r:id="rId8"/>
      <w:footerReference w:type="default" r:id="rId9"/>
      <w:headerReference w:type="first" r:id="rId10"/>
      <w:footerReference w:type="first" r:id="rId11"/>
      <w:pgSz w:w="12240" w:h="15840"/>
      <w:pgMar w:top="1440" w:right="1440" w:bottom="1440" w:left="144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C81" w:rsidRDefault="006D3C81">
      <w:r>
        <w:separator/>
      </w:r>
    </w:p>
  </w:endnote>
  <w:endnote w:type="continuationSeparator" w:id="0">
    <w:p w:rsidR="006D3C81" w:rsidRDefault="006D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E07" w:rsidRDefault="005F7E07">
    <w:pPr>
      <w:pStyle w:val="Header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E07" w:rsidRDefault="005F7E07">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C81" w:rsidRDefault="006D3C81">
      <w:r>
        <w:separator/>
      </w:r>
    </w:p>
  </w:footnote>
  <w:footnote w:type="continuationSeparator" w:id="0">
    <w:p w:rsidR="006D3C81" w:rsidRDefault="006D3C81">
      <w:r>
        <w:continuationSeparator/>
      </w:r>
    </w:p>
  </w:footnote>
  <w:footnote w:type="continuationNotice" w:id="1">
    <w:p w:rsidR="006D3C81" w:rsidRDefault="006D3C81"/>
  </w:footnote>
  <w:footnote w:id="2">
    <w:p w:rsidR="005F7E07" w:rsidRPr="0060691E" w:rsidRDefault="00EF67E1" w:rsidP="0060691E">
      <w:pPr>
        <w:pStyle w:val="Footnote"/>
        <w:jc w:val="both"/>
        <w:rPr>
          <w:rFonts w:ascii="Arial" w:hAnsi="Arial" w:cs="Arial"/>
        </w:rPr>
      </w:pPr>
      <w:r w:rsidRPr="0060691E">
        <w:rPr>
          <w:rFonts w:ascii="Arial" w:hAnsi="Arial" w:cs="Arial"/>
          <w:sz w:val="18"/>
          <w:szCs w:val="18"/>
          <w:vertAlign w:val="superscript"/>
        </w:rPr>
        <w:footnoteRef/>
      </w:r>
      <w:r w:rsidR="0060691E">
        <w:rPr>
          <w:rFonts w:ascii="Arial" w:hAnsi="Arial" w:cs="Arial"/>
          <w:sz w:val="18"/>
          <w:szCs w:val="18"/>
        </w:rPr>
        <w:t xml:space="preserve"> Act</w:t>
      </w:r>
      <w:r w:rsidRPr="0060691E">
        <w:rPr>
          <w:rFonts w:ascii="Arial" w:hAnsi="Arial" w:cs="Arial"/>
          <w:sz w:val="18"/>
          <w:szCs w:val="18"/>
        </w:rPr>
        <w:t xml:space="preserve"> 10 of 2013</w:t>
      </w:r>
      <w:r w:rsidR="0060691E">
        <w:rPr>
          <w:rFonts w:ascii="Arial" w:hAnsi="Arial" w:cs="Arial"/>
          <w:sz w:val="18"/>
          <w:szCs w:val="18"/>
        </w:rPr>
        <w:t>.</w:t>
      </w:r>
    </w:p>
  </w:footnote>
  <w:footnote w:id="3">
    <w:p w:rsidR="005F7E07" w:rsidRDefault="00EF67E1" w:rsidP="0060691E">
      <w:pPr>
        <w:pStyle w:val="Footnote"/>
        <w:jc w:val="both"/>
      </w:pPr>
      <w:r w:rsidRPr="0060691E">
        <w:rPr>
          <w:rFonts w:ascii="Arial" w:hAnsi="Arial" w:cs="Arial"/>
          <w:sz w:val="18"/>
          <w:szCs w:val="18"/>
          <w:vertAlign w:val="superscript"/>
        </w:rPr>
        <w:footnoteRef/>
      </w:r>
      <w:r w:rsidRPr="0060691E">
        <w:rPr>
          <w:rFonts w:ascii="Arial" w:hAnsi="Arial" w:cs="Arial"/>
          <w:sz w:val="18"/>
          <w:szCs w:val="18"/>
        </w:rPr>
        <w:t xml:space="preserve"> (237/2004) [2005] ZASCA 50; [2006] 1 All SA 103 (SCA) (30 May 2005), paragraph 16</w:t>
      </w:r>
      <w:r w:rsidR="0060691E">
        <w:rPr>
          <w:rFonts w:ascii="Arial" w:hAnsi="Arial" w:cs="Arial"/>
          <w:sz w:val="18"/>
          <w:szCs w:val="18"/>
        </w:rPr>
        <w:t>.</w:t>
      </w:r>
    </w:p>
  </w:footnote>
  <w:footnote w:id="4">
    <w:p w:rsidR="005F7E07" w:rsidRPr="00013347" w:rsidRDefault="00EF67E1" w:rsidP="00013347">
      <w:pPr>
        <w:pStyle w:val="Footnote"/>
        <w:jc w:val="both"/>
        <w:rPr>
          <w:rFonts w:ascii="Arial" w:hAnsi="Arial" w:cs="Arial"/>
        </w:rPr>
      </w:pPr>
      <w:r w:rsidRPr="00013347">
        <w:rPr>
          <w:rFonts w:ascii="Arial" w:hAnsi="Arial" w:cs="Arial"/>
          <w:sz w:val="18"/>
          <w:szCs w:val="18"/>
          <w:vertAlign w:val="superscript"/>
        </w:rPr>
        <w:footnoteRef/>
      </w:r>
      <w:r w:rsidRPr="00013347">
        <w:rPr>
          <w:rFonts w:ascii="Arial" w:hAnsi="Arial" w:cs="Arial"/>
          <w:sz w:val="18"/>
          <w:szCs w:val="18"/>
        </w:rPr>
        <w:t xml:space="preserve"> (500/93,525/93) [1995] ZASCA 49; 1995 (4) SA 1 (AD); [1995] 2 All SA 300 (A) (12 May 1995)</w:t>
      </w:r>
      <w:r w:rsidR="00013347">
        <w:rPr>
          <w:rFonts w:ascii="Arial" w:hAnsi="Arial" w:cs="Arial"/>
          <w:sz w:val="18"/>
          <w:szCs w:val="18"/>
        </w:rPr>
        <w:t>.</w:t>
      </w:r>
    </w:p>
  </w:footnote>
  <w:footnote w:id="5">
    <w:p w:rsidR="005F7E07" w:rsidRPr="00013347" w:rsidRDefault="00EF67E1" w:rsidP="00013347">
      <w:pPr>
        <w:pStyle w:val="Footnote"/>
        <w:jc w:val="both"/>
        <w:rPr>
          <w:rFonts w:ascii="Arial" w:hAnsi="Arial" w:cs="Arial"/>
        </w:rPr>
      </w:pPr>
      <w:r w:rsidRPr="00013347">
        <w:rPr>
          <w:rFonts w:ascii="Arial" w:hAnsi="Arial" w:cs="Arial"/>
          <w:sz w:val="18"/>
          <w:szCs w:val="18"/>
          <w:vertAlign w:val="superscript"/>
        </w:rPr>
        <w:footnoteRef/>
      </w:r>
      <w:r w:rsidRPr="00013347">
        <w:rPr>
          <w:rFonts w:ascii="Arial" w:hAnsi="Arial" w:cs="Arial"/>
          <w:sz w:val="18"/>
          <w:szCs w:val="18"/>
        </w:rPr>
        <w:t xml:space="preserve"> (CCT5/95) [1995] ZACC 13; 1996 (1) SA 984 (CC); 1996 (1) BCLR 1 (6 December 1995), paragraph 199</w:t>
      </w:r>
      <w:r w:rsidR="00013347">
        <w:rPr>
          <w:rFonts w:ascii="Arial" w:hAnsi="Arial" w:cs="Arial"/>
          <w:sz w:val="18"/>
          <w:szCs w:val="18"/>
        </w:rPr>
        <w:t>.</w:t>
      </w:r>
    </w:p>
  </w:footnote>
  <w:footnote w:id="6">
    <w:p w:rsidR="005F7E07" w:rsidRPr="00013347" w:rsidRDefault="00EF67E1" w:rsidP="00013347">
      <w:pPr>
        <w:pStyle w:val="Footnote"/>
        <w:jc w:val="both"/>
        <w:rPr>
          <w:rFonts w:ascii="Arial" w:hAnsi="Arial" w:cs="Arial"/>
        </w:rPr>
      </w:pPr>
      <w:r w:rsidRPr="00013347">
        <w:rPr>
          <w:rFonts w:ascii="Arial" w:hAnsi="Arial" w:cs="Arial"/>
          <w:sz w:val="18"/>
          <w:szCs w:val="18"/>
          <w:vertAlign w:val="superscript"/>
        </w:rPr>
        <w:footnoteRef/>
      </w:r>
      <w:r w:rsidRPr="00013347">
        <w:rPr>
          <w:rFonts w:ascii="Arial" w:hAnsi="Arial" w:cs="Arial"/>
          <w:sz w:val="18"/>
          <w:szCs w:val="18"/>
        </w:rPr>
        <w:t xml:space="preserve"> (506/2021) [2022] ZASCA 122 (19 September 2022), paragraph 13</w:t>
      </w:r>
      <w:r w:rsidR="00013347">
        <w:rPr>
          <w:rFonts w:ascii="Arial" w:hAnsi="Arial" w:cs="Arial"/>
          <w:sz w:val="18"/>
          <w:szCs w:val="18"/>
        </w:rPr>
        <w:t>.</w:t>
      </w:r>
    </w:p>
  </w:footnote>
  <w:footnote w:id="7">
    <w:p w:rsidR="005F7E07" w:rsidRDefault="00EF67E1" w:rsidP="00013347">
      <w:pPr>
        <w:pStyle w:val="Footnote"/>
        <w:jc w:val="both"/>
      </w:pPr>
      <w:r w:rsidRPr="00013347">
        <w:rPr>
          <w:rFonts w:ascii="Arial" w:hAnsi="Arial" w:cs="Arial"/>
          <w:sz w:val="18"/>
          <w:szCs w:val="18"/>
          <w:vertAlign w:val="superscript"/>
        </w:rPr>
        <w:footnoteRef/>
      </w:r>
      <w:r w:rsidRPr="00013347">
        <w:rPr>
          <w:rFonts w:ascii="Arial" w:hAnsi="Arial" w:cs="Arial"/>
          <w:sz w:val="18"/>
          <w:szCs w:val="18"/>
        </w:rPr>
        <w:t>(CCT 27/03) [2004] ZACC 15; 2004 (4) SA 490 (CC); 2004 (7) BCLR 687 (CC) (12 March 2004), par</w:t>
      </w:r>
      <w:r w:rsidR="00013347">
        <w:rPr>
          <w:rFonts w:ascii="Arial" w:hAnsi="Arial" w:cs="Arial"/>
          <w:sz w:val="18"/>
          <w:szCs w:val="18"/>
        </w:rPr>
        <w:t>agraph 46</w:t>
      </w:r>
      <w:r w:rsidRPr="00013347">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E07" w:rsidRDefault="00EF67E1">
    <w:pPr>
      <w:pStyle w:val="Header"/>
      <w:tabs>
        <w:tab w:val="clear" w:pos="9360"/>
        <w:tab w:val="right" w:pos="9340"/>
      </w:tabs>
      <w:jc w:val="right"/>
    </w:pPr>
    <w:r>
      <w:rPr>
        <w:noProof/>
        <w:lang w:eastAsia="en-US"/>
      </w:rPr>
      <mc:AlternateContent>
        <mc:Choice Requires="wps">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oundrect id="_x0000_s1029"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fldChar w:fldCharType="begin"/>
    </w:r>
    <w:r>
      <w:instrText xml:space="preserve"> PAGE </w:instrText>
    </w:r>
    <w:r>
      <w:fldChar w:fldCharType="separate"/>
    </w:r>
    <w:r w:rsidR="00227BF6">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E07" w:rsidRDefault="00EF67E1">
    <w:pPr>
      <w:pStyle w:val="HeaderFooterA"/>
      <w:rPr>
        <w:rFonts w:hint="eastAsia"/>
      </w:rPr>
    </w:pPr>
    <w:r>
      <w:rPr>
        <w:noProof/>
        <w:lang w:eastAsia="en-US"/>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oundrect id="_x0000_s1030"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C547D6"/>
    <w:multiLevelType w:val="hybridMultilevel"/>
    <w:tmpl w:val="2B2A367C"/>
    <w:lvl w:ilvl="0" w:tplc="9354651E">
      <w:start w:val="1"/>
      <w:numFmt w:val="decimal"/>
      <w:lvlText w:val="%1."/>
      <w:lvlJc w:val="left"/>
      <w:pPr>
        <w:ind w:left="1857" w:hanging="1137"/>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8A7C1DEC">
      <w:start w:val="1"/>
      <w:numFmt w:val="lowerLetter"/>
      <w:suff w:val="nothing"/>
      <w:lvlText w:val="%2."/>
      <w:lvlJc w:val="left"/>
      <w:pPr>
        <w:ind w:left="154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429E2090">
      <w:start w:val="1"/>
      <w:numFmt w:val="lowerRoman"/>
      <w:lvlText w:val="%3."/>
      <w:lvlJc w:val="left"/>
      <w:pPr>
        <w:ind w:left="2603"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82A46D16">
      <w:start w:val="1"/>
      <w:numFmt w:val="decimal"/>
      <w:suff w:val="nothing"/>
      <w:lvlText w:val="%4."/>
      <w:lvlJc w:val="left"/>
      <w:pPr>
        <w:ind w:left="298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58DC79FE">
      <w:start w:val="1"/>
      <w:numFmt w:val="lowerLetter"/>
      <w:suff w:val="nothing"/>
      <w:lvlText w:val="%5."/>
      <w:lvlJc w:val="left"/>
      <w:pPr>
        <w:ind w:left="370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6BB223D2">
      <w:start w:val="1"/>
      <w:numFmt w:val="lowerRoman"/>
      <w:lvlText w:val="%6."/>
      <w:lvlJc w:val="left"/>
      <w:pPr>
        <w:ind w:left="4763"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8BD28FAA">
      <w:start w:val="1"/>
      <w:numFmt w:val="decimal"/>
      <w:suff w:val="nothing"/>
      <w:lvlText w:val="%7."/>
      <w:lvlJc w:val="left"/>
      <w:pPr>
        <w:ind w:left="514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0AE66118">
      <w:start w:val="1"/>
      <w:numFmt w:val="lowerLetter"/>
      <w:suff w:val="nothing"/>
      <w:lvlText w:val="%8."/>
      <w:lvlJc w:val="left"/>
      <w:pPr>
        <w:ind w:left="586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59C2BF2E">
      <w:start w:val="1"/>
      <w:numFmt w:val="lowerRoman"/>
      <w:lvlText w:val="%9."/>
      <w:lvlJc w:val="left"/>
      <w:pPr>
        <w:ind w:left="6922"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637255FE"/>
    <w:multiLevelType w:val="hybridMultilevel"/>
    <w:tmpl w:val="7D745C86"/>
    <w:numStyleLink w:val="ImportedStyle2"/>
  </w:abstractNum>
  <w:abstractNum w:abstractNumId="2">
    <w:nsid w:val="79AD3F54"/>
    <w:multiLevelType w:val="hybridMultilevel"/>
    <w:tmpl w:val="7D745C86"/>
    <w:styleLink w:val="ImportedStyle2"/>
    <w:lvl w:ilvl="0" w:tplc="0E62477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B9A0336">
      <w:start w:val="1"/>
      <w:numFmt w:val="decimal"/>
      <w:suff w:val="nothing"/>
      <w:lvlText w:val="%2."/>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2" w:tplc="8982BDE8">
      <w:start w:val="1"/>
      <w:numFmt w:val="decimal"/>
      <w:suff w:val="nothing"/>
      <w:lvlText w:val="%3."/>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E00856DE">
      <w:start w:val="1"/>
      <w:numFmt w:val="decimal"/>
      <w:suff w:val="nothing"/>
      <w:lvlText w:val="%4."/>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4" w:tplc="EA3A3FA4">
      <w:start w:val="1"/>
      <w:numFmt w:val="decimal"/>
      <w:suff w:val="nothing"/>
      <w:lvlText w:val="%5."/>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5" w:tplc="E18EAC64">
      <w:start w:val="1"/>
      <w:numFmt w:val="decimal"/>
      <w:suff w:val="nothing"/>
      <w:lvlText w:val="%6."/>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6" w:tplc="FC9230A8">
      <w:start w:val="1"/>
      <w:numFmt w:val="decimal"/>
      <w:suff w:val="nothing"/>
      <w:lvlText w:val="%7."/>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7" w:tplc="21B4693C">
      <w:start w:val="1"/>
      <w:numFmt w:val="decimal"/>
      <w:suff w:val="nothing"/>
      <w:lvlText w:val="%8."/>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7876E974">
      <w:start w:val="1"/>
      <w:numFmt w:val="decimal"/>
      <w:suff w:val="nothing"/>
      <w:lvlText w:val="%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1"/>
    <w:lvlOverride w:ilvl="0">
      <w:lvl w:ilvl="0" w:tplc="40A8030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9CA46A6">
        <w:start w:val="1"/>
        <w:numFmt w:val="decimal"/>
        <w:suff w:val="nothing"/>
        <w:lvlText w:val="%2."/>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B3606B8">
        <w:start w:val="1"/>
        <w:numFmt w:val="decimal"/>
        <w:suff w:val="nothing"/>
        <w:lvlText w:val="%3."/>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DCE0146">
        <w:start w:val="1"/>
        <w:numFmt w:val="decimal"/>
        <w:suff w:val="nothing"/>
        <w:lvlText w:val="%4."/>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F8C917A">
        <w:start w:val="1"/>
        <w:numFmt w:val="decimal"/>
        <w:suff w:val="nothing"/>
        <w:lvlText w:val="%5."/>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1E6A104">
        <w:start w:val="1"/>
        <w:numFmt w:val="decimal"/>
        <w:suff w:val="nothing"/>
        <w:lvlText w:val="%6."/>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65CDE76">
        <w:start w:val="1"/>
        <w:numFmt w:val="decimal"/>
        <w:suff w:val="nothing"/>
        <w:lvlText w:val="%7."/>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DB8C6BA">
        <w:start w:val="1"/>
        <w:numFmt w:val="decimal"/>
        <w:suff w:val="nothing"/>
        <w:lvlText w:val="%8."/>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8086620">
        <w:start w:val="1"/>
        <w:numFmt w:val="decimal"/>
        <w:suff w:val="nothing"/>
        <w:lvlText w:val="%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07"/>
    <w:rsid w:val="00013347"/>
    <w:rsid w:val="00053910"/>
    <w:rsid w:val="00227BF6"/>
    <w:rsid w:val="005F7E07"/>
    <w:rsid w:val="0060691E"/>
    <w:rsid w:val="006D3C81"/>
    <w:rsid w:val="009D42E6"/>
    <w:rsid w:val="00EF67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27709-5632-4137-AF2B-1628D357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kern w:val="28"/>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rPr>
      <w:rFonts w:ascii="Arial" w:hAnsi="Arial" w:cs="Arial Unicode MS"/>
      <w:color w:val="000000"/>
      <w:kern w:val="28"/>
      <w:sz w:val="24"/>
      <w:szCs w:val="24"/>
      <w:u w:color="000000"/>
      <w:lang w:val="en-US"/>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paragraph" w:customStyle="1" w:styleId="BodyC">
    <w:name w:val="Body C"/>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level1">
    <w:name w:val="level1"/>
    <w:rPr>
      <w:rFonts w:ascii="Arial" w:hAnsi="Arial" w:cs="Arial Unicode MS"/>
      <w:color w:val="000000"/>
      <w:kern w:val="28"/>
      <w:sz w:val="24"/>
      <w:szCs w:val="24"/>
      <w:u w:color="000000"/>
      <w:lang w:val="en-US"/>
    </w:rPr>
  </w:style>
  <w:style w:type="numbering" w:customStyle="1" w:styleId="ImportedStyle2">
    <w:name w:val="Imported Style 2"/>
    <w:pPr>
      <w:numPr>
        <w:numId w:val="2"/>
      </w:numPr>
    </w:pPr>
  </w:style>
  <w:style w:type="paragraph" w:customStyle="1" w:styleId="Footnote">
    <w:name w:val="Footnote"/>
    <w:rPr>
      <w:rFonts w:ascii="Helvetica" w:eastAsia="Helvetica" w:hAnsi="Helvetica" w:cs="Helvetica"/>
      <w:color w:val="000000"/>
      <w:sz w:val="22"/>
      <w:szCs w:val="22"/>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Thobile Ngcobo</dc:creator>
  <cp:lastModifiedBy>Mokone</cp:lastModifiedBy>
  <cp:revision>2</cp:revision>
  <dcterms:created xsi:type="dcterms:W3CDTF">2023-07-06T11:04:00Z</dcterms:created>
  <dcterms:modified xsi:type="dcterms:W3CDTF">2023-07-06T11:04:00Z</dcterms:modified>
</cp:coreProperties>
</file>