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9B2" w:rsidRPr="009D5EB0" w:rsidRDefault="003E5F65">
      <w:pPr>
        <w:pStyle w:val="BodyA"/>
        <w:spacing w:line="360" w:lineRule="auto"/>
        <w:jc w:val="center"/>
        <w:rPr>
          <w:b/>
          <w:bCs/>
          <w:szCs w:val="26"/>
        </w:rPr>
      </w:pPr>
      <w:r w:rsidRPr="009D5EB0">
        <w:rPr>
          <w:b/>
          <w:bCs/>
          <w:szCs w:val="26"/>
        </w:rPr>
        <w:t xml:space="preserve">REPUBLIC OF SOUTH AFRICA </w:t>
      </w:r>
    </w:p>
    <w:p w:rsidR="00DD19B2" w:rsidRDefault="003E5F65">
      <w:pPr>
        <w:pStyle w:val="BodyA"/>
        <w:spacing w:line="360" w:lineRule="auto"/>
        <w:jc w:val="center"/>
        <w:rPr>
          <w:b/>
          <w:bCs/>
        </w:rPr>
      </w:pPr>
      <w:r>
        <w:rPr>
          <w:rFonts w:ascii="Times New Roman" w:eastAsia="Times New Roman" w:hAnsi="Times New Roman" w:cs="Times New Roman"/>
          <w:b/>
          <w:bCs/>
          <w:noProof/>
          <w:lang w:eastAsia="en-US"/>
        </w:rPr>
        <w:drawing>
          <wp:inline distT="0" distB="0" distL="0" distR="0">
            <wp:extent cx="1400175" cy="14001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blip>
                    <a:stretch>
                      <a:fillRect/>
                    </a:stretch>
                  </pic:blipFill>
                  <pic:spPr>
                    <a:xfrm>
                      <a:off x="0" y="0"/>
                      <a:ext cx="1400175" cy="1400175"/>
                    </a:xfrm>
                    <a:prstGeom prst="rect">
                      <a:avLst/>
                    </a:prstGeom>
                    <a:ln w="12700" cap="flat">
                      <a:noFill/>
                      <a:miter lim="400000"/>
                    </a:ln>
                    <a:effectLst/>
                  </pic:spPr>
                </pic:pic>
              </a:graphicData>
            </a:graphic>
          </wp:inline>
        </w:drawing>
      </w:r>
    </w:p>
    <w:p w:rsidR="00DD19B2" w:rsidRDefault="003E5F65">
      <w:pPr>
        <w:pStyle w:val="BodyA"/>
        <w:spacing w:line="360" w:lineRule="auto"/>
        <w:jc w:val="center"/>
        <w:rPr>
          <w:b/>
          <w:bCs/>
        </w:rPr>
      </w:pPr>
      <w:r>
        <w:rPr>
          <w:b/>
          <w:bCs/>
        </w:rPr>
        <w:t>IN THE HIGH COURT OF SOUTH AFRICA</w:t>
      </w:r>
    </w:p>
    <w:p w:rsidR="00DD19B2" w:rsidRDefault="003E5F65">
      <w:pPr>
        <w:pStyle w:val="BodyA"/>
        <w:spacing w:line="360" w:lineRule="auto"/>
        <w:jc w:val="center"/>
        <w:rPr>
          <w:b/>
          <w:bCs/>
          <w:lang w:val="de-DE"/>
        </w:rPr>
      </w:pPr>
      <w:r>
        <w:rPr>
          <w:b/>
          <w:bCs/>
          <w:lang w:val="de-DE"/>
        </w:rPr>
        <w:t>GAUTENG DIVISION, PRETORIA</w:t>
      </w:r>
    </w:p>
    <w:p w:rsidR="00DD19B2" w:rsidRDefault="003E5F65">
      <w:pPr>
        <w:pStyle w:val="BodyA"/>
        <w:tabs>
          <w:tab w:val="left" w:pos="780"/>
        </w:tabs>
        <w:spacing w:line="360" w:lineRule="auto"/>
        <w:jc w:val="right"/>
      </w:pPr>
      <w:r>
        <w:tab/>
      </w:r>
      <w:r>
        <w:tab/>
      </w:r>
    </w:p>
    <w:p w:rsidR="00DD19B2" w:rsidRDefault="003E5F65">
      <w:pPr>
        <w:pStyle w:val="BodyA"/>
        <w:spacing w:line="360" w:lineRule="auto"/>
        <w:jc w:val="right"/>
        <w:rPr>
          <w:b/>
          <w:bCs/>
          <w:kern w:val="25"/>
        </w:rPr>
      </w:pPr>
      <w:r>
        <w:rPr>
          <w:b/>
          <w:bCs/>
        </w:rPr>
        <w:tab/>
        <w:t>CASE NO:</w:t>
      </w:r>
      <w:r w:rsidR="00191F28">
        <w:rPr>
          <w:b/>
          <w:bCs/>
          <w:kern w:val="25"/>
        </w:rPr>
        <w:t>56511/2012</w:t>
      </w:r>
    </w:p>
    <w:p w:rsidR="00DD19B2" w:rsidRDefault="003E5F65">
      <w:pPr>
        <w:pStyle w:val="BodyA"/>
        <w:spacing w:line="360" w:lineRule="auto"/>
        <w:jc w:val="right"/>
        <w:rPr>
          <w:b/>
          <w:bCs/>
          <w:kern w:val="25"/>
          <w:sz w:val="22"/>
          <w:szCs w:val="22"/>
          <w:lang w:val="de-DE"/>
        </w:rPr>
      </w:pPr>
      <w:r>
        <w:rPr>
          <w:b/>
          <w:bCs/>
          <w:kern w:val="25"/>
          <w:sz w:val="26"/>
          <w:szCs w:val="26"/>
          <w:lang w:val="de-DE"/>
        </w:rPr>
        <w:tab/>
      </w:r>
      <w:r>
        <w:rPr>
          <w:b/>
          <w:bCs/>
          <w:kern w:val="25"/>
          <w:sz w:val="26"/>
          <w:szCs w:val="26"/>
          <w:lang w:val="de-DE"/>
        </w:rPr>
        <w:tab/>
      </w:r>
      <w:r>
        <w:rPr>
          <w:b/>
          <w:bCs/>
          <w:kern w:val="25"/>
          <w:lang w:val="de-DE"/>
        </w:rPr>
        <w:t xml:space="preserve">DOH: </w:t>
      </w:r>
      <w:r w:rsidR="00191F28">
        <w:rPr>
          <w:b/>
          <w:bCs/>
          <w:kern w:val="25"/>
          <w:lang w:val="de-DE"/>
        </w:rPr>
        <w:t>0</w:t>
      </w:r>
      <w:r>
        <w:rPr>
          <w:b/>
          <w:bCs/>
          <w:kern w:val="25"/>
          <w:lang w:val="de-DE"/>
        </w:rPr>
        <w:t xml:space="preserve">8 MAY 2023 </w:t>
      </w:r>
    </w:p>
    <w:p w:rsidR="00DD19B2" w:rsidRDefault="003E5F65">
      <w:pPr>
        <w:pStyle w:val="BodyA"/>
        <w:spacing w:line="360" w:lineRule="auto"/>
        <w:jc w:val="right"/>
        <w:rPr>
          <w:kern w:val="25"/>
        </w:rPr>
      </w:pPr>
      <w:r>
        <w:rPr>
          <w:b/>
          <w:bCs/>
          <w:noProof/>
          <w:kern w:val="25"/>
          <w:sz w:val="22"/>
          <w:szCs w:val="22"/>
          <w:lang w:eastAsia="en-US"/>
        </w:rPr>
        <mc:AlternateContent>
          <mc:Choice Requires="wpg">
            <w:drawing>
              <wp:anchor distT="152400" distB="152400" distL="152400" distR="152400" simplePos="0" relativeHeight="251659264" behindDoc="0" locked="0" layoutInCell="1" allowOverlap="1">
                <wp:simplePos x="0" y="0"/>
                <wp:positionH relativeFrom="margin">
                  <wp:posOffset>0</wp:posOffset>
                </wp:positionH>
                <wp:positionV relativeFrom="line">
                  <wp:posOffset>249150</wp:posOffset>
                </wp:positionV>
                <wp:extent cx="3314700" cy="1266825"/>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Group">
                    <wpg:wgp>
                      <wpg:cNvGrpSpPr/>
                      <wpg:grpSpPr>
                        <a:xfrm>
                          <a:off x="0" y="0"/>
                          <a:ext cx="3314700" cy="1266825"/>
                          <a:chOff x="0" y="0"/>
                          <a:chExt cx="3314700" cy="1266825"/>
                        </a:xfrm>
                      </wpg:grpSpPr>
                      <wps:wsp>
                        <wps:cNvPr id="1073741826" name="Shape 1073741826"/>
                        <wps:cNvSpPr/>
                        <wps:spPr>
                          <a:xfrm>
                            <a:off x="0" y="0"/>
                            <a:ext cx="3314700" cy="1266825"/>
                          </a:xfrm>
                          <a:prstGeom prst="rect">
                            <a:avLst/>
                          </a:prstGeom>
                          <a:solidFill>
                            <a:srgbClr val="FFFFFF"/>
                          </a:solidFill>
                          <a:ln w="9525" cap="flat">
                            <a:solidFill>
                              <a:srgbClr val="000000"/>
                            </a:solidFill>
                            <a:prstDash val="solid"/>
                            <a:round/>
                          </a:ln>
                          <a:effectLst/>
                        </wps:spPr>
                        <wps:bodyPr/>
                      </wps:wsp>
                      <wps:wsp>
                        <wps:cNvPr id="1073741827" name="Shape 1073741827"/>
                        <wps:cNvSpPr txBox="1"/>
                        <wps:spPr>
                          <a:xfrm>
                            <a:off x="0" y="0"/>
                            <a:ext cx="3314700" cy="1266825"/>
                          </a:xfrm>
                          <a:prstGeom prst="rect">
                            <a:avLst/>
                          </a:prstGeom>
                          <a:noFill/>
                          <a:ln w="12700" cap="flat">
                            <a:noFill/>
                            <a:miter lim="400000"/>
                          </a:ln>
                          <a:effectLst/>
                        </wps:spPr>
                        <wps:txbx>
                          <w:txbxContent>
                            <w:p w:rsidR="00DD19B2" w:rsidRDefault="00DD19B2">
                              <w:pPr>
                                <w:pStyle w:val="BodyA"/>
                                <w:jc w:val="center"/>
                                <w:rPr>
                                  <w:rFonts w:ascii="Century Gothic" w:eastAsia="Century Gothic" w:hAnsi="Century Gothic" w:cs="Century Gothic"/>
                                  <w:b/>
                                  <w:bCs/>
                                  <w:sz w:val="2"/>
                                  <w:szCs w:val="2"/>
                                </w:rPr>
                              </w:pPr>
                            </w:p>
                            <w:p w:rsidR="00DD19B2" w:rsidRDefault="00FD7696" w:rsidP="00FD7696">
                              <w:pPr>
                                <w:pStyle w:val="BodyA"/>
                                <w:tabs>
                                  <w:tab w:val="left" w:pos="840"/>
                                </w:tabs>
                                <w:ind w:left="960" w:hanging="600"/>
                                <w:rPr>
                                  <w:rFonts w:ascii="Century Gothic" w:hAnsi="Century Gothic"/>
                                  <w:sz w:val="18"/>
                                  <w:szCs w:val="18"/>
                                </w:rPr>
                              </w:pPr>
                              <w:r>
                                <w:rPr>
                                  <w:rFonts w:ascii="Century Gothic" w:hAnsi="Arial Unicode MS"/>
                                  <w:kern w:val="0"/>
                                  <w:sz w:val="18"/>
                                  <w:szCs w:val="18"/>
                                </w:rPr>
                                <w:t>1.</w:t>
                              </w:r>
                              <w:r>
                                <w:rPr>
                                  <w:rFonts w:ascii="Century Gothic" w:hAnsi="Arial Unicode MS"/>
                                  <w:kern w:val="0"/>
                                  <w:sz w:val="18"/>
                                  <w:szCs w:val="18"/>
                                </w:rPr>
                                <w:tab/>
                              </w:r>
                              <w:r w:rsidR="003E5F65">
                                <w:rPr>
                                  <w:rFonts w:ascii="Century Gothic" w:hAnsi="Century Gothic"/>
                                  <w:sz w:val="18"/>
                                  <w:szCs w:val="18"/>
                                </w:rPr>
                                <w:t>REPORTABLE:</w:t>
                              </w:r>
                              <w:r w:rsidR="003E5F65">
                                <w:rPr>
                                  <w:rFonts w:ascii="Century Gothic" w:hAnsi="Century Gothic"/>
                                  <w:b/>
                                  <w:bCs/>
                                  <w:sz w:val="18"/>
                                  <w:szCs w:val="18"/>
                                </w:rPr>
                                <w:t xml:space="preserve"> NO </w:t>
                              </w:r>
                              <w:r w:rsidR="003E5F65">
                                <w:rPr>
                                  <w:rFonts w:ascii="Century Gothic" w:hAnsi="Century Gothic"/>
                                  <w:sz w:val="18"/>
                                  <w:szCs w:val="18"/>
                                </w:rPr>
                                <w:t>/ YES</w:t>
                              </w:r>
                            </w:p>
                            <w:p w:rsidR="00DD19B2" w:rsidRDefault="00FD7696" w:rsidP="00FD7696">
                              <w:pPr>
                                <w:pStyle w:val="BodyA"/>
                                <w:tabs>
                                  <w:tab w:val="left" w:pos="840"/>
                                </w:tabs>
                                <w:ind w:left="960" w:hanging="600"/>
                                <w:rPr>
                                  <w:rFonts w:ascii="Century Gothic" w:hAnsi="Century Gothic"/>
                                  <w:sz w:val="18"/>
                                  <w:szCs w:val="18"/>
                                </w:rPr>
                              </w:pPr>
                              <w:r>
                                <w:rPr>
                                  <w:rFonts w:ascii="Century Gothic" w:hAnsi="Arial Unicode MS"/>
                                  <w:kern w:val="0"/>
                                  <w:sz w:val="18"/>
                                  <w:szCs w:val="18"/>
                                </w:rPr>
                                <w:t>2.</w:t>
                              </w:r>
                              <w:r>
                                <w:rPr>
                                  <w:rFonts w:ascii="Century Gothic" w:hAnsi="Arial Unicode MS"/>
                                  <w:kern w:val="0"/>
                                  <w:sz w:val="18"/>
                                  <w:szCs w:val="18"/>
                                </w:rPr>
                                <w:tab/>
                              </w:r>
                              <w:r w:rsidR="003E5F65">
                                <w:rPr>
                                  <w:rFonts w:ascii="Century Gothic" w:hAnsi="Century Gothic"/>
                                  <w:sz w:val="18"/>
                                  <w:szCs w:val="18"/>
                                </w:rPr>
                                <w:t xml:space="preserve">OF INTEREST TO OTHER JUDGES: </w:t>
                              </w:r>
                              <w:r w:rsidR="003E5F65">
                                <w:rPr>
                                  <w:rFonts w:ascii="Century Gothic" w:hAnsi="Century Gothic"/>
                                  <w:b/>
                                  <w:bCs/>
                                  <w:sz w:val="18"/>
                                  <w:szCs w:val="18"/>
                                </w:rPr>
                                <w:t xml:space="preserve">NO </w:t>
                              </w:r>
                              <w:r w:rsidR="003E5F65">
                                <w:rPr>
                                  <w:rFonts w:ascii="Century Gothic" w:hAnsi="Century Gothic"/>
                                  <w:sz w:val="18"/>
                                  <w:szCs w:val="18"/>
                                </w:rPr>
                                <w:t>/ YES</w:t>
                              </w:r>
                            </w:p>
                            <w:p w:rsidR="00DD19B2" w:rsidRDefault="00FD7696" w:rsidP="00FD7696">
                              <w:pPr>
                                <w:pStyle w:val="BodyA"/>
                                <w:tabs>
                                  <w:tab w:val="left" w:pos="840"/>
                                </w:tabs>
                                <w:ind w:left="960" w:hanging="600"/>
                                <w:rPr>
                                  <w:rFonts w:ascii="Century Gothic" w:hAnsi="Century Gothic"/>
                                  <w:sz w:val="18"/>
                                  <w:szCs w:val="18"/>
                                </w:rPr>
                              </w:pPr>
                              <w:r>
                                <w:rPr>
                                  <w:rFonts w:ascii="Century Gothic" w:hAnsi="Arial Unicode MS"/>
                                  <w:kern w:val="0"/>
                                  <w:sz w:val="18"/>
                                  <w:szCs w:val="18"/>
                                </w:rPr>
                                <w:t>3.</w:t>
                              </w:r>
                              <w:r>
                                <w:rPr>
                                  <w:rFonts w:ascii="Century Gothic" w:hAnsi="Arial Unicode MS"/>
                                  <w:kern w:val="0"/>
                                  <w:sz w:val="18"/>
                                  <w:szCs w:val="18"/>
                                </w:rPr>
                                <w:tab/>
                              </w:r>
                              <w:r w:rsidR="003E5F65">
                                <w:rPr>
                                  <w:rFonts w:ascii="Century Gothic" w:hAnsi="Century Gothic"/>
                                  <w:sz w:val="18"/>
                                  <w:szCs w:val="18"/>
                                </w:rPr>
                                <w:t xml:space="preserve">REVISED. </w:t>
                              </w:r>
                            </w:p>
                            <w:p w:rsidR="00DD19B2" w:rsidRDefault="00DD19B2">
                              <w:pPr>
                                <w:pStyle w:val="BodyA"/>
                                <w:rPr>
                                  <w:rFonts w:ascii="Century Gothic" w:eastAsia="Century Gothic" w:hAnsi="Century Gothic" w:cs="Century Gothic"/>
                                  <w:b/>
                                  <w:bCs/>
                                  <w:sz w:val="18"/>
                                  <w:szCs w:val="18"/>
                                </w:rPr>
                              </w:pPr>
                            </w:p>
                            <w:p w:rsidR="00DD19B2" w:rsidRPr="00191F28" w:rsidRDefault="003E5F65">
                              <w:pPr>
                                <w:pStyle w:val="BodyA"/>
                                <w:rPr>
                                  <w:rFonts w:ascii="Century Gothic" w:eastAsia="Century Gothic" w:hAnsi="Century Gothic" w:cs="Century Gothic"/>
                                  <w:b/>
                                  <w:bCs/>
                                  <w:sz w:val="18"/>
                                  <w:szCs w:val="18"/>
                                  <w:u w:val="dotted"/>
                                </w:rPr>
                              </w:pPr>
                              <w:r>
                                <w:rPr>
                                  <w:b/>
                                  <w:bCs/>
                                  <w:sz w:val="18"/>
                                  <w:szCs w:val="18"/>
                                </w:rPr>
                                <w:t xml:space="preserve"> </w:t>
                              </w:r>
                              <w:r>
                                <w:rPr>
                                  <w:rFonts w:ascii="Century Gothic" w:hAnsi="Century Gothic"/>
                                  <w:b/>
                                  <w:bCs/>
                                  <w:sz w:val="18"/>
                                  <w:szCs w:val="18"/>
                                </w:rPr>
                                <w:t>…………..…………</w:t>
                              </w:r>
                              <w:r w:rsidR="00191F28">
                                <w:rPr>
                                  <w:rFonts w:ascii="Century Gothic" w:hAnsi="Century Gothic"/>
                                  <w:b/>
                                  <w:bCs/>
                                  <w:sz w:val="18"/>
                                  <w:szCs w:val="18"/>
                                </w:rPr>
                                <w:t>.............</w:t>
                              </w:r>
                              <w:r w:rsidR="00191F28">
                                <w:rPr>
                                  <w:rFonts w:ascii="Century Gothic" w:hAnsi="Century Gothic"/>
                                  <w:b/>
                                  <w:bCs/>
                                  <w:sz w:val="18"/>
                                  <w:szCs w:val="18"/>
                                </w:rPr>
                                <w:tab/>
                              </w:r>
                              <w:r w:rsidR="00191F28">
                                <w:rPr>
                                  <w:rFonts w:ascii="Century Gothic" w:hAnsi="Century Gothic"/>
                                  <w:b/>
                                  <w:bCs/>
                                  <w:sz w:val="18"/>
                                  <w:szCs w:val="18"/>
                                  <w:u w:val="dotted"/>
                                </w:rPr>
                                <w:t>05 July 2023</w:t>
                              </w:r>
                            </w:p>
                            <w:p w:rsidR="00DD19B2" w:rsidRDefault="003E5F65">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wps:txbx>
                        <wps:bodyPr wrap="square" lIns="45718" tIns="45718" rIns="45718" bIns="45718" numCol="1" anchor="t">
                          <a:noAutofit/>
                        </wps:bodyPr>
                      </wps:wsp>
                    </wpg:wgp>
                  </a:graphicData>
                </a:graphic>
              </wp:anchor>
            </w:drawing>
          </mc:Choice>
          <mc:Fallback>
            <w:pict>
              <v:group id="officeArt object" o:spid="_x0000_s1026" alt="officeArt object" style="position:absolute;left:0;text-align:left;margin-left:0;margin-top:19.6pt;width:261pt;height:99.75pt;z-index:251659264;mso-wrap-distance-left:12pt;mso-wrap-distance-top:12pt;mso-wrap-distance-right:12pt;mso-wrap-distance-bottom:12pt;mso-position-horizontal-relative:margin;mso-position-vertical-relative:line" coordsize="33147,12668"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">
                <v:rect id="Shape 1073741826" o:spid="_x0000_s1027" style="position:absolute;width:33147;height:1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MqcgA&#10;AADjAAAADwAAAGRycy9kb3ducmV2LnhtbERPO2/CMBDeK/U/WFeJrdiEikfAoKoVqB0hLGxHfCSh&#10;8TmKDaT99TUSEuN975svO1uLC7W+cqxh0FcgiHNnKi407LLV6wSED8gGa8ek4Zc8LBfPT3NMjbvy&#10;hi7bUIgYwj5FDWUITSqlz0uy6PuuIY7c0bUWQzzbQpoWrzHc1jJRaiQtVhwbSmzoo6T8Z3u2Gg5V&#10;ssO/TbZWdroahu8uO533n1r3Xrr3GYhAXXiI7+4vE+er8XD8NpgkI7j9FAG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cYypyAAAAOMAAAAPAAAAAAAAAAAAAAAAAJgCAABk&#10;cnMvZG93bnJldi54bWxQSwUGAAAAAAQABAD1AAAAjQMAAAAA&#10;">
                  <v:stroke joinstyle="round"/>
                </v:rect>
                <v:shapetype id="_x0000_t202" coordsize="21600,21600" o:spt="202" path="m,l,21600r21600,l21600,xe">
                  <v:stroke joinstyle="miter"/>
                  <v:path gradientshapeok="t" o:connecttype="rect"/>
                </v:shapetype>
                <v:shape id="Shape 1073741827" o:spid="_x0000_s1028" type="#_x0000_t202" style="position:absolute;width:33147;height:1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8XMkA&#10;AADjAAAADwAAAGRycy9kb3ducmV2LnhtbERPyW7CMBC9V+o/WFOJW3GgVQMBgwqIbifWA7dpPCRp&#10;7XEUG0j/vq5UieO8fcbT1hpxpsZXjhX0ugkI4tzpigsFu+3yfgDCB2SNxjEp+CEP08ntzRgz7S68&#10;pvMmFCKGsM9QQRlCnUnp85Is+q6riSN3dI3FEM+mkLrBSwy3RvaT5ElarDg2lFjTvKT8e3OyCt4/&#10;hvv1Ym+2x9Xr16ehxex0eGmV6ty1zyMQgdpwFf+733Scn6QP6WNv0E/h76cIgJz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up8XMkAAADjAAAADwAAAAAAAAAAAAAAAACYAgAA&#10;ZHJzL2Rvd25yZXYueG1sUEsFBgAAAAAEAAQA9QAAAI4DAAAAAA==&#10;" filled="f" stroked="f" strokeweight="1pt">
                  <v:stroke miterlimit="4"/>
                  <v:textbox inset="1.2699mm,1.2699mm,1.2699mm,1.2699mm">
                    <w:txbxContent>
                      <w:p w:rsidR="00DD19B2" w:rsidRDefault="00DD19B2">
                        <w:pPr>
                          <w:pStyle w:val="BodyA"/>
                          <w:jc w:val="center"/>
                          <w:rPr>
                            <w:rFonts w:ascii="Century Gothic" w:eastAsia="Century Gothic" w:hAnsi="Century Gothic" w:cs="Century Gothic"/>
                            <w:b/>
                            <w:bCs/>
                            <w:sz w:val="2"/>
                            <w:szCs w:val="2"/>
                          </w:rPr>
                        </w:pPr>
                      </w:p>
                      <w:p w:rsidR="00DD19B2" w:rsidRDefault="00FD7696" w:rsidP="00FD7696">
                        <w:pPr>
                          <w:pStyle w:val="BodyA"/>
                          <w:tabs>
                            <w:tab w:val="left" w:pos="840"/>
                          </w:tabs>
                          <w:ind w:left="960" w:hanging="600"/>
                          <w:rPr>
                            <w:rFonts w:ascii="Century Gothic" w:hAnsi="Century Gothic"/>
                            <w:sz w:val="18"/>
                            <w:szCs w:val="18"/>
                          </w:rPr>
                        </w:pPr>
                        <w:r>
                          <w:rPr>
                            <w:rFonts w:ascii="Century Gothic" w:hAnsi="Arial Unicode MS"/>
                            <w:kern w:val="0"/>
                            <w:sz w:val="18"/>
                            <w:szCs w:val="18"/>
                          </w:rPr>
                          <w:t>1.</w:t>
                        </w:r>
                        <w:r>
                          <w:rPr>
                            <w:rFonts w:ascii="Century Gothic" w:hAnsi="Arial Unicode MS"/>
                            <w:kern w:val="0"/>
                            <w:sz w:val="18"/>
                            <w:szCs w:val="18"/>
                          </w:rPr>
                          <w:tab/>
                        </w:r>
                        <w:r w:rsidR="003E5F65">
                          <w:rPr>
                            <w:rFonts w:ascii="Century Gothic" w:hAnsi="Century Gothic"/>
                            <w:sz w:val="18"/>
                            <w:szCs w:val="18"/>
                          </w:rPr>
                          <w:t>REPORTABLE:</w:t>
                        </w:r>
                        <w:r w:rsidR="003E5F65">
                          <w:rPr>
                            <w:rFonts w:ascii="Century Gothic" w:hAnsi="Century Gothic"/>
                            <w:b/>
                            <w:bCs/>
                            <w:sz w:val="18"/>
                            <w:szCs w:val="18"/>
                          </w:rPr>
                          <w:t xml:space="preserve"> NO </w:t>
                        </w:r>
                        <w:r w:rsidR="003E5F65">
                          <w:rPr>
                            <w:rFonts w:ascii="Century Gothic" w:hAnsi="Century Gothic"/>
                            <w:sz w:val="18"/>
                            <w:szCs w:val="18"/>
                          </w:rPr>
                          <w:t>/ YES</w:t>
                        </w:r>
                      </w:p>
                      <w:p w:rsidR="00DD19B2" w:rsidRDefault="00FD7696" w:rsidP="00FD7696">
                        <w:pPr>
                          <w:pStyle w:val="BodyA"/>
                          <w:tabs>
                            <w:tab w:val="left" w:pos="840"/>
                          </w:tabs>
                          <w:ind w:left="960" w:hanging="600"/>
                          <w:rPr>
                            <w:rFonts w:ascii="Century Gothic" w:hAnsi="Century Gothic"/>
                            <w:sz w:val="18"/>
                            <w:szCs w:val="18"/>
                          </w:rPr>
                        </w:pPr>
                        <w:r>
                          <w:rPr>
                            <w:rFonts w:ascii="Century Gothic" w:hAnsi="Arial Unicode MS"/>
                            <w:kern w:val="0"/>
                            <w:sz w:val="18"/>
                            <w:szCs w:val="18"/>
                          </w:rPr>
                          <w:t>2.</w:t>
                        </w:r>
                        <w:r>
                          <w:rPr>
                            <w:rFonts w:ascii="Century Gothic" w:hAnsi="Arial Unicode MS"/>
                            <w:kern w:val="0"/>
                            <w:sz w:val="18"/>
                            <w:szCs w:val="18"/>
                          </w:rPr>
                          <w:tab/>
                        </w:r>
                        <w:r w:rsidR="003E5F65">
                          <w:rPr>
                            <w:rFonts w:ascii="Century Gothic" w:hAnsi="Century Gothic"/>
                            <w:sz w:val="18"/>
                            <w:szCs w:val="18"/>
                          </w:rPr>
                          <w:t xml:space="preserve">OF INTEREST TO OTHER JUDGES: </w:t>
                        </w:r>
                        <w:r w:rsidR="003E5F65">
                          <w:rPr>
                            <w:rFonts w:ascii="Century Gothic" w:hAnsi="Century Gothic"/>
                            <w:b/>
                            <w:bCs/>
                            <w:sz w:val="18"/>
                            <w:szCs w:val="18"/>
                          </w:rPr>
                          <w:t xml:space="preserve">NO </w:t>
                        </w:r>
                        <w:r w:rsidR="003E5F65">
                          <w:rPr>
                            <w:rFonts w:ascii="Century Gothic" w:hAnsi="Century Gothic"/>
                            <w:sz w:val="18"/>
                            <w:szCs w:val="18"/>
                          </w:rPr>
                          <w:t>/ YES</w:t>
                        </w:r>
                      </w:p>
                      <w:p w:rsidR="00DD19B2" w:rsidRDefault="00FD7696" w:rsidP="00FD7696">
                        <w:pPr>
                          <w:pStyle w:val="BodyA"/>
                          <w:tabs>
                            <w:tab w:val="left" w:pos="840"/>
                          </w:tabs>
                          <w:ind w:left="960" w:hanging="600"/>
                          <w:rPr>
                            <w:rFonts w:ascii="Century Gothic" w:hAnsi="Century Gothic"/>
                            <w:sz w:val="18"/>
                            <w:szCs w:val="18"/>
                          </w:rPr>
                        </w:pPr>
                        <w:r>
                          <w:rPr>
                            <w:rFonts w:ascii="Century Gothic" w:hAnsi="Arial Unicode MS"/>
                            <w:kern w:val="0"/>
                            <w:sz w:val="18"/>
                            <w:szCs w:val="18"/>
                          </w:rPr>
                          <w:t>3.</w:t>
                        </w:r>
                        <w:r>
                          <w:rPr>
                            <w:rFonts w:ascii="Century Gothic" w:hAnsi="Arial Unicode MS"/>
                            <w:kern w:val="0"/>
                            <w:sz w:val="18"/>
                            <w:szCs w:val="18"/>
                          </w:rPr>
                          <w:tab/>
                        </w:r>
                        <w:r w:rsidR="003E5F65">
                          <w:rPr>
                            <w:rFonts w:ascii="Century Gothic" w:hAnsi="Century Gothic"/>
                            <w:sz w:val="18"/>
                            <w:szCs w:val="18"/>
                          </w:rPr>
                          <w:t xml:space="preserve">REVISED. </w:t>
                        </w:r>
                      </w:p>
                      <w:p w:rsidR="00DD19B2" w:rsidRDefault="00DD19B2">
                        <w:pPr>
                          <w:pStyle w:val="BodyA"/>
                          <w:rPr>
                            <w:rFonts w:ascii="Century Gothic" w:eastAsia="Century Gothic" w:hAnsi="Century Gothic" w:cs="Century Gothic"/>
                            <w:b/>
                            <w:bCs/>
                            <w:sz w:val="18"/>
                            <w:szCs w:val="18"/>
                          </w:rPr>
                        </w:pPr>
                      </w:p>
                      <w:p w:rsidR="00DD19B2" w:rsidRPr="00191F28" w:rsidRDefault="003E5F65">
                        <w:pPr>
                          <w:pStyle w:val="BodyA"/>
                          <w:rPr>
                            <w:rFonts w:ascii="Century Gothic" w:eastAsia="Century Gothic" w:hAnsi="Century Gothic" w:cs="Century Gothic"/>
                            <w:b/>
                            <w:bCs/>
                            <w:sz w:val="18"/>
                            <w:szCs w:val="18"/>
                            <w:u w:val="dotted"/>
                          </w:rPr>
                        </w:pPr>
                        <w:r>
                          <w:rPr>
                            <w:b/>
                            <w:bCs/>
                            <w:sz w:val="18"/>
                            <w:szCs w:val="18"/>
                          </w:rPr>
                          <w:t xml:space="preserve"> </w:t>
                        </w:r>
                        <w:r>
                          <w:rPr>
                            <w:rFonts w:ascii="Century Gothic" w:hAnsi="Century Gothic"/>
                            <w:b/>
                            <w:bCs/>
                            <w:sz w:val="18"/>
                            <w:szCs w:val="18"/>
                          </w:rPr>
                          <w:t>…………..…………</w:t>
                        </w:r>
                        <w:r w:rsidR="00191F28">
                          <w:rPr>
                            <w:rFonts w:ascii="Century Gothic" w:hAnsi="Century Gothic"/>
                            <w:b/>
                            <w:bCs/>
                            <w:sz w:val="18"/>
                            <w:szCs w:val="18"/>
                          </w:rPr>
                          <w:t>.............</w:t>
                        </w:r>
                        <w:r w:rsidR="00191F28">
                          <w:rPr>
                            <w:rFonts w:ascii="Century Gothic" w:hAnsi="Century Gothic"/>
                            <w:b/>
                            <w:bCs/>
                            <w:sz w:val="18"/>
                            <w:szCs w:val="18"/>
                          </w:rPr>
                          <w:tab/>
                        </w:r>
                        <w:r w:rsidR="00191F28">
                          <w:rPr>
                            <w:rFonts w:ascii="Century Gothic" w:hAnsi="Century Gothic"/>
                            <w:b/>
                            <w:bCs/>
                            <w:sz w:val="18"/>
                            <w:szCs w:val="18"/>
                            <w:u w:val="dotted"/>
                          </w:rPr>
                          <w:t>05 July 2023</w:t>
                        </w:r>
                      </w:p>
                      <w:p w:rsidR="00DD19B2" w:rsidRDefault="003E5F65">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v:textbox>
                </v:shape>
                <w10:wrap type="through" anchorx="margin" anchory="line"/>
              </v:group>
            </w:pict>
          </mc:Fallback>
        </mc:AlternateContent>
      </w:r>
      <w:r>
        <w:rPr>
          <w:b/>
          <w:bCs/>
          <w:kern w:val="25"/>
        </w:rPr>
        <w:tab/>
      </w:r>
      <w:r>
        <w:rPr>
          <w:b/>
          <w:bCs/>
          <w:kern w:val="25"/>
        </w:rPr>
        <w:tab/>
      </w:r>
    </w:p>
    <w:p w:rsidR="00DD19B2" w:rsidRDefault="00DD19B2">
      <w:pPr>
        <w:pStyle w:val="BodyA"/>
        <w:spacing w:line="360" w:lineRule="auto"/>
        <w:jc w:val="both"/>
        <w:rPr>
          <w:u w:val="single"/>
        </w:rPr>
      </w:pPr>
    </w:p>
    <w:p w:rsidR="00DD19B2" w:rsidRDefault="00DD19B2">
      <w:pPr>
        <w:pStyle w:val="BodyA"/>
        <w:spacing w:line="360" w:lineRule="auto"/>
        <w:jc w:val="both"/>
        <w:rPr>
          <w:u w:val="single"/>
        </w:rPr>
      </w:pPr>
    </w:p>
    <w:p w:rsidR="00DD19B2" w:rsidRDefault="00DD19B2">
      <w:pPr>
        <w:pStyle w:val="BodyA"/>
        <w:spacing w:line="360" w:lineRule="auto"/>
        <w:jc w:val="both"/>
        <w:rPr>
          <w:u w:val="single"/>
        </w:rPr>
      </w:pPr>
    </w:p>
    <w:p w:rsidR="00DD19B2" w:rsidRDefault="003E5F65">
      <w:pPr>
        <w:pStyle w:val="BodyA"/>
        <w:tabs>
          <w:tab w:val="left" w:pos="6253"/>
        </w:tabs>
        <w:spacing w:line="360" w:lineRule="auto"/>
        <w:jc w:val="both"/>
      </w:pPr>
      <w:r>
        <w:tab/>
      </w:r>
    </w:p>
    <w:p w:rsidR="00DD19B2" w:rsidRDefault="00DD19B2">
      <w:pPr>
        <w:pStyle w:val="BodyA"/>
        <w:tabs>
          <w:tab w:val="left" w:pos="6253"/>
        </w:tabs>
        <w:spacing w:line="360" w:lineRule="auto"/>
        <w:jc w:val="both"/>
      </w:pPr>
    </w:p>
    <w:p w:rsidR="00DD19B2" w:rsidRDefault="00DD19B2">
      <w:pPr>
        <w:pStyle w:val="BodyA"/>
        <w:tabs>
          <w:tab w:val="left" w:pos="6253"/>
        </w:tabs>
        <w:spacing w:line="360" w:lineRule="auto"/>
        <w:jc w:val="both"/>
      </w:pPr>
    </w:p>
    <w:p w:rsidR="00DD19B2" w:rsidRDefault="003E5F65">
      <w:pPr>
        <w:pStyle w:val="BodyA"/>
        <w:tabs>
          <w:tab w:val="left" w:pos="6253"/>
        </w:tabs>
        <w:spacing w:line="360" w:lineRule="auto"/>
        <w:jc w:val="both"/>
      </w:pPr>
      <w:r>
        <w:t>In the matter of:</w:t>
      </w:r>
    </w:p>
    <w:p w:rsidR="00DD19B2" w:rsidRDefault="00DD19B2">
      <w:pPr>
        <w:pStyle w:val="BodyA"/>
        <w:spacing w:line="360" w:lineRule="auto"/>
        <w:jc w:val="right"/>
        <w:rPr>
          <w:sz w:val="26"/>
          <w:szCs w:val="26"/>
          <w:lang w:val="de-DE"/>
        </w:rPr>
      </w:pPr>
    </w:p>
    <w:p w:rsidR="00DD19B2" w:rsidRPr="00F53D23" w:rsidRDefault="003E5F65" w:rsidP="00F53D23">
      <w:pPr>
        <w:pStyle w:val="BodyA"/>
        <w:spacing w:line="360" w:lineRule="auto"/>
        <w:rPr>
          <w:b/>
          <w:bCs/>
          <w:lang w:val="de-DE"/>
        </w:rPr>
      </w:pPr>
      <w:r>
        <w:rPr>
          <w:b/>
          <w:bCs/>
        </w:rPr>
        <w:t>MOMENTUM GROUP LIMITED</w:t>
      </w:r>
      <w:r>
        <w:rPr>
          <w:b/>
          <w:bCs/>
          <w:lang w:val="de-DE"/>
        </w:rPr>
        <w:tab/>
      </w:r>
      <w:r>
        <w:rPr>
          <w:b/>
          <w:bCs/>
          <w:lang w:val="de-DE"/>
        </w:rPr>
        <w:tab/>
      </w:r>
      <w:r>
        <w:rPr>
          <w:lang w:val="de-DE"/>
        </w:rPr>
        <w:tab/>
        <w:t xml:space="preserve"> </w:t>
      </w:r>
      <w:r w:rsidR="00F53D23">
        <w:rPr>
          <w:lang w:val="de-DE"/>
        </w:rPr>
        <w:tab/>
        <w:t xml:space="preserve">       </w:t>
      </w:r>
      <w:r>
        <w:rPr>
          <w:lang w:val="de-DE"/>
        </w:rPr>
        <w:t>Applicant/Defendant</w:t>
      </w:r>
      <w:r>
        <w:rPr>
          <w:b/>
          <w:bCs/>
          <w:lang w:val="de-DE"/>
        </w:rPr>
        <w:tab/>
      </w:r>
      <w:r>
        <w:rPr>
          <w:b/>
          <w:bCs/>
          <w:lang w:val="de-DE"/>
        </w:rPr>
        <w:tab/>
      </w:r>
    </w:p>
    <w:p w:rsidR="00DD19B2" w:rsidRDefault="003E5F65">
      <w:pPr>
        <w:pStyle w:val="BodyA"/>
        <w:spacing w:line="360" w:lineRule="auto"/>
        <w:rPr>
          <w:b/>
          <w:bCs/>
        </w:rPr>
      </w:pPr>
      <w:r>
        <w:rPr>
          <w:b/>
          <w:bCs/>
        </w:rPr>
        <w:t xml:space="preserve">and </w:t>
      </w:r>
    </w:p>
    <w:p w:rsidR="00DD19B2" w:rsidRDefault="00DD19B2">
      <w:pPr>
        <w:pStyle w:val="BodyA"/>
        <w:spacing w:line="360" w:lineRule="auto"/>
        <w:jc w:val="right"/>
        <w:rPr>
          <w:b/>
          <w:bCs/>
        </w:rPr>
      </w:pPr>
    </w:p>
    <w:p w:rsidR="00DD19B2" w:rsidRDefault="003E5F65">
      <w:pPr>
        <w:pStyle w:val="BodyA"/>
        <w:spacing w:line="360" w:lineRule="auto"/>
        <w:rPr>
          <w:b/>
          <w:bCs/>
          <w:lang w:val="de-DE"/>
        </w:rPr>
      </w:pPr>
      <w:r>
        <w:rPr>
          <w:b/>
          <w:bCs/>
        </w:rPr>
        <w:t xml:space="preserve">KATHIGASEN MOOTHSAMY </w:t>
      </w:r>
      <w:r>
        <w:rPr>
          <w:b/>
          <w:bCs/>
          <w:lang w:val="de-DE"/>
        </w:rPr>
        <w:t xml:space="preserve">    </w:t>
      </w:r>
      <w:r>
        <w:rPr>
          <w:b/>
          <w:bCs/>
          <w:lang w:val="de-DE"/>
        </w:rPr>
        <w:tab/>
      </w:r>
      <w:r>
        <w:rPr>
          <w:b/>
          <w:bCs/>
          <w:lang w:val="de-DE"/>
        </w:rPr>
        <w:tab/>
      </w:r>
      <w:r>
        <w:rPr>
          <w:b/>
          <w:bCs/>
          <w:lang w:val="de-DE"/>
        </w:rPr>
        <w:tab/>
      </w:r>
      <w:r w:rsidR="00F53D23">
        <w:rPr>
          <w:b/>
          <w:bCs/>
          <w:lang w:val="de-DE"/>
        </w:rPr>
        <w:tab/>
        <w:t xml:space="preserve">      </w:t>
      </w:r>
      <w:r>
        <w:rPr>
          <w:lang w:val="de-DE"/>
        </w:rPr>
        <w:t>Respondent/ Plaintiff</w:t>
      </w:r>
      <w:r>
        <w:rPr>
          <w:lang w:val="de-DE"/>
        </w:rPr>
        <w:tab/>
      </w:r>
    </w:p>
    <w:p w:rsidR="00F53D23" w:rsidRDefault="00F53D23">
      <w:pPr>
        <w:pStyle w:val="BodyA"/>
        <w:spacing w:line="360" w:lineRule="auto"/>
        <w:rPr>
          <w:b/>
          <w:bCs/>
          <w:lang w:val="de-DE"/>
        </w:rPr>
      </w:pPr>
    </w:p>
    <w:p w:rsidR="00F53D23" w:rsidRDefault="00F53D23">
      <w:pPr>
        <w:pStyle w:val="BodyA"/>
        <w:spacing w:line="360" w:lineRule="auto"/>
        <w:rPr>
          <w:b/>
          <w:bCs/>
          <w:lang w:val="de-DE"/>
        </w:rPr>
      </w:pPr>
    </w:p>
    <w:p w:rsidR="00F53D23" w:rsidRDefault="00F53D23">
      <w:pPr>
        <w:pStyle w:val="BodyA"/>
        <w:spacing w:line="360" w:lineRule="auto"/>
        <w:rPr>
          <w:b/>
          <w:bCs/>
          <w:lang w:val="de-DE"/>
        </w:rPr>
      </w:pPr>
    </w:p>
    <w:p w:rsidR="00F53D23" w:rsidRDefault="00F53D23">
      <w:pPr>
        <w:pStyle w:val="BodyA"/>
        <w:spacing w:line="360" w:lineRule="auto"/>
        <w:rPr>
          <w:b/>
          <w:bCs/>
          <w:lang w:val="de-DE"/>
        </w:rPr>
      </w:pPr>
    </w:p>
    <w:p w:rsidR="00F53D23" w:rsidRPr="00F53D23" w:rsidRDefault="00F53D23">
      <w:pPr>
        <w:pStyle w:val="BodyA"/>
        <w:spacing w:line="360" w:lineRule="auto"/>
        <w:rPr>
          <w:b/>
          <w:bCs/>
          <w:lang w:val="de-DE"/>
        </w:rPr>
      </w:pPr>
    </w:p>
    <w:p w:rsidR="00DD19B2" w:rsidRDefault="003E5F65">
      <w:pPr>
        <w:pStyle w:val="Default"/>
        <w:rPr>
          <w:b/>
          <w:bCs/>
          <w:sz w:val="28"/>
          <w:szCs w:val="28"/>
        </w:rPr>
      </w:pPr>
      <w:r>
        <w:rPr>
          <w:b/>
          <w:bCs/>
          <w:sz w:val="28"/>
          <w:szCs w:val="28"/>
        </w:rPr>
        <w:lastRenderedPageBreak/>
        <w:t>——————————————————————————————</w:t>
      </w:r>
    </w:p>
    <w:p w:rsidR="00F53D23" w:rsidRPr="00F53D23" w:rsidRDefault="00F53D23" w:rsidP="00F53D23">
      <w:pPr>
        <w:pStyle w:val="BodyA"/>
        <w:spacing w:line="360" w:lineRule="auto"/>
        <w:ind w:firstLine="720"/>
        <w:jc w:val="center"/>
        <w:outlineLvl w:val="0"/>
      </w:pPr>
      <w:r>
        <w:rPr>
          <w:b/>
          <w:bCs/>
        </w:rPr>
        <w:t>JUDGEMENT</w:t>
      </w:r>
    </w:p>
    <w:p w:rsidR="00DD19B2" w:rsidRPr="00F53D23" w:rsidRDefault="003E5F65" w:rsidP="00F53D23">
      <w:pPr>
        <w:pStyle w:val="BodyA"/>
        <w:spacing w:line="360" w:lineRule="auto"/>
        <w:jc w:val="center"/>
        <w:rPr>
          <w:sz w:val="22"/>
          <w:szCs w:val="22"/>
        </w:rPr>
      </w:pPr>
      <w:r>
        <w:rPr>
          <w:b/>
          <w:bCs/>
          <w:lang w:val="de-DE"/>
        </w:rPr>
        <w:t>THIS JUDGEMENT WAS HANDED DOWN REMOTELY BY UPLOADING ON CASELINES. ITS DATE OF DEL</w:t>
      </w:r>
      <w:r w:rsidR="00F53D23">
        <w:rPr>
          <w:b/>
          <w:bCs/>
          <w:lang w:val="de-DE"/>
        </w:rPr>
        <w:t>IVERY SHALL BE DEEMED TO BE 05</w:t>
      </w:r>
      <w:r>
        <w:rPr>
          <w:b/>
          <w:bCs/>
          <w:lang w:val="de-DE"/>
        </w:rPr>
        <w:t xml:space="preserve"> JULY 2023.</w:t>
      </w:r>
    </w:p>
    <w:p w:rsidR="00DD19B2" w:rsidRDefault="003E5F65">
      <w:pPr>
        <w:pStyle w:val="BodyA"/>
        <w:suppressAutoHyphens/>
        <w:spacing w:line="360" w:lineRule="auto"/>
        <w:jc w:val="both"/>
        <w:rPr>
          <w:b/>
          <w:bCs/>
        </w:rPr>
      </w:pPr>
      <w:r>
        <w:rPr>
          <w:b/>
          <w:bCs/>
        </w:rPr>
        <w:t>———————————————————————————————————</w:t>
      </w:r>
    </w:p>
    <w:p w:rsidR="00DD19B2" w:rsidRDefault="003E5F65">
      <w:pPr>
        <w:pStyle w:val="level1"/>
        <w:spacing w:after="480" w:line="480" w:lineRule="auto"/>
        <w:rPr>
          <w:b/>
          <w:bCs/>
          <w:u w:val="single"/>
        </w:rPr>
      </w:pPr>
      <w:r>
        <w:rPr>
          <w:b/>
          <w:bCs/>
        </w:rPr>
        <w:t>Bam J</w:t>
      </w:r>
    </w:p>
    <w:p w:rsidR="00DD19B2" w:rsidRDefault="00FD7696" w:rsidP="00FD7696">
      <w:pPr>
        <w:pStyle w:val="level1"/>
        <w:suppressAutoHyphens/>
        <w:spacing w:after="360"/>
        <w:ind w:left="316" w:hanging="316"/>
        <w:rPr>
          <w:b/>
          <w:bCs/>
        </w:rPr>
      </w:pPr>
      <w:r>
        <w:rPr>
          <w:rFonts w:hAnsi="Arial Unicode MS"/>
          <w:b/>
          <w:bCs/>
          <w:kern w:val="0"/>
        </w:rPr>
        <w:t>A.</w:t>
      </w:r>
      <w:r>
        <w:rPr>
          <w:rFonts w:hAnsi="Arial Unicode MS"/>
          <w:b/>
          <w:bCs/>
          <w:kern w:val="0"/>
        </w:rPr>
        <w:tab/>
      </w:r>
      <w:r w:rsidR="003E5F65">
        <w:rPr>
          <w:b/>
          <w:bCs/>
        </w:rPr>
        <w:t xml:space="preserve"> Introduction</w:t>
      </w:r>
    </w:p>
    <w:p w:rsidR="00DD19B2" w:rsidRDefault="00FD7696" w:rsidP="00FD7696">
      <w:pPr>
        <w:pStyle w:val="BodyB"/>
        <w:widowControl w:val="0"/>
        <w:suppressAutoHyphens/>
        <w:spacing w:line="480" w:lineRule="auto"/>
        <w:ind w:left="360" w:hanging="360"/>
        <w:jc w:val="both"/>
        <w:rPr>
          <w:rFonts w:ascii="Arial" w:hAnsi="Arial"/>
        </w:rPr>
      </w:pPr>
      <w:r>
        <w:rPr>
          <w:rFonts w:ascii="Arial" w:hAnsi="Arial Unicode MS"/>
        </w:rPr>
        <w:t>1</w:t>
      </w:r>
      <w:bookmarkStart w:id="0" w:name="_GoBack"/>
      <w:bookmarkEnd w:id="0"/>
      <w:r>
        <w:rPr>
          <w:rFonts w:ascii="Arial" w:hAnsi="Arial Unicode MS"/>
        </w:rPr>
        <w:t>.</w:t>
      </w:r>
      <w:r>
        <w:rPr>
          <w:rFonts w:ascii="Arial" w:hAnsi="Arial Unicode MS"/>
        </w:rPr>
        <w:tab/>
      </w:r>
      <w:r w:rsidR="003E5F65">
        <w:rPr>
          <w:rFonts w:ascii="Arial" w:hAnsi="Arial"/>
        </w:rPr>
        <w:t>This is an opposed application in terms of Rule 28 (4) of the Uniform Rules. The application is brought against the background of an action in which the applicant is the defendant. For ease of reference, I refer to the parties as in the action proceedings. The plaintiff’’s objectio</w:t>
      </w:r>
      <w:r w:rsidR="00F53D23">
        <w:rPr>
          <w:rFonts w:ascii="Arial" w:hAnsi="Arial"/>
        </w:rPr>
        <w:t xml:space="preserve">n, broadly stated, is that the </w:t>
      </w:r>
      <w:r w:rsidR="003E5F65">
        <w:rPr>
          <w:rFonts w:ascii="Arial" w:hAnsi="Arial"/>
        </w:rPr>
        <w:t xml:space="preserve">proposed amendments seek to withdraw an admission or admissions with the objective of introducing new evidence. The plaintiff further accuses the defendant of not being </w:t>
      </w:r>
      <w:r w:rsidR="003E5F65">
        <w:rPr>
          <w:rFonts w:ascii="Arial" w:hAnsi="Arial"/>
          <w:i/>
          <w:iCs/>
        </w:rPr>
        <w:t>bona fides</w:t>
      </w:r>
      <w:r w:rsidR="003E5F65">
        <w:rPr>
          <w:rFonts w:ascii="Arial" w:hAnsi="Arial"/>
        </w:rPr>
        <w:t xml:space="preserve">. In his heads of argument, the plaintiff deals with each of the proposed amendments to paragraphs 6, 8 and 10. He says that the amendments are a direct response to his letter of 13 September 2022 wherein he objected to the defendant’s introduction of new evidence which had not been pleaded. </w:t>
      </w:r>
    </w:p>
    <w:p w:rsidR="00DD19B2" w:rsidRDefault="00DD19B2">
      <w:pPr>
        <w:pStyle w:val="BodyB"/>
        <w:widowControl w:val="0"/>
        <w:suppressAutoHyphens/>
        <w:spacing w:line="480" w:lineRule="auto"/>
        <w:jc w:val="both"/>
        <w:rPr>
          <w:rFonts w:ascii="Arial" w:eastAsia="Arial" w:hAnsi="Arial" w:cs="Arial"/>
        </w:rPr>
      </w:pPr>
    </w:p>
    <w:p w:rsidR="00DD19B2" w:rsidRDefault="003E5F65">
      <w:pPr>
        <w:pStyle w:val="BodyB"/>
        <w:widowControl w:val="0"/>
        <w:suppressAutoHyphens/>
        <w:spacing w:line="480" w:lineRule="auto"/>
        <w:jc w:val="both"/>
        <w:rPr>
          <w:rFonts w:ascii="Arial" w:eastAsia="Arial" w:hAnsi="Arial" w:cs="Arial"/>
          <w:b/>
          <w:bCs/>
        </w:rPr>
      </w:pPr>
      <w:r>
        <w:rPr>
          <w:rFonts w:ascii="Arial" w:hAnsi="Arial"/>
          <w:b/>
          <w:bCs/>
        </w:rPr>
        <w:t>B. Background</w:t>
      </w:r>
    </w:p>
    <w:p w:rsidR="00DD19B2" w:rsidRDefault="00FD7696" w:rsidP="00FD7696">
      <w:pPr>
        <w:pStyle w:val="BodyB"/>
        <w:widowControl w:val="0"/>
        <w:suppressAutoHyphens/>
        <w:spacing w:line="480" w:lineRule="auto"/>
        <w:ind w:left="360" w:hanging="360"/>
        <w:jc w:val="both"/>
        <w:rPr>
          <w:rFonts w:ascii="Arial" w:hAnsi="Arial"/>
        </w:rPr>
      </w:pPr>
      <w:r>
        <w:rPr>
          <w:rFonts w:ascii="Arial" w:hAnsi="Arial Unicode MS"/>
        </w:rPr>
        <w:t>2.</w:t>
      </w:r>
      <w:r>
        <w:rPr>
          <w:rFonts w:ascii="Arial" w:hAnsi="Arial Unicode MS"/>
        </w:rPr>
        <w:tab/>
      </w:r>
      <w:r w:rsidR="003E5F65">
        <w:rPr>
          <w:rFonts w:ascii="Arial" w:hAnsi="Arial"/>
        </w:rPr>
        <w:t>The plaintiff’s claim is based on a life assurance policy over the life of the late Mr Ebrahim Asmal, at the latter’s instance. The policy incepted on 1 November 2008 with a premium of R11 810, p</w:t>
      </w:r>
      <w:r w:rsidR="00191F28">
        <w:rPr>
          <w:rFonts w:ascii="Arial" w:hAnsi="Arial"/>
        </w:rPr>
        <w:t xml:space="preserve">er month, with the sum at risk </w:t>
      </w:r>
      <w:r w:rsidR="003E5F65">
        <w:rPr>
          <w:rFonts w:ascii="Arial" w:hAnsi="Arial"/>
        </w:rPr>
        <w:t xml:space="preserve">being R15 million. At the end of April 2009, the policy lapsed as a result of </w:t>
      </w:r>
      <w:r w:rsidR="003E5F65">
        <w:rPr>
          <w:rFonts w:ascii="Arial" w:hAnsi="Arial"/>
        </w:rPr>
        <w:lastRenderedPageBreak/>
        <w:t xml:space="preserve">the life assured’s failure to pay the agreed monthly premiums. On or about May 2009, the policy was re-instated pursuant to a written application purportedly, by the life assured. The re-instatement was followed by a cession of the policy to the plaintiff, purportedly executed by the life assured on 11 August 2009 and on 30 September 2009, the life assured purportedly appointed the plaintiff as beneficiary for proceeds. Mr Asmal died on 11 April 2011. Following his death, the plaintiff lodged a claim for payment of the death benefit, which the defendant declined and further repudiated the contract. As may already be apparent from the background three records are at the centre of the dispute between the parties. They are, (i) the application for re-instatement; (ii) the cession documents; and (iii) the beneficiary appointment records. </w:t>
      </w:r>
    </w:p>
    <w:p w:rsidR="00DD19B2" w:rsidRDefault="00DD19B2">
      <w:pPr>
        <w:pStyle w:val="BodyB"/>
        <w:widowControl w:val="0"/>
        <w:suppressAutoHyphens/>
        <w:spacing w:line="480" w:lineRule="auto"/>
        <w:jc w:val="both"/>
        <w:rPr>
          <w:rFonts w:ascii="Arial" w:eastAsia="Arial" w:hAnsi="Arial" w:cs="Arial"/>
        </w:rPr>
      </w:pPr>
    </w:p>
    <w:p w:rsidR="00DD19B2" w:rsidRDefault="003E5F65">
      <w:pPr>
        <w:pStyle w:val="BodyB"/>
        <w:widowControl w:val="0"/>
        <w:suppressAutoHyphens/>
        <w:spacing w:line="480" w:lineRule="auto"/>
        <w:jc w:val="both"/>
        <w:rPr>
          <w:rFonts w:ascii="Arial" w:eastAsia="Arial" w:hAnsi="Arial" w:cs="Arial"/>
          <w:b/>
          <w:bCs/>
        </w:rPr>
      </w:pPr>
      <w:r>
        <w:rPr>
          <w:rFonts w:ascii="Arial" w:hAnsi="Arial"/>
          <w:b/>
          <w:bCs/>
        </w:rPr>
        <w:t>C. The law</w:t>
      </w:r>
    </w:p>
    <w:p w:rsidR="00DD19B2" w:rsidRDefault="00FD7696" w:rsidP="00FD7696">
      <w:pPr>
        <w:pStyle w:val="BodyB"/>
        <w:widowControl w:val="0"/>
        <w:suppressAutoHyphens/>
        <w:spacing w:line="480" w:lineRule="auto"/>
        <w:ind w:left="360" w:hanging="360"/>
        <w:jc w:val="both"/>
        <w:rPr>
          <w:rFonts w:ascii="Arial" w:hAnsi="Arial"/>
        </w:rPr>
      </w:pPr>
      <w:r>
        <w:rPr>
          <w:rFonts w:ascii="Arial" w:hAnsi="Arial Unicode MS"/>
        </w:rPr>
        <w:t>3.</w:t>
      </w:r>
      <w:r>
        <w:rPr>
          <w:rFonts w:ascii="Arial" w:hAnsi="Arial Unicode MS"/>
        </w:rPr>
        <w:tab/>
      </w:r>
      <w:r w:rsidR="003E5F65">
        <w:rPr>
          <w:rFonts w:ascii="Arial" w:hAnsi="Arial"/>
        </w:rPr>
        <w:t xml:space="preserve">The general rule pertaining to amendment of pleadings is that the court has a discretion, which must be exercised judiciously. In </w:t>
      </w:r>
      <w:r w:rsidR="003E5F65">
        <w:rPr>
          <w:rFonts w:ascii="Arial" w:hAnsi="Arial"/>
          <w:i/>
          <w:iCs/>
        </w:rPr>
        <w:t>Caxton Ltd and Others</w:t>
      </w:r>
      <w:r w:rsidR="003E5F65">
        <w:rPr>
          <w:rFonts w:ascii="Arial" w:hAnsi="Arial"/>
        </w:rPr>
        <w:t xml:space="preserve"> v </w:t>
      </w:r>
      <w:r w:rsidR="003E5F65">
        <w:rPr>
          <w:rFonts w:ascii="Arial" w:hAnsi="Arial"/>
          <w:i/>
          <w:iCs/>
        </w:rPr>
        <w:t>Reeva Forman (Pty) Ltd and Another,</w:t>
      </w:r>
      <w:r w:rsidR="003E5F65">
        <w:rPr>
          <w:rFonts w:ascii="Arial" w:hAnsi="Arial"/>
        </w:rPr>
        <w:t xml:space="preserve"> the rule was articulated thus:</w:t>
      </w:r>
    </w:p>
    <w:p w:rsidR="00DD19B2" w:rsidRDefault="003E5F65">
      <w:pPr>
        <w:pStyle w:val="BodyB"/>
        <w:widowControl w:val="0"/>
        <w:suppressAutoHyphens/>
        <w:spacing w:line="360" w:lineRule="auto"/>
        <w:ind w:left="567"/>
        <w:jc w:val="both"/>
        <w:rPr>
          <w:rFonts w:ascii="Arial" w:eastAsia="Arial" w:hAnsi="Arial" w:cs="Arial"/>
          <w:sz w:val="22"/>
          <w:szCs w:val="22"/>
        </w:rPr>
      </w:pPr>
      <w:r>
        <w:rPr>
          <w:rFonts w:ascii="Arial" w:hAnsi="Arial"/>
          <w:sz w:val="22"/>
          <w:szCs w:val="22"/>
        </w:rPr>
        <w:t>‘Although the decision whether to grant or refuse an application to amend a pleading rests in the discretion of the court, this discretion must be exercised with due regard to certain basic principles. These principles are well summed up in… Trans-Drakensberg Bank Ltd (Under Judicial Management) v Combined Eng</w:t>
      </w:r>
      <w:r w:rsidR="002367FC">
        <w:rPr>
          <w:rFonts w:ascii="Arial" w:hAnsi="Arial"/>
          <w:sz w:val="22"/>
          <w:szCs w:val="22"/>
        </w:rPr>
        <w:t xml:space="preserve">ineering (Pty) Ltd and Another </w:t>
      </w:r>
      <w:r>
        <w:rPr>
          <w:rFonts w:ascii="Arial" w:hAnsi="Arial"/>
          <w:sz w:val="22"/>
          <w:szCs w:val="22"/>
        </w:rPr>
        <w:t>1967 (3) SA 632 (D), at 640 H - 641 C…:</w:t>
      </w:r>
    </w:p>
    <w:p w:rsidR="00DD19B2" w:rsidRDefault="00DD19B2">
      <w:pPr>
        <w:pStyle w:val="Default"/>
        <w:spacing w:line="360" w:lineRule="auto"/>
        <w:ind w:left="567"/>
        <w:rPr>
          <w:color w:val="242121"/>
          <w:shd w:val="clear" w:color="auto" w:fill="FFFFFF"/>
        </w:rPr>
      </w:pPr>
    </w:p>
    <w:p w:rsidR="00DD19B2" w:rsidRDefault="003E5F65">
      <w:pPr>
        <w:pStyle w:val="Default"/>
        <w:spacing w:line="360" w:lineRule="auto"/>
        <w:ind w:left="567"/>
        <w:rPr>
          <w:color w:val="242121"/>
          <w:shd w:val="clear" w:color="auto" w:fill="FFFFFF"/>
        </w:rPr>
      </w:pPr>
      <w:r>
        <w:rPr>
          <w:color w:val="242121"/>
          <w:shd w:val="clear" w:color="auto" w:fill="FFFFFF"/>
        </w:rPr>
        <w:t xml:space="preserve">"Having already made his case in his pleading, if he wishes to change or add to this, he must </w:t>
      </w:r>
      <w:r>
        <w:rPr>
          <w:color w:val="242121"/>
          <w:u w:val="single"/>
          <w:shd w:val="clear" w:color="auto" w:fill="FFFFFF"/>
        </w:rPr>
        <w:t xml:space="preserve">explain the reason </w:t>
      </w:r>
      <w:r>
        <w:rPr>
          <w:color w:val="242121"/>
          <w:shd w:val="clear" w:color="auto" w:fill="FFFFFF"/>
        </w:rPr>
        <w:t xml:space="preserve">and show </w:t>
      </w:r>
      <w:r>
        <w:rPr>
          <w:color w:val="242121"/>
          <w:u w:val="single"/>
          <w:shd w:val="clear" w:color="auto" w:fill="FFFFFF"/>
          <w:lang w:val="it-IT"/>
        </w:rPr>
        <w:t>prima facie</w:t>
      </w:r>
      <w:r>
        <w:rPr>
          <w:color w:val="242121"/>
          <w:shd w:val="clear" w:color="auto" w:fill="FFFFFF"/>
        </w:rPr>
        <w:t xml:space="preserve"> that he has something deserving of consideration, </w:t>
      </w:r>
      <w:r>
        <w:rPr>
          <w:color w:val="242121"/>
          <w:u w:val="single"/>
          <w:shd w:val="clear" w:color="auto" w:fill="FFFFFF"/>
        </w:rPr>
        <w:t>a triable issue;</w:t>
      </w:r>
      <w:r>
        <w:rPr>
          <w:color w:val="242121"/>
          <w:shd w:val="clear" w:color="auto" w:fill="FFFFFF"/>
        </w:rPr>
        <w:t xml:space="preserve"> he cannot be allowed</w:t>
      </w:r>
      <w:r>
        <w:rPr>
          <w:color w:val="242121"/>
          <w:u w:val="single"/>
          <w:shd w:val="clear" w:color="auto" w:fill="FFFFFF"/>
        </w:rPr>
        <w:t xml:space="preserve"> to harass his opponent by an amendment which has no foundation</w:t>
      </w:r>
      <w:r>
        <w:rPr>
          <w:color w:val="242121"/>
          <w:shd w:val="clear" w:color="auto" w:fill="FFFFFF"/>
        </w:rPr>
        <w:t xml:space="preserve">. He cannot place on the </w:t>
      </w:r>
      <w:r>
        <w:rPr>
          <w:color w:val="242121"/>
          <w:shd w:val="clear" w:color="auto" w:fill="FFFFFF"/>
        </w:rPr>
        <w:lastRenderedPageBreak/>
        <w:t>record an issue for which he has no supporting evidence, where evidence is required, or, save perhaps in exceptional circumstances, introduce an amendment which would make the pleading excipiable.”</w:t>
      </w:r>
      <w:r>
        <w:rPr>
          <w:color w:val="242121"/>
          <w:shd w:val="clear" w:color="auto" w:fill="FFFFFF"/>
          <w:vertAlign w:val="superscript"/>
        </w:rPr>
        <w:footnoteReference w:id="2"/>
      </w:r>
      <w:r>
        <w:rPr>
          <w:color w:val="242121"/>
          <w:shd w:val="clear" w:color="auto" w:fill="FFFFFF"/>
        </w:rPr>
        <w:t xml:space="preserve"> ( the underline is mine)</w:t>
      </w:r>
    </w:p>
    <w:p w:rsidR="00DD19B2" w:rsidRDefault="00DD19B2">
      <w:pPr>
        <w:pStyle w:val="Default"/>
        <w:spacing w:line="360" w:lineRule="auto"/>
        <w:ind w:left="567"/>
        <w:rPr>
          <w:color w:val="242121"/>
          <w:shd w:val="clear" w:color="auto" w:fill="FFFFFF"/>
        </w:rPr>
      </w:pPr>
    </w:p>
    <w:p w:rsidR="00DD19B2" w:rsidRDefault="00FD7696" w:rsidP="00FD7696">
      <w:pPr>
        <w:pStyle w:val="BodyB"/>
        <w:widowControl w:val="0"/>
        <w:suppressAutoHyphens/>
        <w:spacing w:line="480" w:lineRule="auto"/>
        <w:ind w:left="360" w:hanging="360"/>
        <w:jc w:val="both"/>
        <w:rPr>
          <w:rFonts w:ascii="Arial" w:hAnsi="Arial"/>
        </w:rPr>
      </w:pPr>
      <w:r>
        <w:rPr>
          <w:rFonts w:ascii="Arial" w:hAnsi="Arial Unicode MS"/>
        </w:rPr>
        <w:t>4.</w:t>
      </w:r>
      <w:r>
        <w:rPr>
          <w:rFonts w:ascii="Arial" w:hAnsi="Arial Unicode MS"/>
        </w:rPr>
        <w:tab/>
      </w:r>
      <w:r w:rsidR="003E5F65">
        <w:rPr>
          <w:rFonts w:ascii="Arial" w:hAnsi="Arial"/>
        </w:rPr>
        <w:t xml:space="preserve">In </w:t>
      </w:r>
      <w:r w:rsidR="003E5F65">
        <w:rPr>
          <w:rFonts w:ascii="Arial" w:hAnsi="Arial"/>
          <w:i/>
          <w:iCs/>
        </w:rPr>
        <w:t>Whittaker</w:t>
      </w:r>
      <w:r w:rsidR="003E5F65">
        <w:rPr>
          <w:rFonts w:ascii="Arial" w:hAnsi="Arial"/>
        </w:rPr>
        <w:t xml:space="preserve"> v </w:t>
      </w:r>
      <w:r w:rsidR="003E5F65">
        <w:rPr>
          <w:rFonts w:ascii="Arial" w:hAnsi="Arial"/>
          <w:i/>
          <w:iCs/>
        </w:rPr>
        <w:t>Roos and Another</w:t>
      </w:r>
      <w:r w:rsidR="003E5F65">
        <w:rPr>
          <w:rFonts w:ascii="Arial" w:hAnsi="Arial"/>
        </w:rPr>
        <w:t>;</w:t>
      </w:r>
      <w:r w:rsidR="003E5F65">
        <w:rPr>
          <w:rFonts w:ascii="Arial" w:hAnsi="Arial"/>
          <w:i/>
          <w:iCs/>
        </w:rPr>
        <w:t xml:space="preserve"> Morant </w:t>
      </w:r>
      <w:r w:rsidR="003E5F65">
        <w:rPr>
          <w:rFonts w:ascii="Arial" w:hAnsi="Arial"/>
        </w:rPr>
        <w:t xml:space="preserve">v </w:t>
      </w:r>
      <w:r w:rsidR="002367FC">
        <w:rPr>
          <w:rFonts w:ascii="Arial" w:hAnsi="Arial"/>
          <w:i/>
          <w:iCs/>
        </w:rPr>
        <w:t>Roos and Another</w:t>
      </w:r>
      <w:r w:rsidR="003E5F65">
        <w:rPr>
          <w:rFonts w:ascii="Arial" w:hAnsi="Arial"/>
        </w:rPr>
        <w:t>:</w:t>
      </w:r>
    </w:p>
    <w:p w:rsidR="00DD19B2" w:rsidRDefault="003E5F65">
      <w:pPr>
        <w:pStyle w:val="BodyB"/>
        <w:widowControl w:val="0"/>
        <w:suppressAutoHyphens/>
        <w:spacing w:line="360" w:lineRule="auto"/>
        <w:ind w:left="567"/>
        <w:jc w:val="both"/>
        <w:rPr>
          <w:rFonts w:ascii="Arial" w:eastAsia="Arial" w:hAnsi="Arial" w:cs="Arial"/>
        </w:rPr>
      </w:pPr>
      <w:r>
        <w:rPr>
          <w:rFonts w:ascii="Arial" w:hAnsi="Arial"/>
          <w:sz w:val="22"/>
          <w:szCs w:val="22"/>
        </w:rPr>
        <w:t>‘This court has the greatest latitude in granting amendments, and it is very necessary that it should have.</w:t>
      </w:r>
      <w:r w:rsidR="002367FC">
        <w:rPr>
          <w:rFonts w:ascii="Arial" w:hAnsi="Arial"/>
          <w:sz w:val="22"/>
          <w:szCs w:val="22"/>
        </w:rPr>
        <w:t xml:space="preserve"> The object of the court is t</w:t>
      </w:r>
      <w:r>
        <w:rPr>
          <w:rFonts w:ascii="Arial" w:hAnsi="Arial"/>
          <w:sz w:val="22"/>
          <w:szCs w:val="22"/>
        </w:rPr>
        <w:t>o</w:t>
      </w:r>
      <w:r w:rsidR="002367FC">
        <w:rPr>
          <w:rFonts w:ascii="Arial" w:hAnsi="Arial"/>
          <w:sz w:val="22"/>
          <w:szCs w:val="22"/>
        </w:rPr>
        <w:t xml:space="preserve"> do</w:t>
      </w:r>
      <w:r>
        <w:rPr>
          <w:rFonts w:ascii="Arial" w:hAnsi="Arial"/>
          <w:sz w:val="22"/>
          <w:szCs w:val="22"/>
        </w:rPr>
        <w:t xml:space="preserve"> justice between th</w:t>
      </w:r>
      <w:r w:rsidR="002367FC">
        <w:rPr>
          <w:rFonts w:ascii="Arial" w:hAnsi="Arial"/>
          <w:sz w:val="22"/>
          <w:szCs w:val="22"/>
        </w:rPr>
        <w:t>e parties. It is not a game we</w:t>
      </w:r>
      <w:r>
        <w:rPr>
          <w:rFonts w:ascii="Arial" w:hAnsi="Arial"/>
          <w:sz w:val="22"/>
          <w:szCs w:val="22"/>
        </w:rPr>
        <w:t xml:space="preserve"> are playing, in which if some mistake is made, the forfeit is claimed. We are here for the purpose of seeing that we have a true account of what actually took place, and we are not going to give a decision upon what we know to be wrong facts.'</w:t>
      </w:r>
      <w:r>
        <w:rPr>
          <w:rFonts w:ascii="Arial" w:eastAsia="Arial" w:hAnsi="Arial" w:cs="Arial"/>
          <w:sz w:val="22"/>
          <w:szCs w:val="22"/>
          <w:vertAlign w:val="superscript"/>
        </w:rPr>
        <w:footnoteReference w:id="3"/>
      </w:r>
      <w:r>
        <w:rPr>
          <w:rFonts w:ascii="Arial" w:hAnsi="Arial"/>
        </w:rPr>
        <w:t xml:space="preserve"> </w:t>
      </w:r>
    </w:p>
    <w:p w:rsidR="00DD19B2" w:rsidRDefault="00DD19B2">
      <w:pPr>
        <w:pStyle w:val="BodyB"/>
        <w:widowControl w:val="0"/>
        <w:suppressAutoHyphens/>
        <w:spacing w:line="360" w:lineRule="auto"/>
        <w:ind w:left="567"/>
        <w:jc w:val="both"/>
        <w:rPr>
          <w:rFonts w:ascii="Arial" w:eastAsia="Arial" w:hAnsi="Arial" w:cs="Arial"/>
        </w:rPr>
      </w:pPr>
    </w:p>
    <w:p w:rsidR="00DD19B2" w:rsidRDefault="00FD7696" w:rsidP="00FD7696">
      <w:pPr>
        <w:pStyle w:val="BodyB"/>
        <w:widowControl w:val="0"/>
        <w:suppressAutoHyphens/>
        <w:spacing w:line="480" w:lineRule="auto"/>
        <w:ind w:left="360" w:hanging="360"/>
        <w:jc w:val="both"/>
        <w:rPr>
          <w:rFonts w:ascii="Arial" w:hAnsi="Arial"/>
        </w:rPr>
      </w:pPr>
      <w:r>
        <w:rPr>
          <w:rFonts w:ascii="Arial" w:hAnsi="Arial Unicode MS"/>
        </w:rPr>
        <w:t>5.</w:t>
      </w:r>
      <w:r>
        <w:rPr>
          <w:rFonts w:ascii="Arial" w:hAnsi="Arial Unicode MS"/>
        </w:rPr>
        <w:tab/>
      </w:r>
      <w:r w:rsidR="003E5F65">
        <w:rPr>
          <w:rFonts w:ascii="Arial" w:hAnsi="Arial"/>
        </w:rPr>
        <w:t xml:space="preserve">In </w:t>
      </w:r>
      <w:r w:rsidR="003E5F65">
        <w:rPr>
          <w:rFonts w:ascii="Arial" w:hAnsi="Arial"/>
          <w:i/>
          <w:iCs/>
        </w:rPr>
        <w:t>Affordable Medicines Trust and Others</w:t>
      </w:r>
      <w:r w:rsidR="003E5F65">
        <w:rPr>
          <w:rFonts w:ascii="Arial" w:hAnsi="Arial"/>
        </w:rPr>
        <w:t xml:space="preserve"> v </w:t>
      </w:r>
      <w:r w:rsidR="003E5F65">
        <w:rPr>
          <w:rFonts w:ascii="Arial" w:hAnsi="Arial"/>
          <w:i/>
          <w:iCs/>
        </w:rPr>
        <w:t>Minister of Health and Another</w:t>
      </w:r>
      <w:r w:rsidR="003E5F65">
        <w:rPr>
          <w:rFonts w:ascii="Arial" w:hAnsi="Arial"/>
        </w:rPr>
        <w:t>, it was said that:</w:t>
      </w:r>
    </w:p>
    <w:p w:rsidR="00DD19B2" w:rsidRDefault="003E5F65">
      <w:pPr>
        <w:pStyle w:val="BodyB"/>
        <w:widowControl w:val="0"/>
        <w:suppressAutoHyphens/>
        <w:spacing w:line="360" w:lineRule="auto"/>
        <w:ind w:left="567"/>
        <w:jc w:val="both"/>
        <w:rPr>
          <w:rFonts w:ascii="Arial" w:eastAsia="Arial" w:hAnsi="Arial" w:cs="Arial"/>
          <w:sz w:val="22"/>
          <w:szCs w:val="22"/>
        </w:rPr>
      </w:pPr>
      <w:r>
        <w:rPr>
          <w:rFonts w:ascii="Arial" w:hAnsi="Arial"/>
          <w:sz w:val="22"/>
          <w:szCs w:val="22"/>
        </w:rPr>
        <w:t>‘…The practical rule that emerges from these cases is that amendments will always be allowed unless the amendment is mala fide (made in bad faith) or unless the amendment will cause an injustice to the other side which cannot be cured by an appropriate order for costs, or “unless the parties cannot be put back for the purposes of justice in the same position as they were when the pleading which it is sought to amend was filed.” These principles apply equally to a Notice of Motion. The question in each case, therefore, is what do the interests of justice demand.’</w:t>
      </w:r>
      <w:r>
        <w:rPr>
          <w:rFonts w:ascii="Arial" w:eastAsia="Arial" w:hAnsi="Arial" w:cs="Arial"/>
          <w:sz w:val="22"/>
          <w:szCs w:val="22"/>
          <w:vertAlign w:val="superscript"/>
        </w:rPr>
        <w:footnoteReference w:id="4"/>
      </w:r>
    </w:p>
    <w:p w:rsidR="00DD19B2" w:rsidRDefault="00DD19B2">
      <w:pPr>
        <w:pStyle w:val="BodyB"/>
        <w:widowControl w:val="0"/>
        <w:suppressAutoHyphens/>
        <w:spacing w:line="360" w:lineRule="auto"/>
        <w:ind w:left="567"/>
        <w:jc w:val="both"/>
        <w:rPr>
          <w:rFonts w:ascii="Arial" w:eastAsia="Arial" w:hAnsi="Arial" w:cs="Arial"/>
          <w:sz w:val="22"/>
          <w:szCs w:val="22"/>
        </w:rPr>
      </w:pPr>
    </w:p>
    <w:p w:rsidR="00DD19B2" w:rsidRDefault="003E5F65">
      <w:pPr>
        <w:pStyle w:val="BodyB"/>
        <w:widowControl w:val="0"/>
        <w:suppressAutoHyphens/>
        <w:spacing w:line="360" w:lineRule="auto"/>
        <w:ind w:left="567" w:hanging="567"/>
        <w:jc w:val="both"/>
        <w:rPr>
          <w:rFonts w:ascii="Arial" w:eastAsia="Arial" w:hAnsi="Arial" w:cs="Arial"/>
          <w:b/>
          <w:bCs/>
        </w:rPr>
      </w:pPr>
      <w:r>
        <w:rPr>
          <w:rFonts w:ascii="Arial" w:hAnsi="Arial"/>
          <w:b/>
          <w:bCs/>
        </w:rPr>
        <w:t xml:space="preserve">The defendant’s case </w:t>
      </w:r>
    </w:p>
    <w:p w:rsidR="00DD19B2" w:rsidRDefault="00FD7696" w:rsidP="00FD7696">
      <w:pPr>
        <w:pStyle w:val="BodyB"/>
        <w:widowControl w:val="0"/>
        <w:suppressAutoHyphens/>
        <w:spacing w:line="480" w:lineRule="auto"/>
        <w:ind w:left="360" w:hanging="360"/>
        <w:jc w:val="both"/>
        <w:rPr>
          <w:rFonts w:ascii="Arial" w:hAnsi="Arial"/>
        </w:rPr>
      </w:pPr>
      <w:r>
        <w:rPr>
          <w:rFonts w:ascii="Arial" w:hAnsi="Arial Unicode MS"/>
        </w:rPr>
        <w:t>6.</w:t>
      </w:r>
      <w:r>
        <w:rPr>
          <w:rFonts w:ascii="Arial" w:hAnsi="Arial Unicode MS"/>
        </w:rPr>
        <w:tab/>
      </w:r>
      <w:r w:rsidR="003E5F65">
        <w:rPr>
          <w:rFonts w:ascii="Arial" w:hAnsi="Arial"/>
        </w:rPr>
        <w:t xml:space="preserve">It will be recalled that one of the plaintiff’s objections is premised on the fact that the defendant seeks to introduce new information with the amendments. In order to demonstrate that the information sought to be introduced is not new and was always known the plaintiff, the defendant refers in the first </w:t>
      </w:r>
      <w:r w:rsidR="003E5F65">
        <w:rPr>
          <w:rFonts w:ascii="Arial" w:hAnsi="Arial"/>
        </w:rPr>
        <w:lastRenderedPageBreak/>
        <w:t>instance to its letter of rejection of the plaintiff’s claim. In the letter dated 12 September 2011, the defendant informed the plaintiff that it had declined his claim because it had received forensic confirmation that the life assured had not completed the documents submitted to it in connection with the policy re-instatement. It further informed the plaintiff of its stance that had it known of the true facts, it would not have re-instated the policy.</w:t>
      </w:r>
    </w:p>
    <w:p w:rsidR="00DD19B2" w:rsidRDefault="00DD19B2">
      <w:pPr>
        <w:pStyle w:val="BodyB"/>
        <w:widowControl w:val="0"/>
        <w:suppressAutoHyphens/>
        <w:spacing w:line="480" w:lineRule="auto"/>
        <w:jc w:val="both"/>
        <w:rPr>
          <w:rFonts w:ascii="Arial" w:eastAsia="Arial" w:hAnsi="Arial" w:cs="Arial"/>
        </w:rPr>
      </w:pPr>
    </w:p>
    <w:p w:rsidR="00DD19B2" w:rsidRDefault="00FD7696" w:rsidP="00FD7696">
      <w:pPr>
        <w:pStyle w:val="BodyB"/>
        <w:widowControl w:val="0"/>
        <w:suppressAutoHyphens/>
        <w:spacing w:line="480" w:lineRule="auto"/>
        <w:ind w:left="360" w:hanging="360"/>
        <w:jc w:val="both"/>
        <w:rPr>
          <w:rFonts w:ascii="Arial" w:hAnsi="Arial"/>
        </w:rPr>
      </w:pPr>
      <w:r>
        <w:rPr>
          <w:rFonts w:ascii="Arial" w:hAnsi="Arial Unicode MS"/>
        </w:rPr>
        <w:t>7.</w:t>
      </w:r>
      <w:r>
        <w:rPr>
          <w:rFonts w:ascii="Arial" w:hAnsi="Arial Unicode MS"/>
        </w:rPr>
        <w:tab/>
      </w:r>
      <w:r w:rsidR="003E5F65">
        <w:rPr>
          <w:rFonts w:ascii="Arial" w:hAnsi="Arial"/>
        </w:rPr>
        <w:t xml:space="preserve">The second piece of information deals with an email dated 15 September 2011, addressed to one Toshan Panday. Panday, it is said, functioned as an insurance broker for both the late Mr Asmal and the plaintiff. The email followed a meeting held with Panday in which he had made available certain documents relating to the cession of the life policy in question. The cession documents, it transpired, had not been signed by the late Mr Asmal but by Panday himself. The defendant submits that Panday, who had no right to the policy, could not cede to the plaintiff any right without the express mandate from the life assured. No such evidence has ever been presented, submits the defendant. </w:t>
      </w:r>
    </w:p>
    <w:p w:rsidR="00DD19B2" w:rsidRDefault="00DD19B2">
      <w:pPr>
        <w:pStyle w:val="BodyB"/>
        <w:widowControl w:val="0"/>
        <w:suppressAutoHyphens/>
        <w:spacing w:line="480" w:lineRule="auto"/>
        <w:jc w:val="both"/>
        <w:rPr>
          <w:rFonts w:ascii="Arial" w:eastAsia="Arial" w:hAnsi="Arial" w:cs="Arial"/>
        </w:rPr>
      </w:pPr>
    </w:p>
    <w:p w:rsidR="00DD19B2" w:rsidRDefault="00FD7696" w:rsidP="00FD7696">
      <w:pPr>
        <w:pStyle w:val="BodyB"/>
        <w:widowControl w:val="0"/>
        <w:suppressAutoHyphens/>
        <w:spacing w:line="480" w:lineRule="auto"/>
        <w:ind w:left="360" w:hanging="360"/>
        <w:jc w:val="both"/>
        <w:rPr>
          <w:rFonts w:ascii="Arial" w:hAnsi="Arial"/>
        </w:rPr>
      </w:pPr>
      <w:r>
        <w:rPr>
          <w:rFonts w:ascii="Arial" w:hAnsi="Arial Unicode MS"/>
        </w:rPr>
        <w:t>8.</w:t>
      </w:r>
      <w:r>
        <w:rPr>
          <w:rFonts w:ascii="Arial" w:hAnsi="Arial Unicode MS"/>
        </w:rPr>
        <w:tab/>
      </w:r>
      <w:r w:rsidR="003E5F65">
        <w:rPr>
          <w:rFonts w:ascii="Arial" w:hAnsi="Arial"/>
        </w:rPr>
        <w:t>The third piece deals with a letter sent to the plaintiff on 19 October 2011, in which the defendant advised the plaintiff of its reasons for refusing to reconsider his claim. In this regard, the defendant informed the plaintiff that the documentation pertaining to the reins</w:t>
      </w:r>
      <w:r w:rsidR="00667F8D">
        <w:rPr>
          <w:rFonts w:ascii="Arial" w:hAnsi="Arial"/>
        </w:rPr>
        <w:t xml:space="preserve">tatement was flawed and that it, </w:t>
      </w:r>
      <w:r w:rsidR="003E5F65">
        <w:rPr>
          <w:rFonts w:ascii="Arial" w:hAnsi="Arial"/>
        </w:rPr>
        <w:t xml:space="preserve">Momentum, considered the documents to be fabricated. In a letter responding to a complaint filed by the plaintiff with the Long Term Insurance </w:t>
      </w:r>
      <w:r w:rsidR="003E5F65">
        <w:rPr>
          <w:rFonts w:ascii="Arial" w:hAnsi="Arial"/>
        </w:rPr>
        <w:lastRenderedPageBreak/>
        <w:t>Ombudsman, the defendant raised, amongst others, Mr Asmal’s attendance at the defendant’s offices on 24 February 2011 to discuss the status of his policy. In the course of the discussion, Mr Asmal pertinently denied ever re-instating the policy. The final piece of evidence relied upon by the defendant arises from a meeting with Mr Panday and his attorney, which took place on 11 February 2012, wherein Panday had apparently confirmed that the signatures presented as Asmal’s on the re-instatement documents were a ‘cut and paste’ performed by his office.</w:t>
      </w:r>
    </w:p>
    <w:p w:rsidR="00DD19B2" w:rsidRDefault="00DD19B2">
      <w:pPr>
        <w:pStyle w:val="BodyB"/>
        <w:widowControl w:val="0"/>
        <w:suppressAutoHyphens/>
        <w:spacing w:line="480" w:lineRule="auto"/>
        <w:jc w:val="both"/>
        <w:rPr>
          <w:rFonts w:ascii="Arial" w:eastAsia="Arial" w:hAnsi="Arial" w:cs="Arial"/>
        </w:rPr>
      </w:pPr>
    </w:p>
    <w:p w:rsidR="00DD19B2" w:rsidRDefault="00FD7696" w:rsidP="00FD7696">
      <w:pPr>
        <w:pStyle w:val="BodyB"/>
        <w:widowControl w:val="0"/>
        <w:suppressAutoHyphens/>
        <w:spacing w:line="480" w:lineRule="auto"/>
        <w:ind w:left="360" w:hanging="360"/>
        <w:jc w:val="both"/>
        <w:rPr>
          <w:rFonts w:ascii="Arial" w:hAnsi="Arial"/>
        </w:rPr>
      </w:pPr>
      <w:r>
        <w:rPr>
          <w:rFonts w:ascii="Arial" w:hAnsi="Arial Unicode MS"/>
        </w:rPr>
        <w:t>9.</w:t>
      </w:r>
      <w:r>
        <w:rPr>
          <w:rFonts w:ascii="Arial" w:hAnsi="Arial Unicode MS"/>
        </w:rPr>
        <w:tab/>
      </w:r>
      <w:r w:rsidR="003E5F65">
        <w:rPr>
          <w:rFonts w:ascii="Arial" w:hAnsi="Arial"/>
        </w:rPr>
        <w:t xml:space="preserve">It was based on the foregoing background that the defendant, in the existing plea, ended up </w:t>
      </w:r>
      <w:r w:rsidR="003E5F65">
        <w:rPr>
          <w:rFonts w:ascii="Arial" w:hAnsi="Arial"/>
          <w:u w:val="single"/>
        </w:rPr>
        <w:t>denying</w:t>
      </w:r>
      <w:r w:rsidR="00667F8D">
        <w:rPr>
          <w:rFonts w:ascii="Arial" w:hAnsi="Arial"/>
        </w:rPr>
        <w:t xml:space="preserve"> </w:t>
      </w:r>
      <w:r w:rsidR="003E5F65">
        <w:rPr>
          <w:rFonts w:ascii="Arial" w:hAnsi="Arial"/>
        </w:rPr>
        <w:t>that:</w:t>
      </w:r>
    </w:p>
    <w:p w:rsidR="00DD19B2" w:rsidRDefault="00667F8D">
      <w:pPr>
        <w:pStyle w:val="BodyB"/>
        <w:widowControl w:val="0"/>
        <w:suppressAutoHyphens/>
        <w:spacing w:line="480" w:lineRule="auto"/>
        <w:ind w:left="283"/>
        <w:jc w:val="both"/>
        <w:rPr>
          <w:rFonts w:ascii="Arial" w:eastAsia="Arial" w:hAnsi="Arial" w:cs="Arial"/>
        </w:rPr>
      </w:pPr>
      <w:r>
        <w:rPr>
          <w:rFonts w:ascii="Arial" w:hAnsi="Arial"/>
        </w:rPr>
        <w:t xml:space="preserve">9.1 </w:t>
      </w:r>
      <w:r w:rsidR="003E5F65">
        <w:rPr>
          <w:rFonts w:ascii="Arial" w:hAnsi="Arial"/>
        </w:rPr>
        <w:t>it was the life assured who had made the written application for re-</w:t>
      </w:r>
      <w:r>
        <w:rPr>
          <w:rFonts w:ascii="Arial" w:hAnsi="Arial"/>
        </w:rPr>
        <w:tab/>
      </w:r>
      <w:r w:rsidR="003E5F65">
        <w:rPr>
          <w:rFonts w:ascii="Arial" w:hAnsi="Arial"/>
        </w:rPr>
        <w:t>instatement of the policy after it had lapsed;</w:t>
      </w:r>
    </w:p>
    <w:p w:rsidR="00DD19B2" w:rsidRDefault="003E5F65">
      <w:pPr>
        <w:pStyle w:val="BodyB"/>
        <w:widowControl w:val="0"/>
        <w:suppressAutoHyphens/>
        <w:spacing w:line="480" w:lineRule="auto"/>
        <w:ind w:firstLine="283"/>
        <w:jc w:val="both"/>
        <w:rPr>
          <w:rFonts w:ascii="Arial" w:eastAsia="Arial" w:hAnsi="Arial" w:cs="Arial"/>
        </w:rPr>
      </w:pPr>
      <w:r>
        <w:rPr>
          <w:rFonts w:ascii="Arial" w:hAnsi="Arial"/>
        </w:rPr>
        <w:t>9.2 the life assured executed the purported session;</w:t>
      </w:r>
    </w:p>
    <w:p w:rsidR="00DD19B2" w:rsidRDefault="003E5F65">
      <w:pPr>
        <w:pStyle w:val="BodyB"/>
        <w:widowControl w:val="0"/>
        <w:suppressAutoHyphens/>
        <w:spacing w:line="480" w:lineRule="auto"/>
        <w:ind w:left="283"/>
        <w:jc w:val="both"/>
        <w:rPr>
          <w:rFonts w:ascii="Arial" w:eastAsia="Arial" w:hAnsi="Arial" w:cs="Arial"/>
        </w:rPr>
      </w:pPr>
      <w:r>
        <w:rPr>
          <w:rFonts w:ascii="Arial" w:hAnsi="Arial"/>
        </w:rPr>
        <w:t xml:space="preserve">9.3 the life assured had nominated the plaintiff as the beneficiary to the </w:t>
      </w:r>
      <w:r w:rsidR="00667F8D">
        <w:rPr>
          <w:rFonts w:ascii="Arial" w:hAnsi="Arial"/>
        </w:rPr>
        <w:tab/>
      </w:r>
      <w:r>
        <w:rPr>
          <w:rFonts w:ascii="Arial" w:hAnsi="Arial"/>
        </w:rPr>
        <w:t>proceeds of the insurance policy.</w:t>
      </w:r>
    </w:p>
    <w:p w:rsidR="00DD19B2" w:rsidRDefault="00DD19B2">
      <w:pPr>
        <w:pStyle w:val="BodyB"/>
        <w:widowControl w:val="0"/>
        <w:suppressAutoHyphens/>
        <w:spacing w:line="480" w:lineRule="auto"/>
        <w:jc w:val="both"/>
        <w:rPr>
          <w:rFonts w:ascii="Arial" w:eastAsia="Arial" w:hAnsi="Arial" w:cs="Arial"/>
        </w:rPr>
      </w:pPr>
    </w:p>
    <w:p w:rsidR="00DD19B2" w:rsidRDefault="00FD7696" w:rsidP="00FD7696">
      <w:pPr>
        <w:pStyle w:val="BodyB"/>
        <w:widowControl w:val="0"/>
        <w:suppressAutoHyphens/>
        <w:spacing w:line="480" w:lineRule="auto"/>
        <w:ind w:left="360" w:hanging="360"/>
        <w:jc w:val="both"/>
        <w:rPr>
          <w:rFonts w:ascii="Arial" w:hAnsi="Arial"/>
        </w:rPr>
      </w:pPr>
      <w:r>
        <w:rPr>
          <w:rFonts w:ascii="Arial" w:hAnsi="Arial Unicode MS"/>
        </w:rPr>
        <w:t>10.</w:t>
      </w:r>
      <w:r>
        <w:rPr>
          <w:rFonts w:ascii="Arial" w:hAnsi="Arial Unicode MS"/>
        </w:rPr>
        <w:tab/>
      </w:r>
      <w:r w:rsidR="003E5F65">
        <w:rPr>
          <w:rFonts w:ascii="Arial" w:hAnsi="Arial"/>
        </w:rPr>
        <w:t xml:space="preserve"> The defendant then addresses the issue of admissions relied upon by the plaintiff. It says that the plaintiff has not properly considered what is being admitted in its plea. As illustration,</w:t>
      </w:r>
      <w:r w:rsidR="00667F8D">
        <w:rPr>
          <w:rFonts w:ascii="Arial" w:hAnsi="Arial"/>
        </w:rPr>
        <w:t xml:space="preserve"> the defendant refers to the </w:t>
      </w:r>
      <w:r w:rsidR="003E5F65">
        <w:rPr>
          <w:rFonts w:ascii="Arial" w:hAnsi="Arial"/>
        </w:rPr>
        <w:t>disputed documents as B1 - the re-instatement application; C1 - the purported cession; and D1 - the purported beneficiary nomination forms. In paragraph 4.2 of the amended particulars of claim, the plaintiff pleaded:</w:t>
      </w:r>
    </w:p>
    <w:p w:rsidR="00DD19B2" w:rsidRDefault="00667F8D">
      <w:pPr>
        <w:pStyle w:val="BodyB"/>
        <w:widowControl w:val="0"/>
        <w:suppressAutoHyphens/>
        <w:spacing w:line="480" w:lineRule="auto"/>
        <w:ind w:left="283"/>
        <w:jc w:val="both"/>
        <w:rPr>
          <w:rFonts w:ascii="Arial" w:eastAsia="Arial" w:hAnsi="Arial" w:cs="Arial"/>
        </w:rPr>
      </w:pPr>
      <w:r>
        <w:rPr>
          <w:rFonts w:ascii="Arial" w:hAnsi="Arial"/>
        </w:rPr>
        <w:t xml:space="preserve"> </w:t>
      </w:r>
      <w:r w:rsidR="003E5F65">
        <w:rPr>
          <w:rFonts w:ascii="Arial" w:hAnsi="Arial"/>
        </w:rPr>
        <w:t>Paragraph 4.2. During or about May 2009;</w:t>
      </w:r>
    </w:p>
    <w:p w:rsidR="00DD19B2" w:rsidRPr="00667F8D" w:rsidRDefault="00667F8D">
      <w:pPr>
        <w:pStyle w:val="BodyB"/>
        <w:widowControl w:val="0"/>
        <w:suppressAutoHyphens/>
        <w:spacing w:line="480" w:lineRule="auto"/>
        <w:ind w:left="283"/>
        <w:jc w:val="both"/>
        <w:rPr>
          <w:rFonts w:ascii="Arial" w:eastAsia="Arial" w:hAnsi="Arial" w:cs="Arial"/>
          <w:sz w:val="22"/>
        </w:rPr>
      </w:pPr>
      <w:r>
        <w:rPr>
          <w:rFonts w:ascii="Arial" w:hAnsi="Arial"/>
          <w:sz w:val="22"/>
        </w:rPr>
        <w:lastRenderedPageBreak/>
        <w:t>‘</w:t>
      </w:r>
      <w:r w:rsidR="003E5F65" w:rsidRPr="00667F8D">
        <w:rPr>
          <w:rFonts w:ascii="Arial" w:hAnsi="Arial"/>
          <w:sz w:val="22"/>
        </w:rPr>
        <w:t>4.2.1 the life insured made a written re-instatement application to the defendant;</w:t>
      </w:r>
    </w:p>
    <w:p w:rsidR="00DD19B2" w:rsidRPr="00667F8D" w:rsidRDefault="003E5F65">
      <w:pPr>
        <w:pStyle w:val="BodyB"/>
        <w:widowControl w:val="0"/>
        <w:suppressAutoHyphens/>
        <w:spacing w:line="480" w:lineRule="auto"/>
        <w:ind w:left="283"/>
        <w:jc w:val="both"/>
        <w:rPr>
          <w:rFonts w:ascii="Arial" w:eastAsia="Arial" w:hAnsi="Arial" w:cs="Arial"/>
          <w:sz w:val="22"/>
        </w:rPr>
      </w:pPr>
      <w:r w:rsidRPr="00667F8D">
        <w:rPr>
          <w:rFonts w:ascii="Arial" w:hAnsi="Arial"/>
          <w:sz w:val="22"/>
        </w:rPr>
        <w:t>4.2.1.1 for the reinstatement of the policy;</w:t>
      </w:r>
    </w:p>
    <w:p w:rsidR="00DD19B2" w:rsidRPr="00667F8D" w:rsidRDefault="003E5F65">
      <w:pPr>
        <w:pStyle w:val="BodyB"/>
        <w:widowControl w:val="0"/>
        <w:suppressAutoHyphens/>
        <w:spacing w:line="480" w:lineRule="auto"/>
        <w:ind w:firstLine="283"/>
        <w:jc w:val="both"/>
        <w:rPr>
          <w:rFonts w:ascii="Arial" w:eastAsia="Arial" w:hAnsi="Arial" w:cs="Arial"/>
          <w:sz w:val="22"/>
        </w:rPr>
      </w:pPr>
      <w:r w:rsidRPr="00667F8D">
        <w:rPr>
          <w:rFonts w:ascii="Arial" w:hAnsi="Arial"/>
          <w:sz w:val="22"/>
        </w:rPr>
        <w:t>4.2.1.2 within the six months reinstatement period;</w:t>
      </w:r>
    </w:p>
    <w:p w:rsidR="00DD19B2" w:rsidRPr="00667F8D" w:rsidRDefault="003E5F65">
      <w:pPr>
        <w:pStyle w:val="BodyB"/>
        <w:widowControl w:val="0"/>
        <w:suppressAutoHyphens/>
        <w:spacing w:line="480" w:lineRule="auto"/>
        <w:ind w:left="283"/>
        <w:jc w:val="both"/>
        <w:rPr>
          <w:rFonts w:ascii="Arial" w:eastAsia="Arial" w:hAnsi="Arial" w:cs="Arial"/>
          <w:sz w:val="22"/>
        </w:rPr>
      </w:pPr>
      <w:r w:rsidRPr="00667F8D">
        <w:rPr>
          <w:rFonts w:ascii="Arial" w:hAnsi="Arial"/>
          <w:sz w:val="22"/>
        </w:rPr>
        <w:t>4.2.1</w:t>
      </w:r>
      <w:r w:rsidR="00667F8D" w:rsidRPr="00667F8D">
        <w:rPr>
          <w:rFonts w:ascii="Arial" w:hAnsi="Arial"/>
          <w:sz w:val="22"/>
        </w:rPr>
        <w:t>.3 of which B1 here is a copy (</w:t>
      </w:r>
      <w:r w:rsidRPr="00667F8D">
        <w:rPr>
          <w:rFonts w:ascii="Arial" w:hAnsi="Arial"/>
          <w:sz w:val="22"/>
        </w:rPr>
        <w:t>the reinstatement application of the life insured)</w:t>
      </w:r>
    </w:p>
    <w:p w:rsidR="00DD19B2" w:rsidRPr="00667F8D" w:rsidRDefault="003E5F65">
      <w:pPr>
        <w:pStyle w:val="BodyB"/>
        <w:widowControl w:val="0"/>
        <w:suppressAutoHyphens/>
        <w:spacing w:line="480" w:lineRule="auto"/>
        <w:ind w:firstLine="283"/>
        <w:jc w:val="both"/>
        <w:rPr>
          <w:rFonts w:ascii="Arial" w:eastAsia="Arial" w:hAnsi="Arial" w:cs="Arial"/>
          <w:sz w:val="22"/>
        </w:rPr>
      </w:pPr>
      <w:r w:rsidRPr="00667F8D">
        <w:rPr>
          <w:rFonts w:ascii="Arial" w:hAnsi="Arial"/>
          <w:sz w:val="22"/>
        </w:rPr>
        <w:t>4.2.2 the defendant:</w:t>
      </w:r>
    </w:p>
    <w:p w:rsidR="00DD19B2" w:rsidRPr="00667F8D" w:rsidRDefault="003E5F65">
      <w:pPr>
        <w:pStyle w:val="BodyB"/>
        <w:widowControl w:val="0"/>
        <w:suppressAutoHyphens/>
        <w:spacing w:line="480" w:lineRule="auto"/>
        <w:ind w:firstLine="283"/>
        <w:jc w:val="both"/>
        <w:rPr>
          <w:rFonts w:ascii="Arial" w:eastAsia="Arial" w:hAnsi="Arial" w:cs="Arial"/>
          <w:sz w:val="22"/>
        </w:rPr>
      </w:pPr>
      <w:r w:rsidRPr="00667F8D">
        <w:rPr>
          <w:rFonts w:ascii="Arial" w:hAnsi="Arial"/>
          <w:sz w:val="22"/>
        </w:rPr>
        <w:t>4.2.2.1 granted the reinstatement of the application of the life insured;</w:t>
      </w:r>
    </w:p>
    <w:p w:rsidR="00DD19B2" w:rsidRPr="00667F8D" w:rsidRDefault="003E5F65">
      <w:pPr>
        <w:pStyle w:val="BodyB"/>
        <w:widowControl w:val="0"/>
        <w:suppressAutoHyphens/>
        <w:spacing w:line="480" w:lineRule="auto"/>
        <w:ind w:left="283"/>
        <w:jc w:val="both"/>
        <w:rPr>
          <w:rFonts w:ascii="Arial" w:eastAsia="Arial" w:hAnsi="Arial" w:cs="Arial"/>
          <w:sz w:val="22"/>
        </w:rPr>
      </w:pPr>
      <w:r w:rsidRPr="00667F8D">
        <w:rPr>
          <w:rFonts w:ascii="Arial" w:hAnsi="Arial"/>
          <w:sz w:val="22"/>
        </w:rPr>
        <w:t xml:space="preserve">4.2.2.2 duly reinstated the policy evidenced by the confirmation of the reinstatement </w:t>
      </w:r>
      <w:r w:rsidR="00667F8D">
        <w:rPr>
          <w:rFonts w:ascii="Arial" w:hAnsi="Arial"/>
          <w:sz w:val="22"/>
        </w:rPr>
        <w:tab/>
        <w:t xml:space="preserve">     </w:t>
      </w:r>
      <w:r w:rsidRPr="00667F8D">
        <w:rPr>
          <w:rFonts w:ascii="Arial" w:hAnsi="Arial"/>
          <w:sz w:val="22"/>
        </w:rPr>
        <w:t>annexed hereto marked annexure B2.</w:t>
      </w:r>
      <w:r w:rsidR="00667F8D">
        <w:rPr>
          <w:rFonts w:ascii="Arial" w:hAnsi="Arial"/>
          <w:sz w:val="22"/>
        </w:rPr>
        <w:t>’</w:t>
      </w:r>
    </w:p>
    <w:p w:rsidR="00DD19B2" w:rsidRDefault="00DD19B2">
      <w:pPr>
        <w:pStyle w:val="BodyB"/>
        <w:widowControl w:val="0"/>
        <w:suppressAutoHyphens/>
        <w:spacing w:line="480" w:lineRule="auto"/>
        <w:ind w:left="283"/>
        <w:jc w:val="both"/>
        <w:rPr>
          <w:rFonts w:ascii="Arial" w:eastAsia="Arial" w:hAnsi="Arial" w:cs="Arial"/>
        </w:rPr>
      </w:pPr>
    </w:p>
    <w:p w:rsidR="00DD19B2" w:rsidRDefault="00FD7696" w:rsidP="00FD7696">
      <w:pPr>
        <w:pStyle w:val="BodyB"/>
        <w:widowControl w:val="0"/>
        <w:suppressAutoHyphens/>
        <w:spacing w:line="480" w:lineRule="auto"/>
        <w:ind w:left="360" w:hanging="360"/>
        <w:jc w:val="both"/>
        <w:rPr>
          <w:rFonts w:ascii="Arial" w:hAnsi="Arial"/>
        </w:rPr>
      </w:pPr>
      <w:r>
        <w:rPr>
          <w:rFonts w:ascii="Arial" w:hAnsi="Arial Unicode MS"/>
        </w:rPr>
        <w:t>11.</w:t>
      </w:r>
      <w:r>
        <w:rPr>
          <w:rFonts w:ascii="Arial" w:hAnsi="Arial Unicode MS"/>
        </w:rPr>
        <w:tab/>
      </w:r>
      <w:r w:rsidR="00667F8D">
        <w:rPr>
          <w:rFonts w:ascii="Arial" w:hAnsi="Arial"/>
        </w:rPr>
        <w:t xml:space="preserve"> </w:t>
      </w:r>
      <w:r w:rsidR="003E5F65">
        <w:rPr>
          <w:rFonts w:ascii="Arial" w:hAnsi="Arial"/>
        </w:rPr>
        <w:t xml:space="preserve">In response, the defendant pleaded: </w:t>
      </w:r>
    </w:p>
    <w:p w:rsidR="00DD19B2" w:rsidRPr="00667F8D" w:rsidRDefault="00667F8D">
      <w:pPr>
        <w:pStyle w:val="BodyB"/>
        <w:widowControl w:val="0"/>
        <w:suppressAutoHyphens/>
        <w:spacing w:line="480" w:lineRule="auto"/>
        <w:jc w:val="both"/>
        <w:rPr>
          <w:rFonts w:ascii="Arial" w:eastAsia="Arial" w:hAnsi="Arial" w:cs="Arial"/>
          <w:sz w:val="22"/>
        </w:rPr>
      </w:pPr>
      <w:r>
        <w:rPr>
          <w:rFonts w:ascii="Arial" w:hAnsi="Arial"/>
          <w:sz w:val="22"/>
        </w:rPr>
        <w:t xml:space="preserve">      </w:t>
      </w:r>
      <w:r w:rsidR="003E5F65" w:rsidRPr="00667F8D">
        <w:rPr>
          <w:rFonts w:ascii="Arial" w:hAnsi="Arial"/>
          <w:sz w:val="22"/>
        </w:rPr>
        <w:t>‘5. Ad paragraph 4.2 - 4.2.1.3 - The allegations contained herein are denied.</w:t>
      </w:r>
    </w:p>
    <w:p w:rsidR="00DD19B2" w:rsidRPr="00667F8D" w:rsidRDefault="00667F8D">
      <w:pPr>
        <w:pStyle w:val="BodyB"/>
        <w:widowControl w:val="0"/>
        <w:suppressAutoHyphens/>
        <w:spacing w:line="480" w:lineRule="auto"/>
        <w:ind w:left="283" w:hanging="283"/>
        <w:jc w:val="both"/>
        <w:rPr>
          <w:rFonts w:ascii="Arial" w:eastAsia="Arial" w:hAnsi="Arial" w:cs="Arial"/>
          <w:sz w:val="22"/>
        </w:rPr>
      </w:pPr>
      <w:r>
        <w:rPr>
          <w:rFonts w:ascii="Arial" w:hAnsi="Arial"/>
          <w:sz w:val="22"/>
        </w:rPr>
        <w:tab/>
        <w:t xml:space="preserve">  </w:t>
      </w:r>
      <w:r w:rsidR="003E5F65" w:rsidRPr="00667F8D">
        <w:rPr>
          <w:rFonts w:ascii="Arial" w:hAnsi="Arial"/>
          <w:sz w:val="22"/>
        </w:rPr>
        <w:t xml:space="preserve">6. Ad paragraphs 4.2.2 - 4.2.2.2 - The allegations herein are admitted as the </w:t>
      </w:r>
      <w:r>
        <w:rPr>
          <w:rFonts w:ascii="Arial" w:hAnsi="Arial"/>
          <w:sz w:val="22"/>
        </w:rPr>
        <w:tab/>
      </w:r>
      <w:r w:rsidR="003E5F65" w:rsidRPr="00667F8D">
        <w:rPr>
          <w:rFonts w:ascii="Arial" w:hAnsi="Arial"/>
          <w:sz w:val="22"/>
        </w:rPr>
        <w:t xml:space="preserve">defendant was under the impression that the life assured made written </w:t>
      </w:r>
      <w:r>
        <w:rPr>
          <w:rFonts w:ascii="Arial" w:hAnsi="Arial"/>
          <w:sz w:val="22"/>
        </w:rPr>
        <w:tab/>
      </w:r>
      <w:r w:rsidR="003E5F65" w:rsidRPr="00667F8D">
        <w:rPr>
          <w:rFonts w:ascii="Arial" w:hAnsi="Arial"/>
          <w:sz w:val="22"/>
        </w:rPr>
        <w:t>representation for the re-instatement of the policy.</w:t>
      </w:r>
      <w:r w:rsidRPr="00667F8D">
        <w:rPr>
          <w:rFonts w:ascii="Arial" w:hAnsi="Arial"/>
          <w:sz w:val="22"/>
        </w:rPr>
        <w:t>’</w:t>
      </w:r>
    </w:p>
    <w:p w:rsidR="00DD19B2" w:rsidRDefault="00DD19B2">
      <w:pPr>
        <w:pStyle w:val="BodyB"/>
        <w:widowControl w:val="0"/>
        <w:suppressAutoHyphens/>
        <w:spacing w:line="480" w:lineRule="auto"/>
        <w:jc w:val="both"/>
        <w:rPr>
          <w:rFonts w:ascii="Arial" w:eastAsia="Arial" w:hAnsi="Arial" w:cs="Arial"/>
        </w:rPr>
      </w:pPr>
    </w:p>
    <w:p w:rsidR="00DD19B2" w:rsidRDefault="00FD7696" w:rsidP="00FD7696">
      <w:pPr>
        <w:pStyle w:val="BodyB"/>
        <w:widowControl w:val="0"/>
        <w:suppressAutoHyphens/>
        <w:spacing w:line="480" w:lineRule="auto"/>
        <w:ind w:left="360" w:hanging="360"/>
        <w:jc w:val="both"/>
        <w:rPr>
          <w:rFonts w:ascii="Arial" w:hAnsi="Arial"/>
        </w:rPr>
      </w:pPr>
      <w:r>
        <w:rPr>
          <w:rFonts w:ascii="Arial" w:hAnsi="Arial Unicode MS"/>
        </w:rPr>
        <w:t>12.</w:t>
      </w:r>
      <w:r>
        <w:rPr>
          <w:rFonts w:ascii="Arial" w:hAnsi="Arial Unicode MS"/>
        </w:rPr>
        <w:tab/>
      </w:r>
      <w:r w:rsidR="00667F8D">
        <w:rPr>
          <w:rFonts w:ascii="Arial" w:hAnsi="Arial"/>
        </w:rPr>
        <w:t xml:space="preserve"> </w:t>
      </w:r>
      <w:r w:rsidR="003E5F65">
        <w:rPr>
          <w:rFonts w:ascii="Arial" w:hAnsi="Arial"/>
        </w:rPr>
        <w:t>In paragraph 5.1 of the amended particulars of claim, the plaintiff pleaded:</w:t>
      </w:r>
    </w:p>
    <w:p w:rsidR="00DD19B2" w:rsidRPr="00667F8D" w:rsidRDefault="003E5F65">
      <w:pPr>
        <w:pStyle w:val="BodyB"/>
        <w:widowControl w:val="0"/>
        <w:suppressAutoHyphens/>
        <w:spacing w:line="480" w:lineRule="auto"/>
        <w:ind w:firstLine="283"/>
        <w:jc w:val="both"/>
        <w:rPr>
          <w:rFonts w:ascii="Arial" w:eastAsia="Arial" w:hAnsi="Arial" w:cs="Arial"/>
          <w:sz w:val="22"/>
        </w:rPr>
      </w:pPr>
      <w:r w:rsidRPr="00667F8D">
        <w:rPr>
          <w:rFonts w:ascii="Arial" w:hAnsi="Arial"/>
          <w:sz w:val="22"/>
        </w:rPr>
        <w:t>‘5.1: On or about 11 August 2009, the life assured:</w:t>
      </w:r>
    </w:p>
    <w:p w:rsidR="00DD19B2" w:rsidRPr="00667F8D" w:rsidRDefault="003E5F65">
      <w:pPr>
        <w:pStyle w:val="BodyB"/>
        <w:widowControl w:val="0"/>
        <w:suppressAutoHyphens/>
        <w:spacing w:line="480" w:lineRule="auto"/>
        <w:ind w:firstLine="283"/>
        <w:jc w:val="both"/>
        <w:rPr>
          <w:rFonts w:ascii="Arial" w:eastAsia="Arial" w:hAnsi="Arial" w:cs="Arial"/>
          <w:sz w:val="22"/>
        </w:rPr>
      </w:pPr>
      <w:r w:rsidRPr="00667F8D">
        <w:rPr>
          <w:rFonts w:ascii="Arial" w:hAnsi="Arial"/>
          <w:sz w:val="22"/>
        </w:rPr>
        <w:t>5.1.1 executed the right to cede;</w:t>
      </w:r>
    </w:p>
    <w:p w:rsidR="00DD19B2" w:rsidRPr="00667F8D" w:rsidRDefault="003E5F65">
      <w:pPr>
        <w:pStyle w:val="BodyB"/>
        <w:widowControl w:val="0"/>
        <w:suppressAutoHyphens/>
        <w:spacing w:line="480" w:lineRule="auto"/>
        <w:ind w:firstLine="283"/>
        <w:jc w:val="both"/>
        <w:rPr>
          <w:rFonts w:ascii="Arial" w:eastAsia="Arial" w:hAnsi="Arial" w:cs="Arial"/>
          <w:sz w:val="22"/>
        </w:rPr>
      </w:pPr>
      <w:r w:rsidRPr="00667F8D">
        <w:rPr>
          <w:rFonts w:ascii="Arial" w:hAnsi="Arial"/>
          <w:sz w:val="22"/>
        </w:rPr>
        <w:t>5.1.2 ced</w:t>
      </w:r>
      <w:r w:rsidR="00667F8D">
        <w:rPr>
          <w:rFonts w:ascii="Arial" w:hAnsi="Arial"/>
          <w:sz w:val="22"/>
        </w:rPr>
        <w:t>ed the policy to the plaintiff;</w:t>
      </w:r>
      <w:r w:rsidRPr="00667F8D">
        <w:rPr>
          <w:rFonts w:ascii="Arial" w:hAnsi="Arial"/>
          <w:sz w:val="22"/>
        </w:rPr>
        <w:t xml:space="preserve"> i</w:t>
      </w:r>
      <w:r w:rsidR="00667F8D" w:rsidRPr="00667F8D">
        <w:rPr>
          <w:rFonts w:ascii="Arial" w:hAnsi="Arial"/>
          <w:sz w:val="22"/>
        </w:rPr>
        <w:t>n writing (the written cession)’</w:t>
      </w:r>
    </w:p>
    <w:p w:rsidR="00DD19B2" w:rsidRDefault="00DD19B2">
      <w:pPr>
        <w:pStyle w:val="BodyB"/>
        <w:widowControl w:val="0"/>
        <w:suppressAutoHyphens/>
        <w:spacing w:line="480" w:lineRule="auto"/>
        <w:jc w:val="both"/>
        <w:rPr>
          <w:rFonts w:ascii="Arial" w:eastAsia="Arial" w:hAnsi="Arial" w:cs="Arial"/>
        </w:rPr>
      </w:pPr>
    </w:p>
    <w:p w:rsidR="00DD19B2" w:rsidRDefault="00FD7696" w:rsidP="00FD7696">
      <w:pPr>
        <w:pStyle w:val="BodyB"/>
        <w:widowControl w:val="0"/>
        <w:suppressAutoHyphens/>
        <w:spacing w:line="480" w:lineRule="auto"/>
        <w:ind w:left="360" w:hanging="360"/>
        <w:jc w:val="both"/>
        <w:rPr>
          <w:rFonts w:ascii="Arial" w:hAnsi="Arial"/>
        </w:rPr>
      </w:pPr>
      <w:r>
        <w:rPr>
          <w:rFonts w:ascii="Arial" w:hAnsi="Arial Unicode MS"/>
        </w:rPr>
        <w:t>13.</w:t>
      </w:r>
      <w:r>
        <w:rPr>
          <w:rFonts w:ascii="Arial" w:hAnsi="Arial Unicode MS"/>
        </w:rPr>
        <w:tab/>
      </w:r>
      <w:r w:rsidR="00667F8D">
        <w:rPr>
          <w:rFonts w:ascii="Arial" w:hAnsi="Arial"/>
        </w:rPr>
        <w:t xml:space="preserve"> </w:t>
      </w:r>
      <w:r w:rsidR="003E5F65">
        <w:rPr>
          <w:rFonts w:ascii="Arial" w:hAnsi="Arial"/>
        </w:rPr>
        <w:t>In response the defendant pleaded:</w:t>
      </w:r>
    </w:p>
    <w:p w:rsidR="00DD19B2" w:rsidRPr="00667F8D" w:rsidRDefault="00667F8D">
      <w:pPr>
        <w:pStyle w:val="BodyB"/>
        <w:widowControl w:val="0"/>
        <w:suppressAutoHyphens/>
        <w:spacing w:line="480" w:lineRule="auto"/>
        <w:ind w:firstLine="283"/>
        <w:jc w:val="both"/>
        <w:rPr>
          <w:rFonts w:ascii="Arial" w:eastAsia="Arial" w:hAnsi="Arial" w:cs="Arial"/>
          <w:sz w:val="22"/>
        </w:rPr>
      </w:pPr>
      <w:r w:rsidRPr="00667F8D">
        <w:rPr>
          <w:rFonts w:ascii="Arial" w:hAnsi="Arial"/>
          <w:sz w:val="22"/>
        </w:rPr>
        <w:t>‘</w:t>
      </w:r>
      <w:r w:rsidR="003E5F65" w:rsidRPr="00667F8D">
        <w:rPr>
          <w:rFonts w:ascii="Arial" w:hAnsi="Arial"/>
          <w:sz w:val="22"/>
        </w:rPr>
        <w:t>7. Ad paragraph 5.1 The allegations herein are denied</w:t>
      </w:r>
    </w:p>
    <w:p w:rsidR="00DD19B2" w:rsidRPr="00667F8D" w:rsidRDefault="003E5F65">
      <w:pPr>
        <w:pStyle w:val="BodyB"/>
        <w:widowControl w:val="0"/>
        <w:suppressAutoHyphens/>
        <w:spacing w:line="480" w:lineRule="auto"/>
        <w:ind w:firstLine="283"/>
        <w:jc w:val="both"/>
        <w:rPr>
          <w:rFonts w:ascii="Arial" w:eastAsia="Arial" w:hAnsi="Arial" w:cs="Arial"/>
          <w:sz w:val="22"/>
        </w:rPr>
      </w:pPr>
      <w:r w:rsidRPr="00667F8D">
        <w:rPr>
          <w:rFonts w:ascii="Arial" w:hAnsi="Arial"/>
          <w:sz w:val="22"/>
        </w:rPr>
        <w:t>8.1 Ad paragraph 5.2 It is admitted that the written cession is annexure C.</w:t>
      </w:r>
    </w:p>
    <w:p w:rsidR="00DD19B2" w:rsidRPr="00667F8D" w:rsidRDefault="003E5F65">
      <w:pPr>
        <w:pStyle w:val="BodyB"/>
        <w:widowControl w:val="0"/>
        <w:suppressAutoHyphens/>
        <w:spacing w:line="480" w:lineRule="auto"/>
        <w:ind w:firstLine="283"/>
        <w:jc w:val="both"/>
        <w:rPr>
          <w:rFonts w:ascii="Arial" w:eastAsia="Arial" w:hAnsi="Arial" w:cs="Arial"/>
          <w:sz w:val="22"/>
        </w:rPr>
      </w:pPr>
      <w:r w:rsidRPr="00667F8D">
        <w:rPr>
          <w:rFonts w:ascii="Arial" w:hAnsi="Arial"/>
          <w:sz w:val="22"/>
        </w:rPr>
        <w:t>8.2 The remaining allegations are denied</w:t>
      </w:r>
      <w:r w:rsidR="00667F8D">
        <w:rPr>
          <w:rFonts w:ascii="Arial" w:hAnsi="Arial"/>
          <w:sz w:val="22"/>
        </w:rPr>
        <w:t>’</w:t>
      </w:r>
    </w:p>
    <w:p w:rsidR="00DD19B2" w:rsidRDefault="00DD19B2">
      <w:pPr>
        <w:pStyle w:val="BodyB"/>
        <w:widowControl w:val="0"/>
        <w:suppressAutoHyphens/>
        <w:spacing w:line="480" w:lineRule="auto"/>
        <w:ind w:firstLine="283"/>
        <w:jc w:val="both"/>
        <w:rPr>
          <w:rFonts w:ascii="Arial" w:eastAsia="Arial" w:hAnsi="Arial" w:cs="Arial"/>
        </w:rPr>
      </w:pPr>
    </w:p>
    <w:p w:rsidR="00DD19B2" w:rsidRDefault="003E5F65" w:rsidP="00667F8D">
      <w:pPr>
        <w:pStyle w:val="BodyB"/>
        <w:widowControl w:val="0"/>
        <w:suppressAutoHyphens/>
        <w:spacing w:line="480" w:lineRule="auto"/>
        <w:jc w:val="both"/>
        <w:rPr>
          <w:rFonts w:ascii="Arial" w:eastAsia="Arial" w:hAnsi="Arial" w:cs="Arial"/>
          <w:i/>
          <w:iCs/>
        </w:rPr>
      </w:pPr>
      <w:r>
        <w:rPr>
          <w:rFonts w:ascii="Arial" w:hAnsi="Arial"/>
          <w:i/>
          <w:iCs/>
        </w:rPr>
        <w:lastRenderedPageBreak/>
        <w:t>The defendant’s bona fides and the issue of delay</w:t>
      </w:r>
    </w:p>
    <w:p w:rsidR="00DD19B2" w:rsidRDefault="00FD7696" w:rsidP="00FD7696">
      <w:pPr>
        <w:pStyle w:val="BodyB"/>
        <w:widowControl w:val="0"/>
        <w:suppressAutoHyphens/>
        <w:spacing w:line="480" w:lineRule="auto"/>
        <w:ind w:left="360" w:hanging="360"/>
        <w:jc w:val="both"/>
        <w:rPr>
          <w:rFonts w:ascii="Arial" w:hAnsi="Arial"/>
        </w:rPr>
      </w:pPr>
      <w:r>
        <w:rPr>
          <w:rFonts w:ascii="Arial" w:hAnsi="Arial Unicode MS"/>
        </w:rPr>
        <w:t>14.</w:t>
      </w:r>
      <w:r>
        <w:rPr>
          <w:rFonts w:ascii="Arial" w:hAnsi="Arial Unicode MS"/>
        </w:rPr>
        <w:tab/>
      </w:r>
      <w:r w:rsidR="003E5F65">
        <w:rPr>
          <w:rFonts w:ascii="Arial" w:hAnsi="Arial"/>
        </w:rPr>
        <w:t xml:space="preserve">The defendant denies having delayed anything. It says that the plaintiff has not applied for a trial date as yet. It followed with a chronology of events from the date of service of summons on 8 October, followed after various objections to the particulars of claim by the defendant’s plea on 23 April 2014. A change in the plaintiff’s attorneys saw the defendant being called upon to plead only on 12 July 2017. Five years later on 7 July 2022, the plaintiff addressed a notice in terms of Rule 37 (4) and the Pre-Trial Conference ultimately took place in November 2022. </w:t>
      </w:r>
    </w:p>
    <w:p w:rsidR="00DD19B2" w:rsidRDefault="00DD19B2">
      <w:pPr>
        <w:pStyle w:val="BodyB"/>
        <w:widowControl w:val="0"/>
        <w:suppressAutoHyphens/>
        <w:spacing w:line="480" w:lineRule="auto"/>
        <w:jc w:val="both"/>
        <w:rPr>
          <w:rFonts w:ascii="Arial" w:eastAsia="Arial" w:hAnsi="Arial" w:cs="Arial"/>
        </w:rPr>
      </w:pPr>
    </w:p>
    <w:p w:rsidR="00DD19B2" w:rsidRDefault="003E5F65">
      <w:pPr>
        <w:pStyle w:val="BodyB"/>
        <w:widowControl w:val="0"/>
        <w:suppressAutoHyphens/>
        <w:spacing w:line="480" w:lineRule="auto"/>
        <w:jc w:val="both"/>
        <w:rPr>
          <w:rFonts w:ascii="Arial" w:eastAsia="Arial" w:hAnsi="Arial" w:cs="Arial"/>
          <w:i/>
          <w:iCs/>
        </w:rPr>
      </w:pPr>
      <w:r>
        <w:rPr>
          <w:rFonts w:ascii="Arial" w:hAnsi="Arial"/>
          <w:i/>
          <w:iCs/>
        </w:rPr>
        <w:t>Reasons for the proposed amendments</w:t>
      </w:r>
    </w:p>
    <w:p w:rsidR="00DD19B2" w:rsidRDefault="00FD7696" w:rsidP="00FD7696">
      <w:pPr>
        <w:pStyle w:val="BodyB"/>
        <w:widowControl w:val="0"/>
        <w:suppressAutoHyphens/>
        <w:spacing w:line="480" w:lineRule="auto"/>
        <w:ind w:left="360" w:hanging="360"/>
        <w:jc w:val="both"/>
        <w:rPr>
          <w:rFonts w:ascii="Arial" w:hAnsi="Arial"/>
        </w:rPr>
      </w:pPr>
      <w:r>
        <w:rPr>
          <w:rFonts w:ascii="Arial" w:hAnsi="Arial Unicode MS"/>
        </w:rPr>
        <w:t>15.</w:t>
      </w:r>
      <w:r>
        <w:rPr>
          <w:rFonts w:ascii="Arial" w:hAnsi="Arial Unicode MS"/>
        </w:rPr>
        <w:tab/>
      </w:r>
      <w:r w:rsidR="003E5F65">
        <w:rPr>
          <w:rFonts w:ascii="Arial" w:hAnsi="Arial"/>
        </w:rPr>
        <w:t xml:space="preserve">The defendant deals with a request made by the plaintiff wherein the latter sought certain admissions from the defendant such as admission pertaining to the authenticity and content of the three disputed documents. In relation to each of the documents, the defendant replied that it had been materially induced to re-instate the policy by the submission to it of false or forged documents. It was following receipt of the defendant’s answers that the plaintiff directed a letter dated 13 September 2022, levelling criticism against the manner the defendant had pleaded its defence and the shortcomings therein that the defendant resorted to amend its plea for purposes of obviating unnecessary objection/s.  The defendant says it seeks to clarify in detail and to inform the plaintiff with precision what documents it contends have been forged or are forgeries to enable him to know precisely the case he is being called upon to meet at trial. The defendant contends that the denials already </w:t>
      </w:r>
      <w:r w:rsidR="003E5F65">
        <w:rPr>
          <w:rFonts w:ascii="Arial" w:hAnsi="Arial"/>
        </w:rPr>
        <w:lastRenderedPageBreak/>
        <w:t>exist.</w:t>
      </w:r>
    </w:p>
    <w:p w:rsidR="00DD19B2" w:rsidRDefault="00DD19B2">
      <w:pPr>
        <w:pStyle w:val="BodyB"/>
        <w:widowControl w:val="0"/>
        <w:suppressAutoHyphens/>
        <w:spacing w:line="480" w:lineRule="auto"/>
        <w:jc w:val="both"/>
        <w:rPr>
          <w:rFonts w:ascii="Arial" w:eastAsia="Arial" w:hAnsi="Arial" w:cs="Arial"/>
        </w:rPr>
      </w:pPr>
    </w:p>
    <w:p w:rsidR="00DD19B2" w:rsidRDefault="00FD7696" w:rsidP="00FD7696">
      <w:pPr>
        <w:pStyle w:val="BodyB"/>
        <w:widowControl w:val="0"/>
        <w:suppressAutoHyphens/>
        <w:spacing w:line="480" w:lineRule="auto"/>
        <w:ind w:left="360" w:hanging="360"/>
        <w:jc w:val="both"/>
        <w:rPr>
          <w:rFonts w:ascii="Arial" w:hAnsi="Arial"/>
        </w:rPr>
      </w:pPr>
      <w:r>
        <w:rPr>
          <w:rFonts w:ascii="Arial" w:hAnsi="Arial Unicode MS"/>
        </w:rPr>
        <w:t>16.</w:t>
      </w:r>
      <w:r>
        <w:rPr>
          <w:rFonts w:ascii="Arial" w:hAnsi="Arial Unicode MS"/>
        </w:rPr>
        <w:tab/>
      </w:r>
      <w:r w:rsidR="003E5F65">
        <w:rPr>
          <w:rFonts w:ascii="Arial" w:hAnsi="Arial"/>
        </w:rPr>
        <w:t>I went into detail in illustrating what is contained in the pleadings. It is clear to me that what the defendant wishes to do is amplify or if one prefers, to sharpen the information already pleaded. There is certainly no question of withdrawing an admission or admissions. On this score, the plaintiff is incorrect. He is also incorrect in stating that the defendant seeks to delay the proceedings. It is not disputed that there is not even a trial date in site at present. I am further satisfied that the amendments sought to be introduced pertain to triable issues and are not merely aimed at h</w:t>
      </w:r>
      <w:r w:rsidR="00191F28">
        <w:rPr>
          <w:rFonts w:ascii="Arial" w:hAnsi="Arial"/>
        </w:rPr>
        <w:t>arassing the</w:t>
      </w:r>
      <w:r w:rsidR="003E5F65">
        <w:rPr>
          <w:rFonts w:ascii="Arial" w:hAnsi="Arial"/>
        </w:rPr>
        <w:t xml:space="preserve"> plaintiff.  The defendant has thoroughly explained the proposed amendments. Accordingly, I am persuaded that the application must succeed.</w:t>
      </w:r>
    </w:p>
    <w:p w:rsidR="00DD19B2" w:rsidRDefault="00DD19B2">
      <w:pPr>
        <w:pStyle w:val="BodyB"/>
        <w:widowControl w:val="0"/>
        <w:suppressAutoHyphens/>
        <w:spacing w:line="480" w:lineRule="auto"/>
        <w:jc w:val="both"/>
        <w:rPr>
          <w:rFonts w:ascii="Arial" w:eastAsia="Arial" w:hAnsi="Arial" w:cs="Arial"/>
        </w:rPr>
      </w:pPr>
    </w:p>
    <w:p w:rsidR="00DD19B2" w:rsidRDefault="003E5F65">
      <w:pPr>
        <w:pStyle w:val="BodyB"/>
        <w:widowControl w:val="0"/>
        <w:suppressAutoHyphens/>
        <w:spacing w:line="480" w:lineRule="auto"/>
        <w:jc w:val="both"/>
        <w:rPr>
          <w:rFonts w:ascii="Arial" w:eastAsia="Arial" w:hAnsi="Arial" w:cs="Arial"/>
          <w:b/>
          <w:bCs/>
        </w:rPr>
      </w:pPr>
      <w:r>
        <w:rPr>
          <w:rFonts w:ascii="Arial" w:hAnsi="Arial"/>
          <w:b/>
          <w:bCs/>
        </w:rPr>
        <w:t>Discussion on costs</w:t>
      </w:r>
    </w:p>
    <w:p w:rsidR="00DD19B2" w:rsidRDefault="00FD7696" w:rsidP="00FD7696">
      <w:pPr>
        <w:pStyle w:val="BodyB"/>
        <w:widowControl w:val="0"/>
        <w:suppressAutoHyphens/>
        <w:spacing w:line="480" w:lineRule="auto"/>
        <w:ind w:left="360" w:hanging="360"/>
        <w:jc w:val="both"/>
        <w:rPr>
          <w:rFonts w:ascii="Arial" w:hAnsi="Arial"/>
        </w:rPr>
      </w:pPr>
      <w:r>
        <w:rPr>
          <w:rFonts w:ascii="Arial" w:hAnsi="Arial Unicode MS"/>
        </w:rPr>
        <w:t>17.</w:t>
      </w:r>
      <w:r>
        <w:rPr>
          <w:rFonts w:ascii="Arial" w:hAnsi="Arial Unicode MS"/>
        </w:rPr>
        <w:tab/>
      </w:r>
      <w:r w:rsidR="003E5F65">
        <w:rPr>
          <w:rFonts w:ascii="Arial" w:hAnsi="Arial"/>
        </w:rPr>
        <w:t>Each of the parties seek costs in the event of a successful outcome. Having recognised after the plaintiff’s letter that its defence may come under severe attack, the defendant took the necessary steps to amend its plea by incorporating further details as set out in the correspondence exchanged between the parties. I am not persuaded, given the clear background that the defendant recognised, after the plaintiff</w:t>
      </w:r>
      <w:r w:rsidR="00191F28">
        <w:rPr>
          <w:rFonts w:ascii="Arial" w:hAnsi="Arial"/>
        </w:rPr>
        <w:t>’</w:t>
      </w:r>
      <w:r w:rsidR="003E5F65">
        <w:rPr>
          <w:rFonts w:ascii="Arial" w:hAnsi="Arial"/>
        </w:rPr>
        <w:t>s letter of September, that its defences required sharpening, that the defendant deserves costs in that case. After all, it is trite that costs are at the discretion</w:t>
      </w:r>
      <w:r w:rsidR="00191F28">
        <w:rPr>
          <w:rFonts w:ascii="Arial" w:hAnsi="Arial"/>
        </w:rPr>
        <w:t xml:space="preserve"> of</w:t>
      </w:r>
      <w:r w:rsidR="003E5F65">
        <w:rPr>
          <w:rFonts w:ascii="Arial" w:hAnsi="Arial"/>
        </w:rPr>
        <w:t xml:space="preserve"> the court. In this regard, it is appropriate that each party pays its own costs.</w:t>
      </w:r>
    </w:p>
    <w:p w:rsidR="00DD19B2" w:rsidRDefault="00DD19B2">
      <w:pPr>
        <w:pStyle w:val="BodyB"/>
        <w:widowControl w:val="0"/>
        <w:spacing w:line="480" w:lineRule="auto"/>
        <w:rPr>
          <w:rFonts w:ascii="Arial" w:eastAsia="Arial" w:hAnsi="Arial" w:cs="Arial"/>
        </w:rPr>
      </w:pPr>
    </w:p>
    <w:p w:rsidR="00DD19B2" w:rsidRDefault="00FD7696" w:rsidP="00FD7696">
      <w:pPr>
        <w:pStyle w:val="BodyB"/>
        <w:widowControl w:val="0"/>
        <w:spacing w:line="480" w:lineRule="auto"/>
        <w:ind w:left="360" w:hanging="360"/>
        <w:rPr>
          <w:rFonts w:ascii="Arial" w:hAnsi="Arial"/>
        </w:rPr>
      </w:pPr>
      <w:r>
        <w:rPr>
          <w:rFonts w:ascii="Arial" w:hAnsi="Arial Unicode MS"/>
        </w:rPr>
        <w:lastRenderedPageBreak/>
        <w:t>18.</w:t>
      </w:r>
      <w:r>
        <w:rPr>
          <w:rFonts w:ascii="Arial" w:hAnsi="Arial Unicode MS"/>
        </w:rPr>
        <w:tab/>
      </w:r>
      <w:r w:rsidR="003E5F65">
        <w:rPr>
          <w:rFonts w:ascii="Arial" w:hAnsi="Arial"/>
        </w:rPr>
        <w:t xml:space="preserve"> In the circumstances, the following order shall issue:</w:t>
      </w:r>
    </w:p>
    <w:p w:rsidR="00DD19B2" w:rsidRDefault="00FD7696" w:rsidP="00FD7696">
      <w:pPr>
        <w:pStyle w:val="BodyB"/>
        <w:widowControl w:val="0"/>
        <w:spacing w:line="480" w:lineRule="auto"/>
        <w:ind w:left="720" w:hanging="360"/>
        <w:rPr>
          <w:rFonts w:ascii="Arial" w:hAnsi="Arial"/>
        </w:rPr>
      </w:pPr>
      <w:r>
        <w:rPr>
          <w:rFonts w:ascii="Arial" w:hAnsi="Arial Unicode MS"/>
        </w:rPr>
        <w:t>(i)</w:t>
      </w:r>
      <w:r>
        <w:rPr>
          <w:rFonts w:ascii="Arial" w:hAnsi="Arial Unicode MS"/>
        </w:rPr>
        <w:tab/>
      </w:r>
      <w:r w:rsidR="003E5F65">
        <w:rPr>
          <w:rFonts w:ascii="Arial" w:hAnsi="Arial"/>
        </w:rPr>
        <w:t>The application succeeds.</w:t>
      </w:r>
    </w:p>
    <w:p w:rsidR="00DD19B2" w:rsidRDefault="00FD7696" w:rsidP="00FD7696">
      <w:pPr>
        <w:pStyle w:val="BodyB"/>
        <w:widowControl w:val="0"/>
        <w:spacing w:line="480" w:lineRule="auto"/>
        <w:ind w:left="720" w:hanging="360"/>
        <w:rPr>
          <w:rFonts w:ascii="Arial" w:hAnsi="Arial"/>
        </w:rPr>
      </w:pPr>
      <w:r>
        <w:rPr>
          <w:rFonts w:ascii="Arial" w:hAnsi="Arial Unicode MS"/>
        </w:rPr>
        <w:t>(ii)</w:t>
      </w:r>
      <w:r>
        <w:rPr>
          <w:rFonts w:ascii="Arial" w:hAnsi="Arial Unicode MS"/>
        </w:rPr>
        <w:tab/>
      </w:r>
      <w:r w:rsidR="003E5F65">
        <w:rPr>
          <w:rFonts w:ascii="Arial" w:hAnsi="Arial"/>
        </w:rPr>
        <w:t>Each party pays his own costs.</w:t>
      </w:r>
    </w:p>
    <w:p w:rsidR="00DD19B2" w:rsidRDefault="00DD19B2">
      <w:pPr>
        <w:pStyle w:val="level1"/>
        <w:widowControl w:val="0"/>
        <w:tabs>
          <w:tab w:val="left" w:pos="614"/>
          <w:tab w:val="left" w:pos="665"/>
          <w:tab w:val="left" w:pos="720"/>
        </w:tabs>
        <w:suppressAutoHyphens/>
        <w:spacing w:line="480" w:lineRule="auto"/>
        <w:ind w:left="567"/>
        <w:rPr>
          <w:shd w:val="clear" w:color="auto" w:fill="FEFEFE"/>
        </w:rPr>
      </w:pPr>
    </w:p>
    <w:p w:rsidR="00DD19B2" w:rsidRDefault="003E5F65">
      <w:pPr>
        <w:pStyle w:val="BodyA"/>
        <w:widowControl w:val="0"/>
        <w:suppressAutoHyphens/>
        <w:spacing w:line="480" w:lineRule="auto"/>
        <w:ind w:left="3600" w:firstLine="720"/>
      </w:pPr>
      <w:r>
        <w:t>—————————————————</w:t>
      </w:r>
    </w:p>
    <w:p w:rsidR="00DD19B2" w:rsidRDefault="003E5F65">
      <w:pPr>
        <w:pStyle w:val="BodyA"/>
        <w:widowControl w:val="0"/>
        <w:suppressAutoHyphens/>
        <w:spacing w:line="480" w:lineRule="auto"/>
        <w:ind w:left="4395"/>
        <w:rPr>
          <w:b/>
          <w:bCs/>
        </w:rPr>
      </w:pPr>
      <w:r>
        <w:rPr>
          <w:b/>
          <w:bCs/>
          <w:lang w:val="de-DE"/>
        </w:rPr>
        <w:t>N</w:t>
      </w:r>
      <w:r w:rsidR="00191F28">
        <w:rPr>
          <w:b/>
          <w:bCs/>
          <w:lang w:val="de-DE"/>
        </w:rPr>
        <w:t>.</w:t>
      </w:r>
      <w:r>
        <w:rPr>
          <w:b/>
          <w:bCs/>
          <w:lang w:val="de-DE"/>
        </w:rPr>
        <w:t>N BAM</w:t>
      </w:r>
      <w:r>
        <w:t xml:space="preserve">                        </w:t>
      </w:r>
    </w:p>
    <w:p w:rsidR="00DD19B2" w:rsidRDefault="003E5F65">
      <w:pPr>
        <w:pStyle w:val="BodyA"/>
        <w:widowControl w:val="0"/>
        <w:suppressAutoHyphens/>
        <w:spacing w:line="480" w:lineRule="auto"/>
        <w:ind w:left="4395"/>
        <w:rPr>
          <w:b/>
          <w:bCs/>
        </w:rPr>
      </w:pPr>
      <w:bookmarkStart w:id="1" w:name="_Hlk267640"/>
      <w:r>
        <w:rPr>
          <w:b/>
          <w:bCs/>
        </w:rPr>
        <w:t xml:space="preserve">JUDGE OF THE HIGH COURT, </w:t>
      </w:r>
      <w:bookmarkEnd w:id="1"/>
      <w:r>
        <w:rPr>
          <w:b/>
          <w:bCs/>
          <w:shd w:val="clear" w:color="auto" w:fill="FEFEFE"/>
        </w:rPr>
        <w:t>GAUTENG DIVISION, PRETORIA</w:t>
      </w:r>
    </w:p>
    <w:p w:rsidR="00DD19B2" w:rsidRDefault="00DD19B2">
      <w:pPr>
        <w:pStyle w:val="ListParagraph"/>
        <w:widowControl w:val="0"/>
        <w:suppressAutoHyphens/>
        <w:spacing w:after="0" w:line="480" w:lineRule="auto"/>
        <w:ind w:left="0"/>
        <w:rPr>
          <w:b/>
          <w:bCs/>
          <w:u w:val="single"/>
        </w:rPr>
      </w:pPr>
    </w:p>
    <w:p w:rsidR="00DD19B2" w:rsidRDefault="00191F28">
      <w:pPr>
        <w:pStyle w:val="BodyA"/>
        <w:widowControl w:val="0"/>
        <w:suppressAutoHyphens/>
        <w:spacing w:line="480" w:lineRule="auto"/>
        <w:rPr>
          <w:b/>
          <w:bCs/>
        </w:rPr>
      </w:pPr>
      <w:r>
        <w:rPr>
          <w:b/>
          <w:bCs/>
        </w:rPr>
        <w:t>Date of Hearing</w:t>
      </w:r>
      <w:r w:rsidR="003E5F65">
        <w:t>:</w:t>
      </w:r>
      <w:r>
        <w:tab/>
      </w:r>
      <w:r>
        <w:tab/>
      </w:r>
      <w:r>
        <w:tab/>
      </w:r>
      <w:r w:rsidR="003E5F65">
        <w:tab/>
      </w:r>
      <w:r>
        <w:t>0</w:t>
      </w:r>
      <w:r>
        <w:rPr>
          <w:b/>
          <w:bCs/>
        </w:rPr>
        <w:t>8 May</w:t>
      </w:r>
      <w:r w:rsidR="003E5F65">
        <w:rPr>
          <w:b/>
          <w:bCs/>
        </w:rPr>
        <w:t xml:space="preserve"> 2023</w:t>
      </w:r>
    </w:p>
    <w:p w:rsidR="00DD19B2" w:rsidRDefault="00191F28">
      <w:pPr>
        <w:pStyle w:val="BodyA"/>
        <w:widowControl w:val="0"/>
        <w:suppressAutoHyphens/>
        <w:spacing w:line="480" w:lineRule="auto"/>
        <w:rPr>
          <w:b/>
          <w:bCs/>
        </w:rPr>
      </w:pPr>
      <w:r>
        <w:rPr>
          <w:b/>
          <w:bCs/>
        </w:rPr>
        <w:t>Date of Judgement:</w:t>
      </w:r>
      <w:r>
        <w:rPr>
          <w:b/>
          <w:bCs/>
        </w:rPr>
        <w:tab/>
      </w:r>
      <w:r>
        <w:rPr>
          <w:b/>
          <w:bCs/>
        </w:rPr>
        <w:tab/>
      </w:r>
      <w:r w:rsidR="003E5F65">
        <w:rPr>
          <w:b/>
          <w:bCs/>
        </w:rPr>
        <w:t xml:space="preserve"> </w:t>
      </w:r>
      <w:r w:rsidR="003E5F65">
        <w:rPr>
          <w:b/>
          <w:bCs/>
        </w:rPr>
        <w:tab/>
      </w:r>
      <w:r>
        <w:rPr>
          <w:b/>
          <w:bCs/>
        </w:rPr>
        <w:t>05 July</w:t>
      </w:r>
      <w:r w:rsidR="003E5F65">
        <w:rPr>
          <w:b/>
          <w:bCs/>
        </w:rPr>
        <w:t xml:space="preserve"> 2023</w:t>
      </w:r>
    </w:p>
    <w:p w:rsidR="00191F28" w:rsidRDefault="00191F28">
      <w:pPr>
        <w:pStyle w:val="BodyA"/>
        <w:widowControl w:val="0"/>
        <w:suppressAutoHyphens/>
        <w:spacing w:line="480" w:lineRule="auto"/>
        <w:rPr>
          <w:b/>
          <w:bCs/>
        </w:rPr>
      </w:pPr>
    </w:p>
    <w:p w:rsidR="00DD19B2" w:rsidRPr="00191F28" w:rsidRDefault="00191F28">
      <w:pPr>
        <w:pStyle w:val="BodyA"/>
        <w:widowControl w:val="0"/>
        <w:suppressAutoHyphens/>
        <w:spacing w:line="480" w:lineRule="auto"/>
        <w:rPr>
          <w:bCs/>
        </w:rPr>
      </w:pPr>
      <w:r w:rsidRPr="00191F28">
        <w:rPr>
          <w:bCs/>
        </w:rPr>
        <w:t>Appearances:</w:t>
      </w:r>
    </w:p>
    <w:p w:rsidR="00DD19B2" w:rsidRDefault="00191F28">
      <w:pPr>
        <w:pStyle w:val="BodyA"/>
        <w:widowControl w:val="0"/>
        <w:suppressAutoHyphens/>
        <w:spacing w:line="480" w:lineRule="auto"/>
        <w:rPr>
          <w:b/>
          <w:bCs/>
        </w:rPr>
      </w:pPr>
      <w:r>
        <w:rPr>
          <w:b/>
          <w:bCs/>
        </w:rPr>
        <w:t>Applicant</w:t>
      </w:r>
      <w:r w:rsidR="003E5F65">
        <w:rPr>
          <w:b/>
          <w:bCs/>
        </w:rPr>
        <w:t xml:space="preserve">: </w:t>
      </w:r>
      <w:r w:rsidR="003E5F65">
        <w:rPr>
          <w:b/>
          <w:bCs/>
        </w:rPr>
        <w:tab/>
      </w:r>
      <w:r w:rsidR="003E5F65">
        <w:rPr>
          <w:b/>
          <w:bCs/>
        </w:rPr>
        <w:tab/>
      </w:r>
      <w:r w:rsidR="003E5F65">
        <w:rPr>
          <w:b/>
          <w:bCs/>
        </w:rPr>
        <w:tab/>
      </w:r>
      <w:r>
        <w:rPr>
          <w:b/>
          <w:bCs/>
        </w:rPr>
        <w:tab/>
      </w:r>
      <w:r>
        <w:rPr>
          <w:b/>
          <w:bCs/>
        </w:rPr>
        <w:tab/>
        <w:t xml:space="preserve">Adv </w:t>
      </w:r>
      <w:r w:rsidR="003E5F65">
        <w:rPr>
          <w:b/>
          <w:bCs/>
        </w:rPr>
        <w:t>A</w:t>
      </w:r>
      <w:r>
        <w:rPr>
          <w:b/>
          <w:bCs/>
        </w:rPr>
        <w:t>.</w:t>
      </w:r>
      <w:r w:rsidR="003E5F65">
        <w:rPr>
          <w:b/>
          <w:bCs/>
        </w:rPr>
        <w:t>R</w:t>
      </w:r>
      <w:r>
        <w:rPr>
          <w:b/>
          <w:bCs/>
        </w:rPr>
        <w:t>.G Mundell SC</w:t>
      </w:r>
      <w:r>
        <w:rPr>
          <w:b/>
          <w:bCs/>
        </w:rPr>
        <w:tab/>
      </w:r>
    </w:p>
    <w:p w:rsidR="00191F28" w:rsidRDefault="00191F28">
      <w:pPr>
        <w:pStyle w:val="BodyA"/>
        <w:widowControl w:val="0"/>
        <w:suppressAutoHyphens/>
        <w:spacing w:line="480" w:lineRule="auto"/>
      </w:pPr>
      <w:r>
        <w:t xml:space="preserve">Instructed by: </w:t>
      </w:r>
      <w:r>
        <w:tab/>
      </w:r>
      <w:r>
        <w:tab/>
      </w:r>
      <w:r>
        <w:tab/>
      </w:r>
      <w:r>
        <w:tab/>
      </w:r>
      <w:r w:rsidR="003E5F65">
        <w:t>Keith Sutcliffe</w:t>
      </w:r>
      <w:r>
        <w:t xml:space="preserve"> &amp; Associates Inc</w:t>
      </w:r>
    </w:p>
    <w:p w:rsidR="00A972B4" w:rsidRDefault="00A972B4">
      <w:pPr>
        <w:pStyle w:val="BodyA"/>
        <w:widowControl w:val="0"/>
        <w:suppressAutoHyphens/>
        <w:spacing w:line="480" w:lineRule="auto"/>
      </w:pPr>
      <w:r>
        <w:tab/>
      </w:r>
      <w:r>
        <w:tab/>
      </w:r>
      <w:r>
        <w:tab/>
      </w:r>
      <w:r>
        <w:tab/>
      </w:r>
      <w:r>
        <w:tab/>
      </w:r>
      <w:r>
        <w:tab/>
        <w:t>c/o Andrea Rae Attorneys</w:t>
      </w:r>
    </w:p>
    <w:p w:rsidR="00A972B4" w:rsidRDefault="00A972B4">
      <w:pPr>
        <w:pStyle w:val="BodyA"/>
        <w:widowControl w:val="0"/>
        <w:suppressAutoHyphens/>
        <w:spacing w:line="480" w:lineRule="auto"/>
      </w:pPr>
      <w:r>
        <w:tab/>
      </w:r>
      <w:r>
        <w:tab/>
      </w:r>
      <w:r>
        <w:tab/>
      </w:r>
      <w:r>
        <w:tab/>
      </w:r>
      <w:r>
        <w:tab/>
      </w:r>
      <w:r>
        <w:tab/>
        <w:t>Colbyn, Pretoria</w:t>
      </w:r>
    </w:p>
    <w:p w:rsidR="00DD19B2" w:rsidRDefault="00191F28">
      <w:pPr>
        <w:pStyle w:val="BodyA"/>
        <w:widowControl w:val="0"/>
        <w:suppressAutoHyphens/>
        <w:spacing w:line="480" w:lineRule="auto"/>
        <w:rPr>
          <w:b/>
          <w:bCs/>
        </w:rPr>
      </w:pPr>
      <w:r>
        <w:tab/>
      </w:r>
      <w:r>
        <w:tab/>
      </w:r>
      <w:r>
        <w:tab/>
      </w:r>
      <w:r>
        <w:tab/>
      </w:r>
      <w:r>
        <w:tab/>
      </w:r>
      <w:r>
        <w:tab/>
      </w:r>
      <w:r w:rsidR="003E5F65">
        <w:rPr>
          <w:b/>
          <w:bCs/>
        </w:rPr>
        <w:tab/>
      </w:r>
      <w:r w:rsidR="003E5F65">
        <w:rPr>
          <w:b/>
          <w:bCs/>
        </w:rPr>
        <w:tab/>
      </w:r>
      <w:r w:rsidR="003E5F65">
        <w:rPr>
          <w:b/>
          <w:bCs/>
        </w:rPr>
        <w:tab/>
      </w:r>
      <w:r w:rsidR="003E5F65">
        <w:rPr>
          <w:b/>
          <w:bCs/>
        </w:rPr>
        <w:tab/>
      </w:r>
      <w:r w:rsidR="003E5F65">
        <w:rPr>
          <w:b/>
          <w:bCs/>
        </w:rPr>
        <w:tab/>
      </w:r>
    </w:p>
    <w:p w:rsidR="00DD19B2" w:rsidRDefault="00191F28">
      <w:pPr>
        <w:pStyle w:val="BodyA"/>
        <w:widowControl w:val="0"/>
        <w:suppressAutoHyphens/>
        <w:spacing w:line="480" w:lineRule="auto"/>
        <w:rPr>
          <w:b/>
          <w:bCs/>
        </w:rPr>
      </w:pPr>
      <w:r>
        <w:rPr>
          <w:b/>
          <w:bCs/>
        </w:rPr>
        <w:t>Respondent</w:t>
      </w:r>
      <w:r>
        <w:rPr>
          <w:b/>
          <w:bCs/>
        </w:rPr>
        <w:tab/>
      </w:r>
      <w:r w:rsidR="003E5F65">
        <w:rPr>
          <w:b/>
          <w:bCs/>
        </w:rPr>
        <w:t xml:space="preserve">: </w:t>
      </w:r>
      <w:r w:rsidR="003E5F65">
        <w:rPr>
          <w:b/>
          <w:bCs/>
        </w:rPr>
        <w:tab/>
      </w:r>
      <w:r>
        <w:rPr>
          <w:b/>
          <w:bCs/>
        </w:rPr>
        <w:tab/>
      </w:r>
      <w:r>
        <w:rPr>
          <w:b/>
          <w:bCs/>
        </w:rPr>
        <w:tab/>
      </w:r>
      <w:r>
        <w:rPr>
          <w:b/>
          <w:bCs/>
        </w:rPr>
        <w:tab/>
        <w:t>Adv R.</w:t>
      </w:r>
      <w:r w:rsidR="003E5F65">
        <w:rPr>
          <w:b/>
          <w:bCs/>
        </w:rPr>
        <w:t>R Kisten</w:t>
      </w:r>
    </w:p>
    <w:p w:rsidR="00DD19B2" w:rsidRDefault="003E5F65">
      <w:pPr>
        <w:pStyle w:val="BodyA"/>
        <w:widowControl w:val="0"/>
        <w:suppressAutoHyphens/>
        <w:spacing w:line="480" w:lineRule="auto"/>
        <w:rPr>
          <w:bCs/>
        </w:rPr>
      </w:pPr>
      <w:r>
        <w:t xml:space="preserve">Instructed by: </w:t>
      </w:r>
      <w:r>
        <w:tab/>
      </w:r>
      <w:r>
        <w:tab/>
      </w:r>
      <w:r w:rsidR="00191F28">
        <w:tab/>
      </w:r>
      <w:r w:rsidR="00191F28">
        <w:tab/>
      </w:r>
      <w:r>
        <w:t>Pather and Pather Attorney</w:t>
      </w:r>
      <w:r w:rsidR="00A972B4">
        <w:rPr>
          <w:bCs/>
        </w:rPr>
        <w:t>s</w:t>
      </w:r>
    </w:p>
    <w:p w:rsidR="00A972B4" w:rsidRPr="00A972B4" w:rsidRDefault="00A972B4">
      <w:pPr>
        <w:pStyle w:val="BodyA"/>
        <w:widowControl w:val="0"/>
        <w:suppressAutoHyphens/>
        <w:spacing w:line="480" w:lineRule="auto"/>
      </w:pPr>
      <w:r>
        <w:rPr>
          <w:bCs/>
        </w:rPr>
        <w:tab/>
      </w:r>
      <w:r>
        <w:rPr>
          <w:bCs/>
        </w:rPr>
        <w:tab/>
      </w:r>
      <w:r>
        <w:rPr>
          <w:bCs/>
        </w:rPr>
        <w:tab/>
      </w:r>
      <w:r>
        <w:rPr>
          <w:bCs/>
        </w:rPr>
        <w:tab/>
      </w:r>
      <w:r>
        <w:rPr>
          <w:bCs/>
        </w:rPr>
        <w:tab/>
      </w:r>
      <w:r>
        <w:rPr>
          <w:bCs/>
        </w:rPr>
        <w:tab/>
        <w:t>Brooklyn, Pretoria</w:t>
      </w:r>
    </w:p>
    <w:sectPr w:rsidR="00A972B4" w:rsidRPr="00A972B4">
      <w:headerReference w:type="default" r:id="rId8"/>
      <w:footerReference w:type="default" r:id="rId9"/>
      <w:headerReference w:type="first" r:id="rId10"/>
      <w:footerReference w:type="first" r:id="rId11"/>
      <w:pgSz w:w="12240" w:h="15840"/>
      <w:pgMar w:top="1170" w:right="1985" w:bottom="1440" w:left="181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77A" w:rsidRDefault="002D177A">
      <w:r>
        <w:separator/>
      </w:r>
    </w:p>
  </w:endnote>
  <w:endnote w:type="continuationSeparator" w:id="0">
    <w:p w:rsidR="002D177A" w:rsidRDefault="002D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B2" w:rsidRDefault="00DD19B2">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B2" w:rsidRDefault="00DD19B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77A" w:rsidRDefault="002D177A">
      <w:r>
        <w:separator/>
      </w:r>
    </w:p>
  </w:footnote>
  <w:footnote w:type="continuationSeparator" w:id="0">
    <w:p w:rsidR="002D177A" w:rsidRDefault="002D177A">
      <w:r>
        <w:continuationSeparator/>
      </w:r>
    </w:p>
  </w:footnote>
  <w:footnote w:type="continuationNotice" w:id="1">
    <w:p w:rsidR="002D177A" w:rsidRDefault="002D177A"/>
  </w:footnote>
  <w:footnote w:id="2">
    <w:p w:rsidR="00DD19B2" w:rsidRDefault="003E5F65">
      <w:pPr>
        <w:pStyle w:val="Default"/>
      </w:pPr>
      <w:r>
        <w:rPr>
          <w:sz w:val="18"/>
          <w:szCs w:val="18"/>
          <w:vertAlign w:val="superscript"/>
        </w:rPr>
        <w:footnoteRef/>
      </w:r>
      <w:r>
        <w:rPr>
          <w:sz w:val="18"/>
          <w:szCs w:val="18"/>
        </w:rPr>
        <w:t xml:space="preserve"> (393/88) [1990] ZASCA 47; 1990 (3) SA 547 (AD); [1990] 2 All SA 300 (A) (17 May 1990)</w:t>
      </w:r>
      <w:r w:rsidR="002367FC">
        <w:rPr>
          <w:sz w:val="18"/>
          <w:szCs w:val="18"/>
        </w:rPr>
        <w:t>.</w:t>
      </w:r>
    </w:p>
  </w:footnote>
  <w:footnote w:id="3">
    <w:p w:rsidR="00DD19B2" w:rsidRDefault="003E5F65">
      <w:pPr>
        <w:pStyle w:val="Default"/>
      </w:pPr>
      <w:r>
        <w:rPr>
          <w:sz w:val="18"/>
          <w:szCs w:val="18"/>
          <w:vertAlign w:val="superscript"/>
        </w:rPr>
        <w:footnoteRef/>
      </w:r>
      <w:r>
        <w:rPr>
          <w:sz w:val="18"/>
          <w:szCs w:val="18"/>
        </w:rPr>
        <w:t xml:space="preserve"> 1911 TPD 1092 at 1102-1103</w:t>
      </w:r>
      <w:r w:rsidR="002367FC">
        <w:rPr>
          <w:sz w:val="18"/>
          <w:szCs w:val="18"/>
        </w:rPr>
        <w:t>.</w:t>
      </w:r>
    </w:p>
  </w:footnote>
  <w:footnote w:id="4">
    <w:p w:rsidR="00DD19B2" w:rsidRDefault="003E5F65">
      <w:pPr>
        <w:pStyle w:val="Default"/>
      </w:pPr>
      <w:r>
        <w:rPr>
          <w:sz w:val="18"/>
          <w:szCs w:val="18"/>
          <w:vertAlign w:val="superscript"/>
        </w:rPr>
        <w:footnoteRef/>
      </w:r>
      <w:r>
        <w:rPr>
          <w:sz w:val="18"/>
          <w:szCs w:val="18"/>
        </w:rPr>
        <w:t xml:space="preserve"> (CCT27/04) [2005] ZACC 3; 2006 (3) SA 247 (CC); 2005 (6) BCLR 529 (CC) (11 March 2005), paragraph 9</w:t>
      </w:r>
      <w:r w:rsidR="002367FC">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B2" w:rsidRDefault="003E5F65">
    <w:pPr>
      <w:pStyle w:val="Header"/>
      <w:tabs>
        <w:tab w:val="clear" w:pos="9360"/>
        <w:tab w:val="right" w:pos="8421"/>
      </w:tabs>
      <w:jc w:val="right"/>
    </w:pPr>
    <w:r>
      <w:t xml:space="preserve">Page </w:t>
    </w:r>
    <w:r>
      <w:fldChar w:fldCharType="begin"/>
    </w:r>
    <w:r>
      <w:instrText xml:space="preserve"> PAGE </w:instrText>
    </w:r>
    <w:r>
      <w:fldChar w:fldCharType="separate"/>
    </w:r>
    <w:r w:rsidR="00FD7696">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B2" w:rsidRDefault="00DD19B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9510F"/>
    <w:multiLevelType w:val="hybridMultilevel"/>
    <w:tmpl w:val="FED00D78"/>
    <w:styleLink w:val="Numbered"/>
    <w:lvl w:ilvl="0" w:tplc="114297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7E34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FC2AE5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DD6600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4F60C7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436863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6429D9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BBC47D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7B8590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B125237"/>
    <w:multiLevelType w:val="hybridMultilevel"/>
    <w:tmpl w:val="CC52F150"/>
    <w:numStyleLink w:val="Lettered"/>
  </w:abstractNum>
  <w:abstractNum w:abstractNumId="2">
    <w:nsid w:val="0EB02982"/>
    <w:multiLevelType w:val="hybridMultilevel"/>
    <w:tmpl w:val="2A9C1B74"/>
    <w:styleLink w:val="Lettered0"/>
    <w:lvl w:ilvl="0" w:tplc="AEAA29D6">
      <w:start w:val="1"/>
      <w:numFmt w:val="lowerRoman"/>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9C599E">
      <w:start w:val="1"/>
      <w:numFmt w:val="lowerRoman"/>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CF65E40">
      <w:start w:val="1"/>
      <w:numFmt w:val="lowerRoman"/>
      <w:lvlText w:val="(%3)"/>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DB0FD60">
      <w:start w:val="1"/>
      <w:numFmt w:val="lowerRoman"/>
      <w:lvlText w:val="(%4)"/>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E025746">
      <w:start w:val="1"/>
      <w:numFmt w:val="lowerRoman"/>
      <w:lvlText w:val="(%5)"/>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2420266">
      <w:start w:val="1"/>
      <w:numFmt w:val="lowerRoman"/>
      <w:lvlText w:val="(%6)"/>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65C7C24">
      <w:start w:val="1"/>
      <w:numFmt w:val="lowerRoman"/>
      <w:lvlText w:val="(%7)"/>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BA03256">
      <w:start w:val="1"/>
      <w:numFmt w:val="lowerRoman"/>
      <w:lvlText w:val="(%8)"/>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B4EC86A">
      <w:start w:val="1"/>
      <w:numFmt w:val="lowerRoman"/>
      <w:lvlText w:val="(%9)"/>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842648A"/>
    <w:multiLevelType w:val="hybridMultilevel"/>
    <w:tmpl w:val="FED00D78"/>
    <w:numStyleLink w:val="Numbered"/>
  </w:abstractNum>
  <w:abstractNum w:abstractNumId="4">
    <w:nsid w:val="539B34A7"/>
    <w:multiLevelType w:val="hybridMultilevel"/>
    <w:tmpl w:val="5E2408D2"/>
    <w:lvl w:ilvl="0" w:tplc="CF242AF0">
      <w:start w:val="1"/>
      <w:numFmt w:val="decimal"/>
      <w:lvlText w:val="%1."/>
      <w:lvlJc w:val="left"/>
      <w:pPr>
        <w:tabs>
          <w:tab w:val="num" w:pos="840"/>
        </w:tabs>
        <w:ind w:left="960" w:hanging="600"/>
      </w:pPr>
      <w:rPr>
        <w:rFonts w:hAnsi="Arial Unicode MS"/>
        <w:caps w:val="0"/>
        <w:smallCaps w:val="0"/>
        <w:strike w:val="0"/>
        <w:dstrike w:val="0"/>
        <w:outline w:val="0"/>
        <w:emboss w:val="0"/>
        <w:imprint w:val="0"/>
        <w:spacing w:val="0"/>
        <w:w w:val="100"/>
        <w:kern w:val="0"/>
        <w:position w:val="0"/>
        <w:highlight w:val="none"/>
        <w:vertAlign w:val="baseline"/>
      </w:rPr>
    </w:lvl>
    <w:lvl w:ilvl="1" w:tplc="AA7283A0">
      <w:start w:val="1"/>
      <w:numFmt w:val="lowerLetter"/>
      <w:lvlText w:val="%2."/>
      <w:lvlJc w:val="left"/>
      <w:pPr>
        <w:tabs>
          <w:tab w:val="left" w:pos="840"/>
          <w:tab w:val="num" w:pos="1350"/>
        </w:tabs>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2E5CD7B4">
      <w:start w:val="1"/>
      <w:numFmt w:val="lowerRoman"/>
      <w:lvlText w:val="%3."/>
      <w:lvlJc w:val="left"/>
      <w:pPr>
        <w:tabs>
          <w:tab w:val="left" w:pos="840"/>
          <w:tab w:val="num" w:pos="2086"/>
        </w:tabs>
        <w:ind w:left="2206" w:hanging="342"/>
      </w:pPr>
      <w:rPr>
        <w:rFonts w:hAnsi="Arial Unicode MS"/>
        <w:caps w:val="0"/>
        <w:smallCaps w:val="0"/>
        <w:strike w:val="0"/>
        <w:dstrike w:val="0"/>
        <w:outline w:val="0"/>
        <w:emboss w:val="0"/>
        <w:imprint w:val="0"/>
        <w:spacing w:val="0"/>
        <w:w w:val="100"/>
        <w:kern w:val="0"/>
        <w:position w:val="0"/>
        <w:highlight w:val="none"/>
        <w:vertAlign w:val="baseline"/>
      </w:rPr>
    </w:lvl>
    <w:lvl w:ilvl="3" w:tplc="B26A392C">
      <w:start w:val="1"/>
      <w:numFmt w:val="decimal"/>
      <w:lvlText w:val="%4."/>
      <w:lvlJc w:val="left"/>
      <w:pPr>
        <w:tabs>
          <w:tab w:val="left" w:pos="840"/>
          <w:tab w:val="num" w:pos="2790"/>
        </w:tabs>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C6B6D496">
      <w:start w:val="1"/>
      <w:numFmt w:val="lowerLetter"/>
      <w:lvlText w:val="%5."/>
      <w:lvlJc w:val="left"/>
      <w:pPr>
        <w:tabs>
          <w:tab w:val="left" w:pos="840"/>
          <w:tab w:val="num" w:pos="3510"/>
        </w:tabs>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319A6D4E">
      <w:start w:val="1"/>
      <w:numFmt w:val="lowerRoman"/>
      <w:lvlText w:val="%6."/>
      <w:lvlJc w:val="left"/>
      <w:pPr>
        <w:tabs>
          <w:tab w:val="left" w:pos="840"/>
          <w:tab w:val="num" w:pos="4246"/>
        </w:tabs>
        <w:ind w:left="4366" w:hanging="342"/>
      </w:pPr>
      <w:rPr>
        <w:rFonts w:hAnsi="Arial Unicode MS"/>
        <w:caps w:val="0"/>
        <w:smallCaps w:val="0"/>
        <w:strike w:val="0"/>
        <w:dstrike w:val="0"/>
        <w:outline w:val="0"/>
        <w:emboss w:val="0"/>
        <w:imprint w:val="0"/>
        <w:spacing w:val="0"/>
        <w:w w:val="100"/>
        <w:kern w:val="0"/>
        <w:position w:val="0"/>
        <w:highlight w:val="none"/>
        <w:vertAlign w:val="baseline"/>
      </w:rPr>
    </w:lvl>
    <w:lvl w:ilvl="6" w:tplc="EA8ECB8C">
      <w:start w:val="1"/>
      <w:numFmt w:val="decimal"/>
      <w:lvlText w:val="%7."/>
      <w:lvlJc w:val="left"/>
      <w:pPr>
        <w:tabs>
          <w:tab w:val="left" w:pos="840"/>
          <w:tab w:val="num" w:pos="4950"/>
        </w:tabs>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35BCE6D4">
      <w:start w:val="1"/>
      <w:numFmt w:val="lowerLetter"/>
      <w:lvlText w:val="%8."/>
      <w:lvlJc w:val="left"/>
      <w:pPr>
        <w:tabs>
          <w:tab w:val="left" w:pos="840"/>
          <w:tab w:val="num" w:pos="5670"/>
        </w:tabs>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D46E1446">
      <w:start w:val="1"/>
      <w:numFmt w:val="lowerRoman"/>
      <w:lvlText w:val="%9."/>
      <w:lvlJc w:val="left"/>
      <w:pPr>
        <w:tabs>
          <w:tab w:val="left" w:pos="840"/>
          <w:tab w:val="num" w:pos="6406"/>
        </w:tabs>
        <w:ind w:left="6526" w:hanging="3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E5A690C"/>
    <w:multiLevelType w:val="hybridMultilevel"/>
    <w:tmpl w:val="2A9C1B74"/>
    <w:numStyleLink w:val="Lettered0"/>
  </w:abstractNum>
  <w:abstractNum w:abstractNumId="6">
    <w:nsid w:val="6EF6350D"/>
    <w:multiLevelType w:val="hybridMultilevel"/>
    <w:tmpl w:val="CC52F150"/>
    <w:styleLink w:val="Lettered"/>
    <w:lvl w:ilvl="0" w:tplc="3F4CBD8A">
      <w:start w:val="1"/>
      <w:numFmt w:val="upperLetter"/>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EFA6768A">
      <w:start w:val="1"/>
      <w:numFmt w:val="upperLetter"/>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31782578">
      <w:start w:val="1"/>
      <w:numFmt w:val="upperLetter"/>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F0E2ACDA">
      <w:start w:val="1"/>
      <w:numFmt w:val="upperLetter"/>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BD00359C">
      <w:start w:val="1"/>
      <w:numFmt w:val="upperLetter"/>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0F546930">
      <w:start w:val="1"/>
      <w:numFmt w:val="upperLetter"/>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F604817A">
      <w:start w:val="1"/>
      <w:numFmt w:val="upperLetter"/>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ACE8B0F6">
      <w:start w:val="1"/>
      <w:numFmt w:val="upperLetter"/>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831C671C">
      <w:start w:val="1"/>
      <w:numFmt w:val="upperLetter"/>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6"/>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B2"/>
    <w:rsid w:val="00191F28"/>
    <w:rsid w:val="002367FC"/>
    <w:rsid w:val="002D177A"/>
    <w:rsid w:val="003E5F65"/>
    <w:rsid w:val="00667F8D"/>
    <w:rsid w:val="007B4573"/>
    <w:rsid w:val="009D5EB0"/>
    <w:rsid w:val="00A972B4"/>
    <w:rsid w:val="00DD19B2"/>
    <w:rsid w:val="00F53D23"/>
    <w:rsid w:val="00FD76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2BFF0-6B81-4471-AA1E-0B77B297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kern w:val="28"/>
      <w:sz w:val="24"/>
      <w:szCs w:val="24"/>
      <w:u w:color="000000"/>
      <w:lang w:val="en-US"/>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kern w:val="28"/>
      <w:sz w:val="24"/>
      <w:szCs w:val="24"/>
      <w:u w:color="000000"/>
      <w:lang w:val="en-US"/>
      <w14:textOutline w14:w="0" w14:cap="flat" w14:cmpd="sng" w14:algn="ctr">
        <w14:noFill/>
        <w14:prstDash w14:val="solid"/>
        <w14:bevel/>
      </w14:textOutline>
    </w:rPr>
  </w:style>
  <w:style w:type="paragraph" w:customStyle="1" w:styleId="Default">
    <w:name w:val="Default"/>
    <w:rPr>
      <w:rFonts w:ascii="Arial" w:hAnsi="Arial" w:cs="Arial Unicode MS"/>
      <w:color w:val="000000"/>
      <w:sz w:val="22"/>
      <w:szCs w:val="22"/>
      <w:u w:color="000000"/>
      <w:lang w:val="en-US"/>
      <w14:textOutline w14:w="0" w14:cap="flat" w14:cmpd="sng" w14:algn="ctr">
        <w14:noFill/>
        <w14:prstDash w14:val="solid"/>
        <w14:bevel/>
      </w14:textOutline>
    </w:rPr>
  </w:style>
  <w:style w:type="paragraph" w:customStyle="1" w:styleId="level1">
    <w:name w:val="level1"/>
    <w:rPr>
      <w:rFonts w:ascii="Arial" w:hAnsi="Arial" w:cs="Arial Unicode MS"/>
      <w:color w:val="000000"/>
      <w:kern w:val="28"/>
      <w:sz w:val="24"/>
      <w:szCs w:val="24"/>
      <w:u w:color="000000"/>
      <w:lang w:val="en-US"/>
      <w14:textOutline w14:w="0" w14:cap="flat" w14:cmpd="sng" w14:algn="ctr">
        <w14:noFill/>
        <w14:prstDash w14:val="solid"/>
        <w14:bevel/>
      </w14:textOutline>
    </w:rPr>
  </w:style>
  <w:style w:type="numbering" w:customStyle="1" w:styleId="Lettered">
    <w:name w:val="Lettered"/>
    <w:pPr>
      <w:numPr>
        <w:numId w:val="2"/>
      </w:numPr>
    </w:pPr>
  </w:style>
  <w:style w:type="paragraph" w:customStyle="1" w:styleId="BodyB">
    <w:name w:val="Body B"/>
    <w:rPr>
      <w:rFonts w:cs="Arial Unicode MS"/>
      <w:color w:val="000000"/>
      <w:sz w:val="24"/>
      <w:szCs w:val="24"/>
      <w:u w:color="000000"/>
      <w:lang w:val="en-US"/>
      <w14:textOutline w14:w="0" w14:cap="flat" w14:cmpd="sng" w14:algn="ctr">
        <w14:noFill/>
        <w14:prstDash w14:val="solid"/>
        <w14:bevel/>
      </w14:textOutline>
    </w:rPr>
  </w:style>
  <w:style w:type="numbering" w:customStyle="1" w:styleId="Numbered">
    <w:name w:val="Numbered"/>
    <w:pPr>
      <w:numPr>
        <w:numId w:val="4"/>
      </w:numPr>
    </w:pPr>
  </w:style>
  <w:style w:type="numbering" w:customStyle="1" w:styleId="Lettered0">
    <w:name w:val="Lettered.0"/>
    <w:pPr>
      <w:numPr>
        <w:numId w:val="6"/>
      </w:numPr>
    </w:pPr>
  </w:style>
  <w:style w:type="paragraph" w:styleId="ListParagraph">
    <w:name w:val="List Paragraph"/>
    <w:pPr>
      <w:spacing w:after="200" w:line="276" w:lineRule="auto"/>
      <w:ind w:left="720"/>
    </w:pPr>
    <w:rPr>
      <w:rFonts w:ascii="Arial" w:eastAsia="Arial" w:hAnsi="Arial" w:cs="Arial"/>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Mokone</cp:lastModifiedBy>
  <cp:revision>3</cp:revision>
  <dcterms:created xsi:type="dcterms:W3CDTF">2023-07-06T11:51:00Z</dcterms:created>
  <dcterms:modified xsi:type="dcterms:W3CDTF">2023-07-06T11:52:00Z</dcterms:modified>
</cp:coreProperties>
</file>