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7EDC22D2" w:rsidR="00C82197" w:rsidRDefault="00C82197" w:rsidP="00C82197">
      <w:pPr>
        <w:pStyle w:val="Title"/>
        <w:rPr>
          <w:sz w:val="24"/>
          <w:szCs w:val="24"/>
        </w:rPr>
      </w:pPr>
      <w:r>
        <w:rPr>
          <w:sz w:val="24"/>
          <w:szCs w:val="24"/>
        </w:rPr>
        <w:t>(</w:t>
      </w:r>
      <w:r w:rsidR="00B16DB4">
        <w:rPr>
          <w:sz w:val="24"/>
          <w:szCs w:val="24"/>
        </w:rPr>
        <w:t xml:space="preserve">GAUTENG DIVISION, </w:t>
      </w:r>
      <w:r w:rsidR="00192954">
        <w:rPr>
          <w:sz w:val="24"/>
          <w:szCs w:val="24"/>
        </w:rPr>
        <w:t>PRETORIA</w:t>
      </w:r>
      <w:r>
        <w:rPr>
          <w:sz w:val="24"/>
          <w:szCs w:val="24"/>
        </w:rPr>
        <w:t>)</w:t>
      </w:r>
    </w:p>
    <w:p w14:paraId="5E30CE25" w14:textId="75849D98" w:rsidR="00D10792" w:rsidRDefault="00D10792" w:rsidP="00C82197">
      <w:pPr>
        <w:pStyle w:val="Title"/>
        <w:rPr>
          <w:sz w:val="24"/>
          <w:szCs w:val="24"/>
        </w:rPr>
      </w:pPr>
    </w:p>
    <w:p w14:paraId="3FFA7D59" w14:textId="77777777" w:rsidR="00826686" w:rsidRDefault="00826686" w:rsidP="00826686">
      <w:pPr>
        <w:rPr>
          <w:rFonts w:ascii="Arial" w:hAnsi="Arial"/>
          <w:b/>
        </w:rPr>
      </w:pPr>
    </w:p>
    <w:p w14:paraId="601558AE" w14:textId="35C41F88" w:rsidR="006D4C73" w:rsidRDefault="00FA0C61" w:rsidP="00826686">
      <w:pPr>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639CCB7F" w14:textId="2511258F" w:rsidR="005226FC" w:rsidRDefault="00931CC2" w:rsidP="00931CC2">
                            <w:pPr>
                              <w:tabs>
                                <w:tab w:val="left" w:pos="900"/>
                              </w:tabs>
                              <w:spacing w:before="240"/>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226FC" w:rsidRPr="004D209A">
                              <w:rPr>
                                <w:rFonts w:ascii="Century Gothic" w:hAnsi="Century Gothic"/>
                                <w:sz w:val="20"/>
                                <w:szCs w:val="20"/>
                              </w:rPr>
                              <w:t xml:space="preserve">REPORTABLE:  </w:t>
                            </w:r>
                            <w:r w:rsidR="00D10792">
                              <w:rPr>
                                <w:rFonts w:ascii="Century Gothic" w:hAnsi="Century Gothic"/>
                                <w:sz w:val="20"/>
                                <w:szCs w:val="20"/>
                              </w:rPr>
                              <w:t>Yes/ No</w:t>
                            </w:r>
                          </w:p>
                          <w:p w14:paraId="300C0173" w14:textId="4559E774" w:rsidR="005226FC" w:rsidRPr="004D209A" w:rsidRDefault="00931CC2" w:rsidP="00931CC2">
                            <w:pPr>
                              <w:tabs>
                                <w:tab w:val="left" w:pos="900"/>
                              </w:tabs>
                              <w:ind w:left="900" w:hanging="720"/>
                              <w:rPr>
                                <w:rFonts w:ascii="Century Gothic" w:hAnsi="Century Gothic"/>
                                <w:sz w:val="20"/>
                                <w:szCs w:val="20"/>
                              </w:rPr>
                            </w:pPr>
                            <w:r w:rsidRPr="004D209A">
                              <w:rPr>
                                <w:rFonts w:ascii="Century Gothic" w:hAnsi="Century Gothic"/>
                                <w:sz w:val="20"/>
                                <w:szCs w:val="20"/>
                              </w:rPr>
                              <w:t>(2)</w:t>
                            </w:r>
                            <w:r w:rsidRPr="004D209A">
                              <w:rPr>
                                <w:rFonts w:ascii="Century Gothic" w:hAnsi="Century Gothic"/>
                                <w:sz w:val="20"/>
                                <w:szCs w:val="20"/>
                              </w:rPr>
                              <w:tab/>
                            </w:r>
                            <w:r w:rsidR="005226FC" w:rsidRPr="004D209A">
                              <w:rPr>
                                <w:rFonts w:ascii="Century Gothic" w:hAnsi="Century Gothic"/>
                                <w:sz w:val="20"/>
                                <w:szCs w:val="20"/>
                              </w:rPr>
                              <w:t xml:space="preserve">OF INTEREST TO OTHER JUDGES: </w:t>
                            </w:r>
                            <w:r w:rsidR="005226FC">
                              <w:rPr>
                                <w:rFonts w:ascii="Century Gothic" w:hAnsi="Century Gothic"/>
                                <w:sz w:val="20"/>
                                <w:szCs w:val="20"/>
                              </w:rPr>
                              <w:t>Yes</w:t>
                            </w:r>
                            <w:r w:rsidR="00D10792">
                              <w:rPr>
                                <w:rFonts w:ascii="Century Gothic" w:hAnsi="Century Gothic"/>
                                <w:sz w:val="20"/>
                                <w:szCs w:val="20"/>
                              </w:rPr>
                              <w:t>/ No</w:t>
                            </w:r>
                          </w:p>
                          <w:p w14:paraId="57A058C4" w14:textId="3B3A4445" w:rsidR="005226FC" w:rsidRDefault="00931CC2" w:rsidP="00931CC2">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226FC">
                              <w:rPr>
                                <w:rFonts w:ascii="Century Gothic" w:hAnsi="Century Gothic"/>
                                <w:sz w:val="20"/>
                                <w:szCs w:val="20"/>
                              </w:rPr>
                              <w:t xml:space="preserve">REVISED.  </w:t>
                            </w:r>
                          </w:p>
                          <w:p w14:paraId="00DE972E" w14:textId="40484DFA" w:rsidR="005226FC" w:rsidRDefault="005226FC" w:rsidP="006D4C73">
                            <w:pPr>
                              <w:rPr>
                                <w:noProof/>
                                <w:lang w:val="en-ZA" w:eastAsia="en-ZA"/>
                              </w:rPr>
                            </w:pPr>
                            <w:r>
                              <w:rPr>
                                <w:rFonts w:ascii="Century Gothic" w:hAnsi="Century Gothic"/>
                                <w:b/>
                                <w:sz w:val="18"/>
                                <w:szCs w:val="18"/>
                              </w:rPr>
                              <w:t xml:space="preserve"> </w:t>
                            </w:r>
                          </w:p>
                          <w:p w14:paraId="30E434D5" w14:textId="77777777" w:rsidR="00D10792" w:rsidRDefault="00D10792" w:rsidP="006D4C73">
                            <w:pPr>
                              <w:rPr>
                                <w:rFonts w:ascii="Century Gothic" w:hAnsi="Century Gothic"/>
                                <w:b/>
                                <w:noProof/>
                                <w:sz w:val="18"/>
                                <w:szCs w:val="18"/>
                              </w:rPr>
                            </w:pPr>
                          </w:p>
                          <w:p w14:paraId="146A7CA7" w14:textId="5A1B530C" w:rsidR="005226FC" w:rsidRDefault="005226FC" w:rsidP="006D4C73">
                            <w:pPr>
                              <w:rPr>
                                <w:rFonts w:ascii="Century Gothic" w:hAnsi="Century Gothic"/>
                                <w:sz w:val="18"/>
                                <w:szCs w:val="18"/>
                              </w:rPr>
                            </w:pPr>
                            <w:r>
                              <w:rPr>
                                <w:rFonts w:ascii="Century Gothic" w:hAnsi="Century Gothic"/>
                                <w:b/>
                                <w:sz w:val="18"/>
                                <w:szCs w:val="18"/>
                              </w:rPr>
                              <w:t xml:space="preserve">   </w:t>
                            </w:r>
                          </w:p>
                          <w:p w14:paraId="3C6D3563" w14:textId="592C93E4" w:rsidR="005226FC" w:rsidRPr="0046498E" w:rsidRDefault="00D10792" w:rsidP="0046498E">
                            <w:pPr>
                              <w:rPr>
                                <w:rFonts w:ascii="Century Gothic" w:hAnsi="Century Gothic"/>
                                <w:b/>
                                <w:sz w:val="18"/>
                                <w:szCs w:val="18"/>
                              </w:rPr>
                            </w:pPr>
                            <w:r>
                              <w:rPr>
                                <w:rFonts w:ascii="Century Gothic" w:hAnsi="Century Gothic"/>
                                <w:sz w:val="18"/>
                                <w:szCs w:val="18"/>
                              </w:rPr>
                              <w:t>SIGNATURE: ……………….</w:t>
                            </w:r>
                            <w:r>
                              <w:rPr>
                                <w:rFonts w:ascii="Century Gothic" w:hAnsi="Century Gothic"/>
                                <w:sz w:val="18"/>
                                <w:szCs w:val="18"/>
                              </w:rPr>
                              <w:tab/>
                              <w:t>DATE: ……………………</w:t>
                            </w:r>
                            <w:r w:rsidR="005226FC">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">
                <v:textbox>
                  <w:txbxContent>
                    <w:p w14:paraId="639CCB7F" w14:textId="2511258F" w:rsidR="005226FC" w:rsidRDefault="00931CC2" w:rsidP="00931CC2">
                      <w:pPr>
                        <w:tabs>
                          <w:tab w:val="left" w:pos="900"/>
                        </w:tabs>
                        <w:spacing w:before="240"/>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226FC" w:rsidRPr="004D209A">
                        <w:rPr>
                          <w:rFonts w:ascii="Century Gothic" w:hAnsi="Century Gothic"/>
                          <w:sz w:val="20"/>
                          <w:szCs w:val="20"/>
                        </w:rPr>
                        <w:t xml:space="preserve">REPORTABLE:  </w:t>
                      </w:r>
                      <w:r w:rsidR="00D10792">
                        <w:rPr>
                          <w:rFonts w:ascii="Century Gothic" w:hAnsi="Century Gothic"/>
                          <w:sz w:val="20"/>
                          <w:szCs w:val="20"/>
                        </w:rPr>
                        <w:t>Yes/ No</w:t>
                      </w:r>
                    </w:p>
                    <w:p w14:paraId="300C0173" w14:textId="4559E774" w:rsidR="005226FC" w:rsidRPr="004D209A" w:rsidRDefault="00931CC2" w:rsidP="00931CC2">
                      <w:pPr>
                        <w:tabs>
                          <w:tab w:val="left" w:pos="900"/>
                        </w:tabs>
                        <w:ind w:left="900" w:hanging="720"/>
                        <w:rPr>
                          <w:rFonts w:ascii="Century Gothic" w:hAnsi="Century Gothic"/>
                          <w:sz w:val="20"/>
                          <w:szCs w:val="20"/>
                        </w:rPr>
                      </w:pPr>
                      <w:r w:rsidRPr="004D209A">
                        <w:rPr>
                          <w:rFonts w:ascii="Century Gothic" w:hAnsi="Century Gothic"/>
                          <w:sz w:val="20"/>
                          <w:szCs w:val="20"/>
                        </w:rPr>
                        <w:t>(2)</w:t>
                      </w:r>
                      <w:r w:rsidRPr="004D209A">
                        <w:rPr>
                          <w:rFonts w:ascii="Century Gothic" w:hAnsi="Century Gothic"/>
                          <w:sz w:val="20"/>
                          <w:szCs w:val="20"/>
                        </w:rPr>
                        <w:tab/>
                      </w:r>
                      <w:r w:rsidR="005226FC" w:rsidRPr="004D209A">
                        <w:rPr>
                          <w:rFonts w:ascii="Century Gothic" w:hAnsi="Century Gothic"/>
                          <w:sz w:val="20"/>
                          <w:szCs w:val="20"/>
                        </w:rPr>
                        <w:t xml:space="preserve">OF INTEREST TO OTHER JUDGES: </w:t>
                      </w:r>
                      <w:r w:rsidR="005226FC">
                        <w:rPr>
                          <w:rFonts w:ascii="Century Gothic" w:hAnsi="Century Gothic"/>
                          <w:sz w:val="20"/>
                          <w:szCs w:val="20"/>
                        </w:rPr>
                        <w:t>Yes</w:t>
                      </w:r>
                      <w:r w:rsidR="00D10792">
                        <w:rPr>
                          <w:rFonts w:ascii="Century Gothic" w:hAnsi="Century Gothic"/>
                          <w:sz w:val="20"/>
                          <w:szCs w:val="20"/>
                        </w:rPr>
                        <w:t>/ No</w:t>
                      </w:r>
                    </w:p>
                    <w:p w14:paraId="57A058C4" w14:textId="3B3A4445" w:rsidR="005226FC" w:rsidRDefault="00931CC2" w:rsidP="00931CC2">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226FC">
                        <w:rPr>
                          <w:rFonts w:ascii="Century Gothic" w:hAnsi="Century Gothic"/>
                          <w:sz w:val="20"/>
                          <w:szCs w:val="20"/>
                        </w:rPr>
                        <w:t xml:space="preserve">REVISED.  </w:t>
                      </w:r>
                    </w:p>
                    <w:p w14:paraId="00DE972E" w14:textId="40484DFA" w:rsidR="005226FC" w:rsidRDefault="005226FC" w:rsidP="006D4C73">
                      <w:pPr>
                        <w:rPr>
                          <w:noProof/>
                          <w:lang w:val="en-ZA" w:eastAsia="en-ZA"/>
                        </w:rPr>
                      </w:pPr>
                      <w:r>
                        <w:rPr>
                          <w:rFonts w:ascii="Century Gothic" w:hAnsi="Century Gothic"/>
                          <w:b/>
                          <w:sz w:val="18"/>
                          <w:szCs w:val="18"/>
                        </w:rPr>
                        <w:t xml:space="preserve"> </w:t>
                      </w:r>
                    </w:p>
                    <w:p w14:paraId="30E434D5" w14:textId="77777777" w:rsidR="00D10792" w:rsidRDefault="00D10792" w:rsidP="006D4C73">
                      <w:pPr>
                        <w:rPr>
                          <w:rFonts w:ascii="Century Gothic" w:hAnsi="Century Gothic"/>
                          <w:b/>
                          <w:noProof/>
                          <w:sz w:val="18"/>
                          <w:szCs w:val="18"/>
                        </w:rPr>
                      </w:pPr>
                    </w:p>
                    <w:p w14:paraId="146A7CA7" w14:textId="5A1B530C" w:rsidR="005226FC" w:rsidRDefault="005226FC" w:rsidP="006D4C73">
                      <w:pPr>
                        <w:rPr>
                          <w:rFonts w:ascii="Century Gothic" w:hAnsi="Century Gothic"/>
                          <w:sz w:val="18"/>
                          <w:szCs w:val="18"/>
                        </w:rPr>
                      </w:pPr>
                      <w:r>
                        <w:rPr>
                          <w:rFonts w:ascii="Century Gothic" w:hAnsi="Century Gothic"/>
                          <w:b/>
                          <w:sz w:val="18"/>
                          <w:szCs w:val="18"/>
                        </w:rPr>
                        <w:t xml:space="preserve">   </w:t>
                      </w:r>
                    </w:p>
                    <w:p w14:paraId="3C6D3563" w14:textId="592C93E4" w:rsidR="005226FC" w:rsidRPr="0046498E" w:rsidRDefault="00D10792" w:rsidP="0046498E">
                      <w:pPr>
                        <w:rPr>
                          <w:rFonts w:ascii="Century Gothic" w:hAnsi="Century Gothic"/>
                          <w:b/>
                          <w:sz w:val="18"/>
                          <w:szCs w:val="18"/>
                        </w:rPr>
                      </w:pPr>
                      <w:r>
                        <w:rPr>
                          <w:rFonts w:ascii="Century Gothic" w:hAnsi="Century Gothic"/>
                          <w:sz w:val="18"/>
                          <w:szCs w:val="18"/>
                        </w:rPr>
                        <w:t>SIGNATURE: ……………….</w:t>
                      </w:r>
                      <w:r>
                        <w:rPr>
                          <w:rFonts w:ascii="Century Gothic" w:hAnsi="Century Gothic"/>
                          <w:sz w:val="18"/>
                          <w:szCs w:val="18"/>
                        </w:rPr>
                        <w:tab/>
                        <w:t>DATE: ……………………</w:t>
                      </w:r>
                      <w:r w:rsidR="005226FC">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5A26E0E1" w14:textId="4C4E4F58" w:rsidR="00C97ADB" w:rsidRDefault="00C97ADB" w:rsidP="00C97ADB">
      <w:pPr>
        <w:rPr>
          <w:rFonts w:ascii="Arial" w:hAnsi="Arial"/>
          <w:b/>
        </w:rPr>
      </w:pPr>
    </w:p>
    <w:p w14:paraId="343FDF89" w14:textId="5739D5CC" w:rsidR="00D261C3" w:rsidRDefault="00D261C3" w:rsidP="00D261C3">
      <w:pPr>
        <w:tabs>
          <w:tab w:val="right" w:pos="8646"/>
        </w:tabs>
        <w:rPr>
          <w:rFonts w:ascii="Arial" w:hAnsi="Arial"/>
          <w:b/>
        </w:rPr>
      </w:pPr>
    </w:p>
    <w:p w14:paraId="684578A8" w14:textId="77777777" w:rsidR="0024471B" w:rsidRPr="00D261C3" w:rsidRDefault="0024471B" w:rsidP="00D261C3">
      <w:pPr>
        <w:tabs>
          <w:tab w:val="right" w:pos="8646"/>
        </w:tabs>
        <w:rPr>
          <w:rFonts w:ascii="Arial" w:hAnsi="Arial"/>
          <w:b/>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37"/>
      </w:tblGrid>
      <w:tr w:rsidR="0024471B" w14:paraId="4518790F" w14:textId="77777777" w:rsidTr="0024471B">
        <w:tc>
          <w:tcPr>
            <w:tcW w:w="6379" w:type="dxa"/>
            <w:shd w:val="clear" w:color="auto" w:fill="auto"/>
          </w:tcPr>
          <w:p w14:paraId="4E9B51FA" w14:textId="77777777" w:rsidR="0024471B" w:rsidRPr="00D261C3" w:rsidRDefault="0024471B" w:rsidP="00D10792">
            <w:pPr>
              <w:tabs>
                <w:tab w:val="right" w:pos="8646"/>
              </w:tabs>
              <w:rPr>
                <w:rFonts w:ascii="Arial" w:hAnsi="Arial"/>
              </w:rPr>
            </w:pPr>
          </w:p>
        </w:tc>
        <w:tc>
          <w:tcPr>
            <w:tcW w:w="2637" w:type="dxa"/>
            <w:shd w:val="clear" w:color="auto" w:fill="auto"/>
          </w:tcPr>
          <w:p w14:paraId="278D10E5" w14:textId="74B228BE" w:rsidR="0024471B" w:rsidRPr="004D209A" w:rsidRDefault="0024471B" w:rsidP="0024471B">
            <w:pPr>
              <w:pStyle w:val="NormalWeb"/>
              <w:shd w:val="clear" w:color="auto" w:fill="FFFFFF"/>
              <w:rPr>
                <w:rFonts w:ascii="Arial" w:hAnsi="Arial" w:cs="Arial"/>
              </w:rPr>
            </w:pPr>
            <w:r w:rsidRPr="0094712D">
              <w:rPr>
                <w:rFonts w:ascii="Arial" w:hAnsi="Arial" w:cs="Arial"/>
                <w:lang w:val="en-US"/>
              </w:rPr>
              <w:t>Case No.</w:t>
            </w:r>
            <w:r>
              <w:rPr>
                <w:rFonts w:ascii="Arial" w:hAnsi="Arial" w:cs="Arial"/>
                <w:lang w:val="en-US"/>
              </w:rPr>
              <w:t>:</w:t>
            </w:r>
            <w:r w:rsidRPr="0094712D">
              <w:rPr>
                <w:rFonts w:ascii="Arial" w:hAnsi="Arial" w:cs="Arial"/>
                <w:b/>
                <w:bCs/>
                <w:lang w:val="en-US"/>
              </w:rPr>
              <w:t xml:space="preserve"> </w:t>
            </w:r>
            <w:r>
              <w:rPr>
                <w:rFonts w:ascii="Arial" w:hAnsi="Arial" w:cs="Arial"/>
              </w:rPr>
              <w:t>25368-2021</w:t>
            </w:r>
          </w:p>
          <w:p w14:paraId="37A4B74B" w14:textId="77777777" w:rsidR="0024471B" w:rsidRDefault="0024471B" w:rsidP="00D10792">
            <w:pPr>
              <w:tabs>
                <w:tab w:val="right" w:pos="8646"/>
              </w:tabs>
              <w:spacing w:before="240" w:after="240"/>
              <w:jc w:val="right"/>
              <w:rPr>
                <w:rFonts w:ascii="Arial" w:hAnsi="Arial"/>
              </w:rPr>
            </w:pPr>
          </w:p>
        </w:tc>
      </w:tr>
      <w:tr w:rsidR="00D10792" w14:paraId="3F5CA2A6" w14:textId="77777777" w:rsidTr="0024471B">
        <w:tc>
          <w:tcPr>
            <w:tcW w:w="6379" w:type="dxa"/>
            <w:shd w:val="clear" w:color="auto" w:fill="auto"/>
          </w:tcPr>
          <w:p w14:paraId="2CD5FA4C" w14:textId="398245FC" w:rsidR="00D10792" w:rsidRPr="00D10792" w:rsidRDefault="00D10792" w:rsidP="00D10792">
            <w:pPr>
              <w:tabs>
                <w:tab w:val="right" w:pos="8646"/>
              </w:tabs>
              <w:rPr>
                <w:rFonts w:ascii="Arial" w:hAnsi="Arial"/>
              </w:rPr>
            </w:pPr>
            <w:r w:rsidRPr="00D261C3">
              <w:rPr>
                <w:rFonts w:ascii="Arial" w:hAnsi="Arial"/>
              </w:rPr>
              <w:t>In the matter between:</w:t>
            </w:r>
          </w:p>
        </w:tc>
        <w:tc>
          <w:tcPr>
            <w:tcW w:w="2637" w:type="dxa"/>
            <w:shd w:val="clear" w:color="auto" w:fill="auto"/>
          </w:tcPr>
          <w:p w14:paraId="27F00E2D" w14:textId="77777777" w:rsidR="00D10792" w:rsidRDefault="00D10792" w:rsidP="00D10792">
            <w:pPr>
              <w:tabs>
                <w:tab w:val="right" w:pos="8646"/>
              </w:tabs>
              <w:spacing w:before="240" w:after="240"/>
              <w:jc w:val="right"/>
              <w:rPr>
                <w:rFonts w:ascii="Arial" w:hAnsi="Arial"/>
              </w:rPr>
            </w:pPr>
          </w:p>
        </w:tc>
      </w:tr>
      <w:tr w:rsidR="00D10792" w14:paraId="4352A9E8" w14:textId="77777777" w:rsidTr="0024471B">
        <w:tc>
          <w:tcPr>
            <w:tcW w:w="6379" w:type="dxa"/>
            <w:shd w:val="clear" w:color="auto" w:fill="auto"/>
          </w:tcPr>
          <w:p w14:paraId="72F58F77" w14:textId="4968B280" w:rsidR="00D10792" w:rsidRDefault="00D10792" w:rsidP="00D10792">
            <w:pPr>
              <w:tabs>
                <w:tab w:val="right" w:pos="8646"/>
              </w:tabs>
              <w:spacing w:before="240" w:after="240"/>
              <w:rPr>
                <w:rFonts w:ascii="Arial" w:hAnsi="Arial"/>
                <w:b/>
              </w:rPr>
            </w:pPr>
            <w:r>
              <w:rPr>
                <w:rFonts w:ascii="Arial" w:hAnsi="Arial"/>
                <w:b/>
              </w:rPr>
              <w:t>VAN DER MERWE &amp; ASSOCIATES INCORPORATED</w:t>
            </w:r>
          </w:p>
        </w:tc>
        <w:tc>
          <w:tcPr>
            <w:tcW w:w="2637" w:type="dxa"/>
            <w:shd w:val="clear" w:color="auto" w:fill="auto"/>
          </w:tcPr>
          <w:p w14:paraId="518DADD5" w14:textId="1BC233CE" w:rsidR="00D10792" w:rsidRDefault="00D10792" w:rsidP="00D10792">
            <w:pPr>
              <w:tabs>
                <w:tab w:val="right" w:pos="8646"/>
              </w:tabs>
              <w:spacing w:before="240" w:after="240"/>
              <w:jc w:val="right"/>
              <w:rPr>
                <w:rFonts w:ascii="Arial" w:hAnsi="Arial"/>
                <w:b/>
              </w:rPr>
            </w:pPr>
            <w:r>
              <w:rPr>
                <w:rFonts w:ascii="Arial" w:hAnsi="Arial"/>
              </w:rPr>
              <w:t>Applicant</w:t>
            </w:r>
          </w:p>
        </w:tc>
      </w:tr>
      <w:tr w:rsidR="00D10792" w14:paraId="3D0EF253" w14:textId="77777777" w:rsidTr="0024471B">
        <w:tc>
          <w:tcPr>
            <w:tcW w:w="6379" w:type="dxa"/>
            <w:shd w:val="clear" w:color="auto" w:fill="auto"/>
          </w:tcPr>
          <w:p w14:paraId="554D07D7" w14:textId="71EA7BA0" w:rsidR="00D10792" w:rsidRPr="00D10792" w:rsidRDefault="00D10792" w:rsidP="00D10792">
            <w:pPr>
              <w:tabs>
                <w:tab w:val="right" w:pos="8646"/>
              </w:tabs>
              <w:spacing w:before="240" w:after="240"/>
              <w:rPr>
                <w:rFonts w:ascii="Arial" w:hAnsi="Arial"/>
              </w:rPr>
            </w:pPr>
            <w:r w:rsidRPr="00D261C3">
              <w:rPr>
                <w:rFonts w:ascii="Arial" w:hAnsi="Arial"/>
              </w:rPr>
              <w:t>and</w:t>
            </w:r>
          </w:p>
        </w:tc>
        <w:tc>
          <w:tcPr>
            <w:tcW w:w="2637" w:type="dxa"/>
            <w:shd w:val="clear" w:color="auto" w:fill="auto"/>
          </w:tcPr>
          <w:p w14:paraId="0732A5CA" w14:textId="77777777" w:rsidR="00D10792" w:rsidRDefault="00D10792" w:rsidP="00D10792">
            <w:pPr>
              <w:tabs>
                <w:tab w:val="right" w:pos="8646"/>
              </w:tabs>
              <w:spacing w:before="240" w:after="240"/>
              <w:jc w:val="right"/>
              <w:rPr>
                <w:rFonts w:ascii="Arial" w:hAnsi="Arial"/>
                <w:b/>
              </w:rPr>
            </w:pPr>
          </w:p>
        </w:tc>
      </w:tr>
      <w:tr w:rsidR="00D10792" w14:paraId="332F13D0" w14:textId="77777777" w:rsidTr="0024471B">
        <w:tc>
          <w:tcPr>
            <w:tcW w:w="6379" w:type="dxa"/>
            <w:shd w:val="clear" w:color="auto" w:fill="auto"/>
          </w:tcPr>
          <w:p w14:paraId="01733FFC" w14:textId="647CC4F4" w:rsidR="00D10792" w:rsidRDefault="00D10792" w:rsidP="00D10792">
            <w:pPr>
              <w:tabs>
                <w:tab w:val="right" w:pos="8646"/>
              </w:tabs>
              <w:spacing w:before="240" w:after="240"/>
              <w:rPr>
                <w:rFonts w:ascii="Arial" w:hAnsi="Arial"/>
                <w:b/>
              </w:rPr>
            </w:pPr>
            <w:r>
              <w:rPr>
                <w:rFonts w:ascii="Arial" w:hAnsi="Arial"/>
                <w:b/>
              </w:rPr>
              <w:t>PREMAX TRADING 2 CC</w:t>
            </w:r>
          </w:p>
        </w:tc>
        <w:tc>
          <w:tcPr>
            <w:tcW w:w="2637" w:type="dxa"/>
            <w:shd w:val="clear" w:color="auto" w:fill="auto"/>
          </w:tcPr>
          <w:p w14:paraId="3D6A5441" w14:textId="28E3120A" w:rsidR="00D10792" w:rsidRDefault="00D10792" w:rsidP="00D10792">
            <w:pPr>
              <w:tabs>
                <w:tab w:val="right" w:pos="8646"/>
              </w:tabs>
              <w:spacing w:before="240" w:after="240"/>
              <w:jc w:val="right"/>
              <w:rPr>
                <w:rFonts w:ascii="Arial" w:hAnsi="Arial"/>
                <w:b/>
              </w:rPr>
            </w:pPr>
            <w:r>
              <w:rPr>
                <w:rFonts w:ascii="Arial" w:hAnsi="Arial"/>
                <w:bCs/>
              </w:rPr>
              <w:t>Respondent</w:t>
            </w:r>
          </w:p>
        </w:tc>
      </w:tr>
    </w:tbl>
    <w:p w14:paraId="392F24E7" w14:textId="77777777" w:rsidR="00826686" w:rsidRDefault="00826686" w:rsidP="00826686">
      <w:pPr>
        <w:pStyle w:val="Textbody"/>
        <w:spacing w:line="360" w:lineRule="auto"/>
        <w:ind w:hanging="15"/>
        <w:rPr>
          <w:rFonts w:ascii="Arial" w:hAnsi="Arial" w:cs="Arial"/>
        </w:rPr>
      </w:pPr>
    </w:p>
    <w:p w14:paraId="2813A2A5" w14:textId="6AD6456B" w:rsidR="00826686" w:rsidRPr="00826686" w:rsidRDefault="00826686" w:rsidP="00BE619D">
      <w:pPr>
        <w:pStyle w:val="Textbody"/>
        <w:spacing w:after="0" w:line="360" w:lineRule="auto"/>
        <w:ind w:hanging="15"/>
        <w:jc w:val="both"/>
        <w:rPr>
          <w:rFonts w:ascii="Arial" w:hAnsi="Arial" w:cs="Arial"/>
          <w:sz w:val="22"/>
        </w:rPr>
      </w:pPr>
      <w:r w:rsidRPr="00826686">
        <w:rPr>
          <w:rFonts w:ascii="Arial" w:hAnsi="Arial" w:cs="Arial"/>
          <w:sz w:val="22"/>
        </w:rPr>
        <w:t xml:space="preserve">This Judgment was handed down electronically by circulation to the parties’ and or parties representatives by email and by being uploaded to CaseLines. The date </w:t>
      </w:r>
      <w:r w:rsidR="00BE619D">
        <w:rPr>
          <w:rFonts w:ascii="Arial" w:hAnsi="Arial" w:cs="Arial"/>
          <w:sz w:val="22"/>
        </w:rPr>
        <w:t xml:space="preserve">for the hand down is deemed to be …. </w:t>
      </w:r>
      <w:r w:rsidRPr="00826686">
        <w:rPr>
          <w:rFonts w:ascii="Arial" w:hAnsi="Arial" w:cs="Arial"/>
          <w:sz w:val="22"/>
        </w:rPr>
        <w:t xml:space="preserve"> June 2023.  </w:t>
      </w:r>
    </w:p>
    <w:p w14:paraId="205651E3" w14:textId="77777777" w:rsidR="005226FC" w:rsidRPr="005226FC" w:rsidRDefault="005226FC" w:rsidP="00D261C3">
      <w:pPr>
        <w:pBdr>
          <w:bottom w:val="single" w:sz="12" w:space="1" w:color="auto"/>
        </w:pBdr>
        <w:rPr>
          <w:rFonts w:ascii="Arial" w:hAnsi="Arial"/>
          <w:u w:val="single"/>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511FEF0E" w14:textId="77777777" w:rsidR="0024471B" w:rsidRDefault="0024471B" w:rsidP="00A746DF">
      <w:pPr>
        <w:spacing w:line="360" w:lineRule="auto"/>
        <w:contextualSpacing/>
        <w:jc w:val="both"/>
        <w:rPr>
          <w:rFonts w:ascii="Arial" w:eastAsia="Calibri" w:hAnsi="Arial" w:cs="Arial"/>
          <w:b/>
          <w:bCs/>
          <w:color w:val="000000" w:themeColor="text1"/>
          <w:u w:val="single"/>
        </w:rPr>
      </w:pPr>
    </w:p>
    <w:p w14:paraId="76BE77F5" w14:textId="22C81D99" w:rsidR="00D6496D" w:rsidRPr="00BE619D" w:rsidRDefault="0024471B" w:rsidP="00A746DF">
      <w:pPr>
        <w:spacing w:line="360" w:lineRule="auto"/>
        <w:contextualSpacing/>
        <w:jc w:val="both"/>
        <w:rPr>
          <w:rFonts w:ascii="Arial" w:eastAsia="Calibri" w:hAnsi="Arial" w:cs="Arial"/>
          <w:b/>
          <w:bCs/>
          <w:color w:val="000000" w:themeColor="text1"/>
        </w:rPr>
      </w:pPr>
      <w:r>
        <w:rPr>
          <w:rFonts w:ascii="Arial" w:eastAsia="Calibri" w:hAnsi="Arial" w:cs="Arial"/>
          <w:b/>
          <w:bCs/>
          <w:color w:val="000000" w:themeColor="text1"/>
          <w:u w:val="single"/>
        </w:rPr>
        <w:lastRenderedPageBreak/>
        <w:t>BAQWA</w:t>
      </w:r>
      <w:r w:rsidR="00B16DB4" w:rsidRPr="00A00DAC">
        <w:rPr>
          <w:rFonts w:ascii="Arial" w:eastAsia="Calibri" w:hAnsi="Arial" w:cs="Arial"/>
          <w:b/>
          <w:bCs/>
          <w:color w:val="000000" w:themeColor="text1"/>
          <w:u w:val="single"/>
        </w:rPr>
        <w:t xml:space="preserve"> J</w:t>
      </w:r>
      <w:r w:rsidR="00BE619D">
        <w:rPr>
          <w:rFonts w:ascii="Arial" w:eastAsia="Calibri" w:hAnsi="Arial" w:cs="Arial"/>
          <w:b/>
          <w:bCs/>
          <w:color w:val="000000" w:themeColor="text1"/>
        </w:rPr>
        <w:t>:</w:t>
      </w:r>
    </w:p>
    <w:p w14:paraId="15DC96D1" w14:textId="3953C809" w:rsidR="00C82197" w:rsidRDefault="00C82197" w:rsidP="00C82197">
      <w:pPr>
        <w:spacing w:line="360" w:lineRule="auto"/>
        <w:contextualSpacing/>
        <w:rPr>
          <w:rFonts w:ascii="Arial" w:eastAsia="Calibri" w:hAnsi="Arial" w:cs="Arial"/>
        </w:rPr>
      </w:pPr>
    </w:p>
    <w:p w14:paraId="5E2DD56A" w14:textId="61F7D2C0" w:rsidR="0024471B" w:rsidRDefault="0024471B" w:rsidP="00C82197">
      <w:pPr>
        <w:spacing w:line="360" w:lineRule="auto"/>
        <w:contextualSpacing/>
        <w:rPr>
          <w:rFonts w:ascii="Arial" w:eastAsia="Calibri" w:hAnsi="Arial" w:cs="Arial"/>
          <w:b/>
          <w:u w:val="single"/>
        </w:rPr>
      </w:pPr>
      <w:r>
        <w:rPr>
          <w:rFonts w:ascii="Arial" w:eastAsia="Calibri" w:hAnsi="Arial" w:cs="Arial"/>
          <w:b/>
          <w:u w:val="single"/>
        </w:rPr>
        <w:t>Introduction</w:t>
      </w:r>
    </w:p>
    <w:p w14:paraId="7B5D03E3" w14:textId="77777777" w:rsidR="0024471B" w:rsidRPr="0024471B" w:rsidRDefault="0024471B" w:rsidP="00C82197">
      <w:pPr>
        <w:spacing w:line="360" w:lineRule="auto"/>
        <w:contextualSpacing/>
        <w:rPr>
          <w:rFonts w:ascii="Arial" w:eastAsia="Calibri" w:hAnsi="Arial" w:cs="Arial"/>
          <w:b/>
          <w:u w:val="single"/>
        </w:rPr>
      </w:pPr>
    </w:p>
    <w:p w14:paraId="031FBA9F" w14:textId="597366C4" w:rsidR="00192954" w:rsidRDefault="00931CC2" w:rsidP="00931CC2">
      <w:pPr>
        <w:pStyle w:val="Paragraph12pt"/>
        <w:tabs>
          <w:tab w:val="left" w:pos="851"/>
        </w:tabs>
        <w:ind w:left="851" w:hanging="851"/>
        <w:rPr>
          <w:lang w:val="en-GB"/>
        </w:rPr>
      </w:pPr>
      <w:r>
        <w:rPr>
          <w:color w:val="000000"/>
          <w:szCs w:val="24"/>
          <w:lang w:val="en-GB"/>
        </w:rPr>
        <w:t>[1]</w:t>
      </w:r>
      <w:r>
        <w:rPr>
          <w:color w:val="000000"/>
          <w:szCs w:val="24"/>
          <w:lang w:val="en-GB"/>
        </w:rPr>
        <w:tab/>
      </w:r>
      <w:r w:rsidR="0024471B">
        <w:rPr>
          <w:lang w:val="en-GB"/>
        </w:rPr>
        <w:t>This is an application by the Applicant for the provisional winding-up of the Respondent in terms of Section 344(f) read with sections 345(1) (a) and (c) of the Companies Act, 61 of 1973.</w:t>
      </w:r>
    </w:p>
    <w:p w14:paraId="596A7635" w14:textId="2B9A4C71" w:rsidR="0024471B" w:rsidRDefault="00931CC2" w:rsidP="00931CC2">
      <w:pPr>
        <w:pStyle w:val="Paragraph12pt"/>
        <w:tabs>
          <w:tab w:val="left" w:pos="851"/>
        </w:tabs>
        <w:ind w:left="851" w:hanging="851"/>
        <w:rPr>
          <w:lang w:val="en-GB"/>
        </w:rPr>
      </w:pPr>
      <w:r>
        <w:rPr>
          <w:color w:val="000000"/>
          <w:szCs w:val="24"/>
          <w:lang w:val="en-GB"/>
        </w:rPr>
        <w:t>[2]</w:t>
      </w:r>
      <w:r>
        <w:rPr>
          <w:color w:val="000000"/>
          <w:szCs w:val="24"/>
          <w:lang w:val="en-GB"/>
        </w:rPr>
        <w:tab/>
      </w:r>
      <w:r w:rsidR="00EB6BFF">
        <w:rPr>
          <w:lang w:val="en-GB"/>
        </w:rPr>
        <w:t>The Applicant was mandated to provide legal services to the Respondent by pursuing an action against Dumarto Civils and Plant Hire CC during 2013.</w:t>
      </w:r>
    </w:p>
    <w:p w14:paraId="31BD2A14" w14:textId="029BBC7A" w:rsidR="00EB6BFF" w:rsidRDefault="00931CC2" w:rsidP="00931CC2">
      <w:pPr>
        <w:pStyle w:val="Paragraph12pt"/>
        <w:tabs>
          <w:tab w:val="left" w:pos="851"/>
        </w:tabs>
        <w:ind w:left="851" w:hanging="851"/>
        <w:rPr>
          <w:lang w:val="en-GB"/>
        </w:rPr>
      </w:pPr>
      <w:r>
        <w:rPr>
          <w:color w:val="000000"/>
          <w:szCs w:val="24"/>
          <w:lang w:val="en-GB"/>
        </w:rPr>
        <w:t>[3]</w:t>
      </w:r>
      <w:r>
        <w:rPr>
          <w:color w:val="000000"/>
          <w:szCs w:val="24"/>
          <w:lang w:val="en-GB"/>
        </w:rPr>
        <w:tab/>
      </w:r>
      <w:r w:rsidR="00EB6BFF">
        <w:rPr>
          <w:lang w:val="en-GB"/>
        </w:rPr>
        <w:t>On 14 April 2018 the Applicant rendered an account to the Respondent in the total amount of R472 562,49.</w:t>
      </w:r>
    </w:p>
    <w:p w14:paraId="5FC2F682" w14:textId="28CAAEAC" w:rsidR="00EB6BFF" w:rsidRDefault="00931CC2" w:rsidP="00931CC2">
      <w:pPr>
        <w:pStyle w:val="Paragraph12pt"/>
        <w:tabs>
          <w:tab w:val="left" w:pos="851"/>
        </w:tabs>
        <w:ind w:left="851" w:hanging="851"/>
        <w:rPr>
          <w:lang w:val="en-GB"/>
        </w:rPr>
      </w:pPr>
      <w:r>
        <w:rPr>
          <w:color w:val="000000"/>
          <w:szCs w:val="24"/>
          <w:lang w:val="en-GB"/>
        </w:rPr>
        <w:t>[4]</w:t>
      </w:r>
      <w:r>
        <w:rPr>
          <w:color w:val="000000"/>
          <w:szCs w:val="24"/>
          <w:lang w:val="en-GB"/>
        </w:rPr>
        <w:tab/>
      </w:r>
      <w:r w:rsidR="00EB6BFF">
        <w:rPr>
          <w:lang w:val="en-GB"/>
        </w:rPr>
        <w:t>The account rendered was an itemised account claiming payment for the services rendered from 2013.</w:t>
      </w:r>
    </w:p>
    <w:p w14:paraId="2BA1FF3B" w14:textId="3AF3748A" w:rsidR="00EB6BFF" w:rsidRDefault="00931CC2" w:rsidP="00931CC2">
      <w:pPr>
        <w:pStyle w:val="Paragraph12pt"/>
        <w:tabs>
          <w:tab w:val="left" w:pos="851"/>
        </w:tabs>
        <w:ind w:left="851" w:hanging="851"/>
        <w:rPr>
          <w:lang w:val="en-GB"/>
        </w:rPr>
      </w:pPr>
      <w:r>
        <w:rPr>
          <w:color w:val="000000"/>
          <w:szCs w:val="24"/>
          <w:lang w:val="en-GB"/>
        </w:rPr>
        <w:t>[5]</w:t>
      </w:r>
      <w:r>
        <w:rPr>
          <w:color w:val="000000"/>
          <w:szCs w:val="24"/>
          <w:lang w:val="en-GB"/>
        </w:rPr>
        <w:tab/>
      </w:r>
      <w:r w:rsidR="00EB6BFF">
        <w:rPr>
          <w:lang w:val="en-GB"/>
        </w:rPr>
        <w:t>The legal action which the Applicant pursued on behalf of the Respondent resulted in the liquidation of Dumarto Civils and Plant Hire CC.</w:t>
      </w:r>
    </w:p>
    <w:p w14:paraId="4188C4C6" w14:textId="06530BAC" w:rsidR="00EB6BFF" w:rsidRDefault="00931CC2" w:rsidP="00931CC2">
      <w:pPr>
        <w:pStyle w:val="Paragraph12pt"/>
        <w:tabs>
          <w:tab w:val="left" w:pos="851"/>
        </w:tabs>
        <w:ind w:left="851" w:hanging="851"/>
        <w:rPr>
          <w:lang w:val="en-GB"/>
        </w:rPr>
      </w:pPr>
      <w:r>
        <w:rPr>
          <w:color w:val="000000"/>
          <w:szCs w:val="24"/>
          <w:lang w:val="en-GB"/>
        </w:rPr>
        <w:t>[6]</w:t>
      </w:r>
      <w:r>
        <w:rPr>
          <w:color w:val="000000"/>
          <w:szCs w:val="24"/>
          <w:lang w:val="en-GB"/>
        </w:rPr>
        <w:tab/>
      </w:r>
      <w:r w:rsidR="00EB6BFF">
        <w:rPr>
          <w:lang w:val="en-GB"/>
        </w:rPr>
        <w:t xml:space="preserve">The Applicant was thereafter instructed to conduct an insolvency enquiry on behalf of the Respondent as a result of which the Respondent was awarded a dividend of </w:t>
      </w:r>
      <w:r w:rsidR="00695DAE">
        <w:rPr>
          <w:lang w:val="en-GB"/>
        </w:rPr>
        <w:t>R200 000,00</w:t>
      </w:r>
      <w:r w:rsidR="00EB6BFF">
        <w:rPr>
          <w:lang w:val="en-GB"/>
        </w:rPr>
        <w:t xml:space="preserve"> from the estate of Dumarto.</w:t>
      </w:r>
    </w:p>
    <w:p w14:paraId="0B9CBF9B" w14:textId="28B6C291" w:rsidR="00695DAE" w:rsidRDefault="00931CC2" w:rsidP="00931CC2">
      <w:pPr>
        <w:pStyle w:val="Paragraph12pt"/>
        <w:tabs>
          <w:tab w:val="left" w:pos="851"/>
        </w:tabs>
        <w:ind w:left="851" w:hanging="851"/>
        <w:rPr>
          <w:lang w:val="en-GB"/>
        </w:rPr>
      </w:pPr>
      <w:r>
        <w:rPr>
          <w:color w:val="000000"/>
          <w:szCs w:val="24"/>
          <w:lang w:val="en-GB"/>
        </w:rPr>
        <w:t>[7]</w:t>
      </w:r>
      <w:r>
        <w:rPr>
          <w:color w:val="000000"/>
          <w:szCs w:val="24"/>
          <w:lang w:val="en-GB"/>
        </w:rPr>
        <w:tab/>
      </w:r>
      <w:r w:rsidR="00695DAE">
        <w:rPr>
          <w:lang w:val="en-GB"/>
        </w:rPr>
        <w:t>When the Applicant rendered its Bill of Costs to the Respondent, the latter refused and/ or failed to pay.</w:t>
      </w:r>
    </w:p>
    <w:p w14:paraId="0AAD74F3" w14:textId="5BA01E49" w:rsidR="00695DAE" w:rsidRDefault="00931CC2" w:rsidP="00931CC2">
      <w:pPr>
        <w:pStyle w:val="Paragraph12pt"/>
        <w:tabs>
          <w:tab w:val="left" w:pos="851"/>
        </w:tabs>
        <w:ind w:left="851" w:hanging="851"/>
        <w:rPr>
          <w:lang w:val="en-GB"/>
        </w:rPr>
      </w:pPr>
      <w:r>
        <w:rPr>
          <w:color w:val="000000"/>
          <w:szCs w:val="24"/>
          <w:lang w:val="en-GB"/>
        </w:rPr>
        <w:t>[8]</w:t>
      </w:r>
      <w:r>
        <w:rPr>
          <w:color w:val="000000"/>
          <w:szCs w:val="24"/>
          <w:lang w:val="en-GB"/>
        </w:rPr>
        <w:tab/>
      </w:r>
      <w:r w:rsidR="00695DAE">
        <w:rPr>
          <w:lang w:val="en-GB"/>
        </w:rPr>
        <w:t>The Bill of Costs, which was eventually presented to the Legal Practice Council was settled by a consultant representing the Respondent in the sum of R250 000,00 in full and final settlement.</w:t>
      </w:r>
    </w:p>
    <w:p w14:paraId="51EA1680" w14:textId="66E433B2" w:rsidR="00695DAE" w:rsidRDefault="00931CC2" w:rsidP="00931CC2">
      <w:pPr>
        <w:pStyle w:val="Paragraph12pt"/>
        <w:tabs>
          <w:tab w:val="left" w:pos="851"/>
        </w:tabs>
        <w:ind w:left="851" w:hanging="851"/>
        <w:rPr>
          <w:lang w:val="en-GB"/>
        </w:rPr>
      </w:pPr>
      <w:r>
        <w:rPr>
          <w:color w:val="000000"/>
          <w:szCs w:val="24"/>
          <w:lang w:val="en-GB"/>
        </w:rPr>
        <w:lastRenderedPageBreak/>
        <w:t>[9]</w:t>
      </w:r>
      <w:r>
        <w:rPr>
          <w:color w:val="000000"/>
          <w:szCs w:val="24"/>
          <w:lang w:val="en-GB"/>
        </w:rPr>
        <w:tab/>
      </w:r>
      <w:r w:rsidR="00695DAE">
        <w:rPr>
          <w:lang w:val="en-GB"/>
        </w:rPr>
        <w:t>A demand for payment was sent in writing on 18 April 2021 to the Respondent. After failing to elicit a meaningful response from either the Respondent or its attorneys, the Applicant reached the conclusion that the Respondent was unable to pay its debts.</w:t>
      </w:r>
    </w:p>
    <w:p w14:paraId="0ECB5166" w14:textId="35B47473" w:rsidR="00695DAE" w:rsidRDefault="00931CC2" w:rsidP="00931CC2">
      <w:pPr>
        <w:pStyle w:val="Paragraph12pt"/>
        <w:tabs>
          <w:tab w:val="left" w:pos="851"/>
        </w:tabs>
        <w:ind w:left="851" w:hanging="851"/>
        <w:rPr>
          <w:lang w:val="en-GB"/>
        </w:rPr>
      </w:pPr>
      <w:r>
        <w:rPr>
          <w:color w:val="000000"/>
          <w:szCs w:val="24"/>
          <w:lang w:val="en-GB"/>
        </w:rPr>
        <w:t>[10]</w:t>
      </w:r>
      <w:r>
        <w:rPr>
          <w:color w:val="000000"/>
          <w:szCs w:val="24"/>
          <w:lang w:val="en-GB"/>
        </w:rPr>
        <w:tab/>
      </w:r>
      <w:r w:rsidR="00695DAE">
        <w:rPr>
          <w:lang w:val="en-GB"/>
        </w:rPr>
        <w:t>On a company search conducted by the Applicant, it appeared that the Respondent had ceased to do business</w:t>
      </w:r>
      <w:r w:rsidR="00F0190A">
        <w:rPr>
          <w:lang w:val="en-GB"/>
        </w:rPr>
        <w:t>.</w:t>
      </w:r>
      <w:r w:rsidR="00695DAE">
        <w:rPr>
          <w:lang w:val="en-GB"/>
        </w:rPr>
        <w:t xml:space="preserve"> </w:t>
      </w:r>
      <w:r w:rsidR="00F0190A">
        <w:rPr>
          <w:lang w:val="en-GB"/>
        </w:rPr>
        <w:t>R</w:t>
      </w:r>
      <w:r w:rsidR="00695DAE">
        <w:rPr>
          <w:lang w:val="en-GB"/>
        </w:rPr>
        <w:t>ecords at the CIPC reflected the Respondent to be in a deregistration process.</w:t>
      </w:r>
    </w:p>
    <w:p w14:paraId="62E88332" w14:textId="1D99F0B8" w:rsidR="00695DAE" w:rsidRDefault="00931CC2" w:rsidP="00931CC2">
      <w:pPr>
        <w:pStyle w:val="Paragraph12pt"/>
        <w:tabs>
          <w:tab w:val="left" w:pos="851"/>
        </w:tabs>
        <w:ind w:left="851" w:hanging="851"/>
        <w:rPr>
          <w:lang w:val="en-GB"/>
        </w:rPr>
      </w:pPr>
      <w:r>
        <w:rPr>
          <w:color w:val="000000"/>
          <w:szCs w:val="24"/>
          <w:lang w:val="en-GB"/>
        </w:rPr>
        <w:t>[11]</w:t>
      </w:r>
      <w:r>
        <w:rPr>
          <w:color w:val="000000"/>
          <w:szCs w:val="24"/>
          <w:lang w:val="en-GB"/>
        </w:rPr>
        <w:tab/>
      </w:r>
      <w:r w:rsidR="00695DAE">
        <w:rPr>
          <w:lang w:val="en-GB"/>
        </w:rPr>
        <w:t>The Respondent opposes the winding-up application and its main defence is that the Applicant’s claim has become extinguished by prescription in terms of section 10(1) of the Prescription Act 68 of 1969.</w:t>
      </w:r>
    </w:p>
    <w:p w14:paraId="465F5584" w14:textId="026952CB" w:rsidR="00695DAE" w:rsidRDefault="00931CC2" w:rsidP="00931CC2">
      <w:pPr>
        <w:pStyle w:val="Paragraph12pt"/>
        <w:tabs>
          <w:tab w:val="left" w:pos="851"/>
        </w:tabs>
        <w:ind w:left="851" w:hanging="851"/>
        <w:rPr>
          <w:lang w:val="en-GB"/>
        </w:rPr>
      </w:pPr>
      <w:r>
        <w:rPr>
          <w:color w:val="000000"/>
          <w:szCs w:val="24"/>
          <w:lang w:val="en-GB"/>
        </w:rPr>
        <w:t>[12]</w:t>
      </w:r>
      <w:r>
        <w:rPr>
          <w:color w:val="000000"/>
          <w:szCs w:val="24"/>
          <w:lang w:val="en-GB"/>
        </w:rPr>
        <w:tab/>
      </w:r>
      <w:r w:rsidR="00695DAE">
        <w:rPr>
          <w:lang w:val="en-GB"/>
        </w:rPr>
        <w:t xml:space="preserve">The Respondent submits further that the Applicant is accordingly not a creditor of the Respondent and has no </w:t>
      </w:r>
      <w:r w:rsidR="00695DAE" w:rsidRPr="00695DAE">
        <w:rPr>
          <w:i/>
          <w:lang w:val="en-GB"/>
        </w:rPr>
        <w:t>locus standi</w:t>
      </w:r>
      <w:r w:rsidR="00695DAE">
        <w:rPr>
          <w:lang w:val="en-GB"/>
        </w:rPr>
        <w:t xml:space="preserve"> to institute these proceedings for purposes of the Section 345 of the Companies Act.</w:t>
      </w:r>
    </w:p>
    <w:p w14:paraId="459E51A0" w14:textId="54294FE5" w:rsidR="00695DAE" w:rsidRPr="00695DAE" w:rsidRDefault="00695DAE" w:rsidP="00695DAE">
      <w:pPr>
        <w:pStyle w:val="Paragraph12pt"/>
        <w:rPr>
          <w:b/>
          <w:u w:val="single"/>
          <w:lang w:val="en-GB"/>
        </w:rPr>
      </w:pPr>
      <w:r w:rsidRPr="00695DAE">
        <w:rPr>
          <w:b/>
          <w:u w:val="single"/>
          <w:lang w:val="en-GB"/>
        </w:rPr>
        <w:t>Condonation</w:t>
      </w:r>
    </w:p>
    <w:p w14:paraId="1939AFFE" w14:textId="0BBA3AAA" w:rsidR="00695DAE" w:rsidRDefault="00931CC2" w:rsidP="00931CC2">
      <w:pPr>
        <w:pStyle w:val="Paragraph12pt"/>
        <w:tabs>
          <w:tab w:val="left" w:pos="851"/>
        </w:tabs>
        <w:ind w:left="851" w:hanging="851"/>
        <w:rPr>
          <w:lang w:val="en-GB"/>
        </w:rPr>
      </w:pPr>
      <w:r>
        <w:rPr>
          <w:color w:val="000000"/>
          <w:szCs w:val="24"/>
          <w:lang w:val="en-GB"/>
        </w:rPr>
        <w:t>[13]</w:t>
      </w:r>
      <w:r>
        <w:rPr>
          <w:color w:val="000000"/>
          <w:szCs w:val="24"/>
          <w:lang w:val="en-GB"/>
        </w:rPr>
        <w:tab/>
      </w:r>
      <w:r w:rsidR="00695DAE">
        <w:rPr>
          <w:lang w:val="en-GB"/>
        </w:rPr>
        <w:t>Before dealing with the merits of the main application I propose to deal with the issue of condonation summarily. The Respondent served its notice of intention to oppose on 17 June 2021 but only filed its answering affidavit a year later on 14 June 2022.</w:t>
      </w:r>
    </w:p>
    <w:p w14:paraId="2FBBC4D7" w14:textId="03B32C61" w:rsidR="00695DAE" w:rsidRDefault="00931CC2" w:rsidP="00931CC2">
      <w:pPr>
        <w:pStyle w:val="Paragraph12pt"/>
        <w:tabs>
          <w:tab w:val="left" w:pos="851"/>
        </w:tabs>
        <w:ind w:left="851" w:hanging="851"/>
        <w:rPr>
          <w:lang w:val="en-GB"/>
        </w:rPr>
      </w:pPr>
      <w:r>
        <w:rPr>
          <w:color w:val="000000"/>
          <w:szCs w:val="24"/>
          <w:lang w:val="en-GB"/>
        </w:rPr>
        <w:t>[14]</w:t>
      </w:r>
      <w:r>
        <w:rPr>
          <w:color w:val="000000"/>
          <w:szCs w:val="24"/>
          <w:lang w:val="en-GB"/>
        </w:rPr>
        <w:tab/>
      </w:r>
      <w:r w:rsidR="00695DAE">
        <w:rPr>
          <w:lang w:val="en-GB"/>
        </w:rPr>
        <w:t>Also, on 14 June 2022, a business rescue application was launched regarding the Respondent. As a result thereof the Applicant only filed its replying affidavit on 15 September 2022. The business rescue</w:t>
      </w:r>
      <w:r w:rsidR="00C97650">
        <w:rPr>
          <w:lang w:val="en-GB"/>
        </w:rPr>
        <w:t xml:space="preserve"> application was withdrawn on 22 September 2022.</w:t>
      </w:r>
    </w:p>
    <w:p w14:paraId="7E911C89" w14:textId="6E7E709D" w:rsidR="00C97650" w:rsidRDefault="00931CC2" w:rsidP="00931CC2">
      <w:pPr>
        <w:pStyle w:val="Paragraph12pt"/>
        <w:tabs>
          <w:tab w:val="left" w:pos="851"/>
        </w:tabs>
        <w:ind w:left="851" w:hanging="851"/>
        <w:rPr>
          <w:lang w:val="en-GB"/>
        </w:rPr>
      </w:pPr>
      <w:r>
        <w:rPr>
          <w:color w:val="000000"/>
          <w:szCs w:val="24"/>
          <w:lang w:val="en-GB"/>
        </w:rPr>
        <w:lastRenderedPageBreak/>
        <w:t>[15]</w:t>
      </w:r>
      <w:r>
        <w:rPr>
          <w:color w:val="000000"/>
          <w:szCs w:val="24"/>
          <w:lang w:val="en-GB"/>
        </w:rPr>
        <w:tab/>
      </w:r>
      <w:r w:rsidR="00C97650">
        <w:rPr>
          <w:lang w:val="en-GB"/>
        </w:rPr>
        <w:t>The replying affidavit was met with a Rule 30(2) (b) Notice by the Respondent. On 28 September 2022 the Applicant explained by letter why the replying affidavit was only filed in September, and requested consent for the late filing. Consent was refuse</w:t>
      </w:r>
      <w:r w:rsidR="00F0190A">
        <w:rPr>
          <w:lang w:val="en-GB"/>
        </w:rPr>
        <w:t>d</w:t>
      </w:r>
      <w:r w:rsidR="00C97650">
        <w:rPr>
          <w:lang w:val="en-GB"/>
        </w:rPr>
        <w:t xml:space="preserve"> by the Respondent’s attorneys and the Applicant was compelled to launch a substantive condonation application.</w:t>
      </w:r>
    </w:p>
    <w:p w14:paraId="798D8379" w14:textId="02E035D9" w:rsidR="00C97650" w:rsidRDefault="00931CC2" w:rsidP="00931CC2">
      <w:pPr>
        <w:pStyle w:val="Paragraph12pt"/>
        <w:tabs>
          <w:tab w:val="left" w:pos="851"/>
        </w:tabs>
        <w:ind w:left="851" w:hanging="851"/>
        <w:rPr>
          <w:lang w:val="en-GB"/>
        </w:rPr>
      </w:pPr>
      <w:r>
        <w:rPr>
          <w:color w:val="000000"/>
          <w:szCs w:val="24"/>
          <w:lang w:val="en-GB"/>
        </w:rPr>
        <w:t>[16]</w:t>
      </w:r>
      <w:r>
        <w:rPr>
          <w:color w:val="000000"/>
          <w:szCs w:val="24"/>
          <w:lang w:val="en-GB"/>
        </w:rPr>
        <w:tab/>
      </w:r>
      <w:r w:rsidR="00C97650">
        <w:rPr>
          <w:lang w:val="en-GB"/>
        </w:rPr>
        <w:t xml:space="preserve">It is trite that the </w:t>
      </w:r>
      <w:r w:rsidR="00F0190A">
        <w:rPr>
          <w:lang w:val="en-GB"/>
        </w:rPr>
        <w:t>Business Rescue</w:t>
      </w:r>
      <w:r w:rsidR="00C97650">
        <w:rPr>
          <w:lang w:val="en-GB"/>
        </w:rPr>
        <w:t xml:space="preserve"> proceedings suspended the </w:t>
      </w:r>
      <w:r w:rsidR="00F0190A">
        <w:rPr>
          <w:lang w:val="en-GB"/>
        </w:rPr>
        <w:t>liquidation</w:t>
      </w:r>
      <w:r w:rsidR="00C97650">
        <w:rPr>
          <w:lang w:val="en-GB"/>
        </w:rPr>
        <w:t xml:space="preserve"> proceedings and that the filing of the replying affidavit was under the circumstances not late. The Rule 30(2) (b) Notice and the failure to give consent was not justifiable. The filing of the </w:t>
      </w:r>
      <w:r w:rsidR="005731DB">
        <w:rPr>
          <w:lang w:val="en-GB"/>
        </w:rPr>
        <w:t xml:space="preserve">replying affidavit is therefore condoned </w:t>
      </w:r>
      <w:r w:rsidR="00F0190A">
        <w:rPr>
          <w:lang w:val="en-GB"/>
        </w:rPr>
        <w:t xml:space="preserve">and the costs thereof </w:t>
      </w:r>
      <w:r w:rsidR="005731DB">
        <w:rPr>
          <w:lang w:val="en-GB"/>
        </w:rPr>
        <w:t>ought to be awarded against the Respondent and its attorneys in this regard on a punitive scale.</w:t>
      </w:r>
    </w:p>
    <w:p w14:paraId="532128E5" w14:textId="0D6F536D" w:rsidR="005731DB" w:rsidRDefault="00931CC2" w:rsidP="00931CC2">
      <w:pPr>
        <w:pStyle w:val="Paragraph12pt"/>
        <w:tabs>
          <w:tab w:val="left" w:pos="851"/>
        </w:tabs>
        <w:ind w:left="851" w:hanging="851"/>
        <w:rPr>
          <w:lang w:val="en-GB"/>
        </w:rPr>
      </w:pPr>
      <w:r>
        <w:rPr>
          <w:color w:val="000000"/>
          <w:szCs w:val="24"/>
          <w:lang w:val="en-GB"/>
        </w:rPr>
        <w:t>[17]</w:t>
      </w:r>
      <w:r>
        <w:rPr>
          <w:color w:val="000000"/>
          <w:szCs w:val="24"/>
          <w:lang w:val="en-GB"/>
        </w:rPr>
        <w:tab/>
      </w:r>
      <w:r w:rsidR="005731DB">
        <w:rPr>
          <w:lang w:val="en-GB"/>
        </w:rPr>
        <w:t>It is common cause that the Respondent filed an answering affidavit a year later than it ought to have done – and that there was no application for condonation in that regard.</w:t>
      </w:r>
    </w:p>
    <w:p w14:paraId="29447F72" w14:textId="32A20A3B" w:rsidR="005731DB" w:rsidRDefault="00931CC2" w:rsidP="00931CC2">
      <w:pPr>
        <w:pStyle w:val="Paragraph12pt"/>
        <w:tabs>
          <w:tab w:val="left" w:pos="851"/>
        </w:tabs>
        <w:ind w:left="851" w:hanging="851"/>
        <w:rPr>
          <w:lang w:val="en-GB"/>
        </w:rPr>
      </w:pPr>
      <w:r>
        <w:rPr>
          <w:color w:val="000000"/>
          <w:szCs w:val="24"/>
          <w:lang w:val="en-GB"/>
        </w:rPr>
        <w:t>[18]</w:t>
      </w:r>
      <w:r>
        <w:rPr>
          <w:color w:val="000000"/>
          <w:szCs w:val="24"/>
          <w:lang w:val="en-GB"/>
        </w:rPr>
        <w:tab/>
      </w:r>
      <w:r w:rsidR="005731DB">
        <w:rPr>
          <w:lang w:val="en-GB"/>
        </w:rPr>
        <w:t>I find it quite deplorable and petulant for the Respondent to argue that “insofar as condonation of the late filing of the relevant affidavits are concerned, it is now established, that the rules are there for the Court and not the Court for the rules, and in instances where (such in the present matter) the late delivery of an affidavit or supplementation does not cause any prejudice to the other litigant, same should be permitted without further ado.”</w:t>
      </w:r>
    </w:p>
    <w:p w14:paraId="7E8228C4" w14:textId="0FA11B53" w:rsidR="005731DB" w:rsidRDefault="00931CC2" w:rsidP="00931CC2">
      <w:pPr>
        <w:pStyle w:val="Paragraph12pt"/>
        <w:tabs>
          <w:tab w:val="left" w:pos="851"/>
        </w:tabs>
        <w:ind w:left="851" w:hanging="851"/>
        <w:rPr>
          <w:lang w:val="en-GB"/>
        </w:rPr>
      </w:pPr>
      <w:r>
        <w:rPr>
          <w:color w:val="000000"/>
          <w:szCs w:val="24"/>
          <w:lang w:val="en-GB"/>
        </w:rPr>
        <w:t>[19]</w:t>
      </w:r>
      <w:r>
        <w:rPr>
          <w:color w:val="000000"/>
          <w:szCs w:val="24"/>
          <w:lang w:val="en-GB"/>
        </w:rPr>
        <w:tab/>
      </w:r>
      <w:r w:rsidR="005731DB">
        <w:rPr>
          <w:lang w:val="en-GB"/>
        </w:rPr>
        <w:t xml:space="preserve">The quoted submission by the Respondent is made in circumstances where its answering affidavit was filed virtually on the eve of the Applicant proceeding with its application on the basis that it was not being opposed. The answering </w:t>
      </w:r>
      <w:r w:rsidR="005731DB">
        <w:rPr>
          <w:lang w:val="en-GB"/>
        </w:rPr>
        <w:lastRenderedPageBreak/>
        <w:t>affidavit  was clearly filed in order to derail the application. To suggest in those circumstances that there was no prejudice to the Applicant is meritless.</w:t>
      </w:r>
    </w:p>
    <w:p w14:paraId="2E0B7436" w14:textId="39FBE586" w:rsidR="005731DB" w:rsidRDefault="00931CC2" w:rsidP="00931CC2">
      <w:pPr>
        <w:pStyle w:val="Paragraph12pt"/>
        <w:tabs>
          <w:tab w:val="left" w:pos="851"/>
        </w:tabs>
        <w:ind w:left="851" w:hanging="851"/>
        <w:rPr>
          <w:lang w:val="en-GB"/>
        </w:rPr>
      </w:pPr>
      <w:r>
        <w:rPr>
          <w:color w:val="000000"/>
          <w:szCs w:val="24"/>
          <w:lang w:val="en-GB"/>
        </w:rPr>
        <w:t>[20]</w:t>
      </w:r>
      <w:r>
        <w:rPr>
          <w:color w:val="000000"/>
          <w:szCs w:val="24"/>
          <w:lang w:val="en-GB"/>
        </w:rPr>
        <w:tab/>
      </w:r>
      <w:r w:rsidR="005731DB">
        <w:rPr>
          <w:lang w:val="en-GB"/>
        </w:rPr>
        <w:t>Be that as it may, it is so that instead of the Applicant filing an objection in terms of Rule 30(2) (b) to signify that the late filing of the answering affidavit without an application for condonation was an irregular step, the Applicant filed its replying affidavit thus condoning the omission by the Respondent. Whilst I find the absence of deference by the Respondent to the Uniform Rules of the Court regrettable, to say the least, I do not say more in that regard.</w:t>
      </w:r>
    </w:p>
    <w:p w14:paraId="3AEF2928" w14:textId="4B8E4136" w:rsidR="005731DB" w:rsidRPr="005731DB" w:rsidRDefault="005731DB" w:rsidP="005731DB">
      <w:pPr>
        <w:pStyle w:val="Paragraph12pt"/>
        <w:rPr>
          <w:b/>
          <w:u w:val="single"/>
          <w:lang w:val="en-GB"/>
        </w:rPr>
      </w:pPr>
      <w:r>
        <w:rPr>
          <w:b/>
          <w:u w:val="single"/>
          <w:lang w:val="en-GB"/>
        </w:rPr>
        <w:t>On the merits</w:t>
      </w:r>
    </w:p>
    <w:p w14:paraId="5715A40F" w14:textId="7B064116" w:rsidR="005731DB" w:rsidRDefault="00931CC2" w:rsidP="00931CC2">
      <w:pPr>
        <w:pStyle w:val="Paragraph12pt"/>
        <w:tabs>
          <w:tab w:val="left" w:pos="851"/>
        </w:tabs>
        <w:ind w:left="851" w:hanging="851"/>
        <w:rPr>
          <w:lang w:val="en-GB"/>
        </w:rPr>
      </w:pPr>
      <w:r>
        <w:rPr>
          <w:color w:val="000000"/>
          <w:szCs w:val="24"/>
          <w:lang w:val="en-GB"/>
        </w:rPr>
        <w:t>[21]</w:t>
      </w:r>
      <w:r>
        <w:rPr>
          <w:color w:val="000000"/>
          <w:szCs w:val="24"/>
          <w:lang w:val="en-GB"/>
        </w:rPr>
        <w:tab/>
      </w:r>
      <w:r w:rsidR="005B2AA2">
        <w:rPr>
          <w:lang w:val="en-GB"/>
        </w:rPr>
        <w:t xml:space="preserve">The Respondent takes the stance that the Applicant is not entitled to either a final or provisional winding-up order of the Respondent as it is not a creditor of the Respondent for the purposes of section 345(1) (a) and (c) as the application was launched on 21 May 2021, whereas its claim had prescribed on 13 April 2021, being three years after the account was rendered to the Respondent.  It submits that the </w:t>
      </w:r>
      <w:r w:rsidR="00AA06EE">
        <w:rPr>
          <w:lang w:val="en-GB"/>
        </w:rPr>
        <w:t xml:space="preserve">Applicant lacks </w:t>
      </w:r>
      <w:r w:rsidR="00AA06EE">
        <w:rPr>
          <w:i/>
          <w:lang w:val="en-GB"/>
        </w:rPr>
        <w:t>locus standi</w:t>
      </w:r>
      <w:r w:rsidR="00AA06EE">
        <w:rPr>
          <w:lang w:val="en-GB"/>
        </w:rPr>
        <w:t>. The Respondent also submits that the Applicant has not proved that the Respondent in unable to pay its debts.</w:t>
      </w:r>
    </w:p>
    <w:p w14:paraId="5F0328B8" w14:textId="64E68842" w:rsidR="00AA06EE" w:rsidRDefault="00931CC2" w:rsidP="00931CC2">
      <w:pPr>
        <w:pStyle w:val="Paragraph12pt"/>
        <w:tabs>
          <w:tab w:val="left" w:pos="851"/>
        </w:tabs>
        <w:ind w:left="851" w:hanging="851"/>
        <w:rPr>
          <w:lang w:val="en-GB"/>
        </w:rPr>
      </w:pPr>
      <w:r>
        <w:rPr>
          <w:color w:val="000000"/>
          <w:szCs w:val="24"/>
          <w:lang w:val="en-GB"/>
        </w:rPr>
        <w:t>[22]</w:t>
      </w:r>
      <w:r>
        <w:rPr>
          <w:color w:val="000000"/>
          <w:szCs w:val="24"/>
          <w:lang w:val="en-GB"/>
        </w:rPr>
        <w:tab/>
      </w:r>
      <w:r w:rsidR="00AA06EE">
        <w:rPr>
          <w:lang w:val="en-GB"/>
        </w:rPr>
        <w:t xml:space="preserve">It is trite as between attorney and client, that a mandatory claim for payment ordinarily becomes due upon termination of the relationship or when the work is completed. See </w:t>
      </w:r>
      <w:r w:rsidR="00AA06EE">
        <w:rPr>
          <w:b/>
          <w:u w:val="single"/>
          <w:lang w:val="en-GB"/>
        </w:rPr>
        <w:t>Benson and Another v Walters and others</w:t>
      </w:r>
      <w:r w:rsidR="00AA06EE">
        <w:rPr>
          <w:lang w:val="en-GB"/>
        </w:rPr>
        <w:t>.</w:t>
      </w:r>
      <w:r w:rsidR="00AA06EE">
        <w:rPr>
          <w:rStyle w:val="FootnoteReference"/>
          <w:lang w:val="en-GB"/>
        </w:rPr>
        <w:footnoteReference w:id="1"/>
      </w:r>
      <w:r w:rsidR="00AA06EE">
        <w:rPr>
          <w:lang w:val="en-GB"/>
        </w:rPr>
        <w:t xml:space="preserve"> Ordinarily, prescription begins to run when the mandate of an attorney is terminated.</w:t>
      </w:r>
      <w:r w:rsidR="00AA06EE">
        <w:rPr>
          <w:rStyle w:val="FootnoteReference"/>
          <w:lang w:val="en-GB"/>
        </w:rPr>
        <w:footnoteReference w:id="2"/>
      </w:r>
    </w:p>
    <w:p w14:paraId="6106B53F" w14:textId="0E6F74F5" w:rsidR="00AA06EE" w:rsidRDefault="00931CC2" w:rsidP="00931CC2">
      <w:pPr>
        <w:pStyle w:val="Paragraph12pt"/>
        <w:tabs>
          <w:tab w:val="left" w:pos="851"/>
        </w:tabs>
        <w:ind w:left="851" w:hanging="851"/>
        <w:rPr>
          <w:lang w:val="en-GB"/>
        </w:rPr>
      </w:pPr>
      <w:r>
        <w:rPr>
          <w:color w:val="000000"/>
          <w:szCs w:val="24"/>
          <w:lang w:val="en-GB"/>
        </w:rPr>
        <w:lastRenderedPageBreak/>
        <w:t>[23]</w:t>
      </w:r>
      <w:r>
        <w:rPr>
          <w:color w:val="000000"/>
          <w:szCs w:val="24"/>
          <w:lang w:val="en-GB"/>
        </w:rPr>
        <w:tab/>
      </w:r>
      <w:r w:rsidR="00AA06EE">
        <w:rPr>
          <w:lang w:val="en-GB"/>
        </w:rPr>
        <w:t>In the present matter, prescription was made conditional upon the quantum thereof being determined by agreement or taxation subsequent to the letter dated 15 April 2019 and section 12(3) of the Prescription Act 68 of 1969 provides “a debt shall not be deemed to be due until the creditor has knowledge . . . of the facts from which the debt arises . . .”</w:t>
      </w:r>
    </w:p>
    <w:p w14:paraId="6E189A4F" w14:textId="73A67657" w:rsidR="00343CED" w:rsidRDefault="00343CED" w:rsidP="00343CED">
      <w:pPr>
        <w:pStyle w:val="Paragraph12pt"/>
        <w:ind w:left="851"/>
        <w:rPr>
          <w:lang w:val="en-GB"/>
        </w:rPr>
      </w:pPr>
      <w:r>
        <w:rPr>
          <w:lang w:val="en-GB"/>
        </w:rPr>
        <w:t xml:space="preserve">In the present application, that knowledge would only arise </w:t>
      </w:r>
      <w:r w:rsidR="00F0190A">
        <w:rPr>
          <w:lang w:val="en-GB"/>
        </w:rPr>
        <w:t>after</w:t>
      </w:r>
      <w:r>
        <w:rPr>
          <w:lang w:val="en-GB"/>
        </w:rPr>
        <w:t xml:space="preserve"> taxation.</w:t>
      </w:r>
    </w:p>
    <w:p w14:paraId="7E5AA279" w14:textId="5B05F406" w:rsidR="00343CED" w:rsidRDefault="00931CC2" w:rsidP="00931CC2">
      <w:pPr>
        <w:pStyle w:val="Paragraph12pt"/>
        <w:tabs>
          <w:tab w:val="left" w:pos="851"/>
        </w:tabs>
        <w:ind w:left="851" w:hanging="851"/>
        <w:rPr>
          <w:lang w:val="en-GB"/>
        </w:rPr>
      </w:pPr>
      <w:r>
        <w:rPr>
          <w:color w:val="000000"/>
          <w:szCs w:val="24"/>
          <w:lang w:val="en-GB"/>
        </w:rPr>
        <w:t>[24]</w:t>
      </w:r>
      <w:r>
        <w:rPr>
          <w:color w:val="000000"/>
          <w:szCs w:val="24"/>
          <w:lang w:val="en-GB"/>
        </w:rPr>
        <w:tab/>
      </w:r>
      <w:r w:rsidR="00343CED">
        <w:rPr>
          <w:lang w:val="en-GB"/>
        </w:rPr>
        <w:t xml:space="preserve">The amount contained in the original account was disputed by the Respondent and the condition for making payment raised by the Respondent’s attorney was the presentation </w:t>
      </w:r>
      <w:r w:rsidR="00F0190A">
        <w:rPr>
          <w:lang w:val="en-GB"/>
        </w:rPr>
        <w:t>of</w:t>
      </w:r>
      <w:r w:rsidR="00343CED">
        <w:rPr>
          <w:lang w:val="en-GB"/>
        </w:rPr>
        <w:t xml:space="preserve"> the account for taxation. The amount payable, therefore, became uncertain and could be due once it was ascertained through taxation.</w:t>
      </w:r>
    </w:p>
    <w:p w14:paraId="4A1AA385" w14:textId="0931EAB6" w:rsidR="00343CED" w:rsidRDefault="00931CC2" w:rsidP="00931CC2">
      <w:pPr>
        <w:pStyle w:val="Paragraph12pt"/>
        <w:tabs>
          <w:tab w:val="left" w:pos="851"/>
        </w:tabs>
        <w:ind w:left="851" w:hanging="851"/>
        <w:rPr>
          <w:lang w:val="en-GB"/>
        </w:rPr>
      </w:pPr>
      <w:r>
        <w:rPr>
          <w:color w:val="000000"/>
          <w:szCs w:val="24"/>
          <w:lang w:val="en-GB"/>
        </w:rPr>
        <w:t>[25]</w:t>
      </w:r>
      <w:r>
        <w:rPr>
          <w:color w:val="000000"/>
          <w:szCs w:val="24"/>
          <w:lang w:val="en-GB"/>
        </w:rPr>
        <w:tab/>
      </w:r>
      <w:r w:rsidR="00343CED">
        <w:rPr>
          <w:lang w:val="en-GB"/>
        </w:rPr>
        <w:t xml:space="preserve">A similar situation was dealt with in </w:t>
      </w:r>
      <w:r w:rsidR="00343CED">
        <w:rPr>
          <w:b/>
          <w:u w:val="single"/>
          <w:lang w:val="en-GB"/>
        </w:rPr>
        <w:t>Santam Ltd v Ethwar</w:t>
      </w:r>
      <w:r w:rsidR="00343CED" w:rsidRPr="00343CED">
        <w:rPr>
          <w:rStyle w:val="FootnoteReference"/>
          <w:b/>
          <w:lang w:val="en-GB"/>
        </w:rPr>
        <w:footnoteReference w:id="3"/>
      </w:r>
      <w:r w:rsidR="00343CED">
        <w:rPr>
          <w:lang w:val="en-GB"/>
        </w:rPr>
        <w:t xml:space="preserve"> where debt was conditional upon the quantum thereof being determined by agreement or taxation.</w:t>
      </w:r>
    </w:p>
    <w:p w14:paraId="047F9F67" w14:textId="4F7651EE" w:rsidR="00343CED" w:rsidRDefault="00931CC2" w:rsidP="00931CC2">
      <w:pPr>
        <w:pStyle w:val="Paragraph12pt"/>
        <w:tabs>
          <w:tab w:val="left" w:pos="851"/>
        </w:tabs>
        <w:ind w:left="851" w:hanging="851"/>
        <w:rPr>
          <w:lang w:val="en-GB"/>
        </w:rPr>
      </w:pPr>
      <w:r>
        <w:rPr>
          <w:color w:val="000000"/>
          <w:szCs w:val="24"/>
          <w:lang w:val="en-GB"/>
        </w:rPr>
        <w:t>[26]</w:t>
      </w:r>
      <w:r>
        <w:rPr>
          <w:color w:val="000000"/>
          <w:szCs w:val="24"/>
          <w:lang w:val="en-GB"/>
        </w:rPr>
        <w:tab/>
      </w:r>
      <w:r w:rsidR="00343CED">
        <w:rPr>
          <w:lang w:val="en-GB"/>
        </w:rPr>
        <w:t xml:space="preserve">The amount due was agreed upon and fixed on 13 April 2021 by an attorney instructed on behalf of the Respondent. The Respondent accepted liability on the basis of the taxed Bill of Costs. The Applicant also became aware of the amount which was due to him on that date, namely 13 April 2021 and prescription had become interrupted and would become effective on </w:t>
      </w:r>
      <w:r w:rsidR="00175F4F">
        <w:rPr>
          <w:lang w:val="en-GB"/>
        </w:rPr>
        <w:t>12 April 2024.</w:t>
      </w:r>
    </w:p>
    <w:p w14:paraId="7F3FEC4C" w14:textId="19438C9E" w:rsidR="00175F4F" w:rsidRDefault="00931CC2" w:rsidP="00931CC2">
      <w:pPr>
        <w:pStyle w:val="Paragraph12pt"/>
        <w:tabs>
          <w:tab w:val="left" w:pos="851"/>
        </w:tabs>
        <w:ind w:left="851" w:hanging="851"/>
        <w:rPr>
          <w:lang w:val="en-GB"/>
        </w:rPr>
      </w:pPr>
      <w:r>
        <w:rPr>
          <w:color w:val="000000"/>
          <w:szCs w:val="24"/>
          <w:lang w:val="en-GB"/>
        </w:rPr>
        <w:t>[27]</w:t>
      </w:r>
      <w:r>
        <w:rPr>
          <w:color w:val="000000"/>
          <w:szCs w:val="24"/>
          <w:lang w:val="en-GB"/>
        </w:rPr>
        <w:tab/>
      </w:r>
      <w:r w:rsidR="00175F4F">
        <w:rPr>
          <w:lang w:val="en-GB"/>
        </w:rPr>
        <w:t xml:space="preserve">It does not behove the Respondent, so the Applicant argued, to refuse to make payment until the amount is quantified on taxation and after such taxation, to </w:t>
      </w:r>
      <w:r w:rsidR="00175F4F">
        <w:rPr>
          <w:lang w:val="en-GB"/>
        </w:rPr>
        <w:lastRenderedPageBreak/>
        <w:t>raise prescription when further legal processes were kept in abeyance until such taxation.</w:t>
      </w:r>
    </w:p>
    <w:p w14:paraId="07C60A2B" w14:textId="001EF273" w:rsidR="00175F4F" w:rsidRPr="00175F4F" w:rsidRDefault="00175F4F" w:rsidP="00175F4F">
      <w:pPr>
        <w:pStyle w:val="Paragraph12pt"/>
        <w:rPr>
          <w:b/>
          <w:u w:val="single"/>
          <w:lang w:val="en-GB"/>
        </w:rPr>
      </w:pPr>
      <w:r>
        <w:rPr>
          <w:b/>
          <w:u w:val="single"/>
          <w:lang w:val="en-GB"/>
        </w:rPr>
        <w:t>Prima facie case for provisional winding-up</w:t>
      </w:r>
    </w:p>
    <w:p w14:paraId="4646FAE2" w14:textId="6699118F" w:rsidR="00175F4F" w:rsidRDefault="00931CC2" w:rsidP="00931CC2">
      <w:pPr>
        <w:pStyle w:val="Paragraph12pt"/>
        <w:tabs>
          <w:tab w:val="left" w:pos="851"/>
        </w:tabs>
        <w:ind w:left="851" w:hanging="851"/>
        <w:rPr>
          <w:lang w:val="en-GB"/>
        </w:rPr>
      </w:pPr>
      <w:r>
        <w:rPr>
          <w:color w:val="000000"/>
          <w:szCs w:val="24"/>
          <w:lang w:val="en-GB"/>
        </w:rPr>
        <w:t>[28]</w:t>
      </w:r>
      <w:r>
        <w:rPr>
          <w:color w:val="000000"/>
          <w:szCs w:val="24"/>
          <w:lang w:val="en-GB"/>
        </w:rPr>
        <w:tab/>
      </w:r>
      <w:r w:rsidR="00175F4F">
        <w:rPr>
          <w:lang w:val="en-GB"/>
        </w:rPr>
        <w:t>After the taxation of the Bill of Costs and the amount was fixed</w:t>
      </w:r>
      <w:r w:rsidR="007045D4">
        <w:rPr>
          <w:lang w:val="en-GB"/>
        </w:rPr>
        <w:t xml:space="preserve"> at R250 000,00. The debt was no longer in dispute. In a situation where factual disputes are raised, the question to be answered is whether with regard to the evidence tendered in all the affidavits, a prima facie case has been established on a balance of probabilities.</w:t>
      </w:r>
    </w:p>
    <w:p w14:paraId="42AC88B9" w14:textId="7DCE18C4" w:rsidR="007045D4" w:rsidRDefault="00931CC2" w:rsidP="00931CC2">
      <w:pPr>
        <w:pStyle w:val="Paragraph12pt"/>
        <w:tabs>
          <w:tab w:val="left" w:pos="851"/>
        </w:tabs>
        <w:ind w:left="851" w:hanging="851"/>
        <w:rPr>
          <w:lang w:val="en-GB"/>
        </w:rPr>
      </w:pPr>
      <w:r>
        <w:rPr>
          <w:color w:val="000000"/>
          <w:szCs w:val="24"/>
          <w:lang w:val="en-GB"/>
        </w:rPr>
        <w:t>[29]</w:t>
      </w:r>
      <w:r>
        <w:rPr>
          <w:color w:val="000000"/>
          <w:szCs w:val="24"/>
          <w:lang w:val="en-GB"/>
        </w:rPr>
        <w:tab/>
      </w:r>
      <w:r w:rsidR="007045D4">
        <w:rPr>
          <w:lang w:val="en-GB"/>
        </w:rPr>
        <w:t>The question whether the applicant had proved the inability to pay its debts by the Respondent can be answered as follows:</w:t>
      </w:r>
    </w:p>
    <w:p w14:paraId="7FEC82BA" w14:textId="149B0BEF" w:rsidR="007045D4" w:rsidRDefault="007045D4" w:rsidP="007045D4">
      <w:pPr>
        <w:pStyle w:val="Paragraph12pt"/>
        <w:ind w:left="851"/>
        <w:rPr>
          <w:lang w:val="en-GB"/>
        </w:rPr>
      </w:pPr>
      <w:r w:rsidRPr="00A8310A">
        <w:rPr>
          <w:sz w:val="22"/>
          <w:lang w:val="en-GB"/>
        </w:rPr>
        <w:t>“A company is unable to pay its debts when it is unable to meet its current demand on it, or its day to day liabilities in the ordinary course of business, in other words, when it is commercially insolvent. The test is therefore not whether the company’s liabilities exceed its assets, for a company can be at the same time commercially insolvent and factually solvent, even wealthy.</w:t>
      </w:r>
      <w:r w:rsidR="00A8310A" w:rsidRPr="00A8310A">
        <w:rPr>
          <w:sz w:val="22"/>
          <w:lang w:val="en-GB"/>
        </w:rPr>
        <w:t xml:space="preserve"> The primary question is whether the company has liquid assets or readily realisable assets available to meet its liabilities as they fall due, and to be met in the ordinary course of business and thereafter the company will be in a position to carry normal trading, in other words whether the company can meet the demands on it and remain buoyant.”</w:t>
      </w:r>
      <w:r w:rsidR="00A8310A">
        <w:rPr>
          <w:rStyle w:val="FootnoteReference"/>
          <w:sz w:val="22"/>
          <w:lang w:val="en-GB"/>
        </w:rPr>
        <w:footnoteReference w:id="4"/>
      </w:r>
    </w:p>
    <w:p w14:paraId="1A0D4381" w14:textId="6E5CEBC7" w:rsidR="007045D4" w:rsidRDefault="00931CC2" w:rsidP="00931CC2">
      <w:pPr>
        <w:pStyle w:val="Paragraph12pt"/>
        <w:tabs>
          <w:tab w:val="left" w:pos="851"/>
        </w:tabs>
        <w:ind w:left="851" w:hanging="851"/>
        <w:rPr>
          <w:lang w:val="en-GB"/>
        </w:rPr>
      </w:pPr>
      <w:r>
        <w:rPr>
          <w:color w:val="000000"/>
          <w:szCs w:val="24"/>
          <w:lang w:val="en-GB"/>
        </w:rPr>
        <w:t>[30]</w:t>
      </w:r>
      <w:r>
        <w:rPr>
          <w:color w:val="000000"/>
          <w:szCs w:val="24"/>
          <w:lang w:val="en-GB"/>
        </w:rPr>
        <w:tab/>
      </w:r>
      <w:r w:rsidR="00A8310A">
        <w:rPr>
          <w:lang w:val="en-GB"/>
        </w:rPr>
        <w:t xml:space="preserve">“Liquid Assets” are assets which are available to the company for the purpose of meeting its obligations, when, for whatever reason, a company is unable to </w:t>
      </w:r>
      <w:r w:rsidR="00A8310A">
        <w:rPr>
          <w:lang w:val="en-GB"/>
        </w:rPr>
        <w:lastRenderedPageBreak/>
        <w:t>access any liquid assets, it is illiquid and unable to pay its debts as they fall due.</w:t>
      </w:r>
    </w:p>
    <w:p w14:paraId="24E5A517" w14:textId="67BA3A56" w:rsidR="00A8310A" w:rsidRDefault="00931CC2" w:rsidP="00931CC2">
      <w:pPr>
        <w:pStyle w:val="Paragraph12pt"/>
        <w:tabs>
          <w:tab w:val="left" w:pos="851"/>
        </w:tabs>
        <w:ind w:left="851" w:hanging="851"/>
        <w:rPr>
          <w:lang w:val="en-GB"/>
        </w:rPr>
      </w:pPr>
      <w:r>
        <w:rPr>
          <w:color w:val="000000"/>
          <w:szCs w:val="24"/>
          <w:lang w:val="en-GB"/>
        </w:rPr>
        <w:t>[31]</w:t>
      </w:r>
      <w:r>
        <w:rPr>
          <w:color w:val="000000"/>
          <w:szCs w:val="24"/>
          <w:lang w:val="en-GB"/>
        </w:rPr>
        <w:tab/>
      </w:r>
      <w:r w:rsidR="00A8310A">
        <w:rPr>
          <w:lang w:val="en-GB"/>
        </w:rPr>
        <w:t>The Respondent, acting through its attorneys, undertook to settle is debt to the Applicant after taxation of the Bill of Costs. After taxation it could still not pay. It meets the LAWSA definition of commercial insolvency referred to above.</w:t>
      </w:r>
    </w:p>
    <w:p w14:paraId="76731028" w14:textId="1F7507D5" w:rsidR="004A5906" w:rsidRDefault="00931CC2" w:rsidP="00931CC2">
      <w:pPr>
        <w:pStyle w:val="Paragraph12pt"/>
        <w:tabs>
          <w:tab w:val="left" w:pos="851"/>
        </w:tabs>
        <w:ind w:left="851" w:hanging="851"/>
        <w:rPr>
          <w:lang w:val="en-GB"/>
        </w:rPr>
      </w:pPr>
      <w:r>
        <w:rPr>
          <w:color w:val="000000"/>
          <w:szCs w:val="24"/>
          <w:lang w:val="en-GB"/>
        </w:rPr>
        <w:t>[32]</w:t>
      </w:r>
      <w:r>
        <w:rPr>
          <w:color w:val="000000"/>
          <w:szCs w:val="24"/>
          <w:lang w:val="en-GB"/>
        </w:rPr>
        <w:tab/>
      </w:r>
      <w:r w:rsidR="004A5906">
        <w:rPr>
          <w:lang w:val="en-GB"/>
        </w:rPr>
        <w:t xml:space="preserve">A creditor has a right, </w:t>
      </w:r>
      <w:r w:rsidR="004A5906">
        <w:rPr>
          <w:i/>
          <w:lang w:val="en-GB"/>
        </w:rPr>
        <w:t>ex debito justitiae</w:t>
      </w:r>
      <w:r w:rsidR="004A5906">
        <w:rPr>
          <w:lang w:val="en-GB"/>
        </w:rPr>
        <w:t>, to a winding-up order against a respondent company that has failed to discharge its debt. The discretion of a court to refuse to grant a provisional winding-up order, when an unpaid creditor applies therefor, is a “very narrow one”, which is rarely exercised and then in special or unusual circumstances only.</w:t>
      </w:r>
      <w:r w:rsidR="004A5906">
        <w:rPr>
          <w:rStyle w:val="FootnoteReference"/>
          <w:lang w:val="en-GB"/>
        </w:rPr>
        <w:footnoteReference w:id="5"/>
      </w:r>
    </w:p>
    <w:p w14:paraId="19038CC5" w14:textId="53422CB6" w:rsidR="004A5906" w:rsidRDefault="00931CC2" w:rsidP="00931CC2">
      <w:pPr>
        <w:pStyle w:val="Paragraph12pt"/>
        <w:tabs>
          <w:tab w:val="left" w:pos="851"/>
        </w:tabs>
        <w:ind w:left="851" w:hanging="851"/>
        <w:rPr>
          <w:lang w:val="en-GB"/>
        </w:rPr>
      </w:pPr>
      <w:r>
        <w:rPr>
          <w:color w:val="000000"/>
          <w:szCs w:val="24"/>
          <w:lang w:val="en-GB"/>
        </w:rPr>
        <w:t>[33]</w:t>
      </w:r>
      <w:r>
        <w:rPr>
          <w:color w:val="000000"/>
          <w:szCs w:val="24"/>
          <w:lang w:val="en-GB"/>
        </w:rPr>
        <w:tab/>
      </w:r>
      <w:r w:rsidR="004A5906">
        <w:rPr>
          <w:lang w:val="en-GB"/>
        </w:rPr>
        <w:t>I am satisfied that the Applicant has proved its case on a balance of probabilities and that the following order should ensue:</w:t>
      </w:r>
    </w:p>
    <w:p w14:paraId="3BAED7AF" w14:textId="4F8F11F5" w:rsidR="004A5906" w:rsidRPr="004A5906" w:rsidRDefault="004A5906" w:rsidP="004A5906">
      <w:pPr>
        <w:pStyle w:val="Paragraph12pt"/>
        <w:ind w:left="851"/>
        <w:rPr>
          <w:b/>
          <w:lang w:val="en-GB"/>
        </w:rPr>
      </w:pPr>
      <w:r>
        <w:rPr>
          <w:b/>
          <w:lang w:val="en-GB"/>
        </w:rPr>
        <w:t>Order</w:t>
      </w:r>
    </w:p>
    <w:p w14:paraId="013B7EF0" w14:textId="57903B5C" w:rsidR="004A5906" w:rsidRDefault="00931CC2" w:rsidP="00931CC2">
      <w:pPr>
        <w:pStyle w:val="Paragraph12pt"/>
        <w:tabs>
          <w:tab w:val="left" w:pos="1814"/>
        </w:tabs>
        <w:ind w:left="1814" w:hanging="963"/>
        <w:rPr>
          <w:lang w:val="en-GB"/>
        </w:rPr>
      </w:pPr>
      <w:r>
        <w:rPr>
          <w:lang w:val="en-GB"/>
        </w:rPr>
        <w:t>33.1</w:t>
      </w:r>
      <w:r>
        <w:rPr>
          <w:lang w:val="en-GB"/>
        </w:rPr>
        <w:tab/>
      </w:r>
      <w:r w:rsidR="004A5906">
        <w:rPr>
          <w:lang w:val="en-GB"/>
        </w:rPr>
        <w:t>The late filing of the replying affidavit by the Applicant is condoned.</w:t>
      </w:r>
    </w:p>
    <w:p w14:paraId="49750BA3" w14:textId="1F81F492" w:rsidR="004A5906" w:rsidRDefault="00931CC2" w:rsidP="00931CC2">
      <w:pPr>
        <w:pStyle w:val="Paragraph12pt"/>
        <w:tabs>
          <w:tab w:val="left" w:pos="1814"/>
        </w:tabs>
        <w:ind w:left="1814" w:hanging="963"/>
        <w:rPr>
          <w:lang w:val="en-GB"/>
        </w:rPr>
      </w:pPr>
      <w:r>
        <w:rPr>
          <w:lang w:val="en-GB"/>
        </w:rPr>
        <w:t>33.2</w:t>
      </w:r>
      <w:r>
        <w:rPr>
          <w:lang w:val="en-GB"/>
        </w:rPr>
        <w:tab/>
      </w:r>
      <w:r w:rsidR="004A5906">
        <w:rPr>
          <w:lang w:val="en-GB"/>
        </w:rPr>
        <w:t>The Respondent and Morné Coetzee Attorneys are ordered to pay the Applicant’s costs for the condonation application jointly and severally on a scale as between attorney and client.</w:t>
      </w:r>
    </w:p>
    <w:p w14:paraId="75AB868B" w14:textId="58B47F3C" w:rsidR="004A5906" w:rsidRDefault="00931CC2" w:rsidP="00931CC2">
      <w:pPr>
        <w:pStyle w:val="Paragraph12pt"/>
        <w:tabs>
          <w:tab w:val="left" w:pos="1814"/>
        </w:tabs>
        <w:ind w:left="1814" w:hanging="963"/>
        <w:rPr>
          <w:lang w:val="en-GB"/>
        </w:rPr>
      </w:pPr>
      <w:r>
        <w:rPr>
          <w:lang w:val="en-GB"/>
        </w:rPr>
        <w:t>33.3</w:t>
      </w:r>
      <w:r>
        <w:rPr>
          <w:lang w:val="en-GB"/>
        </w:rPr>
        <w:tab/>
      </w:r>
      <w:r w:rsidR="004A5906">
        <w:rPr>
          <w:lang w:val="en-GB"/>
        </w:rPr>
        <w:t xml:space="preserve">The Respondent be provisionally wound up and a provisional order is issued with a return date being: 4 September 2023 in terms </w:t>
      </w:r>
      <w:r w:rsidR="004A5906">
        <w:rPr>
          <w:lang w:val="en-GB"/>
        </w:rPr>
        <w:lastRenderedPageBreak/>
        <w:t>whereof any person may approach the Court on the return date to give reasons why the Respondent should not be liquidated;</w:t>
      </w:r>
    </w:p>
    <w:p w14:paraId="6EBE0C31" w14:textId="3094D4CD" w:rsidR="004A5906" w:rsidRPr="00271DB2" w:rsidRDefault="00931CC2" w:rsidP="00931CC2">
      <w:pPr>
        <w:pStyle w:val="Paragraph12pt"/>
        <w:tabs>
          <w:tab w:val="left" w:pos="1814"/>
        </w:tabs>
        <w:ind w:left="1814" w:hanging="963"/>
        <w:rPr>
          <w:lang w:val="en-GB"/>
        </w:rPr>
      </w:pPr>
      <w:bookmarkStart w:id="0" w:name="_GoBack"/>
      <w:bookmarkEnd w:id="0"/>
      <w:r w:rsidRPr="00271DB2">
        <w:rPr>
          <w:lang w:val="en-GB"/>
        </w:rPr>
        <w:t>33.4</w:t>
      </w:r>
      <w:r w:rsidRPr="00271DB2">
        <w:rPr>
          <w:lang w:val="en-GB"/>
        </w:rPr>
        <w:tab/>
      </w:r>
      <w:r w:rsidR="004A5906">
        <w:rPr>
          <w:lang w:val="en-GB"/>
        </w:rPr>
        <w:t xml:space="preserve">That the costs of the main application be costs </w:t>
      </w:r>
      <w:r w:rsidR="00826686">
        <w:rPr>
          <w:lang w:val="en-GB"/>
        </w:rPr>
        <w:t>in the liquidation of the Respondent, same to be taxed on a scale between attorney and client.</w:t>
      </w:r>
    </w:p>
    <w:p w14:paraId="2FFE60A2" w14:textId="2D49B575" w:rsidR="00FE593E" w:rsidRDefault="00FE593E" w:rsidP="003B5150">
      <w:pPr>
        <w:pStyle w:val="Paragraph12pt"/>
        <w:ind w:left="851"/>
        <w:jc w:val="right"/>
      </w:pPr>
    </w:p>
    <w:p w14:paraId="5C8915DB" w14:textId="77777777" w:rsidR="00BE619D" w:rsidRPr="00A8065D" w:rsidRDefault="00BE619D" w:rsidP="00BE619D">
      <w:pPr>
        <w:spacing w:line="360" w:lineRule="auto"/>
        <w:ind w:left="1080"/>
        <w:contextualSpacing/>
        <w:jc w:val="right"/>
        <w:rPr>
          <w:rFonts w:ascii="Arial" w:eastAsia="Calibri" w:hAnsi="Arial" w:cs="Arial"/>
        </w:rPr>
      </w:pPr>
      <w:r w:rsidRPr="00A8065D">
        <w:rPr>
          <w:rFonts w:ascii="Arial" w:eastAsia="Calibri" w:hAnsi="Arial" w:cs="Arial"/>
        </w:rPr>
        <w:t>__________________</w:t>
      </w:r>
    </w:p>
    <w:p w14:paraId="12185FA8" w14:textId="77777777" w:rsidR="00BE619D" w:rsidRPr="00A8065D" w:rsidRDefault="00BE619D" w:rsidP="00BE619D">
      <w:pPr>
        <w:spacing w:line="360" w:lineRule="auto"/>
        <w:ind w:left="1080"/>
        <w:contextualSpacing/>
        <w:jc w:val="right"/>
        <w:rPr>
          <w:rFonts w:ascii="Arial" w:eastAsia="Calibri" w:hAnsi="Arial" w:cs="Arial"/>
          <w:b/>
          <w:iCs/>
        </w:rPr>
      </w:pPr>
      <w:r w:rsidRPr="00A8065D">
        <w:rPr>
          <w:rFonts w:ascii="Arial" w:eastAsia="Calibri" w:hAnsi="Arial" w:cs="Arial"/>
          <w:b/>
          <w:iCs/>
        </w:rPr>
        <w:t xml:space="preserve">SELBY BAQWA </w:t>
      </w:r>
    </w:p>
    <w:p w14:paraId="4C1A757D" w14:textId="77777777" w:rsidR="00BE619D" w:rsidRPr="00A8065D" w:rsidRDefault="00BE619D" w:rsidP="00BE619D">
      <w:pPr>
        <w:spacing w:after="236"/>
        <w:ind w:left="10" w:right="56"/>
        <w:jc w:val="right"/>
        <w:rPr>
          <w:rFonts w:ascii="Arial" w:eastAsia="Calibri" w:hAnsi="Arial" w:cs="Arial"/>
        </w:rPr>
      </w:pPr>
      <w:r w:rsidRPr="00A8065D">
        <w:rPr>
          <w:rFonts w:ascii="Arial" w:eastAsia="Calibri" w:hAnsi="Arial" w:cs="Arial"/>
          <w:color w:val="000000"/>
        </w:rPr>
        <w:t xml:space="preserve">JUDGE OF THE HIGH COURT  </w:t>
      </w:r>
    </w:p>
    <w:p w14:paraId="2E1A24DD" w14:textId="77777777" w:rsidR="00BE619D" w:rsidRPr="00FE3662" w:rsidRDefault="00BE619D" w:rsidP="00BE619D">
      <w:pPr>
        <w:keepNext/>
        <w:keepLines/>
        <w:spacing w:after="236"/>
        <w:ind w:left="10" w:right="56" w:hanging="10"/>
        <w:jc w:val="right"/>
        <w:outlineLvl w:val="1"/>
        <w:rPr>
          <w:rFonts w:ascii="Arial" w:eastAsia="Arial" w:hAnsi="Arial" w:cs="Arial"/>
          <w:color w:val="000000"/>
        </w:rPr>
      </w:pPr>
      <w:r w:rsidRPr="00A8065D">
        <w:rPr>
          <w:rFonts w:ascii="Arial" w:eastAsia="Arial" w:hAnsi="Arial" w:cs="Arial"/>
          <w:color w:val="000000"/>
        </w:rPr>
        <w:t xml:space="preserve">GAUTENG DIVISION, PRETORIA </w:t>
      </w:r>
    </w:p>
    <w:p w14:paraId="4B73C0A9" w14:textId="77777777" w:rsidR="00594DE5" w:rsidRDefault="00594DE5" w:rsidP="00973E9F">
      <w:pPr>
        <w:pStyle w:val="Paragraph12pt"/>
        <w:spacing w:after="0" w:line="240" w:lineRule="auto"/>
      </w:pPr>
    </w:p>
    <w:p w14:paraId="6F3BA00C" w14:textId="48B89157" w:rsidR="0024471B" w:rsidRDefault="0024471B">
      <w:pPr>
        <w:spacing w:after="160" w:line="259" w:lineRule="auto"/>
        <w:rPr>
          <w:rFonts w:ascii="Arial" w:hAnsi="Arial"/>
          <w:szCs w:val="20"/>
          <w:lang w:val="en-ZA" w:eastAsia="ja-JP"/>
        </w:rPr>
      </w:pPr>
      <w:r>
        <w:br w:type="page"/>
      </w:r>
    </w:p>
    <w:p w14:paraId="6BAC9264" w14:textId="77777777" w:rsidR="0024471B" w:rsidRDefault="0024471B" w:rsidP="00A63062">
      <w:pPr>
        <w:pStyle w:val="Paragraph12pt"/>
        <w:spacing w:after="0" w:line="240" w:lineRule="auto"/>
        <w:jc w:val="left"/>
      </w:pPr>
    </w:p>
    <w:p w14:paraId="21605095" w14:textId="12D4227C" w:rsidR="000315F7" w:rsidRDefault="0051403A" w:rsidP="00A63062">
      <w:pPr>
        <w:pStyle w:val="Paragraph12pt"/>
        <w:spacing w:after="0" w:line="240" w:lineRule="auto"/>
        <w:jc w:val="left"/>
      </w:pPr>
      <w:r>
        <w:t>HEARD ON:</w:t>
      </w:r>
      <w:r>
        <w:tab/>
      </w:r>
      <w:r w:rsidR="00A63062">
        <w:tab/>
      </w:r>
      <w:r w:rsidR="00A63062">
        <w:tab/>
      </w:r>
      <w:r w:rsidR="00A63062">
        <w:tab/>
      </w:r>
      <w:r w:rsidR="0024471B">
        <w:t>5 June</w:t>
      </w:r>
      <w:r w:rsidR="003B5150">
        <w:t xml:space="preserve"> 2023</w:t>
      </w:r>
    </w:p>
    <w:p w14:paraId="6EC5111B" w14:textId="00BF2805" w:rsidR="00FA0C61" w:rsidRDefault="00FA0C61" w:rsidP="004F6A2D">
      <w:pPr>
        <w:pStyle w:val="Paragraph12pt"/>
        <w:spacing w:after="0" w:line="240" w:lineRule="auto"/>
        <w:ind w:left="3600" w:hanging="3600"/>
        <w:jc w:val="left"/>
      </w:pPr>
    </w:p>
    <w:p w14:paraId="1B8E4969" w14:textId="334B2213" w:rsidR="004D209A" w:rsidRDefault="0051403A" w:rsidP="004A0E4E">
      <w:pPr>
        <w:pStyle w:val="Paragraph12pt"/>
        <w:spacing w:after="0" w:line="240" w:lineRule="auto"/>
        <w:jc w:val="left"/>
      </w:pPr>
      <w:r>
        <w:t>DECIDED ON:</w:t>
      </w:r>
      <w:r>
        <w:tab/>
      </w:r>
      <w:r w:rsidR="00226B2D">
        <w:tab/>
      </w:r>
      <w:r w:rsidR="00226B2D">
        <w:tab/>
      </w:r>
      <w:r w:rsidR="00F0190A">
        <w:t>5</w:t>
      </w:r>
      <w:r w:rsidR="005226FC">
        <w:t xml:space="preserve"> June 2023</w:t>
      </w:r>
    </w:p>
    <w:p w14:paraId="27A5F16E" w14:textId="77777777" w:rsidR="00B06BF0" w:rsidRDefault="00B06BF0" w:rsidP="00A31389">
      <w:pPr>
        <w:pStyle w:val="Paragraph12pt"/>
        <w:spacing w:after="0" w:line="240" w:lineRule="auto"/>
        <w:jc w:val="left"/>
      </w:pPr>
    </w:p>
    <w:p w14:paraId="6CCA5BC9" w14:textId="71632EED" w:rsidR="00AB0E5C" w:rsidRDefault="0051403A" w:rsidP="00AB0E5C">
      <w:pPr>
        <w:pStyle w:val="Paragraph12pt"/>
        <w:spacing w:after="0" w:line="240" w:lineRule="auto"/>
        <w:jc w:val="left"/>
      </w:pPr>
      <w:r>
        <w:t>For the</w:t>
      </w:r>
      <w:r w:rsidR="00226B2D">
        <w:t xml:space="preserve"> </w:t>
      </w:r>
      <w:r w:rsidR="004A0E4E">
        <w:t>Applicant:</w:t>
      </w:r>
      <w:r>
        <w:t xml:space="preserve"> </w:t>
      </w:r>
      <w:r>
        <w:tab/>
      </w:r>
      <w:r>
        <w:tab/>
      </w:r>
      <w:r>
        <w:tab/>
      </w:r>
      <w:r w:rsidR="00BE619D">
        <w:t>Adv H P Wessels</w:t>
      </w:r>
    </w:p>
    <w:p w14:paraId="40CBF14C" w14:textId="021669EF" w:rsidR="00C00F8A" w:rsidRDefault="004A0E4E" w:rsidP="004A0E4E">
      <w:pPr>
        <w:pStyle w:val="Paragraph12pt"/>
        <w:spacing w:after="0" w:line="240" w:lineRule="auto"/>
        <w:ind w:left="3600"/>
        <w:jc w:val="left"/>
      </w:pPr>
      <w:r>
        <w:t xml:space="preserve">Instructed by </w:t>
      </w:r>
      <w:r w:rsidR="00BE619D">
        <w:t xml:space="preserve">van der Merwe &amp; Associates </w:t>
      </w:r>
    </w:p>
    <w:p w14:paraId="4B3EBF8B" w14:textId="77777777" w:rsidR="000F77C7" w:rsidRDefault="000F77C7" w:rsidP="00B06BF0">
      <w:pPr>
        <w:pStyle w:val="Paragraph12pt"/>
        <w:spacing w:after="0" w:line="240" w:lineRule="auto"/>
        <w:jc w:val="left"/>
      </w:pPr>
    </w:p>
    <w:p w14:paraId="4406F4E9" w14:textId="1A527E1A" w:rsidR="004A0E4E" w:rsidRDefault="004A0E4E" w:rsidP="004D209A">
      <w:pPr>
        <w:pStyle w:val="Paragraph12pt"/>
        <w:spacing w:after="0" w:line="240" w:lineRule="auto"/>
        <w:ind w:left="3600" w:hanging="3600"/>
        <w:jc w:val="left"/>
        <w:rPr>
          <w:lang w:val="en-GB"/>
        </w:rPr>
      </w:pPr>
      <w:r>
        <w:rPr>
          <w:lang w:val="en-GB"/>
        </w:rPr>
        <w:t>For the Respondent:</w:t>
      </w:r>
      <w:r>
        <w:rPr>
          <w:lang w:val="en-GB"/>
        </w:rPr>
        <w:tab/>
      </w:r>
      <w:r w:rsidR="00BE619D">
        <w:rPr>
          <w:lang w:val="en-GB"/>
        </w:rPr>
        <w:t>Adv A P Ellis</w:t>
      </w:r>
    </w:p>
    <w:p w14:paraId="0850CEBC" w14:textId="4ABFC4CC" w:rsidR="004A0E4E" w:rsidRDefault="004A0E4E" w:rsidP="004D209A">
      <w:pPr>
        <w:pStyle w:val="Paragraph12pt"/>
        <w:spacing w:after="0" w:line="240" w:lineRule="auto"/>
        <w:ind w:left="3600" w:hanging="3600"/>
        <w:jc w:val="left"/>
      </w:pPr>
      <w:r>
        <w:rPr>
          <w:lang w:val="en-GB"/>
        </w:rPr>
        <w:tab/>
        <w:t xml:space="preserve">Instructed by </w:t>
      </w:r>
      <w:r w:rsidR="00BE619D">
        <w:rPr>
          <w:lang w:val="en-GB"/>
        </w:rPr>
        <w:t>Morné Coetzee Attorneys</w:t>
      </w:r>
    </w:p>
    <w:p w14:paraId="19D00031" w14:textId="58B094ED" w:rsidR="000F77C7" w:rsidRPr="00B06BF0" w:rsidRDefault="003B5150" w:rsidP="003B5150">
      <w:pPr>
        <w:pStyle w:val="Paragraph12pt"/>
        <w:spacing w:after="0" w:line="240" w:lineRule="auto"/>
        <w:ind w:left="3600" w:hanging="3600"/>
        <w:jc w:val="left"/>
        <w:rPr>
          <w:lang w:val="en-GB"/>
        </w:rPr>
      </w:pPr>
      <w:r>
        <w:tab/>
      </w:r>
    </w:p>
    <w:sectPr w:rsidR="000F77C7" w:rsidRPr="00B06BF0" w:rsidSect="007416C3">
      <w:headerReference w:type="default" r:id="rId9"/>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E9D9A" w14:textId="77777777" w:rsidR="00E05C07" w:rsidRDefault="00E05C07" w:rsidP="00023136">
      <w:r>
        <w:separator/>
      </w:r>
    </w:p>
  </w:endnote>
  <w:endnote w:type="continuationSeparator" w:id="0">
    <w:p w14:paraId="404E6180" w14:textId="77777777" w:rsidR="00E05C07" w:rsidRDefault="00E05C07"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B1D6E" w14:textId="078B3A6C" w:rsidR="005226FC" w:rsidRPr="00E34C05" w:rsidRDefault="005226FC">
    <w:pPr>
      <w:pStyle w:val="Footer"/>
      <w:jc w:val="center"/>
      <w:rPr>
        <w:sz w:val="24"/>
        <w:szCs w:val="24"/>
      </w:rPr>
    </w:pPr>
  </w:p>
  <w:p w14:paraId="2DCAAB9C" w14:textId="77777777" w:rsidR="005226FC" w:rsidRDefault="005226FC"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5FF75" w14:textId="77777777" w:rsidR="00E05C07" w:rsidRDefault="00E05C07" w:rsidP="00023136">
      <w:r>
        <w:separator/>
      </w:r>
    </w:p>
  </w:footnote>
  <w:footnote w:type="continuationSeparator" w:id="0">
    <w:p w14:paraId="195C3834" w14:textId="77777777" w:rsidR="00E05C07" w:rsidRDefault="00E05C07" w:rsidP="00023136">
      <w:r>
        <w:continuationSeparator/>
      </w:r>
    </w:p>
  </w:footnote>
  <w:footnote w:id="1">
    <w:p w14:paraId="4ED30629" w14:textId="7B05D57D" w:rsidR="00AA06EE" w:rsidRDefault="00AA06EE">
      <w:pPr>
        <w:pStyle w:val="FootnoteText"/>
      </w:pPr>
      <w:r>
        <w:rPr>
          <w:rStyle w:val="FootnoteReference"/>
        </w:rPr>
        <w:footnoteRef/>
      </w:r>
      <w:r>
        <w:t xml:space="preserve"> 1981 (4) SA 42 (C) at 48G</w:t>
      </w:r>
    </w:p>
  </w:footnote>
  <w:footnote w:id="2">
    <w:p w14:paraId="6707966F" w14:textId="2523697C" w:rsidR="00AA06EE" w:rsidRPr="00AA06EE" w:rsidRDefault="00AA06EE">
      <w:pPr>
        <w:pStyle w:val="FootnoteText"/>
      </w:pPr>
      <w:r>
        <w:rPr>
          <w:rStyle w:val="FootnoteReference"/>
        </w:rPr>
        <w:footnoteRef/>
      </w:r>
      <w:r>
        <w:t xml:space="preserve"> </w:t>
      </w:r>
      <w:r>
        <w:rPr>
          <w:i/>
        </w:rPr>
        <w:t>Benson</w:t>
      </w:r>
      <w:r>
        <w:t xml:space="preserve"> at 50C</w:t>
      </w:r>
    </w:p>
  </w:footnote>
  <w:footnote w:id="3">
    <w:p w14:paraId="6C8B9F33" w14:textId="7F3A7D79" w:rsidR="00343CED" w:rsidRDefault="00343CED">
      <w:pPr>
        <w:pStyle w:val="FootnoteText"/>
      </w:pPr>
      <w:r>
        <w:rPr>
          <w:rStyle w:val="FootnoteReference"/>
        </w:rPr>
        <w:footnoteRef/>
      </w:r>
      <w:r>
        <w:t xml:space="preserve"> 1999 (2) SA 244 (SCA)</w:t>
      </w:r>
    </w:p>
  </w:footnote>
  <w:footnote w:id="4">
    <w:p w14:paraId="1B259E20" w14:textId="45B870D2" w:rsidR="00A8310A" w:rsidRDefault="00A8310A">
      <w:pPr>
        <w:pStyle w:val="FootnoteText"/>
      </w:pPr>
      <w:r>
        <w:rPr>
          <w:rStyle w:val="FootnoteReference"/>
        </w:rPr>
        <w:footnoteRef/>
      </w:r>
      <w:r>
        <w:t xml:space="preserve"> LAWSA  4(3) LAWSA 2 ED (2014), paragraph 74</w:t>
      </w:r>
    </w:p>
  </w:footnote>
  <w:footnote w:id="5">
    <w:p w14:paraId="12FF90E5" w14:textId="617A2B68" w:rsidR="004A5906" w:rsidRPr="004A5906" w:rsidRDefault="004A5906">
      <w:pPr>
        <w:pStyle w:val="FootnoteText"/>
      </w:pPr>
      <w:r>
        <w:rPr>
          <w:rStyle w:val="FootnoteReference"/>
        </w:rPr>
        <w:footnoteRef/>
      </w:r>
      <w:r>
        <w:t xml:space="preserve"> See </w:t>
      </w:r>
      <w:r>
        <w:rPr>
          <w:i/>
        </w:rPr>
        <w:t>Afgri Operations Limited v Hamba Fleet (Pty) Ltd</w:t>
      </w:r>
      <w:r>
        <w:t xml:space="preserve"> 2022 (1) SA 91 (SCA) at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158588"/>
      <w:docPartObj>
        <w:docPartGallery w:val="Page Numbers (Top of Page)"/>
        <w:docPartUnique/>
      </w:docPartObj>
    </w:sdtPr>
    <w:sdtEndPr>
      <w:rPr>
        <w:noProof/>
      </w:rPr>
    </w:sdtEndPr>
    <w:sdtContent>
      <w:p w14:paraId="3C1E9159" w14:textId="60DB0895" w:rsidR="00BE619D" w:rsidRDefault="00BE619D">
        <w:pPr>
          <w:pStyle w:val="Header"/>
          <w:jc w:val="center"/>
        </w:pPr>
        <w:r>
          <w:fldChar w:fldCharType="begin"/>
        </w:r>
        <w:r>
          <w:instrText xml:space="preserve"> PAGE   \* MERGEFORMAT </w:instrText>
        </w:r>
        <w:r>
          <w:fldChar w:fldCharType="separate"/>
        </w:r>
        <w:r w:rsidR="00931CC2">
          <w:rPr>
            <w:noProof/>
          </w:rPr>
          <w:t>9</w:t>
        </w:r>
        <w:r>
          <w:rPr>
            <w:noProof/>
          </w:rPr>
          <w:fldChar w:fldCharType="end"/>
        </w:r>
      </w:p>
    </w:sdtContent>
  </w:sdt>
  <w:p w14:paraId="4E44B63A" w14:textId="77777777" w:rsidR="00BE619D" w:rsidRDefault="00BE6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nsid w:val="2B220052"/>
    <w:multiLevelType w:val="multilevel"/>
    <w:tmpl w:val="D06E9AF2"/>
    <w:lvl w:ilvl="0">
      <w:start w:val="1"/>
      <w:numFmt w:val="decimal"/>
      <w:lvlText w:val="[%1]"/>
      <w:lvlJc w:val="left"/>
      <w:pPr>
        <w:tabs>
          <w:tab w:val="num" w:pos="851"/>
        </w:tabs>
        <w:ind w:left="851" w:hanging="851"/>
      </w:pPr>
      <w:rPr>
        <w:rFonts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9"/>
  </w:num>
  <w:num w:numId="5">
    <w:abstractNumId w:val="31"/>
  </w:num>
  <w:num w:numId="6">
    <w:abstractNumId w:val="18"/>
  </w:num>
  <w:num w:numId="7">
    <w:abstractNumId w:val="21"/>
  </w:num>
  <w:num w:numId="8">
    <w:abstractNumId w:val="3"/>
  </w:num>
  <w:num w:numId="9">
    <w:abstractNumId w:val="19"/>
  </w:num>
  <w:num w:numId="10">
    <w:abstractNumId w:val="27"/>
  </w:num>
  <w:num w:numId="11">
    <w:abstractNumId w:val="32"/>
  </w:num>
  <w:num w:numId="12">
    <w:abstractNumId w:val="23"/>
  </w:num>
  <w:num w:numId="13">
    <w:abstractNumId w:val="26"/>
  </w:num>
  <w:num w:numId="14">
    <w:abstractNumId w:val="39"/>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9"/>
  </w:num>
  <w:num w:numId="17">
    <w:abstractNumId w:val="33"/>
  </w:num>
  <w:num w:numId="18">
    <w:abstractNumId w:val="17"/>
  </w:num>
  <w:num w:numId="19">
    <w:abstractNumId w:val="3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6"/>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0"/>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6"/>
  </w:num>
  <w:num w:numId="32">
    <w:abstractNumId w:val="34"/>
  </w:num>
  <w:num w:numId="33">
    <w:abstractNumId w:val="24"/>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11"/>
  </w:num>
  <w:num w:numId="39">
    <w:abstractNumId w:val="37"/>
  </w:num>
  <w:num w:numId="40">
    <w:abstractNumId w:val="3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78CF"/>
    <w:rsid w:val="00007909"/>
    <w:rsid w:val="0001207E"/>
    <w:rsid w:val="000142F6"/>
    <w:rsid w:val="00016FD5"/>
    <w:rsid w:val="000175D2"/>
    <w:rsid w:val="00020278"/>
    <w:rsid w:val="000227EB"/>
    <w:rsid w:val="00022A59"/>
    <w:rsid w:val="00023136"/>
    <w:rsid w:val="000242E6"/>
    <w:rsid w:val="00025BD3"/>
    <w:rsid w:val="00025CAF"/>
    <w:rsid w:val="000271F7"/>
    <w:rsid w:val="0002756E"/>
    <w:rsid w:val="000315F7"/>
    <w:rsid w:val="00032CF6"/>
    <w:rsid w:val="00032FF8"/>
    <w:rsid w:val="0003308F"/>
    <w:rsid w:val="00035C84"/>
    <w:rsid w:val="00035D43"/>
    <w:rsid w:val="0003611F"/>
    <w:rsid w:val="00037B84"/>
    <w:rsid w:val="000419C2"/>
    <w:rsid w:val="000420E9"/>
    <w:rsid w:val="000438D7"/>
    <w:rsid w:val="00044F54"/>
    <w:rsid w:val="00044F81"/>
    <w:rsid w:val="000458A6"/>
    <w:rsid w:val="00046872"/>
    <w:rsid w:val="00047880"/>
    <w:rsid w:val="00047A21"/>
    <w:rsid w:val="000528BA"/>
    <w:rsid w:val="00053C2B"/>
    <w:rsid w:val="00054B4E"/>
    <w:rsid w:val="00055586"/>
    <w:rsid w:val="000559FB"/>
    <w:rsid w:val="000607DF"/>
    <w:rsid w:val="000610BF"/>
    <w:rsid w:val="00061450"/>
    <w:rsid w:val="0006303F"/>
    <w:rsid w:val="000649FE"/>
    <w:rsid w:val="000739D3"/>
    <w:rsid w:val="00073EA4"/>
    <w:rsid w:val="000777D8"/>
    <w:rsid w:val="00080804"/>
    <w:rsid w:val="000814E5"/>
    <w:rsid w:val="00081A58"/>
    <w:rsid w:val="000827F8"/>
    <w:rsid w:val="00082D7A"/>
    <w:rsid w:val="0008326D"/>
    <w:rsid w:val="000834C6"/>
    <w:rsid w:val="00084C3D"/>
    <w:rsid w:val="00084ED7"/>
    <w:rsid w:val="00085056"/>
    <w:rsid w:val="00086307"/>
    <w:rsid w:val="00086B11"/>
    <w:rsid w:val="00090691"/>
    <w:rsid w:val="000907F6"/>
    <w:rsid w:val="00091E84"/>
    <w:rsid w:val="00091FC7"/>
    <w:rsid w:val="00092644"/>
    <w:rsid w:val="00094A3E"/>
    <w:rsid w:val="0009673F"/>
    <w:rsid w:val="00097961"/>
    <w:rsid w:val="000A002D"/>
    <w:rsid w:val="000A02A8"/>
    <w:rsid w:val="000A108F"/>
    <w:rsid w:val="000A17A7"/>
    <w:rsid w:val="000A2F1E"/>
    <w:rsid w:val="000A346F"/>
    <w:rsid w:val="000A5C36"/>
    <w:rsid w:val="000A5D41"/>
    <w:rsid w:val="000A63B7"/>
    <w:rsid w:val="000A67F2"/>
    <w:rsid w:val="000A6CCE"/>
    <w:rsid w:val="000A6DE9"/>
    <w:rsid w:val="000A7A01"/>
    <w:rsid w:val="000A7E6C"/>
    <w:rsid w:val="000B0260"/>
    <w:rsid w:val="000B0F27"/>
    <w:rsid w:val="000B1A09"/>
    <w:rsid w:val="000B23EA"/>
    <w:rsid w:val="000B433A"/>
    <w:rsid w:val="000B6B3F"/>
    <w:rsid w:val="000C0419"/>
    <w:rsid w:val="000C111B"/>
    <w:rsid w:val="000C520A"/>
    <w:rsid w:val="000C5F37"/>
    <w:rsid w:val="000C7667"/>
    <w:rsid w:val="000D0125"/>
    <w:rsid w:val="000D0844"/>
    <w:rsid w:val="000D1822"/>
    <w:rsid w:val="000D4AB1"/>
    <w:rsid w:val="000D4C35"/>
    <w:rsid w:val="000D54BF"/>
    <w:rsid w:val="000D716E"/>
    <w:rsid w:val="000D7679"/>
    <w:rsid w:val="000E0FCE"/>
    <w:rsid w:val="000E118F"/>
    <w:rsid w:val="000E15F1"/>
    <w:rsid w:val="000E2B7C"/>
    <w:rsid w:val="000E3412"/>
    <w:rsid w:val="000E799F"/>
    <w:rsid w:val="000F0A27"/>
    <w:rsid w:val="000F1501"/>
    <w:rsid w:val="000F4D80"/>
    <w:rsid w:val="000F4FA4"/>
    <w:rsid w:val="000F77C7"/>
    <w:rsid w:val="00102D51"/>
    <w:rsid w:val="0010320B"/>
    <w:rsid w:val="001049AD"/>
    <w:rsid w:val="001052DD"/>
    <w:rsid w:val="001056E1"/>
    <w:rsid w:val="00105EBE"/>
    <w:rsid w:val="001078E4"/>
    <w:rsid w:val="001079A9"/>
    <w:rsid w:val="00112426"/>
    <w:rsid w:val="0011340A"/>
    <w:rsid w:val="00117216"/>
    <w:rsid w:val="0012007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E50"/>
    <w:rsid w:val="001446DD"/>
    <w:rsid w:val="0014691E"/>
    <w:rsid w:val="00147CF8"/>
    <w:rsid w:val="001505EB"/>
    <w:rsid w:val="00150CA8"/>
    <w:rsid w:val="0015187C"/>
    <w:rsid w:val="00154598"/>
    <w:rsid w:val="001559B6"/>
    <w:rsid w:val="00156C9A"/>
    <w:rsid w:val="00157307"/>
    <w:rsid w:val="00157DC4"/>
    <w:rsid w:val="0016022C"/>
    <w:rsid w:val="001606DC"/>
    <w:rsid w:val="00160B29"/>
    <w:rsid w:val="001619C7"/>
    <w:rsid w:val="0016237E"/>
    <w:rsid w:val="001625E9"/>
    <w:rsid w:val="0016547C"/>
    <w:rsid w:val="00166B77"/>
    <w:rsid w:val="00167627"/>
    <w:rsid w:val="00167FFD"/>
    <w:rsid w:val="0017083E"/>
    <w:rsid w:val="00170977"/>
    <w:rsid w:val="00174EB2"/>
    <w:rsid w:val="0017523E"/>
    <w:rsid w:val="00175BBE"/>
    <w:rsid w:val="00175F4F"/>
    <w:rsid w:val="0017623F"/>
    <w:rsid w:val="00176D1F"/>
    <w:rsid w:val="00177EE4"/>
    <w:rsid w:val="00181A11"/>
    <w:rsid w:val="00183089"/>
    <w:rsid w:val="00183346"/>
    <w:rsid w:val="00185028"/>
    <w:rsid w:val="00186C6C"/>
    <w:rsid w:val="00186FF2"/>
    <w:rsid w:val="0019057E"/>
    <w:rsid w:val="00192954"/>
    <w:rsid w:val="00193C5C"/>
    <w:rsid w:val="001951AD"/>
    <w:rsid w:val="001A07D0"/>
    <w:rsid w:val="001A143C"/>
    <w:rsid w:val="001A16EA"/>
    <w:rsid w:val="001A1D01"/>
    <w:rsid w:val="001A462C"/>
    <w:rsid w:val="001A4DA6"/>
    <w:rsid w:val="001A532C"/>
    <w:rsid w:val="001A6922"/>
    <w:rsid w:val="001A7483"/>
    <w:rsid w:val="001B011B"/>
    <w:rsid w:val="001B0CD4"/>
    <w:rsid w:val="001B29BB"/>
    <w:rsid w:val="001B50EB"/>
    <w:rsid w:val="001B595B"/>
    <w:rsid w:val="001B5F23"/>
    <w:rsid w:val="001C0737"/>
    <w:rsid w:val="001C0CE2"/>
    <w:rsid w:val="001C2122"/>
    <w:rsid w:val="001C30FF"/>
    <w:rsid w:val="001C324E"/>
    <w:rsid w:val="001C3CEE"/>
    <w:rsid w:val="001C4DBE"/>
    <w:rsid w:val="001C4F4C"/>
    <w:rsid w:val="001C63A0"/>
    <w:rsid w:val="001D248E"/>
    <w:rsid w:val="001D2DAF"/>
    <w:rsid w:val="001D351D"/>
    <w:rsid w:val="001D54BC"/>
    <w:rsid w:val="001D77DF"/>
    <w:rsid w:val="001E0C36"/>
    <w:rsid w:val="001E3C28"/>
    <w:rsid w:val="001E4132"/>
    <w:rsid w:val="001E413C"/>
    <w:rsid w:val="001E4400"/>
    <w:rsid w:val="001E450F"/>
    <w:rsid w:val="001E4520"/>
    <w:rsid w:val="001E4F79"/>
    <w:rsid w:val="001E5F6A"/>
    <w:rsid w:val="001E699D"/>
    <w:rsid w:val="001E7CC4"/>
    <w:rsid w:val="001F0ED5"/>
    <w:rsid w:val="001F2896"/>
    <w:rsid w:val="001F28EE"/>
    <w:rsid w:val="001F3681"/>
    <w:rsid w:val="001F3A43"/>
    <w:rsid w:val="001F4149"/>
    <w:rsid w:val="001F4842"/>
    <w:rsid w:val="001F4CC9"/>
    <w:rsid w:val="001F6B3A"/>
    <w:rsid w:val="001F727F"/>
    <w:rsid w:val="001F799C"/>
    <w:rsid w:val="00204A99"/>
    <w:rsid w:val="00204F2B"/>
    <w:rsid w:val="002055DF"/>
    <w:rsid w:val="00207C68"/>
    <w:rsid w:val="002115A6"/>
    <w:rsid w:val="002115E1"/>
    <w:rsid w:val="002115F6"/>
    <w:rsid w:val="00213078"/>
    <w:rsid w:val="00215B41"/>
    <w:rsid w:val="00217A4E"/>
    <w:rsid w:val="00220654"/>
    <w:rsid w:val="0022152D"/>
    <w:rsid w:val="00224200"/>
    <w:rsid w:val="00225614"/>
    <w:rsid w:val="00225EF9"/>
    <w:rsid w:val="00226B2D"/>
    <w:rsid w:val="00235ED1"/>
    <w:rsid w:val="002377F5"/>
    <w:rsid w:val="00237B58"/>
    <w:rsid w:val="00241005"/>
    <w:rsid w:val="002420C3"/>
    <w:rsid w:val="00242954"/>
    <w:rsid w:val="00242C0C"/>
    <w:rsid w:val="0024471B"/>
    <w:rsid w:val="00244DB2"/>
    <w:rsid w:val="002457FF"/>
    <w:rsid w:val="00246AB3"/>
    <w:rsid w:val="00246BE5"/>
    <w:rsid w:val="00247F5A"/>
    <w:rsid w:val="00251CBA"/>
    <w:rsid w:val="0025235A"/>
    <w:rsid w:val="002523B1"/>
    <w:rsid w:val="002539AA"/>
    <w:rsid w:val="00254775"/>
    <w:rsid w:val="002552E0"/>
    <w:rsid w:val="00255A2A"/>
    <w:rsid w:val="002564F7"/>
    <w:rsid w:val="002566CB"/>
    <w:rsid w:val="00257ED1"/>
    <w:rsid w:val="002704AE"/>
    <w:rsid w:val="00271DB2"/>
    <w:rsid w:val="002739CC"/>
    <w:rsid w:val="00274E16"/>
    <w:rsid w:val="0027676E"/>
    <w:rsid w:val="002769E1"/>
    <w:rsid w:val="00277325"/>
    <w:rsid w:val="00281207"/>
    <w:rsid w:val="00281E6E"/>
    <w:rsid w:val="0028361E"/>
    <w:rsid w:val="00283797"/>
    <w:rsid w:val="00283D24"/>
    <w:rsid w:val="00290383"/>
    <w:rsid w:val="00290C1B"/>
    <w:rsid w:val="00291174"/>
    <w:rsid w:val="00291B14"/>
    <w:rsid w:val="002927AF"/>
    <w:rsid w:val="00292C2F"/>
    <w:rsid w:val="002937B0"/>
    <w:rsid w:val="00294B0B"/>
    <w:rsid w:val="00295341"/>
    <w:rsid w:val="0029536E"/>
    <w:rsid w:val="002A30D3"/>
    <w:rsid w:val="002A33F4"/>
    <w:rsid w:val="002A6607"/>
    <w:rsid w:val="002B021B"/>
    <w:rsid w:val="002B02F1"/>
    <w:rsid w:val="002B0351"/>
    <w:rsid w:val="002B30C6"/>
    <w:rsid w:val="002B4772"/>
    <w:rsid w:val="002B485D"/>
    <w:rsid w:val="002B4A76"/>
    <w:rsid w:val="002B5548"/>
    <w:rsid w:val="002B6285"/>
    <w:rsid w:val="002B6DE9"/>
    <w:rsid w:val="002C0728"/>
    <w:rsid w:val="002C14FA"/>
    <w:rsid w:val="002C16B4"/>
    <w:rsid w:val="002C1A93"/>
    <w:rsid w:val="002C2A8D"/>
    <w:rsid w:val="002C47F5"/>
    <w:rsid w:val="002C4C5A"/>
    <w:rsid w:val="002C58DD"/>
    <w:rsid w:val="002C6C6E"/>
    <w:rsid w:val="002D0141"/>
    <w:rsid w:val="002D1911"/>
    <w:rsid w:val="002D4B37"/>
    <w:rsid w:val="002D4EC2"/>
    <w:rsid w:val="002D5667"/>
    <w:rsid w:val="002D701F"/>
    <w:rsid w:val="002D7817"/>
    <w:rsid w:val="002E0238"/>
    <w:rsid w:val="002E2969"/>
    <w:rsid w:val="002E2B97"/>
    <w:rsid w:val="002E3F5D"/>
    <w:rsid w:val="002E5C39"/>
    <w:rsid w:val="002E62BD"/>
    <w:rsid w:val="002E7E63"/>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5097"/>
    <w:rsid w:val="003051AE"/>
    <w:rsid w:val="003059D9"/>
    <w:rsid w:val="00305E0F"/>
    <w:rsid w:val="003100CB"/>
    <w:rsid w:val="00310523"/>
    <w:rsid w:val="00312F1C"/>
    <w:rsid w:val="003130AF"/>
    <w:rsid w:val="0031589B"/>
    <w:rsid w:val="0031632A"/>
    <w:rsid w:val="003178C5"/>
    <w:rsid w:val="00321A27"/>
    <w:rsid w:val="003239E3"/>
    <w:rsid w:val="00323CC5"/>
    <w:rsid w:val="00324ABF"/>
    <w:rsid w:val="003257D4"/>
    <w:rsid w:val="00330567"/>
    <w:rsid w:val="00331120"/>
    <w:rsid w:val="00331296"/>
    <w:rsid w:val="00331601"/>
    <w:rsid w:val="003318DA"/>
    <w:rsid w:val="00335B03"/>
    <w:rsid w:val="00336589"/>
    <w:rsid w:val="00336644"/>
    <w:rsid w:val="00336D7B"/>
    <w:rsid w:val="00336EBA"/>
    <w:rsid w:val="003379AB"/>
    <w:rsid w:val="003422F0"/>
    <w:rsid w:val="00343CED"/>
    <w:rsid w:val="003441A3"/>
    <w:rsid w:val="003442CA"/>
    <w:rsid w:val="0034660F"/>
    <w:rsid w:val="00350C7E"/>
    <w:rsid w:val="00351249"/>
    <w:rsid w:val="003537AA"/>
    <w:rsid w:val="00354471"/>
    <w:rsid w:val="00354BAC"/>
    <w:rsid w:val="003554E6"/>
    <w:rsid w:val="00355802"/>
    <w:rsid w:val="00355CE6"/>
    <w:rsid w:val="00355D85"/>
    <w:rsid w:val="00357647"/>
    <w:rsid w:val="00360569"/>
    <w:rsid w:val="003610CA"/>
    <w:rsid w:val="00361553"/>
    <w:rsid w:val="00361B23"/>
    <w:rsid w:val="0036237F"/>
    <w:rsid w:val="003630F5"/>
    <w:rsid w:val="00364F74"/>
    <w:rsid w:val="00366969"/>
    <w:rsid w:val="00371110"/>
    <w:rsid w:val="00371284"/>
    <w:rsid w:val="00372C1E"/>
    <w:rsid w:val="00375125"/>
    <w:rsid w:val="0037538A"/>
    <w:rsid w:val="00376473"/>
    <w:rsid w:val="00377ADF"/>
    <w:rsid w:val="00377BF0"/>
    <w:rsid w:val="00377C65"/>
    <w:rsid w:val="00381046"/>
    <w:rsid w:val="0038112D"/>
    <w:rsid w:val="00381FD3"/>
    <w:rsid w:val="00382141"/>
    <w:rsid w:val="00382F43"/>
    <w:rsid w:val="0038320D"/>
    <w:rsid w:val="003834BD"/>
    <w:rsid w:val="003857A0"/>
    <w:rsid w:val="00385CE3"/>
    <w:rsid w:val="0038630D"/>
    <w:rsid w:val="0038727F"/>
    <w:rsid w:val="0038751A"/>
    <w:rsid w:val="00387983"/>
    <w:rsid w:val="00390062"/>
    <w:rsid w:val="003900FB"/>
    <w:rsid w:val="003908EC"/>
    <w:rsid w:val="00392DB5"/>
    <w:rsid w:val="00393310"/>
    <w:rsid w:val="00393838"/>
    <w:rsid w:val="003966CC"/>
    <w:rsid w:val="00396EED"/>
    <w:rsid w:val="00396FC9"/>
    <w:rsid w:val="00397185"/>
    <w:rsid w:val="003A12FA"/>
    <w:rsid w:val="003A6A44"/>
    <w:rsid w:val="003A6D47"/>
    <w:rsid w:val="003B1DBF"/>
    <w:rsid w:val="003B2874"/>
    <w:rsid w:val="003B2A56"/>
    <w:rsid w:val="003B5150"/>
    <w:rsid w:val="003B58F0"/>
    <w:rsid w:val="003B6888"/>
    <w:rsid w:val="003B782C"/>
    <w:rsid w:val="003C0ED3"/>
    <w:rsid w:val="003C0F51"/>
    <w:rsid w:val="003C16CF"/>
    <w:rsid w:val="003C3125"/>
    <w:rsid w:val="003C499A"/>
    <w:rsid w:val="003C5B1A"/>
    <w:rsid w:val="003C5BCF"/>
    <w:rsid w:val="003C7B79"/>
    <w:rsid w:val="003C7F90"/>
    <w:rsid w:val="003D051F"/>
    <w:rsid w:val="003D0ECF"/>
    <w:rsid w:val="003D1021"/>
    <w:rsid w:val="003D17F4"/>
    <w:rsid w:val="003D1CC4"/>
    <w:rsid w:val="003D3CB5"/>
    <w:rsid w:val="003D413C"/>
    <w:rsid w:val="003D4D89"/>
    <w:rsid w:val="003D54F8"/>
    <w:rsid w:val="003D6095"/>
    <w:rsid w:val="003D6C09"/>
    <w:rsid w:val="003D711A"/>
    <w:rsid w:val="003D7413"/>
    <w:rsid w:val="003E0BF9"/>
    <w:rsid w:val="003E1C14"/>
    <w:rsid w:val="003E3D71"/>
    <w:rsid w:val="003E447A"/>
    <w:rsid w:val="003E4CA1"/>
    <w:rsid w:val="003E4F7C"/>
    <w:rsid w:val="003E53E5"/>
    <w:rsid w:val="003E6414"/>
    <w:rsid w:val="003E6E82"/>
    <w:rsid w:val="003E7D6C"/>
    <w:rsid w:val="003F1DB2"/>
    <w:rsid w:val="003F2743"/>
    <w:rsid w:val="003F4D3A"/>
    <w:rsid w:val="003F65F3"/>
    <w:rsid w:val="003F73A7"/>
    <w:rsid w:val="003F75BB"/>
    <w:rsid w:val="003F7952"/>
    <w:rsid w:val="0040019C"/>
    <w:rsid w:val="0040054A"/>
    <w:rsid w:val="004019D1"/>
    <w:rsid w:val="00401BA1"/>
    <w:rsid w:val="004025B7"/>
    <w:rsid w:val="00403723"/>
    <w:rsid w:val="00403FFC"/>
    <w:rsid w:val="004042FF"/>
    <w:rsid w:val="0041099B"/>
    <w:rsid w:val="00413484"/>
    <w:rsid w:val="004138DE"/>
    <w:rsid w:val="00414A43"/>
    <w:rsid w:val="004154E2"/>
    <w:rsid w:val="00416719"/>
    <w:rsid w:val="0042093E"/>
    <w:rsid w:val="00421357"/>
    <w:rsid w:val="0042272B"/>
    <w:rsid w:val="0042290C"/>
    <w:rsid w:val="00423481"/>
    <w:rsid w:val="00424137"/>
    <w:rsid w:val="004244E1"/>
    <w:rsid w:val="00426F8B"/>
    <w:rsid w:val="00432FDB"/>
    <w:rsid w:val="00433EBD"/>
    <w:rsid w:val="004405D8"/>
    <w:rsid w:val="00440BFC"/>
    <w:rsid w:val="0044115D"/>
    <w:rsid w:val="004415B7"/>
    <w:rsid w:val="004419F5"/>
    <w:rsid w:val="00442213"/>
    <w:rsid w:val="0044241E"/>
    <w:rsid w:val="00442E62"/>
    <w:rsid w:val="00443F19"/>
    <w:rsid w:val="00444593"/>
    <w:rsid w:val="00444CE8"/>
    <w:rsid w:val="00445605"/>
    <w:rsid w:val="00445BDD"/>
    <w:rsid w:val="00451274"/>
    <w:rsid w:val="0045186E"/>
    <w:rsid w:val="00451E8D"/>
    <w:rsid w:val="00453B1F"/>
    <w:rsid w:val="00453DDF"/>
    <w:rsid w:val="00454560"/>
    <w:rsid w:val="00456455"/>
    <w:rsid w:val="0046049B"/>
    <w:rsid w:val="00462885"/>
    <w:rsid w:val="0046498E"/>
    <w:rsid w:val="004656AB"/>
    <w:rsid w:val="00466803"/>
    <w:rsid w:val="00467186"/>
    <w:rsid w:val="004701EE"/>
    <w:rsid w:val="00470660"/>
    <w:rsid w:val="00470703"/>
    <w:rsid w:val="00472029"/>
    <w:rsid w:val="004728FC"/>
    <w:rsid w:val="00473766"/>
    <w:rsid w:val="00473C00"/>
    <w:rsid w:val="004740CD"/>
    <w:rsid w:val="00474D78"/>
    <w:rsid w:val="00475201"/>
    <w:rsid w:val="00477028"/>
    <w:rsid w:val="00477127"/>
    <w:rsid w:val="0048014C"/>
    <w:rsid w:val="00480203"/>
    <w:rsid w:val="00485754"/>
    <w:rsid w:val="00486242"/>
    <w:rsid w:val="00490019"/>
    <w:rsid w:val="00491A30"/>
    <w:rsid w:val="00492262"/>
    <w:rsid w:val="00493F3D"/>
    <w:rsid w:val="004945EF"/>
    <w:rsid w:val="004946EC"/>
    <w:rsid w:val="00494D5A"/>
    <w:rsid w:val="00496DF0"/>
    <w:rsid w:val="0049771D"/>
    <w:rsid w:val="00497AFE"/>
    <w:rsid w:val="004A0E4E"/>
    <w:rsid w:val="004A105A"/>
    <w:rsid w:val="004A2C32"/>
    <w:rsid w:val="004A2C8C"/>
    <w:rsid w:val="004A3077"/>
    <w:rsid w:val="004A3209"/>
    <w:rsid w:val="004A32DC"/>
    <w:rsid w:val="004A4575"/>
    <w:rsid w:val="004A5906"/>
    <w:rsid w:val="004B0356"/>
    <w:rsid w:val="004B0906"/>
    <w:rsid w:val="004B1002"/>
    <w:rsid w:val="004B36F4"/>
    <w:rsid w:val="004B5424"/>
    <w:rsid w:val="004B615F"/>
    <w:rsid w:val="004B631C"/>
    <w:rsid w:val="004B6C09"/>
    <w:rsid w:val="004B72E9"/>
    <w:rsid w:val="004C0A7B"/>
    <w:rsid w:val="004C2C11"/>
    <w:rsid w:val="004C318D"/>
    <w:rsid w:val="004C7405"/>
    <w:rsid w:val="004D0A7F"/>
    <w:rsid w:val="004D209A"/>
    <w:rsid w:val="004D37DE"/>
    <w:rsid w:val="004D5A6B"/>
    <w:rsid w:val="004D7372"/>
    <w:rsid w:val="004E02F6"/>
    <w:rsid w:val="004E0D2A"/>
    <w:rsid w:val="004E3E99"/>
    <w:rsid w:val="004E435D"/>
    <w:rsid w:val="004E4AF7"/>
    <w:rsid w:val="004F103A"/>
    <w:rsid w:val="004F17B7"/>
    <w:rsid w:val="004F1F85"/>
    <w:rsid w:val="004F2C17"/>
    <w:rsid w:val="004F351A"/>
    <w:rsid w:val="004F4F7E"/>
    <w:rsid w:val="004F5837"/>
    <w:rsid w:val="004F5B65"/>
    <w:rsid w:val="004F6152"/>
    <w:rsid w:val="004F6614"/>
    <w:rsid w:val="004F6A2D"/>
    <w:rsid w:val="004F6B70"/>
    <w:rsid w:val="005000FC"/>
    <w:rsid w:val="0050027D"/>
    <w:rsid w:val="00500760"/>
    <w:rsid w:val="00502403"/>
    <w:rsid w:val="00503094"/>
    <w:rsid w:val="00505088"/>
    <w:rsid w:val="00507434"/>
    <w:rsid w:val="005106AD"/>
    <w:rsid w:val="00511F87"/>
    <w:rsid w:val="0051403A"/>
    <w:rsid w:val="005152CE"/>
    <w:rsid w:val="00515D76"/>
    <w:rsid w:val="00520C15"/>
    <w:rsid w:val="00521A6F"/>
    <w:rsid w:val="005226FC"/>
    <w:rsid w:val="00522C54"/>
    <w:rsid w:val="00523907"/>
    <w:rsid w:val="005240A6"/>
    <w:rsid w:val="00524A8D"/>
    <w:rsid w:val="00526D55"/>
    <w:rsid w:val="005271E9"/>
    <w:rsid w:val="00527861"/>
    <w:rsid w:val="00531F76"/>
    <w:rsid w:val="005330CF"/>
    <w:rsid w:val="00533927"/>
    <w:rsid w:val="00533AFF"/>
    <w:rsid w:val="005342E1"/>
    <w:rsid w:val="00534EEF"/>
    <w:rsid w:val="00534FF1"/>
    <w:rsid w:val="005357B8"/>
    <w:rsid w:val="0053646E"/>
    <w:rsid w:val="005425DC"/>
    <w:rsid w:val="00542E2F"/>
    <w:rsid w:val="00544704"/>
    <w:rsid w:val="00544A2E"/>
    <w:rsid w:val="005457EA"/>
    <w:rsid w:val="00545F51"/>
    <w:rsid w:val="005461E8"/>
    <w:rsid w:val="0055038F"/>
    <w:rsid w:val="00551283"/>
    <w:rsid w:val="00553141"/>
    <w:rsid w:val="00553322"/>
    <w:rsid w:val="005537EC"/>
    <w:rsid w:val="005539D4"/>
    <w:rsid w:val="0055516E"/>
    <w:rsid w:val="00555925"/>
    <w:rsid w:val="0055620E"/>
    <w:rsid w:val="00557A6D"/>
    <w:rsid w:val="00557C67"/>
    <w:rsid w:val="005607C0"/>
    <w:rsid w:val="00561119"/>
    <w:rsid w:val="00561816"/>
    <w:rsid w:val="00562A60"/>
    <w:rsid w:val="00562C44"/>
    <w:rsid w:val="0056353E"/>
    <w:rsid w:val="00563768"/>
    <w:rsid w:val="00563CAD"/>
    <w:rsid w:val="0056532E"/>
    <w:rsid w:val="0056587F"/>
    <w:rsid w:val="00567057"/>
    <w:rsid w:val="005672F3"/>
    <w:rsid w:val="0057137B"/>
    <w:rsid w:val="00572941"/>
    <w:rsid w:val="005731DB"/>
    <w:rsid w:val="0057332F"/>
    <w:rsid w:val="00576C1A"/>
    <w:rsid w:val="0058158A"/>
    <w:rsid w:val="00581DDF"/>
    <w:rsid w:val="00582AC3"/>
    <w:rsid w:val="0058373C"/>
    <w:rsid w:val="00583C1D"/>
    <w:rsid w:val="00585A9C"/>
    <w:rsid w:val="00586068"/>
    <w:rsid w:val="005861E0"/>
    <w:rsid w:val="005867B9"/>
    <w:rsid w:val="0058697E"/>
    <w:rsid w:val="00587A48"/>
    <w:rsid w:val="00587D3E"/>
    <w:rsid w:val="005901C0"/>
    <w:rsid w:val="005906E6"/>
    <w:rsid w:val="00590BC1"/>
    <w:rsid w:val="00591864"/>
    <w:rsid w:val="00592870"/>
    <w:rsid w:val="00593432"/>
    <w:rsid w:val="00594DE5"/>
    <w:rsid w:val="00596BD2"/>
    <w:rsid w:val="0059713B"/>
    <w:rsid w:val="005A032A"/>
    <w:rsid w:val="005A0910"/>
    <w:rsid w:val="005A2316"/>
    <w:rsid w:val="005A6E16"/>
    <w:rsid w:val="005A6F5A"/>
    <w:rsid w:val="005A7F6E"/>
    <w:rsid w:val="005B06DE"/>
    <w:rsid w:val="005B2AA2"/>
    <w:rsid w:val="005B3125"/>
    <w:rsid w:val="005B3FB7"/>
    <w:rsid w:val="005B43A5"/>
    <w:rsid w:val="005B577C"/>
    <w:rsid w:val="005B6074"/>
    <w:rsid w:val="005B7564"/>
    <w:rsid w:val="005B7F63"/>
    <w:rsid w:val="005C0D5D"/>
    <w:rsid w:val="005C36D6"/>
    <w:rsid w:val="005C3847"/>
    <w:rsid w:val="005C429C"/>
    <w:rsid w:val="005C4A01"/>
    <w:rsid w:val="005C73B3"/>
    <w:rsid w:val="005D0973"/>
    <w:rsid w:val="005D170D"/>
    <w:rsid w:val="005D2223"/>
    <w:rsid w:val="005D2E79"/>
    <w:rsid w:val="005D2EA5"/>
    <w:rsid w:val="005D4360"/>
    <w:rsid w:val="005D4A9F"/>
    <w:rsid w:val="005D6269"/>
    <w:rsid w:val="005D7499"/>
    <w:rsid w:val="005D758A"/>
    <w:rsid w:val="005E3A9A"/>
    <w:rsid w:val="005E3B15"/>
    <w:rsid w:val="005E4E43"/>
    <w:rsid w:val="005E661B"/>
    <w:rsid w:val="005E6A50"/>
    <w:rsid w:val="005F0D75"/>
    <w:rsid w:val="005F207D"/>
    <w:rsid w:val="005F2BF3"/>
    <w:rsid w:val="005F33BD"/>
    <w:rsid w:val="005F383B"/>
    <w:rsid w:val="005F3907"/>
    <w:rsid w:val="005F3BD6"/>
    <w:rsid w:val="005F4947"/>
    <w:rsid w:val="005F5290"/>
    <w:rsid w:val="005F6B9E"/>
    <w:rsid w:val="0060002C"/>
    <w:rsid w:val="0060137B"/>
    <w:rsid w:val="00601D93"/>
    <w:rsid w:val="0060211F"/>
    <w:rsid w:val="0060226C"/>
    <w:rsid w:val="00602762"/>
    <w:rsid w:val="006029D8"/>
    <w:rsid w:val="00606A42"/>
    <w:rsid w:val="0061057F"/>
    <w:rsid w:val="006114B3"/>
    <w:rsid w:val="00611631"/>
    <w:rsid w:val="00611B2A"/>
    <w:rsid w:val="006127D0"/>
    <w:rsid w:val="00612A04"/>
    <w:rsid w:val="00612BDE"/>
    <w:rsid w:val="00612DD1"/>
    <w:rsid w:val="00612F21"/>
    <w:rsid w:val="00613FE8"/>
    <w:rsid w:val="006141E3"/>
    <w:rsid w:val="00614B3E"/>
    <w:rsid w:val="00614D8C"/>
    <w:rsid w:val="00616283"/>
    <w:rsid w:val="00616C95"/>
    <w:rsid w:val="006170C0"/>
    <w:rsid w:val="00617EFF"/>
    <w:rsid w:val="00620788"/>
    <w:rsid w:val="00621553"/>
    <w:rsid w:val="00622C6A"/>
    <w:rsid w:val="00623177"/>
    <w:rsid w:val="00623E41"/>
    <w:rsid w:val="006243C2"/>
    <w:rsid w:val="00626069"/>
    <w:rsid w:val="00627EA9"/>
    <w:rsid w:val="0063031C"/>
    <w:rsid w:val="00632912"/>
    <w:rsid w:val="00636146"/>
    <w:rsid w:val="00636596"/>
    <w:rsid w:val="006368E1"/>
    <w:rsid w:val="006368E3"/>
    <w:rsid w:val="00640A3B"/>
    <w:rsid w:val="006414D1"/>
    <w:rsid w:val="006454F7"/>
    <w:rsid w:val="00645C75"/>
    <w:rsid w:val="006478AB"/>
    <w:rsid w:val="0065107D"/>
    <w:rsid w:val="00651D8A"/>
    <w:rsid w:val="006520E4"/>
    <w:rsid w:val="00655D46"/>
    <w:rsid w:val="00656231"/>
    <w:rsid w:val="00656306"/>
    <w:rsid w:val="0065650F"/>
    <w:rsid w:val="00657395"/>
    <w:rsid w:val="00657EEC"/>
    <w:rsid w:val="0066135C"/>
    <w:rsid w:val="006644DC"/>
    <w:rsid w:val="006649BB"/>
    <w:rsid w:val="00666F66"/>
    <w:rsid w:val="00667036"/>
    <w:rsid w:val="00667B82"/>
    <w:rsid w:val="00667FED"/>
    <w:rsid w:val="00667FFB"/>
    <w:rsid w:val="006710E5"/>
    <w:rsid w:val="00671776"/>
    <w:rsid w:val="00672DEE"/>
    <w:rsid w:val="00675417"/>
    <w:rsid w:val="006761B3"/>
    <w:rsid w:val="00676666"/>
    <w:rsid w:val="00676B87"/>
    <w:rsid w:val="00677356"/>
    <w:rsid w:val="006775AE"/>
    <w:rsid w:val="00680A88"/>
    <w:rsid w:val="00680F44"/>
    <w:rsid w:val="00681608"/>
    <w:rsid w:val="00684366"/>
    <w:rsid w:val="00687164"/>
    <w:rsid w:val="0068746C"/>
    <w:rsid w:val="00687614"/>
    <w:rsid w:val="006918A4"/>
    <w:rsid w:val="00692473"/>
    <w:rsid w:val="00692F19"/>
    <w:rsid w:val="00693824"/>
    <w:rsid w:val="00693B36"/>
    <w:rsid w:val="00695D5F"/>
    <w:rsid w:val="00695DAE"/>
    <w:rsid w:val="006960BB"/>
    <w:rsid w:val="00696305"/>
    <w:rsid w:val="0069648D"/>
    <w:rsid w:val="00696F8C"/>
    <w:rsid w:val="00697231"/>
    <w:rsid w:val="006A0935"/>
    <w:rsid w:val="006A14D2"/>
    <w:rsid w:val="006A27F4"/>
    <w:rsid w:val="006A4261"/>
    <w:rsid w:val="006B0082"/>
    <w:rsid w:val="006B0801"/>
    <w:rsid w:val="006B0C30"/>
    <w:rsid w:val="006B0DF2"/>
    <w:rsid w:val="006B0E86"/>
    <w:rsid w:val="006B0ED5"/>
    <w:rsid w:val="006B1FFC"/>
    <w:rsid w:val="006B3475"/>
    <w:rsid w:val="006B367A"/>
    <w:rsid w:val="006B590D"/>
    <w:rsid w:val="006C2621"/>
    <w:rsid w:val="006C54B6"/>
    <w:rsid w:val="006C5589"/>
    <w:rsid w:val="006C5F7B"/>
    <w:rsid w:val="006D03EC"/>
    <w:rsid w:val="006D08BA"/>
    <w:rsid w:val="006D2F0E"/>
    <w:rsid w:val="006D3FDA"/>
    <w:rsid w:val="006D4C73"/>
    <w:rsid w:val="006D4EE0"/>
    <w:rsid w:val="006D5834"/>
    <w:rsid w:val="006D5AF1"/>
    <w:rsid w:val="006D6598"/>
    <w:rsid w:val="006D6652"/>
    <w:rsid w:val="006D7DF0"/>
    <w:rsid w:val="006E026B"/>
    <w:rsid w:val="006E1EE3"/>
    <w:rsid w:val="006E4B23"/>
    <w:rsid w:val="006F0178"/>
    <w:rsid w:val="006F0770"/>
    <w:rsid w:val="006F2997"/>
    <w:rsid w:val="006F2EC1"/>
    <w:rsid w:val="006F4F6A"/>
    <w:rsid w:val="006F5477"/>
    <w:rsid w:val="007002E9"/>
    <w:rsid w:val="00701B6F"/>
    <w:rsid w:val="00702A45"/>
    <w:rsid w:val="00702F3D"/>
    <w:rsid w:val="007045D4"/>
    <w:rsid w:val="0070606A"/>
    <w:rsid w:val="007075E0"/>
    <w:rsid w:val="00707B54"/>
    <w:rsid w:val="0071086D"/>
    <w:rsid w:val="00711265"/>
    <w:rsid w:val="00711F5C"/>
    <w:rsid w:val="00717B12"/>
    <w:rsid w:val="00717EF5"/>
    <w:rsid w:val="0072092A"/>
    <w:rsid w:val="00720B37"/>
    <w:rsid w:val="00720F65"/>
    <w:rsid w:val="00724671"/>
    <w:rsid w:val="00724768"/>
    <w:rsid w:val="0072657E"/>
    <w:rsid w:val="0072759C"/>
    <w:rsid w:val="00730AF6"/>
    <w:rsid w:val="0073155E"/>
    <w:rsid w:val="00733A21"/>
    <w:rsid w:val="00733BE5"/>
    <w:rsid w:val="007369BE"/>
    <w:rsid w:val="00736E02"/>
    <w:rsid w:val="00737554"/>
    <w:rsid w:val="0074005C"/>
    <w:rsid w:val="007416C3"/>
    <w:rsid w:val="00743443"/>
    <w:rsid w:val="0074351B"/>
    <w:rsid w:val="00746354"/>
    <w:rsid w:val="007466AB"/>
    <w:rsid w:val="0074692A"/>
    <w:rsid w:val="007517F4"/>
    <w:rsid w:val="00751A42"/>
    <w:rsid w:val="0075333F"/>
    <w:rsid w:val="007540F4"/>
    <w:rsid w:val="007543B2"/>
    <w:rsid w:val="00754D03"/>
    <w:rsid w:val="00755AE8"/>
    <w:rsid w:val="00760570"/>
    <w:rsid w:val="00763191"/>
    <w:rsid w:val="0076589A"/>
    <w:rsid w:val="0076756F"/>
    <w:rsid w:val="007716A2"/>
    <w:rsid w:val="0077312E"/>
    <w:rsid w:val="007734E2"/>
    <w:rsid w:val="00773930"/>
    <w:rsid w:val="007777D3"/>
    <w:rsid w:val="00780BBC"/>
    <w:rsid w:val="00782AA7"/>
    <w:rsid w:val="007843FF"/>
    <w:rsid w:val="007846C9"/>
    <w:rsid w:val="0078645E"/>
    <w:rsid w:val="00786C3D"/>
    <w:rsid w:val="00790C6D"/>
    <w:rsid w:val="007910FE"/>
    <w:rsid w:val="007911DB"/>
    <w:rsid w:val="00791B77"/>
    <w:rsid w:val="00792A54"/>
    <w:rsid w:val="00792AB6"/>
    <w:rsid w:val="00793610"/>
    <w:rsid w:val="007937E4"/>
    <w:rsid w:val="0079395A"/>
    <w:rsid w:val="007944E8"/>
    <w:rsid w:val="007958BB"/>
    <w:rsid w:val="0079693B"/>
    <w:rsid w:val="00796EEE"/>
    <w:rsid w:val="0079776C"/>
    <w:rsid w:val="00797A78"/>
    <w:rsid w:val="007A1D31"/>
    <w:rsid w:val="007A287F"/>
    <w:rsid w:val="007A4AC2"/>
    <w:rsid w:val="007A555E"/>
    <w:rsid w:val="007A6F2B"/>
    <w:rsid w:val="007B1EBD"/>
    <w:rsid w:val="007B5277"/>
    <w:rsid w:val="007B5296"/>
    <w:rsid w:val="007B5EE5"/>
    <w:rsid w:val="007B683A"/>
    <w:rsid w:val="007C0693"/>
    <w:rsid w:val="007C0887"/>
    <w:rsid w:val="007C2104"/>
    <w:rsid w:val="007C6957"/>
    <w:rsid w:val="007C7EA4"/>
    <w:rsid w:val="007D016A"/>
    <w:rsid w:val="007D1939"/>
    <w:rsid w:val="007D29D7"/>
    <w:rsid w:val="007D53AE"/>
    <w:rsid w:val="007D57A4"/>
    <w:rsid w:val="007D5890"/>
    <w:rsid w:val="007D62F3"/>
    <w:rsid w:val="007D647E"/>
    <w:rsid w:val="007D68BE"/>
    <w:rsid w:val="007E2776"/>
    <w:rsid w:val="007E3C22"/>
    <w:rsid w:val="007E435A"/>
    <w:rsid w:val="007E44CE"/>
    <w:rsid w:val="007E49DE"/>
    <w:rsid w:val="007E500D"/>
    <w:rsid w:val="007E54D1"/>
    <w:rsid w:val="007E5B9A"/>
    <w:rsid w:val="007E66CB"/>
    <w:rsid w:val="007E6915"/>
    <w:rsid w:val="007E74BD"/>
    <w:rsid w:val="007F0DF6"/>
    <w:rsid w:val="007F1345"/>
    <w:rsid w:val="007F1736"/>
    <w:rsid w:val="007F2F6C"/>
    <w:rsid w:val="007F3DEC"/>
    <w:rsid w:val="007F4887"/>
    <w:rsid w:val="007F48CC"/>
    <w:rsid w:val="007F623D"/>
    <w:rsid w:val="007F6AE7"/>
    <w:rsid w:val="007F7122"/>
    <w:rsid w:val="0080019C"/>
    <w:rsid w:val="00800694"/>
    <w:rsid w:val="00800EBB"/>
    <w:rsid w:val="00800F69"/>
    <w:rsid w:val="008010E8"/>
    <w:rsid w:val="008023C4"/>
    <w:rsid w:val="008050E5"/>
    <w:rsid w:val="0080570F"/>
    <w:rsid w:val="00806946"/>
    <w:rsid w:val="00806985"/>
    <w:rsid w:val="0081435E"/>
    <w:rsid w:val="008162BC"/>
    <w:rsid w:val="00816A69"/>
    <w:rsid w:val="00817F36"/>
    <w:rsid w:val="008209EE"/>
    <w:rsid w:val="0082202A"/>
    <w:rsid w:val="00822C4A"/>
    <w:rsid w:val="008231D9"/>
    <w:rsid w:val="00823993"/>
    <w:rsid w:val="00826686"/>
    <w:rsid w:val="00827AE6"/>
    <w:rsid w:val="00827EA0"/>
    <w:rsid w:val="0083030A"/>
    <w:rsid w:val="00831D7F"/>
    <w:rsid w:val="00833258"/>
    <w:rsid w:val="00833771"/>
    <w:rsid w:val="00833C05"/>
    <w:rsid w:val="00835443"/>
    <w:rsid w:val="00835C68"/>
    <w:rsid w:val="008361F6"/>
    <w:rsid w:val="00836320"/>
    <w:rsid w:val="00837070"/>
    <w:rsid w:val="0084045A"/>
    <w:rsid w:val="0084094A"/>
    <w:rsid w:val="00841418"/>
    <w:rsid w:val="00844F54"/>
    <w:rsid w:val="00845722"/>
    <w:rsid w:val="00845ABE"/>
    <w:rsid w:val="00846418"/>
    <w:rsid w:val="00846425"/>
    <w:rsid w:val="00846EB8"/>
    <w:rsid w:val="0085245B"/>
    <w:rsid w:val="00852A7C"/>
    <w:rsid w:val="00854F39"/>
    <w:rsid w:val="00857DE5"/>
    <w:rsid w:val="008601DB"/>
    <w:rsid w:val="008604BF"/>
    <w:rsid w:val="0086140B"/>
    <w:rsid w:val="00861518"/>
    <w:rsid w:val="00861532"/>
    <w:rsid w:val="0086193A"/>
    <w:rsid w:val="00862400"/>
    <w:rsid w:val="00862CD3"/>
    <w:rsid w:val="00862F42"/>
    <w:rsid w:val="008630E7"/>
    <w:rsid w:val="00865FF4"/>
    <w:rsid w:val="00866B56"/>
    <w:rsid w:val="00866C7F"/>
    <w:rsid w:val="0087282C"/>
    <w:rsid w:val="00872C4B"/>
    <w:rsid w:val="008735D2"/>
    <w:rsid w:val="008741FA"/>
    <w:rsid w:val="00874CAA"/>
    <w:rsid w:val="008757BD"/>
    <w:rsid w:val="00875E25"/>
    <w:rsid w:val="00875ED9"/>
    <w:rsid w:val="00877096"/>
    <w:rsid w:val="008822F2"/>
    <w:rsid w:val="008849AB"/>
    <w:rsid w:val="008853F7"/>
    <w:rsid w:val="00885BA8"/>
    <w:rsid w:val="00890F54"/>
    <w:rsid w:val="008916BB"/>
    <w:rsid w:val="00892484"/>
    <w:rsid w:val="008925E0"/>
    <w:rsid w:val="00892F89"/>
    <w:rsid w:val="00894C54"/>
    <w:rsid w:val="0089740A"/>
    <w:rsid w:val="00897915"/>
    <w:rsid w:val="008979E4"/>
    <w:rsid w:val="008A05DA"/>
    <w:rsid w:val="008A0FE1"/>
    <w:rsid w:val="008A1146"/>
    <w:rsid w:val="008A142E"/>
    <w:rsid w:val="008A208A"/>
    <w:rsid w:val="008A2236"/>
    <w:rsid w:val="008A2E3E"/>
    <w:rsid w:val="008A3DA7"/>
    <w:rsid w:val="008A464C"/>
    <w:rsid w:val="008A4966"/>
    <w:rsid w:val="008B0C49"/>
    <w:rsid w:val="008B4C2B"/>
    <w:rsid w:val="008B7385"/>
    <w:rsid w:val="008B7929"/>
    <w:rsid w:val="008C0C5D"/>
    <w:rsid w:val="008C134E"/>
    <w:rsid w:val="008C14C9"/>
    <w:rsid w:val="008C32EC"/>
    <w:rsid w:val="008C3766"/>
    <w:rsid w:val="008C4009"/>
    <w:rsid w:val="008C6275"/>
    <w:rsid w:val="008D2B4C"/>
    <w:rsid w:val="008D35F4"/>
    <w:rsid w:val="008D3ACD"/>
    <w:rsid w:val="008D3C4E"/>
    <w:rsid w:val="008D3D6B"/>
    <w:rsid w:val="008D46C8"/>
    <w:rsid w:val="008D6D8D"/>
    <w:rsid w:val="008E02B5"/>
    <w:rsid w:val="008E38E8"/>
    <w:rsid w:val="008E3D27"/>
    <w:rsid w:val="008E3E12"/>
    <w:rsid w:val="008E3E1A"/>
    <w:rsid w:val="008E6042"/>
    <w:rsid w:val="008E6DA3"/>
    <w:rsid w:val="008E734E"/>
    <w:rsid w:val="008E73E3"/>
    <w:rsid w:val="008E74D3"/>
    <w:rsid w:val="008E7A6A"/>
    <w:rsid w:val="008E7C59"/>
    <w:rsid w:val="008E7DEC"/>
    <w:rsid w:val="008E7F77"/>
    <w:rsid w:val="008F0F8B"/>
    <w:rsid w:val="008F14E6"/>
    <w:rsid w:val="008F1DB7"/>
    <w:rsid w:val="008F263C"/>
    <w:rsid w:val="008F2EA6"/>
    <w:rsid w:val="008F4486"/>
    <w:rsid w:val="00900A71"/>
    <w:rsid w:val="009038A4"/>
    <w:rsid w:val="00903953"/>
    <w:rsid w:val="00903C32"/>
    <w:rsid w:val="00904073"/>
    <w:rsid w:val="0090487F"/>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1CC2"/>
    <w:rsid w:val="00933D47"/>
    <w:rsid w:val="00935C3A"/>
    <w:rsid w:val="009375BF"/>
    <w:rsid w:val="00937D20"/>
    <w:rsid w:val="00941666"/>
    <w:rsid w:val="0094247E"/>
    <w:rsid w:val="00942801"/>
    <w:rsid w:val="00943A1A"/>
    <w:rsid w:val="00946291"/>
    <w:rsid w:val="0094712D"/>
    <w:rsid w:val="009503AB"/>
    <w:rsid w:val="009507F5"/>
    <w:rsid w:val="00950F5D"/>
    <w:rsid w:val="00952D3C"/>
    <w:rsid w:val="009536D2"/>
    <w:rsid w:val="00953D1F"/>
    <w:rsid w:val="0095400D"/>
    <w:rsid w:val="00954545"/>
    <w:rsid w:val="00955A98"/>
    <w:rsid w:val="00955B3E"/>
    <w:rsid w:val="009563AF"/>
    <w:rsid w:val="00956C15"/>
    <w:rsid w:val="00956CEB"/>
    <w:rsid w:val="009570AD"/>
    <w:rsid w:val="009606C5"/>
    <w:rsid w:val="00961DDA"/>
    <w:rsid w:val="009626AA"/>
    <w:rsid w:val="00962C71"/>
    <w:rsid w:val="009634BE"/>
    <w:rsid w:val="00970902"/>
    <w:rsid w:val="00970C48"/>
    <w:rsid w:val="00970FB0"/>
    <w:rsid w:val="009710E6"/>
    <w:rsid w:val="00971E3F"/>
    <w:rsid w:val="00972287"/>
    <w:rsid w:val="009735FF"/>
    <w:rsid w:val="00973E9F"/>
    <w:rsid w:val="00980FA6"/>
    <w:rsid w:val="009811E9"/>
    <w:rsid w:val="00983D90"/>
    <w:rsid w:val="00984F1D"/>
    <w:rsid w:val="00985C74"/>
    <w:rsid w:val="0098747C"/>
    <w:rsid w:val="00990090"/>
    <w:rsid w:val="00990143"/>
    <w:rsid w:val="00992637"/>
    <w:rsid w:val="009969EB"/>
    <w:rsid w:val="009A0487"/>
    <w:rsid w:val="009A194C"/>
    <w:rsid w:val="009A2626"/>
    <w:rsid w:val="009A3D72"/>
    <w:rsid w:val="009A4E92"/>
    <w:rsid w:val="009B02E8"/>
    <w:rsid w:val="009B10C5"/>
    <w:rsid w:val="009B2916"/>
    <w:rsid w:val="009B3638"/>
    <w:rsid w:val="009B3F8C"/>
    <w:rsid w:val="009B472E"/>
    <w:rsid w:val="009B5239"/>
    <w:rsid w:val="009B6831"/>
    <w:rsid w:val="009B77CA"/>
    <w:rsid w:val="009C01E8"/>
    <w:rsid w:val="009C5F46"/>
    <w:rsid w:val="009C6A0C"/>
    <w:rsid w:val="009C6A7E"/>
    <w:rsid w:val="009C70E6"/>
    <w:rsid w:val="009D1B25"/>
    <w:rsid w:val="009D1F6B"/>
    <w:rsid w:val="009D277B"/>
    <w:rsid w:val="009D3680"/>
    <w:rsid w:val="009D3D53"/>
    <w:rsid w:val="009D4303"/>
    <w:rsid w:val="009D4331"/>
    <w:rsid w:val="009D55ED"/>
    <w:rsid w:val="009D5A8E"/>
    <w:rsid w:val="009D629D"/>
    <w:rsid w:val="009D7040"/>
    <w:rsid w:val="009E0560"/>
    <w:rsid w:val="009E08BF"/>
    <w:rsid w:val="009E1568"/>
    <w:rsid w:val="009E34C2"/>
    <w:rsid w:val="009E5532"/>
    <w:rsid w:val="009E5EF1"/>
    <w:rsid w:val="009E65B8"/>
    <w:rsid w:val="009F0548"/>
    <w:rsid w:val="009F1CE6"/>
    <w:rsid w:val="009F4620"/>
    <w:rsid w:val="009F4872"/>
    <w:rsid w:val="009F6E29"/>
    <w:rsid w:val="009F6F21"/>
    <w:rsid w:val="009F783D"/>
    <w:rsid w:val="00A004E2"/>
    <w:rsid w:val="00A0093D"/>
    <w:rsid w:val="00A00DAC"/>
    <w:rsid w:val="00A01416"/>
    <w:rsid w:val="00A0142A"/>
    <w:rsid w:val="00A02B2D"/>
    <w:rsid w:val="00A054F1"/>
    <w:rsid w:val="00A06130"/>
    <w:rsid w:val="00A069C9"/>
    <w:rsid w:val="00A139DC"/>
    <w:rsid w:val="00A15B8D"/>
    <w:rsid w:val="00A15D6A"/>
    <w:rsid w:val="00A1786A"/>
    <w:rsid w:val="00A2166C"/>
    <w:rsid w:val="00A23587"/>
    <w:rsid w:val="00A2403C"/>
    <w:rsid w:val="00A24C2A"/>
    <w:rsid w:val="00A252E9"/>
    <w:rsid w:val="00A26727"/>
    <w:rsid w:val="00A3119C"/>
    <w:rsid w:val="00A31389"/>
    <w:rsid w:val="00A32E29"/>
    <w:rsid w:val="00A40C93"/>
    <w:rsid w:val="00A423C7"/>
    <w:rsid w:val="00A4269B"/>
    <w:rsid w:val="00A42FCC"/>
    <w:rsid w:val="00A43B07"/>
    <w:rsid w:val="00A43DBC"/>
    <w:rsid w:val="00A44BA6"/>
    <w:rsid w:val="00A4512F"/>
    <w:rsid w:val="00A45214"/>
    <w:rsid w:val="00A455C0"/>
    <w:rsid w:val="00A45B89"/>
    <w:rsid w:val="00A47050"/>
    <w:rsid w:val="00A506C2"/>
    <w:rsid w:val="00A517DE"/>
    <w:rsid w:val="00A5410E"/>
    <w:rsid w:val="00A56307"/>
    <w:rsid w:val="00A56920"/>
    <w:rsid w:val="00A56B65"/>
    <w:rsid w:val="00A578D2"/>
    <w:rsid w:val="00A619A0"/>
    <w:rsid w:val="00A63062"/>
    <w:rsid w:val="00A64B7B"/>
    <w:rsid w:val="00A67A51"/>
    <w:rsid w:val="00A67BF0"/>
    <w:rsid w:val="00A70D8F"/>
    <w:rsid w:val="00A70F50"/>
    <w:rsid w:val="00A746DF"/>
    <w:rsid w:val="00A74A02"/>
    <w:rsid w:val="00A74A8A"/>
    <w:rsid w:val="00A75587"/>
    <w:rsid w:val="00A760AA"/>
    <w:rsid w:val="00A76795"/>
    <w:rsid w:val="00A7753E"/>
    <w:rsid w:val="00A80B07"/>
    <w:rsid w:val="00A825C7"/>
    <w:rsid w:val="00A8310A"/>
    <w:rsid w:val="00A83DD8"/>
    <w:rsid w:val="00A850AC"/>
    <w:rsid w:val="00A8547C"/>
    <w:rsid w:val="00A910D5"/>
    <w:rsid w:val="00A92AC1"/>
    <w:rsid w:val="00A93498"/>
    <w:rsid w:val="00A93C9C"/>
    <w:rsid w:val="00A93CDE"/>
    <w:rsid w:val="00A948EC"/>
    <w:rsid w:val="00A96E5D"/>
    <w:rsid w:val="00AA00C9"/>
    <w:rsid w:val="00AA06EE"/>
    <w:rsid w:val="00AA0E2B"/>
    <w:rsid w:val="00AA1B11"/>
    <w:rsid w:val="00AA3BD9"/>
    <w:rsid w:val="00AA4035"/>
    <w:rsid w:val="00AA47A0"/>
    <w:rsid w:val="00AA4A11"/>
    <w:rsid w:val="00AA4B84"/>
    <w:rsid w:val="00AA68D5"/>
    <w:rsid w:val="00AA7752"/>
    <w:rsid w:val="00AA7F56"/>
    <w:rsid w:val="00AB0BE5"/>
    <w:rsid w:val="00AB0E5C"/>
    <w:rsid w:val="00AB31FE"/>
    <w:rsid w:val="00AB321F"/>
    <w:rsid w:val="00AB4344"/>
    <w:rsid w:val="00AB6440"/>
    <w:rsid w:val="00AB7D63"/>
    <w:rsid w:val="00AC1BE1"/>
    <w:rsid w:val="00AC1D1B"/>
    <w:rsid w:val="00AC2BDE"/>
    <w:rsid w:val="00AC64A8"/>
    <w:rsid w:val="00AD1A65"/>
    <w:rsid w:val="00AD2906"/>
    <w:rsid w:val="00AD30BA"/>
    <w:rsid w:val="00AD31A7"/>
    <w:rsid w:val="00AD3DE5"/>
    <w:rsid w:val="00AD4280"/>
    <w:rsid w:val="00AD4747"/>
    <w:rsid w:val="00AD4981"/>
    <w:rsid w:val="00AD6331"/>
    <w:rsid w:val="00AE060F"/>
    <w:rsid w:val="00AE0C6B"/>
    <w:rsid w:val="00AE21FF"/>
    <w:rsid w:val="00AE2AE0"/>
    <w:rsid w:val="00AE546D"/>
    <w:rsid w:val="00AE57DE"/>
    <w:rsid w:val="00AE69F7"/>
    <w:rsid w:val="00AE7456"/>
    <w:rsid w:val="00AF0322"/>
    <w:rsid w:val="00AF07D8"/>
    <w:rsid w:val="00AF0847"/>
    <w:rsid w:val="00AF106C"/>
    <w:rsid w:val="00AF1812"/>
    <w:rsid w:val="00AF2859"/>
    <w:rsid w:val="00AF2C07"/>
    <w:rsid w:val="00AF2C98"/>
    <w:rsid w:val="00AF316D"/>
    <w:rsid w:val="00AF3CD3"/>
    <w:rsid w:val="00AF3F82"/>
    <w:rsid w:val="00AF4CB2"/>
    <w:rsid w:val="00AF537A"/>
    <w:rsid w:val="00AF631C"/>
    <w:rsid w:val="00AF739D"/>
    <w:rsid w:val="00AF76DD"/>
    <w:rsid w:val="00B001C6"/>
    <w:rsid w:val="00B00409"/>
    <w:rsid w:val="00B02891"/>
    <w:rsid w:val="00B02F42"/>
    <w:rsid w:val="00B0332F"/>
    <w:rsid w:val="00B03855"/>
    <w:rsid w:val="00B0514D"/>
    <w:rsid w:val="00B05AED"/>
    <w:rsid w:val="00B06BF0"/>
    <w:rsid w:val="00B0739C"/>
    <w:rsid w:val="00B110E1"/>
    <w:rsid w:val="00B1127F"/>
    <w:rsid w:val="00B11691"/>
    <w:rsid w:val="00B12559"/>
    <w:rsid w:val="00B1288D"/>
    <w:rsid w:val="00B12B1E"/>
    <w:rsid w:val="00B13FEC"/>
    <w:rsid w:val="00B146F2"/>
    <w:rsid w:val="00B16DB4"/>
    <w:rsid w:val="00B2021B"/>
    <w:rsid w:val="00B22378"/>
    <w:rsid w:val="00B22C69"/>
    <w:rsid w:val="00B22EB2"/>
    <w:rsid w:val="00B24855"/>
    <w:rsid w:val="00B24DF0"/>
    <w:rsid w:val="00B25274"/>
    <w:rsid w:val="00B25F31"/>
    <w:rsid w:val="00B26CE3"/>
    <w:rsid w:val="00B27EC5"/>
    <w:rsid w:val="00B30976"/>
    <w:rsid w:val="00B325F1"/>
    <w:rsid w:val="00B35360"/>
    <w:rsid w:val="00B355D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1390"/>
    <w:rsid w:val="00B52C78"/>
    <w:rsid w:val="00B54367"/>
    <w:rsid w:val="00B54E78"/>
    <w:rsid w:val="00B56037"/>
    <w:rsid w:val="00B56188"/>
    <w:rsid w:val="00B568A2"/>
    <w:rsid w:val="00B577D1"/>
    <w:rsid w:val="00B611C3"/>
    <w:rsid w:val="00B629E2"/>
    <w:rsid w:val="00B62A9A"/>
    <w:rsid w:val="00B63217"/>
    <w:rsid w:val="00B63551"/>
    <w:rsid w:val="00B667C4"/>
    <w:rsid w:val="00B67971"/>
    <w:rsid w:val="00B70059"/>
    <w:rsid w:val="00B70EC8"/>
    <w:rsid w:val="00B74DF6"/>
    <w:rsid w:val="00B75125"/>
    <w:rsid w:val="00B77058"/>
    <w:rsid w:val="00B77551"/>
    <w:rsid w:val="00B80948"/>
    <w:rsid w:val="00B81409"/>
    <w:rsid w:val="00B83CA4"/>
    <w:rsid w:val="00B84610"/>
    <w:rsid w:val="00B85517"/>
    <w:rsid w:val="00B86990"/>
    <w:rsid w:val="00B86A88"/>
    <w:rsid w:val="00B87CC5"/>
    <w:rsid w:val="00B9033C"/>
    <w:rsid w:val="00B90D01"/>
    <w:rsid w:val="00B92B28"/>
    <w:rsid w:val="00B93A36"/>
    <w:rsid w:val="00B93BD3"/>
    <w:rsid w:val="00B93BD9"/>
    <w:rsid w:val="00B93E36"/>
    <w:rsid w:val="00B94BE4"/>
    <w:rsid w:val="00B94DA4"/>
    <w:rsid w:val="00B9532E"/>
    <w:rsid w:val="00B95BF2"/>
    <w:rsid w:val="00B96F28"/>
    <w:rsid w:val="00B9737E"/>
    <w:rsid w:val="00BA05C6"/>
    <w:rsid w:val="00BA4860"/>
    <w:rsid w:val="00BA4DD6"/>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B8B"/>
    <w:rsid w:val="00BB6378"/>
    <w:rsid w:val="00BC1E9B"/>
    <w:rsid w:val="00BC237B"/>
    <w:rsid w:val="00BC2520"/>
    <w:rsid w:val="00BC35EB"/>
    <w:rsid w:val="00BC3DEB"/>
    <w:rsid w:val="00BC5867"/>
    <w:rsid w:val="00BC5A8D"/>
    <w:rsid w:val="00BC7FA5"/>
    <w:rsid w:val="00BD03B3"/>
    <w:rsid w:val="00BD0FD8"/>
    <w:rsid w:val="00BD1DE7"/>
    <w:rsid w:val="00BD2183"/>
    <w:rsid w:val="00BD35F5"/>
    <w:rsid w:val="00BD50A8"/>
    <w:rsid w:val="00BD576D"/>
    <w:rsid w:val="00BD7083"/>
    <w:rsid w:val="00BD712F"/>
    <w:rsid w:val="00BD71DA"/>
    <w:rsid w:val="00BE1868"/>
    <w:rsid w:val="00BE2ADD"/>
    <w:rsid w:val="00BE2DAF"/>
    <w:rsid w:val="00BE40B7"/>
    <w:rsid w:val="00BE44CE"/>
    <w:rsid w:val="00BE619D"/>
    <w:rsid w:val="00BE6DA1"/>
    <w:rsid w:val="00BE76EF"/>
    <w:rsid w:val="00BF14AB"/>
    <w:rsid w:val="00BF245D"/>
    <w:rsid w:val="00BF2D91"/>
    <w:rsid w:val="00BF37A0"/>
    <w:rsid w:val="00BF5DA7"/>
    <w:rsid w:val="00BF666F"/>
    <w:rsid w:val="00C00ED7"/>
    <w:rsid w:val="00C00F8A"/>
    <w:rsid w:val="00C02878"/>
    <w:rsid w:val="00C02B96"/>
    <w:rsid w:val="00C0480B"/>
    <w:rsid w:val="00C04A6C"/>
    <w:rsid w:val="00C0605D"/>
    <w:rsid w:val="00C10321"/>
    <w:rsid w:val="00C1034C"/>
    <w:rsid w:val="00C142AB"/>
    <w:rsid w:val="00C1467F"/>
    <w:rsid w:val="00C15596"/>
    <w:rsid w:val="00C15A80"/>
    <w:rsid w:val="00C173CA"/>
    <w:rsid w:val="00C20CC8"/>
    <w:rsid w:val="00C21428"/>
    <w:rsid w:val="00C24059"/>
    <w:rsid w:val="00C25F74"/>
    <w:rsid w:val="00C2609F"/>
    <w:rsid w:val="00C26372"/>
    <w:rsid w:val="00C2709A"/>
    <w:rsid w:val="00C30C15"/>
    <w:rsid w:val="00C32013"/>
    <w:rsid w:val="00C3204F"/>
    <w:rsid w:val="00C32B32"/>
    <w:rsid w:val="00C32C91"/>
    <w:rsid w:val="00C33724"/>
    <w:rsid w:val="00C34842"/>
    <w:rsid w:val="00C35E38"/>
    <w:rsid w:val="00C3796E"/>
    <w:rsid w:val="00C40F21"/>
    <w:rsid w:val="00C414CB"/>
    <w:rsid w:val="00C45553"/>
    <w:rsid w:val="00C471C1"/>
    <w:rsid w:val="00C53BE7"/>
    <w:rsid w:val="00C54F90"/>
    <w:rsid w:val="00C57C38"/>
    <w:rsid w:val="00C61B1F"/>
    <w:rsid w:val="00C62EE5"/>
    <w:rsid w:val="00C6570F"/>
    <w:rsid w:val="00C670E9"/>
    <w:rsid w:val="00C67196"/>
    <w:rsid w:val="00C67440"/>
    <w:rsid w:val="00C70405"/>
    <w:rsid w:val="00C709C4"/>
    <w:rsid w:val="00C71314"/>
    <w:rsid w:val="00C7153F"/>
    <w:rsid w:val="00C7330B"/>
    <w:rsid w:val="00C73727"/>
    <w:rsid w:val="00C76221"/>
    <w:rsid w:val="00C80708"/>
    <w:rsid w:val="00C80FD9"/>
    <w:rsid w:val="00C81706"/>
    <w:rsid w:val="00C81BB9"/>
    <w:rsid w:val="00C82197"/>
    <w:rsid w:val="00C82C79"/>
    <w:rsid w:val="00C84EFA"/>
    <w:rsid w:val="00C850CB"/>
    <w:rsid w:val="00C851E7"/>
    <w:rsid w:val="00C85731"/>
    <w:rsid w:val="00C86E08"/>
    <w:rsid w:val="00C90BA1"/>
    <w:rsid w:val="00C92B66"/>
    <w:rsid w:val="00C92D8F"/>
    <w:rsid w:val="00C92DF1"/>
    <w:rsid w:val="00C92DFC"/>
    <w:rsid w:val="00C93224"/>
    <w:rsid w:val="00C96147"/>
    <w:rsid w:val="00C96F60"/>
    <w:rsid w:val="00C97650"/>
    <w:rsid w:val="00C97ADB"/>
    <w:rsid w:val="00CA08EC"/>
    <w:rsid w:val="00CA0D52"/>
    <w:rsid w:val="00CA15BD"/>
    <w:rsid w:val="00CA195F"/>
    <w:rsid w:val="00CA670F"/>
    <w:rsid w:val="00CA7E0F"/>
    <w:rsid w:val="00CB2319"/>
    <w:rsid w:val="00CB279F"/>
    <w:rsid w:val="00CB2917"/>
    <w:rsid w:val="00CB326D"/>
    <w:rsid w:val="00CB349A"/>
    <w:rsid w:val="00CB4421"/>
    <w:rsid w:val="00CB5563"/>
    <w:rsid w:val="00CB5B82"/>
    <w:rsid w:val="00CB5BB3"/>
    <w:rsid w:val="00CB7B58"/>
    <w:rsid w:val="00CC0657"/>
    <w:rsid w:val="00CC2AA7"/>
    <w:rsid w:val="00CC3546"/>
    <w:rsid w:val="00CC3598"/>
    <w:rsid w:val="00CC36FE"/>
    <w:rsid w:val="00CC489C"/>
    <w:rsid w:val="00CC6AC5"/>
    <w:rsid w:val="00CD064F"/>
    <w:rsid w:val="00CD1091"/>
    <w:rsid w:val="00CD16CE"/>
    <w:rsid w:val="00CD218D"/>
    <w:rsid w:val="00CD2D41"/>
    <w:rsid w:val="00CD3AAC"/>
    <w:rsid w:val="00CD4C07"/>
    <w:rsid w:val="00CD6941"/>
    <w:rsid w:val="00CE04DA"/>
    <w:rsid w:val="00CE0C3B"/>
    <w:rsid w:val="00CE272A"/>
    <w:rsid w:val="00CE2896"/>
    <w:rsid w:val="00CE57E8"/>
    <w:rsid w:val="00CE7694"/>
    <w:rsid w:val="00CF0005"/>
    <w:rsid w:val="00CF2941"/>
    <w:rsid w:val="00CF362F"/>
    <w:rsid w:val="00CF3632"/>
    <w:rsid w:val="00CF4547"/>
    <w:rsid w:val="00CF5ED6"/>
    <w:rsid w:val="00CF66B7"/>
    <w:rsid w:val="00CF76B6"/>
    <w:rsid w:val="00CF7D82"/>
    <w:rsid w:val="00CF7E2E"/>
    <w:rsid w:val="00D001DF"/>
    <w:rsid w:val="00D01D5D"/>
    <w:rsid w:val="00D026CD"/>
    <w:rsid w:val="00D04512"/>
    <w:rsid w:val="00D0461D"/>
    <w:rsid w:val="00D047EB"/>
    <w:rsid w:val="00D04F00"/>
    <w:rsid w:val="00D05EB3"/>
    <w:rsid w:val="00D070B7"/>
    <w:rsid w:val="00D072D9"/>
    <w:rsid w:val="00D101DC"/>
    <w:rsid w:val="00D10792"/>
    <w:rsid w:val="00D12313"/>
    <w:rsid w:val="00D12AB0"/>
    <w:rsid w:val="00D14278"/>
    <w:rsid w:val="00D1447F"/>
    <w:rsid w:val="00D164DE"/>
    <w:rsid w:val="00D16588"/>
    <w:rsid w:val="00D169FA"/>
    <w:rsid w:val="00D20BAE"/>
    <w:rsid w:val="00D21C4D"/>
    <w:rsid w:val="00D2373F"/>
    <w:rsid w:val="00D247ED"/>
    <w:rsid w:val="00D2495A"/>
    <w:rsid w:val="00D24C29"/>
    <w:rsid w:val="00D2597E"/>
    <w:rsid w:val="00D25B16"/>
    <w:rsid w:val="00D261C3"/>
    <w:rsid w:val="00D26B90"/>
    <w:rsid w:val="00D26FBF"/>
    <w:rsid w:val="00D31C0E"/>
    <w:rsid w:val="00D328DC"/>
    <w:rsid w:val="00D33899"/>
    <w:rsid w:val="00D349EE"/>
    <w:rsid w:val="00D36A21"/>
    <w:rsid w:val="00D37AB6"/>
    <w:rsid w:val="00D402FC"/>
    <w:rsid w:val="00D43135"/>
    <w:rsid w:val="00D44C38"/>
    <w:rsid w:val="00D5212B"/>
    <w:rsid w:val="00D53629"/>
    <w:rsid w:val="00D5441C"/>
    <w:rsid w:val="00D56BD2"/>
    <w:rsid w:val="00D60BFE"/>
    <w:rsid w:val="00D62B7C"/>
    <w:rsid w:val="00D62F55"/>
    <w:rsid w:val="00D6496D"/>
    <w:rsid w:val="00D65DDB"/>
    <w:rsid w:val="00D66791"/>
    <w:rsid w:val="00D67153"/>
    <w:rsid w:val="00D67E23"/>
    <w:rsid w:val="00D70241"/>
    <w:rsid w:val="00D70920"/>
    <w:rsid w:val="00D70C62"/>
    <w:rsid w:val="00D71A05"/>
    <w:rsid w:val="00D71E5E"/>
    <w:rsid w:val="00D725E0"/>
    <w:rsid w:val="00D7474F"/>
    <w:rsid w:val="00D747FF"/>
    <w:rsid w:val="00D7559B"/>
    <w:rsid w:val="00D76077"/>
    <w:rsid w:val="00D76220"/>
    <w:rsid w:val="00D762ED"/>
    <w:rsid w:val="00D76554"/>
    <w:rsid w:val="00D76C62"/>
    <w:rsid w:val="00D809A9"/>
    <w:rsid w:val="00D80C52"/>
    <w:rsid w:val="00D8192D"/>
    <w:rsid w:val="00D819EF"/>
    <w:rsid w:val="00D81A61"/>
    <w:rsid w:val="00D831DD"/>
    <w:rsid w:val="00D83EBD"/>
    <w:rsid w:val="00D84E09"/>
    <w:rsid w:val="00D8506C"/>
    <w:rsid w:val="00D85110"/>
    <w:rsid w:val="00D87B09"/>
    <w:rsid w:val="00D87FE0"/>
    <w:rsid w:val="00D906B2"/>
    <w:rsid w:val="00D9115E"/>
    <w:rsid w:val="00D94595"/>
    <w:rsid w:val="00D9490B"/>
    <w:rsid w:val="00D956E1"/>
    <w:rsid w:val="00D95F56"/>
    <w:rsid w:val="00D9606E"/>
    <w:rsid w:val="00D97B78"/>
    <w:rsid w:val="00D97FD0"/>
    <w:rsid w:val="00DA2200"/>
    <w:rsid w:val="00DA56E9"/>
    <w:rsid w:val="00DA7DB8"/>
    <w:rsid w:val="00DB0D8C"/>
    <w:rsid w:val="00DB0F30"/>
    <w:rsid w:val="00DB1749"/>
    <w:rsid w:val="00DB200D"/>
    <w:rsid w:val="00DB4519"/>
    <w:rsid w:val="00DB4710"/>
    <w:rsid w:val="00DB495C"/>
    <w:rsid w:val="00DB535E"/>
    <w:rsid w:val="00DB657E"/>
    <w:rsid w:val="00DB76B8"/>
    <w:rsid w:val="00DB7717"/>
    <w:rsid w:val="00DC1B7D"/>
    <w:rsid w:val="00DC22F7"/>
    <w:rsid w:val="00DC340A"/>
    <w:rsid w:val="00DC369C"/>
    <w:rsid w:val="00DC3C53"/>
    <w:rsid w:val="00DC4667"/>
    <w:rsid w:val="00DC5125"/>
    <w:rsid w:val="00DD0A3E"/>
    <w:rsid w:val="00DD0E55"/>
    <w:rsid w:val="00DD250C"/>
    <w:rsid w:val="00DD2524"/>
    <w:rsid w:val="00DD3864"/>
    <w:rsid w:val="00DD70EA"/>
    <w:rsid w:val="00DD7321"/>
    <w:rsid w:val="00DD7E93"/>
    <w:rsid w:val="00DE0006"/>
    <w:rsid w:val="00DE0275"/>
    <w:rsid w:val="00DE08A8"/>
    <w:rsid w:val="00DE55B4"/>
    <w:rsid w:val="00DE60BE"/>
    <w:rsid w:val="00DE7272"/>
    <w:rsid w:val="00DE77C4"/>
    <w:rsid w:val="00DE7D66"/>
    <w:rsid w:val="00DF04E6"/>
    <w:rsid w:val="00DF0563"/>
    <w:rsid w:val="00DF12E5"/>
    <w:rsid w:val="00DF1B16"/>
    <w:rsid w:val="00DF3F5A"/>
    <w:rsid w:val="00DF55AB"/>
    <w:rsid w:val="00DF61C7"/>
    <w:rsid w:val="00DF70AF"/>
    <w:rsid w:val="00E00072"/>
    <w:rsid w:val="00E0123E"/>
    <w:rsid w:val="00E014A2"/>
    <w:rsid w:val="00E01B06"/>
    <w:rsid w:val="00E02C74"/>
    <w:rsid w:val="00E05C07"/>
    <w:rsid w:val="00E05DEB"/>
    <w:rsid w:val="00E0650B"/>
    <w:rsid w:val="00E0666C"/>
    <w:rsid w:val="00E06E9E"/>
    <w:rsid w:val="00E104C0"/>
    <w:rsid w:val="00E1079B"/>
    <w:rsid w:val="00E13F69"/>
    <w:rsid w:val="00E14983"/>
    <w:rsid w:val="00E14DCD"/>
    <w:rsid w:val="00E15639"/>
    <w:rsid w:val="00E1626C"/>
    <w:rsid w:val="00E17181"/>
    <w:rsid w:val="00E20B3E"/>
    <w:rsid w:val="00E20C71"/>
    <w:rsid w:val="00E2362C"/>
    <w:rsid w:val="00E2388C"/>
    <w:rsid w:val="00E25526"/>
    <w:rsid w:val="00E25BFC"/>
    <w:rsid w:val="00E25C7C"/>
    <w:rsid w:val="00E27305"/>
    <w:rsid w:val="00E3043C"/>
    <w:rsid w:val="00E30570"/>
    <w:rsid w:val="00E31181"/>
    <w:rsid w:val="00E31E70"/>
    <w:rsid w:val="00E337FD"/>
    <w:rsid w:val="00E34C05"/>
    <w:rsid w:val="00E362B0"/>
    <w:rsid w:val="00E36B48"/>
    <w:rsid w:val="00E40159"/>
    <w:rsid w:val="00E42E9C"/>
    <w:rsid w:val="00E434FE"/>
    <w:rsid w:val="00E462A2"/>
    <w:rsid w:val="00E469B4"/>
    <w:rsid w:val="00E46DD6"/>
    <w:rsid w:val="00E46EA0"/>
    <w:rsid w:val="00E47A33"/>
    <w:rsid w:val="00E50B04"/>
    <w:rsid w:val="00E50F24"/>
    <w:rsid w:val="00E52D10"/>
    <w:rsid w:val="00E5504F"/>
    <w:rsid w:val="00E60EB5"/>
    <w:rsid w:val="00E62B5B"/>
    <w:rsid w:val="00E66D95"/>
    <w:rsid w:val="00E674F6"/>
    <w:rsid w:val="00E67D87"/>
    <w:rsid w:val="00E70467"/>
    <w:rsid w:val="00E71468"/>
    <w:rsid w:val="00E7203C"/>
    <w:rsid w:val="00E723D7"/>
    <w:rsid w:val="00E7367D"/>
    <w:rsid w:val="00E74645"/>
    <w:rsid w:val="00E76643"/>
    <w:rsid w:val="00E76C98"/>
    <w:rsid w:val="00E80CF5"/>
    <w:rsid w:val="00E831B2"/>
    <w:rsid w:val="00E83E1E"/>
    <w:rsid w:val="00E83EDD"/>
    <w:rsid w:val="00E84C5A"/>
    <w:rsid w:val="00E8533B"/>
    <w:rsid w:val="00E8577A"/>
    <w:rsid w:val="00E86DD7"/>
    <w:rsid w:val="00E86DF2"/>
    <w:rsid w:val="00E906B5"/>
    <w:rsid w:val="00E9302A"/>
    <w:rsid w:val="00E93893"/>
    <w:rsid w:val="00E93A1D"/>
    <w:rsid w:val="00E93C50"/>
    <w:rsid w:val="00E95A89"/>
    <w:rsid w:val="00E96FC2"/>
    <w:rsid w:val="00E97A76"/>
    <w:rsid w:val="00E97B90"/>
    <w:rsid w:val="00EA0267"/>
    <w:rsid w:val="00EA0F27"/>
    <w:rsid w:val="00EA36A7"/>
    <w:rsid w:val="00EA6D62"/>
    <w:rsid w:val="00EA7284"/>
    <w:rsid w:val="00EA74AF"/>
    <w:rsid w:val="00EA76F1"/>
    <w:rsid w:val="00EB07E9"/>
    <w:rsid w:val="00EB2FF4"/>
    <w:rsid w:val="00EB3B21"/>
    <w:rsid w:val="00EB3E67"/>
    <w:rsid w:val="00EB44CC"/>
    <w:rsid w:val="00EB47BE"/>
    <w:rsid w:val="00EB6BFF"/>
    <w:rsid w:val="00EC1537"/>
    <w:rsid w:val="00EC1695"/>
    <w:rsid w:val="00EC21CF"/>
    <w:rsid w:val="00EC4DDE"/>
    <w:rsid w:val="00EC579E"/>
    <w:rsid w:val="00EC700B"/>
    <w:rsid w:val="00ED0136"/>
    <w:rsid w:val="00ED0DA9"/>
    <w:rsid w:val="00ED3275"/>
    <w:rsid w:val="00ED329F"/>
    <w:rsid w:val="00ED487F"/>
    <w:rsid w:val="00ED6B80"/>
    <w:rsid w:val="00EE2F5F"/>
    <w:rsid w:val="00EE3528"/>
    <w:rsid w:val="00EE4245"/>
    <w:rsid w:val="00EE45AD"/>
    <w:rsid w:val="00EE4A48"/>
    <w:rsid w:val="00EE6D64"/>
    <w:rsid w:val="00EF20C4"/>
    <w:rsid w:val="00EF5E2A"/>
    <w:rsid w:val="00EF64B1"/>
    <w:rsid w:val="00EF6548"/>
    <w:rsid w:val="00EF71A8"/>
    <w:rsid w:val="00EF7510"/>
    <w:rsid w:val="00F00D98"/>
    <w:rsid w:val="00F017D9"/>
    <w:rsid w:val="00F0190A"/>
    <w:rsid w:val="00F01BC4"/>
    <w:rsid w:val="00F02574"/>
    <w:rsid w:val="00F041CF"/>
    <w:rsid w:val="00F05966"/>
    <w:rsid w:val="00F05E3C"/>
    <w:rsid w:val="00F07248"/>
    <w:rsid w:val="00F07B0D"/>
    <w:rsid w:val="00F07C34"/>
    <w:rsid w:val="00F10664"/>
    <w:rsid w:val="00F12C0F"/>
    <w:rsid w:val="00F1367B"/>
    <w:rsid w:val="00F146B3"/>
    <w:rsid w:val="00F14C98"/>
    <w:rsid w:val="00F17215"/>
    <w:rsid w:val="00F176AB"/>
    <w:rsid w:val="00F21FBB"/>
    <w:rsid w:val="00F24423"/>
    <w:rsid w:val="00F24680"/>
    <w:rsid w:val="00F25FA6"/>
    <w:rsid w:val="00F260A9"/>
    <w:rsid w:val="00F2730E"/>
    <w:rsid w:val="00F311C0"/>
    <w:rsid w:val="00F31375"/>
    <w:rsid w:val="00F31F4A"/>
    <w:rsid w:val="00F32FF7"/>
    <w:rsid w:val="00F335BE"/>
    <w:rsid w:val="00F34E44"/>
    <w:rsid w:val="00F36B70"/>
    <w:rsid w:val="00F373D4"/>
    <w:rsid w:val="00F37488"/>
    <w:rsid w:val="00F42672"/>
    <w:rsid w:val="00F44A9F"/>
    <w:rsid w:val="00F464F4"/>
    <w:rsid w:val="00F474A5"/>
    <w:rsid w:val="00F47DCF"/>
    <w:rsid w:val="00F510D8"/>
    <w:rsid w:val="00F528DD"/>
    <w:rsid w:val="00F57E0A"/>
    <w:rsid w:val="00F60713"/>
    <w:rsid w:val="00F60861"/>
    <w:rsid w:val="00F61938"/>
    <w:rsid w:val="00F65366"/>
    <w:rsid w:val="00F660A6"/>
    <w:rsid w:val="00F71ABB"/>
    <w:rsid w:val="00F73F8E"/>
    <w:rsid w:val="00F741FB"/>
    <w:rsid w:val="00F751B5"/>
    <w:rsid w:val="00F75EAA"/>
    <w:rsid w:val="00F769AB"/>
    <w:rsid w:val="00F7734F"/>
    <w:rsid w:val="00F806EE"/>
    <w:rsid w:val="00F80D46"/>
    <w:rsid w:val="00F816DF"/>
    <w:rsid w:val="00F83C2B"/>
    <w:rsid w:val="00F83E07"/>
    <w:rsid w:val="00F84FD8"/>
    <w:rsid w:val="00F8617A"/>
    <w:rsid w:val="00F86C8F"/>
    <w:rsid w:val="00F86D9B"/>
    <w:rsid w:val="00F901AD"/>
    <w:rsid w:val="00F904BB"/>
    <w:rsid w:val="00F9152C"/>
    <w:rsid w:val="00F9173C"/>
    <w:rsid w:val="00F91C33"/>
    <w:rsid w:val="00F96ADD"/>
    <w:rsid w:val="00F97379"/>
    <w:rsid w:val="00F97E5B"/>
    <w:rsid w:val="00FA0C61"/>
    <w:rsid w:val="00FA170C"/>
    <w:rsid w:val="00FA3DB8"/>
    <w:rsid w:val="00FA42CC"/>
    <w:rsid w:val="00FA4357"/>
    <w:rsid w:val="00FA51DC"/>
    <w:rsid w:val="00FB1ED9"/>
    <w:rsid w:val="00FB3154"/>
    <w:rsid w:val="00FB42BD"/>
    <w:rsid w:val="00FB6614"/>
    <w:rsid w:val="00FB6BBA"/>
    <w:rsid w:val="00FC27CC"/>
    <w:rsid w:val="00FC2AEC"/>
    <w:rsid w:val="00FC4772"/>
    <w:rsid w:val="00FC58E0"/>
    <w:rsid w:val="00FC6173"/>
    <w:rsid w:val="00FC61A7"/>
    <w:rsid w:val="00FC6303"/>
    <w:rsid w:val="00FC6EE9"/>
    <w:rsid w:val="00FC7C35"/>
    <w:rsid w:val="00FC7FB1"/>
    <w:rsid w:val="00FD1A59"/>
    <w:rsid w:val="00FD2AD0"/>
    <w:rsid w:val="00FD3952"/>
    <w:rsid w:val="00FD42CD"/>
    <w:rsid w:val="00FD4871"/>
    <w:rsid w:val="00FD5DB5"/>
    <w:rsid w:val="00FE339D"/>
    <w:rsid w:val="00FE4935"/>
    <w:rsid w:val="00FE593E"/>
    <w:rsid w:val="00FE596A"/>
    <w:rsid w:val="00FE72B1"/>
    <w:rsid w:val="00FF0A16"/>
    <w:rsid w:val="00FF1607"/>
    <w:rsid w:val="00FF168A"/>
    <w:rsid w:val="00FF267A"/>
    <w:rsid w:val="00FF3263"/>
    <w:rsid w:val="00FF333E"/>
    <w:rsid w:val="00FF430C"/>
    <w:rsid w:val="00FF47E5"/>
    <w:rsid w:val="00FF50FE"/>
    <w:rsid w:val="00FF5FC8"/>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uiPriority w:val="99"/>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uiPriority w:val="99"/>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39"/>
    <w:rsid w:val="00D1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D107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1079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extbody">
    <w:name w:val="Text body"/>
    <w:basedOn w:val="Normal"/>
    <w:uiPriority w:val="99"/>
    <w:rsid w:val="00826686"/>
    <w:pPr>
      <w:widowControl w:val="0"/>
      <w:autoSpaceDE w:val="0"/>
      <w:autoSpaceDN w:val="0"/>
      <w:adjustRightInd w:val="0"/>
      <w:spacing w:after="283"/>
    </w:pPr>
    <w:rPr>
      <w:rFonts w:eastAsiaTheme="minorEastAsia"/>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44594390">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376272871">
      <w:bodyDiv w:val="1"/>
      <w:marLeft w:val="0"/>
      <w:marRight w:val="0"/>
      <w:marTop w:val="0"/>
      <w:marBottom w:val="0"/>
      <w:divBdr>
        <w:top w:val="none" w:sz="0" w:space="0" w:color="auto"/>
        <w:left w:val="none" w:sz="0" w:space="0" w:color="auto"/>
        <w:bottom w:val="none" w:sz="0" w:space="0" w:color="auto"/>
        <w:right w:val="none" w:sz="0" w:space="0" w:color="auto"/>
      </w:divBdr>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685012770">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6EC59-9B3E-4AD9-8029-61DF74C0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2023-06-29T11:06:00Z</cp:lastPrinted>
  <dcterms:created xsi:type="dcterms:W3CDTF">2023-07-07T07:06:00Z</dcterms:created>
  <dcterms:modified xsi:type="dcterms:W3CDTF">2023-07-07T07:07:00Z</dcterms:modified>
</cp:coreProperties>
</file>