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D0" w:rsidRDefault="00353CD0" w:rsidP="00353CD0">
      <w:pPr>
        <w:jc w:val="center"/>
        <w:rPr>
          <w:rFonts w:asciiTheme="minorHAnsi" w:hAnsiTheme="minorHAnsi" w:cstheme="minorHAnsi"/>
          <w:b/>
          <w:sz w:val="26"/>
          <w:szCs w:val="26"/>
        </w:rPr>
      </w:pPr>
      <w:bookmarkStart w:id="0" w:name="_GoBack"/>
      <w:bookmarkEnd w:id="0"/>
      <w:r w:rsidRPr="00C201B8">
        <w:rPr>
          <w:rFonts w:asciiTheme="minorHAnsi" w:hAnsiTheme="minorHAnsi" w:cstheme="minorHAnsi"/>
          <w:b/>
          <w:sz w:val="26"/>
          <w:szCs w:val="26"/>
        </w:rPr>
        <w:t>IN THE HIGH COURT OF SOUTH AFRICA</w:t>
      </w:r>
    </w:p>
    <w:p w:rsidR="00353CD0" w:rsidRPr="00C201B8" w:rsidRDefault="00353CD0" w:rsidP="00353CD0">
      <w:pPr>
        <w:jc w:val="center"/>
        <w:rPr>
          <w:rFonts w:asciiTheme="minorHAnsi" w:hAnsiTheme="minorHAnsi" w:cstheme="minorHAnsi"/>
          <w:b/>
          <w:sz w:val="26"/>
          <w:szCs w:val="26"/>
        </w:rPr>
      </w:pPr>
      <w:r w:rsidRPr="00C201B8">
        <w:rPr>
          <w:rFonts w:asciiTheme="minorHAnsi" w:hAnsiTheme="minorHAnsi" w:cstheme="minorHAnsi"/>
          <w:b/>
          <w:sz w:val="26"/>
          <w:szCs w:val="26"/>
        </w:rPr>
        <w:t xml:space="preserve">GAUTENG DIVISION, </w:t>
      </w:r>
      <w:r w:rsidR="00FD44E2">
        <w:rPr>
          <w:rFonts w:asciiTheme="minorHAnsi" w:hAnsiTheme="minorHAnsi" w:cstheme="minorHAnsi"/>
          <w:b/>
          <w:sz w:val="26"/>
          <w:szCs w:val="26"/>
        </w:rPr>
        <w:t>PRETORIA</w:t>
      </w:r>
    </w:p>
    <w:p w:rsidR="00353CD0" w:rsidRPr="00C201B8" w:rsidRDefault="00353CD0" w:rsidP="00353CD0">
      <w:pPr>
        <w:pStyle w:val="Heading3"/>
      </w:pPr>
    </w:p>
    <w:p w:rsidR="00353CD0" w:rsidRPr="00C201B8" w:rsidRDefault="00353CD0" w:rsidP="00353CD0">
      <w:pPr>
        <w:jc w:val="center"/>
        <w:rPr>
          <w:rFonts w:asciiTheme="minorHAnsi" w:hAnsiTheme="minorHAnsi" w:cstheme="minorHAnsi"/>
          <w:sz w:val="26"/>
          <w:szCs w:val="26"/>
        </w:rPr>
      </w:pPr>
      <w:r w:rsidRPr="00C201B8">
        <w:rPr>
          <w:rFonts w:asciiTheme="minorHAnsi" w:hAnsiTheme="minorHAnsi" w:cstheme="minorHAnsi"/>
          <w:b/>
          <w:noProof/>
          <w:sz w:val="26"/>
          <w:szCs w:val="26"/>
          <w:lang w:val="en-US" w:eastAsia="en-US"/>
        </w:rPr>
        <mc:AlternateContent>
          <mc:Choice Requires="wps">
            <w:drawing>
              <wp:anchor distT="0" distB="0" distL="114300" distR="114300" simplePos="0" relativeHeight="251659264" behindDoc="0" locked="0" layoutInCell="1" allowOverlap="1" wp14:anchorId="11CDB7FD" wp14:editId="1C18158B">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353CD0" w:rsidRPr="008B34AE" w:rsidRDefault="00353CD0" w:rsidP="00353CD0">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353CD0" w:rsidRPr="008B34AE" w:rsidRDefault="00353CD0" w:rsidP="00353CD0">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353CD0" w:rsidRDefault="00353CD0" w:rsidP="00353CD0">
                            <w:pPr>
                              <w:pStyle w:val="ListParagraph"/>
                              <w:numPr>
                                <w:ilvl w:val="0"/>
                                <w:numId w:val="1"/>
                              </w:numPr>
                              <w:spacing w:after="200" w:line="276" w:lineRule="auto"/>
                              <w:suppressOverlap/>
                              <w:rPr>
                                <w:b/>
                                <w:sz w:val="16"/>
                                <w:szCs w:val="16"/>
                              </w:rPr>
                            </w:pPr>
                            <w:r w:rsidRPr="00AB7D21">
                              <w:rPr>
                                <w:b/>
                                <w:sz w:val="16"/>
                                <w:szCs w:val="16"/>
                              </w:rPr>
                              <w:t>Revised</w:t>
                            </w:r>
                          </w:p>
                          <w:p w:rsidR="00353CD0" w:rsidRPr="00AB7D21" w:rsidRDefault="00353CD0" w:rsidP="00353CD0">
                            <w:pPr>
                              <w:spacing w:after="200" w:line="276" w:lineRule="auto"/>
                              <w:ind w:left="360"/>
                              <w:suppressOverlap/>
                              <w:rPr>
                                <w:b/>
                                <w:sz w:val="16"/>
                                <w:szCs w:val="16"/>
                              </w:rPr>
                            </w:pPr>
                            <w:r w:rsidRPr="00AB7D21">
                              <w:rPr>
                                <w:b/>
                                <w:sz w:val="16"/>
                                <w:szCs w:val="16"/>
                              </w:rPr>
                              <w:t>Date:</w:t>
                            </w:r>
                            <w:r>
                              <w:rPr>
                                <w:b/>
                                <w:sz w:val="16"/>
                                <w:szCs w:val="16"/>
                              </w:rPr>
                              <w:t xml:space="preserve"> </w:t>
                            </w:r>
                            <w:r w:rsidR="00FD44E2">
                              <w:rPr>
                                <w:b/>
                                <w:sz w:val="16"/>
                                <w:szCs w:val="16"/>
                              </w:rPr>
                              <w:t>11</w:t>
                            </w:r>
                            <w:r w:rsidRPr="00AB7D21">
                              <w:rPr>
                                <w:b/>
                                <w:sz w:val="16"/>
                                <w:szCs w:val="16"/>
                              </w:rPr>
                              <w:t>/</w:t>
                            </w:r>
                            <w:r>
                              <w:rPr>
                                <w:b/>
                                <w:sz w:val="16"/>
                                <w:szCs w:val="16"/>
                              </w:rPr>
                              <w:t>07</w:t>
                            </w:r>
                            <w:r w:rsidRPr="00AB7D21">
                              <w:rPr>
                                <w:b/>
                                <w:sz w:val="16"/>
                                <w:szCs w:val="16"/>
                              </w:rPr>
                              <w:t>/20</w:t>
                            </w:r>
                            <w:r>
                              <w:rPr>
                                <w:b/>
                                <w:sz w:val="16"/>
                                <w:szCs w:val="16"/>
                              </w:rPr>
                              <w:t>23</w:t>
                            </w:r>
                          </w:p>
                          <w:p w:rsidR="00353CD0" w:rsidRDefault="00353CD0" w:rsidP="00353CD0">
                            <w:pPr>
                              <w:suppressOverlap/>
                              <w:rPr>
                                <w:b/>
                                <w:sz w:val="16"/>
                                <w:szCs w:val="16"/>
                              </w:rPr>
                            </w:pPr>
                            <w:r>
                              <w:rPr>
                                <w:b/>
                                <w:sz w:val="16"/>
                                <w:szCs w:val="16"/>
                              </w:rPr>
                              <w:t xml:space="preserve"> _____________</w:t>
                            </w:r>
                          </w:p>
                          <w:p w:rsidR="00353CD0" w:rsidRDefault="00353CD0" w:rsidP="00353CD0">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CDB7FD"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353CD0" w:rsidRPr="008B34AE" w:rsidRDefault="00353CD0" w:rsidP="00353CD0">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353CD0" w:rsidRPr="008B34AE" w:rsidRDefault="00353CD0" w:rsidP="00353CD0">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353CD0" w:rsidRDefault="00353CD0" w:rsidP="00353CD0">
                      <w:pPr>
                        <w:pStyle w:val="ListParagraph"/>
                        <w:numPr>
                          <w:ilvl w:val="0"/>
                          <w:numId w:val="1"/>
                        </w:numPr>
                        <w:spacing w:after="200" w:line="276" w:lineRule="auto"/>
                        <w:suppressOverlap/>
                        <w:rPr>
                          <w:b/>
                          <w:sz w:val="16"/>
                          <w:szCs w:val="16"/>
                        </w:rPr>
                      </w:pPr>
                      <w:r w:rsidRPr="00AB7D21">
                        <w:rPr>
                          <w:b/>
                          <w:sz w:val="16"/>
                          <w:szCs w:val="16"/>
                        </w:rPr>
                        <w:t>Revised</w:t>
                      </w:r>
                    </w:p>
                    <w:p w:rsidR="00353CD0" w:rsidRPr="00AB7D21" w:rsidRDefault="00353CD0" w:rsidP="00353CD0">
                      <w:pPr>
                        <w:spacing w:after="200" w:line="276" w:lineRule="auto"/>
                        <w:ind w:left="360"/>
                        <w:suppressOverlap/>
                        <w:rPr>
                          <w:b/>
                          <w:sz w:val="16"/>
                          <w:szCs w:val="16"/>
                        </w:rPr>
                      </w:pPr>
                      <w:r w:rsidRPr="00AB7D21">
                        <w:rPr>
                          <w:b/>
                          <w:sz w:val="16"/>
                          <w:szCs w:val="16"/>
                        </w:rPr>
                        <w:t>Date:</w:t>
                      </w:r>
                      <w:r>
                        <w:rPr>
                          <w:b/>
                          <w:sz w:val="16"/>
                          <w:szCs w:val="16"/>
                        </w:rPr>
                        <w:t xml:space="preserve"> </w:t>
                      </w:r>
                      <w:r w:rsidR="00FD44E2">
                        <w:rPr>
                          <w:b/>
                          <w:sz w:val="16"/>
                          <w:szCs w:val="16"/>
                        </w:rPr>
                        <w:t>11</w:t>
                      </w:r>
                      <w:r w:rsidRPr="00AB7D21">
                        <w:rPr>
                          <w:b/>
                          <w:sz w:val="16"/>
                          <w:szCs w:val="16"/>
                        </w:rPr>
                        <w:t>/</w:t>
                      </w:r>
                      <w:r>
                        <w:rPr>
                          <w:b/>
                          <w:sz w:val="16"/>
                          <w:szCs w:val="16"/>
                        </w:rPr>
                        <w:t>07</w:t>
                      </w:r>
                      <w:r w:rsidRPr="00AB7D21">
                        <w:rPr>
                          <w:b/>
                          <w:sz w:val="16"/>
                          <w:szCs w:val="16"/>
                        </w:rPr>
                        <w:t>/20</w:t>
                      </w:r>
                      <w:r>
                        <w:rPr>
                          <w:b/>
                          <w:sz w:val="16"/>
                          <w:szCs w:val="16"/>
                        </w:rPr>
                        <w:t>23</w:t>
                      </w:r>
                    </w:p>
                    <w:p w:rsidR="00353CD0" w:rsidRDefault="00353CD0" w:rsidP="00353CD0">
                      <w:pPr>
                        <w:suppressOverlap/>
                        <w:rPr>
                          <w:b/>
                          <w:sz w:val="16"/>
                          <w:szCs w:val="16"/>
                        </w:rPr>
                      </w:pPr>
                      <w:r>
                        <w:rPr>
                          <w:b/>
                          <w:sz w:val="16"/>
                          <w:szCs w:val="16"/>
                        </w:rPr>
                        <w:t xml:space="preserve"> _____________</w:t>
                      </w:r>
                    </w:p>
                    <w:p w:rsidR="00353CD0" w:rsidRDefault="00353CD0" w:rsidP="00353CD0">
                      <w:pPr>
                        <w:suppressOverlap/>
                      </w:pPr>
                      <w:r>
                        <w:t>A Maier-Frawley</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US" w:eastAsia="en-US"/>
        </w:rPr>
        <w:drawing>
          <wp:inline distT="0" distB="0" distL="0" distR="0" wp14:anchorId="62FF248D" wp14:editId="712A11C2">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353CD0" w:rsidRDefault="00353CD0" w:rsidP="00353CD0">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2021/</w:t>
      </w:r>
      <w:r w:rsidR="00FD44E2">
        <w:rPr>
          <w:rFonts w:asciiTheme="minorHAnsi" w:hAnsiTheme="minorHAnsi" w:cstheme="minorHAnsi"/>
          <w:sz w:val="26"/>
          <w:szCs w:val="26"/>
        </w:rPr>
        <w:t>22775</w:t>
      </w:r>
    </w:p>
    <w:p w:rsidR="00353CD0" w:rsidRDefault="00353CD0" w:rsidP="00353CD0">
      <w:pPr>
        <w:spacing w:after="120"/>
        <w:jc w:val="right"/>
        <w:rPr>
          <w:rFonts w:asciiTheme="minorHAnsi" w:hAnsiTheme="minorHAnsi" w:cstheme="minorHAnsi"/>
          <w:sz w:val="26"/>
          <w:szCs w:val="26"/>
        </w:rPr>
      </w:pPr>
    </w:p>
    <w:p w:rsidR="00353CD0" w:rsidRDefault="00353CD0" w:rsidP="00353CD0">
      <w:pPr>
        <w:jc w:val="both"/>
        <w:rPr>
          <w:rFonts w:asciiTheme="minorHAnsi" w:hAnsiTheme="minorHAnsi" w:cstheme="minorHAnsi"/>
          <w:sz w:val="26"/>
          <w:szCs w:val="26"/>
        </w:rPr>
      </w:pPr>
    </w:p>
    <w:p w:rsidR="00353CD0" w:rsidRDefault="00353CD0" w:rsidP="00353CD0">
      <w:pPr>
        <w:jc w:val="both"/>
        <w:rPr>
          <w:rFonts w:asciiTheme="minorHAnsi" w:hAnsiTheme="minorHAnsi" w:cstheme="minorHAnsi"/>
          <w:sz w:val="26"/>
          <w:szCs w:val="26"/>
        </w:rPr>
      </w:pPr>
    </w:p>
    <w:p w:rsidR="00353CD0" w:rsidRPr="00C201B8" w:rsidRDefault="00353CD0" w:rsidP="00353CD0">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353CD0" w:rsidRDefault="00353CD0" w:rsidP="00353CD0">
      <w:pPr>
        <w:ind w:right="-46"/>
        <w:rPr>
          <w:rFonts w:asciiTheme="minorHAnsi" w:hAnsiTheme="minorHAnsi" w:cstheme="minorHAnsi"/>
          <w:b/>
          <w:sz w:val="26"/>
          <w:szCs w:val="26"/>
        </w:rPr>
      </w:pPr>
    </w:p>
    <w:p w:rsidR="00353CD0" w:rsidRDefault="00353CD0" w:rsidP="00353CD0">
      <w:pPr>
        <w:ind w:right="-46"/>
        <w:rPr>
          <w:rFonts w:asciiTheme="minorHAnsi" w:hAnsiTheme="minorHAnsi" w:cstheme="minorHAnsi"/>
          <w:sz w:val="26"/>
          <w:szCs w:val="26"/>
        </w:rPr>
      </w:pPr>
      <w:r>
        <w:rPr>
          <w:rFonts w:asciiTheme="minorHAnsi" w:hAnsiTheme="minorHAnsi" w:cstheme="minorHAnsi"/>
          <w:b/>
          <w:sz w:val="26"/>
          <w:szCs w:val="26"/>
        </w:rPr>
        <w:t>MALEBYE MOTAUNG MTEMBU ATTORNEYS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Applicant</w:t>
      </w:r>
    </w:p>
    <w:p w:rsidR="00353CD0" w:rsidRPr="00031ACD" w:rsidRDefault="00353CD0" w:rsidP="00353CD0">
      <w:pPr>
        <w:ind w:right="-46"/>
        <w:rPr>
          <w:rFonts w:asciiTheme="minorHAnsi" w:hAnsiTheme="minorHAnsi" w:cstheme="minorHAnsi"/>
          <w:sz w:val="26"/>
          <w:szCs w:val="26"/>
        </w:rPr>
      </w:pPr>
    </w:p>
    <w:p w:rsidR="00353CD0" w:rsidRPr="006168BD" w:rsidRDefault="00353CD0" w:rsidP="00353CD0">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rsidR="00353CD0" w:rsidRPr="00B13FBA" w:rsidRDefault="00353CD0" w:rsidP="00353CD0">
      <w:pPr>
        <w:ind w:right="-46"/>
        <w:rPr>
          <w:rFonts w:asciiTheme="minorHAnsi" w:hAnsiTheme="minorHAnsi" w:cstheme="minorHAnsi"/>
          <w:sz w:val="26"/>
          <w:szCs w:val="26"/>
        </w:rPr>
      </w:pPr>
    </w:p>
    <w:p w:rsidR="00353CD0" w:rsidRDefault="00353CD0" w:rsidP="00353CD0">
      <w:pPr>
        <w:ind w:right="-46"/>
        <w:rPr>
          <w:rFonts w:asciiTheme="minorHAnsi" w:hAnsiTheme="minorHAnsi" w:cstheme="minorHAnsi"/>
          <w:sz w:val="26"/>
          <w:szCs w:val="26"/>
        </w:rPr>
      </w:pPr>
      <w:r>
        <w:rPr>
          <w:rFonts w:asciiTheme="minorHAnsi" w:hAnsiTheme="minorHAnsi" w:cstheme="minorHAnsi"/>
          <w:b/>
          <w:sz w:val="26"/>
          <w:szCs w:val="26"/>
        </w:rPr>
        <w:t>ONGA NTOZINI</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First Respondent</w:t>
      </w:r>
    </w:p>
    <w:p w:rsidR="00353CD0" w:rsidRDefault="00353CD0" w:rsidP="00353CD0">
      <w:pPr>
        <w:ind w:right="-46"/>
        <w:rPr>
          <w:rFonts w:asciiTheme="minorHAnsi" w:hAnsiTheme="minorHAnsi" w:cstheme="minorHAnsi"/>
          <w:sz w:val="26"/>
          <w:szCs w:val="26"/>
        </w:rPr>
      </w:pPr>
      <w:r>
        <w:rPr>
          <w:rFonts w:asciiTheme="minorHAnsi" w:hAnsiTheme="minorHAnsi" w:cstheme="minorHAnsi"/>
          <w:b/>
          <w:sz w:val="26"/>
          <w:szCs w:val="26"/>
        </w:rPr>
        <w:t>FIRST NATIONAL BANK LTD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Respondent</w:t>
      </w:r>
    </w:p>
    <w:p w:rsidR="00353CD0" w:rsidRDefault="00353CD0" w:rsidP="00353CD0">
      <w:pPr>
        <w:ind w:right="-46"/>
        <w:rPr>
          <w:rFonts w:asciiTheme="minorHAnsi" w:hAnsiTheme="minorHAnsi" w:cstheme="minorHAnsi"/>
          <w:sz w:val="26"/>
          <w:szCs w:val="26"/>
        </w:rPr>
      </w:pPr>
      <w:r>
        <w:rPr>
          <w:rFonts w:asciiTheme="minorHAnsi" w:hAnsiTheme="minorHAnsi" w:cstheme="minorHAnsi"/>
          <w:b/>
          <w:sz w:val="26"/>
          <w:szCs w:val="26"/>
        </w:rPr>
        <w:t>STANDARD BANK OF SOUTH AFRICA LTD</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sidRPr="00353CD0">
        <w:rPr>
          <w:rFonts w:asciiTheme="minorHAnsi" w:hAnsiTheme="minorHAnsi" w:cstheme="minorHAnsi"/>
          <w:sz w:val="26"/>
          <w:szCs w:val="26"/>
        </w:rPr>
        <w:t xml:space="preserve">           </w:t>
      </w:r>
      <w:r>
        <w:rPr>
          <w:rFonts w:asciiTheme="minorHAnsi" w:hAnsiTheme="minorHAnsi" w:cstheme="minorHAnsi"/>
          <w:sz w:val="26"/>
          <w:szCs w:val="26"/>
        </w:rPr>
        <w:t xml:space="preserve"> Third Respondent</w:t>
      </w:r>
    </w:p>
    <w:p w:rsidR="00353CD0" w:rsidRDefault="00353CD0" w:rsidP="00353CD0">
      <w:pPr>
        <w:ind w:right="-46"/>
        <w:rPr>
          <w:rFonts w:asciiTheme="minorHAnsi" w:hAnsiTheme="minorHAnsi" w:cstheme="minorHAnsi"/>
          <w:sz w:val="26"/>
          <w:szCs w:val="26"/>
        </w:rPr>
      </w:pPr>
      <w:r>
        <w:rPr>
          <w:rFonts w:asciiTheme="minorHAnsi" w:hAnsiTheme="minorHAnsi" w:cstheme="minorHAnsi"/>
          <w:b/>
          <w:sz w:val="26"/>
          <w:szCs w:val="26"/>
        </w:rPr>
        <w:t>ABSA LTD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Fourth Respondent</w:t>
      </w:r>
    </w:p>
    <w:p w:rsidR="00353CD0" w:rsidRPr="00353CD0" w:rsidRDefault="00353CD0" w:rsidP="00353CD0">
      <w:pPr>
        <w:ind w:right="-46"/>
        <w:rPr>
          <w:rFonts w:asciiTheme="minorHAnsi" w:hAnsiTheme="minorHAnsi" w:cstheme="minorHAnsi"/>
          <w:sz w:val="26"/>
          <w:szCs w:val="26"/>
        </w:rPr>
      </w:pPr>
      <w:r>
        <w:rPr>
          <w:rFonts w:asciiTheme="minorHAnsi" w:hAnsiTheme="minorHAnsi" w:cstheme="minorHAnsi"/>
          <w:b/>
          <w:sz w:val="26"/>
          <w:szCs w:val="26"/>
        </w:rPr>
        <w:t>L MBANJWA INCORPORATED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F432F9">
        <w:rPr>
          <w:rFonts w:asciiTheme="minorHAnsi" w:hAnsiTheme="minorHAnsi" w:cstheme="minorHAnsi"/>
          <w:sz w:val="26"/>
          <w:szCs w:val="26"/>
        </w:rPr>
        <w:t xml:space="preserve"> </w:t>
      </w:r>
      <w:r>
        <w:rPr>
          <w:rFonts w:asciiTheme="minorHAnsi" w:hAnsiTheme="minorHAnsi" w:cstheme="minorHAnsi"/>
          <w:sz w:val="26"/>
          <w:szCs w:val="26"/>
        </w:rPr>
        <w:t>Fifth Respondent</w:t>
      </w:r>
    </w:p>
    <w:p w:rsidR="00353CD0" w:rsidRPr="00353CD0" w:rsidRDefault="00353CD0" w:rsidP="00353CD0">
      <w:pPr>
        <w:ind w:right="-46"/>
        <w:rPr>
          <w:rFonts w:asciiTheme="minorHAnsi" w:hAnsiTheme="minorHAnsi" w:cstheme="minorHAnsi"/>
          <w:sz w:val="26"/>
          <w:szCs w:val="26"/>
        </w:rPr>
      </w:pPr>
      <w:r>
        <w:rPr>
          <w:rFonts w:asciiTheme="minorHAnsi" w:hAnsiTheme="minorHAnsi" w:cstheme="minorHAnsi"/>
          <w:b/>
          <w:sz w:val="26"/>
          <w:szCs w:val="26"/>
        </w:rPr>
        <w:t>ZAZI NTOZINI</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Sixth Respondent</w:t>
      </w:r>
    </w:p>
    <w:p w:rsidR="00353CD0" w:rsidRPr="00353CD0" w:rsidRDefault="00353CD0" w:rsidP="00353CD0">
      <w:pPr>
        <w:ind w:right="-46"/>
        <w:rPr>
          <w:rFonts w:asciiTheme="minorHAnsi" w:hAnsiTheme="minorHAnsi" w:cstheme="minorHAnsi"/>
          <w:sz w:val="26"/>
          <w:szCs w:val="26"/>
        </w:rPr>
      </w:pPr>
      <w:r>
        <w:rPr>
          <w:rFonts w:asciiTheme="minorHAnsi" w:hAnsiTheme="minorHAnsi" w:cstheme="minorHAnsi"/>
          <w:b/>
          <w:sz w:val="26"/>
          <w:szCs w:val="26"/>
        </w:rPr>
        <w:t>LETHABO GAILELE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Seventh Respondent</w:t>
      </w:r>
    </w:p>
    <w:p w:rsidR="00353CD0" w:rsidRPr="00F432F9" w:rsidRDefault="00F432F9" w:rsidP="00353CD0">
      <w:pPr>
        <w:ind w:right="-46"/>
        <w:rPr>
          <w:rFonts w:asciiTheme="minorHAnsi" w:hAnsiTheme="minorHAnsi" w:cstheme="minorHAnsi"/>
          <w:sz w:val="26"/>
          <w:szCs w:val="26"/>
        </w:rPr>
      </w:pPr>
      <w:r>
        <w:rPr>
          <w:rFonts w:asciiTheme="minorHAnsi" w:hAnsiTheme="minorHAnsi" w:cstheme="minorHAnsi"/>
          <w:b/>
          <w:sz w:val="26"/>
          <w:szCs w:val="26"/>
        </w:rPr>
        <w:t>BUSISIWE PHELEU</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Eighth Respondent</w:t>
      </w:r>
    </w:p>
    <w:p w:rsidR="00134981" w:rsidRPr="00F432F9" w:rsidRDefault="00F432F9" w:rsidP="00353CD0">
      <w:pPr>
        <w:ind w:right="-46"/>
        <w:rPr>
          <w:rFonts w:asciiTheme="minorHAnsi" w:hAnsiTheme="minorHAnsi" w:cstheme="minorHAnsi"/>
          <w:sz w:val="26"/>
          <w:szCs w:val="26"/>
        </w:rPr>
      </w:pPr>
      <w:r>
        <w:rPr>
          <w:rFonts w:asciiTheme="minorHAnsi" w:hAnsiTheme="minorHAnsi" w:cstheme="minorHAnsi"/>
          <w:b/>
          <w:sz w:val="26"/>
          <w:szCs w:val="26"/>
        </w:rPr>
        <w:t>ST. STITHIAN COLLEGE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Ninth Respondent</w:t>
      </w:r>
    </w:p>
    <w:p w:rsidR="00353CD0" w:rsidRPr="00F432F9" w:rsidRDefault="00F432F9" w:rsidP="00353CD0">
      <w:pPr>
        <w:ind w:right="-46"/>
        <w:rPr>
          <w:rFonts w:asciiTheme="minorHAnsi" w:hAnsiTheme="minorHAnsi" w:cstheme="minorHAnsi"/>
          <w:sz w:val="26"/>
          <w:szCs w:val="26"/>
        </w:rPr>
      </w:pPr>
      <w:r>
        <w:rPr>
          <w:rFonts w:asciiTheme="minorHAnsi" w:hAnsiTheme="minorHAnsi" w:cstheme="minorHAnsi"/>
          <w:b/>
          <w:sz w:val="26"/>
          <w:szCs w:val="26"/>
        </w:rPr>
        <w:t>REALTY 1</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Tenth Respondent</w:t>
      </w:r>
    </w:p>
    <w:p w:rsidR="00353CD0" w:rsidRDefault="00353CD0" w:rsidP="00353CD0">
      <w:pPr>
        <w:spacing w:after="120"/>
        <w:jc w:val="both"/>
        <w:rPr>
          <w:rFonts w:asciiTheme="minorHAnsi" w:hAnsiTheme="minorHAnsi" w:cstheme="minorHAnsi"/>
          <w:sz w:val="26"/>
          <w:szCs w:val="26"/>
        </w:rPr>
      </w:pPr>
    </w:p>
    <w:p w:rsidR="00353CD0" w:rsidRPr="00C201B8" w:rsidRDefault="00353CD0" w:rsidP="00353CD0">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353CD0" w:rsidRPr="00C201B8" w:rsidRDefault="00353CD0" w:rsidP="00353CD0">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353CD0" w:rsidRPr="00C201B8" w:rsidRDefault="00353CD0" w:rsidP="00353CD0">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353CD0" w:rsidRDefault="00353CD0" w:rsidP="00353CD0">
      <w:pPr>
        <w:rPr>
          <w:rFonts w:asciiTheme="minorHAnsi" w:hAnsiTheme="minorHAnsi" w:cstheme="minorHAnsi"/>
          <w:b/>
          <w:sz w:val="26"/>
          <w:szCs w:val="26"/>
        </w:rPr>
      </w:pPr>
    </w:p>
    <w:p w:rsidR="00353CD0" w:rsidRPr="009706D5" w:rsidRDefault="00353CD0" w:rsidP="00353CD0">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353CD0" w:rsidRDefault="00353CD0" w:rsidP="00353CD0">
      <w:pPr>
        <w:rPr>
          <w:rFonts w:asciiTheme="minorHAnsi" w:hAnsiTheme="minorHAnsi" w:cstheme="minorHAnsi"/>
          <w:sz w:val="26"/>
          <w:szCs w:val="26"/>
        </w:rPr>
      </w:pPr>
    </w:p>
    <w:p w:rsidR="00DC4477" w:rsidRDefault="00353CD0"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The </w:t>
      </w:r>
      <w:r w:rsidR="007E029B">
        <w:rPr>
          <w:rFonts w:asciiTheme="minorHAnsi" w:hAnsiTheme="minorHAnsi" w:cstheme="minorHAnsi"/>
          <w:sz w:val="26"/>
          <w:szCs w:val="26"/>
        </w:rPr>
        <w:t xml:space="preserve">applicant is a firm of attorneys </w:t>
      </w:r>
      <w:r w:rsidR="005D6CF4">
        <w:rPr>
          <w:rFonts w:asciiTheme="minorHAnsi" w:hAnsiTheme="minorHAnsi" w:cstheme="minorHAnsi"/>
          <w:sz w:val="26"/>
          <w:szCs w:val="26"/>
        </w:rPr>
        <w:t>who previously employed</w:t>
      </w:r>
      <w:r w:rsidR="007E029B">
        <w:rPr>
          <w:rFonts w:asciiTheme="minorHAnsi" w:hAnsiTheme="minorHAnsi" w:cstheme="minorHAnsi"/>
          <w:sz w:val="26"/>
          <w:szCs w:val="26"/>
        </w:rPr>
        <w:t xml:space="preserve"> the first respondent in the </w:t>
      </w:r>
      <w:r w:rsidR="005D6CF4">
        <w:rPr>
          <w:rFonts w:asciiTheme="minorHAnsi" w:hAnsiTheme="minorHAnsi" w:cstheme="minorHAnsi"/>
          <w:sz w:val="26"/>
          <w:szCs w:val="26"/>
        </w:rPr>
        <w:t>position of candidate attorney.</w:t>
      </w:r>
      <w:r w:rsidR="00607245">
        <w:rPr>
          <w:rStyle w:val="FootnoteReference"/>
          <w:rFonts w:asciiTheme="minorHAnsi" w:hAnsiTheme="minorHAnsi" w:cstheme="minorHAnsi"/>
          <w:sz w:val="26"/>
          <w:szCs w:val="26"/>
        </w:rPr>
        <w:footnoteReference w:id="1"/>
      </w:r>
      <w:r w:rsidR="007E029B">
        <w:rPr>
          <w:rFonts w:asciiTheme="minorHAnsi" w:hAnsiTheme="minorHAnsi" w:cstheme="minorHAnsi"/>
          <w:sz w:val="26"/>
          <w:szCs w:val="26"/>
        </w:rPr>
        <w:t xml:space="preserve"> </w:t>
      </w:r>
      <w:r w:rsidR="00DC4477">
        <w:rPr>
          <w:rFonts w:asciiTheme="minorHAnsi" w:hAnsiTheme="minorHAnsi" w:cstheme="minorHAnsi"/>
          <w:sz w:val="26"/>
          <w:szCs w:val="26"/>
        </w:rPr>
        <w:t xml:space="preserve">In such position, the first respondent inter alia conducted litigation on behalf of clients of the applicant. </w:t>
      </w:r>
    </w:p>
    <w:p w:rsidR="00DC4477" w:rsidRDefault="00DC4477" w:rsidP="00DC4477">
      <w:pPr>
        <w:pStyle w:val="ListParagraph"/>
        <w:spacing w:after="200" w:line="360" w:lineRule="auto"/>
        <w:ind w:left="851"/>
        <w:jc w:val="both"/>
        <w:rPr>
          <w:rFonts w:asciiTheme="minorHAnsi" w:hAnsiTheme="minorHAnsi" w:cstheme="minorHAnsi"/>
          <w:sz w:val="26"/>
          <w:szCs w:val="26"/>
        </w:rPr>
      </w:pPr>
    </w:p>
    <w:p w:rsidR="00DC4477" w:rsidRDefault="005D6CF4"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fifth respondent </w:t>
      </w:r>
      <w:r w:rsidR="00DC4477">
        <w:rPr>
          <w:rFonts w:asciiTheme="minorHAnsi" w:hAnsiTheme="minorHAnsi" w:cstheme="minorHAnsi"/>
          <w:sz w:val="26"/>
          <w:szCs w:val="26"/>
        </w:rPr>
        <w:t xml:space="preserve">is the first </w:t>
      </w:r>
      <w:r>
        <w:rPr>
          <w:rFonts w:asciiTheme="minorHAnsi" w:hAnsiTheme="minorHAnsi" w:cstheme="minorHAnsi"/>
          <w:sz w:val="26"/>
          <w:szCs w:val="26"/>
        </w:rPr>
        <w:t>respondent’s attorney</w:t>
      </w:r>
      <w:r w:rsidR="00DC4477">
        <w:rPr>
          <w:rFonts w:asciiTheme="minorHAnsi" w:hAnsiTheme="minorHAnsi" w:cstheme="minorHAnsi"/>
          <w:sz w:val="26"/>
          <w:szCs w:val="26"/>
        </w:rPr>
        <w:t>s</w:t>
      </w:r>
      <w:r>
        <w:rPr>
          <w:rFonts w:asciiTheme="minorHAnsi" w:hAnsiTheme="minorHAnsi" w:cstheme="minorHAnsi"/>
          <w:sz w:val="26"/>
          <w:szCs w:val="26"/>
        </w:rPr>
        <w:t xml:space="preserve"> of record </w:t>
      </w:r>
      <w:r w:rsidR="00DC4477">
        <w:rPr>
          <w:rFonts w:asciiTheme="minorHAnsi" w:hAnsiTheme="minorHAnsi" w:cstheme="minorHAnsi"/>
          <w:sz w:val="26"/>
          <w:szCs w:val="26"/>
        </w:rPr>
        <w:t xml:space="preserve">in these proceedings. The fifth respondent </w:t>
      </w:r>
      <w:r w:rsidR="004C1FC5">
        <w:rPr>
          <w:rFonts w:asciiTheme="minorHAnsi" w:hAnsiTheme="minorHAnsi" w:cstheme="minorHAnsi"/>
          <w:sz w:val="26"/>
          <w:szCs w:val="26"/>
        </w:rPr>
        <w:t>h</w:t>
      </w:r>
      <w:r>
        <w:rPr>
          <w:rFonts w:asciiTheme="minorHAnsi" w:hAnsiTheme="minorHAnsi" w:cstheme="minorHAnsi"/>
          <w:sz w:val="26"/>
          <w:szCs w:val="26"/>
        </w:rPr>
        <w:t>olds an amount of R118 000.00 in its trust account on behalf of the first respondent</w:t>
      </w:r>
      <w:r w:rsidR="00DC4477">
        <w:rPr>
          <w:rFonts w:asciiTheme="minorHAnsi" w:hAnsiTheme="minorHAnsi" w:cstheme="minorHAnsi"/>
          <w:sz w:val="26"/>
          <w:szCs w:val="26"/>
        </w:rPr>
        <w:t xml:space="preserve">, which </w:t>
      </w:r>
      <w:r w:rsidR="00607245">
        <w:rPr>
          <w:rFonts w:asciiTheme="minorHAnsi" w:hAnsiTheme="minorHAnsi" w:cstheme="minorHAnsi"/>
          <w:sz w:val="26"/>
          <w:szCs w:val="26"/>
        </w:rPr>
        <w:t xml:space="preserve">amount </w:t>
      </w:r>
      <w:r w:rsidR="00DC4477">
        <w:rPr>
          <w:rFonts w:asciiTheme="minorHAnsi" w:hAnsiTheme="minorHAnsi" w:cstheme="minorHAnsi"/>
          <w:sz w:val="26"/>
          <w:szCs w:val="26"/>
        </w:rPr>
        <w:t xml:space="preserve">the first respondent tendered </w:t>
      </w:r>
      <w:r w:rsidR="00607245">
        <w:rPr>
          <w:rFonts w:asciiTheme="minorHAnsi" w:hAnsiTheme="minorHAnsi" w:cstheme="minorHAnsi"/>
          <w:sz w:val="26"/>
          <w:szCs w:val="26"/>
        </w:rPr>
        <w:t xml:space="preserve">in his answering affidavit </w:t>
      </w:r>
      <w:r w:rsidR="00DC4477">
        <w:rPr>
          <w:rFonts w:asciiTheme="minorHAnsi" w:hAnsiTheme="minorHAnsi" w:cstheme="minorHAnsi"/>
          <w:sz w:val="26"/>
          <w:szCs w:val="26"/>
        </w:rPr>
        <w:t xml:space="preserve">to pay to the applicant </w:t>
      </w:r>
      <w:r w:rsidR="00607245">
        <w:rPr>
          <w:rFonts w:asciiTheme="minorHAnsi" w:hAnsiTheme="minorHAnsi" w:cstheme="minorHAnsi"/>
          <w:sz w:val="26"/>
          <w:szCs w:val="26"/>
        </w:rPr>
        <w:t xml:space="preserve">in partial satisfaction of its claim </w:t>
      </w:r>
      <w:r w:rsidR="000B6C72">
        <w:rPr>
          <w:rFonts w:asciiTheme="minorHAnsi" w:hAnsiTheme="minorHAnsi" w:cstheme="minorHAnsi"/>
          <w:sz w:val="26"/>
          <w:szCs w:val="26"/>
        </w:rPr>
        <w:t>for the recovery of funds that had been stolen by the first respondent. The fifth respondent filed a notice to abide the court’s decision in this matter and no</w:t>
      </w:r>
      <w:r w:rsidR="004C1FC5">
        <w:rPr>
          <w:rFonts w:asciiTheme="minorHAnsi" w:hAnsiTheme="minorHAnsi" w:cstheme="minorHAnsi"/>
          <w:sz w:val="26"/>
          <w:szCs w:val="26"/>
        </w:rPr>
        <w:t xml:space="preserve"> order for costs was sought against the fifth respondent in the </w:t>
      </w:r>
      <w:r w:rsidR="00707A74">
        <w:rPr>
          <w:rFonts w:asciiTheme="minorHAnsi" w:hAnsiTheme="minorHAnsi" w:cstheme="minorHAnsi"/>
          <w:sz w:val="26"/>
          <w:szCs w:val="26"/>
        </w:rPr>
        <w:t xml:space="preserve">applicant’s </w:t>
      </w:r>
      <w:r w:rsidR="00DC4477">
        <w:rPr>
          <w:rFonts w:asciiTheme="minorHAnsi" w:hAnsiTheme="minorHAnsi" w:cstheme="minorHAnsi"/>
          <w:sz w:val="26"/>
          <w:szCs w:val="26"/>
        </w:rPr>
        <w:t xml:space="preserve">amended notice </w:t>
      </w:r>
      <w:r w:rsidR="004C1FC5">
        <w:rPr>
          <w:rFonts w:asciiTheme="minorHAnsi" w:hAnsiTheme="minorHAnsi" w:cstheme="minorHAnsi"/>
          <w:sz w:val="26"/>
          <w:szCs w:val="26"/>
        </w:rPr>
        <w:t xml:space="preserve">of </w:t>
      </w:r>
      <w:r w:rsidR="00DC4477">
        <w:rPr>
          <w:rFonts w:asciiTheme="minorHAnsi" w:hAnsiTheme="minorHAnsi" w:cstheme="minorHAnsi"/>
          <w:sz w:val="26"/>
          <w:szCs w:val="26"/>
        </w:rPr>
        <w:t>motion filed of record</w:t>
      </w:r>
      <w:r>
        <w:rPr>
          <w:rFonts w:asciiTheme="minorHAnsi" w:hAnsiTheme="minorHAnsi" w:cstheme="minorHAnsi"/>
          <w:sz w:val="26"/>
          <w:szCs w:val="26"/>
        </w:rPr>
        <w:t xml:space="preserve">. </w:t>
      </w:r>
    </w:p>
    <w:p w:rsidR="000B6C72" w:rsidRPr="000B6C72" w:rsidRDefault="000B6C72" w:rsidP="000B6C72">
      <w:pPr>
        <w:pStyle w:val="ListParagraph"/>
        <w:rPr>
          <w:rFonts w:asciiTheme="minorHAnsi" w:hAnsiTheme="minorHAnsi" w:cstheme="minorHAnsi"/>
          <w:sz w:val="26"/>
          <w:szCs w:val="26"/>
        </w:rPr>
      </w:pPr>
    </w:p>
    <w:p w:rsidR="000B6C72" w:rsidRDefault="000B6C72"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applicant initially sought relief in terms of its amended notice of motion filed of record.</w:t>
      </w:r>
      <w:r>
        <w:rPr>
          <w:rStyle w:val="FootnoteReference"/>
          <w:rFonts w:asciiTheme="minorHAnsi" w:hAnsiTheme="minorHAnsi" w:cstheme="minorHAnsi"/>
          <w:sz w:val="26"/>
          <w:szCs w:val="26"/>
        </w:rPr>
        <w:footnoteReference w:id="2"/>
      </w:r>
      <w:r>
        <w:rPr>
          <w:rFonts w:asciiTheme="minorHAnsi" w:hAnsiTheme="minorHAnsi" w:cstheme="minorHAnsi"/>
          <w:sz w:val="26"/>
          <w:szCs w:val="26"/>
        </w:rPr>
        <w:t xml:space="preserve"> However, at the conclusion of oral argument tendered at the hearing of the matter, certain claims, amongst others, those against the third and fourth respondents (relating to stolen funds that the first respondent had transferred into his Standard bank account and into the eighth respondent’s Absa Bank account respectively) and those against the ninth and tenth respondents were abandoned, with no order for costs being sought against the second to tenth respondents.</w:t>
      </w:r>
    </w:p>
    <w:p w:rsidR="00DC4477" w:rsidRDefault="00DC4477" w:rsidP="00DC4477">
      <w:pPr>
        <w:pStyle w:val="ListParagraph"/>
        <w:spacing w:after="200" w:line="360" w:lineRule="auto"/>
        <w:ind w:left="851"/>
        <w:jc w:val="both"/>
        <w:rPr>
          <w:rFonts w:asciiTheme="minorHAnsi" w:hAnsiTheme="minorHAnsi" w:cstheme="minorHAnsi"/>
          <w:sz w:val="26"/>
          <w:szCs w:val="26"/>
        </w:rPr>
      </w:pPr>
    </w:p>
    <w:p w:rsidR="00353CD0" w:rsidRDefault="004C1FC5"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Only the first respondent opposed the application. </w:t>
      </w:r>
      <w:r w:rsidR="00607245">
        <w:rPr>
          <w:rFonts w:asciiTheme="minorHAnsi" w:hAnsiTheme="minorHAnsi" w:cstheme="minorHAnsi"/>
          <w:sz w:val="26"/>
          <w:szCs w:val="26"/>
        </w:rPr>
        <w:t>None of the</w:t>
      </w:r>
      <w:r w:rsidR="005D6CF4">
        <w:rPr>
          <w:rFonts w:asciiTheme="minorHAnsi" w:hAnsiTheme="minorHAnsi" w:cstheme="minorHAnsi"/>
          <w:sz w:val="26"/>
          <w:szCs w:val="26"/>
        </w:rPr>
        <w:t xml:space="preserve"> other respondents</w:t>
      </w:r>
      <w:r w:rsidR="00DC4477">
        <w:rPr>
          <w:rFonts w:asciiTheme="minorHAnsi" w:hAnsiTheme="minorHAnsi" w:cstheme="minorHAnsi"/>
          <w:sz w:val="26"/>
          <w:szCs w:val="26"/>
        </w:rPr>
        <w:t xml:space="preserve"> </w:t>
      </w:r>
      <w:r w:rsidR="005D6CF4">
        <w:rPr>
          <w:rFonts w:asciiTheme="minorHAnsi" w:hAnsiTheme="minorHAnsi" w:cstheme="minorHAnsi"/>
          <w:sz w:val="26"/>
          <w:szCs w:val="26"/>
        </w:rPr>
        <w:t>participate</w:t>
      </w:r>
      <w:r w:rsidR="00607245">
        <w:rPr>
          <w:rFonts w:asciiTheme="minorHAnsi" w:hAnsiTheme="minorHAnsi" w:cstheme="minorHAnsi"/>
          <w:sz w:val="26"/>
          <w:szCs w:val="26"/>
        </w:rPr>
        <w:t>d</w:t>
      </w:r>
      <w:r w:rsidR="005D6CF4">
        <w:rPr>
          <w:rFonts w:asciiTheme="minorHAnsi" w:hAnsiTheme="minorHAnsi" w:cstheme="minorHAnsi"/>
          <w:sz w:val="26"/>
          <w:szCs w:val="26"/>
        </w:rPr>
        <w:t xml:space="preserve"> in these proceedings.</w:t>
      </w:r>
    </w:p>
    <w:p w:rsidR="00353CD0" w:rsidRDefault="00353CD0" w:rsidP="00353CD0">
      <w:pPr>
        <w:pStyle w:val="ListParagraph"/>
        <w:rPr>
          <w:rFonts w:asciiTheme="minorHAnsi" w:hAnsiTheme="minorHAnsi" w:cstheme="minorHAnsi"/>
          <w:sz w:val="26"/>
          <w:szCs w:val="26"/>
        </w:rPr>
      </w:pPr>
    </w:p>
    <w:p w:rsidR="00353CD0" w:rsidRDefault="00607245"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relevant </w:t>
      </w:r>
      <w:r w:rsidR="00F77183">
        <w:rPr>
          <w:rFonts w:asciiTheme="minorHAnsi" w:hAnsiTheme="minorHAnsi" w:cstheme="minorHAnsi"/>
          <w:sz w:val="26"/>
          <w:szCs w:val="26"/>
        </w:rPr>
        <w:t xml:space="preserve">undisputed or unrefuted background </w:t>
      </w:r>
      <w:r>
        <w:rPr>
          <w:rFonts w:asciiTheme="minorHAnsi" w:hAnsiTheme="minorHAnsi" w:cstheme="minorHAnsi"/>
          <w:sz w:val="26"/>
          <w:szCs w:val="26"/>
        </w:rPr>
        <w:t>factual matrix is uncontentious</w:t>
      </w:r>
      <w:r w:rsidR="00353CD0">
        <w:rPr>
          <w:rFonts w:asciiTheme="minorHAnsi" w:hAnsiTheme="minorHAnsi" w:cstheme="minorHAnsi"/>
          <w:sz w:val="26"/>
          <w:szCs w:val="26"/>
        </w:rPr>
        <w:t>.</w:t>
      </w:r>
      <w:r>
        <w:rPr>
          <w:rFonts w:asciiTheme="minorHAnsi" w:hAnsiTheme="minorHAnsi" w:cstheme="minorHAnsi"/>
          <w:sz w:val="26"/>
          <w:szCs w:val="26"/>
        </w:rPr>
        <w:t xml:space="preserve"> By his own admission, the first respondent hatched a fraudulent plan to misappropriate monies belonging to a client of the applicant. The applicant was mandated to represent Eskom in litigation instituted against it by one Grace Nzimande. The first respondent was in charge of the matter, ostensibly under the supervision of his principal, Ms M</w:t>
      </w:r>
      <w:r w:rsidR="00A67D36">
        <w:rPr>
          <w:rFonts w:asciiTheme="minorHAnsi" w:hAnsiTheme="minorHAnsi" w:cstheme="minorHAnsi"/>
          <w:sz w:val="26"/>
          <w:szCs w:val="26"/>
        </w:rPr>
        <w:t xml:space="preserve">alebye, the deponent to the applicant’s </w:t>
      </w:r>
      <w:r w:rsidR="000B6C72">
        <w:rPr>
          <w:rFonts w:asciiTheme="minorHAnsi" w:hAnsiTheme="minorHAnsi" w:cstheme="minorHAnsi"/>
          <w:sz w:val="26"/>
          <w:szCs w:val="26"/>
        </w:rPr>
        <w:t>affidavit</w:t>
      </w:r>
      <w:r w:rsidR="00A67D36">
        <w:rPr>
          <w:rFonts w:asciiTheme="minorHAnsi" w:hAnsiTheme="minorHAnsi" w:cstheme="minorHAnsi"/>
          <w:sz w:val="26"/>
          <w:szCs w:val="26"/>
        </w:rPr>
        <w:t>s.</w:t>
      </w:r>
    </w:p>
    <w:p w:rsidR="00353CD0" w:rsidRDefault="00353CD0" w:rsidP="00353CD0">
      <w:pPr>
        <w:pStyle w:val="ListParagraph"/>
        <w:rPr>
          <w:rFonts w:asciiTheme="minorHAnsi" w:hAnsiTheme="minorHAnsi" w:cstheme="minorHAnsi"/>
          <w:sz w:val="26"/>
          <w:szCs w:val="26"/>
        </w:rPr>
      </w:pPr>
    </w:p>
    <w:p w:rsidR="00353CD0" w:rsidRDefault="00A67D36"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furtherance of his devious </w:t>
      </w:r>
      <w:r w:rsidR="000B5BD4">
        <w:rPr>
          <w:rFonts w:asciiTheme="minorHAnsi" w:hAnsiTheme="minorHAnsi" w:cstheme="minorHAnsi"/>
          <w:sz w:val="26"/>
          <w:szCs w:val="26"/>
        </w:rPr>
        <w:t>plan</w:t>
      </w:r>
      <w:r>
        <w:rPr>
          <w:rFonts w:asciiTheme="minorHAnsi" w:hAnsiTheme="minorHAnsi" w:cstheme="minorHAnsi"/>
          <w:sz w:val="26"/>
          <w:szCs w:val="26"/>
        </w:rPr>
        <w:t xml:space="preserve">, the first respondent advised Eskom to settle the </w:t>
      </w:r>
      <w:r w:rsidR="000B5BD4">
        <w:rPr>
          <w:rFonts w:asciiTheme="minorHAnsi" w:hAnsiTheme="minorHAnsi" w:cstheme="minorHAnsi"/>
          <w:sz w:val="26"/>
          <w:szCs w:val="26"/>
        </w:rPr>
        <w:t>action</w:t>
      </w:r>
      <w:r>
        <w:rPr>
          <w:rFonts w:asciiTheme="minorHAnsi" w:hAnsiTheme="minorHAnsi" w:cstheme="minorHAnsi"/>
          <w:sz w:val="26"/>
          <w:szCs w:val="26"/>
        </w:rPr>
        <w:t xml:space="preserve"> </w:t>
      </w:r>
      <w:r w:rsidR="00707A74">
        <w:rPr>
          <w:rFonts w:asciiTheme="minorHAnsi" w:hAnsiTheme="minorHAnsi" w:cstheme="minorHAnsi"/>
          <w:sz w:val="26"/>
          <w:szCs w:val="26"/>
        </w:rPr>
        <w:t xml:space="preserve">instituted against it </w:t>
      </w:r>
      <w:r>
        <w:rPr>
          <w:rFonts w:asciiTheme="minorHAnsi" w:hAnsiTheme="minorHAnsi" w:cstheme="minorHAnsi"/>
          <w:sz w:val="26"/>
          <w:szCs w:val="26"/>
        </w:rPr>
        <w:t xml:space="preserve">in the amount of R3.6 million. Eskom agreed to </w:t>
      </w:r>
      <w:r w:rsidR="000B5BD4">
        <w:rPr>
          <w:rFonts w:asciiTheme="minorHAnsi" w:hAnsiTheme="minorHAnsi" w:cstheme="minorHAnsi"/>
          <w:sz w:val="26"/>
          <w:szCs w:val="26"/>
        </w:rPr>
        <w:t>d</w:t>
      </w:r>
      <w:r>
        <w:rPr>
          <w:rFonts w:asciiTheme="minorHAnsi" w:hAnsiTheme="minorHAnsi" w:cstheme="minorHAnsi"/>
          <w:sz w:val="26"/>
          <w:szCs w:val="26"/>
        </w:rPr>
        <w:t>o so. To that end, the first respondent drafted a bogus settlement agreement</w:t>
      </w:r>
      <w:r w:rsidR="000B5BD4">
        <w:rPr>
          <w:rFonts w:asciiTheme="minorHAnsi" w:hAnsiTheme="minorHAnsi" w:cstheme="minorHAnsi"/>
          <w:sz w:val="26"/>
          <w:szCs w:val="26"/>
        </w:rPr>
        <w:t>, inter alia</w:t>
      </w:r>
      <w:r>
        <w:rPr>
          <w:rFonts w:asciiTheme="minorHAnsi" w:hAnsiTheme="minorHAnsi" w:cstheme="minorHAnsi"/>
          <w:sz w:val="26"/>
          <w:szCs w:val="26"/>
        </w:rPr>
        <w:t xml:space="preserve"> setting out the terms of payment </w:t>
      </w:r>
      <w:r w:rsidR="000B5BD4">
        <w:rPr>
          <w:rFonts w:asciiTheme="minorHAnsi" w:hAnsiTheme="minorHAnsi" w:cstheme="minorHAnsi"/>
          <w:sz w:val="26"/>
          <w:szCs w:val="26"/>
        </w:rPr>
        <w:t xml:space="preserve">of the amount of R3.6 million </w:t>
      </w:r>
      <w:r>
        <w:rPr>
          <w:rFonts w:asciiTheme="minorHAnsi" w:hAnsiTheme="minorHAnsi" w:cstheme="minorHAnsi"/>
          <w:sz w:val="26"/>
          <w:szCs w:val="26"/>
        </w:rPr>
        <w:t xml:space="preserve">by Eskom to Ms Nzimande, one of which called for Eskom to pay the said sum directly </w:t>
      </w:r>
      <w:r w:rsidR="000B6C72">
        <w:rPr>
          <w:rFonts w:asciiTheme="minorHAnsi" w:hAnsiTheme="minorHAnsi" w:cstheme="minorHAnsi"/>
          <w:sz w:val="26"/>
          <w:szCs w:val="26"/>
        </w:rPr>
        <w:t xml:space="preserve">to Ms Nzimande and </w:t>
      </w:r>
      <w:r>
        <w:rPr>
          <w:rFonts w:asciiTheme="minorHAnsi" w:hAnsiTheme="minorHAnsi" w:cstheme="minorHAnsi"/>
          <w:sz w:val="26"/>
          <w:szCs w:val="26"/>
        </w:rPr>
        <w:t xml:space="preserve">into </w:t>
      </w:r>
      <w:r w:rsidR="000B6C72">
        <w:rPr>
          <w:rFonts w:asciiTheme="minorHAnsi" w:hAnsiTheme="minorHAnsi" w:cstheme="minorHAnsi"/>
          <w:sz w:val="26"/>
          <w:szCs w:val="26"/>
        </w:rPr>
        <w:t>her designated</w:t>
      </w:r>
      <w:r>
        <w:rPr>
          <w:rFonts w:asciiTheme="minorHAnsi" w:hAnsiTheme="minorHAnsi" w:cstheme="minorHAnsi"/>
          <w:sz w:val="26"/>
          <w:szCs w:val="26"/>
        </w:rPr>
        <w:t xml:space="preserve"> bank account</w:t>
      </w:r>
      <w:r w:rsidR="000B6C72">
        <w:rPr>
          <w:rFonts w:asciiTheme="minorHAnsi" w:hAnsiTheme="minorHAnsi" w:cstheme="minorHAnsi"/>
          <w:sz w:val="26"/>
          <w:szCs w:val="26"/>
        </w:rPr>
        <w:t>.</w:t>
      </w:r>
      <w:r>
        <w:rPr>
          <w:rFonts w:asciiTheme="minorHAnsi" w:hAnsiTheme="minorHAnsi" w:cstheme="minorHAnsi"/>
          <w:sz w:val="26"/>
          <w:szCs w:val="26"/>
        </w:rPr>
        <w:t xml:space="preserve"> The first respondent</w:t>
      </w:r>
      <w:r w:rsidR="000B5BD4">
        <w:rPr>
          <w:rFonts w:asciiTheme="minorHAnsi" w:hAnsiTheme="minorHAnsi" w:cstheme="minorHAnsi"/>
          <w:sz w:val="26"/>
          <w:szCs w:val="26"/>
        </w:rPr>
        <w:t xml:space="preserve"> </w:t>
      </w:r>
      <w:r w:rsidR="00B4603B">
        <w:rPr>
          <w:rFonts w:asciiTheme="minorHAnsi" w:hAnsiTheme="minorHAnsi" w:cstheme="minorHAnsi"/>
          <w:sz w:val="26"/>
          <w:szCs w:val="26"/>
        </w:rPr>
        <w:t xml:space="preserve">himself </w:t>
      </w:r>
      <w:r>
        <w:rPr>
          <w:rFonts w:asciiTheme="minorHAnsi" w:hAnsiTheme="minorHAnsi" w:cstheme="minorHAnsi"/>
          <w:sz w:val="26"/>
          <w:szCs w:val="26"/>
        </w:rPr>
        <w:t>signed the fabricated settlement agreement</w:t>
      </w:r>
      <w:r w:rsidR="000B6C72">
        <w:rPr>
          <w:rFonts w:asciiTheme="minorHAnsi" w:hAnsiTheme="minorHAnsi" w:cstheme="minorHAnsi"/>
          <w:sz w:val="26"/>
          <w:szCs w:val="26"/>
        </w:rPr>
        <w:t>,</w:t>
      </w:r>
      <w:r>
        <w:rPr>
          <w:rFonts w:asciiTheme="minorHAnsi" w:hAnsiTheme="minorHAnsi" w:cstheme="minorHAnsi"/>
          <w:sz w:val="26"/>
          <w:szCs w:val="26"/>
        </w:rPr>
        <w:t xml:space="preserve"> </w:t>
      </w:r>
      <w:r w:rsidR="00B4603B">
        <w:rPr>
          <w:rFonts w:asciiTheme="minorHAnsi" w:hAnsiTheme="minorHAnsi" w:cstheme="minorHAnsi"/>
          <w:sz w:val="26"/>
          <w:szCs w:val="26"/>
        </w:rPr>
        <w:t>purporting to be the Plaintiff. He then</w:t>
      </w:r>
      <w:r>
        <w:rPr>
          <w:rFonts w:asciiTheme="minorHAnsi" w:hAnsiTheme="minorHAnsi" w:cstheme="minorHAnsi"/>
          <w:sz w:val="26"/>
          <w:szCs w:val="26"/>
        </w:rPr>
        <w:t xml:space="preserve"> forwarded same to Eskom</w:t>
      </w:r>
      <w:r w:rsidR="000B5BD4">
        <w:rPr>
          <w:rFonts w:asciiTheme="minorHAnsi" w:hAnsiTheme="minorHAnsi" w:cstheme="minorHAnsi"/>
          <w:sz w:val="26"/>
          <w:szCs w:val="26"/>
        </w:rPr>
        <w:t xml:space="preserve"> for authorisation, thereby falsely and intentionally representing</w:t>
      </w:r>
      <w:r>
        <w:rPr>
          <w:rFonts w:asciiTheme="minorHAnsi" w:hAnsiTheme="minorHAnsi" w:cstheme="minorHAnsi"/>
          <w:sz w:val="26"/>
          <w:szCs w:val="26"/>
        </w:rPr>
        <w:t xml:space="preserve"> </w:t>
      </w:r>
      <w:r w:rsidR="00B4603B">
        <w:rPr>
          <w:rFonts w:asciiTheme="minorHAnsi" w:hAnsiTheme="minorHAnsi" w:cstheme="minorHAnsi"/>
          <w:sz w:val="26"/>
          <w:szCs w:val="26"/>
        </w:rPr>
        <w:t>to Eskom that</w:t>
      </w:r>
      <w:r w:rsidR="000B5BD4">
        <w:rPr>
          <w:rFonts w:asciiTheme="minorHAnsi" w:hAnsiTheme="minorHAnsi" w:cstheme="minorHAnsi"/>
          <w:sz w:val="26"/>
          <w:szCs w:val="26"/>
        </w:rPr>
        <w:t xml:space="preserve"> Ms Mzimande had accepted the </w:t>
      </w:r>
      <w:r w:rsidR="00B4603B">
        <w:rPr>
          <w:rFonts w:asciiTheme="minorHAnsi" w:hAnsiTheme="minorHAnsi" w:cstheme="minorHAnsi"/>
          <w:sz w:val="26"/>
          <w:szCs w:val="26"/>
        </w:rPr>
        <w:t xml:space="preserve">proposed </w:t>
      </w:r>
      <w:r w:rsidR="000B5BD4">
        <w:rPr>
          <w:rFonts w:asciiTheme="minorHAnsi" w:hAnsiTheme="minorHAnsi" w:cstheme="minorHAnsi"/>
          <w:sz w:val="26"/>
          <w:szCs w:val="26"/>
        </w:rPr>
        <w:t xml:space="preserve">settlement and had signed </w:t>
      </w:r>
      <w:r w:rsidR="00B4603B">
        <w:rPr>
          <w:rFonts w:asciiTheme="minorHAnsi" w:hAnsiTheme="minorHAnsi" w:cstheme="minorHAnsi"/>
          <w:sz w:val="26"/>
          <w:szCs w:val="26"/>
        </w:rPr>
        <w:t>the agreement</w:t>
      </w:r>
      <w:r w:rsidR="00D5571D">
        <w:rPr>
          <w:rFonts w:asciiTheme="minorHAnsi" w:hAnsiTheme="minorHAnsi" w:cstheme="minorHAnsi"/>
          <w:sz w:val="26"/>
          <w:szCs w:val="26"/>
        </w:rPr>
        <w:t xml:space="preserve"> as plaintiff</w:t>
      </w:r>
      <w:r w:rsidR="000B5BD4">
        <w:rPr>
          <w:rFonts w:asciiTheme="minorHAnsi" w:hAnsiTheme="minorHAnsi" w:cstheme="minorHAnsi"/>
          <w:sz w:val="26"/>
          <w:szCs w:val="26"/>
        </w:rPr>
        <w:t>.</w:t>
      </w:r>
      <w:r>
        <w:rPr>
          <w:rFonts w:asciiTheme="minorHAnsi" w:hAnsiTheme="minorHAnsi" w:cstheme="minorHAnsi"/>
          <w:sz w:val="26"/>
          <w:szCs w:val="26"/>
        </w:rPr>
        <w:t xml:space="preserve"> </w:t>
      </w:r>
      <w:r w:rsidR="000B5BD4">
        <w:rPr>
          <w:rFonts w:asciiTheme="minorHAnsi" w:hAnsiTheme="minorHAnsi" w:cstheme="minorHAnsi"/>
          <w:sz w:val="26"/>
          <w:szCs w:val="26"/>
        </w:rPr>
        <w:t>In truth and reality,</w:t>
      </w:r>
      <w:r>
        <w:rPr>
          <w:rFonts w:asciiTheme="minorHAnsi" w:hAnsiTheme="minorHAnsi" w:cstheme="minorHAnsi"/>
          <w:sz w:val="26"/>
          <w:szCs w:val="26"/>
        </w:rPr>
        <w:t xml:space="preserve"> Ms Nzimande had no knowledge of the </w:t>
      </w:r>
      <w:r w:rsidR="000B5BD4">
        <w:rPr>
          <w:rFonts w:asciiTheme="minorHAnsi" w:hAnsiTheme="minorHAnsi" w:cstheme="minorHAnsi"/>
          <w:sz w:val="26"/>
          <w:szCs w:val="26"/>
        </w:rPr>
        <w:t>purported settlement</w:t>
      </w:r>
      <w:r w:rsidR="00D5571D">
        <w:rPr>
          <w:rFonts w:asciiTheme="minorHAnsi" w:hAnsiTheme="minorHAnsi" w:cstheme="minorHAnsi"/>
          <w:sz w:val="26"/>
          <w:szCs w:val="26"/>
        </w:rPr>
        <w:t>, nor</w:t>
      </w:r>
      <w:r w:rsidR="000B5BD4">
        <w:rPr>
          <w:rFonts w:asciiTheme="minorHAnsi" w:hAnsiTheme="minorHAnsi" w:cstheme="minorHAnsi"/>
          <w:sz w:val="26"/>
          <w:szCs w:val="26"/>
        </w:rPr>
        <w:t xml:space="preserve"> the contents of the settlement agreement</w:t>
      </w:r>
      <w:r w:rsidR="00D5571D">
        <w:rPr>
          <w:rFonts w:asciiTheme="minorHAnsi" w:hAnsiTheme="minorHAnsi" w:cstheme="minorHAnsi"/>
          <w:sz w:val="26"/>
          <w:szCs w:val="26"/>
        </w:rPr>
        <w:t>,</w:t>
      </w:r>
      <w:r w:rsidR="000B5BD4">
        <w:rPr>
          <w:rFonts w:asciiTheme="minorHAnsi" w:hAnsiTheme="minorHAnsi" w:cstheme="minorHAnsi"/>
          <w:sz w:val="26"/>
          <w:szCs w:val="26"/>
        </w:rPr>
        <w:t xml:space="preserve"> </w:t>
      </w:r>
      <w:r w:rsidR="00D5571D">
        <w:rPr>
          <w:rFonts w:asciiTheme="minorHAnsi" w:hAnsiTheme="minorHAnsi" w:cstheme="minorHAnsi"/>
          <w:sz w:val="26"/>
          <w:szCs w:val="26"/>
        </w:rPr>
        <w:t>which she had also</w:t>
      </w:r>
      <w:r w:rsidR="000B5BD4">
        <w:rPr>
          <w:rFonts w:asciiTheme="minorHAnsi" w:hAnsiTheme="minorHAnsi" w:cstheme="minorHAnsi"/>
          <w:sz w:val="26"/>
          <w:szCs w:val="26"/>
        </w:rPr>
        <w:t xml:space="preserve"> not signed</w:t>
      </w:r>
      <w:r w:rsidR="00D5571D">
        <w:rPr>
          <w:rFonts w:asciiTheme="minorHAnsi" w:hAnsiTheme="minorHAnsi" w:cstheme="minorHAnsi"/>
          <w:sz w:val="26"/>
          <w:szCs w:val="26"/>
        </w:rPr>
        <w:t>.</w:t>
      </w:r>
      <w:r w:rsidR="000B5BD4">
        <w:rPr>
          <w:rFonts w:asciiTheme="minorHAnsi" w:hAnsiTheme="minorHAnsi" w:cstheme="minorHAnsi"/>
          <w:sz w:val="26"/>
          <w:szCs w:val="26"/>
        </w:rPr>
        <w:t xml:space="preserve"> </w:t>
      </w:r>
      <w:r w:rsidR="00F77183">
        <w:rPr>
          <w:rFonts w:asciiTheme="minorHAnsi" w:hAnsiTheme="minorHAnsi" w:cstheme="minorHAnsi"/>
          <w:sz w:val="26"/>
          <w:szCs w:val="26"/>
        </w:rPr>
        <w:t xml:space="preserve">Likewise, Eskom was blissfully unaware that no settlement had in fact been agreed </w:t>
      </w:r>
      <w:r w:rsidR="00B4603B">
        <w:rPr>
          <w:rFonts w:asciiTheme="minorHAnsi" w:hAnsiTheme="minorHAnsi" w:cstheme="minorHAnsi"/>
          <w:sz w:val="26"/>
          <w:szCs w:val="26"/>
        </w:rPr>
        <w:t xml:space="preserve">to </w:t>
      </w:r>
      <w:r w:rsidR="00F77183">
        <w:rPr>
          <w:rFonts w:asciiTheme="minorHAnsi" w:hAnsiTheme="minorHAnsi" w:cstheme="minorHAnsi"/>
          <w:sz w:val="26"/>
          <w:szCs w:val="26"/>
        </w:rPr>
        <w:t xml:space="preserve">with Ms Nzimande. </w:t>
      </w:r>
      <w:r w:rsidR="00D5571D">
        <w:rPr>
          <w:rFonts w:asciiTheme="minorHAnsi" w:hAnsiTheme="minorHAnsi" w:cstheme="minorHAnsi"/>
          <w:sz w:val="26"/>
          <w:szCs w:val="26"/>
        </w:rPr>
        <w:t xml:space="preserve">It is common cause that the settlement </w:t>
      </w:r>
      <w:r w:rsidR="00F77183">
        <w:rPr>
          <w:rFonts w:asciiTheme="minorHAnsi" w:hAnsiTheme="minorHAnsi" w:cstheme="minorHAnsi"/>
          <w:sz w:val="26"/>
          <w:szCs w:val="26"/>
        </w:rPr>
        <w:t xml:space="preserve">amount </w:t>
      </w:r>
      <w:r w:rsidR="00D5571D">
        <w:rPr>
          <w:rFonts w:asciiTheme="minorHAnsi" w:hAnsiTheme="minorHAnsi" w:cstheme="minorHAnsi"/>
          <w:sz w:val="26"/>
          <w:szCs w:val="26"/>
        </w:rPr>
        <w:t xml:space="preserve">was authorised by Eskom, however, it is unclear from the papers as to why the first respondent had in fact </w:t>
      </w:r>
      <w:r w:rsidR="00B4603B">
        <w:rPr>
          <w:rFonts w:asciiTheme="minorHAnsi" w:hAnsiTheme="minorHAnsi" w:cstheme="minorHAnsi"/>
          <w:sz w:val="26"/>
          <w:szCs w:val="26"/>
        </w:rPr>
        <w:t xml:space="preserve">himself also </w:t>
      </w:r>
      <w:r w:rsidR="00D5571D">
        <w:rPr>
          <w:rFonts w:asciiTheme="minorHAnsi" w:hAnsiTheme="minorHAnsi" w:cstheme="minorHAnsi"/>
          <w:sz w:val="26"/>
          <w:szCs w:val="26"/>
        </w:rPr>
        <w:t>signed the settlement agreement on behalf of Eskom. However, nothing turns on that fact.</w:t>
      </w:r>
    </w:p>
    <w:p w:rsidR="00353CD0" w:rsidRDefault="00353CD0" w:rsidP="00353CD0">
      <w:pPr>
        <w:pStyle w:val="ListParagraph"/>
        <w:rPr>
          <w:rFonts w:asciiTheme="minorHAnsi" w:hAnsiTheme="minorHAnsi" w:cstheme="minorHAnsi"/>
          <w:sz w:val="26"/>
          <w:szCs w:val="26"/>
        </w:rPr>
      </w:pPr>
    </w:p>
    <w:p w:rsidR="00353CD0" w:rsidRPr="00DD01DB" w:rsidRDefault="00F77183"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It is at this point that the first respondent’s devious plan went somewhat </w:t>
      </w:r>
      <w:r w:rsidR="000B6C72">
        <w:rPr>
          <w:rFonts w:asciiTheme="minorHAnsi" w:hAnsiTheme="minorHAnsi" w:cstheme="minorHAnsi"/>
          <w:sz w:val="26"/>
          <w:szCs w:val="26"/>
        </w:rPr>
        <w:t>awry</w:t>
      </w:r>
      <w:r w:rsidR="00707A74">
        <w:rPr>
          <w:rFonts w:asciiTheme="minorHAnsi" w:hAnsiTheme="minorHAnsi" w:cstheme="minorHAnsi"/>
          <w:sz w:val="26"/>
          <w:szCs w:val="26"/>
        </w:rPr>
        <w:t>,</w:t>
      </w:r>
      <w:r>
        <w:rPr>
          <w:rFonts w:asciiTheme="minorHAnsi" w:hAnsiTheme="minorHAnsi" w:cstheme="minorHAnsi"/>
          <w:sz w:val="26"/>
          <w:szCs w:val="26"/>
        </w:rPr>
        <w:t xml:space="preserve"> Whilst the fabricated settlement agreement provided for payment of the settlement amount to be made directly to the plaintiff, Ms Nzimande, </w:t>
      </w:r>
      <w:r w:rsidR="000B6C72">
        <w:rPr>
          <w:rFonts w:asciiTheme="minorHAnsi" w:hAnsiTheme="minorHAnsi" w:cstheme="minorHAnsi"/>
          <w:sz w:val="26"/>
          <w:szCs w:val="26"/>
        </w:rPr>
        <w:t xml:space="preserve">the fact that </w:t>
      </w:r>
      <w:r>
        <w:rPr>
          <w:rFonts w:asciiTheme="minorHAnsi" w:hAnsiTheme="minorHAnsi" w:cstheme="minorHAnsi"/>
          <w:sz w:val="26"/>
          <w:szCs w:val="26"/>
        </w:rPr>
        <w:t>Eskom chose not to do so</w:t>
      </w:r>
      <w:r w:rsidR="000B6C72">
        <w:rPr>
          <w:rFonts w:asciiTheme="minorHAnsi" w:hAnsiTheme="minorHAnsi" w:cstheme="minorHAnsi"/>
          <w:sz w:val="26"/>
          <w:szCs w:val="26"/>
        </w:rPr>
        <w:t xml:space="preserve"> is evidenced by its deposit of that sum into the applicant’s trust account, </w:t>
      </w:r>
      <w:r>
        <w:rPr>
          <w:rFonts w:asciiTheme="minorHAnsi" w:hAnsiTheme="minorHAnsi" w:cstheme="minorHAnsi"/>
          <w:sz w:val="26"/>
          <w:szCs w:val="26"/>
        </w:rPr>
        <w:t xml:space="preserve">ostensibly for onward distribution by the applicant </w:t>
      </w:r>
      <w:r w:rsidR="00DA048F">
        <w:rPr>
          <w:rFonts w:asciiTheme="minorHAnsi" w:hAnsiTheme="minorHAnsi" w:cstheme="minorHAnsi"/>
          <w:sz w:val="26"/>
          <w:szCs w:val="26"/>
        </w:rPr>
        <w:t xml:space="preserve">of such sum </w:t>
      </w:r>
      <w:r>
        <w:rPr>
          <w:rFonts w:asciiTheme="minorHAnsi" w:hAnsiTheme="minorHAnsi" w:cstheme="minorHAnsi"/>
          <w:sz w:val="26"/>
          <w:szCs w:val="26"/>
        </w:rPr>
        <w:t>to the plaintiff</w:t>
      </w:r>
      <w:r w:rsidR="000B6C72">
        <w:rPr>
          <w:rFonts w:asciiTheme="minorHAnsi" w:hAnsiTheme="minorHAnsi" w:cstheme="minorHAnsi"/>
          <w:sz w:val="26"/>
          <w:szCs w:val="26"/>
        </w:rPr>
        <w:t xml:space="preserve"> on behalf of the applicant’s client (Eskom)</w:t>
      </w:r>
      <w:r>
        <w:rPr>
          <w:rFonts w:asciiTheme="minorHAnsi" w:hAnsiTheme="minorHAnsi" w:cstheme="minorHAnsi"/>
          <w:sz w:val="26"/>
          <w:szCs w:val="26"/>
        </w:rPr>
        <w:t xml:space="preserve">. </w:t>
      </w:r>
      <w:r w:rsidR="00DA048F">
        <w:rPr>
          <w:rFonts w:asciiTheme="minorHAnsi" w:hAnsiTheme="minorHAnsi" w:cstheme="minorHAnsi"/>
          <w:sz w:val="26"/>
          <w:szCs w:val="26"/>
        </w:rPr>
        <w:t xml:space="preserve">I imagine that the first respondent had to think fast about how to overcome this </w:t>
      </w:r>
      <w:r w:rsidR="000B6C72">
        <w:rPr>
          <w:rFonts w:asciiTheme="minorHAnsi" w:hAnsiTheme="minorHAnsi" w:cstheme="minorHAnsi"/>
          <w:sz w:val="26"/>
          <w:szCs w:val="26"/>
        </w:rPr>
        <w:t>hurdle</w:t>
      </w:r>
      <w:r w:rsidR="00DA048F">
        <w:rPr>
          <w:rFonts w:asciiTheme="minorHAnsi" w:hAnsiTheme="minorHAnsi" w:cstheme="minorHAnsi"/>
          <w:sz w:val="26"/>
          <w:szCs w:val="26"/>
        </w:rPr>
        <w:t xml:space="preserve">, which he seemingly had no difficulty </w:t>
      </w:r>
      <w:r w:rsidR="000B6C72">
        <w:rPr>
          <w:rFonts w:asciiTheme="minorHAnsi" w:hAnsiTheme="minorHAnsi" w:cstheme="minorHAnsi"/>
          <w:sz w:val="26"/>
          <w:szCs w:val="26"/>
        </w:rPr>
        <w:t xml:space="preserve">in </w:t>
      </w:r>
      <w:r w:rsidR="00DA048F">
        <w:rPr>
          <w:rFonts w:asciiTheme="minorHAnsi" w:hAnsiTheme="minorHAnsi" w:cstheme="minorHAnsi"/>
          <w:sz w:val="26"/>
          <w:szCs w:val="26"/>
        </w:rPr>
        <w:t xml:space="preserve">doing. When asked by his principal to inform her of the plaintiff’s designated account number, he forged a letter </w:t>
      </w:r>
      <w:r w:rsidR="000B6C72">
        <w:rPr>
          <w:rFonts w:asciiTheme="minorHAnsi" w:hAnsiTheme="minorHAnsi" w:cstheme="minorHAnsi"/>
          <w:sz w:val="26"/>
          <w:szCs w:val="26"/>
        </w:rPr>
        <w:t>on a First National Bank (FNB) letterhead in which the bank account number and account holder details of an account represented therein to be that of</w:t>
      </w:r>
      <w:r w:rsidR="00033A4B">
        <w:rPr>
          <w:rFonts w:asciiTheme="minorHAnsi" w:hAnsiTheme="minorHAnsi" w:cstheme="minorHAnsi"/>
          <w:sz w:val="26"/>
          <w:szCs w:val="26"/>
        </w:rPr>
        <w:t xml:space="preserve"> Ms Nzimande</w:t>
      </w:r>
      <w:r w:rsidR="00707A74">
        <w:rPr>
          <w:rFonts w:asciiTheme="minorHAnsi" w:hAnsiTheme="minorHAnsi" w:cstheme="minorHAnsi"/>
          <w:sz w:val="26"/>
          <w:szCs w:val="26"/>
        </w:rPr>
        <w:t>,</w:t>
      </w:r>
      <w:r w:rsidR="000B6C72">
        <w:rPr>
          <w:rFonts w:asciiTheme="minorHAnsi" w:hAnsiTheme="minorHAnsi" w:cstheme="minorHAnsi"/>
          <w:sz w:val="26"/>
          <w:szCs w:val="26"/>
        </w:rPr>
        <w:t xml:space="preserve"> were certified</w:t>
      </w:r>
      <w:r w:rsidR="00033A4B">
        <w:rPr>
          <w:rFonts w:asciiTheme="minorHAnsi" w:hAnsiTheme="minorHAnsi" w:cstheme="minorHAnsi"/>
          <w:sz w:val="26"/>
          <w:szCs w:val="26"/>
        </w:rPr>
        <w:t>.</w:t>
      </w:r>
      <w:r w:rsidR="00FA263C">
        <w:rPr>
          <w:rFonts w:asciiTheme="minorHAnsi" w:hAnsiTheme="minorHAnsi" w:cstheme="minorHAnsi"/>
          <w:sz w:val="26"/>
          <w:szCs w:val="26"/>
        </w:rPr>
        <w:t xml:space="preserve"> Unbeknown to Ms Nzimande, FNB or Ms Malebye of the applicant, the </w:t>
      </w:r>
      <w:r w:rsidR="000B6C72">
        <w:rPr>
          <w:rFonts w:asciiTheme="minorHAnsi" w:hAnsiTheme="minorHAnsi" w:cstheme="minorHAnsi"/>
          <w:sz w:val="26"/>
          <w:szCs w:val="26"/>
        </w:rPr>
        <w:t xml:space="preserve">account number listed in the forged letter belonged to the account held by the first respondent at FNB. </w:t>
      </w:r>
      <w:r w:rsidR="00DA048F">
        <w:rPr>
          <w:rFonts w:asciiTheme="minorHAnsi" w:hAnsiTheme="minorHAnsi" w:cstheme="minorHAnsi"/>
          <w:sz w:val="26"/>
          <w:szCs w:val="26"/>
        </w:rPr>
        <w:t>Upon receipt of the forged letter</w:t>
      </w:r>
      <w:r w:rsidR="000B6C72">
        <w:rPr>
          <w:rFonts w:asciiTheme="minorHAnsi" w:hAnsiTheme="minorHAnsi" w:cstheme="minorHAnsi"/>
          <w:sz w:val="26"/>
          <w:szCs w:val="26"/>
        </w:rPr>
        <w:t xml:space="preserve"> and</w:t>
      </w:r>
      <w:r w:rsidR="00DA048F">
        <w:rPr>
          <w:rFonts w:asciiTheme="minorHAnsi" w:hAnsiTheme="minorHAnsi" w:cstheme="minorHAnsi"/>
          <w:sz w:val="26"/>
          <w:szCs w:val="26"/>
        </w:rPr>
        <w:t xml:space="preserve"> </w:t>
      </w:r>
      <w:r w:rsidR="000B6C72">
        <w:rPr>
          <w:rFonts w:asciiTheme="minorHAnsi" w:hAnsiTheme="minorHAnsi" w:cstheme="minorHAnsi"/>
          <w:sz w:val="26"/>
          <w:szCs w:val="26"/>
        </w:rPr>
        <w:t xml:space="preserve">on 21 December 2020, </w:t>
      </w:r>
      <w:r w:rsidR="00DA048F">
        <w:rPr>
          <w:rFonts w:asciiTheme="minorHAnsi" w:hAnsiTheme="minorHAnsi" w:cstheme="minorHAnsi"/>
          <w:sz w:val="26"/>
          <w:szCs w:val="26"/>
        </w:rPr>
        <w:t xml:space="preserve">Ms Malebye duly transferred the sum of R3.6 million into the designated account, </w:t>
      </w:r>
      <w:r w:rsidR="000B6C72">
        <w:rPr>
          <w:rFonts w:asciiTheme="minorHAnsi" w:hAnsiTheme="minorHAnsi" w:cstheme="minorHAnsi"/>
          <w:sz w:val="26"/>
          <w:szCs w:val="26"/>
        </w:rPr>
        <w:t xml:space="preserve">being the first respondent’s bank account, </w:t>
      </w:r>
      <w:r w:rsidR="00DA048F">
        <w:rPr>
          <w:rFonts w:asciiTheme="minorHAnsi" w:hAnsiTheme="minorHAnsi" w:cstheme="minorHAnsi"/>
          <w:sz w:val="26"/>
          <w:szCs w:val="26"/>
        </w:rPr>
        <w:t>having been deceived by the first respondent into believing that she was effecting payment to the plaintiff in settlement of the action as mandated by Eskom.</w:t>
      </w:r>
    </w:p>
    <w:p w:rsidR="00353CD0" w:rsidRDefault="00353CD0" w:rsidP="00353CD0">
      <w:pPr>
        <w:pStyle w:val="ListParagraph"/>
        <w:rPr>
          <w:rFonts w:asciiTheme="minorHAnsi" w:hAnsiTheme="minorHAnsi" w:cstheme="minorHAnsi"/>
          <w:sz w:val="26"/>
          <w:szCs w:val="26"/>
        </w:rPr>
      </w:pPr>
    </w:p>
    <w:p w:rsidR="00353CD0" w:rsidRPr="00EF6881" w:rsidRDefault="000B6C72"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upshot of the aforegoing is that Eskom was deceived by the first respondent into agreeing to effect payment to the plaintiff in settlement of the plaintiff’s claim in the action. Eskom deposited the settlement amount into the applicant’s trust account for such purpose. The funds were provided by Eskom to the applicant </w:t>
      </w:r>
      <w:r w:rsidRPr="000B6C72">
        <w:rPr>
          <w:rFonts w:asciiTheme="minorHAnsi" w:hAnsiTheme="minorHAnsi" w:cstheme="minorHAnsi"/>
          <w:sz w:val="26"/>
          <w:szCs w:val="26"/>
        </w:rPr>
        <w:t xml:space="preserve">under the false pretence of a non-existent settlement agreement that was fabricated by First Respondent with the intention of misappropriating the monies for his </w:t>
      </w:r>
      <w:r>
        <w:rPr>
          <w:rFonts w:asciiTheme="minorHAnsi" w:hAnsiTheme="minorHAnsi" w:cstheme="minorHAnsi"/>
          <w:sz w:val="26"/>
          <w:szCs w:val="26"/>
        </w:rPr>
        <w:t>personal benefit</w:t>
      </w:r>
      <w:r w:rsidRPr="000B6C72">
        <w:rPr>
          <w:rFonts w:asciiTheme="minorHAnsi" w:hAnsiTheme="minorHAnsi" w:cstheme="minorHAnsi"/>
          <w:sz w:val="26"/>
          <w:szCs w:val="26"/>
        </w:rPr>
        <w:t>.</w:t>
      </w:r>
      <w:r>
        <w:rPr>
          <w:rFonts w:asciiTheme="minorHAnsi" w:hAnsiTheme="minorHAnsi" w:cstheme="minorHAnsi"/>
          <w:sz w:val="26"/>
          <w:szCs w:val="26"/>
        </w:rPr>
        <w:t xml:space="preserve"> Ms Malebye of the applicant, in turn, having likewise been deceived into believing that the settlement of the action was genuine and valid, effected </w:t>
      </w:r>
      <w:r>
        <w:rPr>
          <w:rFonts w:asciiTheme="minorHAnsi" w:hAnsiTheme="minorHAnsi" w:cstheme="minorHAnsi"/>
          <w:sz w:val="26"/>
          <w:szCs w:val="26"/>
        </w:rPr>
        <w:lastRenderedPageBreak/>
        <w:t xml:space="preserve">payment of the funds provided to the applicant by Eskom into an account that was intentionally and falsely represented by the first respondent to be that of the plaintiff, whilst the bank account was in truth and in fact that of the first respondent. </w:t>
      </w:r>
    </w:p>
    <w:p w:rsidR="00353CD0" w:rsidRDefault="00353CD0" w:rsidP="00353CD0">
      <w:pPr>
        <w:pStyle w:val="ListParagraph"/>
        <w:rPr>
          <w:rFonts w:asciiTheme="minorHAnsi" w:hAnsiTheme="minorHAnsi" w:cstheme="minorHAnsi"/>
          <w:sz w:val="26"/>
          <w:szCs w:val="26"/>
        </w:rPr>
      </w:pPr>
    </w:p>
    <w:p w:rsidR="000B6C72" w:rsidRPr="000B6C72" w:rsidRDefault="000B6C72" w:rsidP="000B6C72">
      <w:pPr>
        <w:pStyle w:val="ListParagraph"/>
        <w:numPr>
          <w:ilvl w:val="0"/>
          <w:numId w:val="3"/>
        </w:numPr>
        <w:spacing w:after="200" w:line="360" w:lineRule="auto"/>
        <w:jc w:val="both"/>
        <w:rPr>
          <w:rStyle w:val="Strong"/>
          <w:rFonts w:asciiTheme="minorHAnsi" w:hAnsiTheme="minorHAnsi" w:cstheme="minorHAnsi"/>
          <w:b w:val="0"/>
          <w:bCs w:val="0"/>
          <w:sz w:val="26"/>
          <w:szCs w:val="26"/>
        </w:rPr>
      </w:pPr>
      <w:r>
        <w:rPr>
          <w:rFonts w:asciiTheme="minorHAnsi" w:hAnsiTheme="minorHAnsi" w:cstheme="minorHAnsi"/>
          <w:sz w:val="26"/>
          <w:szCs w:val="26"/>
        </w:rPr>
        <w:t xml:space="preserve">After the first respondent’s account at FNB was credited with the sum of R3.6 million, he transferred a portion </w:t>
      </w:r>
      <w:r w:rsidR="00707A74">
        <w:rPr>
          <w:rFonts w:asciiTheme="minorHAnsi" w:hAnsiTheme="minorHAnsi" w:cstheme="minorHAnsi"/>
          <w:sz w:val="26"/>
          <w:szCs w:val="26"/>
        </w:rPr>
        <w:t>of</w:t>
      </w:r>
      <w:r>
        <w:rPr>
          <w:rFonts w:asciiTheme="minorHAnsi" w:hAnsiTheme="minorHAnsi" w:cstheme="minorHAnsi"/>
          <w:sz w:val="26"/>
          <w:szCs w:val="26"/>
        </w:rPr>
        <w:t xml:space="preserve"> the stolen funds into the bank accounts of the 6</w:t>
      </w:r>
      <w:r w:rsidRPr="000B6C72">
        <w:rPr>
          <w:rFonts w:asciiTheme="minorHAnsi" w:hAnsiTheme="minorHAnsi" w:cstheme="minorHAnsi"/>
          <w:sz w:val="26"/>
          <w:szCs w:val="26"/>
          <w:vertAlign w:val="superscript"/>
        </w:rPr>
        <w:t>th</w:t>
      </w:r>
      <w:r>
        <w:rPr>
          <w:rFonts w:asciiTheme="minorHAnsi" w:hAnsiTheme="minorHAnsi" w:cstheme="minorHAnsi"/>
          <w:sz w:val="26"/>
          <w:szCs w:val="26"/>
        </w:rPr>
        <w:t>, 7</w:t>
      </w:r>
      <w:r w:rsidRPr="000B6C72">
        <w:rPr>
          <w:rFonts w:asciiTheme="minorHAnsi" w:hAnsiTheme="minorHAnsi" w:cstheme="minorHAnsi"/>
          <w:sz w:val="26"/>
          <w:szCs w:val="26"/>
          <w:vertAlign w:val="superscript"/>
        </w:rPr>
        <w:t>th</w:t>
      </w:r>
      <w:r>
        <w:rPr>
          <w:rFonts w:asciiTheme="minorHAnsi" w:hAnsiTheme="minorHAnsi" w:cstheme="minorHAnsi"/>
          <w:sz w:val="26"/>
          <w:szCs w:val="26"/>
        </w:rPr>
        <w:t xml:space="preserve"> and 8</w:t>
      </w:r>
      <w:r w:rsidRPr="000B6C72">
        <w:rPr>
          <w:rFonts w:asciiTheme="minorHAnsi" w:hAnsiTheme="minorHAnsi" w:cstheme="minorHAnsi"/>
          <w:sz w:val="26"/>
          <w:szCs w:val="26"/>
          <w:vertAlign w:val="superscript"/>
        </w:rPr>
        <w:t>th</w:t>
      </w:r>
      <w:r>
        <w:rPr>
          <w:rFonts w:asciiTheme="minorHAnsi" w:hAnsiTheme="minorHAnsi" w:cstheme="minorHAnsi"/>
          <w:sz w:val="26"/>
          <w:szCs w:val="26"/>
        </w:rPr>
        <w:t xml:space="preserve"> respondents. He also used part of the stolen funds to settle personal debts</w:t>
      </w:r>
      <w:r w:rsidR="00707A74">
        <w:rPr>
          <w:rFonts w:asciiTheme="minorHAnsi" w:hAnsiTheme="minorHAnsi" w:cstheme="minorHAnsi"/>
          <w:sz w:val="26"/>
          <w:szCs w:val="26"/>
        </w:rPr>
        <w:t xml:space="preserve"> and to purchase assets</w:t>
      </w:r>
      <w:r>
        <w:rPr>
          <w:rFonts w:asciiTheme="minorHAnsi" w:hAnsiTheme="minorHAnsi" w:cstheme="minorHAnsi"/>
          <w:sz w:val="26"/>
          <w:szCs w:val="26"/>
        </w:rPr>
        <w:t xml:space="preserve">. Between the </w:t>
      </w:r>
      <w:r w:rsidRPr="00EC706D">
        <w:rPr>
          <w:rStyle w:val="Strong"/>
          <w:rFonts w:asciiTheme="minorHAnsi" w:hAnsiTheme="minorHAnsi" w:cstheme="minorHAnsi"/>
          <w:b w:val="0"/>
          <w:color w:val="000000"/>
          <w:sz w:val="26"/>
          <w:szCs w:val="26"/>
        </w:rPr>
        <w:t xml:space="preserve">date of </w:t>
      </w:r>
      <w:r>
        <w:rPr>
          <w:rStyle w:val="Strong"/>
          <w:rFonts w:asciiTheme="minorHAnsi" w:hAnsiTheme="minorHAnsi" w:cstheme="minorHAnsi"/>
          <w:b w:val="0"/>
          <w:color w:val="000000"/>
          <w:sz w:val="26"/>
          <w:szCs w:val="26"/>
        </w:rPr>
        <w:t xml:space="preserve">the </w:t>
      </w:r>
      <w:r w:rsidRPr="00EC706D">
        <w:rPr>
          <w:rStyle w:val="Strong"/>
          <w:rFonts w:asciiTheme="minorHAnsi" w:hAnsiTheme="minorHAnsi" w:cstheme="minorHAnsi"/>
          <w:b w:val="0"/>
          <w:color w:val="000000"/>
          <w:sz w:val="26"/>
          <w:szCs w:val="26"/>
        </w:rPr>
        <w:t>deposit (21 Dec 2020) and 13 March 2021</w:t>
      </w:r>
      <w:r>
        <w:rPr>
          <w:rStyle w:val="Strong"/>
          <w:rFonts w:asciiTheme="minorHAnsi" w:hAnsiTheme="minorHAnsi" w:cstheme="minorHAnsi"/>
          <w:b w:val="0"/>
          <w:color w:val="000000"/>
          <w:sz w:val="26"/>
          <w:szCs w:val="26"/>
        </w:rPr>
        <w:t>,</w:t>
      </w:r>
      <w:r w:rsidRPr="00EC706D">
        <w:rPr>
          <w:rStyle w:val="Strong"/>
          <w:rFonts w:asciiTheme="minorHAnsi" w:hAnsiTheme="minorHAnsi" w:cstheme="minorHAnsi"/>
          <w:b w:val="0"/>
          <w:color w:val="000000"/>
          <w:sz w:val="26"/>
          <w:szCs w:val="26"/>
        </w:rPr>
        <w:t xml:space="preserve"> he had </w:t>
      </w:r>
      <w:r>
        <w:rPr>
          <w:rStyle w:val="Strong"/>
          <w:rFonts w:asciiTheme="minorHAnsi" w:hAnsiTheme="minorHAnsi" w:cstheme="minorHAnsi"/>
          <w:b w:val="0"/>
          <w:color w:val="000000"/>
          <w:sz w:val="26"/>
          <w:szCs w:val="26"/>
        </w:rPr>
        <w:t xml:space="preserve">utilised and/or </w:t>
      </w:r>
      <w:r w:rsidRPr="00EC706D">
        <w:rPr>
          <w:rStyle w:val="Strong"/>
          <w:rFonts w:asciiTheme="minorHAnsi" w:hAnsiTheme="minorHAnsi" w:cstheme="minorHAnsi"/>
          <w:b w:val="0"/>
          <w:color w:val="000000"/>
          <w:sz w:val="26"/>
          <w:szCs w:val="26"/>
        </w:rPr>
        <w:t>dispersed an amount of approximately R2.6 million</w:t>
      </w:r>
      <w:r>
        <w:rPr>
          <w:rStyle w:val="Strong"/>
          <w:rFonts w:asciiTheme="minorHAnsi" w:hAnsiTheme="minorHAnsi" w:cstheme="minorHAnsi"/>
          <w:b w:val="0"/>
          <w:color w:val="000000"/>
          <w:sz w:val="26"/>
          <w:szCs w:val="26"/>
        </w:rPr>
        <w:t>.</w:t>
      </w:r>
    </w:p>
    <w:p w:rsidR="000B6C72" w:rsidRPr="000B6C72" w:rsidRDefault="000B6C72" w:rsidP="000B6C72">
      <w:pPr>
        <w:pStyle w:val="ListParagraph"/>
        <w:rPr>
          <w:rFonts w:asciiTheme="minorHAnsi" w:hAnsiTheme="minorHAnsi" w:cstheme="minorHAnsi"/>
          <w:sz w:val="26"/>
          <w:szCs w:val="26"/>
        </w:rPr>
      </w:pPr>
    </w:p>
    <w:p w:rsidR="000B6C72" w:rsidRDefault="000B6C72" w:rsidP="000B6C7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After the theft and fraud was discovered by the applicant, during March 2021, the applicant sought and obtained an interim order, amongst others, freezing the funds standing to the credit of the </w:t>
      </w:r>
      <w:r w:rsidR="00707A74">
        <w:rPr>
          <w:rFonts w:asciiTheme="minorHAnsi" w:hAnsiTheme="minorHAnsi" w:cstheme="minorHAnsi"/>
          <w:sz w:val="26"/>
          <w:szCs w:val="26"/>
        </w:rPr>
        <w:t>first</w:t>
      </w:r>
      <w:r>
        <w:rPr>
          <w:rFonts w:asciiTheme="minorHAnsi" w:hAnsiTheme="minorHAnsi" w:cstheme="minorHAnsi"/>
          <w:sz w:val="26"/>
          <w:szCs w:val="26"/>
        </w:rPr>
        <w:t xml:space="preserve"> respondent’s bank account held at FNB and interdicting him from accessing, withdrawing, or transferring the funds standing to the credit of his account. The 2</w:t>
      </w:r>
      <w:r w:rsidRPr="000B6C72">
        <w:rPr>
          <w:rFonts w:asciiTheme="minorHAnsi" w:hAnsiTheme="minorHAnsi" w:cstheme="minorHAnsi"/>
          <w:sz w:val="26"/>
          <w:szCs w:val="26"/>
          <w:vertAlign w:val="superscript"/>
        </w:rPr>
        <w:t>nd</w:t>
      </w:r>
      <w:r>
        <w:rPr>
          <w:rFonts w:asciiTheme="minorHAnsi" w:hAnsiTheme="minorHAnsi" w:cstheme="minorHAnsi"/>
          <w:sz w:val="26"/>
          <w:szCs w:val="26"/>
        </w:rPr>
        <w:t xml:space="preserve"> respondent (FNB) was also ordered to release the first respondent’s bank statements to the applicant. Upon receipt of the bank statements, the applicant was able to trace various transfers of the stolen funds made by the </w:t>
      </w:r>
      <w:r w:rsidR="00707A74">
        <w:rPr>
          <w:rFonts w:asciiTheme="minorHAnsi" w:hAnsiTheme="minorHAnsi" w:cstheme="minorHAnsi"/>
          <w:sz w:val="26"/>
          <w:szCs w:val="26"/>
        </w:rPr>
        <w:t>first</w:t>
      </w:r>
      <w:r>
        <w:rPr>
          <w:rFonts w:asciiTheme="minorHAnsi" w:hAnsiTheme="minorHAnsi" w:cstheme="minorHAnsi"/>
          <w:sz w:val="26"/>
          <w:szCs w:val="26"/>
        </w:rPr>
        <w:t xml:space="preserve"> respondent to various parties, including the 6</w:t>
      </w:r>
      <w:r w:rsidRPr="000B6C72">
        <w:rPr>
          <w:rFonts w:asciiTheme="minorHAnsi" w:hAnsiTheme="minorHAnsi" w:cstheme="minorHAnsi"/>
          <w:sz w:val="26"/>
          <w:szCs w:val="26"/>
          <w:vertAlign w:val="superscript"/>
        </w:rPr>
        <w:t>th</w:t>
      </w:r>
      <w:r>
        <w:rPr>
          <w:rFonts w:asciiTheme="minorHAnsi" w:hAnsiTheme="minorHAnsi" w:cstheme="minorHAnsi"/>
          <w:sz w:val="26"/>
          <w:szCs w:val="26"/>
        </w:rPr>
        <w:t>, 7</w:t>
      </w:r>
      <w:r w:rsidRPr="000B6C72">
        <w:rPr>
          <w:rFonts w:asciiTheme="minorHAnsi" w:hAnsiTheme="minorHAnsi" w:cstheme="minorHAnsi"/>
          <w:sz w:val="26"/>
          <w:szCs w:val="26"/>
          <w:vertAlign w:val="superscript"/>
        </w:rPr>
        <w:t>th</w:t>
      </w:r>
      <w:r>
        <w:rPr>
          <w:rFonts w:asciiTheme="minorHAnsi" w:hAnsiTheme="minorHAnsi" w:cstheme="minorHAnsi"/>
          <w:sz w:val="26"/>
          <w:szCs w:val="26"/>
        </w:rPr>
        <w:t xml:space="preserve"> and 8</w:t>
      </w:r>
      <w:r w:rsidRPr="000B6C72">
        <w:rPr>
          <w:rFonts w:asciiTheme="minorHAnsi" w:hAnsiTheme="minorHAnsi" w:cstheme="minorHAnsi"/>
          <w:sz w:val="26"/>
          <w:szCs w:val="26"/>
          <w:vertAlign w:val="superscript"/>
        </w:rPr>
        <w:t>th</w:t>
      </w:r>
      <w:r>
        <w:rPr>
          <w:rFonts w:asciiTheme="minorHAnsi" w:hAnsiTheme="minorHAnsi" w:cstheme="minorHAnsi"/>
          <w:sz w:val="26"/>
          <w:szCs w:val="26"/>
        </w:rPr>
        <w:t xml:space="preserve"> respondents, as al</w:t>
      </w:r>
      <w:r w:rsidR="00707A74">
        <w:rPr>
          <w:rFonts w:asciiTheme="minorHAnsi" w:hAnsiTheme="minorHAnsi" w:cstheme="minorHAnsi"/>
          <w:sz w:val="26"/>
          <w:szCs w:val="26"/>
        </w:rPr>
        <w:t>l</w:t>
      </w:r>
      <w:r>
        <w:rPr>
          <w:rFonts w:asciiTheme="minorHAnsi" w:hAnsiTheme="minorHAnsi" w:cstheme="minorHAnsi"/>
          <w:sz w:val="26"/>
          <w:szCs w:val="26"/>
        </w:rPr>
        <w:t xml:space="preserve">uded to in paragraph </w:t>
      </w:r>
      <w:r w:rsidR="00707A74">
        <w:rPr>
          <w:rFonts w:asciiTheme="minorHAnsi" w:hAnsiTheme="minorHAnsi" w:cstheme="minorHAnsi"/>
          <w:sz w:val="26"/>
          <w:szCs w:val="26"/>
        </w:rPr>
        <w:t>9</w:t>
      </w:r>
      <w:r>
        <w:rPr>
          <w:rFonts w:asciiTheme="minorHAnsi" w:hAnsiTheme="minorHAnsi" w:cstheme="minorHAnsi"/>
          <w:sz w:val="26"/>
          <w:szCs w:val="26"/>
        </w:rPr>
        <w:t xml:space="preserve"> above. On 9 April 2021, a final order was granted in favour of the applicant. In terms of that order, the applicant was </w:t>
      </w:r>
      <w:r w:rsidR="00707A74">
        <w:rPr>
          <w:rFonts w:asciiTheme="minorHAnsi" w:hAnsiTheme="minorHAnsi" w:cstheme="minorHAnsi"/>
          <w:sz w:val="26"/>
          <w:szCs w:val="26"/>
        </w:rPr>
        <w:t xml:space="preserve">directed </w:t>
      </w:r>
      <w:r>
        <w:rPr>
          <w:rFonts w:asciiTheme="minorHAnsi" w:hAnsiTheme="minorHAnsi" w:cstheme="minorHAnsi"/>
          <w:sz w:val="26"/>
          <w:szCs w:val="26"/>
        </w:rPr>
        <w:t xml:space="preserve">to institute legal proceedings for the recovery of the stolen funds within 20 days from date of </w:t>
      </w:r>
      <w:r w:rsidR="00707A74">
        <w:rPr>
          <w:rFonts w:asciiTheme="minorHAnsi" w:hAnsiTheme="minorHAnsi" w:cstheme="minorHAnsi"/>
          <w:sz w:val="26"/>
          <w:szCs w:val="26"/>
        </w:rPr>
        <w:t xml:space="preserve">such </w:t>
      </w:r>
      <w:r>
        <w:rPr>
          <w:rFonts w:asciiTheme="minorHAnsi" w:hAnsiTheme="minorHAnsi" w:cstheme="minorHAnsi"/>
          <w:sz w:val="26"/>
          <w:szCs w:val="26"/>
        </w:rPr>
        <w:t>order. This ultimately culminated in the launch of these proceedings.</w:t>
      </w:r>
    </w:p>
    <w:p w:rsidR="000B6C72" w:rsidRDefault="000B6C72" w:rsidP="00353CD0">
      <w:pPr>
        <w:pStyle w:val="ListParagraph"/>
        <w:rPr>
          <w:rFonts w:asciiTheme="minorHAnsi" w:hAnsiTheme="minorHAnsi" w:cstheme="minorHAnsi"/>
          <w:sz w:val="26"/>
          <w:szCs w:val="26"/>
        </w:rPr>
      </w:pPr>
    </w:p>
    <w:p w:rsidR="000B6C72" w:rsidRDefault="000B6C72" w:rsidP="000B6C7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the answering affidavit, the first respondent admitted having ‘unlawfully appropriated the sum of R3.6 million from Eskom under false pretences.’ Implicit in such admission is the concession that the first respondent knew </w:t>
      </w:r>
      <w:r>
        <w:rPr>
          <w:rFonts w:asciiTheme="minorHAnsi" w:hAnsiTheme="minorHAnsi" w:cstheme="minorHAnsi"/>
          <w:sz w:val="26"/>
          <w:szCs w:val="26"/>
        </w:rPr>
        <w:lastRenderedPageBreak/>
        <w:t>that he was not entitled to the stolen funds.</w:t>
      </w:r>
      <w:r>
        <w:rPr>
          <w:rStyle w:val="FootnoteReference"/>
          <w:rFonts w:asciiTheme="minorHAnsi" w:hAnsiTheme="minorHAnsi" w:cstheme="minorHAnsi"/>
          <w:sz w:val="26"/>
          <w:szCs w:val="26"/>
        </w:rPr>
        <w:footnoteReference w:id="3"/>
      </w:r>
      <w:r>
        <w:rPr>
          <w:rFonts w:asciiTheme="minorHAnsi" w:hAnsiTheme="minorHAnsi" w:cstheme="minorHAnsi"/>
          <w:sz w:val="26"/>
          <w:szCs w:val="26"/>
        </w:rPr>
        <w:t xml:space="preserve"> In his heads of argument, the first respondent admitted to having defrauded Eskom of the sum of R3.6 million and that the funds in the various accounts listed in the notice of motion originated from the R3.6 million that he defrauded Eskom of. It is not in dispute that the first respondent had, after receipt of the amount of R3.6 million in his FNB account, transferred a portion of the stolen funds into his personal bank account held at Standard Bank, as well as into the sixth and seventh respondents</w:t>
      </w:r>
      <w:r w:rsidR="00707A74">
        <w:rPr>
          <w:rFonts w:asciiTheme="minorHAnsi" w:hAnsiTheme="minorHAnsi" w:cstheme="minorHAnsi"/>
          <w:sz w:val="26"/>
          <w:szCs w:val="26"/>
        </w:rPr>
        <w:t>’</w:t>
      </w:r>
      <w:r>
        <w:rPr>
          <w:rFonts w:asciiTheme="minorHAnsi" w:hAnsiTheme="minorHAnsi" w:cstheme="minorHAnsi"/>
          <w:sz w:val="26"/>
          <w:szCs w:val="26"/>
        </w:rPr>
        <w:t xml:space="preserve"> </w:t>
      </w:r>
      <w:r w:rsidR="00707A74">
        <w:rPr>
          <w:rFonts w:asciiTheme="minorHAnsi" w:hAnsiTheme="minorHAnsi" w:cstheme="minorHAnsi"/>
          <w:sz w:val="26"/>
          <w:szCs w:val="26"/>
        </w:rPr>
        <w:t xml:space="preserve">respective bank accounts </w:t>
      </w:r>
      <w:r>
        <w:rPr>
          <w:rFonts w:asciiTheme="minorHAnsi" w:hAnsiTheme="minorHAnsi" w:cstheme="minorHAnsi"/>
          <w:sz w:val="26"/>
          <w:szCs w:val="26"/>
        </w:rPr>
        <w:t xml:space="preserve">at FNB, including the eighth respondent’s </w:t>
      </w:r>
      <w:r w:rsidR="00707A74">
        <w:rPr>
          <w:rFonts w:asciiTheme="minorHAnsi" w:hAnsiTheme="minorHAnsi" w:cstheme="minorHAnsi"/>
          <w:sz w:val="26"/>
          <w:szCs w:val="26"/>
        </w:rPr>
        <w:t xml:space="preserve">Absa </w:t>
      </w:r>
      <w:r>
        <w:rPr>
          <w:rFonts w:asciiTheme="minorHAnsi" w:hAnsiTheme="minorHAnsi" w:cstheme="minorHAnsi"/>
          <w:sz w:val="26"/>
          <w:szCs w:val="26"/>
        </w:rPr>
        <w:t>bank account</w:t>
      </w:r>
      <w:r w:rsidR="00707A74">
        <w:rPr>
          <w:rFonts w:asciiTheme="minorHAnsi" w:hAnsiTheme="minorHAnsi" w:cstheme="minorHAnsi"/>
          <w:sz w:val="26"/>
          <w:szCs w:val="26"/>
        </w:rPr>
        <w:t>.</w:t>
      </w:r>
      <w:r>
        <w:rPr>
          <w:rStyle w:val="FootnoteReference"/>
          <w:rFonts w:asciiTheme="minorHAnsi" w:hAnsiTheme="minorHAnsi" w:cstheme="minorHAnsi"/>
          <w:sz w:val="26"/>
          <w:szCs w:val="26"/>
        </w:rPr>
        <w:footnoteReference w:id="4"/>
      </w:r>
      <w:r>
        <w:rPr>
          <w:rFonts w:asciiTheme="minorHAnsi" w:hAnsiTheme="minorHAnsi" w:cstheme="minorHAnsi"/>
          <w:sz w:val="26"/>
          <w:szCs w:val="26"/>
        </w:rPr>
        <w:t xml:space="preserve"> </w:t>
      </w:r>
    </w:p>
    <w:p w:rsidR="000B6C72" w:rsidRDefault="000B6C72" w:rsidP="00353CD0">
      <w:pPr>
        <w:pStyle w:val="ListParagraph"/>
        <w:rPr>
          <w:rFonts w:asciiTheme="minorHAnsi" w:hAnsiTheme="minorHAnsi" w:cstheme="minorHAnsi"/>
          <w:sz w:val="26"/>
          <w:szCs w:val="26"/>
        </w:rPr>
      </w:pPr>
    </w:p>
    <w:p w:rsidR="00353CD0" w:rsidRDefault="000B6C72"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On the unrefuted </w:t>
      </w:r>
      <w:r w:rsidR="00707A74">
        <w:rPr>
          <w:rFonts w:asciiTheme="minorHAnsi" w:hAnsiTheme="minorHAnsi" w:cstheme="minorHAnsi"/>
          <w:sz w:val="26"/>
          <w:szCs w:val="26"/>
        </w:rPr>
        <w:t xml:space="preserve">version </w:t>
      </w:r>
      <w:r>
        <w:rPr>
          <w:rFonts w:asciiTheme="minorHAnsi" w:hAnsiTheme="minorHAnsi" w:cstheme="minorHAnsi"/>
          <w:sz w:val="26"/>
          <w:szCs w:val="26"/>
        </w:rPr>
        <w:t xml:space="preserve">of the applicant, </w:t>
      </w:r>
      <w:r w:rsidRPr="00530B58">
        <w:rPr>
          <w:rFonts w:asciiTheme="minorHAnsi" w:hAnsiTheme="minorHAnsi" w:cstheme="minorHAnsi"/>
          <w:sz w:val="26"/>
          <w:szCs w:val="26"/>
        </w:rPr>
        <w:t xml:space="preserve">Eskom </w:t>
      </w:r>
      <w:r>
        <w:rPr>
          <w:rFonts w:asciiTheme="minorHAnsi" w:hAnsiTheme="minorHAnsi" w:cstheme="minorHAnsi"/>
          <w:sz w:val="26"/>
          <w:szCs w:val="26"/>
        </w:rPr>
        <w:t>did</w:t>
      </w:r>
      <w:r w:rsidRPr="00530B58">
        <w:rPr>
          <w:rFonts w:asciiTheme="minorHAnsi" w:hAnsiTheme="minorHAnsi" w:cstheme="minorHAnsi"/>
          <w:sz w:val="26"/>
          <w:szCs w:val="26"/>
        </w:rPr>
        <w:t xml:space="preserve"> not want to be involved in this matter</w:t>
      </w:r>
      <w:r>
        <w:rPr>
          <w:rFonts w:asciiTheme="minorHAnsi" w:hAnsiTheme="minorHAnsi" w:cstheme="minorHAnsi"/>
          <w:sz w:val="26"/>
          <w:szCs w:val="26"/>
        </w:rPr>
        <w:t xml:space="preserve">, as evidenced by an email addressed by </w:t>
      </w:r>
      <w:r w:rsidRPr="00530B58">
        <w:rPr>
          <w:rFonts w:asciiTheme="minorHAnsi" w:hAnsiTheme="minorHAnsi" w:cstheme="minorHAnsi"/>
          <w:sz w:val="26"/>
          <w:szCs w:val="26"/>
        </w:rPr>
        <w:t>Krishan Chaithoo of Eskom</w:t>
      </w:r>
      <w:r>
        <w:rPr>
          <w:rFonts w:asciiTheme="minorHAnsi" w:hAnsiTheme="minorHAnsi" w:cstheme="minorHAnsi"/>
          <w:sz w:val="26"/>
          <w:szCs w:val="26"/>
        </w:rPr>
        <w:t xml:space="preserve"> to the applicant</w:t>
      </w:r>
      <w:r w:rsidRPr="00530B58">
        <w:rPr>
          <w:rFonts w:asciiTheme="minorHAnsi" w:hAnsiTheme="minorHAnsi" w:cstheme="minorHAnsi"/>
          <w:sz w:val="26"/>
          <w:szCs w:val="26"/>
        </w:rPr>
        <w:t xml:space="preserve">, </w:t>
      </w:r>
      <w:r>
        <w:rPr>
          <w:rFonts w:asciiTheme="minorHAnsi" w:hAnsiTheme="minorHAnsi" w:cstheme="minorHAnsi"/>
          <w:sz w:val="26"/>
          <w:szCs w:val="26"/>
        </w:rPr>
        <w:t>in which he stated that</w:t>
      </w:r>
      <w:r w:rsidRPr="00530B58">
        <w:rPr>
          <w:rFonts w:asciiTheme="minorHAnsi" w:hAnsiTheme="minorHAnsi" w:cstheme="minorHAnsi"/>
          <w:sz w:val="26"/>
          <w:szCs w:val="26"/>
        </w:rPr>
        <w:t xml:space="preserve"> </w:t>
      </w:r>
      <w:r>
        <w:rPr>
          <w:rFonts w:asciiTheme="minorHAnsi" w:hAnsiTheme="minorHAnsi" w:cstheme="minorHAnsi"/>
          <w:sz w:val="26"/>
          <w:szCs w:val="26"/>
        </w:rPr>
        <w:t>‘</w:t>
      </w:r>
      <w:r w:rsidRPr="00530B58">
        <w:rPr>
          <w:rFonts w:asciiTheme="minorHAnsi" w:hAnsiTheme="minorHAnsi" w:cstheme="minorHAnsi"/>
          <w:sz w:val="26"/>
          <w:szCs w:val="26"/>
        </w:rPr>
        <w:t>the matter regarding recovery is between your company and your employee. Eskom should not be involved in this</w:t>
      </w:r>
      <w:r>
        <w:rPr>
          <w:rFonts w:asciiTheme="minorHAnsi" w:hAnsiTheme="minorHAnsi" w:cstheme="minorHAnsi"/>
          <w:sz w:val="26"/>
          <w:szCs w:val="26"/>
        </w:rPr>
        <w:t>.’</w:t>
      </w:r>
      <w:r>
        <w:rPr>
          <w:rStyle w:val="FootnoteReference"/>
          <w:rFonts w:asciiTheme="minorHAnsi" w:hAnsiTheme="minorHAnsi" w:cstheme="minorHAnsi"/>
          <w:sz w:val="26"/>
          <w:szCs w:val="26"/>
        </w:rPr>
        <w:footnoteReference w:id="5"/>
      </w:r>
      <w:r w:rsidRPr="00530B58">
        <w:rPr>
          <w:rFonts w:asciiTheme="minorHAnsi" w:hAnsiTheme="minorHAnsi" w:cstheme="minorHAnsi"/>
          <w:sz w:val="26"/>
          <w:szCs w:val="26"/>
        </w:rPr>
        <w:t xml:space="preserve"> </w:t>
      </w:r>
      <w:r>
        <w:rPr>
          <w:rFonts w:asciiTheme="minorHAnsi" w:hAnsiTheme="minorHAnsi" w:cstheme="minorHAnsi"/>
          <w:sz w:val="26"/>
          <w:szCs w:val="26"/>
        </w:rPr>
        <w:t>As the applicant</w:t>
      </w:r>
      <w:r w:rsidRPr="00530B58">
        <w:rPr>
          <w:rFonts w:asciiTheme="minorHAnsi" w:hAnsiTheme="minorHAnsi" w:cstheme="minorHAnsi"/>
          <w:sz w:val="26"/>
          <w:szCs w:val="26"/>
        </w:rPr>
        <w:t xml:space="preserve"> is </w:t>
      </w:r>
      <w:r>
        <w:rPr>
          <w:rFonts w:asciiTheme="minorHAnsi" w:hAnsiTheme="minorHAnsi" w:cstheme="minorHAnsi"/>
          <w:sz w:val="26"/>
          <w:szCs w:val="26"/>
        </w:rPr>
        <w:t xml:space="preserve">still </w:t>
      </w:r>
      <w:r w:rsidRPr="00530B58">
        <w:rPr>
          <w:rFonts w:asciiTheme="minorHAnsi" w:hAnsiTheme="minorHAnsi" w:cstheme="minorHAnsi"/>
          <w:sz w:val="26"/>
          <w:szCs w:val="26"/>
        </w:rPr>
        <w:t xml:space="preserve">Eskom's attorneys of record, and </w:t>
      </w:r>
      <w:r w:rsidR="00707A74">
        <w:rPr>
          <w:rFonts w:asciiTheme="minorHAnsi" w:hAnsiTheme="minorHAnsi" w:cstheme="minorHAnsi"/>
          <w:sz w:val="26"/>
          <w:szCs w:val="26"/>
        </w:rPr>
        <w:t xml:space="preserve">as </w:t>
      </w:r>
      <w:r w:rsidRPr="00530B58">
        <w:rPr>
          <w:rFonts w:asciiTheme="minorHAnsi" w:hAnsiTheme="minorHAnsi" w:cstheme="minorHAnsi"/>
          <w:sz w:val="26"/>
          <w:szCs w:val="26"/>
        </w:rPr>
        <w:t xml:space="preserve">monies were given to the Applicant </w:t>
      </w:r>
      <w:r w:rsidR="00707A74">
        <w:rPr>
          <w:rFonts w:asciiTheme="minorHAnsi" w:hAnsiTheme="minorHAnsi" w:cstheme="minorHAnsi"/>
          <w:sz w:val="26"/>
          <w:szCs w:val="26"/>
        </w:rPr>
        <w:t xml:space="preserve">by Eskom </w:t>
      </w:r>
      <w:r w:rsidRPr="00530B58">
        <w:rPr>
          <w:rFonts w:asciiTheme="minorHAnsi" w:hAnsiTheme="minorHAnsi" w:cstheme="minorHAnsi"/>
          <w:sz w:val="26"/>
          <w:szCs w:val="26"/>
        </w:rPr>
        <w:t xml:space="preserve">in relation to a </w:t>
      </w:r>
      <w:r w:rsidRPr="000B6C72">
        <w:rPr>
          <w:rFonts w:asciiTheme="minorHAnsi" w:hAnsiTheme="minorHAnsi" w:cstheme="minorHAnsi"/>
          <w:sz w:val="26"/>
          <w:szCs w:val="26"/>
        </w:rPr>
        <w:t>settlement that was a fabrication</w:t>
      </w:r>
      <w:r w:rsidRPr="00530B58">
        <w:rPr>
          <w:rFonts w:asciiTheme="minorHAnsi" w:hAnsiTheme="minorHAnsi" w:cstheme="minorHAnsi"/>
          <w:sz w:val="26"/>
          <w:szCs w:val="26"/>
        </w:rPr>
        <w:t xml:space="preserve"> by the First Respondent</w:t>
      </w:r>
      <w:r>
        <w:rPr>
          <w:rFonts w:asciiTheme="minorHAnsi" w:hAnsiTheme="minorHAnsi" w:cstheme="minorHAnsi"/>
          <w:sz w:val="26"/>
          <w:szCs w:val="26"/>
        </w:rPr>
        <w:t>, the applicant avers that i</w:t>
      </w:r>
      <w:r w:rsidRPr="00530B58">
        <w:rPr>
          <w:rFonts w:asciiTheme="minorHAnsi" w:hAnsiTheme="minorHAnsi" w:cstheme="minorHAnsi"/>
          <w:sz w:val="26"/>
          <w:szCs w:val="26"/>
        </w:rPr>
        <w:t>t is the responsibility of the Applicant to recover the monies and pay it to</w:t>
      </w:r>
      <w:r>
        <w:rPr>
          <w:rFonts w:asciiTheme="minorHAnsi" w:hAnsiTheme="minorHAnsi" w:cstheme="minorHAnsi"/>
          <w:sz w:val="26"/>
          <w:szCs w:val="26"/>
        </w:rPr>
        <w:t xml:space="preserve"> </w:t>
      </w:r>
      <w:r w:rsidRPr="00530B58">
        <w:rPr>
          <w:rFonts w:asciiTheme="minorHAnsi" w:hAnsiTheme="minorHAnsi" w:cstheme="minorHAnsi"/>
          <w:sz w:val="26"/>
          <w:szCs w:val="26"/>
        </w:rPr>
        <w:t>Eskom</w:t>
      </w:r>
      <w:r>
        <w:rPr>
          <w:rFonts w:asciiTheme="minorHAnsi" w:hAnsiTheme="minorHAnsi" w:cstheme="minorHAnsi"/>
          <w:sz w:val="26"/>
          <w:szCs w:val="26"/>
        </w:rPr>
        <w:t>.</w:t>
      </w:r>
    </w:p>
    <w:p w:rsidR="00353CD0" w:rsidRDefault="00353CD0" w:rsidP="00353CD0">
      <w:pPr>
        <w:pStyle w:val="ListParagraph"/>
        <w:rPr>
          <w:rFonts w:asciiTheme="minorHAnsi" w:hAnsiTheme="minorHAnsi" w:cstheme="minorHAnsi"/>
          <w:sz w:val="26"/>
          <w:szCs w:val="26"/>
        </w:rPr>
      </w:pPr>
    </w:p>
    <w:p w:rsidR="000B6C72" w:rsidRPr="000B6C72" w:rsidRDefault="000B6C72" w:rsidP="000B6C72">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First Respondent’s opposition</w:t>
      </w:r>
    </w:p>
    <w:p w:rsidR="00353CD0" w:rsidRPr="000B6C72" w:rsidRDefault="000B6C72" w:rsidP="00353CD0">
      <w:pPr>
        <w:pStyle w:val="ListParagraph"/>
        <w:numPr>
          <w:ilvl w:val="0"/>
          <w:numId w:val="3"/>
        </w:numPr>
        <w:spacing w:after="200" w:line="360" w:lineRule="auto"/>
        <w:jc w:val="both"/>
        <w:rPr>
          <w:rFonts w:asciiTheme="minorHAnsi" w:hAnsiTheme="minorHAnsi" w:cstheme="minorHAnsi"/>
          <w:sz w:val="26"/>
          <w:szCs w:val="26"/>
        </w:rPr>
      </w:pPr>
      <w:r w:rsidRPr="000B6C72">
        <w:rPr>
          <w:rFonts w:asciiTheme="minorHAnsi" w:hAnsiTheme="minorHAnsi" w:cstheme="minorHAnsi"/>
          <w:sz w:val="26"/>
          <w:szCs w:val="26"/>
        </w:rPr>
        <w:t xml:space="preserve">Although the first respondent raised various points </w:t>
      </w:r>
      <w:r w:rsidRPr="000B6C72">
        <w:rPr>
          <w:rFonts w:asciiTheme="minorHAnsi" w:hAnsiTheme="minorHAnsi" w:cstheme="minorHAnsi"/>
          <w:i/>
          <w:sz w:val="26"/>
          <w:szCs w:val="26"/>
        </w:rPr>
        <w:t>in limine</w:t>
      </w:r>
      <w:r w:rsidRPr="000B6C72">
        <w:rPr>
          <w:rFonts w:asciiTheme="minorHAnsi" w:hAnsiTheme="minorHAnsi" w:cstheme="minorHAnsi"/>
          <w:sz w:val="26"/>
          <w:szCs w:val="26"/>
        </w:rPr>
        <w:t xml:space="preserve"> in his answering affidavit in opposition to the relief sought by the applicant, only one was ultimately pursued at the hearing of the matter, which is that the applicant </w:t>
      </w:r>
      <w:r w:rsidRPr="000B6C72">
        <w:rPr>
          <w:rFonts w:asciiTheme="minorHAnsi" w:hAnsiTheme="minorHAnsi" w:cstheme="minorHAnsi"/>
          <w:sz w:val="26"/>
          <w:szCs w:val="26"/>
        </w:rPr>
        <w:lastRenderedPageBreak/>
        <w:t xml:space="preserve">lacks </w:t>
      </w:r>
      <w:r w:rsidRPr="000B6C72">
        <w:rPr>
          <w:rFonts w:asciiTheme="minorHAnsi" w:hAnsiTheme="minorHAnsi" w:cstheme="minorHAnsi"/>
          <w:i/>
          <w:sz w:val="26"/>
          <w:szCs w:val="26"/>
        </w:rPr>
        <w:t>locus standi</w:t>
      </w:r>
      <w:r w:rsidRPr="000B6C72">
        <w:rPr>
          <w:rFonts w:asciiTheme="minorHAnsi" w:hAnsiTheme="minorHAnsi" w:cstheme="minorHAnsi"/>
          <w:sz w:val="26"/>
          <w:szCs w:val="26"/>
        </w:rPr>
        <w:t xml:space="preserve"> in the matter and therefore, so the argument went, Eskom ought to have been joined as a party to the proceedings.</w:t>
      </w:r>
      <w:r>
        <w:rPr>
          <w:rFonts w:asciiTheme="minorHAnsi" w:hAnsiTheme="minorHAnsi" w:cstheme="minorHAnsi"/>
          <w:sz w:val="26"/>
          <w:szCs w:val="26"/>
        </w:rPr>
        <w:t xml:space="preserve"> As regards the merits of the applicant’s claim for return of the stolen funds, which funds, as </w:t>
      </w:r>
      <w:r w:rsidR="00707A74">
        <w:rPr>
          <w:rFonts w:asciiTheme="minorHAnsi" w:hAnsiTheme="minorHAnsi" w:cstheme="minorHAnsi"/>
          <w:sz w:val="26"/>
          <w:szCs w:val="26"/>
        </w:rPr>
        <w:t>was common cause</w:t>
      </w:r>
      <w:r>
        <w:rPr>
          <w:rFonts w:asciiTheme="minorHAnsi" w:hAnsiTheme="minorHAnsi" w:cstheme="minorHAnsi"/>
          <w:sz w:val="26"/>
          <w:szCs w:val="26"/>
        </w:rPr>
        <w:t>, have been identified, traced and retained in the bank accounts of the 1</w:t>
      </w:r>
      <w:r w:rsidRPr="000B6C72">
        <w:rPr>
          <w:rFonts w:asciiTheme="minorHAnsi" w:hAnsiTheme="minorHAnsi" w:cstheme="minorHAnsi"/>
          <w:sz w:val="26"/>
          <w:szCs w:val="26"/>
          <w:vertAlign w:val="superscript"/>
        </w:rPr>
        <w:t>st</w:t>
      </w:r>
      <w:r>
        <w:rPr>
          <w:rFonts w:asciiTheme="minorHAnsi" w:hAnsiTheme="minorHAnsi" w:cstheme="minorHAnsi"/>
          <w:sz w:val="26"/>
          <w:szCs w:val="26"/>
        </w:rPr>
        <w:t>, 6</w:t>
      </w:r>
      <w:r w:rsidRPr="000B6C72">
        <w:rPr>
          <w:rFonts w:asciiTheme="minorHAnsi" w:hAnsiTheme="minorHAnsi" w:cstheme="minorHAnsi"/>
          <w:sz w:val="26"/>
          <w:szCs w:val="26"/>
          <w:vertAlign w:val="superscript"/>
        </w:rPr>
        <w:t>th</w:t>
      </w:r>
      <w:r>
        <w:rPr>
          <w:rFonts w:asciiTheme="minorHAnsi" w:hAnsiTheme="minorHAnsi" w:cstheme="minorHAnsi"/>
          <w:sz w:val="26"/>
          <w:szCs w:val="26"/>
        </w:rPr>
        <w:t xml:space="preserve"> and 7</w:t>
      </w:r>
      <w:r w:rsidRPr="000B6C72">
        <w:rPr>
          <w:rFonts w:asciiTheme="minorHAnsi" w:hAnsiTheme="minorHAnsi" w:cstheme="minorHAnsi"/>
          <w:sz w:val="26"/>
          <w:szCs w:val="26"/>
          <w:vertAlign w:val="superscript"/>
        </w:rPr>
        <w:t>th</w:t>
      </w:r>
      <w:r>
        <w:rPr>
          <w:rFonts w:asciiTheme="minorHAnsi" w:hAnsiTheme="minorHAnsi" w:cstheme="minorHAnsi"/>
          <w:sz w:val="26"/>
          <w:szCs w:val="26"/>
        </w:rPr>
        <w:t xml:space="preserve"> respondents, the first respondent offers no defence apart from the suggestion that he has been sued by the wrong persona.</w:t>
      </w:r>
    </w:p>
    <w:p w:rsidR="00353CD0" w:rsidRDefault="00353CD0" w:rsidP="00353CD0">
      <w:pPr>
        <w:pStyle w:val="ListParagraph"/>
        <w:rPr>
          <w:rFonts w:asciiTheme="minorHAnsi" w:hAnsiTheme="minorHAnsi" w:cstheme="minorHAnsi"/>
          <w:sz w:val="26"/>
          <w:szCs w:val="26"/>
        </w:rPr>
      </w:pPr>
    </w:p>
    <w:p w:rsidR="000B6C72" w:rsidRPr="000B6C72" w:rsidRDefault="000B6C72" w:rsidP="000B6C72">
      <w:pPr>
        <w:pStyle w:val="ListParagraph"/>
        <w:spacing w:after="200" w:line="360" w:lineRule="auto"/>
        <w:ind w:left="851"/>
        <w:jc w:val="both"/>
        <w:rPr>
          <w:rFonts w:asciiTheme="minorHAnsi" w:hAnsiTheme="minorHAnsi" w:cstheme="minorHAnsi"/>
          <w:i/>
          <w:color w:val="242121"/>
          <w:sz w:val="26"/>
          <w:szCs w:val="26"/>
          <w:shd w:val="clear" w:color="auto" w:fill="FFFFFF"/>
        </w:rPr>
      </w:pPr>
      <w:r>
        <w:rPr>
          <w:rFonts w:asciiTheme="minorHAnsi" w:hAnsiTheme="minorHAnsi" w:cstheme="minorHAnsi"/>
          <w:i/>
          <w:color w:val="242121"/>
          <w:sz w:val="26"/>
          <w:szCs w:val="26"/>
          <w:shd w:val="clear" w:color="auto" w:fill="FFFFFF"/>
        </w:rPr>
        <w:t>Lack of locus standi</w:t>
      </w:r>
    </w:p>
    <w:p w:rsidR="00353CD0" w:rsidRPr="000B6C72" w:rsidRDefault="000B6C72" w:rsidP="00353CD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first respondent relies on the contents of </w:t>
      </w:r>
      <w:r w:rsidRPr="000B6C72">
        <w:rPr>
          <w:rFonts w:asciiTheme="minorHAnsi" w:hAnsiTheme="minorHAnsi" w:cstheme="minorHAnsi"/>
          <w:color w:val="000000"/>
          <w:sz w:val="26"/>
          <w:szCs w:val="26"/>
        </w:rPr>
        <w:t xml:space="preserve">clause 3.1(i) of the fabricated settlement agreement which provides that </w:t>
      </w:r>
      <w:r w:rsidRPr="000B6C72">
        <w:rPr>
          <w:rFonts w:asciiTheme="minorHAnsi" w:hAnsiTheme="minorHAnsi" w:cstheme="minorHAnsi"/>
          <w:i/>
          <w:color w:val="000000"/>
          <w:sz w:val="26"/>
          <w:szCs w:val="26"/>
          <w:u w:val="single"/>
        </w:rPr>
        <w:t>'Eskom shall</w:t>
      </w:r>
      <w:r w:rsidRPr="000B6C72">
        <w:rPr>
          <w:rFonts w:asciiTheme="minorHAnsi" w:hAnsiTheme="minorHAnsi" w:cstheme="minorHAnsi"/>
          <w:i/>
          <w:color w:val="000000"/>
          <w:sz w:val="26"/>
          <w:szCs w:val="26"/>
        </w:rPr>
        <w:t xml:space="preserve"> in respect of the Settlement Amount and within 10 (ten) Business Days after Signature Date, </w:t>
      </w:r>
      <w:r w:rsidRPr="000B6C72">
        <w:rPr>
          <w:rFonts w:asciiTheme="minorHAnsi" w:hAnsiTheme="minorHAnsi" w:cstheme="minorHAnsi"/>
          <w:i/>
          <w:color w:val="000000"/>
          <w:sz w:val="26"/>
          <w:szCs w:val="26"/>
          <w:u w:val="single"/>
        </w:rPr>
        <w:t>make payment</w:t>
      </w:r>
      <w:r w:rsidRPr="000B6C72">
        <w:rPr>
          <w:rFonts w:asciiTheme="minorHAnsi" w:hAnsiTheme="minorHAnsi" w:cstheme="minorHAnsi"/>
          <w:i/>
          <w:color w:val="000000"/>
          <w:sz w:val="26"/>
          <w:szCs w:val="26"/>
        </w:rPr>
        <w:t xml:space="preserve"> by way of electronic funds transfer </w:t>
      </w:r>
      <w:r w:rsidRPr="000B6C72">
        <w:rPr>
          <w:rFonts w:asciiTheme="minorHAnsi" w:hAnsiTheme="minorHAnsi" w:cstheme="minorHAnsi"/>
          <w:i/>
          <w:color w:val="000000"/>
          <w:sz w:val="26"/>
          <w:szCs w:val="26"/>
          <w:u w:val="single"/>
        </w:rPr>
        <w:t>to Grace's designated account</w:t>
      </w:r>
      <w:r w:rsidRPr="000B6C72">
        <w:rPr>
          <w:rFonts w:asciiTheme="minorHAnsi" w:hAnsiTheme="minorHAnsi" w:cstheme="minorHAnsi"/>
          <w:i/>
          <w:color w:val="000000"/>
          <w:sz w:val="26"/>
          <w:szCs w:val="26"/>
        </w:rPr>
        <w:t>, without any deduction or set off of the sum of R3,600 000.00.</w:t>
      </w:r>
      <w:r w:rsidRPr="000B6C72">
        <w:rPr>
          <w:rFonts w:asciiTheme="minorHAnsi" w:hAnsiTheme="minorHAnsi" w:cstheme="minorHAnsi"/>
          <w:color w:val="000000"/>
          <w:sz w:val="26"/>
          <w:szCs w:val="26"/>
        </w:rPr>
        <w:t>’</w:t>
      </w:r>
      <w:r>
        <w:rPr>
          <w:rFonts w:asciiTheme="minorHAnsi" w:hAnsiTheme="minorHAnsi" w:cstheme="minorHAnsi"/>
          <w:color w:val="000000"/>
          <w:sz w:val="26"/>
          <w:szCs w:val="26"/>
        </w:rPr>
        <w:t xml:space="preserve"> (emphasis added)</w:t>
      </w:r>
    </w:p>
    <w:p w:rsidR="00353CD0" w:rsidRDefault="00353CD0" w:rsidP="00353CD0">
      <w:pPr>
        <w:pStyle w:val="ListParagraph"/>
        <w:rPr>
          <w:rFonts w:asciiTheme="minorHAnsi" w:hAnsiTheme="minorHAnsi" w:cstheme="minorHAnsi"/>
          <w:color w:val="242121"/>
          <w:sz w:val="26"/>
          <w:szCs w:val="26"/>
          <w:shd w:val="clear" w:color="auto" w:fill="FFFFFF"/>
        </w:rPr>
      </w:pPr>
    </w:p>
    <w:p w:rsidR="00353CD0" w:rsidRPr="000B6C72" w:rsidRDefault="000B6C72" w:rsidP="00353CD0">
      <w:pPr>
        <w:pStyle w:val="ListParagraph"/>
        <w:numPr>
          <w:ilvl w:val="0"/>
          <w:numId w:val="3"/>
        </w:numPr>
        <w:spacing w:after="200" w:line="360" w:lineRule="auto"/>
        <w:jc w:val="both"/>
        <w:rPr>
          <w:rFonts w:asciiTheme="minorHAnsi" w:hAnsiTheme="minorHAnsi" w:cstheme="minorHAnsi"/>
          <w:i/>
          <w:color w:val="242121"/>
          <w:sz w:val="26"/>
          <w:szCs w:val="26"/>
        </w:rPr>
      </w:pPr>
      <w:r>
        <w:rPr>
          <w:rFonts w:asciiTheme="minorHAnsi" w:hAnsiTheme="minorHAnsi" w:cstheme="minorHAnsi"/>
          <w:color w:val="242121"/>
          <w:sz w:val="26"/>
          <w:szCs w:val="26"/>
        </w:rPr>
        <w:t>The first respondent submits in his heads of argument that ex facie the above provision, Eskom did not include its attorneys (applicant) ’as agents for the settlement’. In other words, the applicant’s trust account was not the mandated account for payment</w:t>
      </w:r>
      <w:r w:rsidR="00707A74">
        <w:rPr>
          <w:rFonts w:asciiTheme="minorHAnsi" w:hAnsiTheme="minorHAnsi" w:cstheme="minorHAnsi"/>
          <w:color w:val="242121"/>
          <w:sz w:val="26"/>
          <w:szCs w:val="26"/>
        </w:rPr>
        <w:t>, nor did</w:t>
      </w:r>
      <w:r>
        <w:rPr>
          <w:rFonts w:asciiTheme="minorHAnsi" w:hAnsiTheme="minorHAnsi" w:cstheme="minorHAnsi"/>
          <w:color w:val="242121"/>
          <w:sz w:val="26"/>
          <w:szCs w:val="26"/>
        </w:rPr>
        <w:t xml:space="preserve"> Ms Nizimande designate the applicant’s account as the account for payment. Thus, he submits that </w:t>
      </w:r>
      <w:r w:rsidRPr="000B6C72">
        <w:rPr>
          <w:rFonts w:asciiTheme="minorHAnsi" w:hAnsiTheme="minorHAnsi" w:cstheme="minorHAnsi"/>
          <w:i/>
          <w:color w:val="242121"/>
          <w:sz w:val="26"/>
          <w:szCs w:val="26"/>
        </w:rPr>
        <w:t>‘</w:t>
      </w:r>
      <w:r w:rsidRPr="000B6C72">
        <w:rPr>
          <w:rFonts w:asciiTheme="minorHAnsi" w:hAnsiTheme="minorHAnsi" w:cstheme="minorHAnsi"/>
          <w:i/>
          <w:color w:val="000000"/>
          <w:sz w:val="26"/>
          <w:szCs w:val="26"/>
        </w:rPr>
        <w:t>the Applicant was never mandated to receive into its trust account the sum of R3.6 million. As such it never became the lawful possessor of the funds. There was never an intention on the part of Eskom that the funds would go to the trust account of the Applicant. This is evident from the afore-cited paragraph 3.1.1of Annexure MMM5.’</w:t>
      </w:r>
      <w:r>
        <w:rPr>
          <w:rFonts w:asciiTheme="minorHAnsi" w:hAnsiTheme="minorHAnsi" w:cstheme="minorHAnsi"/>
          <w:i/>
          <w:color w:val="000000"/>
          <w:sz w:val="26"/>
          <w:szCs w:val="26"/>
        </w:rPr>
        <w:t xml:space="preserve"> </w:t>
      </w:r>
      <w:r>
        <w:rPr>
          <w:rFonts w:asciiTheme="minorHAnsi" w:hAnsiTheme="minorHAnsi" w:cstheme="minorHAnsi"/>
          <w:color w:val="000000"/>
          <w:sz w:val="26"/>
          <w:szCs w:val="26"/>
        </w:rPr>
        <w:t xml:space="preserve"> This submission is a repeat of what is contained in paragraph 12.4 of the answering affidavit, save that in the answering affidavit the first respondent went on to contend that ‘</w:t>
      </w:r>
      <w:r w:rsidRPr="000B6C72">
        <w:rPr>
          <w:rFonts w:asciiTheme="minorHAnsi" w:hAnsiTheme="minorHAnsi" w:cstheme="minorHAnsi"/>
          <w:i/>
          <w:color w:val="000000"/>
          <w:sz w:val="26"/>
          <w:szCs w:val="26"/>
        </w:rPr>
        <w:t xml:space="preserve">There is therefore no basis for </w:t>
      </w:r>
      <w:r>
        <w:rPr>
          <w:rFonts w:asciiTheme="minorHAnsi" w:hAnsiTheme="minorHAnsi" w:cstheme="minorHAnsi"/>
          <w:i/>
          <w:color w:val="000000"/>
          <w:sz w:val="26"/>
          <w:szCs w:val="26"/>
        </w:rPr>
        <w:t xml:space="preserve">the </w:t>
      </w:r>
      <w:r w:rsidRPr="000B6C72">
        <w:rPr>
          <w:rFonts w:asciiTheme="minorHAnsi" w:hAnsiTheme="minorHAnsi" w:cstheme="minorHAnsi"/>
          <w:i/>
          <w:color w:val="000000"/>
          <w:sz w:val="26"/>
          <w:szCs w:val="26"/>
        </w:rPr>
        <w:t>A</w:t>
      </w:r>
      <w:r>
        <w:rPr>
          <w:rFonts w:asciiTheme="minorHAnsi" w:hAnsiTheme="minorHAnsi" w:cstheme="minorHAnsi"/>
          <w:i/>
          <w:color w:val="000000"/>
          <w:sz w:val="26"/>
          <w:szCs w:val="26"/>
        </w:rPr>
        <w:t>pplicant</w:t>
      </w:r>
      <w:r w:rsidRPr="000B6C72">
        <w:rPr>
          <w:rFonts w:asciiTheme="minorHAnsi" w:hAnsiTheme="minorHAnsi" w:cstheme="minorHAnsi"/>
          <w:i/>
          <w:color w:val="000000"/>
          <w:sz w:val="26"/>
          <w:szCs w:val="26"/>
        </w:rPr>
        <w:t xml:space="preserve"> to state that it was </w:t>
      </w:r>
      <w:r w:rsidRPr="000B6C72">
        <w:rPr>
          <w:rFonts w:asciiTheme="minorHAnsi" w:hAnsiTheme="minorHAnsi" w:cstheme="minorHAnsi"/>
          <w:i/>
          <w:color w:val="000000"/>
          <w:sz w:val="26"/>
          <w:szCs w:val="26"/>
          <w:u w:val="single"/>
        </w:rPr>
        <w:t>entrusted</w:t>
      </w:r>
      <w:r w:rsidRPr="000B6C72">
        <w:rPr>
          <w:rFonts w:asciiTheme="minorHAnsi" w:hAnsiTheme="minorHAnsi" w:cstheme="minorHAnsi"/>
          <w:i/>
          <w:color w:val="000000"/>
          <w:sz w:val="26"/>
          <w:szCs w:val="26"/>
        </w:rPr>
        <w:t xml:space="preserve"> with the sum of R3.6 million by Eskom</w:t>
      </w:r>
      <w:r>
        <w:rPr>
          <w:rFonts w:asciiTheme="minorHAnsi" w:hAnsiTheme="minorHAnsi" w:cstheme="minorHAnsi"/>
          <w:i/>
          <w:color w:val="000000"/>
          <w:sz w:val="26"/>
          <w:szCs w:val="26"/>
        </w:rPr>
        <w:t xml:space="preserve">’. </w:t>
      </w:r>
    </w:p>
    <w:p w:rsidR="00353CD0" w:rsidRDefault="00353CD0" w:rsidP="00353CD0">
      <w:pPr>
        <w:pStyle w:val="ListParagraph"/>
        <w:rPr>
          <w:rFonts w:asciiTheme="minorHAnsi" w:hAnsiTheme="minorHAnsi" w:cstheme="minorHAnsi"/>
          <w:sz w:val="26"/>
          <w:szCs w:val="26"/>
        </w:rPr>
      </w:pPr>
    </w:p>
    <w:p w:rsidR="0003076B" w:rsidRPr="0003076B" w:rsidRDefault="0003076B" w:rsidP="0003076B">
      <w:pPr>
        <w:pStyle w:val="ListParagraph"/>
        <w:numPr>
          <w:ilvl w:val="0"/>
          <w:numId w:val="3"/>
        </w:numPr>
        <w:spacing w:after="200" w:line="360" w:lineRule="auto"/>
        <w:jc w:val="both"/>
        <w:rPr>
          <w:rFonts w:ascii="Arial" w:hAnsi="Arial" w:cs="Arial"/>
        </w:rPr>
      </w:pPr>
      <w:r>
        <w:rPr>
          <w:rFonts w:asciiTheme="minorHAnsi" w:hAnsiTheme="minorHAnsi" w:cstheme="minorHAnsi"/>
          <w:sz w:val="26"/>
          <w:szCs w:val="26"/>
        </w:rPr>
        <w:t>In my view,</w:t>
      </w:r>
      <w:r w:rsidR="000B6C72">
        <w:rPr>
          <w:rFonts w:asciiTheme="minorHAnsi" w:hAnsiTheme="minorHAnsi" w:cstheme="minorHAnsi"/>
          <w:sz w:val="26"/>
          <w:szCs w:val="26"/>
        </w:rPr>
        <w:t xml:space="preserve"> the first respondent has </w:t>
      </w:r>
      <w:r>
        <w:rPr>
          <w:rFonts w:asciiTheme="minorHAnsi" w:hAnsiTheme="minorHAnsi" w:cstheme="minorHAnsi"/>
          <w:sz w:val="26"/>
          <w:szCs w:val="26"/>
        </w:rPr>
        <w:t xml:space="preserve">wholly </w:t>
      </w:r>
      <w:r w:rsidR="000B6C72">
        <w:rPr>
          <w:rFonts w:asciiTheme="minorHAnsi" w:hAnsiTheme="minorHAnsi" w:cstheme="minorHAnsi"/>
          <w:sz w:val="26"/>
          <w:szCs w:val="26"/>
        </w:rPr>
        <w:t xml:space="preserve">misconstrued the issue of legal standing. </w:t>
      </w:r>
      <w:r w:rsidRPr="0003076B">
        <w:rPr>
          <w:rFonts w:asciiTheme="minorHAnsi" w:hAnsiTheme="minorHAnsi" w:cstheme="minorHAnsi"/>
          <w:sz w:val="26"/>
          <w:szCs w:val="26"/>
        </w:rPr>
        <w:t>The</w:t>
      </w:r>
      <w:r w:rsidRPr="0003076B">
        <w:rPr>
          <w:rFonts w:asciiTheme="minorHAnsi" w:hAnsiTheme="minorHAnsi" w:cstheme="minorHAnsi"/>
          <w:i/>
          <w:sz w:val="26"/>
          <w:szCs w:val="26"/>
        </w:rPr>
        <w:t xml:space="preserve"> l</w:t>
      </w:r>
      <w:r w:rsidRPr="0003076B">
        <w:rPr>
          <w:rFonts w:asciiTheme="minorHAnsi" w:hAnsiTheme="minorHAnsi" w:cstheme="minorHAnsi"/>
          <w:i/>
          <w:iCs/>
          <w:color w:val="000000"/>
          <w:sz w:val="26"/>
          <w:szCs w:val="26"/>
          <w:shd w:val="clear" w:color="auto" w:fill="FFFFFF"/>
        </w:rPr>
        <w:t>ocus standi</w:t>
      </w:r>
      <w:r w:rsidRPr="0003076B">
        <w:rPr>
          <w:rFonts w:asciiTheme="minorHAnsi" w:hAnsiTheme="minorHAnsi" w:cstheme="minorHAnsi"/>
          <w:color w:val="000000"/>
          <w:sz w:val="26"/>
          <w:szCs w:val="26"/>
          <w:shd w:val="clear" w:color="auto" w:fill="FFFFFF"/>
        </w:rPr>
        <w:t xml:space="preserve"> challenge is not brought on the basis that the applicant ha</w:t>
      </w:r>
      <w:r w:rsidR="00707A74">
        <w:rPr>
          <w:rFonts w:asciiTheme="minorHAnsi" w:hAnsiTheme="minorHAnsi" w:cstheme="minorHAnsi"/>
          <w:color w:val="000000"/>
          <w:sz w:val="26"/>
          <w:szCs w:val="26"/>
          <w:shd w:val="clear" w:color="auto" w:fill="FFFFFF"/>
        </w:rPr>
        <w:t>d</w:t>
      </w:r>
      <w:r w:rsidRPr="0003076B">
        <w:rPr>
          <w:rFonts w:asciiTheme="minorHAnsi" w:hAnsiTheme="minorHAnsi" w:cstheme="minorHAnsi"/>
          <w:color w:val="000000"/>
          <w:sz w:val="26"/>
          <w:szCs w:val="26"/>
          <w:shd w:val="clear" w:color="auto" w:fill="FFFFFF"/>
        </w:rPr>
        <w:t xml:space="preserve"> insufficient interest in the relief sought.</w:t>
      </w:r>
      <w:r>
        <w:rPr>
          <w:rFonts w:asciiTheme="minorHAnsi" w:hAnsiTheme="minorHAnsi" w:cstheme="minorHAnsi"/>
          <w:color w:val="000000"/>
          <w:sz w:val="26"/>
          <w:szCs w:val="26"/>
          <w:shd w:val="clear" w:color="auto" w:fill="FFFFFF"/>
        </w:rPr>
        <w:t xml:space="preserve"> </w:t>
      </w:r>
      <w:r w:rsidRPr="0003076B">
        <w:rPr>
          <w:rStyle w:val="Emphasis"/>
          <w:rFonts w:asciiTheme="minorHAnsi" w:eastAsiaTheme="majorEastAsia" w:hAnsiTheme="minorHAnsi" w:cstheme="minorHAnsi"/>
          <w:sz w:val="26"/>
          <w:szCs w:val="26"/>
          <w:shd w:val="clear" w:color="auto" w:fill="F3F3F3"/>
        </w:rPr>
        <w:t xml:space="preserve">Locus standi in iudicio </w:t>
      </w:r>
      <w:r w:rsidRPr="0003076B">
        <w:rPr>
          <w:rStyle w:val="Emphasis"/>
          <w:rFonts w:asciiTheme="minorHAnsi" w:eastAsiaTheme="majorEastAsia" w:hAnsiTheme="minorHAnsi" w:cstheme="minorHAnsi"/>
          <w:i w:val="0"/>
          <w:sz w:val="26"/>
          <w:szCs w:val="26"/>
          <w:shd w:val="clear" w:color="auto" w:fill="F3F3F3"/>
        </w:rPr>
        <w:t>concerns</w:t>
      </w:r>
      <w:r>
        <w:rPr>
          <w:rFonts w:asciiTheme="minorHAnsi" w:hAnsiTheme="minorHAnsi" w:cstheme="minorHAnsi"/>
          <w:sz w:val="26"/>
          <w:szCs w:val="26"/>
          <w:shd w:val="clear" w:color="auto" w:fill="F3F3F3"/>
        </w:rPr>
        <w:t xml:space="preserve"> </w:t>
      </w:r>
      <w:r w:rsidRPr="0003076B">
        <w:rPr>
          <w:rFonts w:asciiTheme="minorHAnsi" w:hAnsiTheme="minorHAnsi" w:cstheme="minorHAnsi"/>
          <w:sz w:val="26"/>
          <w:szCs w:val="26"/>
          <w:shd w:val="clear" w:color="auto" w:fill="F3F3F3"/>
        </w:rPr>
        <w:t>the sufficiency and directness of a litigant’s interest in proceedings which warrants his/her/it’s title to prosecute the claim asserted.</w:t>
      </w:r>
      <w:r>
        <w:rPr>
          <w:rFonts w:asciiTheme="minorHAnsi" w:hAnsiTheme="minorHAnsi" w:cstheme="minorHAnsi"/>
          <w:sz w:val="26"/>
          <w:szCs w:val="26"/>
          <w:shd w:val="clear" w:color="auto" w:fill="F3F3F3"/>
        </w:rPr>
        <w:t xml:space="preserve"> In </w:t>
      </w:r>
      <w:r w:rsidRPr="0003076B">
        <w:rPr>
          <w:rFonts w:asciiTheme="minorHAnsi" w:hAnsiTheme="minorHAnsi" w:cstheme="minorHAnsi"/>
          <w:bCs/>
          <w:i/>
          <w:sz w:val="26"/>
          <w:szCs w:val="26"/>
        </w:rPr>
        <w:t>Four Wheel Drive Accessory Distributors CC v Rattan NO</w:t>
      </w:r>
      <w:r w:rsidRPr="0003076B">
        <w:rPr>
          <w:rFonts w:asciiTheme="minorHAnsi" w:hAnsiTheme="minorHAnsi" w:cstheme="minorHAnsi"/>
          <w:bCs/>
          <w:sz w:val="26"/>
          <w:szCs w:val="26"/>
        </w:rPr>
        <w:t xml:space="preserve"> 2019 (3) SA 451 (SCA)</w:t>
      </w:r>
      <w:r>
        <w:rPr>
          <w:rFonts w:asciiTheme="minorHAnsi" w:hAnsiTheme="minorHAnsi" w:cstheme="minorHAnsi"/>
          <w:bCs/>
          <w:sz w:val="26"/>
          <w:szCs w:val="26"/>
        </w:rPr>
        <w:t xml:space="preserve">, par 7, the court held that </w:t>
      </w:r>
      <w:r w:rsidRPr="0003076B">
        <w:rPr>
          <w:rFonts w:asciiTheme="minorHAnsi" w:hAnsiTheme="minorHAnsi" w:cstheme="minorHAnsi"/>
          <w:bCs/>
          <w:sz w:val="24"/>
          <w:szCs w:val="24"/>
        </w:rPr>
        <w:t>‘</w:t>
      </w:r>
      <w:r w:rsidRPr="0003076B">
        <w:rPr>
          <w:rFonts w:asciiTheme="minorHAnsi" w:hAnsiTheme="minorHAnsi" w:cstheme="minorHAnsi"/>
          <w:color w:val="242121"/>
          <w:sz w:val="24"/>
          <w:szCs w:val="24"/>
          <w:shd w:val="clear" w:color="auto" w:fill="FFFFFF"/>
        </w:rPr>
        <w:t>Generally, the requirements for</w:t>
      </w:r>
      <w:r>
        <w:rPr>
          <w:rFonts w:asciiTheme="minorHAnsi" w:hAnsiTheme="minorHAnsi" w:cstheme="minorHAnsi"/>
          <w:color w:val="242121"/>
          <w:sz w:val="24"/>
          <w:szCs w:val="24"/>
          <w:shd w:val="clear" w:color="auto" w:fill="FFFFFF"/>
        </w:rPr>
        <w:t xml:space="preserve"> </w:t>
      </w:r>
      <w:r w:rsidRPr="0003076B">
        <w:rPr>
          <w:rFonts w:asciiTheme="minorHAnsi" w:hAnsiTheme="minorHAnsi" w:cstheme="minorHAnsi"/>
          <w:i/>
          <w:iCs/>
          <w:color w:val="242121"/>
          <w:sz w:val="24"/>
          <w:szCs w:val="24"/>
          <w:shd w:val="clear" w:color="auto" w:fill="FFFFFF"/>
        </w:rPr>
        <w:t>locus standi</w:t>
      </w:r>
      <w:r>
        <w:rPr>
          <w:rFonts w:asciiTheme="minorHAnsi" w:hAnsiTheme="minorHAnsi" w:cstheme="minorHAnsi"/>
          <w:i/>
          <w:iCs/>
          <w:color w:val="242121"/>
          <w:sz w:val="24"/>
          <w:szCs w:val="24"/>
          <w:shd w:val="clear" w:color="auto" w:fill="FFFFFF"/>
        </w:rPr>
        <w:t xml:space="preserve"> </w:t>
      </w:r>
      <w:r w:rsidRPr="0003076B">
        <w:rPr>
          <w:rFonts w:asciiTheme="minorHAnsi" w:hAnsiTheme="minorHAnsi" w:cstheme="minorHAnsi"/>
          <w:color w:val="242121"/>
          <w:sz w:val="24"/>
          <w:szCs w:val="24"/>
          <w:shd w:val="clear" w:color="auto" w:fill="FFFFFF"/>
        </w:rPr>
        <w:t>are these. The plaintiff must have an adequate interest in the subject matter of the litigation, usually described as a direct interest in the relief sought; the interest must not be too remote; the interest must be actual, not abstract or academic; and it must be a current interest and not a hypothetical one.’</w:t>
      </w:r>
      <w:r w:rsidRPr="0003076B">
        <w:rPr>
          <w:rFonts w:asciiTheme="minorHAnsi" w:hAnsiTheme="minorHAnsi" w:cstheme="minorHAnsi"/>
          <w:bCs/>
          <w:sz w:val="26"/>
          <w:szCs w:val="26"/>
        </w:rPr>
        <w:t xml:space="preserve"> </w:t>
      </w:r>
    </w:p>
    <w:p w:rsidR="0003076B" w:rsidRPr="0003076B" w:rsidRDefault="0003076B" w:rsidP="0003076B">
      <w:pPr>
        <w:pStyle w:val="ListParagraph"/>
        <w:rPr>
          <w:rFonts w:asciiTheme="minorHAnsi" w:hAnsiTheme="minorHAnsi" w:cstheme="minorHAnsi"/>
          <w:color w:val="242121"/>
          <w:sz w:val="26"/>
          <w:szCs w:val="26"/>
          <w:shd w:val="clear" w:color="auto" w:fill="FFFFFF"/>
        </w:rPr>
      </w:pPr>
    </w:p>
    <w:p w:rsidR="000B6C72" w:rsidRPr="000B6C72" w:rsidRDefault="000B6C72" w:rsidP="000B6C72">
      <w:pPr>
        <w:pStyle w:val="ListParagraph"/>
        <w:numPr>
          <w:ilvl w:val="0"/>
          <w:numId w:val="3"/>
        </w:numPr>
        <w:spacing w:after="200" w:line="360" w:lineRule="auto"/>
        <w:jc w:val="both"/>
        <w:rPr>
          <w:rFonts w:asciiTheme="minorHAnsi" w:hAnsiTheme="minorHAnsi" w:cstheme="minorHAnsi"/>
          <w:sz w:val="26"/>
          <w:szCs w:val="26"/>
        </w:rPr>
      </w:pPr>
      <w:r w:rsidRPr="00702E01">
        <w:rPr>
          <w:rFonts w:asciiTheme="minorHAnsi" w:hAnsiTheme="minorHAnsi" w:cstheme="minorHAnsi"/>
          <w:color w:val="242121"/>
          <w:sz w:val="26"/>
          <w:szCs w:val="26"/>
          <w:shd w:val="clear" w:color="auto" w:fill="FFFFFF"/>
        </w:rPr>
        <w:t xml:space="preserve">The fabricated settlement agreement in question cannot be relied on in support of the </w:t>
      </w:r>
      <w:r w:rsidR="0003076B">
        <w:rPr>
          <w:rFonts w:asciiTheme="minorHAnsi" w:hAnsiTheme="minorHAnsi" w:cstheme="minorHAnsi"/>
          <w:color w:val="242121"/>
          <w:sz w:val="26"/>
          <w:szCs w:val="26"/>
          <w:shd w:val="clear" w:color="auto" w:fill="FFFFFF"/>
        </w:rPr>
        <w:t>contention</w:t>
      </w:r>
      <w:r w:rsidRPr="00702E01">
        <w:rPr>
          <w:rFonts w:asciiTheme="minorHAnsi" w:hAnsiTheme="minorHAnsi" w:cstheme="minorHAnsi"/>
          <w:color w:val="242121"/>
          <w:sz w:val="26"/>
          <w:szCs w:val="26"/>
          <w:shd w:val="clear" w:color="auto" w:fill="FFFFFF"/>
        </w:rPr>
        <w:t xml:space="preserve"> that the applicant lacks </w:t>
      </w:r>
      <w:r w:rsidRPr="00702E01">
        <w:rPr>
          <w:rFonts w:asciiTheme="minorHAnsi" w:hAnsiTheme="minorHAnsi" w:cstheme="minorHAnsi"/>
          <w:i/>
          <w:color w:val="242121"/>
          <w:sz w:val="26"/>
          <w:szCs w:val="26"/>
          <w:shd w:val="clear" w:color="auto" w:fill="FFFFFF"/>
        </w:rPr>
        <w:t>locus standi</w:t>
      </w:r>
      <w:r w:rsidRPr="00702E01">
        <w:rPr>
          <w:rFonts w:asciiTheme="minorHAnsi" w:hAnsiTheme="minorHAnsi" w:cstheme="minorHAnsi"/>
          <w:color w:val="242121"/>
          <w:sz w:val="26"/>
          <w:szCs w:val="26"/>
          <w:shd w:val="clear" w:color="auto" w:fill="FFFFFF"/>
        </w:rPr>
        <w:t xml:space="preserve"> </w:t>
      </w:r>
      <w:r w:rsidR="00707A74">
        <w:rPr>
          <w:rFonts w:asciiTheme="minorHAnsi" w:hAnsiTheme="minorHAnsi" w:cstheme="minorHAnsi"/>
          <w:color w:val="242121"/>
          <w:sz w:val="26"/>
          <w:szCs w:val="26"/>
          <w:shd w:val="clear" w:color="auto" w:fill="FFFFFF"/>
        </w:rPr>
        <w:t xml:space="preserve">on the basis that </w:t>
      </w:r>
      <w:r w:rsidRPr="00702E01">
        <w:rPr>
          <w:rFonts w:asciiTheme="minorHAnsi" w:hAnsiTheme="minorHAnsi" w:cstheme="minorHAnsi"/>
          <w:color w:val="242121"/>
          <w:sz w:val="26"/>
          <w:szCs w:val="26"/>
          <w:shd w:val="clear" w:color="auto" w:fill="FFFFFF"/>
        </w:rPr>
        <w:t xml:space="preserve">the applicant was not mandated in terms </w:t>
      </w:r>
      <w:r w:rsidR="0003076B">
        <w:rPr>
          <w:rFonts w:asciiTheme="minorHAnsi" w:hAnsiTheme="minorHAnsi" w:cstheme="minorHAnsi"/>
          <w:color w:val="242121"/>
          <w:sz w:val="26"/>
          <w:szCs w:val="26"/>
          <w:shd w:val="clear" w:color="auto" w:fill="FFFFFF"/>
        </w:rPr>
        <w:t>of the impugned agreement</w:t>
      </w:r>
      <w:r w:rsidRPr="00702E01">
        <w:rPr>
          <w:rFonts w:asciiTheme="minorHAnsi" w:hAnsiTheme="minorHAnsi" w:cstheme="minorHAnsi"/>
          <w:color w:val="242121"/>
          <w:sz w:val="26"/>
          <w:szCs w:val="26"/>
          <w:shd w:val="clear" w:color="auto" w:fill="FFFFFF"/>
        </w:rPr>
        <w:t xml:space="preserve"> to receive the funds comprising the settlement amount. </w:t>
      </w:r>
      <w:r w:rsidR="0003076B">
        <w:rPr>
          <w:rFonts w:asciiTheme="minorHAnsi" w:hAnsiTheme="minorHAnsi" w:cstheme="minorHAnsi"/>
          <w:color w:val="242121"/>
          <w:sz w:val="26"/>
          <w:szCs w:val="26"/>
          <w:shd w:val="clear" w:color="auto" w:fill="FFFFFF"/>
        </w:rPr>
        <w:t xml:space="preserve">Apart from the fact that </w:t>
      </w:r>
      <w:r w:rsidRPr="000B6C72">
        <w:rPr>
          <w:rFonts w:asciiTheme="minorHAnsi" w:hAnsiTheme="minorHAnsi" w:cstheme="minorHAnsi"/>
          <w:color w:val="242121"/>
          <w:sz w:val="26"/>
          <w:szCs w:val="26"/>
          <w:shd w:val="clear" w:color="auto" w:fill="FFFFFF"/>
        </w:rPr>
        <w:t xml:space="preserve">the entire document had been fabricated </w:t>
      </w:r>
      <w:r w:rsidR="0003076B">
        <w:rPr>
          <w:rFonts w:asciiTheme="minorHAnsi" w:hAnsiTheme="minorHAnsi" w:cstheme="minorHAnsi"/>
          <w:color w:val="242121"/>
          <w:sz w:val="26"/>
          <w:szCs w:val="26"/>
          <w:shd w:val="clear" w:color="auto" w:fill="FFFFFF"/>
        </w:rPr>
        <w:t>and the plaintiff’s signature</w:t>
      </w:r>
      <w:r w:rsidRPr="000B6C72">
        <w:rPr>
          <w:rFonts w:asciiTheme="minorHAnsi" w:hAnsiTheme="minorHAnsi" w:cstheme="minorHAnsi"/>
          <w:color w:val="242121"/>
          <w:sz w:val="26"/>
          <w:szCs w:val="26"/>
          <w:shd w:val="clear" w:color="auto" w:fill="FFFFFF"/>
        </w:rPr>
        <w:t xml:space="preserve"> forged by the first respondent</w:t>
      </w:r>
      <w:r w:rsidR="0003076B">
        <w:rPr>
          <w:rFonts w:asciiTheme="minorHAnsi" w:hAnsiTheme="minorHAnsi" w:cstheme="minorHAnsi"/>
          <w:color w:val="242121"/>
          <w:sz w:val="26"/>
          <w:szCs w:val="26"/>
          <w:shd w:val="clear" w:color="auto" w:fill="FFFFFF"/>
        </w:rPr>
        <w:t xml:space="preserve">, </w:t>
      </w:r>
      <w:r w:rsidR="00707A74">
        <w:rPr>
          <w:rFonts w:asciiTheme="minorHAnsi" w:hAnsiTheme="minorHAnsi" w:cstheme="minorHAnsi"/>
          <w:color w:val="242121"/>
          <w:sz w:val="26"/>
          <w:szCs w:val="26"/>
          <w:shd w:val="clear" w:color="auto" w:fill="FFFFFF"/>
        </w:rPr>
        <w:t xml:space="preserve">including the fact that no settlement had in reality been concluded, </w:t>
      </w:r>
      <w:r w:rsidR="0003076B">
        <w:rPr>
          <w:rFonts w:asciiTheme="minorHAnsi" w:hAnsiTheme="minorHAnsi" w:cstheme="minorHAnsi"/>
          <w:color w:val="242121"/>
          <w:sz w:val="26"/>
          <w:szCs w:val="26"/>
          <w:shd w:val="clear" w:color="auto" w:fill="FFFFFF"/>
        </w:rPr>
        <w:t>there</w:t>
      </w:r>
      <w:r w:rsidRPr="000B6C72">
        <w:rPr>
          <w:rFonts w:asciiTheme="minorHAnsi" w:hAnsiTheme="minorHAnsi" w:cstheme="minorHAnsi"/>
          <w:color w:val="242121"/>
          <w:sz w:val="26"/>
          <w:szCs w:val="26"/>
          <w:shd w:val="clear" w:color="auto" w:fill="FFFFFF"/>
        </w:rPr>
        <w:t xml:space="preserve"> </w:t>
      </w:r>
      <w:r w:rsidR="0003076B">
        <w:rPr>
          <w:rFonts w:asciiTheme="minorHAnsi" w:hAnsiTheme="minorHAnsi" w:cstheme="minorHAnsi"/>
          <w:color w:val="242121"/>
          <w:sz w:val="26"/>
          <w:szCs w:val="26"/>
          <w:shd w:val="clear" w:color="auto" w:fill="FFFFFF"/>
        </w:rPr>
        <w:t xml:space="preserve">was also, for obvious reasons, </w:t>
      </w:r>
      <w:r w:rsidRPr="000B6C72">
        <w:rPr>
          <w:rFonts w:asciiTheme="minorHAnsi" w:hAnsiTheme="minorHAnsi" w:cstheme="minorHAnsi"/>
          <w:color w:val="242121"/>
          <w:sz w:val="26"/>
          <w:szCs w:val="26"/>
          <w:shd w:val="clear" w:color="auto" w:fill="FFFFFF"/>
        </w:rPr>
        <w:t>no meeting of the minds between Ms Nzimande and Eskom</w:t>
      </w:r>
      <w:r w:rsidR="0003076B">
        <w:rPr>
          <w:rFonts w:asciiTheme="minorHAnsi" w:hAnsiTheme="minorHAnsi" w:cstheme="minorHAnsi"/>
          <w:color w:val="242121"/>
          <w:sz w:val="26"/>
          <w:szCs w:val="26"/>
          <w:shd w:val="clear" w:color="auto" w:fill="FFFFFF"/>
        </w:rPr>
        <w:t xml:space="preserve">. In consequence, the agreement </w:t>
      </w:r>
      <w:r w:rsidRPr="000B6C72">
        <w:rPr>
          <w:rFonts w:asciiTheme="minorHAnsi" w:hAnsiTheme="minorHAnsi" w:cstheme="minorHAnsi"/>
          <w:color w:val="242121"/>
          <w:sz w:val="26"/>
          <w:szCs w:val="26"/>
          <w:shd w:val="clear" w:color="auto" w:fill="FFFFFF"/>
        </w:rPr>
        <w:t xml:space="preserve">was not legally valid </w:t>
      </w:r>
      <w:r w:rsidR="00707A74">
        <w:rPr>
          <w:rFonts w:asciiTheme="minorHAnsi" w:hAnsiTheme="minorHAnsi" w:cstheme="minorHAnsi"/>
          <w:color w:val="242121"/>
          <w:sz w:val="26"/>
          <w:szCs w:val="26"/>
          <w:shd w:val="clear" w:color="auto" w:fill="FFFFFF"/>
        </w:rPr>
        <w:t>and</w:t>
      </w:r>
      <w:r w:rsidRPr="000B6C72">
        <w:rPr>
          <w:rFonts w:asciiTheme="minorHAnsi" w:hAnsiTheme="minorHAnsi" w:cstheme="minorHAnsi"/>
          <w:color w:val="242121"/>
          <w:sz w:val="26"/>
          <w:szCs w:val="26"/>
          <w:shd w:val="clear" w:color="auto" w:fill="FFFFFF"/>
        </w:rPr>
        <w:t xml:space="preserve"> of no force and effect.</w:t>
      </w:r>
      <w:r>
        <w:rPr>
          <w:rStyle w:val="FootnoteReference"/>
          <w:rFonts w:asciiTheme="minorHAnsi" w:hAnsiTheme="minorHAnsi" w:cstheme="minorHAnsi"/>
          <w:color w:val="242121"/>
          <w:sz w:val="26"/>
          <w:szCs w:val="26"/>
          <w:shd w:val="clear" w:color="auto" w:fill="FFFFFF"/>
        </w:rPr>
        <w:footnoteReference w:id="6"/>
      </w:r>
      <w:r>
        <w:rPr>
          <w:rFonts w:asciiTheme="minorHAnsi" w:hAnsiTheme="minorHAnsi" w:cstheme="minorHAnsi"/>
          <w:color w:val="242121"/>
          <w:sz w:val="26"/>
          <w:szCs w:val="26"/>
          <w:shd w:val="clear" w:color="auto" w:fill="FFFFFF"/>
        </w:rPr>
        <w:t xml:space="preserve"> </w:t>
      </w:r>
    </w:p>
    <w:p w:rsidR="000B6C72" w:rsidRPr="000B6C72" w:rsidRDefault="000B6C72" w:rsidP="000B6C72">
      <w:pPr>
        <w:pStyle w:val="ListParagraph"/>
        <w:rPr>
          <w:rFonts w:asciiTheme="minorHAnsi" w:hAnsiTheme="minorHAnsi" w:cstheme="minorHAnsi"/>
          <w:sz w:val="26"/>
          <w:szCs w:val="26"/>
        </w:rPr>
      </w:pPr>
    </w:p>
    <w:p w:rsidR="00353CD0" w:rsidRPr="00ED67C7" w:rsidRDefault="000B6C72"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Reliance was placed </w:t>
      </w:r>
      <w:r w:rsidR="0003076B">
        <w:rPr>
          <w:rFonts w:asciiTheme="minorHAnsi" w:hAnsiTheme="minorHAnsi" w:cstheme="minorHAnsi"/>
          <w:sz w:val="26"/>
          <w:szCs w:val="26"/>
        </w:rPr>
        <w:t xml:space="preserve">by the first respondent </w:t>
      </w:r>
      <w:r>
        <w:rPr>
          <w:rFonts w:asciiTheme="minorHAnsi" w:hAnsiTheme="minorHAnsi" w:cstheme="minorHAnsi"/>
          <w:sz w:val="26"/>
          <w:szCs w:val="26"/>
        </w:rPr>
        <w:t xml:space="preserve">on the case of </w:t>
      </w:r>
      <w:r>
        <w:rPr>
          <w:rFonts w:asciiTheme="minorHAnsi" w:hAnsiTheme="minorHAnsi" w:cstheme="minorHAnsi"/>
          <w:i/>
          <w:sz w:val="26"/>
          <w:szCs w:val="26"/>
        </w:rPr>
        <w:t>Leysath</w:t>
      </w:r>
      <w:r>
        <w:rPr>
          <w:rStyle w:val="FootnoteReference"/>
          <w:rFonts w:asciiTheme="minorHAnsi" w:hAnsiTheme="minorHAnsi" w:cstheme="minorHAnsi"/>
          <w:i/>
          <w:sz w:val="26"/>
          <w:szCs w:val="26"/>
        </w:rPr>
        <w:footnoteReference w:id="7"/>
      </w:r>
      <w:r>
        <w:rPr>
          <w:rFonts w:asciiTheme="minorHAnsi" w:hAnsiTheme="minorHAnsi" w:cstheme="minorHAnsi"/>
          <w:sz w:val="26"/>
          <w:szCs w:val="26"/>
        </w:rPr>
        <w:t xml:space="preserve"> for the </w:t>
      </w:r>
      <w:r w:rsidR="0003076B">
        <w:rPr>
          <w:rFonts w:asciiTheme="minorHAnsi" w:hAnsiTheme="minorHAnsi" w:cstheme="minorHAnsi"/>
          <w:sz w:val="26"/>
          <w:szCs w:val="26"/>
        </w:rPr>
        <w:t xml:space="preserve">submission </w:t>
      </w:r>
      <w:r>
        <w:rPr>
          <w:rFonts w:asciiTheme="minorHAnsi" w:hAnsiTheme="minorHAnsi" w:cstheme="minorHAnsi"/>
          <w:sz w:val="26"/>
          <w:szCs w:val="26"/>
        </w:rPr>
        <w:t xml:space="preserve">that it was incumbent upon the applicant to prove that the funds </w:t>
      </w:r>
      <w:r>
        <w:rPr>
          <w:rFonts w:asciiTheme="minorHAnsi" w:hAnsiTheme="minorHAnsi" w:cstheme="minorHAnsi"/>
          <w:sz w:val="26"/>
          <w:szCs w:val="26"/>
        </w:rPr>
        <w:lastRenderedPageBreak/>
        <w:t>were ‘</w:t>
      </w:r>
      <w:r>
        <w:rPr>
          <w:rFonts w:asciiTheme="minorHAnsi" w:hAnsiTheme="minorHAnsi" w:cstheme="minorHAnsi"/>
          <w:i/>
          <w:sz w:val="26"/>
          <w:szCs w:val="26"/>
        </w:rPr>
        <w:t xml:space="preserve">entrusted’ </w:t>
      </w:r>
      <w:r>
        <w:rPr>
          <w:rFonts w:asciiTheme="minorHAnsi" w:hAnsiTheme="minorHAnsi" w:cstheme="minorHAnsi"/>
          <w:sz w:val="26"/>
          <w:szCs w:val="26"/>
        </w:rPr>
        <w:t>to it by Eskom, as ‘entrustment’ according to the first respondent</w:t>
      </w:r>
      <w:r w:rsidR="0003076B">
        <w:rPr>
          <w:rFonts w:asciiTheme="minorHAnsi" w:hAnsiTheme="minorHAnsi" w:cstheme="minorHAnsi"/>
          <w:sz w:val="26"/>
          <w:szCs w:val="26"/>
        </w:rPr>
        <w:t>,</w:t>
      </w:r>
      <w:r>
        <w:rPr>
          <w:rFonts w:asciiTheme="minorHAnsi" w:hAnsiTheme="minorHAnsi" w:cstheme="minorHAnsi"/>
          <w:sz w:val="26"/>
          <w:szCs w:val="26"/>
        </w:rPr>
        <w:t xml:space="preserve"> was a </w:t>
      </w:r>
      <w:r w:rsidR="00707A74">
        <w:rPr>
          <w:rFonts w:asciiTheme="minorHAnsi" w:hAnsiTheme="minorHAnsi" w:cstheme="minorHAnsi"/>
          <w:sz w:val="26"/>
          <w:szCs w:val="26"/>
        </w:rPr>
        <w:t>‘</w:t>
      </w:r>
      <w:r>
        <w:rPr>
          <w:rFonts w:asciiTheme="minorHAnsi" w:hAnsiTheme="minorHAnsi" w:cstheme="minorHAnsi"/>
          <w:sz w:val="26"/>
          <w:szCs w:val="26"/>
        </w:rPr>
        <w:t>necessary part</w:t>
      </w:r>
      <w:r w:rsidR="00707A74">
        <w:rPr>
          <w:rFonts w:asciiTheme="minorHAnsi" w:hAnsiTheme="minorHAnsi" w:cstheme="minorHAnsi"/>
          <w:sz w:val="26"/>
          <w:szCs w:val="26"/>
        </w:rPr>
        <w:t>’</w:t>
      </w:r>
      <w:r>
        <w:rPr>
          <w:rFonts w:asciiTheme="minorHAnsi" w:hAnsiTheme="minorHAnsi" w:cstheme="minorHAnsi"/>
          <w:sz w:val="26"/>
          <w:szCs w:val="26"/>
        </w:rPr>
        <w:t xml:space="preserve"> of the applicant’s case. He submitted that </w:t>
      </w:r>
      <w:r w:rsidRPr="000B6C72">
        <w:rPr>
          <w:rFonts w:asciiTheme="minorHAnsi" w:hAnsiTheme="minorHAnsi" w:cstheme="minorHAnsi"/>
          <w:i/>
          <w:sz w:val="26"/>
          <w:szCs w:val="26"/>
        </w:rPr>
        <w:t>‘</w:t>
      </w:r>
      <w:r w:rsidRPr="000B6C72">
        <w:rPr>
          <w:rFonts w:asciiTheme="minorHAnsi" w:hAnsiTheme="minorHAnsi" w:cstheme="minorHAnsi"/>
          <w:i/>
          <w:color w:val="000000"/>
          <w:sz w:val="26"/>
          <w:szCs w:val="26"/>
        </w:rPr>
        <w:t xml:space="preserve">if </w:t>
      </w:r>
      <w:r>
        <w:rPr>
          <w:rFonts w:asciiTheme="minorHAnsi" w:hAnsiTheme="minorHAnsi" w:cstheme="minorHAnsi"/>
          <w:i/>
          <w:color w:val="000000"/>
          <w:sz w:val="26"/>
          <w:szCs w:val="26"/>
        </w:rPr>
        <w:t xml:space="preserve">the </w:t>
      </w:r>
      <w:r w:rsidRPr="000B6C72">
        <w:rPr>
          <w:rFonts w:asciiTheme="minorHAnsi" w:hAnsiTheme="minorHAnsi" w:cstheme="minorHAnsi"/>
          <w:i/>
          <w:color w:val="000000"/>
          <w:sz w:val="26"/>
          <w:szCs w:val="26"/>
        </w:rPr>
        <w:t>Applicant wants to be declared a lawful possessor of trust funds it must prove that such funds were entrusted to it.’</w:t>
      </w:r>
    </w:p>
    <w:p w:rsidR="00353CD0" w:rsidRPr="00ED67C7" w:rsidRDefault="00353CD0" w:rsidP="00353CD0">
      <w:pPr>
        <w:pStyle w:val="ListParagraph"/>
        <w:rPr>
          <w:rFonts w:asciiTheme="minorHAnsi" w:hAnsiTheme="minorHAnsi" w:cstheme="minorHAnsi"/>
          <w:sz w:val="26"/>
          <w:szCs w:val="26"/>
        </w:rPr>
      </w:pPr>
    </w:p>
    <w:p w:rsidR="00353CD0" w:rsidRPr="000B6C72" w:rsidRDefault="000B6C72"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i/>
          <w:sz w:val="26"/>
          <w:szCs w:val="26"/>
        </w:rPr>
        <w:t xml:space="preserve">Leysath </w:t>
      </w:r>
      <w:r w:rsidRPr="000B6C72">
        <w:rPr>
          <w:rFonts w:asciiTheme="minorHAnsi" w:hAnsiTheme="minorHAnsi" w:cstheme="minorHAnsi"/>
          <w:sz w:val="26"/>
          <w:szCs w:val="26"/>
        </w:rPr>
        <w:t>involved a claim</w:t>
      </w:r>
      <w:r>
        <w:rPr>
          <w:rFonts w:asciiTheme="minorHAnsi" w:hAnsiTheme="minorHAnsi" w:cstheme="minorHAnsi"/>
          <w:i/>
          <w:sz w:val="26"/>
          <w:szCs w:val="26"/>
        </w:rPr>
        <w:t xml:space="preserve"> </w:t>
      </w:r>
      <w:r>
        <w:rPr>
          <w:rFonts w:asciiTheme="minorHAnsi" w:hAnsiTheme="minorHAnsi" w:cstheme="minorHAnsi"/>
          <w:sz w:val="26"/>
          <w:szCs w:val="26"/>
        </w:rPr>
        <w:t xml:space="preserve">by the appellant, a practicing advocate, </w:t>
      </w:r>
      <w:r>
        <w:rPr>
          <w:rFonts w:asciiTheme="minorHAnsi" w:hAnsiTheme="minorHAnsi" w:cstheme="minorHAnsi"/>
          <w:color w:val="000000"/>
          <w:sz w:val="26"/>
          <w:szCs w:val="26"/>
        </w:rPr>
        <w:t>in terms of section 26(a) of the Attorneys Act, 53 of 1979</w:t>
      </w:r>
      <w:r>
        <w:rPr>
          <w:rStyle w:val="FootnoteReference"/>
          <w:rFonts w:asciiTheme="minorHAnsi" w:hAnsiTheme="minorHAnsi" w:cstheme="minorHAnsi"/>
          <w:sz w:val="26"/>
          <w:szCs w:val="26"/>
        </w:rPr>
        <w:footnoteReference w:id="8"/>
      </w:r>
      <w:r>
        <w:rPr>
          <w:rFonts w:asciiTheme="minorHAnsi" w:hAnsiTheme="minorHAnsi" w:cstheme="minorHAnsi"/>
          <w:color w:val="000000"/>
          <w:sz w:val="26"/>
          <w:szCs w:val="26"/>
        </w:rPr>
        <w:t xml:space="preserve"> </w:t>
      </w:r>
      <w:r>
        <w:rPr>
          <w:rFonts w:asciiTheme="minorHAnsi" w:hAnsiTheme="minorHAnsi" w:cstheme="minorHAnsi"/>
          <w:sz w:val="26"/>
          <w:szCs w:val="26"/>
        </w:rPr>
        <w:t>for recovery</w:t>
      </w:r>
      <w:r w:rsidRPr="00EC706D">
        <w:rPr>
          <w:rFonts w:asciiTheme="minorHAnsi" w:hAnsiTheme="minorHAnsi" w:cstheme="minorHAnsi"/>
          <w:color w:val="000000"/>
          <w:sz w:val="26"/>
          <w:szCs w:val="26"/>
        </w:rPr>
        <w:t xml:space="preserve"> from the </w:t>
      </w:r>
      <w:r>
        <w:rPr>
          <w:rFonts w:asciiTheme="minorHAnsi" w:hAnsiTheme="minorHAnsi" w:cstheme="minorHAnsi"/>
          <w:color w:val="000000"/>
          <w:sz w:val="26"/>
          <w:szCs w:val="26"/>
        </w:rPr>
        <w:t xml:space="preserve">Attorneys </w:t>
      </w:r>
      <w:r w:rsidRPr="00EC706D">
        <w:rPr>
          <w:rFonts w:asciiTheme="minorHAnsi" w:hAnsiTheme="minorHAnsi" w:cstheme="minorHAnsi"/>
          <w:color w:val="000000"/>
          <w:sz w:val="26"/>
          <w:szCs w:val="26"/>
        </w:rPr>
        <w:t>Fidelity Fund</w:t>
      </w:r>
      <w:r>
        <w:rPr>
          <w:rFonts w:asciiTheme="minorHAnsi" w:hAnsiTheme="minorHAnsi" w:cstheme="minorHAnsi"/>
          <w:color w:val="000000"/>
          <w:sz w:val="26"/>
          <w:szCs w:val="26"/>
        </w:rPr>
        <w:t>,</w:t>
      </w:r>
      <w:r w:rsidRPr="00EC706D">
        <w:rPr>
          <w:rFonts w:asciiTheme="minorHAnsi" w:hAnsiTheme="minorHAnsi" w:cstheme="minorHAnsi"/>
          <w:color w:val="000000"/>
          <w:sz w:val="26"/>
          <w:szCs w:val="26"/>
        </w:rPr>
        <w:t xml:space="preserve"> </w:t>
      </w:r>
      <w:r w:rsidRPr="000B6C72">
        <w:rPr>
          <w:rFonts w:asciiTheme="minorHAnsi" w:hAnsiTheme="minorHAnsi" w:cstheme="minorHAnsi"/>
          <w:color w:val="242121"/>
          <w:sz w:val="26"/>
          <w:szCs w:val="26"/>
          <w:shd w:val="clear" w:color="auto" w:fill="FFFFFF"/>
        </w:rPr>
        <w:t>money that was held in trust on his behalf by the attorneys’ firm, M F Martins Costa Attorneys (Costa Attorneys), as cover for his fees and which had been misappropriated by the firm. The Supreme Court of appeal held that t</w:t>
      </w:r>
      <w:r w:rsidRPr="000B6C72">
        <w:rPr>
          <w:rFonts w:asciiTheme="minorHAnsi" w:hAnsiTheme="minorHAnsi" w:cstheme="minorHAnsi"/>
          <w:color w:val="242121"/>
          <w:sz w:val="26"/>
          <w:szCs w:val="26"/>
        </w:rPr>
        <w:t>he appellant was required to prove</w:t>
      </w:r>
      <w:r>
        <w:rPr>
          <w:rFonts w:asciiTheme="minorHAnsi" w:hAnsiTheme="minorHAnsi" w:cstheme="minorHAnsi"/>
          <w:color w:val="242121"/>
          <w:sz w:val="26"/>
          <w:szCs w:val="26"/>
        </w:rPr>
        <w:t>, by advancing such claim,</w:t>
      </w:r>
      <w:r w:rsidRPr="000B6C72">
        <w:rPr>
          <w:rFonts w:asciiTheme="minorHAnsi" w:hAnsiTheme="minorHAnsi" w:cstheme="minorHAnsi"/>
          <w:color w:val="242121"/>
          <w:sz w:val="26"/>
          <w:szCs w:val="26"/>
        </w:rPr>
        <w:t xml:space="preserve"> that: (a) he had suffered pecuniary loss; (b) by reason of theft committed by Mr Costa; (c) of money entrusted by or on the appellant’s behalf; (d) in the course of Mr Costa’s practice.</w:t>
      </w:r>
    </w:p>
    <w:p w:rsidR="00353CD0" w:rsidRPr="00A27B8E" w:rsidRDefault="00353CD0" w:rsidP="00353CD0">
      <w:pPr>
        <w:pStyle w:val="ListParagraph"/>
        <w:rPr>
          <w:rFonts w:asciiTheme="minorHAnsi" w:hAnsiTheme="minorHAnsi" w:cstheme="minorHAnsi"/>
          <w:sz w:val="26"/>
          <w:szCs w:val="26"/>
        </w:rPr>
      </w:pPr>
    </w:p>
    <w:p w:rsidR="00353CD0" w:rsidRDefault="000B6C72" w:rsidP="00353CD0">
      <w:pPr>
        <w:pStyle w:val="ListParagraph"/>
        <w:numPr>
          <w:ilvl w:val="0"/>
          <w:numId w:val="3"/>
        </w:numPr>
        <w:spacing w:after="200" w:line="360" w:lineRule="auto"/>
        <w:jc w:val="both"/>
        <w:rPr>
          <w:rFonts w:asciiTheme="minorHAnsi" w:hAnsiTheme="minorHAnsi" w:cstheme="minorHAnsi"/>
          <w:sz w:val="26"/>
          <w:szCs w:val="26"/>
        </w:rPr>
      </w:pPr>
      <w:r w:rsidRPr="000B6C72">
        <w:rPr>
          <w:rFonts w:asciiTheme="minorHAnsi" w:hAnsiTheme="minorHAnsi" w:cstheme="minorHAnsi"/>
          <w:sz w:val="26"/>
          <w:szCs w:val="26"/>
        </w:rPr>
        <w:t>The case of</w:t>
      </w:r>
      <w:r>
        <w:rPr>
          <w:rFonts w:asciiTheme="minorHAnsi" w:hAnsiTheme="minorHAnsi" w:cstheme="minorHAnsi"/>
          <w:i/>
          <w:sz w:val="26"/>
          <w:szCs w:val="26"/>
        </w:rPr>
        <w:t xml:space="preserve"> Leysath </w:t>
      </w:r>
      <w:r>
        <w:rPr>
          <w:rFonts w:asciiTheme="minorHAnsi" w:hAnsiTheme="minorHAnsi" w:cstheme="minorHAnsi"/>
          <w:sz w:val="26"/>
          <w:szCs w:val="26"/>
        </w:rPr>
        <w:t xml:space="preserve">offers no support to the first respondent on </w:t>
      </w:r>
      <w:r w:rsidR="0003076B">
        <w:rPr>
          <w:rFonts w:asciiTheme="minorHAnsi" w:hAnsiTheme="minorHAnsi" w:cstheme="minorHAnsi"/>
          <w:sz w:val="26"/>
          <w:szCs w:val="26"/>
        </w:rPr>
        <w:t>the</w:t>
      </w:r>
      <w:r>
        <w:rPr>
          <w:rFonts w:asciiTheme="minorHAnsi" w:hAnsiTheme="minorHAnsi" w:cstheme="minorHAnsi"/>
          <w:sz w:val="26"/>
          <w:szCs w:val="26"/>
        </w:rPr>
        <w:t xml:space="preserve"> </w:t>
      </w:r>
      <w:r>
        <w:rPr>
          <w:rFonts w:asciiTheme="minorHAnsi" w:hAnsiTheme="minorHAnsi" w:cstheme="minorHAnsi"/>
          <w:i/>
          <w:sz w:val="26"/>
          <w:szCs w:val="26"/>
        </w:rPr>
        <w:t xml:space="preserve">locus standi </w:t>
      </w:r>
      <w:r>
        <w:rPr>
          <w:rFonts w:asciiTheme="minorHAnsi" w:hAnsiTheme="minorHAnsi" w:cstheme="minorHAnsi"/>
          <w:sz w:val="26"/>
          <w:szCs w:val="26"/>
        </w:rPr>
        <w:t>point</w:t>
      </w:r>
      <w:r w:rsidR="0003076B">
        <w:rPr>
          <w:rFonts w:asciiTheme="minorHAnsi" w:hAnsiTheme="minorHAnsi" w:cstheme="minorHAnsi"/>
          <w:sz w:val="26"/>
          <w:szCs w:val="26"/>
        </w:rPr>
        <w:t xml:space="preserve"> or non-joinder point</w:t>
      </w:r>
      <w:r>
        <w:rPr>
          <w:rFonts w:asciiTheme="minorHAnsi" w:hAnsiTheme="minorHAnsi" w:cstheme="minorHAnsi"/>
          <w:sz w:val="26"/>
          <w:szCs w:val="26"/>
        </w:rPr>
        <w:t>. Firstly, it is distinguishable on its facts and secondly</w:t>
      </w:r>
      <w:r w:rsidR="00707A74">
        <w:rPr>
          <w:rFonts w:asciiTheme="minorHAnsi" w:hAnsiTheme="minorHAnsi" w:cstheme="minorHAnsi"/>
          <w:sz w:val="26"/>
          <w:szCs w:val="26"/>
        </w:rPr>
        <w:t>,</w:t>
      </w:r>
      <w:r>
        <w:rPr>
          <w:rFonts w:asciiTheme="minorHAnsi" w:hAnsiTheme="minorHAnsi" w:cstheme="minorHAnsi"/>
          <w:sz w:val="26"/>
          <w:szCs w:val="26"/>
        </w:rPr>
        <w:t xml:space="preserve"> it involved an entirely different cause of action.</w:t>
      </w:r>
    </w:p>
    <w:p w:rsidR="000B6C72" w:rsidRPr="000B6C72" w:rsidRDefault="000B6C72" w:rsidP="000B6C72">
      <w:pPr>
        <w:pStyle w:val="ListParagraph"/>
        <w:rPr>
          <w:rFonts w:asciiTheme="minorHAnsi" w:hAnsiTheme="minorHAnsi" w:cstheme="minorHAnsi"/>
          <w:sz w:val="26"/>
          <w:szCs w:val="26"/>
        </w:rPr>
      </w:pPr>
    </w:p>
    <w:p w:rsidR="000B6C72" w:rsidRPr="000B6C72" w:rsidRDefault="000B6C72"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present case (that is, pursuant to the abandonment of certain claims by the applicant) involves, amongst others, a claim by the applicant against the bank (FNB) for the restitution to it of funds that were held by the applicant in its trust account on behalf of Eskom at the time that the funds were ultimately stolen by the first respondent</w:t>
      </w:r>
      <w:r w:rsidR="00707A74">
        <w:rPr>
          <w:rFonts w:asciiTheme="minorHAnsi" w:hAnsiTheme="minorHAnsi" w:cstheme="minorHAnsi"/>
          <w:sz w:val="26"/>
          <w:szCs w:val="26"/>
        </w:rPr>
        <w:t xml:space="preserve"> through fraudulent means</w:t>
      </w:r>
      <w:r>
        <w:rPr>
          <w:rFonts w:asciiTheme="minorHAnsi" w:hAnsiTheme="minorHAnsi" w:cstheme="minorHAnsi"/>
          <w:sz w:val="26"/>
          <w:szCs w:val="26"/>
        </w:rPr>
        <w:t>. Such a claim lies against the bank</w:t>
      </w:r>
      <w:r w:rsidRPr="00AF65A2">
        <w:rPr>
          <w:sz w:val="26"/>
          <w:szCs w:val="26"/>
        </w:rPr>
        <w:t xml:space="preserve"> </w:t>
      </w:r>
      <w:r w:rsidRPr="000B6C72">
        <w:rPr>
          <w:rFonts w:asciiTheme="minorHAnsi" w:hAnsiTheme="minorHAnsi" w:cstheme="minorHAnsi"/>
          <w:sz w:val="26"/>
          <w:szCs w:val="26"/>
        </w:rPr>
        <w:t>that is enriched by the receipt of stolen funds and is therefore under a duty to restore the traceable proceeds of the stolen money.</w:t>
      </w:r>
      <w:r w:rsidRPr="000B6C72">
        <w:rPr>
          <w:rStyle w:val="FootnoteReference"/>
          <w:rFonts w:asciiTheme="minorHAnsi" w:hAnsiTheme="minorHAnsi" w:cstheme="minorHAnsi"/>
          <w:sz w:val="26"/>
          <w:szCs w:val="26"/>
        </w:rPr>
        <w:footnoteReference w:id="9"/>
      </w:r>
      <w:r>
        <w:rPr>
          <w:sz w:val="26"/>
          <w:szCs w:val="26"/>
        </w:rPr>
        <w:t xml:space="preserve"> </w:t>
      </w:r>
      <w:r w:rsidRPr="000B6C72">
        <w:rPr>
          <w:rFonts w:asciiTheme="minorHAnsi" w:hAnsiTheme="minorHAnsi" w:cstheme="minorHAnsi"/>
          <w:sz w:val="26"/>
          <w:szCs w:val="26"/>
        </w:rPr>
        <w:t>Such a claim is brought by way of one of the condictions.</w:t>
      </w:r>
    </w:p>
    <w:p w:rsidR="000B6C72" w:rsidRPr="000B6C72" w:rsidRDefault="000B6C72" w:rsidP="000B6C72">
      <w:pPr>
        <w:pStyle w:val="ListParagraph"/>
        <w:rPr>
          <w:rFonts w:asciiTheme="minorHAnsi" w:hAnsiTheme="minorHAnsi" w:cstheme="minorHAnsi"/>
          <w:sz w:val="26"/>
          <w:szCs w:val="26"/>
        </w:rPr>
      </w:pPr>
    </w:p>
    <w:p w:rsidR="000B6C72" w:rsidRPr="000B6C72" w:rsidRDefault="000B6C72" w:rsidP="000B6C72">
      <w:pPr>
        <w:pStyle w:val="ListParagraph"/>
        <w:numPr>
          <w:ilvl w:val="0"/>
          <w:numId w:val="3"/>
        </w:numPr>
        <w:spacing w:after="200" w:line="360" w:lineRule="auto"/>
        <w:jc w:val="both"/>
        <w:rPr>
          <w:rFonts w:asciiTheme="minorHAnsi" w:hAnsiTheme="minorHAnsi" w:cstheme="minorHAnsi"/>
          <w:color w:val="242121"/>
          <w:sz w:val="26"/>
          <w:szCs w:val="26"/>
        </w:rPr>
      </w:pPr>
      <w:r w:rsidRPr="000B6C72">
        <w:rPr>
          <w:rFonts w:asciiTheme="minorHAnsi" w:hAnsiTheme="minorHAnsi" w:cstheme="minorHAnsi"/>
          <w:sz w:val="26"/>
          <w:szCs w:val="26"/>
        </w:rPr>
        <w:t xml:space="preserve">In </w:t>
      </w:r>
      <w:r w:rsidRPr="000B6C72">
        <w:rPr>
          <w:rFonts w:asciiTheme="minorHAnsi" w:hAnsiTheme="minorHAnsi" w:cstheme="minorHAnsi"/>
          <w:i/>
          <w:sz w:val="26"/>
          <w:szCs w:val="26"/>
          <w:lang w:eastAsia="en-ZA"/>
        </w:rPr>
        <w:t>Nissan</w:t>
      </w:r>
      <w:r w:rsidR="0003076B">
        <w:rPr>
          <w:rFonts w:asciiTheme="minorHAnsi" w:hAnsiTheme="minorHAnsi" w:cstheme="minorHAnsi"/>
          <w:i/>
          <w:sz w:val="26"/>
          <w:szCs w:val="26"/>
          <w:lang w:eastAsia="en-ZA"/>
        </w:rPr>
        <w:t>,</w:t>
      </w:r>
      <w:r w:rsidRPr="000B6C72">
        <w:rPr>
          <w:rStyle w:val="FootnoteReference"/>
          <w:rFonts w:asciiTheme="minorHAnsi" w:hAnsiTheme="minorHAnsi" w:cstheme="minorHAnsi"/>
          <w:i/>
          <w:sz w:val="26"/>
          <w:szCs w:val="26"/>
          <w:lang w:eastAsia="en-ZA"/>
        </w:rPr>
        <w:footnoteReference w:id="10"/>
      </w:r>
      <w:r w:rsidRPr="000B6C72">
        <w:rPr>
          <w:rFonts w:asciiTheme="minorHAnsi" w:hAnsiTheme="minorHAnsi" w:cstheme="minorHAnsi"/>
          <w:i/>
          <w:sz w:val="26"/>
          <w:szCs w:val="26"/>
          <w:lang w:eastAsia="en-ZA"/>
        </w:rPr>
        <w:t xml:space="preserve"> </w:t>
      </w:r>
      <w:r w:rsidRPr="0003076B">
        <w:rPr>
          <w:rFonts w:asciiTheme="minorHAnsi" w:hAnsiTheme="minorHAnsi" w:cstheme="minorHAnsi"/>
          <w:sz w:val="26"/>
          <w:szCs w:val="26"/>
          <w:lang w:eastAsia="en-ZA"/>
        </w:rPr>
        <w:t>a case that concerned credit balances on bank accounts</w:t>
      </w:r>
      <w:r w:rsidRPr="000B6C72">
        <w:rPr>
          <w:rFonts w:asciiTheme="minorHAnsi" w:hAnsiTheme="minorHAnsi" w:cstheme="minorHAnsi"/>
          <w:i/>
          <w:sz w:val="26"/>
          <w:szCs w:val="26"/>
          <w:lang w:eastAsia="en-ZA"/>
        </w:rPr>
        <w:t xml:space="preserve">, </w:t>
      </w:r>
      <w:r w:rsidRPr="000B6C72">
        <w:rPr>
          <w:rFonts w:asciiTheme="minorHAnsi" w:hAnsiTheme="minorHAnsi" w:cstheme="minorHAnsi"/>
          <w:color w:val="242121"/>
          <w:sz w:val="26"/>
          <w:szCs w:val="26"/>
        </w:rPr>
        <w:t>the court found that a bank which credited its customer’s account is not liable to pay the amount to the customer if the customer came to the money by theft or fraud. In that case the customer knew that it was not entitled to the money credited to its account. Its appropriation of it subsequently amounted to theft. As far as the credit balance remaining on the account was concerned the court said the following:</w:t>
      </w:r>
    </w:p>
    <w:p w:rsidR="000B6C72" w:rsidRPr="000B6C72" w:rsidRDefault="000B6C72" w:rsidP="000B6C72">
      <w:pPr>
        <w:pStyle w:val="ListParagraph"/>
        <w:spacing w:after="200" w:line="360" w:lineRule="auto"/>
        <w:ind w:left="851"/>
        <w:jc w:val="both"/>
        <w:rPr>
          <w:rFonts w:asciiTheme="minorHAnsi" w:hAnsiTheme="minorHAnsi" w:cstheme="minorHAnsi"/>
          <w:sz w:val="24"/>
          <w:szCs w:val="24"/>
        </w:rPr>
      </w:pPr>
      <w:r w:rsidRPr="000B6C72">
        <w:rPr>
          <w:rFonts w:asciiTheme="minorHAnsi" w:hAnsiTheme="minorHAnsi" w:cstheme="minorHAnsi"/>
          <w:color w:val="242121"/>
          <w:sz w:val="24"/>
          <w:szCs w:val="24"/>
        </w:rPr>
        <w:t>‘I agree … that our law would be deficient if it did not provide a remedy for recovery of stolen money direct from the bank which received that money to the credit of the thief’s account, for as long as the amount stands to the credit of the thief.’</w:t>
      </w:r>
    </w:p>
    <w:p w:rsidR="000B6C72" w:rsidRDefault="000B6C72" w:rsidP="000B6C72">
      <w:pPr>
        <w:pStyle w:val="ListParagraph"/>
        <w:rPr>
          <w:rFonts w:asciiTheme="minorHAnsi" w:hAnsiTheme="minorHAnsi" w:cstheme="minorHAnsi"/>
          <w:sz w:val="26"/>
          <w:szCs w:val="26"/>
        </w:rPr>
      </w:pPr>
    </w:p>
    <w:p w:rsidR="000B6C72" w:rsidRDefault="000B6C72" w:rsidP="000B6C7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w:t>
      </w:r>
      <w:r>
        <w:rPr>
          <w:rFonts w:asciiTheme="minorHAnsi" w:hAnsiTheme="minorHAnsi" w:cstheme="minorHAnsi"/>
          <w:i/>
          <w:sz w:val="26"/>
          <w:szCs w:val="26"/>
        </w:rPr>
        <w:t>Lombard,</w:t>
      </w:r>
      <w:r>
        <w:rPr>
          <w:rStyle w:val="FootnoteReference"/>
          <w:rFonts w:asciiTheme="minorHAnsi" w:hAnsiTheme="minorHAnsi" w:cstheme="minorHAnsi"/>
          <w:i/>
          <w:sz w:val="26"/>
          <w:szCs w:val="26"/>
        </w:rPr>
        <w:footnoteReference w:id="11"/>
      </w:r>
      <w:r>
        <w:rPr>
          <w:rFonts w:asciiTheme="minorHAnsi" w:hAnsiTheme="minorHAnsi" w:cstheme="minorHAnsi"/>
          <w:i/>
          <w:sz w:val="26"/>
          <w:szCs w:val="26"/>
        </w:rPr>
        <w:t xml:space="preserve"> </w:t>
      </w:r>
      <w:r w:rsidRPr="000B6C72">
        <w:rPr>
          <w:rFonts w:asciiTheme="minorHAnsi" w:hAnsiTheme="minorHAnsi" w:cstheme="minorHAnsi"/>
          <w:sz w:val="26"/>
          <w:szCs w:val="26"/>
        </w:rPr>
        <w:t xml:space="preserve">the court </w:t>
      </w:r>
      <w:r>
        <w:rPr>
          <w:rFonts w:asciiTheme="minorHAnsi" w:hAnsiTheme="minorHAnsi" w:cstheme="minorHAnsi"/>
          <w:sz w:val="26"/>
          <w:szCs w:val="26"/>
        </w:rPr>
        <w:t xml:space="preserve">explained, in relation to what was said in </w:t>
      </w:r>
      <w:r>
        <w:rPr>
          <w:rFonts w:asciiTheme="minorHAnsi" w:hAnsiTheme="minorHAnsi" w:cstheme="minorHAnsi"/>
          <w:i/>
          <w:sz w:val="26"/>
          <w:szCs w:val="26"/>
        </w:rPr>
        <w:t>Nissan,</w:t>
      </w:r>
      <w:r>
        <w:rPr>
          <w:rFonts w:asciiTheme="minorHAnsi" w:hAnsiTheme="minorHAnsi" w:cstheme="minorHAnsi"/>
          <w:sz w:val="26"/>
          <w:szCs w:val="26"/>
        </w:rPr>
        <w:t xml:space="preserve"> as follows:</w:t>
      </w:r>
    </w:p>
    <w:p w:rsidR="000B6C72" w:rsidRDefault="000B6C72" w:rsidP="000B6C72">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sz w:val="26"/>
          <w:szCs w:val="26"/>
        </w:rPr>
        <w:lastRenderedPageBreak/>
        <w:t>“</w:t>
      </w:r>
      <w:r w:rsidRPr="00DF226D">
        <w:rPr>
          <w:rFonts w:asciiTheme="minorHAnsi" w:hAnsiTheme="minorHAnsi" w:cstheme="minorHAnsi"/>
          <w:color w:val="242121"/>
          <w:sz w:val="24"/>
          <w:szCs w:val="24"/>
        </w:rPr>
        <w:t>The implication is that the amount standing to the thief’s credit may be recovered by condiction, but not the amount that discharged a debt owed by the thief to the bank.</w:t>
      </w:r>
      <w:r w:rsidR="00707A74">
        <w:rPr>
          <w:rFonts w:asciiTheme="minorHAnsi" w:hAnsiTheme="minorHAnsi" w:cstheme="minorHAnsi"/>
          <w:color w:val="242121"/>
          <w:sz w:val="24"/>
          <w:szCs w:val="24"/>
        </w:rPr>
        <w:t xml:space="preserve"> </w:t>
      </w:r>
      <w:r w:rsidR="00707A74">
        <w:rPr>
          <w:rFonts w:asciiTheme="minorHAnsi" w:hAnsiTheme="minorHAnsi" w:cstheme="minorHAnsi"/>
          <w:i/>
          <w:iCs/>
          <w:color w:val="242121"/>
          <w:sz w:val="24"/>
          <w:szCs w:val="24"/>
        </w:rPr>
        <w:t xml:space="preserve">Nissan </w:t>
      </w:r>
      <w:r w:rsidRPr="00DF226D">
        <w:rPr>
          <w:rFonts w:asciiTheme="minorHAnsi" w:hAnsiTheme="minorHAnsi" w:cstheme="minorHAnsi"/>
          <w:color w:val="242121"/>
          <w:sz w:val="24"/>
          <w:szCs w:val="24"/>
        </w:rPr>
        <w:t xml:space="preserve">was concerned with a credit balance on the perpetrator’s account. The bank had no duty to account to its customer. Nor did the customer have a contractual or other right to the stolen funds. </w:t>
      </w:r>
      <w:r w:rsidRPr="00DF226D">
        <w:rPr>
          <w:rFonts w:asciiTheme="minorHAnsi" w:hAnsiTheme="minorHAnsi" w:cstheme="minorHAnsi"/>
          <w:color w:val="242121"/>
          <w:sz w:val="24"/>
          <w:szCs w:val="24"/>
          <w:u w:val="single"/>
        </w:rPr>
        <w:t>The bank, by remaining in possession of the funds without any corresponding liability to account to its customer, was enriched and liable to make restitution to the owner</w:t>
      </w:r>
      <w:r w:rsidRPr="00DF226D">
        <w:rPr>
          <w:rFonts w:asciiTheme="minorHAnsi" w:hAnsiTheme="minorHAnsi" w:cstheme="minorHAnsi"/>
          <w:color w:val="242121"/>
          <w:sz w:val="24"/>
          <w:szCs w:val="24"/>
        </w:rPr>
        <w:t>. Generally, where a customer deposits money in his account the customer becomes entitled to repayment but this is so only where the instruction given to the bank to collect or pay on his account pursuant to the general bank and customer contract is enforceable, not where it is</w:t>
      </w:r>
      <w:r w:rsidR="00707A74">
        <w:rPr>
          <w:rFonts w:asciiTheme="minorHAnsi" w:hAnsiTheme="minorHAnsi" w:cstheme="minorHAnsi"/>
          <w:color w:val="242121"/>
          <w:sz w:val="24"/>
          <w:szCs w:val="24"/>
        </w:rPr>
        <w:t xml:space="preserve"> </w:t>
      </w:r>
      <w:r w:rsidRPr="00DF226D">
        <w:rPr>
          <w:rFonts w:asciiTheme="minorHAnsi" w:hAnsiTheme="minorHAnsi" w:cstheme="minorHAnsi"/>
          <w:i/>
          <w:iCs/>
          <w:color w:val="242121"/>
          <w:sz w:val="24"/>
          <w:szCs w:val="24"/>
        </w:rPr>
        <w:t>contra bonos mores</w:t>
      </w:r>
      <w:r w:rsidRPr="00DF226D">
        <w:rPr>
          <w:rFonts w:asciiTheme="minorHAnsi" w:hAnsiTheme="minorHAnsi" w:cstheme="minorHAnsi"/>
          <w:color w:val="242121"/>
          <w:sz w:val="24"/>
          <w:szCs w:val="24"/>
        </w:rPr>
        <w:t>.</w:t>
      </w:r>
      <w:r w:rsidR="00707A74">
        <w:rPr>
          <w:rFonts w:asciiTheme="minorHAnsi" w:hAnsiTheme="minorHAnsi" w:cstheme="minorHAnsi"/>
          <w:color w:val="242121"/>
          <w:sz w:val="24"/>
          <w:szCs w:val="24"/>
        </w:rPr>
        <w:t xml:space="preserve"> </w:t>
      </w:r>
      <w:r w:rsidRPr="00DF226D">
        <w:rPr>
          <w:rFonts w:asciiTheme="minorHAnsi" w:hAnsiTheme="minorHAnsi" w:cstheme="minorHAnsi"/>
          <w:color w:val="242121"/>
          <w:sz w:val="24"/>
          <w:szCs w:val="24"/>
        </w:rPr>
        <w:t>The effect of</w:t>
      </w:r>
      <w:r w:rsidR="00707A74">
        <w:rPr>
          <w:rFonts w:asciiTheme="minorHAnsi" w:hAnsiTheme="minorHAnsi" w:cstheme="minorHAnsi"/>
          <w:color w:val="242121"/>
          <w:sz w:val="24"/>
          <w:szCs w:val="24"/>
        </w:rPr>
        <w:t xml:space="preserve"> </w:t>
      </w:r>
      <w:r w:rsidRPr="00DF226D">
        <w:rPr>
          <w:rFonts w:asciiTheme="minorHAnsi" w:hAnsiTheme="minorHAnsi" w:cstheme="minorHAnsi"/>
          <w:i/>
          <w:iCs/>
          <w:color w:val="242121"/>
          <w:sz w:val="24"/>
          <w:szCs w:val="24"/>
        </w:rPr>
        <w:t>Nissan</w:t>
      </w:r>
      <w:r w:rsidR="00707A74">
        <w:rPr>
          <w:rFonts w:asciiTheme="minorHAnsi" w:hAnsiTheme="minorHAnsi" w:cstheme="minorHAnsi"/>
          <w:i/>
          <w:iCs/>
          <w:color w:val="242121"/>
          <w:sz w:val="24"/>
          <w:szCs w:val="24"/>
        </w:rPr>
        <w:t xml:space="preserve"> </w:t>
      </w:r>
      <w:r w:rsidRPr="00DF226D">
        <w:rPr>
          <w:rFonts w:asciiTheme="minorHAnsi" w:hAnsiTheme="minorHAnsi" w:cstheme="minorHAnsi"/>
          <w:color w:val="242121"/>
          <w:sz w:val="24"/>
          <w:szCs w:val="24"/>
        </w:rPr>
        <w:t xml:space="preserve">is that where a thief deposits stolen money into his account any instruction disposing of the funds is unenforceable. Hence, there is no obligation on the bank to account to </w:t>
      </w:r>
      <w:r w:rsidR="00707A74">
        <w:rPr>
          <w:rFonts w:asciiTheme="minorHAnsi" w:hAnsiTheme="minorHAnsi" w:cstheme="minorHAnsi"/>
          <w:color w:val="242121"/>
          <w:sz w:val="24"/>
          <w:szCs w:val="24"/>
        </w:rPr>
        <w:t xml:space="preserve">the customer. Consequently, the </w:t>
      </w:r>
      <w:r w:rsidRPr="00DF226D">
        <w:rPr>
          <w:rFonts w:asciiTheme="minorHAnsi" w:hAnsiTheme="minorHAnsi" w:cstheme="minorHAnsi"/>
          <w:i/>
          <w:iCs/>
          <w:color w:val="242121"/>
          <w:sz w:val="24"/>
          <w:szCs w:val="24"/>
        </w:rPr>
        <w:t>bank</w:t>
      </w:r>
      <w:r w:rsidR="00707A74">
        <w:rPr>
          <w:rFonts w:asciiTheme="minorHAnsi" w:hAnsiTheme="minorHAnsi" w:cstheme="minorHAnsi"/>
          <w:color w:val="242121"/>
          <w:sz w:val="24"/>
          <w:szCs w:val="24"/>
        </w:rPr>
        <w:t xml:space="preserve"> </w:t>
      </w:r>
      <w:r w:rsidRPr="00DF226D">
        <w:rPr>
          <w:rFonts w:asciiTheme="minorHAnsi" w:hAnsiTheme="minorHAnsi" w:cstheme="minorHAnsi"/>
          <w:color w:val="242121"/>
          <w:sz w:val="24"/>
          <w:szCs w:val="24"/>
        </w:rPr>
        <w:t xml:space="preserve">retaining the funds could well be enriched because it is not liable to account to its customer, but retains the funds. </w:t>
      </w:r>
      <w:r w:rsidRPr="00DF226D">
        <w:rPr>
          <w:rFonts w:asciiTheme="minorHAnsi" w:hAnsiTheme="minorHAnsi" w:cstheme="minorHAnsi"/>
          <w:color w:val="242121"/>
          <w:sz w:val="24"/>
          <w:szCs w:val="24"/>
          <w:u w:val="single"/>
        </w:rPr>
        <w:t>The account holder, well knowing that he is not entitled to the funds, would thus not have been entitled to dispose of the funds credited to his account because any act of disposition would have been tantamount to the</w:t>
      </w:r>
      <w:r w:rsidRPr="00DF226D">
        <w:rPr>
          <w:rFonts w:asciiTheme="minorHAnsi" w:hAnsiTheme="minorHAnsi" w:cstheme="minorHAnsi"/>
          <w:color w:val="242121"/>
          <w:sz w:val="24"/>
          <w:szCs w:val="24"/>
        </w:rPr>
        <w:t>ft</w:t>
      </w:r>
      <w:r w:rsidR="00850EDE">
        <w:rPr>
          <w:rFonts w:asciiTheme="minorHAnsi" w:hAnsiTheme="minorHAnsi" w:cstheme="minorHAnsi"/>
          <w:color w:val="242121"/>
          <w:sz w:val="24"/>
          <w:szCs w:val="24"/>
        </w:rPr>
        <w:t>.</w:t>
      </w:r>
      <w:r>
        <w:rPr>
          <w:rFonts w:asciiTheme="minorHAnsi" w:hAnsiTheme="minorHAnsi" w:cstheme="minorHAnsi"/>
          <w:color w:val="242121"/>
          <w:sz w:val="24"/>
          <w:szCs w:val="24"/>
        </w:rPr>
        <w:t>”</w:t>
      </w:r>
      <w:r w:rsidR="00850EDE">
        <w:rPr>
          <w:rStyle w:val="FootnoteReference"/>
          <w:rFonts w:asciiTheme="minorHAnsi" w:hAnsiTheme="minorHAnsi" w:cstheme="minorHAnsi"/>
          <w:color w:val="242121"/>
          <w:sz w:val="24"/>
          <w:szCs w:val="24"/>
        </w:rPr>
        <w:footnoteReference w:id="12"/>
      </w:r>
      <w:r w:rsidRPr="000B6C72">
        <w:rPr>
          <w:rFonts w:asciiTheme="minorHAnsi" w:hAnsiTheme="minorHAnsi" w:cstheme="minorHAnsi"/>
          <w:sz w:val="26"/>
          <w:szCs w:val="26"/>
        </w:rPr>
        <w:t xml:space="preserve"> </w:t>
      </w:r>
      <w:r>
        <w:rPr>
          <w:rFonts w:asciiTheme="minorHAnsi" w:hAnsiTheme="minorHAnsi" w:cstheme="minorHAnsi"/>
          <w:sz w:val="26"/>
          <w:szCs w:val="26"/>
        </w:rPr>
        <w:t xml:space="preserve"> (emphasis added)</w:t>
      </w:r>
    </w:p>
    <w:p w:rsidR="000B6C72" w:rsidRDefault="000B6C72" w:rsidP="000B6C72">
      <w:pPr>
        <w:pStyle w:val="ListParagraph"/>
        <w:rPr>
          <w:rFonts w:asciiTheme="minorHAnsi" w:hAnsiTheme="minorHAnsi" w:cstheme="minorHAnsi"/>
          <w:sz w:val="26"/>
          <w:szCs w:val="26"/>
        </w:rPr>
      </w:pPr>
    </w:p>
    <w:p w:rsidR="000B6C72" w:rsidRPr="000B6C72" w:rsidRDefault="000B6C72" w:rsidP="000B6C72">
      <w:pPr>
        <w:pStyle w:val="ListParagraph"/>
        <w:numPr>
          <w:ilvl w:val="0"/>
          <w:numId w:val="3"/>
        </w:numPr>
        <w:spacing w:after="200" w:line="360" w:lineRule="auto"/>
        <w:jc w:val="both"/>
        <w:rPr>
          <w:rFonts w:asciiTheme="minorHAnsi" w:hAnsiTheme="minorHAnsi" w:cstheme="minorHAnsi"/>
          <w:sz w:val="26"/>
          <w:szCs w:val="26"/>
        </w:rPr>
      </w:pPr>
      <w:r w:rsidRPr="000B6C72">
        <w:rPr>
          <w:rFonts w:asciiTheme="minorHAnsi" w:hAnsiTheme="minorHAnsi" w:cstheme="minorHAnsi"/>
          <w:iCs/>
          <w:color w:val="242121"/>
          <w:sz w:val="26"/>
          <w:szCs w:val="26"/>
          <w:shd w:val="clear" w:color="auto" w:fill="FFFFFF"/>
          <w:lang w:val="af-ZA"/>
        </w:rPr>
        <w:t>In</w:t>
      </w:r>
      <w:r w:rsidRPr="000B6C72">
        <w:rPr>
          <w:rFonts w:asciiTheme="minorHAnsi" w:hAnsiTheme="minorHAnsi" w:cstheme="minorHAnsi"/>
          <w:i/>
          <w:iCs/>
          <w:color w:val="242121"/>
          <w:sz w:val="26"/>
          <w:szCs w:val="26"/>
          <w:shd w:val="clear" w:color="auto" w:fill="FFFFFF"/>
          <w:lang w:val="af-ZA"/>
        </w:rPr>
        <w:t xml:space="preserve"> Crots</w:t>
      </w:r>
      <w:r w:rsidRPr="000B6C72">
        <w:rPr>
          <w:rFonts w:asciiTheme="minorHAnsi" w:hAnsiTheme="minorHAnsi" w:cstheme="minorHAnsi"/>
          <w:iCs/>
          <w:color w:val="242121"/>
          <w:sz w:val="26"/>
          <w:szCs w:val="26"/>
          <w:shd w:val="clear" w:color="auto" w:fill="FFFFFF"/>
          <w:lang w:val="af-ZA"/>
        </w:rPr>
        <w:t>,</w:t>
      </w:r>
      <w:r w:rsidRPr="000B6C72">
        <w:rPr>
          <w:rStyle w:val="FootnoteReference"/>
          <w:rFonts w:asciiTheme="minorHAnsi" w:hAnsiTheme="minorHAnsi" w:cstheme="minorHAnsi"/>
          <w:iCs/>
          <w:color w:val="242121"/>
          <w:sz w:val="26"/>
          <w:szCs w:val="26"/>
          <w:shd w:val="clear" w:color="auto" w:fill="FFFFFF"/>
          <w:lang w:val="af-ZA"/>
        </w:rPr>
        <w:footnoteReference w:id="13"/>
      </w:r>
      <w:r w:rsidRPr="000B6C72">
        <w:rPr>
          <w:rFonts w:asciiTheme="minorHAnsi" w:hAnsiTheme="minorHAnsi" w:cstheme="minorHAnsi"/>
          <w:iCs/>
          <w:color w:val="242121"/>
          <w:sz w:val="26"/>
          <w:szCs w:val="26"/>
          <w:shd w:val="clear" w:color="auto" w:fill="FFFFFF"/>
          <w:lang w:val="af-ZA"/>
        </w:rPr>
        <w:t xml:space="preserve"> the Supreme Court of Appeal held that </w:t>
      </w:r>
      <w:r w:rsidRPr="000B6C72">
        <w:rPr>
          <w:rFonts w:asciiTheme="minorHAnsi" w:hAnsiTheme="minorHAnsi" w:cstheme="minorHAnsi"/>
          <w:color w:val="242121"/>
          <w:sz w:val="26"/>
          <w:szCs w:val="26"/>
          <w:shd w:val="clear" w:color="auto" w:fill="FFFFFF"/>
          <w:lang w:val="af-ZA"/>
        </w:rPr>
        <w:t>the</w:t>
      </w:r>
      <w:r w:rsidR="0003076B">
        <w:rPr>
          <w:rFonts w:asciiTheme="minorHAnsi" w:hAnsiTheme="minorHAnsi" w:cstheme="minorHAnsi"/>
          <w:color w:val="242121"/>
          <w:sz w:val="26"/>
          <w:szCs w:val="26"/>
          <w:shd w:val="clear" w:color="auto" w:fill="FFFFFF"/>
          <w:lang w:val="af-ZA"/>
        </w:rPr>
        <w:t xml:space="preserve"> </w:t>
      </w:r>
      <w:r w:rsidRPr="000B6C72">
        <w:rPr>
          <w:rFonts w:asciiTheme="minorHAnsi" w:hAnsiTheme="minorHAnsi" w:cstheme="minorHAnsi"/>
          <w:i/>
          <w:iCs/>
          <w:color w:val="242121"/>
          <w:sz w:val="26"/>
          <w:szCs w:val="26"/>
          <w:shd w:val="clear" w:color="auto" w:fill="FFFFFF"/>
          <w:lang w:val="af-ZA"/>
        </w:rPr>
        <w:t>condictio furtiva</w:t>
      </w:r>
      <w:r w:rsidR="0003076B">
        <w:rPr>
          <w:rFonts w:asciiTheme="minorHAnsi" w:hAnsiTheme="minorHAnsi" w:cstheme="minorHAnsi"/>
          <w:i/>
          <w:iCs/>
          <w:color w:val="242121"/>
          <w:sz w:val="26"/>
          <w:szCs w:val="26"/>
          <w:shd w:val="clear" w:color="auto" w:fill="FFFFFF"/>
          <w:lang w:val="af-ZA"/>
        </w:rPr>
        <w:t xml:space="preserve"> </w:t>
      </w:r>
      <w:r w:rsidRPr="000B6C72">
        <w:rPr>
          <w:rFonts w:asciiTheme="minorHAnsi" w:hAnsiTheme="minorHAnsi" w:cstheme="minorHAnsi"/>
          <w:color w:val="242121"/>
          <w:sz w:val="26"/>
          <w:szCs w:val="26"/>
          <w:shd w:val="clear" w:color="auto" w:fill="FFFFFF"/>
          <w:lang w:val="af-ZA"/>
        </w:rPr>
        <w:t>is a delictual action for the recovery of patrimonial loss as a result of theft. It is available to an owner or anyone who has an interest in the stolen thing, against a thief or his heirs.</w:t>
      </w:r>
      <w:r w:rsidRPr="000B6C72">
        <w:rPr>
          <w:rFonts w:asciiTheme="minorHAnsi" w:hAnsiTheme="minorHAnsi" w:cstheme="minorHAnsi"/>
          <w:i/>
          <w:iCs/>
          <w:color w:val="242121"/>
          <w:sz w:val="26"/>
          <w:szCs w:val="26"/>
          <w:shd w:val="clear" w:color="auto" w:fill="FFFFFF"/>
          <w:lang w:val="af-ZA"/>
        </w:rPr>
        <w:t xml:space="preserve"> </w:t>
      </w:r>
    </w:p>
    <w:p w:rsidR="00353CD0" w:rsidRDefault="00353CD0" w:rsidP="00353CD0">
      <w:pPr>
        <w:pStyle w:val="ListParagraph"/>
        <w:rPr>
          <w:rFonts w:asciiTheme="minorHAnsi" w:hAnsiTheme="minorHAnsi" w:cstheme="minorHAnsi"/>
          <w:sz w:val="26"/>
          <w:szCs w:val="26"/>
        </w:rPr>
      </w:pPr>
    </w:p>
    <w:p w:rsidR="00353CD0" w:rsidRDefault="000B6C72"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question then arises as to whether the applicant, who is not the owner of the funds, nonetheless has an interest in the stolen funds and the recovery thereof.</w:t>
      </w:r>
    </w:p>
    <w:p w:rsidR="00353CD0" w:rsidRDefault="00353CD0" w:rsidP="00353CD0">
      <w:pPr>
        <w:pStyle w:val="ListParagraph"/>
        <w:rPr>
          <w:rFonts w:asciiTheme="minorHAnsi" w:hAnsiTheme="minorHAnsi" w:cstheme="minorHAnsi"/>
          <w:sz w:val="26"/>
          <w:szCs w:val="26"/>
        </w:rPr>
      </w:pPr>
    </w:p>
    <w:p w:rsidR="00353CD0" w:rsidRPr="00E4301F" w:rsidRDefault="000B6C72"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respect of monies deposited in the trust account of an attorney’s practice by a client (the trust creditor) the practice exercises exclusive control over the funds as trustee, agent or stakeholder or in any other fiduciary capacity</w:t>
      </w:r>
      <w:r w:rsidR="0003076B">
        <w:rPr>
          <w:rFonts w:asciiTheme="minorHAnsi" w:hAnsiTheme="minorHAnsi" w:cstheme="minorHAnsi"/>
          <w:sz w:val="26"/>
          <w:szCs w:val="26"/>
        </w:rPr>
        <w:t>.</w:t>
      </w:r>
      <w:r>
        <w:rPr>
          <w:rStyle w:val="FootnoteReference"/>
          <w:rFonts w:asciiTheme="minorHAnsi" w:hAnsiTheme="minorHAnsi" w:cstheme="minorHAnsi"/>
          <w:sz w:val="26"/>
          <w:szCs w:val="26"/>
        </w:rPr>
        <w:footnoteReference w:id="14"/>
      </w:r>
      <w:r>
        <w:rPr>
          <w:rFonts w:asciiTheme="minorHAnsi" w:hAnsiTheme="minorHAnsi" w:cstheme="minorHAnsi"/>
          <w:sz w:val="26"/>
          <w:szCs w:val="26"/>
        </w:rPr>
        <w:t xml:space="preserve"> The nature of a trust account has been discussed in several cases. I need mention only a few. In </w:t>
      </w:r>
      <w:r>
        <w:rPr>
          <w:rFonts w:asciiTheme="minorHAnsi" w:hAnsiTheme="minorHAnsi" w:cstheme="minorHAnsi"/>
          <w:i/>
          <w:sz w:val="26"/>
          <w:szCs w:val="26"/>
        </w:rPr>
        <w:t xml:space="preserve">Wypkema v Lubbe </w:t>
      </w:r>
      <w:r>
        <w:rPr>
          <w:rFonts w:asciiTheme="minorHAnsi" w:hAnsiTheme="minorHAnsi" w:cstheme="minorHAnsi"/>
          <w:sz w:val="26"/>
          <w:szCs w:val="26"/>
        </w:rPr>
        <w:t xml:space="preserve"> 2007 (5) SA 138 (SCA) the court endorsed what </w:t>
      </w:r>
      <w:r w:rsidR="00707A74">
        <w:rPr>
          <w:rFonts w:asciiTheme="minorHAnsi" w:hAnsiTheme="minorHAnsi" w:cstheme="minorHAnsi"/>
          <w:sz w:val="26"/>
          <w:szCs w:val="26"/>
        </w:rPr>
        <w:t>hadbeen</w:t>
      </w:r>
      <w:r>
        <w:rPr>
          <w:rFonts w:asciiTheme="minorHAnsi" w:hAnsiTheme="minorHAnsi" w:cstheme="minorHAnsi"/>
          <w:sz w:val="26"/>
          <w:szCs w:val="26"/>
        </w:rPr>
        <w:t xml:space="preserve"> said about the nature of an attorney’s trust account in </w:t>
      </w:r>
      <w:r>
        <w:rPr>
          <w:rFonts w:asciiTheme="minorHAnsi" w:hAnsiTheme="minorHAnsi" w:cstheme="minorHAnsi"/>
          <w:i/>
          <w:sz w:val="26"/>
          <w:szCs w:val="26"/>
        </w:rPr>
        <w:t>Fuhri,</w:t>
      </w:r>
      <w:r>
        <w:rPr>
          <w:rStyle w:val="FootnoteReference"/>
          <w:rFonts w:asciiTheme="minorHAnsi" w:hAnsiTheme="minorHAnsi" w:cstheme="minorHAnsi"/>
          <w:i/>
          <w:sz w:val="26"/>
          <w:szCs w:val="26"/>
        </w:rPr>
        <w:footnoteReference w:id="15"/>
      </w:r>
      <w:r>
        <w:rPr>
          <w:rFonts w:asciiTheme="minorHAnsi" w:hAnsiTheme="minorHAnsi" w:cstheme="minorHAnsi"/>
          <w:sz w:val="26"/>
          <w:szCs w:val="26"/>
        </w:rPr>
        <w:t xml:space="preserve"> </w:t>
      </w:r>
      <w:r w:rsidRPr="000B6C72">
        <w:rPr>
          <w:rFonts w:asciiTheme="minorHAnsi" w:hAnsiTheme="minorHAnsi" w:cstheme="minorHAnsi"/>
          <w:sz w:val="26"/>
          <w:szCs w:val="26"/>
        </w:rPr>
        <w:t>namely, that trust creditors have no control over the attorney’s trust account</w:t>
      </w:r>
      <w:r>
        <w:rPr>
          <w:rFonts w:asciiTheme="minorHAnsi" w:hAnsiTheme="minorHAnsi" w:cstheme="minorHAnsi"/>
          <w:sz w:val="26"/>
          <w:szCs w:val="26"/>
        </w:rPr>
        <w:t>; ownership in the money in the account vests in the bank or other institution in which it has been deposited (</w:t>
      </w:r>
      <w:r>
        <w:rPr>
          <w:rFonts w:asciiTheme="minorHAnsi" w:hAnsiTheme="minorHAnsi" w:cstheme="minorHAnsi"/>
          <w:i/>
          <w:sz w:val="26"/>
          <w:szCs w:val="26"/>
        </w:rPr>
        <w:t xml:space="preserve">S v Kotze </w:t>
      </w:r>
      <w:r>
        <w:rPr>
          <w:rFonts w:asciiTheme="minorHAnsi" w:hAnsiTheme="minorHAnsi" w:cstheme="minorHAnsi"/>
          <w:sz w:val="26"/>
          <w:szCs w:val="26"/>
        </w:rPr>
        <w:t xml:space="preserve"> 1965 (1) SA 118 (A) at 124); and it is the attorney who is entitled to operate on the account and to make withdrawals from it (</w:t>
      </w:r>
      <w:r>
        <w:rPr>
          <w:rFonts w:asciiTheme="minorHAnsi" w:hAnsiTheme="minorHAnsi" w:cstheme="minorHAnsi"/>
          <w:i/>
          <w:sz w:val="26"/>
          <w:szCs w:val="26"/>
        </w:rPr>
        <w:t>De Villiers NO v Kaplan</w:t>
      </w:r>
      <w:r>
        <w:rPr>
          <w:rFonts w:asciiTheme="minorHAnsi" w:hAnsiTheme="minorHAnsi" w:cstheme="minorHAnsi"/>
          <w:sz w:val="26"/>
          <w:szCs w:val="26"/>
        </w:rPr>
        <w:t xml:space="preserve"> 1960 (4) SA 476 (C); The only right that trust creditors have, is the right to payment by the attorney of whatever is due to them, and to that extent they are the attorney’s creditors. Such right to payment arises from the relationship between the parties and has nothing to do with the way in which the attorney handles the money in his account. </w:t>
      </w:r>
      <w:r w:rsidR="00707A74">
        <w:rPr>
          <w:rFonts w:asciiTheme="minorHAnsi" w:hAnsiTheme="minorHAnsi" w:cstheme="minorHAnsi"/>
          <w:sz w:val="26"/>
          <w:szCs w:val="26"/>
        </w:rPr>
        <w:t>T</w:t>
      </w:r>
      <w:r>
        <w:rPr>
          <w:rFonts w:asciiTheme="minorHAnsi" w:hAnsiTheme="minorHAnsi" w:cstheme="minorHAnsi"/>
          <w:sz w:val="26"/>
          <w:szCs w:val="26"/>
        </w:rPr>
        <w:t xml:space="preserve">he court in </w:t>
      </w:r>
      <w:r>
        <w:rPr>
          <w:rFonts w:asciiTheme="minorHAnsi" w:hAnsiTheme="minorHAnsi" w:cstheme="minorHAnsi"/>
          <w:i/>
          <w:sz w:val="26"/>
          <w:szCs w:val="26"/>
        </w:rPr>
        <w:t xml:space="preserve">Wypkema </w:t>
      </w:r>
      <w:r w:rsidR="00707A74" w:rsidRPr="00707A74">
        <w:rPr>
          <w:rFonts w:asciiTheme="minorHAnsi" w:hAnsiTheme="minorHAnsi" w:cstheme="minorHAnsi"/>
          <w:sz w:val="26"/>
          <w:szCs w:val="26"/>
        </w:rPr>
        <w:t xml:space="preserve">thus </w:t>
      </w:r>
      <w:r>
        <w:rPr>
          <w:rFonts w:asciiTheme="minorHAnsi" w:hAnsiTheme="minorHAnsi" w:cstheme="minorHAnsi"/>
          <w:sz w:val="26"/>
          <w:szCs w:val="26"/>
        </w:rPr>
        <w:t xml:space="preserve">endorsed the proposition that the attorney has full control and responsibility </w:t>
      </w:r>
      <w:r>
        <w:rPr>
          <w:rFonts w:asciiTheme="minorHAnsi" w:hAnsiTheme="minorHAnsi" w:cstheme="minorHAnsi"/>
          <w:sz w:val="26"/>
          <w:szCs w:val="26"/>
        </w:rPr>
        <w:lastRenderedPageBreak/>
        <w:t xml:space="preserve">concerning trust account monies. </w:t>
      </w:r>
      <w:r w:rsidR="00707A74">
        <w:rPr>
          <w:rFonts w:asciiTheme="minorHAnsi" w:hAnsiTheme="minorHAnsi" w:cstheme="minorHAnsi"/>
          <w:sz w:val="26"/>
          <w:szCs w:val="26"/>
        </w:rPr>
        <w:t>Significantly</w:t>
      </w:r>
      <w:r>
        <w:rPr>
          <w:rFonts w:asciiTheme="minorHAnsi" w:hAnsiTheme="minorHAnsi" w:cstheme="minorHAnsi"/>
          <w:sz w:val="26"/>
          <w:szCs w:val="26"/>
        </w:rPr>
        <w:t xml:space="preserve">, the court held that ‘when an attorney draws a cheque on his trust account, he exercises his right to dispose of the amount standing to the credit of that account and does so as principal and not in a representative capacity.’ </w:t>
      </w:r>
    </w:p>
    <w:p w:rsidR="00353CD0" w:rsidRDefault="00353CD0" w:rsidP="00353CD0">
      <w:pPr>
        <w:pStyle w:val="ListParagraph"/>
        <w:rPr>
          <w:rFonts w:asciiTheme="minorHAnsi" w:hAnsiTheme="minorHAnsi" w:cstheme="minorHAnsi"/>
          <w:sz w:val="26"/>
          <w:szCs w:val="26"/>
        </w:rPr>
      </w:pPr>
    </w:p>
    <w:p w:rsidR="00353CD0" w:rsidRDefault="000B6C72"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An attorney however remains obliged to account to his client for trust funds and does so as principal.</w:t>
      </w:r>
      <w:r>
        <w:rPr>
          <w:rStyle w:val="FootnoteReference"/>
          <w:rFonts w:asciiTheme="minorHAnsi" w:hAnsiTheme="minorHAnsi" w:cstheme="minorHAnsi"/>
          <w:sz w:val="26"/>
          <w:szCs w:val="26"/>
        </w:rPr>
        <w:footnoteReference w:id="16"/>
      </w:r>
      <w:r>
        <w:rPr>
          <w:rFonts w:asciiTheme="minorHAnsi" w:hAnsiTheme="minorHAnsi" w:cstheme="minorHAnsi"/>
          <w:sz w:val="26"/>
          <w:szCs w:val="26"/>
        </w:rPr>
        <w:t xml:space="preserve"> An attorney who holds an amount of money in his trust account on behalf of a client is obliged to use it for no other purpose than instructed by the client. </w:t>
      </w:r>
      <w:r>
        <w:rPr>
          <w:rStyle w:val="FootnoteReference"/>
          <w:rFonts w:asciiTheme="minorHAnsi" w:hAnsiTheme="minorHAnsi" w:cstheme="minorHAnsi"/>
          <w:sz w:val="26"/>
          <w:szCs w:val="26"/>
        </w:rPr>
        <w:footnoteReference w:id="17"/>
      </w:r>
    </w:p>
    <w:p w:rsidR="00353CD0" w:rsidRDefault="00353CD0" w:rsidP="00353CD0">
      <w:pPr>
        <w:pStyle w:val="ListParagraph"/>
        <w:rPr>
          <w:rFonts w:asciiTheme="minorHAnsi" w:hAnsiTheme="minorHAnsi" w:cstheme="minorHAnsi"/>
          <w:sz w:val="26"/>
          <w:szCs w:val="26"/>
        </w:rPr>
      </w:pPr>
    </w:p>
    <w:p w:rsidR="0003076B" w:rsidRPr="0003076B" w:rsidRDefault="0003076B" w:rsidP="0003076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applicant remains duty bound to account to its client for the misappropriated funds that were ultimately not utilised for the benefit of the client, specifically in circumstances where the client had not authorised use of the trust funds for payment to the first respondent personally. The fact that the applicant was defrauded by the first respondent into believing that payment was being made in respect of a genuine settlement and into the plaintiff’s account,</w:t>
      </w:r>
      <w:r>
        <w:rPr>
          <w:rStyle w:val="FootnoteReference"/>
          <w:rFonts w:asciiTheme="minorHAnsi" w:hAnsiTheme="minorHAnsi" w:cstheme="minorHAnsi"/>
          <w:sz w:val="26"/>
          <w:szCs w:val="26"/>
        </w:rPr>
        <w:footnoteReference w:id="18"/>
      </w:r>
      <w:r>
        <w:rPr>
          <w:rFonts w:asciiTheme="minorHAnsi" w:hAnsiTheme="minorHAnsi" w:cstheme="minorHAnsi"/>
          <w:sz w:val="26"/>
          <w:szCs w:val="26"/>
        </w:rPr>
        <w:t xml:space="preserve"> will not release the applicant from its obligation, as principal</w:t>
      </w:r>
      <w:r w:rsidR="00707A74">
        <w:rPr>
          <w:rFonts w:asciiTheme="minorHAnsi" w:hAnsiTheme="minorHAnsi" w:cstheme="minorHAnsi"/>
          <w:sz w:val="26"/>
          <w:szCs w:val="26"/>
        </w:rPr>
        <w:t>,</w:t>
      </w:r>
      <w:r>
        <w:rPr>
          <w:rFonts w:asciiTheme="minorHAnsi" w:hAnsiTheme="minorHAnsi" w:cstheme="minorHAnsi"/>
          <w:sz w:val="26"/>
          <w:szCs w:val="26"/>
        </w:rPr>
        <w:t xml:space="preserve"> to account to its client for the funds.</w:t>
      </w:r>
      <w:r>
        <w:rPr>
          <w:rStyle w:val="FootnoteReference"/>
          <w:rFonts w:asciiTheme="minorHAnsi" w:hAnsiTheme="minorHAnsi" w:cstheme="minorHAnsi"/>
          <w:sz w:val="26"/>
          <w:szCs w:val="26"/>
        </w:rPr>
        <w:footnoteReference w:id="19"/>
      </w:r>
      <w:r>
        <w:rPr>
          <w:rFonts w:asciiTheme="minorHAnsi" w:hAnsiTheme="minorHAnsi" w:cstheme="minorHAnsi"/>
          <w:sz w:val="26"/>
          <w:szCs w:val="26"/>
        </w:rPr>
        <w:t xml:space="preserve"> In my view, the applicant has established a direct and substantial interest in the subject matter of the </w:t>
      </w:r>
      <w:r>
        <w:rPr>
          <w:rFonts w:asciiTheme="minorHAnsi" w:hAnsiTheme="minorHAnsi" w:cstheme="minorHAnsi"/>
          <w:sz w:val="26"/>
          <w:szCs w:val="26"/>
        </w:rPr>
        <w:lastRenderedPageBreak/>
        <w:t xml:space="preserve">application, including the declaratory relief sought. The applicant’ case has always been that </w:t>
      </w:r>
      <w:r w:rsidR="00707A74">
        <w:rPr>
          <w:rFonts w:asciiTheme="minorHAnsi" w:hAnsiTheme="minorHAnsi" w:cstheme="minorHAnsi"/>
          <w:sz w:val="26"/>
          <w:szCs w:val="26"/>
        </w:rPr>
        <w:t>‘</w:t>
      </w:r>
      <w:r w:rsidRPr="0003076B">
        <w:rPr>
          <w:rFonts w:asciiTheme="minorHAnsi" w:hAnsiTheme="minorHAnsi" w:cstheme="minorHAnsi"/>
          <w:sz w:val="26"/>
          <w:szCs w:val="26"/>
        </w:rPr>
        <w:t>by virtue of the money being in trust, then the firm is solely responsible for the money, and the manner in which it is paid over</w:t>
      </w:r>
      <w:r>
        <w:rPr>
          <w:rFonts w:asciiTheme="minorHAnsi" w:hAnsiTheme="minorHAnsi" w:cstheme="minorHAnsi"/>
          <w:sz w:val="26"/>
          <w:szCs w:val="26"/>
        </w:rPr>
        <w:t xml:space="preserve">’ and that </w:t>
      </w:r>
      <w:r w:rsidRPr="0003076B">
        <w:rPr>
          <w:rFonts w:asciiTheme="minorHAnsi" w:hAnsiTheme="minorHAnsi" w:cstheme="minorHAnsi"/>
          <w:color w:val="000000"/>
          <w:sz w:val="26"/>
          <w:szCs w:val="26"/>
        </w:rPr>
        <w:t xml:space="preserve">the first respondent </w:t>
      </w:r>
      <w:r w:rsidR="00707A74">
        <w:rPr>
          <w:rFonts w:asciiTheme="minorHAnsi" w:hAnsiTheme="minorHAnsi" w:cstheme="minorHAnsi"/>
          <w:color w:val="000000"/>
          <w:sz w:val="26"/>
          <w:szCs w:val="26"/>
        </w:rPr>
        <w:t>was</w:t>
      </w:r>
      <w:r w:rsidRPr="0003076B">
        <w:rPr>
          <w:rFonts w:asciiTheme="minorHAnsi" w:hAnsiTheme="minorHAnsi" w:cstheme="minorHAnsi"/>
          <w:color w:val="000000"/>
          <w:sz w:val="26"/>
          <w:szCs w:val="26"/>
        </w:rPr>
        <w:t xml:space="preserve"> well aware that </w:t>
      </w:r>
      <w:r w:rsidR="00707A74">
        <w:rPr>
          <w:rFonts w:asciiTheme="minorHAnsi" w:hAnsiTheme="minorHAnsi" w:cstheme="minorHAnsi"/>
          <w:color w:val="000000"/>
          <w:sz w:val="26"/>
          <w:szCs w:val="26"/>
        </w:rPr>
        <w:t>‘</w:t>
      </w:r>
      <w:r w:rsidRPr="0003076B">
        <w:rPr>
          <w:rFonts w:asciiTheme="minorHAnsi" w:hAnsiTheme="minorHAnsi" w:cstheme="minorHAnsi"/>
          <w:color w:val="000000"/>
          <w:sz w:val="26"/>
          <w:szCs w:val="26"/>
        </w:rPr>
        <w:t>without the mandate given by Eskom</w:t>
      </w:r>
      <w:r w:rsidR="00707A74">
        <w:rPr>
          <w:rFonts w:asciiTheme="minorHAnsi" w:hAnsiTheme="minorHAnsi" w:cstheme="minorHAnsi"/>
          <w:color w:val="000000"/>
          <w:sz w:val="26"/>
          <w:szCs w:val="26"/>
        </w:rPr>
        <w:t xml:space="preserve"> to the applicant</w:t>
      </w:r>
      <w:r w:rsidRPr="0003076B">
        <w:rPr>
          <w:rFonts w:asciiTheme="minorHAnsi" w:hAnsiTheme="minorHAnsi" w:cstheme="minorHAnsi"/>
          <w:color w:val="000000"/>
          <w:sz w:val="26"/>
          <w:szCs w:val="26"/>
        </w:rPr>
        <w:t>, it would not have been possible to succeed in the unlawful transaction.</w:t>
      </w:r>
      <w:r>
        <w:rPr>
          <w:rFonts w:asciiTheme="minorHAnsi" w:hAnsiTheme="minorHAnsi" w:cstheme="minorHAnsi"/>
          <w:color w:val="000000"/>
          <w:sz w:val="26"/>
          <w:szCs w:val="26"/>
        </w:rPr>
        <w:t>’</w:t>
      </w:r>
    </w:p>
    <w:p w:rsidR="0003076B" w:rsidRPr="0003076B" w:rsidRDefault="0003076B" w:rsidP="0003076B">
      <w:pPr>
        <w:pStyle w:val="ListParagraph"/>
        <w:rPr>
          <w:rFonts w:asciiTheme="minorHAnsi" w:hAnsiTheme="minorHAnsi" w:cstheme="minorHAnsi"/>
          <w:sz w:val="26"/>
          <w:szCs w:val="26"/>
        </w:rPr>
      </w:pPr>
    </w:p>
    <w:p w:rsidR="0003076B" w:rsidRDefault="0003076B" w:rsidP="0003076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As regards the de</w:t>
      </w:r>
      <w:r w:rsidR="00850EDE">
        <w:rPr>
          <w:rFonts w:asciiTheme="minorHAnsi" w:hAnsiTheme="minorHAnsi" w:cstheme="minorHAnsi"/>
          <w:sz w:val="26"/>
          <w:szCs w:val="26"/>
        </w:rPr>
        <w:t>c</w:t>
      </w:r>
      <w:r>
        <w:rPr>
          <w:rFonts w:asciiTheme="minorHAnsi" w:hAnsiTheme="minorHAnsi" w:cstheme="minorHAnsi"/>
          <w:sz w:val="26"/>
          <w:szCs w:val="26"/>
        </w:rPr>
        <w:t>laratory relief sought, it is trite that the grant of declaratory relief is discretionary.</w:t>
      </w:r>
      <w:r>
        <w:rPr>
          <w:rStyle w:val="FootnoteReference"/>
          <w:rFonts w:asciiTheme="minorHAnsi" w:hAnsiTheme="minorHAnsi" w:cstheme="minorHAnsi"/>
          <w:sz w:val="26"/>
          <w:szCs w:val="26"/>
        </w:rPr>
        <w:footnoteReference w:id="20"/>
      </w:r>
      <w:r>
        <w:rPr>
          <w:rFonts w:asciiTheme="minorHAnsi" w:hAnsiTheme="minorHAnsi" w:cstheme="minorHAnsi"/>
          <w:sz w:val="26"/>
          <w:szCs w:val="26"/>
        </w:rPr>
        <w:t xml:space="preserve"> The jurisdictional prerequisites for the grant of declaratory relief were discussed in </w:t>
      </w:r>
      <w:r>
        <w:rPr>
          <w:rFonts w:asciiTheme="minorHAnsi" w:hAnsiTheme="minorHAnsi" w:cstheme="minorHAnsi"/>
          <w:i/>
          <w:sz w:val="26"/>
          <w:szCs w:val="26"/>
        </w:rPr>
        <w:t>Cordient Trading.</w:t>
      </w:r>
      <w:r>
        <w:rPr>
          <w:rStyle w:val="FootnoteReference"/>
          <w:rFonts w:asciiTheme="minorHAnsi" w:hAnsiTheme="minorHAnsi" w:cstheme="minorHAnsi"/>
          <w:sz w:val="26"/>
          <w:szCs w:val="26"/>
        </w:rPr>
        <w:footnoteReference w:id="21"/>
      </w:r>
      <w:r>
        <w:rPr>
          <w:rFonts w:asciiTheme="minorHAnsi" w:hAnsiTheme="minorHAnsi" w:cstheme="minorHAnsi"/>
          <w:i/>
          <w:sz w:val="26"/>
          <w:szCs w:val="26"/>
        </w:rPr>
        <w:t xml:space="preserve"> </w:t>
      </w:r>
    </w:p>
    <w:p w:rsidR="0003076B" w:rsidRPr="0003076B" w:rsidRDefault="0003076B" w:rsidP="0003076B">
      <w:pPr>
        <w:pStyle w:val="ListParagraph"/>
        <w:rPr>
          <w:rFonts w:asciiTheme="minorHAnsi" w:hAnsiTheme="minorHAnsi" w:cstheme="minorHAnsi"/>
          <w:sz w:val="26"/>
          <w:szCs w:val="26"/>
        </w:rPr>
      </w:pPr>
    </w:p>
    <w:p w:rsidR="0003076B" w:rsidRPr="0003076B" w:rsidRDefault="0003076B" w:rsidP="0003076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From the various authorities quoted above, </w:t>
      </w:r>
      <w:r w:rsidR="00D1796C" w:rsidRPr="00DF226D">
        <w:rPr>
          <w:rStyle w:val="hgkelc"/>
          <w:rFonts w:asciiTheme="minorHAnsi" w:hAnsiTheme="minorHAnsi" w:cstheme="minorHAnsi"/>
          <w:color w:val="202124"/>
          <w:sz w:val="26"/>
          <w:szCs w:val="26"/>
          <w:shd w:val="clear" w:color="auto" w:fill="FFFFFF"/>
          <w:lang w:val="en"/>
        </w:rPr>
        <w:t>ultimately</w:t>
      </w:r>
      <w:r w:rsidRPr="00DF226D">
        <w:rPr>
          <w:rStyle w:val="hgkelc"/>
          <w:rFonts w:asciiTheme="minorHAnsi" w:hAnsiTheme="minorHAnsi" w:cstheme="minorHAnsi"/>
          <w:color w:val="202124"/>
          <w:sz w:val="26"/>
          <w:szCs w:val="26"/>
          <w:shd w:val="clear" w:color="auto" w:fill="FFFFFF"/>
          <w:lang w:val="en"/>
        </w:rPr>
        <w:t xml:space="preserve"> the capital amount deposited by a client into the trust account of an attorney remains the </w:t>
      </w:r>
      <w:r w:rsidRPr="0003076B">
        <w:rPr>
          <w:rStyle w:val="hgkelc"/>
          <w:rFonts w:asciiTheme="minorHAnsi" w:hAnsiTheme="minorHAnsi" w:cstheme="minorHAnsi"/>
          <w:color w:val="202124"/>
          <w:sz w:val="26"/>
          <w:szCs w:val="26"/>
          <w:shd w:val="clear" w:color="auto" w:fill="FFFFFF"/>
          <w:lang w:val="en"/>
        </w:rPr>
        <w:t xml:space="preserve">property of the client. </w:t>
      </w:r>
      <w:r w:rsidR="00D1796C">
        <w:rPr>
          <w:rStyle w:val="hgkelc"/>
          <w:rFonts w:asciiTheme="minorHAnsi" w:hAnsiTheme="minorHAnsi" w:cstheme="minorHAnsi"/>
          <w:color w:val="202124"/>
          <w:sz w:val="26"/>
          <w:szCs w:val="26"/>
          <w:shd w:val="clear" w:color="auto" w:fill="FFFFFF"/>
          <w:lang w:val="en"/>
        </w:rPr>
        <w:t xml:space="preserve">The applicant never contended otherwise. </w:t>
      </w:r>
      <w:r w:rsidRPr="0003076B">
        <w:rPr>
          <w:rStyle w:val="hgkelc"/>
          <w:rFonts w:asciiTheme="minorHAnsi" w:hAnsiTheme="minorHAnsi" w:cstheme="minorHAnsi"/>
          <w:color w:val="040C28"/>
          <w:sz w:val="26"/>
          <w:szCs w:val="26"/>
          <w:shd w:val="clear" w:color="auto" w:fill="FFFFFF"/>
          <w:lang w:val="en"/>
        </w:rPr>
        <w:t>The attorney merely is a custodian</w:t>
      </w:r>
      <w:r>
        <w:rPr>
          <w:rStyle w:val="hgkelc"/>
          <w:rFonts w:asciiTheme="minorHAnsi" w:hAnsiTheme="minorHAnsi" w:cstheme="minorHAnsi"/>
          <w:color w:val="040C28"/>
          <w:sz w:val="26"/>
          <w:szCs w:val="26"/>
          <w:shd w:val="clear" w:color="auto" w:fill="FFFFFF"/>
          <w:lang w:val="en"/>
        </w:rPr>
        <w:t xml:space="preserve"> </w:t>
      </w:r>
      <w:r w:rsidRPr="0003076B">
        <w:rPr>
          <w:rStyle w:val="hgkelc"/>
          <w:rFonts w:asciiTheme="minorHAnsi" w:hAnsiTheme="minorHAnsi" w:cstheme="minorHAnsi"/>
          <w:color w:val="040C28"/>
          <w:sz w:val="26"/>
          <w:szCs w:val="26"/>
          <w:shd w:val="clear" w:color="auto" w:fill="FFFFFF"/>
          <w:lang w:val="en"/>
        </w:rPr>
        <w:t>of the trust funds</w:t>
      </w:r>
      <w:r w:rsidRPr="0003076B">
        <w:rPr>
          <w:rStyle w:val="hgkelc"/>
          <w:rFonts w:asciiTheme="minorHAnsi" w:hAnsiTheme="minorHAnsi" w:cstheme="minorHAnsi"/>
          <w:color w:val="202124"/>
          <w:sz w:val="26"/>
          <w:szCs w:val="26"/>
          <w:shd w:val="clear" w:color="auto" w:fill="FFFFFF"/>
          <w:lang w:val="en"/>
        </w:rPr>
        <w:t xml:space="preserve"> and invests or uses the money, as principal, in terms of the client</w:t>
      </w:r>
      <w:r>
        <w:rPr>
          <w:rStyle w:val="hgkelc"/>
          <w:rFonts w:asciiTheme="minorHAnsi" w:hAnsiTheme="minorHAnsi" w:cstheme="minorHAnsi"/>
          <w:color w:val="202124"/>
          <w:sz w:val="26"/>
          <w:szCs w:val="26"/>
          <w:shd w:val="clear" w:color="auto" w:fill="FFFFFF"/>
          <w:lang w:val="en"/>
        </w:rPr>
        <w:t>’</w:t>
      </w:r>
      <w:r w:rsidRPr="0003076B">
        <w:rPr>
          <w:rStyle w:val="hgkelc"/>
          <w:rFonts w:asciiTheme="minorHAnsi" w:hAnsiTheme="minorHAnsi" w:cstheme="minorHAnsi"/>
          <w:color w:val="202124"/>
          <w:sz w:val="26"/>
          <w:szCs w:val="26"/>
          <w:shd w:val="clear" w:color="auto" w:fill="FFFFFF"/>
          <w:lang w:val="en"/>
        </w:rPr>
        <w:t>s wishes</w:t>
      </w:r>
      <w:r>
        <w:rPr>
          <w:rStyle w:val="hgkelc"/>
          <w:rFonts w:asciiTheme="minorHAnsi" w:hAnsiTheme="minorHAnsi" w:cstheme="minorHAnsi"/>
          <w:color w:val="202124"/>
          <w:sz w:val="26"/>
          <w:szCs w:val="26"/>
          <w:shd w:val="clear" w:color="auto" w:fill="FFFFFF"/>
          <w:lang w:val="en"/>
        </w:rPr>
        <w:t>. The applicant took possession of funds entrusted by Eskom to it when payment was made by its client into the applicant’s trust account</w:t>
      </w:r>
      <w:r>
        <w:rPr>
          <w:rStyle w:val="FootnoteReference"/>
          <w:rFonts w:asciiTheme="minorHAnsi" w:hAnsiTheme="minorHAnsi" w:cstheme="minorHAnsi"/>
          <w:color w:val="202124"/>
          <w:sz w:val="26"/>
          <w:szCs w:val="26"/>
          <w:shd w:val="clear" w:color="auto" w:fill="FFFFFF"/>
          <w:lang w:val="en"/>
        </w:rPr>
        <w:footnoteReference w:id="22"/>
      </w:r>
      <w:r>
        <w:rPr>
          <w:rStyle w:val="hgkelc"/>
          <w:rFonts w:asciiTheme="minorHAnsi" w:hAnsiTheme="minorHAnsi" w:cstheme="minorHAnsi"/>
          <w:color w:val="202124"/>
          <w:sz w:val="26"/>
          <w:szCs w:val="26"/>
          <w:shd w:val="clear" w:color="auto" w:fill="FFFFFF"/>
          <w:lang w:val="en"/>
        </w:rPr>
        <w:t xml:space="preserve"> and it is the applicant who thereafter retained control over the funds, to be used </w:t>
      </w:r>
      <w:r w:rsidR="00850EDE">
        <w:rPr>
          <w:rStyle w:val="hgkelc"/>
          <w:rFonts w:asciiTheme="minorHAnsi" w:hAnsiTheme="minorHAnsi" w:cstheme="minorHAnsi"/>
          <w:color w:val="202124"/>
          <w:sz w:val="26"/>
          <w:szCs w:val="26"/>
          <w:shd w:val="clear" w:color="auto" w:fill="FFFFFF"/>
          <w:lang w:val="en"/>
        </w:rPr>
        <w:t xml:space="preserve">only by it albeit </w:t>
      </w:r>
      <w:r>
        <w:rPr>
          <w:rStyle w:val="hgkelc"/>
          <w:rFonts w:asciiTheme="minorHAnsi" w:hAnsiTheme="minorHAnsi" w:cstheme="minorHAnsi"/>
          <w:color w:val="202124"/>
          <w:sz w:val="26"/>
          <w:szCs w:val="26"/>
          <w:shd w:val="clear" w:color="auto" w:fill="FFFFFF"/>
          <w:lang w:val="en"/>
        </w:rPr>
        <w:t>as instructed by the client.</w:t>
      </w:r>
      <w:r w:rsidR="00D1796C">
        <w:rPr>
          <w:rStyle w:val="hgkelc"/>
          <w:rFonts w:asciiTheme="minorHAnsi" w:hAnsiTheme="minorHAnsi" w:cstheme="minorHAnsi"/>
          <w:color w:val="202124"/>
          <w:sz w:val="26"/>
          <w:szCs w:val="26"/>
          <w:shd w:val="clear" w:color="auto" w:fill="FFFFFF"/>
          <w:lang w:val="en"/>
        </w:rPr>
        <w:t xml:space="preserve"> The applicant has established that </w:t>
      </w:r>
      <w:r w:rsidR="00D1796C" w:rsidRPr="00D1796C">
        <w:rPr>
          <w:rFonts w:asciiTheme="minorHAnsi" w:hAnsiTheme="minorHAnsi" w:cstheme="minorHAnsi"/>
          <w:color w:val="242121"/>
          <w:sz w:val="26"/>
          <w:szCs w:val="26"/>
          <w:shd w:val="clear" w:color="auto" w:fill="FFFFFF"/>
        </w:rPr>
        <w:t>it is a person interested in an ‘existing, future or contingent right or obligation’.</w:t>
      </w:r>
      <w:r w:rsidR="00D1796C">
        <w:rPr>
          <w:rFonts w:asciiTheme="minorHAnsi" w:hAnsiTheme="minorHAnsi" w:cstheme="minorHAnsi"/>
          <w:color w:val="242121"/>
          <w:sz w:val="26"/>
          <w:szCs w:val="26"/>
          <w:shd w:val="clear" w:color="auto" w:fill="FFFFFF"/>
        </w:rPr>
        <w:t xml:space="preserve"> The declaratory relief will also be binding on interested parties such as the first respondent, the applicant, Eskom and the 3</w:t>
      </w:r>
      <w:r w:rsidR="00D1796C" w:rsidRPr="00D1796C">
        <w:rPr>
          <w:rFonts w:asciiTheme="minorHAnsi" w:hAnsiTheme="minorHAnsi" w:cstheme="minorHAnsi"/>
          <w:color w:val="242121"/>
          <w:sz w:val="26"/>
          <w:szCs w:val="26"/>
          <w:shd w:val="clear" w:color="auto" w:fill="FFFFFF"/>
          <w:vertAlign w:val="superscript"/>
        </w:rPr>
        <w:t>rd</w:t>
      </w:r>
      <w:r w:rsidR="00D1796C">
        <w:rPr>
          <w:rFonts w:asciiTheme="minorHAnsi" w:hAnsiTheme="minorHAnsi" w:cstheme="minorHAnsi"/>
          <w:color w:val="242121"/>
          <w:sz w:val="26"/>
          <w:szCs w:val="26"/>
          <w:shd w:val="clear" w:color="auto" w:fill="FFFFFF"/>
        </w:rPr>
        <w:t>, 4</w:t>
      </w:r>
      <w:r w:rsidR="00D1796C" w:rsidRPr="00D1796C">
        <w:rPr>
          <w:rFonts w:asciiTheme="minorHAnsi" w:hAnsiTheme="minorHAnsi" w:cstheme="minorHAnsi"/>
          <w:color w:val="242121"/>
          <w:sz w:val="26"/>
          <w:szCs w:val="26"/>
          <w:shd w:val="clear" w:color="auto" w:fill="FFFFFF"/>
          <w:vertAlign w:val="superscript"/>
        </w:rPr>
        <w:t>th</w:t>
      </w:r>
      <w:r w:rsidR="00D1796C">
        <w:rPr>
          <w:rFonts w:asciiTheme="minorHAnsi" w:hAnsiTheme="minorHAnsi" w:cstheme="minorHAnsi"/>
          <w:color w:val="242121"/>
          <w:sz w:val="26"/>
          <w:szCs w:val="26"/>
          <w:shd w:val="clear" w:color="auto" w:fill="FFFFFF"/>
        </w:rPr>
        <w:t>, 6</w:t>
      </w:r>
      <w:r w:rsidR="00D1796C" w:rsidRPr="00D1796C">
        <w:rPr>
          <w:rFonts w:asciiTheme="minorHAnsi" w:hAnsiTheme="minorHAnsi" w:cstheme="minorHAnsi"/>
          <w:color w:val="242121"/>
          <w:sz w:val="26"/>
          <w:szCs w:val="26"/>
          <w:shd w:val="clear" w:color="auto" w:fill="FFFFFF"/>
          <w:vertAlign w:val="superscript"/>
        </w:rPr>
        <w:t>th</w:t>
      </w:r>
      <w:r w:rsidR="00D1796C">
        <w:rPr>
          <w:rFonts w:asciiTheme="minorHAnsi" w:hAnsiTheme="minorHAnsi" w:cstheme="minorHAnsi"/>
          <w:color w:val="242121"/>
          <w:sz w:val="26"/>
          <w:szCs w:val="26"/>
          <w:shd w:val="clear" w:color="auto" w:fill="FFFFFF"/>
        </w:rPr>
        <w:t xml:space="preserve"> and 7</w:t>
      </w:r>
      <w:r w:rsidR="00D1796C" w:rsidRPr="00D1796C">
        <w:rPr>
          <w:rFonts w:asciiTheme="minorHAnsi" w:hAnsiTheme="minorHAnsi" w:cstheme="minorHAnsi"/>
          <w:color w:val="242121"/>
          <w:sz w:val="26"/>
          <w:szCs w:val="26"/>
          <w:shd w:val="clear" w:color="auto" w:fill="FFFFFF"/>
          <w:vertAlign w:val="superscript"/>
        </w:rPr>
        <w:t>th</w:t>
      </w:r>
      <w:r w:rsidR="00D1796C">
        <w:rPr>
          <w:rFonts w:asciiTheme="minorHAnsi" w:hAnsiTheme="minorHAnsi" w:cstheme="minorHAnsi"/>
          <w:color w:val="242121"/>
          <w:sz w:val="26"/>
          <w:szCs w:val="26"/>
          <w:shd w:val="clear" w:color="auto" w:fill="FFFFFF"/>
        </w:rPr>
        <w:t xml:space="preserve"> respondents.</w:t>
      </w:r>
    </w:p>
    <w:p w:rsidR="00353CD0" w:rsidRDefault="00353CD0" w:rsidP="00353CD0">
      <w:pPr>
        <w:pStyle w:val="ListParagraph"/>
        <w:rPr>
          <w:rFonts w:asciiTheme="minorHAnsi" w:hAnsiTheme="minorHAnsi" w:cstheme="minorHAnsi"/>
          <w:sz w:val="26"/>
          <w:szCs w:val="26"/>
        </w:rPr>
      </w:pPr>
    </w:p>
    <w:p w:rsidR="00353CD0" w:rsidRDefault="0003076B"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 am persuaded that the applicant has established its locus standi in these proceedings and its entitlement to the </w:t>
      </w:r>
      <w:r w:rsidR="00E76C9D">
        <w:rPr>
          <w:rFonts w:asciiTheme="minorHAnsi" w:hAnsiTheme="minorHAnsi" w:cstheme="minorHAnsi"/>
          <w:sz w:val="26"/>
          <w:szCs w:val="26"/>
        </w:rPr>
        <w:t xml:space="preserve">reduced </w:t>
      </w:r>
      <w:r>
        <w:rPr>
          <w:rFonts w:asciiTheme="minorHAnsi" w:hAnsiTheme="minorHAnsi" w:cstheme="minorHAnsi"/>
          <w:sz w:val="26"/>
          <w:szCs w:val="26"/>
        </w:rPr>
        <w:t>relief</w:t>
      </w:r>
      <w:r w:rsidR="00FD44E2">
        <w:rPr>
          <w:rFonts w:asciiTheme="minorHAnsi" w:hAnsiTheme="minorHAnsi" w:cstheme="minorHAnsi"/>
          <w:sz w:val="26"/>
          <w:szCs w:val="26"/>
        </w:rPr>
        <w:t xml:space="preserve">, including the declarator sought in paragraph 1 </w:t>
      </w:r>
      <w:r w:rsidR="00707A74">
        <w:rPr>
          <w:rFonts w:asciiTheme="minorHAnsi" w:hAnsiTheme="minorHAnsi" w:cstheme="minorHAnsi"/>
          <w:sz w:val="26"/>
          <w:szCs w:val="26"/>
        </w:rPr>
        <w:t xml:space="preserve">of </w:t>
      </w:r>
      <w:r w:rsidR="00E76C9D">
        <w:rPr>
          <w:rFonts w:asciiTheme="minorHAnsi" w:hAnsiTheme="minorHAnsi" w:cstheme="minorHAnsi"/>
          <w:sz w:val="26"/>
          <w:szCs w:val="26"/>
        </w:rPr>
        <w:t>the draft order handed up to court at the hearing of the matter.</w:t>
      </w:r>
      <w:r w:rsidR="00FD44E2">
        <w:rPr>
          <w:rFonts w:asciiTheme="minorHAnsi" w:hAnsiTheme="minorHAnsi" w:cstheme="minorHAnsi"/>
          <w:sz w:val="26"/>
          <w:szCs w:val="26"/>
        </w:rPr>
        <w:t xml:space="preserve"> As regards the declarator and </w:t>
      </w:r>
      <w:r w:rsidR="00707A74">
        <w:rPr>
          <w:rFonts w:asciiTheme="minorHAnsi" w:hAnsiTheme="minorHAnsi" w:cstheme="minorHAnsi"/>
          <w:sz w:val="26"/>
          <w:szCs w:val="26"/>
        </w:rPr>
        <w:t xml:space="preserve">further </w:t>
      </w:r>
      <w:r w:rsidR="00FD44E2">
        <w:rPr>
          <w:rFonts w:asciiTheme="minorHAnsi" w:hAnsiTheme="minorHAnsi" w:cstheme="minorHAnsi"/>
          <w:sz w:val="26"/>
          <w:szCs w:val="26"/>
        </w:rPr>
        <w:t>order sought in paragraphs 2.1 and 2.2</w:t>
      </w:r>
      <w:r w:rsidR="00707A74">
        <w:rPr>
          <w:rFonts w:asciiTheme="minorHAnsi" w:hAnsiTheme="minorHAnsi" w:cstheme="minorHAnsi"/>
          <w:sz w:val="26"/>
          <w:szCs w:val="26"/>
        </w:rPr>
        <w:t xml:space="preserve"> of the draft</w:t>
      </w:r>
      <w:r w:rsidR="00FD44E2">
        <w:rPr>
          <w:rFonts w:asciiTheme="minorHAnsi" w:hAnsiTheme="minorHAnsi" w:cstheme="minorHAnsi"/>
          <w:sz w:val="26"/>
          <w:szCs w:val="26"/>
        </w:rPr>
        <w:t xml:space="preserve">, I am not persuaded that such relief is necessary having regard to the relief provided for in paragraphs 2.4 to 2.7 of the draft order. </w:t>
      </w:r>
    </w:p>
    <w:p w:rsidR="00353CD0" w:rsidRDefault="00353CD0" w:rsidP="00353CD0">
      <w:pPr>
        <w:pStyle w:val="ListParagraph"/>
        <w:rPr>
          <w:rFonts w:asciiTheme="minorHAnsi" w:hAnsiTheme="minorHAnsi" w:cstheme="minorHAnsi"/>
          <w:sz w:val="26"/>
          <w:szCs w:val="26"/>
        </w:rPr>
      </w:pPr>
    </w:p>
    <w:p w:rsidR="00353CD0" w:rsidRDefault="0003076B" w:rsidP="00353CD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A</w:t>
      </w:r>
      <w:r w:rsidR="00E76C9D">
        <w:rPr>
          <w:rFonts w:asciiTheme="minorHAnsi" w:hAnsiTheme="minorHAnsi" w:cstheme="minorHAnsi"/>
          <w:color w:val="242121"/>
          <w:sz w:val="26"/>
          <w:szCs w:val="26"/>
          <w:lang w:val="en-ZA" w:eastAsia="en-ZA"/>
        </w:rPr>
        <w:t>s</w:t>
      </w:r>
      <w:r>
        <w:rPr>
          <w:rFonts w:asciiTheme="minorHAnsi" w:hAnsiTheme="minorHAnsi" w:cstheme="minorHAnsi"/>
          <w:color w:val="242121"/>
          <w:sz w:val="26"/>
          <w:szCs w:val="26"/>
          <w:lang w:val="en-ZA" w:eastAsia="en-ZA"/>
        </w:rPr>
        <w:t xml:space="preserve"> regards the issue of costs, the first respondent sought to oppose these proceedings on unjustifiable grounds. Although he did not pursue other </w:t>
      </w:r>
      <w:r>
        <w:rPr>
          <w:rFonts w:asciiTheme="minorHAnsi" w:hAnsiTheme="minorHAnsi" w:cstheme="minorHAnsi"/>
          <w:color w:val="242121"/>
          <w:sz w:val="26"/>
          <w:szCs w:val="26"/>
          <w:lang w:val="en-ZA" w:eastAsia="en-ZA"/>
        </w:rPr>
        <w:lastRenderedPageBreak/>
        <w:t xml:space="preserve">technical points raised in his answering affidavit, it is clear that he misconceived the legal basis upon which the applicant exercised legal standing in this matter. He ought never to have opposed these proceedings and the applicant should </w:t>
      </w:r>
      <w:r w:rsidR="00E76C9D">
        <w:rPr>
          <w:rFonts w:asciiTheme="minorHAnsi" w:hAnsiTheme="minorHAnsi" w:cstheme="minorHAnsi"/>
          <w:color w:val="242121"/>
          <w:sz w:val="26"/>
          <w:szCs w:val="26"/>
          <w:lang w:val="en-ZA" w:eastAsia="en-ZA"/>
        </w:rPr>
        <w:t xml:space="preserve">therefore </w:t>
      </w:r>
      <w:r>
        <w:rPr>
          <w:rFonts w:asciiTheme="minorHAnsi" w:hAnsiTheme="minorHAnsi" w:cstheme="minorHAnsi"/>
          <w:color w:val="242121"/>
          <w:sz w:val="26"/>
          <w:szCs w:val="26"/>
          <w:lang w:val="en-ZA" w:eastAsia="en-ZA"/>
        </w:rPr>
        <w:t>not be out of pocket for the costs it occurred in vindicating its claim.</w:t>
      </w:r>
      <w:r w:rsidR="00E76C9D">
        <w:rPr>
          <w:rFonts w:asciiTheme="minorHAnsi" w:hAnsiTheme="minorHAnsi" w:cstheme="minorHAnsi"/>
          <w:color w:val="242121"/>
          <w:sz w:val="26"/>
          <w:szCs w:val="26"/>
          <w:lang w:val="en-ZA" w:eastAsia="en-ZA"/>
        </w:rPr>
        <w:t xml:space="preserve"> I see no basis to depart from the general rule that costs </w:t>
      </w:r>
      <w:r w:rsidR="00D1796C">
        <w:rPr>
          <w:rFonts w:asciiTheme="minorHAnsi" w:hAnsiTheme="minorHAnsi" w:cstheme="minorHAnsi"/>
          <w:color w:val="242121"/>
          <w:sz w:val="26"/>
          <w:szCs w:val="26"/>
          <w:lang w:val="en-ZA" w:eastAsia="en-ZA"/>
        </w:rPr>
        <w:t xml:space="preserve">are to </w:t>
      </w:r>
      <w:r w:rsidR="00E76C9D">
        <w:rPr>
          <w:rFonts w:asciiTheme="minorHAnsi" w:hAnsiTheme="minorHAnsi" w:cstheme="minorHAnsi"/>
          <w:color w:val="242121"/>
          <w:sz w:val="26"/>
          <w:szCs w:val="26"/>
          <w:lang w:val="en-ZA" w:eastAsia="en-ZA"/>
        </w:rPr>
        <w:t>follow the result.</w:t>
      </w:r>
    </w:p>
    <w:p w:rsidR="00353CD0" w:rsidRDefault="00353CD0" w:rsidP="00353CD0">
      <w:pPr>
        <w:pStyle w:val="ListParagraph"/>
        <w:rPr>
          <w:rFonts w:asciiTheme="minorHAnsi" w:hAnsiTheme="minorHAnsi" w:cstheme="minorHAnsi"/>
          <w:color w:val="242121"/>
          <w:sz w:val="26"/>
          <w:szCs w:val="26"/>
          <w:lang w:val="en-ZA" w:eastAsia="en-ZA"/>
        </w:rPr>
      </w:pPr>
    </w:p>
    <w:p w:rsidR="00353CD0" w:rsidRDefault="00353CD0" w:rsidP="00353CD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Accordingly the following order is granted:</w:t>
      </w:r>
    </w:p>
    <w:p w:rsidR="00353CD0" w:rsidRPr="00EB04FB" w:rsidRDefault="00353CD0" w:rsidP="00353CD0">
      <w:pPr>
        <w:pStyle w:val="ListParagraph"/>
        <w:rPr>
          <w:rFonts w:asciiTheme="minorHAnsi" w:hAnsiTheme="minorHAnsi" w:cstheme="minorHAnsi"/>
          <w:sz w:val="26"/>
          <w:szCs w:val="26"/>
        </w:rPr>
      </w:pPr>
    </w:p>
    <w:p w:rsidR="00353CD0" w:rsidRDefault="00353CD0" w:rsidP="00353CD0">
      <w:pPr>
        <w:pStyle w:val="ListParagraph"/>
        <w:spacing w:after="200" w:line="360" w:lineRule="auto"/>
        <w:ind w:left="851"/>
        <w:jc w:val="both"/>
        <w:rPr>
          <w:rFonts w:asciiTheme="minorHAnsi" w:hAnsiTheme="minorHAnsi" w:cstheme="minorHAnsi"/>
          <w:b/>
          <w:sz w:val="26"/>
          <w:szCs w:val="26"/>
        </w:rPr>
      </w:pPr>
      <w:r w:rsidRPr="00EB04FB">
        <w:rPr>
          <w:rFonts w:asciiTheme="minorHAnsi" w:hAnsiTheme="minorHAnsi" w:cstheme="minorHAnsi"/>
          <w:b/>
          <w:sz w:val="26"/>
          <w:szCs w:val="26"/>
          <w:u w:val="single"/>
        </w:rPr>
        <w:t>ORDER</w:t>
      </w:r>
      <w:r>
        <w:rPr>
          <w:rFonts w:asciiTheme="minorHAnsi" w:hAnsiTheme="minorHAnsi" w:cstheme="minorHAnsi"/>
          <w:b/>
          <w:sz w:val="26"/>
          <w:szCs w:val="26"/>
        </w:rPr>
        <w:t>:</w:t>
      </w:r>
    </w:p>
    <w:p w:rsidR="00353CD0" w:rsidRDefault="00353CD0" w:rsidP="00FD44E2">
      <w:pPr>
        <w:pStyle w:val="ListParagraph"/>
        <w:spacing w:after="200" w:line="360" w:lineRule="auto"/>
        <w:ind w:left="1560" w:hanging="709"/>
        <w:jc w:val="both"/>
        <w:rPr>
          <w:rFonts w:asciiTheme="minorHAnsi" w:hAnsiTheme="minorHAnsi" w:cstheme="minorHAnsi"/>
          <w:sz w:val="26"/>
          <w:szCs w:val="26"/>
        </w:rPr>
      </w:pPr>
      <w:r w:rsidRPr="00EB04FB">
        <w:rPr>
          <w:rFonts w:asciiTheme="minorHAnsi" w:hAnsiTheme="minorHAnsi" w:cstheme="minorHAnsi"/>
          <w:sz w:val="26"/>
          <w:szCs w:val="26"/>
        </w:rPr>
        <w:t>26.1</w:t>
      </w:r>
      <w:r w:rsidRPr="00EB04FB">
        <w:rPr>
          <w:rFonts w:asciiTheme="minorHAnsi" w:hAnsiTheme="minorHAnsi" w:cstheme="minorHAnsi"/>
          <w:sz w:val="26"/>
          <w:szCs w:val="26"/>
        </w:rPr>
        <w:tab/>
      </w:r>
      <w:r w:rsidR="00FD44E2">
        <w:rPr>
          <w:rFonts w:asciiTheme="minorHAnsi" w:hAnsiTheme="minorHAnsi" w:cstheme="minorHAnsi"/>
          <w:sz w:val="26"/>
          <w:szCs w:val="26"/>
        </w:rPr>
        <w:t>It is declared that an amount of R3,600 000.00 (Three million and six hundred thousand rand) paid into the Applicant’s Nedbank Trust account number 1014 508 428 on 17 December 2020 by Eskom Holdings Soc Limited was in the lawful possession of the Applicant until 21 December 2020 when the applicant paid such amount to the first respondent’s First National Bank Account Number 6270 286 1073;</w:t>
      </w:r>
    </w:p>
    <w:p w:rsidR="00FD44E2" w:rsidRDefault="00FD44E2" w:rsidP="00FD44E2">
      <w:pPr>
        <w:pStyle w:val="ListParagraph"/>
        <w:spacing w:after="200" w:line="360" w:lineRule="auto"/>
        <w:ind w:left="1560" w:hanging="709"/>
        <w:jc w:val="both"/>
        <w:rPr>
          <w:rFonts w:asciiTheme="minorHAnsi" w:hAnsiTheme="minorHAnsi" w:cstheme="minorHAnsi"/>
          <w:sz w:val="26"/>
          <w:szCs w:val="26"/>
        </w:rPr>
      </w:pPr>
      <w:r>
        <w:rPr>
          <w:rFonts w:asciiTheme="minorHAnsi" w:hAnsiTheme="minorHAnsi" w:cstheme="minorHAnsi"/>
          <w:sz w:val="26"/>
          <w:szCs w:val="26"/>
        </w:rPr>
        <w:t>26.2</w:t>
      </w:r>
      <w:r>
        <w:rPr>
          <w:rFonts w:asciiTheme="minorHAnsi" w:hAnsiTheme="minorHAnsi" w:cstheme="minorHAnsi"/>
          <w:sz w:val="26"/>
          <w:szCs w:val="26"/>
        </w:rPr>
        <w:tab/>
        <w:t>The Second Respondent is ordered to forthwith transfer the frozen funds in an amount of R1,061 827.61 (one million sixty one thousand eight hundred and twenty seven rand and sixty one cents) plus interest, (being the balance of standing credit in the First Respondent’s FNB Account, number 6270 286 1073) to the Applicant’s Nedbank Trust Account Number 1014 508 428;</w:t>
      </w:r>
    </w:p>
    <w:p w:rsidR="00FD44E2" w:rsidRDefault="00FD44E2" w:rsidP="00FD44E2">
      <w:pPr>
        <w:pStyle w:val="ListParagraph"/>
        <w:spacing w:after="200" w:line="360" w:lineRule="auto"/>
        <w:ind w:left="1560" w:hanging="709"/>
        <w:jc w:val="both"/>
        <w:rPr>
          <w:rFonts w:asciiTheme="minorHAnsi" w:hAnsiTheme="minorHAnsi" w:cstheme="minorHAnsi"/>
          <w:sz w:val="26"/>
          <w:szCs w:val="26"/>
        </w:rPr>
      </w:pPr>
      <w:r>
        <w:rPr>
          <w:rFonts w:asciiTheme="minorHAnsi" w:hAnsiTheme="minorHAnsi" w:cstheme="minorHAnsi"/>
          <w:sz w:val="26"/>
          <w:szCs w:val="26"/>
        </w:rPr>
        <w:t>26.3</w:t>
      </w:r>
      <w:r>
        <w:rPr>
          <w:rFonts w:asciiTheme="minorHAnsi" w:hAnsiTheme="minorHAnsi" w:cstheme="minorHAnsi"/>
          <w:sz w:val="26"/>
          <w:szCs w:val="26"/>
        </w:rPr>
        <w:tab/>
        <w:t>The Fifth Respondent is ordered to forthwith transfer the sum of R118 000.00 (which amount is held on behalf of the first respondent in the Trust Account of Mbanjwa Inc Attorneys at First Rand Bank, Account number 0000 0620 6007 1231) to the Applicant’s Nedbank Trust Account Number 1014 508 428 in accordance with the first respondent’s tender to pay same to the applicant;</w:t>
      </w:r>
    </w:p>
    <w:p w:rsidR="00FD44E2" w:rsidRDefault="00FD44E2" w:rsidP="00FD44E2">
      <w:pPr>
        <w:pStyle w:val="ListParagraph"/>
        <w:spacing w:after="200" w:line="360" w:lineRule="auto"/>
        <w:ind w:left="1560" w:hanging="709"/>
        <w:jc w:val="both"/>
        <w:rPr>
          <w:rFonts w:asciiTheme="minorHAnsi" w:hAnsiTheme="minorHAnsi" w:cstheme="minorHAnsi"/>
          <w:sz w:val="26"/>
          <w:szCs w:val="26"/>
        </w:rPr>
      </w:pPr>
      <w:r>
        <w:rPr>
          <w:rFonts w:asciiTheme="minorHAnsi" w:hAnsiTheme="minorHAnsi" w:cstheme="minorHAnsi"/>
          <w:sz w:val="26"/>
          <w:szCs w:val="26"/>
        </w:rPr>
        <w:lastRenderedPageBreak/>
        <w:t>26.4</w:t>
      </w:r>
      <w:r>
        <w:rPr>
          <w:rFonts w:asciiTheme="minorHAnsi" w:hAnsiTheme="minorHAnsi" w:cstheme="minorHAnsi"/>
          <w:sz w:val="26"/>
          <w:szCs w:val="26"/>
        </w:rPr>
        <w:tab/>
        <w:t>The Second Respondent is ordered to forthwith transfer funds in the amount of R400,000.00 (Four hundred thousand rand) plus interest, (being the balance of standing credit in the Sixth Respondent’s FNB Account, number 6253 2459 717) to the Applicant’s Nedbank Trust Account Number 1014 508 428;</w:t>
      </w:r>
    </w:p>
    <w:p w:rsidR="00FD44E2" w:rsidRDefault="00FD44E2" w:rsidP="00FD44E2">
      <w:pPr>
        <w:pStyle w:val="ListParagraph"/>
        <w:spacing w:after="200" w:line="360" w:lineRule="auto"/>
        <w:ind w:left="1560" w:hanging="709"/>
        <w:jc w:val="both"/>
        <w:rPr>
          <w:rFonts w:asciiTheme="minorHAnsi" w:hAnsiTheme="minorHAnsi" w:cstheme="minorHAnsi"/>
          <w:sz w:val="26"/>
          <w:szCs w:val="26"/>
        </w:rPr>
      </w:pPr>
      <w:r>
        <w:rPr>
          <w:rFonts w:asciiTheme="minorHAnsi" w:hAnsiTheme="minorHAnsi" w:cstheme="minorHAnsi"/>
          <w:sz w:val="26"/>
          <w:szCs w:val="26"/>
        </w:rPr>
        <w:t>26.5</w:t>
      </w:r>
      <w:r>
        <w:rPr>
          <w:rFonts w:asciiTheme="minorHAnsi" w:hAnsiTheme="minorHAnsi" w:cstheme="minorHAnsi"/>
          <w:sz w:val="26"/>
          <w:szCs w:val="26"/>
        </w:rPr>
        <w:tab/>
        <w:t>The Second Respondent is ordered to forthwith transfer funds in the amount of R400,000.00 (Four hundred thousand rand) plus interest, (being the balance of standing credit in the Seventh Respondent’s FNB Account, number 6251 9174 884) to the Applicant’s Nedbank Trust Account Number 1014 508 428;</w:t>
      </w:r>
    </w:p>
    <w:p w:rsidR="00FD44E2" w:rsidRDefault="00FD44E2" w:rsidP="00FD44E2">
      <w:pPr>
        <w:pStyle w:val="ListParagraph"/>
        <w:spacing w:after="200" w:line="360" w:lineRule="auto"/>
        <w:ind w:left="1560" w:hanging="709"/>
        <w:jc w:val="both"/>
        <w:rPr>
          <w:rFonts w:asciiTheme="minorHAnsi" w:hAnsiTheme="minorHAnsi" w:cstheme="minorHAnsi"/>
          <w:sz w:val="26"/>
          <w:szCs w:val="26"/>
        </w:rPr>
      </w:pPr>
      <w:r>
        <w:rPr>
          <w:rFonts w:asciiTheme="minorHAnsi" w:hAnsiTheme="minorHAnsi" w:cstheme="minorHAnsi"/>
          <w:sz w:val="26"/>
          <w:szCs w:val="26"/>
        </w:rPr>
        <w:t>26.6</w:t>
      </w:r>
      <w:r>
        <w:rPr>
          <w:rFonts w:asciiTheme="minorHAnsi" w:hAnsiTheme="minorHAnsi" w:cstheme="minorHAnsi"/>
          <w:sz w:val="26"/>
          <w:szCs w:val="26"/>
        </w:rPr>
        <w:tab/>
        <w:t>The First Respondent is ordered to pay the costs of this application;</w:t>
      </w:r>
    </w:p>
    <w:p w:rsidR="00FD44E2" w:rsidRDefault="00FD44E2" w:rsidP="00FD44E2">
      <w:pPr>
        <w:pStyle w:val="ListParagraph"/>
        <w:spacing w:after="200" w:line="360" w:lineRule="auto"/>
        <w:ind w:left="1560" w:hanging="709"/>
        <w:jc w:val="both"/>
        <w:rPr>
          <w:rFonts w:asciiTheme="minorHAnsi" w:hAnsiTheme="minorHAnsi" w:cstheme="minorHAnsi"/>
          <w:sz w:val="26"/>
          <w:szCs w:val="26"/>
        </w:rPr>
      </w:pPr>
      <w:r>
        <w:rPr>
          <w:rFonts w:asciiTheme="minorHAnsi" w:hAnsiTheme="minorHAnsi" w:cstheme="minorHAnsi"/>
          <w:sz w:val="26"/>
          <w:szCs w:val="26"/>
        </w:rPr>
        <w:t>26.7</w:t>
      </w:r>
      <w:r>
        <w:rPr>
          <w:rFonts w:asciiTheme="minorHAnsi" w:hAnsiTheme="minorHAnsi" w:cstheme="minorHAnsi"/>
          <w:sz w:val="26"/>
          <w:szCs w:val="26"/>
        </w:rPr>
        <w:tab/>
        <w:t>There shall be no order of costs against the Second, Third, Fourth, Fifth, Sixth, Seventh, Eighth, Ninth and Tenth respondents.</w:t>
      </w:r>
    </w:p>
    <w:p w:rsidR="00FD44E2" w:rsidRDefault="00FD44E2" w:rsidP="00FD44E2">
      <w:pPr>
        <w:pStyle w:val="ListParagraph"/>
        <w:spacing w:after="200" w:line="360" w:lineRule="auto"/>
        <w:ind w:left="1560" w:hanging="709"/>
        <w:jc w:val="both"/>
        <w:rPr>
          <w:rFonts w:asciiTheme="minorHAnsi" w:hAnsiTheme="minorHAnsi" w:cstheme="minorHAnsi"/>
          <w:sz w:val="26"/>
          <w:szCs w:val="26"/>
        </w:rPr>
      </w:pPr>
    </w:p>
    <w:p w:rsidR="00353CD0" w:rsidRDefault="00353CD0" w:rsidP="00353CD0">
      <w:pPr>
        <w:pStyle w:val="ListParagraph"/>
        <w:rPr>
          <w:rFonts w:asciiTheme="minorHAnsi" w:hAnsiTheme="minorHAnsi" w:cstheme="minorHAnsi"/>
          <w:color w:val="242121"/>
          <w:sz w:val="26"/>
          <w:szCs w:val="26"/>
          <w:shd w:val="clear" w:color="auto" w:fill="FFFFFF"/>
        </w:rPr>
      </w:pPr>
    </w:p>
    <w:p w:rsidR="00353CD0" w:rsidRDefault="00353CD0" w:rsidP="00353CD0">
      <w:pPr>
        <w:pStyle w:val="ListParagraph"/>
        <w:rPr>
          <w:rFonts w:asciiTheme="minorHAnsi" w:hAnsiTheme="minorHAnsi" w:cstheme="minorHAnsi"/>
          <w:sz w:val="26"/>
          <w:szCs w:val="26"/>
        </w:rPr>
      </w:pPr>
    </w:p>
    <w:p w:rsidR="00353CD0" w:rsidRPr="00175B5A" w:rsidRDefault="00353CD0" w:rsidP="00353CD0">
      <w:pPr>
        <w:pStyle w:val="ListParagraph"/>
        <w:rPr>
          <w:rFonts w:asciiTheme="minorHAnsi" w:hAnsiTheme="minorHAnsi" w:cstheme="minorHAnsi"/>
          <w:sz w:val="26"/>
          <w:szCs w:val="26"/>
        </w:rPr>
      </w:pPr>
    </w:p>
    <w:p w:rsidR="00353CD0" w:rsidRPr="00C5002D" w:rsidRDefault="00353CD0" w:rsidP="00353CD0">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353CD0" w:rsidRPr="00877F1E" w:rsidRDefault="00353CD0" w:rsidP="00353CD0">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rsidR="00353CD0" w:rsidRPr="00877F1E" w:rsidRDefault="00353CD0" w:rsidP="00353CD0">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353CD0" w:rsidRPr="00877F1E" w:rsidRDefault="00353CD0" w:rsidP="00353CD0">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353CD0" w:rsidRDefault="00353CD0" w:rsidP="00353CD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353CD0" w:rsidRDefault="00353CD0" w:rsidP="00353CD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353CD0" w:rsidRDefault="00353CD0" w:rsidP="00353CD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1</w:t>
      </w:r>
      <w:r w:rsidR="00FD44E2">
        <w:rPr>
          <w:rFonts w:asciiTheme="minorHAnsi" w:hAnsiTheme="minorHAnsi" w:cstheme="minorHAnsi"/>
          <w:sz w:val="24"/>
          <w:szCs w:val="24"/>
        </w:rPr>
        <w:t>1 April</w:t>
      </w:r>
      <w:r>
        <w:rPr>
          <w:rFonts w:asciiTheme="minorHAnsi" w:hAnsiTheme="minorHAnsi" w:cstheme="minorHAnsi"/>
          <w:sz w:val="24"/>
          <w:szCs w:val="24"/>
        </w:rPr>
        <w:t xml:space="preserve"> 2023</w:t>
      </w:r>
    </w:p>
    <w:p w:rsidR="00353CD0" w:rsidRPr="008E28FB" w:rsidRDefault="00353CD0" w:rsidP="00353CD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FD44E2">
        <w:rPr>
          <w:rFonts w:asciiTheme="minorHAnsi" w:hAnsiTheme="minorHAnsi" w:cstheme="minorHAnsi"/>
          <w:sz w:val="24"/>
          <w:szCs w:val="24"/>
        </w:rPr>
        <w:t>11</w:t>
      </w:r>
      <w:r>
        <w:rPr>
          <w:rFonts w:asciiTheme="minorHAnsi" w:hAnsiTheme="minorHAnsi" w:cstheme="minorHAnsi"/>
          <w:sz w:val="24"/>
          <w:szCs w:val="24"/>
        </w:rPr>
        <w:t xml:space="preserve"> July 2023</w:t>
      </w:r>
    </w:p>
    <w:p w:rsidR="00353CD0" w:rsidRDefault="00353CD0" w:rsidP="00353CD0">
      <w:pPr>
        <w:pStyle w:val="ListParagraph"/>
        <w:ind w:left="0"/>
        <w:rPr>
          <w:rFonts w:asciiTheme="minorHAnsi" w:hAnsiTheme="minorHAnsi" w:cstheme="minorHAnsi"/>
          <w:sz w:val="24"/>
          <w:szCs w:val="24"/>
        </w:rPr>
      </w:pPr>
    </w:p>
    <w:p w:rsidR="00353CD0" w:rsidRDefault="00353CD0" w:rsidP="00353CD0">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Caselines and release to SAFLII. The date and time for hand-down is deemed to be have been at 10h00 on </w:t>
      </w:r>
      <w:r w:rsidR="00FD44E2">
        <w:rPr>
          <w:i/>
        </w:rPr>
        <w:t>11</w:t>
      </w:r>
      <w:r>
        <w:rPr>
          <w:i/>
        </w:rPr>
        <w:t xml:space="preserve"> July 2023</w:t>
      </w:r>
      <w:r w:rsidRPr="00D626A3">
        <w:rPr>
          <w:i/>
        </w:rPr>
        <w:t>.</w:t>
      </w:r>
    </w:p>
    <w:p w:rsidR="00353CD0" w:rsidRDefault="00353CD0" w:rsidP="00353CD0">
      <w:pPr>
        <w:pStyle w:val="ListParagraph"/>
        <w:ind w:left="0"/>
        <w:rPr>
          <w:rFonts w:asciiTheme="minorHAnsi" w:hAnsiTheme="minorHAnsi" w:cstheme="minorHAnsi"/>
          <w:sz w:val="24"/>
          <w:szCs w:val="24"/>
        </w:rPr>
      </w:pPr>
    </w:p>
    <w:p w:rsidR="00353CD0" w:rsidRPr="008E28FB" w:rsidRDefault="00353CD0" w:rsidP="00353CD0">
      <w:pPr>
        <w:pStyle w:val="ListParagraph"/>
        <w:ind w:left="0"/>
        <w:rPr>
          <w:rFonts w:asciiTheme="minorHAnsi" w:hAnsiTheme="minorHAnsi" w:cstheme="minorHAnsi"/>
          <w:sz w:val="24"/>
          <w:szCs w:val="24"/>
        </w:rPr>
      </w:pPr>
    </w:p>
    <w:p w:rsidR="00353CD0" w:rsidRPr="008E28FB" w:rsidRDefault="00353CD0" w:rsidP="00353CD0">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353CD0" w:rsidRPr="008E28FB" w:rsidRDefault="00353CD0" w:rsidP="00353CD0">
      <w:pPr>
        <w:pStyle w:val="ListParagraph"/>
        <w:ind w:left="0"/>
        <w:rPr>
          <w:rFonts w:asciiTheme="minorHAnsi" w:hAnsiTheme="minorHAnsi" w:cstheme="minorHAnsi"/>
          <w:sz w:val="24"/>
          <w:szCs w:val="24"/>
        </w:rPr>
      </w:pPr>
    </w:p>
    <w:p w:rsidR="00353CD0" w:rsidRPr="008E28FB" w:rsidRDefault="00353CD0" w:rsidP="00353CD0">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Applicants:</w:t>
      </w:r>
      <w:r>
        <w:rPr>
          <w:rFonts w:asciiTheme="minorHAnsi" w:hAnsiTheme="minorHAnsi" w:cstheme="minorHAnsi"/>
          <w:sz w:val="24"/>
          <w:szCs w:val="24"/>
        </w:rPr>
        <w:tab/>
      </w:r>
      <w:r>
        <w:rPr>
          <w:rFonts w:asciiTheme="minorHAnsi" w:hAnsiTheme="minorHAnsi" w:cstheme="minorHAnsi"/>
          <w:sz w:val="24"/>
          <w:szCs w:val="24"/>
        </w:rPr>
        <w:tab/>
      </w:r>
      <w:r w:rsidR="00FD44E2">
        <w:rPr>
          <w:rFonts w:asciiTheme="minorHAnsi" w:hAnsiTheme="minorHAnsi" w:cstheme="minorHAnsi"/>
          <w:sz w:val="24"/>
          <w:szCs w:val="24"/>
        </w:rPr>
        <w:t>Ms R Baboolal-Frank (advocate)</w:t>
      </w:r>
    </w:p>
    <w:p w:rsidR="00353CD0" w:rsidRDefault="00353CD0" w:rsidP="00353CD0">
      <w:pPr>
        <w:pStyle w:val="ListParagraph"/>
        <w:ind w:left="0"/>
        <w:rPr>
          <w:rFonts w:asciiTheme="minorHAnsi" w:hAnsiTheme="minorHAnsi" w:cstheme="minorHAnsi"/>
          <w:sz w:val="24"/>
          <w:szCs w:val="24"/>
        </w:rPr>
      </w:pPr>
      <w:r>
        <w:rPr>
          <w:rFonts w:asciiTheme="minorHAnsi" w:hAnsiTheme="minorHAnsi" w:cstheme="minorHAnsi"/>
          <w:sz w:val="24"/>
          <w:szCs w:val="24"/>
        </w:rPr>
        <w:t>Instructed by</w:t>
      </w:r>
      <w:r w:rsidRPr="008E28FB">
        <w:rPr>
          <w:rFonts w:asciiTheme="minorHAnsi" w:hAnsiTheme="minorHAnsi" w:cstheme="minorHAnsi"/>
          <w:sz w:val="24"/>
          <w:szCs w:val="24"/>
        </w:rPr>
        <w:t>:</w:t>
      </w:r>
      <w:r w:rsidRPr="008E28F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E28FB">
        <w:rPr>
          <w:rFonts w:asciiTheme="minorHAnsi" w:hAnsiTheme="minorHAnsi" w:cstheme="minorHAnsi"/>
          <w:sz w:val="24"/>
          <w:szCs w:val="24"/>
        </w:rPr>
        <w:tab/>
      </w:r>
      <w:r w:rsidR="00FD44E2">
        <w:rPr>
          <w:rFonts w:asciiTheme="minorHAnsi" w:hAnsiTheme="minorHAnsi" w:cstheme="minorHAnsi"/>
          <w:sz w:val="24"/>
          <w:szCs w:val="24"/>
        </w:rPr>
        <w:t xml:space="preserve">Malebye Motaung Mtembu </w:t>
      </w:r>
      <w:r>
        <w:rPr>
          <w:rFonts w:asciiTheme="minorHAnsi" w:hAnsiTheme="minorHAnsi" w:cstheme="minorHAnsi"/>
          <w:sz w:val="24"/>
          <w:szCs w:val="24"/>
        </w:rPr>
        <w:t xml:space="preserve">Attorneys </w:t>
      </w:r>
    </w:p>
    <w:p w:rsidR="00353CD0" w:rsidRPr="008E28FB" w:rsidRDefault="00353CD0" w:rsidP="00353CD0">
      <w:pPr>
        <w:ind w:left="4320" w:hanging="4320"/>
        <w:jc w:val="both"/>
        <w:rPr>
          <w:rFonts w:asciiTheme="minorHAnsi" w:hAnsiTheme="minorHAnsi" w:cstheme="minorHAnsi"/>
          <w:sz w:val="24"/>
          <w:szCs w:val="24"/>
        </w:rPr>
      </w:pPr>
    </w:p>
    <w:p w:rsidR="00FD44E2" w:rsidRDefault="00353CD0" w:rsidP="00353CD0">
      <w:r>
        <w:lastRenderedPageBreak/>
        <w:t>For Third Respondent:</w:t>
      </w:r>
      <w:r>
        <w:tab/>
      </w:r>
      <w:r>
        <w:tab/>
        <w:t xml:space="preserve">Ms </w:t>
      </w:r>
      <w:r w:rsidR="00FD44E2">
        <w:t>L. Mbanjwa (attorney)</w:t>
      </w:r>
    </w:p>
    <w:p w:rsidR="00353CD0" w:rsidRDefault="00FD44E2" w:rsidP="00353CD0">
      <w:r>
        <w:t>Attorneys for first respondent:</w:t>
      </w:r>
      <w:r>
        <w:tab/>
        <w:t>L. Mbanjwa Incorporated Attorneys</w:t>
      </w:r>
    </w:p>
    <w:p w:rsidR="00FD44E2" w:rsidRDefault="00FD44E2" w:rsidP="00353CD0"/>
    <w:p w:rsidR="00353CD0" w:rsidRDefault="00353CD0" w:rsidP="00353CD0"/>
    <w:p w:rsidR="00353CD0" w:rsidRDefault="00353CD0" w:rsidP="00353CD0"/>
    <w:p w:rsidR="00353CD0" w:rsidRDefault="00353CD0" w:rsidP="00353CD0"/>
    <w:p w:rsidR="00353CD0" w:rsidRDefault="00353CD0" w:rsidP="00353CD0"/>
    <w:p w:rsidR="00263E25" w:rsidRDefault="00263E25"/>
    <w:sectPr w:rsidR="00263E25" w:rsidSect="00B932F8">
      <w:head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49" w:rsidRDefault="00621A49" w:rsidP="00353CD0">
      <w:r>
        <w:separator/>
      </w:r>
    </w:p>
  </w:endnote>
  <w:endnote w:type="continuationSeparator" w:id="0">
    <w:p w:rsidR="00621A49" w:rsidRDefault="00621A49" w:rsidP="0035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660720"/>
      <w:docPartObj>
        <w:docPartGallery w:val="Page Numbers (Bottom of Page)"/>
        <w:docPartUnique/>
      </w:docPartObj>
    </w:sdtPr>
    <w:sdtEndPr>
      <w:rPr>
        <w:noProof/>
      </w:rPr>
    </w:sdtEndPr>
    <w:sdtContent>
      <w:p w:rsidR="00B932F8" w:rsidRDefault="00956C9F">
        <w:pPr>
          <w:pStyle w:val="Footer"/>
          <w:jc w:val="right"/>
        </w:pPr>
        <w:r>
          <w:fldChar w:fldCharType="begin"/>
        </w:r>
        <w:r>
          <w:instrText xml:space="preserve"> PAGE   \* MERGEFORMAT </w:instrText>
        </w:r>
        <w:r>
          <w:fldChar w:fldCharType="separate"/>
        </w:r>
        <w:r w:rsidR="00283F95">
          <w:rPr>
            <w:noProof/>
          </w:rPr>
          <w:t>1</w:t>
        </w:r>
        <w:r>
          <w:rPr>
            <w:noProof/>
          </w:rPr>
          <w:fldChar w:fldCharType="end"/>
        </w:r>
      </w:p>
    </w:sdtContent>
  </w:sdt>
  <w:p w:rsidR="00B932F8" w:rsidRDefault="00621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49" w:rsidRDefault="00621A49" w:rsidP="00353CD0">
      <w:r>
        <w:separator/>
      </w:r>
    </w:p>
  </w:footnote>
  <w:footnote w:type="continuationSeparator" w:id="0">
    <w:p w:rsidR="00621A49" w:rsidRDefault="00621A49" w:rsidP="00353CD0">
      <w:r>
        <w:continuationSeparator/>
      </w:r>
    </w:p>
  </w:footnote>
  <w:footnote w:id="1">
    <w:p w:rsidR="00607245" w:rsidRDefault="00607245" w:rsidP="00607245">
      <w:pPr>
        <w:pStyle w:val="FootnoteText"/>
        <w:jc w:val="both"/>
        <w:rPr>
          <w:lang w:val="en-US"/>
        </w:rPr>
      </w:pPr>
      <w:r>
        <w:rPr>
          <w:rStyle w:val="FootnoteReference"/>
        </w:rPr>
        <w:footnoteRef/>
      </w:r>
      <w:r>
        <w:t xml:space="preserve"> </w:t>
      </w:r>
      <w:r>
        <w:rPr>
          <w:lang w:val="en-US"/>
        </w:rPr>
        <w:t xml:space="preserve">After his articles of clerkship expired, the first respondent remained </w:t>
      </w:r>
      <w:r w:rsidR="00A67D36">
        <w:rPr>
          <w:lang w:val="en-US"/>
        </w:rPr>
        <w:t xml:space="preserve">employed at the applicant, performing professional legal duties as </w:t>
      </w:r>
      <w:r>
        <w:rPr>
          <w:lang w:val="en-US"/>
        </w:rPr>
        <w:t xml:space="preserve">candidate attorney </w:t>
      </w:r>
      <w:r w:rsidR="00707A74">
        <w:rPr>
          <w:lang w:val="en-US"/>
        </w:rPr>
        <w:t>as</w:t>
      </w:r>
      <w:r>
        <w:rPr>
          <w:lang w:val="en-US"/>
        </w:rPr>
        <w:t xml:space="preserve"> he had yet </w:t>
      </w:r>
      <w:r w:rsidR="00A67D36">
        <w:rPr>
          <w:lang w:val="en-US"/>
        </w:rPr>
        <w:t xml:space="preserve">not yet </w:t>
      </w:r>
      <w:r>
        <w:rPr>
          <w:lang w:val="en-US"/>
        </w:rPr>
        <w:t>complete</w:t>
      </w:r>
      <w:r w:rsidR="00A67D36">
        <w:rPr>
          <w:lang w:val="en-US"/>
        </w:rPr>
        <w:t>d</w:t>
      </w:r>
      <w:r>
        <w:rPr>
          <w:lang w:val="en-US"/>
        </w:rPr>
        <w:t xml:space="preserve"> all the relevant competency examinations in order to </w:t>
      </w:r>
      <w:r w:rsidR="00A67D36">
        <w:rPr>
          <w:lang w:val="en-US"/>
        </w:rPr>
        <w:t xml:space="preserve">qualify for admission </w:t>
      </w:r>
      <w:r>
        <w:rPr>
          <w:lang w:val="en-US"/>
        </w:rPr>
        <w:t>as an attorney of the High Court.</w:t>
      </w:r>
    </w:p>
    <w:p w:rsidR="000B6C72" w:rsidRPr="00607245" w:rsidRDefault="000B6C72" w:rsidP="00607245">
      <w:pPr>
        <w:pStyle w:val="FootnoteText"/>
        <w:jc w:val="both"/>
        <w:rPr>
          <w:lang w:val="en-US"/>
        </w:rPr>
      </w:pPr>
    </w:p>
  </w:footnote>
  <w:footnote w:id="2">
    <w:p w:rsidR="000B6C72" w:rsidRPr="000B6C72" w:rsidRDefault="000B6C72" w:rsidP="000B6C72">
      <w:pPr>
        <w:pStyle w:val="FootnoteText"/>
        <w:jc w:val="both"/>
        <w:rPr>
          <w:lang w:val="en-US"/>
        </w:rPr>
      </w:pPr>
      <w:r>
        <w:rPr>
          <w:rStyle w:val="FootnoteReference"/>
        </w:rPr>
        <w:footnoteRef/>
      </w:r>
      <w:r>
        <w:t xml:space="preserve"> The relief the applicant sought included </w:t>
      </w:r>
      <w:r>
        <w:rPr>
          <w:lang w:val="en-US"/>
        </w:rPr>
        <w:t>declaratory orders; payment of amounts standing to the credit of the first, sixth, seventh and eighth respondents’ bank accounts held either at FNB, Standard Bank or Absa Bank; payment of the sum of R118 000.00 held by the fifth respondent in its trust account on behalf of the first respondent; a claim against the ninth respondent for the repayment of tuition fees that had been paid by the first respondent from the proceeds of funds stolen by him; a claim against the tenth respondent in respect of rental that had been paid by the first respondent f</w:t>
      </w:r>
      <w:r w:rsidR="00707A74">
        <w:rPr>
          <w:lang w:val="en-US"/>
        </w:rPr>
        <w:t>r</w:t>
      </w:r>
      <w:r>
        <w:rPr>
          <w:lang w:val="en-US"/>
        </w:rPr>
        <w:t>om the proceeds of funds stolen by him; and claims for the return or attachment of movable assets that had been purchased by the first respondent from the proceeds of funds stolen by him</w:t>
      </w:r>
      <w:r w:rsidR="00707A74">
        <w:rPr>
          <w:lang w:val="en-US"/>
        </w:rPr>
        <w:t>.</w:t>
      </w:r>
    </w:p>
  </w:footnote>
  <w:footnote w:id="3">
    <w:p w:rsidR="000B6C72" w:rsidRDefault="000B6C72" w:rsidP="000B6C72">
      <w:pPr>
        <w:pStyle w:val="FootnoteText"/>
        <w:spacing w:line="276" w:lineRule="auto"/>
        <w:jc w:val="both"/>
        <w:rPr>
          <w:i/>
          <w:lang w:val="en-US"/>
        </w:rPr>
      </w:pPr>
      <w:r>
        <w:rPr>
          <w:rStyle w:val="FootnoteReference"/>
        </w:rPr>
        <w:footnoteRef/>
      </w:r>
      <w:r>
        <w:t xml:space="preserve"> </w:t>
      </w:r>
      <w:r>
        <w:rPr>
          <w:lang w:val="en-US"/>
        </w:rPr>
        <w:t>This is consistent with what is stated in par 16.1 of the answering affidavit , where the following was said: ‘</w:t>
      </w:r>
      <w:r>
        <w:rPr>
          <w:i/>
          <w:lang w:val="en-US"/>
        </w:rPr>
        <w:t>I never denied stealing the money,</w:t>
      </w:r>
      <w:r w:rsidR="00707A74">
        <w:rPr>
          <w:i/>
          <w:lang w:val="en-US"/>
        </w:rPr>
        <w:t xml:space="preserve"> </w:t>
      </w:r>
      <w:r>
        <w:rPr>
          <w:i/>
          <w:lang w:val="en-US"/>
        </w:rPr>
        <w:t>and ever since the theft was discovered, I and my family…pleaded with Ms Malebye to allow us access to…Eskom’</w:t>
      </w:r>
      <w:r>
        <w:rPr>
          <w:lang w:val="en-US"/>
        </w:rPr>
        <w:t xml:space="preserve"> to ‘</w:t>
      </w:r>
      <w:r>
        <w:rPr>
          <w:i/>
          <w:lang w:val="en-US"/>
        </w:rPr>
        <w:t xml:space="preserve">make submissions on how to repay the money to Eskom.’ </w:t>
      </w:r>
      <w:r>
        <w:rPr>
          <w:lang w:val="en-US"/>
        </w:rPr>
        <w:t xml:space="preserve">In par 16.4, the first respondent went on to state that </w:t>
      </w:r>
      <w:r>
        <w:rPr>
          <w:i/>
          <w:lang w:val="en-US"/>
        </w:rPr>
        <w:t>‘I accept full responsibility to assist Ms Malebye in returning the money back to her client…”</w:t>
      </w:r>
    </w:p>
    <w:p w:rsidR="000B6C72" w:rsidRPr="000B6C72" w:rsidRDefault="000B6C72" w:rsidP="000B6C72">
      <w:pPr>
        <w:pStyle w:val="FootnoteText"/>
        <w:jc w:val="both"/>
        <w:rPr>
          <w:i/>
          <w:lang w:val="en-US"/>
        </w:rPr>
      </w:pPr>
    </w:p>
  </w:footnote>
  <w:footnote w:id="4">
    <w:p w:rsidR="000B6C72" w:rsidRDefault="000B6C72" w:rsidP="000B6C72">
      <w:pPr>
        <w:pStyle w:val="FootnoteText"/>
        <w:jc w:val="both"/>
        <w:rPr>
          <w:lang w:val="en-US"/>
        </w:rPr>
      </w:pPr>
      <w:r>
        <w:rPr>
          <w:rStyle w:val="FootnoteReference"/>
        </w:rPr>
        <w:footnoteRef/>
      </w:r>
      <w:r>
        <w:t xml:space="preserve"> </w:t>
      </w:r>
      <w:r>
        <w:rPr>
          <w:lang w:val="en-US"/>
        </w:rPr>
        <w:t xml:space="preserve">The applicant subsequently discovered that there are no longer funds standing to the credit of the first respondent’s Standard Bank account or the eight respondent’s Absa Bank account, and it is for that reason that the claims against Standard Bank and Absa Bank for the restitution of </w:t>
      </w:r>
      <w:r w:rsidR="00707A74">
        <w:rPr>
          <w:lang w:val="en-US"/>
        </w:rPr>
        <w:t xml:space="preserve">the </w:t>
      </w:r>
      <w:r>
        <w:rPr>
          <w:lang w:val="en-US"/>
        </w:rPr>
        <w:t>stolen funds deposited by the first respondent into those bank accounts, were abandoned.</w:t>
      </w:r>
    </w:p>
    <w:p w:rsidR="000B6C72" w:rsidRPr="000B6C72" w:rsidRDefault="000B6C72" w:rsidP="000B6C72">
      <w:pPr>
        <w:pStyle w:val="FootnoteText"/>
        <w:jc w:val="both"/>
        <w:rPr>
          <w:lang w:val="en-US"/>
        </w:rPr>
      </w:pPr>
    </w:p>
  </w:footnote>
  <w:footnote w:id="5">
    <w:p w:rsidR="000B6C72" w:rsidRPr="000B6C72" w:rsidRDefault="000B6C72">
      <w:pPr>
        <w:pStyle w:val="FootnoteText"/>
        <w:rPr>
          <w:lang w:val="en-US"/>
        </w:rPr>
      </w:pPr>
      <w:r>
        <w:rPr>
          <w:rStyle w:val="FootnoteReference"/>
        </w:rPr>
        <w:footnoteRef/>
      </w:r>
      <w:r>
        <w:t xml:space="preserve"> </w:t>
      </w:r>
      <w:r>
        <w:rPr>
          <w:lang w:val="en-US"/>
        </w:rPr>
        <w:t>Per annex</w:t>
      </w:r>
      <w:r w:rsidR="00707A74">
        <w:rPr>
          <w:lang w:val="en-US"/>
        </w:rPr>
        <w:t>u</w:t>
      </w:r>
      <w:r>
        <w:rPr>
          <w:lang w:val="en-US"/>
        </w:rPr>
        <w:t>re ‘MMM18’ to the applicant’s papers.</w:t>
      </w:r>
    </w:p>
  </w:footnote>
  <w:footnote w:id="6">
    <w:p w:rsidR="000B6C72" w:rsidRDefault="000B6C72" w:rsidP="000B6C72">
      <w:pPr>
        <w:pStyle w:val="FootnoteText"/>
        <w:jc w:val="both"/>
      </w:pPr>
      <w:r>
        <w:rPr>
          <w:rStyle w:val="FootnoteReference"/>
        </w:rPr>
        <w:footnoteRef/>
      </w:r>
      <w:r>
        <w:t xml:space="preserve"> </w:t>
      </w:r>
      <w:r w:rsidRPr="00702E01">
        <w:t>A valid contract is created provided that two or more persons seriously and deliberately give their consent to be contractually bound in a lawful undertaking. Once created, the legally valid contract gives rise to iusta causa debendi, that is, the legal ground from which the duty to render performance arises. Performance carried out in fulfilment of a valid contractual obligation is said to be rendered with iusta causa</w:t>
      </w:r>
      <w:r w:rsidR="0003076B">
        <w:t>,</w:t>
      </w:r>
      <w:r w:rsidRPr="00702E01">
        <w:t xml:space="preserve"> whilst performance made in the absence of a valid contract may, by contrast, be said to have been rendered sine causa</w:t>
      </w:r>
      <w:r w:rsidR="00707A74">
        <w:t>,</w:t>
      </w:r>
      <w:r>
        <w:rPr>
          <w:rFonts w:cstheme="minorHAnsi"/>
          <w:sz w:val="26"/>
          <w:szCs w:val="26"/>
        </w:rPr>
        <w:t xml:space="preserve"> </w:t>
      </w:r>
      <w:r w:rsidR="00707A74">
        <w:t>i</w:t>
      </w:r>
      <w:r>
        <w:t>n which case an action (condictio) arises for the recovery of what was given or done sine causa or turpis causa or iniusta causa.</w:t>
      </w:r>
    </w:p>
    <w:p w:rsidR="000B6C72" w:rsidRPr="000B6C72" w:rsidRDefault="000B6C72" w:rsidP="000B6C72">
      <w:pPr>
        <w:pStyle w:val="FootnoteText"/>
        <w:jc w:val="both"/>
        <w:rPr>
          <w:lang w:val="en-US"/>
        </w:rPr>
      </w:pPr>
    </w:p>
  </w:footnote>
  <w:footnote w:id="7">
    <w:p w:rsidR="000B6C72" w:rsidRDefault="000B6C72">
      <w:pPr>
        <w:pStyle w:val="FootnoteText"/>
      </w:pPr>
      <w:r>
        <w:rPr>
          <w:rStyle w:val="FootnoteReference"/>
        </w:rPr>
        <w:footnoteRef/>
      </w:r>
      <w:r>
        <w:t xml:space="preserve"> </w:t>
      </w:r>
      <w:r w:rsidRPr="000B6C72">
        <w:rPr>
          <w:i/>
        </w:rPr>
        <w:t>Leysath v Legal Practitioners' Fidelity Fund Board of Control</w:t>
      </w:r>
      <w:r w:rsidRPr="000B6C72">
        <w:t xml:space="preserve"> (770/2021) [2022] ZASCA 115 (28 July 2022)</w:t>
      </w:r>
      <w:r>
        <w:t xml:space="preserve"> at par 24. </w:t>
      </w:r>
    </w:p>
    <w:p w:rsidR="000B6C72" w:rsidRDefault="000B6C72">
      <w:pPr>
        <w:pStyle w:val="FootnoteText"/>
      </w:pPr>
    </w:p>
    <w:p w:rsidR="000B6C72" w:rsidRDefault="000B6C72" w:rsidP="000B6C72">
      <w:pPr>
        <w:pStyle w:val="FootnoteText"/>
        <w:jc w:val="both"/>
        <w:rPr>
          <w:color w:val="242121"/>
          <w:shd w:val="clear" w:color="auto" w:fill="FFFFFF"/>
        </w:rPr>
      </w:pPr>
      <w:r>
        <w:t xml:space="preserve">In any event, </w:t>
      </w:r>
      <w:r w:rsidR="0003076B">
        <w:t xml:space="preserve">in </w:t>
      </w:r>
      <w:r>
        <w:rPr>
          <w:i/>
          <w:iCs/>
          <w:color w:val="242121"/>
          <w:shd w:val="clear" w:color="auto" w:fill="FFFFFF"/>
        </w:rPr>
        <w:t xml:space="preserve">British Kaffrarian Savings Bank Society v Attorneys, Notaries and conveyancers Fidelity Gaurentee Fund Board of Control </w:t>
      </w:r>
      <w:r w:rsidRPr="000B6C72">
        <w:rPr>
          <w:color w:val="242121"/>
          <w:shd w:val="clear" w:color="auto" w:fill="FFFFFF"/>
        </w:rPr>
        <w:t>1978 (3) SA 242 (E)</w:t>
      </w:r>
      <w:r w:rsidRPr="000B6C72">
        <w:rPr>
          <w:iCs/>
          <w:color w:val="242121"/>
          <w:shd w:val="clear" w:color="auto" w:fill="FFFFFF"/>
        </w:rPr>
        <w:t>,</w:t>
      </w:r>
      <w:r w:rsidRPr="000B6C72">
        <w:rPr>
          <w:bCs/>
          <w:shd w:val="clear" w:color="auto" w:fill="FFFFFF"/>
        </w:rPr>
        <w:t xml:space="preserve"> </w:t>
      </w:r>
      <w:r>
        <w:rPr>
          <w:color w:val="242121"/>
          <w:shd w:val="clear" w:color="auto" w:fill="FFFFFF"/>
        </w:rPr>
        <w:t xml:space="preserve">it was said that </w:t>
      </w:r>
      <w:r w:rsidR="00707A74">
        <w:rPr>
          <w:color w:val="242121"/>
          <w:shd w:val="clear" w:color="auto" w:fill="FFFFFF"/>
        </w:rPr>
        <w:t>‘</w:t>
      </w:r>
      <w:r>
        <w:rPr>
          <w:color w:val="242121"/>
          <w:shd w:val="clear" w:color="auto" w:fill="FFFFFF"/>
        </w:rPr>
        <w:t>entrustment</w:t>
      </w:r>
      <w:r w:rsidR="00707A74">
        <w:rPr>
          <w:color w:val="242121"/>
          <w:shd w:val="clear" w:color="auto" w:fill="FFFFFF"/>
        </w:rPr>
        <w:t>’</w:t>
      </w:r>
      <w:r>
        <w:rPr>
          <w:color w:val="242121"/>
          <w:shd w:val="clear" w:color="auto" w:fill="FFFFFF"/>
        </w:rPr>
        <w:t xml:space="preserve"> comprises two elements namely: ‘(a) to place in the possession of something, (b) subject to a trust. As to the latter element, this connotes that the person entrusted is bound to deal with the property or money concerned for the benefit of others . . .’.   </w:t>
      </w:r>
    </w:p>
    <w:p w:rsidR="000B6C72" w:rsidRDefault="000B6C72" w:rsidP="000B6C72">
      <w:pPr>
        <w:pStyle w:val="FootnoteText"/>
        <w:jc w:val="both"/>
        <w:rPr>
          <w:color w:val="242121"/>
          <w:shd w:val="clear" w:color="auto" w:fill="FFFFFF"/>
        </w:rPr>
      </w:pPr>
    </w:p>
    <w:p w:rsidR="000B6C72" w:rsidRPr="000B6C72" w:rsidRDefault="000B6C72" w:rsidP="000B6C72">
      <w:pPr>
        <w:pStyle w:val="FootnoteText"/>
        <w:jc w:val="both"/>
        <w:rPr>
          <w:lang w:val="en-US"/>
        </w:rPr>
      </w:pPr>
      <w:r w:rsidRPr="000B6C72">
        <w:rPr>
          <w:color w:val="242121"/>
          <w:shd w:val="clear" w:color="auto" w:fill="FFFFFF"/>
        </w:rPr>
        <w:t>In the context of the factual matrix of this case</w:t>
      </w:r>
      <w:r>
        <w:rPr>
          <w:color w:val="242121"/>
          <w:shd w:val="clear" w:color="auto" w:fill="FFFFFF"/>
        </w:rPr>
        <w:t>, monies deposited by Eskom were entrusted to the Applicant, and, as soon as the monies were paid into the applicant’s trust account, it became the possessor of the funds and it was only the Applicant who could further deal with such funds</w:t>
      </w:r>
      <w:r w:rsidR="00707A74">
        <w:rPr>
          <w:color w:val="242121"/>
          <w:shd w:val="clear" w:color="auto" w:fill="FFFFFF"/>
        </w:rPr>
        <w:t>,</w:t>
      </w:r>
      <w:r>
        <w:rPr>
          <w:color w:val="242121"/>
          <w:shd w:val="clear" w:color="auto" w:fill="FFFFFF"/>
        </w:rPr>
        <w:t xml:space="preserve"> for it was the applicant who then retain</w:t>
      </w:r>
      <w:r w:rsidR="00707A74">
        <w:rPr>
          <w:color w:val="242121"/>
          <w:shd w:val="clear" w:color="auto" w:fill="FFFFFF"/>
        </w:rPr>
        <w:t>ed</w:t>
      </w:r>
      <w:r>
        <w:rPr>
          <w:color w:val="242121"/>
          <w:shd w:val="clear" w:color="auto" w:fill="FFFFFF"/>
        </w:rPr>
        <w:t xml:space="preserve"> control of the funds and</w:t>
      </w:r>
      <w:r w:rsidR="00707A74">
        <w:rPr>
          <w:color w:val="242121"/>
          <w:shd w:val="clear" w:color="auto" w:fill="FFFFFF"/>
        </w:rPr>
        <w:t xml:space="preserve"> </w:t>
      </w:r>
      <w:r>
        <w:rPr>
          <w:color w:val="242121"/>
          <w:shd w:val="clear" w:color="auto" w:fill="FFFFFF"/>
        </w:rPr>
        <w:t>only the applicant could use the funds for the directed purpose of the funds.</w:t>
      </w:r>
    </w:p>
  </w:footnote>
  <w:footnote w:id="8">
    <w:p w:rsidR="000B6C72" w:rsidRPr="00DF226D" w:rsidRDefault="000B6C72" w:rsidP="000B6C72">
      <w:pPr>
        <w:pStyle w:val="NormalWeb"/>
        <w:shd w:val="clear" w:color="auto" w:fill="FFFFFF"/>
        <w:spacing w:before="144" w:beforeAutospacing="0" w:after="0" w:afterAutospacing="0" w:line="480" w:lineRule="atLeast"/>
        <w:jc w:val="both"/>
        <w:rPr>
          <w:rFonts w:ascii="Arial" w:hAnsi="Arial" w:cs="Arial"/>
          <w:color w:val="242121"/>
          <w:sz w:val="20"/>
          <w:szCs w:val="20"/>
        </w:rPr>
      </w:pPr>
      <w:r>
        <w:rPr>
          <w:rStyle w:val="FootnoteReference"/>
        </w:rPr>
        <w:footnoteRef/>
      </w:r>
      <w:r>
        <w:t xml:space="preserve"> </w:t>
      </w:r>
      <w:r w:rsidRPr="00DF226D">
        <w:rPr>
          <w:rFonts w:ascii="Arial" w:hAnsi="Arial" w:cs="Arial"/>
          <w:color w:val="242121"/>
          <w:sz w:val="20"/>
          <w:szCs w:val="20"/>
        </w:rPr>
        <w:t>Section 26</w:t>
      </w:r>
      <w:r w:rsidRPr="00DF226D">
        <w:rPr>
          <w:rFonts w:ascii="Arial" w:hAnsi="Arial" w:cs="Arial"/>
          <w:i/>
          <w:iCs/>
          <w:color w:val="242121"/>
          <w:sz w:val="20"/>
          <w:szCs w:val="20"/>
        </w:rPr>
        <w:t>(</w:t>
      </w:r>
      <w:r w:rsidRPr="00DF226D">
        <w:rPr>
          <w:rFonts w:ascii="Arial" w:hAnsi="Arial" w:cs="Arial"/>
          <w:iCs/>
          <w:color w:val="242121"/>
          <w:sz w:val="20"/>
          <w:szCs w:val="20"/>
        </w:rPr>
        <w:t>a)</w:t>
      </w:r>
      <w:r w:rsidRPr="00DF226D">
        <w:rPr>
          <w:rFonts w:ascii="Arial" w:hAnsi="Arial" w:cs="Arial"/>
          <w:color w:val="242121"/>
          <w:sz w:val="20"/>
          <w:szCs w:val="20"/>
        </w:rPr>
        <w:t>of the Attorneys Act reads as follows:</w:t>
      </w:r>
    </w:p>
    <w:p w:rsidR="000B6C72" w:rsidRPr="00DF226D" w:rsidRDefault="000B6C72" w:rsidP="000B6C72">
      <w:pPr>
        <w:pStyle w:val="NormalWeb"/>
        <w:shd w:val="clear" w:color="auto" w:fill="FFFFFF"/>
        <w:spacing w:before="144" w:beforeAutospacing="0" w:after="0" w:afterAutospacing="0" w:line="480" w:lineRule="atLeast"/>
        <w:jc w:val="both"/>
        <w:rPr>
          <w:rFonts w:ascii="Arial" w:hAnsi="Arial" w:cs="Arial"/>
          <w:color w:val="242121"/>
          <w:sz w:val="20"/>
          <w:szCs w:val="20"/>
        </w:rPr>
      </w:pPr>
      <w:r w:rsidRPr="00DF226D">
        <w:rPr>
          <w:rFonts w:ascii="Arial" w:hAnsi="Arial" w:cs="Arial"/>
          <w:color w:val="242121"/>
          <w:sz w:val="20"/>
          <w:szCs w:val="20"/>
        </w:rPr>
        <w:t>‘Subject to the provisions of this Act, the fund shall be applied for the purpose of reimbursing persons who may suffer pecuniary loss as a result of –</w:t>
      </w:r>
    </w:p>
    <w:p w:rsidR="000B6C72" w:rsidRPr="000B6C72" w:rsidRDefault="000B6C72" w:rsidP="00707A74">
      <w:pPr>
        <w:pStyle w:val="FootnoteText"/>
        <w:jc w:val="both"/>
        <w:rPr>
          <w:lang w:val="en-US"/>
        </w:rPr>
      </w:pPr>
      <w:r w:rsidRPr="00DF226D">
        <w:rPr>
          <w:i/>
          <w:iCs/>
          <w:color w:val="242121"/>
        </w:rPr>
        <w:t>(a)</w:t>
      </w:r>
      <w:r w:rsidR="00707A74">
        <w:rPr>
          <w:i/>
          <w:iCs/>
          <w:color w:val="242121"/>
        </w:rPr>
        <w:t xml:space="preserve"> </w:t>
      </w:r>
      <w:r w:rsidRPr="00DF226D">
        <w:rPr>
          <w:color w:val="242121"/>
        </w:rPr>
        <w:t>theft committed by a practising practitioner, his candidate attorney or his employee, of any money or other property entrusted by or on behalf of such persons to him or to his candidate attorney or employee in the course of his practice or while acting as executor or administrator in the estate of a deceased person or as a trustee in an insolvent estate or in any other similar capacity.’</w:t>
      </w:r>
    </w:p>
  </w:footnote>
  <w:footnote w:id="9">
    <w:p w:rsidR="000B6C72" w:rsidRPr="000B6C72" w:rsidRDefault="000B6C72" w:rsidP="000B6C72">
      <w:pPr>
        <w:pStyle w:val="FootnoteText"/>
        <w:jc w:val="both"/>
        <w:rPr>
          <w:lang w:val="en-US"/>
        </w:rPr>
      </w:pPr>
      <w:r>
        <w:rPr>
          <w:rStyle w:val="FootnoteReference"/>
        </w:rPr>
        <w:footnoteRef/>
      </w:r>
      <w:r>
        <w:t xml:space="preserve"> </w:t>
      </w:r>
      <w:r>
        <w:rPr>
          <w:lang w:val="en-US"/>
        </w:rPr>
        <w:t>See:</w:t>
      </w:r>
      <w:r w:rsidRPr="000B6C72">
        <w:rPr>
          <w:i/>
          <w:iCs/>
        </w:rPr>
        <w:t xml:space="preserve"> </w:t>
      </w:r>
      <w:r w:rsidRPr="00DF226D">
        <w:rPr>
          <w:i/>
          <w:iCs/>
        </w:rPr>
        <w:t xml:space="preserve">FirstRand Bank Limited v The Spar Group Limited </w:t>
      </w:r>
      <w:r w:rsidRPr="00DF226D">
        <w:t>[2021] ZASCA 20</w:t>
      </w:r>
      <w:r>
        <w:t xml:space="preserve">. There the SCA reiterated what courts had previously held, namely, that </w:t>
      </w:r>
      <w:r w:rsidR="00707A74">
        <w:t>that it is the bank</w:t>
      </w:r>
      <w:r w:rsidRPr="00DF226D">
        <w:t xml:space="preserve"> </w:t>
      </w:r>
      <w:r w:rsidR="00707A74">
        <w:t>(</w:t>
      </w:r>
      <w:r w:rsidRPr="00DF226D">
        <w:t>not the thief</w:t>
      </w:r>
      <w:r w:rsidR="00707A74">
        <w:t>)</w:t>
      </w:r>
      <w:r w:rsidRPr="00DF226D">
        <w:t xml:space="preserve"> that is enriched by the receipt of stolen funds and is therefore under a duty to restore the traceable proceeds of the stolen money</w:t>
      </w:r>
      <w:r>
        <w:t xml:space="preserve"> to the claimant. </w:t>
      </w:r>
      <w:r w:rsidRPr="00DF226D">
        <w:t>If stolen money is paid into a bank account to the credit of the thief, the thief has as little entitlement to the credit representing the money so paid into the bank account as he would have had in respect of the actual notes and coins paid into the bank account</w:t>
      </w:r>
      <w:r>
        <w:t xml:space="preserve"> </w:t>
      </w:r>
    </w:p>
  </w:footnote>
  <w:footnote w:id="10">
    <w:p w:rsidR="000B6C72" w:rsidRPr="000B6C72" w:rsidRDefault="000B6C72" w:rsidP="00707A74">
      <w:pPr>
        <w:pStyle w:val="FootnoteText"/>
        <w:rPr>
          <w:lang w:val="en-US"/>
        </w:rPr>
      </w:pPr>
      <w:r>
        <w:rPr>
          <w:rStyle w:val="FootnoteReference"/>
        </w:rPr>
        <w:footnoteRef/>
      </w:r>
      <w:r>
        <w:t xml:space="preserve"> </w:t>
      </w:r>
      <w:r w:rsidRPr="000B6C72">
        <w:rPr>
          <w:i/>
        </w:rPr>
        <w:t xml:space="preserve">Nissan </w:t>
      </w:r>
      <w:r w:rsidRPr="00DF226D">
        <w:rPr>
          <w:rFonts w:eastAsia="Times New Roman"/>
          <w:i/>
          <w:lang w:eastAsia="en-ZA"/>
        </w:rPr>
        <w:t>South Africa (Pty) Ltd. v Marnitz NO and Others (Stand 186 Aeroport (Pty) Ltd. Intervening)</w:t>
      </w:r>
      <w:r w:rsidRPr="00DF226D">
        <w:rPr>
          <w:rFonts w:eastAsia="Times New Roman"/>
          <w:lang w:eastAsia="en-ZA"/>
        </w:rPr>
        <w:t xml:space="preserve"> (27/2004) [2004] ZASCA 98; [2006] 4 All SA 120 (SCA); (1 October 2004)</w:t>
      </w:r>
      <w:r>
        <w:rPr>
          <w:rFonts w:eastAsia="Times New Roman"/>
          <w:lang w:eastAsia="en-ZA"/>
        </w:rPr>
        <w:t>, paras 16 &amp; 28</w:t>
      </w:r>
      <w:r w:rsidR="00707A74">
        <w:rPr>
          <w:rFonts w:eastAsia="Times New Roman"/>
          <w:lang w:eastAsia="en-ZA"/>
        </w:rPr>
        <w:t>.</w:t>
      </w:r>
    </w:p>
  </w:footnote>
  <w:footnote w:id="11">
    <w:p w:rsidR="000B6C72" w:rsidRPr="000B6C72" w:rsidRDefault="000B6C72" w:rsidP="000B6C72">
      <w:pPr>
        <w:pStyle w:val="FootnoteText"/>
        <w:jc w:val="both"/>
        <w:rPr>
          <w:lang w:val="en-US"/>
        </w:rPr>
      </w:pPr>
      <w:r>
        <w:rPr>
          <w:rStyle w:val="FootnoteReference"/>
        </w:rPr>
        <w:footnoteRef/>
      </w:r>
      <w:r>
        <w:t xml:space="preserve"> </w:t>
      </w:r>
      <w:r w:rsidRPr="00DF226D">
        <w:rPr>
          <w:i/>
        </w:rPr>
        <w:t>Absa Bank Ltd v Lombard Insurance Company Ltd, Firstrand Bank Ltd v Lombard Insurance Company Ltd</w:t>
      </w:r>
      <w:r w:rsidRPr="00DF226D">
        <w:t xml:space="preserve"> 2012 (6) SA 569 (SCA)</w:t>
      </w:r>
      <w:r>
        <w:t>, par 14.</w:t>
      </w:r>
    </w:p>
  </w:footnote>
  <w:footnote w:id="12">
    <w:p w:rsidR="00850EDE" w:rsidRDefault="00850EDE" w:rsidP="00850EDE">
      <w:pPr>
        <w:pStyle w:val="FootnoteText"/>
        <w:jc w:val="both"/>
      </w:pPr>
      <w:r>
        <w:rPr>
          <w:rStyle w:val="FootnoteReference"/>
        </w:rPr>
        <w:footnoteRef/>
      </w:r>
      <w:r>
        <w:t xml:space="preserve"> </w:t>
      </w:r>
      <w:r>
        <w:rPr>
          <w:lang w:val="en-US"/>
        </w:rPr>
        <w:t xml:space="preserve">In </w:t>
      </w:r>
      <w:r w:rsidRPr="00DF226D">
        <w:rPr>
          <w:i/>
          <w:iCs/>
        </w:rPr>
        <w:t xml:space="preserve">FirstRand Bank Limited v The Spar Group Limited </w:t>
      </w:r>
      <w:r w:rsidRPr="00DF226D">
        <w:t>[2021] ZASCA 20</w:t>
      </w:r>
      <w:r>
        <w:t>, the court remarked that i</w:t>
      </w:r>
      <w:r w:rsidRPr="00DF226D">
        <w:t xml:space="preserve">t is a key feature of the regime developed in the </w:t>
      </w:r>
      <w:r w:rsidRPr="00DF226D">
        <w:rPr>
          <w:i/>
          <w:iCs/>
        </w:rPr>
        <w:t>Perry</w:t>
      </w:r>
      <w:r w:rsidRPr="00DF226D">
        <w:t xml:space="preserve">, </w:t>
      </w:r>
      <w:r w:rsidRPr="00DF226D">
        <w:rPr>
          <w:i/>
          <w:iCs/>
        </w:rPr>
        <w:t xml:space="preserve">Nissan </w:t>
      </w:r>
      <w:r w:rsidRPr="00DF226D">
        <w:t xml:space="preserve">and </w:t>
      </w:r>
      <w:r w:rsidRPr="00DF226D">
        <w:rPr>
          <w:i/>
          <w:iCs/>
        </w:rPr>
        <w:t xml:space="preserve">Lombard </w:t>
      </w:r>
      <w:r w:rsidRPr="00DF226D">
        <w:t>cases that the claim to the credit balance in the thief’s bank account lies against the bank rather than the thief herself.</w:t>
      </w:r>
      <w:r>
        <w:t xml:space="preserve"> </w:t>
      </w:r>
      <w:r w:rsidRPr="00DF226D">
        <w:t xml:space="preserve">In the absence of any indebtedness to its client, his bank is enriched by the receipt of the funds. </w:t>
      </w:r>
    </w:p>
    <w:p w:rsidR="00850EDE" w:rsidRDefault="00850EDE" w:rsidP="00850EDE">
      <w:pPr>
        <w:pStyle w:val="FootnoteText"/>
        <w:jc w:val="both"/>
      </w:pPr>
    </w:p>
    <w:p w:rsidR="00850EDE" w:rsidRDefault="00850EDE" w:rsidP="00850EDE">
      <w:pPr>
        <w:pStyle w:val="FootnoteText"/>
        <w:jc w:val="both"/>
      </w:pPr>
      <w:r>
        <w:t xml:space="preserve">In par 63, the following was said: </w:t>
      </w:r>
    </w:p>
    <w:p w:rsidR="00850EDE" w:rsidRDefault="00850EDE" w:rsidP="00850EDE">
      <w:pPr>
        <w:pStyle w:val="FootnoteText"/>
        <w:jc w:val="both"/>
        <w:rPr>
          <w:color w:val="242121"/>
          <w:shd w:val="clear" w:color="auto" w:fill="FFFFFF"/>
          <w:lang w:val="en-US"/>
        </w:rPr>
      </w:pPr>
      <w:r>
        <w:t>“</w:t>
      </w:r>
      <w:r w:rsidRPr="00850EDE">
        <w:rPr>
          <w:color w:val="242121"/>
          <w:shd w:val="clear" w:color="auto" w:fill="FFFFFF"/>
          <w:lang w:val="en-US"/>
        </w:rPr>
        <w:t>It must be acknowledged, as</w:t>
      </w:r>
      <w:r w:rsidR="00F37E77">
        <w:rPr>
          <w:color w:val="242121"/>
          <w:shd w:val="clear" w:color="auto" w:fill="FFFFFF"/>
          <w:lang w:val="en-US"/>
        </w:rPr>
        <w:t xml:space="preserve"> </w:t>
      </w:r>
      <w:r w:rsidRPr="00850EDE">
        <w:rPr>
          <w:i/>
          <w:iCs/>
          <w:color w:val="242121"/>
          <w:shd w:val="clear" w:color="auto" w:fill="FFFFFF"/>
          <w:lang w:val="en-US"/>
        </w:rPr>
        <w:t>Perry NO’s</w:t>
      </w:r>
      <w:r w:rsidR="00F37E77">
        <w:rPr>
          <w:i/>
          <w:iCs/>
          <w:color w:val="242121"/>
          <w:shd w:val="clear" w:color="auto" w:fill="FFFFFF"/>
          <w:lang w:val="en-US"/>
        </w:rPr>
        <w:t xml:space="preserve"> </w:t>
      </w:r>
      <w:r w:rsidRPr="00850EDE">
        <w:rPr>
          <w:color w:val="242121"/>
          <w:shd w:val="clear" w:color="auto" w:fill="FFFFFF"/>
          <w:lang w:val="en-US"/>
        </w:rPr>
        <w:t>case illustrates, that there is no small measure of difficulty in determining what</w:t>
      </w:r>
      <w:r w:rsidR="00707A74">
        <w:rPr>
          <w:color w:val="242121"/>
          <w:shd w:val="clear" w:color="auto" w:fill="FFFFFF"/>
          <w:lang w:val="en-US"/>
        </w:rPr>
        <w:t xml:space="preserve"> </w:t>
      </w:r>
      <w:r w:rsidRPr="00850EDE">
        <w:rPr>
          <w:i/>
          <w:iCs/>
          <w:color w:val="242121"/>
          <w:shd w:val="clear" w:color="auto" w:fill="FFFFFF"/>
          <w:lang w:val="en-US"/>
        </w:rPr>
        <w:t>condictio</w:t>
      </w:r>
      <w:r w:rsidR="00707A74">
        <w:rPr>
          <w:color w:val="242121"/>
          <w:shd w:val="clear" w:color="auto" w:fill="FFFFFF"/>
          <w:lang w:val="en-US"/>
        </w:rPr>
        <w:t xml:space="preserve"> </w:t>
      </w:r>
      <w:r w:rsidRPr="00850EDE">
        <w:rPr>
          <w:color w:val="242121"/>
          <w:shd w:val="clear" w:color="auto" w:fill="FFFFFF"/>
          <w:lang w:val="en-US"/>
        </w:rPr>
        <w:t>would be of application. But the general principle is clear. Once the bank has no liability to its customer in respect of the deposits made, the bank is enriched. The bank owns the deposits, and its assets have increased at the expense of the third party, whose funds were deposited. The third party is thereby impoverished. Absent an order upon the bank to make payment to the third party, the court would countenance the bank’s unjust enrichment. The recognition of this unjust state of affairs has led our courts to recognise a remedy against the bank to pay to the third party the amount standing to the credit of its customer’s account, as was done in</w:t>
      </w:r>
      <w:r w:rsidR="00F37E77">
        <w:rPr>
          <w:color w:val="242121"/>
          <w:shd w:val="clear" w:color="auto" w:fill="FFFFFF"/>
          <w:lang w:val="en-US"/>
        </w:rPr>
        <w:t xml:space="preserve"> </w:t>
      </w:r>
      <w:r w:rsidRPr="00850EDE">
        <w:rPr>
          <w:i/>
          <w:iCs/>
          <w:color w:val="242121"/>
          <w:shd w:val="clear" w:color="auto" w:fill="FFFFFF"/>
          <w:lang w:val="en-US"/>
        </w:rPr>
        <w:t>Joint Stock.</w:t>
      </w:r>
      <w:r w:rsidR="00F37E77">
        <w:rPr>
          <w:i/>
          <w:iCs/>
          <w:color w:val="242121"/>
          <w:shd w:val="clear" w:color="auto" w:fill="FFFFFF"/>
          <w:lang w:val="en-US"/>
        </w:rPr>
        <w:t xml:space="preserve"> </w:t>
      </w:r>
      <w:r w:rsidRPr="00850EDE">
        <w:rPr>
          <w:color w:val="242121"/>
          <w:shd w:val="clear" w:color="auto" w:fill="FFFFFF"/>
          <w:lang w:val="en-US"/>
        </w:rPr>
        <w:t>That remedy is, in this case, appropriate too.</w:t>
      </w:r>
    </w:p>
    <w:p w:rsidR="00850EDE" w:rsidRDefault="00850EDE" w:rsidP="00850EDE">
      <w:pPr>
        <w:pStyle w:val="FootnoteText"/>
        <w:jc w:val="both"/>
        <w:rPr>
          <w:color w:val="242121"/>
          <w:shd w:val="clear" w:color="auto" w:fill="FFFFFF"/>
          <w:lang w:val="en-US"/>
        </w:rPr>
      </w:pPr>
    </w:p>
    <w:p w:rsidR="00850EDE" w:rsidRPr="00DF226D" w:rsidRDefault="00850EDE" w:rsidP="00850EDE">
      <w:pPr>
        <w:shd w:val="clear" w:color="auto" w:fill="FFFFFF"/>
        <w:spacing w:before="144" w:after="288"/>
        <w:jc w:val="both"/>
        <w:rPr>
          <w:rFonts w:ascii="Arial" w:hAnsi="Arial" w:cs="Arial"/>
          <w:color w:val="242121"/>
          <w:lang w:eastAsia="en-ZA"/>
        </w:rPr>
      </w:pPr>
      <w:r>
        <w:rPr>
          <w:color w:val="242121"/>
          <w:shd w:val="clear" w:color="auto" w:fill="FFFFFF"/>
          <w:lang w:val="en-US"/>
        </w:rPr>
        <w:t xml:space="preserve">As pointed out in </w:t>
      </w:r>
      <w:r w:rsidRPr="00DF226D">
        <w:rPr>
          <w:rFonts w:ascii="Arial" w:hAnsi="Arial" w:cs="Arial"/>
          <w:i/>
        </w:rPr>
        <w:t>First National Bank of Southern Africa Ltd v Perry NO and Others</w:t>
      </w:r>
      <w:r w:rsidRPr="00DF226D">
        <w:rPr>
          <w:rFonts w:ascii="Arial" w:hAnsi="Arial" w:cs="Arial"/>
        </w:rPr>
        <w:t xml:space="preserve"> (100/99) [2001] ZASCA 37; [2001] 3 All SA 331 (A) (26 March 2001)</w:t>
      </w:r>
      <w:r>
        <w:t xml:space="preserve"> at par 24, “...</w:t>
      </w:r>
      <w:r w:rsidR="00F37E77">
        <w:rPr>
          <w:rFonts w:ascii="Arial" w:hAnsi="Arial" w:cs="Arial"/>
          <w:color w:val="242121"/>
          <w:lang w:eastAsia="en-ZA"/>
        </w:rPr>
        <w:t xml:space="preserve">I think that the </w:t>
      </w:r>
      <w:r w:rsidRPr="00DF226D">
        <w:rPr>
          <w:rFonts w:ascii="Arial" w:hAnsi="Arial" w:cs="Arial"/>
          <w:i/>
          <w:iCs/>
          <w:color w:val="242121"/>
          <w:lang w:eastAsia="en-ZA"/>
        </w:rPr>
        <w:t>Digest</w:t>
      </w:r>
      <w:r w:rsidR="00F37E77">
        <w:rPr>
          <w:rFonts w:ascii="Arial" w:hAnsi="Arial" w:cs="Arial"/>
          <w:color w:val="242121"/>
          <w:lang w:eastAsia="en-ZA"/>
        </w:rPr>
        <w:t xml:space="preserve"> </w:t>
      </w:r>
      <w:r w:rsidRPr="00DF226D">
        <w:rPr>
          <w:rFonts w:ascii="Arial" w:hAnsi="Arial" w:cs="Arial"/>
          <w:color w:val="242121"/>
          <w:lang w:eastAsia="en-ZA"/>
        </w:rPr>
        <w:t>provides an appropriate point of departure</w:t>
      </w:r>
      <w:r w:rsidR="00F37E77">
        <w:rPr>
          <w:rFonts w:ascii="Arial" w:hAnsi="Arial" w:cs="Arial"/>
          <w:i/>
          <w:iCs/>
          <w:color w:val="242121"/>
          <w:lang w:eastAsia="en-ZA"/>
        </w:rPr>
        <w:t xml:space="preserve">. </w:t>
      </w:r>
      <w:r w:rsidRPr="00DF226D">
        <w:rPr>
          <w:rFonts w:ascii="Arial" w:hAnsi="Arial" w:cs="Arial"/>
          <w:color w:val="242121"/>
          <w:lang w:eastAsia="en-ZA"/>
        </w:rPr>
        <w:t>Book 12 title 5 is devoted to this </w:t>
      </w:r>
      <w:r w:rsidRPr="00DF226D">
        <w:rPr>
          <w:rFonts w:ascii="Arial" w:hAnsi="Arial" w:cs="Arial"/>
          <w:i/>
          <w:iCs/>
          <w:color w:val="242121"/>
          <w:lang w:eastAsia="en-ZA"/>
        </w:rPr>
        <w:t>condictio</w:t>
      </w:r>
      <w:r w:rsidRPr="00DF226D">
        <w:rPr>
          <w:rFonts w:ascii="Arial" w:hAnsi="Arial" w:cs="Arial"/>
          <w:color w:val="242121"/>
          <w:lang w:eastAsia="en-ZA"/>
        </w:rPr>
        <w:t>. D 12.5.6 in the Watson edition attributes the following to Ulpian:</w:t>
      </w:r>
    </w:p>
    <w:p w:rsidR="00850EDE" w:rsidRPr="00850EDE" w:rsidRDefault="00850EDE" w:rsidP="00850EDE">
      <w:pPr>
        <w:pStyle w:val="FootnoteText"/>
        <w:jc w:val="both"/>
        <w:rPr>
          <w:lang w:val="en-US"/>
        </w:rPr>
      </w:pPr>
      <w:r w:rsidRPr="00DF226D">
        <w:rPr>
          <w:rFonts w:eastAsia="Times New Roman"/>
          <w:color w:val="242121"/>
          <w:lang w:eastAsia="en-ZA"/>
        </w:rPr>
        <w:t>“Sabinus always said the early jurists</w:t>
      </w:r>
      <w:r w:rsidR="00F37E77">
        <w:rPr>
          <w:rFonts w:eastAsia="Times New Roman"/>
          <w:color w:val="242121"/>
          <w:lang w:eastAsia="en-ZA"/>
        </w:rPr>
        <w:t xml:space="preserve"> were right in holding that the </w:t>
      </w:r>
      <w:r w:rsidRPr="00DF226D">
        <w:rPr>
          <w:rFonts w:eastAsia="Times New Roman"/>
          <w:i/>
          <w:iCs/>
          <w:color w:val="242121"/>
          <w:lang w:eastAsia="en-ZA"/>
        </w:rPr>
        <w:t>condictio</w:t>
      </w:r>
      <w:r w:rsidR="00F37E77">
        <w:rPr>
          <w:rFonts w:eastAsia="Times New Roman"/>
          <w:color w:val="242121"/>
          <w:lang w:eastAsia="en-ZA"/>
        </w:rPr>
        <w:t xml:space="preserve"> </w:t>
      </w:r>
      <w:r w:rsidRPr="00DF226D">
        <w:rPr>
          <w:rFonts w:eastAsia="Times New Roman"/>
          <w:color w:val="242121"/>
          <w:lang w:eastAsia="en-ZA"/>
        </w:rPr>
        <w:t>would go for anything in someone’s hands on an unlawful basis. Celsus shares that view.”</w:t>
      </w:r>
    </w:p>
  </w:footnote>
  <w:footnote w:id="13">
    <w:p w:rsidR="000B6C72" w:rsidRPr="000B6C72" w:rsidRDefault="000B6C72">
      <w:pPr>
        <w:pStyle w:val="FootnoteText"/>
        <w:rPr>
          <w:lang w:val="en-US"/>
        </w:rPr>
      </w:pPr>
      <w:r>
        <w:rPr>
          <w:rStyle w:val="FootnoteReference"/>
        </w:rPr>
        <w:footnoteRef/>
      </w:r>
      <w:r>
        <w:t xml:space="preserve"> </w:t>
      </w:r>
      <w:r w:rsidRPr="0003076B">
        <w:rPr>
          <w:bCs/>
          <w:i/>
        </w:rPr>
        <w:t>Crots v Pretorius</w:t>
      </w:r>
      <w:r w:rsidRPr="0003076B">
        <w:rPr>
          <w:bCs/>
        </w:rPr>
        <w:t xml:space="preserve"> 2010 (6) SA 512 (SCA) par</w:t>
      </w:r>
      <w:r w:rsidR="0003076B" w:rsidRPr="0003076B">
        <w:rPr>
          <w:bCs/>
        </w:rPr>
        <w:t xml:space="preserve"> 3. See </w:t>
      </w:r>
      <w:r w:rsidR="0003076B" w:rsidRPr="0003076B">
        <w:rPr>
          <w:bCs/>
          <w:i/>
        </w:rPr>
        <w:t xml:space="preserve">John Bell &amp; Co Ltd v Esselen </w:t>
      </w:r>
      <w:r w:rsidR="0003076B" w:rsidRPr="0003076B">
        <w:rPr>
          <w:bCs/>
        </w:rPr>
        <w:t xml:space="preserve"> 1954 (1) SA 147 (A</w:t>
      </w:r>
      <w:r w:rsidR="0003076B">
        <w:rPr>
          <w:b/>
          <w:bCs/>
        </w:rPr>
        <w:t>)</w:t>
      </w:r>
      <w:r w:rsidR="0003076B">
        <w:rPr>
          <w:bCs/>
        </w:rPr>
        <w:t xml:space="preserve"> for the requirements of the claim, and further discussed in </w:t>
      </w:r>
      <w:r w:rsidR="0003076B">
        <w:rPr>
          <w:bCs/>
          <w:i/>
        </w:rPr>
        <w:t xml:space="preserve">First National Bank of southern Africa Ltd v </w:t>
      </w:r>
      <w:r w:rsidR="00707A74">
        <w:rPr>
          <w:bCs/>
          <w:i/>
        </w:rPr>
        <w:t>E</w:t>
      </w:r>
      <w:r w:rsidR="0003076B">
        <w:rPr>
          <w:bCs/>
          <w:i/>
        </w:rPr>
        <w:t xml:space="preserve">ast Coast Design CC and others </w:t>
      </w:r>
      <w:r w:rsidR="0003076B">
        <w:rPr>
          <w:bCs/>
        </w:rPr>
        <w:t xml:space="preserve"> 2000 (4) SA 137 (D).</w:t>
      </w:r>
    </w:p>
  </w:footnote>
  <w:footnote w:id="14">
    <w:p w:rsidR="000B6C72" w:rsidRPr="000B6C72" w:rsidRDefault="000B6C72">
      <w:pPr>
        <w:pStyle w:val="FootnoteText"/>
        <w:rPr>
          <w:lang w:val="en-US"/>
        </w:rPr>
      </w:pPr>
      <w:r>
        <w:rPr>
          <w:rStyle w:val="FootnoteReference"/>
        </w:rPr>
        <w:footnoteRef/>
      </w:r>
      <w:r>
        <w:t xml:space="preserve"> </w:t>
      </w:r>
      <w:r>
        <w:rPr>
          <w:lang w:val="en-US"/>
        </w:rPr>
        <w:t>Section 86(4) of the Legal practice Act, 28 of 2014.</w:t>
      </w:r>
    </w:p>
  </w:footnote>
  <w:footnote w:id="15">
    <w:p w:rsidR="000B6C72" w:rsidRPr="000B6C72" w:rsidRDefault="000B6C72">
      <w:pPr>
        <w:pStyle w:val="FootnoteText"/>
        <w:rPr>
          <w:lang w:val="en-US"/>
        </w:rPr>
      </w:pPr>
      <w:r>
        <w:rPr>
          <w:rStyle w:val="FootnoteReference"/>
        </w:rPr>
        <w:footnoteRef/>
      </w:r>
      <w:r>
        <w:t xml:space="preserve"> </w:t>
      </w:r>
      <w:r w:rsidRPr="000B6C72">
        <w:rPr>
          <w:i/>
        </w:rPr>
        <w:t>Fuhri v Geyser and Another</w:t>
      </w:r>
      <w:r>
        <w:rPr>
          <w:lang w:val="en-US"/>
        </w:rPr>
        <w:t xml:space="preserve"> 1979 (1) SA 747 (N) at 749 C-E</w:t>
      </w:r>
    </w:p>
  </w:footnote>
  <w:footnote w:id="16">
    <w:p w:rsidR="000B6C72" w:rsidRPr="000B6C72" w:rsidRDefault="000B6C72" w:rsidP="0003076B">
      <w:pPr>
        <w:pStyle w:val="FootnoteText"/>
        <w:jc w:val="both"/>
        <w:rPr>
          <w:lang w:val="en-US"/>
        </w:rPr>
      </w:pPr>
      <w:r>
        <w:rPr>
          <w:rStyle w:val="FootnoteReference"/>
        </w:rPr>
        <w:footnoteRef/>
      </w:r>
      <w:r>
        <w:t xml:space="preserve"> </w:t>
      </w:r>
      <w:r>
        <w:rPr>
          <w:lang w:val="en-US"/>
        </w:rPr>
        <w:t>See</w:t>
      </w:r>
      <w:r w:rsidR="0003076B">
        <w:rPr>
          <w:lang w:val="en-US"/>
        </w:rPr>
        <w:t>:</w:t>
      </w:r>
      <w:r>
        <w:rPr>
          <w:i/>
          <w:lang w:val="en-US"/>
        </w:rPr>
        <w:t xml:space="preserve"> Potgieter v Capricorn Beach Homeowners Association and Another </w:t>
      </w:r>
      <w:r>
        <w:rPr>
          <w:lang w:val="en-US"/>
        </w:rPr>
        <w:t xml:space="preserve"> [2012] ZAWCHC 66.</w:t>
      </w:r>
    </w:p>
  </w:footnote>
  <w:footnote w:id="17">
    <w:p w:rsidR="000B6C72" w:rsidRDefault="000B6C72" w:rsidP="0003076B">
      <w:pPr>
        <w:pStyle w:val="FootnoteText"/>
        <w:jc w:val="both"/>
      </w:pPr>
      <w:r>
        <w:rPr>
          <w:rStyle w:val="FootnoteReference"/>
        </w:rPr>
        <w:footnoteRef/>
      </w:r>
      <w:r>
        <w:t xml:space="preserve"> </w:t>
      </w:r>
      <w:r>
        <w:rPr>
          <w:lang w:val="en-US"/>
        </w:rPr>
        <w:t>See</w:t>
      </w:r>
      <w:r w:rsidR="0003076B">
        <w:rPr>
          <w:lang w:val="en-US"/>
        </w:rPr>
        <w:t>:</w:t>
      </w:r>
      <w:r>
        <w:rPr>
          <w:i/>
          <w:lang w:val="en-US"/>
        </w:rPr>
        <w:t xml:space="preserve"> Frikkie Pretorius Inc and Another v Glass </w:t>
      </w:r>
      <w:r>
        <w:rPr>
          <w:lang w:val="en-US"/>
        </w:rPr>
        <w:t xml:space="preserve"> 2011 (2) SA 407 KZP at par 19 and authority there cited.</w:t>
      </w:r>
      <w:r w:rsidR="0003076B">
        <w:rPr>
          <w:lang w:val="en-US"/>
        </w:rPr>
        <w:t xml:space="preserve"> See too: </w:t>
      </w:r>
      <w:r w:rsidR="0003076B">
        <w:rPr>
          <w:i/>
          <w:lang w:val="en-US"/>
        </w:rPr>
        <w:t xml:space="preserve">Law Society of the Cape of Good Hope v Appie </w:t>
      </w:r>
      <w:r w:rsidR="0003076B" w:rsidRPr="00DF226D">
        <w:t>(549/11) [2011] ZANCHC 34 (25 November 2011)</w:t>
      </w:r>
      <w:r w:rsidR="0003076B">
        <w:t xml:space="preserve">, where the following was said: </w:t>
      </w:r>
    </w:p>
    <w:p w:rsidR="0003076B" w:rsidRPr="000B6C72" w:rsidRDefault="0003076B" w:rsidP="0003076B">
      <w:pPr>
        <w:pStyle w:val="FootnoteText"/>
        <w:jc w:val="both"/>
        <w:rPr>
          <w:lang w:val="en-US"/>
        </w:rPr>
      </w:pPr>
      <w:r>
        <w:t>“</w:t>
      </w:r>
      <w:r w:rsidRPr="00DF226D">
        <w:rPr>
          <w:color w:val="242121"/>
        </w:rPr>
        <w:t xml:space="preserve">The principle emerging from our jurisprudence is that </w:t>
      </w:r>
      <w:r w:rsidRPr="00DF226D">
        <w:t>the utilisation of the funds in a trust account without the authority of the person on whose behalf the funds are held for purposes which do not benefit the beneficiary and in circumstances where the beneficiary or the benefactor has not authorised such use amounts to misappropriation of trust money, which in turn is a form of theft or even fraud</w:t>
      </w:r>
      <w:r>
        <w:rPr>
          <w:bCs/>
        </w:rPr>
        <w:t xml:space="preserve">. </w:t>
      </w:r>
      <w:r w:rsidRPr="00DF226D">
        <w:t>See</w:t>
      </w:r>
      <w:r>
        <w:t xml:space="preserve"> </w:t>
      </w:r>
      <w:r w:rsidRPr="00DF226D">
        <w:rPr>
          <w:bCs/>
          <w:i/>
          <w:iCs/>
        </w:rPr>
        <w:t>Law Society of t</w:t>
      </w:r>
      <w:r>
        <w:rPr>
          <w:bCs/>
          <w:i/>
          <w:iCs/>
        </w:rPr>
        <w:t xml:space="preserve">he Cape of Good Hope v Budricks </w:t>
      </w:r>
      <w:r w:rsidRPr="00DF226D">
        <w:t>supra at 17G-H;</w:t>
      </w:r>
      <w:r>
        <w:rPr>
          <w:bCs/>
          <w:i/>
          <w:iCs/>
        </w:rPr>
        <w:t xml:space="preserve">Cape Law Society v Parker </w:t>
      </w:r>
      <w:r w:rsidRPr="00DF226D">
        <w:rPr>
          <w:bCs/>
        </w:rPr>
        <w:t>2000 (1) SA 582 (C)</w:t>
      </w:r>
      <w:r w:rsidRPr="00DF226D">
        <w:t> at 586I-J and the definition of t</w:t>
      </w:r>
      <w:r>
        <w:t xml:space="preserve">heft and or misappropriation in </w:t>
      </w:r>
      <w:r>
        <w:rPr>
          <w:bCs/>
          <w:i/>
          <w:iCs/>
        </w:rPr>
        <w:t xml:space="preserve">Law Society, Cape v Koch </w:t>
      </w:r>
      <w:hyperlink r:id="rId1" w:tooltip="View LawCiteRecord" w:history="1">
        <w:r w:rsidRPr="00DF226D">
          <w:rPr>
            <w:rStyle w:val="Hyperlink"/>
            <w:bCs/>
            <w:color w:val="auto"/>
          </w:rPr>
          <w:t>1985 (4) SA 379</w:t>
        </w:r>
      </w:hyperlink>
      <w:r>
        <w:rPr>
          <w:bCs/>
          <w:u w:val="single"/>
        </w:rPr>
        <w:t xml:space="preserve"> </w:t>
      </w:r>
      <w:r w:rsidRPr="00DF226D">
        <w:rPr>
          <w:bCs/>
        </w:rPr>
        <w:t>(C)</w:t>
      </w:r>
      <w:r>
        <w:t xml:space="preserve"> </w:t>
      </w:r>
      <w:r w:rsidRPr="00DF226D">
        <w:t>at 382C-I</w:t>
      </w:r>
      <w:r w:rsidRPr="00DF226D">
        <w:rPr>
          <w:color w:val="242121"/>
        </w:rPr>
        <w:t>.</w:t>
      </w:r>
      <w:r>
        <w:rPr>
          <w:color w:val="242121"/>
        </w:rPr>
        <w:t>”</w:t>
      </w:r>
    </w:p>
  </w:footnote>
  <w:footnote w:id="18">
    <w:p w:rsidR="0003076B" w:rsidRPr="0003076B" w:rsidRDefault="0003076B" w:rsidP="0003076B">
      <w:pPr>
        <w:pStyle w:val="FootnoteText"/>
        <w:jc w:val="both"/>
        <w:rPr>
          <w:lang w:val="en-US"/>
        </w:rPr>
      </w:pPr>
      <w:r>
        <w:rPr>
          <w:rStyle w:val="FootnoteReference"/>
        </w:rPr>
        <w:footnoteRef/>
      </w:r>
      <w:r>
        <w:t xml:space="preserve"> The first respondent’s denial that he defrauded the applicant is untenable. He falsely misrepresented that a genuine settlement had been concluded in terms of which the applicant’s client had agreed to </w:t>
      </w:r>
      <w:r w:rsidR="00707A74">
        <w:t xml:space="preserve">make </w:t>
      </w:r>
      <w:r>
        <w:t xml:space="preserve">payment to Ms Nzimande, The misrepresentation was false and made deliberately, and induced the applicant to transfer trust funds to the first respondent pursuant to his forgery of the FNB letter in which he certified his own bank </w:t>
      </w:r>
      <w:r w:rsidR="00FD44E2">
        <w:t>a</w:t>
      </w:r>
      <w:r>
        <w:t>ccount as the designated account for payment. That this</w:t>
      </w:r>
      <w:r w:rsidR="00707A74">
        <w:t xml:space="preserve"> unlawful conduct</w:t>
      </w:r>
      <w:r>
        <w:t xml:space="preserve"> is what induced the applicant to erroneously pay the funds into the wrong account, to </w:t>
      </w:r>
      <w:r w:rsidR="00707A74">
        <w:t>its</w:t>
      </w:r>
      <w:r>
        <w:t xml:space="preserve"> prejudice, permits of no dispute. The first respondent intended that result and was well aware that he had no entitlement to the funds </w:t>
      </w:r>
    </w:p>
  </w:footnote>
  <w:footnote w:id="19">
    <w:p w:rsidR="0003076B" w:rsidRPr="0003076B" w:rsidRDefault="0003076B" w:rsidP="0003076B">
      <w:pPr>
        <w:pStyle w:val="FootnoteText"/>
        <w:jc w:val="both"/>
        <w:rPr>
          <w:lang w:val="en-US"/>
        </w:rPr>
      </w:pPr>
      <w:r>
        <w:rPr>
          <w:rStyle w:val="FootnoteReference"/>
        </w:rPr>
        <w:footnoteRef/>
      </w:r>
      <w:r>
        <w:t xml:space="preserve"> </w:t>
      </w:r>
      <w:r>
        <w:rPr>
          <w:lang w:val="en-US"/>
        </w:rPr>
        <w:t xml:space="preserve">See </w:t>
      </w:r>
      <w:r w:rsidRPr="00DF226D">
        <w:rPr>
          <w:i/>
        </w:rPr>
        <w:t>Fourie v Van der Spuy and De Jongh Inc. and Others</w:t>
      </w:r>
      <w:r w:rsidRPr="00DF226D">
        <w:t xml:space="preserve"> (65609/2019) [2019] ZAGPPHC 449; 2020 (1) SA 560 (GP) (30 August 2019)</w:t>
      </w:r>
      <w:r>
        <w:rPr>
          <w:b/>
          <w:bCs/>
        </w:rPr>
        <w:t xml:space="preserve"> </w:t>
      </w:r>
      <w:r w:rsidRPr="0003076B">
        <w:rPr>
          <w:bCs/>
        </w:rPr>
        <w:t>par 31</w:t>
      </w:r>
      <w:r>
        <w:rPr>
          <w:bCs/>
        </w:rPr>
        <w:t xml:space="preserve"> and the authority cited in par 21 of th</w:t>
      </w:r>
      <w:r w:rsidR="00707A74">
        <w:rPr>
          <w:bCs/>
        </w:rPr>
        <w:t>at</w:t>
      </w:r>
      <w:r>
        <w:rPr>
          <w:bCs/>
        </w:rPr>
        <w:t xml:space="preserve"> judgment.</w:t>
      </w:r>
    </w:p>
  </w:footnote>
  <w:footnote w:id="20">
    <w:p w:rsidR="0003076B" w:rsidRDefault="0003076B" w:rsidP="0003076B">
      <w:pPr>
        <w:pStyle w:val="FootnoteText"/>
        <w:rPr>
          <w:color w:val="000000"/>
        </w:rPr>
      </w:pPr>
      <w:r>
        <w:rPr>
          <w:rStyle w:val="FootnoteReference"/>
        </w:rPr>
        <w:footnoteRef/>
      </w:r>
      <w:r>
        <w:t xml:space="preserve"> </w:t>
      </w:r>
      <w:r>
        <w:rPr>
          <w:lang w:val="en-US"/>
        </w:rPr>
        <w:t>Section 21(1)(c) of the Superior Courts Act, which provides:</w:t>
      </w:r>
      <w:r w:rsidRPr="00D855BA">
        <w:rPr>
          <w:color w:val="000000"/>
        </w:rPr>
        <w:t xml:space="preserve"> </w:t>
      </w:r>
    </w:p>
    <w:p w:rsidR="0003076B" w:rsidRPr="00217A85" w:rsidRDefault="0003076B" w:rsidP="0003076B">
      <w:pPr>
        <w:spacing w:line="276" w:lineRule="auto"/>
        <w:ind w:left="426"/>
        <w:jc w:val="both"/>
        <w:rPr>
          <w:rFonts w:ascii="Arial" w:hAnsi="Arial" w:cs="Arial"/>
          <w:b/>
        </w:rPr>
      </w:pPr>
      <w:r w:rsidRPr="00217A85">
        <w:rPr>
          <w:rFonts w:ascii="Arial" w:hAnsi="Arial" w:cs="Arial"/>
        </w:rPr>
        <w:t>“</w:t>
      </w:r>
      <w:r w:rsidRPr="00217A85">
        <w:rPr>
          <w:rFonts w:ascii="Arial" w:hAnsi="Arial" w:cs="Arial"/>
          <w:b/>
        </w:rPr>
        <w:t>Persons over whom and matters in relation to which Divisions have jurisdiction</w:t>
      </w:r>
      <w:r w:rsidRPr="00217A85">
        <w:rPr>
          <w:rFonts w:ascii="Arial" w:hAnsi="Arial" w:cs="Arial"/>
        </w:rPr>
        <w:t xml:space="preserve"> </w:t>
      </w:r>
    </w:p>
    <w:p w:rsidR="0003076B" w:rsidRPr="00217A85" w:rsidRDefault="0003076B" w:rsidP="0003076B">
      <w:pPr>
        <w:spacing w:line="276" w:lineRule="auto"/>
        <w:ind w:left="993" w:hanging="567"/>
        <w:jc w:val="both"/>
        <w:rPr>
          <w:rFonts w:ascii="Arial" w:hAnsi="Arial" w:cs="Arial"/>
        </w:rPr>
      </w:pPr>
      <w:r>
        <w:rPr>
          <w:rFonts w:ascii="Arial" w:hAnsi="Arial" w:cs="Arial"/>
          <w:b/>
        </w:rPr>
        <w:t xml:space="preserve">21 </w:t>
      </w:r>
      <w:r w:rsidRPr="00217A85">
        <w:rPr>
          <w:rFonts w:ascii="Arial" w:hAnsi="Arial" w:cs="Arial"/>
        </w:rPr>
        <w:t xml:space="preserve">(1) </w:t>
      </w:r>
      <w:r w:rsidRPr="00217A85">
        <w:rPr>
          <w:rFonts w:ascii="Arial" w:hAnsi="Arial" w:cs="Arial"/>
          <w:u w:val="single"/>
        </w:rPr>
        <w:t xml:space="preserve">A Division has </w:t>
      </w:r>
      <w:r w:rsidRPr="00217A85">
        <w:rPr>
          <w:rFonts w:ascii="Arial" w:hAnsi="Arial" w:cs="Arial"/>
        </w:rPr>
        <w:t xml:space="preserve">jurisdiction over all persons residing in or being in, and in relation to all causes arising and all offences triable within, its area of jurisdiction and all other matters of which it may according to law take cognizance, </w:t>
      </w:r>
      <w:r w:rsidRPr="00AC0B13">
        <w:rPr>
          <w:rFonts w:ascii="Arial" w:hAnsi="Arial" w:cs="Arial"/>
        </w:rPr>
        <w:t>and has</w:t>
      </w:r>
      <w:r w:rsidRPr="00217A85">
        <w:rPr>
          <w:rFonts w:ascii="Arial" w:hAnsi="Arial" w:cs="Arial"/>
          <w:u w:val="single"/>
        </w:rPr>
        <w:t xml:space="preserve"> the power – </w:t>
      </w:r>
    </w:p>
    <w:p w:rsidR="0003076B" w:rsidRDefault="0003076B" w:rsidP="0003076B">
      <w:pPr>
        <w:spacing w:line="276" w:lineRule="auto"/>
        <w:ind w:left="993" w:hanging="284"/>
        <w:jc w:val="both"/>
        <w:rPr>
          <w:rFonts w:ascii="Arial" w:hAnsi="Arial" w:cs="Arial"/>
        </w:rPr>
      </w:pPr>
      <w:r w:rsidRPr="00217A85">
        <w:rPr>
          <w:rFonts w:ascii="Arial" w:hAnsi="Arial" w:cs="Arial"/>
        </w:rPr>
        <w:t xml:space="preserve">(c) </w:t>
      </w:r>
      <w:r w:rsidRPr="00217A85">
        <w:rPr>
          <w:rFonts w:ascii="Arial" w:hAnsi="Arial" w:cs="Arial"/>
          <w:u w:val="single"/>
        </w:rPr>
        <w:t xml:space="preserve">in its discretion, </w:t>
      </w:r>
      <w:r w:rsidRPr="00217A85">
        <w:rPr>
          <w:rFonts w:ascii="Arial" w:hAnsi="Arial" w:cs="Arial"/>
        </w:rPr>
        <w:t>and at the instances of any interested person, to enquire into and determine any existing, future, or contingent right or obligation, notwithstanding that such person cannot claim any relief consequential upon the determination.”</w:t>
      </w:r>
      <w:r>
        <w:rPr>
          <w:rFonts w:ascii="Arial" w:hAnsi="Arial" w:cs="Arial"/>
        </w:rPr>
        <w:t xml:space="preserve"> (Emphasis added)”</w:t>
      </w:r>
    </w:p>
    <w:p w:rsidR="0003076B" w:rsidRDefault="0003076B" w:rsidP="0003076B">
      <w:pPr>
        <w:pStyle w:val="FootnoteText"/>
        <w:spacing w:line="276" w:lineRule="auto"/>
        <w:jc w:val="both"/>
        <w:rPr>
          <w:lang w:val="en-US"/>
        </w:rPr>
      </w:pPr>
    </w:p>
    <w:p w:rsidR="0003076B" w:rsidRPr="00E07633" w:rsidRDefault="0003076B" w:rsidP="0003076B">
      <w:pPr>
        <w:spacing w:after="200" w:line="360" w:lineRule="auto"/>
        <w:jc w:val="both"/>
        <w:rPr>
          <w:rFonts w:ascii="Arial" w:hAnsi="Arial" w:cs="Arial"/>
        </w:rPr>
      </w:pPr>
      <w:r w:rsidRPr="00E07633">
        <w:rPr>
          <w:rFonts w:ascii="Arial" w:hAnsi="Arial" w:cs="Arial"/>
        </w:rPr>
        <w:t xml:space="preserve">As pointed out by the Constitutional court in </w:t>
      </w:r>
      <w:r w:rsidRPr="00E07633">
        <w:rPr>
          <w:rFonts w:ascii="Arial" w:hAnsi="Arial" w:cs="Arial"/>
          <w:i/>
        </w:rPr>
        <w:t>JT Publishing (Pty) Ltd &amp; Another v Minister of Safety &amp; Security:</w:t>
      </w:r>
      <w:r w:rsidRPr="00E07633">
        <w:rPr>
          <w:rStyle w:val="FootnoteReference"/>
          <w:rFonts w:ascii="Arial" w:hAnsi="Arial" w:cs="Arial"/>
          <w:i/>
        </w:rPr>
        <w:footnoteRef/>
      </w:r>
      <w:r w:rsidRPr="00E07633">
        <w:rPr>
          <w:rFonts w:ascii="Arial" w:hAnsi="Arial" w:cs="Arial"/>
        </w:rPr>
        <w:t xml:space="preserve"> </w:t>
      </w:r>
    </w:p>
    <w:p w:rsidR="0003076B" w:rsidRPr="005B2C24" w:rsidRDefault="0003076B" w:rsidP="0003076B">
      <w:pPr>
        <w:pStyle w:val="FootnoteText"/>
        <w:spacing w:line="276" w:lineRule="auto"/>
        <w:jc w:val="both"/>
        <w:rPr>
          <w:lang w:val="en-US"/>
        </w:rPr>
      </w:pPr>
      <w:r w:rsidRPr="00E07633">
        <w:t>“</w:t>
      </w:r>
      <w:r w:rsidRPr="00E07633">
        <w:rPr>
          <w:i/>
        </w:rPr>
        <w:t xml:space="preserve">I interpose that enquiry because a declaratory order is a discretionary remedy, in the sense that the claim lodged by an interested party for such an order does not in itself oblige the Court handling the matter to respond to the question which it poses, even when that looks like being capable of a ready answer.  A corollary is the judicial policy governing the discretion thus vested in the Courts, a well-established and uniformly observed policy which directs them not to exercise it in favour of deciding points that are merely abstract, academic or </w:t>
      </w:r>
      <w:r w:rsidRPr="00AC0B13">
        <w:rPr>
          <w:i/>
        </w:rPr>
        <w:t>h</w:t>
      </w:r>
      <w:r w:rsidRPr="00E07633">
        <w:rPr>
          <w:i/>
        </w:rPr>
        <w:t>ypothetical ones. I see no reason why this new Court of ours should not adhere in turn to a rule that sounds so sensible.  Its provenance lies in the intrinsic character and object of the remedy, after all, rather than some jurisdictional concept peculiar to the work of the Supreme Court or otherwise foreign to that performed here</w:t>
      </w:r>
      <w:r w:rsidRPr="00E07633">
        <w:t>.”</w:t>
      </w:r>
    </w:p>
  </w:footnote>
  <w:footnote w:id="21">
    <w:p w:rsidR="0003076B" w:rsidRDefault="0003076B" w:rsidP="0003076B">
      <w:pPr>
        <w:pStyle w:val="FootnoteText"/>
        <w:jc w:val="both"/>
        <w:rPr>
          <w:color w:val="242121"/>
          <w:shd w:val="clear" w:color="auto" w:fill="FFFFFF"/>
        </w:rPr>
      </w:pPr>
      <w:r>
        <w:rPr>
          <w:rStyle w:val="FootnoteReference"/>
        </w:rPr>
        <w:footnoteRef/>
      </w:r>
      <w:r>
        <w:t xml:space="preserve"> </w:t>
      </w:r>
      <w:r w:rsidRPr="008D7697">
        <w:rPr>
          <w:i/>
          <w:iCs/>
          <w:color w:val="242121"/>
          <w:shd w:val="clear" w:color="auto" w:fill="FFFFFF"/>
        </w:rPr>
        <w:t>Cordiant Trading CC v Daimler Chrysler Financial Services (Pty) Ltd</w:t>
      </w:r>
      <w:r>
        <w:rPr>
          <w:i/>
          <w:iCs/>
          <w:color w:val="242121"/>
          <w:shd w:val="clear" w:color="auto" w:fill="FFFFFF"/>
        </w:rPr>
        <w:t xml:space="preserve"> </w:t>
      </w:r>
      <w:hyperlink r:id="rId2" w:tooltip="View LawCiteRecord" w:history="1">
        <w:r w:rsidRPr="0003076B">
          <w:rPr>
            <w:rStyle w:val="Hyperlink"/>
            <w:bCs/>
            <w:u w:val="none"/>
            <w:shd w:val="clear" w:color="auto" w:fill="FFFFFF"/>
          </w:rPr>
          <w:t>2</w:t>
        </w:r>
        <w:r w:rsidRPr="00850EDE">
          <w:rPr>
            <w:rStyle w:val="Hyperlink"/>
            <w:bCs/>
            <w:color w:val="auto"/>
            <w:u w:val="none"/>
            <w:shd w:val="clear" w:color="auto" w:fill="FFFFFF"/>
          </w:rPr>
          <w:t>005 (6) SA 205</w:t>
        </w:r>
      </w:hyperlink>
      <w:r>
        <w:rPr>
          <w:color w:val="242121"/>
          <w:shd w:val="clear" w:color="auto" w:fill="FFFFFF"/>
        </w:rPr>
        <w:t xml:space="preserve"> (SCA) para 16-18, where the following was said:</w:t>
      </w:r>
    </w:p>
    <w:p w:rsidR="0003076B" w:rsidRPr="00850EDE" w:rsidRDefault="0003076B" w:rsidP="0003076B">
      <w:pPr>
        <w:jc w:val="both"/>
        <w:rPr>
          <w:rStyle w:val="hgkelc"/>
          <w:rFonts w:ascii="Arial" w:hAnsi="Arial" w:cs="Arial"/>
          <w:color w:val="202124"/>
          <w:shd w:val="clear" w:color="auto" w:fill="FFFFFF"/>
          <w:lang w:val="en"/>
        </w:rPr>
      </w:pPr>
    </w:p>
    <w:p w:rsidR="0003076B" w:rsidRPr="00DF226D" w:rsidRDefault="0003076B" w:rsidP="0003076B">
      <w:pPr>
        <w:jc w:val="both"/>
        <w:rPr>
          <w:rFonts w:ascii="Arial" w:hAnsi="Arial" w:cs="Arial"/>
          <w:color w:val="242121"/>
          <w:shd w:val="clear" w:color="auto" w:fill="FFFFFF"/>
        </w:rPr>
      </w:pPr>
      <w:r>
        <w:rPr>
          <w:rFonts w:ascii="Arial" w:hAnsi="Arial" w:cs="Arial"/>
          <w:color w:val="242121"/>
          <w:shd w:val="clear" w:color="auto" w:fill="FFFFFF"/>
        </w:rPr>
        <w:t>“</w:t>
      </w:r>
      <w:r w:rsidRPr="00DF226D">
        <w:rPr>
          <w:rFonts w:ascii="Arial" w:hAnsi="Arial" w:cs="Arial"/>
          <w:color w:val="242121"/>
          <w:shd w:val="clear" w:color="auto" w:fill="FFFFFF"/>
        </w:rPr>
        <w:t>[16] Although the existence of a dispute between the parties is not a prerequisite for the exercise of the power conferred upon the High Court by the subsection, at least there must be interested parties on whom the declaratory order would be binding. The applicant in a case such as the present must satisfy the court that he/she is a person interested in an ‘existing, future or contingent right or obligation’ and nothing more is required (</w:t>
      </w:r>
      <w:r w:rsidRPr="00DF226D">
        <w:rPr>
          <w:rFonts w:ascii="Arial" w:hAnsi="Arial" w:cs="Arial"/>
          <w:i/>
          <w:iCs/>
          <w:color w:val="242121"/>
          <w:shd w:val="clear" w:color="auto" w:fill="FFFFFF"/>
        </w:rPr>
        <w:t>Shoba v Officer Commanding, Temporary Police Camp, Wagendrif Dam</w:t>
      </w:r>
      <w:r w:rsidR="00D1796C">
        <w:rPr>
          <w:rFonts w:ascii="Arial" w:hAnsi="Arial" w:cs="Arial"/>
          <w:i/>
          <w:iCs/>
          <w:color w:val="242121"/>
          <w:shd w:val="clear" w:color="auto" w:fill="FFFFFF"/>
        </w:rPr>
        <w:t xml:space="preserve"> </w:t>
      </w:r>
      <w:hyperlink r:id="rId3" w:tooltip="View LawCiteRecord" w:history="1">
        <w:r w:rsidRPr="00D1796C">
          <w:rPr>
            <w:rStyle w:val="Hyperlink"/>
            <w:rFonts w:ascii="Arial" w:eastAsiaTheme="majorEastAsia" w:hAnsi="Arial" w:cs="Arial"/>
            <w:bCs/>
            <w:color w:val="auto"/>
            <w:u w:val="none"/>
            <w:shd w:val="clear" w:color="auto" w:fill="FFFFFF"/>
          </w:rPr>
          <w:t>1995 (4) SA 1</w:t>
        </w:r>
      </w:hyperlink>
      <w:r w:rsidR="00D1796C" w:rsidRPr="00D1796C">
        <w:rPr>
          <w:rFonts w:ascii="Arial" w:hAnsi="Arial" w:cs="Arial"/>
        </w:rPr>
        <w:t xml:space="preserve"> </w:t>
      </w:r>
      <w:r w:rsidRPr="00DF226D">
        <w:rPr>
          <w:rFonts w:ascii="Arial" w:hAnsi="Arial" w:cs="Arial"/>
          <w:color w:val="242121"/>
          <w:shd w:val="clear" w:color="auto" w:fill="FFFFFF"/>
        </w:rPr>
        <w:t>(A) at 14F)...</w:t>
      </w:r>
    </w:p>
    <w:p w:rsidR="0003076B" w:rsidRPr="00DF226D" w:rsidRDefault="0003076B" w:rsidP="0003076B">
      <w:pPr>
        <w:jc w:val="both"/>
        <w:rPr>
          <w:rFonts w:ascii="Arial" w:hAnsi="Arial" w:cs="Arial"/>
          <w:color w:val="242121"/>
          <w:shd w:val="clear" w:color="auto" w:fill="FFFFFF"/>
        </w:rPr>
      </w:pPr>
      <w:r w:rsidRPr="00DF226D">
        <w:rPr>
          <w:rFonts w:ascii="Arial" w:hAnsi="Arial" w:cs="Arial"/>
          <w:color w:val="242121"/>
          <w:shd w:val="clear" w:color="auto" w:fill="FFFFFF"/>
        </w:rPr>
        <w:t>[17] It seems to me that once the applicant has satisfied the court that he/she is interested in an ‘existing, future or contingent right or obligation’, the court is obliged by the subsection to exercise its discretion. This does not, however, mean that the court is bound to grant a declarator but that it must consider and decide whether it should refuse or grant the order, following an examination of all relevant factors...</w:t>
      </w:r>
    </w:p>
    <w:p w:rsidR="0003076B" w:rsidRPr="0003076B" w:rsidRDefault="0003076B" w:rsidP="0003076B">
      <w:pPr>
        <w:pStyle w:val="FootnoteText"/>
        <w:jc w:val="both"/>
        <w:rPr>
          <w:lang w:val="en-US"/>
        </w:rPr>
      </w:pPr>
      <w:r w:rsidRPr="00DF226D">
        <w:rPr>
          <w:color w:val="242121"/>
          <w:shd w:val="clear" w:color="auto" w:fill="FFFFFF"/>
        </w:rPr>
        <w:t>[18] Put differently, the two-stage approach under the subsection consists of the following. During the first leg of the enquiry the court must be satisfied that the applicant has an interest in an ‘existing, future or contingent right or obligation’. At this stage the focus is only upon establishing that the necessary conditions precedent for the exercise of the court’s discretion exist. If the court is satisfied that the existence of such conditions has been proved, it has to exercise the discretion by deciding either to refuse or grant the order sought. The consideration of whether or not to grant the order constitutes the second leg of the enquiry.</w:t>
      </w:r>
      <w:r>
        <w:rPr>
          <w:color w:val="242121"/>
          <w:shd w:val="clear" w:color="auto" w:fill="FFFFFF"/>
        </w:rPr>
        <w:t>”</w:t>
      </w:r>
    </w:p>
  </w:footnote>
  <w:footnote w:id="22">
    <w:p w:rsidR="0003076B" w:rsidRPr="0003076B" w:rsidRDefault="0003076B" w:rsidP="0003076B">
      <w:pPr>
        <w:pStyle w:val="FootnoteText"/>
        <w:jc w:val="both"/>
        <w:rPr>
          <w:i/>
          <w:lang w:val="en-US"/>
        </w:rPr>
      </w:pPr>
      <w:r>
        <w:rPr>
          <w:rStyle w:val="FootnoteReference"/>
        </w:rPr>
        <w:footnoteRef/>
      </w:r>
      <w:r>
        <w:t xml:space="preserve"> </w:t>
      </w:r>
      <w:r>
        <w:rPr>
          <w:lang w:val="en-US"/>
        </w:rPr>
        <w:t xml:space="preserve">See fn 7 above. See too: </w:t>
      </w:r>
      <w:r>
        <w:rPr>
          <w:i/>
          <w:lang w:val="en-US"/>
        </w:rPr>
        <w:t xml:space="preserve">Incorporated Law Society, Transvaal v Viljoen </w:t>
      </w:r>
      <w:r>
        <w:rPr>
          <w:lang w:val="en-US"/>
        </w:rPr>
        <w:t xml:space="preserve"> 1958 (4) SA 115 (T) where the court held that when trust </w:t>
      </w:r>
      <w:r w:rsidR="00D1796C">
        <w:rPr>
          <w:lang w:val="en-US"/>
        </w:rPr>
        <w:t>m</w:t>
      </w:r>
      <w:r>
        <w:rPr>
          <w:lang w:val="en-US"/>
        </w:rPr>
        <w:t>oney is handed to a firm, it is the duty of the firm to keep it in possession and to use it for</w:t>
      </w:r>
      <w:r w:rsidR="00D1796C">
        <w:rPr>
          <w:lang w:val="en-US"/>
        </w:rPr>
        <w:t xml:space="preserve"> </w:t>
      </w:r>
      <w:r>
        <w:rPr>
          <w:lang w:val="en-US"/>
        </w:rPr>
        <w:t>no other purpose tha</w:t>
      </w:r>
      <w:r w:rsidR="00D1796C">
        <w:rPr>
          <w:lang w:val="en-US"/>
        </w:rPr>
        <w:t>n</w:t>
      </w:r>
      <w:r>
        <w:rPr>
          <w:lang w:val="en-US"/>
        </w:rPr>
        <w:t xml:space="preserve"> that of the trust. In the context of the present case, this means that </w:t>
      </w:r>
      <w:r w:rsidR="00FD44E2">
        <w:rPr>
          <w:lang w:val="en-US"/>
        </w:rPr>
        <w:t xml:space="preserve">trust </w:t>
      </w:r>
      <w:r>
        <w:rPr>
          <w:lang w:val="en-US"/>
        </w:rPr>
        <w:t>monies held by t</w:t>
      </w:r>
      <w:r w:rsidR="00D1796C">
        <w:rPr>
          <w:lang w:val="en-US"/>
        </w:rPr>
        <w:t>h</w:t>
      </w:r>
      <w:r>
        <w:rPr>
          <w:lang w:val="en-US"/>
        </w:rPr>
        <w:t>e applicant were for the purpose directed by its client</w:t>
      </w:r>
      <w:r w:rsidR="00FD44E2">
        <w:rPr>
          <w:lang w:val="en-US"/>
        </w:rPr>
        <w:t xml:space="preserve"> -</w:t>
      </w:r>
      <w:r>
        <w:rPr>
          <w:lang w:val="en-US"/>
        </w:rPr>
        <w:t xml:space="preserve"> Eskom.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2887"/>
      <w:docPartObj>
        <w:docPartGallery w:val="Page Numbers (Top of Page)"/>
        <w:docPartUnique/>
      </w:docPartObj>
    </w:sdtPr>
    <w:sdtEndPr>
      <w:rPr>
        <w:noProof/>
      </w:rPr>
    </w:sdtEndPr>
    <w:sdtContent>
      <w:p w:rsidR="00B932F8" w:rsidRDefault="00956C9F">
        <w:pPr>
          <w:pStyle w:val="Header"/>
          <w:jc w:val="right"/>
        </w:pPr>
        <w:r>
          <w:fldChar w:fldCharType="begin"/>
        </w:r>
        <w:r>
          <w:instrText xml:space="preserve"> PAGE   \* MERGEFORMAT </w:instrText>
        </w:r>
        <w:r>
          <w:fldChar w:fldCharType="separate"/>
        </w:r>
        <w:r w:rsidR="00283F95">
          <w:rPr>
            <w:noProof/>
          </w:rPr>
          <w:t>2</w:t>
        </w:r>
        <w:r>
          <w:rPr>
            <w:noProof/>
          </w:rPr>
          <w:fldChar w:fldCharType="end"/>
        </w:r>
      </w:p>
    </w:sdtContent>
  </w:sdt>
  <w:p w:rsidR="00B932F8" w:rsidRDefault="00621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4826"/>
      <w:docPartObj>
        <w:docPartGallery w:val="Page Numbers (Top of Page)"/>
        <w:docPartUnique/>
      </w:docPartObj>
    </w:sdtPr>
    <w:sdtEndPr>
      <w:rPr>
        <w:noProof/>
      </w:rPr>
    </w:sdtEndPr>
    <w:sdtContent>
      <w:p w:rsidR="00DC4477" w:rsidRDefault="00DC4477">
        <w:pPr>
          <w:pStyle w:val="Header"/>
          <w:jc w:val="right"/>
        </w:pPr>
        <w:r>
          <w:fldChar w:fldCharType="begin"/>
        </w:r>
        <w:r>
          <w:instrText xml:space="preserve"> PAGE   \* MERGEFORMAT </w:instrText>
        </w:r>
        <w:r>
          <w:fldChar w:fldCharType="separate"/>
        </w:r>
        <w:r w:rsidR="00283F95">
          <w:rPr>
            <w:noProof/>
          </w:rPr>
          <w:t>1</w:t>
        </w:r>
        <w:r>
          <w:rPr>
            <w:noProof/>
          </w:rPr>
          <w:fldChar w:fldCharType="end"/>
        </w:r>
      </w:p>
    </w:sdtContent>
  </w:sdt>
  <w:p w:rsidR="00B932F8" w:rsidRDefault="00621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73B3E"/>
    <w:multiLevelType w:val="hybridMultilevel"/>
    <w:tmpl w:val="A1BC3910"/>
    <w:lvl w:ilvl="0" w:tplc="137A7CD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2">
    <w:nsid w:val="50F7650A"/>
    <w:multiLevelType w:val="multilevel"/>
    <w:tmpl w:val="FBFA6894"/>
    <w:numStyleLink w:val="Style3"/>
  </w:abstractNum>
  <w:abstractNum w:abstractNumId="3">
    <w:nsid w:val="65134638"/>
    <w:multiLevelType w:val="hybridMultilevel"/>
    <w:tmpl w:val="25BC0C86"/>
    <w:lvl w:ilvl="0" w:tplc="A0A2D8AE">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D0"/>
    <w:rsid w:val="0003076B"/>
    <w:rsid w:val="00033A4B"/>
    <w:rsid w:val="000B5BD4"/>
    <w:rsid w:val="000B6C72"/>
    <w:rsid w:val="00134981"/>
    <w:rsid w:val="00263E25"/>
    <w:rsid w:val="00283F95"/>
    <w:rsid w:val="00353CD0"/>
    <w:rsid w:val="004C1FC5"/>
    <w:rsid w:val="005D6CF4"/>
    <w:rsid w:val="00607245"/>
    <w:rsid w:val="00621A49"/>
    <w:rsid w:val="00707A74"/>
    <w:rsid w:val="00770E2C"/>
    <w:rsid w:val="007E029B"/>
    <w:rsid w:val="00850EDE"/>
    <w:rsid w:val="00956C9F"/>
    <w:rsid w:val="00963309"/>
    <w:rsid w:val="00A67D36"/>
    <w:rsid w:val="00B4603B"/>
    <w:rsid w:val="00D1796C"/>
    <w:rsid w:val="00D5571D"/>
    <w:rsid w:val="00DA048F"/>
    <w:rsid w:val="00DC4477"/>
    <w:rsid w:val="00E76C9D"/>
    <w:rsid w:val="00F37E77"/>
    <w:rsid w:val="00F432F9"/>
    <w:rsid w:val="00F77183"/>
    <w:rsid w:val="00FA263C"/>
    <w:rsid w:val="00FD44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13D88-BE48-4688-A000-84A1FB1B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CD0"/>
    <w:pPr>
      <w:spacing w:after="0" w:line="240" w:lineRule="auto"/>
    </w:pPr>
    <w:rPr>
      <w:rFonts w:ascii="Verdana" w:eastAsia="Times New Roman" w:hAnsi="Verdana" w:cs="Times New Roman"/>
      <w:sz w:val="20"/>
      <w:szCs w:val="20"/>
      <w:lang w:val="en-GB" w:eastAsia="en-GB"/>
    </w:rPr>
  </w:style>
  <w:style w:type="paragraph" w:styleId="Heading2">
    <w:name w:val="heading 2"/>
    <w:basedOn w:val="Normal"/>
    <w:next w:val="Normal"/>
    <w:link w:val="Heading2Char"/>
    <w:uiPriority w:val="9"/>
    <w:unhideWhenUsed/>
    <w:qFormat/>
    <w:rsid w:val="000B6C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3C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CD0"/>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353CD0"/>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
    <w:basedOn w:val="Normal"/>
    <w:link w:val="FootnoteTextChar"/>
    <w:uiPriority w:val="99"/>
    <w:unhideWhenUsed/>
    <w:rsid w:val="00353CD0"/>
    <w:rPr>
      <w:rFonts w:ascii="Arial" w:eastAsiaTheme="minorHAnsi" w:hAnsi="Arial" w:cs="Arial"/>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353CD0"/>
    <w:rPr>
      <w:rFonts w:ascii="Arial" w:hAnsi="Arial" w:cs="Arial"/>
      <w:sz w:val="20"/>
      <w:szCs w:val="20"/>
      <w:lang w:val="en-GB"/>
    </w:rPr>
  </w:style>
  <w:style w:type="character" w:styleId="FootnoteReference">
    <w:name w:val="footnote reference"/>
    <w:basedOn w:val="DefaultParagraphFont"/>
    <w:uiPriority w:val="99"/>
    <w:semiHidden/>
    <w:unhideWhenUsed/>
    <w:rsid w:val="00353CD0"/>
    <w:rPr>
      <w:vertAlign w:val="superscript"/>
    </w:rPr>
  </w:style>
  <w:style w:type="numbering" w:customStyle="1" w:styleId="Style3">
    <w:name w:val="Style3"/>
    <w:rsid w:val="00353CD0"/>
    <w:pPr>
      <w:numPr>
        <w:numId w:val="2"/>
      </w:numPr>
    </w:pPr>
  </w:style>
  <w:style w:type="paragraph" w:styleId="NormalWeb">
    <w:name w:val="Normal (Web)"/>
    <w:basedOn w:val="Normal"/>
    <w:uiPriority w:val="99"/>
    <w:unhideWhenUsed/>
    <w:rsid w:val="00353CD0"/>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353CD0"/>
    <w:pPr>
      <w:tabs>
        <w:tab w:val="center" w:pos="4513"/>
        <w:tab w:val="right" w:pos="9026"/>
      </w:tabs>
    </w:pPr>
  </w:style>
  <w:style w:type="character" w:customStyle="1" w:styleId="HeaderChar">
    <w:name w:val="Header Char"/>
    <w:basedOn w:val="DefaultParagraphFont"/>
    <w:link w:val="Header"/>
    <w:uiPriority w:val="99"/>
    <w:rsid w:val="00353CD0"/>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353CD0"/>
    <w:pPr>
      <w:tabs>
        <w:tab w:val="center" w:pos="4513"/>
        <w:tab w:val="right" w:pos="9026"/>
      </w:tabs>
    </w:pPr>
  </w:style>
  <w:style w:type="character" w:customStyle="1" w:styleId="FooterChar">
    <w:name w:val="Footer Char"/>
    <w:basedOn w:val="DefaultParagraphFont"/>
    <w:link w:val="Footer"/>
    <w:uiPriority w:val="99"/>
    <w:rsid w:val="00353CD0"/>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353CD0"/>
    <w:rPr>
      <w:color w:val="0000FF"/>
      <w:u w:val="single"/>
    </w:rPr>
  </w:style>
  <w:style w:type="paragraph" w:customStyle="1" w:styleId="western">
    <w:name w:val="western"/>
    <w:basedOn w:val="Normal"/>
    <w:rsid w:val="00353CD0"/>
    <w:pPr>
      <w:spacing w:before="100" w:beforeAutospacing="1" w:after="100" w:afterAutospacing="1"/>
    </w:pPr>
    <w:rPr>
      <w:rFonts w:ascii="Times New Roman" w:hAnsi="Times New Roman"/>
      <w:sz w:val="24"/>
      <w:szCs w:val="24"/>
      <w:lang w:val="en-ZA" w:eastAsia="en-ZA"/>
    </w:rPr>
  </w:style>
  <w:style w:type="paragraph" w:styleId="BalloonText">
    <w:name w:val="Balloon Text"/>
    <w:basedOn w:val="Normal"/>
    <w:link w:val="BalloonTextChar"/>
    <w:uiPriority w:val="99"/>
    <w:semiHidden/>
    <w:unhideWhenUsed/>
    <w:rsid w:val="00353CD0"/>
    <w:rPr>
      <w:rFonts w:ascii="Tahoma" w:hAnsi="Tahoma" w:cs="Tahoma"/>
      <w:sz w:val="16"/>
      <w:szCs w:val="16"/>
    </w:rPr>
  </w:style>
  <w:style w:type="character" w:customStyle="1" w:styleId="BalloonTextChar">
    <w:name w:val="Balloon Text Char"/>
    <w:basedOn w:val="DefaultParagraphFont"/>
    <w:link w:val="BalloonText"/>
    <w:uiPriority w:val="99"/>
    <w:semiHidden/>
    <w:rsid w:val="00353CD0"/>
    <w:rPr>
      <w:rFonts w:ascii="Tahoma" w:eastAsia="Times New Roman" w:hAnsi="Tahoma" w:cs="Tahoma"/>
      <w:sz w:val="16"/>
      <w:szCs w:val="16"/>
      <w:lang w:val="en-GB" w:eastAsia="en-GB"/>
    </w:rPr>
  </w:style>
  <w:style w:type="character" w:styleId="Strong">
    <w:name w:val="Strong"/>
    <w:basedOn w:val="DefaultParagraphFont"/>
    <w:uiPriority w:val="22"/>
    <w:qFormat/>
    <w:rsid w:val="000B6C72"/>
    <w:rPr>
      <w:b/>
      <w:bCs/>
    </w:rPr>
  </w:style>
  <w:style w:type="character" w:styleId="FollowedHyperlink">
    <w:name w:val="FollowedHyperlink"/>
    <w:basedOn w:val="DefaultParagraphFont"/>
    <w:uiPriority w:val="99"/>
    <w:semiHidden/>
    <w:unhideWhenUsed/>
    <w:rsid w:val="000B6C72"/>
    <w:rPr>
      <w:color w:val="800080" w:themeColor="followedHyperlink"/>
      <w:u w:val="single"/>
    </w:rPr>
  </w:style>
  <w:style w:type="character" w:customStyle="1" w:styleId="Heading2Char">
    <w:name w:val="Heading 2 Char"/>
    <w:basedOn w:val="DefaultParagraphFont"/>
    <w:link w:val="Heading2"/>
    <w:uiPriority w:val="9"/>
    <w:rsid w:val="000B6C72"/>
    <w:rPr>
      <w:rFonts w:asciiTheme="majorHAnsi" w:eastAsiaTheme="majorEastAsia" w:hAnsiTheme="majorHAnsi" w:cstheme="majorBidi"/>
      <w:b/>
      <w:bCs/>
      <w:color w:val="4F81BD" w:themeColor="accent1"/>
      <w:sz w:val="26"/>
      <w:szCs w:val="26"/>
      <w:lang w:val="en-GB" w:eastAsia="en-GB"/>
    </w:rPr>
  </w:style>
  <w:style w:type="character" w:styleId="Emphasis">
    <w:name w:val="Emphasis"/>
    <w:basedOn w:val="DefaultParagraphFont"/>
    <w:uiPriority w:val="20"/>
    <w:qFormat/>
    <w:rsid w:val="0003076B"/>
    <w:rPr>
      <w:i/>
      <w:iCs/>
    </w:rPr>
  </w:style>
  <w:style w:type="character" w:customStyle="1" w:styleId="hgkelc">
    <w:name w:val="hgkelc"/>
    <w:basedOn w:val="DefaultParagraphFont"/>
    <w:rsid w:val="0003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59701">
      <w:bodyDiv w:val="1"/>
      <w:marLeft w:val="0"/>
      <w:marRight w:val="0"/>
      <w:marTop w:val="0"/>
      <w:marBottom w:val="0"/>
      <w:divBdr>
        <w:top w:val="none" w:sz="0" w:space="0" w:color="auto"/>
        <w:left w:val="none" w:sz="0" w:space="0" w:color="auto"/>
        <w:bottom w:val="none" w:sz="0" w:space="0" w:color="auto"/>
        <w:right w:val="none" w:sz="0" w:space="0" w:color="auto"/>
      </w:divBdr>
    </w:div>
    <w:div w:id="6730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95%20%284%29%20SA%201" TargetMode="External"/><Relationship Id="rId2" Type="http://schemas.openxmlformats.org/officeDocument/2006/relationships/hyperlink" Target="http://www.saflii.org/cgi-bin/LawCite?cit=2005%20%286%29%20SA%20205" TargetMode="External"/><Relationship Id="rId1" Type="http://schemas.openxmlformats.org/officeDocument/2006/relationships/hyperlink" Target="http://www.saflii.org/cgi-bin/LawCite?cit=1985%20%284%29%20SA%20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8B59-82A4-4D1E-B00F-8D2A9C1E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Mokone</cp:lastModifiedBy>
  <cp:revision>2</cp:revision>
  <cp:lastPrinted>2023-07-10T16:16:00Z</cp:lastPrinted>
  <dcterms:created xsi:type="dcterms:W3CDTF">2023-07-17T10:11:00Z</dcterms:created>
  <dcterms:modified xsi:type="dcterms:W3CDTF">2023-07-17T10:11:00Z</dcterms:modified>
</cp:coreProperties>
</file>