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4E" w14:textId="77777777" w:rsidR="007A78E0" w:rsidRPr="00A94B45" w:rsidRDefault="00F4476D">
      <w:pPr>
        <w:pStyle w:val="BodyText"/>
        <w:ind w:left="3593"/>
        <w:rPr>
          <w:rFonts w:cs="Arial"/>
          <w:sz w:val="24"/>
          <w:szCs w:val="24"/>
          <w:lang w:val="en-GB"/>
        </w:rPr>
      </w:pPr>
      <w:r w:rsidRPr="00A94B45">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94B45" w:rsidRDefault="007A78E0">
      <w:pPr>
        <w:pStyle w:val="BodyText"/>
        <w:spacing w:before="6"/>
        <w:rPr>
          <w:rFonts w:cs="Arial"/>
          <w:sz w:val="24"/>
          <w:szCs w:val="24"/>
          <w:lang w:val="en-GB"/>
        </w:rPr>
      </w:pPr>
    </w:p>
    <w:p w14:paraId="67E0E1FC" w14:textId="77777777" w:rsidR="007A78E0" w:rsidRPr="00A94B45" w:rsidRDefault="00F4476D">
      <w:pPr>
        <w:spacing w:before="89" w:line="367" w:lineRule="auto"/>
        <w:ind w:left="2605" w:right="2366" w:hanging="524"/>
        <w:rPr>
          <w:rFonts w:cs="Arial"/>
          <w:b/>
          <w:szCs w:val="24"/>
          <w:lang w:val="en-GB"/>
        </w:rPr>
      </w:pPr>
      <w:r w:rsidRPr="00A94B45">
        <w:rPr>
          <w:rFonts w:cs="Arial"/>
          <w:szCs w:val="24"/>
          <w:lang w:val="en-GB"/>
        </w:rPr>
        <w:t>I</w:t>
      </w:r>
      <w:r w:rsidRPr="00A94B45">
        <w:rPr>
          <w:rFonts w:cs="Arial"/>
          <w:b/>
          <w:szCs w:val="24"/>
          <w:lang w:val="en-GB"/>
        </w:rPr>
        <w:t>N THE HIGH COURT OF SOUTH AFRICA</w:t>
      </w:r>
      <w:r w:rsidRPr="00A94B45">
        <w:rPr>
          <w:rFonts w:cs="Arial"/>
          <w:b/>
          <w:spacing w:val="-62"/>
          <w:szCs w:val="24"/>
          <w:lang w:val="en-GB"/>
        </w:rPr>
        <w:t xml:space="preserve"> </w:t>
      </w:r>
      <w:r w:rsidRPr="00A94B45">
        <w:rPr>
          <w:rFonts w:cs="Arial"/>
          <w:b/>
          <w:szCs w:val="24"/>
          <w:lang w:val="en-GB"/>
        </w:rPr>
        <w:t>GAUTENG</w:t>
      </w:r>
      <w:r w:rsidRPr="00A94B45">
        <w:rPr>
          <w:rFonts w:cs="Arial"/>
          <w:b/>
          <w:spacing w:val="-2"/>
          <w:szCs w:val="24"/>
          <w:lang w:val="en-GB"/>
        </w:rPr>
        <w:t xml:space="preserve"> </w:t>
      </w:r>
      <w:r w:rsidRPr="00A94B45">
        <w:rPr>
          <w:rFonts w:cs="Arial"/>
          <w:b/>
          <w:szCs w:val="24"/>
          <w:lang w:val="en-GB"/>
        </w:rPr>
        <w:t>DIVISION,</w:t>
      </w:r>
      <w:r w:rsidRPr="00A94B45">
        <w:rPr>
          <w:rFonts w:cs="Arial"/>
          <w:b/>
          <w:spacing w:val="-1"/>
          <w:szCs w:val="24"/>
          <w:lang w:val="en-GB"/>
        </w:rPr>
        <w:t xml:space="preserve"> </w:t>
      </w:r>
      <w:r w:rsidRPr="00A94B45">
        <w:rPr>
          <w:rFonts w:cs="Arial"/>
          <w:b/>
          <w:szCs w:val="24"/>
          <w:lang w:val="en-GB"/>
        </w:rPr>
        <w:t>PRETORIA</w:t>
      </w:r>
    </w:p>
    <w:p w14:paraId="394A5E6F" w14:textId="77777777" w:rsidR="007A78E0" w:rsidRPr="00A94B45" w:rsidRDefault="007A78E0">
      <w:pPr>
        <w:pStyle w:val="BodyText"/>
        <w:rPr>
          <w:rFonts w:cs="Arial"/>
          <w:b/>
          <w:sz w:val="24"/>
          <w:szCs w:val="24"/>
          <w:lang w:val="en-GB"/>
        </w:rPr>
      </w:pPr>
    </w:p>
    <w:p w14:paraId="751592A6" w14:textId="77777777" w:rsidR="007A78E0" w:rsidRPr="00A94B45" w:rsidRDefault="007A78E0">
      <w:pPr>
        <w:pStyle w:val="BodyText"/>
        <w:spacing w:before="1"/>
        <w:rPr>
          <w:rFonts w:cs="Arial"/>
          <w:b/>
          <w:sz w:val="24"/>
          <w:szCs w:val="24"/>
          <w:lang w:val="en-GB"/>
        </w:rPr>
      </w:pPr>
    </w:p>
    <w:p w14:paraId="7C0FF68E" w14:textId="35F256CC" w:rsidR="0090402C" w:rsidRPr="00A94B45" w:rsidRDefault="00E10411" w:rsidP="00E10411">
      <w:pPr>
        <w:spacing w:line="298" w:lineRule="exact"/>
        <w:ind w:right="108"/>
        <w:jc w:val="center"/>
        <w:rPr>
          <w:rFonts w:cs="Arial"/>
          <w:b/>
          <w:szCs w:val="24"/>
          <w:lang w:val="en-GB"/>
        </w:rPr>
      </w:pPr>
      <w:r>
        <w:rPr>
          <w:rFonts w:cs="Arial"/>
          <w:b/>
          <w:szCs w:val="24"/>
          <w:lang w:val="en-GB"/>
        </w:rPr>
        <w:t xml:space="preserve">                                                                                            </w:t>
      </w:r>
      <w:r w:rsidR="00F4476D" w:rsidRPr="00A94B45">
        <w:rPr>
          <w:rFonts w:cs="Arial"/>
          <w:b/>
          <w:szCs w:val="24"/>
          <w:lang w:val="en-GB"/>
        </w:rPr>
        <w:t>CASE</w:t>
      </w:r>
      <w:r w:rsidR="00F4476D" w:rsidRPr="00A94B45">
        <w:rPr>
          <w:rFonts w:cs="Arial"/>
          <w:b/>
          <w:spacing w:val="-2"/>
          <w:szCs w:val="24"/>
          <w:lang w:val="en-GB"/>
        </w:rPr>
        <w:t xml:space="preserve"> </w:t>
      </w:r>
      <w:r w:rsidR="00F4476D" w:rsidRPr="00A94B45">
        <w:rPr>
          <w:rFonts w:cs="Arial"/>
          <w:b/>
          <w:szCs w:val="24"/>
          <w:lang w:val="en-GB"/>
        </w:rPr>
        <w:t>NO:</w:t>
      </w:r>
      <w:r w:rsidR="00F4476D" w:rsidRPr="00A94B45">
        <w:rPr>
          <w:rFonts w:cs="Arial"/>
          <w:b/>
          <w:spacing w:val="63"/>
          <w:szCs w:val="24"/>
          <w:lang w:val="en-GB"/>
        </w:rPr>
        <w:t xml:space="preserve"> </w:t>
      </w:r>
      <w:r>
        <w:rPr>
          <w:rFonts w:cs="Arial"/>
          <w:b/>
          <w:spacing w:val="63"/>
          <w:szCs w:val="24"/>
          <w:lang w:val="en-GB"/>
        </w:rPr>
        <w:t>12058/2023</w:t>
      </w:r>
    </w:p>
    <w:p w14:paraId="2D5D436E" w14:textId="77777777" w:rsidR="00D93A74" w:rsidRPr="00A94B45" w:rsidRDefault="00D93A74">
      <w:pPr>
        <w:spacing w:line="298" w:lineRule="exact"/>
        <w:ind w:right="108"/>
        <w:jc w:val="right"/>
        <w:rPr>
          <w:rFonts w:cs="Arial"/>
          <w:b/>
          <w:szCs w:val="24"/>
          <w:lang w:val="en-GB"/>
        </w:rPr>
      </w:pPr>
    </w:p>
    <w:p w14:paraId="47B4DD7F" w14:textId="77777777" w:rsidR="007A78E0" w:rsidRPr="00A94B45" w:rsidRDefault="007A78E0">
      <w:pPr>
        <w:pStyle w:val="BodyText"/>
        <w:rPr>
          <w:rFonts w:cs="Arial"/>
          <w:b/>
          <w:sz w:val="24"/>
          <w:szCs w:val="24"/>
          <w:lang w:val="en-GB"/>
        </w:rPr>
      </w:pPr>
    </w:p>
    <w:p w14:paraId="0D3F1CDC" w14:textId="4F0E20F6" w:rsidR="00991491" w:rsidRPr="00A94B45" w:rsidRDefault="00991491" w:rsidP="00400C90">
      <w:pPr>
        <w:rPr>
          <w:rFonts w:cs="Arial"/>
          <w:b/>
          <w:szCs w:val="24"/>
          <w:lang w:val="en-GB"/>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294709" w14:paraId="4847EDCD" w14:textId="77777777" w:rsidTr="00400C90">
        <w:trPr>
          <w:trHeight w:val="2417"/>
        </w:trPr>
        <w:tc>
          <w:tcPr>
            <w:tcW w:w="3870" w:type="dxa"/>
            <w:tcBorders>
              <w:top w:val="single" w:sz="4" w:space="0" w:color="000000"/>
              <w:left w:val="single" w:sz="4" w:space="0" w:color="000000"/>
              <w:bottom w:val="single" w:sz="4" w:space="0" w:color="000000"/>
              <w:right w:val="single" w:sz="4" w:space="0" w:color="000000"/>
            </w:tcBorders>
          </w:tcPr>
          <w:p w14:paraId="7F466793" w14:textId="6FF64DCE"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1.    REPORTABLE: NO</w:t>
            </w:r>
          </w:p>
          <w:p w14:paraId="4B007F6B" w14:textId="191DDC62" w:rsidR="00400C90"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 xml:space="preserve">2.    </w:t>
            </w:r>
            <w:r w:rsidRPr="00294709">
              <w:rPr>
                <w:rFonts w:eastAsia="Arial" w:cs="Arial"/>
                <w:color w:val="000000"/>
                <w:sz w:val="16"/>
                <w:szCs w:val="16"/>
              </w:rPr>
              <w:t xml:space="preserve">OF INTEREST TO OTHER JUDGES: </w:t>
            </w:r>
            <w:r>
              <w:rPr>
                <w:rFonts w:eastAsia="Arial" w:cs="Arial"/>
                <w:color w:val="000000"/>
                <w:sz w:val="16"/>
                <w:szCs w:val="16"/>
              </w:rPr>
              <w:t>N</w:t>
            </w:r>
            <w:r w:rsidRPr="00294709">
              <w:rPr>
                <w:rFonts w:eastAsia="Arial" w:cs="Arial"/>
                <w:color w:val="000000"/>
                <w:sz w:val="16"/>
                <w:szCs w:val="16"/>
              </w:rPr>
              <w:t>O</w:t>
            </w:r>
          </w:p>
          <w:p w14:paraId="6D250003" w14:textId="1960C2E1"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cs="Arial"/>
                <w:color w:val="000000"/>
                <w:sz w:val="16"/>
                <w:szCs w:val="16"/>
              </w:rPr>
              <w:t xml:space="preserve">3.    </w:t>
            </w:r>
            <w:r>
              <w:rPr>
                <w:rFonts w:eastAsia="Arial" w:cs="Arial"/>
                <w:color w:val="000000"/>
                <w:sz w:val="16"/>
                <w:szCs w:val="16"/>
              </w:rPr>
              <w:t xml:space="preserve">REVISED: </w:t>
            </w:r>
            <w:r w:rsidRPr="00294709">
              <w:rPr>
                <w:rFonts w:eastAsia="Arial" w:cs="Arial"/>
                <w:color w:val="000000"/>
                <w:sz w:val="16"/>
                <w:szCs w:val="16"/>
              </w:rPr>
              <w:t>NO</w:t>
            </w:r>
          </w:p>
          <w:p w14:paraId="3F7E729E" w14:textId="77777777" w:rsidR="00400C90" w:rsidRPr="00294709" w:rsidRDefault="00400C90" w:rsidP="00400C90">
            <w:pPr>
              <w:spacing w:line="360" w:lineRule="auto"/>
              <w:ind w:left="306" w:hanging="284"/>
              <w:jc w:val="both"/>
              <w:rPr>
                <w:rFonts w:eastAsia="Arial" w:cs="Arial"/>
                <w:sz w:val="16"/>
                <w:szCs w:val="16"/>
              </w:rPr>
            </w:pPr>
          </w:p>
          <w:p w14:paraId="38CA69C1" w14:textId="3C3AC2D6" w:rsidR="00400C90" w:rsidRPr="00400C90" w:rsidRDefault="00400C90" w:rsidP="00400C90">
            <w:pPr>
              <w:spacing w:line="360" w:lineRule="auto"/>
              <w:jc w:val="both"/>
              <w:rPr>
                <w:rFonts w:eastAsia="Arial" w:cs="Arial"/>
                <w:sz w:val="16"/>
                <w:szCs w:val="16"/>
              </w:rPr>
            </w:pPr>
            <w:r w:rsidRPr="00294709">
              <w:rPr>
                <w:rFonts w:eastAsia="Arial" w:cs="Arial"/>
                <w:sz w:val="16"/>
                <w:szCs w:val="16"/>
              </w:rPr>
              <w:t xml:space="preserve">DATE: </w:t>
            </w:r>
            <w:r w:rsidR="00E10411">
              <w:rPr>
                <w:rFonts w:eastAsia="Arial" w:cs="Arial"/>
                <w:sz w:val="16"/>
                <w:szCs w:val="16"/>
              </w:rPr>
              <w:t>10 July 2023</w:t>
            </w:r>
          </w:p>
        </w:tc>
      </w:tr>
    </w:tbl>
    <w:p w14:paraId="410C96F1" w14:textId="77777777" w:rsidR="00991491" w:rsidRPr="00A94B45" w:rsidRDefault="00991491">
      <w:pPr>
        <w:pStyle w:val="BodyText"/>
        <w:rPr>
          <w:rFonts w:cs="Arial"/>
          <w:b/>
          <w:sz w:val="24"/>
          <w:szCs w:val="24"/>
          <w:lang w:val="en-GB"/>
        </w:rPr>
      </w:pPr>
    </w:p>
    <w:p w14:paraId="096B80C7" w14:textId="77777777" w:rsidR="00991491" w:rsidRPr="00A94B45" w:rsidRDefault="00991491">
      <w:pPr>
        <w:pStyle w:val="BodyText"/>
        <w:rPr>
          <w:rFonts w:cs="Arial"/>
          <w:b/>
          <w:sz w:val="24"/>
          <w:szCs w:val="24"/>
          <w:lang w:val="en-GB"/>
        </w:rPr>
      </w:pPr>
    </w:p>
    <w:p w14:paraId="00A22489" w14:textId="46B92956" w:rsidR="007A78E0" w:rsidRDefault="003964F9" w:rsidP="00354F98">
      <w:pPr>
        <w:pStyle w:val="BodyText"/>
        <w:ind w:left="284"/>
        <w:rPr>
          <w:rFonts w:cs="Arial"/>
          <w:bCs/>
          <w:sz w:val="24"/>
          <w:szCs w:val="24"/>
          <w:lang w:val="en-GB"/>
        </w:rPr>
      </w:pPr>
      <w:r>
        <w:rPr>
          <w:rFonts w:cs="Arial"/>
          <w:bCs/>
          <w:sz w:val="24"/>
          <w:szCs w:val="24"/>
          <w:lang w:val="en-GB"/>
        </w:rPr>
        <w:t>In the matter between:</w:t>
      </w:r>
    </w:p>
    <w:p w14:paraId="14970E67" w14:textId="77777777" w:rsidR="003964F9" w:rsidRPr="003964F9" w:rsidRDefault="003964F9">
      <w:pPr>
        <w:pStyle w:val="BodyText"/>
        <w:rPr>
          <w:rFonts w:cs="Arial"/>
          <w:bCs/>
          <w:sz w:val="24"/>
          <w:szCs w:val="24"/>
          <w:lang w:val="en-GB"/>
        </w:rPr>
      </w:pPr>
    </w:p>
    <w:p w14:paraId="1660329D" w14:textId="77777777" w:rsidR="003964F9" w:rsidRPr="00A94B45" w:rsidRDefault="003964F9">
      <w:pPr>
        <w:pStyle w:val="BodyText"/>
        <w:rPr>
          <w:rFonts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A94B45" w14:paraId="60B7E919" w14:textId="77777777" w:rsidTr="00A94B45">
        <w:tc>
          <w:tcPr>
            <w:tcW w:w="5670" w:type="dxa"/>
            <w:hideMark/>
          </w:tcPr>
          <w:p w14:paraId="3699A66A" w14:textId="279C0B5F" w:rsidR="00D93A74" w:rsidRPr="00A94B45" w:rsidRDefault="00E10411" w:rsidP="0090402C">
            <w:pPr>
              <w:spacing w:line="360" w:lineRule="auto"/>
              <w:ind w:left="181" w:right="163"/>
              <w:rPr>
                <w:rFonts w:cs="Arial"/>
                <w:bCs/>
                <w:szCs w:val="24"/>
              </w:rPr>
            </w:pPr>
            <w:r>
              <w:rPr>
                <w:rFonts w:cs="Arial"/>
                <w:bCs/>
                <w:szCs w:val="24"/>
              </w:rPr>
              <w:t>THE BOARD OF HEALTHCARE FUNDERS NPC</w:t>
            </w:r>
          </w:p>
        </w:tc>
        <w:tc>
          <w:tcPr>
            <w:tcW w:w="3803" w:type="dxa"/>
            <w:hideMark/>
          </w:tcPr>
          <w:p w14:paraId="3F920ADF" w14:textId="24BF6920" w:rsidR="00232F72" w:rsidRPr="00A94B45" w:rsidRDefault="00E10411" w:rsidP="00E10411">
            <w:pPr>
              <w:spacing w:line="360" w:lineRule="auto"/>
              <w:jc w:val="center"/>
              <w:rPr>
                <w:rFonts w:cs="Arial"/>
                <w:szCs w:val="24"/>
              </w:rPr>
            </w:pPr>
            <w:r>
              <w:rPr>
                <w:rFonts w:cs="Arial"/>
                <w:szCs w:val="24"/>
              </w:rPr>
              <w:t xml:space="preserve">           </w:t>
            </w:r>
            <w:r w:rsidR="00232F72" w:rsidRPr="00A94B45">
              <w:rPr>
                <w:rFonts w:cs="Arial"/>
                <w:szCs w:val="24"/>
              </w:rPr>
              <w:t>Applicant</w:t>
            </w:r>
          </w:p>
        </w:tc>
      </w:tr>
      <w:tr w:rsidR="00232F72" w:rsidRPr="00A94B45" w14:paraId="10E2859B" w14:textId="77777777" w:rsidTr="00A94B45">
        <w:tc>
          <w:tcPr>
            <w:tcW w:w="5670" w:type="dxa"/>
          </w:tcPr>
          <w:p w14:paraId="18D7C96E" w14:textId="77777777" w:rsidR="00232F72" w:rsidRPr="00A94B45" w:rsidRDefault="00232F72" w:rsidP="0090402C">
            <w:pPr>
              <w:spacing w:line="360" w:lineRule="auto"/>
              <w:ind w:left="181" w:right="163"/>
              <w:rPr>
                <w:rFonts w:cs="Arial"/>
                <w:szCs w:val="24"/>
              </w:rPr>
            </w:pPr>
          </w:p>
        </w:tc>
        <w:tc>
          <w:tcPr>
            <w:tcW w:w="3803" w:type="dxa"/>
          </w:tcPr>
          <w:p w14:paraId="2957303E" w14:textId="77777777" w:rsidR="00232F72" w:rsidRPr="00A94B45" w:rsidRDefault="00232F72" w:rsidP="00036295">
            <w:pPr>
              <w:spacing w:line="360" w:lineRule="auto"/>
              <w:jc w:val="right"/>
              <w:rPr>
                <w:rFonts w:cs="Arial"/>
                <w:szCs w:val="24"/>
              </w:rPr>
            </w:pPr>
          </w:p>
        </w:tc>
      </w:tr>
      <w:tr w:rsidR="00232F72" w:rsidRPr="00A94B45" w14:paraId="49701179" w14:textId="77777777" w:rsidTr="00A94B45">
        <w:tc>
          <w:tcPr>
            <w:tcW w:w="5670" w:type="dxa"/>
            <w:hideMark/>
          </w:tcPr>
          <w:p w14:paraId="5D2C3EEF" w14:textId="011CBC99" w:rsidR="00232F72" w:rsidRPr="00A94B45" w:rsidRDefault="009B2DCA" w:rsidP="0090402C">
            <w:pPr>
              <w:spacing w:line="360" w:lineRule="auto"/>
              <w:ind w:left="181" w:right="163"/>
              <w:rPr>
                <w:rFonts w:cs="Arial"/>
                <w:szCs w:val="24"/>
              </w:rPr>
            </w:pPr>
            <w:r w:rsidRPr="00A94B45">
              <w:rPr>
                <w:rFonts w:cs="Arial"/>
                <w:szCs w:val="24"/>
              </w:rPr>
              <w:t>A</w:t>
            </w:r>
            <w:r w:rsidR="00232F72" w:rsidRPr="00A94B45">
              <w:rPr>
                <w:rFonts w:cs="Arial"/>
                <w:szCs w:val="24"/>
              </w:rPr>
              <w:t>nd</w:t>
            </w:r>
          </w:p>
        </w:tc>
        <w:tc>
          <w:tcPr>
            <w:tcW w:w="3803" w:type="dxa"/>
          </w:tcPr>
          <w:p w14:paraId="05773670" w14:textId="77777777" w:rsidR="00232F72" w:rsidRPr="00A94B45" w:rsidRDefault="00232F72" w:rsidP="00036295">
            <w:pPr>
              <w:spacing w:line="360" w:lineRule="auto"/>
              <w:jc w:val="right"/>
              <w:rPr>
                <w:rFonts w:cs="Arial"/>
                <w:szCs w:val="24"/>
              </w:rPr>
            </w:pPr>
          </w:p>
        </w:tc>
      </w:tr>
      <w:tr w:rsidR="00232F72" w:rsidRPr="00A94B45" w14:paraId="63D836F9" w14:textId="77777777" w:rsidTr="00A94B45">
        <w:tc>
          <w:tcPr>
            <w:tcW w:w="5670" w:type="dxa"/>
          </w:tcPr>
          <w:p w14:paraId="6B5B1DEE" w14:textId="77777777" w:rsidR="00232F72" w:rsidRPr="00A94B45" w:rsidRDefault="00232F72" w:rsidP="0090402C">
            <w:pPr>
              <w:spacing w:line="360" w:lineRule="auto"/>
              <w:ind w:left="181" w:right="163"/>
              <w:rPr>
                <w:rFonts w:cs="Arial"/>
                <w:szCs w:val="24"/>
              </w:rPr>
            </w:pPr>
          </w:p>
        </w:tc>
        <w:tc>
          <w:tcPr>
            <w:tcW w:w="3803" w:type="dxa"/>
          </w:tcPr>
          <w:p w14:paraId="21981E89" w14:textId="77777777" w:rsidR="00232F72" w:rsidRPr="00A94B45" w:rsidRDefault="00232F72" w:rsidP="00036295">
            <w:pPr>
              <w:spacing w:line="360" w:lineRule="auto"/>
              <w:jc w:val="right"/>
              <w:rPr>
                <w:rFonts w:cs="Arial"/>
                <w:szCs w:val="24"/>
              </w:rPr>
            </w:pPr>
          </w:p>
        </w:tc>
      </w:tr>
      <w:tr w:rsidR="00AE7F11" w:rsidRPr="00A94B45" w14:paraId="7AFD10F1" w14:textId="77777777" w:rsidTr="00A94B45">
        <w:tc>
          <w:tcPr>
            <w:tcW w:w="5670" w:type="dxa"/>
          </w:tcPr>
          <w:p w14:paraId="1964F146" w14:textId="77777777" w:rsidR="00AE7F11" w:rsidRDefault="00E10411" w:rsidP="0090402C">
            <w:pPr>
              <w:spacing w:line="360" w:lineRule="auto"/>
              <w:ind w:left="181" w:right="163"/>
              <w:rPr>
                <w:rFonts w:cs="Arial"/>
                <w:szCs w:val="24"/>
              </w:rPr>
            </w:pPr>
            <w:r>
              <w:rPr>
                <w:rFonts w:cs="Arial"/>
                <w:szCs w:val="24"/>
              </w:rPr>
              <w:t>COUNCIL FOR MEDICAL SCHEMES</w:t>
            </w:r>
          </w:p>
          <w:p w14:paraId="4164F420" w14:textId="13444BC9" w:rsidR="00E10411" w:rsidRPr="00A94B45" w:rsidRDefault="00E10411" w:rsidP="0090402C">
            <w:pPr>
              <w:spacing w:line="360" w:lineRule="auto"/>
              <w:ind w:left="181" w:right="163"/>
              <w:rPr>
                <w:rFonts w:cs="Arial"/>
                <w:szCs w:val="24"/>
              </w:rPr>
            </w:pPr>
          </w:p>
        </w:tc>
        <w:tc>
          <w:tcPr>
            <w:tcW w:w="3803" w:type="dxa"/>
          </w:tcPr>
          <w:p w14:paraId="58F6468A" w14:textId="1FF8BEE0" w:rsidR="00AE7F11" w:rsidRPr="00A94B45" w:rsidRDefault="00E10411" w:rsidP="00E10411">
            <w:pPr>
              <w:spacing w:line="360" w:lineRule="auto"/>
              <w:jc w:val="center"/>
              <w:rPr>
                <w:rFonts w:cs="Arial"/>
                <w:szCs w:val="24"/>
              </w:rPr>
            </w:pPr>
            <w:r>
              <w:rPr>
                <w:rFonts w:cs="Arial"/>
                <w:szCs w:val="24"/>
              </w:rPr>
              <w:t xml:space="preserve">                       1</w:t>
            </w:r>
            <w:r w:rsidRPr="00E10411">
              <w:rPr>
                <w:rFonts w:cs="Arial"/>
                <w:szCs w:val="24"/>
                <w:vertAlign w:val="superscript"/>
              </w:rPr>
              <w:t>st</w:t>
            </w:r>
            <w:r>
              <w:rPr>
                <w:rFonts w:cs="Arial"/>
                <w:szCs w:val="24"/>
              </w:rPr>
              <w:t xml:space="preserve"> </w:t>
            </w:r>
            <w:r w:rsidR="00D93A74" w:rsidRPr="00A94B45">
              <w:rPr>
                <w:rFonts w:cs="Arial"/>
                <w:szCs w:val="24"/>
              </w:rPr>
              <w:t xml:space="preserve">Respondent </w:t>
            </w:r>
          </w:p>
        </w:tc>
      </w:tr>
      <w:tr w:rsidR="00E10411" w:rsidRPr="00A94B45" w14:paraId="68CF6BE1" w14:textId="77777777" w:rsidTr="00A94B45">
        <w:tc>
          <w:tcPr>
            <w:tcW w:w="5670" w:type="dxa"/>
          </w:tcPr>
          <w:p w14:paraId="45B201C0" w14:textId="77777777" w:rsidR="00E10411" w:rsidRDefault="00E10411" w:rsidP="0090402C">
            <w:pPr>
              <w:spacing w:line="360" w:lineRule="auto"/>
              <w:ind w:left="181" w:right="163"/>
              <w:rPr>
                <w:rFonts w:cs="Arial"/>
                <w:szCs w:val="24"/>
              </w:rPr>
            </w:pPr>
            <w:r>
              <w:rPr>
                <w:rFonts w:cs="Arial"/>
                <w:szCs w:val="24"/>
              </w:rPr>
              <w:t>THE REGISTRAR OF MEDICAL SCHEMES</w:t>
            </w:r>
          </w:p>
          <w:p w14:paraId="2D1D4E96" w14:textId="77777777" w:rsidR="00E10411" w:rsidRDefault="00E10411" w:rsidP="0090402C">
            <w:pPr>
              <w:spacing w:line="360" w:lineRule="auto"/>
              <w:ind w:left="181" w:right="163"/>
              <w:rPr>
                <w:rFonts w:cs="Arial"/>
                <w:szCs w:val="24"/>
              </w:rPr>
            </w:pPr>
          </w:p>
          <w:p w14:paraId="2E6BCEC1" w14:textId="28354026" w:rsidR="00E10411" w:rsidRDefault="00E10411" w:rsidP="0090402C">
            <w:pPr>
              <w:spacing w:line="360" w:lineRule="auto"/>
              <w:ind w:left="181" w:right="163"/>
              <w:rPr>
                <w:rFonts w:cs="Arial"/>
                <w:szCs w:val="24"/>
              </w:rPr>
            </w:pPr>
            <w:r>
              <w:rPr>
                <w:rFonts w:cs="Arial"/>
                <w:szCs w:val="24"/>
              </w:rPr>
              <w:t xml:space="preserve">THE MINISTER OF HEALTH                              </w:t>
            </w:r>
          </w:p>
        </w:tc>
        <w:tc>
          <w:tcPr>
            <w:tcW w:w="3803" w:type="dxa"/>
          </w:tcPr>
          <w:p w14:paraId="0C0E5FDF" w14:textId="77777777" w:rsidR="00E10411" w:rsidRDefault="00E10411" w:rsidP="00E10411">
            <w:pPr>
              <w:spacing w:line="360" w:lineRule="auto"/>
              <w:jc w:val="center"/>
              <w:rPr>
                <w:rFonts w:cs="Arial"/>
                <w:szCs w:val="24"/>
              </w:rPr>
            </w:pPr>
            <w:r>
              <w:rPr>
                <w:rFonts w:cs="Arial"/>
                <w:szCs w:val="24"/>
              </w:rPr>
              <w:t xml:space="preserve">                          2</w:t>
            </w:r>
            <w:r w:rsidRPr="00E10411">
              <w:rPr>
                <w:rFonts w:cs="Arial"/>
                <w:szCs w:val="24"/>
                <w:vertAlign w:val="superscript"/>
              </w:rPr>
              <w:t>ND</w:t>
            </w:r>
            <w:r>
              <w:rPr>
                <w:rFonts w:cs="Arial"/>
                <w:szCs w:val="24"/>
              </w:rPr>
              <w:t xml:space="preserve"> Respondent</w:t>
            </w:r>
          </w:p>
          <w:p w14:paraId="74EB5CF7" w14:textId="77777777" w:rsidR="00E10411" w:rsidRDefault="00E10411" w:rsidP="00E10411">
            <w:pPr>
              <w:spacing w:line="360" w:lineRule="auto"/>
              <w:jc w:val="center"/>
              <w:rPr>
                <w:rFonts w:cs="Arial"/>
                <w:szCs w:val="24"/>
              </w:rPr>
            </w:pPr>
          </w:p>
          <w:p w14:paraId="50F8689E" w14:textId="0E62539A" w:rsidR="00E10411" w:rsidRDefault="00E10411" w:rsidP="00E10411">
            <w:pPr>
              <w:spacing w:line="360" w:lineRule="auto"/>
              <w:jc w:val="center"/>
              <w:rPr>
                <w:rFonts w:cs="Arial"/>
                <w:szCs w:val="24"/>
              </w:rPr>
            </w:pPr>
            <w:r>
              <w:rPr>
                <w:rFonts w:cs="Arial"/>
                <w:szCs w:val="24"/>
              </w:rPr>
              <w:t xml:space="preserve">                           3</w:t>
            </w:r>
            <w:r w:rsidRPr="00E10411">
              <w:rPr>
                <w:rFonts w:cs="Arial"/>
                <w:szCs w:val="24"/>
                <w:vertAlign w:val="superscript"/>
              </w:rPr>
              <w:t>rd</w:t>
            </w:r>
            <w:r>
              <w:rPr>
                <w:rFonts w:cs="Arial"/>
                <w:szCs w:val="24"/>
              </w:rPr>
              <w:t xml:space="preserve">   Respondent</w:t>
            </w:r>
          </w:p>
          <w:p w14:paraId="78E79F19" w14:textId="46B37FC8" w:rsidR="00E10411" w:rsidRDefault="00E10411" w:rsidP="00E10411">
            <w:pPr>
              <w:spacing w:line="360" w:lineRule="auto"/>
              <w:jc w:val="center"/>
              <w:rPr>
                <w:rFonts w:cs="Arial"/>
                <w:szCs w:val="24"/>
              </w:rPr>
            </w:pPr>
          </w:p>
        </w:tc>
      </w:tr>
      <w:tr w:rsidR="00AE7F11" w:rsidRPr="00A94B45" w14:paraId="3CD33F40" w14:textId="77777777" w:rsidTr="00A94B45">
        <w:tc>
          <w:tcPr>
            <w:tcW w:w="5670" w:type="dxa"/>
          </w:tcPr>
          <w:p w14:paraId="68DA1A33" w14:textId="77777777" w:rsidR="00AE7F11" w:rsidRPr="00A94B45" w:rsidRDefault="00AE7F11" w:rsidP="0090402C">
            <w:pPr>
              <w:spacing w:line="360" w:lineRule="auto"/>
              <w:ind w:left="181" w:right="163"/>
              <w:rPr>
                <w:rFonts w:cs="Arial"/>
                <w:szCs w:val="24"/>
              </w:rPr>
            </w:pPr>
          </w:p>
        </w:tc>
        <w:tc>
          <w:tcPr>
            <w:tcW w:w="3803" w:type="dxa"/>
          </w:tcPr>
          <w:p w14:paraId="122BFE9B" w14:textId="77777777" w:rsidR="00AE7F11" w:rsidRPr="00A94B45" w:rsidRDefault="00AE7F11" w:rsidP="00036295">
            <w:pPr>
              <w:spacing w:line="360" w:lineRule="auto"/>
              <w:jc w:val="right"/>
              <w:rPr>
                <w:rFonts w:cs="Arial"/>
                <w:szCs w:val="24"/>
              </w:rPr>
            </w:pPr>
          </w:p>
        </w:tc>
      </w:tr>
      <w:tr w:rsidR="005342E6" w:rsidRPr="00A94B45" w14:paraId="1FB73DE8" w14:textId="77777777" w:rsidTr="00A94B45">
        <w:tc>
          <w:tcPr>
            <w:tcW w:w="5670" w:type="dxa"/>
          </w:tcPr>
          <w:p w14:paraId="4561BB1C" w14:textId="200ECB0D" w:rsidR="005342E6" w:rsidRPr="00A94B45" w:rsidRDefault="005342E6" w:rsidP="0090402C">
            <w:pPr>
              <w:spacing w:line="360" w:lineRule="auto"/>
              <w:ind w:left="181" w:right="163"/>
              <w:rPr>
                <w:rFonts w:cs="Arial"/>
                <w:szCs w:val="24"/>
              </w:rPr>
            </w:pPr>
          </w:p>
        </w:tc>
        <w:tc>
          <w:tcPr>
            <w:tcW w:w="3803" w:type="dxa"/>
          </w:tcPr>
          <w:p w14:paraId="515407AC" w14:textId="65DB1057" w:rsidR="005342E6" w:rsidRPr="00A94B45" w:rsidRDefault="005342E6" w:rsidP="00036295">
            <w:pPr>
              <w:spacing w:line="360" w:lineRule="auto"/>
              <w:jc w:val="right"/>
              <w:rPr>
                <w:rFonts w:cs="Arial"/>
                <w:szCs w:val="24"/>
              </w:rPr>
            </w:pPr>
          </w:p>
        </w:tc>
      </w:tr>
      <w:tr w:rsidR="005342E6" w:rsidRPr="00A94B45" w14:paraId="663AD5A4" w14:textId="77777777" w:rsidTr="00A94B45">
        <w:tc>
          <w:tcPr>
            <w:tcW w:w="5670" w:type="dxa"/>
          </w:tcPr>
          <w:p w14:paraId="59F09E82" w14:textId="2889A34B" w:rsidR="005342E6" w:rsidRPr="00A94B45" w:rsidRDefault="005342E6" w:rsidP="0090402C">
            <w:pPr>
              <w:spacing w:line="360" w:lineRule="auto"/>
              <w:ind w:left="181" w:right="163"/>
              <w:rPr>
                <w:rFonts w:cs="Arial"/>
                <w:szCs w:val="24"/>
              </w:rPr>
            </w:pPr>
          </w:p>
        </w:tc>
        <w:tc>
          <w:tcPr>
            <w:tcW w:w="3803" w:type="dxa"/>
          </w:tcPr>
          <w:p w14:paraId="7EFDB5F8" w14:textId="77777777" w:rsidR="005342E6" w:rsidRPr="00A94B45" w:rsidRDefault="005342E6" w:rsidP="00036295">
            <w:pPr>
              <w:spacing w:line="360" w:lineRule="auto"/>
              <w:jc w:val="right"/>
              <w:rPr>
                <w:rFonts w:cs="Arial"/>
                <w:szCs w:val="24"/>
              </w:rPr>
            </w:pPr>
          </w:p>
        </w:tc>
      </w:tr>
      <w:tr w:rsidR="005342E6" w:rsidRPr="00A94B45" w14:paraId="2EB894ED" w14:textId="77777777" w:rsidTr="00A94B45">
        <w:tc>
          <w:tcPr>
            <w:tcW w:w="5670" w:type="dxa"/>
          </w:tcPr>
          <w:p w14:paraId="00317D6C" w14:textId="288CE6F1" w:rsidR="005342E6" w:rsidRPr="00A94B45" w:rsidRDefault="005342E6" w:rsidP="00B45563">
            <w:pPr>
              <w:spacing w:line="360" w:lineRule="auto"/>
              <w:ind w:left="181" w:right="163"/>
              <w:jc w:val="both"/>
              <w:rPr>
                <w:rFonts w:cs="Arial"/>
                <w:b/>
                <w:bCs/>
                <w:szCs w:val="24"/>
              </w:rPr>
            </w:pPr>
          </w:p>
        </w:tc>
        <w:tc>
          <w:tcPr>
            <w:tcW w:w="3803" w:type="dxa"/>
          </w:tcPr>
          <w:p w14:paraId="05A53A41" w14:textId="72906558" w:rsidR="005342E6" w:rsidRPr="00A94B45" w:rsidRDefault="005342E6" w:rsidP="00036295">
            <w:pPr>
              <w:spacing w:line="360" w:lineRule="auto"/>
              <w:jc w:val="right"/>
              <w:rPr>
                <w:rFonts w:cs="Arial"/>
                <w:szCs w:val="24"/>
              </w:rPr>
            </w:pPr>
          </w:p>
        </w:tc>
      </w:tr>
      <w:tr w:rsidR="005342E6" w:rsidRPr="00A94B45" w14:paraId="1478376E" w14:textId="77777777" w:rsidTr="00A94B45">
        <w:tc>
          <w:tcPr>
            <w:tcW w:w="5670" w:type="dxa"/>
          </w:tcPr>
          <w:p w14:paraId="373B5C82" w14:textId="77777777" w:rsidR="005342E6" w:rsidRPr="00A94B45" w:rsidRDefault="005342E6" w:rsidP="0090402C">
            <w:pPr>
              <w:spacing w:line="360" w:lineRule="auto"/>
              <w:ind w:left="181" w:right="163"/>
              <w:rPr>
                <w:rFonts w:cs="Arial"/>
                <w:szCs w:val="24"/>
              </w:rPr>
            </w:pPr>
          </w:p>
        </w:tc>
        <w:tc>
          <w:tcPr>
            <w:tcW w:w="3803" w:type="dxa"/>
          </w:tcPr>
          <w:p w14:paraId="7B58B081" w14:textId="77777777" w:rsidR="005342E6" w:rsidRPr="00A94B45" w:rsidRDefault="005342E6" w:rsidP="00036295">
            <w:pPr>
              <w:spacing w:line="360" w:lineRule="auto"/>
              <w:jc w:val="right"/>
              <w:rPr>
                <w:rFonts w:cs="Arial"/>
                <w:szCs w:val="24"/>
              </w:rPr>
            </w:pPr>
          </w:p>
        </w:tc>
      </w:tr>
      <w:tr w:rsidR="005342E6" w:rsidRPr="00A94B45" w14:paraId="73E7A823" w14:textId="77777777" w:rsidTr="00A94B45">
        <w:tc>
          <w:tcPr>
            <w:tcW w:w="5670" w:type="dxa"/>
          </w:tcPr>
          <w:p w14:paraId="018441EC" w14:textId="0BF2082E" w:rsidR="005342E6" w:rsidRPr="00A94B45" w:rsidRDefault="005342E6" w:rsidP="00B45563">
            <w:pPr>
              <w:spacing w:line="360" w:lineRule="auto"/>
              <w:ind w:left="181" w:right="163"/>
              <w:rPr>
                <w:rFonts w:cs="Arial"/>
                <w:szCs w:val="24"/>
              </w:rPr>
            </w:pPr>
          </w:p>
        </w:tc>
        <w:tc>
          <w:tcPr>
            <w:tcW w:w="3803" w:type="dxa"/>
          </w:tcPr>
          <w:p w14:paraId="49E1BB9F" w14:textId="6A491D43" w:rsidR="005342E6" w:rsidRPr="00A94B45" w:rsidRDefault="005342E6" w:rsidP="00036295">
            <w:pPr>
              <w:spacing w:line="360" w:lineRule="auto"/>
              <w:jc w:val="right"/>
              <w:rPr>
                <w:rFonts w:cs="Arial"/>
                <w:szCs w:val="24"/>
              </w:rPr>
            </w:pPr>
          </w:p>
        </w:tc>
      </w:tr>
    </w:tbl>
    <w:p w14:paraId="56B0ADB4" w14:textId="77777777" w:rsidR="00232F72" w:rsidRPr="00A94B45" w:rsidRDefault="00232F72">
      <w:pPr>
        <w:pStyle w:val="BodyText"/>
        <w:rPr>
          <w:rFonts w:cs="Arial"/>
          <w:b/>
          <w:sz w:val="24"/>
          <w:szCs w:val="24"/>
          <w:lang w:val="en-GB"/>
        </w:rPr>
      </w:pPr>
    </w:p>
    <w:p w14:paraId="195E7935" w14:textId="77777777" w:rsidR="00232F72" w:rsidRPr="00A94B45" w:rsidRDefault="00232F72" w:rsidP="00232F72">
      <w:pPr>
        <w:rPr>
          <w:rFonts w:cs="Arial"/>
          <w:szCs w:val="24"/>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A94B45" w14:paraId="7781BE90" w14:textId="77777777" w:rsidTr="00A94B45">
        <w:tc>
          <w:tcPr>
            <w:tcW w:w="9498" w:type="dxa"/>
          </w:tcPr>
          <w:p w14:paraId="585CB467" w14:textId="0A4F45ED" w:rsidR="00232F72" w:rsidRPr="00A94B45" w:rsidRDefault="00232F72" w:rsidP="00400C90">
            <w:pPr>
              <w:spacing w:before="200" w:after="200"/>
              <w:jc w:val="center"/>
              <w:rPr>
                <w:rFonts w:cs="Arial"/>
                <w:b/>
                <w:szCs w:val="24"/>
                <w:lang w:val="en-GB"/>
              </w:rPr>
            </w:pPr>
            <w:r w:rsidRPr="00A94B45">
              <w:rPr>
                <w:rFonts w:cs="Arial"/>
                <w:b/>
                <w:szCs w:val="24"/>
                <w:lang w:val="en-GB"/>
              </w:rPr>
              <w:t>JUDGMENT</w:t>
            </w:r>
          </w:p>
        </w:tc>
      </w:tr>
    </w:tbl>
    <w:p w14:paraId="584B30DF" w14:textId="0D4D82B7" w:rsidR="007A78E0" w:rsidRPr="00A94B45" w:rsidRDefault="007A78E0">
      <w:pPr>
        <w:ind w:left="140"/>
        <w:rPr>
          <w:rFonts w:cs="Arial"/>
          <w:b/>
          <w:szCs w:val="24"/>
          <w:lang w:val="en-GB"/>
        </w:rPr>
      </w:pPr>
    </w:p>
    <w:p w14:paraId="719C6F15" w14:textId="77777777" w:rsidR="00232F72" w:rsidRPr="00A94B45" w:rsidRDefault="00232F72">
      <w:pPr>
        <w:ind w:left="140"/>
        <w:rPr>
          <w:rFonts w:cs="Arial"/>
          <w:b/>
          <w:szCs w:val="24"/>
          <w:lang w:val="en-GB"/>
        </w:rPr>
      </w:pPr>
    </w:p>
    <w:p w14:paraId="740B21C7" w14:textId="35A51AE2" w:rsidR="00A94B45" w:rsidRPr="00A94B45" w:rsidRDefault="00E10411" w:rsidP="00A94B45">
      <w:pPr>
        <w:rPr>
          <w:rFonts w:cs="Arial"/>
          <w:bCs/>
          <w:szCs w:val="24"/>
          <w:lang w:val="en-GB"/>
        </w:rPr>
      </w:pPr>
      <w:r>
        <w:rPr>
          <w:rFonts w:cs="Arial"/>
          <w:bCs/>
          <w:szCs w:val="24"/>
          <w:lang w:val="en-GB"/>
        </w:rPr>
        <w:t>Botha AJ</w:t>
      </w:r>
    </w:p>
    <w:p w14:paraId="575F905B" w14:textId="020194E0" w:rsidR="007A78E0" w:rsidRPr="00A94B45" w:rsidRDefault="007A78E0" w:rsidP="00B04DF5">
      <w:pPr>
        <w:spacing w:before="360" w:after="360" w:line="360" w:lineRule="auto"/>
        <w:rPr>
          <w:rFonts w:cs="Arial"/>
          <w:i/>
          <w:szCs w:val="24"/>
          <w:lang w:val="en-GB"/>
        </w:rPr>
      </w:pPr>
    </w:p>
    <w:p w14:paraId="521E275C" w14:textId="10BD1170" w:rsidR="006749AD" w:rsidRPr="004D2227" w:rsidRDefault="004D2227" w:rsidP="004D2227">
      <w:pPr>
        <w:tabs>
          <w:tab w:val="left" w:pos="861"/>
        </w:tabs>
        <w:spacing w:before="360" w:after="360" w:line="360" w:lineRule="auto"/>
        <w:ind w:left="851" w:right="439" w:hanging="851"/>
        <w:rPr>
          <w:rFonts w:cs="Arial"/>
          <w:szCs w:val="24"/>
          <w:lang w:val="en-GB"/>
        </w:rPr>
      </w:pPr>
      <w:r>
        <w:rPr>
          <w:rFonts w:cs="Arial"/>
          <w:w w:val="99"/>
          <w:szCs w:val="24"/>
        </w:rPr>
        <w:t>1.</w:t>
      </w:r>
      <w:r>
        <w:rPr>
          <w:rFonts w:cs="Arial"/>
          <w:w w:val="99"/>
          <w:szCs w:val="24"/>
        </w:rPr>
        <w:tab/>
      </w:r>
      <w:r w:rsidR="00E10411" w:rsidRPr="004D2227">
        <w:rPr>
          <w:rFonts w:cs="Arial"/>
          <w:szCs w:val="24"/>
          <w:lang w:val="en-GB"/>
        </w:rPr>
        <w:t xml:space="preserve">The Applicant applies for an order in the following terms:                                                              </w:t>
      </w:r>
    </w:p>
    <w:p w14:paraId="539C54EB" w14:textId="1FEB8520" w:rsidR="00E10411" w:rsidRDefault="00E10411" w:rsidP="00E10411">
      <w:pPr>
        <w:pStyle w:val="ListParagraph"/>
        <w:spacing w:before="360" w:after="360" w:line="360" w:lineRule="auto"/>
        <w:ind w:left="851" w:right="439"/>
        <w:rPr>
          <w:rFonts w:cs="Arial"/>
          <w:szCs w:val="24"/>
          <w:lang w:val="en-GB"/>
        </w:rPr>
      </w:pPr>
      <w:r>
        <w:rPr>
          <w:rFonts w:cs="Arial"/>
          <w:szCs w:val="24"/>
          <w:lang w:val="en-GB"/>
        </w:rPr>
        <w:t>1)That the First and Third Respondents be directed</w:t>
      </w:r>
      <w:r w:rsidR="00042565">
        <w:rPr>
          <w:rFonts w:cs="Arial"/>
          <w:szCs w:val="24"/>
          <w:lang w:val="en-GB"/>
        </w:rPr>
        <w:t xml:space="preserve"> to comply with Rule 53(1)(b) of the Uniform Rules of Court within ten (10) days from the date of this order by despatching to the Registrar and the Applicant all the documents listed in the Applicant’s Notice in terms of Rule 30A of the Uniform Rules of Court;</w:t>
      </w:r>
    </w:p>
    <w:p w14:paraId="3A1F508B" w14:textId="56F46D8D" w:rsidR="00042565" w:rsidRDefault="00042565" w:rsidP="00E10411">
      <w:pPr>
        <w:pStyle w:val="ListParagraph"/>
        <w:spacing w:before="360" w:after="360" w:line="360" w:lineRule="auto"/>
        <w:ind w:left="851" w:right="439"/>
        <w:rPr>
          <w:rFonts w:cs="Arial"/>
          <w:szCs w:val="24"/>
          <w:lang w:val="en-GB"/>
        </w:rPr>
      </w:pPr>
      <w:r>
        <w:rPr>
          <w:rFonts w:cs="Arial"/>
          <w:szCs w:val="24"/>
          <w:lang w:val="en-GB"/>
        </w:rPr>
        <w:t>2)The First and Third Respondents to pay the costs of this application, jointly and severally, with the Second Respondent if he opposes this application;</w:t>
      </w:r>
      <w:r w:rsidR="0047670D">
        <w:rPr>
          <w:rFonts w:cs="Arial"/>
          <w:szCs w:val="24"/>
          <w:lang w:val="en-GB"/>
        </w:rPr>
        <w:t xml:space="preserve"> </w:t>
      </w:r>
      <w:r>
        <w:rPr>
          <w:rFonts w:cs="Arial"/>
          <w:szCs w:val="24"/>
          <w:lang w:val="en-GB"/>
        </w:rPr>
        <w:t>and</w:t>
      </w:r>
    </w:p>
    <w:p w14:paraId="2B4866DC" w14:textId="7F8ABE74" w:rsidR="00042565" w:rsidRPr="00A94B45" w:rsidRDefault="00042565" w:rsidP="00E10411">
      <w:pPr>
        <w:pStyle w:val="ListParagraph"/>
        <w:spacing w:before="360" w:after="360" w:line="360" w:lineRule="auto"/>
        <w:ind w:left="851" w:right="439"/>
        <w:rPr>
          <w:rFonts w:cs="Arial"/>
          <w:szCs w:val="24"/>
          <w:lang w:val="en-GB"/>
        </w:rPr>
      </w:pPr>
      <w:r>
        <w:rPr>
          <w:rFonts w:cs="Arial"/>
          <w:szCs w:val="24"/>
          <w:lang w:val="en-GB"/>
        </w:rPr>
        <w:t>3)further and/or alternative relief</w:t>
      </w:r>
    </w:p>
    <w:p w14:paraId="6D3D5D00" w14:textId="7DE4A616" w:rsidR="006749AD" w:rsidRDefault="00042565" w:rsidP="00042565">
      <w:pPr>
        <w:spacing w:before="360" w:after="360" w:line="360" w:lineRule="auto"/>
        <w:ind w:left="851" w:right="439" w:hanging="851"/>
        <w:rPr>
          <w:rFonts w:eastAsia="Arial" w:cs="Arial"/>
          <w:bCs/>
          <w:lang w:val="en-GB"/>
        </w:rPr>
      </w:pPr>
      <w:r w:rsidRPr="00042565">
        <w:rPr>
          <w:rFonts w:eastAsia="Arial" w:cs="Arial"/>
          <w:bCs/>
          <w:lang w:val="en-GB"/>
        </w:rPr>
        <w:t>2</w:t>
      </w:r>
      <w:r>
        <w:rPr>
          <w:rFonts w:eastAsia="Arial" w:cs="Arial"/>
          <w:bCs/>
          <w:lang w:val="en-GB"/>
        </w:rPr>
        <w:t>.</w:t>
      </w:r>
      <w:r w:rsidR="006749AD" w:rsidRPr="00042565">
        <w:rPr>
          <w:rFonts w:eastAsia="Arial" w:cs="Arial"/>
          <w:bCs/>
          <w:lang w:val="en-GB"/>
        </w:rPr>
        <w:t xml:space="preserve"> </w:t>
      </w:r>
      <w:r>
        <w:rPr>
          <w:rFonts w:eastAsia="Arial" w:cs="Arial"/>
          <w:bCs/>
          <w:lang w:val="en-GB"/>
        </w:rPr>
        <w:t xml:space="preserve">        The Applicant’s notice in terms of Rule 30A contains the list of documents sought, which is quite a substantial list.</w:t>
      </w:r>
      <w:r w:rsidR="00E91414">
        <w:rPr>
          <w:rFonts w:eastAsia="Arial" w:cs="Arial"/>
          <w:bCs/>
          <w:lang w:val="en-GB"/>
        </w:rPr>
        <w:t xml:space="preserve">                                                                                                  </w:t>
      </w:r>
    </w:p>
    <w:p w14:paraId="7E7F3A05" w14:textId="0021C6A5" w:rsidR="00042565" w:rsidRDefault="00E91414" w:rsidP="00042565">
      <w:pPr>
        <w:spacing w:before="360" w:after="360" w:line="360" w:lineRule="auto"/>
        <w:ind w:left="851" w:right="439" w:hanging="851"/>
        <w:rPr>
          <w:rFonts w:eastAsia="Arial" w:cs="Arial"/>
          <w:bCs/>
          <w:lang w:val="en-GB"/>
        </w:rPr>
      </w:pPr>
      <w:r>
        <w:rPr>
          <w:rFonts w:eastAsia="Arial" w:cs="Arial"/>
          <w:bCs/>
          <w:lang w:val="en-GB"/>
        </w:rPr>
        <w:t xml:space="preserve">             See: Caselines 04-26 to 04-35</w:t>
      </w:r>
    </w:p>
    <w:p w14:paraId="46A1EB8F" w14:textId="395EF9A4" w:rsidR="00E91414" w:rsidRDefault="00E91414" w:rsidP="00042565">
      <w:pPr>
        <w:spacing w:before="360" w:after="360" w:line="360" w:lineRule="auto"/>
        <w:ind w:left="851" w:right="439" w:hanging="851"/>
        <w:rPr>
          <w:rFonts w:eastAsia="Arial" w:cs="Arial"/>
          <w:bCs/>
          <w:lang w:val="en-GB"/>
        </w:rPr>
      </w:pPr>
      <w:r>
        <w:rPr>
          <w:rFonts w:eastAsia="Arial" w:cs="Arial"/>
          <w:bCs/>
          <w:lang w:val="en-GB"/>
        </w:rPr>
        <w:t xml:space="preserve">3           The main application is a review in terms of Sec 6 of Act 3 of 2000 (PAJA) and the First and Second Respondents were in terms of R 53 (1) (b) of the Uniform Rules of Court required to despatch the record within 15 days of receipt of the Applicant’s Notice of Motion, containing all documents and </w:t>
      </w:r>
      <w:r>
        <w:rPr>
          <w:rFonts w:eastAsia="Arial" w:cs="Arial"/>
          <w:bCs/>
          <w:lang w:val="en-GB"/>
        </w:rPr>
        <w:lastRenderedPageBreak/>
        <w:t>information relevant to the decisions under challenge of the Applicant.</w:t>
      </w:r>
    </w:p>
    <w:p w14:paraId="779D3C48" w14:textId="0DCB3944" w:rsidR="00E91414" w:rsidRDefault="00E91414" w:rsidP="00042565">
      <w:pPr>
        <w:spacing w:before="360" w:after="360" w:line="360" w:lineRule="auto"/>
        <w:ind w:left="851" w:right="439" w:hanging="851"/>
        <w:rPr>
          <w:rFonts w:eastAsia="Arial" w:cs="Arial"/>
          <w:bCs/>
          <w:lang w:val="en-GB"/>
        </w:rPr>
      </w:pPr>
      <w:r>
        <w:rPr>
          <w:rFonts w:eastAsia="Arial" w:cs="Arial"/>
          <w:bCs/>
          <w:lang w:val="en-GB"/>
        </w:rPr>
        <w:t>4          A record was delivered , but, according to the Applicant, it comprised mainly</w:t>
      </w:r>
      <w:r w:rsidR="00FA5453">
        <w:rPr>
          <w:rFonts w:eastAsia="Arial" w:cs="Arial"/>
          <w:bCs/>
          <w:lang w:val="en-GB"/>
        </w:rPr>
        <w:t xml:space="preserve"> of documents sourced from the Respondent’s website which was already accessible to everyone. Therefor the Applicant takes the stance that that the record is not sufficient for purposes of  Rule 53 review proceedings and the Applicant alleges that what </w:t>
      </w:r>
      <w:r w:rsidR="0047670D">
        <w:rPr>
          <w:rFonts w:eastAsia="Arial" w:cs="Arial"/>
          <w:bCs/>
          <w:lang w:val="en-GB"/>
        </w:rPr>
        <w:t>is</w:t>
      </w:r>
      <w:r w:rsidR="00FA5453">
        <w:rPr>
          <w:rFonts w:eastAsia="Arial" w:cs="Arial"/>
          <w:bCs/>
          <w:lang w:val="en-GB"/>
        </w:rPr>
        <w:t xml:space="preserve"> missing are source documents upon which decision-making is based and the documents reflecting deliberations regarding how the Respondents came to make the challenged decisions.</w:t>
      </w:r>
    </w:p>
    <w:p w14:paraId="0B26A7DF" w14:textId="2DE85A86" w:rsidR="00FA5453" w:rsidRDefault="00FA5453" w:rsidP="00042565">
      <w:pPr>
        <w:spacing w:before="360" w:after="360" w:line="360" w:lineRule="auto"/>
        <w:ind w:left="851" w:right="439" w:hanging="851"/>
        <w:rPr>
          <w:rFonts w:eastAsia="Arial" w:cs="Arial"/>
          <w:bCs/>
          <w:lang w:val="en-GB"/>
        </w:rPr>
      </w:pPr>
      <w:r>
        <w:rPr>
          <w:rFonts w:eastAsia="Arial" w:cs="Arial"/>
          <w:bCs/>
          <w:lang w:val="en-GB"/>
        </w:rPr>
        <w:t>5          As a result the Notice in terms of R 30A with a comprehensive list of documents were served on the Respondents. All the alleged missing documents were properly described and identified.</w:t>
      </w:r>
    </w:p>
    <w:p w14:paraId="11C82878" w14:textId="3DF25F19" w:rsidR="00FA5453" w:rsidRDefault="00FA5453" w:rsidP="00FA5453">
      <w:pPr>
        <w:tabs>
          <w:tab w:val="left" w:pos="993"/>
        </w:tabs>
        <w:spacing w:before="360" w:after="360" w:line="360" w:lineRule="auto"/>
        <w:ind w:left="851" w:right="439" w:hanging="851"/>
        <w:rPr>
          <w:rFonts w:eastAsia="Arial" w:cs="Arial"/>
          <w:bCs/>
          <w:lang w:val="en-GB"/>
        </w:rPr>
      </w:pPr>
      <w:r>
        <w:rPr>
          <w:rFonts w:eastAsia="Arial" w:cs="Arial"/>
          <w:bCs/>
          <w:lang w:val="en-GB"/>
        </w:rPr>
        <w:t>6          Letters were written</w:t>
      </w:r>
      <w:r w:rsidR="007C3C23">
        <w:rPr>
          <w:rFonts w:eastAsia="Arial" w:cs="Arial"/>
          <w:bCs/>
          <w:lang w:val="en-GB"/>
        </w:rPr>
        <w:t xml:space="preserve"> to and fro between the attorneys of the parties which resulted in the filing of a “</w:t>
      </w:r>
      <w:r w:rsidR="0047670D">
        <w:rPr>
          <w:rFonts w:eastAsia="Arial" w:cs="Arial"/>
          <w:bCs/>
          <w:lang w:val="en-GB"/>
        </w:rPr>
        <w:t>S</w:t>
      </w:r>
      <w:r w:rsidR="007C3C23">
        <w:rPr>
          <w:rFonts w:eastAsia="Arial" w:cs="Arial"/>
          <w:bCs/>
          <w:lang w:val="en-GB"/>
        </w:rPr>
        <w:t>upplementary record” containing sixteen (16) of the requested items only. This happened on 11 November 2022.</w:t>
      </w:r>
    </w:p>
    <w:p w14:paraId="4109CEAD" w14:textId="77777777" w:rsidR="007C3C23" w:rsidRDefault="007C3C23" w:rsidP="00FA5453">
      <w:pPr>
        <w:tabs>
          <w:tab w:val="left" w:pos="993"/>
        </w:tabs>
        <w:spacing w:before="360" w:after="360" w:line="360" w:lineRule="auto"/>
        <w:ind w:left="851" w:right="439" w:hanging="851"/>
        <w:rPr>
          <w:rFonts w:eastAsia="Arial" w:cs="Arial"/>
          <w:bCs/>
          <w:lang w:val="en-GB"/>
        </w:rPr>
      </w:pPr>
      <w:r>
        <w:rPr>
          <w:rFonts w:eastAsia="Arial" w:cs="Arial"/>
          <w:bCs/>
          <w:lang w:val="en-GB"/>
        </w:rPr>
        <w:t>7         The Applicant was clearly not satisfied with the response from the Respondents and launched this application 4 days later, which action was regarded by the Respondents as an indication that the Applicant did not consider the delivery of the 16 items at all.</w:t>
      </w:r>
    </w:p>
    <w:p w14:paraId="1B938248" w14:textId="5695FEAB" w:rsidR="007C3C23" w:rsidRDefault="007C3C23" w:rsidP="00FA5453">
      <w:pPr>
        <w:tabs>
          <w:tab w:val="left" w:pos="993"/>
        </w:tabs>
        <w:spacing w:before="360" w:after="360" w:line="360" w:lineRule="auto"/>
        <w:ind w:left="851" w:right="439" w:hanging="851"/>
        <w:rPr>
          <w:rFonts w:eastAsia="Arial" w:cs="Arial"/>
          <w:bCs/>
          <w:lang w:val="en-GB"/>
        </w:rPr>
      </w:pPr>
      <w:r>
        <w:rPr>
          <w:rFonts w:eastAsia="Arial" w:cs="Arial"/>
          <w:bCs/>
          <w:lang w:val="en-GB"/>
        </w:rPr>
        <w:t>8          It needs mentioning that the relevancy of the sought-after documents were never an issue during the correspondence between the parties</w:t>
      </w:r>
      <w:r w:rsidR="00B257D8">
        <w:rPr>
          <w:rFonts w:eastAsia="Arial" w:cs="Arial"/>
          <w:bCs/>
          <w:lang w:val="en-GB"/>
        </w:rPr>
        <w:t>. What occurred quite often was that the Respondents frequently requested indulgences, starting in April 2022 when they had to deliver reasons in terms of Sec 5 of PAJA. Then an indulgence was sought when they had to deliver the Record after issuing of the Review application. The latest was an indulgence to file their answering affidavit in this application. It needs mentioning that condonation</w:t>
      </w:r>
      <w:r w:rsidR="00D06F2D">
        <w:rPr>
          <w:rFonts w:eastAsia="Arial" w:cs="Arial"/>
          <w:bCs/>
          <w:lang w:val="en-GB"/>
        </w:rPr>
        <w:t xml:space="preserve"> for the late filing of the Answering affidavit</w:t>
      </w:r>
      <w:r w:rsidR="00B257D8">
        <w:rPr>
          <w:rFonts w:eastAsia="Arial" w:cs="Arial"/>
          <w:bCs/>
          <w:lang w:val="en-GB"/>
        </w:rPr>
        <w:t xml:space="preserve"> was granted when the application was argued.</w:t>
      </w:r>
    </w:p>
    <w:p w14:paraId="2CEF04C5" w14:textId="1C8811F1" w:rsidR="00B257D8" w:rsidRDefault="00B257D8" w:rsidP="00FA5453">
      <w:pPr>
        <w:tabs>
          <w:tab w:val="left" w:pos="993"/>
        </w:tabs>
        <w:spacing w:before="360" w:after="360" w:line="360" w:lineRule="auto"/>
        <w:ind w:left="851" w:right="439" w:hanging="851"/>
        <w:rPr>
          <w:rFonts w:eastAsia="Arial" w:cs="Arial"/>
          <w:bCs/>
          <w:lang w:val="en-GB"/>
        </w:rPr>
      </w:pPr>
      <w:r>
        <w:rPr>
          <w:rFonts w:eastAsia="Arial" w:cs="Arial"/>
          <w:bCs/>
          <w:lang w:val="en-GB"/>
        </w:rPr>
        <w:t xml:space="preserve">9        </w:t>
      </w:r>
      <w:r w:rsidR="004A0EFE">
        <w:rPr>
          <w:rFonts w:eastAsia="Arial" w:cs="Arial"/>
          <w:bCs/>
          <w:lang w:val="en-GB"/>
        </w:rPr>
        <w:t xml:space="preserve"> </w:t>
      </w:r>
      <w:r>
        <w:rPr>
          <w:rFonts w:eastAsia="Arial" w:cs="Arial"/>
          <w:bCs/>
          <w:lang w:val="en-GB"/>
        </w:rPr>
        <w:t xml:space="preserve"> Compliance with Rule 53 time frames is not just a procedural process, but is a substantive requirement which serves to ensure that the substance of the </w:t>
      </w:r>
      <w:r>
        <w:rPr>
          <w:rFonts w:eastAsia="Arial" w:cs="Arial"/>
          <w:bCs/>
          <w:lang w:val="en-GB"/>
        </w:rPr>
        <w:lastRenderedPageBreak/>
        <w:t>decision is properly put to the fore at an early stage.</w:t>
      </w:r>
      <w:r w:rsidR="004A0EFE">
        <w:rPr>
          <w:rFonts w:eastAsia="Arial" w:cs="Arial"/>
          <w:bCs/>
          <w:lang w:val="en-GB"/>
        </w:rPr>
        <w:t xml:space="preserve"> Any attempt to frustrate this should be met with displeasure by the courts.</w:t>
      </w:r>
    </w:p>
    <w:p w14:paraId="00602A2A" w14:textId="6A00C77D" w:rsidR="004A0EFE" w:rsidRDefault="004A0EFE" w:rsidP="00FA5453">
      <w:pPr>
        <w:tabs>
          <w:tab w:val="left" w:pos="993"/>
        </w:tabs>
        <w:spacing w:before="360" w:after="360" w:line="360" w:lineRule="auto"/>
        <w:ind w:left="851" w:right="439" w:hanging="851"/>
        <w:rPr>
          <w:rFonts w:eastAsia="Arial" w:cs="Arial"/>
          <w:bCs/>
          <w:lang w:val="en-GB"/>
        </w:rPr>
      </w:pPr>
      <w:r>
        <w:rPr>
          <w:rFonts w:eastAsia="Arial" w:cs="Arial"/>
          <w:bCs/>
          <w:lang w:val="en-GB"/>
        </w:rPr>
        <w:t xml:space="preserve">            See: </w:t>
      </w:r>
      <w:r w:rsidRPr="0047670D">
        <w:rPr>
          <w:rFonts w:eastAsia="Arial" w:cs="Arial"/>
          <w:bCs/>
          <w:u w:val="single"/>
          <w:lang w:val="en-GB"/>
        </w:rPr>
        <w:t>GCB v Jiba 2017 (2) SA 122 (GP) par 112</w:t>
      </w:r>
    </w:p>
    <w:p w14:paraId="7178EC44" w14:textId="787E60B3" w:rsidR="004A0EFE" w:rsidRDefault="004A0EFE" w:rsidP="00FA5453">
      <w:pPr>
        <w:tabs>
          <w:tab w:val="left" w:pos="993"/>
        </w:tabs>
        <w:spacing w:before="360" w:after="360" w:line="360" w:lineRule="auto"/>
        <w:ind w:left="851" w:right="439" w:hanging="851"/>
        <w:rPr>
          <w:rFonts w:eastAsia="Arial" w:cs="Arial"/>
          <w:bCs/>
          <w:lang w:val="en-GB"/>
        </w:rPr>
      </w:pPr>
      <w:r>
        <w:rPr>
          <w:rFonts w:eastAsia="Arial" w:cs="Arial"/>
          <w:bCs/>
          <w:lang w:val="en-GB"/>
        </w:rPr>
        <w:t>10       Counsel for the Respondents called the list of documents in the R</w:t>
      </w:r>
      <w:r w:rsidR="0047670D">
        <w:rPr>
          <w:rFonts w:eastAsia="Arial" w:cs="Arial"/>
          <w:bCs/>
          <w:lang w:val="en-GB"/>
        </w:rPr>
        <w:t>ule</w:t>
      </w:r>
      <w:r>
        <w:rPr>
          <w:rFonts w:eastAsia="Arial" w:cs="Arial"/>
          <w:bCs/>
          <w:lang w:val="en-GB"/>
        </w:rPr>
        <w:t xml:space="preserve"> 30A notice a “Horrendous shopping list”. The fact that the documents sought seems to be voluminous and the list quite extensive is of no concern. As stated above, the documents are properly identified and described.</w:t>
      </w:r>
    </w:p>
    <w:p w14:paraId="679B6CBB" w14:textId="616914A9" w:rsidR="004A0EFE" w:rsidRDefault="004A0EFE" w:rsidP="00FA5453">
      <w:pPr>
        <w:tabs>
          <w:tab w:val="left" w:pos="993"/>
        </w:tabs>
        <w:spacing w:before="360" w:after="360" w:line="360" w:lineRule="auto"/>
        <w:ind w:left="851" w:right="439" w:hanging="851"/>
        <w:rPr>
          <w:rFonts w:eastAsia="Arial" w:cs="Arial"/>
          <w:bCs/>
          <w:lang w:val="en-GB"/>
        </w:rPr>
      </w:pPr>
      <w:r>
        <w:rPr>
          <w:rFonts w:eastAsia="Arial" w:cs="Arial"/>
          <w:bCs/>
          <w:lang w:val="en-GB"/>
        </w:rPr>
        <w:t>11        The Applicant relies heavily on the judgement of the Constitutional Court in the Helen Suzman case in which it was held that every scrap of paper that can throw light on the decision-making process is relevant and needs to be produced</w:t>
      </w:r>
      <w:r w:rsidR="002268B7">
        <w:rPr>
          <w:rFonts w:eastAsia="Arial" w:cs="Arial"/>
          <w:bCs/>
          <w:lang w:val="en-GB"/>
        </w:rPr>
        <w:t>. I agree.</w:t>
      </w:r>
    </w:p>
    <w:p w14:paraId="211737BE" w14:textId="05F54117" w:rsidR="002268B7" w:rsidRDefault="002268B7" w:rsidP="00FA5453">
      <w:pPr>
        <w:tabs>
          <w:tab w:val="left" w:pos="993"/>
        </w:tabs>
        <w:spacing w:before="360" w:after="360" w:line="360" w:lineRule="auto"/>
        <w:ind w:left="851" w:right="439" w:hanging="851"/>
        <w:rPr>
          <w:rFonts w:eastAsia="Arial" w:cs="Arial"/>
          <w:bCs/>
          <w:lang w:val="en-GB"/>
        </w:rPr>
      </w:pPr>
      <w:r>
        <w:rPr>
          <w:rFonts w:eastAsia="Arial" w:cs="Arial"/>
          <w:bCs/>
          <w:lang w:val="en-GB"/>
        </w:rPr>
        <w:t xml:space="preserve">            See:</w:t>
      </w:r>
      <w:r w:rsidRPr="0047670D">
        <w:rPr>
          <w:rFonts w:eastAsia="Arial" w:cs="Arial"/>
          <w:bCs/>
          <w:u w:val="single"/>
          <w:lang w:val="en-GB"/>
        </w:rPr>
        <w:t xml:space="preserve"> Helen Suzman Foundation v Judicial Service Commission 2018 (4) SA 1 (CC) paras 18 and 19</w:t>
      </w:r>
    </w:p>
    <w:p w14:paraId="6F90F687" w14:textId="09804BAB" w:rsidR="002268B7" w:rsidRDefault="002268B7" w:rsidP="00FA5453">
      <w:pPr>
        <w:tabs>
          <w:tab w:val="left" w:pos="993"/>
        </w:tabs>
        <w:spacing w:before="360" w:after="360" w:line="360" w:lineRule="auto"/>
        <w:ind w:left="851" w:right="439" w:hanging="851"/>
        <w:rPr>
          <w:rFonts w:eastAsia="Arial" w:cs="Arial"/>
          <w:bCs/>
          <w:lang w:val="en-GB"/>
        </w:rPr>
      </w:pPr>
      <w:r>
        <w:rPr>
          <w:rFonts w:eastAsia="Arial" w:cs="Arial"/>
          <w:bCs/>
          <w:lang w:val="en-GB"/>
        </w:rPr>
        <w:t>1</w:t>
      </w:r>
      <w:bookmarkStart w:id="0" w:name="_GoBack"/>
      <w:bookmarkEnd w:id="0"/>
      <w:r>
        <w:rPr>
          <w:rFonts w:eastAsia="Arial" w:cs="Arial"/>
          <w:bCs/>
          <w:lang w:val="en-GB"/>
        </w:rPr>
        <w:t>2        Counsel for the Respondents also suggested a longer period than the 10 days in Rule 30A to provide the sought after documents in the event that this application is successful. I am not sure that I can do that.</w:t>
      </w:r>
    </w:p>
    <w:p w14:paraId="68F31BDF" w14:textId="24267DF4" w:rsidR="0047670D" w:rsidRDefault="0047670D" w:rsidP="00FA5453">
      <w:pPr>
        <w:tabs>
          <w:tab w:val="left" w:pos="993"/>
        </w:tabs>
        <w:spacing w:before="360" w:after="360" w:line="360" w:lineRule="auto"/>
        <w:ind w:left="851" w:right="439" w:hanging="851"/>
        <w:rPr>
          <w:rFonts w:eastAsia="Arial" w:cs="Arial"/>
          <w:bCs/>
          <w:lang w:val="en-GB"/>
        </w:rPr>
      </w:pPr>
      <w:r>
        <w:rPr>
          <w:rFonts w:eastAsia="Arial" w:cs="Arial"/>
          <w:bCs/>
          <w:lang w:val="en-GB"/>
        </w:rPr>
        <w:t xml:space="preserve">13         </w:t>
      </w:r>
      <w:r w:rsidR="00D06F2D">
        <w:rPr>
          <w:rFonts w:eastAsia="Arial" w:cs="Arial"/>
          <w:bCs/>
          <w:lang w:val="en-GB"/>
        </w:rPr>
        <w:t>I am satisfied that the Applicant discharged the onus and made out a proper case that the documents required are relevant to the review.</w:t>
      </w:r>
    </w:p>
    <w:p w14:paraId="4F7DC3FD" w14:textId="5C95BDCD" w:rsidR="002268B7" w:rsidRDefault="002268B7" w:rsidP="00FA5453">
      <w:pPr>
        <w:tabs>
          <w:tab w:val="left" w:pos="993"/>
        </w:tabs>
        <w:spacing w:before="360" w:after="360" w:line="360" w:lineRule="auto"/>
        <w:ind w:left="851" w:right="439" w:hanging="851"/>
        <w:rPr>
          <w:rFonts w:eastAsia="Arial" w:cs="Arial"/>
          <w:bCs/>
          <w:lang w:val="en-GB"/>
        </w:rPr>
      </w:pPr>
      <w:r>
        <w:rPr>
          <w:rFonts w:eastAsia="Arial" w:cs="Arial"/>
          <w:bCs/>
          <w:lang w:val="en-GB"/>
        </w:rPr>
        <w:t>1</w:t>
      </w:r>
      <w:r w:rsidR="00D06F2D">
        <w:rPr>
          <w:rFonts w:eastAsia="Arial" w:cs="Arial"/>
          <w:bCs/>
          <w:lang w:val="en-GB"/>
        </w:rPr>
        <w:t>4</w:t>
      </w:r>
      <w:r>
        <w:rPr>
          <w:rFonts w:eastAsia="Arial" w:cs="Arial"/>
          <w:bCs/>
          <w:lang w:val="en-GB"/>
        </w:rPr>
        <w:t xml:space="preserve">        I therefore make the following order:</w:t>
      </w:r>
    </w:p>
    <w:p w14:paraId="01982263" w14:textId="27BAEF66" w:rsidR="002268B7" w:rsidRPr="004D2227" w:rsidRDefault="004D2227" w:rsidP="004D2227">
      <w:pPr>
        <w:tabs>
          <w:tab w:val="left" w:pos="993"/>
        </w:tabs>
        <w:spacing w:before="360" w:after="360" w:line="360" w:lineRule="auto"/>
        <w:ind w:left="1090" w:right="439" w:hanging="360"/>
        <w:rPr>
          <w:rFonts w:eastAsia="Arial" w:cs="Arial"/>
          <w:bCs/>
          <w:lang w:val="en-GB"/>
        </w:rPr>
      </w:pPr>
      <w:r>
        <w:rPr>
          <w:rFonts w:eastAsia="Arial" w:cs="Arial"/>
          <w:bCs/>
          <w:lang w:val="en-GB"/>
        </w:rPr>
        <w:t>1)</w:t>
      </w:r>
      <w:r>
        <w:rPr>
          <w:rFonts w:eastAsia="Arial" w:cs="Arial"/>
          <w:bCs/>
          <w:lang w:val="en-GB"/>
        </w:rPr>
        <w:tab/>
      </w:r>
      <w:r w:rsidR="002268B7" w:rsidRPr="004D2227">
        <w:rPr>
          <w:rFonts w:eastAsia="Arial" w:cs="Arial"/>
          <w:bCs/>
          <w:lang w:val="en-GB"/>
        </w:rPr>
        <w:t xml:space="preserve">The First and Third Respondents are directed to comply with Rule 53(1)(b) of the Uniform Rules of Court within ten days </w:t>
      </w:r>
      <w:r w:rsidR="00D5557A" w:rsidRPr="004D2227">
        <w:rPr>
          <w:rFonts w:eastAsia="Arial" w:cs="Arial"/>
          <w:bCs/>
          <w:lang w:val="en-GB"/>
        </w:rPr>
        <w:t>from the date of this order by despatching to the Registrar and the Applicant all the documents listed in the Applicant’s Notice in terms of  Rule 30A dated 4 October 2022.</w:t>
      </w:r>
    </w:p>
    <w:p w14:paraId="1DF30496" w14:textId="15EBAF91" w:rsidR="00D5557A" w:rsidRPr="004D2227" w:rsidRDefault="004D2227" w:rsidP="004D2227">
      <w:pPr>
        <w:tabs>
          <w:tab w:val="left" w:pos="993"/>
        </w:tabs>
        <w:spacing w:before="360" w:after="360" w:line="360" w:lineRule="auto"/>
        <w:ind w:left="1090" w:right="439" w:hanging="360"/>
        <w:rPr>
          <w:rFonts w:eastAsia="Arial" w:cs="Arial"/>
          <w:bCs/>
          <w:lang w:val="en-GB"/>
        </w:rPr>
      </w:pPr>
      <w:r>
        <w:rPr>
          <w:rFonts w:eastAsia="Arial" w:cs="Arial"/>
          <w:bCs/>
          <w:lang w:val="en-GB"/>
        </w:rPr>
        <w:t>2)</w:t>
      </w:r>
      <w:r>
        <w:rPr>
          <w:rFonts w:eastAsia="Arial" w:cs="Arial"/>
          <w:bCs/>
          <w:lang w:val="en-GB"/>
        </w:rPr>
        <w:tab/>
      </w:r>
      <w:r w:rsidR="00D5557A" w:rsidRPr="004D2227">
        <w:rPr>
          <w:rFonts w:eastAsia="Arial" w:cs="Arial"/>
          <w:bCs/>
          <w:lang w:val="en-GB"/>
        </w:rPr>
        <w:t>The First, Second and Third Respondents are ordered to pay the costs of this application, jointly and severally.</w:t>
      </w:r>
    </w:p>
    <w:p w14:paraId="442C5989" w14:textId="77777777" w:rsidR="00D5557A" w:rsidRPr="002268B7" w:rsidRDefault="00D5557A" w:rsidP="00D5557A">
      <w:pPr>
        <w:pStyle w:val="ListParagraph"/>
        <w:tabs>
          <w:tab w:val="left" w:pos="993"/>
        </w:tabs>
        <w:spacing w:before="360" w:after="360" w:line="360" w:lineRule="auto"/>
        <w:ind w:left="1090" w:right="439"/>
        <w:rPr>
          <w:rFonts w:eastAsia="Arial" w:cs="Arial"/>
          <w:bCs/>
          <w:lang w:val="en-GB"/>
        </w:rPr>
      </w:pPr>
    </w:p>
    <w:p w14:paraId="2FA68236" w14:textId="069ED426" w:rsidR="002268B7" w:rsidRPr="002268B7" w:rsidRDefault="002268B7" w:rsidP="002268B7">
      <w:pPr>
        <w:pStyle w:val="ListParagraph"/>
        <w:tabs>
          <w:tab w:val="left" w:pos="993"/>
        </w:tabs>
        <w:spacing w:before="360" w:after="360" w:line="360" w:lineRule="auto"/>
        <w:ind w:left="720" w:right="439"/>
        <w:rPr>
          <w:rFonts w:eastAsia="Arial" w:cs="Arial"/>
          <w:bCs/>
          <w:lang w:val="en-GB"/>
        </w:rPr>
      </w:pPr>
      <w:r w:rsidRPr="002268B7">
        <w:rPr>
          <w:rFonts w:eastAsia="Arial" w:cs="Arial"/>
          <w:bCs/>
          <w:lang w:val="en-GB"/>
        </w:rPr>
        <w:t xml:space="preserve">     </w:t>
      </w:r>
    </w:p>
    <w:p w14:paraId="0C257538" w14:textId="77777777" w:rsidR="00E005DD" w:rsidRPr="00A45619" w:rsidRDefault="00E005DD" w:rsidP="00E005DD">
      <w:pPr>
        <w:pStyle w:val="MEMONUMBERED"/>
        <w:numPr>
          <w:ilvl w:val="0"/>
          <w:numId w:val="0"/>
        </w:numPr>
        <w:spacing w:line="360" w:lineRule="auto"/>
        <w:jc w:val="center"/>
        <w:rPr>
          <w:rFonts w:ascii="Arial" w:hAnsi="Arial" w:cs="Arial"/>
        </w:rPr>
      </w:pPr>
    </w:p>
    <w:p w14:paraId="140EAA95" w14:textId="6433A908" w:rsidR="00E005DD" w:rsidRPr="00524DBE" w:rsidRDefault="00D5557A" w:rsidP="00D5557A">
      <w:pPr>
        <w:spacing w:line="360" w:lineRule="auto"/>
        <w:jc w:val="center"/>
        <w:rPr>
          <w:rFonts w:cs="Arial"/>
          <w:b/>
          <w:szCs w:val="24"/>
          <w:lang w:eastAsia="en-ZA"/>
        </w:rPr>
      </w:pPr>
      <w:r>
        <w:rPr>
          <w:rFonts w:cs="Arial"/>
          <w:b/>
          <w:szCs w:val="24"/>
          <w:lang w:eastAsia="en-ZA"/>
        </w:rPr>
        <w:t xml:space="preserve">                                                                GB BOTHA</w:t>
      </w:r>
    </w:p>
    <w:p w14:paraId="11B2C350" w14:textId="77777777" w:rsidR="00E005DD" w:rsidRPr="00A45619" w:rsidRDefault="00E005DD" w:rsidP="00E005DD">
      <w:pPr>
        <w:pStyle w:val="MEMONUMBERED"/>
        <w:numPr>
          <w:ilvl w:val="0"/>
          <w:numId w:val="0"/>
        </w:numPr>
        <w:spacing w:line="360" w:lineRule="auto"/>
        <w:jc w:val="right"/>
        <w:rPr>
          <w:rFonts w:ascii="Arial" w:hAnsi="Arial" w:cs="Arial"/>
        </w:rPr>
      </w:pPr>
      <w:r>
        <w:rPr>
          <w:rFonts w:ascii="Arial" w:hAnsi="Arial" w:cs="Arial"/>
        </w:rPr>
        <w:t xml:space="preserve">Acting </w:t>
      </w:r>
      <w:r w:rsidRPr="00A45619">
        <w:rPr>
          <w:rFonts w:ascii="Arial" w:hAnsi="Arial" w:cs="Arial"/>
        </w:rPr>
        <w:t>Judge of the High Court</w:t>
      </w:r>
    </w:p>
    <w:p w14:paraId="11FB9BD9" w14:textId="39875401" w:rsidR="00E005DD" w:rsidRPr="00A45619" w:rsidRDefault="00042565" w:rsidP="00E005DD">
      <w:pPr>
        <w:pStyle w:val="MEMONUMBERED"/>
        <w:numPr>
          <w:ilvl w:val="0"/>
          <w:numId w:val="0"/>
        </w:numPr>
        <w:spacing w:line="360" w:lineRule="auto"/>
        <w:jc w:val="right"/>
        <w:rPr>
          <w:rFonts w:ascii="Arial" w:hAnsi="Arial" w:cs="Arial"/>
        </w:rPr>
      </w:pPr>
      <w:r>
        <w:rPr>
          <w:rFonts w:ascii="Arial" w:hAnsi="Arial" w:cs="Arial"/>
        </w:rPr>
        <w:t xml:space="preserve">  </w:t>
      </w:r>
      <w:r w:rsidR="00E005DD" w:rsidRPr="00A45619">
        <w:rPr>
          <w:rFonts w:ascii="Arial" w:hAnsi="Arial" w:cs="Arial"/>
        </w:rPr>
        <w:t>Gauteng Division, Pretoria</w:t>
      </w:r>
    </w:p>
    <w:p w14:paraId="7C9687C1" w14:textId="77777777" w:rsidR="00E005DD" w:rsidRPr="00A45619" w:rsidRDefault="00E005DD" w:rsidP="00E005DD">
      <w:pPr>
        <w:pStyle w:val="MEMONUMBERED"/>
        <w:numPr>
          <w:ilvl w:val="0"/>
          <w:numId w:val="0"/>
        </w:numPr>
        <w:spacing w:line="360" w:lineRule="auto"/>
        <w:rPr>
          <w:rFonts w:ascii="Arial" w:hAnsi="Arial" w:cs="Arial"/>
        </w:rPr>
      </w:pPr>
    </w:p>
    <w:p w14:paraId="35E2F299" w14:textId="57562822" w:rsidR="00E005DD"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Date of Hearing: </w:t>
      </w:r>
      <w:r w:rsidR="00D5557A">
        <w:rPr>
          <w:rFonts w:ascii="Arial" w:hAnsi="Arial" w:cs="Arial"/>
        </w:rPr>
        <w:t>7 June 2023</w:t>
      </w:r>
      <w:r>
        <w:rPr>
          <w:rFonts w:ascii="Arial" w:hAnsi="Arial" w:cs="Arial"/>
        </w:rPr>
        <w:tab/>
      </w:r>
      <w:r>
        <w:rPr>
          <w:rFonts w:ascii="Arial" w:hAnsi="Arial" w:cs="Arial"/>
        </w:rPr>
        <w:tab/>
      </w:r>
    </w:p>
    <w:p w14:paraId="5E81983E" w14:textId="77777777" w:rsidR="00E005DD" w:rsidRDefault="00E005DD" w:rsidP="00E005DD">
      <w:pPr>
        <w:pStyle w:val="MEMONUMBERED"/>
        <w:numPr>
          <w:ilvl w:val="0"/>
          <w:numId w:val="0"/>
        </w:numPr>
        <w:spacing w:line="360" w:lineRule="auto"/>
        <w:rPr>
          <w:rFonts w:ascii="Arial" w:hAnsi="Arial" w:cs="Arial"/>
        </w:rPr>
      </w:pPr>
    </w:p>
    <w:p w14:paraId="2CBA795C" w14:textId="04E780A8" w:rsidR="00E005DD" w:rsidRPr="00A45619"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Judgment delivered: </w:t>
      </w:r>
      <w:r w:rsidR="00D5557A">
        <w:rPr>
          <w:rFonts w:ascii="Arial" w:hAnsi="Arial" w:cs="Arial"/>
        </w:rPr>
        <w:t>10 July 2023</w:t>
      </w:r>
      <w:r>
        <w:rPr>
          <w:rFonts w:ascii="Arial" w:hAnsi="Arial" w:cs="Arial"/>
        </w:rPr>
        <w:tab/>
      </w:r>
    </w:p>
    <w:p w14:paraId="08CE9B69" w14:textId="77777777" w:rsidR="00E005DD" w:rsidRDefault="00E005DD" w:rsidP="00E005DD">
      <w:pPr>
        <w:pStyle w:val="MEMONUMBERED"/>
        <w:numPr>
          <w:ilvl w:val="0"/>
          <w:numId w:val="0"/>
        </w:numPr>
        <w:spacing w:line="360" w:lineRule="auto"/>
        <w:rPr>
          <w:rFonts w:ascii="Arial" w:hAnsi="Arial" w:cs="Arial"/>
        </w:rPr>
      </w:pPr>
    </w:p>
    <w:p w14:paraId="792CCE94" w14:textId="77777777" w:rsidR="00E005DD" w:rsidRPr="00A45619" w:rsidRDefault="00E005DD" w:rsidP="00E005DD">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05DD" w:rsidRPr="00267664" w14:paraId="17392D8E" w14:textId="77777777" w:rsidTr="00400C90">
        <w:tc>
          <w:tcPr>
            <w:tcW w:w="4508" w:type="dxa"/>
          </w:tcPr>
          <w:p w14:paraId="0B87E71B" w14:textId="77777777" w:rsidR="00D5557A" w:rsidRDefault="00E005DD" w:rsidP="00400C90">
            <w:pPr>
              <w:rPr>
                <w:rFonts w:cs="Arial"/>
                <w:szCs w:val="24"/>
              </w:rPr>
            </w:pPr>
            <w:r>
              <w:rPr>
                <w:rFonts w:cs="Arial"/>
                <w:szCs w:val="24"/>
              </w:rPr>
              <w:t>Attorneys for applicant:</w:t>
            </w:r>
            <w:r w:rsidR="00D5557A">
              <w:rPr>
                <w:rFonts w:cs="Arial"/>
                <w:szCs w:val="24"/>
              </w:rPr>
              <w:t xml:space="preserve"> </w:t>
            </w:r>
          </w:p>
          <w:p w14:paraId="4CD51EE2" w14:textId="78F5DF64" w:rsidR="00E005DD" w:rsidRDefault="00D5557A" w:rsidP="00400C90">
            <w:pPr>
              <w:rPr>
                <w:rFonts w:cs="Arial"/>
                <w:szCs w:val="24"/>
              </w:rPr>
            </w:pPr>
            <w:r>
              <w:rPr>
                <w:rFonts w:cs="Arial"/>
                <w:szCs w:val="24"/>
              </w:rPr>
              <w:t>WERKSMANS ATTORNEYS</w:t>
            </w:r>
          </w:p>
          <w:p w14:paraId="2C139E2C" w14:textId="58D47248" w:rsidR="00D5557A" w:rsidRDefault="00D5557A" w:rsidP="00400C90">
            <w:pPr>
              <w:rPr>
                <w:rFonts w:cs="Arial"/>
                <w:szCs w:val="24"/>
              </w:rPr>
            </w:pPr>
            <w:r>
              <w:rPr>
                <w:rFonts w:cs="Arial"/>
                <w:szCs w:val="24"/>
              </w:rPr>
              <w:t>Sandton</w:t>
            </w:r>
          </w:p>
          <w:p w14:paraId="46FDEFE3" w14:textId="37039A36" w:rsidR="00D5557A" w:rsidRPr="00267664" w:rsidRDefault="00D5557A" w:rsidP="00400C90">
            <w:pPr>
              <w:rPr>
                <w:rFonts w:cs="Arial"/>
                <w:szCs w:val="24"/>
              </w:rPr>
            </w:pPr>
          </w:p>
        </w:tc>
        <w:tc>
          <w:tcPr>
            <w:tcW w:w="4508" w:type="dxa"/>
          </w:tcPr>
          <w:p w14:paraId="2711DC83" w14:textId="77777777" w:rsidR="00576BEB" w:rsidRDefault="00576BEB" w:rsidP="00400C90">
            <w:pPr>
              <w:rPr>
                <w:rFonts w:cs="Arial"/>
                <w:szCs w:val="24"/>
              </w:rPr>
            </w:pPr>
          </w:p>
          <w:p w14:paraId="0C0782FF" w14:textId="64CCFCFA" w:rsidR="00DB5844" w:rsidRPr="00267664" w:rsidRDefault="00DB5844" w:rsidP="00400C90">
            <w:pPr>
              <w:rPr>
                <w:rFonts w:cs="Arial"/>
                <w:szCs w:val="24"/>
              </w:rPr>
            </w:pPr>
            <w:r>
              <w:rPr>
                <w:rFonts w:cs="Arial"/>
                <w:szCs w:val="24"/>
              </w:rPr>
              <w:t xml:space="preserve"> </w:t>
            </w:r>
          </w:p>
        </w:tc>
      </w:tr>
      <w:tr w:rsidR="00E005DD" w14:paraId="5ED29E10" w14:textId="77777777" w:rsidTr="00400C90">
        <w:tc>
          <w:tcPr>
            <w:tcW w:w="4508" w:type="dxa"/>
          </w:tcPr>
          <w:p w14:paraId="7D4B9D0A" w14:textId="77777777" w:rsidR="00E005DD" w:rsidRDefault="00E005DD" w:rsidP="00400C90">
            <w:pPr>
              <w:rPr>
                <w:rFonts w:cs="Arial"/>
                <w:szCs w:val="24"/>
              </w:rPr>
            </w:pPr>
            <w:r>
              <w:rPr>
                <w:rFonts w:cs="Arial"/>
                <w:szCs w:val="24"/>
              </w:rPr>
              <w:t>Counsel for applicant:</w:t>
            </w:r>
          </w:p>
          <w:p w14:paraId="1A9F398D" w14:textId="102E883B" w:rsidR="00D5557A" w:rsidRDefault="00D5557A" w:rsidP="00400C90">
            <w:pPr>
              <w:rPr>
                <w:rFonts w:cs="Arial"/>
                <w:szCs w:val="24"/>
              </w:rPr>
            </w:pPr>
            <w:r>
              <w:rPr>
                <w:rFonts w:cs="Arial"/>
                <w:szCs w:val="24"/>
              </w:rPr>
              <w:t>BE Lee</w:t>
            </w:r>
            <w:r w:rsidR="0047670D">
              <w:rPr>
                <w:rFonts w:cs="Arial"/>
                <w:szCs w:val="24"/>
              </w:rPr>
              <w:t>ch SC</w:t>
            </w:r>
            <w:r w:rsidR="0047670D">
              <w:rPr>
                <w:rFonts w:cs="Arial"/>
                <w:szCs w:val="24"/>
              </w:rPr>
              <w:br/>
              <w:t>SL Mohapi</w:t>
            </w:r>
          </w:p>
          <w:p w14:paraId="07956DEA" w14:textId="77777777" w:rsidR="00D5557A" w:rsidRDefault="00D5557A" w:rsidP="00400C90">
            <w:pPr>
              <w:rPr>
                <w:rFonts w:cs="Arial"/>
                <w:szCs w:val="24"/>
              </w:rPr>
            </w:pPr>
          </w:p>
        </w:tc>
        <w:tc>
          <w:tcPr>
            <w:tcW w:w="4508" w:type="dxa"/>
          </w:tcPr>
          <w:p w14:paraId="20CC75DF" w14:textId="2B3B9267" w:rsidR="00E005DD" w:rsidRDefault="00E005DD" w:rsidP="00400C90">
            <w:pPr>
              <w:rPr>
                <w:rFonts w:cs="Arial"/>
                <w:szCs w:val="24"/>
              </w:rPr>
            </w:pPr>
          </w:p>
        </w:tc>
      </w:tr>
      <w:tr w:rsidR="00E005DD" w14:paraId="4E410D30" w14:textId="77777777" w:rsidTr="00400C90">
        <w:tc>
          <w:tcPr>
            <w:tcW w:w="4508" w:type="dxa"/>
          </w:tcPr>
          <w:p w14:paraId="5106B28A" w14:textId="77777777" w:rsidR="00E005DD" w:rsidRDefault="00E005DD" w:rsidP="00400C90">
            <w:pPr>
              <w:rPr>
                <w:rFonts w:cs="Arial"/>
                <w:szCs w:val="24"/>
              </w:rPr>
            </w:pPr>
          </w:p>
        </w:tc>
        <w:tc>
          <w:tcPr>
            <w:tcW w:w="4508" w:type="dxa"/>
          </w:tcPr>
          <w:p w14:paraId="08FC3319" w14:textId="77777777" w:rsidR="00E005DD" w:rsidRDefault="00E005DD" w:rsidP="00400C90">
            <w:pPr>
              <w:rPr>
                <w:rFonts w:cs="Arial"/>
                <w:szCs w:val="24"/>
              </w:rPr>
            </w:pPr>
          </w:p>
        </w:tc>
      </w:tr>
      <w:tr w:rsidR="00E005DD" w14:paraId="6560E884" w14:textId="77777777" w:rsidTr="00400C90">
        <w:tc>
          <w:tcPr>
            <w:tcW w:w="4508" w:type="dxa"/>
          </w:tcPr>
          <w:p w14:paraId="2DBFCBAD" w14:textId="77777777" w:rsidR="00E005DD" w:rsidRDefault="00E005DD" w:rsidP="00400C90">
            <w:pPr>
              <w:rPr>
                <w:rFonts w:cs="Arial"/>
                <w:szCs w:val="24"/>
              </w:rPr>
            </w:pPr>
            <w:r>
              <w:rPr>
                <w:rFonts w:cs="Arial"/>
                <w:szCs w:val="24"/>
              </w:rPr>
              <w:t>Attorneys for respondent:</w:t>
            </w:r>
          </w:p>
          <w:p w14:paraId="48FFF116" w14:textId="77777777" w:rsidR="0047670D" w:rsidRDefault="0047670D" w:rsidP="00400C90">
            <w:pPr>
              <w:rPr>
                <w:rFonts w:cs="Arial"/>
                <w:szCs w:val="24"/>
              </w:rPr>
            </w:pPr>
            <w:r>
              <w:rPr>
                <w:rFonts w:cs="Arial"/>
                <w:szCs w:val="24"/>
              </w:rPr>
              <w:t>LAWTONS INC. PRACTISING AS LAWTONS AFRICA</w:t>
            </w:r>
          </w:p>
          <w:p w14:paraId="30A3D2BD" w14:textId="3B605C45" w:rsidR="0047670D" w:rsidRDefault="0047670D" w:rsidP="00400C90">
            <w:pPr>
              <w:rPr>
                <w:rFonts w:cs="Arial"/>
                <w:szCs w:val="24"/>
              </w:rPr>
            </w:pPr>
          </w:p>
        </w:tc>
        <w:tc>
          <w:tcPr>
            <w:tcW w:w="4508" w:type="dxa"/>
          </w:tcPr>
          <w:p w14:paraId="27A205E2" w14:textId="77777777" w:rsidR="00DB5844" w:rsidRDefault="00DB5844" w:rsidP="00400C90">
            <w:pPr>
              <w:rPr>
                <w:rFonts w:cs="Arial"/>
                <w:szCs w:val="24"/>
              </w:rPr>
            </w:pPr>
          </w:p>
          <w:p w14:paraId="17D87082" w14:textId="26D3D513" w:rsidR="00576BEB" w:rsidRDefault="00576BEB" w:rsidP="00400C90">
            <w:pPr>
              <w:rPr>
                <w:rFonts w:cs="Arial"/>
                <w:szCs w:val="24"/>
              </w:rPr>
            </w:pPr>
          </w:p>
        </w:tc>
      </w:tr>
      <w:tr w:rsidR="00E005DD" w14:paraId="5FA07BED" w14:textId="77777777" w:rsidTr="00400C90">
        <w:tc>
          <w:tcPr>
            <w:tcW w:w="4508" w:type="dxa"/>
          </w:tcPr>
          <w:p w14:paraId="67DFC447" w14:textId="77777777" w:rsidR="00E005DD" w:rsidRDefault="00E005DD" w:rsidP="00400C90">
            <w:pPr>
              <w:rPr>
                <w:rFonts w:cs="Arial"/>
                <w:szCs w:val="24"/>
              </w:rPr>
            </w:pPr>
            <w:r>
              <w:rPr>
                <w:rFonts w:cs="Arial"/>
                <w:szCs w:val="24"/>
              </w:rPr>
              <w:t>Counsel for respondent:</w:t>
            </w:r>
          </w:p>
          <w:p w14:paraId="42416B43" w14:textId="77777777" w:rsidR="0047670D" w:rsidRDefault="0047670D" w:rsidP="00400C90">
            <w:pPr>
              <w:rPr>
                <w:rFonts w:cs="Arial"/>
                <w:szCs w:val="24"/>
              </w:rPr>
            </w:pPr>
            <w:r>
              <w:rPr>
                <w:rFonts w:cs="Arial"/>
                <w:szCs w:val="24"/>
              </w:rPr>
              <w:t xml:space="preserve">JJ Brett SC </w:t>
            </w:r>
          </w:p>
          <w:p w14:paraId="26A17B1A" w14:textId="58FC0263" w:rsidR="0047670D" w:rsidRDefault="0047670D" w:rsidP="00400C90">
            <w:pPr>
              <w:rPr>
                <w:rFonts w:cs="Arial"/>
                <w:szCs w:val="24"/>
              </w:rPr>
            </w:pPr>
            <w:r>
              <w:rPr>
                <w:rFonts w:cs="Arial"/>
                <w:szCs w:val="24"/>
              </w:rPr>
              <w:t>LA Matua</w:t>
            </w:r>
          </w:p>
        </w:tc>
        <w:tc>
          <w:tcPr>
            <w:tcW w:w="4508" w:type="dxa"/>
          </w:tcPr>
          <w:p w14:paraId="5AEA0A78" w14:textId="563C8D55" w:rsidR="00E005DD" w:rsidRDefault="00E005DD" w:rsidP="00400C90">
            <w:pPr>
              <w:rPr>
                <w:rFonts w:cs="Arial"/>
                <w:szCs w:val="24"/>
              </w:rPr>
            </w:pPr>
          </w:p>
        </w:tc>
      </w:tr>
      <w:tr w:rsidR="00E005DD" w14:paraId="1109D029" w14:textId="77777777" w:rsidTr="00400C90">
        <w:tc>
          <w:tcPr>
            <w:tcW w:w="4508" w:type="dxa"/>
          </w:tcPr>
          <w:p w14:paraId="2ABF273D" w14:textId="77777777" w:rsidR="00E005DD" w:rsidRDefault="00E005DD" w:rsidP="00400C90">
            <w:pPr>
              <w:rPr>
                <w:rFonts w:cs="Arial"/>
                <w:szCs w:val="24"/>
              </w:rPr>
            </w:pPr>
          </w:p>
        </w:tc>
        <w:tc>
          <w:tcPr>
            <w:tcW w:w="4508" w:type="dxa"/>
          </w:tcPr>
          <w:p w14:paraId="5D75F376" w14:textId="75CE696C" w:rsidR="00E005DD" w:rsidRDefault="00E005DD" w:rsidP="00400C90">
            <w:pPr>
              <w:rPr>
                <w:rFonts w:cs="Arial"/>
                <w:szCs w:val="24"/>
              </w:rPr>
            </w:pPr>
          </w:p>
        </w:tc>
      </w:tr>
    </w:tbl>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8"/>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DE697" w14:textId="77777777" w:rsidR="00251655" w:rsidRDefault="00251655" w:rsidP="00232F72">
      <w:r>
        <w:separator/>
      </w:r>
    </w:p>
  </w:endnote>
  <w:endnote w:type="continuationSeparator" w:id="0">
    <w:p w14:paraId="479E4721" w14:textId="77777777" w:rsidR="00251655" w:rsidRDefault="00251655"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9438"/>
      <w:docPartObj>
        <w:docPartGallery w:val="Page Numbers (Bottom of Page)"/>
        <w:docPartUnique/>
      </w:docPartObj>
    </w:sdtPr>
    <w:sdtEndPr/>
    <w:sdtContent>
      <w:p w14:paraId="604FCD18" w14:textId="3886214A" w:rsidR="00400C90" w:rsidRDefault="00400C90">
        <w:pPr>
          <w:pStyle w:val="Footer"/>
          <w:jc w:val="right"/>
        </w:pPr>
        <w:r>
          <w:fldChar w:fldCharType="begin"/>
        </w:r>
        <w:r>
          <w:instrText>PAGE   \* MERGEFORMAT</w:instrText>
        </w:r>
        <w:r>
          <w:fldChar w:fldCharType="separate"/>
        </w:r>
        <w:r w:rsidR="004D2227" w:rsidRPr="004D2227">
          <w:rPr>
            <w:noProof/>
            <w:lang w:val="en-GB"/>
          </w:rPr>
          <w:t>4</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AF7D3" w14:textId="77777777" w:rsidR="00251655" w:rsidRDefault="00251655" w:rsidP="00232F72">
      <w:r>
        <w:separator/>
      </w:r>
    </w:p>
  </w:footnote>
  <w:footnote w:type="continuationSeparator" w:id="0">
    <w:p w14:paraId="70E507D2" w14:textId="77777777" w:rsidR="00251655" w:rsidRDefault="00251655" w:rsidP="0023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nsid w:val="17960674"/>
    <w:multiLevelType w:val="hybridMultilevel"/>
    <w:tmpl w:val="4546E9BC"/>
    <w:lvl w:ilvl="0" w:tplc="E8EAF8B0">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E27B0B"/>
    <w:multiLevelType w:val="hybridMultilevel"/>
    <w:tmpl w:val="0DCA79D2"/>
    <w:lvl w:ilvl="0" w:tplc="CE08B966">
      <w:start w:val="1"/>
      <w:numFmt w:val="decimal"/>
      <w:lvlText w:val="%1)"/>
      <w:lvlJc w:val="left"/>
      <w:pPr>
        <w:ind w:left="1160" w:hanging="360"/>
      </w:pPr>
      <w:rPr>
        <w:rFonts w:hint="default"/>
      </w:rPr>
    </w:lvl>
    <w:lvl w:ilvl="1" w:tplc="1C090019" w:tentative="1">
      <w:start w:val="1"/>
      <w:numFmt w:val="lowerLetter"/>
      <w:lvlText w:val="%2."/>
      <w:lvlJc w:val="left"/>
      <w:pPr>
        <w:ind w:left="1880" w:hanging="360"/>
      </w:pPr>
    </w:lvl>
    <w:lvl w:ilvl="2" w:tplc="1C09001B" w:tentative="1">
      <w:start w:val="1"/>
      <w:numFmt w:val="lowerRoman"/>
      <w:lvlText w:val="%3."/>
      <w:lvlJc w:val="right"/>
      <w:pPr>
        <w:ind w:left="2600" w:hanging="180"/>
      </w:pPr>
    </w:lvl>
    <w:lvl w:ilvl="3" w:tplc="1C09000F" w:tentative="1">
      <w:start w:val="1"/>
      <w:numFmt w:val="decimal"/>
      <w:lvlText w:val="%4."/>
      <w:lvlJc w:val="left"/>
      <w:pPr>
        <w:ind w:left="3320" w:hanging="360"/>
      </w:pPr>
    </w:lvl>
    <w:lvl w:ilvl="4" w:tplc="1C090019" w:tentative="1">
      <w:start w:val="1"/>
      <w:numFmt w:val="lowerLetter"/>
      <w:lvlText w:val="%5."/>
      <w:lvlJc w:val="left"/>
      <w:pPr>
        <w:ind w:left="4040" w:hanging="360"/>
      </w:pPr>
    </w:lvl>
    <w:lvl w:ilvl="5" w:tplc="1C09001B" w:tentative="1">
      <w:start w:val="1"/>
      <w:numFmt w:val="lowerRoman"/>
      <w:lvlText w:val="%6."/>
      <w:lvlJc w:val="right"/>
      <w:pPr>
        <w:ind w:left="4760" w:hanging="180"/>
      </w:pPr>
    </w:lvl>
    <w:lvl w:ilvl="6" w:tplc="1C09000F" w:tentative="1">
      <w:start w:val="1"/>
      <w:numFmt w:val="decimal"/>
      <w:lvlText w:val="%7."/>
      <w:lvlJc w:val="left"/>
      <w:pPr>
        <w:ind w:left="5480" w:hanging="360"/>
      </w:pPr>
    </w:lvl>
    <w:lvl w:ilvl="7" w:tplc="1C090019" w:tentative="1">
      <w:start w:val="1"/>
      <w:numFmt w:val="lowerLetter"/>
      <w:lvlText w:val="%8."/>
      <w:lvlJc w:val="left"/>
      <w:pPr>
        <w:ind w:left="6200" w:hanging="360"/>
      </w:pPr>
    </w:lvl>
    <w:lvl w:ilvl="8" w:tplc="1C09001B" w:tentative="1">
      <w:start w:val="1"/>
      <w:numFmt w:val="lowerRoman"/>
      <w:lvlText w:val="%9."/>
      <w:lvlJc w:val="right"/>
      <w:pPr>
        <w:ind w:left="6920" w:hanging="180"/>
      </w:pPr>
    </w:lvl>
  </w:abstractNum>
  <w:abstractNum w:abstractNumId="7">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9">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1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1">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2">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3">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4">
    <w:nsid w:val="44FB118E"/>
    <w:multiLevelType w:val="hybridMultilevel"/>
    <w:tmpl w:val="8DA0DF1C"/>
    <w:lvl w:ilvl="0" w:tplc="4B102DF6">
      <w:start w:val="1"/>
      <w:numFmt w:val="decimal"/>
      <w:lvlText w:val="%1)"/>
      <w:lvlJc w:val="left"/>
      <w:pPr>
        <w:ind w:left="1090" w:hanging="360"/>
      </w:pPr>
      <w:rPr>
        <w:rFonts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15">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6">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7">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9">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1">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2">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3">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4">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6">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7">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8">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22"/>
  </w:num>
  <w:num w:numId="4">
    <w:abstractNumId w:val="10"/>
  </w:num>
  <w:num w:numId="5">
    <w:abstractNumId w:val="26"/>
  </w:num>
  <w:num w:numId="6">
    <w:abstractNumId w:val="9"/>
  </w:num>
  <w:num w:numId="7">
    <w:abstractNumId w:val="8"/>
  </w:num>
  <w:num w:numId="8">
    <w:abstractNumId w:val="15"/>
  </w:num>
  <w:num w:numId="9">
    <w:abstractNumId w:val="0"/>
  </w:num>
  <w:num w:numId="10">
    <w:abstractNumId w:val="16"/>
  </w:num>
  <w:num w:numId="11">
    <w:abstractNumId w:val="20"/>
  </w:num>
  <w:num w:numId="12">
    <w:abstractNumId w:val="25"/>
  </w:num>
  <w:num w:numId="13">
    <w:abstractNumId w:val="23"/>
  </w:num>
  <w:num w:numId="14">
    <w:abstractNumId w:val="21"/>
  </w:num>
  <w:num w:numId="15">
    <w:abstractNumId w:val="27"/>
  </w:num>
  <w:num w:numId="16">
    <w:abstractNumId w:val="18"/>
  </w:num>
  <w:num w:numId="17">
    <w:abstractNumId w:val="11"/>
  </w:num>
  <w:num w:numId="18">
    <w:abstractNumId w:val="28"/>
  </w:num>
  <w:num w:numId="19">
    <w:abstractNumId w:val="17"/>
  </w:num>
  <w:num w:numId="20">
    <w:abstractNumId w:val="24"/>
  </w:num>
  <w:num w:numId="21">
    <w:abstractNumId w:val="19"/>
  </w:num>
  <w:num w:numId="22">
    <w:abstractNumId w:val="12"/>
  </w:num>
  <w:num w:numId="23">
    <w:abstractNumId w:val="2"/>
  </w:num>
  <w:num w:numId="24">
    <w:abstractNumId w:val="4"/>
  </w:num>
  <w:num w:numId="25">
    <w:abstractNumId w:val="7"/>
  </w:num>
  <w:num w:numId="26">
    <w:abstractNumId w:val="1"/>
  </w:num>
  <w:num w:numId="27">
    <w:abstractNumId w:val="6"/>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0164A"/>
    <w:rsid w:val="00002699"/>
    <w:rsid w:val="0001312E"/>
    <w:rsid w:val="00021848"/>
    <w:rsid w:val="00027BA7"/>
    <w:rsid w:val="00036295"/>
    <w:rsid w:val="00042565"/>
    <w:rsid w:val="000532B3"/>
    <w:rsid w:val="00066A32"/>
    <w:rsid w:val="00082272"/>
    <w:rsid w:val="00093B3A"/>
    <w:rsid w:val="000A3735"/>
    <w:rsid w:val="000B5AEF"/>
    <w:rsid w:val="000D6A47"/>
    <w:rsid w:val="000D78DF"/>
    <w:rsid w:val="00114F19"/>
    <w:rsid w:val="001209B4"/>
    <w:rsid w:val="00122ACB"/>
    <w:rsid w:val="00135023"/>
    <w:rsid w:val="00150760"/>
    <w:rsid w:val="00167E15"/>
    <w:rsid w:val="001A00E0"/>
    <w:rsid w:val="001A4E2C"/>
    <w:rsid w:val="001B23DA"/>
    <w:rsid w:val="001B6BF0"/>
    <w:rsid w:val="001F3EB6"/>
    <w:rsid w:val="002137BD"/>
    <w:rsid w:val="00216E44"/>
    <w:rsid w:val="002268B7"/>
    <w:rsid w:val="002301DE"/>
    <w:rsid w:val="00232F72"/>
    <w:rsid w:val="00245804"/>
    <w:rsid w:val="00246984"/>
    <w:rsid w:val="00251655"/>
    <w:rsid w:val="00262DF2"/>
    <w:rsid w:val="00282A8A"/>
    <w:rsid w:val="00283722"/>
    <w:rsid w:val="00285242"/>
    <w:rsid w:val="0029163C"/>
    <w:rsid w:val="00295C9D"/>
    <w:rsid w:val="002A7CD9"/>
    <w:rsid w:val="002B3554"/>
    <w:rsid w:val="002B7D81"/>
    <w:rsid w:val="002C4401"/>
    <w:rsid w:val="002F1233"/>
    <w:rsid w:val="002F4D13"/>
    <w:rsid w:val="00341A48"/>
    <w:rsid w:val="00354F98"/>
    <w:rsid w:val="00356A1B"/>
    <w:rsid w:val="00366C2D"/>
    <w:rsid w:val="00371C2A"/>
    <w:rsid w:val="00381A6D"/>
    <w:rsid w:val="00387BF2"/>
    <w:rsid w:val="00395DEB"/>
    <w:rsid w:val="003964F9"/>
    <w:rsid w:val="003C008E"/>
    <w:rsid w:val="003C100B"/>
    <w:rsid w:val="003C17D5"/>
    <w:rsid w:val="003C2E4C"/>
    <w:rsid w:val="00400C90"/>
    <w:rsid w:val="00407C59"/>
    <w:rsid w:val="00410DAC"/>
    <w:rsid w:val="00424619"/>
    <w:rsid w:val="004517AE"/>
    <w:rsid w:val="00460DD6"/>
    <w:rsid w:val="00470831"/>
    <w:rsid w:val="0047670D"/>
    <w:rsid w:val="004A0E3D"/>
    <w:rsid w:val="004A0EFE"/>
    <w:rsid w:val="004A5770"/>
    <w:rsid w:val="004A678B"/>
    <w:rsid w:val="004A6F13"/>
    <w:rsid w:val="004C1D63"/>
    <w:rsid w:val="004C21AF"/>
    <w:rsid w:val="004D03C8"/>
    <w:rsid w:val="004D17EA"/>
    <w:rsid w:val="004D201F"/>
    <w:rsid w:val="004D2227"/>
    <w:rsid w:val="004D7B25"/>
    <w:rsid w:val="004E0D65"/>
    <w:rsid w:val="004E4DF3"/>
    <w:rsid w:val="00522DC9"/>
    <w:rsid w:val="00532683"/>
    <w:rsid w:val="00532EE4"/>
    <w:rsid w:val="005342E6"/>
    <w:rsid w:val="005504DC"/>
    <w:rsid w:val="00567AE2"/>
    <w:rsid w:val="00576BEB"/>
    <w:rsid w:val="005867A7"/>
    <w:rsid w:val="005907EA"/>
    <w:rsid w:val="00592EFF"/>
    <w:rsid w:val="005B0117"/>
    <w:rsid w:val="005B45D4"/>
    <w:rsid w:val="005B5AA4"/>
    <w:rsid w:val="005C5E76"/>
    <w:rsid w:val="005C717A"/>
    <w:rsid w:val="005F311E"/>
    <w:rsid w:val="00601432"/>
    <w:rsid w:val="0061272C"/>
    <w:rsid w:val="006312D0"/>
    <w:rsid w:val="006543C0"/>
    <w:rsid w:val="006674A3"/>
    <w:rsid w:val="006749AD"/>
    <w:rsid w:val="0067672F"/>
    <w:rsid w:val="006A0872"/>
    <w:rsid w:val="006B045A"/>
    <w:rsid w:val="006B37FA"/>
    <w:rsid w:val="006B6CFC"/>
    <w:rsid w:val="006C575D"/>
    <w:rsid w:val="006C754D"/>
    <w:rsid w:val="00712763"/>
    <w:rsid w:val="007230B1"/>
    <w:rsid w:val="00736302"/>
    <w:rsid w:val="007609E7"/>
    <w:rsid w:val="00785C94"/>
    <w:rsid w:val="007967F9"/>
    <w:rsid w:val="007A78E0"/>
    <w:rsid w:val="007C3C23"/>
    <w:rsid w:val="008458B0"/>
    <w:rsid w:val="008614E3"/>
    <w:rsid w:val="00865B44"/>
    <w:rsid w:val="0088764F"/>
    <w:rsid w:val="008B488A"/>
    <w:rsid w:val="008E13AA"/>
    <w:rsid w:val="0090402C"/>
    <w:rsid w:val="00953A22"/>
    <w:rsid w:val="00977EAD"/>
    <w:rsid w:val="00982428"/>
    <w:rsid w:val="00985742"/>
    <w:rsid w:val="00991491"/>
    <w:rsid w:val="009A0A4C"/>
    <w:rsid w:val="009B2DCA"/>
    <w:rsid w:val="009D067A"/>
    <w:rsid w:val="009E0627"/>
    <w:rsid w:val="009E38D3"/>
    <w:rsid w:val="009E4DDE"/>
    <w:rsid w:val="009E5FF1"/>
    <w:rsid w:val="009F5098"/>
    <w:rsid w:val="00A075AF"/>
    <w:rsid w:val="00A15886"/>
    <w:rsid w:val="00A33728"/>
    <w:rsid w:val="00A56D6A"/>
    <w:rsid w:val="00A819AE"/>
    <w:rsid w:val="00A94B45"/>
    <w:rsid w:val="00A97858"/>
    <w:rsid w:val="00AC3DE1"/>
    <w:rsid w:val="00AC50D5"/>
    <w:rsid w:val="00AE1467"/>
    <w:rsid w:val="00AE57A2"/>
    <w:rsid w:val="00AE7F11"/>
    <w:rsid w:val="00AF3490"/>
    <w:rsid w:val="00AF762A"/>
    <w:rsid w:val="00B04DF5"/>
    <w:rsid w:val="00B257D8"/>
    <w:rsid w:val="00B45563"/>
    <w:rsid w:val="00B67C08"/>
    <w:rsid w:val="00B705E8"/>
    <w:rsid w:val="00BB61F7"/>
    <w:rsid w:val="00BC6C61"/>
    <w:rsid w:val="00BD7237"/>
    <w:rsid w:val="00BE01ED"/>
    <w:rsid w:val="00BE4954"/>
    <w:rsid w:val="00BE657C"/>
    <w:rsid w:val="00BF2BCD"/>
    <w:rsid w:val="00C43CA8"/>
    <w:rsid w:val="00C65D6A"/>
    <w:rsid w:val="00C65D7C"/>
    <w:rsid w:val="00C6795F"/>
    <w:rsid w:val="00C7081B"/>
    <w:rsid w:val="00C714F9"/>
    <w:rsid w:val="00C94C54"/>
    <w:rsid w:val="00CA5D0F"/>
    <w:rsid w:val="00CD2475"/>
    <w:rsid w:val="00CD25D9"/>
    <w:rsid w:val="00CF7E92"/>
    <w:rsid w:val="00D06F2D"/>
    <w:rsid w:val="00D10EB5"/>
    <w:rsid w:val="00D4495F"/>
    <w:rsid w:val="00D5557A"/>
    <w:rsid w:val="00D93A74"/>
    <w:rsid w:val="00D945D9"/>
    <w:rsid w:val="00DA0FC4"/>
    <w:rsid w:val="00DA27CB"/>
    <w:rsid w:val="00DB5844"/>
    <w:rsid w:val="00DD7252"/>
    <w:rsid w:val="00DD7A83"/>
    <w:rsid w:val="00E005DD"/>
    <w:rsid w:val="00E0253B"/>
    <w:rsid w:val="00E10411"/>
    <w:rsid w:val="00E91414"/>
    <w:rsid w:val="00EA53E8"/>
    <w:rsid w:val="00EE2D02"/>
    <w:rsid w:val="00F052FC"/>
    <w:rsid w:val="00F05C46"/>
    <w:rsid w:val="00F05DAF"/>
    <w:rsid w:val="00F15DC8"/>
    <w:rsid w:val="00F332BC"/>
    <w:rsid w:val="00F42BA1"/>
    <w:rsid w:val="00F4476D"/>
    <w:rsid w:val="00F560EA"/>
    <w:rsid w:val="00F575BB"/>
    <w:rsid w:val="00FA1FBA"/>
    <w:rsid w:val="00FA39D8"/>
    <w:rsid w:val="00FA5453"/>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Mokone</cp:lastModifiedBy>
  <cp:revision>2</cp:revision>
  <cp:lastPrinted>2023-05-08T14:42:00Z</cp:lastPrinted>
  <dcterms:created xsi:type="dcterms:W3CDTF">2023-07-17T10:47:00Z</dcterms:created>
  <dcterms:modified xsi:type="dcterms:W3CDTF">2023-07-17T10:47:00Z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