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DBD9" w14:textId="77777777" w:rsidR="00B97136" w:rsidRPr="00280D9D" w:rsidRDefault="00B97136" w:rsidP="00B97136">
      <w:pPr>
        <w:tabs>
          <w:tab w:val="left" w:pos="2985"/>
        </w:tabs>
        <w:spacing w:line="480" w:lineRule="auto"/>
        <w:jc w:val="center"/>
        <w:rPr>
          <w:rFonts w:ascii="Arial" w:hAnsi="Arial" w:cs="Arial"/>
          <w:b/>
        </w:rPr>
      </w:pPr>
      <w:bookmarkStart w:id="0" w:name="_GoBack"/>
      <w:bookmarkEnd w:id="0"/>
      <w:r w:rsidRPr="005C3DBF">
        <w:rPr>
          <w:b/>
          <w:noProof/>
        </w:rPr>
        <w:drawing>
          <wp:inline distT="0" distB="0" distL="0" distR="0" wp14:anchorId="6F9CA607" wp14:editId="679A49A9">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3F1593">
        <w:rPr>
          <w:rFonts w:ascii="Times New Roman" w:hAnsi="Times New Roman"/>
          <w:b/>
        </w:rPr>
        <w:br w:type="textWrapping" w:clear="all"/>
      </w:r>
    </w:p>
    <w:p w14:paraId="7755F263" w14:textId="77777777" w:rsidR="00B97136" w:rsidRPr="00280D9D" w:rsidRDefault="00B97136" w:rsidP="00B97136">
      <w:pPr>
        <w:jc w:val="center"/>
        <w:rPr>
          <w:rFonts w:ascii="Arial" w:hAnsi="Arial" w:cs="Arial"/>
          <w:b/>
        </w:rPr>
      </w:pPr>
      <w:r w:rsidRPr="00280D9D">
        <w:rPr>
          <w:rFonts w:ascii="Arial" w:hAnsi="Arial" w:cs="Arial"/>
          <w:b/>
        </w:rPr>
        <w:t>IN THE HIGH COURT OF SOUTH AFRICA</w:t>
      </w:r>
    </w:p>
    <w:p w14:paraId="3740C902" w14:textId="4BA53DBA" w:rsidR="00B97136" w:rsidRDefault="00C6542D" w:rsidP="00B97136">
      <w:pPr>
        <w:jc w:val="center"/>
        <w:rPr>
          <w:rFonts w:ascii="Arial" w:hAnsi="Arial" w:cs="Arial"/>
          <w:b/>
        </w:rPr>
      </w:pPr>
      <w:r>
        <w:rPr>
          <w:rFonts w:ascii="Arial" w:hAnsi="Arial" w:cs="Arial"/>
          <w:b/>
        </w:rPr>
        <w:t>GAUTENG</w:t>
      </w:r>
      <w:r w:rsidR="00B97136" w:rsidRPr="00280D9D">
        <w:rPr>
          <w:rFonts w:ascii="Arial" w:hAnsi="Arial" w:cs="Arial"/>
          <w:b/>
        </w:rPr>
        <w:t xml:space="preserve"> DIVISION</w:t>
      </w:r>
      <w:r>
        <w:rPr>
          <w:rFonts w:ascii="Arial" w:hAnsi="Arial" w:cs="Arial"/>
          <w:b/>
        </w:rPr>
        <w:t>, PRETORIA</w:t>
      </w:r>
    </w:p>
    <w:p w14:paraId="1D3DD680" w14:textId="77777777" w:rsidR="00C6542D" w:rsidRPr="00280D9D" w:rsidRDefault="00C6542D" w:rsidP="00B97136">
      <w:pPr>
        <w:jc w:val="center"/>
        <w:rPr>
          <w:rFonts w:ascii="Arial" w:hAnsi="Arial" w:cs="Arial"/>
          <w:b/>
        </w:rPr>
      </w:pPr>
    </w:p>
    <w:p w14:paraId="4B6C341B" w14:textId="77777777" w:rsidR="00B97136" w:rsidRPr="00280D9D" w:rsidRDefault="00B97136" w:rsidP="00B97136">
      <w:pPr>
        <w:jc w:val="right"/>
        <w:rPr>
          <w:rFonts w:ascii="Arial" w:hAnsi="Arial" w:cs="Arial"/>
          <w:b/>
        </w:rPr>
      </w:pPr>
    </w:p>
    <w:p w14:paraId="1117DC9C" w14:textId="1A37EC79" w:rsidR="00B97136" w:rsidRDefault="00B97136" w:rsidP="00B97136">
      <w:pPr>
        <w:jc w:val="right"/>
        <w:rPr>
          <w:rFonts w:ascii="Arial" w:hAnsi="Arial" w:cs="Arial"/>
          <w:b/>
        </w:rPr>
      </w:pPr>
      <w:r w:rsidRPr="00280D9D">
        <w:rPr>
          <w:rFonts w:ascii="Arial" w:hAnsi="Arial" w:cs="Arial"/>
          <w:b/>
        </w:rPr>
        <w:t xml:space="preserve">CASE NO: </w:t>
      </w:r>
      <w:r w:rsidR="00217A8D">
        <w:rPr>
          <w:rFonts w:ascii="Arial" w:hAnsi="Arial" w:cs="Arial"/>
          <w:b/>
        </w:rPr>
        <w:t>16384</w:t>
      </w:r>
      <w:r w:rsidRPr="00280D9D">
        <w:rPr>
          <w:rFonts w:ascii="Arial" w:hAnsi="Arial" w:cs="Arial"/>
          <w:b/>
        </w:rPr>
        <w:t>/201</w:t>
      </w:r>
      <w:r w:rsidR="00217A8D">
        <w:rPr>
          <w:rFonts w:ascii="Arial" w:hAnsi="Arial" w:cs="Arial"/>
          <w:b/>
        </w:rPr>
        <w:t>3</w:t>
      </w:r>
    </w:p>
    <w:p w14:paraId="6E778B96" w14:textId="105643B3" w:rsidR="00C6542D" w:rsidRDefault="006542C1" w:rsidP="006542C1">
      <w:pPr>
        <w:rPr>
          <w:rFonts w:ascii="Arial" w:hAnsi="Arial" w:cs="Arial"/>
          <w:b/>
        </w:rPr>
      </w:pPr>
      <w:r>
        <w:rPr>
          <w:rFonts w:ascii="Arial" w:hAnsi="Arial" w:cs="Arial"/>
          <w:b/>
          <w:noProof/>
        </w:rPr>
        <w:drawing>
          <wp:inline distT="0" distB="0" distL="0" distR="0" wp14:anchorId="11E7436A" wp14:editId="59D9B735">
            <wp:extent cx="2780030" cy="11220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089995CA" w14:textId="77777777" w:rsidR="00C6542D" w:rsidRPr="00280D9D" w:rsidRDefault="00C6542D" w:rsidP="00B97136">
      <w:pPr>
        <w:jc w:val="right"/>
        <w:rPr>
          <w:rFonts w:ascii="Arial" w:hAnsi="Arial" w:cs="Arial"/>
          <w:b/>
        </w:rPr>
      </w:pPr>
    </w:p>
    <w:p w14:paraId="5B76F641" w14:textId="77777777" w:rsidR="00B97136" w:rsidRPr="00280D9D" w:rsidRDefault="00B97136" w:rsidP="00B97136">
      <w:pPr>
        <w:jc w:val="right"/>
        <w:rPr>
          <w:rFonts w:ascii="Arial" w:hAnsi="Arial" w:cs="Arial"/>
          <w:b/>
        </w:rPr>
      </w:pPr>
      <w:r w:rsidRPr="00280D9D">
        <w:rPr>
          <w:rFonts w:ascii="Arial" w:hAnsi="Arial" w:cs="Arial"/>
          <w:b/>
        </w:rPr>
        <w:t xml:space="preserve">    </w:t>
      </w:r>
    </w:p>
    <w:p w14:paraId="7DD2148B" w14:textId="77777777" w:rsidR="00B97136" w:rsidRPr="00280D9D" w:rsidRDefault="00B97136" w:rsidP="00B97136">
      <w:pPr>
        <w:rPr>
          <w:rFonts w:ascii="Arial" w:hAnsi="Arial" w:cs="Arial"/>
          <w:b/>
        </w:rPr>
      </w:pPr>
    </w:p>
    <w:p w14:paraId="6A5E8AF5" w14:textId="09DF2005" w:rsidR="00B97136" w:rsidRPr="00280D9D" w:rsidRDefault="00B97136" w:rsidP="00C6542D">
      <w:pPr>
        <w:rPr>
          <w:rFonts w:ascii="Arial" w:hAnsi="Arial" w:cs="Arial"/>
          <w:b/>
        </w:rPr>
      </w:pPr>
      <w:r w:rsidRPr="00280D9D">
        <w:rPr>
          <w:rFonts w:ascii="Arial" w:hAnsi="Arial" w:cs="Arial"/>
          <w:b/>
        </w:rPr>
        <w:t>In the matter between:</w:t>
      </w:r>
    </w:p>
    <w:p w14:paraId="4805CA4C" w14:textId="6EC0B676" w:rsidR="00B97136" w:rsidRPr="00280D9D" w:rsidRDefault="00217A8D" w:rsidP="00B97136">
      <w:pPr>
        <w:spacing w:line="360" w:lineRule="auto"/>
        <w:rPr>
          <w:rFonts w:ascii="Arial" w:hAnsi="Arial" w:cs="Arial"/>
          <w:b/>
        </w:rPr>
      </w:pPr>
      <w:r>
        <w:rPr>
          <w:rFonts w:ascii="Arial" w:hAnsi="Arial" w:cs="Arial"/>
          <w:b/>
        </w:rPr>
        <w:t>MATJENI ITUMELENG</w:t>
      </w:r>
      <w:r w:rsidR="00B97136" w:rsidRPr="00280D9D">
        <w:rPr>
          <w:rFonts w:ascii="Arial" w:hAnsi="Arial" w:cs="Arial"/>
          <w:b/>
        </w:rPr>
        <w:tab/>
      </w:r>
      <w:r w:rsidR="00B97136" w:rsidRPr="00280D9D">
        <w:rPr>
          <w:rFonts w:ascii="Arial" w:hAnsi="Arial" w:cs="Arial"/>
          <w:b/>
        </w:rPr>
        <w:tab/>
      </w:r>
      <w:r w:rsidR="00B97136" w:rsidRPr="00280D9D">
        <w:rPr>
          <w:rFonts w:ascii="Arial" w:hAnsi="Arial" w:cs="Arial"/>
          <w:b/>
        </w:rPr>
        <w:tab/>
        <w:t xml:space="preserve">      </w:t>
      </w:r>
      <w:r w:rsidR="00B97136" w:rsidRPr="00280D9D">
        <w:rPr>
          <w:rFonts w:ascii="Arial" w:hAnsi="Arial" w:cs="Arial"/>
          <w:b/>
        </w:rPr>
        <w:tab/>
      </w:r>
      <w:r w:rsidR="00B97136" w:rsidRPr="00280D9D">
        <w:rPr>
          <w:rFonts w:ascii="Arial" w:hAnsi="Arial" w:cs="Arial"/>
          <w:b/>
        </w:rPr>
        <w:tab/>
      </w:r>
      <w:r w:rsidR="00B97136" w:rsidRPr="00280D9D">
        <w:rPr>
          <w:rFonts w:ascii="Arial" w:hAnsi="Arial" w:cs="Arial"/>
          <w:b/>
        </w:rPr>
        <w:tab/>
        <w:t>PLAINTIFF</w:t>
      </w:r>
    </w:p>
    <w:p w14:paraId="212E91AA" w14:textId="77777777" w:rsidR="00B97136" w:rsidRPr="00280D9D" w:rsidRDefault="00B97136" w:rsidP="00B97136">
      <w:pPr>
        <w:spacing w:line="360" w:lineRule="auto"/>
        <w:rPr>
          <w:rFonts w:ascii="Arial" w:hAnsi="Arial" w:cs="Arial"/>
          <w:b/>
        </w:rPr>
      </w:pPr>
    </w:p>
    <w:p w14:paraId="1296E840" w14:textId="77777777" w:rsidR="00B97136" w:rsidRPr="00280D9D" w:rsidRDefault="00B97136" w:rsidP="00B97136">
      <w:pPr>
        <w:spacing w:line="360" w:lineRule="auto"/>
        <w:rPr>
          <w:rFonts w:ascii="Arial" w:hAnsi="Arial" w:cs="Arial"/>
          <w:b/>
        </w:rPr>
      </w:pPr>
      <w:r w:rsidRPr="00280D9D">
        <w:rPr>
          <w:rFonts w:ascii="Arial" w:hAnsi="Arial" w:cs="Arial"/>
          <w:b/>
        </w:rPr>
        <w:t>and</w:t>
      </w:r>
    </w:p>
    <w:p w14:paraId="42588949" w14:textId="77777777" w:rsidR="00B97136" w:rsidRPr="00280D9D" w:rsidRDefault="00B97136" w:rsidP="00B97136">
      <w:pPr>
        <w:rPr>
          <w:rFonts w:ascii="Arial" w:hAnsi="Arial" w:cs="Arial"/>
          <w:b/>
        </w:rPr>
      </w:pPr>
    </w:p>
    <w:p w14:paraId="59978B89" w14:textId="77777777" w:rsidR="00B97136" w:rsidRPr="00280D9D" w:rsidRDefault="00B97136" w:rsidP="00B97136">
      <w:pPr>
        <w:rPr>
          <w:rFonts w:ascii="Arial" w:hAnsi="Arial" w:cs="Arial"/>
          <w:b/>
        </w:rPr>
      </w:pPr>
      <w:r w:rsidRPr="00280D9D">
        <w:rPr>
          <w:rFonts w:ascii="Arial" w:hAnsi="Arial" w:cs="Arial"/>
          <w:b/>
        </w:rPr>
        <w:t>ROAD ACCIDENT FUND</w:t>
      </w:r>
      <w:r w:rsidRPr="00280D9D">
        <w:rPr>
          <w:rFonts w:ascii="Arial" w:hAnsi="Arial" w:cs="Arial"/>
          <w:b/>
        </w:rPr>
        <w:tab/>
      </w:r>
      <w:r w:rsidRPr="00280D9D">
        <w:rPr>
          <w:rFonts w:ascii="Arial" w:hAnsi="Arial" w:cs="Arial"/>
          <w:b/>
        </w:rPr>
        <w:tab/>
      </w:r>
      <w:r w:rsidRPr="00280D9D">
        <w:rPr>
          <w:rFonts w:ascii="Arial" w:hAnsi="Arial" w:cs="Arial"/>
          <w:b/>
        </w:rPr>
        <w:tab/>
      </w:r>
      <w:r w:rsidRPr="00280D9D">
        <w:rPr>
          <w:rFonts w:ascii="Arial" w:hAnsi="Arial" w:cs="Arial"/>
          <w:b/>
        </w:rPr>
        <w:tab/>
      </w:r>
      <w:r w:rsidRPr="00280D9D">
        <w:rPr>
          <w:rFonts w:ascii="Arial" w:hAnsi="Arial" w:cs="Arial"/>
          <w:b/>
        </w:rPr>
        <w:tab/>
      </w:r>
      <w:r w:rsidRPr="00280D9D">
        <w:rPr>
          <w:rFonts w:ascii="Arial" w:hAnsi="Arial" w:cs="Arial"/>
          <w:b/>
        </w:rPr>
        <w:tab/>
        <w:t>DEFENDANT</w:t>
      </w:r>
    </w:p>
    <w:p w14:paraId="25D0F4B1" w14:textId="77777777" w:rsidR="00B97136" w:rsidRPr="00280D9D" w:rsidRDefault="00B97136" w:rsidP="00B97136">
      <w:pPr>
        <w:rPr>
          <w:rFonts w:ascii="Arial" w:hAnsi="Arial" w:cs="Arial"/>
          <w:b/>
          <w:i/>
        </w:rPr>
      </w:pPr>
    </w:p>
    <w:p w14:paraId="5C47EFAF" w14:textId="77777777" w:rsidR="00B97136" w:rsidRPr="00280D9D" w:rsidRDefault="00B97136" w:rsidP="00B97136">
      <w:pPr>
        <w:rPr>
          <w:rFonts w:ascii="Arial" w:hAnsi="Arial" w:cs="Arial"/>
          <w:b/>
          <w:i/>
        </w:rPr>
      </w:pPr>
      <w:r w:rsidRPr="00280D9D">
        <w:rPr>
          <w:rFonts w:ascii="Arial" w:hAnsi="Arial" w:cs="Arial"/>
          <w:b/>
          <w:i/>
        </w:rPr>
        <w:t>Coram: Sardiwalla J</w:t>
      </w:r>
    </w:p>
    <w:p w14:paraId="4EC2EE0E" w14:textId="77777777" w:rsidR="00B97136" w:rsidRPr="00280D9D" w:rsidRDefault="00B97136" w:rsidP="00B97136">
      <w:pPr>
        <w:rPr>
          <w:rFonts w:ascii="Arial" w:hAnsi="Arial" w:cs="Arial"/>
          <w:b/>
          <w:i/>
        </w:rPr>
      </w:pPr>
    </w:p>
    <w:p w14:paraId="273374FE" w14:textId="1253381E" w:rsidR="00B97136" w:rsidRPr="00280D9D" w:rsidRDefault="00B97136" w:rsidP="00B97136">
      <w:pPr>
        <w:ind w:left="2880" w:right="-193" w:hanging="2880"/>
        <w:jc w:val="both"/>
        <w:rPr>
          <w:rFonts w:ascii="Arial" w:hAnsi="Arial" w:cs="Arial"/>
          <w:b/>
          <w:i/>
          <w:lang w:val="en-ZA" w:eastAsia="zh-CN"/>
        </w:rPr>
      </w:pPr>
      <w:r w:rsidRPr="00280D9D">
        <w:rPr>
          <w:rFonts w:ascii="Arial" w:hAnsi="Arial" w:cs="Arial"/>
          <w:b/>
          <w:i/>
        </w:rPr>
        <w:t>Motor vehicle Accident -</w:t>
      </w:r>
      <w:r w:rsidRPr="00280D9D">
        <w:rPr>
          <w:rFonts w:ascii="Arial" w:hAnsi="Arial" w:cs="Arial"/>
          <w:b/>
          <w:i/>
        </w:rPr>
        <w:tab/>
      </w:r>
      <w:r w:rsidRPr="00280D9D">
        <w:rPr>
          <w:rFonts w:ascii="Arial" w:hAnsi="Arial" w:cs="Arial"/>
          <w:b/>
          <w:i/>
          <w:lang w:val="en-ZA" w:eastAsia="zh-CN"/>
        </w:rPr>
        <w:t xml:space="preserve">Damages – motor vehicle accident – bodily injury – loss of </w:t>
      </w:r>
      <w:r w:rsidR="00217A8D">
        <w:rPr>
          <w:rFonts w:ascii="Arial" w:hAnsi="Arial" w:cs="Arial"/>
          <w:b/>
          <w:i/>
          <w:lang w:val="en-ZA" w:eastAsia="zh-CN"/>
        </w:rPr>
        <w:t>earning capacity pre-accident academic potential</w:t>
      </w:r>
      <w:r w:rsidRPr="00280D9D">
        <w:rPr>
          <w:rFonts w:ascii="Arial" w:hAnsi="Arial" w:cs="Arial"/>
          <w:b/>
          <w:i/>
          <w:lang w:val="en-ZA" w:eastAsia="zh-CN"/>
        </w:rPr>
        <w:t xml:space="preserve"> – disability resulting in a reduction of 20% of earning capacity as a general labourer.</w:t>
      </w:r>
    </w:p>
    <w:p w14:paraId="7C1BE8F2" w14:textId="77777777" w:rsidR="00B97136" w:rsidRPr="00280D9D" w:rsidRDefault="00B97136" w:rsidP="00B97136">
      <w:pPr>
        <w:widowControl w:val="0"/>
        <w:autoSpaceDE w:val="0"/>
        <w:autoSpaceDN w:val="0"/>
        <w:adjustRightInd w:val="0"/>
        <w:spacing w:line="360" w:lineRule="auto"/>
        <w:ind w:right="-192"/>
        <w:jc w:val="both"/>
        <w:rPr>
          <w:rFonts w:ascii="Arial" w:hAnsi="Arial" w:cs="Arial"/>
          <w:b/>
          <w:bCs/>
          <w:i/>
          <w:lang w:val="en-ZA" w:eastAsia="zh-CN"/>
        </w:rPr>
      </w:pPr>
    </w:p>
    <w:p w14:paraId="55C4805A" w14:textId="77777777" w:rsidR="00B97136" w:rsidRPr="00280D9D" w:rsidRDefault="00B97136" w:rsidP="00B97136">
      <w:pPr>
        <w:ind w:left="2880" w:hanging="2880"/>
        <w:rPr>
          <w:rFonts w:ascii="Arial" w:hAnsi="Arial" w:cs="Arial"/>
          <w:b/>
          <w:i/>
        </w:rPr>
      </w:pPr>
    </w:p>
    <w:p w14:paraId="6E7CE106" w14:textId="77777777" w:rsidR="00B97136" w:rsidRPr="00280D9D" w:rsidRDefault="00B97136" w:rsidP="00B97136">
      <w:pPr>
        <w:rPr>
          <w:rFonts w:ascii="Arial" w:hAnsi="Arial" w:cs="Arial"/>
          <w:b/>
        </w:rPr>
      </w:pPr>
    </w:p>
    <w:p w14:paraId="47D18556" w14:textId="77777777" w:rsidR="00B97136" w:rsidRPr="00280D9D" w:rsidRDefault="00B97136" w:rsidP="00B97136">
      <w:pPr>
        <w:pBdr>
          <w:top w:val="single" w:sz="12" w:space="1" w:color="auto"/>
          <w:bottom w:val="single" w:sz="12" w:space="1" w:color="auto"/>
        </w:pBdr>
        <w:rPr>
          <w:rFonts w:ascii="Arial" w:hAnsi="Arial" w:cs="Arial"/>
          <w:b/>
        </w:rPr>
      </w:pPr>
      <w:r w:rsidRPr="00280D9D">
        <w:rPr>
          <w:rFonts w:ascii="Arial" w:hAnsi="Arial" w:cs="Arial"/>
          <w:b/>
        </w:rPr>
        <w:tab/>
      </w:r>
      <w:r w:rsidRPr="00280D9D">
        <w:rPr>
          <w:rFonts w:ascii="Arial" w:hAnsi="Arial" w:cs="Arial"/>
          <w:b/>
        </w:rPr>
        <w:tab/>
      </w:r>
      <w:r w:rsidRPr="00280D9D">
        <w:rPr>
          <w:rFonts w:ascii="Arial" w:hAnsi="Arial" w:cs="Arial"/>
          <w:b/>
        </w:rPr>
        <w:tab/>
      </w:r>
    </w:p>
    <w:p w14:paraId="4BF50C48" w14:textId="77777777" w:rsidR="00B97136" w:rsidRPr="00280D9D" w:rsidRDefault="00B97136" w:rsidP="00B97136">
      <w:pPr>
        <w:pBdr>
          <w:top w:val="single" w:sz="12" w:space="1" w:color="auto"/>
          <w:bottom w:val="single" w:sz="12" w:space="1" w:color="auto"/>
        </w:pBdr>
        <w:spacing w:line="480" w:lineRule="auto"/>
        <w:jc w:val="center"/>
        <w:rPr>
          <w:rFonts w:ascii="Arial" w:hAnsi="Arial" w:cs="Arial"/>
          <w:b/>
        </w:rPr>
      </w:pPr>
      <w:r w:rsidRPr="00280D9D">
        <w:rPr>
          <w:rFonts w:ascii="Arial" w:hAnsi="Arial" w:cs="Arial"/>
          <w:b/>
        </w:rPr>
        <w:t xml:space="preserve">JUDGMENT </w:t>
      </w:r>
    </w:p>
    <w:p w14:paraId="12E51068" w14:textId="77777777" w:rsidR="00B97136" w:rsidRPr="00280D9D" w:rsidRDefault="00B97136" w:rsidP="00B97136">
      <w:pPr>
        <w:jc w:val="both"/>
        <w:rPr>
          <w:rFonts w:ascii="Arial" w:hAnsi="Arial" w:cs="Arial"/>
          <w:b/>
          <w:u w:val="single"/>
        </w:rPr>
      </w:pPr>
    </w:p>
    <w:p w14:paraId="78B32EFC" w14:textId="77777777" w:rsidR="00B97136" w:rsidRPr="00280D9D" w:rsidRDefault="00B97136" w:rsidP="00B97136">
      <w:pPr>
        <w:jc w:val="both"/>
        <w:rPr>
          <w:rFonts w:ascii="Arial" w:hAnsi="Arial" w:cs="Arial"/>
          <w:b/>
        </w:rPr>
      </w:pPr>
      <w:r w:rsidRPr="00280D9D">
        <w:rPr>
          <w:rFonts w:ascii="Arial" w:hAnsi="Arial" w:cs="Arial"/>
          <w:b/>
          <w:u w:val="single"/>
        </w:rPr>
        <w:t>SARDIWALLA J</w:t>
      </w:r>
      <w:r w:rsidRPr="00280D9D">
        <w:rPr>
          <w:rFonts w:ascii="Arial" w:hAnsi="Arial" w:cs="Arial"/>
          <w:b/>
        </w:rPr>
        <w:t>:</w:t>
      </w:r>
    </w:p>
    <w:p w14:paraId="51CE9FEB" w14:textId="6A115070" w:rsidR="00482119" w:rsidRDefault="00482119" w:rsidP="00B97136">
      <w:pPr>
        <w:spacing w:line="360" w:lineRule="auto"/>
        <w:jc w:val="both"/>
        <w:rPr>
          <w:rFonts w:ascii="Arial" w:hAnsi="Arial" w:cs="Arial"/>
          <w:i/>
          <w:u w:val="single"/>
        </w:rPr>
      </w:pPr>
    </w:p>
    <w:p w14:paraId="09A87F83" w14:textId="77777777" w:rsidR="00482119" w:rsidRDefault="00482119" w:rsidP="00B97136">
      <w:pPr>
        <w:spacing w:line="360" w:lineRule="auto"/>
        <w:jc w:val="both"/>
        <w:rPr>
          <w:rFonts w:ascii="Arial" w:hAnsi="Arial" w:cs="Arial"/>
          <w:i/>
          <w:u w:val="single"/>
        </w:rPr>
      </w:pPr>
    </w:p>
    <w:p w14:paraId="621B0FFC" w14:textId="7ED9EEBB" w:rsidR="00B97136" w:rsidRPr="00280D9D" w:rsidRDefault="00B97136" w:rsidP="00B97136">
      <w:pPr>
        <w:spacing w:line="360" w:lineRule="auto"/>
        <w:jc w:val="both"/>
        <w:rPr>
          <w:rFonts w:ascii="Arial" w:hAnsi="Arial" w:cs="Arial"/>
        </w:rPr>
      </w:pPr>
      <w:r w:rsidRPr="00280D9D">
        <w:rPr>
          <w:rFonts w:ascii="Arial" w:hAnsi="Arial" w:cs="Arial"/>
          <w:i/>
          <w:u w:val="single"/>
        </w:rPr>
        <w:t>Introduction:</w:t>
      </w:r>
    </w:p>
    <w:p w14:paraId="4DE69A57" w14:textId="77777777" w:rsidR="00482119" w:rsidRDefault="00482119" w:rsidP="00B97136">
      <w:pPr>
        <w:spacing w:line="480" w:lineRule="auto"/>
        <w:jc w:val="both"/>
        <w:rPr>
          <w:rFonts w:ascii="Arial" w:hAnsi="Arial" w:cs="Arial"/>
          <w:color w:val="000000" w:themeColor="text1"/>
        </w:rPr>
      </w:pPr>
    </w:p>
    <w:p w14:paraId="434124B1" w14:textId="65BC1919" w:rsidR="00B97136" w:rsidRPr="00280D9D" w:rsidRDefault="00B97136" w:rsidP="00B97136">
      <w:pPr>
        <w:spacing w:line="480" w:lineRule="auto"/>
        <w:jc w:val="both"/>
        <w:rPr>
          <w:rFonts w:ascii="Arial" w:hAnsi="Arial" w:cs="Arial"/>
          <w:color w:val="000000" w:themeColor="text1"/>
        </w:rPr>
      </w:pPr>
      <w:r w:rsidRPr="00280D9D">
        <w:rPr>
          <w:rFonts w:ascii="Arial" w:hAnsi="Arial" w:cs="Arial"/>
          <w:color w:val="000000" w:themeColor="text1"/>
        </w:rPr>
        <w:t>[1]</w:t>
      </w:r>
      <w:r w:rsidRPr="00280D9D">
        <w:rPr>
          <w:rFonts w:ascii="Arial" w:hAnsi="Arial" w:cs="Arial"/>
          <w:color w:val="000000" w:themeColor="text1"/>
        </w:rPr>
        <w:tab/>
        <w:t xml:space="preserve">The plaintiff was </w:t>
      </w:r>
      <w:r w:rsidR="000426A9">
        <w:rPr>
          <w:rFonts w:ascii="Arial" w:hAnsi="Arial" w:cs="Arial"/>
          <w:color w:val="000000" w:themeColor="text1"/>
        </w:rPr>
        <w:t xml:space="preserve">a passenger </w:t>
      </w:r>
      <w:r w:rsidRPr="00280D9D">
        <w:rPr>
          <w:rFonts w:ascii="Arial" w:hAnsi="Arial" w:cs="Arial"/>
          <w:color w:val="000000" w:themeColor="text1"/>
        </w:rPr>
        <w:t xml:space="preserve">injured as a </w:t>
      </w:r>
      <w:r w:rsidR="00217A8D">
        <w:rPr>
          <w:rFonts w:ascii="Arial" w:hAnsi="Arial" w:cs="Arial"/>
          <w:color w:val="000000" w:themeColor="text1"/>
        </w:rPr>
        <w:t xml:space="preserve">result </w:t>
      </w:r>
      <w:r w:rsidR="003D237F">
        <w:rPr>
          <w:rFonts w:ascii="Arial" w:hAnsi="Arial" w:cs="Arial"/>
          <w:color w:val="000000" w:themeColor="text1"/>
        </w:rPr>
        <w:t xml:space="preserve">of </w:t>
      </w:r>
      <w:r w:rsidR="003D237F" w:rsidRPr="00280D9D">
        <w:rPr>
          <w:rFonts w:ascii="Arial" w:hAnsi="Arial" w:cs="Arial"/>
          <w:color w:val="000000" w:themeColor="text1"/>
        </w:rPr>
        <w:t>a</w:t>
      </w:r>
      <w:r w:rsidRPr="00280D9D">
        <w:rPr>
          <w:rFonts w:ascii="Arial" w:hAnsi="Arial" w:cs="Arial"/>
          <w:color w:val="000000" w:themeColor="text1"/>
        </w:rPr>
        <w:t xml:space="preserve"> motor vehicle </w:t>
      </w:r>
      <w:r w:rsidR="003D237F">
        <w:rPr>
          <w:rFonts w:ascii="Arial" w:hAnsi="Arial" w:cs="Arial"/>
          <w:color w:val="000000" w:themeColor="text1"/>
        </w:rPr>
        <w:t>collision</w:t>
      </w:r>
      <w:r w:rsidRPr="00280D9D">
        <w:rPr>
          <w:rFonts w:ascii="Arial" w:hAnsi="Arial" w:cs="Arial"/>
          <w:color w:val="000000" w:themeColor="text1"/>
        </w:rPr>
        <w:t xml:space="preserve"> on </w:t>
      </w:r>
      <w:r w:rsidR="00217A8D">
        <w:rPr>
          <w:rFonts w:ascii="Arial" w:hAnsi="Arial" w:cs="Arial"/>
          <w:color w:val="000000" w:themeColor="text1"/>
        </w:rPr>
        <w:t>31 May</w:t>
      </w:r>
      <w:r w:rsidRPr="00280D9D">
        <w:rPr>
          <w:rFonts w:ascii="Arial" w:hAnsi="Arial" w:cs="Arial"/>
          <w:color w:val="000000" w:themeColor="text1"/>
        </w:rPr>
        <w:t xml:space="preserve"> 20</w:t>
      </w:r>
      <w:r w:rsidR="00217A8D">
        <w:rPr>
          <w:rFonts w:ascii="Arial" w:hAnsi="Arial" w:cs="Arial"/>
          <w:color w:val="000000" w:themeColor="text1"/>
        </w:rPr>
        <w:t>08</w:t>
      </w:r>
      <w:r w:rsidRPr="00280D9D">
        <w:rPr>
          <w:rFonts w:ascii="Arial" w:hAnsi="Arial" w:cs="Arial"/>
          <w:color w:val="000000" w:themeColor="text1"/>
        </w:rPr>
        <w:t xml:space="preserve"> </w:t>
      </w:r>
      <w:r w:rsidR="00217A8D">
        <w:rPr>
          <w:rFonts w:ascii="Arial" w:hAnsi="Arial" w:cs="Arial"/>
          <w:color w:val="000000" w:themeColor="text1"/>
        </w:rPr>
        <w:t>along Mogogelo and M21 Road, Stinkwater</w:t>
      </w:r>
      <w:r w:rsidR="00482119">
        <w:rPr>
          <w:rFonts w:ascii="Arial" w:hAnsi="Arial" w:cs="Arial"/>
          <w:color w:val="000000" w:themeColor="text1"/>
        </w:rPr>
        <w:t xml:space="preserve">, Gauteng </w:t>
      </w:r>
      <w:r w:rsidRPr="00280D9D">
        <w:rPr>
          <w:rFonts w:ascii="Arial" w:hAnsi="Arial" w:cs="Arial"/>
          <w:color w:val="000000" w:themeColor="text1"/>
        </w:rPr>
        <w:t>wh</w:t>
      </w:r>
      <w:r w:rsidR="000426A9">
        <w:rPr>
          <w:rFonts w:ascii="Arial" w:hAnsi="Arial" w:cs="Arial"/>
          <w:color w:val="000000" w:themeColor="text1"/>
        </w:rPr>
        <w:t>en two vehicles collided both of which</w:t>
      </w:r>
      <w:r w:rsidRPr="00280D9D">
        <w:rPr>
          <w:rFonts w:ascii="Arial" w:hAnsi="Arial" w:cs="Arial"/>
          <w:color w:val="000000" w:themeColor="text1"/>
        </w:rPr>
        <w:t xml:space="preserve"> the driver</w:t>
      </w:r>
      <w:r w:rsidR="000426A9">
        <w:rPr>
          <w:rFonts w:ascii="Arial" w:hAnsi="Arial" w:cs="Arial"/>
          <w:color w:val="000000" w:themeColor="text1"/>
        </w:rPr>
        <w:t xml:space="preserve">s are known. </w:t>
      </w:r>
      <w:r w:rsidR="007D3B07">
        <w:rPr>
          <w:rFonts w:ascii="Arial" w:hAnsi="Arial" w:cs="Arial"/>
          <w:color w:val="000000" w:themeColor="text1"/>
        </w:rPr>
        <w:t>At the time of the collision the plaintiff was a</w:t>
      </w:r>
      <w:r w:rsidR="00701A97">
        <w:rPr>
          <w:rFonts w:ascii="Arial" w:hAnsi="Arial" w:cs="Arial"/>
          <w:color w:val="000000" w:themeColor="text1"/>
        </w:rPr>
        <w:t>llegedly a</w:t>
      </w:r>
      <w:r w:rsidR="007D3B07">
        <w:rPr>
          <w:rFonts w:ascii="Arial" w:hAnsi="Arial" w:cs="Arial"/>
          <w:color w:val="000000" w:themeColor="text1"/>
        </w:rPr>
        <w:t xml:space="preserve"> Grade 12 pupil at Rakgotso Secondary/High School. </w:t>
      </w:r>
    </w:p>
    <w:p w14:paraId="35297497" w14:textId="77777777" w:rsidR="00B97136" w:rsidRPr="00280D9D" w:rsidRDefault="00B97136" w:rsidP="00B97136">
      <w:pPr>
        <w:spacing w:line="480" w:lineRule="auto"/>
        <w:jc w:val="both"/>
        <w:rPr>
          <w:rFonts w:ascii="Arial" w:hAnsi="Arial" w:cs="Arial"/>
          <w:color w:val="000000" w:themeColor="text1"/>
        </w:rPr>
      </w:pPr>
    </w:p>
    <w:p w14:paraId="126A99FA" w14:textId="11DF532D" w:rsidR="00B97136" w:rsidRPr="00280D9D" w:rsidRDefault="00B97136" w:rsidP="00B97136">
      <w:pPr>
        <w:spacing w:line="480" w:lineRule="auto"/>
        <w:jc w:val="both"/>
        <w:rPr>
          <w:rFonts w:ascii="Arial" w:hAnsi="Arial" w:cs="Arial"/>
          <w:color w:val="000000" w:themeColor="text1"/>
        </w:rPr>
      </w:pPr>
      <w:r w:rsidRPr="00280D9D">
        <w:rPr>
          <w:rFonts w:ascii="Arial" w:hAnsi="Arial" w:cs="Arial"/>
          <w:color w:val="000000" w:themeColor="text1"/>
        </w:rPr>
        <w:t>[2]</w:t>
      </w:r>
      <w:r w:rsidRPr="00280D9D">
        <w:rPr>
          <w:rFonts w:ascii="Arial" w:hAnsi="Arial" w:cs="Arial"/>
          <w:color w:val="000000" w:themeColor="text1"/>
        </w:rPr>
        <w:tab/>
        <w:t xml:space="preserve">Liability </w:t>
      </w:r>
      <w:r w:rsidR="000426A9">
        <w:rPr>
          <w:rFonts w:ascii="Arial" w:hAnsi="Arial" w:cs="Arial"/>
          <w:color w:val="000000" w:themeColor="text1"/>
        </w:rPr>
        <w:t xml:space="preserve">and General damages have already been resolved as per the Offer and Acceptance </w:t>
      </w:r>
      <w:r w:rsidRPr="00280D9D">
        <w:rPr>
          <w:rFonts w:ascii="Arial" w:hAnsi="Arial" w:cs="Arial"/>
          <w:color w:val="000000" w:themeColor="text1"/>
        </w:rPr>
        <w:t>in favour of the plaintiff by the defendant and the only issue for determination is the quantum of plaintiff’s loss of earnings and/or capacity</w:t>
      </w:r>
      <w:r w:rsidR="000426A9">
        <w:rPr>
          <w:rFonts w:ascii="Arial" w:hAnsi="Arial" w:cs="Arial"/>
          <w:color w:val="000000" w:themeColor="text1"/>
        </w:rPr>
        <w:t xml:space="preserve"> and in particular the plaintiff’s pre-accidental educational and career progression. The </w:t>
      </w:r>
      <w:r w:rsidR="003D237F">
        <w:rPr>
          <w:rFonts w:ascii="Arial" w:hAnsi="Arial" w:cs="Arial"/>
          <w:color w:val="000000" w:themeColor="text1"/>
        </w:rPr>
        <w:t xml:space="preserve">parties have agreed that the </w:t>
      </w:r>
      <w:r w:rsidR="000426A9">
        <w:rPr>
          <w:rFonts w:ascii="Arial" w:hAnsi="Arial" w:cs="Arial"/>
          <w:color w:val="000000" w:themeColor="text1"/>
        </w:rPr>
        <w:t>plaintiff has for practical purposes been left functionally unemployable and if he were to find employment</w:t>
      </w:r>
      <w:r w:rsidR="007D3B07">
        <w:rPr>
          <w:rFonts w:ascii="Arial" w:hAnsi="Arial" w:cs="Arial"/>
          <w:color w:val="000000" w:themeColor="text1"/>
        </w:rPr>
        <w:t xml:space="preserve">, such will be sympathetic in nature. </w:t>
      </w:r>
    </w:p>
    <w:p w14:paraId="1EA1CC7C" w14:textId="77777777" w:rsidR="00B97136" w:rsidRPr="00280D9D" w:rsidRDefault="00B97136" w:rsidP="00B97136">
      <w:pPr>
        <w:spacing w:line="480" w:lineRule="auto"/>
        <w:jc w:val="both"/>
        <w:rPr>
          <w:rFonts w:ascii="Arial" w:hAnsi="Arial" w:cs="Arial"/>
          <w:color w:val="000000" w:themeColor="text1"/>
        </w:rPr>
      </w:pPr>
    </w:p>
    <w:p w14:paraId="4CE47BC5" w14:textId="37ECA1A3" w:rsidR="00B97136" w:rsidRPr="00280D9D" w:rsidRDefault="00B97136" w:rsidP="00B97136">
      <w:pPr>
        <w:spacing w:line="480" w:lineRule="auto"/>
        <w:jc w:val="both"/>
        <w:rPr>
          <w:rFonts w:ascii="Arial" w:hAnsi="Arial" w:cs="Arial"/>
          <w:color w:val="000000" w:themeColor="text1"/>
        </w:rPr>
      </w:pPr>
      <w:r w:rsidRPr="00280D9D">
        <w:rPr>
          <w:rFonts w:ascii="Arial" w:hAnsi="Arial" w:cs="Arial"/>
          <w:color w:val="000000" w:themeColor="text1"/>
        </w:rPr>
        <w:t>[3]</w:t>
      </w:r>
      <w:r w:rsidRPr="00280D9D">
        <w:rPr>
          <w:rFonts w:ascii="Arial" w:hAnsi="Arial" w:cs="Arial"/>
          <w:color w:val="000000" w:themeColor="text1"/>
        </w:rPr>
        <w:tab/>
      </w:r>
      <w:r w:rsidR="003D237F">
        <w:rPr>
          <w:rFonts w:ascii="Arial" w:hAnsi="Arial" w:cs="Arial"/>
          <w:color w:val="000000" w:themeColor="text1"/>
        </w:rPr>
        <w:t>The</w:t>
      </w:r>
      <w:r w:rsidRPr="00280D9D">
        <w:rPr>
          <w:rFonts w:ascii="Arial" w:hAnsi="Arial" w:cs="Arial"/>
          <w:color w:val="000000" w:themeColor="text1"/>
        </w:rPr>
        <w:t xml:space="preserve"> claim for General damages was </w:t>
      </w:r>
      <w:r w:rsidR="007D3B07" w:rsidRPr="00280D9D">
        <w:rPr>
          <w:rFonts w:ascii="Arial" w:hAnsi="Arial" w:cs="Arial"/>
          <w:color w:val="000000" w:themeColor="text1"/>
        </w:rPr>
        <w:t>settled</w:t>
      </w:r>
      <w:r>
        <w:rPr>
          <w:rFonts w:ascii="Arial" w:hAnsi="Arial" w:cs="Arial"/>
          <w:color w:val="000000" w:themeColor="text1"/>
        </w:rPr>
        <w:t xml:space="preserve"> and t</w:t>
      </w:r>
      <w:r w:rsidRPr="00280D9D">
        <w:rPr>
          <w:rFonts w:ascii="Arial" w:hAnsi="Arial" w:cs="Arial"/>
          <w:color w:val="000000" w:themeColor="text1"/>
        </w:rPr>
        <w:t xml:space="preserve">he </w:t>
      </w:r>
      <w:r w:rsidRPr="001A282E">
        <w:rPr>
          <w:rFonts w:ascii="Arial" w:hAnsi="Arial" w:cs="Arial"/>
        </w:rPr>
        <w:t>defendant will issue</w:t>
      </w:r>
      <w:r w:rsidRPr="00DA766B">
        <w:rPr>
          <w:rFonts w:ascii="Arial" w:hAnsi="Arial" w:cs="Arial"/>
          <w:color w:val="FF0000"/>
        </w:rPr>
        <w:t xml:space="preserve"> </w:t>
      </w:r>
      <w:r w:rsidRPr="00280D9D">
        <w:rPr>
          <w:rFonts w:ascii="Arial" w:hAnsi="Arial" w:cs="Arial"/>
          <w:color w:val="000000" w:themeColor="text1"/>
        </w:rPr>
        <w:t>a certificate to the plaintiff in terms of s17(4)(a) of the Road Accident Fund Act 56 of 1996 in respect of future medical, hospital and related expenses.</w:t>
      </w:r>
    </w:p>
    <w:p w14:paraId="746D20AF" w14:textId="77777777" w:rsidR="00B97136" w:rsidRPr="00280D9D" w:rsidRDefault="00B97136" w:rsidP="00B97136">
      <w:pPr>
        <w:spacing w:line="480" w:lineRule="auto"/>
        <w:jc w:val="both"/>
        <w:rPr>
          <w:rFonts w:ascii="Arial" w:hAnsi="Arial" w:cs="Arial"/>
          <w:color w:val="000000" w:themeColor="text1"/>
        </w:rPr>
      </w:pPr>
    </w:p>
    <w:p w14:paraId="198BDDE6" w14:textId="1AC0A29F" w:rsidR="00B97136" w:rsidRPr="00280D9D" w:rsidRDefault="00B97136" w:rsidP="00B97136">
      <w:pPr>
        <w:spacing w:line="480" w:lineRule="auto"/>
        <w:jc w:val="both"/>
        <w:rPr>
          <w:rFonts w:ascii="Arial" w:hAnsi="Arial" w:cs="Arial"/>
          <w:color w:val="000000" w:themeColor="text1"/>
        </w:rPr>
      </w:pPr>
      <w:r>
        <w:rPr>
          <w:rFonts w:ascii="Arial" w:hAnsi="Arial" w:cs="Arial"/>
          <w:color w:val="000000" w:themeColor="text1"/>
        </w:rPr>
        <w:t>[</w:t>
      </w:r>
      <w:r w:rsidR="000426A9">
        <w:rPr>
          <w:rFonts w:ascii="Arial" w:hAnsi="Arial" w:cs="Arial"/>
          <w:color w:val="000000" w:themeColor="text1"/>
        </w:rPr>
        <w:t>4</w:t>
      </w:r>
      <w:r w:rsidRPr="00280D9D">
        <w:rPr>
          <w:rFonts w:ascii="Arial" w:hAnsi="Arial" w:cs="Arial"/>
          <w:color w:val="000000" w:themeColor="text1"/>
        </w:rPr>
        <w:t>]</w:t>
      </w:r>
      <w:r w:rsidRPr="00280D9D">
        <w:rPr>
          <w:rFonts w:ascii="Arial" w:hAnsi="Arial" w:cs="Arial"/>
          <w:color w:val="000000" w:themeColor="text1"/>
        </w:rPr>
        <w:tab/>
        <w:t xml:space="preserve">It is </w:t>
      </w:r>
      <w:r w:rsidR="000426A9">
        <w:rPr>
          <w:rFonts w:ascii="Arial" w:hAnsi="Arial" w:cs="Arial"/>
          <w:color w:val="000000" w:themeColor="text1"/>
        </w:rPr>
        <w:t xml:space="preserve">past and </w:t>
      </w:r>
      <w:r w:rsidRPr="00280D9D">
        <w:rPr>
          <w:rFonts w:ascii="Arial" w:hAnsi="Arial" w:cs="Arial"/>
          <w:color w:val="000000" w:themeColor="text1"/>
        </w:rPr>
        <w:t xml:space="preserve">future loss of income (if any) that is in issue and the contingency deduction to be applied, </w:t>
      </w:r>
    </w:p>
    <w:p w14:paraId="25CC9201" w14:textId="77777777" w:rsidR="00B97136" w:rsidRPr="00280D9D" w:rsidRDefault="00B97136" w:rsidP="00B97136">
      <w:pPr>
        <w:spacing w:line="480" w:lineRule="auto"/>
        <w:jc w:val="both"/>
        <w:rPr>
          <w:rFonts w:ascii="Arial" w:hAnsi="Arial" w:cs="Arial"/>
          <w:color w:val="000000" w:themeColor="text1"/>
        </w:rPr>
      </w:pPr>
    </w:p>
    <w:p w14:paraId="3409F4D9" w14:textId="30CDD752" w:rsidR="00B97136" w:rsidRPr="00280D9D" w:rsidRDefault="00B97136" w:rsidP="00B97136">
      <w:pPr>
        <w:spacing w:line="480" w:lineRule="auto"/>
        <w:jc w:val="both"/>
        <w:rPr>
          <w:rFonts w:ascii="Arial" w:hAnsi="Arial" w:cs="Arial"/>
          <w:color w:val="000000" w:themeColor="text1"/>
        </w:rPr>
      </w:pPr>
      <w:r>
        <w:rPr>
          <w:rFonts w:ascii="Arial" w:hAnsi="Arial" w:cs="Arial"/>
          <w:color w:val="000000" w:themeColor="text1"/>
        </w:rPr>
        <w:t>[</w:t>
      </w:r>
      <w:r w:rsidR="000426A9">
        <w:rPr>
          <w:rFonts w:ascii="Arial" w:hAnsi="Arial" w:cs="Arial"/>
          <w:color w:val="000000" w:themeColor="text1"/>
        </w:rPr>
        <w:t>5</w:t>
      </w:r>
      <w:r>
        <w:rPr>
          <w:rFonts w:ascii="Arial" w:hAnsi="Arial" w:cs="Arial"/>
          <w:color w:val="000000" w:themeColor="text1"/>
        </w:rPr>
        <w:t>]</w:t>
      </w:r>
      <w:r>
        <w:rPr>
          <w:rFonts w:ascii="Arial" w:hAnsi="Arial" w:cs="Arial"/>
          <w:color w:val="000000" w:themeColor="text1"/>
        </w:rPr>
        <w:tab/>
        <w:t>T</w:t>
      </w:r>
      <w:r w:rsidRPr="00280D9D">
        <w:rPr>
          <w:rFonts w:ascii="Arial" w:hAnsi="Arial" w:cs="Arial"/>
          <w:color w:val="000000" w:themeColor="text1"/>
        </w:rPr>
        <w:t xml:space="preserve">he plaintiff contends that he has suffered a loss of earnings or earning capacity and that a contingency deduction of </w:t>
      </w:r>
      <w:r w:rsidR="000426A9">
        <w:rPr>
          <w:rFonts w:ascii="Arial" w:hAnsi="Arial" w:cs="Arial"/>
          <w:color w:val="000000" w:themeColor="text1"/>
        </w:rPr>
        <w:t>5</w:t>
      </w:r>
      <w:r w:rsidRPr="00280D9D">
        <w:rPr>
          <w:rFonts w:ascii="Arial" w:hAnsi="Arial" w:cs="Arial"/>
          <w:color w:val="000000" w:themeColor="text1"/>
        </w:rPr>
        <w:t xml:space="preserve">% for past loss and </w:t>
      </w:r>
      <w:r w:rsidR="000426A9">
        <w:rPr>
          <w:rFonts w:ascii="Arial" w:hAnsi="Arial" w:cs="Arial"/>
          <w:color w:val="000000" w:themeColor="text1"/>
        </w:rPr>
        <w:t>20%</w:t>
      </w:r>
      <w:r>
        <w:rPr>
          <w:rFonts w:ascii="Arial" w:hAnsi="Arial" w:cs="Arial"/>
          <w:color w:val="FF0000"/>
        </w:rPr>
        <w:t xml:space="preserve"> </w:t>
      </w:r>
      <w:r w:rsidRPr="00E60C89">
        <w:rPr>
          <w:rFonts w:ascii="Arial" w:hAnsi="Arial" w:cs="Arial"/>
        </w:rPr>
        <w:t>in respect</w:t>
      </w:r>
      <w:r w:rsidRPr="00DA766B">
        <w:rPr>
          <w:rFonts w:ascii="Arial" w:hAnsi="Arial" w:cs="Arial"/>
          <w:color w:val="FF0000"/>
        </w:rPr>
        <w:t xml:space="preserve"> </w:t>
      </w:r>
      <w:r w:rsidRPr="00280D9D">
        <w:rPr>
          <w:rFonts w:ascii="Arial" w:hAnsi="Arial" w:cs="Arial"/>
          <w:color w:val="000000" w:themeColor="text1"/>
        </w:rPr>
        <w:t xml:space="preserve">future loss should be applied. </w:t>
      </w:r>
    </w:p>
    <w:p w14:paraId="7D03036B" w14:textId="77777777" w:rsidR="00B97136" w:rsidRPr="00280D9D" w:rsidRDefault="00B97136" w:rsidP="00B97136">
      <w:pPr>
        <w:spacing w:line="480" w:lineRule="auto"/>
        <w:jc w:val="both"/>
        <w:rPr>
          <w:rFonts w:ascii="Arial" w:hAnsi="Arial" w:cs="Arial"/>
          <w:color w:val="000000" w:themeColor="text1"/>
        </w:rPr>
      </w:pPr>
    </w:p>
    <w:p w14:paraId="77A710DC" w14:textId="3A014FB5" w:rsidR="00B97136" w:rsidRPr="00280D9D" w:rsidRDefault="00B97136" w:rsidP="00B97136">
      <w:pPr>
        <w:spacing w:line="480" w:lineRule="auto"/>
        <w:jc w:val="both"/>
        <w:rPr>
          <w:rFonts w:ascii="Arial" w:hAnsi="Arial" w:cs="Arial"/>
          <w:color w:val="000000" w:themeColor="text1"/>
        </w:rPr>
      </w:pPr>
      <w:r>
        <w:rPr>
          <w:rFonts w:ascii="Arial" w:hAnsi="Arial" w:cs="Arial"/>
          <w:color w:val="000000" w:themeColor="text1"/>
        </w:rPr>
        <w:lastRenderedPageBreak/>
        <w:t>[</w:t>
      </w:r>
      <w:r w:rsidR="000426A9">
        <w:rPr>
          <w:rFonts w:ascii="Arial" w:hAnsi="Arial" w:cs="Arial"/>
          <w:color w:val="000000" w:themeColor="text1"/>
        </w:rPr>
        <w:t>6</w:t>
      </w:r>
      <w:r w:rsidRPr="00280D9D">
        <w:rPr>
          <w:rFonts w:ascii="Arial" w:hAnsi="Arial" w:cs="Arial"/>
          <w:color w:val="000000" w:themeColor="text1"/>
        </w:rPr>
        <w:t>]</w:t>
      </w:r>
      <w:r w:rsidRPr="00280D9D">
        <w:rPr>
          <w:rFonts w:ascii="Arial" w:hAnsi="Arial" w:cs="Arial"/>
          <w:color w:val="000000" w:themeColor="text1"/>
        </w:rPr>
        <w:tab/>
        <w:t xml:space="preserve">The defendant’s contention is that </w:t>
      </w:r>
      <w:r w:rsidR="007D3B07">
        <w:rPr>
          <w:rFonts w:ascii="Arial" w:hAnsi="Arial" w:cs="Arial"/>
          <w:color w:val="000000" w:themeColor="text1"/>
        </w:rPr>
        <w:t>the opinion of the Educational Psychologist is without basis for the conclusion she arrived at and the defendant submits that the initial calculation that was done before the appointment of the Educational Psychologist was at the very least the closest to what the plaintiff will go on in li</w:t>
      </w:r>
      <w:r w:rsidR="00815D1E">
        <w:rPr>
          <w:rFonts w:ascii="Arial" w:hAnsi="Arial" w:cs="Arial"/>
          <w:color w:val="000000" w:themeColor="text1"/>
        </w:rPr>
        <w:t>f</w:t>
      </w:r>
      <w:r w:rsidR="007D3B07">
        <w:rPr>
          <w:rFonts w:ascii="Arial" w:hAnsi="Arial" w:cs="Arial"/>
          <w:color w:val="000000" w:themeColor="text1"/>
        </w:rPr>
        <w:t>e given his failure rate and the unavailability of the history of his performance at school.</w:t>
      </w:r>
      <w:r w:rsidRPr="00280D9D">
        <w:rPr>
          <w:rFonts w:ascii="Arial" w:hAnsi="Arial" w:cs="Arial"/>
          <w:color w:val="000000" w:themeColor="text1"/>
        </w:rPr>
        <w:t xml:space="preserve"> </w:t>
      </w:r>
      <w:r w:rsidRPr="00E60C89">
        <w:rPr>
          <w:rFonts w:ascii="Arial" w:hAnsi="Arial" w:cs="Arial"/>
        </w:rPr>
        <w:t>However, should the Court find</w:t>
      </w:r>
      <w:r w:rsidRPr="00DA766B">
        <w:rPr>
          <w:rFonts w:ascii="Arial" w:hAnsi="Arial" w:cs="Arial"/>
          <w:color w:val="FF0000"/>
        </w:rPr>
        <w:t xml:space="preserve"> </w:t>
      </w:r>
      <w:r w:rsidRPr="00280D9D">
        <w:rPr>
          <w:rFonts w:ascii="Arial" w:hAnsi="Arial" w:cs="Arial"/>
          <w:color w:val="000000" w:themeColor="text1"/>
        </w:rPr>
        <w:t xml:space="preserve">that plaintiff has indeed suffered a loss of earning capacity then a </w:t>
      </w:r>
      <w:r w:rsidRPr="00E60C89">
        <w:rPr>
          <w:rFonts w:ascii="Arial" w:hAnsi="Arial" w:cs="Arial"/>
        </w:rPr>
        <w:t xml:space="preserve">contingency of </w:t>
      </w:r>
      <w:r w:rsidR="00701A97">
        <w:rPr>
          <w:rFonts w:ascii="Arial" w:hAnsi="Arial" w:cs="Arial"/>
        </w:rPr>
        <w:t>25</w:t>
      </w:r>
      <w:r w:rsidRPr="00E60C89">
        <w:rPr>
          <w:rFonts w:ascii="Arial" w:hAnsi="Arial" w:cs="Arial"/>
        </w:rPr>
        <w:t xml:space="preserve">% for past loss and </w:t>
      </w:r>
      <w:r w:rsidR="00701A97">
        <w:rPr>
          <w:rFonts w:ascii="Arial" w:hAnsi="Arial" w:cs="Arial"/>
        </w:rPr>
        <w:t>50</w:t>
      </w:r>
      <w:r w:rsidRPr="00E60C89">
        <w:rPr>
          <w:rFonts w:ascii="Arial" w:hAnsi="Arial" w:cs="Arial"/>
        </w:rPr>
        <w:t>% in respect of future loss of income should be applied</w:t>
      </w:r>
      <w:r w:rsidRPr="00280D9D">
        <w:rPr>
          <w:rFonts w:ascii="Arial" w:hAnsi="Arial" w:cs="Arial"/>
          <w:color w:val="000000" w:themeColor="text1"/>
        </w:rPr>
        <w:t>.</w:t>
      </w:r>
    </w:p>
    <w:p w14:paraId="5F3EC4D3" w14:textId="77777777" w:rsidR="00B97136" w:rsidRPr="00280D9D" w:rsidRDefault="00B97136" w:rsidP="00B97136">
      <w:pPr>
        <w:spacing w:line="480" w:lineRule="auto"/>
        <w:jc w:val="both"/>
        <w:rPr>
          <w:rFonts w:ascii="Arial" w:hAnsi="Arial" w:cs="Arial"/>
          <w:color w:val="000000" w:themeColor="text1"/>
        </w:rPr>
      </w:pPr>
    </w:p>
    <w:p w14:paraId="0611CB11" w14:textId="2F783383" w:rsidR="00B97136" w:rsidRDefault="00B97136" w:rsidP="00B97136">
      <w:pPr>
        <w:spacing w:line="480" w:lineRule="auto"/>
        <w:jc w:val="both"/>
        <w:rPr>
          <w:rFonts w:ascii="Arial" w:hAnsi="Arial" w:cs="Arial"/>
          <w:color w:val="000000" w:themeColor="text1"/>
        </w:rPr>
      </w:pPr>
      <w:r>
        <w:rPr>
          <w:rFonts w:ascii="Arial" w:hAnsi="Arial" w:cs="Arial"/>
          <w:color w:val="000000" w:themeColor="text1"/>
          <w:lang w:val="en-GB"/>
        </w:rPr>
        <w:t>[</w:t>
      </w:r>
      <w:r w:rsidR="00701A97">
        <w:rPr>
          <w:rFonts w:ascii="Arial" w:hAnsi="Arial" w:cs="Arial"/>
          <w:color w:val="000000" w:themeColor="text1"/>
          <w:lang w:val="en-GB"/>
        </w:rPr>
        <w:t>7</w:t>
      </w:r>
      <w:r w:rsidRPr="00280D9D">
        <w:rPr>
          <w:rFonts w:ascii="Arial" w:hAnsi="Arial" w:cs="Arial"/>
          <w:color w:val="000000" w:themeColor="text1"/>
          <w:lang w:val="en-GB"/>
        </w:rPr>
        <w:t>] The legal position relating to a claim for diminished earning capacity is trite.</w:t>
      </w:r>
      <w:r w:rsidRPr="00280D9D">
        <w:rPr>
          <w:rFonts w:ascii="Arial" w:hAnsi="Arial" w:cs="Arial"/>
          <w:color w:val="000000" w:themeColor="text1"/>
        </w:rPr>
        <w:t xml:space="preserve"> The mere fact of physical disability does not necessarily reduce the estate or patrimony of the person injured. </w:t>
      </w:r>
      <w:r>
        <w:rPr>
          <w:rFonts w:ascii="Arial" w:hAnsi="Arial" w:cs="Arial"/>
          <w:color w:val="000000" w:themeColor="text1"/>
        </w:rPr>
        <w:t>Alternatively, i</w:t>
      </w:r>
      <w:r w:rsidRPr="00280D9D">
        <w:rPr>
          <w:rFonts w:ascii="Arial" w:hAnsi="Arial" w:cs="Arial"/>
          <w:color w:val="000000" w:themeColor="text1"/>
        </w:rPr>
        <w:t>t does not follow from proof of a physical injury which impaired the ability to earn an income that there was in fact a diminution in earning capacity.</w:t>
      </w:r>
      <w:r w:rsidRPr="00280D9D">
        <w:rPr>
          <w:rStyle w:val="FootnoteReference"/>
          <w:rFonts w:ascii="Arial" w:hAnsi="Arial" w:cs="Arial"/>
          <w:color w:val="000000" w:themeColor="text1"/>
        </w:rPr>
        <w:footnoteReference w:id="1"/>
      </w:r>
      <w:r w:rsidRPr="00280D9D">
        <w:rPr>
          <w:rFonts w:ascii="Arial" w:hAnsi="Arial" w:cs="Arial"/>
          <w:color w:val="000000" w:themeColor="text1"/>
        </w:rPr>
        <w:t xml:space="preserve"> </w:t>
      </w:r>
    </w:p>
    <w:p w14:paraId="315D0008" w14:textId="77777777" w:rsidR="00C6542D" w:rsidRPr="00280D9D" w:rsidRDefault="00C6542D" w:rsidP="00B97136">
      <w:pPr>
        <w:spacing w:line="480" w:lineRule="auto"/>
        <w:jc w:val="both"/>
        <w:rPr>
          <w:rFonts w:ascii="Arial" w:hAnsi="Arial" w:cs="Arial"/>
          <w:color w:val="000000" w:themeColor="text1"/>
          <w:lang w:val="en-GB"/>
        </w:rPr>
      </w:pPr>
    </w:p>
    <w:p w14:paraId="0E48C533" w14:textId="03BA5709" w:rsidR="00B97136" w:rsidRPr="00280D9D" w:rsidRDefault="00B97136" w:rsidP="00B97136">
      <w:pPr>
        <w:pStyle w:val="western"/>
        <w:shd w:val="clear" w:color="auto" w:fill="FFFFFF"/>
        <w:spacing w:before="144" w:beforeAutospacing="0" w:after="0" w:afterAutospacing="0" w:line="480" w:lineRule="atLeast"/>
        <w:jc w:val="both"/>
        <w:rPr>
          <w:rFonts w:ascii="Arial" w:hAnsi="Arial" w:cs="Arial"/>
          <w:color w:val="000000" w:themeColor="text1"/>
          <w:lang w:val="en-GB"/>
        </w:rPr>
      </w:pPr>
      <w:r>
        <w:rPr>
          <w:rFonts w:ascii="Arial" w:hAnsi="Arial" w:cs="Arial"/>
          <w:color w:val="000000" w:themeColor="text1"/>
          <w:lang w:val="en-GB"/>
        </w:rPr>
        <w:t>[</w:t>
      </w:r>
      <w:r w:rsidR="00701A97">
        <w:rPr>
          <w:rFonts w:ascii="Arial" w:hAnsi="Arial" w:cs="Arial"/>
          <w:color w:val="000000" w:themeColor="text1"/>
          <w:lang w:val="en-GB"/>
        </w:rPr>
        <w:t>8</w:t>
      </w:r>
      <w:r w:rsidRPr="00280D9D">
        <w:rPr>
          <w:rFonts w:ascii="Arial" w:hAnsi="Arial" w:cs="Arial"/>
          <w:color w:val="000000" w:themeColor="text1"/>
          <w:lang w:val="en-GB"/>
        </w:rPr>
        <w:t>]</w:t>
      </w:r>
      <w:r w:rsidRPr="00280D9D">
        <w:rPr>
          <w:rFonts w:ascii="Arial" w:hAnsi="Arial" w:cs="Arial"/>
          <w:color w:val="000000" w:themeColor="text1"/>
          <w:lang w:val="en-GB"/>
        </w:rPr>
        <w:tab/>
        <w:t xml:space="preserve">In </w:t>
      </w:r>
      <w:r w:rsidRPr="00280D9D">
        <w:rPr>
          <w:rFonts w:ascii="Arial" w:hAnsi="Arial" w:cs="Arial"/>
          <w:bCs/>
          <w:i/>
          <w:color w:val="000000" w:themeColor="text1"/>
          <w:lang w:val="en-GB"/>
        </w:rPr>
        <w:t>Dippenaar v Shield Insurance Co Lt</w:t>
      </w:r>
      <w:r w:rsidR="003D237F">
        <w:rPr>
          <w:rFonts w:ascii="Arial" w:hAnsi="Arial" w:cs="Arial"/>
          <w:bCs/>
          <w:i/>
          <w:color w:val="000000" w:themeColor="text1"/>
          <w:lang w:val="en-GB"/>
        </w:rPr>
        <w:t>d</w:t>
      </w:r>
      <w:r w:rsidR="003D237F">
        <w:rPr>
          <w:rStyle w:val="FootnoteReference"/>
          <w:rFonts w:ascii="Arial" w:hAnsi="Arial"/>
          <w:bCs/>
          <w:i/>
          <w:color w:val="000000" w:themeColor="text1"/>
          <w:lang w:val="en-GB"/>
        </w:rPr>
        <w:footnoteReference w:id="2"/>
      </w:r>
      <w:r w:rsidRPr="00280D9D">
        <w:rPr>
          <w:rFonts w:ascii="Arial" w:hAnsi="Arial" w:cs="Arial"/>
          <w:color w:val="000000" w:themeColor="text1"/>
          <w:lang w:val="en-GB"/>
        </w:rPr>
        <w:t xml:space="preserve">  the principle was articulated in the following terms:</w:t>
      </w:r>
    </w:p>
    <w:p w14:paraId="18C1DCDE" w14:textId="77777777" w:rsidR="00B97136" w:rsidRPr="00280D9D" w:rsidRDefault="00B97136" w:rsidP="00B97136">
      <w:pPr>
        <w:pStyle w:val="western"/>
        <w:shd w:val="clear" w:color="auto" w:fill="FFFFFF"/>
        <w:spacing w:after="120" w:afterAutospacing="0" w:line="360" w:lineRule="auto"/>
        <w:ind w:left="567" w:right="567"/>
        <w:jc w:val="both"/>
        <w:rPr>
          <w:rFonts w:ascii="Arial" w:hAnsi="Arial" w:cs="Arial"/>
          <w:color w:val="000000" w:themeColor="text1"/>
          <w:lang w:val="en-GB"/>
        </w:rPr>
      </w:pPr>
      <w:r w:rsidRPr="00280D9D">
        <w:rPr>
          <w:rFonts w:ascii="Arial" w:hAnsi="Arial" w:cs="Arial"/>
          <w:iCs/>
          <w:color w:val="000000" w:themeColor="text1"/>
          <w:lang w:val="en-GB"/>
        </w:rPr>
        <w:t xml:space="preserve">“In our law, under the lex Aquilia, the defendant must make good the difference between the value of the plaintiff’s estate after the commission of the delict and the value it would have had if the delict had not been committed. The capacity to earn money is considered to be part of a person’s estate and the loss or impairment of that capacity constitutes a loss if such loss diminishes the estate. This was the approach in Union </w:t>
      </w:r>
      <w:r w:rsidRPr="00280D9D">
        <w:rPr>
          <w:rFonts w:ascii="Arial" w:hAnsi="Arial" w:cs="Arial"/>
          <w:iCs/>
          <w:color w:val="000000" w:themeColor="text1"/>
          <w:lang w:val="en-GB"/>
        </w:rPr>
        <w:lastRenderedPageBreak/>
        <w:t>Government (Minister of Railways and Harbours) v Warneke </w:t>
      </w:r>
      <w:hyperlink r:id="rId10" w:tooltip="View LawCiteRecord" w:history="1">
        <w:r w:rsidRPr="00280D9D">
          <w:rPr>
            <w:rStyle w:val="Hyperlink"/>
            <w:rFonts w:ascii="Arial" w:hAnsi="Arial" w:cs="Arial"/>
            <w:bCs/>
            <w:color w:val="000000" w:themeColor="text1"/>
            <w:lang w:val="en-GB"/>
          </w:rPr>
          <w:t>1911 AD 657</w:t>
        </w:r>
      </w:hyperlink>
      <w:r w:rsidRPr="00280D9D">
        <w:rPr>
          <w:rFonts w:ascii="Arial" w:hAnsi="Arial" w:cs="Arial"/>
          <w:iCs/>
          <w:color w:val="000000" w:themeColor="text1"/>
          <w:lang w:val="en-GB"/>
        </w:rPr>
        <w:t> at 665 where the following appears:</w:t>
      </w:r>
    </w:p>
    <w:p w14:paraId="6042F1FC" w14:textId="3E5F05DB" w:rsidR="00B97136" w:rsidRDefault="00B97136" w:rsidP="00B97136">
      <w:pPr>
        <w:pStyle w:val="western"/>
        <w:shd w:val="clear" w:color="auto" w:fill="FFFFFF"/>
        <w:spacing w:after="120" w:afterAutospacing="0" w:line="360" w:lineRule="auto"/>
        <w:ind w:left="567" w:right="567"/>
        <w:jc w:val="both"/>
        <w:rPr>
          <w:rFonts w:ascii="Arial" w:hAnsi="Arial" w:cs="Arial"/>
          <w:iCs/>
          <w:color w:val="000000" w:themeColor="text1"/>
          <w:lang w:val="en-GB"/>
        </w:rPr>
      </w:pPr>
      <w:r w:rsidRPr="00280D9D">
        <w:rPr>
          <w:rFonts w:ascii="Arial" w:hAnsi="Arial" w:cs="Arial"/>
          <w:iCs/>
          <w:color w:val="000000" w:themeColor="text1"/>
          <w:lang w:val="en-GB"/>
        </w:rPr>
        <w:t xml:space="preserve">“In </w:t>
      </w:r>
      <w:r w:rsidRPr="00831746">
        <w:rPr>
          <w:rFonts w:ascii="Arial" w:hAnsi="Arial" w:cs="Arial"/>
          <w:iCs/>
          <w:lang w:val="en-GB"/>
        </w:rPr>
        <w:t>later R</w:t>
      </w:r>
      <w:r w:rsidRPr="00280D9D">
        <w:rPr>
          <w:rFonts w:ascii="Arial" w:hAnsi="Arial" w:cs="Arial"/>
          <w:iCs/>
          <w:color w:val="000000" w:themeColor="text1"/>
          <w:lang w:val="en-GB"/>
        </w:rPr>
        <w:t xml:space="preserve">oman law property came to mean the universitas of the plaintiff’s rights and duties, and the object of the action was to recover the difference between the universitas as it was after the act of </w:t>
      </w:r>
      <w:r w:rsidRPr="00831746">
        <w:rPr>
          <w:rFonts w:ascii="Arial" w:hAnsi="Arial" w:cs="Arial"/>
          <w:iCs/>
          <w:lang w:val="en-GB"/>
        </w:rPr>
        <w:t>damage and as it would have been if</w:t>
      </w:r>
      <w:r w:rsidRPr="00280D9D">
        <w:rPr>
          <w:rFonts w:ascii="Arial" w:hAnsi="Arial" w:cs="Arial"/>
          <w:iCs/>
          <w:color w:val="000000" w:themeColor="text1"/>
          <w:lang w:val="en-GB"/>
        </w:rPr>
        <w:t xml:space="preserve"> the act had not been committed (Greuber at 269). Any element of attachment or affection for the thing damaged was rigorously excluded. And this principle was fully recognised by the law of Holland.”</w:t>
      </w:r>
    </w:p>
    <w:p w14:paraId="5E707D25" w14:textId="77777777" w:rsidR="00C6542D" w:rsidRPr="00280D9D" w:rsidRDefault="00C6542D" w:rsidP="00B97136">
      <w:pPr>
        <w:pStyle w:val="western"/>
        <w:shd w:val="clear" w:color="auto" w:fill="FFFFFF"/>
        <w:spacing w:after="120" w:afterAutospacing="0" w:line="360" w:lineRule="auto"/>
        <w:ind w:left="567" w:right="567"/>
        <w:jc w:val="both"/>
        <w:rPr>
          <w:rFonts w:ascii="Arial" w:hAnsi="Arial" w:cs="Arial"/>
          <w:color w:val="000000" w:themeColor="text1"/>
          <w:lang w:val="en-GB"/>
        </w:rPr>
      </w:pPr>
    </w:p>
    <w:p w14:paraId="034A3960" w14:textId="746371F2" w:rsidR="00B97136" w:rsidRPr="00280D9D" w:rsidRDefault="00B97136" w:rsidP="00B97136">
      <w:pPr>
        <w:pStyle w:val="western"/>
        <w:shd w:val="clear" w:color="auto" w:fill="FFFFFF"/>
        <w:spacing w:before="144" w:beforeAutospacing="0" w:after="0" w:afterAutospacing="0" w:line="480" w:lineRule="atLeast"/>
        <w:jc w:val="both"/>
        <w:rPr>
          <w:rFonts w:ascii="Arial" w:hAnsi="Arial" w:cs="Arial"/>
          <w:color w:val="000000" w:themeColor="text1"/>
          <w:lang w:val="en-GB"/>
        </w:rPr>
      </w:pPr>
      <w:r>
        <w:rPr>
          <w:rFonts w:ascii="Arial" w:hAnsi="Arial" w:cs="Arial"/>
          <w:color w:val="000000" w:themeColor="text1"/>
          <w:lang w:val="en-GB"/>
        </w:rPr>
        <w:t xml:space="preserve"> [</w:t>
      </w:r>
      <w:r w:rsidR="00701A97">
        <w:rPr>
          <w:rFonts w:ascii="Arial" w:hAnsi="Arial" w:cs="Arial"/>
          <w:color w:val="000000" w:themeColor="text1"/>
          <w:lang w:val="en-GB"/>
        </w:rPr>
        <w:t>9</w:t>
      </w:r>
      <w:r w:rsidRPr="00280D9D">
        <w:rPr>
          <w:rFonts w:ascii="Arial" w:hAnsi="Arial" w:cs="Arial"/>
          <w:color w:val="000000" w:themeColor="text1"/>
          <w:lang w:val="en-GB"/>
        </w:rPr>
        <w:t>]</w:t>
      </w:r>
      <w:r w:rsidRPr="00280D9D">
        <w:rPr>
          <w:rFonts w:ascii="Arial" w:hAnsi="Arial" w:cs="Arial"/>
          <w:color w:val="000000" w:themeColor="text1"/>
          <w:lang w:val="en-GB"/>
        </w:rPr>
        <w:tab/>
        <w:t xml:space="preserve">A person’s </w:t>
      </w:r>
      <w:r w:rsidR="003D237F" w:rsidRPr="00280D9D">
        <w:rPr>
          <w:rFonts w:ascii="Arial" w:hAnsi="Arial" w:cs="Arial"/>
          <w:color w:val="000000" w:themeColor="text1"/>
          <w:lang w:val="en-GB"/>
        </w:rPr>
        <w:t>all-round</w:t>
      </w:r>
      <w:r w:rsidRPr="00280D9D">
        <w:rPr>
          <w:rFonts w:ascii="Arial" w:hAnsi="Arial" w:cs="Arial"/>
          <w:color w:val="000000" w:themeColor="text1"/>
          <w:lang w:val="en-GB"/>
        </w:rPr>
        <w:t xml:space="preserve"> capacity to earn money consists </w:t>
      </w:r>
      <w:r w:rsidRPr="00280D9D">
        <w:rPr>
          <w:rFonts w:ascii="Arial" w:hAnsi="Arial" w:cs="Arial"/>
          <w:i/>
          <w:iCs/>
          <w:color w:val="000000" w:themeColor="text1"/>
          <w:lang w:val="en-GB"/>
        </w:rPr>
        <w:t>inter alia</w:t>
      </w:r>
      <w:r w:rsidRPr="00280D9D">
        <w:rPr>
          <w:rFonts w:ascii="Arial" w:hAnsi="Arial" w:cs="Arial"/>
          <w:color w:val="000000" w:themeColor="text1"/>
          <w:lang w:val="en-GB"/>
        </w:rPr>
        <w:t>, of an individual’s talents, skill, including his/her present position and plans for the future and of course external factors over which a person has no control. In </w:t>
      </w:r>
      <w:r w:rsidRPr="00280D9D">
        <w:rPr>
          <w:rFonts w:ascii="Arial" w:hAnsi="Arial" w:cs="Arial"/>
          <w:i/>
          <w:iCs/>
          <w:color w:val="000000" w:themeColor="text1"/>
          <w:lang w:val="en-GB"/>
        </w:rPr>
        <w:t>casu</w:t>
      </w:r>
      <w:r w:rsidRPr="00280D9D">
        <w:rPr>
          <w:rFonts w:ascii="Arial" w:hAnsi="Arial" w:cs="Arial"/>
          <w:color w:val="000000" w:themeColor="text1"/>
          <w:lang w:val="en-GB"/>
        </w:rPr>
        <w:t xml:space="preserve">, the court must calculate the total present monetary value of all that the plaintiff would have been capable of bringing into his patrimony had he not been injured, </w:t>
      </w:r>
      <w:r w:rsidR="003D237F" w:rsidRPr="00280D9D">
        <w:rPr>
          <w:rFonts w:ascii="Arial" w:hAnsi="Arial" w:cs="Arial"/>
          <w:color w:val="000000" w:themeColor="text1"/>
          <w:lang w:val="en-GB"/>
        </w:rPr>
        <w:t>and</w:t>
      </w:r>
      <w:r w:rsidRPr="00280D9D">
        <w:rPr>
          <w:rFonts w:ascii="Arial" w:hAnsi="Arial" w:cs="Arial"/>
          <w:color w:val="000000" w:themeColor="text1"/>
          <w:lang w:val="en-GB"/>
        </w:rPr>
        <w:t xml:space="preserve"> the total present monetary value of all that the plaintiff would be able to bring into his patrimony after sustaining the injury. The difference between the two (if any) will be the extent of the patrimonial loss. </w:t>
      </w:r>
    </w:p>
    <w:p w14:paraId="5187CFC5" w14:textId="77777777" w:rsidR="00B97136" w:rsidRPr="00280D9D" w:rsidRDefault="00B97136" w:rsidP="00B97136">
      <w:pPr>
        <w:pStyle w:val="western"/>
        <w:shd w:val="clear" w:color="auto" w:fill="FFFFFF"/>
        <w:spacing w:before="144" w:beforeAutospacing="0" w:after="0" w:afterAutospacing="0" w:line="480" w:lineRule="atLeast"/>
        <w:jc w:val="both"/>
        <w:rPr>
          <w:rFonts w:ascii="Arial" w:hAnsi="Arial" w:cs="Arial"/>
          <w:color w:val="000000" w:themeColor="text1"/>
          <w:lang w:val="en-GB"/>
        </w:rPr>
      </w:pPr>
    </w:p>
    <w:p w14:paraId="623AA5BD" w14:textId="67C09222" w:rsidR="00B97136" w:rsidRPr="00280D9D" w:rsidRDefault="00B97136" w:rsidP="00B97136">
      <w:pPr>
        <w:pStyle w:val="western"/>
        <w:shd w:val="clear" w:color="auto" w:fill="FFFFFF"/>
        <w:spacing w:before="144" w:beforeAutospacing="0" w:after="0" w:afterAutospacing="0" w:line="480" w:lineRule="atLeast"/>
        <w:jc w:val="both"/>
        <w:rPr>
          <w:rFonts w:ascii="Arial" w:hAnsi="Arial" w:cs="Arial"/>
          <w:color w:val="000000" w:themeColor="text1"/>
          <w:lang w:val="en-GB"/>
        </w:rPr>
      </w:pPr>
      <w:r>
        <w:rPr>
          <w:rFonts w:ascii="Arial" w:hAnsi="Arial" w:cs="Arial"/>
          <w:color w:val="000000" w:themeColor="text1"/>
          <w:lang w:val="en-GB"/>
        </w:rPr>
        <w:t>[1</w:t>
      </w:r>
      <w:r w:rsidR="00701A97">
        <w:rPr>
          <w:rFonts w:ascii="Arial" w:hAnsi="Arial" w:cs="Arial"/>
          <w:color w:val="000000" w:themeColor="text1"/>
          <w:lang w:val="en-GB"/>
        </w:rPr>
        <w:t>0</w:t>
      </w:r>
      <w:r w:rsidRPr="00280D9D">
        <w:rPr>
          <w:rFonts w:ascii="Arial" w:hAnsi="Arial" w:cs="Arial"/>
          <w:color w:val="000000" w:themeColor="text1"/>
          <w:lang w:val="en-GB"/>
        </w:rPr>
        <w:t>]</w:t>
      </w:r>
      <w:r w:rsidRPr="00280D9D">
        <w:rPr>
          <w:rFonts w:ascii="Arial" w:hAnsi="Arial" w:cs="Arial"/>
          <w:color w:val="000000" w:themeColor="text1"/>
          <w:lang w:val="en-GB"/>
        </w:rPr>
        <w:tab/>
        <w:t xml:space="preserve">At the same time the evidence may establish that an injury may in fact have no effect on earning capacity, in which event the damage under this head would be nil. In order to determine therefore whether, as a result of the injury sustained, the plaintiff’s earning capacity has been compromised the evidence adduced needs to be considered and evaluated in order to decide whether the onus has been discharged. </w:t>
      </w:r>
    </w:p>
    <w:p w14:paraId="0A07C399" w14:textId="77777777" w:rsidR="00FE5034" w:rsidRDefault="00FE5034" w:rsidP="00B97136">
      <w:pPr>
        <w:pStyle w:val="western"/>
        <w:shd w:val="clear" w:color="auto" w:fill="FFFFFF"/>
        <w:spacing w:before="144" w:beforeAutospacing="0" w:after="0" w:afterAutospacing="0" w:line="480" w:lineRule="atLeast"/>
        <w:jc w:val="both"/>
        <w:rPr>
          <w:rFonts w:ascii="Arial" w:hAnsi="Arial" w:cs="Arial"/>
          <w:color w:val="000000" w:themeColor="text1"/>
          <w:lang w:val="en-GB"/>
        </w:rPr>
      </w:pPr>
    </w:p>
    <w:p w14:paraId="1DE9789F" w14:textId="5142E34C" w:rsidR="00B97136" w:rsidRPr="006542C1" w:rsidRDefault="00B97136" w:rsidP="00B97136">
      <w:pPr>
        <w:pStyle w:val="western"/>
        <w:shd w:val="clear" w:color="auto" w:fill="FFFFFF"/>
        <w:spacing w:before="144" w:beforeAutospacing="0" w:after="0" w:afterAutospacing="0" w:line="480" w:lineRule="atLeast"/>
        <w:jc w:val="both"/>
        <w:rPr>
          <w:rFonts w:ascii="Arial" w:hAnsi="Arial" w:cs="Arial"/>
          <w:i/>
          <w:color w:val="000000" w:themeColor="text1"/>
          <w:lang w:val="en-GB"/>
        </w:rPr>
      </w:pPr>
      <w:r>
        <w:rPr>
          <w:rFonts w:ascii="Arial" w:hAnsi="Arial" w:cs="Arial"/>
          <w:color w:val="000000" w:themeColor="text1"/>
          <w:lang w:val="en-GB"/>
        </w:rPr>
        <w:lastRenderedPageBreak/>
        <w:t>[1</w:t>
      </w:r>
      <w:r w:rsidR="00FD6D4C">
        <w:rPr>
          <w:rFonts w:ascii="Arial" w:hAnsi="Arial" w:cs="Arial"/>
          <w:color w:val="000000" w:themeColor="text1"/>
          <w:lang w:val="en-GB"/>
        </w:rPr>
        <w:t>1</w:t>
      </w:r>
      <w:r w:rsidRPr="00280D9D">
        <w:rPr>
          <w:rFonts w:ascii="Arial" w:hAnsi="Arial" w:cs="Arial"/>
          <w:color w:val="000000" w:themeColor="text1"/>
          <w:lang w:val="en-GB"/>
        </w:rPr>
        <w:t>]</w:t>
      </w:r>
      <w:r w:rsidRPr="00280D9D">
        <w:rPr>
          <w:rFonts w:ascii="Arial" w:hAnsi="Arial" w:cs="Arial"/>
          <w:color w:val="000000" w:themeColor="text1"/>
          <w:lang w:val="en-GB"/>
        </w:rPr>
        <w:tab/>
        <w:t xml:space="preserve">The plaintiff relies on the evidence of the </w:t>
      </w:r>
      <w:r w:rsidR="00FD6D4C">
        <w:rPr>
          <w:rFonts w:ascii="Arial" w:hAnsi="Arial" w:cs="Arial"/>
          <w:color w:val="000000" w:themeColor="text1"/>
          <w:lang w:val="en-GB"/>
        </w:rPr>
        <w:t>two</w:t>
      </w:r>
      <w:r w:rsidRPr="00280D9D">
        <w:rPr>
          <w:rFonts w:ascii="Arial" w:hAnsi="Arial" w:cs="Arial"/>
          <w:color w:val="000000" w:themeColor="text1"/>
          <w:lang w:val="en-GB"/>
        </w:rPr>
        <w:t xml:space="preserve"> expert witnesses.  A court’s approach to expert testimony was succinctly formulated in </w:t>
      </w:r>
      <w:r w:rsidRPr="00280D9D">
        <w:rPr>
          <w:rFonts w:ascii="Arial" w:hAnsi="Arial" w:cs="Arial"/>
          <w:bCs/>
          <w:i/>
          <w:color w:val="000000" w:themeColor="text1"/>
          <w:lang w:val="en-GB"/>
        </w:rPr>
        <w:t>Michael and Another v Linksfield Park Clinic (Pty) Ltd and Another</w:t>
      </w:r>
      <w:bookmarkStart w:id="1" w:name="sdfootnote6anc"/>
      <w:r w:rsidRPr="00280D9D">
        <w:rPr>
          <w:rStyle w:val="FootnoteReference"/>
          <w:rFonts w:ascii="Arial" w:hAnsi="Arial" w:cs="Arial"/>
          <w:bCs/>
          <w:i/>
          <w:color w:val="000000" w:themeColor="text1"/>
          <w:lang w:val="en-GB"/>
        </w:rPr>
        <w:footnoteReference w:id="3"/>
      </w:r>
      <w:r w:rsidRPr="00280D9D">
        <w:rPr>
          <w:rFonts w:ascii="Arial" w:hAnsi="Arial" w:cs="Arial"/>
          <w:bCs/>
          <w:color w:val="000000" w:themeColor="text1"/>
          <w:lang w:val="en-GB"/>
        </w:rPr>
        <w:t xml:space="preserve"> </w:t>
      </w:r>
      <w:bookmarkEnd w:id="1"/>
      <w:r w:rsidRPr="00280D9D">
        <w:rPr>
          <w:rFonts w:ascii="Arial" w:hAnsi="Arial" w:cs="Arial"/>
          <w:i/>
          <w:color w:val="000000" w:themeColor="text1"/>
          <w:vertAlign w:val="superscript"/>
          <w:lang w:val="en-GB"/>
        </w:rPr>
        <w:t xml:space="preserve"> </w:t>
      </w:r>
      <w:r w:rsidRPr="00280D9D">
        <w:rPr>
          <w:rFonts w:ascii="Arial" w:hAnsi="Arial" w:cs="Arial"/>
          <w:i/>
          <w:color w:val="000000" w:themeColor="text1"/>
          <w:lang w:val="en-GB"/>
        </w:rPr>
        <w:t>where the court stated-</w:t>
      </w:r>
    </w:p>
    <w:p w14:paraId="1BB80E90" w14:textId="7E73C423" w:rsidR="00C6542D" w:rsidRPr="00925DBF" w:rsidRDefault="00B97136" w:rsidP="00C6542D">
      <w:pPr>
        <w:pStyle w:val="western"/>
        <w:shd w:val="clear" w:color="auto" w:fill="FFFFFF"/>
        <w:spacing w:before="144" w:beforeAutospacing="0" w:after="0" w:afterAutospacing="0" w:line="360" w:lineRule="auto"/>
        <w:ind w:left="567" w:right="567"/>
        <w:jc w:val="both"/>
        <w:rPr>
          <w:rFonts w:ascii="Arial" w:hAnsi="Arial" w:cs="Arial"/>
          <w:color w:val="000000" w:themeColor="text1"/>
          <w:lang w:val="en-GB"/>
        </w:rPr>
      </w:pPr>
      <w:r w:rsidRPr="00925DBF">
        <w:rPr>
          <w:rFonts w:ascii="Arial" w:hAnsi="Arial" w:cs="Arial"/>
          <w:color w:val="000000" w:themeColor="text1"/>
          <w:lang w:val="en-GB"/>
        </w:rPr>
        <w:t>“[36] . . . what is required in the evaluation of such evidence is to determine whether and to what extent their opinions advanced are founded on logical reasoning. That is the thrust of the decision of the House of Lords in the medical negligence case of Bolitho v City and Hackney Health Authority </w:t>
      </w:r>
      <w:hyperlink r:id="rId11" w:tooltip="View Case" w:history="1">
        <w:r w:rsidRPr="00925DBF">
          <w:rPr>
            <w:rStyle w:val="Hyperlink"/>
            <w:rFonts w:ascii="Arial" w:hAnsi="Arial" w:cs="Arial"/>
            <w:bCs/>
            <w:color w:val="000000" w:themeColor="text1"/>
            <w:lang w:val="en-GB"/>
          </w:rPr>
          <w:t>[1997] UKHL 46</w:t>
        </w:r>
      </w:hyperlink>
      <w:r w:rsidRPr="00925DBF">
        <w:rPr>
          <w:rFonts w:ascii="Arial" w:hAnsi="Arial" w:cs="Arial"/>
          <w:color w:val="000000" w:themeColor="text1"/>
          <w:lang w:val="en-GB"/>
        </w:rPr>
        <w:t>; </w:t>
      </w:r>
      <w:hyperlink r:id="rId12" w:tooltip="View LawCiteRecord" w:history="1">
        <w:r w:rsidRPr="00925DBF">
          <w:rPr>
            <w:rStyle w:val="Hyperlink"/>
            <w:rFonts w:ascii="Arial" w:hAnsi="Arial" w:cs="Arial"/>
            <w:bCs/>
            <w:color w:val="000000" w:themeColor="text1"/>
            <w:lang w:val="en-GB"/>
          </w:rPr>
          <w:t>[1998] AC 232</w:t>
        </w:r>
      </w:hyperlink>
      <w:r w:rsidRPr="00925DBF">
        <w:rPr>
          <w:rFonts w:ascii="Arial" w:hAnsi="Arial" w:cs="Arial"/>
          <w:color w:val="000000" w:themeColor="text1"/>
          <w:lang w:val="en-GB"/>
        </w:rPr>
        <w:t> (HL (E)). With the relevant dicta in the speech of Lord Browne-Wilkinson we respectfully agree. Summarised, they are to the following effect.</w:t>
      </w:r>
    </w:p>
    <w:p w14:paraId="3F33DA1B" w14:textId="48148E82" w:rsidR="00C6542D" w:rsidRPr="00925DBF" w:rsidRDefault="00B97136" w:rsidP="00C6542D">
      <w:pPr>
        <w:pStyle w:val="western"/>
        <w:shd w:val="clear" w:color="auto" w:fill="FFFFFF"/>
        <w:spacing w:before="144" w:beforeAutospacing="0" w:after="0" w:afterAutospacing="0" w:line="360" w:lineRule="auto"/>
        <w:ind w:left="567" w:right="567"/>
        <w:jc w:val="both"/>
        <w:rPr>
          <w:rFonts w:ascii="Arial" w:hAnsi="Arial" w:cs="Arial"/>
          <w:color w:val="000000" w:themeColor="text1"/>
          <w:lang w:val="en-GB"/>
        </w:rPr>
      </w:pPr>
      <w:r w:rsidRPr="00925DBF">
        <w:rPr>
          <w:rFonts w:ascii="Arial" w:hAnsi="Arial" w:cs="Arial"/>
          <w:color w:val="000000" w:themeColor="text1"/>
          <w:lang w:val="en-GB"/>
        </w:rPr>
        <w:t>[37] The Court is not bound to absolve a defendant from liability for allegedly negligent medical treatment or diagnosis just because evidence of expert opinion, albeit genuinely held, is that the treatment or diagnosis in issue accorded with sound medical practice. The Court must be satisfied that such opinion has a logical basis, in other words, that the expert has considered comparative risks and benefits and has reached ‘a defensible conclusion’ (at 241G-242B). . . .</w:t>
      </w:r>
    </w:p>
    <w:p w14:paraId="4AA76066" w14:textId="66906F82" w:rsidR="00C6542D" w:rsidRPr="00925DBF" w:rsidRDefault="00B97136" w:rsidP="00C6542D">
      <w:pPr>
        <w:pStyle w:val="western"/>
        <w:shd w:val="clear" w:color="auto" w:fill="FFFFFF"/>
        <w:spacing w:before="144" w:beforeAutospacing="0" w:after="0" w:afterAutospacing="0" w:line="360" w:lineRule="auto"/>
        <w:ind w:left="567" w:right="567"/>
        <w:jc w:val="both"/>
        <w:rPr>
          <w:rFonts w:ascii="Arial" w:hAnsi="Arial" w:cs="Arial"/>
          <w:color w:val="000000" w:themeColor="text1"/>
          <w:lang w:val="en-GB"/>
        </w:rPr>
      </w:pPr>
      <w:r w:rsidRPr="00925DBF">
        <w:rPr>
          <w:rFonts w:ascii="Arial" w:hAnsi="Arial" w:cs="Arial"/>
          <w:color w:val="000000" w:themeColor="text1"/>
          <w:lang w:val="en-GB"/>
        </w:rPr>
        <w:t>[40] Finally, it must be borne in mind that expert scientific witnesses do tend to assess likelihood in terms of scientific certainty. Some of the witnesses in this case had to be diverted from doing so and were invited to express prospects of an event’s occurrence, as far as they possibly could, in terms of more practical assistance to the forensic assessment of probability, for example, as a greater or lesser than fifty per cent chance and so on. This essential difference between the scientific and the judicial measure of proof was aptly highlighted by the House of Lords in the Scottish case of Dingly v The Chief Constable, Strathclyde Police </w:t>
      </w:r>
      <w:hyperlink r:id="rId13" w:tooltip="View LawCiteRecord" w:history="1">
        <w:r w:rsidRPr="00925DBF">
          <w:rPr>
            <w:rStyle w:val="Hyperlink"/>
            <w:rFonts w:ascii="Arial" w:hAnsi="Arial" w:cs="Arial"/>
            <w:bCs/>
            <w:color w:val="000000" w:themeColor="text1"/>
            <w:lang w:val="en-GB"/>
          </w:rPr>
          <w:t>200 SC (HL) 77</w:t>
        </w:r>
      </w:hyperlink>
      <w:r w:rsidRPr="00925DBF">
        <w:rPr>
          <w:rFonts w:ascii="Arial" w:hAnsi="Arial" w:cs="Arial"/>
          <w:color w:val="000000" w:themeColor="text1"/>
          <w:lang w:val="en-GB"/>
        </w:rPr>
        <w:t> and the warning given at 89D-E that</w:t>
      </w:r>
    </w:p>
    <w:p w14:paraId="2EAC58F0" w14:textId="19DDB788" w:rsidR="00B97136" w:rsidRPr="00925DBF" w:rsidRDefault="00B97136" w:rsidP="00B97136">
      <w:pPr>
        <w:pStyle w:val="western"/>
        <w:shd w:val="clear" w:color="auto" w:fill="FFFFFF"/>
        <w:spacing w:before="144" w:beforeAutospacing="0" w:after="0" w:afterAutospacing="0" w:line="360" w:lineRule="auto"/>
        <w:ind w:left="567" w:right="567"/>
        <w:jc w:val="both"/>
        <w:rPr>
          <w:rFonts w:ascii="Arial" w:hAnsi="Arial" w:cs="Arial"/>
          <w:color w:val="000000" w:themeColor="text1"/>
          <w:lang w:val="en-GB"/>
        </w:rPr>
      </w:pPr>
      <w:r w:rsidRPr="00925DBF">
        <w:rPr>
          <w:rFonts w:ascii="Arial" w:hAnsi="Arial" w:cs="Arial"/>
          <w:color w:val="000000" w:themeColor="text1"/>
          <w:lang w:val="en-GB"/>
        </w:rPr>
        <w:t xml:space="preserve">‘(o)ne cannot entirely discount the risk that by immersing himself in every detail and by looking deeply into the minds of the experts, a Judge may be seduced into a position where he applies to the expert evidence the </w:t>
      </w:r>
      <w:r w:rsidRPr="00925DBF">
        <w:rPr>
          <w:rFonts w:ascii="Arial" w:hAnsi="Arial" w:cs="Arial"/>
          <w:color w:val="000000" w:themeColor="text1"/>
          <w:lang w:val="en-GB"/>
        </w:rPr>
        <w:lastRenderedPageBreak/>
        <w:t>standards which the expert himself will apply to the question whether a particular thesis has been proved or disproved – </w:t>
      </w:r>
      <w:r w:rsidRPr="00925DBF">
        <w:rPr>
          <w:rFonts w:ascii="Arial" w:hAnsi="Arial" w:cs="Arial"/>
          <w:color w:val="000000" w:themeColor="text1"/>
          <w:u w:val="single"/>
          <w:lang w:val="en-GB"/>
        </w:rPr>
        <w:t>instead of assessing, as a Judge must do, where the balance of probabilities lies on a review of the whole of the evidence</w:t>
      </w:r>
      <w:r w:rsidRPr="00925DBF">
        <w:rPr>
          <w:rFonts w:ascii="Arial" w:hAnsi="Arial" w:cs="Arial"/>
          <w:color w:val="000000" w:themeColor="text1"/>
          <w:lang w:val="en-GB"/>
        </w:rPr>
        <w:t>.” (</w:t>
      </w:r>
      <w:r w:rsidR="00897975" w:rsidRPr="00925DBF">
        <w:rPr>
          <w:rFonts w:ascii="Arial" w:hAnsi="Arial" w:cs="Arial"/>
          <w:color w:val="000000" w:themeColor="text1"/>
          <w:lang w:val="en-GB"/>
        </w:rPr>
        <w:t>Emphasis</w:t>
      </w:r>
      <w:r w:rsidRPr="00925DBF">
        <w:rPr>
          <w:rFonts w:ascii="Arial" w:hAnsi="Arial" w:cs="Arial"/>
          <w:color w:val="000000" w:themeColor="text1"/>
          <w:lang w:val="en-GB"/>
        </w:rPr>
        <w:t xml:space="preserve"> added)</w:t>
      </w:r>
    </w:p>
    <w:p w14:paraId="047BFC4A" w14:textId="238A67AB" w:rsidR="00C41D9D" w:rsidRDefault="00C41D9D" w:rsidP="00B97136">
      <w:pPr>
        <w:pStyle w:val="western"/>
        <w:shd w:val="clear" w:color="auto" w:fill="FFFFFF"/>
        <w:spacing w:before="144" w:beforeAutospacing="0" w:after="0" w:afterAutospacing="0" w:line="360" w:lineRule="auto"/>
        <w:ind w:left="567" w:right="567"/>
        <w:jc w:val="both"/>
        <w:rPr>
          <w:rFonts w:ascii="Arial" w:hAnsi="Arial" w:cs="Arial"/>
          <w:color w:val="000000" w:themeColor="text1"/>
          <w:lang w:val="en-GB"/>
        </w:rPr>
      </w:pPr>
    </w:p>
    <w:p w14:paraId="47EAA394" w14:textId="018AEA03" w:rsidR="00C6542D" w:rsidRPr="00C6542D" w:rsidRDefault="00C41D9D" w:rsidP="00C6542D">
      <w:pPr>
        <w:pStyle w:val="western"/>
        <w:spacing w:before="144" w:line="360" w:lineRule="auto"/>
        <w:ind w:right="567"/>
        <w:jc w:val="both"/>
        <w:rPr>
          <w:rFonts w:ascii="Arial" w:hAnsi="Arial" w:cs="Arial"/>
          <w:b/>
          <w:bCs/>
          <w:color w:val="000000" w:themeColor="text1"/>
        </w:rPr>
      </w:pPr>
      <w:r>
        <w:rPr>
          <w:rFonts w:ascii="Arial" w:hAnsi="Arial" w:cs="Arial"/>
          <w:color w:val="000000" w:themeColor="text1"/>
          <w:lang w:val="en-GB"/>
        </w:rPr>
        <w:t xml:space="preserve">[12] </w:t>
      </w:r>
      <w:r w:rsidRPr="00C41D9D">
        <w:rPr>
          <w:rFonts w:ascii="Arial" w:hAnsi="Arial" w:cs="Arial"/>
          <w:i/>
          <w:iCs/>
          <w:color w:val="000000" w:themeColor="text1"/>
        </w:rPr>
        <w:t>In Radebe v Road Accident Fund</w:t>
      </w:r>
      <w:r w:rsidR="003D237F">
        <w:rPr>
          <w:rStyle w:val="FootnoteReference"/>
          <w:rFonts w:ascii="Arial" w:hAnsi="Arial"/>
          <w:i/>
          <w:iCs/>
          <w:color w:val="000000" w:themeColor="text1"/>
        </w:rPr>
        <w:footnoteReference w:id="4"/>
      </w:r>
      <w:r w:rsidRPr="00C41D9D">
        <w:rPr>
          <w:rFonts w:ascii="Arial" w:hAnsi="Arial" w:cs="Arial"/>
          <w:b/>
          <w:bCs/>
          <w:color w:val="000000" w:themeColor="text1"/>
        </w:rPr>
        <w:t> </w:t>
      </w:r>
      <w:r w:rsidRPr="00C41D9D">
        <w:rPr>
          <w:rFonts w:ascii="Arial" w:hAnsi="Arial" w:cs="Arial"/>
          <w:color w:val="000000" w:themeColor="text1"/>
        </w:rPr>
        <w:t>the Court held:</w:t>
      </w:r>
    </w:p>
    <w:p w14:paraId="2F8D76A6" w14:textId="350838CE" w:rsidR="00C6542D" w:rsidRPr="00C41D9D" w:rsidRDefault="00C41D9D" w:rsidP="00C6542D">
      <w:pPr>
        <w:pStyle w:val="western"/>
        <w:spacing w:line="360" w:lineRule="auto"/>
        <w:ind w:left="720" w:right="567"/>
        <w:jc w:val="both"/>
        <w:rPr>
          <w:rFonts w:ascii="Arial" w:hAnsi="Arial" w:cs="Arial"/>
          <w:color w:val="000000" w:themeColor="text1"/>
        </w:rPr>
      </w:pPr>
      <w:r w:rsidRPr="00C41D9D">
        <w:rPr>
          <w:rFonts w:ascii="Arial" w:hAnsi="Arial" w:cs="Arial"/>
          <w:color w:val="000000" w:themeColor="text1"/>
        </w:rPr>
        <w:t>'[24] The common theme is that courts must jealously protect their role and powers. Courts are the ultimate arbiters in any court proceedings. The facts that caused the expert opinions in this case are vital. It was supplied by the plaintiff.</w:t>
      </w:r>
    </w:p>
    <w:p w14:paraId="523BD190" w14:textId="0E7001AE" w:rsidR="00C6542D" w:rsidRPr="00C41D9D" w:rsidRDefault="00C41D9D" w:rsidP="00C6542D">
      <w:pPr>
        <w:pStyle w:val="western"/>
        <w:spacing w:line="360" w:lineRule="auto"/>
        <w:ind w:left="720" w:right="567"/>
        <w:jc w:val="both"/>
        <w:rPr>
          <w:rFonts w:ascii="Arial" w:hAnsi="Arial" w:cs="Arial"/>
          <w:color w:val="000000" w:themeColor="text1"/>
        </w:rPr>
      </w:pPr>
      <w:r w:rsidRPr="00C41D9D">
        <w:rPr>
          <w:rFonts w:ascii="Arial" w:hAnsi="Arial" w:cs="Arial"/>
          <w:color w:val="000000" w:themeColor="text1"/>
        </w:rPr>
        <w:t>[25] It is not for the opposing party to prove the true facts of the plaintiff's case; it is the onus of the plaintiff.</w:t>
      </w:r>
    </w:p>
    <w:p w14:paraId="24DCAC42" w14:textId="20AB56F4" w:rsidR="00B97136" w:rsidRPr="00925DBF" w:rsidRDefault="00C41D9D" w:rsidP="00C41D9D">
      <w:pPr>
        <w:pStyle w:val="western"/>
        <w:spacing w:line="360" w:lineRule="auto"/>
        <w:ind w:left="720" w:right="567"/>
        <w:jc w:val="both"/>
        <w:rPr>
          <w:rFonts w:ascii="Arial" w:hAnsi="Arial" w:cs="Arial"/>
          <w:color w:val="000000" w:themeColor="text1"/>
        </w:rPr>
      </w:pPr>
      <w:r w:rsidRPr="00C41D9D">
        <w:rPr>
          <w:rFonts w:ascii="Arial" w:hAnsi="Arial" w:cs="Arial"/>
          <w:color w:val="000000" w:themeColor="text1"/>
        </w:rPr>
        <w:t>[26] Only if the expert's opinion based on the correct facts is questioned could it be expected that a countering expert should be called. It is the expertise that will then be at issue and not the accuracy of the facts on which it is based. Counsel must identify and separate the two aspects. The argument of the actuary in this case that the failure to call an expert in the defendant's case is tantamount to a default judgment is wrong. It is not the expert's veracity that is in dispute; it is the facts on which he based his calculations. Experts must assist the court not a party to the dispute.'</w:t>
      </w:r>
    </w:p>
    <w:p w14:paraId="17D877B5" w14:textId="77777777" w:rsidR="0099208F" w:rsidRDefault="0099208F" w:rsidP="00B97136">
      <w:pPr>
        <w:spacing w:line="480" w:lineRule="auto"/>
        <w:jc w:val="both"/>
        <w:rPr>
          <w:rFonts w:ascii="Arial" w:hAnsi="Arial" w:cs="Arial"/>
          <w:color w:val="000000" w:themeColor="text1"/>
        </w:rPr>
      </w:pPr>
    </w:p>
    <w:p w14:paraId="0A91AAA8" w14:textId="296F52D8" w:rsidR="0099208F" w:rsidRPr="003D237F" w:rsidRDefault="00925DBF" w:rsidP="0099208F">
      <w:pPr>
        <w:spacing w:line="480" w:lineRule="auto"/>
        <w:jc w:val="both"/>
        <w:rPr>
          <w:rFonts w:ascii="Arial" w:hAnsi="Arial" w:cs="Arial"/>
          <w:color w:val="000000" w:themeColor="text1"/>
          <w:lang w:val="en-ZA"/>
        </w:rPr>
      </w:pPr>
      <w:r>
        <w:rPr>
          <w:rFonts w:ascii="Arial" w:hAnsi="Arial" w:cs="Arial"/>
          <w:color w:val="000000" w:themeColor="text1"/>
          <w:lang w:val="en-ZA"/>
        </w:rPr>
        <w:t>[13]</w:t>
      </w:r>
      <w:r w:rsidR="0099208F" w:rsidRPr="0099208F">
        <w:rPr>
          <w:rFonts w:ascii="Arial" w:hAnsi="Arial" w:cs="Arial"/>
          <w:color w:val="000000" w:themeColor="text1"/>
          <w:lang w:val="en-ZA"/>
        </w:rPr>
        <w:t xml:space="preserve"> It is trite that it is for the court to determine the percentage of contingencies </w:t>
      </w:r>
      <w:r w:rsidR="003D237F">
        <w:rPr>
          <w:rFonts w:ascii="Arial" w:hAnsi="Arial" w:cs="Arial"/>
          <w:color w:val="000000" w:themeColor="text1"/>
          <w:lang w:val="en-ZA"/>
        </w:rPr>
        <w:t xml:space="preserve">is </w:t>
      </w:r>
      <w:r w:rsidR="0099208F" w:rsidRPr="0099208F">
        <w:rPr>
          <w:rFonts w:ascii="Arial" w:hAnsi="Arial" w:cs="Arial"/>
          <w:color w:val="000000" w:themeColor="text1"/>
          <w:lang w:val="en-ZA"/>
        </w:rPr>
        <w:t>to be applied.</w:t>
      </w:r>
      <w:r>
        <w:rPr>
          <w:rFonts w:ascii="Arial" w:hAnsi="Arial" w:cs="Arial"/>
          <w:color w:val="000000" w:themeColor="text1"/>
          <w:lang w:val="en-ZA"/>
        </w:rPr>
        <w:t xml:space="preserve"> </w:t>
      </w:r>
      <w:r w:rsidR="0099208F" w:rsidRPr="0099208F">
        <w:rPr>
          <w:rFonts w:ascii="Arial" w:hAnsi="Arial" w:cs="Arial"/>
          <w:color w:val="000000" w:themeColor="text1"/>
          <w:lang w:val="en-ZA"/>
        </w:rPr>
        <w:t>Contingencies is a method used to arrive at fair and reasonable compensation. The question of contingencies was dealt with in </w:t>
      </w:r>
      <w:r w:rsidR="0099208F" w:rsidRPr="0099208F">
        <w:rPr>
          <w:rFonts w:ascii="Arial" w:hAnsi="Arial" w:cs="Arial"/>
          <w:i/>
          <w:iCs/>
          <w:color w:val="000000" w:themeColor="text1"/>
          <w:lang w:val="en-ZA"/>
        </w:rPr>
        <w:t>Southern Insurance Association Ltd v Bailey N.O.</w:t>
      </w:r>
      <w:r w:rsidR="003D237F">
        <w:rPr>
          <w:rStyle w:val="FootnoteReference"/>
          <w:rFonts w:ascii="Arial" w:hAnsi="Arial"/>
          <w:i/>
          <w:iCs/>
          <w:color w:val="000000" w:themeColor="text1"/>
          <w:lang w:val="en-ZA"/>
        </w:rPr>
        <w:footnoteReference w:id="5"/>
      </w:r>
      <w:r w:rsidR="003D237F">
        <w:rPr>
          <w:rFonts w:ascii="Arial" w:hAnsi="Arial" w:cs="Arial"/>
          <w:i/>
          <w:iCs/>
          <w:color w:val="000000" w:themeColor="text1"/>
          <w:lang w:val="en-ZA"/>
        </w:rPr>
        <w:t>:</w:t>
      </w:r>
    </w:p>
    <w:p w14:paraId="114C9493" w14:textId="77777777" w:rsidR="0099208F" w:rsidRPr="0099208F" w:rsidRDefault="0099208F" w:rsidP="0099208F">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 </w:t>
      </w:r>
    </w:p>
    <w:p w14:paraId="2F55B26D" w14:textId="5BFA3CCB" w:rsidR="0099208F" w:rsidRPr="0099208F" w:rsidRDefault="0099208F" w:rsidP="0045086D">
      <w:pPr>
        <w:spacing w:line="480" w:lineRule="auto"/>
        <w:ind w:left="720"/>
        <w:jc w:val="both"/>
        <w:rPr>
          <w:rFonts w:ascii="Arial" w:hAnsi="Arial" w:cs="Arial"/>
          <w:color w:val="000000" w:themeColor="text1"/>
          <w:lang w:val="en-ZA"/>
        </w:rPr>
      </w:pPr>
      <w:r w:rsidRPr="0099208F">
        <w:rPr>
          <w:rFonts w:ascii="Arial" w:hAnsi="Arial" w:cs="Arial"/>
          <w:color w:val="000000" w:themeColor="text1"/>
          <w:lang w:val="en-ZA"/>
        </w:rPr>
        <w:lastRenderedPageBreak/>
        <w:t>"Any enquiry into damages for loss of earning capacity is of its nature speculative, because it involves a prediction as to the future, without the benefit of crystal balls, soothsayers, augurs or oracles. All that the Court can do is to make an estimate, which is often a very rough estimate, of the present value of the loss.</w:t>
      </w:r>
      <w:r w:rsidR="0045086D">
        <w:rPr>
          <w:rFonts w:ascii="Arial" w:hAnsi="Arial" w:cs="Arial"/>
          <w:color w:val="000000" w:themeColor="text1"/>
          <w:lang w:val="en-ZA"/>
        </w:rPr>
        <w:t xml:space="preserve"> </w:t>
      </w:r>
      <w:r w:rsidRPr="0099208F">
        <w:rPr>
          <w:rFonts w:ascii="Arial" w:hAnsi="Arial" w:cs="Arial"/>
          <w:color w:val="000000" w:themeColor="text1"/>
          <w:lang w:val="en-ZA"/>
        </w:rPr>
        <w:t>Where the method of actuarial computation is adopted, it does not mean that the trial Judge is 'tied down by inexorable actuarial calculations'. He has 'a large discretion to award what he considers right' </w:t>
      </w:r>
      <w:r w:rsidRPr="0099208F">
        <w:rPr>
          <w:rFonts w:ascii="Arial" w:hAnsi="Arial" w:cs="Arial"/>
          <w:i/>
          <w:iCs/>
          <w:color w:val="000000" w:themeColor="text1"/>
          <w:lang w:val="en-ZA"/>
        </w:rPr>
        <w:t>(per </w:t>
      </w:r>
      <w:r w:rsidRPr="0099208F">
        <w:rPr>
          <w:rFonts w:ascii="Arial" w:hAnsi="Arial" w:cs="Arial"/>
          <w:color w:val="000000" w:themeColor="text1"/>
          <w:lang w:val="en-ZA"/>
        </w:rPr>
        <w:t>HOLMES JA in </w:t>
      </w:r>
      <w:r w:rsidRPr="0099208F">
        <w:rPr>
          <w:rFonts w:ascii="Arial" w:hAnsi="Arial" w:cs="Arial"/>
          <w:i/>
          <w:iCs/>
          <w:color w:val="000000" w:themeColor="text1"/>
          <w:lang w:val="en-ZA"/>
        </w:rPr>
        <w:t>Legal Assurance</w:t>
      </w:r>
      <w:r w:rsidRPr="0099208F">
        <w:rPr>
          <w:rFonts w:ascii="Arial" w:hAnsi="Arial" w:cs="Arial"/>
          <w:color w:val="000000" w:themeColor="text1"/>
          <w:lang w:val="en-ZA"/>
        </w:rPr>
        <w:t> </w:t>
      </w:r>
      <w:r w:rsidRPr="0099208F">
        <w:rPr>
          <w:rFonts w:ascii="Arial" w:hAnsi="Arial" w:cs="Arial"/>
          <w:i/>
          <w:iCs/>
          <w:color w:val="000000" w:themeColor="text1"/>
          <w:lang w:val="en-ZA"/>
        </w:rPr>
        <w:t>Co Ltd v Botes </w:t>
      </w:r>
      <w:hyperlink r:id="rId14" w:tooltip="View LawCiteRecord" w:history="1">
        <w:r w:rsidRPr="0099208F">
          <w:rPr>
            <w:rStyle w:val="Hyperlink"/>
            <w:rFonts w:ascii="Arial" w:hAnsi="Arial" w:cs="Arial"/>
            <w:b/>
            <w:bCs/>
            <w:lang w:val="en-ZA"/>
          </w:rPr>
          <w:t>1963 (1) SA 608</w:t>
        </w:r>
      </w:hyperlink>
      <w:r w:rsidRPr="0099208F">
        <w:rPr>
          <w:rFonts w:ascii="Arial" w:hAnsi="Arial" w:cs="Arial"/>
          <w:color w:val="000000" w:themeColor="text1"/>
          <w:u w:val="single"/>
          <w:lang w:val="en-ZA"/>
        </w:rPr>
        <w:t> (A)</w:t>
      </w:r>
      <w:r w:rsidRPr="0099208F">
        <w:rPr>
          <w:rFonts w:ascii="Arial" w:hAnsi="Arial" w:cs="Arial"/>
          <w:color w:val="000000" w:themeColor="text1"/>
          <w:lang w:val="en-ZA"/>
        </w:rPr>
        <w:t> at 614F). One of the elements in exercising that discretion is the making of a discount for 'contingencies' or the 'vicissitudes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 See </w:t>
      </w:r>
      <w:r w:rsidRPr="0099208F">
        <w:rPr>
          <w:rFonts w:ascii="Arial" w:hAnsi="Arial" w:cs="Arial"/>
          <w:i/>
          <w:iCs/>
          <w:color w:val="000000" w:themeColor="text1"/>
          <w:lang w:val="en-ZA"/>
        </w:rPr>
        <w:t>Van der Plaats v South African</w:t>
      </w:r>
      <w:r w:rsidRPr="0099208F">
        <w:rPr>
          <w:rFonts w:ascii="Arial" w:hAnsi="Arial" w:cs="Arial"/>
          <w:color w:val="000000" w:themeColor="text1"/>
          <w:lang w:val="en-ZA"/>
        </w:rPr>
        <w:t> </w:t>
      </w:r>
      <w:r w:rsidRPr="0099208F">
        <w:rPr>
          <w:rFonts w:ascii="Arial" w:hAnsi="Arial" w:cs="Arial"/>
          <w:i/>
          <w:iCs/>
          <w:color w:val="000000" w:themeColor="text1"/>
          <w:lang w:val="en-ZA"/>
        </w:rPr>
        <w:t>Mutual</w:t>
      </w:r>
      <w:r w:rsidRPr="0099208F">
        <w:rPr>
          <w:rFonts w:ascii="Arial" w:hAnsi="Arial" w:cs="Arial"/>
          <w:color w:val="000000" w:themeColor="text1"/>
          <w:lang w:val="en-ZA"/>
        </w:rPr>
        <w:t> </w:t>
      </w:r>
      <w:r w:rsidRPr="0099208F">
        <w:rPr>
          <w:rFonts w:ascii="Arial" w:hAnsi="Arial" w:cs="Arial"/>
          <w:i/>
          <w:iCs/>
          <w:color w:val="000000" w:themeColor="text1"/>
          <w:lang w:val="en-ZA"/>
        </w:rPr>
        <w:t>Fire</w:t>
      </w:r>
      <w:r w:rsidRPr="0099208F">
        <w:rPr>
          <w:rFonts w:ascii="Arial" w:hAnsi="Arial" w:cs="Arial"/>
          <w:color w:val="000000" w:themeColor="text1"/>
          <w:lang w:val="en-ZA"/>
        </w:rPr>
        <w:t> </w:t>
      </w:r>
      <w:r w:rsidRPr="0099208F">
        <w:rPr>
          <w:rFonts w:ascii="Arial" w:hAnsi="Arial" w:cs="Arial"/>
          <w:i/>
          <w:iCs/>
          <w:color w:val="000000" w:themeColor="text1"/>
          <w:lang w:val="en-ZA"/>
        </w:rPr>
        <w:t>and General</w:t>
      </w:r>
      <w:r w:rsidRPr="0099208F">
        <w:rPr>
          <w:rFonts w:ascii="Arial" w:hAnsi="Arial" w:cs="Arial"/>
          <w:color w:val="000000" w:themeColor="text1"/>
          <w:lang w:val="en-ZA"/>
        </w:rPr>
        <w:t> </w:t>
      </w:r>
      <w:r w:rsidRPr="0099208F">
        <w:rPr>
          <w:rFonts w:ascii="Arial" w:hAnsi="Arial" w:cs="Arial"/>
          <w:i/>
          <w:iCs/>
          <w:color w:val="000000" w:themeColor="text1"/>
          <w:lang w:val="en-ZA"/>
        </w:rPr>
        <w:t>Insurance</w:t>
      </w:r>
      <w:r w:rsidRPr="0099208F">
        <w:rPr>
          <w:rFonts w:ascii="Arial" w:hAnsi="Arial" w:cs="Arial"/>
          <w:color w:val="000000" w:themeColor="text1"/>
          <w:lang w:val="en-ZA"/>
        </w:rPr>
        <w:t> Co </w:t>
      </w:r>
      <w:r w:rsidRPr="0099208F">
        <w:rPr>
          <w:rFonts w:ascii="Arial" w:hAnsi="Arial" w:cs="Arial"/>
          <w:i/>
          <w:iCs/>
          <w:color w:val="000000" w:themeColor="text1"/>
          <w:lang w:val="en-ZA"/>
        </w:rPr>
        <w:t>Ltd</w:t>
      </w:r>
      <w:r w:rsidRPr="0099208F">
        <w:rPr>
          <w:rFonts w:ascii="Arial" w:hAnsi="Arial" w:cs="Arial"/>
          <w:color w:val="000000" w:themeColor="text1"/>
          <w:lang w:val="en-ZA"/>
        </w:rPr>
        <w:t> </w:t>
      </w:r>
      <w:hyperlink r:id="rId15" w:tooltip="View LawCiteRecord" w:history="1">
        <w:r w:rsidRPr="0099208F">
          <w:rPr>
            <w:rStyle w:val="Hyperlink"/>
            <w:rFonts w:ascii="Arial" w:hAnsi="Arial" w:cs="Arial"/>
            <w:b/>
            <w:bCs/>
            <w:lang w:val="en-ZA"/>
          </w:rPr>
          <w:t>1980 (3) SA 105</w:t>
        </w:r>
      </w:hyperlink>
      <w:r w:rsidRPr="0099208F">
        <w:rPr>
          <w:rFonts w:ascii="Arial" w:hAnsi="Arial" w:cs="Arial"/>
          <w:color w:val="000000" w:themeColor="text1"/>
          <w:u w:val="single"/>
          <w:lang w:val="en-ZA"/>
        </w:rPr>
        <w:t> (A)</w:t>
      </w:r>
      <w:r w:rsidRPr="0099208F">
        <w:rPr>
          <w:rFonts w:ascii="Arial" w:hAnsi="Arial" w:cs="Arial"/>
          <w:color w:val="000000" w:themeColor="text1"/>
          <w:lang w:val="en-ZA"/>
        </w:rPr>
        <w:t> at 114 - 5. The rate of the discount cannot of course be assessed on any logical basis: the assessment must be largely arbitrary and must depend upon the trial Judge's impression of the case.</w:t>
      </w:r>
    </w:p>
    <w:p w14:paraId="05AACE34" w14:textId="77777777" w:rsidR="0099208F" w:rsidRPr="0099208F" w:rsidRDefault="0099208F" w:rsidP="0099208F">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 </w:t>
      </w:r>
    </w:p>
    <w:p w14:paraId="04B542C3" w14:textId="77777777" w:rsidR="0099208F" w:rsidRPr="0099208F" w:rsidRDefault="0099208F" w:rsidP="00925DBF">
      <w:pPr>
        <w:spacing w:line="480" w:lineRule="auto"/>
        <w:ind w:left="720"/>
        <w:jc w:val="both"/>
        <w:rPr>
          <w:rFonts w:ascii="Arial" w:hAnsi="Arial" w:cs="Arial"/>
          <w:color w:val="000000" w:themeColor="text1"/>
          <w:lang w:val="en-ZA"/>
        </w:rPr>
      </w:pPr>
      <w:r w:rsidRPr="0099208F">
        <w:rPr>
          <w:rFonts w:ascii="Arial" w:hAnsi="Arial" w:cs="Arial"/>
          <w:color w:val="000000" w:themeColor="text1"/>
          <w:lang w:val="en-ZA"/>
        </w:rPr>
        <w:t>It is, however, erroneous to regard the fortunes of life as being always adverse: they may be favourable. In dealing with the question of contingencies, WINDEYER J said in the Australian case of Bresatz </w:t>
      </w:r>
      <w:r w:rsidRPr="0099208F">
        <w:rPr>
          <w:rFonts w:ascii="Arial" w:hAnsi="Arial" w:cs="Arial"/>
          <w:i/>
          <w:iCs/>
          <w:color w:val="000000" w:themeColor="text1"/>
          <w:lang w:val="en-ZA"/>
        </w:rPr>
        <w:t>v Przibil/a </w:t>
      </w:r>
      <w:hyperlink r:id="rId16" w:tooltip="View Case" w:history="1">
        <w:r w:rsidRPr="0099208F">
          <w:rPr>
            <w:rStyle w:val="Hyperlink"/>
            <w:rFonts w:ascii="Arial" w:hAnsi="Arial" w:cs="Arial"/>
            <w:b/>
            <w:bCs/>
            <w:lang w:val="en-ZA"/>
          </w:rPr>
          <w:t>[1962] HCA 54</w:t>
        </w:r>
      </w:hyperlink>
      <w:r w:rsidRPr="0099208F">
        <w:rPr>
          <w:rFonts w:ascii="Arial" w:hAnsi="Arial" w:cs="Arial"/>
          <w:color w:val="000000" w:themeColor="text1"/>
          <w:lang w:val="en-ZA"/>
        </w:rPr>
        <w:t>; </w:t>
      </w:r>
      <w:hyperlink r:id="rId17" w:tooltip="View LawCiteRecord" w:history="1">
        <w:r w:rsidRPr="0099208F">
          <w:rPr>
            <w:rStyle w:val="Hyperlink"/>
            <w:rFonts w:ascii="Arial" w:hAnsi="Arial" w:cs="Arial"/>
            <w:b/>
            <w:bCs/>
            <w:lang w:val="en-ZA"/>
          </w:rPr>
          <w:t>(1962) 36 ALJR 212</w:t>
        </w:r>
      </w:hyperlink>
      <w:r w:rsidRPr="0099208F">
        <w:rPr>
          <w:rFonts w:ascii="Arial" w:hAnsi="Arial" w:cs="Arial"/>
          <w:color w:val="000000" w:themeColor="text1"/>
          <w:lang w:val="en-ZA"/>
        </w:rPr>
        <w:t> (HCA) at 213:</w:t>
      </w:r>
    </w:p>
    <w:p w14:paraId="38CEEA36" w14:textId="77777777" w:rsidR="0099208F" w:rsidRPr="0099208F" w:rsidRDefault="0099208F" w:rsidP="0099208F">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 </w:t>
      </w:r>
    </w:p>
    <w:p w14:paraId="74FBFC5F" w14:textId="77777777" w:rsidR="0099208F" w:rsidRPr="0099208F" w:rsidRDefault="0099208F" w:rsidP="00925DBF">
      <w:pPr>
        <w:spacing w:line="480" w:lineRule="auto"/>
        <w:ind w:left="720"/>
        <w:jc w:val="both"/>
        <w:rPr>
          <w:rFonts w:ascii="Arial" w:hAnsi="Arial" w:cs="Arial"/>
          <w:color w:val="000000" w:themeColor="text1"/>
          <w:lang w:val="en-ZA"/>
        </w:rPr>
      </w:pPr>
      <w:r w:rsidRPr="0099208F">
        <w:rPr>
          <w:rFonts w:ascii="Arial" w:hAnsi="Arial" w:cs="Arial"/>
          <w:color w:val="000000" w:themeColor="text1"/>
          <w:lang w:val="en-ZA"/>
        </w:rPr>
        <w:lastRenderedPageBreak/>
        <w:t>'It is a mistake to suppose that it necessarily involves a 'scaling down'. What it involves depends, not on arithmetic, but on considering what the future may have held for the particular individual concerned... (The) generalisation that there must be a 'scaling down' for contingencies seems mistaken. All 'contingencies' are not adverse: All 'vicissitudes' are not harmful. A particular plaintiff might have had prospects or chances of advancement and increasingly remunerative employment. Why count the possible buffets and ignore the rewards of fortune? Each case depends upon its own facts. In some it may seem that the chance of good fortune might have balanced or even outweighed the risk of bad."'</w:t>
      </w:r>
    </w:p>
    <w:p w14:paraId="020DB1CA" w14:textId="77777777" w:rsidR="0099208F" w:rsidRPr="0099208F" w:rsidRDefault="0099208F" w:rsidP="0099208F">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 </w:t>
      </w:r>
    </w:p>
    <w:p w14:paraId="35536C3A" w14:textId="77777777" w:rsidR="0099208F" w:rsidRDefault="0099208F" w:rsidP="00B97136">
      <w:pPr>
        <w:spacing w:line="480" w:lineRule="auto"/>
        <w:jc w:val="both"/>
        <w:rPr>
          <w:rFonts w:ascii="Arial" w:hAnsi="Arial" w:cs="Arial"/>
          <w:color w:val="000000" w:themeColor="text1"/>
        </w:rPr>
      </w:pPr>
    </w:p>
    <w:p w14:paraId="40C92BE1" w14:textId="671FBCC1" w:rsidR="00B97136" w:rsidRPr="002361EB" w:rsidRDefault="00B97136" w:rsidP="00B97136">
      <w:pPr>
        <w:spacing w:line="480" w:lineRule="auto"/>
        <w:jc w:val="both"/>
        <w:rPr>
          <w:rFonts w:ascii="Arial" w:hAnsi="Arial" w:cs="Arial"/>
          <w:color w:val="000000" w:themeColor="text1"/>
        </w:rPr>
      </w:pPr>
      <w:r w:rsidRPr="002361EB">
        <w:rPr>
          <w:rFonts w:ascii="Arial" w:hAnsi="Arial" w:cs="Arial"/>
          <w:color w:val="000000" w:themeColor="text1"/>
        </w:rPr>
        <w:t>[1</w:t>
      </w:r>
      <w:r w:rsidR="00925DBF">
        <w:rPr>
          <w:rFonts w:ascii="Arial" w:hAnsi="Arial" w:cs="Arial"/>
          <w:color w:val="000000" w:themeColor="text1"/>
        </w:rPr>
        <w:t>4</w:t>
      </w:r>
      <w:r>
        <w:rPr>
          <w:rFonts w:ascii="Arial" w:hAnsi="Arial" w:cs="Arial"/>
          <w:color w:val="000000" w:themeColor="text1"/>
        </w:rPr>
        <w:t>]</w:t>
      </w:r>
      <w:r>
        <w:rPr>
          <w:rFonts w:ascii="Arial" w:hAnsi="Arial" w:cs="Arial"/>
          <w:color w:val="000000" w:themeColor="text1"/>
        </w:rPr>
        <w:tab/>
      </w:r>
      <w:r w:rsidR="00860927">
        <w:rPr>
          <w:rFonts w:ascii="Arial" w:hAnsi="Arial" w:cs="Arial"/>
          <w:color w:val="000000" w:themeColor="text1"/>
        </w:rPr>
        <w:t xml:space="preserve">Neurosuregon Dr J Ntimbane </w:t>
      </w:r>
      <w:r w:rsidRPr="002361EB">
        <w:rPr>
          <w:rFonts w:ascii="Arial" w:hAnsi="Arial" w:cs="Arial"/>
          <w:color w:val="000000" w:themeColor="text1"/>
        </w:rPr>
        <w:t>lists the injuries</w:t>
      </w:r>
      <w:r>
        <w:rPr>
          <w:rFonts w:ascii="Arial" w:hAnsi="Arial" w:cs="Arial"/>
          <w:color w:val="000000" w:themeColor="text1"/>
        </w:rPr>
        <w:t xml:space="preserve"> sustained by the plaintiff as:</w:t>
      </w:r>
    </w:p>
    <w:p w14:paraId="00A530A8" w14:textId="581B9AC0" w:rsidR="00B97136" w:rsidRDefault="00B97136" w:rsidP="00B97136">
      <w:pPr>
        <w:spacing w:line="360" w:lineRule="auto"/>
        <w:jc w:val="both"/>
        <w:rPr>
          <w:rFonts w:ascii="Arial" w:hAnsi="Arial" w:cs="Arial"/>
          <w:color w:val="000000" w:themeColor="text1"/>
        </w:rPr>
      </w:pPr>
      <w:r>
        <w:rPr>
          <w:rFonts w:ascii="Arial" w:hAnsi="Arial" w:cs="Arial"/>
          <w:color w:val="000000" w:themeColor="text1"/>
        </w:rPr>
        <w:tab/>
        <w:t>1</w:t>
      </w:r>
      <w:r w:rsidR="00925DBF">
        <w:rPr>
          <w:rFonts w:ascii="Arial" w:hAnsi="Arial" w:cs="Arial"/>
          <w:color w:val="000000" w:themeColor="text1"/>
        </w:rPr>
        <w:t>4</w:t>
      </w:r>
      <w:r>
        <w:rPr>
          <w:rFonts w:ascii="Arial" w:hAnsi="Arial" w:cs="Arial"/>
          <w:color w:val="000000" w:themeColor="text1"/>
        </w:rPr>
        <w:t>.1</w:t>
      </w:r>
      <w:r>
        <w:rPr>
          <w:rFonts w:ascii="Arial" w:hAnsi="Arial" w:cs="Arial"/>
          <w:color w:val="000000" w:themeColor="text1"/>
        </w:rPr>
        <w:tab/>
      </w:r>
      <w:r w:rsidR="00860927">
        <w:rPr>
          <w:rFonts w:ascii="Arial" w:hAnsi="Arial" w:cs="Arial"/>
          <w:color w:val="000000" w:themeColor="text1"/>
        </w:rPr>
        <w:t xml:space="preserve">head </w:t>
      </w:r>
      <w:r>
        <w:rPr>
          <w:rFonts w:ascii="Arial" w:hAnsi="Arial" w:cs="Arial"/>
          <w:color w:val="000000" w:themeColor="text1"/>
        </w:rPr>
        <w:t>injury</w:t>
      </w:r>
      <w:r w:rsidR="00860927">
        <w:rPr>
          <w:rFonts w:ascii="Arial" w:hAnsi="Arial" w:cs="Arial"/>
          <w:color w:val="000000" w:themeColor="text1"/>
        </w:rPr>
        <w:t xml:space="preserve"> – Laceration left eyebrow</w:t>
      </w:r>
      <w:r w:rsidRPr="002361EB">
        <w:rPr>
          <w:rFonts w:ascii="Arial" w:hAnsi="Arial" w:cs="Arial"/>
          <w:color w:val="000000" w:themeColor="text1"/>
        </w:rPr>
        <w:t>;</w:t>
      </w:r>
    </w:p>
    <w:p w14:paraId="5C484F4F" w14:textId="1AB3059C" w:rsidR="00B97136" w:rsidRDefault="00B97136" w:rsidP="00B97136">
      <w:pPr>
        <w:spacing w:line="360" w:lineRule="auto"/>
        <w:ind w:firstLine="720"/>
        <w:jc w:val="both"/>
        <w:rPr>
          <w:rFonts w:ascii="Arial" w:hAnsi="Arial" w:cs="Arial"/>
          <w:color w:val="000000" w:themeColor="text1"/>
        </w:rPr>
      </w:pPr>
      <w:r w:rsidRPr="002361EB">
        <w:rPr>
          <w:rFonts w:ascii="Arial" w:hAnsi="Arial" w:cs="Arial"/>
          <w:color w:val="000000" w:themeColor="text1"/>
        </w:rPr>
        <w:t>1</w:t>
      </w:r>
      <w:r w:rsidR="00925DBF">
        <w:rPr>
          <w:rFonts w:ascii="Arial" w:hAnsi="Arial" w:cs="Arial"/>
          <w:color w:val="000000" w:themeColor="text1"/>
        </w:rPr>
        <w:t>4</w:t>
      </w:r>
      <w:r w:rsidRPr="002361EB">
        <w:rPr>
          <w:rFonts w:ascii="Arial" w:hAnsi="Arial" w:cs="Arial"/>
          <w:color w:val="000000" w:themeColor="text1"/>
        </w:rPr>
        <w:t>.2</w:t>
      </w:r>
      <w:r w:rsidRPr="002361EB">
        <w:rPr>
          <w:rFonts w:ascii="Arial" w:hAnsi="Arial" w:cs="Arial"/>
          <w:color w:val="000000" w:themeColor="text1"/>
        </w:rPr>
        <w:tab/>
      </w:r>
      <w:r w:rsidR="00860927">
        <w:rPr>
          <w:rFonts w:ascii="Arial" w:hAnsi="Arial" w:cs="Arial"/>
          <w:color w:val="000000" w:themeColor="text1"/>
        </w:rPr>
        <w:t>broken teeth</w:t>
      </w:r>
    </w:p>
    <w:p w14:paraId="5D175EF8" w14:textId="3E4E190D" w:rsidR="00B97136" w:rsidRPr="002361EB" w:rsidRDefault="00B97136" w:rsidP="00B97136">
      <w:pPr>
        <w:spacing w:line="360" w:lineRule="auto"/>
        <w:ind w:firstLine="720"/>
        <w:jc w:val="both"/>
        <w:rPr>
          <w:rFonts w:ascii="Arial" w:hAnsi="Arial" w:cs="Arial"/>
          <w:color w:val="000000" w:themeColor="text1"/>
        </w:rPr>
      </w:pPr>
    </w:p>
    <w:p w14:paraId="64A32A28" w14:textId="77777777" w:rsidR="00B97136" w:rsidRPr="002361EB" w:rsidRDefault="00B97136" w:rsidP="00B97136">
      <w:pPr>
        <w:spacing w:line="480" w:lineRule="auto"/>
        <w:jc w:val="both"/>
        <w:rPr>
          <w:rFonts w:ascii="Arial" w:hAnsi="Arial" w:cs="Arial"/>
          <w:color w:val="000000" w:themeColor="text1"/>
        </w:rPr>
      </w:pPr>
    </w:p>
    <w:p w14:paraId="30DFF9BE" w14:textId="2E9C5205" w:rsidR="00860927" w:rsidRDefault="00B97136" w:rsidP="00B97136">
      <w:pPr>
        <w:spacing w:line="480" w:lineRule="auto"/>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5</w:t>
      </w:r>
      <w:r>
        <w:rPr>
          <w:rFonts w:ascii="Arial" w:hAnsi="Arial" w:cs="Arial"/>
          <w:color w:val="000000" w:themeColor="text1"/>
        </w:rPr>
        <w:t>]</w:t>
      </w:r>
      <w:r>
        <w:rPr>
          <w:rFonts w:ascii="Arial" w:hAnsi="Arial" w:cs="Arial"/>
          <w:color w:val="000000" w:themeColor="text1"/>
        </w:rPr>
        <w:tab/>
      </w:r>
      <w:r w:rsidR="00860927">
        <w:rPr>
          <w:rFonts w:ascii="Arial" w:hAnsi="Arial" w:cs="Arial"/>
          <w:color w:val="000000" w:themeColor="text1"/>
        </w:rPr>
        <w:t>Neurologist Prof M Kakaza</w:t>
      </w:r>
      <w:r>
        <w:rPr>
          <w:rFonts w:ascii="Arial" w:hAnsi="Arial" w:cs="Arial"/>
          <w:color w:val="000000" w:themeColor="text1"/>
        </w:rPr>
        <w:t xml:space="preserve"> </w:t>
      </w:r>
      <w:r w:rsidR="00860927">
        <w:rPr>
          <w:rFonts w:ascii="Arial" w:hAnsi="Arial" w:cs="Arial"/>
          <w:color w:val="000000" w:themeColor="text1"/>
        </w:rPr>
        <w:t>Lists the injuries sustained by the plaintiff as”</w:t>
      </w:r>
    </w:p>
    <w:p w14:paraId="189CCE0B" w14:textId="6536D5C8" w:rsidR="00860927" w:rsidRDefault="00860927" w:rsidP="00B97136">
      <w:pPr>
        <w:spacing w:line="480" w:lineRule="auto"/>
        <w:jc w:val="both"/>
        <w:rPr>
          <w:rFonts w:ascii="Arial" w:hAnsi="Arial" w:cs="Arial"/>
          <w:color w:val="000000" w:themeColor="text1"/>
        </w:rPr>
      </w:pPr>
      <w:r>
        <w:rPr>
          <w:rFonts w:ascii="Arial" w:hAnsi="Arial" w:cs="Arial"/>
          <w:color w:val="000000" w:themeColor="text1"/>
        </w:rPr>
        <w:tab/>
        <w:t>13.1 Two teeth missing un the upper jaw and 1 was lose;</w:t>
      </w:r>
    </w:p>
    <w:p w14:paraId="35711504" w14:textId="3880A340" w:rsidR="00860927" w:rsidRDefault="00860927" w:rsidP="00B97136">
      <w:pPr>
        <w:spacing w:line="480" w:lineRule="auto"/>
        <w:jc w:val="both"/>
        <w:rPr>
          <w:rFonts w:ascii="Arial" w:hAnsi="Arial" w:cs="Arial"/>
          <w:color w:val="000000" w:themeColor="text1"/>
        </w:rPr>
      </w:pPr>
      <w:r>
        <w:rPr>
          <w:rFonts w:ascii="Arial" w:hAnsi="Arial" w:cs="Arial"/>
          <w:color w:val="000000" w:themeColor="text1"/>
        </w:rPr>
        <w:tab/>
        <w:t xml:space="preserve">13.2 Laceration on the Chin; and </w:t>
      </w:r>
    </w:p>
    <w:p w14:paraId="1B4A966B" w14:textId="5FB3F502" w:rsidR="00860927" w:rsidRDefault="00860927" w:rsidP="00B97136">
      <w:pPr>
        <w:spacing w:line="480" w:lineRule="auto"/>
        <w:jc w:val="both"/>
        <w:rPr>
          <w:rFonts w:ascii="Arial" w:hAnsi="Arial" w:cs="Arial"/>
          <w:color w:val="000000" w:themeColor="text1"/>
        </w:rPr>
      </w:pPr>
      <w:r>
        <w:rPr>
          <w:rFonts w:ascii="Arial" w:hAnsi="Arial" w:cs="Arial"/>
          <w:color w:val="000000" w:themeColor="text1"/>
        </w:rPr>
        <w:tab/>
        <w:t xml:space="preserve">13.3 Multiple abrasions on the face. </w:t>
      </w:r>
    </w:p>
    <w:p w14:paraId="15CB3521" w14:textId="60275DFB" w:rsidR="006542C1" w:rsidRDefault="006542C1" w:rsidP="00B97136">
      <w:pPr>
        <w:spacing w:line="480" w:lineRule="auto"/>
        <w:jc w:val="both"/>
        <w:rPr>
          <w:rFonts w:ascii="Arial" w:hAnsi="Arial" w:cs="Arial"/>
          <w:color w:val="000000" w:themeColor="text1"/>
        </w:rPr>
      </w:pPr>
    </w:p>
    <w:p w14:paraId="614D51B4" w14:textId="34861C3F" w:rsidR="006542C1" w:rsidRDefault="006542C1" w:rsidP="00B97136">
      <w:pPr>
        <w:spacing w:line="480" w:lineRule="auto"/>
        <w:jc w:val="both"/>
        <w:rPr>
          <w:rFonts w:ascii="Arial" w:hAnsi="Arial" w:cs="Arial"/>
          <w:color w:val="000000" w:themeColor="text1"/>
        </w:rPr>
      </w:pPr>
    </w:p>
    <w:p w14:paraId="17F65A09" w14:textId="77777777" w:rsidR="006542C1" w:rsidRDefault="006542C1" w:rsidP="00B97136">
      <w:pPr>
        <w:spacing w:line="480" w:lineRule="auto"/>
        <w:jc w:val="both"/>
        <w:rPr>
          <w:rFonts w:ascii="Arial" w:hAnsi="Arial" w:cs="Arial"/>
          <w:color w:val="000000" w:themeColor="text1"/>
        </w:rPr>
      </w:pPr>
    </w:p>
    <w:p w14:paraId="7E774D0B" w14:textId="41D3892B" w:rsidR="00860927" w:rsidRDefault="00860927" w:rsidP="00B97136">
      <w:pPr>
        <w:spacing w:line="480" w:lineRule="auto"/>
        <w:jc w:val="both"/>
        <w:rPr>
          <w:rFonts w:ascii="Arial" w:hAnsi="Arial" w:cs="Arial"/>
          <w:color w:val="000000" w:themeColor="text1"/>
        </w:rPr>
      </w:pPr>
    </w:p>
    <w:p w14:paraId="09C5A2ED" w14:textId="0AC6E8E1" w:rsidR="00860927" w:rsidRDefault="00860927" w:rsidP="00B97136">
      <w:pPr>
        <w:spacing w:line="480" w:lineRule="auto"/>
        <w:jc w:val="both"/>
        <w:rPr>
          <w:rFonts w:ascii="Arial" w:hAnsi="Arial" w:cs="Arial"/>
          <w:color w:val="000000" w:themeColor="text1"/>
        </w:rPr>
      </w:pPr>
      <w:r>
        <w:rPr>
          <w:rFonts w:ascii="Arial" w:hAnsi="Arial" w:cs="Arial"/>
          <w:color w:val="000000" w:themeColor="text1"/>
        </w:rPr>
        <w:lastRenderedPageBreak/>
        <w:t>[1</w:t>
      </w:r>
      <w:r w:rsidR="00925DBF">
        <w:rPr>
          <w:rFonts w:ascii="Arial" w:hAnsi="Arial" w:cs="Arial"/>
          <w:color w:val="000000" w:themeColor="text1"/>
        </w:rPr>
        <w:t>6</w:t>
      </w:r>
      <w:r>
        <w:rPr>
          <w:rFonts w:ascii="Arial" w:hAnsi="Arial" w:cs="Arial"/>
          <w:color w:val="000000" w:themeColor="text1"/>
        </w:rPr>
        <w:t>] Maxillofacial and Oral Surgeon Dr Molomo lists the injuries sustained by the plaintiff as:</w:t>
      </w:r>
    </w:p>
    <w:p w14:paraId="156C1387" w14:textId="5C84F868" w:rsidR="00860927" w:rsidRDefault="00860927" w:rsidP="00B97136">
      <w:pPr>
        <w:spacing w:line="480" w:lineRule="auto"/>
        <w:jc w:val="both"/>
        <w:rPr>
          <w:rFonts w:ascii="Arial" w:hAnsi="Arial" w:cs="Arial"/>
          <w:color w:val="000000" w:themeColor="text1"/>
        </w:rPr>
      </w:pPr>
      <w:r>
        <w:rPr>
          <w:rFonts w:ascii="Arial" w:hAnsi="Arial" w:cs="Arial"/>
          <w:color w:val="000000" w:themeColor="text1"/>
        </w:rPr>
        <w:tab/>
        <w:t>1</w:t>
      </w:r>
      <w:r w:rsidR="00925DBF">
        <w:rPr>
          <w:rFonts w:ascii="Arial" w:hAnsi="Arial" w:cs="Arial"/>
          <w:color w:val="000000" w:themeColor="text1"/>
        </w:rPr>
        <w:t>6</w:t>
      </w:r>
      <w:r>
        <w:rPr>
          <w:rFonts w:ascii="Arial" w:hAnsi="Arial" w:cs="Arial"/>
          <w:color w:val="000000" w:themeColor="text1"/>
        </w:rPr>
        <w:t xml:space="preserve">.1 </w:t>
      </w:r>
      <w:r w:rsidR="00F00A5C">
        <w:rPr>
          <w:rFonts w:ascii="Arial" w:hAnsi="Arial" w:cs="Arial"/>
          <w:color w:val="000000" w:themeColor="text1"/>
        </w:rPr>
        <w:t>F</w:t>
      </w:r>
      <w:r>
        <w:rPr>
          <w:rFonts w:ascii="Arial" w:hAnsi="Arial" w:cs="Arial"/>
          <w:color w:val="000000" w:themeColor="text1"/>
        </w:rPr>
        <w:t>orehead lacerations;</w:t>
      </w:r>
    </w:p>
    <w:p w14:paraId="08C002EE" w14:textId="05158911" w:rsidR="00860927" w:rsidRDefault="00860927" w:rsidP="00B97136">
      <w:pPr>
        <w:spacing w:line="480" w:lineRule="auto"/>
        <w:jc w:val="both"/>
        <w:rPr>
          <w:rFonts w:ascii="Arial" w:hAnsi="Arial" w:cs="Arial"/>
          <w:color w:val="000000" w:themeColor="text1"/>
        </w:rPr>
      </w:pPr>
      <w:r>
        <w:rPr>
          <w:rFonts w:ascii="Arial" w:hAnsi="Arial" w:cs="Arial"/>
          <w:color w:val="000000" w:themeColor="text1"/>
        </w:rPr>
        <w:tab/>
        <w:t>1</w:t>
      </w:r>
      <w:r w:rsidR="00925DBF">
        <w:rPr>
          <w:rFonts w:ascii="Arial" w:hAnsi="Arial" w:cs="Arial"/>
          <w:color w:val="000000" w:themeColor="text1"/>
        </w:rPr>
        <w:t>6</w:t>
      </w:r>
      <w:r>
        <w:rPr>
          <w:rFonts w:ascii="Arial" w:hAnsi="Arial" w:cs="Arial"/>
          <w:color w:val="000000" w:themeColor="text1"/>
        </w:rPr>
        <w:t xml:space="preserve">.2 </w:t>
      </w:r>
      <w:r w:rsidR="00F00A5C">
        <w:rPr>
          <w:rFonts w:ascii="Arial" w:hAnsi="Arial" w:cs="Arial"/>
          <w:color w:val="000000" w:themeColor="text1"/>
        </w:rPr>
        <w:t xml:space="preserve">Laceration upper lip; and </w:t>
      </w:r>
    </w:p>
    <w:p w14:paraId="11496B77" w14:textId="4D53D522" w:rsidR="00F00A5C" w:rsidRDefault="00F00A5C" w:rsidP="00F00A5C">
      <w:pPr>
        <w:spacing w:line="480" w:lineRule="auto"/>
        <w:ind w:firstLine="720"/>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6</w:t>
      </w:r>
      <w:r>
        <w:rPr>
          <w:rFonts w:ascii="Arial" w:hAnsi="Arial" w:cs="Arial"/>
          <w:color w:val="000000" w:themeColor="text1"/>
        </w:rPr>
        <w:t xml:space="preserve">.3 Fracture/avulsion right central incisors. </w:t>
      </w:r>
    </w:p>
    <w:p w14:paraId="4D638518" w14:textId="77777777" w:rsidR="00B97136" w:rsidRPr="002361EB" w:rsidRDefault="00B97136" w:rsidP="00B97136">
      <w:pPr>
        <w:spacing w:line="360" w:lineRule="auto"/>
        <w:jc w:val="both"/>
        <w:rPr>
          <w:rFonts w:ascii="Arial" w:hAnsi="Arial" w:cs="Arial"/>
          <w:color w:val="000000" w:themeColor="text1"/>
        </w:rPr>
      </w:pPr>
    </w:p>
    <w:p w14:paraId="7DF5D53D" w14:textId="37FB21F9" w:rsidR="00B97136" w:rsidRPr="002361EB" w:rsidRDefault="00B97136" w:rsidP="00B97136">
      <w:pPr>
        <w:spacing w:line="480" w:lineRule="auto"/>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7</w:t>
      </w:r>
      <w:r w:rsidRPr="002361EB">
        <w:rPr>
          <w:rFonts w:ascii="Arial" w:hAnsi="Arial" w:cs="Arial"/>
          <w:color w:val="000000" w:themeColor="text1"/>
        </w:rPr>
        <w:t>]</w:t>
      </w:r>
      <w:r w:rsidRPr="002361EB">
        <w:rPr>
          <w:rFonts w:ascii="Arial" w:hAnsi="Arial" w:cs="Arial"/>
          <w:color w:val="000000" w:themeColor="text1"/>
        </w:rPr>
        <w:tab/>
        <w:t xml:space="preserve">The plaintiff, who was </w:t>
      </w:r>
      <w:r w:rsidR="00860927">
        <w:rPr>
          <w:rFonts w:ascii="Arial" w:hAnsi="Arial" w:cs="Arial"/>
          <w:color w:val="000000" w:themeColor="text1"/>
        </w:rPr>
        <w:t>Grade 12 pupil</w:t>
      </w:r>
      <w:r w:rsidRPr="002361EB">
        <w:rPr>
          <w:rFonts w:ascii="Arial" w:hAnsi="Arial" w:cs="Arial"/>
          <w:color w:val="000000" w:themeColor="text1"/>
        </w:rPr>
        <w:t xml:space="preserve"> prior to the accid</w:t>
      </w:r>
      <w:r>
        <w:rPr>
          <w:rFonts w:ascii="Arial" w:hAnsi="Arial" w:cs="Arial"/>
          <w:color w:val="000000" w:themeColor="text1"/>
        </w:rPr>
        <w:t>ent</w:t>
      </w:r>
      <w:r w:rsidR="00860927">
        <w:rPr>
          <w:rFonts w:ascii="Arial" w:hAnsi="Arial" w:cs="Arial"/>
          <w:color w:val="000000" w:themeColor="text1"/>
        </w:rPr>
        <w:t xml:space="preserve">. </w:t>
      </w:r>
      <w:r>
        <w:rPr>
          <w:rFonts w:ascii="Arial" w:hAnsi="Arial" w:cs="Arial"/>
          <w:color w:val="000000" w:themeColor="text1"/>
        </w:rPr>
        <w:t xml:space="preserve">Post-accident he has not returned to </w:t>
      </w:r>
      <w:r w:rsidR="00860927">
        <w:rPr>
          <w:rFonts w:ascii="Arial" w:hAnsi="Arial" w:cs="Arial"/>
          <w:color w:val="000000" w:themeColor="text1"/>
        </w:rPr>
        <w:t>school</w:t>
      </w:r>
      <w:r w:rsidRPr="002361EB">
        <w:rPr>
          <w:rFonts w:ascii="Arial" w:hAnsi="Arial" w:cs="Arial"/>
          <w:color w:val="000000" w:themeColor="text1"/>
        </w:rPr>
        <w:t>.</w:t>
      </w:r>
    </w:p>
    <w:p w14:paraId="5B027819" w14:textId="77777777" w:rsidR="00B97136" w:rsidRPr="002361EB" w:rsidRDefault="00B97136" w:rsidP="00B97136">
      <w:pPr>
        <w:spacing w:line="480" w:lineRule="auto"/>
        <w:ind w:left="720"/>
        <w:jc w:val="both"/>
        <w:rPr>
          <w:rFonts w:ascii="Arial" w:hAnsi="Arial" w:cs="Arial"/>
          <w:color w:val="000000" w:themeColor="text1"/>
        </w:rPr>
      </w:pPr>
    </w:p>
    <w:p w14:paraId="08C64980" w14:textId="684E2955" w:rsidR="00B97136" w:rsidRPr="002361EB" w:rsidRDefault="00B97136" w:rsidP="00B97136">
      <w:pPr>
        <w:spacing w:line="480" w:lineRule="auto"/>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8</w:t>
      </w:r>
      <w:r w:rsidRPr="002361EB">
        <w:rPr>
          <w:rFonts w:ascii="Arial" w:hAnsi="Arial" w:cs="Arial"/>
          <w:color w:val="000000" w:themeColor="text1"/>
        </w:rPr>
        <w:t>]</w:t>
      </w:r>
      <w:r w:rsidRPr="002361EB">
        <w:rPr>
          <w:rFonts w:ascii="Arial" w:hAnsi="Arial" w:cs="Arial"/>
          <w:color w:val="000000" w:themeColor="text1"/>
        </w:rPr>
        <w:tab/>
        <w:t>Medico-legal reports have been procured by both parties.  The parties agreed that the reports are what they purport to be, without admitting the truth and content thereof, unless a party objects to a particular document in writing.</w:t>
      </w:r>
    </w:p>
    <w:p w14:paraId="39FE74FD" w14:textId="77777777" w:rsidR="00B97136" w:rsidRPr="002361EB" w:rsidRDefault="00B97136" w:rsidP="00B97136">
      <w:pPr>
        <w:spacing w:line="480" w:lineRule="auto"/>
        <w:ind w:left="720"/>
        <w:jc w:val="both"/>
        <w:rPr>
          <w:rFonts w:ascii="Arial" w:hAnsi="Arial" w:cs="Arial"/>
          <w:color w:val="000000" w:themeColor="text1"/>
        </w:rPr>
      </w:pPr>
    </w:p>
    <w:p w14:paraId="4D37202D" w14:textId="2A609A8B" w:rsidR="00F00A5C" w:rsidRDefault="00B97136" w:rsidP="006542C1">
      <w:pPr>
        <w:spacing w:line="480" w:lineRule="auto"/>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9</w:t>
      </w:r>
      <w:r w:rsidRPr="002361EB">
        <w:rPr>
          <w:rFonts w:ascii="Arial" w:hAnsi="Arial" w:cs="Arial"/>
          <w:color w:val="000000" w:themeColor="text1"/>
        </w:rPr>
        <w:t>]</w:t>
      </w:r>
      <w:r w:rsidRPr="002361EB">
        <w:rPr>
          <w:rFonts w:ascii="Arial" w:hAnsi="Arial" w:cs="Arial"/>
          <w:color w:val="000000" w:themeColor="text1"/>
        </w:rPr>
        <w:tab/>
        <w:t xml:space="preserve">By agreement between the parties </w:t>
      </w:r>
      <w:r w:rsidR="00F00A5C">
        <w:rPr>
          <w:rFonts w:ascii="Arial" w:hAnsi="Arial" w:cs="Arial"/>
          <w:color w:val="000000" w:themeColor="text1"/>
        </w:rPr>
        <w:t xml:space="preserve">the joint minutes by the occupational therapists </w:t>
      </w:r>
      <w:r w:rsidRPr="002361EB">
        <w:rPr>
          <w:rFonts w:ascii="Arial" w:hAnsi="Arial" w:cs="Arial"/>
          <w:color w:val="000000" w:themeColor="text1"/>
        </w:rPr>
        <w:t>experts were handed in and their contents constitute evidence in this matter.  Joint minutes were provided by</w:t>
      </w:r>
      <w:r w:rsidR="00F00A5C">
        <w:rPr>
          <w:rFonts w:ascii="Arial" w:hAnsi="Arial" w:cs="Arial"/>
          <w:color w:val="000000" w:themeColor="text1"/>
        </w:rPr>
        <w:t xml:space="preserve"> </w:t>
      </w:r>
      <w:r w:rsidR="00FC11B9">
        <w:rPr>
          <w:rFonts w:ascii="Arial" w:hAnsi="Arial" w:cs="Arial"/>
          <w:color w:val="000000" w:themeColor="text1"/>
        </w:rPr>
        <w:t xml:space="preserve">the Occupational Therapists only, </w:t>
      </w:r>
      <w:r w:rsidR="00F00A5C">
        <w:rPr>
          <w:rFonts w:ascii="Arial" w:hAnsi="Arial" w:cs="Arial"/>
          <w:color w:val="000000" w:themeColor="text1"/>
        </w:rPr>
        <w:t xml:space="preserve">Ms Given Moila and Ms Nonzaliseko Arm. The following documents were considered at the time of the report compilation. </w:t>
      </w:r>
    </w:p>
    <w:p w14:paraId="3BB0C823" w14:textId="5BE2DBC8" w:rsidR="00F00A5C" w:rsidRDefault="00F00A5C" w:rsidP="00F00A5C">
      <w:pPr>
        <w:spacing w:line="360" w:lineRule="auto"/>
        <w:ind w:left="720" w:firstLine="720"/>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9</w:t>
      </w:r>
      <w:r>
        <w:rPr>
          <w:rFonts w:ascii="Arial" w:hAnsi="Arial" w:cs="Arial"/>
          <w:color w:val="000000" w:themeColor="text1"/>
        </w:rPr>
        <w:t xml:space="preserve">.1 </w:t>
      </w:r>
      <w:r w:rsidR="007D179B">
        <w:rPr>
          <w:rFonts w:ascii="Arial" w:hAnsi="Arial" w:cs="Arial"/>
          <w:color w:val="000000" w:themeColor="text1"/>
        </w:rPr>
        <w:tab/>
      </w:r>
      <w:r>
        <w:rPr>
          <w:rFonts w:ascii="Arial" w:hAnsi="Arial" w:cs="Arial"/>
          <w:color w:val="000000" w:themeColor="text1"/>
        </w:rPr>
        <w:t>Jubilee Hospital Clinical Records;</w:t>
      </w:r>
    </w:p>
    <w:p w14:paraId="7564B943" w14:textId="5F24E314" w:rsidR="00F00A5C" w:rsidRDefault="00F00A5C" w:rsidP="00F00A5C">
      <w:pPr>
        <w:spacing w:line="360" w:lineRule="auto"/>
        <w:ind w:left="720" w:firstLine="720"/>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9</w:t>
      </w:r>
      <w:r>
        <w:rPr>
          <w:rFonts w:ascii="Arial" w:hAnsi="Arial" w:cs="Arial"/>
          <w:color w:val="000000" w:themeColor="text1"/>
        </w:rPr>
        <w:t xml:space="preserve">.2 </w:t>
      </w:r>
      <w:r w:rsidR="007D179B">
        <w:rPr>
          <w:rFonts w:ascii="Arial" w:hAnsi="Arial" w:cs="Arial"/>
          <w:color w:val="000000" w:themeColor="text1"/>
        </w:rPr>
        <w:tab/>
      </w:r>
      <w:r>
        <w:rPr>
          <w:rFonts w:ascii="Arial" w:hAnsi="Arial" w:cs="Arial"/>
          <w:color w:val="000000" w:themeColor="text1"/>
        </w:rPr>
        <w:t>RAF 4 form from Medical Practioner;</w:t>
      </w:r>
    </w:p>
    <w:p w14:paraId="39652467" w14:textId="16B2AC31" w:rsidR="00B97136" w:rsidRDefault="00F00A5C" w:rsidP="00F00A5C">
      <w:pPr>
        <w:spacing w:line="360" w:lineRule="auto"/>
        <w:ind w:left="1440"/>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9</w:t>
      </w:r>
      <w:r>
        <w:rPr>
          <w:rFonts w:ascii="Arial" w:hAnsi="Arial" w:cs="Arial"/>
          <w:color w:val="000000" w:themeColor="text1"/>
        </w:rPr>
        <w:t xml:space="preserve">.3 </w:t>
      </w:r>
      <w:r w:rsidR="007D179B">
        <w:rPr>
          <w:rFonts w:ascii="Arial" w:hAnsi="Arial" w:cs="Arial"/>
          <w:color w:val="000000" w:themeColor="text1"/>
        </w:rPr>
        <w:tab/>
      </w:r>
      <w:r>
        <w:rPr>
          <w:rFonts w:ascii="Arial" w:hAnsi="Arial" w:cs="Arial"/>
          <w:color w:val="000000" w:themeColor="text1"/>
        </w:rPr>
        <w:t>Ne</w:t>
      </w:r>
      <w:r w:rsidR="007D179B">
        <w:rPr>
          <w:rFonts w:ascii="Arial" w:hAnsi="Arial" w:cs="Arial"/>
          <w:color w:val="000000" w:themeColor="text1"/>
        </w:rPr>
        <w:t>uro</w:t>
      </w:r>
      <w:r>
        <w:rPr>
          <w:rFonts w:ascii="Arial" w:hAnsi="Arial" w:cs="Arial"/>
          <w:color w:val="000000" w:themeColor="text1"/>
        </w:rPr>
        <w:t>surgeon report from Dr JA Ntimbani dated 12/10/202</w:t>
      </w:r>
      <w:r w:rsidR="00B97136" w:rsidRPr="002361EB">
        <w:rPr>
          <w:rFonts w:ascii="Arial" w:hAnsi="Arial" w:cs="Arial"/>
          <w:color w:val="000000" w:themeColor="text1"/>
        </w:rPr>
        <w:t>;</w:t>
      </w:r>
    </w:p>
    <w:p w14:paraId="783248E0" w14:textId="79C80627" w:rsidR="00B97136" w:rsidRPr="002361EB" w:rsidRDefault="00B97136" w:rsidP="007D179B">
      <w:pPr>
        <w:spacing w:line="360" w:lineRule="auto"/>
        <w:ind w:left="1440"/>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9</w:t>
      </w:r>
      <w:r>
        <w:rPr>
          <w:rFonts w:ascii="Arial" w:hAnsi="Arial" w:cs="Arial"/>
          <w:color w:val="000000" w:themeColor="text1"/>
        </w:rPr>
        <w:t>.</w:t>
      </w:r>
      <w:r w:rsidR="00F00A5C">
        <w:rPr>
          <w:rFonts w:ascii="Arial" w:hAnsi="Arial" w:cs="Arial"/>
          <w:color w:val="000000" w:themeColor="text1"/>
        </w:rPr>
        <w:t>4</w:t>
      </w:r>
      <w:r>
        <w:rPr>
          <w:rFonts w:ascii="Arial" w:hAnsi="Arial" w:cs="Arial"/>
          <w:color w:val="000000" w:themeColor="text1"/>
        </w:rPr>
        <w:tab/>
      </w:r>
      <w:r w:rsidR="007D179B">
        <w:rPr>
          <w:rFonts w:ascii="Arial" w:hAnsi="Arial" w:cs="Arial"/>
          <w:color w:val="000000" w:themeColor="text1"/>
        </w:rPr>
        <w:t>Clinical Psychologist report from Ms G Bokaba dated 15/10/2020</w:t>
      </w:r>
      <w:r w:rsidRPr="002361EB">
        <w:rPr>
          <w:rFonts w:ascii="Arial" w:hAnsi="Arial" w:cs="Arial"/>
          <w:color w:val="000000" w:themeColor="text1"/>
        </w:rPr>
        <w:t>;</w:t>
      </w:r>
    </w:p>
    <w:p w14:paraId="3C22A1D3" w14:textId="7FDA8F23" w:rsidR="00B97136" w:rsidRDefault="00B97136" w:rsidP="007D179B">
      <w:pPr>
        <w:spacing w:line="360" w:lineRule="auto"/>
        <w:ind w:left="2160" w:hanging="720"/>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9</w:t>
      </w:r>
      <w:r>
        <w:rPr>
          <w:rFonts w:ascii="Arial" w:hAnsi="Arial" w:cs="Arial"/>
          <w:color w:val="000000" w:themeColor="text1"/>
        </w:rPr>
        <w:t>.</w:t>
      </w:r>
      <w:r w:rsidR="007D179B">
        <w:rPr>
          <w:rFonts w:ascii="Arial" w:hAnsi="Arial" w:cs="Arial"/>
          <w:color w:val="000000" w:themeColor="text1"/>
        </w:rPr>
        <w:t>5</w:t>
      </w:r>
      <w:r>
        <w:rPr>
          <w:rFonts w:ascii="Arial" w:hAnsi="Arial" w:cs="Arial"/>
          <w:color w:val="000000" w:themeColor="text1"/>
        </w:rPr>
        <w:tab/>
      </w:r>
      <w:r w:rsidR="007D179B">
        <w:rPr>
          <w:rFonts w:ascii="Arial" w:hAnsi="Arial" w:cs="Arial"/>
          <w:color w:val="000000" w:themeColor="text1"/>
        </w:rPr>
        <w:t>Maxillofacial and Oral surgeon report from DR EM Momolo dated 04/12/2020</w:t>
      </w:r>
      <w:r w:rsidRPr="002361EB">
        <w:rPr>
          <w:rFonts w:ascii="Arial" w:hAnsi="Arial" w:cs="Arial"/>
          <w:color w:val="000000" w:themeColor="text1"/>
        </w:rPr>
        <w:t>;</w:t>
      </w:r>
    </w:p>
    <w:p w14:paraId="4FDFFEFF" w14:textId="145A3FBF" w:rsidR="00B97136" w:rsidRPr="002361EB" w:rsidRDefault="00B97136" w:rsidP="007D179B">
      <w:pPr>
        <w:spacing w:line="360" w:lineRule="auto"/>
        <w:ind w:left="2160" w:hanging="720"/>
        <w:jc w:val="both"/>
        <w:rPr>
          <w:rFonts w:ascii="Arial" w:hAnsi="Arial" w:cs="Arial"/>
          <w:color w:val="000000" w:themeColor="text1"/>
        </w:rPr>
      </w:pPr>
      <w:r>
        <w:rPr>
          <w:rFonts w:ascii="Arial" w:hAnsi="Arial" w:cs="Arial"/>
          <w:color w:val="000000" w:themeColor="text1"/>
        </w:rPr>
        <w:t>1</w:t>
      </w:r>
      <w:r w:rsidR="00925DBF">
        <w:rPr>
          <w:rFonts w:ascii="Arial" w:hAnsi="Arial" w:cs="Arial"/>
          <w:color w:val="000000" w:themeColor="text1"/>
        </w:rPr>
        <w:t>9</w:t>
      </w:r>
      <w:r>
        <w:rPr>
          <w:rFonts w:ascii="Arial" w:hAnsi="Arial" w:cs="Arial"/>
          <w:color w:val="000000" w:themeColor="text1"/>
        </w:rPr>
        <w:t>.</w:t>
      </w:r>
      <w:r w:rsidR="007D179B">
        <w:rPr>
          <w:rFonts w:ascii="Arial" w:hAnsi="Arial" w:cs="Arial"/>
          <w:color w:val="000000" w:themeColor="text1"/>
        </w:rPr>
        <w:t>6</w:t>
      </w:r>
      <w:r>
        <w:rPr>
          <w:rFonts w:ascii="Arial" w:hAnsi="Arial" w:cs="Arial"/>
          <w:color w:val="000000" w:themeColor="text1"/>
        </w:rPr>
        <w:tab/>
      </w:r>
      <w:r w:rsidR="007D179B">
        <w:rPr>
          <w:rFonts w:ascii="Arial" w:hAnsi="Arial" w:cs="Arial"/>
          <w:color w:val="000000" w:themeColor="text1"/>
        </w:rPr>
        <w:t xml:space="preserve">Educational Psychologist report from Ms M Mantsena dated 30/03/2021. </w:t>
      </w:r>
    </w:p>
    <w:p w14:paraId="1FDC03E0" w14:textId="77777777" w:rsidR="007D179B" w:rsidRDefault="007D179B" w:rsidP="00B97136">
      <w:pPr>
        <w:spacing w:line="480" w:lineRule="auto"/>
        <w:jc w:val="both"/>
        <w:rPr>
          <w:rFonts w:ascii="Arial" w:hAnsi="Arial" w:cs="Arial"/>
          <w:color w:val="000000" w:themeColor="text1"/>
        </w:rPr>
      </w:pPr>
    </w:p>
    <w:p w14:paraId="5F464D08" w14:textId="235C70F2" w:rsidR="00B97136" w:rsidRPr="002361EB" w:rsidRDefault="00B97136" w:rsidP="00B97136">
      <w:pPr>
        <w:spacing w:line="480" w:lineRule="auto"/>
        <w:jc w:val="both"/>
        <w:rPr>
          <w:rFonts w:ascii="Arial" w:hAnsi="Arial" w:cs="Arial"/>
          <w:color w:val="000000" w:themeColor="text1"/>
        </w:rPr>
      </w:pPr>
      <w:r>
        <w:rPr>
          <w:rFonts w:ascii="Arial" w:hAnsi="Arial" w:cs="Arial"/>
          <w:color w:val="000000" w:themeColor="text1"/>
        </w:rPr>
        <w:lastRenderedPageBreak/>
        <w:t>[</w:t>
      </w:r>
      <w:r w:rsidR="00925DBF">
        <w:rPr>
          <w:rFonts w:ascii="Arial" w:hAnsi="Arial" w:cs="Arial"/>
          <w:color w:val="000000" w:themeColor="text1"/>
        </w:rPr>
        <w:t>20</w:t>
      </w:r>
      <w:r w:rsidRPr="002361EB">
        <w:rPr>
          <w:rFonts w:ascii="Arial" w:hAnsi="Arial" w:cs="Arial"/>
          <w:color w:val="000000" w:themeColor="text1"/>
        </w:rPr>
        <w:t>]</w:t>
      </w:r>
      <w:r w:rsidRPr="002361EB">
        <w:rPr>
          <w:rFonts w:ascii="Arial" w:hAnsi="Arial" w:cs="Arial"/>
          <w:color w:val="000000" w:themeColor="text1"/>
        </w:rPr>
        <w:tab/>
        <w:t xml:space="preserve">At the commencement of the trial both parties handed up written heads of </w:t>
      </w:r>
      <w:r>
        <w:rPr>
          <w:rFonts w:ascii="Arial" w:hAnsi="Arial" w:cs="Arial"/>
          <w:color w:val="000000" w:themeColor="text1"/>
        </w:rPr>
        <w:t xml:space="preserve">argument.  </w:t>
      </w:r>
      <w:r w:rsidR="007D179B">
        <w:rPr>
          <w:rFonts w:ascii="Arial" w:hAnsi="Arial" w:cs="Arial"/>
          <w:color w:val="000000" w:themeColor="text1"/>
        </w:rPr>
        <w:t>The Plaintiff called f</w:t>
      </w:r>
      <w:r w:rsidR="00265878">
        <w:rPr>
          <w:rFonts w:ascii="Arial" w:hAnsi="Arial" w:cs="Arial"/>
          <w:color w:val="000000" w:themeColor="text1"/>
        </w:rPr>
        <w:t>our</w:t>
      </w:r>
      <w:r w:rsidRPr="002361EB">
        <w:rPr>
          <w:rFonts w:ascii="Arial" w:hAnsi="Arial" w:cs="Arial"/>
          <w:color w:val="000000" w:themeColor="text1"/>
        </w:rPr>
        <w:t xml:space="preserve"> witnesses</w:t>
      </w:r>
      <w:r w:rsidR="00265878">
        <w:rPr>
          <w:rFonts w:ascii="Arial" w:hAnsi="Arial" w:cs="Arial"/>
          <w:color w:val="000000" w:themeColor="text1"/>
        </w:rPr>
        <w:t>, two classmates (factual witnesses)</w:t>
      </w:r>
      <w:r w:rsidR="0045086D">
        <w:rPr>
          <w:rFonts w:ascii="Arial" w:hAnsi="Arial" w:cs="Arial"/>
          <w:color w:val="000000" w:themeColor="text1"/>
        </w:rPr>
        <w:t xml:space="preserve"> </w:t>
      </w:r>
      <w:r w:rsidR="00265878">
        <w:rPr>
          <w:rFonts w:ascii="Arial" w:hAnsi="Arial" w:cs="Arial"/>
          <w:color w:val="000000" w:themeColor="text1"/>
        </w:rPr>
        <w:t>and two expert witnesses. The defendant called the Acting Principal of Rakgotso High School Ms</w:t>
      </w:r>
      <w:r w:rsidR="0045086D">
        <w:rPr>
          <w:rFonts w:ascii="Arial" w:hAnsi="Arial" w:cs="Arial"/>
          <w:color w:val="000000" w:themeColor="text1"/>
        </w:rPr>
        <w:t>.</w:t>
      </w:r>
      <w:r w:rsidR="00265878">
        <w:rPr>
          <w:rFonts w:ascii="Arial" w:hAnsi="Arial" w:cs="Arial"/>
          <w:color w:val="000000" w:themeColor="text1"/>
        </w:rPr>
        <w:t xml:space="preserve"> Mate</w:t>
      </w:r>
      <w:r w:rsidR="00390B3C">
        <w:rPr>
          <w:rFonts w:ascii="Arial" w:hAnsi="Arial" w:cs="Arial"/>
          <w:color w:val="000000" w:themeColor="text1"/>
        </w:rPr>
        <w:t xml:space="preserve"> </w:t>
      </w:r>
      <w:r w:rsidR="00925DBF">
        <w:rPr>
          <w:rFonts w:ascii="Arial" w:hAnsi="Arial" w:cs="Arial"/>
          <w:color w:val="000000" w:themeColor="text1"/>
        </w:rPr>
        <w:t xml:space="preserve">but the defendant </w:t>
      </w:r>
      <w:r w:rsidR="00390B3C">
        <w:rPr>
          <w:rFonts w:ascii="Arial" w:hAnsi="Arial" w:cs="Arial"/>
          <w:color w:val="000000" w:themeColor="text1"/>
        </w:rPr>
        <w:t xml:space="preserve">did not lead any expert </w:t>
      </w:r>
      <w:r w:rsidR="00925DBF">
        <w:rPr>
          <w:rFonts w:ascii="Arial" w:hAnsi="Arial" w:cs="Arial"/>
          <w:color w:val="000000" w:themeColor="text1"/>
        </w:rPr>
        <w:t xml:space="preserve">witnesses. </w:t>
      </w:r>
      <w:r w:rsidR="00265878">
        <w:rPr>
          <w:rFonts w:ascii="Arial" w:hAnsi="Arial" w:cs="Arial"/>
          <w:color w:val="000000" w:themeColor="text1"/>
        </w:rPr>
        <w:t xml:space="preserve"> </w:t>
      </w:r>
      <w:r w:rsidRPr="002361EB">
        <w:rPr>
          <w:rFonts w:ascii="Arial" w:hAnsi="Arial" w:cs="Arial"/>
          <w:color w:val="000000" w:themeColor="text1"/>
        </w:rPr>
        <w:t xml:space="preserve">Plaintiff’s counsel submitted in the heads of argument that the only issue in dispute was the contingency to be applied in respect of loss of earnings or earning capacity </w:t>
      </w:r>
      <w:r w:rsidR="002D6440">
        <w:rPr>
          <w:rFonts w:ascii="Arial" w:hAnsi="Arial" w:cs="Arial"/>
          <w:color w:val="000000" w:themeColor="text1"/>
        </w:rPr>
        <w:t xml:space="preserve">and </w:t>
      </w:r>
      <w:r w:rsidR="00265878">
        <w:rPr>
          <w:rFonts w:ascii="Arial" w:hAnsi="Arial" w:cs="Arial"/>
          <w:color w:val="000000" w:themeColor="text1"/>
        </w:rPr>
        <w:t>in particular to</w:t>
      </w:r>
      <w:r w:rsidR="002D6440">
        <w:rPr>
          <w:rFonts w:ascii="Arial" w:hAnsi="Arial" w:cs="Arial"/>
          <w:color w:val="000000" w:themeColor="text1"/>
        </w:rPr>
        <w:t>,</w:t>
      </w:r>
      <w:r w:rsidR="00265878">
        <w:rPr>
          <w:rFonts w:ascii="Arial" w:hAnsi="Arial" w:cs="Arial"/>
          <w:color w:val="000000" w:themeColor="text1"/>
        </w:rPr>
        <w:t xml:space="preserve"> the plaintiff’s pre-accidental educational and career progression and whether he was in Grade 12, and if so, then he was destined to obtain a diploma. </w:t>
      </w:r>
      <w:r w:rsidR="00FC11B9">
        <w:rPr>
          <w:rFonts w:ascii="Arial" w:hAnsi="Arial" w:cs="Arial"/>
          <w:color w:val="000000" w:themeColor="text1"/>
        </w:rPr>
        <w:t xml:space="preserve">The Plaintiff submits that given the lack of academic history available the best evidence rule should be applied. </w:t>
      </w:r>
    </w:p>
    <w:p w14:paraId="2706284A" w14:textId="77777777" w:rsidR="00B97136" w:rsidRPr="002361EB" w:rsidRDefault="00B97136" w:rsidP="00B97136">
      <w:pPr>
        <w:spacing w:line="480" w:lineRule="auto"/>
        <w:jc w:val="both"/>
        <w:rPr>
          <w:rFonts w:ascii="Arial" w:hAnsi="Arial" w:cs="Arial"/>
          <w:color w:val="000000" w:themeColor="text1"/>
        </w:rPr>
      </w:pPr>
    </w:p>
    <w:p w14:paraId="6C1EA38D" w14:textId="64FBCB9E" w:rsidR="00FC11B9" w:rsidRDefault="00B97136" w:rsidP="00B97136">
      <w:pPr>
        <w:pStyle w:val="western"/>
        <w:shd w:val="clear" w:color="auto" w:fill="FFFFFF"/>
        <w:spacing w:before="144" w:beforeAutospacing="0" w:after="288" w:afterAutospacing="0" w:line="480" w:lineRule="auto"/>
        <w:jc w:val="both"/>
        <w:rPr>
          <w:rFonts w:ascii="Arial" w:hAnsi="Arial" w:cs="Arial"/>
          <w:color w:val="000000" w:themeColor="text1"/>
        </w:rPr>
      </w:pPr>
      <w:r>
        <w:rPr>
          <w:rFonts w:ascii="Arial" w:hAnsi="Arial" w:cs="Arial"/>
          <w:color w:val="000000" w:themeColor="text1"/>
        </w:rPr>
        <w:t>[</w:t>
      </w:r>
      <w:r w:rsidR="00925DBF">
        <w:rPr>
          <w:rFonts w:ascii="Arial" w:hAnsi="Arial" w:cs="Arial"/>
          <w:color w:val="000000" w:themeColor="text1"/>
        </w:rPr>
        <w:t>21</w:t>
      </w:r>
      <w:r w:rsidRPr="002361EB">
        <w:rPr>
          <w:rFonts w:ascii="Arial" w:hAnsi="Arial" w:cs="Arial"/>
          <w:color w:val="000000" w:themeColor="text1"/>
        </w:rPr>
        <w:t>]</w:t>
      </w:r>
      <w:r w:rsidRPr="002361EB">
        <w:rPr>
          <w:rFonts w:ascii="Arial" w:hAnsi="Arial" w:cs="Arial"/>
          <w:color w:val="000000" w:themeColor="text1"/>
        </w:rPr>
        <w:tab/>
        <w:t>However, defendant’s counsel submitted th</w:t>
      </w:r>
      <w:r>
        <w:rPr>
          <w:rFonts w:ascii="Arial" w:hAnsi="Arial" w:cs="Arial"/>
          <w:color w:val="000000" w:themeColor="text1"/>
        </w:rPr>
        <w:t xml:space="preserve">at plaintiff had to prove </w:t>
      </w:r>
      <w:r w:rsidR="00265878">
        <w:rPr>
          <w:rFonts w:ascii="Arial" w:hAnsi="Arial" w:cs="Arial"/>
          <w:color w:val="000000" w:themeColor="text1"/>
        </w:rPr>
        <w:t xml:space="preserve">whether in fact </w:t>
      </w:r>
      <w:r>
        <w:rPr>
          <w:rFonts w:ascii="Arial" w:hAnsi="Arial" w:cs="Arial"/>
          <w:color w:val="000000" w:themeColor="text1"/>
        </w:rPr>
        <w:t>t</w:t>
      </w:r>
      <w:r w:rsidR="00265878">
        <w:rPr>
          <w:rFonts w:ascii="Arial" w:hAnsi="Arial" w:cs="Arial"/>
          <w:color w:val="000000" w:themeColor="text1"/>
        </w:rPr>
        <w:t>he plaintiff was at school at the time of the accident. If he was at school, his capacity to pass Grade 12 or how long it would take him to pass Grade 12. If he were to pass Grade 12 the likelihood of him joining the labour market. Lastly if he were to progress to a TVET College how long it would take him to complete the diploma. T</w:t>
      </w:r>
      <w:r w:rsidRPr="002361EB">
        <w:rPr>
          <w:rFonts w:ascii="Arial" w:hAnsi="Arial" w:cs="Arial"/>
          <w:color w:val="000000" w:themeColor="text1"/>
        </w:rPr>
        <w:t>he</w:t>
      </w:r>
      <w:r w:rsidR="00265878">
        <w:rPr>
          <w:rFonts w:ascii="Arial" w:hAnsi="Arial" w:cs="Arial"/>
          <w:color w:val="000000" w:themeColor="text1"/>
        </w:rPr>
        <w:t xml:space="preserve"> defendant submitted that the scenario postulated by the Educational Psychologist was not the only scenario possible. The defendant submits that the two experts that led evidence </w:t>
      </w:r>
      <w:r w:rsidR="0045086D">
        <w:rPr>
          <w:rFonts w:ascii="Arial" w:hAnsi="Arial" w:cs="Arial"/>
          <w:color w:val="000000" w:themeColor="text1"/>
        </w:rPr>
        <w:t xml:space="preserve">for the plaintiff </w:t>
      </w:r>
      <w:r w:rsidR="00265878">
        <w:rPr>
          <w:rFonts w:ascii="Arial" w:hAnsi="Arial" w:cs="Arial"/>
          <w:color w:val="000000" w:themeColor="text1"/>
        </w:rPr>
        <w:t xml:space="preserve">were not reliable witnesses in so far as they could not provide </w:t>
      </w:r>
      <w:r w:rsidR="00FC11B9">
        <w:rPr>
          <w:rFonts w:ascii="Arial" w:hAnsi="Arial" w:cs="Arial"/>
          <w:color w:val="000000" w:themeColor="text1"/>
        </w:rPr>
        <w:t>clarification to the Court on factual issues, in which instance the defendant submits that the plaintiff or his aunt should have testified to provide clarity. Therefore the evidence of the expert is not the best evidence as suggested by the plaintiff</w:t>
      </w:r>
      <w:r w:rsidR="00D52A75">
        <w:rPr>
          <w:rFonts w:ascii="Arial" w:hAnsi="Arial" w:cs="Arial"/>
          <w:color w:val="000000" w:themeColor="text1"/>
        </w:rPr>
        <w:t xml:space="preserve"> as the facts relied on by the experts and on which their opinion is based has not been proven</w:t>
      </w:r>
      <w:r w:rsidR="0045086D">
        <w:rPr>
          <w:rFonts w:ascii="Arial" w:hAnsi="Arial" w:cs="Arial"/>
          <w:color w:val="000000" w:themeColor="text1"/>
        </w:rPr>
        <w:t xml:space="preserve"> to be correct</w:t>
      </w:r>
      <w:r w:rsidR="00FC11B9">
        <w:rPr>
          <w:rFonts w:ascii="Arial" w:hAnsi="Arial" w:cs="Arial"/>
          <w:color w:val="000000" w:themeColor="text1"/>
        </w:rPr>
        <w:t xml:space="preserve">. </w:t>
      </w:r>
      <w:r w:rsidRPr="002361EB">
        <w:rPr>
          <w:rFonts w:ascii="Arial" w:hAnsi="Arial" w:cs="Arial"/>
          <w:color w:val="000000" w:themeColor="text1"/>
        </w:rPr>
        <w:t xml:space="preserve"> </w:t>
      </w:r>
    </w:p>
    <w:p w14:paraId="32446671" w14:textId="373399F3" w:rsidR="00B97136" w:rsidRPr="002361EB" w:rsidRDefault="00FC11B9" w:rsidP="00B97136">
      <w:pPr>
        <w:pStyle w:val="western"/>
        <w:shd w:val="clear" w:color="auto" w:fill="FFFFFF"/>
        <w:spacing w:before="144" w:beforeAutospacing="0" w:after="288" w:afterAutospacing="0" w:line="480" w:lineRule="auto"/>
        <w:jc w:val="both"/>
        <w:rPr>
          <w:rFonts w:ascii="Arial" w:hAnsi="Arial" w:cs="Arial"/>
          <w:color w:val="000000" w:themeColor="text1"/>
        </w:rPr>
      </w:pPr>
      <w:r>
        <w:rPr>
          <w:rFonts w:ascii="Arial" w:hAnsi="Arial" w:cs="Arial"/>
          <w:color w:val="000000" w:themeColor="text1"/>
        </w:rPr>
        <w:lastRenderedPageBreak/>
        <w:t>[2</w:t>
      </w:r>
      <w:r w:rsidR="00925DBF">
        <w:rPr>
          <w:rFonts w:ascii="Arial" w:hAnsi="Arial" w:cs="Arial"/>
          <w:color w:val="000000" w:themeColor="text1"/>
        </w:rPr>
        <w:t>2</w:t>
      </w:r>
      <w:r>
        <w:rPr>
          <w:rFonts w:ascii="Arial" w:hAnsi="Arial" w:cs="Arial"/>
          <w:color w:val="000000" w:themeColor="text1"/>
        </w:rPr>
        <w:t xml:space="preserve">] The defendant submits that given the fact that the plaintiff was twenty years old at the time of the accident and that there is no clear confirmation of schooling or academic record other than clear record of multiple repetition of classes it is uncertain if the plaintiff would reach a TVET College and how he would perform there. </w:t>
      </w:r>
      <w:r w:rsidR="00925DBF">
        <w:rPr>
          <w:rFonts w:ascii="Arial" w:hAnsi="Arial" w:cs="Arial"/>
          <w:color w:val="000000" w:themeColor="text1"/>
        </w:rPr>
        <w:t xml:space="preserve">The defendant’s </w:t>
      </w:r>
      <w:r w:rsidR="00B97136" w:rsidRPr="002361EB">
        <w:rPr>
          <w:rFonts w:ascii="Arial" w:hAnsi="Arial" w:cs="Arial"/>
          <w:color w:val="000000" w:themeColor="text1"/>
        </w:rPr>
        <w:t>submitted that plaintiff’s i</w:t>
      </w:r>
      <w:r w:rsidR="00B97136">
        <w:rPr>
          <w:rFonts w:ascii="Arial" w:hAnsi="Arial" w:cs="Arial"/>
          <w:color w:val="000000" w:themeColor="text1"/>
        </w:rPr>
        <w:t>njuries have not comprised</w:t>
      </w:r>
      <w:r w:rsidR="00B97136" w:rsidRPr="002361EB">
        <w:rPr>
          <w:rFonts w:ascii="Arial" w:hAnsi="Arial" w:cs="Arial"/>
          <w:color w:val="000000" w:themeColor="text1"/>
        </w:rPr>
        <w:t xml:space="preserve"> </w:t>
      </w:r>
      <w:r w:rsidR="00B97136">
        <w:rPr>
          <w:rFonts w:ascii="Arial" w:hAnsi="Arial" w:cs="Arial"/>
          <w:color w:val="000000" w:themeColor="text1"/>
        </w:rPr>
        <w:t xml:space="preserve">his </w:t>
      </w:r>
      <w:r w:rsidR="00B97136" w:rsidRPr="002361EB">
        <w:rPr>
          <w:rFonts w:ascii="Arial" w:hAnsi="Arial" w:cs="Arial"/>
          <w:color w:val="000000" w:themeColor="text1"/>
        </w:rPr>
        <w:t>employment prospects</w:t>
      </w:r>
      <w:r>
        <w:rPr>
          <w:rFonts w:ascii="Arial" w:hAnsi="Arial" w:cs="Arial"/>
          <w:color w:val="000000" w:themeColor="text1"/>
        </w:rPr>
        <w:t xml:space="preserve"> as he has worked and earned an income</w:t>
      </w:r>
      <w:r w:rsidR="00B97136" w:rsidRPr="002361EB">
        <w:rPr>
          <w:rFonts w:ascii="Arial" w:hAnsi="Arial" w:cs="Arial"/>
          <w:color w:val="000000" w:themeColor="text1"/>
        </w:rPr>
        <w:t>.</w:t>
      </w:r>
      <w:r w:rsidR="00B97136" w:rsidRPr="002361EB">
        <w:rPr>
          <w:rFonts w:ascii="Arial" w:hAnsi="Arial" w:cs="Arial"/>
          <w:bCs/>
          <w:color w:val="000000" w:themeColor="text1"/>
          <w:lang w:val="en-GB"/>
        </w:rPr>
        <w:t xml:space="preserve"> </w:t>
      </w:r>
      <w:r w:rsidR="00B97136" w:rsidRPr="002361EB">
        <w:rPr>
          <w:rFonts w:ascii="Arial" w:hAnsi="Arial" w:cs="Arial"/>
          <w:color w:val="000000" w:themeColor="text1"/>
          <w:lang w:val="en-GB"/>
        </w:rPr>
        <w:t>The question then is whether or</w:t>
      </w:r>
      <w:r w:rsidR="00B97136">
        <w:rPr>
          <w:rFonts w:ascii="Arial" w:hAnsi="Arial" w:cs="Arial"/>
          <w:color w:val="000000" w:themeColor="text1"/>
          <w:lang w:val="en-GB"/>
        </w:rPr>
        <w:t xml:space="preserve"> not plaintiff has proved that </w:t>
      </w:r>
      <w:r w:rsidR="00B97136" w:rsidRPr="002361EB">
        <w:rPr>
          <w:rFonts w:ascii="Arial" w:hAnsi="Arial" w:cs="Arial"/>
          <w:color w:val="000000" w:themeColor="text1"/>
          <w:lang w:val="en-GB"/>
        </w:rPr>
        <w:t xml:space="preserve">he is entitled to an award for loss of future income. </w:t>
      </w:r>
    </w:p>
    <w:p w14:paraId="6EA1FDCE" w14:textId="77777777" w:rsidR="00B97136" w:rsidRDefault="00B97136" w:rsidP="00B97136">
      <w:pPr>
        <w:spacing w:line="480" w:lineRule="auto"/>
        <w:jc w:val="both"/>
        <w:rPr>
          <w:rFonts w:ascii="Arial" w:hAnsi="Arial" w:cs="Arial"/>
          <w:color w:val="000000" w:themeColor="text1"/>
        </w:rPr>
      </w:pPr>
    </w:p>
    <w:p w14:paraId="5792ADBD" w14:textId="46A73877" w:rsidR="00B97136" w:rsidRDefault="00B97136" w:rsidP="00B97136">
      <w:pPr>
        <w:spacing w:line="480" w:lineRule="auto"/>
        <w:jc w:val="both"/>
        <w:rPr>
          <w:rFonts w:ascii="Arial" w:hAnsi="Arial" w:cs="Arial"/>
          <w:color w:val="000000" w:themeColor="text1"/>
        </w:rPr>
      </w:pPr>
      <w:r w:rsidRPr="002361EB">
        <w:rPr>
          <w:rFonts w:ascii="Arial" w:hAnsi="Arial" w:cs="Arial"/>
          <w:color w:val="000000" w:themeColor="text1"/>
        </w:rPr>
        <w:t xml:space="preserve"> </w:t>
      </w:r>
      <w:r>
        <w:rPr>
          <w:rFonts w:ascii="Arial" w:hAnsi="Arial" w:cs="Arial"/>
          <w:color w:val="000000" w:themeColor="text1"/>
        </w:rPr>
        <w:t>[2</w:t>
      </w:r>
      <w:r w:rsidR="00925DBF">
        <w:rPr>
          <w:rFonts w:ascii="Arial" w:hAnsi="Arial" w:cs="Arial"/>
          <w:color w:val="000000" w:themeColor="text1"/>
        </w:rPr>
        <w:t>3</w:t>
      </w:r>
      <w:r w:rsidRPr="002361EB">
        <w:rPr>
          <w:rFonts w:ascii="Arial" w:hAnsi="Arial" w:cs="Arial"/>
          <w:color w:val="000000" w:themeColor="text1"/>
        </w:rPr>
        <w:t>]</w:t>
      </w:r>
      <w:r w:rsidRPr="002361EB">
        <w:rPr>
          <w:rFonts w:ascii="Arial" w:hAnsi="Arial" w:cs="Arial"/>
          <w:color w:val="000000" w:themeColor="text1"/>
        </w:rPr>
        <w:tab/>
        <w:t xml:space="preserve">In their </w:t>
      </w:r>
      <w:r w:rsidRPr="00831746">
        <w:rPr>
          <w:rFonts w:ascii="Arial" w:hAnsi="Arial" w:cs="Arial"/>
        </w:rPr>
        <w:t>joint m</w:t>
      </w:r>
      <w:r w:rsidRPr="002361EB">
        <w:rPr>
          <w:rFonts w:ascii="Arial" w:hAnsi="Arial" w:cs="Arial"/>
          <w:color w:val="000000" w:themeColor="text1"/>
        </w:rPr>
        <w:t xml:space="preserve">inute the Occupational Therapists </w:t>
      </w:r>
      <w:r w:rsidR="00390B3C">
        <w:rPr>
          <w:rFonts w:ascii="Arial" w:hAnsi="Arial" w:cs="Arial"/>
          <w:color w:val="000000" w:themeColor="text1"/>
        </w:rPr>
        <w:t xml:space="preserve">note that the plaintiff suffered mild traumatic brain injury </w:t>
      </w:r>
      <w:r w:rsidR="0045086D">
        <w:rPr>
          <w:rFonts w:ascii="Arial" w:hAnsi="Arial" w:cs="Arial"/>
          <w:color w:val="000000" w:themeColor="text1"/>
        </w:rPr>
        <w:t xml:space="preserve">which has </w:t>
      </w:r>
      <w:r w:rsidR="00390B3C">
        <w:rPr>
          <w:rFonts w:ascii="Arial" w:hAnsi="Arial" w:cs="Arial"/>
          <w:color w:val="000000" w:themeColor="text1"/>
        </w:rPr>
        <w:t xml:space="preserve">resulted in epilepsy. They </w:t>
      </w:r>
      <w:r w:rsidRPr="002361EB">
        <w:rPr>
          <w:rFonts w:ascii="Arial" w:hAnsi="Arial" w:cs="Arial"/>
          <w:color w:val="000000" w:themeColor="text1"/>
        </w:rPr>
        <w:t xml:space="preserve">agreed </w:t>
      </w:r>
      <w:r w:rsidR="00390B3C">
        <w:rPr>
          <w:rFonts w:ascii="Arial" w:hAnsi="Arial" w:cs="Arial"/>
          <w:color w:val="000000" w:themeColor="text1"/>
        </w:rPr>
        <w:t xml:space="preserve">to defer to the final comment of the </w:t>
      </w:r>
      <w:r w:rsidR="00925DBF">
        <w:rPr>
          <w:rFonts w:ascii="Arial" w:hAnsi="Arial" w:cs="Arial"/>
          <w:color w:val="000000" w:themeColor="text1"/>
        </w:rPr>
        <w:t>Specialist</w:t>
      </w:r>
      <w:r w:rsidR="00390B3C">
        <w:rPr>
          <w:rFonts w:ascii="Arial" w:hAnsi="Arial" w:cs="Arial"/>
          <w:color w:val="000000" w:themeColor="text1"/>
        </w:rPr>
        <w:t xml:space="preserve"> Neurosurgeons regarding the injuries sustained and the future management. With regards to </w:t>
      </w:r>
      <w:r>
        <w:rPr>
          <w:rFonts w:ascii="Arial" w:hAnsi="Arial" w:cs="Arial"/>
          <w:color w:val="000000" w:themeColor="text1"/>
        </w:rPr>
        <w:t xml:space="preserve">the plaintiff capacity to work </w:t>
      </w:r>
      <w:r w:rsidR="00390B3C">
        <w:rPr>
          <w:rFonts w:ascii="Arial" w:hAnsi="Arial" w:cs="Arial"/>
          <w:color w:val="000000" w:themeColor="text1"/>
        </w:rPr>
        <w:t xml:space="preserve">they noted that he presented with cognitive challenges which will cause significant barriers in the workplace as well as diminished functional independence in terms of occupational performance. They noted that he was unemployable during the evaluations, however that he has post-accident obtained a job as a welder but </w:t>
      </w:r>
      <w:r w:rsidR="0045086D">
        <w:rPr>
          <w:rFonts w:ascii="Arial" w:hAnsi="Arial" w:cs="Arial"/>
          <w:color w:val="000000" w:themeColor="text1"/>
        </w:rPr>
        <w:t xml:space="preserve">had </w:t>
      </w:r>
      <w:r w:rsidR="00390B3C">
        <w:rPr>
          <w:rFonts w:ascii="Arial" w:hAnsi="Arial" w:cs="Arial"/>
          <w:color w:val="000000" w:themeColor="text1"/>
        </w:rPr>
        <w:t>resigned after six months. He stated that the welding flames trigger</w:t>
      </w:r>
      <w:r w:rsidR="0045086D">
        <w:rPr>
          <w:rFonts w:ascii="Arial" w:hAnsi="Arial" w:cs="Arial"/>
          <w:color w:val="000000" w:themeColor="text1"/>
        </w:rPr>
        <w:t>ed</w:t>
      </w:r>
      <w:r w:rsidR="00390B3C">
        <w:rPr>
          <w:rFonts w:ascii="Arial" w:hAnsi="Arial" w:cs="Arial"/>
          <w:color w:val="000000" w:themeColor="text1"/>
        </w:rPr>
        <w:t xml:space="preserve"> the seizures. They stated that although he had the physical capacity to work his epilepsy diagnosis would place him at risk for re-injury and it is therefore unlikely that the plaintiff could be accommodate at any future employment. The concluded that that his employability was curtailed by the accident and </w:t>
      </w:r>
      <w:r w:rsidR="0045086D">
        <w:rPr>
          <w:rFonts w:ascii="Arial" w:hAnsi="Arial" w:cs="Arial"/>
          <w:color w:val="000000" w:themeColor="text1"/>
        </w:rPr>
        <w:t xml:space="preserve">he was </w:t>
      </w:r>
      <w:r w:rsidR="00390B3C">
        <w:rPr>
          <w:rFonts w:ascii="Arial" w:hAnsi="Arial" w:cs="Arial"/>
          <w:color w:val="000000" w:themeColor="text1"/>
        </w:rPr>
        <w:t xml:space="preserve">more suitable to sheltered </w:t>
      </w:r>
      <w:r w:rsidR="002D6440">
        <w:rPr>
          <w:rFonts w:ascii="Arial" w:hAnsi="Arial" w:cs="Arial"/>
          <w:color w:val="000000" w:themeColor="text1"/>
        </w:rPr>
        <w:t xml:space="preserve">employment </w:t>
      </w:r>
      <w:r w:rsidR="0045086D">
        <w:rPr>
          <w:rFonts w:ascii="Arial" w:hAnsi="Arial" w:cs="Arial"/>
          <w:color w:val="000000" w:themeColor="text1"/>
        </w:rPr>
        <w:t xml:space="preserve">and </w:t>
      </w:r>
      <w:r w:rsidR="00390B3C">
        <w:rPr>
          <w:rFonts w:ascii="Arial" w:hAnsi="Arial" w:cs="Arial"/>
          <w:color w:val="000000" w:themeColor="text1"/>
        </w:rPr>
        <w:t xml:space="preserve">that he would find it difficult to find suitable alternative employment considering the chronic nature of his post-accident </w:t>
      </w:r>
      <w:r w:rsidR="00390B3C" w:rsidRPr="0045086D">
        <w:rPr>
          <w:rFonts w:ascii="Arial" w:hAnsi="Arial" w:cs="Arial"/>
          <w:i/>
          <w:iCs/>
          <w:color w:val="000000" w:themeColor="text1"/>
        </w:rPr>
        <w:t>sequlae</w:t>
      </w:r>
      <w:r w:rsidR="00390B3C">
        <w:rPr>
          <w:rFonts w:ascii="Arial" w:hAnsi="Arial" w:cs="Arial"/>
          <w:color w:val="000000" w:themeColor="text1"/>
        </w:rPr>
        <w:t xml:space="preserve">. </w:t>
      </w:r>
    </w:p>
    <w:p w14:paraId="33D5A8E9" w14:textId="26BDB6E8" w:rsidR="0099208F" w:rsidRDefault="0099208F" w:rsidP="00B97136">
      <w:pPr>
        <w:spacing w:line="480" w:lineRule="auto"/>
        <w:jc w:val="both"/>
        <w:rPr>
          <w:rFonts w:ascii="Arial" w:hAnsi="Arial" w:cs="Arial"/>
          <w:color w:val="000000" w:themeColor="text1"/>
        </w:rPr>
      </w:pPr>
    </w:p>
    <w:p w14:paraId="5309FF9E" w14:textId="66E76C84" w:rsidR="0099208F" w:rsidRPr="0099208F" w:rsidRDefault="00925DBF" w:rsidP="0099208F">
      <w:pPr>
        <w:spacing w:line="480" w:lineRule="auto"/>
        <w:jc w:val="both"/>
        <w:rPr>
          <w:rFonts w:ascii="Arial" w:hAnsi="Arial" w:cs="Arial"/>
          <w:color w:val="000000" w:themeColor="text1"/>
          <w:lang w:val="en-ZA"/>
        </w:rPr>
      </w:pPr>
      <w:r>
        <w:rPr>
          <w:rFonts w:ascii="Arial" w:hAnsi="Arial" w:cs="Arial"/>
          <w:color w:val="000000" w:themeColor="text1"/>
          <w:lang w:val="en-ZA"/>
        </w:rPr>
        <w:lastRenderedPageBreak/>
        <w:t>[</w:t>
      </w:r>
      <w:r w:rsidR="0099208F" w:rsidRPr="0099208F">
        <w:rPr>
          <w:rFonts w:ascii="Arial" w:hAnsi="Arial" w:cs="Arial"/>
          <w:color w:val="000000" w:themeColor="text1"/>
          <w:lang w:val="en-ZA"/>
        </w:rPr>
        <w:t>2</w:t>
      </w:r>
      <w:r>
        <w:rPr>
          <w:rFonts w:ascii="Arial" w:hAnsi="Arial" w:cs="Arial"/>
          <w:color w:val="000000" w:themeColor="text1"/>
          <w:lang w:val="en-ZA"/>
        </w:rPr>
        <w:t>4</w:t>
      </w:r>
      <w:r w:rsidR="0099208F" w:rsidRPr="0099208F">
        <w:rPr>
          <w:rFonts w:ascii="Arial" w:hAnsi="Arial" w:cs="Arial"/>
          <w:color w:val="000000" w:themeColor="text1"/>
          <w:lang w:val="en-ZA"/>
        </w:rPr>
        <w:t xml:space="preserve">] </w:t>
      </w:r>
      <w:r w:rsidR="00FE5034">
        <w:rPr>
          <w:rFonts w:ascii="Arial" w:hAnsi="Arial" w:cs="Arial"/>
          <w:color w:val="000000" w:themeColor="text1"/>
          <w:lang w:val="en-ZA"/>
        </w:rPr>
        <w:tab/>
      </w:r>
      <w:r w:rsidR="0099208F" w:rsidRPr="0099208F">
        <w:rPr>
          <w:rFonts w:ascii="Arial" w:hAnsi="Arial" w:cs="Arial"/>
          <w:color w:val="000000" w:themeColor="text1"/>
          <w:lang w:val="en-ZA"/>
        </w:rPr>
        <w:t xml:space="preserve">A distinction </w:t>
      </w:r>
      <w:r w:rsidR="00D52A75">
        <w:rPr>
          <w:rFonts w:ascii="Arial" w:hAnsi="Arial" w:cs="Arial"/>
          <w:color w:val="000000" w:themeColor="text1"/>
          <w:lang w:val="en-ZA"/>
        </w:rPr>
        <w:t>has</w:t>
      </w:r>
      <w:r w:rsidR="0099208F" w:rsidRPr="0099208F">
        <w:rPr>
          <w:rFonts w:ascii="Arial" w:hAnsi="Arial" w:cs="Arial"/>
          <w:color w:val="000000" w:themeColor="text1"/>
          <w:lang w:val="en-ZA"/>
        </w:rPr>
        <w:t xml:space="preserve"> to be drawn between the facts upon which an expert's opinion are based, on the one hand, and the expert's opinion as such, on the other hand. It appears that the defendant is attacking the veracity of both these aspects of the evidence placed before court by the plaintiff.</w:t>
      </w:r>
    </w:p>
    <w:p w14:paraId="41A03DDE" w14:textId="77777777" w:rsidR="0099208F" w:rsidRPr="0099208F" w:rsidRDefault="0099208F" w:rsidP="0099208F">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 </w:t>
      </w:r>
    </w:p>
    <w:p w14:paraId="0BD1C02E" w14:textId="573AFD09" w:rsidR="0099208F" w:rsidRPr="0099208F" w:rsidRDefault="0099208F" w:rsidP="0099208F">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[2</w:t>
      </w:r>
      <w:r w:rsidR="00D52A75">
        <w:rPr>
          <w:rFonts w:ascii="Arial" w:hAnsi="Arial" w:cs="Arial"/>
          <w:color w:val="000000" w:themeColor="text1"/>
          <w:lang w:val="en-ZA"/>
        </w:rPr>
        <w:t>5</w:t>
      </w:r>
      <w:r w:rsidRPr="0099208F">
        <w:rPr>
          <w:rFonts w:ascii="Arial" w:hAnsi="Arial" w:cs="Arial"/>
          <w:color w:val="000000" w:themeColor="text1"/>
          <w:lang w:val="en-ZA"/>
        </w:rPr>
        <w:t xml:space="preserve">] </w:t>
      </w:r>
      <w:r w:rsidR="00FE5034">
        <w:rPr>
          <w:rFonts w:ascii="Arial" w:hAnsi="Arial" w:cs="Arial"/>
          <w:color w:val="000000" w:themeColor="text1"/>
          <w:lang w:val="en-ZA"/>
        </w:rPr>
        <w:tab/>
      </w:r>
      <w:r w:rsidR="00A74767">
        <w:rPr>
          <w:rFonts w:ascii="Arial" w:hAnsi="Arial" w:cs="Arial"/>
          <w:color w:val="000000" w:themeColor="text1"/>
          <w:lang w:val="en-ZA"/>
        </w:rPr>
        <w:t>This Court is of the view that if t</w:t>
      </w:r>
      <w:r w:rsidRPr="0099208F">
        <w:rPr>
          <w:rFonts w:ascii="Arial" w:hAnsi="Arial" w:cs="Arial"/>
          <w:color w:val="000000" w:themeColor="text1"/>
          <w:lang w:val="en-ZA"/>
        </w:rPr>
        <w:t xml:space="preserve">he defendant </w:t>
      </w:r>
      <w:r w:rsidR="00D52A75">
        <w:rPr>
          <w:rFonts w:ascii="Arial" w:hAnsi="Arial" w:cs="Arial"/>
          <w:color w:val="000000" w:themeColor="text1"/>
          <w:lang w:val="en-ZA"/>
        </w:rPr>
        <w:t xml:space="preserve">however, if it wanted to dispute the alleged facts should have called its own experts to lead evidence </w:t>
      </w:r>
      <w:r w:rsidR="00A74767">
        <w:rPr>
          <w:rFonts w:ascii="Arial" w:hAnsi="Arial" w:cs="Arial"/>
          <w:color w:val="000000" w:themeColor="text1"/>
          <w:lang w:val="en-ZA"/>
        </w:rPr>
        <w:t xml:space="preserve">specifically the occupational therapist Ms Arm who concluded the joint minute with the plaintiff’s expert, </w:t>
      </w:r>
      <w:r w:rsidR="00D52A75">
        <w:rPr>
          <w:rFonts w:ascii="Arial" w:hAnsi="Arial" w:cs="Arial"/>
          <w:color w:val="000000" w:themeColor="text1"/>
          <w:lang w:val="en-ZA"/>
        </w:rPr>
        <w:t xml:space="preserve">to rebut the plaintiff’s evidence </w:t>
      </w:r>
      <w:r w:rsidRPr="0099208F">
        <w:rPr>
          <w:rFonts w:ascii="Arial" w:hAnsi="Arial" w:cs="Arial"/>
          <w:color w:val="000000" w:themeColor="text1"/>
          <w:lang w:val="en-ZA"/>
        </w:rPr>
        <w:t>being placed before court</w:t>
      </w:r>
      <w:r w:rsidR="00D52A75">
        <w:rPr>
          <w:rFonts w:ascii="Arial" w:hAnsi="Arial" w:cs="Arial"/>
          <w:color w:val="000000" w:themeColor="text1"/>
          <w:lang w:val="en-ZA"/>
        </w:rPr>
        <w:t xml:space="preserve"> and the plaintiff would then have had the opportunity to challenge the evidence </w:t>
      </w:r>
      <w:r w:rsidRPr="0099208F">
        <w:rPr>
          <w:rFonts w:ascii="Arial" w:hAnsi="Arial" w:cs="Arial"/>
          <w:color w:val="000000" w:themeColor="text1"/>
          <w:lang w:val="en-ZA"/>
        </w:rPr>
        <w:t>by subjecting the witnesses to cross-examination. </w:t>
      </w:r>
      <w:r w:rsidR="00D52A75" w:rsidRPr="0099208F">
        <w:rPr>
          <w:rFonts w:ascii="Arial" w:hAnsi="Arial" w:cs="Arial"/>
          <w:color w:val="000000" w:themeColor="text1"/>
          <w:lang w:val="en-ZA"/>
        </w:rPr>
        <w:t>However, the</w:t>
      </w:r>
      <w:r w:rsidRPr="0099208F">
        <w:rPr>
          <w:rFonts w:ascii="Arial" w:hAnsi="Arial" w:cs="Arial"/>
          <w:color w:val="000000" w:themeColor="text1"/>
          <w:lang w:val="en-ZA"/>
        </w:rPr>
        <w:t xml:space="preserve"> defendant has forfeit</w:t>
      </w:r>
      <w:r w:rsidR="00D52A75">
        <w:rPr>
          <w:rFonts w:ascii="Arial" w:hAnsi="Arial" w:cs="Arial"/>
          <w:color w:val="000000" w:themeColor="text1"/>
          <w:lang w:val="en-ZA"/>
        </w:rPr>
        <w:t>ed</w:t>
      </w:r>
      <w:r w:rsidRPr="0099208F">
        <w:rPr>
          <w:rFonts w:ascii="Arial" w:hAnsi="Arial" w:cs="Arial"/>
          <w:color w:val="000000" w:themeColor="text1"/>
          <w:lang w:val="en-ZA"/>
        </w:rPr>
        <w:t xml:space="preserve"> that opportunity.</w:t>
      </w:r>
      <w:r w:rsidR="00D52A75">
        <w:rPr>
          <w:rFonts w:ascii="Arial" w:hAnsi="Arial" w:cs="Arial"/>
          <w:color w:val="000000" w:themeColor="text1"/>
          <w:lang w:val="en-ZA"/>
        </w:rPr>
        <w:t xml:space="preserve"> </w:t>
      </w:r>
      <w:r w:rsidRPr="0099208F">
        <w:rPr>
          <w:rFonts w:ascii="Arial" w:hAnsi="Arial" w:cs="Arial"/>
          <w:color w:val="000000" w:themeColor="text1"/>
          <w:lang w:val="en-ZA"/>
        </w:rPr>
        <w:t>It is not open for the defendant to now attack the credibility of the witnesses.</w:t>
      </w:r>
    </w:p>
    <w:p w14:paraId="08C654F8" w14:textId="77777777" w:rsidR="0099208F" w:rsidRPr="0099208F" w:rsidRDefault="0099208F" w:rsidP="0099208F">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 </w:t>
      </w:r>
    </w:p>
    <w:p w14:paraId="58B0FBD1" w14:textId="0D0A307E" w:rsidR="0099208F" w:rsidRPr="0099208F" w:rsidRDefault="0099208F" w:rsidP="0099208F">
      <w:pPr>
        <w:spacing w:line="480" w:lineRule="auto"/>
        <w:jc w:val="both"/>
        <w:rPr>
          <w:rFonts w:ascii="Arial" w:hAnsi="Arial" w:cs="Arial"/>
          <w:color w:val="000000" w:themeColor="text1"/>
          <w:lang w:val="en-ZA"/>
        </w:rPr>
      </w:pPr>
      <w:r w:rsidRPr="00CC280E">
        <w:rPr>
          <w:rFonts w:ascii="Arial" w:hAnsi="Arial" w:cs="Arial"/>
          <w:color w:val="000000" w:themeColor="text1"/>
          <w:lang w:val="en-ZA"/>
        </w:rPr>
        <w:t xml:space="preserve">[26] </w:t>
      </w:r>
      <w:r w:rsidR="00FE5034">
        <w:rPr>
          <w:rFonts w:ascii="Arial" w:hAnsi="Arial" w:cs="Arial"/>
          <w:color w:val="000000" w:themeColor="text1"/>
          <w:lang w:val="en-ZA"/>
        </w:rPr>
        <w:tab/>
      </w:r>
      <w:r w:rsidRPr="00CC280E">
        <w:rPr>
          <w:rFonts w:ascii="Arial" w:hAnsi="Arial" w:cs="Arial"/>
          <w:color w:val="000000" w:themeColor="text1"/>
          <w:lang w:val="en-ZA"/>
        </w:rPr>
        <w:t>Insofar</w:t>
      </w:r>
      <w:r w:rsidRPr="0099208F">
        <w:rPr>
          <w:rFonts w:ascii="Arial" w:hAnsi="Arial" w:cs="Arial"/>
          <w:color w:val="000000" w:themeColor="text1"/>
          <w:lang w:val="en-ZA"/>
        </w:rPr>
        <w:t xml:space="preserve"> as the defendant is attempting to discredit the expert witnesse</w:t>
      </w:r>
      <w:r w:rsidR="001F5672">
        <w:rPr>
          <w:rFonts w:ascii="Arial" w:hAnsi="Arial" w:cs="Arial"/>
          <w:color w:val="000000" w:themeColor="text1"/>
          <w:lang w:val="en-ZA"/>
        </w:rPr>
        <w:t>s</w:t>
      </w:r>
      <w:r w:rsidRPr="0099208F">
        <w:rPr>
          <w:rFonts w:ascii="Arial" w:hAnsi="Arial" w:cs="Arial"/>
          <w:color w:val="000000" w:themeColor="text1"/>
          <w:lang w:val="en-ZA"/>
        </w:rPr>
        <w:t xml:space="preserve"> with regard to their respective opinions based on the aforesaid facts and their own respective evaluations, th</w:t>
      </w:r>
      <w:r w:rsidR="001F5672">
        <w:rPr>
          <w:rFonts w:ascii="Arial" w:hAnsi="Arial" w:cs="Arial"/>
          <w:color w:val="000000" w:themeColor="text1"/>
          <w:lang w:val="en-ZA"/>
        </w:rPr>
        <w:t xml:space="preserve">e defendant had the opportunity to </w:t>
      </w:r>
      <w:r w:rsidRPr="0099208F">
        <w:rPr>
          <w:rFonts w:ascii="Arial" w:hAnsi="Arial" w:cs="Arial"/>
          <w:color w:val="000000" w:themeColor="text1"/>
          <w:lang w:val="en-ZA"/>
        </w:rPr>
        <w:t>cross-examine the said experts</w:t>
      </w:r>
      <w:r w:rsidR="001F5672">
        <w:rPr>
          <w:rFonts w:ascii="Arial" w:hAnsi="Arial" w:cs="Arial"/>
          <w:color w:val="000000" w:themeColor="text1"/>
          <w:lang w:val="en-ZA"/>
        </w:rPr>
        <w:t xml:space="preserve">. It is the Court’s view that the plaintiff’s experts </w:t>
      </w:r>
      <w:r w:rsidRPr="0099208F">
        <w:rPr>
          <w:rFonts w:ascii="Arial" w:hAnsi="Arial" w:cs="Arial"/>
          <w:color w:val="000000" w:themeColor="text1"/>
          <w:lang w:val="en-ZA"/>
        </w:rPr>
        <w:t>defend</w:t>
      </w:r>
      <w:r w:rsidR="001F5672">
        <w:rPr>
          <w:rFonts w:ascii="Arial" w:hAnsi="Arial" w:cs="Arial"/>
          <w:color w:val="000000" w:themeColor="text1"/>
          <w:lang w:val="en-ZA"/>
        </w:rPr>
        <w:t>ed</w:t>
      </w:r>
      <w:r w:rsidRPr="0099208F">
        <w:rPr>
          <w:rFonts w:ascii="Arial" w:hAnsi="Arial" w:cs="Arial"/>
          <w:color w:val="000000" w:themeColor="text1"/>
          <w:lang w:val="en-ZA"/>
        </w:rPr>
        <w:t xml:space="preserve"> their respective opinions and without having called countering expert witnesses of its own</w:t>
      </w:r>
      <w:r w:rsidR="001F5672">
        <w:rPr>
          <w:rFonts w:ascii="Arial" w:hAnsi="Arial" w:cs="Arial"/>
          <w:color w:val="000000" w:themeColor="text1"/>
          <w:lang w:val="en-ZA"/>
        </w:rPr>
        <w:t xml:space="preserve"> the opinion of the plaintiff’s experts and the conclusion regarding the possible scenario is the only one placed before this Court. This Court cannot delve into the possibilities that other experts may have on this matter without corroboration by evidence of counter experts before this Court and all parties having the opportunity to test those possibilities. </w:t>
      </w:r>
    </w:p>
    <w:p w14:paraId="0AEEFCA1" w14:textId="2CC68D5D" w:rsidR="00B97136" w:rsidRPr="001F5672" w:rsidRDefault="0099208F" w:rsidP="00B97136">
      <w:pPr>
        <w:spacing w:line="480" w:lineRule="auto"/>
        <w:jc w:val="both"/>
        <w:rPr>
          <w:rFonts w:ascii="Arial" w:hAnsi="Arial" w:cs="Arial"/>
          <w:color w:val="000000" w:themeColor="text1"/>
          <w:lang w:val="en-ZA"/>
        </w:rPr>
      </w:pPr>
      <w:r w:rsidRPr="0099208F">
        <w:rPr>
          <w:rFonts w:ascii="Arial" w:hAnsi="Arial" w:cs="Arial"/>
          <w:color w:val="000000" w:themeColor="text1"/>
          <w:lang w:val="en-ZA"/>
        </w:rPr>
        <w:t> </w:t>
      </w:r>
    </w:p>
    <w:p w14:paraId="080D5E46" w14:textId="2688480F" w:rsidR="007E78AC" w:rsidRDefault="00B97136" w:rsidP="00B97136">
      <w:pPr>
        <w:spacing w:line="480" w:lineRule="auto"/>
        <w:jc w:val="both"/>
        <w:rPr>
          <w:rFonts w:ascii="Arial" w:hAnsi="Arial" w:cs="Arial"/>
          <w:color w:val="000000" w:themeColor="text1"/>
        </w:rPr>
      </w:pPr>
      <w:r>
        <w:rPr>
          <w:rFonts w:ascii="Arial" w:hAnsi="Arial" w:cs="Arial"/>
          <w:color w:val="000000" w:themeColor="text1"/>
        </w:rPr>
        <w:t>[27</w:t>
      </w:r>
      <w:r w:rsidRPr="002361EB">
        <w:rPr>
          <w:rFonts w:ascii="Arial" w:hAnsi="Arial" w:cs="Arial"/>
          <w:color w:val="000000" w:themeColor="text1"/>
        </w:rPr>
        <w:t>]</w:t>
      </w:r>
      <w:r w:rsidRPr="002361EB">
        <w:rPr>
          <w:rFonts w:ascii="Arial" w:hAnsi="Arial" w:cs="Arial"/>
          <w:color w:val="000000" w:themeColor="text1"/>
        </w:rPr>
        <w:tab/>
      </w:r>
      <w:r>
        <w:rPr>
          <w:rFonts w:ascii="Arial" w:hAnsi="Arial" w:cs="Arial"/>
          <w:color w:val="000000" w:themeColor="text1"/>
        </w:rPr>
        <w:t>I agree that whilst</w:t>
      </w:r>
      <w:r w:rsidRPr="002361EB">
        <w:rPr>
          <w:rFonts w:ascii="Arial" w:hAnsi="Arial" w:cs="Arial"/>
          <w:color w:val="000000" w:themeColor="text1"/>
        </w:rPr>
        <w:t xml:space="preserve"> the </w:t>
      </w:r>
      <w:r w:rsidR="001F5672">
        <w:rPr>
          <w:rFonts w:ascii="Arial" w:hAnsi="Arial" w:cs="Arial"/>
          <w:color w:val="000000" w:themeColor="text1"/>
        </w:rPr>
        <w:t xml:space="preserve">facts surrounding the </w:t>
      </w:r>
      <w:r w:rsidRPr="002361EB">
        <w:rPr>
          <w:rFonts w:ascii="Arial" w:hAnsi="Arial" w:cs="Arial"/>
          <w:color w:val="000000" w:themeColor="text1"/>
        </w:rPr>
        <w:t>plaintiff</w:t>
      </w:r>
      <w:r w:rsidR="001F5672">
        <w:rPr>
          <w:rFonts w:ascii="Arial" w:hAnsi="Arial" w:cs="Arial"/>
          <w:color w:val="000000" w:themeColor="text1"/>
        </w:rPr>
        <w:t>’s educational background</w:t>
      </w:r>
      <w:r w:rsidRPr="002361EB">
        <w:rPr>
          <w:rFonts w:ascii="Arial" w:hAnsi="Arial" w:cs="Arial"/>
          <w:color w:val="000000" w:themeColor="text1"/>
        </w:rPr>
        <w:t xml:space="preserve"> presents with certain difficulties post-accident a</w:t>
      </w:r>
      <w:r>
        <w:rPr>
          <w:rFonts w:ascii="Arial" w:hAnsi="Arial" w:cs="Arial"/>
          <w:color w:val="000000" w:themeColor="text1"/>
        </w:rPr>
        <w:t>s mentioned above</w:t>
      </w:r>
      <w:r w:rsidRPr="002361EB">
        <w:rPr>
          <w:rFonts w:ascii="Arial" w:hAnsi="Arial" w:cs="Arial"/>
          <w:color w:val="000000" w:themeColor="text1"/>
        </w:rPr>
        <w:t xml:space="preserve">, given all the facts, </w:t>
      </w:r>
      <w:r w:rsidR="001F5672">
        <w:rPr>
          <w:rFonts w:ascii="Arial" w:hAnsi="Arial" w:cs="Arial"/>
          <w:color w:val="000000" w:themeColor="text1"/>
        </w:rPr>
        <w:lastRenderedPageBreak/>
        <w:t>the lack of the school being able to corroborate his version that he was in Grade 12 at Rakgotso Secondary/High School does not</w:t>
      </w:r>
      <w:r>
        <w:rPr>
          <w:rFonts w:ascii="Arial" w:hAnsi="Arial" w:cs="Arial"/>
          <w:color w:val="000000" w:themeColor="text1"/>
        </w:rPr>
        <w:t xml:space="preserve"> </w:t>
      </w:r>
      <w:r w:rsidRPr="002361EB">
        <w:rPr>
          <w:rFonts w:ascii="Arial" w:hAnsi="Arial" w:cs="Arial"/>
          <w:color w:val="000000" w:themeColor="text1"/>
        </w:rPr>
        <w:t xml:space="preserve">present ‘a bleak picture’ as suggested by the </w:t>
      </w:r>
      <w:r w:rsidR="001F5672">
        <w:rPr>
          <w:rFonts w:ascii="Arial" w:hAnsi="Arial" w:cs="Arial"/>
          <w:color w:val="000000" w:themeColor="text1"/>
        </w:rPr>
        <w:t>defendant</w:t>
      </w:r>
      <w:r w:rsidRPr="002361EB">
        <w:rPr>
          <w:rFonts w:ascii="Arial" w:hAnsi="Arial" w:cs="Arial"/>
          <w:color w:val="000000" w:themeColor="text1"/>
        </w:rPr>
        <w:t>. The plaintiff</w:t>
      </w:r>
      <w:r>
        <w:rPr>
          <w:rFonts w:ascii="Arial" w:hAnsi="Arial" w:cs="Arial"/>
          <w:color w:val="000000" w:themeColor="text1"/>
        </w:rPr>
        <w:t xml:space="preserve"> is currently unemployed</w:t>
      </w:r>
      <w:r w:rsidRPr="002361EB">
        <w:rPr>
          <w:rFonts w:ascii="Arial" w:hAnsi="Arial" w:cs="Arial"/>
          <w:color w:val="000000" w:themeColor="text1"/>
        </w:rPr>
        <w:t>.</w:t>
      </w:r>
      <w:r>
        <w:rPr>
          <w:rFonts w:ascii="Arial" w:hAnsi="Arial" w:cs="Arial"/>
          <w:color w:val="000000" w:themeColor="text1"/>
        </w:rPr>
        <w:t xml:space="preserve"> Physically he w</w:t>
      </w:r>
      <w:r w:rsidRPr="002361EB">
        <w:rPr>
          <w:rFonts w:ascii="Arial" w:hAnsi="Arial" w:cs="Arial"/>
          <w:color w:val="000000" w:themeColor="text1"/>
        </w:rPr>
        <w:t xml:space="preserve">ould </w:t>
      </w:r>
      <w:r>
        <w:rPr>
          <w:rFonts w:ascii="Arial" w:hAnsi="Arial" w:cs="Arial"/>
          <w:color w:val="000000" w:themeColor="text1"/>
        </w:rPr>
        <w:t xml:space="preserve">not </w:t>
      </w:r>
      <w:r w:rsidRPr="002361EB">
        <w:rPr>
          <w:rFonts w:ascii="Arial" w:hAnsi="Arial" w:cs="Arial"/>
          <w:color w:val="000000" w:themeColor="text1"/>
        </w:rPr>
        <w:t>be able to work to retirem</w:t>
      </w:r>
      <w:r>
        <w:rPr>
          <w:rFonts w:ascii="Arial" w:hAnsi="Arial" w:cs="Arial"/>
          <w:color w:val="000000" w:themeColor="text1"/>
        </w:rPr>
        <w:t>ent age. Ms M</w:t>
      </w:r>
      <w:r w:rsidR="001F5672">
        <w:rPr>
          <w:rFonts w:ascii="Arial" w:hAnsi="Arial" w:cs="Arial"/>
          <w:color w:val="000000" w:themeColor="text1"/>
        </w:rPr>
        <w:t>oila</w:t>
      </w:r>
      <w:r>
        <w:rPr>
          <w:rFonts w:ascii="Arial" w:hAnsi="Arial" w:cs="Arial"/>
          <w:color w:val="000000" w:themeColor="text1"/>
        </w:rPr>
        <w:t xml:space="preserve"> and Ms </w:t>
      </w:r>
      <w:r w:rsidR="001F5672">
        <w:rPr>
          <w:rFonts w:ascii="Arial" w:hAnsi="Arial" w:cs="Arial"/>
          <w:color w:val="000000" w:themeColor="text1"/>
        </w:rPr>
        <w:t>Arms</w:t>
      </w:r>
      <w:r>
        <w:rPr>
          <w:rFonts w:ascii="Arial" w:hAnsi="Arial" w:cs="Arial"/>
          <w:color w:val="000000" w:themeColor="text1"/>
        </w:rPr>
        <w:t xml:space="preserve">’s views </w:t>
      </w:r>
      <w:r w:rsidRPr="002361EB">
        <w:rPr>
          <w:rFonts w:ascii="Arial" w:hAnsi="Arial" w:cs="Arial"/>
          <w:color w:val="000000" w:themeColor="text1"/>
        </w:rPr>
        <w:t>that in the employment context</w:t>
      </w:r>
      <w:r>
        <w:rPr>
          <w:rFonts w:ascii="Arial" w:hAnsi="Arial" w:cs="Arial"/>
          <w:color w:val="000000" w:themeColor="text1"/>
        </w:rPr>
        <w:t>,</w:t>
      </w:r>
      <w:r w:rsidRPr="002361EB">
        <w:rPr>
          <w:rFonts w:ascii="Arial" w:hAnsi="Arial" w:cs="Arial"/>
          <w:color w:val="000000" w:themeColor="text1"/>
        </w:rPr>
        <w:t xml:space="preserve"> the plaintiff has been rendered vulnerable in the open labour market and has b</w:t>
      </w:r>
      <w:r>
        <w:rPr>
          <w:rFonts w:ascii="Arial" w:hAnsi="Arial" w:cs="Arial"/>
          <w:color w:val="000000" w:themeColor="text1"/>
        </w:rPr>
        <w:t>een compromised in his</w:t>
      </w:r>
      <w:r w:rsidRPr="002361EB">
        <w:rPr>
          <w:rFonts w:ascii="Arial" w:hAnsi="Arial" w:cs="Arial"/>
          <w:color w:val="000000" w:themeColor="text1"/>
        </w:rPr>
        <w:t xml:space="preserve"> ability t</w:t>
      </w:r>
      <w:r>
        <w:rPr>
          <w:rFonts w:ascii="Arial" w:hAnsi="Arial" w:cs="Arial"/>
          <w:color w:val="000000" w:themeColor="text1"/>
        </w:rPr>
        <w:t>o progress occupationally at his</w:t>
      </w:r>
      <w:r w:rsidRPr="002361EB">
        <w:rPr>
          <w:rFonts w:ascii="Arial" w:hAnsi="Arial" w:cs="Arial"/>
          <w:color w:val="000000" w:themeColor="text1"/>
        </w:rPr>
        <w:t xml:space="preserve"> pre-accident potential</w:t>
      </w:r>
      <w:r>
        <w:rPr>
          <w:rFonts w:ascii="Arial" w:hAnsi="Arial" w:cs="Arial"/>
          <w:color w:val="000000" w:themeColor="text1"/>
        </w:rPr>
        <w:t>,</w:t>
      </w:r>
      <w:r w:rsidRPr="002361EB">
        <w:rPr>
          <w:rFonts w:ascii="Arial" w:hAnsi="Arial" w:cs="Arial"/>
          <w:color w:val="000000" w:themeColor="text1"/>
        </w:rPr>
        <w:t xml:space="preserve"> </w:t>
      </w:r>
      <w:r>
        <w:rPr>
          <w:rFonts w:ascii="Arial" w:hAnsi="Arial" w:cs="Arial"/>
          <w:color w:val="000000" w:themeColor="text1"/>
        </w:rPr>
        <w:t xml:space="preserve">therefore </w:t>
      </w:r>
      <w:r w:rsidRPr="002361EB">
        <w:rPr>
          <w:rFonts w:ascii="Arial" w:hAnsi="Arial" w:cs="Arial"/>
          <w:color w:val="000000" w:themeColor="text1"/>
        </w:rPr>
        <w:t xml:space="preserve">cannot be </w:t>
      </w:r>
      <w:r w:rsidR="001F5672">
        <w:rPr>
          <w:rFonts w:ascii="Arial" w:hAnsi="Arial" w:cs="Arial"/>
          <w:color w:val="000000" w:themeColor="text1"/>
        </w:rPr>
        <w:t>disregarded</w:t>
      </w:r>
      <w:r w:rsidRPr="002361EB">
        <w:rPr>
          <w:rFonts w:ascii="Arial" w:hAnsi="Arial" w:cs="Arial"/>
          <w:color w:val="000000" w:themeColor="text1"/>
        </w:rPr>
        <w:t xml:space="preserve"> </w:t>
      </w:r>
      <w:r w:rsidR="001F5672">
        <w:rPr>
          <w:rFonts w:ascii="Arial" w:hAnsi="Arial" w:cs="Arial"/>
          <w:color w:val="000000" w:themeColor="text1"/>
        </w:rPr>
        <w:t xml:space="preserve">especially in light of the fact that upon compiling the joint minute the defendant’s occupational </w:t>
      </w:r>
      <w:r w:rsidR="006542C1">
        <w:rPr>
          <w:rFonts w:ascii="Arial" w:hAnsi="Arial" w:cs="Arial"/>
          <w:color w:val="000000" w:themeColor="text1"/>
        </w:rPr>
        <w:t>therapist</w:t>
      </w:r>
      <w:r w:rsidR="001F5672">
        <w:rPr>
          <w:rFonts w:ascii="Arial" w:hAnsi="Arial" w:cs="Arial"/>
          <w:color w:val="000000" w:themeColor="text1"/>
        </w:rPr>
        <w:t xml:space="preserve"> took into consideration the report by the Educational Psychologist and if she considered the factors which the defendant raises as vital to the outcome of the joint report then she would have at the very least mentioned this in that report</w:t>
      </w:r>
      <w:r w:rsidRPr="002361EB">
        <w:rPr>
          <w:rFonts w:ascii="Arial" w:hAnsi="Arial" w:cs="Arial"/>
          <w:color w:val="000000" w:themeColor="text1"/>
        </w:rPr>
        <w:t>.</w:t>
      </w:r>
      <w:r w:rsidR="001F5672">
        <w:rPr>
          <w:rFonts w:ascii="Arial" w:hAnsi="Arial" w:cs="Arial"/>
          <w:color w:val="000000" w:themeColor="text1"/>
        </w:rPr>
        <w:t xml:space="preserve"> However, she concurs in her report that he is not functionally employable</w:t>
      </w:r>
      <w:r w:rsidR="00AD2933">
        <w:rPr>
          <w:rFonts w:ascii="Arial" w:hAnsi="Arial" w:cs="Arial"/>
          <w:color w:val="000000" w:themeColor="text1"/>
        </w:rPr>
        <w:t xml:space="preserve"> and takes no issue with the lack of academic information that was available to the Educational Psychologist in arriving at her conclusion</w:t>
      </w:r>
      <w:r w:rsidR="001F5672">
        <w:rPr>
          <w:rFonts w:ascii="Arial" w:hAnsi="Arial" w:cs="Arial"/>
          <w:color w:val="000000" w:themeColor="text1"/>
        </w:rPr>
        <w:t xml:space="preserve">. </w:t>
      </w:r>
    </w:p>
    <w:p w14:paraId="355922B2" w14:textId="77777777" w:rsidR="007E78AC" w:rsidRDefault="007E78AC" w:rsidP="00B97136">
      <w:pPr>
        <w:spacing w:line="480" w:lineRule="auto"/>
        <w:jc w:val="both"/>
        <w:rPr>
          <w:rFonts w:ascii="Arial" w:hAnsi="Arial" w:cs="Arial"/>
          <w:color w:val="000000" w:themeColor="text1"/>
        </w:rPr>
      </w:pPr>
    </w:p>
    <w:p w14:paraId="28CCCFDA" w14:textId="59099ACA" w:rsidR="00B97136" w:rsidRDefault="007E78AC" w:rsidP="00B97136">
      <w:pPr>
        <w:spacing w:line="480" w:lineRule="auto"/>
        <w:jc w:val="both"/>
        <w:rPr>
          <w:rFonts w:ascii="Arial" w:hAnsi="Arial" w:cs="Arial"/>
          <w:color w:val="000000" w:themeColor="text1"/>
        </w:rPr>
      </w:pPr>
      <w:r>
        <w:rPr>
          <w:rFonts w:ascii="Arial" w:hAnsi="Arial" w:cs="Arial"/>
          <w:color w:val="000000" w:themeColor="text1"/>
        </w:rPr>
        <w:t>[28]</w:t>
      </w:r>
      <w:r>
        <w:rPr>
          <w:rFonts w:ascii="Arial" w:hAnsi="Arial" w:cs="Arial"/>
          <w:color w:val="000000" w:themeColor="text1"/>
        </w:rPr>
        <w:tab/>
      </w:r>
      <w:r w:rsidR="00B97136">
        <w:rPr>
          <w:rFonts w:ascii="Arial" w:hAnsi="Arial" w:cs="Arial"/>
          <w:color w:val="000000" w:themeColor="text1"/>
        </w:rPr>
        <w:t>I do however agree that i</w:t>
      </w:r>
      <w:r w:rsidR="00B97136" w:rsidRPr="002361EB">
        <w:rPr>
          <w:rFonts w:ascii="Arial" w:hAnsi="Arial" w:cs="Arial"/>
          <w:color w:val="000000" w:themeColor="text1"/>
        </w:rPr>
        <w:t>nsofar a</w:t>
      </w:r>
      <w:r w:rsidR="00B97136">
        <w:rPr>
          <w:rFonts w:ascii="Arial" w:hAnsi="Arial" w:cs="Arial"/>
          <w:color w:val="000000" w:themeColor="text1"/>
        </w:rPr>
        <w:t xml:space="preserve">s there may be a delay of his career progress </w:t>
      </w:r>
      <w:r w:rsidR="00B97136" w:rsidRPr="00C42A46">
        <w:rPr>
          <w:rFonts w:ascii="Arial" w:hAnsi="Arial" w:cs="Arial"/>
        </w:rPr>
        <w:t xml:space="preserve">no offset has been accommodated for in </w:t>
      </w:r>
      <w:r w:rsidR="00B97136">
        <w:rPr>
          <w:rFonts w:ascii="Arial" w:hAnsi="Arial" w:cs="Arial"/>
          <w:color w:val="000000" w:themeColor="text1"/>
        </w:rPr>
        <w:t xml:space="preserve">that he </w:t>
      </w:r>
      <w:r w:rsidR="00AD2933">
        <w:rPr>
          <w:rFonts w:ascii="Arial" w:hAnsi="Arial" w:cs="Arial"/>
          <w:color w:val="000000" w:themeColor="text1"/>
        </w:rPr>
        <w:t>may possibly have taken a longer period in terms of his pre</w:t>
      </w:r>
      <w:r w:rsidR="00AA072C">
        <w:rPr>
          <w:rFonts w:ascii="Arial" w:hAnsi="Arial" w:cs="Arial"/>
          <w:color w:val="000000" w:themeColor="text1"/>
        </w:rPr>
        <w:t>morbid learning</w:t>
      </w:r>
      <w:r w:rsidR="00AD2933">
        <w:rPr>
          <w:rFonts w:ascii="Arial" w:hAnsi="Arial" w:cs="Arial"/>
          <w:color w:val="000000" w:themeColor="text1"/>
        </w:rPr>
        <w:t xml:space="preserve"> </w:t>
      </w:r>
      <w:r w:rsidR="00AA072C">
        <w:rPr>
          <w:rFonts w:ascii="Arial" w:hAnsi="Arial" w:cs="Arial"/>
          <w:color w:val="000000" w:themeColor="text1"/>
        </w:rPr>
        <w:t>vulnerabilities</w:t>
      </w:r>
      <w:r w:rsidR="00AD2933">
        <w:rPr>
          <w:rFonts w:ascii="Arial" w:hAnsi="Arial" w:cs="Arial"/>
          <w:color w:val="000000" w:themeColor="text1"/>
        </w:rPr>
        <w:t xml:space="preserve"> to pass Grade 12 and/ or obtain a diploma</w:t>
      </w:r>
      <w:r w:rsidR="00AA072C">
        <w:rPr>
          <w:rFonts w:ascii="Arial" w:hAnsi="Arial" w:cs="Arial"/>
          <w:color w:val="000000" w:themeColor="text1"/>
        </w:rPr>
        <w:t xml:space="preserve"> but I am also cognisant of the fact that the diagnosis of epilepsy post-accident may also be a factor that could have attributed to a delay in the plaintiff’s career progress had he returned to school. With regards to the defendant’s submission that the plaintiff should have testified to provide further clarity on his academic career, I do not see how this could have assisted in taking the matter further as it is common cause at this stage that there was a lack of available information from the school itself to dispel or confirm the plaintiff’s version</w:t>
      </w:r>
      <w:r>
        <w:rPr>
          <w:rFonts w:ascii="Arial" w:hAnsi="Arial" w:cs="Arial"/>
          <w:color w:val="000000" w:themeColor="text1"/>
        </w:rPr>
        <w:t xml:space="preserve">, therefore his evidence would not be able to </w:t>
      </w:r>
      <w:r>
        <w:rPr>
          <w:rFonts w:ascii="Arial" w:hAnsi="Arial" w:cs="Arial"/>
          <w:color w:val="000000" w:themeColor="text1"/>
        </w:rPr>
        <w:lastRenderedPageBreak/>
        <w:t>disproved by the defendant in any event</w:t>
      </w:r>
      <w:r w:rsidR="00FE5034">
        <w:rPr>
          <w:rFonts w:ascii="Arial" w:hAnsi="Arial" w:cs="Arial"/>
          <w:color w:val="000000" w:themeColor="text1"/>
        </w:rPr>
        <w:t xml:space="preserve"> and I agree with the plaintiff’s submission that this is the best evidence before this Court</w:t>
      </w:r>
      <w:r>
        <w:rPr>
          <w:rFonts w:ascii="Arial" w:hAnsi="Arial" w:cs="Arial"/>
          <w:color w:val="000000" w:themeColor="text1"/>
        </w:rPr>
        <w:t xml:space="preserve">. </w:t>
      </w:r>
    </w:p>
    <w:p w14:paraId="0087A5BE" w14:textId="77777777" w:rsidR="00AD2933" w:rsidRPr="002361EB" w:rsidRDefault="00AD2933" w:rsidP="00B97136">
      <w:pPr>
        <w:spacing w:line="480" w:lineRule="auto"/>
        <w:jc w:val="both"/>
        <w:rPr>
          <w:rFonts w:ascii="Arial" w:hAnsi="Arial" w:cs="Arial"/>
          <w:color w:val="000000" w:themeColor="text1"/>
          <w:lang w:val="en-GB"/>
        </w:rPr>
      </w:pPr>
    </w:p>
    <w:p w14:paraId="544EACDE" w14:textId="117F709F" w:rsidR="00B97136" w:rsidRDefault="00B97136" w:rsidP="00B97136">
      <w:pPr>
        <w:spacing w:line="480" w:lineRule="auto"/>
        <w:jc w:val="both"/>
        <w:rPr>
          <w:rFonts w:ascii="Arial" w:hAnsi="Arial" w:cs="Arial"/>
          <w:color w:val="000000" w:themeColor="text1"/>
          <w:lang w:val="en-GB"/>
        </w:rPr>
      </w:pPr>
      <w:r>
        <w:rPr>
          <w:rFonts w:ascii="Arial" w:hAnsi="Arial" w:cs="Arial"/>
          <w:color w:val="000000" w:themeColor="text1"/>
          <w:lang w:val="en-GB"/>
        </w:rPr>
        <w:t>[2</w:t>
      </w:r>
      <w:r w:rsidR="007E78AC">
        <w:rPr>
          <w:rFonts w:ascii="Arial" w:hAnsi="Arial" w:cs="Arial"/>
          <w:color w:val="000000" w:themeColor="text1"/>
          <w:lang w:val="en-GB"/>
        </w:rPr>
        <w:t>9</w:t>
      </w:r>
      <w:r>
        <w:rPr>
          <w:rFonts w:ascii="Arial" w:hAnsi="Arial" w:cs="Arial"/>
          <w:color w:val="000000" w:themeColor="text1"/>
          <w:lang w:val="en-GB"/>
        </w:rPr>
        <w:t>]</w:t>
      </w:r>
      <w:r>
        <w:rPr>
          <w:rFonts w:ascii="Arial" w:hAnsi="Arial" w:cs="Arial"/>
          <w:color w:val="000000" w:themeColor="text1"/>
          <w:lang w:val="en-GB"/>
        </w:rPr>
        <w:tab/>
        <w:t xml:space="preserve">In the defendant’s view, a </w:t>
      </w:r>
      <w:r w:rsidR="00AD2933">
        <w:rPr>
          <w:rFonts w:ascii="Arial" w:hAnsi="Arial" w:cs="Arial"/>
          <w:color w:val="000000" w:themeColor="text1"/>
          <w:lang w:val="en-GB"/>
        </w:rPr>
        <w:t>5</w:t>
      </w:r>
      <w:r>
        <w:rPr>
          <w:rFonts w:ascii="Arial" w:hAnsi="Arial" w:cs="Arial"/>
          <w:color w:val="000000" w:themeColor="text1"/>
          <w:lang w:val="en-GB"/>
        </w:rPr>
        <w:t>0% reduction from what he would have earned produces a realistic and considered assessment</w:t>
      </w:r>
      <w:r w:rsidR="00AD2933">
        <w:rPr>
          <w:rFonts w:ascii="Arial" w:hAnsi="Arial" w:cs="Arial"/>
          <w:color w:val="000000" w:themeColor="text1"/>
          <w:lang w:val="en-GB"/>
        </w:rPr>
        <w:t xml:space="preserve"> however, t</w:t>
      </w:r>
      <w:r>
        <w:rPr>
          <w:rFonts w:ascii="Arial" w:hAnsi="Arial" w:cs="Arial"/>
          <w:color w:val="000000" w:themeColor="text1"/>
          <w:lang w:val="en-GB"/>
        </w:rPr>
        <w:t xml:space="preserve">his is </w:t>
      </w:r>
      <w:r w:rsidR="00AD2933">
        <w:rPr>
          <w:rFonts w:ascii="Arial" w:hAnsi="Arial" w:cs="Arial"/>
          <w:color w:val="000000" w:themeColor="text1"/>
          <w:lang w:val="en-GB"/>
        </w:rPr>
        <w:t xml:space="preserve">not </w:t>
      </w:r>
      <w:r>
        <w:rPr>
          <w:rFonts w:ascii="Arial" w:hAnsi="Arial" w:cs="Arial"/>
          <w:color w:val="000000" w:themeColor="text1"/>
          <w:lang w:val="en-GB"/>
        </w:rPr>
        <w:t xml:space="preserve">fully supported by </w:t>
      </w:r>
      <w:r w:rsidR="007E78AC">
        <w:rPr>
          <w:rFonts w:ascii="Arial" w:hAnsi="Arial" w:cs="Arial"/>
          <w:color w:val="000000" w:themeColor="text1"/>
          <w:lang w:val="en-GB"/>
        </w:rPr>
        <w:t>any</w:t>
      </w:r>
      <w:r>
        <w:rPr>
          <w:rFonts w:ascii="Arial" w:hAnsi="Arial" w:cs="Arial"/>
          <w:color w:val="000000" w:themeColor="text1"/>
          <w:lang w:val="en-GB"/>
        </w:rPr>
        <w:t xml:space="preserve"> evidence o</w:t>
      </w:r>
      <w:r w:rsidR="007E78AC">
        <w:rPr>
          <w:rFonts w:ascii="Arial" w:hAnsi="Arial" w:cs="Arial"/>
          <w:color w:val="000000" w:themeColor="text1"/>
          <w:lang w:val="en-GB"/>
        </w:rPr>
        <w:t>f</w:t>
      </w:r>
      <w:r>
        <w:rPr>
          <w:rFonts w:ascii="Arial" w:hAnsi="Arial" w:cs="Arial"/>
          <w:color w:val="000000" w:themeColor="text1"/>
          <w:lang w:val="en-GB"/>
        </w:rPr>
        <w:t xml:space="preserve"> expert opinions </w:t>
      </w:r>
      <w:r w:rsidR="00AD2933">
        <w:rPr>
          <w:rFonts w:ascii="Arial" w:hAnsi="Arial" w:cs="Arial"/>
          <w:color w:val="000000" w:themeColor="text1"/>
          <w:lang w:val="en-GB"/>
        </w:rPr>
        <w:t xml:space="preserve">as the defendant failed to call expert witnesses </w:t>
      </w:r>
      <w:r>
        <w:rPr>
          <w:rFonts w:ascii="Arial" w:hAnsi="Arial" w:cs="Arial"/>
          <w:color w:val="000000" w:themeColor="text1"/>
          <w:lang w:val="en-GB"/>
        </w:rPr>
        <w:t xml:space="preserve">and </w:t>
      </w:r>
      <w:r w:rsidR="00AD2933">
        <w:rPr>
          <w:rFonts w:ascii="Arial" w:hAnsi="Arial" w:cs="Arial"/>
          <w:color w:val="000000" w:themeColor="text1"/>
          <w:lang w:val="en-GB"/>
        </w:rPr>
        <w:t xml:space="preserve">therefore </w:t>
      </w:r>
      <w:r>
        <w:rPr>
          <w:rFonts w:ascii="Arial" w:hAnsi="Arial" w:cs="Arial"/>
          <w:color w:val="000000" w:themeColor="text1"/>
          <w:lang w:val="en-GB"/>
        </w:rPr>
        <w:t>can</w:t>
      </w:r>
      <w:r w:rsidR="00AD2933">
        <w:rPr>
          <w:rFonts w:ascii="Arial" w:hAnsi="Arial" w:cs="Arial"/>
          <w:color w:val="000000" w:themeColor="text1"/>
          <w:lang w:val="en-GB"/>
        </w:rPr>
        <w:t>not</w:t>
      </w:r>
      <w:r>
        <w:rPr>
          <w:rFonts w:ascii="Arial" w:hAnsi="Arial" w:cs="Arial"/>
          <w:color w:val="000000" w:themeColor="text1"/>
          <w:lang w:val="en-GB"/>
        </w:rPr>
        <w:t xml:space="preserve"> be safely accepted. Counsel for the Fund submitted that </w:t>
      </w:r>
      <w:r w:rsidRPr="00C42A46">
        <w:rPr>
          <w:rFonts w:ascii="Arial" w:hAnsi="Arial" w:cs="Arial"/>
          <w:lang w:val="en-GB"/>
        </w:rPr>
        <w:t xml:space="preserve">R </w:t>
      </w:r>
      <w:r w:rsidR="00C9377F">
        <w:rPr>
          <w:rFonts w:ascii="Arial" w:hAnsi="Arial" w:cs="Arial"/>
          <w:lang w:val="en-GB"/>
        </w:rPr>
        <w:t>3 173 865.20</w:t>
      </w:r>
      <w:r w:rsidRPr="00782926">
        <w:rPr>
          <w:rFonts w:ascii="Arial" w:hAnsi="Arial" w:cs="Arial"/>
          <w:color w:val="FF0000"/>
          <w:lang w:val="en-GB"/>
        </w:rPr>
        <w:t xml:space="preserve"> </w:t>
      </w:r>
      <w:r>
        <w:rPr>
          <w:rFonts w:ascii="Arial" w:hAnsi="Arial" w:cs="Arial"/>
          <w:color w:val="000000" w:themeColor="text1"/>
          <w:lang w:val="en-GB"/>
        </w:rPr>
        <w:t xml:space="preserve">would be appropriate compensation in this case.  </w:t>
      </w:r>
    </w:p>
    <w:p w14:paraId="694AB635" w14:textId="77777777" w:rsidR="00B97136" w:rsidRDefault="00B97136" w:rsidP="00B97136">
      <w:pPr>
        <w:spacing w:line="480" w:lineRule="auto"/>
        <w:jc w:val="both"/>
        <w:rPr>
          <w:rFonts w:ascii="Arial" w:hAnsi="Arial" w:cs="Arial"/>
          <w:color w:val="000000" w:themeColor="text1"/>
          <w:lang w:val="en-GB"/>
        </w:rPr>
      </w:pPr>
    </w:p>
    <w:p w14:paraId="723D0F3B" w14:textId="155BFD6B" w:rsidR="00B97136" w:rsidRDefault="00B97136" w:rsidP="00B97136">
      <w:pPr>
        <w:spacing w:line="480" w:lineRule="auto"/>
        <w:jc w:val="both"/>
        <w:rPr>
          <w:rFonts w:ascii="Arial" w:hAnsi="Arial" w:cs="Arial"/>
          <w:color w:val="000000" w:themeColor="text1"/>
          <w:lang w:val="en-GB"/>
        </w:rPr>
      </w:pPr>
      <w:r>
        <w:rPr>
          <w:rFonts w:ascii="Arial" w:hAnsi="Arial" w:cs="Arial"/>
          <w:color w:val="000000" w:themeColor="text1"/>
          <w:lang w:val="en-GB"/>
        </w:rPr>
        <w:t>[</w:t>
      </w:r>
      <w:r w:rsidR="00C9377F">
        <w:rPr>
          <w:rFonts w:ascii="Arial" w:hAnsi="Arial" w:cs="Arial"/>
          <w:color w:val="000000" w:themeColor="text1"/>
          <w:lang w:val="en-GB"/>
        </w:rPr>
        <w:t>30]</w:t>
      </w:r>
      <w:r>
        <w:rPr>
          <w:rFonts w:ascii="Arial" w:hAnsi="Arial" w:cs="Arial"/>
          <w:color w:val="000000" w:themeColor="text1"/>
          <w:lang w:val="en-GB"/>
        </w:rPr>
        <w:t xml:space="preserve"> </w:t>
      </w:r>
      <w:r>
        <w:rPr>
          <w:rFonts w:ascii="Arial" w:hAnsi="Arial" w:cs="Arial"/>
          <w:color w:val="000000" w:themeColor="text1"/>
          <w:lang w:val="en-GB"/>
        </w:rPr>
        <w:tab/>
        <w:t>The actuarial report provided is based on the information by the industrial psychologist</w:t>
      </w:r>
      <w:r w:rsidR="00C9377F">
        <w:rPr>
          <w:rFonts w:ascii="Arial" w:hAnsi="Arial" w:cs="Arial"/>
          <w:color w:val="000000" w:themeColor="text1"/>
          <w:lang w:val="en-GB"/>
        </w:rPr>
        <w:t xml:space="preserve"> Dr Herbert Kanengoni </w:t>
      </w:r>
      <w:r>
        <w:rPr>
          <w:rFonts w:ascii="Arial" w:hAnsi="Arial" w:cs="Arial"/>
          <w:color w:val="000000" w:themeColor="text1"/>
          <w:lang w:val="en-GB"/>
        </w:rPr>
        <w:t xml:space="preserve">that the appropriate deduction in this case would be </w:t>
      </w:r>
      <w:r w:rsidR="00C9377F">
        <w:rPr>
          <w:rFonts w:ascii="Arial" w:hAnsi="Arial" w:cs="Arial"/>
          <w:color w:val="000000" w:themeColor="text1"/>
          <w:lang w:val="en-GB"/>
        </w:rPr>
        <w:t>15</w:t>
      </w:r>
      <w:r>
        <w:rPr>
          <w:rFonts w:ascii="Arial" w:hAnsi="Arial" w:cs="Arial"/>
          <w:color w:val="000000" w:themeColor="text1"/>
          <w:lang w:val="en-GB"/>
        </w:rPr>
        <w:t>%</w:t>
      </w:r>
      <w:r w:rsidR="00C9377F">
        <w:rPr>
          <w:rFonts w:ascii="Arial" w:hAnsi="Arial" w:cs="Arial"/>
          <w:color w:val="000000" w:themeColor="text1"/>
          <w:lang w:val="en-GB"/>
        </w:rPr>
        <w:t xml:space="preserve"> on uninjured future income</w:t>
      </w:r>
      <w:r>
        <w:rPr>
          <w:rFonts w:ascii="Arial" w:hAnsi="Arial" w:cs="Arial"/>
          <w:color w:val="000000" w:themeColor="text1"/>
          <w:lang w:val="en-GB"/>
        </w:rPr>
        <w:t>.</w:t>
      </w:r>
      <w:r w:rsidR="00C9377F">
        <w:rPr>
          <w:rFonts w:ascii="Arial" w:hAnsi="Arial" w:cs="Arial"/>
          <w:color w:val="000000" w:themeColor="text1"/>
          <w:lang w:val="en-GB"/>
        </w:rPr>
        <w:t xml:space="preserve"> However, Plaintiff’s Counsel submitted that the contingency should be 20% which given the delay that may have been caused by premorbid vulnerabilities I think is a fair estimate as it is higher than the </w:t>
      </w:r>
      <w:r>
        <w:rPr>
          <w:rFonts w:ascii="Arial" w:hAnsi="Arial" w:cs="Arial"/>
          <w:color w:val="000000" w:themeColor="text1"/>
          <w:lang w:val="en-GB"/>
        </w:rPr>
        <w:t xml:space="preserve">actuarial report’s schedule of calculations.  </w:t>
      </w:r>
      <w:r w:rsidR="00FE5034">
        <w:rPr>
          <w:rFonts w:ascii="Arial" w:hAnsi="Arial" w:cs="Arial"/>
          <w:color w:val="000000" w:themeColor="text1"/>
          <w:lang w:val="en-GB"/>
        </w:rPr>
        <w:t xml:space="preserve">Therefore, there should be a further 5% deduction from the amount on the calculation of the actuary’s calculation. </w:t>
      </w:r>
    </w:p>
    <w:p w14:paraId="2B7E2D91" w14:textId="77777777" w:rsidR="00B97136" w:rsidRDefault="00B97136" w:rsidP="00B97136">
      <w:pPr>
        <w:spacing w:line="480" w:lineRule="auto"/>
        <w:jc w:val="both"/>
        <w:rPr>
          <w:rFonts w:ascii="Arial" w:hAnsi="Arial" w:cs="Arial"/>
          <w:color w:val="000000" w:themeColor="text1"/>
          <w:lang w:val="en-GB"/>
        </w:rPr>
      </w:pPr>
    </w:p>
    <w:p w14:paraId="22A6D324" w14:textId="12BE5A20" w:rsidR="00B97136" w:rsidRDefault="00B97136" w:rsidP="00B97136">
      <w:pPr>
        <w:spacing w:line="480" w:lineRule="auto"/>
        <w:jc w:val="both"/>
        <w:rPr>
          <w:rFonts w:ascii="Arial" w:hAnsi="Arial" w:cs="Arial"/>
          <w:color w:val="000000" w:themeColor="text1"/>
          <w:lang w:val="en-GB"/>
        </w:rPr>
      </w:pPr>
      <w:r>
        <w:rPr>
          <w:rFonts w:ascii="Arial" w:hAnsi="Arial" w:cs="Arial"/>
          <w:color w:val="000000" w:themeColor="text1"/>
          <w:lang w:val="en-GB"/>
        </w:rPr>
        <w:t>[3</w:t>
      </w:r>
      <w:r w:rsidR="00C9377F">
        <w:rPr>
          <w:rFonts w:ascii="Arial" w:hAnsi="Arial" w:cs="Arial"/>
          <w:color w:val="000000" w:themeColor="text1"/>
          <w:lang w:val="en-GB"/>
        </w:rPr>
        <w:t>1</w:t>
      </w:r>
      <w:r>
        <w:rPr>
          <w:rFonts w:ascii="Arial" w:hAnsi="Arial" w:cs="Arial"/>
          <w:color w:val="000000" w:themeColor="text1"/>
          <w:lang w:val="en-GB"/>
        </w:rPr>
        <w:t xml:space="preserve">] </w:t>
      </w:r>
      <w:r>
        <w:rPr>
          <w:rFonts w:ascii="Arial" w:hAnsi="Arial" w:cs="Arial"/>
          <w:color w:val="000000" w:themeColor="text1"/>
          <w:lang w:val="en-GB"/>
        </w:rPr>
        <w:tab/>
      </w:r>
      <w:r w:rsidRPr="002361EB">
        <w:rPr>
          <w:rFonts w:ascii="Arial" w:hAnsi="Arial" w:cs="Arial"/>
          <w:color w:val="000000" w:themeColor="text1"/>
          <w:lang w:val="en-GB"/>
        </w:rPr>
        <w:t>On the evidence before me the disabilities from which the plaintiff suffers or wil</w:t>
      </w:r>
      <w:r>
        <w:rPr>
          <w:rFonts w:ascii="Arial" w:hAnsi="Arial" w:cs="Arial"/>
          <w:color w:val="000000" w:themeColor="text1"/>
          <w:lang w:val="en-GB"/>
        </w:rPr>
        <w:t xml:space="preserve">l suffer in the future, will, in my view, </w:t>
      </w:r>
      <w:r w:rsidR="00C9377F">
        <w:rPr>
          <w:rFonts w:ascii="Arial" w:hAnsi="Arial" w:cs="Arial"/>
          <w:color w:val="000000" w:themeColor="text1"/>
          <w:lang w:val="en-GB"/>
        </w:rPr>
        <w:t>has impaired his capacity to work and I am satisfied on a balance of probabilities t</w:t>
      </w:r>
      <w:r>
        <w:rPr>
          <w:rFonts w:ascii="Arial" w:hAnsi="Arial" w:cs="Arial"/>
          <w:color w:val="000000" w:themeColor="text1"/>
          <w:lang w:val="en-GB"/>
        </w:rPr>
        <w:t xml:space="preserve">he plaintiff has </w:t>
      </w:r>
      <w:r w:rsidRPr="002361EB">
        <w:rPr>
          <w:rFonts w:ascii="Arial" w:hAnsi="Arial" w:cs="Arial"/>
          <w:color w:val="000000" w:themeColor="text1"/>
          <w:lang w:val="en-GB"/>
        </w:rPr>
        <w:t>prove</w:t>
      </w:r>
      <w:r>
        <w:rPr>
          <w:rFonts w:ascii="Arial" w:hAnsi="Arial" w:cs="Arial"/>
          <w:color w:val="000000" w:themeColor="text1"/>
          <w:lang w:val="en-GB"/>
        </w:rPr>
        <w:t>d that his</w:t>
      </w:r>
      <w:r w:rsidRPr="002361EB">
        <w:rPr>
          <w:rFonts w:ascii="Arial" w:hAnsi="Arial" w:cs="Arial"/>
          <w:color w:val="000000" w:themeColor="text1"/>
          <w:lang w:val="en-GB"/>
        </w:rPr>
        <w:t xml:space="preserve"> patrimony </w:t>
      </w:r>
      <w:r>
        <w:rPr>
          <w:rFonts w:ascii="Arial" w:hAnsi="Arial" w:cs="Arial"/>
          <w:color w:val="000000" w:themeColor="text1"/>
          <w:lang w:val="en-GB"/>
        </w:rPr>
        <w:t>has been diminished due to l</w:t>
      </w:r>
      <w:r w:rsidRPr="002361EB">
        <w:rPr>
          <w:rFonts w:ascii="Arial" w:hAnsi="Arial" w:cs="Arial"/>
          <w:color w:val="000000" w:themeColor="text1"/>
          <w:lang w:val="en-GB"/>
        </w:rPr>
        <w:t xml:space="preserve">oss of earning capacity </w:t>
      </w:r>
      <w:r>
        <w:rPr>
          <w:rFonts w:ascii="Arial" w:hAnsi="Arial" w:cs="Arial"/>
          <w:color w:val="000000" w:themeColor="text1"/>
          <w:lang w:val="en-GB"/>
        </w:rPr>
        <w:t>in the future resulting from his</w:t>
      </w:r>
      <w:r w:rsidRPr="002361EB">
        <w:rPr>
          <w:rFonts w:ascii="Arial" w:hAnsi="Arial" w:cs="Arial"/>
          <w:color w:val="000000" w:themeColor="text1"/>
          <w:lang w:val="en-GB"/>
        </w:rPr>
        <w:t xml:space="preserve"> injur</w:t>
      </w:r>
      <w:r>
        <w:rPr>
          <w:rFonts w:ascii="Arial" w:hAnsi="Arial" w:cs="Arial"/>
          <w:color w:val="000000" w:themeColor="text1"/>
          <w:lang w:val="en-GB"/>
        </w:rPr>
        <w:t xml:space="preserve">ies and consequently has </w:t>
      </w:r>
      <w:r w:rsidRPr="002361EB">
        <w:rPr>
          <w:rFonts w:ascii="Arial" w:hAnsi="Arial" w:cs="Arial"/>
          <w:color w:val="000000" w:themeColor="text1"/>
          <w:lang w:val="en-GB"/>
        </w:rPr>
        <w:t>prove</w:t>
      </w:r>
      <w:r>
        <w:rPr>
          <w:rFonts w:ascii="Arial" w:hAnsi="Arial" w:cs="Arial"/>
          <w:color w:val="000000" w:themeColor="text1"/>
          <w:lang w:val="en-GB"/>
        </w:rPr>
        <w:t>d an</w:t>
      </w:r>
      <w:r w:rsidRPr="002361EB">
        <w:rPr>
          <w:rFonts w:ascii="Arial" w:hAnsi="Arial" w:cs="Arial"/>
          <w:color w:val="000000" w:themeColor="text1"/>
          <w:lang w:val="en-GB"/>
        </w:rPr>
        <w:t xml:space="preserve"> entitlement to be compensated under this head of damage. </w:t>
      </w:r>
    </w:p>
    <w:p w14:paraId="2B944243" w14:textId="77777777" w:rsidR="006542C1" w:rsidRPr="002361EB" w:rsidRDefault="006542C1" w:rsidP="00B97136">
      <w:pPr>
        <w:spacing w:line="480" w:lineRule="auto"/>
        <w:jc w:val="both"/>
        <w:rPr>
          <w:rFonts w:ascii="Arial" w:hAnsi="Arial" w:cs="Arial"/>
          <w:color w:val="000000" w:themeColor="text1"/>
          <w:lang w:val="en-GB"/>
        </w:rPr>
      </w:pPr>
    </w:p>
    <w:p w14:paraId="74FEE025" w14:textId="77777777" w:rsidR="00B97136" w:rsidRPr="002361EB" w:rsidRDefault="00B97136" w:rsidP="00B97136">
      <w:pPr>
        <w:spacing w:line="480" w:lineRule="auto"/>
        <w:jc w:val="both"/>
        <w:rPr>
          <w:rFonts w:ascii="Arial" w:hAnsi="Arial" w:cs="Arial"/>
          <w:color w:val="000000" w:themeColor="text1"/>
          <w:highlight w:val="yellow"/>
        </w:rPr>
      </w:pPr>
    </w:p>
    <w:p w14:paraId="70E9E400" w14:textId="7261C253" w:rsidR="00B97136" w:rsidRPr="00C6542D" w:rsidRDefault="00B97136" w:rsidP="00B97136">
      <w:pPr>
        <w:spacing w:line="480" w:lineRule="auto"/>
        <w:jc w:val="both"/>
        <w:rPr>
          <w:rFonts w:ascii="Arial" w:hAnsi="Arial" w:cs="Arial"/>
          <w:b/>
          <w:color w:val="000000" w:themeColor="text1"/>
        </w:rPr>
      </w:pPr>
      <w:r>
        <w:rPr>
          <w:rFonts w:ascii="Arial" w:hAnsi="Arial" w:cs="Arial"/>
          <w:color w:val="000000" w:themeColor="text1"/>
        </w:rPr>
        <w:lastRenderedPageBreak/>
        <w:t xml:space="preserve"> [3</w:t>
      </w:r>
      <w:r w:rsidR="00C9377F">
        <w:rPr>
          <w:rFonts w:ascii="Arial" w:hAnsi="Arial" w:cs="Arial"/>
          <w:color w:val="000000" w:themeColor="text1"/>
        </w:rPr>
        <w:t>2</w:t>
      </w:r>
      <w:r w:rsidRPr="002361EB">
        <w:rPr>
          <w:rFonts w:ascii="Arial" w:hAnsi="Arial" w:cs="Arial"/>
          <w:color w:val="000000" w:themeColor="text1"/>
        </w:rPr>
        <w:t>]</w:t>
      </w:r>
      <w:r w:rsidRPr="00C6542D">
        <w:rPr>
          <w:rFonts w:ascii="Arial" w:hAnsi="Arial" w:cs="Arial"/>
          <w:b/>
          <w:color w:val="000000" w:themeColor="text1"/>
        </w:rPr>
        <w:tab/>
        <w:t>I make the following order:</w:t>
      </w:r>
    </w:p>
    <w:p w14:paraId="57DCB7E1" w14:textId="22E3B70D" w:rsidR="00B97136" w:rsidRPr="00C6542D" w:rsidRDefault="00B97136" w:rsidP="00B97136">
      <w:pPr>
        <w:numPr>
          <w:ilvl w:val="0"/>
          <w:numId w:val="1"/>
        </w:numPr>
        <w:spacing w:line="480" w:lineRule="auto"/>
        <w:ind w:left="1077" w:hanging="357"/>
        <w:jc w:val="both"/>
        <w:rPr>
          <w:rFonts w:ascii="Arial" w:hAnsi="Arial" w:cs="Arial"/>
          <w:b/>
          <w:color w:val="000000" w:themeColor="text1"/>
        </w:rPr>
      </w:pPr>
      <w:r w:rsidRPr="00C6542D">
        <w:rPr>
          <w:rFonts w:ascii="Arial" w:hAnsi="Arial" w:cs="Arial"/>
          <w:b/>
          <w:color w:val="000000" w:themeColor="text1"/>
        </w:rPr>
        <w:t xml:space="preserve">The defendant is ordered to pay the amount of R </w:t>
      </w:r>
      <w:r w:rsidR="00FE5034" w:rsidRPr="00C6542D">
        <w:rPr>
          <w:rFonts w:ascii="Arial" w:hAnsi="Arial" w:cs="Arial"/>
          <w:b/>
          <w:color w:val="000000" w:themeColor="text1"/>
        </w:rPr>
        <w:t>8 285 820.20</w:t>
      </w:r>
      <w:r w:rsidRPr="00C6542D">
        <w:rPr>
          <w:rFonts w:ascii="Arial" w:hAnsi="Arial" w:cs="Arial"/>
          <w:b/>
          <w:color w:val="000000" w:themeColor="text1"/>
        </w:rPr>
        <w:t xml:space="preserve"> for loss of earnings within 14 days of this judgment with interest from the date of judgment to the date of payment.</w:t>
      </w:r>
    </w:p>
    <w:p w14:paraId="49871186" w14:textId="77777777" w:rsidR="00B97136" w:rsidRPr="00C6542D" w:rsidRDefault="00B97136" w:rsidP="00B97136">
      <w:pPr>
        <w:spacing w:line="480" w:lineRule="auto"/>
        <w:ind w:left="1077"/>
        <w:jc w:val="both"/>
        <w:rPr>
          <w:rFonts w:ascii="Arial" w:hAnsi="Arial" w:cs="Arial"/>
          <w:b/>
          <w:color w:val="000000" w:themeColor="text1"/>
        </w:rPr>
      </w:pPr>
    </w:p>
    <w:p w14:paraId="5DB812E7" w14:textId="45BDEB75" w:rsidR="00B97136" w:rsidRPr="00C6542D" w:rsidRDefault="00B97136" w:rsidP="00B97136">
      <w:pPr>
        <w:numPr>
          <w:ilvl w:val="0"/>
          <w:numId w:val="1"/>
        </w:numPr>
        <w:spacing w:line="480" w:lineRule="auto"/>
        <w:ind w:left="1077" w:hanging="357"/>
        <w:jc w:val="both"/>
        <w:rPr>
          <w:rFonts w:ascii="Arial" w:hAnsi="Arial" w:cs="Arial"/>
          <w:b/>
          <w:color w:val="000000" w:themeColor="text1"/>
        </w:rPr>
      </w:pPr>
      <w:r w:rsidRPr="00C6542D">
        <w:rPr>
          <w:rFonts w:ascii="Arial" w:hAnsi="Arial" w:cs="Arial"/>
          <w:b/>
          <w:color w:val="000000" w:themeColor="text1"/>
        </w:rPr>
        <w:t xml:space="preserve">The defendant shall pay the plaintiff’s costs either as agreed or taxed including the costs of those expert witnesses whose reports the plaintiff had delivered in terms of Rule 36(9)(b) and including the costs of the preparation of joint minutes. </w:t>
      </w:r>
    </w:p>
    <w:p w14:paraId="79B9FDDC" w14:textId="77777777" w:rsidR="00B97136" w:rsidRPr="002361EB" w:rsidRDefault="00B97136" w:rsidP="00B97136">
      <w:pPr>
        <w:rPr>
          <w:rFonts w:ascii="Arial" w:hAnsi="Arial" w:cs="Arial"/>
          <w:b/>
          <w:color w:val="000000" w:themeColor="text1"/>
        </w:rPr>
      </w:pPr>
    </w:p>
    <w:p w14:paraId="000BA18F" w14:textId="77777777" w:rsidR="00FE5034" w:rsidRPr="001C438A" w:rsidRDefault="00FE5034" w:rsidP="00FE5034">
      <w:pPr>
        <w:spacing w:line="480" w:lineRule="auto"/>
        <w:jc w:val="both"/>
        <w:rPr>
          <w:rFonts w:ascii="Times New Roman" w:hAnsi="Times New Roman"/>
        </w:rPr>
      </w:pPr>
    </w:p>
    <w:p w14:paraId="6F4CC7DF" w14:textId="7EF998C8" w:rsidR="00B97136" w:rsidRDefault="00C6542D" w:rsidP="00C65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8672326" w14:textId="2B07BB09" w:rsidR="00C6542D" w:rsidRDefault="00C6542D" w:rsidP="00C6542D">
      <w:pPr>
        <w:rPr>
          <w:rFonts w:ascii="Arial" w:hAnsi="Arial" w:cs="Arial"/>
        </w:rPr>
      </w:pPr>
    </w:p>
    <w:p w14:paraId="629F0629" w14:textId="578E98E4" w:rsidR="00C6542D" w:rsidRDefault="00C6542D" w:rsidP="00C6542D">
      <w:pPr>
        <w:rPr>
          <w:rFonts w:ascii="Arial" w:hAnsi="Arial" w:cs="Arial"/>
        </w:rPr>
      </w:pPr>
    </w:p>
    <w:p w14:paraId="148C565F" w14:textId="5655AA51" w:rsidR="00C6542D" w:rsidRDefault="00C6542D" w:rsidP="00C6542D">
      <w:pPr>
        <w:rPr>
          <w:rFonts w:ascii="Arial" w:hAnsi="Arial" w:cs="Arial"/>
        </w:rPr>
      </w:pPr>
      <w:r>
        <w:rPr>
          <w:rFonts w:ascii="Arial" w:hAnsi="Arial" w:cs="Arial"/>
        </w:rPr>
        <w:t>________________</w:t>
      </w:r>
    </w:p>
    <w:p w14:paraId="2F73C7CF" w14:textId="394676F6" w:rsidR="00C6542D" w:rsidRDefault="00C6542D" w:rsidP="00C6542D">
      <w:r>
        <w:t xml:space="preserve">SARDIWALLA J </w:t>
      </w:r>
    </w:p>
    <w:p w14:paraId="5F4E8C37" w14:textId="6D7C40E7" w:rsidR="00C6542D" w:rsidRDefault="00C6542D" w:rsidP="00C6542D">
      <w:r>
        <w:t xml:space="preserve">JUDGE OF THE HIGH COURT </w:t>
      </w:r>
    </w:p>
    <w:p w14:paraId="04128C46" w14:textId="750484C5" w:rsidR="00017C08" w:rsidRDefault="00017C08"/>
    <w:p w14:paraId="49667A98" w14:textId="6E82CA9B" w:rsidR="006542C1" w:rsidRDefault="006542C1"/>
    <w:p w14:paraId="2AA39CBD" w14:textId="0810668D" w:rsidR="006542C1" w:rsidRDefault="006542C1"/>
    <w:p w14:paraId="49530145" w14:textId="77777777" w:rsidR="006542C1" w:rsidRPr="006542C1" w:rsidRDefault="006542C1" w:rsidP="006542C1">
      <w:pPr>
        <w:rPr>
          <w:b/>
        </w:rPr>
      </w:pPr>
      <w:r w:rsidRPr="006542C1">
        <w:rPr>
          <w:b/>
        </w:rPr>
        <w:t>APPEARANCES</w:t>
      </w:r>
    </w:p>
    <w:p w14:paraId="10648CC9" w14:textId="77777777" w:rsidR="006542C1" w:rsidRDefault="006542C1" w:rsidP="006542C1"/>
    <w:p w14:paraId="7C79B0E4" w14:textId="6E7F5461" w:rsidR="006542C1" w:rsidRDefault="006542C1" w:rsidP="006542C1">
      <w:r>
        <w:t>Date of trial</w:t>
      </w:r>
      <w:r>
        <w:tab/>
      </w:r>
      <w:r>
        <w:tab/>
      </w:r>
      <w:r>
        <w:tab/>
      </w:r>
      <w:r w:rsidR="00864A18">
        <w:t>:</w:t>
      </w:r>
      <w:r w:rsidR="00864A18">
        <w:tab/>
      </w:r>
      <w:r w:rsidR="003C608B">
        <w:t>10 October</w:t>
      </w:r>
      <w:r>
        <w:t xml:space="preserve"> 2</w:t>
      </w:r>
      <w:r w:rsidR="00864A18">
        <w:t>022</w:t>
      </w:r>
    </w:p>
    <w:p w14:paraId="63840BAB" w14:textId="77777777" w:rsidR="006542C1" w:rsidRDefault="006542C1" w:rsidP="006542C1"/>
    <w:p w14:paraId="5BC08E3D" w14:textId="3861BC5C" w:rsidR="006542C1" w:rsidRDefault="006542C1" w:rsidP="006542C1">
      <w:r>
        <w:t xml:space="preserve">Date of judgment </w:t>
      </w:r>
      <w:r>
        <w:tab/>
      </w:r>
      <w:r>
        <w:tab/>
        <w:t>:</w:t>
      </w:r>
      <w:r>
        <w:tab/>
        <w:t>14 July2023</w:t>
      </w:r>
    </w:p>
    <w:p w14:paraId="051DA250" w14:textId="77777777" w:rsidR="006542C1" w:rsidRDefault="006542C1" w:rsidP="006542C1"/>
    <w:p w14:paraId="5CE89CF8" w14:textId="50E1E531" w:rsidR="006542C1" w:rsidRDefault="006542C1" w:rsidP="006542C1">
      <w:r>
        <w:t>Plaintiffs’</w:t>
      </w:r>
      <w:r w:rsidR="00994B88">
        <w:t xml:space="preserve"> Counsel</w:t>
      </w:r>
      <w:r w:rsidR="00994B88">
        <w:tab/>
      </w:r>
      <w:r w:rsidR="00994B88">
        <w:tab/>
      </w:r>
      <w:r w:rsidR="00994B88">
        <w:tab/>
        <w:t>:</w:t>
      </w:r>
      <w:r w:rsidR="00994B88">
        <w:tab/>
        <w:t xml:space="preserve">Adv.: P M LEOPENG </w:t>
      </w:r>
    </w:p>
    <w:p w14:paraId="62DAC1FD" w14:textId="77777777" w:rsidR="006542C1" w:rsidRDefault="006542C1" w:rsidP="006542C1"/>
    <w:p w14:paraId="7D50F653" w14:textId="40B60E81" w:rsidR="006542C1" w:rsidRDefault="006542C1" w:rsidP="006542C1">
      <w:r>
        <w:t xml:space="preserve">Plaintiffs’ </w:t>
      </w:r>
      <w:r w:rsidR="00994B88">
        <w:t>Attorneys</w:t>
      </w:r>
      <w:r w:rsidR="00994B88">
        <w:tab/>
      </w:r>
      <w:r w:rsidR="00994B88">
        <w:tab/>
      </w:r>
      <w:r w:rsidR="00994B88">
        <w:tab/>
        <w:t>:</w:t>
      </w:r>
      <w:r w:rsidR="00994B88">
        <w:tab/>
      </w:r>
      <w:r w:rsidR="003C608B" w:rsidRPr="003C608B">
        <w:t xml:space="preserve">Ramokgaba Gonese Attorneys Inc. </w:t>
      </w:r>
    </w:p>
    <w:p w14:paraId="2606D22E" w14:textId="77777777" w:rsidR="006542C1" w:rsidRDefault="006542C1" w:rsidP="006542C1"/>
    <w:p w14:paraId="6C77997C" w14:textId="21DDD343" w:rsidR="006542C1" w:rsidRDefault="006542C1" w:rsidP="006542C1">
      <w:r>
        <w:t xml:space="preserve"> Defendants’ Counsel</w:t>
      </w:r>
      <w:r>
        <w:tab/>
      </w:r>
      <w:r>
        <w:tab/>
      </w:r>
      <w:r w:rsidR="00994B88">
        <w:tab/>
      </w:r>
      <w:r w:rsidR="003C608B">
        <w:t>:</w:t>
      </w:r>
      <w:r w:rsidR="003C608B">
        <w:tab/>
      </w:r>
      <w:r w:rsidR="00994B88">
        <w:t xml:space="preserve"> </w:t>
      </w:r>
      <w:r w:rsidR="003C608B">
        <w:t>MR T</w:t>
      </w:r>
      <w:r w:rsidR="003C608B" w:rsidRPr="003C608B">
        <w:t xml:space="preserve"> MUKASI</w:t>
      </w:r>
    </w:p>
    <w:p w14:paraId="4272AC08" w14:textId="23609651" w:rsidR="006542C1" w:rsidRDefault="00994B88" w:rsidP="006542C1">
      <w:r>
        <w:tab/>
      </w:r>
      <w:r>
        <w:tab/>
      </w:r>
      <w:r>
        <w:tab/>
      </w:r>
      <w:r>
        <w:tab/>
      </w:r>
      <w:r>
        <w:tab/>
      </w:r>
      <w:r>
        <w:tab/>
      </w:r>
    </w:p>
    <w:p w14:paraId="443E89DF" w14:textId="77777777" w:rsidR="006542C1" w:rsidRDefault="006542C1" w:rsidP="006542C1">
      <w:r>
        <w:t>Defendants Attorneys</w:t>
      </w:r>
      <w:r>
        <w:tab/>
      </w:r>
      <w:r>
        <w:tab/>
      </w:r>
      <w:r>
        <w:tab/>
        <w:t>:</w:t>
      </w:r>
      <w:r>
        <w:tab/>
        <w:t>State Attorneys</w:t>
      </w:r>
    </w:p>
    <w:p w14:paraId="2E3BF71F" w14:textId="77777777" w:rsidR="006542C1" w:rsidRDefault="006542C1" w:rsidP="006542C1"/>
    <w:p w14:paraId="783AF128" w14:textId="634AB9B8" w:rsidR="006542C1" w:rsidRDefault="006542C1" w:rsidP="006542C1"/>
    <w:sectPr w:rsidR="006542C1">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7359" w14:textId="77777777" w:rsidR="00D7610B" w:rsidRDefault="00D7610B" w:rsidP="00B97136">
      <w:r>
        <w:separator/>
      </w:r>
    </w:p>
  </w:endnote>
  <w:endnote w:type="continuationSeparator" w:id="0">
    <w:p w14:paraId="4C366601" w14:textId="77777777" w:rsidR="00D7610B" w:rsidRDefault="00D7610B" w:rsidP="00B9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3212959"/>
      <w:docPartObj>
        <w:docPartGallery w:val="Page Numbers (Bottom of Page)"/>
        <w:docPartUnique/>
      </w:docPartObj>
    </w:sdtPr>
    <w:sdtEndPr>
      <w:rPr>
        <w:rStyle w:val="PageNumber"/>
      </w:rPr>
    </w:sdtEndPr>
    <w:sdtContent>
      <w:p w14:paraId="6C0B79EA" w14:textId="0A1FEC68" w:rsidR="00FE5034" w:rsidRDefault="00FE5034" w:rsidP="00152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8DE1D01" w14:textId="77777777" w:rsidR="00FE5034" w:rsidRDefault="00FE5034" w:rsidP="00FE50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1263195"/>
      <w:docPartObj>
        <w:docPartGallery w:val="Page Numbers (Bottom of Page)"/>
        <w:docPartUnique/>
      </w:docPartObj>
    </w:sdtPr>
    <w:sdtEndPr>
      <w:rPr>
        <w:rStyle w:val="PageNumber"/>
      </w:rPr>
    </w:sdtEndPr>
    <w:sdtContent>
      <w:p w14:paraId="3FBD64D7" w14:textId="7BC3DF55" w:rsidR="00FE5034" w:rsidRDefault="00FE5034" w:rsidP="00152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1D9D">
          <w:rPr>
            <w:rStyle w:val="PageNumber"/>
            <w:noProof/>
          </w:rPr>
          <w:t>10</w:t>
        </w:r>
        <w:r>
          <w:rPr>
            <w:rStyle w:val="PageNumber"/>
          </w:rPr>
          <w:fldChar w:fldCharType="end"/>
        </w:r>
      </w:p>
    </w:sdtContent>
  </w:sdt>
  <w:p w14:paraId="0B47BDB5" w14:textId="77777777" w:rsidR="002A1316" w:rsidRDefault="00D7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45B2" w14:textId="77777777" w:rsidR="00D7610B" w:rsidRDefault="00D7610B" w:rsidP="00B97136">
      <w:r>
        <w:separator/>
      </w:r>
    </w:p>
  </w:footnote>
  <w:footnote w:type="continuationSeparator" w:id="0">
    <w:p w14:paraId="4877183D" w14:textId="77777777" w:rsidR="00D7610B" w:rsidRDefault="00D7610B" w:rsidP="00B97136">
      <w:r>
        <w:continuationSeparator/>
      </w:r>
    </w:p>
  </w:footnote>
  <w:footnote w:id="1">
    <w:p w14:paraId="2508C09F" w14:textId="77777777" w:rsidR="00B97136" w:rsidRDefault="00B97136" w:rsidP="00B97136">
      <w:pPr>
        <w:pStyle w:val="FootnoteText"/>
        <w:jc w:val="both"/>
      </w:pPr>
      <w:r w:rsidRPr="002361EB">
        <w:rPr>
          <w:rStyle w:val="FootnoteReference"/>
          <w:rFonts w:ascii="Arial" w:hAnsi="Arial" w:cs="Arial"/>
        </w:rPr>
        <w:footnoteRef/>
      </w:r>
      <w:r w:rsidRPr="002361EB">
        <w:rPr>
          <w:rFonts w:ascii="Arial" w:hAnsi="Arial" w:cs="Arial"/>
        </w:rPr>
        <w:t xml:space="preserve"> </w:t>
      </w:r>
      <w:r w:rsidRPr="002361EB">
        <w:rPr>
          <w:rFonts w:ascii="Arial" w:hAnsi="Arial" w:cs="Arial"/>
          <w:i/>
        </w:rPr>
        <w:t xml:space="preserve">Union &amp; National Insurance Co Ltd v Coetzee </w:t>
      </w:r>
      <w:r w:rsidRPr="002361EB">
        <w:rPr>
          <w:rFonts w:ascii="Arial" w:hAnsi="Arial" w:cs="Arial"/>
        </w:rPr>
        <w:t xml:space="preserve">1970(1) SA 295 (A) at 300A; </w:t>
      </w:r>
      <w:r w:rsidRPr="002361EB">
        <w:rPr>
          <w:rFonts w:ascii="Arial" w:hAnsi="Arial" w:cs="Arial"/>
          <w:i/>
        </w:rPr>
        <w:t>Santam Versekering Maatskappy Bpk v Byleveldt</w:t>
      </w:r>
      <w:r w:rsidRPr="002361EB">
        <w:rPr>
          <w:rFonts w:ascii="Arial" w:hAnsi="Arial" w:cs="Arial"/>
        </w:rPr>
        <w:t xml:space="preserve"> 1973 (2) SA 146 (A); </w:t>
      </w:r>
      <w:r w:rsidRPr="002361EB">
        <w:rPr>
          <w:rFonts w:ascii="Arial" w:hAnsi="Arial" w:cs="Arial"/>
          <w:i/>
        </w:rPr>
        <w:t>Dippenaaar v Shield Insurance Co Ltd</w:t>
      </w:r>
      <w:r w:rsidRPr="002361EB">
        <w:rPr>
          <w:rFonts w:ascii="Arial" w:hAnsi="Arial" w:cs="Arial"/>
        </w:rPr>
        <w:t xml:space="preserve"> 1979 (2) SA 904 (A); </w:t>
      </w:r>
      <w:r w:rsidRPr="002361EB">
        <w:rPr>
          <w:rFonts w:ascii="Arial" w:hAnsi="Arial" w:cs="Arial"/>
          <w:i/>
        </w:rPr>
        <w:t>Krugell v Shield Ins. Co Ltd</w:t>
      </w:r>
      <w:r w:rsidRPr="002361EB">
        <w:rPr>
          <w:rFonts w:ascii="Arial" w:hAnsi="Arial" w:cs="Arial"/>
        </w:rPr>
        <w:t xml:space="preserve"> 1982 (4) SA 95 (T) at 99E; </w:t>
      </w:r>
      <w:r w:rsidRPr="002361EB">
        <w:rPr>
          <w:rFonts w:ascii="Arial" w:hAnsi="Arial" w:cs="Arial"/>
          <w:i/>
        </w:rPr>
        <w:t>Rudman v RAF</w:t>
      </w:r>
      <w:r w:rsidRPr="002361EB">
        <w:rPr>
          <w:rFonts w:ascii="Arial" w:hAnsi="Arial" w:cs="Arial"/>
        </w:rPr>
        <w:t xml:space="preserve"> 2003 (2) SA 234 (SCA); </w:t>
      </w:r>
      <w:r w:rsidRPr="002361EB">
        <w:rPr>
          <w:rFonts w:ascii="Arial" w:hAnsi="Arial" w:cs="Arial"/>
          <w:i/>
        </w:rPr>
        <w:t>Prinsloo v RAF</w:t>
      </w:r>
      <w:r w:rsidRPr="002361EB">
        <w:rPr>
          <w:rFonts w:ascii="Arial" w:hAnsi="Arial" w:cs="Arial"/>
        </w:rPr>
        <w:t xml:space="preserve"> 2009(5) SA 406 (SE).</w:t>
      </w:r>
    </w:p>
  </w:footnote>
  <w:footnote w:id="2">
    <w:p w14:paraId="36C3AA0C" w14:textId="6D66B037" w:rsidR="003D237F" w:rsidRPr="003D237F" w:rsidRDefault="003D237F">
      <w:pPr>
        <w:pStyle w:val="FootnoteText"/>
        <w:rPr>
          <w:lang w:val="en-US"/>
        </w:rPr>
      </w:pPr>
      <w:r>
        <w:rPr>
          <w:rStyle w:val="FootnoteReference"/>
        </w:rPr>
        <w:footnoteRef/>
      </w:r>
      <w:r>
        <w:t xml:space="preserve"> </w:t>
      </w:r>
      <w:r w:rsidRPr="00280D9D">
        <w:rPr>
          <w:rFonts w:ascii="Arial" w:hAnsi="Arial" w:cs="Arial"/>
          <w:color w:val="000000" w:themeColor="text1"/>
          <w:lang w:val="en-GB"/>
        </w:rPr>
        <w:t xml:space="preserve">1979 </w:t>
      </w:r>
      <w:r w:rsidRPr="003D237F">
        <w:rPr>
          <w:rFonts w:ascii="Arial" w:hAnsi="Arial" w:cs="Arial"/>
          <w:i/>
          <w:iCs/>
          <w:color w:val="000000" w:themeColor="text1"/>
          <w:lang w:val="en-GB"/>
        </w:rPr>
        <w:t>(2) SA 904 (A)</w:t>
      </w:r>
    </w:p>
  </w:footnote>
  <w:footnote w:id="3">
    <w:p w14:paraId="5BD260A3" w14:textId="77777777" w:rsidR="00B97136" w:rsidRPr="00CE7B34" w:rsidRDefault="00B97136" w:rsidP="00B97136">
      <w:pPr>
        <w:pStyle w:val="FootnoteText"/>
        <w:rPr>
          <w:lang w:val="en-US"/>
        </w:rPr>
      </w:pPr>
      <w:r>
        <w:rPr>
          <w:rStyle w:val="FootnoteReference"/>
        </w:rPr>
        <w:footnoteRef/>
      </w:r>
      <w:r>
        <w:t xml:space="preserve"> </w:t>
      </w:r>
      <w:r w:rsidRPr="002361EB">
        <w:rPr>
          <w:rFonts w:ascii="Arial" w:hAnsi="Arial" w:cs="Arial"/>
          <w:bCs/>
          <w:color w:val="000000" w:themeColor="text1"/>
          <w:lang w:val="en-GB"/>
        </w:rPr>
        <w:t>2001 (3) SA 1188 (SCA)</w:t>
      </w:r>
    </w:p>
  </w:footnote>
  <w:footnote w:id="4">
    <w:p w14:paraId="189B0664" w14:textId="102FADA1" w:rsidR="003D237F" w:rsidRPr="003D237F" w:rsidRDefault="003D237F">
      <w:pPr>
        <w:pStyle w:val="FootnoteText"/>
        <w:rPr>
          <w:lang w:val="en-US"/>
        </w:rPr>
      </w:pPr>
      <w:r>
        <w:rPr>
          <w:rStyle w:val="FootnoteReference"/>
        </w:rPr>
        <w:footnoteRef/>
      </w:r>
      <w:r>
        <w:t xml:space="preserve"> </w:t>
      </w:r>
      <w:r w:rsidRPr="00C41D9D">
        <w:rPr>
          <w:rFonts w:ascii="Arial" w:hAnsi="Arial" w:cs="Arial"/>
          <w:i/>
          <w:iCs/>
          <w:color w:val="000000" w:themeColor="text1"/>
        </w:rPr>
        <w:t>(2457/2017) 2020 ZAFSHC (unreported)</w:t>
      </w:r>
    </w:p>
  </w:footnote>
  <w:footnote w:id="5">
    <w:p w14:paraId="56BCEACF" w14:textId="26626FFF" w:rsidR="003D237F" w:rsidRPr="003D237F" w:rsidRDefault="003D237F">
      <w:pPr>
        <w:pStyle w:val="FootnoteText"/>
        <w:rPr>
          <w:lang w:val="en-US"/>
        </w:rPr>
      </w:pPr>
      <w:r>
        <w:rPr>
          <w:rStyle w:val="FootnoteReference"/>
        </w:rPr>
        <w:footnoteRef/>
      </w:r>
      <w:r>
        <w:t xml:space="preserve"> </w:t>
      </w:r>
      <w:hyperlink r:id="rId1" w:tooltip="View LawCiteRecord" w:history="1">
        <w:r w:rsidRPr="0099208F">
          <w:rPr>
            <w:rStyle w:val="Hyperlink"/>
            <w:rFonts w:ascii="Arial" w:hAnsi="Arial" w:cs="Arial"/>
            <w:i/>
            <w:iCs/>
            <w:u w:val="none"/>
          </w:rPr>
          <w:t>1984 (1) SA 98</w:t>
        </w:r>
      </w:hyperlink>
      <w:r w:rsidRPr="0099208F">
        <w:rPr>
          <w:rFonts w:ascii="Arial" w:hAnsi="Arial" w:cs="Arial"/>
          <w:i/>
          <w:iCs/>
          <w:color w:val="000000" w:themeColor="text1"/>
        </w:rPr>
        <w:t> (A) at 113G and 116G-117A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A2AFE"/>
    <w:multiLevelType w:val="hybridMultilevel"/>
    <w:tmpl w:val="AAF027B4"/>
    <w:lvl w:ilvl="0" w:tplc="A3C669BE">
      <w:start w:val="1"/>
      <w:numFmt w:val="decimal"/>
      <w:lvlText w:val="%1."/>
      <w:lvlJc w:val="left"/>
      <w:pPr>
        <w:ind w:left="1080" w:hanging="360"/>
      </w:pPr>
      <w:rPr>
        <w:rFonts w:cs="Times New Roman" w:hint="default"/>
        <w:b w:val="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36"/>
    <w:rsid w:val="00017C08"/>
    <w:rsid w:val="000426A9"/>
    <w:rsid w:val="000C1D9D"/>
    <w:rsid w:val="001F5672"/>
    <w:rsid w:val="00217A8D"/>
    <w:rsid w:val="00265878"/>
    <w:rsid w:val="002D6440"/>
    <w:rsid w:val="00390B3C"/>
    <w:rsid w:val="003B678D"/>
    <w:rsid w:val="003C608B"/>
    <w:rsid w:val="003D237F"/>
    <w:rsid w:val="0045086D"/>
    <w:rsid w:val="00475096"/>
    <w:rsid w:val="00482119"/>
    <w:rsid w:val="006542C1"/>
    <w:rsid w:val="00701A97"/>
    <w:rsid w:val="007D179B"/>
    <w:rsid w:val="007D3B07"/>
    <w:rsid w:val="007E78AC"/>
    <w:rsid w:val="00815D1E"/>
    <w:rsid w:val="00860927"/>
    <w:rsid w:val="00864A18"/>
    <w:rsid w:val="00897975"/>
    <w:rsid w:val="008C3B85"/>
    <w:rsid w:val="00925DBF"/>
    <w:rsid w:val="00930204"/>
    <w:rsid w:val="0099208F"/>
    <w:rsid w:val="00994B88"/>
    <w:rsid w:val="00A74767"/>
    <w:rsid w:val="00AA072C"/>
    <w:rsid w:val="00AD2933"/>
    <w:rsid w:val="00B97136"/>
    <w:rsid w:val="00C33C04"/>
    <w:rsid w:val="00C41D9D"/>
    <w:rsid w:val="00C43DD0"/>
    <w:rsid w:val="00C6542D"/>
    <w:rsid w:val="00C9377F"/>
    <w:rsid w:val="00CC280E"/>
    <w:rsid w:val="00CC4A60"/>
    <w:rsid w:val="00D52A75"/>
    <w:rsid w:val="00D7610B"/>
    <w:rsid w:val="00F00A5C"/>
    <w:rsid w:val="00FC11B9"/>
    <w:rsid w:val="00FD6D4C"/>
    <w:rsid w:val="00FE50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C240"/>
  <w15:chartTrackingRefBased/>
  <w15:docId w15:val="{7B0CEBC3-00F0-7F43-81ED-559EF000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36"/>
    <w:rPr>
      <w:rFonts w:eastAsiaTheme="minorEastAsia" w:cs="Times New Roman"/>
      <w:lang w:val="en-US"/>
    </w:rPr>
  </w:style>
  <w:style w:type="paragraph" w:styleId="Heading1">
    <w:name w:val="heading 1"/>
    <w:basedOn w:val="Normal"/>
    <w:next w:val="Normal"/>
    <w:link w:val="Heading1Char"/>
    <w:uiPriority w:val="9"/>
    <w:qFormat/>
    <w:rsid w:val="00C41D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7136"/>
    <w:rPr>
      <w:rFonts w:cs="Times New Roman"/>
      <w:color w:val="0000FF"/>
      <w:u w:val="single"/>
    </w:rPr>
  </w:style>
  <w:style w:type="paragraph" w:styleId="FootnoteText">
    <w:name w:val="footnote text"/>
    <w:basedOn w:val="Normal"/>
    <w:link w:val="FootnoteTextChar"/>
    <w:uiPriority w:val="99"/>
    <w:rsid w:val="00B97136"/>
    <w:rPr>
      <w:rFonts w:ascii="Times New Roman" w:eastAsia="Times New Roman" w:hAnsi="Times New Roman"/>
      <w:sz w:val="20"/>
      <w:szCs w:val="20"/>
      <w:lang w:val="en-ZA" w:eastAsia="en-ZA"/>
    </w:rPr>
  </w:style>
  <w:style w:type="character" w:customStyle="1" w:styleId="FootnoteTextChar">
    <w:name w:val="Footnote Text Char"/>
    <w:basedOn w:val="DefaultParagraphFont"/>
    <w:link w:val="FootnoteText"/>
    <w:uiPriority w:val="99"/>
    <w:rsid w:val="00B97136"/>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rsid w:val="00B97136"/>
    <w:rPr>
      <w:rFonts w:cs="Times New Roman"/>
      <w:vertAlign w:val="superscript"/>
    </w:rPr>
  </w:style>
  <w:style w:type="paragraph" w:customStyle="1" w:styleId="western">
    <w:name w:val="western"/>
    <w:basedOn w:val="Normal"/>
    <w:rsid w:val="00B97136"/>
    <w:pPr>
      <w:spacing w:before="100" w:beforeAutospacing="1" w:after="100" w:afterAutospacing="1"/>
    </w:pPr>
    <w:rPr>
      <w:rFonts w:ascii="Times New Roman" w:eastAsia="Times New Roman" w:hAnsi="Times New Roman"/>
      <w:lang w:val="en-ZA" w:eastAsia="en-ZA"/>
    </w:rPr>
  </w:style>
  <w:style w:type="paragraph" w:styleId="Footer">
    <w:name w:val="footer"/>
    <w:basedOn w:val="Normal"/>
    <w:link w:val="FooterChar"/>
    <w:uiPriority w:val="99"/>
    <w:unhideWhenUsed/>
    <w:rsid w:val="00B97136"/>
    <w:pPr>
      <w:tabs>
        <w:tab w:val="center" w:pos="4513"/>
        <w:tab w:val="right" w:pos="9026"/>
      </w:tabs>
    </w:pPr>
  </w:style>
  <w:style w:type="character" w:customStyle="1" w:styleId="FooterChar">
    <w:name w:val="Footer Char"/>
    <w:basedOn w:val="DefaultParagraphFont"/>
    <w:link w:val="Footer"/>
    <w:uiPriority w:val="99"/>
    <w:rsid w:val="00B97136"/>
    <w:rPr>
      <w:rFonts w:eastAsiaTheme="minorEastAsia" w:cs="Times New Roman"/>
      <w:lang w:val="en-US"/>
    </w:rPr>
  </w:style>
  <w:style w:type="character" w:customStyle="1" w:styleId="Heading1Char">
    <w:name w:val="Heading 1 Char"/>
    <w:basedOn w:val="DefaultParagraphFont"/>
    <w:link w:val="Heading1"/>
    <w:uiPriority w:val="9"/>
    <w:rsid w:val="00C41D9D"/>
    <w:rPr>
      <w:rFonts w:asciiTheme="majorHAnsi" w:eastAsiaTheme="majorEastAsia" w:hAnsiTheme="majorHAnsi" w:cstheme="majorBidi"/>
      <w:color w:val="2F5496" w:themeColor="accent1" w:themeShade="BF"/>
      <w:sz w:val="32"/>
      <w:szCs w:val="32"/>
      <w:lang w:val="en-US"/>
    </w:rPr>
  </w:style>
  <w:style w:type="character" w:customStyle="1" w:styleId="UnresolvedMention">
    <w:name w:val="Unresolved Mention"/>
    <w:basedOn w:val="DefaultParagraphFont"/>
    <w:uiPriority w:val="99"/>
    <w:semiHidden/>
    <w:unhideWhenUsed/>
    <w:rsid w:val="0099208F"/>
    <w:rPr>
      <w:color w:val="605E5C"/>
      <w:shd w:val="clear" w:color="auto" w:fill="E1DFDD"/>
    </w:rPr>
  </w:style>
  <w:style w:type="character" w:styleId="FollowedHyperlink">
    <w:name w:val="FollowedHyperlink"/>
    <w:basedOn w:val="DefaultParagraphFont"/>
    <w:uiPriority w:val="99"/>
    <w:semiHidden/>
    <w:unhideWhenUsed/>
    <w:rsid w:val="003D237F"/>
    <w:rPr>
      <w:color w:val="954F72" w:themeColor="followedHyperlink"/>
      <w:u w:val="single"/>
    </w:rPr>
  </w:style>
  <w:style w:type="character" w:styleId="PageNumber">
    <w:name w:val="page number"/>
    <w:basedOn w:val="DefaultParagraphFont"/>
    <w:uiPriority w:val="99"/>
    <w:semiHidden/>
    <w:unhideWhenUsed/>
    <w:rsid w:val="00FE5034"/>
  </w:style>
  <w:style w:type="paragraph" w:styleId="Header">
    <w:name w:val="header"/>
    <w:basedOn w:val="Normal"/>
    <w:link w:val="HeaderChar"/>
    <w:uiPriority w:val="99"/>
    <w:unhideWhenUsed/>
    <w:rsid w:val="00C6542D"/>
    <w:pPr>
      <w:tabs>
        <w:tab w:val="center" w:pos="4513"/>
        <w:tab w:val="right" w:pos="9026"/>
      </w:tabs>
    </w:pPr>
  </w:style>
  <w:style w:type="character" w:customStyle="1" w:styleId="HeaderChar">
    <w:name w:val="Header Char"/>
    <w:basedOn w:val="DefaultParagraphFont"/>
    <w:link w:val="Header"/>
    <w:uiPriority w:val="99"/>
    <w:rsid w:val="00C6542D"/>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0746">
      <w:bodyDiv w:val="1"/>
      <w:marLeft w:val="0"/>
      <w:marRight w:val="0"/>
      <w:marTop w:val="0"/>
      <w:marBottom w:val="0"/>
      <w:divBdr>
        <w:top w:val="none" w:sz="0" w:space="0" w:color="auto"/>
        <w:left w:val="none" w:sz="0" w:space="0" w:color="auto"/>
        <w:bottom w:val="none" w:sz="0" w:space="0" w:color="auto"/>
        <w:right w:val="none" w:sz="0" w:space="0" w:color="auto"/>
      </w:divBdr>
    </w:div>
    <w:div w:id="387654266">
      <w:bodyDiv w:val="1"/>
      <w:marLeft w:val="0"/>
      <w:marRight w:val="0"/>
      <w:marTop w:val="0"/>
      <w:marBottom w:val="0"/>
      <w:divBdr>
        <w:top w:val="none" w:sz="0" w:space="0" w:color="auto"/>
        <w:left w:val="none" w:sz="0" w:space="0" w:color="auto"/>
        <w:bottom w:val="none" w:sz="0" w:space="0" w:color="auto"/>
        <w:right w:val="none" w:sz="0" w:space="0" w:color="auto"/>
      </w:divBdr>
    </w:div>
    <w:div w:id="1203329742">
      <w:bodyDiv w:val="1"/>
      <w:marLeft w:val="0"/>
      <w:marRight w:val="0"/>
      <w:marTop w:val="0"/>
      <w:marBottom w:val="0"/>
      <w:divBdr>
        <w:top w:val="none" w:sz="0" w:space="0" w:color="auto"/>
        <w:left w:val="none" w:sz="0" w:space="0" w:color="auto"/>
        <w:bottom w:val="none" w:sz="0" w:space="0" w:color="auto"/>
        <w:right w:val="none" w:sz="0" w:space="0" w:color="auto"/>
      </w:divBdr>
    </w:div>
    <w:div w:id="1743671665">
      <w:bodyDiv w:val="1"/>
      <w:marLeft w:val="0"/>
      <w:marRight w:val="0"/>
      <w:marTop w:val="0"/>
      <w:marBottom w:val="0"/>
      <w:divBdr>
        <w:top w:val="none" w:sz="0" w:space="0" w:color="auto"/>
        <w:left w:val="none" w:sz="0" w:space="0" w:color="auto"/>
        <w:bottom w:val="none" w:sz="0" w:space="0" w:color="auto"/>
        <w:right w:val="none" w:sz="0" w:space="0" w:color="auto"/>
      </w:divBdr>
    </w:div>
    <w:div w:id="2050647340">
      <w:bodyDiv w:val="1"/>
      <w:marLeft w:val="0"/>
      <w:marRight w:val="0"/>
      <w:marTop w:val="0"/>
      <w:marBottom w:val="0"/>
      <w:divBdr>
        <w:top w:val="none" w:sz="0" w:space="0" w:color="auto"/>
        <w:left w:val="none" w:sz="0" w:space="0" w:color="auto"/>
        <w:bottom w:val="none" w:sz="0" w:space="0" w:color="auto"/>
        <w:right w:val="none" w:sz="0" w:space="0" w:color="auto"/>
      </w:divBdr>
    </w:div>
    <w:div w:id="21431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200%20SC%20%28HL%29%207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flii.org/cgi-bin/LawCite?cit=%5b1998%5d%20AC%20232" TargetMode="External"/><Relationship Id="rId17" Type="http://schemas.openxmlformats.org/officeDocument/2006/relationships/hyperlink" Target="http://www.saflii.org/cgi-bin/LawCite?cit=%281962%29%2036%20ALJR%20212" TargetMode="External"/><Relationship Id="rId2" Type="http://schemas.openxmlformats.org/officeDocument/2006/relationships/numbering" Target="numbering.xml"/><Relationship Id="rId16" Type="http://schemas.openxmlformats.org/officeDocument/2006/relationships/hyperlink" Target="http://www.austlii.edu.au/au/cases/cth/HCA/1962/5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lii.org/uk/cases/UKHL/1997/46.html" TargetMode="External"/><Relationship Id="rId5" Type="http://schemas.openxmlformats.org/officeDocument/2006/relationships/webSettings" Target="webSettings.xml"/><Relationship Id="rId15" Type="http://schemas.openxmlformats.org/officeDocument/2006/relationships/hyperlink" Target="http://www.saflii.org/cgi-bin/LawCite?cit=1980%20%283%29%20SA%20105" TargetMode="External"/><Relationship Id="rId10" Type="http://schemas.openxmlformats.org/officeDocument/2006/relationships/hyperlink" Target="http://www.saflii.org/cgi-bin/LawCite?cit=1911%20AD%206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flii.org/cgi-bin/LawCite?cit=1963%20%281%29%20SA%206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84%20%281%29%20SA%2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CB2E-650D-46C0-A06C-BB4EEBAE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Mokone</cp:lastModifiedBy>
  <cp:revision>2</cp:revision>
  <dcterms:created xsi:type="dcterms:W3CDTF">2023-07-21T12:45:00Z</dcterms:created>
  <dcterms:modified xsi:type="dcterms:W3CDTF">2023-07-21T12:45:00Z</dcterms:modified>
  <cp:category/>
</cp:coreProperties>
</file>