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A69E5" w14:textId="77777777" w:rsidR="00677251" w:rsidRPr="00DB2A06" w:rsidRDefault="00677251" w:rsidP="0067725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67E34C0" w14:textId="77777777" w:rsidR="00677251" w:rsidRDefault="00677251">
      <w:pPr>
        <w:pStyle w:val="BodyText"/>
        <w:ind w:left="3593"/>
        <w:rPr>
          <w:rFonts w:cs="Arial"/>
          <w:noProof/>
          <w:sz w:val="24"/>
          <w:szCs w:val="24"/>
        </w:rPr>
      </w:pPr>
    </w:p>
    <w:p w14:paraId="2004FA4E" w14:textId="77777777" w:rsidR="007A78E0" w:rsidRPr="00961D21" w:rsidRDefault="00DC507E">
      <w:pPr>
        <w:pStyle w:val="BodyText"/>
        <w:ind w:left="3593"/>
        <w:rPr>
          <w:rFonts w:cs="Arial"/>
          <w:sz w:val="24"/>
          <w:szCs w:val="24"/>
          <w:lang w:val="en-GB"/>
        </w:rPr>
      </w:pPr>
      <w:r w:rsidRPr="00961D21">
        <w:rPr>
          <w:rFonts w:cs="Arial"/>
          <w:noProof/>
          <w:sz w:val="24"/>
          <w:szCs w:val="24"/>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9324" cy="1453229"/>
                    </a:xfrm>
                    <a:prstGeom prst="rect">
                      <a:avLst/>
                    </a:prstGeom>
                  </pic:spPr>
                </pic:pic>
              </a:graphicData>
            </a:graphic>
          </wp:inline>
        </w:drawing>
      </w:r>
    </w:p>
    <w:p w14:paraId="7A0333A3" w14:textId="77777777" w:rsidR="007A78E0" w:rsidRPr="00961D21" w:rsidRDefault="007A78E0">
      <w:pPr>
        <w:pStyle w:val="BodyText"/>
        <w:spacing w:before="6"/>
        <w:rPr>
          <w:rFonts w:cs="Arial"/>
          <w:sz w:val="24"/>
          <w:szCs w:val="24"/>
          <w:lang w:val="en-GB"/>
        </w:rPr>
      </w:pPr>
    </w:p>
    <w:p w14:paraId="67E0E1FC" w14:textId="77777777" w:rsidR="007A78E0" w:rsidRPr="00961D21" w:rsidRDefault="00DC507E">
      <w:pPr>
        <w:spacing w:before="89" w:line="367" w:lineRule="auto"/>
        <w:ind w:left="2605" w:right="2366" w:hanging="524"/>
        <w:rPr>
          <w:rFonts w:cs="Arial"/>
          <w:b/>
          <w:szCs w:val="24"/>
          <w:lang w:val="en-GB"/>
        </w:rPr>
      </w:pPr>
      <w:r w:rsidRPr="00961D21">
        <w:rPr>
          <w:rFonts w:cs="Arial"/>
          <w:szCs w:val="24"/>
          <w:lang w:val="en-GB"/>
        </w:rPr>
        <w:t>I</w:t>
      </w:r>
      <w:r w:rsidRPr="00961D21">
        <w:rPr>
          <w:rFonts w:cs="Arial"/>
          <w:b/>
          <w:szCs w:val="24"/>
          <w:lang w:val="en-GB"/>
        </w:rPr>
        <w:t>N THE HIGH COURT OF SOUTH AFRICA</w:t>
      </w:r>
      <w:r w:rsidRPr="00961D21">
        <w:rPr>
          <w:rFonts w:cs="Arial"/>
          <w:b/>
          <w:spacing w:val="-62"/>
          <w:szCs w:val="24"/>
          <w:lang w:val="en-GB"/>
        </w:rPr>
        <w:t xml:space="preserve"> </w:t>
      </w:r>
      <w:r w:rsidRPr="00961D21">
        <w:rPr>
          <w:rFonts w:cs="Arial"/>
          <w:b/>
          <w:szCs w:val="24"/>
          <w:lang w:val="en-GB"/>
        </w:rPr>
        <w:t>GAUTENG</w:t>
      </w:r>
      <w:r w:rsidRPr="00961D21">
        <w:rPr>
          <w:rFonts w:cs="Arial"/>
          <w:b/>
          <w:spacing w:val="-2"/>
          <w:szCs w:val="24"/>
          <w:lang w:val="en-GB"/>
        </w:rPr>
        <w:t xml:space="preserve"> </w:t>
      </w:r>
      <w:r w:rsidRPr="00961D21">
        <w:rPr>
          <w:rFonts w:cs="Arial"/>
          <w:b/>
          <w:szCs w:val="24"/>
          <w:lang w:val="en-GB"/>
        </w:rPr>
        <w:t>DIVISION,</w:t>
      </w:r>
      <w:r w:rsidRPr="00961D21">
        <w:rPr>
          <w:rFonts w:cs="Arial"/>
          <w:b/>
          <w:spacing w:val="-1"/>
          <w:szCs w:val="24"/>
          <w:lang w:val="en-GB"/>
        </w:rPr>
        <w:t xml:space="preserve"> </w:t>
      </w:r>
      <w:r w:rsidRPr="00961D21">
        <w:rPr>
          <w:rFonts w:cs="Arial"/>
          <w:b/>
          <w:szCs w:val="24"/>
          <w:lang w:val="en-GB"/>
        </w:rPr>
        <w:t>PRETORIA</w:t>
      </w:r>
    </w:p>
    <w:p w14:paraId="394A5E6F" w14:textId="77777777" w:rsidR="007A78E0" w:rsidRPr="00961D21" w:rsidRDefault="007A78E0">
      <w:pPr>
        <w:pStyle w:val="BodyText"/>
        <w:rPr>
          <w:rFonts w:cs="Arial"/>
          <w:b/>
          <w:sz w:val="24"/>
          <w:szCs w:val="24"/>
          <w:lang w:val="en-GB"/>
        </w:rPr>
      </w:pPr>
    </w:p>
    <w:p w14:paraId="751592A6" w14:textId="77777777" w:rsidR="007A78E0" w:rsidRPr="00961D21" w:rsidRDefault="007A78E0">
      <w:pPr>
        <w:pStyle w:val="BodyText"/>
        <w:spacing w:before="1"/>
        <w:rPr>
          <w:rFonts w:cs="Arial"/>
          <w:b/>
          <w:sz w:val="24"/>
          <w:szCs w:val="24"/>
          <w:lang w:val="en-GB"/>
        </w:rPr>
      </w:pPr>
    </w:p>
    <w:p w14:paraId="2D5D436E" w14:textId="44F43541" w:rsidR="00D93A74" w:rsidRPr="00961D21" w:rsidRDefault="00DC507E">
      <w:pPr>
        <w:spacing w:line="298" w:lineRule="exact"/>
        <w:ind w:right="108"/>
        <w:jc w:val="right"/>
        <w:rPr>
          <w:rFonts w:cs="Arial"/>
          <w:b/>
          <w:szCs w:val="24"/>
          <w:lang w:val="en-GB"/>
        </w:rPr>
      </w:pPr>
      <w:r w:rsidRPr="00961D21">
        <w:rPr>
          <w:rFonts w:cs="Arial"/>
          <w:b/>
          <w:szCs w:val="24"/>
          <w:lang w:val="en-GB"/>
        </w:rPr>
        <w:t>CASE</w:t>
      </w:r>
      <w:r w:rsidRPr="00961D21">
        <w:rPr>
          <w:rFonts w:cs="Arial"/>
          <w:b/>
          <w:spacing w:val="-2"/>
          <w:szCs w:val="24"/>
          <w:lang w:val="en-GB"/>
        </w:rPr>
        <w:t xml:space="preserve"> </w:t>
      </w:r>
      <w:r w:rsidRPr="00961D21">
        <w:rPr>
          <w:rFonts w:cs="Arial"/>
          <w:b/>
          <w:szCs w:val="24"/>
          <w:lang w:val="en-GB"/>
        </w:rPr>
        <w:t>NO:</w:t>
      </w:r>
      <w:r w:rsidRPr="00961D21">
        <w:rPr>
          <w:rFonts w:cs="Arial"/>
          <w:b/>
          <w:spacing w:val="63"/>
          <w:szCs w:val="24"/>
          <w:lang w:val="en-GB"/>
        </w:rPr>
        <w:t xml:space="preserve"> </w:t>
      </w:r>
      <w:r w:rsidR="00646D45" w:rsidRPr="00961D21">
        <w:rPr>
          <w:rFonts w:cs="Arial"/>
          <w:b/>
          <w:szCs w:val="24"/>
          <w:lang w:val="en-GB"/>
        </w:rPr>
        <w:t>18971/2021</w:t>
      </w:r>
    </w:p>
    <w:p w14:paraId="47B4DD7F" w14:textId="77777777" w:rsidR="007A78E0" w:rsidRPr="00961D21" w:rsidRDefault="007A78E0">
      <w:pPr>
        <w:pStyle w:val="BodyText"/>
        <w:rPr>
          <w:rFonts w:cs="Arial"/>
          <w:b/>
          <w:sz w:val="24"/>
          <w:szCs w:val="24"/>
          <w:lang w:val="en-GB"/>
        </w:rPr>
      </w:pPr>
    </w:p>
    <w:p w14:paraId="0D3F1CDC" w14:textId="4942EC14" w:rsidR="00991491" w:rsidRPr="00961D21" w:rsidRDefault="00991491">
      <w:pPr>
        <w:pStyle w:val="BodyText"/>
        <w:rPr>
          <w:rFonts w:cs="Arial"/>
          <w:b/>
          <w:sz w:val="24"/>
          <w:szCs w:val="24"/>
          <w:lang w:val="en-GB"/>
        </w:rPr>
      </w:pPr>
      <w:r w:rsidRPr="00961D21">
        <w:rPr>
          <w:rFonts w:ascii="Times New Roman" w:eastAsia="Calibri" w:hAnsi="Times New Roman"/>
          <w:noProof/>
        </w:rPr>
        <w:drawing>
          <wp:inline distT="0" distB="0" distL="0" distR="0" wp14:anchorId="27679209" wp14:editId="4B5A23C8">
            <wp:extent cx="29527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581150"/>
                    </a:xfrm>
                    <a:prstGeom prst="rect">
                      <a:avLst/>
                    </a:prstGeom>
                    <a:noFill/>
                  </pic:spPr>
                </pic:pic>
              </a:graphicData>
            </a:graphic>
          </wp:inline>
        </w:drawing>
      </w:r>
    </w:p>
    <w:p w14:paraId="410C96F1" w14:textId="77777777" w:rsidR="00991491" w:rsidRPr="00961D21" w:rsidRDefault="00991491">
      <w:pPr>
        <w:pStyle w:val="BodyText"/>
        <w:rPr>
          <w:rFonts w:cs="Arial"/>
          <w:b/>
          <w:sz w:val="24"/>
          <w:szCs w:val="24"/>
          <w:lang w:val="en-GB"/>
        </w:rPr>
      </w:pPr>
    </w:p>
    <w:p w14:paraId="237FA16B" w14:textId="77777777" w:rsidR="002C11BA" w:rsidRPr="00961D21" w:rsidRDefault="002C11BA">
      <w:pPr>
        <w:pStyle w:val="BodyText"/>
        <w:rPr>
          <w:rFonts w:cs="Arial"/>
          <w:bCs/>
          <w:sz w:val="24"/>
          <w:szCs w:val="24"/>
          <w:lang w:val="en-GB"/>
        </w:rPr>
      </w:pPr>
    </w:p>
    <w:p w14:paraId="096B80C7" w14:textId="6FC63F84" w:rsidR="00991491" w:rsidRPr="00961D21" w:rsidRDefault="002C11BA" w:rsidP="002C11BA">
      <w:pPr>
        <w:pStyle w:val="BodyText"/>
        <w:ind w:left="426"/>
        <w:rPr>
          <w:rFonts w:cs="Arial"/>
          <w:bCs/>
          <w:sz w:val="24"/>
          <w:szCs w:val="24"/>
          <w:lang w:val="en-GB"/>
        </w:rPr>
      </w:pPr>
      <w:r w:rsidRPr="00961D21">
        <w:rPr>
          <w:rFonts w:cs="Arial"/>
          <w:bCs/>
          <w:sz w:val="24"/>
          <w:szCs w:val="24"/>
          <w:lang w:val="en-GB"/>
        </w:rPr>
        <w:t>In the matter between:</w:t>
      </w:r>
    </w:p>
    <w:p w14:paraId="569402F8" w14:textId="77777777" w:rsidR="002C11BA" w:rsidRPr="00961D21" w:rsidRDefault="002C11BA" w:rsidP="002C11BA">
      <w:pPr>
        <w:pStyle w:val="BodyText"/>
        <w:ind w:left="426"/>
        <w:rPr>
          <w:rFonts w:cs="Arial"/>
          <w:bCs/>
          <w:sz w:val="24"/>
          <w:szCs w:val="24"/>
          <w:lang w:val="en-GB"/>
        </w:rPr>
      </w:pPr>
    </w:p>
    <w:p w14:paraId="00A22489" w14:textId="77777777" w:rsidR="007A78E0" w:rsidRPr="00961D21" w:rsidRDefault="007A78E0">
      <w:pPr>
        <w:pStyle w:val="BodyText"/>
        <w:rPr>
          <w:rFonts w:cs="Arial"/>
          <w:b/>
          <w:sz w:val="24"/>
          <w:szCs w:val="24"/>
          <w:lang w:val="en-G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27"/>
      </w:tblGrid>
      <w:tr w:rsidR="00232F72" w:rsidRPr="00961D21" w14:paraId="60B7E919" w14:textId="77777777" w:rsidTr="003740BC">
        <w:tc>
          <w:tcPr>
            <w:tcW w:w="6804" w:type="dxa"/>
            <w:hideMark/>
          </w:tcPr>
          <w:p w14:paraId="6BF5618F" w14:textId="1EB3D948" w:rsidR="002C11BA" w:rsidRPr="00961D21" w:rsidRDefault="00646D45" w:rsidP="002C11BA">
            <w:pPr>
              <w:spacing w:line="360" w:lineRule="auto"/>
              <w:ind w:left="181" w:right="163"/>
              <w:rPr>
                <w:rFonts w:cs="Arial"/>
                <w:b/>
                <w:szCs w:val="24"/>
              </w:rPr>
            </w:pPr>
            <w:r w:rsidRPr="00961D21">
              <w:rPr>
                <w:rFonts w:cs="Arial"/>
                <w:b/>
                <w:szCs w:val="24"/>
              </w:rPr>
              <w:t>MUDUVIWA C.F.C</w:t>
            </w:r>
          </w:p>
          <w:p w14:paraId="3699A66A" w14:textId="3BA86E31" w:rsidR="00D93A74" w:rsidRPr="00961D21" w:rsidRDefault="00D93A74" w:rsidP="0090402C">
            <w:pPr>
              <w:spacing w:line="360" w:lineRule="auto"/>
              <w:ind w:left="181" w:right="163"/>
              <w:rPr>
                <w:rFonts w:cs="Arial"/>
                <w:bCs/>
                <w:szCs w:val="24"/>
              </w:rPr>
            </w:pPr>
          </w:p>
        </w:tc>
        <w:tc>
          <w:tcPr>
            <w:tcW w:w="2527" w:type="dxa"/>
            <w:hideMark/>
          </w:tcPr>
          <w:p w14:paraId="3F920ADF" w14:textId="05783B11" w:rsidR="00232F72" w:rsidRPr="00961D21" w:rsidRDefault="00646D45" w:rsidP="00036295">
            <w:pPr>
              <w:spacing w:line="360" w:lineRule="auto"/>
              <w:jc w:val="right"/>
              <w:rPr>
                <w:rFonts w:cs="Arial"/>
                <w:szCs w:val="24"/>
              </w:rPr>
            </w:pPr>
            <w:r w:rsidRPr="00961D21">
              <w:rPr>
                <w:rFonts w:cs="Arial"/>
                <w:szCs w:val="24"/>
              </w:rPr>
              <w:t xml:space="preserve">First Applicant </w:t>
            </w:r>
          </w:p>
        </w:tc>
      </w:tr>
      <w:tr w:rsidR="00646D45" w:rsidRPr="00961D21" w14:paraId="6050D4D6" w14:textId="77777777" w:rsidTr="003740BC">
        <w:tc>
          <w:tcPr>
            <w:tcW w:w="6804" w:type="dxa"/>
          </w:tcPr>
          <w:p w14:paraId="6F672B24" w14:textId="77777777" w:rsidR="00646D45" w:rsidRPr="00961D21" w:rsidRDefault="00646D45" w:rsidP="002C11BA">
            <w:pPr>
              <w:spacing w:line="360" w:lineRule="auto"/>
              <w:ind w:left="181" w:right="163"/>
              <w:rPr>
                <w:rFonts w:cs="Arial"/>
                <w:b/>
                <w:szCs w:val="24"/>
              </w:rPr>
            </w:pPr>
          </w:p>
        </w:tc>
        <w:tc>
          <w:tcPr>
            <w:tcW w:w="2527" w:type="dxa"/>
          </w:tcPr>
          <w:p w14:paraId="63EEEEED" w14:textId="77777777" w:rsidR="00646D45" w:rsidRPr="00961D21" w:rsidRDefault="00646D45" w:rsidP="00036295">
            <w:pPr>
              <w:spacing w:line="360" w:lineRule="auto"/>
              <w:jc w:val="right"/>
              <w:rPr>
                <w:rFonts w:cs="Arial"/>
                <w:szCs w:val="24"/>
              </w:rPr>
            </w:pPr>
          </w:p>
        </w:tc>
      </w:tr>
      <w:tr w:rsidR="00646D45" w:rsidRPr="00961D21" w14:paraId="45BF8D25" w14:textId="77777777" w:rsidTr="003740BC">
        <w:tc>
          <w:tcPr>
            <w:tcW w:w="6804" w:type="dxa"/>
          </w:tcPr>
          <w:p w14:paraId="73B8A1B8" w14:textId="32B31F7B" w:rsidR="00646D45" w:rsidRPr="00961D21" w:rsidRDefault="00646D45" w:rsidP="002C11BA">
            <w:pPr>
              <w:spacing w:line="360" w:lineRule="auto"/>
              <w:ind w:left="181" w:right="163"/>
              <w:rPr>
                <w:rFonts w:cs="Arial"/>
                <w:b/>
                <w:szCs w:val="24"/>
              </w:rPr>
            </w:pPr>
            <w:r w:rsidRPr="00961D21">
              <w:rPr>
                <w:rFonts w:cs="Arial"/>
                <w:b/>
                <w:szCs w:val="24"/>
              </w:rPr>
              <w:t>KERE E</w:t>
            </w:r>
          </w:p>
        </w:tc>
        <w:tc>
          <w:tcPr>
            <w:tcW w:w="2527" w:type="dxa"/>
          </w:tcPr>
          <w:p w14:paraId="0D20FE11" w14:textId="481E0AC1" w:rsidR="00646D45" w:rsidRPr="00961D21" w:rsidRDefault="00646D45" w:rsidP="00036295">
            <w:pPr>
              <w:spacing w:line="360" w:lineRule="auto"/>
              <w:jc w:val="right"/>
              <w:rPr>
                <w:rFonts w:cs="Arial"/>
                <w:szCs w:val="24"/>
              </w:rPr>
            </w:pPr>
            <w:r w:rsidRPr="00961D21">
              <w:rPr>
                <w:rFonts w:cs="Arial"/>
                <w:szCs w:val="24"/>
              </w:rPr>
              <w:t xml:space="preserve">Second Applicant </w:t>
            </w:r>
          </w:p>
        </w:tc>
      </w:tr>
      <w:tr w:rsidR="00646D45" w:rsidRPr="00961D21" w14:paraId="1C457742" w14:textId="77777777" w:rsidTr="003740BC">
        <w:tc>
          <w:tcPr>
            <w:tcW w:w="6804" w:type="dxa"/>
          </w:tcPr>
          <w:p w14:paraId="19C9A424" w14:textId="77777777" w:rsidR="00646D45" w:rsidRPr="00961D21" w:rsidRDefault="00646D45" w:rsidP="002C11BA">
            <w:pPr>
              <w:spacing w:line="360" w:lineRule="auto"/>
              <w:ind w:left="181" w:right="163"/>
              <w:rPr>
                <w:rFonts w:cs="Arial"/>
                <w:b/>
                <w:szCs w:val="24"/>
              </w:rPr>
            </w:pPr>
          </w:p>
        </w:tc>
        <w:tc>
          <w:tcPr>
            <w:tcW w:w="2527" w:type="dxa"/>
          </w:tcPr>
          <w:p w14:paraId="67AABDEF" w14:textId="77777777" w:rsidR="00646D45" w:rsidRPr="00961D21" w:rsidRDefault="00646D45" w:rsidP="00036295">
            <w:pPr>
              <w:spacing w:line="360" w:lineRule="auto"/>
              <w:jc w:val="right"/>
              <w:rPr>
                <w:rFonts w:cs="Arial"/>
                <w:szCs w:val="24"/>
              </w:rPr>
            </w:pPr>
          </w:p>
        </w:tc>
      </w:tr>
      <w:tr w:rsidR="00646D45" w:rsidRPr="00961D21" w14:paraId="7BF41062" w14:textId="77777777" w:rsidTr="003740BC">
        <w:tc>
          <w:tcPr>
            <w:tcW w:w="6804" w:type="dxa"/>
          </w:tcPr>
          <w:p w14:paraId="25D2C875" w14:textId="52C983C7" w:rsidR="00646D45" w:rsidRPr="00961D21" w:rsidRDefault="00646D45" w:rsidP="002C11BA">
            <w:pPr>
              <w:spacing w:line="360" w:lineRule="auto"/>
              <w:ind w:left="181" w:right="163"/>
              <w:rPr>
                <w:rFonts w:cs="Arial"/>
                <w:b/>
                <w:szCs w:val="24"/>
              </w:rPr>
            </w:pPr>
            <w:r w:rsidRPr="00961D21">
              <w:rPr>
                <w:rFonts w:cs="Arial"/>
                <w:b/>
                <w:szCs w:val="24"/>
              </w:rPr>
              <w:t>KERE T</w:t>
            </w:r>
            <w:r w:rsidR="00DC75CC" w:rsidRPr="00961D21">
              <w:rPr>
                <w:rFonts w:cs="Arial"/>
                <w:b/>
                <w:szCs w:val="24"/>
              </w:rPr>
              <w:t>D</w:t>
            </w:r>
          </w:p>
        </w:tc>
        <w:tc>
          <w:tcPr>
            <w:tcW w:w="2527" w:type="dxa"/>
          </w:tcPr>
          <w:p w14:paraId="2260F06B" w14:textId="52530A3D" w:rsidR="00646D45" w:rsidRPr="00961D21" w:rsidRDefault="00646D45" w:rsidP="00036295">
            <w:pPr>
              <w:spacing w:line="360" w:lineRule="auto"/>
              <w:jc w:val="right"/>
              <w:rPr>
                <w:rFonts w:cs="Arial"/>
                <w:szCs w:val="24"/>
              </w:rPr>
            </w:pPr>
            <w:r w:rsidRPr="00961D21">
              <w:rPr>
                <w:rFonts w:cs="Arial"/>
                <w:szCs w:val="24"/>
              </w:rPr>
              <w:t xml:space="preserve">Third Applicant </w:t>
            </w:r>
          </w:p>
        </w:tc>
      </w:tr>
      <w:tr w:rsidR="00232F72" w:rsidRPr="00961D21" w14:paraId="10E2859B" w14:textId="77777777" w:rsidTr="003740BC">
        <w:tc>
          <w:tcPr>
            <w:tcW w:w="6804" w:type="dxa"/>
          </w:tcPr>
          <w:p w14:paraId="18D7C96E" w14:textId="77777777" w:rsidR="00232F72" w:rsidRPr="00961D21" w:rsidRDefault="00232F72" w:rsidP="0090402C">
            <w:pPr>
              <w:spacing w:line="360" w:lineRule="auto"/>
              <w:ind w:left="181" w:right="163"/>
              <w:rPr>
                <w:rFonts w:cs="Arial"/>
                <w:szCs w:val="24"/>
              </w:rPr>
            </w:pPr>
          </w:p>
        </w:tc>
        <w:tc>
          <w:tcPr>
            <w:tcW w:w="2527" w:type="dxa"/>
          </w:tcPr>
          <w:p w14:paraId="2957303E" w14:textId="77777777" w:rsidR="00232F72" w:rsidRPr="00961D21" w:rsidRDefault="00232F72" w:rsidP="00036295">
            <w:pPr>
              <w:spacing w:line="360" w:lineRule="auto"/>
              <w:jc w:val="right"/>
              <w:rPr>
                <w:rFonts w:cs="Arial"/>
                <w:szCs w:val="24"/>
              </w:rPr>
            </w:pPr>
          </w:p>
        </w:tc>
      </w:tr>
      <w:tr w:rsidR="00232F72" w:rsidRPr="00961D21" w14:paraId="49701179" w14:textId="77777777" w:rsidTr="003740BC">
        <w:tc>
          <w:tcPr>
            <w:tcW w:w="6804" w:type="dxa"/>
            <w:hideMark/>
          </w:tcPr>
          <w:p w14:paraId="5D2C3EEF" w14:textId="16E87EBA" w:rsidR="00232F72" w:rsidRPr="00961D21" w:rsidRDefault="003D1BEE" w:rsidP="0090402C">
            <w:pPr>
              <w:spacing w:line="360" w:lineRule="auto"/>
              <w:ind w:left="181" w:right="163"/>
              <w:rPr>
                <w:rFonts w:cs="Arial"/>
                <w:szCs w:val="24"/>
              </w:rPr>
            </w:pPr>
            <w:r w:rsidRPr="00961D21">
              <w:rPr>
                <w:rFonts w:cs="Arial"/>
                <w:szCs w:val="24"/>
              </w:rPr>
              <w:t>and</w:t>
            </w:r>
          </w:p>
        </w:tc>
        <w:tc>
          <w:tcPr>
            <w:tcW w:w="2527" w:type="dxa"/>
          </w:tcPr>
          <w:p w14:paraId="05773670" w14:textId="77777777" w:rsidR="00232F72" w:rsidRPr="00961D21" w:rsidRDefault="00232F72" w:rsidP="00036295">
            <w:pPr>
              <w:spacing w:line="360" w:lineRule="auto"/>
              <w:jc w:val="right"/>
              <w:rPr>
                <w:rFonts w:cs="Arial"/>
                <w:szCs w:val="24"/>
              </w:rPr>
            </w:pPr>
          </w:p>
        </w:tc>
      </w:tr>
      <w:tr w:rsidR="00232F72" w:rsidRPr="00961D21" w14:paraId="63D836F9" w14:textId="77777777" w:rsidTr="003740BC">
        <w:tc>
          <w:tcPr>
            <w:tcW w:w="6804" w:type="dxa"/>
          </w:tcPr>
          <w:p w14:paraId="6B5B1DEE" w14:textId="77777777" w:rsidR="00232F72" w:rsidRPr="00961D21" w:rsidRDefault="00232F72" w:rsidP="0090402C">
            <w:pPr>
              <w:spacing w:line="360" w:lineRule="auto"/>
              <w:ind w:left="181" w:right="163"/>
              <w:rPr>
                <w:rFonts w:cs="Arial"/>
                <w:szCs w:val="24"/>
              </w:rPr>
            </w:pPr>
          </w:p>
        </w:tc>
        <w:tc>
          <w:tcPr>
            <w:tcW w:w="2527" w:type="dxa"/>
          </w:tcPr>
          <w:p w14:paraId="21981E89" w14:textId="77777777" w:rsidR="00232F72" w:rsidRPr="00961D21" w:rsidRDefault="00232F72" w:rsidP="00036295">
            <w:pPr>
              <w:spacing w:line="360" w:lineRule="auto"/>
              <w:jc w:val="right"/>
              <w:rPr>
                <w:rFonts w:cs="Arial"/>
                <w:szCs w:val="24"/>
              </w:rPr>
            </w:pPr>
          </w:p>
        </w:tc>
      </w:tr>
      <w:tr w:rsidR="00AE7F11" w:rsidRPr="00961D21" w14:paraId="7AFD10F1" w14:textId="77777777" w:rsidTr="003740BC">
        <w:tc>
          <w:tcPr>
            <w:tcW w:w="6804" w:type="dxa"/>
          </w:tcPr>
          <w:p w14:paraId="4164F420" w14:textId="3D0041D7" w:rsidR="00AE7F11" w:rsidRPr="00961D21" w:rsidRDefault="00646D45" w:rsidP="002C11BA">
            <w:pPr>
              <w:spacing w:line="360" w:lineRule="auto"/>
              <w:ind w:left="181" w:right="163"/>
              <w:rPr>
                <w:rFonts w:cs="Arial"/>
                <w:b/>
                <w:bCs/>
                <w:szCs w:val="24"/>
              </w:rPr>
            </w:pPr>
            <w:r w:rsidRPr="00961D21">
              <w:rPr>
                <w:rFonts w:cs="Arial"/>
                <w:b/>
                <w:bCs/>
                <w:szCs w:val="24"/>
              </w:rPr>
              <w:t>THE MINISTER OF HOME AFFAIRS</w:t>
            </w:r>
          </w:p>
        </w:tc>
        <w:tc>
          <w:tcPr>
            <w:tcW w:w="2527" w:type="dxa"/>
          </w:tcPr>
          <w:p w14:paraId="58F6468A" w14:textId="2F780C38" w:rsidR="00AE7F11" w:rsidRPr="00961D21" w:rsidRDefault="003740BC" w:rsidP="00036295">
            <w:pPr>
              <w:spacing w:line="360" w:lineRule="auto"/>
              <w:jc w:val="right"/>
              <w:rPr>
                <w:rFonts w:cs="Arial"/>
                <w:szCs w:val="24"/>
              </w:rPr>
            </w:pPr>
            <w:r w:rsidRPr="00961D21">
              <w:rPr>
                <w:rFonts w:cs="Arial"/>
                <w:szCs w:val="24"/>
              </w:rPr>
              <w:t xml:space="preserve">First Respondent </w:t>
            </w:r>
            <w:r w:rsidR="00D93A74" w:rsidRPr="00961D21">
              <w:rPr>
                <w:rFonts w:cs="Arial"/>
                <w:szCs w:val="24"/>
              </w:rPr>
              <w:t xml:space="preserve"> </w:t>
            </w:r>
          </w:p>
        </w:tc>
      </w:tr>
      <w:tr w:rsidR="003740BC" w:rsidRPr="00961D21" w14:paraId="42F21BD0" w14:textId="77777777" w:rsidTr="003740BC">
        <w:tc>
          <w:tcPr>
            <w:tcW w:w="6804" w:type="dxa"/>
          </w:tcPr>
          <w:p w14:paraId="012B67E5" w14:textId="77777777" w:rsidR="003740BC" w:rsidRPr="00961D21" w:rsidRDefault="003740BC" w:rsidP="002C11BA">
            <w:pPr>
              <w:spacing w:line="360" w:lineRule="auto"/>
              <w:ind w:left="181" w:right="163"/>
              <w:rPr>
                <w:rFonts w:cs="Arial"/>
                <w:b/>
                <w:bCs/>
                <w:szCs w:val="24"/>
              </w:rPr>
            </w:pPr>
          </w:p>
        </w:tc>
        <w:tc>
          <w:tcPr>
            <w:tcW w:w="2527" w:type="dxa"/>
          </w:tcPr>
          <w:p w14:paraId="793D6254" w14:textId="77777777" w:rsidR="003740BC" w:rsidRPr="00961D21" w:rsidRDefault="003740BC" w:rsidP="00036295">
            <w:pPr>
              <w:spacing w:line="360" w:lineRule="auto"/>
              <w:jc w:val="right"/>
              <w:rPr>
                <w:rFonts w:cs="Arial"/>
                <w:szCs w:val="24"/>
              </w:rPr>
            </w:pPr>
          </w:p>
        </w:tc>
      </w:tr>
      <w:tr w:rsidR="003740BC" w:rsidRPr="00961D21" w14:paraId="1DBBB326" w14:textId="77777777" w:rsidTr="003740BC">
        <w:tc>
          <w:tcPr>
            <w:tcW w:w="6804" w:type="dxa"/>
          </w:tcPr>
          <w:p w14:paraId="60D039C8" w14:textId="2A783934" w:rsidR="003740BC" w:rsidRPr="00961D21" w:rsidRDefault="00646D45" w:rsidP="002C11BA">
            <w:pPr>
              <w:spacing w:line="360" w:lineRule="auto"/>
              <w:ind w:left="181" w:right="163"/>
              <w:rPr>
                <w:rFonts w:cs="Arial"/>
                <w:b/>
                <w:bCs/>
                <w:szCs w:val="24"/>
              </w:rPr>
            </w:pPr>
            <w:r w:rsidRPr="00961D21">
              <w:rPr>
                <w:rFonts w:cs="Arial"/>
                <w:b/>
                <w:bCs/>
                <w:szCs w:val="24"/>
              </w:rPr>
              <w:lastRenderedPageBreak/>
              <w:t>DIRECTOR GENERAL, HOME AFFAIRS</w:t>
            </w:r>
          </w:p>
        </w:tc>
        <w:tc>
          <w:tcPr>
            <w:tcW w:w="2527" w:type="dxa"/>
          </w:tcPr>
          <w:p w14:paraId="2F45A445" w14:textId="43358A19" w:rsidR="003740BC" w:rsidRPr="00961D21" w:rsidRDefault="003740BC" w:rsidP="00036295">
            <w:pPr>
              <w:spacing w:line="360" w:lineRule="auto"/>
              <w:jc w:val="right"/>
              <w:rPr>
                <w:rFonts w:cs="Arial"/>
                <w:szCs w:val="24"/>
              </w:rPr>
            </w:pPr>
            <w:r w:rsidRPr="00961D21">
              <w:rPr>
                <w:rFonts w:cs="Arial"/>
                <w:szCs w:val="24"/>
              </w:rPr>
              <w:t xml:space="preserve">Second Respondent </w:t>
            </w:r>
          </w:p>
        </w:tc>
      </w:tr>
    </w:tbl>
    <w:p w14:paraId="56B0ADB4" w14:textId="77777777" w:rsidR="00232F72" w:rsidRPr="00961D21" w:rsidRDefault="00232F72">
      <w:pPr>
        <w:pStyle w:val="BodyText"/>
        <w:rPr>
          <w:rFonts w:cs="Arial"/>
          <w:b/>
          <w:sz w:val="24"/>
          <w:szCs w:val="24"/>
          <w:lang w:val="en-GB"/>
        </w:rPr>
      </w:pPr>
    </w:p>
    <w:p w14:paraId="195E7935" w14:textId="77777777" w:rsidR="00232F72" w:rsidRPr="00961D21" w:rsidRDefault="00232F72" w:rsidP="00232F72">
      <w:pPr>
        <w:rPr>
          <w:rFonts w:cs="Arial"/>
          <w:szCs w:val="24"/>
          <w:lang w:val="en-GB"/>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32F72" w:rsidRPr="00961D21" w14:paraId="7781BE90" w14:textId="77777777" w:rsidTr="00A15886">
        <w:tc>
          <w:tcPr>
            <w:tcW w:w="9356" w:type="dxa"/>
          </w:tcPr>
          <w:p w14:paraId="585CB467" w14:textId="0A4F45ED" w:rsidR="00232F72" w:rsidRPr="00961D21" w:rsidRDefault="00232F72" w:rsidP="00E167C0">
            <w:pPr>
              <w:spacing w:before="200" w:after="200"/>
              <w:jc w:val="center"/>
              <w:rPr>
                <w:rFonts w:cs="Arial"/>
                <w:b/>
                <w:szCs w:val="24"/>
                <w:lang w:val="en-GB"/>
              </w:rPr>
            </w:pPr>
            <w:r w:rsidRPr="00961D21">
              <w:rPr>
                <w:rFonts w:cs="Arial"/>
                <w:b/>
                <w:szCs w:val="24"/>
                <w:lang w:val="en-GB"/>
              </w:rPr>
              <w:t>JUDGMENT</w:t>
            </w:r>
          </w:p>
        </w:tc>
      </w:tr>
    </w:tbl>
    <w:p w14:paraId="584B30DF" w14:textId="0D4D82B7" w:rsidR="007A78E0" w:rsidRPr="00961D21" w:rsidRDefault="007A78E0">
      <w:pPr>
        <w:ind w:left="140"/>
        <w:rPr>
          <w:rFonts w:cs="Arial"/>
          <w:b/>
          <w:szCs w:val="24"/>
          <w:lang w:val="en-GB"/>
        </w:rPr>
      </w:pPr>
    </w:p>
    <w:p w14:paraId="719C6F15" w14:textId="77777777" w:rsidR="00232F72" w:rsidRPr="00961D21" w:rsidRDefault="00232F72">
      <w:pPr>
        <w:ind w:left="140"/>
        <w:rPr>
          <w:rFonts w:cs="Arial"/>
          <w:b/>
          <w:szCs w:val="24"/>
          <w:lang w:val="en-GB"/>
        </w:rPr>
      </w:pPr>
    </w:p>
    <w:p w14:paraId="4B72B168" w14:textId="3229B01A" w:rsidR="002C11BA" w:rsidRPr="00961D21" w:rsidRDefault="002C11BA" w:rsidP="003740BC">
      <w:pPr>
        <w:spacing w:before="360" w:after="360" w:line="360" w:lineRule="auto"/>
        <w:rPr>
          <w:rFonts w:cs="Arial"/>
          <w:iCs/>
          <w:szCs w:val="24"/>
          <w:lang w:val="en-GB"/>
        </w:rPr>
      </w:pPr>
      <w:r w:rsidRPr="00961D21">
        <w:rPr>
          <w:rFonts w:cs="Arial"/>
          <w:iCs/>
          <w:szCs w:val="24"/>
          <w:lang w:val="en-GB"/>
        </w:rPr>
        <w:t xml:space="preserve">DE BEER </w:t>
      </w:r>
      <w:r w:rsidR="00F011E7" w:rsidRPr="00961D21">
        <w:rPr>
          <w:rFonts w:cs="Arial"/>
          <w:iCs/>
          <w:szCs w:val="24"/>
          <w:lang w:val="en-GB"/>
        </w:rPr>
        <w:t>A</w:t>
      </w:r>
      <w:r w:rsidRPr="00961D21">
        <w:rPr>
          <w:rFonts w:cs="Arial"/>
          <w:iCs/>
          <w:szCs w:val="24"/>
          <w:lang w:val="en-GB"/>
        </w:rPr>
        <w:t>J</w:t>
      </w:r>
    </w:p>
    <w:p w14:paraId="575F905B" w14:textId="6C992D7B" w:rsidR="007A78E0" w:rsidRPr="00961D21" w:rsidRDefault="00DC507E" w:rsidP="002C11BA">
      <w:pPr>
        <w:spacing w:before="360" w:after="360" w:line="360" w:lineRule="auto"/>
        <w:rPr>
          <w:rFonts w:cs="Arial"/>
          <w:i/>
          <w:szCs w:val="24"/>
          <w:lang w:val="en-GB"/>
        </w:rPr>
      </w:pPr>
      <w:r w:rsidRPr="00961D21">
        <w:rPr>
          <w:rFonts w:cs="Arial"/>
          <w:i/>
          <w:szCs w:val="24"/>
          <w:lang w:val="en-GB"/>
        </w:rPr>
        <w:t>Introduction</w:t>
      </w:r>
    </w:p>
    <w:p w14:paraId="2B53A0A7" w14:textId="7D735F2D" w:rsidR="006F4748"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w:t>
      </w:r>
      <w:r w:rsidRPr="00961D21">
        <w:rPr>
          <w:rFonts w:cs="Arial"/>
          <w:w w:val="99"/>
          <w:szCs w:val="24"/>
        </w:rPr>
        <w:tab/>
      </w:r>
      <w:r w:rsidR="006F4748" w:rsidRPr="00CC2CF5">
        <w:rPr>
          <w:rFonts w:cs="Arial"/>
          <w:szCs w:val="24"/>
          <w:lang w:val="en-GB"/>
        </w:rPr>
        <w:t>In this matter the applicants mainly seek to review and set aside the respondents’ decision to block the</w:t>
      </w:r>
      <w:r w:rsidR="0041337C" w:rsidRPr="00CC2CF5">
        <w:rPr>
          <w:rFonts w:cs="Arial"/>
          <w:szCs w:val="24"/>
          <w:lang w:val="en-GB"/>
        </w:rPr>
        <w:t>ir</w:t>
      </w:r>
      <w:r w:rsidR="006F4748" w:rsidRPr="00CC2CF5">
        <w:rPr>
          <w:rFonts w:cs="Arial"/>
          <w:szCs w:val="24"/>
          <w:lang w:val="en-GB"/>
        </w:rPr>
        <w:t xml:space="preserve"> identity numbers and to reinstate </w:t>
      </w:r>
      <w:r w:rsidR="0041337C" w:rsidRPr="00CC2CF5">
        <w:rPr>
          <w:rFonts w:cs="Arial"/>
          <w:szCs w:val="24"/>
          <w:lang w:val="en-GB"/>
        </w:rPr>
        <w:t xml:space="preserve">the </w:t>
      </w:r>
      <w:r w:rsidR="006F4748" w:rsidRPr="00CC2CF5">
        <w:rPr>
          <w:rFonts w:cs="Arial"/>
          <w:szCs w:val="24"/>
          <w:lang w:val="en-GB"/>
        </w:rPr>
        <w:t xml:space="preserve">same on the population register of the Republic of South Africa. Further, the applicants seek an order declaring the first and second applicants’ children to be South African citizens by virtue of their birth in South Africa and directing the respondents to issue their children with identity documents. </w:t>
      </w:r>
    </w:p>
    <w:p w14:paraId="1627D735" w14:textId="175B24F0" w:rsidR="006F4748" w:rsidRPr="00961D21" w:rsidRDefault="006F4748" w:rsidP="006F4748">
      <w:pPr>
        <w:spacing w:before="360" w:after="360" w:line="360" w:lineRule="auto"/>
        <w:ind w:right="439"/>
        <w:rPr>
          <w:rFonts w:cs="Arial"/>
          <w:i/>
          <w:iCs/>
          <w:szCs w:val="24"/>
          <w:lang w:val="en-GB"/>
        </w:rPr>
      </w:pPr>
      <w:r w:rsidRPr="00961D21">
        <w:rPr>
          <w:rFonts w:cs="Arial"/>
          <w:i/>
          <w:iCs/>
          <w:szCs w:val="24"/>
          <w:lang w:val="en-GB"/>
        </w:rPr>
        <w:t>The applicants’ version</w:t>
      </w:r>
    </w:p>
    <w:p w14:paraId="72DA794E" w14:textId="2A9EAC7F" w:rsidR="006F4748"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2.</w:t>
      </w:r>
      <w:r w:rsidRPr="00961D21">
        <w:rPr>
          <w:rFonts w:cs="Arial"/>
          <w:w w:val="99"/>
          <w:szCs w:val="24"/>
        </w:rPr>
        <w:tab/>
      </w:r>
      <w:r w:rsidR="006F4748" w:rsidRPr="00CC2CF5">
        <w:rPr>
          <w:rFonts w:cs="Arial"/>
          <w:szCs w:val="24"/>
          <w:lang w:val="en-GB"/>
        </w:rPr>
        <w:t xml:space="preserve">The first applicant is a Zimbabwean national </w:t>
      </w:r>
      <w:r w:rsidR="0041337C" w:rsidRPr="00CC2CF5">
        <w:rPr>
          <w:rFonts w:cs="Arial"/>
          <w:szCs w:val="24"/>
          <w:lang w:val="en-GB"/>
        </w:rPr>
        <w:t xml:space="preserve">and </w:t>
      </w:r>
      <w:r w:rsidR="006F4748" w:rsidRPr="00CC2CF5">
        <w:rPr>
          <w:rFonts w:cs="Arial"/>
          <w:szCs w:val="24"/>
          <w:lang w:val="en-GB"/>
        </w:rPr>
        <w:t>hold</w:t>
      </w:r>
      <w:r w:rsidR="0041337C" w:rsidRPr="00CC2CF5">
        <w:rPr>
          <w:rFonts w:cs="Arial"/>
          <w:szCs w:val="24"/>
          <w:lang w:val="en-GB"/>
        </w:rPr>
        <w:t xml:space="preserve">s </w:t>
      </w:r>
      <w:r w:rsidR="006F4748" w:rsidRPr="00CC2CF5">
        <w:rPr>
          <w:rFonts w:cs="Arial"/>
          <w:szCs w:val="24"/>
          <w:lang w:val="en-GB"/>
        </w:rPr>
        <w:t xml:space="preserve">a </w:t>
      </w:r>
      <w:r w:rsidR="0041337C" w:rsidRPr="00CC2CF5">
        <w:rPr>
          <w:rFonts w:cs="Arial"/>
          <w:szCs w:val="24"/>
          <w:lang w:val="en-GB"/>
        </w:rPr>
        <w:t xml:space="preserve">corresponding </w:t>
      </w:r>
      <w:r w:rsidR="006F4748" w:rsidRPr="00CC2CF5">
        <w:rPr>
          <w:rFonts w:cs="Arial"/>
          <w:szCs w:val="24"/>
          <w:lang w:val="en-GB"/>
        </w:rPr>
        <w:t>passport</w:t>
      </w:r>
      <w:r w:rsidR="0041337C" w:rsidRPr="00CC2CF5">
        <w:rPr>
          <w:rFonts w:cs="Arial"/>
          <w:szCs w:val="24"/>
          <w:lang w:val="en-GB"/>
        </w:rPr>
        <w:t xml:space="preserve">. She is also a </w:t>
      </w:r>
      <w:r w:rsidR="006F4748" w:rsidRPr="00CC2CF5">
        <w:rPr>
          <w:rFonts w:cs="Arial"/>
          <w:szCs w:val="24"/>
          <w:lang w:val="en-GB"/>
        </w:rPr>
        <w:t xml:space="preserve">holder of a South African </w:t>
      </w:r>
      <w:r w:rsidR="00195786" w:rsidRPr="00CC2CF5">
        <w:rPr>
          <w:rFonts w:cs="Arial"/>
          <w:szCs w:val="24"/>
          <w:lang w:val="en-GB"/>
        </w:rPr>
        <w:t xml:space="preserve">permanent </w:t>
      </w:r>
      <w:r w:rsidR="009D4302" w:rsidRPr="00CC2CF5">
        <w:rPr>
          <w:rFonts w:cs="Arial"/>
          <w:szCs w:val="24"/>
          <w:lang w:val="en-GB"/>
        </w:rPr>
        <w:t>residence</w:t>
      </w:r>
      <w:r w:rsidR="00195786" w:rsidRPr="00CC2CF5">
        <w:rPr>
          <w:rFonts w:cs="Arial"/>
          <w:szCs w:val="24"/>
          <w:lang w:val="en-GB"/>
        </w:rPr>
        <w:t xml:space="preserve"> permit and was thereafter issued with an</w:t>
      </w:r>
      <w:r w:rsidR="006F4748" w:rsidRPr="00CC2CF5">
        <w:rPr>
          <w:rFonts w:cs="Arial"/>
          <w:szCs w:val="24"/>
          <w:lang w:val="en-GB"/>
        </w:rPr>
        <w:t xml:space="preserve"> </w:t>
      </w:r>
      <w:r w:rsidR="00961D21" w:rsidRPr="00CC2CF5">
        <w:rPr>
          <w:rFonts w:cs="Arial"/>
          <w:szCs w:val="24"/>
          <w:lang w:val="en-GB"/>
        </w:rPr>
        <w:t>identity document</w:t>
      </w:r>
      <w:r w:rsidR="006F4748" w:rsidRPr="00CC2CF5">
        <w:rPr>
          <w:rFonts w:cs="Arial"/>
          <w:szCs w:val="24"/>
          <w:lang w:val="en-GB"/>
        </w:rPr>
        <w:t xml:space="preserve"> (</w:t>
      </w:r>
      <w:r w:rsidR="00195786" w:rsidRPr="00CC2CF5">
        <w:rPr>
          <w:rFonts w:cs="Arial"/>
          <w:szCs w:val="24"/>
          <w:lang w:val="en-GB"/>
        </w:rPr>
        <w:t>ID</w:t>
      </w:r>
      <w:r w:rsidR="00961D21" w:rsidRPr="00CC2CF5">
        <w:rPr>
          <w:rFonts w:cs="Arial"/>
          <w:szCs w:val="24"/>
          <w:lang w:val="en-GB"/>
        </w:rPr>
        <w:t> </w:t>
      </w:r>
      <w:r w:rsidR="00195786" w:rsidRPr="00CC2CF5">
        <w:rPr>
          <w:rFonts w:cs="Arial"/>
          <w:szCs w:val="24"/>
          <w:lang w:val="en-GB"/>
        </w:rPr>
        <w:t>No:</w:t>
      </w:r>
      <w:r w:rsidR="00961D21" w:rsidRPr="00CC2CF5">
        <w:rPr>
          <w:rFonts w:cs="Arial"/>
          <w:szCs w:val="24"/>
          <w:lang w:val="en-GB"/>
        </w:rPr>
        <w:t> </w:t>
      </w:r>
      <w:r w:rsidR="00C21145" w:rsidRPr="00CC2CF5">
        <w:rPr>
          <w:rFonts w:cs="Arial"/>
          <w:szCs w:val="24"/>
          <w:lang w:val="en-GB"/>
        </w:rPr>
        <w:t>[…]</w:t>
      </w:r>
      <w:r w:rsidR="00961D21" w:rsidRPr="00CC2CF5">
        <w:rPr>
          <w:rFonts w:cs="Arial"/>
          <w:szCs w:val="24"/>
          <w:lang w:val="en-GB"/>
        </w:rPr>
        <w:t>)</w:t>
      </w:r>
      <w:r w:rsidR="00195786" w:rsidRPr="00CC2CF5">
        <w:rPr>
          <w:rFonts w:cs="Arial"/>
          <w:szCs w:val="24"/>
          <w:lang w:val="en-GB"/>
        </w:rPr>
        <w:t xml:space="preserve">. She is </w:t>
      </w:r>
      <w:r w:rsidR="006F4748" w:rsidRPr="00CC2CF5">
        <w:rPr>
          <w:rFonts w:cs="Arial"/>
          <w:szCs w:val="24"/>
          <w:lang w:val="en-GB"/>
        </w:rPr>
        <w:t>employed as an operations director at Watershed Capital located in Rivonia. The first applicant is a qualified Coach Consultant and graduate of the Stellenbosch Business School.</w:t>
      </w:r>
    </w:p>
    <w:p w14:paraId="64047B70" w14:textId="339AA0F1" w:rsidR="00A02E55"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w:t>
      </w:r>
      <w:r w:rsidRPr="00961D21">
        <w:rPr>
          <w:rFonts w:cs="Arial"/>
          <w:w w:val="99"/>
          <w:szCs w:val="24"/>
        </w:rPr>
        <w:tab/>
      </w:r>
      <w:r w:rsidR="006F4748" w:rsidRPr="00CC2CF5">
        <w:rPr>
          <w:rFonts w:cs="Arial"/>
          <w:szCs w:val="24"/>
          <w:lang w:val="en-GB"/>
        </w:rPr>
        <w:t xml:space="preserve">The second applicant </w:t>
      </w:r>
      <w:r w:rsidR="0041337C" w:rsidRPr="00CC2CF5">
        <w:rPr>
          <w:rFonts w:cs="Arial"/>
          <w:szCs w:val="24"/>
          <w:lang w:val="en-GB"/>
        </w:rPr>
        <w:t>also</w:t>
      </w:r>
      <w:r w:rsidR="006F4748" w:rsidRPr="00CC2CF5">
        <w:rPr>
          <w:rFonts w:cs="Arial"/>
          <w:szCs w:val="24"/>
          <w:lang w:val="en-GB"/>
        </w:rPr>
        <w:t xml:space="preserve"> a Zimbabwean national</w:t>
      </w:r>
      <w:r w:rsidR="0041337C" w:rsidRPr="00CC2CF5">
        <w:rPr>
          <w:rFonts w:cs="Arial"/>
          <w:szCs w:val="24"/>
          <w:lang w:val="en-GB"/>
        </w:rPr>
        <w:t xml:space="preserve"> and</w:t>
      </w:r>
      <w:r w:rsidR="006F4748" w:rsidRPr="00CC2CF5">
        <w:rPr>
          <w:rFonts w:cs="Arial"/>
          <w:szCs w:val="24"/>
          <w:lang w:val="en-GB"/>
        </w:rPr>
        <w:t xml:space="preserve"> holder of a passport</w:t>
      </w:r>
      <w:r w:rsidR="0041337C" w:rsidRPr="00CC2CF5">
        <w:rPr>
          <w:rFonts w:cs="Arial"/>
          <w:szCs w:val="24"/>
          <w:lang w:val="en-GB"/>
        </w:rPr>
        <w:t>,</w:t>
      </w:r>
      <w:r w:rsidR="006F4748" w:rsidRPr="00CC2CF5">
        <w:rPr>
          <w:rFonts w:cs="Arial"/>
          <w:szCs w:val="24"/>
          <w:lang w:val="en-GB"/>
        </w:rPr>
        <w:t xml:space="preserve"> hold</w:t>
      </w:r>
      <w:r w:rsidR="0041337C" w:rsidRPr="00CC2CF5">
        <w:rPr>
          <w:rFonts w:cs="Arial"/>
          <w:szCs w:val="24"/>
          <w:lang w:val="en-GB"/>
        </w:rPr>
        <w:t>s</w:t>
      </w:r>
      <w:r w:rsidR="006F4748" w:rsidRPr="00CC2CF5">
        <w:rPr>
          <w:rFonts w:cs="Arial"/>
          <w:szCs w:val="24"/>
          <w:lang w:val="en-GB"/>
        </w:rPr>
        <w:t xml:space="preserve"> a South African </w:t>
      </w:r>
      <w:r w:rsidR="00195786" w:rsidRPr="00CC2CF5">
        <w:rPr>
          <w:rFonts w:cs="Arial"/>
          <w:szCs w:val="24"/>
          <w:lang w:val="en-GB"/>
        </w:rPr>
        <w:t>permanent resident permit and</w:t>
      </w:r>
      <w:r w:rsidR="006F4748" w:rsidRPr="00CC2CF5">
        <w:rPr>
          <w:rFonts w:cs="Arial"/>
          <w:szCs w:val="24"/>
          <w:lang w:val="en-GB"/>
        </w:rPr>
        <w:t xml:space="preserve"> </w:t>
      </w:r>
      <w:r w:rsidR="00961D21" w:rsidRPr="00CC2CF5">
        <w:rPr>
          <w:rFonts w:cs="Arial"/>
          <w:szCs w:val="24"/>
          <w:lang w:val="en-GB"/>
        </w:rPr>
        <w:t>identity document</w:t>
      </w:r>
      <w:r w:rsidR="006F4748" w:rsidRPr="00CC2CF5">
        <w:rPr>
          <w:rFonts w:cs="Arial"/>
          <w:szCs w:val="24"/>
          <w:lang w:val="en-GB"/>
        </w:rPr>
        <w:t xml:space="preserve"> (</w:t>
      </w:r>
      <w:r w:rsidR="00195786" w:rsidRPr="00CC2CF5">
        <w:rPr>
          <w:rFonts w:cs="Arial"/>
          <w:szCs w:val="24"/>
          <w:lang w:val="en-GB"/>
        </w:rPr>
        <w:t>ID</w:t>
      </w:r>
      <w:r w:rsidR="00961D21" w:rsidRPr="00CC2CF5">
        <w:rPr>
          <w:rFonts w:cs="Arial"/>
          <w:szCs w:val="24"/>
          <w:lang w:val="en-GB"/>
        </w:rPr>
        <w:t> </w:t>
      </w:r>
      <w:r w:rsidR="00195786" w:rsidRPr="00CC2CF5">
        <w:rPr>
          <w:rFonts w:cs="Arial"/>
          <w:szCs w:val="24"/>
          <w:lang w:val="en-GB"/>
        </w:rPr>
        <w:t xml:space="preserve">No: </w:t>
      </w:r>
      <w:r w:rsidR="00C21145" w:rsidRPr="00CC2CF5">
        <w:rPr>
          <w:rFonts w:cs="Arial"/>
          <w:szCs w:val="24"/>
          <w:lang w:val="en-GB"/>
        </w:rPr>
        <w:t>[…]</w:t>
      </w:r>
      <w:r w:rsidR="006F4748" w:rsidRPr="00CC2CF5">
        <w:rPr>
          <w:rFonts w:cs="Arial"/>
          <w:szCs w:val="24"/>
          <w:lang w:val="en-GB"/>
        </w:rPr>
        <w:t>)</w:t>
      </w:r>
      <w:r w:rsidR="0041337C" w:rsidRPr="00CC2CF5">
        <w:rPr>
          <w:rFonts w:cs="Arial"/>
          <w:szCs w:val="24"/>
          <w:lang w:val="en-GB"/>
        </w:rPr>
        <w:t xml:space="preserve">. He is </w:t>
      </w:r>
      <w:r w:rsidR="006F4748" w:rsidRPr="00CC2CF5">
        <w:rPr>
          <w:rFonts w:cs="Arial"/>
          <w:szCs w:val="24"/>
          <w:lang w:val="en-GB"/>
        </w:rPr>
        <w:t>a director of Watershed Capital</w:t>
      </w:r>
      <w:r w:rsidR="0041337C" w:rsidRPr="00CC2CF5">
        <w:rPr>
          <w:rFonts w:cs="Arial"/>
          <w:szCs w:val="24"/>
          <w:lang w:val="en-GB"/>
        </w:rPr>
        <w:t xml:space="preserve">, </w:t>
      </w:r>
      <w:r w:rsidR="006F4748" w:rsidRPr="00CC2CF5">
        <w:rPr>
          <w:rFonts w:cs="Arial"/>
          <w:szCs w:val="24"/>
          <w:lang w:val="en-GB"/>
        </w:rPr>
        <w:t xml:space="preserve">a qualified Investment </w:t>
      </w:r>
      <w:r w:rsidR="00C0622F" w:rsidRPr="00CC2CF5">
        <w:rPr>
          <w:rFonts w:cs="Arial"/>
          <w:szCs w:val="24"/>
          <w:lang w:val="en-GB"/>
        </w:rPr>
        <w:t>Banker,</w:t>
      </w:r>
      <w:r w:rsidR="006F4748" w:rsidRPr="00CC2CF5">
        <w:rPr>
          <w:rFonts w:cs="Arial"/>
          <w:szCs w:val="24"/>
          <w:lang w:val="en-GB"/>
        </w:rPr>
        <w:t xml:space="preserve"> and </w:t>
      </w:r>
      <w:r w:rsidR="00A02E55" w:rsidRPr="00CC2CF5">
        <w:rPr>
          <w:rFonts w:cs="Arial"/>
          <w:szCs w:val="24"/>
          <w:lang w:val="en-GB"/>
        </w:rPr>
        <w:t>a g</w:t>
      </w:r>
      <w:r w:rsidR="006F4748" w:rsidRPr="00CC2CF5">
        <w:rPr>
          <w:rFonts w:cs="Arial"/>
          <w:szCs w:val="24"/>
          <w:lang w:val="en-GB"/>
        </w:rPr>
        <w:t>raduate of the University of Milpark Business School.</w:t>
      </w:r>
    </w:p>
    <w:p w14:paraId="7291A743" w14:textId="636138FA" w:rsidR="00A02E55"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w:t>
      </w:r>
      <w:r w:rsidRPr="00961D21">
        <w:rPr>
          <w:rFonts w:cs="Arial"/>
          <w:w w:val="99"/>
          <w:szCs w:val="24"/>
        </w:rPr>
        <w:tab/>
      </w:r>
      <w:r w:rsidR="006F4748" w:rsidRPr="00CC2CF5">
        <w:rPr>
          <w:rFonts w:cs="Arial"/>
          <w:szCs w:val="24"/>
          <w:lang w:val="en-GB"/>
        </w:rPr>
        <w:t xml:space="preserve">The third applicant is the first-born son of the first and second applicants born in South Africa with </w:t>
      </w:r>
      <w:r w:rsidR="00C21145" w:rsidRPr="00CC2CF5">
        <w:rPr>
          <w:rFonts w:cs="Arial"/>
          <w:szCs w:val="24"/>
          <w:lang w:val="en-GB"/>
        </w:rPr>
        <w:t>identity number […]</w:t>
      </w:r>
      <w:r w:rsidR="0041337C" w:rsidRPr="00CC2CF5">
        <w:rPr>
          <w:rFonts w:cs="Arial"/>
          <w:szCs w:val="24"/>
          <w:lang w:val="en-GB"/>
        </w:rPr>
        <w:t xml:space="preserve">. He is </w:t>
      </w:r>
      <w:r w:rsidR="006F4748" w:rsidRPr="00CC2CF5">
        <w:rPr>
          <w:rFonts w:cs="Arial"/>
          <w:szCs w:val="24"/>
          <w:lang w:val="en-GB"/>
        </w:rPr>
        <w:t>employed as a student intern at Watershed Capital.</w:t>
      </w:r>
    </w:p>
    <w:p w14:paraId="3248AD36" w14:textId="6BDCB7AB" w:rsidR="00A02E55"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lastRenderedPageBreak/>
        <w:t>5.</w:t>
      </w:r>
      <w:r w:rsidRPr="00961D21">
        <w:rPr>
          <w:rFonts w:cs="Arial"/>
          <w:w w:val="99"/>
          <w:szCs w:val="24"/>
        </w:rPr>
        <w:tab/>
      </w:r>
      <w:r w:rsidR="00195786" w:rsidRPr="00CC2CF5">
        <w:rPr>
          <w:rFonts w:cs="Arial"/>
          <w:szCs w:val="24"/>
          <w:lang w:val="en-GB"/>
        </w:rPr>
        <w:t>According to t</w:t>
      </w:r>
      <w:r w:rsidR="006F4748" w:rsidRPr="00CC2CF5">
        <w:rPr>
          <w:rFonts w:cs="Arial"/>
          <w:szCs w:val="24"/>
          <w:lang w:val="en-GB"/>
        </w:rPr>
        <w:t>he first and second applicants</w:t>
      </w:r>
      <w:r w:rsidR="00195786" w:rsidRPr="00CC2CF5">
        <w:rPr>
          <w:rFonts w:cs="Arial"/>
          <w:szCs w:val="24"/>
          <w:lang w:val="en-GB"/>
        </w:rPr>
        <w:t xml:space="preserve">, they </w:t>
      </w:r>
      <w:r w:rsidR="006F4748" w:rsidRPr="00CC2CF5">
        <w:rPr>
          <w:rFonts w:cs="Arial"/>
          <w:szCs w:val="24"/>
          <w:lang w:val="en-GB"/>
        </w:rPr>
        <w:t xml:space="preserve">are married in community of property. </w:t>
      </w:r>
      <w:r w:rsidR="00175B34" w:rsidRPr="00CC2CF5">
        <w:rPr>
          <w:rFonts w:cs="Arial"/>
          <w:szCs w:val="24"/>
          <w:lang w:val="en-GB"/>
        </w:rPr>
        <w:t xml:space="preserve">Their </w:t>
      </w:r>
      <w:r w:rsidR="006F4748" w:rsidRPr="00CC2CF5">
        <w:rPr>
          <w:rFonts w:cs="Arial"/>
          <w:szCs w:val="24"/>
          <w:lang w:val="en-GB"/>
        </w:rPr>
        <w:t xml:space="preserve">marriage was negotiated, </w:t>
      </w:r>
      <w:r w:rsidR="00C0622F" w:rsidRPr="00CC2CF5">
        <w:rPr>
          <w:rFonts w:cs="Arial"/>
          <w:szCs w:val="24"/>
          <w:lang w:val="en-GB"/>
        </w:rPr>
        <w:t>concluded,</w:t>
      </w:r>
      <w:r w:rsidR="006F4748" w:rsidRPr="00CC2CF5">
        <w:rPr>
          <w:rFonts w:cs="Arial"/>
          <w:szCs w:val="24"/>
          <w:lang w:val="en-GB"/>
        </w:rPr>
        <w:t xml:space="preserve"> and celebrated on 1</w:t>
      </w:r>
      <w:r w:rsidR="00175B34" w:rsidRPr="00CC2CF5">
        <w:rPr>
          <w:rFonts w:cs="Arial"/>
          <w:szCs w:val="24"/>
          <w:lang w:val="en-GB"/>
        </w:rPr>
        <w:t> </w:t>
      </w:r>
      <w:r w:rsidR="006F4748" w:rsidRPr="00CC2CF5">
        <w:rPr>
          <w:rFonts w:cs="Arial"/>
          <w:szCs w:val="24"/>
          <w:lang w:val="en-GB"/>
        </w:rPr>
        <w:t>March 1996 in Zimbabwe</w:t>
      </w:r>
      <w:r w:rsidR="0041337C" w:rsidRPr="00CC2CF5">
        <w:rPr>
          <w:rFonts w:cs="Arial"/>
          <w:szCs w:val="24"/>
          <w:lang w:val="en-GB"/>
        </w:rPr>
        <w:t xml:space="preserve">. Their marriage was </w:t>
      </w:r>
      <w:r w:rsidR="006F4748" w:rsidRPr="00CC2CF5">
        <w:rPr>
          <w:rFonts w:cs="Arial"/>
          <w:szCs w:val="24"/>
          <w:lang w:val="en-GB"/>
        </w:rPr>
        <w:t>later registered in South Africa and an extract from the population register was issued to them.</w:t>
      </w:r>
    </w:p>
    <w:p w14:paraId="24F7A55C" w14:textId="3F514167" w:rsidR="00A02E55"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6.</w:t>
      </w:r>
      <w:r w:rsidRPr="00961D21">
        <w:rPr>
          <w:rFonts w:cs="Arial"/>
          <w:w w:val="99"/>
          <w:szCs w:val="24"/>
        </w:rPr>
        <w:tab/>
      </w:r>
      <w:r w:rsidR="006F4748" w:rsidRPr="00CC2CF5">
        <w:rPr>
          <w:rFonts w:cs="Arial"/>
          <w:szCs w:val="24"/>
          <w:lang w:val="en-GB"/>
        </w:rPr>
        <w:t>The following three children were born as a result of the relationship between the first and second applicants</w:t>
      </w:r>
      <w:r w:rsidR="0041337C" w:rsidRPr="00CC2CF5">
        <w:rPr>
          <w:rFonts w:cs="Arial"/>
          <w:szCs w:val="24"/>
          <w:lang w:val="en-GB"/>
        </w:rPr>
        <w:t xml:space="preserve"> (“</w:t>
      </w:r>
      <w:r w:rsidR="0041337C" w:rsidRPr="00CC2CF5">
        <w:rPr>
          <w:rFonts w:cs="Arial"/>
          <w:i/>
          <w:iCs/>
          <w:szCs w:val="24"/>
          <w:lang w:val="en-GB"/>
        </w:rPr>
        <w:t>the applicants</w:t>
      </w:r>
      <w:r w:rsidR="0041337C" w:rsidRPr="00CC2CF5">
        <w:rPr>
          <w:rFonts w:cs="Arial"/>
          <w:szCs w:val="24"/>
          <w:lang w:val="en-GB"/>
        </w:rPr>
        <w:t>”)</w:t>
      </w:r>
      <w:r w:rsidR="006F4748" w:rsidRPr="00CC2CF5">
        <w:rPr>
          <w:rFonts w:cs="Arial"/>
          <w:szCs w:val="24"/>
          <w:lang w:val="en-GB"/>
        </w:rPr>
        <w:t>:</w:t>
      </w:r>
    </w:p>
    <w:p w14:paraId="59888D7C" w14:textId="5B116002" w:rsidR="00A02E55"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6.1.</w:t>
      </w:r>
      <w:r w:rsidRPr="00961D21">
        <w:rPr>
          <w:rFonts w:cs="Arial"/>
          <w:szCs w:val="24"/>
        </w:rPr>
        <w:tab/>
      </w:r>
      <w:r w:rsidR="006F4748" w:rsidRPr="00CC2CF5">
        <w:rPr>
          <w:rFonts w:cs="Arial"/>
          <w:szCs w:val="24"/>
          <w:lang w:val="en-GB"/>
        </w:rPr>
        <w:t>The third applicant, currently 25 years old.</w:t>
      </w:r>
    </w:p>
    <w:p w14:paraId="6304FE10" w14:textId="5F4691C0" w:rsidR="00A02E55"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6.2.</w:t>
      </w:r>
      <w:r w:rsidRPr="00961D21">
        <w:rPr>
          <w:rFonts w:cs="Arial"/>
          <w:szCs w:val="24"/>
        </w:rPr>
        <w:tab/>
      </w:r>
      <w:r w:rsidR="006F4748" w:rsidRPr="00CC2CF5">
        <w:rPr>
          <w:rFonts w:cs="Arial"/>
          <w:szCs w:val="24"/>
          <w:lang w:val="en-GB"/>
        </w:rPr>
        <w:t xml:space="preserve">Tapiwa Michael Kere, </w:t>
      </w:r>
      <w:r w:rsidR="00C0622F" w:rsidRPr="00CC2CF5">
        <w:rPr>
          <w:rFonts w:cs="Arial"/>
          <w:szCs w:val="24"/>
          <w:lang w:val="en-GB"/>
        </w:rPr>
        <w:t xml:space="preserve">is </w:t>
      </w:r>
      <w:r w:rsidR="006F4748" w:rsidRPr="00CC2CF5">
        <w:rPr>
          <w:rFonts w:cs="Arial"/>
          <w:szCs w:val="24"/>
          <w:lang w:val="en-GB"/>
        </w:rPr>
        <w:t xml:space="preserve">currently 20 years old. </w:t>
      </w:r>
    </w:p>
    <w:p w14:paraId="10E7B209" w14:textId="4AA7D666" w:rsidR="00A02E55"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6.3.</w:t>
      </w:r>
      <w:r w:rsidRPr="00961D21">
        <w:rPr>
          <w:rFonts w:cs="Arial"/>
          <w:szCs w:val="24"/>
        </w:rPr>
        <w:tab/>
      </w:r>
      <w:r w:rsidR="006F4748" w:rsidRPr="00CC2CF5">
        <w:rPr>
          <w:rFonts w:cs="Arial"/>
          <w:szCs w:val="24"/>
          <w:lang w:val="en-GB"/>
        </w:rPr>
        <w:t xml:space="preserve">Ruvimbo Megani Kere, </w:t>
      </w:r>
      <w:r w:rsidR="00C0622F" w:rsidRPr="00CC2CF5">
        <w:rPr>
          <w:rFonts w:cs="Arial"/>
          <w:szCs w:val="24"/>
          <w:lang w:val="en-GB"/>
        </w:rPr>
        <w:t xml:space="preserve">is </w:t>
      </w:r>
      <w:r w:rsidR="006F4748" w:rsidRPr="00CC2CF5">
        <w:rPr>
          <w:rFonts w:cs="Arial"/>
          <w:szCs w:val="24"/>
          <w:lang w:val="en-GB"/>
        </w:rPr>
        <w:t>currently 20 years old.</w:t>
      </w:r>
    </w:p>
    <w:p w14:paraId="46378471" w14:textId="7831038A" w:rsidR="00A02E55"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7.</w:t>
      </w:r>
      <w:r w:rsidRPr="00961D21">
        <w:rPr>
          <w:rFonts w:cs="Arial"/>
          <w:w w:val="99"/>
          <w:szCs w:val="24"/>
        </w:rPr>
        <w:tab/>
      </w:r>
      <w:r w:rsidR="006F4748" w:rsidRPr="00CC2CF5">
        <w:rPr>
          <w:rFonts w:cs="Arial"/>
          <w:szCs w:val="24"/>
          <w:lang w:val="en-GB"/>
        </w:rPr>
        <w:t xml:space="preserve">The first applicant </w:t>
      </w:r>
      <w:r w:rsidR="00A02E55" w:rsidRPr="00CC2CF5">
        <w:rPr>
          <w:rFonts w:cs="Arial"/>
          <w:szCs w:val="24"/>
          <w:lang w:val="en-GB"/>
        </w:rPr>
        <w:t xml:space="preserve">initially </w:t>
      </w:r>
      <w:r w:rsidR="006F4748" w:rsidRPr="00CC2CF5">
        <w:rPr>
          <w:rFonts w:cs="Arial"/>
          <w:szCs w:val="24"/>
          <w:lang w:val="en-GB"/>
        </w:rPr>
        <w:t xml:space="preserve">entered South Africa in 1994 on a 30-day visitor’s visa for </w:t>
      </w:r>
      <w:r w:rsidR="00906196" w:rsidRPr="00CC2CF5">
        <w:rPr>
          <w:rFonts w:cs="Arial"/>
          <w:szCs w:val="24"/>
          <w:lang w:val="en-GB"/>
        </w:rPr>
        <w:t>the purpose</w:t>
      </w:r>
      <w:r w:rsidR="006F4748" w:rsidRPr="00CC2CF5">
        <w:rPr>
          <w:rFonts w:cs="Arial"/>
          <w:szCs w:val="24"/>
          <w:lang w:val="en-GB"/>
        </w:rPr>
        <w:t xml:space="preserve"> of visiting family. Thereafter, the first applicant visited South Africa again in 1995 and 1996. </w:t>
      </w:r>
      <w:r w:rsidR="00C0622F" w:rsidRPr="00CC2CF5">
        <w:rPr>
          <w:rFonts w:cs="Arial"/>
          <w:szCs w:val="24"/>
          <w:lang w:val="en-GB"/>
        </w:rPr>
        <w:t>In</w:t>
      </w:r>
      <w:r w:rsidR="006F4748" w:rsidRPr="00CC2CF5">
        <w:rPr>
          <w:rFonts w:cs="Arial"/>
          <w:szCs w:val="24"/>
          <w:lang w:val="en-GB"/>
        </w:rPr>
        <w:t xml:space="preserve"> 1996, the second applicant accompanied the first applicant to South Africa. </w:t>
      </w:r>
      <w:r w:rsidR="00C0622F" w:rsidRPr="00CC2CF5">
        <w:rPr>
          <w:rFonts w:cs="Arial"/>
          <w:szCs w:val="24"/>
          <w:lang w:val="en-GB"/>
        </w:rPr>
        <w:t>In</w:t>
      </w:r>
      <w:r w:rsidR="006F4748" w:rsidRPr="00CC2CF5">
        <w:rPr>
          <w:rFonts w:cs="Arial"/>
          <w:szCs w:val="24"/>
          <w:lang w:val="en-GB"/>
        </w:rPr>
        <w:t xml:space="preserve"> early 1997, the applicants approached the Krugersdorp Home Affairs </w:t>
      </w:r>
      <w:r w:rsidR="0041337C" w:rsidRPr="00CC2CF5">
        <w:rPr>
          <w:rFonts w:cs="Arial"/>
          <w:szCs w:val="24"/>
          <w:lang w:val="en-GB"/>
        </w:rPr>
        <w:t xml:space="preserve">branch </w:t>
      </w:r>
      <w:r w:rsidR="006F4748" w:rsidRPr="00CC2CF5">
        <w:rPr>
          <w:rFonts w:cs="Arial"/>
          <w:szCs w:val="24"/>
          <w:lang w:val="en-GB"/>
        </w:rPr>
        <w:t xml:space="preserve">to enquire </w:t>
      </w:r>
      <w:r w:rsidR="00906196" w:rsidRPr="00CC2CF5">
        <w:rPr>
          <w:rFonts w:cs="Arial"/>
          <w:szCs w:val="24"/>
          <w:lang w:val="en-GB"/>
        </w:rPr>
        <w:t>about</w:t>
      </w:r>
      <w:r w:rsidR="006F4748" w:rsidRPr="00CC2CF5">
        <w:rPr>
          <w:rFonts w:cs="Arial"/>
          <w:szCs w:val="24"/>
          <w:lang w:val="en-GB"/>
        </w:rPr>
        <w:t xml:space="preserve"> the procedure to obtain citizenship</w:t>
      </w:r>
      <w:r w:rsidR="0041337C" w:rsidRPr="00CC2CF5">
        <w:rPr>
          <w:rFonts w:cs="Arial"/>
          <w:szCs w:val="24"/>
          <w:lang w:val="en-GB"/>
        </w:rPr>
        <w:t>,</w:t>
      </w:r>
      <w:r w:rsidR="006F4748" w:rsidRPr="00CC2CF5">
        <w:rPr>
          <w:rFonts w:cs="Arial"/>
          <w:szCs w:val="24"/>
          <w:lang w:val="en-GB"/>
        </w:rPr>
        <w:t xml:space="preserve"> </w:t>
      </w:r>
      <w:r w:rsidR="006F4748" w:rsidRPr="00CC2CF5">
        <w:rPr>
          <w:rFonts w:cs="Arial"/>
          <w:i/>
          <w:iCs/>
          <w:szCs w:val="24"/>
          <w:lang w:val="en-GB"/>
        </w:rPr>
        <w:t xml:space="preserve">alternatively </w:t>
      </w:r>
      <w:r w:rsidR="006F4748" w:rsidRPr="00CC2CF5">
        <w:rPr>
          <w:rFonts w:cs="Arial"/>
          <w:szCs w:val="24"/>
          <w:lang w:val="en-GB"/>
        </w:rPr>
        <w:t xml:space="preserve">permanent residence. The applicants were advised </w:t>
      </w:r>
      <w:r w:rsidR="0041337C" w:rsidRPr="00CC2CF5">
        <w:rPr>
          <w:rFonts w:cs="Arial"/>
          <w:szCs w:val="24"/>
          <w:lang w:val="en-GB"/>
        </w:rPr>
        <w:t xml:space="preserve">that </w:t>
      </w:r>
      <w:r w:rsidR="006F4748" w:rsidRPr="00CC2CF5">
        <w:rPr>
          <w:rFonts w:cs="Arial"/>
          <w:szCs w:val="24"/>
          <w:lang w:val="en-GB"/>
        </w:rPr>
        <w:t>the respondent</w:t>
      </w:r>
      <w:r w:rsidR="00A02E55" w:rsidRPr="00CC2CF5">
        <w:rPr>
          <w:rFonts w:cs="Arial"/>
          <w:szCs w:val="24"/>
          <w:lang w:val="en-GB"/>
        </w:rPr>
        <w:t>s</w:t>
      </w:r>
      <w:r w:rsidR="006F4748" w:rsidRPr="00CC2CF5">
        <w:rPr>
          <w:rFonts w:cs="Arial"/>
          <w:szCs w:val="24"/>
          <w:lang w:val="en-GB"/>
        </w:rPr>
        <w:t xml:space="preserve"> shall consider the same.</w:t>
      </w:r>
    </w:p>
    <w:p w14:paraId="2DEFBD51" w14:textId="22DB0568" w:rsidR="00A02E55"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8.</w:t>
      </w:r>
      <w:r w:rsidRPr="00961D21">
        <w:rPr>
          <w:rFonts w:cs="Arial"/>
          <w:w w:val="99"/>
          <w:szCs w:val="24"/>
        </w:rPr>
        <w:tab/>
      </w:r>
      <w:r w:rsidR="006F4748" w:rsidRPr="00CC2CF5">
        <w:rPr>
          <w:rFonts w:cs="Arial"/>
          <w:szCs w:val="24"/>
          <w:lang w:val="en-GB"/>
        </w:rPr>
        <w:t>The applicants applied for their respective identity documents on the same day. Later in 1997, the</w:t>
      </w:r>
      <w:r w:rsidR="0041337C" w:rsidRPr="00CC2CF5">
        <w:rPr>
          <w:rFonts w:cs="Arial"/>
          <w:szCs w:val="24"/>
          <w:lang w:val="en-GB"/>
        </w:rPr>
        <w:t>y</w:t>
      </w:r>
      <w:r w:rsidR="006F4748" w:rsidRPr="00CC2CF5">
        <w:rPr>
          <w:rFonts w:cs="Arial"/>
          <w:szCs w:val="24"/>
          <w:lang w:val="en-GB"/>
        </w:rPr>
        <w:t xml:space="preserve"> were advised by the respondents that their applications were successful and that their identity documents were ready for collection</w:t>
      </w:r>
      <w:r w:rsidR="0041337C" w:rsidRPr="00CC2CF5">
        <w:rPr>
          <w:rFonts w:cs="Arial"/>
          <w:szCs w:val="24"/>
          <w:lang w:val="en-GB"/>
        </w:rPr>
        <w:t xml:space="preserve">, whereafter they </w:t>
      </w:r>
      <w:r w:rsidR="006F4748" w:rsidRPr="00CC2CF5">
        <w:rPr>
          <w:rFonts w:cs="Arial"/>
          <w:szCs w:val="24"/>
          <w:lang w:val="en-GB"/>
        </w:rPr>
        <w:t>collected their identity documents. Copies of these identity documents were annexed to the applicants’ founding affidavit.</w:t>
      </w:r>
    </w:p>
    <w:p w14:paraId="63DB06F4" w14:textId="7C7C1E4A" w:rsidR="00A02E55"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9.</w:t>
      </w:r>
      <w:r w:rsidRPr="00961D21">
        <w:rPr>
          <w:rFonts w:cs="Arial"/>
          <w:w w:val="99"/>
          <w:szCs w:val="24"/>
        </w:rPr>
        <w:tab/>
      </w:r>
      <w:r w:rsidR="006F4748" w:rsidRPr="00CC2CF5">
        <w:rPr>
          <w:rFonts w:cs="Arial"/>
          <w:szCs w:val="24"/>
          <w:lang w:val="en-GB"/>
        </w:rPr>
        <w:t xml:space="preserve">According to the applicants, </w:t>
      </w:r>
      <w:r w:rsidR="00906196" w:rsidRPr="00CC2CF5">
        <w:rPr>
          <w:rFonts w:cs="Arial"/>
          <w:szCs w:val="24"/>
          <w:lang w:val="en-GB"/>
        </w:rPr>
        <w:t>in</w:t>
      </w:r>
      <w:r w:rsidR="006F4748" w:rsidRPr="00CC2CF5">
        <w:rPr>
          <w:rFonts w:cs="Arial"/>
          <w:szCs w:val="24"/>
          <w:lang w:val="en-GB"/>
        </w:rPr>
        <w:t xml:space="preserve"> early 1998 the second applicant had a fallout with his South African partner</w:t>
      </w:r>
      <w:r w:rsidR="0041337C" w:rsidRPr="00CC2CF5">
        <w:rPr>
          <w:rFonts w:cs="Arial"/>
          <w:szCs w:val="24"/>
          <w:lang w:val="en-GB"/>
        </w:rPr>
        <w:t xml:space="preserve">. The partner </w:t>
      </w:r>
      <w:r w:rsidR="006F4748" w:rsidRPr="00CC2CF5">
        <w:rPr>
          <w:rFonts w:cs="Arial"/>
          <w:szCs w:val="24"/>
          <w:lang w:val="en-GB"/>
        </w:rPr>
        <w:t>alluded to the second applicant that he is of the intention to report the applicants for holding “</w:t>
      </w:r>
      <w:r w:rsidR="006F4748" w:rsidRPr="00CC2CF5">
        <w:rPr>
          <w:rFonts w:cs="Arial"/>
          <w:i/>
          <w:iCs/>
          <w:szCs w:val="24"/>
          <w:lang w:val="en-GB"/>
        </w:rPr>
        <w:t>possible fraudulent South African Identity documents</w:t>
      </w:r>
      <w:r w:rsidR="006F4748" w:rsidRPr="00CC2CF5">
        <w:rPr>
          <w:rFonts w:cs="Arial"/>
          <w:szCs w:val="24"/>
          <w:lang w:val="en-GB"/>
        </w:rPr>
        <w:t xml:space="preserve">”. </w:t>
      </w:r>
      <w:r w:rsidR="0041337C" w:rsidRPr="00CC2CF5">
        <w:rPr>
          <w:rFonts w:cs="Arial"/>
          <w:szCs w:val="24"/>
          <w:lang w:val="en-GB"/>
        </w:rPr>
        <w:t xml:space="preserve">Hereafter, </w:t>
      </w:r>
      <w:r w:rsidR="006F4748" w:rsidRPr="00CC2CF5">
        <w:rPr>
          <w:rFonts w:cs="Arial"/>
          <w:szCs w:val="24"/>
          <w:lang w:val="en-GB"/>
        </w:rPr>
        <w:t>officials of the respondents raided the applicants</w:t>
      </w:r>
      <w:r w:rsidR="009E7B75" w:rsidRPr="00CC2CF5">
        <w:rPr>
          <w:rFonts w:cs="Arial"/>
          <w:szCs w:val="24"/>
          <w:lang w:val="en-GB"/>
        </w:rPr>
        <w:t>’</w:t>
      </w:r>
      <w:r w:rsidR="006F4748" w:rsidRPr="00CC2CF5">
        <w:rPr>
          <w:rFonts w:cs="Arial"/>
          <w:szCs w:val="24"/>
          <w:lang w:val="en-GB"/>
        </w:rPr>
        <w:t xml:space="preserve"> </w:t>
      </w:r>
      <w:r w:rsidR="00906196" w:rsidRPr="00CC2CF5">
        <w:rPr>
          <w:rFonts w:cs="Arial"/>
          <w:szCs w:val="24"/>
          <w:lang w:val="en-GB"/>
        </w:rPr>
        <w:t>residence,</w:t>
      </w:r>
      <w:r w:rsidR="006F4748" w:rsidRPr="00CC2CF5">
        <w:rPr>
          <w:rFonts w:cs="Arial"/>
          <w:szCs w:val="24"/>
          <w:lang w:val="en-GB"/>
        </w:rPr>
        <w:t xml:space="preserve"> and the said officials seized the</w:t>
      </w:r>
      <w:r w:rsidR="009E7B75" w:rsidRPr="00CC2CF5">
        <w:rPr>
          <w:rFonts w:cs="Arial"/>
          <w:szCs w:val="24"/>
          <w:lang w:val="en-GB"/>
        </w:rPr>
        <w:t>ir</w:t>
      </w:r>
      <w:r w:rsidR="006F4748" w:rsidRPr="00CC2CF5">
        <w:rPr>
          <w:rFonts w:cs="Arial"/>
          <w:szCs w:val="24"/>
          <w:lang w:val="en-GB"/>
        </w:rPr>
        <w:t xml:space="preserve"> identity documents “</w:t>
      </w:r>
      <w:r w:rsidR="006F4748" w:rsidRPr="00CC2CF5">
        <w:rPr>
          <w:rFonts w:cs="Arial"/>
          <w:i/>
          <w:iCs/>
          <w:szCs w:val="24"/>
          <w:lang w:val="en-GB"/>
        </w:rPr>
        <w:t xml:space="preserve">pending the completion of their purported </w:t>
      </w:r>
      <w:r w:rsidR="006F4748" w:rsidRPr="00CC2CF5">
        <w:rPr>
          <w:rFonts w:cs="Arial"/>
          <w:i/>
          <w:iCs/>
          <w:szCs w:val="24"/>
          <w:lang w:val="en-GB"/>
        </w:rPr>
        <w:lastRenderedPageBreak/>
        <w:t>investigation</w:t>
      </w:r>
      <w:r w:rsidR="006F4748" w:rsidRPr="00CC2CF5">
        <w:rPr>
          <w:rFonts w:cs="Arial"/>
          <w:szCs w:val="24"/>
          <w:lang w:val="en-GB"/>
        </w:rPr>
        <w:t>”.</w:t>
      </w:r>
    </w:p>
    <w:p w14:paraId="42582E6E" w14:textId="4A14CE31" w:rsidR="006123B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10.</w:t>
      </w:r>
      <w:r w:rsidRPr="00961D21">
        <w:rPr>
          <w:rFonts w:cs="Arial"/>
          <w:w w:val="99"/>
          <w:szCs w:val="24"/>
        </w:rPr>
        <w:tab/>
      </w:r>
      <w:r w:rsidR="006F4748" w:rsidRPr="00CC2CF5">
        <w:rPr>
          <w:rFonts w:cs="Arial"/>
          <w:szCs w:val="24"/>
          <w:lang w:val="en-GB"/>
        </w:rPr>
        <w:t xml:space="preserve">The applicants followed up with the said officials </w:t>
      </w:r>
      <w:r w:rsidR="00272319" w:rsidRPr="00CC2CF5">
        <w:rPr>
          <w:rFonts w:cs="Arial"/>
          <w:szCs w:val="24"/>
          <w:lang w:val="en-GB"/>
        </w:rPr>
        <w:t>regarding</w:t>
      </w:r>
      <w:r w:rsidR="006F4748" w:rsidRPr="00CC2CF5">
        <w:rPr>
          <w:rFonts w:cs="Arial"/>
          <w:szCs w:val="24"/>
          <w:lang w:val="en-GB"/>
        </w:rPr>
        <w:t xml:space="preserve"> the investigation</w:t>
      </w:r>
      <w:r w:rsidR="009E7B75" w:rsidRPr="00CC2CF5">
        <w:rPr>
          <w:rFonts w:cs="Arial"/>
          <w:szCs w:val="24"/>
          <w:lang w:val="en-GB"/>
        </w:rPr>
        <w:t>. They</w:t>
      </w:r>
      <w:r w:rsidR="006F4748" w:rsidRPr="00CC2CF5">
        <w:rPr>
          <w:rFonts w:cs="Arial"/>
          <w:szCs w:val="24"/>
          <w:lang w:val="en-GB"/>
        </w:rPr>
        <w:t xml:space="preserve"> </w:t>
      </w:r>
      <w:r w:rsidR="009E7B75" w:rsidRPr="00CC2CF5">
        <w:rPr>
          <w:rFonts w:cs="Arial"/>
          <w:szCs w:val="24"/>
          <w:lang w:val="en-GB"/>
        </w:rPr>
        <w:t>w</w:t>
      </w:r>
      <w:r w:rsidR="006F4748" w:rsidRPr="00CC2CF5">
        <w:rPr>
          <w:rFonts w:cs="Arial"/>
          <w:szCs w:val="24"/>
          <w:lang w:val="en-GB"/>
        </w:rPr>
        <w:t>ere informed that the</w:t>
      </w:r>
      <w:r w:rsidR="009E7B75" w:rsidRPr="00CC2CF5">
        <w:rPr>
          <w:rFonts w:cs="Arial"/>
          <w:szCs w:val="24"/>
          <w:lang w:val="en-GB"/>
        </w:rPr>
        <w:t>ir identity documents</w:t>
      </w:r>
      <w:r w:rsidR="006F4748" w:rsidRPr="00CC2CF5">
        <w:rPr>
          <w:rFonts w:cs="Arial"/>
          <w:szCs w:val="24"/>
          <w:lang w:val="en-GB"/>
        </w:rPr>
        <w:t xml:space="preserve"> were blocked, </w:t>
      </w:r>
      <w:r w:rsidR="00272319" w:rsidRPr="00CC2CF5">
        <w:rPr>
          <w:rFonts w:cs="Arial"/>
          <w:szCs w:val="24"/>
          <w:lang w:val="en-GB"/>
        </w:rPr>
        <w:t>cancelled,</w:t>
      </w:r>
      <w:r w:rsidR="006F4748" w:rsidRPr="00CC2CF5">
        <w:rPr>
          <w:rFonts w:cs="Arial"/>
          <w:szCs w:val="24"/>
          <w:lang w:val="en-GB"/>
        </w:rPr>
        <w:t xml:space="preserve"> and removed from the population register and that they must return to their country of origin as soon as possible, failing which they will be deported. The applicants contend that they were never provided reasons for such </w:t>
      </w:r>
      <w:r w:rsidR="00505CE7" w:rsidRPr="00CC2CF5">
        <w:rPr>
          <w:rFonts w:cs="Arial"/>
          <w:szCs w:val="24"/>
          <w:lang w:val="en-GB"/>
        </w:rPr>
        <w:t xml:space="preserve">a </w:t>
      </w:r>
      <w:r w:rsidR="006F4748" w:rsidRPr="00CC2CF5">
        <w:rPr>
          <w:rFonts w:cs="Arial"/>
          <w:szCs w:val="24"/>
          <w:lang w:val="en-GB"/>
        </w:rPr>
        <w:t>decision and were never furnished with an opportunity to provide representations and/or a hearing.</w:t>
      </w:r>
    </w:p>
    <w:p w14:paraId="666664C8" w14:textId="7493A88C"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11.</w:t>
      </w:r>
      <w:r w:rsidRPr="00961D21">
        <w:rPr>
          <w:rFonts w:cs="Arial"/>
          <w:w w:val="99"/>
          <w:szCs w:val="24"/>
        </w:rPr>
        <w:tab/>
      </w:r>
      <w:r w:rsidR="006F4748" w:rsidRPr="00CC2CF5">
        <w:rPr>
          <w:rFonts w:cs="Arial"/>
          <w:szCs w:val="24"/>
          <w:lang w:val="en-GB"/>
        </w:rPr>
        <w:t>T</w:t>
      </w:r>
      <w:r w:rsidR="009E7B75" w:rsidRPr="00CC2CF5">
        <w:rPr>
          <w:rFonts w:cs="Arial"/>
          <w:szCs w:val="24"/>
          <w:lang w:val="en-GB"/>
        </w:rPr>
        <w:t>o assist them, t</w:t>
      </w:r>
      <w:r w:rsidR="006F4748" w:rsidRPr="00CC2CF5">
        <w:rPr>
          <w:rFonts w:cs="Arial"/>
          <w:szCs w:val="24"/>
          <w:lang w:val="en-GB"/>
        </w:rPr>
        <w:t>he applicants procured the services of an immigration lawyer</w:t>
      </w:r>
      <w:r w:rsidR="009E7B75" w:rsidRPr="00CC2CF5">
        <w:rPr>
          <w:rFonts w:cs="Arial"/>
          <w:szCs w:val="24"/>
          <w:lang w:val="en-GB"/>
        </w:rPr>
        <w:t xml:space="preserve">. The immigration lawyer </w:t>
      </w:r>
      <w:r w:rsidR="006F4748" w:rsidRPr="00CC2CF5">
        <w:rPr>
          <w:rFonts w:cs="Arial"/>
          <w:szCs w:val="24"/>
          <w:lang w:val="en-GB"/>
        </w:rPr>
        <w:t xml:space="preserve">advised the applicants that he can assist with new applications for permanent residence exemption. </w:t>
      </w:r>
      <w:r w:rsidR="00272319" w:rsidRPr="00CC2CF5">
        <w:rPr>
          <w:rFonts w:cs="Arial"/>
          <w:szCs w:val="24"/>
          <w:lang w:val="en-GB"/>
        </w:rPr>
        <w:t>In</w:t>
      </w:r>
      <w:r w:rsidR="006F4748" w:rsidRPr="00CC2CF5">
        <w:rPr>
          <w:rFonts w:cs="Arial"/>
          <w:szCs w:val="24"/>
          <w:lang w:val="en-GB"/>
        </w:rPr>
        <w:t xml:space="preserve"> late 1999</w:t>
      </w:r>
      <w:r w:rsidR="006123B7" w:rsidRPr="00CC2CF5">
        <w:rPr>
          <w:rFonts w:cs="Arial"/>
          <w:szCs w:val="24"/>
          <w:lang w:val="en-GB"/>
        </w:rPr>
        <w:t>,</w:t>
      </w:r>
      <w:r w:rsidR="00792601" w:rsidRPr="00CC2CF5">
        <w:rPr>
          <w:rFonts w:cs="Arial"/>
          <w:szCs w:val="24"/>
          <w:lang w:val="en-GB"/>
        </w:rPr>
        <w:t xml:space="preserve"> the lawyer</w:t>
      </w:r>
      <w:r w:rsidR="006F4748" w:rsidRPr="00CC2CF5">
        <w:rPr>
          <w:rFonts w:cs="Arial"/>
          <w:szCs w:val="24"/>
          <w:lang w:val="en-GB"/>
        </w:rPr>
        <w:t xml:space="preserve"> assisted with such applications which were submitted at Marabastad branch of Home Affairs in Pretoria. Both applicants were issued with certificates of exemption. The applicants’ annexed the purported certificate of exemption to their founding affidavit. However, </w:t>
      </w:r>
      <w:r w:rsidR="00792601" w:rsidRPr="00CC2CF5">
        <w:rPr>
          <w:rFonts w:cs="Arial"/>
          <w:i/>
          <w:iCs/>
          <w:szCs w:val="24"/>
          <w:lang w:val="en-GB"/>
        </w:rPr>
        <w:t>ex facie</w:t>
      </w:r>
      <w:r w:rsidR="00792601" w:rsidRPr="00CC2CF5">
        <w:rPr>
          <w:rFonts w:cs="Arial"/>
          <w:szCs w:val="24"/>
          <w:lang w:val="en-GB"/>
        </w:rPr>
        <w:t xml:space="preserve"> </w:t>
      </w:r>
      <w:r w:rsidR="006F4748" w:rsidRPr="00CC2CF5">
        <w:rPr>
          <w:rFonts w:cs="Arial"/>
          <w:szCs w:val="24"/>
          <w:lang w:val="en-GB"/>
        </w:rPr>
        <w:t>the certificates</w:t>
      </w:r>
      <w:r w:rsidR="00961D21" w:rsidRPr="00CC2CF5">
        <w:rPr>
          <w:rFonts w:cs="Arial"/>
          <w:szCs w:val="24"/>
          <w:lang w:val="en-GB"/>
        </w:rPr>
        <w:t>, they</w:t>
      </w:r>
      <w:r w:rsidR="006F4748" w:rsidRPr="00CC2CF5">
        <w:rPr>
          <w:rFonts w:cs="Arial"/>
          <w:szCs w:val="24"/>
          <w:lang w:val="en-GB"/>
        </w:rPr>
        <w:t xml:space="preserve"> were issued on 15</w:t>
      </w:r>
      <w:r w:rsidR="00961D21" w:rsidRPr="00CC2CF5">
        <w:rPr>
          <w:rFonts w:cs="Arial"/>
          <w:szCs w:val="24"/>
          <w:lang w:val="en-GB"/>
        </w:rPr>
        <w:t> </w:t>
      </w:r>
      <w:r w:rsidR="006F4748" w:rsidRPr="00CC2CF5">
        <w:rPr>
          <w:rFonts w:cs="Arial"/>
          <w:szCs w:val="24"/>
          <w:lang w:val="en-GB"/>
        </w:rPr>
        <w:t>September 1997 (and not 1999 as contended by the applicants).</w:t>
      </w:r>
    </w:p>
    <w:p w14:paraId="5AD580CC" w14:textId="2D11BD85"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12.</w:t>
      </w:r>
      <w:r w:rsidRPr="00961D21">
        <w:rPr>
          <w:rFonts w:cs="Arial"/>
          <w:w w:val="99"/>
          <w:szCs w:val="24"/>
        </w:rPr>
        <w:tab/>
      </w:r>
      <w:r w:rsidR="006F4748" w:rsidRPr="00CC2CF5">
        <w:rPr>
          <w:rFonts w:cs="Arial"/>
          <w:szCs w:val="24"/>
          <w:lang w:val="en-GB"/>
        </w:rPr>
        <w:t xml:space="preserve">Be that as it may, during the latter part of 2000, the applicants applied </w:t>
      </w:r>
      <w:r w:rsidR="00792601" w:rsidRPr="00CC2CF5">
        <w:rPr>
          <w:rFonts w:cs="Arial"/>
          <w:szCs w:val="24"/>
          <w:lang w:val="en-GB"/>
        </w:rPr>
        <w:t xml:space="preserve">to be issued with </w:t>
      </w:r>
      <w:r w:rsidR="004D3AE8" w:rsidRPr="00CC2CF5">
        <w:rPr>
          <w:rFonts w:cs="Arial"/>
          <w:szCs w:val="24"/>
          <w:lang w:val="en-GB"/>
        </w:rPr>
        <w:t xml:space="preserve">identity </w:t>
      </w:r>
      <w:r w:rsidR="00792601" w:rsidRPr="00CC2CF5">
        <w:rPr>
          <w:rFonts w:cs="Arial"/>
          <w:szCs w:val="24"/>
          <w:lang w:val="en-GB"/>
        </w:rPr>
        <w:t xml:space="preserve">documents </w:t>
      </w:r>
      <w:r w:rsidR="006F4748" w:rsidRPr="00CC2CF5">
        <w:rPr>
          <w:rFonts w:cs="Arial"/>
          <w:szCs w:val="24"/>
          <w:lang w:val="en-GB"/>
        </w:rPr>
        <w:t xml:space="preserve">under the issued exemption permits. The first applicant was summoned to Home Affairs Head Office in Pretoria to explain why she had two identity numbers registered </w:t>
      </w:r>
      <w:r w:rsidR="00792601" w:rsidRPr="00CC2CF5">
        <w:rPr>
          <w:rFonts w:cs="Arial"/>
          <w:szCs w:val="24"/>
          <w:lang w:val="en-GB"/>
        </w:rPr>
        <w:t xml:space="preserve">with </w:t>
      </w:r>
      <w:r w:rsidR="006F4748" w:rsidRPr="00CC2CF5">
        <w:rPr>
          <w:rFonts w:cs="Arial"/>
          <w:szCs w:val="24"/>
          <w:lang w:val="en-GB"/>
        </w:rPr>
        <w:t>Home Affairs. The interrogat</w:t>
      </w:r>
      <w:r w:rsidR="00792601" w:rsidRPr="00CC2CF5">
        <w:rPr>
          <w:rFonts w:cs="Arial"/>
          <w:szCs w:val="24"/>
          <w:lang w:val="en-GB"/>
        </w:rPr>
        <w:t xml:space="preserve">ing </w:t>
      </w:r>
      <w:r w:rsidR="006F4748" w:rsidRPr="00CC2CF5">
        <w:rPr>
          <w:rFonts w:cs="Arial"/>
          <w:szCs w:val="24"/>
          <w:lang w:val="en-GB"/>
        </w:rPr>
        <w:t>officials confiscated the first applicant’s identity docu</w:t>
      </w:r>
      <w:r w:rsidR="00C21145" w:rsidRPr="00CC2CF5">
        <w:rPr>
          <w:rFonts w:cs="Arial"/>
          <w:szCs w:val="24"/>
          <w:lang w:val="en-GB"/>
        </w:rPr>
        <w:t>ment with identity number […]</w:t>
      </w:r>
      <w:r w:rsidR="006F4748" w:rsidRPr="00CC2CF5">
        <w:rPr>
          <w:rFonts w:cs="Arial"/>
          <w:szCs w:val="24"/>
          <w:lang w:val="en-GB"/>
        </w:rPr>
        <w:t xml:space="preserve"> and confirmed </w:t>
      </w:r>
      <w:r w:rsidR="00272319" w:rsidRPr="00CC2CF5">
        <w:rPr>
          <w:rFonts w:cs="Arial"/>
          <w:szCs w:val="24"/>
          <w:lang w:val="en-GB"/>
        </w:rPr>
        <w:t xml:space="preserve">the </w:t>
      </w:r>
      <w:r w:rsidR="006F4748" w:rsidRPr="00CC2CF5">
        <w:rPr>
          <w:rFonts w:cs="Arial"/>
          <w:szCs w:val="24"/>
          <w:lang w:val="en-GB"/>
        </w:rPr>
        <w:t xml:space="preserve">deletion of the same in the respondents’ </w:t>
      </w:r>
      <w:r w:rsidR="00195786" w:rsidRPr="00CC2CF5">
        <w:rPr>
          <w:rFonts w:cs="Arial"/>
          <w:szCs w:val="24"/>
          <w:lang w:val="en-GB"/>
        </w:rPr>
        <w:t>population register</w:t>
      </w:r>
      <w:r w:rsidR="006F4748" w:rsidRPr="00CC2CF5">
        <w:rPr>
          <w:rFonts w:cs="Arial"/>
          <w:szCs w:val="24"/>
          <w:lang w:val="en-GB"/>
        </w:rPr>
        <w:t xml:space="preserve">. According to the applicants, the officials informed the first applicant that the third applicant (the first and second </w:t>
      </w:r>
      <w:r w:rsidR="00792601" w:rsidRPr="00CC2CF5">
        <w:rPr>
          <w:rFonts w:cs="Arial"/>
          <w:szCs w:val="24"/>
          <w:lang w:val="en-GB"/>
        </w:rPr>
        <w:t>applicants</w:t>
      </w:r>
      <w:r w:rsidR="006F4748" w:rsidRPr="00CC2CF5">
        <w:rPr>
          <w:rFonts w:cs="Arial"/>
          <w:szCs w:val="24"/>
          <w:lang w:val="en-GB"/>
        </w:rPr>
        <w:t>’ eldest son), w</w:t>
      </w:r>
      <w:r w:rsidR="00961D21" w:rsidRPr="00CC2CF5">
        <w:rPr>
          <w:rFonts w:cs="Arial"/>
          <w:szCs w:val="24"/>
          <w:lang w:val="en-GB"/>
        </w:rPr>
        <w:t>as</w:t>
      </w:r>
      <w:r w:rsidR="006F4748" w:rsidRPr="00CC2CF5">
        <w:rPr>
          <w:rFonts w:cs="Arial"/>
          <w:szCs w:val="24"/>
          <w:lang w:val="en-GB"/>
        </w:rPr>
        <w:t xml:space="preserve"> “</w:t>
      </w:r>
      <w:r w:rsidR="006F4748" w:rsidRPr="00CC2CF5">
        <w:rPr>
          <w:rFonts w:cs="Arial"/>
          <w:i/>
          <w:iCs/>
          <w:szCs w:val="24"/>
          <w:lang w:val="en-GB"/>
        </w:rPr>
        <w:t>transferred</w:t>
      </w:r>
      <w:r w:rsidR="006F4748" w:rsidRPr="00CC2CF5">
        <w:rPr>
          <w:rFonts w:cs="Arial"/>
          <w:szCs w:val="24"/>
          <w:lang w:val="en-GB"/>
        </w:rPr>
        <w:t>” to the first applicant’s new residen</w:t>
      </w:r>
      <w:r w:rsidR="00792601" w:rsidRPr="00CC2CF5">
        <w:rPr>
          <w:rFonts w:cs="Arial"/>
          <w:szCs w:val="24"/>
          <w:lang w:val="en-GB"/>
        </w:rPr>
        <w:t>cy</w:t>
      </w:r>
      <w:r w:rsidR="006F4748" w:rsidRPr="00CC2CF5">
        <w:rPr>
          <w:rFonts w:cs="Arial"/>
          <w:szCs w:val="24"/>
          <w:lang w:val="en-GB"/>
        </w:rPr>
        <w:t xml:space="preserve"> exempted identity number</w:t>
      </w:r>
      <w:r w:rsidR="00792601" w:rsidRPr="00CC2CF5">
        <w:rPr>
          <w:rFonts w:cs="Arial"/>
          <w:szCs w:val="24"/>
          <w:lang w:val="en-GB"/>
        </w:rPr>
        <w:t>,</w:t>
      </w:r>
      <w:r w:rsidR="006F4748" w:rsidRPr="00CC2CF5">
        <w:rPr>
          <w:rFonts w:cs="Arial"/>
          <w:szCs w:val="24"/>
          <w:lang w:val="en-GB"/>
        </w:rPr>
        <w:t xml:space="preserve"> since their investigation</w:t>
      </w:r>
      <w:r w:rsidR="00792601" w:rsidRPr="00CC2CF5">
        <w:rPr>
          <w:rFonts w:cs="Arial"/>
          <w:szCs w:val="24"/>
          <w:lang w:val="en-GB"/>
        </w:rPr>
        <w:t xml:space="preserve"> </w:t>
      </w:r>
      <w:r w:rsidR="00906196" w:rsidRPr="00CC2CF5">
        <w:rPr>
          <w:rFonts w:cs="Arial"/>
          <w:szCs w:val="24"/>
          <w:lang w:val="en-GB"/>
        </w:rPr>
        <w:t>into</w:t>
      </w:r>
      <w:r w:rsidR="006F4748" w:rsidRPr="00CC2CF5">
        <w:rPr>
          <w:rFonts w:cs="Arial"/>
          <w:szCs w:val="24"/>
          <w:lang w:val="en-GB"/>
        </w:rPr>
        <w:t xml:space="preserve"> the legitimacy of her application for permanent residence</w:t>
      </w:r>
      <w:r w:rsidR="00792601" w:rsidRPr="00CC2CF5">
        <w:rPr>
          <w:rFonts w:cs="Arial"/>
          <w:szCs w:val="24"/>
          <w:lang w:val="en-GB"/>
        </w:rPr>
        <w:t xml:space="preserve"> was concluded</w:t>
      </w:r>
      <w:r w:rsidR="006F4748" w:rsidRPr="00CC2CF5">
        <w:rPr>
          <w:rFonts w:cs="Arial"/>
          <w:szCs w:val="24"/>
          <w:lang w:val="en-GB"/>
        </w:rPr>
        <w:t>.</w:t>
      </w:r>
    </w:p>
    <w:p w14:paraId="7C7092BF" w14:textId="280C7FC9"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13.</w:t>
      </w:r>
      <w:r w:rsidRPr="00961D21">
        <w:rPr>
          <w:rFonts w:cs="Arial"/>
          <w:w w:val="99"/>
          <w:szCs w:val="24"/>
        </w:rPr>
        <w:tab/>
      </w:r>
      <w:r w:rsidR="00792601" w:rsidRPr="00CC2CF5">
        <w:rPr>
          <w:rFonts w:cs="Arial"/>
          <w:szCs w:val="24"/>
          <w:lang w:val="en-GB"/>
        </w:rPr>
        <w:t xml:space="preserve">Upon a subsequent procurement of the same immigration lawyer, </w:t>
      </w:r>
      <w:r w:rsidR="006F4748" w:rsidRPr="00CC2CF5">
        <w:rPr>
          <w:rFonts w:cs="Arial"/>
          <w:szCs w:val="24"/>
          <w:lang w:val="en-GB"/>
        </w:rPr>
        <w:t xml:space="preserve">an agreement between the first and second applicants and the respondents </w:t>
      </w:r>
      <w:r w:rsidR="00906196" w:rsidRPr="00CC2CF5">
        <w:rPr>
          <w:rFonts w:cs="Arial"/>
          <w:szCs w:val="24"/>
          <w:lang w:val="en-GB"/>
        </w:rPr>
        <w:t>was</w:t>
      </w:r>
      <w:r w:rsidR="00D31A89" w:rsidRPr="00CC2CF5">
        <w:rPr>
          <w:rFonts w:cs="Arial"/>
          <w:szCs w:val="24"/>
          <w:lang w:val="en-GB"/>
        </w:rPr>
        <w:t xml:space="preserve"> </w:t>
      </w:r>
      <w:r w:rsidR="00D31A89" w:rsidRPr="00CC2CF5">
        <w:rPr>
          <w:rFonts w:cs="Arial"/>
          <w:szCs w:val="24"/>
          <w:lang w:val="en-GB"/>
        </w:rPr>
        <w:lastRenderedPageBreak/>
        <w:t xml:space="preserve">concluded to the effect </w:t>
      </w:r>
      <w:r w:rsidR="006F4748" w:rsidRPr="00CC2CF5">
        <w:rPr>
          <w:rFonts w:cs="Arial"/>
          <w:szCs w:val="24"/>
          <w:lang w:val="en-GB"/>
        </w:rPr>
        <w:t xml:space="preserve">that the latter </w:t>
      </w:r>
      <w:r w:rsidR="00D31A89" w:rsidRPr="00CC2CF5">
        <w:rPr>
          <w:rFonts w:cs="Arial"/>
          <w:szCs w:val="24"/>
          <w:lang w:val="en-GB"/>
        </w:rPr>
        <w:t>w</w:t>
      </w:r>
      <w:r w:rsidR="006F4748" w:rsidRPr="00CC2CF5">
        <w:rPr>
          <w:rFonts w:cs="Arial"/>
          <w:szCs w:val="24"/>
          <w:lang w:val="en-GB"/>
        </w:rPr>
        <w:t xml:space="preserve">ould issue the former with another set of permanent residence permits containing the same identity numbers. These permanent residence permits were </w:t>
      </w:r>
      <w:r w:rsidR="00D31A89" w:rsidRPr="00CC2CF5">
        <w:rPr>
          <w:rFonts w:cs="Arial"/>
          <w:szCs w:val="24"/>
          <w:lang w:val="en-GB"/>
        </w:rPr>
        <w:t>“</w:t>
      </w:r>
      <w:r w:rsidR="006F4748" w:rsidRPr="00CC2CF5">
        <w:rPr>
          <w:rFonts w:cs="Arial"/>
          <w:i/>
          <w:iCs/>
          <w:szCs w:val="24"/>
          <w:lang w:val="en-GB"/>
        </w:rPr>
        <w:t>stamped</w:t>
      </w:r>
      <w:r w:rsidR="00D31A89" w:rsidRPr="00CC2CF5">
        <w:rPr>
          <w:rFonts w:cs="Arial"/>
          <w:szCs w:val="24"/>
          <w:lang w:val="en-GB"/>
        </w:rPr>
        <w:t>”</w:t>
      </w:r>
      <w:r w:rsidR="006F4748" w:rsidRPr="00CC2CF5">
        <w:rPr>
          <w:rFonts w:cs="Arial"/>
          <w:szCs w:val="24"/>
          <w:lang w:val="en-GB"/>
        </w:rPr>
        <w:t xml:space="preserve"> into the applicants’ passports</w:t>
      </w:r>
      <w:r w:rsidR="00D31A89" w:rsidRPr="00CC2CF5">
        <w:rPr>
          <w:rFonts w:cs="Arial"/>
          <w:szCs w:val="24"/>
          <w:lang w:val="en-GB"/>
        </w:rPr>
        <w:t xml:space="preserve">. They </w:t>
      </w:r>
      <w:r w:rsidR="006F4748" w:rsidRPr="00CC2CF5">
        <w:rPr>
          <w:rFonts w:cs="Arial"/>
          <w:szCs w:val="24"/>
          <w:lang w:val="en-GB"/>
        </w:rPr>
        <w:t xml:space="preserve">were informed by the respondents that they should await the issuing of </w:t>
      </w:r>
      <w:r w:rsidR="00961D21" w:rsidRPr="00CC2CF5">
        <w:rPr>
          <w:rFonts w:cs="Arial"/>
          <w:szCs w:val="24"/>
          <w:lang w:val="en-GB"/>
        </w:rPr>
        <w:t>(</w:t>
      </w:r>
      <w:r w:rsidR="000C5352" w:rsidRPr="00CC2CF5">
        <w:rPr>
          <w:rFonts w:cs="Arial"/>
          <w:szCs w:val="24"/>
          <w:lang w:val="en-GB"/>
        </w:rPr>
        <w:t>permanent residency</w:t>
      </w:r>
      <w:r w:rsidR="00961D21" w:rsidRPr="00CC2CF5">
        <w:rPr>
          <w:rFonts w:cs="Arial"/>
          <w:szCs w:val="24"/>
          <w:lang w:val="en-GB"/>
        </w:rPr>
        <w:t>)</w:t>
      </w:r>
      <w:r w:rsidR="000C5352" w:rsidRPr="00CC2CF5">
        <w:rPr>
          <w:rFonts w:cs="Arial"/>
          <w:szCs w:val="24"/>
          <w:lang w:val="en-GB"/>
        </w:rPr>
        <w:t xml:space="preserve"> </w:t>
      </w:r>
      <w:r w:rsidR="006F4748" w:rsidRPr="00CC2CF5">
        <w:rPr>
          <w:rFonts w:cs="Arial"/>
          <w:i/>
          <w:iCs/>
          <w:szCs w:val="24"/>
          <w:lang w:val="en-GB"/>
        </w:rPr>
        <w:t>“PR Certificates”</w:t>
      </w:r>
      <w:r w:rsidR="006F4748" w:rsidRPr="00CC2CF5">
        <w:rPr>
          <w:rFonts w:cs="Arial"/>
          <w:szCs w:val="24"/>
          <w:lang w:val="en-GB"/>
        </w:rPr>
        <w:t>.  This never materialized.</w:t>
      </w:r>
    </w:p>
    <w:p w14:paraId="446A0EFA" w14:textId="64E0E530"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14.</w:t>
      </w:r>
      <w:r w:rsidRPr="00961D21">
        <w:rPr>
          <w:rFonts w:cs="Arial"/>
          <w:w w:val="99"/>
          <w:szCs w:val="24"/>
        </w:rPr>
        <w:tab/>
      </w:r>
      <w:r w:rsidR="00906196" w:rsidRPr="00CC2CF5">
        <w:rPr>
          <w:rFonts w:cs="Arial"/>
          <w:szCs w:val="24"/>
          <w:lang w:val="en-GB"/>
        </w:rPr>
        <w:t>In</w:t>
      </w:r>
      <w:r w:rsidR="006F4748" w:rsidRPr="00CC2CF5">
        <w:rPr>
          <w:rFonts w:cs="Arial"/>
          <w:szCs w:val="24"/>
          <w:lang w:val="en-GB"/>
        </w:rPr>
        <w:t xml:space="preserve"> 2005, the applicants requested </w:t>
      </w:r>
      <w:r w:rsidR="00D31A89" w:rsidRPr="00CC2CF5">
        <w:rPr>
          <w:rFonts w:cs="Arial"/>
          <w:szCs w:val="24"/>
          <w:lang w:val="en-GB"/>
        </w:rPr>
        <w:t xml:space="preserve">to be provided with </w:t>
      </w:r>
      <w:r w:rsidR="006F4748" w:rsidRPr="00CC2CF5">
        <w:rPr>
          <w:rFonts w:cs="Arial"/>
          <w:szCs w:val="24"/>
          <w:lang w:val="en-GB"/>
        </w:rPr>
        <w:t>a printout from the respondents</w:t>
      </w:r>
      <w:r w:rsidR="00D31A89" w:rsidRPr="00CC2CF5">
        <w:rPr>
          <w:rFonts w:cs="Arial"/>
          <w:szCs w:val="24"/>
          <w:lang w:val="en-GB"/>
        </w:rPr>
        <w:t>’ system to confirm</w:t>
      </w:r>
      <w:r w:rsidR="006F4748" w:rsidRPr="00CC2CF5">
        <w:rPr>
          <w:rFonts w:cs="Arial"/>
          <w:szCs w:val="24"/>
          <w:lang w:val="en-GB"/>
        </w:rPr>
        <w:t xml:space="preserve"> their status on the population register. The relevant official only provided a printout in respect of the second applicant</w:t>
      </w:r>
      <w:r w:rsidR="00D31A89" w:rsidRPr="00CC2CF5">
        <w:rPr>
          <w:rFonts w:cs="Arial"/>
          <w:szCs w:val="24"/>
          <w:lang w:val="en-GB"/>
        </w:rPr>
        <w:t xml:space="preserve">. The applicants contend that this </w:t>
      </w:r>
      <w:r w:rsidR="006F4748" w:rsidRPr="00CC2CF5">
        <w:rPr>
          <w:rFonts w:cs="Arial"/>
          <w:szCs w:val="24"/>
          <w:lang w:val="en-GB"/>
        </w:rPr>
        <w:t>printout confirmed that the second applicant was a citizen of South Africa.</w:t>
      </w:r>
    </w:p>
    <w:p w14:paraId="02AA5139" w14:textId="5978FAEC"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15.</w:t>
      </w:r>
      <w:r w:rsidRPr="00961D21">
        <w:rPr>
          <w:rFonts w:cs="Arial"/>
          <w:w w:val="99"/>
          <w:szCs w:val="24"/>
        </w:rPr>
        <w:tab/>
      </w:r>
      <w:r w:rsidR="00906196" w:rsidRPr="00CC2CF5">
        <w:rPr>
          <w:rFonts w:cs="Arial"/>
          <w:szCs w:val="24"/>
          <w:lang w:val="en-GB"/>
        </w:rPr>
        <w:t>In</w:t>
      </w:r>
      <w:r w:rsidR="006F4748" w:rsidRPr="00CC2CF5">
        <w:rPr>
          <w:rFonts w:cs="Arial"/>
          <w:szCs w:val="24"/>
          <w:lang w:val="en-GB"/>
        </w:rPr>
        <w:t xml:space="preserve"> 2009, the applicants approached the respondents again and lodged applications for citizenship based on their permanent residence permits </w:t>
      </w:r>
      <w:r w:rsidR="00D31A89" w:rsidRPr="00CC2CF5">
        <w:rPr>
          <w:rFonts w:cs="Arial"/>
          <w:szCs w:val="24"/>
          <w:lang w:val="en-GB"/>
        </w:rPr>
        <w:t>“</w:t>
      </w:r>
      <w:r w:rsidR="006F4748" w:rsidRPr="00CC2CF5">
        <w:rPr>
          <w:rFonts w:cs="Arial"/>
          <w:i/>
          <w:iCs/>
          <w:szCs w:val="24"/>
          <w:lang w:val="en-GB"/>
        </w:rPr>
        <w:t>stamped</w:t>
      </w:r>
      <w:r w:rsidR="00D31A89" w:rsidRPr="00CC2CF5">
        <w:rPr>
          <w:rFonts w:cs="Arial"/>
          <w:szCs w:val="24"/>
          <w:lang w:val="en-GB"/>
        </w:rPr>
        <w:t>”</w:t>
      </w:r>
      <w:r w:rsidR="006F4748" w:rsidRPr="00CC2CF5">
        <w:rPr>
          <w:rFonts w:cs="Arial"/>
          <w:szCs w:val="24"/>
          <w:lang w:val="en-GB"/>
        </w:rPr>
        <w:t xml:space="preserve"> in their passports. The respondents issued the applicants with temporary South African passports to enable them </w:t>
      </w:r>
      <w:r w:rsidR="000C5352" w:rsidRPr="00CC2CF5">
        <w:rPr>
          <w:rFonts w:cs="Arial"/>
          <w:szCs w:val="24"/>
          <w:lang w:val="en-GB"/>
        </w:rPr>
        <w:t xml:space="preserve">to travel </w:t>
      </w:r>
      <w:r w:rsidR="00961D21" w:rsidRPr="00CC2CF5">
        <w:rPr>
          <w:rFonts w:cs="Arial"/>
          <w:szCs w:val="24"/>
          <w:lang w:val="en-GB"/>
        </w:rPr>
        <w:t xml:space="preserve">abroad and to be able to return to </w:t>
      </w:r>
      <w:r w:rsidR="006F4748" w:rsidRPr="00CC2CF5">
        <w:rPr>
          <w:rFonts w:cs="Arial"/>
          <w:szCs w:val="24"/>
          <w:lang w:val="en-GB"/>
        </w:rPr>
        <w:t>South Africa.</w:t>
      </w:r>
    </w:p>
    <w:p w14:paraId="12FC26D9" w14:textId="755FC8A8"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16.</w:t>
      </w:r>
      <w:r w:rsidRPr="00961D21">
        <w:rPr>
          <w:rFonts w:cs="Arial"/>
          <w:w w:val="99"/>
          <w:szCs w:val="24"/>
        </w:rPr>
        <w:tab/>
      </w:r>
      <w:r w:rsidR="006F4748" w:rsidRPr="00CC2CF5">
        <w:rPr>
          <w:rFonts w:cs="Arial"/>
          <w:szCs w:val="24"/>
          <w:lang w:val="en-GB"/>
        </w:rPr>
        <w:t>During 2009/2010 the second applicant return</w:t>
      </w:r>
      <w:r w:rsidR="00D31A89" w:rsidRPr="00CC2CF5">
        <w:rPr>
          <w:rFonts w:cs="Arial"/>
          <w:szCs w:val="24"/>
          <w:lang w:val="en-GB"/>
        </w:rPr>
        <w:t>ed</w:t>
      </w:r>
      <w:r w:rsidR="006F4748" w:rsidRPr="00CC2CF5">
        <w:rPr>
          <w:rFonts w:cs="Arial"/>
          <w:szCs w:val="24"/>
          <w:lang w:val="en-GB"/>
        </w:rPr>
        <w:t xml:space="preserve"> to </w:t>
      </w:r>
      <w:r w:rsidR="00D31A89" w:rsidRPr="00CC2CF5">
        <w:rPr>
          <w:rFonts w:cs="Arial"/>
          <w:szCs w:val="24"/>
          <w:lang w:val="en-GB"/>
        </w:rPr>
        <w:t xml:space="preserve">South Africa, he travelled abroad for </w:t>
      </w:r>
      <w:r w:rsidR="006F4748" w:rsidRPr="00CC2CF5">
        <w:rPr>
          <w:rFonts w:cs="Arial"/>
          <w:szCs w:val="24"/>
          <w:lang w:val="en-GB"/>
        </w:rPr>
        <w:t>business</w:t>
      </w:r>
      <w:r w:rsidR="00D31A89" w:rsidRPr="00CC2CF5">
        <w:rPr>
          <w:rFonts w:cs="Arial"/>
          <w:szCs w:val="24"/>
          <w:lang w:val="en-GB"/>
        </w:rPr>
        <w:t xml:space="preserve">. He </w:t>
      </w:r>
      <w:r w:rsidR="006F4748" w:rsidRPr="00CC2CF5">
        <w:rPr>
          <w:rFonts w:cs="Arial"/>
          <w:szCs w:val="24"/>
          <w:lang w:val="en-GB"/>
        </w:rPr>
        <w:t xml:space="preserve">was stopped at O.R Tambo International Airport by </w:t>
      </w:r>
      <w:r w:rsidR="00D31A89" w:rsidRPr="00CC2CF5">
        <w:rPr>
          <w:rFonts w:cs="Arial"/>
          <w:szCs w:val="24"/>
          <w:lang w:val="en-GB"/>
        </w:rPr>
        <w:t xml:space="preserve">immigration officers </w:t>
      </w:r>
      <w:r w:rsidR="006F4748" w:rsidRPr="00CC2CF5">
        <w:rPr>
          <w:rFonts w:cs="Arial"/>
          <w:szCs w:val="24"/>
          <w:lang w:val="en-GB"/>
        </w:rPr>
        <w:t>and informed that his permanent residence (stamped in his passport) had been blocked again</w:t>
      </w:r>
      <w:r w:rsidR="00D31A89" w:rsidRPr="00CC2CF5">
        <w:rPr>
          <w:rFonts w:cs="Arial"/>
          <w:szCs w:val="24"/>
          <w:lang w:val="en-GB"/>
        </w:rPr>
        <w:t xml:space="preserve"> and formed </w:t>
      </w:r>
      <w:r w:rsidR="006F4748" w:rsidRPr="00CC2CF5">
        <w:rPr>
          <w:rFonts w:cs="Arial"/>
          <w:szCs w:val="24"/>
          <w:lang w:val="en-GB"/>
        </w:rPr>
        <w:t>the subject</w:t>
      </w:r>
      <w:r w:rsidR="00D31A89" w:rsidRPr="00CC2CF5">
        <w:rPr>
          <w:rFonts w:cs="Arial"/>
          <w:szCs w:val="24"/>
          <w:lang w:val="en-GB"/>
        </w:rPr>
        <w:t xml:space="preserve"> matter </w:t>
      </w:r>
      <w:r w:rsidR="006F4748" w:rsidRPr="00CC2CF5">
        <w:rPr>
          <w:rFonts w:cs="Arial"/>
          <w:szCs w:val="24"/>
          <w:lang w:val="en-GB"/>
        </w:rPr>
        <w:t>of a pending investigation. The immigration officers allowed the second respondent to</w:t>
      </w:r>
      <w:r w:rsidR="00D31A89" w:rsidRPr="00CC2CF5">
        <w:rPr>
          <w:rFonts w:cs="Arial"/>
          <w:szCs w:val="24"/>
          <w:lang w:val="en-GB"/>
        </w:rPr>
        <w:t xml:space="preserve"> enter</w:t>
      </w:r>
      <w:r w:rsidR="006F4748" w:rsidRPr="00CC2CF5">
        <w:rPr>
          <w:rFonts w:cs="Arial"/>
          <w:szCs w:val="24"/>
          <w:lang w:val="en-GB"/>
        </w:rPr>
        <w:t xml:space="preserve"> </w:t>
      </w:r>
      <w:r w:rsidR="00D31A89" w:rsidRPr="00CC2CF5">
        <w:rPr>
          <w:rFonts w:cs="Arial"/>
          <w:szCs w:val="24"/>
          <w:lang w:val="en-GB"/>
        </w:rPr>
        <w:t xml:space="preserve">South Africa. They </w:t>
      </w:r>
      <w:r w:rsidR="006F4748" w:rsidRPr="00CC2CF5">
        <w:rPr>
          <w:rFonts w:cs="Arial"/>
          <w:szCs w:val="24"/>
          <w:lang w:val="en-GB"/>
        </w:rPr>
        <w:t xml:space="preserve">informed him that he should immediately attend to a Home Affairs branch </w:t>
      </w:r>
      <w:r w:rsidR="00272319" w:rsidRPr="00CC2CF5">
        <w:rPr>
          <w:rFonts w:cs="Arial"/>
          <w:szCs w:val="24"/>
          <w:lang w:val="en-GB"/>
        </w:rPr>
        <w:t>to</w:t>
      </w:r>
      <w:r w:rsidR="006F4748" w:rsidRPr="00CC2CF5">
        <w:rPr>
          <w:rFonts w:cs="Arial"/>
          <w:szCs w:val="24"/>
          <w:lang w:val="en-GB"/>
        </w:rPr>
        <w:t xml:space="preserve"> </w:t>
      </w:r>
      <w:r w:rsidR="006F4748" w:rsidRPr="00CC2CF5">
        <w:rPr>
          <w:rFonts w:cs="Arial"/>
          <w:i/>
          <w:iCs/>
          <w:szCs w:val="24"/>
          <w:lang w:val="en-GB"/>
        </w:rPr>
        <w:t>“sort his issue out”</w:t>
      </w:r>
      <w:r w:rsidR="006F4748" w:rsidRPr="00CC2CF5">
        <w:rPr>
          <w:rFonts w:cs="Arial"/>
          <w:szCs w:val="24"/>
          <w:lang w:val="en-GB"/>
        </w:rPr>
        <w:t>.</w:t>
      </w:r>
    </w:p>
    <w:p w14:paraId="3AA23727" w14:textId="72DC20E8"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17.</w:t>
      </w:r>
      <w:r w:rsidRPr="00961D21">
        <w:rPr>
          <w:rFonts w:cs="Arial"/>
          <w:w w:val="99"/>
          <w:szCs w:val="24"/>
        </w:rPr>
        <w:tab/>
      </w:r>
      <w:r w:rsidR="006F4748" w:rsidRPr="00CC2CF5">
        <w:rPr>
          <w:rFonts w:cs="Arial"/>
          <w:szCs w:val="24"/>
          <w:lang w:val="en-GB"/>
        </w:rPr>
        <w:t xml:space="preserve">The second applicant </w:t>
      </w:r>
      <w:r w:rsidR="00D31A89" w:rsidRPr="00CC2CF5">
        <w:rPr>
          <w:rFonts w:cs="Arial"/>
          <w:szCs w:val="24"/>
          <w:lang w:val="en-GB"/>
        </w:rPr>
        <w:t xml:space="preserve">immediately attended </w:t>
      </w:r>
      <w:r w:rsidR="006F4748" w:rsidRPr="00CC2CF5">
        <w:rPr>
          <w:rFonts w:cs="Arial"/>
          <w:szCs w:val="24"/>
          <w:lang w:val="en-GB"/>
        </w:rPr>
        <w:t xml:space="preserve">to the Germiston Home Affairs </w:t>
      </w:r>
      <w:r w:rsidR="00D31A89" w:rsidRPr="00CC2CF5">
        <w:rPr>
          <w:rFonts w:cs="Arial"/>
          <w:szCs w:val="24"/>
          <w:lang w:val="en-GB"/>
        </w:rPr>
        <w:t xml:space="preserve">branch </w:t>
      </w:r>
      <w:r w:rsidR="006F4748" w:rsidRPr="00CC2CF5">
        <w:rPr>
          <w:rFonts w:cs="Arial"/>
          <w:szCs w:val="24"/>
          <w:lang w:val="en-GB"/>
        </w:rPr>
        <w:t xml:space="preserve">and presented his </w:t>
      </w:r>
      <w:r w:rsidR="00D31A89" w:rsidRPr="00CC2CF5">
        <w:rPr>
          <w:rFonts w:cs="Arial"/>
          <w:szCs w:val="24"/>
          <w:lang w:val="en-GB"/>
        </w:rPr>
        <w:t xml:space="preserve">identity book document </w:t>
      </w:r>
      <w:r w:rsidR="006F4748" w:rsidRPr="00CC2CF5">
        <w:rPr>
          <w:rFonts w:cs="Arial"/>
          <w:szCs w:val="24"/>
          <w:lang w:val="en-GB"/>
        </w:rPr>
        <w:t>and requested information pertaining to the investigation</w:t>
      </w:r>
      <w:r w:rsidR="00D31A89" w:rsidRPr="00CC2CF5">
        <w:rPr>
          <w:rFonts w:cs="Arial"/>
          <w:szCs w:val="24"/>
          <w:lang w:val="en-GB"/>
        </w:rPr>
        <w:t xml:space="preserve"> mentioned</w:t>
      </w:r>
      <w:r w:rsidR="006F4748" w:rsidRPr="00CC2CF5">
        <w:rPr>
          <w:rFonts w:cs="Arial"/>
          <w:szCs w:val="24"/>
          <w:lang w:val="en-GB"/>
        </w:rPr>
        <w:t>. The Home Affairs officials informed the second applicant that both the first and second applicant</w:t>
      </w:r>
      <w:r w:rsidR="00D31A89" w:rsidRPr="00CC2CF5">
        <w:rPr>
          <w:rFonts w:cs="Arial"/>
          <w:szCs w:val="24"/>
          <w:lang w:val="en-GB"/>
        </w:rPr>
        <w:t>s’</w:t>
      </w:r>
      <w:r w:rsidR="006F4748" w:rsidRPr="00CC2CF5">
        <w:rPr>
          <w:rFonts w:cs="Arial"/>
          <w:szCs w:val="24"/>
          <w:lang w:val="en-GB"/>
        </w:rPr>
        <w:t xml:space="preserve"> permanent residency </w:t>
      </w:r>
      <w:r w:rsidR="00906196" w:rsidRPr="00CC2CF5">
        <w:rPr>
          <w:rFonts w:cs="Arial"/>
          <w:szCs w:val="24"/>
          <w:lang w:val="en-GB"/>
        </w:rPr>
        <w:t>was</w:t>
      </w:r>
      <w:r w:rsidR="006F4748" w:rsidRPr="00CC2CF5">
        <w:rPr>
          <w:rFonts w:cs="Arial"/>
          <w:szCs w:val="24"/>
          <w:lang w:val="en-GB"/>
        </w:rPr>
        <w:t xml:space="preserve"> </w:t>
      </w:r>
      <w:r w:rsidR="006F4748" w:rsidRPr="00CC2CF5">
        <w:rPr>
          <w:rFonts w:cs="Arial"/>
          <w:i/>
          <w:iCs/>
          <w:szCs w:val="24"/>
          <w:lang w:val="en-GB"/>
        </w:rPr>
        <w:t>“blocked”</w:t>
      </w:r>
      <w:r w:rsidR="006F4748" w:rsidRPr="00CC2CF5">
        <w:rPr>
          <w:rFonts w:cs="Arial"/>
          <w:szCs w:val="24"/>
          <w:lang w:val="en-GB"/>
        </w:rPr>
        <w:t>.  The second applicant was further advised that he should apply for the Zimbabwean Dispensation Permit as an “</w:t>
      </w:r>
      <w:r w:rsidR="006F4748" w:rsidRPr="00CC2CF5">
        <w:rPr>
          <w:rFonts w:cs="Arial"/>
          <w:i/>
          <w:iCs/>
          <w:szCs w:val="24"/>
          <w:lang w:val="en-GB"/>
        </w:rPr>
        <w:t>intermediary</w:t>
      </w:r>
      <w:r w:rsidR="006F4748" w:rsidRPr="00CC2CF5">
        <w:rPr>
          <w:rFonts w:cs="Arial"/>
          <w:szCs w:val="24"/>
          <w:lang w:val="en-GB"/>
        </w:rPr>
        <w:t xml:space="preserve"> </w:t>
      </w:r>
      <w:r w:rsidR="006F4748" w:rsidRPr="00CC2CF5">
        <w:rPr>
          <w:rFonts w:cs="Arial"/>
          <w:i/>
          <w:iCs/>
          <w:szCs w:val="24"/>
          <w:lang w:val="en-GB"/>
        </w:rPr>
        <w:t>permit</w:t>
      </w:r>
      <w:r w:rsidR="006F4748" w:rsidRPr="00CC2CF5">
        <w:rPr>
          <w:rFonts w:cs="Arial"/>
          <w:szCs w:val="24"/>
          <w:lang w:val="en-GB"/>
        </w:rPr>
        <w:t xml:space="preserve">” in order to remain legal in the country whilst waiting </w:t>
      </w:r>
      <w:r w:rsidR="00906196" w:rsidRPr="00CC2CF5">
        <w:rPr>
          <w:rFonts w:cs="Arial"/>
          <w:szCs w:val="24"/>
          <w:lang w:val="en-GB"/>
        </w:rPr>
        <w:t>for</w:t>
      </w:r>
      <w:r w:rsidR="006F4748" w:rsidRPr="00CC2CF5">
        <w:rPr>
          <w:rFonts w:cs="Arial"/>
          <w:szCs w:val="24"/>
          <w:lang w:val="en-GB"/>
        </w:rPr>
        <w:t xml:space="preserve"> the </w:t>
      </w:r>
      <w:r w:rsidR="006F4748" w:rsidRPr="00CC2CF5">
        <w:rPr>
          <w:rFonts w:cs="Arial"/>
          <w:szCs w:val="24"/>
          <w:lang w:val="en-GB"/>
        </w:rPr>
        <w:lastRenderedPageBreak/>
        <w:t>conclusion and outcome of the purported investigations.</w:t>
      </w:r>
    </w:p>
    <w:p w14:paraId="27E6C0B6" w14:textId="13113957"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18.</w:t>
      </w:r>
      <w:r w:rsidRPr="00961D21">
        <w:rPr>
          <w:rFonts w:cs="Arial"/>
          <w:w w:val="99"/>
          <w:szCs w:val="24"/>
        </w:rPr>
        <w:tab/>
      </w:r>
      <w:r w:rsidR="006F4748" w:rsidRPr="00CC2CF5">
        <w:rPr>
          <w:rFonts w:cs="Arial"/>
          <w:szCs w:val="24"/>
          <w:lang w:val="en-GB"/>
        </w:rPr>
        <w:t>Following the aforesaid advice, the applicants applied for the Zimbabwean Dispensation Permits which were issued to them.</w:t>
      </w:r>
    </w:p>
    <w:p w14:paraId="55953543" w14:textId="71C96C8D"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19.</w:t>
      </w:r>
      <w:r w:rsidRPr="00961D21">
        <w:rPr>
          <w:rFonts w:cs="Arial"/>
          <w:w w:val="99"/>
          <w:szCs w:val="24"/>
        </w:rPr>
        <w:tab/>
      </w:r>
      <w:r w:rsidR="00906196" w:rsidRPr="00CC2CF5">
        <w:rPr>
          <w:rFonts w:cs="Arial"/>
          <w:szCs w:val="24"/>
          <w:lang w:val="en-GB"/>
        </w:rPr>
        <w:t>In</w:t>
      </w:r>
      <w:r w:rsidR="006F4748" w:rsidRPr="00CC2CF5">
        <w:rPr>
          <w:rFonts w:cs="Arial"/>
          <w:szCs w:val="24"/>
          <w:lang w:val="en-GB"/>
        </w:rPr>
        <w:t xml:space="preserve"> October 2010, the applicants attended the Home Affairs</w:t>
      </w:r>
      <w:r w:rsidR="00C543B2" w:rsidRPr="00CC2CF5">
        <w:rPr>
          <w:rFonts w:cs="Arial"/>
          <w:szCs w:val="24"/>
          <w:lang w:val="en-GB"/>
        </w:rPr>
        <w:t xml:space="preserve"> office in </w:t>
      </w:r>
      <w:r w:rsidR="006F4748" w:rsidRPr="00CC2CF5">
        <w:rPr>
          <w:rFonts w:cs="Arial"/>
          <w:szCs w:val="24"/>
          <w:lang w:val="en-GB"/>
        </w:rPr>
        <w:t xml:space="preserve">Johannesburg to follow up on the investigation. They were informed by a Home Affairs official that a certain </w:t>
      </w:r>
      <w:r w:rsidR="00906196" w:rsidRPr="00CC2CF5">
        <w:rPr>
          <w:rFonts w:cs="Arial"/>
          <w:szCs w:val="24"/>
          <w:lang w:val="en-GB"/>
        </w:rPr>
        <w:t>Mr</w:t>
      </w:r>
      <w:r w:rsidR="00505CE7" w:rsidRPr="00CC2CF5">
        <w:rPr>
          <w:rFonts w:cs="Arial"/>
          <w:szCs w:val="24"/>
          <w:lang w:val="en-GB"/>
        </w:rPr>
        <w:t> </w:t>
      </w:r>
      <w:r w:rsidR="006F4748" w:rsidRPr="00CC2CF5">
        <w:rPr>
          <w:rFonts w:cs="Arial"/>
          <w:szCs w:val="24"/>
          <w:lang w:val="en-GB"/>
        </w:rPr>
        <w:t xml:space="preserve">Abel Lelwane placed a </w:t>
      </w:r>
      <w:r w:rsidR="006F4748" w:rsidRPr="00CC2CF5">
        <w:rPr>
          <w:rFonts w:cs="Arial"/>
          <w:i/>
          <w:iCs/>
          <w:szCs w:val="24"/>
          <w:lang w:val="en-GB"/>
        </w:rPr>
        <w:t>“negative comment”</w:t>
      </w:r>
      <w:r w:rsidR="006F4748" w:rsidRPr="00CC2CF5">
        <w:rPr>
          <w:rFonts w:cs="Arial"/>
          <w:szCs w:val="24"/>
          <w:lang w:val="en-GB"/>
        </w:rPr>
        <w:t xml:space="preserve"> on their family file</w:t>
      </w:r>
      <w:r w:rsidR="00C543B2" w:rsidRPr="00CC2CF5">
        <w:rPr>
          <w:rFonts w:cs="Arial"/>
          <w:szCs w:val="24"/>
          <w:lang w:val="en-GB"/>
        </w:rPr>
        <w:t>. T</w:t>
      </w:r>
      <w:r w:rsidR="007971A5" w:rsidRPr="00CC2CF5">
        <w:rPr>
          <w:rFonts w:cs="Arial"/>
          <w:szCs w:val="24"/>
          <w:lang w:val="en-GB"/>
        </w:rPr>
        <w:t>he</w:t>
      </w:r>
      <w:r w:rsidR="006F4748" w:rsidRPr="00CC2CF5">
        <w:rPr>
          <w:rFonts w:cs="Arial"/>
          <w:szCs w:val="24"/>
          <w:lang w:val="en-GB"/>
        </w:rPr>
        <w:t xml:space="preserve"> applicants</w:t>
      </w:r>
      <w:r w:rsidR="00C543B2" w:rsidRPr="00CC2CF5">
        <w:rPr>
          <w:rFonts w:cs="Arial"/>
          <w:szCs w:val="24"/>
          <w:lang w:val="en-GB"/>
        </w:rPr>
        <w:t xml:space="preserve"> did</w:t>
      </w:r>
      <w:r w:rsidR="006F4748" w:rsidRPr="00CC2CF5">
        <w:rPr>
          <w:rFonts w:cs="Arial"/>
          <w:szCs w:val="24"/>
          <w:lang w:val="en-GB"/>
        </w:rPr>
        <w:t xml:space="preserve"> not receive notice of any intended action</w:t>
      </w:r>
      <w:r w:rsidR="00C543B2" w:rsidRPr="00CC2CF5">
        <w:rPr>
          <w:rFonts w:cs="Arial"/>
          <w:szCs w:val="24"/>
          <w:lang w:val="en-GB"/>
        </w:rPr>
        <w:t>,</w:t>
      </w:r>
      <w:r w:rsidR="006F4748" w:rsidRPr="00CC2CF5">
        <w:rPr>
          <w:rFonts w:cs="Arial"/>
          <w:szCs w:val="24"/>
          <w:lang w:val="en-GB"/>
        </w:rPr>
        <w:t xml:space="preserve"> </w:t>
      </w:r>
      <w:r w:rsidR="000C5352" w:rsidRPr="00CC2CF5">
        <w:rPr>
          <w:rFonts w:cs="Arial"/>
          <w:szCs w:val="24"/>
          <w:lang w:val="en-GB"/>
        </w:rPr>
        <w:t xml:space="preserve">nor </w:t>
      </w:r>
      <w:r w:rsidR="006F4748" w:rsidRPr="00CC2CF5">
        <w:rPr>
          <w:rFonts w:cs="Arial"/>
          <w:szCs w:val="24"/>
          <w:lang w:val="en-GB"/>
        </w:rPr>
        <w:t xml:space="preserve">the opportunity to make representations </w:t>
      </w:r>
      <w:r w:rsidR="007971A5" w:rsidRPr="00CC2CF5">
        <w:rPr>
          <w:rFonts w:cs="Arial"/>
          <w:szCs w:val="24"/>
          <w:lang w:val="en-GB"/>
        </w:rPr>
        <w:t xml:space="preserve">or </w:t>
      </w:r>
      <w:r w:rsidR="006F4748" w:rsidRPr="00CC2CF5">
        <w:rPr>
          <w:rFonts w:cs="Arial"/>
          <w:szCs w:val="24"/>
          <w:lang w:val="en-GB"/>
        </w:rPr>
        <w:t>a hearing.</w:t>
      </w:r>
    </w:p>
    <w:p w14:paraId="4278D7B4" w14:textId="4B1717FD"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20.</w:t>
      </w:r>
      <w:r w:rsidRPr="00961D21">
        <w:rPr>
          <w:rFonts w:cs="Arial"/>
          <w:w w:val="99"/>
          <w:szCs w:val="24"/>
        </w:rPr>
        <w:tab/>
      </w:r>
      <w:r w:rsidR="006F4748" w:rsidRPr="00CC2CF5">
        <w:rPr>
          <w:rFonts w:cs="Arial"/>
          <w:szCs w:val="24"/>
          <w:lang w:val="en-GB"/>
        </w:rPr>
        <w:t>Since then</w:t>
      </w:r>
      <w:r w:rsidR="00760D80" w:rsidRPr="00CC2CF5">
        <w:rPr>
          <w:rFonts w:cs="Arial"/>
          <w:szCs w:val="24"/>
          <w:lang w:val="en-GB"/>
        </w:rPr>
        <w:t>,</w:t>
      </w:r>
      <w:r w:rsidR="006F4748" w:rsidRPr="00CC2CF5">
        <w:rPr>
          <w:rFonts w:cs="Arial"/>
          <w:szCs w:val="24"/>
          <w:lang w:val="en-GB"/>
        </w:rPr>
        <w:t xml:space="preserve"> the applicants </w:t>
      </w:r>
      <w:r w:rsidR="000C5352" w:rsidRPr="00CC2CF5">
        <w:rPr>
          <w:rFonts w:cs="Arial"/>
          <w:szCs w:val="24"/>
          <w:lang w:val="en-GB"/>
        </w:rPr>
        <w:t xml:space="preserve">have been </w:t>
      </w:r>
      <w:r w:rsidR="006F4748" w:rsidRPr="00CC2CF5">
        <w:rPr>
          <w:rFonts w:cs="Arial"/>
          <w:szCs w:val="24"/>
          <w:lang w:val="en-GB"/>
        </w:rPr>
        <w:t>unable to receive any feedback from the respondents.</w:t>
      </w:r>
    </w:p>
    <w:p w14:paraId="014F6E28" w14:textId="519B8CD8"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21.</w:t>
      </w:r>
      <w:r w:rsidRPr="00961D21">
        <w:rPr>
          <w:rFonts w:cs="Arial"/>
          <w:w w:val="99"/>
          <w:szCs w:val="24"/>
        </w:rPr>
        <w:tab/>
      </w:r>
      <w:r w:rsidR="006F4748" w:rsidRPr="00CC2CF5">
        <w:rPr>
          <w:rFonts w:cs="Arial"/>
          <w:szCs w:val="24"/>
          <w:lang w:val="en-GB"/>
        </w:rPr>
        <w:t>With regards to the first and second applicants’ children, the following:</w:t>
      </w:r>
    </w:p>
    <w:p w14:paraId="1E9C602B" w14:textId="3F6CE4E1" w:rsidR="00505CE7"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21.1.</w:t>
      </w:r>
      <w:r w:rsidRPr="00961D21">
        <w:rPr>
          <w:rFonts w:cs="Arial"/>
          <w:szCs w:val="24"/>
        </w:rPr>
        <w:tab/>
      </w:r>
      <w:r w:rsidR="006F4748" w:rsidRPr="00CC2CF5">
        <w:rPr>
          <w:rFonts w:cs="Arial"/>
          <w:szCs w:val="24"/>
          <w:lang w:val="en-GB"/>
        </w:rPr>
        <w:t>During 2019, the applicants approached the respondents to attempt to “</w:t>
      </w:r>
      <w:r w:rsidR="006F4748" w:rsidRPr="00CC2CF5">
        <w:rPr>
          <w:rFonts w:cs="Arial"/>
          <w:i/>
          <w:iCs/>
          <w:szCs w:val="24"/>
          <w:lang w:val="en-GB"/>
        </w:rPr>
        <w:t>normalize and l</w:t>
      </w:r>
      <w:r w:rsidR="00F82FFE" w:rsidRPr="00CC2CF5">
        <w:rPr>
          <w:rFonts w:cs="Arial"/>
          <w:i/>
          <w:iCs/>
          <w:szCs w:val="24"/>
          <w:lang w:val="en-GB"/>
        </w:rPr>
        <w:t>e</w:t>
      </w:r>
      <w:r w:rsidR="006F4748" w:rsidRPr="00CC2CF5">
        <w:rPr>
          <w:rFonts w:cs="Arial"/>
          <w:i/>
          <w:iCs/>
          <w:szCs w:val="24"/>
          <w:lang w:val="en-GB"/>
        </w:rPr>
        <w:t xml:space="preserve">galize” </w:t>
      </w:r>
      <w:r w:rsidR="006F4748" w:rsidRPr="00CC2CF5">
        <w:rPr>
          <w:rFonts w:cs="Arial"/>
          <w:szCs w:val="24"/>
          <w:lang w:val="en-GB"/>
        </w:rPr>
        <w:t>the stay of Tapiwa Michael Kere and Ruvimbo Megani Kere (</w:t>
      </w:r>
      <w:r w:rsidR="006F4748" w:rsidRPr="00CC2CF5">
        <w:rPr>
          <w:rFonts w:cs="Arial"/>
          <w:i/>
          <w:iCs/>
          <w:szCs w:val="24"/>
          <w:lang w:val="en-GB"/>
        </w:rPr>
        <w:t>“the twins”</w:t>
      </w:r>
      <w:r w:rsidR="006F4748" w:rsidRPr="00CC2CF5">
        <w:rPr>
          <w:rFonts w:cs="Arial"/>
          <w:szCs w:val="24"/>
          <w:lang w:val="en-GB"/>
        </w:rPr>
        <w:t>) in South Africa. The respondents merely advised that the</w:t>
      </w:r>
      <w:r w:rsidR="00C543B2" w:rsidRPr="00CC2CF5">
        <w:rPr>
          <w:rFonts w:cs="Arial"/>
          <w:szCs w:val="24"/>
          <w:lang w:val="en-GB"/>
        </w:rPr>
        <w:t xml:space="preserve"> applicants</w:t>
      </w:r>
      <w:r w:rsidR="006F4748" w:rsidRPr="00CC2CF5">
        <w:rPr>
          <w:rFonts w:cs="Arial"/>
          <w:szCs w:val="24"/>
          <w:lang w:val="en-GB"/>
        </w:rPr>
        <w:t xml:space="preserve"> should approach the respondent’s visa facilitation agent (VFS) and apply for study permits.</w:t>
      </w:r>
    </w:p>
    <w:p w14:paraId="13F50D2F" w14:textId="14C3C748" w:rsidR="00505CE7"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21.2.</w:t>
      </w:r>
      <w:r w:rsidRPr="00961D21">
        <w:rPr>
          <w:rFonts w:cs="Arial"/>
          <w:szCs w:val="24"/>
        </w:rPr>
        <w:tab/>
      </w:r>
      <w:r w:rsidR="006F4748" w:rsidRPr="00CC2CF5">
        <w:rPr>
          <w:rFonts w:cs="Arial"/>
          <w:szCs w:val="24"/>
          <w:lang w:val="en-GB"/>
        </w:rPr>
        <w:t xml:space="preserve">Again, the applicants followed the respondents’ advice and approached VFS in Johannesburg </w:t>
      </w:r>
      <w:r w:rsidR="00C543B2" w:rsidRPr="00CC2CF5">
        <w:rPr>
          <w:rFonts w:cs="Arial"/>
          <w:szCs w:val="24"/>
          <w:lang w:val="en-GB"/>
        </w:rPr>
        <w:t xml:space="preserve">to </w:t>
      </w:r>
      <w:r w:rsidR="006F4748" w:rsidRPr="00CC2CF5">
        <w:rPr>
          <w:rFonts w:cs="Arial"/>
          <w:szCs w:val="24"/>
          <w:lang w:val="en-GB"/>
        </w:rPr>
        <w:t>appl</w:t>
      </w:r>
      <w:r w:rsidR="00C543B2" w:rsidRPr="00CC2CF5">
        <w:rPr>
          <w:rFonts w:cs="Arial"/>
          <w:szCs w:val="24"/>
          <w:lang w:val="en-GB"/>
        </w:rPr>
        <w:t>y</w:t>
      </w:r>
      <w:r w:rsidR="006F4748" w:rsidRPr="00CC2CF5">
        <w:rPr>
          <w:rFonts w:cs="Arial"/>
          <w:szCs w:val="24"/>
          <w:lang w:val="en-GB"/>
        </w:rPr>
        <w:t xml:space="preserve"> for study visas for</w:t>
      </w:r>
      <w:r w:rsidR="00C543B2" w:rsidRPr="00CC2CF5">
        <w:rPr>
          <w:rFonts w:cs="Arial"/>
          <w:szCs w:val="24"/>
          <w:lang w:val="en-GB"/>
        </w:rPr>
        <w:t xml:space="preserve"> all three of </w:t>
      </w:r>
      <w:r w:rsidR="006F4748" w:rsidRPr="00CC2CF5">
        <w:rPr>
          <w:rFonts w:cs="Arial"/>
          <w:szCs w:val="24"/>
          <w:lang w:val="en-GB"/>
        </w:rPr>
        <w:t>their children (the third applicant and the twins).</w:t>
      </w:r>
    </w:p>
    <w:p w14:paraId="708AA6CA" w14:textId="72C47E57" w:rsidR="00505CE7"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21.3.</w:t>
      </w:r>
      <w:r w:rsidRPr="00961D21">
        <w:rPr>
          <w:rFonts w:cs="Arial"/>
          <w:szCs w:val="24"/>
        </w:rPr>
        <w:tab/>
      </w:r>
      <w:r w:rsidR="006F4748" w:rsidRPr="00CC2CF5">
        <w:rPr>
          <w:rFonts w:cs="Arial"/>
          <w:szCs w:val="24"/>
          <w:lang w:val="en-GB"/>
        </w:rPr>
        <w:t xml:space="preserve">The application for study permits for the third applicant and </w:t>
      </w:r>
      <w:r w:rsidR="000C5352" w:rsidRPr="00CC2CF5">
        <w:rPr>
          <w:rFonts w:cs="Arial"/>
          <w:szCs w:val="24"/>
          <w:lang w:val="en-GB"/>
        </w:rPr>
        <w:t xml:space="preserve">one of the </w:t>
      </w:r>
      <w:r w:rsidR="006F4748" w:rsidRPr="00CC2CF5">
        <w:rPr>
          <w:rFonts w:cs="Arial"/>
          <w:szCs w:val="24"/>
          <w:lang w:val="en-GB"/>
        </w:rPr>
        <w:t>twin</w:t>
      </w:r>
      <w:r w:rsidR="000C5352" w:rsidRPr="00CC2CF5">
        <w:rPr>
          <w:rFonts w:cs="Arial"/>
          <w:szCs w:val="24"/>
          <w:lang w:val="en-GB"/>
        </w:rPr>
        <w:t>s</w:t>
      </w:r>
      <w:r w:rsidR="006F4748" w:rsidRPr="00CC2CF5">
        <w:rPr>
          <w:rFonts w:cs="Arial"/>
          <w:szCs w:val="24"/>
          <w:lang w:val="en-GB"/>
        </w:rPr>
        <w:t xml:space="preserve"> Ruvimbo Megani Kere were rejected on the grounds that they were South African citizens. Curiously, </w:t>
      </w:r>
      <w:r w:rsidR="000C5352" w:rsidRPr="00CC2CF5">
        <w:rPr>
          <w:rFonts w:cs="Arial"/>
          <w:szCs w:val="24"/>
          <w:lang w:val="en-GB"/>
        </w:rPr>
        <w:t xml:space="preserve">the other </w:t>
      </w:r>
      <w:r w:rsidR="006F4748" w:rsidRPr="00CC2CF5">
        <w:rPr>
          <w:rFonts w:cs="Arial"/>
          <w:szCs w:val="24"/>
          <w:lang w:val="en-GB"/>
        </w:rPr>
        <w:t>twin Tapiwa Michael Kere</w:t>
      </w:r>
      <w:r w:rsidR="000C5352" w:rsidRPr="00CC2CF5">
        <w:rPr>
          <w:rFonts w:cs="Arial"/>
          <w:szCs w:val="24"/>
          <w:lang w:val="en-GB"/>
        </w:rPr>
        <w:t>’s</w:t>
      </w:r>
      <w:r w:rsidR="006F4748" w:rsidRPr="00CC2CF5">
        <w:rPr>
          <w:rFonts w:cs="Arial"/>
          <w:szCs w:val="24"/>
          <w:lang w:val="en-GB"/>
        </w:rPr>
        <w:t xml:space="preserve"> application was </w:t>
      </w:r>
      <w:r w:rsidR="00906196" w:rsidRPr="00CC2CF5">
        <w:rPr>
          <w:rFonts w:cs="Arial"/>
          <w:szCs w:val="24"/>
          <w:lang w:val="en-GB"/>
        </w:rPr>
        <w:t>successful,</w:t>
      </w:r>
      <w:r w:rsidR="006F4748" w:rsidRPr="00CC2CF5">
        <w:rPr>
          <w:rFonts w:cs="Arial"/>
          <w:szCs w:val="24"/>
          <w:lang w:val="en-GB"/>
        </w:rPr>
        <w:t xml:space="preserve"> and</w:t>
      </w:r>
      <w:r w:rsidR="00C543B2" w:rsidRPr="00CC2CF5">
        <w:rPr>
          <w:rFonts w:cs="Arial"/>
          <w:szCs w:val="24"/>
          <w:lang w:val="en-GB"/>
        </w:rPr>
        <w:t xml:space="preserve"> a</w:t>
      </w:r>
      <w:r w:rsidR="006F4748" w:rsidRPr="00CC2CF5">
        <w:rPr>
          <w:rFonts w:cs="Arial"/>
          <w:szCs w:val="24"/>
          <w:lang w:val="en-GB"/>
        </w:rPr>
        <w:t xml:space="preserve"> valid</w:t>
      </w:r>
      <w:r w:rsidR="00C543B2" w:rsidRPr="00CC2CF5">
        <w:rPr>
          <w:rFonts w:cs="Arial"/>
          <w:szCs w:val="24"/>
          <w:lang w:val="en-GB"/>
        </w:rPr>
        <w:t xml:space="preserve"> permit was issued </w:t>
      </w:r>
      <w:r w:rsidR="006F4748" w:rsidRPr="00CC2CF5">
        <w:rPr>
          <w:rFonts w:cs="Arial"/>
          <w:szCs w:val="24"/>
          <w:lang w:val="en-GB"/>
        </w:rPr>
        <w:t>until 2021.</w:t>
      </w:r>
    </w:p>
    <w:p w14:paraId="27C63806" w14:textId="126DFEDA" w:rsidR="00505CE7"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21.4.</w:t>
      </w:r>
      <w:r w:rsidRPr="00961D21">
        <w:rPr>
          <w:rFonts w:cs="Arial"/>
          <w:szCs w:val="24"/>
        </w:rPr>
        <w:tab/>
      </w:r>
      <w:r w:rsidR="006F4748" w:rsidRPr="00CC2CF5">
        <w:rPr>
          <w:rFonts w:cs="Arial"/>
          <w:szCs w:val="24"/>
          <w:lang w:val="en-GB"/>
        </w:rPr>
        <w:t>To date</w:t>
      </w:r>
      <w:r w:rsidR="00F82FFE" w:rsidRPr="00CC2CF5">
        <w:rPr>
          <w:rFonts w:cs="Arial"/>
          <w:szCs w:val="24"/>
          <w:lang w:val="en-GB"/>
        </w:rPr>
        <w:t>,</w:t>
      </w:r>
      <w:r w:rsidR="006F4748" w:rsidRPr="00CC2CF5">
        <w:rPr>
          <w:rFonts w:cs="Arial"/>
          <w:szCs w:val="24"/>
          <w:lang w:val="en-GB"/>
        </w:rPr>
        <w:t xml:space="preserve"> one twin is a citizen</w:t>
      </w:r>
      <w:r w:rsidR="00F82FFE" w:rsidRPr="00CC2CF5">
        <w:rPr>
          <w:rFonts w:cs="Arial"/>
          <w:szCs w:val="24"/>
          <w:lang w:val="en-GB"/>
        </w:rPr>
        <w:t>,</w:t>
      </w:r>
      <w:r w:rsidR="006F4748" w:rsidRPr="00CC2CF5">
        <w:rPr>
          <w:rFonts w:cs="Arial"/>
          <w:szCs w:val="24"/>
          <w:lang w:val="en-GB"/>
        </w:rPr>
        <w:t xml:space="preserve"> </w:t>
      </w:r>
      <w:r w:rsidR="00906196" w:rsidRPr="00CC2CF5">
        <w:rPr>
          <w:rFonts w:cs="Arial"/>
          <w:szCs w:val="24"/>
          <w:lang w:val="en-GB"/>
        </w:rPr>
        <w:t xml:space="preserve">and </w:t>
      </w:r>
      <w:r w:rsidR="006F4748" w:rsidRPr="00CC2CF5">
        <w:rPr>
          <w:rFonts w:cs="Arial"/>
          <w:szCs w:val="24"/>
          <w:lang w:val="en-GB"/>
        </w:rPr>
        <w:t>the other</w:t>
      </w:r>
      <w:r w:rsidR="00C543B2" w:rsidRPr="00CC2CF5">
        <w:rPr>
          <w:rFonts w:cs="Arial"/>
          <w:szCs w:val="24"/>
          <w:lang w:val="en-GB"/>
        </w:rPr>
        <w:t xml:space="preserve"> one</w:t>
      </w:r>
      <w:r w:rsidR="006F4748" w:rsidRPr="00CC2CF5">
        <w:rPr>
          <w:rFonts w:cs="Arial"/>
          <w:szCs w:val="24"/>
          <w:lang w:val="en-GB"/>
        </w:rPr>
        <w:t xml:space="preserve"> is not.</w:t>
      </w:r>
    </w:p>
    <w:p w14:paraId="183E41C4" w14:textId="1030F28A" w:rsidR="00505CE7"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lastRenderedPageBreak/>
        <w:t>21.5.</w:t>
      </w:r>
      <w:r w:rsidRPr="00961D21">
        <w:rPr>
          <w:rFonts w:cs="Arial"/>
          <w:szCs w:val="24"/>
        </w:rPr>
        <w:tab/>
      </w:r>
      <w:r w:rsidR="006F4748" w:rsidRPr="00CC2CF5">
        <w:rPr>
          <w:rFonts w:cs="Arial"/>
          <w:szCs w:val="24"/>
          <w:lang w:val="en-GB"/>
        </w:rPr>
        <w:t>During 2020, the applicants approached VFS and lodged an application for determination of their childrens</w:t>
      </w:r>
      <w:r w:rsidR="00C543B2" w:rsidRPr="00CC2CF5">
        <w:rPr>
          <w:rFonts w:cs="Arial"/>
          <w:szCs w:val="24"/>
          <w:lang w:val="en-GB"/>
        </w:rPr>
        <w:t>’</w:t>
      </w:r>
      <w:r w:rsidR="006F4748" w:rsidRPr="00CC2CF5">
        <w:rPr>
          <w:rFonts w:cs="Arial"/>
          <w:szCs w:val="24"/>
          <w:lang w:val="en-GB"/>
        </w:rPr>
        <w:t xml:space="preserve"> status. Again, confusingly, the respondents’ representative concluded that the first-born child (the third applicant) and twin Ruvimbo Megani Kere are </w:t>
      </w:r>
      <w:r w:rsidR="00C543B2" w:rsidRPr="00CC2CF5">
        <w:rPr>
          <w:rFonts w:cs="Arial"/>
          <w:szCs w:val="24"/>
          <w:lang w:val="en-GB"/>
        </w:rPr>
        <w:t xml:space="preserve">SA </w:t>
      </w:r>
      <w:r w:rsidR="006F4748" w:rsidRPr="00CC2CF5">
        <w:rPr>
          <w:rFonts w:cs="Arial"/>
          <w:szCs w:val="24"/>
          <w:lang w:val="en-GB"/>
        </w:rPr>
        <w:t>citizens</w:t>
      </w:r>
      <w:r w:rsidR="005033EE" w:rsidRPr="00CC2CF5">
        <w:rPr>
          <w:rFonts w:cs="Arial"/>
          <w:szCs w:val="24"/>
          <w:lang w:val="en-GB"/>
        </w:rPr>
        <w:t>,</w:t>
      </w:r>
      <w:r w:rsidR="006F4748" w:rsidRPr="00CC2CF5">
        <w:rPr>
          <w:rFonts w:cs="Arial"/>
          <w:szCs w:val="24"/>
          <w:lang w:val="en-GB"/>
        </w:rPr>
        <w:t xml:space="preserve"> but twin Tapiwa Michael Kere is not.</w:t>
      </w:r>
    </w:p>
    <w:p w14:paraId="1CF4B50B" w14:textId="1548C2A7" w:rsidR="00505CE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22.</w:t>
      </w:r>
      <w:r w:rsidRPr="00961D21">
        <w:rPr>
          <w:rFonts w:cs="Arial"/>
          <w:w w:val="99"/>
          <w:szCs w:val="24"/>
        </w:rPr>
        <w:tab/>
      </w:r>
      <w:r w:rsidR="006F4748" w:rsidRPr="00CC2CF5">
        <w:rPr>
          <w:rFonts w:cs="Arial"/>
          <w:szCs w:val="24"/>
          <w:lang w:val="en-GB"/>
        </w:rPr>
        <w:t>Accordingly, the applicants seek an order reviewing and setting aside the respondents’ aforesaid decisions and that the respondents be ordered to reinstate the first and second applicants’ identity documents on the population register of South Africa. In respect of their children</w:t>
      </w:r>
      <w:r w:rsidR="00760D80" w:rsidRPr="00CC2CF5">
        <w:rPr>
          <w:rFonts w:cs="Arial"/>
          <w:szCs w:val="24"/>
          <w:lang w:val="en-GB"/>
        </w:rPr>
        <w:t>,</w:t>
      </w:r>
      <w:r w:rsidR="006F4748" w:rsidRPr="00CC2CF5">
        <w:rPr>
          <w:rFonts w:cs="Arial"/>
          <w:szCs w:val="24"/>
          <w:lang w:val="en-GB"/>
        </w:rPr>
        <w:t xml:space="preserve"> the applicants seek an order declaring that they are South African Citizens and that they </w:t>
      </w:r>
      <w:r w:rsidR="00906196" w:rsidRPr="00CC2CF5">
        <w:rPr>
          <w:rFonts w:cs="Arial"/>
          <w:szCs w:val="24"/>
          <w:lang w:val="en-GB"/>
        </w:rPr>
        <w:t>should be</w:t>
      </w:r>
      <w:r w:rsidR="006F4748" w:rsidRPr="00CC2CF5">
        <w:rPr>
          <w:rFonts w:cs="Arial"/>
          <w:szCs w:val="24"/>
          <w:lang w:val="en-GB"/>
        </w:rPr>
        <w:t xml:space="preserve"> issued with identity documents.</w:t>
      </w:r>
    </w:p>
    <w:p w14:paraId="13EEE57A" w14:textId="510B3864" w:rsidR="00505CE7" w:rsidRPr="00961D21" w:rsidRDefault="00505CE7" w:rsidP="00505CE7">
      <w:pPr>
        <w:spacing w:before="360" w:after="360" w:line="360" w:lineRule="auto"/>
        <w:ind w:right="439"/>
        <w:rPr>
          <w:rFonts w:cs="Arial"/>
          <w:i/>
          <w:iCs/>
          <w:szCs w:val="24"/>
          <w:lang w:val="en-GB"/>
        </w:rPr>
      </w:pPr>
      <w:r w:rsidRPr="00961D21">
        <w:rPr>
          <w:rFonts w:cs="Arial"/>
          <w:i/>
          <w:iCs/>
          <w:szCs w:val="24"/>
          <w:lang w:val="en-GB"/>
        </w:rPr>
        <w:t>The respondents’ version</w:t>
      </w:r>
    </w:p>
    <w:p w14:paraId="04C9D004" w14:textId="3DE8A2E3"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23.</w:t>
      </w:r>
      <w:r w:rsidRPr="00961D21">
        <w:rPr>
          <w:rFonts w:cs="Arial"/>
          <w:w w:val="99"/>
          <w:szCs w:val="24"/>
        </w:rPr>
        <w:tab/>
      </w:r>
      <w:r w:rsidR="006F4748" w:rsidRPr="00CC2CF5">
        <w:rPr>
          <w:rFonts w:cs="Arial"/>
          <w:szCs w:val="24"/>
          <w:lang w:val="en-GB"/>
        </w:rPr>
        <w:t>According to the respondent</w:t>
      </w:r>
      <w:r w:rsidR="00C543B2" w:rsidRPr="00CC2CF5">
        <w:rPr>
          <w:rFonts w:cs="Arial"/>
          <w:szCs w:val="24"/>
          <w:lang w:val="en-GB"/>
        </w:rPr>
        <w:t>s</w:t>
      </w:r>
      <w:r w:rsidR="00163AAF" w:rsidRPr="00CC2CF5">
        <w:rPr>
          <w:rFonts w:cs="Arial"/>
          <w:szCs w:val="24"/>
          <w:lang w:val="en-GB"/>
        </w:rPr>
        <w:t xml:space="preserve"> t</w:t>
      </w:r>
      <w:r w:rsidR="00A76331" w:rsidRPr="00CC2CF5">
        <w:rPr>
          <w:rFonts w:cs="Arial"/>
          <w:szCs w:val="24"/>
          <w:lang w:val="en-GB"/>
        </w:rPr>
        <w:t xml:space="preserve">he first applicant’s </w:t>
      </w:r>
      <w:r w:rsidR="006F4748" w:rsidRPr="00CC2CF5">
        <w:rPr>
          <w:rFonts w:cs="Arial"/>
          <w:szCs w:val="24"/>
          <w:lang w:val="en-GB"/>
        </w:rPr>
        <w:t xml:space="preserve">application for a </w:t>
      </w:r>
      <w:r w:rsidR="00A76331" w:rsidRPr="00CC2CF5">
        <w:rPr>
          <w:rFonts w:cs="Arial"/>
          <w:szCs w:val="24"/>
          <w:lang w:val="en-GB"/>
        </w:rPr>
        <w:t>“</w:t>
      </w:r>
      <w:r w:rsidR="006F4748" w:rsidRPr="00CC2CF5">
        <w:rPr>
          <w:rFonts w:cs="Arial"/>
          <w:i/>
          <w:iCs/>
          <w:szCs w:val="24"/>
          <w:lang w:val="en-GB"/>
        </w:rPr>
        <w:t>South African identity</w:t>
      </w:r>
      <w:r w:rsidR="00A76331" w:rsidRPr="00CC2CF5">
        <w:rPr>
          <w:rFonts w:cs="Arial"/>
          <w:szCs w:val="24"/>
          <w:lang w:val="en-GB"/>
        </w:rPr>
        <w:t xml:space="preserve">” </w:t>
      </w:r>
      <w:r w:rsidR="006F4748" w:rsidRPr="00CC2CF5">
        <w:rPr>
          <w:rFonts w:cs="Arial"/>
          <w:szCs w:val="24"/>
          <w:lang w:val="en-GB"/>
        </w:rPr>
        <w:t xml:space="preserve">indicated </w:t>
      </w:r>
      <w:r w:rsidR="00A76331" w:rsidRPr="00CC2CF5">
        <w:rPr>
          <w:rFonts w:cs="Arial"/>
          <w:szCs w:val="24"/>
          <w:lang w:val="en-GB"/>
        </w:rPr>
        <w:t>“</w:t>
      </w:r>
      <w:r w:rsidR="006F4748" w:rsidRPr="00CC2CF5">
        <w:rPr>
          <w:rFonts w:cs="Arial"/>
          <w:i/>
          <w:iCs/>
          <w:szCs w:val="24"/>
          <w:lang w:val="en-GB"/>
        </w:rPr>
        <w:t>that her name was Mudziwa Christina born in 1968, in Vuwani Thohoyandou, Limpopo</w:t>
      </w:r>
      <w:r w:rsidR="00A76331" w:rsidRPr="00CC2CF5">
        <w:rPr>
          <w:rFonts w:cs="Arial"/>
          <w:szCs w:val="24"/>
          <w:lang w:val="en-GB"/>
        </w:rPr>
        <w:t>”</w:t>
      </w:r>
      <w:r w:rsidR="006F4748" w:rsidRPr="00CC2CF5">
        <w:rPr>
          <w:rFonts w:cs="Arial"/>
          <w:szCs w:val="24"/>
          <w:lang w:val="en-GB"/>
        </w:rPr>
        <w:t xml:space="preserve">. However, in </w:t>
      </w:r>
      <w:r w:rsidR="00A76331" w:rsidRPr="00CC2CF5">
        <w:rPr>
          <w:rFonts w:cs="Arial"/>
          <w:szCs w:val="24"/>
          <w:lang w:val="en-GB"/>
        </w:rPr>
        <w:t>“</w:t>
      </w:r>
      <w:r w:rsidR="006F4748" w:rsidRPr="00CC2CF5">
        <w:rPr>
          <w:rFonts w:cs="Arial"/>
          <w:i/>
          <w:iCs/>
          <w:szCs w:val="24"/>
          <w:lang w:val="en-GB"/>
        </w:rPr>
        <w:t>her permanent identity application</w:t>
      </w:r>
      <w:r w:rsidR="00A76331" w:rsidRPr="00CC2CF5">
        <w:rPr>
          <w:rFonts w:cs="Arial"/>
          <w:szCs w:val="24"/>
          <w:lang w:val="en-GB"/>
        </w:rPr>
        <w:t>”</w:t>
      </w:r>
      <w:r w:rsidR="005033EE" w:rsidRPr="00CC2CF5">
        <w:rPr>
          <w:rFonts w:cs="Arial"/>
          <w:szCs w:val="24"/>
          <w:lang w:val="en-GB"/>
        </w:rPr>
        <w:t>,</w:t>
      </w:r>
      <w:r w:rsidR="006F4748" w:rsidRPr="00CC2CF5">
        <w:rPr>
          <w:rFonts w:cs="Arial"/>
          <w:szCs w:val="24"/>
          <w:lang w:val="en-GB"/>
        </w:rPr>
        <w:t xml:space="preserve"> she indicated that she was Mudziwa Christina Fungai Chiwoniso born in Wedza, Zimbabwe (the date of the application was 12 April 1990).</w:t>
      </w:r>
    </w:p>
    <w:p w14:paraId="01C4677B" w14:textId="1C55DF66" w:rsidR="005033EE" w:rsidRPr="00CC2CF5" w:rsidRDefault="00CC2CF5" w:rsidP="00CC2CF5">
      <w:pPr>
        <w:tabs>
          <w:tab w:val="left" w:pos="851"/>
        </w:tabs>
        <w:spacing w:before="360" w:after="360" w:line="360" w:lineRule="auto"/>
        <w:ind w:left="851" w:right="439" w:hanging="851"/>
        <w:rPr>
          <w:rFonts w:cs="Arial"/>
          <w:szCs w:val="24"/>
          <w:lang w:val="en-GB"/>
        </w:rPr>
      </w:pPr>
      <w:r w:rsidRPr="00961D21">
        <w:rPr>
          <w:rFonts w:cs="Arial"/>
          <w:w w:val="99"/>
          <w:szCs w:val="24"/>
        </w:rPr>
        <w:t>24.</w:t>
      </w:r>
      <w:r w:rsidRPr="00961D21">
        <w:rPr>
          <w:rFonts w:cs="Arial"/>
          <w:w w:val="99"/>
          <w:szCs w:val="24"/>
        </w:rPr>
        <w:tab/>
      </w:r>
      <w:r w:rsidR="00A76331" w:rsidRPr="00CC2CF5">
        <w:rPr>
          <w:rFonts w:cs="Arial"/>
          <w:szCs w:val="24"/>
          <w:lang w:val="en-GB"/>
        </w:rPr>
        <w:t>When t</w:t>
      </w:r>
      <w:r w:rsidR="005033EE" w:rsidRPr="00CC2CF5">
        <w:rPr>
          <w:rFonts w:cs="Arial"/>
          <w:szCs w:val="24"/>
          <w:lang w:val="en-GB"/>
        </w:rPr>
        <w:t xml:space="preserve">he </w:t>
      </w:r>
      <w:r w:rsidR="006F4748" w:rsidRPr="00CC2CF5">
        <w:rPr>
          <w:rFonts w:cs="Arial"/>
          <w:szCs w:val="24"/>
          <w:lang w:val="en-GB"/>
        </w:rPr>
        <w:t>second applicant</w:t>
      </w:r>
      <w:r w:rsidR="005033EE" w:rsidRPr="00CC2CF5">
        <w:rPr>
          <w:rFonts w:cs="Arial"/>
          <w:szCs w:val="24"/>
          <w:lang w:val="en-GB"/>
        </w:rPr>
        <w:t xml:space="preserve"> </w:t>
      </w:r>
      <w:r w:rsidR="006F4748" w:rsidRPr="00CC2CF5">
        <w:rPr>
          <w:rFonts w:cs="Arial"/>
          <w:szCs w:val="24"/>
          <w:lang w:val="en-GB"/>
        </w:rPr>
        <w:t xml:space="preserve">made </w:t>
      </w:r>
      <w:r w:rsidR="00906196" w:rsidRPr="00CC2CF5">
        <w:rPr>
          <w:rFonts w:cs="Arial"/>
          <w:szCs w:val="24"/>
          <w:lang w:val="en-GB"/>
        </w:rPr>
        <w:t xml:space="preserve">an </w:t>
      </w:r>
      <w:r w:rsidR="006F4748" w:rsidRPr="00CC2CF5">
        <w:rPr>
          <w:rFonts w:cs="Arial"/>
          <w:szCs w:val="24"/>
          <w:lang w:val="en-GB"/>
        </w:rPr>
        <w:t xml:space="preserve">application for </w:t>
      </w:r>
      <w:r w:rsidR="005033EE" w:rsidRPr="00CC2CF5">
        <w:rPr>
          <w:rFonts w:cs="Arial"/>
          <w:szCs w:val="24"/>
          <w:lang w:val="en-GB"/>
        </w:rPr>
        <w:t>an</w:t>
      </w:r>
      <w:r w:rsidR="006F4748" w:rsidRPr="00CC2CF5">
        <w:rPr>
          <w:rFonts w:cs="Arial"/>
          <w:szCs w:val="24"/>
          <w:lang w:val="en-GB"/>
        </w:rPr>
        <w:t xml:space="preserve"> </w:t>
      </w:r>
      <w:r w:rsidR="00A76331" w:rsidRPr="00CC2CF5">
        <w:rPr>
          <w:rFonts w:cs="Arial"/>
          <w:szCs w:val="24"/>
          <w:lang w:val="en-GB"/>
        </w:rPr>
        <w:t>“</w:t>
      </w:r>
      <w:r w:rsidR="006F4748" w:rsidRPr="00CC2CF5">
        <w:rPr>
          <w:rFonts w:cs="Arial"/>
          <w:i/>
          <w:iCs/>
          <w:szCs w:val="24"/>
          <w:lang w:val="en-GB"/>
        </w:rPr>
        <w:t>identity document</w:t>
      </w:r>
      <w:r w:rsidR="00A76331" w:rsidRPr="00CC2CF5">
        <w:rPr>
          <w:rFonts w:cs="Arial"/>
          <w:szCs w:val="24"/>
          <w:lang w:val="en-GB"/>
        </w:rPr>
        <w:t>”</w:t>
      </w:r>
      <w:r w:rsidR="006F4748" w:rsidRPr="00CC2CF5">
        <w:rPr>
          <w:rFonts w:cs="Arial"/>
          <w:szCs w:val="24"/>
          <w:lang w:val="en-GB"/>
        </w:rPr>
        <w:t xml:space="preserve"> in 1996, </w:t>
      </w:r>
      <w:r w:rsidR="00A76331" w:rsidRPr="00CC2CF5">
        <w:rPr>
          <w:rFonts w:cs="Arial"/>
          <w:szCs w:val="24"/>
          <w:lang w:val="en-GB"/>
        </w:rPr>
        <w:t xml:space="preserve">he </w:t>
      </w:r>
      <w:r w:rsidR="006F4748" w:rsidRPr="00CC2CF5">
        <w:rPr>
          <w:rFonts w:cs="Arial"/>
          <w:szCs w:val="24"/>
          <w:lang w:val="en-GB"/>
        </w:rPr>
        <w:t>stated that he is a South African from Ficksburg</w:t>
      </w:r>
      <w:r w:rsidR="00A76331" w:rsidRPr="00CC2CF5">
        <w:rPr>
          <w:rFonts w:cs="Arial"/>
          <w:szCs w:val="24"/>
          <w:lang w:val="en-GB"/>
        </w:rPr>
        <w:t xml:space="preserve">. </w:t>
      </w:r>
      <w:r w:rsidR="006F4748" w:rsidRPr="00CC2CF5">
        <w:rPr>
          <w:rFonts w:cs="Arial"/>
          <w:szCs w:val="24"/>
          <w:lang w:val="en-GB"/>
        </w:rPr>
        <w:t>In 1997, the second applicant indicated that the third applicant was born in Johannesburg.</w:t>
      </w:r>
    </w:p>
    <w:p w14:paraId="0FE3A143" w14:textId="1617231D" w:rsidR="005033EE" w:rsidRPr="00CC2CF5" w:rsidRDefault="00CC2CF5" w:rsidP="00CC2CF5">
      <w:pPr>
        <w:tabs>
          <w:tab w:val="left" w:pos="851"/>
        </w:tabs>
        <w:spacing w:before="360" w:after="360" w:line="360" w:lineRule="auto"/>
        <w:ind w:left="851" w:right="439" w:hanging="851"/>
        <w:rPr>
          <w:rFonts w:cs="Arial"/>
          <w:szCs w:val="24"/>
          <w:lang w:val="en-GB"/>
        </w:rPr>
      </w:pPr>
      <w:r w:rsidRPr="00961D21">
        <w:rPr>
          <w:rFonts w:cs="Arial"/>
          <w:w w:val="99"/>
          <w:szCs w:val="24"/>
        </w:rPr>
        <w:t>25.</w:t>
      </w:r>
      <w:r w:rsidRPr="00961D21">
        <w:rPr>
          <w:rFonts w:cs="Arial"/>
          <w:w w:val="99"/>
          <w:szCs w:val="24"/>
        </w:rPr>
        <w:tab/>
      </w:r>
      <w:r w:rsidR="006F4748" w:rsidRPr="00CC2CF5">
        <w:rPr>
          <w:rFonts w:cs="Arial"/>
          <w:szCs w:val="24"/>
          <w:lang w:val="en-GB"/>
        </w:rPr>
        <w:t>In 2007 the second applicant amended his country of birth when he applied for permanent residence</w:t>
      </w:r>
      <w:r w:rsidR="00A76331" w:rsidRPr="00CC2CF5">
        <w:rPr>
          <w:rFonts w:cs="Arial"/>
          <w:szCs w:val="24"/>
          <w:lang w:val="en-GB"/>
        </w:rPr>
        <w:t>,</w:t>
      </w:r>
      <w:r w:rsidR="006F4748" w:rsidRPr="00CC2CF5">
        <w:rPr>
          <w:rFonts w:cs="Arial"/>
          <w:szCs w:val="24"/>
          <w:lang w:val="en-GB"/>
        </w:rPr>
        <w:t xml:space="preserve"> </w:t>
      </w:r>
      <w:r w:rsidR="00C8320A" w:rsidRPr="00CC2CF5">
        <w:rPr>
          <w:rFonts w:cs="Arial"/>
          <w:szCs w:val="24"/>
          <w:lang w:val="en-GB"/>
        </w:rPr>
        <w:t xml:space="preserve">indicating that he hails </w:t>
      </w:r>
      <w:r w:rsidR="006F4748" w:rsidRPr="00CC2CF5">
        <w:rPr>
          <w:rFonts w:cs="Arial"/>
          <w:szCs w:val="24"/>
          <w:lang w:val="en-GB"/>
        </w:rPr>
        <w:t xml:space="preserve">from South </w:t>
      </w:r>
      <w:r w:rsidR="00906196" w:rsidRPr="00CC2CF5">
        <w:rPr>
          <w:rFonts w:cs="Arial"/>
          <w:szCs w:val="24"/>
          <w:lang w:val="en-GB"/>
        </w:rPr>
        <w:t>Africa</w:t>
      </w:r>
      <w:r w:rsidR="006F4748" w:rsidRPr="00CC2CF5">
        <w:rPr>
          <w:rFonts w:cs="Arial"/>
          <w:szCs w:val="24"/>
          <w:lang w:val="en-GB"/>
        </w:rPr>
        <w:t xml:space="preserve"> </w:t>
      </w:r>
      <w:r w:rsidR="00C8320A" w:rsidRPr="00CC2CF5">
        <w:rPr>
          <w:rFonts w:cs="Arial"/>
          <w:szCs w:val="24"/>
          <w:lang w:val="en-GB"/>
        </w:rPr>
        <w:t>and not</w:t>
      </w:r>
      <w:r w:rsidR="006F4748" w:rsidRPr="00CC2CF5">
        <w:rPr>
          <w:rFonts w:cs="Arial"/>
          <w:szCs w:val="24"/>
          <w:lang w:val="en-GB"/>
        </w:rPr>
        <w:t xml:space="preserve"> Zimbabwe.</w:t>
      </w:r>
    </w:p>
    <w:p w14:paraId="0B88263B" w14:textId="14C1A21A" w:rsidR="005033EE" w:rsidRPr="00CC2CF5" w:rsidRDefault="00CC2CF5" w:rsidP="00CC2CF5">
      <w:pPr>
        <w:tabs>
          <w:tab w:val="left" w:pos="851"/>
        </w:tabs>
        <w:spacing w:before="360" w:after="360" w:line="360" w:lineRule="auto"/>
        <w:ind w:left="851" w:right="439" w:hanging="851"/>
        <w:rPr>
          <w:rFonts w:cs="Arial"/>
          <w:szCs w:val="24"/>
          <w:lang w:val="en-GB"/>
        </w:rPr>
      </w:pPr>
      <w:r w:rsidRPr="00961D21">
        <w:rPr>
          <w:rFonts w:cs="Arial"/>
          <w:w w:val="99"/>
          <w:szCs w:val="24"/>
        </w:rPr>
        <w:t>26.</w:t>
      </w:r>
      <w:r w:rsidRPr="00961D21">
        <w:rPr>
          <w:rFonts w:cs="Arial"/>
          <w:w w:val="99"/>
          <w:szCs w:val="24"/>
        </w:rPr>
        <w:tab/>
      </w:r>
      <w:r w:rsidR="00A76331" w:rsidRPr="00CC2CF5">
        <w:rPr>
          <w:rFonts w:cs="Arial"/>
          <w:szCs w:val="24"/>
          <w:lang w:val="en-GB"/>
        </w:rPr>
        <w:t>Both t</w:t>
      </w:r>
      <w:r w:rsidR="006F4748" w:rsidRPr="00CC2CF5">
        <w:rPr>
          <w:rFonts w:cs="Arial"/>
          <w:szCs w:val="24"/>
          <w:lang w:val="en-GB"/>
        </w:rPr>
        <w:t xml:space="preserve">he first and second applicants </w:t>
      </w:r>
      <w:r w:rsidR="00A76331" w:rsidRPr="00CC2CF5">
        <w:rPr>
          <w:rFonts w:cs="Arial"/>
          <w:szCs w:val="24"/>
          <w:lang w:val="en-GB"/>
        </w:rPr>
        <w:t>“</w:t>
      </w:r>
      <w:r w:rsidR="006F4748" w:rsidRPr="00CC2CF5">
        <w:rPr>
          <w:rFonts w:cs="Arial"/>
          <w:i/>
          <w:iCs/>
          <w:szCs w:val="24"/>
          <w:lang w:val="en-GB"/>
        </w:rPr>
        <w:t>misrepresented themselves all the time</w:t>
      </w:r>
      <w:r w:rsidR="00A76331" w:rsidRPr="00CC2CF5">
        <w:rPr>
          <w:rFonts w:cs="Arial"/>
          <w:szCs w:val="24"/>
          <w:lang w:val="en-GB"/>
        </w:rPr>
        <w:t>”</w:t>
      </w:r>
      <w:r w:rsidR="006F4748" w:rsidRPr="00CC2CF5">
        <w:rPr>
          <w:rFonts w:cs="Arial"/>
          <w:szCs w:val="24"/>
          <w:lang w:val="en-GB"/>
        </w:rPr>
        <w:t xml:space="preserve"> in South Africa.</w:t>
      </w:r>
      <w:r w:rsidR="00A76331" w:rsidRPr="00CC2CF5">
        <w:rPr>
          <w:rFonts w:cs="Arial"/>
          <w:szCs w:val="24"/>
          <w:lang w:val="en-GB"/>
        </w:rPr>
        <w:t xml:space="preserve"> That w</w:t>
      </w:r>
      <w:r w:rsidR="006F4748" w:rsidRPr="00CC2CF5">
        <w:rPr>
          <w:rFonts w:cs="Arial"/>
          <w:szCs w:val="24"/>
          <w:lang w:val="en-GB"/>
        </w:rPr>
        <w:t>henever misrepresentation was</w:t>
      </w:r>
      <w:r w:rsidR="00A76331" w:rsidRPr="00CC2CF5">
        <w:rPr>
          <w:rFonts w:cs="Arial"/>
          <w:szCs w:val="24"/>
          <w:lang w:val="en-GB"/>
        </w:rPr>
        <w:t xml:space="preserve"> detected or </w:t>
      </w:r>
      <w:r w:rsidR="006F4748" w:rsidRPr="00CC2CF5">
        <w:rPr>
          <w:rFonts w:cs="Arial"/>
          <w:szCs w:val="24"/>
          <w:lang w:val="en-GB"/>
        </w:rPr>
        <w:t xml:space="preserve">found, the Department of Home Affairs </w:t>
      </w:r>
      <w:r w:rsidR="00A76331" w:rsidRPr="00CC2CF5">
        <w:rPr>
          <w:rFonts w:cs="Arial"/>
          <w:szCs w:val="24"/>
          <w:lang w:val="en-GB"/>
        </w:rPr>
        <w:t>“</w:t>
      </w:r>
      <w:r w:rsidR="006F4748" w:rsidRPr="00CC2CF5">
        <w:rPr>
          <w:rFonts w:cs="Arial"/>
          <w:i/>
          <w:iCs/>
          <w:szCs w:val="24"/>
          <w:lang w:val="en-GB"/>
        </w:rPr>
        <w:t xml:space="preserve">had to act and block/lock their </w:t>
      </w:r>
      <w:r w:rsidR="006F4748" w:rsidRPr="00CC2CF5">
        <w:rPr>
          <w:rFonts w:cs="Arial"/>
          <w:i/>
          <w:iCs/>
          <w:szCs w:val="24"/>
          <w:lang w:val="en-GB"/>
        </w:rPr>
        <w:lastRenderedPageBreak/>
        <w:t>identity so that they are not able to transact</w:t>
      </w:r>
      <w:r w:rsidR="00A76331" w:rsidRPr="00CC2CF5">
        <w:rPr>
          <w:rFonts w:cs="Arial"/>
          <w:szCs w:val="24"/>
          <w:lang w:val="en-GB"/>
        </w:rPr>
        <w:t>”</w:t>
      </w:r>
      <w:r w:rsidR="006F4748" w:rsidRPr="00CC2CF5">
        <w:rPr>
          <w:rFonts w:cs="Arial"/>
          <w:szCs w:val="24"/>
          <w:lang w:val="en-GB"/>
        </w:rPr>
        <w:t>.</w:t>
      </w:r>
    </w:p>
    <w:p w14:paraId="420A0014" w14:textId="194D8B1B" w:rsidR="005033EE" w:rsidRPr="00CC2CF5" w:rsidRDefault="00CC2CF5" w:rsidP="00CC2CF5">
      <w:pPr>
        <w:tabs>
          <w:tab w:val="left" w:pos="851"/>
        </w:tabs>
        <w:spacing w:before="360" w:after="360" w:line="360" w:lineRule="auto"/>
        <w:ind w:left="851" w:right="439" w:hanging="851"/>
        <w:rPr>
          <w:rFonts w:cs="Arial"/>
          <w:szCs w:val="24"/>
          <w:lang w:val="en-GB"/>
        </w:rPr>
      </w:pPr>
      <w:r w:rsidRPr="00961D21">
        <w:rPr>
          <w:rFonts w:cs="Arial"/>
          <w:w w:val="99"/>
          <w:szCs w:val="24"/>
        </w:rPr>
        <w:t>27.</w:t>
      </w:r>
      <w:r w:rsidRPr="00961D21">
        <w:rPr>
          <w:rFonts w:cs="Arial"/>
          <w:w w:val="99"/>
          <w:szCs w:val="24"/>
        </w:rPr>
        <w:tab/>
      </w:r>
      <w:r w:rsidR="00A76331" w:rsidRPr="00CC2CF5">
        <w:rPr>
          <w:rFonts w:cs="Arial"/>
          <w:szCs w:val="24"/>
          <w:lang w:val="en-GB"/>
        </w:rPr>
        <w:t>That t</w:t>
      </w:r>
      <w:r w:rsidR="006F4748" w:rsidRPr="00CC2CF5">
        <w:rPr>
          <w:rFonts w:cs="Arial"/>
          <w:szCs w:val="24"/>
          <w:lang w:val="en-GB"/>
        </w:rPr>
        <w:t xml:space="preserve">he first applicant </w:t>
      </w:r>
      <w:r w:rsidR="00A76331" w:rsidRPr="00CC2CF5">
        <w:rPr>
          <w:rFonts w:cs="Arial"/>
          <w:szCs w:val="24"/>
          <w:lang w:val="en-GB"/>
        </w:rPr>
        <w:t>“</w:t>
      </w:r>
      <w:r w:rsidR="006F4748" w:rsidRPr="00CC2CF5">
        <w:rPr>
          <w:rFonts w:cs="Arial"/>
          <w:i/>
          <w:iCs/>
          <w:szCs w:val="24"/>
          <w:lang w:val="en-GB"/>
        </w:rPr>
        <w:t>has had four identity card</w:t>
      </w:r>
      <w:r w:rsidR="005033EE" w:rsidRPr="00CC2CF5">
        <w:rPr>
          <w:rFonts w:cs="Arial"/>
          <w:i/>
          <w:iCs/>
          <w:szCs w:val="24"/>
          <w:lang w:val="en-GB"/>
        </w:rPr>
        <w:t>s</w:t>
      </w:r>
      <w:r w:rsidR="006F4748" w:rsidRPr="00CC2CF5">
        <w:rPr>
          <w:rFonts w:cs="Arial"/>
          <w:i/>
          <w:iCs/>
          <w:szCs w:val="24"/>
          <w:lang w:val="en-GB"/>
        </w:rPr>
        <w:t xml:space="preserve"> issued to her on her </w:t>
      </w:r>
      <w:r w:rsidR="00C21145" w:rsidRPr="00CC2CF5">
        <w:rPr>
          <w:rFonts w:cs="Arial"/>
          <w:i/>
          <w:iCs/>
          <w:szCs w:val="24"/>
          <w:lang w:val="en-GB"/>
        </w:rPr>
        <w:t>identity number […]</w:t>
      </w:r>
      <w:r w:rsidR="000C5352" w:rsidRPr="00CC2CF5">
        <w:rPr>
          <w:rFonts w:cs="Arial"/>
          <w:i/>
          <w:iCs/>
          <w:szCs w:val="24"/>
          <w:lang w:val="en-GB"/>
        </w:rPr>
        <w:t>.</w:t>
      </w:r>
      <w:r w:rsidR="006F4748" w:rsidRPr="00CC2CF5">
        <w:rPr>
          <w:rFonts w:cs="Arial"/>
          <w:i/>
          <w:iCs/>
          <w:szCs w:val="24"/>
          <w:lang w:val="en-GB"/>
        </w:rPr>
        <w:t xml:space="preserve"> </w:t>
      </w:r>
      <w:r w:rsidR="00A76331" w:rsidRPr="00CC2CF5">
        <w:rPr>
          <w:rFonts w:cs="Arial"/>
          <w:i/>
          <w:iCs/>
          <w:szCs w:val="24"/>
          <w:lang w:val="en-GB"/>
        </w:rPr>
        <w:t xml:space="preserve">She </w:t>
      </w:r>
      <w:r w:rsidR="006F4748" w:rsidRPr="00CC2CF5">
        <w:rPr>
          <w:rFonts w:cs="Arial"/>
          <w:i/>
          <w:iCs/>
          <w:szCs w:val="24"/>
          <w:lang w:val="en-GB"/>
        </w:rPr>
        <w:t xml:space="preserve">also received </w:t>
      </w:r>
      <w:r w:rsidR="00A76331" w:rsidRPr="00CC2CF5">
        <w:rPr>
          <w:rFonts w:cs="Arial"/>
          <w:i/>
          <w:iCs/>
          <w:szCs w:val="24"/>
          <w:lang w:val="en-GB"/>
        </w:rPr>
        <w:t xml:space="preserve">(2) </w:t>
      </w:r>
      <w:r w:rsidR="006F4748" w:rsidRPr="00CC2CF5">
        <w:rPr>
          <w:rFonts w:cs="Arial"/>
          <w:i/>
          <w:iCs/>
          <w:szCs w:val="24"/>
          <w:lang w:val="en-GB"/>
        </w:rPr>
        <w:t xml:space="preserve">two identity book as a non-citizen under </w:t>
      </w:r>
      <w:r w:rsidR="00C21145" w:rsidRPr="00CC2CF5">
        <w:rPr>
          <w:rFonts w:cs="Arial"/>
          <w:i/>
          <w:iCs/>
          <w:szCs w:val="24"/>
          <w:lang w:val="en-GB"/>
        </w:rPr>
        <w:t>identity number […]</w:t>
      </w:r>
      <w:r w:rsidR="006F4748" w:rsidRPr="00CC2CF5">
        <w:rPr>
          <w:rFonts w:cs="Arial"/>
          <w:i/>
          <w:iCs/>
          <w:szCs w:val="24"/>
          <w:lang w:val="en-GB"/>
        </w:rPr>
        <w:t>, applying as a citizen of Zimbabwe and according to permit, she used a fraudulent exemption certificate</w:t>
      </w:r>
      <w:r w:rsidR="00163AAF" w:rsidRPr="00CC2CF5">
        <w:rPr>
          <w:rFonts w:cs="Arial"/>
          <w:i/>
          <w:iCs/>
          <w:szCs w:val="24"/>
          <w:lang w:val="en-GB"/>
        </w:rPr>
        <w:t>”</w:t>
      </w:r>
      <w:r w:rsidR="006F4748" w:rsidRPr="00CC2CF5">
        <w:rPr>
          <w:rFonts w:cs="Arial"/>
          <w:szCs w:val="24"/>
          <w:lang w:val="en-GB"/>
        </w:rPr>
        <w:t>.</w:t>
      </w:r>
    </w:p>
    <w:p w14:paraId="4917DFA8" w14:textId="3CFE947C" w:rsidR="005033EE" w:rsidRPr="00CC2CF5" w:rsidRDefault="00CC2CF5" w:rsidP="00CC2CF5">
      <w:pPr>
        <w:tabs>
          <w:tab w:val="left" w:pos="851"/>
        </w:tabs>
        <w:spacing w:before="360" w:after="360" w:line="360" w:lineRule="auto"/>
        <w:ind w:left="851" w:right="439" w:hanging="851"/>
        <w:rPr>
          <w:rFonts w:cs="Arial"/>
          <w:szCs w:val="24"/>
          <w:lang w:val="en-GB"/>
        </w:rPr>
      </w:pPr>
      <w:r w:rsidRPr="00961D21">
        <w:rPr>
          <w:rFonts w:cs="Arial"/>
          <w:w w:val="99"/>
          <w:szCs w:val="24"/>
        </w:rPr>
        <w:t>28.</w:t>
      </w:r>
      <w:r w:rsidRPr="00961D21">
        <w:rPr>
          <w:rFonts w:cs="Arial"/>
          <w:w w:val="99"/>
          <w:szCs w:val="24"/>
        </w:rPr>
        <w:tab/>
      </w:r>
      <w:r w:rsidR="006F4748" w:rsidRPr="00CC2CF5">
        <w:rPr>
          <w:rFonts w:cs="Arial"/>
          <w:szCs w:val="24"/>
          <w:lang w:val="en-GB"/>
        </w:rPr>
        <w:t>Regarding the twins</w:t>
      </w:r>
      <w:r w:rsidR="00A76331" w:rsidRPr="00CC2CF5">
        <w:rPr>
          <w:rFonts w:cs="Arial"/>
          <w:szCs w:val="24"/>
          <w:lang w:val="en-GB"/>
        </w:rPr>
        <w:t>, the respondents stated that “</w:t>
      </w:r>
      <w:r w:rsidR="006F4748" w:rsidRPr="00CC2CF5">
        <w:rPr>
          <w:rFonts w:cs="Arial"/>
          <w:i/>
          <w:iCs/>
          <w:szCs w:val="24"/>
          <w:lang w:val="en-GB"/>
        </w:rPr>
        <w:t>there is no record of them</w:t>
      </w:r>
      <w:r w:rsidR="00A76331" w:rsidRPr="00CC2CF5">
        <w:rPr>
          <w:rFonts w:cs="Arial"/>
          <w:szCs w:val="24"/>
          <w:lang w:val="en-GB"/>
        </w:rPr>
        <w:t>”</w:t>
      </w:r>
      <w:r w:rsidR="006F4748" w:rsidRPr="00CC2CF5">
        <w:rPr>
          <w:rFonts w:cs="Arial"/>
          <w:szCs w:val="24"/>
          <w:lang w:val="en-GB"/>
        </w:rPr>
        <w:t xml:space="preserve">. The respondents only have </w:t>
      </w:r>
      <w:r w:rsidR="00A76331" w:rsidRPr="00CC2CF5">
        <w:rPr>
          <w:rFonts w:cs="Arial"/>
          <w:szCs w:val="24"/>
          <w:lang w:val="en-GB"/>
        </w:rPr>
        <w:t xml:space="preserve">a </w:t>
      </w:r>
      <w:r w:rsidR="006F4748" w:rsidRPr="00CC2CF5">
        <w:rPr>
          <w:rFonts w:cs="Arial"/>
          <w:szCs w:val="24"/>
          <w:lang w:val="en-GB"/>
        </w:rPr>
        <w:t xml:space="preserve">record of the third applicant. Notwithstanding the aforesaid, </w:t>
      </w:r>
      <w:r w:rsidR="00A76331" w:rsidRPr="00CC2CF5">
        <w:rPr>
          <w:rFonts w:cs="Arial"/>
          <w:szCs w:val="24"/>
          <w:lang w:val="en-GB"/>
        </w:rPr>
        <w:t>“</w:t>
      </w:r>
      <w:r w:rsidR="006F4748" w:rsidRPr="00CC2CF5">
        <w:rPr>
          <w:rFonts w:cs="Arial"/>
          <w:i/>
          <w:iCs/>
          <w:szCs w:val="24"/>
          <w:lang w:val="en-GB"/>
        </w:rPr>
        <w:t xml:space="preserve">the registration of all three children falls away or is invalid since they were </w:t>
      </w:r>
      <w:r w:rsidR="00F82FFE" w:rsidRPr="00CC2CF5">
        <w:rPr>
          <w:rFonts w:cs="Arial"/>
          <w:i/>
          <w:iCs/>
          <w:szCs w:val="24"/>
          <w:lang w:val="en-GB"/>
        </w:rPr>
        <w:t>‘</w:t>
      </w:r>
      <w:r w:rsidR="006F4748" w:rsidRPr="00CC2CF5">
        <w:rPr>
          <w:rFonts w:cs="Arial"/>
          <w:i/>
          <w:iCs/>
          <w:szCs w:val="24"/>
          <w:lang w:val="en-GB"/>
        </w:rPr>
        <w:t>born and registered</w:t>
      </w:r>
      <w:r w:rsidR="00F82FFE" w:rsidRPr="00CC2CF5">
        <w:rPr>
          <w:rFonts w:cs="Arial"/>
          <w:i/>
          <w:iCs/>
          <w:szCs w:val="24"/>
          <w:lang w:val="en-GB"/>
        </w:rPr>
        <w:t>’</w:t>
      </w:r>
      <w:r w:rsidR="006F4748" w:rsidRPr="00CC2CF5">
        <w:rPr>
          <w:rFonts w:cs="Arial"/>
          <w:i/>
          <w:iCs/>
          <w:szCs w:val="24"/>
          <w:lang w:val="en-GB"/>
        </w:rPr>
        <w:t xml:space="preserve"> under i</w:t>
      </w:r>
      <w:r w:rsidR="00C21145" w:rsidRPr="00CC2CF5">
        <w:rPr>
          <w:rFonts w:cs="Arial"/>
          <w:i/>
          <w:iCs/>
          <w:szCs w:val="24"/>
          <w:lang w:val="en-GB"/>
        </w:rPr>
        <w:t>dentity number […]</w:t>
      </w:r>
      <w:r w:rsidR="006F4748" w:rsidRPr="00CC2CF5">
        <w:rPr>
          <w:rFonts w:cs="Arial"/>
          <w:i/>
          <w:iCs/>
          <w:szCs w:val="24"/>
          <w:lang w:val="en-GB"/>
        </w:rPr>
        <w:t>which is an illegal identity number</w:t>
      </w:r>
      <w:r w:rsidR="00A76331" w:rsidRPr="00CC2CF5">
        <w:rPr>
          <w:rFonts w:cs="Arial"/>
          <w:szCs w:val="24"/>
          <w:lang w:val="en-GB"/>
        </w:rPr>
        <w:t>”</w:t>
      </w:r>
      <w:r w:rsidR="005033EE" w:rsidRPr="00CC2CF5">
        <w:rPr>
          <w:rFonts w:cs="Arial"/>
          <w:szCs w:val="24"/>
          <w:lang w:val="en-GB"/>
        </w:rPr>
        <w:t>.</w:t>
      </w:r>
    </w:p>
    <w:p w14:paraId="1AAA2900" w14:textId="0E3F55BC" w:rsidR="000C5352"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29.</w:t>
      </w:r>
      <w:r w:rsidRPr="00961D21">
        <w:rPr>
          <w:rFonts w:cs="Arial"/>
          <w:w w:val="99"/>
          <w:szCs w:val="24"/>
        </w:rPr>
        <w:tab/>
      </w:r>
      <w:r w:rsidR="006F4748" w:rsidRPr="00CC2CF5">
        <w:rPr>
          <w:rFonts w:cs="Arial"/>
          <w:szCs w:val="24"/>
          <w:lang w:val="en-GB"/>
        </w:rPr>
        <w:t xml:space="preserve">The remainder of the respondents’ contentions </w:t>
      </w:r>
      <w:r w:rsidR="00A76331" w:rsidRPr="00CC2CF5">
        <w:rPr>
          <w:rFonts w:cs="Arial"/>
          <w:szCs w:val="24"/>
          <w:lang w:val="en-GB"/>
        </w:rPr>
        <w:t xml:space="preserve">attested to on oath in the answering affidavit constitutes </w:t>
      </w:r>
      <w:r w:rsidR="006F4748" w:rsidRPr="00CC2CF5">
        <w:rPr>
          <w:rFonts w:cs="Arial"/>
          <w:szCs w:val="24"/>
          <w:lang w:val="en-GB"/>
        </w:rPr>
        <w:t>bare denials failing to proffer a version.</w:t>
      </w:r>
    </w:p>
    <w:p w14:paraId="30AB3C56" w14:textId="1054C93D" w:rsidR="000C5352" w:rsidRPr="00961D21" w:rsidRDefault="00F82FFE" w:rsidP="000C5352">
      <w:pPr>
        <w:spacing w:before="360" w:after="360" w:line="360" w:lineRule="auto"/>
        <w:ind w:right="439"/>
        <w:rPr>
          <w:rFonts w:cs="Arial"/>
          <w:i/>
          <w:iCs/>
          <w:szCs w:val="24"/>
          <w:lang w:val="en-GB"/>
        </w:rPr>
      </w:pPr>
      <w:r>
        <w:rPr>
          <w:rFonts w:cs="Arial"/>
          <w:i/>
          <w:iCs/>
          <w:szCs w:val="24"/>
          <w:lang w:val="en-GB"/>
        </w:rPr>
        <w:t>Relevant statutes</w:t>
      </w:r>
    </w:p>
    <w:p w14:paraId="303BB69B" w14:textId="46D5B0E9"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30.</w:t>
      </w:r>
      <w:r w:rsidRPr="00961D21">
        <w:rPr>
          <w:rFonts w:cs="Arial"/>
          <w:w w:val="99"/>
          <w:szCs w:val="24"/>
        </w:rPr>
        <w:tab/>
      </w:r>
      <w:r w:rsidR="00195786" w:rsidRPr="00CC2CF5">
        <w:rPr>
          <w:rFonts w:cs="Arial"/>
          <w:szCs w:val="24"/>
          <w:lang w:val="en-GB"/>
        </w:rPr>
        <w:t>It is common cause from a perusal of the respective affidavits that the respondents blocked and suspended the identity documents of the first and second applicants and that certain predicaments or challenges seem to remain regarding the</w:t>
      </w:r>
      <w:r w:rsidR="00F82FFE" w:rsidRPr="00CC2CF5">
        <w:rPr>
          <w:rFonts w:cs="Arial"/>
          <w:szCs w:val="24"/>
          <w:lang w:val="en-GB"/>
        </w:rPr>
        <w:t xml:space="preserve"> statutes of the </w:t>
      </w:r>
      <w:r w:rsidR="00195786" w:rsidRPr="00CC2CF5">
        <w:rPr>
          <w:rFonts w:cs="Arial"/>
          <w:szCs w:val="24"/>
          <w:lang w:val="en-GB"/>
        </w:rPr>
        <w:t xml:space="preserve">three children born from the marriage. The applicants seek relief to set aside such a decision, i.e., the removal that their particulars that have been blocked and suspended, and to reinstate the same on the population register and to issue them all with identity documents.  </w:t>
      </w:r>
    </w:p>
    <w:p w14:paraId="2C0F4BC8" w14:textId="15AD081E"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31.</w:t>
      </w:r>
      <w:r w:rsidRPr="00961D21">
        <w:rPr>
          <w:rFonts w:cs="Arial"/>
          <w:w w:val="99"/>
          <w:szCs w:val="24"/>
        </w:rPr>
        <w:tab/>
      </w:r>
      <w:r w:rsidR="00195786" w:rsidRPr="00CC2CF5">
        <w:rPr>
          <w:rFonts w:cs="Arial"/>
          <w:szCs w:val="24"/>
          <w:lang w:val="en-GB"/>
        </w:rPr>
        <w:t>It is conceded on behalf of the respondents that this matter “</w:t>
      </w:r>
      <w:r w:rsidR="00195786" w:rsidRPr="00CC2CF5">
        <w:rPr>
          <w:rFonts w:cs="Arial"/>
          <w:i/>
          <w:iCs/>
          <w:szCs w:val="24"/>
          <w:lang w:val="en-GB"/>
        </w:rPr>
        <w:t>should be decided in favour of the applicants</w:t>
      </w:r>
      <w:r w:rsidR="00195786" w:rsidRPr="00CC2CF5">
        <w:rPr>
          <w:rFonts w:cs="Arial"/>
          <w:szCs w:val="24"/>
          <w:lang w:val="en-GB"/>
        </w:rPr>
        <w:t>”, however, the respondents seek that the matter “</w:t>
      </w:r>
      <w:r w:rsidR="00195786" w:rsidRPr="00CC2CF5">
        <w:rPr>
          <w:rFonts w:cs="Arial"/>
          <w:i/>
          <w:iCs/>
          <w:szCs w:val="24"/>
          <w:lang w:val="en-GB"/>
        </w:rPr>
        <w:t>should be referred back to the Respondents for reconsideration</w:t>
      </w:r>
      <w:r w:rsidR="00195786" w:rsidRPr="00CC2CF5">
        <w:rPr>
          <w:rFonts w:cs="Arial"/>
          <w:szCs w:val="24"/>
          <w:lang w:val="en-GB"/>
        </w:rPr>
        <w:t>”</w:t>
      </w:r>
      <w:r w:rsidR="00195786" w:rsidRPr="00961D21">
        <w:rPr>
          <w:rStyle w:val="FootnoteReference"/>
          <w:rFonts w:cs="Arial"/>
          <w:szCs w:val="24"/>
          <w:lang w:val="en-GB"/>
        </w:rPr>
        <w:footnoteReference w:id="1"/>
      </w:r>
      <w:r w:rsidR="00195786" w:rsidRPr="00CC2CF5">
        <w:rPr>
          <w:rFonts w:cs="Arial"/>
          <w:szCs w:val="24"/>
          <w:lang w:val="en-GB"/>
        </w:rPr>
        <w:t xml:space="preserve">. At the hearing, the same concession and </w:t>
      </w:r>
      <w:r w:rsidR="00F82FFE" w:rsidRPr="00CC2CF5">
        <w:rPr>
          <w:rFonts w:cs="Arial"/>
          <w:szCs w:val="24"/>
          <w:lang w:val="en-GB"/>
        </w:rPr>
        <w:t>submission</w:t>
      </w:r>
      <w:r w:rsidR="00C8320A" w:rsidRPr="00CC2CF5">
        <w:rPr>
          <w:rFonts w:cs="Arial"/>
          <w:szCs w:val="24"/>
          <w:lang w:val="en-GB"/>
        </w:rPr>
        <w:t>s</w:t>
      </w:r>
      <w:r w:rsidR="00F82FFE" w:rsidRPr="00CC2CF5">
        <w:rPr>
          <w:rFonts w:cs="Arial"/>
          <w:szCs w:val="24"/>
          <w:lang w:val="en-GB"/>
        </w:rPr>
        <w:t xml:space="preserve"> </w:t>
      </w:r>
      <w:r w:rsidR="00C8320A" w:rsidRPr="00CC2CF5">
        <w:rPr>
          <w:rFonts w:cs="Arial"/>
          <w:szCs w:val="24"/>
          <w:lang w:val="en-GB"/>
        </w:rPr>
        <w:t>were</w:t>
      </w:r>
      <w:r w:rsidR="00195786" w:rsidRPr="00CC2CF5">
        <w:rPr>
          <w:rFonts w:cs="Arial"/>
          <w:szCs w:val="24"/>
          <w:lang w:val="en-GB"/>
        </w:rPr>
        <w:t xml:space="preserve"> made.  The aspect of the reconsideration sought by the respondents is dealt with in detail in this </w:t>
      </w:r>
      <w:r w:rsidR="00195786" w:rsidRPr="00CC2CF5">
        <w:rPr>
          <w:rFonts w:cs="Arial"/>
          <w:szCs w:val="24"/>
          <w:lang w:val="en-GB"/>
        </w:rPr>
        <w:lastRenderedPageBreak/>
        <w:t>judgment.</w:t>
      </w:r>
    </w:p>
    <w:p w14:paraId="32EC351C" w14:textId="111AAD55"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32.</w:t>
      </w:r>
      <w:r w:rsidRPr="00961D21">
        <w:rPr>
          <w:rFonts w:cs="Arial"/>
          <w:w w:val="99"/>
          <w:szCs w:val="24"/>
        </w:rPr>
        <w:tab/>
      </w:r>
      <w:r w:rsidR="00195786" w:rsidRPr="00CC2CF5">
        <w:rPr>
          <w:rFonts w:cs="Arial"/>
          <w:szCs w:val="24"/>
          <w:lang w:val="en-GB"/>
        </w:rPr>
        <w:t xml:space="preserve">The facts of a particular matter should be considered against the relevant statutes which contain the rights and obligations of individuals and the state alike, with due regard to constitutionally entrenched rights. </w:t>
      </w:r>
    </w:p>
    <w:p w14:paraId="28250245" w14:textId="771F46A4"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33.</w:t>
      </w:r>
      <w:r w:rsidRPr="00961D21">
        <w:rPr>
          <w:rFonts w:cs="Arial"/>
          <w:w w:val="99"/>
          <w:szCs w:val="24"/>
        </w:rPr>
        <w:tab/>
      </w:r>
      <w:r w:rsidR="00195786" w:rsidRPr="00CC2CF5">
        <w:rPr>
          <w:rFonts w:cs="Arial"/>
          <w:i/>
          <w:iCs/>
          <w:szCs w:val="24"/>
          <w:lang w:val="en-GB"/>
        </w:rPr>
        <w:t>In</w:t>
      </w:r>
      <w:r w:rsidR="00195786" w:rsidRPr="00CC2CF5">
        <w:rPr>
          <w:rFonts w:cs="Arial"/>
          <w:szCs w:val="24"/>
          <w:lang w:val="en-GB"/>
        </w:rPr>
        <w:t xml:space="preserve"> </w:t>
      </w:r>
      <w:r w:rsidR="00195786" w:rsidRPr="00CC2CF5">
        <w:rPr>
          <w:rFonts w:cs="Arial"/>
          <w:i/>
          <w:iCs/>
          <w:szCs w:val="24"/>
          <w:lang w:val="en-GB"/>
        </w:rPr>
        <w:t>casu</w:t>
      </w:r>
      <w:r w:rsidR="00195786" w:rsidRPr="00CC2CF5">
        <w:rPr>
          <w:rFonts w:cs="Arial"/>
          <w:szCs w:val="24"/>
          <w:lang w:val="en-GB"/>
        </w:rPr>
        <w:t xml:space="preserve">, the interplay of various statutes must be considered. They are, </w:t>
      </w:r>
      <w:r w:rsidR="00195786" w:rsidRPr="00CC2CF5">
        <w:rPr>
          <w:rFonts w:cs="Arial"/>
          <w:i/>
          <w:iCs/>
          <w:szCs w:val="24"/>
          <w:lang w:val="en-GB"/>
        </w:rPr>
        <w:t>inter alia</w:t>
      </w:r>
      <w:r w:rsidR="00195786" w:rsidRPr="00CC2CF5">
        <w:rPr>
          <w:rFonts w:cs="Arial"/>
          <w:szCs w:val="24"/>
          <w:lang w:val="en-GB"/>
        </w:rPr>
        <w:t>, the Identification Act</w:t>
      </w:r>
      <w:r w:rsidR="00195786" w:rsidRPr="00961D21">
        <w:rPr>
          <w:rStyle w:val="FootnoteReference"/>
          <w:rFonts w:cs="Arial"/>
          <w:szCs w:val="24"/>
          <w:lang w:val="en-GB"/>
        </w:rPr>
        <w:footnoteReference w:id="2"/>
      </w:r>
      <w:r w:rsidR="00195786" w:rsidRPr="00CC2CF5">
        <w:rPr>
          <w:rFonts w:cs="Arial"/>
          <w:szCs w:val="24"/>
          <w:lang w:val="en-GB"/>
        </w:rPr>
        <w:t>, the South African Citizenship Act</w:t>
      </w:r>
      <w:r w:rsidR="00195786" w:rsidRPr="00961D21">
        <w:rPr>
          <w:rStyle w:val="FootnoteReference"/>
          <w:rFonts w:cs="Arial"/>
          <w:szCs w:val="24"/>
          <w:lang w:val="en-GB"/>
        </w:rPr>
        <w:footnoteReference w:id="3"/>
      </w:r>
      <w:r w:rsidR="00195786" w:rsidRPr="00CC2CF5">
        <w:rPr>
          <w:rFonts w:cs="Arial"/>
          <w:szCs w:val="24"/>
          <w:lang w:val="en-GB"/>
        </w:rPr>
        <w:t>, and the Immigration Act</w:t>
      </w:r>
      <w:r w:rsidR="00195786" w:rsidRPr="00961D21">
        <w:rPr>
          <w:rStyle w:val="FootnoteReference"/>
          <w:rFonts w:cs="Arial"/>
          <w:szCs w:val="24"/>
          <w:lang w:val="en-GB"/>
        </w:rPr>
        <w:footnoteReference w:id="4"/>
      </w:r>
      <w:r w:rsidR="00195786" w:rsidRPr="00CC2CF5">
        <w:rPr>
          <w:rFonts w:cs="Arial"/>
          <w:szCs w:val="24"/>
          <w:lang w:val="en-GB"/>
        </w:rPr>
        <w:t>.</w:t>
      </w:r>
    </w:p>
    <w:p w14:paraId="6AFE4EF3" w14:textId="3B357A9D"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34.</w:t>
      </w:r>
      <w:r w:rsidRPr="00961D21">
        <w:rPr>
          <w:rFonts w:cs="Arial"/>
          <w:w w:val="99"/>
          <w:szCs w:val="24"/>
        </w:rPr>
        <w:tab/>
      </w:r>
      <w:r w:rsidR="00195786" w:rsidRPr="00CC2CF5">
        <w:rPr>
          <w:rFonts w:cs="Arial"/>
          <w:szCs w:val="24"/>
          <w:lang w:val="en-GB"/>
        </w:rPr>
        <w:t>The Immigration Act regulates aspects such as permanent residence</w:t>
      </w:r>
      <w:r w:rsidR="00195786" w:rsidRPr="00961D21">
        <w:rPr>
          <w:rStyle w:val="FootnoteReference"/>
          <w:rFonts w:cs="Arial"/>
          <w:szCs w:val="24"/>
          <w:lang w:val="en-GB"/>
        </w:rPr>
        <w:footnoteReference w:id="5"/>
      </w:r>
      <w:r w:rsidR="00195786" w:rsidRPr="00CC2CF5">
        <w:rPr>
          <w:rFonts w:cs="Arial"/>
          <w:szCs w:val="24"/>
          <w:lang w:val="en-GB"/>
        </w:rPr>
        <w:t xml:space="preserve"> and visas.  The Citizenship Act regulates various aspects </w:t>
      </w:r>
      <w:r w:rsidR="00272319" w:rsidRPr="00CC2CF5">
        <w:rPr>
          <w:rFonts w:cs="Arial"/>
          <w:szCs w:val="24"/>
          <w:lang w:val="en-GB"/>
        </w:rPr>
        <w:t>of</w:t>
      </w:r>
      <w:r w:rsidR="00195786" w:rsidRPr="00CC2CF5">
        <w:rPr>
          <w:rFonts w:cs="Arial"/>
          <w:szCs w:val="24"/>
          <w:lang w:val="en-GB"/>
        </w:rPr>
        <w:t xml:space="preserve"> the acquisition of South African citizenship as well as the loss, </w:t>
      </w:r>
      <w:r w:rsidR="00C0622F" w:rsidRPr="00CC2CF5">
        <w:rPr>
          <w:rFonts w:cs="Arial"/>
          <w:szCs w:val="24"/>
          <w:lang w:val="en-GB"/>
        </w:rPr>
        <w:t>renunciation,</w:t>
      </w:r>
      <w:r w:rsidR="00195786" w:rsidRPr="00CC2CF5">
        <w:rPr>
          <w:rFonts w:cs="Arial"/>
          <w:szCs w:val="24"/>
          <w:lang w:val="en-GB"/>
        </w:rPr>
        <w:t xml:space="preserve"> or deprivation thereof i.e., it concerns the status of its citizens.  The Identification Act pertains to the compilation and maintenance of a population register of its citizens and the issuing of identity cards and certain certificates.</w:t>
      </w:r>
    </w:p>
    <w:p w14:paraId="78C53608" w14:textId="5D0040AC"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35.</w:t>
      </w:r>
      <w:r w:rsidRPr="00961D21">
        <w:rPr>
          <w:rFonts w:cs="Arial"/>
          <w:w w:val="99"/>
          <w:szCs w:val="24"/>
        </w:rPr>
        <w:tab/>
      </w:r>
      <w:r w:rsidR="00195786" w:rsidRPr="00CC2CF5">
        <w:rPr>
          <w:rFonts w:cs="Arial"/>
          <w:i/>
          <w:iCs/>
          <w:szCs w:val="24"/>
          <w:lang w:val="en-GB"/>
        </w:rPr>
        <w:t>In</w:t>
      </w:r>
      <w:r w:rsidR="00195786" w:rsidRPr="00CC2CF5">
        <w:rPr>
          <w:rFonts w:cs="Arial"/>
          <w:szCs w:val="24"/>
          <w:lang w:val="en-GB"/>
        </w:rPr>
        <w:t xml:space="preserve"> </w:t>
      </w:r>
      <w:r w:rsidR="00195786" w:rsidRPr="00CC2CF5">
        <w:rPr>
          <w:rFonts w:cs="Arial"/>
          <w:i/>
          <w:iCs/>
          <w:szCs w:val="24"/>
          <w:lang w:val="en-GB"/>
        </w:rPr>
        <w:t>casu</w:t>
      </w:r>
      <w:r w:rsidR="00195786" w:rsidRPr="00CC2CF5">
        <w:rPr>
          <w:rFonts w:cs="Arial"/>
          <w:szCs w:val="24"/>
          <w:lang w:val="en-GB"/>
        </w:rPr>
        <w:t>, the applicants (first and second) were provided with permanent residency by way of certificates of exemptions issued by the respondents</w:t>
      </w:r>
      <w:r w:rsidR="00195786" w:rsidRPr="00961D21">
        <w:rPr>
          <w:rStyle w:val="FootnoteReference"/>
          <w:rFonts w:cs="Arial"/>
          <w:szCs w:val="24"/>
          <w:lang w:val="en-GB"/>
        </w:rPr>
        <w:footnoteReference w:id="6"/>
      </w:r>
      <w:r w:rsidR="00195786" w:rsidRPr="00CC2CF5">
        <w:rPr>
          <w:rFonts w:cs="Arial"/>
          <w:szCs w:val="24"/>
          <w:lang w:val="en-GB"/>
        </w:rPr>
        <w:t xml:space="preserve"> in terms of the now repealed Aliens Control Act</w:t>
      </w:r>
      <w:r w:rsidR="00195786" w:rsidRPr="00961D21">
        <w:rPr>
          <w:rStyle w:val="FootnoteReference"/>
          <w:rFonts w:cs="Arial"/>
          <w:szCs w:val="24"/>
          <w:lang w:val="en-GB"/>
        </w:rPr>
        <w:footnoteReference w:id="7"/>
      </w:r>
      <w:r w:rsidR="00195786" w:rsidRPr="00CC2CF5">
        <w:rPr>
          <w:rFonts w:cs="Arial"/>
          <w:szCs w:val="24"/>
          <w:lang w:val="en-GB"/>
        </w:rPr>
        <w:t>, permanent residency is currently regulated in terms of the Immigration Act.</w:t>
      </w:r>
    </w:p>
    <w:p w14:paraId="38735982" w14:textId="7B53CD24"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36.</w:t>
      </w:r>
      <w:r w:rsidRPr="00961D21">
        <w:rPr>
          <w:rFonts w:cs="Arial"/>
          <w:w w:val="99"/>
          <w:szCs w:val="24"/>
        </w:rPr>
        <w:tab/>
      </w:r>
      <w:r w:rsidR="00195786" w:rsidRPr="00CC2CF5">
        <w:rPr>
          <w:rFonts w:cs="Arial"/>
          <w:szCs w:val="24"/>
          <w:lang w:val="en-GB"/>
        </w:rPr>
        <w:t xml:space="preserve">It is not the respondents’ case that the permanent residency granted to the applicants in 1997 was withdrawn in terms of section 28 of the Immigration Act of 2002. </w:t>
      </w:r>
    </w:p>
    <w:p w14:paraId="26540856" w14:textId="1A6E841E"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37.</w:t>
      </w:r>
      <w:r w:rsidRPr="00961D21">
        <w:rPr>
          <w:rFonts w:cs="Arial"/>
          <w:w w:val="99"/>
          <w:szCs w:val="24"/>
        </w:rPr>
        <w:tab/>
      </w:r>
      <w:r w:rsidR="00195786" w:rsidRPr="00CC2CF5">
        <w:rPr>
          <w:rFonts w:cs="Arial"/>
          <w:szCs w:val="24"/>
          <w:lang w:val="en-GB"/>
        </w:rPr>
        <w:t>Hereafter, the applicants applied for and obtained identity documents and identity numbers were issued to them in terms of the Citizens</w:t>
      </w:r>
      <w:r w:rsidR="00F82FFE" w:rsidRPr="00CC2CF5">
        <w:rPr>
          <w:rFonts w:cs="Arial"/>
          <w:szCs w:val="24"/>
          <w:lang w:val="en-GB"/>
        </w:rPr>
        <w:t>hip</w:t>
      </w:r>
      <w:r w:rsidR="00195786" w:rsidRPr="00CC2CF5">
        <w:rPr>
          <w:rFonts w:cs="Arial"/>
          <w:szCs w:val="24"/>
          <w:lang w:val="en-GB"/>
        </w:rPr>
        <w:t xml:space="preserve"> Act and Identification Act. Subsequently, their rights, i.e., the applicants, are vested in </w:t>
      </w:r>
      <w:r w:rsidR="00195786" w:rsidRPr="00CC2CF5">
        <w:rPr>
          <w:rFonts w:cs="Arial"/>
          <w:szCs w:val="24"/>
          <w:lang w:val="en-GB"/>
        </w:rPr>
        <w:lastRenderedPageBreak/>
        <w:t xml:space="preserve">terms of the South African Citizenship Act. </w:t>
      </w:r>
    </w:p>
    <w:p w14:paraId="2F83B9FB" w14:textId="5779B8C6"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38.</w:t>
      </w:r>
      <w:r w:rsidRPr="00961D21">
        <w:rPr>
          <w:rFonts w:cs="Arial"/>
          <w:w w:val="99"/>
          <w:szCs w:val="24"/>
        </w:rPr>
        <w:tab/>
      </w:r>
      <w:r w:rsidR="00195786" w:rsidRPr="00CC2CF5">
        <w:rPr>
          <w:rFonts w:cs="Arial"/>
          <w:szCs w:val="24"/>
          <w:lang w:val="en-GB"/>
        </w:rPr>
        <w:t>Hereafter, the respondents blocked and suspended the identity documents issued in terms of the Identification Act. Their particulars have also been suspended, it seems, from the population register, which register must be compiled and maintained in terms of the Identification Act.</w:t>
      </w:r>
    </w:p>
    <w:p w14:paraId="3F917D4C" w14:textId="128BD419"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39.</w:t>
      </w:r>
      <w:r w:rsidRPr="00961D21">
        <w:rPr>
          <w:rFonts w:cs="Arial"/>
          <w:w w:val="99"/>
          <w:szCs w:val="24"/>
        </w:rPr>
        <w:tab/>
      </w:r>
      <w:r w:rsidR="00195786" w:rsidRPr="00CC2CF5">
        <w:rPr>
          <w:rFonts w:cs="Arial"/>
          <w:szCs w:val="24"/>
          <w:lang w:val="en-GB"/>
        </w:rPr>
        <w:t xml:space="preserve">Corrections, </w:t>
      </w:r>
      <w:r w:rsidR="00272319" w:rsidRPr="00CC2CF5">
        <w:rPr>
          <w:rFonts w:cs="Arial"/>
          <w:szCs w:val="24"/>
          <w:lang w:val="en-GB"/>
        </w:rPr>
        <w:t>cancellations,</w:t>
      </w:r>
      <w:r w:rsidR="00195786" w:rsidRPr="00CC2CF5">
        <w:rPr>
          <w:rFonts w:cs="Arial"/>
          <w:szCs w:val="24"/>
          <w:lang w:val="en-GB"/>
        </w:rPr>
        <w:t xml:space="preserve"> and replacements of identity cards </w:t>
      </w:r>
      <w:r w:rsidR="00F82FFE" w:rsidRPr="00CC2CF5">
        <w:rPr>
          <w:rFonts w:cs="Arial"/>
          <w:szCs w:val="24"/>
          <w:lang w:val="en-GB"/>
        </w:rPr>
        <w:t>are</w:t>
      </w:r>
      <w:r w:rsidR="00195786" w:rsidRPr="00CC2CF5">
        <w:rPr>
          <w:rFonts w:cs="Arial"/>
          <w:szCs w:val="24"/>
          <w:lang w:val="en-GB"/>
        </w:rPr>
        <w:t xml:space="preserve"> governed by Chapter 5, more specifically section 19, of the Identification Act. </w:t>
      </w:r>
    </w:p>
    <w:p w14:paraId="26F25070" w14:textId="5D6376CD"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40.</w:t>
      </w:r>
      <w:r w:rsidRPr="00961D21">
        <w:rPr>
          <w:rFonts w:cs="Arial"/>
          <w:w w:val="99"/>
          <w:szCs w:val="24"/>
        </w:rPr>
        <w:tab/>
      </w:r>
      <w:r w:rsidR="00195786" w:rsidRPr="00CC2CF5">
        <w:rPr>
          <w:rFonts w:cs="Arial"/>
          <w:szCs w:val="24"/>
          <w:lang w:val="en-GB"/>
        </w:rPr>
        <w:t xml:space="preserve">To deprive a person </w:t>
      </w:r>
      <w:r w:rsidR="00C8320A" w:rsidRPr="00CC2CF5">
        <w:rPr>
          <w:rFonts w:cs="Arial"/>
          <w:szCs w:val="24"/>
          <w:lang w:val="en-GB"/>
        </w:rPr>
        <w:t>of</w:t>
      </w:r>
      <w:r w:rsidR="00195786" w:rsidRPr="00CC2CF5">
        <w:rPr>
          <w:rFonts w:cs="Arial"/>
          <w:szCs w:val="24"/>
          <w:lang w:val="en-GB"/>
        </w:rPr>
        <w:t xml:space="preserve"> citizenship, the first respondent is empowered to do so by virtue of Chapter 3 of the Citizenship Act, more particularly section 8 thereof. An amendment of certificates of citizenship is dealt with in terms of section 19 of the Citizenship Act with reference to any “</w:t>
      </w:r>
      <w:r w:rsidR="00195786" w:rsidRPr="00CC2CF5">
        <w:rPr>
          <w:rFonts w:cs="Arial"/>
          <w:i/>
          <w:iCs/>
          <w:szCs w:val="24"/>
          <w:lang w:val="en-GB"/>
        </w:rPr>
        <w:t>error has occurred in any certificate</w:t>
      </w:r>
      <w:r w:rsidR="00195786" w:rsidRPr="00CC2CF5">
        <w:rPr>
          <w:rFonts w:cs="Arial"/>
          <w:szCs w:val="24"/>
          <w:lang w:val="en-GB"/>
        </w:rPr>
        <w:t xml:space="preserve">”, and section 18 provides for a penalty for false representation or statements, as the case may be. </w:t>
      </w:r>
    </w:p>
    <w:p w14:paraId="2D70E75E" w14:textId="378638FC"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41.</w:t>
      </w:r>
      <w:r w:rsidRPr="00961D21">
        <w:rPr>
          <w:rFonts w:cs="Arial"/>
          <w:w w:val="99"/>
          <w:szCs w:val="24"/>
        </w:rPr>
        <w:tab/>
      </w:r>
      <w:r w:rsidR="00195786" w:rsidRPr="00CC2CF5">
        <w:rPr>
          <w:rFonts w:cs="Arial"/>
          <w:szCs w:val="24"/>
          <w:lang w:val="en-GB"/>
        </w:rPr>
        <w:t xml:space="preserve">Rather than invoking any of the aforementioned provisions, officials representing the respondents seemingly took decisions to block the identity documents/cards issued with corresponding identification numbers </w:t>
      </w:r>
      <w:r w:rsidR="00F82FFE" w:rsidRPr="00CC2CF5">
        <w:rPr>
          <w:rFonts w:cs="Arial"/>
          <w:szCs w:val="24"/>
          <w:lang w:val="en-GB"/>
        </w:rPr>
        <w:t xml:space="preserve">to the applicants </w:t>
      </w:r>
      <w:r w:rsidR="00195786" w:rsidRPr="00CC2CF5">
        <w:rPr>
          <w:rFonts w:cs="Arial"/>
          <w:szCs w:val="24"/>
          <w:lang w:val="en-GB"/>
        </w:rPr>
        <w:t xml:space="preserve">registered on the population register. </w:t>
      </w:r>
    </w:p>
    <w:p w14:paraId="311D9D5E" w14:textId="308BD88E"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42.</w:t>
      </w:r>
      <w:r w:rsidRPr="00961D21">
        <w:rPr>
          <w:rFonts w:cs="Arial"/>
          <w:w w:val="99"/>
          <w:szCs w:val="24"/>
        </w:rPr>
        <w:tab/>
      </w:r>
      <w:r w:rsidR="00195786" w:rsidRPr="00CC2CF5">
        <w:rPr>
          <w:rFonts w:cs="Arial"/>
          <w:szCs w:val="24"/>
          <w:lang w:val="en-GB"/>
        </w:rPr>
        <w:t>The statutory basis</w:t>
      </w:r>
      <w:r w:rsidR="00F82FFE" w:rsidRPr="00CC2CF5">
        <w:rPr>
          <w:rFonts w:cs="Arial"/>
          <w:szCs w:val="24"/>
          <w:lang w:val="en-GB"/>
        </w:rPr>
        <w:t xml:space="preserve"> for the respondents’ decision</w:t>
      </w:r>
      <w:r w:rsidR="00195786" w:rsidRPr="00CC2CF5">
        <w:rPr>
          <w:rFonts w:cs="Arial"/>
          <w:szCs w:val="24"/>
          <w:lang w:val="en-GB"/>
        </w:rPr>
        <w:t xml:space="preserve"> to block and suspend the identity documents </w:t>
      </w:r>
      <w:r w:rsidR="00C8320A" w:rsidRPr="00CC2CF5">
        <w:rPr>
          <w:rFonts w:cs="Arial"/>
          <w:szCs w:val="24"/>
          <w:lang w:val="en-GB"/>
        </w:rPr>
        <w:t>has</w:t>
      </w:r>
      <w:r w:rsidR="00195786" w:rsidRPr="00CC2CF5">
        <w:rPr>
          <w:rFonts w:cs="Arial"/>
          <w:szCs w:val="24"/>
          <w:lang w:val="en-GB"/>
        </w:rPr>
        <w:t xml:space="preserve"> not been dealt with in the papers and </w:t>
      </w:r>
      <w:r w:rsidR="00C8320A" w:rsidRPr="00CC2CF5">
        <w:rPr>
          <w:rFonts w:cs="Arial"/>
          <w:szCs w:val="24"/>
          <w:lang w:val="en-GB"/>
        </w:rPr>
        <w:t>was</w:t>
      </w:r>
      <w:r w:rsidR="00195786" w:rsidRPr="00CC2CF5">
        <w:rPr>
          <w:rFonts w:cs="Arial"/>
          <w:szCs w:val="24"/>
          <w:lang w:val="en-GB"/>
        </w:rPr>
        <w:t xml:space="preserve"> not dealt with </w:t>
      </w:r>
      <w:r w:rsidR="00F82FFE" w:rsidRPr="00CC2CF5">
        <w:rPr>
          <w:rFonts w:cs="Arial"/>
          <w:szCs w:val="24"/>
          <w:lang w:val="en-GB"/>
        </w:rPr>
        <w:t xml:space="preserve">during </w:t>
      </w:r>
      <w:r w:rsidR="00195786" w:rsidRPr="00CC2CF5">
        <w:rPr>
          <w:rFonts w:cs="Arial"/>
          <w:szCs w:val="24"/>
          <w:lang w:val="en-GB"/>
        </w:rPr>
        <w:t>argument.</w:t>
      </w:r>
    </w:p>
    <w:p w14:paraId="1D156484" w14:textId="3BA21C89" w:rsidR="00A0177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43.</w:t>
      </w:r>
      <w:r w:rsidRPr="00961D21">
        <w:rPr>
          <w:rFonts w:cs="Arial"/>
          <w:w w:val="99"/>
          <w:szCs w:val="24"/>
        </w:rPr>
        <w:tab/>
      </w:r>
      <w:r w:rsidR="00195786" w:rsidRPr="00CC2CF5">
        <w:rPr>
          <w:rFonts w:cs="Arial"/>
          <w:szCs w:val="24"/>
          <w:lang w:val="en-GB"/>
        </w:rPr>
        <w:t xml:space="preserve">The decision to block and suspend the identification documents of the applicants seems </w:t>
      </w:r>
      <w:r w:rsidR="00195786" w:rsidRPr="00CC2CF5">
        <w:rPr>
          <w:rFonts w:cs="Arial"/>
          <w:i/>
          <w:iCs/>
          <w:szCs w:val="24"/>
          <w:lang w:val="en-GB"/>
        </w:rPr>
        <w:t>ultra vires</w:t>
      </w:r>
      <w:r w:rsidR="00195786" w:rsidRPr="00CC2CF5">
        <w:rPr>
          <w:rFonts w:cs="Arial"/>
          <w:szCs w:val="24"/>
          <w:lang w:val="en-GB"/>
        </w:rPr>
        <w:t xml:space="preserve">, even if the same was </w:t>
      </w:r>
      <w:r w:rsidR="00C0622F" w:rsidRPr="00CC2CF5">
        <w:rPr>
          <w:rFonts w:cs="Arial"/>
          <w:szCs w:val="24"/>
          <w:lang w:val="en-GB"/>
        </w:rPr>
        <w:t xml:space="preserve">implemented and </w:t>
      </w:r>
      <w:r w:rsidR="00195786" w:rsidRPr="00CC2CF5">
        <w:rPr>
          <w:rFonts w:cs="Arial"/>
          <w:szCs w:val="24"/>
          <w:lang w:val="en-GB"/>
        </w:rPr>
        <w:t>effected by invoking a regulation for instance, which is not the respondents’ case, even in that regard the regulation would not be able to introduce a substantive requirement</w:t>
      </w:r>
      <w:r w:rsidR="00F82FFE" w:rsidRPr="00CC2CF5">
        <w:rPr>
          <w:rFonts w:cs="Arial"/>
          <w:szCs w:val="24"/>
          <w:lang w:val="en-GB"/>
        </w:rPr>
        <w:t>,</w:t>
      </w:r>
      <w:r w:rsidR="00195786" w:rsidRPr="00CC2CF5">
        <w:rPr>
          <w:rFonts w:cs="Arial"/>
          <w:szCs w:val="24"/>
          <w:lang w:val="en-GB"/>
        </w:rPr>
        <w:t xml:space="preserve"> that</w:t>
      </w:r>
      <w:r w:rsidR="00F82FFE" w:rsidRPr="00CC2CF5">
        <w:rPr>
          <w:rFonts w:cs="Arial"/>
          <w:szCs w:val="24"/>
          <w:lang w:val="en-GB"/>
        </w:rPr>
        <w:t xml:space="preserve"> may only be so introduced if it </w:t>
      </w:r>
      <w:r w:rsidR="00195786" w:rsidRPr="00CC2CF5">
        <w:rPr>
          <w:rFonts w:cs="Arial"/>
          <w:szCs w:val="24"/>
          <w:lang w:val="en-GB"/>
        </w:rPr>
        <w:t>cannot be sourced in the statute</w:t>
      </w:r>
      <w:r w:rsidR="00195786" w:rsidRPr="00961D21">
        <w:rPr>
          <w:rStyle w:val="FootnoteReference"/>
          <w:rFonts w:cs="Arial"/>
          <w:szCs w:val="24"/>
          <w:lang w:val="en-GB"/>
        </w:rPr>
        <w:footnoteReference w:id="8"/>
      </w:r>
      <w:r w:rsidR="00195786" w:rsidRPr="00CC2CF5">
        <w:rPr>
          <w:rFonts w:cs="Arial"/>
          <w:szCs w:val="24"/>
          <w:lang w:val="en-GB"/>
        </w:rPr>
        <w:t>.</w:t>
      </w:r>
    </w:p>
    <w:p w14:paraId="666E957E" w14:textId="46592C6F" w:rsidR="00243DB9"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lastRenderedPageBreak/>
        <w:t>44.</w:t>
      </w:r>
      <w:r w:rsidRPr="00961D21">
        <w:rPr>
          <w:rFonts w:cs="Arial"/>
          <w:w w:val="99"/>
          <w:szCs w:val="24"/>
        </w:rPr>
        <w:tab/>
      </w:r>
      <w:r w:rsidR="00195786" w:rsidRPr="00CC2CF5">
        <w:rPr>
          <w:rFonts w:cs="Arial"/>
          <w:szCs w:val="24"/>
          <w:lang w:val="en-GB"/>
        </w:rPr>
        <w:t>In the Abraham</w:t>
      </w:r>
      <w:r w:rsidR="00195786" w:rsidRPr="00961D21">
        <w:rPr>
          <w:rStyle w:val="FootnoteReference"/>
          <w:rFonts w:cs="Arial"/>
          <w:szCs w:val="24"/>
          <w:lang w:val="en-GB"/>
        </w:rPr>
        <w:footnoteReference w:id="9"/>
      </w:r>
      <w:r w:rsidR="00195786" w:rsidRPr="00CC2CF5">
        <w:rPr>
          <w:rFonts w:cs="Arial"/>
          <w:szCs w:val="24"/>
          <w:lang w:val="en-GB"/>
        </w:rPr>
        <w:t xml:space="preserve"> matter, reference was made to the court </w:t>
      </w:r>
      <w:r w:rsidR="00195786" w:rsidRPr="00CC2CF5">
        <w:rPr>
          <w:rFonts w:cs="Arial"/>
          <w:i/>
          <w:iCs/>
          <w:szCs w:val="24"/>
          <w:lang w:val="en-GB"/>
        </w:rPr>
        <w:t>a quo</w:t>
      </w:r>
      <w:r w:rsidR="00195786" w:rsidRPr="00CC2CF5">
        <w:rPr>
          <w:rFonts w:cs="Arial"/>
          <w:szCs w:val="24"/>
          <w:lang w:val="en-GB"/>
        </w:rPr>
        <w:t xml:space="preserve"> in that matter incorrectly relying on the interpretation of regulations providing immigration officers with certain procedural rights to block the application of asylum seekers in terms of the regulations</w:t>
      </w:r>
      <w:r w:rsidR="00BB677C" w:rsidRPr="00CC2CF5">
        <w:rPr>
          <w:rFonts w:cs="Arial"/>
          <w:szCs w:val="24"/>
          <w:lang w:val="en-GB"/>
        </w:rPr>
        <w:t xml:space="preserve"> empowered by </w:t>
      </w:r>
      <w:r w:rsidR="00195786" w:rsidRPr="00CC2CF5">
        <w:rPr>
          <w:rFonts w:cs="Arial"/>
          <w:szCs w:val="24"/>
          <w:lang w:val="en-GB"/>
        </w:rPr>
        <w:t>the Immigration Act.  Specific reference</w:t>
      </w:r>
      <w:r w:rsidR="00BB677C" w:rsidRPr="00CC2CF5">
        <w:rPr>
          <w:rFonts w:cs="Arial"/>
          <w:szCs w:val="24"/>
          <w:lang w:val="en-GB"/>
        </w:rPr>
        <w:t xml:space="preserve"> is</w:t>
      </w:r>
      <w:r w:rsidR="00195786" w:rsidRPr="00CC2CF5">
        <w:rPr>
          <w:rFonts w:cs="Arial"/>
          <w:szCs w:val="24"/>
          <w:lang w:val="en-GB"/>
        </w:rPr>
        <w:t xml:space="preserve"> made to paragraphs [28] to [33] of that judgment, which form</w:t>
      </w:r>
      <w:r w:rsidR="00BB677C" w:rsidRPr="00CC2CF5">
        <w:rPr>
          <w:rFonts w:cs="Arial"/>
          <w:szCs w:val="24"/>
          <w:lang w:val="en-GB"/>
        </w:rPr>
        <w:t>ed</w:t>
      </w:r>
      <w:r w:rsidR="00195786" w:rsidRPr="00CC2CF5">
        <w:rPr>
          <w:rFonts w:cs="Arial"/>
          <w:szCs w:val="24"/>
          <w:lang w:val="en-GB"/>
        </w:rPr>
        <w:t xml:space="preserve"> the basis of the finding that the respondents’ officials in that matter interpreted and invoked the regulation to block incorrectly.</w:t>
      </w:r>
    </w:p>
    <w:p w14:paraId="4A586C65" w14:textId="18F4A39C" w:rsidR="00243DB9"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45.</w:t>
      </w:r>
      <w:r w:rsidRPr="00961D21">
        <w:rPr>
          <w:rFonts w:cs="Arial"/>
          <w:w w:val="99"/>
          <w:szCs w:val="24"/>
        </w:rPr>
        <w:tab/>
      </w:r>
      <w:r w:rsidR="00195786" w:rsidRPr="00CC2CF5">
        <w:rPr>
          <w:rFonts w:cs="Arial"/>
          <w:i/>
          <w:iCs/>
          <w:szCs w:val="24"/>
          <w:lang w:val="en-GB"/>
        </w:rPr>
        <w:t>In</w:t>
      </w:r>
      <w:r w:rsidR="00195786" w:rsidRPr="00CC2CF5">
        <w:rPr>
          <w:rFonts w:cs="Arial"/>
          <w:szCs w:val="24"/>
          <w:lang w:val="en-GB"/>
        </w:rPr>
        <w:t xml:space="preserve"> </w:t>
      </w:r>
      <w:r w:rsidR="00195786" w:rsidRPr="00CC2CF5">
        <w:rPr>
          <w:rFonts w:cs="Arial"/>
          <w:i/>
          <w:iCs/>
          <w:szCs w:val="24"/>
          <w:lang w:val="en-GB"/>
        </w:rPr>
        <w:t>casu</w:t>
      </w:r>
      <w:r w:rsidR="00195786" w:rsidRPr="00CC2CF5">
        <w:rPr>
          <w:rFonts w:cs="Arial"/>
          <w:szCs w:val="24"/>
          <w:lang w:val="en-GB"/>
        </w:rPr>
        <w:t>, the respondents fail to deal with the statutory basis of their decision.</w:t>
      </w:r>
    </w:p>
    <w:p w14:paraId="5A1C60FE" w14:textId="31CB27B2" w:rsidR="00243DB9"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46.</w:t>
      </w:r>
      <w:r w:rsidRPr="00961D21">
        <w:rPr>
          <w:rFonts w:cs="Arial"/>
          <w:w w:val="99"/>
          <w:szCs w:val="24"/>
        </w:rPr>
        <w:tab/>
      </w:r>
      <w:r w:rsidR="00195786" w:rsidRPr="00CC2CF5">
        <w:rPr>
          <w:rFonts w:cs="Arial"/>
          <w:szCs w:val="24"/>
          <w:lang w:val="en-GB"/>
        </w:rPr>
        <w:t xml:space="preserve">Whether the respondents </w:t>
      </w:r>
      <w:r w:rsidR="00C0622F" w:rsidRPr="00CC2CF5">
        <w:rPr>
          <w:rFonts w:cs="Arial"/>
          <w:szCs w:val="24"/>
          <w:lang w:val="en-GB"/>
        </w:rPr>
        <w:t>provided</w:t>
      </w:r>
      <w:r w:rsidR="00195786" w:rsidRPr="00CC2CF5">
        <w:rPr>
          <w:rFonts w:cs="Arial"/>
          <w:szCs w:val="24"/>
          <w:lang w:val="en-GB"/>
        </w:rPr>
        <w:t xml:space="preserve"> a cogent response or defence </w:t>
      </w:r>
      <w:r w:rsidR="00195786" w:rsidRPr="00CC2CF5">
        <w:rPr>
          <w:rFonts w:cs="Arial"/>
          <w:i/>
          <w:iCs/>
          <w:szCs w:val="24"/>
          <w:lang w:val="en-GB"/>
        </w:rPr>
        <w:t>in</w:t>
      </w:r>
      <w:r w:rsidR="00195786" w:rsidRPr="00CC2CF5">
        <w:rPr>
          <w:rFonts w:cs="Arial"/>
          <w:szCs w:val="24"/>
          <w:lang w:val="en-GB"/>
        </w:rPr>
        <w:t xml:space="preserve"> </w:t>
      </w:r>
      <w:r w:rsidR="00195786" w:rsidRPr="00CC2CF5">
        <w:rPr>
          <w:rFonts w:cs="Arial"/>
          <w:i/>
          <w:iCs/>
          <w:szCs w:val="24"/>
          <w:lang w:val="en-GB"/>
        </w:rPr>
        <w:t>casu</w:t>
      </w:r>
      <w:r w:rsidR="00195786" w:rsidRPr="00CC2CF5">
        <w:rPr>
          <w:rFonts w:cs="Arial"/>
          <w:szCs w:val="24"/>
          <w:lang w:val="en-GB"/>
        </w:rPr>
        <w:t xml:space="preserve">, has not been proved on the probabilities, wherefore this court referred to the concession correctly made on behalf of the respondents that this matter should be decided in favour of the applicants. This </w:t>
      </w:r>
      <w:r w:rsidR="00C0622F" w:rsidRPr="00CC2CF5">
        <w:rPr>
          <w:rFonts w:cs="Arial"/>
          <w:szCs w:val="24"/>
          <w:lang w:val="en-GB"/>
        </w:rPr>
        <w:t xml:space="preserve">principle and </w:t>
      </w:r>
      <w:r w:rsidR="00195786" w:rsidRPr="00CC2CF5">
        <w:rPr>
          <w:rFonts w:cs="Arial"/>
          <w:szCs w:val="24"/>
          <w:lang w:val="en-GB"/>
        </w:rPr>
        <w:t xml:space="preserve">aspect is confirmed in </w:t>
      </w:r>
      <w:r w:rsidR="00BB677C" w:rsidRPr="00CC2CF5">
        <w:rPr>
          <w:rFonts w:cs="Arial"/>
          <w:szCs w:val="24"/>
          <w:lang w:val="en-GB"/>
        </w:rPr>
        <w:t xml:space="preserve">another </w:t>
      </w:r>
      <w:r w:rsidR="00195786" w:rsidRPr="00CC2CF5">
        <w:rPr>
          <w:rFonts w:cs="Arial"/>
          <w:szCs w:val="24"/>
          <w:lang w:val="en-GB"/>
        </w:rPr>
        <w:t xml:space="preserve">decision by this court which </w:t>
      </w:r>
      <w:r w:rsidR="00BB677C" w:rsidRPr="00CC2CF5">
        <w:rPr>
          <w:rFonts w:cs="Arial"/>
          <w:szCs w:val="24"/>
          <w:lang w:val="en-GB"/>
        </w:rPr>
        <w:t xml:space="preserve">also involved the same respondents, which </w:t>
      </w:r>
      <w:r w:rsidR="00195786" w:rsidRPr="00CC2CF5">
        <w:rPr>
          <w:rFonts w:cs="Arial"/>
          <w:szCs w:val="24"/>
          <w:lang w:val="en-GB"/>
        </w:rPr>
        <w:t>stated</w:t>
      </w:r>
      <w:r w:rsidR="00BB677C" w:rsidRPr="00CC2CF5">
        <w:rPr>
          <w:rFonts w:cs="Arial"/>
          <w:szCs w:val="24"/>
          <w:lang w:val="en-GB"/>
        </w:rPr>
        <w:t xml:space="preserve"> the following in that judgment</w:t>
      </w:r>
      <w:r w:rsidR="00195786" w:rsidRPr="00CC2CF5">
        <w:rPr>
          <w:rFonts w:cs="Arial"/>
          <w:szCs w:val="24"/>
          <w:lang w:val="en-GB"/>
        </w:rPr>
        <w:t>:</w:t>
      </w:r>
    </w:p>
    <w:p w14:paraId="3A3AFC5F" w14:textId="6732C463" w:rsidR="00243DB9" w:rsidRPr="00961D21" w:rsidRDefault="00195786" w:rsidP="00243DB9">
      <w:pPr>
        <w:pStyle w:val="ListParagraph"/>
        <w:spacing w:before="360" w:after="360" w:line="360" w:lineRule="auto"/>
        <w:ind w:left="1418" w:right="439"/>
        <w:rPr>
          <w:rFonts w:cs="Arial"/>
          <w:szCs w:val="24"/>
          <w:lang w:val="en-GB"/>
        </w:rPr>
      </w:pPr>
      <w:r w:rsidRPr="00961D21">
        <w:rPr>
          <w:rFonts w:cs="Arial"/>
          <w:szCs w:val="24"/>
          <w:lang w:val="en-GB"/>
        </w:rPr>
        <w:t>“</w:t>
      </w:r>
      <w:r w:rsidRPr="00961D21">
        <w:rPr>
          <w:rFonts w:cs="Arial"/>
          <w:i/>
          <w:iCs/>
          <w:szCs w:val="24"/>
          <w:lang w:val="en-GB"/>
        </w:rPr>
        <w:t xml:space="preserve">a bare denial will rarely, if ever, be sufficient to place a fact in dispute if the disputing party has the knowledge necessary to show that the relevant fact is untrue (Wightman </w:t>
      </w:r>
      <w:r w:rsidRPr="00961D21">
        <w:rPr>
          <w:rFonts w:cs="Arial"/>
          <w:i/>
          <w:iCs/>
          <w:color w:val="000000" w:themeColor="text1"/>
          <w:szCs w:val="24"/>
          <w:lang w:val="en-GB"/>
        </w:rPr>
        <w:t xml:space="preserve">t/a JW Construction v </w:t>
      </w:r>
      <w:r w:rsidRPr="00961D21">
        <w:rPr>
          <w:rFonts w:cs="Arial"/>
          <w:bCs/>
          <w:i/>
          <w:iCs/>
          <w:color w:val="000000" w:themeColor="text1"/>
          <w:szCs w:val="24"/>
          <w:lang w:val="en-GB"/>
        </w:rPr>
        <w:t>Headfour (Pty) Ltd and Another 2008 (3) SA 371 (SCA) para 13).</w:t>
      </w:r>
      <w:r w:rsidRPr="00961D21">
        <w:rPr>
          <w:rFonts w:cs="Arial"/>
          <w:i/>
          <w:iCs/>
          <w:color w:val="000000" w:themeColor="text1"/>
          <w:szCs w:val="24"/>
          <w:lang w:val="en-GB"/>
        </w:rPr>
        <w:t xml:space="preserve"> I must accept that, as a custodian of the national population register, the Director</w:t>
      </w:r>
      <w:r w:rsidR="00502A64" w:rsidRPr="00961D21">
        <w:rPr>
          <w:rFonts w:cs="Arial"/>
          <w:i/>
          <w:iCs/>
          <w:color w:val="000000" w:themeColor="text1"/>
          <w:szCs w:val="24"/>
          <w:lang w:val="en-GB"/>
        </w:rPr>
        <w:t>-</w:t>
      </w:r>
      <w:r w:rsidRPr="00961D21">
        <w:rPr>
          <w:rFonts w:cs="Arial"/>
          <w:i/>
          <w:iCs/>
          <w:color w:val="000000" w:themeColor="text1"/>
          <w:szCs w:val="24"/>
          <w:lang w:val="en-GB"/>
        </w:rPr>
        <w:t>General has access to the information necessary to substantiate a denial that Mr</w:t>
      </w:r>
      <w:r w:rsidR="00243DB9" w:rsidRPr="00961D21">
        <w:rPr>
          <w:rFonts w:cs="Arial"/>
          <w:i/>
          <w:iCs/>
          <w:color w:val="000000" w:themeColor="text1"/>
          <w:szCs w:val="24"/>
          <w:lang w:val="en-GB"/>
        </w:rPr>
        <w:t> </w:t>
      </w:r>
      <w:r w:rsidRPr="00961D21">
        <w:rPr>
          <w:rFonts w:cs="Arial"/>
          <w:i/>
          <w:iCs/>
          <w:color w:val="000000" w:themeColor="text1"/>
          <w:szCs w:val="24"/>
          <w:lang w:val="en-GB"/>
        </w:rPr>
        <w:t>Melaphi’s mother was a South African citizen.  The director general’s unsubstantiated denial is insufficient in these circumstances, to create a bona fide dispute of fact.”</w:t>
      </w:r>
      <w:r w:rsidRPr="00961D21">
        <w:rPr>
          <w:rStyle w:val="FootnoteReference"/>
          <w:rFonts w:cs="Arial"/>
          <w:color w:val="000000" w:themeColor="text1"/>
          <w:szCs w:val="24"/>
          <w:lang w:val="en-GB"/>
        </w:rPr>
        <w:footnoteReference w:id="10"/>
      </w:r>
    </w:p>
    <w:p w14:paraId="269296DB" w14:textId="0FA0F806" w:rsidR="00243DB9"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47.</w:t>
      </w:r>
      <w:r w:rsidRPr="00961D21">
        <w:rPr>
          <w:rFonts w:cs="Arial"/>
          <w:w w:val="99"/>
          <w:szCs w:val="24"/>
        </w:rPr>
        <w:tab/>
      </w:r>
      <w:r w:rsidR="00195786" w:rsidRPr="00CC2CF5">
        <w:rPr>
          <w:rFonts w:cs="Arial"/>
          <w:szCs w:val="24"/>
          <w:lang w:val="en-GB"/>
        </w:rPr>
        <w:t xml:space="preserve">In that matter, the court went on to make a finding that Mr Melaphi acquired South African citizenship by birth, for </w:t>
      </w:r>
      <w:r w:rsidR="00035E00" w:rsidRPr="00CC2CF5">
        <w:rPr>
          <w:rFonts w:cs="Arial"/>
          <w:szCs w:val="24"/>
          <w:lang w:val="en-GB"/>
        </w:rPr>
        <w:t xml:space="preserve">the </w:t>
      </w:r>
      <w:r w:rsidR="00195786" w:rsidRPr="00CC2CF5">
        <w:rPr>
          <w:rFonts w:cs="Arial"/>
          <w:szCs w:val="24"/>
          <w:lang w:val="en-GB"/>
        </w:rPr>
        <w:t xml:space="preserve">purpose of issuing a death certificate on application and for the benefit of beneficiaries in litigation </w:t>
      </w:r>
      <w:r w:rsidR="00195786" w:rsidRPr="00CC2CF5">
        <w:rPr>
          <w:rFonts w:cs="Arial"/>
          <w:szCs w:val="24"/>
          <w:lang w:val="en-GB"/>
        </w:rPr>
        <w:lastRenderedPageBreak/>
        <w:t>pertaining to the</w:t>
      </w:r>
      <w:r w:rsidR="00BB677C" w:rsidRPr="00CC2CF5">
        <w:rPr>
          <w:rFonts w:cs="Arial"/>
          <w:szCs w:val="24"/>
          <w:lang w:val="en-GB"/>
        </w:rPr>
        <w:t xml:space="preserve"> deceased estate </w:t>
      </w:r>
      <w:r w:rsidR="00195786" w:rsidRPr="00CC2CF5">
        <w:rPr>
          <w:rFonts w:cs="Arial"/>
          <w:szCs w:val="24"/>
          <w:lang w:val="en-GB"/>
        </w:rPr>
        <w:t>of Mr Melaphi.</w:t>
      </w:r>
    </w:p>
    <w:p w14:paraId="4883914B" w14:textId="5B6D43B9" w:rsidR="00243DB9"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48.</w:t>
      </w:r>
      <w:r w:rsidRPr="00961D21">
        <w:rPr>
          <w:rFonts w:cs="Arial"/>
          <w:w w:val="99"/>
          <w:szCs w:val="24"/>
        </w:rPr>
        <w:tab/>
      </w:r>
      <w:r w:rsidR="00195786" w:rsidRPr="00CC2CF5">
        <w:rPr>
          <w:rFonts w:cs="Arial"/>
          <w:i/>
          <w:iCs/>
          <w:szCs w:val="24"/>
          <w:lang w:val="en-GB"/>
        </w:rPr>
        <w:t>In</w:t>
      </w:r>
      <w:r w:rsidR="00195786" w:rsidRPr="00CC2CF5">
        <w:rPr>
          <w:rFonts w:cs="Arial"/>
          <w:szCs w:val="24"/>
          <w:lang w:val="en-GB"/>
        </w:rPr>
        <w:t xml:space="preserve"> </w:t>
      </w:r>
      <w:r w:rsidR="00195786" w:rsidRPr="00CC2CF5">
        <w:rPr>
          <w:rFonts w:cs="Arial"/>
          <w:i/>
          <w:iCs/>
          <w:szCs w:val="24"/>
          <w:lang w:val="en-GB"/>
        </w:rPr>
        <w:t>casu</w:t>
      </w:r>
      <w:r w:rsidR="00195786" w:rsidRPr="00CC2CF5">
        <w:rPr>
          <w:rFonts w:cs="Arial"/>
          <w:szCs w:val="24"/>
          <w:lang w:val="en-GB"/>
        </w:rPr>
        <w:t xml:space="preserve">, the version by the respondents cannot </w:t>
      </w:r>
      <w:r w:rsidR="00BB677C" w:rsidRPr="00CC2CF5">
        <w:rPr>
          <w:rFonts w:cs="Arial"/>
          <w:szCs w:val="24"/>
          <w:lang w:val="en-GB"/>
        </w:rPr>
        <w:t xml:space="preserve">and does not </w:t>
      </w:r>
      <w:r w:rsidR="00195786" w:rsidRPr="00CC2CF5">
        <w:rPr>
          <w:rFonts w:cs="Arial"/>
          <w:szCs w:val="24"/>
          <w:lang w:val="en-GB"/>
        </w:rPr>
        <w:t xml:space="preserve">rise to any form of defence, as already </w:t>
      </w:r>
      <w:r w:rsidR="00C0622F" w:rsidRPr="00CC2CF5">
        <w:rPr>
          <w:rFonts w:cs="Arial"/>
          <w:szCs w:val="24"/>
          <w:lang w:val="en-GB"/>
        </w:rPr>
        <w:t>conceded,</w:t>
      </w:r>
      <w:r w:rsidR="00195786" w:rsidRPr="00CC2CF5">
        <w:rPr>
          <w:rFonts w:cs="Arial"/>
          <w:szCs w:val="24"/>
          <w:lang w:val="en-GB"/>
        </w:rPr>
        <w:t xml:space="preserve"> and referred to above. Put differently, no dispute exists on the papers. No information to assist this court in adjudicating this matter has been submitted, neither under oath nor </w:t>
      </w:r>
      <w:r w:rsidR="003B23E5" w:rsidRPr="00CC2CF5">
        <w:rPr>
          <w:rFonts w:cs="Arial"/>
          <w:szCs w:val="24"/>
          <w:lang w:val="en-GB"/>
        </w:rPr>
        <w:t xml:space="preserve">as part of </w:t>
      </w:r>
      <w:r w:rsidR="00195786" w:rsidRPr="00CC2CF5">
        <w:rPr>
          <w:rFonts w:cs="Arial"/>
          <w:szCs w:val="24"/>
          <w:lang w:val="en-GB"/>
        </w:rPr>
        <w:t>the record provided as requested in terms of Uniform Rule 53. In fact, references in the respondents’ records to aspects such as “</w:t>
      </w:r>
      <w:r w:rsidR="00195786" w:rsidRPr="00CC2CF5">
        <w:rPr>
          <w:rFonts w:cs="Arial"/>
          <w:i/>
          <w:iCs/>
          <w:szCs w:val="24"/>
          <w:lang w:val="en-GB"/>
        </w:rPr>
        <w:t>Just any information that will assist to oppose the matter</w:t>
      </w:r>
      <w:r w:rsidR="003B23E5" w:rsidRPr="003B23E5">
        <w:rPr>
          <w:rStyle w:val="FootnoteReference"/>
          <w:rFonts w:cs="Arial"/>
          <w:szCs w:val="24"/>
          <w:lang w:val="en-GB"/>
        </w:rPr>
        <w:footnoteReference w:id="11"/>
      </w:r>
      <w:r w:rsidR="00195786" w:rsidRPr="00CC2CF5">
        <w:rPr>
          <w:rFonts w:cs="Arial"/>
          <w:szCs w:val="24"/>
          <w:lang w:val="en-GB"/>
        </w:rPr>
        <w:t xml:space="preserve"> </w:t>
      </w:r>
      <w:r w:rsidR="00195786" w:rsidRPr="00CC2CF5">
        <w:rPr>
          <w:rFonts w:cs="Arial"/>
          <w:i/>
          <w:iCs/>
          <w:szCs w:val="24"/>
          <w:lang w:val="en-GB"/>
        </w:rPr>
        <w:t>…</w:t>
      </w:r>
      <w:r w:rsidR="00195786" w:rsidRPr="00CC2CF5">
        <w:rPr>
          <w:rFonts w:cs="Arial"/>
          <w:szCs w:val="24"/>
          <w:lang w:val="en-GB"/>
        </w:rPr>
        <w:t>” and “</w:t>
      </w:r>
      <w:r w:rsidR="00195786" w:rsidRPr="00CC2CF5">
        <w:rPr>
          <w:rFonts w:cs="Arial"/>
          <w:i/>
          <w:iCs/>
          <w:szCs w:val="24"/>
          <w:lang w:val="en-GB"/>
        </w:rPr>
        <w:t>how did the applicant obtained citizenship…</w:t>
      </w:r>
      <w:r w:rsidR="00195786" w:rsidRPr="00CC2CF5">
        <w:rPr>
          <w:rFonts w:cs="Arial"/>
          <w:szCs w:val="24"/>
          <w:lang w:val="en-GB"/>
        </w:rPr>
        <w:t>”</w:t>
      </w:r>
      <w:r w:rsidR="003B23E5">
        <w:rPr>
          <w:rStyle w:val="FootnoteReference"/>
          <w:rFonts w:cs="Arial"/>
          <w:szCs w:val="24"/>
          <w:lang w:val="en-GB"/>
        </w:rPr>
        <w:footnoteReference w:id="12"/>
      </w:r>
      <w:r w:rsidR="00195786" w:rsidRPr="00CC2CF5">
        <w:rPr>
          <w:rFonts w:cs="Arial"/>
          <w:szCs w:val="24"/>
          <w:lang w:val="en-GB"/>
        </w:rPr>
        <w:t xml:space="preserve"> does little to assist this court in finding whether the </w:t>
      </w:r>
      <w:r w:rsidR="003B23E5" w:rsidRPr="00CC2CF5">
        <w:rPr>
          <w:rFonts w:cs="Arial"/>
          <w:szCs w:val="24"/>
          <w:lang w:val="en-GB"/>
        </w:rPr>
        <w:t xml:space="preserve">decision to block and </w:t>
      </w:r>
      <w:r w:rsidR="00195786" w:rsidRPr="00CC2CF5">
        <w:rPr>
          <w:rFonts w:cs="Arial"/>
          <w:szCs w:val="24"/>
          <w:lang w:val="en-GB"/>
        </w:rPr>
        <w:t xml:space="preserve">conduct of the respondents </w:t>
      </w:r>
      <w:r w:rsidR="00272319" w:rsidRPr="00CC2CF5">
        <w:rPr>
          <w:rFonts w:cs="Arial"/>
          <w:szCs w:val="24"/>
          <w:lang w:val="en-GB"/>
        </w:rPr>
        <w:t>was</w:t>
      </w:r>
      <w:r w:rsidR="00195786" w:rsidRPr="00CC2CF5">
        <w:rPr>
          <w:rFonts w:cs="Arial"/>
          <w:szCs w:val="24"/>
          <w:lang w:val="en-GB"/>
        </w:rPr>
        <w:t xml:space="preserve"> just in the context of this matter. </w:t>
      </w:r>
    </w:p>
    <w:p w14:paraId="765CC6C8" w14:textId="10CAA6CD" w:rsidR="00243DB9"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49.</w:t>
      </w:r>
      <w:r w:rsidRPr="00961D21">
        <w:rPr>
          <w:rFonts w:cs="Arial"/>
          <w:w w:val="99"/>
          <w:szCs w:val="24"/>
        </w:rPr>
        <w:tab/>
      </w:r>
      <w:r w:rsidR="00195786" w:rsidRPr="00CC2CF5">
        <w:rPr>
          <w:rFonts w:cs="Arial"/>
          <w:szCs w:val="24"/>
          <w:lang w:val="en-GB"/>
        </w:rPr>
        <w:t>Conversely, the applicants attempted on various occasions to explain the</w:t>
      </w:r>
      <w:r w:rsidR="003B23E5" w:rsidRPr="00CC2CF5">
        <w:rPr>
          <w:rFonts w:cs="Arial"/>
          <w:szCs w:val="24"/>
          <w:lang w:val="en-GB"/>
        </w:rPr>
        <w:t xml:space="preserve">ir </w:t>
      </w:r>
      <w:r w:rsidR="00195786" w:rsidRPr="00CC2CF5">
        <w:rPr>
          <w:rFonts w:cs="Arial"/>
          <w:szCs w:val="24"/>
          <w:lang w:val="en-GB"/>
        </w:rPr>
        <w:t xml:space="preserve">predicament to the respondents which </w:t>
      </w:r>
      <w:r w:rsidR="00272319" w:rsidRPr="00CC2CF5">
        <w:rPr>
          <w:rFonts w:cs="Arial"/>
          <w:szCs w:val="24"/>
          <w:lang w:val="en-GB"/>
        </w:rPr>
        <w:t>have</w:t>
      </w:r>
      <w:r w:rsidR="00195786" w:rsidRPr="00CC2CF5">
        <w:rPr>
          <w:rFonts w:cs="Arial"/>
          <w:szCs w:val="24"/>
          <w:lang w:val="en-GB"/>
        </w:rPr>
        <w:t xml:space="preserve"> seemingly gone unnoticed, alternatively the respondents were unresponsive to their pleas</w:t>
      </w:r>
      <w:r w:rsidR="00195786" w:rsidRPr="00961D21">
        <w:rPr>
          <w:rStyle w:val="FootnoteReference"/>
          <w:rFonts w:cs="Arial"/>
          <w:szCs w:val="24"/>
          <w:lang w:val="en-GB"/>
        </w:rPr>
        <w:footnoteReference w:id="13"/>
      </w:r>
      <w:r w:rsidR="00195786" w:rsidRPr="00CC2CF5">
        <w:rPr>
          <w:rFonts w:cs="Arial"/>
          <w:szCs w:val="24"/>
          <w:lang w:val="en-GB"/>
        </w:rPr>
        <w:t>.</w:t>
      </w:r>
    </w:p>
    <w:p w14:paraId="7DCB4645" w14:textId="7259AE29" w:rsidR="00243DB9" w:rsidRPr="00CC2CF5" w:rsidRDefault="00CC2CF5" w:rsidP="00CC2CF5">
      <w:pPr>
        <w:tabs>
          <w:tab w:val="left" w:pos="861"/>
        </w:tabs>
        <w:spacing w:before="360" w:after="360" w:line="360" w:lineRule="auto"/>
        <w:ind w:left="851" w:right="439" w:hanging="851"/>
        <w:rPr>
          <w:rFonts w:cs="Arial"/>
          <w:szCs w:val="24"/>
          <w:lang w:val="en-GB"/>
        </w:rPr>
      </w:pPr>
      <w:r>
        <w:rPr>
          <w:rFonts w:cs="Arial"/>
          <w:w w:val="99"/>
          <w:szCs w:val="24"/>
        </w:rPr>
        <w:t>50.</w:t>
      </w:r>
      <w:r>
        <w:rPr>
          <w:rFonts w:cs="Arial"/>
          <w:w w:val="99"/>
          <w:szCs w:val="24"/>
        </w:rPr>
        <w:tab/>
      </w:r>
      <w:r w:rsidR="00195786" w:rsidRPr="00CC2CF5">
        <w:rPr>
          <w:rFonts w:cs="Arial"/>
          <w:i/>
          <w:iCs/>
          <w:szCs w:val="24"/>
          <w:lang w:val="en-GB"/>
        </w:rPr>
        <w:t>In</w:t>
      </w:r>
      <w:r w:rsidR="00195786" w:rsidRPr="00CC2CF5">
        <w:rPr>
          <w:rFonts w:cs="Arial"/>
          <w:szCs w:val="24"/>
          <w:lang w:val="en-GB"/>
        </w:rPr>
        <w:t xml:space="preserve"> </w:t>
      </w:r>
      <w:r w:rsidR="00195786" w:rsidRPr="00CC2CF5">
        <w:rPr>
          <w:rFonts w:cs="Arial"/>
          <w:i/>
          <w:iCs/>
          <w:szCs w:val="24"/>
          <w:lang w:val="en-GB"/>
        </w:rPr>
        <w:t>casu</w:t>
      </w:r>
      <w:r w:rsidR="00195786" w:rsidRPr="00CC2CF5">
        <w:rPr>
          <w:rFonts w:cs="Arial"/>
          <w:szCs w:val="24"/>
          <w:lang w:val="en-GB"/>
        </w:rPr>
        <w:t xml:space="preserve">, the court </w:t>
      </w:r>
      <w:r w:rsidR="00035E00" w:rsidRPr="00CC2CF5">
        <w:rPr>
          <w:rFonts w:cs="Arial"/>
          <w:szCs w:val="24"/>
          <w:lang w:val="en-GB"/>
        </w:rPr>
        <w:t xml:space="preserve">accept </w:t>
      </w:r>
      <w:r w:rsidR="00195786" w:rsidRPr="00CC2CF5">
        <w:rPr>
          <w:rFonts w:cs="Arial"/>
          <w:szCs w:val="24"/>
          <w:lang w:val="en-GB"/>
        </w:rPr>
        <w:t xml:space="preserve">that the three applicants were issued with identification numbers, </w:t>
      </w:r>
      <w:r w:rsidR="00C0622F" w:rsidRPr="00CC2CF5">
        <w:rPr>
          <w:rFonts w:cs="Arial"/>
          <w:szCs w:val="24"/>
          <w:lang w:val="en-GB"/>
        </w:rPr>
        <w:t>documents,</w:t>
      </w:r>
      <w:r w:rsidR="00195786" w:rsidRPr="00CC2CF5">
        <w:rPr>
          <w:rFonts w:cs="Arial"/>
          <w:szCs w:val="24"/>
          <w:lang w:val="en-GB"/>
        </w:rPr>
        <w:t xml:space="preserve"> and cards by the respondents in terms of the Citizenship Act, read with the Identification Act.  The court finds that the Immigration Act does not apply </w:t>
      </w:r>
      <w:r w:rsidR="00195786" w:rsidRPr="00CC2CF5">
        <w:rPr>
          <w:rFonts w:cs="Arial"/>
          <w:i/>
          <w:iCs/>
          <w:szCs w:val="24"/>
          <w:lang w:val="en-GB"/>
        </w:rPr>
        <w:t>in</w:t>
      </w:r>
      <w:r w:rsidR="00195786" w:rsidRPr="00CC2CF5">
        <w:rPr>
          <w:rFonts w:cs="Arial"/>
          <w:szCs w:val="24"/>
          <w:lang w:val="en-GB"/>
        </w:rPr>
        <w:t xml:space="preserve"> </w:t>
      </w:r>
      <w:r w:rsidR="00195786" w:rsidRPr="00CC2CF5">
        <w:rPr>
          <w:rFonts w:cs="Arial"/>
          <w:i/>
          <w:iCs/>
          <w:szCs w:val="24"/>
          <w:lang w:val="en-GB"/>
        </w:rPr>
        <w:t>casu</w:t>
      </w:r>
      <w:r w:rsidR="00195786" w:rsidRPr="00CC2CF5">
        <w:rPr>
          <w:rFonts w:cs="Arial"/>
          <w:szCs w:val="24"/>
          <w:lang w:val="en-GB"/>
        </w:rPr>
        <w:t xml:space="preserve">. Hereafter, the fact that the twins were born in South Africa of their parents holding identification documents at the time of their birth in 2003 allowed them to become valid South African citizens and the holders of identification cards in terms of the respective </w:t>
      </w:r>
      <w:r w:rsidR="00390654" w:rsidRPr="00CC2CF5">
        <w:rPr>
          <w:rFonts w:cs="Arial"/>
          <w:szCs w:val="24"/>
          <w:lang w:val="en-GB"/>
        </w:rPr>
        <w:t xml:space="preserve">Acts </w:t>
      </w:r>
      <w:r w:rsidR="00195786" w:rsidRPr="00CC2CF5">
        <w:rPr>
          <w:rFonts w:cs="Arial"/>
          <w:szCs w:val="24"/>
          <w:lang w:val="en-GB"/>
        </w:rPr>
        <w:t>referred to above. In all the circumstances, the court finds that the applicants are entitled to the relief sought.</w:t>
      </w:r>
    </w:p>
    <w:p w14:paraId="49F0EDDF" w14:textId="2994A693" w:rsidR="00390654"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51.</w:t>
      </w:r>
      <w:r w:rsidRPr="00961D21">
        <w:rPr>
          <w:rFonts w:cs="Arial"/>
          <w:w w:val="99"/>
          <w:szCs w:val="24"/>
        </w:rPr>
        <w:tab/>
      </w:r>
      <w:r w:rsidR="00390654" w:rsidRPr="00CC2CF5">
        <w:rPr>
          <w:rFonts w:cs="Arial"/>
          <w:szCs w:val="24"/>
          <w:lang w:val="en-GB"/>
        </w:rPr>
        <w:t xml:space="preserve">Further confirmation of this finding is contained in </w:t>
      </w:r>
      <w:r w:rsidR="00C8320A" w:rsidRPr="00CC2CF5">
        <w:rPr>
          <w:rFonts w:cs="Arial"/>
          <w:szCs w:val="24"/>
          <w:lang w:val="en-GB"/>
        </w:rPr>
        <w:t xml:space="preserve">the </w:t>
      </w:r>
      <w:r w:rsidR="00390654" w:rsidRPr="00CC2CF5">
        <w:rPr>
          <w:rFonts w:cs="Arial"/>
          <w:szCs w:val="24"/>
          <w:lang w:val="en-GB"/>
        </w:rPr>
        <w:t>records of the respondents who stated that the second applicant’s SA citizenship was verified</w:t>
      </w:r>
      <w:r w:rsidR="00390654">
        <w:rPr>
          <w:rStyle w:val="FootnoteReference"/>
          <w:rFonts w:cs="Arial"/>
          <w:szCs w:val="24"/>
          <w:lang w:val="en-GB"/>
        </w:rPr>
        <w:footnoteReference w:id="14"/>
      </w:r>
      <w:r w:rsidR="00390654" w:rsidRPr="00CC2CF5">
        <w:rPr>
          <w:rFonts w:cs="Arial"/>
          <w:szCs w:val="24"/>
          <w:lang w:val="en-GB"/>
        </w:rPr>
        <w:t>.</w:t>
      </w:r>
      <w:r w:rsidR="00F62F70" w:rsidRPr="00CC2CF5">
        <w:rPr>
          <w:rFonts w:cs="Arial"/>
          <w:szCs w:val="24"/>
          <w:lang w:val="en-GB"/>
        </w:rPr>
        <w:t xml:space="preserve"> Regrettably, it remains unexplained why after the respondents </w:t>
      </w:r>
      <w:r w:rsidR="00F62F70" w:rsidRPr="00CC2CF5">
        <w:rPr>
          <w:rFonts w:cs="Arial"/>
          <w:szCs w:val="24"/>
          <w:lang w:val="en-GB"/>
        </w:rPr>
        <w:lastRenderedPageBreak/>
        <w:t>“</w:t>
      </w:r>
      <w:r w:rsidR="00F62F70" w:rsidRPr="00CC2CF5">
        <w:rPr>
          <w:rFonts w:cs="Arial"/>
          <w:i/>
          <w:iCs/>
          <w:szCs w:val="24"/>
          <w:lang w:val="en-GB"/>
        </w:rPr>
        <w:t>verified and confirmed</w:t>
      </w:r>
      <w:r w:rsidR="00F62F70" w:rsidRPr="00CC2CF5">
        <w:rPr>
          <w:rFonts w:cs="Arial"/>
          <w:szCs w:val="24"/>
          <w:lang w:val="en-GB"/>
        </w:rPr>
        <w:t>” the second applicant’s citizenship in 2005 decided to “</w:t>
      </w:r>
      <w:r w:rsidR="00F62F70" w:rsidRPr="00CC2CF5">
        <w:rPr>
          <w:rFonts w:cs="Arial"/>
          <w:i/>
          <w:iCs/>
          <w:szCs w:val="24"/>
          <w:lang w:val="en-GB"/>
        </w:rPr>
        <w:t>delete</w:t>
      </w:r>
      <w:r w:rsidR="00F62F70" w:rsidRPr="00CC2CF5">
        <w:rPr>
          <w:rFonts w:cs="Arial"/>
          <w:szCs w:val="24"/>
          <w:lang w:val="en-GB"/>
        </w:rPr>
        <w:t>” his “</w:t>
      </w:r>
      <w:r w:rsidR="00F62F70" w:rsidRPr="00CC2CF5">
        <w:rPr>
          <w:rFonts w:cs="Arial"/>
          <w:i/>
          <w:iCs/>
          <w:szCs w:val="24"/>
          <w:lang w:val="en-GB"/>
        </w:rPr>
        <w:t>passport</w:t>
      </w:r>
      <w:r w:rsidR="00F62F70" w:rsidRPr="00CC2CF5">
        <w:rPr>
          <w:rFonts w:cs="Arial"/>
          <w:szCs w:val="24"/>
          <w:lang w:val="en-GB"/>
        </w:rPr>
        <w:t>” in 2007 and declared him an “</w:t>
      </w:r>
      <w:r w:rsidR="00F62F70" w:rsidRPr="00CC2CF5">
        <w:rPr>
          <w:rFonts w:cs="Arial"/>
          <w:i/>
          <w:iCs/>
          <w:szCs w:val="24"/>
          <w:lang w:val="en-GB"/>
        </w:rPr>
        <w:t>illegal immigrant</w:t>
      </w:r>
      <w:r w:rsidR="00F62F70" w:rsidRPr="00CC2CF5">
        <w:rPr>
          <w:rFonts w:cs="Arial"/>
          <w:szCs w:val="24"/>
          <w:lang w:val="en-GB"/>
        </w:rPr>
        <w:t>”.</w:t>
      </w:r>
    </w:p>
    <w:p w14:paraId="4654CCF7" w14:textId="14F6CF86" w:rsidR="00F62F70" w:rsidRPr="00CC2CF5" w:rsidRDefault="00CC2CF5" w:rsidP="00CC2CF5">
      <w:pPr>
        <w:tabs>
          <w:tab w:val="left" w:pos="861"/>
        </w:tabs>
        <w:spacing w:before="360" w:after="360" w:line="360" w:lineRule="auto"/>
        <w:ind w:left="851" w:right="439" w:hanging="851"/>
        <w:rPr>
          <w:rFonts w:cs="Arial"/>
          <w:szCs w:val="24"/>
          <w:lang w:val="en-GB"/>
        </w:rPr>
      </w:pPr>
      <w:r>
        <w:rPr>
          <w:rFonts w:cs="Arial"/>
          <w:w w:val="99"/>
          <w:szCs w:val="24"/>
        </w:rPr>
        <w:t>52.</w:t>
      </w:r>
      <w:r>
        <w:rPr>
          <w:rFonts w:cs="Arial"/>
          <w:w w:val="99"/>
          <w:szCs w:val="24"/>
        </w:rPr>
        <w:tab/>
      </w:r>
      <w:r w:rsidR="00F62F70" w:rsidRPr="00CC2CF5">
        <w:rPr>
          <w:rFonts w:cs="Arial"/>
          <w:szCs w:val="24"/>
          <w:lang w:val="en-GB"/>
        </w:rPr>
        <w:t>T</w:t>
      </w:r>
      <w:r w:rsidR="00195786" w:rsidRPr="00CC2CF5">
        <w:rPr>
          <w:rFonts w:cs="Arial"/>
          <w:szCs w:val="24"/>
          <w:lang w:val="en-GB"/>
        </w:rPr>
        <w:t xml:space="preserve">his court does keep in mind the executive and administrative burdens of the </w:t>
      </w:r>
      <w:r w:rsidR="00C0622F" w:rsidRPr="00CC2CF5">
        <w:rPr>
          <w:rFonts w:cs="Arial"/>
          <w:szCs w:val="24"/>
          <w:lang w:val="en-GB"/>
        </w:rPr>
        <w:t>respondents and</w:t>
      </w:r>
      <w:r w:rsidR="00195786" w:rsidRPr="00CC2CF5">
        <w:rPr>
          <w:rFonts w:cs="Arial"/>
          <w:szCs w:val="24"/>
          <w:lang w:val="en-GB"/>
        </w:rPr>
        <w:t xml:space="preserve"> keep</w:t>
      </w:r>
      <w:r w:rsidR="00F62F70" w:rsidRPr="00CC2CF5">
        <w:rPr>
          <w:rFonts w:cs="Arial"/>
          <w:szCs w:val="24"/>
          <w:lang w:val="en-GB"/>
        </w:rPr>
        <w:t>s</w:t>
      </w:r>
      <w:r w:rsidR="00195786" w:rsidRPr="00CC2CF5">
        <w:rPr>
          <w:rFonts w:cs="Arial"/>
          <w:szCs w:val="24"/>
          <w:lang w:val="en-GB"/>
        </w:rPr>
        <w:t xml:space="preserve"> in mind the constitutional separation of powers and the</w:t>
      </w:r>
      <w:r w:rsidR="00F62F70" w:rsidRPr="00CC2CF5">
        <w:rPr>
          <w:rFonts w:cs="Arial"/>
          <w:szCs w:val="24"/>
          <w:lang w:val="en-GB"/>
        </w:rPr>
        <w:t xml:space="preserve"> nature of the orders should be that the </w:t>
      </w:r>
      <w:r w:rsidR="00195786" w:rsidRPr="00CC2CF5">
        <w:rPr>
          <w:rFonts w:cs="Arial"/>
          <w:szCs w:val="24"/>
          <w:lang w:val="en-GB"/>
        </w:rPr>
        <w:t xml:space="preserve">courts may </w:t>
      </w:r>
      <w:r w:rsidR="00F62F70" w:rsidRPr="00CC2CF5">
        <w:rPr>
          <w:rFonts w:cs="Arial"/>
          <w:szCs w:val="24"/>
          <w:lang w:val="en-GB"/>
        </w:rPr>
        <w:t>grant</w:t>
      </w:r>
      <w:r w:rsidR="00195786" w:rsidRPr="00CC2CF5">
        <w:rPr>
          <w:rFonts w:cs="Arial"/>
          <w:szCs w:val="24"/>
          <w:lang w:val="en-GB"/>
        </w:rPr>
        <w:t xml:space="preserve">. </w:t>
      </w:r>
    </w:p>
    <w:p w14:paraId="3BF2C986" w14:textId="50B24B51" w:rsidR="00195786"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53.</w:t>
      </w:r>
      <w:r w:rsidRPr="00961D21">
        <w:rPr>
          <w:rFonts w:cs="Arial"/>
          <w:w w:val="99"/>
          <w:szCs w:val="24"/>
        </w:rPr>
        <w:tab/>
      </w:r>
      <w:r w:rsidR="00C867C8" w:rsidRPr="00CC2CF5">
        <w:rPr>
          <w:rFonts w:cs="Arial"/>
          <w:szCs w:val="24"/>
          <w:lang w:val="en-GB"/>
        </w:rPr>
        <w:t xml:space="preserve">However, </w:t>
      </w:r>
      <w:r w:rsidR="00F62F70" w:rsidRPr="00CC2CF5">
        <w:rPr>
          <w:rFonts w:cs="Arial"/>
          <w:szCs w:val="24"/>
          <w:lang w:val="en-GB"/>
        </w:rPr>
        <w:t xml:space="preserve">the enforcement of the applicants’ rights </w:t>
      </w:r>
      <w:r w:rsidR="00C0622F" w:rsidRPr="00CC2CF5">
        <w:rPr>
          <w:rFonts w:cs="Arial"/>
          <w:szCs w:val="24"/>
          <w:lang w:val="en-GB"/>
        </w:rPr>
        <w:t>is</w:t>
      </w:r>
      <w:r w:rsidR="00F62F70" w:rsidRPr="00CC2CF5">
        <w:rPr>
          <w:rFonts w:cs="Arial"/>
          <w:szCs w:val="24"/>
          <w:lang w:val="en-GB"/>
        </w:rPr>
        <w:t xml:space="preserve"> important, whatever practical difficulties the respondents may experience. The rights of all the relevant and </w:t>
      </w:r>
      <w:r w:rsidR="00195786" w:rsidRPr="00CC2CF5">
        <w:rPr>
          <w:rFonts w:cs="Arial"/>
          <w:szCs w:val="24"/>
          <w:lang w:val="en-GB"/>
        </w:rPr>
        <w:t>applicable parties must be considered and</w:t>
      </w:r>
      <w:r w:rsidR="00F62F70" w:rsidRPr="00CC2CF5">
        <w:rPr>
          <w:rFonts w:cs="Arial"/>
          <w:szCs w:val="24"/>
          <w:lang w:val="en-GB"/>
        </w:rPr>
        <w:t xml:space="preserve"> after due consideration</w:t>
      </w:r>
      <w:r w:rsidR="00195786" w:rsidRPr="00CC2CF5">
        <w:rPr>
          <w:rFonts w:cs="Arial"/>
          <w:szCs w:val="24"/>
          <w:lang w:val="en-GB"/>
        </w:rPr>
        <w:t xml:space="preserve"> an order that is just and equitable must follow</w:t>
      </w:r>
      <w:r w:rsidR="00195786" w:rsidRPr="00961D21">
        <w:rPr>
          <w:rStyle w:val="FootnoteReference"/>
          <w:rFonts w:cs="Arial"/>
          <w:szCs w:val="24"/>
          <w:lang w:val="en-GB"/>
        </w:rPr>
        <w:footnoteReference w:id="15"/>
      </w:r>
      <w:r w:rsidR="00195786" w:rsidRPr="00CC2CF5">
        <w:rPr>
          <w:rFonts w:cs="Arial"/>
          <w:szCs w:val="24"/>
          <w:lang w:val="en-GB"/>
        </w:rPr>
        <w:t>.</w:t>
      </w:r>
      <w:r w:rsidR="00390654" w:rsidRPr="00CC2CF5">
        <w:rPr>
          <w:rFonts w:cs="Arial"/>
          <w:szCs w:val="24"/>
          <w:lang w:val="en-GB"/>
        </w:rPr>
        <w:t xml:space="preserve">  </w:t>
      </w:r>
    </w:p>
    <w:p w14:paraId="2DF0DC57" w14:textId="3AA454E2" w:rsidR="005033EE" w:rsidRPr="00961D21" w:rsidRDefault="005033EE" w:rsidP="005033EE">
      <w:pPr>
        <w:spacing w:before="360" w:after="360" w:line="360" w:lineRule="auto"/>
        <w:ind w:right="439"/>
        <w:rPr>
          <w:rFonts w:cs="Arial"/>
          <w:i/>
          <w:iCs/>
          <w:szCs w:val="24"/>
          <w:lang w:val="en-GB"/>
        </w:rPr>
      </w:pPr>
      <w:r w:rsidRPr="00961D21">
        <w:rPr>
          <w:rFonts w:cs="Arial"/>
          <w:i/>
          <w:iCs/>
          <w:szCs w:val="24"/>
          <w:lang w:val="en-GB"/>
        </w:rPr>
        <w:t>PAJA review</w:t>
      </w:r>
    </w:p>
    <w:p w14:paraId="053EF015" w14:textId="6183B3B5"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54.</w:t>
      </w:r>
      <w:r w:rsidRPr="00961D21">
        <w:rPr>
          <w:rFonts w:cs="Arial"/>
          <w:w w:val="99"/>
          <w:szCs w:val="24"/>
        </w:rPr>
        <w:tab/>
      </w:r>
      <w:r w:rsidR="006F4748" w:rsidRPr="00CC2CF5">
        <w:rPr>
          <w:rFonts w:cs="Arial"/>
          <w:lang w:val="en-GB"/>
        </w:rPr>
        <w:t>The respondents are both organs of state as defined in Section 239 of the Constitution of the Republic of South Africa Act No. 108 of 1996 (</w:t>
      </w:r>
      <w:r w:rsidR="006F4748" w:rsidRPr="00CC2CF5">
        <w:rPr>
          <w:rFonts w:cs="Arial"/>
          <w:i/>
          <w:iCs/>
          <w:lang w:val="en-GB"/>
        </w:rPr>
        <w:t>“the Constitution”</w:t>
      </w:r>
      <w:r w:rsidR="006F4748" w:rsidRPr="00CC2CF5">
        <w:rPr>
          <w:rFonts w:cs="Arial"/>
          <w:lang w:val="en-GB"/>
        </w:rPr>
        <w:t xml:space="preserve">) and </w:t>
      </w:r>
      <w:r w:rsidR="00C8320A" w:rsidRPr="00CC2CF5">
        <w:rPr>
          <w:rFonts w:cs="Arial"/>
          <w:lang w:val="en-GB"/>
        </w:rPr>
        <w:t>perform</w:t>
      </w:r>
      <w:r w:rsidR="006F4748" w:rsidRPr="00CC2CF5">
        <w:rPr>
          <w:rFonts w:cs="Arial"/>
          <w:lang w:val="en-GB"/>
        </w:rPr>
        <w:t xml:space="preserve"> a public function in terms of </w:t>
      </w:r>
      <w:r w:rsidR="006262F2" w:rsidRPr="00CC2CF5">
        <w:rPr>
          <w:rFonts w:cs="Arial"/>
          <w:lang w:val="en-GB"/>
        </w:rPr>
        <w:t xml:space="preserve">the Promotion of Administrative Justice Act, 3 of 2000 </w:t>
      </w:r>
      <w:r w:rsidR="006262F2" w:rsidRPr="00CC2CF5">
        <w:rPr>
          <w:rFonts w:cs="Arial"/>
          <w:szCs w:val="24"/>
          <w:lang w:val="en-GB"/>
        </w:rPr>
        <w:t>(“</w:t>
      </w:r>
      <w:r w:rsidR="006262F2" w:rsidRPr="00CC2CF5">
        <w:rPr>
          <w:rFonts w:cs="Arial"/>
          <w:i/>
          <w:iCs/>
          <w:szCs w:val="24"/>
          <w:lang w:val="en-GB"/>
        </w:rPr>
        <w:t>PAJA</w:t>
      </w:r>
      <w:r w:rsidR="006262F2" w:rsidRPr="00CC2CF5">
        <w:rPr>
          <w:rFonts w:cs="Arial"/>
          <w:szCs w:val="24"/>
          <w:lang w:val="en-GB"/>
        </w:rPr>
        <w:t>”)</w:t>
      </w:r>
      <w:r w:rsidR="005033EE" w:rsidRPr="00CC2CF5">
        <w:rPr>
          <w:rFonts w:cs="Arial"/>
          <w:szCs w:val="24"/>
          <w:lang w:val="en-GB"/>
        </w:rPr>
        <w:t>.</w:t>
      </w:r>
    </w:p>
    <w:p w14:paraId="5F8C306F" w14:textId="105AF6ED"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55.</w:t>
      </w:r>
      <w:r w:rsidRPr="00961D21">
        <w:rPr>
          <w:rFonts w:cs="Arial"/>
          <w:w w:val="99"/>
          <w:szCs w:val="24"/>
        </w:rPr>
        <w:tab/>
      </w:r>
      <w:r w:rsidR="006F4748" w:rsidRPr="00CC2CF5">
        <w:rPr>
          <w:rFonts w:cs="Arial"/>
          <w:lang w:val="en-GB"/>
        </w:rPr>
        <w:t xml:space="preserve">The above decisions taken by the respondents </w:t>
      </w:r>
      <w:r w:rsidR="00C8320A" w:rsidRPr="00CC2CF5">
        <w:rPr>
          <w:rFonts w:cs="Arial"/>
          <w:lang w:val="en-GB"/>
        </w:rPr>
        <w:t>constitute</w:t>
      </w:r>
      <w:r w:rsidR="006F4748" w:rsidRPr="00CC2CF5">
        <w:rPr>
          <w:rFonts w:cs="Arial"/>
          <w:lang w:val="en-GB"/>
        </w:rPr>
        <w:t xml:space="preserve"> administrative action</w:t>
      </w:r>
      <w:r w:rsidR="006262F2" w:rsidRPr="00CC2CF5">
        <w:rPr>
          <w:rFonts w:cs="Arial"/>
          <w:lang w:val="en-GB"/>
        </w:rPr>
        <w:t>s</w:t>
      </w:r>
      <w:r w:rsidR="006F4748" w:rsidRPr="00CC2CF5">
        <w:rPr>
          <w:rFonts w:cs="Arial"/>
          <w:lang w:val="en-GB"/>
        </w:rPr>
        <w:t xml:space="preserve"> as contemplated by </w:t>
      </w:r>
      <w:r w:rsidR="006262F2" w:rsidRPr="00CC2CF5">
        <w:rPr>
          <w:rFonts w:cs="Arial"/>
          <w:lang w:val="en-GB"/>
        </w:rPr>
        <w:t xml:space="preserve">section </w:t>
      </w:r>
      <w:r w:rsidR="006F4748" w:rsidRPr="00CC2CF5">
        <w:rPr>
          <w:rFonts w:cs="Arial"/>
          <w:lang w:val="en-GB"/>
        </w:rPr>
        <w:t>1(</w:t>
      </w:r>
      <w:r w:rsidR="006262F2" w:rsidRPr="00CC2CF5">
        <w:rPr>
          <w:rFonts w:cs="Arial"/>
          <w:lang w:val="en-GB"/>
        </w:rPr>
        <w:t>a</w:t>
      </w:r>
      <w:r w:rsidR="006F4748" w:rsidRPr="00CC2CF5">
        <w:rPr>
          <w:rFonts w:cs="Arial"/>
          <w:lang w:val="en-GB"/>
        </w:rPr>
        <w:t xml:space="preserve">)(i) and (ii) of </w:t>
      </w:r>
      <w:r w:rsidR="005033EE" w:rsidRPr="00CC2CF5">
        <w:rPr>
          <w:rFonts w:cs="Arial"/>
          <w:lang w:val="en-GB"/>
        </w:rPr>
        <w:t>PAJA.</w:t>
      </w:r>
    </w:p>
    <w:p w14:paraId="5AE69DF9" w14:textId="242C7EB8"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56.</w:t>
      </w:r>
      <w:r w:rsidRPr="00961D21">
        <w:rPr>
          <w:rFonts w:cs="Arial"/>
          <w:w w:val="99"/>
          <w:szCs w:val="24"/>
        </w:rPr>
        <w:tab/>
      </w:r>
      <w:r w:rsidR="006F4748" w:rsidRPr="00CC2CF5">
        <w:rPr>
          <w:rFonts w:cs="Arial"/>
          <w:lang w:val="en-GB"/>
        </w:rPr>
        <w:t>The respondents fall within the definition of “</w:t>
      </w:r>
      <w:r w:rsidR="006F4748" w:rsidRPr="00CC2CF5">
        <w:rPr>
          <w:rFonts w:cs="Arial"/>
          <w:i/>
          <w:iCs/>
          <w:lang w:val="en-GB"/>
        </w:rPr>
        <w:t>administrator</w:t>
      </w:r>
      <w:r w:rsidR="006F4748" w:rsidRPr="00CC2CF5">
        <w:rPr>
          <w:rFonts w:cs="Arial"/>
          <w:lang w:val="en-GB"/>
        </w:rPr>
        <w:t xml:space="preserve">” as defined in Section 1 of </w:t>
      </w:r>
      <w:r w:rsidR="005033EE" w:rsidRPr="00CC2CF5">
        <w:rPr>
          <w:rFonts w:cs="Arial"/>
          <w:lang w:val="en-GB"/>
        </w:rPr>
        <w:t>PAJA.</w:t>
      </w:r>
    </w:p>
    <w:p w14:paraId="464701B8" w14:textId="594CA6D0"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57.</w:t>
      </w:r>
      <w:r w:rsidRPr="00961D21">
        <w:rPr>
          <w:rFonts w:cs="Arial"/>
          <w:w w:val="99"/>
          <w:szCs w:val="24"/>
        </w:rPr>
        <w:tab/>
      </w:r>
      <w:r w:rsidR="006F4748" w:rsidRPr="00CC2CF5">
        <w:rPr>
          <w:rFonts w:cs="Arial"/>
          <w:lang w:val="en-GB"/>
        </w:rPr>
        <w:t xml:space="preserve">The </w:t>
      </w:r>
      <w:r w:rsidR="006262F2" w:rsidRPr="00CC2CF5">
        <w:rPr>
          <w:rFonts w:cs="Arial"/>
          <w:lang w:val="en-GB"/>
        </w:rPr>
        <w:t xml:space="preserve">actions or </w:t>
      </w:r>
      <w:r w:rsidR="006F4748" w:rsidRPr="00CC2CF5">
        <w:rPr>
          <w:rFonts w:cs="Arial"/>
          <w:lang w:val="en-GB"/>
        </w:rPr>
        <w:t>decision</w:t>
      </w:r>
      <w:r w:rsidR="006262F2" w:rsidRPr="00CC2CF5">
        <w:rPr>
          <w:rFonts w:cs="Arial"/>
          <w:lang w:val="en-GB"/>
        </w:rPr>
        <w:t>s</w:t>
      </w:r>
      <w:r w:rsidR="006F4748" w:rsidRPr="00CC2CF5">
        <w:rPr>
          <w:rFonts w:cs="Arial"/>
          <w:lang w:val="en-GB"/>
        </w:rPr>
        <w:t xml:space="preserve"> of the respondents</w:t>
      </w:r>
      <w:r w:rsidR="006262F2" w:rsidRPr="00CC2CF5">
        <w:rPr>
          <w:rFonts w:cs="Arial"/>
          <w:lang w:val="en-GB"/>
        </w:rPr>
        <w:t xml:space="preserve"> detailed above</w:t>
      </w:r>
      <w:r w:rsidR="006F4748" w:rsidRPr="00CC2CF5">
        <w:rPr>
          <w:rFonts w:cs="Arial"/>
          <w:lang w:val="en-GB"/>
        </w:rPr>
        <w:t xml:space="preserve"> adversely affected the rights of the applicants and the twins to not be recognised as </w:t>
      </w:r>
      <w:r w:rsidR="006262F2" w:rsidRPr="00CC2CF5">
        <w:rPr>
          <w:rFonts w:cs="Arial"/>
          <w:lang w:val="en-GB"/>
        </w:rPr>
        <w:t xml:space="preserve">South </w:t>
      </w:r>
      <w:r w:rsidR="006F4748" w:rsidRPr="00CC2CF5">
        <w:rPr>
          <w:rFonts w:cs="Arial"/>
          <w:lang w:val="en-GB"/>
        </w:rPr>
        <w:t>African citizens</w:t>
      </w:r>
      <w:r w:rsidR="006262F2" w:rsidRPr="00CC2CF5">
        <w:rPr>
          <w:rFonts w:cs="Arial"/>
          <w:lang w:val="en-GB"/>
        </w:rPr>
        <w:t xml:space="preserve"> and/or residents </w:t>
      </w:r>
      <w:r w:rsidR="006F4748" w:rsidRPr="00CC2CF5">
        <w:rPr>
          <w:rFonts w:cs="Arial"/>
          <w:lang w:val="en-GB"/>
        </w:rPr>
        <w:t>with associated rights and privileges</w:t>
      </w:r>
      <w:r w:rsidR="005033EE" w:rsidRPr="00CC2CF5">
        <w:rPr>
          <w:rFonts w:cs="Arial"/>
          <w:szCs w:val="24"/>
          <w:lang w:val="en-GB"/>
        </w:rPr>
        <w:t>.</w:t>
      </w:r>
    </w:p>
    <w:p w14:paraId="6B2931F5" w14:textId="2CEAF2FC"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58.</w:t>
      </w:r>
      <w:r w:rsidRPr="00961D21">
        <w:rPr>
          <w:rFonts w:cs="Arial"/>
          <w:w w:val="99"/>
          <w:szCs w:val="24"/>
        </w:rPr>
        <w:tab/>
      </w:r>
      <w:r w:rsidR="006F4748" w:rsidRPr="00CC2CF5">
        <w:rPr>
          <w:rFonts w:cs="Arial"/>
          <w:lang w:val="en-GB"/>
        </w:rPr>
        <w:t xml:space="preserve">Consequently, the actions of the respondents constitute administrative actions, and such decisions are thus subject to the provisions of </w:t>
      </w:r>
      <w:r w:rsidR="005033EE" w:rsidRPr="00CC2CF5">
        <w:rPr>
          <w:rFonts w:cs="Arial"/>
          <w:lang w:val="en-GB"/>
        </w:rPr>
        <w:t>PAJA.</w:t>
      </w:r>
    </w:p>
    <w:p w14:paraId="3961A391" w14:textId="76F0C7DB"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lastRenderedPageBreak/>
        <w:t>59.</w:t>
      </w:r>
      <w:r w:rsidRPr="00961D21">
        <w:rPr>
          <w:rFonts w:cs="Arial"/>
          <w:w w:val="99"/>
          <w:szCs w:val="24"/>
        </w:rPr>
        <w:tab/>
      </w:r>
      <w:r w:rsidR="006F4748" w:rsidRPr="00CC2CF5">
        <w:rPr>
          <w:rFonts w:cs="Arial"/>
          <w:lang w:val="en-GB"/>
        </w:rPr>
        <w:t xml:space="preserve">One of the purposes of PAJA is to give effect to the Constitutional </w:t>
      </w:r>
      <w:r w:rsidR="006262F2" w:rsidRPr="00CC2CF5">
        <w:rPr>
          <w:rFonts w:cs="Arial"/>
          <w:lang w:val="en-GB"/>
        </w:rPr>
        <w:t xml:space="preserve">right </w:t>
      </w:r>
      <w:r w:rsidR="006F4748" w:rsidRPr="00CC2CF5">
        <w:rPr>
          <w:rFonts w:cs="Arial"/>
          <w:lang w:val="en-GB"/>
        </w:rPr>
        <w:t xml:space="preserve">to </w:t>
      </w:r>
      <w:r w:rsidR="006262F2" w:rsidRPr="00CC2CF5">
        <w:rPr>
          <w:rFonts w:cs="Arial"/>
          <w:lang w:val="en-GB"/>
        </w:rPr>
        <w:t xml:space="preserve">administrative action </w:t>
      </w:r>
      <w:r w:rsidR="006F4748" w:rsidRPr="00CC2CF5">
        <w:rPr>
          <w:rFonts w:cs="Arial"/>
          <w:lang w:val="en-GB"/>
        </w:rPr>
        <w:t xml:space="preserve">that is lawful, </w:t>
      </w:r>
      <w:r w:rsidR="00272319" w:rsidRPr="00CC2CF5">
        <w:rPr>
          <w:rFonts w:cs="Arial"/>
          <w:lang w:val="en-GB"/>
        </w:rPr>
        <w:t>reasonable,</w:t>
      </w:r>
      <w:r w:rsidR="006F4748" w:rsidRPr="00CC2CF5">
        <w:rPr>
          <w:rFonts w:cs="Arial"/>
          <w:lang w:val="en-GB"/>
        </w:rPr>
        <w:t xml:space="preserve"> and procedurally fair. Another purpose of PAJA is to give effect to the right to written reasons for administrative action. Inherent in this right, is the right of the applicants to receive written reasons that are coherent, </w:t>
      </w:r>
      <w:r w:rsidR="00272319" w:rsidRPr="00CC2CF5">
        <w:rPr>
          <w:rFonts w:cs="Arial"/>
          <w:lang w:val="en-GB"/>
        </w:rPr>
        <w:t>logical,</w:t>
      </w:r>
      <w:r w:rsidR="006F4748" w:rsidRPr="00CC2CF5">
        <w:rPr>
          <w:rFonts w:cs="Arial"/>
          <w:lang w:val="en-GB"/>
        </w:rPr>
        <w:t xml:space="preserve"> and non-contradictory.</w:t>
      </w:r>
    </w:p>
    <w:p w14:paraId="4AAC955A" w14:textId="4773F2B3"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60.</w:t>
      </w:r>
      <w:r w:rsidRPr="00961D21">
        <w:rPr>
          <w:rFonts w:cs="Arial"/>
          <w:w w:val="99"/>
          <w:szCs w:val="24"/>
        </w:rPr>
        <w:tab/>
      </w:r>
      <w:r w:rsidR="006F4748" w:rsidRPr="00CC2CF5">
        <w:rPr>
          <w:rFonts w:cs="Arial"/>
          <w:lang w:val="en-GB"/>
        </w:rPr>
        <w:t>Section 5(3) of the PAJA states that if an administrator fails to furnish adequate reasons for an administrative action it must, subject to sub-section 4 and in the absence of proof to the contrary, be presumed in any proceedings for judicial review that the administrative action was taken without good reasons.</w:t>
      </w:r>
    </w:p>
    <w:p w14:paraId="14E92425" w14:textId="41AA9D46"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61.</w:t>
      </w:r>
      <w:r w:rsidRPr="00961D21">
        <w:rPr>
          <w:rFonts w:cs="Arial"/>
          <w:w w:val="99"/>
          <w:szCs w:val="24"/>
        </w:rPr>
        <w:tab/>
      </w:r>
      <w:r w:rsidR="006F4748" w:rsidRPr="00CC2CF5">
        <w:rPr>
          <w:rFonts w:cs="Arial"/>
          <w:lang w:val="en-GB"/>
        </w:rPr>
        <w:t>The actions of the respondents were procedurally unfair in that they denied the applicants an opportunity to make representations and/or to be heard.</w:t>
      </w:r>
    </w:p>
    <w:p w14:paraId="421E47A2" w14:textId="14F6BC0E"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62.</w:t>
      </w:r>
      <w:r w:rsidRPr="00961D21">
        <w:rPr>
          <w:rFonts w:cs="Arial"/>
          <w:w w:val="99"/>
          <w:szCs w:val="24"/>
        </w:rPr>
        <w:tab/>
      </w:r>
      <w:r w:rsidR="006F4748" w:rsidRPr="00CC2CF5">
        <w:rPr>
          <w:rFonts w:cs="Arial"/>
          <w:lang w:val="en-GB"/>
        </w:rPr>
        <w:t xml:space="preserve">The respondents failed to take important considerations into account when making their decisions. </w:t>
      </w:r>
    </w:p>
    <w:p w14:paraId="7BA9AF77" w14:textId="06A0DDC9" w:rsidR="00243DB9"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63.</w:t>
      </w:r>
      <w:r w:rsidRPr="00961D21">
        <w:rPr>
          <w:rFonts w:cs="Arial"/>
          <w:w w:val="99"/>
          <w:szCs w:val="24"/>
        </w:rPr>
        <w:tab/>
      </w:r>
      <w:r w:rsidR="00243DB9" w:rsidRPr="00CC2CF5">
        <w:rPr>
          <w:rFonts w:cs="Arial"/>
          <w:lang w:val="en-GB"/>
        </w:rPr>
        <w:t xml:space="preserve">The decision taken ultimately was invalid and, it seems, </w:t>
      </w:r>
      <w:r w:rsidR="00243DB9" w:rsidRPr="00CC2CF5">
        <w:rPr>
          <w:rFonts w:cs="Arial"/>
          <w:i/>
          <w:iCs/>
          <w:szCs w:val="24"/>
          <w:lang w:val="en-GB"/>
        </w:rPr>
        <w:t>ultra vires</w:t>
      </w:r>
      <w:r w:rsidR="00243DB9" w:rsidRPr="00CC2CF5">
        <w:rPr>
          <w:rFonts w:cs="Arial"/>
          <w:lang w:val="en-GB"/>
        </w:rPr>
        <w:t>.</w:t>
      </w:r>
    </w:p>
    <w:p w14:paraId="484C3890" w14:textId="3A045DC5"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64.</w:t>
      </w:r>
      <w:r w:rsidRPr="00961D21">
        <w:rPr>
          <w:rFonts w:cs="Arial"/>
          <w:w w:val="99"/>
          <w:szCs w:val="24"/>
        </w:rPr>
        <w:tab/>
      </w:r>
      <w:r w:rsidR="006F4748" w:rsidRPr="00CC2CF5">
        <w:rPr>
          <w:rFonts w:cs="Arial"/>
          <w:lang w:val="en-GB"/>
        </w:rPr>
        <w:t xml:space="preserve">Therefore, </w:t>
      </w:r>
      <w:r w:rsidR="006262F2" w:rsidRPr="00CC2CF5">
        <w:rPr>
          <w:rFonts w:cs="Arial"/>
          <w:lang w:val="en-GB"/>
        </w:rPr>
        <w:t xml:space="preserve">this court is </w:t>
      </w:r>
      <w:r w:rsidR="006F4748" w:rsidRPr="00CC2CF5">
        <w:rPr>
          <w:rFonts w:cs="Arial"/>
          <w:lang w:val="en-GB"/>
        </w:rPr>
        <w:t>of the view, having regard to the above</w:t>
      </w:r>
      <w:r w:rsidR="006262F2" w:rsidRPr="00CC2CF5">
        <w:rPr>
          <w:rFonts w:cs="Arial"/>
          <w:lang w:val="en-GB"/>
        </w:rPr>
        <w:t xml:space="preserve"> requirements duly applied to the facts</w:t>
      </w:r>
      <w:r w:rsidR="006F4748" w:rsidRPr="00CC2CF5">
        <w:rPr>
          <w:rFonts w:cs="Arial"/>
          <w:lang w:val="en-GB"/>
        </w:rPr>
        <w:t xml:space="preserve">, that the respondents made decisions which are illogical, </w:t>
      </w:r>
      <w:r w:rsidR="00272319" w:rsidRPr="00CC2CF5">
        <w:rPr>
          <w:rFonts w:cs="Arial"/>
          <w:lang w:val="en-GB"/>
        </w:rPr>
        <w:t>contradictory,</w:t>
      </w:r>
      <w:r w:rsidR="006F4748" w:rsidRPr="00CC2CF5">
        <w:rPr>
          <w:rFonts w:cs="Arial"/>
          <w:lang w:val="en-GB"/>
        </w:rPr>
        <w:t xml:space="preserve"> and incorrect. It should be presumed </w:t>
      </w:r>
      <w:r w:rsidR="006262F2" w:rsidRPr="00CC2CF5">
        <w:rPr>
          <w:rFonts w:cs="Arial"/>
          <w:lang w:val="en-GB"/>
        </w:rPr>
        <w:t xml:space="preserve">in terms of sections 5(3) and (4) of PAJA </w:t>
      </w:r>
      <w:r w:rsidR="006F4748" w:rsidRPr="00CC2CF5">
        <w:rPr>
          <w:rFonts w:cs="Arial"/>
          <w:lang w:val="en-GB"/>
        </w:rPr>
        <w:t>that the</w:t>
      </w:r>
      <w:r w:rsidR="006262F2" w:rsidRPr="00CC2CF5">
        <w:rPr>
          <w:rFonts w:cs="Arial"/>
          <w:lang w:val="en-GB"/>
        </w:rPr>
        <w:t xml:space="preserve"> actions and </w:t>
      </w:r>
      <w:r w:rsidR="006F4748" w:rsidRPr="00CC2CF5">
        <w:rPr>
          <w:rFonts w:cs="Arial"/>
          <w:lang w:val="en-GB"/>
        </w:rPr>
        <w:t>decisions of the respondents were taken without good reason and should consequently be set aside.</w:t>
      </w:r>
    </w:p>
    <w:p w14:paraId="6C3BC097" w14:textId="16A6ECD0" w:rsidR="005033EE" w:rsidRPr="00961D21" w:rsidRDefault="00243DB9" w:rsidP="005033EE">
      <w:pPr>
        <w:spacing w:before="360" w:after="360" w:line="360" w:lineRule="auto"/>
        <w:ind w:right="439"/>
        <w:rPr>
          <w:rFonts w:cs="Arial"/>
          <w:szCs w:val="24"/>
          <w:lang w:val="en-GB"/>
        </w:rPr>
      </w:pPr>
      <w:r w:rsidRPr="00961D21">
        <w:rPr>
          <w:rFonts w:cs="Arial"/>
          <w:i/>
          <w:iCs/>
          <w:szCs w:val="24"/>
          <w:lang w:val="en-GB"/>
        </w:rPr>
        <w:t>Relief sought</w:t>
      </w:r>
    </w:p>
    <w:p w14:paraId="15A80664" w14:textId="03048DEB"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65.</w:t>
      </w:r>
      <w:r w:rsidRPr="00961D21">
        <w:rPr>
          <w:rFonts w:cs="Arial"/>
          <w:w w:val="99"/>
          <w:szCs w:val="24"/>
        </w:rPr>
        <w:tab/>
      </w:r>
      <w:r w:rsidR="006F4748" w:rsidRPr="00CC2CF5">
        <w:rPr>
          <w:lang w:val="en-GB"/>
        </w:rPr>
        <w:t>In general terms the remedies for judicial review in</w:t>
      </w:r>
      <w:r w:rsidR="006262F2" w:rsidRPr="00CC2CF5">
        <w:rPr>
          <w:lang w:val="en-GB"/>
        </w:rPr>
        <w:t xml:space="preserve"> terms of </w:t>
      </w:r>
      <w:r w:rsidR="006F4748" w:rsidRPr="00CC2CF5">
        <w:rPr>
          <w:lang w:val="en-GB"/>
        </w:rPr>
        <w:t>PAJA, as was</w:t>
      </w:r>
      <w:r w:rsidR="006262F2" w:rsidRPr="00CC2CF5">
        <w:rPr>
          <w:lang w:val="en-GB"/>
        </w:rPr>
        <w:t xml:space="preserve"> confirmed </w:t>
      </w:r>
      <w:r w:rsidR="006F4748" w:rsidRPr="00CC2CF5">
        <w:rPr>
          <w:lang w:val="en-GB"/>
        </w:rPr>
        <w:t>in Steenkamp v Provincial Tender Board of the Eastern Cape</w:t>
      </w:r>
      <w:r w:rsidR="006F4748" w:rsidRPr="00961D21">
        <w:rPr>
          <w:rStyle w:val="FootnoteReference"/>
          <w:lang w:val="en-GB"/>
        </w:rPr>
        <w:footnoteReference w:id="16"/>
      </w:r>
      <w:r w:rsidR="006F4748" w:rsidRPr="00CC2CF5">
        <w:rPr>
          <w:lang w:val="en-GB"/>
        </w:rPr>
        <w:t xml:space="preserve">, are public law remedies, the purpose of which is to pre-empt, correct or </w:t>
      </w:r>
      <w:r w:rsidR="006F4748" w:rsidRPr="00CC2CF5">
        <w:rPr>
          <w:lang w:val="en-GB"/>
        </w:rPr>
        <w:lastRenderedPageBreak/>
        <w:t>reverse an improper administrative function</w:t>
      </w:r>
      <w:r w:rsidR="006262F2" w:rsidRPr="00CC2CF5">
        <w:rPr>
          <w:rFonts w:cs="Arial"/>
          <w:szCs w:val="24"/>
          <w:lang w:val="en-GB"/>
        </w:rPr>
        <w:t xml:space="preserve"> (or action)</w:t>
      </w:r>
      <w:r w:rsidR="005033EE" w:rsidRPr="00CC2CF5">
        <w:rPr>
          <w:rFonts w:cs="Arial"/>
          <w:szCs w:val="24"/>
          <w:lang w:val="en-GB"/>
        </w:rPr>
        <w:t>.</w:t>
      </w:r>
    </w:p>
    <w:p w14:paraId="26AE901E" w14:textId="7320BB07"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66.</w:t>
      </w:r>
      <w:r w:rsidRPr="00961D21">
        <w:rPr>
          <w:rFonts w:cs="Arial"/>
          <w:w w:val="99"/>
          <w:szCs w:val="24"/>
        </w:rPr>
        <w:tab/>
      </w:r>
      <w:r w:rsidR="006F4748" w:rsidRPr="00CC2CF5">
        <w:rPr>
          <w:lang w:val="en-GB"/>
        </w:rPr>
        <w:t xml:space="preserve">Section 8 of PAJA confers on a court, in proceedings for judicial review, a generous jurisdiction to </w:t>
      </w:r>
      <w:r w:rsidR="006262F2" w:rsidRPr="00CC2CF5">
        <w:rPr>
          <w:lang w:val="en-GB"/>
        </w:rPr>
        <w:t xml:space="preserve">grant </w:t>
      </w:r>
      <w:r w:rsidR="006F4748" w:rsidRPr="00CC2CF5">
        <w:rPr>
          <w:lang w:val="en-GB"/>
        </w:rPr>
        <w:t>order</w:t>
      </w:r>
      <w:r w:rsidR="006262F2" w:rsidRPr="00CC2CF5">
        <w:rPr>
          <w:lang w:val="en-GB"/>
        </w:rPr>
        <w:t>s</w:t>
      </w:r>
      <w:r w:rsidR="006F4748" w:rsidRPr="00CC2CF5">
        <w:rPr>
          <w:lang w:val="en-GB"/>
        </w:rPr>
        <w:t xml:space="preserve"> that are </w:t>
      </w:r>
      <w:r w:rsidR="006F4748" w:rsidRPr="00CC2CF5">
        <w:rPr>
          <w:i/>
          <w:iCs/>
          <w:lang w:val="en-GB"/>
        </w:rPr>
        <w:t>“just and equitable”</w:t>
      </w:r>
      <w:r w:rsidR="006F4748" w:rsidRPr="00CC2CF5">
        <w:rPr>
          <w:lang w:val="en-GB"/>
        </w:rPr>
        <w:t>.</w:t>
      </w:r>
    </w:p>
    <w:p w14:paraId="70FEA9EC" w14:textId="64977D01" w:rsidR="006262F2" w:rsidRPr="00CC2CF5" w:rsidRDefault="00CC2CF5" w:rsidP="00CC2CF5">
      <w:pPr>
        <w:tabs>
          <w:tab w:val="left" w:pos="861"/>
        </w:tabs>
        <w:spacing w:before="360" w:after="360" w:line="360" w:lineRule="auto"/>
        <w:ind w:left="851" w:right="439" w:hanging="851"/>
        <w:rPr>
          <w:rFonts w:cs="Arial"/>
          <w:szCs w:val="24"/>
          <w:lang w:val="en-GB"/>
        </w:rPr>
      </w:pPr>
      <w:r>
        <w:rPr>
          <w:rFonts w:cs="Arial"/>
          <w:w w:val="99"/>
          <w:szCs w:val="24"/>
        </w:rPr>
        <w:t>67.</w:t>
      </w:r>
      <w:r>
        <w:rPr>
          <w:rFonts w:cs="Arial"/>
          <w:w w:val="99"/>
          <w:szCs w:val="24"/>
        </w:rPr>
        <w:tab/>
      </w:r>
      <w:r w:rsidR="006F4748" w:rsidRPr="00CC2CF5">
        <w:rPr>
          <w:lang w:val="en-GB"/>
        </w:rPr>
        <w:t xml:space="preserve">The court’s discretion is </w:t>
      </w:r>
      <w:r w:rsidR="00C8320A" w:rsidRPr="00CC2CF5">
        <w:rPr>
          <w:lang w:val="en-GB"/>
        </w:rPr>
        <w:t>wide,</w:t>
      </w:r>
      <w:r w:rsidR="006F4748" w:rsidRPr="00CC2CF5">
        <w:rPr>
          <w:lang w:val="en-GB"/>
        </w:rPr>
        <w:t xml:space="preserve"> and it must fashion an appropriate remedy for unlawful administrative action. This gives legislative con</w:t>
      </w:r>
      <w:r w:rsidR="00D138B7" w:rsidRPr="00CC2CF5">
        <w:rPr>
          <w:lang w:val="en-GB"/>
        </w:rPr>
        <w:t>s</w:t>
      </w:r>
      <w:r w:rsidR="006F4748" w:rsidRPr="00CC2CF5">
        <w:rPr>
          <w:lang w:val="en-GB"/>
        </w:rPr>
        <w:t xml:space="preserve">ent to the Constitution’s </w:t>
      </w:r>
      <w:r w:rsidR="006F4748" w:rsidRPr="00CC2CF5">
        <w:rPr>
          <w:i/>
          <w:iCs/>
          <w:lang w:val="en-GB"/>
        </w:rPr>
        <w:t xml:space="preserve">“just and equitable” </w:t>
      </w:r>
      <w:r w:rsidR="006F4748" w:rsidRPr="00CC2CF5">
        <w:rPr>
          <w:lang w:val="en-GB"/>
        </w:rPr>
        <w:t xml:space="preserve">remedy. </w:t>
      </w:r>
    </w:p>
    <w:p w14:paraId="4D8AA511" w14:textId="24CD6FDE" w:rsidR="00D138B7" w:rsidRPr="00CC2CF5" w:rsidRDefault="00CC2CF5" w:rsidP="00CC2CF5">
      <w:pPr>
        <w:tabs>
          <w:tab w:val="left" w:pos="861"/>
        </w:tabs>
        <w:spacing w:before="360" w:after="360" w:line="360" w:lineRule="auto"/>
        <w:ind w:left="851" w:right="439" w:hanging="851"/>
        <w:rPr>
          <w:rFonts w:cs="Arial"/>
          <w:szCs w:val="24"/>
          <w:lang w:val="en-GB"/>
        </w:rPr>
      </w:pPr>
      <w:r>
        <w:rPr>
          <w:rFonts w:cs="Arial"/>
          <w:w w:val="99"/>
          <w:szCs w:val="24"/>
        </w:rPr>
        <w:t>68.</w:t>
      </w:r>
      <w:r>
        <w:rPr>
          <w:rFonts w:cs="Arial"/>
          <w:w w:val="99"/>
          <w:szCs w:val="24"/>
        </w:rPr>
        <w:tab/>
      </w:r>
      <w:r w:rsidR="00D138B7" w:rsidRPr="00CC2CF5">
        <w:rPr>
          <w:rFonts w:cs="Arial"/>
          <w:szCs w:val="24"/>
          <w:lang w:val="en-GB"/>
        </w:rPr>
        <w:t>In this regard, section 8(1)(c) of PAJA reads as follows:</w:t>
      </w:r>
    </w:p>
    <w:p w14:paraId="0A8741A1" w14:textId="02470D8A" w:rsidR="00D138B7" w:rsidRDefault="00D138B7" w:rsidP="00D138B7">
      <w:pPr>
        <w:pStyle w:val="ListParagraph"/>
        <w:spacing w:before="360" w:after="360" w:line="360" w:lineRule="auto"/>
        <w:ind w:left="1985" w:right="439" w:hanging="545"/>
        <w:rPr>
          <w:rFonts w:cs="Arial"/>
          <w:i/>
          <w:iCs/>
          <w:szCs w:val="24"/>
          <w:lang w:val="en-GB"/>
        </w:rPr>
      </w:pPr>
      <w:r>
        <w:rPr>
          <w:rFonts w:cs="Arial"/>
          <w:i/>
          <w:iCs/>
          <w:szCs w:val="24"/>
          <w:lang w:val="en-GB"/>
        </w:rPr>
        <w:t>“(1)</w:t>
      </w:r>
      <w:r>
        <w:rPr>
          <w:rFonts w:cs="Arial"/>
          <w:i/>
          <w:iCs/>
          <w:szCs w:val="24"/>
          <w:lang w:val="en-GB"/>
        </w:rPr>
        <w:tab/>
        <w:t>The court or tribunal, in proceedings for judicial review in terms of section 6(1), may grant any order that is just and equitable, including orders –</w:t>
      </w:r>
    </w:p>
    <w:p w14:paraId="5C8F2FBC" w14:textId="056326D8" w:rsidR="00D138B7" w:rsidRPr="00CC2CF5" w:rsidRDefault="00CC2CF5" w:rsidP="00CC2CF5">
      <w:pPr>
        <w:spacing w:before="360" w:after="360" w:line="360" w:lineRule="auto"/>
        <w:ind w:left="2552" w:right="439" w:hanging="567"/>
        <w:rPr>
          <w:rFonts w:cs="Arial"/>
          <w:i/>
          <w:iCs/>
          <w:szCs w:val="24"/>
          <w:lang w:val="en-GB"/>
        </w:rPr>
      </w:pPr>
      <w:r>
        <w:rPr>
          <w:rFonts w:cs="Arial"/>
          <w:i/>
          <w:iCs/>
          <w:szCs w:val="24"/>
          <w:lang w:val="en-GB"/>
        </w:rPr>
        <w:t>(a)</w:t>
      </w:r>
      <w:r>
        <w:rPr>
          <w:rFonts w:cs="Arial"/>
          <w:i/>
          <w:iCs/>
          <w:szCs w:val="24"/>
          <w:lang w:val="en-GB"/>
        </w:rPr>
        <w:tab/>
      </w:r>
      <w:r w:rsidR="00D138B7" w:rsidRPr="00CC2CF5">
        <w:rPr>
          <w:rFonts w:cs="Arial"/>
          <w:i/>
          <w:iCs/>
          <w:szCs w:val="24"/>
          <w:lang w:val="en-GB"/>
        </w:rPr>
        <w:t>Directing the administrator –</w:t>
      </w:r>
    </w:p>
    <w:p w14:paraId="1C92A365" w14:textId="7CACC5B0" w:rsidR="00E25512" w:rsidRPr="00CC2CF5" w:rsidRDefault="00CC2CF5" w:rsidP="00CC2CF5">
      <w:pPr>
        <w:spacing w:before="360" w:after="360" w:line="360" w:lineRule="auto"/>
        <w:ind w:left="3065" w:right="439" w:hanging="513"/>
        <w:rPr>
          <w:rFonts w:cs="Arial"/>
          <w:i/>
          <w:iCs/>
          <w:szCs w:val="24"/>
          <w:lang w:val="en-GB"/>
        </w:rPr>
      </w:pPr>
      <w:r>
        <w:rPr>
          <w:rFonts w:cs="Arial"/>
          <w:i/>
          <w:iCs/>
          <w:szCs w:val="24"/>
          <w:lang w:val="en-GB"/>
        </w:rPr>
        <w:t>(i)</w:t>
      </w:r>
      <w:r>
        <w:rPr>
          <w:rFonts w:cs="Arial"/>
          <w:i/>
          <w:iCs/>
          <w:szCs w:val="24"/>
          <w:lang w:val="en-GB"/>
        </w:rPr>
        <w:tab/>
      </w:r>
      <w:r w:rsidR="00E25512" w:rsidRPr="00CC2CF5">
        <w:rPr>
          <w:rFonts w:cs="Arial"/>
          <w:i/>
          <w:iCs/>
          <w:szCs w:val="24"/>
          <w:lang w:val="en-GB"/>
        </w:rPr>
        <w:t>to give reasons; or</w:t>
      </w:r>
    </w:p>
    <w:p w14:paraId="2C730695" w14:textId="48A36039" w:rsidR="00E25512" w:rsidRPr="00CC2CF5" w:rsidRDefault="00CC2CF5" w:rsidP="00CC2CF5">
      <w:pPr>
        <w:spacing w:before="360" w:after="360" w:line="360" w:lineRule="auto"/>
        <w:ind w:left="3065" w:right="439" w:hanging="513"/>
        <w:rPr>
          <w:rFonts w:cs="Arial"/>
          <w:i/>
          <w:iCs/>
          <w:szCs w:val="24"/>
          <w:lang w:val="en-GB"/>
        </w:rPr>
      </w:pPr>
      <w:r>
        <w:rPr>
          <w:rFonts w:cs="Arial"/>
          <w:i/>
          <w:iCs/>
          <w:szCs w:val="24"/>
          <w:lang w:val="en-GB"/>
        </w:rPr>
        <w:t>(ii)</w:t>
      </w:r>
      <w:r>
        <w:rPr>
          <w:rFonts w:cs="Arial"/>
          <w:i/>
          <w:iCs/>
          <w:szCs w:val="24"/>
          <w:lang w:val="en-GB"/>
        </w:rPr>
        <w:tab/>
      </w:r>
      <w:r w:rsidR="00E25512" w:rsidRPr="00CC2CF5">
        <w:rPr>
          <w:rFonts w:cs="Arial"/>
          <w:i/>
          <w:iCs/>
          <w:szCs w:val="24"/>
          <w:lang w:val="en-GB"/>
        </w:rPr>
        <w:t>to act in the manner the court or tribunal requires;</w:t>
      </w:r>
    </w:p>
    <w:p w14:paraId="40FF9A0E" w14:textId="3ADA2206" w:rsidR="00D138B7" w:rsidRPr="00CC2CF5" w:rsidRDefault="00CC2CF5" w:rsidP="00CC2CF5">
      <w:pPr>
        <w:spacing w:before="360" w:after="360" w:line="360" w:lineRule="auto"/>
        <w:ind w:left="2552" w:right="439" w:hanging="567"/>
        <w:rPr>
          <w:rFonts w:cs="Arial"/>
          <w:i/>
          <w:iCs/>
          <w:szCs w:val="24"/>
          <w:lang w:val="en-GB"/>
        </w:rPr>
      </w:pPr>
      <w:r>
        <w:rPr>
          <w:rFonts w:cs="Arial"/>
          <w:i/>
          <w:iCs/>
          <w:szCs w:val="24"/>
          <w:lang w:val="en-GB"/>
        </w:rPr>
        <w:t>(b)</w:t>
      </w:r>
      <w:r>
        <w:rPr>
          <w:rFonts w:cs="Arial"/>
          <w:i/>
          <w:iCs/>
          <w:szCs w:val="24"/>
          <w:lang w:val="en-GB"/>
        </w:rPr>
        <w:tab/>
      </w:r>
      <w:r w:rsidR="00D138B7" w:rsidRPr="00CC2CF5">
        <w:rPr>
          <w:rFonts w:cs="Arial"/>
          <w:i/>
          <w:iCs/>
          <w:szCs w:val="24"/>
          <w:lang w:val="en-GB"/>
        </w:rPr>
        <w:t>Prohibiting the administrator from acting in a particular manner;</w:t>
      </w:r>
    </w:p>
    <w:p w14:paraId="393A212F" w14:textId="4BB752A0" w:rsidR="00D138B7" w:rsidRPr="00CC2CF5" w:rsidRDefault="00CC2CF5" w:rsidP="00CC2CF5">
      <w:pPr>
        <w:spacing w:before="360" w:after="360" w:line="360" w:lineRule="auto"/>
        <w:ind w:left="2552" w:right="439" w:hanging="567"/>
        <w:rPr>
          <w:rFonts w:cs="Arial"/>
          <w:i/>
          <w:iCs/>
          <w:szCs w:val="24"/>
          <w:lang w:val="en-GB"/>
        </w:rPr>
      </w:pPr>
      <w:r>
        <w:rPr>
          <w:rFonts w:cs="Arial"/>
          <w:i/>
          <w:iCs/>
          <w:szCs w:val="24"/>
          <w:lang w:val="en-GB"/>
        </w:rPr>
        <w:t>(c)</w:t>
      </w:r>
      <w:r>
        <w:rPr>
          <w:rFonts w:cs="Arial"/>
          <w:i/>
          <w:iCs/>
          <w:szCs w:val="24"/>
          <w:lang w:val="en-GB"/>
        </w:rPr>
        <w:tab/>
      </w:r>
      <w:r w:rsidR="00D138B7" w:rsidRPr="00CC2CF5">
        <w:rPr>
          <w:rFonts w:cs="Arial"/>
          <w:i/>
          <w:iCs/>
          <w:szCs w:val="24"/>
          <w:lang w:val="en-GB"/>
        </w:rPr>
        <w:t>Setting aside the administrative action and –</w:t>
      </w:r>
    </w:p>
    <w:p w14:paraId="1069AE52" w14:textId="0511B457" w:rsidR="00D138B7" w:rsidRPr="00CC2CF5" w:rsidRDefault="00CC2CF5" w:rsidP="00CC2CF5">
      <w:pPr>
        <w:spacing w:before="360" w:after="360" w:line="360" w:lineRule="auto"/>
        <w:ind w:left="3065" w:right="439" w:hanging="513"/>
        <w:rPr>
          <w:rFonts w:cs="Arial"/>
          <w:i/>
          <w:iCs/>
          <w:szCs w:val="24"/>
          <w:lang w:val="en-GB"/>
        </w:rPr>
      </w:pPr>
      <w:r>
        <w:rPr>
          <w:rFonts w:cs="Arial"/>
          <w:i/>
          <w:iCs/>
          <w:szCs w:val="24"/>
          <w:lang w:val="en-GB"/>
        </w:rPr>
        <w:t>(i)</w:t>
      </w:r>
      <w:r>
        <w:rPr>
          <w:rFonts w:cs="Arial"/>
          <w:i/>
          <w:iCs/>
          <w:szCs w:val="24"/>
          <w:lang w:val="en-GB"/>
        </w:rPr>
        <w:tab/>
      </w:r>
      <w:r w:rsidR="00D138B7" w:rsidRPr="00CC2CF5">
        <w:rPr>
          <w:rFonts w:cs="Arial"/>
          <w:i/>
          <w:iCs/>
          <w:szCs w:val="24"/>
          <w:lang w:val="en-GB"/>
        </w:rPr>
        <w:t xml:space="preserve">remitting the matter </w:t>
      </w:r>
      <w:r w:rsidR="00E25512" w:rsidRPr="00CC2CF5">
        <w:rPr>
          <w:rFonts w:cs="Arial"/>
          <w:i/>
          <w:iCs/>
          <w:szCs w:val="24"/>
          <w:lang w:val="en-GB"/>
        </w:rPr>
        <w:t>for reconsideration by the administrator, with or without directions; or</w:t>
      </w:r>
    </w:p>
    <w:p w14:paraId="72410F6A" w14:textId="4BBA411A" w:rsidR="00E25512" w:rsidRPr="00CC2CF5" w:rsidRDefault="00CC2CF5" w:rsidP="00CC2CF5">
      <w:pPr>
        <w:spacing w:before="360" w:after="360" w:line="360" w:lineRule="auto"/>
        <w:ind w:left="3065" w:right="439" w:hanging="513"/>
        <w:rPr>
          <w:rFonts w:cs="Arial"/>
          <w:i/>
          <w:iCs/>
          <w:szCs w:val="24"/>
          <w:lang w:val="en-GB"/>
        </w:rPr>
      </w:pPr>
      <w:r>
        <w:rPr>
          <w:rFonts w:cs="Arial"/>
          <w:i/>
          <w:iCs/>
          <w:szCs w:val="24"/>
          <w:lang w:val="en-GB"/>
        </w:rPr>
        <w:t>(ii)</w:t>
      </w:r>
      <w:r>
        <w:rPr>
          <w:rFonts w:cs="Arial"/>
          <w:i/>
          <w:iCs/>
          <w:szCs w:val="24"/>
          <w:lang w:val="en-GB"/>
        </w:rPr>
        <w:tab/>
      </w:r>
      <w:r w:rsidR="00E25512" w:rsidRPr="00CC2CF5">
        <w:rPr>
          <w:rFonts w:cs="Arial"/>
          <w:i/>
          <w:iCs/>
          <w:szCs w:val="24"/>
          <w:lang w:val="en-GB"/>
        </w:rPr>
        <w:t>in exceptional cases –</w:t>
      </w:r>
    </w:p>
    <w:p w14:paraId="588CE806" w14:textId="332E9ABD" w:rsidR="00E25512" w:rsidRDefault="00E25512" w:rsidP="00E25512">
      <w:pPr>
        <w:pStyle w:val="ListParagraph"/>
        <w:spacing w:before="360" w:after="360" w:line="360" w:lineRule="auto"/>
        <w:ind w:left="3686" w:right="439" w:hanging="621"/>
        <w:rPr>
          <w:rFonts w:cs="Arial"/>
          <w:i/>
          <w:iCs/>
          <w:szCs w:val="24"/>
          <w:lang w:val="en-GB"/>
        </w:rPr>
      </w:pPr>
      <w:r>
        <w:rPr>
          <w:rFonts w:cs="Arial"/>
          <w:i/>
          <w:iCs/>
          <w:szCs w:val="24"/>
          <w:lang w:val="en-GB"/>
        </w:rPr>
        <w:t>(aa)</w:t>
      </w:r>
      <w:r>
        <w:rPr>
          <w:rFonts w:cs="Arial"/>
          <w:i/>
          <w:iCs/>
          <w:szCs w:val="24"/>
          <w:lang w:val="en-GB"/>
        </w:rPr>
        <w:tab/>
        <w:t xml:space="preserve">substituting or varying the administrative action or correcting a defect resulting from the administrative action; or </w:t>
      </w:r>
    </w:p>
    <w:p w14:paraId="39051AC1" w14:textId="4480ED45" w:rsidR="00E25512" w:rsidRDefault="00E25512" w:rsidP="00E25512">
      <w:pPr>
        <w:pStyle w:val="ListParagraph"/>
        <w:spacing w:before="360" w:after="360" w:line="360" w:lineRule="auto"/>
        <w:ind w:left="3686" w:right="439" w:hanging="621"/>
        <w:rPr>
          <w:rFonts w:cs="Arial"/>
          <w:i/>
          <w:iCs/>
          <w:szCs w:val="24"/>
          <w:lang w:val="en-GB"/>
        </w:rPr>
      </w:pPr>
      <w:r>
        <w:rPr>
          <w:rFonts w:cs="Arial"/>
          <w:i/>
          <w:iCs/>
          <w:szCs w:val="24"/>
          <w:lang w:val="en-GB"/>
        </w:rPr>
        <w:lastRenderedPageBreak/>
        <w:t>(bb)</w:t>
      </w:r>
      <w:r>
        <w:rPr>
          <w:rFonts w:cs="Arial"/>
          <w:i/>
          <w:iCs/>
          <w:szCs w:val="24"/>
          <w:lang w:val="en-GB"/>
        </w:rPr>
        <w:tab/>
        <w:t>directing the administrator or any other party to the proceedings to pay compensation;</w:t>
      </w:r>
    </w:p>
    <w:p w14:paraId="264B5665" w14:textId="04FE4D59" w:rsidR="00D138B7" w:rsidRPr="00E25512" w:rsidRDefault="00E25512" w:rsidP="00E25512">
      <w:pPr>
        <w:pStyle w:val="ListParagraph"/>
        <w:spacing w:before="360" w:after="360" w:line="360" w:lineRule="auto"/>
        <w:ind w:left="3686" w:right="439" w:hanging="621"/>
        <w:rPr>
          <w:rFonts w:cs="Arial"/>
          <w:i/>
          <w:iCs/>
          <w:szCs w:val="24"/>
          <w:lang w:val="en-GB"/>
        </w:rPr>
      </w:pPr>
      <w:r>
        <w:rPr>
          <w:rFonts w:cs="Arial"/>
          <w:i/>
          <w:iCs/>
          <w:szCs w:val="24"/>
          <w:lang w:val="en-GB"/>
        </w:rPr>
        <w:t>…”</w:t>
      </w:r>
      <w:r w:rsidR="00D138B7" w:rsidRPr="00E25512">
        <w:rPr>
          <w:rFonts w:cs="Arial"/>
          <w:szCs w:val="24"/>
          <w:lang w:val="en-GB"/>
        </w:rPr>
        <w:t xml:space="preserve"> </w:t>
      </w:r>
    </w:p>
    <w:p w14:paraId="10197864" w14:textId="3CF4961B" w:rsidR="005033EE"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69.</w:t>
      </w:r>
      <w:r w:rsidRPr="00961D21">
        <w:rPr>
          <w:rFonts w:cs="Arial"/>
          <w:w w:val="99"/>
          <w:szCs w:val="24"/>
        </w:rPr>
        <w:tab/>
      </w:r>
      <w:r w:rsidR="006F4748" w:rsidRPr="00CC2CF5">
        <w:rPr>
          <w:lang w:val="en-GB"/>
        </w:rPr>
        <w:t>The setting aside of</w:t>
      </w:r>
      <w:r w:rsidR="006262F2" w:rsidRPr="00CC2CF5">
        <w:rPr>
          <w:lang w:val="en-GB"/>
        </w:rPr>
        <w:t xml:space="preserve"> an</w:t>
      </w:r>
      <w:r w:rsidR="006F4748" w:rsidRPr="00CC2CF5">
        <w:rPr>
          <w:lang w:val="en-GB"/>
        </w:rPr>
        <w:t xml:space="preserve"> administrative action may not properly remedy the matter and the courts will usually exercise the power to remit the matter for reconsideration by the administrator.  This is affirmed as a general power in section 8(1)(c)(i) of PAJA, and it is accepted that this is</w:t>
      </w:r>
      <w:r w:rsidR="00163DA9" w:rsidRPr="00CC2CF5">
        <w:rPr>
          <w:lang w:val="en-GB"/>
        </w:rPr>
        <w:t xml:space="preserve"> usually </w:t>
      </w:r>
      <w:r w:rsidR="006F4748" w:rsidRPr="00CC2CF5">
        <w:rPr>
          <w:lang w:val="en-GB"/>
        </w:rPr>
        <w:t xml:space="preserve">the prudent and proper course. </w:t>
      </w:r>
      <w:r w:rsidR="00163DA9" w:rsidRPr="00CC2CF5">
        <w:rPr>
          <w:lang w:val="en-GB"/>
        </w:rPr>
        <w:t xml:space="preserve">In </w:t>
      </w:r>
      <w:r w:rsidR="006F4748" w:rsidRPr="00CC2CF5">
        <w:rPr>
          <w:lang w:val="en-GB"/>
        </w:rPr>
        <w:t>general terms</w:t>
      </w:r>
      <w:r w:rsidR="00A57BBF" w:rsidRPr="00CC2CF5">
        <w:rPr>
          <w:lang w:val="en-GB"/>
        </w:rPr>
        <w:t>,</w:t>
      </w:r>
      <w:r w:rsidR="006F4748" w:rsidRPr="00CC2CF5">
        <w:rPr>
          <w:lang w:val="en-GB"/>
        </w:rPr>
        <w:t xml:space="preserve"> this will suffice unless</w:t>
      </w:r>
      <w:r w:rsidR="00E25512" w:rsidRPr="00CC2CF5">
        <w:rPr>
          <w:lang w:val="en-GB"/>
        </w:rPr>
        <w:t xml:space="preserve"> it </w:t>
      </w:r>
      <w:r w:rsidR="006F4748" w:rsidRPr="00CC2CF5">
        <w:rPr>
          <w:lang w:val="en-GB"/>
        </w:rPr>
        <w:t xml:space="preserve">is not sufficient to achieve a just and equitable remedy. Section 8(1)(c)(ii) of PAJA recognises the exceptional case where the </w:t>
      </w:r>
      <w:r w:rsidR="00163DA9" w:rsidRPr="00CC2CF5">
        <w:rPr>
          <w:lang w:val="en-GB"/>
        </w:rPr>
        <w:t xml:space="preserve">court </w:t>
      </w:r>
      <w:r w:rsidR="006F4748" w:rsidRPr="00CC2CF5">
        <w:rPr>
          <w:lang w:val="en-GB"/>
        </w:rPr>
        <w:t>m</w:t>
      </w:r>
      <w:r w:rsidR="009D4302" w:rsidRPr="00CC2CF5">
        <w:rPr>
          <w:lang w:val="en-GB"/>
        </w:rPr>
        <w:t>a</w:t>
      </w:r>
      <w:r w:rsidR="006F4748" w:rsidRPr="00CC2CF5">
        <w:rPr>
          <w:lang w:val="en-GB"/>
        </w:rPr>
        <w:t xml:space="preserve">y substitute </w:t>
      </w:r>
      <w:r w:rsidR="00E25512" w:rsidRPr="00CC2CF5">
        <w:rPr>
          <w:lang w:val="en-GB"/>
        </w:rPr>
        <w:t xml:space="preserve">or vary </w:t>
      </w:r>
      <w:r w:rsidR="00163DA9" w:rsidRPr="00CC2CF5">
        <w:rPr>
          <w:lang w:val="en-GB"/>
        </w:rPr>
        <w:t xml:space="preserve">the </w:t>
      </w:r>
      <w:r w:rsidR="00E25512" w:rsidRPr="00CC2CF5">
        <w:rPr>
          <w:lang w:val="en-GB"/>
        </w:rPr>
        <w:t xml:space="preserve">administrative action or </w:t>
      </w:r>
      <w:r w:rsidR="00163DA9" w:rsidRPr="00CC2CF5">
        <w:rPr>
          <w:lang w:val="en-GB"/>
        </w:rPr>
        <w:t xml:space="preserve">decision </w:t>
      </w:r>
      <w:r w:rsidR="006F4748" w:rsidRPr="00CC2CF5">
        <w:rPr>
          <w:lang w:val="en-GB"/>
        </w:rPr>
        <w:t>for that of the decision</w:t>
      </w:r>
      <w:r w:rsidR="00163DA9" w:rsidRPr="00CC2CF5">
        <w:rPr>
          <w:lang w:val="en-GB"/>
        </w:rPr>
        <w:t>-</w:t>
      </w:r>
      <w:r w:rsidR="006F4748" w:rsidRPr="00CC2CF5">
        <w:rPr>
          <w:lang w:val="en-GB"/>
        </w:rPr>
        <w:t>maker</w:t>
      </w:r>
      <w:r w:rsidR="00163DA9" w:rsidRPr="00CC2CF5">
        <w:rPr>
          <w:lang w:val="en-GB"/>
        </w:rPr>
        <w:t>/administrator</w:t>
      </w:r>
      <w:r w:rsidR="006F4748" w:rsidRPr="00CC2CF5">
        <w:rPr>
          <w:lang w:val="en-GB"/>
        </w:rPr>
        <w:t xml:space="preserve">.  </w:t>
      </w:r>
    </w:p>
    <w:p w14:paraId="3D229918" w14:textId="6EFBE13F" w:rsidR="0059432F"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70.</w:t>
      </w:r>
      <w:r w:rsidRPr="00961D21">
        <w:rPr>
          <w:rFonts w:cs="Arial"/>
          <w:w w:val="99"/>
          <w:szCs w:val="24"/>
        </w:rPr>
        <w:tab/>
      </w:r>
      <w:r w:rsidR="006F4748" w:rsidRPr="00CC2CF5">
        <w:rPr>
          <w:lang w:val="en-GB"/>
        </w:rPr>
        <w:t xml:space="preserve">To decide whether a case is exceptional, the </w:t>
      </w:r>
      <w:r w:rsidR="00163DA9" w:rsidRPr="00CC2CF5">
        <w:rPr>
          <w:lang w:val="en-GB"/>
        </w:rPr>
        <w:t xml:space="preserve">court </w:t>
      </w:r>
      <w:r w:rsidR="006F4748" w:rsidRPr="00CC2CF5">
        <w:rPr>
          <w:lang w:val="en-GB"/>
        </w:rPr>
        <w:t xml:space="preserve">will consider all the facts, and </w:t>
      </w:r>
      <w:r w:rsidR="00E25512" w:rsidRPr="00CC2CF5">
        <w:rPr>
          <w:lang w:val="en-GB"/>
        </w:rPr>
        <w:t xml:space="preserve">whether </w:t>
      </w:r>
      <w:r w:rsidR="006F4748" w:rsidRPr="00CC2CF5">
        <w:rPr>
          <w:color w:val="000000" w:themeColor="text1"/>
          <w:lang w:val="en-GB"/>
        </w:rPr>
        <w:t>the</w:t>
      </w:r>
      <w:r w:rsidR="006F4748" w:rsidRPr="00CC2CF5">
        <w:rPr>
          <w:lang w:val="en-GB"/>
        </w:rPr>
        <w:t xml:space="preserve"> decision should not be left to the decision</w:t>
      </w:r>
      <w:r w:rsidR="00163DA9" w:rsidRPr="00CC2CF5">
        <w:rPr>
          <w:lang w:val="en-GB"/>
        </w:rPr>
        <w:t>-</w:t>
      </w:r>
      <w:r w:rsidR="006F4748" w:rsidRPr="00CC2CF5">
        <w:rPr>
          <w:lang w:val="en-GB"/>
        </w:rPr>
        <w:t xml:space="preserve">maker.  </w:t>
      </w:r>
      <w:r w:rsidR="00E25512" w:rsidRPr="00CC2CF5">
        <w:rPr>
          <w:lang w:val="en-GB"/>
        </w:rPr>
        <w:t xml:space="preserve">The application of </w:t>
      </w:r>
      <w:r w:rsidR="00E25512" w:rsidRPr="00CC2CF5">
        <w:rPr>
          <w:color w:val="000000" w:themeColor="text1"/>
          <w:lang w:val="en-GB"/>
        </w:rPr>
        <w:t>this</w:t>
      </w:r>
      <w:r w:rsidR="00E25512" w:rsidRPr="00CC2CF5">
        <w:rPr>
          <w:lang w:val="en-GB"/>
        </w:rPr>
        <w:t xml:space="preserve"> provision will depend on the circumstances of each </w:t>
      </w:r>
      <w:r w:rsidR="00272319" w:rsidRPr="00CC2CF5">
        <w:rPr>
          <w:lang w:val="en-GB"/>
        </w:rPr>
        <w:t>case</w:t>
      </w:r>
      <w:r w:rsidR="00E25512" w:rsidRPr="00CC2CF5">
        <w:rPr>
          <w:lang w:val="en-GB"/>
        </w:rPr>
        <w:t xml:space="preserve">. </w:t>
      </w:r>
      <w:r w:rsidR="00E25512">
        <w:rPr>
          <w:rStyle w:val="FootnoteReference"/>
          <w:lang w:val="en-GB"/>
        </w:rPr>
        <w:footnoteReference w:id="17"/>
      </w:r>
      <w:r w:rsidR="006F4748" w:rsidRPr="00CC2CF5">
        <w:rPr>
          <w:lang w:val="en-GB"/>
        </w:rPr>
        <w:t>The following factors must be considered:</w:t>
      </w:r>
    </w:p>
    <w:p w14:paraId="6A072C05" w14:textId="773B079D" w:rsidR="0059432F"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70.1.</w:t>
      </w:r>
      <w:r w:rsidRPr="00961D21">
        <w:rPr>
          <w:rFonts w:cs="Arial"/>
          <w:szCs w:val="24"/>
        </w:rPr>
        <w:tab/>
      </w:r>
      <w:r w:rsidR="006F4748" w:rsidRPr="00CC2CF5">
        <w:rPr>
          <w:lang w:val="en-GB"/>
        </w:rPr>
        <w:t xml:space="preserve">Whether it would serve </w:t>
      </w:r>
      <w:r w:rsidR="002764E4" w:rsidRPr="00CC2CF5">
        <w:rPr>
          <w:lang w:val="en-GB"/>
        </w:rPr>
        <w:t xml:space="preserve">any </w:t>
      </w:r>
      <w:r w:rsidR="006F4748" w:rsidRPr="00CC2CF5">
        <w:rPr>
          <w:lang w:val="en-GB"/>
        </w:rPr>
        <w:t>purpose to remit the matter</w:t>
      </w:r>
      <w:r w:rsidR="006F4748" w:rsidRPr="00961D21">
        <w:rPr>
          <w:rStyle w:val="FootnoteReference"/>
          <w:lang w:val="en-GB"/>
        </w:rPr>
        <w:footnoteReference w:id="18"/>
      </w:r>
      <w:r w:rsidR="006F4748" w:rsidRPr="00CC2CF5">
        <w:rPr>
          <w:lang w:val="en-GB"/>
        </w:rPr>
        <w:t>;</w:t>
      </w:r>
    </w:p>
    <w:p w14:paraId="5ED3E5DD" w14:textId="59582D23" w:rsidR="0059432F"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70.2.</w:t>
      </w:r>
      <w:r w:rsidRPr="00961D21">
        <w:rPr>
          <w:rFonts w:cs="Arial"/>
          <w:szCs w:val="24"/>
        </w:rPr>
        <w:tab/>
      </w:r>
      <w:r w:rsidR="00163DA9" w:rsidRPr="00CC2CF5">
        <w:rPr>
          <w:lang w:val="en-GB"/>
        </w:rPr>
        <w:t xml:space="preserve">Whether a </w:t>
      </w:r>
      <w:r w:rsidR="006F4748" w:rsidRPr="00CC2CF5">
        <w:rPr>
          <w:lang w:val="en-GB"/>
        </w:rPr>
        <w:t>further delay would cause undue prejudice to the other party</w:t>
      </w:r>
      <w:r w:rsidR="006F4748" w:rsidRPr="00961D21">
        <w:rPr>
          <w:rStyle w:val="FootnoteReference"/>
          <w:lang w:val="en-GB"/>
        </w:rPr>
        <w:footnoteReference w:id="19"/>
      </w:r>
      <w:r w:rsidR="006F4748" w:rsidRPr="00CC2CF5">
        <w:rPr>
          <w:lang w:val="en-GB"/>
        </w:rPr>
        <w:t>;</w:t>
      </w:r>
    </w:p>
    <w:p w14:paraId="414C40AF" w14:textId="408EA148" w:rsidR="0059432F"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70.3.</w:t>
      </w:r>
      <w:r w:rsidRPr="00961D21">
        <w:rPr>
          <w:rFonts w:cs="Arial"/>
          <w:szCs w:val="24"/>
        </w:rPr>
        <w:tab/>
      </w:r>
      <w:r w:rsidR="00163DA9" w:rsidRPr="00CC2CF5">
        <w:rPr>
          <w:lang w:val="en-GB"/>
        </w:rPr>
        <w:t>Whether the c</w:t>
      </w:r>
      <w:r w:rsidR="006F4748" w:rsidRPr="00CC2CF5">
        <w:rPr>
          <w:lang w:val="en-GB"/>
        </w:rPr>
        <w:t>ourt is in as good a position as the decision-maker to make the decision</w:t>
      </w:r>
      <w:r w:rsidR="006F4748" w:rsidRPr="00961D21">
        <w:rPr>
          <w:rStyle w:val="FootnoteReference"/>
          <w:lang w:val="en-GB"/>
        </w:rPr>
        <w:footnoteReference w:id="20"/>
      </w:r>
      <w:r w:rsidR="006F4748" w:rsidRPr="00CC2CF5">
        <w:rPr>
          <w:lang w:val="en-GB"/>
        </w:rPr>
        <w:t>;</w:t>
      </w:r>
    </w:p>
    <w:p w14:paraId="441354EE" w14:textId="6AC70ABE" w:rsidR="0059432F"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70.4.</w:t>
      </w:r>
      <w:r w:rsidRPr="00961D21">
        <w:rPr>
          <w:rFonts w:cs="Arial"/>
          <w:szCs w:val="24"/>
        </w:rPr>
        <w:tab/>
      </w:r>
      <w:r w:rsidR="006F4748" w:rsidRPr="00CC2CF5">
        <w:rPr>
          <w:lang w:val="en-GB"/>
        </w:rPr>
        <w:t>Th</w:t>
      </w:r>
      <w:r w:rsidR="00163DA9" w:rsidRPr="00CC2CF5">
        <w:rPr>
          <w:lang w:val="en-GB"/>
        </w:rPr>
        <w:t>at th</w:t>
      </w:r>
      <w:r w:rsidR="006F4748" w:rsidRPr="00CC2CF5">
        <w:rPr>
          <w:lang w:val="en-GB"/>
        </w:rPr>
        <w:t xml:space="preserve">e decision-maker might not fairly apply his or her mind if the </w:t>
      </w:r>
      <w:r w:rsidR="006F4748" w:rsidRPr="00CC2CF5">
        <w:rPr>
          <w:lang w:val="en-GB"/>
        </w:rPr>
        <w:lastRenderedPageBreak/>
        <w:t>matter were to be remitted</w:t>
      </w:r>
      <w:r w:rsidR="006F4748" w:rsidRPr="00961D21">
        <w:rPr>
          <w:rStyle w:val="FootnoteReference"/>
          <w:lang w:val="en-GB"/>
        </w:rPr>
        <w:footnoteReference w:id="21"/>
      </w:r>
      <w:r w:rsidR="006F4748" w:rsidRPr="00CC2CF5">
        <w:rPr>
          <w:lang w:val="en-GB"/>
        </w:rPr>
        <w:t>.</w:t>
      </w:r>
    </w:p>
    <w:p w14:paraId="4B7CBE2C" w14:textId="332E4158" w:rsidR="0059432F"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71.</w:t>
      </w:r>
      <w:r w:rsidRPr="00961D21">
        <w:rPr>
          <w:rFonts w:cs="Arial"/>
          <w:w w:val="99"/>
          <w:szCs w:val="24"/>
        </w:rPr>
        <w:tab/>
      </w:r>
      <w:r w:rsidR="006F4748" w:rsidRPr="00CC2CF5">
        <w:rPr>
          <w:lang w:val="en-GB"/>
        </w:rPr>
        <w:t>In UWC v MEC for Health and Social Services</w:t>
      </w:r>
      <w:r w:rsidR="006F4748" w:rsidRPr="00961D21">
        <w:rPr>
          <w:rStyle w:val="FootnoteReference"/>
          <w:lang w:val="en-GB"/>
        </w:rPr>
        <w:footnoteReference w:id="22"/>
      </w:r>
      <w:r w:rsidR="006F4748" w:rsidRPr="00CC2CF5">
        <w:rPr>
          <w:lang w:val="en-GB"/>
        </w:rPr>
        <w:t>, the court summarised the general position in respect of remedies, commenting that the mere fact that a court considers itself as qualified as the administrator</w:t>
      </w:r>
      <w:r w:rsidR="002764E4" w:rsidRPr="00CC2CF5">
        <w:rPr>
          <w:lang w:val="en-GB"/>
        </w:rPr>
        <w:t xml:space="preserve"> to take a decision</w:t>
      </w:r>
      <w:r w:rsidR="006F4748" w:rsidRPr="00CC2CF5">
        <w:rPr>
          <w:lang w:val="en-GB"/>
        </w:rPr>
        <w:t xml:space="preserve">, does not of its own justify usurping the administrator’s powers and functions. The </w:t>
      </w:r>
      <w:r w:rsidR="00163DA9" w:rsidRPr="00CC2CF5">
        <w:rPr>
          <w:lang w:val="en-GB"/>
        </w:rPr>
        <w:t xml:space="preserve">court </w:t>
      </w:r>
      <w:r w:rsidR="006F4748" w:rsidRPr="00CC2CF5">
        <w:rPr>
          <w:lang w:val="en-GB"/>
        </w:rPr>
        <w:t>went on to point out that in some cases</w:t>
      </w:r>
      <w:r w:rsidR="00377350" w:rsidRPr="00CC2CF5">
        <w:rPr>
          <w:lang w:val="en-GB"/>
        </w:rPr>
        <w:t>,</w:t>
      </w:r>
      <w:r w:rsidR="006F4748" w:rsidRPr="00CC2CF5">
        <w:rPr>
          <w:lang w:val="en-GB"/>
        </w:rPr>
        <w:t xml:space="preserve"> however</w:t>
      </w:r>
      <w:r w:rsidR="00377350" w:rsidRPr="00CC2CF5">
        <w:rPr>
          <w:lang w:val="en-GB"/>
        </w:rPr>
        <w:t>,</w:t>
      </w:r>
      <w:r w:rsidR="006F4748" w:rsidRPr="00CC2CF5">
        <w:rPr>
          <w:lang w:val="en-GB"/>
        </w:rPr>
        <w:t xml:space="preserve"> fairness to </w:t>
      </w:r>
      <w:r w:rsidR="00163DA9" w:rsidRPr="00CC2CF5">
        <w:rPr>
          <w:lang w:val="en-GB"/>
        </w:rPr>
        <w:t>an</w:t>
      </w:r>
      <w:r w:rsidR="006F4748" w:rsidRPr="00CC2CF5">
        <w:rPr>
          <w:lang w:val="en-GB"/>
        </w:rPr>
        <w:t xml:space="preserve"> applicant may demand that the court should take such a view.</w:t>
      </w:r>
    </w:p>
    <w:p w14:paraId="37E558FD" w14:textId="54C5FE37" w:rsidR="0059432F"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72.</w:t>
      </w:r>
      <w:r w:rsidRPr="00961D21">
        <w:rPr>
          <w:rFonts w:cs="Arial"/>
          <w:w w:val="99"/>
          <w:szCs w:val="24"/>
        </w:rPr>
        <w:tab/>
      </w:r>
      <w:r w:rsidR="00163DA9" w:rsidRPr="00CC2CF5">
        <w:rPr>
          <w:lang w:val="en-GB"/>
        </w:rPr>
        <w:t xml:space="preserve">The </w:t>
      </w:r>
      <w:r w:rsidR="006F4748" w:rsidRPr="00CC2CF5">
        <w:rPr>
          <w:lang w:val="en-GB"/>
        </w:rPr>
        <w:t>Constitutional Court has emphasised the need for effective remedies</w:t>
      </w:r>
      <w:r w:rsidR="006F4748" w:rsidRPr="00961D21">
        <w:rPr>
          <w:rStyle w:val="FootnoteReference"/>
          <w:lang w:val="en-GB"/>
        </w:rPr>
        <w:footnoteReference w:id="23"/>
      </w:r>
      <w:r w:rsidR="006F4748" w:rsidRPr="00CC2CF5">
        <w:rPr>
          <w:lang w:val="en-GB"/>
        </w:rPr>
        <w:t xml:space="preserve">.  A good example </w:t>
      </w:r>
      <w:r w:rsidR="00A30654" w:rsidRPr="00CC2CF5">
        <w:rPr>
          <w:lang w:val="en-GB"/>
        </w:rPr>
        <w:t xml:space="preserve">can be </w:t>
      </w:r>
      <w:r w:rsidR="00163DA9" w:rsidRPr="00CC2CF5">
        <w:rPr>
          <w:lang w:val="en-GB"/>
        </w:rPr>
        <w:t xml:space="preserve">found in the judgment of </w:t>
      </w:r>
      <w:r w:rsidR="006F4748" w:rsidRPr="00CC2CF5">
        <w:rPr>
          <w:lang w:val="en-GB"/>
        </w:rPr>
        <w:t>Hoffmann v South African Airways</w:t>
      </w:r>
      <w:r w:rsidR="006F4748" w:rsidRPr="00961D21">
        <w:rPr>
          <w:rStyle w:val="FootnoteReference"/>
          <w:lang w:val="en-GB"/>
        </w:rPr>
        <w:footnoteReference w:id="24"/>
      </w:r>
      <w:r w:rsidR="006F4748" w:rsidRPr="00CC2CF5">
        <w:rPr>
          <w:b/>
          <w:bCs/>
          <w:lang w:val="en-GB"/>
        </w:rPr>
        <w:t xml:space="preserve"> </w:t>
      </w:r>
      <w:r w:rsidR="006F4748" w:rsidRPr="00CC2CF5">
        <w:rPr>
          <w:lang w:val="en-GB"/>
        </w:rPr>
        <w:t xml:space="preserve">where the Constitutional Court ordered an employer to appoint an applicant who had been turned down </w:t>
      </w:r>
      <w:r w:rsidR="00272319" w:rsidRPr="00CC2CF5">
        <w:rPr>
          <w:lang w:val="en-GB"/>
        </w:rPr>
        <w:t>based on</w:t>
      </w:r>
      <w:r w:rsidR="006F4748" w:rsidRPr="00CC2CF5">
        <w:rPr>
          <w:lang w:val="en-GB"/>
        </w:rPr>
        <w:t xml:space="preserve"> his </w:t>
      </w:r>
      <w:r w:rsidR="00C8320A" w:rsidRPr="00CC2CF5">
        <w:rPr>
          <w:lang w:val="en-GB"/>
        </w:rPr>
        <w:t>HIV-positive</w:t>
      </w:r>
      <w:r w:rsidR="006F4748" w:rsidRPr="00CC2CF5">
        <w:rPr>
          <w:lang w:val="en-GB"/>
        </w:rPr>
        <w:t xml:space="preserve"> status.</w:t>
      </w:r>
    </w:p>
    <w:p w14:paraId="03651F9E" w14:textId="60B28706" w:rsidR="0059432F"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73.</w:t>
      </w:r>
      <w:r w:rsidRPr="00961D21">
        <w:rPr>
          <w:rFonts w:cs="Arial"/>
          <w:w w:val="99"/>
          <w:szCs w:val="24"/>
        </w:rPr>
        <w:tab/>
      </w:r>
      <w:r w:rsidR="006F4748" w:rsidRPr="00CC2CF5">
        <w:rPr>
          <w:lang w:val="en-GB"/>
        </w:rPr>
        <w:t>In Trencon Construction (Pty) Ltd v Industrial Development Corporation of South Africa Limited and Another</w:t>
      </w:r>
      <w:r w:rsidR="006F4748" w:rsidRPr="00961D21">
        <w:rPr>
          <w:rStyle w:val="FootnoteReference"/>
          <w:lang w:val="en-GB"/>
        </w:rPr>
        <w:footnoteReference w:id="25"/>
      </w:r>
      <w:r w:rsidR="006F4748" w:rsidRPr="00CC2CF5">
        <w:rPr>
          <w:lang w:val="en-GB"/>
        </w:rPr>
        <w:t xml:space="preserve">, the Constitutional Court </w:t>
      </w:r>
      <w:r w:rsidR="00243DB9" w:rsidRPr="00CC2CF5">
        <w:rPr>
          <w:lang w:val="en-GB"/>
        </w:rPr>
        <w:t xml:space="preserve">comprehensively </w:t>
      </w:r>
      <w:r w:rsidR="006F4748" w:rsidRPr="00CC2CF5">
        <w:rPr>
          <w:lang w:val="en-GB"/>
        </w:rPr>
        <w:t>analysed the law relevant to a substitution order as follows:</w:t>
      </w:r>
    </w:p>
    <w:p w14:paraId="0C362369" w14:textId="77777777" w:rsidR="0059432F" w:rsidRPr="00961D21" w:rsidRDefault="0059432F" w:rsidP="0059432F">
      <w:pPr>
        <w:pStyle w:val="quotation"/>
        <w:spacing w:line="480" w:lineRule="auto"/>
        <w:ind w:left="1985" w:hanging="567"/>
        <w:rPr>
          <w:lang w:val="en-GB"/>
        </w:rPr>
      </w:pPr>
      <w:r w:rsidRPr="00961D21">
        <w:rPr>
          <w:lang w:val="en-GB"/>
        </w:rPr>
        <w:t xml:space="preserve">“(1) </w:t>
      </w:r>
      <w:r w:rsidRPr="00961D21">
        <w:rPr>
          <w:lang w:val="en-GB"/>
        </w:rPr>
        <w:tab/>
        <w:t>Exceptional circumstances test</w:t>
      </w:r>
    </w:p>
    <w:p w14:paraId="566DFB47" w14:textId="6700A37E" w:rsidR="0059432F" w:rsidRPr="00961D21" w:rsidRDefault="0059432F" w:rsidP="0059432F">
      <w:pPr>
        <w:pStyle w:val="quotation"/>
        <w:spacing w:line="360" w:lineRule="auto"/>
        <w:ind w:left="2835" w:hanging="850"/>
        <w:rPr>
          <w:lang w:val="en-GB"/>
        </w:rPr>
      </w:pPr>
      <w:r w:rsidRPr="00961D21">
        <w:rPr>
          <w:lang w:val="en-GB"/>
        </w:rPr>
        <w:t>[34]</w:t>
      </w:r>
      <w:r w:rsidRPr="00961D21">
        <w:rPr>
          <w:lang w:val="en-GB"/>
        </w:rPr>
        <w:tab/>
        <w:t>Pursuant to administrative review under section 6 of PAJA and once administrative action is set aside, section 8(1) affords courts a wide discretion to grant “any order that is just and equitable”.</w:t>
      </w:r>
      <w:r w:rsidRPr="00961D21">
        <w:rPr>
          <w:rStyle w:val="FootnoteReference"/>
          <w:i w:val="0"/>
          <w:iCs/>
          <w:lang w:val="en-GB"/>
        </w:rPr>
        <w:footnoteReference w:id="26"/>
      </w:r>
      <w:r w:rsidR="00163DA9" w:rsidRPr="00961D21">
        <w:rPr>
          <w:i w:val="0"/>
          <w:iCs/>
          <w:lang w:val="en-GB"/>
        </w:rPr>
        <w:t xml:space="preserve"> </w:t>
      </w:r>
      <w:r w:rsidR="00163DA9" w:rsidRPr="00961D21">
        <w:rPr>
          <w:lang w:val="en-GB"/>
        </w:rPr>
        <w:t>In exceptional circumstances section</w:t>
      </w:r>
      <w:r w:rsidR="00A57BBF" w:rsidRPr="00961D21">
        <w:rPr>
          <w:lang w:val="en-GB"/>
        </w:rPr>
        <w:t xml:space="preserve"> </w:t>
      </w:r>
      <w:r w:rsidR="00163DA9" w:rsidRPr="00961D21">
        <w:rPr>
          <w:lang w:val="en-GB"/>
        </w:rPr>
        <w:t>8</w:t>
      </w:r>
      <w:r w:rsidR="00BC35F7" w:rsidRPr="00961D21">
        <w:rPr>
          <w:lang w:val="en-GB"/>
        </w:rPr>
        <w:t>(</w:t>
      </w:r>
      <w:r w:rsidR="00163DA9" w:rsidRPr="00961D21">
        <w:rPr>
          <w:lang w:val="en-GB"/>
        </w:rPr>
        <w:t xml:space="preserve">1)(c)(ii)(aa) affords a court the </w:t>
      </w:r>
      <w:r w:rsidRPr="00961D21">
        <w:rPr>
          <w:lang w:val="en-GB"/>
        </w:rPr>
        <w:t>discretion to make a substitution order.</w:t>
      </w:r>
    </w:p>
    <w:p w14:paraId="04B8F75F" w14:textId="77777777" w:rsidR="0059432F" w:rsidRPr="00961D21" w:rsidRDefault="0059432F" w:rsidP="0059432F">
      <w:pPr>
        <w:pStyle w:val="quotation"/>
        <w:spacing w:line="360" w:lineRule="auto"/>
        <w:ind w:left="2835" w:hanging="850"/>
        <w:rPr>
          <w:lang w:val="en-GB"/>
        </w:rPr>
      </w:pPr>
    </w:p>
    <w:p w14:paraId="7B1F6B07" w14:textId="4DF680D3" w:rsidR="0059432F" w:rsidRPr="00961D21" w:rsidRDefault="0059432F" w:rsidP="0059432F">
      <w:pPr>
        <w:pStyle w:val="quotation"/>
        <w:spacing w:line="360" w:lineRule="auto"/>
        <w:ind w:left="2835" w:hanging="850"/>
        <w:rPr>
          <w:lang w:val="en-GB"/>
        </w:rPr>
      </w:pPr>
      <w:r w:rsidRPr="00961D21">
        <w:rPr>
          <w:lang w:val="en-GB"/>
        </w:rPr>
        <w:t>[35]</w:t>
      </w:r>
      <w:r w:rsidRPr="00961D21">
        <w:rPr>
          <w:lang w:val="en-GB"/>
        </w:rPr>
        <w:tab/>
        <w:t xml:space="preserve">Section 8(1)(c)(ii)(aa) must be read in the context of section 8(1).  Simply put, an exceptional circumstances enquiry must </w:t>
      </w:r>
      <w:r w:rsidRPr="00961D21">
        <w:rPr>
          <w:lang w:val="en-GB"/>
        </w:rPr>
        <w:lastRenderedPageBreak/>
        <w:t>take place in the context of what is just and equitable in the circumstances.  In effect, even where there are exceptional circumstances, a court must be satisfied that it would be just and equitable to grant an order of substitution.</w:t>
      </w:r>
    </w:p>
    <w:p w14:paraId="4FA6D2EC" w14:textId="77777777" w:rsidR="0059432F" w:rsidRPr="00961D21" w:rsidRDefault="0059432F" w:rsidP="0059432F">
      <w:pPr>
        <w:pStyle w:val="quotation"/>
        <w:spacing w:line="360" w:lineRule="auto"/>
        <w:ind w:left="2835" w:hanging="850"/>
        <w:rPr>
          <w:lang w:val="en-GB"/>
        </w:rPr>
      </w:pPr>
    </w:p>
    <w:p w14:paraId="2FA47881" w14:textId="73E5BD94" w:rsidR="0059432F" w:rsidRPr="00961D21" w:rsidRDefault="0059432F" w:rsidP="0059432F">
      <w:pPr>
        <w:pStyle w:val="quotation"/>
        <w:spacing w:line="360" w:lineRule="auto"/>
        <w:ind w:left="2835" w:hanging="850"/>
        <w:rPr>
          <w:iCs/>
          <w:lang w:val="en-GB"/>
        </w:rPr>
      </w:pPr>
      <w:r w:rsidRPr="00961D21">
        <w:rPr>
          <w:lang w:val="en-GB"/>
        </w:rPr>
        <w:t>[36]</w:t>
      </w:r>
      <w:r w:rsidRPr="00961D21">
        <w:rPr>
          <w:lang w:val="en-GB"/>
        </w:rPr>
        <w:tab/>
        <w:t xml:space="preserve">Long before the advent of PAJA, courts were called upon to determine circumstances in which granting an order of substitution would be appropriate.  Those courts almost invariably considered the notion of fairness as enunciated in </w:t>
      </w:r>
      <w:r w:rsidRPr="00961D21">
        <w:rPr>
          <w:iCs/>
          <w:lang w:val="en-GB"/>
        </w:rPr>
        <w:t xml:space="preserve">Livestock </w:t>
      </w:r>
      <w:r w:rsidRPr="00961D21">
        <w:rPr>
          <w:lang w:val="en-GB"/>
        </w:rPr>
        <w:t>and the</w:t>
      </w:r>
      <w:r w:rsidRPr="00961D21">
        <w:rPr>
          <w:i w:val="0"/>
          <w:lang w:val="en-GB"/>
        </w:rPr>
        <w:t xml:space="preserve"> </w:t>
      </w:r>
      <w:r w:rsidRPr="00961D21">
        <w:rPr>
          <w:lang w:val="en-GB"/>
        </w:rPr>
        <w:t xml:space="preserve">guidelines laid down in </w:t>
      </w:r>
      <w:r w:rsidRPr="00961D21">
        <w:rPr>
          <w:iCs/>
          <w:lang w:val="en-GB"/>
        </w:rPr>
        <w:t>Johannesburg City Council.</w:t>
      </w:r>
    </w:p>
    <w:p w14:paraId="162DBE2F" w14:textId="77777777" w:rsidR="0059432F" w:rsidRPr="00961D21" w:rsidRDefault="0059432F" w:rsidP="0059432F">
      <w:pPr>
        <w:pStyle w:val="quotation"/>
        <w:spacing w:line="360" w:lineRule="auto"/>
        <w:ind w:left="2835" w:hanging="850"/>
        <w:rPr>
          <w:iCs/>
          <w:lang w:val="en-GB"/>
        </w:rPr>
      </w:pPr>
    </w:p>
    <w:p w14:paraId="0DAFBAE8" w14:textId="48A505EA" w:rsidR="0059432F" w:rsidRPr="00961D21" w:rsidRDefault="0059432F" w:rsidP="0059432F">
      <w:pPr>
        <w:pStyle w:val="quotation"/>
        <w:spacing w:line="360" w:lineRule="auto"/>
        <w:ind w:left="2835" w:hanging="850"/>
        <w:rPr>
          <w:rFonts w:cs="Arial"/>
          <w:lang w:val="en-GB"/>
        </w:rPr>
      </w:pPr>
      <w:r w:rsidRPr="00961D21">
        <w:rPr>
          <w:rFonts w:cs="Arial"/>
          <w:iCs/>
          <w:lang w:val="en-GB"/>
        </w:rPr>
        <w:t>[37]</w:t>
      </w:r>
      <w:r w:rsidRPr="00961D21">
        <w:rPr>
          <w:rFonts w:cs="Arial"/>
          <w:lang w:val="en-GB"/>
        </w:rPr>
        <w:t xml:space="preserve"> </w:t>
      </w:r>
      <w:r w:rsidRPr="00961D21">
        <w:rPr>
          <w:rFonts w:cs="Arial"/>
          <w:lang w:val="en-GB"/>
        </w:rPr>
        <w:tab/>
        <w:t xml:space="preserve">In Livestock, the Court percipiently held that – </w:t>
      </w:r>
    </w:p>
    <w:p w14:paraId="3350D176" w14:textId="77777777" w:rsidR="0059432F" w:rsidRPr="00961D21" w:rsidRDefault="0059432F" w:rsidP="0059432F">
      <w:pPr>
        <w:pStyle w:val="quotation"/>
        <w:spacing w:line="360" w:lineRule="auto"/>
        <w:ind w:left="2552" w:hanging="567"/>
        <w:rPr>
          <w:rFonts w:cs="Arial"/>
          <w:lang w:val="en-GB"/>
        </w:rPr>
      </w:pPr>
    </w:p>
    <w:p w14:paraId="4B20EE80" w14:textId="3340FE35" w:rsidR="0059432F" w:rsidRPr="00961D21" w:rsidRDefault="0059432F" w:rsidP="0059432F">
      <w:pPr>
        <w:pStyle w:val="quotation"/>
        <w:spacing w:line="360" w:lineRule="auto"/>
        <w:ind w:left="3402"/>
        <w:rPr>
          <w:rFonts w:cs="Arial"/>
          <w:lang w:val="en-GB"/>
        </w:rPr>
      </w:pPr>
      <w:r w:rsidRPr="00961D21">
        <w:rPr>
          <w:rFonts w:cs="Arial"/>
          <w:iCs/>
          <w:lang w:val="en-GB"/>
        </w:rPr>
        <w:t>‘the Court has a discretion, to be exercised judicially upon   consideration of the facts of each case, and . . . although the matter will be sent back if there is no reason for not doing so, in essence it is a question of fairness to both sides</w:t>
      </w:r>
      <w:r w:rsidRPr="00961D21">
        <w:rPr>
          <w:rFonts w:cs="Arial"/>
          <w:lang w:val="en-GB"/>
        </w:rPr>
        <w:t>.’</w:t>
      </w:r>
      <w:r w:rsidRPr="00961D21">
        <w:rPr>
          <w:rStyle w:val="FootnoteReference"/>
          <w:rFonts w:cs="Arial"/>
          <w:lang w:val="en-GB"/>
        </w:rPr>
        <w:footnoteReference w:id="27"/>
      </w:r>
    </w:p>
    <w:p w14:paraId="213F6458" w14:textId="77777777" w:rsidR="0059432F" w:rsidRPr="00961D21" w:rsidRDefault="0059432F" w:rsidP="0059432F">
      <w:pPr>
        <w:pStyle w:val="JUDGMENTNUMBERED"/>
        <w:numPr>
          <w:ilvl w:val="0"/>
          <w:numId w:val="0"/>
        </w:numPr>
        <w:ind w:left="680" w:right="-23"/>
        <w:rPr>
          <w:rFonts w:ascii="Arial" w:hAnsi="Arial" w:cs="Arial"/>
          <w:i/>
          <w:iCs/>
          <w:sz w:val="24"/>
          <w:szCs w:val="24"/>
          <w:lang w:val="en-GB"/>
        </w:rPr>
      </w:pPr>
    </w:p>
    <w:p w14:paraId="7218D76F" w14:textId="77777777" w:rsidR="0059432F" w:rsidRPr="00961D21" w:rsidRDefault="0059432F" w:rsidP="0059432F">
      <w:pPr>
        <w:pStyle w:val="JUDGMENTNUMBERED"/>
        <w:numPr>
          <w:ilvl w:val="0"/>
          <w:numId w:val="0"/>
        </w:numPr>
        <w:ind w:left="2835" w:right="-23" w:hanging="850"/>
        <w:rPr>
          <w:rFonts w:ascii="Arial" w:hAnsi="Arial" w:cs="Arial"/>
          <w:i/>
          <w:iCs/>
          <w:sz w:val="24"/>
          <w:szCs w:val="24"/>
          <w:lang w:val="en-GB"/>
        </w:rPr>
      </w:pPr>
      <w:r w:rsidRPr="00961D21">
        <w:rPr>
          <w:rFonts w:ascii="Arial" w:hAnsi="Arial" w:cs="Arial"/>
          <w:i/>
          <w:iCs/>
          <w:sz w:val="24"/>
          <w:szCs w:val="24"/>
          <w:lang w:val="en-GB"/>
        </w:rPr>
        <w:t>[38]</w:t>
      </w:r>
      <w:r w:rsidRPr="00961D21">
        <w:rPr>
          <w:rFonts w:ascii="Arial" w:hAnsi="Arial" w:cs="Arial"/>
          <w:i/>
          <w:iCs/>
          <w:sz w:val="24"/>
          <w:szCs w:val="24"/>
          <w:lang w:val="en-GB"/>
        </w:rPr>
        <w:tab/>
        <w:t>In Johannesburg City Council, the Court acknowledged that the usual course in administrative review proceedings is to remit the matter to the administrator for proper consideration.  However, it recognised that courts will depart from the usual course in two circumstances:</w:t>
      </w:r>
    </w:p>
    <w:p w14:paraId="0D3130D5" w14:textId="77777777" w:rsidR="0059432F" w:rsidRPr="00961D21" w:rsidRDefault="0059432F" w:rsidP="0059432F">
      <w:pPr>
        <w:pStyle w:val="JUDGMENTCONTINUED"/>
        <w:rPr>
          <w:lang w:val="en-GB"/>
        </w:rPr>
      </w:pPr>
    </w:p>
    <w:p w14:paraId="193331F8" w14:textId="77777777" w:rsidR="0059432F" w:rsidRPr="00961D21" w:rsidRDefault="0059432F" w:rsidP="0059432F">
      <w:pPr>
        <w:pStyle w:val="JUDGMENTNUMBERED"/>
        <w:numPr>
          <w:ilvl w:val="0"/>
          <w:numId w:val="0"/>
        </w:numPr>
        <w:ind w:left="3686" w:right="-23" w:hanging="850"/>
        <w:rPr>
          <w:rFonts w:ascii="Arial" w:hAnsi="Arial" w:cs="Arial"/>
          <w:i/>
          <w:iCs/>
          <w:sz w:val="24"/>
          <w:szCs w:val="24"/>
          <w:lang w:val="en-GB"/>
        </w:rPr>
      </w:pPr>
      <w:r w:rsidRPr="00961D21">
        <w:rPr>
          <w:rFonts w:ascii="Arial" w:hAnsi="Arial" w:cs="Arial"/>
          <w:i/>
          <w:iCs/>
          <w:sz w:val="24"/>
          <w:szCs w:val="24"/>
          <w:lang w:val="en-GB"/>
        </w:rPr>
        <w:t>“(i)</w:t>
      </w:r>
      <w:r w:rsidRPr="00961D21">
        <w:rPr>
          <w:rFonts w:ascii="Arial" w:hAnsi="Arial" w:cs="Arial"/>
          <w:i/>
          <w:iCs/>
          <w:sz w:val="24"/>
          <w:szCs w:val="24"/>
          <w:lang w:val="en-GB"/>
        </w:rPr>
        <w:tab/>
        <w:t xml:space="preserve">Where the end result is in any event a foregone conclusion and it would merely be a waste of time to order the tribunal or functionary to reconsider the matter.  This applies more particularly where much time has already unjustifiably been lost by an applicant to whom time is in the circumstances valuable, and the </w:t>
      </w:r>
      <w:r w:rsidRPr="00961D21">
        <w:rPr>
          <w:rFonts w:ascii="Arial" w:hAnsi="Arial" w:cs="Arial"/>
          <w:i/>
          <w:iCs/>
          <w:sz w:val="24"/>
          <w:szCs w:val="24"/>
          <w:lang w:val="en-GB"/>
        </w:rPr>
        <w:lastRenderedPageBreak/>
        <w:t>further delay which would be caused by reference back is significant in the context.</w:t>
      </w:r>
    </w:p>
    <w:p w14:paraId="06ABB1DF" w14:textId="77777777" w:rsidR="0059432F" w:rsidRPr="00961D21" w:rsidRDefault="0059432F" w:rsidP="0059432F">
      <w:pPr>
        <w:pStyle w:val="JUDGMENTNUMBERED"/>
        <w:numPr>
          <w:ilvl w:val="0"/>
          <w:numId w:val="0"/>
        </w:numPr>
        <w:ind w:left="3686" w:right="-23" w:hanging="850"/>
        <w:rPr>
          <w:rFonts w:ascii="Arial" w:hAnsi="Arial" w:cs="Arial"/>
          <w:i/>
          <w:iCs/>
          <w:sz w:val="24"/>
          <w:szCs w:val="24"/>
          <w:lang w:val="en-GB"/>
        </w:rPr>
      </w:pPr>
    </w:p>
    <w:p w14:paraId="18B1A70D" w14:textId="5EA784E9" w:rsidR="0059432F" w:rsidRPr="00961D21" w:rsidRDefault="0059432F" w:rsidP="0059432F">
      <w:pPr>
        <w:pStyle w:val="JUDGMENTNUMBERED"/>
        <w:numPr>
          <w:ilvl w:val="0"/>
          <w:numId w:val="0"/>
        </w:numPr>
        <w:ind w:left="3686" w:right="-23" w:hanging="850"/>
        <w:rPr>
          <w:rFonts w:ascii="Arial" w:hAnsi="Arial" w:cs="Arial"/>
          <w:i/>
          <w:iCs/>
          <w:sz w:val="24"/>
          <w:szCs w:val="24"/>
          <w:lang w:val="en-GB"/>
        </w:rPr>
      </w:pPr>
      <w:r w:rsidRPr="00961D21">
        <w:rPr>
          <w:rFonts w:ascii="Arial" w:hAnsi="Arial" w:cs="Arial"/>
          <w:i/>
          <w:iCs/>
          <w:sz w:val="24"/>
          <w:szCs w:val="24"/>
          <w:lang w:val="en-GB"/>
        </w:rPr>
        <w:t>(ii)</w:t>
      </w:r>
      <w:r w:rsidRPr="00961D21">
        <w:rPr>
          <w:rFonts w:ascii="Arial" w:hAnsi="Arial" w:cs="Arial"/>
          <w:i/>
          <w:iCs/>
          <w:sz w:val="24"/>
          <w:szCs w:val="24"/>
          <w:lang w:val="en-GB"/>
        </w:rPr>
        <w:tab/>
        <w:t>Where the tribunal or functionary has exhibited bias or incompetence to such a degree that it would be unfair to require the applicant to submit to the same jurisdiction again.”</w:t>
      </w:r>
      <w:r w:rsidRPr="00961D21">
        <w:rPr>
          <w:rStyle w:val="FootnoteReference"/>
          <w:rFonts w:ascii="Arial" w:hAnsi="Arial" w:cs="Arial"/>
          <w:i/>
          <w:iCs/>
          <w:sz w:val="24"/>
          <w:lang w:val="en-GB"/>
        </w:rPr>
        <w:footnoteReference w:id="28"/>
      </w:r>
    </w:p>
    <w:p w14:paraId="726265A7" w14:textId="77777777" w:rsidR="0059432F" w:rsidRPr="00961D21" w:rsidRDefault="0059432F" w:rsidP="0059432F">
      <w:pPr>
        <w:pStyle w:val="JUDGMENTCONTINUED"/>
        <w:tabs>
          <w:tab w:val="left" w:pos="7905"/>
        </w:tabs>
        <w:ind w:left="1418"/>
        <w:rPr>
          <w:rFonts w:ascii="Arial" w:hAnsi="Arial" w:cs="Arial"/>
          <w:i/>
          <w:iCs/>
          <w:sz w:val="24"/>
          <w:szCs w:val="24"/>
          <w:lang w:val="en-GB"/>
        </w:rPr>
      </w:pPr>
    </w:p>
    <w:p w14:paraId="43E29FE5" w14:textId="27D6C871"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[39]</w:t>
      </w:r>
      <w:r w:rsidRPr="00961D21">
        <w:rPr>
          <w:rFonts w:ascii="Arial" w:hAnsi="Arial" w:cs="Arial"/>
          <w:i/>
          <w:iCs/>
          <w:sz w:val="24"/>
          <w:szCs w:val="24"/>
          <w:lang w:val="en-GB"/>
        </w:rPr>
        <w:tab/>
        <w:t>On a plain interpretation of Johannesburg City Council, the factors under the exceptional circumstances enquiry – like foregone conclusion, bias or incompetence – are independent.  That is, if any factor is established on its own, it would be sufficient to justify an order of substitution.  Indeed, this interpretation is also supported by subsequent case law.</w:t>
      </w:r>
      <w:r w:rsidRPr="00961D21">
        <w:rPr>
          <w:rStyle w:val="FootnoteReference"/>
          <w:rFonts w:ascii="Arial" w:hAnsi="Arial" w:cs="Arial"/>
          <w:i/>
          <w:iCs/>
          <w:sz w:val="24"/>
          <w:lang w:val="en-GB"/>
        </w:rPr>
        <w:footnoteReference w:id="29"/>
      </w:r>
    </w:p>
    <w:p w14:paraId="681CE124" w14:textId="77777777" w:rsidR="0059432F" w:rsidRPr="00961D21" w:rsidRDefault="0059432F" w:rsidP="0059432F">
      <w:pPr>
        <w:pStyle w:val="JUDGMENTNUMBERED"/>
        <w:numPr>
          <w:ilvl w:val="0"/>
          <w:numId w:val="0"/>
        </w:numPr>
        <w:ind w:left="1418"/>
        <w:rPr>
          <w:rFonts w:ascii="Arial" w:hAnsi="Arial" w:cs="Arial"/>
          <w:i/>
          <w:iCs/>
          <w:sz w:val="24"/>
          <w:szCs w:val="24"/>
          <w:lang w:val="en-GB"/>
        </w:rPr>
      </w:pPr>
    </w:p>
    <w:p w14:paraId="36F610D3" w14:textId="666481FB"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[40]</w:t>
      </w:r>
      <w:r w:rsidRPr="00961D21">
        <w:rPr>
          <w:rFonts w:ascii="Arial" w:hAnsi="Arial" w:cs="Arial"/>
          <w:i/>
          <w:iCs/>
          <w:sz w:val="24"/>
          <w:szCs w:val="24"/>
          <w:lang w:val="en-GB"/>
        </w:rPr>
        <w:tab/>
        <w:t>The Supreme Court of Appeal in Gauteng Gambling Board seems to have added another consideration, whether the court was in as good a position as the administrator to make the decision.</w:t>
      </w:r>
      <w:r w:rsidRPr="00961D21">
        <w:rPr>
          <w:rStyle w:val="FootnoteReference"/>
          <w:rFonts w:ascii="Arial" w:hAnsi="Arial" w:cs="Arial"/>
          <w:i/>
          <w:iCs/>
          <w:sz w:val="24"/>
          <w:lang w:val="en-GB"/>
        </w:rPr>
        <w:footnoteReference w:id="30"/>
      </w:r>
      <w:r w:rsidRPr="00961D21">
        <w:rPr>
          <w:rFonts w:ascii="Arial" w:hAnsi="Arial" w:cs="Arial"/>
          <w:i/>
          <w:iCs/>
          <w:sz w:val="24"/>
          <w:szCs w:val="24"/>
          <w:lang w:val="en-GB"/>
        </w:rPr>
        <w:t xml:space="preserve">  For this, it noted that the administrator is “best equipped by the variety of its composition, by experience, and its access to sources of relevant information and expertise to make the right decision”.</w:t>
      </w:r>
      <w:r w:rsidRPr="00961D21">
        <w:rPr>
          <w:rStyle w:val="FootnoteReference"/>
          <w:rFonts w:ascii="Arial" w:hAnsi="Arial" w:cs="Arial"/>
          <w:i/>
          <w:iCs/>
          <w:sz w:val="24"/>
          <w:lang w:val="en-GB"/>
        </w:rPr>
        <w:footnoteReference w:id="31"/>
      </w:r>
      <w:r w:rsidRPr="00961D21">
        <w:rPr>
          <w:rFonts w:ascii="Arial" w:hAnsi="Arial" w:cs="Arial"/>
          <w:i/>
          <w:iCs/>
          <w:sz w:val="24"/>
          <w:szCs w:val="24"/>
          <w:lang w:val="en-GB"/>
        </w:rPr>
        <w:t xml:space="preserve">  The Court also considered the broader notion of fairness in accordance with Livestock.</w:t>
      </w:r>
      <w:r w:rsidRPr="00961D21">
        <w:rPr>
          <w:rStyle w:val="FootnoteReference"/>
          <w:rFonts w:ascii="Arial" w:hAnsi="Arial" w:cs="Arial"/>
          <w:i/>
          <w:iCs/>
          <w:sz w:val="24"/>
          <w:lang w:val="en-GB"/>
        </w:rPr>
        <w:footnoteReference w:id="32"/>
      </w:r>
      <w:r w:rsidRPr="00961D21">
        <w:rPr>
          <w:rFonts w:ascii="Arial" w:hAnsi="Arial" w:cs="Arial"/>
          <w:i/>
          <w:iCs/>
          <w:sz w:val="24"/>
          <w:szCs w:val="24"/>
          <w:lang w:val="en-GB"/>
        </w:rPr>
        <w:t xml:space="preserve">  This notion seemed to colour the Court’s analysis of whether, after the Court was satisfied that it was in as good a position as the administrator and a foregone conclusion was established, an </w:t>
      </w:r>
      <w:r w:rsidRPr="00961D21">
        <w:rPr>
          <w:rFonts w:ascii="Arial" w:hAnsi="Arial" w:cs="Arial"/>
          <w:i/>
          <w:iCs/>
          <w:sz w:val="24"/>
          <w:szCs w:val="24"/>
          <w:lang w:val="en-GB"/>
        </w:rPr>
        <w:lastRenderedPageBreak/>
        <w:t>order of substitution was the appropriate remedy.</w:t>
      </w:r>
      <w:r w:rsidRPr="00961D21">
        <w:rPr>
          <w:rStyle w:val="FootnoteReference"/>
          <w:rFonts w:ascii="Arial" w:hAnsi="Arial" w:cs="Arial"/>
          <w:i/>
          <w:iCs/>
          <w:sz w:val="24"/>
          <w:lang w:val="en-GB"/>
        </w:rPr>
        <w:footnoteReference w:id="33"/>
      </w:r>
      <w:r w:rsidRPr="00961D21">
        <w:rPr>
          <w:rFonts w:ascii="Arial" w:hAnsi="Arial" w:cs="Arial"/>
          <w:i/>
          <w:iCs/>
          <w:sz w:val="24"/>
          <w:szCs w:val="24"/>
          <w:lang w:val="en-GB"/>
        </w:rPr>
        <w:t xml:space="preserve">  In applying the notion, the Court’s findings were also informed by how a party is prejudiced by delay and potential bias or the incompetence of an administrator if the matter were remitted.</w:t>
      </w:r>
      <w:r w:rsidRPr="00961D21">
        <w:rPr>
          <w:rStyle w:val="FootnoteReference"/>
          <w:rFonts w:ascii="Arial" w:hAnsi="Arial" w:cs="Arial"/>
          <w:i/>
          <w:iCs/>
          <w:sz w:val="24"/>
          <w:lang w:val="en-GB"/>
        </w:rPr>
        <w:footnoteReference w:id="34"/>
      </w:r>
    </w:p>
    <w:p w14:paraId="18F033F7" w14:textId="77777777" w:rsidR="0059432F" w:rsidRPr="00961D21" w:rsidRDefault="0059432F" w:rsidP="0059432F">
      <w:pPr>
        <w:pStyle w:val="JUDGMENTCONTINUED"/>
        <w:ind w:left="1418"/>
        <w:rPr>
          <w:rFonts w:ascii="Arial" w:hAnsi="Arial" w:cs="Arial"/>
          <w:i/>
          <w:iCs/>
          <w:sz w:val="24"/>
          <w:szCs w:val="24"/>
          <w:lang w:val="en-GB"/>
        </w:rPr>
      </w:pPr>
    </w:p>
    <w:p w14:paraId="52063EE1" w14:textId="33AE7BC1"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[41]</w:t>
      </w:r>
      <w:r w:rsidRPr="00961D21">
        <w:rPr>
          <w:rFonts w:ascii="Arial" w:hAnsi="Arial" w:cs="Arial"/>
          <w:i/>
          <w:iCs/>
          <w:sz w:val="24"/>
          <w:szCs w:val="24"/>
          <w:lang w:val="en-GB"/>
        </w:rPr>
        <w:tab/>
        <w:t>It is instructive that cases applying section 8(1)(c)(ii)(aa) of PAJA have embraced a similar approach to those that ordered substitution under the common law.  However, because the section does not provide guidelines on what exceptional circumstances entail, it is of great import that the test for exceptional circumstances be revisited.</w:t>
      </w:r>
    </w:p>
    <w:p w14:paraId="54A727C3" w14:textId="77777777" w:rsidR="0059432F" w:rsidRPr="00961D21" w:rsidRDefault="0059432F" w:rsidP="0059432F">
      <w:pPr>
        <w:pStyle w:val="JUDGMENTCONTINUED"/>
        <w:ind w:left="1418"/>
        <w:rPr>
          <w:rFonts w:ascii="Arial" w:hAnsi="Arial" w:cs="Arial"/>
          <w:i/>
          <w:iCs/>
          <w:sz w:val="24"/>
          <w:szCs w:val="24"/>
          <w:lang w:val="en-GB"/>
        </w:rPr>
      </w:pPr>
    </w:p>
    <w:p w14:paraId="2BAD3E81" w14:textId="28C7C4F3"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[42]</w:t>
      </w:r>
      <w:r w:rsidRPr="00961D21">
        <w:rPr>
          <w:rFonts w:ascii="Arial" w:hAnsi="Arial" w:cs="Arial"/>
          <w:i/>
          <w:iCs/>
          <w:sz w:val="24"/>
          <w:szCs w:val="24"/>
          <w:lang w:val="en-GB"/>
        </w:rPr>
        <w:tab/>
        <w:t>The administrative review context of section 8(1) of PAJA and the wording under subsection (1)(c)(ii)(aa) make it perspicuous that substitution remains an extraordinary remedy.</w:t>
      </w:r>
      <w:r w:rsidRPr="00961D21">
        <w:rPr>
          <w:rStyle w:val="FootnoteReference"/>
          <w:rFonts w:ascii="Arial" w:hAnsi="Arial" w:cs="Arial"/>
          <w:i/>
          <w:iCs/>
          <w:sz w:val="24"/>
          <w:lang w:val="en-GB"/>
        </w:rPr>
        <w:footnoteReference w:id="35"/>
      </w:r>
      <w:r w:rsidRPr="00961D21">
        <w:rPr>
          <w:rFonts w:ascii="Arial" w:hAnsi="Arial" w:cs="Arial"/>
          <w:i/>
          <w:iCs/>
          <w:sz w:val="24"/>
          <w:szCs w:val="24"/>
          <w:lang w:val="en-GB"/>
        </w:rPr>
        <w:t xml:space="preserve">  Remittal is still almost always the prudent and proper course.</w:t>
      </w:r>
    </w:p>
    <w:p w14:paraId="3043AC76" w14:textId="77777777" w:rsidR="0059432F" w:rsidRPr="00961D21" w:rsidRDefault="0059432F" w:rsidP="0059432F">
      <w:pPr>
        <w:pStyle w:val="JUDGMENTCONTINUED"/>
        <w:ind w:left="1418"/>
        <w:rPr>
          <w:rFonts w:ascii="Arial" w:hAnsi="Arial" w:cs="Arial"/>
          <w:i/>
          <w:iCs/>
          <w:sz w:val="24"/>
          <w:szCs w:val="24"/>
          <w:lang w:val="en-GB"/>
        </w:rPr>
      </w:pPr>
    </w:p>
    <w:p w14:paraId="2F3BFD4A" w14:textId="275B6268"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[43]</w:t>
      </w:r>
      <w:r w:rsidRPr="00961D21">
        <w:rPr>
          <w:rFonts w:ascii="Arial" w:hAnsi="Arial" w:cs="Arial"/>
          <w:i/>
          <w:iCs/>
          <w:sz w:val="24"/>
          <w:szCs w:val="24"/>
          <w:lang w:val="en-GB"/>
        </w:rPr>
        <w:tab/>
        <w:t>In our constitutional framework, a court considering what constitutes exceptional circumstances must be guided by an approach that is consonant with the Constitution.  This approach should entail affording appropriate deference to the administrator.  Indeed, the idea that courts ought to recognise their own limitations still rings true.  It is informed not only by the deference courts have to afford an administrator but also by the appreciation that courts are ordinarily not vested with the skills and expertise required of an administrator.</w:t>
      </w:r>
    </w:p>
    <w:p w14:paraId="2B70D23B" w14:textId="77777777" w:rsidR="0059432F" w:rsidRPr="00961D21" w:rsidRDefault="0059432F" w:rsidP="0059432F">
      <w:pPr>
        <w:pStyle w:val="JUDGMENTCONTINUED"/>
        <w:ind w:left="1418"/>
        <w:rPr>
          <w:rFonts w:ascii="Arial" w:hAnsi="Arial" w:cs="Arial"/>
          <w:i/>
          <w:iCs/>
          <w:sz w:val="24"/>
          <w:szCs w:val="24"/>
          <w:lang w:val="en-GB"/>
        </w:rPr>
      </w:pPr>
    </w:p>
    <w:p w14:paraId="418F7F77" w14:textId="2E942E9A" w:rsidR="0059432F" w:rsidRPr="00961D21" w:rsidRDefault="0059432F" w:rsidP="0059432F">
      <w:pPr>
        <w:pStyle w:val="JUDGMENTNUMBERED"/>
        <w:numPr>
          <w:ilvl w:val="0"/>
          <w:numId w:val="0"/>
        </w:numPr>
        <w:tabs>
          <w:tab w:val="left" w:pos="2835"/>
        </w:tabs>
        <w:ind w:left="2835" w:hanging="850"/>
        <w:rPr>
          <w:rFonts w:ascii="Arial" w:hAnsi="Arial" w:cs="Arial"/>
          <w:i/>
          <w:iCs/>
          <w:sz w:val="24"/>
          <w:szCs w:val="24"/>
          <w:lang w:val="en-GB"/>
        </w:rPr>
      </w:pPr>
      <w:r w:rsidRPr="00961D21">
        <w:rPr>
          <w:rFonts w:ascii="Arial" w:hAnsi="Arial" w:cs="Arial"/>
          <w:i/>
          <w:iCs/>
          <w:sz w:val="24"/>
          <w:szCs w:val="24"/>
          <w:lang w:val="en-GB"/>
        </w:rPr>
        <w:t>[44]</w:t>
      </w:r>
      <w:r w:rsidRPr="00961D21">
        <w:rPr>
          <w:rFonts w:ascii="Arial" w:hAnsi="Arial" w:cs="Arial"/>
          <w:i/>
          <w:iCs/>
          <w:sz w:val="24"/>
          <w:szCs w:val="24"/>
          <w:lang w:val="en-GB"/>
        </w:rPr>
        <w:tab/>
        <w:t>It is unsurprising that this Court in Bato Star accepted Professor Hoexter’s account of judicial deference as –</w:t>
      </w:r>
    </w:p>
    <w:p w14:paraId="12BD7559" w14:textId="77777777" w:rsidR="0059432F" w:rsidRPr="00961D21" w:rsidRDefault="0059432F" w:rsidP="0059432F">
      <w:pPr>
        <w:pStyle w:val="JUDGMENTNUMBERED"/>
        <w:numPr>
          <w:ilvl w:val="0"/>
          <w:numId w:val="0"/>
        </w:numPr>
        <w:tabs>
          <w:tab w:val="left" w:pos="2835"/>
        </w:tabs>
        <w:ind w:left="2835" w:hanging="850"/>
        <w:rPr>
          <w:rFonts w:ascii="Arial" w:hAnsi="Arial" w:cs="Arial"/>
          <w:i/>
          <w:iCs/>
          <w:sz w:val="24"/>
          <w:szCs w:val="24"/>
          <w:lang w:val="en-GB"/>
        </w:rPr>
      </w:pPr>
    </w:p>
    <w:p w14:paraId="3CB2B710" w14:textId="5BC6ADBF" w:rsidR="0059432F" w:rsidRPr="00961D21" w:rsidRDefault="00355E59" w:rsidP="0059432F">
      <w:pPr>
        <w:pStyle w:val="JUDGMENTNUMBERED"/>
        <w:numPr>
          <w:ilvl w:val="0"/>
          <w:numId w:val="0"/>
        </w:numPr>
        <w:ind w:left="3402"/>
        <w:rPr>
          <w:rFonts w:ascii="Arial" w:hAnsi="Arial" w:cs="Arial"/>
          <w:i/>
          <w:iCs/>
          <w:sz w:val="24"/>
          <w:szCs w:val="24"/>
          <w:lang w:val="en-GB"/>
        </w:rPr>
      </w:pPr>
      <w:r>
        <w:rPr>
          <w:rFonts w:ascii="Arial" w:hAnsi="Arial" w:cs="Arial"/>
          <w:i/>
          <w:iCs/>
          <w:sz w:val="24"/>
          <w:szCs w:val="24"/>
          <w:lang w:val="en-GB"/>
        </w:rPr>
        <w:lastRenderedPageBreak/>
        <w:t>‘a</w:t>
      </w:r>
      <w:r w:rsidR="0059432F" w:rsidRPr="00961D21">
        <w:rPr>
          <w:rFonts w:ascii="Arial" w:hAnsi="Arial" w:cs="Arial"/>
          <w:i/>
          <w:iCs/>
          <w:sz w:val="24"/>
          <w:szCs w:val="24"/>
          <w:lang w:val="en-GB"/>
        </w:rPr>
        <w:t xml:space="preserve"> judicial willingness to appreciate the legitimate and constitutionally-ordained province of administrative agencies; to admit the expertise of those agencies in policy-laden or polycentric issues; to accord their interpretations of fact and law due respect; and to be sensitive in general to the interests legitimately pursued by administrative bodies and the practical and financial constraints under which they operate.  This type of deference is perfectly consistent with a concern for individual rights and a refusal to tolerate corruption and maladministration.  It ought to be shaped not by an unwillingness to scrutinise administrative action, but by a careful weighing up of the need for – and the consequences of – judicial intervention.  Above all, it ought to be shaped by a conscious determination not to usurp the functions of administrative agencies; not to cross over from review to appeal.’</w:t>
      </w:r>
      <w:r w:rsidR="0059432F" w:rsidRPr="00961D21">
        <w:rPr>
          <w:rStyle w:val="FootnoteReference"/>
          <w:rFonts w:ascii="Arial" w:hAnsi="Arial" w:cs="Arial"/>
          <w:i/>
          <w:iCs/>
          <w:sz w:val="24"/>
          <w:lang w:val="en-GB"/>
        </w:rPr>
        <w:footnoteReference w:id="36"/>
      </w:r>
    </w:p>
    <w:p w14:paraId="45530709" w14:textId="77777777" w:rsidR="0059432F" w:rsidRPr="00961D21" w:rsidRDefault="0059432F" w:rsidP="0059432F">
      <w:pPr>
        <w:pStyle w:val="JUDGMENTCONTINUED"/>
        <w:rPr>
          <w:lang w:val="en-GB"/>
        </w:rPr>
      </w:pPr>
    </w:p>
    <w:p w14:paraId="2F25AFF0" w14:textId="630E3DB9"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[45]</w:t>
      </w:r>
      <w:r w:rsidRPr="00961D21">
        <w:rPr>
          <w:rFonts w:ascii="Arial" w:hAnsi="Arial" w:cs="Arial"/>
          <w:i/>
          <w:iCs/>
          <w:sz w:val="24"/>
          <w:szCs w:val="24"/>
          <w:lang w:val="en-GB"/>
        </w:rPr>
        <w:tab/>
        <w:t xml:space="preserve">Judicial deference, within the doctrine of separation of powers, must also be understood in the light of the powers vested in the courts by the Constitution.  In Allpay II, Froneman J stated that - </w:t>
      </w:r>
    </w:p>
    <w:p w14:paraId="53DB5CD5" w14:textId="77777777" w:rsidR="0059432F" w:rsidRPr="00961D21" w:rsidRDefault="0059432F" w:rsidP="0059432F">
      <w:pPr>
        <w:pStyle w:val="QUOTATION0"/>
        <w:ind w:left="1418"/>
        <w:rPr>
          <w:rFonts w:ascii="Arial" w:hAnsi="Arial" w:cs="Arial"/>
          <w:i/>
          <w:iCs/>
          <w:sz w:val="24"/>
          <w:szCs w:val="24"/>
          <w:lang w:val="en-GB"/>
        </w:rPr>
      </w:pPr>
    </w:p>
    <w:p w14:paraId="243D7EE4" w14:textId="77777777" w:rsidR="0059432F" w:rsidRPr="00961D21" w:rsidRDefault="0059432F" w:rsidP="0059432F">
      <w:pPr>
        <w:pStyle w:val="QUOTATION0"/>
        <w:ind w:left="3402" w:right="120"/>
        <w:rPr>
          <w:rFonts w:ascii="Arial" w:hAnsi="Arial" w:cs="Arial"/>
          <w:i/>
          <w:iCs/>
          <w:sz w:val="24"/>
          <w:szCs w:val="24"/>
          <w:lang w:val="en-GB"/>
        </w:rPr>
      </w:pPr>
      <w:r w:rsidRPr="00961D21">
        <w:rPr>
          <w:rFonts w:ascii="Arial" w:hAnsi="Arial" w:cs="Arial"/>
          <w:i/>
          <w:iCs/>
          <w:sz w:val="24"/>
          <w:szCs w:val="24"/>
          <w:lang w:val="en-GB"/>
        </w:rPr>
        <w:t>‘[t]here can be no doubt that the separation of powers attributes responsibility to the courts for ensuring that unconstitutional conduct is declared invalid and that constitutionally mandated remedies are afforded for violations of the Constitution.  This means that the Court must provide effective relief for infringements of constitutional rights.</w:t>
      </w:r>
    </w:p>
    <w:p w14:paraId="4FF04D03" w14:textId="77777777" w:rsidR="0059432F" w:rsidRPr="00961D21" w:rsidRDefault="0059432F" w:rsidP="0059432F">
      <w:pPr>
        <w:pStyle w:val="QUOTATION0"/>
        <w:ind w:left="3402" w:right="120"/>
        <w:rPr>
          <w:rFonts w:ascii="Arial" w:hAnsi="Arial" w:cs="Arial"/>
          <w:i/>
          <w:iCs/>
          <w:sz w:val="24"/>
          <w:szCs w:val="24"/>
          <w:lang w:val="en-GB"/>
        </w:rPr>
      </w:pPr>
    </w:p>
    <w:p w14:paraId="7C698459" w14:textId="77777777" w:rsidR="0059432F" w:rsidRPr="00961D21" w:rsidRDefault="0059432F" w:rsidP="0059432F">
      <w:pPr>
        <w:pStyle w:val="QUOTATION0"/>
        <w:ind w:left="3402" w:right="120"/>
        <w:rPr>
          <w:rFonts w:ascii="Arial" w:hAnsi="Arial" w:cs="Arial"/>
          <w:i/>
          <w:iCs/>
          <w:sz w:val="24"/>
          <w:szCs w:val="24"/>
          <w:lang w:val="en-GB"/>
        </w:rPr>
      </w:pPr>
      <w:r w:rsidRPr="00961D21">
        <w:rPr>
          <w:rFonts w:ascii="Arial" w:hAnsi="Arial" w:cs="Arial"/>
          <w:i/>
          <w:iCs/>
          <w:sz w:val="24"/>
          <w:szCs w:val="24"/>
          <w:lang w:val="en-GB"/>
        </w:rPr>
        <w:t>. . .</w:t>
      </w:r>
    </w:p>
    <w:p w14:paraId="6A2B64E6" w14:textId="77777777" w:rsidR="0059432F" w:rsidRPr="00961D21" w:rsidRDefault="0059432F" w:rsidP="0059432F">
      <w:pPr>
        <w:pStyle w:val="QUOTATION0"/>
        <w:ind w:left="3402" w:right="120"/>
        <w:rPr>
          <w:rFonts w:ascii="Arial" w:hAnsi="Arial" w:cs="Arial"/>
          <w:i/>
          <w:iCs/>
          <w:sz w:val="24"/>
          <w:szCs w:val="24"/>
          <w:lang w:val="en-GB"/>
        </w:rPr>
      </w:pPr>
    </w:p>
    <w:p w14:paraId="68C29445" w14:textId="7707328E" w:rsidR="0059432F" w:rsidRPr="00961D21" w:rsidRDefault="0059432F" w:rsidP="0059432F">
      <w:pPr>
        <w:pStyle w:val="QUOTATION0"/>
        <w:ind w:left="3402" w:right="120"/>
        <w:rPr>
          <w:rFonts w:ascii="Arial" w:hAnsi="Arial" w:cs="Arial"/>
          <w:i/>
          <w:iCs/>
          <w:sz w:val="24"/>
          <w:szCs w:val="24"/>
          <w:lang w:val="en-GB"/>
        </w:rPr>
      </w:pPr>
      <w:r w:rsidRPr="00961D21">
        <w:rPr>
          <w:rFonts w:ascii="Arial" w:hAnsi="Arial" w:cs="Arial"/>
          <w:i/>
          <w:iCs/>
          <w:sz w:val="24"/>
          <w:szCs w:val="24"/>
          <w:lang w:val="en-GB"/>
        </w:rPr>
        <w:t>Hence, the answer to the separation-of-powers argument lies in the express provisions of section 172(1) of the Constitution.  The corrective principle embodied there allows correction to the extent of the constitutional inconsistency’.</w:t>
      </w:r>
      <w:r w:rsidRPr="00961D21">
        <w:rPr>
          <w:rStyle w:val="FootnoteReference"/>
          <w:rFonts w:ascii="Arial" w:hAnsi="Arial" w:cs="Arial"/>
          <w:i/>
          <w:iCs/>
          <w:sz w:val="24"/>
          <w:lang w:val="en-GB"/>
        </w:rPr>
        <w:footnoteReference w:id="37"/>
      </w:r>
      <w:r w:rsidRPr="00961D21">
        <w:rPr>
          <w:rFonts w:ascii="Arial" w:hAnsi="Arial" w:cs="Arial"/>
          <w:i/>
          <w:iCs/>
          <w:sz w:val="24"/>
          <w:szCs w:val="24"/>
          <w:lang w:val="en-GB"/>
        </w:rPr>
        <w:t xml:space="preserve">  (Footnote omitted.)</w:t>
      </w:r>
    </w:p>
    <w:p w14:paraId="0BBF05FE" w14:textId="77777777" w:rsidR="0059432F" w:rsidRPr="00961D21" w:rsidRDefault="0059432F" w:rsidP="0059432F">
      <w:pPr>
        <w:pStyle w:val="JUDGMENTNUMBERED"/>
        <w:numPr>
          <w:ilvl w:val="0"/>
          <w:numId w:val="0"/>
        </w:numPr>
        <w:ind w:left="1418"/>
        <w:rPr>
          <w:rFonts w:ascii="Arial" w:hAnsi="Arial" w:cs="Arial"/>
          <w:i/>
          <w:iCs/>
          <w:sz w:val="24"/>
          <w:szCs w:val="24"/>
          <w:lang w:val="en-GB"/>
        </w:rPr>
      </w:pPr>
    </w:p>
    <w:p w14:paraId="3A559C78" w14:textId="6D954DBD"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[46]</w:t>
      </w:r>
      <w:r w:rsidRPr="00961D21">
        <w:rPr>
          <w:rFonts w:ascii="Arial" w:hAnsi="Arial" w:cs="Arial"/>
          <w:i/>
          <w:iCs/>
          <w:sz w:val="24"/>
          <w:szCs w:val="24"/>
          <w:lang w:val="en-GB"/>
        </w:rPr>
        <w:tab/>
        <w:t>A case implicating an order of substitution accordingly requires courts to be mindful of the need for judicial deference and their obligations under the Constitution.  As already stated, earlier case law seemed to suggest that each factor in the exceptional circumstances enquiry may be sufficient on its own to justify substitution.</w:t>
      </w:r>
      <w:r w:rsidRPr="00961D21">
        <w:rPr>
          <w:rStyle w:val="FootnoteReference"/>
          <w:rFonts w:ascii="Arial" w:hAnsi="Arial" w:cs="Arial"/>
          <w:i/>
          <w:iCs/>
          <w:sz w:val="24"/>
          <w:lang w:val="en-GB"/>
        </w:rPr>
        <w:footnoteReference w:id="38"/>
      </w:r>
      <w:r w:rsidRPr="00961D21">
        <w:rPr>
          <w:rFonts w:ascii="Arial" w:hAnsi="Arial" w:cs="Arial"/>
          <w:i/>
          <w:iCs/>
          <w:sz w:val="24"/>
          <w:szCs w:val="24"/>
          <w:lang w:val="en-GB"/>
        </w:rPr>
        <w:t xml:space="preserve">  However, it is unclear from more recent case law whether these considerations are cumulative or discrete.</w:t>
      </w:r>
      <w:r w:rsidRPr="00961D21">
        <w:rPr>
          <w:rStyle w:val="FootnoteReference"/>
          <w:rFonts w:ascii="Arial" w:hAnsi="Arial" w:cs="Arial"/>
          <w:i/>
          <w:iCs/>
          <w:sz w:val="24"/>
          <w:lang w:val="en-GB"/>
        </w:rPr>
        <w:footnoteReference w:id="39"/>
      </w:r>
    </w:p>
    <w:p w14:paraId="01606E1B" w14:textId="77777777" w:rsidR="0059432F" w:rsidRPr="00961D21" w:rsidRDefault="0059432F" w:rsidP="0059432F">
      <w:pPr>
        <w:pStyle w:val="JUDGMENTCONTINUED"/>
        <w:ind w:left="1418"/>
        <w:rPr>
          <w:lang w:val="en-GB"/>
        </w:rPr>
      </w:pPr>
    </w:p>
    <w:p w14:paraId="6B6CB25C" w14:textId="01E814BB"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[47]</w:t>
      </w:r>
      <w:r w:rsidRPr="00961D21">
        <w:rPr>
          <w:rFonts w:ascii="Arial" w:hAnsi="Arial" w:cs="Arial"/>
          <w:i/>
          <w:iCs/>
          <w:sz w:val="24"/>
          <w:szCs w:val="24"/>
          <w:lang w:val="en-GB"/>
        </w:rPr>
        <w:tab/>
        <w:t>To my mind, given the doctrine of separation of powers, in conducting this enquiry there are certain factors that should inevitably hold greater weight.</w:t>
      </w:r>
      <w:r w:rsidRPr="00961D21">
        <w:rPr>
          <w:rStyle w:val="FootnoteReference"/>
          <w:rFonts w:ascii="Arial" w:hAnsi="Arial" w:cs="Arial"/>
          <w:i/>
          <w:iCs/>
          <w:sz w:val="24"/>
          <w:lang w:val="en-GB"/>
        </w:rPr>
        <w:footnoteReference w:id="40"/>
      </w:r>
      <w:r w:rsidRPr="00961D21">
        <w:rPr>
          <w:rFonts w:ascii="Arial" w:hAnsi="Arial" w:cs="Arial"/>
          <w:i/>
          <w:iCs/>
          <w:sz w:val="24"/>
          <w:szCs w:val="24"/>
          <w:lang w:val="en-GB"/>
        </w:rPr>
        <w:t xml:space="preserve">  The first is whether a court is in as good a position as the administrator to make the decision.  The second is whether the decision of an administrator is a foregone conclusion.  These two factors must be considered cumulatively.  Thereafter, a court should still consider other relevant factors.  These may include delay, bias or the incompetence of an administrator.  The ultimate consideration </w:t>
      </w:r>
      <w:r w:rsidRPr="00961D21">
        <w:rPr>
          <w:rFonts w:ascii="Arial" w:hAnsi="Arial" w:cs="Arial"/>
          <w:i/>
          <w:iCs/>
          <w:sz w:val="24"/>
          <w:szCs w:val="24"/>
          <w:lang w:val="en-GB"/>
        </w:rPr>
        <w:lastRenderedPageBreak/>
        <w:t>is whether a substitution order is just and equitable.  This will involve a consideration of fairness to all implicated parties.  It is prudent to emphasise that the exceptional circumstances enquiry requires an examination of each matter on a case-by-case basis that accounts for all relevant facts and circumstances.</w:t>
      </w:r>
    </w:p>
    <w:p w14:paraId="4403683D" w14:textId="77777777" w:rsidR="0059432F" w:rsidRPr="00961D21" w:rsidRDefault="0059432F" w:rsidP="0059432F">
      <w:pPr>
        <w:pStyle w:val="JUDGMENTNUMBERED"/>
        <w:numPr>
          <w:ilvl w:val="0"/>
          <w:numId w:val="0"/>
        </w:numPr>
        <w:ind w:left="1418"/>
        <w:rPr>
          <w:rFonts w:ascii="Arial" w:hAnsi="Arial" w:cs="Arial"/>
          <w:i/>
          <w:iCs/>
          <w:sz w:val="24"/>
          <w:szCs w:val="24"/>
          <w:lang w:val="en-GB"/>
        </w:rPr>
      </w:pPr>
    </w:p>
    <w:p w14:paraId="51C2B211" w14:textId="77777777"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 xml:space="preserve">[48]   </w:t>
      </w:r>
      <w:r w:rsidRPr="00961D21">
        <w:rPr>
          <w:rFonts w:ascii="Arial" w:hAnsi="Arial" w:cs="Arial"/>
          <w:i/>
          <w:iCs/>
          <w:sz w:val="24"/>
          <w:szCs w:val="24"/>
          <w:lang w:val="en-GB"/>
        </w:rPr>
        <w:tab/>
        <w:t>A court will not be in as good a position as the administrator where the application of the administrator’s expertise is still required and a court does not have all the pertinent information before it.  This would depend on the facts of each case.  Generally, a court ought to evaluate the stage at which the administrator’s process was situated when the impugned administrative action was taken.  For example, the further along in the process, the greater the likelihood of the administrator having already exercised its specialised knowledge.  In these circumstances, a court may very well be in the same position as the administrator to make a decision.  In other instances, some matters may concern decisions that are judicial in nature; in those instances – if the court has all the relevant information before it – it may very well be in as good a position as the administrator to make the decision.</w:t>
      </w:r>
      <w:r w:rsidRPr="00961D21">
        <w:rPr>
          <w:rStyle w:val="FootnoteReference"/>
          <w:rFonts w:ascii="Arial" w:hAnsi="Arial" w:cs="Arial"/>
          <w:i/>
          <w:iCs/>
          <w:sz w:val="24"/>
          <w:lang w:val="en-GB"/>
        </w:rPr>
        <w:footnoteReference w:id="41"/>
      </w:r>
    </w:p>
    <w:p w14:paraId="35362213" w14:textId="77777777" w:rsidR="0059432F" w:rsidRPr="00961D21" w:rsidRDefault="0059432F" w:rsidP="0059432F">
      <w:pPr>
        <w:pStyle w:val="JUDGMENTCONTINUED"/>
        <w:ind w:left="1418"/>
        <w:rPr>
          <w:rFonts w:ascii="Arial" w:hAnsi="Arial" w:cs="Arial"/>
          <w:i/>
          <w:iCs/>
          <w:sz w:val="24"/>
          <w:szCs w:val="24"/>
          <w:lang w:val="en-GB"/>
        </w:rPr>
      </w:pPr>
    </w:p>
    <w:p w14:paraId="78C5FBF4" w14:textId="4C8D4690"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[49]</w:t>
      </w:r>
      <w:r w:rsidRPr="00961D21">
        <w:rPr>
          <w:rFonts w:ascii="Arial" w:hAnsi="Arial" w:cs="Arial"/>
          <w:i/>
          <w:iCs/>
          <w:sz w:val="24"/>
          <w:szCs w:val="24"/>
          <w:lang w:val="en-GB"/>
        </w:rPr>
        <w:tab/>
        <w:t>Once a court has established that it is in as good a position as the administrator, it is competent to enquire into whether the decision of the administrator is a foregone conclusion.  A foregone conclusion exists where there is only one proper outcome of the exercise of an administrator’s discretion and “it would merely be a waste of time to order the [administrator] to reconsider the matter”.</w:t>
      </w:r>
      <w:r w:rsidRPr="00961D21">
        <w:rPr>
          <w:rStyle w:val="FootnoteReference"/>
          <w:rFonts w:ascii="Arial" w:hAnsi="Arial" w:cs="Arial"/>
          <w:i/>
          <w:iCs/>
          <w:sz w:val="24"/>
          <w:lang w:val="en-GB"/>
        </w:rPr>
        <w:footnoteReference w:id="42"/>
      </w:r>
      <w:r w:rsidRPr="00961D21">
        <w:rPr>
          <w:rFonts w:ascii="Arial" w:hAnsi="Arial" w:cs="Arial"/>
          <w:i/>
          <w:iCs/>
          <w:sz w:val="24"/>
          <w:szCs w:val="24"/>
          <w:lang w:val="en-GB"/>
        </w:rPr>
        <w:t xml:space="preserve">  Indubitably, where the administrator has not adequately applied its unique expertise and experience </w:t>
      </w:r>
      <w:r w:rsidRPr="00961D21">
        <w:rPr>
          <w:rFonts w:ascii="Arial" w:hAnsi="Arial" w:cs="Arial"/>
          <w:i/>
          <w:iCs/>
          <w:sz w:val="24"/>
          <w:szCs w:val="24"/>
          <w:lang w:val="en-GB"/>
        </w:rPr>
        <w:lastRenderedPageBreak/>
        <w:t>to the matter, it may be difficult for a court to find that an administrator would have reached a particular decision and that the decision is a foregone conclusion.  However, in instances where the decision of an administrator is not polycentric and is guided by particular rules or by legislation, it may still be possible for a court to conclude that the decision is a foregone conclusion.</w:t>
      </w:r>
    </w:p>
    <w:p w14:paraId="5E5FC3AA" w14:textId="77777777" w:rsidR="0059432F" w:rsidRPr="00961D21" w:rsidRDefault="0059432F" w:rsidP="0059432F">
      <w:pPr>
        <w:pStyle w:val="JUDGMENTCONTINUED"/>
        <w:ind w:left="1418"/>
        <w:rPr>
          <w:rFonts w:ascii="Arial" w:hAnsi="Arial" w:cs="Arial"/>
          <w:i/>
          <w:iCs/>
          <w:sz w:val="24"/>
          <w:szCs w:val="24"/>
          <w:lang w:val="en-GB"/>
        </w:rPr>
      </w:pPr>
    </w:p>
    <w:p w14:paraId="1AE22CB3" w14:textId="2014DC60"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[50]</w:t>
      </w:r>
      <w:r w:rsidRPr="00961D21">
        <w:rPr>
          <w:rFonts w:ascii="Arial" w:hAnsi="Arial" w:cs="Arial"/>
          <w:i/>
          <w:iCs/>
          <w:sz w:val="24"/>
          <w:szCs w:val="24"/>
          <w:lang w:val="en-GB"/>
        </w:rPr>
        <w:tab/>
        <w:t>The distinction between the considerations in as good a position and foregone conclusion seems opaque as they are interrelated and inter-dependent.  However, there can never be a foregone conclusion unless a court is in as good a position as the administrator.  The distinction can be understood as follows: even where the administrator has applied its skills and expertise and a court has all the relevant information before it, the nature of the decision may dictate that a court defer to the administrator.  This is typical in instances of policy-laden and polycentric decisions.</w:t>
      </w:r>
      <w:r w:rsidRPr="00961D21">
        <w:rPr>
          <w:rStyle w:val="FootnoteReference"/>
          <w:rFonts w:ascii="Arial" w:hAnsi="Arial" w:cs="Arial"/>
          <w:i/>
          <w:iCs/>
          <w:sz w:val="24"/>
          <w:lang w:val="en-GB"/>
        </w:rPr>
        <w:footnoteReference w:id="43"/>
      </w:r>
    </w:p>
    <w:p w14:paraId="71D97DA1" w14:textId="77777777" w:rsidR="0059432F" w:rsidRPr="00961D21" w:rsidRDefault="0059432F" w:rsidP="0059432F">
      <w:pPr>
        <w:pStyle w:val="JUDGMENTNUMBERED"/>
        <w:numPr>
          <w:ilvl w:val="0"/>
          <w:numId w:val="0"/>
        </w:numPr>
        <w:ind w:left="1418"/>
        <w:rPr>
          <w:rFonts w:ascii="Arial" w:hAnsi="Arial" w:cs="Arial"/>
          <w:i/>
          <w:iCs/>
          <w:sz w:val="24"/>
          <w:szCs w:val="24"/>
          <w:lang w:val="en-GB"/>
        </w:rPr>
      </w:pPr>
    </w:p>
    <w:p w14:paraId="3FB588F1" w14:textId="1C1799C8"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[51]</w:t>
      </w:r>
      <w:r w:rsidRPr="00961D21">
        <w:rPr>
          <w:rFonts w:ascii="Arial" w:hAnsi="Arial" w:cs="Arial"/>
          <w:i/>
          <w:iCs/>
          <w:sz w:val="24"/>
          <w:szCs w:val="24"/>
          <w:lang w:val="en-GB"/>
        </w:rPr>
        <w:tab/>
        <w:t>A court must consider other relevant factors, including delay.  Delay can cut both ways.  In some instances, it may indicate the inappropriateness of a substitution order, especially where there is a drastic change of circumstances and a party is no longer in a position to meet the obligations arising from an order of substitution or where the needs of the administrator have fundamentally changed.  In other instances, delay may weigh more towards granting an order of substitution.  This may arise where a party is prepared to perform in terms of that order and has already suffered prejudice by reason of delay.  In that instance, the delay occasioned by remittal may very well result in further prejudice to that party.  Importantly, it may also negatively impact the public purse.</w:t>
      </w:r>
    </w:p>
    <w:p w14:paraId="32535E58" w14:textId="77777777" w:rsidR="0059432F" w:rsidRPr="00961D21" w:rsidRDefault="0059432F" w:rsidP="0059432F">
      <w:pPr>
        <w:pStyle w:val="JUDGMENTCONTINUED"/>
        <w:ind w:left="1418"/>
        <w:rPr>
          <w:rFonts w:ascii="Arial" w:hAnsi="Arial" w:cs="Arial"/>
          <w:i/>
          <w:iCs/>
          <w:sz w:val="24"/>
          <w:szCs w:val="24"/>
          <w:lang w:val="en-GB"/>
        </w:rPr>
      </w:pPr>
    </w:p>
    <w:p w14:paraId="435712D0" w14:textId="582B7D0A"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[52]</w:t>
      </w:r>
      <w:r w:rsidRPr="00961D21">
        <w:rPr>
          <w:rFonts w:ascii="Arial" w:hAnsi="Arial" w:cs="Arial"/>
          <w:i/>
          <w:iCs/>
          <w:sz w:val="24"/>
          <w:szCs w:val="24"/>
          <w:lang w:val="en-GB"/>
        </w:rPr>
        <w:tab/>
        <w:t>What must be stressed is that delay occasioned by the litigation process should not easily clout a court’s decision in reaching a just and equitable remedy.  Sight must not be lost that litigation is a time-consuming process.  More so, an appeal should ordinarily be decided on the facts that existed when the original decision was made.</w:t>
      </w:r>
      <w:r w:rsidRPr="00961D21">
        <w:rPr>
          <w:rStyle w:val="FootnoteReference"/>
          <w:rFonts w:ascii="Arial" w:hAnsi="Arial" w:cs="Arial"/>
          <w:i/>
          <w:iCs/>
          <w:sz w:val="24"/>
          <w:lang w:val="en-GB"/>
        </w:rPr>
        <w:footnoteReference w:id="44"/>
      </w:r>
      <w:r w:rsidRPr="00961D21">
        <w:rPr>
          <w:rFonts w:ascii="Arial" w:hAnsi="Arial" w:cs="Arial"/>
          <w:i/>
          <w:iCs/>
          <w:sz w:val="24"/>
          <w:szCs w:val="24"/>
          <w:lang w:val="en-GB"/>
        </w:rPr>
        <w:t xml:space="preserve">  Delay must be understood in the context of the facts that would have been laid in the court of first instance as that is the court that would have been tasked with deciding whether a substitution order constitutes a just and equitable remedy in the circumstances.</w:t>
      </w:r>
    </w:p>
    <w:p w14:paraId="7E797BEB" w14:textId="77777777" w:rsidR="0059432F" w:rsidRPr="00961D21" w:rsidRDefault="0059432F" w:rsidP="0059432F">
      <w:pPr>
        <w:pStyle w:val="JUDGMENTNUMBERED"/>
        <w:numPr>
          <w:ilvl w:val="0"/>
          <w:numId w:val="0"/>
        </w:numPr>
        <w:ind w:left="1418"/>
        <w:rPr>
          <w:rFonts w:ascii="Arial" w:hAnsi="Arial" w:cs="Arial"/>
          <w:i/>
          <w:iCs/>
          <w:sz w:val="24"/>
          <w:szCs w:val="24"/>
          <w:lang w:val="en-GB"/>
        </w:rPr>
      </w:pPr>
    </w:p>
    <w:p w14:paraId="1593D5B8" w14:textId="0E22C07C"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[53]</w:t>
      </w:r>
      <w:r w:rsidRPr="00961D21">
        <w:rPr>
          <w:rFonts w:ascii="Arial" w:hAnsi="Arial" w:cs="Arial"/>
          <w:i/>
          <w:iCs/>
          <w:sz w:val="24"/>
          <w:szCs w:val="24"/>
          <w:lang w:val="en-GB"/>
        </w:rPr>
        <w:tab/>
        <w:t>There are important reasons for this approach.  Where a matter is appealed, delay is inevitable. Thus assessing delay with particular reference to the time between the original decision and when the appeal is heard could encourage parties to appeal cases.  This, they would do, with the hope that the time that has lapsed in the litigation process would be a basis for not granting a substitution order.  Where a litigant wishes to raise delay on the basis of new evidence, that evidence must be adduced and admitted in accordance with legal principles applicable to the introduction of new evidence on appeal.</w:t>
      </w:r>
      <w:r w:rsidRPr="00961D21">
        <w:rPr>
          <w:rStyle w:val="FootnoteReference"/>
          <w:rFonts w:ascii="Arial" w:hAnsi="Arial" w:cs="Arial"/>
          <w:i/>
          <w:iCs/>
          <w:sz w:val="24"/>
          <w:lang w:val="en-GB"/>
        </w:rPr>
        <w:footnoteReference w:id="45"/>
      </w:r>
      <w:r w:rsidRPr="00961D21">
        <w:rPr>
          <w:rFonts w:ascii="Arial" w:hAnsi="Arial" w:cs="Arial"/>
          <w:i/>
          <w:iCs/>
          <w:sz w:val="24"/>
          <w:szCs w:val="24"/>
          <w:lang w:val="en-GB"/>
        </w:rPr>
        <w:t xml:space="preserve">  Ultimately, the appropriateness of a substitution order must depend on the consideration of fairness to the implicated parties.</w:t>
      </w:r>
    </w:p>
    <w:p w14:paraId="637AA452" w14:textId="77777777" w:rsidR="0059432F" w:rsidRPr="00961D21" w:rsidRDefault="0059432F" w:rsidP="0059432F">
      <w:pPr>
        <w:pStyle w:val="JUDGMENTCONTINUED"/>
        <w:ind w:left="1418"/>
        <w:rPr>
          <w:lang w:val="en-GB"/>
        </w:rPr>
      </w:pPr>
    </w:p>
    <w:p w14:paraId="72FECBA2" w14:textId="77777777"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 xml:space="preserve">[54] </w:t>
      </w:r>
      <w:r w:rsidRPr="00961D21">
        <w:rPr>
          <w:rFonts w:ascii="Arial" w:hAnsi="Arial" w:cs="Arial"/>
          <w:i/>
          <w:iCs/>
          <w:sz w:val="24"/>
          <w:szCs w:val="24"/>
          <w:lang w:val="en-GB"/>
        </w:rPr>
        <w:tab/>
        <w:t xml:space="preserve">If the administrator is found to have been biased or grossly incompetent, it may be unfair to ask a party to resubmit itself to </w:t>
      </w:r>
      <w:r w:rsidRPr="00961D21">
        <w:rPr>
          <w:rFonts w:ascii="Arial" w:hAnsi="Arial" w:cs="Arial"/>
          <w:i/>
          <w:iCs/>
          <w:sz w:val="24"/>
          <w:szCs w:val="24"/>
          <w:lang w:val="en-GB"/>
        </w:rPr>
        <w:lastRenderedPageBreak/>
        <w:t>the administrator’s jurisdiction.  In those instances, bias or incompetence would weigh heavily in favour of a substitution order.  However, having regard to the notion of fairness, a court may still substitute even where there is no instance of bias or incompetence.</w:t>
      </w:r>
    </w:p>
    <w:p w14:paraId="33D6EAA2" w14:textId="77777777" w:rsidR="0059432F" w:rsidRPr="00961D21" w:rsidRDefault="0059432F" w:rsidP="0059432F">
      <w:pPr>
        <w:pStyle w:val="JUDGMENTCONTINUED"/>
        <w:ind w:left="1418"/>
        <w:rPr>
          <w:rFonts w:ascii="Arial" w:hAnsi="Arial" w:cs="Arial"/>
          <w:i/>
          <w:iCs/>
          <w:sz w:val="24"/>
          <w:szCs w:val="24"/>
          <w:lang w:val="en-GB"/>
        </w:rPr>
      </w:pPr>
    </w:p>
    <w:p w14:paraId="56F4082A" w14:textId="13EF4661" w:rsidR="0059432F" w:rsidRPr="00961D21" w:rsidRDefault="0059432F" w:rsidP="0059432F">
      <w:pPr>
        <w:pStyle w:val="JUDGMENTNUMBERED"/>
        <w:numPr>
          <w:ilvl w:val="0"/>
          <w:numId w:val="0"/>
        </w:numPr>
        <w:ind w:left="2835" w:hanging="850"/>
        <w:rPr>
          <w:rFonts w:ascii="Arial" w:hAnsi="Arial" w:cs="Arial"/>
          <w:i/>
          <w:iCs/>
          <w:sz w:val="24"/>
          <w:szCs w:val="24"/>
          <w:lang w:val="en-GB"/>
        </w:rPr>
      </w:pPr>
      <w:r w:rsidRPr="00961D21">
        <w:rPr>
          <w:rFonts w:ascii="Arial" w:hAnsi="Arial" w:cs="Arial"/>
          <w:i/>
          <w:iCs/>
          <w:sz w:val="24"/>
          <w:szCs w:val="24"/>
          <w:lang w:val="en-GB"/>
        </w:rPr>
        <w:t>[55]</w:t>
      </w:r>
      <w:r w:rsidRPr="00961D21">
        <w:rPr>
          <w:rFonts w:ascii="Arial" w:hAnsi="Arial" w:cs="Arial"/>
          <w:i/>
          <w:iCs/>
          <w:sz w:val="24"/>
          <w:szCs w:val="24"/>
          <w:lang w:val="en-GB"/>
        </w:rPr>
        <w:tab/>
        <w:t>In my view, this approach to the exceptional circumstances test accords with the flexibility embedded in the notion of what is just and equitable.  It is, therefore, consonant with the Constitution while at the same time giving proper deference and consideration to an administrator.”</w:t>
      </w:r>
    </w:p>
    <w:p w14:paraId="1F6D7716" w14:textId="65F688AC" w:rsidR="0059432F" w:rsidRPr="00961D21" w:rsidRDefault="0059432F" w:rsidP="0059432F">
      <w:pPr>
        <w:spacing w:before="360" w:after="360" w:line="360" w:lineRule="auto"/>
        <w:ind w:right="439"/>
        <w:rPr>
          <w:rFonts w:cs="Arial"/>
          <w:i/>
          <w:iCs/>
          <w:szCs w:val="24"/>
          <w:lang w:val="en-GB"/>
        </w:rPr>
      </w:pPr>
      <w:r w:rsidRPr="00961D21">
        <w:rPr>
          <w:rFonts w:cs="Arial"/>
          <w:i/>
          <w:iCs/>
          <w:szCs w:val="24"/>
          <w:lang w:val="en-GB"/>
        </w:rPr>
        <w:t xml:space="preserve">Applying the </w:t>
      </w:r>
      <w:r w:rsidR="00BC35F7" w:rsidRPr="00961D21">
        <w:rPr>
          <w:rFonts w:cs="Arial"/>
          <w:i/>
          <w:iCs/>
          <w:szCs w:val="24"/>
          <w:lang w:val="en-GB"/>
        </w:rPr>
        <w:t xml:space="preserve">law and </w:t>
      </w:r>
      <w:r w:rsidRPr="00961D21">
        <w:rPr>
          <w:rFonts w:cs="Arial"/>
          <w:i/>
          <w:iCs/>
          <w:szCs w:val="24"/>
          <w:lang w:val="en-GB"/>
        </w:rPr>
        <w:t xml:space="preserve">authorities </w:t>
      </w:r>
      <w:r w:rsidR="00BC35F7" w:rsidRPr="00961D21">
        <w:rPr>
          <w:rFonts w:cs="Arial"/>
          <w:i/>
          <w:iCs/>
          <w:szCs w:val="24"/>
          <w:lang w:val="en-GB"/>
        </w:rPr>
        <w:t xml:space="preserve">to </w:t>
      </w:r>
      <w:r w:rsidRPr="00961D21">
        <w:rPr>
          <w:rFonts w:cs="Arial"/>
          <w:i/>
          <w:iCs/>
          <w:szCs w:val="24"/>
          <w:lang w:val="en-GB"/>
        </w:rPr>
        <w:t>the facts of this matter</w:t>
      </w:r>
    </w:p>
    <w:p w14:paraId="0B51EFA0" w14:textId="5EDDA6E2" w:rsidR="004F61C3"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74.</w:t>
      </w:r>
      <w:r w:rsidRPr="00961D21">
        <w:rPr>
          <w:rFonts w:cs="Arial"/>
          <w:w w:val="99"/>
          <w:szCs w:val="24"/>
        </w:rPr>
        <w:tab/>
      </w:r>
      <w:r w:rsidR="002764E4" w:rsidRPr="00CC2CF5">
        <w:rPr>
          <w:iCs/>
          <w:lang w:val="en-GB"/>
        </w:rPr>
        <w:t>Duly contextualised and applied</w:t>
      </w:r>
      <w:r w:rsidR="006F4748" w:rsidRPr="00CC2CF5">
        <w:rPr>
          <w:iCs/>
          <w:lang w:val="en-GB"/>
        </w:rPr>
        <w:t>, the exceptional circumstances enquiry must take place in the context of what is just and equitable in the circumstances</w:t>
      </w:r>
      <w:r w:rsidR="002764E4" w:rsidRPr="00CC2CF5">
        <w:rPr>
          <w:iCs/>
          <w:lang w:val="en-GB"/>
        </w:rPr>
        <w:t xml:space="preserve"> of a particular case</w:t>
      </w:r>
      <w:r w:rsidR="006F4748" w:rsidRPr="00CC2CF5">
        <w:rPr>
          <w:iCs/>
          <w:lang w:val="en-GB"/>
        </w:rPr>
        <w:t xml:space="preserve">. Even where there are exceptional circumstances, </w:t>
      </w:r>
      <w:r w:rsidR="004F61C3" w:rsidRPr="00CC2CF5">
        <w:rPr>
          <w:iCs/>
          <w:lang w:val="en-GB"/>
        </w:rPr>
        <w:t>this</w:t>
      </w:r>
      <w:r w:rsidR="006F4748" w:rsidRPr="00CC2CF5">
        <w:rPr>
          <w:iCs/>
          <w:lang w:val="en-GB"/>
        </w:rPr>
        <w:t xml:space="preserve"> court must be satisfied that it would be just and equitable to grant an order of substitution</w:t>
      </w:r>
      <w:r w:rsidR="00BC35F7" w:rsidRPr="00CC2CF5">
        <w:rPr>
          <w:iCs/>
          <w:lang w:val="en-GB"/>
        </w:rPr>
        <w:t>, as opposed to the usual position of remitting upon review</w:t>
      </w:r>
      <w:r w:rsidR="006F4748" w:rsidRPr="00CC2CF5">
        <w:rPr>
          <w:iCs/>
          <w:lang w:val="en-GB"/>
        </w:rPr>
        <w:t xml:space="preserve">. This court has a discretion </w:t>
      </w:r>
      <w:r w:rsidR="00272319" w:rsidRPr="00CC2CF5">
        <w:rPr>
          <w:iCs/>
          <w:lang w:val="en-GB"/>
        </w:rPr>
        <w:t>that</w:t>
      </w:r>
      <w:r w:rsidR="006F4748" w:rsidRPr="00CC2CF5">
        <w:rPr>
          <w:iCs/>
          <w:lang w:val="en-GB"/>
        </w:rPr>
        <w:t xml:space="preserve"> must</w:t>
      </w:r>
      <w:r w:rsidR="00272319" w:rsidRPr="00CC2CF5">
        <w:rPr>
          <w:iCs/>
          <w:lang w:val="en-GB"/>
        </w:rPr>
        <w:t xml:space="preserve"> be</w:t>
      </w:r>
      <w:r w:rsidR="006F4748" w:rsidRPr="00CC2CF5">
        <w:rPr>
          <w:iCs/>
          <w:lang w:val="en-GB"/>
        </w:rPr>
        <w:t xml:space="preserve"> </w:t>
      </w:r>
      <w:r w:rsidR="00272319" w:rsidRPr="00CC2CF5">
        <w:rPr>
          <w:iCs/>
          <w:lang w:val="en-GB"/>
        </w:rPr>
        <w:t>exercised</w:t>
      </w:r>
      <w:r w:rsidR="006F4748" w:rsidRPr="00CC2CF5">
        <w:rPr>
          <w:iCs/>
          <w:lang w:val="en-GB"/>
        </w:rPr>
        <w:t xml:space="preserve"> judicially.</w:t>
      </w:r>
    </w:p>
    <w:p w14:paraId="7308D45D" w14:textId="28C8029D" w:rsidR="004F61C3"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75.</w:t>
      </w:r>
      <w:r w:rsidRPr="00961D21">
        <w:rPr>
          <w:rFonts w:cs="Arial"/>
          <w:w w:val="99"/>
          <w:szCs w:val="24"/>
        </w:rPr>
        <w:tab/>
      </w:r>
      <w:r w:rsidR="00272319" w:rsidRPr="00CC2CF5">
        <w:rPr>
          <w:iCs/>
          <w:lang w:val="en-GB"/>
        </w:rPr>
        <w:t>To</w:t>
      </w:r>
      <w:r w:rsidR="006F4748" w:rsidRPr="00CC2CF5">
        <w:rPr>
          <w:iCs/>
          <w:lang w:val="en-GB"/>
        </w:rPr>
        <w:t xml:space="preserve"> exercise </w:t>
      </w:r>
      <w:r w:rsidR="006562D2" w:rsidRPr="00CC2CF5">
        <w:rPr>
          <w:iCs/>
          <w:lang w:val="en-GB"/>
        </w:rPr>
        <w:t>its</w:t>
      </w:r>
      <w:r w:rsidR="006F4748" w:rsidRPr="00CC2CF5">
        <w:rPr>
          <w:iCs/>
          <w:lang w:val="en-GB"/>
        </w:rPr>
        <w:t xml:space="preserve"> discretion, it is important to have regard to the factual evidence before this court. It is trite that where factual disputes arise, relief should only be granted if the facts stated by the respondent, together with the admitted facts in the applicant’s affidavit</w:t>
      </w:r>
      <w:r w:rsidR="002764E4" w:rsidRPr="00CC2CF5">
        <w:rPr>
          <w:iCs/>
          <w:lang w:val="en-GB"/>
        </w:rPr>
        <w:t>,</w:t>
      </w:r>
      <w:r w:rsidR="006F4748" w:rsidRPr="00CC2CF5">
        <w:rPr>
          <w:iCs/>
          <w:lang w:val="en-GB"/>
        </w:rPr>
        <w:t xml:space="preserve"> </w:t>
      </w:r>
      <w:r w:rsidR="006562D2" w:rsidRPr="00CC2CF5">
        <w:rPr>
          <w:iCs/>
          <w:lang w:val="en-GB"/>
        </w:rPr>
        <w:t>justify</w:t>
      </w:r>
      <w:r w:rsidR="006F4748" w:rsidRPr="00CC2CF5">
        <w:rPr>
          <w:iCs/>
          <w:lang w:val="en-GB"/>
        </w:rPr>
        <w:t xml:space="preserve"> an order.</w:t>
      </w:r>
    </w:p>
    <w:p w14:paraId="06B9C2AF" w14:textId="2D51A124" w:rsidR="004F61C3"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76.</w:t>
      </w:r>
      <w:r w:rsidRPr="00961D21">
        <w:rPr>
          <w:rFonts w:cs="Arial"/>
          <w:w w:val="99"/>
          <w:szCs w:val="24"/>
        </w:rPr>
        <w:tab/>
      </w:r>
      <w:r w:rsidR="00BC35F7" w:rsidRPr="00CC2CF5">
        <w:rPr>
          <w:i/>
          <w:iCs/>
          <w:szCs w:val="24"/>
          <w:lang w:val="en-GB"/>
        </w:rPr>
        <w:t>In</w:t>
      </w:r>
      <w:r w:rsidR="00BC35F7" w:rsidRPr="00CC2CF5">
        <w:rPr>
          <w:iCs/>
          <w:szCs w:val="24"/>
          <w:lang w:val="en-GB"/>
        </w:rPr>
        <w:t xml:space="preserve"> </w:t>
      </w:r>
      <w:r w:rsidR="00BC35F7" w:rsidRPr="00CC2CF5">
        <w:rPr>
          <w:i/>
          <w:iCs/>
          <w:szCs w:val="24"/>
          <w:lang w:val="en-GB"/>
        </w:rPr>
        <w:t>casu</w:t>
      </w:r>
      <w:r w:rsidR="00BC35F7" w:rsidRPr="00CC2CF5">
        <w:rPr>
          <w:iCs/>
          <w:lang w:val="en-GB"/>
        </w:rPr>
        <w:t>, t</w:t>
      </w:r>
      <w:r w:rsidR="006F4748" w:rsidRPr="00CC2CF5">
        <w:rPr>
          <w:iCs/>
          <w:lang w:val="en-GB"/>
        </w:rPr>
        <w:t>he respondent</w:t>
      </w:r>
      <w:r w:rsidR="00BC35F7" w:rsidRPr="00CC2CF5">
        <w:rPr>
          <w:iCs/>
          <w:lang w:val="en-GB"/>
        </w:rPr>
        <w:t xml:space="preserve">s’ version under oath consists of </w:t>
      </w:r>
      <w:r w:rsidR="006F4748" w:rsidRPr="00CC2CF5">
        <w:rPr>
          <w:iCs/>
          <w:lang w:val="en-GB"/>
        </w:rPr>
        <w:t>bald and baseless allegations</w:t>
      </w:r>
      <w:r w:rsidR="00BC35F7" w:rsidRPr="00CC2CF5">
        <w:rPr>
          <w:iCs/>
          <w:lang w:val="en-GB"/>
        </w:rPr>
        <w:t xml:space="preserve">. In fact, the </w:t>
      </w:r>
      <w:r w:rsidR="006F4748" w:rsidRPr="00CC2CF5">
        <w:rPr>
          <w:iCs/>
          <w:lang w:val="en-GB"/>
        </w:rPr>
        <w:t xml:space="preserve">answering affidavit consists mainly of bare denials proffering no version. Accordingly, </w:t>
      </w:r>
      <w:r w:rsidR="00BC35F7" w:rsidRPr="00CC2CF5">
        <w:rPr>
          <w:iCs/>
          <w:lang w:val="en-GB"/>
        </w:rPr>
        <w:t xml:space="preserve">this court is </w:t>
      </w:r>
      <w:r w:rsidR="006F4748" w:rsidRPr="00CC2CF5">
        <w:rPr>
          <w:iCs/>
          <w:lang w:val="en-GB"/>
        </w:rPr>
        <w:t>satisfied that having regard to the versions contained in the affidavits and applying the Plascon-Evans</w:t>
      </w:r>
      <w:r w:rsidR="002764E4">
        <w:rPr>
          <w:rStyle w:val="FootnoteReference"/>
          <w:iCs/>
          <w:lang w:val="en-GB"/>
        </w:rPr>
        <w:footnoteReference w:id="46"/>
      </w:r>
      <w:r w:rsidR="006F4748" w:rsidRPr="00CC2CF5">
        <w:rPr>
          <w:iCs/>
          <w:lang w:val="en-GB"/>
        </w:rPr>
        <w:t xml:space="preserve"> principle, the probabilities are</w:t>
      </w:r>
      <w:r w:rsidR="004F61C3" w:rsidRPr="00CC2CF5">
        <w:rPr>
          <w:iCs/>
          <w:lang w:val="en-GB"/>
        </w:rPr>
        <w:t xml:space="preserve"> </w:t>
      </w:r>
      <w:r w:rsidR="006F4748" w:rsidRPr="00CC2CF5">
        <w:rPr>
          <w:iCs/>
          <w:lang w:val="en-GB"/>
        </w:rPr>
        <w:t>overwhelmingly in the applicants</w:t>
      </w:r>
      <w:r w:rsidR="004F61C3" w:rsidRPr="00CC2CF5">
        <w:rPr>
          <w:iCs/>
          <w:lang w:val="en-GB"/>
        </w:rPr>
        <w:t>’</w:t>
      </w:r>
      <w:r w:rsidR="006F4748" w:rsidRPr="00CC2CF5">
        <w:rPr>
          <w:iCs/>
          <w:lang w:val="en-GB"/>
        </w:rPr>
        <w:t xml:space="preserve"> favour.</w:t>
      </w:r>
    </w:p>
    <w:p w14:paraId="1265DC1C" w14:textId="7F5054EE" w:rsidR="004F61C3"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lastRenderedPageBreak/>
        <w:t>77.</w:t>
      </w:r>
      <w:r w:rsidRPr="00961D21">
        <w:rPr>
          <w:rFonts w:cs="Arial"/>
          <w:w w:val="99"/>
          <w:szCs w:val="24"/>
        </w:rPr>
        <w:tab/>
      </w:r>
      <w:r w:rsidR="006F4748" w:rsidRPr="00CC2CF5">
        <w:rPr>
          <w:iCs/>
          <w:lang w:val="en-GB"/>
        </w:rPr>
        <w:t xml:space="preserve">That being said, it remains necessary to apply the exceptional circumstances test </w:t>
      </w:r>
      <w:r w:rsidR="00BC35F7" w:rsidRPr="00CC2CF5">
        <w:rPr>
          <w:iCs/>
          <w:lang w:val="en-GB"/>
        </w:rPr>
        <w:t xml:space="preserve">enunciated by the Constitutional Court as referred to above </w:t>
      </w:r>
      <w:r w:rsidR="006F4748" w:rsidRPr="00CC2CF5">
        <w:rPr>
          <w:iCs/>
          <w:lang w:val="en-GB"/>
        </w:rPr>
        <w:t>in order to determine whether a substitution order</w:t>
      </w:r>
      <w:r w:rsidR="00BC35F7" w:rsidRPr="00CC2CF5">
        <w:rPr>
          <w:iCs/>
          <w:lang w:val="en-GB"/>
        </w:rPr>
        <w:t xml:space="preserve"> should</w:t>
      </w:r>
      <w:r w:rsidR="006F4748" w:rsidRPr="00CC2CF5">
        <w:rPr>
          <w:iCs/>
          <w:lang w:val="en-GB"/>
        </w:rPr>
        <w:t xml:space="preserve"> </w:t>
      </w:r>
      <w:r w:rsidR="00BC35F7" w:rsidRPr="00CC2CF5">
        <w:rPr>
          <w:iCs/>
          <w:lang w:val="en-GB"/>
        </w:rPr>
        <w:t xml:space="preserve">or </w:t>
      </w:r>
      <w:r w:rsidR="006F4748" w:rsidRPr="00CC2CF5">
        <w:rPr>
          <w:iCs/>
          <w:lang w:val="en-GB"/>
        </w:rPr>
        <w:t>can be granted or whether this matter ought to be remitted back to the respondents to take a decision afresh</w:t>
      </w:r>
      <w:r w:rsidR="00BC35F7" w:rsidRPr="00CC2CF5">
        <w:rPr>
          <w:iCs/>
          <w:lang w:val="en-GB"/>
        </w:rPr>
        <w:t xml:space="preserve"> as the relevant decision-maker or administrator.</w:t>
      </w:r>
    </w:p>
    <w:p w14:paraId="14FDC546" w14:textId="155F60DA" w:rsidR="00722FE3" w:rsidRPr="00CC2CF5" w:rsidRDefault="00CC2CF5" w:rsidP="00CC2CF5">
      <w:pPr>
        <w:tabs>
          <w:tab w:val="left" w:pos="861"/>
        </w:tabs>
        <w:spacing w:before="360" w:after="360" w:line="360" w:lineRule="auto"/>
        <w:ind w:left="851" w:right="439" w:hanging="851"/>
        <w:rPr>
          <w:rFonts w:cs="Arial"/>
          <w:szCs w:val="24"/>
          <w:lang w:val="en-GB"/>
        </w:rPr>
      </w:pPr>
      <w:r w:rsidRPr="00722FE3">
        <w:rPr>
          <w:rFonts w:cs="Arial"/>
          <w:w w:val="99"/>
          <w:szCs w:val="24"/>
        </w:rPr>
        <w:t>78.</w:t>
      </w:r>
      <w:r w:rsidRPr="00722FE3">
        <w:rPr>
          <w:rFonts w:cs="Arial"/>
          <w:w w:val="99"/>
          <w:szCs w:val="24"/>
        </w:rPr>
        <w:tab/>
      </w:r>
      <w:r w:rsidR="00BC35F7" w:rsidRPr="00CC2CF5">
        <w:rPr>
          <w:iCs/>
          <w:lang w:val="en-GB"/>
        </w:rPr>
        <w:t xml:space="preserve">This court is </w:t>
      </w:r>
      <w:r w:rsidR="006F4748" w:rsidRPr="00CC2CF5">
        <w:rPr>
          <w:iCs/>
          <w:lang w:val="en-GB"/>
        </w:rPr>
        <w:t xml:space="preserve">of the view that if this matter is remitted back, </w:t>
      </w:r>
      <w:r w:rsidR="00272319" w:rsidRPr="00CC2CF5">
        <w:rPr>
          <w:iCs/>
          <w:lang w:val="en-GB"/>
        </w:rPr>
        <w:t>the result</w:t>
      </w:r>
      <w:r w:rsidR="006F4748" w:rsidRPr="00CC2CF5">
        <w:rPr>
          <w:iCs/>
          <w:lang w:val="en-GB"/>
        </w:rPr>
        <w:t xml:space="preserve"> is a foregone conclusion and would merely be a waste of time if the respondents are to reconsider this matter. </w:t>
      </w:r>
      <w:r w:rsidR="00BC35F7" w:rsidRPr="00CC2CF5">
        <w:rPr>
          <w:iCs/>
          <w:lang w:val="en-GB"/>
        </w:rPr>
        <w:t xml:space="preserve">This </w:t>
      </w:r>
      <w:r w:rsidR="006F4748" w:rsidRPr="00CC2CF5">
        <w:rPr>
          <w:iCs/>
          <w:lang w:val="en-GB"/>
        </w:rPr>
        <w:t xml:space="preserve">view is premised on the fact that the respondents have not taken any steps to reconsider </w:t>
      </w:r>
      <w:r w:rsidR="004F61C3" w:rsidRPr="00CC2CF5">
        <w:rPr>
          <w:iCs/>
          <w:lang w:val="en-GB"/>
        </w:rPr>
        <w:t xml:space="preserve">this matter </w:t>
      </w:r>
      <w:r w:rsidR="006F4748" w:rsidRPr="00CC2CF5">
        <w:rPr>
          <w:iCs/>
          <w:lang w:val="en-GB"/>
        </w:rPr>
        <w:t xml:space="preserve">since the initial decisions were made. </w:t>
      </w:r>
      <w:r w:rsidR="00035E00" w:rsidRPr="00CC2CF5">
        <w:rPr>
          <w:iCs/>
          <w:lang w:val="en-GB"/>
        </w:rPr>
        <w:t xml:space="preserve">The respondents need not await a ruling by the court to </w:t>
      </w:r>
      <w:r w:rsidR="00722FE3" w:rsidRPr="00CC2CF5">
        <w:rPr>
          <w:iCs/>
          <w:lang w:val="en-GB"/>
        </w:rPr>
        <w:t xml:space="preserve">investigate the affairs of any citizen, </w:t>
      </w:r>
      <w:r w:rsidR="00035E00" w:rsidRPr="00CC2CF5">
        <w:rPr>
          <w:iCs/>
          <w:lang w:val="en-GB"/>
        </w:rPr>
        <w:t xml:space="preserve">commence proceedings or conduct themselves </w:t>
      </w:r>
      <w:r w:rsidR="00722FE3" w:rsidRPr="00CC2CF5">
        <w:rPr>
          <w:iCs/>
          <w:lang w:val="en-GB"/>
        </w:rPr>
        <w:t xml:space="preserve">and invoke powers in accordance </w:t>
      </w:r>
      <w:r w:rsidR="00035E00" w:rsidRPr="00CC2CF5">
        <w:rPr>
          <w:iCs/>
          <w:lang w:val="en-GB"/>
        </w:rPr>
        <w:t xml:space="preserve">with various statutes, the </w:t>
      </w:r>
      <w:r w:rsidR="00272319" w:rsidRPr="00CC2CF5">
        <w:rPr>
          <w:iCs/>
          <w:lang w:val="en-GB"/>
        </w:rPr>
        <w:t>Constitution,</w:t>
      </w:r>
      <w:r w:rsidR="00035E00" w:rsidRPr="00CC2CF5">
        <w:rPr>
          <w:iCs/>
          <w:lang w:val="en-GB"/>
        </w:rPr>
        <w:t xml:space="preserve"> and the provisions of PAJA. </w:t>
      </w:r>
    </w:p>
    <w:p w14:paraId="2A695481" w14:textId="54E4C38E" w:rsidR="00837847" w:rsidRPr="00CC2CF5" w:rsidRDefault="00CC2CF5" w:rsidP="00CC2CF5">
      <w:pPr>
        <w:tabs>
          <w:tab w:val="left" w:pos="861"/>
        </w:tabs>
        <w:spacing w:before="360" w:after="360" w:line="360" w:lineRule="auto"/>
        <w:ind w:left="851" w:right="439" w:hanging="851"/>
        <w:rPr>
          <w:rFonts w:cs="Arial"/>
          <w:szCs w:val="24"/>
          <w:lang w:val="en-GB"/>
        </w:rPr>
      </w:pPr>
      <w:r w:rsidRPr="00722FE3">
        <w:rPr>
          <w:rFonts w:cs="Arial"/>
          <w:w w:val="99"/>
          <w:szCs w:val="24"/>
        </w:rPr>
        <w:t>79.</w:t>
      </w:r>
      <w:r w:rsidRPr="00722FE3">
        <w:rPr>
          <w:rFonts w:cs="Arial"/>
          <w:w w:val="99"/>
          <w:szCs w:val="24"/>
        </w:rPr>
        <w:tab/>
      </w:r>
      <w:r w:rsidR="00722FE3" w:rsidRPr="00CC2CF5">
        <w:rPr>
          <w:iCs/>
          <w:lang w:val="en-GB"/>
        </w:rPr>
        <w:t>T</w:t>
      </w:r>
      <w:r w:rsidR="006F4748" w:rsidRPr="00CC2CF5">
        <w:rPr>
          <w:iCs/>
          <w:lang w:val="en-GB"/>
        </w:rPr>
        <w:t>he applicants</w:t>
      </w:r>
      <w:r w:rsidR="00BC35F7" w:rsidRPr="00CC2CF5">
        <w:rPr>
          <w:iCs/>
          <w:lang w:val="en-GB"/>
        </w:rPr>
        <w:t xml:space="preserve"> attempted to engage</w:t>
      </w:r>
      <w:r w:rsidR="00722FE3" w:rsidRPr="00CC2CF5">
        <w:rPr>
          <w:iCs/>
          <w:lang w:val="en-GB"/>
        </w:rPr>
        <w:t xml:space="preserve"> the </w:t>
      </w:r>
      <w:r w:rsidR="006F4748" w:rsidRPr="00CC2CF5">
        <w:rPr>
          <w:iCs/>
          <w:lang w:val="en-GB"/>
        </w:rPr>
        <w:t>respondents on numerous occasions</w:t>
      </w:r>
      <w:r w:rsidR="00837847" w:rsidRPr="00CC2CF5">
        <w:rPr>
          <w:iCs/>
          <w:lang w:val="en-GB"/>
        </w:rPr>
        <w:t xml:space="preserve"> which </w:t>
      </w:r>
      <w:r w:rsidR="006F4748" w:rsidRPr="00CC2CF5">
        <w:rPr>
          <w:iCs/>
          <w:lang w:val="en-GB"/>
        </w:rPr>
        <w:t>still</w:t>
      </w:r>
      <w:r w:rsidR="00837847" w:rsidRPr="00CC2CF5">
        <w:rPr>
          <w:iCs/>
          <w:lang w:val="en-GB"/>
        </w:rPr>
        <w:t xml:space="preserve"> yielded or </w:t>
      </w:r>
      <w:r w:rsidR="006F4748" w:rsidRPr="00CC2CF5">
        <w:rPr>
          <w:iCs/>
          <w:lang w:val="en-GB"/>
        </w:rPr>
        <w:t>resulted in the same outcome</w:t>
      </w:r>
      <w:r w:rsidR="00837847" w:rsidRPr="00CC2CF5">
        <w:rPr>
          <w:iCs/>
          <w:lang w:val="en-GB"/>
        </w:rPr>
        <w:t xml:space="preserve">, i.e., </w:t>
      </w:r>
      <w:r w:rsidR="005B6C77" w:rsidRPr="00CC2CF5">
        <w:rPr>
          <w:iCs/>
          <w:lang w:val="en-GB"/>
        </w:rPr>
        <w:t xml:space="preserve">invalid decisions were </w:t>
      </w:r>
      <w:r w:rsidR="006562D2" w:rsidRPr="00CC2CF5">
        <w:rPr>
          <w:iCs/>
          <w:lang w:val="en-GB"/>
        </w:rPr>
        <w:t>taken,</w:t>
      </w:r>
      <w:r w:rsidR="005B6C77" w:rsidRPr="00CC2CF5">
        <w:rPr>
          <w:iCs/>
          <w:lang w:val="en-GB"/>
        </w:rPr>
        <w:t xml:space="preserve"> and </w:t>
      </w:r>
      <w:r w:rsidR="006F4748" w:rsidRPr="00CC2CF5">
        <w:rPr>
          <w:iCs/>
          <w:lang w:val="en-GB"/>
        </w:rPr>
        <w:t>defective administrative procedures</w:t>
      </w:r>
      <w:r w:rsidR="00837847" w:rsidRPr="00CC2CF5">
        <w:rPr>
          <w:iCs/>
          <w:lang w:val="en-GB"/>
        </w:rPr>
        <w:t xml:space="preserve"> were</w:t>
      </w:r>
      <w:r w:rsidR="006F4748" w:rsidRPr="00CC2CF5">
        <w:rPr>
          <w:iCs/>
          <w:lang w:val="en-GB"/>
        </w:rPr>
        <w:t xml:space="preserve"> followed.</w:t>
      </w:r>
      <w:r w:rsidR="00722FE3" w:rsidRPr="00CC2CF5">
        <w:rPr>
          <w:iCs/>
          <w:lang w:val="en-GB"/>
        </w:rPr>
        <w:t xml:space="preserve">  </w:t>
      </w:r>
      <w:r w:rsidR="00837847" w:rsidRPr="00CC2CF5">
        <w:rPr>
          <w:iCs/>
          <w:lang w:val="en-GB"/>
        </w:rPr>
        <w:t>It would be unfair</w:t>
      </w:r>
      <w:r w:rsidR="005B6C77" w:rsidRPr="00CC2CF5">
        <w:rPr>
          <w:iCs/>
          <w:lang w:val="en-GB"/>
        </w:rPr>
        <w:t>,</w:t>
      </w:r>
      <w:r w:rsidR="00837847" w:rsidRPr="00CC2CF5">
        <w:rPr>
          <w:iCs/>
          <w:lang w:val="en-GB"/>
        </w:rPr>
        <w:t xml:space="preserve"> </w:t>
      </w:r>
      <w:r w:rsidR="005B6C77" w:rsidRPr="00CC2CF5">
        <w:rPr>
          <w:iCs/>
          <w:lang w:val="en-GB"/>
        </w:rPr>
        <w:t xml:space="preserve">unreasonable, </w:t>
      </w:r>
      <w:r w:rsidR="00E940E9" w:rsidRPr="00CC2CF5">
        <w:rPr>
          <w:iCs/>
          <w:lang w:val="en-GB"/>
        </w:rPr>
        <w:t>unjust,</w:t>
      </w:r>
      <w:r w:rsidR="005B6C77" w:rsidRPr="00CC2CF5">
        <w:rPr>
          <w:iCs/>
          <w:lang w:val="en-GB"/>
        </w:rPr>
        <w:t xml:space="preserve"> and inequitable </w:t>
      </w:r>
      <w:r w:rsidR="00837847" w:rsidRPr="00CC2CF5">
        <w:rPr>
          <w:iCs/>
          <w:lang w:val="en-GB"/>
        </w:rPr>
        <w:t xml:space="preserve">to </w:t>
      </w:r>
      <w:r w:rsidR="00722FE3" w:rsidRPr="00CC2CF5">
        <w:rPr>
          <w:iCs/>
          <w:lang w:val="en-GB"/>
        </w:rPr>
        <w:t xml:space="preserve">subject or </w:t>
      </w:r>
      <w:r w:rsidR="00837847" w:rsidRPr="00CC2CF5">
        <w:rPr>
          <w:iCs/>
          <w:lang w:val="en-GB"/>
        </w:rPr>
        <w:t xml:space="preserve">submit the applicants to </w:t>
      </w:r>
      <w:r w:rsidR="006562D2" w:rsidRPr="00CC2CF5">
        <w:rPr>
          <w:iCs/>
          <w:lang w:val="en-GB"/>
        </w:rPr>
        <w:t xml:space="preserve">the </w:t>
      </w:r>
      <w:r w:rsidR="00837847" w:rsidRPr="00CC2CF5">
        <w:rPr>
          <w:iCs/>
          <w:lang w:val="en-GB"/>
        </w:rPr>
        <w:t>same process that has yielded no proper investigation process,</w:t>
      </w:r>
      <w:r w:rsidR="005B6C77" w:rsidRPr="00CC2CF5">
        <w:rPr>
          <w:iCs/>
          <w:lang w:val="en-GB"/>
        </w:rPr>
        <w:t xml:space="preserve"> nor</w:t>
      </w:r>
      <w:r w:rsidR="00837847" w:rsidRPr="00CC2CF5">
        <w:rPr>
          <w:iCs/>
          <w:lang w:val="en-GB"/>
        </w:rPr>
        <w:t xml:space="preserve"> a hearing o</w:t>
      </w:r>
      <w:r w:rsidR="00473EC7" w:rsidRPr="00CC2CF5">
        <w:rPr>
          <w:iCs/>
          <w:lang w:val="en-GB"/>
        </w:rPr>
        <w:t>r</w:t>
      </w:r>
      <w:r w:rsidR="00837847" w:rsidRPr="00CC2CF5">
        <w:rPr>
          <w:iCs/>
          <w:lang w:val="en-GB"/>
        </w:rPr>
        <w:t xml:space="preserve"> engagement process between the parties, </w:t>
      </w:r>
      <w:r w:rsidR="00722FE3" w:rsidRPr="00CC2CF5">
        <w:rPr>
          <w:iCs/>
          <w:lang w:val="en-GB"/>
        </w:rPr>
        <w:t xml:space="preserve">and </w:t>
      </w:r>
      <w:r w:rsidR="00837847" w:rsidRPr="00CC2CF5">
        <w:rPr>
          <w:iCs/>
          <w:lang w:val="en-GB"/>
        </w:rPr>
        <w:t xml:space="preserve">has caused a delay of more than a decade. </w:t>
      </w:r>
    </w:p>
    <w:p w14:paraId="697BDD16" w14:textId="083FAE5B" w:rsidR="00837847"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80.</w:t>
      </w:r>
      <w:r w:rsidRPr="00961D21">
        <w:rPr>
          <w:rFonts w:cs="Arial"/>
          <w:w w:val="99"/>
          <w:szCs w:val="24"/>
        </w:rPr>
        <w:tab/>
      </w:r>
      <w:r w:rsidR="00837847" w:rsidRPr="00CC2CF5">
        <w:rPr>
          <w:iCs/>
          <w:lang w:val="en-GB"/>
        </w:rPr>
        <w:t>As to the element of</w:t>
      </w:r>
      <w:r w:rsidR="00484CB4" w:rsidRPr="00CC2CF5">
        <w:rPr>
          <w:iCs/>
          <w:lang w:val="en-GB"/>
        </w:rPr>
        <w:t xml:space="preserve"> skill, expertise or</w:t>
      </w:r>
      <w:r w:rsidR="00837847" w:rsidRPr="00CC2CF5">
        <w:rPr>
          <w:iCs/>
          <w:lang w:val="en-GB"/>
        </w:rPr>
        <w:t xml:space="preserve"> incompetence referred to in the judgment of the Constitutional Court referred to above, according to the respondents the status of the twins </w:t>
      </w:r>
      <w:r w:rsidR="006562D2" w:rsidRPr="00CC2CF5">
        <w:rPr>
          <w:iCs/>
          <w:lang w:val="en-GB"/>
        </w:rPr>
        <w:t>differs</w:t>
      </w:r>
      <w:r w:rsidR="00837847" w:rsidRPr="00CC2CF5">
        <w:rPr>
          <w:iCs/>
          <w:lang w:val="en-GB"/>
        </w:rPr>
        <w:t xml:space="preserve">. How </w:t>
      </w:r>
      <w:r w:rsidR="007170F3" w:rsidRPr="00CC2CF5">
        <w:rPr>
          <w:iCs/>
          <w:lang w:val="en-GB"/>
        </w:rPr>
        <w:t>the respondents c</w:t>
      </w:r>
      <w:r w:rsidR="00722FE3" w:rsidRPr="00CC2CF5">
        <w:rPr>
          <w:iCs/>
          <w:lang w:val="en-GB"/>
        </w:rPr>
        <w:t>a</w:t>
      </w:r>
      <w:r w:rsidR="007170F3" w:rsidRPr="00CC2CF5">
        <w:rPr>
          <w:iCs/>
          <w:lang w:val="en-GB"/>
        </w:rPr>
        <w:t xml:space="preserve">me to this conclusion is unknown. The respondents </w:t>
      </w:r>
      <w:r w:rsidR="00722FE3" w:rsidRPr="00CC2CF5">
        <w:rPr>
          <w:iCs/>
          <w:lang w:val="en-GB"/>
        </w:rPr>
        <w:t>h</w:t>
      </w:r>
      <w:r w:rsidR="007170F3" w:rsidRPr="00CC2CF5">
        <w:rPr>
          <w:iCs/>
          <w:lang w:val="en-GB"/>
        </w:rPr>
        <w:t>ad ample opportunity to address or remedy the</w:t>
      </w:r>
      <w:r w:rsidR="00484CB4" w:rsidRPr="00CC2CF5">
        <w:rPr>
          <w:iCs/>
          <w:lang w:val="en-GB"/>
        </w:rPr>
        <w:t>se</w:t>
      </w:r>
      <w:r w:rsidR="007170F3" w:rsidRPr="00CC2CF5">
        <w:rPr>
          <w:iCs/>
          <w:lang w:val="en-GB"/>
        </w:rPr>
        <w:t xml:space="preserve"> aspect</w:t>
      </w:r>
      <w:r w:rsidR="00484CB4" w:rsidRPr="00CC2CF5">
        <w:rPr>
          <w:iCs/>
          <w:lang w:val="en-GB"/>
        </w:rPr>
        <w:t>s</w:t>
      </w:r>
      <w:r w:rsidR="007170F3" w:rsidRPr="00CC2CF5">
        <w:rPr>
          <w:iCs/>
          <w:lang w:val="en-GB"/>
        </w:rPr>
        <w:t xml:space="preserve">, </w:t>
      </w:r>
      <w:r w:rsidR="00272319" w:rsidRPr="00CC2CF5">
        <w:rPr>
          <w:iCs/>
          <w:lang w:val="en-GB"/>
        </w:rPr>
        <w:t xml:space="preserve">but </w:t>
      </w:r>
      <w:r w:rsidR="007170F3" w:rsidRPr="00CC2CF5">
        <w:rPr>
          <w:iCs/>
          <w:lang w:val="en-GB"/>
        </w:rPr>
        <w:t xml:space="preserve">they failed to do so. This the respondents should have addressed, </w:t>
      </w:r>
      <w:r w:rsidR="006562D2" w:rsidRPr="00CC2CF5">
        <w:rPr>
          <w:iCs/>
          <w:lang w:val="en-GB"/>
        </w:rPr>
        <w:t>investigated,</w:t>
      </w:r>
      <w:r w:rsidR="007170F3" w:rsidRPr="00CC2CF5">
        <w:rPr>
          <w:iCs/>
          <w:lang w:val="en-GB"/>
        </w:rPr>
        <w:t xml:space="preserve"> or remedied independently prior to </w:t>
      </w:r>
      <w:r w:rsidR="006562D2" w:rsidRPr="00CC2CF5">
        <w:rPr>
          <w:iCs/>
          <w:lang w:val="en-GB"/>
        </w:rPr>
        <w:t xml:space="preserve">the </w:t>
      </w:r>
      <w:r w:rsidR="007170F3" w:rsidRPr="00CC2CF5">
        <w:rPr>
          <w:iCs/>
          <w:lang w:val="en-GB"/>
        </w:rPr>
        <w:t>institution of this application for review, it will after such institution serve little</w:t>
      </w:r>
      <w:r w:rsidR="00722FE3" w:rsidRPr="00CC2CF5">
        <w:rPr>
          <w:iCs/>
          <w:lang w:val="en-GB"/>
        </w:rPr>
        <w:t xml:space="preserve"> to </w:t>
      </w:r>
      <w:r w:rsidR="007170F3" w:rsidRPr="00CC2CF5">
        <w:rPr>
          <w:iCs/>
          <w:lang w:val="en-GB"/>
        </w:rPr>
        <w:t xml:space="preserve">no purpose to remit this and other issues. </w:t>
      </w:r>
    </w:p>
    <w:p w14:paraId="3A4A184B" w14:textId="232FB6D9" w:rsidR="00DA15E5"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81.</w:t>
      </w:r>
      <w:r w:rsidRPr="00961D21">
        <w:rPr>
          <w:rFonts w:cs="Arial"/>
          <w:w w:val="99"/>
          <w:szCs w:val="24"/>
        </w:rPr>
        <w:tab/>
      </w:r>
      <w:r w:rsidR="004F61C3" w:rsidRPr="00CC2CF5">
        <w:rPr>
          <w:iCs/>
          <w:lang w:val="en-GB"/>
        </w:rPr>
        <w:t>The</w:t>
      </w:r>
      <w:r w:rsidR="006F4748" w:rsidRPr="00CC2CF5">
        <w:rPr>
          <w:iCs/>
          <w:lang w:val="en-GB"/>
        </w:rPr>
        <w:t xml:space="preserve"> authorities set out above</w:t>
      </w:r>
      <w:r w:rsidR="004F61C3" w:rsidRPr="00CC2CF5">
        <w:rPr>
          <w:iCs/>
          <w:lang w:val="en-GB"/>
        </w:rPr>
        <w:t xml:space="preserve"> and</w:t>
      </w:r>
      <w:r w:rsidR="006F4748" w:rsidRPr="00CC2CF5">
        <w:rPr>
          <w:iCs/>
          <w:lang w:val="en-GB"/>
        </w:rPr>
        <w:t xml:space="preserve"> </w:t>
      </w:r>
      <w:r w:rsidR="00837847" w:rsidRPr="00CC2CF5">
        <w:rPr>
          <w:iCs/>
          <w:lang w:val="en-GB"/>
        </w:rPr>
        <w:t xml:space="preserve">the court’s </w:t>
      </w:r>
      <w:r w:rsidR="006F4748" w:rsidRPr="00CC2CF5">
        <w:rPr>
          <w:iCs/>
          <w:lang w:val="en-GB"/>
        </w:rPr>
        <w:t>finding that a remittal would be a foregone conclusion</w:t>
      </w:r>
      <w:r w:rsidR="004F61C3" w:rsidRPr="00CC2CF5">
        <w:rPr>
          <w:iCs/>
          <w:lang w:val="en-GB"/>
        </w:rPr>
        <w:t>,</w:t>
      </w:r>
      <w:r w:rsidR="006F4748" w:rsidRPr="00CC2CF5">
        <w:rPr>
          <w:iCs/>
          <w:lang w:val="en-GB"/>
        </w:rPr>
        <w:t xml:space="preserve"> is sufficient to justify an order of substitution.</w:t>
      </w:r>
      <w:r w:rsidR="00837847" w:rsidRPr="00CC2CF5">
        <w:rPr>
          <w:rFonts w:cs="Arial"/>
          <w:szCs w:val="24"/>
          <w:lang w:val="en-GB"/>
        </w:rPr>
        <w:t xml:space="preserve"> This </w:t>
      </w:r>
      <w:r w:rsidR="00837847" w:rsidRPr="00CC2CF5">
        <w:rPr>
          <w:rFonts w:cs="Arial"/>
          <w:szCs w:val="24"/>
          <w:lang w:val="en-GB"/>
        </w:rPr>
        <w:lastRenderedPageBreak/>
        <w:t>coupled with the delay to have addressed the issues and predicaments of the applicants since 2009, at least, should not continue indefinitely, it is in the interest of justice to be finalised</w:t>
      </w:r>
      <w:r w:rsidR="00484CB4" w:rsidRPr="00CC2CF5">
        <w:rPr>
          <w:rFonts w:cs="Arial"/>
          <w:szCs w:val="24"/>
          <w:lang w:val="en-GB"/>
        </w:rPr>
        <w:t>, it is also just and equitable</w:t>
      </w:r>
      <w:r w:rsidR="00837847" w:rsidRPr="00CC2CF5">
        <w:rPr>
          <w:rFonts w:cs="Arial"/>
          <w:szCs w:val="24"/>
          <w:lang w:val="en-GB"/>
        </w:rPr>
        <w:t>.</w:t>
      </w:r>
    </w:p>
    <w:p w14:paraId="1C274499" w14:textId="0114ADC1" w:rsidR="004F61C3"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82.</w:t>
      </w:r>
      <w:r w:rsidRPr="00961D21">
        <w:rPr>
          <w:rFonts w:cs="Arial"/>
          <w:w w:val="99"/>
          <w:szCs w:val="24"/>
        </w:rPr>
        <w:tab/>
      </w:r>
      <w:r w:rsidR="006F4748" w:rsidRPr="00CC2CF5">
        <w:rPr>
          <w:iCs/>
          <w:lang w:val="en-GB"/>
        </w:rPr>
        <w:t>Notwithstanding the above and having regard to</w:t>
      </w:r>
      <w:r w:rsidR="00722FE3" w:rsidRPr="00CC2CF5">
        <w:rPr>
          <w:iCs/>
          <w:lang w:val="en-GB"/>
        </w:rPr>
        <w:t xml:space="preserve"> and applying </w:t>
      </w:r>
      <w:r w:rsidR="006F4748" w:rsidRPr="00CC2CF5">
        <w:rPr>
          <w:iCs/>
          <w:lang w:val="en-GB"/>
        </w:rPr>
        <w:t xml:space="preserve">the SCA’s finding in </w:t>
      </w:r>
      <w:r w:rsidR="006F4748" w:rsidRPr="00CC2CF5">
        <w:rPr>
          <w:lang w:val="en-GB"/>
        </w:rPr>
        <w:t>Gauteng Gambling Board</w:t>
      </w:r>
      <w:r w:rsidR="006F4748" w:rsidRPr="00CC2CF5">
        <w:rPr>
          <w:iCs/>
          <w:lang w:val="en-GB"/>
        </w:rPr>
        <w:t>, this court is in as good a position as the respondent</w:t>
      </w:r>
      <w:r w:rsidR="00837847" w:rsidRPr="00CC2CF5">
        <w:rPr>
          <w:iCs/>
          <w:lang w:val="en-GB"/>
        </w:rPr>
        <w:t>s</w:t>
      </w:r>
      <w:r w:rsidR="006F4748" w:rsidRPr="00CC2CF5">
        <w:rPr>
          <w:iCs/>
          <w:lang w:val="en-GB"/>
        </w:rPr>
        <w:t xml:space="preserve">, having regard to the facts before it, to </w:t>
      </w:r>
      <w:r w:rsidR="006562D2" w:rsidRPr="00CC2CF5">
        <w:rPr>
          <w:iCs/>
          <w:lang w:val="en-GB"/>
        </w:rPr>
        <w:t xml:space="preserve">take or </w:t>
      </w:r>
      <w:r w:rsidR="006F4748" w:rsidRPr="00CC2CF5">
        <w:rPr>
          <w:iCs/>
          <w:lang w:val="en-GB"/>
        </w:rPr>
        <w:t>effect the decision</w:t>
      </w:r>
      <w:r w:rsidR="00837847" w:rsidRPr="00CC2CF5">
        <w:rPr>
          <w:iCs/>
          <w:lang w:val="en-GB"/>
        </w:rPr>
        <w:t xml:space="preserve"> of the administrator</w:t>
      </w:r>
      <w:r w:rsidR="00722FE3" w:rsidRPr="00CC2CF5">
        <w:rPr>
          <w:iCs/>
          <w:lang w:val="en-GB"/>
        </w:rPr>
        <w:t xml:space="preserve"> i.e., the respondents</w:t>
      </w:r>
      <w:r w:rsidR="006F4748" w:rsidRPr="00CC2CF5">
        <w:rPr>
          <w:iCs/>
          <w:lang w:val="en-GB"/>
        </w:rPr>
        <w:t xml:space="preserve">. </w:t>
      </w:r>
      <w:r w:rsidR="00484CB4" w:rsidRPr="00CC2CF5">
        <w:rPr>
          <w:iCs/>
          <w:lang w:val="en-GB"/>
        </w:rPr>
        <w:t xml:space="preserve">This court is </w:t>
      </w:r>
      <w:r w:rsidR="006F4748" w:rsidRPr="00CC2CF5">
        <w:rPr>
          <w:iCs/>
          <w:lang w:val="en-GB"/>
        </w:rPr>
        <w:t>therefore of the view that a substitution order is the appropriate remedy.</w:t>
      </w:r>
    </w:p>
    <w:p w14:paraId="5A3B1097" w14:textId="7BC9DAE5" w:rsidR="00077EF8" w:rsidRPr="00961D21" w:rsidRDefault="00077EF8" w:rsidP="00077EF8">
      <w:pPr>
        <w:spacing w:before="360" w:after="360" w:line="360" w:lineRule="auto"/>
        <w:ind w:right="439"/>
        <w:rPr>
          <w:rFonts w:cs="Arial"/>
          <w:i/>
          <w:iCs/>
          <w:szCs w:val="24"/>
          <w:lang w:val="en-GB"/>
        </w:rPr>
      </w:pPr>
      <w:r w:rsidRPr="00961D21">
        <w:rPr>
          <w:rFonts w:cs="Arial"/>
          <w:i/>
          <w:iCs/>
          <w:szCs w:val="24"/>
          <w:lang w:val="en-GB"/>
        </w:rPr>
        <w:t>Costs</w:t>
      </w:r>
    </w:p>
    <w:p w14:paraId="192EA655" w14:textId="30028DFB" w:rsidR="00D84261"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83.</w:t>
      </w:r>
      <w:r w:rsidRPr="00961D21">
        <w:rPr>
          <w:rFonts w:cs="Arial"/>
          <w:w w:val="99"/>
          <w:szCs w:val="24"/>
        </w:rPr>
        <w:tab/>
      </w:r>
      <w:r w:rsidR="00484CB4" w:rsidRPr="00CC2CF5">
        <w:rPr>
          <w:rFonts w:cs="Arial"/>
          <w:szCs w:val="24"/>
          <w:lang w:val="en-GB"/>
        </w:rPr>
        <w:t>Costs should follow the event, the applicants as successful parties should receive their costs against the respondents as the state.</w:t>
      </w:r>
      <w:r w:rsidR="00484CB4" w:rsidRPr="00961D21">
        <w:rPr>
          <w:rStyle w:val="FootnoteReference"/>
          <w:rFonts w:cs="Arial"/>
          <w:szCs w:val="24"/>
          <w:lang w:val="en-GB"/>
        </w:rPr>
        <w:footnoteReference w:id="47"/>
      </w:r>
    </w:p>
    <w:p w14:paraId="405400E4" w14:textId="61FF665A" w:rsidR="00DA15E5" w:rsidRPr="00961D21" w:rsidRDefault="00D84261" w:rsidP="00DA15E5">
      <w:pPr>
        <w:spacing w:before="360" w:after="360" w:line="360" w:lineRule="auto"/>
        <w:ind w:right="439"/>
        <w:rPr>
          <w:rFonts w:cs="Arial"/>
          <w:i/>
          <w:iCs/>
          <w:szCs w:val="24"/>
          <w:lang w:val="en-GB"/>
        </w:rPr>
      </w:pPr>
      <w:r w:rsidRPr="00961D21">
        <w:rPr>
          <w:rFonts w:cs="Arial"/>
          <w:i/>
          <w:iCs/>
          <w:szCs w:val="24"/>
          <w:lang w:val="en-GB"/>
        </w:rPr>
        <w:t xml:space="preserve">Order </w:t>
      </w:r>
    </w:p>
    <w:p w14:paraId="346B0004" w14:textId="1A87F043" w:rsidR="004F61C3" w:rsidRPr="00CC2CF5" w:rsidRDefault="00CC2CF5" w:rsidP="00CC2CF5">
      <w:pPr>
        <w:tabs>
          <w:tab w:val="left" w:pos="861"/>
        </w:tabs>
        <w:spacing w:before="360" w:after="360" w:line="360" w:lineRule="auto"/>
        <w:ind w:left="851" w:right="439" w:hanging="851"/>
        <w:rPr>
          <w:rFonts w:cs="Arial"/>
          <w:szCs w:val="24"/>
          <w:lang w:val="en-GB"/>
        </w:rPr>
      </w:pPr>
      <w:r w:rsidRPr="00961D21">
        <w:rPr>
          <w:rFonts w:cs="Arial"/>
          <w:w w:val="99"/>
          <w:szCs w:val="24"/>
        </w:rPr>
        <w:t>84.</w:t>
      </w:r>
      <w:r w:rsidRPr="00961D21">
        <w:rPr>
          <w:rFonts w:cs="Arial"/>
          <w:w w:val="99"/>
          <w:szCs w:val="24"/>
        </w:rPr>
        <w:tab/>
      </w:r>
      <w:r w:rsidR="006F4748" w:rsidRPr="00CC2CF5">
        <w:rPr>
          <w:rFonts w:cs="Arial"/>
          <w:szCs w:val="24"/>
          <w:lang w:val="en-GB"/>
        </w:rPr>
        <w:t xml:space="preserve">Accordingly, </w:t>
      </w:r>
      <w:r w:rsidR="00837847" w:rsidRPr="00CC2CF5">
        <w:rPr>
          <w:rFonts w:cs="Arial"/>
          <w:szCs w:val="24"/>
          <w:lang w:val="en-GB"/>
        </w:rPr>
        <w:t xml:space="preserve">this court grants </w:t>
      </w:r>
      <w:r w:rsidR="006F4748" w:rsidRPr="00CC2CF5">
        <w:rPr>
          <w:rFonts w:cs="Arial"/>
          <w:szCs w:val="24"/>
          <w:lang w:val="en-GB"/>
        </w:rPr>
        <w:t>the following order:</w:t>
      </w:r>
    </w:p>
    <w:p w14:paraId="26A3B0F4" w14:textId="0BE68602" w:rsidR="00D84261"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84.1.</w:t>
      </w:r>
      <w:r w:rsidRPr="00961D21">
        <w:rPr>
          <w:rFonts w:cs="Arial"/>
          <w:szCs w:val="24"/>
        </w:rPr>
        <w:tab/>
      </w:r>
      <w:r w:rsidR="00D84261" w:rsidRPr="00CC2CF5">
        <w:rPr>
          <w:rFonts w:cs="Arial"/>
          <w:szCs w:val="24"/>
          <w:lang w:val="en-GB"/>
        </w:rPr>
        <w:t>The respondents’ decision to block and suspend the applicants’ identity documents is declared invalid.</w:t>
      </w:r>
    </w:p>
    <w:p w14:paraId="6EA96A4B" w14:textId="59B668AA" w:rsidR="00D84261"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84.2.</w:t>
      </w:r>
      <w:r w:rsidRPr="00961D21">
        <w:rPr>
          <w:rFonts w:cs="Arial"/>
          <w:szCs w:val="24"/>
        </w:rPr>
        <w:tab/>
      </w:r>
      <w:r w:rsidR="00077EF8" w:rsidRPr="00CC2CF5">
        <w:rPr>
          <w:rFonts w:cs="Arial"/>
          <w:szCs w:val="24"/>
          <w:lang w:val="en-GB"/>
        </w:rPr>
        <w:t xml:space="preserve">The </w:t>
      </w:r>
      <w:r w:rsidR="006F4748" w:rsidRPr="00CC2CF5">
        <w:rPr>
          <w:rFonts w:cs="Arial"/>
          <w:szCs w:val="24"/>
          <w:lang w:val="en-GB"/>
        </w:rPr>
        <w:t>respondents’ decisions to block and suspend the applicants</w:t>
      </w:r>
      <w:r w:rsidR="00837847" w:rsidRPr="00CC2CF5">
        <w:rPr>
          <w:rFonts w:cs="Arial"/>
          <w:szCs w:val="24"/>
          <w:lang w:val="en-GB"/>
        </w:rPr>
        <w:t>’</w:t>
      </w:r>
      <w:r w:rsidR="006F4748" w:rsidRPr="00CC2CF5">
        <w:rPr>
          <w:rFonts w:cs="Arial"/>
          <w:szCs w:val="24"/>
          <w:lang w:val="en-GB"/>
        </w:rPr>
        <w:t xml:space="preserve"> identity documents </w:t>
      </w:r>
      <w:r w:rsidR="006562D2" w:rsidRPr="00CC2CF5">
        <w:rPr>
          <w:rFonts w:cs="Arial"/>
          <w:szCs w:val="24"/>
          <w:lang w:val="en-GB"/>
        </w:rPr>
        <w:t>are</w:t>
      </w:r>
      <w:r w:rsidR="006F4748" w:rsidRPr="00CC2CF5">
        <w:rPr>
          <w:rFonts w:cs="Arial"/>
          <w:szCs w:val="24"/>
          <w:lang w:val="en-GB"/>
        </w:rPr>
        <w:t xml:space="preserve"> reviewed and set aside</w:t>
      </w:r>
      <w:r w:rsidR="00D84261" w:rsidRPr="00CC2CF5">
        <w:rPr>
          <w:rFonts w:cs="Arial"/>
          <w:szCs w:val="24"/>
          <w:lang w:val="en-GB"/>
        </w:rPr>
        <w:t xml:space="preserve">. </w:t>
      </w:r>
    </w:p>
    <w:p w14:paraId="1FA0327F" w14:textId="6A9FC57B" w:rsidR="004F61C3"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84.3.</w:t>
      </w:r>
      <w:r w:rsidRPr="00961D21">
        <w:rPr>
          <w:rFonts w:cs="Arial"/>
          <w:szCs w:val="24"/>
        </w:rPr>
        <w:tab/>
      </w:r>
      <w:r w:rsidR="00D84261" w:rsidRPr="00CC2CF5">
        <w:rPr>
          <w:rFonts w:cs="Arial"/>
          <w:szCs w:val="24"/>
          <w:lang w:val="en-GB"/>
        </w:rPr>
        <w:t xml:space="preserve">The respondents’ decision to block and suspend the applicants’ identity documents is </w:t>
      </w:r>
      <w:r w:rsidR="006F4748" w:rsidRPr="00CC2CF5">
        <w:rPr>
          <w:rFonts w:cs="Arial"/>
          <w:szCs w:val="24"/>
          <w:lang w:val="en-GB"/>
        </w:rPr>
        <w:t>substituted with a</w:t>
      </w:r>
      <w:r w:rsidR="007170F3" w:rsidRPr="00CC2CF5">
        <w:rPr>
          <w:rFonts w:cs="Arial"/>
          <w:szCs w:val="24"/>
          <w:lang w:val="en-GB"/>
        </w:rPr>
        <w:t xml:space="preserve"> </w:t>
      </w:r>
      <w:r w:rsidR="006F4748" w:rsidRPr="00CC2CF5">
        <w:rPr>
          <w:rFonts w:cs="Arial"/>
          <w:szCs w:val="24"/>
          <w:lang w:val="en-GB"/>
        </w:rPr>
        <w:t>decision to reinstate and activate the applicants’ identity d</w:t>
      </w:r>
      <w:r w:rsidRPr="00CC2CF5">
        <w:rPr>
          <w:rFonts w:cs="Arial"/>
          <w:szCs w:val="24"/>
          <w:lang w:val="en-GB"/>
        </w:rPr>
        <w:t>ocument numbers […] and […]</w:t>
      </w:r>
      <w:r w:rsidR="006F4748" w:rsidRPr="00CC2CF5">
        <w:rPr>
          <w:rFonts w:cs="Arial"/>
          <w:szCs w:val="24"/>
          <w:lang w:val="en-GB"/>
        </w:rPr>
        <w:t xml:space="preserve"> on the population register of the Republic of South Africa within 30 days </w:t>
      </w:r>
      <w:r w:rsidR="00794A4A" w:rsidRPr="00CC2CF5">
        <w:rPr>
          <w:rFonts w:cs="Arial"/>
          <w:szCs w:val="24"/>
          <w:lang w:val="en-GB"/>
        </w:rPr>
        <w:t>from date</w:t>
      </w:r>
      <w:r w:rsidR="006F4748" w:rsidRPr="00CC2CF5">
        <w:rPr>
          <w:rFonts w:cs="Arial"/>
          <w:szCs w:val="24"/>
          <w:lang w:val="en-GB"/>
        </w:rPr>
        <w:t xml:space="preserve"> of this order.</w:t>
      </w:r>
    </w:p>
    <w:p w14:paraId="7769888B" w14:textId="14C3B8C4" w:rsidR="004F61C3"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84.4.</w:t>
      </w:r>
      <w:r w:rsidRPr="00961D21">
        <w:rPr>
          <w:rFonts w:cs="Arial"/>
          <w:szCs w:val="24"/>
        </w:rPr>
        <w:tab/>
      </w:r>
      <w:r w:rsidR="006F4748" w:rsidRPr="00CC2CF5">
        <w:rPr>
          <w:rFonts w:cs="Arial"/>
          <w:szCs w:val="24"/>
          <w:lang w:val="en-GB"/>
        </w:rPr>
        <w:t xml:space="preserve">It is declared that the following children born from the relationship </w:t>
      </w:r>
      <w:r w:rsidR="006F4748" w:rsidRPr="00CC2CF5">
        <w:rPr>
          <w:rFonts w:cs="Arial"/>
          <w:szCs w:val="24"/>
          <w:lang w:val="en-GB"/>
        </w:rPr>
        <w:lastRenderedPageBreak/>
        <w:t>between the first and second applicants are citizens of the Republic of South Africa (</w:t>
      </w:r>
      <w:r w:rsidR="006F4748" w:rsidRPr="00CC2CF5">
        <w:rPr>
          <w:rFonts w:cs="Arial"/>
          <w:i/>
          <w:iCs/>
          <w:szCs w:val="24"/>
          <w:lang w:val="en-GB"/>
        </w:rPr>
        <w:t>“the children”</w:t>
      </w:r>
      <w:r w:rsidR="006F4748" w:rsidRPr="00CC2CF5">
        <w:rPr>
          <w:rFonts w:cs="Arial"/>
          <w:szCs w:val="24"/>
          <w:lang w:val="en-GB"/>
        </w:rPr>
        <w:t>)</w:t>
      </w:r>
      <w:r w:rsidR="004F61C3" w:rsidRPr="00CC2CF5">
        <w:rPr>
          <w:rFonts w:cs="Arial"/>
          <w:szCs w:val="24"/>
          <w:lang w:val="en-GB"/>
        </w:rPr>
        <w:t>:</w:t>
      </w:r>
    </w:p>
    <w:p w14:paraId="6854243A" w14:textId="14021DA5" w:rsidR="004F61C3" w:rsidRPr="00CC2CF5" w:rsidRDefault="00CC2CF5" w:rsidP="00CC2CF5">
      <w:pPr>
        <w:tabs>
          <w:tab w:val="left" w:pos="861"/>
          <w:tab w:val="left" w:pos="2835"/>
        </w:tabs>
        <w:spacing w:before="360" w:after="360" w:line="360" w:lineRule="auto"/>
        <w:ind w:left="2835" w:right="439" w:hanging="1134"/>
        <w:rPr>
          <w:rFonts w:cs="Arial"/>
          <w:szCs w:val="24"/>
          <w:lang w:val="en-GB"/>
        </w:rPr>
      </w:pPr>
      <w:r w:rsidRPr="00961D21">
        <w:rPr>
          <w:rFonts w:cs="Arial"/>
          <w:szCs w:val="24"/>
        </w:rPr>
        <w:t>84.4.1.</w:t>
      </w:r>
      <w:r w:rsidRPr="00961D21">
        <w:rPr>
          <w:rFonts w:cs="Arial"/>
          <w:szCs w:val="24"/>
        </w:rPr>
        <w:tab/>
      </w:r>
      <w:r w:rsidR="006F4748" w:rsidRPr="00CC2CF5">
        <w:rPr>
          <w:rFonts w:cs="Arial"/>
          <w:szCs w:val="24"/>
          <w:lang w:val="en-GB"/>
        </w:rPr>
        <w:t xml:space="preserve">The third applicant, TINOMUDA DYLAN KERE, with </w:t>
      </w:r>
      <w:r w:rsidRPr="00CC2CF5">
        <w:rPr>
          <w:rFonts w:cs="Arial"/>
          <w:szCs w:val="24"/>
          <w:lang w:val="en-GB"/>
        </w:rPr>
        <w:t>identity number […]</w:t>
      </w:r>
      <w:r w:rsidR="006F4748" w:rsidRPr="00CC2CF5">
        <w:rPr>
          <w:rFonts w:cs="Arial"/>
          <w:szCs w:val="24"/>
          <w:lang w:val="en-GB"/>
        </w:rPr>
        <w:t>;</w:t>
      </w:r>
    </w:p>
    <w:p w14:paraId="23AE6DC5" w14:textId="70179B38" w:rsidR="004F61C3" w:rsidRPr="00CC2CF5" w:rsidRDefault="00CC2CF5" w:rsidP="00CC2CF5">
      <w:pPr>
        <w:tabs>
          <w:tab w:val="left" w:pos="861"/>
          <w:tab w:val="left" w:pos="2835"/>
        </w:tabs>
        <w:spacing w:before="360" w:after="360" w:line="360" w:lineRule="auto"/>
        <w:ind w:left="2835" w:right="439" w:hanging="1134"/>
        <w:rPr>
          <w:rFonts w:cs="Arial"/>
          <w:szCs w:val="24"/>
          <w:lang w:val="en-GB"/>
        </w:rPr>
      </w:pPr>
      <w:r w:rsidRPr="00961D21">
        <w:rPr>
          <w:rFonts w:cs="Arial"/>
          <w:szCs w:val="24"/>
        </w:rPr>
        <w:t>84.4.2.</w:t>
      </w:r>
      <w:r w:rsidRPr="00961D21">
        <w:rPr>
          <w:rFonts w:cs="Arial"/>
          <w:szCs w:val="24"/>
        </w:rPr>
        <w:tab/>
      </w:r>
      <w:r w:rsidR="006F4748" w:rsidRPr="00CC2CF5">
        <w:rPr>
          <w:rFonts w:cs="Arial"/>
          <w:szCs w:val="24"/>
          <w:lang w:val="en-GB"/>
        </w:rPr>
        <w:t>TAPIWA MICHAEL KERE, with identi</w:t>
      </w:r>
      <w:r w:rsidRPr="00CC2CF5">
        <w:rPr>
          <w:rFonts w:cs="Arial"/>
          <w:szCs w:val="24"/>
          <w:lang w:val="en-GB"/>
        </w:rPr>
        <w:t>ty number […]</w:t>
      </w:r>
      <w:r w:rsidR="006F4748" w:rsidRPr="00CC2CF5">
        <w:rPr>
          <w:rFonts w:cs="Arial"/>
          <w:szCs w:val="24"/>
          <w:lang w:val="en-GB"/>
        </w:rPr>
        <w:t xml:space="preserve">; </w:t>
      </w:r>
      <w:r w:rsidR="004F61C3" w:rsidRPr="00CC2CF5">
        <w:rPr>
          <w:rFonts w:cs="Arial"/>
          <w:szCs w:val="24"/>
          <w:lang w:val="en-GB"/>
        </w:rPr>
        <w:t xml:space="preserve"> </w:t>
      </w:r>
    </w:p>
    <w:p w14:paraId="63B42E8B" w14:textId="4E275E4D" w:rsidR="00DA15E5" w:rsidRPr="00CC2CF5" w:rsidRDefault="00CC2CF5" w:rsidP="00CC2CF5">
      <w:pPr>
        <w:tabs>
          <w:tab w:val="left" w:pos="861"/>
          <w:tab w:val="left" w:pos="2835"/>
        </w:tabs>
        <w:spacing w:before="360" w:after="360" w:line="360" w:lineRule="auto"/>
        <w:ind w:left="2835" w:right="439" w:hanging="1134"/>
        <w:rPr>
          <w:rFonts w:cs="Arial"/>
          <w:szCs w:val="24"/>
          <w:lang w:val="en-GB"/>
        </w:rPr>
      </w:pPr>
      <w:r w:rsidRPr="00961D21">
        <w:rPr>
          <w:rFonts w:cs="Arial"/>
          <w:szCs w:val="24"/>
        </w:rPr>
        <w:t>84</w:t>
      </w:r>
      <w:bookmarkStart w:id="0" w:name="_GoBack"/>
      <w:bookmarkEnd w:id="0"/>
      <w:r w:rsidRPr="00961D21">
        <w:rPr>
          <w:rFonts w:cs="Arial"/>
          <w:szCs w:val="24"/>
        </w:rPr>
        <w:t>.4.3.</w:t>
      </w:r>
      <w:r w:rsidRPr="00961D21">
        <w:rPr>
          <w:rFonts w:cs="Arial"/>
          <w:szCs w:val="24"/>
        </w:rPr>
        <w:tab/>
      </w:r>
      <w:r w:rsidR="006F4748" w:rsidRPr="00CC2CF5">
        <w:rPr>
          <w:rFonts w:cs="Arial"/>
          <w:szCs w:val="24"/>
          <w:lang w:val="en-GB"/>
        </w:rPr>
        <w:t>RUVIMBO MEGANI K</w:t>
      </w:r>
      <w:r w:rsidRPr="00CC2CF5">
        <w:rPr>
          <w:rFonts w:cs="Arial"/>
          <w:szCs w:val="24"/>
          <w:lang w:val="en-GB"/>
        </w:rPr>
        <w:t>ERE, with identity number […]</w:t>
      </w:r>
      <w:r w:rsidR="006F4748" w:rsidRPr="00CC2CF5">
        <w:rPr>
          <w:rFonts w:cs="Arial"/>
          <w:szCs w:val="24"/>
          <w:lang w:val="en-GB"/>
        </w:rPr>
        <w:t>.</w:t>
      </w:r>
    </w:p>
    <w:p w14:paraId="037D28F1" w14:textId="152BC690" w:rsidR="004F61C3" w:rsidRPr="00CC2CF5" w:rsidRDefault="00CC2CF5" w:rsidP="00CC2CF5">
      <w:pPr>
        <w:tabs>
          <w:tab w:val="left" w:pos="1701"/>
        </w:tabs>
        <w:spacing w:before="360" w:after="360" w:line="360" w:lineRule="auto"/>
        <w:ind w:left="1701" w:right="439" w:hanging="850"/>
        <w:rPr>
          <w:rFonts w:cs="Arial"/>
          <w:szCs w:val="24"/>
          <w:lang w:val="en-GB"/>
        </w:rPr>
      </w:pPr>
      <w:r w:rsidRPr="00961D21">
        <w:rPr>
          <w:rFonts w:cs="Arial"/>
          <w:szCs w:val="24"/>
        </w:rPr>
        <w:t>84.5.</w:t>
      </w:r>
      <w:r w:rsidRPr="00961D21">
        <w:rPr>
          <w:rFonts w:cs="Arial"/>
          <w:szCs w:val="24"/>
        </w:rPr>
        <w:tab/>
      </w:r>
      <w:r w:rsidR="006F4748" w:rsidRPr="00CC2CF5">
        <w:rPr>
          <w:rFonts w:cs="Arial"/>
          <w:szCs w:val="24"/>
          <w:lang w:val="en-GB"/>
        </w:rPr>
        <w:t xml:space="preserve">The respondents are ordered to issue the applicants and the children with </w:t>
      </w:r>
      <w:r w:rsidR="007170F3" w:rsidRPr="00CC2CF5">
        <w:rPr>
          <w:rFonts w:cs="Arial"/>
          <w:szCs w:val="24"/>
          <w:lang w:val="en-GB"/>
        </w:rPr>
        <w:t xml:space="preserve">South African </w:t>
      </w:r>
      <w:r w:rsidR="006F4748" w:rsidRPr="00CC2CF5">
        <w:rPr>
          <w:rFonts w:cs="Arial"/>
          <w:szCs w:val="24"/>
          <w:lang w:val="en-GB"/>
        </w:rPr>
        <w:t xml:space="preserve">identity documents within 60 days from </w:t>
      </w:r>
      <w:r w:rsidR="006562D2" w:rsidRPr="00CC2CF5">
        <w:rPr>
          <w:rFonts w:cs="Arial"/>
          <w:szCs w:val="24"/>
          <w:lang w:val="en-GB"/>
        </w:rPr>
        <w:t xml:space="preserve">the </w:t>
      </w:r>
      <w:r w:rsidR="006F4748" w:rsidRPr="00CC2CF5">
        <w:rPr>
          <w:rFonts w:cs="Arial"/>
          <w:szCs w:val="24"/>
          <w:lang w:val="en-GB"/>
        </w:rPr>
        <w:t>date of this order.</w:t>
      </w:r>
    </w:p>
    <w:p w14:paraId="5CC25C8F" w14:textId="66B6837E" w:rsidR="006F4748" w:rsidRPr="00CC2CF5" w:rsidRDefault="00CC2CF5" w:rsidP="00CC2CF5">
      <w:pPr>
        <w:tabs>
          <w:tab w:val="left" w:pos="861"/>
          <w:tab w:val="left" w:pos="1701"/>
        </w:tabs>
        <w:spacing w:before="360" w:after="360" w:line="360" w:lineRule="auto"/>
        <w:ind w:left="1701" w:right="439" w:hanging="850"/>
        <w:rPr>
          <w:rFonts w:cs="Arial"/>
          <w:szCs w:val="24"/>
          <w:lang w:val="en-GB"/>
        </w:rPr>
      </w:pPr>
      <w:r w:rsidRPr="00961D21">
        <w:rPr>
          <w:rFonts w:cs="Arial"/>
          <w:szCs w:val="24"/>
        </w:rPr>
        <w:t>84.6.</w:t>
      </w:r>
      <w:r w:rsidRPr="00961D21">
        <w:rPr>
          <w:rFonts w:cs="Arial"/>
          <w:szCs w:val="24"/>
        </w:rPr>
        <w:tab/>
      </w:r>
      <w:r w:rsidR="006F4748" w:rsidRPr="00CC2CF5">
        <w:rPr>
          <w:rFonts w:cs="Arial"/>
          <w:szCs w:val="24"/>
          <w:lang w:val="en-GB"/>
        </w:rPr>
        <w:t xml:space="preserve">The respondents are </w:t>
      </w:r>
      <w:r w:rsidR="00D84261" w:rsidRPr="00CC2CF5">
        <w:rPr>
          <w:rFonts w:cs="Arial"/>
          <w:szCs w:val="24"/>
          <w:lang w:val="en-GB"/>
        </w:rPr>
        <w:t xml:space="preserve">ordered </w:t>
      </w:r>
      <w:r w:rsidR="006F4748" w:rsidRPr="00CC2CF5">
        <w:rPr>
          <w:rFonts w:cs="Arial"/>
          <w:szCs w:val="24"/>
          <w:lang w:val="en-GB"/>
        </w:rPr>
        <w:t xml:space="preserve">to pay the applicants’ costs on a </w:t>
      </w:r>
      <w:r w:rsidR="006562D2" w:rsidRPr="00CC2CF5">
        <w:rPr>
          <w:rFonts w:cs="Arial"/>
          <w:szCs w:val="24"/>
          <w:lang w:val="en-GB"/>
        </w:rPr>
        <w:t>party-and-party</w:t>
      </w:r>
      <w:r w:rsidR="00D84261" w:rsidRPr="00CC2CF5">
        <w:rPr>
          <w:rFonts w:cs="Arial"/>
          <w:szCs w:val="24"/>
          <w:lang w:val="en-GB"/>
        </w:rPr>
        <w:t xml:space="preserve"> scale</w:t>
      </w:r>
      <w:r w:rsidR="006F4748" w:rsidRPr="00CC2CF5">
        <w:rPr>
          <w:rFonts w:cs="Arial"/>
          <w:szCs w:val="24"/>
          <w:lang w:val="en-GB"/>
        </w:rPr>
        <w:t>.</w:t>
      </w:r>
    </w:p>
    <w:p w14:paraId="47044800" w14:textId="0C761323" w:rsidR="00114F19" w:rsidRPr="00961D21" w:rsidRDefault="00114F19" w:rsidP="002C11BA">
      <w:pPr>
        <w:tabs>
          <w:tab w:val="left" w:pos="861"/>
        </w:tabs>
        <w:spacing w:before="74" w:after="360" w:line="360" w:lineRule="auto"/>
        <w:ind w:right="437"/>
        <w:jc w:val="right"/>
        <w:rPr>
          <w:rFonts w:cs="Arial"/>
          <w:szCs w:val="24"/>
          <w:lang w:val="en-GB"/>
        </w:rPr>
      </w:pPr>
    </w:p>
    <w:p w14:paraId="64987838" w14:textId="77777777" w:rsidR="009D44FE" w:rsidRPr="00961D21" w:rsidRDefault="009D44FE" w:rsidP="002C11BA">
      <w:pPr>
        <w:tabs>
          <w:tab w:val="left" w:pos="861"/>
        </w:tabs>
        <w:spacing w:before="74" w:after="360" w:line="360" w:lineRule="auto"/>
        <w:ind w:right="437"/>
        <w:jc w:val="right"/>
        <w:rPr>
          <w:rFonts w:cs="Arial"/>
          <w:szCs w:val="24"/>
          <w:lang w:val="en-GB"/>
        </w:rPr>
      </w:pPr>
    </w:p>
    <w:p w14:paraId="0EEDA593" w14:textId="7D063701" w:rsidR="002C11BA" w:rsidRPr="00961D21" w:rsidRDefault="002C11BA" w:rsidP="002C11BA">
      <w:pPr>
        <w:tabs>
          <w:tab w:val="left" w:pos="861"/>
        </w:tabs>
        <w:spacing w:before="120" w:after="120"/>
        <w:ind w:right="437"/>
        <w:jc w:val="right"/>
        <w:rPr>
          <w:rFonts w:cs="Arial"/>
          <w:b/>
          <w:bCs/>
          <w:szCs w:val="24"/>
          <w:lang w:val="en-GB"/>
        </w:rPr>
      </w:pPr>
      <w:r w:rsidRPr="00961D21">
        <w:rPr>
          <w:rFonts w:cs="Arial"/>
          <w:b/>
          <w:bCs/>
          <w:szCs w:val="24"/>
          <w:lang w:val="en-GB"/>
        </w:rPr>
        <w:t>DE BEER</w:t>
      </w:r>
      <w:r w:rsidR="00D85AEE" w:rsidRPr="00961D21">
        <w:rPr>
          <w:rFonts w:cs="Arial"/>
          <w:b/>
          <w:bCs/>
          <w:szCs w:val="24"/>
          <w:lang w:val="en-GB"/>
        </w:rPr>
        <w:t xml:space="preserve"> AJ</w:t>
      </w:r>
    </w:p>
    <w:p w14:paraId="1AD9B58E" w14:textId="36D7FACD" w:rsidR="002C11BA" w:rsidRPr="00961D21" w:rsidRDefault="002C11BA" w:rsidP="002C11BA">
      <w:pPr>
        <w:tabs>
          <w:tab w:val="left" w:pos="861"/>
        </w:tabs>
        <w:spacing w:before="120" w:after="120"/>
        <w:ind w:right="437"/>
        <w:jc w:val="right"/>
        <w:rPr>
          <w:rFonts w:cs="Arial"/>
          <w:szCs w:val="24"/>
          <w:lang w:val="en-GB"/>
        </w:rPr>
      </w:pPr>
      <w:r w:rsidRPr="00961D21">
        <w:rPr>
          <w:rFonts w:cs="Arial"/>
          <w:szCs w:val="24"/>
          <w:lang w:val="en-GB"/>
        </w:rPr>
        <w:t>Acting Judge of the High Court</w:t>
      </w:r>
    </w:p>
    <w:p w14:paraId="27154038" w14:textId="1F0889A0" w:rsidR="002C11BA" w:rsidRPr="00961D21" w:rsidRDefault="002C11BA" w:rsidP="002C11BA">
      <w:pPr>
        <w:tabs>
          <w:tab w:val="left" w:pos="861"/>
        </w:tabs>
        <w:spacing w:before="120" w:after="120"/>
        <w:ind w:right="437"/>
        <w:jc w:val="right"/>
        <w:rPr>
          <w:rFonts w:cs="Arial"/>
          <w:szCs w:val="24"/>
          <w:lang w:val="en-GB"/>
        </w:rPr>
      </w:pPr>
      <w:r w:rsidRPr="00961D21">
        <w:rPr>
          <w:rFonts w:cs="Arial"/>
          <w:szCs w:val="24"/>
          <w:lang w:val="en-GB"/>
        </w:rPr>
        <w:t xml:space="preserve">Gauteng Division </w:t>
      </w:r>
    </w:p>
    <w:p w14:paraId="34D4DF67" w14:textId="77777777" w:rsidR="003A4AB6" w:rsidRPr="00961D21" w:rsidRDefault="003A4AB6" w:rsidP="002C11BA">
      <w:pPr>
        <w:tabs>
          <w:tab w:val="left" w:pos="861"/>
        </w:tabs>
        <w:spacing w:before="120" w:after="120"/>
        <w:ind w:right="437"/>
        <w:jc w:val="right"/>
        <w:rPr>
          <w:rFonts w:cs="Arial"/>
          <w:szCs w:val="24"/>
          <w:lang w:val="en-GB"/>
        </w:rPr>
      </w:pPr>
    </w:p>
    <w:p w14:paraId="6C4C696B" w14:textId="2D6F0C68" w:rsidR="002C11BA" w:rsidRPr="00961D21" w:rsidRDefault="002C11BA" w:rsidP="00A5675A">
      <w:pPr>
        <w:tabs>
          <w:tab w:val="left" w:pos="861"/>
          <w:tab w:val="left" w:pos="3969"/>
        </w:tabs>
        <w:spacing w:before="74" w:after="360" w:line="360" w:lineRule="auto"/>
        <w:ind w:right="437"/>
        <w:rPr>
          <w:rFonts w:cs="Arial"/>
          <w:szCs w:val="24"/>
          <w:lang w:val="en-GB"/>
        </w:rPr>
      </w:pPr>
      <w:r w:rsidRPr="00961D21">
        <w:rPr>
          <w:rFonts w:cs="Arial"/>
          <w:szCs w:val="24"/>
          <w:lang w:val="en-GB"/>
        </w:rPr>
        <w:t>Date of hearing:</w:t>
      </w:r>
      <w:r w:rsidR="007170F3" w:rsidRPr="00961D21">
        <w:rPr>
          <w:rFonts w:cs="Arial"/>
          <w:szCs w:val="24"/>
          <w:lang w:val="en-GB"/>
        </w:rPr>
        <w:tab/>
        <w:t>25 April 2023</w:t>
      </w:r>
      <w:r w:rsidR="00C20879" w:rsidRPr="00961D21">
        <w:rPr>
          <w:rFonts w:cs="Arial"/>
          <w:szCs w:val="24"/>
          <w:lang w:val="en-GB"/>
        </w:rPr>
        <w:tab/>
      </w:r>
    </w:p>
    <w:p w14:paraId="097E2FFE" w14:textId="1E769748" w:rsidR="00D84261" w:rsidRPr="00961D21" w:rsidRDefault="00D84261" w:rsidP="00A5675A">
      <w:pPr>
        <w:tabs>
          <w:tab w:val="left" w:pos="861"/>
          <w:tab w:val="left" w:pos="3969"/>
        </w:tabs>
        <w:spacing w:before="74" w:after="360" w:line="360" w:lineRule="auto"/>
        <w:ind w:right="437"/>
        <w:rPr>
          <w:rFonts w:cs="Arial"/>
          <w:szCs w:val="24"/>
          <w:lang w:val="en-GB"/>
        </w:rPr>
      </w:pPr>
      <w:r w:rsidRPr="00961D21">
        <w:rPr>
          <w:rFonts w:cs="Arial"/>
          <w:szCs w:val="24"/>
          <w:lang w:val="en-GB"/>
        </w:rPr>
        <w:t>Additional heads</w:t>
      </w:r>
      <w:r w:rsidR="00E56A53">
        <w:rPr>
          <w:rFonts w:cs="Arial"/>
          <w:szCs w:val="24"/>
          <w:lang w:val="en-GB"/>
        </w:rPr>
        <w:t xml:space="preserve"> submitted</w:t>
      </w:r>
      <w:r w:rsidRPr="00961D21">
        <w:rPr>
          <w:rFonts w:cs="Arial"/>
          <w:szCs w:val="24"/>
          <w:lang w:val="en-GB"/>
        </w:rPr>
        <w:t>:</w:t>
      </w:r>
      <w:r w:rsidRPr="00961D21">
        <w:rPr>
          <w:rFonts w:cs="Arial"/>
          <w:szCs w:val="24"/>
          <w:lang w:val="en-GB"/>
        </w:rPr>
        <w:tab/>
        <w:t>5 May 2023</w:t>
      </w:r>
    </w:p>
    <w:p w14:paraId="4115497B" w14:textId="2AFAD489" w:rsidR="002C11BA" w:rsidRPr="00961D21" w:rsidRDefault="002C11BA" w:rsidP="00A5675A">
      <w:pPr>
        <w:tabs>
          <w:tab w:val="left" w:pos="861"/>
          <w:tab w:val="left" w:pos="3969"/>
        </w:tabs>
        <w:spacing w:before="74" w:after="360" w:line="360" w:lineRule="auto"/>
        <w:ind w:right="437"/>
        <w:rPr>
          <w:rFonts w:cs="Arial"/>
          <w:szCs w:val="24"/>
          <w:lang w:val="en-GB"/>
        </w:rPr>
      </w:pPr>
      <w:r w:rsidRPr="00961D21">
        <w:rPr>
          <w:rFonts w:cs="Arial"/>
          <w:szCs w:val="24"/>
          <w:lang w:val="en-GB"/>
        </w:rPr>
        <w:t>Judgment delivered:</w:t>
      </w:r>
      <w:r w:rsidR="00C20879" w:rsidRPr="00961D21">
        <w:rPr>
          <w:rFonts w:cs="Arial"/>
          <w:szCs w:val="24"/>
          <w:lang w:val="en-GB"/>
        </w:rPr>
        <w:tab/>
      </w:r>
      <w:r w:rsidR="00272319">
        <w:rPr>
          <w:rFonts w:cs="Arial"/>
          <w:szCs w:val="24"/>
          <w:lang w:val="en-GB"/>
        </w:rPr>
        <w:t>14 July</w:t>
      </w:r>
      <w:r w:rsidR="00D84261" w:rsidRPr="00961D21">
        <w:rPr>
          <w:rFonts w:cs="Arial"/>
          <w:szCs w:val="24"/>
          <w:lang w:val="en-GB"/>
        </w:rPr>
        <w:t xml:space="preserve"> 2023</w:t>
      </w:r>
    </w:p>
    <w:p w14:paraId="36A9572F" w14:textId="49DBFC0B" w:rsidR="001F3EB6" w:rsidRPr="00961D21" w:rsidRDefault="00DC507E" w:rsidP="00A5675A">
      <w:pPr>
        <w:pStyle w:val="BodyText"/>
        <w:tabs>
          <w:tab w:val="left" w:pos="2835"/>
          <w:tab w:val="left" w:pos="3969"/>
          <w:tab w:val="left" w:pos="4536"/>
        </w:tabs>
        <w:spacing w:before="120" w:after="120"/>
        <w:ind w:left="4536" w:right="-28" w:hanging="4536"/>
        <w:rPr>
          <w:rFonts w:cs="Arial"/>
          <w:spacing w:val="-1"/>
          <w:sz w:val="24"/>
          <w:szCs w:val="24"/>
          <w:lang w:val="en-GB"/>
        </w:rPr>
      </w:pPr>
      <w:r w:rsidRPr="00961D21">
        <w:rPr>
          <w:rFonts w:cs="Arial"/>
          <w:sz w:val="24"/>
          <w:szCs w:val="24"/>
          <w:lang w:val="en-GB"/>
        </w:rPr>
        <w:t>Attorney</w:t>
      </w:r>
      <w:r w:rsidRPr="00961D21">
        <w:rPr>
          <w:rFonts w:cs="Arial"/>
          <w:spacing w:val="-9"/>
          <w:sz w:val="24"/>
          <w:szCs w:val="24"/>
          <w:lang w:val="en-GB"/>
        </w:rPr>
        <w:t xml:space="preserve"> </w:t>
      </w:r>
      <w:r w:rsidRPr="00961D21">
        <w:rPr>
          <w:rFonts w:cs="Arial"/>
          <w:sz w:val="24"/>
          <w:szCs w:val="24"/>
          <w:lang w:val="en-GB"/>
        </w:rPr>
        <w:t>for</w:t>
      </w:r>
      <w:r w:rsidRPr="00961D21">
        <w:rPr>
          <w:rFonts w:cs="Arial"/>
          <w:spacing w:val="-4"/>
          <w:sz w:val="24"/>
          <w:szCs w:val="24"/>
          <w:lang w:val="en-GB"/>
        </w:rPr>
        <w:t xml:space="preserve"> </w:t>
      </w:r>
      <w:r w:rsidR="007170F3" w:rsidRPr="00961D21">
        <w:rPr>
          <w:rFonts w:cs="Arial"/>
          <w:sz w:val="24"/>
          <w:szCs w:val="24"/>
          <w:lang w:val="en-GB"/>
        </w:rPr>
        <w:t>applicant</w:t>
      </w:r>
      <w:r w:rsidR="00A3455C" w:rsidRPr="00961D21">
        <w:rPr>
          <w:rFonts w:cs="Arial"/>
          <w:sz w:val="24"/>
          <w:szCs w:val="24"/>
          <w:lang w:val="en-GB"/>
        </w:rPr>
        <w:t>s</w:t>
      </w:r>
      <w:r w:rsidRPr="00961D21">
        <w:rPr>
          <w:rFonts w:cs="Arial"/>
          <w:sz w:val="24"/>
          <w:szCs w:val="24"/>
          <w:lang w:val="en-GB"/>
        </w:rPr>
        <w:t>:</w:t>
      </w:r>
      <w:r w:rsidR="00C20879" w:rsidRPr="00961D21">
        <w:rPr>
          <w:rFonts w:cs="Arial"/>
          <w:spacing w:val="-1"/>
          <w:sz w:val="24"/>
          <w:szCs w:val="24"/>
          <w:lang w:val="en-GB"/>
        </w:rPr>
        <w:tab/>
      </w:r>
      <w:r w:rsidRPr="00961D21">
        <w:rPr>
          <w:rFonts w:cs="Arial"/>
          <w:spacing w:val="-1"/>
          <w:sz w:val="24"/>
          <w:szCs w:val="24"/>
          <w:lang w:val="en-GB"/>
        </w:rPr>
        <w:t xml:space="preserve"> </w:t>
      </w:r>
      <w:r w:rsidR="001F3EB6" w:rsidRPr="00961D21">
        <w:rPr>
          <w:rFonts w:cs="Arial"/>
          <w:spacing w:val="-1"/>
          <w:sz w:val="24"/>
          <w:szCs w:val="24"/>
          <w:lang w:val="en-GB"/>
        </w:rPr>
        <w:tab/>
      </w:r>
      <w:r w:rsidR="006F4748" w:rsidRPr="00961D21">
        <w:rPr>
          <w:rFonts w:cs="Arial"/>
          <w:spacing w:val="-1"/>
          <w:sz w:val="24"/>
          <w:szCs w:val="24"/>
          <w:lang w:val="en-GB"/>
        </w:rPr>
        <w:t xml:space="preserve">Banda &amp; Associates </w:t>
      </w:r>
    </w:p>
    <w:p w14:paraId="1E15FEA0" w14:textId="52ADA146" w:rsidR="00A5675A" w:rsidRPr="00961D21" w:rsidRDefault="00A5675A" w:rsidP="00A5675A">
      <w:pPr>
        <w:pStyle w:val="BodyText"/>
        <w:tabs>
          <w:tab w:val="left" w:pos="2835"/>
          <w:tab w:val="left" w:pos="3969"/>
          <w:tab w:val="left" w:pos="4536"/>
        </w:tabs>
        <w:spacing w:before="120" w:after="120"/>
        <w:ind w:left="4536" w:right="-28" w:hanging="4536"/>
        <w:rPr>
          <w:rFonts w:cs="Arial"/>
          <w:spacing w:val="-1"/>
          <w:sz w:val="24"/>
          <w:szCs w:val="24"/>
          <w:lang w:val="en-GB"/>
        </w:rPr>
      </w:pPr>
      <w:r w:rsidRPr="00961D21">
        <w:rPr>
          <w:rFonts w:cs="Arial"/>
          <w:spacing w:val="-1"/>
          <w:sz w:val="24"/>
          <w:szCs w:val="24"/>
          <w:lang w:val="en-GB"/>
        </w:rPr>
        <w:tab/>
      </w:r>
      <w:r w:rsidRPr="00961D21">
        <w:rPr>
          <w:rFonts w:cs="Arial"/>
          <w:spacing w:val="-1"/>
          <w:sz w:val="24"/>
          <w:szCs w:val="24"/>
          <w:lang w:val="en-GB"/>
        </w:rPr>
        <w:tab/>
      </w:r>
      <w:r w:rsidR="00A3455C" w:rsidRPr="00961D21">
        <w:rPr>
          <w:rFonts w:cs="Arial"/>
          <w:spacing w:val="-1"/>
          <w:sz w:val="24"/>
          <w:szCs w:val="24"/>
          <w:lang w:val="en-GB"/>
        </w:rPr>
        <w:t>(</w:t>
      </w:r>
      <w:r w:rsidR="006F4748" w:rsidRPr="00961D21">
        <w:rPr>
          <w:rFonts w:cs="Arial"/>
          <w:spacing w:val="-1"/>
          <w:sz w:val="24"/>
          <w:szCs w:val="24"/>
          <w:lang w:val="en-GB"/>
        </w:rPr>
        <w:t>011</w:t>
      </w:r>
      <w:r w:rsidR="00A3455C" w:rsidRPr="00961D21">
        <w:rPr>
          <w:rFonts w:cs="Arial"/>
          <w:spacing w:val="-1"/>
          <w:sz w:val="24"/>
          <w:szCs w:val="24"/>
          <w:lang w:val="en-GB"/>
        </w:rPr>
        <w:t xml:space="preserve">) </w:t>
      </w:r>
      <w:r w:rsidR="006F4748" w:rsidRPr="00961D21">
        <w:rPr>
          <w:rFonts w:cs="Arial"/>
          <w:spacing w:val="-1"/>
          <w:sz w:val="24"/>
          <w:szCs w:val="24"/>
          <w:lang w:val="en-GB"/>
        </w:rPr>
        <w:t>042 8356</w:t>
      </w:r>
    </w:p>
    <w:p w14:paraId="5698280A" w14:textId="6F927965" w:rsidR="00A5675A" w:rsidRPr="00961D21" w:rsidRDefault="00A5675A" w:rsidP="00A5675A">
      <w:pPr>
        <w:pStyle w:val="BodyText"/>
        <w:tabs>
          <w:tab w:val="left" w:pos="2835"/>
          <w:tab w:val="left" w:pos="3969"/>
          <w:tab w:val="left" w:pos="4536"/>
        </w:tabs>
        <w:spacing w:before="120" w:after="120"/>
        <w:ind w:left="4536" w:right="-28" w:hanging="4536"/>
        <w:rPr>
          <w:rFonts w:cs="Arial"/>
          <w:color w:val="000000" w:themeColor="text1"/>
          <w:spacing w:val="-1"/>
          <w:sz w:val="24"/>
          <w:szCs w:val="24"/>
          <w:lang w:val="en-GB"/>
        </w:rPr>
      </w:pPr>
      <w:r w:rsidRPr="00961D21">
        <w:rPr>
          <w:rFonts w:cs="Arial"/>
          <w:color w:val="000000" w:themeColor="text1"/>
          <w:spacing w:val="-1"/>
          <w:sz w:val="24"/>
          <w:szCs w:val="24"/>
          <w:lang w:val="en-GB"/>
        </w:rPr>
        <w:tab/>
      </w:r>
      <w:r w:rsidRPr="00961D21">
        <w:rPr>
          <w:rFonts w:cs="Arial"/>
          <w:color w:val="000000" w:themeColor="text1"/>
          <w:spacing w:val="-1"/>
          <w:sz w:val="24"/>
          <w:szCs w:val="24"/>
          <w:lang w:val="en-GB"/>
        </w:rPr>
        <w:tab/>
      </w:r>
      <w:hyperlink r:id="rId9" w:history="1">
        <w:r w:rsidR="006F4748" w:rsidRPr="00961D21">
          <w:rPr>
            <w:rStyle w:val="Hyperlink"/>
            <w:rFonts w:cs="Arial"/>
            <w:color w:val="000000" w:themeColor="text1"/>
            <w:spacing w:val="-1"/>
            <w:sz w:val="24"/>
            <w:szCs w:val="24"/>
            <w:u w:val="none"/>
            <w:lang w:val="en-GB"/>
          </w:rPr>
          <w:t>admin@bandalaw.co.za</w:t>
        </w:r>
      </w:hyperlink>
      <w:r w:rsidR="006F4748" w:rsidRPr="00961D21">
        <w:rPr>
          <w:rFonts w:cs="Arial"/>
          <w:color w:val="000000" w:themeColor="text1"/>
          <w:spacing w:val="-1"/>
          <w:sz w:val="24"/>
          <w:szCs w:val="24"/>
          <w:lang w:val="en-GB"/>
        </w:rPr>
        <w:t xml:space="preserve"> </w:t>
      </w:r>
    </w:p>
    <w:p w14:paraId="07D4E388" w14:textId="77777777" w:rsidR="00A3455C" w:rsidRPr="00961D21" w:rsidRDefault="00A3455C" w:rsidP="00A5675A">
      <w:pPr>
        <w:pStyle w:val="BodyText"/>
        <w:tabs>
          <w:tab w:val="left" w:pos="2835"/>
          <w:tab w:val="left" w:pos="3969"/>
          <w:tab w:val="left" w:pos="4536"/>
        </w:tabs>
        <w:spacing w:before="120" w:after="120"/>
        <w:ind w:left="4536" w:right="-28" w:hanging="4536"/>
        <w:rPr>
          <w:rFonts w:cs="Arial"/>
          <w:color w:val="000000" w:themeColor="text1"/>
          <w:spacing w:val="-1"/>
          <w:sz w:val="24"/>
          <w:szCs w:val="24"/>
          <w:lang w:val="en-GB"/>
        </w:rPr>
      </w:pPr>
    </w:p>
    <w:p w14:paraId="617F7C6A" w14:textId="77777777" w:rsidR="00A3455C" w:rsidRPr="00961D21" w:rsidRDefault="00A3455C" w:rsidP="00A3455C">
      <w:pPr>
        <w:pStyle w:val="BodyText"/>
        <w:tabs>
          <w:tab w:val="left" w:pos="3969"/>
          <w:tab w:val="left" w:pos="4536"/>
        </w:tabs>
        <w:spacing w:before="120" w:after="120"/>
        <w:ind w:left="4536" w:hanging="4536"/>
        <w:rPr>
          <w:rFonts w:cs="Arial"/>
          <w:sz w:val="24"/>
          <w:szCs w:val="24"/>
          <w:lang w:val="en-GB"/>
        </w:rPr>
      </w:pPr>
      <w:r w:rsidRPr="00961D21">
        <w:rPr>
          <w:rFonts w:cs="Arial"/>
          <w:sz w:val="24"/>
          <w:szCs w:val="24"/>
          <w:lang w:val="en-GB"/>
        </w:rPr>
        <w:lastRenderedPageBreak/>
        <w:t>Counsel</w:t>
      </w:r>
      <w:r w:rsidRPr="00961D21">
        <w:rPr>
          <w:rFonts w:cs="Arial"/>
          <w:spacing w:val="-2"/>
          <w:sz w:val="24"/>
          <w:szCs w:val="24"/>
          <w:lang w:val="en-GB"/>
        </w:rPr>
        <w:t xml:space="preserve"> </w:t>
      </w:r>
      <w:r w:rsidRPr="00961D21">
        <w:rPr>
          <w:rFonts w:cs="Arial"/>
          <w:sz w:val="24"/>
          <w:szCs w:val="24"/>
          <w:lang w:val="en-GB"/>
        </w:rPr>
        <w:t>for</w:t>
      </w:r>
      <w:r w:rsidRPr="00961D21">
        <w:rPr>
          <w:rFonts w:cs="Arial"/>
          <w:spacing w:val="-2"/>
          <w:sz w:val="24"/>
          <w:szCs w:val="24"/>
          <w:lang w:val="en-GB"/>
        </w:rPr>
        <w:t xml:space="preserve"> </w:t>
      </w:r>
      <w:r w:rsidRPr="00961D21">
        <w:rPr>
          <w:rFonts w:cs="Arial"/>
          <w:sz w:val="24"/>
          <w:szCs w:val="24"/>
          <w:lang w:val="en-GB"/>
        </w:rPr>
        <w:t>applicants:</w:t>
      </w:r>
      <w:r w:rsidRPr="00961D21">
        <w:rPr>
          <w:rFonts w:cs="Arial"/>
          <w:sz w:val="24"/>
          <w:szCs w:val="24"/>
          <w:lang w:val="en-GB"/>
        </w:rPr>
        <w:tab/>
        <w:t>P Mthombeni</w:t>
      </w:r>
    </w:p>
    <w:p w14:paraId="72D4DBA8" w14:textId="77777777" w:rsidR="00A3455C" w:rsidRPr="00961D21" w:rsidRDefault="00A3455C" w:rsidP="00A3455C">
      <w:pPr>
        <w:pStyle w:val="BodyText"/>
        <w:tabs>
          <w:tab w:val="left" w:pos="3969"/>
          <w:tab w:val="left" w:pos="4536"/>
        </w:tabs>
        <w:spacing w:before="120" w:after="120"/>
        <w:ind w:left="4536" w:hanging="4536"/>
        <w:rPr>
          <w:rFonts w:cs="Arial"/>
          <w:sz w:val="24"/>
          <w:szCs w:val="24"/>
          <w:lang w:val="en-GB"/>
        </w:rPr>
      </w:pPr>
      <w:r w:rsidRPr="00961D21">
        <w:rPr>
          <w:rFonts w:cs="Arial"/>
          <w:sz w:val="24"/>
          <w:szCs w:val="24"/>
          <w:lang w:val="en-GB"/>
        </w:rPr>
        <w:tab/>
        <w:t>060 394 6304</w:t>
      </w:r>
    </w:p>
    <w:p w14:paraId="6AFBB6B0" w14:textId="77777777" w:rsidR="00A3455C" w:rsidRPr="00961D21" w:rsidRDefault="00A3455C" w:rsidP="00A3455C">
      <w:pPr>
        <w:pStyle w:val="BodyText"/>
        <w:tabs>
          <w:tab w:val="left" w:pos="3969"/>
          <w:tab w:val="left" w:pos="4536"/>
        </w:tabs>
        <w:spacing w:before="120" w:after="120"/>
        <w:ind w:left="4536" w:hanging="4536"/>
        <w:rPr>
          <w:rFonts w:cs="Arial"/>
          <w:color w:val="000000" w:themeColor="text1"/>
          <w:sz w:val="24"/>
          <w:szCs w:val="24"/>
          <w:lang w:val="en-GB"/>
        </w:rPr>
      </w:pPr>
      <w:r w:rsidRPr="00961D21">
        <w:rPr>
          <w:rFonts w:cs="Arial"/>
          <w:sz w:val="24"/>
          <w:szCs w:val="24"/>
          <w:lang w:val="en-GB"/>
        </w:rPr>
        <w:tab/>
      </w:r>
      <w:hyperlink r:id="rId10" w:history="1">
        <w:r w:rsidRPr="00961D21">
          <w:rPr>
            <w:rStyle w:val="Hyperlink"/>
            <w:rFonts w:cs="Arial"/>
            <w:color w:val="000000" w:themeColor="text1"/>
            <w:sz w:val="24"/>
            <w:szCs w:val="24"/>
            <w:u w:val="none"/>
            <w:lang w:val="en-GB"/>
          </w:rPr>
          <w:t>Percymthombeni14@gmail.com</w:t>
        </w:r>
      </w:hyperlink>
      <w:r w:rsidRPr="00961D21">
        <w:rPr>
          <w:rFonts w:cs="Arial"/>
          <w:color w:val="000000" w:themeColor="text1"/>
          <w:sz w:val="24"/>
          <w:szCs w:val="24"/>
          <w:lang w:val="en-GB"/>
        </w:rPr>
        <w:t xml:space="preserve"> </w:t>
      </w:r>
    </w:p>
    <w:p w14:paraId="4E3D084D" w14:textId="3B90E928" w:rsidR="007170F3" w:rsidRPr="00961D21" w:rsidRDefault="007170F3" w:rsidP="007170F3">
      <w:pPr>
        <w:pStyle w:val="BodyText"/>
        <w:tabs>
          <w:tab w:val="left" w:pos="3969"/>
          <w:tab w:val="left" w:pos="4536"/>
        </w:tabs>
        <w:spacing w:before="120" w:after="120"/>
        <w:ind w:right="-28"/>
        <w:rPr>
          <w:rFonts w:cs="Arial"/>
          <w:spacing w:val="-1"/>
          <w:sz w:val="24"/>
          <w:szCs w:val="24"/>
          <w:lang w:val="en-GB"/>
        </w:rPr>
      </w:pPr>
    </w:p>
    <w:p w14:paraId="6795D6D1" w14:textId="3E468E1F" w:rsidR="003C17D5" w:rsidRPr="00961D21" w:rsidRDefault="00A3455C" w:rsidP="00A5675A">
      <w:pPr>
        <w:pStyle w:val="BodyText"/>
        <w:tabs>
          <w:tab w:val="left" w:pos="3969"/>
          <w:tab w:val="left" w:pos="4536"/>
        </w:tabs>
        <w:spacing w:before="120" w:after="120"/>
        <w:ind w:left="4536" w:right="-28" w:hanging="4536"/>
        <w:rPr>
          <w:rFonts w:cs="Arial"/>
          <w:sz w:val="24"/>
          <w:szCs w:val="24"/>
          <w:lang w:val="en-GB"/>
        </w:rPr>
      </w:pPr>
      <w:r w:rsidRPr="00961D21">
        <w:rPr>
          <w:rFonts w:cs="Arial"/>
          <w:sz w:val="24"/>
          <w:szCs w:val="24"/>
          <w:lang w:val="en-GB"/>
        </w:rPr>
        <w:t>Attorneys</w:t>
      </w:r>
      <w:r w:rsidR="00DC507E" w:rsidRPr="00961D21">
        <w:rPr>
          <w:rFonts w:cs="Arial"/>
          <w:spacing w:val="-4"/>
          <w:sz w:val="24"/>
          <w:szCs w:val="24"/>
          <w:lang w:val="en-GB"/>
        </w:rPr>
        <w:t xml:space="preserve"> </w:t>
      </w:r>
      <w:r w:rsidR="00DC507E" w:rsidRPr="00961D21">
        <w:rPr>
          <w:rFonts w:cs="Arial"/>
          <w:sz w:val="24"/>
          <w:szCs w:val="24"/>
          <w:lang w:val="en-GB"/>
        </w:rPr>
        <w:t>for</w:t>
      </w:r>
      <w:r w:rsidR="00DC507E" w:rsidRPr="00961D21">
        <w:rPr>
          <w:rFonts w:cs="Arial"/>
          <w:spacing w:val="-3"/>
          <w:sz w:val="24"/>
          <w:szCs w:val="24"/>
          <w:lang w:val="en-GB"/>
        </w:rPr>
        <w:t xml:space="preserve"> </w:t>
      </w:r>
      <w:r w:rsidR="007170F3" w:rsidRPr="00961D21">
        <w:rPr>
          <w:rFonts w:cs="Arial"/>
          <w:spacing w:val="-3"/>
          <w:sz w:val="24"/>
          <w:szCs w:val="24"/>
          <w:lang w:val="en-GB"/>
        </w:rPr>
        <w:t>respondents</w:t>
      </w:r>
      <w:r w:rsidR="0088764F" w:rsidRPr="00961D21">
        <w:rPr>
          <w:rFonts w:cs="Arial"/>
          <w:sz w:val="24"/>
          <w:szCs w:val="24"/>
          <w:lang w:val="en-GB"/>
        </w:rPr>
        <w:t>:</w:t>
      </w:r>
      <w:r w:rsidR="00A5675A" w:rsidRPr="00961D21">
        <w:rPr>
          <w:rFonts w:cs="Arial"/>
          <w:sz w:val="24"/>
          <w:szCs w:val="24"/>
          <w:lang w:val="en-GB"/>
        </w:rPr>
        <w:tab/>
      </w:r>
      <w:r w:rsidR="006F4748" w:rsidRPr="00961D21">
        <w:rPr>
          <w:rFonts w:cs="Arial"/>
          <w:sz w:val="24"/>
          <w:szCs w:val="24"/>
          <w:lang w:val="en-GB"/>
        </w:rPr>
        <w:t>State Attorney (Pretoria)</w:t>
      </w:r>
      <w:r w:rsidRPr="00961D21">
        <w:rPr>
          <w:rFonts w:cs="Arial"/>
          <w:sz w:val="24"/>
          <w:szCs w:val="24"/>
          <w:lang w:val="en-GB"/>
        </w:rPr>
        <w:tab/>
      </w:r>
    </w:p>
    <w:p w14:paraId="7805922A" w14:textId="19F8BFD5" w:rsidR="00A3455C" w:rsidRPr="00961D21" w:rsidRDefault="00A3455C" w:rsidP="00A5675A">
      <w:pPr>
        <w:pStyle w:val="BodyText"/>
        <w:tabs>
          <w:tab w:val="left" w:pos="3969"/>
          <w:tab w:val="left" w:pos="4536"/>
        </w:tabs>
        <w:spacing w:before="120" w:after="120"/>
        <w:ind w:left="4536" w:right="-28" w:hanging="4536"/>
        <w:rPr>
          <w:rFonts w:cs="Arial"/>
          <w:sz w:val="24"/>
          <w:szCs w:val="24"/>
          <w:lang w:val="en-GB"/>
        </w:rPr>
      </w:pPr>
      <w:r w:rsidRPr="00961D21">
        <w:rPr>
          <w:rFonts w:cs="Arial"/>
          <w:sz w:val="24"/>
          <w:szCs w:val="24"/>
          <w:lang w:val="en-GB"/>
        </w:rPr>
        <w:tab/>
        <w:t>(012) 309 1697</w:t>
      </w:r>
    </w:p>
    <w:p w14:paraId="21D1B692" w14:textId="7BC19AA1" w:rsidR="00A3455C" w:rsidRPr="00961D21" w:rsidRDefault="00A3455C" w:rsidP="00A5675A">
      <w:pPr>
        <w:pStyle w:val="BodyText"/>
        <w:tabs>
          <w:tab w:val="left" w:pos="3969"/>
          <w:tab w:val="left" w:pos="4536"/>
        </w:tabs>
        <w:spacing w:before="120" w:after="120"/>
        <w:ind w:left="4536" w:right="-28" w:hanging="4536"/>
        <w:rPr>
          <w:rFonts w:cs="Arial"/>
          <w:sz w:val="24"/>
          <w:szCs w:val="24"/>
          <w:lang w:val="en-GB"/>
        </w:rPr>
      </w:pPr>
      <w:r w:rsidRPr="00961D21">
        <w:rPr>
          <w:rFonts w:cs="Arial"/>
          <w:sz w:val="24"/>
          <w:szCs w:val="24"/>
          <w:lang w:val="en-GB"/>
        </w:rPr>
        <w:tab/>
        <w:t xml:space="preserve">LTshivase@justice.gov.za </w:t>
      </w:r>
    </w:p>
    <w:p w14:paraId="0EB53EA3" w14:textId="77777777" w:rsidR="00A3455C" w:rsidRPr="00961D21" w:rsidRDefault="00A3455C" w:rsidP="00A5675A">
      <w:pPr>
        <w:pStyle w:val="BodyText"/>
        <w:tabs>
          <w:tab w:val="left" w:pos="3969"/>
          <w:tab w:val="left" w:pos="4536"/>
        </w:tabs>
        <w:spacing w:before="120" w:after="120"/>
        <w:ind w:left="4536" w:right="-28" w:hanging="4536"/>
        <w:rPr>
          <w:rFonts w:cs="Arial"/>
          <w:sz w:val="24"/>
          <w:szCs w:val="24"/>
          <w:lang w:val="en-GB"/>
        </w:rPr>
      </w:pPr>
    </w:p>
    <w:p w14:paraId="5D6BF6BC" w14:textId="55979927" w:rsidR="00A3455C" w:rsidRPr="00961D21" w:rsidRDefault="00A3455C" w:rsidP="00A5675A">
      <w:pPr>
        <w:pStyle w:val="BodyText"/>
        <w:tabs>
          <w:tab w:val="left" w:pos="3969"/>
          <w:tab w:val="left" w:pos="4536"/>
        </w:tabs>
        <w:spacing w:before="120" w:after="120"/>
        <w:ind w:left="4536" w:right="-28" w:hanging="4536"/>
        <w:rPr>
          <w:rFonts w:cs="Arial"/>
          <w:sz w:val="24"/>
          <w:szCs w:val="24"/>
          <w:lang w:val="en-GB"/>
        </w:rPr>
      </w:pPr>
      <w:r w:rsidRPr="00961D21">
        <w:rPr>
          <w:rFonts w:cs="Arial"/>
          <w:sz w:val="24"/>
          <w:szCs w:val="24"/>
          <w:lang w:val="en-GB"/>
        </w:rPr>
        <w:t>Counsel for respondents:</w:t>
      </w:r>
      <w:r w:rsidRPr="00961D21">
        <w:rPr>
          <w:rFonts w:cs="Arial"/>
          <w:sz w:val="24"/>
          <w:szCs w:val="24"/>
          <w:lang w:val="en-GB"/>
        </w:rPr>
        <w:tab/>
        <w:t>K Mhlanga</w:t>
      </w:r>
    </w:p>
    <w:p w14:paraId="0289F800" w14:textId="306E050A" w:rsidR="00A3455C" w:rsidRPr="00961D21" w:rsidRDefault="00A3455C" w:rsidP="00A5675A">
      <w:pPr>
        <w:pStyle w:val="BodyText"/>
        <w:tabs>
          <w:tab w:val="left" w:pos="3969"/>
          <w:tab w:val="left" w:pos="4536"/>
        </w:tabs>
        <w:spacing w:before="120" w:after="120"/>
        <w:ind w:left="4536" w:right="-28" w:hanging="4536"/>
        <w:rPr>
          <w:rFonts w:cs="Arial"/>
          <w:sz w:val="24"/>
          <w:szCs w:val="24"/>
          <w:lang w:val="en-GB"/>
        </w:rPr>
      </w:pPr>
      <w:r w:rsidRPr="00961D21">
        <w:rPr>
          <w:rFonts w:cs="Arial"/>
          <w:sz w:val="24"/>
          <w:szCs w:val="24"/>
          <w:lang w:val="en-GB"/>
        </w:rPr>
        <w:tab/>
        <w:t>079 235 6030</w:t>
      </w:r>
    </w:p>
    <w:p w14:paraId="08DB1572" w14:textId="41084C4F" w:rsidR="00A3455C" w:rsidRPr="00961D21" w:rsidRDefault="00A3455C" w:rsidP="00A5675A">
      <w:pPr>
        <w:pStyle w:val="BodyText"/>
        <w:tabs>
          <w:tab w:val="left" w:pos="3969"/>
          <w:tab w:val="left" w:pos="4536"/>
        </w:tabs>
        <w:spacing w:before="120" w:after="120"/>
        <w:ind w:left="4536" w:right="-28" w:hanging="4536"/>
        <w:rPr>
          <w:rFonts w:cs="Arial"/>
          <w:sz w:val="24"/>
          <w:szCs w:val="24"/>
          <w:lang w:val="en-GB"/>
        </w:rPr>
      </w:pPr>
      <w:r w:rsidRPr="00961D21">
        <w:rPr>
          <w:rFonts w:cs="Arial"/>
          <w:sz w:val="24"/>
          <w:szCs w:val="24"/>
          <w:lang w:val="en-GB"/>
        </w:rPr>
        <w:tab/>
        <w:t xml:space="preserve">mhlangakhatu@gmail.com </w:t>
      </w:r>
    </w:p>
    <w:sectPr w:rsidR="00A3455C" w:rsidRPr="00961D21" w:rsidSect="00035E00">
      <w:footerReference w:type="default" r:id="rId11"/>
      <w:pgSz w:w="11910" w:h="16840"/>
      <w:pgMar w:top="1480" w:right="1137" w:bottom="1560" w:left="1300" w:header="720" w:footer="2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A355" w14:textId="77777777" w:rsidR="00505168" w:rsidRDefault="00505168" w:rsidP="00232F72">
      <w:r>
        <w:separator/>
      </w:r>
    </w:p>
  </w:endnote>
  <w:endnote w:type="continuationSeparator" w:id="0">
    <w:p w14:paraId="3190BA6A" w14:textId="77777777" w:rsidR="00505168" w:rsidRDefault="00505168"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9438"/>
      <w:docPartObj>
        <w:docPartGallery w:val="Page Numbers (Bottom of Page)"/>
        <w:docPartUnique/>
      </w:docPartObj>
    </w:sdtPr>
    <w:sdtEndPr>
      <w:rPr>
        <w:sz w:val="20"/>
        <w:szCs w:val="20"/>
      </w:rPr>
    </w:sdtEndPr>
    <w:sdtContent>
      <w:p w14:paraId="604FCD18" w14:textId="5EF2BABD" w:rsidR="00991491" w:rsidRPr="00035E00" w:rsidRDefault="00991491">
        <w:pPr>
          <w:pStyle w:val="Footer"/>
          <w:jc w:val="right"/>
          <w:rPr>
            <w:sz w:val="20"/>
            <w:szCs w:val="20"/>
          </w:rPr>
        </w:pPr>
        <w:r w:rsidRPr="00035E00">
          <w:rPr>
            <w:sz w:val="20"/>
            <w:szCs w:val="20"/>
          </w:rPr>
          <w:fldChar w:fldCharType="begin"/>
        </w:r>
        <w:r w:rsidRPr="00035E00">
          <w:rPr>
            <w:sz w:val="20"/>
            <w:szCs w:val="20"/>
          </w:rPr>
          <w:instrText>PAGE   \* MERGEFORMAT</w:instrText>
        </w:r>
        <w:r w:rsidRPr="00035E00">
          <w:rPr>
            <w:sz w:val="20"/>
            <w:szCs w:val="20"/>
          </w:rPr>
          <w:fldChar w:fldCharType="separate"/>
        </w:r>
        <w:r w:rsidR="00CC2CF5" w:rsidRPr="00CC2CF5">
          <w:rPr>
            <w:noProof/>
            <w:sz w:val="20"/>
            <w:szCs w:val="20"/>
            <w:lang w:val="en-GB"/>
          </w:rPr>
          <w:t>29</w:t>
        </w:r>
        <w:r w:rsidRPr="00035E00">
          <w:rPr>
            <w:sz w:val="20"/>
            <w:szCs w:val="20"/>
          </w:rPr>
          <w:fldChar w:fldCharType="end"/>
        </w:r>
      </w:p>
    </w:sdtContent>
  </w:sdt>
  <w:p w14:paraId="4A6F30DE" w14:textId="77777777" w:rsidR="00991491" w:rsidRDefault="0099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4EAFA" w14:textId="77777777" w:rsidR="00505168" w:rsidRDefault="00505168" w:rsidP="00232F72">
      <w:r>
        <w:separator/>
      </w:r>
    </w:p>
  </w:footnote>
  <w:footnote w:type="continuationSeparator" w:id="0">
    <w:p w14:paraId="372D6D84" w14:textId="77777777" w:rsidR="00505168" w:rsidRDefault="00505168" w:rsidP="00232F72">
      <w:r>
        <w:continuationSeparator/>
      </w:r>
    </w:p>
  </w:footnote>
  <w:footnote w:id="1">
    <w:p w14:paraId="7A76F434" w14:textId="77777777" w:rsidR="00195786" w:rsidRPr="008A3765" w:rsidRDefault="00195786" w:rsidP="00195786">
      <w:pPr>
        <w:pStyle w:val="FootnoteText"/>
        <w:rPr>
          <w:rFonts w:cs="Arial"/>
        </w:rPr>
      </w:pPr>
      <w:r w:rsidRPr="008A3765">
        <w:rPr>
          <w:rStyle w:val="FootnoteReference"/>
          <w:rFonts w:cs="Arial"/>
        </w:rPr>
        <w:footnoteRef/>
      </w:r>
      <w:r w:rsidRPr="008A3765">
        <w:rPr>
          <w:rFonts w:cs="Arial"/>
        </w:rPr>
        <w:t xml:space="preserve"> </w:t>
      </w:r>
      <w:r w:rsidRPr="008A3765">
        <w:rPr>
          <w:rFonts w:cs="Arial"/>
        </w:rPr>
        <w:tab/>
        <w:t>CaseLines page 014 – 14.</w:t>
      </w:r>
    </w:p>
  </w:footnote>
  <w:footnote w:id="2">
    <w:p w14:paraId="40836D85" w14:textId="77777777" w:rsidR="00195786" w:rsidRPr="008A3765" w:rsidRDefault="00195786" w:rsidP="00195786">
      <w:pPr>
        <w:pStyle w:val="FootnoteText"/>
        <w:rPr>
          <w:rFonts w:cs="Arial"/>
        </w:rPr>
      </w:pPr>
      <w:r w:rsidRPr="008A3765">
        <w:rPr>
          <w:rStyle w:val="FootnoteReference"/>
          <w:rFonts w:cs="Arial"/>
        </w:rPr>
        <w:footnoteRef/>
      </w:r>
      <w:r w:rsidRPr="008A3765">
        <w:rPr>
          <w:rFonts w:cs="Arial"/>
        </w:rPr>
        <w:t xml:space="preserve"> </w:t>
      </w:r>
      <w:r w:rsidRPr="008A3765">
        <w:rPr>
          <w:rFonts w:cs="Arial"/>
        </w:rPr>
        <w:tab/>
        <w:t>No. 68 of 1997.</w:t>
      </w:r>
    </w:p>
  </w:footnote>
  <w:footnote w:id="3">
    <w:p w14:paraId="0D0D6042" w14:textId="77777777" w:rsidR="00195786" w:rsidRPr="008A3765" w:rsidRDefault="00195786" w:rsidP="00195786">
      <w:pPr>
        <w:pStyle w:val="FootnoteText"/>
        <w:rPr>
          <w:rFonts w:cs="Arial"/>
        </w:rPr>
      </w:pPr>
      <w:r w:rsidRPr="008A3765">
        <w:rPr>
          <w:rStyle w:val="FootnoteReference"/>
          <w:rFonts w:cs="Arial"/>
        </w:rPr>
        <w:footnoteRef/>
      </w:r>
      <w:r w:rsidRPr="008A3765">
        <w:rPr>
          <w:rFonts w:cs="Arial"/>
        </w:rPr>
        <w:t xml:space="preserve"> </w:t>
      </w:r>
      <w:r w:rsidRPr="008A3765">
        <w:rPr>
          <w:rFonts w:cs="Arial"/>
        </w:rPr>
        <w:tab/>
        <w:t>No. 88 of 1995.</w:t>
      </w:r>
    </w:p>
  </w:footnote>
  <w:footnote w:id="4">
    <w:p w14:paraId="55328EC1" w14:textId="77777777" w:rsidR="00195786" w:rsidRPr="008A3765" w:rsidRDefault="00195786" w:rsidP="00195786">
      <w:pPr>
        <w:pStyle w:val="FootnoteText"/>
        <w:rPr>
          <w:rFonts w:cs="Arial"/>
        </w:rPr>
      </w:pPr>
      <w:r w:rsidRPr="008A3765">
        <w:rPr>
          <w:rStyle w:val="FootnoteReference"/>
          <w:rFonts w:cs="Arial"/>
        </w:rPr>
        <w:footnoteRef/>
      </w:r>
      <w:r w:rsidRPr="008A3765">
        <w:rPr>
          <w:rFonts w:cs="Arial"/>
        </w:rPr>
        <w:t xml:space="preserve"> </w:t>
      </w:r>
      <w:r w:rsidRPr="008A3765">
        <w:rPr>
          <w:rFonts w:cs="Arial"/>
        </w:rPr>
        <w:tab/>
        <w:t>No. 13 of 2002.</w:t>
      </w:r>
    </w:p>
  </w:footnote>
  <w:footnote w:id="5">
    <w:p w14:paraId="0F9B6698" w14:textId="77777777" w:rsidR="00195786" w:rsidRPr="008A3765" w:rsidRDefault="00195786" w:rsidP="00195786">
      <w:pPr>
        <w:pStyle w:val="FootnoteText"/>
        <w:rPr>
          <w:rFonts w:cs="Arial"/>
        </w:rPr>
      </w:pPr>
      <w:r w:rsidRPr="008A3765">
        <w:rPr>
          <w:rStyle w:val="FootnoteReference"/>
          <w:rFonts w:cs="Arial"/>
        </w:rPr>
        <w:footnoteRef/>
      </w:r>
      <w:r w:rsidRPr="008A3765">
        <w:rPr>
          <w:rFonts w:cs="Arial"/>
        </w:rPr>
        <w:t xml:space="preserve"> </w:t>
      </w:r>
      <w:r w:rsidRPr="008A3765">
        <w:rPr>
          <w:rFonts w:cs="Arial"/>
        </w:rPr>
        <w:tab/>
        <w:t>See: Sections 25 – 28 of the Immigration Act.</w:t>
      </w:r>
    </w:p>
  </w:footnote>
  <w:footnote w:id="6">
    <w:p w14:paraId="57BB9EF2" w14:textId="2346B3C5" w:rsidR="00195786" w:rsidRPr="008A3765" w:rsidRDefault="00195786" w:rsidP="00195786">
      <w:pPr>
        <w:pStyle w:val="FootnoteText"/>
        <w:rPr>
          <w:rFonts w:cs="Arial"/>
        </w:rPr>
      </w:pPr>
      <w:r w:rsidRPr="008A3765">
        <w:rPr>
          <w:rStyle w:val="FootnoteReference"/>
          <w:rFonts w:cs="Arial"/>
        </w:rPr>
        <w:footnoteRef/>
      </w:r>
      <w:r w:rsidRPr="008A3765">
        <w:rPr>
          <w:rFonts w:cs="Arial"/>
        </w:rPr>
        <w:t xml:space="preserve"> </w:t>
      </w:r>
      <w:r w:rsidRPr="008A3765">
        <w:rPr>
          <w:rFonts w:cs="Arial"/>
        </w:rPr>
        <w:tab/>
        <w:t>CaseLines page 001 – 56 and 001 – 59.</w:t>
      </w:r>
    </w:p>
  </w:footnote>
  <w:footnote w:id="7">
    <w:p w14:paraId="53CD9FED" w14:textId="77777777" w:rsidR="00195786" w:rsidRPr="008A3765" w:rsidRDefault="00195786" w:rsidP="00195786">
      <w:pPr>
        <w:pStyle w:val="FootnoteText"/>
        <w:rPr>
          <w:rFonts w:cs="Arial"/>
        </w:rPr>
      </w:pPr>
      <w:r w:rsidRPr="008A3765">
        <w:rPr>
          <w:rStyle w:val="FootnoteReference"/>
          <w:rFonts w:cs="Arial"/>
        </w:rPr>
        <w:footnoteRef/>
      </w:r>
      <w:r w:rsidRPr="008A3765">
        <w:rPr>
          <w:rFonts w:cs="Arial"/>
        </w:rPr>
        <w:t xml:space="preserve"> </w:t>
      </w:r>
      <w:r w:rsidRPr="008A3765">
        <w:rPr>
          <w:rFonts w:cs="Arial"/>
        </w:rPr>
        <w:tab/>
        <w:t>No. 96 of 1991.</w:t>
      </w:r>
    </w:p>
  </w:footnote>
  <w:footnote w:id="8">
    <w:p w14:paraId="127D2429" w14:textId="77777777" w:rsidR="00195786" w:rsidRPr="00531CF0" w:rsidRDefault="00195786" w:rsidP="00195786">
      <w:pPr>
        <w:pStyle w:val="FootnoteText"/>
        <w:ind w:left="709" w:hanging="709"/>
        <w:jc w:val="both"/>
        <w:rPr>
          <w:rFonts w:cs="Arial"/>
        </w:rPr>
      </w:pPr>
      <w:r w:rsidRPr="008A3765">
        <w:rPr>
          <w:rStyle w:val="FootnoteReference"/>
          <w:rFonts w:cs="Arial"/>
        </w:rPr>
        <w:footnoteRef/>
      </w:r>
      <w:r w:rsidRPr="008A3765">
        <w:rPr>
          <w:rFonts w:cs="Arial"/>
        </w:rPr>
        <w:t xml:space="preserve"> </w:t>
      </w:r>
      <w:r w:rsidRPr="008A3765">
        <w:rPr>
          <w:rFonts w:cs="Arial"/>
        </w:rPr>
        <w:tab/>
        <w:t>See: Shamko Abraham v Minister of Home Affairs/Director General, Department of Home Affairs, case number A5053/2021; A5054/2021; A5055/2021 full</w:t>
      </w:r>
      <w:r w:rsidRPr="000D6927">
        <w:rPr>
          <w:rFonts w:cs="Arial"/>
        </w:rPr>
        <w:t xml:space="preserve"> bench appeal of the Gauteng Division, Johannesburg.</w:t>
      </w:r>
    </w:p>
  </w:footnote>
  <w:footnote w:id="9">
    <w:p w14:paraId="65E1034C" w14:textId="77777777" w:rsidR="00195786" w:rsidRDefault="00195786" w:rsidP="00195786">
      <w:pPr>
        <w:pStyle w:val="FootnoteText"/>
      </w:pPr>
      <w:r w:rsidRPr="00531CF0">
        <w:rPr>
          <w:rStyle w:val="FootnoteReference"/>
          <w:rFonts w:cs="Arial"/>
        </w:rPr>
        <w:footnoteRef/>
      </w:r>
      <w:r w:rsidRPr="00531CF0">
        <w:rPr>
          <w:rFonts w:cs="Arial"/>
        </w:rPr>
        <w:t xml:space="preserve"> </w:t>
      </w:r>
      <w:r w:rsidRPr="00531CF0">
        <w:rPr>
          <w:rFonts w:cs="Arial"/>
        </w:rPr>
        <w:tab/>
        <w:t xml:space="preserve">See:  Shamko Abraham v Minister of Home Affairs </w:t>
      </w:r>
      <w:r w:rsidRPr="00531CF0">
        <w:rPr>
          <w:rFonts w:cs="Arial"/>
          <w:i/>
        </w:rPr>
        <w:t>supra</w:t>
      </w:r>
      <w:r w:rsidRPr="00531CF0">
        <w:rPr>
          <w:rFonts w:cs="Arial"/>
        </w:rPr>
        <w:t>.</w:t>
      </w:r>
    </w:p>
  </w:footnote>
  <w:footnote w:id="10">
    <w:p w14:paraId="0448629D" w14:textId="77777777" w:rsidR="00195786" w:rsidRPr="000D6927" w:rsidRDefault="00195786" w:rsidP="00C867C8">
      <w:pPr>
        <w:pStyle w:val="FootnoteText"/>
        <w:ind w:left="567" w:hanging="567"/>
        <w:jc w:val="both"/>
        <w:rPr>
          <w:rFonts w:cs="Arial"/>
        </w:rPr>
      </w:pPr>
      <w:r w:rsidRPr="000D6927">
        <w:rPr>
          <w:rStyle w:val="FootnoteReference"/>
          <w:rFonts w:cs="Arial"/>
        </w:rPr>
        <w:footnoteRef/>
      </w:r>
      <w:r w:rsidRPr="000D6927">
        <w:rPr>
          <w:rFonts w:cs="Arial"/>
        </w:rPr>
        <w:t xml:space="preserve"> </w:t>
      </w:r>
      <w:r w:rsidRPr="000D6927">
        <w:rPr>
          <w:rFonts w:cs="Arial"/>
        </w:rPr>
        <w:tab/>
        <w:t>See: Melaphi SZ</w:t>
      </w:r>
      <w:r>
        <w:rPr>
          <w:rFonts w:cs="Arial"/>
        </w:rPr>
        <w:t xml:space="preserve"> and another </w:t>
      </w:r>
      <w:r w:rsidRPr="000D6927">
        <w:rPr>
          <w:rFonts w:cs="Arial"/>
        </w:rPr>
        <w:t>v Minister of Home Affairs/Director General: Department of Home Affairs</w:t>
      </w:r>
      <w:r>
        <w:rPr>
          <w:rFonts w:cs="Arial"/>
        </w:rPr>
        <w:t>, at para [9].</w:t>
      </w:r>
    </w:p>
  </w:footnote>
  <w:footnote w:id="11">
    <w:p w14:paraId="5379F148" w14:textId="4579903B" w:rsidR="003B23E5" w:rsidRPr="003B23E5" w:rsidRDefault="003B23E5">
      <w:pPr>
        <w:pStyle w:val="FootnoteText"/>
        <w:rPr>
          <w:lang w:val="en-GB"/>
        </w:rPr>
      </w:pPr>
      <w:r>
        <w:rPr>
          <w:rStyle w:val="FootnoteReference"/>
        </w:rPr>
        <w:footnoteRef/>
      </w:r>
      <w:r>
        <w:t xml:space="preserve"> </w:t>
      </w:r>
      <w:r>
        <w:rPr>
          <w:lang w:val="en-GB"/>
        </w:rPr>
        <w:tab/>
        <w:t>CaseLines page 005 – 16.</w:t>
      </w:r>
    </w:p>
  </w:footnote>
  <w:footnote w:id="12">
    <w:p w14:paraId="64E13908" w14:textId="6003C15E" w:rsidR="003B23E5" w:rsidRPr="003B23E5" w:rsidRDefault="003B23E5">
      <w:pPr>
        <w:pStyle w:val="FootnoteText"/>
        <w:rPr>
          <w:lang w:val="en-GB"/>
        </w:rPr>
      </w:pPr>
      <w:r>
        <w:rPr>
          <w:rStyle w:val="FootnoteReference"/>
        </w:rPr>
        <w:footnoteRef/>
      </w:r>
      <w:r>
        <w:t xml:space="preserve"> </w:t>
      </w:r>
      <w:r>
        <w:rPr>
          <w:lang w:val="en-GB"/>
        </w:rPr>
        <w:tab/>
        <w:t>CaseLines page 005 – 4.</w:t>
      </w:r>
    </w:p>
  </w:footnote>
  <w:footnote w:id="13">
    <w:p w14:paraId="67FBD901" w14:textId="77777777" w:rsidR="00195786" w:rsidRPr="000D6927" w:rsidRDefault="00195786" w:rsidP="00195786">
      <w:pPr>
        <w:pStyle w:val="FootnoteText"/>
        <w:rPr>
          <w:rFonts w:cs="Arial"/>
        </w:rPr>
      </w:pPr>
      <w:r w:rsidRPr="000D6927">
        <w:rPr>
          <w:rStyle w:val="FootnoteReference"/>
          <w:rFonts w:cs="Arial"/>
        </w:rPr>
        <w:footnoteRef/>
      </w:r>
      <w:r w:rsidRPr="000D6927">
        <w:rPr>
          <w:rFonts w:cs="Arial"/>
        </w:rPr>
        <w:t xml:space="preserve"> </w:t>
      </w:r>
      <w:r w:rsidRPr="000D6927">
        <w:rPr>
          <w:rFonts w:cs="Arial"/>
        </w:rPr>
        <w:tab/>
        <w:t>See:  Annexures “SA06” to “SA08” – CaseLines pages 008 – 34 to 008 – 40.</w:t>
      </w:r>
    </w:p>
  </w:footnote>
  <w:footnote w:id="14">
    <w:p w14:paraId="7324A018" w14:textId="20880428" w:rsidR="00390654" w:rsidRPr="00390654" w:rsidRDefault="00390654">
      <w:pPr>
        <w:pStyle w:val="FootnoteText"/>
        <w:rPr>
          <w:lang w:val="en-GB"/>
        </w:rPr>
      </w:pPr>
      <w:r>
        <w:rPr>
          <w:rStyle w:val="FootnoteReference"/>
        </w:rPr>
        <w:footnoteRef/>
      </w:r>
      <w:r>
        <w:t xml:space="preserve"> </w:t>
      </w:r>
      <w:r>
        <w:rPr>
          <w:lang w:val="en-GB"/>
        </w:rPr>
        <w:tab/>
        <w:t>CaseLines page 005 – 3.</w:t>
      </w:r>
    </w:p>
  </w:footnote>
  <w:footnote w:id="15">
    <w:p w14:paraId="43C0EF81" w14:textId="77777777" w:rsidR="00195786" w:rsidRDefault="00195786" w:rsidP="00195786">
      <w:pPr>
        <w:pStyle w:val="FootnoteText"/>
        <w:ind w:left="709" w:hanging="709"/>
        <w:jc w:val="both"/>
      </w:pPr>
      <w:r w:rsidRPr="000D6927">
        <w:rPr>
          <w:rStyle w:val="FootnoteReference"/>
          <w:rFonts w:cs="Arial"/>
        </w:rPr>
        <w:footnoteRef/>
      </w:r>
      <w:r w:rsidRPr="000D6927">
        <w:rPr>
          <w:rFonts w:cs="Arial"/>
        </w:rPr>
        <w:t xml:space="preserve"> </w:t>
      </w:r>
      <w:r w:rsidRPr="000D6927">
        <w:rPr>
          <w:rFonts w:cs="Arial"/>
        </w:rPr>
        <w:tab/>
        <w:t xml:space="preserve">See:  Eisenberg and Others v Director General, Department of Home Affairs and Others [2014] JOL 29900 (WCC). </w:t>
      </w:r>
    </w:p>
  </w:footnote>
  <w:footnote w:id="16">
    <w:p w14:paraId="712A9267" w14:textId="3030A4DE" w:rsidR="006F4748" w:rsidRPr="00954590" w:rsidRDefault="006F4748" w:rsidP="0059432F">
      <w:pPr>
        <w:pStyle w:val="FootnoteText"/>
        <w:tabs>
          <w:tab w:val="left" w:pos="567"/>
        </w:tabs>
        <w:rPr>
          <w:rFonts w:cs="Arial"/>
        </w:rPr>
      </w:pPr>
      <w:r w:rsidRPr="00954590">
        <w:rPr>
          <w:rStyle w:val="FootnoteReference"/>
          <w:rFonts w:cs="Arial"/>
        </w:rPr>
        <w:footnoteRef/>
      </w:r>
      <w:r w:rsidRPr="00954590">
        <w:rPr>
          <w:rFonts w:cs="Arial"/>
        </w:rPr>
        <w:t xml:space="preserve"> </w:t>
      </w:r>
      <w:r w:rsidR="0059432F">
        <w:rPr>
          <w:rFonts w:cs="Arial"/>
        </w:rPr>
        <w:tab/>
      </w:r>
      <w:r w:rsidRPr="00954590">
        <w:rPr>
          <w:rFonts w:cs="Arial"/>
        </w:rPr>
        <w:t>2007 (3) bclr 200 CC.</w:t>
      </w:r>
    </w:p>
  </w:footnote>
  <w:footnote w:id="17">
    <w:p w14:paraId="45AA924C" w14:textId="2371200E" w:rsidR="00E25512" w:rsidRPr="00E25512" w:rsidRDefault="00E25512" w:rsidP="00E25512">
      <w:pPr>
        <w:pStyle w:val="FootnoteText"/>
        <w:tabs>
          <w:tab w:val="left" w:pos="567"/>
        </w:tabs>
        <w:rPr>
          <w:lang w:val="en-GB"/>
        </w:rPr>
      </w:pPr>
      <w:r>
        <w:rPr>
          <w:rStyle w:val="FootnoteReference"/>
        </w:rPr>
        <w:footnoteRef/>
      </w:r>
      <w:r>
        <w:t xml:space="preserve"> </w:t>
      </w:r>
      <w:r>
        <w:rPr>
          <w:lang w:val="en-GB"/>
        </w:rPr>
        <w:tab/>
        <w:t>Administrative Law, Yvonne Burns, 4</w:t>
      </w:r>
      <w:r w:rsidRPr="00E25512">
        <w:rPr>
          <w:vertAlign w:val="superscript"/>
          <w:lang w:val="en-GB"/>
        </w:rPr>
        <w:t>th</w:t>
      </w:r>
      <w:r>
        <w:rPr>
          <w:lang w:val="en-GB"/>
        </w:rPr>
        <w:t xml:space="preserve"> Ed, Lexis Nexis, p558.</w:t>
      </w:r>
    </w:p>
  </w:footnote>
  <w:footnote w:id="18">
    <w:p w14:paraId="093F6A57" w14:textId="43238DA4" w:rsidR="006F4748" w:rsidRPr="00596DAD" w:rsidRDefault="006F4748" w:rsidP="0059432F">
      <w:pPr>
        <w:pStyle w:val="FootnoteText"/>
        <w:ind w:left="567" w:hanging="567"/>
        <w:jc w:val="both"/>
        <w:rPr>
          <w:rFonts w:cs="Arial"/>
        </w:rPr>
      </w:pPr>
      <w:r>
        <w:rPr>
          <w:rStyle w:val="FootnoteReference"/>
        </w:rPr>
        <w:footnoteRef/>
      </w:r>
      <w:r>
        <w:t xml:space="preserve"> </w:t>
      </w:r>
      <w:r w:rsidR="0059432F">
        <w:rPr>
          <w:rFonts w:cs="Arial"/>
        </w:rPr>
        <w:tab/>
      </w:r>
      <w:r w:rsidRPr="00596DAD">
        <w:rPr>
          <w:rFonts w:cs="Arial"/>
        </w:rPr>
        <w:t xml:space="preserve">This </w:t>
      </w:r>
      <w:r>
        <w:rPr>
          <w:rFonts w:cs="Arial"/>
        </w:rPr>
        <w:t>element was considered in Gauteng Gambling Board v Silverstar Development Ltd 2005(4) SA 67 (SCA) para 29 and 38; and in Hangklip Environmental Action Group v MEC for Agriculture Environmental Affairs and Development Planning Western Cape 2007 (06) SA 65 (</w:t>
      </w:r>
      <w:r w:rsidR="00163DA9">
        <w:rPr>
          <w:rFonts w:cs="Arial"/>
        </w:rPr>
        <w:t>CC</w:t>
      </w:r>
      <w:r>
        <w:rPr>
          <w:rFonts w:cs="Arial"/>
        </w:rPr>
        <w:t>) 84F – J.</w:t>
      </w:r>
    </w:p>
  </w:footnote>
  <w:footnote w:id="19">
    <w:p w14:paraId="60DF34E4" w14:textId="73E9290F" w:rsidR="006F4748" w:rsidRPr="00596DAD" w:rsidRDefault="006F4748" w:rsidP="0059432F">
      <w:pPr>
        <w:pStyle w:val="FootnoteText"/>
        <w:ind w:left="567" w:hanging="567"/>
        <w:jc w:val="both"/>
        <w:rPr>
          <w:rFonts w:cs="Arial"/>
        </w:rPr>
      </w:pPr>
      <w:r>
        <w:rPr>
          <w:rStyle w:val="FootnoteReference"/>
        </w:rPr>
        <w:footnoteRef/>
      </w:r>
      <w:r>
        <w:t xml:space="preserve"> </w:t>
      </w:r>
      <w:r w:rsidR="0059432F">
        <w:rPr>
          <w:rFonts w:cs="Arial"/>
        </w:rPr>
        <w:tab/>
      </w:r>
      <w:r>
        <w:rPr>
          <w:rFonts w:cs="Arial"/>
        </w:rPr>
        <w:t>This element was considered in Hangklip Environmental Action Group v MEC for Agricultural Environmental Affairs and Development Planning Western Cape 2007(6) SA 65(</w:t>
      </w:r>
      <w:r w:rsidR="00163DA9">
        <w:rPr>
          <w:rFonts w:cs="Arial"/>
        </w:rPr>
        <w:t>CC</w:t>
      </w:r>
      <w:r>
        <w:rPr>
          <w:rFonts w:cs="Arial"/>
        </w:rPr>
        <w:t>) para 126.</w:t>
      </w:r>
    </w:p>
  </w:footnote>
  <w:footnote w:id="20">
    <w:p w14:paraId="6DFCEBE3" w14:textId="43132767" w:rsidR="006F4748" w:rsidRPr="00596DAD" w:rsidRDefault="006F4748" w:rsidP="0059432F">
      <w:pPr>
        <w:pStyle w:val="FootnoteText"/>
        <w:ind w:left="567" w:hanging="567"/>
        <w:jc w:val="both"/>
        <w:rPr>
          <w:rFonts w:cs="Arial"/>
        </w:rPr>
      </w:pPr>
      <w:r>
        <w:rPr>
          <w:rStyle w:val="FootnoteReference"/>
        </w:rPr>
        <w:footnoteRef/>
      </w:r>
      <w:r>
        <w:t xml:space="preserve">  </w:t>
      </w:r>
      <w:r w:rsidR="0059432F">
        <w:rPr>
          <w:rFonts w:cs="Arial"/>
        </w:rPr>
        <w:tab/>
      </w:r>
      <w:r w:rsidRPr="00596DAD">
        <w:rPr>
          <w:rFonts w:cs="Arial"/>
        </w:rPr>
        <w:t>This element was considered in Silverstar Developments, at para 39.</w:t>
      </w:r>
    </w:p>
  </w:footnote>
  <w:footnote w:id="21">
    <w:p w14:paraId="1AF2543C" w14:textId="50DB77C7" w:rsidR="006F4748" w:rsidRPr="00B763BC" w:rsidRDefault="006F4748" w:rsidP="0059432F">
      <w:pPr>
        <w:pStyle w:val="FootnoteText"/>
        <w:ind w:left="567" w:hanging="567"/>
        <w:jc w:val="both"/>
        <w:rPr>
          <w:rFonts w:cs="Arial"/>
        </w:rPr>
      </w:pPr>
      <w:r>
        <w:rPr>
          <w:rStyle w:val="FootnoteReference"/>
        </w:rPr>
        <w:footnoteRef/>
      </w:r>
      <w:r>
        <w:t xml:space="preserve">  </w:t>
      </w:r>
      <w:r w:rsidR="0059432F">
        <w:tab/>
      </w:r>
      <w:r w:rsidRPr="00B763BC">
        <w:rPr>
          <w:rFonts w:cs="Arial"/>
        </w:rPr>
        <w:t>This element was considered in Silverstar Development, at para 38</w:t>
      </w:r>
      <w:r>
        <w:rPr>
          <w:rFonts w:cs="Arial"/>
        </w:rPr>
        <w:t>.</w:t>
      </w:r>
    </w:p>
  </w:footnote>
  <w:footnote w:id="22">
    <w:p w14:paraId="5D964382" w14:textId="52A9334B" w:rsidR="006F4748" w:rsidRPr="00954590" w:rsidRDefault="006F4748" w:rsidP="0059432F">
      <w:pPr>
        <w:pStyle w:val="FootnoteText"/>
        <w:ind w:left="567" w:hanging="567"/>
        <w:jc w:val="both"/>
        <w:rPr>
          <w:rFonts w:cs="Arial"/>
        </w:rPr>
      </w:pPr>
      <w:r w:rsidRPr="00954590">
        <w:rPr>
          <w:rStyle w:val="FootnoteReference"/>
          <w:rFonts w:cs="Arial"/>
        </w:rPr>
        <w:footnoteRef/>
      </w:r>
      <w:r w:rsidRPr="00954590">
        <w:rPr>
          <w:rFonts w:cs="Arial"/>
        </w:rPr>
        <w:t xml:space="preserve"> </w:t>
      </w:r>
      <w:r w:rsidR="0059432F">
        <w:rPr>
          <w:rFonts w:cs="Arial"/>
        </w:rPr>
        <w:tab/>
      </w:r>
      <w:r w:rsidRPr="00954590">
        <w:rPr>
          <w:rFonts w:cs="Arial"/>
        </w:rPr>
        <w:t xml:space="preserve">1998 (3) SA 124 </w:t>
      </w:r>
      <w:r w:rsidR="00BC35F7">
        <w:rPr>
          <w:rFonts w:cs="Arial"/>
        </w:rPr>
        <w:t xml:space="preserve">(CC) </w:t>
      </w:r>
      <w:r w:rsidRPr="00954590">
        <w:rPr>
          <w:rFonts w:cs="Arial"/>
        </w:rPr>
        <w:t>at 131</w:t>
      </w:r>
    </w:p>
  </w:footnote>
  <w:footnote w:id="23">
    <w:p w14:paraId="68A8B787" w14:textId="738956B5" w:rsidR="006F4748" w:rsidRPr="00B763BC" w:rsidRDefault="006F4748" w:rsidP="0059432F">
      <w:pPr>
        <w:pStyle w:val="FootnoteText"/>
        <w:ind w:left="567" w:hanging="567"/>
        <w:jc w:val="both"/>
        <w:rPr>
          <w:rFonts w:cs="Arial"/>
        </w:rPr>
      </w:pPr>
      <w:r w:rsidRPr="00B763BC">
        <w:rPr>
          <w:rStyle w:val="FootnoteReference"/>
          <w:rFonts w:cs="Arial"/>
        </w:rPr>
        <w:footnoteRef/>
      </w:r>
      <w:r w:rsidRPr="00B763BC">
        <w:rPr>
          <w:rFonts w:cs="Arial"/>
        </w:rPr>
        <w:t xml:space="preserve"> </w:t>
      </w:r>
      <w:r w:rsidR="0059432F">
        <w:rPr>
          <w:rFonts w:cs="Arial"/>
        </w:rPr>
        <w:tab/>
      </w:r>
      <w:r>
        <w:rPr>
          <w:rFonts w:cs="Arial"/>
        </w:rPr>
        <w:t xml:space="preserve">National Coalition for Gay and Lesbian Equality v Minister of Home Affairs </w:t>
      </w:r>
      <w:r w:rsidRPr="00B763BC">
        <w:rPr>
          <w:rFonts w:cs="Arial"/>
        </w:rPr>
        <w:t>2000(2) SA 1 (CC) at para 65</w:t>
      </w:r>
    </w:p>
  </w:footnote>
  <w:footnote w:id="24">
    <w:p w14:paraId="2B95A610" w14:textId="76D049F3" w:rsidR="006F4748" w:rsidRPr="00954590" w:rsidRDefault="006F4748" w:rsidP="0059432F">
      <w:pPr>
        <w:pStyle w:val="FootnoteText"/>
        <w:ind w:left="567" w:hanging="567"/>
        <w:jc w:val="both"/>
        <w:rPr>
          <w:rFonts w:cs="Arial"/>
        </w:rPr>
      </w:pPr>
      <w:r w:rsidRPr="00954590">
        <w:rPr>
          <w:rStyle w:val="FootnoteReference"/>
          <w:rFonts w:cs="Arial"/>
        </w:rPr>
        <w:footnoteRef/>
      </w:r>
      <w:r w:rsidRPr="00954590">
        <w:rPr>
          <w:rFonts w:cs="Arial"/>
        </w:rPr>
        <w:t xml:space="preserve"> </w:t>
      </w:r>
      <w:r w:rsidR="0059432F">
        <w:rPr>
          <w:rFonts w:cs="Arial"/>
        </w:rPr>
        <w:tab/>
      </w:r>
      <w:r w:rsidRPr="00954590">
        <w:rPr>
          <w:rFonts w:cs="Arial"/>
        </w:rPr>
        <w:t>2001 (1) SA 1 (CC)</w:t>
      </w:r>
    </w:p>
  </w:footnote>
  <w:footnote w:id="25">
    <w:p w14:paraId="27107C7F" w14:textId="167A8D53" w:rsidR="006F4748" w:rsidRPr="0059432F" w:rsidRDefault="006F4748" w:rsidP="0059432F">
      <w:pPr>
        <w:pStyle w:val="FootnoteText"/>
        <w:ind w:left="567" w:hanging="567"/>
        <w:jc w:val="both"/>
        <w:rPr>
          <w:lang w:val="en-GB"/>
        </w:rPr>
      </w:pPr>
      <w:r w:rsidRPr="00954590">
        <w:rPr>
          <w:rStyle w:val="FootnoteReference"/>
          <w:rFonts w:cs="Arial"/>
        </w:rPr>
        <w:footnoteRef/>
      </w:r>
      <w:r w:rsidRPr="00954590">
        <w:rPr>
          <w:rFonts w:cs="Arial"/>
        </w:rPr>
        <w:t xml:space="preserve"> </w:t>
      </w:r>
      <w:r w:rsidR="0059432F">
        <w:rPr>
          <w:rFonts w:cs="Arial"/>
        </w:rPr>
        <w:tab/>
      </w:r>
      <w:r w:rsidR="00BC35F7">
        <w:rPr>
          <w:rFonts w:cs="Arial"/>
        </w:rPr>
        <w:t>2015 (5) SA 245 (CC).</w:t>
      </w:r>
    </w:p>
  </w:footnote>
  <w:footnote w:id="26">
    <w:p w14:paraId="6AEA1FC0" w14:textId="77777777" w:rsidR="0059432F" w:rsidRPr="00954590" w:rsidRDefault="0059432F" w:rsidP="0059432F">
      <w:pPr>
        <w:pStyle w:val="FootnoteText1"/>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See section 8(1) of PAJA above n 13.</w:t>
      </w:r>
    </w:p>
  </w:footnote>
  <w:footnote w:id="27">
    <w:p w14:paraId="32D1098E" w14:textId="03597632"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i/>
        </w:rPr>
        <w:tab/>
      </w:r>
      <w:r w:rsidRPr="00954590">
        <w:rPr>
          <w:rFonts w:ascii="Arial" w:hAnsi="Arial" w:cs="Arial"/>
          <w:i/>
        </w:rPr>
        <w:t>Livestock</w:t>
      </w:r>
      <w:r w:rsidRPr="00954590">
        <w:rPr>
          <w:rFonts w:ascii="Arial" w:hAnsi="Arial" w:cs="Arial"/>
        </w:rPr>
        <w:t xml:space="preserve"> above n 29 at 349G.</w:t>
      </w:r>
    </w:p>
  </w:footnote>
  <w:footnote w:id="28">
    <w:p w14:paraId="1868495B" w14:textId="38DB57C5" w:rsidR="0059432F" w:rsidRDefault="0059432F" w:rsidP="0059432F">
      <w:pPr>
        <w:pStyle w:val="FootnoteText1"/>
        <w:spacing w:after="0"/>
        <w:ind w:left="567" w:hanging="567"/>
      </w:pPr>
      <w:r w:rsidRPr="00954590">
        <w:rPr>
          <w:rStyle w:val="FootnoteReference"/>
          <w:rFonts w:ascii="Arial" w:hAnsi="Arial" w:cs="Arial"/>
        </w:rPr>
        <w:footnoteRef/>
      </w:r>
      <w:r w:rsidRPr="00954590">
        <w:rPr>
          <w:rFonts w:ascii="Arial" w:hAnsi="Arial" w:cs="Arial"/>
        </w:rPr>
        <w:t xml:space="preserve"> </w:t>
      </w:r>
      <w:r>
        <w:rPr>
          <w:rFonts w:ascii="Arial" w:hAnsi="Arial" w:cs="Arial"/>
          <w:i/>
        </w:rPr>
        <w:tab/>
      </w:r>
      <w:r w:rsidRPr="00954590">
        <w:rPr>
          <w:rFonts w:ascii="Arial" w:hAnsi="Arial" w:cs="Arial"/>
          <w:i/>
        </w:rPr>
        <w:t xml:space="preserve">Johannesburg City Council </w:t>
      </w:r>
      <w:r w:rsidRPr="00954590">
        <w:rPr>
          <w:rFonts w:ascii="Arial" w:hAnsi="Arial" w:cs="Arial"/>
        </w:rPr>
        <w:t>above n 30 at 76D-G.</w:t>
      </w:r>
    </w:p>
  </w:footnote>
  <w:footnote w:id="29">
    <w:p w14:paraId="73D2E772" w14:textId="51C2F562"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 xml:space="preserve">See generally </w:t>
      </w:r>
      <w:r w:rsidRPr="00954590">
        <w:rPr>
          <w:rFonts w:ascii="Arial" w:hAnsi="Arial" w:cs="Arial"/>
          <w:i/>
        </w:rPr>
        <w:t>Vukani Gaming Free State (Pty) Ltd v Chairperson of the Free State Gambling and Racing Board and Others</w:t>
      </w:r>
      <w:r w:rsidRPr="00954590">
        <w:rPr>
          <w:rFonts w:ascii="Arial" w:hAnsi="Arial" w:cs="Arial"/>
        </w:rPr>
        <w:t xml:space="preserve"> [2010] ZAFSHC 33 at paras 53-4</w:t>
      </w:r>
      <w:r w:rsidRPr="00954590">
        <w:rPr>
          <w:rFonts w:ascii="Arial" w:hAnsi="Arial" w:cs="Arial"/>
          <w:i/>
        </w:rPr>
        <w:t xml:space="preserve"> </w:t>
      </w:r>
      <w:r w:rsidRPr="00954590">
        <w:rPr>
          <w:rFonts w:ascii="Arial" w:hAnsi="Arial" w:cs="Arial"/>
        </w:rPr>
        <w:t xml:space="preserve">and </w:t>
      </w:r>
      <w:r w:rsidRPr="00954590">
        <w:rPr>
          <w:rFonts w:ascii="Arial" w:hAnsi="Arial" w:cs="Arial"/>
          <w:i/>
        </w:rPr>
        <w:t>Erf One Six Seven Orchards CC v Greater Johannesburg Metropolitan Council (Johannesburg Administration) and Another</w:t>
      </w:r>
      <w:r w:rsidRPr="00954590">
        <w:rPr>
          <w:rFonts w:ascii="Arial" w:hAnsi="Arial" w:cs="Arial"/>
        </w:rPr>
        <w:t xml:space="preserve"> [1998] ZASCA 91; 1999 (1) SA 104 (SCA) at para 109F.</w:t>
      </w:r>
    </w:p>
  </w:footnote>
  <w:footnote w:id="30">
    <w:p w14:paraId="7D05F3E0" w14:textId="3F4CA21E"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i/>
        </w:rPr>
        <w:tab/>
      </w:r>
      <w:r w:rsidRPr="00954590">
        <w:rPr>
          <w:rFonts w:ascii="Arial" w:hAnsi="Arial" w:cs="Arial"/>
          <w:i/>
        </w:rPr>
        <w:t>Gauteng Gambling Board</w:t>
      </w:r>
      <w:r w:rsidRPr="00954590">
        <w:rPr>
          <w:rFonts w:ascii="Arial" w:hAnsi="Arial" w:cs="Arial"/>
        </w:rPr>
        <w:t xml:space="preserve"> </w:t>
      </w:r>
      <w:r w:rsidRPr="00954590">
        <w:rPr>
          <w:rFonts w:ascii="Arial" w:hAnsi="Arial" w:cs="Arial"/>
          <w:i/>
        </w:rPr>
        <w:t>v Silver Star Development Limited</w:t>
      </w:r>
      <w:r w:rsidRPr="00954590">
        <w:rPr>
          <w:rFonts w:ascii="Arial" w:hAnsi="Arial" w:cs="Arial"/>
        </w:rPr>
        <w:t xml:space="preserve"> </w:t>
      </w:r>
      <w:r w:rsidRPr="00954590">
        <w:rPr>
          <w:rFonts w:ascii="Arial" w:hAnsi="Arial" w:cs="Arial"/>
          <w:i/>
        </w:rPr>
        <w:t>and Others</w:t>
      </w:r>
      <w:r w:rsidRPr="00954590">
        <w:rPr>
          <w:rFonts w:ascii="Arial" w:hAnsi="Arial" w:cs="Arial"/>
        </w:rPr>
        <w:t xml:space="preserve"> 2005 (4) SA 67 (SCA) (</w:t>
      </w:r>
      <w:r w:rsidRPr="00954590">
        <w:rPr>
          <w:rFonts w:ascii="Arial" w:hAnsi="Arial" w:cs="Arial"/>
          <w:i/>
        </w:rPr>
        <w:t>Gauteng Gambling Board</w:t>
      </w:r>
      <w:r w:rsidRPr="00954590">
        <w:rPr>
          <w:rFonts w:ascii="Arial" w:hAnsi="Arial" w:cs="Arial"/>
        </w:rPr>
        <w:t>) at para 39, where the Court held that—</w:t>
      </w:r>
    </w:p>
    <w:p w14:paraId="6869D521" w14:textId="582A37F5" w:rsidR="0059432F" w:rsidRPr="00954590" w:rsidRDefault="0059432F" w:rsidP="0059432F">
      <w:pPr>
        <w:pStyle w:val="QUOTEINFOOTNOTE"/>
        <w:spacing w:after="0"/>
        <w:ind w:left="567" w:right="-25" w:hanging="567"/>
        <w:rPr>
          <w:rFonts w:ascii="Arial" w:hAnsi="Arial" w:cs="Arial"/>
        </w:rPr>
      </w:pPr>
      <w:r>
        <w:rPr>
          <w:rFonts w:ascii="Arial" w:hAnsi="Arial" w:cs="Arial"/>
        </w:rPr>
        <w:tab/>
      </w:r>
      <w:r w:rsidRPr="00954590">
        <w:rPr>
          <w:rFonts w:ascii="Arial" w:hAnsi="Arial" w:cs="Arial"/>
        </w:rPr>
        <w:t>“the court </w:t>
      </w:r>
      <w:r w:rsidRPr="00954590">
        <w:rPr>
          <w:rFonts w:ascii="Arial" w:hAnsi="Arial" w:cs="Arial"/>
          <w:i/>
          <w:iCs/>
        </w:rPr>
        <w:t>a quo </w:t>
      </w:r>
      <w:r w:rsidRPr="00954590">
        <w:rPr>
          <w:rFonts w:ascii="Arial" w:hAnsi="Arial" w:cs="Arial"/>
        </w:rPr>
        <w:t>was not merely in as good a position as the Board to reach a decision but</w:t>
      </w:r>
      <w:r>
        <w:rPr>
          <w:rFonts w:ascii="Arial" w:hAnsi="Arial" w:cs="Arial"/>
        </w:rPr>
        <w:t xml:space="preserve"> </w:t>
      </w:r>
      <w:r w:rsidRPr="00954590">
        <w:rPr>
          <w:rFonts w:ascii="Arial" w:hAnsi="Arial" w:cs="Arial"/>
        </w:rPr>
        <w:t>was faced with the inevitability of a particular outcome if the Board were once again to be called upon fairly to decide the matter.”</w:t>
      </w:r>
    </w:p>
  </w:footnote>
  <w:footnote w:id="31">
    <w:p w14:paraId="3F223D76" w14:textId="111D09D0"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Id at para 29.</w:t>
      </w:r>
    </w:p>
  </w:footnote>
  <w:footnote w:id="32">
    <w:p w14:paraId="1F9CB5FB" w14:textId="4946E8F9"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 xml:space="preserve">Id at para 28.  See also </w:t>
      </w:r>
      <w:r w:rsidRPr="00954590">
        <w:rPr>
          <w:rFonts w:ascii="Arial" w:hAnsi="Arial" w:cs="Arial"/>
          <w:i/>
        </w:rPr>
        <w:t xml:space="preserve">Livestock </w:t>
      </w:r>
      <w:r w:rsidRPr="00954590">
        <w:rPr>
          <w:rFonts w:ascii="Arial" w:hAnsi="Arial" w:cs="Arial"/>
        </w:rPr>
        <w:t xml:space="preserve">above </w:t>
      </w:r>
      <w:r w:rsidR="00BC35F7">
        <w:rPr>
          <w:rFonts w:ascii="Arial" w:hAnsi="Arial" w:cs="Arial"/>
        </w:rPr>
        <w:t>at</w:t>
      </w:r>
      <w:r w:rsidRPr="00954590">
        <w:rPr>
          <w:rFonts w:ascii="Arial" w:hAnsi="Arial" w:cs="Arial"/>
        </w:rPr>
        <w:t xml:space="preserve"> 29 at 349G.</w:t>
      </w:r>
    </w:p>
  </w:footnote>
  <w:footnote w:id="33">
    <w:p w14:paraId="59FE170E" w14:textId="77DAF529" w:rsidR="0059432F" w:rsidRDefault="0059432F" w:rsidP="0059432F">
      <w:pPr>
        <w:pStyle w:val="FootnoteText1"/>
        <w:spacing w:after="0"/>
        <w:ind w:left="567" w:hanging="567"/>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i/>
        </w:rPr>
        <w:t>Gauteng Gambling Board</w:t>
      </w:r>
      <w:r w:rsidRPr="00954590">
        <w:rPr>
          <w:rFonts w:ascii="Arial" w:hAnsi="Arial" w:cs="Arial"/>
        </w:rPr>
        <w:t xml:space="preserve"> above n 34 at paras 39 and 40.</w:t>
      </w:r>
    </w:p>
  </w:footnote>
  <w:footnote w:id="34">
    <w:p w14:paraId="03C748C2" w14:textId="25FC2DBE"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Id at para 40.</w:t>
      </w:r>
    </w:p>
  </w:footnote>
  <w:footnote w:id="35">
    <w:p w14:paraId="0F3EF7B2" w14:textId="567391A3" w:rsidR="0059432F" w:rsidRDefault="0059432F" w:rsidP="0059432F">
      <w:pPr>
        <w:pStyle w:val="FootnoteText1"/>
        <w:spacing w:after="0"/>
        <w:ind w:left="567" w:hanging="567"/>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See section 8(1) of PAJA above n 13.</w:t>
      </w:r>
    </w:p>
  </w:footnote>
  <w:footnote w:id="36">
    <w:p w14:paraId="7DB12A7F" w14:textId="32D1A411" w:rsidR="0059432F" w:rsidRPr="00954590" w:rsidRDefault="0059432F" w:rsidP="0059432F">
      <w:pPr>
        <w:pStyle w:val="FootnoteText1"/>
        <w:tabs>
          <w:tab w:val="left" w:pos="142"/>
        </w:tabs>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 xml:space="preserve">  </w:t>
      </w:r>
      <w:r>
        <w:rPr>
          <w:rFonts w:ascii="Arial" w:hAnsi="Arial" w:cs="Arial"/>
        </w:rPr>
        <w:tab/>
      </w:r>
      <w:r w:rsidRPr="00954590">
        <w:rPr>
          <w:rFonts w:ascii="Arial" w:hAnsi="Arial" w:cs="Arial"/>
          <w:i/>
        </w:rPr>
        <w:t xml:space="preserve">Bato Star </w:t>
      </w:r>
      <w:r w:rsidRPr="00954590">
        <w:rPr>
          <w:rFonts w:ascii="Arial" w:hAnsi="Arial" w:cs="Arial"/>
        </w:rPr>
        <w:t>above n 25</w:t>
      </w:r>
      <w:r w:rsidRPr="00954590">
        <w:rPr>
          <w:rFonts w:ascii="Arial" w:hAnsi="Arial" w:cs="Arial"/>
          <w:i/>
        </w:rPr>
        <w:t xml:space="preserve"> </w:t>
      </w:r>
      <w:r w:rsidRPr="00954590">
        <w:rPr>
          <w:rFonts w:ascii="Arial" w:hAnsi="Arial" w:cs="Arial"/>
        </w:rPr>
        <w:t xml:space="preserve">at para 46.  See Hoexter “The Future of Judicial Review in South African Administrative Law” (2000) 117 </w:t>
      </w:r>
      <w:r w:rsidRPr="00954590">
        <w:rPr>
          <w:rFonts w:ascii="Arial" w:hAnsi="Arial" w:cs="Arial"/>
          <w:i/>
          <w:iCs/>
        </w:rPr>
        <w:t>SALJ</w:t>
      </w:r>
      <w:r w:rsidRPr="00954590">
        <w:rPr>
          <w:rFonts w:ascii="Arial" w:hAnsi="Arial" w:cs="Arial"/>
        </w:rPr>
        <w:t xml:space="preserve"> 484 at 501-2.</w:t>
      </w:r>
    </w:p>
  </w:footnote>
  <w:footnote w:id="37">
    <w:p w14:paraId="10B84B3E" w14:textId="3F7009CF" w:rsidR="0059432F" w:rsidRPr="00954590" w:rsidRDefault="0059432F" w:rsidP="0059432F">
      <w:pPr>
        <w:pStyle w:val="FootnoteText1"/>
        <w:spacing w:after="0"/>
        <w:ind w:left="567" w:hanging="567"/>
        <w:rPr>
          <w:rFonts w:ascii="Arial" w:hAnsi="Arial" w:cs="Arial"/>
        </w:rPr>
      </w:pPr>
      <w:r>
        <w:rPr>
          <w:rStyle w:val="FootnoteReference"/>
        </w:rPr>
        <w:footnoteRef/>
      </w:r>
      <w:r>
        <w:t xml:space="preserve"> </w:t>
      </w:r>
      <w:r>
        <w:rPr>
          <w:rFonts w:ascii="Arial" w:hAnsi="Arial" w:cs="Arial"/>
          <w:i/>
        </w:rPr>
        <w:tab/>
      </w:r>
      <w:r w:rsidRPr="00954590">
        <w:rPr>
          <w:rFonts w:ascii="Arial" w:hAnsi="Arial" w:cs="Arial"/>
          <w:i/>
        </w:rPr>
        <w:t>Allpay Consolidated Investment Holdings (Pty) Ltd and Others v Chief Executive Officer, South African Social Security Agency and Others</w:t>
      </w:r>
      <w:r w:rsidRPr="00954590">
        <w:rPr>
          <w:rFonts w:ascii="Arial" w:hAnsi="Arial" w:cs="Arial"/>
        </w:rPr>
        <w:t xml:space="preserve"> [2014] ZACC 12; 2014 (4) SA 179 (CC); 2014 (6) BCLR 641 (CC) at paras 42 and 45.</w:t>
      </w:r>
    </w:p>
  </w:footnote>
  <w:footnote w:id="38">
    <w:p w14:paraId="092B3BCE" w14:textId="4835316A"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See [36] to [39].</w:t>
      </w:r>
    </w:p>
  </w:footnote>
  <w:footnote w:id="39">
    <w:p w14:paraId="5AA1FCBD" w14:textId="40291892" w:rsidR="0059432F" w:rsidRPr="00954590" w:rsidRDefault="0059432F" w:rsidP="0059432F">
      <w:pPr>
        <w:pStyle w:val="FootnoteText1"/>
        <w:tabs>
          <w:tab w:val="left" w:pos="284"/>
        </w:tabs>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Pr>
          <w:rFonts w:ascii="Arial" w:hAnsi="Arial" w:cs="Arial"/>
        </w:rPr>
        <w:tab/>
      </w:r>
      <w:r w:rsidRPr="00954590">
        <w:rPr>
          <w:rFonts w:ascii="Arial" w:hAnsi="Arial" w:cs="Arial"/>
        </w:rPr>
        <w:t xml:space="preserve">See </w:t>
      </w:r>
      <w:r w:rsidRPr="00954590">
        <w:rPr>
          <w:rFonts w:ascii="Arial" w:hAnsi="Arial" w:cs="Arial"/>
          <w:i/>
        </w:rPr>
        <w:t xml:space="preserve">Radjabu v Chairperson of the Standing Committee for Refugee Affairs and Others </w:t>
      </w:r>
      <w:r w:rsidRPr="00954590">
        <w:rPr>
          <w:rFonts w:ascii="Arial" w:hAnsi="Arial" w:cs="Arial"/>
        </w:rPr>
        <w:t xml:space="preserve">[2014] ZAWCHC 134; [2015] 1 All SA 100 (WCC) at paras 33-9; </w:t>
      </w:r>
      <w:r w:rsidRPr="00954590">
        <w:rPr>
          <w:rFonts w:ascii="Arial" w:hAnsi="Arial" w:cs="Arial"/>
          <w:i/>
        </w:rPr>
        <w:t>Media 24 Holdings (Pty) Ltd v Chairman of the Appeals Board of the Press Council of South Africa and Another</w:t>
      </w:r>
      <w:r w:rsidRPr="00954590">
        <w:rPr>
          <w:rFonts w:ascii="Arial" w:hAnsi="Arial" w:cs="Arial"/>
        </w:rPr>
        <w:t xml:space="preserve"> [2014] ZAGPJHC 194 at para 25; </w:t>
      </w:r>
      <w:r w:rsidRPr="00954590">
        <w:rPr>
          <w:rFonts w:ascii="Arial" w:hAnsi="Arial" w:cs="Arial"/>
          <w:i/>
        </w:rPr>
        <w:t>Nucon Roads and Civils (Pty) Ltd v MEC for Department of Public Works, Roads and Transport: N.W. Province and Others</w:t>
      </w:r>
      <w:r w:rsidRPr="007F165F">
        <w:t xml:space="preserve"> [2014] ZANWHC 19</w:t>
      </w:r>
      <w:r>
        <w:t xml:space="preserve"> at paras 32, 41 and 44; and </w:t>
      </w:r>
      <w:r w:rsidRPr="004332B0">
        <w:rPr>
          <w:i/>
        </w:rPr>
        <w:t xml:space="preserve">Reizis NO v </w:t>
      </w:r>
      <w:r w:rsidRPr="00954590">
        <w:rPr>
          <w:rFonts w:ascii="Arial" w:hAnsi="Arial" w:cs="Arial"/>
          <w:i/>
        </w:rPr>
        <w:t>MEC for the Department of Sport, Arts, Culture and Recreation and Others</w:t>
      </w:r>
      <w:r w:rsidRPr="00954590">
        <w:rPr>
          <w:rFonts w:ascii="Arial" w:hAnsi="Arial" w:cs="Arial"/>
        </w:rPr>
        <w:t xml:space="preserve"> [2013] ZAFSHC 20 at paras 33</w:t>
      </w:r>
      <w:r w:rsidRPr="00954590">
        <w:rPr>
          <w:rFonts w:ascii="Arial" w:hAnsi="Arial" w:cs="Arial"/>
        </w:rPr>
        <w:noBreakHyphen/>
        <w:t>4.</w:t>
      </w:r>
    </w:p>
  </w:footnote>
  <w:footnote w:id="40">
    <w:p w14:paraId="1369D3A0" w14:textId="03A0737B" w:rsidR="0059432F" w:rsidRDefault="0059432F" w:rsidP="0059432F">
      <w:pPr>
        <w:pStyle w:val="FootnoteText1"/>
        <w:spacing w:after="0"/>
        <w:ind w:left="567" w:hanging="567"/>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It should be emphasised that the exceptional circumstances enquiry only arises in the context of the appropriate remedy to be granted as per section 8(1) of PAJA.  Thus, it is only after the unlawfulness of the award has been established pursuant to section 6 of PAJA that the remedy, and therefore the exceptional circumstances enquiry, arises.</w:t>
      </w:r>
    </w:p>
  </w:footnote>
  <w:footnote w:id="41">
    <w:p w14:paraId="5DE8695B" w14:textId="62D8E8F6"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 xml:space="preserve">See </w:t>
      </w:r>
      <w:r w:rsidRPr="00954590">
        <w:rPr>
          <w:rFonts w:ascii="Arial" w:hAnsi="Arial" w:cs="Arial"/>
          <w:i/>
        </w:rPr>
        <w:t xml:space="preserve">Theron en Andere v Ring van Wellington van die NG Sendingkerk in Suid-Afrika en Andere </w:t>
      </w:r>
      <w:r w:rsidRPr="00954590">
        <w:rPr>
          <w:rFonts w:ascii="Arial" w:hAnsi="Arial" w:cs="Arial"/>
        </w:rPr>
        <w:t xml:space="preserve">1976 (2) SA 1 (A) and </w:t>
      </w:r>
      <w:r w:rsidRPr="00954590">
        <w:rPr>
          <w:rFonts w:ascii="Arial" w:hAnsi="Arial" w:cs="Arial"/>
          <w:i/>
        </w:rPr>
        <w:t>Hutchinson v Grobler NO</w:t>
      </w:r>
      <w:r w:rsidRPr="00954590">
        <w:rPr>
          <w:rFonts w:ascii="Arial" w:hAnsi="Arial" w:cs="Arial"/>
        </w:rPr>
        <w:t xml:space="preserve"> </w:t>
      </w:r>
      <w:r w:rsidRPr="00954590">
        <w:rPr>
          <w:rFonts w:ascii="Arial" w:hAnsi="Arial" w:cs="Arial"/>
          <w:i/>
        </w:rPr>
        <w:t xml:space="preserve">and Others </w:t>
      </w:r>
      <w:r w:rsidRPr="00954590">
        <w:rPr>
          <w:rFonts w:ascii="Arial" w:hAnsi="Arial" w:cs="Arial"/>
        </w:rPr>
        <w:t>1990 (2) SA 117 (T) at 157B-E.</w:t>
      </w:r>
    </w:p>
  </w:footnote>
  <w:footnote w:id="42">
    <w:p w14:paraId="381EA5CB" w14:textId="507347E0" w:rsidR="0059432F" w:rsidRDefault="0059432F" w:rsidP="0059432F">
      <w:pPr>
        <w:pStyle w:val="FootnoteText1"/>
        <w:spacing w:after="0"/>
        <w:ind w:left="567" w:hanging="567"/>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i/>
        </w:rPr>
        <w:t>Johannesburg City Council</w:t>
      </w:r>
      <w:r w:rsidRPr="00954590">
        <w:rPr>
          <w:rFonts w:ascii="Arial" w:hAnsi="Arial" w:cs="Arial"/>
        </w:rPr>
        <w:t xml:space="preserve"> above n 30 at 76D-H.</w:t>
      </w:r>
    </w:p>
  </w:footnote>
  <w:footnote w:id="43">
    <w:p w14:paraId="0ACB3F81" w14:textId="71993B62"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 xml:space="preserve">See </w:t>
      </w:r>
      <w:r w:rsidRPr="00954590">
        <w:rPr>
          <w:rFonts w:ascii="Arial" w:hAnsi="Arial" w:cs="Arial"/>
          <w:i/>
        </w:rPr>
        <w:t xml:space="preserve">Bato Star </w:t>
      </w:r>
      <w:r w:rsidRPr="00954590">
        <w:rPr>
          <w:rFonts w:ascii="Arial" w:hAnsi="Arial" w:cs="Arial"/>
        </w:rPr>
        <w:t>above n 25 at para 48.</w:t>
      </w:r>
    </w:p>
  </w:footnote>
  <w:footnote w:id="44">
    <w:p w14:paraId="324FFAC7" w14:textId="663F1B54" w:rsidR="0059432F" w:rsidRPr="00954590" w:rsidRDefault="0059432F" w:rsidP="0059432F">
      <w:pPr>
        <w:pStyle w:val="FootnoteText1"/>
        <w:spacing w:after="0"/>
        <w:ind w:left="567" w:hanging="567"/>
        <w:rPr>
          <w:rFonts w:ascii="Arial" w:hAnsi="Arial" w:cs="Arial"/>
        </w:rPr>
      </w:pPr>
      <w:r w:rsidRPr="00954590">
        <w:rPr>
          <w:rStyle w:val="FootnoteReference"/>
          <w:rFonts w:ascii="Arial" w:hAnsi="Arial" w:cs="Arial"/>
        </w:rPr>
        <w:footnoteRef/>
      </w:r>
      <w:r w:rsidRPr="00954590">
        <w:rPr>
          <w:rFonts w:ascii="Arial" w:hAnsi="Arial" w:cs="Arial"/>
        </w:rPr>
        <w:t xml:space="preserve"> </w:t>
      </w:r>
      <w:r>
        <w:rPr>
          <w:rFonts w:ascii="Arial" w:hAnsi="Arial" w:cs="Arial"/>
        </w:rPr>
        <w:tab/>
      </w:r>
      <w:r w:rsidRPr="00954590">
        <w:rPr>
          <w:rFonts w:ascii="Arial" w:hAnsi="Arial" w:cs="Arial"/>
        </w:rPr>
        <w:t xml:space="preserve">See </w:t>
      </w:r>
      <w:r w:rsidRPr="00954590">
        <w:rPr>
          <w:rFonts w:ascii="Arial" w:hAnsi="Arial" w:cs="Arial"/>
          <w:i/>
        </w:rPr>
        <w:t>Billiton Aluminium SA Ltd t/a Hillside Aluminium v Khanyile and Others</w:t>
      </w:r>
      <w:r w:rsidRPr="00954590">
        <w:rPr>
          <w:rFonts w:ascii="Arial" w:hAnsi="Arial" w:cs="Arial"/>
        </w:rPr>
        <w:t xml:space="preserve"> [2010] ZACC 3; 2010 (5) BCLR 422 (CC) at para 35 where it was held:</w:t>
      </w:r>
    </w:p>
    <w:p w14:paraId="41545FA3" w14:textId="41DE241A" w:rsidR="0059432F" w:rsidRPr="00954590" w:rsidRDefault="0059432F" w:rsidP="0059432F">
      <w:pPr>
        <w:pStyle w:val="QUOTEINFOOTNOTE"/>
        <w:spacing w:after="0"/>
        <w:ind w:left="567" w:right="-25" w:hanging="567"/>
        <w:rPr>
          <w:rFonts w:ascii="Arial" w:hAnsi="Arial" w:cs="Arial"/>
        </w:rPr>
      </w:pPr>
      <w:r>
        <w:rPr>
          <w:rFonts w:ascii="Arial" w:hAnsi="Arial" w:cs="Arial"/>
        </w:rPr>
        <w:tab/>
        <w:t>“</w:t>
      </w:r>
      <w:r w:rsidRPr="00954590">
        <w:rPr>
          <w:rFonts w:ascii="Arial" w:hAnsi="Arial" w:cs="Arial"/>
        </w:rPr>
        <w:t>In general a court of appeal when deciding whether the judgment appealed from is right or wrong, will do so according to the facts in existence at the time it was given and not according to new circumstances which came into existence afterwards.”  (Footnote omitted.)</w:t>
      </w:r>
    </w:p>
  </w:footnote>
  <w:footnote w:id="45">
    <w:p w14:paraId="5CE5C4A8" w14:textId="3FA0FEA4" w:rsidR="0059432F" w:rsidRDefault="0059432F" w:rsidP="0059432F">
      <w:pPr>
        <w:pStyle w:val="FootnoteText1"/>
        <w:spacing w:after="0"/>
        <w:ind w:left="567" w:hanging="567"/>
      </w:pPr>
      <w:r w:rsidRPr="00954590">
        <w:rPr>
          <w:rStyle w:val="FootnoteReference"/>
          <w:rFonts w:ascii="Arial" w:hAnsi="Arial" w:cs="Arial"/>
        </w:rPr>
        <w:footnoteRef/>
      </w:r>
      <w:r w:rsidRPr="00954590">
        <w:rPr>
          <w:rFonts w:ascii="Arial" w:hAnsi="Arial" w:cs="Arial"/>
        </w:rPr>
        <w:t xml:space="preserve"> </w:t>
      </w:r>
      <w:r>
        <w:rPr>
          <w:rFonts w:ascii="Arial" w:hAnsi="Arial" w:cs="Arial"/>
          <w:color w:val="242121"/>
          <w:shd w:val="clear" w:color="auto" w:fill="FFFFFF"/>
        </w:rPr>
        <w:tab/>
      </w:r>
      <w:r w:rsidRPr="00954590">
        <w:rPr>
          <w:rFonts w:ascii="Arial" w:hAnsi="Arial" w:cs="Arial"/>
          <w:color w:val="242121"/>
          <w:shd w:val="clear" w:color="auto" w:fill="FFFFFF"/>
        </w:rPr>
        <w:t xml:space="preserve">See </w:t>
      </w:r>
      <w:r w:rsidRPr="00954590">
        <w:rPr>
          <w:rFonts w:ascii="Arial" w:hAnsi="Arial" w:cs="Arial"/>
          <w:i/>
          <w:color w:val="242121"/>
          <w:shd w:val="clear" w:color="auto" w:fill="FFFFFF"/>
        </w:rPr>
        <w:t xml:space="preserve">Rail Commuters Action Group and Others v Transnet Ltd t/a Metrorail and Others </w:t>
      </w:r>
      <w:r w:rsidRPr="00954590">
        <w:rPr>
          <w:rFonts w:ascii="Arial" w:hAnsi="Arial" w:cs="Arial"/>
          <w:color w:val="242121"/>
          <w:shd w:val="clear" w:color="auto" w:fill="FFFFFF"/>
        </w:rPr>
        <w:t>[2004] ZACC 20; 2005 (2) SA 359 (CC); 2005 (4) BCLR 301 (CC) at paras 42-3.</w:t>
      </w:r>
    </w:p>
  </w:footnote>
  <w:footnote w:id="46">
    <w:p w14:paraId="31902468" w14:textId="525F9942" w:rsidR="002764E4" w:rsidRPr="002764E4" w:rsidRDefault="002764E4" w:rsidP="00722FE3">
      <w:pPr>
        <w:pStyle w:val="FootnoteText"/>
        <w:tabs>
          <w:tab w:val="left" w:pos="567"/>
        </w:tabs>
        <w:ind w:left="567" w:hanging="567"/>
        <w:jc w:val="both"/>
        <w:rPr>
          <w:lang w:val="en-GB"/>
        </w:rPr>
      </w:pPr>
      <w:r>
        <w:rPr>
          <w:rStyle w:val="FootnoteReference"/>
        </w:rPr>
        <w:footnoteRef/>
      </w:r>
      <w:r>
        <w:t xml:space="preserve"> </w:t>
      </w:r>
      <w:r>
        <w:rPr>
          <w:lang w:val="en-GB"/>
        </w:rPr>
        <w:tab/>
        <w:t>As enunciated in the matter of Plascon-Evans Paints v Van Riebeeck Paints (Pty) Ltd. 1984(3) SA 623 (A)</w:t>
      </w:r>
      <w:r w:rsidR="00722FE3">
        <w:rPr>
          <w:lang w:val="en-GB"/>
        </w:rPr>
        <w:t>.</w:t>
      </w:r>
    </w:p>
  </w:footnote>
  <w:footnote w:id="47">
    <w:p w14:paraId="11D5C0E7" w14:textId="543E6725" w:rsidR="00484CB4" w:rsidRPr="00484CB4" w:rsidRDefault="00484CB4" w:rsidP="00722FE3">
      <w:pPr>
        <w:pStyle w:val="FootnoteText"/>
        <w:ind w:left="567" w:hanging="567"/>
        <w:jc w:val="both"/>
        <w:rPr>
          <w:lang w:val="en-GB"/>
        </w:rPr>
      </w:pPr>
      <w:r>
        <w:rPr>
          <w:rStyle w:val="FootnoteReference"/>
        </w:rPr>
        <w:footnoteRef/>
      </w:r>
      <w:r>
        <w:t xml:space="preserve"> </w:t>
      </w:r>
      <w:r>
        <w:rPr>
          <w:lang w:val="en-GB"/>
        </w:rPr>
        <w:tab/>
        <w:t>Biowatch Trust v Registrar Genetic Resources and Others 2009 (1) BCLR 1014 (CC)</w:t>
      </w:r>
      <w:r w:rsidR="00722FE3">
        <w:rPr>
          <w:lang w:val="en-GB"/>
        </w:rPr>
        <w:t xml:space="preserve">; See section 8(1)(f) of PAJA; administrative Law </w:t>
      </w:r>
      <w:r w:rsidR="00722FE3" w:rsidRPr="00722FE3">
        <w:rPr>
          <w:i/>
          <w:iCs/>
          <w:lang w:val="en-GB"/>
        </w:rPr>
        <w:t>supra</w:t>
      </w:r>
      <w:r w:rsidR="00722FE3">
        <w:rPr>
          <w:lang w:val="en-GB"/>
        </w:rPr>
        <w:t xml:space="preserve"> at p565 read with footnote </w:t>
      </w:r>
      <w:r w:rsidR="00794A4A">
        <w:rPr>
          <w:lang w:val="en-GB"/>
        </w:rPr>
        <w:t>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1">
    <w:nsid w:val="084B6519"/>
    <w:multiLevelType w:val="multilevel"/>
    <w:tmpl w:val="C8842B28"/>
    <w:numStyleLink w:val="Style1"/>
  </w:abstractNum>
  <w:abstractNum w:abstractNumId="2">
    <w:nsid w:val="095A7A26"/>
    <w:multiLevelType w:val="hybridMultilevel"/>
    <w:tmpl w:val="94761F34"/>
    <w:lvl w:ilvl="0" w:tplc="5502B60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6"/>
        <w:szCs w:val="26"/>
        <w:u w:val="none"/>
        <w:vertAlign w:val="baseline"/>
      </w:rPr>
    </w:lvl>
    <w:lvl w:ilvl="1" w:tplc="E72E60BC">
      <w:start w:val="1"/>
      <w:numFmt w:val="decimal"/>
      <w:lvlText w:val="(%2)"/>
      <w:lvlJc w:val="left"/>
      <w:pPr>
        <w:ind w:left="1440" w:hanging="360"/>
      </w:pPr>
      <w:rPr>
        <w:rFonts w:cs="Times New Roman" w:hint="default"/>
      </w:rPr>
    </w:lvl>
    <w:lvl w:ilvl="2" w:tplc="623E6E4A">
      <w:start w:val="1"/>
      <w:numFmt w:val="decimal"/>
      <w:lvlText w:val="%3."/>
      <w:lvlJc w:val="left"/>
      <w:pPr>
        <w:ind w:left="2340" w:hanging="360"/>
      </w:pPr>
      <w:rPr>
        <w:rFonts w:cs="Times New Roman" w:hint="default"/>
        <w:i/>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4">
    <w:nsid w:val="21A45A17"/>
    <w:multiLevelType w:val="multilevel"/>
    <w:tmpl w:val="106AF02E"/>
    <w:name w:val="WP List 1322"/>
    <w:lvl w:ilvl="0">
      <w:start w:val="1"/>
      <w:numFmt w:val="decimal"/>
      <w:lvlText w:val="%1."/>
      <w:lvlJc w:val="left"/>
      <w:pPr>
        <w:ind w:left="1134" w:hanging="1134"/>
      </w:pPr>
      <w:rPr>
        <w:rFonts w:hint="default"/>
        <w:i w:val="0"/>
        <w:i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4536" w:hanging="1134"/>
      </w:pPr>
      <w:rPr>
        <w:rFonts w:hint="default"/>
      </w:rPr>
    </w:lvl>
    <w:lvl w:ilvl="4">
      <w:start w:val="1"/>
      <w:numFmt w:val="decimal"/>
      <w:lvlText w:val="%1.%2.%3.%4.%5."/>
      <w:lvlJc w:val="left"/>
      <w:pPr>
        <w:ind w:left="5670" w:hanging="1134"/>
      </w:pPr>
      <w:rPr>
        <w:rFonts w:hint="default"/>
      </w:rPr>
    </w:lvl>
    <w:lvl w:ilvl="5">
      <w:start w:val="1"/>
      <w:numFmt w:val="decimal"/>
      <w:lvlText w:val="%1.%2.%3.%4.%5.%6."/>
      <w:lvlJc w:val="left"/>
      <w:pPr>
        <w:ind w:left="6804" w:hanging="1134"/>
      </w:pPr>
      <w:rPr>
        <w:rFonts w:hint="default"/>
      </w:rPr>
    </w:lvl>
    <w:lvl w:ilvl="6">
      <w:start w:val="1"/>
      <w:numFmt w:val="decimal"/>
      <w:lvlText w:val="%1.%2.%3.%4.%5.%6.%7."/>
      <w:lvlJc w:val="left"/>
      <w:pPr>
        <w:ind w:left="7938" w:hanging="1134"/>
      </w:pPr>
      <w:rPr>
        <w:rFonts w:hint="default"/>
      </w:rPr>
    </w:lvl>
    <w:lvl w:ilvl="7">
      <w:start w:val="1"/>
      <w:numFmt w:val="decimal"/>
      <w:lvlText w:val="%1.%2.%3.%4.%5.%6.%7.%8."/>
      <w:lvlJc w:val="left"/>
      <w:pPr>
        <w:ind w:left="9072" w:hanging="1134"/>
      </w:pPr>
      <w:rPr>
        <w:rFonts w:hint="default"/>
      </w:rPr>
    </w:lvl>
    <w:lvl w:ilvl="8">
      <w:start w:val="1"/>
      <w:numFmt w:val="decimal"/>
      <w:lvlText w:val="%1.%2.%3.%4.%5.%6.%7.%8.%9."/>
      <w:lvlJc w:val="left"/>
      <w:pPr>
        <w:ind w:left="10206" w:hanging="1134"/>
      </w:pPr>
      <w:rPr>
        <w:rFonts w:hint="default"/>
      </w:rPr>
    </w:lvl>
  </w:abstractNum>
  <w:abstractNum w:abstractNumId="5">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6">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7">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8">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9">
    <w:nsid w:val="3C443352"/>
    <w:multiLevelType w:val="multilevel"/>
    <w:tmpl w:val="C8842B28"/>
    <w:styleLink w:val="Style1"/>
    <w:lvl w:ilvl="0">
      <w:start w:val="1"/>
      <w:numFmt w:val="decimal"/>
      <w:pStyle w:val="1"/>
      <w:lvlText w:val="%1"/>
      <w:lvlJc w:val="center"/>
      <w:pPr>
        <w:tabs>
          <w:tab w:val="num" w:pos="851"/>
        </w:tabs>
        <w:ind w:left="851" w:hanging="851"/>
      </w:pPr>
      <w:rPr>
        <w:rFonts w:hint="default"/>
      </w:rPr>
    </w:lvl>
    <w:lvl w:ilvl="1">
      <w:start w:val="1"/>
      <w:numFmt w:val="decimal"/>
      <w:pStyle w:val="11"/>
      <w:lvlText w:val="%1.%2"/>
      <w:lvlJc w:val="left"/>
      <w:pPr>
        <w:tabs>
          <w:tab w:val="num" w:pos="1559"/>
        </w:tabs>
        <w:ind w:left="1559" w:hanging="708"/>
      </w:pPr>
      <w:rPr>
        <w:rFonts w:hint="default"/>
      </w:rPr>
    </w:lvl>
    <w:lvl w:ilvl="2">
      <w:start w:val="1"/>
      <w:numFmt w:val="decimal"/>
      <w:pStyle w:val="111"/>
      <w:lvlText w:val="%1.%2.%3"/>
      <w:lvlJc w:val="left"/>
      <w:pPr>
        <w:tabs>
          <w:tab w:val="num" w:pos="2552"/>
        </w:tabs>
        <w:ind w:left="2552" w:hanging="993"/>
      </w:pPr>
      <w:rPr>
        <w:rFonts w:hint="default"/>
      </w:rPr>
    </w:lvl>
    <w:lvl w:ilvl="3">
      <w:start w:val="1"/>
      <w:numFmt w:val="decimal"/>
      <w:pStyle w:val="1111"/>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10">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1">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12">
    <w:nsid w:val="4B732DEA"/>
    <w:multiLevelType w:val="hybridMultilevel"/>
    <w:tmpl w:val="74A096B2"/>
    <w:lvl w:ilvl="0" w:tplc="7D5A89E4">
      <w:start w:val="1"/>
      <w:numFmt w:val="lowerLetter"/>
      <w:lvlText w:val="(%1)"/>
      <w:lvlJc w:val="left"/>
      <w:pPr>
        <w:ind w:left="2345" w:hanging="36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13">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14">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5">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CF14FB9"/>
    <w:multiLevelType w:val="hybridMultilevel"/>
    <w:tmpl w:val="324629F0"/>
    <w:lvl w:ilvl="0" w:tplc="D69E1C9E">
      <w:start w:val="1"/>
      <w:numFmt w:val="lowerRoman"/>
      <w:lvlText w:val="(%1)"/>
      <w:lvlJc w:val="left"/>
      <w:pPr>
        <w:ind w:left="3065" w:hanging="720"/>
      </w:pPr>
      <w:rPr>
        <w:rFonts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17">
    <w:nsid w:val="5D7E052C"/>
    <w:multiLevelType w:val="multilevel"/>
    <w:tmpl w:val="085ACB48"/>
    <w:lvl w:ilvl="0">
      <w:start w:val="1"/>
      <w:numFmt w:val="decimal"/>
      <w:lvlText w:val="%1."/>
      <w:lvlJc w:val="left"/>
      <w:pPr>
        <w:tabs>
          <w:tab w:val="num" w:pos="851"/>
        </w:tabs>
        <w:ind w:left="851" w:hanging="851"/>
      </w:pPr>
      <w:rPr>
        <w:rFonts w:hint="default"/>
        <w:i w:val="0"/>
        <w:iCs w:val="0"/>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8">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9">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20">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21">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22">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23">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25">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26">
    <w:nsid w:val="76FD2C5A"/>
    <w:multiLevelType w:val="hybridMultilevel"/>
    <w:tmpl w:val="B09CC5BA"/>
    <w:lvl w:ilvl="0" w:tplc="16DEC658">
      <w:start w:val="1"/>
      <w:numFmt w:val="lowerRoman"/>
      <w:lvlText w:val="(%1)"/>
      <w:lvlJc w:val="left"/>
      <w:pPr>
        <w:ind w:left="3065" w:hanging="720"/>
      </w:pPr>
      <w:rPr>
        <w:rFonts w:hint="default"/>
      </w:rPr>
    </w:lvl>
    <w:lvl w:ilvl="1" w:tplc="1C090019" w:tentative="1">
      <w:start w:val="1"/>
      <w:numFmt w:val="lowerLetter"/>
      <w:lvlText w:val="%2."/>
      <w:lvlJc w:val="left"/>
      <w:pPr>
        <w:ind w:left="3425" w:hanging="360"/>
      </w:pPr>
    </w:lvl>
    <w:lvl w:ilvl="2" w:tplc="1C09001B" w:tentative="1">
      <w:start w:val="1"/>
      <w:numFmt w:val="lowerRoman"/>
      <w:lvlText w:val="%3."/>
      <w:lvlJc w:val="right"/>
      <w:pPr>
        <w:ind w:left="4145" w:hanging="180"/>
      </w:pPr>
    </w:lvl>
    <w:lvl w:ilvl="3" w:tplc="1C09000F" w:tentative="1">
      <w:start w:val="1"/>
      <w:numFmt w:val="decimal"/>
      <w:lvlText w:val="%4."/>
      <w:lvlJc w:val="left"/>
      <w:pPr>
        <w:ind w:left="4865" w:hanging="360"/>
      </w:pPr>
    </w:lvl>
    <w:lvl w:ilvl="4" w:tplc="1C090019" w:tentative="1">
      <w:start w:val="1"/>
      <w:numFmt w:val="lowerLetter"/>
      <w:lvlText w:val="%5."/>
      <w:lvlJc w:val="left"/>
      <w:pPr>
        <w:ind w:left="5585" w:hanging="360"/>
      </w:pPr>
    </w:lvl>
    <w:lvl w:ilvl="5" w:tplc="1C09001B" w:tentative="1">
      <w:start w:val="1"/>
      <w:numFmt w:val="lowerRoman"/>
      <w:lvlText w:val="%6."/>
      <w:lvlJc w:val="right"/>
      <w:pPr>
        <w:ind w:left="6305" w:hanging="180"/>
      </w:pPr>
    </w:lvl>
    <w:lvl w:ilvl="6" w:tplc="1C09000F" w:tentative="1">
      <w:start w:val="1"/>
      <w:numFmt w:val="decimal"/>
      <w:lvlText w:val="%7."/>
      <w:lvlJc w:val="left"/>
      <w:pPr>
        <w:ind w:left="7025" w:hanging="360"/>
      </w:pPr>
    </w:lvl>
    <w:lvl w:ilvl="7" w:tplc="1C090019" w:tentative="1">
      <w:start w:val="1"/>
      <w:numFmt w:val="lowerLetter"/>
      <w:lvlText w:val="%8."/>
      <w:lvlJc w:val="left"/>
      <w:pPr>
        <w:ind w:left="7745" w:hanging="360"/>
      </w:pPr>
    </w:lvl>
    <w:lvl w:ilvl="8" w:tplc="1C09001B" w:tentative="1">
      <w:start w:val="1"/>
      <w:numFmt w:val="lowerRoman"/>
      <w:lvlText w:val="%9."/>
      <w:lvlJc w:val="right"/>
      <w:pPr>
        <w:ind w:left="8465" w:hanging="180"/>
      </w:pPr>
    </w:lvl>
  </w:abstractNum>
  <w:abstractNum w:abstractNumId="27">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28">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21"/>
  </w:num>
  <w:num w:numId="4">
    <w:abstractNumId w:val="7"/>
  </w:num>
  <w:num w:numId="5">
    <w:abstractNumId w:val="25"/>
  </w:num>
  <w:num w:numId="6">
    <w:abstractNumId w:val="6"/>
  </w:num>
  <w:num w:numId="7">
    <w:abstractNumId w:val="5"/>
  </w:num>
  <w:num w:numId="8">
    <w:abstractNumId w:val="13"/>
  </w:num>
  <w:num w:numId="9">
    <w:abstractNumId w:val="0"/>
  </w:num>
  <w:num w:numId="10">
    <w:abstractNumId w:val="14"/>
  </w:num>
  <w:num w:numId="11">
    <w:abstractNumId w:val="19"/>
  </w:num>
  <w:num w:numId="12">
    <w:abstractNumId w:val="24"/>
  </w:num>
  <w:num w:numId="13">
    <w:abstractNumId w:val="22"/>
  </w:num>
  <w:num w:numId="14">
    <w:abstractNumId w:val="20"/>
  </w:num>
  <w:num w:numId="15">
    <w:abstractNumId w:val="27"/>
  </w:num>
  <w:num w:numId="16">
    <w:abstractNumId w:val="17"/>
  </w:num>
  <w:num w:numId="17">
    <w:abstractNumId w:val="8"/>
  </w:num>
  <w:num w:numId="18">
    <w:abstractNumId w:val="28"/>
  </w:num>
  <w:num w:numId="19">
    <w:abstractNumId w:val="15"/>
  </w:num>
  <w:num w:numId="20">
    <w:abstractNumId w:val="23"/>
  </w:num>
  <w:num w:numId="21">
    <w:abstractNumId w:val="18"/>
  </w:num>
  <w:num w:numId="22">
    <w:abstractNumId w:val="10"/>
  </w:num>
  <w:num w:numId="23">
    <w:abstractNumId w:val="9"/>
  </w:num>
  <w:num w:numId="24">
    <w:abstractNumId w:val="1"/>
    <w:lvlOverride w:ilvl="0">
      <w:lvl w:ilvl="0">
        <w:start w:val="1"/>
        <w:numFmt w:val="decimal"/>
        <w:pStyle w:val="1"/>
        <w:lvlText w:val="%1"/>
        <w:lvlJc w:val="center"/>
        <w:pPr>
          <w:tabs>
            <w:tab w:val="num" w:pos="851"/>
          </w:tabs>
          <w:ind w:left="851" w:hanging="851"/>
        </w:pPr>
        <w:rPr>
          <w:rFonts w:hint="default"/>
          <w:b w:val="0"/>
        </w:rPr>
      </w:lvl>
    </w:lvlOverride>
  </w:num>
  <w:num w:numId="25">
    <w:abstractNumId w:val="2"/>
  </w:num>
  <w:num w:numId="26">
    <w:abstractNumId w:val="4"/>
  </w:num>
  <w:num w:numId="27">
    <w:abstractNumId w:val="12"/>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SytDQxMjc3MzG3NDFR0lEKTi0uzszPAykwrAUA7/CnnywAAAA="/>
  </w:docVars>
  <w:rsids>
    <w:rsidRoot w:val="007A78E0"/>
    <w:rsid w:val="0001312E"/>
    <w:rsid w:val="0002109A"/>
    <w:rsid w:val="00021848"/>
    <w:rsid w:val="00021D83"/>
    <w:rsid w:val="00035E00"/>
    <w:rsid w:val="00036295"/>
    <w:rsid w:val="000459DE"/>
    <w:rsid w:val="00050F58"/>
    <w:rsid w:val="00073432"/>
    <w:rsid w:val="00077EF8"/>
    <w:rsid w:val="00082272"/>
    <w:rsid w:val="000900FC"/>
    <w:rsid w:val="00093B3A"/>
    <w:rsid w:val="000A3735"/>
    <w:rsid w:val="000B5AEF"/>
    <w:rsid w:val="000C5352"/>
    <w:rsid w:val="000D6A47"/>
    <w:rsid w:val="00114F19"/>
    <w:rsid w:val="001209B4"/>
    <w:rsid w:val="00123CA4"/>
    <w:rsid w:val="00133F02"/>
    <w:rsid w:val="00147138"/>
    <w:rsid w:val="00163AAF"/>
    <w:rsid w:val="00163DA9"/>
    <w:rsid w:val="00167E15"/>
    <w:rsid w:val="00174F5B"/>
    <w:rsid w:val="00175B34"/>
    <w:rsid w:val="00195786"/>
    <w:rsid w:val="001A00E0"/>
    <w:rsid w:val="001A4E2C"/>
    <w:rsid w:val="001A525B"/>
    <w:rsid w:val="001B23DA"/>
    <w:rsid w:val="001B6BF0"/>
    <w:rsid w:val="001E5FD5"/>
    <w:rsid w:val="001F0380"/>
    <w:rsid w:val="001F1E9A"/>
    <w:rsid w:val="001F3EB6"/>
    <w:rsid w:val="001F79A7"/>
    <w:rsid w:val="002137BD"/>
    <w:rsid w:val="002201B6"/>
    <w:rsid w:val="002217D4"/>
    <w:rsid w:val="002278E3"/>
    <w:rsid w:val="00232F72"/>
    <w:rsid w:val="00243DB9"/>
    <w:rsid w:val="00246984"/>
    <w:rsid w:val="00254F88"/>
    <w:rsid w:val="00262DF2"/>
    <w:rsid w:val="00265914"/>
    <w:rsid w:val="00272319"/>
    <w:rsid w:val="002764E4"/>
    <w:rsid w:val="00282A8A"/>
    <w:rsid w:val="00283722"/>
    <w:rsid w:val="002858DF"/>
    <w:rsid w:val="0029163C"/>
    <w:rsid w:val="00295C9D"/>
    <w:rsid w:val="002A71D4"/>
    <w:rsid w:val="002B7D81"/>
    <w:rsid w:val="002C11BA"/>
    <w:rsid w:val="002C4401"/>
    <w:rsid w:val="002F1233"/>
    <w:rsid w:val="002F4D13"/>
    <w:rsid w:val="00322FB4"/>
    <w:rsid w:val="0034515A"/>
    <w:rsid w:val="00355E59"/>
    <w:rsid w:val="00366C2D"/>
    <w:rsid w:val="003740BC"/>
    <w:rsid w:val="00377350"/>
    <w:rsid w:val="00382580"/>
    <w:rsid w:val="003837ED"/>
    <w:rsid w:val="00390654"/>
    <w:rsid w:val="00395DEB"/>
    <w:rsid w:val="003A4AB6"/>
    <w:rsid w:val="003B23E5"/>
    <w:rsid w:val="003C100B"/>
    <w:rsid w:val="003C17D5"/>
    <w:rsid w:val="003D1BEE"/>
    <w:rsid w:val="003E5214"/>
    <w:rsid w:val="003F15D7"/>
    <w:rsid w:val="00407C59"/>
    <w:rsid w:val="00410DAC"/>
    <w:rsid w:val="0041337C"/>
    <w:rsid w:val="00423D0F"/>
    <w:rsid w:val="00424435"/>
    <w:rsid w:val="00424619"/>
    <w:rsid w:val="004517AE"/>
    <w:rsid w:val="00460DB4"/>
    <w:rsid w:val="00470831"/>
    <w:rsid w:val="00473EC7"/>
    <w:rsid w:val="0047526D"/>
    <w:rsid w:val="00484CB4"/>
    <w:rsid w:val="004A0E3D"/>
    <w:rsid w:val="004A678B"/>
    <w:rsid w:val="004A6F13"/>
    <w:rsid w:val="004C21AF"/>
    <w:rsid w:val="004D03C8"/>
    <w:rsid w:val="004D17EA"/>
    <w:rsid w:val="004D3AE8"/>
    <w:rsid w:val="004D5A0C"/>
    <w:rsid w:val="004D7B25"/>
    <w:rsid w:val="004E0D65"/>
    <w:rsid w:val="004F61C3"/>
    <w:rsid w:val="00502A64"/>
    <w:rsid w:val="005033EE"/>
    <w:rsid w:val="00505168"/>
    <w:rsid w:val="00505CE7"/>
    <w:rsid w:val="00520F92"/>
    <w:rsid w:val="00532EE4"/>
    <w:rsid w:val="005342E6"/>
    <w:rsid w:val="005504DC"/>
    <w:rsid w:val="005549D1"/>
    <w:rsid w:val="00583426"/>
    <w:rsid w:val="0059432F"/>
    <w:rsid w:val="005B5AA4"/>
    <w:rsid w:val="005B6C77"/>
    <w:rsid w:val="005C717A"/>
    <w:rsid w:val="005D1D71"/>
    <w:rsid w:val="005E4503"/>
    <w:rsid w:val="005F311E"/>
    <w:rsid w:val="00601432"/>
    <w:rsid w:val="006123B7"/>
    <w:rsid w:val="0061272C"/>
    <w:rsid w:val="00621AF2"/>
    <w:rsid w:val="006262F2"/>
    <w:rsid w:val="00646D45"/>
    <w:rsid w:val="006562D2"/>
    <w:rsid w:val="006674A3"/>
    <w:rsid w:val="0067672F"/>
    <w:rsid w:val="00677251"/>
    <w:rsid w:val="00693574"/>
    <w:rsid w:val="006A0872"/>
    <w:rsid w:val="006A1541"/>
    <w:rsid w:val="006B045A"/>
    <w:rsid w:val="006B37FA"/>
    <w:rsid w:val="006C035B"/>
    <w:rsid w:val="006E0C34"/>
    <w:rsid w:val="006F4748"/>
    <w:rsid w:val="00712763"/>
    <w:rsid w:val="007170F3"/>
    <w:rsid w:val="00722FE3"/>
    <w:rsid w:val="00736302"/>
    <w:rsid w:val="00743745"/>
    <w:rsid w:val="007609E7"/>
    <w:rsid w:val="00760D80"/>
    <w:rsid w:val="00785C94"/>
    <w:rsid w:val="00792601"/>
    <w:rsid w:val="00794A4A"/>
    <w:rsid w:val="007971A5"/>
    <w:rsid w:val="007A78E0"/>
    <w:rsid w:val="00805BDE"/>
    <w:rsid w:val="0081130A"/>
    <w:rsid w:val="00837847"/>
    <w:rsid w:val="008614E3"/>
    <w:rsid w:val="00865B44"/>
    <w:rsid w:val="00870D18"/>
    <w:rsid w:val="0088764F"/>
    <w:rsid w:val="00893C1E"/>
    <w:rsid w:val="008A2C52"/>
    <w:rsid w:val="008A7417"/>
    <w:rsid w:val="008B3F9B"/>
    <w:rsid w:val="008B488A"/>
    <w:rsid w:val="008C07D1"/>
    <w:rsid w:val="0090402C"/>
    <w:rsid w:val="00906196"/>
    <w:rsid w:val="0091210C"/>
    <w:rsid w:val="00961D21"/>
    <w:rsid w:val="00982428"/>
    <w:rsid w:val="00991491"/>
    <w:rsid w:val="009A0A4C"/>
    <w:rsid w:val="009A0D92"/>
    <w:rsid w:val="009A7774"/>
    <w:rsid w:val="009D4302"/>
    <w:rsid w:val="009D44FE"/>
    <w:rsid w:val="009E0627"/>
    <w:rsid w:val="009E4DDE"/>
    <w:rsid w:val="009E7B75"/>
    <w:rsid w:val="00A01777"/>
    <w:rsid w:val="00A02E55"/>
    <w:rsid w:val="00A075AF"/>
    <w:rsid w:val="00A15886"/>
    <w:rsid w:val="00A30654"/>
    <w:rsid w:val="00A33728"/>
    <w:rsid w:val="00A3455C"/>
    <w:rsid w:val="00A4193B"/>
    <w:rsid w:val="00A43ACB"/>
    <w:rsid w:val="00A5675A"/>
    <w:rsid w:val="00A56D6A"/>
    <w:rsid w:val="00A57858"/>
    <w:rsid w:val="00A57BBF"/>
    <w:rsid w:val="00A71DB8"/>
    <w:rsid w:val="00A76331"/>
    <w:rsid w:val="00A9631C"/>
    <w:rsid w:val="00AA66AF"/>
    <w:rsid w:val="00AB51C9"/>
    <w:rsid w:val="00AB738E"/>
    <w:rsid w:val="00AC69B6"/>
    <w:rsid w:val="00AE1467"/>
    <w:rsid w:val="00AE4F97"/>
    <w:rsid w:val="00AE789D"/>
    <w:rsid w:val="00AE7F11"/>
    <w:rsid w:val="00B01D20"/>
    <w:rsid w:val="00B04DF5"/>
    <w:rsid w:val="00B323A4"/>
    <w:rsid w:val="00B45563"/>
    <w:rsid w:val="00B67C08"/>
    <w:rsid w:val="00B705E8"/>
    <w:rsid w:val="00B814E6"/>
    <w:rsid w:val="00BA652F"/>
    <w:rsid w:val="00BB61F7"/>
    <w:rsid w:val="00BB677C"/>
    <w:rsid w:val="00BC35F7"/>
    <w:rsid w:val="00BC6C61"/>
    <w:rsid w:val="00BD3865"/>
    <w:rsid w:val="00BE01ED"/>
    <w:rsid w:val="00BE4954"/>
    <w:rsid w:val="00BE657C"/>
    <w:rsid w:val="00BE7318"/>
    <w:rsid w:val="00BF1E9A"/>
    <w:rsid w:val="00BF2BCD"/>
    <w:rsid w:val="00C0622F"/>
    <w:rsid w:val="00C20879"/>
    <w:rsid w:val="00C21145"/>
    <w:rsid w:val="00C32948"/>
    <w:rsid w:val="00C543B2"/>
    <w:rsid w:val="00C65D6A"/>
    <w:rsid w:val="00C65D7C"/>
    <w:rsid w:val="00C6795F"/>
    <w:rsid w:val="00C7081B"/>
    <w:rsid w:val="00C736DB"/>
    <w:rsid w:val="00C8320A"/>
    <w:rsid w:val="00C867C8"/>
    <w:rsid w:val="00C87A9A"/>
    <w:rsid w:val="00CA2B54"/>
    <w:rsid w:val="00CA5D0F"/>
    <w:rsid w:val="00CC2CF5"/>
    <w:rsid w:val="00CD25D9"/>
    <w:rsid w:val="00CE3731"/>
    <w:rsid w:val="00CF73E3"/>
    <w:rsid w:val="00CF7E92"/>
    <w:rsid w:val="00D02D85"/>
    <w:rsid w:val="00D101AC"/>
    <w:rsid w:val="00D10EB5"/>
    <w:rsid w:val="00D138B7"/>
    <w:rsid w:val="00D15D48"/>
    <w:rsid w:val="00D31A89"/>
    <w:rsid w:val="00D344FE"/>
    <w:rsid w:val="00D4495F"/>
    <w:rsid w:val="00D84261"/>
    <w:rsid w:val="00D85AEE"/>
    <w:rsid w:val="00D93A74"/>
    <w:rsid w:val="00DA0FC4"/>
    <w:rsid w:val="00DA15E5"/>
    <w:rsid w:val="00DC507E"/>
    <w:rsid w:val="00DC6BC5"/>
    <w:rsid w:val="00DC75CC"/>
    <w:rsid w:val="00DD462D"/>
    <w:rsid w:val="00DD7252"/>
    <w:rsid w:val="00DD7A83"/>
    <w:rsid w:val="00DF6F77"/>
    <w:rsid w:val="00E0253B"/>
    <w:rsid w:val="00E25512"/>
    <w:rsid w:val="00E56A53"/>
    <w:rsid w:val="00E647F8"/>
    <w:rsid w:val="00E940E9"/>
    <w:rsid w:val="00E96491"/>
    <w:rsid w:val="00EA53E8"/>
    <w:rsid w:val="00EE3815"/>
    <w:rsid w:val="00F011E7"/>
    <w:rsid w:val="00F052FC"/>
    <w:rsid w:val="00F055A7"/>
    <w:rsid w:val="00F05C46"/>
    <w:rsid w:val="00F05DAF"/>
    <w:rsid w:val="00F2442B"/>
    <w:rsid w:val="00F25174"/>
    <w:rsid w:val="00F42BA1"/>
    <w:rsid w:val="00F46839"/>
    <w:rsid w:val="00F575BB"/>
    <w:rsid w:val="00F620E1"/>
    <w:rsid w:val="00F62F70"/>
    <w:rsid w:val="00F82FFE"/>
    <w:rsid w:val="00FA39D8"/>
    <w:rsid w:val="00FB2BDB"/>
    <w:rsid w:val="00FB423C"/>
    <w:rsid w:val="00FC20C7"/>
    <w:rsid w:val="00FC5A70"/>
    <w:rsid w:val="00FD2108"/>
    <w:rsid w:val="00FD4250"/>
    <w:rsid w:val="00FE1D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aliases w:val="LIS 1.1"/>
    <w:basedOn w:val="Normal"/>
    <w:link w:val="ListParagraphChar"/>
    <w:uiPriority w:val="34"/>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59"/>
    <w:rsid w:val="00232F72"/>
    <w:pPr>
      <w:widowControl/>
      <w:autoSpaceDE/>
      <w:autoSpaceDN/>
    </w:pPr>
    <w:rPr>
      <w:rFonts w:ascii="Arial" w:eastAsia="Calibri" w:hAnsi="Arial"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Bow_Footnote Text,BL_Footnote Text"/>
    <w:basedOn w:val="Normal"/>
    <w:link w:val="FootnoteTextChar"/>
    <w:uiPriority w:val="99"/>
    <w:unhideWhenUsed/>
    <w:qFormat/>
    <w:rsid w:val="00262DF2"/>
    <w:rPr>
      <w:sz w:val="20"/>
      <w:szCs w:val="20"/>
    </w:rPr>
  </w:style>
  <w:style w:type="character" w:customStyle="1" w:styleId="FootnoteTextChar">
    <w:name w:val="Footnote Text Char"/>
    <w:aliases w:val="Bow_Footnote Text Char,BL_Footnote Text Char"/>
    <w:basedOn w:val="DefaultParagraphFont"/>
    <w:link w:val="FootnoteText"/>
    <w:uiPriority w:val="99"/>
    <w:rsid w:val="00262DF2"/>
    <w:rPr>
      <w:rFonts w:ascii="Arial" w:eastAsia="Times New Roman" w:hAnsi="Arial" w:cs="Times New Roman"/>
      <w:sz w:val="20"/>
      <w:szCs w:val="20"/>
    </w:rPr>
  </w:style>
  <w:style w:type="character" w:styleId="FootnoteReference">
    <w:name w:val="footnote reference"/>
    <w:aliases w:val="Bow_Footnote Reference,BL_Footnote Reference"/>
    <w:basedOn w:val="DefaultParagraphFont"/>
    <w:uiPriority w:val="99"/>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
    <w:name w:val="Unresolved Mention"/>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paragnum">
    <w:name w:val="paragnum"/>
    <w:basedOn w:val="Normal"/>
    <w:rsid w:val="00021D83"/>
    <w:pPr>
      <w:widowControl/>
      <w:autoSpaceDE/>
      <w:autoSpaceDN/>
      <w:spacing w:before="100" w:beforeAutospacing="1" w:after="100" w:afterAutospacing="1"/>
    </w:pPr>
    <w:rPr>
      <w:rFonts w:ascii="Times New Roman" w:hAnsi="Times New Roman"/>
      <w:szCs w:val="24"/>
      <w:lang w:val="en-ZA" w:eastAsia="en-ZA"/>
    </w:rPr>
  </w:style>
  <w:style w:type="paragraph" w:customStyle="1" w:styleId="western">
    <w:name w:val="western"/>
    <w:basedOn w:val="Normal"/>
    <w:rsid w:val="00050F58"/>
    <w:pPr>
      <w:widowControl/>
      <w:autoSpaceDE/>
      <w:autoSpaceDN/>
      <w:spacing w:before="100" w:beforeAutospacing="1" w:after="100" w:afterAutospacing="1"/>
    </w:pPr>
    <w:rPr>
      <w:rFonts w:ascii="Times New Roman" w:hAnsi="Times New Roman"/>
      <w:szCs w:val="24"/>
      <w:lang w:val="en-ZA" w:eastAsia="en-ZA"/>
    </w:rPr>
  </w:style>
  <w:style w:type="numbering" w:customStyle="1" w:styleId="Style1">
    <w:name w:val="Style1"/>
    <w:rsid w:val="006F4748"/>
    <w:pPr>
      <w:numPr>
        <w:numId w:val="23"/>
      </w:numPr>
    </w:pPr>
  </w:style>
  <w:style w:type="paragraph" w:customStyle="1" w:styleId="1">
    <w:name w:val="1"/>
    <w:basedOn w:val="Normal"/>
    <w:link w:val="1Char"/>
    <w:qFormat/>
    <w:rsid w:val="006F4748"/>
    <w:pPr>
      <w:widowControl/>
      <w:numPr>
        <w:numId w:val="24"/>
      </w:numPr>
      <w:autoSpaceDE/>
      <w:autoSpaceDN/>
      <w:spacing w:before="360" w:after="360" w:line="480" w:lineRule="auto"/>
      <w:ind w:right="11"/>
      <w:jc w:val="both"/>
    </w:pPr>
    <w:rPr>
      <w:szCs w:val="24"/>
      <w:lang w:val="en-ZA" w:eastAsia="en-ZA"/>
    </w:rPr>
  </w:style>
  <w:style w:type="paragraph" w:customStyle="1" w:styleId="11">
    <w:name w:val="1.1"/>
    <w:basedOn w:val="Normal"/>
    <w:qFormat/>
    <w:rsid w:val="006F4748"/>
    <w:pPr>
      <w:widowControl/>
      <w:numPr>
        <w:ilvl w:val="1"/>
        <w:numId w:val="24"/>
      </w:numPr>
      <w:tabs>
        <w:tab w:val="clear" w:pos="1559"/>
        <w:tab w:val="num" w:pos="1701"/>
      </w:tabs>
      <w:autoSpaceDE/>
      <w:autoSpaceDN/>
      <w:spacing w:before="360" w:after="360" w:line="480" w:lineRule="auto"/>
      <w:ind w:left="1702" w:right="11" w:hanging="851"/>
      <w:jc w:val="both"/>
    </w:pPr>
    <w:rPr>
      <w:szCs w:val="24"/>
      <w:lang w:val="en-ZA" w:eastAsia="en-ZA"/>
    </w:rPr>
  </w:style>
  <w:style w:type="character" w:customStyle="1" w:styleId="1Char">
    <w:name w:val="1 Char"/>
    <w:link w:val="1"/>
    <w:rsid w:val="006F4748"/>
    <w:rPr>
      <w:rFonts w:ascii="Arial" w:eastAsia="Times New Roman" w:hAnsi="Arial" w:cs="Times New Roman"/>
      <w:sz w:val="24"/>
      <w:szCs w:val="24"/>
      <w:lang w:val="en-ZA" w:eastAsia="en-ZA"/>
    </w:rPr>
  </w:style>
  <w:style w:type="paragraph" w:customStyle="1" w:styleId="111">
    <w:name w:val="1.1.1"/>
    <w:basedOn w:val="11"/>
    <w:qFormat/>
    <w:rsid w:val="006F4748"/>
    <w:pPr>
      <w:numPr>
        <w:ilvl w:val="2"/>
      </w:numPr>
      <w:tabs>
        <w:tab w:val="clear" w:pos="2552"/>
        <w:tab w:val="num" w:pos="2835"/>
      </w:tabs>
      <w:ind w:left="2835" w:hanging="1134"/>
    </w:pPr>
  </w:style>
  <w:style w:type="paragraph" w:customStyle="1" w:styleId="1111">
    <w:name w:val="1.1.1.1"/>
    <w:basedOn w:val="111"/>
    <w:qFormat/>
    <w:rsid w:val="006F4748"/>
    <w:pPr>
      <w:numPr>
        <w:ilvl w:val="3"/>
      </w:numPr>
      <w:tabs>
        <w:tab w:val="clear" w:pos="3686"/>
        <w:tab w:val="left" w:pos="3969"/>
      </w:tabs>
      <w:ind w:left="3969"/>
    </w:pPr>
  </w:style>
  <w:style w:type="paragraph" w:customStyle="1" w:styleId="quotation">
    <w:name w:val="quotation"/>
    <w:basedOn w:val="1"/>
    <w:link w:val="quotationChar"/>
    <w:qFormat/>
    <w:rsid w:val="006F4748"/>
    <w:pPr>
      <w:numPr>
        <w:numId w:val="0"/>
      </w:numPr>
      <w:spacing w:before="0" w:after="0" w:line="240" w:lineRule="auto"/>
      <w:ind w:left="1440"/>
    </w:pPr>
    <w:rPr>
      <w:i/>
    </w:rPr>
  </w:style>
  <w:style w:type="character" w:customStyle="1" w:styleId="quotationChar">
    <w:name w:val="quotation Char"/>
    <w:basedOn w:val="1Char"/>
    <w:link w:val="quotation"/>
    <w:rsid w:val="006F4748"/>
    <w:rPr>
      <w:rFonts w:ascii="Arial" w:eastAsia="Times New Roman" w:hAnsi="Arial" w:cs="Times New Roman"/>
      <w:i/>
      <w:sz w:val="24"/>
      <w:szCs w:val="24"/>
      <w:lang w:val="en-ZA" w:eastAsia="en-ZA"/>
    </w:rPr>
  </w:style>
  <w:style w:type="character" w:customStyle="1" w:styleId="ListParagraphChar">
    <w:name w:val="List Paragraph Char"/>
    <w:aliases w:val="LIS 1.1 Char"/>
    <w:link w:val="ListParagraph"/>
    <w:uiPriority w:val="34"/>
    <w:rsid w:val="006F4748"/>
    <w:rPr>
      <w:rFonts w:ascii="Arial" w:eastAsia="Times New Roman" w:hAnsi="Arial" w:cs="Times New Roman"/>
      <w:sz w:val="24"/>
    </w:rPr>
  </w:style>
  <w:style w:type="paragraph" w:customStyle="1" w:styleId="FootnoteText1">
    <w:name w:val="Footnote Text1"/>
    <w:basedOn w:val="Normal"/>
    <w:qFormat/>
    <w:rsid w:val="006F4748"/>
    <w:pPr>
      <w:widowControl/>
      <w:autoSpaceDE/>
      <w:autoSpaceDN/>
      <w:spacing w:after="120"/>
      <w:jc w:val="both"/>
    </w:pPr>
    <w:rPr>
      <w:rFonts w:ascii="Times New Roman" w:hAnsi="Times New Roman"/>
      <w:sz w:val="20"/>
      <w:lang w:val="en-ZA"/>
    </w:rPr>
  </w:style>
  <w:style w:type="paragraph" w:customStyle="1" w:styleId="QUOTEINFOOTNOTE">
    <w:name w:val="QUOTE IN FOOTNOTE"/>
    <w:basedOn w:val="FootnoteText1"/>
    <w:next w:val="FootnoteText1"/>
    <w:qFormat/>
    <w:rsid w:val="006F4748"/>
    <w:pPr>
      <w:ind w:left="720" w:right="720"/>
    </w:pPr>
  </w:style>
  <w:style w:type="paragraph" w:customStyle="1" w:styleId="JUDGMENTNUMBERED">
    <w:name w:val="JUDGMENT NUMBERED"/>
    <w:basedOn w:val="Normal"/>
    <w:next w:val="JUDGMENTCONTINUED"/>
    <w:link w:val="JUDGMENTNUMBEREDChar"/>
    <w:qFormat/>
    <w:rsid w:val="006F4748"/>
    <w:pPr>
      <w:widowControl/>
      <w:numPr>
        <w:numId w:val="25"/>
      </w:numPr>
      <w:autoSpaceDE/>
      <w:autoSpaceDN/>
      <w:spacing w:line="360" w:lineRule="auto"/>
      <w:jc w:val="both"/>
    </w:pPr>
    <w:rPr>
      <w:rFonts w:ascii="Times New Roman" w:hAnsi="Times New Roman"/>
      <w:sz w:val="26"/>
      <w:lang w:val="en-ZA"/>
    </w:rPr>
  </w:style>
  <w:style w:type="paragraph" w:customStyle="1" w:styleId="JUDGMENTCONTINUED">
    <w:name w:val="JUDGMENT CONTINUED"/>
    <w:basedOn w:val="JUDGMENTNUMBERED"/>
    <w:next w:val="JUDGMENTNUMBERED"/>
    <w:qFormat/>
    <w:rsid w:val="006F4748"/>
    <w:pPr>
      <w:numPr>
        <w:numId w:val="0"/>
      </w:numPr>
    </w:pPr>
  </w:style>
  <w:style w:type="paragraph" w:customStyle="1" w:styleId="QUOTATION0">
    <w:name w:val="QUOTATION"/>
    <w:basedOn w:val="Normal"/>
    <w:next w:val="JUDGMENTCONTINUED"/>
    <w:qFormat/>
    <w:rsid w:val="006F4748"/>
    <w:pPr>
      <w:widowControl/>
      <w:autoSpaceDE/>
      <w:autoSpaceDN/>
      <w:spacing w:line="360" w:lineRule="auto"/>
      <w:ind w:left="720" w:right="720"/>
      <w:jc w:val="both"/>
    </w:pPr>
    <w:rPr>
      <w:rFonts w:ascii="Times New Roman" w:hAnsi="Times New Roman"/>
      <w:sz w:val="22"/>
      <w:lang w:val="en-ZA"/>
    </w:rPr>
  </w:style>
  <w:style w:type="character" w:customStyle="1" w:styleId="JUDGMENTNUMBEREDChar">
    <w:name w:val="JUDGMENT NUMBERED Char"/>
    <w:basedOn w:val="DefaultParagraphFont"/>
    <w:link w:val="JUDGMENTNUMBERED"/>
    <w:locked/>
    <w:rsid w:val="006F4748"/>
    <w:rPr>
      <w:rFonts w:ascii="Times New Roman" w:eastAsia="Times New Roman" w:hAnsi="Times New Roman" w:cs="Times New Roman"/>
      <w:sz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 w:id="1650673033">
      <w:bodyDiv w:val="1"/>
      <w:marLeft w:val="0"/>
      <w:marRight w:val="0"/>
      <w:marTop w:val="0"/>
      <w:marBottom w:val="0"/>
      <w:divBdr>
        <w:top w:val="none" w:sz="0" w:space="0" w:color="auto"/>
        <w:left w:val="none" w:sz="0" w:space="0" w:color="auto"/>
        <w:bottom w:val="none" w:sz="0" w:space="0" w:color="auto"/>
        <w:right w:val="none" w:sz="0" w:space="0" w:color="auto"/>
      </w:divBdr>
    </w:div>
    <w:div w:id="2020698376">
      <w:bodyDiv w:val="1"/>
      <w:marLeft w:val="0"/>
      <w:marRight w:val="0"/>
      <w:marTop w:val="0"/>
      <w:marBottom w:val="0"/>
      <w:divBdr>
        <w:top w:val="none" w:sz="0" w:space="0" w:color="auto"/>
        <w:left w:val="none" w:sz="0" w:space="0" w:color="auto"/>
        <w:bottom w:val="none" w:sz="0" w:space="0" w:color="auto"/>
        <w:right w:val="none" w:sz="0" w:space="0" w:color="auto"/>
      </w:divBdr>
    </w:div>
    <w:div w:id="205148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rcymthombeni14@gmail.com" TargetMode="External"/><Relationship Id="rId4" Type="http://schemas.openxmlformats.org/officeDocument/2006/relationships/webSettings" Target="webSettings.xml"/><Relationship Id="rId9" Type="http://schemas.openxmlformats.org/officeDocument/2006/relationships/hyperlink" Target="mailto:admin@banda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6801</Words>
  <Characters>38769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Jonathan de Beer</dc:creator>
  <cp:lastModifiedBy>Mokone</cp:lastModifiedBy>
  <cp:revision>4</cp:revision>
  <cp:lastPrinted>2023-07-14T09:24:00Z</cp:lastPrinted>
  <dcterms:created xsi:type="dcterms:W3CDTF">2023-07-21T13:45:00Z</dcterms:created>
  <dcterms:modified xsi:type="dcterms:W3CDTF">2023-07-21T13:59:00Z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