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B8A12" w14:textId="77777777" w:rsidR="0045086B" w:rsidRPr="0045086B" w:rsidRDefault="0045086B" w:rsidP="0045086B">
      <w:pPr>
        <w:spacing w:after="0" w:line="360" w:lineRule="auto"/>
        <w:ind w:left="305" w:hangingChars="127" w:hanging="305"/>
        <w:jc w:val="center"/>
        <w:rPr>
          <w:rFonts w:eastAsia="Times New Roman" w:cs="Arial"/>
          <w:b/>
          <w:kern w:val="0"/>
          <w:szCs w:val="24"/>
          <w:lang w:eastAsia="en-GB"/>
          <w14:ligatures w14:val="none"/>
        </w:rPr>
      </w:pPr>
      <w:bookmarkStart w:id="0" w:name="_GoBack"/>
      <w:bookmarkEnd w:id="0"/>
      <w:r w:rsidRPr="0045086B">
        <w:rPr>
          <w:rFonts w:eastAsia="Times New Roman" w:cs="Arial"/>
          <w:b/>
          <w:kern w:val="0"/>
          <w:szCs w:val="24"/>
          <w:lang w:eastAsia="en-GB"/>
          <w14:ligatures w14:val="none"/>
        </w:rPr>
        <w:t>REPUBLIC OF SOUTH AFRICA</w:t>
      </w:r>
    </w:p>
    <w:p w14:paraId="1EBCABAF" w14:textId="77777777" w:rsidR="0045086B" w:rsidRPr="0045086B" w:rsidRDefault="0045086B" w:rsidP="0045086B">
      <w:pPr>
        <w:spacing w:after="0" w:line="360" w:lineRule="auto"/>
        <w:ind w:left="305" w:hangingChars="127" w:hanging="305"/>
        <w:jc w:val="center"/>
        <w:rPr>
          <w:rFonts w:eastAsia="Times New Roman" w:cs="Arial"/>
          <w:b/>
          <w:kern w:val="0"/>
          <w:szCs w:val="24"/>
          <w:lang w:eastAsia="en-GB"/>
          <w14:ligatures w14:val="none"/>
        </w:rPr>
      </w:pPr>
      <w:r w:rsidRPr="0045086B">
        <w:rPr>
          <w:rFonts w:eastAsia="MS Mincho" w:cs="Arial"/>
          <w:b/>
          <w:noProof/>
          <w:kern w:val="0"/>
          <w:szCs w:val="24"/>
          <w:lang w:eastAsia="en-ZA"/>
          <w14:ligatures w14:val="none"/>
        </w:rPr>
        <w:drawing>
          <wp:inline distT="0" distB="0" distL="0" distR="0" wp14:anchorId="7D14BAF2" wp14:editId="1F54CF86">
            <wp:extent cx="1473200"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47131591" w14:textId="77777777" w:rsidR="0045086B" w:rsidRPr="0045086B" w:rsidRDefault="0045086B" w:rsidP="0045086B">
      <w:pPr>
        <w:spacing w:after="0" w:line="360" w:lineRule="auto"/>
        <w:ind w:left="305" w:hangingChars="127" w:hanging="305"/>
        <w:jc w:val="center"/>
        <w:rPr>
          <w:rFonts w:eastAsia="Times New Roman" w:cs="Arial"/>
          <w:b/>
          <w:kern w:val="0"/>
          <w:szCs w:val="24"/>
          <w:lang w:eastAsia="en-GB"/>
          <w14:ligatures w14:val="none"/>
        </w:rPr>
      </w:pPr>
      <w:r w:rsidRPr="0045086B">
        <w:rPr>
          <w:rFonts w:eastAsia="Times New Roman" w:cs="Arial"/>
          <w:b/>
          <w:kern w:val="0"/>
          <w:szCs w:val="24"/>
          <w:lang w:eastAsia="en-GB"/>
          <w14:ligatures w14:val="none"/>
        </w:rPr>
        <w:t>IN THE HIGH COURT OF SOUTH AFRICA</w:t>
      </w:r>
    </w:p>
    <w:p w14:paraId="422F2FF8" w14:textId="6C350E7D" w:rsidR="0045086B" w:rsidRPr="0045086B" w:rsidRDefault="0045086B" w:rsidP="00456142">
      <w:pPr>
        <w:spacing w:after="0" w:line="480" w:lineRule="auto"/>
        <w:ind w:left="305" w:hangingChars="127" w:hanging="305"/>
        <w:jc w:val="center"/>
        <w:rPr>
          <w:rFonts w:eastAsia="Times New Roman" w:cs="Arial"/>
          <w:b/>
          <w:kern w:val="0"/>
          <w:szCs w:val="24"/>
          <w:lang w:eastAsia="en-GB"/>
          <w14:ligatures w14:val="none"/>
        </w:rPr>
      </w:pPr>
      <w:r w:rsidRPr="0045086B">
        <w:rPr>
          <w:rFonts w:eastAsia="Times New Roman" w:cs="Arial"/>
          <w:b/>
          <w:kern w:val="0"/>
          <w:szCs w:val="24"/>
          <w:lang w:eastAsia="en-GB"/>
          <w14:ligatures w14:val="none"/>
        </w:rPr>
        <w:t xml:space="preserve">GAUTENG LOCAL DIVISION, </w:t>
      </w:r>
      <w:r w:rsidR="000A6DD9">
        <w:rPr>
          <w:rFonts w:eastAsia="Times New Roman" w:cs="Arial"/>
          <w:b/>
          <w:kern w:val="0"/>
          <w:szCs w:val="24"/>
          <w:lang w:eastAsia="en-GB"/>
          <w14:ligatures w14:val="none"/>
        </w:rPr>
        <w:t>PRETORIA</w:t>
      </w:r>
    </w:p>
    <w:p w14:paraId="27502432" w14:textId="77777777" w:rsidR="0045086B" w:rsidRPr="0045086B" w:rsidRDefault="0045086B" w:rsidP="0045086B">
      <w:pPr>
        <w:spacing w:after="0" w:line="360" w:lineRule="auto"/>
        <w:ind w:left="305" w:hangingChars="127" w:hanging="305"/>
        <w:jc w:val="center"/>
        <w:rPr>
          <w:rFonts w:eastAsia="Times New Roman" w:cs="Arial"/>
          <w:b/>
          <w:kern w:val="0"/>
          <w:szCs w:val="24"/>
          <w:lang w:eastAsia="en-GB"/>
          <w14:ligatures w14:val="none"/>
        </w:rPr>
      </w:pPr>
    </w:p>
    <w:p w14:paraId="4889699B" w14:textId="13FF781B" w:rsidR="0045086B" w:rsidRPr="0045086B" w:rsidRDefault="0045086B" w:rsidP="00456142">
      <w:pPr>
        <w:spacing w:after="0" w:line="600" w:lineRule="auto"/>
        <w:ind w:left="305" w:hangingChars="127" w:hanging="305"/>
        <w:jc w:val="right"/>
        <w:rPr>
          <w:rFonts w:eastAsia="Times New Roman" w:cs="Arial"/>
          <w:b/>
          <w:kern w:val="0"/>
          <w:szCs w:val="24"/>
          <w:lang w:eastAsia="en-GB"/>
          <w14:ligatures w14:val="none"/>
        </w:rPr>
      </w:pPr>
      <w:r w:rsidRPr="0045086B">
        <w:rPr>
          <w:rFonts w:eastAsia="Times New Roman" w:cs="Arial"/>
          <w:b/>
          <w:kern w:val="0"/>
          <w:szCs w:val="24"/>
          <w:lang w:eastAsia="en-GB"/>
          <w14:ligatures w14:val="none"/>
        </w:rPr>
        <w:tab/>
      </w:r>
      <w:r w:rsidRPr="0045086B">
        <w:rPr>
          <w:rFonts w:eastAsia="Times New Roman" w:cs="Arial"/>
          <w:b/>
          <w:kern w:val="0"/>
          <w:szCs w:val="24"/>
          <w:lang w:eastAsia="en-GB"/>
          <w14:ligatures w14:val="none"/>
        </w:rPr>
        <w:tab/>
      </w:r>
      <w:r w:rsidRPr="0045086B">
        <w:rPr>
          <w:rFonts w:eastAsia="Times New Roman" w:cs="Arial"/>
          <w:b/>
          <w:kern w:val="0"/>
          <w:szCs w:val="24"/>
          <w:lang w:eastAsia="en-GB"/>
          <w14:ligatures w14:val="none"/>
        </w:rPr>
        <w:tab/>
        <w:t>CASE NO:</w:t>
      </w:r>
      <w:r w:rsidRPr="0045086B">
        <w:rPr>
          <w:rFonts w:eastAsia="Times New Roman" w:cs="Arial"/>
          <w:b/>
          <w:kern w:val="25"/>
          <w:szCs w:val="24"/>
          <w:lang w:val="en-GB" w:eastAsia="en-GB"/>
          <w14:ligatures w14:val="none"/>
        </w:rPr>
        <w:t xml:space="preserve"> </w:t>
      </w:r>
      <w:r>
        <w:rPr>
          <w:rFonts w:eastAsia="Times New Roman" w:cs="Arial"/>
          <w:b/>
          <w:bCs/>
          <w:kern w:val="25"/>
          <w:szCs w:val="24"/>
          <w:lang w:eastAsia="en-GB"/>
          <w14:ligatures w14:val="none"/>
        </w:rPr>
        <w:t>38211/21</w:t>
      </w:r>
      <w:r w:rsidR="00456142">
        <w:rPr>
          <w:rFonts w:eastAsia="Times New Roman" w:cs="Arial"/>
          <w:b/>
          <w:bCs/>
          <w:kern w:val="25"/>
          <w:szCs w:val="24"/>
          <w:lang w:eastAsia="en-GB"/>
          <w14:ligatures w14:val="none"/>
        </w:rPr>
        <w:t xml:space="preserve"> </w:t>
      </w:r>
    </w:p>
    <w:p w14:paraId="5AA5382C" w14:textId="4AAF5DE1" w:rsidR="0045086B" w:rsidRPr="0045086B" w:rsidRDefault="00456142" w:rsidP="0045086B">
      <w:pPr>
        <w:spacing w:after="0" w:line="360" w:lineRule="auto"/>
        <w:ind w:left="305" w:hangingChars="127" w:hanging="305"/>
        <w:jc w:val="both"/>
        <w:rPr>
          <w:rFonts w:eastAsia="Times New Roman" w:cs="Arial"/>
          <w:kern w:val="0"/>
          <w:szCs w:val="24"/>
          <w:u w:val="single"/>
          <w:lang w:val="en-GB" w:eastAsia="en-GB"/>
          <w14:ligatures w14:val="none"/>
        </w:rPr>
      </w:pPr>
      <w:r w:rsidRPr="0045086B">
        <w:rPr>
          <w:rFonts w:eastAsia="MS Mincho" w:cs="Arial"/>
          <w:noProof/>
          <w:kern w:val="0"/>
          <w:szCs w:val="24"/>
          <w:lang w:eastAsia="en-ZA"/>
          <w14:ligatures w14:val="none"/>
        </w:rPr>
        <mc:AlternateContent>
          <mc:Choice Requires="wps">
            <w:drawing>
              <wp:anchor distT="0" distB="0" distL="114300" distR="114300" simplePos="0" relativeHeight="251659264" behindDoc="0" locked="0" layoutInCell="1" allowOverlap="1" wp14:anchorId="13AA1A07" wp14:editId="44B151D0">
                <wp:simplePos x="0" y="0"/>
                <wp:positionH relativeFrom="margin">
                  <wp:align>left</wp:align>
                </wp:positionH>
                <wp:positionV relativeFrom="paragraph">
                  <wp:posOffset>6350</wp:posOffset>
                </wp:positionV>
                <wp:extent cx="3314700" cy="12287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28725"/>
                        </a:xfrm>
                        <a:prstGeom prst="rect">
                          <a:avLst/>
                        </a:prstGeom>
                        <a:solidFill>
                          <a:srgbClr val="FFFFFF"/>
                        </a:solidFill>
                        <a:ln w="9525">
                          <a:solidFill>
                            <a:srgbClr val="000000"/>
                          </a:solidFill>
                          <a:miter lim="800000"/>
                          <a:headEnd/>
                          <a:tailEnd/>
                        </a:ln>
                      </wps:spPr>
                      <wps:txbx>
                        <w:txbxContent>
                          <w:p w14:paraId="1403E308" w14:textId="77777777" w:rsidR="0045086B" w:rsidRPr="004120A8" w:rsidRDefault="0045086B" w:rsidP="0045086B">
                            <w:pPr>
                              <w:jc w:val="center"/>
                              <w:rPr>
                                <w:rFonts w:ascii="Century Gothic" w:hAnsi="Century Gothic"/>
                                <w:b/>
                                <w:sz w:val="2"/>
                                <w:szCs w:val="18"/>
                              </w:rPr>
                            </w:pPr>
                          </w:p>
                          <w:p w14:paraId="74296433" w14:textId="68681AAC" w:rsidR="0045086B" w:rsidRPr="004120A8" w:rsidRDefault="00941AF5" w:rsidP="00941AF5">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45086B">
                              <w:rPr>
                                <w:rFonts w:ascii="Century Gothic" w:hAnsi="Century Gothic"/>
                                <w:sz w:val="18"/>
                                <w:szCs w:val="18"/>
                              </w:rPr>
                              <w:t>REPORTABLE: NO</w:t>
                            </w:r>
                          </w:p>
                          <w:p w14:paraId="72F5DE81" w14:textId="1DEEACCE" w:rsidR="0045086B" w:rsidRPr="004120A8" w:rsidRDefault="00941AF5" w:rsidP="00941AF5">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45086B" w:rsidRPr="004120A8">
                              <w:rPr>
                                <w:rFonts w:ascii="Century Gothic" w:hAnsi="Century Gothic"/>
                                <w:sz w:val="18"/>
                                <w:szCs w:val="18"/>
                              </w:rPr>
                              <w:t>O</w:t>
                            </w:r>
                            <w:r w:rsidR="0045086B">
                              <w:rPr>
                                <w:rFonts w:ascii="Century Gothic" w:hAnsi="Century Gothic"/>
                                <w:sz w:val="18"/>
                                <w:szCs w:val="18"/>
                              </w:rPr>
                              <w:t xml:space="preserve">F INTEREST TO OTHER JUDGES: </w:t>
                            </w:r>
                            <w:r w:rsidR="0045086B" w:rsidRPr="004120A8">
                              <w:rPr>
                                <w:rFonts w:ascii="Century Gothic" w:hAnsi="Century Gothic"/>
                                <w:sz w:val="18"/>
                                <w:szCs w:val="18"/>
                              </w:rPr>
                              <w:t>NO</w:t>
                            </w:r>
                          </w:p>
                          <w:p w14:paraId="5D65DCF1" w14:textId="04572337" w:rsidR="0045086B" w:rsidRDefault="00941AF5" w:rsidP="00941AF5">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45086B">
                              <w:rPr>
                                <w:rFonts w:ascii="Century Gothic" w:hAnsi="Century Gothic"/>
                                <w:sz w:val="18"/>
                                <w:szCs w:val="18"/>
                              </w:rPr>
                              <w:t>REVISED: NO</w:t>
                            </w:r>
                          </w:p>
                          <w:p w14:paraId="27DA00EA" w14:textId="77777777" w:rsidR="0045086B" w:rsidRDefault="0045086B" w:rsidP="0045086B">
                            <w:pPr>
                              <w:spacing w:after="0"/>
                              <w:ind w:left="900"/>
                              <w:rPr>
                                <w:rFonts w:ascii="Century Gothic" w:hAnsi="Century Gothic"/>
                                <w:sz w:val="18"/>
                                <w:szCs w:val="18"/>
                              </w:rPr>
                            </w:pPr>
                          </w:p>
                          <w:p w14:paraId="7161D20B" w14:textId="77777777" w:rsidR="0045086B" w:rsidRPr="00CE3BCB" w:rsidRDefault="0045086B" w:rsidP="0045086B">
                            <w:pPr>
                              <w:spacing w:after="0"/>
                              <w:ind w:left="900"/>
                              <w:rPr>
                                <w:rFonts w:ascii="Century Gothic" w:hAnsi="Century Gothic"/>
                                <w:sz w:val="18"/>
                                <w:szCs w:val="18"/>
                              </w:rPr>
                            </w:pPr>
                          </w:p>
                          <w:p w14:paraId="50C3E34F" w14:textId="16AD5A07" w:rsidR="0045086B" w:rsidRPr="004120A8" w:rsidRDefault="0045086B" w:rsidP="0045086B">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24/07/2023…</w:t>
                            </w:r>
                            <w:r w:rsidRPr="004120A8">
                              <w:rPr>
                                <w:rFonts w:ascii="Century Gothic" w:hAnsi="Century Gothic"/>
                                <w:b/>
                                <w:sz w:val="18"/>
                                <w:szCs w:val="18"/>
                              </w:rPr>
                              <w:t>…</w:t>
                            </w:r>
                          </w:p>
                          <w:p w14:paraId="05F43C86" w14:textId="77777777" w:rsidR="0045086B" w:rsidRPr="004120A8" w:rsidRDefault="0045086B" w:rsidP="0045086B">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05C28699" w14:textId="77777777" w:rsidR="0045086B" w:rsidRPr="004120A8" w:rsidRDefault="0045086B" w:rsidP="0045086B">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A1A07" id="_x0000_t202" coordsize="21600,21600" o:spt="202" path="m,l,21600r21600,l21600,xe">
                <v:stroke joinstyle="miter"/>
                <v:path gradientshapeok="t" o:connecttype="rect"/>
              </v:shapetype>
              <v:shape id="Text Box 9" o:spid="_x0000_s1026" type="#_x0000_t202" style="position:absolute;left:0;text-align:left;margin-left:0;margin-top:.5pt;width:261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">
                <v:textbox>
                  <w:txbxContent>
                    <w:p w14:paraId="1403E308" w14:textId="77777777" w:rsidR="0045086B" w:rsidRPr="004120A8" w:rsidRDefault="0045086B" w:rsidP="0045086B">
                      <w:pPr>
                        <w:jc w:val="center"/>
                        <w:rPr>
                          <w:rFonts w:ascii="Century Gothic" w:hAnsi="Century Gothic"/>
                          <w:b/>
                          <w:sz w:val="2"/>
                          <w:szCs w:val="18"/>
                        </w:rPr>
                      </w:pPr>
                    </w:p>
                    <w:p w14:paraId="74296433" w14:textId="68681AAC" w:rsidR="0045086B" w:rsidRPr="004120A8" w:rsidRDefault="00941AF5" w:rsidP="00941AF5">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45086B">
                        <w:rPr>
                          <w:rFonts w:ascii="Century Gothic" w:hAnsi="Century Gothic"/>
                          <w:sz w:val="18"/>
                          <w:szCs w:val="18"/>
                        </w:rPr>
                        <w:t>REPORTABLE: NO</w:t>
                      </w:r>
                    </w:p>
                    <w:p w14:paraId="72F5DE81" w14:textId="1DEEACCE" w:rsidR="0045086B" w:rsidRPr="004120A8" w:rsidRDefault="00941AF5" w:rsidP="00941AF5">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45086B" w:rsidRPr="004120A8">
                        <w:rPr>
                          <w:rFonts w:ascii="Century Gothic" w:hAnsi="Century Gothic"/>
                          <w:sz w:val="18"/>
                          <w:szCs w:val="18"/>
                        </w:rPr>
                        <w:t>O</w:t>
                      </w:r>
                      <w:r w:rsidR="0045086B">
                        <w:rPr>
                          <w:rFonts w:ascii="Century Gothic" w:hAnsi="Century Gothic"/>
                          <w:sz w:val="18"/>
                          <w:szCs w:val="18"/>
                        </w:rPr>
                        <w:t xml:space="preserve">F INTEREST TO OTHER JUDGES: </w:t>
                      </w:r>
                      <w:r w:rsidR="0045086B" w:rsidRPr="004120A8">
                        <w:rPr>
                          <w:rFonts w:ascii="Century Gothic" w:hAnsi="Century Gothic"/>
                          <w:sz w:val="18"/>
                          <w:szCs w:val="18"/>
                        </w:rPr>
                        <w:t>NO</w:t>
                      </w:r>
                    </w:p>
                    <w:p w14:paraId="5D65DCF1" w14:textId="04572337" w:rsidR="0045086B" w:rsidRDefault="00941AF5" w:rsidP="00941AF5">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45086B">
                        <w:rPr>
                          <w:rFonts w:ascii="Century Gothic" w:hAnsi="Century Gothic"/>
                          <w:sz w:val="18"/>
                          <w:szCs w:val="18"/>
                        </w:rPr>
                        <w:t>REVISED: NO</w:t>
                      </w:r>
                    </w:p>
                    <w:p w14:paraId="27DA00EA" w14:textId="77777777" w:rsidR="0045086B" w:rsidRDefault="0045086B" w:rsidP="0045086B">
                      <w:pPr>
                        <w:spacing w:after="0"/>
                        <w:ind w:left="900"/>
                        <w:rPr>
                          <w:rFonts w:ascii="Century Gothic" w:hAnsi="Century Gothic"/>
                          <w:sz w:val="18"/>
                          <w:szCs w:val="18"/>
                        </w:rPr>
                      </w:pPr>
                    </w:p>
                    <w:p w14:paraId="7161D20B" w14:textId="77777777" w:rsidR="0045086B" w:rsidRPr="00CE3BCB" w:rsidRDefault="0045086B" w:rsidP="0045086B">
                      <w:pPr>
                        <w:spacing w:after="0"/>
                        <w:ind w:left="900"/>
                        <w:rPr>
                          <w:rFonts w:ascii="Century Gothic" w:hAnsi="Century Gothic"/>
                          <w:sz w:val="18"/>
                          <w:szCs w:val="18"/>
                        </w:rPr>
                      </w:pPr>
                    </w:p>
                    <w:p w14:paraId="50C3E34F" w14:textId="16AD5A07" w:rsidR="0045086B" w:rsidRPr="004120A8" w:rsidRDefault="0045086B" w:rsidP="0045086B">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24/07/2023…</w:t>
                      </w:r>
                      <w:r w:rsidRPr="004120A8">
                        <w:rPr>
                          <w:rFonts w:ascii="Century Gothic" w:hAnsi="Century Gothic"/>
                          <w:b/>
                          <w:sz w:val="18"/>
                          <w:szCs w:val="18"/>
                        </w:rPr>
                        <w:t>…</w:t>
                      </w:r>
                    </w:p>
                    <w:p w14:paraId="05F43C86" w14:textId="77777777" w:rsidR="0045086B" w:rsidRPr="004120A8" w:rsidRDefault="0045086B" w:rsidP="0045086B">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05C28699" w14:textId="77777777" w:rsidR="0045086B" w:rsidRPr="004120A8" w:rsidRDefault="0045086B" w:rsidP="0045086B">
                      <w:pPr>
                        <w:rPr>
                          <w:rFonts w:ascii="Century Gothic" w:hAnsi="Century Gothic"/>
                          <w:b/>
                          <w:sz w:val="2"/>
                          <w:szCs w:val="18"/>
                        </w:rPr>
                      </w:pPr>
                    </w:p>
                  </w:txbxContent>
                </v:textbox>
                <w10:wrap anchorx="margin"/>
              </v:shape>
            </w:pict>
          </mc:Fallback>
        </mc:AlternateContent>
      </w:r>
    </w:p>
    <w:p w14:paraId="0F68DA29" w14:textId="77777777" w:rsidR="0045086B" w:rsidRPr="0045086B" w:rsidRDefault="0045086B" w:rsidP="0045086B">
      <w:pPr>
        <w:spacing w:after="0" w:line="360" w:lineRule="auto"/>
        <w:ind w:left="305" w:hangingChars="127" w:hanging="305"/>
        <w:jc w:val="both"/>
        <w:rPr>
          <w:rFonts w:eastAsia="Times New Roman" w:cs="Arial"/>
          <w:kern w:val="0"/>
          <w:szCs w:val="24"/>
          <w:u w:val="single"/>
          <w:lang w:val="en-GB" w:eastAsia="en-GB"/>
          <w14:ligatures w14:val="none"/>
        </w:rPr>
      </w:pPr>
    </w:p>
    <w:p w14:paraId="44861922" w14:textId="77777777" w:rsidR="0045086B" w:rsidRPr="0045086B" w:rsidRDefault="0045086B" w:rsidP="0045086B">
      <w:pPr>
        <w:spacing w:after="0" w:line="360" w:lineRule="auto"/>
        <w:ind w:left="305" w:hangingChars="127" w:hanging="305"/>
        <w:jc w:val="both"/>
        <w:rPr>
          <w:rFonts w:eastAsia="Times New Roman" w:cs="Arial"/>
          <w:kern w:val="0"/>
          <w:szCs w:val="24"/>
          <w:u w:val="single"/>
          <w:lang w:val="en-GB" w:eastAsia="en-GB"/>
          <w14:ligatures w14:val="none"/>
        </w:rPr>
      </w:pPr>
    </w:p>
    <w:p w14:paraId="677EF6B4" w14:textId="77777777" w:rsidR="0045086B" w:rsidRPr="0045086B" w:rsidRDefault="0045086B" w:rsidP="0045086B">
      <w:pPr>
        <w:spacing w:after="0" w:line="360" w:lineRule="auto"/>
        <w:ind w:left="305" w:hangingChars="127" w:hanging="305"/>
        <w:jc w:val="both"/>
        <w:rPr>
          <w:rFonts w:eastAsia="Calibri" w:cs="Arial"/>
          <w:kern w:val="0"/>
          <w:szCs w:val="24"/>
          <w14:ligatures w14:val="none"/>
        </w:rPr>
      </w:pPr>
    </w:p>
    <w:p w14:paraId="473189DF" w14:textId="77777777" w:rsidR="00456142" w:rsidRDefault="00456142" w:rsidP="00456142">
      <w:pPr>
        <w:widowControl w:val="0"/>
        <w:autoSpaceDE w:val="0"/>
        <w:autoSpaceDN w:val="0"/>
        <w:adjustRightInd w:val="0"/>
        <w:spacing w:after="0" w:line="600" w:lineRule="auto"/>
        <w:jc w:val="both"/>
        <w:rPr>
          <w:rFonts w:eastAsia="MS Mincho" w:cs="Arial"/>
          <w:color w:val="1B1919"/>
          <w:kern w:val="0"/>
          <w:szCs w:val="24"/>
          <w:lang w:val="en-GB" w:eastAsia="ja-JP"/>
          <w14:ligatures w14:val="none"/>
        </w:rPr>
      </w:pPr>
    </w:p>
    <w:p w14:paraId="6EEC5F66" w14:textId="619C6091" w:rsidR="0045086B" w:rsidRPr="0045086B" w:rsidRDefault="0045086B" w:rsidP="00456142">
      <w:pPr>
        <w:widowControl w:val="0"/>
        <w:autoSpaceDE w:val="0"/>
        <w:autoSpaceDN w:val="0"/>
        <w:adjustRightInd w:val="0"/>
        <w:spacing w:after="0" w:line="600" w:lineRule="auto"/>
        <w:ind w:left="305" w:hangingChars="127" w:hanging="305"/>
        <w:jc w:val="both"/>
        <w:rPr>
          <w:rFonts w:eastAsia="MS Mincho" w:cs="Arial"/>
          <w:color w:val="1B1919"/>
          <w:kern w:val="0"/>
          <w:szCs w:val="24"/>
          <w:lang w:val="en-GB" w:eastAsia="ja-JP"/>
          <w14:ligatures w14:val="none"/>
        </w:rPr>
      </w:pPr>
      <w:r w:rsidRPr="0045086B">
        <w:rPr>
          <w:rFonts w:eastAsia="MS Mincho" w:cs="Arial"/>
          <w:color w:val="1B1919"/>
          <w:kern w:val="0"/>
          <w:szCs w:val="24"/>
          <w:lang w:val="en-GB" w:eastAsia="ja-JP"/>
          <w14:ligatures w14:val="none"/>
        </w:rPr>
        <w:t>In the matter between:</w:t>
      </w:r>
    </w:p>
    <w:p w14:paraId="5CEDE4A8" w14:textId="2D99F475" w:rsidR="0045086B" w:rsidRDefault="000118B7" w:rsidP="00456142">
      <w:pPr>
        <w:spacing w:after="0" w:line="600" w:lineRule="auto"/>
        <w:jc w:val="both"/>
        <w:rPr>
          <w:rFonts w:cs="Arial"/>
          <w:color w:val="000000"/>
          <w:szCs w:val="24"/>
        </w:rPr>
      </w:pPr>
      <w:r w:rsidRPr="00456142">
        <w:rPr>
          <w:rFonts w:cs="Arial"/>
          <w:b/>
          <w:bCs/>
          <w:color w:val="000000"/>
          <w:szCs w:val="24"/>
        </w:rPr>
        <w:t>THE TRUSTEES OF THE CC SHARE TRUST</w:t>
      </w:r>
      <w:r w:rsidR="0045086B" w:rsidRPr="00456142">
        <w:rPr>
          <w:rFonts w:cs="Arial"/>
          <w:b/>
          <w:bCs/>
          <w:color w:val="000000"/>
          <w:szCs w:val="24"/>
        </w:rPr>
        <w:tab/>
      </w:r>
      <w:r w:rsidR="0045086B">
        <w:rPr>
          <w:rFonts w:cs="Arial"/>
          <w:color w:val="000000"/>
          <w:szCs w:val="24"/>
        </w:rPr>
        <w:tab/>
      </w:r>
      <w:r w:rsidR="0045086B">
        <w:rPr>
          <w:rFonts w:cs="Arial"/>
          <w:color w:val="000000"/>
          <w:szCs w:val="24"/>
        </w:rPr>
        <w:tab/>
      </w:r>
      <w:r w:rsidR="0045086B">
        <w:rPr>
          <w:rFonts w:cs="Arial"/>
          <w:color w:val="000000"/>
          <w:szCs w:val="24"/>
        </w:rPr>
        <w:tab/>
      </w:r>
      <w:r w:rsidR="0045086B" w:rsidRPr="00B12D64">
        <w:rPr>
          <w:rFonts w:cs="Arial"/>
          <w:color w:val="000000"/>
          <w:szCs w:val="24"/>
        </w:rPr>
        <w:t>First Applicant</w:t>
      </w:r>
      <w:r w:rsidRPr="00B12D64">
        <w:rPr>
          <w:rFonts w:cs="Arial"/>
          <w:color w:val="000000"/>
          <w:szCs w:val="24"/>
        </w:rPr>
        <w:t xml:space="preserve"> </w:t>
      </w:r>
    </w:p>
    <w:p w14:paraId="509F92F3" w14:textId="14B11B55" w:rsidR="0045086B" w:rsidRDefault="000118B7" w:rsidP="00456142">
      <w:pPr>
        <w:spacing w:after="0" w:line="600" w:lineRule="auto"/>
        <w:jc w:val="both"/>
        <w:rPr>
          <w:rFonts w:cs="Arial"/>
          <w:color w:val="000000"/>
          <w:szCs w:val="24"/>
        </w:rPr>
      </w:pPr>
      <w:r w:rsidRPr="00456142">
        <w:rPr>
          <w:rFonts w:cs="Arial"/>
          <w:b/>
          <w:bCs/>
          <w:color w:val="000000"/>
          <w:szCs w:val="24"/>
        </w:rPr>
        <w:t>THE TRUSTEES OF THE CC INVESTMENT TRUST</w:t>
      </w:r>
      <w:r w:rsidR="0045086B">
        <w:rPr>
          <w:rFonts w:cs="Arial"/>
          <w:color w:val="000000"/>
          <w:szCs w:val="24"/>
        </w:rPr>
        <w:tab/>
      </w:r>
      <w:r w:rsidR="0045086B">
        <w:rPr>
          <w:rFonts w:cs="Arial"/>
          <w:color w:val="000000"/>
          <w:szCs w:val="24"/>
        </w:rPr>
        <w:tab/>
      </w:r>
      <w:r w:rsidR="0045086B">
        <w:rPr>
          <w:rFonts w:cs="Arial"/>
          <w:color w:val="000000"/>
          <w:szCs w:val="24"/>
        </w:rPr>
        <w:tab/>
      </w:r>
      <w:r w:rsidR="0045086B" w:rsidRPr="00B12D64">
        <w:rPr>
          <w:rFonts w:cs="Arial"/>
          <w:color w:val="000000"/>
          <w:szCs w:val="24"/>
        </w:rPr>
        <w:t>Second Applicant</w:t>
      </w:r>
      <w:r w:rsidRPr="00B12D64">
        <w:rPr>
          <w:rFonts w:cs="Arial"/>
          <w:color w:val="000000"/>
          <w:szCs w:val="24"/>
        </w:rPr>
        <w:t xml:space="preserve"> </w:t>
      </w:r>
    </w:p>
    <w:p w14:paraId="59336343" w14:textId="3A45BC36" w:rsidR="0045086B" w:rsidRDefault="000118B7" w:rsidP="00456142">
      <w:pPr>
        <w:spacing w:after="0" w:line="600" w:lineRule="auto"/>
        <w:jc w:val="both"/>
        <w:rPr>
          <w:rFonts w:cs="Arial"/>
          <w:color w:val="000000"/>
          <w:szCs w:val="24"/>
        </w:rPr>
      </w:pPr>
      <w:r w:rsidRPr="00456142">
        <w:rPr>
          <w:rFonts w:cs="Arial"/>
          <w:b/>
          <w:bCs/>
          <w:color w:val="000000"/>
          <w:szCs w:val="24"/>
        </w:rPr>
        <w:t>THE TRUSTEES OF THE LSC SHARE TRUST</w:t>
      </w:r>
      <w:r w:rsidR="0045086B">
        <w:rPr>
          <w:rFonts w:cs="Arial"/>
          <w:color w:val="000000"/>
          <w:szCs w:val="24"/>
        </w:rPr>
        <w:tab/>
      </w:r>
      <w:r w:rsidR="0045086B">
        <w:rPr>
          <w:rFonts w:cs="Arial"/>
          <w:color w:val="000000"/>
          <w:szCs w:val="24"/>
        </w:rPr>
        <w:tab/>
      </w:r>
      <w:r w:rsidR="0045086B">
        <w:rPr>
          <w:rFonts w:cs="Arial"/>
          <w:color w:val="000000"/>
          <w:szCs w:val="24"/>
        </w:rPr>
        <w:tab/>
      </w:r>
      <w:r w:rsidR="0045086B" w:rsidRPr="00B12D64">
        <w:rPr>
          <w:rFonts w:cs="Arial"/>
          <w:color w:val="000000"/>
          <w:szCs w:val="24"/>
        </w:rPr>
        <w:t>Third Applicant</w:t>
      </w:r>
    </w:p>
    <w:p w14:paraId="327AB98B" w14:textId="36EBC6A9" w:rsidR="0045086B" w:rsidRDefault="000118B7" w:rsidP="00456142">
      <w:pPr>
        <w:spacing w:after="0" w:line="600" w:lineRule="auto"/>
        <w:jc w:val="both"/>
        <w:rPr>
          <w:rFonts w:cs="Arial"/>
          <w:color w:val="000000"/>
          <w:szCs w:val="24"/>
        </w:rPr>
      </w:pPr>
      <w:r w:rsidRPr="00B12D64">
        <w:rPr>
          <w:rFonts w:cs="Arial"/>
          <w:color w:val="000000"/>
          <w:szCs w:val="24"/>
        </w:rPr>
        <w:t xml:space="preserve"> </w:t>
      </w:r>
      <w:r w:rsidRPr="00456142">
        <w:rPr>
          <w:rFonts w:cs="Arial"/>
          <w:b/>
          <w:bCs/>
          <w:color w:val="000000"/>
          <w:szCs w:val="24"/>
        </w:rPr>
        <w:t>THE TRUSTEES OF THE LSC INVESTMENT TRUST</w:t>
      </w:r>
      <w:r w:rsidRPr="00B12D64">
        <w:rPr>
          <w:rFonts w:cs="Arial"/>
          <w:color w:val="000000"/>
          <w:szCs w:val="24"/>
        </w:rPr>
        <w:t xml:space="preserve"> </w:t>
      </w:r>
      <w:r w:rsidR="0045086B">
        <w:rPr>
          <w:rFonts w:cs="Arial"/>
          <w:color w:val="000000"/>
          <w:szCs w:val="24"/>
        </w:rPr>
        <w:tab/>
      </w:r>
      <w:r w:rsidR="0045086B">
        <w:rPr>
          <w:rFonts w:cs="Arial"/>
          <w:color w:val="000000"/>
          <w:szCs w:val="24"/>
        </w:rPr>
        <w:tab/>
      </w:r>
      <w:r w:rsidR="0045086B" w:rsidRPr="00B12D64">
        <w:rPr>
          <w:rFonts w:cs="Arial"/>
          <w:color w:val="000000"/>
          <w:szCs w:val="24"/>
        </w:rPr>
        <w:t>Fourth Applicant</w:t>
      </w:r>
    </w:p>
    <w:p w14:paraId="37A4A83D" w14:textId="34A949E3" w:rsidR="0045086B" w:rsidRDefault="000118B7" w:rsidP="00456142">
      <w:pPr>
        <w:spacing w:after="0" w:line="600" w:lineRule="auto"/>
        <w:jc w:val="both"/>
        <w:rPr>
          <w:rFonts w:cs="Arial"/>
          <w:color w:val="000000"/>
          <w:szCs w:val="24"/>
        </w:rPr>
      </w:pPr>
      <w:r w:rsidRPr="00456142">
        <w:rPr>
          <w:rFonts w:cs="Arial"/>
          <w:b/>
          <w:bCs/>
          <w:color w:val="000000"/>
          <w:szCs w:val="24"/>
        </w:rPr>
        <w:t>THE TRUSTEES OF THE JCCD SHARE TRUST</w:t>
      </w:r>
      <w:r w:rsidR="0045086B">
        <w:rPr>
          <w:rFonts w:cs="Arial"/>
          <w:color w:val="000000"/>
          <w:szCs w:val="24"/>
        </w:rPr>
        <w:tab/>
      </w:r>
      <w:r w:rsidR="0045086B">
        <w:rPr>
          <w:rFonts w:cs="Arial"/>
          <w:color w:val="000000"/>
          <w:szCs w:val="24"/>
        </w:rPr>
        <w:tab/>
      </w:r>
      <w:r w:rsidR="0045086B">
        <w:rPr>
          <w:rFonts w:cs="Arial"/>
          <w:color w:val="000000"/>
          <w:szCs w:val="24"/>
        </w:rPr>
        <w:tab/>
      </w:r>
      <w:r w:rsidR="0045086B" w:rsidRPr="00B12D64">
        <w:rPr>
          <w:rFonts w:cs="Arial"/>
          <w:color w:val="000000"/>
          <w:szCs w:val="24"/>
        </w:rPr>
        <w:t>Fifth Applicant</w:t>
      </w:r>
      <w:r w:rsidRPr="00B12D64">
        <w:rPr>
          <w:rFonts w:cs="Arial"/>
          <w:color w:val="000000"/>
          <w:szCs w:val="24"/>
        </w:rPr>
        <w:t xml:space="preserve"> </w:t>
      </w:r>
    </w:p>
    <w:p w14:paraId="4B423FE0" w14:textId="77F0C008" w:rsidR="0045086B" w:rsidRDefault="000118B7" w:rsidP="00456142">
      <w:pPr>
        <w:spacing w:after="0" w:line="600" w:lineRule="auto"/>
        <w:jc w:val="both"/>
        <w:rPr>
          <w:rFonts w:cs="Arial"/>
          <w:color w:val="000000"/>
          <w:szCs w:val="24"/>
        </w:rPr>
      </w:pPr>
      <w:r w:rsidRPr="00456142">
        <w:rPr>
          <w:rFonts w:cs="Arial"/>
          <w:b/>
          <w:bCs/>
          <w:color w:val="000000"/>
          <w:szCs w:val="24"/>
        </w:rPr>
        <w:t>THE TRUSTEES OF THE JCCD INVESTMENT TRUST</w:t>
      </w:r>
      <w:r w:rsidR="0045086B">
        <w:rPr>
          <w:rFonts w:cs="Arial"/>
          <w:color w:val="000000"/>
          <w:szCs w:val="24"/>
        </w:rPr>
        <w:tab/>
      </w:r>
      <w:r w:rsidR="0045086B">
        <w:rPr>
          <w:rFonts w:cs="Arial"/>
          <w:color w:val="000000"/>
          <w:szCs w:val="24"/>
        </w:rPr>
        <w:tab/>
      </w:r>
      <w:r w:rsidR="0045086B" w:rsidRPr="00B12D64">
        <w:rPr>
          <w:rFonts w:cs="Arial"/>
          <w:color w:val="000000"/>
          <w:szCs w:val="24"/>
        </w:rPr>
        <w:t>Sixth Applicant</w:t>
      </w:r>
      <w:r w:rsidRPr="00B12D64">
        <w:rPr>
          <w:rFonts w:cs="Arial"/>
          <w:color w:val="000000"/>
          <w:szCs w:val="24"/>
        </w:rPr>
        <w:t xml:space="preserve"> </w:t>
      </w:r>
    </w:p>
    <w:p w14:paraId="5DD6571C" w14:textId="77777777" w:rsidR="0045086B" w:rsidRDefault="000118B7" w:rsidP="00456142">
      <w:pPr>
        <w:spacing w:after="0" w:line="600" w:lineRule="auto"/>
        <w:jc w:val="both"/>
        <w:rPr>
          <w:rFonts w:cs="Arial"/>
          <w:color w:val="000000"/>
          <w:szCs w:val="24"/>
        </w:rPr>
      </w:pPr>
      <w:r w:rsidRPr="00B12D64">
        <w:rPr>
          <w:rFonts w:cs="Arial"/>
          <w:color w:val="000000"/>
          <w:szCs w:val="24"/>
        </w:rPr>
        <w:t xml:space="preserve">and </w:t>
      </w:r>
    </w:p>
    <w:p w14:paraId="0A1545F5" w14:textId="77777777" w:rsidR="0045086B" w:rsidRPr="00456142" w:rsidRDefault="000118B7" w:rsidP="0045086B">
      <w:pPr>
        <w:spacing w:after="0" w:line="360" w:lineRule="auto"/>
        <w:jc w:val="both"/>
        <w:rPr>
          <w:rFonts w:cs="Arial"/>
          <w:b/>
          <w:bCs/>
          <w:color w:val="000000"/>
          <w:szCs w:val="24"/>
        </w:rPr>
      </w:pPr>
      <w:r w:rsidRPr="00456142">
        <w:rPr>
          <w:rFonts w:cs="Arial"/>
          <w:b/>
          <w:bCs/>
          <w:color w:val="000000"/>
          <w:szCs w:val="24"/>
        </w:rPr>
        <w:lastRenderedPageBreak/>
        <w:t xml:space="preserve">THE COMMISSIONER FOR THE SOUTH AFRICAN </w:t>
      </w:r>
    </w:p>
    <w:p w14:paraId="4C27F237" w14:textId="06704D55" w:rsidR="00B4400D" w:rsidRDefault="000118B7" w:rsidP="00456142">
      <w:pPr>
        <w:spacing w:after="0" w:line="360" w:lineRule="auto"/>
        <w:jc w:val="both"/>
        <w:rPr>
          <w:rFonts w:cs="Arial"/>
          <w:color w:val="000000"/>
          <w:szCs w:val="24"/>
        </w:rPr>
      </w:pPr>
      <w:r w:rsidRPr="00456142">
        <w:rPr>
          <w:rFonts w:cs="Arial"/>
          <w:b/>
          <w:bCs/>
          <w:color w:val="000000"/>
          <w:szCs w:val="24"/>
        </w:rPr>
        <w:t>REVENUE SERVICE</w:t>
      </w:r>
      <w:r w:rsidRPr="00B12D64">
        <w:rPr>
          <w:rFonts w:cs="Arial"/>
          <w:color w:val="000000"/>
          <w:szCs w:val="24"/>
        </w:rPr>
        <w:t xml:space="preserve"> </w:t>
      </w:r>
      <w:r w:rsidR="0045086B">
        <w:rPr>
          <w:rFonts w:cs="Arial"/>
          <w:color w:val="000000"/>
          <w:szCs w:val="24"/>
        </w:rPr>
        <w:tab/>
      </w:r>
      <w:r w:rsidR="0045086B">
        <w:rPr>
          <w:rFonts w:cs="Arial"/>
          <w:color w:val="000000"/>
          <w:szCs w:val="24"/>
        </w:rPr>
        <w:tab/>
      </w:r>
      <w:r w:rsidR="0045086B">
        <w:rPr>
          <w:rFonts w:cs="Arial"/>
          <w:color w:val="000000"/>
          <w:szCs w:val="24"/>
        </w:rPr>
        <w:tab/>
      </w:r>
      <w:r w:rsidR="0045086B">
        <w:rPr>
          <w:rFonts w:cs="Arial"/>
          <w:color w:val="000000"/>
          <w:szCs w:val="24"/>
        </w:rPr>
        <w:tab/>
      </w:r>
      <w:r w:rsidR="0045086B">
        <w:rPr>
          <w:rFonts w:cs="Arial"/>
          <w:color w:val="000000"/>
          <w:szCs w:val="24"/>
        </w:rPr>
        <w:tab/>
      </w:r>
      <w:r w:rsidR="0045086B">
        <w:rPr>
          <w:rFonts w:cs="Arial"/>
          <w:color w:val="000000"/>
          <w:szCs w:val="24"/>
        </w:rPr>
        <w:tab/>
      </w:r>
      <w:r w:rsidR="0045086B">
        <w:rPr>
          <w:rFonts w:cs="Arial"/>
          <w:color w:val="000000"/>
          <w:szCs w:val="24"/>
        </w:rPr>
        <w:tab/>
      </w:r>
      <w:r w:rsidRPr="00B12D64">
        <w:rPr>
          <w:rFonts w:cs="Arial"/>
          <w:color w:val="000000"/>
          <w:szCs w:val="24"/>
        </w:rPr>
        <w:t>Respondent</w:t>
      </w:r>
    </w:p>
    <w:p w14:paraId="1158FBB8" w14:textId="77777777" w:rsidR="00B4400D" w:rsidRPr="00B4400D" w:rsidRDefault="00B4400D" w:rsidP="00B4400D">
      <w:pPr>
        <w:pBdr>
          <w:bottom w:val="single" w:sz="12" w:space="1" w:color="auto"/>
        </w:pBdr>
        <w:spacing w:before="240" w:line="360" w:lineRule="auto"/>
        <w:jc w:val="both"/>
        <w:rPr>
          <w:rFonts w:cs="Arial"/>
          <w:b/>
          <w:bCs/>
          <w:kern w:val="0"/>
          <w:szCs w:val="24"/>
          <w:u w:val="single"/>
          <w:lang w:val="en-US"/>
          <w14:ligatures w14:val="none"/>
        </w:rPr>
      </w:pP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r w:rsidRPr="00B4400D">
        <w:rPr>
          <w:rFonts w:cs="Arial"/>
          <w:b/>
          <w:bCs/>
          <w:kern w:val="0"/>
          <w:szCs w:val="24"/>
          <w:u w:val="single"/>
          <w:lang w:val="en-US"/>
          <w14:ligatures w14:val="none"/>
        </w:rPr>
        <w:tab/>
      </w:r>
    </w:p>
    <w:p w14:paraId="1DBD7D1D" w14:textId="77777777" w:rsidR="00B4400D" w:rsidRPr="00B4400D" w:rsidRDefault="00B4400D" w:rsidP="00B4400D">
      <w:pPr>
        <w:pBdr>
          <w:bottom w:val="single" w:sz="12" w:space="1" w:color="auto"/>
        </w:pBdr>
        <w:spacing w:before="240" w:line="360" w:lineRule="auto"/>
        <w:jc w:val="center"/>
        <w:rPr>
          <w:rFonts w:cs="Arial"/>
          <w:b/>
          <w:bCs/>
          <w:kern w:val="0"/>
          <w:szCs w:val="24"/>
          <w:lang w:val="en-US"/>
          <w14:ligatures w14:val="none"/>
        </w:rPr>
      </w:pPr>
      <w:r w:rsidRPr="00B4400D">
        <w:rPr>
          <w:rFonts w:cs="Arial"/>
          <w:b/>
          <w:bCs/>
          <w:kern w:val="0"/>
          <w:szCs w:val="24"/>
          <w:lang w:val="en-US"/>
          <w14:ligatures w14:val="none"/>
        </w:rPr>
        <w:t>JUDGMENT</w:t>
      </w:r>
    </w:p>
    <w:p w14:paraId="24677448" w14:textId="13638F18" w:rsidR="009D4CC1" w:rsidRPr="0045086B" w:rsidRDefault="00B4400D" w:rsidP="00975776">
      <w:pPr>
        <w:spacing w:before="240" w:line="480" w:lineRule="auto"/>
        <w:ind w:firstLine="720"/>
        <w:jc w:val="both"/>
        <w:rPr>
          <w:rFonts w:cs="Arial"/>
          <w:b/>
          <w:bCs/>
          <w:kern w:val="0"/>
          <w:szCs w:val="24"/>
          <w:lang w:val="en-US"/>
          <w14:ligatures w14:val="none"/>
        </w:rPr>
      </w:pPr>
      <w:r w:rsidRPr="00B4400D">
        <w:rPr>
          <w:rFonts w:cs="Arial"/>
          <w:b/>
          <w:bCs/>
          <w:kern w:val="0"/>
          <w:szCs w:val="24"/>
          <w:lang w:val="en-US"/>
          <w14:ligatures w14:val="none"/>
        </w:rPr>
        <w:t xml:space="preserve">Manoim J </w:t>
      </w:r>
    </w:p>
    <w:p w14:paraId="200ABEB8" w14:textId="2A449727" w:rsidR="00453253" w:rsidRPr="00B12D64" w:rsidRDefault="00453253" w:rsidP="00B12D64">
      <w:pPr>
        <w:spacing w:after="360" w:line="480" w:lineRule="auto"/>
        <w:ind w:left="720"/>
        <w:jc w:val="both"/>
        <w:rPr>
          <w:rFonts w:cs="Arial"/>
          <w:b/>
          <w:bCs/>
          <w:szCs w:val="24"/>
        </w:rPr>
      </w:pPr>
      <w:r w:rsidRPr="00B12D64">
        <w:rPr>
          <w:rFonts w:cs="Arial"/>
          <w:b/>
          <w:bCs/>
          <w:szCs w:val="24"/>
        </w:rPr>
        <w:t>Overview</w:t>
      </w:r>
    </w:p>
    <w:p w14:paraId="574365B8" w14:textId="74F0BA0E" w:rsidR="00125A26" w:rsidRPr="00B12D64" w:rsidRDefault="009D4CC1" w:rsidP="00B12D64">
      <w:pPr>
        <w:spacing w:after="360" w:line="480" w:lineRule="auto"/>
        <w:ind w:left="720" w:hanging="720"/>
        <w:jc w:val="both"/>
        <w:rPr>
          <w:rFonts w:cs="Arial"/>
          <w:szCs w:val="24"/>
        </w:rPr>
      </w:pPr>
      <w:r w:rsidRPr="00B12D64">
        <w:rPr>
          <w:rFonts w:cs="Arial"/>
          <w:szCs w:val="24"/>
        </w:rPr>
        <w:t>[1]</w:t>
      </w:r>
      <w:r w:rsidRPr="00B12D64">
        <w:rPr>
          <w:rFonts w:cs="Arial"/>
          <w:szCs w:val="24"/>
        </w:rPr>
        <w:tab/>
      </w:r>
      <w:r w:rsidR="000B5826" w:rsidRPr="00B12D64">
        <w:rPr>
          <w:rFonts w:cs="Arial"/>
          <w:szCs w:val="24"/>
        </w:rPr>
        <w:t>The genesis of this case is a dispute between the applicant</w:t>
      </w:r>
      <w:r w:rsidR="00453253" w:rsidRPr="00B12D64">
        <w:rPr>
          <w:rFonts w:cs="Arial"/>
          <w:szCs w:val="24"/>
        </w:rPr>
        <w:t xml:space="preserve"> trustees</w:t>
      </w:r>
      <w:r w:rsidR="000B5826" w:rsidRPr="00B12D64">
        <w:rPr>
          <w:rFonts w:cs="Arial"/>
          <w:szCs w:val="24"/>
        </w:rPr>
        <w:t xml:space="preserve"> who are taxpayers</w:t>
      </w:r>
      <w:r w:rsidR="001635D0" w:rsidRPr="00B12D64">
        <w:rPr>
          <w:rFonts w:cs="Arial"/>
          <w:szCs w:val="24"/>
        </w:rPr>
        <w:t>,</w:t>
      </w:r>
      <w:r w:rsidR="000B5826" w:rsidRPr="00B12D64">
        <w:rPr>
          <w:rFonts w:cs="Arial"/>
          <w:szCs w:val="24"/>
        </w:rPr>
        <w:t xml:space="preserve"> and the respondent, the Commissioner for South African Revenue Service (</w:t>
      </w:r>
      <w:r w:rsidRPr="00B12D64">
        <w:rPr>
          <w:rFonts w:cs="Arial"/>
          <w:szCs w:val="24"/>
        </w:rPr>
        <w:t>“</w:t>
      </w:r>
      <w:r w:rsidR="000B5826" w:rsidRPr="00B12D64">
        <w:rPr>
          <w:rFonts w:cs="Arial"/>
          <w:szCs w:val="24"/>
        </w:rPr>
        <w:t>SARS</w:t>
      </w:r>
      <w:r w:rsidRPr="00B12D64">
        <w:rPr>
          <w:rFonts w:cs="Arial"/>
          <w:szCs w:val="24"/>
        </w:rPr>
        <w:t>”</w:t>
      </w:r>
      <w:r w:rsidR="000B5826" w:rsidRPr="00B12D64">
        <w:rPr>
          <w:rFonts w:cs="Arial"/>
          <w:szCs w:val="24"/>
        </w:rPr>
        <w:t xml:space="preserve">). The </w:t>
      </w:r>
      <w:r w:rsidR="00B83DDD" w:rsidRPr="00B12D64">
        <w:rPr>
          <w:rFonts w:cs="Arial"/>
          <w:szCs w:val="24"/>
        </w:rPr>
        <w:t xml:space="preserve">original </w:t>
      </w:r>
      <w:r w:rsidR="000B5826" w:rsidRPr="00B12D64">
        <w:rPr>
          <w:rFonts w:cs="Arial"/>
          <w:szCs w:val="24"/>
        </w:rPr>
        <w:t xml:space="preserve">issue in that dispute </w:t>
      </w:r>
      <w:r w:rsidR="00B83DDD" w:rsidRPr="00B12D64">
        <w:rPr>
          <w:rFonts w:cs="Arial"/>
          <w:szCs w:val="24"/>
        </w:rPr>
        <w:t>wa</w:t>
      </w:r>
      <w:r w:rsidR="000B5826" w:rsidRPr="00B12D64">
        <w:rPr>
          <w:rFonts w:cs="Arial"/>
          <w:szCs w:val="24"/>
        </w:rPr>
        <w:t>s whether the applicants ha</w:t>
      </w:r>
      <w:r w:rsidR="00B83DDD" w:rsidRPr="00B12D64">
        <w:rPr>
          <w:rFonts w:cs="Arial"/>
          <w:szCs w:val="24"/>
        </w:rPr>
        <w:t xml:space="preserve">d </w:t>
      </w:r>
      <w:r w:rsidR="000B5826" w:rsidRPr="00B12D64">
        <w:rPr>
          <w:rFonts w:cs="Arial"/>
          <w:szCs w:val="24"/>
        </w:rPr>
        <w:t xml:space="preserve">been correctly assessed by SARS. </w:t>
      </w:r>
      <w:r w:rsidR="00453253" w:rsidRPr="00B12D64">
        <w:rPr>
          <w:rFonts w:cs="Arial"/>
          <w:szCs w:val="24"/>
        </w:rPr>
        <w:t>They maintain</w:t>
      </w:r>
      <w:r w:rsidR="00B83DDD" w:rsidRPr="00B12D64">
        <w:rPr>
          <w:rFonts w:cs="Arial"/>
          <w:szCs w:val="24"/>
        </w:rPr>
        <w:t>ed</w:t>
      </w:r>
      <w:r w:rsidR="00453253" w:rsidRPr="00B12D64">
        <w:rPr>
          <w:rFonts w:cs="Arial"/>
          <w:szCs w:val="24"/>
        </w:rPr>
        <w:t xml:space="preserve"> they have not. </w:t>
      </w:r>
      <w:r w:rsidR="000D6222" w:rsidRPr="00B12D64">
        <w:rPr>
          <w:rFonts w:cs="Arial"/>
          <w:szCs w:val="24"/>
        </w:rPr>
        <w:t>But t</w:t>
      </w:r>
      <w:r w:rsidR="00453253" w:rsidRPr="00B12D64">
        <w:rPr>
          <w:rFonts w:cs="Arial"/>
          <w:szCs w:val="24"/>
        </w:rPr>
        <w:t>he purpose of th</w:t>
      </w:r>
      <w:r w:rsidR="009B774F" w:rsidRPr="00B12D64">
        <w:rPr>
          <w:rFonts w:cs="Arial"/>
          <w:szCs w:val="24"/>
        </w:rPr>
        <w:t xml:space="preserve">e present </w:t>
      </w:r>
      <w:r w:rsidR="00453253" w:rsidRPr="00B12D64">
        <w:rPr>
          <w:rFonts w:cs="Arial"/>
          <w:szCs w:val="24"/>
        </w:rPr>
        <w:t xml:space="preserve">case </w:t>
      </w:r>
      <w:r w:rsidR="009B774F" w:rsidRPr="00B12D64">
        <w:rPr>
          <w:rFonts w:cs="Arial"/>
          <w:szCs w:val="24"/>
        </w:rPr>
        <w:t xml:space="preserve">before me </w:t>
      </w:r>
      <w:r w:rsidR="00453253" w:rsidRPr="00B12D64">
        <w:rPr>
          <w:rFonts w:cs="Arial"/>
          <w:szCs w:val="24"/>
        </w:rPr>
        <w:t>is</w:t>
      </w:r>
      <w:r w:rsidR="000B5826" w:rsidRPr="00B12D64">
        <w:rPr>
          <w:rFonts w:cs="Arial"/>
          <w:szCs w:val="24"/>
        </w:rPr>
        <w:t xml:space="preserve"> not </w:t>
      </w:r>
      <w:r w:rsidR="00453253" w:rsidRPr="00B12D64">
        <w:rPr>
          <w:rFonts w:cs="Arial"/>
          <w:szCs w:val="24"/>
        </w:rPr>
        <w:t xml:space="preserve">to </w:t>
      </w:r>
      <w:r w:rsidR="000B5826" w:rsidRPr="00B12D64">
        <w:rPr>
          <w:rFonts w:cs="Arial"/>
          <w:szCs w:val="24"/>
        </w:rPr>
        <w:t xml:space="preserve">consider the merits of that dispute. Rather it is </w:t>
      </w:r>
      <w:r w:rsidR="001B389A" w:rsidRPr="00B12D64">
        <w:rPr>
          <w:rFonts w:cs="Arial"/>
          <w:szCs w:val="24"/>
        </w:rPr>
        <w:t>a prior jurisdictional dispute hence its presence in this court and not the Tax Court.</w:t>
      </w:r>
      <w:r w:rsidR="000B5826" w:rsidRPr="00B12D64">
        <w:rPr>
          <w:rFonts w:cs="Arial"/>
          <w:szCs w:val="24"/>
        </w:rPr>
        <w:t xml:space="preserve"> </w:t>
      </w:r>
      <w:r w:rsidR="00125A26" w:rsidRPr="00B12D64">
        <w:rPr>
          <w:rFonts w:cs="Arial"/>
          <w:szCs w:val="24"/>
        </w:rPr>
        <w:t xml:space="preserve">The applicants want to have the assessments set aside because they argue they were made unlawfully for want of compliance by SARS with its own statutes. </w:t>
      </w:r>
      <w:r w:rsidR="007D55EE" w:rsidRPr="00B12D64">
        <w:rPr>
          <w:rFonts w:cs="Arial"/>
          <w:szCs w:val="24"/>
        </w:rPr>
        <w:t xml:space="preserve"> They </w:t>
      </w:r>
      <w:r w:rsidR="003674B6" w:rsidRPr="00B12D64">
        <w:rPr>
          <w:rFonts w:cs="Arial"/>
          <w:szCs w:val="24"/>
        </w:rPr>
        <w:t>had also requested the Commissioner</w:t>
      </w:r>
      <w:r w:rsidR="00976230" w:rsidRPr="00B12D64">
        <w:rPr>
          <w:rFonts w:cs="Arial"/>
          <w:szCs w:val="24"/>
        </w:rPr>
        <w:t xml:space="preserve"> to</w:t>
      </w:r>
      <w:r w:rsidR="003674B6" w:rsidRPr="00B12D64">
        <w:rPr>
          <w:rFonts w:cs="Arial"/>
          <w:szCs w:val="24"/>
        </w:rPr>
        <w:t xml:space="preserve"> withdraw the </w:t>
      </w:r>
      <w:r w:rsidR="00D3790E" w:rsidRPr="00B12D64">
        <w:rPr>
          <w:rFonts w:cs="Arial"/>
          <w:szCs w:val="24"/>
        </w:rPr>
        <w:t>assessments. This the Comm</w:t>
      </w:r>
      <w:r w:rsidR="00B1374D" w:rsidRPr="00B12D64">
        <w:rPr>
          <w:rFonts w:cs="Arial"/>
          <w:szCs w:val="24"/>
        </w:rPr>
        <w:t>issioner refused to do. This latter decision is also a subject of the review.</w:t>
      </w:r>
      <w:r w:rsidR="00075067" w:rsidRPr="00B12D64">
        <w:rPr>
          <w:rFonts w:cs="Arial"/>
          <w:szCs w:val="24"/>
        </w:rPr>
        <w:t xml:space="preserve"> I will from now on refer to the trustees as taxpayers.</w:t>
      </w:r>
    </w:p>
    <w:p w14:paraId="4FA22B9E" w14:textId="0FCE86D1" w:rsidR="00125A26" w:rsidRPr="00B12D64" w:rsidRDefault="00B12D64" w:rsidP="00B12D64">
      <w:pPr>
        <w:spacing w:after="360" w:line="480" w:lineRule="auto"/>
        <w:ind w:left="720" w:hanging="720"/>
        <w:jc w:val="both"/>
        <w:rPr>
          <w:rFonts w:cs="Arial"/>
          <w:szCs w:val="24"/>
        </w:rPr>
      </w:pPr>
      <w:r>
        <w:rPr>
          <w:rFonts w:cs="Arial"/>
          <w:szCs w:val="24"/>
        </w:rPr>
        <w:t>[2]</w:t>
      </w:r>
      <w:r>
        <w:rPr>
          <w:rFonts w:cs="Arial"/>
          <w:szCs w:val="24"/>
        </w:rPr>
        <w:tab/>
      </w:r>
      <w:r w:rsidR="00125A26" w:rsidRPr="00B12D64">
        <w:rPr>
          <w:rFonts w:cs="Arial"/>
          <w:szCs w:val="24"/>
        </w:rPr>
        <w:t>SARS denies it has acted u</w:t>
      </w:r>
      <w:r w:rsidR="00453253" w:rsidRPr="00B12D64">
        <w:rPr>
          <w:rFonts w:cs="Arial"/>
          <w:szCs w:val="24"/>
        </w:rPr>
        <w:t>n</w:t>
      </w:r>
      <w:r w:rsidR="00125A26" w:rsidRPr="00B12D64">
        <w:rPr>
          <w:rFonts w:cs="Arial"/>
          <w:szCs w:val="24"/>
        </w:rPr>
        <w:t>lawfully</w:t>
      </w:r>
      <w:r w:rsidR="00453253" w:rsidRPr="00B12D64">
        <w:rPr>
          <w:rFonts w:cs="Arial"/>
          <w:szCs w:val="24"/>
        </w:rPr>
        <w:t>. But it has taken</w:t>
      </w:r>
      <w:r w:rsidR="000E6FB2" w:rsidRPr="00B12D64">
        <w:rPr>
          <w:rFonts w:cs="Arial"/>
          <w:szCs w:val="24"/>
        </w:rPr>
        <w:t xml:space="preserve"> the dispute</w:t>
      </w:r>
      <w:r w:rsidR="00453253" w:rsidRPr="00B12D64">
        <w:rPr>
          <w:rFonts w:cs="Arial"/>
          <w:szCs w:val="24"/>
        </w:rPr>
        <w:t xml:space="preserve"> a step further. It </w:t>
      </w:r>
      <w:r w:rsidR="00125A26" w:rsidRPr="00B12D64">
        <w:rPr>
          <w:rFonts w:cs="Arial"/>
          <w:szCs w:val="24"/>
        </w:rPr>
        <w:t xml:space="preserve">says </w:t>
      </w:r>
      <w:r w:rsidR="00453253" w:rsidRPr="00B12D64">
        <w:rPr>
          <w:rFonts w:cs="Arial"/>
          <w:szCs w:val="24"/>
        </w:rPr>
        <w:t xml:space="preserve">the </w:t>
      </w:r>
      <w:r w:rsidR="00147F8B" w:rsidRPr="00B12D64">
        <w:rPr>
          <w:rFonts w:cs="Arial"/>
          <w:szCs w:val="24"/>
        </w:rPr>
        <w:t>taxpayers</w:t>
      </w:r>
      <w:r w:rsidR="00453253" w:rsidRPr="00B12D64">
        <w:rPr>
          <w:rFonts w:cs="Arial"/>
          <w:szCs w:val="24"/>
        </w:rPr>
        <w:t xml:space="preserve"> </w:t>
      </w:r>
      <w:r w:rsidR="00125A26" w:rsidRPr="00B12D64">
        <w:rPr>
          <w:rFonts w:cs="Arial"/>
          <w:szCs w:val="24"/>
        </w:rPr>
        <w:t>should not be in this court as they have failed to exhaust their internal remedies.</w:t>
      </w:r>
      <w:r w:rsidR="00941DDE" w:rsidRPr="00B12D64">
        <w:rPr>
          <w:rFonts w:cs="Arial"/>
          <w:szCs w:val="24"/>
        </w:rPr>
        <w:t xml:space="preserve"> SARS seeks to have the application dismissed</w:t>
      </w:r>
      <w:r w:rsidR="00C0554C" w:rsidRPr="00B12D64">
        <w:rPr>
          <w:rFonts w:cs="Arial"/>
          <w:szCs w:val="24"/>
        </w:rPr>
        <w:t xml:space="preserve"> on this basis alone</w:t>
      </w:r>
      <w:r w:rsidR="00941DDE" w:rsidRPr="00B12D64">
        <w:rPr>
          <w:rFonts w:cs="Arial"/>
          <w:szCs w:val="24"/>
        </w:rPr>
        <w:t>.</w:t>
      </w:r>
      <w:r w:rsidR="00C84B78" w:rsidRPr="00B12D64">
        <w:rPr>
          <w:rFonts w:cs="Arial"/>
          <w:szCs w:val="24"/>
        </w:rPr>
        <w:t xml:space="preserve"> </w:t>
      </w:r>
      <w:r w:rsidR="00A27FAE" w:rsidRPr="00B12D64">
        <w:rPr>
          <w:rFonts w:cs="Arial"/>
          <w:szCs w:val="24"/>
        </w:rPr>
        <w:t xml:space="preserve">To summarise: there are </w:t>
      </w:r>
      <w:r w:rsidR="00C84B78" w:rsidRPr="00B12D64">
        <w:rPr>
          <w:rFonts w:cs="Arial"/>
          <w:szCs w:val="24"/>
        </w:rPr>
        <w:t xml:space="preserve">three disputes between the </w:t>
      </w:r>
      <w:r w:rsidR="00147F8B" w:rsidRPr="00B12D64">
        <w:rPr>
          <w:rFonts w:cs="Arial"/>
          <w:szCs w:val="24"/>
        </w:rPr>
        <w:t xml:space="preserve">taxpayers </w:t>
      </w:r>
      <w:r w:rsidR="00C84B78" w:rsidRPr="00B12D64">
        <w:rPr>
          <w:rFonts w:cs="Arial"/>
          <w:szCs w:val="24"/>
        </w:rPr>
        <w:t>and SARS</w:t>
      </w:r>
      <w:r w:rsidR="00813496" w:rsidRPr="00B12D64">
        <w:rPr>
          <w:rFonts w:cs="Arial"/>
          <w:szCs w:val="24"/>
        </w:rPr>
        <w:t>;</w:t>
      </w:r>
      <w:r w:rsidR="00C84B78" w:rsidRPr="00B12D64">
        <w:rPr>
          <w:rFonts w:cs="Arial"/>
          <w:szCs w:val="24"/>
        </w:rPr>
        <w:t xml:space="preserve"> </w:t>
      </w:r>
      <w:r w:rsidR="00C84B78" w:rsidRPr="00B12D64">
        <w:rPr>
          <w:rFonts w:cs="Arial"/>
          <w:szCs w:val="24"/>
        </w:rPr>
        <w:lastRenderedPageBreak/>
        <w:t xml:space="preserve">(i) a dispute about whether the </w:t>
      </w:r>
      <w:r w:rsidR="00157106" w:rsidRPr="00B12D64">
        <w:rPr>
          <w:rFonts w:cs="Arial"/>
          <w:szCs w:val="24"/>
        </w:rPr>
        <w:t xml:space="preserve">taxpayers </w:t>
      </w:r>
      <w:r w:rsidR="00C84B78" w:rsidRPr="00B12D64">
        <w:rPr>
          <w:rFonts w:cs="Arial"/>
          <w:szCs w:val="24"/>
        </w:rPr>
        <w:t xml:space="preserve">have been correctly assessed; (ii) a dispute about whether SARS followed the correct process </w:t>
      </w:r>
      <w:r w:rsidR="0074240E" w:rsidRPr="00B12D64">
        <w:rPr>
          <w:rFonts w:cs="Arial"/>
          <w:szCs w:val="24"/>
        </w:rPr>
        <w:t>prior to</w:t>
      </w:r>
      <w:r w:rsidR="00C84B78" w:rsidRPr="00B12D64">
        <w:rPr>
          <w:rFonts w:cs="Arial"/>
          <w:szCs w:val="24"/>
        </w:rPr>
        <w:t xml:space="preserve"> levelling the asse</w:t>
      </w:r>
      <w:r w:rsidR="006D3617" w:rsidRPr="00B12D64">
        <w:rPr>
          <w:rFonts w:cs="Arial"/>
          <w:szCs w:val="24"/>
        </w:rPr>
        <w:t>ss</w:t>
      </w:r>
      <w:r w:rsidR="00C84B78" w:rsidRPr="00B12D64">
        <w:rPr>
          <w:rFonts w:cs="Arial"/>
          <w:szCs w:val="24"/>
        </w:rPr>
        <w:t>ments</w:t>
      </w:r>
      <w:r w:rsidR="000607E9" w:rsidRPr="00B12D64">
        <w:rPr>
          <w:rFonts w:cs="Arial"/>
          <w:szCs w:val="24"/>
        </w:rPr>
        <w:t>;</w:t>
      </w:r>
      <w:r w:rsidR="00130C62" w:rsidRPr="00B12D64">
        <w:rPr>
          <w:rFonts w:cs="Arial"/>
          <w:szCs w:val="24"/>
        </w:rPr>
        <w:t xml:space="preserve"> and </w:t>
      </w:r>
      <w:r w:rsidR="000607E9" w:rsidRPr="00B12D64">
        <w:rPr>
          <w:rFonts w:cs="Arial"/>
          <w:szCs w:val="24"/>
        </w:rPr>
        <w:t>(iii) a dispute about whether the taxpayers were required to exhaust their internal remedies instead of coming to this court. This case concerns only the latter two disputes.</w:t>
      </w:r>
    </w:p>
    <w:p w14:paraId="0808B85E" w14:textId="155BDF40" w:rsidR="00382170" w:rsidRPr="000137A8" w:rsidRDefault="000137A8" w:rsidP="000137A8">
      <w:pPr>
        <w:spacing w:after="360" w:line="480" w:lineRule="auto"/>
        <w:ind w:left="720" w:hanging="720"/>
        <w:jc w:val="both"/>
        <w:rPr>
          <w:rFonts w:cs="Arial"/>
          <w:szCs w:val="24"/>
        </w:rPr>
      </w:pPr>
      <w:r>
        <w:rPr>
          <w:rFonts w:cs="Arial"/>
          <w:szCs w:val="24"/>
        </w:rPr>
        <w:t>[3]</w:t>
      </w:r>
      <w:r>
        <w:rPr>
          <w:rFonts w:cs="Arial"/>
          <w:szCs w:val="24"/>
        </w:rPr>
        <w:tab/>
      </w:r>
      <w:r w:rsidR="00125A26" w:rsidRPr="000137A8">
        <w:rPr>
          <w:rFonts w:cs="Arial"/>
          <w:szCs w:val="24"/>
        </w:rPr>
        <w:t xml:space="preserve">If the </w:t>
      </w:r>
      <w:r w:rsidR="00157106" w:rsidRPr="000137A8">
        <w:rPr>
          <w:rFonts w:cs="Arial"/>
          <w:szCs w:val="24"/>
        </w:rPr>
        <w:t xml:space="preserve">taxpayers </w:t>
      </w:r>
      <w:r w:rsidR="00D806EA" w:rsidRPr="000137A8">
        <w:rPr>
          <w:rFonts w:cs="Arial"/>
          <w:szCs w:val="24"/>
        </w:rPr>
        <w:t xml:space="preserve">succeed in their review </w:t>
      </w:r>
      <w:r w:rsidR="00125A26" w:rsidRPr="000137A8">
        <w:rPr>
          <w:rFonts w:cs="Arial"/>
          <w:szCs w:val="24"/>
        </w:rPr>
        <w:t xml:space="preserve">that is the end of the adverse assessments – as the time taken for SARS to issue a new assessment has </w:t>
      </w:r>
      <w:r w:rsidR="00453253" w:rsidRPr="000137A8">
        <w:rPr>
          <w:rFonts w:cs="Arial"/>
          <w:szCs w:val="24"/>
        </w:rPr>
        <w:t>lapsed</w:t>
      </w:r>
      <w:r w:rsidR="00125A26" w:rsidRPr="000137A8">
        <w:rPr>
          <w:rFonts w:cs="Arial"/>
          <w:szCs w:val="24"/>
        </w:rPr>
        <w:t>.</w:t>
      </w:r>
      <w:r w:rsidR="00125A26" w:rsidRPr="00B12D64">
        <w:rPr>
          <w:rStyle w:val="FootnoteReference"/>
          <w:rFonts w:cs="Arial"/>
          <w:szCs w:val="24"/>
        </w:rPr>
        <w:footnoteReference w:id="2"/>
      </w:r>
      <w:r w:rsidR="00125A26" w:rsidRPr="000137A8">
        <w:rPr>
          <w:rFonts w:cs="Arial"/>
          <w:szCs w:val="24"/>
        </w:rPr>
        <w:t xml:space="preserve"> If SARS is correct</w:t>
      </w:r>
      <w:r w:rsidR="009A4040" w:rsidRPr="000137A8">
        <w:rPr>
          <w:rFonts w:cs="Arial"/>
          <w:szCs w:val="24"/>
        </w:rPr>
        <w:t xml:space="preserve"> in its preliminary objection,</w:t>
      </w:r>
      <w:r w:rsidR="00125A26" w:rsidRPr="000137A8">
        <w:rPr>
          <w:rFonts w:cs="Arial"/>
          <w:szCs w:val="24"/>
        </w:rPr>
        <w:t xml:space="preserve"> the case in this court would end and the </w:t>
      </w:r>
      <w:r w:rsidR="006D2115" w:rsidRPr="000137A8">
        <w:rPr>
          <w:rFonts w:cs="Arial"/>
          <w:szCs w:val="24"/>
        </w:rPr>
        <w:t xml:space="preserve">taxpayers </w:t>
      </w:r>
      <w:r w:rsidR="00125A26" w:rsidRPr="000137A8">
        <w:rPr>
          <w:rFonts w:cs="Arial"/>
          <w:szCs w:val="24"/>
        </w:rPr>
        <w:t xml:space="preserve">would have to explore their </w:t>
      </w:r>
      <w:r w:rsidR="00453253" w:rsidRPr="000137A8">
        <w:rPr>
          <w:rFonts w:cs="Arial"/>
          <w:szCs w:val="24"/>
        </w:rPr>
        <w:t xml:space="preserve">internal </w:t>
      </w:r>
      <w:r w:rsidR="00125A26" w:rsidRPr="000137A8">
        <w:rPr>
          <w:rFonts w:cs="Arial"/>
          <w:szCs w:val="24"/>
        </w:rPr>
        <w:t>remedies</w:t>
      </w:r>
      <w:r w:rsidR="006D2115" w:rsidRPr="000137A8">
        <w:rPr>
          <w:rFonts w:cs="Arial"/>
          <w:szCs w:val="24"/>
        </w:rPr>
        <w:t>,</w:t>
      </w:r>
      <w:r w:rsidR="00453253" w:rsidRPr="000137A8">
        <w:rPr>
          <w:rFonts w:cs="Arial"/>
          <w:szCs w:val="24"/>
        </w:rPr>
        <w:t xml:space="preserve"> which effectively means </w:t>
      </w:r>
      <w:r w:rsidR="00D579DF" w:rsidRPr="000137A8">
        <w:rPr>
          <w:rFonts w:cs="Arial"/>
          <w:szCs w:val="24"/>
        </w:rPr>
        <w:t xml:space="preserve">following the objection process set out in terms of section 104 of the Tax Administration Act, </w:t>
      </w:r>
      <w:r w:rsidR="00F93FB7" w:rsidRPr="000137A8">
        <w:rPr>
          <w:rFonts w:cs="Arial"/>
          <w:szCs w:val="24"/>
        </w:rPr>
        <w:t>28 of 2011 (</w:t>
      </w:r>
      <w:r>
        <w:rPr>
          <w:rFonts w:cs="Arial"/>
          <w:szCs w:val="24"/>
        </w:rPr>
        <w:t>“</w:t>
      </w:r>
      <w:r w:rsidR="00F93FB7" w:rsidRPr="000137A8">
        <w:rPr>
          <w:rFonts w:cs="Arial"/>
          <w:szCs w:val="24"/>
        </w:rPr>
        <w:t>TAA</w:t>
      </w:r>
      <w:r>
        <w:rPr>
          <w:rFonts w:cs="Arial"/>
          <w:szCs w:val="24"/>
        </w:rPr>
        <w:t>”</w:t>
      </w:r>
      <w:r w:rsidR="00F93FB7" w:rsidRPr="000137A8">
        <w:rPr>
          <w:rFonts w:cs="Arial"/>
          <w:szCs w:val="24"/>
        </w:rPr>
        <w:t xml:space="preserve">) </w:t>
      </w:r>
      <w:r w:rsidR="00F95054" w:rsidRPr="000137A8">
        <w:rPr>
          <w:rFonts w:cs="Arial"/>
          <w:szCs w:val="24"/>
        </w:rPr>
        <w:t xml:space="preserve">and if unsuccessful, </w:t>
      </w:r>
      <w:r w:rsidR="00453253" w:rsidRPr="000137A8">
        <w:rPr>
          <w:rFonts w:cs="Arial"/>
          <w:szCs w:val="24"/>
        </w:rPr>
        <w:t xml:space="preserve">litigating in the </w:t>
      </w:r>
      <w:r w:rsidR="00125A26" w:rsidRPr="000137A8">
        <w:rPr>
          <w:rFonts w:cs="Arial"/>
          <w:szCs w:val="24"/>
        </w:rPr>
        <w:t>Tax Court.</w:t>
      </w:r>
    </w:p>
    <w:p w14:paraId="3BC1FDF1" w14:textId="511AB118" w:rsidR="00BE241D" w:rsidRPr="00B12D64" w:rsidRDefault="00BE241D" w:rsidP="00B12D64">
      <w:pPr>
        <w:pStyle w:val="ListParagraph"/>
        <w:spacing w:after="360" w:line="480" w:lineRule="auto"/>
        <w:contextualSpacing w:val="0"/>
        <w:jc w:val="both"/>
        <w:rPr>
          <w:rFonts w:cs="Arial"/>
          <w:b/>
          <w:bCs/>
          <w:szCs w:val="24"/>
        </w:rPr>
      </w:pPr>
      <w:r w:rsidRPr="00B12D64">
        <w:rPr>
          <w:rFonts w:cs="Arial"/>
          <w:b/>
          <w:bCs/>
          <w:szCs w:val="24"/>
        </w:rPr>
        <w:t xml:space="preserve">Background </w:t>
      </w:r>
    </w:p>
    <w:p w14:paraId="1C37CDBC" w14:textId="1482638C" w:rsidR="00BE241D" w:rsidRPr="000137A8" w:rsidRDefault="000137A8" w:rsidP="000137A8">
      <w:pPr>
        <w:spacing w:after="360" w:line="480" w:lineRule="auto"/>
        <w:ind w:left="720" w:hanging="720"/>
        <w:jc w:val="both"/>
        <w:rPr>
          <w:rFonts w:cs="Arial"/>
          <w:szCs w:val="24"/>
        </w:rPr>
      </w:pPr>
      <w:r>
        <w:rPr>
          <w:rFonts w:cs="Arial"/>
          <w:szCs w:val="24"/>
        </w:rPr>
        <w:t>[4]</w:t>
      </w:r>
      <w:r>
        <w:rPr>
          <w:rFonts w:cs="Arial"/>
          <w:szCs w:val="24"/>
        </w:rPr>
        <w:tab/>
      </w:r>
      <w:r w:rsidR="00BE241D" w:rsidRPr="000137A8">
        <w:rPr>
          <w:rFonts w:cs="Arial"/>
          <w:szCs w:val="24"/>
        </w:rPr>
        <w:t xml:space="preserve">The taxpayers are trustees of six trusts. These trusts directly and indirectly own interest in companies in a group known as the Amalgamated </w:t>
      </w:r>
      <w:r w:rsidR="005D59DC" w:rsidRPr="000137A8">
        <w:rPr>
          <w:rFonts w:cs="Arial"/>
          <w:szCs w:val="24"/>
        </w:rPr>
        <w:t>Metals Recycling</w:t>
      </w:r>
      <w:r w:rsidR="00BE241D" w:rsidRPr="000137A8">
        <w:rPr>
          <w:rFonts w:cs="Arial"/>
          <w:szCs w:val="24"/>
        </w:rPr>
        <w:t xml:space="preserve"> (</w:t>
      </w:r>
      <w:r>
        <w:rPr>
          <w:rFonts w:cs="Arial"/>
          <w:szCs w:val="24"/>
        </w:rPr>
        <w:t>“</w:t>
      </w:r>
      <w:r w:rsidR="00BE241D" w:rsidRPr="000137A8">
        <w:rPr>
          <w:rFonts w:cs="Arial"/>
          <w:szCs w:val="24"/>
        </w:rPr>
        <w:t>AMR</w:t>
      </w:r>
      <w:r>
        <w:rPr>
          <w:rFonts w:cs="Arial"/>
          <w:szCs w:val="24"/>
        </w:rPr>
        <w:t>”</w:t>
      </w:r>
      <w:r w:rsidR="00BE241D" w:rsidRPr="000137A8">
        <w:rPr>
          <w:rFonts w:cs="Arial"/>
          <w:szCs w:val="24"/>
        </w:rPr>
        <w:t>). In 2016</w:t>
      </w:r>
      <w:r w:rsidR="00331421" w:rsidRPr="000137A8">
        <w:rPr>
          <w:rFonts w:cs="Arial"/>
          <w:szCs w:val="24"/>
        </w:rPr>
        <w:t>,</w:t>
      </w:r>
      <w:r w:rsidR="00BE241D" w:rsidRPr="000137A8">
        <w:rPr>
          <w:rFonts w:cs="Arial"/>
          <w:szCs w:val="24"/>
        </w:rPr>
        <w:t xml:space="preserve"> </w:t>
      </w:r>
      <w:r w:rsidR="00331421" w:rsidRPr="000137A8">
        <w:rPr>
          <w:rFonts w:cs="Arial"/>
          <w:szCs w:val="24"/>
        </w:rPr>
        <w:t xml:space="preserve">Insimbi, </w:t>
      </w:r>
      <w:r w:rsidR="00BE241D" w:rsidRPr="000137A8">
        <w:rPr>
          <w:rFonts w:cs="Arial"/>
          <w:szCs w:val="24"/>
        </w:rPr>
        <w:t xml:space="preserve">a JSE listed company expressed an interest in buying some of the companies that formed part of the </w:t>
      </w:r>
      <w:r w:rsidR="0086094F" w:rsidRPr="000137A8">
        <w:rPr>
          <w:rFonts w:cs="Arial"/>
          <w:szCs w:val="24"/>
        </w:rPr>
        <w:t xml:space="preserve">AMR </w:t>
      </w:r>
      <w:r w:rsidR="00BE241D" w:rsidRPr="000137A8">
        <w:rPr>
          <w:rFonts w:cs="Arial"/>
          <w:szCs w:val="24"/>
        </w:rPr>
        <w:t xml:space="preserve">group by acquiring them from the taxpayers. </w:t>
      </w:r>
      <w:r w:rsidR="00C970C1" w:rsidRPr="000137A8">
        <w:rPr>
          <w:rFonts w:cs="Arial"/>
          <w:szCs w:val="24"/>
        </w:rPr>
        <w:t>To achieve this objective t</w:t>
      </w:r>
      <w:r w:rsidR="00BE241D" w:rsidRPr="000137A8">
        <w:rPr>
          <w:rFonts w:cs="Arial"/>
          <w:szCs w:val="24"/>
        </w:rPr>
        <w:t xml:space="preserve">he </w:t>
      </w:r>
      <w:r w:rsidR="00FF43FE" w:rsidRPr="000137A8">
        <w:rPr>
          <w:rFonts w:cs="Arial"/>
          <w:szCs w:val="24"/>
        </w:rPr>
        <w:t xml:space="preserve">taxpayers </w:t>
      </w:r>
      <w:r w:rsidR="00BE241D" w:rsidRPr="000137A8">
        <w:rPr>
          <w:rFonts w:cs="Arial"/>
          <w:szCs w:val="24"/>
        </w:rPr>
        <w:t>adopted what they term</w:t>
      </w:r>
      <w:r w:rsidR="00FF43FE" w:rsidRPr="000137A8">
        <w:rPr>
          <w:rFonts w:cs="Arial"/>
          <w:szCs w:val="24"/>
        </w:rPr>
        <w:t>ed</w:t>
      </w:r>
      <w:r w:rsidR="00BE241D" w:rsidRPr="000137A8">
        <w:rPr>
          <w:rFonts w:cs="Arial"/>
          <w:szCs w:val="24"/>
        </w:rPr>
        <w:t xml:space="preserve"> a </w:t>
      </w:r>
      <w:r w:rsidR="004A6856" w:rsidRPr="000137A8">
        <w:rPr>
          <w:rFonts w:cs="Arial"/>
          <w:szCs w:val="24"/>
        </w:rPr>
        <w:t>“</w:t>
      </w:r>
      <w:r w:rsidR="00E618F7" w:rsidRPr="000137A8">
        <w:rPr>
          <w:rFonts w:cs="Arial"/>
          <w:szCs w:val="24"/>
        </w:rPr>
        <w:t>…</w:t>
      </w:r>
      <w:r w:rsidR="00BE241D" w:rsidRPr="000137A8">
        <w:rPr>
          <w:rFonts w:cs="Arial"/>
          <w:i/>
          <w:iCs/>
          <w:szCs w:val="24"/>
        </w:rPr>
        <w:t xml:space="preserve">disposal </w:t>
      </w:r>
      <w:r w:rsidR="004A6856" w:rsidRPr="000137A8">
        <w:rPr>
          <w:rFonts w:cs="Arial"/>
          <w:i/>
          <w:iCs/>
          <w:szCs w:val="24"/>
        </w:rPr>
        <w:t>methodology</w:t>
      </w:r>
      <w:r w:rsidR="00BE241D" w:rsidRPr="000137A8">
        <w:rPr>
          <w:rFonts w:cs="Arial"/>
          <w:i/>
          <w:iCs/>
          <w:szCs w:val="24"/>
        </w:rPr>
        <w:t xml:space="preserve"> that gave effect to their commercial objectives</w:t>
      </w:r>
      <w:r w:rsidR="004A6856" w:rsidRPr="000137A8">
        <w:rPr>
          <w:rFonts w:cs="Arial"/>
          <w:szCs w:val="24"/>
        </w:rPr>
        <w:t>”</w:t>
      </w:r>
      <w:r w:rsidR="00BE241D" w:rsidRPr="000137A8">
        <w:rPr>
          <w:rFonts w:cs="Arial"/>
          <w:szCs w:val="24"/>
        </w:rPr>
        <w:t xml:space="preserve">. Stripped of its jargon it meant doing the transactions in way that avoided </w:t>
      </w:r>
      <w:r w:rsidR="00B74757" w:rsidRPr="000137A8">
        <w:rPr>
          <w:rFonts w:cs="Arial"/>
          <w:szCs w:val="24"/>
        </w:rPr>
        <w:t xml:space="preserve">that they </w:t>
      </w:r>
      <w:r w:rsidR="00B74757" w:rsidRPr="000137A8">
        <w:rPr>
          <w:rFonts w:cs="Arial"/>
          <w:szCs w:val="24"/>
        </w:rPr>
        <w:lastRenderedPageBreak/>
        <w:t xml:space="preserve">considered avoided </w:t>
      </w:r>
      <w:r w:rsidR="00BE241D" w:rsidRPr="000137A8">
        <w:rPr>
          <w:rFonts w:cs="Arial"/>
          <w:szCs w:val="24"/>
        </w:rPr>
        <w:t xml:space="preserve">liability for capital gains tax. </w:t>
      </w:r>
      <w:r w:rsidR="007102B3" w:rsidRPr="000137A8">
        <w:rPr>
          <w:rFonts w:cs="Arial"/>
          <w:szCs w:val="24"/>
        </w:rPr>
        <w:t>I will refer to these transactions as the AMR transactions.</w:t>
      </w:r>
    </w:p>
    <w:p w14:paraId="23DC6E34" w14:textId="79238B32" w:rsidR="009E43EB" w:rsidRPr="000137A8" w:rsidRDefault="000137A8" w:rsidP="000137A8">
      <w:pPr>
        <w:spacing w:after="360" w:line="480" w:lineRule="auto"/>
        <w:ind w:left="720" w:hanging="720"/>
        <w:jc w:val="both"/>
        <w:rPr>
          <w:rFonts w:cs="Arial"/>
          <w:szCs w:val="24"/>
        </w:rPr>
      </w:pPr>
      <w:r>
        <w:rPr>
          <w:rFonts w:cs="Arial"/>
          <w:szCs w:val="24"/>
        </w:rPr>
        <w:t>[5]</w:t>
      </w:r>
      <w:r>
        <w:rPr>
          <w:rFonts w:cs="Arial"/>
          <w:szCs w:val="24"/>
        </w:rPr>
        <w:tab/>
      </w:r>
      <w:r w:rsidR="009E43EB" w:rsidRPr="000137A8">
        <w:rPr>
          <w:rFonts w:cs="Arial"/>
          <w:szCs w:val="24"/>
        </w:rPr>
        <w:t xml:space="preserve">The </w:t>
      </w:r>
      <w:r w:rsidR="00081267" w:rsidRPr="000137A8">
        <w:rPr>
          <w:rFonts w:cs="Arial"/>
          <w:szCs w:val="24"/>
        </w:rPr>
        <w:t xml:space="preserve">AMR </w:t>
      </w:r>
      <w:r w:rsidR="009E43EB" w:rsidRPr="000137A8">
        <w:rPr>
          <w:rFonts w:cs="Arial"/>
          <w:szCs w:val="24"/>
        </w:rPr>
        <w:t xml:space="preserve">transactions were implemented </w:t>
      </w:r>
      <w:r w:rsidR="006B1E53" w:rsidRPr="000137A8">
        <w:rPr>
          <w:rFonts w:cs="Arial"/>
          <w:szCs w:val="24"/>
        </w:rPr>
        <w:t xml:space="preserve">between July and December 2016 and thus </w:t>
      </w:r>
      <w:r w:rsidR="00514437" w:rsidRPr="000137A8">
        <w:rPr>
          <w:rFonts w:cs="Arial"/>
          <w:szCs w:val="24"/>
        </w:rPr>
        <w:t xml:space="preserve">in the </w:t>
      </w:r>
      <w:r w:rsidR="00701D24" w:rsidRPr="000137A8">
        <w:rPr>
          <w:rFonts w:cs="Arial"/>
          <w:szCs w:val="24"/>
        </w:rPr>
        <w:t>taxpayers</w:t>
      </w:r>
      <w:r w:rsidR="00514437" w:rsidRPr="000137A8">
        <w:rPr>
          <w:rFonts w:cs="Arial"/>
          <w:szCs w:val="24"/>
        </w:rPr>
        <w:t>’ 2017 tax year.</w:t>
      </w:r>
      <w:r w:rsidR="00273670" w:rsidRPr="000137A8">
        <w:rPr>
          <w:rFonts w:cs="Arial"/>
          <w:szCs w:val="24"/>
        </w:rPr>
        <w:t xml:space="preserve"> SARS issued its original asse</w:t>
      </w:r>
      <w:r w:rsidR="00640954" w:rsidRPr="000137A8">
        <w:rPr>
          <w:rFonts w:cs="Arial"/>
          <w:szCs w:val="24"/>
        </w:rPr>
        <w:t>ss</w:t>
      </w:r>
      <w:r w:rsidR="00273670" w:rsidRPr="000137A8">
        <w:rPr>
          <w:rFonts w:cs="Arial"/>
          <w:szCs w:val="24"/>
        </w:rPr>
        <w:t>ments for th</w:t>
      </w:r>
      <w:r w:rsidR="00BB3828" w:rsidRPr="000137A8">
        <w:rPr>
          <w:rFonts w:cs="Arial"/>
          <w:szCs w:val="24"/>
        </w:rPr>
        <w:t>at</w:t>
      </w:r>
      <w:r w:rsidR="00273670" w:rsidRPr="000137A8">
        <w:rPr>
          <w:rFonts w:cs="Arial"/>
          <w:szCs w:val="24"/>
        </w:rPr>
        <w:t xml:space="preserve"> tax year </w:t>
      </w:r>
      <w:r w:rsidR="0031044B" w:rsidRPr="000137A8">
        <w:rPr>
          <w:rFonts w:cs="Arial"/>
          <w:szCs w:val="24"/>
        </w:rPr>
        <w:t>on 28 Februar</w:t>
      </w:r>
      <w:r w:rsidR="00640954" w:rsidRPr="000137A8">
        <w:rPr>
          <w:rFonts w:cs="Arial"/>
          <w:szCs w:val="24"/>
        </w:rPr>
        <w:t xml:space="preserve">y and 9 March 2018. </w:t>
      </w:r>
      <w:r w:rsidR="00373691" w:rsidRPr="000137A8">
        <w:rPr>
          <w:rFonts w:cs="Arial"/>
          <w:szCs w:val="24"/>
        </w:rPr>
        <w:t xml:space="preserve"> In February 2019 SARS </w:t>
      </w:r>
      <w:r w:rsidR="009D31EE" w:rsidRPr="000137A8">
        <w:rPr>
          <w:rFonts w:cs="Arial"/>
          <w:szCs w:val="24"/>
        </w:rPr>
        <w:t xml:space="preserve">sent queries </w:t>
      </w:r>
      <w:r w:rsidR="006D441F" w:rsidRPr="000137A8">
        <w:rPr>
          <w:rFonts w:cs="Arial"/>
          <w:szCs w:val="24"/>
        </w:rPr>
        <w:t>to the taxpayers about entities that they collectively held a 100% interest in</w:t>
      </w:r>
      <w:r w:rsidR="00781A5C" w:rsidRPr="000137A8">
        <w:rPr>
          <w:rFonts w:cs="Arial"/>
          <w:szCs w:val="24"/>
        </w:rPr>
        <w:t xml:space="preserve">. The </w:t>
      </w:r>
      <w:r w:rsidR="009B54CC" w:rsidRPr="000137A8">
        <w:rPr>
          <w:rFonts w:cs="Arial"/>
          <w:szCs w:val="24"/>
        </w:rPr>
        <w:t xml:space="preserve">taxpayers </w:t>
      </w:r>
      <w:r w:rsidR="00DB2BC8" w:rsidRPr="000137A8">
        <w:rPr>
          <w:rFonts w:cs="Arial"/>
          <w:szCs w:val="24"/>
        </w:rPr>
        <w:t>responded to the queries</w:t>
      </w:r>
      <w:r w:rsidR="00E82989" w:rsidRPr="000137A8">
        <w:rPr>
          <w:rFonts w:cs="Arial"/>
          <w:szCs w:val="24"/>
        </w:rPr>
        <w:t>. They</w:t>
      </w:r>
      <w:r w:rsidR="003C5797">
        <w:rPr>
          <w:rFonts w:cs="Arial"/>
          <w:szCs w:val="24"/>
        </w:rPr>
        <w:t xml:space="preserve"> say they </w:t>
      </w:r>
      <w:r w:rsidR="00DB2BC8" w:rsidRPr="000137A8">
        <w:rPr>
          <w:rFonts w:cs="Arial"/>
          <w:szCs w:val="24"/>
        </w:rPr>
        <w:t xml:space="preserve">did not hear from SARS </w:t>
      </w:r>
      <w:r w:rsidR="00000B32" w:rsidRPr="000137A8">
        <w:rPr>
          <w:rFonts w:cs="Arial"/>
          <w:szCs w:val="24"/>
        </w:rPr>
        <w:t xml:space="preserve">again, </w:t>
      </w:r>
      <w:r w:rsidR="00DB2BC8" w:rsidRPr="000137A8">
        <w:rPr>
          <w:rFonts w:cs="Arial"/>
          <w:szCs w:val="24"/>
        </w:rPr>
        <w:t>unti</w:t>
      </w:r>
      <w:r w:rsidR="001F28ED" w:rsidRPr="000137A8">
        <w:rPr>
          <w:rFonts w:cs="Arial"/>
          <w:szCs w:val="24"/>
        </w:rPr>
        <w:t>l nearly a year later</w:t>
      </w:r>
      <w:r w:rsidR="00C01A21" w:rsidRPr="000137A8">
        <w:rPr>
          <w:rFonts w:cs="Arial"/>
          <w:szCs w:val="24"/>
        </w:rPr>
        <w:t>.  On</w:t>
      </w:r>
      <w:r w:rsidR="001F28ED" w:rsidRPr="000137A8">
        <w:rPr>
          <w:rFonts w:cs="Arial"/>
          <w:szCs w:val="24"/>
        </w:rPr>
        <w:t xml:space="preserve"> 21 January 2020</w:t>
      </w:r>
      <w:r w:rsidR="006C6EEA" w:rsidRPr="000137A8">
        <w:rPr>
          <w:rFonts w:cs="Arial"/>
          <w:szCs w:val="24"/>
        </w:rPr>
        <w:t>,</w:t>
      </w:r>
      <w:r w:rsidR="00C01A21" w:rsidRPr="000137A8">
        <w:rPr>
          <w:rFonts w:cs="Arial"/>
          <w:szCs w:val="24"/>
        </w:rPr>
        <w:t xml:space="preserve"> SARS notified each taxpayer</w:t>
      </w:r>
      <w:r w:rsidR="006F1046" w:rsidRPr="000137A8">
        <w:rPr>
          <w:rFonts w:cs="Arial"/>
          <w:szCs w:val="24"/>
        </w:rPr>
        <w:t xml:space="preserve"> in terms of section 42(1</w:t>
      </w:r>
      <w:r w:rsidR="006C6EEA" w:rsidRPr="000137A8">
        <w:rPr>
          <w:rFonts w:cs="Arial"/>
          <w:szCs w:val="24"/>
        </w:rPr>
        <w:t>) of the TAA</w:t>
      </w:r>
      <w:r w:rsidR="009350ED" w:rsidRPr="000137A8">
        <w:rPr>
          <w:rFonts w:cs="Arial"/>
          <w:szCs w:val="24"/>
        </w:rPr>
        <w:t>,</w:t>
      </w:r>
      <w:r w:rsidR="00C01A21" w:rsidRPr="000137A8">
        <w:rPr>
          <w:rFonts w:cs="Arial"/>
          <w:szCs w:val="24"/>
        </w:rPr>
        <w:t xml:space="preserve"> </w:t>
      </w:r>
      <w:r w:rsidR="00487234" w:rsidRPr="000137A8">
        <w:rPr>
          <w:rFonts w:cs="Arial"/>
          <w:szCs w:val="24"/>
        </w:rPr>
        <w:t>that</w:t>
      </w:r>
      <w:r w:rsidR="006F1046" w:rsidRPr="000137A8">
        <w:rPr>
          <w:rFonts w:cs="Arial"/>
          <w:szCs w:val="24"/>
        </w:rPr>
        <w:t xml:space="preserve"> it would conduct an audit in respect of the tax consequences of the AMR transactions in the 2017 tax year</w:t>
      </w:r>
      <w:r w:rsidR="009706A5" w:rsidRPr="000137A8">
        <w:rPr>
          <w:rFonts w:cs="Arial"/>
          <w:szCs w:val="24"/>
        </w:rPr>
        <w:t>.</w:t>
      </w:r>
      <w:r w:rsidR="00C70BB3" w:rsidRPr="00B12D64">
        <w:rPr>
          <w:rStyle w:val="FootnoteReference"/>
          <w:rFonts w:cs="Arial"/>
          <w:szCs w:val="24"/>
        </w:rPr>
        <w:footnoteReference w:id="3"/>
      </w:r>
      <w:r w:rsidR="009706A5" w:rsidRPr="000137A8">
        <w:rPr>
          <w:rFonts w:cs="Arial"/>
          <w:szCs w:val="24"/>
        </w:rPr>
        <w:t xml:space="preserve"> </w:t>
      </w:r>
      <w:r w:rsidR="00290F25" w:rsidRPr="000137A8">
        <w:rPr>
          <w:rFonts w:cs="Arial"/>
          <w:szCs w:val="24"/>
        </w:rPr>
        <w:t>SARS</w:t>
      </w:r>
      <w:r w:rsidR="009706A5" w:rsidRPr="000137A8">
        <w:rPr>
          <w:rFonts w:cs="Arial"/>
          <w:szCs w:val="24"/>
        </w:rPr>
        <w:t xml:space="preserve"> requested information from the </w:t>
      </w:r>
      <w:r w:rsidR="00741176" w:rsidRPr="000137A8">
        <w:rPr>
          <w:rFonts w:cs="Arial"/>
          <w:szCs w:val="24"/>
        </w:rPr>
        <w:t>taxpayers</w:t>
      </w:r>
      <w:r w:rsidR="009706A5" w:rsidRPr="000137A8">
        <w:rPr>
          <w:rFonts w:cs="Arial"/>
          <w:szCs w:val="24"/>
        </w:rPr>
        <w:t xml:space="preserve"> which they say they provi</w:t>
      </w:r>
      <w:r w:rsidR="005D2523" w:rsidRPr="000137A8">
        <w:rPr>
          <w:rFonts w:cs="Arial"/>
          <w:szCs w:val="24"/>
        </w:rPr>
        <w:t>ded the next month.</w:t>
      </w:r>
    </w:p>
    <w:p w14:paraId="5A7C909D" w14:textId="34E668B6" w:rsidR="003013F7" w:rsidRPr="003C5797" w:rsidRDefault="003C5797" w:rsidP="003C5797">
      <w:pPr>
        <w:spacing w:after="360" w:line="480" w:lineRule="auto"/>
        <w:ind w:left="720" w:hanging="720"/>
        <w:jc w:val="both"/>
        <w:rPr>
          <w:rFonts w:cs="Arial"/>
          <w:szCs w:val="24"/>
        </w:rPr>
      </w:pPr>
      <w:r>
        <w:rPr>
          <w:rFonts w:cs="Arial"/>
          <w:szCs w:val="24"/>
        </w:rPr>
        <w:t>[6]</w:t>
      </w:r>
      <w:r>
        <w:rPr>
          <w:rFonts w:cs="Arial"/>
          <w:szCs w:val="24"/>
        </w:rPr>
        <w:tab/>
      </w:r>
      <w:r w:rsidR="005D2523" w:rsidRPr="003C5797">
        <w:rPr>
          <w:rFonts w:cs="Arial"/>
          <w:szCs w:val="24"/>
        </w:rPr>
        <w:t>But then came the event</w:t>
      </w:r>
      <w:r w:rsidR="004815D9" w:rsidRPr="003C5797">
        <w:rPr>
          <w:rFonts w:cs="Arial"/>
          <w:szCs w:val="24"/>
        </w:rPr>
        <w:t>s</w:t>
      </w:r>
      <w:r w:rsidR="005D2523" w:rsidRPr="003C5797">
        <w:rPr>
          <w:rFonts w:cs="Arial"/>
          <w:szCs w:val="24"/>
        </w:rPr>
        <w:t xml:space="preserve"> that triggered this case. </w:t>
      </w:r>
      <w:r w:rsidR="00F94249" w:rsidRPr="003C5797">
        <w:rPr>
          <w:rFonts w:cs="Arial"/>
          <w:szCs w:val="24"/>
        </w:rPr>
        <w:t xml:space="preserve">On 30 </w:t>
      </w:r>
      <w:r w:rsidR="000E673C" w:rsidRPr="003C5797">
        <w:rPr>
          <w:rFonts w:cs="Arial"/>
          <w:szCs w:val="24"/>
        </w:rPr>
        <w:t xml:space="preserve">July 2020 </w:t>
      </w:r>
      <w:r w:rsidR="005D2523" w:rsidRPr="003C5797">
        <w:rPr>
          <w:rFonts w:cs="Arial"/>
          <w:szCs w:val="24"/>
        </w:rPr>
        <w:t xml:space="preserve">SARS issued </w:t>
      </w:r>
      <w:r w:rsidR="000E673C" w:rsidRPr="003C5797">
        <w:rPr>
          <w:rFonts w:cs="Arial"/>
          <w:szCs w:val="24"/>
        </w:rPr>
        <w:t xml:space="preserve">each </w:t>
      </w:r>
      <w:r w:rsidR="008B4F1C" w:rsidRPr="003C5797">
        <w:rPr>
          <w:rFonts w:cs="Arial"/>
          <w:szCs w:val="24"/>
        </w:rPr>
        <w:t>ta</w:t>
      </w:r>
      <w:r w:rsidR="00FE54EC" w:rsidRPr="003C5797">
        <w:rPr>
          <w:rFonts w:cs="Arial"/>
          <w:szCs w:val="24"/>
        </w:rPr>
        <w:t>xpayer</w:t>
      </w:r>
      <w:r w:rsidR="000E673C" w:rsidRPr="003C5797">
        <w:rPr>
          <w:rFonts w:cs="Arial"/>
          <w:szCs w:val="24"/>
        </w:rPr>
        <w:t xml:space="preserve"> with a notice </w:t>
      </w:r>
      <w:r w:rsidR="00196296" w:rsidRPr="003C5797">
        <w:rPr>
          <w:rFonts w:cs="Arial"/>
          <w:szCs w:val="24"/>
        </w:rPr>
        <w:t>in terms of section 80</w:t>
      </w:r>
      <w:r w:rsidR="0031456A" w:rsidRPr="003C5797">
        <w:rPr>
          <w:rFonts w:cs="Arial"/>
          <w:szCs w:val="24"/>
        </w:rPr>
        <w:t>J (</w:t>
      </w:r>
      <w:r w:rsidR="00196296" w:rsidRPr="003C5797">
        <w:rPr>
          <w:rFonts w:cs="Arial"/>
          <w:szCs w:val="24"/>
        </w:rPr>
        <w:t xml:space="preserve">1) of the Income Tax Act, 58 of 1962 </w:t>
      </w:r>
      <w:r w:rsidR="002B1330" w:rsidRPr="003C5797">
        <w:rPr>
          <w:rFonts w:cs="Arial"/>
          <w:szCs w:val="24"/>
        </w:rPr>
        <w:t>(ITA)</w:t>
      </w:r>
      <w:r w:rsidR="009350ED" w:rsidRPr="003C5797">
        <w:rPr>
          <w:rFonts w:cs="Arial"/>
          <w:szCs w:val="24"/>
        </w:rPr>
        <w:t>,</w:t>
      </w:r>
      <w:r w:rsidR="002B1330" w:rsidRPr="003C5797">
        <w:rPr>
          <w:rFonts w:cs="Arial"/>
          <w:szCs w:val="24"/>
        </w:rPr>
        <w:t xml:space="preserve"> </w:t>
      </w:r>
      <w:r w:rsidR="00E565F2" w:rsidRPr="003C5797">
        <w:rPr>
          <w:rFonts w:cs="Arial"/>
          <w:szCs w:val="24"/>
        </w:rPr>
        <w:t xml:space="preserve">inviting the </w:t>
      </w:r>
      <w:r w:rsidR="008B4F1C" w:rsidRPr="003C5797">
        <w:rPr>
          <w:rFonts w:cs="Arial"/>
          <w:szCs w:val="24"/>
        </w:rPr>
        <w:t xml:space="preserve">taxpayers </w:t>
      </w:r>
      <w:r w:rsidR="00E565F2" w:rsidRPr="003C5797">
        <w:rPr>
          <w:rFonts w:cs="Arial"/>
          <w:szCs w:val="24"/>
        </w:rPr>
        <w:t>to give reasons to SARS</w:t>
      </w:r>
      <w:r w:rsidR="00FE54EC" w:rsidRPr="003C5797">
        <w:rPr>
          <w:rFonts w:cs="Arial"/>
          <w:szCs w:val="24"/>
        </w:rPr>
        <w:t>,</w:t>
      </w:r>
      <w:r w:rsidR="00E565F2" w:rsidRPr="003C5797">
        <w:rPr>
          <w:rFonts w:cs="Arial"/>
          <w:szCs w:val="24"/>
        </w:rPr>
        <w:t xml:space="preserve"> why it should not apply the general anti-avoidance </w:t>
      </w:r>
      <w:r w:rsidR="007359FA" w:rsidRPr="003C5797">
        <w:rPr>
          <w:rFonts w:cs="Arial"/>
          <w:szCs w:val="24"/>
        </w:rPr>
        <w:t>Rule in Part I</w:t>
      </w:r>
      <w:r w:rsidR="00910FFE" w:rsidRPr="003C5797">
        <w:rPr>
          <w:rFonts w:cs="Arial"/>
          <w:szCs w:val="24"/>
        </w:rPr>
        <w:t xml:space="preserve">IA of Chapter </w:t>
      </w:r>
      <w:r w:rsidR="00C37AEE" w:rsidRPr="003C5797">
        <w:rPr>
          <w:rFonts w:cs="Arial"/>
          <w:szCs w:val="24"/>
        </w:rPr>
        <w:t>III</w:t>
      </w:r>
      <w:r w:rsidR="00B21B58" w:rsidRPr="003C5797">
        <w:rPr>
          <w:rFonts w:cs="Arial"/>
          <w:szCs w:val="24"/>
        </w:rPr>
        <w:t xml:space="preserve"> of the ITA.</w:t>
      </w:r>
      <w:r w:rsidR="000D4F46" w:rsidRPr="003C5797">
        <w:rPr>
          <w:rFonts w:cs="Arial"/>
          <w:szCs w:val="24"/>
        </w:rPr>
        <w:t xml:space="preserve"> </w:t>
      </w:r>
    </w:p>
    <w:p w14:paraId="77C4BB10" w14:textId="58F1AF73" w:rsidR="00CF3C5F" w:rsidRPr="003C5797" w:rsidRDefault="003C5797" w:rsidP="003C5797">
      <w:pPr>
        <w:spacing w:after="360" w:line="480" w:lineRule="auto"/>
        <w:ind w:left="720" w:hanging="720"/>
        <w:jc w:val="both"/>
        <w:rPr>
          <w:rFonts w:cs="Arial"/>
          <w:szCs w:val="24"/>
        </w:rPr>
      </w:pPr>
      <w:r>
        <w:rPr>
          <w:rFonts w:cs="Arial"/>
          <w:szCs w:val="24"/>
        </w:rPr>
        <w:t>[7]</w:t>
      </w:r>
      <w:r>
        <w:rPr>
          <w:rFonts w:cs="Arial"/>
          <w:szCs w:val="24"/>
        </w:rPr>
        <w:tab/>
      </w:r>
      <w:r w:rsidR="00CF3C5F" w:rsidRPr="003C5797">
        <w:rPr>
          <w:rFonts w:cs="Arial"/>
          <w:szCs w:val="24"/>
        </w:rPr>
        <w:t>Briefly</w:t>
      </w:r>
      <w:r w:rsidR="00046540" w:rsidRPr="003C5797">
        <w:rPr>
          <w:rFonts w:cs="Arial"/>
          <w:szCs w:val="24"/>
        </w:rPr>
        <w:t>,</w:t>
      </w:r>
      <w:r w:rsidR="00CF3C5F" w:rsidRPr="003C5797">
        <w:rPr>
          <w:rFonts w:cs="Arial"/>
          <w:szCs w:val="24"/>
        </w:rPr>
        <w:t xml:space="preserve"> Part IIA of the Income Tax Act</w:t>
      </w:r>
      <w:r w:rsidR="007F756C" w:rsidRPr="003C5797">
        <w:rPr>
          <w:rFonts w:cs="Arial"/>
          <w:szCs w:val="24"/>
        </w:rPr>
        <w:t>, 58 of 1962 (</w:t>
      </w:r>
      <w:r>
        <w:rPr>
          <w:rFonts w:cs="Arial"/>
          <w:szCs w:val="24"/>
        </w:rPr>
        <w:t>“</w:t>
      </w:r>
      <w:r w:rsidR="007F756C" w:rsidRPr="003C5797">
        <w:rPr>
          <w:rFonts w:cs="Arial"/>
          <w:szCs w:val="24"/>
        </w:rPr>
        <w:t>ITA</w:t>
      </w:r>
      <w:r>
        <w:rPr>
          <w:rFonts w:cs="Arial"/>
          <w:szCs w:val="24"/>
        </w:rPr>
        <w:t>”</w:t>
      </w:r>
      <w:r w:rsidR="007F756C" w:rsidRPr="003C5797">
        <w:rPr>
          <w:rFonts w:cs="Arial"/>
          <w:szCs w:val="24"/>
        </w:rPr>
        <w:t xml:space="preserve">) </w:t>
      </w:r>
      <w:r w:rsidR="00C77E22" w:rsidRPr="003C5797">
        <w:rPr>
          <w:rFonts w:cs="Arial"/>
          <w:szCs w:val="24"/>
        </w:rPr>
        <w:t>deals with the general anti</w:t>
      </w:r>
      <w:r w:rsidR="0068684F" w:rsidRPr="003C5797">
        <w:rPr>
          <w:rFonts w:cs="Arial"/>
          <w:szCs w:val="24"/>
        </w:rPr>
        <w:t xml:space="preserve">-avoidance rules known as GAAR. </w:t>
      </w:r>
      <w:r w:rsidR="000E5908" w:rsidRPr="003C5797">
        <w:rPr>
          <w:rFonts w:cs="Arial"/>
          <w:szCs w:val="24"/>
        </w:rPr>
        <w:t xml:space="preserve"> SARS applies this provision when it considers that a taxpayer has entered into an arrangement </w:t>
      </w:r>
      <w:r w:rsidR="00C317BD" w:rsidRPr="003C5797">
        <w:rPr>
          <w:rFonts w:cs="Arial"/>
          <w:szCs w:val="24"/>
        </w:rPr>
        <w:t xml:space="preserve">designed to avoid </w:t>
      </w:r>
      <w:r w:rsidR="00C317BD" w:rsidRPr="003C5797">
        <w:rPr>
          <w:rFonts w:cs="Arial"/>
          <w:szCs w:val="24"/>
        </w:rPr>
        <w:lastRenderedPageBreak/>
        <w:t xml:space="preserve">anticipated tax liability. </w:t>
      </w:r>
      <w:r w:rsidR="00440026" w:rsidRPr="003C5797">
        <w:rPr>
          <w:rFonts w:cs="Arial"/>
          <w:szCs w:val="24"/>
        </w:rPr>
        <w:t xml:space="preserve">One of the tests applied is that the arrangement </w:t>
      </w:r>
      <w:r w:rsidR="00B77374" w:rsidRPr="003C5797">
        <w:rPr>
          <w:rFonts w:cs="Arial"/>
          <w:szCs w:val="24"/>
        </w:rPr>
        <w:t xml:space="preserve">is conducted in a manner that </w:t>
      </w:r>
      <w:r w:rsidR="009640A0" w:rsidRPr="003C5797">
        <w:rPr>
          <w:rFonts w:cs="Arial"/>
          <w:szCs w:val="24"/>
        </w:rPr>
        <w:t>‘[…]</w:t>
      </w:r>
      <w:r w:rsidR="00B77799" w:rsidRPr="003C5797">
        <w:rPr>
          <w:rFonts w:cs="Arial"/>
          <w:i/>
          <w:iCs/>
          <w:szCs w:val="24"/>
        </w:rPr>
        <w:t xml:space="preserve"> </w:t>
      </w:r>
      <w:r w:rsidR="00B77374" w:rsidRPr="003C5797">
        <w:rPr>
          <w:rFonts w:cs="Arial"/>
          <w:i/>
          <w:iCs/>
          <w:szCs w:val="24"/>
        </w:rPr>
        <w:t>lacks commercial substance</w:t>
      </w:r>
      <w:r w:rsidR="009640A0" w:rsidRPr="003C5797">
        <w:rPr>
          <w:rFonts w:cs="Arial"/>
          <w:i/>
          <w:iCs/>
          <w:szCs w:val="24"/>
        </w:rPr>
        <w:t xml:space="preserve"> in whole or in part</w:t>
      </w:r>
      <w:r w:rsidR="00B77374" w:rsidRPr="003C5797">
        <w:rPr>
          <w:rFonts w:cs="Arial"/>
          <w:szCs w:val="24"/>
        </w:rPr>
        <w:t>.</w:t>
      </w:r>
      <w:r w:rsidR="009640A0" w:rsidRPr="003C5797">
        <w:rPr>
          <w:rFonts w:cs="Arial"/>
          <w:szCs w:val="24"/>
        </w:rPr>
        <w:t>’</w:t>
      </w:r>
      <w:r w:rsidR="009640A0" w:rsidRPr="00B12D64">
        <w:rPr>
          <w:rStyle w:val="FootnoteReference"/>
          <w:rFonts w:cs="Arial"/>
          <w:szCs w:val="24"/>
        </w:rPr>
        <w:footnoteReference w:id="4"/>
      </w:r>
    </w:p>
    <w:p w14:paraId="51494175" w14:textId="5651BA78" w:rsidR="00906024" w:rsidRPr="003C5797" w:rsidRDefault="003C5797" w:rsidP="003C5797">
      <w:pPr>
        <w:spacing w:after="360" w:line="480" w:lineRule="auto"/>
        <w:ind w:left="720" w:hanging="720"/>
        <w:jc w:val="both"/>
        <w:rPr>
          <w:rFonts w:cs="Arial"/>
          <w:szCs w:val="24"/>
        </w:rPr>
      </w:pPr>
      <w:r>
        <w:rPr>
          <w:rFonts w:cs="Arial"/>
          <w:szCs w:val="24"/>
        </w:rPr>
        <w:t>[8]</w:t>
      </w:r>
      <w:r>
        <w:rPr>
          <w:rFonts w:cs="Arial"/>
          <w:szCs w:val="24"/>
        </w:rPr>
        <w:tab/>
      </w:r>
      <w:r w:rsidR="00906024" w:rsidRPr="003C5797">
        <w:rPr>
          <w:rFonts w:cs="Arial"/>
          <w:szCs w:val="24"/>
        </w:rPr>
        <w:t>The letter of 30 July is one of the two letters whose contents are crucial to the case. As I explain later</w:t>
      </w:r>
      <w:r w:rsidR="0021720C" w:rsidRPr="003C5797">
        <w:rPr>
          <w:rFonts w:cs="Arial"/>
          <w:szCs w:val="24"/>
        </w:rPr>
        <w:t>,</w:t>
      </w:r>
      <w:r w:rsidR="00906024" w:rsidRPr="003C5797">
        <w:rPr>
          <w:rFonts w:cs="Arial"/>
          <w:szCs w:val="24"/>
        </w:rPr>
        <w:t xml:space="preserve"> this letter</w:t>
      </w:r>
      <w:r w:rsidR="00E3540A" w:rsidRPr="003C5797">
        <w:rPr>
          <w:rFonts w:cs="Arial"/>
          <w:szCs w:val="24"/>
        </w:rPr>
        <w:t>,</w:t>
      </w:r>
      <w:r w:rsidR="00906024" w:rsidRPr="003C5797">
        <w:rPr>
          <w:rFonts w:cs="Arial"/>
          <w:szCs w:val="24"/>
        </w:rPr>
        <w:t xml:space="preserve"> on SARS version</w:t>
      </w:r>
      <w:r w:rsidR="0021720C" w:rsidRPr="003C5797">
        <w:rPr>
          <w:rFonts w:cs="Arial"/>
          <w:szCs w:val="24"/>
        </w:rPr>
        <w:t>,</w:t>
      </w:r>
      <w:r w:rsidR="00906024" w:rsidRPr="003C5797">
        <w:rPr>
          <w:rFonts w:cs="Arial"/>
          <w:szCs w:val="24"/>
        </w:rPr>
        <w:t xml:space="preserve"> is purportedly compliant with two sections of the statutes – section 80J of the ITA and section 42(2)(b) of the TAA. I will refer to it neutrally as the </w:t>
      </w:r>
      <w:r>
        <w:rPr>
          <w:rFonts w:cs="Arial"/>
          <w:szCs w:val="24"/>
        </w:rPr>
        <w:t>“</w:t>
      </w:r>
      <w:r w:rsidR="00906024" w:rsidRPr="003C5797">
        <w:rPr>
          <w:rFonts w:cs="Arial"/>
          <w:szCs w:val="24"/>
        </w:rPr>
        <w:t>July letter</w:t>
      </w:r>
      <w:r>
        <w:rPr>
          <w:rFonts w:cs="Arial"/>
          <w:szCs w:val="24"/>
        </w:rPr>
        <w:t>”</w:t>
      </w:r>
      <w:r w:rsidR="00906024" w:rsidRPr="003C5797">
        <w:rPr>
          <w:rFonts w:cs="Arial"/>
          <w:szCs w:val="24"/>
        </w:rPr>
        <w:t>.</w:t>
      </w:r>
    </w:p>
    <w:p w14:paraId="358F9334" w14:textId="77777777" w:rsidR="003C5797" w:rsidRDefault="003C5797" w:rsidP="003C5797">
      <w:pPr>
        <w:spacing w:after="0" w:line="480" w:lineRule="auto"/>
        <w:ind w:left="720" w:hanging="720"/>
        <w:jc w:val="both"/>
        <w:rPr>
          <w:rFonts w:cs="Arial"/>
          <w:szCs w:val="24"/>
        </w:rPr>
      </w:pPr>
      <w:r>
        <w:rPr>
          <w:rFonts w:cs="Arial"/>
          <w:szCs w:val="24"/>
        </w:rPr>
        <w:t>[9]</w:t>
      </w:r>
      <w:r>
        <w:rPr>
          <w:rFonts w:cs="Arial"/>
          <w:szCs w:val="24"/>
        </w:rPr>
        <w:tab/>
      </w:r>
      <w:r w:rsidR="00846A93" w:rsidRPr="003C5797">
        <w:rPr>
          <w:rFonts w:cs="Arial"/>
          <w:szCs w:val="24"/>
        </w:rPr>
        <w:t xml:space="preserve">Since </w:t>
      </w:r>
      <w:r w:rsidR="002F4948" w:rsidRPr="003C5797">
        <w:rPr>
          <w:rFonts w:cs="Arial"/>
          <w:szCs w:val="24"/>
        </w:rPr>
        <w:t xml:space="preserve">compliance with </w:t>
      </w:r>
      <w:r w:rsidR="00846A93" w:rsidRPr="003C5797">
        <w:rPr>
          <w:rFonts w:cs="Arial"/>
          <w:szCs w:val="24"/>
        </w:rPr>
        <w:t>section 42(2)(b</w:t>
      </w:r>
      <w:r w:rsidR="002F4948" w:rsidRPr="003C5797">
        <w:rPr>
          <w:rFonts w:cs="Arial"/>
          <w:szCs w:val="24"/>
        </w:rPr>
        <w:t>) is central to the dispute I set out it</w:t>
      </w:r>
      <w:r w:rsidR="00011CBD" w:rsidRPr="003C5797">
        <w:rPr>
          <w:rFonts w:cs="Arial"/>
          <w:szCs w:val="24"/>
        </w:rPr>
        <w:t>s</w:t>
      </w:r>
      <w:r w:rsidR="002F4948" w:rsidRPr="003C5797">
        <w:rPr>
          <w:rFonts w:cs="Arial"/>
          <w:szCs w:val="24"/>
        </w:rPr>
        <w:t xml:space="preserve"> contents in full</w:t>
      </w:r>
      <w:r w:rsidR="00EE59BF" w:rsidRPr="003C5797">
        <w:rPr>
          <w:rFonts w:cs="Arial"/>
          <w:szCs w:val="24"/>
        </w:rPr>
        <w:t>:</w:t>
      </w:r>
      <w:r w:rsidR="002F4948" w:rsidRPr="003C5797">
        <w:rPr>
          <w:rFonts w:cs="Arial"/>
          <w:szCs w:val="24"/>
        </w:rPr>
        <w:t xml:space="preserve"> </w:t>
      </w:r>
    </w:p>
    <w:p w14:paraId="4D5E46F8" w14:textId="4EF0D78D" w:rsidR="00625D46" w:rsidRPr="003C5797" w:rsidRDefault="003C5797" w:rsidP="003C5797">
      <w:pPr>
        <w:spacing w:after="0" w:line="480" w:lineRule="auto"/>
        <w:ind w:left="720" w:firstLine="720"/>
        <w:jc w:val="both"/>
        <w:rPr>
          <w:rFonts w:cs="Arial"/>
          <w:szCs w:val="24"/>
        </w:rPr>
      </w:pPr>
      <w:r>
        <w:rPr>
          <w:rFonts w:cs="Arial"/>
          <w:i/>
          <w:iCs/>
          <w:szCs w:val="24"/>
        </w:rPr>
        <w:t>“</w:t>
      </w:r>
      <w:r w:rsidR="00625D46" w:rsidRPr="003C5797">
        <w:rPr>
          <w:rFonts w:cs="Arial"/>
          <w:i/>
          <w:iCs/>
          <w:szCs w:val="24"/>
        </w:rPr>
        <w:t>(2) Upon conclusion of the audit or a criminal investigation, and where</w:t>
      </w:r>
      <w:r w:rsidR="00D73B2F" w:rsidRPr="003C5797">
        <w:rPr>
          <w:rFonts w:cs="Arial"/>
          <w:i/>
          <w:iCs/>
          <w:szCs w:val="24"/>
        </w:rPr>
        <w:t xml:space="preserve"> -</w:t>
      </w:r>
    </w:p>
    <w:p w14:paraId="34D5845E" w14:textId="77777777" w:rsidR="00625D46" w:rsidRPr="00B12D64" w:rsidRDefault="00625D46" w:rsidP="003C5797">
      <w:pPr>
        <w:pStyle w:val="ListParagraph"/>
        <w:spacing w:after="0" w:line="480" w:lineRule="auto"/>
        <w:ind w:left="1440"/>
        <w:contextualSpacing w:val="0"/>
        <w:jc w:val="both"/>
        <w:rPr>
          <w:rFonts w:cs="Arial"/>
          <w:i/>
          <w:iCs/>
          <w:szCs w:val="24"/>
        </w:rPr>
      </w:pPr>
      <w:r w:rsidRPr="00B12D64">
        <w:rPr>
          <w:rFonts w:cs="Arial"/>
          <w:i/>
          <w:iCs/>
          <w:szCs w:val="24"/>
        </w:rPr>
        <w:t>a) the audit or investigation was inconclusive, SARS must inform the taxpayer accordingly within 21 business days; or</w:t>
      </w:r>
    </w:p>
    <w:p w14:paraId="6A0033E3" w14:textId="0DD6397C" w:rsidR="006F079E" w:rsidRPr="00B12D64" w:rsidRDefault="00625D46" w:rsidP="003C5797">
      <w:pPr>
        <w:pStyle w:val="ListParagraph"/>
        <w:spacing w:after="360" w:line="480" w:lineRule="auto"/>
        <w:ind w:left="1440"/>
        <w:contextualSpacing w:val="0"/>
        <w:jc w:val="both"/>
        <w:rPr>
          <w:rFonts w:cs="Arial"/>
          <w:i/>
          <w:iCs/>
          <w:szCs w:val="24"/>
        </w:rPr>
      </w:pPr>
      <w:r w:rsidRPr="00B12D64">
        <w:rPr>
          <w:rFonts w:cs="Arial"/>
          <w:i/>
          <w:iCs/>
          <w:szCs w:val="24"/>
        </w:rPr>
        <w:t>(b) the audit identified potential adjustments of a material nature, SARS must within 21 business days, or the further period that may be</w:t>
      </w:r>
      <w:r w:rsidR="00D73B2F" w:rsidRPr="00B12D64">
        <w:rPr>
          <w:rFonts w:cs="Arial"/>
          <w:i/>
          <w:iCs/>
          <w:szCs w:val="24"/>
        </w:rPr>
        <w:t xml:space="preserve"> </w:t>
      </w:r>
      <w:r w:rsidRPr="00B12D64">
        <w:rPr>
          <w:rFonts w:cs="Arial"/>
          <w:i/>
          <w:iCs/>
          <w:szCs w:val="24"/>
        </w:rPr>
        <w:t>required based on the complexities of the audit, provide the taxpayer with a document containing the outcome of the audit,</w:t>
      </w:r>
      <w:r w:rsidR="00284CA0" w:rsidRPr="00B12D64">
        <w:rPr>
          <w:rFonts w:cs="Arial"/>
          <w:szCs w:val="24"/>
        </w:rPr>
        <w:t xml:space="preserve"> </w:t>
      </w:r>
      <w:r w:rsidR="00284CA0" w:rsidRPr="00B12D64">
        <w:rPr>
          <w:rFonts w:cs="Arial"/>
          <w:i/>
          <w:iCs/>
          <w:szCs w:val="24"/>
        </w:rPr>
        <w:t>including the grounds for the proposed assessment or decision referred to in section 104 (2)</w:t>
      </w:r>
      <w:r w:rsidR="00347D2E">
        <w:rPr>
          <w:rFonts w:cs="Arial"/>
          <w:i/>
          <w:iCs/>
          <w:szCs w:val="24"/>
        </w:rPr>
        <w:t>.</w:t>
      </w:r>
      <w:r w:rsidR="003C5797">
        <w:rPr>
          <w:rFonts w:cs="Arial"/>
          <w:i/>
          <w:iCs/>
          <w:szCs w:val="24"/>
        </w:rPr>
        <w:t>”</w:t>
      </w:r>
    </w:p>
    <w:p w14:paraId="5DDF27A0" w14:textId="34C01AF2" w:rsidR="006F079E" w:rsidRPr="003C5797" w:rsidRDefault="003C5797" w:rsidP="003C5797">
      <w:pPr>
        <w:spacing w:after="360" w:line="480" w:lineRule="auto"/>
        <w:ind w:left="720" w:hanging="720"/>
        <w:jc w:val="both"/>
        <w:rPr>
          <w:rFonts w:cs="Arial"/>
          <w:szCs w:val="24"/>
        </w:rPr>
      </w:pPr>
      <w:r>
        <w:rPr>
          <w:rFonts w:cs="Arial"/>
          <w:szCs w:val="24"/>
        </w:rPr>
        <w:t>[10]</w:t>
      </w:r>
      <w:r>
        <w:rPr>
          <w:rFonts w:cs="Arial"/>
          <w:szCs w:val="24"/>
        </w:rPr>
        <w:tab/>
      </w:r>
      <w:r w:rsidR="006F079E" w:rsidRPr="003C5797">
        <w:rPr>
          <w:rFonts w:cs="Arial"/>
          <w:szCs w:val="24"/>
        </w:rPr>
        <w:t>The taxpayer’s r</w:t>
      </w:r>
      <w:r w:rsidR="00C9203C" w:rsidRPr="003C5797">
        <w:rPr>
          <w:rFonts w:cs="Arial"/>
          <w:szCs w:val="24"/>
        </w:rPr>
        <w:t xml:space="preserve">ight to respond to a notice </w:t>
      </w:r>
      <w:r w:rsidR="00BD0AF3" w:rsidRPr="003C5797">
        <w:rPr>
          <w:rFonts w:cs="Arial"/>
          <w:szCs w:val="24"/>
        </w:rPr>
        <w:t>in terms of section 42(2)(b) is contained in section 4</w:t>
      </w:r>
      <w:r w:rsidR="001D6A5C" w:rsidRPr="003C5797">
        <w:rPr>
          <w:rFonts w:cs="Arial"/>
          <w:szCs w:val="24"/>
        </w:rPr>
        <w:t>2(</w:t>
      </w:r>
      <w:r w:rsidR="00BD0AF3" w:rsidRPr="003C5797">
        <w:rPr>
          <w:rFonts w:cs="Arial"/>
          <w:szCs w:val="24"/>
        </w:rPr>
        <w:t>3</w:t>
      </w:r>
      <w:r w:rsidR="001D6A5C" w:rsidRPr="003C5797">
        <w:rPr>
          <w:rFonts w:cs="Arial"/>
          <w:szCs w:val="24"/>
        </w:rPr>
        <w:t>)</w:t>
      </w:r>
      <w:r w:rsidR="00BD0AF3" w:rsidRPr="003C5797">
        <w:rPr>
          <w:rFonts w:cs="Arial"/>
          <w:szCs w:val="24"/>
        </w:rPr>
        <w:t xml:space="preserve"> which states:</w:t>
      </w:r>
    </w:p>
    <w:p w14:paraId="10431150" w14:textId="014466FB" w:rsidR="00A77B25" w:rsidRPr="00B12D64" w:rsidRDefault="003C5797" w:rsidP="003C5797">
      <w:pPr>
        <w:pStyle w:val="ListParagraph"/>
        <w:spacing w:after="360" w:line="480" w:lineRule="auto"/>
        <w:ind w:left="1440"/>
        <w:contextualSpacing w:val="0"/>
        <w:jc w:val="both"/>
        <w:rPr>
          <w:rFonts w:cs="Arial"/>
          <w:i/>
          <w:iCs/>
          <w:szCs w:val="24"/>
        </w:rPr>
      </w:pPr>
      <w:r>
        <w:rPr>
          <w:rFonts w:cs="Arial"/>
          <w:i/>
          <w:iCs/>
          <w:szCs w:val="24"/>
        </w:rPr>
        <w:lastRenderedPageBreak/>
        <w:t>“</w:t>
      </w:r>
      <w:r w:rsidR="003D0DD0" w:rsidRPr="00B12D64">
        <w:rPr>
          <w:rFonts w:cs="Arial"/>
          <w:i/>
          <w:iCs/>
          <w:szCs w:val="24"/>
        </w:rPr>
        <w:t>(3) Upon receipt of the document described in subsection (2) (b), the taxpayer must within 21 business days of delivery of the document, or the further period requested by the taxpayer that may be allowed by SARS based on the complexities of the audit, respond in writing to the facts and conclusions set out in the document</w:t>
      </w:r>
      <w:r w:rsidR="00347D2E">
        <w:rPr>
          <w:rFonts w:cs="Arial"/>
          <w:i/>
          <w:iCs/>
          <w:szCs w:val="24"/>
        </w:rPr>
        <w:t>.</w:t>
      </w:r>
      <w:r>
        <w:rPr>
          <w:rFonts w:cs="Arial"/>
          <w:i/>
          <w:iCs/>
          <w:szCs w:val="24"/>
        </w:rPr>
        <w:t>”</w:t>
      </w:r>
    </w:p>
    <w:p w14:paraId="6E184594" w14:textId="343222DF" w:rsidR="003C5797" w:rsidRDefault="003C5797" w:rsidP="003C5797">
      <w:pPr>
        <w:spacing w:after="0" w:line="480" w:lineRule="auto"/>
        <w:ind w:left="720" w:hanging="720"/>
        <w:jc w:val="both"/>
        <w:rPr>
          <w:rFonts w:cs="Arial"/>
          <w:szCs w:val="24"/>
        </w:rPr>
      </w:pPr>
      <w:r>
        <w:rPr>
          <w:rFonts w:cs="Arial"/>
          <w:szCs w:val="24"/>
        </w:rPr>
        <w:t>[11]</w:t>
      </w:r>
      <w:r>
        <w:rPr>
          <w:rFonts w:cs="Arial"/>
          <w:szCs w:val="24"/>
        </w:rPr>
        <w:tab/>
      </w:r>
      <w:r w:rsidR="0016613C" w:rsidRPr="003C5797">
        <w:rPr>
          <w:rFonts w:cs="Arial"/>
          <w:szCs w:val="24"/>
        </w:rPr>
        <w:t>Section 80J</w:t>
      </w:r>
      <w:r w:rsidR="008E038F" w:rsidRPr="003C5797">
        <w:rPr>
          <w:rFonts w:cs="Arial"/>
          <w:szCs w:val="24"/>
        </w:rPr>
        <w:t xml:space="preserve"> of the ITA</w:t>
      </w:r>
      <w:r w:rsidR="0016613C" w:rsidRPr="003C5797">
        <w:rPr>
          <w:rFonts w:cs="Arial"/>
          <w:szCs w:val="24"/>
        </w:rPr>
        <w:t xml:space="preserve"> is a longer provision</w:t>
      </w:r>
      <w:r w:rsidR="008E038F" w:rsidRPr="003C5797">
        <w:rPr>
          <w:rFonts w:cs="Arial"/>
          <w:szCs w:val="24"/>
        </w:rPr>
        <w:t>,</w:t>
      </w:r>
      <w:r w:rsidR="00913D6A" w:rsidRPr="003C5797">
        <w:rPr>
          <w:rFonts w:cs="Arial"/>
          <w:szCs w:val="24"/>
        </w:rPr>
        <w:t xml:space="preserve"> but its terms are also relevant to the dispute</w:t>
      </w:r>
      <w:r w:rsidR="000F7444" w:rsidRPr="003C5797">
        <w:rPr>
          <w:rFonts w:cs="Arial"/>
          <w:szCs w:val="24"/>
        </w:rPr>
        <w:t>:</w:t>
      </w:r>
      <w:r>
        <w:rPr>
          <w:rFonts w:cs="Arial"/>
          <w:szCs w:val="24"/>
        </w:rPr>
        <w:t xml:space="preserve"> </w:t>
      </w:r>
      <w:r w:rsidR="000F7444" w:rsidRPr="003C5797">
        <w:rPr>
          <w:rFonts w:cs="Arial"/>
          <w:szCs w:val="24"/>
        </w:rPr>
        <w:t xml:space="preserve"> </w:t>
      </w:r>
    </w:p>
    <w:p w14:paraId="3C9CA0BB" w14:textId="3446856B" w:rsidR="00925D52" w:rsidRPr="003C5797" w:rsidRDefault="00925D52" w:rsidP="004B369F">
      <w:pPr>
        <w:spacing w:after="0" w:line="480" w:lineRule="auto"/>
        <w:ind w:left="720" w:firstLine="720"/>
        <w:contextualSpacing/>
        <w:jc w:val="both"/>
        <w:rPr>
          <w:rFonts w:cs="Arial"/>
          <w:szCs w:val="24"/>
        </w:rPr>
      </w:pPr>
      <w:r w:rsidRPr="003C5797">
        <w:rPr>
          <w:rFonts w:cs="Arial"/>
          <w:i/>
          <w:iCs/>
          <w:szCs w:val="24"/>
        </w:rPr>
        <w:t>80J Notice</w:t>
      </w:r>
      <w:r w:rsidR="003C5797">
        <w:rPr>
          <w:rFonts w:cs="Arial"/>
          <w:i/>
          <w:iCs/>
          <w:szCs w:val="24"/>
        </w:rPr>
        <w:t xml:space="preserve"> </w:t>
      </w:r>
    </w:p>
    <w:p w14:paraId="5FCEF176" w14:textId="76B09189" w:rsidR="00925D52" w:rsidRPr="00B12D64" w:rsidRDefault="00925D52" w:rsidP="004B369F">
      <w:pPr>
        <w:pStyle w:val="ListParagraph"/>
        <w:spacing w:after="0" w:line="480" w:lineRule="auto"/>
        <w:ind w:left="1440"/>
        <w:jc w:val="both"/>
        <w:rPr>
          <w:rFonts w:cs="Arial"/>
          <w:i/>
          <w:iCs/>
          <w:szCs w:val="24"/>
        </w:rPr>
      </w:pPr>
      <w:r w:rsidRPr="00B12D64">
        <w:rPr>
          <w:rFonts w:cs="Arial"/>
          <w:i/>
          <w:iCs/>
          <w:szCs w:val="24"/>
        </w:rPr>
        <w:t>(1) The Commissioner must, prior to determining any liability of a party for tax under section 80B, give the party notice that he or she believes that the provisions of this Part may apply in respect of an arrangement and must set out in the notice his or her reasons therefor.</w:t>
      </w:r>
    </w:p>
    <w:p w14:paraId="2112194E" w14:textId="77777777" w:rsidR="00925D52" w:rsidRPr="00B12D64" w:rsidRDefault="00925D52" w:rsidP="004B369F">
      <w:pPr>
        <w:pStyle w:val="ListParagraph"/>
        <w:spacing w:after="0" w:line="480" w:lineRule="auto"/>
        <w:ind w:left="1440"/>
        <w:jc w:val="both"/>
        <w:rPr>
          <w:rFonts w:cs="Arial"/>
          <w:i/>
          <w:iCs/>
          <w:szCs w:val="24"/>
        </w:rPr>
      </w:pPr>
      <w:r w:rsidRPr="00B12D64">
        <w:rPr>
          <w:rFonts w:cs="Arial"/>
          <w:i/>
          <w:iCs/>
          <w:szCs w:val="24"/>
        </w:rPr>
        <w:t>(2) A party who receives notice in terms of subsection (1) may, within 60 days after the date of that notice or such longer period as the Commissioner may allow, submit reasons to the Commissioner why the provisions of this Part should not be applied.</w:t>
      </w:r>
    </w:p>
    <w:p w14:paraId="4E618C38" w14:textId="77777777" w:rsidR="00925D52" w:rsidRPr="00B12D64" w:rsidRDefault="00925D52" w:rsidP="004B369F">
      <w:pPr>
        <w:pStyle w:val="ListParagraph"/>
        <w:spacing w:after="0" w:line="480" w:lineRule="auto"/>
        <w:ind w:left="1440"/>
        <w:jc w:val="both"/>
        <w:rPr>
          <w:rFonts w:cs="Arial"/>
          <w:i/>
          <w:iCs/>
          <w:szCs w:val="24"/>
        </w:rPr>
      </w:pPr>
      <w:r w:rsidRPr="00B12D64">
        <w:rPr>
          <w:rFonts w:cs="Arial"/>
          <w:i/>
          <w:iCs/>
          <w:szCs w:val="24"/>
        </w:rPr>
        <w:t>(3) The Commissioner must within 180 days of receipt of the reasons or the expiry of the period contemplated in subsection (2) -</w:t>
      </w:r>
    </w:p>
    <w:p w14:paraId="0F4D13BE" w14:textId="77777777" w:rsidR="00925D52" w:rsidRPr="00B12D64" w:rsidRDefault="00925D52" w:rsidP="004B369F">
      <w:pPr>
        <w:pStyle w:val="ListParagraph"/>
        <w:spacing w:after="0" w:line="480" w:lineRule="auto"/>
        <w:ind w:left="2160"/>
        <w:jc w:val="both"/>
        <w:rPr>
          <w:rFonts w:cs="Arial"/>
          <w:i/>
          <w:iCs/>
          <w:szCs w:val="24"/>
        </w:rPr>
      </w:pPr>
      <w:r w:rsidRPr="00B12D64">
        <w:rPr>
          <w:rFonts w:cs="Arial"/>
          <w:i/>
          <w:iCs/>
          <w:szCs w:val="24"/>
        </w:rPr>
        <w:t>a) request additional information in order to determine whether or not this Part applies in respect of an arrangement;</w:t>
      </w:r>
    </w:p>
    <w:p w14:paraId="1AFB19DF" w14:textId="77777777" w:rsidR="00925D52" w:rsidRPr="00B12D64" w:rsidRDefault="00925D52" w:rsidP="004B369F">
      <w:pPr>
        <w:pStyle w:val="ListParagraph"/>
        <w:spacing w:after="0" w:line="480" w:lineRule="auto"/>
        <w:ind w:left="2160"/>
        <w:jc w:val="both"/>
        <w:rPr>
          <w:rFonts w:cs="Arial"/>
          <w:i/>
          <w:iCs/>
          <w:szCs w:val="24"/>
        </w:rPr>
      </w:pPr>
      <w:r w:rsidRPr="00B12D64">
        <w:rPr>
          <w:rFonts w:cs="Arial"/>
          <w:i/>
          <w:iCs/>
          <w:szCs w:val="24"/>
        </w:rPr>
        <w:t>(b) give notice to the party that the notice in terms of subsection (1) has been withdrawn; or</w:t>
      </w:r>
    </w:p>
    <w:p w14:paraId="2E1C3C2E" w14:textId="77777777" w:rsidR="00925D52" w:rsidRPr="00B12D64" w:rsidRDefault="00925D52" w:rsidP="004B369F">
      <w:pPr>
        <w:pStyle w:val="ListParagraph"/>
        <w:spacing w:after="0" w:line="480" w:lineRule="auto"/>
        <w:ind w:left="1440" w:firstLine="720"/>
        <w:jc w:val="both"/>
        <w:rPr>
          <w:rFonts w:cs="Arial"/>
          <w:i/>
          <w:iCs/>
          <w:szCs w:val="24"/>
        </w:rPr>
      </w:pPr>
      <w:r w:rsidRPr="00B12D64">
        <w:rPr>
          <w:rFonts w:cs="Arial"/>
          <w:i/>
          <w:iCs/>
          <w:szCs w:val="24"/>
        </w:rPr>
        <w:t>(c) determine the liability of that party for tax in terms of this Part.</w:t>
      </w:r>
    </w:p>
    <w:p w14:paraId="4454B7C6" w14:textId="4526A379" w:rsidR="004B369F" w:rsidRPr="004B369F" w:rsidRDefault="00925D52" w:rsidP="004B369F">
      <w:pPr>
        <w:pStyle w:val="ListParagraph"/>
        <w:spacing w:after="360" w:line="480" w:lineRule="auto"/>
        <w:ind w:left="1440"/>
        <w:jc w:val="both"/>
        <w:rPr>
          <w:rFonts w:cs="Arial"/>
          <w:i/>
          <w:iCs/>
          <w:szCs w:val="24"/>
        </w:rPr>
      </w:pPr>
      <w:r w:rsidRPr="00B12D64">
        <w:rPr>
          <w:rFonts w:cs="Arial"/>
          <w:i/>
          <w:iCs/>
          <w:szCs w:val="24"/>
        </w:rPr>
        <w:lastRenderedPageBreak/>
        <w:t>(4) If at any stage after giving notice to the party in terms of subsection (1), additional information comes to the knowledge of the Commissioner, he or she may revise or modify his or her reasons for applying this Part or, if the notice has been withdrawn, give notice in terms of subsection (1).</w:t>
      </w:r>
      <w:r w:rsidR="004B369F">
        <w:rPr>
          <w:rFonts w:cs="Arial"/>
          <w:i/>
          <w:iCs/>
          <w:szCs w:val="24"/>
        </w:rPr>
        <w:t xml:space="preserve"> </w:t>
      </w:r>
    </w:p>
    <w:p w14:paraId="3B0003ED" w14:textId="4F404A5A" w:rsidR="00B1496E" w:rsidRPr="004B369F" w:rsidRDefault="004B369F" w:rsidP="004B369F">
      <w:pPr>
        <w:spacing w:after="360" w:line="480" w:lineRule="auto"/>
        <w:ind w:left="720" w:hanging="720"/>
        <w:jc w:val="both"/>
        <w:rPr>
          <w:rFonts w:cs="Arial"/>
          <w:szCs w:val="24"/>
        </w:rPr>
      </w:pPr>
      <w:r>
        <w:rPr>
          <w:rFonts w:cs="Arial"/>
          <w:szCs w:val="24"/>
        </w:rPr>
        <w:t>[12]</w:t>
      </w:r>
      <w:r>
        <w:rPr>
          <w:rFonts w:cs="Arial"/>
          <w:szCs w:val="24"/>
        </w:rPr>
        <w:tab/>
      </w:r>
      <w:r w:rsidR="00B1496E" w:rsidRPr="004B369F">
        <w:rPr>
          <w:rFonts w:cs="Arial"/>
          <w:szCs w:val="24"/>
        </w:rPr>
        <w:t>(Although the two sections seem to suggest two different routes to inform the taxpayer of a potentially adverse outcome</w:t>
      </w:r>
      <w:r w:rsidR="00C70D3B" w:rsidRPr="004B369F">
        <w:rPr>
          <w:rFonts w:cs="Arial"/>
          <w:szCs w:val="24"/>
        </w:rPr>
        <w:t>,</w:t>
      </w:r>
      <w:r w:rsidR="00B1496E" w:rsidRPr="004B369F">
        <w:rPr>
          <w:rFonts w:cs="Arial"/>
          <w:szCs w:val="24"/>
        </w:rPr>
        <w:t xml:space="preserve"> SARS argues </w:t>
      </w:r>
      <w:r w:rsidR="00CB350E" w:rsidRPr="004B369F">
        <w:rPr>
          <w:rFonts w:cs="Arial"/>
          <w:szCs w:val="24"/>
        </w:rPr>
        <w:t>that with the exception of the</w:t>
      </w:r>
      <w:r w:rsidR="00B1496E" w:rsidRPr="004B369F">
        <w:rPr>
          <w:rFonts w:cs="Arial"/>
          <w:szCs w:val="24"/>
        </w:rPr>
        <w:t xml:space="preserve"> time </w:t>
      </w:r>
      <w:r w:rsidR="00C42E0C" w:rsidRPr="004B369F">
        <w:rPr>
          <w:rFonts w:cs="Arial"/>
          <w:szCs w:val="24"/>
        </w:rPr>
        <w:t>periods</w:t>
      </w:r>
      <w:r w:rsidR="001D7891" w:rsidRPr="004B369F">
        <w:rPr>
          <w:rFonts w:cs="Arial"/>
          <w:szCs w:val="24"/>
        </w:rPr>
        <w:t>,</w:t>
      </w:r>
      <w:r w:rsidR="00B1496E" w:rsidRPr="004B369F">
        <w:rPr>
          <w:rFonts w:cs="Arial"/>
          <w:szCs w:val="24"/>
        </w:rPr>
        <w:t xml:space="preserve"> they are sufficiently similar to be combined in a single notice. I return to this argument later once I conclude the chronology.)</w:t>
      </w:r>
    </w:p>
    <w:p w14:paraId="02610E08" w14:textId="31B8754A" w:rsidR="00AD2DFC" w:rsidRPr="004B369F" w:rsidRDefault="004B369F" w:rsidP="004B369F">
      <w:pPr>
        <w:spacing w:after="360" w:line="480" w:lineRule="auto"/>
        <w:ind w:left="720" w:hanging="720"/>
        <w:jc w:val="both"/>
        <w:rPr>
          <w:rFonts w:cs="Arial"/>
          <w:szCs w:val="24"/>
        </w:rPr>
      </w:pPr>
      <w:r>
        <w:rPr>
          <w:rFonts w:cs="Arial"/>
          <w:szCs w:val="24"/>
        </w:rPr>
        <w:t>[13]</w:t>
      </w:r>
      <w:r>
        <w:rPr>
          <w:rFonts w:cs="Arial"/>
          <w:szCs w:val="24"/>
        </w:rPr>
        <w:tab/>
      </w:r>
      <w:r w:rsidR="000D4F46" w:rsidRPr="004B369F">
        <w:rPr>
          <w:rFonts w:cs="Arial"/>
          <w:szCs w:val="24"/>
        </w:rPr>
        <w:t>Th</w:t>
      </w:r>
      <w:r w:rsidR="00906024" w:rsidRPr="004B369F">
        <w:rPr>
          <w:rFonts w:cs="Arial"/>
          <w:szCs w:val="24"/>
        </w:rPr>
        <w:t>e taxpayers’</w:t>
      </w:r>
      <w:r w:rsidR="000D4F46" w:rsidRPr="004B369F">
        <w:rPr>
          <w:rFonts w:cs="Arial"/>
          <w:szCs w:val="24"/>
        </w:rPr>
        <w:t xml:space="preserve"> attorneys, Werksmans</w:t>
      </w:r>
      <w:r w:rsidR="00347148" w:rsidRPr="004B369F">
        <w:rPr>
          <w:rFonts w:cs="Arial"/>
          <w:szCs w:val="24"/>
        </w:rPr>
        <w:t>,</w:t>
      </w:r>
      <w:r w:rsidR="000D4F46" w:rsidRPr="004B369F">
        <w:rPr>
          <w:rFonts w:cs="Arial"/>
          <w:szCs w:val="24"/>
        </w:rPr>
        <w:t xml:space="preserve"> replied</w:t>
      </w:r>
      <w:r w:rsidR="00906024" w:rsidRPr="004B369F">
        <w:rPr>
          <w:rFonts w:cs="Arial"/>
          <w:szCs w:val="24"/>
        </w:rPr>
        <w:t xml:space="preserve"> to the July letter</w:t>
      </w:r>
      <w:r w:rsidR="003E3922" w:rsidRPr="004B369F">
        <w:rPr>
          <w:rFonts w:cs="Arial"/>
          <w:szCs w:val="24"/>
        </w:rPr>
        <w:t xml:space="preserve"> in October that same year.</w:t>
      </w:r>
      <w:r w:rsidR="00AD2DFC" w:rsidRPr="004B369F">
        <w:rPr>
          <w:rFonts w:cs="Arial"/>
          <w:szCs w:val="24"/>
        </w:rPr>
        <w:t xml:space="preserve"> The response was detailed whilst at the same time </w:t>
      </w:r>
      <w:r w:rsidR="00753267" w:rsidRPr="004B369F">
        <w:rPr>
          <w:rFonts w:cs="Arial"/>
          <w:szCs w:val="24"/>
        </w:rPr>
        <w:t>pointing out</w:t>
      </w:r>
      <w:r w:rsidR="0043685A" w:rsidRPr="004B369F">
        <w:rPr>
          <w:rFonts w:cs="Arial"/>
          <w:szCs w:val="24"/>
        </w:rPr>
        <w:t xml:space="preserve"> </w:t>
      </w:r>
      <w:r w:rsidR="009547B4" w:rsidRPr="004B369F">
        <w:rPr>
          <w:rFonts w:cs="Arial"/>
          <w:szCs w:val="24"/>
        </w:rPr>
        <w:t>what the attorneys</w:t>
      </w:r>
      <w:r w:rsidR="00753267" w:rsidRPr="004B369F">
        <w:rPr>
          <w:rFonts w:cs="Arial"/>
          <w:szCs w:val="24"/>
        </w:rPr>
        <w:t xml:space="preserve"> alleged </w:t>
      </w:r>
      <w:r w:rsidR="009547B4" w:rsidRPr="004B369F">
        <w:rPr>
          <w:rFonts w:cs="Arial"/>
          <w:szCs w:val="24"/>
        </w:rPr>
        <w:t xml:space="preserve">were </w:t>
      </w:r>
      <w:r w:rsidR="00753267" w:rsidRPr="004B369F">
        <w:rPr>
          <w:rFonts w:cs="Arial"/>
          <w:szCs w:val="24"/>
        </w:rPr>
        <w:t>errors contained in the notice</w:t>
      </w:r>
      <w:r w:rsidR="00BB0206" w:rsidRPr="004B369F">
        <w:rPr>
          <w:rFonts w:cs="Arial"/>
          <w:szCs w:val="24"/>
        </w:rPr>
        <w:t xml:space="preserve">. </w:t>
      </w:r>
      <w:r w:rsidR="009547B4" w:rsidRPr="004B369F">
        <w:rPr>
          <w:rFonts w:cs="Arial"/>
          <w:szCs w:val="24"/>
        </w:rPr>
        <w:t xml:space="preserve"> SARS d</w:t>
      </w:r>
      <w:r w:rsidR="00126953" w:rsidRPr="004B369F">
        <w:rPr>
          <w:rFonts w:cs="Arial"/>
          <w:szCs w:val="24"/>
        </w:rPr>
        <w:t>id</w:t>
      </w:r>
      <w:r w:rsidR="009547B4" w:rsidRPr="004B369F">
        <w:rPr>
          <w:rFonts w:cs="Arial"/>
          <w:szCs w:val="24"/>
        </w:rPr>
        <w:t xml:space="preserve"> not concede this. </w:t>
      </w:r>
      <w:r w:rsidR="00126953" w:rsidRPr="004B369F">
        <w:rPr>
          <w:rFonts w:cs="Arial"/>
          <w:szCs w:val="24"/>
        </w:rPr>
        <w:t xml:space="preserve">Instead, </w:t>
      </w:r>
      <w:r w:rsidR="00BB0206" w:rsidRPr="004B369F">
        <w:rPr>
          <w:rFonts w:cs="Arial"/>
          <w:szCs w:val="24"/>
        </w:rPr>
        <w:t>SARS describe</w:t>
      </w:r>
      <w:r w:rsidR="00126953" w:rsidRPr="004B369F">
        <w:rPr>
          <w:rFonts w:cs="Arial"/>
          <w:szCs w:val="24"/>
        </w:rPr>
        <w:t>d</w:t>
      </w:r>
      <w:r w:rsidR="00BB0206" w:rsidRPr="004B369F">
        <w:rPr>
          <w:rFonts w:cs="Arial"/>
          <w:szCs w:val="24"/>
        </w:rPr>
        <w:t xml:space="preserve"> the</w:t>
      </w:r>
      <w:r w:rsidR="00312864" w:rsidRPr="004B369F">
        <w:rPr>
          <w:rFonts w:cs="Arial"/>
          <w:szCs w:val="24"/>
        </w:rPr>
        <w:t xml:space="preserve"> Werksman’s</w:t>
      </w:r>
      <w:r w:rsidR="00BB0206" w:rsidRPr="004B369F">
        <w:rPr>
          <w:rFonts w:cs="Arial"/>
          <w:szCs w:val="24"/>
        </w:rPr>
        <w:t xml:space="preserve"> </w:t>
      </w:r>
      <w:r w:rsidR="00152599" w:rsidRPr="004B369F">
        <w:rPr>
          <w:rFonts w:cs="Arial"/>
          <w:szCs w:val="24"/>
        </w:rPr>
        <w:t>letter as comprehensive but flawed. The backhanded compliment seems to serve two purposes. First</w:t>
      </w:r>
      <w:r w:rsidR="00F54EF6" w:rsidRPr="004B369F">
        <w:rPr>
          <w:rFonts w:cs="Arial"/>
          <w:szCs w:val="24"/>
        </w:rPr>
        <w:t>,</w:t>
      </w:r>
      <w:r w:rsidR="00152599" w:rsidRPr="004B369F">
        <w:rPr>
          <w:rFonts w:cs="Arial"/>
          <w:szCs w:val="24"/>
        </w:rPr>
        <w:t xml:space="preserve"> that SARS did not accept the critique of its application of GAAR but at same time wanting to make the point that the </w:t>
      </w:r>
      <w:r w:rsidR="006561A8" w:rsidRPr="004B369F">
        <w:rPr>
          <w:rFonts w:cs="Arial"/>
          <w:szCs w:val="24"/>
        </w:rPr>
        <w:t>taxpayers had engaged fully with SARS</w:t>
      </w:r>
      <w:r w:rsidR="006172B5" w:rsidRPr="004B369F">
        <w:rPr>
          <w:rFonts w:cs="Arial"/>
          <w:szCs w:val="24"/>
        </w:rPr>
        <w:t>’</w:t>
      </w:r>
      <w:r w:rsidR="006561A8" w:rsidRPr="004B369F">
        <w:rPr>
          <w:rFonts w:cs="Arial"/>
          <w:szCs w:val="24"/>
        </w:rPr>
        <w:t xml:space="preserve"> contention</w:t>
      </w:r>
      <w:r w:rsidR="006172B5" w:rsidRPr="004B369F">
        <w:rPr>
          <w:rFonts w:cs="Arial"/>
          <w:szCs w:val="24"/>
        </w:rPr>
        <w:t>s</w:t>
      </w:r>
      <w:r w:rsidR="006561A8" w:rsidRPr="004B369F">
        <w:rPr>
          <w:rFonts w:cs="Arial"/>
          <w:szCs w:val="24"/>
        </w:rPr>
        <w:t xml:space="preserve"> and thus </w:t>
      </w:r>
      <w:r w:rsidR="00C30FA3" w:rsidRPr="004B369F">
        <w:rPr>
          <w:rFonts w:cs="Arial"/>
          <w:szCs w:val="24"/>
        </w:rPr>
        <w:t>a riposte to suggestions that they had not been given the right to be heard.</w:t>
      </w:r>
    </w:p>
    <w:p w14:paraId="60640B4B" w14:textId="7699B875" w:rsidR="00694B6A" w:rsidRPr="004B369F" w:rsidRDefault="004B369F" w:rsidP="004B369F">
      <w:pPr>
        <w:spacing w:after="360" w:line="480" w:lineRule="auto"/>
        <w:ind w:left="720" w:hanging="720"/>
        <w:jc w:val="both"/>
        <w:rPr>
          <w:rFonts w:cs="Arial"/>
          <w:szCs w:val="24"/>
        </w:rPr>
      </w:pPr>
      <w:r>
        <w:rPr>
          <w:rFonts w:cs="Arial"/>
          <w:szCs w:val="24"/>
        </w:rPr>
        <w:t>[14]</w:t>
      </w:r>
      <w:r>
        <w:rPr>
          <w:rFonts w:cs="Arial"/>
          <w:szCs w:val="24"/>
        </w:rPr>
        <w:tab/>
      </w:r>
      <w:r w:rsidR="003E3922" w:rsidRPr="004B369F">
        <w:rPr>
          <w:rFonts w:cs="Arial"/>
          <w:szCs w:val="24"/>
        </w:rPr>
        <w:t xml:space="preserve">In response </w:t>
      </w:r>
      <w:r w:rsidR="00F27207" w:rsidRPr="004B369F">
        <w:rPr>
          <w:rFonts w:cs="Arial"/>
          <w:szCs w:val="24"/>
        </w:rPr>
        <w:t xml:space="preserve">to the October letter, </w:t>
      </w:r>
      <w:r w:rsidR="003E3922" w:rsidRPr="004B369F">
        <w:rPr>
          <w:rFonts w:cs="Arial"/>
          <w:szCs w:val="24"/>
        </w:rPr>
        <w:t xml:space="preserve">SARS requested further information </w:t>
      </w:r>
      <w:r w:rsidR="00A551AD" w:rsidRPr="004B369F">
        <w:rPr>
          <w:rFonts w:cs="Arial"/>
          <w:szCs w:val="24"/>
        </w:rPr>
        <w:t>in terms of section 80</w:t>
      </w:r>
      <w:r w:rsidR="00AE2BD7" w:rsidRPr="004B369F">
        <w:rPr>
          <w:rFonts w:cs="Arial"/>
          <w:szCs w:val="24"/>
        </w:rPr>
        <w:t>J (</w:t>
      </w:r>
      <w:r w:rsidR="00A551AD" w:rsidRPr="004B369F">
        <w:rPr>
          <w:rFonts w:cs="Arial"/>
          <w:szCs w:val="24"/>
        </w:rPr>
        <w:t xml:space="preserve">3) of the ITA. </w:t>
      </w:r>
      <w:r w:rsidR="00E20F0E" w:rsidRPr="004B369F">
        <w:rPr>
          <w:rFonts w:cs="Arial"/>
          <w:szCs w:val="24"/>
        </w:rPr>
        <w:t xml:space="preserve">SARS </w:t>
      </w:r>
      <w:r w:rsidR="000E49EA" w:rsidRPr="004B369F">
        <w:rPr>
          <w:rFonts w:cs="Arial"/>
          <w:szCs w:val="24"/>
        </w:rPr>
        <w:t xml:space="preserve">says </w:t>
      </w:r>
      <w:r w:rsidR="00E20F0E" w:rsidRPr="004B369F">
        <w:rPr>
          <w:rFonts w:cs="Arial"/>
          <w:szCs w:val="24"/>
        </w:rPr>
        <w:t>this was because it had become evident that addi</w:t>
      </w:r>
      <w:r w:rsidR="00CC48A8" w:rsidRPr="004B369F">
        <w:rPr>
          <w:rFonts w:cs="Arial"/>
          <w:szCs w:val="24"/>
        </w:rPr>
        <w:t xml:space="preserve">tional information was required. </w:t>
      </w:r>
      <w:r w:rsidR="005C707B" w:rsidRPr="004B369F">
        <w:rPr>
          <w:rFonts w:cs="Arial"/>
          <w:szCs w:val="24"/>
        </w:rPr>
        <w:t>These additional request were made on two occasions</w:t>
      </w:r>
      <w:r w:rsidR="00906024" w:rsidRPr="004B369F">
        <w:rPr>
          <w:rFonts w:cs="Arial"/>
          <w:szCs w:val="24"/>
        </w:rPr>
        <w:t>;</w:t>
      </w:r>
      <w:r w:rsidR="005C707B" w:rsidRPr="004B369F">
        <w:rPr>
          <w:rFonts w:cs="Arial"/>
          <w:szCs w:val="24"/>
        </w:rPr>
        <w:t xml:space="preserve"> on 30 November 2020 and 25 January 2021. The taxpayers responded twice</w:t>
      </w:r>
      <w:r w:rsidR="00D436B1" w:rsidRPr="004B369F">
        <w:rPr>
          <w:rFonts w:cs="Arial"/>
          <w:szCs w:val="24"/>
        </w:rPr>
        <w:t>;</w:t>
      </w:r>
      <w:r w:rsidR="005C707B" w:rsidRPr="004B369F">
        <w:rPr>
          <w:rFonts w:cs="Arial"/>
          <w:szCs w:val="24"/>
        </w:rPr>
        <w:t xml:space="preserve"> </w:t>
      </w:r>
      <w:r w:rsidR="00814632" w:rsidRPr="004B369F">
        <w:rPr>
          <w:rFonts w:cs="Arial"/>
          <w:szCs w:val="24"/>
        </w:rPr>
        <w:t xml:space="preserve">on 18 </w:t>
      </w:r>
      <w:r w:rsidR="00D436B1" w:rsidRPr="004B369F">
        <w:rPr>
          <w:rFonts w:cs="Arial"/>
          <w:szCs w:val="24"/>
        </w:rPr>
        <w:t>January</w:t>
      </w:r>
      <w:r w:rsidR="00814632" w:rsidRPr="004B369F">
        <w:rPr>
          <w:rFonts w:cs="Arial"/>
          <w:szCs w:val="24"/>
        </w:rPr>
        <w:t xml:space="preserve"> 2021 and 11 February 2021. </w:t>
      </w:r>
    </w:p>
    <w:p w14:paraId="79121389" w14:textId="419E6F3B" w:rsidR="000A35F1" w:rsidRPr="004B369F" w:rsidRDefault="004B369F" w:rsidP="004B369F">
      <w:pPr>
        <w:spacing w:after="360" w:line="480" w:lineRule="auto"/>
        <w:ind w:left="720" w:hanging="720"/>
        <w:jc w:val="both"/>
        <w:rPr>
          <w:rFonts w:cs="Arial"/>
          <w:szCs w:val="24"/>
        </w:rPr>
      </w:pPr>
      <w:r>
        <w:rPr>
          <w:rFonts w:cs="Arial"/>
          <w:szCs w:val="24"/>
        </w:rPr>
        <w:lastRenderedPageBreak/>
        <w:t>[15]</w:t>
      </w:r>
      <w:r>
        <w:rPr>
          <w:rFonts w:cs="Arial"/>
          <w:szCs w:val="24"/>
        </w:rPr>
        <w:tab/>
      </w:r>
      <w:r w:rsidR="00671AEE" w:rsidRPr="004B369F">
        <w:rPr>
          <w:rFonts w:cs="Arial"/>
          <w:szCs w:val="24"/>
        </w:rPr>
        <w:t xml:space="preserve">Then came the </w:t>
      </w:r>
      <w:r w:rsidR="00906024" w:rsidRPr="004B369F">
        <w:rPr>
          <w:rFonts w:cs="Arial"/>
          <w:szCs w:val="24"/>
        </w:rPr>
        <w:t xml:space="preserve">second </w:t>
      </w:r>
      <w:r w:rsidR="00671AEE" w:rsidRPr="004B369F">
        <w:rPr>
          <w:rFonts w:cs="Arial"/>
          <w:szCs w:val="24"/>
        </w:rPr>
        <w:t xml:space="preserve">letter crucial to these proceedings. SARS wrote to the taxpayers </w:t>
      </w:r>
      <w:r w:rsidR="00E17B97" w:rsidRPr="004B369F">
        <w:rPr>
          <w:rFonts w:cs="Arial"/>
          <w:szCs w:val="24"/>
        </w:rPr>
        <w:t>on 25 March 2021 a letter headed</w:t>
      </w:r>
      <w:r w:rsidR="005A52BE" w:rsidRPr="004B369F">
        <w:rPr>
          <w:rFonts w:cs="Arial"/>
          <w:szCs w:val="24"/>
        </w:rPr>
        <w:t xml:space="preserve"> </w:t>
      </w:r>
      <w:r w:rsidR="00981F40" w:rsidRPr="004B369F">
        <w:rPr>
          <w:rFonts w:cs="Arial"/>
          <w:i/>
          <w:iCs/>
          <w:szCs w:val="24"/>
        </w:rPr>
        <w:t>“Finalisation</w:t>
      </w:r>
      <w:r w:rsidR="00276AB0" w:rsidRPr="004B369F">
        <w:rPr>
          <w:rFonts w:cs="Arial"/>
          <w:i/>
          <w:iCs/>
          <w:szCs w:val="24"/>
        </w:rPr>
        <w:t xml:space="preserve"> of audit: Restructuring and sale of AMR Group Year of assessment:</w:t>
      </w:r>
      <w:r w:rsidR="00AE2BD7" w:rsidRPr="004B369F">
        <w:rPr>
          <w:rFonts w:cs="Arial"/>
          <w:i/>
          <w:iCs/>
          <w:szCs w:val="24"/>
        </w:rPr>
        <w:t>2017</w:t>
      </w:r>
      <w:r w:rsidR="00AE2BD7" w:rsidRPr="004B369F">
        <w:rPr>
          <w:rFonts w:cs="Arial"/>
          <w:szCs w:val="24"/>
        </w:rPr>
        <w:t>.</w:t>
      </w:r>
      <w:r w:rsidR="000A35F1" w:rsidRPr="004B369F">
        <w:rPr>
          <w:rFonts w:cs="Arial"/>
          <w:szCs w:val="24"/>
        </w:rPr>
        <w:t xml:space="preserve"> I will refer to this letter from now on as the March letter.</w:t>
      </w:r>
    </w:p>
    <w:p w14:paraId="45847710" w14:textId="576BCFDC" w:rsidR="00671AEE" w:rsidRPr="004B369F" w:rsidRDefault="004B369F" w:rsidP="004B369F">
      <w:pPr>
        <w:spacing w:after="360" w:line="480" w:lineRule="auto"/>
        <w:ind w:left="720" w:hanging="720"/>
        <w:jc w:val="both"/>
        <w:rPr>
          <w:rFonts w:cs="Arial"/>
          <w:szCs w:val="24"/>
        </w:rPr>
      </w:pPr>
      <w:r>
        <w:rPr>
          <w:rFonts w:cs="Arial"/>
          <w:szCs w:val="24"/>
        </w:rPr>
        <w:t>[16]</w:t>
      </w:r>
      <w:r>
        <w:rPr>
          <w:rFonts w:cs="Arial"/>
          <w:szCs w:val="24"/>
        </w:rPr>
        <w:tab/>
      </w:r>
      <w:r w:rsidR="000A35F1" w:rsidRPr="004B369F">
        <w:rPr>
          <w:rFonts w:cs="Arial"/>
          <w:szCs w:val="24"/>
        </w:rPr>
        <w:t xml:space="preserve">In the March </w:t>
      </w:r>
      <w:r w:rsidR="00036D98" w:rsidRPr="004B369F">
        <w:rPr>
          <w:rFonts w:cs="Arial"/>
          <w:szCs w:val="24"/>
        </w:rPr>
        <w:t>letter SARS set</w:t>
      </w:r>
      <w:r w:rsidR="000A35F1" w:rsidRPr="004B369F">
        <w:rPr>
          <w:rFonts w:cs="Arial"/>
          <w:szCs w:val="24"/>
        </w:rPr>
        <w:t>s</w:t>
      </w:r>
      <w:r w:rsidR="00036D98" w:rsidRPr="004B369F">
        <w:rPr>
          <w:rFonts w:cs="Arial"/>
          <w:szCs w:val="24"/>
        </w:rPr>
        <w:t xml:space="preserve"> out its reasons for rejecting the taxpayers</w:t>
      </w:r>
      <w:r w:rsidR="000A35F1" w:rsidRPr="004B369F">
        <w:rPr>
          <w:rFonts w:cs="Arial"/>
          <w:szCs w:val="24"/>
        </w:rPr>
        <w:t>’</w:t>
      </w:r>
      <w:r w:rsidR="00036D98" w:rsidRPr="004B369F">
        <w:rPr>
          <w:rFonts w:cs="Arial"/>
          <w:szCs w:val="24"/>
        </w:rPr>
        <w:t xml:space="preserve"> </w:t>
      </w:r>
      <w:r w:rsidR="00890CDE" w:rsidRPr="004B369F">
        <w:rPr>
          <w:rFonts w:cs="Arial"/>
          <w:szCs w:val="24"/>
        </w:rPr>
        <w:t xml:space="preserve">responses and why it considered </w:t>
      </w:r>
      <w:r w:rsidR="00751B6C" w:rsidRPr="004B369F">
        <w:rPr>
          <w:rFonts w:cs="Arial"/>
          <w:szCs w:val="24"/>
        </w:rPr>
        <w:t xml:space="preserve">that GAAR applied to the transactions. </w:t>
      </w:r>
      <w:r w:rsidR="003513D4" w:rsidRPr="004B369F">
        <w:rPr>
          <w:rFonts w:cs="Arial"/>
          <w:szCs w:val="24"/>
        </w:rPr>
        <w:t>In paragraph 6 of the letter</w:t>
      </w:r>
      <w:r w:rsidR="000A35F1" w:rsidRPr="004B369F">
        <w:rPr>
          <w:rFonts w:cs="Arial"/>
          <w:szCs w:val="24"/>
        </w:rPr>
        <w:t xml:space="preserve"> is</w:t>
      </w:r>
      <w:r w:rsidR="003513D4" w:rsidRPr="004B369F">
        <w:rPr>
          <w:rFonts w:cs="Arial"/>
          <w:szCs w:val="24"/>
        </w:rPr>
        <w:t xml:space="preserve"> a table which contains a summary </w:t>
      </w:r>
      <w:r w:rsidR="00F546CA" w:rsidRPr="004B369F">
        <w:rPr>
          <w:rFonts w:cs="Arial"/>
          <w:szCs w:val="24"/>
        </w:rPr>
        <w:t xml:space="preserve">and explanation of the proposed adjustments. </w:t>
      </w:r>
      <w:r w:rsidR="00F471A2" w:rsidRPr="004B369F">
        <w:rPr>
          <w:rFonts w:cs="Arial"/>
          <w:szCs w:val="24"/>
        </w:rPr>
        <w:t xml:space="preserve"> </w:t>
      </w:r>
      <w:r w:rsidR="00EA70E8" w:rsidRPr="004B369F">
        <w:rPr>
          <w:rFonts w:cs="Arial"/>
          <w:color w:val="000000" w:themeColor="text1"/>
          <w:szCs w:val="24"/>
        </w:rPr>
        <w:t xml:space="preserve">In essence </w:t>
      </w:r>
      <w:r w:rsidR="009420F3" w:rsidRPr="004B369F">
        <w:rPr>
          <w:rFonts w:cs="Arial"/>
          <w:color w:val="000000" w:themeColor="text1"/>
          <w:szCs w:val="24"/>
        </w:rPr>
        <w:t xml:space="preserve">the table sets out an amount for the capital gain. This is followed by a calculation of the tax liability </w:t>
      </w:r>
      <w:r w:rsidR="00677681" w:rsidRPr="004B369F">
        <w:rPr>
          <w:rFonts w:cs="Arial"/>
          <w:color w:val="000000" w:themeColor="text1"/>
          <w:szCs w:val="24"/>
        </w:rPr>
        <w:t>which is expressed as a percentage of the capital gain. Finally</w:t>
      </w:r>
      <w:r w:rsidR="00DF2D0B" w:rsidRPr="004B369F">
        <w:rPr>
          <w:rFonts w:cs="Arial"/>
          <w:color w:val="000000" w:themeColor="text1"/>
          <w:szCs w:val="24"/>
        </w:rPr>
        <w:t>,</w:t>
      </w:r>
      <w:r w:rsidR="00677681" w:rsidRPr="004B369F">
        <w:rPr>
          <w:rFonts w:cs="Arial"/>
          <w:color w:val="000000" w:themeColor="text1"/>
          <w:szCs w:val="24"/>
        </w:rPr>
        <w:t xml:space="preserve"> </w:t>
      </w:r>
      <w:r w:rsidR="00DF2D0B" w:rsidRPr="004B369F">
        <w:rPr>
          <w:rFonts w:cs="Arial"/>
          <w:color w:val="000000" w:themeColor="text1"/>
          <w:szCs w:val="24"/>
        </w:rPr>
        <w:t>there is</w:t>
      </w:r>
      <w:r w:rsidR="002872A3" w:rsidRPr="004B369F">
        <w:rPr>
          <w:rFonts w:cs="Arial"/>
          <w:color w:val="000000" w:themeColor="text1"/>
          <w:szCs w:val="24"/>
        </w:rPr>
        <w:t xml:space="preserve"> </w:t>
      </w:r>
      <w:r w:rsidR="002872A3" w:rsidRPr="004B369F">
        <w:rPr>
          <w:rFonts w:cs="Arial"/>
          <w:szCs w:val="24"/>
        </w:rPr>
        <w:t>a</w:t>
      </w:r>
      <w:r w:rsidR="00DF2D0B" w:rsidRPr="004B369F">
        <w:rPr>
          <w:rFonts w:cs="Arial"/>
          <w:szCs w:val="24"/>
        </w:rPr>
        <w:t>n</w:t>
      </w:r>
      <w:r w:rsidR="002872A3" w:rsidRPr="004B369F">
        <w:rPr>
          <w:rFonts w:cs="Arial"/>
          <w:szCs w:val="24"/>
        </w:rPr>
        <w:t xml:space="preserve"> </w:t>
      </w:r>
      <w:r w:rsidR="00DF2D0B" w:rsidRPr="004B369F">
        <w:rPr>
          <w:rFonts w:cs="Arial"/>
          <w:szCs w:val="24"/>
        </w:rPr>
        <w:t xml:space="preserve">amount for </w:t>
      </w:r>
      <w:r w:rsidR="002872A3" w:rsidRPr="004B369F">
        <w:rPr>
          <w:rFonts w:cs="Arial"/>
          <w:szCs w:val="24"/>
        </w:rPr>
        <w:t>the understatement penalty</w:t>
      </w:r>
      <w:r w:rsidR="00DF2D0B" w:rsidRPr="004B369F">
        <w:rPr>
          <w:rFonts w:cs="Arial"/>
          <w:szCs w:val="24"/>
        </w:rPr>
        <w:t>,</w:t>
      </w:r>
      <w:r w:rsidR="002872A3" w:rsidRPr="004B369F">
        <w:rPr>
          <w:rFonts w:cs="Arial"/>
          <w:szCs w:val="24"/>
        </w:rPr>
        <w:t xml:space="preserve"> which is </w:t>
      </w:r>
      <w:r w:rsidR="009B1C03" w:rsidRPr="004B369F">
        <w:rPr>
          <w:rFonts w:cs="Arial"/>
          <w:szCs w:val="24"/>
        </w:rPr>
        <w:t xml:space="preserve">calculated as </w:t>
      </w:r>
      <w:r w:rsidR="002872A3" w:rsidRPr="004B369F">
        <w:rPr>
          <w:rFonts w:cs="Arial"/>
          <w:szCs w:val="24"/>
        </w:rPr>
        <w:t xml:space="preserve">75% of the </w:t>
      </w:r>
      <w:r w:rsidR="00385E3C" w:rsidRPr="004B369F">
        <w:rPr>
          <w:rFonts w:cs="Arial"/>
          <w:szCs w:val="24"/>
        </w:rPr>
        <w:t>tax liability. On the same day SARS sent out separately</w:t>
      </w:r>
      <w:r w:rsidR="00F471A2" w:rsidRPr="004B369F">
        <w:rPr>
          <w:rFonts w:cs="Arial"/>
          <w:szCs w:val="24"/>
        </w:rPr>
        <w:t xml:space="preserve"> a</w:t>
      </w:r>
      <w:r w:rsidR="00385E3C" w:rsidRPr="004B369F">
        <w:rPr>
          <w:rFonts w:cs="Arial"/>
          <w:szCs w:val="24"/>
        </w:rPr>
        <w:t xml:space="preserve"> letter of</w:t>
      </w:r>
      <w:r w:rsidR="004A5E97" w:rsidRPr="004B369F">
        <w:rPr>
          <w:rFonts w:cs="Arial"/>
          <w:szCs w:val="24"/>
        </w:rPr>
        <w:t xml:space="preserve"> assessment to each taxpayer setting out </w:t>
      </w:r>
      <w:r w:rsidR="00987B17" w:rsidRPr="004B369F">
        <w:rPr>
          <w:rFonts w:cs="Arial"/>
          <w:szCs w:val="24"/>
        </w:rPr>
        <w:t xml:space="preserve">the relevant adjustment and penalties. </w:t>
      </w:r>
    </w:p>
    <w:p w14:paraId="05D88A3E" w14:textId="56FE4648" w:rsidR="000A2566" w:rsidRPr="004B369F" w:rsidRDefault="004B369F" w:rsidP="004B369F">
      <w:pPr>
        <w:spacing w:after="360" w:line="480" w:lineRule="auto"/>
        <w:ind w:left="720" w:hanging="720"/>
        <w:jc w:val="both"/>
        <w:rPr>
          <w:rFonts w:cs="Arial"/>
          <w:szCs w:val="24"/>
        </w:rPr>
      </w:pPr>
      <w:r>
        <w:rPr>
          <w:rFonts w:cs="Arial"/>
          <w:szCs w:val="24"/>
        </w:rPr>
        <w:t>[17]</w:t>
      </w:r>
      <w:r>
        <w:rPr>
          <w:rFonts w:cs="Arial"/>
          <w:szCs w:val="24"/>
        </w:rPr>
        <w:tab/>
      </w:r>
      <w:r w:rsidR="000A2566" w:rsidRPr="004B369F">
        <w:rPr>
          <w:rFonts w:cs="Arial"/>
          <w:szCs w:val="24"/>
        </w:rPr>
        <w:t xml:space="preserve">After receiving these letters </w:t>
      </w:r>
      <w:r w:rsidR="001E1F7D" w:rsidRPr="004B369F">
        <w:rPr>
          <w:rFonts w:cs="Arial"/>
          <w:szCs w:val="24"/>
        </w:rPr>
        <w:t>–</w:t>
      </w:r>
      <w:r w:rsidR="000A2566" w:rsidRPr="004B369F">
        <w:rPr>
          <w:rFonts w:cs="Arial"/>
          <w:szCs w:val="24"/>
        </w:rPr>
        <w:t xml:space="preserve"> </w:t>
      </w:r>
      <w:r w:rsidR="001E1F7D" w:rsidRPr="004B369F">
        <w:rPr>
          <w:rFonts w:cs="Arial"/>
          <w:szCs w:val="24"/>
        </w:rPr>
        <w:t>dated 25 March 2021 – which the taxpayers term the</w:t>
      </w:r>
      <w:r>
        <w:rPr>
          <w:rFonts w:cs="Arial"/>
          <w:szCs w:val="24"/>
        </w:rPr>
        <w:t xml:space="preserve"> “</w:t>
      </w:r>
      <w:r w:rsidR="001E1F7D" w:rsidRPr="004B369F">
        <w:rPr>
          <w:rFonts w:cs="Arial"/>
          <w:szCs w:val="24"/>
        </w:rPr>
        <w:t>first decision</w:t>
      </w:r>
      <w:r>
        <w:rPr>
          <w:rFonts w:cs="Arial"/>
          <w:szCs w:val="24"/>
        </w:rPr>
        <w:t>”</w:t>
      </w:r>
      <w:r w:rsidR="001E1F7D" w:rsidRPr="004B369F">
        <w:rPr>
          <w:rFonts w:cs="Arial"/>
          <w:szCs w:val="24"/>
        </w:rPr>
        <w:t xml:space="preserve">, their attorneys wrote back to SARS on </w:t>
      </w:r>
      <w:r w:rsidR="001864F3" w:rsidRPr="004B369F">
        <w:rPr>
          <w:rFonts w:cs="Arial"/>
          <w:szCs w:val="24"/>
        </w:rPr>
        <w:t xml:space="preserve">20 April 2021 requesting </w:t>
      </w:r>
      <w:r w:rsidR="007808C0" w:rsidRPr="004B369F">
        <w:rPr>
          <w:rFonts w:cs="Arial"/>
          <w:szCs w:val="24"/>
        </w:rPr>
        <w:t>that the two</w:t>
      </w:r>
      <w:r w:rsidR="00C6719C" w:rsidRPr="004B369F">
        <w:rPr>
          <w:rFonts w:cs="Arial"/>
          <w:szCs w:val="24"/>
        </w:rPr>
        <w:t xml:space="preserve"> communications rece</w:t>
      </w:r>
      <w:r w:rsidR="00716A0B" w:rsidRPr="004B369F">
        <w:rPr>
          <w:rFonts w:cs="Arial"/>
          <w:szCs w:val="24"/>
        </w:rPr>
        <w:t>i</w:t>
      </w:r>
      <w:r w:rsidR="00C6719C" w:rsidRPr="004B369F">
        <w:rPr>
          <w:rFonts w:cs="Arial"/>
          <w:szCs w:val="24"/>
        </w:rPr>
        <w:t>v</w:t>
      </w:r>
      <w:r w:rsidR="00716A0B" w:rsidRPr="004B369F">
        <w:rPr>
          <w:rFonts w:cs="Arial"/>
          <w:szCs w:val="24"/>
        </w:rPr>
        <w:t>e</w:t>
      </w:r>
      <w:r w:rsidR="00C6719C" w:rsidRPr="004B369F">
        <w:rPr>
          <w:rFonts w:cs="Arial"/>
          <w:szCs w:val="24"/>
        </w:rPr>
        <w:t xml:space="preserve">d by each taxpayer </w:t>
      </w:r>
      <w:r w:rsidR="00AB6ED4" w:rsidRPr="004B369F">
        <w:rPr>
          <w:rFonts w:cs="Arial"/>
          <w:szCs w:val="24"/>
        </w:rPr>
        <w:t xml:space="preserve">i.e., the </w:t>
      </w:r>
      <w:r w:rsidR="0080312F" w:rsidRPr="004B369F">
        <w:rPr>
          <w:rFonts w:cs="Arial"/>
          <w:szCs w:val="24"/>
        </w:rPr>
        <w:t xml:space="preserve">March </w:t>
      </w:r>
      <w:r w:rsidR="00AB6ED4" w:rsidRPr="004B369F">
        <w:rPr>
          <w:rFonts w:cs="Arial"/>
          <w:szCs w:val="24"/>
        </w:rPr>
        <w:t xml:space="preserve">letter and the assessment letter be withdrawn. This request was based on section 9 of the TAA which states </w:t>
      </w:r>
      <w:r w:rsidR="007F4EBB" w:rsidRPr="004B369F">
        <w:rPr>
          <w:rFonts w:cs="Arial"/>
          <w:szCs w:val="24"/>
        </w:rPr>
        <w:t xml:space="preserve">that a decision of a SARS official may be </w:t>
      </w:r>
      <w:r w:rsidR="00C96090" w:rsidRPr="004B369F">
        <w:rPr>
          <w:rFonts w:cs="Arial"/>
          <w:szCs w:val="24"/>
        </w:rPr>
        <w:t>withdrawn</w:t>
      </w:r>
      <w:r w:rsidR="005845D0" w:rsidRPr="004B369F">
        <w:rPr>
          <w:rFonts w:cs="Arial"/>
          <w:szCs w:val="24"/>
        </w:rPr>
        <w:t>,</w:t>
      </w:r>
      <w:r w:rsidR="00C96090" w:rsidRPr="004B369F">
        <w:rPr>
          <w:rFonts w:cs="Arial"/>
          <w:szCs w:val="24"/>
        </w:rPr>
        <w:t xml:space="preserve"> inter alia</w:t>
      </w:r>
      <w:r w:rsidR="005845D0" w:rsidRPr="004B369F">
        <w:rPr>
          <w:rFonts w:cs="Arial"/>
          <w:szCs w:val="24"/>
        </w:rPr>
        <w:t>,</w:t>
      </w:r>
      <w:r w:rsidR="00C96090" w:rsidRPr="004B369F">
        <w:rPr>
          <w:rFonts w:cs="Arial"/>
          <w:szCs w:val="24"/>
        </w:rPr>
        <w:t xml:space="preserve"> at the request of the relevant person</w:t>
      </w:r>
      <w:r w:rsidR="00FE4877" w:rsidRPr="004B369F">
        <w:rPr>
          <w:rFonts w:cs="Arial"/>
          <w:szCs w:val="24"/>
        </w:rPr>
        <w:t>.</w:t>
      </w:r>
      <w:r w:rsidR="00EA79DD" w:rsidRPr="004B369F">
        <w:rPr>
          <w:rFonts w:cs="Arial"/>
          <w:szCs w:val="24"/>
        </w:rPr>
        <w:t xml:space="preserve"> On 26 April 2021</w:t>
      </w:r>
      <w:r w:rsidR="00FE4877" w:rsidRPr="004B369F">
        <w:rPr>
          <w:rFonts w:cs="Arial"/>
          <w:szCs w:val="24"/>
        </w:rPr>
        <w:t xml:space="preserve"> SARS responded and refused the request</w:t>
      </w:r>
      <w:r w:rsidR="005845D0" w:rsidRPr="004B369F">
        <w:rPr>
          <w:rFonts w:cs="Arial"/>
          <w:szCs w:val="24"/>
        </w:rPr>
        <w:t>s</w:t>
      </w:r>
      <w:r w:rsidR="00FE4877" w:rsidRPr="004B369F">
        <w:rPr>
          <w:rFonts w:cs="Arial"/>
          <w:szCs w:val="24"/>
        </w:rPr>
        <w:t>.</w:t>
      </w:r>
      <w:r w:rsidR="00A10D2E" w:rsidRPr="004B369F">
        <w:rPr>
          <w:rFonts w:cs="Arial"/>
          <w:szCs w:val="24"/>
        </w:rPr>
        <w:t xml:space="preserve"> The taxpayers refer to these decisions as the second decisions.</w:t>
      </w:r>
    </w:p>
    <w:p w14:paraId="5F3C0F70" w14:textId="374B8B65" w:rsidR="00A10D2E" w:rsidRPr="004B369F" w:rsidRDefault="004B369F" w:rsidP="004B369F">
      <w:pPr>
        <w:spacing w:after="360" w:line="480" w:lineRule="auto"/>
        <w:ind w:left="720" w:hanging="720"/>
        <w:jc w:val="both"/>
        <w:rPr>
          <w:rFonts w:cs="Arial"/>
          <w:szCs w:val="24"/>
        </w:rPr>
      </w:pPr>
      <w:r>
        <w:rPr>
          <w:rFonts w:cs="Arial"/>
          <w:szCs w:val="24"/>
        </w:rPr>
        <w:lastRenderedPageBreak/>
        <w:t>[18]</w:t>
      </w:r>
      <w:r>
        <w:rPr>
          <w:rFonts w:cs="Arial"/>
          <w:szCs w:val="24"/>
        </w:rPr>
        <w:tab/>
      </w:r>
      <w:r w:rsidR="00A10D2E" w:rsidRPr="004B369F">
        <w:rPr>
          <w:rFonts w:cs="Arial"/>
          <w:szCs w:val="24"/>
        </w:rPr>
        <w:t>The subject of the taxpayers</w:t>
      </w:r>
      <w:r w:rsidR="00EA79DD" w:rsidRPr="004B369F">
        <w:rPr>
          <w:rFonts w:cs="Arial"/>
          <w:szCs w:val="24"/>
        </w:rPr>
        <w:t>’</w:t>
      </w:r>
      <w:r w:rsidR="00A10D2E" w:rsidRPr="004B369F">
        <w:rPr>
          <w:rFonts w:cs="Arial"/>
          <w:szCs w:val="24"/>
        </w:rPr>
        <w:t xml:space="preserve"> review is for the court to review and set aside the first and second </w:t>
      </w:r>
      <w:r w:rsidR="006D1974" w:rsidRPr="004B369F">
        <w:rPr>
          <w:rFonts w:cs="Arial"/>
          <w:szCs w:val="24"/>
        </w:rPr>
        <w:t>decisions or</w:t>
      </w:r>
      <w:r w:rsidR="000A35F1" w:rsidRPr="004B369F">
        <w:rPr>
          <w:rFonts w:cs="Arial"/>
          <w:szCs w:val="24"/>
        </w:rPr>
        <w:t xml:space="preserve"> put differently</w:t>
      </w:r>
      <w:r w:rsidR="00223F8F" w:rsidRPr="004B369F">
        <w:rPr>
          <w:rFonts w:cs="Arial"/>
          <w:szCs w:val="24"/>
        </w:rPr>
        <w:t>,</w:t>
      </w:r>
      <w:r w:rsidR="000A35F1" w:rsidRPr="004B369F">
        <w:rPr>
          <w:rFonts w:cs="Arial"/>
          <w:szCs w:val="24"/>
        </w:rPr>
        <w:t xml:space="preserve"> the March letter and the </w:t>
      </w:r>
      <w:r w:rsidR="00EA79DD" w:rsidRPr="004B369F">
        <w:rPr>
          <w:rFonts w:cs="Arial"/>
          <w:szCs w:val="24"/>
        </w:rPr>
        <w:t>letter of 26 April 2021</w:t>
      </w:r>
      <w:r w:rsidR="00A10D2E" w:rsidRPr="004B369F">
        <w:rPr>
          <w:rFonts w:cs="Arial"/>
          <w:szCs w:val="24"/>
        </w:rPr>
        <w:t>.</w:t>
      </w:r>
      <w:r w:rsidR="00F56FF8" w:rsidRPr="004B369F">
        <w:rPr>
          <w:rFonts w:cs="Arial"/>
          <w:szCs w:val="24"/>
        </w:rPr>
        <w:t xml:space="preserve"> </w:t>
      </w:r>
      <w:r w:rsidR="0058264E" w:rsidRPr="004B369F">
        <w:rPr>
          <w:rFonts w:cs="Arial"/>
          <w:szCs w:val="24"/>
        </w:rPr>
        <w:t xml:space="preserve">The taxpayers contend that </w:t>
      </w:r>
      <w:r w:rsidR="00D606EF" w:rsidRPr="004B369F">
        <w:rPr>
          <w:rFonts w:cs="Arial"/>
          <w:szCs w:val="24"/>
        </w:rPr>
        <w:t xml:space="preserve">the March letter </w:t>
      </w:r>
      <w:r w:rsidR="0058264E" w:rsidRPr="004B369F">
        <w:rPr>
          <w:rFonts w:cs="Arial"/>
          <w:szCs w:val="24"/>
        </w:rPr>
        <w:t xml:space="preserve">did not comply with the requirements specified in section </w:t>
      </w:r>
      <w:r w:rsidR="00C660A7" w:rsidRPr="004B369F">
        <w:rPr>
          <w:rFonts w:cs="Arial"/>
          <w:szCs w:val="24"/>
        </w:rPr>
        <w:t>42</w:t>
      </w:r>
      <w:r w:rsidR="00737CFA" w:rsidRPr="004B369F">
        <w:rPr>
          <w:rFonts w:cs="Arial"/>
          <w:szCs w:val="24"/>
        </w:rPr>
        <w:t>(2)(b)</w:t>
      </w:r>
      <w:r w:rsidR="00C660A7" w:rsidRPr="004B369F">
        <w:rPr>
          <w:rFonts w:cs="Arial"/>
          <w:szCs w:val="24"/>
        </w:rPr>
        <w:t xml:space="preserve"> of the TAA. That justified them asking SARS to reconsider its decision</w:t>
      </w:r>
      <w:r w:rsidR="00340390" w:rsidRPr="004B369F">
        <w:rPr>
          <w:rFonts w:cs="Arial"/>
          <w:szCs w:val="24"/>
        </w:rPr>
        <w:t xml:space="preserve">. When SARS refused to do so it thus failed to comply with section 9 of the </w:t>
      </w:r>
      <w:r w:rsidR="00AE2BD7" w:rsidRPr="004B369F">
        <w:rPr>
          <w:rFonts w:cs="Arial"/>
          <w:szCs w:val="24"/>
        </w:rPr>
        <w:t>TAA,</w:t>
      </w:r>
      <w:r w:rsidR="00340390" w:rsidRPr="004B369F">
        <w:rPr>
          <w:rFonts w:cs="Arial"/>
          <w:szCs w:val="24"/>
        </w:rPr>
        <w:t xml:space="preserve"> and </w:t>
      </w:r>
      <w:r w:rsidR="00EE2CF9" w:rsidRPr="004B369F">
        <w:rPr>
          <w:rFonts w:cs="Arial"/>
          <w:szCs w:val="24"/>
        </w:rPr>
        <w:t xml:space="preserve">this gave rise to </w:t>
      </w:r>
      <w:r w:rsidR="006402CB" w:rsidRPr="004B369F">
        <w:rPr>
          <w:rFonts w:cs="Arial"/>
          <w:szCs w:val="24"/>
        </w:rPr>
        <w:t>the</w:t>
      </w:r>
      <w:r w:rsidR="00EE2CF9" w:rsidRPr="004B369F">
        <w:rPr>
          <w:rFonts w:cs="Arial"/>
          <w:szCs w:val="24"/>
        </w:rPr>
        <w:t xml:space="preserve"> second reviewable decision.</w:t>
      </w:r>
    </w:p>
    <w:p w14:paraId="2CE0430A" w14:textId="28FB7312" w:rsidR="003943F5" w:rsidRPr="004B369F" w:rsidRDefault="004B369F" w:rsidP="004B369F">
      <w:pPr>
        <w:spacing w:after="360" w:line="480" w:lineRule="auto"/>
        <w:ind w:left="720" w:hanging="720"/>
        <w:jc w:val="both"/>
        <w:rPr>
          <w:rFonts w:cs="Arial"/>
          <w:szCs w:val="24"/>
        </w:rPr>
      </w:pPr>
      <w:r>
        <w:rPr>
          <w:rFonts w:cs="Arial"/>
          <w:szCs w:val="24"/>
        </w:rPr>
        <w:t>[19]</w:t>
      </w:r>
      <w:r>
        <w:rPr>
          <w:rFonts w:cs="Arial"/>
          <w:szCs w:val="24"/>
        </w:rPr>
        <w:tab/>
      </w:r>
      <w:r w:rsidR="00EE2CF9" w:rsidRPr="004B369F">
        <w:rPr>
          <w:rFonts w:cs="Arial"/>
          <w:szCs w:val="24"/>
        </w:rPr>
        <w:t>T</w:t>
      </w:r>
      <w:r w:rsidR="00091088" w:rsidRPr="004B369F">
        <w:rPr>
          <w:rFonts w:cs="Arial"/>
          <w:szCs w:val="24"/>
        </w:rPr>
        <w:t xml:space="preserve">o support their allegations of unlawful administrative action the taxpayers rely on The Promotion of </w:t>
      </w:r>
      <w:r w:rsidR="009E6EDB" w:rsidRPr="004B369F">
        <w:rPr>
          <w:rFonts w:cs="Arial"/>
          <w:szCs w:val="24"/>
        </w:rPr>
        <w:t>Administrative</w:t>
      </w:r>
      <w:r w:rsidR="00091088" w:rsidRPr="004B369F">
        <w:rPr>
          <w:rFonts w:cs="Arial"/>
          <w:szCs w:val="24"/>
        </w:rPr>
        <w:t xml:space="preserve"> Justice Act, </w:t>
      </w:r>
      <w:r w:rsidR="00977A39" w:rsidRPr="004B369F">
        <w:rPr>
          <w:rFonts w:cs="Arial"/>
          <w:szCs w:val="24"/>
        </w:rPr>
        <w:t xml:space="preserve">3 of 2000, </w:t>
      </w:r>
      <w:r w:rsidR="009E6EDB" w:rsidRPr="004B369F">
        <w:rPr>
          <w:rFonts w:cs="Arial"/>
          <w:szCs w:val="24"/>
        </w:rPr>
        <w:t>(</w:t>
      </w:r>
      <w:r>
        <w:rPr>
          <w:rFonts w:cs="Arial"/>
          <w:szCs w:val="24"/>
        </w:rPr>
        <w:t>“</w:t>
      </w:r>
      <w:r w:rsidR="009E6EDB" w:rsidRPr="004B369F">
        <w:rPr>
          <w:rFonts w:cs="Arial"/>
          <w:szCs w:val="24"/>
        </w:rPr>
        <w:t>PAJA</w:t>
      </w:r>
      <w:r>
        <w:rPr>
          <w:rFonts w:cs="Arial"/>
          <w:szCs w:val="24"/>
        </w:rPr>
        <w:t>”</w:t>
      </w:r>
      <w:r w:rsidR="009E6EDB" w:rsidRPr="004B369F">
        <w:rPr>
          <w:rFonts w:cs="Arial"/>
          <w:szCs w:val="24"/>
        </w:rPr>
        <w:t xml:space="preserve">) </w:t>
      </w:r>
      <w:r w:rsidR="00977A39" w:rsidRPr="004B369F">
        <w:rPr>
          <w:rFonts w:cs="Arial"/>
          <w:szCs w:val="24"/>
        </w:rPr>
        <w:t>and in the alternative raise a legality review.</w:t>
      </w:r>
      <w:r w:rsidR="00737CFA" w:rsidRPr="004B369F">
        <w:rPr>
          <w:rFonts w:cs="Arial"/>
          <w:szCs w:val="24"/>
        </w:rPr>
        <w:t xml:space="preserve"> In relation to the first decision – the non-compliance with section 42(2)(b</w:t>
      </w:r>
      <w:r w:rsidR="00CB6D6E" w:rsidRPr="004B369F">
        <w:rPr>
          <w:rFonts w:cs="Arial"/>
          <w:szCs w:val="24"/>
        </w:rPr>
        <w:t>), t</w:t>
      </w:r>
      <w:r w:rsidR="00492832" w:rsidRPr="004B369F">
        <w:rPr>
          <w:rFonts w:cs="Arial"/>
          <w:szCs w:val="24"/>
        </w:rPr>
        <w:t xml:space="preserve">he taxpayers contend that </w:t>
      </w:r>
      <w:r w:rsidR="00D83FDF" w:rsidRPr="004B369F">
        <w:rPr>
          <w:rFonts w:cs="Arial"/>
          <w:szCs w:val="24"/>
        </w:rPr>
        <w:t xml:space="preserve">they were denied </w:t>
      </w:r>
      <w:r w:rsidR="00D83FDF" w:rsidRPr="004B369F">
        <w:rPr>
          <w:rFonts w:cs="Arial"/>
          <w:i/>
          <w:iCs/>
          <w:szCs w:val="24"/>
        </w:rPr>
        <w:t>audi alteram partem</w:t>
      </w:r>
      <w:r w:rsidR="0017161B" w:rsidRPr="004B369F">
        <w:rPr>
          <w:rFonts w:cs="Arial"/>
          <w:i/>
          <w:iCs/>
          <w:szCs w:val="24"/>
        </w:rPr>
        <w:t xml:space="preserve">. </w:t>
      </w:r>
      <w:r w:rsidR="003943F5" w:rsidRPr="004B369F">
        <w:rPr>
          <w:rFonts w:cs="Arial"/>
          <w:szCs w:val="24"/>
        </w:rPr>
        <w:t xml:space="preserve">They </w:t>
      </w:r>
      <w:r w:rsidR="00C3676F" w:rsidRPr="004B369F">
        <w:rPr>
          <w:rFonts w:cs="Arial"/>
          <w:szCs w:val="24"/>
        </w:rPr>
        <w:t>say this right was compromised in the</w:t>
      </w:r>
      <w:r w:rsidR="00622E29" w:rsidRPr="004B369F">
        <w:rPr>
          <w:rFonts w:cs="Arial"/>
          <w:szCs w:val="24"/>
        </w:rPr>
        <w:t>s</w:t>
      </w:r>
      <w:r w:rsidR="00C3676F" w:rsidRPr="004B369F">
        <w:rPr>
          <w:rFonts w:cs="Arial"/>
          <w:szCs w:val="24"/>
        </w:rPr>
        <w:t>e respects</w:t>
      </w:r>
      <w:r w:rsidR="0030599C" w:rsidRPr="004B369F">
        <w:rPr>
          <w:rFonts w:cs="Arial"/>
          <w:szCs w:val="24"/>
        </w:rPr>
        <w:t>:</w:t>
      </w:r>
    </w:p>
    <w:p w14:paraId="32789ECA" w14:textId="1F4A66D1" w:rsidR="00125237" w:rsidRPr="00941AF5" w:rsidRDefault="00941AF5" w:rsidP="00941AF5">
      <w:pPr>
        <w:spacing w:after="0" w:line="480" w:lineRule="auto"/>
        <w:ind w:left="1434" w:hanging="357"/>
        <w:jc w:val="both"/>
        <w:rPr>
          <w:rFonts w:cs="Arial"/>
          <w:szCs w:val="24"/>
        </w:rPr>
      </w:pPr>
      <w:r w:rsidRPr="00B12D64">
        <w:rPr>
          <w:rFonts w:cs="Arial"/>
          <w:szCs w:val="24"/>
        </w:rPr>
        <w:t>a.</w:t>
      </w:r>
      <w:r w:rsidRPr="00B12D64">
        <w:rPr>
          <w:rFonts w:cs="Arial"/>
          <w:szCs w:val="24"/>
        </w:rPr>
        <w:tab/>
      </w:r>
      <w:r w:rsidR="00125237" w:rsidRPr="00941AF5">
        <w:rPr>
          <w:rFonts w:cs="Arial"/>
          <w:szCs w:val="24"/>
        </w:rPr>
        <w:t>Their right to receive</w:t>
      </w:r>
      <w:r w:rsidR="00F57ABD" w:rsidRPr="00941AF5">
        <w:rPr>
          <w:rFonts w:cs="Arial"/>
          <w:szCs w:val="24"/>
        </w:rPr>
        <w:t xml:space="preserve"> an audit outcome letter</w:t>
      </w:r>
      <w:r w:rsidR="00EA79DD" w:rsidRPr="00941AF5">
        <w:rPr>
          <w:rFonts w:cs="Arial"/>
          <w:szCs w:val="24"/>
        </w:rPr>
        <w:t>;</w:t>
      </w:r>
      <w:r w:rsidR="00F57ABD" w:rsidRPr="00941AF5">
        <w:rPr>
          <w:rFonts w:cs="Arial"/>
          <w:szCs w:val="24"/>
        </w:rPr>
        <w:t xml:space="preserve"> </w:t>
      </w:r>
    </w:p>
    <w:p w14:paraId="58708226" w14:textId="4783D26B" w:rsidR="008819EB" w:rsidRPr="00941AF5" w:rsidRDefault="00941AF5" w:rsidP="00941AF5">
      <w:pPr>
        <w:spacing w:after="0" w:line="480" w:lineRule="auto"/>
        <w:ind w:left="1434" w:hanging="357"/>
        <w:jc w:val="both"/>
        <w:rPr>
          <w:rFonts w:cs="Arial"/>
          <w:szCs w:val="24"/>
        </w:rPr>
      </w:pPr>
      <w:r w:rsidRPr="00B12D64">
        <w:rPr>
          <w:rFonts w:cs="Arial"/>
          <w:szCs w:val="24"/>
        </w:rPr>
        <w:t>b.</w:t>
      </w:r>
      <w:r w:rsidRPr="00B12D64">
        <w:rPr>
          <w:rFonts w:cs="Arial"/>
          <w:szCs w:val="24"/>
        </w:rPr>
        <w:tab/>
      </w:r>
      <w:r w:rsidR="008819EB" w:rsidRPr="00941AF5">
        <w:rPr>
          <w:rFonts w:cs="Arial"/>
          <w:szCs w:val="24"/>
        </w:rPr>
        <w:t>The right to be able to consider an audit outcome letter;</w:t>
      </w:r>
    </w:p>
    <w:p w14:paraId="6F3DD2AE" w14:textId="22818039" w:rsidR="008819EB" w:rsidRPr="00941AF5" w:rsidRDefault="00941AF5" w:rsidP="00941AF5">
      <w:pPr>
        <w:spacing w:after="0" w:line="480" w:lineRule="auto"/>
        <w:ind w:left="1434" w:hanging="357"/>
        <w:jc w:val="both"/>
        <w:rPr>
          <w:rFonts w:cs="Arial"/>
          <w:szCs w:val="24"/>
        </w:rPr>
      </w:pPr>
      <w:r w:rsidRPr="00B12D64">
        <w:rPr>
          <w:rFonts w:cs="Arial"/>
          <w:szCs w:val="24"/>
        </w:rPr>
        <w:t>c.</w:t>
      </w:r>
      <w:r w:rsidRPr="00B12D64">
        <w:rPr>
          <w:rFonts w:cs="Arial"/>
          <w:szCs w:val="24"/>
        </w:rPr>
        <w:tab/>
      </w:r>
      <w:r w:rsidR="001E0AAB" w:rsidRPr="00941AF5">
        <w:rPr>
          <w:rFonts w:cs="Arial"/>
          <w:szCs w:val="24"/>
        </w:rPr>
        <w:t xml:space="preserve">The right </w:t>
      </w:r>
      <w:r w:rsidR="00C104CE" w:rsidRPr="00941AF5">
        <w:rPr>
          <w:rFonts w:cs="Arial"/>
          <w:szCs w:val="24"/>
        </w:rPr>
        <w:t>to respond to the audit outcome letter;</w:t>
      </w:r>
      <w:r w:rsidR="00360BB2" w:rsidRPr="00941AF5">
        <w:rPr>
          <w:rFonts w:cs="Arial"/>
          <w:szCs w:val="24"/>
        </w:rPr>
        <w:t xml:space="preserve"> </w:t>
      </w:r>
      <w:r w:rsidR="00C104CE" w:rsidRPr="00941AF5">
        <w:rPr>
          <w:rFonts w:cs="Arial"/>
          <w:szCs w:val="24"/>
        </w:rPr>
        <w:t>and</w:t>
      </w:r>
    </w:p>
    <w:p w14:paraId="6B368566" w14:textId="42691273" w:rsidR="00EE160C" w:rsidRPr="00941AF5" w:rsidRDefault="00941AF5" w:rsidP="00941AF5">
      <w:pPr>
        <w:spacing w:after="360" w:line="480" w:lineRule="auto"/>
        <w:ind w:left="1434" w:hanging="357"/>
        <w:jc w:val="both"/>
        <w:rPr>
          <w:rFonts w:cs="Arial"/>
          <w:szCs w:val="24"/>
        </w:rPr>
      </w:pPr>
      <w:r w:rsidRPr="00B12D64">
        <w:rPr>
          <w:rFonts w:cs="Arial"/>
          <w:szCs w:val="24"/>
        </w:rPr>
        <w:t>d.</w:t>
      </w:r>
      <w:r w:rsidRPr="00B12D64">
        <w:rPr>
          <w:rFonts w:cs="Arial"/>
          <w:szCs w:val="24"/>
        </w:rPr>
        <w:tab/>
      </w:r>
      <w:r w:rsidR="00C104CE" w:rsidRPr="00941AF5">
        <w:rPr>
          <w:rFonts w:cs="Arial"/>
          <w:szCs w:val="24"/>
        </w:rPr>
        <w:t xml:space="preserve">The right to </w:t>
      </w:r>
      <w:r w:rsidR="00EE160C" w:rsidRPr="00941AF5">
        <w:rPr>
          <w:rFonts w:cs="Arial"/>
          <w:szCs w:val="24"/>
        </w:rPr>
        <w:t xml:space="preserve">have SARS consider their response to the </w:t>
      </w:r>
      <w:r w:rsidR="00067B39" w:rsidRPr="00941AF5">
        <w:rPr>
          <w:rFonts w:cs="Arial"/>
          <w:szCs w:val="24"/>
        </w:rPr>
        <w:t>letter.</w:t>
      </w:r>
    </w:p>
    <w:p w14:paraId="3234C8B1" w14:textId="784ABBEE" w:rsidR="001B5FBD" w:rsidRPr="008221BF" w:rsidRDefault="008221BF" w:rsidP="008221BF">
      <w:pPr>
        <w:spacing w:after="360" w:line="480" w:lineRule="auto"/>
        <w:ind w:left="720" w:hanging="720"/>
        <w:jc w:val="both"/>
        <w:rPr>
          <w:rFonts w:cs="Arial"/>
          <w:szCs w:val="24"/>
        </w:rPr>
      </w:pPr>
      <w:r>
        <w:rPr>
          <w:rFonts w:cs="Arial"/>
          <w:szCs w:val="24"/>
        </w:rPr>
        <w:t>[20]</w:t>
      </w:r>
      <w:r>
        <w:rPr>
          <w:rFonts w:cs="Arial"/>
          <w:szCs w:val="24"/>
        </w:rPr>
        <w:tab/>
      </w:r>
      <w:r w:rsidR="00A44628" w:rsidRPr="008221BF">
        <w:rPr>
          <w:rFonts w:cs="Arial"/>
          <w:szCs w:val="24"/>
        </w:rPr>
        <w:t xml:space="preserve">What the taxpayers seek to portray is that </w:t>
      </w:r>
      <w:r w:rsidR="00DF0685" w:rsidRPr="008221BF">
        <w:rPr>
          <w:rFonts w:cs="Arial"/>
          <w:szCs w:val="24"/>
        </w:rPr>
        <w:t>SARS embarked on an incomplete process</w:t>
      </w:r>
      <w:r w:rsidR="00A05B8D" w:rsidRPr="008221BF">
        <w:rPr>
          <w:rFonts w:cs="Arial"/>
          <w:szCs w:val="24"/>
        </w:rPr>
        <w:t>.</w:t>
      </w:r>
      <w:r w:rsidR="00A84D57" w:rsidRPr="008221BF">
        <w:rPr>
          <w:rFonts w:cs="Arial"/>
          <w:szCs w:val="24"/>
        </w:rPr>
        <w:t xml:space="preserve"> </w:t>
      </w:r>
      <w:r w:rsidR="00000893" w:rsidRPr="008221BF">
        <w:rPr>
          <w:rFonts w:cs="Arial"/>
          <w:szCs w:val="24"/>
        </w:rPr>
        <w:t xml:space="preserve">But SARS does not </w:t>
      </w:r>
      <w:r w:rsidR="009E1C40" w:rsidRPr="008221BF">
        <w:rPr>
          <w:rFonts w:cs="Arial"/>
          <w:szCs w:val="24"/>
        </w:rPr>
        <w:t>rely on the 25</w:t>
      </w:r>
      <w:r w:rsidR="009E1C40" w:rsidRPr="008221BF">
        <w:rPr>
          <w:rFonts w:cs="Arial"/>
          <w:szCs w:val="24"/>
          <w:vertAlign w:val="superscript"/>
        </w:rPr>
        <w:t>th</w:t>
      </w:r>
      <w:r w:rsidR="009E1C40" w:rsidRPr="008221BF">
        <w:rPr>
          <w:rFonts w:cs="Arial"/>
          <w:szCs w:val="24"/>
        </w:rPr>
        <w:t xml:space="preserve"> March letter as the one that complies with section </w:t>
      </w:r>
      <w:r w:rsidR="00CF3076" w:rsidRPr="008221BF">
        <w:rPr>
          <w:rFonts w:cs="Arial"/>
          <w:szCs w:val="24"/>
        </w:rPr>
        <w:t>42</w:t>
      </w:r>
      <w:r w:rsidR="008D1380" w:rsidRPr="008221BF">
        <w:rPr>
          <w:rFonts w:cs="Arial"/>
          <w:szCs w:val="24"/>
        </w:rPr>
        <w:t>(2)(b)</w:t>
      </w:r>
      <w:r w:rsidR="00CF3076" w:rsidRPr="008221BF">
        <w:rPr>
          <w:rFonts w:cs="Arial"/>
          <w:szCs w:val="24"/>
        </w:rPr>
        <w:t>. Instead</w:t>
      </w:r>
      <w:r w:rsidR="008D1380" w:rsidRPr="008221BF">
        <w:rPr>
          <w:rFonts w:cs="Arial"/>
          <w:szCs w:val="24"/>
        </w:rPr>
        <w:t>,</w:t>
      </w:r>
      <w:r w:rsidR="00CF3076" w:rsidRPr="008221BF">
        <w:rPr>
          <w:rFonts w:cs="Arial"/>
          <w:szCs w:val="24"/>
        </w:rPr>
        <w:t xml:space="preserve"> it relies on </w:t>
      </w:r>
      <w:r w:rsidR="00EC0627" w:rsidRPr="008221BF">
        <w:rPr>
          <w:rFonts w:cs="Arial"/>
          <w:szCs w:val="24"/>
        </w:rPr>
        <w:t>the</w:t>
      </w:r>
      <w:r w:rsidR="00CF3076" w:rsidRPr="008221BF">
        <w:rPr>
          <w:rFonts w:cs="Arial"/>
          <w:szCs w:val="24"/>
        </w:rPr>
        <w:t xml:space="preserve"> earlier </w:t>
      </w:r>
      <w:r w:rsidR="00EC0627" w:rsidRPr="008221BF">
        <w:rPr>
          <w:rFonts w:cs="Arial"/>
          <w:szCs w:val="24"/>
        </w:rPr>
        <w:t xml:space="preserve">July </w:t>
      </w:r>
      <w:r w:rsidR="00CF3076" w:rsidRPr="008221BF">
        <w:rPr>
          <w:rFonts w:cs="Arial"/>
          <w:szCs w:val="24"/>
        </w:rPr>
        <w:t>letter.</w:t>
      </w:r>
      <w:r w:rsidR="00975C68" w:rsidRPr="008221BF">
        <w:rPr>
          <w:rFonts w:cs="Arial"/>
          <w:szCs w:val="24"/>
        </w:rPr>
        <w:t xml:space="preserve"> This letter is headed </w:t>
      </w:r>
      <w:r>
        <w:rPr>
          <w:rFonts w:cs="Arial"/>
          <w:szCs w:val="24"/>
        </w:rPr>
        <w:t>“</w:t>
      </w:r>
      <w:r w:rsidR="00975C68" w:rsidRPr="008221BF">
        <w:rPr>
          <w:rFonts w:cs="Arial"/>
          <w:i/>
          <w:iCs/>
          <w:szCs w:val="24"/>
        </w:rPr>
        <w:t xml:space="preserve">Section </w:t>
      </w:r>
      <w:r w:rsidR="00F1370D" w:rsidRPr="008221BF">
        <w:rPr>
          <w:rFonts w:cs="Arial"/>
          <w:i/>
          <w:iCs/>
          <w:szCs w:val="24"/>
        </w:rPr>
        <w:t>80J Notice</w:t>
      </w:r>
      <w:r>
        <w:rPr>
          <w:rFonts w:cs="Arial"/>
          <w:i/>
          <w:iCs/>
          <w:szCs w:val="24"/>
        </w:rPr>
        <w:t>”</w:t>
      </w:r>
      <w:r w:rsidR="00F1370D" w:rsidRPr="008221BF">
        <w:rPr>
          <w:rFonts w:cs="Arial"/>
          <w:szCs w:val="24"/>
        </w:rPr>
        <w:t xml:space="preserve">. </w:t>
      </w:r>
      <w:r w:rsidR="00C124FB" w:rsidRPr="008221BF">
        <w:rPr>
          <w:rFonts w:cs="Arial"/>
          <w:szCs w:val="24"/>
        </w:rPr>
        <w:t>Granted i</w:t>
      </w:r>
      <w:r w:rsidR="00F1370D" w:rsidRPr="008221BF">
        <w:rPr>
          <w:rFonts w:cs="Arial"/>
          <w:szCs w:val="24"/>
        </w:rPr>
        <w:t>t makes no reference to section 42(2)(b)</w:t>
      </w:r>
      <w:r w:rsidR="00D9573A" w:rsidRPr="008221BF">
        <w:rPr>
          <w:rFonts w:cs="Arial"/>
          <w:szCs w:val="24"/>
        </w:rPr>
        <w:t>. But according to Dr Marcus</w:t>
      </w:r>
      <w:r w:rsidR="00F323A4" w:rsidRPr="008221BF">
        <w:rPr>
          <w:rFonts w:cs="Arial"/>
          <w:szCs w:val="24"/>
        </w:rPr>
        <w:t>,</w:t>
      </w:r>
      <w:r w:rsidR="00D9573A" w:rsidRPr="008221BF">
        <w:rPr>
          <w:rFonts w:cs="Arial"/>
          <w:szCs w:val="24"/>
        </w:rPr>
        <w:t xml:space="preserve"> who was the senior specialist from SARS responsible for the investigation</w:t>
      </w:r>
      <w:r w:rsidR="00F323A4" w:rsidRPr="008221BF">
        <w:rPr>
          <w:rFonts w:cs="Arial"/>
          <w:szCs w:val="24"/>
        </w:rPr>
        <w:t>,</w:t>
      </w:r>
      <w:r w:rsidR="00D9573A" w:rsidRPr="008221BF">
        <w:rPr>
          <w:rFonts w:cs="Arial"/>
          <w:szCs w:val="24"/>
        </w:rPr>
        <w:t xml:space="preserve"> the letter </w:t>
      </w:r>
      <w:r w:rsidR="007E29D7" w:rsidRPr="008221BF">
        <w:rPr>
          <w:rFonts w:cs="Arial"/>
          <w:szCs w:val="24"/>
        </w:rPr>
        <w:t>was: (i) sent on the co</w:t>
      </w:r>
      <w:r w:rsidR="00D25C06" w:rsidRPr="008221BF">
        <w:rPr>
          <w:rFonts w:cs="Arial"/>
          <w:szCs w:val="24"/>
        </w:rPr>
        <w:t>nclusion</w:t>
      </w:r>
      <w:r w:rsidR="007E29D7" w:rsidRPr="008221BF">
        <w:rPr>
          <w:rFonts w:cs="Arial"/>
          <w:szCs w:val="24"/>
        </w:rPr>
        <w:t xml:space="preserve"> of the audit (recall this </w:t>
      </w:r>
      <w:r w:rsidR="007E29D7" w:rsidRPr="008221BF">
        <w:rPr>
          <w:rFonts w:cs="Arial"/>
          <w:szCs w:val="24"/>
        </w:rPr>
        <w:lastRenderedPageBreak/>
        <w:t>is one of the requirements in section 42(2)(b)</w:t>
      </w:r>
      <w:r w:rsidR="00487BDE" w:rsidRPr="008221BF">
        <w:rPr>
          <w:rFonts w:cs="Arial"/>
          <w:szCs w:val="24"/>
        </w:rPr>
        <w:t>;</w:t>
      </w:r>
      <w:r w:rsidR="007E29D7" w:rsidRPr="008221BF">
        <w:rPr>
          <w:rFonts w:cs="Arial"/>
          <w:szCs w:val="24"/>
        </w:rPr>
        <w:t xml:space="preserve"> and (ii) was </w:t>
      </w:r>
      <w:r w:rsidR="00B33A5C" w:rsidRPr="008221BF">
        <w:rPr>
          <w:rFonts w:cs="Arial"/>
          <w:szCs w:val="24"/>
        </w:rPr>
        <w:t>a combination of both a section 80J notice</w:t>
      </w:r>
      <w:r w:rsidR="00F323A4" w:rsidRPr="008221BF">
        <w:rPr>
          <w:rFonts w:cs="Arial"/>
          <w:szCs w:val="24"/>
        </w:rPr>
        <w:t>,</w:t>
      </w:r>
      <w:r w:rsidR="00B33A5C" w:rsidRPr="008221BF">
        <w:rPr>
          <w:rFonts w:cs="Arial"/>
          <w:szCs w:val="24"/>
        </w:rPr>
        <w:t xml:space="preserve"> and a section 42(2)(b)</w:t>
      </w:r>
      <w:r w:rsidR="00F323A4" w:rsidRPr="008221BF">
        <w:rPr>
          <w:rFonts w:cs="Arial"/>
          <w:szCs w:val="24"/>
        </w:rPr>
        <w:t xml:space="preserve"> notice, despite the fact that the letter does not say so in express terms</w:t>
      </w:r>
      <w:r w:rsidR="00B33A5C" w:rsidRPr="008221BF">
        <w:rPr>
          <w:rFonts w:cs="Arial"/>
          <w:szCs w:val="24"/>
        </w:rPr>
        <w:t>.</w:t>
      </w:r>
    </w:p>
    <w:p w14:paraId="506A28C1" w14:textId="43987219" w:rsidR="005D2523" w:rsidRPr="008221BF" w:rsidRDefault="008221BF" w:rsidP="008221BF">
      <w:pPr>
        <w:spacing w:after="360" w:line="480" w:lineRule="auto"/>
        <w:ind w:left="720" w:hanging="720"/>
        <w:jc w:val="both"/>
        <w:rPr>
          <w:rFonts w:cs="Arial"/>
          <w:szCs w:val="24"/>
        </w:rPr>
      </w:pPr>
      <w:r>
        <w:rPr>
          <w:rFonts w:cs="Arial"/>
          <w:szCs w:val="24"/>
        </w:rPr>
        <w:t>[21]</w:t>
      </w:r>
      <w:r>
        <w:rPr>
          <w:rFonts w:cs="Arial"/>
          <w:szCs w:val="24"/>
        </w:rPr>
        <w:tab/>
      </w:r>
      <w:r w:rsidR="00B33A5C" w:rsidRPr="008221BF">
        <w:rPr>
          <w:rFonts w:cs="Arial"/>
          <w:szCs w:val="24"/>
        </w:rPr>
        <w:t xml:space="preserve">The taxpayers dispute this and call it a </w:t>
      </w:r>
      <w:r w:rsidR="00B33A5C" w:rsidRPr="008221BF">
        <w:rPr>
          <w:rFonts w:cs="Arial"/>
          <w:i/>
          <w:iCs/>
          <w:szCs w:val="24"/>
        </w:rPr>
        <w:t>post hoc</w:t>
      </w:r>
      <w:r w:rsidR="00B33A5C" w:rsidRPr="008221BF">
        <w:rPr>
          <w:rFonts w:cs="Arial"/>
          <w:szCs w:val="24"/>
        </w:rPr>
        <w:t xml:space="preserve"> reconstruct</w:t>
      </w:r>
      <w:r w:rsidR="00282047" w:rsidRPr="008221BF">
        <w:rPr>
          <w:rFonts w:cs="Arial"/>
          <w:szCs w:val="24"/>
        </w:rPr>
        <w:t>io</w:t>
      </w:r>
      <w:r w:rsidR="00B33A5C" w:rsidRPr="008221BF">
        <w:rPr>
          <w:rFonts w:cs="Arial"/>
          <w:szCs w:val="24"/>
        </w:rPr>
        <w:t>n. Marcus however responds by saying that when perfo</w:t>
      </w:r>
      <w:r w:rsidR="00282047" w:rsidRPr="008221BF">
        <w:rPr>
          <w:rFonts w:cs="Arial"/>
          <w:szCs w:val="24"/>
        </w:rPr>
        <w:t>r</w:t>
      </w:r>
      <w:r w:rsidR="00B33A5C" w:rsidRPr="008221BF">
        <w:rPr>
          <w:rFonts w:cs="Arial"/>
          <w:szCs w:val="24"/>
        </w:rPr>
        <w:t>ming a GAAR exercise</w:t>
      </w:r>
      <w:r w:rsidR="00F323A4" w:rsidRPr="008221BF">
        <w:rPr>
          <w:rFonts w:cs="Arial"/>
          <w:szCs w:val="24"/>
        </w:rPr>
        <w:t>,</w:t>
      </w:r>
      <w:r w:rsidR="00B33A5C" w:rsidRPr="008221BF">
        <w:rPr>
          <w:rFonts w:cs="Arial"/>
          <w:szCs w:val="24"/>
        </w:rPr>
        <w:t xml:space="preserve"> SARS combines both notices in one and that the taxpayers</w:t>
      </w:r>
      <w:r w:rsidR="00A13E78" w:rsidRPr="008221BF">
        <w:rPr>
          <w:rFonts w:cs="Arial"/>
          <w:szCs w:val="24"/>
        </w:rPr>
        <w:t>’</w:t>
      </w:r>
      <w:r w:rsidR="00B33A5C" w:rsidRPr="008221BF">
        <w:rPr>
          <w:rFonts w:cs="Arial"/>
          <w:szCs w:val="24"/>
        </w:rPr>
        <w:t xml:space="preserve"> attorneys who are specialists in this area</w:t>
      </w:r>
      <w:r w:rsidR="003C497F" w:rsidRPr="008221BF">
        <w:rPr>
          <w:rFonts w:cs="Arial"/>
          <w:szCs w:val="24"/>
        </w:rPr>
        <w:t>,</w:t>
      </w:r>
      <w:r w:rsidR="00B063C7" w:rsidRPr="008221BF">
        <w:rPr>
          <w:rFonts w:cs="Arial"/>
          <w:szCs w:val="24"/>
        </w:rPr>
        <w:t xml:space="preserve"> ought to have known this. In argument SARS counsel have performed a comparative exercise to contend that the </w:t>
      </w:r>
      <w:r w:rsidR="006D18DC" w:rsidRPr="008221BF">
        <w:rPr>
          <w:rFonts w:cs="Arial"/>
          <w:szCs w:val="24"/>
        </w:rPr>
        <w:t>July lette</w:t>
      </w:r>
      <w:r w:rsidR="009A7130" w:rsidRPr="008221BF">
        <w:rPr>
          <w:rFonts w:cs="Arial"/>
          <w:szCs w:val="24"/>
        </w:rPr>
        <w:t>r</w:t>
      </w:r>
      <w:r w:rsidR="00684AE4" w:rsidRPr="008221BF">
        <w:rPr>
          <w:rFonts w:cs="Arial"/>
          <w:szCs w:val="24"/>
        </w:rPr>
        <w:t>,</w:t>
      </w:r>
      <w:r w:rsidR="009A7130" w:rsidRPr="008221BF">
        <w:rPr>
          <w:rFonts w:cs="Arial"/>
          <w:szCs w:val="24"/>
        </w:rPr>
        <w:t xml:space="preserve"> </w:t>
      </w:r>
      <w:r w:rsidR="00A83E05" w:rsidRPr="008221BF">
        <w:rPr>
          <w:rFonts w:cs="Arial"/>
          <w:szCs w:val="24"/>
        </w:rPr>
        <w:t>despite not mentioning section 42(2)(b)</w:t>
      </w:r>
      <w:r w:rsidR="00684AE4" w:rsidRPr="008221BF">
        <w:rPr>
          <w:rFonts w:cs="Arial"/>
          <w:szCs w:val="24"/>
        </w:rPr>
        <w:t>,</w:t>
      </w:r>
      <w:r w:rsidR="00A83E05" w:rsidRPr="008221BF">
        <w:rPr>
          <w:rFonts w:cs="Arial"/>
          <w:szCs w:val="24"/>
        </w:rPr>
        <w:t xml:space="preserve"> conforms to all the requirements made out in that se</w:t>
      </w:r>
      <w:r w:rsidR="00F34B15" w:rsidRPr="008221BF">
        <w:rPr>
          <w:rFonts w:cs="Arial"/>
          <w:szCs w:val="24"/>
        </w:rPr>
        <w:t xml:space="preserve">ction. SARS thus argues that the failure to </w:t>
      </w:r>
      <w:r w:rsidR="00D17E85" w:rsidRPr="008221BF">
        <w:rPr>
          <w:rFonts w:cs="Arial"/>
          <w:szCs w:val="24"/>
        </w:rPr>
        <w:t xml:space="preserve">expressly </w:t>
      </w:r>
      <w:r w:rsidR="00F34B15" w:rsidRPr="008221BF">
        <w:rPr>
          <w:rFonts w:cs="Arial"/>
          <w:szCs w:val="24"/>
        </w:rPr>
        <w:t>indicate that letter was also issued in terms of section 42(2(b)</w:t>
      </w:r>
      <w:r w:rsidR="00D17E85" w:rsidRPr="008221BF">
        <w:rPr>
          <w:rFonts w:cs="Arial"/>
          <w:szCs w:val="24"/>
        </w:rPr>
        <w:t>,</w:t>
      </w:r>
      <w:r w:rsidR="00F34B15" w:rsidRPr="008221BF">
        <w:rPr>
          <w:rFonts w:cs="Arial"/>
          <w:szCs w:val="24"/>
        </w:rPr>
        <w:t xml:space="preserve"> elevates form </w:t>
      </w:r>
      <w:r w:rsidR="00A83E05" w:rsidRPr="008221BF">
        <w:rPr>
          <w:rFonts w:cs="Arial"/>
          <w:szCs w:val="24"/>
        </w:rPr>
        <w:t xml:space="preserve">over substance. </w:t>
      </w:r>
    </w:p>
    <w:p w14:paraId="13AA4EC8" w14:textId="377589F7" w:rsidR="0020433A" w:rsidRPr="008221BF" w:rsidRDefault="008221BF" w:rsidP="008221BF">
      <w:pPr>
        <w:spacing w:after="360" w:line="480" w:lineRule="auto"/>
        <w:ind w:left="720" w:hanging="720"/>
        <w:jc w:val="both"/>
        <w:rPr>
          <w:rFonts w:cs="Arial"/>
          <w:szCs w:val="24"/>
        </w:rPr>
      </w:pPr>
      <w:r>
        <w:rPr>
          <w:rFonts w:cs="Arial"/>
          <w:szCs w:val="24"/>
        </w:rPr>
        <w:t>[22]</w:t>
      </w:r>
      <w:r>
        <w:rPr>
          <w:rFonts w:cs="Arial"/>
          <w:szCs w:val="24"/>
        </w:rPr>
        <w:tab/>
      </w:r>
      <w:r w:rsidR="0020433A" w:rsidRPr="008221BF">
        <w:rPr>
          <w:rFonts w:cs="Arial"/>
          <w:szCs w:val="24"/>
        </w:rPr>
        <w:t>What distinguishes th</w:t>
      </w:r>
      <w:r w:rsidR="00A13E78" w:rsidRPr="008221BF">
        <w:rPr>
          <w:rFonts w:cs="Arial"/>
          <w:szCs w:val="24"/>
        </w:rPr>
        <w:t>e</w:t>
      </w:r>
      <w:r w:rsidR="0020433A" w:rsidRPr="008221BF">
        <w:rPr>
          <w:rFonts w:cs="Arial"/>
          <w:szCs w:val="24"/>
        </w:rPr>
        <w:t xml:space="preserve"> </w:t>
      </w:r>
      <w:r w:rsidR="00F34B15" w:rsidRPr="008221BF">
        <w:rPr>
          <w:rFonts w:cs="Arial"/>
          <w:szCs w:val="24"/>
        </w:rPr>
        <w:t xml:space="preserve">July </w:t>
      </w:r>
      <w:r w:rsidR="0020433A" w:rsidRPr="008221BF">
        <w:rPr>
          <w:rFonts w:cs="Arial"/>
          <w:szCs w:val="24"/>
        </w:rPr>
        <w:t>letter from the 25 March letter</w:t>
      </w:r>
      <w:r w:rsidR="00F34B15" w:rsidRPr="008221BF">
        <w:rPr>
          <w:rFonts w:cs="Arial"/>
          <w:szCs w:val="24"/>
        </w:rPr>
        <w:t>,</w:t>
      </w:r>
      <w:r w:rsidR="0020433A" w:rsidRPr="008221BF">
        <w:rPr>
          <w:rFonts w:cs="Arial"/>
          <w:szCs w:val="24"/>
        </w:rPr>
        <w:t xml:space="preserve"> is that the July letter </w:t>
      </w:r>
      <w:r w:rsidR="006A1BAE" w:rsidRPr="008221BF">
        <w:rPr>
          <w:rFonts w:cs="Arial"/>
          <w:szCs w:val="24"/>
        </w:rPr>
        <w:t xml:space="preserve">invites </w:t>
      </w:r>
      <w:r w:rsidR="0020433A" w:rsidRPr="008221BF">
        <w:rPr>
          <w:rFonts w:cs="Arial"/>
          <w:szCs w:val="24"/>
        </w:rPr>
        <w:t>the taxpayers to</w:t>
      </w:r>
      <w:r w:rsidR="009D4B8C" w:rsidRPr="008221BF">
        <w:rPr>
          <w:rFonts w:cs="Arial"/>
          <w:szCs w:val="24"/>
        </w:rPr>
        <w:t>:</w:t>
      </w:r>
      <w:r w:rsidR="0020433A" w:rsidRPr="008221BF">
        <w:rPr>
          <w:rFonts w:cs="Arial"/>
          <w:szCs w:val="24"/>
        </w:rPr>
        <w:t xml:space="preserve"> </w:t>
      </w:r>
      <w:r w:rsidR="00AE2BD7" w:rsidRPr="008221BF">
        <w:rPr>
          <w:rFonts w:cs="Arial"/>
          <w:i/>
          <w:szCs w:val="24"/>
        </w:rPr>
        <w:t>“[</w:t>
      </w:r>
      <w:r w:rsidR="001D1DE8" w:rsidRPr="008221BF">
        <w:rPr>
          <w:rFonts w:cs="Arial"/>
          <w:i/>
          <w:szCs w:val="24"/>
        </w:rPr>
        <w:t>..</w:t>
      </w:r>
      <w:r w:rsidR="006A1BAE" w:rsidRPr="008221BF">
        <w:rPr>
          <w:rFonts w:cs="Arial"/>
          <w:i/>
          <w:szCs w:val="24"/>
        </w:rPr>
        <w:t xml:space="preserve">] submit reasons why </w:t>
      </w:r>
      <w:r w:rsidR="009817B5" w:rsidRPr="008221BF">
        <w:rPr>
          <w:rFonts w:cs="Arial"/>
          <w:i/>
          <w:szCs w:val="24"/>
        </w:rPr>
        <w:t>the provisions of Part IIA of the Income Tax Act should not be applied</w:t>
      </w:r>
      <w:r w:rsidR="00602C95" w:rsidRPr="008221BF">
        <w:rPr>
          <w:rFonts w:cs="Arial"/>
          <w:szCs w:val="24"/>
        </w:rPr>
        <w:t>” and further</w:t>
      </w:r>
      <w:r w:rsidR="00125038" w:rsidRPr="008221BF">
        <w:rPr>
          <w:rFonts w:cs="Arial"/>
          <w:szCs w:val="24"/>
        </w:rPr>
        <w:t>,</w:t>
      </w:r>
      <w:r w:rsidR="00602C95" w:rsidRPr="008221BF">
        <w:rPr>
          <w:rFonts w:cs="Arial"/>
          <w:szCs w:val="24"/>
        </w:rPr>
        <w:t xml:space="preserve"> why any understatement penalty </w:t>
      </w:r>
      <w:r w:rsidR="005574EA" w:rsidRPr="008221BF">
        <w:rPr>
          <w:rFonts w:cs="Arial"/>
          <w:szCs w:val="24"/>
        </w:rPr>
        <w:t>should not be imposed.</w:t>
      </w:r>
      <w:r w:rsidR="00A13E78" w:rsidRPr="008221BF">
        <w:rPr>
          <w:rFonts w:cs="Arial"/>
          <w:szCs w:val="24"/>
        </w:rPr>
        <w:t xml:space="preserve"> Also</w:t>
      </w:r>
      <w:r w:rsidR="00D17E85" w:rsidRPr="008221BF">
        <w:rPr>
          <w:rFonts w:cs="Arial"/>
          <w:szCs w:val="24"/>
        </w:rPr>
        <w:t>,</w:t>
      </w:r>
      <w:r w:rsidR="005574EA" w:rsidRPr="008221BF">
        <w:rPr>
          <w:rFonts w:cs="Arial"/>
          <w:szCs w:val="24"/>
        </w:rPr>
        <w:t xml:space="preserve"> SARS gives the taxpayers 60 days to respond. It points out that this </w:t>
      </w:r>
      <w:r w:rsidR="00CB6FC7" w:rsidRPr="008221BF">
        <w:rPr>
          <w:rFonts w:cs="Arial"/>
          <w:szCs w:val="24"/>
        </w:rPr>
        <w:t xml:space="preserve">period is in terms of section </w:t>
      </w:r>
      <w:r w:rsidR="00AE2BD7" w:rsidRPr="008221BF">
        <w:rPr>
          <w:rFonts w:cs="Arial"/>
          <w:szCs w:val="24"/>
        </w:rPr>
        <w:t>80J,</w:t>
      </w:r>
      <w:r w:rsidR="00CB6FC7" w:rsidRPr="008221BF">
        <w:rPr>
          <w:rFonts w:cs="Arial"/>
          <w:szCs w:val="24"/>
        </w:rPr>
        <w:t xml:space="preserve"> but it redounds to the benefit of the taxpayers as it is longer than the 21 days for a response provided by section 42(</w:t>
      </w:r>
      <w:r w:rsidR="0045568F" w:rsidRPr="008221BF">
        <w:rPr>
          <w:rFonts w:cs="Arial"/>
          <w:szCs w:val="24"/>
        </w:rPr>
        <w:t>2</w:t>
      </w:r>
      <w:r w:rsidR="00B745E2" w:rsidRPr="008221BF">
        <w:rPr>
          <w:rFonts w:cs="Arial"/>
          <w:szCs w:val="24"/>
        </w:rPr>
        <w:t>)</w:t>
      </w:r>
      <w:r w:rsidR="0045568F" w:rsidRPr="008221BF">
        <w:rPr>
          <w:rFonts w:cs="Arial"/>
          <w:szCs w:val="24"/>
        </w:rPr>
        <w:t>(b)</w:t>
      </w:r>
      <w:r w:rsidR="00CB6FC7" w:rsidRPr="008221BF">
        <w:rPr>
          <w:rFonts w:cs="Arial"/>
          <w:szCs w:val="24"/>
        </w:rPr>
        <w:t>.</w:t>
      </w:r>
    </w:p>
    <w:p w14:paraId="46DB8003" w14:textId="7914700D" w:rsidR="00EC643D" w:rsidRPr="008221BF" w:rsidRDefault="008221BF" w:rsidP="008221BF">
      <w:pPr>
        <w:spacing w:after="360" w:line="480" w:lineRule="auto"/>
        <w:ind w:left="720" w:hanging="720"/>
        <w:jc w:val="both"/>
        <w:rPr>
          <w:rFonts w:cs="Arial"/>
          <w:szCs w:val="24"/>
        </w:rPr>
      </w:pPr>
      <w:r>
        <w:rPr>
          <w:rFonts w:cs="Arial"/>
          <w:szCs w:val="24"/>
        </w:rPr>
        <w:t>[23]</w:t>
      </w:r>
      <w:r>
        <w:rPr>
          <w:rFonts w:cs="Arial"/>
          <w:szCs w:val="24"/>
        </w:rPr>
        <w:tab/>
      </w:r>
      <w:r w:rsidR="00A13E78" w:rsidRPr="008221BF">
        <w:rPr>
          <w:rFonts w:cs="Arial"/>
          <w:szCs w:val="24"/>
        </w:rPr>
        <w:t xml:space="preserve">But the </w:t>
      </w:r>
      <w:r w:rsidR="00CF1809" w:rsidRPr="008221BF">
        <w:rPr>
          <w:rFonts w:cs="Arial"/>
          <w:szCs w:val="24"/>
        </w:rPr>
        <w:t>taxpayers have</w:t>
      </w:r>
      <w:r w:rsidR="00A13E78" w:rsidRPr="008221BF">
        <w:rPr>
          <w:rFonts w:cs="Arial"/>
          <w:szCs w:val="24"/>
        </w:rPr>
        <w:t xml:space="preserve"> </w:t>
      </w:r>
      <w:r w:rsidR="00B40B4D" w:rsidRPr="008221BF">
        <w:rPr>
          <w:rFonts w:cs="Arial"/>
          <w:szCs w:val="24"/>
        </w:rPr>
        <w:t xml:space="preserve">subsequently </w:t>
      </w:r>
      <w:r w:rsidR="00A13E78" w:rsidRPr="008221BF">
        <w:rPr>
          <w:rFonts w:cs="Arial"/>
          <w:szCs w:val="24"/>
        </w:rPr>
        <w:t xml:space="preserve">argued that if the July letter purports to comply with section 42(2)(b) then it is deficient on other grounds. </w:t>
      </w:r>
    </w:p>
    <w:p w14:paraId="331DB077" w14:textId="54C4728C" w:rsidR="000569FD" w:rsidRPr="008221BF" w:rsidRDefault="008221BF" w:rsidP="008221BF">
      <w:pPr>
        <w:spacing w:after="360" w:line="480" w:lineRule="auto"/>
        <w:ind w:left="720" w:hanging="720"/>
        <w:jc w:val="both"/>
        <w:rPr>
          <w:rFonts w:cs="Arial"/>
          <w:szCs w:val="24"/>
        </w:rPr>
      </w:pPr>
      <w:r>
        <w:rPr>
          <w:rFonts w:cs="Arial"/>
          <w:szCs w:val="24"/>
        </w:rPr>
        <w:lastRenderedPageBreak/>
        <w:t>[24]</w:t>
      </w:r>
      <w:r>
        <w:rPr>
          <w:rFonts w:cs="Arial"/>
          <w:szCs w:val="24"/>
        </w:rPr>
        <w:tab/>
      </w:r>
      <w:r w:rsidR="00A13E78" w:rsidRPr="008221BF">
        <w:rPr>
          <w:rFonts w:cs="Arial"/>
          <w:szCs w:val="24"/>
        </w:rPr>
        <w:t>First</w:t>
      </w:r>
      <w:r w:rsidR="00B40B4D" w:rsidRPr="008221BF">
        <w:rPr>
          <w:rFonts w:cs="Arial"/>
          <w:szCs w:val="24"/>
        </w:rPr>
        <w:t>,</w:t>
      </w:r>
      <w:r w:rsidR="00A13E78" w:rsidRPr="008221BF">
        <w:rPr>
          <w:rFonts w:cs="Arial"/>
          <w:szCs w:val="24"/>
        </w:rPr>
        <w:t xml:space="preserve"> it is argued that to comply with section 42(2)(b) the notice has to come after audit has been co</w:t>
      </w:r>
      <w:r w:rsidR="00E11310" w:rsidRPr="008221BF">
        <w:rPr>
          <w:rFonts w:cs="Arial"/>
          <w:szCs w:val="24"/>
        </w:rPr>
        <w:t>nclude</w:t>
      </w:r>
      <w:r w:rsidR="00A13E78" w:rsidRPr="008221BF">
        <w:rPr>
          <w:rFonts w:cs="Arial"/>
          <w:szCs w:val="24"/>
        </w:rPr>
        <w:t>d</w:t>
      </w:r>
      <w:r w:rsidR="0045568F" w:rsidRPr="008221BF">
        <w:rPr>
          <w:rFonts w:cs="Arial"/>
          <w:szCs w:val="24"/>
        </w:rPr>
        <w:t>.</w:t>
      </w:r>
      <w:r w:rsidR="00A13E78" w:rsidRPr="008221BF">
        <w:rPr>
          <w:rFonts w:cs="Arial"/>
          <w:szCs w:val="24"/>
        </w:rPr>
        <w:t xml:space="preserve"> </w:t>
      </w:r>
      <w:r w:rsidR="000569FD" w:rsidRPr="008221BF">
        <w:rPr>
          <w:rFonts w:cs="Arial"/>
          <w:szCs w:val="24"/>
        </w:rPr>
        <w:t>They make two arguments in this respect.</w:t>
      </w:r>
      <w:r w:rsidR="00203EDA" w:rsidRPr="008221BF">
        <w:rPr>
          <w:rFonts w:cs="Arial"/>
          <w:szCs w:val="24"/>
        </w:rPr>
        <w:t xml:space="preserve"> Firstly, </w:t>
      </w:r>
      <w:r w:rsidR="00203EDA" w:rsidRPr="008221BF">
        <w:rPr>
          <w:rFonts w:cs="Arial"/>
          <w:i/>
          <w:iCs/>
          <w:szCs w:val="24"/>
        </w:rPr>
        <w:t>ex facie</w:t>
      </w:r>
      <w:r w:rsidR="00203EDA" w:rsidRPr="008221BF">
        <w:rPr>
          <w:rFonts w:cs="Arial"/>
          <w:szCs w:val="24"/>
        </w:rPr>
        <w:t xml:space="preserve"> the letter itself it says</w:t>
      </w:r>
      <w:r w:rsidR="008347DA" w:rsidRPr="008221BF">
        <w:rPr>
          <w:rFonts w:cs="Arial"/>
          <w:szCs w:val="24"/>
        </w:rPr>
        <w:t>:</w:t>
      </w:r>
      <w:r w:rsidR="00203EDA" w:rsidRPr="008221BF">
        <w:rPr>
          <w:rFonts w:cs="Arial"/>
          <w:szCs w:val="24"/>
        </w:rPr>
        <w:t xml:space="preserve"> </w:t>
      </w:r>
      <w:r w:rsidR="00843CF0" w:rsidRPr="008221BF">
        <w:rPr>
          <w:rFonts w:cs="Arial"/>
          <w:i/>
          <w:iCs/>
          <w:szCs w:val="24"/>
        </w:rPr>
        <w:t xml:space="preserve">“SARS has completed </w:t>
      </w:r>
      <w:r w:rsidR="00203EDA" w:rsidRPr="008221BF">
        <w:rPr>
          <w:rFonts w:cs="Arial"/>
          <w:i/>
          <w:iCs/>
          <w:szCs w:val="24"/>
        </w:rPr>
        <w:t>a ‘preliminary audit</w:t>
      </w:r>
      <w:r w:rsidR="008347DA" w:rsidRPr="008221BF">
        <w:rPr>
          <w:rFonts w:cs="Arial"/>
          <w:i/>
          <w:iCs/>
          <w:szCs w:val="24"/>
        </w:rPr>
        <w:t xml:space="preserve"> in respect of certain of the transactions”</w:t>
      </w:r>
      <w:r w:rsidR="00203EDA" w:rsidRPr="008221BF">
        <w:rPr>
          <w:rFonts w:cs="Arial"/>
          <w:szCs w:val="24"/>
        </w:rPr>
        <w:t>. The taxpayers state that a preliminary audit is not a</w:t>
      </w:r>
      <w:r w:rsidR="00FA7EC2" w:rsidRPr="008221BF">
        <w:rPr>
          <w:rFonts w:cs="Arial"/>
          <w:szCs w:val="24"/>
        </w:rPr>
        <w:t xml:space="preserve">n </w:t>
      </w:r>
      <w:r w:rsidR="006C5A16" w:rsidRPr="008221BF">
        <w:rPr>
          <w:rFonts w:cs="Arial"/>
          <w:szCs w:val="24"/>
        </w:rPr>
        <w:t xml:space="preserve">audit that has been </w:t>
      </w:r>
      <w:r w:rsidR="00203EDA" w:rsidRPr="008221BF">
        <w:rPr>
          <w:rFonts w:cs="Arial"/>
          <w:szCs w:val="24"/>
        </w:rPr>
        <w:t>concluded.</w:t>
      </w:r>
      <w:r w:rsidR="00A04D72" w:rsidRPr="00B12D64">
        <w:rPr>
          <w:rStyle w:val="FootnoteReference"/>
          <w:rFonts w:cs="Arial"/>
          <w:szCs w:val="24"/>
        </w:rPr>
        <w:footnoteReference w:id="5"/>
      </w:r>
      <w:r w:rsidR="00664341" w:rsidRPr="008221BF">
        <w:rPr>
          <w:rFonts w:cs="Arial"/>
          <w:szCs w:val="24"/>
        </w:rPr>
        <w:t xml:space="preserve"> Next</w:t>
      </w:r>
      <w:r w:rsidR="00814C4C" w:rsidRPr="008221BF">
        <w:rPr>
          <w:rFonts w:cs="Arial"/>
          <w:szCs w:val="24"/>
        </w:rPr>
        <w:t>,</w:t>
      </w:r>
      <w:r w:rsidR="00664341" w:rsidRPr="008221BF">
        <w:rPr>
          <w:rFonts w:cs="Arial"/>
          <w:szCs w:val="24"/>
        </w:rPr>
        <w:t xml:space="preserve"> they make a contextual argument. Because subsequent to the July letter </w:t>
      </w:r>
      <w:r w:rsidR="003532DD" w:rsidRPr="008221BF">
        <w:rPr>
          <w:rFonts w:cs="Arial"/>
          <w:szCs w:val="24"/>
        </w:rPr>
        <w:t>SARS requested further information from them which they provided</w:t>
      </w:r>
      <w:r w:rsidR="00B5417B" w:rsidRPr="008221BF">
        <w:rPr>
          <w:rFonts w:cs="Arial"/>
          <w:szCs w:val="24"/>
        </w:rPr>
        <w:t>,</w:t>
      </w:r>
      <w:r w:rsidR="003532DD" w:rsidRPr="008221BF">
        <w:rPr>
          <w:rFonts w:cs="Arial"/>
          <w:szCs w:val="24"/>
        </w:rPr>
        <w:t xml:space="preserve"> this </w:t>
      </w:r>
      <w:r w:rsidR="00EC643D" w:rsidRPr="008221BF">
        <w:rPr>
          <w:rFonts w:cs="Arial"/>
          <w:szCs w:val="24"/>
        </w:rPr>
        <w:t>suggests the audit could not have been concluded in July</w:t>
      </w:r>
      <w:r w:rsidR="00B5417B" w:rsidRPr="008221BF">
        <w:rPr>
          <w:rFonts w:cs="Arial"/>
          <w:szCs w:val="24"/>
        </w:rPr>
        <w:t>.</w:t>
      </w:r>
    </w:p>
    <w:p w14:paraId="079CF9E5" w14:textId="1784BBC8" w:rsidR="00F336C8" w:rsidRPr="008221BF" w:rsidRDefault="008221BF" w:rsidP="008221BF">
      <w:pPr>
        <w:spacing w:after="360" w:line="480" w:lineRule="auto"/>
        <w:ind w:left="720" w:hanging="720"/>
        <w:jc w:val="both"/>
        <w:rPr>
          <w:rFonts w:cs="Arial"/>
          <w:szCs w:val="24"/>
        </w:rPr>
      </w:pPr>
      <w:r>
        <w:rPr>
          <w:rFonts w:cs="Arial"/>
          <w:szCs w:val="24"/>
        </w:rPr>
        <w:t>[25]</w:t>
      </w:r>
      <w:r>
        <w:rPr>
          <w:rFonts w:cs="Arial"/>
          <w:szCs w:val="24"/>
        </w:rPr>
        <w:tab/>
      </w:r>
      <w:r w:rsidR="00F336C8" w:rsidRPr="008221BF">
        <w:rPr>
          <w:rFonts w:cs="Arial"/>
          <w:szCs w:val="24"/>
        </w:rPr>
        <w:t xml:space="preserve">The taxpayers </w:t>
      </w:r>
      <w:r w:rsidR="005F3C28" w:rsidRPr="008221BF">
        <w:rPr>
          <w:rFonts w:cs="Arial"/>
          <w:szCs w:val="24"/>
        </w:rPr>
        <w:t xml:space="preserve">next ground was </w:t>
      </w:r>
      <w:r w:rsidR="001C1AB4" w:rsidRPr="008221BF">
        <w:rPr>
          <w:rFonts w:cs="Arial"/>
          <w:szCs w:val="24"/>
        </w:rPr>
        <w:t xml:space="preserve">that the July letter was deficient because it did not set out the amount that had been assessed. </w:t>
      </w:r>
      <w:r w:rsidR="00A61DE9" w:rsidRPr="008221BF">
        <w:rPr>
          <w:rFonts w:cs="Arial"/>
          <w:szCs w:val="24"/>
        </w:rPr>
        <w:t xml:space="preserve">It was only </w:t>
      </w:r>
      <w:r w:rsidR="001C1AB4" w:rsidRPr="008221BF">
        <w:rPr>
          <w:rFonts w:cs="Arial"/>
          <w:szCs w:val="24"/>
        </w:rPr>
        <w:t>later in the Ma</w:t>
      </w:r>
      <w:r w:rsidR="00DE3455" w:rsidRPr="008221BF">
        <w:rPr>
          <w:rFonts w:cs="Arial"/>
          <w:szCs w:val="24"/>
        </w:rPr>
        <w:t>rch letter</w:t>
      </w:r>
      <w:r w:rsidR="008E6A27" w:rsidRPr="008221BF">
        <w:rPr>
          <w:rFonts w:cs="Arial"/>
          <w:szCs w:val="24"/>
        </w:rPr>
        <w:t>,</w:t>
      </w:r>
      <w:r w:rsidR="00DE3455" w:rsidRPr="008221BF">
        <w:rPr>
          <w:rFonts w:cs="Arial"/>
          <w:szCs w:val="24"/>
        </w:rPr>
        <w:t xml:space="preserve"> to which the taxpayers were not inv</w:t>
      </w:r>
      <w:r w:rsidR="00A13E78" w:rsidRPr="008221BF">
        <w:rPr>
          <w:rFonts w:cs="Arial"/>
          <w:szCs w:val="24"/>
        </w:rPr>
        <w:t>i</w:t>
      </w:r>
      <w:r w:rsidR="00DE3455" w:rsidRPr="008221BF">
        <w:rPr>
          <w:rFonts w:cs="Arial"/>
          <w:szCs w:val="24"/>
        </w:rPr>
        <w:t>ted to respond</w:t>
      </w:r>
      <w:r w:rsidR="008E6A27" w:rsidRPr="008221BF">
        <w:rPr>
          <w:rFonts w:cs="Arial"/>
          <w:szCs w:val="24"/>
        </w:rPr>
        <w:t>, that their tax liability was set out in a table.</w:t>
      </w:r>
      <w:r w:rsidR="00F148F2" w:rsidRPr="00B12D64">
        <w:rPr>
          <w:rStyle w:val="FootnoteReference"/>
          <w:rFonts w:cs="Arial"/>
          <w:szCs w:val="24"/>
        </w:rPr>
        <w:footnoteReference w:id="6"/>
      </w:r>
    </w:p>
    <w:p w14:paraId="5F760FE6" w14:textId="08C1BE73" w:rsidR="00877958" w:rsidRPr="008221BF" w:rsidRDefault="008221BF" w:rsidP="008221BF">
      <w:pPr>
        <w:spacing w:after="360" w:line="480" w:lineRule="auto"/>
        <w:ind w:left="720" w:hanging="720"/>
        <w:jc w:val="both"/>
        <w:rPr>
          <w:rFonts w:cs="Arial"/>
          <w:szCs w:val="24"/>
        </w:rPr>
      </w:pPr>
      <w:r>
        <w:rPr>
          <w:rFonts w:cs="Arial"/>
          <w:szCs w:val="24"/>
        </w:rPr>
        <w:t>[26]</w:t>
      </w:r>
      <w:r>
        <w:rPr>
          <w:rFonts w:cs="Arial"/>
          <w:szCs w:val="24"/>
        </w:rPr>
        <w:tab/>
      </w:r>
      <w:r w:rsidR="001371D5" w:rsidRPr="008221BF">
        <w:rPr>
          <w:rFonts w:cs="Arial"/>
          <w:szCs w:val="24"/>
        </w:rPr>
        <w:t>The position of the taxpayer</w:t>
      </w:r>
      <w:r w:rsidR="00E90500" w:rsidRPr="008221BF">
        <w:rPr>
          <w:rFonts w:cs="Arial"/>
          <w:szCs w:val="24"/>
        </w:rPr>
        <w:t>s</w:t>
      </w:r>
      <w:r w:rsidR="001371D5" w:rsidRPr="008221BF">
        <w:rPr>
          <w:rFonts w:cs="Arial"/>
          <w:szCs w:val="24"/>
        </w:rPr>
        <w:t xml:space="preserve"> at the end of the argument appears to be this.</w:t>
      </w:r>
      <w:r w:rsidR="006F4BBC" w:rsidRPr="008221BF">
        <w:rPr>
          <w:rFonts w:cs="Arial"/>
          <w:szCs w:val="24"/>
        </w:rPr>
        <w:t xml:space="preserve"> Neither the March letter </w:t>
      </w:r>
      <w:r w:rsidR="00A03842" w:rsidRPr="008221BF">
        <w:rPr>
          <w:rFonts w:cs="Arial"/>
          <w:szCs w:val="24"/>
        </w:rPr>
        <w:t>n</w:t>
      </w:r>
      <w:r w:rsidR="006F4BBC" w:rsidRPr="008221BF">
        <w:rPr>
          <w:rFonts w:cs="Arial"/>
          <w:szCs w:val="24"/>
        </w:rPr>
        <w:t>or the July letter comply with section 42(2)(b).</w:t>
      </w:r>
      <w:r w:rsidR="001371D5" w:rsidRPr="008221BF">
        <w:rPr>
          <w:rFonts w:cs="Arial"/>
          <w:szCs w:val="24"/>
        </w:rPr>
        <w:t xml:space="preserve"> </w:t>
      </w:r>
      <w:r w:rsidR="00945A50" w:rsidRPr="008221BF">
        <w:rPr>
          <w:rFonts w:cs="Arial"/>
          <w:szCs w:val="24"/>
        </w:rPr>
        <w:t xml:space="preserve">The March letter </w:t>
      </w:r>
      <w:r w:rsidR="00AB6909" w:rsidRPr="008221BF">
        <w:rPr>
          <w:rFonts w:cs="Arial"/>
          <w:szCs w:val="24"/>
        </w:rPr>
        <w:t>did not give them the right to respond</w:t>
      </w:r>
      <w:r w:rsidR="004F7C27" w:rsidRPr="008221BF">
        <w:rPr>
          <w:rFonts w:cs="Arial"/>
          <w:szCs w:val="24"/>
        </w:rPr>
        <w:t>,</w:t>
      </w:r>
      <w:r w:rsidR="00AB6909" w:rsidRPr="008221BF">
        <w:rPr>
          <w:rFonts w:cs="Arial"/>
          <w:szCs w:val="24"/>
        </w:rPr>
        <w:t xml:space="preserve"> hence it was not compliant with the 21 day requirement of the </w:t>
      </w:r>
      <w:r w:rsidR="009879B2" w:rsidRPr="008221BF">
        <w:rPr>
          <w:rFonts w:cs="Arial"/>
          <w:szCs w:val="24"/>
        </w:rPr>
        <w:t>section,</w:t>
      </w:r>
      <w:r w:rsidR="00AB6909" w:rsidRPr="008221BF">
        <w:rPr>
          <w:rFonts w:cs="Arial"/>
          <w:szCs w:val="24"/>
        </w:rPr>
        <w:t xml:space="preserve"> and they were denied their right to be heard.</w:t>
      </w:r>
      <w:r w:rsidR="00294EF3" w:rsidRPr="008221BF">
        <w:rPr>
          <w:rFonts w:cs="Arial"/>
          <w:szCs w:val="24"/>
        </w:rPr>
        <w:t xml:space="preserve"> The July letter whilst giving the taxpayers an opportunity to respond is also non-compliant with the section because </w:t>
      </w:r>
      <w:r w:rsidR="00160F33" w:rsidRPr="008221BF">
        <w:rPr>
          <w:rFonts w:cs="Arial"/>
          <w:szCs w:val="24"/>
        </w:rPr>
        <w:t>the audit had not yet been concluded at that time</w:t>
      </w:r>
      <w:r w:rsidR="00E66B1C" w:rsidRPr="008221BF">
        <w:rPr>
          <w:rFonts w:cs="Arial"/>
          <w:szCs w:val="24"/>
        </w:rPr>
        <w:t>,</w:t>
      </w:r>
      <w:r w:rsidR="00160F33" w:rsidRPr="008221BF">
        <w:rPr>
          <w:rFonts w:cs="Arial"/>
          <w:szCs w:val="24"/>
        </w:rPr>
        <w:t xml:space="preserve"> and in addition</w:t>
      </w:r>
      <w:r w:rsidR="00E66B1C" w:rsidRPr="008221BF">
        <w:rPr>
          <w:rFonts w:cs="Arial"/>
          <w:szCs w:val="24"/>
        </w:rPr>
        <w:t>,</w:t>
      </w:r>
      <w:r w:rsidR="00160F33" w:rsidRPr="008221BF">
        <w:rPr>
          <w:rFonts w:cs="Arial"/>
          <w:szCs w:val="24"/>
        </w:rPr>
        <w:t xml:space="preserve"> no amount for the assessment was stipulated. </w:t>
      </w:r>
      <w:r w:rsidR="00FE4FEE" w:rsidRPr="008221BF">
        <w:rPr>
          <w:rFonts w:cs="Arial"/>
          <w:szCs w:val="24"/>
        </w:rPr>
        <w:t xml:space="preserve"> Thus</w:t>
      </w:r>
      <w:r w:rsidR="00FF194A" w:rsidRPr="008221BF">
        <w:rPr>
          <w:rFonts w:cs="Arial"/>
          <w:szCs w:val="24"/>
        </w:rPr>
        <w:t>,</w:t>
      </w:r>
      <w:r w:rsidR="00032FAA" w:rsidRPr="008221BF">
        <w:rPr>
          <w:rFonts w:cs="Arial"/>
          <w:szCs w:val="24"/>
        </w:rPr>
        <w:t xml:space="preserve"> </w:t>
      </w:r>
      <w:r w:rsidR="0011347F" w:rsidRPr="008221BF">
        <w:rPr>
          <w:rFonts w:cs="Arial"/>
          <w:szCs w:val="24"/>
        </w:rPr>
        <w:t xml:space="preserve">irrespective of which letter purports to be the section </w:t>
      </w:r>
      <w:r w:rsidR="00C9639D" w:rsidRPr="008221BF">
        <w:rPr>
          <w:rFonts w:cs="Arial"/>
          <w:szCs w:val="24"/>
        </w:rPr>
        <w:t xml:space="preserve">42(2)(b) notice </w:t>
      </w:r>
      <w:r w:rsidR="00032FAA" w:rsidRPr="008221BF">
        <w:rPr>
          <w:rFonts w:cs="Arial"/>
          <w:szCs w:val="24"/>
        </w:rPr>
        <w:t xml:space="preserve">they have been denied </w:t>
      </w:r>
      <w:r w:rsidR="00032FAA" w:rsidRPr="008221BF">
        <w:rPr>
          <w:rFonts w:cs="Arial"/>
          <w:i/>
          <w:iCs/>
          <w:szCs w:val="24"/>
        </w:rPr>
        <w:t>audi</w:t>
      </w:r>
      <w:r w:rsidR="00032FAA" w:rsidRPr="008221BF">
        <w:rPr>
          <w:rFonts w:cs="Arial"/>
          <w:szCs w:val="24"/>
        </w:rPr>
        <w:t xml:space="preserve">. </w:t>
      </w:r>
      <w:r w:rsidR="00600229" w:rsidRPr="008221BF">
        <w:rPr>
          <w:rFonts w:cs="Arial"/>
          <w:szCs w:val="24"/>
        </w:rPr>
        <w:t xml:space="preserve">The </w:t>
      </w:r>
      <w:r w:rsidR="00600229" w:rsidRPr="008221BF">
        <w:rPr>
          <w:rFonts w:cs="Arial"/>
          <w:szCs w:val="24"/>
        </w:rPr>
        <w:lastRenderedPageBreak/>
        <w:t>only difference is that i</w:t>
      </w:r>
      <w:r w:rsidR="00032FAA" w:rsidRPr="008221BF">
        <w:rPr>
          <w:rFonts w:cs="Arial"/>
          <w:szCs w:val="24"/>
        </w:rPr>
        <w:t xml:space="preserve">n relation to the March letter </w:t>
      </w:r>
      <w:r w:rsidR="008319A4" w:rsidRPr="008221BF">
        <w:rPr>
          <w:rFonts w:cs="Arial"/>
          <w:szCs w:val="24"/>
        </w:rPr>
        <w:t>they were given no further opportunity to respond before the assessment</w:t>
      </w:r>
      <w:r w:rsidR="00892B3F" w:rsidRPr="008221BF">
        <w:rPr>
          <w:rFonts w:cs="Arial"/>
          <w:szCs w:val="24"/>
        </w:rPr>
        <w:t xml:space="preserve"> and hence the denial of </w:t>
      </w:r>
      <w:r w:rsidR="00892B3F" w:rsidRPr="008221BF">
        <w:rPr>
          <w:rFonts w:cs="Arial"/>
          <w:i/>
          <w:iCs/>
          <w:szCs w:val="24"/>
        </w:rPr>
        <w:t>audi</w:t>
      </w:r>
      <w:r w:rsidR="00892B3F" w:rsidRPr="008221BF">
        <w:rPr>
          <w:rFonts w:cs="Arial"/>
          <w:szCs w:val="24"/>
        </w:rPr>
        <w:t xml:space="preserve"> was absol</w:t>
      </w:r>
      <w:r w:rsidR="00DD3F2F" w:rsidRPr="008221BF">
        <w:rPr>
          <w:rFonts w:cs="Arial"/>
          <w:szCs w:val="24"/>
        </w:rPr>
        <w:t xml:space="preserve">ute. While they were given </w:t>
      </w:r>
      <w:r w:rsidR="00B073B4" w:rsidRPr="008221BF">
        <w:rPr>
          <w:rFonts w:cs="Arial"/>
          <w:szCs w:val="24"/>
        </w:rPr>
        <w:t>an</w:t>
      </w:r>
      <w:r w:rsidR="00DD3F2F" w:rsidRPr="008221BF">
        <w:rPr>
          <w:rFonts w:cs="Arial"/>
          <w:szCs w:val="24"/>
        </w:rPr>
        <w:t xml:space="preserve"> opportunity to respond to the July letter</w:t>
      </w:r>
      <w:r w:rsidR="00B073B4" w:rsidRPr="008221BF">
        <w:rPr>
          <w:rFonts w:cs="Arial"/>
          <w:szCs w:val="24"/>
        </w:rPr>
        <w:t>,</w:t>
      </w:r>
      <w:r w:rsidR="00DD3F2F" w:rsidRPr="008221BF">
        <w:rPr>
          <w:rFonts w:cs="Arial"/>
          <w:szCs w:val="24"/>
        </w:rPr>
        <w:t xml:space="preserve"> this </w:t>
      </w:r>
      <w:r w:rsidR="00854BF4" w:rsidRPr="008221BF">
        <w:rPr>
          <w:rFonts w:cs="Arial"/>
          <w:szCs w:val="24"/>
        </w:rPr>
        <w:t xml:space="preserve">was inadequate </w:t>
      </w:r>
      <w:r w:rsidR="000D6345" w:rsidRPr="008221BF">
        <w:rPr>
          <w:rFonts w:cs="Arial"/>
          <w:szCs w:val="24"/>
        </w:rPr>
        <w:t xml:space="preserve">because </w:t>
      </w:r>
      <w:r w:rsidR="00BC1EB9" w:rsidRPr="008221BF">
        <w:rPr>
          <w:rFonts w:cs="Arial"/>
          <w:szCs w:val="24"/>
        </w:rPr>
        <w:t xml:space="preserve">it </w:t>
      </w:r>
      <w:r w:rsidR="00032FAA" w:rsidRPr="008221BF">
        <w:rPr>
          <w:rFonts w:cs="Arial"/>
          <w:szCs w:val="24"/>
        </w:rPr>
        <w:t>was given to them prematurely</w:t>
      </w:r>
      <w:r w:rsidR="00282ECF" w:rsidRPr="008221BF">
        <w:rPr>
          <w:rFonts w:cs="Arial"/>
          <w:szCs w:val="24"/>
        </w:rPr>
        <w:t xml:space="preserve"> (the investigation had not been concluded) </w:t>
      </w:r>
      <w:r w:rsidR="00032FAA" w:rsidRPr="008221BF">
        <w:rPr>
          <w:rFonts w:cs="Arial"/>
          <w:szCs w:val="24"/>
        </w:rPr>
        <w:t>and without all the facts</w:t>
      </w:r>
      <w:r w:rsidR="00282ECF" w:rsidRPr="008221BF">
        <w:rPr>
          <w:rFonts w:cs="Arial"/>
          <w:szCs w:val="24"/>
        </w:rPr>
        <w:t xml:space="preserve"> (no assessment amount was stipulated</w:t>
      </w:r>
      <w:r w:rsidR="00567CD8" w:rsidRPr="008221BF">
        <w:rPr>
          <w:rFonts w:cs="Arial"/>
          <w:szCs w:val="24"/>
        </w:rPr>
        <w:t>)</w:t>
      </w:r>
      <w:r w:rsidR="00282ECF" w:rsidRPr="008221BF">
        <w:rPr>
          <w:rFonts w:cs="Arial"/>
          <w:szCs w:val="24"/>
        </w:rPr>
        <w:t xml:space="preserve"> </w:t>
      </w:r>
      <w:r w:rsidR="00032FAA" w:rsidRPr="008221BF">
        <w:rPr>
          <w:rFonts w:cs="Arial"/>
          <w:szCs w:val="24"/>
        </w:rPr>
        <w:t>and hence was inadequate</w:t>
      </w:r>
      <w:r w:rsidR="00567CD8" w:rsidRPr="008221BF">
        <w:rPr>
          <w:rFonts w:cs="Arial"/>
          <w:szCs w:val="24"/>
        </w:rPr>
        <w:t xml:space="preserve"> and accordingly again a denial of </w:t>
      </w:r>
      <w:r w:rsidR="00567CD8" w:rsidRPr="008221BF">
        <w:rPr>
          <w:rFonts w:cs="Arial"/>
          <w:i/>
          <w:iCs/>
          <w:szCs w:val="24"/>
        </w:rPr>
        <w:t>audi</w:t>
      </w:r>
      <w:r w:rsidR="00032FAA" w:rsidRPr="008221BF">
        <w:rPr>
          <w:rFonts w:cs="Arial"/>
          <w:szCs w:val="24"/>
        </w:rPr>
        <w:t>.</w:t>
      </w:r>
      <w:r w:rsidR="00AF666E" w:rsidRPr="008221BF">
        <w:rPr>
          <w:rFonts w:cs="Arial"/>
          <w:szCs w:val="24"/>
        </w:rPr>
        <w:t xml:space="preserve"> But SARS does not rely on the March letter as its compliance with section </w:t>
      </w:r>
      <w:r w:rsidR="00567799" w:rsidRPr="008221BF">
        <w:rPr>
          <w:rFonts w:cs="Arial"/>
          <w:szCs w:val="24"/>
        </w:rPr>
        <w:t>42(2)(b). The taxpayers must accept this fact</w:t>
      </w:r>
      <w:r w:rsidR="00817726" w:rsidRPr="008221BF">
        <w:rPr>
          <w:rFonts w:cs="Arial"/>
          <w:szCs w:val="24"/>
        </w:rPr>
        <w:t xml:space="preserve">. This then leads to further consideration of the July letter. That entails an examination of what constitutes adequate </w:t>
      </w:r>
      <w:r w:rsidR="00817726" w:rsidRPr="008221BF">
        <w:rPr>
          <w:rFonts w:cs="Arial"/>
          <w:i/>
          <w:iCs/>
          <w:szCs w:val="24"/>
        </w:rPr>
        <w:t>audi.</w:t>
      </w:r>
      <w:r w:rsidR="00567799" w:rsidRPr="008221BF">
        <w:rPr>
          <w:rFonts w:cs="Arial"/>
          <w:szCs w:val="24"/>
        </w:rPr>
        <w:t xml:space="preserve"> </w:t>
      </w:r>
    </w:p>
    <w:p w14:paraId="15245FF6" w14:textId="79674E7A" w:rsidR="00B0017A" w:rsidRPr="008221BF" w:rsidRDefault="008221BF" w:rsidP="008221BF">
      <w:pPr>
        <w:spacing w:after="360" w:line="480" w:lineRule="auto"/>
        <w:ind w:left="720" w:hanging="720"/>
        <w:jc w:val="both"/>
        <w:rPr>
          <w:rFonts w:cs="Arial"/>
          <w:szCs w:val="24"/>
        </w:rPr>
      </w:pPr>
      <w:r>
        <w:rPr>
          <w:rFonts w:cs="Arial"/>
          <w:szCs w:val="24"/>
        </w:rPr>
        <w:t>[27]</w:t>
      </w:r>
      <w:r>
        <w:rPr>
          <w:rFonts w:cs="Arial"/>
          <w:szCs w:val="24"/>
        </w:rPr>
        <w:tab/>
      </w:r>
      <w:r w:rsidR="00877958" w:rsidRPr="008221BF">
        <w:rPr>
          <w:rFonts w:cs="Arial"/>
          <w:szCs w:val="24"/>
        </w:rPr>
        <w:t>Although a number of cases were cited which deal with the signif</w:t>
      </w:r>
      <w:r w:rsidR="00735B54" w:rsidRPr="008221BF">
        <w:rPr>
          <w:rFonts w:cs="Arial"/>
          <w:szCs w:val="24"/>
        </w:rPr>
        <w:t xml:space="preserve">icance of </w:t>
      </w:r>
      <w:r w:rsidR="00735B54" w:rsidRPr="008221BF">
        <w:rPr>
          <w:rFonts w:cs="Arial"/>
          <w:i/>
          <w:iCs/>
          <w:szCs w:val="24"/>
        </w:rPr>
        <w:t>audi</w:t>
      </w:r>
      <w:r w:rsidR="00735B54" w:rsidRPr="008221BF">
        <w:rPr>
          <w:rFonts w:cs="Arial"/>
          <w:szCs w:val="24"/>
        </w:rPr>
        <w:t xml:space="preserve"> </w:t>
      </w:r>
      <w:r w:rsidR="00AC17D2" w:rsidRPr="008221BF">
        <w:rPr>
          <w:rFonts w:cs="Arial"/>
          <w:szCs w:val="24"/>
        </w:rPr>
        <w:t xml:space="preserve">they were not in point as the July letter cannot be construed as an outright denial of </w:t>
      </w:r>
      <w:r w:rsidR="00AC17D2" w:rsidRPr="00347D2E">
        <w:rPr>
          <w:rFonts w:cs="Arial"/>
          <w:i/>
          <w:iCs/>
          <w:szCs w:val="24"/>
        </w:rPr>
        <w:t>audi</w:t>
      </w:r>
      <w:r w:rsidR="00AC17D2" w:rsidRPr="008221BF">
        <w:rPr>
          <w:rFonts w:cs="Arial"/>
          <w:szCs w:val="24"/>
        </w:rPr>
        <w:t xml:space="preserve">. </w:t>
      </w:r>
      <w:r w:rsidR="00032FAA" w:rsidRPr="008221BF">
        <w:rPr>
          <w:rFonts w:cs="Arial"/>
          <w:szCs w:val="24"/>
        </w:rPr>
        <w:t xml:space="preserve"> </w:t>
      </w:r>
      <w:r w:rsidR="00A16732" w:rsidRPr="008221BF">
        <w:rPr>
          <w:rFonts w:cs="Arial"/>
          <w:szCs w:val="24"/>
        </w:rPr>
        <w:t xml:space="preserve">Both sections 80J and 42(2)(b) </w:t>
      </w:r>
      <w:r w:rsidR="00703803" w:rsidRPr="008221BF">
        <w:rPr>
          <w:rFonts w:cs="Arial"/>
          <w:szCs w:val="24"/>
        </w:rPr>
        <w:t xml:space="preserve">create an iterative process. </w:t>
      </w:r>
      <w:r w:rsidR="005E5670" w:rsidRPr="008221BF">
        <w:rPr>
          <w:rFonts w:cs="Arial"/>
          <w:szCs w:val="24"/>
        </w:rPr>
        <w:t>The taxp</w:t>
      </w:r>
      <w:r w:rsidR="00E9753B" w:rsidRPr="008221BF">
        <w:rPr>
          <w:rFonts w:cs="Arial"/>
          <w:szCs w:val="24"/>
        </w:rPr>
        <w:t>a</w:t>
      </w:r>
      <w:r w:rsidR="005E5670" w:rsidRPr="008221BF">
        <w:rPr>
          <w:rFonts w:cs="Arial"/>
          <w:szCs w:val="24"/>
        </w:rPr>
        <w:t>y</w:t>
      </w:r>
      <w:r w:rsidR="00E9753B" w:rsidRPr="008221BF">
        <w:rPr>
          <w:rFonts w:cs="Arial"/>
          <w:szCs w:val="24"/>
        </w:rPr>
        <w:t>er</w:t>
      </w:r>
      <w:r w:rsidR="005E5670" w:rsidRPr="008221BF">
        <w:rPr>
          <w:rFonts w:cs="Arial"/>
          <w:szCs w:val="24"/>
        </w:rPr>
        <w:t xml:space="preserve"> is given SARS</w:t>
      </w:r>
      <w:r w:rsidR="00E9753B" w:rsidRPr="008221BF">
        <w:rPr>
          <w:rFonts w:cs="Arial"/>
          <w:szCs w:val="24"/>
        </w:rPr>
        <w:t>’</w:t>
      </w:r>
      <w:r w:rsidR="005E5670" w:rsidRPr="008221BF">
        <w:rPr>
          <w:rFonts w:cs="Arial"/>
          <w:szCs w:val="24"/>
        </w:rPr>
        <w:t xml:space="preserve"> initial</w:t>
      </w:r>
      <w:r w:rsidR="00E9753B" w:rsidRPr="008221BF">
        <w:rPr>
          <w:rFonts w:cs="Arial"/>
          <w:szCs w:val="24"/>
        </w:rPr>
        <w:t xml:space="preserve"> view and then given an opportunity to respond</w:t>
      </w:r>
      <w:r w:rsidR="00E37553" w:rsidRPr="008221BF">
        <w:rPr>
          <w:rFonts w:cs="Arial"/>
          <w:szCs w:val="24"/>
        </w:rPr>
        <w:t xml:space="preserve"> to it</w:t>
      </w:r>
      <w:r w:rsidR="003E5B1A" w:rsidRPr="008221BF">
        <w:rPr>
          <w:rFonts w:cs="Arial"/>
          <w:szCs w:val="24"/>
        </w:rPr>
        <w:t xml:space="preserve">, then there are further requests for information </w:t>
      </w:r>
      <w:r w:rsidR="00E37553" w:rsidRPr="008221BF">
        <w:rPr>
          <w:rFonts w:cs="Arial"/>
          <w:szCs w:val="24"/>
        </w:rPr>
        <w:t>before a final view is adopted.</w:t>
      </w:r>
    </w:p>
    <w:p w14:paraId="50506C48" w14:textId="58E8F287" w:rsidR="007577AC" w:rsidRPr="00347D2E" w:rsidRDefault="00347D2E" w:rsidP="00347D2E">
      <w:pPr>
        <w:spacing w:after="360" w:line="480" w:lineRule="auto"/>
        <w:ind w:left="720" w:hanging="720"/>
        <w:jc w:val="both"/>
        <w:rPr>
          <w:rFonts w:cs="Arial"/>
          <w:szCs w:val="24"/>
        </w:rPr>
      </w:pPr>
      <w:r>
        <w:rPr>
          <w:rFonts w:cs="Arial"/>
          <w:szCs w:val="24"/>
        </w:rPr>
        <w:t>[28]</w:t>
      </w:r>
      <w:r>
        <w:rPr>
          <w:rFonts w:cs="Arial"/>
          <w:szCs w:val="24"/>
        </w:rPr>
        <w:tab/>
      </w:r>
      <w:r w:rsidR="007577AC" w:rsidRPr="00347D2E">
        <w:rPr>
          <w:rFonts w:cs="Arial"/>
          <w:szCs w:val="24"/>
        </w:rPr>
        <w:t xml:space="preserve">Here a decision that the taxpayers also relied on from the Federal Court of Australia </w:t>
      </w:r>
      <w:r w:rsidR="00866D58" w:rsidRPr="00347D2E">
        <w:rPr>
          <w:rFonts w:cs="Arial"/>
          <w:szCs w:val="24"/>
        </w:rPr>
        <w:t xml:space="preserve">which was cited with approval by the SCA in the </w:t>
      </w:r>
      <w:r w:rsidR="00866D58" w:rsidRPr="00347D2E">
        <w:rPr>
          <w:rFonts w:cs="Arial"/>
          <w:i/>
          <w:iCs/>
          <w:szCs w:val="24"/>
        </w:rPr>
        <w:t>Phambili Fisheries</w:t>
      </w:r>
      <w:r w:rsidR="00866D58" w:rsidRPr="00347D2E">
        <w:rPr>
          <w:rFonts w:cs="Arial"/>
          <w:szCs w:val="24"/>
        </w:rPr>
        <w:t xml:space="preserve"> case </w:t>
      </w:r>
      <w:r w:rsidR="00866D58" w:rsidRPr="00B12D64">
        <w:rPr>
          <w:rStyle w:val="FootnoteReference"/>
          <w:rFonts w:cs="Arial"/>
          <w:szCs w:val="24"/>
        </w:rPr>
        <w:footnoteReference w:id="7"/>
      </w:r>
      <w:r w:rsidR="00866D58" w:rsidRPr="00347D2E">
        <w:rPr>
          <w:rFonts w:cs="Arial"/>
          <w:szCs w:val="24"/>
        </w:rPr>
        <w:t xml:space="preserve"> has been mo</w:t>
      </w:r>
      <w:r w:rsidR="006670C2" w:rsidRPr="00347D2E">
        <w:rPr>
          <w:rFonts w:cs="Arial"/>
          <w:szCs w:val="24"/>
        </w:rPr>
        <w:t>re</w:t>
      </w:r>
      <w:r w:rsidR="00866D58" w:rsidRPr="00347D2E">
        <w:rPr>
          <w:rFonts w:cs="Arial"/>
          <w:szCs w:val="24"/>
        </w:rPr>
        <w:t xml:space="preserve"> helpful because it deals with the test of the adequacy of </w:t>
      </w:r>
      <w:r w:rsidR="00866D58" w:rsidRPr="00347D2E">
        <w:rPr>
          <w:rFonts w:cs="Arial"/>
          <w:i/>
          <w:iCs/>
          <w:szCs w:val="24"/>
        </w:rPr>
        <w:t>audi</w:t>
      </w:r>
      <w:r w:rsidR="00866D58" w:rsidRPr="00347D2E">
        <w:rPr>
          <w:rFonts w:cs="Arial"/>
          <w:szCs w:val="24"/>
        </w:rPr>
        <w:t xml:space="preserve"> in an iterative administrative process.</w:t>
      </w:r>
    </w:p>
    <w:p w14:paraId="0B950F3D" w14:textId="7BDF8813" w:rsidR="002A6CAC" w:rsidRPr="00347D2E" w:rsidRDefault="00347D2E" w:rsidP="003E3D76">
      <w:pPr>
        <w:spacing w:after="0" w:line="480" w:lineRule="auto"/>
        <w:ind w:left="720" w:hanging="720"/>
        <w:jc w:val="both"/>
        <w:rPr>
          <w:rFonts w:cs="Arial"/>
          <w:szCs w:val="24"/>
        </w:rPr>
      </w:pPr>
      <w:r>
        <w:rPr>
          <w:rFonts w:cs="Arial"/>
          <w:szCs w:val="24"/>
        </w:rPr>
        <w:t>[29]</w:t>
      </w:r>
      <w:r>
        <w:rPr>
          <w:rFonts w:cs="Arial"/>
          <w:szCs w:val="24"/>
        </w:rPr>
        <w:tab/>
      </w:r>
      <w:r w:rsidR="002A6CAC" w:rsidRPr="00347D2E">
        <w:rPr>
          <w:rFonts w:cs="Arial"/>
          <w:szCs w:val="24"/>
        </w:rPr>
        <w:t xml:space="preserve">In that case, </w:t>
      </w:r>
      <w:r w:rsidR="002A6CAC" w:rsidRPr="00347D2E">
        <w:rPr>
          <w:rFonts w:cs="Arial"/>
          <w:i/>
          <w:iCs/>
          <w:szCs w:val="24"/>
        </w:rPr>
        <w:t>Ansett Transport Industries (Operations) Pty Ltd v Wraith</w:t>
      </w:r>
      <w:r w:rsidR="002A6CAC" w:rsidRPr="00B12D64">
        <w:rPr>
          <w:rStyle w:val="FootnoteReference"/>
          <w:rFonts w:cs="Arial"/>
          <w:i/>
          <w:iCs/>
          <w:szCs w:val="24"/>
        </w:rPr>
        <w:footnoteReference w:id="8"/>
      </w:r>
      <w:r w:rsidR="002A6CAC" w:rsidRPr="00347D2E">
        <w:rPr>
          <w:rFonts w:cs="Arial"/>
          <w:i/>
          <w:iCs/>
          <w:szCs w:val="24"/>
        </w:rPr>
        <w:t>,</w:t>
      </w:r>
      <w:r w:rsidR="002A6CAC" w:rsidRPr="00347D2E">
        <w:rPr>
          <w:rFonts w:cs="Arial"/>
          <w:szCs w:val="24"/>
        </w:rPr>
        <w:t xml:space="preserve"> the court explained this in two ways. First</w:t>
      </w:r>
      <w:r w:rsidR="00BF4FC5" w:rsidRPr="00347D2E">
        <w:rPr>
          <w:rFonts w:cs="Arial"/>
          <w:szCs w:val="24"/>
        </w:rPr>
        <w:t>,</w:t>
      </w:r>
      <w:r w:rsidR="002A6CAC" w:rsidRPr="00347D2E">
        <w:rPr>
          <w:rFonts w:cs="Arial"/>
          <w:szCs w:val="24"/>
        </w:rPr>
        <w:t xml:space="preserve"> it explained the rationale for doing so:</w:t>
      </w:r>
    </w:p>
    <w:p w14:paraId="707644DD" w14:textId="77777777" w:rsidR="002A6CAC" w:rsidRPr="00B12D64" w:rsidRDefault="002A6CAC" w:rsidP="00347D2E">
      <w:pPr>
        <w:pStyle w:val="ListParagraph"/>
        <w:spacing w:after="360" w:line="480" w:lineRule="auto"/>
        <w:ind w:left="1440"/>
        <w:contextualSpacing w:val="0"/>
        <w:jc w:val="both"/>
        <w:rPr>
          <w:rFonts w:cs="Arial"/>
          <w:i/>
          <w:iCs/>
          <w:szCs w:val="24"/>
        </w:rPr>
      </w:pPr>
      <w:r w:rsidRPr="00B12D64">
        <w:rPr>
          <w:rFonts w:cs="Arial"/>
          <w:i/>
          <w:iCs/>
          <w:szCs w:val="24"/>
        </w:rPr>
        <w:lastRenderedPageBreak/>
        <w:t xml:space="preserve">“[The] decision-maker [must]) explain his decision in a way which will enable a person aggrieved to say, in effect: 'Even though I may not agree with it, I now understand why the decision went against me. I am now in a position to decide whether that decision has involved an unwarranted finding of fact, or an error of law, which is worth challenging. </w:t>
      </w:r>
    </w:p>
    <w:p w14:paraId="043CCAD9" w14:textId="25D42552" w:rsidR="002A6CAC" w:rsidRPr="00347D2E" w:rsidRDefault="00347D2E" w:rsidP="008775FC">
      <w:pPr>
        <w:spacing w:after="0" w:line="480" w:lineRule="auto"/>
        <w:ind w:left="720" w:hanging="720"/>
        <w:jc w:val="both"/>
        <w:rPr>
          <w:rFonts w:cs="Arial"/>
          <w:i/>
          <w:iCs/>
          <w:szCs w:val="24"/>
        </w:rPr>
      </w:pPr>
      <w:r>
        <w:rPr>
          <w:rFonts w:cs="Arial"/>
          <w:szCs w:val="24"/>
        </w:rPr>
        <w:t>[30]</w:t>
      </w:r>
      <w:r>
        <w:rPr>
          <w:rFonts w:cs="Arial"/>
          <w:szCs w:val="24"/>
        </w:rPr>
        <w:tab/>
      </w:r>
      <w:r w:rsidR="002A6CAC" w:rsidRPr="00347D2E">
        <w:rPr>
          <w:rFonts w:cs="Arial"/>
          <w:szCs w:val="24"/>
        </w:rPr>
        <w:t>Then it explained, and hence relevant to the present case, the threshold for the adequacy of reasons:</w:t>
      </w:r>
      <w:r w:rsidR="008775FC">
        <w:rPr>
          <w:rFonts w:cs="Arial"/>
          <w:szCs w:val="24"/>
        </w:rPr>
        <w:t xml:space="preserve"> </w:t>
      </w:r>
    </w:p>
    <w:p w14:paraId="2B3EA45A" w14:textId="7C3190CF" w:rsidR="002A6CAC" w:rsidRPr="00B12D64" w:rsidRDefault="00347D2E" w:rsidP="00347D2E">
      <w:pPr>
        <w:pStyle w:val="ListParagraph"/>
        <w:spacing w:after="360" w:line="480" w:lineRule="auto"/>
        <w:ind w:left="1440"/>
        <w:contextualSpacing w:val="0"/>
        <w:jc w:val="both"/>
        <w:rPr>
          <w:rFonts w:cs="Arial"/>
          <w:i/>
          <w:iCs/>
          <w:szCs w:val="24"/>
        </w:rPr>
      </w:pPr>
      <w:r>
        <w:rPr>
          <w:rFonts w:cs="Arial"/>
          <w:i/>
          <w:iCs/>
          <w:szCs w:val="24"/>
        </w:rPr>
        <w:t>“</w:t>
      </w:r>
      <w:r w:rsidR="002A6CAC" w:rsidRPr="00B12D64">
        <w:rPr>
          <w:rFonts w:cs="Arial"/>
          <w:i/>
          <w:iCs/>
          <w:szCs w:val="24"/>
        </w:rPr>
        <w:t xml:space="preserve">This requires that the decision-maker should set out his understanding of the relevant law any findings of fact on which his conclusions depend (especially) if those acts have been in dispute and the reasoning processes which led him to those conclusions. He should do so in clear and unambiguous language, not in vague generalities or the formal language of legislation. The appropriate length of the statement covering such matters will depend upon considerations such as the nature and importance of the decision, its complexity and the time available to formulate the statement.” </w:t>
      </w:r>
    </w:p>
    <w:p w14:paraId="245C9F62" w14:textId="781FB887" w:rsidR="008D0482" w:rsidRPr="004B2A6E" w:rsidRDefault="00347D2E" w:rsidP="004B2A6E">
      <w:pPr>
        <w:spacing w:after="360" w:line="480" w:lineRule="auto"/>
        <w:ind w:left="720" w:hanging="720"/>
        <w:jc w:val="both"/>
        <w:rPr>
          <w:rFonts w:cs="Arial"/>
          <w:szCs w:val="24"/>
        </w:rPr>
      </w:pPr>
      <w:r>
        <w:rPr>
          <w:rFonts w:cs="Arial"/>
          <w:szCs w:val="24"/>
        </w:rPr>
        <w:t>[31]</w:t>
      </w:r>
      <w:r>
        <w:rPr>
          <w:rFonts w:cs="Arial"/>
          <w:szCs w:val="24"/>
        </w:rPr>
        <w:tab/>
      </w:r>
      <w:r w:rsidR="00725B0C" w:rsidRPr="00347D2E">
        <w:rPr>
          <w:rFonts w:cs="Arial"/>
          <w:szCs w:val="24"/>
        </w:rPr>
        <w:t xml:space="preserve">But as this decision </w:t>
      </w:r>
      <w:r w:rsidR="005A5426" w:rsidRPr="00347D2E">
        <w:rPr>
          <w:rFonts w:cs="Arial"/>
          <w:szCs w:val="24"/>
        </w:rPr>
        <w:t>contemplates</w:t>
      </w:r>
      <w:r w:rsidR="00725B0C" w:rsidRPr="00347D2E">
        <w:rPr>
          <w:rFonts w:cs="Arial"/>
          <w:szCs w:val="24"/>
        </w:rPr>
        <w:t xml:space="preserve"> </w:t>
      </w:r>
      <w:r w:rsidR="005A5426" w:rsidRPr="00347D2E">
        <w:rPr>
          <w:rFonts w:cs="Arial"/>
          <w:szCs w:val="24"/>
        </w:rPr>
        <w:t xml:space="preserve">in order to determine adequacy </w:t>
      </w:r>
      <w:r w:rsidR="00725B0C" w:rsidRPr="00347D2E">
        <w:rPr>
          <w:rFonts w:cs="Arial"/>
          <w:szCs w:val="24"/>
        </w:rPr>
        <w:t xml:space="preserve">this requires an exercise </w:t>
      </w:r>
      <w:r w:rsidR="00AC6E5D" w:rsidRPr="00347D2E">
        <w:rPr>
          <w:rFonts w:cs="Arial"/>
          <w:szCs w:val="24"/>
        </w:rPr>
        <w:t>in examining the facts. SARS contends in its argument on the merits of the review that it ha</w:t>
      </w:r>
      <w:r w:rsidR="00623289" w:rsidRPr="00347D2E">
        <w:rPr>
          <w:rFonts w:cs="Arial"/>
          <w:szCs w:val="24"/>
        </w:rPr>
        <w:t xml:space="preserve">s given adequate </w:t>
      </w:r>
      <w:r w:rsidR="00623289" w:rsidRPr="00347D2E">
        <w:rPr>
          <w:rFonts w:cs="Arial"/>
          <w:i/>
          <w:iCs/>
          <w:szCs w:val="24"/>
        </w:rPr>
        <w:t>audi</w:t>
      </w:r>
      <w:r w:rsidR="00623289" w:rsidRPr="00347D2E">
        <w:rPr>
          <w:rFonts w:cs="Arial"/>
          <w:szCs w:val="24"/>
        </w:rPr>
        <w:t>. However</w:t>
      </w:r>
      <w:r w:rsidR="002710D1" w:rsidRPr="00347D2E">
        <w:rPr>
          <w:rFonts w:cs="Arial"/>
          <w:szCs w:val="24"/>
        </w:rPr>
        <w:t>,</w:t>
      </w:r>
      <w:r w:rsidR="00623289" w:rsidRPr="00347D2E">
        <w:rPr>
          <w:rFonts w:cs="Arial"/>
          <w:szCs w:val="24"/>
        </w:rPr>
        <w:t xml:space="preserve"> it argues this point does not need to be decided now given </w:t>
      </w:r>
      <w:r w:rsidR="00410ADE" w:rsidRPr="00347D2E">
        <w:rPr>
          <w:rFonts w:cs="Arial"/>
          <w:szCs w:val="24"/>
        </w:rPr>
        <w:t>its</w:t>
      </w:r>
      <w:r w:rsidR="00623289" w:rsidRPr="00347D2E">
        <w:rPr>
          <w:rFonts w:cs="Arial"/>
          <w:szCs w:val="24"/>
        </w:rPr>
        <w:t xml:space="preserve"> preliminary objections to which I now turn.</w:t>
      </w:r>
    </w:p>
    <w:p w14:paraId="2F822FDE" w14:textId="059942D9" w:rsidR="00C3792E" w:rsidRPr="00B12D64" w:rsidRDefault="00C3792E" w:rsidP="00B12D64">
      <w:pPr>
        <w:pStyle w:val="ListParagraph"/>
        <w:spacing w:after="360" w:line="480" w:lineRule="auto"/>
        <w:contextualSpacing w:val="0"/>
        <w:jc w:val="both"/>
        <w:rPr>
          <w:rFonts w:cs="Arial"/>
          <w:b/>
          <w:bCs/>
          <w:szCs w:val="24"/>
        </w:rPr>
      </w:pPr>
      <w:r w:rsidRPr="00B12D64">
        <w:rPr>
          <w:rFonts w:cs="Arial"/>
          <w:b/>
          <w:bCs/>
          <w:szCs w:val="24"/>
        </w:rPr>
        <w:t xml:space="preserve">SARS </w:t>
      </w:r>
      <w:r w:rsidRPr="004B2A6E">
        <w:rPr>
          <w:rFonts w:cs="Arial"/>
          <w:b/>
          <w:bCs/>
          <w:i/>
          <w:iCs/>
          <w:szCs w:val="24"/>
        </w:rPr>
        <w:t>in limine</w:t>
      </w:r>
      <w:r w:rsidRPr="00B12D64">
        <w:rPr>
          <w:rFonts w:cs="Arial"/>
          <w:b/>
          <w:bCs/>
          <w:szCs w:val="24"/>
        </w:rPr>
        <w:t xml:space="preserve"> objections</w:t>
      </w:r>
      <w:r w:rsidR="004E08F2">
        <w:rPr>
          <w:rFonts w:cs="Arial"/>
          <w:b/>
          <w:bCs/>
          <w:szCs w:val="24"/>
        </w:rPr>
        <w:t xml:space="preserve"> </w:t>
      </w:r>
    </w:p>
    <w:p w14:paraId="4CA34C93" w14:textId="2C7D497A" w:rsidR="002B2AA8" w:rsidRPr="004B2A6E" w:rsidRDefault="004B2A6E" w:rsidP="004B2A6E">
      <w:pPr>
        <w:spacing w:after="360" w:line="480" w:lineRule="auto"/>
        <w:ind w:left="720" w:hanging="720"/>
        <w:jc w:val="both"/>
        <w:rPr>
          <w:rFonts w:cs="Arial"/>
          <w:color w:val="000000" w:themeColor="text1"/>
          <w:szCs w:val="24"/>
        </w:rPr>
      </w:pPr>
      <w:r>
        <w:rPr>
          <w:rFonts w:cs="Arial"/>
          <w:color w:val="000000" w:themeColor="text1"/>
          <w:szCs w:val="24"/>
        </w:rPr>
        <w:lastRenderedPageBreak/>
        <w:t>[32]</w:t>
      </w:r>
      <w:r>
        <w:rPr>
          <w:rFonts w:cs="Arial"/>
          <w:color w:val="000000" w:themeColor="text1"/>
          <w:szCs w:val="24"/>
        </w:rPr>
        <w:tab/>
      </w:r>
      <w:r w:rsidR="007718F4" w:rsidRPr="004B2A6E">
        <w:rPr>
          <w:rFonts w:cs="Arial"/>
          <w:color w:val="000000" w:themeColor="text1"/>
          <w:szCs w:val="24"/>
        </w:rPr>
        <w:t xml:space="preserve">SARS argues </w:t>
      </w:r>
      <w:r w:rsidR="00BE0DC3" w:rsidRPr="004B2A6E">
        <w:rPr>
          <w:rFonts w:cs="Arial"/>
          <w:color w:val="000000" w:themeColor="text1"/>
          <w:szCs w:val="24"/>
        </w:rPr>
        <w:t xml:space="preserve">that </w:t>
      </w:r>
      <w:r w:rsidR="007718F4" w:rsidRPr="004B2A6E">
        <w:rPr>
          <w:rFonts w:cs="Arial"/>
          <w:color w:val="000000" w:themeColor="text1"/>
          <w:szCs w:val="24"/>
        </w:rPr>
        <w:t xml:space="preserve">the </w:t>
      </w:r>
      <w:r w:rsidR="006731E9" w:rsidRPr="004B2A6E">
        <w:rPr>
          <w:rFonts w:cs="Arial"/>
          <w:color w:val="000000" w:themeColor="text1"/>
          <w:szCs w:val="24"/>
        </w:rPr>
        <w:t xml:space="preserve">review is incompetent on two grounds. First, </w:t>
      </w:r>
      <w:r w:rsidR="00E6530F" w:rsidRPr="004B2A6E">
        <w:rPr>
          <w:rFonts w:cs="Arial"/>
          <w:color w:val="000000" w:themeColor="text1"/>
          <w:szCs w:val="24"/>
        </w:rPr>
        <w:t xml:space="preserve">the case cannot be considered without a direction </w:t>
      </w:r>
      <w:r w:rsidR="00C47006" w:rsidRPr="004B2A6E">
        <w:rPr>
          <w:rFonts w:cs="Arial"/>
          <w:color w:val="000000" w:themeColor="text1"/>
          <w:szCs w:val="24"/>
        </w:rPr>
        <w:t>from</w:t>
      </w:r>
      <w:r w:rsidR="00E6530F" w:rsidRPr="004B2A6E">
        <w:rPr>
          <w:rFonts w:cs="Arial"/>
          <w:color w:val="000000" w:themeColor="text1"/>
          <w:szCs w:val="24"/>
        </w:rPr>
        <w:t xml:space="preserve"> this court in terms of section 105 of the TAA. </w:t>
      </w:r>
      <w:r w:rsidR="00C47006" w:rsidRPr="004B2A6E">
        <w:rPr>
          <w:rFonts w:cs="Arial"/>
          <w:color w:val="000000" w:themeColor="text1"/>
          <w:szCs w:val="24"/>
        </w:rPr>
        <w:t>Although belatedly</w:t>
      </w:r>
      <w:r w:rsidR="00BE6BFC" w:rsidRPr="004B2A6E">
        <w:rPr>
          <w:rFonts w:cs="Arial"/>
          <w:color w:val="000000" w:themeColor="text1"/>
          <w:szCs w:val="24"/>
        </w:rPr>
        <w:t xml:space="preserve"> such a direction was</w:t>
      </w:r>
      <w:r w:rsidR="00C47006" w:rsidRPr="004B2A6E">
        <w:rPr>
          <w:rFonts w:cs="Arial"/>
          <w:color w:val="000000" w:themeColor="text1"/>
          <w:szCs w:val="24"/>
        </w:rPr>
        <w:t xml:space="preserve"> sought</w:t>
      </w:r>
      <w:r w:rsidR="00BE6BFC" w:rsidRPr="004B2A6E">
        <w:rPr>
          <w:rFonts w:cs="Arial"/>
          <w:color w:val="000000" w:themeColor="text1"/>
          <w:szCs w:val="24"/>
        </w:rPr>
        <w:t>,</w:t>
      </w:r>
      <w:r w:rsidR="00C47006" w:rsidRPr="004B2A6E">
        <w:rPr>
          <w:rFonts w:cs="Arial"/>
          <w:color w:val="000000" w:themeColor="text1"/>
          <w:szCs w:val="24"/>
        </w:rPr>
        <w:t xml:space="preserve"> SARS argues that </w:t>
      </w:r>
      <w:r w:rsidR="00E6530F" w:rsidRPr="004B2A6E">
        <w:rPr>
          <w:rFonts w:cs="Arial"/>
          <w:color w:val="000000" w:themeColor="text1"/>
          <w:szCs w:val="24"/>
        </w:rPr>
        <w:t>the threshold to get such a direction has not been made out in the papers.</w:t>
      </w:r>
      <w:r w:rsidR="008D0482" w:rsidRPr="004B2A6E">
        <w:rPr>
          <w:rFonts w:cs="Arial"/>
          <w:color w:val="000000" w:themeColor="text1"/>
          <w:szCs w:val="24"/>
        </w:rPr>
        <w:t xml:space="preserve"> Secondly, </w:t>
      </w:r>
      <w:r w:rsidR="00521680" w:rsidRPr="004B2A6E">
        <w:rPr>
          <w:rFonts w:cs="Arial"/>
          <w:color w:val="000000" w:themeColor="text1"/>
          <w:szCs w:val="24"/>
        </w:rPr>
        <w:t xml:space="preserve">relief is incompetent </w:t>
      </w:r>
      <w:r w:rsidR="006731E9" w:rsidRPr="004B2A6E">
        <w:rPr>
          <w:rFonts w:cs="Arial"/>
          <w:color w:val="000000" w:themeColor="text1"/>
          <w:szCs w:val="24"/>
        </w:rPr>
        <w:t>because the taxpayers have failed to exhaust their internal remedies</w:t>
      </w:r>
      <w:r w:rsidR="00BE0DC3" w:rsidRPr="004B2A6E">
        <w:rPr>
          <w:rFonts w:cs="Arial"/>
          <w:color w:val="000000" w:themeColor="text1"/>
          <w:szCs w:val="24"/>
        </w:rPr>
        <w:t xml:space="preserve"> as required</w:t>
      </w:r>
      <w:r w:rsidR="007718F4" w:rsidRPr="004B2A6E">
        <w:rPr>
          <w:rFonts w:cs="Arial"/>
          <w:color w:val="000000" w:themeColor="text1"/>
          <w:szCs w:val="24"/>
        </w:rPr>
        <w:t xml:space="preserve"> </w:t>
      </w:r>
      <w:r w:rsidR="00BE0DC3" w:rsidRPr="004B2A6E">
        <w:rPr>
          <w:rFonts w:cs="Arial"/>
          <w:color w:val="000000" w:themeColor="text1"/>
          <w:szCs w:val="24"/>
        </w:rPr>
        <w:t>in terms of section 7(2) of PAJA</w:t>
      </w:r>
      <w:r w:rsidR="008D0482" w:rsidRPr="004B2A6E">
        <w:rPr>
          <w:rFonts w:cs="Arial"/>
          <w:color w:val="000000" w:themeColor="text1"/>
          <w:szCs w:val="24"/>
        </w:rPr>
        <w:t>.</w:t>
      </w:r>
      <w:r w:rsidR="00BE0DC3" w:rsidRPr="004B2A6E">
        <w:rPr>
          <w:rFonts w:cs="Arial"/>
          <w:color w:val="000000" w:themeColor="text1"/>
          <w:szCs w:val="24"/>
        </w:rPr>
        <w:t xml:space="preserve"> </w:t>
      </w:r>
      <w:r w:rsidR="00740C6C" w:rsidRPr="004B2A6E">
        <w:rPr>
          <w:rFonts w:cs="Arial"/>
          <w:color w:val="000000" w:themeColor="text1"/>
          <w:szCs w:val="24"/>
        </w:rPr>
        <w:t xml:space="preserve">Both </w:t>
      </w:r>
      <w:r w:rsidR="0073471B" w:rsidRPr="004B2A6E">
        <w:rPr>
          <w:rFonts w:cs="Arial"/>
          <w:color w:val="000000" w:themeColor="text1"/>
          <w:szCs w:val="24"/>
        </w:rPr>
        <w:t xml:space="preserve">statutes require </w:t>
      </w:r>
      <w:r w:rsidR="000E4477" w:rsidRPr="004B2A6E">
        <w:rPr>
          <w:rFonts w:cs="Arial"/>
          <w:color w:val="000000" w:themeColor="text1"/>
          <w:szCs w:val="24"/>
        </w:rPr>
        <w:t xml:space="preserve">the taxpayers to show </w:t>
      </w:r>
      <w:r w:rsidR="00740C6C" w:rsidRPr="004B2A6E">
        <w:rPr>
          <w:rFonts w:cs="Arial"/>
          <w:color w:val="000000" w:themeColor="text1"/>
          <w:szCs w:val="24"/>
        </w:rPr>
        <w:t xml:space="preserve">that exceptional </w:t>
      </w:r>
      <w:r w:rsidR="000E4477" w:rsidRPr="004B2A6E">
        <w:rPr>
          <w:rFonts w:cs="Arial"/>
          <w:color w:val="000000" w:themeColor="text1"/>
          <w:szCs w:val="24"/>
        </w:rPr>
        <w:t>circumstances exist.</w:t>
      </w:r>
    </w:p>
    <w:p w14:paraId="157D0E0D" w14:textId="77777777" w:rsidR="00C3792E" w:rsidRPr="00B12D64" w:rsidRDefault="00BE0DC3" w:rsidP="004B2A6E">
      <w:pPr>
        <w:spacing w:after="360" w:line="480" w:lineRule="auto"/>
        <w:ind w:left="360" w:firstLine="360"/>
        <w:jc w:val="both"/>
        <w:rPr>
          <w:rFonts w:cs="Arial"/>
          <w:b/>
          <w:color w:val="000000" w:themeColor="text1"/>
          <w:szCs w:val="24"/>
        </w:rPr>
      </w:pPr>
      <w:r w:rsidRPr="00B12D64">
        <w:rPr>
          <w:rFonts w:cs="Arial"/>
          <w:b/>
          <w:color w:val="000000" w:themeColor="text1"/>
          <w:szCs w:val="24"/>
        </w:rPr>
        <w:t xml:space="preserve">Section 105 of the TAA </w:t>
      </w:r>
    </w:p>
    <w:p w14:paraId="7990B2FB" w14:textId="78EA560D" w:rsidR="0063016B" w:rsidRPr="004B2A6E" w:rsidRDefault="004B2A6E" w:rsidP="008775FC">
      <w:pPr>
        <w:spacing w:after="0" w:line="480" w:lineRule="auto"/>
        <w:jc w:val="both"/>
        <w:rPr>
          <w:rFonts w:cs="Arial"/>
          <w:color w:val="000000" w:themeColor="text1"/>
          <w:szCs w:val="24"/>
        </w:rPr>
      </w:pPr>
      <w:r>
        <w:rPr>
          <w:rFonts w:cs="Arial"/>
          <w:color w:val="000000" w:themeColor="text1"/>
          <w:szCs w:val="24"/>
        </w:rPr>
        <w:t>[33]</w:t>
      </w:r>
      <w:r>
        <w:rPr>
          <w:rFonts w:cs="Arial"/>
          <w:color w:val="000000" w:themeColor="text1"/>
          <w:szCs w:val="24"/>
        </w:rPr>
        <w:tab/>
      </w:r>
      <w:r w:rsidR="0063016B" w:rsidRPr="004B2A6E">
        <w:rPr>
          <w:rFonts w:cs="Arial"/>
          <w:color w:val="000000" w:themeColor="text1"/>
          <w:szCs w:val="24"/>
        </w:rPr>
        <w:t>Th</w:t>
      </w:r>
      <w:r w:rsidR="00BE0DC3" w:rsidRPr="004B2A6E">
        <w:rPr>
          <w:rFonts w:cs="Arial"/>
          <w:color w:val="000000" w:themeColor="text1"/>
          <w:szCs w:val="24"/>
        </w:rPr>
        <w:t>is</w:t>
      </w:r>
      <w:r w:rsidR="0063016B" w:rsidRPr="004B2A6E">
        <w:rPr>
          <w:rFonts w:cs="Arial"/>
          <w:color w:val="000000" w:themeColor="text1"/>
          <w:szCs w:val="24"/>
        </w:rPr>
        <w:t xml:space="preserve"> section states</w:t>
      </w:r>
      <w:r w:rsidR="00815233" w:rsidRPr="004B2A6E">
        <w:rPr>
          <w:rFonts w:cs="Arial"/>
          <w:color w:val="000000" w:themeColor="text1"/>
          <w:szCs w:val="24"/>
        </w:rPr>
        <w:t>:</w:t>
      </w:r>
      <w:r w:rsidR="008775FC">
        <w:rPr>
          <w:rFonts w:cs="Arial"/>
          <w:color w:val="000000" w:themeColor="text1"/>
          <w:szCs w:val="24"/>
        </w:rPr>
        <w:t xml:space="preserve"> </w:t>
      </w:r>
    </w:p>
    <w:p w14:paraId="3F2F321B" w14:textId="3CFD22B6" w:rsidR="005D4CCC" w:rsidRPr="00B12D64" w:rsidRDefault="00440A1F" w:rsidP="004B2A6E">
      <w:pPr>
        <w:pStyle w:val="ListParagraph"/>
        <w:spacing w:after="360" w:line="480" w:lineRule="auto"/>
        <w:ind w:left="1440"/>
        <w:contextualSpacing w:val="0"/>
        <w:jc w:val="both"/>
        <w:rPr>
          <w:rFonts w:cs="Arial"/>
          <w:i/>
          <w:iCs/>
          <w:color w:val="000000" w:themeColor="text1"/>
          <w:szCs w:val="24"/>
        </w:rPr>
      </w:pPr>
      <w:r w:rsidRPr="00B12D64">
        <w:rPr>
          <w:rFonts w:cs="Arial"/>
          <w:i/>
          <w:iCs/>
          <w:color w:val="000000" w:themeColor="text1"/>
          <w:szCs w:val="24"/>
        </w:rPr>
        <w:t>“A</w:t>
      </w:r>
      <w:r w:rsidR="00CE09E5" w:rsidRPr="00B12D64">
        <w:rPr>
          <w:rFonts w:cs="Arial"/>
          <w:i/>
          <w:iCs/>
          <w:color w:val="000000" w:themeColor="text1"/>
          <w:szCs w:val="24"/>
        </w:rPr>
        <w:t xml:space="preserve"> </w:t>
      </w:r>
      <w:r w:rsidR="002151AD" w:rsidRPr="00B12D64">
        <w:rPr>
          <w:rFonts w:cs="Arial"/>
          <w:i/>
          <w:iCs/>
          <w:color w:val="000000" w:themeColor="text1"/>
          <w:szCs w:val="24"/>
        </w:rPr>
        <w:t xml:space="preserve">taxpayer may only dispute an assessment or ‘decision’ as described in section </w:t>
      </w:r>
      <w:r w:rsidR="008907B2" w:rsidRPr="00B12D64">
        <w:rPr>
          <w:rFonts w:cs="Arial"/>
          <w:i/>
          <w:iCs/>
          <w:color w:val="000000" w:themeColor="text1"/>
          <w:szCs w:val="24"/>
        </w:rPr>
        <w:t>104 in proceedings under this Chapter</w:t>
      </w:r>
      <w:r w:rsidR="007A1DD5" w:rsidRPr="00B12D64">
        <w:rPr>
          <w:rFonts w:cs="Arial"/>
          <w:i/>
          <w:iCs/>
          <w:color w:val="000000" w:themeColor="text1"/>
          <w:szCs w:val="24"/>
        </w:rPr>
        <w:t>,</w:t>
      </w:r>
      <w:r w:rsidR="008907B2" w:rsidRPr="00B12D64">
        <w:rPr>
          <w:rFonts w:cs="Arial"/>
          <w:i/>
          <w:iCs/>
          <w:color w:val="000000" w:themeColor="text1"/>
          <w:szCs w:val="24"/>
        </w:rPr>
        <w:t xml:space="preserve"> unless </w:t>
      </w:r>
      <w:r w:rsidR="007A1DD5" w:rsidRPr="00B12D64">
        <w:rPr>
          <w:rFonts w:cs="Arial"/>
          <w:i/>
          <w:iCs/>
          <w:color w:val="000000" w:themeColor="text1"/>
          <w:szCs w:val="24"/>
        </w:rPr>
        <w:t xml:space="preserve">a High Court </w:t>
      </w:r>
      <w:r w:rsidR="007B449B" w:rsidRPr="00B12D64">
        <w:rPr>
          <w:rFonts w:cs="Arial"/>
          <w:i/>
          <w:iCs/>
          <w:color w:val="000000" w:themeColor="text1"/>
          <w:szCs w:val="24"/>
        </w:rPr>
        <w:t xml:space="preserve">otherwise directs” </w:t>
      </w:r>
    </w:p>
    <w:p w14:paraId="10A21772" w14:textId="01EFC451" w:rsidR="00950676" w:rsidRPr="004B2A6E" w:rsidRDefault="004B2A6E" w:rsidP="008775FC">
      <w:pPr>
        <w:spacing w:after="0" w:line="480" w:lineRule="auto"/>
        <w:ind w:left="720" w:hanging="720"/>
        <w:jc w:val="both"/>
        <w:rPr>
          <w:rFonts w:cs="Arial"/>
          <w:color w:val="000000" w:themeColor="text1"/>
          <w:szCs w:val="24"/>
        </w:rPr>
      </w:pPr>
      <w:r>
        <w:rPr>
          <w:rFonts w:cs="Arial"/>
          <w:color w:val="000000" w:themeColor="text1"/>
          <w:szCs w:val="24"/>
        </w:rPr>
        <w:t>[34]</w:t>
      </w:r>
      <w:r>
        <w:rPr>
          <w:rFonts w:cs="Arial"/>
          <w:color w:val="000000" w:themeColor="text1"/>
          <w:szCs w:val="24"/>
        </w:rPr>
        <w:tab/>
      </w:r>
      <w:r w:rsidR="00950676" w:rsidRPr="004B2A6E">
        <w:rPr>
          <w:rFonts w:cs="Arial"/>
          <w:color w:val="000000" w:themeColor="text1"/>
          <w:szCs w:val="24"/>
        </w:rPr>
        <w:t>Section 105</w:t>
      </w:r>
      <w:r w:rsidR="002B2AA8" w:rsidRPr="004B2A6E">
        <w:rPr>
          <w:rFonts w:cs="Arial"/>
          <w:color w:val="000000" w:themeColor="text1"/>
          <w:szCs w:val="24"/>
        </w:rPr>
        <w:t>,</w:t>
      </w:r>
      <w:r w:rsidR="00950676" w:rsidRPr="004B2A6E">
        <w:rPr>
          <w:rFonts w:cs="Arial"/>
          <w:color w:val="000000" w:themeColor="text1"/>
          <w:szCs w:val="24"/>
        </w:rPr>
        <w:t xml:space="preserve"> in its current form</w:t>
      </w:r>
      <w:r w:rsidR="002B2AA8" w:rsidRPr="004B2A6E">
        <w:rPr>
          <w:rFonts w:cs="Arial"/>
          <w:color w:val="000000" w:themeColor="text1"/>
          <w:szCs w:val="24"/>
        </w:rPr>
        <w:t>,</w:t>
      </w:r>
      <w:r w:rsidR="00950676" w:rsidRPr="004B2A6E">
        <w:rPr>
          <w:rFonts w:cs="Arial"/>
          <w:color w:val="000000" w:themeColor="text1"/>
          <w:szCs w:val="24"/>
        </w:rPr>
        <w:t xml:space="preserve"> is </w:t>
      </w:r>
      <w:r w:rsidR="007A74BD" w:rsidRPr="004B2A6E">
        <w:rPr>
          <w:rFonts w:cs="Arial"/>
          <w:color w:val="000000" w:themeColor="text1"/>
          <w:szCs w:val="24"/>
        </w:rPr>
        <w:t xml:space="preserve">relatively recent. Prior to this </w:t>
      </w:r>
      <w:r w:rsidR="00B66B94" w:rsidRPr="004B2A6E">
        <w:rPr>
          <w:rFonts w:cs="Arial"/>
          <w:color w:val="000000" w:themeColor="text1"/>
          <w:szCs w:val="24"/>
        </w:rPr>
        <w:t xml:space="preserve">as the SCA explained in </w:t>
      </w:r>
      <w:r w:rsidR="0085108A" w:rsidRPr="004B2A6E">
        <w:rPr>
          <w:rFonts w:cs="Arial"/>
          <w:color w:val="000000" w:themeColor="text1"/>
          <w:szCs w:val="24"/>
        </w:rPr>
        <w:t>the leading case on this section</w:t>
      </w:r>
      <w:r w:rsidR="005C2D00" w:rsidRPr="004B2A6E">
        <w:rPr>
          <w:rFonts w:cs="Arial"/>
          <w:color w:val="000000" w:themeColor="text1"/>
          <w:szCs w:val="24"/>
        </w:rPr>
        <w:t>,</w:t>
      </w:r>
      <w:r w:rsidR="0085108A" w:rsidRPr="004B2A6E">
        <w:rPr>
          <w:rFonts w:cs="Arial"/>
          <w:color w:val="000000" w:themeColor="text1"/>
          <w:szCs w:val="24"/>
        </w:rPr>
        <w:t xml:space="preserve"> </w:t>
      </w:r>
      <w:r w:rsidR="00B66B94" w:rsidRPr="004B2A6E">
        <w:rPr>
          <w:rFonts w:cs="Arial"/>
          <w:i/>
          <w:iCs/>
          <w:color w:val="000000" w:themeColor="text1"/>
          <w:szCs w:val="24"/>
        </w:rPr>
        <w:t>Rappa Holdings</w:t>
      </w:r>
      <w:r w:rsidR="00B66B94" w:rsidRPr="004B2A6E">
        <w:rPr>
          <w:rFonts w:cs="Arial"/>
          <w:color w:val="000000" w:themeColor="text1"/>
          <w:szCs w:val="24"/>
        </w:rPr>
        <w:t>:</w:t>
      </w:r>
      <w:r w:rsidR="003D312A" w:rsidRPr="00B12D64">
        <w:rPr>
          <w:rStyle w:val="FootnoteReference"/>
          <w:rFonts w:cs="Arial"/>
          <w:color w:val="000000" w:themeColor="text1"/>
          <w:szCs w:val="24"/>
        </w:rPr>
        <w:footnoteReference w:id="9"/>
      </w:r>
      <w:r w:rsidR="008775FC">
        <w:rPr>
          <w:rFonts w:cs="Arial"/>
          <w:color w:val="000000" w:themeColor="text1"/>
          <w:szCs w:val="24"/>
        </w:rPr>
        <w:t xml:space="preserve"> </w:t>
      </w:r>
    </w:p>
    <w:p w14:paraId="356A1787" w14:textId="77777777" w:rsidR="00B66B94" w:rsidRPr="00B12D64" w:rsidRDefault="00A53C3C" w:rsidP="004B2A6E">
      <w:pPr>
        <w:pStyle w:val="ListParagraph"/>
        <w:spacing w:after="360" w:line="480" w:lineRule="auto"/>
        <w:ind w:left="1440"/>
        <w:contextualSpacing w:val="0"/>
        <w:jc w:val="both"/>
        <w:rPr>
          <w:rFonts w:cs="Arial"/>
          <w:i/>
          <w:iCs/>
          <w:color w:val="000000" w:themeColor="text1"/>
          <w:szCs w:val="24"/>
        </w:rPr>
      </w:pPr>
      <w:r w:rsidRPr="00B12D64">
        <w:rPr>
          <w:rFonts w:cs="Arial"/>
          <w:i/>
          <w:iCs/>
          <w:color w:val="000000" w:themeColor="text1"/>
          <w:szCs w:val="24"/>
        </w:rPr>
        <w:t xml:space="preserve">“Pre-amendment, the taxpayer could elect to take an assessment on review to the high court instead of following the prescribed procedure. That is no longer the case. The amendment was meant to make clear that the default </w:t>
      </w:r>
      <w:r w:rsidRPr="00B12D64">
        <w:rPr>
          <w:rFonts w:cs="Arial"/>
          <w:i/>
          <w:iCs/>
          <w:color w:val="000000" w:themeColor="text1"/>
          <w:szCs w:val="24"/>
        </w:rPr>
        <w:lastRenderedPageBreak/>
        <w:t xml:space="preserve">rule is that a taxpayer had to follow the prescribed </w:t>
      </w:r>
      <w:r w:rsidR="00B614F2" w:rsidRPr="00B12D64">
        <w:rPr>
          <w:rFonts w:cs="Arial"/>
          <w:i/>
          <w:iCs/>
          <w:color w:val="000000" w:themeColor="text1"/>
          <w:szCs w:val="24"/>
        </w:rPr>
        <w:t>procedure unless</w:t>
      </w:r>
      <w:r w:rsidRPr="00B12D64">
        <w:rPr>
          <w:rFonts w:cs="Arial"/>
          <w:i/>
          <w:iCs/>
          <w:color w:val="000000" w:themeColor="text1"/>
          <w:szCs w:val="24"/>
        </w:rPr>
        <w:t xml:space="preserve"> a high court directs otherwise.”</w:t>
      </w:r>
      <w:r w:rsidR="003D312A" w:rsidRPr="00B12D64">
        <w:rPr>
          <w:rStyle w:val="FootnoteReference"/>
          <w:rFonts w:cs="Arial"/>
          <w:i/>
          <w:iCs/>
          <w:color w:val="000000" w:themeColor="text1"/>
          <w:szCs w:val="24"/>
        </w:rPr>
        <w:footnoteReference w:id="10"/>
      </w:r>
    </w:p>
    <w:p w14:paraId="421568D7" w14:textId="2AE6CE96" w:rsidR="002A7840" w:rsidRPr="004B2A6E" w:rsidRDefault="004B2A6E" w:rsidP="004B2A6E">
      <w:pPr>
        <w:spacing w:after="360" w:line="480" w:lineRule="auto"/>
        <w:ind w:left="720" w:hanging="720"/>
        <w:jc w:val="both"/>
        <w:rPr>
          <w:rFonts w:cs="Arial"/>
          <w:color w:val="000000" w:themeColor="text1"/>
          <w:szCs w:val="24"/>
        </w:rPr>
      </w:pPr>
      <w:r>
        <w:rPr>
          <w:rFonts w:cs="Arial"/>
          <w:color w:val="000000" w:themeColor="text1"/>
          <w:szCs w:val="24"/>
        </w:rPr>
        <w:t>[35]</w:t>
      </w:r>
      <w:r>
        <w:rPr>
          <w:rFonts w:cs="Arial"/>
          <w:color w:val="000000" w:themeColor="text1"/>
          <w:szCs w:val="24"/>
        </w:rPr>
        <w:tab/>
      </w:r>
      <w:r w:rsidR="00B71F6F" w:rsidRPr="004B2A6E">
        <w:rPr>
          <w:rFonts w:cs="Arial"/>
          <w:color w:val="000000" w:themeColor="text1"/>
          <w:szCs w:val="24"/>
        </w:rPr>
        <w:t xml:space="preserve">Section 105 </w:t>
      </w:r>
      <w:r w:rsidR="002A7840" w:rsidRPr="004B2A6E">
        <w:rPr>
          <w:rFonts w:cs="Arial"/>
          <w:color w:val="000000" w:themeColor="text1"/>
          <w:szCs w:val="24"/>
        </w:rPr>
        <w:t>must</w:t>
      </w:r>
      <w:r w:rsidR="0009061C" w:rsidRPr="004B2A6E">
        <w:rPr>
          <w:rFonts w:cs="Arial"/>
          <w:color w:val="000000" w:themeColor="text1"/>
          <w:szCs w:val="24"/>
        </w:rPr>
        <w:t xml:space="preserve"> then</w:t>
      </w:r>
      <w:r w:rsidR="002A7840" w:rsidRPr="004B2A6E">
        <w:rPr>
          <w:rFonts w:cs="Arial"/>
          <w:color w:val="000000" w:themeColor="text1"/>
          <w:szCs w:val="24"/>
        </w:rPr>
        <w:t xml:space="preserve"> </w:t>
      </w:r>
      <w:r w:rsidR="0009061C" w:rsidRPr="004B2A6E">
        <w:rPr>
          <w:rFonts w:cs="Arial"/>
          <w:color w:val="000000" w:themeColor="text1"/>
          <w:szCs w:val="24"/>
        </w:rPr>
        <w:t xml:space="preserve">be </w:t>
      </w:r>
      <w:r w:rsidR="00B71F6F" w:rsidRPr="004B2A6E">
        <w:rPr>
          <w:rFonts w:cs="Arial"/>
          <w:color w:val="000000" w:themeColor="text1"/>
          <w:szCs w:val="24"/>
        </w:rPr>
        <w:t xml:space="preserve">the point of departure before I consider any other issues. Without a </w:t>
      </w:r>
      <w:r w:rsidR="00204B3C" w:rsidRPr="004B2A6E">
        <w:rPr>
          <w:rFonts w:cs="Arial"/>
          <w:color w:val="000000" w:themeColor="text1"/>
          <w:szCs w:val="24"/>
        </w:rPr>
        <w:t xml:space="preserve">direction </w:t>
      </w:r>
      <w:r w:rsidR="00B71F6F" w:rsidRPr="004B2A6E">
        <w:rPr>
          <w:rFonts w:cs="Arial"/>
          <w:color w:val="000000" w:themeColor="text1"/>
          <w:szCs w:val="24"/>
        </w:rPr>
        <w:t xml:space="preserve">as contemplated in that section the High Court does not have </w:t>
      </w:r>
      <w:r w:rsidR="00B614F2" w:rsidRPr="004B2A6E">
        <w:rPr>
          <w:rFonts w:cs="Arial"/>
          <w:color w:val="000000" w:themeColor="text1"/>
          <w:szCs w:val="24"/>
        </w:rPr>
        <w:t>jurisdiction</w:t>
      </w:r>
      <w:r w:rsidR="00B71F6F" w:rsidRPr="004B2A6E">
        <w:rPr>
          <w:rFonts w:cs="Arial"/>
          <w:color w:val="000000" w:themeColor="text1"/>
          <w:szCs w:val="24"/>
        </w:rPr>
        <w:t xml:space="preserve"> over a case of this nature. </w:t>
      </w:r>
      <w:r w:rsidR="002A7840" w:rsidRPr="004B2A6E">
        <w:rPr>
          <w:rFonts w:cs="Arial"/>
          <w:color w:val="000000" w:themeColor="text1"/>
          <w:szCs w:val="24"/>
        </w:rPr>
        <w:t>Again</w:t>
      </w:r>
      <w:r w:rsidR="00B614F2" w:rsidRPr="004B2A6E">
        <w:rPr>
          <w:rFonts w:cs="Arial"/>
          <w:color w:val="000000" w:themeColor="text1"/>
          <w:szCs w:val="24"/>
        </w:rPr>
        <w:t>,</w:t>
      </w:r>
      <w:r w:rsidR="002A7840" w:rsidRPr="004B2A6E">
        <w:rPr>
          <w:rFonts w:cs="Arial"/>
          <w:color w:val="000000" w:themeColor="text1"/>
          <w:szCs w:val="24"/>
        </w:rPr>
        <w:t xml:space="preserve"> in </w:t>
      </w:r>
      <w:r w:rsidR="002A7840" w:rsidRPr="004B2A6E">
        <w:rPr>
          <w:rFonts w:cs="Arial"/>
          <w:i/>
          <w:iCs/>
          <w:color w:val="000000" w:themeColor="text1"/>
          <w:szCs w:val="24"/>
        </w:rPr>
        <w:t>Rappa</w:t>
      </w:r>
      <w:r w:rsidR="00D723A3" w:rsidRPr="004B2A6E">
        <w:rPr>
          <w:rFonts w:cs="Arial"/>
          <w:i/>
          <w:iCs/>
          <w:color w:val="000000" w:themeColor="text1"/>
          <w:szCs w:val="24"/>
        </w:rPr>
        <w:t>,</w:t>
      </w:r>
      <w:r w:rsidR="002A7840" w:rsidRPr="004B2A6E">
        <w:rPr>
          <w:rFonts w:cs="Arial"/>
          <w:color w:val="000000" w:themeColor="text1"/>
          <w:szCs w:val="24"/>
        </w:rPr>
        <w:t xml:space="preserve"> the SCA followed an earlier decision </w:t>
      </w:r>
      <w:r w:rsidR="004E71A9" w:rsidRPr="004B2A6E">
        <w:rPr>
          <w:rFonts w:cs="Arial"/>
          <w:color w:val="000000" w:themeColor="text1"/>
          <w:szCs w:val="24"/>
        </w:rPr>
        <w:t xml:space="preserve">of the Constitutional Court in the </w:t>
      </w:r>
      <w:r w:rsidR="004E71A9" w:rsidRPr="004B2A6E">
        <w:rPr>
          <w:rFonts w:cs="Arial"/>
          <w:i/>
          <w:iCs/>
          <w:color w:val="000000" w:themeColor="text1"/>
          <w:szCs w:val="24"/>
        </w:rPr>
        <w:t>Standard Bank</w:t>
      </w:r>
      <w:r w:rsidR="004E71A9" w:rsidRPr="004B2A6E">
        <w:rPr>
          <w:rFonts w:cs="Arial"/>
          <w:color w:val="000000" w:themeColor="text1"/>
          <w:szCs w:val="24"/>
        </w:rPr>
        <w:t xml:space="preserve"> case which held that where there is a jurisdiction challenge this must be decided first.</w:t>
      </w:r>
      <w:r w:rsidR="002B2AA8" w:rsidRPr="00B12D64">
        <w:rPr>
          <w:rStyle w:val="FootnoteReference"/>
          <w:rFonts w:cs="Arial"/>
          <w:color w:val="000000" w:themeColor="text1"/>
          <w:szCs w:val="24"/>
        </w:rPr>
        <w:footnoteReference w:id="11"/>
      </w:r>
    </w:p>
    <w:p w14:paraId="4A63CEEE" w14:textId="4CDB4A0F" w:rsidR="00807523" w:rsidRPr="004B2A6E" w:rsidRDefault="004B2A6E" w:rsidP="004E08F2">
      <w:pPr>
        <w:spacing w:after="0" w:line="480" w:lineRule="auto"/>
        <w:ind w:left="720" w:hanging="720"/>
        <w:jc w:val="both"/>
        <w:rPr>
          <w:rFonts w:cs="Arial"/>
          <w:color w:val="000000" w:themeColor="text1"/>
          <w:szCs w:val="24"/>
        </w:rPr>
      </w:pPr>
      <w:r>
        <w:rPr>
          <w:rFonts w:cs="Arial"/>
          <w:color w:val="000000" w:themeColor="text1"/>
          <w:szCs w:val="24"/>
        </w:rPr>
        <w:t>[36]</w:t>
      </w:r>
      <w:r>
        <w:rPr>
          <w:rFonts w:cs="Arial"/>
          <w:color w:val="000000" w:themeColor="text1"/>
          <w:szCs w:val="24"/>
        </w:rPr>
        <w:tab/>
      </w:r>
      <w:r w:rsidR="00E12890" w:rsidRPr="004B2A6E">
        <w:rPr>
          <w:rFonts w:cs="Arial"/>
          <w:color w:val="000000" w:themeColor="text1"/>
          <w:szCs w:val="24"/>
        </w:rPr>
        <w:t>The taxpayers did not deal with this section in their notice of motion or in their founding affidavit. It was raised by SARS in it</w:t>
      </w:r>
      <w:r w:rsidR="007718F4" w:rsidRPr="004B2A6E">
        <w:rPr>
          <w:rFonts w:cs="Arial"/>
          <w:color w:val="000000" w:themeColor="text1"/>
          <w:szCs w:val="24"/>
        </w:rPr>
        <w:t>s</w:t>
      </w:r>
      <w:r w:rsidR="00E12890" w:rsidRPr="004B2A6E">
        <w:rPr>
          <w:rFonts w:cs="Arial"/>
          <w:color w:val="000000" w:themeColor="text1"/>
          <w:szCs w:val="24"/>
        </w:rPr>
        <w:t xml:space="preserve"> answering </w:t>
      </w:r>
      <w:r w:rsidR="007717C9" w:rsidRPr="004B2A6E">
        <w:rPr>
          <w:rFonts w:cs="Arial"/>
          <w:color w:val="000000" w:themeColor="text1"/>
          <w:szCs w:val="24"/>
        </w:rPr>
        <w:t>affidavit</w:t>
      </w:r>
      <w:r w:rsidR="00171C69" w:rsidRPr="004B2A6E">
        <w:rPr>
          <w:rFonts w:cs="Arial"/>
          <w:color w:val="000000" w:themeColor="text1"/>
          <w:szCs w:val="24"/>
        </w:rPr>
        <w:t>,</w:t>
      </w:r>
      <w:r w:rsidR="007717C9" w:rsidRPr="004B2A6E">
        <w:rPr>
          <w:rFonts w:cs="Arial"/>
          <w:color w:val="000000" w:themeColor="text1"/>
          <w:szCs w:val="24"/>
        </w:rPr>
        <w:t xml:space="preserve"> and</w:t>
      </w:r>
      <w:r w:rsidR="00F36265" w:rsidRPr="004B2A6E">
        <w:rPr>
          <w:rFonts w:cs="Arial"/>
          <w:color w:val="000000" w:themeColor="text1"/>
          <w:szCs w:val="24"/>
        </w:rPr>
        <w:t xml:space="preserve"> it was</w:t>
      </w:r>
      <w:r w:rsidR="00B22AF2" w:rsidRPr="004B2A6E">
        <w:rPr>
          <w:rFonts w:cs="Arial"/>
          <w:color w:val="000000" w:themeColor="text1"/>
          <w:szCs w:val="24"/>
        </w:rPr>
        <w:t xml:space="preserve"> only </w:t>
      </w:r>
      <w:r w:rsidR="00F36265" w:rsidRPr="004B2A6E">
        <w:rPr>
          <w:rFonts w:cs="Arial"/>
          <w:color w:val="000000" w:themeColor="text1"/>
          <w:szCs w:val="24"/>
        </w:rPr>
        <w:t>dealt with by the taxpayers in their replying affidavit</w:t>
      </w:r>
      <w:r w:rsidR="00F4262F" w:rsidRPr="004B2A6E">
        <w:rPr>
          <w:rFonts w:cs="Arial"/>
          <w:color w:val="000000" w:themeColor="text1"/>
          <w:szCs w:val="24"/>
        </w:rPr>
        <w:t>,</w:t>
      </w:r>
      <w:r w:rsidR="00F36265" w:rsidRPr="004B2A6E">
        <w:rPr>
          <w:rFonts w:cs="Arial"/>
          <w:color w:val="000000" w:themeColor="text1"/>
          <w:szCs w:val="24"/>
        </w:rPr>
        <w:t xml:space="preserve"> </w:t>
      </w:r>
      <w:r w:rsidR="00C75322" w:rsidRPr="004B2A6E">
        <w:rPr>
          <w:rFonts w:cs="Arial"/>
          <w:color w:val="000000" w:themeColor="text1"/>
          <w:szCs w:val="24"/>
        </w:rPr>
        <w:t xml:space="preserve">although it is apparent from the tone of this affidavit that this was a reluctant concession. </w:t>
      </w:r>
      <w:r w:rsidR="007718F4" w:rsidRPr="004B2A6E">
        <w:rPr>
          <w:rFonts w:cs="Arial"/>
          <w:color w:val="000000" w:themeColor="text1"/>
          <w:szCs w:val="24"/>
        </w:rPr>
        <w:t>Nevertheless, at</w:t>
      </w:r>
      <w:r w:rsidR="00EB6F16" w:rsidRPr="004B2A6E">
        <w:rPr>
          <w:rFonts w:cs="Arial"/>
          <w:color w:val="000000" w:themeColor="text1"/>
          <w:szCs w:val="24"/>
        </w:rPr>
        <w:t xml:space="preserve"> the same time t</w:t>
      </w:r>
      <w:r w:rsidR="00807523" w:rsidRPr="004B2A6E">
        <w:rPr>
          <w:rFonts w:cs="Arial"/>
          <w:color w:val="000000" w:themeColor="text1"/>
          <w:szCs w:val="24"/>
        </w:rPr>
        <w:t>hey also amended their notice of motion to include the following relief:</w:t>
      </w:r>
      <w:r w:rsidR="004E08F2">
        <w:rPr>
          <w:rFonts w:cs="Arial"/>
          <w:color w:val="000000" w:themeColor="text1"/>
          <w:szCs w:val="24"/>
        </w:rPr>
        <w:t xml:space="preserve"> </w:t>
      </w:r>
    </w:p>
    <w:p w14:paraId="72065D98" w14:textId="77777777" w:rsidR="00807523" w:rsidRPr="00ED797D" w:rsidRDefault="00994452" w:rsidP="00ED797D">
      <w:pPr>
        <w:spacing w:after="360" w:line="480" w:lineRule="auto"/>
        <w:ind w:left="1440"/>
        <w:jc w:val="both"/>
        <w:rPr>
          <w:rFonts w:cs="Arial"/>
          <w:i/>
          <w:iCs/>
          <w:szCs w:val="24"/>
        </w:rPr>
      </w:pPr>
      <w:r w:rsidRPr="00ED797D">
        <w:rPr>
          <w:rFonts w:cs="Arial"/>
          <w:color w:val="000000" w:themeColor="text1"/>
          <w:szCs w:val="24"/>
        </w:rPr>
        <w:t>“</w:t>
      </w:r>
      <w:r w:rsidRPr="00ED797D">
        <w:rPr>
          <w:rFonts w:cs="Arial"/>
          <w:i/>
          <w:iCs/>
          <w:color w:val="000000" w:themeColor="text1"/>
          <w:szCs w:val="24"/>
        </w:rPr>
        <w:t xml:space="preserve">To the extent necessary, the applicants are exempted, in terms of section 7(2)(c) of the Promotion of Administrative Justice Act, 2000, from exhausting their internal remedies; and it is directed that this review may proceed in terms of </w:t>
      </w:r>
      <w:r w:rsidRPr="00ED797D">
        <w:rPr>
          <w:rFonts w:cs="Arial"/>
          <w:i/>
          <w:iCs/>
          <w:szCs w:val="24"/>
        </w:rPr>
        <w:t>section 105 of the Tax Administration Act, 2011.</w:t>
      </w:r>
      <w:r w:rsidR="003C479D" w:rsidRPr="00ED797D">
        <w:rPr>
          <w:rFonts w:cs="Arial"/>
          <w:i/>
          <w:iCs/>
          <w:szCs w:val="24"/>
        </w:rPr>
        <w:t>”</w:t>
      </w:r>
      <w:r w:rsidR="003C479D" w:rsidRPr="00B12D64">
        <w:rPr>
          <w:rStyle w:val="FootnoteReference"/>
          <w:rFonts w:cs="Arial"/>
          <w:i/>
          <w:iCs/>
          <w:szCs w:val="24"/>
        </w:rPr>
        <w:footnoteReference w:id="12"/>
      </w:r>
    </w:p>
    <w:p w14:paraId="794187F3" w14:textId="5B423640" w:rsidR="00C75322" w:rsidRPr="00ED797D" w:rsidRDefault="00ED797D" w:rsidP="00ED797D">
      <w:pPr>
        <w:spacing w:after="360" w:line="480" w:lineRule="auto"/>
        <w:ind w:left="720" w:hanging="720"/>
        <w:jc w:val="both"/>
        <w:rPr>
          <w:rFonts w:cs="Arial"/>
          <w:szCs w:val="24"/>
        </w:rPr>
      </w:pPr>
      <w:r>
        <w:rPr>
          <w:rFonts w:cs="Arial"/>
          <w:szCs w:val="24"/>
        </w:rPr>
        <w:t>[37]</w:t>
      </w:r>
      <w:r>
        <w:rPr>
          <w:rFonts w:cs="Arial"/>
          <w:szCs w:val="24"/>
        </w:rPr>
        <w:tab/>
      </w:r>
      <w:r w:rsidR="00007953" w:rsidRPr="00ED797D">
        <w:rPr>
          <w:rFonts w:cs="Arial"/>
          <w:szCs w:val="24"/>
        </w:rPr>
        <w:t>Even t</w:t>
      </w:r>
      <w:r w:rsidR="00BF0488" w:rsidRPr="00ED797D">
        <w:rPr>
          <w:rFonts w:cs="Arial"/>
          <w:szCs w:val="24"/>
        </w:rPr>
        <w:t>his formulation</w:t>
      </w:r>
      <w:r w:rsidR="00BF2F70" w:rsidRPr="00ED797D">
        <w:rPr>
          <w:rFonts w:cs="Arial"/>
          <w:szCs w:val="24"/>
        </w:rPr>
        <w:t xml:space="preserve"> – with its </w:t>
      </w:r>
      <w:r w:rsidR="007718F4" w:rsidRPr="00ED797D">
        <w:rPr>
          <w:rFonts w:cs="Arial"/>
          <w:szCs w:val="24"/>
        </w:rPr>
        <w:t>‘</w:t>
      </w:r>
      <w:r w:rsidR="002F6718" w:rsidRPr="00ED797D">
        <w:rPr>
          <w:rFonts w:cs="Arial"/>
          <w:i/>
          <w:iCs/>
          <w:szCs w:val="24"/>
        </w:rPr>
        <w:t>extent necessary</w:t>
      </w:r>
      <w:r w:rsidR="007718F4" w:rsidRPr="00ED797D">
        <w:rPr>
          <w:rFonts w:cs="Arial"/>
          <w:i/>
          <w:iCs/>
          <w:szCs w:val="24"/>
        </w:rPr>
        <w:t>’</w:t>
      </w:r>
      <w:r w:rsidR="002F6718" w:rsidRPr="00ED797D">
        <w:rPr>
          <w:rFonts w:cs="Arial"/>
          <w:szCs w:val="24"/>
        </w:rPr>
        <w:t xml:space="preserve"> qualification - </w:t>
      </w:r>
      <w:r w:rsidR="00BF0488" w:rsidRPr="00ED797D">
        <w:rPr>
          <w:rFonts w:cs="Arial"/>
          <w:szCs w:val="24"/>
        </w:rPr>
        <w:t xml:space="preserve">exhibits </w:t>
      </w:r>
      <w:r w:rsidR="00A65CE1" w:rsidRPr="00ED797D">
        <w:rPr>
          <w:rFonts w:cs="Arial"/>
          <w:szCs w:val="24"/>
        </w:rPr>
        <w:t xml:space="preserve">the </w:t>
      </w:r>
      <w:r w:rsidR="00BC3335" w:rsidRPr="00ED797D">
        <w:rPr>
          <w:rFonts w:cs="Arial"/>
          <w:szCs w:val="24"/>
        </w:rPr>
        <w:t xml:space="preserve">taxpayers </w:t>
      </w:r>
      <w:r w:rsidR="00B66998" w:rsidRPr="00ED797D">
        <w:rPr>
          <w:rFonts w:cs="Arial"/>
          <w:szCs w:val="24"/>
        </w:rPr>
        <w:t>ambivalence</w:t>
      </w:r>
      <w:r w:rsidR="000E2B98" w:rsidRPr="00ED797D">
        <w:rPr>
          <w:rFonts w:cs="Arial"/>
          <w:szCs w:val="24"/>
        </w:rPr>
        <w:t xml:space="preserve"> about the need for them to get a direction.</w:t>
      </w:r>
      <w:r w:rsidR="0066650D" w:rsidRPr="00ED797D">
        <w:rPr>
          <w:rFonts w:cs="Arial"/>
          <w:szCs w:val="24"/>
        </w:rPr>
        <w:t xml:space="preserve"> But be that as </w:t>
      </w:r>
      <w:r w:rsidR="0066650D" w:rsidRPr="00ED797D">
        <w:rPr>
          <w:rFonts w:cs="Arial"/>
          <w:szCs w:val="24"/>
        </w:rPr>
        <w:lastRenderedPageBreak/>
        <w:t>it may</w:t>
      </w:r>
      <w:r w:rsidR="002F6718" w:rsidRPr="00ED797D">
        <w:rPr>
          <w:rFonts w:cs="Arial"/>
          <w:szCs w:val="24"/>
        </w:rPr>
        <w:t>,</w:t>
      </w:r>
      <w:r w:rsidR="0066650D" w:rsidRPr="00ED797D">
        <w:rPr>
          <w:rFonts w:cs="Arial"/>
          <w:szCs w:val="24"/>
        </w:rPr>
        <w:t xml:space="preserve"> t</w:t>
      </w:r>
      <w:r w:rsidR="00C75322" w:rsidRPr="00ED797D">
        <w:rPr>
          <w:rFonts w:cs="Arial"/>
          <w:szCs w:val="24"/>
        </w:rPr>
        <w:t>he reluctance is now history</w:t>
      </w:r>
      <w:r w:rsidR="0066650D" w:rsidRPr="00ED797D">
        <w:rPr>
          <w:rFonts w:cs="Arial"/>
          <w:szCs w:val="24"/>
        </w:rPr>
        <w:t>. Granted SARS contended that this change of direction could not be made in a replying affidavit. The taxpayers contended in response that th</w:t>
      </w:r>
      <w:r w:rsidR="00F4262F" w:rsidRPr="00ED797D">
        <w:rPr>
          <w:rFonts w:cs="Arial"/>
          <w:szCs w:val="24"/>
        </w:rPr>
        <w:t>is</w:t>
      </w:r>
      <w:r w:rsidR="0066650D" w:rsidRPr="00ED797D">
        <w:rPr>
          <w:rFonts w:cs="Arial"/>
          <w:szCs w:val="24"/>
        </w:rPr>
        <w:t xml:space="preserve"> was no</w:t>
      </w:r>
      <w:r w:rsidR="007718F4" w:rsidRPr="00ED797D">
        <w:rPr>
          <w:rFonts w:cs="Arial"/>
          <w:szCs w:val="24"/>
        </w:rPr>
        <w:t>t a</w:t>
      </w:r>
      <w:r w:rsidR="0066650D" w:rsidRPr="00ED797D">
        <w:rPr>
          <w:rFonts w:cs="Arial"/>
          <w:szCs w:val="24"/>
        </w:rPr>
        <w:t xml:space="preserve"> new case being made out to justify the amended relief</w:t>
      </w:r>
      <w:r w:rsidR="007718F4" w:rsidRPr="00ED797D">
        <w:rPr>
          <w:rFonts w:cs="Arial"/>
          <w:szCs w:val="24"/>
        </w:rPr>
        <w:t>,</w:t>
      </w:r>
      <w:r w:rsidR="0066650D" w:rsidRPr="00ED797D">
        <w:rPr>
          <w:rFonts w:cs="Arial"/>
          <w:szCs w:val="24"/>
        </w:rPr>
        <w:t xml:space="preserve"> as the same issues had already been raised in the founding papers. I am prepared to accept that this is the case and go on to the fundamental issue which is whether a case for a direction in terms of section 105 or under section </w:t>
      </w:r>
      <w:r w:rsidR="00EB24A1" w:rsidRPr="00ED797D">
        <w:rPr>
          <w:rFonts w:cs="Arial"/>
          <w:szCs w:val="24"/>
        </w:rPr>
        <w:t xml:space="preserve">7(2)(c) of PAJA has been </w:t>
      </w:r>
      <w:r w:rsidR="005E71DA" w:rsidRPr="00ED797D">
        <w:rPr>
          <w:rFonts w:cs="Arial"/>
          <w:szCs w:val="24"/>
        </w:rPr>
        <w:t xml:space="preserve">sufficiently </w:t>
      </w:r>
      <w:r w:rsidR="00EB24A1" w:rsidRPr="00ED797D">
        <w:rPr>
          <w:rFonts w:cs="Arial"/>
          <w:szCs w:val="24"/>
        </w:rPr>
        <w:t>made out.</w:t>
      </w:r>
    </w:p>
    <w:p w14:paraId="62097FAB" w14:textId="147E30B6" w:rsidR="007718F4" w:rsidRPr="00ED797D" w:rsidRDefault="00ED797D" w:rsidP="00ED797D">
      <w:pPr>
        <w:spacing w:after="360" w:line="480" w:lineRule="auto"/>
        <w:ind w:left="720" w:hanging="720"/>
        <w:jc w:val="both"/>
        <w:rPr>
          <w:rFonts w:cs="Arial"/>
          <w:szCs w:val="24"/>
        </w:rPr>
      </w:pPr>
      <w:r>
        <w:rPr>
          <w:rFonts w:cs="Arial"/>
          <w:szCs w:val="24"/>
        </w:rPr>
        <w:t>[38]</w:t>
      </w:r>
      <w:r>
        <w:rPr>
          <w:rFonts w:cs="Arial"/>
          <w:szCs w:val="24"/>
        </w:rPr>
        <w:tab/>
      </w:r>
      <w:r w:rsidR="004C1E9B" w:rsidRPr="00ED797D">
        <w:rPr>
          <w:rFonts w:cs="Arial"/>
          <w:szCs w:val="24"/>
        </w:rPr>
        <w:t>S</w:t>
      </w:r>
      <w:r w:rsidR="00BD61B8" w:rsidRPr="00ED797D">
        <w:rPr>
          <w:rFonts w:cs="Arial"/>
          <w:szCs w:val="24"/>
        </w:rPr>
        <w:t>ection 105</w:t>
      </w:r>
      <w:r w:rsidR="004C1E9B" w:rsidRPr="00ED797D">
        <w:rPr>
          <w:rFonts w:cs="Arial"/>
          <w:szCs w:val="24"/>
        </w:rPr>
        <w:t xml:space="preserve"> does not stipulate what the threshold test should be.</w:t>
      </w:r>
      <w:r w:rsidR="009C1666" w:rsidRPr="00ED797D">
        <w:rPr>
          <w:rFonts w:cs="Arial"/>
          <w:szCs w:val="24"/>
        </w:rPr>
        <w:t xml:space="preserve"> But this has now been clarified in </w:t>
      </w:r>
      <w:r w:rsidR="009C1666" w:rsidRPr="00ED797D">
        <w:rPr>
          <w:rFonts w:cs="Arial"/>
          <w:i/>
          <w:iCs/>
          <w:szCs w:val="24"/>
        </w:rPr>
        <w:t>Rappa</w:t>
      </w:r>
      <w:r w:rsidR="009C1666" w:rsidRPr="00ED797D">
        <w:rPr>
          <w:rFonts w:cs="Arial"/>
          <w:szCs w:val="24"/>
        </w:rPr>
        <w:t>.</w:t>
      </w:r>
    </w:p>
    <w:p w14:paraId="2173AFD8" w14:textId="4D6E258E" w:rsidR="00065043" w:rsidRPr="00ED797D" w:rsidRDefault="00ED797D" w:rsidP="004E08F2">
      <w:pPr>
        <w:spacing w:after="0" w:line="480" w:lineRule="auto"/>
        <w:jc w:val="both"/>
        <w:rPr>
          <w:rFonts w:cs="Arial"/>
          <w:szCs w:val="24"/>
        </w:rPr>
      </w:pPr>
      <w:r>
        <w:rPr>
          <w:rFonts w:cs="Arial"/>
          <w:szCs w:val="24"/>
        </w:rPr>
        <w:t>[39]</w:t>
      </w:r>
      <w:r>
        <w:rPr>
          <w:rFonts w:cs="Arial"/>
          <w:szCs w:val="24"/>
        </w:rPr>
        <w:tab/>
      </w:r>
      <w:r w:rsidR="009C1666" w:rsidRPr="00ED797D">
        <w:rPr>
          <w:rFonts w:cs="Arial"/>
          <w:szCs w:val="24"/>
        </w:rPr>
        <w:t>There t</w:t>
      </w:r>
      <w:r w:rsidR="00BD61B8" w:rsidRPr="00ED797D">
        <w:rPr>
          <w:rFonts w:cs="Arial"/>
          <w:szCs w:val="24"/>
        </w:rPr>
        <w:t>he court held</w:t>
      </w:r>
      <w:r w:rsidR="00F4262F" w:rsidRPr="00ED797D">
        <w:rPr>
          <w:rFonts w:cs="Arial"/>
          <w:szCs w:val="24"/>
        </w:rPr>
        <w:t>, referring to section 105 that</w:t>
      </w:r>
      <w:r w:rsidR="00065043" w:rsidRPr="00ED797D">
        <w:rPr>
          <w:rFonts w:cs="Arial"/>
          <w:szCs w:val="24"/>
        </w:rPr>
        <w:t>:</w:t>
      </w:r>
      <w:r w:rsidR="004E08F2">
        <w:rPr>
          <w:rFonts w:cs="Arial"/>
          <w:szCs w:val="24"/>
        </w:rPr>
        <w:t xml:space="preserve"> </w:t>
      </w:r>
    </w:p>
    <w:p w14:paraId="6B56A478" w14:textId="379BA97D" w:rsidR="000F2951" w:rsidRPr="00B12D64" w:rsidRDefault="00A92EB9" w:rsidP="00ED797D">
      <w:pPr>
        <w:pStyle w:val="ListParagraph"/>
        <w:spacing w:after="360" w:line="480" w:lineRule="auto"/>
        <w:ind w:left="1440"/>
        <w:contextualSpacing w:val="0"/>
        <w:jc w:val="both"/>
        <w:rPr>
          <w:rFonts w:cs="Arial"/>
          <w:szCs w:val="24"/>
        </w:rPr>
      </w:pPr>
      <w:r w:rsidRPr="00B12D64">
        <w:rPr>
          <w:rFonts w:cs="Arial"/>
          <w:i/>
          <w:iCs/>
          <w:color w:val="000000"/>
          <w:szCs w:val="24"/>
        </w:rPr>
        <w:t>“</w:t>
      </w:r>
      <w:r w:rsidR="0003621E" w:rsidRPr="00B12D64">
        <w:rPr>
          <w:rFonts w:cs="Arial"/>
          <w:i/>
          <w:iCs/>
          <w:color w:val="000000"/>
          <w:szCs w:val="24"/>
        </w:rPr>
        <w:t>Its purpose is to make clear that the default rule is that a taxpayer may only dispute an assessment by the objection and appeal procedure under the TAA and may not resort to the high court unless permitted to do so by order of that court.</w:t>
      </w:r>
      <w:r w:rsidR="00B555FC" w:rsidRPr="00B12D64">
        <w:rPr>
          <w:rFonts w:cs="Arial"/>
          <w:i/>
          <w:iCs/>
          <w:color w:val="000000"/>
          <w:szCs w:val="24"/>
        </w:rPr>
        <w:t xml:space="preserve"> </w:t>
      </w:r>
      <w:r w:rsidR="00065043" w:rsidRPr="00B12D64">
        <w:rPr>
          <w:rFonts w:cs="Arial"/>
          <w:i/>
          <w:iCs/>
          <w:color w:val="000000"/>
          <w:szCs w:val="24"/>
          <w:u w:val="single"/>
        </w:rPr>
        <w:t>The high court will only permit such a deviation in exceptional circumstances</w:t>
      </w:r>
      <w:r w:rsidR="00065043" w:rsidRPr="00B12D64">
        <w:rPr>
          <w:rFonts w:cs="Arial"/>
          <w:i/>
          <w:iCs/>
          <w:color w:val="000000"/>
          <w:szCs w:val="24"/>
        </w:rPr>
        <w:t>. This much is clear from the language, context, history and purpose of the section.</w:t>
      </w:r>
      <w:r w:rsidRPr="00B12D64">
        <w:rPr>
          <w:rFonts w:cs="Arial"/>
          <w:i/>
          <w:iCs/>
          <w:color w:val="000000"/>
          <w:szCs w:val="24"/>
        </w:rPr>
        <w:t>”</w:t>
      </w:r>
      <w:r w:rsidR="00BD61B8" w:rsidRPr="00B12D64">
        <w:rPr>
          <w:rFonts w:cs="Arial"/>
          <w:i/>
          <w:iCs/>
          <w:szCs w:val="24"/>
        </w:rPr>
        <w:t xml:space="preserve"> </w:t>
      </w:r>
      <w:r w:rsidR="005874BB" w:rsidRPr="00B12D64">
        <w:rPr>
          <w:rFonts w:cs="Arial"/>
          <w:szCs w:val="24"/>
        </w:rPr>
        <w:t>(</w:t>
      </w:r>
      <w:r w:rsidR="00F4262F" w:rsidRPr="00B12D64">
        <w:rPr>
          <w:rFonts w:cs="Arial"/>
          <w:szCs w:val="24"/>
        </w:rPr>
        <w:t>M</w:t>
      </w:r>
      <w:r w:rsidR="005874BB" w:rsidRPr="00B12D64">
        <w:rPr>
          <w:rFonts w:cs="Arial"/>
          <w:szCs w:val="24"/>
        </w:rPr>
        <w:t>y</w:t>
      </w:r>
      <w:r w:rsidR="000F2951" w:rsidRPr="00B12D64">
        <w:rPr>
          <w:rFonts w:cs="Arial"/>
          <w:szCs w:val="24"/>
        </w:rPr>
        <w:t xml:space="preserve"> underlining) </w:t>
      </w:r>
    </w:p>
    <w:p w14:paraId="520636C8" w14:textId="5D36DA52" w:rsidR="007D0776" w:rsidRPr="004E08F2" w:rsidRDefault="00ED797D" w:rsidP="004E08F2">
      <w:pPr>
        <w:spacing w:after="360" w:line="480" w:lineRule="auto"/>
        <w:ind w:left="720" w:hanging="720"/>
        <w:jc w:val="both"/>
        <w:rPr>
          <w:rFonts w:cs="Arial"/>
          <w:szCs w:val="24"/>
        </w:rPr>
      </w:pPr>
      <w:r>
        <w:rPr>
          <w:rFonts w:cs="Arial"/>
          <w:szCs w:val="24"/>
        </w:rPr>
        <w:t>[40]</w:t>
      </w:r>
      <w:r>
        <w:rPr>
          <w:rFonts w:cs="Arial"/>
          <w:szCs w:val="24"/>
        </w:rPr>
        <w:tab/>
      </w:r>
      <w:r w:rsidR="000F2951" w:rsidRPr="00ED797D">
        <w:rPr>
          <w:rFonts w:cs="Arial"/>
          <w:szCs w:val="24"/>
        </w:rPr>
        <w:t>Similarly</w:t>
      </w:r>
      <w:r w:rsidR="00F4262F" w:rsidRPr="00ED797D">
        <w:rPr>
          <w:rFonts w:cs="Arial"/>
          <w:szCs w:val="24"/>
        </w:rPr>
        <w:t>,</w:t>
      </w:r>
      <w:r w:rsidR="000F2951" w:rsidRPr="00ED797D">
        <w:rPr>
          <w:rFonts w:cs="Arial"/>
          <w:szCs w:val="24"/>
        </w:rPr>
        <w:t xml:space="preserve"> in terms of section 7(2)</w:t>
      </w:r>
      <w:r w:rsidR="007A5541" w:rsidRPr="00ED797D">
        <w:rPr>
          <w:rFonts w:cs="Arial"/>
          <w:szCs w:val="24"/>
        </w:rPr>
        <w:t>(c)</w:t>
      </w:r>
      <w:r w:rsidR="000F2951" w:rsidRPr="00ED797D">
        <w:rPr>
          <w:rFonts w:cs="Arial"/>
          <w:szCs w:val="24"/>
        </w:rPr>
        <w:t xml:space="preserve"> of PAJA the test </w:t>
      </w:r>
      <w:r w:rsidR="00C67322" w:rsidRPr="00ED797D">
        <w:rPr>
          <w:rFonts w:cs="Arial"/>
          <w:szCs w:val="24"/>
        </w:rPr>
        <w:t xml:space="preserve">for a court to exempt a party from following internal remedies is </w:t>
      </w:r>
      <w:r w:rsidR="00F9335D" w:rsidRPr="00ED797D">
        <w:rPr>
          <w:rFonts w:cs="Arial"/>
          <w:szCs w:val="24"/>
        </w:rPr>
        <w:t>“</w:t>
      </w:r>
      <w:r w:rsidR="00C67322" w:rsidRPr="00ED797D">
        <w:rPr>
          <w:rFonts w:cs="Arial"/>
          <w:i/>
          <w:iCs/>
          <w:szCs w:val="24"/>
        </w:rPr>
        <w:t>exceptional circumstances</w:t>
      </w:r>
      <w:r w:rsidR="00F9335D" w:rsidRPr="00ED797D">
        <w:rPr>
          <w:rFonts w:cs="Arial"/>
          <w:i/>
          <w:iCs/>
          <w:szCs w:val="24"/>
        </w:rPr>
        <w:t>”</w:t>
      </w:r>
      <w:r w:rsidR="00C67322" w:rsidRPr="00ED797D">
        <w:rPr>
          <w:rFonts w:cs="Arial"/>
          <w:szCs w:val="24"/>
        </w:rPr>
        <w:t>.</w:t>
      </w:r>
      <w:r w:rsidR="00C34AD4" w:rsidRPr="00ED797D">
        <w:rPr>
          <w:rFonts w:cs="Arial"/>
          <w:szCs w:val="24"/>
        </w:rPr>
        <w:t xml:space="preserve"> Thus</w:t>
      </w:r>
      <w:r w:rsidR="00F9335D" w:rsidRPr="00ED797D">
        <w:rPr>
          <w:rFonts w:cs="Arial"/>
          <w:szCs w:val="24"/>
        </w:rPr>
        <w:t>,</w:t>
      </w:r>
      <w:r w:rsidR="00C34AD4" w:rsidRPr="00ED797D">
        <w:rPr>
          <w:rFonts w:cs="Arial"/>
          <w:szCs w:val="24"/>
        </w:rPr>
        <w:t xml:space="preserve"> although SARS has raised both section 105 of the TAA and section 7(2)(c) of PAJA</w:t>
      </w:r>
      <w:r w:rsidR="00C016EA" w:rsidRPr="00ED797D">
        <w:rPr>
          <w:rFonts w:cs="Arial"/>
          <w:szCs w:val="24"/>
        </w:rPr>
        <w:t>, and formally they constitute separate enquiries</w:t>
      </w:r>
      <w:r w:rsidR="00F9335D" w:rsidRPr="00ED797D">
        <w:rPr>
          <w:rFonts w:cs="Arial"/>
          <w:szCs w:val="24"/>
        </w:rPr>
        <w:t>,</w:t>
      </w:r>
      <w:r w:rsidR="00C34AD4" w:rsidRPr="00ED797D">
        <w:rPr>
          <w:rFonts w:cs="Arial"/>
          <w:szCs w:val="24"/>
        </w:rPr>
        <w:t xml:space="preserve"> the analysis under both </w:t>
      </w:r>
      <w:r w:rsidR="00E6416F" w:rsidRPr="00ED797D">
        <w:rPr>
          <w:rFonts w:cs="Arial"/>
          <w:szCs w:val="24"/>
        </w:rPr>
        <w:t>will be the same</w:t>
      </w:r>
      <w:r w:rsidR="00F4262F" w:rsidRPr="00ED797D">
        <w:rPr>
          <w:rFonts w:cs="Arial"/>
          <w:szCs w:val="24"/>
        </w:rPr>
        <w:t>,</w:t>
      </w:r>
      <w:r w:rsidR="00E6416F" w:rsidRPr="00ED797D">
        <w:rPr>
          <w:rFonts w:cs="Arial"/>
          <w:szCs w:val="24"/>
        </w:rPr>
        <w:t xml:space="preserve"> given the </w:t>
      </w:r>
      <w:r w:rsidR="00A10FF8" w:rsidRPr="00ED797D">
        <w:rPr>
          <w:rFonts w:cs="Arial"/>
          <w:szCs w:val="24"/>
        </w:rPr>
        <w:t xml:space="preserve">identical </w:t>
      </w:r>
      <w:r w:rsidR="00E6416F" w:rsidRPr="00ED797D">
        <w:rPr>
          <w:rFonts w:cs="Arial"/>
          <w:szCs w:val="24"/>
        </w:rPr>
        <w:t>threshold</w:t>
      </w:r>
      <w:r w:rsidR="00F4262F" w:rsidRPr="00ED797D">
        <w:rPr>
          <w:rFonts w:cs="Arial"/>
          <w:szCs w:val="24"/>
        </w:rPr>
        <w:t>,</w:t>
      </w:r>
      <w:r w:rsidR="006C5DCF" w:rsidRPr="00ED797D">
        <w:rPr>
          <w:rFonts w:cs="Arial"/>
          <w:szCs w:val="24"/>
        </w:rPr>
        <w:t xml:space="preserve"> albeit the one emerges from case law and the other from the language of the text</w:t>
      </w:r>
      <w:r w:rsidR="00E6416F" w:rsidRPr="00ED797D">
        <w:rPr>
          <w:rFonts w:cs="Arial"/>
          <w:szCs w:val="24"/>
        </w:rPr>
        <w:t>.</w:t>
      </w:r>
    </w:p>
    <w:p w14:paraId="23F54E78" w14:textId="606EF0D0" w:rsidR="00F4262F" w:rsidRPr="00B12D64" w:rsidRDefault="00F4262F" w:rsidP="00B12D64">
      <w:pPr>
        <w:pStyle w:val="ListParagraph"/>
        <w:spacing w:after="360" w:line="480" w:lineRule="auto"/>
        <w:contextualSpacing w:val="0"/>
        <w:jc w:val="both"/>
        <w:rPr>
          <w:rFonts w:cs="Arial"/>
          <w:b/>
          <w:szCs w:val="24"/>
        </w:rPr>
      </w:pPr>
      <w:r w:rsidRPr="00B12D64">
        <w:rPr>
          <w:rFonts w:cs="Arial"/>
          <w:b/>
          <w:szCs w:val="24"/>
        </w:rPr>
        <w:lastRenderedPageBreak/>
        <w:t>Exceptional circumstances</w:t>
      </w:r>
      <w:r w:rsidR="00845679" w:rsidRPr="00B12D64">
        <w:rPr>
          <w:rFonts w:cs="Arial"/>
          <w:b/>
          <w:szCs w:val="24"/>
        </w:rPr>
        <w:t xml:space="preserve"> – the law</w:t>
      </w:r>
    </w:p>
    <w:p w14:paraId="14D01302" w14:textId="1C625CA3" w:rsidR="00EB24A1" w:rsidRPr="000E4265" w:rsidRDefault="000E4265" w:rsidP="004E08F2">
      <w:pPr>
        <w:spacing w:after="0" w:line="480" w:lineRule="auto"/>
        <w:ind w:left="720" w:hanging="720"/>
        <w:jc w:val="both"/>
        <w:rPr>
          <w:rFonts w:cs="Arial"/>
          <w:szCs w:val="24"/>
        </w:rPr>
      </w:pPr>
      <w:r>
        <w:rPr>
          <w:rFonts w:cs="Arial"/>
          <w:szCs w:val="24"/>
        </w:rPr>
        <w:t>[41]</w:t>
      </w:r>
      <w:r>
        <w:rPr>
          <w:rFonts w:cs="Arial"/>
          <w:szCs w:val="24"/>
        </w:rPr>
        <w:tab/>
      </w:r>
      <w:r w:rsidR="00F4262F" w:rsidRPr="000E4265">
        <w:rPr>
          <w:rFonts w:cs="Arial"/>
          <w:szCs w:val="24"/>
        </w:rPr>
        <w:t xml:space="preserve">I turn now to what case the taxpayers have made out for exceptional </w:t>
      </w:r>
      <w:r w:rsidR="00CE7B21" w:rsidRPr="000E4265">
        <w:rPr>
          <w:rFonts w:cs="Arial"/>
          <w:szCs w:val="24"/>
        </w:rPr>
        <w:t>circumstances. In</w:t>
      </w:r>
      <w:r w:rsidR="0002042D" w:rsidRPr="000E4265">
        <w:rPr>
          <w:rFonts w:cs="Arial"/>
          <w:szCs w:val="24"/>
        </w:rPr>
        <w:t xml:space="preserve"> their replying affidavit the taxpayers set out three </w:t>
      </w:r>
      <w:r w:rsidR="00983359" w:rsidRPr="000E4265">
        <w:rPr>
          <w:rFonts w:cs="Arial"/>
          <w:szCs w:val="24"/>
        </w:rPr>
        <w:t>grounds for exceptional circumstances</w:t>
      </w:r>
      <w:r w:rsidR="00D36D23" w:rsidRPr="000E4265">
        <w:rPr>
          <w:rFonts w:cs="Arial"/>
          <w:szCs w:val="24"/>
        </w:rPr>
        <w:t>. These are</w:t>
      </w:r>
      <w:r w:rsidR="00527D38" w:rsidRPr="000E4265">
        <w:rPr>
          <w:rFonts w:cs="Arial"/>
          <w:szCs w:val="24"/>
        </w:rPr>
        <w:t>:</w:t>
      </w:r>
      <w:r w:rsidR="004E08F2">
        <w:rPr>
          <w:rFonts w:cs="Arial"/>
          <w:szCs w:val="24"/>
        </w:rPr>
        <w:t xml:space="preserve"> </w:t>
      </w:r>
    </w:p>
    <w:p w14:paraId="71CC2E48" w14:textId="43BCCEB8" w:rsidR="000E4265" w:rsidRPr="00941AF5" w:rsidRDefault="00941AF5" w:rsidP="00941AF5">
      <w:pPr>
        <w:spacing w:after="0" w:line="480" w:lineRule="auto"/>
        <w:ind w:left="2154" w:hanging="357"/>
        <w:jc w:val="both"/>
        <w:rPr>
          <w:rFonts w:cs="Arial"/>
          <w:szCs w:val="24"/>
        </w:rPr>
      </w:pPr>
      <w:r>
        <w:rPr>
          <w:rFonts w:cs="Arial"/>
          <w:szCs w:val="24"/>
        </w:rPr>
        <w:t>a)</w:t>
      </w:r>
      <w:r>
        <w:rPr>
          <w:rFonts w:cs="Arial"/>
          <w:szCs w:val="24"/>
        </w:rPr>
        <w:tab/>
      </w:r>
      <w:r w:rsidR="00BF52A4" w:rsidRPr="00941AF5">
        <w:rPr>
          <w:rFonts w:cs="Arial"/>
          <w:szCs w:val="24"/>
        </w:rPr>
        <w:t>The nature of the dispute is purely legal. The High Court is on this argument in as good a position to decide the matter as the Tax Court;</w:t>
      </w:r>
    </w:p>
    <w:p w14:paraId="7018DE69" w14:textId="269741C8" w:rsidR="000E4265" w:rsidRPr="00941AF5" w:rsidRDefault="00941AF5" w:rsidP="00941AF5">
      <w:pPr>
        <w:spacing w:after="0" w:line="480" w:lineRule="auto"/>
        <w:ind w:left="2154" w:hanging="357"/>
        <w:jc w:val="both"/>
        <w:rPr>
          <w:rFonts w:cs="Arial"/>
          <w:szCs w:val="24"/>
        </w:rPr>
      </w:pPr>
      <w:r>
        <w:rPr>
          <w:rFonts w:cs="Arial"/>
          <w:szCs w:val="24"/>
        </w:rPr>
        <w:t>b)</w:t>
      </w:r>
      <w:r>
        <w:rPr>
          <w:rFonts w:cs="Arial"/>
          <w:szCs w:val="24"/>
        </w:rPr>
        <w:tab/>
      </w:r>
      <w:r w:rsidR="00E64640" w:rsidRPr="00941AF5">
        <w:rPr>
          <w:rFonts w:cs="Arial"/>
          <w:szCs w:val="24"/>
        </w:rPr>
        <w:t xml:space="preserve">Both parties have fully argued their legal positions; and </w:t>
      </w:r>
    </w:p>
    <w:p w14:paraId="2D7BAAAB" w14:textId="6DFCFB19" w:rsidR="00E64640" w:rsidRPr="00941AF5" w:rsidRDefault="00941AF5" w:rsidP="00941AF5">
      <w:pPr>
        <w:spacing w:after="360" w:line="480" w:lineRule="auto"/>
        <w:ind w:left="2154" w:hanging="357"/>
        <w:jc w:val="both"/>
        <w:rPr>
          <w:rFonts w:cs="Arial"/>
          <w:szCs w:val="24"/>
        </w:rPr>
      </w:pPr>
      <w:r w:rsidRPr="000E4265">
        <w:rPr>
          <w:rFonts w:cs="Arial"/>
          <w:szCs w:val="24"/>
        </w:rPr>
        <w:t>c)</w:t>
      </w:r>
      <w:r w:rsidRPr="000E4265">
        <w:rPr>
          <w:rFonts w:cs="Arial"/>
          <w:szCs w:val="24"/>
        </w:rPr>
        <w:tab/>
      </w:r>
      <w:r w:rsidR="00E664AA" w:rsidRPr="00941AF5">
        <w:rPr>
          <w:rFonts w:cs="Arial"/>
          <w:szCs w:val="24"/>
        </w:rPr>
        <w:t>The issue in the case are such as to have a bearing on SARS future practice and later cases.</w:t>
      </w:r>
      <w:r w:rsidR="000E4265" w:rsidRPr="00941AF5">
        <w:rPr>
          <w:rFonts w:cs="Arial"/>
          <w:szCs w:val="24"/>
        </w:rPr>
        <w:t xml:space="preserve"> </w:t>
      </w:r>
    </w:p>
    <w:p w14:paraId="7C4F2B06" w14:textId="4B4AEDEE" w:rsidR="00E12890" w:rsidRPr="000E4265" w:rsidRDefault="000E4265" w:rsidP="000E4265">
      <w:pPr>
        <w:spacing w:after="360" w:line="480" w:lineRule="auto"/>
        <w:ind w:left="720" w:hanging="720"/>
        <w:jc w:val="both"/>
        <w:rPr>
          <w:rFonts w:cs="Arial"/>
          <w:szCs w:val="24"/>
        </w:rPr>
      </w:pPr>
      <w:r>
        <w:rPr>
          <w:rFonts w:cs="Arial"/>
          <w:szCs w:val="24"/>
        </w:rPr>
        <w:t>[42]</w:t>
      </w:r>
      <w:r>
        <w:rPr>
          <w:rFonts w:cs="Arial"/>
          <w:szCs w:val="24"/>
        </w:rPr>
        <w:tab/>
      </w:r>
      <w:r w:rsidR="003725A1" w:rsidRPr="000E4265">
        <w:rPr>
          <w:rFonts w:cs="Arial"/>
          <w:szCs w:val="24"/>
        </w:rPr>
        <w:t>Only the first point is relevant. The second point is merely a rationale for not having made the argument in founding papers and the third</w:t>
      </w:r>
      <w:r w:rsidR="008401CF" w:rsidRPr="000E4265">
        <w:rPr>
          <w:rFonts w:cs="Arial"/>
          <w:szCs w:val="24"/>
        </w:rPr>
        <w:t>,</w:t>
      </w:r>
      <w:r w:rsidR="003725A1" w:rsidRPr="000E4265">
        <w:rPr>
          <w:rFonts w:cs="Arial"/>
          <w:szCs w:val="24"/>
        </w:rPr>
        <w:t xml:space="preserve"> is an attempt to </w:t>
      </w:r>
      <w:r w:rsidR="00095DAD" w:rsidRPr="000E4265">
        <w:rPr>
          <w:rFonts w:cs="Arial"/>
          <w:szCs w:val="24"/>
        </w:rPr>
        <w:t xml:space="preserve">add some flesh to the </w:t>
      </w:r>
      <w:r w:rsidR="000214F4" w:rsidRPr="000E4265">
        <w:rPr>
          <w:rFonts w:cs="Arial"/>
          <w:szCs w:val="24"/>
        </w:rPr>
        <w:t>first but</w:t>
      </w:r>
      <w:r w:rsidR="00095DAD" w:rsidRPr="000E4265">
        <w:rPr>
          <w:rFonts w:cs="Arial"/>
          <w:szCs w:val="24"/>
        </w:rPr>
        <w:t xml:space="preserve"> is not distinctive.</w:t>
      </w:r>
    </w:p>
    <w:p w14:paraId="04329246" w14:textId="2A8A4E35" w:rsidR="00B41A20" w:rsidRPr="000E4265" w:rsidRDefault="000E4265" w:rsidP="00530D12">
      <w:pPr>
        <w:spacing w:after="0" w:line="480" w:lineRule="auto"/>
        <w:ind w:left="720" w:hanging="720"/>
        <w:jc w:val="both"/>
        <w:rPr>
          <w:rFonts w:cs="Arial"/>
          <w:szCs w:val="24"/>
        </w:rPr>
      </w:pPr>
      <w:r>
        <w:rPr>
          <w:rFonts w:cs="Arial"/>
          <w:szCs w:val="24"/>
        </w:rPr>
        <w:t>[43]</w:t>
      </w:r>
      <w:r>
        <w:rPr>
          <w:rFonts w:cs="Arial"/>
          <w:szCs w:val="24"/>
        </w:rPr>
        <w:tab/>
      </w:r>
      <w:r w:rsidR="00095DAD" w:rsidRPr="000E4265">
        <w:rPr>
          <w:rFonts w:cs="Arial"/>
          <w:szCs w:val="24"/>
        </w:rPr>
        <w:t>The</w:t>
      </w:r>
      <w:r w:rsidR="00D4732E" w:rsidRPr="000E4265">
        <w:rPr>
          <w:rFonts w:cs="Arial"/>
          <w:szCs w:val="24"/>
        </w:rPr>
        <w:t xml:space="preserve"> nub of the </w:t>
      </w:r>
      <w:r w:rsidR="00095DAD" w:rsidRPr="000E4265">
        <w:rPr>
          <w:rFonts w:cs="Arial"/>
          <w:szCs w:val="24"/>
        </w:rPr>
        <w:t>argument</w:t>
      </w:r>
      <w:r w:rsidR="00397673" w:rsidRPr="000E4265">
        <w:rPr>
          <w:rFonts w:cs="Arial"/>
          <w:szCs w:val="24"/>
        </w:rPr>
        <w:t xml:space="preserve"> then</w:t>
      </w:r>
      <w:r w:rsidR="00095DAD" w:rsidRPr="000E4265">
        <w:rPr>
          <w:rFonts w:cs="Arial"/>
          <w:szCs w:val="24"/>
        </w:rPr>
        <w:t xml:space="preserve"> </w:t>
      </w:r>
      <w:r w:rsidR="00401F67" w:rsidRPr="000E4265">
        <w:rPr>
          <w:rFonts w:cs="Arial"/>
          <w:szCs w:val="24"/>
        </w:rPr>
        <w:t xml:space="preserve">is </w:t>
      </w:r>
      <w:r w:rsidR="00095DAD" w:rsidRPr="000E4265">
        <w:rPr>
          <w:rFonts w:cs="Arial"/>
          <w:szCs w:val="24"/>
        </w:rPr>
        <w:t xml:space="preserve">that </w:t>
      </w:r>
      <w:r w:rsidR="0082092F" w:rsidRPr="000E4265">
        <w:rPr>
          <w:rFonts w:cs="Arial"/>
          <w:szCs w:val="24"/>
        </w:rPr>
        <w:t>if SARS has not complied with the requirements of section 42</w:t>
      </w:r>
      <w:r w:rsidR="00401F67" w:rsidRPr="000E4265">
        <w:rPr>
          <w:rFonts w:cs="Arial"/>
          <w:szCs w:val="24"/>
        </w:rPr>
        <w:t xml:space="preserve">(2)(b) </w:t>
      </w:r>
      <w:r w:rsidR="0082092F" w:rsidRPr="000E4265">
        <w:rPr>
          <w:rFonts w:cs="Arial"/>
          <w:szCs w:val="24"/>
        </w:rPr>
        <w:t>of the TAA</w:t>
      </w:r>
      <w:r w:rsidR="00397673" w:rsidRPr="000E4265">
        <w:rPr>
          <w:rFonts w:cs="Arial"/>
          <w:szCs w:val="24"/>
        </w:rPr>
        <w:t>,</w:t>
      </w:r>
      <w:r w:rsidR="0082092F" w:rsidRPr="000E4265">
        <w:rPr>
          <w:rFonts w:cs="Arial"/>
          <w:szCs w:val="24"/>
        </w:rPr>
        <w:t xml:space="preserve"> </w:t>
      </w:r>
      <w:r w:rsidR="00401F67" w:rsidRPr="000E4265">
        <w:rPr>
          <w:rFonts w:cs="Arial"/>
          <w:szCs w:val="24"/>
        </w:rPr>
        <w:t xml:space="preserve">this is a purely legal issue </w:t>
      </w:r>
      <w:r w:rsidR="00AD135A" w:rsidRPr="000E4265">
        <w:rPr>
          <w:rFonts w:cs="Arial"/>
          <w:szCs w:val="24"/>
        </w:rPr>
        <w:t xml:space="preserve">and hence </w:t>
      </w:r>
      <w:r w:rsidR="00A62D38" w:rsidRPr="000E4265">
        <w:rPr>
          <w:rFonts w:cs="Arial"/>
          <w:szCs w:val="24"/>
        </w:rPr>
        <w:t xml:space="preserve">qualifies as an exceptional circumstance. The taxpayers rely on </w:t>
      </w:r>
      <w:r w:rsidR="00A62D38" w:rsidRPr="000E4265">
        <w:rPr>
          <w:rFonts w:cs="Arial"/>
          <w:i/>
          <w:szCs w:val="24"/>
        </w:rPr>
        <w:t xml:space="preserve">FP </w:t>
      </w:r>
      <w:r w:rsidR="00865BBE" w:rsidRPr="000E4265">
        <w:rPr>
          <w:rFonts w:cs="Arial"/>
          <w:i/>
          <w:szCs w:val="24"/>
        </w:rPr>
        <w:t>(Pty) Ltd</w:t>
      </w:r>
      <w:r w:rsidR="00865BBE" w:rsidRPr="000E4265">
        <w:rPr>
          <w:rFonts w:cs="Arial"/>
          <w:szCs w:val="24"/>
        </w:rPr>
        <w:t xml:space="preserve"> where Cloete J</w:t>
      </w:r>
      <w:r w:rsidR="00F4262F" w:rsidRPr="000E4265">
        <w:rPr>
          <w:rFonts w:cs="Arial"/>
          <w:szCs w:val="24"/>
        </w:rPr>
        <w:t>,</w:t>
      </w:r>
      <w:r w:rsidR="00865BBE" w:rsidRPr="000E4265">
        <w:rPr>
          <w:rFonts w:cs="Arial"/>
          <w:szCs w:val="24"/>
        </w:rPr>
        <w:t xml:space="preserve"> </w:t>
      </w:r>
      <w:r w:rsidR="00752FB9" w:rsidRPr="000E4265">
        <w:rPr>
          <w:rFonts w:cs="Arial"/>
          <w:szCs w:val="24"/>
        </w:rPr>
        <w:t xml:space="preserve">sitting in the Tax Court </w:t>
      </w:r>
      <w:r w:rsidR="001F6B39" w:rsidRPr="000E4265">
        <w:rPr>
          <w:rFonts w:cs="Arial"/>
          <w:szCs w:val="24"/>
        </w:rPr>
        <w:t>held that</w:t>
      </w:r>
      <w:r w:rsidR="00B41A20" w:rsidRPr="000E4265">
        <w:rPr>
          <w:rFonts w:cs="Arial"/>
          <w:szCs w:val="24"/>
        </w:rPr>
        <w:t>:</w:t>
      </w:r>
      <w:r w:rsidR="00530D12">
        <w:rPr>
          <w:rFonts w:cs="Arial"/>
          <w:szCs w:val="24"/>
        </w:rPr>
        <w:t xml:space="preserve"> </w:t>
      </w:r>
    </w:p>
    <w:p w14:paraId="23223C1B" w14:textId="148D454B" w:rsidR="00C8058A" w:rsidRPr="00AF516C" w:rsidRDefault="000E4265" w:rsidP="00AF516C">
      <w:pPr>
        <w:spacing w:after="360" w:line="480" w:lineRule="auto"/>
        <w:ind w:left="2160"/>
        <w:jc w:val="both"/>
        <w:rPr>
          <w:rFonts w:cs="Arial"/>
          <w:szCs w:val="24"/>
        </w:rPr>
      </w:pPr>
      <w:r w:rsidRPr="00AF516C">
        <w:rPr>
          <w:rFonts w:cs="Arial"/>
          <w:i/>
          <w:iCs/>
          <w:szCs w:val="24"/>
        </w:rPr>
        <w:t>“</w:t>
      </w:r>
      <w:r w:rsidR="00F5036A" w:rsidRPr="00AF516C">
        <w:rPr>
          <w:rFonts w:cs="Arial"/>
          <w:i/>
          <w:iCs/>
          <w:szCs w:val="24"/>
        </w:rPr>
        <w:t>In my view the decision in Absa in fact reinforces SARS'</w:t>
      </w:r>
      <w:r w:rsidR="00DC6787" w:rsidRPr="00AF516C">
        <w:rPr>
          <w:rFonts w:cs="Arial"/>
          <w:i/>
          <w:iCs/>
          <w:szCs w:val="24"/>
        </w:rPr>
        <w:t xml:space="preserve"> a</w:t>
      </w:r>
      <w:r w:rsidR="00F5036A" w:rsidRPr="00AF516C">
        <w:rPr>
          <w:rFonts w:cs="Arial"/>
          <w:i/>
          <w:iCs/>
          <w:szCs w:val="24"/>
        </w:rPr>
        <w:t>rgument that the taxpayer's review application to the Tax Court, when there is already an appeal pending before it, constitutes an irregular step. Even i</w:t>
      </w:r>
      <w:r w:rsidR="00DC6787" w:rsidRPr="00AF516C">
        <w:rPr>
          <w:rFonts w:cs="Arial"/>
          <w:i/>
          <w:iCs/>
          <w:szCs w:val="24"/>
        </w:rPr>
        <w:t>f</w:t>
      </w:r>
      <w:r w:rsidR="00F5036A" w:rsidRPr="00AF516C">
        <w:rPr>
          <w:rFonts w:cs="Arial"/>
          <w:i/>
          <w:iCs/>
          <w:szCs w:val="24"/>
        </w:rPr>
        <w:t xml:space="preserve"> one assumes that the </w:t>
      </w:r>
      <w:r w:rsidR="001D1DE8" w:rsidRPr="00AF516C">
        <w:rPr>
          <w:rFonts w:cs="Arial"/>
          <w:i/>
          <w:iCs/>
          <w:szCs w:val="24"/>
        </w:rPr>
        <w:t>taxpayer</w:t>
      </w:r>
      <w:r w:rsidR="00F5036A" w:rsidRPr="00AF516C">
        <w:rPr>
          <w:rFonts w:cs="Arial"/>
          <w:i/>
          <w:iCs/>
          <w:szCs w:val="24"/>
        </w:rPr>
        <w:t xml:space="preserve"> had no </w:t>
      </w:r>
      <w:r w:rsidR="00DC6787" w:rsidRPr="00AF516C">
        <w:rPr>
          <w:rFonts w:cs="Arial"/>
          <w:i/>
          <w:iCs/>
          <w:szCs w:val="24"/>
        </w:rPr>
        <w:t>p</w:t>
      </w:r>
      <w:r w:rsidR="00F5036A" w:rsidRPr="00AF516C">
        <w:rPr>
          <w:rFonts w:cs="Arial"/>
          <w:i/>
          <w:iCs/>
          <w:szCs w:val="24"/>
        </w:rPr>
        <w:t>rocedural control over the re</w:t>
      </w:r>
      <w:r w:rsidR="00251516" w:rsidRPr="00AF516C">
        <w:rPr>
          <w:rFonts w:cs="Arial"/>
          <w:i/>
          <w:iCs/>
          <w:szCs w:val="24"/>
        </w:rPr>
        <w:t>f</w:t>
      </w:r>
      <w:r w:rsidR="00F5036A" w:rsidRPr="00AF516C">
        <w:rPr>
          <w:rFonts w:cs="Arial"/>
          <w:i/>
          <w:iCs/>
          <w:szCs w:val="24"/>
        </w:rPr>
        <w:t>erral o</w:t>
      </w:r>
      <w:r w:rsidR="00251516" w:rsidRPr="00AF516C">
        <w:rPr>
          <w:rFonts w:cs="Arial"/>
          <w:i/>
          <w:iCs/>
          <w:szCs w:val="24"/>
        </w:rPr>
        <w:t>f</w:t>
      </w:r>
      <w:r w:rsidR="00F5036A" w:rsidRPr="00AF516C">
        <w:rPr>
          <w:rFonts w:cs="Arial"/>
          <w:i/>
          <w:iCs/>
          <w:szCs w:val="24"/>
        </w:rPr>
        <w:t xml:space="preserve"> the a</w:t>
      </w:r>
      <w:r w:rsidR="00251516" w:rsidRPr="00AF516C">
        <w:rPr>
          <w:rFonts w:cs="Arial"/>
          <w:i/>
          <w:iCs/>
          <w:szCs w:val="24"/>
        </w:rPr>
        <w:t>pp</w:t>
      </w:r>
      <w:r w:rsidR="00F5036A" w:rsidRPr="00AF516C">
        <w:rPr>
          <w:rFonts w:cs="Arial"/>
          <w:i/>
          <w:iCs/>
          <w:szCs w:val="24"/>
        </w:rPr>
        <w:t>eal to the Tax Court it remained o</w:t>
      </w:r>
      <w:r w:rsidR="00251516" w:rsidRPr="00AF516C">
        <w:rPr>
          <w:rFonts w:cs="Arial"/>
          <w:i/>
          <w:iCs/>
          <w:szCs w:val="24"/>
        </w:rPr>
        <w:t>p</w:t>
      </w:r>
      <w:r w:rsidR="00F5036A" w:rsidRPr="00AF516C">
        <w:rPr>
          <w:rFonts w:cs="Arial"/>
          <w:i/>
          <w:iCs/>
          <w:szCs w:val="24"/>
        </w:rPr>
        <w:t>en to it and still does to a</w:t>
      </w:r>
      <w:r w:rsidR="00CF6094" w:rsidRPr="00AF516C">
        <w:rPr>
          <w:rFonts w:cs="Arial"/>
          <w:i/>
          <w:iCs/>
          <w:szCs w:val="24"/>
        </w:rPr>
        <w:t>pp</w:t>
      </w:r>
      <w:r w:rsidR="00F5036A" w:rsidRPr="00AF516C">
        <w:rPr>
          <w:rFonts w:cs="Arial"/>
          <w:i/>
          <w:iCs/>
          <w:szCs w:val="24"/>
        </w:rPr>
        <w:t>roach the Hi</w:t>
      </w:r>
      <w:r w:rsidR="00CF6094" w:rsidRPr="00AF516C">
        <w:rPr>
          <w:rFonts w:cs="Arial"/>
          <w:i/>
          <w:iCs/>
          <w:szCs w:val="24"/>
        </w:rPr>
        <w:t>g</w:t>
      </w:r>
      <w:r w:rsidR="00F5036A" w:rsidRPr="00AF516C">
        <w:rPr>
          <w:rFonts w:cs="Arial"/>
          <w:i/>
          <w:iCs/>
          <w:szCs w:val="24"/>
        </w:rPr>
        <w:t xml:space="preserve">h Court or leave to institute a review </w:t>
      </w:r>
      <w:r w:rsidR="00F5036A" w:rsidRPr="00AF516C">
        <w:rPr>
          <w:rFonts w:cs="Arial"/>
          <w:i/>
          <w:iCs/>
          <w:szCs w:val="24"/>
        </w:rPr>
        <w:lastRenderedPageBreak/>
        <w:t>a</w:t>
      </w:r>
      <w:r w:rsidR="00B10520" w:rsidRPr="00AF516C">
        <w:rPr>
          <w:rFonts w:cs="Arial"/>
          <w:i/>
          <w:iCs/>
          <w:szCs w:val="24"/>
        </w:rPr>
        <w:t>pp</w:t>
      </w:r>
      <w:r w:rsidR="00F5036A" w:rsidRPr="00AF516C">
        <w:rPr>
          <w:rFonts w:cs="Arial"/>
          <w:i/>
          <w:iCs/>
          <w:szCs w:val="24"/>
        </w:rPr>
        <w:t>lication in that court while simultaneously seeking a stay of the appeal proceedings pending the determination of the review. The tax</w:t>
      </w:r>
      <w:r w:rsidR="00B10520" w:rsidRPr="00AF516C">
        <w:rPr>
          <w:rFonts w:cs="Arial"/>
          <w:i/>
          <w:iCs/>
          <w:szCs w:val="24"/>
        </w:rPr>
        <w:t>p</w:t>
      </w:r>
      <w:r w:rsidR="00F5036A" w:rsidRPr="00AF516C">
        <w:rPr>
          <w:rFonts w:cs="Arial"/>
          <w:i/>
          <w:iCs/>
          <w:szCs w:val="24"/>
        </w:rPr>
        <w:t>a</w:t>
      </w:r>
      <w:r w:rsidR="00B10520" w:rsidRPr="00AF516C">
        <w:rPr>
          <w:rFonts w:cs="Arial"/>
          <w:i/>
          <w:iCs/>
          <w:szCs w:val="24"/>
        </w:rPr>
        <w:t>y</w:t>
      </w:r>
      <w:r w:rsidR="00F5036A" w:rsidRPr="00AF516C">
        <w:rPr>
          <w:rFonts w:cs="Arial"/>
          <w:i/>
          <w:iCs/>
          <w:szCs w:val="24"/>
        </w:rPr>
        <w:t>er's com</w:t>
      </w:r>
      <w:r w:rsidR="00B10520" w:rsidRPr="00AF516C">
        <w:rPr>
          <w:rFonts w:cs="Arial"/>
          <w:i/>
          <w:iCs/>
          <w:szCs w:val="24"/>
        </w:rPr>
        <w:t>p</w:t>
      </w:r>
      <w:r w:rsidR="00F5036A" w:rsidRPr="00AF516C">
        <w:rPr>
          <w:rFonts w:cs="Arial"/>
          <w:i/>
          <w:iCs/>
          <w:szCs w:val="24"/>
        </w:rPr>
        <w:t>laint that it was de</w:t>
      </w:r>
      <w:r w:rsidR="00B10520" w:rsidRPr="00AF516C">
        <w:rPr>
          <w:rFonts w:cs="Arial"/>
          <w:i/>
          <w:iCs/>
          <w:szCs w:val="24"/>
        </w:rPr>
        <w:t>p</w:t>
      </w:r>
      <w:r w:rsidR="00F5036A" w:rsidRPr="00AF516C">
        <w:rPr>
          <w:rFonts w:cs="Arial"/>
          <w:i/>
          <w:iCs/>
          <w:szCs w:val="24"/>
        </w:rPr>
        <w:t>rived o</w:t>
      </w:r>
      <w:r w:rsidR="00B10520" w:rsidRPr="00AF516C">
        <w:rPr>
          <w:rFonts w:cs="Arial"/>
          <w:i/>
          <w:iCs/>
          <w:szCs w:val="24"/>
        </w:rPr>
        <w:t>f</w:t>
      </w:r>
      <w:r w:rsidR="00F5036A" w:rsidRPr="00AF516C">
        <w:rPr>
          <w:rFonts w:cs="Arial"/>
          <w:i/>
          <w:iCs/>
          <w:szCs w:val="24"/>
        </w:rPr>
        <w:t xml:space="preserve"> </w:t>
      </w:r>
      <w:r w:rsidR="00B10520" w:rsidRPr="00AF516C">
        <w:rPr>
          <w:rFonts w:cs="Arial"/>
          <w:i/>
          <w:iCs/>
          <w:szCs w:val="24"/>
        </w:rPr>
        <w:t>f</w:t>
      </w:r>
      <w:r w:rsidR="00F5036A" w:rsidRPr="00AF516C">
        <w:rPr>
          <w:rFonts w:cs="Arial"/>
          <w:i/>
          <w:iCs/>
          <w:szCs w:val="24"/>
        </w:rPr>
        <w:t xml:space="preserve">air administrative action </w:t>
      </w:r>
      <w:r w:rsidR="00B10520" w:rsidRPr="00AF516C">
        <w:rPr>
          <w:rFonts w:cs="Arial"/>
          <w:i/>
          <w:iCs/>
          <w:szCs w:val="24"/>
        </w:rPr>
        <w:t>p</w:t>
      </w:r>
      <w:r w:rsidR="00F5036A" w:rsidRPr="00AF516C">
        <w:rPr>
          <w:rFonts w:cs="Arial"/>
          <w:i/>
          <w:iCs/>
          <w:szCs w:val="24"/>
        </w:rPr>
        <w:t>articular</w:t>
      </w:r>
      <w:r w:rsidR="00ED64EA" w:rsidRPr="00AF516C">
        <w:rPr>
          <w:rFonts w:cs="Arial"/>
          <w:i/>
          <w:iCs/>
          <w:szCs w:val="24"/>
        </w:rPr>
        <w:t>l</w:t>
      </w:r>
      <w:r w:rsidR="00B80577" w:rsidRPr="00AF516C">
        <w:rPr>
          <w:rFonts w:cs="Arial"/>
          <w:i/>
          <w:iCs/>
          <w:szCs w:val="24"/>
        </w:rPr>
        <w:t>y</w:t>
      </w:r>
      <w:r w:rsidR="00F5036A" w:rsidRPr="00AF516C">
        <w:rPr>
          <w:rFonts w:cs="Arial"/>
          <w:i/>
          <w:iCs/>
          <w:szCs w:val="24"/>
        </w:rPr>
        <w:t xml:space="preserve"> in view o</w:t>
      </w:r>
      <w:r w:rsidR="00B10520" w:rsidRPr="00AF516C">
        <w:rPr>
          <w:rFonts w:cs="Arial"/>
          <w:i/>
          <w:iCs/>
          <w:szCs w:val="24"/>
        </w:rPr>
        <w:t>f</w:t>
      </w:r>
      <w:r w:rsidR="00F5036A" w:rsidRPr="00AF516C">
        <w:rPr>
          <w:rFonts w:cs="Arial"/>
          <w:i/>
          <w:iCs/>
          <w:szCs w:val="24"/>
        </w:rPr>
        <w:t xml:space="preserve"> the stance ado</w:t>
      </w:r>
      <w:r w:rsidR="00B80577" w:rsidRPr="00AF516C">
        <w:rPr>
          <w:rFonts w:cs="Arial"/>
          <w:i/>
          <w:iCs/>
          <w:szCs w:val="24"/>
        </w:rPr>
        <w:t>p</w:t>
      </w:r>
      <w:r w:rsidR="00F5036A" w:rsidRPr="00AF516C">
        <w:rPr>
          <w:rFonts w:cs="Arial"/>
          <w:i/>
          <w:iCs/>
          <w:szCs w:val="24"/>
        </w:rPr>
        <w:t>ted b</w:t>
      </w:r>
      <w:r w:rsidR="00B80577" w:rsidRPr="00AF516C">
        <w:rPr>
          <w:rFonts w:cs="Arial"/>
          <w:i/>
          <w:iCs/>
          <w:szCs w:val="24"/>
        </w:rPr>
        <w:t>y</w:t>
      </w:r>
      <w:r w:rsidR="00F5036A" w:rsidRPr="00AF516C">
        <w:rPr>
          <w:rFonts w:cs="Arial"/>
          <w:i/>
          <w:iCs/>
          <w:szCs w:val="24"/>
        </w:rPr>
        <w:t xml:space="preserve"> SARS in res</w:t>
      </w:r>
      <w:r w:rsidR="00B80577" w:rsidRPr="00AF516C">
        <w:rPr>
          <w:rFonts w:cs="Arial"/>
          <w:i/>
          <w:iCs/>
          <w:szCs w:val="24"/>
        </w:rPr>
        <w:t>p</w:t>
      </w:r>
      <w:r w:rsidR="00F5036A" w:rsidRPr="00AF516C">
        <w:rPr>
          <w:rFonts w:cs="Arial"/>
          <w:i/>
          <w:iCs/>
          <w:szCs w:val="24"/>
        </w:rPr>
        <w:t>ect o</w:t>
      </w:r>
      <w:r w:rsidR="00B80577" w:rsidRPr="00AF516C">
        <w:rPr>
          <w:rFonts w:cs="Arial"/>
          <w:i/>
          <w:iCs/>
          <w:szCs w:val="24"/>
        </w:rPr>
        <w:t>f</w:t>
      </w:r>
      <w:r w:rsidR="00F5036A" w:rsidRPr="00AF516C">
        <w:rPr>
          <w:rFonts w:cs="Arial"/>
          <w:i/>
          <w:iCs/>
          <w:szCs w:val="24"/>
        </w:rPr>
        <w:t xml:space="preserve"> s 42 and</w:t>
      </w:r>
      <w:r w:rsidR="000D6551" w:rsidRPr="00AF516C">
        <w:rPr>
          <w:rFonts w:cs="Arial"/>
          <w:i/>
          <w:iCs/>
          <w:szCs w:val="24"/>
        </w:rPr>
        <w:t xml:space="preserve"> </w:t>
      </w:r>
      <w:r w:rsidR="00F5036A" w:rsidRPr="00AF516C">
        <w:rPr>
          <w:rFonts w:cs="Arial"/>
          <w:i/>
          <w:iCs/>
          <w:szCs w:val="24"/>
        </w:rPr>
        <w:t>s I06 o</w:t>
      </w:r>
      <w:r w:rsidR="00397673" w:rsidRPr="00AF516C">
        <w:rPr>
          <w:rFonts w:cs="Arial"/>
          <w:i/>
          <w:iCs/>
          <w:szCs w:val="24"/>
        </w:rPr>
        <w:t>f</w:t>
      </w:r>
      <w:r w:rsidR="00F5036A" w:rsidRPr="00AF516C">
        <w:rPr>
          <w:rFonts w:cs="Arial"/>
          <w:i/>
          <w:iCs/>
          <w:szCs w:val="24"/>
        </w:rPr>
        <w:t xml:space="preserve"> the </w:t>
      </w:r>
      <w:r w:rsidR="00F5036A" w:rsidRPr="00AF516C">
        <w:rPr>
          <w:rFonts w:cs="Arial"/>
          <w:i/>
          <w:iCs/>
          <w:szCs w:val="24"/>
          <w:u w:val="single"/>
        </w:rPr>
        <w:t xml:space="preserve">TAA should </w:t>
      </w:r>
      <w:r w:rsidR="000D6551" w:rsidRPr="00AF516C">
        <w:rPr>
          <w:rFonts w:cs="Arial"/>
          <w:i/>
          <w:iCs/>
          <w:szCs w:val="24"/>
          <w:u w:val="single"/>
        </w:rPr>
        <w:t>q</w:t>
      </w:r>
      <w:r w:rsidR="00F5036A" w:rsidRPr="00AF516C">
        <w:rPr>
          <w:rFonts w:cs="Arial"/>
          <w:i/>
          <w:iCs/>
          <w:szCs w:val="24"/>
          <w:u w:val="single"/>
        </w:rPr>
        <w:t>uali</w:t>
      </w:r>
      <w:r w:rsidR="000D6551" w:rsidRPr="00AF516C">
        <w:rPr>
          <w:rFonts w:cs="Arial"/>
          <w:i/>
          <w:iCs/>
          <w:szCs w:val="24"/>
          <w:u w:val="single"/>
        </w:rPr>
        <w:t>fy</w:t>
      </w:r>
      <w:r w:rsidR="00F5036A" w:rsidRPr="00AF516C">
        <w:rPr>
          <w:rFonts w:cs="Arial"/>
          <w:i/>
          <w:iCs/>
          <w:szCs w:val="24"/>
          <w:u w:val="single"/>
        </w:rPr>
        <w:t xml:space="preserve"> as an 'exce</w:t>
      </w:r>
      <w:r w:rsidR="000D6551" w:rsidRPr="00AF516C">
        <w:rPr>
          <w:rFonts w:cs="Arial"/>
          <w:i/>
          <w:iCs/>
          <w:szCs w:val="24"/>
          <w:u w:val="single"/>
        </w:rPr>
        <w:t>p</w:t>
      </w:r>
      <w:r w:rsidR="00F5036A" w:rsidRPr="00AF516C">
        <w:rPr>
          <w:rFonts w:cs="Arial"/>
          <w:i/>
          <w:iCs/>
          <w:szCs w:val="24"/>
          <w:u w:val="single"/>
        </w:rPr>
        <w:t xml:space="preserve">tional </w:t>
      </w:r>
      <w:r w:rsidR="000D6551" w:rsidRPr="00AF516C">
        <w:rPr>
          <w:rFonts w:cs="Arial"/>
          <w:i/>
          <w:iCs/>
          <w:szCs w:val="24"/>
          <w:u w:val="single"/>
        </w:rPr>
        <w:t>circumstance</w:t>
      </w:r>
      <w:r w:rsidR="00ED64EA" w:rsidRPr="00AF516C">
        <w:rPr>
          <w:rFonts w:cs="Arial"/>
          <w:i/>
          <w:iCs/>
          <w:szCs w:val="24"/>
          <w:u w:val="single"/>
        </w:rPr>
        <w:t>’ si</w:t>
      </w:r>
      <w:r w:rsidR="000D6551" w:rsidRPr="00AF516C">
        <w:rPr>
          <w:rFonts w:cs="Arial"/>
          <w:i/>
          <w:iCs/>
          <w:szCs w:val="24"/>
          <w:u w:val="single"/>
        </w:rPr>
        <w:t>nce</w:t>
      </w:r>
      <w:r w:rsidR="00F5036A" w:rsidRPr="00AF516C">
        <w:rPr>
          <w:rFonts w:cs="Arial"/>
          <w:i/>
          <w:iCs/>
          <w:szCs w:val="24"/>
          <w:u w:val="single"/>
        </w:rPr>
        <w:t xml:space="preserve"> it </w:t>
      </w:r>
      <w:r w:rsidR="00ED64EA" w:rsidRPr="00AF516C">
        <w:rPr>
          <w:rFonts w:cs="Arial"/>
          <w:i/>
          <w:iCs/>
          <w:szCs w:val="24"/>
          <w:u w:val="single"/>
        </w:rPr>
        <w:t>g</w:t>
      </w:r>
      <w:r w:rsidR="00F5036A" w:rsidRPr="00AF516C">
        <w:rPr>
          <w:rFonts w:cs="Arial"/>
          <w:i/>
          <w:iCs/>
          <w:szCs w:val="24"/>
          <w:u w:val="single"/>
        </w:rPr>
        <w:t>oes to the root o</w:t>
      </w:r>
      <w:r w:rsidR="00ED64EA" w:rsidRPr="00AF516C">
        <w:rPr>
          <w:rFonts w:cs="Arial"/>
          <w:i/>
          <w:iCs/>
          <w:szCs w:val="24"/>
          <w:u w:val="single"/>
        </w:rPr>
        <w:t>f</w:t>
      </w:r>
      <w:r w:rsidR="00F5036A" w:rsidRPr="00AF516C">
        <w:rPr>
          <w:rFonts w:cs="Arial"/>
          <w:i/>
          <w:iCs/>
          <w:szCs w:val="24"/>
          <w:u w:val="single"/>
        </w:rPr>
        <w:t xml:space="preserve"> the tax</w:t>
      </w:r>
      <w:r w:rsidR="00903063" w:rsidRPr="00AF516C">
        <w:rPr>
          <w:rFonts w:cs="Arial"/>
          <w:i/>
          <w:iCs/>
          <w:szCs w:val="24"/>
          <w:u w:val="single"/>
        </w:rPr>
        <w:t>p</w:t>
      </w:r>
      <w:r w:rsidR="00F5036A" w:rsidRPr="00AF516C">
        <w:rPr>
          <w:rFonts w:cs="Arial"/>
          <w:i/>
          <w:iCs/>
          <w:szCs w:val="24"/>
          <w:u w:val="single"/>
        </w:rPr>
        <w:t>a</w:t>
      </w:r>
      <w:r w:rsidR="00903063" w:rsidRPr="00AF516C">
        <w:rPr>
          <w:rFonts w:cs="Arial"/>
          <w:i/>
          <w:iCs/>
          <w:szCs w:val="24"/>
          <w:u w:val="single"/>
        </w:rPr>
        <w:t>y</w:t>
      </w:r>
      <w:r w:rsidR="00F5036A" w:rsidRPr="00AF516C">
        <w:rPr>
          <w:rFonts w:cs="Arial"/>
          <w:i/>
          <w:iCs/>
          <w:szCs w:val="24"/>
          <w:u w:val="single"/>
        </w:rPr>
        <w:t>er's constitutionall</w:t>
      </w:r>
      <w:r w:rsidR="00903063" w:rsidRPr="00AF516C">
        <w:rPr>
          <w:rFonts w:cs="Arial"/>
          <w:i/>
          <w:iCs/>
          <w:szCs w:val="24"/>
          <w:u w:val="single"/>
        </w:rPr>
        <w:t>y</w:t>
      </w:r>
      <w:r w:rsidR="00F5036A" w:rsidRPr="00AF516C">
        <w:rPr>
          <w:rFonts w:cs="Arial"/>
          <w:i/>
          <w:iCs/>
          <w:szCs w:val="24"/>
          <w:u w:val="single"/>
        </w:rPr>
        <w:t xml:space="preserve"> entrenched s 33 ri</w:t>
      </w:r>
      <w:r w:rsidR="00CF1E8A" w:rsidRPr="00AF516C">
        <w:rPr>
          <w:rFonts w:cs="Arial"/>
          <w:i/>
          <w:iCs/>
          <w:szCs w:val="24"/>
          <w:u w:val="single"/>
        </w:rPr>
        <w:t>g</w:t>
      </w:r>
      <w:r w:rsidR="00F5036A" w:rsidRPr="00AF516C">
        <w:rPr>
          <w:rFonts w:cs="Arial"/>
          <w:i/>
          <w:iCs/>
          <w:szCs w:val="24"/>
          <w:u w:val="single"/>
        </w:rPr>
        <w:t>ht althou</w:t>
      </w:r>
      <w:r w:rsidR="00CF1E8A" w:rsidRPr="00AF516C">
        <w:rPr>
          <w:rFonts w:cs="Arial"/>
          <w:i/>
          <w:iCs/>
          <w:szCs w:val="24"/>
          <w:u w:val="single"/>
        </w:rPr>
        <w:t>g</w:t>
      </w:r>
      <w:r w:rsidR="00F5036A" w:rsidRPr="00AF516C">
        <w:rPr>
          <w:rFonts w:cs="Arial"/>
          <w:i/>
          <w:iCs/>
          <w:szCs w:val="24"/>
          <w:u w:val="single"/>
        </w:rPr>
        <w:t xml:space="preserve">h it is not </w:t>
      </w:r>
      <w:r w:rsidR="002B66E3">
        <w:rPr>
          <w:rFonts w:cs="Arial"/>
          <w:i/>
          <w:iCs/>
          <w:szCs w:val="24"/>
          <w:u w:val="single"/>
        </w:rPr>
        <w:t>f</w:t>
      </w:r>
      <w:r w:rsidR="00F5036A" w:rsidRPr="00AF516C">
        <w:rPr>
          <w:rFonts w:cs="Arial"/>
          <w:i/>
          <w:iCs/>
          <w:szCs w:val="24"/>
          <w:u w:val="single"/>
        </w:rPr>
        <w:t>or me but the</w:t>
      </w:r>
      <w:r w:rsidR="00CF1E8A" w:rsidRPr="00AF516C">
        <w:rPr>
          <w:rFonts w:cs="Arial"/>
          <w:i/>
          <w:iCs/>
          <w:szCs w:val="24"/>
          <w:u w:val="single"/>
        </w:rPr>
        <w:t xml:space="preserve"> </w:t>
      </w:r>
      <w:r w:rsidR="00F5036A" w:rsidRPr="00AF516C">
        <w:rPr>
          <w:rFonts w:cs="Arial"/>
          <w:i/>
          <w:iCs/>
          <w:szCs w:val="24"/>
          <w:u w:val="single"/>
        </w:rPr>
        <w:t>Hi</w:t>
      </w:r>
      <w:r w:rsidR="00EA068C" w:rsidRPr="00AF516C">
        <w:rPr>
          <w:rFonts w:cs="Arial"/>
          <w:i/>
          <w:iCs/>
          <w:szCs w:val="24"/>
          <w:u w:val="single"/>
        </w:rPr>
        <w:t>g</w:t>
      </w:r>
      <w:r w:rsidR="00F5036A" w:rsidRPr="00AF516C">
        <w:rPr>
          <w:rFonts w:cs="Arial"/>
          <w:i/>
          <w:iCs/>
          <w:szCs w:val="24"/>
          <w:u w:val="single"/>
        </w:rPr>
        <w:t>h Court to</w:t>
      </w:r>
      <w:r w:rsidR="000D6551" w:rsidRPr="00AF516C">
        <w:rPr>
          <w:rFonts w:cs="Arial"/>
          <w:i/>
          <w:iCs/>
          <w:szCs w:val="24"/>
          <w:u w:val="single"/>
        </w:rPr>
        <w:t xml:space="preserve"> </w:t>
      </w:r>
      <w:r w:rsidR="00F5036A" w:rsidRPr="00AF516C">
        <w:rPr>
          <w:rFonts w:cs="Arial"/>
          <w:i/>
          <w:iCs/>
          <w:szCs w:val="24"/>
          <w:u w:val="single"/>
        </w:rPr>
        <w:t>make</w:t>
      </w:r>
      <w:r w:rsidR="00EA068C" w:rsidRPr="00AF516C">
        <w:rPr>
          <w:rFonts w:cs="Arial"/>
          <w:i/>
          <w:iCs/>
          <w:szCs w:val="24"/>
          <w:u w:val="single"/>
        </w:rPr>
        <w:t xml:space="preserve"> </w:t>
      </w:r>
      <w:r w:rsidR="00F5036A" w:rsidRPr="00AF516C">
        <w:rPr>
          <w:rFonts w:cs="Arial"/>
          <w:i/>
          <w:iCs/>
          <w:szCs w:val="24"/>
          <w:u w:val="single"/>
        </w:rPr>
        <w:t>a</w:t>
      </w:r>
      <w:r w:rsidR="00EA068C" w:rsidRPr="00AF516C">
        <w:rPr>
          <w:rFonts w:cs="Arial"/>
          <w:i/>
          <w:iCs/>
          <w:szCs w:val="24"/>
          <w:u w:val="single"/>
        </w:rPr>
        <w:t xml:space="preserve"> </w:t>
      </w:r>
      <w:r w:rsidR="00F5036A" w:rsidRPr="00AF516C">
        <w:rPr>
          <w:rFonts w:cs="Arial"/>
          <w:i/>
          <w:iCs/>
          <w:szCs w:val="24"/>
          <w:u w:val="single"/>
        </w:rPr>
        <w:t>determination</w:t>
      </w:r>
      <w:r w:rsidR="00EA068C" w:rsidRPr="00AF516C">
        <w:rPr>
          <w:rFonts w:cs="Arial"/>
          <w:i/>
          <w:iCs/>
          <w:szCs w:val="24"/>
          <w:u w:val="single"/>
        </w:rPr>
        <w:t xml:space="preserve"> </w:t>
      </w:r>
      <w:r w:rsidR="00F5036A" w:rsidRPr="00AF516C">
        <w:rPr>
          <w:rFonts w:cs="Arial"/>
          <w:i/>
          <w:iCs/>
          <w:szCs w:val="24"/>
          <w:u w:val="single"/>
        </w:rPr>
        <w:t>in this</w:t>
      </w:r>
      <w:r w:rsidR="00EA068C" w:rsidRPr="00AF516C">
        <w:rPr>
          <w:rFonts w:cs="Arial"/>
          <w:i/>
          <w:iCs/>
          <w:szCs w:val="24"/>
          <w:u w:val="single"/>
        </w:rPr>
        <w:t xml:space="preserve"> </w:t>
      </w:r>
      <w:r w:rsidR="00F5036A" w:rsidRPr="00AF516C">
        <w:rPr>
          <w:rFonts w:cs="Arial"/>
          <w:i/>
          <w:iCs/>
          <w:szCs w:val="24"/>
          <w:u w:val="single"/>
        </w:rPr>
        <w:t>re</w:t>
      </w:r>
      <w:r w:rsidR="00EA068C" w:rsidRPr="00AF516C">
        <w:rPr>
          <w:rFonts w:cs="Arial"/>
          <w:i/>
          <w:iCs/>
          <w:szCs w:val="24"/>
          <w:u w:val="single"/>
        </w:rPr>
        <w:t>g</w:t>
      </w:r>
      <w:r w:rsidR="00F5036A" w:rsidRPr="00AF516C">
        <w:rPr>
          <w:rFonts w:cs="Arial"/>
          <w:i/>
          <w:iCs/>
          <w:szCs w:val="24"/>
          <w:u w:val="single"/>
        </w:rPr>
        <w:t>ard.</w:t>
      </w:r>
      <w:r w:rsidR="00F5036A" w:rsidRPr="00AF516C">
        <w:rPr>
          <w:rFonts w:cs="Arial"/>
          <w:i/>
          <w:iCs/>
          <w:szCs w:val="24"/>
        </w:rPr>
        <w:t>"</w:t>
      </w:r>
      <w:r w:rsidR="00477738" w:rsidRPr="00B12D64">
        <w:rPr>
          <w:rStyle w:val="FootnoteReference"/>
          <w:rFonts w:cs="Arial"/>
          <w:i/>
          <w:iCs/>
          <w:szCs w:val="24"/>
        </w:rPr>
        <w:footnoteReference w:id="13"/>
      </w:r>
      <w:r w:rsidR="00AE45F8" w:rsidRPr="00AF516C">
        <w:rPr>
          <w:rFonts w:cs="Arial"/>
          <w:szCs w:val="24"/>
        </w:rPr>
        <w:t xml:space="preserve"> (My underlining)</w:t>
      </w:r>
    </w:p>
    <w:p w14:paraId="7368A5E2" w14:textId="0AA81DE6" w:rsidR="00095DAD" w:rsidRPr="00AF516C" w:rsidRDefault="00AF516C" w:rsidP="00AF516C">
      <w:pPr>
        <w:spacing w:after="360" w:line="480" w:lineRule="auto"/>
        <w:ind w:left="720" w:hanging="720"/>
        <w:jc w:val="both"/>
        <w:rPr>
          <w:rFonts w:cs="Arial"/>
          <w:szCs w:val="24"/>
        </w:rPr>
      </w:pPr>
      <w:r>
        <w:rPr>
          <w:rFonts w:cs="Arial"/>
          <w:szCs w:val="24"/>
        </w:rPr>
        <w:t>[44]</w:t>
      </w:r>
      <w:r>
        <w:rPr>
          <w:rFonts w:cs="Arial"/>
          <w:szCs w:val="24"/>
        </w:rPr>
        <w:tab/>
      </w:r>
      <w:r w:rsidRPr="00AF516C">
        <w:rPr>
          <w:rFonts w:cs="Arial"/>
          <w:szCs w:val="24"/>
        </w:rPr>
        <w:t>T</w:t>
      </w:r>
      <w:r w:rsidR="00DA33E7" w:rsidRPr="00AF516C">
        <w:rPr>
          <w:rFonts w:cs="Arial"/>
          <w:szCs w:val="24"/>
        </w:rPr>
        <w:t xml:space="preserve">he </w:t>
      </w:r>
      <w:r w:rsidR="00DA33E7" w:rsidRPr="00AF516C">
        <w:rPr>
          <w:rFonts w:cs="Arial"/>
          <w:i/>
          <w:iCs/>
          <w:szCs w:val="24"/>
        </w:rPr>
        <w:t>ABSA</w:t>
      </w:r>
      <w:r w:rsidR="00DA33E7" w:rsidRPr="00AF516C">
        <w:rPr>
          <w:rFonts w:cs="Arial"/>
          <w:szCs w:val="24"/>
        </w:rPr>
        <w:t xml:space="preserve"> case that </w:t>
      </w:r>
      <w:r w:rsidR="009346E0" w:rsidRPr="00AF516C">
        <w:rPr>
          <w:rFonts w:cs="Arial"/>
          <w:szCs w:val="24"/>
        </w:rPr>
        <w:t>Cloete J refers to</w:t>
      </w:r>
      <w:r w:rsidR="005118D5" w:rsidRPr="00AF516C">
        <w:rPr>
          <w:rFonts w:cs="Arial"/>
          <w:szCs w:val="24"/>
        </w:rPr>
        <w:t>,</w:t>
      </w:r>
      <w:r w:rsidR="009346E0" w:rsidRPr="00AF516C">
        <w:rPr>
          <w:rFonts w:cs="Arial"/>
          <w:szCs w:val="24"/>
        </w:rPr>
        <w:t xml:space="preserve"> is the decision in this division by Sutherland DJP in </w:t>
      </w:r>
      <w:r w:rsidR="009346E0" w:rsidRPr="00AF516C">
        <w:rPr>
          <w:rFonts w:cs="Arial"/>
          <w:i/>
          <w:iCs/>
          <w:szCs w:val="24"/>
        </w:rPr>
        <w:t xml:space="preserve">ABSA Bank v </w:t>
      </w:r>
      <w:r w:rsidR="00E3556C" w:rsidRPr="00AF516C">
        <w:rPr>
          <w:rFonts w:cs="Arial"/>
          <w:i/>
          <w:iCs/>
          <w:szCs w:val="24"/>
        </w:rPr>
        <w:t>C</w:t>
      </w:r>
      <w:r w:rsidR="009346E0" w:rsidRPr="00AF516C">
        <w:rPr>
          <w:rFonts w:cs="Arial"/>
          <w:i/>
          <w:iCs/>
          <w:szCs w:val="24"/>
        </w:rPr>
        <w:t xml:space="preserve">ommissioner </w:t>
      </w:r>
      <w:r w:rsidR="00E3556C" w:rsidRPr="00AF516C">
        <w:rPr>
          <w:rFonts w:cs="Arial"/>
          <w:i/>
          <w:iCs/>
          <w:szCs w:val="24"/>
        </w:rPr>
        <w:t>for the South African Revenue Services</w:t>
      </w:r>
      <w:r w:rsidR="00B67C82" w:rsidRPr="00AF516C">
        <w:rPr>
          <w:rFonts w:cs="Arial"/>
          <w:szCs w:val="24"/>
        </w:rPr>
        <w:t>.</w:t>
      </w:r>
      <w:r w:rsidR="00AE22F2" w:rsidRPr="00B12D64">
        <w:rPr>
          <w:rStyle w:val="FootnoteReference"/>
          <w:rFonts w:cs="Arial"/>
          <w:szCs w:val="24"/>
        </w:rPr>
        <w:footnoteReference w:id="14"/>
      </w:r>
      <w:r w:rsidR="00B67C82" w:rsidRPr="00AF516C">
        <w:rPr>
          <w:rFonts w:cs="Arial"/>
          <w:szCs w:val="24"/>
        </w:rPr>
        <w:t xml:space="preserve"> That case </w:t>
      </w:r>
      <w:r w:rsidR="000F6FD9" w:rsidRPr="00AF516C">
        <w:rPr>
          <w:rFonts w:cs="Arial"/>
          <w:szCs w:val="24"/>
        </w:rPr>
        <w:t>like the present one concerned the application of a section 80J letter and its aftermath in the form of an assessment. Whilst no challenge to compliance with section 42</w:t>
      </w:r>
      <w:r w:rsidR="005118D5" w:rsidRPr="00AF516C">
        <w:rPr>
          <w:rFonts w:cs="Arial"/>
          <w:szCs w:val="24"/>
        </w:rPr>
        <w:t>(2)(b)</w:t>
      </w:r>
      <w:r w:rsidR="000F6FD9" w:rsidRPr="00AF516C">
        <w:rPr>
          <w:rFonts w:cs="Arial"/>
          <w:szCs w:val="24"/>
        </w:rPr>
        <w:t xml:space="preserve"> was raised</w:t>
      </w:r>
      <w:r w:rsidR="00387466" w:rsidRPr="00AF516C">
        <w:rPr>
          <w:rFonts w:cs="Arial"/>
          <w:szCs w:val="24"/>
        </w:rPr>
        <w:t>,</w:t>
      </w:r>
      <w:r w:rsidR="000F6FD9" w:rsidRPr="00AF516C">
        <w:rPr>
          <w:rFonts w:cs="Arial"/>
          <w:szCs w:val="24"/>
        </w:rPr>
        <w:t xml:space="preserve"> the taxpayer did </w:t>
      </w:r>
      <w:r w:rsidR="00A403C6" w:rsidRPr="00AF516C">
        <w:rPr>
          <w:rFonts w:cs="Arial"/>
          <w:szCs w:val="24"/>
        </w:rPr>
        <w:t xml:space="preserve">seek </w:t>
      </w:r>
      <w:r w:rsidR="00DC0955" w:rsidRPr="00AF516C">
        <w:rPr>
          <w:rFonts w:cs="Arial"/>
          <w:szCs w:val="24"/>
        </w:rPr>
        <w:t xml:space="preserve">the </w:t>
      </w:r>
      <w:r w:rsidR="00A403C6" w:rsidRPr="00AF516C">
        <w:rPr>
          <w:rFonts w:cs="Arial"/>
          <w:szCs w:val="24"/>
        </w:rPr>
        <w:t xml:space="preserve">withdrawal of the 80J notice </w:t>
      </w:r>
      <w:r w:rsidR="00A41068" w:rsidRPr="00AF516C">
        <w:rPr>
          <w:rFonts w:cs="Arial"/>
          <w:szCs w:val="24"/>
        </w:rPr>
        <w:t xml:space="preserve">in terms of section 9 of the TAA. The court found that the dispute between the taxpayer and </w:t>
      </w:r>
      <w:r w:rsidR="00E60D4F" w:rsidRPr="00AF516C">
        <w:rPr>
          <w:rFonts w:cs="Arial"/>
          <w:szCs w:val="24"/>
        </w:rPr>
        <w:t>SARS</w:t>
      </w:r>
      <w:r w:rsidR="002B66E3">
        <w:rPr>
          <w:rFonts w:cs="Arial"/>
          <w:szCs w:val="24"/>
        </w:rPr>
        <w:t>,</w:t>
      </w:r>
      <w:r w:rsidR="00E60D4F" w:rsidRPr="00AF516C">
        <w:rPr>
          <w:rFonts w:cs="Arial"/>
          <w:szCs w:val="24"/>
        </w:rPr>
        <w:t xml:space="preserve"> which turned on whether the taxpayer had knowledge of what SARS construed </w:t>
      </w:r>
      <w:r w:rsidR="002C6006" w:rsidRPr="00AF516C">
        <w:rPr>
          <w:rFonts w:cs="Arial"/>
          <w:szCs w:val="24"/>
        </w:rPr>
        <w:t xml:space="preserve">a </w:t>
      </w:r>
      <w:r w:rsidR="002A1C1C" w:rsidRPr="00AF516C">
        <w:rPr>
          <w:rFonts w:cs="Arial"/>
          <w:szCs w:val="24"/>
        </w:rPr>
        <w:t>tax avoidance</w:t>
      </w:r>
      <w:r w:rsidR="001C0C65" w:rsidRPr="00AF516C">
        <w:rPr>
          <w:rFonts w:cs="Arial"/>
          <w:szCs w:val="24"/>
        </w:rPr>
        <w:t>, was a purely legal dispute</w:t>
      </w:r>
      <w:r w:rsidR="002A1C1C" w:rsidRPr="00AF516C">
        <w:rPr>
          <w:rFonts w:cs="Arial"/>
          <w:szCs w:val="24"/>
        </w:rPr>
        <w:t xml:space="preserve">. </w:t>
      </w:r>
      <w:r w:rsidR="001C0C65" w:rsidRPr="00AF516C">
        <w:rPr>
          <w:rFonts w:cs="Arial"/>
          <w:szCs w:val="24"/>
        </w:rPr>
        <w:t>This was b</w:t>
      </w:r>
      <w:r w:rsidR="002A1C1C" w:rsidRPr="00AF516C">
        <w:rPr>
          <w:rFonts w:cs="Arial"/>
          <w:szCs w:val="24"/>
        </w:rPr>
        <w:t>ecause SARS had accepted that the taxpayer was ignorant in its section 80J notice</w:t>
      </w:r>
      <w:r w:rsidR="008818D5" w:rsidRPr="00AF516C">
        <w:rPr>
          <w:rFonts w:cs="Arial"/>
          <w:szCs w:val="24"/>
        </w:rPr>
        <w:t>, hence</w:t>
      </w:r>
      <w:r w:rsidR="002A1C1C" w:rsidRPr="00AF516C">
        <w:rPr>
          <w:rFonts w:cs="Arial"/>
          <w:szCs w:val="24"/>
        </w:rPr>
        <w:t xml:space="preserve"> the court found that there was no dispute of fact. The case therefore turned purely on a point of law. The court then went on to consider what constituted </w:t>
      </w:r>
      <w:r w:rsidR="005120BB" w:rsidRPr="00AF516C">
        <w:rPr>
          <w:rFonts w:cs="Arial"/>
          <w:szCs w:val="24"/>
        </w:rPr>
        <w:t>exceptional circumstances and concluded that</w:t>
      </w:r>
      <w:r w:rsidR="00E5401A" w:rsidRPr="00AF516C">
        <w:rPr>
          <w:rFonts w:cs="Arial"/>
          <w:szCs w:val="24"/>
        </w:rPr>
        <w:t>:</w:t>
      </w:r>
      <w:r w:rsidR="005120BB" w:rsidRPr="00AF516C">
        <w:rPr>
          <w:rFonts w:cs="Arial"/>
          <w:szCs w:val="24"/>
        </w:rPr>
        <w:t xml:space="preserve"> </w:t>
      </w:r>
      <w:r w:rsidR="00E5401A" w:rsidRPr="00AF516C">
        <w:rPr>
          <w:rFonts w:cs="Arial"/>
          <w:i/>
          <w:iCs/>
          <w:szCs w:val="24"/>
        </w:rPr>
        <w:t>“Exceptional</w:t>
      </w:r>
      <w:r w:rsidR="005120BB" w:rsidRPr="00AF516C">
        <w:rPr>
          <w:rFonts w:cs="Arial"/>
          <w:i/>
          <w:iCs/>
          <w:szCs w:val="24"/>
        </w:rPr>
        <w:t xml:space="preserve"> circumstances </w:t>
      </w:r>
      <w:r w:rsidR="005120BB" w:rsidRPr="00AF516C">
        <w:rPr>
          <w:rFonts w:cs="Arial"/>
          <w:i/>
          <w:iCs/>
          <w:szCs w:val="24"/>
        </w:rPr>
        <w:lastRenderedPageBreak/>
        <w:t xml:space="preserve">include </w:t>
      </w:r>
      <w:r w:rsidR="00D5565C" w:rsidRPr="00AF516C">
        <w:rPr>
          <w:rFonts w:cs="Arial"/>
          <w:i/>
          <w:iCs/>
          <w:szCs w:val="24"/>
        </w:rPr>
        <w:t>a dispute that turns wholly on a point of law.”</w:t>
      </w:r>
      <w:r w:rsidR="00AE22F2" w:rsidRPr="00B12D64">
        <w:rPr>
          <w:rStyle w:val="FootnoteReference"/>
          <w:rFonts w:cs="Arial"/>
          <w:szCs w:val="24"/>
        </w:rPr>
        <w:footnoteReference w:id="15"/>
      </w:r>
      <w:r w:rsidR="0033595A" w:rsidRPr="00AF516C">
        <w:rPr>
          <w:rFonts w:cs="Arial"/>
          <w:i/>
          <w:iCs/>
          <w:szCs w:val="24"/>
        </w:rPr>
        <w:t xml:space="preserve"> </w:t>
      </w:r>
      <w:r w:rsidR="00EA22CE" w:rsidRPr="00AF516C">
        <w:rPr>
          <w:rFonts w:cs="Arial"/>
          <w:szCs w:val="24"/>
        </w:rPr>
        <w:t xml:space="preserve">The court then found it had jurisdiction to review the </w:t>
      </w:r>
      <w:r w:rsidR="00A90F3C" w:rsidRPr="00AF516C">
        <w:rPr>
          <w:rFonts w:cs="Arial"/>
          <w:szCs w:val="24"/>
        </w:rPr>
        <w:t xml:space="preserve">letters of assessment and to review the decision to </w:t>
      </w:r>
      <w:r w:rsidR="00E5401A" w:rsidRPr="00AF516C">
        <w:rPr>
          <w:rFonts w:cs="Arial"/>
          <w:szCs w:val="24"/>
        </w:rPr>
        <w:t>refuse to withdraw the section 80J notices.</w:t>
      </w:r>
    </w:p>
    <w:p w14:paraId="65DAA573" w14:textId="56AB393D" w:rsidR="00481D5C" w:rsidRPr="00AF516C" w:rsidRDefault="00AF516C" w:rsidP="00AF516C">
      <w:pPr>
        <w:spacing w:after="360" w:line="480" w:lineRule="auto"/>
        <w:ind w:left="720" w:hanging="720"/>
        <w:jc w:val="both"/>
        <w:rPr>
          <w:rFonts w:cs="Arial"/>
          <w:szCs w:val="24"/>
        </w:rPr>
      </w:pPr>
      <w:r>
        <w:rPr>
          <w:rFonts w:cs="Arial"/>
          <w:szCs w:val="24"/>
        </w:rPr>
        <w:t>[45]</w:t>
      </w:r>
      <w:r>
        <w:rPr>
          <w:rFonts w:cs="Arial"/>
          <w:szCs w:val="24"/>
        </w:rPr>
        <w:tab/>
      </w:r>
      <w:r w:rsidR="009F1133" w:rsidRPr="00AF516C">
        <w:rPr>
          <w:rFonts w:cs="Arial"/>
          <w:szCs w:val="24"/>
        </w:rPr>
        <w:t xml:space="preserve">But SARS argues that the </w:t>
      </w:r>
      <w:r w:rsidR="009F1133" w:rsidRPr="00AF516C">
        <w:rPr>
          <w:rFonts w:cs="Arial"/>
          <w:i/>
          <w:szCs w:val="24"/>
        </w:rPr>
        <w:t>Rappa</w:t>
      </w:r>
      <w:r w:rsidR="009F1133" w:rsidRPr="00AF516C">
        <w:rPr>
          <w:rFonts w:cs="Arial"/>
          <w:szCs w:val="24"/>
        </w:rPr>
        <w:t xml:space="preserve"> case</w:t>
      </w:r>
      <w:r w:rsidR="001C0C65" w:rsidRPr="00AF516C">
        <w:rPr>
          <w:rFonts w:cs="Arial"/>
          <w:szCs w:val="24"/>
        </w:rPr>
        <w:t>,</w:t>
      </w:r>
      <w:r w:rsidR="009F1133" w:rsidRPr="00AF516C">
        <w:rPr>
          <w:rFonts w:cs="Arial"/>
          <w:szCs w:val="24"/>
        </w:rPr>
        <w:t xml:space="preserve"> decided after the </w:t>
      </w:r>
      <w:r w:rsidR="00B51592" w:rsidRPr="00AF516C">
        <w:rPr>
          <w:rFonts w:cs="Arial"/>
          <w:szCs w:val="24"/>
        </w:rPr>
        <w:t>ABSA decision</w:t>
      </w:r>
      <w:r w:rsidR="001C0C65" w:rsidRPr="00AF516C">
        <w:rPr>
          <w:rFonts w:cs="Arial"/>
          <w:szCs w:val="24"/>
        </w:rPr>
        <w:t>,</w:t>
      </w:r>
      <w:r w:rsidR="00B51592" w:rsidRPr="00AF516C">
        <w:rPr>
          <w:rFonts w:cs="Arial"/>
          <w:szCs w:val="24"/>
        </w:rPr>
        <w:t xml:space="preserve"> puts </w:t>
      </w:r>
      <w:r w:rsidR="009E659E" w:rsidRPr="00AF516C">
        <w:rPr>
          <w:rFonts w:cs="Arial"/>
          <w:szCs w:val="24"/>
        </w:rPr>
        <w:t>an end</w:t>
      </w:r>
      <w:r w:rsidR="00B51592" w:rsidRPr="00AF516C">
        <w:rPr>
          <w:rFonts w:cs="Arial"/>
          <w:szCs w:val="24"/>
        </w:rPr>
        <w:t xml:space="preserve"> to this argument that a pure </w:t>
      </w:r>
      <w:r w:rsidR="00481D5C" w:rsidRPr="00AF516C">
        <w:rPr>
          <w:rFonts w:cs="Arial"/>
          <w:szCs w:val="24"/>
        </w:rPr>
        <w:t xml:space="preserve">dispute </w:t>
      </w:r>
      <w:r w:rsidR="00B51592" w:rsidRPr="00AF516C">
        <w:rPr>
          <w:rFonts w:cs="Arial"/>
          <w:szCs w:val="24"/>
        </w:rPr>
        <w:t xml:space="preserve">of law amounts to </w:t>
      </w:r>
      <w:r w:rsidR="00481D5C" w:rsidRPr="00AF516C">
        <w:rPr>
          <w:rFonts w:cs="Arial"/>
          <w:szCs w:val="24"/>
        </w:rPr>
        <w:t>an exceptional circumstance.</w:t>
      </w:r>
      <w:r w:rsidR="00D87FD1" w:rsidRPr="00AF516C">
        <w:rPr>
          <w:rFonts w:cs="Arial"/>
          <w:szCs w:val="24"/>
        </w:rPr>
        <w:t xml:space="preserve"> </w:t>
      </w:r>
      <w:r w:rsidR="001C0C65" w:rsidRPr="00AF516C">
        <w:rPr>
          <w:rFonts w:cs="Arial"/>
          <w:szCs w:val="24"/>
        </w:rPr>
        <w:t xml:space="preserve">The </w:t>
      </w:r>
      <w:r w:rsidR="006C4CED" w:rsidRPr="00AF516C">
        <w:rPr>
          <w:rFonts w:cs="Arial"/>
          <w:i/>
          <w:szCs w:val="24"/>
        </w:rPr>
        <w:t xml:space="preserve">Rappa </w:t>
      </w:r>
      <w:r w:rsidR="001C0C65" w:rsidRPr="00AF516C">
        <w:rPr>
          <w:rFonts w:cs="Arial"/>
          <w:szCs w:val="24"/>
        </w:rPr>
        <w:t xml:space="preserve">decision makes it clear </w:t>
      </w:r>
      <w:r w:rsidR="006C4CED" w:rsidRPr="00AF516C">
        <w:rPr>
          <w:rFonts w:cs="Arial"/>
          <w:szCs w:val="24"/>
        </w:rPr>
        <w:t xml:space="preserve">that the default position is that tax disputes reside in the specialist tribunals </w:t>
      </w:r>
      <w:r w:rsidR="00D15147" w:rsidRPr="00AF516C">
        <w:rPr>
          <w:rFonts w:cs="Arial"/>
          <w:szCs w:val="24"/>
        </w:rPr>
        <w:t>created by the legislature. Thus</w:t>
      </w:r>
      <w:r w:rsidR="008C7E55" w:rsidRPr="00AF516C">
        <w:rPr>
          <w:rFonts w:cs="Arial"/>
          <w:szCs w:val="24"/>
        </w:rPr>
        <w:t>,</w:t>
      </w:r>
      <w:r w:rsidR="00D15147" w:rsidRPr="00AF516C">
        <w:rPr>
          <w:rFonts w:cs="Arial"/>
          <w:szCs w:val="24"/>
        </w:rPr>
        <w:t xml:space="preserve"> the mere fact that a dispute raises a pure point of law does not</w:t>
      </w:r>
      <w:r w:rsidR="0016708A" w:rsidRPr="00AF516C">
        <w:rPr>
          <w:rFonts w:cs="Arial"/>
          <w:szCs w:val="24"/>
        </w:rPr>
        <w:t>,</w:t>
      </w:r>
      <w:r w:rsidR="00D15147" w:rsidRPr="00AF516C">
        <w:rPr>
          <w:rFonts w:cs="Arial"/>
          <w:szCs w:val="24"/>
        </w:rPr>
        <w:t xml:space="preserve"> of its own</w:t>
      </w:r>
      <w:r w:rsidR="0016708A" w:rsidRPr="00AF516C">
        <w:rPr>
          <w:rFonts w:cs="Arial"/>
          <w:szCs w:val="24"/>
        </w:rPr>
        <w:t>,</w:t>
      </w:r>
      <w:r w:rsidR="00D15147" w:rsidRPr="00AF516C">
        <w:rPr>
          <w:rFonts w:cs="Arial"/>
          <w:szCs w:val="24"/>
        </w:rPr>
        <w:t xml:space="preserve"> create </w:t>
      </w:r>
      <w:r w:rsidR="00AE3E8C" w:rsidRPr="00AF516C">
        <w:rPr>
          <w:rFonts w:cs="Arial"/>
          <w:szCs w:val="24"/>
        </w:rPr>
        <w:t>exceptional circumstances.</w:t>
      </w:r>
    </w:p>
    <w:p w14:paraId="100A13E2" w14:textId="24D59CE0" w:rsidR="004919DF" w:rsidRPr="00AF516C" w:rsidRDefault="00AF516C" w:rsidP="00530D12">
      <w:pPr>
        <w:spacing w:after="0" w:line="480" w:lineRule="auto"/>
        <w:jc w:val="both"/>
        <w:rPr>
          <w:rFonts w:cs="Arial"/>
          <w:szCs w:val="24"/>
        </w:rPr>
      </w:pPr>
      <w:r>
        <w:rPr>
          <w:rFonts w:cs="Arial"/>
          <w:szCs w:val="24"/>
        </w:rPr>
        <w:t>[46]</w:t>
      </w:r>
      <w:r>
        <w:rPr>
          <w:rFonts w:cs="Arial"/>
          <w:szCs w:val="24"/>
        </w:rPr>
        <w:tab/>
      </w:r>
      <w:r w:rsidR="004919DF" w:rsidRPr="00AF516C">
        <w:rPr>
          <w:rFonts w:cs="Arial"/>
          <w:szCs w:val="24"/>
        </w:rPr>
        <w:t xml:space="preserve">As the court </w:t>
      </w:r>
      <w:r w:rsidR="00036411" w:rsidRPr="00AF516C">
        <w:rPr>
          <w:rFonts w:cs="Arial"/>
          <w:szCs w:val="24"/>
        </w:rPr>
        <w:t>explained:</w:t>
      </w:r>
      <w:r w:rsidR="00530D12">
        <w:rPr>
          <w:rFonts w:cs="Arial"/>
          <w:szCs w:val="24"/>
        </w:rPr>
        <w:t xml:space="preserve"> </w:t>
      </w:r>
    </w:p>
    <w:p w14:paraId="19279B94" w14:textId="459B18C9" w:rsidR="00183160" w:rsidRPr="00AF516C" w:rsidRDefault="00AF516C" w:rsidP="00AF516C">
      <w:pPr>
        <w:spacing w:after="360" w:line="480" w:lineRule="auto"/>
        <w:ind w:left="1440"/>
        <w:jc w:val="both"/>
        <w:rPr>
          <w:rFonts w:cs="Arial"/>
          <w:i/>
          <w:iCs/>
          <w:szCs w:val="24"/>
        </w:rPr>
      </w:pPr>
      <w:r w:rsidRPr="00AF516C">
        <w:rPr>
          <w:rFonts w:cs="Arial"/>
          <w:i/>
          <w:iCs/>
          <w:szCs w:val="24"/>
        </w:rPr>
        <w:t>“</w:t>
      </w:r>
      <w:r w:rsidR="00036411" w:rsidRPr="00AF516C">
        <w:rPr>
          <w:rFonts w:cs="Arial"/>
          <w:i/>
          <w:iCs/>
          <w:szCs w:val="24"/>
        </w:rPr>
        <w:t>Rappa contends that it may circumvent the appeal procedure under the TAA by taking the assessments on review to the high court because its attack is directed at the legality of the assessments on grounds of review and not on their merit. But, as I shall endeavour to show, that is no reason, without more, to simply circumvent the appeal procedure, which involves a complete reconsideration of the assessments.</w:t>
      </w:r>
      <w:r w:rsidR="00036411" w:rsidRPr="00B12D64">
        <w:rPr>
          <w:rStyle w:val="FootnoteReference"/>
          <w:rFonts w:cs="Arial"/>
          <w:i/>
          <w:iCs/>
          <w:szCs w:val="24"/>
        </w:rPr>
        <w:footnoteReference w:id="16"/>
      </w:r>
    </w:p>
    <w:p w14:paraId="1F8840BA" w14:textId="64D2E836" w:rsidR="00183160" w:rsidRPr="00AF516C" w:rsidRDefault="00AF516C" w:rsidP="00AF516C">
      <w:pPr>
        <w:spacing w:after="360" w:line="480" w:lineRule="auto"/>
        <w:ind w:left="720" w:hanging="720"/>
        <w:jc w:val="both"/>
        <w:rPr>
          <w:rFonts w:cs="Arial"/>
          <w:szCs w:val="24"/>
        </w:rPr>
      </w:pPr>
      <w:r>
        <w:rPr>
          <w:rFonts w:cs="Arial"/>
          <w:szCs w:val="24"/>
        </w:rPr>
        <w:t>[47]</w:t>
      </w:r>
      <w:r>
        <w:rPr>
          <w:rFonts w:cs="Arial"/>
          <w:szCs w:val="24"/>
        </w:rPr>
        <w:tab/>
      </w:r>
      <w:r w:rsidR="00A67609" w:rsidRPr="00AF516C">
        <w:rPr>
          <w:rFonts w:cs="Arial"/>
          <w:szCs w:val="24"/>
        </w:rPr>
        <w:t xml:space="preserve">In </w:t>
      </w:r>
      <w:r w:rsidR="00A67609" w:rsidRPr="00AF516C">
        <w:rPr>
          <w:rFonts w:cs="Arial"/>
          <w:i/>
          <w:iCs/>
          <w:szCs w:val="24"/>
        </w:rPr>
        <w:t>Rappa</w:t>
      </w:r>
      <w:r w:rsidR="00A67609" w:rsidRPr="00AF516C">
        <w:rPr>
          <w:rFonts w:cs="Arial"/>
          <w:szCs w:val="24"/>
        </w:rPr>
        <w:t xml:space="preserve"> the court went on to consider the case law on the nature of the tax court. </w:t>
      </w:r>
      <w:r w:rsidR="006A51AD" w:rsidRPr="00AF516C">
        <w:rPr>
          <w:rFonts w:cs="Arial"/>
          <w:szCs w:val="24"/>
        </w:rPr>
        <w:t xml:space="preserve">Courts have held that the tax court </w:t>
      </w:r>
      <w:r w:rsidR="00701F96" w:rsidRPr="00AF516C">
        <w:rPr>
          <w:rFonts w:cs="Arial"/>
          <w:szCs w:val="24"/>
        </w:rPr>
        <w:t xml:space="preserve">is not a court of appeal in the ordinary sense. </w:t>
      </w:r>
      <w:r w:rsidR="00701F96" w:rsidRPr="00AF516C">
        <w:rPr>
          <w:rFonts w:cs="Arial"/>
          <w:szCs w:val="24"/>
        </w:rPr>
        <w:lastRenderedPageBreak/>
        <w:t>Instead</w:t>
      </w:r>
      <w:r w:rsidR="00FF1A2D" w:rsidRPr="00AF516C">
        <w:rPr>
          <w:rFonts w:cs="Arial"/>
          <w:szCs w:val="24"/>
        </w:rPr>
        <w:t>,</w:t>
      </w:r>
      <w:r w:rsidR="00701F96" w:rsidRPr="00AF516C">
        <w:rPr>
          <w:rFonts w:cs="Arial"/>
          <w:szCs w:val="24"/>
        </w:rPr>
        <w:t xml:space="preserve"> it is a court of revision </w:t>
      </w:r>
      <w:r w:rsidR="0044174A" w:rsidRPr="00AF516C">
        <w:rPr>
          <w:rFonts w:cs="Arial"/>
          <w:szCs w:val="24"/>
        </w:rPr>
        <w:t>which has powers and functions that are unique</w:t>
      </w:r>
      <w:r w:rsidR="00FF1A2D" w:rsidRPr="00AF516C">
        <w:rPr>
          <w:rFonts w:cs="Arial"/>
          <w:szCs w:val="24"/>
        </w:rPr>
        <w:t xml:space="preserve">. </w:t>
      </w:r>
      <w:r w:rsidR="0044174A" w:rsidRPr="00AF516C">
        <w:rPr>
          <w:rFonts w:cs="Arial"/>
          <w:szCs w:val="24"/>
        </w:rPr>
        <w:t>(</w:t>
      </w:r>
      <w:r w:rsidR="00F678E0" w:rsidRPr="00AF516C">
        <w:rPr>
          <w:rFonts w:cs="Arial"/>
          <w:i/>
          <w:iCs/>
          <w:szCs w:val="24"/>
        </w:rPr>
        <w:t>Africa Cash and Carry v Commissioner, SARS</w:t>
      </w:r>
      <w:r w:rsidR="00A50A0E" w:rsidRPr="00AF516C">
        <w:rPr>
          <w:rFonts w:cs="Arial"/>
          <w:i/>
          <w:iCs/>
          <w:szCs w:val="24"/>
        </w:rPr>
        <w:t>)</w:t>
      </w:r>
      <w:r w:rsidR="00A50A0E" w:rsidRPr="00B12D64">
        <w:rPr>
          <w:rStyle w:val="FootnoteReference"/>
          <w:rFonts w:cs="Arial"/>
          <w:i/>
          <w:iCs/>
          <w:szCs w:val="24"/>
        </w:rPr>
        <w:footnoteReference w:id="17"/>
      </w:r>
    </w:p>
    <w:p w14:paraId="4927EFBE" w14:textId="2147348A" w:rsidR="009C1120" w:rsidRPr="00AF516C" w:rsidRDefault="00AF516C" w:rsidP="00530D12">
      <w:pPr>
        <w:spacing w:after="0" w:line="480" w:lineRule="auto"/>
        <w:jc w:val="both"/>
        <w:rPr>
          <w:rFonts w:cs="Arial"/>
          <w:szCs w:val="24"/>
        </w:rPr>
      </w:pPr>
      <w:r>
        <w:rPr>
          <w:rFonts w:cs="Arial"/>
          <w:szCs w:val="24"/>
        </w:rPr>
        <w:t>[48]</w:t>
      </w:r>
      <w:r>
        <w:rPr>
          <w:rFonts w:cs="Arial"/>
          <w:szCs w:val="24"/>
        </w:rPr>
        <w:tab/>
      </w:r>
      <w:r w:rsidR="009C1120" w:rsidRPr="00AF516C">
        <w:rPr>
          <w:rFonts w:cs="Arial"/>
          <w:szCs w:val="24"/>
        </w:rPr>
        <w:t xml:space="preserve">This analysis led the court in </w:t>
      </w:r>
      <w:r w:rsidR="00A552E9" w:rsidRPr="00AF516C">
        <w:rPr>
          <w:rFonts w:cs="Arial"/>
          <w:szCs w:val="24"/>
        </w:rPr>
        <w:t>Rappa to observe that:</w:t>
      </w:r>
      <w:r w:rsidR="00530D12">
        <w:rPr>
          <w:rFonts w:cs="Arial"/>
          <w:szCs w:val="24"/>
        </w:rPr>
        <w:t xml:space="preserve"> </w:t>
      </w:r>
    </w:p>
    <w:p w14:paraId="1C253380" w14:textId="54717E09" w:rsidR="00A552E9" w:rsidRPr="00AF516C" w:rsidRDefault="00F7123B" w:rsidP="00240CC6">
      <w:pPr>
        <w:spacing w:after="360" w:line="480" w:lineRule="auto"/>
        <w:ind w:left="1440"/>
        <w:jc w:val="both"/>
        <w:rPr>
          <w:rFonts w:cs="Arial"/>
          <w:i/>
          <w:iCs/>
          <w:color w:val="000000"/>
          <w:szCs w:val="24"/>
        </w:rPr>
      </w:pPr>
      <w:r w:rsidRPr="00AF516C">
        <w:rPr>
          <w:rFonts w:cs="Arial"/>
          <w:i/>
          <w:iCs/>
          <w:color w:val="000000"/>
          <w:szCs w:val="24"/>
        </w:rPr>
        <w:t>“</w:t>
      </w:r>
      <w:r w:rsidR="00A552E9" w:rsidRPr="00AF516C">
        <w:rPr>
          <w:rFonts w:cs="Arial"/>
          <w:i/>
          <w:iCs/>
          <w:color w:val="000000"/>
          <w:szCs w:val="24"/>
        </w:rPr>
        <w:t>This wide power of revision of the tax court includes the power to determine the legality of an assessment on grounds of review.</w:t>
      </w:r>
      <w:r w:rsidRPr="00AF516C">
        <w:rPr>
          <w:rFonts w:cs="Arial"/>
          <w:i/>
          <w:iCs/>
          <w:color w:val="000000"/>
          <w:szCs w:val="24"/>
        </w:rPr>
        <w:t>”</w:t>
      </w:r>
      <w:r w:rsidR="00AF516C" w:rsidRPr="00AF516C">
        <w:rPr>
          <w:rFonts w:cs="Arial"/>
          <w:i/>
          <w:iCs/>
          <w:color w:val="000000"/>
          <w:szCs w:val="24"/>
        </w:rPr>
        <w:t xml:space="preserve"> </w:t>
      </w:r>
      <w:r w:rsidR="002E4D98" w:rsidRPr="00B12D64">
        <w:rPr>
          <w:rStyle w:val="FootnoteReference"/>
          <w:rFonts w:cs="Arial"/>
          <w:i/>
          <w:iCs/>
          <w:color w:val="000000"/>
          <w:szCs w:val="24"/>
        </w:rPr>
        <w:footnoteReference w:id="18"/>
      </w:r>
    </w:p>
    <w:p w14:paraId="0577DF94" w14:textId="2BF19A30" w:rsidR="00B6221C" w:rsidRPr="00B12D64" w:rsidRDefault="001B494D" w:rsidP="00AF516C">
      <w:pPr>
        <w:spacing w:after="360" w:line="480" w:lineRule="auto"/>
        <w:ind w:firstLine="720"/>
        <w:jc w:val="both"/>
        <w:rPr>
          <w:rFonts w:cs="Arial"/>
          <w:b/>
          <w:bCs/>
          <w:szCs w:val="24"/>
        </w:rPr>
      </w:pPr>
      <w:r w:rsidRPr="00B12D64">
        <w:rPr>
          <w:rFonts w:cs="Arial"/>
          <w:b/>
          <w:bCs/>
          <w:szCs w:val="24"/>
        </w:rPr>
        <w:t>E</w:t>
      </w:r>
      <w:r w:rsidR="00B6221C" w:rsidRPr="00B12D64">
        <w:rPr>
          <w:rFonts w:cs="Arial"/>
          <w:b/>
          <w:bCs/>
          <w:szCs w:val="24"/>
        </w:rPr>
        <w:t>xceptional circumstances</w:t>
      </w:r>
      <w:r w:rsidR="00845679" w:rsidRPr="00B12D64">
        <w:rPr>
          <w:rFonts w:cs="Arial"/>
          <w:b/>
          <w:bCs/>
          <w:szCs w:val="24"/>
        </w:rPr>
        <w:t xml:space="preserve"> </w:t>
      </w:r>
      <w:r w:rsidR="000D2405" w:rsidRPr="00B12D64">
        <w:rPr>
          <w:rFonts w:cs="Arial"/>
          <w:b/>
          <w:bCs/>
          <w:szCs w:val="24"/>
        </w:rPr>
        <w:t>test post Rappa</w:t>
      </w:r>
    </w:p>
    <w:p w14:paraId="62C8E6F0" w14:textId="6235311A" w:rsidR="0037101E" w:rsidRPr="00AF516C" w:rsidRDefault="00AF516C" w:rsidP="00AF516C">
      <w:pPr>
        <w:spacing w:after="360" w:line="480" w:lineRule="auto"/>
        <w:ind w:left="720" w:hanging="720"/>
        <w:jc w:val="both"/>
        <w:rPr>
          <w:rFonts w:cs="Arial"/>
          <w:szCs w:val="24"/>
        </w:rPr>
      </w:pPr>
      <w:r>
        <w:rPr>
          <w:rFonts w:cs="Arial"/>
          <w:szCs w:val="24"/>
        </w:rPr>
        <w:t>[49]</w:t>
      </w:r>
      <w:r>
        <w:rPr>
          <w:rFonts w:cs="Arial"/>
          <w:szCs w:val="24"/>
        </w:rPr>
        <w:tab/>
      </w:r>
      <w:r w:rsidR="00C6399B" w:rsidRPr="00AF516C">
        <w:rPr>
          <w:rFonts w:cs="Arial"/>
          <w:szCs w:val="24"/>
        </w:rPr>
        <w:t xml:space="preserve">Post Rappa the law is now clear. The default rule is that </w:t>
      </w:r>
      <w:r w:rsidR="0037101E" w:rsidRPr="00AF516C">
        <w:rPr>
          <w:rFonts w:cs="Arial"/>
          <w:szCs w:val="24"/>
        </w:rPr>
        <w:t xml:space="preserve">disputes are to be heard in the tax court. </w:t>
      </w:r>
      <w:r w:rsidR="001C0C65" w:rsidRPr="00AF516C">
        <w:rPr>
          <w:rFonts w:cs="Arial"/>
          <w:szCs w:val="24"/>
        </w:rPr>
        <w:t xml:space="preserve"> This means t</w:t>
      </w:r>
      <w:r w:rsidR="0037101E" w:rsidRPr="00AF516C">
        <w:rPr>
          <w:rFonts w:cs="Arial"/>
          <w:szCs w:val="24"/>
        </w:rPr>
        <w:t>he applicant must make out a case for exceptional circumstances and the mere fact that the case simply raises a question of law does not suffice to constitute an exceptional circumstance.</w:t>
      </w:r>
    </w:p>
    <w:p w14:paraId="50506B8A" w14:textId="6AFB98DD" w:rsidR="0037101E" w:rsidRPr="00AF516C" w:rsidRDefault="00AF516C" w:rsidP="00AF516C">
      <w:pPr>
        <w:spacing w:after="360" w:line="480" w:lineRule="auto"/>
        <w:ind w:left="720" w:hanging="720"/>
        <w:jc w:val="both"/>
        <w:rPr>
          <w:rFonts w:cs="Arial"/>
          <w:szCs w:val="24"/>
        </w:rPr>
      </w:pPr>
      <w:r>
        <w:rPr>
          <w:rFonts w:cs="Arial"/>
          <w:szCs w:val="24"/>
        </w:rPr>
        <w:t>[50]</w:t>
      </w:r>
      <w:r>
        <w:rPr>
          <w:rFonts w:cs="Arial"/>
          <w:szCs w:val="24"/>
        </w:rPr>
        <w:tab/>
      </w:r>
      <w:r w:rsidR="0037101E" w:rsidRPr="00AF516C">
        <w:rPr>
          <w:rFonts w:cs="Arial"/>
          <w:szCs w:val="24"/>
        </w:rPr>
        <w:t xml:space="preserve">The taxpayers as was noted earlier reluctantly made their case out in this point and then only in replying papers. For this </w:t>
      </w:r>
      <w:r w:rsidR="00A22E6E" w:rsidRPr="00AF516C">
        <w:rPr>
          <w:rFonts w:cs="Arial"/>
          <w:szCs w:val="24"/>
        </w:rPr>
        <w:t>reason,</w:t>
      </w:r>
      <w:r w:rsidR="0037101E" w:rsidRPr="00AF516C">
        <w:rPr>
          <w:rFonts w:cs="Arial"/>
          <w:szCs w:val="24"/>
        </w:rPr>
        <w:t xml:space="preserve"> </w:t>
      </w:r>
      <w:r w:rsidR="00A1214A" w:rsidRPr="00AF516C">
        <w:rPr>
          <w:rFonts w:cs="Arial"/>
          <w:szCs w:val="24"/>
        </w:rPr>
        <w:t>as SARS points out</w:t>
      </w:r>
      <w:r w:rsidR="001C0C65" w:rsidRPr="00AF516C">
        <w:rPr>
          <w:rFonts w:cs="Arial"/>
          <w:szCs w:val="24"/>
        </w:rPr>
        <w:t>,</w:t>
      </w:r>
      <w:r w:rsidR="00A1214A" w:rsidRPr="00AF516C">
        <w:rPr>
          <w:rFonts w:cs="Arial"/>
          <w:szCs w:val="24"/>
        </w:rPr>
        <w:t xml:space="preserve"> their arguments have shifted during the course of the case. First</w:t>
      </w:r>
      <w:r w:rsidR="00E029EC" w:rsidRPr="00AF516C">
        <w:rPr>
          <w:rFonts w:cs="Arial"/>
          <w:szCs w:val="24"/>
        </w:rPr>
        <w:t>,</w:t>
      </w:r>
      <w:r w:rsidR="00A1214A" w:rsidRPr="00AF516C">
        <w:rPr>
          <w:rFonts w:cs="Arial"/>
          <w:szCs w:val="24"/>
        </w:rPr>
        <w:t xml:space="preserve"> they had argued </w:t>
      </w:r>
      <w:r w:rsidR="00D0318F" w:rsidRPr="00AF516C">
        <w:rPr>
          <w:rFonts w:cs="Arial"/>
          <w:szCs w:val="24"/>
        </w:rPr>
        <w:t xml:space="preserve">that the tax court lacked review jurisdiction </w:t>
      </w:r>
      <w:r w:rsidR="00B95D64" w:rsidRPr="00AF516C">
        <w:rPr>
          <w:rFonts w:cs="Arial"/>
          <w:szCs w:val="24"/>
        </w:rPr>
        <w:t xml:space="preserve">over the subject matter of the reviews in this matter. That argument was not made subsequently </w:t>
      </w:r>
      <w:r w:rsidR="00343E3A" w:rsidRPr="00AF516C">
        <w:rPr>
          <w:rFonts w:cs="Arial"/>
          <w:szCs w:val="24"/>
        </w:rPr>
        <w:t xml:space="preserve">but what then emerged in the second set of heads of argument </w:t>
      </w:r>
      <w:r w:rsidR="00A22E6E" w:rsidRPr="00AF516C">
        <w:rPr>
          <w:rFonts w:cs="Arial"/>
          <w:szCs w:val="24"/>
        </w:rPr>
        <w:t>is</w:t>
      </w:r>
      <w:r w:rsidR="00AF6F2C" w:rsidRPr="00AF516C">
        <w:rPr>
          <w:rFonts w:cs="Arial"/>
          <w:szCs w:val="24"/>
        </w:rPr>
        <w:t xml:space="preserve"> that even though both courts may have jurisdiction it would be appropriate for the High Court to assume jurisdiction </w:t>
      </w:r>
      <w:r w:rsidR="0048795D" w:rsidRPr="00AF516C">
        <w:rPr>
          <w:rFonts w:cs="Arial"/>
          <w:szCs w:val="24"/>
        </w:rPr>
        <w:t xml:space="preserve">because their review point is good. But as SARS points out </w:t>
      </w:r>
      <w:r w:rsidR="00CA5172" w:rsidRPr="00AF516C">
        <w:rPr>
          <w:rFonts w:cs="Arial"/>
          <w:szCs w:val="24"/>
        </w:rPr>
        <w:t xml:space="preserve">prospects for success do not </w:t>
      </w:r>
      <w:r w:rsidR="00A22E6E" w:rsidRPr="00AF516C">
        <w:rPr>
          <w:rFonts w:cs="Arial"/>
          <w:szCs w:val="24"/>
        </w:rPr>
        <w:t xml:space="preserve">justify failing to </w:t>
      </w:r>
      <w:r w:rsidR="00CA5172" w:rsidRPr="00AF516C">
        <w:rPr>
          <w:rFonts w:cs="Arial"/>
          <w:szCs w:val="24"/>
        </w:rPr>
        <w:t>exhaust internal remedies.</w:t>
      </w:r>
      <w:r w:rsidR="00302A42" w:rsidRPr="00AF516C">
        <w:rPr>
          <w:rFonts w:cs="Arial"/>
          <w:szCs w:val="24"/>
        </w:rPr>
        <w:t xml:space="preserve"> </w:t>
      </w:r>
      <w:r w:rsidR="001C0C65" w:rsidRPr="00AF516C">
        <w:rPr>
          <w:rFonts w:cs="Arial"/>
          <w:szCs w:val="24"/>
        </w:rPr>
        <w:t>Such an</w:t>
      </w:r>
      <w:r w:rsidR="00302A42" w:rsidRPr="00AF516C">
        <w:rPr>
          <w:rFonts w:cs="Arial"/>
          <w:szCs w:val="24"/>
        </w:rPr>
        <w:t xml:space="preserve"> approach was rejected </w:t>
      </w:r>
      <w:r w:rsidR="00302A42" w:rsidRPr="00AF516C">
        <w:rPr>
          <w:rFonts w:cs="Arial"/>
          <w:szCs w:val="24"/>
        </w:rPr>
        <w:lastRenderedPageBreak/>
        <w:t xml:space="preserve">by the SCA in </w:t>
      </w:r>
      <w:r w:rsidR="00302A42" w:rsidRPr="00AF516C">
        <w:rPr>
          <w:rFonts w:cs="Arial"/>
          <w:i/>
          <w:szCs w:val="24"/>
        </w:rPr>
        <w:t xml:space="preserve">Nichol </w:t>
      </w:r>
      <w:r w:rsidR="00AB52C8" w:rsidRPr="00AF516C">
        <w:rPr>
          <w:rFonts w:cs="Arial"/>
          <w:i/>
          <w:szCs w:val="24"/>
        </w:rPr>
        <w:t>and Another v Registrar of Pension Funds and Others</w:t>
      </w:r>
      <w:r w:rsidR="001277E2" w:rsidRPr="00AF516C">
        <w:rPr>
          <w:rFonts w:cs="Arial"/>
          <w:szCs w:val="24"/>
        </w:rPr>
        <w:t>.</w:t>
      </w:r>
      <w:r w:rsidR="001277E2" w:rsidRPr="00B12D64">
        <w:rPr>
          <w:rStyle w:val="FootnoteReference"/>
          <w:rFonts w:cs="Arial"/>
          <w:szCs w:val="24"/>
        </w:rPr>
        <w:footnoteReference w:id="19"/>
      </w:r>
      <w:r w:rsidR="00AB52C8" w:rsidRPr="00AF516C">
        <w:rPr>
          <w:rFonts w:cs="Arial"/>
          <w:szCs w:val="24"/>
        </w:rPr>
        <w:t xml:space="preserve"> </w:t>
      </w:r>
      <w:r w:rsidR="00D8232A" w:rsidRPr="00AF516C">
        <w:rPr>
          <w:rFonts w:cs="Arial"/>
          <w:szCs w:val="24"/>
        </w:rPr>
        <w:t xml:space="preserve"> That case dealt with section 7(2) of PAJA but as a matter of principle it is equally applicable here.</w:t>
      </w:r>
    </w:p>
    <w:p w14:paraId="383A6B9E" w14:textId="4CC1ED37" w:rsidR="00D8232A" w:rsidRPr="00AF516C" w:rsidRDefault="00AF516C" w:rsidP="00530D12">
      <w:pPr>
        <w:spacing w:after="0" w:line="480" w:lineRule="auto"/>
        <w:jc w:val="both"/>
        <w:rPr>
          <w:rFonts w:cs="Arial"/>
          <w:szCs w:val="24"/>
        </w:rPr>
      </w:pPr>
      <w:r>
        <w:rPr>
          <w:rFonts w:cs="Arial"/>
          <w:szCs w:val="24"/>
        </w:rPr>
        <w:t>[51]</w:t>
      </w:r>
      <w:r>
        <w:rPr>
          <w:rFonts w:cs="Arial"/>
          <w:szCs w:val="24"/>
        </w:rPr>
        <w:tab/>
      </w:r>
      <w:r w:rsidR="00D8232A" w:rsidRPr="00AF516C">
        <w:rPr>
          <w:rFonts w:cs="Arial"/>
          <w:szCs w:val="24"/>
        </w:rPr>
        <w:t xml:space="preserve">In </w:t>
      </w:r>
      <w:r w:rsidR="00D8232A" w:rsidRPr="00AF516C">
        <w:rPr>
          <w:rFonts w:cs="Arial"/>
          <w:i/>
          <w:iCs/>
          <w:szCs w:val="24"/>
        </w:rPr>
        <w:t>Nicho</w:t>
      </w:r>
      <w:r w:rsidR="00D8232A" w:rsidRPr="00AF516C">
        <w:rPr>
          <w:rFonts w:cs="Arial"/>
          <w:szCs w:val="24"/>
        </w:rPr>
        <w:t>l the court stated</w:t>
      </w:r>
      <w:r w:rsidR="00F6668D" w:rsidRPr="00AF516C">
        <w:rPr>
          <w:rFonts w:cs="Arial"/>
          <w:szCs w:val="24"/>
        </w:rPr>
        <w:t>:</w:t>
      </w:r>
      <w:r w:rsidR="00D8232A" w:rsidRPr="00AF516C">
        <w:rPr>
          <w:rFonts w:cs="Arial"/>
          <w:szCs w:val="24"/>
        </w:rPr>
        <w:t xml:space="preserve"> </w:t>
      </w:r>
    </w:p>
    <w:p w14:paraId="3D7C3626" w14:textId="5AC46A4B" w:rsidR="00C33D91" w:rsidRPr="00530D12" w:rsidRDefault="00AF516C" w:rsidP="00240CC6">
      <w:pPr>
        <w:spacing w:after="360" w:line="480" w:lineRule="auto"/>
        <w:ind w:left="1440"/>
        <w:jc w:val="both"/>
        <w:rPr>
          <w:rFonts w:cs="Arial"/>
          <w:iCs/>
          <w:szCs w:val="24"/>
        </w:rPr>
      </w:pPr>
      <w:r w:rsidRPr="00AF516C">
        <w:rPr>
          <w:rFonts w:cs="Arial"/>
          <w:i/>
          <w:iCs/>
          <w:szCs w:val="24"/>
        </w:rPr>
        <w:t>“</w:t>
      </w:r>
      <w:r w:rsidR="001844A7" w:rsidRPr="00AF516C">
        <w:rPr>
          <w:rFonts w:cs="Arial"/>
          <w:i/>
          <w:iCs/>
          <w:szCs w:val="24"/>
        </w:rPr>
        <w:t>It is based on the proposition that Nichol is entitled to be exempted from complying with the requirements of s 7(2)(a) of PAJA and exhausting his</w:t>
      </w:r>
      <w:r w:rsidR="0010678A" w:rsidRPr="00AF516C">
        <w:rPr>
          <w:rFonts w:cs="Arial"/>
          <w:i/>
          <w:iCs/>
          <w:szCs w:val="24"/>
        </w:rPr>
        <w:t xml:space="preserve"> </w:t>
      </w:r>
      <w:r w:rsidR="00C8789D" w:rsidRPr="00AF516C">
        <w:rPr>
          <w:rFonts w:cs="Arial"/>
          <w:i/>
          <w:iCs/>
          <w:szCs w:val="24"/>
        </w:rPr>
        <w:t>i</w:t>
      </w:r>
      <w:r w:rsidR="0010678A" w:rsidRPr="00AF516C">
        <w:rPr>
          <w:rFonts w:cs="Arial"/>
          <w:i/>
          <w:iCs/>
          <w:szCs w:val="24"/>
        </w:rPr>
        <w:t xml:space="preserve">nternal remedies </w:t>
      </w:r>
      <w:r w:rsidR="00C8789D" w:rsidRPr="00AF516C">
        <w:rPr>
          <w:rFonts w:cs="Arial"/>
          <w:i/>
          <w:iCs/>
          <w:szCs w:val="24"/>
        </w:rPr>
        <w:t>merely</w:t>
      </w:r>
      <w:r w:rsidR="0010678A" w:rsidRPr="00AF516C">
        <w:rPr>
          <w:rFonts w:cs="Arial"/>
          <w:i/>
          <w:iCs/>
          <w:szCs w:val="24"/>
        </w:rPr>
        <w:t xml:space="preserve"> because —so it is contended — his case on the merits of the main a</w:t>
      </w:r>
      <w:r w:rsidR="00C8789D" w:rsidRPr="00AF516C">
        <w:rPr>
          <w:rFonts w:cs="Arial"/>
          <w:i/>
          <w:iCs/>
          <w:szCs w:val="24"/>
        </w:rPr>
        <w:t>pp</w:t>
      </w:r>
      <w:r w:rsidR="0010678A" w:rsidRPr="00AF516C">
        <w:rPr>
          <w:rFonts w:cs="Arial"/>
          <w:i/>
          <w:iCs/>
          <w:szCs w:val="24"/>
        </w:rPr>
        <w:t xml:space="preserve">lication is </w:t>
      </w:r>
      <w:r w:rsidR="00F916D3" w:rsidRPr="00AF516C">
        <w:rPr>
          <w:rFonts w:cs="Arial"/>
          <w:i/>
          <w:iCs/>
          <w:szCs w:val="24"/>
        </w:rPr>
        <w:t>strong.</w:t>
      </w:r>
      <w:r w:rsidR="0010678A" w:rsidRPr="00AF516C">
        <w:rPr>
          <w:rFonts w:cs="Arial"/>
          <w:i/>
          <w:iCs/>
          <w:szCs w:val="24"/>
        </w:rPr>
        <w:t xml:space="preserve"> This cannot be so. Taken to its logical conclusion, such an approach would defeat the purpose of s 7(2), which requires an applicant for judicial review to have exhausted his or her internal remedies before resorting to review proceedings. </w:t>
      </w:r>
      <w:r w:rsidR="0010678A" w:rsidRPr="00AF516C">
        <w:rPr>
          <w:rFonts w:cs="Arial"/>
          <w:i/>
          <w:iCs/>
          <w:szCs w:val="24"/>
          <w:u w:val="single"/>
        </w:rPr>
        <w:t>Alle</w:t>
      </w:r>
      <w:r w:rsidR="00573092" w:rsidRPr="00AF516C">
        <w:rPr>
          <w:rFonts w:cs="Arial"/>
          <w:i/>
          <w:iCs/>
          <w:szCs w:val="24"/>
          <w:u w:val="single"/>
        </w:rPr>
        <w:t>g</w:t>
      </w:r>
      <w:r w:rsidR="0010678A" w:rsidRPr="00AF516C">
        <w:rPr>
          <w:rFonts w:cs="Arial"/>
          <w:i/>
          <w:iCs/>
          <w:szCs w:val="24"/>
          <w:u w:val="single"/>
        </w:rPr>
        <w:t xml:space="preserve">ations of </w:t>
      </w:r>
      <w:r w:rsidR="00573092" w:rsidRPr="00AF516C">
        <w:rPr>
          <w:rFonts w:cs="Arial"/>
          <w:i/>
          <w:iCs/>
          <w:szCs w:val="24"/>
          <w:u w:val="single"/>
        </w:rPr>
        <w:t>p</w:t>
      </w:r>
      <w:r w:rsidR="0010678A" w:rsidRPr="00AF516C">
        <w:rPr>
          <w:rFonts w:cs="Arial"/>
          <w:i/>
          <w:iCs/>
          <w:szCs w:val="24"/>
          <w:u w:val="single"/>
        </w:rPr>
        <w:t>rocedural or substantive administrative irre</w:t>
      </w:r>
      <w:r w:rsidR="00573092" w:rsidRPr="00AF516C">
        <w:rPr>
          <w:rFonts w:cs="Arial"/>
          <w:i/>
          <w:iCs/>
          <w:szCs w:val="24"/>
          <w:u w:val="single"/>
        </w:rPr>
        <w:t>g</w:t>
      </w:r>
      <w:r w:rsidR="0010678A" w:rsidRPr="00AF516C">
        <w:rPr>
          <w:rFonts w:cs="Arial"/>
          <w:i/>
          <w:iCs/>
          <w:szCs w:val="24"/>
          <w:u w:val="single"/>
        </w:rPr>
        <w:t xml:space="preserve">ularities </w:t>
      </w:r>
      <w:r w:rsidR="00573092" w:rsidRPr="00AF516C">
        <w:rPr>
          <w:rFonts w:cs="Arial"/>
          <w:i/>
          <w:iCs/>
          <w:szCs w:val="24"/>
          <w:u w:val="single"/>
        </w:rPr>
        <w:t>p</w:t>
      </w:r>
      <w:r w:rsidR="0010678A" w:rsidRPr="00AF516C">
        <w:rPr>
          <w:rFonts w:cs="Arial"/>
          <w:i/>
          <w:iCs/>
          <w:szCs w:val="24"/>
          <w:u w:val="single"/>
        </w:rPr>
        <w:t>er se are not 'exce</w:t>
      </w:r>
      <w:r w:rsidR="00573092" w:rsidRPr="00AF516C">
        <w:rPr>
          <w:rFonts w:cs="Arial"/>
          <w:i/>
          <w:iCs/>
          <w:szCs w:val="24"/>
          <w:u w:val="single"/>
        </w:rPr>
        <w:t>p</w:t>
      </w:r>
      <w:r w:rsidR="0010678A" w:rsidRPr="00AF516C">
        <w:rPr>
          <w:rFonts w:cs="Arial"/>
          <w:i/>
          <w:iCs/>
          <w:szCs w:val="24"/>
          <w:u w:val="single"/>
        </w:rPr>
        <w:t>tional'</w:t>
      </w:r>
      <w:r w:rsidR="00F6668D" w:rsidRPr="00AF516C">
        <w:rPr>
          <w:rFonts w:cs="Arial"/>
          <w:i/>
          <w:iCs/>
          <w:szCs w:val="24"/>
          <w:u w:val="single"/>
        </w:rPr>
        <w:t xml:space="preserve"> i</w:t>
      </w:r>
      <w:r w:rsidR="0010678A" w:rsidRPr="00AF516C">
        <w:rPr>
          <w:rFonts w:cs="Arial"/>
          <w:i/>
          <w:iCs/>
          <w:szCs w:val="24"/>
          <w:u w:val="single"/>
        </w:rPr>
        <w:t>n review</w:t>
      </w:r>
      <w:r w:rsidR="004D7842" w:rsidRPr="00AF516C">
        <w:rPr>
          <w:rFonts w:cs="Arial"/>
          <w:i/>
          <w:iCs/>
          <w:szCs w:val="24"/>
          <w:u w:val="single"/>
        </w:rPr>
        <w:t xml:space="preserve"> proceedings</w:t>
      </w:r>
      <w:r w:rsidR="004D7842" w:rsidRPr="00AF516C">
        <w:rPr>
          <w:rFonts w:cs="Arial"/>
          <w:i/>
          <w:iCs/>
          <w:szCs w:val="24"/>
        </w:rPr>
        <w:t>.”</w:t>
      </w:r>
      <w:r w:rsidR="004D7842" w:rsidRPr="00B12D64">
        <w:rPr>
          <w:rStyle w:val="FootnoteReference"/>
          <w:rFonts w:cs="Arial"/>
          <w:i/>
          <w:iCs/>
          <w:szCs w:val="24"/>
        </w:rPr>
        <w:footnoteReference w:id="20"/>
      </w:r>
      <w:r w:rsidR="001C0C65" w:rsidRPr="00AF516C">
        <w:rPr>
          <w:rFonts w:cs="Arial"/>
          <w:i/>
          <w:iCs/>
          <w:szCs w:val="24"/>
        </w:rPr>
        <w:t xml:space="preserve"> </w:t>
      </w:r>
      <w:r w:rsidR="001C0C65" w:rsidRPr="00AF516C">
        <w:rPr>
          <w:rFonts w:cs="Arial"/>
          <w:iCs/>
          <w:szCs w:val="24"/>
        </w:rPr>
        <w:t>(My underlining)</w:t>
      </w:r>
    </w:p>
    <w:p w14:paraId="6E376265" w14:textId="3C2EA7EC" w:rsidR="00EC6ACC" w:rsidRPr="00AF516C" w:rsidRDefault="00AF516C" w:rsidP="00530D12">
      <w:pPr>
        <w:spacing w:after="0" w:line="480" w:lineRule="auto"/>
        <w:ind w:left="720" w:hanging="720"/>
        <w:jc w:val="both"/>
        <w:rPr>
          <w:rFonts w:cs="Arial"/>
          <w:szCs w:val="24"/>
        </w:rPr>
      </w:pPr>
      <w:r>
        <w:rPr>
          <w:rFonts w:cs="Arial"/>
          <w:szCs w:val="24"/>
        </w:rPr>
        <w:t>[52]</w:t>
      </w:r>
      <w:r>
        <w:rPr>
          <w:rFonts w:cs="Arial"/>
          <w:szCs w:val="24"/>
        </w:rPr>
        <w:tab/>
      </w:r>
      <w:r w:rsidR="00E65BF3" w:rsidRPr="00AF516C">
        <w:rPr>
          <w:rFonts w:cs="Arial"/>
          <w:szCs w:val="24"/>
        </w:rPr>
        <w:t>What then are exceptional circumstances</w:t>
      </w:r>
      <w:r w:rsidR="00F264C2" w:rsidRPr="00AF516C">
        <w:rPr>
          <w:rFonts w:cs="Arial"/>
          <w:szCs w:val="24"/>
        </w:rPr>
        <w:t xml:space="preserve"> in this case</w:t>
      </w:r>
      <w:r w:rsidR="00E65BF3" w:rsidRPr="00AF516C">
        <w:rPr>
          <w:rFonts w:cs="Arial"/>
          <w:szCs w:val="24"/>
        </w:rPr>
        <w:t xml:space="preserve">? In </w:t>
      </w:r>
      <w:r w:rsidR="00E65BF3" w:rsidRPr="00AF516C">
        <w:rPr>
          <w:rFonts w:cs="Arial"/>
          <w:i/>
          <w:iCs/>
          <w:szCs w:val="24"/>
        </w:rPr>
        <w:t>Rappa</w:t>
      </w:r>
      <w:r w:rsidR="00E65BF3" w:rsidRPr="00AF516C">
        <w:rPr>
          <w:rFonts w:cs="Arial"/>
          <w:szCs w:val="24"/>
        </w:rPr>
        <w:t xml:space="preserve"> the court quotes the decision of Thring J</w:t>
      </w:r>
      <w:r w:rsidR="007F7AA8" w:rsidRPr="00AF516C">
        <w:rPr>
          <w:rFonts w:cs="Arial"/>
          <w:szCs w:val="24"/>
        </w:rPr>
        <w:t xml:space="preserve"> in </w:t>
      </w:r>
      <w:r w:rsidR="007F7AA8" w:rsidRPr="00AF516C">
        <w:rPr>
          <w:rFonts w:cs="Arial"/>
          <w:i/>
          <w:iCs/>
          <w:szCs w:val="24"/>
        </w:rPr>
        <w:t xml:space="preserve">MV Ais Mamas Seatrans Maritime v Owners, MV Ais </w:t>
      </w:r>
      <w:r w:rsidR="00DB3CE7" w:rsidRPr="00AF516C">
        <w:rPr>
          <w:rFonts w:cs="Arial"/>
          <w:i/>
          <w:iCs/>
          <w:szCs w:val="24"/>
        </w:rPr>
        <w:t>Mamas</w:t>
      </w:r>
      <w:r w:rsidR="00D01366" w:rsidRPr="00AF516C">
        <w:rPr>
          <w:rFonts w:cs="Arial"/>
          <w:i/>
          <w:iCs/>
          <w:szCs w:val="24"/>
        </w:rPr>
        <w:t>,</w:t>
      </w:r>
      <w:r w:rsidR="00DB3CE7" w:rsidRPr="00AF516C">
        <w:rPr>
          <w:rFonts w:cs="Arial"/>
          <w:szCs w:val="24"/>
        </w:rPr>
        <w:t xml:space="preserve"> where</w:t>
      </w:r>
      <w:r w:rsidR="007F7AA8" w:rsidRPr="00AF516C">
        <w:rPr>
          <w:rFonts w:cs="Arial"/>
          <w:szCs w:val="24"/>
        </w:rPr>
        <w:t xml:space="preserve"> the court discussed the </w:t>
      </w:r>
      <w:r w:rsidR="00D01366" w:rsidRPr="00AF516C">
        <w:rPr>
          <w:rFonts w:cs="Arial"/>
          <w:szCs w:val="24"/>
        </w:rPr>
        <w:t>meaning</w:t>
      </w:r>
      <w:r w:rsidR="007F7AA8" w:rsidRPr="00AF516C">
        <w:rPr>
          <w:rFonts w:cs="Arial"/>
          <w:szCs w:val="24"/>
        </w:rPr>
        <w:t>:</w:t>
      </w:r>
      <w:r w:rsidR="00530D12">
        <w:rPr>
          <w:rFonts w:cs="Arial"/>
          <w:szCs w:val="24"/>
        </w:rPr>
        <w:t xml:space="preserve"> </w:t>
      </w:r>
    </w:p>
    <w:p w14:paraId="0423B7D8" w14:textId="77777777" w:rsidR="00AF516C" w:rsidRPr="00240CC6" w:rsidRDefault="00AF516C" w:rsidP="00240CC6">
      <w:pPr>
        <w:spacing w:after="0" w:line="480" w:lineRule="auto"/>
        <w:ind w:left="1440"/>
        <w:jc w:val="both"/>
        <w:rPr>
          <w:rFonts w:cs="Arial"/>
          <w:i/>
          <w:iCs/>
          <w:szCs w:val="24"/>
        </w:rPr>
      </w:pPr>
      <w:r w:rsidRPr="00240CC6">
        <w:rPr>
          <w:rFonts w:cs="Arial"/>
          <w:i/>
          <w:iCs/>
          <w:szCs w:val="24"/>
        </w:rPr>
        <w:t>“</w:t>
      </w:r>
      <w:r w:rsidR="007F7AA8" w:rsidRPr="00240CC6">
        <w:rPr>
          <w:rFonts w:cs="Arial"/>
          <w:i/>
          <w:iCs/>
          <w:szCs w:val="24"/>
        </w:rPr>
        <w:t xml:space="preserve">1. What is ordinarily contemplated by the words "exceptional circumstances" is something out of the ordinary and of an unusual nature; something which is excepted in the sense that the general rule does not apply to it; something uncommon, rare or different... </w:t>
      </w:r>
    </w:p>
    <w:p w14:paraId="0A83E026" w14:textId="598FFE82" w:rsidR="00EC6ACC" w:rsidRPr="0029622F" w:rsidRDefault="007F7AA8" w:rsidP="00293ECE">
      <w:pPr>
        <w:spacing w:after="0" w:line="480" w:lineRule="auto"/>
        <w:ind w:left="1440"/>
        <w:jc w:val="both"/>
        <w:rPr>
          <w:rFonts w:cs="Arial"/>
          <w:i/>
          <w:iCs/>
          <w:szCs w:val="24"/>
        </w:rPr>
      </w:pPr>
      <w:r w:rsidRPr="0029622F">
        <w:rPr>
          <w:rFonts w:cs="Arial"/>
          <w:i/>
          <w:iCs/>
          <w:szCs w:val="24"/>
        </w:rPr>
        <w:lastRenderedPageBreak/>
        <w:t xml:space="preserve">2. To be exceptional the circumstances concerned must arise out of, or be incidental to, the particular case. </w:t>
      </w:r>
    </w:p>
    <w:p w14:paraId="6BE57359" w14:textId="77777777" w:rsidR="00EC6ACC" w:rsidRPr="0029622F" w:rsidRDefault="007F7AA8" w:rsidP="00293ECE">
      <w:pPr>
        <w:spacing w:after="0" w:line="480" w:lineRule="auto"/>
        <w:ind w:left="1440"/>
        <w:jc w:val="both"/>
        <w:rPr>
          <w:rFonts w:cs="Arial"/>
          <w:i/>
          <w:iCs/>
          <w:szCs w:val="24"/>
        </w:rPr>
      </w:pPr>
      <w:r w:rsidRPr="0029622F">
        <w:rPr>
          <w:rFonts w:cs="Arial"/>
          <w:i/>
          <w:iCs/>
          <w:szCs w:val="24"/>
        </w:rPr>
        <w:t>3. Whether or not exceptional circumstances exist is not a decision which depends upon the exercise of a judicial discretion: their existence or otherwise is a matter of fact which the Court must decide accordingly.</w:t>
      </w:r>
    </w:p>
    <w:p w14:paraId="76D42601" w14:textId="6E8FB740" w:rsidR="00C33D91" w:rsidRPr="0029622F" w:rsidRDefault="007F7AA8" w:rsidP="00293ECE">
      <w:pPr>
        <w:spacing w:after="360" w:line="480" w:lineRule="auto"/>
        <w:ind w:left="1440"/>
        <w:jc w:val="both"/>
        <w:rPr>
          <w:rFonts w:cs="Arial"/>
          <w:i/>
          <w:iCs/>
          <w:szCs w:val="24"/>
        </w:rPr>
      </w:pPr>
      <w:r w:rsidRPr="0029622F">
        <w:rPr>
          <w:rFonts w:cs="Arial"/>
          <w:i/>
          <w:iCs/>
          <w:szCs w:val="24"/>
        </w:rPr>
        <w:t>4. Depending on the context in which it is used, the word 'exceptional'</w:t>
      </w:r>
      <w:r w:rsidR="00EC6ACC" w:rsidRPr="0029622F">
        <w:rPr>
          <w:rFonts w:cs="Arial"/>
          <w:i/>
          <w:iCs/>
          <w:szCs w:val="24"/>
        </w:rPr>
        <w:t xml:space="preserve"> </w:t>
      </w:r>
      <w:r w:rsidR="002B66E3">
        <w:rPr>
          <w:rFonts w:cs="Arial"/>
          <w:i/>
          <w:iCs/>
          <w:szCs w:val="24"/>
        </w:rPr>
        <w:t>h</w:t>
      </w:r>
      <w:r w:rsidRPr="0029622F">
        <w:rPr>
          <w:rFonts w:cs="Arial"/>
          <w:i/>
          <w:iCs/>
          <w:szCs w:val="24"/>
        </w:rPr>
        <w:t>as two shades of meaning: the primary meaning is unusual or different; the secondary meaning is markedly unusual or specially different.</w:t>
      </w:r>
      <w:r w:rsidR="00DB3CE7" w:rsidRPr="0029622F">
        <w:rPr>
          <w:rFonts w:cs="Arial"/>
          <w:i/>
          <w:iCs/>
          <w:szCs w:val="24"/>
        </w:rPr>
        <w:t>”</w:t>
      </w:r>
      <w:r w:rsidR="00DB3CE7" w:rsidRPr="00B12D64">
        <w:rPr>
          <w:rStyle w:val="FootnoteReference"/>
          <w:rFonts w:cs="Arial"/>
          <w:i/>
          <w:iCs/>
          <w:szCs w:val="24"/>
        </w:rPr>
        <w:footnoteReference w:id="21"/>
      </w:r>
      <w:r w:rsidR="00AF516C" w:rsidRPr="0029622F">
        <w:rPr>
          <w:rFonts w:cs="Arial"/>
          <w:i/>
          <w:iCs/>
          <w:szCs w:val="24"/>
        </w:rPr>
        <w:t xml:space="preserve"> </w:t>
      </w:r>
    </w:p>
    <w:p w14:paraId="7F89E098" w14:textId="2D4E14DE" w:rsidR="00C2489A" w:rsidRPr="00AF516C" w:rsidRDefault="00AF516C" w:rsidP="00293ECE">
      <w:pPr>
        <w:spacing w:after="0" w:line="480" w:lineRule="auto"/>
        <w:ind w:left="720" w:hanging="720"/>
        <w:jc w:val="both"/>
        <w:rPr>
          <w:rFonts w:cs="Arial"/>
          <w:szCs w:val="24"/>
        </w:rPr>
      </w:pPr>
      <w:r>
        <w:rPr>
          <w:rFonts w:cs="Arial"/>
          <w:szCs w:val="24"/>
        </w:rPr>
        <w:t>[53]</w:t>
      </w:r>
      <w:r>
        <w:rPr>
          <w:rFonts w:cs="Arial"/>
          <w:szCs w:val="24"/>
        </w:rPr>
        <w:tab/>
      </w:r>
      <w:r w:rsidR="00A70152" w:rsidRPr="00AF516C">
        <w:rPr>
          <w:rFonts w:cs="Arial"/>
          <w:szCs w:val="24"/>
        </w:rPr>
        <w:t>The shifting sands of the taxpayers</w:t>
      </w:r>
      <w:r w:rsidR="001C0C65" w:rsidRPr="00AF516C">
        <w:rPr>
          <w:rFonts w:cs="Arial"/>
          <w:szCs w:val="24"/>
        </w:rPr>
        <w:t>’</w:t>
      </w:r>
      <w:r w:rsidR="00A70152" w:rsidRPr="00AF516C">
        <w:rPr>
          <w:rFonts w:cs="Arial"/>
          <w:szCs w:val="24"/>
        </w:rPr>
        <w:t xml:space="preserve"> arguments in this matter </w:t>
      </w:r>
      <w:r w:rsidR="00570CA2" w:rsidRPr="00AF516C">
        <w:rPr>
          <w:rFonts w:cs="Arial"/>
          <w:szCs w:val="24"/>
        </w:rPr>
        <w:t>can be summarised as follows</w:t>
      </w:r>
      <w:r w:rsidR="00A70152" w:rsidRPr="00AF516C">
        <w:rPr>
          <w:rFonts w:cs="Arial"/>
          <w:szCs w:val="24"/>
        </w:rPr>
        <w:t>:</w:t>
      </w:r>
      <w:r w:rsidR="00293ECE">
        <w:rPr>
          <w:rFonts w:cs="Arial"/>
          <w:szCs w:val="24"/>
        </w:rPr>
        <w:t xml:space="preserve"> </w:t>
      </w:r>
    </w:p>
    <w:p w14:paraId="37540B75" w14:textId="455A1094" w:rsidR="0014405A" w:rsidRPr="00941AF5" w:rsidRDefault="00941AF5" w:rsidP="00941AF5">
      <w:pPr>
        <w:spacing w:after="120" w:line="480" w:lineRule="auto"/>
        <w:ind w:left="2154" w:hanging="357"/>
        <w:jc w:val="both"/>
        <w:rPr>
          <w:rFonts w:cs="Arial"/>
          <w:color w:val="000000" w:themeColor="text1"/>
          <w:szCs w:val="24"/>
        </w:rPr>
      </w:pPr>
      <w:r>
        <w:rPr>
          <w:rFonts w:cs="Arial"/>
          <w:color w:val="000000" w:themeColor="text1"/>
          <w:szCs w:val="24"/>
        </w:rPr>
        <w:t>a)</w:t>
      </w:r>
      <w:r>
        <w:rPr>
          <w:rFonts w:cs="Arial"/>
          <w:color w:val="000000" w:themeColor="text1"/>
          <w:szCs w:val="24"/>
        </w:rPr>
        <w:tab/>
      </w:r>
      <w:r w:rsidR="00AE5E4A" w:rsidRPr="00941AF5">
        <w:rPr>
          <w:rFonts w:cs="Arial"/>
          <w:color w:val="000000" w:themeColor="text1"/>
          <w:szCs w:val="24"/>
        </w:rPr>
        <w:t>If the March letter is the section 42</w:t>
      </w:r>
      <w:r w:rsidR="00A60740" w:rsidRPr="00941AF5">
        <w:rPr>
          <w:rFonts w:cs="Arial"/>
          <w:color w:val="000000" w:themeColor="text1"/>
          <w:szCs w:val="24"/>
        </w:rPr>
        <w:t>(2)</w:t>
      </w:r>
      <w:r w:rsidR="00A45EC2" w:rsidRPr="00941AF5">
        <w:rPr>
          <w:rFonts w:cs="Arial"/>
          <w:color w:val="000000" w:themeColor="text1"/>
          <w:szCs w:val="24"/>
        </w:rPr>
        <w:t>(b)</w:t>
      </w:r>
      <w:r w:rsidR="00AE5E4A" w:rsidRPr="00941AF5">
        <w:rPr>
          <w:rFonts w:cs="Arial"/>
          <w:color w:val="000000" w:themeColor="text1"/>
          <w:szCs w:val="24"/>
        </w:rPr>
        <w:t xml:space="preserve"> notice</w:t>
      </w:r>
      <w:r w:rsidR="001B494D" w:rsidRPr="00941AF5">
        <w:rPr>
          <w:rFonts w:cs="Arial"/>
          <w:color w:val="000000" w:themeColor="text1"/>
          <w:szCs w:val="24"/>
        </w:rPr>
        <w:t>,</w:t>
      </w:r>
      <w:r w:rsidR="00AE5E4A" w:rsidRPr="00941AF5">
        <w:rPr>
          <w:rFonts w:cs="Arial"/>
          <w:color w:val="000000" w:themeColor="text1"/>
          <w:szCs w:val="24"/>
        </w:rPr>
        <w:t xml:space="preserve"> then it fails to comply with the section because it did not allow the taxpayers their right to respond in terms of section 42(3).  Hence since it was at the same time accompanied by the </w:t>
      </w:r>
      <w:r w:rsidR="009C6230" w:rsidRPr="00941AF5">
        <w:rPr>
          <w:rFonts w:cs="Arial"/>
          <w:color w:val="000000" w:themeColor="text1"/>
          <w:szCs w:val="24"/>
        </w:rPr>
        <w:t>assessment</w:t>
      </w:r>
      <w:r w:rsidR="00AE5E4A" w:rsidRPr="00941AF5">
        <w:rPr>
          <w:rFonts w:cs="Arial"/>
          <w:color w:val="000000" w:themeColor="text1"/>
          <w:szCs w:val="24"/>
        </w:rPr>
        <w:t xml:space="preserve"> </w:t>
      </w:r>
      <w:r w:rsidR="00F916D3" w:rsidRPr="00941AF5">
        <w:rPr>
          <w:rFonts w:cs="Arial"/>
          <w:color w:val="000000" w:themeColor="text1"/>
          <w:szCs w:val="24"/>
        </w:rPr>
        <w:t>letter,</w:t>
      </w:r>
      <w:r w:rsidR="002C5C9F" w:rsidRPr="00941AF5">
        <w:rPr>
          <w:rFonts w:cs="Arial"/>
          <w:color w:val="000000" w:themeColor="text1"/>
          <w:szCs w:val="24"/>
        </w:rPr>
        <w:t xml:space="preserve"> they were denied </w:t>
      </w:r>
      <w:r w:rsidR="002C5C9F" w:rsidRPr="00941AF5">
        <w:rPr>
          <w:rFonts w:cs="Arial"/>
          <w:i/>
          <w:color w:val="000000" w:themeColor="text1"/>
          <w:szCs w:val="24"/>
        </w:rPr>
        <w:t>audi</w:t>
      </w:r>
      <w:r w:rsidR="001C0C65" w:rsidRPr="00941AF5">
        <w:rPr>
          <w:rFonts w:cs="Arial"/>
          <w:i/>
          <w:color w:val="000000" w:themeColor="text1"/>
          <w:szCs w:val="24"/>
        </w:rPr>
        <w:t xml:space="preserve"> alteram partem</w:t>
      </w:r>
      <w:r w:rsidR="002C5C9F" w:rsidRPr="00941AF5">
        <w:rPr>
          <w:rFonts w:cs="Arial"/>
          <w:color w:val="000000" w:themeColor="text1"/>
          <w:szCs w:val="24"/>
        </w:rPr>
        <w:t xml:space="preserve">. </w:t>
      </w:r>
    </w:p>
    <w:p w14:paraId="3C7E3036" w14:textId="04C2E91C" w:rsidR="0014405A" w:rsidRPr="00941AF5" w:rsidRDefault="00941AF5" w:rsidP="00941AF5">
      <w:pPr>
        <w:spacing w:after="120" w:line="480" w:lineRule="auto"/>
        <w:ind w:left="2154" w:hanging="357"/>
        <w:jc w:val="both"/>
        <w:rPr>
          <w:rFonts w:cs="Arial"/>
          <w:color w:val="000000" w:themeColor="text1"/>
          <w:szCs w:val="24"/>
        </w:rPr>
      </w:pPr>
      <w:r w:rsidRPr="0014405A">
        <w:rPr>
          <w:rFonts w:cs="Arial"/>
          <w:color w:val="000000" w:themeColor="text1"/>
          <w:szCs w:val="24"/>
        </w:rPr>
        <w:t>b)</w:t>
      </w:r>
      <w:r w:rsidRPr="0014405A">
        <w:rPr>
          <w:rFonts w:cs="Arial"/>
          <w:color w:val="000000" w:themeColor="text1"/>
          <w:szCs w:val="24"/>
        </w:rPr>
        <w:tab/>
      </w:r>
      <w:r w:rsidR="002C5C9F" w:rsidRPr="00941AF5">
        <w:rPr>
          <w:rFonts w:cs="Arial"/>
          <w:color w:val="000000" w:themeColor="text1"/>
          <w:szCs w:val="24"/>
        </w:rPr>
        <w:t>But this</w:t>
      </w:r>
      <w:r w:rsidR="00AE5E4A" w:rsidRPr="00941AF5">
        <w:rPr>
          <w:rFonts w:cs="Arial"/>
          <w:color w:val="000000" w:themeColor="text1"/>
          <w:szCs w:val="24"/>
        </w:rPr>
        <w:t xml:space="preserve"> argument must fail on the facts</w:t>
      </w:r>
      <w:r w:rsidR="00AE5E4A" w:rsidRPr="00941AF5">
        <w:rPr>
          <w:rFonts w:cs="Arial"/>
          <w:szCs w:val="24"/>
        </w:rPr>
        <w:t>. SARS contends the July letter constituted the section 42</w:t>
      </w:r>
      <w:r w:rsidR="00A60740" w:rsidRPr="00941AF5">
        <w:rPr>
          <w:rFonts w:cs="Arial"/>
          <w:szCs w:val="24"/>
        </w:rPr>
        <w:t>(2)(b)</w:t>
      </w:r>
      <w:r w:rsidR="00AE5E4A" w:rsidRPr="00941AF5">
        <w:rPr>
          <w:rFonts w:cs="Arial"/>
          <w:szCs w:val="24"/>
        </w:rPr>
        <w:t xml:space="preserve"> notice </w:t>
      </w:r>
      <w:r w:rsidR="001C0C65" w:rsidRPr="00941AF5">
        <w:rPr>
          <w:rFonts w:cs="Arial"/>
          <w:szCs w:val="24"/>
        </w:rPr>
        <w:t xml:space="preserve">although </w:t>
      </w:r>
      <w:r w:rsidR="002C5C9F" w:rsidRPr="00941AF5">
        <w:rPr>
          <w:rFonts w:cs="Arial"/>
          <w:szCs w:val="24"/>
        </w:rPr>
        <w:t xml:space="preserve">admittedly not labelled </w:t>
      </w:r>
      <w:r w:rsidR="00CF3EC4" w:rsidRPr="00941AF5">
        <w:rPr>
          <w:rFonts w:cs="Arial"/>
          <w:szCs w:val="24"/>
        </w:rPr>
        <w:t xml:space="preserve">as </w:t>
      </w:r>
      <w:r w:rsidR="002C5C9F" w:rsidRPr="00941AF5">
        <w:rPr>
          <w:rFonts w:cs="Arial"/>
          <w:szCs w:val="24"/>
        </w:rPr>
        <w:t>such.</w:t>
      </w:r>
      <w:r w:rsidR="00AE5E4A" w:rsidRPr="00941AF5">
        <w:rPr>
          <w:rFonts w:cs="Arial"/>
          <w:szCs w:val="24"/>
        </w:rPr>
        <w:t xml:space="preserve"> SARS version on this must be accepted on a </w:t>
      </w:r>
      <w:r w:rsidR="00AE5E4A" w:rsidRPr="00941AF5">
        <w:rPr>
          <w:rFonts w:cs="Arial"/>
          <w:i/>
          <w:szCs w:val="24"/>
        </w:rPr>
        <w:t>Plasco</w:t>
      </w:r>
      <w:r w:rsidR="00BD14C0" w:rsidRPr="00941AF5">
        <w:rPr>
          <w:rFonts w:cs="Arial"/>
          <w:i/>
          <w:szCs w:val="24"/>
        </w:rPr>
        <w:t>n-</w:t>
      </w:r>
      <w:r w:rsidR="00AE5E4A" w:rsidRPr="00941AF5">
        <w:rPr>
          <w:rFonts w:cs="Arial"/>
          <w:i/>
          <w:szCs w:val="24"/>
        </w:rPr>
        <w:t xml:space="preserve"> Evans</w:t>
      </w:r>
      <w:r w:rsidR="00AE5E4A" w:rsidRPr="00941AF5">
        <w:rPr>
          <w:rFonts w:cs="Arial"/>
          <w:szCs w:val="24"/>
        </w:rPr>
        <w:t xml:space="preserve"> approach.</w:t>
      </w:r>
      <w:r w:rsidR="00060D12" w:rsidRPr="00B12D64">
        <w:rPr>
          <w:rStyle w:val="FootnoteReference"/>
          <w:rFonts w:cs="Arial"/>
          <w:szCs w:val="24"/>
        </w:rPr>
        <w:footnoteReference w:id="22"/>
      </w:r>
      <w:r w:rsidR="00BD14C0" w:rsidRPr="00941AF5">
        <w:rPr>
          <w:rFonts w:cs="Arial"/>
          <w:szCs w:val="24"/>
        </w:rPr>
        <w:t xml:space="preserve"> </w:t>
      </w:r>
      <w:r w:rsidR="00AE5E4A" w:rsidRPr="00941AF5">
        <w:rPr>
          <w:rFonts w:cs="Arial"/>
          <w:szCs w:val="24"/>
        </w:rPr>
        <w:t>Once this is the case any further debate on the contents of the March letter is irrelevant – it is the wrong target.</w:t>
      </w:r>
      <w:r w:rsidR="00293ECE" w:rsidRPr="00941AF5">
        <w:rPr>
          <w:rFonts w:cs="Arial"/>
          <w:szCs w:val="24"/>
        </w:rPr>
        <w:t xml:space="preserve"> </w:t>
      </w:r>
    </w:p>
    <w:p w14:paraId="0E141978" w14:textId="1B12135E" w:rsidR="002C5C9F" w:rsidRPr="00941AF5" w:rsidRDefault="00941AF5" w:rsidP="00941AF5">
      <w:pPr>
        <w:spacing w:after="360" w:line="480" w:lineRule="auto"/>
        <w:ind w:left="2160" w:hanging="360"/>
        <w:jc w:val="both"/>
        <w:rPr>
          <w:rFonts w:cs="Arial"/>
          <w:color w:val="000000" w:themeColor="text1"/>
          <w:szCs w:val="24"/>
        </w:rPr>
      </w:pPr>
      <w:r w:rsidRPr="0014405A">
        <w:rPr>
          <w:rFonts w:cs="Arial"/>
          <w:color w:val="000000" w:themeColor="text1"/>
          <w:szCs w:val="24"/>
        </w:rPr>
        <w:lastRenderedPageBreak/>
        <w:t>c)</w:t>
      </w:r>
      <w:r w:rsidRPr="0014405A">
        <w:rPr>
          <w:rFonts w:cs="Arial"/>
          <w:color w:val="000000" w:themeColor="text1"/>
          <w:szCs w:val="24"/>
        </w:rPr>
        <w:tab/>
      </w:r>
      <w:r w:rsidR="00B53BE7" w:rsidRPr="00941AF5">
        <w:rPr>
          <w:rFonts w:cs="Arial"/>
          <w:szCs w:val="24"/>
        </w:rPr>
        <w:t xml:space="preserve">However, this does not decide the case. This is because even if </w:t>
      </w:r>
      <w:r w:rsidR="00AE5E4A" w:rsidRPr="00941AF5">
        <w:rPr>
          <w:rFonts w:cs="Arial"/>
          <w:szCs w:val="24"/>
        </w:rPr>
        <w:t>the correct candidate for the section 42</w:t>
      </w:r>
      <w:r w:rsidR="00371C6F" w:rsidRPr="00941AF5">
        <w:rPr>
          <w:rFonts w:cs="Arial"/>
          <w:szCs w:val="24"/>
        </w:rPr>
        <w:t>(2)(b)</w:t>
      </w:r>
      <w:r w:rsidR="00AE5E4A" w:rsidRPr="00941AF5">
        <w:rPr>
          <w:rFonts w:cs="Arial"/>
          <w:szCs w:val="24"/>
        </w:rPr>
        <w:t xml:space="preserve"> no</w:t>
      </w:r>
      <w:r w:rsidR="00B53BE7" w:rsidRPr="00941AF5">
        <w:rPr>
          <w:rFonts w:cs="Arial"/>
          <w:szCs w:val="24"/>
        </w:rPr>
        <w:t>ti</w:t>
      </w:r>
      <w:r w:rsidR="00AE5E4A" w:rsidRPr="00941AF5">
        <w:rPr>
          <w:rFonts w:cs="Arial"/>
          <w:szCs w:val="24"/>
        </w:rPr>
        <w:t xml:space="preserve">ce </w:t>
      </w:r>
      <w:r w:rsidR="00B53BE7" w:rsidRPr="00941AF5">
        <w:rPr>
          <w:rFonts w:cs="Arial"/>
          <w:szCs w:val="24"/>
        </w:rPr>
        <w:t xml:space="preserve">is the earlier </w:t>
      </w:r>
      <w:r w:rsidR="001C0C65" w:rsidRPr="00941AF5">
        <w:rPr>
          <w:rFonts w:cs="Arial"/>
          <w:szCs w:val="24"/>
        </w:rPr>
        <w:t xml:space="preserve">July </w:t>
      </w:r>
      <w:r w:rsidR="002C5C9F" w:rsidRPr="00941AF5">
        <w:rPr>
          <w:rFonts w:cs="Arial"/>
          <w:szCs w:val="24"/>
        </w:rPr>
        <w:t>letter</w:t>
      </w:r>
      <w:r w:rsidR="00B53BE7" w:rsidRPr="00941AF5">
        <w:rPr>
          <w:rFonts w:cs="Arial"/>
          <w:szCs w:val="24"/>
        </w:rPr>
        <w:t>,</w:t>
      </w:r>
      <w:r w:rsidR="002C5C9F" w:rsidRPr="00941AF5">
        <w:rPr>
          <w:rFonts w:cs="Arial"/>
          <w:szCs w:val="24"/>
        </w:rPr>
        <w:t xml:space="preserve"> </w:t>
      </w:r>
      <w:r w:rsidR="00B53BE7" w:rsidRPr="00941AF5">
        <w:rPr>
          <w:rFonts w:cs="Arial"/>
          <w:szCs w:val="24"/>
        </w:rPr>
        <w:t xml:space="preserve">the taxpayers raise other points as to why it was not compliant with the section </w:t>
      </w:r>
      <w:r w:rsidR="001C0C65" w:rsidRPr="00941AF5">
        <w:rPr>
          <w:rFonts w:cs="Arial"/>
          <w:szCs w:val="24"/>
        </w:rPr>
        <w:t>i</w:t>
      </w:r>
      <w:r w:rsidR="003E4971" w:rsidRPr="00941AF5">
        <w:rPr>
          <w:rFonts w:cs="Arial"/>
          <w:szCs w:val="24"/>
        </w:rPr>
        <w:t xml:space="preserve">n two respects; </w:t>
      </w:r>
      <w:r w:rsidR="007425E0" w:rsidRPr="00941AF5">
        <w:rPr>
          <w:rFonts w:cs="Arial"/>
          <w:szCs w:val="24"/>
        </w:rPr>
        <w:t xml:space="preserve">(i) </w:t>
      </w:r>
      <w:r w:rsidR="003E4971" w:rsidRPr="00941AF5">
        <w:rPr>
          <w:rFonts w:cs="Arial"/>
          <w:szCs w:val="24"/>
        </w:rPr>
        <w:t>it was premature</w:t>
      </w:r>
      <w:r w:rsidR="007425E0" w:rsidRPr="00941AF5">
        <w:rPr>
          <w:rFonts w:cs="Arial"/>
          <w:szCs w:val="24"/>
        </w:rPr>
        <w:t>,</w:t>
      </w:r>
      <w:r w:rsidR="003E4971" w:rsidRPr="00941AF5">
        <w:rPr>
          <w:rFonts w:cs="Arial"/>
          <w:szCs w:val="24"/>
        </w:rPr>
        <w:t xml:space="preserve"> because the audit had not been concluded</w:t>
      </w:r>
      <w:r w:rsidR="00B4484E" w:rsidRPr="00941AF5">
        <w:rPr>
          <w:rFonts w:cs="Arial"/>
          <w:szCs w:val="24"/>
        </w:rPr>
        <w:t xml:space="preserve">; and </w:t>
      </w:r>
      <w:r w:rsidR="00AE5E4A" w:rsidRPr="00941AF5">
        <w:rPr>
          <w:rFonts w:cs="Arial"/>
          <w:szCs w:val="24"/>
        </w:rPr>
        <w:t xml:space="preserve">(ii) </w:t>
      </w:r>
      <w:r w:rsidR="00B4484E" w:rsidRPr="00941AF5">
        <w:rPr>
          <w:rFonts w:cs="Arial"/>
          <w:szCs w:val="24"/>
        </w:rPr>
        <w:t>most latterly</w:t>
      </w:r>
      <w:r w:rsidR="001C0C65" w:rsidRPr="00941AF5">
        <w:rPr>
          <w:rFonts w:cs="Arial"/>
          <w:szCs w:val="24"/>
        </w:rPr>
        <w:t>,</w:t>
      </w:r>
      <w:r w:rsidR="00B4484E" w:rsidRPr="00941AF5">
        <w:rPr>
          <w:rFonts w:cs="Arial"/>
          <w:szCs w:val="24"/>
        </w:rPr>
        <w:t xml:space="preserve"> in the final note from the taxpayers</w:t>
      </w:r>
      <w:r w:rsidR="001C0C65" w:rsidRPr="00941AF5">
        <w:rPr>
          <w:rFonts w:cs="Arial"/>
          <w:szCs w:val="24"/>
        </w:rPr>
        <w:t>,</w:t>
      </w:r>
      <w:r w:rsidR="00B4484E" w:rsidRPr="00941AF5">
        <w:rPr>
          <w:rFonts w:cs="Arial"/>
          <w:szCs w:val="24"/>
        </w:rPr>
        <w:t xml:space="preserve"> </w:t>
      </w:r>
      <w:r w:rsidR="00B53BE7" w:rsidRPr="00941AF5">
        <w:rPr>
          <w:rFonts w:cs="Arial"/>
          <w:szCs w:val="24"/>
        </w:rPr>
        <w:t xml:space="preserve">it is argued that </w:t>
      </w:r>
      <w:r w:rsidR="00B4484E" w:rsidRPr="00941AF5">
        <w:rPr>
          <w:rFonts w:cs="Arial"/>
          <w:szCs w:val="24"/>
        </w:rPr>
        <w:t>the July letter did not specify an amount and hence was non -compliant and thus if they were correct on this interpretation</w:t>
      </w:r>
      <w:r w:rsidR="00AE5E4A" w:rsidRPr="00941AF5">
        <w:rPr>
          <w:rFonts w:cs="Arial"/>
          <w:szCs w:val="24"/>
        </w:rPr>
        <w:t>, would be</w:t>
      </w:r>
      <w:r w:rsidR="00B4484E" w:rsidRPr="00941AF5">
        <w:rPr>
          <w:rFonts w:cs="Arial"/>
          <w:szCs w:val="24"/>
        </w:rPr>
        <w:t xml:space="preserve"> a pure point of law.</w:t>
      </w:r>
    </w:p>
    <w:p w14:paraId="3421C3EC" w14:textId="3DE5947C" w:rsidR="00B53BE7" w:rsidRPr="0014405A" w:rsidRDefault="0014405A" w:rsidP="0014405A">
      <w:pPr>
        <w:spacing w:after="360" w:line="480" w:lineRule="auto"/>
        <w:ind w:left="720" w:hanging="720"/>
        <w:jc w:val="both"/>
        <w:rPr>
          <w:rFonts w:cs="Arial"/>
          <w:szCs w:val="24"/>
        </w:rPr>
      </w:pPr>
      <w:r>
        <w:rPr>
          <w:rFonts w:cs="Arial"/>
          <w:szCs w:val="24"/>
        </w:rPr>
        <w:t xml:space="preserve">[54] </w:t>
      </w:r>
      <w:r>
        <w:rPr>
          <w:rFonts w:cs="Arial"/>
          <w:szCs w:val="24"/>
        </w:rPr>
        <w:tab/>
      </w:r>
      <w:r w:rsidR="002E0D18" w:rsidRPr="0014405A">
        <w:rPr>
          <w:rFonts w:cs="Arial"/>
          <w:szCs w:val="24"/>
        </w:rPr>
        <w:t xml:space="preserve">I will deal </w:t>
      </w:r>
      <w:r>
        <w:rPr>
          <w:rFonts w:cs="Arial"/>
          <w:szCs w:val="24"/>
        </w:rPr>
        <w:t xml:space="preserve">with </w:t>
      </w:r>
      <w:r w:rsidR="002E0D18" w:rsidRPr="0014405A">
        <w:rPr>
          <w:rFonts w:cs="Arial"/>
          <w:szCs w:val="24"/>
        </w:rPr>
        <w:t>the last point first</w:t>
      </w:r>
      <w:r w:rsidR="00B53BE7" w:rsidRPr="0014405A">
        <w:rPr>
          <w:rFonts w:cs="Arial"/>
          <w:szCs w:val="24"/>
        </w:rPr>
        <w:t>. This is because it is a purely legal point and it is novel as well, and hence, may</w:t>
      </w:r>
      <w:r w:rsidR="00D44F8B" w:rsidRPr="0014405A">
        <w:rPr>
          <w:rFonts w:cs="Arial"/>
          <w:szCs w:val="24"/>
        </w:rPr>
        <w:t>, arguably,</w:t>
      </w:r>
      <w:r w:rsidR="00B53BE7" w:rsidRPr="0014405A">
        <w:rPr>
          <w:rFonts w:cs="Arial"/>
          <w:szCs w:val="24"/>
        </w:rPr>
        <w:t xml:space="preserve"> have some claim to being exceptional.</w:t>
      </w:r>
      <w:r w:rsidR="00547D75" w:rsidRPr="0014405A">
        <w:rPr>
          <w:rFonts w:cs="Arial"/>
          <w:szCs w:val="24"/>
        </w:rPr>
        <w:t xml:space="preserve"> </w:t>
      </w:r>
      <w:r w:rsidR="00B53BE7" w:rsidRPr="0014405A">
        <w:rPr>
          <w:rFonts w:cs="Arial"/>
          <w:szCs w:val="24"/>
        </w:rPr>
        <w:t>T</w:t>
      </w:r>
      <w:r w:rsidR="00547D75" w:rsidRPr="0014405A">
        <w:rPr>
          <w:rFonts w:cs="Arial"/>
          <w:szCs w:val="24"/>
        </w:rPr>
        <w:t xml:space="preserve">he </w:t>
      </w:r>
      <w:r w:rsidR="00B53BE7" w:rsidRPr="0014405A">
        <w:rPr>
          <w:rFonts w:cs="Arial"/>
          <w:szCs w:val="24"/>
        </w:rPr>
        <w:t xml:space="preserve">taxpayers argue that when section 42(2)(b) refers to SARS obligation in the section 42(2(b) notice to </w:t>
      </w:r>
      <w:r w:rsidR="00B53BE7" w:rsidRPr="0014405A">
        <w:rPr>
          <w:rFonts w:cs="Arial"/>
          <w:i/>
          <w:szCs w:val="24"/>
        </w:rPr>
        <w:t>include “[…] the grounds for the proposed assessment or decision…”</w:t>
      </w:r>
      <w:r w:rsidR="00B53BE7" w:rsidRPr="0014405A">
        <w:rPr>
          <w:rFonts w:cs="Arial"/>
          <w:szCs w:val="24"/>
        </w:rPr>
        <w:t xml:space="preserve"> this means the proposed amount must be specified. This was not done in the July letter</w:t>
      </w:r>
      <w:r w:rsidR="00443A8F" w:rsidRPr="0014405A">
        <w:rPr>
          <w:rFonts w:cs="Arial"/>
          <w:szCs w:val="24"/>
        </w:rPr>
        <w:t>,</w:t>
      </w:r>
      <w:r w:rsidR="00B53BE7" w:rsidRPr="0014405A">
        <w:rPr>
          <w:rFonts w:cs="Arial"/>
          <w:szCs w:val="24"/>
        </w:rPr>
        <w:t xml:space="preserve"> although as I indicated</w:t>
      </w:r>
      <w:r w:rsidR="00443A8F" w:rsidRPr="0014405A">
        <w:rPr>
          <w:rFonts w:cs="Arial"/>
          <w:szCs w:val="24"/>
        </w:rPr>
        <w:t>,</w:t>
      </w:r>
      <w:r w:rsidR="00B53BE7" w:rsidRPr="0014405A">
        <w:rPr>
          <w:rFonts w:cs="Arial"/>
          <w:szCs w:val="24"/>
        </w:rPr>
        <w:t xml:space="preserve"> was set out in a table in the later March letter. They argue that the purpose for stipulating an amount is that the taxpayer can in its response in terms of section 4</w:t>
      </w:r>
      <w:r w:rsidR="00443A8F" w:rsidRPr="0014405A">
        <w:rPr>
          <w:rFonts w:cs="Arial"/>
          <w:szCs w:val="24"/>
        </w:rPr>
        <w:t>2(3) respond to errors without having to go through the internal objection and appeal process.</w:t>
      </w:r>
    </w:p>
    <w:p w14:paraId="358C0272" w14:textId="77777777" w:rsidR="00132A9B" w:rsidRDefault="0014405A" w:rsidP="00132A9B">
      <w:pPr>
        <w:spacing w:after="0" w:line="480" w:lineRule="auto"/>
        <w:ind w:left="720" w:hanging="720"/>
        <w:jc w:val="both"/>
        <w:rPr>
          <w:rFonts w:cs="Arial"/>
          <w:szCs w:val="24"/>
        </w:rPr>
      </w:pPr>
      <w:r>
        <w:rPr>
          <w:rFonts w:cs="Arial"/>
          <w:szCs w:val="24"/>
        </w:rPr>
        <w:t>[55]</w:t>
      </w:r>
      <w:r>
        <w:rPr>
          <w:rFonts w:cs="Arial"/>
          <w:szCs w:val="24"/>
        </w:rPr>
        <w:tab/>
      </w:r>
      <w:r w:rsidR="00133E5E" w:rsidRPr="0014405A">
        <w:rPr>
          <w:rFonts w:cs="Arial"/>
          <w:szCs w:val="24"/>
        </w:rPr>
        <w:t xml:space="preserve">SARS contends the term </w:t>
      </w:r>
      <w:r w:rsidR="00B1548D" w:rsidRPr="0014405A">
        <w:rPr>
          <w:rFonts w:cs="Arial"/>
          <w:szCs w:val="24"/>
        </w:rPr>
        <w:t>‘</w:t>
      </w:r>
      <w:r w:rsidR="00133E5E" w:rsidRPr="0014405A">
        <w:rPr>
          <w:rFonts w:cs="Arial"/>
          <w:i/>
          <w:iCs/>
          <w:szCs w:val="24"/>
        </w:rPr>
        <w:t>grounds</w:t>
      </w:r>
      <w:r w:rsidR="00B1548D" w:rsidRPr="0014405A">
        <w:rPr>
          <w:rFonts w:cs="Arial"/>
          <w:i/>
          <w:iCs/>
          <w:szCs w:val="24"/>
        </w:rPr>
        <w:t>’</w:t>
      </w:r>
      <w:r w:rsidR="00133E5E" w:rsidRPr="0014405A">
        <w:rPr>
          <w:rFonts w:cs="Arial"/>
          <w:szCs w:val="24"/>
        </w:rPr>
        <w:t xml:space="preserve"> </w:t>
      </w:r>
      <w:r w:rsidR="007634BB" w:rsidRPr="0014405A">
        <w:rPr>
          <w:rFonts w:cs="Arial"/>
          <w:szCs w:val="24"/>
        </w:rPr>
        <w:t xml:space="preserve">contemplate </w:t>
      </w:r>
      <w:r w:rsidR="009C2383" w:rsidRPr="0014405A">
        <w:rPr>
          <w:rFonts w:cs="Arial"/>
          <w:szCs w:val="24"/>
        </w:rPr>
        <w:t>‘</w:t>
      </w:r>
      <w:r w:rsidR="007634BB" w:rsidRPr="0014405A">
        <w:rPr>
          <w:rFonts w:cs="Arial"/>
          <w:szCs w:val="24"/>
        </w:rPr>
        <w:t>reasons</w:t>
      </w:r>
      <w:r w:rsidR="009C2383" w:rsidRPr="0014405A">
        <w:rPr>
          <w:rFonts w:cs="Arial"/>
          <w:szCs w:val="24"/>
        </w:rPr>
        <w:t>’</w:t>
      </w:r>
      <w:r w:rsidR="007634BB" w:rsidRPr="0014405A">
        <w:rPr>
          <w:rFonts w:cs="Arial"/>
          <w:szCs w:val="24"/>
        </w:rPr>
        <w:t xml:space="preserve"> not an </w:t>
      </w:r>
      <w:r w:rsidR="009C2383" w:rsidRPr="0014405A">
        <w:rPr>
          <w:rFonts w:cs="Arial"/>
          <w:szCs w:val="24"/>
        </w:rPr>
        <w:t>‘</w:t>
      </w:r>
      <w:r w:rsidR="007634BB" w:rsidRPr="0014405A">
        <w:rPr>
          <w:rFonts w:cs="Arial"/>
          <w:szCs w:val="24"/>
        </w:rPr>
        <w:t>amount</w:t>
      </w:r>
      <w:r w:rsidR="009C2383" w:rsidRPr="0014405A">
        <w:rPr>
          <w:rFonts w:cs="Arial"/>
          <w:szCs w:val="24"/>
        </w:rPr>
        <w:t>’</w:t>
      </w:r>
      <w:r w:rsidR="007634BB" w:rsidRPr="0014405A">
        <w:rPr>
          <w:rFonts w:cs="Arial"/>
          <w:szCs w:val="24"/>
        </w:rPr>
        <w:t xml:space="preserve">. As support for this it points out that where the legislature intends to </w:t>
      </w:r>
      <w:r w:rsidR="008A52CE" w:rsidRPr="0014405A">
        <w:rPr>
          <w:rFonts w:cs="Arial"/>
          <w:szCs w:val="24"/>
        </w:rPr>
        <w:t>state amounts it does so. Thus</w:t>
      </w:r>
      <w:r w:rsidR="000A0A9F" w:rsidRPr="0014405A">
        <w:rPr>
          <w:rFonts w:cs="Arial"/>
          <w:szCs w:val="24"/>
        </w:rPr>
        <w:t>,</w:t>
      </w:r>
      <w:r w:rsidR="008A52CE" w:rsidRPr="0014405A">
        <w:rPr>
          <w:rFonts w:cs="Arial"/>
          <w:szCs w:val="24"/>
        </w:rPr>
        <w:t xml:space="preserve"> in section 96(1)</w:t>
      </w:r>
      <w:r w:rsidR="00064901" w:rsidRPr="0014405A">
        <w:rPr>
          <w:rFonts w:cs="Arial"/>
          <w:szCs w:val="24"/>
        </w:rPr>
        <w:t>,</w:t>
      </w:r>
      <w:r w:rsidR="008A52CE" w:rsidRPr="0014405A">
        <w:rPr>
          <w:rFonts w:cs="Arial"/>
          <w:szCs w:val="24"/>
        </w:rPr>
        <w:t xml:space="preserve"> which deals with assessments</w:t>
      </w:r>
      <w:r w:rsidR="00064901" w:rsidRPr="0014405A">
        <w:rPr>
          <w:rFonts w:cs="Arial"/>
          <w:szCs w:val="24"/>
        </w:rPr>
        <w:t>,</w:t>
      </w:r>
      <w:r w:rsidR="00804F8C" w:rsidRPr="0014405A">
        <w:rPr>
          <w:rFonts w:cs="Arial"/>
          <w:szCs w:val="24"/>
        </w:rPr>
        <w:t xml:space="preserve"> the various items that must be stated in the assessment are listed. Amongst these listed </w:t>
      </w:r>
      <w:r w:rsidR="00497C33" w:rsidRPr="0014405A">
        <w:rPr>
          <w:rFonts w:cs="Arial"/>
          <w:szCs w:val="24"/>
        </w:rPr>
        <w:t>is that contain</w:t>
      </w:r>
      <w:r w:rsidR="00EC10E1" w:rsidRPr="0014405A">
        <w:rPr>
          <w:rFonts w:cs="Arial"/>
          <w:szCs w:val="24"/>
        </w:rPr>
        <w:t>ed</w:t>
      </w:r>
      <w:r w:rsidR="00497C33" w:rsidRPr="0014405A">
        <w:rPr>
          <w:rFonts w:cs="Arial"/>
          <w:szCs w:val="24"/>
        </w:rPr>
        <w:t xml:space="preserve"> </w:t>
      </w:r>
      <w:r w:rsidR="00804F8C" w:rsidRPr="0014405A">
        <w:rPr>
          <w:rFonts w:cs="Arial"/>
          <w:szCs w:val="24"/>
        </w:rPr>
        <w:t xml:space="preserve">in sub-paragraph (d) </w:t>
      </w:r>
      <w:r w:rsidR="00EC10E1" w:rsidRPr="0014405A">
        <w:rPr>
          <w:rFonts w:cs="Arial"/>
          <w:szCs w:val="24"/>
        </w:rPr>
        <w:t>which states</w:t>
      </w:r>
      <w:r w:rsidR="00804F8C" w:rsidRPr="0014405A">
        <w:rPr>
          <w:rFonts w:cs="Arial"/>
          <w:szCs w:val="24"/>
        </w:rPr>
        <w:t xml:space="preserve"> </w:t>
      </w:r>
      <w:r w:rsidR="00E91F98" w:rsidRPr="0014405A">
        <w:rPr>
          <w:rFonts w:cs="Arial"/>
          <w:szCs w:val="24"/>
        </w:rPr>
        <w:t>“</w:t>
      </w:r>
      <w:r w:rsidR="00497C33" w:rsidRPr="0014405A">
        <w:rPr>
          <w:rFonts w:cs="Arial"/>
          <w:i/>
          <w:iCs/>
          <w:szCs w:val="24"/>
        </w:rPr>
        <w:t>[…]</w:t>
      </w:r>
      <w:r w:rsidR="00E91F98" w:rsidRPr="0014405A">
        <w:rPr>
          <w:rFonts w:cs="Arial"/>
          <w:i/>
          <w:iCs/>
          <w:szCs w:val="24"/>
        </w:rPr>
        <w:t xml:space="preserve"> the amount of the assessment</w:t>
      </w:r>
      <w:r w:rsidR="00443A8F" w:rsidRPr="0014405A">
        <w:rPr>
          <w:rFonts w:cs="Arial"/>
          <w:szCs w:val="24"/>
        </w:rPr>
        <w:t>”.</w:t>
      </w:r>
      <w:r w:rsidR="00E91F98" w:rsidRPr="0014405A">
        <w:rPr>
          <w:rFonts w:cs="Arial"/>
          <w:szCs w:val="24"/>
        </w:rPr>
        <w:t xml:space="preserve"> </w:t>
      </w:r>
      <w:r w:rsidR="00E91F98" w:rsidRPr="0014405A">
        <w:rPr>
          <w:rFonts w:cs="Arial"/>
          <w:szCs w:val="24"/>
        </w:rPr>
        <w:lastRenderedPageBreak/>
        <w:t xml:space="preserve">This is to be clearly distinguished from </w:t>
      </w:r>
      <w:r w:rsidR="00E91F98" w:rsidRPr="0014405A">
        <w:rPr>
          <w:rFonts w:cs="Arial"/>
          <w:i/>
          <w:szCs w:val="24"/>
        </w:rPr>
        <w:t>grounds</w:t>
      </w:r>
      <w:r w:rsidR="00E91F98" w:rsidRPr="0014405A">
        <w:rPr>
          <w:rFonts w:cs="Arial"/>
          <w:szCs w:val="24"/>
        </w:rPr>
        <w:t xml:space="preserve"> which are referenced again in section 96(2) </w:t>
      </w:r>
      <w:r w:rsidR="00B573F5" w:rsidRPr="0014405A">
        <w:rPr>
          <w:rFonts w:cs="Arial"/>
          <w:szCs w:val="24"/>
        </w:rPr>
        <w:t>where the following is stated</w:t>
      </w:r>
      <w:r w:rsidR="000A43A3" w:rsidRPr="0014405A">
        <w:rPr>
          <w:rFonts w:cs="Arial"/>
          <w:szCs w:val="24"/>
        </w:rPr>
        <w:t>:</w:t>
      </w:r>
      <w:r w:rsidR="00293ECE">
        <w:rPr>
          <w:rFonts w:cs="Arial"/>
          <w:szCs w:val="24"/>
        </w:rPr>
        <w:t xml:space="preserve"> </w:t>
      </w:r>
    </w:p>
    <w:p w14:paraId="78F9F539" w14:textId="09379CEE" w:rsidR="0049464A" w:rsidRPr="00132A9B" w:rsidRDefault="00CC20F5" w:rsidP="00132A9B">
      <w:pPr>
        <w:spacing w:after="0" w:line="480" w:lineRule="auto"/>
        <w:ind w:left="1440"/>
        <w:jc w:val="both"/>
        <w:rPr>
          <w:rFonts w:cs="Arial"/>
          <w:szCs w:val="24"/>
        </w:rPr>
      </w:pPr>
      <w:r w:rsidRPr="0014405A">
        <w:rPr>
          <w:rFonts w:cs="Arial"/>
          <w:i/>
          <w:iCs/>
          <w:szCs w:val="24"/>
        </w:rPr>
        <w:t>“In</w:t>
      </w:r>
      <w:r w:rsidR="0049464A" w:rsidRPr="0014405A">
        <w:rPr>
          <w:rFonts w:cs="Arial"/>
          <w:i/>
          <w:iCs/>
          <w:szCs w:val="24"/>
        </w:rPr>
        <w:t xml:space="preserve"> addition to the information provided in terms of subsection (1) SARS must give the person assessed</w:t>
      </w:r>
      <w:r w:rsidR="009B60FA" w:rsidRPr="0014405A">
        <w:rPr>
          <w:rFonts w:cs="Arial"/>
          <w:i/>
          <w:iCs/>
          <w:szCs w:val="24"/>
        </w:rPr>
        <w:t xml:space="preserve"> -</w:t>
      </w:r>
    </w:p>
    <w:p w14:paraId="73C6F0CD" w14:textId="2E684144" w:rsidR="000A43A3" w:rsidRPr="00B12D64" w:rsidRDefault="0049464A" w:rsidP="00132A9B">
      <w:pPr>
        <w:spacing w:after="360" w:line="480" w:lineRule="auto"/>
        <w:ind w:left="2160"/>
        <w:jc w:val="both"/>
        <w:rPr>
          <w:rFonts w:cs="Arial"/>
          <w:szCs w:val="24"/>
        </w:rPr>
      </w:pPr>
      <w:r w:rsidRPr="00B12D64">
        <w:rPr>
          <w:rFonts w:cs="Arial"/>
          <w:i/>
          <w:iCs/>
          <w:szCs w:val="24"/>
        </w:rPr>
        <w:t xml:space="preserve">a) in the case of an assessment described in section 95 or an assessment that is not fully based on a return submitted by the taxpayer, a statement </w:t>
      </w:r>
      <w:r w:rsidRPr="00B12D64">
        <w:rPr>
          <w:rFonts w:cs="Arial"/>
          <w:i/>
          <w:iCs/>
          <w:szCs w:val="24"/>
          <w:u w:val="single"/>
        </w:rPr>
        <w:t xml:space="preserve">of the grounds for the </w:t>
      </w:r>
      <w:r w:rsidR="00CF6C72" w:rsidRPr="00B12D64">
        <w:rPr>
          <w:rFonts w:cs="Arial"/>
          <w:i/>
          <w:iCs/>
          <w:szCs w:val="24"/>
          <w:u w:val="single"/>
        </w:rPr>
        <w:t>assessment</w:t>
      </w:r>
      <w:r w:rsidR="00CF6C72" w:rsidRPr="00B12D64">
        <w:rPr>
          <w:rFonts w:cs="Arial"/>
          <w:i/>
          <w:iCs/>
          <w:szCs w:val="24"/>
        </w:rPr>
        <w:t>.</w:t>
      </w:r>
      <w:r w:rsidR="00502C72" w:rsidRPr="00B12D64">
        <w:rPr>
          <w:rFonts w:cs="Arial"/>
          <w:i/>
          <w:iCs/>
          <w:szCs w:val="24"/>
        </w:rPr>
        <w:t>”</w:t>
      </w:r>
      <w:r w:rsidR="00CF6C72" w:rsidRPr="00B12D64">
        <w:rPr>
          <w:rFonts w:cs="Arial"/>
          <w:szCs w:val="24"/>
        </w:rPr>
        <w:t xml:space="preserve"> (My underlining)</w:t>
      </w:r>
      <w:r w:rsidR="0014405A">
        <w:rPr>
          <w:rFonts w:cs="Arial"/>
          <w:szCs w:val="24"/>
        </w:rPr>
        <w:t xml:space="preserve"> </w:t>
      </w:r>
    </w:p>
    <w:p w14:paraId="3210EB99" w14:textId="4D8CF2A6" w:rsidR="00443A8F" w:rsidRPr="0014405A" w:rsidRDefault="0014405A" w:rsidP="0014405A">
      <w:pPr>
        <w:spacing w:after="360" w:line="480" w:lineRule="auto"/>
        <w:ind w:left="720" w:hanging="720"/>
        <w:jc w:val="both"/>
        <w:rPr>
          <w:rFonts w:cs="Arial"/>
          <w:szCs w:val="24"/>
        </w:rPr>
      </w:pPr>
      <w:r>
        <w:rPr>
          <w:rFonts w:cs="Arial"/>
          <w:szCs w:val="24"/>
        </w:rPr>
        <w:t>[56]</w:t>
      </w:r>
      <w:r>
        <w:rPr>
          <w:rFonts w:cs="Arial"/>
          <w:szCs w:val="24"/>
        </w:rPr>
        <w:tab/>
      </w:r>
      <w:r w:rsidR="00C46784" w:rsidRPr="0014405A">
        <w:rPr>
          <w:rFonts w:cs="Arial"/>
          <w:szCs w:val="24"/>
        </w:rPr>
        <w:t>Thus,</w:t>
      </w:r>
      <w:r w:rsidR="00527DBA" w:rsidRPr="0014405A">
        <w:rPr>
          <w:rFonts w:cs="Arial"/>
          <w:szCs w:val="24"/>
        </w:rPr>
        <w:t xml:space="preserve"> </w:t>
      </w:r>
      <w:r w:rsidR="00FC2375" w:rsidRPr="0014405A">
        <w:rPr>
          <w:rFonts w:cs="Arial"/>
          <w:szCs w:val="24"/>
        </w:rPr>
        <w:t xml:space="preserve">if </w:t>
      </w:r>
      <w:r w:rsidR="00527DBA" w:rsidRPr="0014405A">
        <w:rPr>
          <w:rFonts w:cs="Arial"/>
          <w:szCs w:val="24"/>
        </w:rPr>
        <w:t>in the same section of the TAA</w:t>
      </w:r>
      <w:r w:rsidR="004636C1" w:rsidRPr="0014405A">
        <w:rPr>
          <w:rFonts w:cs="Arial"/>
          <w:szCs w:val="24"/>
        </w:rPr>
        <w:t>,</w:t>
      </w:r>
      <w:r w:rsidR="00527DBA" w:rsidRPr="0014405A">
        <w:rPr>
          <w:rFonts w:cs="Arial"/>
          <w:szCs w:val="24"/>
        </w:rPr>
        <w:t xml:space="preserve"> the concepts of </w:t>
      </w:r>
      <w:r w:rsidR="00527DBA" w:rsidRPr="0014405A">
        <w:rPr>
          <w:rFonts w:cs="Arial"/>
          <w:i/>
          <w:iCs/>
          <w:szCs w:val="24"/>
        </w:rPr>
        <w:t>amounts</w:t>
      </w:r>
      <w:r w:rsidR="00527DBA" w:rsidRPr="0014405A">
        <w:rPr>
          <w:rFonts w:cs="Arial"/>
          <w:szCs w:val="24"/>
        </w:rPr>
        <w:t xml:space="preserve"> and </w:t>
      </w:r>
      <w:r w:rsidR="00FC2375" w:rsidRPr="0014405A">
        <w:rPr>
          <w:rFonts w:cs="Arial"/>
          <w:i/>
          <w:iCs/>
          <w:szCs w:val="24"/>
        </w:rPr>
        <w:t>grounds</w:t>
      </w:r>
      <w:r w:rsidR="00FC2375" w:rsidRPr="0014405A">
        <w:rPr>
          <w:rFonts w:cs="Arial"/>
          <w:szCs w:val="24"/>
        </w:rPr>
        <w:t xml:space="preserve"> are used distinctively</w:t>
      </w:r>
      <w:r w:rsidR="00443A8F" w:rsidRPr="0014405A">
        <w:rPr>
          <w:rFonts w:cs="Arial"/>
          <w:szCs w:val="24"/>
        </w:rPr>
        <w:t>,</w:t>
      </w:r>
      <w:r w:rsidR="00FC2375" w:rsidRPr="0014405A">
        <w:rPr>
          <w:rFonts w:cs="Arial"/>
          <w:szCs w:val="24"/>
        </w:rPr>
        <w:t xml:space="preserve"> </w:t>
      </w:r>
      <w:r w:rsidR="002D5606" w:rsidRPr="0014405A">
        <w:rPr>
          <w:rFonts w:cs="Arial"/>
          <w:szCs w:val="24"/>
        </w:rPr>
        <w:t xml:space="preserve">then one can assume the same approach can be taken to </w:t>
      </w:r>
      <w:r w:rsidR="004636C1" w:rsidRPr="0014405A">
        <w:rPr>
          <w:rFonts w:cs="Arial"/>
          <w:szCs w:val="24"/>
        </w:rPr>
        <w:t xml:space="preserve">the interpretation of </w:t>
      </w:r>
      <w:r w:rsidR="002D5606" w:rsidRPr="0014405A">
        <w:rPr>
          <w:rFonts w:cs="Arial"/>
          <w:szCs w:val="24"/>
        </w:rPr>
        <w:t xml:space="preserve">section 42(2)(b). </w:t>
      </w:r>
      <w:r w:rsidR="00443A8F" w:rsidRPr="0014405A">
        <w:rPr>
          <w:rFonts w:cs="Arial"/>
          <w:szCs w:val="24"/>
        </w:rPr>
        <w:t>Put simply</w:t>
      </w:r>
      <w:r w:rsidR="00E42668" w:rsidRPr="0014405A">
        <w:rPr>
          <w:rFonts w:cs="Arial"/>
          <w:szCs w:val="24"/>
        </w:rPr>
        <w:t>,</w:t>
      </w:r>
      <w:r w:rsidR="00443A8F" w:rsidRPr="0014405A">
        <w:rPr>
          <w:rFonts w:cs="Arial"/>
          <w:szCs w:val="24"/>
        </w:rPr>
        <w:t xml:space="preserve"> if the legislature had intended </w:t>
      </w:r>
      <w:r w:rsidR="00EC5C10" w:rsidRPr="0014405A">
        <w:rPr>
          <w:rFonts w:cs="Arial"/>
          <w:szCs w:val="24"/>
        </w:rPr>
        <w:t xml:space="preserve">that </w:t>
      </w:r>
      <w:r w:rsidR="00443A8F" w:rsidRPr="0014405A">
        <w:rPr>
          <w:rFonts w:cs="Arial"/>
          <w:szCs w:val="24"/>
        </w:rPr>
        <w:t xml:space="preserve">the </w:t>
      </w:r>
      <w:r w:rsidR="00B60642" w:rsidRPr="0014405A">
        <w:rPr>
          <w:rFonts w:cs="Arial"/>
          <w:szCs w:val="24"/>
        </w:rPr>
        <w:t>42(2)(b)</w:t>
      </w:r>
      <w:r w:rsidR="00E42668" w:rsidRPr="0014405A">
        <w:rPr>
          <w:rFonts w:cs="Arial"/>
          <w:szCs w:val="24"/>
        </w:rPr>
        <w:t xml:space="preserve"> notice</w:t>
      </w:r>
      <w:r w:rsidR="00443A8F" w:rsidRPr="0014405A">
        <w:rPr>
          <w:rFonts w:cs="Arial"/>
          <w:szCs w:val="24"/>
        </w:rPr>
        <w:t xml:space="preserve"> must include the amount it would have said so expressly.</w:t>
      </w:r>
      <w:r w:rsidR="00B60642" w:rsidRPr="0014405A">
        <w:rPr>
          <w:rFonts w:cs="Arial"/>
          <w:szCs w:val="24"/>
        </w:rPr>
        <w:t xml:space="preserve"> </w:t>
      </w:r>
      <w:r w:rsidR="00EC5C10" w:rsidRPr="0014405A">
        <w:rPr>
          <w:rFonts w:cs="Arial"/>
          <w:szCs w:val="24"/>
        </w:rPr>
        <w:t>It is therefore reasonable to assume</w:t>
      </w:r>
      <w:r w:rsidR="009D5EB7" w:rsidRPr="0014405A">
        <w:rPr>
          <w:rFonts w:cs="Arial"/>
          <w:szCs w:val="24"/>
        </w:rPr>
        <w:t>, SARS argues,</w:t>
      </w:r>
      <w:r w:rsidR="00EC5C10" w:rsidRPr="0014405A">
        <w:rPr>
          <w:rFonts w:cs="Arial"/>
          <w:szCs w:val="24"/>
        </w:rPr>
        <w:t xml:space="preserve"> </w:t>
      </w:r>
      <w:r w:rsidR="00DA6CD8" w:rsidRPr="0014405A">
        <w:rPr>
          <w:rFonts w:cs="Arial"/>
          <w:szCs w:val="24"/>
        </w:rPr>
        <w:t>t</w:t>
      </w:r>
      <w:r w:rsidR="002D5606" w:rsidRPr="0014405A">
        <w:rPr>
          <w:rFonts w:cs="Arial"/>
          <w:szCs w:val="24"/>
        </w:rPr>
        <w:t>hat the term grounds for the assessment does not mean the amount of the asse</w:t>
      </w:r>
      <w:r w:rsidR="00135327" w:rsidRPr="0014405A">
        <w:rPr>
          <w:rFonts w:cs="Arial"/>
          <w:szCs w:val="24"/>
        </w:rPr>
        <w:t>ss</w:t>
      </w:r>
      <w:r w:rsidR="002D5606" w:rsidRPr="0014405A">
        <w:rPr>
          <w:rFonts w:cs="Arial"/>
          <w:szCs w:val="24"/>
        </w:rPr>
        <w:t xml:space="preserve">ment. </w:t>
      </w:r>
    </w:p>
    <w:p w14:paraId="4E2B21A0" w14:textId="173B1A52" w:rsidR="00CF7918" w:rsidRPr="0014405A" w:rsidRDefault="0014405A" w:rsidP="0014405A">
      <w:pPr>
        <w:spacing w:after="360" w:line="480" w:lineRule="auto"/>
        <w:ind w:left="720" w:hanging="720"/>
        <w:jc w:val="both"/>
        <w:rPr>
          <w:rFonts w:cs="Arial"/>
          <w:szCs w:val="24"/>
        </w:rPr>
      </w:pPr>
      <w:r>
        <w:rPr>
          <w:rFonts w:cs="Arial"/>
          <w:szCs w:val="24"/>
        </w:rPr>
        <w:t>[57]</w:t>
      </w:r>
      <w:r>
        <w:rPr>
          <w:rFonts w:cs="Arial"/>
          <w:szCs w:val="24"/>
        </w:rPr>
        <w:tab/>
      </w:r>
      <w:r w:rsidR="00443A8F" w:rsidRPr="0014405A">
        <w:rPr>
          <w:rFonts w:cs="Arial"/>
          <w:szCs w:val="24"/>
        </w:rPr>
        <w:t xml:space="preserve">I agree with this interpretation. </w:t>
      </w:r>
      <w:r w:rsidR="002D5606" w:rsidRPr="0014405A">
        <w:rPr>
          <w:rFonts w:cs="Arial"/>
          <w:szCs w:val="24"/>
        </w:rPr>
        <w:t xml:space="preserve">Apart from this giving the term </w:t>
      </w:r>
      <w:r w:rsidR="00A11ABC" w:rsidRPr="0014405A">
        <w:rPr>
          <w:rFonts w:cs="Arial"/>
          <w:szCs w:val="24"/>
        </w:rPr>
        <w:t>‘</w:t>
      </w:r>
      <w:r w:rsidR="002D5606" w:rsidRPr="0014405A">
        <w:rPr>
          <w:rFonts w:cs="Arial"/>
          <w:i/>
          <w:szCs w:val="24"/>
        </w:rPr>
        <w:t>grounds</w:t>
      </w:r>
      <w:r w:rsidR="00A11ABC" w:rsidRPr="0014405A">
        <w:rPr>
          <w:rFonts w:cs="Arial"/>
          <w:i/>
          <w:szCs w:val="24"/>
        </w:rPr>
        <w:t>’</w:t>
      </w:r>
      <w:r w:rsidR="002D5606" w:rsidRPr="0014405A">
        <w:rPr>
          <w:rFonts w:cs="Arial"/>
          <w:i/>
          <w:szCs w:val="24"/>
        </w:rPr>
        <w:t xml:space="preserve"> </w:t>
      </w:r>
      <w:r w:rsidR="002D5606" w:rsidRPr="0014405A">
        <w:rPr>
          <w:rFonts w:cs="Arial"/>
          <w:szCs w:val="24"/>
        </w:rPr>
        <w:t xml:space="preserve">its ordinary grammatical meaning it also accords with the </w:t>
      </w:r>
      <w:r w:rsidR="000E502A" w:rsidRPr="0014405A">
        <w:rPr>
          <w:rFonts w:cs="Arial"/>
          <w:szCs w:val="24"/>
        </w:rPr>
        <w:t>language of section 42(</w:t>
      </w:r>
      <w:r w:rsidR="00AE5321" w:rsidRPr="0014405A">
        <w:rPr>
          <w:rFonts w:cs="Arial"/>
          <w:szCs w:val="24"/>
        </w:rPr>
        <w:t>3) which provides for the response of the taxpayer to the receipt of a section 42 notice.</w:t>
      </w:r>
      <w:r w:rsidR="00443A8F" w:rsidRPr="0014405A">
        <w:rPr>
          <w:rStyle w:val="FootnoteReference"/>
          <w:rFonts w:cs="Arial"/>
          <w:szCs w:val="24"/>
        </w:rPr>
        <w:t xml:space="preserve"> </w:t>
      </w:r>
      <w:r w:rsidR="00443A8F" w:rsidRPr="00B12D64">
        <w:rPr>
          <w:rStyle w:val="FootnoteReference"/>
          <w:rFonts w:cs="Arial"/>
          <w:szCs w:val="24"/>
        </w:rPr>
        <w:footnoteReference w:id="23"/>
      </w:r>
      <w:r w:rsidR="00443A8F" w:rsidRPr="0014405A">
        <w:rPr>
          <w:rFonts w:cs="Arial"/>
          <w:color w:val="000000"/>
          <w:szCs w:val="24"/>
        </w:rPr>
        <w:t xml:space="preserve"> </w:t>
      </w:r>
      <w:r w:rsidR="00AE5321" w:rsidRPr="0014405A">
        <w:rPr>
          <w:rFonts w:cs="Arial"/>
          <w:szCs w:val="24"/>
        </w:rPr>
        <w:t xml:space="preserve">Here the </w:t>
      </w:r>
      <w:r w:rsidR="00E12E96" w:rsidRPr="0014405A">
        <w:rPr>
          <w:rFonts w:cs="Arial"/>
          <w:szCs w:val="24"/>
        </w:rPr>
        <w:t xml:space="preserve">taxpayer is given the right to respond to the </w:t>
      </w:r>
      <w:r w:rsidR="00C46784" w:rsidRPr="0014405A">
        <w:rPr>
          <w:rFonts w:cs="Arial"/>
          <w:szCs w:val="24"/>
        </w:rPr>
        <w:t>“</w:t>
      </w:r>
      <w:r w:rsidR="00C46784" w:rsidRPr="0014405A">
        <w:rPr>
          <w:rFonts w:cs="Arial"/>
          <w:i/>
          <w:szCs w:val="24"/>
        </w:rPr>
        <w:t>facts</w:t>
      </w:r>
      <w:r w:rsidR="00E12E96" w:rsidRPr="0014405A">
        <w:rPr>
          <w:rFonts w:cs="Arial"/>
          <w:i/>
          <w:szCs w:val="24"/>
        </w:rPr>
        <w:t xml:space="preserve"> and</w:t>
      </w:r>
      <w:r w:rsidR="00E12E96" w:rsidRPr="0014405A">
        <w:rPr>
          <w:rFonts w:cs="Arial"/>
          <w:szCs w:val="24"/>
        </w:rPr>
        <w:t xml:space="preserve"> </w:t>
      </w:r>
      <w:r w:rsidR="00E12E96" w:rsidRPr="0014405A">
        <w:rPr>
          <w:rFonts w:cs="Arial"/>
          <w:i/>
          <w:szCs w:val="24"/>
        </w:rPr>
        <w:t>conclusions set out in the document</w:t>
      </w:r>
      <w:r w:rsidR="00E12E96" w:rsidRPr="0014405A">
        <w:rPr>
          <w:rFonts w:cs="Arial"/>
          <w:szCs w:val="24"/>
        </w:rPr>
        <w:t>”</w:t>
      </w:r>
      <w:r w:rsidR="00D07613" w:rsidRPr="0014405A">
        <w:rPr>
          <w:rFonts w:cs="Arial"/>
          <w:szCs w:val="24"/>
        </w:rPr>
        <w:t>. This suggests a shade of meaning fo</w:t>
      </w:r>
      <w:r w:rsidR="00443A8F" w:rsidRPr="0014405A">
        <w:rPr>
          <w:rFonts w:cs="Arial"/>
          <w:szCs w:val="24"/>
        </w:rPr>
        <w:t>r grounds as a set of facts and</w:t>
      </w:r>
      <w:r w:rsidR="00D07613" w:rsidRPr="0014405A">
        <w:rPr>
          <w:rFonts w:cs="Arial"/>
          <w:szCs w:val="24"/>
        </w:rPr>
        <w:t xml:space="preserve"> conclusion</w:t>
      </w:r>
      <w:r w:rsidR="00443A8F" w:rsidRPr="0014405A">
        <w:rPr>
          <w:rFonts w:cs="Arial"/>
          <w:szCs w:val="24"/>
        </w:rPr>
        <w:t>s,</w:t>
      </w:r>
      <w:r w:rsidR="00D07613" w:rsidRPr="0014405A">
        <w:rPr>
          <w:rFonts w:cs="Arial"/>
          <w:szCs w:val="24"/>
        </w:rPr>
        <w:t xml:space="preserve"> not necessarily an amount.</w:t>
      </w:r>
    </w:p>
    <w:p w14:paraId="1449F682" w14:textId="5425D149" w:rsidR="00C808C6" w:rsidRPr="002D0A44" w:rsidRDefault="002D0A44" w:rsidP="002D0A44">
      <w:pPr>
        <w:spacing w:after="360" w:line="480" w:lineRule="auto"/>
        <w:ind w:left="720" w:hanging="720"/>
        <w:jc w:val="both"/>
        <w:rPr>
          <w:rFonts w:cs="Arial"/>
          <w:szCs w:val="24"/>
        </w:rPr>
      </w:pPr>
      <w:r>
        <w:rPr>
          <w:rFonts w:cs="Arial"/>
          <w:szCs w:val="24"/>
        </w:rPr>
        <w:lastRenderedPageBreak/>
        <w:t>[58]</w:t>
      </w:r>
      <w:r>
        <w:rPr>
          <w:rFonts w:cs="Arial"/>
          <w:szCs w:val="24"/>
        </w:rPr>
        <w:tab/>
      </w:r>
      <w:r w:rsidR="00C808C6" w:rsidRPr="002D0A44">
        <w:rPr>
          <w:rFonts w:cs="Arial"/>
          <w:szCs w:val="24"/>
        </w:rPr>
        <w:t xml:space="preserve">Nor </w:t>
      </w:r>
      <w:r w:rsidR="00216728" w:rsidRPr="002D0A44">
        <w:rPr>
          <w:rFonts w:cs="Arial"/>
          <w:szCs w:val="24"/>
        </w:rPr>
        <w:t>is</w:t>
      </w:r>
      <w:r w:rsidR="00C808C6" w:rsidRPr="002D0A44">
        <w:rPr>
          <w:rFonts w:cs="Arial"/>
          <w:szCs w:val="24"/>
        </w:rPr>
        <w:t xml:space="preserve"> the taxpayers argument that the meaning in a section concerning an assessment cannot be used to interpret a different section of the Act </w:t>
      </w:r>
      <w:r w:rsidR="00216728" w:rsidRPr="002D0A44">
        <w:rPr>
          <w:rFonts w:cs="Arial"/>
          <w:szCs w:val="24"/>
        </w:rPr>
        <w:t>persuasive</w:t>
      </w:r>
      <w:r w:rsidR="001B5028" w:rsidRPr="002D0A44">
        <w:rPr>
          <w:rFonts w:cs="Arial"/>
          <w:szCs w:val="24"/>
        </w:rPr>
        <w:t>.</w:t>
      </w:r>
    </w:p>
    <w:p w14:paraId="01050958" w14:textId="7288BB15" w:rsidR="00946CCE" w:rsidRPr="002D0A44" w:rsidRDefault="002D0A44" w:rsidP="008A4672">
      <w:pPr>
        <w:spacing w:after="0" w:line="480" w:lineRule="auto"/>
        <w:jc w:val="both"/>
        <w:rPr>
          <w:rFonts w:cs="Arial"/>
          <w:szCs w:val="24"/>
        </w:rPr>
      </w:pPr>
      <w:r>
        <w:rPr>
          <w:rFonts w:cs="Arial"/>
          <w:szCs w:val="24"/>
        </w:rPr>
        <w:t>[59]</w:t>
      </w:r>
      <w:r>
        <w:rPr>
          <w:rFonts w:cs="Arial"/>
          <w:szCs w:val="24"/>
        </w:rPr>
        <w:tab/>
      </w:r>
      <w:r w:rsidR="00216728" w:rsidRPr="002D0A44">
        <w:rPr>
          <w:rFonts w:cs="Arial"/>
          <w:szCs w:val="24"/>
        </w:rPr>
        <w:t xml:space="preserve">As </w:t>
      </w:r>
      <w:r w:rsidR="001B79B8" w:rsidRPr="002D0A44">
        <w:rPr>
          <w:rFonts w:cs="Arial"/>
          <w:szCs w:val="24"/>
        </w:rPr>
        <w:t>Kellaway writes in his textbook</w:t>
      </w:r>
      <w:r w:rsidR="00EA2975" w:rsidRPr="002D0A44">
        <w:rPr>
          <w:rFonts w:cs="Arial"/>
          <w:szCs w:val="24"/>
        </w:rPr>
        <w:t xml:space="preserve"> on statutory interpretation</w:t>
      </w:r>
      <w:r w:rsidR="001B79B8" w:rsidRPr="002D0A44">
        <w:rPr>
          <w:rFonts w:cs="Arial"/>
          <w:szCs w:val="24"/>
        </w:rPr>
        <w:t>:</w:t>
      </w:r>
      <w:r w:rsidR="008A4672">
        <w:rPr>
          <w:rFonts w:cs="Arial"/>
          <w:szCs w:val="24"/>
        </w:rPr>
        <w:t xml:space="preserve"> </w:t>
      </w:r>
    </w:p>
    <w:p w14:paraId="63DEE737" w14:textId="033B561A" w:rsidR="00CF2276" w:rsidRPr="00B12D64" w:rsidRDefault="00946CCE" w:rsidP="002D0A44">
      <w:pPr>
        <w:pStyle w:val="ListParagraph"/>
        <w:spacing w:after="360" w:line="480" w:lineRule="auto"/>
        <w:ind w:left="1440"/>
        <w:contextualSpacing w:val="0"/>
        <w:jc w:val="both"/>
        <w:rPr>
          <w:rFonts w:cs="Arial"/>
          <w:szCs w:val="24"/>
        </w:rPr>
      </w:pPr>
      <w:r w:rsidRPr="00B12D64">
        <w:rPr>
          <w:rFonts w:cs="Arial"/>
          <w:i/>
          <w:iCs/>
          <w:szCs w:val="24"/>
        </w:rPr>
        <w:t>“Where</w:t>
      </w:r>
      <w:r w:rsidR="001B79B8" w:rsidRPr="00B12D64">
        <w:rPr>
          <w:rFonts w:cs="Arial"/>
          <w:i/>
          <w:iCs/>
          <w:szCs w:val="24"/>
        </w:rPr>
        <w:t xml:space="preserve"> the legislature uses the same word in the same enactment </w:t>
      </w:r>
      <w:r w:rsidRPr="00B12D64">
        <w:rPr>
          <w:rFonts w:cs="Arial"/>
          <w:i/>
          <w:iCs/>
          <w:szCs w:val="24"/>
        </w:rPr>
        <w:t>it should be given the same meaning”</w:t>
      </w:r>
      <w:r w:rsidRPr="00B12D64">
        <w:rPr>
          <w:rStyle w:val="FootnoteReference"/>
          <w:rFonts w:cs="Arial"/>
          <w:i/>
          <w:iCs/>
          <w:szCs w:val="24"/>
        </w:rPr>
        <w:footnoteReference w:id="24"/>
      </w:r>
      <w:r w:rsidR="00084215" w:rsidRPr="00B12D64">
        <w:rPr>
          <w:rFonts w:cs="Arial"/>
          <w:i/>
          <w:iCs/>
          <w:szCs w:val="24"/>
        </w:rPr>
        <w:t xml:space="preserve">. </w:t>
      </w:r>
      <w:r w:rsidR="00084215" w:rsidRPr="00B12D64">
        <w:rPr>
          <w:rFonts w:cs="Arial"/>
          <w:szCs w:val="24"/>
        </w:rPr>
        <w:t xml:space="preserve"> </w:t>
      </w:r>
    </w:p>
    <w:p w14:paraId="6AAAD778" w14:textId="2F46BA1C" w:rsidR="00CF2276" w:rsidRPr="002D0A44" w:rsidRDefault="002D0A44" w:rsidP="00326A8C">
      <w:pPr>
        <w:spacing w:after="0" w:line="480" w:lineRule="auto"/>
        <w:ind w:left="720" w:hanging="720"/>
        <w:jc w:val="both"/>
        <w:rPr>
          <w:rFonts w:cs="Arial"/>
          <w:szCs w:val="24"/>
        </w:rPr>
      </w:pPr>
      <w:r>
        <w:rPr>
          <w:rFonts w:cs="Arial"/>
          <w:szCs w:val="24"/>
        </w:rPr>
        <w:t>[60]</w:t>
      </w:r>
      <w:r>
        <w:rPr>
          <w:rFonts w:cs="Arial"/>
          <w:szCs w:val="24"/>
        </w:rPr>
        <w:tab/>
      </w:r>
      <w:r w:rsidR="00CF2276" w:rsidRPr="002D0A44">
        <w:rPr>
          <w:rFonts w:cs="Arial"/>
          <w:szCs w:val="24"/>
        </w:rPr>
        <w:t xml:space="preserve">As authority for this </w:t>
      </w:r>
      <w:r w:rsidR="00F916D3" w:rsidRPr="002D0A44">
        <w:rPr>
          <w:rFonts w:cs="Arial"/>
          <w:szCs w:val="24"/>
        </w:rPr>
        <w:t>proposition,</w:t>
      </w:r>
      <w:r w:rsidR="00CF2276" w:rsidRPr="002D0A44">
        <w:rPr>
          <w:rFonts w:cs="Arial"/>
          <w:szCs w:val="24"/>
        </w:rPr>
        <w:t xml:space="preserve"> he cites </w:t>
      </w:r>
      <w:r w:rsidR="006F7883" w:rsidRPr="002D0A44">
        <w:rPr>
          <w:rFonts w:cs="Arial"/>
          <w:szCs w:val="24"/>
        </w:rPr>
        <w:t xml:space="preserve">what Steyn JA held in </w:t>
      </w:r>
      <w:r w:rsidR="006F7883" w:rsidRPr="002D0A44">
        <w:rPr>
          <w:rFonts w:cs="Arial"/>
          <w:i/>
          <w:iCs/>
          <w:szCs w:val="24"/>
        </w:rPr>
        <w:t xml:space="preserve">Minister of Interior v Machadorp </w:t>
      </w:r>
      <w:r w:rsidR="002A75F6" w:rsidRPr="002D0A44">
        <w:rPr>
          <w:rFonts w:cs="Arial"/>
          <w:i/>
          <w:iCs/>
          <w:szCs w:val="24"/>
        </w:rPr>
        <w:t xml:space="preserve">Investments </w:t>
      </w:r>
      <w:r w:rsidR="00AB07F4" w:rsidRPr="002D0A44">
        <w:rPr>
          <w:rFonts w:cs="Arial"/>
          <w:i/>
          <w:iCs/>
          <w:szCs w:val="24"/>
        </w:rPr>
        <w:t>(Pty) Ltd</w:t>
      </w:r>
      <w:r w:rsidR="00AB07F4" w:rsidRPr="002D0A44">
        <w:rPr>
          <w:rFonts w:cs="Arial"/>
          <w:szCs w:val="24"/>
        </w:rPr>
        <w:t>:</w:t>
      </w:r>
      <w:r w:rsidR="0096450C">
        <w:rPr>
          <w:rFonts w:cs="Arial"/>
          <w:szCs w:val="24"/>
        </w:rPr>
        <w:t xml:space="preserve"> </w:t>
      </w:r>
    </w:p>
    <w:p w14:paraId="581D6E52" w14:textId="07AEDCC6" w:rsidR="00AB07F4" w:rsidRPr="00132A9B" w:rsidRDefault="002D0A44" w:rsidP="00132A9B">
      <w:pPr>
        <w:spacing w:after="360" w:line="480" w:lineRule="auto"/>
        <w:ind w:left="1440"/>
        <w:jc w:val="both"/>
        <w:rPr>
          <w:rFonts w:cs="Arial"/>
          <w:szCs w:val="24"/>
        </w:rPr>
      </w:pPr>
      <w:r w:rsidRPr="00132A9B">
        <w:rPr>
          <w:rFonts w:cs="Arial"/>
          <w:i/>
          <w:iCs/>
          <w:szCs w:val="24"/>
        </w:rPr>
        <w:t>“</w:t>
      </w:r>
      <w:r w:rsidR="00AB07F4" w:rsidRPr="00132A9B">
        <w:rPr>
          <w:rFonts w:cs="Arial"/>
          <w:i/>
          <w:iCs/>
          <w:szCs w:val="24"/>
        </w:rPr>
        <w:t xml:space="preserve">[…] it may reasonably be supposed that out of a proper concern </w:t>
      </w:r>
      <w:r w:rsidR="00161DE6" w:rsidRPr="00132A9B">
        <w:rPr>
          <w:rFonts w:cs="Arial"/>
          <w:i/>
          <w:iCs/>
          <w:szCs w:val="24"/>
        </w:rPr>
        <w:t>for the intelligibility of its language, it would intend the word to be understood</w:t>
      </w:r>
      <w:r w:rsidR="006F2BB0" w:rsidRPr="00132A9B">
        <w:rPr>
          <w:rFonts w:cs="Arial"/>
          <w:i/>
          <w:iCs/>
          <w:szCs w:val="24"/>
        </w:rPr>
        <w:t>, where no clear indication to the contrary is given</w:t>
      </w:r>
      <w:r w:rsidR="00AB7C93" w:rsidRPr="00132A9B">
        <w:rPr>
          <w:rFonts w:cs="Arial"/>
          <w:i/>
          <w:iCs/>
          <w:szCs w:val="24"/>
        </w:rPr>
        <w:t>, in the same sense throughout the enactment</w:t>
      </w:r>
      <w:r w:rsidR="00AB7C93" w:rsidRPr="00132A9B">
        <w:rPr>
          <w:rFonts w:cs="Arial"/>
          <w:szCs w:val="24"/>
        </w:rPr>
        <w:t>”</w:t>
      </w:r>
    </w:p>
    <w:p w14:paraId="69B3711F" w14:textId="5B24FB05" w:rsidR="00052097" w:rsidRPr="002D0A44" w:rsidRDefault="002D0A44" w:rsidP="00326A8C">
      <w:pPr>
        <w:spacing w:after="0" w:line="480" w:lineRule="auto"/>
        <w:jc w:val="both"/>
        <w:rPr>
          <w:rFonts w:cs="Arial"/>
          <w:szCs w:val="24"/>
        </w:rPr>
      </w:pPr>
      <w:r>
        <w:rPr>
          <w:rFonts w:cs="Arial"/>
          <w:szCs w:val="24"/>
        </w:rPr>
        <w:t>[61]</w:t>
      </w:r>
      <w:r>
        <w:rPr>
          <w:rFonts w:cs="Arial"/>
          <w:szCs w:val="24"/>
        </w:rPr>
        <w:tab/>
      </w:r>
      <w:r w:rsidR="005133A9" w:rsidRPr="002D0A44">
        <w:rPr>
          <w:rFonts w:cs="Arial"/>
          <w:szCs w:val="24"/>
        </w:rPr>
        <w:t>Kellaway</w:t>
      </w:r>
      <w:r w:rsidR="00052097" w:rsidRPr="002D0A44">
        <w:rPr>
          <w:rFonts w:cs="Arial"/>
          <w:szCs w:val="24"/>
        </w:rPr>
        <w:t xml:space="preserve"> goes on to stat</w:t>
      </w:r>
      <w:r w:rsidR="000F2156" w:rsidRPr="002D0A44">
        <w:rPr>
          <w:rFonts w:cs="Arial"/>
          <w:szCs w:val="24"/>
        </w:rPr>
        <w:t>e:</w:t>
      </w:r>
      <w:r w:rsidR="00326A8C">
        <w:rPr>
          <w:rFonts w:cs="Arial"/>
          <w:szCs w:val="24"/>
        </w:rPr>
        <w:t xml:space="preserve"> </w:t>
      </w:r>
    </w:p>
    <w:p w14:paraId="19400D3D" w14:textId="32338931" w:rsidR="000F2156" w:rsidRPr="00132A9B" w:rsidRDefault="005133A9" w:rsidP="00132A9B">
      <w:pPr>
        <w:spacing w:after="360" w:line="480" w:lineRule="auto"/>
        <w:ind w:left="1440"/>
        <w:jc w:val="both"/>
        <w:rPr>
          <w:rFonts w:cs="Arial"/>
          <w:i/>
          <w:iCs/>
          <w:szCs w:val="24"/>
        </w:rPr>
      </w:pPr>
      <w:r w:rsidRPr="00132A9B">
        <w:rPr>
          <w:rFonts w:cs="Arial"/>
          <w:i/>
          <w:iCs/>
          <w:szCs w:val="24"/>
        </w:rPr>
        <w:t>“</w:t>
      </w:r>
      <w:r w:rsidR="000F2156" w:rsidRPr="00132A9B">
        <w:rPr>
          <w:rFonts w:cs="Arial"/>
          <w:i/>
          <w:iCs/>
          <w:szCs w:val="24"/>
        </w:rPr>
        <w:t xml:space="preserve">South African courts have also said that a word </w:t>
      </w:r>
      <w:r w:rsidR="004C0BD1" w:rsidRPr="00132A9B">
        <w:rPr>
          <w:rFonts w:cs="Arial"/>
          <w:i/>
          <w:iCs/>
          <w:szCs w:val="24"/>
        </w:rPr>
        <w:t>which has a meaning as used in a provision of a statu</w:t>
      </w:r>
      <w:r w:rsidR="002A6EC0" w:rsidRPr="00132A9B">
        <w:rPr>
          <w:rFonts w:cs="Arial"/>
          <w:i/>
          <w:iCs/>
          <w:szCs w:val="24"/>
        </w:rPr>
        <w:t xml:space="preserve">te should be construed as having the same sense throughout the statute unless it is obvious </w:t>
      </w:r>
      <w:r w:rsidR="00823C1C" w:rsidRPr="00132A9B">
        <w:rPr>
          <w:rFonts w:cs="Arial"/>
          <w:i/>
          <w:iCs/>
          <w:szCs w:val="24"/>
        </w:rPr>
        <w:t xml:space="preserve">that the intention of the legislature is that it should have a different </w:t>
      </w:r>
      <w:r w:rsidR="009D7B81" w:rsidRPr="00132A9B">
        <w:rPr>
          <w:rFonts w:cs="Arial"/>
          <w:i/>
          <w:iCs/>
          <w:szCs w:val="24"/>
        </w:rPr>
        <w:t>or wider or restricted meaning.”</w:t>
      </w:r>
      <w:r w:rsidR="009D7B81" w:rsidRPr="00B12D64">
        <w:rPr>
          <w:rStyle w:val="FootnoteReference"/>
          <w:rFonts w:cs="Arial"/>
          <w:i/>
          <w:iCs/>
          <w:szCs w:val="24"/>
        </w:rPr>
        <w:footnoteReference w:id="25"/>
      </w:r>
    </w:p>
    <w:p w14:paraId="67B5D72E" w14:textId="756729C8" w:rsidR="00CF7918" w:rsidRPr="002D0A44" w:rsidRDefault="002D0A44" w:rsidP="002D0A44">
      <w:pPr>
        <w:spacing w:after="360" w:line="480" w:lineRule="auto"/>
        <w:ind w:left="720" w:hanging="720"/>
        <w:jc w:val="both"/>
        <w:rPr>
          <w:rFonts w:cs="Arial"/>
          <w:i/>
          <w:iCs/>
          <w:szCs w:val="24"/>
        </w:rPr>
      </w:pPr>
      <w:r>
        <w:rPr>
          <w:rFonts w:cs="Arial"/>
          <w:szCs w:val="24"/>
        </w:rPr>
        <w:t>[62]</w:t>
      </w:r>
      <w:r>
        <w:rPr>
          <w:rFonts w:cs="Arial"/>
          <w:szCs w:val="24"/>
        </w:rPr>
        <w:tab/>
      </w:r>
      <w:r w:rsidR="0005671C" w:rsidRPr="002D0A44">
        <w:rPr>
          <w:rFonts w:cs="Arial"/>
          <w:szCs w:val="24"/>
        </w:rPr>
        <w:t xml:space="preserve">There is no reason why the legislature should have intended to give an extended meaning to the term </w:t>
      </w:r>
      <w:r w:rsidR="0005671C" w:rsidRPr="002D0A44">
        <w:rPr>
          <w:rFonts w:cs="Arial"/>
          <w:i/>
          <w:iCs/>
          <w:szCs w:val="24"/>
        </w:rPr>
        <w:t>grounds</w:t>
      </w:r>
      <w:r w:rsidR="0005671C" w:rsidRPr="002D0A44">
        <w:rPr>
          <w:rFonts w:cs="Arial"/>
          <w:szCs w:val="24"/>
        </w:rPr>
        <w:t xml:space="preserve"> in section 42(2)(b)</w:t>
      </w:r>
      <w:r w:rsidR="00561DAC" w:rsidRPr="002D0A44">
        <w:rPr>
          <w:rFonts w:cs="Arial"/>
          <w:szCs w:val="24"/>
        </w:rPr>
        <w:t xml:space="preserve"> to include amount,</w:t>
      </w:r>
      <w:r w:rsidR="0005671C" w:rsidRPr="002D0A44">
        <w:rPr>
          <w:rFonts w:cs="Arial"/>
          <w:szCs w:val="24"/>
        </w:rPr>
        <w:t xml:space="preserve"> having clearly intended to restrict its meaning in section 96</w:t>
      </w:r>
      <w:r w:rsidR="00561DAC" w:rsidRPr="002D0A44">
        <w:rPr>
          <w:rFonts w:cs="Arial"/>
          <w:szCs w:val="24"/>
        </w:rPr>
        <w:t xml:space="preserve"> by referring to these terms separately</w:t>
      </w:r>
      <w:r w:rsidR="0005671C" w:rsidRPr="002D0A44">
        <w:rPr>
          <w:rFonts w:cs="Arial"/>
          <w:szCs w:val="24"/>
        </w:rPr>
        <w:t>.</w:t>
      </w:r>
      <w:r w:rsidR="00315956" w:rsidRPr="002D0A44">
        <w:rPr>
          <w:rFonts w:cs="Arial"/>
          <w:szCs w:val="24"/>
        </w:rPr>
        <w:t xml:space="preserve"> </w:t>
      </w:r>
      <w:r w:rsidR="00C46784" w:rsidRPr="002D0A44">
        <w:rPr>
          <w:rFonts w:cs="Arial"/>
          <w:szCs w:val="24"/>
        </w:rPr>
        <w:lastRenderedPageBreak/>
        <w:t>Thus,</w:t>
      </w:r>
      <w:r w:rsidR="002818CC" w:rsidRPr="002D0A44">
        <w:rPr>
          <w:rFonts w:cs="Arial"/>
          <w:szCs w:val="24"/>
        </w:rPr>
        <w:t xml:space="preserve"> to the extent that the taxpayers raise what might be considered a pure point of law</w:t>
      </w:r>
      <w:r w:rsidR="008A3C9B" w:rsidRPr="002D0A44">
        <w:rPr>
          <w:rFonts w:cs="Arial"/>
          <w:szCs w:val="24"/>
        </w:rPr>
        <w:t>,</w:t>
      </w:r>
      <w:r w:rsidR="002818CC" w:rsidRPr="002D0A44">
        <w:rPr>
          <w:rFonts w:cs="Arial"/>
          <w:szCs w:val="24"/>
        </w:rPr>
        <w:t xml:space="preserve"> and one arguably exceptional because of its uniqueness</w:t>
      </w:r>
      <w:r w:rsidR="008A3C9B" w:rsidRPr="002D0A44">
        <w:rPr>
          <w:rFonts w:cs="Arial"/>
          <w:szCs w:val="24"/>
        </w:rPr>
        <w:t>,</w:t>
      </w:r>
      <w:r w:rsidR="002818CC" w:rsidRPr="002D0A44">
        <w:rPr>
          <w:rFonts w:cs="Arial"/>
          <w:szCs w:val="24"/>
        </w:rPr>
        <w:t xml:space="preserve"> </w:t>
      </w:r>
      <w:r w:rsidR="00864AE6" w:rsidRPr="002D0A44">
        <w:rPr>
          <w:rFonts w:cs="Arial"/>
          <w:szCs w:val="24"/>
        </w:rPr>
        <w:t xml:space="preserve">I do not consider this point </w:t>
      </w:r>
      <w:r w:rsidR="00443A8F" w:rsidRPr="002D0A44">
        <w:rPr>
          <w:rFonts w:cs="Arial"/>
          <w:szCs w:val="24"/>
        </w:rPr>
        <w:t xml:space="preserve">of interpretation to be correct and thus </w:t>
      </w:r>
      <w:r w:rsidR="00864AE6" w:rsidRPr="002D0A44">
        <w:rPr>
          <w:rFonts w:cs="Arial"/>
          <w:szCs w:val="24"/>
        </w:rPr>
        <w:t>so decisive that it should clinch the argument in their favour</w:t>
      </w:r>
      <w:r w:rsidR="00B539A5" w:rsidRPr="002D0A44">
        <w:rPr>
          <w:rFonts w:cs="Arial"/>
          <w:szCs w:val="24"/>
        </w:rPr>
        <w:t xml:space="preserve"> of justifying a section 105 direction</w:t>
      </w:r>
      <w:r w:rsidR="00864AE6" w:rsidRPr="002D0A44">
        <w:rPr>
          <w:rFonts w:cs="Arial"/>
          <w:szCs w:val="24"/>
        </w:rPr>
        <w:t>.</w:t>
      </w:r>
    </w:p>
    <w:p w14:paraId="02ADF9E5" w14:textId="069BE161" w:rsidR="007C16F2" w:rsidRPr="002D0A44" w:rsidRDefault="002D0A44" w:rsidP="002D0A44">
      <w:pPr>
        <w:spacing w:after="360" w:line="480" w:lineRule="auto"/>
        <w:ind w:left="720" w:hanging="720"/>
        <w:jc w:val="both"/>
        <w:rPr>
          <w:rFonts w:cs="Arial"/>
          <w:szCs w:val="24"/>
        </w:rPr>
      </w:pPr>
      <w:r>
        <w:rPr>
          <w:rFonts w:cs="Arial"/>
          <w:szCs w:val="24"/>
        </w:rPr>
        <w:t>[63]</w:t>
      </w:r>
      <w:r>
        <w:rPr>
          <w:rFonts w:cs="Arial"/>
          <w:szCs w:val="24"/>
        </w:rPr>
        <w:tab/>
      </w:r>
      <w:r w:rsidR="00864AE6" w:rsidRPr="002D0A44">
        <w:rPr>
          <w:rFonts w:cs="Arial"/>
          <w:szCs w:val="24"/>
        </w:rPr>
        <w:t xml:space="preserve">The remaining points </w:t>
      </w:r>
      <w:r w:rsidR="00443A8F" w:rsidRPr="002D0A44">
        <w:rPr>
          <w:rFonts w:cs="Arial"/>
          <w:szCs w:val="24"/>
        </w:rPr>
        <w:t xml:space="preserve">on the July letter </w:t>
      </w:r>
      <w:r w:rsidR="00375824" w:rsidRPr="002D0A44">
        <w:rPr>
          <w:rFonts w:cs="Arial"/>
          <w:szCs w:val="24"/>
        </w:rPr>
        <w:t xml:space="preserve">are not pure points of law because they raise issues of mixed facts and law. </w:t>
      </w:r>
      <w:r w:rsidR="00C46784" w:rsidRPr="002D0A44">
        <w:rPr>
          <w:rFonts w:cs="Arial"/>
          <w:szCs w:val="24"/>
        </w:rPr>
        <w:t>Thus,</w:t>
      </w:r>
      <w:r w:rsidR="00375824" w:rsidRPr="002D0A44">
        <w:rPr>
          <w:rFonts w:cs="Arial"/>
          <w:szCs w:val="24"/>
        </w:rPr>
        <w:t xml:space="preserve"> </w:t>
      </w:r>
      <w:r w:rsidR="002471F7" w:rsidRPr="002D0A44">
        <w:rPr>
          <w:rFonts w:cs="Arial"/>
          <w:szCs w:val="24"/>
        </w:rPr>
        <w:t xml:space="preserve">the taxpayers allegation that </w:t>
      </w:r>
      <w:r w:rsidR="00375824" w:rsidRPr="002D0A44">
        <w:rPr>
          <w:rFonts w:cs="Arial"/>
          <w:szCs w:val="24"/>
        </w:rPr>
        <w:t xml:space="preserve">the audit had </w:t>
      </w:r>
      <w:r w:rsidR="002471F7" w:rsidRPr="002D0A44">
        <w:rPr>
          <w:rFonts w:cs="Arial"/>
          <w:szCs w:val="24"/>
        </w:rPr>
        <w:t xml:space="preserve">not </w:t>
      </w:r>
      <w:r w:rsidR="00375824" w:rsidRPr="002D0A44">
        <w:rPr>
          <w:rFonts w:cs="Arial"/>
          <w:szCs w:val="24"/>
        </w:rPr>
        <w:t xml:space="preserve">been concluded </w:t>
      </w:r>
      <w:r w:rsidR="002471F7" w:rsidRPr="002D0A44">
        <w:rPr>
          <w:rFonts w:cs="Arial"/>
          <w:szCs w:val="24"/>
        </w:rPr>
        <w:t xml:space="preserve">by the time of the </w:t>
      </w:r>
      <w:r w:rsidR="00D268C2" w:rsidRPr="002D0A44">
        <w:rPr>
          <w:rFonts w:cs="Arial"/>
          <w:szCs w:val="24"/>
        </w:rPr>
        <w:t xml:space="preserve">July </w:t>
      </w:r>
      <w:r w:rsidR="002471F7" w:rsidRPr="002D0A44">
        <w:rPr>
          <w:rFonts w:cs="Arial"/>
          <w:szCs w:val="24"/>
        </w:rPr>
        <w:t xml:space="preserve">letter, </w:t>
      </w:r>
      <w:r w:rsidR="00375824" w:rsidRPr="002D0A44">
        <w:rPr>
          <w:rFonts w:cs="Arial"/>
          <w:szCs w:val="24"/>
        </w:rPr>
        <w:t xml:space="preserve">is denied in the answering affidavit by SARS deponent </w:t>
      </w:r>
      <w:r w:rsidR="007C16F2" w:rsidRPr="002D0A44">
        <w:rPr>
          <w:rFonts w:cs="Arial"/>
          <w:szCs w:val="24"/>
        </w:rPr>
        <w:t>Dr Marcus and</w:t>
      </w:r>
      <w:r w:rsidR="0007272B" w:rsidRPr="002D0A44">
        <w:rPr>
          <w:rFonts w:cs="Arial"/>
          <w:szCs w:val="24"/>
        </w:rPr>
        <w:t xml:space="preserve"> is therefor</w:t>
      </w:r>
      <w:r w:rsidR="00C51066" w:rsidRPr="002D0A44">
        <w:rPr>
          <w:rFonts w:cs="Arial"/>
          <w:szCs w:val="24"/>
        </w:rPr>
        <w:t>e</w:t>
      </w:r>
      <w:r w:rsidR="0007272B" w:rsidRPr="002D0A44">
        <w:rPr>
          <w:rFonts w:cs="Arial"/>
          <w:szCs w:val="24"/>
        </w:rPr>
        <w:t xml:space="preserve"> a fact in dispute.</w:t>
      </w:r>
      <w:r w:rsidR="00C51066" w:rsidRPr="002D0A44">
        <w:rPr>
          <w:rFonts w:cs="Arial"/>
          <w:szCs w:val="24"/>
        </w:rPr>
        <w:t xml:space="preserve"> Moreover</w:t>
      </w:r>
      <w:r w:rsidR="00C46784" w:rsidRPr="002D0A44">
        <w:rPr>
          <w:rFonts w:cs="Arial"/>
          <w:szCs w:val="24"/>
        </w:rPr>
        <w:t>,</w:t>
      </w:r>
      <w:r w:rsidR="00C51066" w:rsidRPr="002D0A44">
        <w:rPr>
          <w:rFonts w:cs="Arial"/>
          <w:szCs w:val="24"/>
        </w:rPr>
        <w:t xml:space="preserve"> this is not simply a matter of what he said in the answering affidavit. In the July letter the </w:t>
      </w:r>
      <w:r w:rsidR="004B2256" w:rsidRPr="002D0A44">
        <w:rPr>
          <w:rFonts w:cs="Arial"/>
          <w:szCs w:val="24"/>
        </w:rPr>
        <w:t>second paragraph states: “</w:t>
      </w:r>
      <w:r w:rsidR="004B2256" w:rsidRPr="002D0A44">
        <w:rPr>
          <w:rFonts w:cs="Arial"/>
          <w:i/>
          <w:iCs/>
          <w:szCs w:val="24"/>
        </w:rPr>
        <w:t>SARS has completed its preliminary audit</w:t>
      </w:r>
      <w:r w:rsidR="002A1519" w:rsidRPr="002D0A44">
        <w:rPr>
          <w:rFonts w:cs="Arial"/>
          <w:i/>
          <w:iCs/>
          <w:szCs w:val="24"/>
        </w:rPr>
        <w:t>”</w:t>
      </w:r>
      <w:r w:rsidR="004B2256" w:rsidRPr="002D0A44">
        <w:rPr>
          <w:rFonts w:cs="Arial"/>
          <w:szCs w:val="24"/>
        </w:rPr>
        <w:t xml:space="preserve">. </w:t>
      </w:r>
      <w:r w:rsidR="001C7C2E" w:rsidRPr="002D0A44">
        <w:rPr>
          <w:rFonts w:cs="Arial"/>
          <w:szCs w:val="24"/>
        </w:rPr>
        <w:t xml:space="preserve"> </w:t>
      </w:r>
    </w:p>
    <w:p w14:paraId="3BEE53F1" w14:textId="4E8766D5" w:rsidR="00D254B9" w:rsidRPr="002D0A44" w:rsidRDefault="002D0A44" w:rsidP="002D0A44">
      <w:pPr>
        <w:spacing w:after="360" w:line="480" w:lineRule="auto"/>
        <w:ind w:left="720" w:hanging="720"/>
        <w:jc w:val="both"/>
        <w:rPr>
          <w:rFonts w:cs="Arial"/>
          <w:szCs w:val="24"/>
        </w:rPr>
      </w:pPr>
      <w:r>
        <w:rPr>
          <w:rFonts w:cs="Arial"/>
          <w:szCs w:val="24"/>
        </w:rPr>
        <w:t>[64]</w:t>
      </w:r>
      <w:r>
        <w:rPr>
          <w:rFonts w:cs="Arial"/>
          <w:szCs w:val="24"/>
        </w:rPr>
        <w:tab/>
      </w:r>
      <w:r w:rsidR="001C7C2E" w:rsidRPr="002D0A44">
        <w:rPr>
          <w:rFonts w:cs="Arial"/>
          <w:szCs w:val="24"/>
        </w:rPr>
        <w:t>Granted the taxpayers rel</w:t>
      </w:r>
      <w:r w:rsidR="0007272B" w:rsidRPr="002D0A44">
        <w:rPr>
          <w:rFonts w:cs="Arial"/>
          <w:szCs w:val="24"/>
        </w:rPr>
        <w:t xml:space="preserve">ying on </w:t>
      </w:r>
      <w:r w:rsidR="007C16F2" w:rsidRPr="002D0A44">
        <w:rPr>
          <w:rFonts w:cs="Arial"/>
          <w:szCs w:val="24"/>
        </w:rPr>
        <w:t xml:space="preserve">the </w:t>
      </w:r>
      <w:r w:rsidR="0007272B" w:rsidRPr="002D0A44">
        <w:rPr>
          <w:rFonts w:cs="Arial"/>
          <w:i/>
          <w:szCs w:val="24"/>
        </w:rPr>
        <w:t>Wightman</w:t>
      </w:r>
      <w:r w:rsidR="0007272B" w:rsidRPr="002D0A44">
        <w:rPr>
          <w:rFonts w:cs="Arial"/>
          <w:szCs w:val="24"/>
        </w:rPr>
        <w:t xml:space="preserve"> </w:t>
      </w:r>
      <w:r w:rsidR="007C16F2" w:rsidRPr="002D0A44">
        <w:rPr>
          <w:rFonts w:cs="Arial"/>
          <w:szCs w:val="24"/>
        </w:rPr>
        <w:t xml:space="preserve">case </w:t>
      </w:r>
      <w:r w:rsidR="0007272B" w:rsidRPr="002D0A44">
        <w:rPr>
          <w:rFonts w:cs="Arial"/>
          <w:szCs w:val="24"/>
        </w:rPr>
        <w:t>try to argue that the bare denial</w:t>
      </w:r>
      <w:r w:rsidR="00570F22" w:rsidRPr="002D0A44">
        <w:rPr>
          <w:rFonts w:cs="Arial"/>
          <w:szCs w:val="24"/>
        </w:rPr>
        <w:t xml:space="preserve"> in the answering affidavit </w:t>
      </w:r>
      <w:r w:rsidR="0007272B" w:rsidRPr="002D0A44">
        <w:rPr>
          <w:rFonts w:cs="Arial"/>
          <w:szCs w:val="24"/>
        </w:rPr>
        <w:t xml:space="preserve">is insufficient because the subsequent correspondence between </w:t>
      </w:r>
      <w:r w:rsidR="00FB4D9A" w:rsidRPr="002D0A44">
        <w:rPr>
          <w:rFonts w:cs="Arial"/>
          <w:szCs w:val="24"/>
        </w:rPr>
        <w:t>SARS and the taxpayers suggests the contrary.</w:t>
      </w:r>
      <w:r w:rsidR="00F04F7C" w:rsidRPr="00B12D64">
        <w:rPr>
          <w:rStyle w:val="FootnoteReference"/>
          <w:rFonts w:cs="Arial"/>
          <w:szCs w:val="24"/>
        </w:rPr>
        <w:footnoteReference w:id="26"/>
      </w:r>
      <w:r w:rsidR="00FB4D9A" w:rsidRPr="002D0A44">
        <w:rPr>
          <w:rFonts w:cs="Arial"/>
          <w:szCs w:val="24"/>
        </w:rPr>
        <w:t xml:space="preserve"> </w:t>
      </w:r>
      <w:r w:rsidR="00B07028" w:rsidRPr="002D0A44">
        <w:rPr>
          <w:rFonts w:cs="Arial"/>
          <w:szCs w:val="24"/>
        </w:rPr>
        <w:t xml:space="preserve"> </w:t>
      </w:r>
      <w:r w:rsidR="006F2D69" w:rsidRPr="002D0A44">
        <w:rPr>
          <w:rFonts w:cs="Arial"/>
          <w:szCs w:val="24"/>
        </w:rPr>
        <w:t xml:space="preserve">Further they argue </w:t>
      </w:r>
      <w:r w:rsidR="00AF1490" w:rsidRPr="002D0A44">
        <w:rPr>
          <w:rFonts w:cs="Arial"/>
          <w:szCs w:val="24"/>
        </w:rPr>
        <w:t xml:space="preserve">that the word </w:t>
      </w:r>
      <w:r w:rsidR="00F66192" w:rsidRPr="002D0A44">
        <w:rPr>
          <w:rFonts w:cs="Arial"/>
          <w:szCs w:val="24"/>
        </w:rPr>
        <w:t>‘</w:t>
      </w:r>
      <w:r w:rsidR="00AF1490" w:rsidRPr="002D0A44">
        <w:rPr>
          <w:rFonts w:cs="Arial"/>
          <w:i/>
          <w:iCs/>
          <w:szCs w:val="24"/>
        </w:rPr>
        <w:t>preliminary</w:t>
      </w:r>
      <w:r w:rsidR="00F66192" w:rsidRPr="002D0A44">
        <w:rPr>
          <w:rFonts w:cs="Arial"/>
          <w:i/>
          <w:iCs/>
          <w:szCs w:val="24"/>
        </w:rPr>
        <w:t>’</w:t>
      </w:r>
      <w:r w:rsidR="00AF1490" w:rsidRPr="002D0A44">
        <w:rPr>
          <w:rFonts w:cs="Arial"/>
          <w:szCs w:val="24"/>
        </w:rPr>
        <w:t xml:space="preserve"> is antithetical </w:t>
      </w:r>
      <w:r w:rsidR="00F66192" w:rsidRPr="002D0A44">
        <w:rPr>
          <w:rFonts w:cs="Arial"/>
          <w:szCs w:val="24"/>
        </w:rPr>
        <w:t xml:space="preserve">to the notion of </w:t>
      </w:r>
      <w:r w:rsidR="00D254B9" w:rsidRPr="002D0A44">
        <w:rPr>
          <w:rFonts w:cs="Arial"/>
          <w:szCs w:val="24"/>
        </w:rPr>
        <w:t>conclusion</w:t>
      </w:r>
      <w:r w:rsidR="00F66192" w:rsidRPr="002D0A44">
        <w:rPr>
          <w:rFonts w:cs="Arial"/>
          <w:szCs w:val="24"/>
        </w:rPr>
        <w:t>.</w:t>
      </w:r>
      <w:r w:rsidR="002F3023" w:rsidRPr="002D0A44">
        <w:rPr>
          <w:rFonts w:cs="Arial"/>
          <w:szCs w:val="24"/>
        </w:rPr>
        <w:t xml:space="preserve"> </w:t>
      </w:r>
      <w:r w:rsidR="009E6D5B" w:rsidRPr="002D0A44">
        <w:rPr>
          <w:rFonts w:cs="Arial"/>
          <w:szCs w:val="24"/>
        </w:rPr>
        <w:t xml:space="preserve">But this is not </w:t>
      </w:r>
      <w:r w:rsidR="00E85124" w:rsidRPr="002D0A44">
        <w:rPr>
          <w:rFonts w:cs="Arial"/>
          <w:szCs w:val="24"/>
        </w:rPr>
        <w:t>necessarily</w:t>
      </w:r>
      <w:r w:rsidR="009E6D5B" w:rsidRPr="002D0A44">
        <w:rPr>
          <w:rFonts w:cs="Arial"/>
          <w:szCs w:val="24"/>
        </w:rPr>
        <w:t xml:space="preserve"> the case. Equally valid is the point SARS makes that the term </w:t>
      </w:r>
      <w:r w:rsidR="00E85124" w:rsidRPr="002D0A44">
        <w:rPr>
          <w:rFonts w:cs="Arial"/>
          <w:szCs w:val="24"/>
        </w:rPr>
        <w:t>‘</w:t>
      </w:r>
      <w:r w:rsidR="002F3023" w:rsidRPr="002D0A44">
        <w:rPr>
          <w:rFonts w:cs="Arial"/>
          <w:i/>
          <w:iCs/>
          <w:szCs w:val="24"/>
        </w:rPr>
        <w:t>preliminary</w:t>
      </w:r>
      <w:r w:rsidR="00E85124" w:rsidRPr="002D0A44">
        <w:rPr>
          <w:rFonts w:cs="Arial"/>
          <w:szCs w:val="24"/>
        </w:rPr>
        <w:t>’</w:t>
      </w:r>
      <w:r w:rsidR="002F3023" w:rsidRPr="002D0A44">
        <w:rPr>
          <w:rFonts w:cs="Arial"/>
          <w:szCs w:val="24"/>
        </w:rPr>
        <w:t xml:space="preserve"> merely acknowledges the nature of the </w:t>
      </w:r>
      <w:r w:rsidR="00C86CD4" w:rsidRPr="002D0A44">
        <w:rPr>
          <w:rFonts w:cs="Arial"/>
          <w:szCs w:val="24"/>
        </w:rPr>
        <w:t>iterative process</w:t>
      </w:r>
      <w:r w:rsidR="00406F80" w:rsidRPr="002D0A44">
        <w:rPr>
          <w:rFonts w:cs="Arial"/>
          <w:szCs w:val="24"/>
        </w:rPr>
        <w:t>,</w:t>
      </w:r>
      <w:r w:rsidR="00C86CD4" w:rsidRPr="002D0A44">
        <w:rPr>
          <w:rFonts w:cs="Arial"/>
          <w:szCs w:val="24"/>
        </w:rPr>
        <w:t xml:space="preserve"> because following the notice SARS would still consider any representations made by the taxpayers.</w:t>
      </w:r>
      <w:r w:rsidR="00F66192" w:rsidRPr="002D0A44">
        <w:rPr>
          <w:rFonts w:cs="Arial"/>
          <w:szCs w:val="24"/>
        </w:rPr>
        <w:t xml:space="preserve"> </w:t>
      </w:r>
    </w:p>
    <w:p w14:paraId="460CFAAB" w14:textId="18174506" w:rsidR="00FB02BF" w:rsidRPr="002D0A44" w:rsidRDefault="002D0A44" w:rsidP="002D0A44">
      <w:pPr>
        <w:spacing w:after="360" w:line="480" w:lineRule="auto"/>
        <w:ind w:left="720" w:hanging="720"/>
        <w:jc w:val="both"/>
        <w:rPr>
          <w:rFonts w:cs="Arial"/>
          <w:szCs w:val="24"/>
        </w:rPr>
      </w:pPr>
      <w:r>
        <w:rPr>
          <w:rFonts w:cs="Arial"/>
          <w:szCs w:val="24"/>
        </w:rPr>
        <w:t>[65]</w:t>
      </w:r>
      <w:r>
        <w:rPr>
          <w:rFonts w:cs="Arial"/>
          <w:szCs w:val="24"/>
        </w:rPr>
        <w:tab/>
      </w:r>
      <w:r w:rsidR="00406F80" w:rsidRPr="002D0A44">
        <w:rPr>
          <w:rFonts w:cs="Arial"/>
          <w:szCs w:val="24"/>
        </w:rPr>
        <w:t>Nevertheless</w:t>
      </w:r>
      <w:r w:rsidR="00921314" w:rsidRPr="002D0A44">
        <w:rPr>
          <w:rFonts w:cs="Arial"/>
          <w:szCs w:val="24"/>
        </w:rPr>
        <w:t>,</w:t>
      </w:r>
      <w:r w:rsidR="001C7C2E" w:rsidRPr="002D0A44">
        <w:rPr>
          <w:rFonts w:cs="Arial"/>
          <w:szCs w:val="24"/>
        </w:rPr>
        <w:t xml:space="preserve"> whether it was genuinely final or not is a question of fact that cannot be decided on the papers.</w:t>
      </w:r>
      <w:r w:rsidR="009906F2" w:rsidRPr="002D0A44">
        <w:rPr>
          <w:rFonts w:cs="Arial"/>
          <w:szCs w:val="24"/>
        </w:rPr>
        <w:t xml:space="preserve"> The decision on finality of an audit is one to be made </w:t>
      </w:r>
      <w:r w:rsidR="009906F2" w:rsidRPr="002D0A44">
        <w:rPr>
          <w:rFonts w:cs="Arial"/>
          <w:szCs w:val="24"/>
        </w:rPr>
        <w:lastRenderedPageBreak/>
        <w:t>by SARS not the taxpayers. What the taxpayers are suggesting then is that SARS is not bona fide on this point. But this does not assist them</w:t>
      </w:r>
      <w:r w:rsidR="00951C85" w:rsidRPr="002D0A44">
        <w:rPr>
          <w:rFonts w:cs="Arial"/>
          <w:szCs w:val="24"/>
        </w:rPr>
        <w:t xml:space="preserve"> in extracting a pure point of law</w:t>
      </w:r>
      <w:r w:rsidR="00702EFC" w:rsidRPr="002D0A44">
        <w:rPr>
          <w:rFonts w:cs="Arial"/>
          <w:szCs w:val="24"/>
        </w:rPr>
        <w:t>. It still remains a</w:t>
      </w:r>
      <w:r w:rsidR="001C7C2E" w:rsidRPr="002D0A44">
        <w:rPr>
          <w:rFonts w:cs="Arial"/>
          <w:szCs w:val="24"/>
        </w:rPr>
        <w:t xml:space="preserve"> mixed question of fact and law and hence does not on the case law meet the grounds of being exceptional.</w:t>
      </w:r>
    </w:p>
    <w:p w14:paraId="7AF94EBB" w14:textId="086204FB" w:rsidR="00165A2B" w:rsidRPr="002D0A44" w:rsidRDefault="002D0A44" w:rsidP="002D0A44">
      <w:pPr>
        <w:spacing w:after="360" w:line="480" w:lineRule="auto"/>
        <w:ind w:left="720" w:hanging="720"/>
        <w:jc w:val="both"/>
        <w:rPr>
          <w:rFonts w:cs="Arial"/>
          <w:szCs w:val="24"/>
        </w:rPr>
      </w:pPr>
      <w:r>
        <w:rPr>
          <w:rFonts w:cs="Arial"/>
          <w:szCs w:val="24"/>
        </w:rPr>
        <w:t>[66]</w:t>
      </w:r>
      <w:r>
        <w:rPr>
          <w:rFonts w:cs="Arial"/>
          <w:szCs w:val="24"/>
        </w:rPr>
        <w:tab/>
      </w:r>
      <w:r w:rsidR="00B07028" w:rsidRPr="002D0A44">
        <w:rPr>
          <w:rFonts w:cs="Arial"/>
          <w:szCs w:val="24"/>
        </w:rPr>
        <w:t>Finally</w:t>
      </w:r>
      <w:r w:rsidR="00732FA8" w:rsidRPr="002D0A44">
        <w:rPr>
          <w:rFonts w:cs="Arial"/>
          <w:szCs w:val="24"/>
        </w:rPr>
        <w:t>,</w:t>
      </w:r>
      <w:r w:rsidR="00B07028" w:rsidRPr="002D0A44">
        <w:rPr>
          <w:rFonts w:cs="Arial"/>
          <w:szCs w:val="24"/>
        </w:rPr>
        <w:t xml:space="preserve"> the point is taken that </w:t>
      </w:r>
      <w:r w:rsidR="00F062F8" w:rsidRPr="002D0A44">
        <w:rPr>
          <w:rFonts w:cs="Arial"/>
          <w:szCs w:val="24"/>
        </w:rPr>
        <w:t xml:space="preserve">the </w:t>
      </w:r>
      <w:r w:rsidR="005544A5" w:rsidRPr="002D0A44">
        <w:rPr>
          <w:rFonts w:cs="Arial"/>
          <w:szCs w:val="24"/>
        </w:rPr>
        <w:t xml:space="preserve">reasons given were not adequate. </w:t>
      </w:r>
      <w:r w:rsidR="00A27308" w:rsidRPr="002D0A44">
        <w:rPr>
          <w:rFonts w:cs="Arial"/>
          <w:szCs w:val="24"/>
        </w:rPr>
        <w:t>T</w:t>
      </w:r>
      <w:r w:rsidR="00B56635" w:rsidRPr="002D0A44">
        <w:rPr>
          <w:rFonts w:cs="Arial"/>
          <w:szCs w:val="24"/>
        </w:rPr>
        <w:t>est</w:t>
      </w:r>
      <w:r w:rsidR="00A27308" w:rsidRPr="002D0A44">
        <w:rPr>
          <w:rFonts w:cs="Arial"/>
          <w:szCs w:val="24"/>
        </w:rPr>
        <w:t>ing</w:t>
      </w:r>
      <w:r w:rsidR="00B56635" w:rsidRPr="002D0A44">
        <w:rPr>
          <w:rFonts w:cs="Arial"/>
          <w:szCs w:val="24"/>
        </w:rPr>
        <w:t xml:space="preserve"> this proposition </w:t>
      </w:r>
      <w:r w:rsidR="00F062F8" w:rsidRPr="002D0A44">
        <w:rPr>
          <w:rFonts w:cs="Arial"/>
          <w:szCs w:val="24"/>
        </w:rPr>
        <w:t>requires</w:t>
      </w:r>
      <w:r w:rsidR="005544A5" w:rsidRPr="002D0A44">
        <w:rPr>
          <w:rFonts w:cs="Arial"/>
          <w:szCs w:val="24"/>
        </w:rPr>
        <w:t xml:space="preserve"> engaging with the issues SARS sets out in the </w:t>
      </w:r>
      <w:r w:rsidR="00F11F5B" w:rsidRPr="002D0A44">
        <w:rPr>
          <w:rFonts w:cs="Arial"/>
          <w:szCs w:val="24"/>
        </w:rPr>
        <w:t xml:space="preserve">July letter as well as the responses from the taxpayers and SARS final view expressed in its March letter. </w:t>
      </w:r>
      <w:r w:rsidR="00702EFC" w:rsidRPr="002D0A44">
        <w:rPr>
          <w:rFonts w:cs="Arial"/>
          <w:szCs w:val="24"/>
        </w:rPr>
        <w:t xml:space="preserve"> This what the Australian Federal Cou</w:t>
      </w:r>
      <w:r w:rsidR="00BA191F" w:rsidRPr="002D0A44">
        <w:rPr>
          <w:rFonts w:cs="Arial"/>
          <w:szCs w:val="24"/>
        </w:rPr>
        <w:t>r</w:t>
      </w:r>
      <w:r w:rsidR="00702EFC" w:rsidRPr="002D0A44">
        <w:rPr>
          <w:rFonts w:cs="Arial"/>
          <w:szCs w:val="24"/>
        </w:rPr>
        <w:t xml:space="preserve">t explained in </w:t>
      </w:r>
      <w:r w:rsidR="006F124C" w:rsidRPr="002D0A44">
        <w:rPr>
          <w:rFonts w:cs="Arial"/>
          <w:i/>
          <w:iCs/>
          <w:szCs w:val="24"/>
        </w:rPr>
        <w:t xml:space="preserve">Ansett Transport </w:t>
      </w:r>
      <w:r w:rsidR="007967FE" w:rsidRPr="002D0A44">
        <w:rPr>
          <w:rFonts w:cs="Arial"/>
          <w:i/>
          <w:iCs/>
          <w:szCs w:val="24"/>
        </w:rPr>
        <w:t xml:space="preserve">Industries. </w:t>
      </w:r>
    </w:p>
    <w:p w14:paraId="494E4941" w14:textId="6827E5AD" w:rsidR="00864AE6" w:rsidRPr="002D0A44" w:rsidRDefault="002D0A44" w:rsidP="002D0A44">
      <w:pPr>
        <w:spacing w:after="360" w:line="480" w:lineRule="auto"/>
        <w:ind w:left="720" w:hanging="720"/>
        <w:jc w:val="both"/>
        <w:rPr>
          <w:rFonts w:cs="Arial"/>
          <w:szCs w:val="24"/>
        </w:rPr>
      </w:pPr>
      <w:r>
        <w:rPr>
          <w:rFonts w:cs="Arial"/>
          <w:szCs w:val="24"/>
        </w:rPr>
        <w:t>[67]</w:t>
      </w:r>
      <w:r>
        <w:rPr>
          <w:rFonts w:cs="Arial"/>
          <w:szCs w:val="24"/>
        </w:rPr>
        <w:tab/>
      </w:r>
      <w:r w:rsidR="00FA4119" w:rsidRPr="002D0A44">
        <w:rPr>
          <w:rFonts w:cs="Arial"/>
          <w:szCs w:val="24"/>
        </w:rPr>
        <w:t>It</w:t>
      </w:r>
      <w:r w:rsidR="001C7C2E" w:rsidRPr="002D0A44">
        <w:rPr>
          <w:rFonts w:cs="Arial"/>
          <w:szCs w:val="24"/>
        </w:rPr>
        <w:t xml:space="preserve"> i</w:t>
      </w:r>
      <w:r w:rsidR="00FA4119" w:rsidRPr="002D0A44">
        <w:rPr>
          <w:rFonts w:cs="Arial"/>
          <w:szCs w:val="24"/>
        </w:rPr>
        <w:t>s precisely the type of enquiry best suited to the specialist court</w:t>
      </w:r>
      <w:r w:rsidR="001C7C2E" w:rsidRPr="002D0A44">
        <w:rPr>
          <w:rFonts w:cs="Arial"/>
          <w:szCs w:val="24"/>
        </w:rPr>
        <w:t xml:space="preserve"> because </w:t>
      </w:r>
      <w:r w:rsidR="00165A2B" w:rsidRPr="002D0A44">
        <w:rPr>
          <w:rFonts w:cs="Arial"/>
          <w:szCs w:val="24"/>
        </w:rPr>
        <w:t>the question of adequacy</w:t>
      </w:r>
      <w:r w:rsidR="001C7C2E" w:rsidRPr="002D0A44">
        <w:rPr>
          <w:rFonts w:cs="Arial"/>
          <w:szCs w:val="24"/>
        </w:rPr>
        <w:t xml:space="preserve"> cannot be decided without engaging with reasoning of both sides on the core issue raised by GAAR – which is whether the arrangement ‘[…]</w:t>
      </w:r>
      <w:r w:rsidR="001C7C2E" w:rsidRPr="002D0A44">
        <w:rPr>
          <w:rFonts w:cs="Arial"/>
          <w:i/>
          <w:iCs/>
          <w:szCs w:val="24"/>
        </w:rPr>
        <w:t xml:space="preserve"> lacks commercial substance in whole or in part</w:t>
      </w:r>
      <w:r w:rsidR="001C7C2E" w:rsidRPr="002D0A44">
        <w:rPr>
          <w:rFonts w:cs="Arial"/>
          <w:szCs w:val="24"/>
        </w:rPr>
        <w:t xml:space="preserve">.” </w:t>
      </w:r>
      <w:r w:rsidR="00165A2B" w:rsidRPr="002D0A44">
        <w:rPr>
          <w:rFonts w:cs="Arial"/>
          <w:szCs w:val="24"/>
        </w:rPr>
        <w:t>This issue then is a mixed question of fact and law and does not meet the exceptionality threshold.</w:t>
      </w:r>
    </w:p>
    <w:p w14:paraId="60E7AE27" w14:textId="397B3D86" w:rsidR="00AA4988" w:rsidRPr="002D0A44" w:rsidRDefault="002D0A44" w:rsidP="002D0A44">
      <w:pPr>
        <w:spacing w:after="360" w:line="480" w:lineRule="auto"/>
        <w:ind w:left="720" w:hanging="720"/>
        <w:jc w:val="both"/>
        <w:rPr>
          <w:rFonts w:cs="Arial"/>
          <w:szCs w:val="24"/>
        </w:rPr>
      </w:pPr>
      <w:r>
        <w:rPr>
          <w:rFonts w:cs="Arial"/>
          <w:szCs w:val="24"/>
        </w:rPr>
        <w:t>[68]</w:t>
      </w:r>
      <w:r>
        <w:rPr>
          <w:rFonts w:cs="Arial"/>
          <w:szCs w:val="24"/>
        </w:rPr>
        <w:tab/>
      </w:r>
      <w:r w:rsidR="00AA4988" w:rsidRPr="002D0A44">
        <w:rPr>
          <w:rFonts w:cs="Arial"/>
          <w:szCs w:val="24"/>
        </w:rPr>
        <w:t xml:space="preserve">Nor is the burden of requiring parties to exhaust internal remedies </w:t>
      </w:r>
      <w:r w:rsidR="00A01838" w:rsidRPr="002D0A44">
        <w:rPr>
          <w:rFonts w:cs="Arial"/>
          <w:szCs w:val="24"/>
        </w:rPr>
        <w:t xml:space="preserve">a technical machination to deny a party their day in court.  </w:t>
      </w:r>
      <w:r w:rsidR="0070444B" w:rsidRPr="002D0A44">
        <w:rPr>
          <w:rFonts w:cs="Arial"/>
          <w:szCs w:val="24"/>
        </w:rPr>
        <w:t xml:space="preserve">There are important policy grounds for doing so </w:t>
      </w:r>
      <w:r w:rsidR="00074BE5" w:rsidRPr="002D0A44">
        <w:rPr>
          <w:rFonts w:cs="Arial"/>
          <w:szCs w:val="24"/>
        </w:rPr>
        <w:t xml:space="preserve">as the </w:t>
      </w:r>
      <w:r w:rsidR="0008372B" w:rsidRPr="002D0A44">
        <w:rPr>
          <w:rFonts w:cs="Arial"/>
          <w:szCs w:val="24"/>
        </w:rPr>
        <w:t>Constitutional</w:t>
      </w:r>
      <w:r w:rsidR="00074BE5" w:rsidRPr="002D0A44">
        <w:rPr>
          <w:rFonts w:cs="Arial"/>
          <w:szCs w:val="24"/>
        </w:rPr>
        <w:t xml:space="preserve"> Court has explained in </w:t>
      </w:r>
      <w:r w:rsidR="00074BE5" w:rsidRPr="002D0A44">
        <w:rPr>
          <w:rFonts w:cs="Arial"/>
          <w:i/>
          <w:iCs/>
          <w:szCs w:val="24"/>
        </w:rPr>
        <w:t>Koyabe</w:t>
      </w:r>
      <w:r w:rsidR="003C6187" w:rsidRPr="002D0A44">
        <w:rPr>
          <w:rFonts w:cs="Arial"/>
          <w:szCs w:val="24"/>
        </w:rPr>
        <w:t>.</w:t>
      </w:r>
      <w:r w:rsidR="002C11B2" w:rsidRPr="00B12D64">
        <w:rPr>
          <w:rStyle w:val="FootnoteReference"/>
          <w:rFonts w:cs="Arial"/>
          <w:szCs w:val="24"/>
        </w:rPr>
        <w:footnoteReference w:id="27"/>
      </w:r>
      <w:r w:rsidR="003C6187" w:rsidRPr="002D0A44">
        <w:rPr>
          <w:rFonts w:cs="Arial"/>
          <w:szCs w:val="24"/>
        </w:rPr>
        <w:t xml:space="preserve"> </w:t>
      </w:r>
      <w:r w:rsidR="006A56CE" w:rsidRPr="002D0A44">
        <w:rPr>
          <w:rFonts w:cs="Arial"/>
          <w:szCs w:val="24"/>
        </w:rPr>
        <w:t xml:space="preserve"> I mention only some of them relevant here. </w:t>
      </w:r>
      <w:r w:rsidR="003C6187" w:rsidRPr="002D0A44">
        <w:rPr>
          <w:rFonts w:cs="Arial"/>
          <w:szCs w:val="24"/>
        </w:rPr>
        <w:t xml:space="preserve">They </w:t>
      </w:r>
      <w:r w:rsidR="00AE7008" w:rsidRPr="002D0A44">
        <w:rPr>
          <w:rFonts w:cs="Arial"/>
          <w:szCs w:val="24"/>
        </w:rPr>
        <w:t>are</w:t>
      </w:r>
      <w:r w:rsidR="0008372B" w:rsidRPr="002D0A44">
        <w:rPr>
          <w:rFonts w:cs="Arial"/>
          <w:szCs w:val="24"/>
        </w:rPr>
        <w:t>;</w:t>
      </w:r>
      <w:r w:rsidR="003C6187" w:rsidRPr="002D0A44">
        <w:rPr>
          <w:rFonts w:cs="Arial"/>
          <w:szCs w:val="24"/>
        </w:rPr>
        <w:t xml:space="preserve"> undermining </w:t>
      </w:r>
      <w:r w:rsidR="002C3A3C" w:rsidRPr="002D0A44">
        <w:rPr>
          <w:rFonts w:cs="Arial"/>
          <w:szCs w:val="24"/>
        </w:rPr>
        <w:t xml:space="preserve">the autonomy of the </w:t>
      </w:r>
      <w:r w:rsidR="002C3A3C" w:rsidRPr="002D0A44">
        <w:rPr>
          <w:rFonts w:cs="Arial"/>
          <w:szCs w:val="24"/>
        </w:rPr>
        <w:lastRenderedPageBreak/>
        <w:t xml:space="preserve">administrative process; prematurity; </w:t>
      </w:r>
      <w:r w:rsidR="006A56CE" w:rsidRPr="002D0A44">
        <w:rPr>
          <w:rFonts w:cs="Arial"/>
          <w:szCs w:val="24"/>
        </w:rPr>
        <w:t xml:space="preserve">and </w:t>
      </w:r>
      <w:r w:rsidR="00486F4D" w:rsidRPr="002D0A44">
        <w:rPr>
          <w:rFonts w:cs="Arial"/>
          <w:szCs w:val="24"/>
        </w:rPr>
        <w:t xml:space="preserve">the need </w:t>
      </w:r>
      <w:r w:rsidR="006A56CE" w:rsidRPr="002D0A44">
        <w:rPr>
          <w:rFonts w:cs="Arial"/>
          <w:szCs w:val="24"/>
        </w:rPr>
        <w:t>t</w:t>
      </w:r>
      <w:r w:rsidR="00AE7008" w:rsidRPr="002D0A44">
        <w:rPr>
          <w:rFonts w:cs="Arial"/>
          <w:szCs w:val="24"/>
        </w:rPr>
        <w:t xml:space="preserve">o benefit from </w:t>
      </w:r>
      <w:r w:rsidR="00486F4D" w:rsidRPr="002D0A44">
        <w:rPr>
          <w:rFonts w:cs="Arial"/>
          <w:szCs w:val="24"/>
        </w:rPr>
        <w:t>specialist knowledge</w:t>
      </w:r>
      <w:r w:rsidR="00AE7008" w:rsidRPr="002D0A44">
        <w:rPr>
          <w:rFonts w:cs="Arial"/>
          <w:szCs w:val="24"/>
        </w:rPr>
        <w:t>.</w:t>
      </w:r>
    </w:p>
    <w:p w14:paraId="5B5D1D0D" w14:textId="77777777" w:rsidR="00165A2B" w:rsidRPr="00B12D64" w:rsidRDefault="00165A2B" w:rsidP="00B12D64">
      <w:pPr>
        <w:pStyle w:val="ListParagraph"/>
        <w:spacing w:after="360" w:line="480" w:lineRule="auto"/>
        <w:contextualSpacing w:val="0"/>
        <w:jc w:val="both"/>
        <w:rPr>
          <w:rFonts w:cs="Arial"/>
          <w:b/>
          <w:szCs w:val="24"/>
        </w:rPr>
      </w:pPr>
      <w:r w:rsidRPr="00B12D64">
        <w:rPr>
          <w:rFonts w:cs="Arial"/>
          <w:b/>
          <w:szCs w:val="24"/>
        </w:rPr>
        <w:t>Alternative for the taxpayers</w:t>
      </w:r>
    </w:p>
    <w:p w14:paraId="1E305EC8" w14:textId="6E1DDFE5" w:rsidR="00165A2B" w:rsidRPr="002D0A44" w:rsidRDefault="002D0A44" w:rsidP="002D0A44">
      <w:pPr>
        <w:spacing w:after="360" w:line="480" w:lineRule="auto"/>
        <w:ind w:left="720" w:hanging="720"/>
        <w:jc w:val="both"/>
        <w:rPr>
          <w:rFonts w:cs="Arial"/>
          <w:szCs w:val="24"/>
        </w:rPr>
      </w:pPr>
      <w:r>
        <w:rPr>
          <w:rFonts w:cs="Arial"/>
          <w:szCs w:val="24"/>
        </w:rPr>
        <w:t>[69]</w:t>
      </w:r>
      <w:r>
        <w:rPr>
          <w:rFonts w:cs="Arial"/>
          <w:szCs w:val="24"/>
        </w:rPr>
        <w:tab/>
      </w:r>
      <w:r w:rsidR="00165A2B" w:rsidRPr="002D0A44">
        <w:rPr>
          <w:rFonts w:cs="Arial"/>
          <w:szCs w:val="24"/>
        </w:rPr>
        <w:t>All the issues raised by the taxpayers can be decided in terms of the provisions of the TAA. Firs</w:t>
      </w:r>
      <w:r w:rsidR="00726B50" w:rsidRPr="002D0A44">
        <w:rPr>
          <w:rFonts w:cs="Arial"/>
          <w:szCs w:val="24"/>
        </w:rPr>
        <w:t>t</w:t>
      </w:r>
      <w:r w:rsidR="00165A2B" w:rsidRPr="002D0A44">
        <w:rPr>
          <w:rFonts w:cs="Arial"/>
          <w:szCs w:val="24"/>
        </w:rPr>
        <w:t xml:space="preserve"> the objection process and then failing that the right to appeal.</w:t>
      </w:r>
    </w:p>
    <w:p w14:paraId="7DCE5DB4" w14:textId="4B9481FD" w:rsidR="007450D5" w:rsidRPr="002D0A44" w:rsidRDefault="002D0A44" w:rsidP="002D0A44">
      <w:pPr>
        <w:spacing w:after="360" w:line="480" w:lineRule="auto"/>
        <w:ind w:left="720" w:hanging="720"/>
        <w:jc w:val="both"/>
        <w:rPr>
          <w:rFonts w:cs="Arial"/>
          <w:szCs w:val="24"/>
        </w:rPr>
      </w:pPr>
      <w:r>
        <w:rPr>
          <w:rFonts w:cs="Arial"/>
          <w:szCs w:val="24"/>
        </w:rPr>
        <w:t>[70]</w:t>
      </w:r>
      <w:r>
        <w:rPr>
          <w:rFonts w:cs="Arial"/>
          <w:szCs w:val="24"/>
        </w:rPr>
        <w:tab/>
      </w:r>
      <w:r w:rsidR="007450D5" w:rsidRPr="002D0A44">
        <w:rPr>
          <w:rFonts w:cs="Arial"/>
          <w:szCs w:val="24"/>
        </w:rPr>
        <w:t xml:space="preserve">Nor are the taxpayers prejudiced </w:t>
      </w:r>
      <w:r w:rsidR="009A04FF" w:rsidRPr="002D0A44">
        <w:rPr>
          <w:rFonts w:cs="Arial"/>
          <w:szCs w:val="24"/>
        </w:rPr>
        <w:t xml:space="preserve">from having to go through a whole appeal if they might succeed on their review point. As was held by Binns-Ward in </w:t>
      </w:r>
      <w:r w:rsidR="009A04FF" w:rsidRPr="002D0A44">
        <w:rPr>
          <w:rFonts w:cs="Arial"/>
          <w:i/>
          <w:iCs/>
          <w:szCs w:val="24"/>
        </w:rPr>
        <w:t xml:space="preserve">Forge Packaging </w:t>
      </w:r>
      <w:r w:rsidR="00157E10" w:rsidRPr="002D0A44">
        <w:rPr>
          <w:rFonts w:cs="Arial"/>
          <w:szCs w:val="24"/>
        </w:rPr>
        <w:t xml:space="preserve">the rules of the Tax Court allow a party to argue a point of law before the appeal is decided. </w:t>
      </w:r>
      <w:r w:rsidR="00157E10" w:rsidRPr="00B12D64">
        <w:rPr>
          <w:rStyle w:val="FootnoteReference"/>
          <w:rFonts w:cs="Arial"/>
          <w:szCs w:val="24"/>
        </w:rPr>
        <w:footnoteReference w:id="28"/>
      </w:r>
    </w:p>
    <w:p w14:paraId="61844370" w14:textId="59893FF8" w:rsidR="00D559A3" w:rsidRPr="002D0A44" w:rsidRDefault="002D0A44" w:rsidP="002D0A44">
      <w:pPr>
        <w:spacing w:after="360" w:line="480" w:lineRule="auto"/>
        <w:ind w:left="720" w:hanging="720"/>
        <w:jc w:val="both"/>
        <w:rPr>
          <w:rFonts w:cs="Arial"/>
          <w:szCs w:val="24"/>
        </w:rPr>
      </w:pPr>
      <w:r>
        <w:rPr>
          <w:rFonts w:cs="Arial"/>
          <w:szCs w:val="24"/>
        </w:rPr>
        <w:t>[71]</w:t>
      </w:r>
      <w:r>
        <w:rPr>
          <w:rFonts w:cs="Arial"/>
          <w:szCs w:val="24"/>
        </w:rPr>
        <w:tab/>
      </w:r>
      <w:r w:rsidR="00D559A3" w:rsidRPr="002D0A44">
        <w:rPr>
          <w:rFonts w:cs="Arial"/>
          <w:szCs w:val="24"/>
        </w:rPr>
        <w:t xml:space="preserve">Nor do the taxpayers require SARS to </w:t>
      </w:r>
      <w:r w:rsidR="00545BCD" w:rsidRPr="002D0A44">
        <w:rPr>
          <w:rFonts w:cs="Arial"/>
          <w:szCs w:val="24"/>
        </w:rPr>
        <w:t xml:space="preserve">withdraw its decision in terms of section 9 of the TAA. That section makes it clear that </w:t>
      </w:r>
      <w:r w:rsidR="00244146" w:rsidRPr="002D0A44">
        <w:rPr>
          <w:rFonts w:cs="Arial"/>
          <w:szCs w:val="24"/>
        </w:rPr>
        <w:t>an objection and appeal can be made without the need for a withdrawal because this process is excluded by the langu</w:t>
      </w:r>
      <w:r w:rsidR="000B6692" w:rsidRPr="002D0A44">
        <w:rPr>
          <w:rFonts w:cs="Arial"/>
          <w:szCs w:val="24"/>
        </w:rPr>
        <w:t>age</w:t>
      </w:r>
      <w:r w:rsidR="00244146" w:rsidRPr="002D0A44">
        <w:rPr>
          <w:rFonts w:cs="Arial"/>
          <w:szCs w:val="24"/>
        </w:rPr>
        <w:t xml:space="preserve"> of that section.</w:t>
      </w:r>
      <w:r w:rsidR="00686254" w:rsidRPr="002D0A44">
        <w:rPr>
          <w:rStyle w:val="FootnoteReference"/>
          <w:rFonts w:cs="Arial"/>
          <w:szCs w:val="24"/>
        </w:rPr>
        <w:t xml:space="preserve"> </w:t>
      </w:r>
      <w:r w:rsidR="00686254" w:rsidRPr="00B12D64">
        <w:rPr>
          <w:rStyle w:val="FootnoteReference"/>
          <w:rFonts w:cs="Arial"/>
          <w:szCs w:val="24"/>
        </w:rPr>
        <w:footnoteReference w:id="29"/>
      </w:r>
      <w:r w:rsidR="00686254" w:rsidRPr="002D0A44">
        <w:rPr>
          <w:rFonts w:cs="Arial"/>
          <w:szCs w:val="24"/>
        </w:rPr>
        <w:t xml:space="preserve"> </w:t>
      </w:r>
      <w:r w:rsidR="007443AC" w:rsidRPr="002D0A44">
        <w:rPr>
          <w:rFonts w:cs="Arial"/>
          <w:szCs w:val="24"/>
        </w:rPr>
        <w:t xml:space="preserve"> SARS</w:t>
      </w:r>
      <w:r w:rsidR="00686254" w:rsidRPr="002D0A44">
        <w:rPr>
          <w:rFonts w:cs="Arial"/>
          <w:szCs w:val="24"/>
        </w:rPr>
        <w:t xml:space="preserve"> </w:t>
      </w:r>
      <w:r w:rsidR="007443AC" w:rsidRPr="002D0A44">
        <w:rPr>
          <w:rFonts w:cs="Arial"/>
          <w:szCs w:val="24"/>
        </w:rPr>
        <w:t xml:space="preserve">correctly argues that there is nothing that the taxpayers could obtain from a withdrawal that they could not get from the objection </w:t>
      </w:r>
      <w:r w:rsidR="007443AC" w:rsidRPr="002D0A44">
        <w:rPr>
          <w:rFonts w:cs="Arial"/>
          <w:szCs w:val="24"/>
        </w:rPr>
        <w:lastRenderedPageBreak/>
        <w:t>and appeal process. I therefor</w:t>
      </w:r>
      <w:r w:rsidR="00BD1637" w:rsidRPr="002D0A44">
        <w:rPr>
          <w:rFonts w:cs="Arial"/>
          <w:szCs w:val="24"/>
        </w:rPr>
        <w:t>e do not consider there is any basis for this relief either</w:t>
      </w:r>
      <w:r w:rsidR="000B6692" w:rsidRPr="002D0A44">
        <w:rPr>
          <w:rFonts w:cs="Arial"/>
          <w:szCs w:val="24"/>
        </w:rPr>
        <w:t>,</w:t>
      </w:r>
      <w:r w:rsidR="00BD1637" w:rsidRPr="002D0A44">
        <w:rPr>
          <w:rFonts w:cs="Arial"/>
          <w:szCs w:val="24"/>
        </w:rPr>
        <w:t xml:space="preserve"> given the nature of the internal remedies available to them.</w:t>
      </w:r>
    </w:p>
    <w:p w14:paraId="40B0D714" w14:textId="056AF9B7" w:rsidR="00404BE8" w:rsidRPr="002D0A44" w:rsidRDefault="002D0A44" w:rsidP="002D0A44">
      <w:pPr>
        <w:spacing w:after="360" w:line="480" w:lineRule="auto"/>
        <w:ind w:left="720" w:hanging="720"/>
        <w:jc w:val="both"/>
        <w:rPr>
          <w:rFonts w:cs="Arial"/>
          <w:szCs w:val="24"/>
        </w:rPr>
      </w:pPr>
      <w:r>
        <w:rPr>
          <w:rFonts w:cs="Arial"/>
          <w:szCs w:val="24"/>
        </w:rPr>
        <w:t>[72]</w:t>
      </w:r>
      <w:r>
        <w:rPr>
          <w:rFonts w:cs="Arial"/>
          <w:szCs w:val="24"/>
        </w:rPr>
        <w:tab/>
      </w:r>
      <w:r w:rsidR="00404BE8" w:rsidRPr="002D0A44">
        <w:rPr>
          <w:rFonts w:cs="Arial"/>
          <w:szCs w:val="24"/>
        </w:rPr>
        <w:t xml:space="preserve">The </w:t>
      </w:r>
      <w:r w:rsidR="0049249D" w:rsidRPr="002D0A44">
        <w:rPr>
          <w:rFonts w:cs="Arial"/>
          <w:szCs w:val="24"/>
        </w:rPr>
        <w:t>concern of the taxpayers in this matter seems less about whether they have an adequate remedy by following their internal remedies in terms of the TAA than the fact</w:t>
      </w:r>
      <w:r w:rsidR="00165A2B" w:rsidRPr="002D0A44">
        <w:rPr>
          <w:rFonts w:cs="Arial"/>
          <w:szCs w:val="24"/>
        </w:rPr>
        <w:t>,</w:t>
      </w:r>
      <w:r w:rsidR="0049249D" w:rsidRPr="002D0A44">
        <w:rPr>
          <w:rFonts w:cs="Arial"/>
          <w:szCs w:val="24"/>
        </w:rPr>
        <w:t xml:space="preserve"> oft cited in their heads of argument</w:t>
      </w:r>
      <w:r w:rsidR="00165A2B" w:rsidRPr="002D0A44">
        <w:rPr>
          <w:rFonts w:cs="Arial"/>
          <w:szCs w:val="24"/>
        </w:rPr>
        <w:t>,</w:t>
      </w:r>
      <w:r w:rsidR="0049249D" w:rsidRPr="002D0A44">
        <w:rPr>
          <w:rFonts w:cs="Arial"/>
          <w:szCs w:val="24"/>
        </w:rPr>
        <w:t xml:space="preserve"> that by going that route they are prejudiced by having to follow the </w:t>
      </w:r>
      <w:r w:rsidR="009D458A" w:rsidRPr="002D0A44">
        <w:rPr>
          <w:rFonts w:cs="Arial"/>
          <w:szCs w:val="24"/>
        </w:rPr>
        <w:t>‘</w:t>
      </w:r>
      <w:r w:rsidR="0049249D" w:rsidRPr="002D0A44">
        <w:rPr>
          <w:rFonts w:cs="Arial"/>
          <w:szCs w:val="24"/>
        </w:rPr>
        <w:t>pay now argue later principle</w:t>
      </w:r>
      <w:r w:rsidR="009D458A" w:rsidRPr="002D0A44">
        <w:rPr>
          <w:rFonts w:cs="Arial"/>
          <w:szCs w:val="24"/>
        </w:rPr>
        <w:t>’</w:t>
      </w:r>
      <w:r w:rsidR="0049249D" w:rsidRPr="002D0A44">
        <w:rPr>
          <w:rFonts w:cs="Arial"/>
          <w:szCs w:val="24"/>
        </w:rPr>
        <w:t xml:space="preserve">. That may be a burden to </w:t>
      </w:r>
      <w:r w:rsidR="00CB4B48" w:rsidRPr="002D0A44">
        <w:rPr>
          <w:rFonts w:cs="Arial"/>
          <w:szCs w:val="24"/>
        </w:rPr>
        <w:t>them,</w:t>
      </w:r>
      <w:r w:rsidR="0049249D" w:rsidRPr="002D0A44">
        <w:rPr>
          <w:rFonts w:cs="Arial"/>
          <w:szCs w:val="24"/>
        </w:rPr>
        <w:t xml:space="preserve"> but it is not </w:t>
      </w:r>
      <w:r w:rsidR="00C46784" w:rsidRPr="002D0A44">
        <w:rPr>
          <w:rFonts w:cs="Arial"/>
          <w:szCs w:val="24"/>
        </w:rPr>
        <w:t>one relevant</w:t>
      </w:r>
      <w:r w:rsidR="0049249D" w:rsidRPr="002D0A44">
        <w:rPr>
          <w:rFonts w:cs="Arial"/>
          <w:szCs w:val="24"/>
        </w:rPr>
        <w:t xml:space="preserve"> to whether this court should exercise its jurisdiction in terms of section 105. That is the fate of all taxpayers who dispute a SARS asse</w:t>
      </w:r>
      <w:r w:rsidR="00DD1F97" w:rsidRPr="002D0A44">
        <w:rPr>
          <w:rFonts w:cs="Arial"/>
          <w:szCs w:val="24"/>
        </w:rPr>
        <w:t>ssment – it is not a basis for exceptional circumstances.</w:t>
      </w:r>
    </w:p>
    <w:p w14:paraId="5B37EB7D" w14:textId="77777777" w:rsidR="00DD1F97" w:rsidRPr="00B4400D" w:rsidRDefault="00DD1F97" w:rsidP="00B4400D">
      <w:pPr>
        <w:spacing w:after="360" w:line="480" w:lineRule="auto"/>
        <w:ind w:firstLine="720"/>
        <w:jc w:val="both"/>
        <w:rPr>
          <w:rFonts w:cs="Arial"/>
          <w:b/>
          <w:bCs/>
          <w:szCs w:val="24"/>
        </w:rPr>
      </w:pPr>
      <w:r w:rsidRPr="00B4400D">
        <w:rPr>
          <w:rFonts w:cs="Arial"/>
          <w:b/>
          <w:bCs/>
          <w:szCs w:val="24"/>
        </w:rPr>
        <w:t>Conclusion</w:t>
      </w:r>
    </w:p>
    <w:p w14:paraId="0B51F05B" w14:textId="5F2753F9" w:rsidR="00DD1F97" w:rsidRPr="00B4400D" w:rsidRDefault="00B4400D" w:rsidP="00B4400D">
      <w:pPr>
        <w:spacing w:after="360" w:line="480" w:lineRule="auto"/>
        <w:ind w:left="720" w:hanging="720"/>
        <w:jc w:val="both"/>
        <w:rPr>
          <w:rFonts w:cs="Arial"/>
          <w:szCs w:val="24"/>
        </w:rPr>
      </w:pPr>
      <w:r>
        <w:rPr>
          <w:rFonts w:cs="Arial"/>
          <w:szCs w:val="24"/>
        </w:rPr>
        <w:t>[73]</w:t>
      </w:r>
      <w:r>
        <w:rPr>
          <w:rFonts w:cs="Arial"/>
          <w:szCs w:val="24"/>
        </w:rPr>
        <w:tab/>
      </w:r>
      <w:r w:rsidR="00C51055" w:rsidRPr="00B4400D">
        <w:rPr>
          <w:rFonts w:cs="Arial"/>
          <w:szCs w:val="24"/>
        </w:rPr>
        <w:t xml:space="preserve">SARS succeeds in its preliminary objections. The taxpayers have not made out a case for this matter to be heard in the High Court in terms of section 105 of the TAA. For the same reasons but by a different mechanism they have not made out a case for why they have not </w:t>
      </w:r>
      <w:r w:rsidR="008F457E" w:rsidRPr="00B4400D">
        <w:rPr>
          <w:rFonts w:cs="Arial"/>
          <w:szCs w:val="24"/>
        </w:rPr>
        <w:t>exhausted</w:t>
      </w:r>
      <w:r w:rsidR="00C51055" w:rsidRPr="00B4400D">
        <w:rPr>
          <w:rFonts w:cs="Arial"/>
          <w:szCs w:val="24"/>
        </w:rPr>
        <w:t xml:space="preserve"> their internal remedie</w:t>
      </w:r>
      <w:r w:rsidR="00804EE5" w:rsidRPr="00B4400D">
        <w:rPr>
          <w:rFonts w:cs="Arial"/>
          <w:szCs w:val="24"/>
        </w:rPr>
        <w:t>s</w:t>
      </w:r>
      <w:r w:rsidR="00C51055" w:rsidRPr="00B4400D">
        <w:rPr>
          <w:rFonts w:cs="Arial"/>
          <w:szCs w:val="24"/>
        </w:rPr>
        <w:t xml:space="preserve"> in terms of the TAA</w:t>
      </w:r>
      <w:r w:rsidR="008F457E" w:rsidRPr="00B4400D">
        <w:rPr>
          <w:rFonts w:cs="Arial"/>
          <w:szCs w:val="24"/>
        </w:rPr>
        <w:t>,</w:t>
      </w:r>
      <w:r w:rsidR="00C51055" w:rsidRPr="00B4400D">
        <w:rPr>
          <w:rFonts w:cs="Arial"/>
          <w:szCs w:val="24"/>
        </w:rPr>
        <w:t xml:space="preserve"> </w:t>
      </w:r>
      <w:r w:rsidR="008926DD" w:rsidRPr="00B4400D">
        <w:rPr>
          <w:rFonts w:cs="Arial"/>
          <w:szCs w:val="24"/>
        </w:rPr>
        <w:t>and thus they have not complied with section 7(2) of PAJA. Despite their initial contentions to the contrary these are threshold issues which they must meet and for the reasons I have given</w:t>
      </w:r>
      <w:r w:rsidR="00963990" w:rsidRPr="00B4400D">
        <w:rPr>
          <w:rFonts w:cs="Arial"/>
          <w:szCs w:val="24"/>
        </w:rPr>
        <w:t>,</w:t>
      </w:r>
      <w:r w:rsidR="008926DD" w:rsidRPr="00B4400D">
        <w:rPr>
          <w:rFonts w:cs="Arial"/>
          <w:szCs w:val="24"/>
        </w:rPr>
        <w:t xml:space="preserve"> they have not done so. The application fails.</w:t>
      </w:r>
    </w:p>
    <w:p w14:paraId="02B44EB1" w14:textId="77777777" w:rsidR="00B4400D" w:rsidRDefault="00B4400D" w:rsidP="00B4400D">
      <w:pPr>
        <w:spacing w:after="360" w:line="480" w:lineRule="auto"/>
        <w:ind w:left="720" w:hanging="720"/>
        <w:jc w:val="both"/>
        <w:rPr>
          <w:rFonts w:cs="Arial"/>
          <w:szCs w:val="24"/>
        </w:rPr>
      </w:pPr>
      <w:r>
        <w:rPr>
          <w:rFonts w:cs="Arial"/>
          <w:szCs w:val="24"/>
        </w:rPr>
        <w:t>[73]</w:t>
      </w:r>
      <w:r>
        <w:rPr>
          <w:rFonts w:cs="Arial"/>
          <w:szCs w:val="24"/>
        </w:rPr>
        <w:tab/>
      </w:r>
      <w:r w:rsidR="00DC3351" w:rsidRPr="00B4400D">
        <w:rPr>
          <w:rFonts w:cs="Arial"/>
          <w:szCs w:val="24"/>
        </w:rPr>
        <w:t>Costs should follow cause. This was the type of case that required the engagement of two counsel. Hence</w:t>
      </w:r>
      <w:r w:rsidR="00AB596D" w:rsidRPr="00B4400D">
        <w:rPr>
          <w:rFonts w:cs="Arial"/>
          <w:szCs w:val="24"/>
        </w:rPr>
        <w:t>,</w:t>
      </w:r>
      <w:r w:rsidR="00DC3351" w:rsidRPr="00B4400D">
        <w:rPr>
          <w:rFonts w:cs="Arial"/>
          <w:szCs w:val="24"/>
        </w:rPr>
        <w:t xml:space="preserve"> I award costs on this basis</w:t>
      </w:r>
      <w:r>
        <w:rPr>
          <w:rFonts w:cs="Arial"/>
          <w:szCs w:val="24"/>
        </w:rPr>
        <w:t>.</w:t>
      </w:r>
      <w:r w:rsidR="00DC3351" w:rsidRPr="00B4400D">
        <w:rPr>
          <w:rFonts w:cs="Arial"/>
          <w:szCs w:val="24"/>
        </w:rPr>
        <w:t xml:space="preserve"> </w:t>
      </w:r>
    </w:p>
    <w:p w14:paraId="4F80B12E" w14:textId="77777777" w:rsidR="00B4400D" w:rsidRPr="00B4400D" w:rsidRDefault="00B4400D" w:rsidP="00B4400D">
      <w:pPr>
        <w:spacing w:line="480" w:lineRule="auto"/>
        <w:ind w:firstLine="720"/>
        <w:jc w:val="both"/>
        <w:rPr>
          <w:rFonts w:cs="Arial"/>
          <w:b/>
          <w:kern w:val="0"/>
          <w:szCs w:val="24"/>
          <w:u w:val="single"/>
          <w14:ligatures w14:val="none"/>
        </w:rPr>
      </w:pPr>
      <w:r w:rsidRPr="00B4400D">
        <w:rPr>
          <w:rFonts w:cs="Arial"/>
          <w:b/>
          <w:kern w:val="0"/>
          <w:szCs w:val="24"/>
          <w:u w:val="single"/>
          <w14:ligatures w14:val="none"/>
        </w:rPr>
        <w:t>ORDER:-</w:t>
      </w:r>
    </w:p>
    <w:p w14:paraId="171A0A94" w14:textId="1187D451" w:rsidR="00B4400D" w:rsidRPr="00B4400D" w:rsidRDefault="00B4400D" w:rsidP="00B4400D">
      <w:pPr>
        <w:spacing w:line="480" w:lineRule="auto"/>
        <w:jc w:val="both"/>
        <w:rPr>
          <w:rFonts w:cs="Arial"/>
          <w:kern w:val="0"/>
          <w:szCs w:val="24"/>
          <w14:ligatures w14:val="none"/>
        </w:rPr>
      </w:pPr>
      <w:r w:rsidRPr="00B4400D">
        <w:rPr>
          <w:rFonts w:cs="Arial"/>
          <w:kern w:val="0"/>
          <w:szCs w:val="24"/>
          <w14:ligatures w14:val="none"/>
        </w:rPr>
        <w:lastRenderedPageBreak/>
        <w:t>[</w:t>
      </w:r>
      <w:r>
        <w:rPr>
          <w:rFonts w:cs="Arial"/>
          <w:kern w:val="0"/>
          <w:szCs w:val="24"/>
          <w14:ligatures w14:val="none"/>
        </w:rPr>
        <w:t>74</w:t>
      </w:r>
      <w:r w:rsidRPr="00B4400D">
        <w:rPr>
          <w:rFonts w:cs="Arial"/>
          <w:kern w:val="0"/>
          <w:szCs w:val="24"/>
          <w14:ligatures w14:val="none"/>
        </w:rPr>
        <w:t xml:space="preserve">] </w:t>
      </w:r>
      <w:r w:rsidRPr="00B4400D">
        <w:rPr>
          <w:rFonts w:cs="Arial"/>
          <w:kern w:val="0"/>
          <w:szCs w:val="24"/>
          <w14:ligatures w14:val="none"/>
        </w:rPr>
        <w:tab/>
        <w:t>In the result the following order is made:</w:t>
      </w:r>
    </w:p>
    <w:p w14:paraId="5D149393" w14:textId="6F21EB3F" w:rsidR="00B4400D" w:rsidRPr="00941AF5" w:rsidRDefault="00941AF5" w:rsidP="00941AF5">
      <w:pPr>
        <w:spacing w:after="120" w:line="480" w:lineRule="auto"/>
        <w:ind w:left="1066" w:hanging="357"/>
        <w:jc w:val="both"/>
        <w:rPr>
          <w:rFonts w:cs="Arial"/>
          <w:szCs w:val="24"/>
        </w:rPr>
      </w:pPr>
      <w:r>
        <w:rPr>
          <w:rFonts w:cs="Arial"/>
          <w:szCs w:val="24"/>
        </w:rPr>
        <w:t>1.</w:t>
      </w:r>
      <w:r>
        <w:rPr>
          <w:rFonts w:cs="Arial"/>
          <w:szCs w:val="24"/>
        </w:rPr>
        <w:tab/>
      </w:r>
      <w:r w:rsidR="00B4400D" w:rsidRPr="00941AF5">
        <w:rPr>
          <w:rFonts w:cs="Arial"/>
          <w:kern w:val="0"/>
          <w:szCs w:val="24"/>
          <w:lang w:val="en-US"/>
          <w14:ligatures w14:val="none"/>
        </w:rPr>
        <w:t xml:space="preserve">The </w:t>
      </w:r>
      <w:r w:rsidR="00B4400D" w:rsidRPr="00941AF5">
        <w:rPr>
          <w:rFonts w:cs="Arial"/>
          <w:szCs w:val="24"/>
        </w:rPr>
        <w:t>application is dismissed.</w:t>
      </w:r>
      <w:r w:rsidR="00012961" w:rsidRPr="00941AF5">
        <w:rPr>
          <w:rFonts w:cs="Arial"/>
          <w:szCs w:val="24"/>
        </w:rPr>
        <w:t xml:space="preserve"> </w:t>
      </w:r>
    </w:p>
    <w:p w14:paraId="796E5700" w14:textId="0DFED99B" w:rsidR="00B4400D" w:rsidRPr="00941AF5" w:rsidRDefault="00941AF5" w:rsidP="00941AF5">
      <w:pPr>
        <w:spacing w:line="480" w:lineRule="auto"/>
        <w:ind w:left="1069" w:hanging="360"/>
        <w:jc w:val="both"/>
        <w:rPr>
          <w:rFonts w:cs="Arial"/>
          <w:szCs w:val="24"/>
        </w:rPr>
      </w:pPr>
      <w:r w:rsidRPr="0017509F">
        <w:rPr>
          <w:rFonts w:cs="Arial"/>
          <w:szCs w:val="24"/>
        </w:rPr>
        <w:t>2.</w:t>
      </w:r>
      <w:r w:rsidRPr="0017509F">
        <w:rPr>
          <w:rFonts w:cs="Arial"/>
          <w:szCs w:val="24"/>
        </w:rPr>
        <w:tab/>
      </w:r>
      <w:r w:rsidR="00B4400D" w:rsidRPr="00941AF5">
        <w:rPr>
          <w:rFonts w:cs="Arial"/>
          <w:szCs w:val="24"/>
        </w:rPr>
        <w:t>The applicants, jointly and severally, the one paying the others to be absolved, are liable for the costs of the respondent, including the costs of two counsel.</w:t>
      </w:r>
    </w:p>
    <w:p w14:paraId="190C8AB9" w14:textId="77777777" w:rsidR="00B4400D" w:rsidRPr="00B4400D" w:rsidRDefault="00B4400D" w:rsidP="00B4400D">
      <w:pPr>
        <w:spacing w:line="480" w:lineRule="auto"/>
        <w:jc w:val="both"/>
        <w:rPr>
          <w:rFonts w:cs="Arial"/>
          <w:kern w:val="0"/>
          <w:szCs w:val="24"/>
          <w14:ligatures w14:val="none"/>
        </w:rPr>
      </w:pPr>
    </w:p>
    <w:p w14:paraId="11328818" w14:textId="77777777" w:rsidR="00B4400D" w:rsidRPr="00B4400D" w:rsidRDefault="00B4400D" w:rsidP="00B4400D">
      <w:pPr>
        <w:spacing w:line="480" w:lineRule="auto"/>
        <w:jc w:val="both"/>
        <w:rPr>
          <w:rFonts w:cs="Arial"/>
          <w:kern w:val="0"/>
          <w:szCs w:val="24"/>
          <w14:ligatures w14:val="none"/>
        </w:rPr>
      </w:pPr>
    </w:p>
    <w:p w14:paraId="5A9BACA0" w14:textId="77777777" w:rsidR="00B4400D" w:rsidRPr="00B4400D" w:rsidRDefault="00B4400D" w:rsidP="00B4400D">
      <w:pPr>
        <w:spacing w:after="0" w:line="480" w:lineRule="auto"/>
        <w:jc w:val="right"/>
        <w:rPr>
          <w:rFonts w:cs="Arial"/>
          <w:b/>
          <w:kern w:val="0"/>
          <w:szCs w:val="24"/>
          <w14:ligatures w14:val="none"/>
        </w:rPr>
      </w:pPr>
      <w:r w:rsidRPr="00B4400D">
        <w:rPr>
          <w:rFonts w:cs="Arial"/>
          <w:b/>
          <w:kern w:val="0"/>
          <w:szCs w:val="24"/>
          <w14:ligatures w14:val="none"/>
        </w:rPr>
        <w:t>_____________________________</w:t>
      </w:r>
    </w:p>
    <w:p w14:paraId="213A60E6" w14:textId="77777777" w:rsidR="00B4400D" w:rsidRPr="00B4400D" w:rsidRDefault="00B4400D" w:rsidP="00B4400D">
      <w:pPr>
        <w:spacing w:after="0" w:line="360" w:lineRule="auto"/>
        <w:jc w:val="right"/>
        <w:rPr>
          <w:rFonts w:cs="Arial"/>
          <w:b/>
          <w:kern w:val="0"/>
          <w:szCs w:val="24"/>
          <w14:ligatures w14:val="none"/>
        </w:rPr>
      </w:pPr>
      <w:r w:rsidRPr="00B4400D">
        <w:rPr>
          <w:rFonts w:cs="Arial"/>
          <w:b/>
          <w:kern w:val="0"/>
          <w:szCs w:val="24"/>
          <w14:ligatures w14:val="none"/>
        </w:rPr>
        <w:t>N.  MANOIM</w:t>
      </w:r>
    </w:p>
    <w:p w14:paraId="57A42B2C" w14:textId="77777777" w:rsidR="00B4400D" w:rsidRPr="00B4400D" w:rsidRDefault="00B4400D" w:rsidP="00B4400D">
      <w:pPr>
        <w:spacing w:after="0" w:line="360" w:lineRule="auto"/>
        <w:jc w:val="right"/>
        <w:rPr>
          <w:rFonts w:cs="Arial"/>
          <w:b/>
          <w:kern w:val="0"/>
          <w:szCs w:val="24"/>
          <w14:ligatures w14:val="none"/>
        </w:rPr>
      </w:pPr>
      <w:r w:rsidRPr="00B4400D">
        <w:rPr>
          <w:rFonts w:cs="Arial"/>
          <w:b/>
          <w:kern w:val="0"/>
          <w:szCs w:val="24"/>
          <w14:ligatures w14:val="none"/>
        </w:rPr>
        <w:t>JUDGE OF THE HIGH COURT</w:t>
      </w:r>
    </w:p>
    <w:p w14:paraId="50192C19" w14:textId="77777777" w:rsidR="00B4400D" w:rsidRPr="00B4400D" w:rsidRDefault="00B4400D" w:rsidP="00B4400D">
      <w:pPr>
        <w:spacing w:after="0" w:line="360" w:lineRule="auto"/>
        <w:jc w:val="right"/>
        <w:rPr>
          <w:rFonts w:cs="Arial"/>
          <w:b/>
          <w:kern w:val="0"/>
          <w:szCs w:val="24"/>
          <w14:ligatures w14:val="none"/>
        </w:rPr>
      </w:pPr>
      <w:r w:rsidRPr="00B4400D">
        <w:rPr>
          <w:rFonts w:cs="Arial"/>
          <w:b/>
          <w:kern w:val="0"/>
          <w:szCs w:val="24"/>
          <w14:ligatures w14:val="none"/>
        </w:rPr>
        <w:t xml:space="preserve">GAUTENG DIVISION </w:t>
      </w:r>
    </w:p>
    <w:p w14:paraId="2108E11A" w14:textId="766C1F9A" w:rsidR="00B4400D" w:rsidRPr="0017509F" w:rsidRDefault="00CC555B" w:rsidP="00BE634D">
      <w:pPr>
        <w:spacing w:line="600" w:lineRule="auto"/>
        <w:jc w:val="right"/>
        <w:rPr>
          <w:rFonts w:cs="Arial"/>
          <w:b/>
          <w:kern w:val="0"/>
          <w:szCs w:val="24"/>
          <w14:ligatures w14:val="none"/>
        </w:rPr>
      </w:pPr>
      <w:r>
        <w:rPr>
          <w:rFonts w:cs="Arial"/>
          <w:b/>
          <w:kern w:val="0"/>
          <w:szCs w:val="24"/>
          <w14:ligatures w14:val="none"/>
        </w:rPr>
        <w:t>PRETORIA</w:t>
      </w:r>
    </w:p>
    <w:p w14:paraId="138648E9" w14:textId="792CBF96" w:rsidR="00B4400D" w:rsidRPr="00B4400D" w:rsidRDefault="00B4400D" w:rsidP="00B4400D">
      <w:pPr>
        <w:jc w:val="both"/>
        <w:rPr>
          <w:rFonts w:cs="Arial"/>
          <w:kern w:val="0"/>
          <w:szCs w:val="24"/>
          <w14:ligatures w14:val="none"/>
        </w:rPr>
      </w:pPr>
      <w:r w:rsidRPr="00B4400D">
        <w:rPr>
          <w:rFonts w:cs="Arial"/>
          <w:kern w:val="0"/>
          <w:szCs w:val="24"/>
          <w14:ligatures w14:val="none"/>
        </w:rPr>
        <w:t>Date of hearing: 0</w:t>
      </w:r>
      <w:r w:rsidR="003313B0">
        <w:rPr>
          <w:rFonts w:cs="Arial"/>
          <w:kern w:val="0"/>
          <w:szCs w:val="24"/>
          <w14:ligatures w14:val="none"/>
        </w:rPr>
        <w:t>2</w:t>
      </w:r>
      <w:r w:rsidRPr="00B4400D">
        <w:rPr>
          <w:rFonts w:cs="Arial"/>
          <w:kern w:val="0"/>
          <w:szCs w:val="24"/>
          <w14:ligatures w14:val="none"/>
        </w:rPr>
        <w:t xml:space="preserve"> </w:t>
      </w:r>
      <w:r w:rsidR="0045086B">
        <w:rPr>
          <w:rFonts w:cs="Arial"/>
          <w:kern w:val="0"/>
          <w:szCs w:val="24"/>
          <w14:ligatures w14:val="none"/>
        </w:rPr>
        <w:t>May</w:t>
      </w:r>
      <w:r w:rsidRPr="00B4400D">
        <w:rPr>
          <w:rFonts w:cs="Arial"/>
          <w:kern w:val="0"/>
          <w:szCs w:val="24"/>
          <w14:ligatures w14:val="none"/>
        </w:rPr>
        <w:t xml:space="preserve"> 202</w:t>
      </w:r>
      <w:r w:rsidR="0045086B">
        <w:rPr>
          <w:rFonts w:cs="Arial"/>
          <w:kern w:val="0"/>
          <w:szCs w:val="24"/>
          <w14:ligatures w14:val="none"/>
        </w:rPr>
        <w:t>3</w:t>
      </w:r>
      <w:r w:rsidR="00D31EB1">
        <w:rPr>
          <w:rFonts w:cs="Arial"/>
          <w:kern w:val="0"/>
          <w:szCs w:val="24"/>
          <w14:ligatures w14:val="none"/>
        </w:rPr>
        <w:t xml:space="preserve"> – 03 May 2023</w:t>
      </w:r>
      <w:r w:rsidR="00CC555B">
        <w:rPr>
          <w:rFonts w:cs="Arial"/>
          <w:kern w:val="0"/>
          <w:szCs w:val="24"/>
          <w14:ligatures w14:val="none"/>
        </w:rPr>
        <w:t xml:space="preserve"> ( The case we heard in Johannesburg)</w:t>
      </w:r>
    </w:p>
    <w:p w14:paraId="21A7D722" w14:textId="5A6A9EF9" w:rsidR="00B4400D" w:rsidRPr="00B4400D" w:rsidRDefault="00B4400D" w:rsidP="00B4400D">
      <w:pPr>
        <w:spacing w:line="480" w:lineRule="auto"/>
        <w:jc w:val="both"/>
        <w:rPr>
          <w:rFonts w:cs="Arial"/>
          <w:kern w:val="0"/>
          <w:szCs w:val="24"/>
          <w14:ligatures w14:val="none"/>
        </w:rPr>
      </w:pPr>
      <w:r w:rsidRPr="00B4400D">
        <w:rPr>
          <w:rFonts w:cs="Arial"/>
          <w:kern w:val="0"/>
          <w:szCs w:val="24"/>
          <w14:ligatures w14:val="none"/>
        </w:rPr>
        <w:t xml:space="preserve">Date of judgment: </w:t>
      </w:r>
      <w:r w:rsidR="003E5F80">
        <w:rPr>
          <w:rFonts w:cs="Arial"/>
          <w:kern w:val="0"/>
          <w:szCs w:val="24"/>
          <w14:ligatures w14:val="none"/>
        </w:rPr>
        <w:t>24 July</w:t>
      </w:r>
      <w:r w:rsidR="0045086B">
        <w:rPr>
          <w:rFonts w:cs="Arial"/>
          <w:kern w:val="0"/>
          <w:szCs w:val="24"/>
          <w14:ligatures w14:val="none"/>
        </w:rPr>
        <w:t xml:space="preserve"> </w:t>
      </w:r>
      <w:r w:rsidRPr="00B4400D">
        <w:rPr>
          <w:rFonts w:cs="Arial"/>
          <w:kern w:val="0"/>
          <w:szCs w:val="24"/>
          <w14:ligatures w14:val="none"/>
        </w:rPr>
        <w:t>202</w:t>
      </w:r>
      <w:r w:rsidR="0045086B">
        <w:rPr>
          <w:rFonts w:cs="Arial"/>
          <w:kern w:val="0"/>
          <w:szCs w:val="24"/>
          <w14:ligatures w14:val="none"/>
        </w:rPr>
        <w:t>3</w:t>
      </w:r>
    </w:p>
    <w:p w14:paraId="3EF4E794" w14:textId="77777777" w:rsidR="00B4400D" w:rsidRPr="00B4400D" w:rsidRDefault="00B4400D" w:rsidP="00B4400D">
      <w:pPr>
        <w:spacing w:line="480" w:lineRule="auto"/>
        <w:jc w:val="both"/>
        <w:rPr>
          <w:rFonts w:cs="Arial"/>
          <w:kern w:val="0"/>
          <w:szCs w:val="24"/>
          <w14:ligatures w14:val="none"/>
        </w:rPr>
      </w:pPr>
      <w:r w:rsidRPr="00B4400D">
        <w:rPr>
          <w:rFonts w:cs="Arial"/>
          <w:kern w:val="0"/>
          <w:szCs w:val="24"/>
          <w14:ligatures w14:val="none"/>
        </w:rPr>
        <w:t>Appearances:</w:t>
      </w:r>
    </w:p>
    <w:p w14:paraId="5464E365" w14:textId="4CFA5F93" w:rsidR="00B4400D" w:rsidRDefault="00B4400D" w:rsidP="00B4400D">
      <w:pPr>
        <w:ind w:left="4320" w:hanging="4320"/>
        <w:jc w:val="both"/>
        <w:rPr>
          <w:rFonts w:cs="Arial"/>
          <w:kern w:val="0"/>
          <w:szCs w:val="24"/>
          <w14:ligatures w14:val="none"/>
        </w:rPr>
      </w:pPr>
      <w:r w:rsidRPr="00B4400D">
        <w:rPr>
          <w:rFonts w:cs="Arial"/>
          <w:kern w:val="0"/>
          <w:szCs w:val="24"/>
          <w14:ligatures w14:val="none"/>
        </w:rPr>
        <w:t>Counsel for the A</w:t>
      </w:r>
      <w:r w:rsidR="003313B0">
        <w:rPr>
          <w:rFonts w:cs="Arial"/>
          <w:kern w:val="0"/>
          <w:szCs w:val="24"/>
          <w14:ligatures w14:val="none"/>
        </w:rPr>
        <w:t>pplicants</w:t>
      </w:r>
      <w:r w:rsidRPr="00B4400D">
        <w:rPr>
          <w:rFonts w:cs="Arial"/>
          <w:kern w:val="0"/>
          <w:szCs w:val="24"/>
          <w14:ligatures w14:val="none"/>
        </w:rPr>
        <w:t xml:space="preserve">:   </w:t>
      </w:r>
      <w:r w:rsidRPr="00B4400D">
        <w:rPr>
          <w:rFonts w:cs="Arial"/>
          <w:kern w:val="0"/>
          <w:szCs w:val="24"/>
          <w14:ligatures w14:val="none"/>
        </w:rPr>
        <w:tab/>
      </w:r>
      <w:r w:rsidR="00014872">
        <w:rPr>
          <w:rFonts w:cs="Arial"/>
          <w:kern w:val="0"/>
          <w:szCs w:val="24"/>
          <w14:ligatures w14:val="none"/>
        </w:rPr>
        <w:t>V Maleka SC</w:t>
      </w:r>
    </w:p>
    <w:p w14:paraId="312C1DA0" w14:textId="15678179" w:rsidR="00014872" w:rsidRDefault="00014872" w:rsidP="00B4400D">
      <w:pPr>
        <w:ind w:left="4320" w:hanging="4320"/>
        <w:jc w:val="both"/>
        <w:rPr>
          <w:rFonts w:cs="Arial"/>
          <w:kern w:val="0"/>
          <w:szCs w:val="24"/>
          <w14:ligatures w14:val="none"/>
        </w:rPr>
      </w:pPr>
      <w:r>
        <w:rPr>
          <w:rFonts w:cs="Arial"/>
          <w:kern w:val="0"/>
          <w:szCs w:val="24"/>
          <w14:ligatures w14:val="none"/>
        </w:rPr>
        <w:tab/>
        <w:t>J Boltar</w:t>
      </w:r>
    </w:p>
    <w:p w14:paraId="046C9017" w14:textId="44306E06" w:rsidR="00014872" w:rsidRPr="00B4400D" w:rsidRDefault="00014872" w:rsidP="00B4400D">
      <w:pPr>
        <w:ind w:left="4320" w:hanging="4320"/>
        <w:jc w:val="both"/>
        <w:rPr>
          <w:rFonts w:cs="Arial"/>
          <w:kern w:val="0"/>
          <w:szCs w:val="24"/>
          <w14:ligatures w14:val="none"/>
        </w:rPr>
      </w:pPr>
      <w:r>
        <w:rPr>
          <w:rFonts w:cs="Arial"/>
          <w:kern w:val="0"/>
          <w:szCs w:val="24"/>
          <w14:ligatures w14:val="none"/>
        </w:rPr>
        <w:tab/>
        <w:t>T Scott</w:t>
      </w:r>
    </w:p>
    <w:p w14:paraId="3D74703C" w14:textId="3F057044" w:rsidR="00B4400D" w:rsidRPr="00B4400D" w:rsidRDefault="00B4400D" w:rsidP="00B4400D">
      <w:pPr>
        <w:spacing w:line="480" w:lineRule="auto"/>
        <w:jc w:val="both"/>
        <w:rPr>
          <w:rFonts w:cs="Arial"/>
          <w:kern w:val="0"/>
          <w:szCs w:val="24"/>
          <w14:ligatures w14:val="none"/>
        </w:rPr>
      </w:pPr>
      <w:r w:rsidRPr="00B4400D">
        <w:rPr>
          <w:rFonts w:cs="Arial"/>
          <w:kern w:val="0"/>
          <w:szCs w:val="24"/>
          <w14:ligatures w14:val="none"/>
        </w:rPr>
        <w:t xml:space="preserve">Instructed by.                                      </w:t>
      </w:r>
      <w:r w:rsidRPr="00B4400D">
        <w:rPr>
          <w:rFonts w:cs="Arial"/>
          <w:kern w:val="0"/>
          <w:szCs w:val="24"/>
          <w14:ligatures w14:val="none"/>
        </w:rPr>
        <w:tab/>
      </w:r>
      <w:r w:rsidR="003313B0">
        <w:rPr>
          <w:rFonts w:cs="Arial"/>
          <w:kern w:val="0"/>
          <w:szCs w:val="24"/>
          <w14:ligatures w14:val="none"/>
        </w:rPr>
        <w:t>Werksman</w:t>
      </w:r>
      <w:r w:rsidR="008C217C">
        <w:rPr>
          <w:rFonts w:cs="Arial"/>
          <w:kern w:val="0"/>
          <w:szCs w:val="24"/>
          <w14:ligatures w14:val="none"/>
        </w:rPr>
        <w:t>s</w:t>
      </w:r>
      <w:r w:rsidRPr="00B4400D">
        <w:rPr>
          <w:rFonts w:cs="Arial"/>
          <w:kern w:val="0"/>
          <w:szCs w:val="24"/>
          <w14:ligatures w14:val="none"/>
        </w:rPr>
        <w:t xml:space="preserve"> Attorneys </w:t>
      </w:r>
    </w:p>
    <w:p w14:paraId="37027FC5" w14:textId="77777777" w:rsidR="00B4400D" w:rsidRPr="00B4400D" w:rsidRDefault="00B4400D" w:rsidP="00B4400D">
      <w:pPr>
        <w:jc w:val="both"/>
        <w:rPr>
          <w:rFonts w:cs="Arial"/>
          <w:kern w:val="0"/>
          <w:sz w:val="22"/>
          <w14:ligatures w14:val="none"/>
        </w:rPr>
      </w:pPr>
    </w:p>
    <w:p w14:paraId="75EC7777" w14:textId="79703FE4" w:rsidR="00B4400D" w:rsidRDefault="00B4400D" w:rsidP="00B4400D">
      <w:pPr>
        <w:jc w:val="both"/>
        <w:rPr>
          <w:rFonts w:cs="Arial"/>
          <w:kern w:val="0"/>
          <w:sz w:val="22"/>
          <w14:ligatures w14:val="none"/>
        </w:rPr>
      </w:pPr>
      <w:r w:rsidRPr="00B4400D">
        <w:rPr>
          <w:rFonts w:cs="Arial"/>
          <w:kern w:val="0"/>
          <w:sz w:val="22"/>
          <w14:ligatures w14:val="none"/>
        </w:rPr>
        <w:t xml:space="preserve">Counsel for Respondent:           </w:t>
      </w:r>
      <w:r w:rsidRPr="00B4400D">
        <w:rPr>
          <w:rFonts w:cs="Arial"/>
          <w:kern w:val="0"/>
          <w:sz w:val="22"/>
          <w14:ligatures w14:val="none"/>
        </w:rPr>
        <w:tab/>
      </w:r>
      <w:r w:rsidRPr="00B4400D">
        <w:rPr>
          <w:rFonts w:cs="Arial"/>
          <w:kern w:val="0"/>
          <w:sz w:val="22"/>
          <w14:ligatures w14:val="none"/>
        </w:rPr>
        <w:tab/>
      </w:r>
      <w:r w:rsidR="006074D2">
        <w:rPr>
          <w:rFonts w:cs="Arial"/>
          <w:kern w:val="0"/>
          <w:sz w:val="22"/>
          <w14:ligatures w14:val="none"/>
        </w:rPr>
        <w:t>G Marcus</w:t>
      </w:r>
      <w:r w:rsidR="00014872">
        <w:rPr>
          <w:rFonts w:cs="Arial"/>
          <w:kern w:val="0"/>
          <w:sz w:val="22"/>
          <w14:ligatures w14:val="none"/>
        </w:rPr>
        <w:t xml:space="preserve"> SC</w:t>
      </w:r>
    </w:p>
    <w:p w14:paraId="132B7BCA" w14:textId="741E5168" w:rsidR="006074D2" w:rsidRPr="00B4400D" w:rsidRDefault="006074D2" w:rsidP="00B4400D">
      <w:pPr>
        <w:jc w:val="both"/>
        <w:rPr>
          <w:rFonts w:cs="Arial"/>
          <w:kern w:val="0"/>
          <w:sz w:val="22"/>
          <w14:ligatures w14:val="none"/>
        </w:rPr>
      </w:pPr>
      <w:r>
        <w:rPr>
          <w:rFonts w:cs="Arial"/>
          <w:kern w:val="0"/>
          <w:sz w:val="22"/>
          <w14:ligatures w14:val="none"/>
        </w:rPr>
        <w:tab/>
      </w:r>
      <w:r>
        <w:rPr>
          <w:rFonts w:cs="Arial"/>
          <w:kern w:val="0"/>
          <w:sz w:val="22"/>
          <w14:ligatures w14:val="none"/>
        </w:rPr>
        <w:tab/>
      </w:r>
      <w:r>
        <w:rPr>
          <w:rFonts w:cs="Arial"/>
          <w:kern w:val="0"/>
          <w:sz w:val="22"/>
          <w14:ligatures w14:val="none"/>
        </w:rPr>
        <w:tab/>
      </w:r>
      <w:r>
        <w:rPr>
          <w:rFonts w:cs="Arial"/>
          <w:kern w:val="0"/>
          <w:sz w:val="22"/>
          <w14:ligatures w14:val="none"/>
        </w:rPr>
        <w:tab/>
      </w:r>
      <w:r>
        <w:rPr>
          <w:rFonts w:cs="Arial"/>
          <w:kern w:val="0"/>
          <w:sz w:val="22"/>
          <w14:ligatures w14:val="none"/>
        </w:rPr>
        <w:tab/>
      </w:r>
      <w:r>
        <w:rPr>
          <w:rFonts w:cs="Arial"/>
          <w:kern w:val="0"/>
          <w:sz w:val="22"/>
          <w14:ligatures w14:val="none"/>
        </w:rPr>
        <w:tab/>
        <w:t>M Mbikiwa</w:t>
      </w:r>
    </w:p>
    <w:p w14:paraId="0BAFF457" w14:textId="3F0ADAC3" w:rsidR="00B4400D" w:rsidRPr="00B4400D" w:rsidRDefault="00B4400D" w:rsidP="00B4400D">
      <w:pPr>
        <w:spacing w:line="480" w:lineRule="auto"/>
        <w:jc w:val="both"/>
        <w:rPr>
          <w:rFonts w:cs="Arial"/>
          <w:kern w:val="0"/>
          <w:sz w:val="22"/>
          <w14:ligatures w14:val="none"/>
        </w:rPr>
      </w:pPr>
      <w:r w:rsidRPr="00B4400D">
        <w:rPr>
          <w:rFonts w:cs="Arial"/>
          <w:kern w:val="0"/>
          <w:sz w:val="22"/>
          <w14:ligatures w14:val="none"/>
        </w:rPr>
        <w:t xml:space="preserve">Instructed by:                                 </w:t>
      </w:r>
      <w:r w:rsidRPr="00B4400D">
        <w:rPr>
          <w:rFonts w:cs="Arial"/>
          <w:kern w:val="0"/>
          <w:sz w:val="22"/>
          <w14:ligatures w14:val="none"/>
        </w:rPr>
        <w:tab/>
      </w:r>
      <w:r w:rsidRPr="00B4400D">
        <w:rPr>
          <w:rFonts w:cs="Arial"/>
          <w:kern w:val="0"/>
          <w:sz w:val="22"/>
          <w14:ligatures w14:val="none"/>
        </w:rPr>
        <w:tab/>
      </w:r>
      <w:r w:rsidR="008C217C">
        <w:rPr>
          <w:rFonts w:cs="Arial"/>
          <w:kern w:val="0"/>
          <w:sz w:val="22"/>
          <w14:ligatures w14:val="none"/>
        </w:rPr>
        <w:t>RW Attorneys</w:t>
      </w:r>
    </w:p>
    <w:p w14:paraId="26D6B7C3" w14:textId="260556C9" w:rsidR="00DC3351" w:rsidRPr="00B4400D" w:rsidRDefault="00DC3351" w:rsidP="00B4400D">
      <w:pPr>
        <w:spacing w:after="360" w:line="480" w:lineRule="auto"/>
        <w:ind w:left="720"/>
        <w:jc w:val="both"/>
        <w:rPr>
          <w:rFonts w:cs="Arial"/>
          <w:szCs w:val="24"/>
        </w:rPr>
      </w:pPr>
    </w:p>
    <w:sectPr w:rsidR="00DC3351" w:rsidRPr="00B4400D" w:rsidSect="0045086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F3242" w14:textId="77777777" w:rsidR="007E55EC" w:rsidRDefault="007E55EC" w:rsidP="00125A26">
      <w:pPr>
        <w:spacing w:after="0" w:line="240" w:lineRule="auto"/>
      </w:pPr>
      <w:r>
        <w:separator/>
      </w:r>
    </w:p>
  </w:endnote>
  <w:endnote w:type="continuationSeparator" w:id="0">
    <w:p w14:paraId="72A11B03" w14:textId="77777777" w:rsidR="007E55EC" w:rsidRDefault="007E55EC" w:rsidP="00125A26">
      <w:pPr>
        <w:spacing w:after="0" w:line="240" w:lineRule="auto"/>
      </w:pPr>
      <w:r>
        <w:continuationSeparator/>
      </w:r>
    </w:p>
  </w:endnote>
  <w:endnote w:type="continuationNotice" w:id="1">
    <w:p w14:paraId="007AB709" w14:textId="77777777" w:rsidR="007E55EC" w:rsidRDefault="007E5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00F6F" w14:textId="77777777" w:rsidR="007E55EC" w:rsidRDefault="007E55EC" w:rsidP="00125A26">
      <w:pPr>
        <w:spacing w:after="0" w:line="240" w:lineRule="auto"/>
      </w:pPr>
      <w:r>
        <w:separator/>
      </w:r>
    </w:p>
  </w:footnote>
  <w:footnote w:type="continuationSeparator" w:id="0">
    <w:p w14:paraId="6C1B5034" w14:textId="77777777" w:rsidR="007E55EC" w:rsidRDefault="007E55EC" w:rsidP="00125A26">
      <w:pPr>
        <w:spacing w:after="0" w:line="240" w:lineRule="auto"/>
      </w:pPr>
      <w:r>
        <w:continuationSeparator/>
      </w:r>
    </w:p>
  </w:footnote>
  <w:footnote w:type="continuationNotice" w:id="1">
    <w:p w14:paraId="3FAD02A5" w14:textId="77777777" w:rsidR="007E55EC" w:rsidRDefault="007E55EC">
      <w:pPr>
        <w:spacing w:after="0" w:line="240" w:lineRule="auto"/>
      </w:pPr>
    </w:p>
  </w:footnote>
  <w:footnote w:id="2">
    <w:p w14:paraId="24D489B9" w14:textId="77777777" w:rsidR="00B53BE7" w:rsidRPr="00125A26" w:rsidRDefault="00B53BE7" w:rsidP="000137A8">
      <w:pPr>
        <w:pStyle w:val="FootnoteText"/>
        <w:jc w:val="both"/>
        <w:rPr>
          <w:lang w:val="en-US"/>
        </w:rPr>
      </w:pPr>
      <w:r>
        <w:rPr>
          <w:rStyle w:val="FootnoteReference"/>
        </w:rPr>
        <w:footnoteRef/>
      </w:r>
      <w:r>
        <w:t xml:space="preserve"> </w:t>
      </w:r>
      <w:r>
        <w:rPr>
          <w:lang w:val="en-US"/>
        </w:rPr>
        <w:t>I make no finding that this is the case. This is the import of one of the arguments made by the trustees’ counsel during the hearing before me.</w:t>
      </w:r>
    </w:p>
  </w:footnote>
  <w:footnote w:id="3">
    <w:p w14:paraId="515D3A60" w14:textId="6407D512" w:rsidR="00627CA6" w:rsidRPr="00627CA6" w:rsidRDefault="00C70BB3" w:rsidP="003C5797">
      <w:pPr>
        <w:pStyle w:val="FootnoteText"/>
        <w:jc w:val="both"/>
        <w:rPr>
          <w:i/>
          <w:iCs/>
        </w:rPr>
      </w:pPr>
      <w:r>
        <w:rPr>
          <w:rStyle w:val="FootnoteReference"/>
        </w:rPr>
        <w:footnoteRef/>
      </w:r>
      <w:r>
        <w:t xml:space="preserve"> </w:t>
      </w:r>
      <w:r w:rsidR="00627CA6">
        <w:t xml:space="preserve">Section 42(1) states: </w:t>
      </w:r>
      <w:r w:rsidR="00627CA6" w:rsidRPr="00627CA6">
        <w:rPr>
          <w:i/>
          <w:iCs/>
        </w:rPr>
        <w:t>“A SARS official involved in or responsible for an audit under this Chapter must, in the form and in the manner as may be prescribed by the Commissioner by public notice, provide the taxpayer with a notice of commencement of an audit and, thereafter, a report indicating the stage of</w:t>
      </w:r>
    </w:p>
    <w:p w14:paraId="6A1292F6" w14:textId="5405FAAB" w:rsidR="00C70BB3" w:rsidRPr="00C70BB3" w:rsidRDefault="00627CA6" w:rsidP="003C5797">
      <w:pPr>
        <w:pStyle w:val="FootnoteText"/>
        <w:jc w:val="both"/>
        <w:rPr>
          <w:lang w:val="en-US"/>
        </w:rPr>
      </w:pPr>
      <w:r w:rsidRPr="00627CA6">
        <w:rPr>
          <w:i/>
          <w:iCs/>
        </w:rPr>
        <w:t>completion of the audit</w:t>
      </w:r>
      <w:r>
        <w:rPr>
          <w:i/>
          <w:iCs/>
        </w:rPr>
        <w:t>”</w:t>
      </w:r>
      <w:r w:rsidRPr="00627CA6">
        <w:rPr>
          <w:i/>
          <w:iCs/>
        </w:rPr>
        <w:t>.</w:t>
      </w:r>
    </w:p>
  </w:footnote>
  <w:footnote w:id="4">
    <w:p w14:paraId="08B4579A" w14:textId="77777777" w:rsidR="00B53BE7" w:rsidRPr="009640A0" w:rsidRDefault="00B53BE7" w:rsidP="003C5797">
      <w:pPr>
        <w:pStyle w:val="FootnoteText"/>
        <w:jc w:val="both"/>
        <w:rPr>
          <w:lang w:val="en-US"/>
        </w:rPr>
      </w:pPr>
      <w:r>
        <w:rPr>
          <w:rStyle w:val="FootnoteReference"/>
        </w:rPr>
        <w:footnoteRef/>
      </w:r>
      <w:r>
        <w:t xml:space="preserve"> </w:t>
      </w:r>
      <w:r>
        <w:rPr>
          <w:lang w:val="en-US"/>
        </w:rPr>
        <w:t>Section 80A(a)(ii).</w:t>
      </w:r>
    </w:p>
  </w:footnote>
  <w:footnote w:id="5">
    <w:p w14:paraId="3EC7FBB0" w14:textId="17C06DA3" w:rsidR="00A04D72" w:rsidRPr="00A04D72" w:rsidRDefault="00A04D72" w:rsidP="008221BF">
      <w:pPr>
        <w:pStyle w:val="FootnoteText"/>
        <w:jc w:val="both"/>
        <w:rPr>
          <w:lang w:val="en-US"/>
        </w:rPr>
      </w:pPr>
      <w:r>
        <w:rPr>
          <w:rStyle w:val="FootnoteReference"/>
        </w:rPr>
        <w:footnoteRef/>
      </w:r>
      <w:r>
        <w:t xml:space="preserve"> </w:t>
      </w:r>
      <w:r>
        <w:rPr>
          <w:lang w:val="en-US"/>
        </w:rPr>
        <w:t xml:space="preserve">The subsection refers to </w:t>
      </w:r>
      <w:r w:rsidRPr="00F8212E">
        <w:rPr>
          <w:i/>
          <w:iCs/>
          <w:lang w:val="en-US"/>
        </w:rPr>
        <w:t>conclusion</w:t>
      </w:r>
      <w:r>
        <w:rPr>
          <w:lang w:val="en-US"/>
        </w:rPr>
        <w:t xml:space="preserve"> of the audit not </w:t>
      </w:r>
      <w:r w:rsidR="00F8212E" w:rsidRPr="00F8212E">
        <w:rPr>
          <w:i/>
          <w:iCs/>
          <w:lang w:val="en-US"/>
        </w:rPr>
        <w:t>completion,</w:t>
      </w:r>
      <w:r w:rsidRPr="00F8212E">
        <w:rPr>
          <w:i/>
          <w:iCs/>
          <w:lang w:val="en-US"/>
        </w:rPr>
        <w:t xml:space="preserve"> </w:t>
      </w:r>
      <w:r>
        <w:rPr>
          <w:lang w:val="en-US"/>
        </w:rPr>
        <w:t>but I don’t understand that the taxpayers make anything of this point</w:t>
      </w:r>
      <w:r w:rsidR="00F8212E">
        <w:rPr>
          <w:lang w:val="en-US"/>
        </w:rPr>
        <w:t>;</w:t>
      </w:r>
      <w:r>
        <w:rPr>
          <w:lang w:val="en-US"/>
        </w:rPr>
        <w:t xml:space="preserve"> </w:t>
      </w:r>
      <w:r w:rsidR="00F8212E">
        <w:rPr>
          <w:lang w:val="en-US"/>
        </w:rPr>
        <w:t>their focus is on the choice of the word preliminary.</w:t>
      </w:r>
    </w:p>
  </w:footnote>
  <w:footnote w:id="6">
    <w:p w14:paraId="09B9297B" w14:textId="3508D912" w:rsidR="00F148F2" w:rsidRPr="00F148F2" w:rsidRDefault="00F148F2" w:rsidP="008221BF">
      <w:pPr>
        <w:pStyle w:val="FootnoteText"/>
        <w:jc w:val="both"/>
        <w:rPr>
          <w:lang w:val="en-US"/>
        </w:rPr>
      </w:pPr>
      <w:r>
        <w:rPr>
          <w:rStyle w:val="FootnoteReference"/>
        </w:rPr>
        <w:footnoteRef/>
      </w:r>
      <w:r>
        <w:t xml:space="preserve"> </w:t>
      </w:r>
      <w:r>
        <w:rPr>
          <w:lang w:val="en-US"/>
        </w:rPr>
        <w:t>This is contained in paragraph 6 of the March letter which I referred to earlier</w:t>
      </w:r>
      <w:r w:rsidR="00E65F90">
        <w:rPr>
          <w:lang w:val="en-US"/>
        </w:rPr>
        <w:t xml:space="preserve"> in paragraph 16.</w:t>
      </w:r>
    </w:p>
  </w:footnote>
  <w:footnote w:id="7">
    <w:p w14:paraId="67854B02" w14:textId="77777777" w:rsidR="00866D58" w:rsidRPr="003B5A64" w:rsidRDefault="00866D58" w:rsidP="00347D2E">
      <w:pPr>
        <w:pStyle w:val="FootnoteText"/>
        <w:jc w:val="both"/>
        <w:rPr>
          <w:lang w:val="en-US"/>
        </w:rPr>
      </w:pPr>
      <w:r>
        <w:rPr>
          <w:rStyle w:val="FootnoteReference"/>
        </w:rPr>
        <w:footnoteRef/>
      </w:r>
      <w:r>
        <w:t xml:space="preserve"> </w:t>
      </w:r>
      <w:r w:rsidRPr="003B5A64">
        <w:rPr>
          <w:i/>
          <w:iCs/>
        </w:rPr>
        <w:t>Minister of Environmental Affairs &amp; Tourism v Phambili Fisheries (Pty) Ltd 2003 (6) SA 407 (SCA) par 40</w:t>
      </w:r>
    </w:p>
  </w:footnote>
  <w:footnote w:id="8">
    <w:p w14:paraId="1D33C90B" w14:textId="77777777" w:rsidR="002A6CAC" w:rsidRPr="006742FD" w:rsidRDefault="002A6CAC" w:rsidP="00347D2E">
      <w:pPr>
        <w:pStyle w:val="FootnoteText"/>
        <w:jc w:val="both"/>
        <w:rPr>
          <w:lang w:val="en-US"/>
        </w:rPr>
      </w:pPr>
      <w:r>
        <w:rPr>
          <w:rStyle w:val="FootnoteReference"/>
        </w:rPr>
        <w:footnoteRef/>
      </w:r>
      <w:r>
        <w:t xml:space="preserve"> </w:t>
      </w:r>
      <w:r w:rsidRPr="00B81AD3">
        <w:t>[1983]FCA 179; (1983)48 ALR 500, 507</w:t>
      </w:r>
    </w:p>
  </w:footnote>
  <w:footnote w:id="9">
    <w:p w14:paraId="7496729D" w14:textId="77777777" w:rsidR="00B53BE7" w:rsidRPr="003D312A" w:rsidRDefault="00B53BE7" w:rsidP="004B2A6E">
      <w:pPr>
        <w:pStyle w:val="FootnoteText"/>
        <w:jc w:val="both"/>
        <w:rPr>
          <w:lang w:val="en-US"/>
        </w:rPr>
      </w:pPr>
      <w:r>
        <w:rPr>
          <w:rStyle w:val="FootnoteReference"/>
        </w:rPr>
        <w:footnoteRef/>
      </w:r>
      <w:r>
        <w:t xml:space="preserve"> </w:t>
      </w:r>
      <w:r w:rsidRPr="00FE2716">
        <w:rPr>
          <w:i/>
          <w:iCs/>
          <w:lang w:val="en-US"/>
        </w:rPr>
        <w:t xml:space="preserve">Commissioner for South African Revenue Services  v Rappa Resources (Pty) Ltd </w:t>
      </w:r>
      <w:r>
        <w:rPr>
          <w:lang w:val="en-US"/>
        </w:rPr>
        <w:t xml:space="preserve">2023 JDR 0861 (SCA) </w:t>
      </w:r>
    </w:p>
  </w:footnote>
  <w:footnote w:id="10">
    <w:p w14:paraId="4AB7F848" w14:textId="33CC8266" w:rsidR="00B53BE7" w:rsidRPr="003D312A" w:rsidRDefault="00B53BE7" w:rsidP="004B2A6E">
      <w:pPr>
        <w:pStyle w:val="FootnoteText"/>
        <w:jc w:val="both"/>
        <w:rPr>
          <w:lang w:val="en-US"/>
        </w:rPr>
      </w:pPr>
      <w:r>
        <w:rPr>
          <w:rStyle w:val="FootnoteReference"/>
        </w:rPr>
        <w:footnoteRef/>
      </w:r>
      <w:r>
        <w:t xml:space="preserve"> </w:t>
      </w:r>
      <w:r w:rsidRPr="00DC27BB">
        <w:rPr>
          <w:i/>
          <w:iCs/>
          <w:lang w:val="en-US"/>
        </w:rPr>
        <w:t>Ibid</w:t>
      </w:r>
      <w:r>
        <w:rPr>
          <w:lang w:val="en-US"/>
        </w:rPr>
        <w:t xml:space="preserve"> paragraphs 17- 18.</w:t>
      </w:r>
      <w:r w:rsidR="00770781" w:rsidRPr="00770781">
        <w:rPr>
          <w:i/>
        </w:rPr>
        <w:t xml:space="preserve"> Rappa</w:t>
      </w:r>
      <w:r w:rsidR="00770781" w:rsidRPr="00770781">
        <w:t xml:space="preserve"> was decided in 2023, sometime after the pleadings in this case ha</w:t>
      </w:r>
      <w:r w:rsidR="00770781">
        <w:t>d</w:t>
      </w:r>
      <w:r w:rsidR="00770781" w:rsidRPr="00770781">
        <w:t xml:space="preserve"> closed, and the initial heads of argument were filed. SARS places much reliance on this decision, and it explains why the parties arguments have shifted during the course of this litigation in response and hence the filing of several further sets of heads of argument</w:t>
      </w:r>
      <w:r w:rsidR="00770781">
        <w:t>.</w:t>
      </w:r>
    </w:p>
  </w:footnote>
  <w:footnote w:id="11">
    <w:p w14:paraId="0EBCB6C1" w14:textId="77777777" w:rsidR="00B53BE7" w:rsidRDefault="00B53BE7" w:rsidP="00ED797D">
      <w:pPr>
        <w:pStyle w:val="FootnoteText"/>
        <w:jc w:val="both"/>
      </w:pPr>
      <w:r>
        <w:rPr>
          <w:rStyle w:val="FootnoteReference"/>
        </w:rPr>
        <w:footnoteRef/>
      </w:r>
      <w:r>
        <w:t xml:space="preserve"> </w:t>
      </w:r>
      <w:r w:rsidRPr="002B2AA8">
        <w:rPr>
          <w:i/>
        </w:rPr>
        <w:t>Competition Commission of South Africa v Standard Bank of South Africa</w:t>
      </w:r>
      <w:r w:rsidRPr="002B2AA8">
        <w:t xml:space="preserve"> [2020] ZACC 2; 2020 (4) BCLR 429 CC (Standard Bank).</w:t>
      </w:r>
    </w:p>
  </w:footnote>
  <w:footnote w:id="12">
    <w:p w14:paraId="78BBC05C" w14:textId="77777777" w:rsidR="00B53BE7" w:rsidRPr="003C479D" w:rsidRDefault="00B53BE7" w:rsidP="00ED797D">
      <w:pPr>
        <w:pStyle w:val="FootnoteText"/>
        <w:jc w:val="both"/>
        <w:rPr>
          <w:lang w:val="en-US"/>
        </w:rPr>
      </w:pPr>
      <w:r>
        <w:rPr>
          <w:rStyle w:val="FootnoteReference"/>
        </w:rPr>
        <w:footnoteRef/>
      </w:r>
      <w:r>
        <w:t xml:space="preserve"> </w:t>
      </w:r>
      <w:r>
        <w:rPr>
          <w:lang w:val="en-US"/>
        </w:rPr>
        <w:t>This became paragraph 2A of the amended notice of motion.</w:t>
      </w:r>
    </w:p>
  </w:footnote>
  <w:footnote w:id="13">
    <w:p w14:paraId="55CF76BE" w14:textId="77777777" w:rsidR="00B53BE7" w:rsidRPr="00AF516C" w:rsidRDefault="00B53BE7" w:rsidP="00AF516C">
      <w:pPr>
        <w:pStyle w:val="FootnoteText"/>
        <w:jc w:val="both"/>
        <w:rPr>
          <w:rFonts w:cs="Arial"/>
        </w:rPr>
      </w:pPr>
      <w:r w:rsidRPr="00AF516C">
        <w:rPr>
          <w:rStyle w:val="FootnoteReference"/>
          <w:rFonts w:cs="Arial"/>
        </w:rPr>
        <w:footnoteRef/>
      </w:r>
      <w:r w:rsidRPr="00AF516C">
        <w:rPr>
          <w:rFonts w:cs="Arial"/>
        </w:rPr>
        <w:t xml:space="preserve"> </w:t>
      </w:r>
      <w:r w:rsidRPr="00AF516C">
        <w:rPr>
          <w:rFonts w:cs="Arial"/>
          <w:i/>
        </w:rPr>
        <w:t>Commissioner for the South African Revenue Service v FP (Pty) Ltd</w:t>
      </w:r>
      <w:r w:rsidRPr="00AF516C">
        <w:rPr>
          <w:rFonts w:cs="Arial"/>
        </w:rPr>
        <w:t xml:space="preserve"> [2021] ZATC 8; 84 SATC 321 paragraphs 57-58.</w:t>
      </w:r>
    </w:p>
  </w:footnote>
  <w:footnote w:id="14">
    <w:p w14:paraId="130B3177" w14:textId="77777777" w:rsidR="00B53BE7" w:rsidRPr="00AF516C" w:rsidRDefault="00B53BE7" w:rsidP="00AF516C">
      <w:pPr>
        <w:pStyle w:val="FootnoteText"/>
        <w:jc w:val="both"/>
        <w:rPr>
          <w:rFonts w:cs="Arial"/>
          <w:lang w:val="en-US"/>
        </w:rPr>
      </w:pPr>
      <w:r w:rsidRPr="00AF516C">
        <w:rPr>
          <w:rStyle w:val="FootnoteReference"/>
          <w:rFonts w:cs="Arial"/>
        </w:rPr>
        <w:footnoteRef/>
      </w:r>
      <w:r w:rsidRPr="00AF516C">
        <w:rPr>
          <w:rFonts w:cs="Arial"/>
        </w:rPr>
        <w:t xml:space="preserve"> </w:t>
      </w:r>
      <w:r w:rsidRPr="00AF516C">
        <w:rPr>
          <w:rFonts w:cs="Arial"/>
          <w:lang w:val="en-US"/>
        </w:rPr>
        <w:t>2021(3) SA513(GP). I was advised from the Bar that this decision has been the subject of an appeal to the SCA but at the time of this decision the outcome is not known.</w:t>
      </w:r>
    </w:p>
  </w:footnote>
  <w:footnote w:id="15">
    <w:p w14:paraId="2F755EEC" w14:textId="77777777" w:rsidR="00B53BE7" w:rsidRPr="00AE22F2" w:rsidRDefault="00B53BE7" w:rsidP="00AF516C">
      <w:pPr>
        <w:pStyle w:val="FootnoteText"/>
        <w:jc w:val="both"/>
        <w:rPr>
          <w:lang w:val="en-US"/>
        </w:rPr>
      </w:pPr>
      <w:r>
        <w:rPr>
          <w:rStyle w:val="FootnoteReference"/>
        </w:rPr>
        <w:footnoteRef/>
      </w:r>
      <w:r>
        <w:t xml:space="preserve"> </w:t>
      </w:r>
      <w:r>
        <w:rPr>
          <w:lang w:val="en-US"/>
        </w:rPr>
        <w:t>Ibid paragraph 49.</w:t>
      </w:r>
    </w:p>
  </w:footnote>
  <w:footnote w:id="16">
    <w:p w14:paraId="44C76285" w14:textId="77777777" w:rsidR="00B53BE7" w:rsidRPr="00036411" w:rsidRDefault="00B53BE7" w:rsidP="00AF516C">
      <w:pPr>
        <w:pStyle w:val="FootnoteText"/>
        <w:jc w:val="both"/>
        <w:rPr>
          <w:lang w:val="en-US"/>
        </w:rPr>
      </w:pPr>
      <w:r>
        <w:rPr>
          <w:rStyle w:val="FootnoteReference"/>
        </w:rPr>
        <w:footnoteRef/>
      </w:r>
      <w:r>
        <w:t xml:space="preserve"> </w:t>
      </w:r>
      <w:r w:rsidRPr="00036411">
        <w:rPr>
          <w:i/>
          <w:iCs/>
          <w:lang w:val="en-US"/>
        </w:rPr>
        <w:t>Rappa</w:t>
      </w:r>
      <w:r>
        <w:rPr>
          <w:lang w:val="en-US"/>
        </w:rPr>
        <w:t>, supra, paragraph 12.</w:t>
      </w:r>
    </w:p>
  </w:footnote>
  <w:footnote w:id="17">
    <w:p w14:paraId="301B598A" w14:textId="77777777" w:rsidR="00B53BE7" w:rsidRPr="00A50A0E" w:rsidRDefault="00B53BE7" w:rsidP="00AF516C">
      <w:pPr>
        <w:pStyle w:val="FootnoteText"/>
        <w:jc w:val="both"/>
        <w:rPr>
          <w:lang w:val="en-US"/>
        </w:rPr>
      </w:pPr>
      <w:r>
        <w:rPr>
          <w:rStyle w:val="FootnoteReference"/>
        </w:rPr>
        <w:footnoteRef/>
      </w:r>
      <w:r>
        <w:t xml:space="preserve"> </w:t>
      </w:r>
      <w:r w:rsidRPr="00A50A0E">
        <w:t>[2019]</w:t>
      </w:r>
      <w:r>
        <w:t xml:space="preserve"> </w:t>
      </w:r>
      <w:r w:rsidRPr="00A50A0E">
        <w:t>ZASCA 148; 2020 (2) SA 19 (SCA)</w:t>
      </w:r>
    </w:p>
  </w:footnote>
  <w:footnote w:id="18">
    <w:p w14:paraId="2446D914" w14:textId="77777777" w:rsidR="00B53BE7" w:rsidRPr="002E4D98" w:rsidRDefault="00B53BE7" w:rsidP="00AF516C">
      <w:pPr>
        <w:pStyle w:val="FootnoteText"/>
        <w:jc w:val="both"/>
        <w:rPr>
          <w:lang w:val="en-US"/>
        </w:rPr>
      </w:pPr>
      <w:r>
        <w:rPr>
          <w:rStyle w:val="FootnoteReference"/>
        </w:rPr>
        <w:footnoteRef/>
      </w:r>
      <w:r>
        <w:t xml:space="preserve"> </w:t>
      </w:r>
      <w:r w:rsidRPr="0046751B">
        <w:rPr>
          <w:i/>
          <w:iCs/>
          <w:lang w:val="en-US"/>
        </w:rPr>
        <w:t>Rappa</w:t>
      </w:r>
      <w:r>
        <w:rPr>
          <w:lang w:val="en-US"/>
        </w:rPr>
        <w:t>, supra, paragraph 14.</w:t>
      </w:r>
    </w:p>
  </w:footnote>
  <w:footnote w:id="19">
    <w:p w14:paraId="4D0294DA" w14:textId="77777777" w:rsidR="00B53BE7" w:rsidRPr="001277E2" w:rsidRDefault="00B53BE7" w:rsidP="00AF516C">
      <w:pPr>
        <w:pStyle w:val="FootnoteText"/>
        <w:jc w:val="both"/>
        <w:rPr>
          <w:lang w:val="en-US"/>
        </w:rPr>
      </w:pPr>
      <w:r>
        <w:rPr>
          <w:rStyle w:val="FootnoteReference"/>
        </w:rPr>
        <w:footnoteRef/>
      </w:r>
      <w:r>
        <w:t xml:space="preserve"> 2008(1) SA 383 SA, paragraphs 23-24.</w:t>
      </w:r>
    </w:p>
  </w:footnote>
  <w:footnote w:id="20">
    <w:p w14:paraId="77155F0F" w14:textId="77777777" w:rsidR="00B53BE7" w:rsidRPr="004D7842" w:rsidRDefault="00B53BE7" w:rsidP="00AF516C">
      <w:pPr>
        <w:pStyle w:val="FootnoteText"/>
        <w:jc w:val="both"/>
        <w:rPr>
          <w:lang w:val="en-US"/>
        </w:rPr>
      </w:pPr>
      <w:r>
        <w:rPr>
          <w:rStyle w:val="FootnoteReference"/>
        </w:rPr>
        <w:footnoteRef/>
      </w:r>
      <w:r>
        <w:t xml:space="preserve"> </w:t>
      </w:r>
      <w:r>
        <w:rPr>
          <w:lang w:val="en-US"/>
        </w:rPr>
        <w:t>Ibid, paragraph 24.</w:t>
      </w:r>
    </w:p>
  </w:footnote>
  <w:footnote w:id="21">
    <w:p w14:paraId="765AEFF7" w14:textId="51EE3BDD" w:rsidR="00DB3CE7" w:rsidRPr="00DB3CE7" w:rsidRDefault="00DB3CE7">
      <w:pPr>
        <w:pStyle w:val="FootnoteText"/>
        <w:rPr>
          <w:lang w:val="en-US"/>
        </w:rPr>
      </w:pPr>
      <w:r>
        <w:rPr>
          <w:rStyle w:val="FootnoteReference"/>
        </w:rPr>
        <w:footnoteRef/>
      </w:r>
      <w:r>
        <w:t xml:space="preserve"> </w:t>
      </w:r>
      <w:r w:rsidR="00B809BC" w:rsidRPr="00B809BC">
        <w:t>2002 (6) SA 150 (C) at 156H- 157C.</w:t>
      </w:r>
    </w:p>
  </w:footnote>
  <w:footnote w:id="22">
    <w:p w14:paraId="2A5F4593" w14:textId="2B7E36EF" w:rsidR="00060D12" w:rsidRPr="00060D12" w:rsidRDefault="00060D12">
      <w:pPr>
        <w:pStyle w:val="FootnoteText"/>
        <w:rPr>
          <w:lang w:val="en-US"/>
        </w:rPr>
      </w:pPr>
      <w:r>
        <w:rPr>
          <w:rStyle w:val="FootnoteReference"/>
        </w:rPr>
        <w:footnoteRef/>
      </w:r>
      <w:r>
        <w:t xml:space="preserve"> </w:t>
      </w:r>
      <w:r w:rsidR="005E5F7A" w:rsidRPr="005E5F7A">
        <w:rPr>
          <w:i/>
          <w:iCs/>
        </w:rPr>
        <w:t>Plascon-Evans Paints Ltd v Van Riebeeck Paints (Pty) Ltd</w:t>
      </w:r>
      <w:r w:rsidR="005E5F7A" w:rsidRPr="005E5F7A">
        <w:t xml:space="preserve"> 1984 (3) SA 623 (A)</w:t>
      </w:r>
      <w:r w:rsidR="0014405A">
        <w:t>.</w:t>
      </w:r>
    </w:p>
  </w:footnote>
  <w:footnote w:id="23">
    <w:p w14:paraId="09ECC9EC" w14:textId="5BED2B2C" w:rsidR="00443A8F" w:rsidRPr="002D0A44" w:rsidRDefault="00443A8F" w:rsidP="002D0A44">
      <w:pPr>
        <w:pStyle w:val="FootnoteText"/>
        <w:jc w:val="both"/>
        <w:rPr>
          <w:rFonts w:cs="Arial"/>
          <w:lang w:val="en-US"/>
        </w:rPr>
      </w:pPr>
      <w:r w:rsidRPr="002D0A44">
        <w:rPr>
          <w:rStyle w:val="FootnoteReference"/>
          <w:rFonts w:cs="Arial"/>
        </w:rPr>
        <w:footnoteRef/>
      </w:r>
      <w:r w:rsidRPr="002D0A44">
        <w:rPr>
          <w:rFonts w:cs="Arial"/>
        </w:rPr>
        <w:t xml:space="preserve"> </w:t>
      </w:r>
      <w:r w:rsidRPr="002D0A44">
        <w:rPr>
          <w:rFonts w:cs="Arial"/>
          <w:lang w:val="en-US"/>
        </w:rPr>
        <w:t xml:space="preserve">The Oxford dictionary defines </w:t>
      </w:r>
      <w:r w:rsidR="00310767" w:rsidRPr="002D0A44">
        <w:rPr>
          <w:rFonts w:cs="Arial"/>
          <w:lang w:val="en-US"/>
        </w:rPr>
        <w:t>‘</w:t>
      </w:r>
      <w:r w:rsidRPr="002D0A44">
        <w:rPr>
          <w:rFonts w:cs="Arial"/>
          <w:lang w:val="en-US"/>
        </w:rPr>
        <w:t>grounds</w:t>
      </w:r>
      <w:r w:rsidR="00310767" w:rsidRPr="002D0A44">
        <w:rPr>
          <w:rFonts w:cs="Arial"/>
          <w:lang w:val="en-US"/>
        </w:rPr>
        <w:t>’</w:t>
      </w:r>
      <w:r w:rsidRPr="002D0A44">
        <w:rPr>
          <w:rFonts w:cs="Arial"/>
          <w:lang w:val="en-US"/>
        </w:rPr>
        <w:t xml:space="preserve"> as “</w:t>
      </w:r>
      <w:r w:rsidRPr="002D0A44">
        <w:rPr>
          <w:rFonts w:cs="Arial"/>
          <w:i/>
          <w:iCs/>
          <w:lang w:val="en-US"/>
        </w:rPr>
        <w:t xml:space="preserve"> factors forming a basis for action or for the justification of a belief</w:t>
      </w:r>
      <w:r w:rsidRPr="002D0A44">
        <w:rPr>
          <w:rFonts w:cs="Arial"/>
          <w:lang w:val="en-US"/>
        </w:rPr>
        <w:t>. “</w:t>
      </w:r>
    </w:p>
  </w:footnote>
  <w:footnote w:id="24">
    <w:p w14:paraId="3673C396" w14:textId="60F7D05D" w:rsidR="00946CCE" w:rsidRPr="002D0A44" w:rsidRDefault="00946CCE" w:rsidP="002D0A44">
      <w:pPr>
        <w:pStyle w:val="FootnoteText"/>
        <w:jc w:val="both"/>
        <w:rPr>
          <w:rFonts w:cs="Arial"/>
          <w:lang w:val="en-US"/>
        </w:rPr>
      </w:pPr>
      <w:r w:rsidRPr="002D0A44">
        <w:rPr>
          <w:rStyle w:val="FootnoteReference"/>
          <w:rFonts w:cs="Arial"/>
        </w:rPr>
        <w:footnoteRef/>
      </w:r>
      <w:r w:rsidRPr="002D0A44">
        <w:rPr>
          <w:rFonts w:cs="Arial"/>
        </w:rPr>
        <w:t xml:space="preserve"> </w:t>
      </w:r>
      <w:r w:rsidR="00BB1B1C" w:rsidRPr="002D0A44">
        <w:rPr>
          <w:rFonts w:cs="Arial"/>
          <w:lang w:val="en-US"/>
        </w:rPr>
        <w:t>EA Kellaway,</w:t>
      </w:r>
      <w:r w:rsidR="00BB1B1C" w:rsidRPr="002D0A44">
        <w:rPr>
          <w:rFonts w:cs="Arial"/>
          <w:i/>
          <w:iCs/>
          <w:lang w:val="en-US"/>
        </w:rPr>
        <w:t xml:space="preserve"> </w:t>
      </w:r>
      <w:r w:rsidR="00C711CE" w:rsidRPr="002D0A44">
        <w:rPr>
          <w:rFonts w:cs="Arial"/>
          <w:i/>
          <w:iCs/>
          <w:lang w:val="en-US"/>
        </w:rPr>
        <w:t>“</w:t>
      </w:r>
      <w:r w:rsidR="00BB1B1C" w:rsidRPr="002D0A44">
        <w:rPr>
          <w:rFonts w:cs="Arial"/>
          <w:i/>
          <w:iCs/>
          <w:lang w:val="en-US"/>
        </w:rPr>
        <w:t xml:space="preserve">Principles of legal Interpretation </w:t>
      </w:r>
      <w:r w:rsidR="00A828FF" w:rsidRPr="002D0A44">
        <w:rPr>
          <w:rFonts w:cs="Arial"/>
          <w:i/>
          <w:iCs/>
          <w:lang w:val="en-US"/>
        </w:rPr>
        <w:t>of statutes, contracts and wills</w:t>
      </w:r>
      <w:r w:rsidR="00C711CE" w:rsidRPr="002D0A44">
        <w:rPr>
          <w:rFonts w:cs="Arial"/>
          <w:i/>
          <w:iCs/>
          <w:lang w:val="en-US"/>
        </w:rPr>
        <w:t>”</w:t>
      </w:r>
      <w:r w:rsidR="00A828FF" w:rsidRPr="002D0A44">
        <w:rPr>
          <w:rFonts w:cs="Arial"/>
          <w:lang w:val="en-US"/>
        </w:rPr>
        <w:t xml:space="preserve">. </w:t>
      </w:r>
      <w:r w:rsidR="00C711CE" w:rsidRPr="002D0A44">
        <w:rPr>
          <w:rFonts w:cs="Arial"/>
          <w:lang w:val="en-US"/>
        </w:rPr>
        <w:t>(</w:t>
      </w:r>
      <w:r w:rsidR="00CF2276" w:rsidRPr="002D0A44">
        <w:rPr>
          <w:rFonts w:cs="Arial"/>
          <w:lang w:val="en-US"/>
        </w:rPr>
        <w:t>Butterworths</w:t>
      </w:r>
      <w:r w:rsidR="00C711CE" w:rsidRPr="002D0A44">
        <w:rPr>
          <w:rFonts w:cs="Arial"/>
          <w:lang w:val="en-US"/>
        </w:rPr>
        <w:t>)</w:t>
      </w:r>
      <w:r w:rsidR="00CF2276" w:rsidRPr="002D0A44">
        <w:rPr>
          <w:rFonts w:cs="Arial"/>
          <w:lang w:val="en-US"/>
        </w:rPr>
        <w:t>, paragraph 7.4</w:t>
      </w:r>
    </w:p>
  </w:footnote>
  <w:footnote w:id="25">
    <w:p w14:paraId="22A5706F" w14:textId="5746C121" w:rsidR="009D7B81" w:rsidRPr="009D7B81" w:rsidRDefault="009D7B81">
      <w:pPr>
        <w:pStyle w:val="FootnoteText"/>
        <w:rPr>
          <w:lang w:val="en-US"/>
        </w:rPr>
      </w:pPr>
      <w:r>
        <w:rPr>
          <w:rStyle w:val="FootnoteReference"/>
        </w:rPr>
        <w:footnoteRef/>
      </w:r>
      <w:r>
        <w:t xml:space="preserve"> </w:t>
      </w:r>
      <w:r>
        <w:rPr>
          <w:lang w:val="en-US"/>
        </w:rPr>
        <w:t>Ibid</w:t>
      </w:r>
      <w:r w:rsidR="0005671C">
        <w:rPr>
          <w:lang w:val="en-US"/>
        </w:rPr>
        <w:t>.</w:t>
      </w:r>
    </w:p>
  </w:footnote>
  <w:footnote w:id="26">
    <w:p w14:paraId="7628E6FE" w14:textId="3365D991" w:rsidR="00F04F7C" w:rsidRPr="00F04F7C" w:rsidRDefault="00F04F7C">
      <w:pPr>
        <w:pStyle w:val="FootnoteText"/>
        <w:rPr>
          <w:lang w:val="en-US"/>
        </w:rPr>
      </w:pPr>
      <w:r>
        <w:rPr>
          <w:rStyle w:val="FootnoteReference"/>
        </w:rPr>
        <w:footnoteRef/>
      </w:r>
      <w:r>
        <w:t xml:space="preserve"> </w:t>
      </w:r>
      <w:r w:rsidRPr="00DA1825">
        <w:rPr>
          <w:i/>
          <w:iCs/>
        </w:rPr>
        <w:t>Wightman t/a JW Construction v Headfour (Pty) Ltd</w:t>
      </w:r>
      <w:r w:rsidRPr="00F04F7C">
        <w:t xml:space="preserve"> 2008 (3) SA 371 (SCA) par 13</w:t>
      </w:r>
      <w:r w:rsidR="002D0A44">
        <w:t>.</w:t>
      </w:r>
    </w:p>
  </w:footnote>
  <w:footnote w:id="27">
    <w:p w14:paraId="0F95E872" w14:textId="24976267" w:rsidR="002C11B2" w:rsidRPr="002C11B2" w:rsidRDefault="002C11B2">
      <w:pPr>
        <w:pStyle w:val="FootnoteText"/>
        <w:rPr>
          <w:lang w:val="en-US"/>
        </w:rPr>
      </w:pPr>
      <w:r>
        <w:rPr>
          <w:rStyle w:val="FootnoteReference"/>
        </w:rPr>
        <w:footnoteRef/>
      </w:r>
      <w:r>
        <w:t xml:space="preserve"> </w:t>
      </w:r>
      <w:r>
        <w:rPr>
          <w:lang w:val="en-US"/>
        </w:rPr>
        <w:t xml:space="preserve">Koyabe v Minister of Home Affairs </w:t>
      </w:r>
      <w:r w:rsidR="00884C37">
        <w:rPr>
          <w:lang w:val="en-US"/>
        </w:rPr>
        <w:t xml:space="preserve">2010(4) SA 327 (CC) paragraphs </w:t>
      </w:r>
      <w:r w:rsidR="00804EE5">
        <w:rPr>
          <w:lang w:val="en-US"/>
        </w:rPr>
        <w:t>36-38.</w:t>
      </w:r>
    </w:p>
  </w:footnote>
  <w:footnote w:id="28">
    <w:p w14:paraId="79DF85AB" w14:textId="6A5BBDCE" w:rsidR="00157E10" w:rsidRPr="00157E10" w:rsidRDefault="00157E10" w:rsidP="00B4400D">
      <w:pPr>
        <w:pStyle w:val="FootnoteText"/>
        <w:jc w:val="both"/>
        <w:rPr>
          <w:lang w:val="en-US"/>
        </w:rPr>
      </w:pPr>
      <w:r>
        <w:rPr>
          <w:rStyle w:val="FootnoteReference"/>
        </w:rPr>
        <w:footnoteRef/>
      </w:r>
      <w:r>
        <w:t xml:space="preserve"> </w:t>
      </w:r>
      <w:r w:rsidR="00927910" w:rsidRPr="00446674">
        <w:rPr>
          <w:i/>
          <w:iCs/>
          <w:lang w:val="en-US"/>
        </w:rPr>
        <w:t>Forge Packaging (Pty) Ltd v The Commissioner of the South African Revenue Service</w:t>
      </w:r>
      <w:r w:rsidR="00927910">
        <w:rPr>
          <w:lang w:val="en-US"/>
        </w:rPr>
        <w:t xml:space="preserve"> </w:t>
      </w:r>
      <w:r w:rsidR="00CC57EE">
        <w:rPr>
          <w:lang w:val="en-US"/>
        </w:rPr>
        <w:t xml:space="preserve">[2022] ZAWCHC 119 (13 June </w:t>
      </w:r>
      <w:r w:rsidR="006D05DA">
        <w:rPr>
          <w:lang w:val="en-US"/>
        </w:rPr>
        <w:t xml:space="preserve">2022) paragraph 44. The learned judge referred to Tax Court rule 42 read with Uniform rule </w:t>
      </w:r>
      <w:r w:rsidR="00446674">
        <w:rPr>
          <w:lang w:val="en-US"/>
        </w:rPr>
        <w:t>33(4).</w:t>
      </w:r>
    </w:p>
  </w:footnote>
  <w:footnote w:id="29">
    <w:p w14:paraId="2CCD8AFE" w14:textId="77777777" w:rsidR="00686254" w:rsidRDefault="00686254" w:rsidP="00B4400D">
      <w:pPr>
        <w:pStyle w:val="FootnoteText"/>
        <w:jc w:val="both"/>
      </w:pPr>
      <w:r>
        <w:rPr>
          <w:rStyle w:val="FootnoteReference"/>
        </w:rPr>
        <w:footnoteRef/>
      </w:r>
      <w:r>
        <w:t xml:space="preserve">  This section states:</w:t>
      </w:r>
    </w:p>
    <w:p w14:paraId="6459FD6D" w14:textId="77777777" w:rsidR="00686254" w:rsidRPr="005F2824" w:rsidRDefault="00686254" w:rsidP="00B4400D">
      <w:pPr>
        <w:pStyle w:val="FootnoteText"/>
        <w:jc w:val="both"/>
        <w:rPr>
          <w:i/>
          <w:iCs/>
        </w:rPr>
      </w:pPr>
      <w:r>
        <w:t xml:space="preserve">9 </w:t>
      </w:r>
      <w:r w:rsidRPr="005F2824">
        <w:rPr>
          <w:i/>
          <w:iCs/>
        </w:rPr>
        <w:t xml:space="preserve"> Decision or notice by SARS</w:t>
      </w:r>
    </w:p>
    <w:p w14:paraId="6B5C1F8D" w14:textId="77777777" w:rsidR="00686254" w:rsidRPr="005F2824" w:rsidRDefault="00686254" w:rsidP="00B4400D">
      <w:pPr>
        <w:pStyle w:val="FootnoteText"/>
        <w:jc w:val="both"/>
        <w:rPr>
          <w:i/>
          <w:iCs/>
        </w:rPr>
      </w:pPr>
      <w:r w:rsidRPr="005F2824">
        <w:rPr>
          <w:i/>
          <w:iCs/>
        </w:rPr>
        <w:t xml:space="preserve">(1) A decision made by a SARS official or a notice to a specific person issued by SARS under a tax Act, </w:t>
      </w:r>
      <w:r w:rsidRPr="004F3DD7">
        <w:rPr>
          <w:i/>
          <w:iCs/>
          <w:u w:val="single"/>
        </w:rPr>
        <w:t>excluding a decision given effect to in an assessment or a notice of assessment that is subject to objection and appeal</w:t>
      </w:r>
      <w:r w:rsidRPr="005F2824">
        <w:rPr>
          <w:i/>
          <w:iCs/>
        </w:rPr>
        <w:t>, may in the discretion of a SARS official described in paragraph (a), (b) or (c) or at the request of the relevant person, be withdrawn or amended by-</w:t>
      </w:r>
    </w:p>
    <w:p w14:paraId="48336613" w14:textId="77777777" w:rsidR="00686254" w:rsidRPr="005F2824" w:rsidRDefault="00686254" w:rsidP="00B4400D">
      <w:pPr>
        <w:pStyle w:val="FootnoteText"/>
        <w:jc w:val="both"/>
        <w:rPr>
          <w:i/>
          <w:iCs/>
        </w:rPr>
      </w:pPr>
      <w:r w:rsidRPr="005F2824">
        <w:rPr>
          <w:i/>
          <w:iCs/>
        </w:rPr>
        <w:t>a) the SARS official;</w:t>
      </w:r>
    </w:p>
    <w:p w14:paraId="76DFB87F" w14:textId="77777777" w:rsidR="00686254" w:rsidRPr="005F2824" w:rsidRDefault="00686254" w:rsidP="00B4400D">
      <w:pPr>
        <w:pStyle w:val="FootnoteText"/>
        <w:jc w:val="both"/>
        <w:rPr>
          <w:i/>
          <w:iCs/>
        </w:rPr>
      </w:pPr>
      <w:r w:rsidRPr="005F2824">
        <w:rPr>
          <w:i/>
          <w:iCs/>
        </w:rPr>
        <w:t>(b) a SARS official to whom the SARS official reports; or</w:t>
      </w:r>
    </w:p>
    <w:p w14:paraId="7FB5D8EB" w14:textId="39E25566" w:rsidR="00686254" w:rsidRPr="004F3DD7" w:rsidRDefault="00686254" w:rsidP="00B4400D">
      <w:pPr>
        <w:pStyle w:val="FootnoteText"/>
        <w:jc w:val="both"/>
        <w:rPr>
          <w:lang w:val="en-US"/>
        </w:rPr>
      </w:pPr>
      <w:r w:rsidRPr="005F2824">
        <w:rPr>
          <w:i/>
          <w:iCs/>
        </w:rPr>
        <w:t>(c) a senior SARS official.</w:t>
      </w:r>
      <w:r>
        <w:t xml:space="preserve"> (my underlining)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30303"/>
      <w:docPartObj>
        <w:docPartGallery w:val="Page Numbers (Top of Page)"/>
        <w:docPartUnique/>
      </w:docPartObj>
    </w:sdtPr>
    <w:sdtEndPr>
      <w:rPr>
        <w:noProof/>
      </w:rPr>
    </w:sdtEndPr>
    <w:sdtContent>
      <w:p w14:paraId="6BC14D92" w14:textId="219460C7" w:rsidR="00B53BE7" w:rsidRDefault="00B53BE7">
        <w:pPr>
          <w:pStyle w:val="Header"/>
          <w:jc w:val="right"/>
        </w:pPr>
        <w:r>
          <w:fldChar w:fldCharType="begin"/>
        </w:r>
        <w:r>
          <w:instrText xml:space="preserve"> PAGE   \* MERGEFORMAT </w:instrText>
        </w:r>
        <w:r>
          <w:fldChar w:fldCharType="separate"/>
        </w:r>
        <w:r w:rsidR="00941AF5">
          <w:rPr>
            <w:noProof/>
          </w:rPr>
          <w:t>30</w:t>
        </w:r>
        <w:r>
          <w:rPr>
            <w:noProof/>
          </w:rPr>
          <w:fldChar w:fldCharType="end"/>
        </w:r>
      </w:p>
    </w:sdtContent>
  </w:sdt>
  <w:p w14:paraId="71C9BAD8" w14:textId="77777777" w:rsidR="00B53BE7" w:rsidRDefault="00B53B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729"/>
    <w:multiLevelType w:val="hybridMultilevel"/>
    <w:tmpl w:val="4762FF6A"/>
    <w:lvl w:ilvl="0" w:tplc="B8A4DAD6">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B33D12"/>
    <w:multiLevelType w:val="hybridMultilevel"/>
    <w:tmpl w:val="26BA0752"/>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26BC44B8"/>
    <w:multiLevelType w:val="hybridMultilevel"/>
    <w:tmpl w:val="FC9A314E"/>
    <w:lvl w:ilvl="0" w:tplc="7E9CA09C">
      <w:start w:val="1"/>
      <w:numFmt w:val="decimal"/>
      <w:lvlText w:val="[%1]"/>
      <w:lvlJc w:val="left"/>
      <w:pPr>
        <w:ind w:left="1440" w:hanging="360"/>
      </w:pPr>
      <w:rPr>
        <w:rFonts w:ascii="Arial" w:hAnsi="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58A3880"/>
    <w:multiLevelType w:val="hybridMultilevel"/>
    <w:tmpl w:val="BD4811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BF43A12"/>
    <w:multiLevelType w:val="hybridMultilevel"/>
    <w:tmpl w:val="F0E4F682"/>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38342E2"/>
    <w:multiLevelType w:val="hybridMultilevel"/>
    <w:tmpl w:val="2BEA3B3A"/>
    <w:lvl w:ilvl="0" w:tplc="04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488014C6"/>
    <w:multiLevelType w:val="hybridMultilevel"/>
    <w:tmpl w:val="484AA938"/>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5E8429BD"/>
    <w:multiLevelType w:val="hybridMultilevel"/>
    <w:tmpl w:val="0354030A"/>
    <w:lvl w:ilvl="0" w:tplc="B8A4DAD6">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9" w15:restartNumberingAfterBreak="0">
    <w:nsid w:val="69121AF0"/>
    <w:multiLevelType w:val="hybridMultilevel"/>
    <w:tmpl w:val="3300D7F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7492659B"/>
    <w:multiLevelType w:val="hybridMultilevel"/>
    <w:tmpl w:val="89142A90"/>
    <w:lvl w:ilvl="0" w:tplc="B8A4DAD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4"/>
  </w:num>
  <w:num w:numId="2">
    <w:abstractNumId w:val="3"/>
  </w:num>
  <w:num w:numId="3">
    <w:abstractNumId w:val="10"/>
  </w:num>
  <w:num w:numId="4">
    <w:abstractNumId w:val="0"/>
  </w:num>
  <w:num w:numId="5">
    <w:abstractNumId w:val="8"/>
  </w:num>
  <w:num w:numId="6">
    <w:abstractNumId w:val="5"/>
  </w:num>
  <w:num w:numId="7">
    <w:abstractNumId w:val="6"/>
  </w:num>
  <w:num w:numId="8">
    <w:abstractNumId w:val="2"/>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26"/>
    <w:rsid w:val="00000893"/>
    <w:rsid w:val="00000B32"/>
    <w:rsid w:val="00003929"/>
    <w:rsid w:val="00007953"/>
    <w:rsid w:val="000118B7"/>
    <w:rsid w:val="00011CBD"/>
    <w:rsid w:val="00012961"/>
    <w:rsid w:val="000137A8"/>
    <w:rsid w:val="00014872"/>
    <w:rsid w:val="00017DD1"/>
    <w:rsid w:val="0002042D"/>
    <w:rsid w:val="000214F4"/>
    <w:rsid w:val="000252CC"/>
    <w:rsid w:val="00032FAA"/>
    <w:rsid w:val="0003412D"/>
    <w:rsid w:val="0003621E"/>
    <w:rsid w:val="00036411"/>
    <w:rsid w:val="00036D98"/>
    <w:rsid w:val="00041AEF"/>
    <w:rsid w:val="00046540"/>
    <w:rsid w:val="00052097"/>
    <w:rsid w:val="0005671C"/>
    <w:rsid w:val="000569FD"/>
    <w:rsid w:val="000607E9"/>
    <w:rsid w:val="00060D12"/>
    <w:rsid w:val="00064901"/>
    <w:rsid w:val="00065043"/>
    <w:rsid w:val="00067B39"/>
    <w:rsid w:val="0007272B"/>
    <w:rsid w:val="000728E3"/>
    <w:rsid w:val="00074BE5"/>
    <w:rsid w:val="00075067"/>
    <w:rsid w:val="00081267"/>
    <w:rsid w:val="0008372B"/>
    <w:rsid w:val="00084215"/>
    <w:rsid w:val="0009061C"/>
    <w:rsid w:val="00090E57"/>
    <w:rsid w:val="00091088"/>
    <w:rsid w:val="00093FD7"/>
    <w:rsid w:val="00094A9B"/>
    <w:rsid w:val="00095DAD"/>
    <w:rsid w:val="000A0A9F"/>
    <w:rsid w:val="000A15E6"/>
    <w:rsid w:val="000A22AC"/>
    <w:rsid w:val="000A2566"/>
    <w:rsid w:val="000A35F1"/>
    <w:rsid w:val="000A4298"/>
    <w:rsid w:val="000A43A3"/>
    <w:rsid w:val="000A6DD9"/>
    <w:rsid w:val="000A73BE"/>
    <w:rsid w:val="000A7A60"/>
    <w:rsid w:val="000B0327"/>
    <w:rsid w:val="000B1056"/>
    <w:rsid w:val="000B5826"/>
    <w:rsid w:val="000B6692"/>
    <w:rsid w:val="000B6FC0"/>
    <w:rsid w:val="000C0E49"/>
    <w:rsid w:val="000C38C9"/>
    <w:rsid w:val="000D2405"/>
    <w:rsid w:val="000D4F46"/>
    <w:rsid w:val="000D6222"/>
    <w:rsid w:val="000D6345"/>
    <w:rsid w:val="000D6551"/>
    <w:rsid w:val="000D75F4"/>
    <w:rsid w:val="000E2B98"/>
    <w:rsid w:val="000E4265"/>
    <w:rsid w:val="000E4477"/>
    <w:rsid w:val="000E49EA"/>
    <w:rsid w:val="000E502A"/>
    <w:rsid w:val="000E5908"/>
    <w:rsid w:val="000E61B1"/>
    <w:rsid w:val="000E673C"/>
    <w:rsid w:val="000E6FB2"/>
    <w:rsid w:val="000F1AA4"/>
    <w:rsid w:val="000F2156"/>
    <w:rsid w:val="000F2951"/>
    <w:rsid w:val="000F6FD9"/>
    <w:rsid w:val="000F7444"/>
    <w:rsid w:val="001002F6"/>
    <w:rsid w:val="00100381"/>
    <w:rsid w:val="00101BD3"/>
    <w:rsid w:val="0010678A"/>
    <w:rsid w:val="00112EB4"/>
    <w:rsid w:val="0011347F"/>
    <w:rsid w:val="0012406A"/>
    <w:rsid w:val="00125038"/>
    <w:rsid w:val="00125237"/>
    <w:rsid w:val="00125A26"/>
    <w:rsid w:val="00126953"/>
    <w:rsid w:val="001277E2"/>
    <w:rsid w:val="00130C62"/>
    <w:rsid w:val="00132A9B"/>
    <w:rsid w:val="00133E5E"/>
    <w:rsid w:val="00135327"/>
    <w:rsid w:val="001371D5"/>
    <w:rsid w:val="0014405A"/>
    <w:rsid w:val="00146830"/>
    <w:rsid w:val="00147F8B"/>
    <w:rsid w:val="00152599"/>
    <w:rsid w:val="00153BCF"/>
    <w:rsid w:val="00157106"/>
    <w:rsid w:val="00157E10"/>
    <w:rsid w:val="00160F33"/>
    <w:rsid w:val="00161DE6"/>
    <w:rsid w:val="001635D0"/>
    <w:rsid w:val="001657F3"/>
    <w:rsid w:val="00165A2B"/>
    <w:rsid w:val="0016613C"/>
    <w:rsid w:val="0016708A"/>
    <w:rsid w:val="0017161B"/>
    <w:rsid w:val="00171C69"/>
    <w:rsid w:val="001749CD"/>
    <w:rsid w:val="0017509F"/>
    <w:rsid w:val="00183160"/>
    <w:rsid w:val="001844A7"/>
    <w:rsid w:val="001864F3"/>
    <w:rsid w:val="00187558"/>
    <w:rsid w:val="00196296"/>
    <w:rsid w:val="0019793A"/>
    <w:rsid w:val="001A49E0"/>
    <w:rsid w:val="001B389A"/>
    <w:rsid w:val="001B494D"/>
    <w:rsid w:val="001B5028"/>
    <w:rsid w:val="001B57D5"/>
    <w:rsid w:val="001B5FBD"/>
    <w:rsid w:val="001B79B8"/>
    <w:rsid w:val="001C0BEE"/>
    <w:rsid w:val="001C0C65"/>
    <w:rsid w:val="001C1AB4"/>
    <w:rsid w:val="001C248C"/>
    <w:rsid w:val="001C4068"/>
    <w:rsid w:val="001C7C2E"/>
    <w:rsid w:val="001D1DE8"/>
    <w:rsid w:val="001D6A5C"/>
    <w:rsid w:val="001D7891"/>
    <w:rsid w:val="001E0AAB"/>
    <w:rsid w:val="001E1F7D"/>
    <w:rsid w:val="001F28ED"/>
    <w:rsid w:val="001F3290"/>
    <w:rsid w:val="001F3C4C"/>
    <w:rsid w:val="001F6B39"/>
    <w:rsid w:val="001F7C8C"/>
    <w:rsid w:val="00203EDA"/>
    <w:rsid w:val="0020433A"/>
    <w:rsid w:val="00204B3C"/>
    <w:rsid w:val="00207977"/>
    <w:rsid w:val="002151AD"/>
    <w:rsid w:val="00216728"/>
    <w:rsid w:val="0021720C"/>
    <w:rsid w:val="00223F8F"/>
    <w:rsid w:val="00226819"/>
    <w:rsid w:val="00240700"/>
    <w:rsid w:val="00240CC6"/>
    <w:rsid w:val="00244146"/>
    <w:rsid w:val="002471F7"/>
    <w:rsid w:val="00251516"/>
    <w:rsid w:val="0025191C"/>
    <w:rsid w:val="002710D1"/>
    <w:rsid w:val="00273670"/>
    <w:rsid w:val="00276AB0"/>
    <w:rsid w:val="002818CC"/>
    <w:rsid w:val="00282047"/>
    <w:rsid w:val="00282ECF"/>
    <w:rsid w:val="00284CA0"/>
    <w:rsid w:val="00285AF6"/>
    <w:rsid w:val="002872A3"/>
    <w:rsid w:val="00290F25"/>
    <w:rsid w:val="00293ECE"/>
    <w:rsid w:val="00294EF3"/>
    <w:rsid w:val="0029622F"/>
    <w:rsid w:val="002A1519"/>
    <w:rsid w:val="002A1C1C"/>
    <w:rsid w:val="002A6CAC"/>
    <w:rsid w:val="002A6EC0"/>
    <w:rsid w:val="002A75F6"/>
    <w:rsid w:val="002A7840"/>
    <w:rsid w:val="002B1330"/>
    <w:rsid w:val="002B2AA8"/>
    <w:rsid w:val="002B340E"/>
    <w:rsid w:val="002B359B"/>
    <w:rsid w:val="002B66E3"/>
    <w:rsid w:val="002B7D3C"/>
    <w:rsid w:val="002C11B2"/>
    <w:rsid w:val="002C3A3C"/>
    <w:rsid w:val="002C5821"/>
    <w:rsid w:val="002C5C9F"/>
    <w:rsid w:val="002C6006"/>
    <w:rsid w:val="002C7F8D"/>
    <w:rsid w:val="002D0A44"/>
    <w:rsid w:val="002D4833"/>
    <w:rsid w:val="002D55D4"/>
    <w:rsid w:val="002D5606"/>
    <w:rsid w:val="002D71E6"/>
    <w:rsid w:val="002E0D18"/>
    <w:rsid w:val="002E4D98"/>
    <w:rsid w:val="002F3023"/>
    <w:rsid w:val="002F3B21"/>
    <w:rsid w:val="002F4948"/>
    <w:rsid w:val="002F662B"/>
    <w:rsid w:val="002F6718"/>
    <w:rsid w:val="003013F7"/>
    <w:rsid w:val="00302A42"/>
    <w:rsid w:val="0030599C"/>
    <w:rsid w:val="0031044B"/>
    <w:rsid w:val="00310767"/>
    <w:rsid w:val="00312864"/>
    <w:rsid w:val="00312DE1"/>
    <w:rsid w:val="0031456A"/>
    <w:rsid w:val="00315956"/>
    <w:rsid w:val="003267B6"/>
    <w:rsid w:val="00326A8C"/>
    <w:rsid w:val="003313B0"/>
    <w:rsid w:val="00331421"/>
    <w:rsid w:val="003321CA"/>
    <w:rsid w:val="003351CD"/>
    <w:rsid w:val="0033595A"/>
    <w:rsid w:val="00337B76"/>
    <w:rsid w:val="00337D7D"/>
    <w:rsid w:val="00340390"/>
    <w:rsid w:val="00343E3A"/>
    <w:rsid w:val="00347148"/>
    <w:rsid w:val="00347D2E"/>
    <w:rsid w:val="003513D4"/>
    <w:rsid w:val="003532DD"/>
    <w:rsid w:val="00354071"/>
    <w:rsid w:val="00354563"/>
    <w:rsid w:val="003563E4"/>
    <w:rsid w:val="00357C41"/>
    <w:rsid w:val="00360187"/>
    <w:rsid w:val="00360BB2"/>
    <w:rsid w:val="00361F4B"/>
    <w:rsid w:val="00365336"/>
    <w:rsid w:val="003661DE"/>
    <w:rsid w:val="003674B6"/>
    <w:rsid w:val="0037101E"/>
    <w:rsid w:val="00371C6F"/>
    <w:rsid w:val="003725A1"/>
    <w:rsid w:val="00373691"/>
    <w:rsid w:val="00375824"/>
    <w:rsid w:val="00382170"/>
    <w:rsid w:val="00382C29"/>
    <w:rsid w:val="00385E3C"/>
    <w:rsid w:val="00387466"/>
    <w:rsid w:val="003879DD"/>
    <w:rsid w:val="00390FCF"/>
    <w:rsid w:val="003943F5"/>
    <w:rsid w:val="00397627"/>
    <w:rsid w:val="00397673"/>
    <w:rsid w:val="003A0CAB"/>
    <w:rsid w:val="003B1577"/>
    <w:rsid w:val="003B1B0B"/>
    <w:rsid w:val="003B20C3"/>
    <w:rsid w:val="003B4244"/>
    <w:rsid w:val="003B5A64"/>
    <w:rsid w:val="003C1C39"/>
    <w:rsid w:val="003C3F1B"/>
    <w:rsid w:val="003C479D"/>
    <w:rsid w:val="003C497F"/>
    <w:rsid w:val="003C5797"/>
    <w:rsid w:val="003C600A"/>
    <w:rsid w:val="003C6187"/>
    <w:rsid w:val="003D0DD0"/>
    <w:rsid w:val="003D312A"/>
    <w:rsid w:val="003D393A"/>
    <w:rsid w:val="003D4C6D"/>
    <w:rsid w:val="003D4EEE"/>
    <w:rsid w:val="003E3922"/>
    <w:rsid w:val="003E3D76"/>
    <w:rsid w:val="003E4971"/>
    <w:rsid w:val="003E5B1A"/>
    <w:rsid w:val="003E5F80"/>
    <w:rsid w:val="003F0001"/>
    <w:rsid w:val="003F0928"/>
    <w:rsid w:val="00401F67"/>
    <w:rsid w:val="00403C2F"/>
    <w:rsid w:val="004041CE"/>
    <w:rsid w:val="00404BE8"/>
    <w:rsid w:val="00406F80"/>
    <w:rsid w:val="00410ADE"/>
    <w:rsid w:val="00412C9A"/>
    <w:rsid w:val="00416428"/>
    <w:rsid w:val="00417BB9"/>
    <w:rsid w:val="0042010D"/>
    <w:rsid w:val="0043685A"/>
    <w:rsid w:val="00440026"/>
    <w:rsid w:val="00440A1F"/>
    <w:rsid w:val="0044174A"/>
    <w:rsid w:val="00443A8F"/>
    <w:rsid w:val="00446674"/>
    <w:rsid w:val="004506A2"/>
    <w:rsid w:val="0045086B"/>
    <w:rsid w:val="00453253"/>
    <w:rsid w:val="0045568F"/>
    <w:rsid w:val="00456142"/>
    <w:rsid w:val="00461EC9"/>
    <w:rsid w:val="004626C4"/>
    <w:rsid w:val="004636C1"/>
    <w:rsid w:val="0046751B"/>
    <w:rsid w:val="00477738"/>
    <w:rsid w:val="004815D9"/>
    <w:rsid w:val="00481D5C"/>
    <w:rsid w:val="004824D4"/>
    <w:rsid w:val="00482F78"/>
    <w:rsid w:val="00486F4D"/>
    <w:rsid w:val="00487234"/>
    <w:rsid w:val="0048795D"/>
    <w:rsid w:val="00487BDE"/>
    <w:rsid w:val="004919DF"/>
    <w:rsid w:val="0049249D"/>
    <w:rsid w:val="00492832"/>
    <w:rsid w:val="00492E07"/>
    <w:rsid w:val="0049464A"/>
    <w:rsid w:val="00497C33"/>
    <w:rsid w:val="004A18A1"/>
    <w:rsid w:val="004A3B71"/>
    <w:rsid w:val="004A5E97"/>
    <w:rsid w:val="004A6856"/>
    <w:rsid w:val="004B2256"/>
    <w:rsid w:val="004B2A6E"/>
    <w:rsid w:val="004B369F"/>
    <w:rsid w:val="004C0BD1"/>
    <w:rsid w:val="004C1E9B"/>
    <w:rsid w:val="004D0181"/>
    <w:rsid w:val="004D07D5"/>
    <w:rsid w:val="004D3305"/>
    <w:rsid w:val="004D7842"/>
    <w:rsid w:val="004E08F2"/>
    <w:rsid w:val="004E71A9"/>
    <w:rsid w:val="004F3DD7"/>
    <w:rsid w:val="004F7C27"/>
    <w:rsid w:val="005001FD"/>
    <w:rsid w:val="00502C72"/>
    <w:rsid w:val="005118D5"/>
    <w:rsid w:val="005120BB"/>
    <w:rsid w:val="0051215B"/>
    <w:rsid w:val="005133A9"/>
    <w:rsid w:val="00514437"/>
    <w:rsid w:val="0051465D"/>
    <w:rsid w:val="00515CD7"/>
    <w:rsid w:val="00517EE5"/>
    <w:rsid w:val="00521680"/>
    <w:rsid w:val="00524FEB"/>
    <w:rsid w:val="00527D38"/>
    <w:rsid w:val="00527DBA"/>
    <w:rsid w:val="00530D12"/>
    <w:rsid w:val="00534DE0"/>
    <w:rsid w:val="00536754"/>
    <w:rsid w:val="00541492"/>
    <w:rsid w:val="00545BCD"/>
    <w:rsid w:val="0054602A"/>
    <w:rsid w:val="00547374"/>
    <w:rsid w:val="00547D75"/>
    <w:rsid w:val="00551687"/>
    <w:rsid w:val="00553FE2"/>
    <w:rsid w:val="005544A5"/>
    <w:rsid w:val="005560C3"/>
    <w:rsid w:val="005574EA"/>
    <w:rsid w:val="005605FB"/>
    <w:rsid w:val="00561DAC"/>
    <w:rsid w:val="00567799"/>
    <w:rsid w:val="00567CD8"/>
    <w:rsid w:val="00570CA2"/>
    <w:rsid w:val="00570F22"/>
    <w:rsid w:val="00573092"/>
    <w:rsid w:val="0058264E"/>
    <w:rsid w:val="005845D0"/>
    <w:rsid w:val="00586210"/>
    <w:rsid w:val="005874BB"/>
    <w:rsid w:val="00596020"/>
    <w:rsid w:val="005970ED"/>
    <w:rsid w:val="005A52BE"/>
    <w:rsid w:val="005A5426"/>
    <w:rsid w:val="005A79FF"/>
    <w:rsid w:val="005B38F2"/>
    <w:rsid w:val="005C2D00"/>
    <w:rsid w:val="005C707B"/>
    <w:rsid w:val="005D2523"/>
    <w:rsid w:val="005D4CCC"/>
    <w:rsid w:val="005D59DC"/>
    <w:rsid w:val="005D7868"/>
    <w:rsid w:val="005E520C"/>
    <w:rsid w:val="005E5670"/>
    <w:rsid w:val="005E5F7A"/>
    <w:rsid w:val="005E63BE"/>
    <w:rsid w:val="005E71DA"/>
    <w:rsid w:val="005F2824"/>
    <w:rsid w:val="005F3C28"/>
    <w:rsid w:val="00600229"/>
    <w:rsid w:val="00602C95"/>
    <w:rsid w:val="006074D2"/>
    <w:rsid w:val="006075E5"/>
    <w:rsid w:val="00612E35"/>
    <w:rsid w:val="006172B5"/>
    <w:rsid w:val="006219F8"/>
    <w:rsid w:val="00622E29"/>
    <w:rsid w:val="00623289"/>
    <w:rsid w:val="00624C4E"/>
    <w:rsid w:val="00625D46"/>
    <w:rsid w:val="00627CA6"/>
    <w:rsid w:val="0063016B"/>
    <w:rsid w:val="006402CB"/>
    <w:rsid w:val="00640954"/>
    <w:rsid w:val="00647973"/>
    <w:rsid w:val="006561A8"/>
    <w:rsid w:val="00662AB5"/>
    <w:rsid w:val="00664341"/>
    <w:rsid w:val="0066650D"/>
    <w:rsid w:val="006670C2"/>
    <w:rsid w:val="00670CF8"/>
    <w:rsid w:val="00671AEE"/>
    <w:rsid w:val="006731E9"/>
    <w:rsid w:val="006742FD"/>
    <w:rsid w:val="00677681"/>
    <w:rsid w:val="00684AE4"/>
    <w:rsid w:val="006853EF"/>
    <w:rsid w:val="00686254"/>
    <w:rsid w:val="0068684F"/>
    <w:rsid w:val="00686C3E"/>
    <w:rsid w:val="006928D5"/>
    <w:rsid w:val="00694B6A"/>
    <w:rsid w:val="006A1BAE"/>
    <w:rsid w:val="006A51AD"/>
    <w:rsid w:val="006A56CE"/>
    <w:rsid w:val="006B1611"/>
    <w:rsid w:val="006B1E53"/>
    <w:rsid w:val="006B4381"/>
    <w:rsid w:val="006B6A94"/>
    <w:rsid w:val="006C4CED"/>
    <w:rsid w:val="006C5A16"/>
    <w:rsid w:val="006C5DCF"/>
    <w:rsid w:val="006C6BD3"/>
    <w:rsid w:val="006C6EEA"/>
    <w:rsid w:val="006D0506"/>
    <w:rsid w:val="006D05DA"/>
    <w:rsid w:val="006D071D"/>
    <w:rsid w:val="006D18DC"/>
    <w:rsid w:val="006D1974"/>
    <w:rsid w:val="006D2115"/>
    <w:rsid w:val="006D2B9D"/>
    <w:rsid w:val="006D3617"/>
    <w:rsid w:val="006D441F"/>
    <w:rsid w:val="006E1D03"/>
    <w:rsid w:val="006E2581"/>
    <w:rsid w:val="006E7C91"/>
    <w:rsid w:val="006F079E"/>
    <w:rsid w:val="006F1046"/>
    <w:rsid w:val="006F124C"/>
    <w:rsid w:val="006F2BB0"/>
    <w:rsid w:val="006F2BB6"/>
    <w:rsid w:val="006F2D69"/>
    <w:rsid w:val="006F4BBC"/>
    <w:rsid w:val="006F5601"/>
    <w:rsid w:val="006F645B"/>
    <w:rsid w:val="006F7883"/>
    <w:rsid w:val="006F7914"/>
    <w:rsid w:val="00701D24"/>
    <w:rsid w:val="00701F96"/>
    <w:rsid w:val="00702EFC"/>
    <w:rsid w:val="007036F4"/>
    <w:rsid w:val="00703803"/>
    <w:rsid w:val="0070444B"/>
    <w:rsid w:val="007048C4"/>
    <w:rsid w:val="00707FCD"/>
    <w:rsid w:val="007102B3"/>
    <w:rsid w:val="00716A0B"/>
    <w:rsid w:val="00725B0C"/>
    <w:rsid w:val="00726B50"/>
    <w:rsid w:val="00732FA8"/>
    <w:rsid w:val="0073471B"/>
    <w:rsid w:val="00734B23"/>
    <w:rsid w:val="007359FA"/>
    <w:rsid w:val="00735B54"/>
    <w:rsid w:val="00736327"/>
    <w:rsid w:val="00737CFA"/>
    <w:rsid w:val="00740C6C"/>
    <w:rsid w:val="00741176"/>
    <w:rsid w:val="0074240E"/>
    <w:rsid w:val="007425E0"/>
    <w:rsid w:val="00742859"/>
    <w:rsid w:val="007443AC"/>
    <w:rsid w:val="007450D5"/>
    <w:rsid w:val="00751B6C"/>
    <w:rsid w:val="00752DF6"/>
    <w:rsid w:val="00752FB9"/>
    <w:rsid w:val="00753267"/>
    <w:rsid w:val="0075346F"/>
    <w:rsid w:val="00755D3F"/>
    <w:rsid w:val="007577AC"/>
    <w:rsid w:val="007634BB"/>
    <w:rsid w:val="00770781"/>
    <w:rsid w:val="007717C9"/>
    <w:rsid w:val="0077180F"/>
    <w:rsid w:val="007718F4"/>
    <w:rsid w:val="00771A19"/>
    <w:rsid w:val="007722B3"/>
    <w:rsid w:val="007808C0"/>
    <w:rsid w:val="00781A5C"/>
    <w:rsid w:val="00783D5C"/>
    <w:rsid w:val="007967FE"/>
    <w:rsid w:val="007A05CB"/>
    <w:rsid w:val="007A1DD5"/>
    <w:rsid w:val="007A3BB5"/>
    <w:rsid w:val="007A5541"/>
    <w:rsid w:val="007A667C"/>
    <w:rsid w:val="007A74BD"/>
    <w:rsid w:val="007B449B"/>
    <w:rsid w:val="007C16F2"/>
    <w:rsid w:val="007C55C2"/>
    <w:rsid w:val="007D0776"/>
    <w:rsid w:val="007D55EE"/>
    <w:rsid w:val="007E29D7"/>
    <w:rsid w:val="007E55EC"/>
    <w:rsid w:val="007E7362"/>
    <w:rsid w:val="007F4EBB"/>
    <w:rsid w:val="007F5E01"/>
    <w:rsid w:val="007F756C"/>
    <w:rsid w:val="007F7AA8"/>
    <w:rsid w:val="00802F67"/>
    <w:rsid w:val="0080312F"/>
    <w:rsid w:val="00804EE5"/>
    <w:rsid w:val="00804F8C"/>
    <w:rsid w:val="00807523"/>
    <w:rsid w:val="00811B40"/>
    <w:rsid w:val="00813496"/>
    <w:rsid w:val="00814632"/>
    <w:rsid w:val="00814C4C"/>
    <w:rsid w:val="00814D34"/>
    <w:rsid w:val="00815233"/>
    <w:rsid w:val="00817726"/>
    <w:rsid w:val="0082092F"/>
    <w:rsid w:val="008221BF"/>
    <w:rsid w:val="00823C1C"/>
    <w:rsid w:val="008240DD"/>
    <w:rsid w:val="0083100D"/>
    <w:rsid w:val="008319A4"/>
    <w:rsid w:val="008347DA"/>
    <w:rsid w:val="008401CF"/>
    <w:rsid w:val="00843442"/>
    <w:rsid w:val="00843CF0"/>
    <w:rsid w:val="00845679"/>
    <w:rsid w:val="00846A93"/>
    <w:rsid w:val="0085067B"/>
    <w:rsid w:val="0085108A"/>
    <w:rsid w:val="00851910"/>
    <w:rsid w:val="00852803"/>
    <w:rsid w:val="00854BF4"/>
    <w:rsid w:val="0086094F"/>
    <w:rsid w:val="008639C7"/>
    <w:rsid w:val="00864AE6"/>
    <w:rsid w:val="00865BBE"/>
    <w:rsid w:val="00866D58"/>
    <w:rsid w:val="0087572C"/>
    <w:rsid w:val="008775FC"/>
    <w:rsid w:val="00877958"/>
    <w:rsid w:val="00877D0B"/>
    <w:rsid w:val="008818D5"/>
    <w:rsid w:val="008819EB"/>
    <w:rsid w:val="00884522"/>
    <w:rsid w:val="00884C37"/>
    <w:rsid w:val="008907B2"/>
    <w:rsid w:val="00890CDE"/>
    <w:rsid w:val="008926DD"/>
    <w:rsid w:val="00892B3F"/>
    <w:rsid w:val="008A2840"/>
    <w:rsid w:val="008A3C9B"/>
    <w:rsid w:val="008A4672"/>
    <w:rsid w:val="008A52CE"/>
    <w:rsid w:val="008B0657"/>
    <w:rsid w:val="008B4F1C"/>
    <w:rsid w:val="008C066E"/>
    <w:rsid w:val="008C17C5"/>
    <w:rsid w:val="008C217C"/>
    <w:rsid w:val="008C7915"/>
    <w:rsid w:val="008C7E55"/>
    <w:rsid w:val="008D0482"/>
    <w:rsid w:val="008D1380"/>
    <w:rsid w:val="008D32F9"/>
    <w:rsid w:val="008E038F"/>
    <w:rsid w:val="008E3217"/>
    <w:rsid w:val="008E6A27"/>
    <w:rsid w:val="008F0B9E"/>
    <w:rsid w:val="008F457E"/>
    <w:rsid w:val="00903063"/>
    <w:rsid w:val="00906024"/>
    <w:rsid w:val="00907629"/>
    <w:rsid w:val="00910FFE"/>
    <w:rsid w:val="00913D6A"/>
    <w:rsid w:val="00921314"/>
    <w:rsid w:val="00921638"/>
    <w:rsid w:val="00925D52"/>
    <w:rsid w:val="00926D39"/>
    <w:rsid w:val="00927910"/>
    <w:rsid w:val="009346E0"/>
    <w:rsid w:val="009350ED"/>
    <w:rsid w:val="00941AF5"/>
    <w:rsid w:val="00941DDE"/>
    <w:rsid w:val="009420F3"/>
    <w:rsid w:val="00945A50"/>
    <w:rsid w:val="00946CCE"/>
    <w:rsid w:val="009477BA"/>
    <w:rsid w:val="00950676"/>
    <w:rsid w:val="00951137"/>
    <w:rsid w:val="00951C85"/>
    <w:rsid w:val="009547B4"/>
    <w:rsid w:val="00957AB0"/>
    <w:rsid w:val="00957FDA"/>
    <w:rsid w:val="00963990"/>
    <w:rsid w:val="009640A0"/>
    <w:rsid w:val="0096450C"/>
    <w:rsid w:val="009706A5"/>
    <w:rsid w:val="00975776"/>
    <w:rsid w:val="00975C68"/>
    <w:rsid w:val="00976230"/>
    <w:rsid w:val="00977A39"/>
    <w:rsid w:val="009817B5"/>
    <w:rsid w:val="00981F40"/>
    <w:rsid w:val="00983359"/>
    <w:rsid w:val="009879B2"/>
    <w:rsid w:val="00987B17"/>
    <w:rsid w:val="009906F2"/>
    <w:rsid w:val="00994452"/>
    <w:rsid w:val="009965C0"/>
    <w:rsid w:val="009A04FF"/>
    <w:rsid w:val="009A4040"/>
    <w:rsid w:val="009A7130"/>
    <w:rsid w:val="009B1C03"/>
    <w:rsid w:val="009B54CC"/>
    <w:rsid w:val="009B60FA"/>
    <w:rsid w:val="009B774F"/>
    <w:rsid w:val="009C1120"/>
    <w:rsid w:val="009C1666"/>
    <w:rsid w:val="009C2383"/>
    <w:rsid w:val="009C6230"/>
    <w:rsid w:val="009D31EE"/>
    <w:rsid w:val="009D458A"/>
    <w:rsid w:val="009D4B8C"/>
    <w:rsid w:val="009D4CC1"/>
    <w:rsid w:val="009D582E"/>
    <w:rsid w:val="009D5C99"/>
    <w:rsid w:val="009D5EB7"/>
    <w:rsid w:val="009D7B81"/>
    <w:rsid w:val="009E1C40"/>
    <w:rsid w:val="009E43EB"/>
    <w:rsid w:val="009E659E"/>
    <w:rsid w:val="009E6D5B"/>
    <w:rsid w:val="009E6EDB"/>
    <w:rsid w:val="009F1133"/>
    <w:rsid w:val="009F7348"/>
    <w:rsid w:val="00A008AF"/>
    <w:rsid w:val="00A01838"/>
    <w:rsid w:val="00A03842"/>
    <w:rsid w:val="00A04D72"/>
    <w:rsid w:val="00A05B8D"/>
    <w:rsid w:val="00A05E7D"/>
    <w:rsid w:val="00A0798D"/>
    <w:rsid w:val="00A10C41"/>
    <w:rsid w:val="00A10D2E"/>
    <w:rsid w:val="00A10FF8"/>
    <w:rsid w:val="00A11ABC"/>
    <w:rsid w:val="00A1214A"/>
    <w:rsid w:val="00A13E78"/>
    <w:rsid w:val="00A16732"/>
    <w:rsid w:val="00A22E6E"/>
    <w:rsid w:val="00A26002"/>
    <w:rsid w:val="00A27308"/>
    <w:rsid w:val="00A27FAE"/>
    <w:rsid w:val="00A403C6"/>
    <w:rsid w:val="00A41068"/>
    <w:rsid w:val="00A44628"/>
    <w:rsid w:val="00A45EC2"/>
    <w:rsid w:val="00A46BC1"/>
    <w:rsid w:val="00A47BF6"/>
    <w:rsid w:val="00A50A0E"/>
    <w:rsid w:val="00A53C3C"/>
    <w:rsid w:val="00A551AD"/>
    <w:rsid w:val="00A552E9"/>
    <w:rsid w:val="00A57CDC"/>
    <w:rsid w:val="00A60740"/>
    <w:rsid w:val="00A61DE9"/>
    <w:rsid w:val="00A62D38"/>
    <w:rsid w:val="00A63F30"/>
    <w:rsid w:val="00A65BEB"/>
    <w:rsid w:val="00A65CE1"/>
    <w:rsid w:val="00A67609"/>
    <w:rsid w:val="00A70152"/>
    <w:rsid w:val="00A72D3F"/>
    <w:rsid w:val="00A77B25"/>
    <w:rsid w:val="00A828FF"/>
    <w:rsid w:val="00A83E05"/>
    <w:rsid w:val="00A84D57"/>
    <w:rsid w:val="00A90F3C"/>
    <w:rsid w:val="00A92EB9"/>
    <w:rsid w:val="00A93BA8"/>
    <w:rsid w:val="00A96182"/>
    <w:rsid w:val="00AA4988"/>
    <w:rsid w:val="00AB07F4"/>
    <w:rsid w:val="00AB52C8"/>
    <w:rsid w:val="00AB596D"/>
    <w:rsid w:val="00AB5BDC"/>
    <w:rsid w:val="00AB6909"/>
    <w:rsid w:val="00AB6ED4"/>
    <w:rsid w:val="00AB7C93"/>
    <w:rsid w:val="00AC17D2"/>
    <w:rsid w:val="00AC221D"/>
    <w:rsid w:val="00AC294B"/>
    <w:rsid w:val="00AC6E5D"/>
    <w:rsid w:val="00AD086A"/>
    <w:rsid w:val="00AD135A"/>
    <w:rsid w:val="00AD2DFC"/>
    <w:rsid w:val="00AE22F2"/>
    <w:rsid w:val="00AE2BD7"/>
    <w:rsid w:val="00AE3E8C"/>
    <w:rsid w:val="00AE45F8"/>
    <w:rsid w:val="00AE479E"/>
    <w:rsid w:val="00AE5321"/>
    <w:rsid w:val="00AE5E4A"/>
    <w:rsid w:val="00AE7008"/>
    <w:rsid w:val="00AF1490"/>
    <w:rsid w:val="00AF3E91"/>
    <w:rsid w:val="00AF516C"/>
    <w:rsid w:val="00AF666E"/>
    <w:rsid w:val="00AF683C"/>
    <w:rsid w:val="00AF6F2C"/>
    <w:rsid w:val="00B0017A"/>
    <w:rsid w:val="00B04ABC"/>
    <w:rsid w:val="00B04B2E"/>
    <w:rsid w:val="00B063C7"/>
    <w:rsid w:val="00B06D18"/>
    <w:rsid w:val="00B07028"/>
    <w:rsid w:val="00B073B4"/>
    <w:rsid w:val="00B10520"/>
    <w:rsid w:val="00B12D64"/>
    <w:rsid w:val="00B1374D"/>
    <w:rsid w:val="00B1496E"/>
    <w:rsid w:val="00B1548D"/>
    <w:rsid w:val="00B21B58"/>
    <w:rsid w:val="00B22AF2"/>
    <w:rsid w:val="00B22C3B"/>
    <w:rsid w:val="00B24FD6"/>
    <w:rsid w:val="00B32697"/>
    <w:rsid w:val="00B33A5C"/>
    <w:rsid w:val="00B33A95"/>
    <w:rsid w:val="00B40B4D"/>
    <w:rsid w:val="00B41A20"/>
    <w:rsid w:val="00B4400D"/>
    <w:rsid w:val="00B4484E"/>
    <w:rsid w:val="00B51592"/>
    <w:rsid w:val="00B539A5"/>
    <w:rsid w:val="00B53BE7"/>
    <w:rsid w:val="00B5417B"/>
    <w:rsid w:val="00B555FC"/>
    <w:rsid w:val="00B56635"/>
    <w:rsid w:val="00B573F5"/>
    <w:rsid w:val="00B60642"/>
    <w:rsid w:val="00B614F2"/>
    <w:rsid w:val="00B6221C"/>
    <w:rsid w:val="00B65218"/>
    <w:rsid w:val="00B65395"/>
    <w:rsid w:val="00B66998"/>
    <w:rsid w:val="00B66B94"/>
    <w:rsid w:val="00B67C82"/>
    <w:rsid w:val="00B71F6F"/>
    <w:rsid w:val="00B73851"/>
    <w:rsid w:val="00B745E2"/>
    <w:rsid w:val="00B74757"/>
    <w:rsid w:val="00B77374"/>
    <w:rsid w:val="00B77799"/>
    <w:rsid w:val="00B80577"/>
    <w:rsid w:val="00B809BC"/>
    <w:rsid w:val="00B81AC1"/>
    <w:rsid w:val="00B81AD3"/>
    <w:rsid w:val="00B83DDD"/>
    <w:rsid w:val="00B87D1C"/>
    <w:rsid w:val="00B9053D"/>
    <w:rsid w:val="00B92873"/>
    <w:rsid w:val="00B930FE"/>
    <w:rsid w:val="00B95D64"/>
    <w:rsid w:val="00B96038"/>
    <w:rsid w:val="00BA191F"/>
    <w:rsid w:val="00BB0206"/>
    <w:rsid w:val="00BB1B1C"/>
    <w:rsid w:val="00BB1F74"/>
    <w:rsid w:val="00BB3828"/>
    <w:rsid w:val="00BC1EB9"/>
    <w:rsid w:val="00BC3335"/>
    <w:rsid w:val="00BD0AF3"/>
    <w:rsid w:val="00BD14C0"/>
    <w:rsid w:val="00BD1637"/>
    <w:rsid w:val="00BD17FD"/>
    <w:rsid w:val="00BD450C"/>
    <w:rsid w:val="00BD58E1"/>
    <w:rsid w:val="00BD61B8"/>
    <w:rsid w:val="00BE0468"/>
    <w:rsid w:val="00BE0DC3"/>
    <w:rsid w:val="00BE241D"/>
    <w:rsid w:val="00BE634D"/>
    <w:rsid w:val="00BE6BFC"/>
    <w:rsid w:val="00BE778B"/>
    <w:rsid w:val="00BF0488"/>
    <w:rsid w:val="00BF2F70"/>
    <w:rsid w:val="00BF4FC5"/>
    <w:rsid w:val="00BF52A4"/>
    <w:rsid w:val="00BF7209"/>
    <w:rsid w:val="00C016EA"/>
    <w:rsid w:val="00C01A21"/>
    <w:rsid w:val="00C04ACA"/>
    <w:rsid w:val="00C0554C"/>
    <w:rsid w:val="00C104CE"/>
    <w:rsid w:val="00C124FB"/>
    <w:rsid w:val="00C2489A"/>
    <w:rsid w:val="00C250DA"/>
    <w:rsid w:val="00C26F21"/>
    <w:rsid w:val="00C30720"/>
    <w:rsid w:val="00C30FA3"/>
    <w:rsid w:val="00C30FDA"/>
    <w:rsid w:val="00C317BD"/>
    <w:rsid w:val="00C33AC2"/>
    <w:rsid w:val="00C33D91"/>
    <w:rsid w:val="00C34AD4"/>
    <w:rsid w:val="00C3676F"/>
    <w:rsid w:val="00C3792E"/>
    <w:rsid w:val="00C37AEE"/>
    <w:rsid w:val="00C37F76"/>
    <w:rsid w:val="00C4019F"/>
    <w:rsid w:val="00C41D09"/>
    <w:rsid w:val="00C42E0C"/>
    <w:rsid w:val="00C45333"/>
    <w:rsid w:val="00C46784"/>
    <w:rsid w:val="00C47006"/>
    <w:rsid w:val="00C51055"/>
    <w:rsid w:val="00C51066"/>
    <w:rsid w:val="00C546CE"/>
    <w:rsid w:val="00C60F0A"/>
    <w:rsid w:val="00C61271"/>
    <w:rsid w:val="00C6399B"/>
    <w:rsid w:val="00C66021"/>
    <w:rsid w:val="00C660A7"/>
    <w:rsid w:val="00C6719C"/>
    <w:rsid w:val="00C67322"/>
    <w:rsid w:val="00C70BB3"/>
    <w:rsid w:val="00C70D3B"/>
    <w:rsid w:val="00C70EBF"/>
    <w:rsid w:val="00C711CE"/>
    <w:rsid w:val="00C75322"/>
    <w:rsid w:val="00C76C02"/>
    <w:rsid w:val="00C77E22"/>
    <w:rsid w:val="00C8058A"/>
    <w:rsid w:val="00C808C6"/>
    <w:rsid w:val="00C84B78"/>
    <w:rsid w:val="00C855B9"/>
    <w:rsid w:val="00C86CD4"/>
    <w:rsid w:val="00C8789D"/>
    <w:rsid w:val="00C9203C"/>
    <w:rsid w:val="00C96090"/>
    <w:rsid w:val="00C9639D"/>
    <w:rsid w:val="00C970C1"/>
    <w:rsid w:val="00CA1194"/>
    <w:rsid w:val="00CA400D"/>
    <w:rsid w:val="00CA5172"/>
    <w:rsid w:val="00CB350E"/>
    <w:rsid w:val="00CB4B48"/>
    <w:rsid w:val="00CB6D6E"/>
    <w:rsid w:val="00CB6FC7"/>
    <w:rsid w:val="00CC20F5"/>
    <w:rsid w:val="00CC48A8"/>
    <w:rsid w:val="00CC555B"/>
    <w:rsid w:val="00CC57EE"/>
    <w:rsid w:val="00CD2EAF"/>
    <w:rsid w:val="00CE09E5"/>
    <w:rsid w:val="00CE1846"/>
    <w:rsid w:val="00CE7B21"/>
    <w:rsid w:val="00CF01C0"/>
    <w:rsid w:val="00CF0B93"/>
    <w:rsid w:val="00CF1809"/>
    <w:rsid w:val="00CF1E8A"/>
    <w:rsid w:val="00CF2276"/>
    <w:rsid w:val="00CF3076"/>
    <w:rsid w:val="00CF3C5F"/>
    <w:rsid w:val="00CF3EC4"/>
    <w:rsid w:val="00CF6094"/>
    <w:rsid w:val="00CF6C72"/>
    <w:rsid w:val="00CF7918"/>
    <w:rsid w:val="00D00E6E"/>
    <w:rsid w:val="00D01366"/>
    <w:rsid w:val="00D016B2"/>
    <w:rsid w:val="00D02FE0"/>
    <w:rsid w:val="00D0318F"/>
    <w:rsid w:val="00D07613"/>
    <w:rsid w:val="00D14A69"/>
    <w:rsid w:val="00D15147"/>
    <w:rsid w:val="00D17E85"/>
    <w:rsid w:val="00D20B52"/>
    <w:rsid w:val="00D254B9"/>
    <w:rsid w:val="00D25C06"/>
    <w:rsid w:val="00D268C2"/>
    <w:rsid w:val="00D31EB1"/>
    <w:rsid w:val="00D343AE"/>
    <w:rsid w:val="00D36D0C"/>
    <w:rsid w:val="00D36D23"/>
    <w:rsid w:val="00D3790E"/>
    <w:rsid w:val="00D436B1"/>
    <w:rsid w:val="00D44F8B"/>
    <w:rsid w:val="00D4578E"/>
    <w:rsid w:val="00D465CE"/>
    <w:rsid w:val="00D4732E"/>
    <w:rsid w:val="00D5565C"/>
    <w:rsid w:val="00D559A3"/>
    <w:rsid w:val="00D579DF"/>
    <w:rsid w:val="00D606EF"/>
    <w:rsid w:val="00D723A3"/>
    <w:rsid w:val="00D73B2F"/>
    <w:rsid w:val="00D806EA"/>
    <w:rsid w:val="00D8232A"/>
    <w:rsid w:val="00D83FDF"/>
    <w:rsid w:val="00D87FD1"/>
    <w:rsid w:val="00D92B2D"/>
    <w:rsid w:val="00D9573A"/>
    <w:rsid w:val="00DA1825"/>
    <w:rsid w:val="00DA33E7"/>
    <w:rsid w:val="00DA61E6"/>
    <w:rsid w:val="00DA6CD8"/>
    <w:rsid w:val="00DB1FD8"/>
    <w:rsid w:val="00DB2BC8"/>
    <w:rsid w:val="00DB3CE7"/>
    <w:rsid w:val="00DC0955"/>
    <w:rsid w:val="00DC27BB"/>
    <w:rsid w:val="00DC2CAF"/>
    <w:rsid w:val="00DC3351"/>
    <w:rsid w:val="00DC4651"/>
    <w:rsid w:val="00DC6787"/>
    <w:rsid w:val="00DD1174"/>
    <w:rsid w:val="00DD1F97"/>
    <w:rsid w:val="00DD3128"/>
    <w:rsid w:val="00DD3F2F"/>
    <w:rsid w:val="00DD710B"/>
    <w:rsid w:val="00DE2BEE"/>
    <w:rsid w:val="00DE3455"/>
    <w:rsid w:val="00DF0685"/>
    <w:rsid w:val="00DF2D0B"/>
    <w:rsid w:val="00E02258"/>
    <w:rsid w:val="00E02395"/>
    <w:rsid w:val="00E029EC"/>
    <w:rsid w:val="00E03B1C"/>
    <w:rsid w:val="00E06E6B"/>
    <w:rsid w:val="00E11310"/>
    <w:rsid w:val="00E12890"/>
    <w:rsid w:val="00E12E96"/>
    <w:rsid w:val="00E15DA2"/>
    <w:rsid w:val="00E17B97"/>
    <w:rsid w:val="00E20F0E"/>
    <w:rsid w:val="00E26CEC"/>
    <w:rsid w:val="00E33939"/>
    <w:rsid w:val="00E34339"/>
    <w:rsid w:val="00E3485F"/>
    <w:rsid w:val="00E3540A"/>
    <w:rsid w:val="00E3556C"/>
    <w:rsid w:val="00E36954"/>
    <w:rsid w:val="00E37553"/>
    <w:rsid w:val="00E42668"/>
    <w:rsid w:val="00E504A1"/>
    <w:rsid w:val="00E5401A"/>
    <w:rsid w:val="00E565F2"/>
    <w:rsid w:val="00E60D4F"/>
    <w:rsid w:val="00E618F7"/>
    <w:rsid w:val="00E6381E"/>
    <w:rsid w:val="00E6416F"/>
    <w:rsid w:val="00E64640"/>
    <w:rsid w:val="00E6530F"/>
    <w:rsid w:val="00E65A8D"/>
    <w:rsid w:val="00E65BF3"/>
    <w:rsid w:val="00E65F90"/>
    <w:rsid w:val="00E664AA"/>
    <w:rsid w:val="00E66B1C"/>
    <w:rsid w:val="00E712B6"/>
    <w:rsid w:val="00E82989"/>
    <w:rsid w:val="00E85124"/>
    <w:rsid w:val="00E90500"/>
    <w:rsid w:val="00E91F98"/>
    <w:rsid w:val="00E9753B"/>
    <w:rsid w:val="00EA068C"/>
    <w:rsid w:val="00EA22CE"/>
    <w:rsid w:val="00EA2975"/>
    <w:rsid w:val="00EA70E8"/>
    <w:rsid w:val="00EA79DD"/>
    <w:rsid w:val="00EB1B95"/>
    <w:rsid w:val="00EB24A1"/>
    <w:rsid w:val="00EB3C9D"/>
    <w:rsid w:val="00EB609D"/>
    <w:rsid w:val="00EB6F16"/>
    <w:rsid w:val="00EC023E"/>
    <w:rsid w:val="00EC0627"/>
    <w:rsid w:val="00EC10E1"/>
    <w:rsid w:val="00EC5C10"/>
    <w:rsid w:val="00EC643D"/>
    <w:rsid w:val="00EC6ACC"/>
    <w:rsid w:val="00ED64EA"/>
    <w:rsid w:val="00ED797D"/>
    <w:rsid w:val="00EE160C"/>
    <w:rsid w:val="00EE2CF9"/>
    <w:rsid w:val="00EE59BF"/>
    <w:rsid w:val="00EF215E"/>
    <w:rsid w:val="00EF2A89"/>
    <w:rsid w:val="00F03D06"/>
    <w:rsid w:val="00F04F7C"/>
    <w:rsid w:val="00F062F8"/>
    <w:rsid w:val="00F11F5B"/>
    <w:rsid w:val="00F1370D"/>
    <w:rsid w:val="00F148F2"/>
    <w:rsid w:val="00F155C0"/>
    <w:rsid w:val="00F23185"/>
    <w:rsid w:val="00F264C2"/>
    <w:rsid w:val="00F27207"/>
    <w:rsid w:val="00F323A4"/>
    <w:rsid w:val="00F336C8"/>
    <w:rsid w:val="00F34B15"/>
    <w:rsid w:val="00F3552A"/>
    <w:rsid w:val="00F36265"/>
    <w:rsid w:val="00F37795"/>
    <w:rsid w:val="00F37C43"/>
    <w:rsid w:val="00F4262F"/>
    <w:rsid w:val="00F4538B"/>
    <w:rsid w:val="00F471A2"/>
    <w:rsid w:val="00F5036A"/>
    <w:rsid w:val="00F546CA"/>
    <w:rsid w:val="00F54EF6"/>
    <w:rsid w:val="00F56FF8"/>
    <w:rsid w:val="00F57ABD"/>
    <w:rsid w:val="00F66192"/>
    <w:rsid w:val="00F6668D"/>
    <w:rsid w:val="00F678E0"/>
    <w:rsid w:val="00F70D4D"/>
    <w:rsid w:val="00F7123B"/>
    <w:rsid w:val="00F8212E"/>
    <w:rsid w:val="00F86EAA"/>
    <w:rsid w:val="00F916D3"/>
    <w:rsid w:val="00F92EE6"/>
    <w:rsid w:val="00F9335D"/>
    <w:rsid w:val="00F93FB7"/>
    <w:rsid w:val="00F94249"/>
    <w:rsid w:val="00F95054"/>
    <w:rsid w:val="00FA2683"/>
    <w:rsid w:val="00FA4119"/>
    <w:rsid w:val="00FA7EC2"/>
    <w:rsid w:val="00FB02BF"/>
    <w:rsid w:val="00FB4D9A"/>
    <w:rsid w:val="00FC2375"/>
    <w:rsid w:val="00FE2716"/>
    <w:rsid w:val="00FE4877"/>
    <w:rsid w:val="00FE4FEE"/>
    <w:rsid w:val="00FE54EC"/>
    <w:rsid w:val="00FF194A"/>
    <w:rsid w:val="00FF1A2D"/>
    <w:rsid w:val="00FF2FCB"/>
    <w:rsid w:val="00FF34C0"/>
    <w:rsid w:val="00FF43FE"/>
    <w:rsid w:val="00FF5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E489"/>
  <w15:chartTrackingRefBased/>
  <w15:docId w15:val="{DA73EDD7-B9CA-482F-888E-4F20210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4"/>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B2D"/>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Cs/>
      <w:color w:val="000000" w:themeColor="text1"/>
      <w:szCs w:val="24"/>
      <w:lang w:val="en-US"/>
    </w:rPr>
  </w:style>
  <w:style w:type="character" w:customStyle="1" w:styleId="IntenseQuoteChar">
    <w:name w:val="Intense Quote Char"/>
    <w:basedOn w:val="DefaultParagraphFont"/>
    <w:link w:val="IntenseQuote"/>
    <w:uiPriority w:val="30"/>
    <w:rsid w:val="00D92B2D"/>
    <w:rPr>
      <w:rFonts w:ascii="Times New Roman" w:eastAsia="Times New Roman" w:hAnsi="Times New Roman" w:cs="Times New Roman"/>
      <w:iCs/>
      <w:color w:val="000000" w:themeColor="text1"/>
      <w:szCs w:val="24"/>
      <w:lang w:val="en-US"/>
    </w:rPr>
  </w:style>
  <w:style w:type="paragraph" w:customStyle="1" w:styleId="Style1">
    <w:name w:val="Style1"/>
    <w:basedOn w:val="IntenseQuote"/>
    <w:link w:val="Style1Char"/>
    <w:autoRedefine/>
    <w:qFormat/>
    <w:rsid w:val="001002F6"/>
    <w:pPr>
      <w:spacing w:line="259" w:lineRule="auto"/>
    </w:pPr>
    <w:rPr>
      <w:rFonts w:cs="Arial"/>
      <w:bCs/>
      <w:iCs w:val="0"/>
    </w:rPr>
  </w:style>
  <w:style w:type="character" w:customStyle="1" w:styleId="Style1Char">
    <w:name w:val="Style1 Char"/>
    <w:basedOn w:val="IntenseQuoteChar"/>
    <w:link w:val="Style1"/>
    <w:rsid w:val="001002F6"/>
    <w:rPr>
      <w:rFonts w:ascii="Times New Roman" w:eastAsia="Times New Roman" w:hAnsi="Times New Roman" w:cs="Arial"/>
      <w:bCs/>
      <w:iCs w:val="0"/>
      <w:color w:val="000000" w:themeColor="text1"/>
      <w:szCs w:val="24"/>
      <w:lang w:val="en-US"/>
    </w:rPr>
  </w:style>
  <w:style w:type="paragraph" w:styleId="ListParagraph">
    <w:name w:val="List Paragraph"/>
    <w:basedOn w:val="Normal"/>
    <w:uiPriority w:val="34"/>
    <w:qFormat/>
    <w:rsid w:val="000B5826"/>
    <w:pPr>
      <w:ind w:left="720"/>
      <w:contextualSpacing/>
    </w:pPr>
  </w:style>
  <w:style w:type="paragraph" w:styleId="FootnoteText">
    <w:name w:val="footnote text"/>
    <w:basedOn w:val="Normal"/>
    <w:link w:val="FootnoteTextChar"/>
    <w:uiPriority w:val="99"/>
    <w:semiHidden/>
    <w:unhideWhenUsed/>
    <w:rsid w:val="00125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26"/>
    <w:rPr>
      <w:sz w:val="20"/>
      <w:szCs w:val="20"/>
    </w:rPr>
  </w:style>
  <w:style w:type="character" w:styleId="FootnoteReference">
    <w:name w:val="footnote reference"/>
    <w:basedOn w:val="DefaultParagraphFont"/>
    <w:uiPriority w:val="99"/>
    <w:semiHidden/>
    <w:unhideWhenUsed/>
    <w:rsid w:val="00125A26"/>
    <w:rPr>
      <w:vertAlign w:val="superscript"/>
    </w:rPr>
  </w:style>
  <w:style w:type="paragraph" w:styleId="Revision">
    <w:name w:val="Revision"/>
    <w:hidden/>
    <w:uiPriority w:val="99"/>
    <w:semiHidden/>
    <w:rsid w:val="00957AB0"/>
    <w:pPr>
      <w:spacing w:after="0" w:line="240" w:lineRule="auto"/>
    </w:pPr>
  </w:style>
  <w:style w:type="paragraph" w:styleId="Header">
    <w:name w:val="header"/>
    <w:basedOn w:val="Normal"/>
    <w:link w:val="HeaderChar"/>
    <w:uiPriority w:val="99"/>
    <w:unhideWhenUsed/>
    <w:rsid w:val="00CD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EAF"/>
  </w:style>
  <w:style w:type="paragraph" w:styleId="Footer">
    <w:name w:val="footer"/>
    <w:basedOn w:val="Normal"/>
    <w:link w:val="FooterChar"/>
    <w:uiPriority w:val="99"/>
    <w:unhideWhenUsed/>
    <w:rsid w:val="00CD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EAF"/>
  </w:style>
  <w:style w:type="paragraph" w:styleId="BalloonText">
    <w:name w:val="Balloon Text"/>
    <w:basedOn w:val="Normal"/>
    <w:link w:val="BalloonTextChar"/>
    <w:uiPriority w:val="99"/>
    <w:semiHidden/>
    <w:unhideWhenUsed/>
    <w:rsid w:val="00165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38BA3-174D-4431-8E28-A64C9487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6073</Words>
  <Characters>34621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Mary Bruce</cp:lastModifiedBy>
  <cp:revision>3</cp:revision>
  <cp:lastPrinted>2023-07-24T09:18:00Z</cp:lastPrinted>
  <dcterms:created xsi:type="dcterms:W3CDTF">2023-07-24T09:28:00Z</dcterms:created>
  <dcterms:modified xsi:type="dcterms:W3CDTF">2023-07-26T11:33:00Z</dcterms:modified>
</cp:coreProperties>
</file>