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D4D4" w14:textId="77777777" w:rsidR="004466A8" w:rsidRDefault="004466A8" w:rsidP="004466A8">
      <w:pPr>
        <w:pStyle w:val="LegalTitle"/>
        <w:spacing w:after="120" w:line="360" w:lineRule="auto"/>
        <w:rPr>
          <w:u w:val="single"/>
        </w:rPr>
      </w:pPr>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6C91E91C"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703D1E19">
                <wp:simplePos x="0" y="0"/>
                <wp:positionH relativeFrom="column">
                  <wp:posOffset>-44450</wp:posOffset>
                </wp:positionH>
                <wp:positionV relativeFrom="paragraph">
                  <wp:posOffset>373380</wp:posOffset>
                </wp:positionV>
                <wp:extent cx="3886200" cy="1409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97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4B0AAC5B" w:rsidR="00B621CF" w:rsidRPr="0038792A" w:rsidRDefault="005E443C" w:rsidP="005E443C">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F1DF346" w:rsidR="00B621CF" w:rsidRPr="0038792A" w:rsidRDefault="005E443C" w:rsidP="005E443C">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A89AF7C" w:rsidR="00B621CF" w:rsidRDefault="005E443C" w:rsidP="005E443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5BD5F7A0" w:rsidR="00FA3313" w:rsidRPr="0038792A" w:rsidRDefault="005E443C" w:rsidP="005E443C">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BD7D7B">
                              <w:rPr>
                                <w:rFonts w:ascii="Century Gothic" w:hAnsi="Century Gothic"/>
                                <w:sz w:val="20"/>
                                <w:szCs w:val="20"/>
                              </w:rPr>
                              <w:t>Date: 01 August</w:t>
                            </w:r>
                            <w:r w:rsidR="00FA3313">
                              <w:rPr>
                                <w:rFonts w:ascii="Century Gothic" w:hAnsi="Century Gothic"/>
                                <w:sz w:val="20"/>
                                <w:szCs w:val="20"/>
                              </w:rPr>
                              <w:t xml:space="preserve"> 202</w:t>
                            </w:r>
                            <w:r w:rsidR="004B182B">
                              <w:rPr>
                                <w:rFonts w:ascii="Century Gothic" w:hAnsi="Century Gothic"/>
                                <w:sz w:val="20"/>
                                <w:szCs w:val="20"/>
                              </w:rPr>
                              <w:t>3</w:t>
                            </w:r>
                            <w:r w:rsidR="00BD7D7B">
                              <w:rPr>
                                <w:rFonts w:ascii="Century Gothic" w:hAnsi="Century Gothic"/>
                                <w:sz w:val="20"/>
                                <w:szCs w:val="20"/>
                              </w:rPr>
                              <w:t xml:space="preserve"> </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3.5pt;margin-top:29.4pt;width:306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4B0AAC5B" w:rsidR="00B621CF" w:rsidRPr="0038792A" w:rsidRDefault="005E443C" w:rsidP="005E443C">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F1DF346" w:rsidR="00B621CF" w:rsidRPr="0038792A" w:rsidRDefault="005E443C" w:rsidP="005E443C">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A89AF7C" w:rsidR="00B621CF" w:rsidRDefault="005E443C" w:rsidP="005E443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5BD5F7A0" w:rsidR="00FA3313" w:rsidRPr="0038792A" w:rsidRDefault="005E443C" w:rsidP="005E443C">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BD7D7B">
                        <w:rPr>
                          <w:rFonts w:ascii="Century Gothic" w:hAnsi="Century Gothic"/>
                          <w:sz w:val="20"/>
                          <w:szCs w:val="20"/>
                        </w:rPr>
                        <w:t>Date: 01 August</w:t>
                      </w:r>
                      <w:r w:rsidR="00FA3313">
                        <w:rPr>
                          <w:rFonts w:ascii="Century Gothic" w:hAnsi="Century Gothic"/>
                          <w:sz w:val="20"/>
                          <w:szCs w:val="20"/>
                        </w:rPr>
                        <w:t xml:space="preserve"> 202</w:t>
                      </w:r>
                      <w:r w:rsidR="004B182B">
                        <w:rPr>
                          <w:rFonts w:ascii="Century Gothic" w:hAnsi="Century Gothic"/>
                          <w:sz w:val="20"/>
                          <w:szCs w:val="20"/>
                        </w:rPr>
                        <w:t>3</w:t>
                      </w:r>
                      <w:r w:rsidR="00BD7D7B">
                        <w:rPr>
                          <w:rFonts w:ascii="Century Gothic" w:hAnsi="Century Gothic"/>
                          <w:sz w:val="20"/>
                          <w:szCs w:val="20"/>
                        </w:rPr>
                        <w:t xml:space="preserve"> </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Pr="00034996">
        <w:rPr>
          <w:rFonts w:cs="Arial"/>
          <w:u w:val="single"/>
        </w:rPr>
        <w:t>PR</w:t>
      </w:r>
      <w:r w:rsidR="004466A8" w:rsidRPr="00034996">
        <w:rPr>
          <w:rFonts w:cs="Arial"/>
          <w:u w:val="single"/>
        </w:rPr>
        <w:t>E</w:t>
      </w:r>
      <w:r w:rsidRPr="00034996">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3F78A15E" w14:textId="77777777" w:rsidR="00BD7D7B" w:rsidRDefault="00310AC5" w:rsidP="00310AC5">
      <w:pPr>
        <w:pStyle w:val="LegalNormal"/>
        <w:rPr>
          <w:b/>
        </w:rPr>
      </w:pPr>
      <w:r>
        <w:rPr>
          <w:b/>
        </w:rPr>
        <w:t xml:space="preserve">                                                                      </w:t>
      </w:r>
      <w:r w:rsidR="00BD7D7B">
        <w:rPr>
          <w:b/>
        </w:rPr>
        <w:t xml:space="preserve">                               </w:t>
      </w:r>
    </w:p>
    <w:p w14:paraId="1192C484" w14:textId="238BEC1E" w:rsidR="00310AC5" w:rsidRPr="00310AC5" w:rsidRDefault="00BD7D7B" w:rsidP="00310AC5">
      <w:pPr>
        <w:pStyle w:val="LegalNormal"/>
        <w:rPr>
          <w:b/>
        </w:rPr>
      </w:pPr>
      <w:r>
        <w:rPr>
          <w:b/>
        </w:rPr>
        <w:t xml:space="preserve">                                                                                                        </w:t>
      </w:r>
      <w:r w:rsidR="00310AC5" w:rsidRPr="00310AC5">
        <w:rPr>
          <w:b/>
        </w:rPr>
        <w:t>CASE</w:t>
      </w:r>
      <w:r w:rsidR="007A1CC0">
        <w:rPr>
          <w:b/>
        </w:rPr>
        <w:t xml:space="preserve"> </w:t>
      </w:r>
      <w:r w:rsidR="00310AC5" w:rsidRPr="00310AC5">
        <w:rPr>
          <w:b/>
        </w:rPr>
        <w:t>NO</w:t>
      </w:r>
      <w:r w:rsidR="007A1CC0">
        <w:rPr>
          <w:b/>
        </w:rPr>
        <w:t xml:space="preserve"> </w:t>
      </w:r>
      <w:r w:rsidR="007B70CC">
        <w:rPr>
          <w:b/>
        </w:rPr>
        <w:t>35050</w:t>
      </w:r>
      <w:r w:rsidR="00ED672B">
        <w:rPr>
          <w:b/>
        </w:rPr>
        <w:t>/20</w:t>
      </w:r>
      <w:r w:rsidR="000206C6">
        <w:rPr>
          <w:b/>
        </w:rPr>
        <w:t>2</w:t>
      </w:r>
      <w:r w:rsidR="00ED672B">
        <w:rPr>
          <w:b/>
        </w:rPr>
        <w:t>1</w:t>
      </w:r>
    </w:p>
    <w:p w14:paraId="4689B533" w14:textId="77777777" w:rsidR="00310AC5" w:rsidRPr="00310AC5" w:rsidRDefault="00310AC5" w:rsidP="00310AC5">
      <w:pPr>
        <w:pStyle w:val="LegalNormal"/>
        <w:rPr>
          <w:b/>
        </w:rPr>
      </w:pPr>
      <w:r w:rsidRPr="00310AC5">
        <w:t>In the matter between:</w:t>
      </w:r>
    </w:p>
    <w:p w14:paraId="0AA8B2D2" w14:textId="77777777" w:rsidR="00FC5EB6" w:rsidRDefault="00C40A06" w:rsidP="00310AC5">
      <w:pPr>
        <w:pStyle w:val="LegalNormal"/>
        <w:rPr>
          <w:b/>
        </w:rPr>
      </w:pPr>
      <w:r>
        <w:rPr>
          <w:b/>
        </w:rPr>
        <w:t>A</w:t>
      </w:r>
      <w:r w:rsidR="00E03AAF">
        <w:rPr>
          <w:b/>
        </w:rPr>
        <w:t>GGRIVED BE</w:t>
      </w:r>
      <w:r w:rsidR="000206C6">
        <w:rPr>
          <w:b/>
        </w:rPr>
        <w:t>N</w:t>
      </w:r>
      <w:r w:rsidR="00E03AAF">
        <w:rPr>
          <w:b/>
        </w:rPr>
        <w:t>EFICIARIES</w:t>
      </w:r>
      <w:r w:rsidR="00346997">
        <w:rPr>
          <w:b/>
        </w:rPr>
        <w:t xml:space="preserve"> OF HWASHI-DIFAGATE </w:t>
      </w:r>
    </w:p>
    <w:p w14:paraId="2BF936AD" w14:textId="626A0DA2" w:rsidR="00310AC5" w:rsidRDefault="00FC5EB6" w:rsidP="00310AC5">
      <w:pPr>
        <w:pStyle w:val="LegalNormal"/>
        <w:rPr>
          <w:bCs/>
        </w:rPr>
      </w:pPr>
      <w:r>
        <w:rPr>
          <w:b/>
        </w:rPr>
        <w:t>COMMUNITY TRUST</w:t>
      </w:r>
      <w:r w:rsidR="00C40A06">
        <w:rPr>
          <w:b/>
        </w:rPr>
        <w:t xml:space="preserve"> </w:t>
      </w:r>
      <w:r w:rsidR="00970B4B">
        <w:rPr>
          <w:b/>
        </w:rPr>
        <w:t>(IT 1253/07)</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sidR="00380224">
        <w:rPr>
          <w:bCs/>
          <w:vertAlign w:val="superscript"/>
        </w:rPr>
        <w:t xml:space="preserve">   </w:t>
      </w:r>
      <w:r w:rsidR="000D4B5B">
        <w:rPr>
          <w:bCs/>
        </w:rPr>
        <w:t>App</w:t>
      </w:r>
      <w:r w:rsidR="005B535D">
        <w:rPr>
          <w:bCs/>
        </w:rPr>
        <w:t>li</w:t>
      </w:r>
      <w:r w:rsidR="000D4B5B">
        <w:rPr>
          <w:bCs/>
        </w:rPr>
        <w:t>cant</w:t>
      </w:r>
    </w:p>
    <w:p w14:paraId="12B359D3" w14:textId="77777777" w:rsidR="00310AC5" w:rsidRPr="00310AC5" w:rsidRDefault="00310AC5" w:rsidP="00310AC5">
      <w:pPr>
        <w:pStyle w:val="LegalNormal"/>
      </w:pPr>
      <w:r w:rsidRPr="00310AC5">
        <w:t>And</w:t>
      </w:r>
    </w:p>
    <w:p w14:paraId="0589B85E" w14:textId="7D9F33B8" w:rsidR="00310AC5" w:rsidRDefault="00970B4B" w:rsidP="00310AC5">
      <w:pPr>
        <w:pStyle w:val="LegalNormal"/>
        <w:rPr>
          <w:bCs/>
        </w:rPr>
      </w:pPr>
      <w:r>
        <w:rPr>
          <w:b/>
        </w:rPr>
        <w:t>HWASHI</w:t>
      </w:r>
      <w:r w:rsidR="00446737">
        <w:rPr>
          <w:b/>
        </w:rPr>
        <w:t>-</w:t>
      </w:r>
      <w:r>
        <w:rPr>
          <w:b/>
        </w:rPr>
        <w:t>DIFAGATE</w:t>
      </w:r>
      <w:r w:rsidR="00FD57D6">
        <w:rPr>
          <w:b/>
        </w:rPr>
        <w:t xml:space="preserve"> </w:t>
      </w:r>
      <w:r w:rsidR="00446737">
        <w:rPr>
          <w:b/>
        </w:rPr>
        <w:t>COMMUNITY TRUST (IT 1253/07)</w:t>
      </w:r>
      <w:r w:rsidR="005B535D">
        <w:rPr>
          <w:bCs/>
        </w:rPr>
        <w:tab/>
      </w:r>
      <w:r w:rsidR="005B535D">
        <w:rPr>
          <w:bCs/>
        </w:rPr>
        <w:tab/>
      </w:r>
      <w:r w:rsidR="00380224">
        <w:rPr>
          <w:bCs/>
        </w:rPr>
        <w:t xml:space="preserve">     </w:t>
      </w:r>
      <w:r w:rsidR="00446737">
        <w:rPr>
          <w:bCs/>
        </w:rPr>
        <w:t>1</w:t>
      </w:r>
      <w:r w:rsidR="00446737" w:rsidRPr="00446737">
        <w:rPr>
          <w:bCs/>
          <w:vertAlign w:val="superscript"/>
        </w:rPr>
        <w:t>st</w:t>
      </w:r>
      <w:r w:rsidR="00446737">
        <w:rPr>
          <w:bCs/>
        </w:rPr>
        <w:t xml:space="preserve"> Responde</w:t>
      </w:r>
      <w:r w:rsidR="00FD57D6" w:rsidRPr="00FD57D6">
        <w:rPr>
          <w:bCs/>
        </w:rPr>
        <w:t>nt</w:t>
      </w:r>
    </w:p>
    <w:p w14:paraId="3E414B70" w14:textId="7D403B66" w:rsidR="00501D7E" w:rsidRDefault="00501D7E" w:rsidP="00310AC5">
      <w:pPr>
        <w:pStyle w:val="LegalNormal"/>
      </w:pPr>
      <w:r w:rsidRPr="00AD45B7">
        <w:rPr>
          <w:b/>
          <w:bCs/>
        </w:rPr>
        <w:t xml:space="preserve">THABISH AMEL MAKUA </w:t>
      </w:r>
      <w:r w:rsidR="008B24B0" w:rsidRPr="00AD45B7">
        <w:rPr>
          <w:b/>
          <w:bCs/>
        </w:rPr>
        <w:tab/>
      </w:r>
      <w:r w:rsidR="008B24B0">
        <w:tab/>
      </w:r>
      <w:r w:rsidR="008B24B0">
        <w:tab/>
      </w:r>
      <w:r w:rsidR="008B24B0">
        <w:tab/>
      </w:r>
      <w:r w:rsidR="008B24B0">
        <w:tab/>
      </w:r>
      <w:r w:rsidR="008B24B0">
        <w:tab/>
      </w:r>
      <w:r w:rsidR="008B24B0">
        <w:tab/>
        <w:t xml:space="preserve">     2</w:t>
      </w:r>
      <w:r w:rsidR="008B24B0" w:rsidRPr="008B24B0">
        <w:rPr>
          <w:vertAlign w:val="superscript"/>
        </w:rPr>
        <w:t>nd</w:t>
      </w:r>
      <w:r w:rsidR="008B24B0">
        <w:t xml:space="preserve"> </w:t>
      </w:r>
      <w:r w:rsidRPr="00501D7E">
        <w:t xml:space="preserve">Respondent </w:t>
      </w:r>
    </w:p>
    <w:p w14:paraId="6662C067" w14:textId="7DDEC116" w:rsidR="00501D7E" w:rsidRDefault="00501D7E" w:rsidP="00310AC5">
      <w:pPr>
        <w:pStyle w:val="LegalNormal"/>
      </w:pPr>
      <w:r w:rsidRPr="00AD45B7">
        <w:rPr>
          <w:b/>
          <w:bCs/>
        </w:rPr>
        <w:lastRenderedPageBreak/>
        <w:t xml:space="preserve">PHINEAS MATLOSE MAKUWA </w:t>
      </w:r>
      <w:r w:rsidR="008B24B0" w:rsidRPr="00AD45B7">
        <w:rPr>
          <w:b/>
          <w:bCs/>
        </w:rPr>
        <w:tab/>
      </w:r>
      <w:r w:rsidR="008B24B0">
        <w:tab/>
      </w:r>
      <w:r w:rsidR="008B24B0">
        <w:tab/>
      </w:r>
      <w:r w:rsidR="008B24B0">
        <w:tab/>
      </w:r>
      <w:r w:rsidR="008B24B0">
        <w:tab/>
      </w:r>
      <w:r w:rsidR="008B24B0">
        <w:tab/>
        <w:t xml:space="preserve">     3</w:t>
      </w:r>
      <w:r w:rsidR="008B24B0" w:rsidRPr="008B24B0">
        <w:rPr>
          <w:vertAlign w:val="superscript"/>
        </w:rPr>
        <w:t>rd</w:t>
      </w:r>
      <w:r w:rsidR="008B24B0">
        <w:t xml:space="preserve"> R</w:t>
      </w:r>
      <w:r w:rsidRPr="00501D7E">
        <w:t xml:space="preserve">espondent </w:t>
      </w:r>
    </w:p>
    <w:p w14:paraId="33F1A9D6" w14:textId="63222F1E" w:rsidR="00501D7E" w:rsidRDefault="00501D7E" w:rsidP="00310AC5">
      <w:pPr>
        <w:pStyle w:val="LegalNormal"/>
      </w:pPr>
      <w:r w:rsidRPr="00AD45B7">
        <w:rPr>
          <w:b/>
          <w:bCs/>
        </w:rPr>
        <w:t>DAVID MALENG MAGANE</w:t>
      </w:r>
      <w:r w:rsidR="00AD45B7">
        <w:t xml:space="preserve"> </w:t>
      </w:r>
      <w:r w:rsidR="00EA1FCC">
        <w:tab/>
      </w:r>
      <w:r w:rsidR="00EA1FCC">
        <w:tab/>
      </w:r>
      <w:r w:rsidR="00EA1FCC">
        <w:tab/>
      </w:r>
      <w:r w:rsidR="00EA1FCC">
        <w:tab/>
      </w:r>
      <w:r w:rsidR="00EA1FCC">
        <w:tab/>
      </w:r>
      <w:r w:rsidR="00EA1FCC">
        <w:tab/>
        <w:t xml:space="preserve">    4</w:t>
      </w:r>
      <w:r w:rsidR="00EA1FCC" w:rsidRPr="00EA1FCC">
        <w:rPr>
          <w:vertAlign w:val="superscript"/>
        </w:rPr>
        <w:t>th</w:t>
      </w:r>
      <w:r w:rsidR="00EA1FCC">
        <w:t xml:space="preserve"> </w:t>
      </w:r>
      <w:r w:rsidRPr="00501D7E">
        <w:t>Respondent</w:t>
      </w:r>
    </w:p>
    <w:p w14:paraId="6EFBB43F" w14:textId="5DF59239" w:rsidR="00501D7E" w:rsidRDefault="00501D7E" w:rsidP="00310AC5">
      <w:pPr>
        <w:pStyle w:val="LegalNormal"/>
      </w:pPr>
      <w:r w:rsidRPr="0061200C">
        <w:rPr>
          <w:b/>
          <w:bCs/>
        </w:rPr>
        <w:t>MAKWELEBETE MOSES MAKWANA</w:t>
      </w:r>
      <w:r w:rsidRPr="00501D7E">
        <w:t xml:space="preserve"> </w:t>
      </w:r>
      <w:r w:rsidR="00EA1FCC">
        <w:tab/>
      </w:r>
      <w:r w:rsidR="00EA1FCC">
        <w:tab/>
      </w:r>
      <w:r w:rsidR="00EA1FCC">
        <w:tab/>
      </w:r>
      <w:r w:rsidR="00EA1FCC">
        <w:tab/>
      </w:r>
      <w:r w:rsidR="00EA1FCC">
        <w:tab/>
        <w:t xml:space="preserve">    5</w:t>
      </w:r>
      <w:r w:rsidR="00EA1FCC" w:rsidRPr="00EA1FCC">
        <w:rPr>
          <w:vertAlign w:val="superscript"/>
        </w:rPr>
        <w:t>th</w:t>
      </w:r>
      <w:r w:rsidR="00EA1FCC">
        <w:t xml:space="preserve"> </w:t>
      </w:r>
      <w:r w:rsidR="00EA1FCC" w:rsidRPr="00501D7E">
        <w:t>Respondent</w:t>
      </w:r>
      <w:r w:rsidRPr="00501D7E">
        <w:t xml:space="preserve"> </w:t>
      </w:r>
    </w:p>
    <w:p w14:paraId="08C6F906" w14:textId="6AE533F0" w:rsidR="00501D7E" w:rsidRDefault="00501D7E" w:rsidP="00310AC5">
      <w:pPr>
        <w:pStyle w:val="LegalNormal"/>
      </w:pPr>
      <w:r w:rsidRPr="0061200C">
        <w:rPr>
          <w:b/>
          <w:bCs/>
        </w:rPr>
        <w:t>BHEKI ERIC MORABA</w:t>
      </w:r>
      <w:r w:rsidR="00EA1FCC">
        <w:tab/>
      </w:r>
      <w:r w:rsidR="00EA1FCC">
        <w:tab/>
      </w:r>
      <w:r w:rsidR="00EA1FCC">
        <w:tab/>
      </w:r>
      <w:r w:rsidR="00EA1FCC">
        <w:tab/>
      </w:r>
      <w:r w:rsidR="00EA1FCC">
        <w:tab/>
      </w:r>
      <w:r w:rsidR="00EA1FCC">
        <w:tab/>
      </w:r>
      <w:r w:rsidR="00EA1FCC">
        <w:tab/>
      </w:r>
      <w:r w:rsidRPr="00501D7E">
        <w:t xml:space="preserve"> </w:t>
      </w:r>
      <w:r w:rsidR="008E63E2">
        <w:t xml:space="preserve">    </w:t>
      </w:r>
      <w:r w:rsidR="00EA1FCC">
        <w:t>6</w:t>
      </w:r>
      <w:r w:rsidR="008E63E2" w:rsidRPr="008E63E2">
        <w:rPr>
          <w:vertAlign w:val="superscript"/>
        </w:rPr>
        <w:t>t</w:t>
      </w:r>
      <w:r w:rsidRPr="008E63E2">
        <w:rPr>
          <w:vertAlign w:val="superscript"/>
        </w:rPr>
        <w:t>h</w:t>
      </w:r>
      <w:r w:rsidR="008E63E2">
        <w:t xml:space="preserve"> </w:t>
      </w:r>
      <w:r w:rsidRPr="00501D7E">
        <w:t xml:space="preserve">Respondent </w:t>
      </w:r>
    </w:p>
    <w:p w14:paraId="3ED6A640" w14:textId="69A0EEC9" w:rsidR="00380224" w:rsidRDefault="00501D7E" w:rsidP="00310AC5">
      <w:pPr>
        <w:pStyle w:val="LegalNormal"/>
      </w:pPr>
      <w:r w:rsidRPr="0061200C">
        <w:rPr>
          <w:b/>
          <w:bCs/>
        </w:rPr>
        <w:t>MASTER OF THE NORTH GAUTENG HIGH COURT</w:t>
      </w:r>
      <w:r w:rsidRPr="00501D7E">
        <w:t xml:space="preserve"> </w:t>
      </w:r>
      <w:r w:rsidR="008E63E2">
        <w:tab/>
      </w:r>
      <w:r w:rsidR="008E63E2">
        <w:tab/>
        <w:t xml:space="preserve">     7</w:t>
      </w:r>
      <w:r w:rsidR="008E63E2" w:rsidRPr="008E63E2">
        <w:rPr>
          <w:vertAlign w:val="superscript"/>
        </w:rPr>
        <w:t>th</w:t>
      </w:r>
      <w:r w:rsidR="008E63E2">
        <w:t xml:space="preserve"> </w:t>
      </w:r>
      <w:r w:rsidRPr="00501D7E">
        <w:t>Respondent</w:t>
      </w:r>
    </w:p>
    <w:p w14:paraId="591A6080" w14:textId="77777777" w:rsidR="00B564C9" w:rsidRPr="00DA515C" w:rsidRDefault="00B564C9" w:rsidP="00D70AC3">
      <w:pPr>
        <w:pStyle w:val="LegalNormal"/>
        <w:spacing w:line="360" w:lineRule="auto"/>
        <w:rPr>
          <w:b/>
          <w:bCs/>
        </w:rPr>
      </w:pPr>
      <w:r w:rsidRPr="00DA515C">
        <w:rPr>
          <w:b/>
          <w:bCs/>
        </w:rPr>
        <w:t xml:space="preserve">THE MINISTER OF RURAL DEVELOPMENT AND </w:t>
      </w:r>
    </w:p>
    <w:p w14:paraId="47C875F3" w14:textId="09336518" w:rsidR="007E2FF7" w:rsidRDefault="00B564C9" w:rsidP="00D70AC3">
      <w:pPr>
        <w:pStyle w:val="LegalNormal"/>
        <w:spacing w:line="360" w:lineRule="auto"/>
      </w:pPr>
      <w:r w:rsidRPr="00DA515C">
        <w:rPr>
          <w:b/>
          <w:bCs/>
        </w:rPr>
        <w:t xml:space="preserve">LAND REFORM </w:t>
      </w:r>
      <w:r w:rsidR="007E2FF7" w:rsidRPr="00DA515C">
        <w:rPr>
          <w:b/>
          <w:bCs/>
        </w:rPr>
        <w:tab/>
      </w:r>
      <w:r w:rsidR="007E2FF7" w:rsidRPr="00DA515C">
        <w:rPr>
          <w:b/>
          <w:bCs/>
        </w:rPr>
        <w:tab/>
      </w:r>
      <w:r w:rsidR="007E2FF7" w:rsidRPr="00DA515C">
        <w:rPr>
          <w:b/>
          <w:bCs/>
        </w:rPr>
        <w:tab/>
      </w:r>
      <w:r w:rsidR="007E2FF7" w:rsidRPr="00DA515C">
        <w:rPr>
          <w:b/>
          <w:bCs/>
        </w:rPr>
        <w:tab/>
      </w:r>
      <w:r w:rsidR="007E2FF7" w:rsidRPr="00DA515C">
        <w:rPr>
          <w:b/>
          <w:bCs/>
        </w:rPr>
        <w:tab/>
      </w:r>
      <w:r w:rsidR="007E2FF7" w:rsidRPr="00DA515C">
        <w:rPr>
          <w:b/>
          <w:bCs/>
        </w:rPr>
        <w:tab/>
      </w:r>
      <w:r w:rsidR="007E2FF7">
        <w:tab/>
      </w:r>
      <w:r w:rsidR="007E2FF7">
        <w:tab/>
      </w:r>
      <w:r w:rsidR="00DA515C">
        <w:t xml:space="preserve">     </w:t>
      </w:r>
      <w:r w:rsidR="007E2FF7">
        <w:t>8</w:t>
      </w:r>
      <w:r w:rsidR="007E2FF7" w:rsidRPr="007E2FF7">
        <w:rPr>
          <w:vertAlign w:val="superscript"/>
        </w:rPr>
        <w:t>th</w:t>
      </w:r>
      <w:r w:rsidR="007E2FF7">
        <w:t xml:space="preserve"> Respon</w:t>
      </w:r>
      <w:r w:rsidR="00DA515C">
        <w:t>dent</w:t>
      </w:r>
    </w:p>
    <w:p w14:paraId="62ABEE17" w14:textId="77777777" w:rsidR="00D70AC3" w:rsidRPr="00D70AC3" w:rsidRDefault="00B564C9" w:rsidP="00D70AC3">
      <w:pPr>
        <w:pStyle w:val="LegalNormal"/>
        <w:spacing w:line="276" w:lineRule="auto"/>
        <w:rPr>
          <w:b/>
          <w:bCs/>
        </w:rPr>
      </w:pPr>
      <w:r w:rsidRPr="00D70AC3">
        <w:rPr>
          <w:b/>
          <w:bCs/>
        </w:rPr>
        <w:t xml:space="preserve">REGIONAL LAND CLAIMS COMMISSIONER, </w:t>
      </w:r>
    </w:p>
    <w:p w14:paraId="63236AEE" w14:textId="1152131C" w:rsidR="00B564C9" w:rsidRPr="00310AC5" w:rsidRDefault="00B564C9" w:rsidP="00D70AC3">
      <w:pPr>
        <w:pStyle w:val="LegalNormal"/>
        <w:spacing w:line="276" w:lineRule="auto"/>
      </w:pPr>
      <w:r w:rsidRPr="00D70AC3">
        <w:rPr>
          <w:b/>
          <w:bCs/>
        </w:rPr>
        <w:t xml:space="preserve">LIMPOPO </w:t>
      </w:r>
      <w:r w:rsidR="00D70AC3" w:rsidRPr="00D70AC3">
        <w:rPr>
          <w:b/>
          <w:bCs/>
        </w:rPr>
        <w:t xml:space="preserve">PROVINCE </w:t>
      </w:r>
      <w:r w:rsidR="00D70AC3" w:rsidRPr="00D70AC3">
        <w:rPr>
          <w:b/>
          <w:bCs/>
        </w:rPr>
        <w:tab/>
      </w:r>
      <w:r w:rsidR="00D70AC3" w:rsidRPr="00D70AC3">
        <w:rPr>
          <w:b/>
          <w:bCs/>
        </w:rPr>
        <w:tab/>
      </w:r>
      <w:r w:rsidR="00D70AC3" w:rsidRPr="00D70AC3">
        <w:rPr>
          <w:b/>
          <w:bCs/>
        </w:rPr>
        <w:tab/>
      </w:r>
      <w:r w:rsidR="00D70AC3" w:rsidRPr="00D70AC3">
        <w:rPr>
          <w:b/>
          <w:bCs/>
        </w:rPr>
        <w:tab/>
      </w:r>
      <w:r w:rsidR="00D70AC3">
        <w:tab/>
      </w:r>
      <w:r w:rsidR="00D70AC3">
        <w:tab/>
      </w:r>
      <w:r w:rsidR="00D70AC3">
        <w:tab/>
        <w:t xml:space="preserve">     9</w:t>
      </w:r>
      <w:r w:rsidR="00D70AC3" w:rsidRPr="00D70AC3">
        <w:rPr>
          <w:vertAlign w:val="superscript"/>
        </w:rPr>
        <w:t>th</w:t>
      </w:r>
      <w:r w:rsidR="00D70AC3">
        <w:t xml:space="preserve"> </w:t>
      </w:r>
      <w:r w:rsidRPr="00B564C9">
        <w:t>Respondent</w:t>
      </w:r>
    </w:p>
    <w:p w14:paraId="10A1C864" w14:textId="6F05C663" w:rsidR="00310AC5" w:rsidRPr="00310AC5" w:rsidRDefault="00310AC5" w:rsidP="00310AC5">
      <w:pPr>
        <w:pStyle w:val="LegalNormal"/>
        <w:rPr>
          <w:b/>
        </w:rPr>
      </w:pPr>
      <w:r w:rsidRPr="00310AC5">
        <w:rPr>
          <w:b/>
        </w:rPr>
        <w:tab/>
      </w:r>
      <w:r>
        <w:rPr>
          <w:b/>
        </w:rPr>
        <w:t xml:space="preserve"> </w:t>
      </w: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0DCF1143" w:rsidR="00310AC5" w:rsidRPr="00310AC5" w:rsidRDefault="005E443C" w:rsidP="005E443C">
      <w:pPr>
        <w:pStyle w:val="LegalNormal"/>
        <w:ind w:left="720" w:hanging="360"/>
        <w:rPr>
          <w:b/>
        </w:rPr>
      </w:pPr>
      <w:r w:rsidRPr="00310AC5">
        <w:rPr>
          <w:b/>
        </w:rPr>
        <w:t>A.</w:t>
      </w:r>
      <w:r w:rsidRPr="00310AC5">
        <w:rPr>
          <w:b/>
        </w:rPr>
        <w:tab/>
      </w:r>
      <w:r w:rsidR="00310AC5" w:rsidRPr="00310AC5">
        <w:rPr>
          <w:b/>
        </w:rPr>
        <w:t>INTRODUCTION</w:t>
      </w:r>
      <w:r w:rsidR="00063CEA">
        <w:rPr>
          <w:b/>
        </w:rPr>
        <w:t xml:space="preserve"> AND CONTEXT</w:t>
      </w:r>
    </w:p>
    <w:p w14:paraId="6CAA38B4" w14:textId="59A0EDC9" w:rsidR="0010697D" w:rsidRPr="008E64AE" w:rsidRDefault="005E443C" w:rsidP="005E443C">
      <w:pPr>
        <w:pStyle w:val="LegalNormal"/>
        <w:tabs>
          <w:tab w:val="left" w:pos="927"/>
        </w:tabs>
        <w:ind w:left="927" w:hanging="567"/>
        <w:rPr>
          <w:lang w:val="en-US"/>
        </w:rPr>
      </w:pPr>
      <w:r w:rsidRPr="008E64AE">
        <w:rPr>
          <w:sz w:val="28"/>
          <w:szCs w:val="28"/>
          <w:lang w:val="en-US"/>
        </w:rPr>
        <w:lastRenderedPageBreak/>
        <w:t>[1]</w:t>
      </w:r>
      <w:r w:rsidRPr="008E64AE">
        <w:rPr>
          <w:sz w:val="28"/>
          <w:szCs w:val="28"/>
          <w:lang w:val="en-US"/>
        </w:rPr>
        <w:tab/>
      </w:r>
      <w:r w:rsidR="003535D0" w:rsidRPr="008E64AE">
        <w:rPr>
          <w:lang w:val="en-US"/>
        </w:rPr>
        <w:t>Th</w:t>
      </w:r>
      <w:r w:rsidR="00837799" w:rsidRPr="008E64AE">
        <w:rPr>
          <w:lang w:val="en-US"/>
        </w:rPr>
        <w:t>is is a</w:t>
      </w:r>
      <w:r w:rsidR="00F268E1" w:rsidRPr="008E64AE">
        <w:rPr>
          <w:lang w:val="en-US"/>
        </w:rPr>
        <w:t>n</w:t>
      </w:r>
      <w:r w:rsidR="00BD678C" w:rsidRPr="008E64AE">
        <w:rPr>
          <w:lang w:val="en-US"/>
        </w:rPr>
        <w:t xml:space="preserve"> opposed interlocutory application for condonation</w:t>
      </w:r>
      <w:r w:rsidR="00777F7D" w:rsidRPr="008E64AE">
        <w:rPr>
          <w:lang w:val="en-US"/>
        </w:rPr>
        <w:t xml:space="preserve"> for the late filing of </w:t>
      </w:r>
      <w:r w:rsidR="0010697D" w:rsidRPr="008E64AE">
        <w:rPr>
          <w:lang w:val="en-US"/>
        </w:rPr>
        <w:t>i</w:t>
      </w:r>
      <w:r w:rsidR="00777F7D" w:rsidRPr="008E64AE">
        <w:rPr>
          <w:lang w:val="en-US"/>
        </w:rPr>
        <w:t>t</w:t>
      </w:r>
      <w:r w:rsidR="0010697D" w:rsidRPr="008E64AE">
        <w:rPr>
          <w:lang w:val="en-US"/>
        </w:rPr>
        <w:t>s</w:t>
      </w:r>
      <w:r w:rsidR="00777F7D" w:rsidRPr="008E64AE">
        <w:rPr>
          <w:lang w:val="en-US"/>
        </w:rPr>
        <w:t xml:space="preserve"> answering affidavit by the respondent in the main application.</w:t>
      </w:r>
      <w:r w:rsidR="00F268E1" w:rsidRPr="008E64AE">
        <w:rPr>
          <w:lang w:val="en-US"/>
        </w:rPr>
        <w:t xml:space="preserve"> </w:t>
      </w:r>
      <w:r w:rsidR="0010697D" w:rsidRPr="008E64AE">
        <w:rPr>
          <w:lang w:val="en-US"/>
        </w:rPr>
        <w:t>The current applicant is the respondent in the main application.</w:t>
      </w:r>
    </w:p>
    <w:p w14:paraId="3A2876AB" w14:textId="162D0EE4" w:rsidR="00E20690" w:rsidRDefault="005E443C" w:rsidP="005E443C">
      <w:pPr>
        <w:pStyle w:val="LegalNormal"/>
        <w:tabs>
          <w:tab w:val="left" w:pos="927"/>
        </w:tabs>
        <w:ind w:left="927" w:hanging="567"/>
        <w:rPr>
          <w:lang w:val="en-US"/>
        </w:rPr>
      </w:pPr>
      <w:r>
        <w:rPr>
          <w:sz w:val="28"/>
          <w:szCs w:val="28"/>
          <w:lang w:val="en-US"/>
        </w:rPr>
        <w:t>[2]</w:t>
      </w:r>
      <w:r>
        <w:rPr>
          <w:sz w:val="28"/>
          <w:szCs w:val="28"/>
          <w:lang w:val="en-US"/>
        </w:rPr>
        <w:tab/>
      </w:r>
      <w:r w:rsidR="00913B2F" w:rsidRPr="00913B2F">
        <w:rPr>
          <w:lang w:val="en-US"/>
        </w:rPr>
        <w:t>The respondent ra</w:t>
      </w:r>
      <w:r w:rsidR="0010697D">
        <w:rPr>
          <w:lang w:val="en-US"/>
        </w:rPr>
        <w:t>i</w:t>
      </w:r>
      <w:r w:rsidR="00913B2F" w:rsidRPr="00913B2F">
        <w:rPr>
          <w:lang w:val="en-US"/>
        </w:rPr>
        <w:t xml:space="preserve">sed a point </w:t>
      </w:r>
      <w:r w:rsidR="00913B2F" w:rsidRPr="002D66E9">
        <w:rPr>
          <w:i/>
          <w:iCs/>
          <w:lang w:val="en-US"/>
        </w:rPr>
        <w:t>in limine</w:t>
      </w:r>
      <w:r w:rsidR="003843EC" w:rsidRPr="003843EC">
        <w:rPr>
          <w:lang w:val="en-US"/>
        </w:rPr>
        <w:t xml:space="preserve"> regarding </w:t>
      </w:r>
      <w:r w:rsidR="003843EC">
        <w:rPr>
          <w:lang w:val="en-US"/>
        </w:rPr>
        <w:t xml:space="preserve">a </w:t>
      </w:r>
      <w:r w:rsidR="00E3603B">
        <w:rPr>
          <w:lang w:val="en-US"/>
        </w:rPr>
        <w:t>d</w:t>
      </w:r>
      <w:r w:rsidR="00E3603B" w:rsidRPr="003843EC">
        <w:rPr>
          <w:lang w:val="en-US"/>
        </w:rPr>
        <w:t>efective</w:t>
      </w:r>
      <w:r w:rsidR="003843EC" w:rsidRPr="003843EC">
        <w:rPr>
          <w:lang w:val="en-US"/>
        </w:rPr>
        <w:t xml:space="preserve"> power of attorney</w:t>
      </w:r>
      <w:r w:rsidR="00E3603B">
        <w:rPr>
          <w:lang w:val="en-US"/>
        </w:rPr>
        <w:t xml:space="preserve">. </w:t>
      </w:r>
      <w:r w:rsidR="000A29E1" w:rsidRPr="000A29E1">
        <w:rPr>
          <w:lang w:val="en-US"/>
        </w:rPr>
        <w:t>They submitted that the power of attorney was defective due to it being signed by 1 trustee instead of the three trustees.</w:t>
      </w:r>
    </w:p>
    <w:p w14:paraId="66E4AAEE" w14:textId="2CC4D506" w:rsidR="000A29E1" w:rsidRDefault="005E443C" w:rsidP="005E443C">
      <w:pPr>
        <w:pStyle w:val="LegalNormal"/>
        <w:tabs>
          <w:tab w:val="left" w:pos="927"/>
        </w:tabs>
        <w:ind w:left="927" w:hanging="567"/>
        <w:rPr>
          <w:lang w:val="en-US"/>
        </w:rPr>
      </w:pPr>
      <w:r>
        <w:rPr>
          <w:sz w:val="28"/>
          <w:szCs w:val="28"/>
          <w:lang w:val="en-US"/>
        </w:rPr>
        <w:t>[3</w:t>
      </w:r>
      <w:bookmarkStart w:id="0" w:name="_GoBack"/>
      <w:bookmarkEnd w:id="0"/>
      <w:r>
        <w:rPr>
          <w:sz w:val="28"/>
          <w:szCs w:val="28"/>
          <w:lang w:val="en-US"/>
        </w:rPr>
        <w:t>]</w:t>
      </w:r>
      <w:r>
        <w:rPr>
          <w:sz w:val="28"/>
          <w:szCs w:val="28"/>
          <w:lang w:val="en-US"/>
        </w:rPr>
        <w:tab/>
      </w:r>
      <w:r w:rsidR="000E486A" w:rsidRPr="000E486A">
        <w:rPr>
          <w:lang w:val="en-US"/>
        </w:rPr>
        <w:t xml:space="preserve">Advocate </w:t>
      </w:r>
      <w:r w:rsidR="00B406F9">
        <w:rPr>
          <w:lang w:val="en-US"/>
        </w:rPr>
        <w:t xml:space="preserve">Baloyi </w:t>
      </w:r>
      <w:r w:rsidR="000E486A" w:rsidRPr="000E486A">
        <w:rPr>
          <w:lang w:val="en-US"/>
        </w:rPr>
        <w:t>made submissions that the alleged defect in the power of attorney has since been rectified</w:t>
      </w:r>
      <w:r w:rsidR="00B406F9" w:rsidRPr="00B406F9">
        <w:rPr>
          <w:lang w:val="en-US"/>
        </w:rPr>
        <w:t xml:space="preserve"> by attaching </w:t>
      </w:r>
      <w:r w:rsidR="00B406F9">
        <w:rPr>
          <w:lang w:val="en-US"/>
        </w:rPr>
        <w:t xml:space="preserve">a </w:t>
      </w:r>
      <w:r w:rsidR="00B406F9" w:rsidRPr="00B406F9">
        <w:rPr>
          <w:lang w:val="en-US"/>
        </w:rPr>
        <w:t>resolution</w:t>
      </w:r>
      <w:r w:rsidR="00B406F9">
        <w:rPr>
          <w:lang w:val="en-US"/>
        </w:rPr>
        <w:t xml:space="preserve">. </w:t>
      </w:r>
      <w:r w:rsidR="0075345D">
        <w:rPr>
          <w:lang w:val="en-US"/>
        </w:rPr>
        <w:t>He</w:t>
      </w:r>
      <w:r w:rsidR="00B406F9" w:rsidRPr="00B406F9">
        <w:rPr>
          <w:lang w:val="en-US"/>
        </w:rPr>
        <w:t xml:space="preserve"> referred to the matter of </w:t>
      </w:r>
      <w:r w:rsidR="00BB5F80" w:rsidRPr="0075345D">
        <w:rPr>
          <w:i/>
          <w:iCs/>
          <w:lang w:val="en-US"/>
        </w:rPr>
        <w:t>Nampak</w:t>
      </w:r>
      <w:r w:rsidR="00B406F9" w:rsidRPr="0075345D">
        <w:rPr>
          <w:i/>
          <w:iCs/>
          <w:lang w:val="en-US"/>
        </w:rPr>
        <w:t xml:space="preserve"> </w:t>
      </w:r>
      <w:r w:rsidR="00BB5F80" w:rsidRPr="0075345D">
        <w:rPr>
          <w:i/>
          <w:iCs/>
          <w:lang w:val="en-US"/>
        </w:rPr>
        <w:t>P</w:t>
      </w:r>
      <w:r w:rsidR="00B406F9" w:rsidRPr="0075345D">
        <w:rPr>
          <w:i/>
          <w:iCs/>
          <w:lang w:val="en-US"/>
        </w:rPr>
        <w:t xml:space="preserve">roducts </w:t>
      </w:r>
      <w:r w:rsidR="00BB5F80" w:rsidRPr="0075345D">
        <w:rPr>
          <w:i/>
          <w:iCs/>
          <w:lang w:val="en-US"/>
        </w:rPr>
        <w:t>Ltd</w:t>
      </w:r>
      <w:r w:rsidR="00F562F8" w:rsidRPr="0075345D">
        <w:rPr>
          <w:i/>
          <w:iCs/>
          <w:lang w:val="en-US"/>
        </w:rPr>
        <w:t xml:space="preserve"> </w:t>
      </w:r>
      <w:r w:rsidR="00BB5F80" w:rsidRPr="0075345D">
        <w:rPr>
          <w:i/>
          <w:iCs/>
          <w:lang w:val="en-US"/>
        </w:rPr>
        <w:t>t</w:t>
      </w:r>
      <w:r w:rsidR="00F562F8" w:rsidRPr="0075345D">
        <w:rPr>
          <w:i/>
          <w:iCs/>
          <w:lang w:val="en-US"/>
        </w:rPr>
        <w:t xml:space="preserve">/ </w:t>
      </w:r>
      <w:r w:rsidR="00BB5F80" w:rsidRPr="0075345D">
        <w:rPr>
          <w:i/>
          <w:iCs/>
          <w:lang w:val="en-US"/>
        </w:rPr>
        <w:t xml:space="preserve">is </w:t>
      </w:r>
      <w:r w:rsidR="00F562F8" w:rsidRPr="0075345D">
        <w:rPr>
          <w:i/>
          <w:iCs/>
          <w:lang w:val="en-US"/>
        </w:rPr>
        <w:t>Nampak</w:t>
      </w:r>
      <w:r w:rsidR="00BB5F80" w:rsidRPr="0075345D">
        <w:rPr>
          <w:i/>
          <w:iCs/>
          <w:lang w:val="en-US"/>
        </w:rPr>
        <w:t xml:space="preserve"> </w:t>
      </w:r>
      <w:r w:rsidR="00F562F8" w:rsidRPr="0075345D">
        <w:rPr>
          <w:i/>
          <w:iCs/>
          <w:lang w:val="en-US"/>
        </w:rPr>
        <w:t>F</w:t>
      </w:r>
      <w:r w:rsidR="00BB5F80" w:rsidRPr="0075345D">
        <w:rPr>
          <w:i/>
          <w:iCs/>
          <w:lang w:val="en-US"/>
        </w:rPr>
        <w:t xml:space="preserve">lexible </w:t>
      </w:r>
      <w:r w:rsidR="00F562F8" w:rsidRPr="0075345D">
        <w:rPr>
          <w:i/>
          <w:iCs/>
          <w:lang w:val="en-US"/>
        </w:rPr>
        <w:t>P</w:t>
      </w:r>
      <w:r w:rsidR="00BB5F80" w:rsidRPr="0075345D">
        <w:rPr>
          <w:i/>
          <w:iCs/>
          <w:lang w:val="en-US"/>
        </w:rPr>
        <w:t xml:space="preserve">ackaging </w:t>
      </w:r>
      <w:r w:rsidR="00F562F8" w:rsidRPr="0075345D">
        <w:rPr>
          <w:i/>
          <w:iCs/>
          <w:lang w:val="en-US"/>
        </w:rPr>
        <w:t>v S</w:t>
      </w:r>
      <w:r w:rsidR="00BB5F80" w:rsidRPr="0075345D">
        <w:rPr>
          <w:i/>
          <w:iCs/>
          <w:lang w:val="en-US"/>
        </w:rPr>
        <w:t>weet</w:t>
      </w:r>
      <w:r w:rsidR="00BD16A5" w:rsidRPr="0075345D">
        <w:rPr>
          <w:i/>
          <w:iCs/>
          <w:lang w:val="en-US"/>
        </w:rPr>
        <w:t>C</w:t>
      </w:r>
      <w:r w:rsidR="00D43164" w:rsidRPr="0075345D">
        <w:rPr>
          <w:i/>
          <w:iCs/>
          <w:lang w:val="en-US"/>
        </w:rPr>
        <w:t xml:space="preserve">or </w:t>
      </w:r>
      <w:r w:rsidR="002D66E9" w:rsidRPr="0075345D">
        <w:rPr>
          <w:i/>
          <w:iCs/>
          <w:lang w:val="en-US"/>
        </w:rPr>
        <w:t>(</w:t>
      </w:r>
      <w:r w:rsidR="00BB5F80" w:rsidRPr="0075345D">
        <w:rPr>
          <w:i/>
          <w:iCs/>
          <w:lang w:val="en-US"/>
        </w:rPr>
        <w:t>Pty</w:t>
      </w:r>
      <w:r w:rsidR="002D66E9" w:rsidRPr="0075345D">
        <w:rPr>
          <w:i/>
          <w:iCs/>
          <w:lang w:val="en-US"/>
        </w:rPr>
        <w:t>)</w:t>
      </w:r>
      <w:r w:rsidR="00BB5F80" w:rsidRPr="0075345D">
        <w:rPr>
          <w:i/>
          <w:iCs/>
          <w:lang w:val="en-US"/>
        </w:rPr>
        <w:t xml:space="preserve"> Ltd</w:t>
      </w:r>
      <w:r w:rsidR="002D66E9" w:rsidRPr="0075345D">
        <w:rPr>
          <w:rStyle w:val="FootnoteReference"/>
          <w:i/>
          <w:iCs/>
          <w:lang w:val="en-US"/>
        </w:rPr>
        <w:footnoteReference w:id="1"/>
      </w:r>
      <w:r w:rsidR="0075345D">
        <w:rPr>
          <w:i/>
          <w:iCs/>
          <w:lang w:val="en-US"/>
        </w:rPr>
        <w:t xml:space="preserve"> </w:t>
      </w:r>
      <w:r w:rsidR="0075345D">
        <w:rPr>
          <w:lang w:val="en-US"/>
        </w:rPr>
        <w:t xml:space="preserve">as authority </w:t>
      </w:r>
      <w:r w:rsidR="00D648FA">
        <w:rPr>
          <w:lang w:val="en-US"/>
        </w:rPr>
        <w:t>for</w:t>
      </w:r>
      <w:r w:rsidR="00E255E1">
        <w:rPr>
          <w:lang w:val="en-US"/>
        </w:rPr>
        <w:t xml:space="preserve"> application of the common law rules </w:t>
      </w:r>
      <w:r w:rsidR="00D132F7">
        <w:rPr>
          <w:lang w:val="en-US"/>
        </w:rPr>
        <w:t>of ratification</w:t>
      </w:r>
      <w:r w:rsidR="00D648FA">
        <w:rPr>
          <w:lang w:val="en-US"/>
        </w:rPr>
        <w:t xml:space="preserve"> </w:t>
      </w:r>
      <w:r w:rsidR="00D132F7">
        <w:rPr>
          <w:lang w:val="en-US"/>
        </w:rPr>
        <w:t xml:space="preserve">to </w:t>
      </w:r>
      <w:r w:rsidR="00D648FA">
        <w:rPr>
          <w:lang w:val="en-US"/>
        </w:rPr>
        <w:t>rectif</w:t>
      </w:r>
      <w:r w:rsidR="004F1C36">
        <w:rPr>
          <w:lang w:val="en-US"/>
        </w:rPr>
        <w:t xml:space="preserve">y </w:t>
      </w:r>
      <w:r w:rsidR="00D648FA">
        <w:rPr>
          <w:lang w:val="en-US"/>
        </w:rPr>
        <w:t>a</w:t>
      </w:r>
      <w:r w:rsidR="004F1C36">
        <w:rPr>
          <w:lang w:val="en-US"/>
        </w:rPr>
        <w:t>ny</w:t>
      </w:r>
      <w:r w:rsidR="00D648FA">
        <w:rPr>
          <w:lang w:val="en-US"/>
        </w:rPr>
        <w:t xml:space="preserve"> defect</w:t>
      </w:r>
      <w:r w:rsidR="00D4641E">
        <w:rPr>
          <w:lang w:val="en-US"/>
        </w:rPr>
        <w:t>s in the Rule 7</w:t>
      </w:r>
      <w:r w:rsidR="009D762A">
        <w:rPr>
          <w:lang w:val="en-US"/>
        </w:rPr>
        <w:t>, concerning the</w:t>
      </w:r>
      <w:r w:rsidR="00D4641E">
        <w:rPr>
          <w:lang w:val="en-US"/>
        </w:rPr>
        <w:t xml:space="preserve"> </w:t>
      </w:r>
      <w:r w:rsidR="00D648FA">
        <w:rPr>
          <w:lang w:val="en-US"/>
        </w:rPr>
        <w:t>power of</w:t>
      </w:r>
      <w:r w:rsidR="00D132F7">
        <w:rPr>
          <w:lang w:val="en-US"/>
        </w:rPr>
        <w:t xml:space="preserve"> </w:t>
      </w:r>
      <w:r w:rsidR="00D648FA">
        <w:rPr>
          <w:lang w:val="en-US"/>
        </w:rPr>
        <w:t>attorney</w:t>
      </w:r>
      <w:r w:rsidR="00D4641E">
        <w:rPr>
          <w:lang w:val="en-US"/>
        </w:rPr>
        <w:t>.</w:t>
      </w:r>
      <w:r w:rsidR="00E255E1">
        <w:rPr>
          <w:lang w:val="en-US"/>
        </w:rPr>
        <w:t xml:space="preserve"> </w:t>
      </w:r>
    </w:p>
    <w:p w14:paraId="596F47F3" w14:textId="77777777" w:rsidR="00CD3BBA" w:rsidRDefault="00CD3BBA" w:rsidP="00CD3BBA">
      <w:pPr>
        <w:pStyle w:val="LegalNormal"/>
        <w:ind w:left="927"/>
        <w:rPr>
          <w:lang w:val="en-US"/>
        </w:rPr>
      </w:pPr>
    </w:p>
    <w:p w14:paraId="57EF33D9" w14:textId="056FCAD4" w:rsidR="00FA535D" w:rsidRPr="00CD3BBA" w:rsidRDefault="005E443C" w:rsidP="005E443C">
      <w:pPr>
        <w:pStyle w:val="LegalNormal"/>
        <w:ind w:left="720" w:hanging="360"/>
        <w:rPr>
          <w:b/>
          <w:bCs/>
          <w:lang w:val="en-US"/>
        </w:rPr>
      </w:pPr>
      <w:r w:rsidRPr="00CD3BBA">
        <w:rPr>
          <w:b/>
          <w:bCs/>
          <w:lang w:val="en-US"/>
        </w:rPr>
        <w:t>B.</w:t>
      </w:r>
      <w:r w:rsidRPr="00CD3BBA">
        <w:rPr>
          <w:b/>
          <w:bCs/>
          <w:lang w:val="en-US"/>
        </w:rPr>
        <w:tab/>
      </w:r>
      <w:r w:rsidR="00CD3BBA" w:rsidRPr="00CD3BBA">
        <w:rPr>
          <w:b/>
          <w:bCs/>
          <w:lang w:val="en-US"/>
        </w:rPr>
        <w:t>THE LAW ON CONDONATION</w:t>
      </w:r>
    </w:p>
    <w:p w14:paraId="2600D640" w14:textId="2E1C0EC8" w:rsidR="00CD3BBA" w:rsidRPr="007D6487" w:rsidRDefault="005E443C" w:rsidP="005E443C">
      <w:pPr>
        <w:pStyle w:val="LegalNormal"/>
        <w:tabs>
          <w:tab w:val="left" w:pos="927"/>
        </w:tabs>
        <w:ind w:left="927" w:hanging="567"/>
        <w:rPr>
          <w:lang w:val="en-US"/>
        </w:rPr>
      </w:pPr>
      <w:r w:rsidRPr="007D6487">
        <w:rPr>
          <w:sz w:val="28"/>
          <w:szCs w:val="28"/>
          <w:lang w:val="en-US"/>
        </w:rPr>
        <w:t>[4]</w:t>
      </w:r>
      <w:r w:rsidRPr="007D6487">
        <w:rPr>
          <w:sz w:val="28"/>
          <w:szCs w:val="28"/>
          <w:lang w:val="en-US"/>
        </w:rPr>
        <w:tab/>
      </w:r>
      <w:r w:rsidR="005113CC" w:rsidRPr="005113CC">
        <w:t xml:space="preserve">It is generally accepted that condonation is not to be had merely for the asking. The party asking for condonation must provide a full, </w:t>
      </w:r>
      <w:r w:rsidR="00883524" w:rsidRPr="005113CC">
        <w:t>detailed,</w:t>
      </w:r>
      <w:r w:rsidR="005113CC" w:rsidRPr="005113CC">
        <w:t xml:space="preserve"> and accurate account of the reasons for the delay to enable the court to understand and assess such delay. If the non-compliance is time-related, the date, duration and </w:t>
      </w:r>
      <w:r w:rsidR="005113CC" w:rsidRPr="005113CC">
        <w:lastRenderedPageBreak/>
        <w:t>extent of the problem that occasioned such delay, should be set out. It is trite that where non-compliance of the rules has been flagrant and gross, a court should be reluctant to grant condonation whatever the prospects of success might be.</w:t>
      </w:r>
      <w:r w:rsidR="00C41483">
        <w:rPr>
          <w:rStyle w:val="FootnoteReference"/>
        </w:rPr>
        <w:footnoteReference w:id="2"/>
      </w:r>
      <w:r w:rsidR="005113CC" w:rsidRPr="005113CC">
        <w:t xml:space="preserve"> </w:t>
      </w:r>
    </w:p>
    <w:p w14:paraId="7A41F57B" w14:textId="1D0D9BBB" w:rsidR="008E29E4" w:rsidRDefault="005E443C" w:rsidP="005E443C">
      <w:pPr>
        <w:pStyle w:val="LegalNormal"/>
        <w:tabs>
          <w:tab w:val="left" w:pos="927"/>
        </w:tabs>
        <w:ind w:left="927" w:hanging="567"/>
        <w:rPr>
          <w:lang w:val="en-US"/>
        </w:rPr>
      </w:pPr>
      <w:r>
        <w:rPr>
          <w:sz w:val="28"/>
          <w:szCs w:val="28"/>
          <w:lang w:val="en-US"/>
        </w:rPr>
        <w:t>[5]</w:t>
      </w:r>
      <w:r>
        <w:rPr>
          <w:sz w:val="28"/>
          <w:szCs w:val="28"/>
          <w:lang w:val="en-US"/>
        </w:rPr>
        <w:tab/>
      </w:r>
      <w:r w:rsidR="008B0F89" w:rsidRPr="009A339E">
        <w:rPr>
          <w:lang w:val="en-US"/>
        </w:rPr>
        <w:t xml:space="preserve">In </w:t>
      </w:r>
      <w:r w:rsidR="008B0F89" w:rsidRPr="00495467">
        <w:rPr>
          <w:i/>
          <w:iCs/>
          <w:lang w:val="en-US"/>
        </w:rPr>
        <w:t>Uitenhage Transitional Local Council v South African Revenue Service</w:t>
      </w:r>
      <w:r w:rsidR="008B0F89">
        <w:rPr>
          <w:rStyle w:val="FootnoteReference"/>
          <w:lang w:val="en-US"/>
        </w:rPr>
        <w:footnoteReference w:id="3"/>
      </w:r>
      <w:r w:rsidR="008E29E4">
        <w:rPr>
          <w:lang w:val="en-US"/>
        </w:rPr>
        <w:t xml:space="preserve"> Heher JA stated:</w:t>
      </w:r>
    </w:p>
    <w:p w14:paraId="2E8C86E6" w14:textId="0361099D" w:rsidR="001D3437" w:rsidRPr="001D3437" w:rsidRDefault="001D3437" w:rsidP="001D3437">
      <w:pPr>
        <w:pStyle w:val="LegalNormal"/>
        <w:ind w:left="1440"/>
        <w:rPr>
          <w:i/>
          <w:lang w:val="en-US"/>
        </w:rPr>
      </w:pPr>
      <w:r w:rsidRPr="008E29E4">
        <w:rPr>
          <w:i/>
          <w:lang w:val="en-US"/>
        </w:rPr>
        <w:t>“Condonation is not to be had merely for the asking; a full, detailed and accurate account of the causes of the delay and their effects must be furnished so as to enable the Court to understand clearly the reasons and to assess the responsibility. It must be obvious that, if the non-compliance is time-related then the date, duration and extent of any obstacle on which reliance is placed must be spelled out.”</w:t>
      </w:r>
    </w:p>
    <w:p w14:paraId="61EB2349" w14:textId="39661A59" w:rsidR="008E29E4" w:rsidRPr="008E29E4" w:rsidRDefault="005E443C" w:rsidP="005E443C">
      <w:pPr>
        <w:pStyle w:val="LegalNormal"/>
        <w:tabs>
          <w:tab w:val="left" w:pos="927"/>
        </w:tabs>
        <w:ind w:left="927" w:hanging="567"/>
        <w:rPr>
          <w:lang w:val="en-US"/>
        </w:rPr>
      </w:pPr>
      <w:r w:rsidRPr="008E29E4">
        <w:rPr>
          <w:sz w:val="28"/>
          <w:szCs w:val="28"/>
          <w:lang w:val="en-US"/>
        </w:rPr>
        <w:t>[6]</w:t>
      </w:r>
      <w:r w:rsidRPr="008E29E4">
        <w:rPr>
          <w:sz w:val="28"/>
          <w:szCs w:val="28"/>
          <w:lang w:val="en-US"/>
        </w:rPr>
        <w:tab/>
      </w:r>
      <w:r w:rsidR="001D3437">
        <w:t>In</w:t>
      </w:r>
      <w:r w:rsidR="008E29E4">
        <w:t xml:space="preserve"> </w:t>
      </w:r>
      <w:r w:rsidR="008E29E4" w:rsidRPr="008E29E4">
        <w:rPr>
          <w:i/>
        </w:rPr>
        <w:t>Grootboom v National Prosecuting Authority</w:t>
      </w:r>
      <w:r w:rsidR="008E29E4">
        <w:rPr>
          <w:rStyle w:val="FootnoteReference"/>
          <w:i/>
        </w:rPr>
        <w:footnoteReference w:id="4"/>
      </w:r>
      <w:r w:rsidR="001D3437">
        <w:rPr>
          <w:i/>
        </w:rPr>
        <w:t xml:space="preserve"> </w:t>
      </w:r>
      <w:r w:rsidR="001D3437" w:rsidRPr="001D3437">
        <w:t>Bosielo AJ</w:t>
      </w:r>
      <w:r w:rsidR="00BD7D7B">
        <w:t xml:space="preserve"> </w:t>
      </w:r>
      <w:r w:rsidR="00BD7D7B" w:rsidRPr="00BD7D7B">
        <w:t>as he then was</w:t>
      </w:r>
      <w:r w:rsidR="00BD7D7B">
        <w:t>,</w:t>
      </w:r>
      <w:r w:rsidR="008E29E4">
        <w:rPr>
          <w:i/>
        </w:rPr>
        <w:t xml:space="preserve"> </w:t>
      </w:r>
      <w:r w:rsidR="008E29E4">
        <w:t xml:space="preserve">said the following: </w:t>
      </w:r>
    </w:p>
    <w:p w14:paraId="65C4515F" w14:textId="645E9DCF" w:rsidR="001D3437" w:rsidRDefault="008E29E4" w:rsidP="00FB6182">
      <w:pPr>
        <w:pStyle w:val="LegalNormal"/>
        <w:ind w:left="1440"/>
        <w:rPr>
          <w:lang w:val="en-US"/>
        </w:rPr>
      </w:pPr>
      <w:r>
        <w:t>“</w:t>
      </w:r>
      <w:r w:rsidRPr="008E29E4">
        <w:rPr>
          <w:i/>
        </w:rPr>
        <w:t xml:space="preserve">I have read the judgment by my colleague Zondo J. I agree with him that, based on Brummerand and Van Wyk, the standard for considering an application for condonation is the interests of justice. However, the concept </w:t>
      </w:r>
      <w:r w:rsidRPr="008E29E4">
        <w:rPr>
          <w:i/>
        </w:rPr>
        <w:lastRenderedPageBreak/>
        <w:t>“interests of justice” is so elastic that it is not capable of precise definition. As the two cases demonstrate, it includes: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 It is crucial to reiterate that both Brummer and Van Wyk emphasise that the ultimate determination of what is in the interests of justice must reflect due regard to all the relevant factors but it is not necessarily limited to those mentioned above. The particular circumstances of each case will determine which of these factors are relevant.”</w:t>
      </w:r>
    </w:p>
    <w:p w14:paraId="1B08723D" w14:textId="75F7AAF3" w:rsidR="007D6487" w:rsidRPr="00393CB2" w:rsidRDefault="005E443C" w:rsidP="005E443C">
      <w:pPr>
        <w:pStyle w:val="LegalNormal"/>
        <w:ind w:left="927" w:hanging="360"/>
        <w:rPr>
          <w:lang w:val="en-US"/>
        </w:rPr>
      </w:pPr>
      <w:r w:rsidRPr="00393CB2">
        <w:rPr>
          <w:b/>
          <w:lang w:val="en-US"/>
        </w:rPr>
        <w:t>C.</w:t>
      </w:r>
      <w:r w:rsidRPr="00393CB2">
        <w:rPr>
          <w:b/>
          <w:lang w:val="en-US"/>
        </w:rPr>
        <w:tab/>
      </w:r>
      <w:r w:rsidR="00393CB2" w:rsidRPr="00393CB2">
        <w:rPr>
          <w:b/>
          <w:bCs/>
          <w:lang w:val="en-US"/>
        </w:rPr>
        <w:t xml:space="preserve"> CASE FOR THE APPLICANT</w:t>
      </w:r>
    </w:p>
    <w:p w14:paraId="6E79C7B0" w14:textId="785F696D" w:rsidR="00DA00EF" w:rsidRPr="0046770C" w:rsidRDefault="0046770C" w:rsidP="009A339E">
      <w:pPr>
        <w:pStyle w:val="LegalNormal"/>
        <w:ind w:left="927"/>
        <w:rPr>
          <w:b/>
          <w:bCs/>
          <w:lang w:val="en-US"/>
        </w:rPr>
      </w:pPr>
      <w:r w:rsidRPr="0046770C">
        <w:rPr>
          <w:b/>
          <w:bCs/>
          <w:lang w:val="en-US"/>
        </w:rPr>
        <w:t>The extent of the delay</w:t>
      </w:r>
    </w:p>
    <w:p w14:paraId="385B5A2B" w14:textId="25F2FD99" w:rsidR="006555E3" w:rsidRPr="00765DF1" w:rsidRDefault="005E443C" w:rsidP="005E443C">
      <w:pPr>
        <w:pStyle w:val="LegalNormal"/>
        <w:tabs>
          <w:tab w:val="left" w:pos="927"/>
        </w:tabs>
        <w:ind w:left="927" w:hanging="567"/>
        <w:rPr>
          <w:lang w:val="en-US"/>
        </w:rPr>
      </w:pPr>
      <w:r w:rsidRPr="00765DF1">
        <w:rPr>
          <w:sz w:val="28"/>
          <w:szCs w:val="28"/>
          <w:lang w:val="en-US"/>
        </w:rPr>
        <w:t>[7]</w:t>
      </w:r>
      <w:r w:rsidRPr="00765DF1">
        <w:rPr>
          <w:sz w:val="28"/>
          <w:szCs w:val="28"/>
          <w:lang w:val="en-US"/>
        </w:rPr>
        <w:tab/>
      </w:r>
      <w:r w:rsidR="00E641C3" w:rsidRPr="00765DF1">
        <w:rPr>
          <w:lang w:val="en-US"/>
        </w:rPr>
        <w:t xml:space="preserve">In </w:t>
      </w:r>
      <w:r w:rsidR="00E641C3" w:rsidRPr="00765DF1">
        <w:rPr>
          <w:i/>
          <w:iCs/>
          <w:lang w:val="en-US"/>
        </w:rPr>
        <w:t>casu</w:t>
      </w:r>
      <w:r w:rsidR="00E641C3" w:rsidRPr="00765DF1">
        <w:rPr>
          <w:lang w:val="en-US"/>
        </w:rPr>
        <w:t xml:space="preserve"> t</w:t>
      </w:r>
      <w:r w:rsidR="00777F7D" w:rsidRPr="00765DF1">
        <w:rPr>
          <w:lang w:val="en-US"/>
        </w:rPr>
        <w:t>he answeri</w:t>
      </w:r>
      <w:r w:rsidR="007920F1" w:rsidRPr="00765DF1">
        <w:rPr>
          <w:lang w:val="en-US"/>
        </w:rPr>
        <w:t>n</w:t>
      </w:r>
      <w:r w:rsidR="00E641C3" w:rsidRPr="00765DF1">
        <w:rPr>
          <w:lang w:val="en-US"/>
        </w:rPr>
        <w:t>g</w:t>
      </w:r>
      <w:r w:rsidR="00777F7D" w:rsidRPr="00765DF1">
        <w:rPr>
          <w:lang w:val="en-US"/>
        </w:rPr>
        <w:t xml:space="preserve"> affidavit was filed </w:t>
      </w:r>
      <w:r w:rsidR="00E56A63" w:rsidRPr="00765DF1">
        <w:rPr>
          <w:lang w:val="en-US"/>
        </w:rPr>
        <w:t xml:space="preserve">more than </w:t>
      </w:r>
      <w:r w:rsidR="00570128" w:rsidRPr="00765DF1">
        <w:rPr>
          <w:lang w:val="en-US"/>
        </w:rPr>
        <w:t>a year</w:t>
      </w:r>
      <w:r w:rsidR="00172573" w:rsidRPr="00765DF1">
        <w:rPr>
          <w:lang w:val="en-US"/>
        </w:rPr>
        <w:t xml:space="preserve"> out of time. Mr.</w:t>
      </w:r>
      <w:r w:rsidR="00B763A3" w:rsidRPr="00765DF1">
        <w:rPr>
          <w:lang w:val="en-US"/>
        </w:rPr>
        <w:t xml:space="preserve"> Benjamin</w:t>
      </w:r>
      <w:r w:rsidR="00172573" w:rsidRPr="00765DF1">
        <w:rPr>
          <w:lang w:val="en-US"/>
        </w:rPr>
        <w:t xml:space="preserve"> </w:t>
      </w:r>
      <w:r w:rsidR="00B763A3" w:rsidRPr="00765DF1">
        <w:rPr>
          <w:lang w:val="en-US"/>
        </w:rPr>
        <w:t>Moreko,</w:t>
      </w:r>
      <w:r w:rsidR="00172573" w:rsidRPr="00765DF1">
        <w:rPr>
          <w:lang w:val="en-US"/>
        </w:rPr>
        <w:t xml:space="preserve"> the attorney for the applicant filed an affidavit in support of the condonation</w:t>
      </w:r>
      <w:r w:rsidR="0049104B" w:rsidRPr="00765DF1">
        <w:rPr>
          <w:lang w:val="en-US"/>
        </w:rPr>
        <w:t xml:space="preserve"> application.</w:t>
      </w:r>
    </w:p>
    <w:p w14:paraId="1CF8A8A6" w14:textId="70BEBA4F" w:rsidR="005E3672" w:rsidRPr="006555E3" w:rsidRDefault="004D064E" w:rsidP="004D064E">
      <w:pPr>
        <w:pStyle w:val="LegalNormal"/>
        <w:ind w:left="927"/>
        <w:rPr>
          <w:b/>
          <w:bCs/>
          <w:lang w:val="en-US"/>
        </w:rPr>
      </w:pPr>
      <w:r w:rsidRPr="006555E3">
        <w:rPr>
          <w:b/>
          <w:bCs/>
          <w:lang w:val="en-US"/>
        </w:rPr>
        <w:t>Reason for the delay</w:t>
      </w:r>
    </w:p>
    <w:p w14:paraId="32DE7851" w14:textId="60869445" w:rsidR="00F36EFD" w:rsidRDefault="005E443C" w:rsidP="005E443C">
      <w:pPr>
        <w:pStyle w:val="LegalNormal"/>
        <w:tabs>
          <w:tab w:val="left" w:pos="927"/>
        </w:tabs>
        <w:ind w:left="927" w:hanging="567"/>
        <w:rPr>
          <w:lang w:val="en-US"/>
        </w:rPr>
      </w:pPr>
      <w:r>
        <w:rPr>
          <w:sz w:val="28"/>
          <w:szCs w:val="28"/>
          <w:lang w:val="en-US"/>
        </w:rPr>
        <w:t>[8]</w:t>
      </w:r>
      <w:r>
        <w:rPr>
          <w:sz w:val="28"/>
          <w:szCs w:val="28"/>
          <w:lang w:val="en-US"/>
        </w:rPr>
        <w:tab/>
      </w:r>
      <w:r w:rsidR="0032486C" w:rsidRPr="00340B9B">
        <w:rPr>
          <w:lang w:val="en-US"/>
        </w:rPr>
        <w:t xml:space="preserve">Mr. Moreko </w:t>
      </w:r>
      <w:r w:rsidR="00ED406C" w:rsidRPr="00340B9B">
        <w:rPr>
          <w:lang w:val="en-US"/>
        </w:rPr>
        <w:t xml:space="preserve">states that the matter was assigned to </w:t>
      </w:r>
      <w:r w:rsidR="00D7244B" w:rsidRPr="00340B9B">
        <w:rPr>
          <w:lang w:val="en-US"/>
        </w:rPr>
        <w:t>M</w:t>
      </w:r>
      <w:r w:rsidR="00ED406C" w:rsidRPr="00340B9B">
        <w:rPr>
          <w:lang w:val="en-US"/>
        </w:rPr>
        <w:t>s</w:t>
      </w:r>
      <w:r w:rsidR="00D7244B" w:rsidRPr="00340B9B">
        <w:rPr>
          <w:lang w:val="en-US"/>
        </w:rPr>
        <w:t xml:space="preserve"> Alice O</w:t>
      </w:r>
      <w:r w:rsidR="00ED406C" w:rsidRPr="00340B9B">
        <w:rPr>
          <w:lang w:val="en-US"/>
        </w:rPr>
        <w:t>liphant, a candidate attorney</w:t>
      </w:r>
      <w:r w:rsidR="00470C60" w:rsidRPr="00340B9B">
        <w:rPr>
          <w:lang w:val="en-US"/>
        </w:rPr>
        <w:t xml:space="preserve"> at Raphela Attorneys Inc</w:t>
      </w:r>
      <w:r w:rsidR="00852188" w:rsidRPr="00340B9B">
        <w:rPr>
          <w:lang w:val="en-US"/>
        </w:rPr>
        <w:t xml:space="preserve">. </w:t>
      </w:r>
      <w:r w:rsidR="000860AD" w:rsidRPr="00340B9B">
        <w:rPr>
          <w:lang w:val="en-US"/>
        </w:rPr>
        <w:t xml:space="preserve">Ms Oliphant left the employment </w:t>
      </w:r>
      <w:r w:rsidR="00D7244B" w:rsidRPr="00340B9B">
        <w:rPr>
          <w:lang w:val="en-US"/>
        </w:rPr>
        <w:t xml:space="preserve">of Raphela Attorneys at the end </w:t>
      </w:r>
      <w:r w:rsidR="007E2D46" w:rsidRPr="00340B9B">
        <w:rPr>
          <w:lang w:val="en-US"/>
        </w:rPr>
        <w:t>of June 2022.</w:t>
      </w:r>
    </w:p>
    <w:p w14:paraId="2FE416AC" w14:textId="54AF34BA" w:rsidR="00852188" w:rsidRPr="00340B9B" w:rsidRDefault="005E443C" w:rsidP="005E443C">
      <w:pPr>
        <w:pStyle w:val="LegalNormal"/>
        <w:tabs>
          <w:tab w:val="left" w:pos="927"/>
        </w:tabs>
        <w:ind w:left="927" w:hanging="567"/>
        <w:rPr>
          <w:lang w:val="en-US"/>
        </w:rPr>
      </w:pPr>
      <w:r w:rsidRPr="00340B9B">
        <w:rPr>
          <w:sz w:val="28"/>
          <w:szCs w:val="28"/>
          <w:lang w:val="en-US"/>
        </w:rPr>
        <w:lastRenderedPageBreak/>
        <w:t>[9]</w:t>
      </w:r>
      <w:r w:rsidRPr="00340B9B">
        <w:rPr>
          <w:sz w:val="28"/>
          <w:szCs w:val="28"/>
          <w:lang w:val="en-US"/>
        </w:rPr>
        <w:tab/>
      </w:r>
      <w:r w:rsidR="00852188" w:rsidRPr="00340B9B">
        <w:rPr>
          <w:lang w:val="en-US"/>
        </w:rPr>
        <w:t>During August 2022</w:t>
      </w:r>
      <w:r w:rsidR="002004EC" w:rsidRPr="00340B9B">
        <w:rPr>
          <w:lang w:val="en-US"/>
        </w:rPr>
        <w:t xml:space="preserve"> the applicant in the main application filed and notice of set down on the unopposed roll</w:t>
      </w:r>
      <w:r w:rsidR="005B7680">
        <w:rPr>
          <w:lang w:val="en-US"/>
        </w:rPr>
        <w:t xml:space="preserve"> and emailed same to Raphela Attorneys Inc.</w:t>
      </w:r>
    </w:p>
    <w:p w14:paraId="6A1B0395" w14:textId="0238B61D" w:rsidR="002004EC" w:rsidRDefault="005E443C" w:rsidP="005E443C">
      <w:pPr>
        <w:pStyle w:val="LegalNormal"/>
        <w:tabs>
          <w:tab w:val="left" w:pos="927"/>
        </w:tabs>
        <w:ind w:left="927" w:hanging="567"/>
        <w:rPr>
          <w:lang w:val="en-US"/>
        </w:rPr>
      </w:pPr>
      <w:r>
        <w:rPr>
          <w:sz w:val="28"/>
          <w:szCs w:val="28"/>
          <w:lang w:val="en-US"/>
        </w:rPr>
        <w:t>[10]</w:t>
      </w:r>
      <w:r>
        <w:rPr>
          <w:sz w:val="28"/>
          <w:szCs w:val="28"/>
          <w:lang w:val="en-US"/>
        </w:rPr>
        <w:tab/>
      </w:r>
      <w:r w:rsidR="00F30223" w:rsidRPr="00F30223">
        <w:rPr>
          <w:lang w:val="en-US"/>
        </w:rPr>
        <w:t>The current applicant noticed that the matter had become dormant and assigned</w:t>
      </w:r>
      <w:r w:rsidR="00F36EFD">
        <w:rPr>
          <w:lang w:val="en-US"/>
        </w:rPr>
        <w:t xml:space="preserve"> the deponent as</w:t>
      </w:r>
      <w:r w:rsidR="00F30223" w:rsidRPr="00F30223">
        <w:rPr>
          <w:lang w:val="en-US"/>
        </w:rPr>
        <w:t xml:space="preserve"> </w:t>
      </w:r>
      <w:r w:rsidR="00E25342">
        <w:rPr>
          <w:lang w:val="en-US"/>
        </w:rPr>
        <w:t>the</w:t>
      </w:r>
      <w:r w:rsidR="00F30223" w:rsidRPr="00F30223">
        <w:rPr>
          <w:lang w:val="en-US"/>
        </w:rPr>
        <w:t xml:space="preserve"> new attorney to attend to it. </w:t>
      </w:r>
      <w:r w:rsidR="00F30223">
        <w:rPr>
          <w:lang w:val="en-US"/>
        </w:rPr>
        <w:t>It</w:t>
      </w:r>
      <w:r w:rsidR="00F30223" w:rsidRPr="00F30223">
        <w:rPr>
          <w:lang w:val="en-US"/>
        </w:rPr>
        <w:t xml:space="preserve"> transpired that </w:t>
      </w:r>
      <w:r w:rsidR="00F30223">
        <w:rPr>
          <w:lang w:val="en-US"/>
        </w:rPr>
        <w:t>M</w:t>
      </w:r>
      <w:r w:rsidR="00F30223" w:rsidRPr="00F30223">
        <w:rPr>
          <w:lang w:val="en-US"/>
        </w:rPr>
        <w:t>s</w:t>
      </w:r>
      <w:r w:rsidR="00F30223">
        <w:rPr>
          <w:lang w:val="en-US"/>
        </w:rPr>
        <w:t>.</w:t>
      </w:r>
      <w:r w:rsidR="00F30223" w:rsidRPr="00F30223">
        <w:rPr>
          <w:lang w:val="en-US"/>
        </w:rPr>
        <w:t xml:space="preserve"> </w:t>
      </w:r>
      <w:r w:rsidR="00F30223">
        <w:rPr>
          <w:lang w:val="en-US"/>
        </w:rPr>
        <w:t>O</w:t>
      </w:r>
      <w:r w:rsidR="00F30223" w:rsidRPr="00F30223">
        <w:rPr>
          <w:lang w:val="en-US"/>
        </w:rPr>
        <w:t xml:space="preserve">liphant had left the office of </w:t>
      </w:r>
      <w:r w:rsidR="002F283C">
        <w:rPr>
          <w:lang w:val="en-US"/>
        </w:rPr>
        <w:t>R</w:t>
      </w:r>
      <w:r w:rsidR="002F283C" w:rsidRPr="00F30223">
        <w:rPr>
          <w:lang w:val="en-US"/>
        </w:rPr>
        <w:t>ap</w:t>
      </w:r>
      <w:r w:rsidR="002F283C">
        <w:rPr>
          <w:lang w:val="en-US"/>
        </w:rPr>
        <w:t>he</w:t>
      </w:r>
      <w:r w:rsidR="002F283C" w:rsidRPr="00F30223">
        <w:rPr>
          <w:lang w:val="en-US"/>
        </w:rPr>
        <w:t>l</w:t>
      </w:r>
      <w:r w:rsidR="002F283C">
        <w:rPr>
          <w:lang w:val="en-US"/>
        </w:rPr>
        <w:t>a</w:t>
      </w:r>
      <w:r w:rsidR="00F30223" w:rsidRPr="00F30223">
        <w:rPr>
          <w:lang w:val="en-US"/>
        </w:rPr>
        <w:t xml:space="preserve"> attorneys</w:t>
      </w:r>
      <w:r w:rsidR="00BD5D61">
        <w:rPr>
          <w:lang w:val="en-US"/>
        </w:rPr>
        <w:t xml:space="preserve"> abruptly</w:t>
      </w:r>
      <w:r w:rsidR="00F30223" w:rsidRPr="00F30223">
        <w:rPr>
          <w:lang w:val="en-US"/>
        </w:rPr>
        <w:t xml:space="preserve"> without a proper handover.</w:t>
      </w:r>
      <w:r w:rsidR="00E14C43">
        <w:rPr>
          <w:lang w:val="en-US"/>
        </w:rPr>
        <w:t xml:space="preserve"> </w:t>
      </w:r>
      <w:r w:rsidR="00EC6C5A">
        <w:rPr>
          <w:lang w:val="en-US"/>
        </w:rPr>
        <w:t xml:space="preserve">From a perusal of the </w:t>
      </w:r>
      <w:r w:rsidR="00A64F62">
        <w:rPr>
          <w:lang w:val="en-US"/>
        </w:rPr>
        <w:t>file,</w:t>
      </w:r>
      <w:r w:rsidR="00EC6C5A">
        <w:rPr>
          <w:lang w:val="en-US"/>
        </w:rPr>
        <w:t xml:space="preserve"> it became clear that </w:t>
      </w:r>
      <w:r w:rsidR="00193F3F">
        <w:rPr>
          <w:lang w:val="en-US"/>
        </w:rPr>
        <w:t xml:space="preserve">nothing was done after filing the notice to oppose on the 5 August </w:t>
      </w:r>
      <w:r w:rsidR="00BD5D61">
        <w:rPr>
          <w:lang w:val="en-US"/>
        </w:rPr>
        <w:t>2021. Ms Oliphant</w:t>
      </w:r>
      <w:r w:rsidR="00E14C43">
        <w:rPr>
          <w:lang w:val="en-US"/>
        </w:rPr>
        <w:t xml:space="preserve"> could not be reached for the </w:t>
      </w:r>
      <w:r w:rsidR="004E3D82">
        <w:rPr>
          <w:lang w:val="en-US"/>
        </w:rPr>
        <w:t>purpose</w:t>
      </w:r>
      <w:r w:rsidR="00477D4C">
        <w:rPr>
          <w:lang w:val="en-US"/>
        </w:rPr>
        <w:t xml:space="preserve"> of obtaining a confirmatory affidavit to the </w:t>
      </w:r>
      <w:r w:rsidR="000A639A">
        <w:rPr>
          <w:lang w:val="en-US"/>
        </w:rPr>
        <w:t>facts</w:t>
      </w:r>
      <w:r w:rsidR="00477D4C">
        <w:rPr>
          <w:lang w:val="en-US"/>
        </w:rPr>
        <w:t xml:space="preserve"> set out in this foun</w:t>
      </w:r>
      <w:r w:rsidR="00B56AB5">
        <w:rPr>
          <w:lang w:val="en-US"/>
        </w:rPr>
        <w:t>ding affidavit.</w:t>
      </w:r>
    </w:p>
    <w:p w14:paraId="3352FDBF" w14:textId="2F0F8A48" w:rsidR="00B56AB5" w:rsidRDefault="005E443C" w:rsidP="005E443C">
      <w:pPr>
        <w:pStyle w:val="LegalNormal"/>
        <w:tabs>
          <w:tab w:val="left" w:pos="927"/>
        </w:tabs>
        <w:ind w:left="927" w:hanging="567"/>
        <w:rPr>
          <w:lang w:val="en-US"/>
        </w:rPr>
      </w:pPr>
      <w:r>
        <w:rPr>
          <w:sz w:val="28"/>
          <w:szCs w:val="28"/>
          <w:lang w:val="en-US"/>
        </w:rPr>
        <w:t>[11]</w:t>
      </w:r>
      <w:r>
        <w:rPr>
          <w:sz w:val="28"/>
          <w:szCs w:val="28"/>
          <w:lang w:val="en-US"/>
        </w:rPr>
        <w:tab/>
      </w:r>
      <w:r w:rsidR="00D40F07">
        <w:rPr>
          <w:lang w:val="en-US"/>
        </w:rPr>
        <w:t xml:space="preserve">On </w:t>
      </w:r>
      <w:r w:rsidR="003E0ECF">
        <w:rPr>
          <w:lang w:val="en-US"/>
        </w:rPr>
        <w:t>29 August 2022, the</w:t>
      </w:r>
      <w:r w:rsidR="004C49CE">
        <w:rPr>
          <w:lang w:val="en-US"/>
        </w:rPr>
        <w:t xml:space="preserve"> deponent </w:t>
      </w:r>
      <w:r w:rsidR="00861B00" w:rsidRPr="00861B00">
        <w:rPr>
          <w:lang w:val="en-US"/>
        </w:rPr>
        <w:t>arranged for a consultation with clients and briefed counsel.</w:t>
      </w:r>
      <w:r w:rsidR="002209BA">
        <w:rPr>
          <w:lang w:val="en-US"/>
        </w:rPr>
        <w:t xml:space="preserve"> On 30 August 2022 consultations happened </w:t>
      </w:r>
      <w:r w:rsidR="009C0571">
        <w:rPr>
          <w:lang w:val="en-US"/>
        </w:rPr>
        <w:t xml:space="preserve">and the draft answering affidavit was forwarded to the </w:t>
      </w:r>
      <w:r w:rsidR="00510658">
        <w:rPr>
          <w:lang w:val="en-US"/>
        </w:rPr>
        <w:t xml:space="preserve">applicant for comment. The </w:t>
      </w:r>
      <w:r w:rsidR="00A82D7A">
        <w:rPr>
          <w:lang w:val="en-US"/>
        </w:rPr>
        <w:t>applicant at all times intended to defend the main application.</w:t>
      </w:r>
    </w:p>
    <w:p w14:paraId="7BBB10A3" w14:textId="744D4A4C" w:rsidR="0071251B" w:rsidRPr="0071251B" w:rsidRDefault="0071251B" w:rsidP="0071251B">
      <w:pPr>
        <w:pStyle w:val="LegalNormal"/>
        <w:ind w:left="927"/>
        <w:rPr>
          <w:b/>
          <w:bCs/>
          <w:lang w:val="en-US"/>
        </w:rPr>
      </w:pPr>
      <w:r w:rsidRPr="0071251B">
        <w:rPr>
          <w:b/>
          <w:bCs/>
          <w:lang w:val="en-US"/>
        </w:rPr>
        <w:t xml:space="preserve">Prejudice </w:t>
      </w:r>
    </w:p>
    <w:p w14:paraId="25434608" w14:textId="095578FF" w:rsidR="0071251B" w:rsidRPr="001A7EB4" w:rsidRDefault="005E443C" w:rsidP="005E443C">
      <w:pPr>
        <w:pStyle w:val="LegalNormal"/>
        <w:tabs>
          <w:tab w:val="left" w:pos="927"/>
        </w:tabs>
        <w:ind w:left="927" w:hanging="567"/>
        <w:rPr>
          <w:lang w:val="en-US"/>
        </w:rPr>
      </w:pPr>
      <w:r w:rsidRPr="001A7EB4">
        <w:rPr>
          <w:sz w:val="28"/>
          <w:szCs w:val="28"/>
          <w:lang w:val="en-US"/>
        </w:rPr>
        <w:t>[12]</w:t>
      </w:r>
      <w:r w:rsidRPr="001A7EB4">
        <w:rPr>
          <w:sz w:val="28"/>
          <w:szCs w:val="28"/>
          <w:lang w:val="en-US"/>
        </w:rPr>
        <w:tab/>
      </w:r>
      <w:r w:rsidR="00B52792" w:rsidRPr="00B52792">
        <w:rPr>
          <w:lang w:val="en-US"/>
        </w:rPr>
        <w:t xml:space="preserve">The deponent submits that the </w:t>
      </w:r>
      <w:r w:rsidR="00C42D7D" w:rsidRPr="00C42D7D">
        <w:rPr>
          <w:lang w:val="en-US"/>
        </w:rPr>
        <w:t xml:space="preserve">respondents </w:t>
      </w:r>
      <w:r w:rsidR="00DA6DC3" w:rsidRPr="00C42D7D">
        <w:rPr>
          <w:lang w:val="en-US"/>
        </w:rPr>
        <w:t>are</w:t>
      </w:r>
      <w:r w:rsidR="00DA6DC3">
        <w:rPr>
          <w:lang w:val="en-US"/>
        </w:rPr>
        <w:t xml:space="preserve"> </w:t>
      </w:r>
      <w:r w:rsidR="00DA6DC3" w:rsidRPr="00B52792">
        <w:rPr>
          <w:lang w:val="en-US"/>
        </w:rPr>
        <w:t>not</w:t>
      </w:r>
      <w:r w:rsidR="00B52792" w:rsidRPr="00B52792">
        <w:rPr>
          <w:lang w:val="en-US"/>
        </w:rPr>
        <w:t xml:space="preserve"> prejudiced by the delay</w:t>
      </w:r>
      <w:r w:rsidR="00C42D7D">
        <w:rPr>
          <w:lang w:val="en-US"/>
        </w:rPr>
        <w:t xml:space="preserve">. </w:t>
      </w:r>
      <w:r w:rsidR="00C42D7D" w:rsidRPr="00C42D7D">
        <w:rPr>
          <w:lang w:val="en-US"/>
        </w:rPr>
        <w:t xml:space="preserve">The application was served on the respondents on </w:t>
      </w:r>
      <w:r w:rsidR="00DA6DC3">
        <w:rPr>
          <w:lang w:val="en-US"/>
        </w:rPr>
        <w:t xml:space="preserve">2 </w:t>
      </w:r>
      <w:r w:rsidR="00C42D7D" w:rsidRPr="00C42D7D">
        <w:rPr>
          <w:lang w:val="en-US"/>
        </w:rPr>
        <w:t>August</w:t>
      </w:r>
      <w:r w:rsidR="00DA6DC3">
        <w:rPr>
          <w:lang w:val="en-US"/>
        </w:rPr>
        <w:t xml:space="preserve"> </w:t>
      </w:r>
      <w:r w:rsidR="00C42D7D" w:rsidRPr="00C42D7D">
        <w:rPr>
          <w:lang w:val="en-US"/>
        </w:rPr>
        <w:t>2021</w:t>
      </w:r>
      <w:r w:rsidR="00DA6DC3" w:rsidRPr="00DA6DC3">
        <w:rPr>
          <w:lang w:val="en-US"/>
        </w:rPr>
        <w:t>. The respondents did nothing</w:t>
      </w:r>
      <w:r w:rsidR="00DF4425">
        <w:rPr>
          <w:lang w:val="en-US"/>
        </w:rPr>
        <w:t xml:space="preserve"> to advance their case </w:t>
      </w:r>
      <w:r w:rsidR="00C0273A">
        <w:rPr>
          <w:lang w:val="en-US"/>
        </w:rPr>
        <w:t>when the applicant failed to file their answering affidavit</w:t>
      </w:r>
      <w:r w:rsidR="00E347D7">
        <w:rPr>
          <w:lang w:val="en-US"/>
        </w:rPr>
        <w:t xml:space="preserve"> except for serving </w:t>
      </w:r>
      <w:r w:rsidR="002374B7">
        <w:rPr>
          <w:lang w:val="en-US"/>
        </w:rPr>
        <w:t xml:space="preserve">a Rule 41A (mediation) notice. </w:t>
      </w:r>
      <w:r w:rsidR="00362B0C" w:rsidRPr="00362B0C">
        <w:t>The matter was only set down for hearing on 6 September 2022, a year after the application was filed.</w:t>
      </w:r>
    </w:p>
    <w:p w14:paraId="4328DA42" w14:textId="34E326D5" w:rsidR="00404353" w:rsidRPr="00276B11" w:rsidRDefault="005E443C" w:rsidP="005E443C">
      <w:pPr>
        <w:pStyle w:val="LegalNormal"/>
        <w:tabs>
          <w:tab w:val="left" w:pos="927"/>
        </w:tabs>
        <w:ind w:left="927" w:hanging="567"/>
        <w:rPr>
          <w:lang w:val="en-US"/>
        </w:rPr>
      </w:pPr>
      <w:r w:rsidRPr="00276B11">
        <w:rPr>
          <w:sz w:val="28"/>
          <w:szCs w:val="28"/>
          <w:lang w:val="en-US"/>
        </w:rPr>
        <w:lastRenderedPageBreak/>
        <w:t>[13]</w:t>
      </w:r>
      <w:r w:rsidRPr="00276B11">
        <w:rPr>
          <w:sz w:val="28"/>
          <w:szCs w:val="28"/>
          <w:lang w:val="en-US"/>
        </w:rPr>
        <w:tab/>
      </w:r>
      <w:r w:rsidR="001A7EB4" w:rsidRPr="001A7EB4">
        <w:t xml:space="preserve">On 6 September 2022 the matter was removed from the </w:t>
      </w:r>
      <w:r w:rsidR="001A7EB4">
        <w:t xml:space="preserve">unopposed </w:t>
      </w:r>
      <w:r w:rsidR="001A7EB4" w:rsidRPr="001A7EB4">
        <w:t xml:space="preserve">roll with an order that the </w:t>
      </w:r>
      <w:r w:rsidR="00CE2730">
        <w:t>applicant</w:t>
      </w:r>
      <w:r w:rsidR="001A7EB4" w:rsidRPr="001A7EB4">
        <w:t xml:space="preserve"> file an application for condonation, that the </w:t>
      </w:r>
      <w:r w:rsidR="00CE2730">
        <w:t xml:space="preserve">respondents </w:t>
      </w:r>
      <w:r w:rsidR="001A7EB4" w:rsidRPr="001A7EB4">
        <w:t xml:space="preserve">file a replying affidavit to the main application and further that the </w:t>
      </w:r>
      <w:r w:rsidR="00CE2730">
        <w:t>applicant</w:t>
      </w:r>
      <w:r w:rsidR="001A7EB4" w:rsidRPr="001A7EB4">
        <w:t xml:space="preserve"> file </w:t>
      </w:r>
      <w:r w:rsidR="004E0E7D">
        <w:t xml:space="preserve">a </w:t>
      </w:r>
      <w:r w:rsidR="001A7EB4" w:rsidRPr="001A7EB4">
        <w:t xml:space="preserve">supplementary affidavit to the main application as requested during argument by counsel of the </w:t>
      </w:r>
      <w:r w:rsidR="004E0E7D">
        <w:t>applicant.</w:t>
      </w:r>
    </w:p>
    <w:p w14:paraId="5A1497EB" w14:textId="6EFE7146" w:rsidR="00FA11AC" w:rsidRPr="008666E7" w:rsidRDefault="008666E7" w:rsidP="008666E7">
      <w:pPr>
        <w:pStyle w:val="LegalNormal"/>
        <w:ind w:left="927"/>
        <w:rPr>
          <w:b/>
          <w:bCs/>
          <w:lang w:val="en-US"/>
        </w:rPr>
      </w:pPr>
      <w:r w:rsidRPr="008666E7">
        <w:rPr>
          <w:b/>
          <w:bCs/>
          <w:lang w:val="en-US"/>
        </w:rPr>
        <w:t>The prospects of success.</w:t>
      </w:r>
    </w:p>
    <w:p w14:paraId="1D444975" w14:textId="2551241D" w:rsidR="005667D9" w:rsidRDefault="005E443C" w:rsidP="005E443C">
      <w:pPr>
        <w:pStyle w:val="LegalNormal"/>
        <w:tabs>
          <w:tab w:val="left" w:pos="927"/>
        </w:tabs>
        <w:ind w:left="927" w:hanging="567"/>
        <w:rPr>
          <w:lang w:val="en-US"/>
        </w:rPr>
      </w:pPr>
      <w:r>
        <w:rPr>
          <w:sz w:val="28"/>
          <w:szCs w:val="28"/>
          <w:lang w:val="en-US"/>
        </w:rPr>
        <w:t>[14]</w:t>
      </w:r>
      <w:r>
        <w:rPr>
          <w:sz w:val="28"/>
          <w:szCs w:val="28"/>
          <w:lang w:val="en-US"/>
        </w:rPr>
        <w:tab/>
      </w:r>
      <w:r w:rsidR="00CB143C" w:rsidRPr="00CB143C">
        <w:rPr>
          <w:lang w:val="en-US"/>
        </w:rPr>
        <w:t xml:space="preserve"> Mr. Moreko submits that the applicants have prospects of success in the main application. The respondents accuse the Trustees of being conflicted, misusing the Trust funds and of failure to account to the beneficiaries without providing any evidence at all.</w:t>
      </w:r>
    </w:p>
    <w:p w14:paraId="7B3AE090" w14:textId="65E1DFBC" w:rsidR="00AE284E" w:rsidRPr="005E443C" w:rsidRDefault="005E443C" w:rsidP="005E443C">
      <w:pPr>
        <w:tabs>
          <w:tab w:val="left" w:pos="927"/>
        </w:tabs>
        <w:spacing w:before="100" w:beforeAutospacing="1" w:after="100" w:afterAutospacing="1" w:line="480" w:lineRule="auto"/>
        <w:ind w:left="927" w:hanging="567"/>
        <w:jc w:val="left"/>
        <w:rPr>
          <w:rFonts w:cs="Arial"/>
          <w:color w:val="000000"/>
          <w:lang w:val="en-ZA" w:eastAsia="en-ZA"/>
        </w:rPr>
      </w:pPr>
      <w:r>
        <w:rPr>
          <w:rFonts w:cs="Arial"/>
          <w:color w:val="000000"/>
          <w:sz w:val="28"/>
          <w:szCs w:val="28"/>
          <w:lang w:val="en-ZA" w:eastAsia="en-ZA"/>
        </w:rPr>
        <w:t>[15]</w:t>
      </w:r>
      <w:r>
        <w:rPr>
          <w:rFonts w:cs="Arial"/>
          <w:color w:val="000000"/>
          <w:sz w:val="28"/>
          <w:szCs w:val="28"/>
          <w:lang w:val="en-ZA" w:eastAsia="en-ZA"/>
        </w:rPr>
        <w:tab/>
      </w:r>
      <w:r w:rsidR="00AE284E" w:rsidRPr="005E443C">
        <w:rPr>
          <w:rFonts w:cs="Arial"/>
          <w:color w:val="000000"/>
          <w:lang w:val="en-ZA" w:eastAsia="en-ZA"/>
        </w:rPr>
        <w:t>All the allegations are unfounded, the Trustees have since the inception of Trust accounted to the beneficiaries. The Annual General Meeting (AGMs) have been held every single year as required by the Trust Deed (clause 7). Beneficiaries are informed in time of the AGM by announcement in the local radio station, advertising in the local newspapers and transport is arranged wherein beneficiaries without means of transport are bu</w:t>
      </w:r>
      <w:r w:rsidR="00AF1203" w:rsidRPr="005E443C">
        <w:rPr>
          <w:rFonts w:cs="Arial"/>
          <w:color w:val="000000"/>
          <w:lang w:val="en-ZA" w:eastAsia="en-ZA"/>
        </w:rPr>
        <w:t>s</w:t>
      </w:r>
      <w:r w:rsidR="00AE284E" w:rsidRPr="005E443C">
        <w:rPr>
          <w:rFonts w:cs="Arial"/>
          <w:color w:val="000000"/>
          <w:lang w:val="en-ZA" w:eastAsia="en-ZA"/>
        </w:rPr>
        <w:t>sed to the meetings. Furthermore, minutes and all documents pertaining to the activities of the Trust are held in the office and beneficiaries are encouraged to visit the office and view any of the documents.</w:t>
      </w:r>
    </w:p>
    <w:p w14:paraId="78F47D3B" w14:textId="77777777" w:rsidR="00FB6182" w:rsidRPr="00EC2B1D" w:rsidRDefault="00FB6182" w:rsidP="00FB6182">
      <w:pPr>
        <w:pStyle w:val="ListParagraph"/>
        <w:spacing w:before="100" w:beforeAutospacing="1" w:after="100" w:afterAutospacing="1" w:line="480" w:lineRule="auto"/>
        <w:ind w:left="927"/>
        <w:jc w:val="left"/>
        <w:rPr>
          <w:rFonts w:cs="Arial"/>
          <w:color w:val="000000"/>
          <w:lang w:val="en-ZA" w:eastAsia="en-ZA"/>
        </w:rPr>
      </w:pPr>
    </w:p>
    <w:p w14:paraId="520E23A6" w14:textId="2C9A0302" w:rsidR="00AE284E" w:rsidRDefault="005E443C" w:rsidP="005E443C">
      <w:pPr>
        <w:pStyle w:val="LegalNormal"/>
        <w:tabs>
          <w:tab w:val="left" w:pos="927"/>
        </w:tabs>
        <w:ind w:left="927" w:hanging="567"/>
        <w:rPr>
          <w:lang w:val="en-US"/>
        </w:rPr>
      </w:pPr>
      <w:r>
        <w:rPr>
          <w:sz w:val="28"/>
          <w:szCs w:val="28"/>
          <w:lang w:val="en-US"/>
        </w:rPr>
        <w:lastRenderedPageBreak/>
        <w:t>[16]</w:t>
      </w:r>
      <w:r>
        <w:rPr>
          <w:sz w:val="28"/>
          <w:szCs w:val="28"/>
          <w:lang w:val="en-US"/>
        </w:rPr>
        <w:tab/>
      </w:r>
      <w:r w:rsidR="00994BD3" w:rsidRPr="00994BD3">
        <w:t xml:space="preserve">The only instance where an AGM was not held was in the year 2020 and 2021 due to </w:t>
      </w:r>
      <w:r w:rsidR="00994BD3">
        <w:t>C</w:t>
      </w:r>
      <w:r w:rsidR="00994BD3" w:rsidRPr="00994BD3">
        <w:t>ovid19 restrictions. The last AGM was held on the 28 August 2022.</w:t>
      </w:r>
      <w:r w:rsidR="00C2243B">
        <w:t xml:space="preserve"> </w:t>
      </w:r>
      <w:r w:rsidR="00731F79">
        <w:t>C</w:t>
      </w:r>
      <w:r w:rsidR="00994BD3" w:rsidRPr="00994BD3">
        <w:t xml:space="preserve">opies of the meeting </w:t>
      </w:r>
      <w:r w:rsidR="00C2243B">
        <w:t xml:space="preserve">are attached to the founding affidavit and are </w:t>
      </w:r>
      <w:r w:rsidR="00994BD3" w:rsidRPr="00994BD3">
        <w:t>marked "HDC3".</w:t>
      </w:r>
    </w:p>
    <w:p w14:paraId="402FF5E3" w14:textId="54B48023" w:rsidR="005667D9" w:rsidRPr="00D01C97" w:rsidRDefault="00077A04" w:rsidP="00D01C97">
      <w:pPr>
        <w:pStyle w:val="LegalNormal"/>
        <w:ind w:left="927"/>
        <w:rPr>
          <w:b/>
          <w:bCs/>
          <w:lang w:val="en-US"/>
        </w:rPr>
      </w:pPr>
      <w:r w:rsidRPr="00D01C97">
        <w:rPr>
          <w:b/>
          <w:bCs/>
          <w:lang w:val="en-US"/>
        </w:rPr>
        <w:t>Importance of the case</w:t>
      </w:r>
    </w:p>
    <w:p w14:paraId="7E213635" w14:textId="71783BC6" w:rsidR="0002547B" w:rsidRDefault="005E443C" w:rsidP="005E443C">
      <w:pPr>
        <w:pStyle w:val="LegalNormal"/>
        <w:tabs>
          <w:tab w:val="left" w:pos="927"/>
        </w:tabs>
        <w:ind w:left="927" w:hanging="567"/>
        <w:rPr>
          <w:lang w:val="en-US"/>
        </w:rPr>
      </w:pPr>
      <w:r>
        <w:rPr>
          <w:sz w:val="28"/>
          <w:szCs w:val="28"/>
          <w:lang w:val="en-US"/>
        </w:rPr>
        <w:t>[17]</w:t>
      </w:r>
      <w:r>
        <w:rPr>
          <w:sz w:val="28"/>
          <w:szCs w:val="28"/>
          <w:lang w:val="en-US"/>
        </w:rPr>
        <w:tab/>
      </w:r>
      <w:r w:rsidR="006B463D" w:rsidRPr="006B463D">
        <w:rPr>
          <w:lang w:val="en-US"/>
        </w:rPr>
        <w:t>This case is important for the trust</w:t>
      </w:r>
      <w:r w:rsidR="00280652">
        <w:rPr>
          <w:lang w:val="en-US"/>
        </w:rPr>
        <w:t>,</w:t>
      </w:r>
      <w:r w:rsidR="006B463D" w:rsidRPr="006B463D">
        <w:rPr>
          <w:lang w:val="en-US"/>
        </w:rPr>
        <w:t xml:space="preserve"> it should be </w:t>
      </w:r>
      <w:r w:rsidR="008365BD">
        <w:rPr>
          <w:lang w:val="en-US"/>
        </w:rPr>
        <w:t>ventilated in court in the presence of both parties</w:t>
      </w:r>
      <w:r w:rsidR="006A521F">
        <w:rPr>
          <w:lang w:val="en-US"/>
        </w:rPr>
        <w:t xml:space="preserve"> concerned for the following reasons: </w:t>
      </w:r>
    </w:p>
    <w:p w14:paraId="18BA80B4" w14:textId="0A5B73DB" w:rsidR="000B7DB5" w:rsidRPr="0052422D" w:rsidRDefault="005E443C" w:rsidP="005E443C">
      <w:pPr>
        <w:pStyle w:val="LegalHeading2"/>
        <w:numPr>
          <w:ilvl w:val="0"/>
          <w:numId w:val="0"/>
        </w:numPr>
        <w:tabs>
          <w:tab w:val="left" w:pos="2629"/>
        </w:tabs>
        <w:ind w:left="2629" w:hanging="1134"/>
        <w:rPr>
          <w:b w:val="0"/>
          <w:bCs/>
          <w:lang w:val="en-US"/>
        </w:rPr>
      </w:pPr>
      <w:r w:rsidRPr="0052422D">
        <w:rPr>
          <w:rFonts w:cs="Arial"/>
          <w:b w:val="0"/>
          <w:bCs/>
          <w:lang w:val="en-US"/>
        </w:rPr>
        <w:t>17.1</w:t>
      </w:r>
      <w:r w:rsidRPr="0052422D">
        <w:rPr>
          <w:rFonts w:cs="Arial"/>
          <w:b w:val="0"/>
          <w:bCs/>
          <w:lang w:val="en-US"/>
        </w:rPr>
        <w:tab/>
      </w:r>
      <w:r w:rsidR="0052422D" w:rsidRPr="0052422D">
        <w:rPr>
          <w:b w:val="0"/>
          <w:bCs/>
          <w:lang w:val="en-US"/>
        </w:rPr>
        <w:t>The</w:t>
      </w:r>
      <w:r w:rsidR="00EE14D6" w:rsidRPr="0052422D">
        <w:rPr>
          <w:b w:val="0"/>
          <w:bCs/>
          <w:lang w:val="en-US"/>
        </w:rPr>
        <w:t xml:space="preserve"> respondents accuse the Trustees of mismanagement of the Trust</w:t>
      </w:r>
      <w:r w:rsidR="00C12B88" w:rsidRPr="0052422D">
        <w:rPr>
          <w:b w:val="0"/>
          <w:bCs/>
          <w:lang w:val="en-US"/>
        </w:rPr>
        <w:t>, in particular the Trust funds</w:t>
      </w:r>
      <w:r w:rsidR="0030462E" w:rsidRPr="0052422D">
        <w:rPr>
          <w:b w:val="0"/>
          <w:bCs/>
          <w:lang w:val="en-US"/>
        </w:rPr>
        <w:t xml:space="preserve"> with no evidence being put forward to support</w:t>
      </w:r>
      <w:r w:rsidR="00A12022" w:rsidRPr="0052422D">
        <w:rPr>
          <w:b w:val="0"/>
          <w:bCs/>
          <w:lang w:val="en-US"/>
        </w:rPr>
        <w:t xml:space="preserve"> the accusations while the applicant has attached bank statements</w:t>
      </w:r>
      <w:r w:rsidR="0002547B" w:rsidRPr="0052422D">
        <w:rPr>
          <w:b w:val="0"/>
          <w:bCs/>
          <w:lang w:val="en-US"/>
        </w:rPr>
        <w:t xml:space="preserve"> to prove the contrary.</w:t>
      </w:r>
      <w:r w:rsidR="00C12B88" w:rsidRPr="0052422D">
        <w:rPr>
          <w:b w:val="0"/>
          <w:bCs/>
          <w:lang w:val="en-US"/>
        </w:rPr>
        <w:t xml:space="preserve"> </w:t>
      </w:r>
    </w:p>
    <w:p w14:paraId="4CC72CAF" w14:textId="5D0E5839" w:rsidR="007315F7" w:rsidRPr="0052422D" w:rsidRDefault="005E443C" w:rsidP="005E443C">
      <w:pPr>
        <w:pStyle w:val="LegalHeading2"/>
        <w:numPr>
          <w:ilvl w:val="0"/>
          <w:numId w:val="0"/>
        </w:numPr>
        <w:tabs>
          <w:tab w:val="left" w:pos="2629"/>
        </w:tabs>
        <w:ind w:left="2629" w:hanging="1134"/>
        <w:rPr>
          <w:b w:val="0"/>
          <w:bCs/>
          <w:lang w:val="en-US"/>
        </w:rPr>
      </w:pPr>
      <w:r w:rsidRPr="0052422D">
        <w:rPr>
          <w:rFonts w:cs="Arial"/>
          <w:b w:val="0"/>
          <w:bCs/>
          <w:lang w:val="en-US"/>
        </w:rPr>
        <w:t>17.2</w:t>
      </w:r>
      <w:r w:rsidRPr="0052422D">
        <w:rPr>
          <w:rFonts w:cs="Arial"/>
          <w:b w:val="0"/>
          <w:bCs/>
          <w:lang w:val="en-US"/>
        </w:rPr>
        <w:tab/>
      </w:r>
      <w:r w:rsidR="000B7DB5" w:rsidRPr="0052422D">
        <w:rPr>
          <w:b w:val="0"/>
          <w:bCs/>
          <w:lang w:val="en-US"/>
        </w:rPr>
        <w:t>The respondents</w:t>
      </w:r>
      <w:r w:rsidR="0096792A" w:rsidRPr="0052422D">
        <w:rPr>
          <w:b w:val="0"/>
          <w:bCs/>
          <w:lang w:val="en-US"/>
        </w:rPr>
        <w:t xml:space="preserve"> accuse the </w:t>
      </w:r>
      <w:r w:rsidR="000B7DB5" w:rsidRPr="0052422D">
        <w:rPr>
          <w:b w:val="0"/>
          <w:bCs/>
          <w:lang w:val="en-US"/>
        </w:rPr>
        <w:t>T</w:t>
      </w:r>
      <w:r w:rsidR="0096792A" w:rsidRPr="0052422D">
        <w:rPr>
          <w:b w:val="0"/>
          <w:bCs/>
          <w:lang w:val="en-US"/>
        </w:rPr>
        <w:t xml:space="preserve">rustees of conflict of interest, and it is alleged that </w:t>
      </w:r>
      <w:r w:rsidR="000B7DB5" w:rsidRPr="0052422D">
        <w:rPr>
          <w:b w:val="0"/>
          <w:bCs/>
          <w:lang w:val="en-US"/>
        </w:rPr>
        <w:t>T</w:t>
      </w:r>
      <w:r w:rsidR="0096792A" w:rsidRPr="0052422D">
        <w:rPr>
          <w:b w:val="0"/>
          <w:bCs/>
          <w:lang w:val="en-US"/>
        </w:rPr>
        <w:t xml:space="preserve">rustees are directors of the entities that the </w:t>
      </w:r>
      <w:r w:rsidR="000B7DB5" w:rsidRPr="0052422D">
        <w:rPr>
          <w:b w:val="0"/>
          <w:bCs/>
          <w:lang w:val="en-US"/>
        </w:rPr>
        <w:t>T</w:t>
      </w:r>
      <w:r w:rsidR="0096792A" w:rsidRPr="0052422D">
        <w:rPr>
          <w:b w:val="0"/>
          <w:bCs/>
          <w:lang w:val="en-US"/>
        </w:rPr>
        <w:t>rust is a shareholder of.</w:t>
      </w:r>
      <w:r w:rsidR="000B7DB5" w:rsidRPr="0052422D">
        <w:rPr>
          <w:b w:val="0"/>
          <w:bCs/>
          <w:lang w:val="en-US"/>
        </w:rPr>
        <w:t xml:space="preserve"> No evidence has been put forward by the respondent to support this accusation. The applicant</w:t>
      </w:r>
      <w:r w:rsidR="003572F3" w:rsidRPr="0052422D">
        <w:rPr>
          <w:b w:val="0"/>
          <w:bCs/>
          <w:lang w:val="en-US"/>
        </w:rPr>
        <w:t xml:space="preserve"> in its answering affidavit has attached proof that </w:t>
      </w:r>
      <w:r w:rsidR="00AB7396" w:rsidRPr="0052422D">
        <w:rPr>
          <w:b w:val="0"/>
          <w:bCs/>
          <w:lang w:val="en-US"/>
        </w:rPr>
        <w:t xml:space="preserve">the Trustees are not directors of such </w:t>
      </w:r>
      <w:r w:rsidR="007315F7" w:rsidRPr="0052422D">
        <w:rPr>
          <w:b w:val="0"/>
          <w:bCs/>
          <w:lang w:val="en-US"/>
        </w:rPr>
        <w:t>entities as</w:t>
      </w:r>
      <w:r w:rsidR="00AB7396" w:rsidRPr="0052422D">
        <w:rPr>
          <w:b w:val="0"/>
          <w:bCs/>
          <w:lang w:val="en-US"/>
        </w:rPr>
        <w:t xml:space="preserve"> </w:t>
      </w:r>
      <w:r w:rsidR="00276B11">
        <w:rPr>
          <w:b w:val="0"/>
          <w:bCs/>
          <w:lang w:val="en-US"/>
        </w:rPr>
        <w:t>it is alleged</w:t>
      </w:r>
      <w:r w:rsidR="007C5114" w:rsidRPr="0052422D">
        <w:rPr>
          <w:b w:val="0"/>
          <w:bCs/>
          <w:lang w:val="en-US"/>
        </w:rPr>
        <w:t xml:space="preserve">. </w:t>
      </w:r>
    </w:p>
    <w:p w14:paraId="6F9737F8" w14:textId="0079D5DE" w:rsidR="007D26BB" w:rsidRPr="0052422D" w:rsidRDefault="005E443C" w:rsidP="005E443C">
      <w:pPr>
        <w:pStyle w:val="LegalHeading2"/>
        <w:numPr>
          <w:ilvl w:val="0"/>
          <w:numId w:val="0"/>
        </w:numPr>
        <w:tabs>
          <w:tab w:val="left" w:pos="2629"/>
        </w:tabs>
        <w:ind w:left="2629" w:hanging="1134"/>
        <w:rPr>
          <w:b w:val="0"/>
          <w:bCs/>
          <w:lang w:val="en-US"/>
        </w:rPr>
      </w:pPr>
      <w:r w:rsidRPr="0052422D">
        <w:rPr>
          <w:rFonts w:cs="Arial"/>
          <w:b w:val="0"/>
          <w:bCs/>
          <w:lang w:val="en-US"/>
        </w:rPr>
        <w:t>17.3</w:t>
      </w:r>
      <w:r w:rsidRPr="0052422D">
        <w:rPr>
          <w:rFonts w:cs="Arial"/>
          <w:b w:val="0"/>
          <w:bCs/>
          <w:lang w:val="en-US"/>
        </w:rPr>
        <w:tab/>
      </w:r>
      <w:r w:rsidR="00B6348D" w:rsidRPr="0052422D">
        <w:rPr>
          <w:b w:val="0"/>
          <w:bCs/>
          <w:lang w:val="en-US"/>
        </w:rPr>
        <w:t>The respondents allege that the Trustees</w:t>
      </w:r>
      <w:r w:rsidR="007315F7" w:rsidRPr="0052422D">
        <w:rPr>
          <w:b w:val="0"/>
          <w:bCs/>
          <w:lang w:val="en-US"/>
        </w:rPr>
        <w:t xml:space="preserve"> make decisions without consulting the beneficiarie</w:t>
      </w:r>
      <w:r w:rsidR="00681776">
        <w:rPr>
          <w:b w:val="0"/>
          <w:bCs/>
          <w:lang w:val="en-US"/>
        </w:rPr>
        <w:t>s</w:t>
      </w:r>
      <w:r w:rsidR="007E5D57" w:rsidRPr="0052422D">
        <w:rPr>
          <w:b w:val="0"/>
          <w:bCs/>
          <w:lang w:val="en-US"/>
        </w:rPr>
        <w:t>. Clause 10 of the Trust Deed makes it clear that</w:t>
      </w:r>
      <w:r w:rsidR="0070107B" w:rsidRPr="0052422D">
        <w:rPr>
          <w:b w:val="0"/>
          <w:bCs/>
          <w:lang w:val="en-US"/>
        </w:rPr>
        <w:t xml:space="preserve"> the </w:t>
      </w:r>
      <w:r w:rsidR="001C26D6" w:rsidRPr="0052422D">
        <w:rPr>
          <w:b w:val="0"/>
          <w:bCs/>
          <w:lang w:val="en-US"/>
        </w:rPr>
        <w:t>T</w:t>
      </w:r>
      <w:r w:rsidR="0070107B" w:rsidRPr="0052422D">
        <w:rPr>
          <w:b w:val="0"/>
          <w:bCs/>
          <w:lang w:val="en-US"/>
        </w:rPr>
        <w:t xml:space="preserve">rustees have certain </w:t>
      </w:r>
      <w:r w:rsidR="007D26BB" w:rsidRPr="0052422D">
        <w:rPr>
          <w:b w:val="0"/>
          <w:bCs/>
          <w:lang w:val="en-US"/>
        </w:rPr>
        <w:t>powers,</w:t>
      </w:r>
      <w:r w:rsidR="0070107B" w:rsidRPr="0052422D">
        <w:rPr>
          <w:b w:val="0"/>
          <w:bCs/>
          <w:lang w:val="en-US"/>
        </w:rPr>
        <w:t xml:space="preserve"> and such </w:t>
      </w:r>
      <w:r w:rsidR="0070107B" w:rsidRPr="0052422D">
        <w:rPr>
          <w:b w:val="0"/>
          <w:bCs/>
          <w:lang w:val="en-US"/>
        </w:rPr>
        <w:lastRenderedPageBreak/>
        <w:t xml:space="preserve">powers may be exercised without </w:t>
      </w:r>
      <w:r w:rsidR="003F6635" w:rsidRPr="0052422D">
        <w:rPr>
          <w:b w:val="0"/>
          <w:bCs/>
          <w:lang w:val="en-US"/>
        </w:rPr>
        <w:t xml:space="preserve">consulting the beneficiaries as long as they are in the interest </w:t>
      </w:r>
      <w:r w:rsidR="001C26D6" w:rsidRPr="0052422D">
        <w:rPr>
          <w:b w:val="0"/>
          <w:bCs/>
          <w:lang w:val="en-US"/>
        </w:rPr>
        <w:t>and for the benefit of the beneficiaries.</w:t>
      </w:r>
      <w:r w:rsidR="00B6348D" w:rsidRPr="0052422D">
        <w:rPr>
          <w:b w:val="0"/>
          <w:bCs/>
          <w:lang w:val="en-US"/>
        </w:rPr>
        <w:t xml:space="preserve"> </w:t>
      </w:r>
    </w:p>
    <w:p w14:paraId="25C78EB3" w14:textId="6D08AA4A" w:rsidR="0000263C" w:rsidRPr="0052422D" w:rsidRDefault="005E443C" w:rsidP="005E443C">
      <w:pPr>
        <w:pStyle w:val="LegalHeading2"/>
        <w:numPr>
          <w:ilvl w:val="0"/>
          <w:numId w:val="0"/>
        </w:numPr>
        <w:tabs>
          <w:tab w:val="left" w:pos="2629"/>
        </w:tabs>
        <w:ind w:left="2629" w:hanging="1134"/>
        <w:rPr>
          <w:b w:val="0"/>
          <w:bCs/>
          <w:lang w:val="en-US"/>
        </w:rPr>
      </w:pPr>
      <w:r w:rsidRPr="0052422D">
        <w:rPr>
          <w:rFonts w:cs="Arial"/>
          <w:b w:val="0"/>
          <w:bCs/>
          <w:lang w:val="en-US"/>
        </w:rPr>
        <w:t>17.4</w:t>
      </w:r>
      <w:r w:rsidRPr="0052422D">
        <w:rPr>
          <w:rFonts w:cs="Arial"/>
          <w:b w:val="0"/>
          <w:bCs/>
          <w:lang w:val="en-US"/>
        </w:rPr>
        <w:tab/>
      </w:r>
      <w:r w:rsidR="001C26D6" w:rsidRPr="0052422D">
        <w:rPr>
          <w:b w:val="0"/>
          <w:bCs/>
          <w:lang w:val="en-US"/>
        </w:rPr>
        <w:t xml:space="preserve">The respondents seek </w:t>
      </w:r>
      <w:r w:rsidR="007D26BB" w:rsidRPr="0052422D">
        <w:rPr>
          <w:b w:val="0"/>
          <w:bCs/>
          <w:lang w:val="en-US"/>
        </w:rPr>
        <w:t>relief</w:t>
      </w:r>
      <w:r w:rsidR="001C26D6" w:rsidRPr="0052422D">
        <w:rPr>
          <w:b w:val="0"/>
          <w:bCs/>
          <w:lang w:val="en-US"/>
        </w:rPr>
        <w:t xml:space="preserve"> </w:t>
      </w:r>
      <w:r w:rsidR="00386F24" w:rsidRPr="0052422D">
        <w:rPr>
          <w:b w:val="0"/>
          <w:bCs/>
          <w:lang w:val="en-US"/>
        </w:rPr>
        <w:t>that the beneficiaries of their choice be appointed by the Master as Trustees</w:t>
      </w:r>
      <w:r w:rsidR="00067B44" w:rsidRPr="0052422D">
        <w:rPr>
          <w:b w:val="0"/>
          <w:bCs/>
          <w:lang w:val="en-US"/>
        </w:rPr>
        <w:t xml:space="preserve"> without following the process of election of Trustees</w:t>
      </w:r>
      <w:r w:rsidR="00E75C97" w:rsidRPr="0052422D">
        <w:rPr>
          <w:b w:val="0"/>
          <w:bCs/>
          <w:lang w:val="en-US"/>
        </w:rPr>
        <w:t xml:space="preserve"> as prescribed in the Trust Deed. In essence</w:t>
      </w:r>
      <w:r w:rsidR="007D26BB" w:rsidRPr="0052422D">
        <w:rPr>
          <w:b w:val="0"/>
          <w:bCs/>
          <w:lang w:val="en-US"/>
        </w:rPr>
        <w:t>, the respondents seek to take over the Trust.</w:t>
      </w:r>
      <w:r w:rsidR="00B6348D" w:rsidRPr="0052422D">
        <w:rPr>
          <w:b w:val="0"/>
          <w:bCs/>
          <w:lang w:val="en-US"/>
        </w:rPr>
        <w:t xml:space="preserve"> </w:t>
      </w:r>
    </w:p>
    <w:p w14:paraId="1250F742" w14:textId="3BB6C0A1" w:rsidR="001D1F73" w:rsidRPr="0052422D" w:rsidRDefault="005E443C" w:rsidP="005E443C">
      <w:pPr>
        <w:pStyle w:val="LegalHeading2"/>
        <w:numPr>
          <w:ilvl w:val="0"/>
          <w:numId w:val="0"/>
        </w:numPr>
        <w:tabs>
          <w:tab w:val="left" w:pos="2629"/>
        </w:tabs>
        <w:ind w:left="2629" w:hanging="1134"/>
        <w:rPr>
          <w:b w:val="0"/>
          <w:bCs/>
          <w:lang w:val="en-US"/>
        </w:rPr>
      </w:pPr>
      <w:r w:rsidRPr="0052422D">
        <w:rPr>
          <w:rFonts w:cs="Arial"/>
          <w:b w:val="0"/>
          <w:bCs/>
          <w:lang w:val="en-US"/>
        </w:rPr>
        <w:t>17.5</w:t>
      </w:r>
      <w:r w:rsidRPr="0052422D">
        <w:rPr>
          <w:rFonts w:cs="Arial"/>
          <w:b w:val="0"/>
          <w:bCs/>
          <w:lang w:val="en-US"/>
        </w:rPr>
        <w:tab/>
      </w:r>
      <w:r w:rsidR="007D26BB" w:rsidRPr="0052422D">
        <w:rPr>
          <w:b w:val="0"/>
          <w:bCs/>
          <w:lang w:val="en-US"/>
        </w:rPr>
        <w:t xml:space="preserve">The respondents </w:t>
      </w:r>
      <w:r w:rsidR="00730FBC" w:rsidRPr="0052422D">
        <w:rPr>
          <w:b w:val="0"/>
          <w:bCs/>
          <w:lang w:val="en-US"/>
        </w:rPr>
        <w:t>seek an order in terms of section 13 of the Trust Property Control Act</w:t>
      </w:r>
      <w:r w:rsidR="00D34B8C" w:rsidRPr="0052422D">
        <w:rPr>
          <w:b w:val="0"/>
          <w:bCs/>
          <w:lang w:val="en-US"/>
        </w:rPr>
        <w:t xml:space="preserve"> 57 of 1988 for the variation of the Trust provisions. As applicant in the main application, </w:t>
      </w:r>
      <w:r w:rsidR="00985B97" w:rsidRPr="0052422D">
        <w:rPr>
          <w:b w:val="0"/>
          <w:bCs/>
          <w:lang w:val="en-US"/>
        </w:rPr>
        <w:t>the respondents have not set out a case in their founding affidavit</w:t>
      </w:r>
      <w:r w:rsidR="0000263C" w:rsidRPr="0052422D">
        <w:rPr>
          <w:b w:val="0"/>
          <w:bCs/>
          <w:lang w:val="en-US"/>
        </w:rPr>
        <w:t xml:space="preserve"> for such an order.</w:t>
      </w:r>
      <w:r w:rsidR="000B7DB5" w:rsidRPr="0052422D">
        <w:rPr>
          <w:b w:val="0"/>
          <w:bCs/>
          <w:lang w:val="en-US"/>
        </w:rPr>
        <w:t xml:space="preserve"> </w:t>
      </w:r>
    </w:p>
    <w:p w14:paraId="79C0755D" w14:textId="582C6F4D" w:rsidR="006B463D" w:rsidRDefault="005E443C" w:rsidP="005E443C">
      <w:pPr>
        <w:pStyle w:val="LegalHeading2"/>
        <w:numPr>
          <w:ilvl w:val="0"/>
          <w:numId w:val="0"/>
        </w:numPr>
        <w:tabs>
          <w:tab w:val="left" w:pos="2629"/>
        </w:tabs>
        <w:ind w:left="2629" w:hanging="1134"/>
        <w:rPr>
          <w:lang w:val="en-US"/>
        </w:rPr>
      </w:pPr>
      <w:r>
        <w:rPr>
          <w:rFonts w:cs="Arial"/>
          <w:b w:val="0"/>
          <w:lang w:val="en-US"/>
        </w:rPr>
        <w:t>17.6</w:t>
      </w:r>
      <w:r>
        <w:rPr>
          <w:rFonts w:cs="Arial"/>
          <w:b w:val="0"/>
          <w:lang w:val="en-US"/>
        </w:rPr>
        <w:tab/>
      </w:r>
      <w:r w:rsidR="0052422D" w:rsidRPr="0052422D">
        <w:rPr>
          <w:b w:val="0"/>
          <w:bCs/>
        </w:rPr>
        <w:t>T</w:t>
      </w:r>
      <w:r w:rsidR="001D1F73" w:rsidRPr="0052422D">
        <w:rPr>
          <w:b w:val="0"/>
          <w:bCs/>
        </w:rPr>
        <w:t xml:space="preserve">he respondents further seek an order to the effect that once the orders have been granted that the parties refrain from issuing legal process against each other until such time that the verification process and the election have been completed. This order is incompetent in law and unconstitutional. The respondents seek to have their own members set out in annexure </w:t>
      </w:r>
      <w:r w:rsidR="00276B11">
        <w:rPr>
          <w:b w:val="0"/>
          <w:bCs/>
        </w:rPr>
        <w:t>“</w:t>
      </w:r>
      <w:r w:rsidR="001D1F73" w:rsidRPr="0052422D">
        <w:rPr>
          <w:b w:val="0"/>
          <w:bCs/>
        </w:rPr>
        <w:t>MP1</w:t>
      </w:r>
      <w:r w:rsidR="00276B11">
        <w:rPr>
          <w:b w:val="0"/>
          <w:bCs/>
        </w:rPr>
        <w:t>”</w:t>
      </w:r>
      <w:r w:rsidR="001D1F73" w:rsidRPr="0052422D">
        <w:rPr>
          <w:b w:val="0"/>
          <w:bCs/>
        </w:rPr>
        <w:t xml:space="preserve"> attached to the founding affidavit appointed as </w:t>
      </w:r>
      <w:r w:rsidR="001D1F73" w:rsidRPr="0052422D">
        <w:rPr>
          <w:b w:val="0"/>
          <w:bCs/>
        </w:rPr>
        <w:lastRenderedPageBreak/>
        <w:t>Trustees without having been elected as set out in the Trust Deed.</w:t>
      </w:r>
    </w:p>
    <w:p w14:paraId="5154257D" w14:textId="5948C7F9" w:rsidR="00D509BD" w:rsidRDefault="005E443C" w:rsidP="005E443C">
      <w:pPr>
        <w:pStyle w:val="LegalNormal"/>
        <w:tabs>
          <w:tab w:val="left" w:pos="927"/>
        </w:tabs>
        <w:ind w:left="927" w:hanging="567"/>
        <w:rPr>
          <w:lang w:val="en-US"/>
        </w:rPr>
      </w:pPr>
      <w:r>
        <w:rPr>
          <w:sz w:val="28"/>
          <w:szCs w:val="28"/>
          <w:lang w:val="en-US"/>
        </w:rPr>
        <w:t>[18]</w:t>
      </w:r>
      <w:r>
        <w:rPr>
          <w:sz w:val="28"/>
          <w:szCs w:val="28"/>
          <w:lang w:val="en-US"/>
        </w:rPr>
        <w:tab/>
      </w:r>
      <w:r w:rsidR="004A4E5F" w:rsidRPr="004A4E5F">
        <w:rPr>
          <w:lang w:val="en-US"/>
        </w:rPr>
        <w:t xml:space="preserve">The trust is a Community Trust and has more than 100 beneficiaries. The </w:t>
      </w:r>
      <w:r w:rsidR="002B7552">
        <w:rPr>
          <w:lang w:val="en-US"/>
        </w:rPr>
        <w:t xml:space="preserve">respondents </w:t>
      </w:r>
      <w:r w:rsidR="004A4E5F" w:rsidRPr="004A4E5F">
        <w:rPr>
          <w:lang w:val="en-US"/>
        </w:rPr>
        <w:t>do not represent all the beneficiaries.</w:t>
      </w:r>
      <w:r w:rsidR="00E46119" w:rsidRPr="00E46119">
        <w:rPr>
          <w:lang w:val="en-US"/>
        </w:rPr>
        <w:t xml:space="preserve"> As it appears from the purported resolution attached to the </w:t>
      </w:r>
      <w:r w:rsidR="00B64772">
        <w:rPr>
          <w:lang w:val="en-US"/>
        </w:rPr>
        <w:t>respondents’</w:t>
      </w:r>
      <w:r w:rsidR="00E46119" w:rsidRPr="00E46119">
        <w:rPr>
          <w:lang w:val="en-US"/>
        </w:rPr>
        <w:t xml:space="preserve"> founding affidavit, only 12 beneficiaries are involved in these proceedings. As set out in the answering affidavit in the main application (</w:t>
      </w:r>
      <w:r w:rsidR="004B7748" w:rsidRPr="004B7748">
        <w:rPr>
          <w:lang w:val="en-US"/>
        </w:rPr>
        <w:t xml:space="preserve">paragraph 4), the deponent to the founding affidavit Lucas </w:t>
      </w:r>
      <w:r w:rsidR="00B46729">
        <w:rPr>
          <w:lang w:val="en-US"/>
        </w:rPr>
        <w:t>P</w:t>
      </w:r>
      <w:r w:rsidR="002B7552">
        <w:rPr>
          <w:lang w:val="en-US"/>
        </w:rPr>
        <w:t>haurus</w:t>
      </w:r>
      <w:r w:rsidR="004B7748" w:rsidRPr="004B7748">
        <w:rPr>
          <w:lang w:val="en-US"/>
        </w:rPr>
        <w:t xml:space="preserve"> </w:t>
      </w:r>
      <w:r w:rsidR="002B7552">
        <w:rPr>
          <w:lang w:val="en-US"/>
        </w:rPr>
        <w:t>M</w:t>
      </w:r>
      <w:r w:rsidR="00B46729" w:rsidRPr="00B46729">
        <w:rPr>
          <w:lang w:val="en-US"/>
        </w:rPr>
        <w:t>ashi</w:t>
      </w:r>
      <w:r w:rsidR="002B7552">
        <w:rPr>
          <w:lang w:val="en-US"/>
        </w:rPr>
        <w:t>g</w:t>
      </w:r>
      <w:r w:rsidR="00B46729" w:rsidRPr="00B46729">
        <w:rPr>
          <w:lang w:val="en-US"/>
        </w:rPr>
        <w:t>o has since passed away.</w:t>
      </w:r>
    </w:p>
    <w:p w14:paraId="5205C190" w14:textId="76669AAD" w:rsidR="00D116DD" w:rsidRDefault="005E443C" w:rsidP="005E443C">
      <w:pPr>
        <w:pStyle w:val="LegalNormal"/>
        <w:tabs>
          <w:tab w:val="left" w:pos="927"/>
        </w:tabs>
        <w:ind w:left="927" w:hanging="567"/>
        <w:rPr>
          <w:lang w:val="en-US"/>
        </w:rPr>
      </w:pPr>
      <w:r>
        <w:rPr>
          <w:sz w:val="28"/>
          <w:szCs w:val="28"/>
          <w:lang w:val="en-US"/>
        </w:rPr>
        <w:t>[19]</w:t>
      </w:r>
      <w:r>
        <w:rPr>
          <w:sz w:val="28"/>
          <w:szCs w:val="28"/>
          <w:lang w:val="en-US"/>
        </w:rPr>
        <w:tab/>
      </w:r>
      <w:r w:rsidR="00D116DD" w:rsidRPr="00D116DD">
        <w:rPr>
          <w:lang w:val="en-US"/>
        </w:rPr>
        <w:t xml:space="preserve">The deponent is further advised that the list of beneficiaries attached to the </w:t>
      </w:r>
      <w:r w:rsidR="00560268">
        <w:rPr>
          <w:lang w:val="en-US"/>
        </w:rPr>
        <w:t>applicants’</w:t>
      </w:r>
      <w:r w:rsidR="00D116DD" w:rsidRPr="00D116DD">
        <w:rPr>
          <w:lang w:val="en-US"/>
        </w:rPr>
        <w:t xml:space="preserve"> founding affidavit</w:t>
      </w:r>
      <w:r w:rsidR="00ED72C5">
        <w:rPr>
          <w:lang w:val="en-US"/>
        </w:rPr>
        <w:t xml:space="preserve"> in the main application</w:t>
      </w:r>
      <w:r w:rsidR="00D116DD" w:rsidRPr="00D116DD">
        <w:rPr>
          <w:lang w:val="en-US"/>
        </w:rPr>
        <w:t xml:space="preserve"> is correct</w:t>
      </w:r>
      <w:r w:rsidR="00ED72C5">
        <w:rPr>
          <w:lang w:val="en-US"/>
        </w:rPr>
        <w:t xml:space="preserve"> and </w:t>
      </w:r>
      <w:r w:rsidR="00E0647D">
        <w:rPr>
          <w:lang w:val="en-US"/>
        </w:rPr>
        <w:t>was prepared by the 9</w:t>
      </w:r>
      <w:r w:rsidR="00E0647D" w:rsidRPr="00E0647D">
        <w:rPr>
          <w:vertAlign w:val="superscript"/>
          <w:lang w:val="en-US"/>
        </w:rPr>
        <w:t>th</w:t>
      </w:r>
      <w:r w:rsidR="00E0647D">
        <w:rPr>
          <w:lang w:val="en-US"/>
        </w:rPr>
        <w:t xml:space="preserve"> Respondent (main </w:t>
      </w:r>
      <w:r w:rsidR="00560268">
        <w:rPr>
          <w:lang w:val="en-US"/>
        </w:rPr>
        <w:t>application).</w:t>
      </w:r>
    </w:p>
    <w:p w14:paraId="431B182D" w14:textId="7E67FD1F" w:rsidR="00276B11" w:rsidRPr="00276B11" w:rsidRDefault="005E443C" w:rsidP="005E443C">
      <w:pPr>
        <w:pStyle w:val="LegalNormal"/>
        <w:tabs>
          <w:tab w:val="left" w:pos="927"/>
        </w:tabs>
        <w:ind w:left="927" w:hanging="567"/>
        <w:rPr>
          <w:lang w:val="en-US"/>
        </w:rPr>
      </w:pPr>
      <w:r w:rsidRPr="00276B11">
        <w:rPr>
          <w:sz w:val="28"/>
          <w:szCs w:val="28"/>
          <w:lang w:val="en-US"/>
        </w:rPr>
        <w:t>[20]</w:t>
      </w:r>
      <w:r w:rsidRPr="00276B11">
        <w:rPr>
          <w:sz w:val="28"/>
          <w:szCs w:val="28"/>
          <w:lang w:val="en-US"/>
        </w:rPr>
        <w:tab/>
      </w:r>
      <w:r w:rsidR="00560268">
        <w:rPr>
          <w:lang w:val="en-US"/>
        </w:rPr>
        <w:t xml:space="preserve">It is in the interest </w:t>
      </w:r>
      <w:r w:rsidR="008A47BE">
        <w:rPr>
          <w:lang w:val="en-US"/>
        </w:rPr>
        <w:t xml:space="preserve">of justice </w:t>
      </w:r>
      <w:r w:rsidR="00894CB8">
        <w:rPr>
          <w:lang w:val="en-US"/>
        </w:rPr>
        <w:t>that</w:t>
      </w:r>
      <w:r w:rsidR="008A47BE">
        <w:rPr>
          <w:lang w:val="en-US"/>
        </w:rPr>
        <w:t xml:space="preserve"> t</w:t>
      </w:r>
      <w:r w:rsidR="006F0055">
        <w:rPr>
          <w:lang w:val="en-US"/>
        </w:rPr>
        <w:t>h</w:t>
      </w:r>
      <w:r w:rsidR="008A47BE">
        <w:rPr>
          <w:lang w:val="en-US"/>
        </w:rPr>
        <w:t xml:space="preserve">e </w:t>
      </w:r>
      <w:r w:rsidR="006F0055">
        <w:rPr>
          <w:lang w:val="en-US"/>
        </w:rPr>
        <w:t>ma</w:t>
      </w:r>
      <w:r w:rsidR="008A47BE">
        <w:rPr>
          <w:lang w:val="en-US"/>
        </w:rPr>
        <w:t xml:space="preserve">in application be brought to finality and the court </w:t>
      </w:r>
      <w:r w:rsidR="008F25A5">
        <w:rPr>
          <w:lang w:val="en-US"/>
        </w:rPr>
        <w:t>should hav</w:t>
      </w:r>
      <w:r w:rsidR="00F94191">
        <w:rPr>
          <w:lang w:val="en-US"/>
        </w:rPr>
        <w:t>e</w:t>
      </w:r>
      <w:r w:rsidR="006F0055">
        <w:rPr>
          <w:lang w:val="en-US"/>
        </w:rPr>
        <w:t xml:space="preserve"> </w:t>
      </w:r>
      <w:r w:rsidR="00F94191">
        <w:rPr>
          <w:lang w:val="en-US"/>
        </w:rPr>
        <w:t>consideration of the answering affidavit forming the basis of this appl</w:t>
      </w:r>
      <w:r w:rsidR="00894CB8">
        <w:rPr>
          <w:lang w:val="en-US"/>
        </w:rPr>
        <w:t>ication.</w:t>
      </w:r>
    </w:p>
    <w:p w14:paraId="2F196C6E" w14:textId="77777777" w:rsidR="00276B11" w:rsidRPr="00276B11" w:rsidRDefault="00276B11" w:rsidP="00276B11">
      <w:pPr>
        <w:pStyle w:val="LegalNormal"/>
        <w:rPr>
          <w:lang w:val="en-US"/>
        </w:rPr>
      </w:pPr>
    </w:p>
    <w:p w14:paraId="011CFB9B" w14:textId="4E67C7C7" w:rsidR="008B0F89" w:rsidRPr="006C77E6" w:rsidRDefault="005E443C" w:rsidP="005E443C">
      <w:pPr>
        <w:pStyle w:val="LegalNormal"/>
        <w:ind w:left="720" w:hanging="360"/>
        <w:rPr>
          <w:b/>
          <w:bCs/>
          <w:lang w:val="en-US"/>
        </w:rPr>
      </w:pPr>
      <w:r w:rsidRPr="006C77E6">
        <w:rPr>
          <w:b/>
          <w:bCs/>
          <w:lang w:val="en-US"/>
        </w:rPr>
        <w:t>D.</w:t>
      </w:r>
      <w:r w:rsidRPr="006C77E6">
        <w:rPr>
          <w:b/>
          <w:bCs/>
          <w:lang w:val="en-US"/>
        </w:rPr>
        <w:tab/>
      </w:r>
      <w:r w:rsidR="006C77E6" w:rsidRPr="006C77E6">
        <w:rPr>
          <w:b/>
          <w:bCs/>
          <w:lang w:val="en-US"/>
        </w:rPr>
        <w:t xml:space="preserve"> CASE FOR THE RESPONDENT</w:t>
      </w:r>
    </w:p>
    <w:p w14:paraId="5A72755B" w14:textId="0B54C720" w:rsidR="002C6071" w:rsidRPr="002C6071" w:rsidRDefault="005E443C" w:rsidP="005E443C">
      <w:pPr>
        <w:pStyle w:val="LegalNormal"/>
        <w:tabs>
          <w:tab w:val="left" w:pos="927"/>
        </w:tabs>
        <w:ind w:left="927" w:hanging="567"/>
        <w:rPr>
          <w:lang w:val="en-US"/>
        </w:rPr>
      </w:pPr>
      <w:r w:rsidRPr="002C6071">
        <w:rPr>
          <w:sz w:val="28"/>
          <w:szCs w:val="28"/>
          <w:lang w:val="en-US"/>
        </w:rPr>
        <w:lastRenderedPageBreak/>
        <w:t>[21]</w:t>
      </w:r>
      <w:r w:rsidRPr="002C6071">
        <w:rPr>
          <w:sz w:val="28"/>
          <w:szCs w:val="28"/>
          <w:lang w:val="en-US"/>
        </w:rPr>
        <w:tab/>
      </w:r>
      <w:r w:rsidR="00D61C56">
        <w:rPr>
          <w:lang w:val="en-US"/>
        </w:rPr>
        <w:t>At the commencement of his submissions</w:t>
      </w:r>
      <w:r w:rsidR="00276B11">
        <w:rPr>
          <w:lang w:val="en-US"/>
        </w:rPr>
        <w:t>,</w:t>
      </w:r>
      <w:r w:rsidR="00D61C56">
        <w:rPr>
          <w:lang w:val="en-US"/>
        </w:rPr>
        <w:t xml:space="preserve"> Mr. Mabilo </w:t>
      </w:r>
      <w:r w:rsidR="006C7691">
        <w:rPr>
          <w:lang w:val="en-US"/>
        </w:rPr>
        <w:t>focused on the applicants’ reas</w:t>
      </w:r>
      <w:r w:rsidR="00FC65B9">
        <w:rPr>
          <w:lang w:val="en-US"/>
        </w:rPr>
        <w:t xml:space="preserve">ons for the delay. He referred to the </w:t>
      </w:r>
      <w:r w:rsidR="00247DBA">
        <w:rPr>
          <w:lang w:val="en-US"/>
        </w:rPr>
        <w:t xml:space="preserve">matter of </w:t>
      </w:r>
      <w:r w:rsidR="00247DBA" w:rsidRPr="00CB5DBA">
        <w:rPr>
          <w:i/>
          <w:iCs/>
          <w:lang w:val="en-US"/>
        </w:rPr>
        <w:t>Nair v Telkom SOC Ltd</w:t>
      </w:r>
      <w:r w:rsidR="00DE07A3">
        <w:rPr>
          <w:i/>
          <w:iCs/>
          <w:lang w:val="en-US"/>
        </w:rPr>
        <w:t>.</w:t>
      </w:r>
      <w:r w:rsidR="00247DBA">
        <w:rPr>
          <w:rStyle w:val="FootnoteReference"/>
          <w:lang w:val="en-US"/>
        </w:rPr>
        <w:footnoteReference w:id="5"/>
      </w:r>
      <w:r w:rsidR="002C6071">
        <w:rPr>
          <w:i/>
          <w:iCs/>
          <w:lang w:val="en-US"/>
        </w:rPr>
        <w:t xml:space="preserve"> </w:t>
      </w:r>
      <w:r w:rsidR="002C6071">
        <w:rPr>
          <w:lang w:val="en-US"/>
        </w:rPr>
        <w:t>Where the court held that:</w:t>
      </w:r>
      <w:r w:rsidR="002C6071" w:rsidRPr="002C6071">
        <w:rPr>
          <w:i/>
          <w:iCs/>
          <w:lang w:val="en-US"/>
        </w:rPr>
        <w:t> </w:t>
      </w:r>
    </w:p>
    <w:p w14:paraId="408D926A" w14:textId="1236C6B9" w:rsidR="002C6071" w:rsidRPr="002C6071" w:rsidRDefault="002C6071" w:rsidP="00FB6182">
      <w:pPr>
        <w:pStyle w:val="LegalNormal"/>
        <w:ind w:left="1440"/>
        <w:rPr>
          <w:lang w:val="en-US"/>
        </w:rPr>
      </w:pPr>
      <w:r>
        <w:rPr>
          <w:i/>
          <w:iCs/>
          <w:lang w:val="en-US"/>
        </w:rPr>
        <w:t>“</w:t>
      </w:r>
      <w:r w:rsidRPr="002C6071">
        <w:rPr>
          <w:i/>
          <w:iCs/>
          <w:lang w:val="en-US"/>
        </w:rPr>
        <w:t>Without a reasonable and acceptable explanation for the delay, the prospects of success are immaterial, and without prospects of success, no matter how good the explanation for the delay, an application for condonation should be refused.</w:t>
      </w:r>
      <w:r>
        <w:rPr>
          <w:i/>
          <w:iCs/>
          <w:lang w:val="en-US"/>
        </w:rPr>
        <w:t>”</w:t>
      </w:r>
    </w:p>
    <w:p w14:paraId="4DB06F93" w14:textId="27BCA6B9" w:rsidR="0018506D" w:rsidRDefault="005E443C" w:rsidP="005E443C">
      <w:pPr>
        <w:pStyle w:val="LegalNormal"/>
        <w:tabs>
          <w:tab w:val="left" w:pos="927"/>
        </w:tabs>
        <w:ind w:left="927" w:hanging="567"/>
        <w:rPr>
          <w:lang w:val="en-US"/>
        </w:rPr>
      </w:pPr>
      <w:r>
        <w:rPr>
          <w:sz w:val="28"/>
          <w:szCs w:val="28"/>
          <w:lang w:val="en-US"/>
        </w:rPr>
        <w:t>[22]</w:t>
      </w:r>
      <w:r>
        <w:rPr>
          <w:sz w:val="28"/>
          <w:szCs w:val="28"/>
          <w:lang w:val="en-US"/>
        </w:rPr>
        <w:tab/>
      </w:r>
      <w:r w:rsidR="002F351A">
        <w:rPr>
          <w:lang w:val="en-US"/>
        </w:rPr>
        <w:t xml:space="preserve">Mr. Mabilo further submitted that the applicant ought to have detailed attempts </w:t>
      </w:r>
      <w:r w:rsidR="00C80207">
        <w:rPr>
          <w:lang w:val="en-US"/>
        </w:rPr>
        <w:t xml:space="preserve">it made to trace Ms. Oliphant </w:t>
      </w:r>
      <w:r w:rsidR="004E7415">
        <w:rPr>
          <w:lang w:val="en-US"/>
        </w:rPr>
        <w:t>to</w:t>
      </w:r>
      <w:r w:rsidR="00C80207">
        <w:rPr>
          <w:lang w:val="en-US"/>
        </w:rPr>
        <w:t xml:space="preserve"> obtain a confirmatory affidavit fr</w:t>
      </w:r>
      <w:r w:rsidR="000C351B">
        <w:rPr>
          <w:lang w:val="en-US"/>
        </w:rPr>
        <w:t>om her at the very least.</w:t>
      </w:r>
    </w:p>
    <w:p w14:paraId="6207C916" w14:textId="32EC210C" w:rsidR="0089037A" w:rsidRDefault="005E443C" w:rsidP="005E443C">
      <w:pPr>
        <w:pStyle w:val="LegalNormal"/>
        <w:tabs>
          <w:tab w:val="left" w:pos="927"/>
        </w:tabs>
        <w:ind w:left="927" w:hanging="567"/>
        <w:rPr>
          <w:lang w:val="en-US"/>
        </w:rPr>
      </w:pPr>
      <w:r>
        <w:rPr>
          <w:sz w:val="28"/>
          <w:szCs w:val="28"/>
          <w:lang w:val="en-US"/>
        </w:rPr>
        <w:t>[23]</w:t>
      </w:r>
      <w:r>
        <w:rPr>
          <w:sz w:val="28"/>
          <w:szCs w:val="28"/>
          <w:lang w:val="en-US"/>
        </w:rPr>
        <w:tab/>
      </w:r>
      <w:r w:rsidR="0089037A">
        <w:rPr>
          <w:lang w:val="en-US"/>
        </w:rPr>
        <w:t xml:space="preserve">The rest of the </w:t>
      </w:r>
      <w:r w:rsidR="00F9277F">
        <w:rPr>
          <w:lang w:val="en-US"/>
        </w:rPr>
        <w:t xml:space="preserve">submissions on behalf of the respondents are in the papers, I will not burden this </w:t>
      </w:r>
      <w:r w:rsidR="004E7415">
        <w:rPr>
          <w:lang w:val="en-US"/>
        </w:rPr>
        <w:t>judgment with same.</w:t>
      </w:r>
    </w:p>
    <w:p w14:paraId="6E1FB943" w14:textId="621BD1D7" w:rsidR="004E7415" w:rsidRPr="00204652" w:rsidRDefault="00204652" w:rsidP="00204652">
      <w:pPr>
        <w:pStyle w:val="LegalNormal"/>
        <w:ind w:left="360" w:firstLine="360"/>
        <w:rPr>
          <w:b/>
          <w:bCs/>
          <w:lang w:val="en-US"/>
        </w:rPr>
      </w:pPr>
      <w:r w:rsidRPr="00204652">
        <w:rPr>
          <w:b/>
          <w:bCs/>
          <w:lang w:val="en-US"/>
        </w:rPr>
        <w:t>E.</w:t>
      </w:r>
      <w:r w:rsidRPr="00204652">
        <w:rPr>
          <w:b/>
          <w:bCs/>
          <w:lang w:val="en-US"/>
        </w:rPr>
        <w:tab/>
      </w:r>
      <w:r w:rsidR="004E7415" w:rsidRPr="00204652">
        <w:rPr>
          <w:b/>
          <w:bCs/>
          <w:lang w:val="en-US"/>
        </w:rPr>
        <w:t>DISCUSSION</w:t>
      </w:r>
    </w:p>
    <w:p w14:paraId="187ABB4A" w14:textId="4B4BB85A" w:rsidR="008B0F89" w:rsidRPr="00FB6182" w:rsidRDefault="005E443C" w:rsidP="005E443C">
      <w:pPr>
        <w:pStyle w:val="LegalNormal"/>
        <w:tabs>
          <w:tab w:val="left" w:pos="927"/>
        </w:tabs>
        <w:ind w:left="927" w:hanging="567"/>
        <w:rPr>
          <w:lang w:val="en-US"/>
        </w:rPr>
      </w:pPr>
      <w:r w:rsidRPr="00FB6182">
        <w:rPr>
          <w:sz w:val="28"/>
          <w:szCs w:val="28"/>
          <w:lang w:val="en-US"/>
        </w:rPr>
        <w:t>[24]</w:t>
      </w:r>
      <w:r w:rsidRPr="00FB6182">
        <w:rPr>
          <w:sz w:val="28"/>
          <w:szCs w:val="28"/>
          <w:lang w:val="en-US"/>
        </w:rPr>
        <w:tab/>
      </w:r>
      <w:r w:rsidR="002C6071" w:rsidRPr="000C3A54">
        <w:rPr>
          <w:i/>
          <w:iCs/>
          <w:lang w:val="en-US"/>
        </w:rPr>
        <w:t xml:space="preserve"> </w:t>
      </w:r>
      <w:r w:rsidR="000C3A54">
        <w:rPr>
          <w:lang w:val="en-US"/>
        </w:rPr>
        <w:t>There are numerous auth</w:t>
      </w:r>
      <w:r w:rsidR="00DA7956">
        <w:rPr>
          <w:lang w:val="en-US"/>
        </w:rPr>
        <w:t xml:space="preserve">orities, </w:t>
      </w:r>
      <w:r w:rsidR="002069F7">
        <w:rPr>
          <w:lang w:val="en-US"/>
        </w:rPr>
        <w:t xml:space="preserve">where </w:t>
      </w:r>
      <w:r w:rsidR="002069F7" w:rsidRPr="006F41D8">
        <w:t>the prospects of success were held to be irrelevant in the absence of an acceptable explanation for the delay.</w:t>
      </w:r>
      <w:r w:rsidR="002069F7">
        <w:t xml:space="preserve"> T</w:t>
      </w:r>
      <w:r w:rsidR="002069F7" w:rsidRPr="002069F7">
        <w:t xml:space="preserve">he prospects of success would have to be overwhelming to assist the applicants in circumstances where their explanation is found to be so inadequate as to </w:t>
      </w:r>
      <w:r w:rsidR="002069F7" w:rsidRPr="002069F7">
        <w:lastRenderedPageBreak/>
        <w:t>constitute a complete lack of an explanation.</w:t>
      </w:r>
      <w:r w:rsidR="00087F91">
        <w:t xml:space="preserve"> The </w:t>
      </w:r>
      <w:r w:rsidR="004A7FD2">
        <w:t xml:space="preserve">delay of more than a year has not been satisfactorily explained away by the </w:t>
      </w:r>
      <w:r w:rsidR="00672761">
        <w:t xml:space="preserve">deponent. There appears </w:t>
      </w:r>
      <w:r w:rsidR="008004A1">
        <w:t>to be a convenient scapegoat</w:t>
      </w:r>
      <w:r w:rsidR="001964B5">
        <w:t>ing</w:t>
      </w:r>
      <w:r w:rsidR="008004A1">
        <w:t xml:space="preserve"> around the mythical Ms. Oliphant who van</w:t>
      </w:r>
      <w:r w:rsidR="001964B5">
        <w:t>ished into the proverbial thin air.</w:t>
      </w:r>
    </w:p>
    <w:p w14:paraId="77C4AF78" w14:textId="756F5639" w:rsidR="008B0F89" w:rsidRDefault="005E443C" w:rsidP="005E443C">
      <w:pPr>
        <w:pStyle w:val="LegalNormal"/>
        <w:tabs>
          <w:tab w:val="left" w:pos="927"/>
        </w:tabs>
        <w:ind w:left="927" w:hanging="567"/>
        <w:rPr>
          <w:lang w:val="en-US"/>
        </w:rPr>
      </w:pPr>
      <w:r>
        <w:rPr>
          <w:sz w:val="28"/>
          <w:szCs w:val="28"/>
          <w:lang w:val="en-US"/>
        </w:rPr>
        <w:t>[25]</w:t>
      </w:r>
      <w:r>
        <w:rPr>
          <w:sz w:val="28"/>
          <w:szCs w:val="28"/>
          <w:lang w:val="en-US"/>
        </w:rPr>
        <w:tab/>
      </w:r>
      <w:r w:rsidR="00FD3126">
        <w:rPr>
          <w:lang w:val="en-US"/>
        </w:rPr>
        <w:t>In this case</w:t>
      </w:r>
      <w:r w:rsidR="00CB2BB9">
        <w:rPr>
          <w:lang w:val="en-US"/>
        </w:rPr>
        <w:t xml:space="preserve">, </w:t>
      </w:r>
      <w:r w:rsidR="00141549">
        <w:rPr>
          <w:lang w:val="en-US"/>
        </w:rPr>
        <w:t>the</w:t>
      </w:r>
      <w:r w:rsidR="00CB2BB9">
        <w:rPr>
          <w:lang w:val="en-US"/>
        </w:rPr>
        <w:t xml:space="preserve"> hopeless mishandling of this </w:t>
      </w:r>
      <w:r w:rsidR="00110B2F">
        <w:rPr>
          <w:lang w:val="en-US"/>
        </w:rPr>
        <w:t xml:space="preserve">matter lies squarely at the hands of the attorneys Raphela Inc. </w:t>
      </w:r>
      <w:r w:rsidR="00CB280E">
        <w:rPr>
          <w:lang w:val="en-US"/>
        </w:rPr>
        <w:t xml:space="preserve">Whether Ms. Oliphant </w:t>
      </w:r>
      <w:r w:rsidR="00F13B31">
        <w:rPr>
          <w:lang w:val="en-US"/>
        </w:rPr>
        <w:t xml:space="preserve">is the cause of the shambles or not, the </w:t>
      </w:r>
      <w:r w:rsidR="008B6873">
        <w:rPr>
          <w:lang w:val="en-US"/>
        </w:rPr>
        <w:t xml:space="preserve">responsibility should </w:t>
      </w:r>
      <w:r w:rsidR="00141549">
        <w:rPr>
          <w:lang w:val="en-US"/>
        </w:rPr>
        <w:t>ultimately rest</w:t>
      </w:r>
      <w:r w:rsidR="008B6873">
        <w:rPr>
          <w:lang w:val="en-US"/>
        </w:rPr>
        <w:t xml:space="preserve"> at the leadership of the law firm.</w:t>
      </w:r>
    </w:p>
    <w:p w14:paraId="4DEE39ED" w14:textId="64002A9B" w:rsidR="00E1271B" w:rsidRPr="00E1271B" w:rsidRDefault="005E443C" w:rsidP="005E443C">
      <w:pPr>
        <w:pStyle w:val="LegalNormal"/>
        <w:tabs>
          <w:tab w:val="left" w:pos="927"/>
        </w:tabs>
        <w:ind w:left="927" w:hanging="567"/>
        <w:rPr>
          <w:lang w:val="en-US"/>
        </w:rPr>
      </w:pPr>
      <w:r w:rsidRPr="00E1271B">
        <w:rPr>
          <w:sz w:val="28"/>
          <w:szCs w:val="28"/>
          <w:lang w:val="en-US"/>
        </w:rPr>
        <w:t>[26]</w:t>
      </w:r>
      <w:r w:rsidRPr="00E1271B">
        <w:rPr>
          <w:sz w:val="28"/>
          <w:szCs w:val="28"/>
          <w:lang w:val="en-US"/>
        </w:rPr>
        <w:tab/>
      </w:r>
      <w:r w:rsidR="00087F91">
        <w:rPr>
          <w:lang w:val="en-US"/>
        </w:rPr>
        <w:t xml:space="preserve">In </w:t>
      </w:r>
      <w:r w:rsidR="006B3226" w:rsidRPr="006B3226">
        <w:rPr>
          <w:i/>
          <w:iCs/>
        </w:rPr>
        <w:t>Superb Meat Supplies CC v Maritz</w:t>
      </w:r>
      <w:r w:rsidR="006B3226">
        <w:rPr>
          <w:rStyle w:val="FootnoteReference"/>
          <w:i/>
          <w:iCs/>
        </w:rPr>
        <w:footnoteReference w:id="6"/>
      </w:r>
      <w:r w:rsidR="00E1271B">
        <w:rPr>
          <w:i/>
          <w:iCs/>
        </w:rPr>
        <w:t xml:space="preserve"> </w:t>
      </w:r>
      <w:r w:rsidR="003F0F85">
        <w:t>Nicholson AJA stated:</w:t>
      </w:r>
    </w:p>
    <w:p w14:paraId="6C03A4A7" w14:textId="6C67D725" w:rsidR="008B0F89" w:rsidRDefault="00E1271B" w:rsidP="00FB6182">
      <w:pPr>
        <w:pStyle w:val="LegalNormal"/>
        <w:ind w:left="1510"/>
        <w:rPr>
          <w:lang w:val="en-US"/>
        </w:rPr>
      </w:pPr>
      <w:r w:rsidRPr="00E1271B">
        <w:rPr>
          <w:i/>
          <w:iCs/>
        </w:rPr>
        <w:t>“</w:t>
      </w:r>
      <w:r w:rsidRPr="00E1271B">
        <w:rPr>
          <w:i/>
          <w:iCs/>
          <w:lang w:val="en-US"/>
        </w:rPr>
        <w:t>In this court and the Supreme Court of Appeal there have been frequently repeated judicial warnings that there is a limit beyond which a litigant cannot escape the results of his attorney’s lack of diligence of the insufficiency of the explanation tendered. It has never been the law that invariably a litigant will be excused if the blame lies with the attorney. To hold otherwise might have a disastrous effect upon the observance of the rules of this court and set a dangerous precedent. It would invite and encourage laxity on the part of practitioners.”</w:t>
      </w:r>
    </w:p>
    <w:p w14:paraId="5B8F3342" w14:textId="01DF0645" w:rsidR="00161DE4" w:rsidRDefault="005E443C" w:rsidP="005E443C">
      <w:pPr>
        <w:pStyle w:val="LegalNormal"/>
        <w:tabs>
          <w:tab w:val="left" w:pos="927"/>
        </w:tabs>
        <w:ind w:left="927" w:hanging="567"/>
        <w:rPr>
          <w:lang w:val="en-US"/>
        </w:rPr>
      </w:pPr>
      <w:r>
        <w:rPr>
          <w:sz w:val="28"/>
          <w:szCs w:val="28"/>
          <w:lang w:val="en-US"/>
        </w:rPr>
        <w:t>[27]</w:t>
      </w:r>
      <w:r>
        <w:rPr>
          <w:sz w:val="28"/>
          <w:szCs w:val="28"/>
          <w:lang w:val="en-US"/>
        </w:rPr>
        <w:tab/>
      </w:r>
      <w:r w:rsidR="00E9198E" w:rsidRPr="00E9198E">
        <w:t xml:space="preserve">There are therefore limits beyond which a party cannot rely on their legal representative’s lack of diligence or negligence when they are themselves </w:t>
      </w:r>
      <w:r w:rsidR="00E9198E" w:rsidRPr="00E9198E">
        <w:lastRenderedPageBreak/>
        <w:t>innocent insofar as an explanation is provided for any delay or non-compliance with time periods.</w:t>
      </w:r>
      <w:r w:rsidR="00E9198E">
        <w:rPr>
          <w:rStyle w:val="FootnoteReference"/>
        </w:rPr>
        <w:footnoteReference w:id="7"/>
      </w:r>
    </w:p>
    <w:p w14:paraId="1DD1166B" w14:textId="387B2BC1" w:rsidR="00310AC5" w:rsidRPr="00D5413F" w:rsidRDefault="005E443C" w:rsidP="005E443C">
      <w:pPr>
        <w:pStyle w:val="LegalNormal"/>
        <w:tabs>
          <w:tab w:val="left" w:pos="927"/>
        </w:tabs>
        <w:ind w:left="927" w:hanging="567"/>
        <w:rPr>
          <w:lang w:val="en-US"/>
        </w:rPr>
      </w:pPr>
      <w:r w:rsidRPr="00D5413F">
        <w:rPr>
          <w:sz w:val="28"/>
          <w:szCs w:val="28"/>
          <w:lang w:val="en-US"/>
        </w:rPr>
        <w:t>[28]</w:t>
      </w:r>
      <w:r w:rsidRPr="00D5413F">
        <w:rPr>
          <w:sz w:val="28"/>
          <w:szCs w:val="28"/>
          <w:lang w:val="en-US"/>
        </w:rPr>
        <w:tab/>
      </w:r>
      <w:r w:rsidR="000E02D8">
        <w:rPr>
          <w:lang w:val="en-US"/>
        </w:rPr>
        <w:t xml:space="preserve"> </w:t>
      </w:r>
      <w:r w:rsidR="00E67645" w:rsidRPr="00E67645">
        <w:t xml:space="preserve">In </w:t>
      </w:r>
      <w:r w:rsidR="0051639B">
        <w:t>the result</w:t>
      </w:r>
      <w:r w:rsidR="00D5413F">
        <w:t>, the following order is made:</w:t>
      </w:r>
    </w:p>
    <w:p w14:paraId="0FA4F35A" w14:textId="4B312C3E" w:rsidR="00D5413F" w:rsidRPr="001C2A1A" w:rsidRDefault="005E443C" w:rsidP="005E443C">
      <w:pPr>
        <w:pStyle w:val="LegalNormal"/>
        <w:ind w:left="1287" w:hanging="360"/>
        <w:rPr>
          <w:lang w:val="en-US"/>
        </w:rPr>
      </w:pPr>
      <w:r w:rsidRPr="001C2A1A">
        <w:rPr>
          <w:lang w:val="en-US"/>
        </w:rPr>
        <w:t>(a)</w:t>
      </w:r>
      <w:r w:rsidRPr="001C2A1A">
        <w:rPr>
          <w:lang w:val="en-US"/>
        </w:rPr>
        <w:tab/>
      </w:r>
      <w:r w:rsidR="00D5413F">
        <w:t xml:space="preserve">The application for condonation for the late filing of the answering affidavit is </w:t>
      </w:r>
      <w:r w:rsidR="001C2A1A">
        <w:t>dismissed.</w:t>
      </w:r>
    </w:p>
    <w:p w14:paraId="259CC1CE" w14:textId="76057A49" w:rsidR="001C2A1A" w:rsidRDefault="005E443C" w:rsidP="005E443C">
      <w:pPr>
        <w:pStyle w:val="LegalNormal"/>
        <w:ind w:left="1287" w:hanging="360"/>
        <w:rPr>
          <w:lang w:val="en-US"/>
        </w:rPr>
      </w:pPr>
      <w:r>
        <w:rPr>
          <w:lang w:val="en-US"/>
        </w:rPr>
        <w:t>(b)</w:t>
      </w:r>
      <w:r>
        <w:rPr>
          <w:lang w:val="en-US"/>
        </w:rPr>
        <w:tab/>
      </w:r>
      <w:r w:rsidR="001C2A1A">
        <w:t xml:space="preserve">The applicant (respondent in the main application) to pay the costs </w:t>
      </w:r>
      <w:r w:rsidR="00F635F2">
        <w:t>for this application.</w:t>
      </w: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430E9137" w:rsidR="00310AC5" w:rsidRPr="00310AC5" w:rsidRDefault="00310AC5" w:rsidP="00310AC5">
      <w:pPr>
        <w:pStyle w:val="LegalNormal"/>
        <w:spacing w:after="0"/>
        <w:ind w:left="4320" w:firstLine="720"/>
      </w:pPr>
      <w:r>
        <w:t xml:space="preserve">      </w:t>
      </w:r>
      <w:r w:rsidRPr="00310AC5">
        <w:t>Gauteng Division, Pretoria</w:t>
      </w:r>
    </w:p>
    <w:p w14:paraId="73FFE4B8" w14:textId="77777777" w:rsidR="00310AC5" w:rsidRPr="00310AC5" w:rsidRDefault="00310AC5" w:rsidP="00310AC5">
      <w:pPr>
        <w:pStyle w:val="LegalNormal"/>
      </w:pPr>
    </w:p>
    <w:p w14:paraId="7E0A6AA0" w14:textId="1BF2AFBF" w:rsidR="00310AC5" w:rsidRDefault="00310AC5" w:rsidP="00310AC5">
      <w:pPr>
        <w:pStyle w:val="LegalNormal"/>
        <w:spacing w:after="0"/>
      </w:pPr>
      <w:r>
        <w:t xml:space="preserve">Date of hearing: </w:t>
      </w:r>
      <w:r w:rsidR="00276B11">
        <w:t>7</w:t>
      </w:r>
      <w:r>
        <w:t xml:space="preserve"> </w:t>
      </w:r>
      <w:r w:rsidR="00F635F2">
        <w:t>February</w:t>
      </w:r>
      <w:r>
        <w:t xml:space="preserve"> 202</w:t>
      </w:r>
      <w:r w:rsidR="0093569F">
        <w:t>3</w:t>
      </w:r>
    </w:p>
    <w:p w14:paraId="1AC7BE81" w14:textId="5518106C" w:rsidR="00310AC5" w:rsidRPr="00310AC5" w:rsidRDefault="00310AC5" w:rsidP="00310AC5">
      <w:pPr>
        <w:pStyle w:val="LegalNormal"/>
        <w:spacing w:after="0"/>
      </w:pPr>
      <w:r w:rsidRPr="00310AC5">
        <w:t xml:space="preserve">Date of Judgment: </w:t>
      </w:r>
      <w:r w:rsidR="00276B11">
        <w:t>01 August</w:t>
      </w:r>
      <w:r>
        <w:t xml:space="preserve"> 2023</w:t>
      </w:r>
    </w:p>
    <w:p w14:paraId="7BE41C33" w14:textId="0C15808D" w:rsidR="00310AC5" w:rsidRDefault="00310AC5" w:rsidP="00310AC5">
      <w:pPr>
        <w:pStyle w:val="LegalNormal"/>
        <w:spacing w:after="0"/>
      </w:pPr>
    </w:p>
    <w:p w14:paraId="2FF14DBB" w14:textId="2B1F4474" w:rsidR="00276B11" w:rsidRPr="00310AC5" w:rsidRDefault="00276B11" w:rsidP="00310AC5">
      <w:pPr>
        <w:pStyle w:val="LegalNormal"/>
        <w:spacing w:after="0"/>
      </w:pPr>
      <w:r>
        <w:t>Appearances</w:t>
      </w:r>
    </w:p>
    <w:p w14:paraId="11459009" w14:textId="182CBF18" w:rsidR="00310AC5" w:rsidRPr="00310AC5" w:rsidRDefault="00310AC5" w:rsidP="00310AC5">
      <w:pPr>
        <w:pStyle w:val="LegalNormal"/>
        <w:spacing w:after="0"/>
      </w:pPr>
      <w:r w:rsidRPr="00310AC5">
        <w:t xml:space="preserve">On behalf of the </w:t>
      </w:r>
      <w:r w:rsidR="00AB5DCD">
        <w:t>Applicant</w:t>
      </w:r>
      <w:r w:rsidRPr="00310AC5">
        <w:t xml:space="preserve">: Adv. </w:t>
      </w:r>
      <w:r w:rsidR="001F2478">
        <w:t>F. Baloyi</w:t>
      </w:r>
      <w:r w:rsidRPr="00310AC5">
        <w:tab/>
      </w:r>
      <w:r w:rsidRPr="00310AC5">
        <w:tab/>
      </w:r>
    </w:p>
    <w:p w14:paraId="34B350C2" w14:textId="2E086E7C" w:rsidR="00310AC5" w:rsidRDefault="00310AC5" w:rsidP="00310AC5">
      <w:pPr>
        <w:pStyle w:val="LegalNormal"/>
        <w:spacing w:after="0"/>
      </w:pPr>
      <w:r>
        <w:t xml:space="preserve">                 Instructed by</w:t>
      </w:r>
      <w:r w:rsidRPr="00310AC5">
        <w:t xml:space="preserve">: </w:t>
      </w:r>
      <w:r w:rsidR="001F2478">
        <w:t>Raphela</w:t>
      </w:r>
      <w:r w:rsidR="001B154A">
        <w:t xml:space="preserve"> Attorneys</w:t>
      </w:r>
      <w:r w:rsidR="005C3A35">
        <w:t xml:space="preserve"> Inc.</w:t>
      </w:r>
    </w:p>
    <w:p w14:paraId="3DB45401" w14:textId="41A7ECD2" w:rsidR="000158CB" w:rsidRDefault="005C3A35" w:rsidP="00715868">
      <w:pPr>
        <w:pStyle w:val="LegalNormal"/>
        <w:spacing w:after="0"/>
      </w:pPr>
      <w:r>
        <w:lastRenderedPageBreak/>
        <w:tab/>
      </w:r>
      <w:r w:rsidR="00347D7A">
        <w:t xml:space="preserve">         </w:t>
      </w:r>
      <w:r w:rsidR="001B60B6">
        <w:t>E-mail:</w:t>
      </w:r>
      <w:r w:rsidR="00347D7A">
        <w:t xml:space="preserve"> </w:t>
      </w:r>
      <w:hyperlink r:id="rId9" w:history="1">
        <w:r w:rsidR="00AB5DCD" w:rsidRPr="00C37171">
          <w:rPr>
            <w:rStyle w:val="Hyperlink"/>
          </w:rPr>
          <w:t>benjamin@raphelainc.co.za</w:t>
        </w:r>
      </w:hyperlink>
    </w:p>
    <w:p w14:paraId="5E2DF1C0" w14:textId="592EE49D" w:rsidR="00310AC5" w:rsidRPr="00310AC5" w:rsidRDefault="00F95986" w:rsidP="00310AC5">
      <w:pPr>
        <w:pStyle w:val="LegalNormal"/>
        <w:spacing w:after="0"/>
      </w:pPr>
      <w:r>
        <w:tab/>
      </w:r>
    </w:p>
    <w:p w14:paraId="23A03356" w14:textId="77777777" w:rsidR="00310AC5" w:rsidRPr="00310AC5" w:rsidRDefault="00310AC5" w:rsidP="00310AC5">
      <w:pPr>
        <w:pStyle w:val="LegalNormal"/>
        <w:spacing w:after="0"/>
      </w:pPr>
    </w:p>
    <w:p w14:paraId="7BB9CD8B" w14:textId="40094176" w:rsidR="00DC152D" w:rsidRDefault="00310AC5" w:rsidP="00310AC5">
      <w:pPr>
        <w:pStyle w:val="LegalNormal"/>
        <w:spacing w:after="0"/>
      </w:pPr>
      <w:r w:rsidRPr="00310AC5">
        <w:t xml:space="preserve">On behalf of the </w:t>
      </w:r>
      <w:r w:rsidR="00AB5DCD">
        <w:t>Respo</w:t>
      </w:r>
      <w:r w:rsidRPr="00310AC5">
        <w:t>nd</w:t>
      </w:r>
      <w:r w:rsidR="00AB5DCD">
        <w:t>e</w:t>
      </w:r>
      <w:r w:rsidRPr="00310AC5">
        <w:t xml:space="preserve">nt: </w:t>
      </w:r>
      <w:r w:rsidR="00213E80">
        <w:t>A</w:t>
      </w:r>
      <w:r w:rsidR="00755329">
        <w:t>d</w:t>
      </w:r>
      <w:r w:rsidR="00213E80">
        <w:t xml:space="preserve">v. </w:t>
      </w:r>
      <w:r w:rsidR="00AB5DCD">
        <w:t>Mabilo</w:t>
      </w:r>
    </w:p>
    <w:p w14:paraId="040E9E19" w14:textId="52B25AF4" w:rsidR="00310AC5" w:rsidRDefault="002D2C83" w:rsidP="00704FE8">
      <w:pPr>
        <w:pStyle w:val="LegalNormal"/>
        <w:spacing w:after="0"/>
      </w:pPr>
      <w:r>
        <w:t xml:space="preserve">                         Instructed by: Gilbert </w:t>
      </w:r>
      <w:r w:rsidR="004A51E1">
        <w:t xml:space="preserve">Motedi </w:t>
      </w:r>
      <w:r w:rsidR="00BD1E48">
        <w:t>Attorney</w:t>
      </w:r>
      <w:r w:rsidR="00BE7670">
        <w:t>s Inc</w:t>
      </w:r>
      <w:r>
        <w:t>.</w:t>
      </w:r>
    </w:p>
    <w:p w14:paraId="084E4D09" w14:textId="77E46B52" w:rsidR="00347D7A" w:rsidRDefault="00347D7A" w:rsidP="00704FE8">
      <w:pPr>
        <w:pStyle w:val="LegalNormal"/>
        <w:spacing w:after="0"/>
        <w:rPr>
          <w:u w:val="single"/>
        </w:rPr>
      </w:pPr>
      <w:r>
        <w:t xml:space="preserve">                       </w:t>
      </w:r>
      <w:r w:rsidR="002D2C83">
        <w:t xml:space="preserve">             </w:t>
      </w:r>
      <w:r>
        <w:t xml:space="preserve">Email: </w:t>
      </w:r>
      <w:hyperlink r:id="rId10" w:history="1">
        <w:r w:rsidRPr="00AE6690">
          <w:rPr>
            <w:rStyle w:val="Hyperlink"/>
          </w:rPr>
          <w:t>makoropetse@gmail.com</w:t>
        </w:r>
      </w:hyperlink>
    </w:p>
    <w:p w14:paraId="6BC23A83" w14:textId="77777777" w:rsidR="00347D7A" w:rsidRDefault="00347D7A" w:rsidP="00704FE8">
      <w:pPr>
        <w:pStyle w:val="LegalNormal"/>
        <w:spacing w:after="0"/>
      </w:pPr>
    </w:p>
    <w:p w14:paraId="7194F4CD" w14:textId="192E49BE" w:rsidR="00310AC5" w:rsidRPr="00310AC5" w:rsidRDefault="00347D7A" w:rsidP="00310AC5">
      <w:pPr>
        <w:pStyle w:val="LegalNormal"/>
        <w:spacing w:after="0"/>
      </w:pPr>
      <w:r>
        <w:t xml:space="preserve">                       </w:t>
      </w:r>
    </w:p>
    <w:p w14:paraId="3D1AD0FD" w14:textId="19B15663" w:rsidR="00310AC5" w:rsidRPr="00310AC5" w:rsidRDefault="00310AC5" w:rsidP="00310AC5">
      <w:pPr>
        <w:pStyle w:val="LegalNormal"/>
        <w:spacing w:after="0"/>
        <w:rPr>
          <w:sz w:val="22"/>
          <w:szCs w:val="22"/>
          <w:lang w:val="en-US"/>
        </w:rPr>
      </w:pPr>
    </w:p>
    <w:p w14:paraId="0B92D1E9" w14:textId="7A48973C" w:rsidR="00310AC5" w:rsidRPr="00310AC5" w:rsidRDefault="00310AC5" w:rsidP="00310AC5">
      <w:pPr>
        <w:pStyle w:val="LegalNormal"/>
        <w:rPr>
          <w:sz w:val="22"/>
          <w:szCs w:val="22"/>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BD7D7B" w:rsidRPr="00BD7D7B">
        <w:rPr>
          <w:sz w:val="22"/>
          <w:szCs w:val="22"/>
          <w:u w:val="single"/>
        </w:rPr>
        <w:t>01 August</w:t>
      </w:r>
      <w:r w:rsidRPr="00BD7D7B">
        <w:rPr>
          <w:sz w:val="22"/>
          <w:szCs w:val="22"/>
          <w:u w:val="single"/>
        </w:rPr>
        <w:t xml:space="preserve"> 2023</w:t>
      </w:r>
      <w:r w:rsidRPr="00310AC5">
        <w:rPr>
          <w:sz w:val="22"/>
          <w:szCs w:val="22"/>
        </w:rPr>
        <w:t>.</w:t>
      </w:r>
    </w:p>
    <w:p w14:paraId="0E3CA618" w14:textId="7BFE2415" w:rsidR="00012A18" w:rsidRDefault="00310AC5" w:rsidP="009734D0">
      <w:pPr>
        <w:pStyle w:val="LegalList1"/>
        <w:spacing w:after="0" w:line="240" w:lineRule="auto"/>
        <w:rPr>
          <w:rFonts w:ascii="Segoe UI Semilight" w:hAnsi="Segoe UI Semilight" w:cs="Segoe UI Semilight"/>
        </w:rPr>
      </w:pPr>
      <w:r>
        <w:rPr>
          <w:rFonts w:ascii="Segoe UI Semilight" w:hAnsi="Segoe UI Semilight" w:cs="Segoe UI Semilight"/>
        </w:rPr>
        <w:t xml:space="preserve">                                                                                     </w:t>
      </w:r>
    </w:p>
    <w:sectPr w:rsidR="00012A18" w:rsidSect="007732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14FF" w14:textId="77777777" w:rsidR="00B04048" w:rsidRDefault="00B04048" w:rsidP="004466A8">
      <w:r>
        <w:separator/>
      </w:r>
    </w:p>
  </w:endnote>
  <w:endnote w:type="continuationSeparator" w:id="0">
    <w:p w14:paraId="679D6F82" w14:textId="77777777" w:rsidR="00B04048" w:rsidRDefault="00B04048"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76F687E9" w:rsidR="000A4529" w:rsidRDefault="000A4529">
        <w:pPr>
          <w:pStyle w:val="Footer"/>
          <w:jc w:val="center"/>
        </w:pPr>
        <w:r>
          <w:fldChar w:fldCharType="begin"/>
        </w:r>
        <w:r>
          <w:instrText xml:space="preserve"> PAGE   \* MERGEFORMAT </w:instrText>
        </w:r>
        <w:r>
          <w:fldChar w:fldCharType="separate"/>
        </w:r>
        <w:r w:rsidR="005E443C">
          <w:rPr>
            <w:noProof/>
          </w:rPr>
          <w:t>3</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0527" w14:textId="77777777" w:rsidR="00B04048" w:rsidRDefault="00B04048" w:rsidP="004466A8">
      <w:r>
        <w:separator/>
      </w:r>
    </w:p>
  </w:footnote>
  <w:footnote w:type="continuationSeparator" w:id="0">
    <w:p w14:paraId="47F76496" w14:textId="77777777" w:rsidR="00B04048" w:rsidRDefault="00B04048" w:rsidP="004466A8">
      <w:r>
        <w:continuationSeparator/>
      </w:r>
    </w:p>
  </w:footnote>
  <w:footnote w:id="1">
    <w:p w14:paraId="2727C798" w14:textId="0248A9E8" w:rsidR="002D66E9" w:rsidRPr="002D66E9" w:rsidRDefault="002D66E9">
      <w:pPr>
        <w:pStyle w:val="FootnoteText"/>
        <w:rPr>
          <w:lang w:val="en-US"/>
        </w:rPr>
      </w:pPr>
      <w:r>
        <w:rPr>
          <w:rStyle w:val="FootnoteReference"/>
        </w:rPr>
        <w:footnoteRef/>
      </w:r>
      <w:r>
        <w:t xml:space="preserve"> </w:t>
      </w:r>
      <w:r w:rsidR="00623726">
        <w:rPr>
          <w:lang w:val="en-US"/>
        </w:rPr>
        <w:t xml:space="preserve">Nampak v SweetCor (Pty) Ltd 1981 (4) </w:t>
      </w:r>
      <w:r w:rsidR="00BD16A5">
        <w:rPr>
          <w:lang w:val="en-US"/>
        </w:rPr>
        <w:t xml:space="preserve">SA </w:t>
      </w:r>
      <w:r w:rsidR="00623726">
        <w:rPr>
          <w:lang w:val="en-US"/>
        </w:rPr>
        <w:t>91</w:t>
      </w:r>
      <w:r w:rsidR="00BD16A5">
        <w:rPr>
          <w:lang w:val="en-US"/>
        </w:rPr>
        <w:t>9 (T)</w:t>
      </w:r>
    </w:p>
  </w:footnote>
  <w:footnote w:id="2">
    <w:p w14:paraId="23286457" w14:textId="717BE5B6" w:rsidR="00C41483" w:rsidRPr="00C41483" w:rsidRDefault="00C41483" w:rsidP="008E29E4">
      <w:pPr>
        <w:pStyle w:val="FootnoteText"/>
        <w:rPr>
          <w:lang w:val="en-US"/>
        </w:rPr>
      </w:pPr>
      <w:r>
        <w:rPr>
          <w:rStyle w:val="FootnoteReference"/>
        </w:rPr>
        <w:footnoteRef/>
      </w:r>
      <w:r w:rsidR="00883524">
        <w:t xml:space="preserve"> </w:t>
      </w:r>
      <w:r w:rsidR="00883524" w:rsidRPr="00883524">
        <w:rPr>
          <w:i/>
          <w:iCs/>
        </w:rPr>
        <w:t>Darries v Sheriff, Magistrate's Court, Wynberg</w:t>
      </w:r>
      <w:r w:rsidR="00883524" w:rsidRPr="00883524">
        <w:t> </w:t>
      </w:r>
      <w:hyperlink r:id="rId1" w:tgtFrame="main" w:history="1">
        <w:r w:rsidR="00883524" w:rsidRPr="00883524">
          <w:rPr>
            <w:rStyle w:val="Hyperlink"/>
            <w:color w:val="auto"/>
          </w:rPr>
          <w:t>1998 (3) SA 34 (SCA)</w:t>
        </w:r>
      </w:hyperlink>
      <w:r w:rsidR="00883524" w:rsidRPr="00883524">
        <w:t> at 41D.)</w:t>
      </w:r>
    </w:p>
  </w:footnote>
  <w:footnote w:id="3">
    <w:p w14:paraId="001F7B90" w14:textId="77777777" w:rsidR="008B0F89" w:rsidRPr="0073247E" w:rsidRDefault="008B0F89" w:rsidP="008B0F89">
      <w:pPr>
        <w:pStyle w:val="FootnoteText"/>
        <w:rPr>
          <w:lang w:val="en-US"/>
        </w:rPr>
      </w:pPr>
      <w:r>
        <w:rPr>
          <w:rStyle w:val="FootnoteReference"/>
        </w:rPr>
        <w:footnoteRef/>
      </w:r>
      <w:r>
        <w:t xml:space="preserve"> </w:t>
      </w:r>
      <w:r>
        <w:rPr>
          <w:lang w:val="en-US"/>
        </w:rPr>
        <w:t>Uitenhage Transitional Local Council v SA Revenue Service 2004 (1) SA- 292 (SCA) at 297</w:t>
      </w:r>
    </w:p>
  </w:footnote>
  <w:footnote w:id="4">
    <w:p w14:paraId="0EE7535F" w14:textId="5FD1F331" w:rsidR="008E29E4" w:rsidRPr="008E29E4" w:rsidRDefault="008E29E4">
      <w:pPr>
        <w:pStyle w:val="FootnoteText"/>
        <w:rPr>
          <w:lang w:val="en-ZA"/>
        </w:rPr>
      </w:pPr>
      <w:r>
        <w:rPr>
          <w:rStyle w:val="FootnoteReference"/>
        </w:rPr>
        <w:footnoteRef/>
      </w:r>
      <w:r>
        <w:t xml:space="preserve"> </w:t>
      </w:r>
      <w:r w:rsidRPr="008E29E4">
        <w:t>2014 (2) SA 68 (CC) at para [22]</w:t>
      </w:r>
    </w:p>
  </w:footnote>
  <w:footnote w:id="5">
    <w:p w14:paraId="2E8F0632" w14:textId="6F82ADC7" w:rsidR="00247DBA" w:rsidRPr="00247DBA" w:rsidRDefault="00247DBA">
      <w:pPr>
        <w:pStyle w:val="FootnoteText"/>
        <w:rPr>
          <w:lang w:val="en-US"/>
        </w:rPr>
      </w:pPr>
      <w:r>
        <w:rPr>
          <w:rStyle w:val="FootnoteReference"/>
        </w:rPr>
        <w:footnoteRef/>
      </w:r>
      <w:r>
        <w:t xml:space="preserve"> </w:t>
      </w:r>
      <w:r w:rsidR="00A56A27">
        <w:rPr>
          <w:lang w:val="en-US"/>
        </w:rPr>
        <w:t>Nair v Tel</w:t>
      </w:r>
      <w:r w:rsidR="00CB5DBA">
        <w:rPr>
          <w:lang w:val="en-US"/>
        </w:rPr>
        <w:t>kom SOC Ltd [2021] ZALCJHB 449</w:t>
      </w:r>
    </w:p>
  </w:footnote>
  <w:footnote w:id="6">
    <w:p w14:paraId="3986629C" w14:textId="2B8AAF14" w:rsidR="006B3226" w:rsidRPr="006B3226" w:rsidRDefault="006B3226">
      <w:pPr>
        <w:pStyle w:val="FootnoteText"/>
        <w:rPr>
          <w:lang w:val="en-US"/>
        </w:rPr>
      </w:pPr>
      <w:r>
        <w:rPr>
          <w:rStyle w:val="FootnoteReference"/>
        </w:rPr>
        <w:footnoteRef/>
      </w:r>
      <w:r>
        <w:t xml:space="preserve"> </w:t>
      </w:r>
      <w:r>
        <w:rPr>
          <w:lang w:val="en-US"/>
        </w:rPr>
        <w:t>Super</w:t>
      </w:r>
      <w:r w:rsidR="00224113">
        <w:rPr>
          <w:lang w:val="en-US"/>
        </w:rPr>
        <w:t>b</w:t>
      </w:r>
      <w:r>
        <w:rPr>
          <w:lang w:val="en-US"/>
        </w:rPr>
        <w:t xml:space="preserve"> Meat</w:t>
      </w:r>
      <w:r w:rsidR="000F1FF8">
        <w:rPr>
          <w:lang w:val="en-US"/>
        </w:rPr>
        <w:t xml:space="preserve"> Supplies CC</w:t>
      </w:r>
      <w:r>
        <w:rPr>
          <w:lang w:val="en-US"/>
        </w:rPr>
        <w:t xml:space="preserve"> v Maritz </w:t>
      </w:r>
      <w:r w:rsidR="00A6753C">
        <w:rPr>
          <w:lang w:val="en-US"/>
        </w:rPr>
        <w:t>(2004) ILJ 96 (LAC) at 100H.</w:t>
      </w:r>
    </w:p>
  </w:footnote>
  <w:footnote w:id="7">
    <w:p w14:paraId="0C637185" w14:textId="324A7ED0" w:rsidR="00E9198E" w:rsidRPr="00E9198E" w:rsidRDefault="00E9198E">
      <w:pPr>
        <w:pStyle w:val="FootnoteText"/>
        <w:rPr>
          <w:lang w:val="en-US"/>
        </w:rPr>
      </w:pPr>
      <w:r>
        <w:rPr>
          <w:rStyle w:val="FootnoteReference"/>
        </w:rPr>
        <w:footnoteRef/>
      </w:r>
      <w:r>
        <w:t xml:space="preserve"> </w:t>
      </w:r>
      <w:r w:rsidR="00C3000E">
        <w:rPr>
          <w:lang w:val="en-US"/>
        </w:rPr>
        <w:t xml:space="preserve">Nair v Telkom SOC Ltd [2021] </w:t>
      </w:r>
      <w:r w:rsidR="00EA62E4">
        <w:rPr>
          <w:lang w:val="en-US"/>
        </w:rPr>
        <w:t>ZALCJHB 449.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51C0287"/>
    <w:multiLevelType w:val="multilevel"/>
    <w:tmpl w:val="CF1CFB98"/>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9">
    <w:nsid w:val="45840D06"/>
    <w:multiLevelType w:val="hybridMultilevel"/>
    <w:tmpl w:val="3B2C502A"/>
    <w:lvl w:ilvl="0" w:tplc="235A95B2">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1">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8"/>
  </w:num>
  <w:num w:numId="2">
    <w:abstractNumId w:val="2"/>
  </w:num>
  <w:num w:numId="3">
    <w:abstractNumId w:val="14"/>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5"/>
  </w:num>
  <w:num w:numId="13">
    <w:abstractNumId w:val="3"/>
  </w:num>
  <w:num w:numId="14">
    <w:abstractNumId w:val="13"/>
  </w:num>
  <w:num w:numId="15">
    <w:abstractNumId w:val="10"/>
  </w:num>
  <w:num w:numId="16">
    <w:abstractNumId w:val="4"/>
  </w:num>
  <w:num w:numId="17">
    <w:abstractNumId w:val="12"/>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263C"/>
    <w:rsid w:val="0000452E"/>
    <w:rsid w:val="00004B2E"/>
    <w:rsid w:val="0000633E"/>
    <w:rsid w:val="00006D46"/>
    <w:rsid w:val="00007F15"/>
    <w:rsid w:val="00012781"/>
    <w:rsid w:val="0001286D"/>
    <w:rsid w:val="00012A18"/>
    <w:rsid w:val="00013F71"/>
    <w:rsid w:val="000158CB"/>
    <w:rsid w:val="00015913"/>
    <w:rsid w:val="000176F3"/>
    <w:rsid w:val="000206C6"/>
    <w:rsid w:val="00023D43"/>
    <w:rsid w:val="0002547B"/>
    <w:rsid w:val="0002620D"/>
    <w:rsid w:val="00026395"/>
    <w:rsid w:val="00026CCB"/>
    <w:rsid w:val="00032E89"/>
    <w:rsid w:val="00034996"/>
    <w:rsid w:val="000417D8"/>
    <w:rsid w:val="00041E02"/>
    <w:rsid w:val="00041FF8"/>
    <w:rsid w:val="00044644"/>
    <w:rsid w:val="00044D86"/>
    <w:rsid w:val="00045AB1"/>
    <w:rsid w:val="00045BCB"/>
    <w:rsid w:val="00045F21"/>
    <w:rsid w:val="00046BC8"/>
    <w:rsid w:val="00046DD6"/>
    <w:rsid w:val="0005076C"/>
    <w:rsid w:val="00052665"/>
    <w:rsid w:val="00053B4E"/>
    <w:rsid w:val="00053F59"/>
    <w:rsid w:val="000541ED"/>
    <w:rsid w:val="00056306"/>
    <w:rsid w:val="000565E0"/>
    <w:rsid w:val="0005718D"/>
    <w:rsid w:val="00063047"/>
    <w:rsid w:val="00063CEA"/>
    <w:rsid w:val="00067B44"/>
    <w:rsid w:val="00070D60"/>
    <w:rsid w:val="000713CF"/>
    <w:rsid w:val="00072435"/>
    <w:rsid w:val="00075708"/>
    <w:rsid w:val="00077A04"/>
    <w:rsid w:val="0008114E"/>
    <w:rsid w:val="00081DB4"/>
    <w:rsid w:val="000860AD"/>
    <w:rsid w:val="000874CB"/>
    <w:rsid w:val="00087F91"/>
    <w:rsid w:val="00092485"/>
    <w:rsid w:val="00092A38"/>
    <w:rsid w:val="00092C48"/>
    <w:rsid w:val="000934F2"/>
    <w:rsid w:val="000956FF"/>
    <w:rsid w:val="00096022"/>
    <w:rsid w:val="000A134C"/>
    <w:rsid w:val="000A19F0"/>
    <w:rsid w:val="000A1FAF"/>
    <w:rsid w:val="000A29E1"/>
    <w:rsid w:val="000A3564"/>
    <w:rsid w:val="000A36B8"/>
    <w:rsid w:val="000A4529"/>
    <w:rsid w:val="000A59A0"/>
    <w:rsid w:val="000A5AF8"/>
    <w:rsid w:val="000A639A"/>
    <w:rsid w:val="000A6572"/>
    <w:rsid w:val="000A678A"/>
    <w:rsid w:val="000A6E89"/>
    <w:rsid w:val="000A731F"/>
    <w:rsid w:val="000B0CC0"/>
    <w:rsid w:val="000B4699"/>
    <w:rsid w:val="000B4D56"/>
    <w:rsid w:val="000B5B3C"/>
    <w:rsid w:val="000B5EC0"/>
    <w:rsid w:val="000B7DB5"/>
    <w:rsid w:val="000C351B"/>
    <w:rsid w:val="000C3A54"/>
    <w:rsid w:val="000C6C70"/>
    <w:rsid w:val="000D15BD"/>
    <w:rsid w:val="000D4B5B"/>
    <w:rsid w:val="000D604C"/>
    <w:rsid w:val="000D72CE"/>
    <w:rsid w:val="000D78D8"/>
    <w:rsid w:val="000D7C9F"/>
    <w:rsid w:val="000E02D8"/>
    <w:rsid w:val="000E486A"/>
    <w:rsid w:val="000E54D2"/>
    <w:rsid w:val="000E5CF3"/>
    <w:rsid w:val="000E64E1"/>
    <w:rsid w:val="000E6743"/>
    <w:rsid w:val="000E7137"/>
    <w:rsid w:val="000F1FF8"/>
    <w:rsid w:val="000F239E"/>
    <w:rsid w:val="000F4395"/>
    <w:rsid w:val="000F5F9D"/>
    <w:rsid w:val="000F6959"/>
    <w:rsid w:val="000F69AA"/>
    <w:rsid w:val="00100B25"/>
    <w:rsid w:val="0010159A"/>
    <w:rsid w:val="00104DF9"/>
    <w:rsid w:val="0010697D"/>
    <w:rsid w:val="00106F23"/>
    <w:rsid w:val="00110B2F"/>
    <w:rsid w:val="00111A06"/>
    <w:rsid w:val="001124E1"/>
    <w:rsid w:val="00112FF4"/>
    <w:rsid w:val="00117233"/>
    <w:rsid w:val="001206E3"/>
    <w:rsid w:val="00120BD8"/>
    <w:rsid w:val="00122AF8"/>
    <w:rsid w:val="00125DDE"/>
    <w:rsid w:val="00127822"/>
    <w:rsid w:val="00127EE8"/>
    <w:rsid w:val="00131748"/>
    <w:rsid w:val="001340F0"/>
    <w:rsid w:val="001346CF"/>
    <w:rsid w:val="001351A5"/>
    <w:rsid w:val="00140E2C"/>
    <w:rsid w:val="00141549"/>
    <w:rsid w:val="00142D20"/>
    <w:rsid w:val="00145C17"/>
    <w:rsid w:val="00150347"/>
    <w:rsid w:val="0015042C"/>
    <w:rsid w:val="00150AAA"/>
    <w:rsid w:val="001522BF"/>
    <w:rsid w:val="001525CE"/>
    <w:rsid w:val="0015309C"/>
    <w:rsid w:val="00154A98"/>
    <w:rsid w:val="00154D4D"/>
    <w:rsid w:val="00157DE0"/>
    <w:rsid w:val="00160CFF"/>
    <w:rsid w:val="00161DE4"/>
    <w:rsid w:val="00166BE2"/>
    <w:rsid w:val="00167404"/>
    <w:rsid w:val="00170B08"/>
    <w:rsid w:val="00172573"/>
    <w:rsid w:val="00174ECE"/>
    <w:rsid w:val="00180C68"/>
    <w:rsid w:val="00183965"/>
    <w:rsid w:val="0018506D"/>
    <w:rsid w:val="0018563F"/>
    <w:rsid w:val="00186FE7"/>
    <w:rsid w:val="001879AC"/>
    <w:rsid w:val="00187E92"/>
    <w:rsid w:val="001929B7"/>
    <w:rsid w:val="00193E19"/>
    <w:rsid w:val="00193F3F"/>
    <w:rsid w:val="00194E30"/>
    <w:rsid w:val="001964B5"/>
    <w:rsid w:val="001A18A5"/>
    <w:rsid w:val="001A426A"/>
    <w:rsid w:val="001A5E34"/>
    <w:rsid w:val="001A7D35"/>
    <w:rsid w:val="001A7EB4"/>
    <w:rsid w:val="001B154A"/>
    <w:rsid w:val="001B271A"/>
    <w:rsid w:val="001B39E5"/>
    <w:rsid w:val="001B54C1"/>
    <w:rsid w:val="001B554E"/>
    <w:rsid w:val="001B55D9"/>
    <w:rsid w:val="001B567B"/>
    <w:rsid w:val="001B60B6"/>
    <w:rsid w:val="001C119B"/>
    <w:rsid w:val="001C26D6"/>
    <w:rsid w:val="001C292E"/>
    <w:rsid w:val="001C2A1A"/>
    <w:rsid w:val="001C3512"/>
    <w:rsid w:val="001C4A09"/>
    <w:rsid w:val="001C7CBD"/>
    <w:rsid w:val="001D1352"/>
    <w:rsid w:val="001D1F73"/>
    <w:rsid w:val="001D3437"/>
    <w:rsid w:val="001E3272"/>
    <w:rsid w:val="001E758B"/>
    <w:rsid w:val="001F2478"/>
    <w:rsid w:val="001F24DD"/>
    <w:rsid w:val="001F5D70"/>
    <w:rsid w:val="002004EC"/>
    <w:rsid w:val="00204652"/>
    <w:rsid w:val="002050FB"/>
    <w:rsid w:val="00205F3E"/>
    <w:rsid w:val="002069F7"/>
    <w:rsid w:val="00212AFF"/>
    <w:rsid w:val="00212EAB"/>
    <w:rsid w:val="00213E80"/>
    <w:rsid w:val="002144E7"/>
    <w:rsid w:val="0021532A"/>
    <w:rsid w:val="00215340"/>
    <w:rsid w:val="00215B62"/>
    <w:rsid w:val="0021656D"/>
    <w:rsid w:val="0021755E"/>
    <w:rsid w:val="002209BA"/>
    <w:rsid w:val="00220F3B"/>
    <w:rsid w:val="002210BF"/>
    <w:rsid w:val="00222CEF"/>
    <w:rsid w:val="00224113"/>
    <w:rsid w:val="00226526"/>
    <w:rsid w:val="00230814"/>
    <w:rsid w:val="00230DF1"/>
    <w:rsid w:val="00231079"/>
    <w:rsid w:val="00232A8E"/>
    <w:rsid w:val="002339B4"/>
    <w:rsid w:val="00236087"/>
    <w:rsid w:val="002374B7"/>
    <w:rsid w:val="0024301F"/>
    <w:rsid w:val="00244BEA"/>
    <w:rsid w:val="00247DBA"/>
    <w:rsid w:val="0025116F"/>
    <w:rsid w:val="002522D6"/>
    <w:rsid w:val="002539B8"/>
    <w:rsid w:val="00254BE5"/>
    <w:rsid w:val="00255104"/>
    <w:rsid w:val="00257B41"/>
    <w:rsid w:val="00257E56"/>
    <w:rsid w:val="002601E8"/>
    <w:rsid w:val="00260D1A"/>
    <w:rsid w:val="00261618"/>
    <w:rsid w:val="00265058"/>
    <w:rsid w:val="002672A5"/>
    <w:rsid w:val="00267411"/>
    <w:rsid w:val="002729D8"/>
    <w:rsid w:val="00274693"/>
    <w:rsid w:val="00276B11"/>
    <w:rsid w:val="0027774A"/>
    <w:rsid w:val="00280652"/>
    <w:rsid w:val="002818B1"/>
    <w:rsid w:val="002820B5"/>
    <w:rsid w:val="00282B15"/>
    <w:rsid w:val="0028349D"/>
    <w:rsid w:val="0028397B"/>
    <w:rsid w:val="002848C2"/>
    <w:rsid w:val="00286CA7"/>
    <w:rsid w:val="00291000"/>
    <w:rsid w:val="00292A7A"/>
    <w:rsid w:val="00294047"/>
    <w:rsid w:val="002948C9"/>
    <w:rsid w:val="002976C6"/>
    <w:rsid w:val="00297CB0"/>
    <w:rsid w:val="00297E4B"/>
    <w:rsid w:val="002A0D22"/>
    <w:rsid w:val="002A3236"/>
    <w:rsid w:val="002A40EE"/>
    <w:rsid w:val="002A452D"/>
    <w:rsid w:val="002A57EF"/>
    <w:rsid w:val="002B020E"/>
    <w:rsid w:val="002B1690"/>
    <w:rsid w:val="002B5165"/>
    <w:rsid w:val="002B61A6"/>
    <w:rsid w:val="002B7552"/>
    <w:rsid w:val="002C03EB"/>
    <w:rsid w:val="002C1526"/>
    <w:rsid w:val="002C2AB6"/>
    <w:rsid w:val="002C3F27"/>
    <w:rsid w:val="002C52AC"/>
    <w:rsid w:val="002C5803"/>
    <w:rsid w:val="002C6071"/>
    <w:rsid w:val="002D193B"/>
    <w:rsid w:val="002D1952"/>
    <w:rsid w:val="002D285C"/>
    <w:rsid w:val="002D2C83"/>
    <w:rsid w:val="002D4AC5"/>
    <w:rsid w:val="002D4BB7"/>
    <w:rsid w:val="002D66E9"/>
    <w:rsid w:val="002E5125"/>
    <w:rsid w:val="002E69C8"/>
    <w:rsid w:val="002E7AC1"/>
    <w:rsid w:val="002F283C"/>
    <w:rsid w:val="002F351A"/>
    <w:rsid w:val="002F3F1A"/>
    <w:rsid w:val="002F4682"/>
    <w:rsid w:val="002F575E"/>
    <w:rsid w:val="00300CF5"/>
    <w:rsid w:val="00300CF8"/>
    <w:rsid w:val="003019DC"/>
    <w:rsid w:val="0030462E"/>
    <w:rsid w:val="003064BF"/>
    <w:rsid w:val="00310AC5"/>
    <w:rsid w:val="0031100A"/>
    <w:rsid w:val="00314226"/>
    <w:rsid w:val="00314953"/>
    <w:rsid w:val="00314B4C"/>
    <w:rsid w:val="0031678C"/>
    <w:rsid w:val="00316C65"/>
    <w:rsid w:val="003170CC"/>
    <w:rsid w:val="003175B4"/>
    <w:rsid w:val="00322A09"/>
    <w:rsid w:val="00323D51"/>
    <w:rsid w:val="0032486C"/>
    <w:rsid w:val="00332DA3"/>
    <w:rsid w:val="00336FD1"/>
    <w:rsid w:val="00340B9B"/>
    <w:rsid w:val="00340F30"/>
    <w:rsid w:val="00341B67"/>
    <w:rsid w:val="00345192"/>
    <w:rsid w:val="00346997"/>
    <w:rsid w:val="00346C63"/>
    <w:rsid w:val="00346FC7"/>
    <w:rsid w:val="003477F2"/>
    <w:rsid w:val="00347D7A"/>
    <w:rsid w:val="00350383"/>
    <w:rsid w:val="003535D0"/>
    <w:rsid w:val="00354480"/>
    <w:rsid w:val="0035549B"/>
    <w:rsid w:val="003572F3"/>
    <w:rsid w:val="00357D59"/>
    <w:rsid w:val="00360A37"/>
    <w:rsid w:val="00362B0C"/>
    <w:rsid w:val="003646ED"/>
    <w:rsid w:val="00365BB3"/>
    <w:rsid w:val="00373007"/>
    <w:rsid w:val="00374E4A"/>
    <w:rsid w:val="00375B44"/>
    <w:rsid w:val="00380224"/>
    <w:rsid w:val="0038245A"/>
    <w:rsid w:val="00382FAE"/>
    <w:rsid w:val="00383C3A"/>
    <w:rsid w:val="003843EC"/>
    <w:rsid w:val="003856A1"/>
    <w:rsid w:val="00386526"/>
    <w:rsid w:val="00386F24"/>
    <w:rsid w:val="00390817"/>
    <w:rsid w:val="00390B63"/>
    <w:rsid w:val="0039296B"/>
    <w:rsid w:val="00393CB2"/>
    <w:rsid w:val="00397C6C"/>
    <w:rsid w:val="003A3DC0"/>
    <w:rsid w:val="003A6A3D"/>
    <w:rsid w:val="003B0F74"/>
    <w:rsid w:val="003B18E3"/>
    <w:rsid w:val="003B1BA9"/>
    <w:rsid w:val="003B51F0"/>
    <w:rsid w:val="003B5843"/>
    <w:rsid w:val="003C2D48"/>
    <w:rsid w:val="003D0B82"/>
    <w:rsid w:val="003D6896"/>
    <w:rsid w:val="003D7610"/>
    <w:rsid w:val="003E01E4"/>
    <w:rsid w:val="003E0ECF"/>
    <w:rsid w:val="003E2D7F"/>
    <w:rsid w:val="003E7D46"/>
    <w:rsid w:val="003F0F85"/>
    <w:rsid w:val="003F10D1"/>
    <w:rsid w:val="003F2339"/>
    <w:rsid w:val="003F3614"/>
    <w:rsid w:val="003F6635"/>
    <w:rsid w:val="004027B9"/>
    <w:rsid w:val="00404353"/>
    <w:rsid w:val="004056C4"/>
    <w:rsid w:val="00412441"/>
    <w:rsid w:val="0042065F"/>
    <w:rsid w:val="00421BE1"/>
    <w:rsid w:val="00424638"/>
    <w:rsid w:val="004302B0"/>
    <w:rsid w:val="00434981"/>
    <w:rsid w:val="004349D2"/>
    <w:rsid w:val="00437EA4"/>
    <w:rsid w:val="004438FE"/>
    <w:rsid w:val="004466A8"/>
    <w:rsid w:val="00446737"/>
    <w:rsid w:val="004471BE"/>
    <w:rsid w:val="00447C74"/>
    <w:rsid w:val="0045041E"/>
    <w:rsid w:val="00460C59"/>
    <w:rsid w:val="00460CEE"/>
    <w:rsid w:val="00461CEF"/>
    <w:rsid w:val="0046770C"/>
    <w:rsid w:val="0047086F"/>
    <w:rsid w:val="00470C60"/>
    <w:rsid w:val="004716DD"/>
    <w:rsid w:val="00473375"/>
    <w:rsid w:val="00474A1F"/>
    <w:rsid w:val="00475381"/>
    <w:rsid w:val="00476EC3"/>
    <w:rsid w:val="0047705C"/>
    <w:rsid w:val="00477A24"/>
    <w:rsid w:val="00477D4C"/>
    <w:rsid w:val="00481070"/>
    <w:rsid w:val="0048171F"/>
    <w:rsid w:val="00483920"/>
    <w:rsid w:val="00486792"/>
    <w:rsid w:val="004868DD"/>
    <w:rsid w:val="00487B5C"/>
    <w:rsid w:val="0049104B"/>
    <w:rsid w:val="004916C9"/>
    <w:rsid w:val="004938C5"/>
    <w:rsid w:val="00495467"/>
    <w:rsid w:val="0049561B"/>
    <w:rsid w:val="004A1258"/>
    <w:rsid w:val="004A23A7"/>
    <w:rsid w:val="004A3DE8"/>
    <w:rsid w:val="004A417D"/>
    <w:rsid w:val="004A4E5F"/>
    <w:rsid w:val="004A51E1"/>
    <w:rsid w:val="004A63F1"/>
    <w:rsid w:val="004A7566"/>
    <w:rsid w:val="004A7FD2"/>
    <w:rsid w:val="004B0045"/>
    <w:rsid w:val="004B182B"/>
    <w:rsid w:val="004B376D"/>
    <w:rsid w:val="004B4EC8"/>
    <w:rsid w:val="004B7748"/>
    <w:rsid w:val="004C054F"/>
    <w:rsid w:val="004C3A65"/>
    <w:rsid w:val="004C49CE"/>
    <w:rsid w:val="004C78D1"/>
    <w:rsid w:val="004D064E"/>
    <w:rsid w:val="004D2C2D"/>
    <w:rsid w:val="004D2F7D"/>
    <w:rsid w:val="004D4436"/>
    <w:rsid w:val="004E0E7D"/>
    <w:rsid w:val="004E101C"/>
    <w:rsid w:val="004E3D82"/>
    <w:rsid w:val="004E72CB"/>
    <w:rsid w:val="004E7415"/>
    <w:rsid w:val="004F16B1"/>
    <w:rsid w:val="004F1C36"/>
    <w:rsid w:val="005018DD"/>
    <w:rsid w:val="00501C40"/>
    <w:rsid w:val="00501D7E"/>
    <w:rsid w:val="00506B6B"/>
    <w:rsid w:val="00510658"/>
    <w:rsid w:val="005113CC"/>
    <w:rsid w:val="0051639B"/>
    <w:rsid w:val="005169E8"/>
    <w:rsid w:val="00517392"/>
    <w:rsid w:val="00517E23"/>
    <w:rsid w:val="005201CF"/>
    <w:rsid w:val="00521645"/>
    <w:rsid w:val="00523169"/>
    <w:rsid w:val="005233B8"/>
    <w:rsid w:val="005235A5"/>
    <w:rsid w:val="00523698"/>
    <w:rsid w:val="0052422D"/>
    <w:rsid w:val="00524AD4"/>
    <w:rsid w:val="005256DB"/>
    <w:rsid w:val="00525E79"/>
    <w:rsid w:val="00532C9A"/>
    <w:rsid w:val="00541167"/>
    <w:rsid w:val="00542D2C"/>
    <w:rsid w:val="00550B3B"/>
    <w:rsid w:val="00556732"/>
    <w:rsid w:val="00557AA9"/>
    <w:rsid w:val="00557BC6"/>
    <w:rsid w:val="00557E37"/>
    <w:rsid w:val="005601D1"/>
    <w:rsid w:val="00560268"/>
    <w:rsid w:val="00562C83"/>
    <w:rsid w:val="005664A7"/>
    <w:rsid w:val="005667D9"/>
    <w:rsid w:val="00567DE3"/>
    <w:rsid w:val="00570128"/>
    <w:rsid w:val="005708AA"/>
    <w:rsid w:val="0057253E"/>
    <w:rsid w:val="005735F4"/>
    <w:rsid w:val="00574C5E"/>
    <w:rsid w:val="00575287"/>
    <w:rsid w:val="0059028F"/>
    <w:rsid w:val="005909E4"/>
    <w:rsid w:val="00590D8C"/>
    <w:rsid w:val="0059103D"/>
    <w:rsid w:val="00591EE2"/>
    <w:rsid w:val="00592087"/>
    <w:rsid w:val="00596C62"/>
    <w:rsid w:val="005A1E63"/>
    <w:rsid w:val="005A1F64"/>
    <w:rsid w:val="005A651A"/>
    <w:rsid w:val="005A6757"/>
    <w:rsid w:val="005A6FDC"/>
    <w:rsid w:val="005A7CBD"/>
    <w:rsid w:val="005B1D2D"/>
    <w:rsid w:val="005B3CC3"/>
    <w:rsid w:val="005B535D"/>
    <w:rsid w:val="005B7680"/>
    <w:rsid w:val="005B7878"/>
    <w:rsid w:val="005C0665"/>
    <w:rsid w:val="005C115A"/>
    <w:rsid w:val="005C2295"/>
    <w:rsid w:val="005C29A9"/>
    <w:rsid w:val="005C342D"/>
    <w:rsid w:val="005C3A35"/>
    <w:rsid w:val="005C7688"/>
    <w:rsid w:val="005D3B33"/>
    <w:rsid w:val="005D3D9A"/>
    <w:rsid w:val="005E3212"/>
    <w:rsid w:val="005E3672"/>
    <w:rsid w:val="005E443C"/>
    <w:rsid w:val="005E5AB7"/>
    <w:rsid w:val="005E5BBA"/>
    <w:rsid w:val="005F2C06"/>
    <w:rsid w:val="005F3D31"/>
    <w:rsid w:val="006002CD"/>
    <w:rsid w:val="006004A1"/>
    <w:rsid w:val="00603EBC"/>
    <w:rsid w:val="00604681"/>
    <w:rsid w:val="00605ECF"/>
    <w:rsid w:val="006070D5"/>
    <w:rsid w:val="00610FED"/>
    <w:rsid w:val="0061200C"/>
    <w:rsid w:val="006123F4"/>
    <w:rsid w:val="00613581"/>
    <w:rsid w:val="00621B49"/>
    <w:rsid w:val="00623726"/>
    <w:rsid w:val="006238F1"/>
    <w:rsid w:val="00623A92"/>
    <w:rsid w:val="00624A79"/>
    <w:rsid w:val="00625637"/>
    <w:rsid w:val="00631257"/>
    <w:rsid w:val="00631344"/>
    <w:rsid w:val="006313A3"/>
    <w:rsid w:val="0063441C"/>
    <w:rsid w:val="006345DC"/>
    <w:rsid w:val="00636FF1"/>
    <w:rsid w:val="006403F2"/>
    <w:rsid w:val="00640548"/>
    <w:rsid w:val="00641030"/>
    <w:rsid w:val="0064212A"/>
    <w:rsid w:val="00644C73"/>
    <w:rsid w:val="00646CAC"/>
    <w:rsid w:val="00650256"/>
    <w:rsid w:val="006504FF"/>
    <w:rsid w:val="0065126B"/>
    <w:rsid w:val="006514A2"/>
    <w:rsid w:val="006536D9"/>
    <w:rsid w:val="006555CC"/>
    <w:rsid w:val="006555E3"/>
    <w:rsid w:val="00666963"/>
    <w:rsid w:val="0067231B"/>
    <w:rsid w:val="00672761"/>
    <w:rsid w:val="006727E5"/>
    <w:rsid w:val="00672B56"/>
    <w:rsid w:val="00673136"/>
    <w:rsid w:val="006739E2"/>
    <w:rsid w:val="006744D5"/>
    <w:rsid w:val="006774F1"/>
    <w:rsid w:val="00681696"/>
    <w:rsid w:val="00681776"/>
    <w:rsid w:val="00684C25"/>
    <w:rsid w:val="00690583"/>
    <w:rsid w:val="006934C3"/>
    <w:rsid w:val="006A003D"/>
    <w:rsid w:val="006A28A5"/>
    <w:rsid w:val="006A3147"/>
    <w:rsid w:val="006A38D3"/>
    <w:rsid w:val="006A4026"/>
    <w:rsid w:val="006A521F"/>
    <w:rsid w:val="006A55FC"/>
    <w:rsid w:val="006A5774"/>
    <w:rsid w:val="006A6FCC"/>
    <w:rsid w:val="006A782B"/>
    <w:rsid w:val="006B0FE1"/>
    <w:rsid w:val="006B10F8"/>
    <w:rsid w:val="006B2F6C"/>
    <w:rsid w:val="006B3226"/>
    <w:rsid w:val="006B463D"/>
    <w:rsid w:val="006B6D89"/>
    <w:rsid w:val="006C1111"/>
    <w:rsid w:val="006C118A"/>
    <w:rsid w:val="006C2FFD"/>
    <w:rsid w:val="006C437A"/>
    <w:rsid w:val="006C7691"/>
    <w:rsid w:val="006C77E6"/>
    <w:rsid w:val="006C7823"/>
    <w:rsid w:val="006C7B4E"/>
    <w:rsid w:val="006D6E5E"/>
    <w:rsid w:val="006E339E"/>
    <w:rsid w:val="006E71A2"/>
    <w:rsid w:val="006F0055"/>
    <w:rsid w:val="006F0ED8"/>
    <w:rsid w:val="006F1D3F"/>
    <w:rsid w:val="006F41D8"/>
    <w:rsid w:val="006F4484"/>
    <w:rsid w:val="006F48B1"/>
    <w:rsid w:val="006F5F46"/>
    <w:rsid w:val="006F6684"/>
    <w:rsid w:val="006F6B2B"/>
    <w:rsid w:val="006F7938"/>
    <w:rsid w:val="0070107B"/>
    <w:rsid w:val="00704FE8"/>
    <w:rsid w:val="0070682B"/>
    <w:rsid w:val="00710BF3"/>
    <w:rsid w:val="00711712"/>
    <w:rsid w:val="0071251B"/>
    <w:rsid w:val="00712C0D"/>
    <w:rsid w:val="007145CB"/>
    <w:rsid w:val="00714A2E"/>
    <w:rsid w:val="00715868"/>
    <w:rsid w:val="007235ED"/>
    <w:rsid w:val="00723E3A"/>
    <w:rsid w:val="00727584"/>
    <w:rsid w:val="0073006D"/>
    <w:rsid w:val="00730FBC"/>
    <w:rsid w:val="007315F7"/>
    <w:rsid w:val="00731F79"/>
    <w:rsid w:val="0073247E"/>
    <w:rsid w:val="007368DE"/>
    <w:rsid w:val="00740C03"/>
    <w:rsid w:val="00740DF3"/>
    <w:rsid w:val="007450C9"/>
    <w:rsid w:val="00753354"/>
    <w:rsid w:val="0075345D"/>
    <w:rsid w:val="00755329"/>
    <w:rsid w:val="007624FD"/>
    <w:rsid w:val="00765999"/>
    <w:rsid w:val="00765DF1"/>
    <w:rsid w:val="007668F9"/>
    <w:rsid w:val="00771307"/>
    <w:rsid w:val="00773260"/>
    <w:rsid w:val="00774FD3"/>
    <w:rsid w:val="007759E1"/>
    <w:rsid w:val="00777F7D"/>
    <w:rsid w:val="00780B5C"/>
    <w:rsid w:val="00783A61"/>
    <w:rsid w:val="00787395"/>
    <w:rsid w:val="00787911"/>
    <w:rsid w:val="00790D97"/>
    <w:rsid w:val="00791DE0"/>
    <w:rsid w:val="007920F1"/>
    <w:rsid w:val="00795F08"/>
    <w:rsid w:val="00795FBB"/>
    <w:rsid w:val="007A1CC0"/>
    <w:rsid w:val="007A305C"/>
    <w:rsid w:val="007A4E81"/>
    <w:rsid w:val="007A56FB"/>
    <w:rsid w:val="007B0C47"/>
    <w:rsid w:val="007B3310"/>
    <w:rsid w:val="007B3F75"/>
    <w:rsid w:val="007B6856"/>
    <w:rsid w:val="007B70CC"/>
    <w:rsid w:val="007B78BF"/>
    <w:rsid w:val="007C1DF0"/>
    <w:rsid w:val="007C1EAD"/>
    <w:rsid w:val="007C2044"/>
    <w:rsid w:val="007C345D"/>
    <w:rsid w:val="007C46C3"/>
    <w:rsid w:val="007C5114"/>
    <w:rsid w:val="007D26BB"/>
    <w:rsid w:val="007D6487"/>
    <w:rsid w:val="007E08AC"/>
    <w:rsid w:val="007E2408"/>
    <w:rsid w:val="007E2B90"/>
    <w:rsid w:val="007E2D46"/>
    <w:rsid w:val="007E2FF7"/>
    <w:rsid w:val="007E5D57"/>
    <w:rsid w:val="007F0FA0"/>
    <w:rsid w:val="007F4A82"/>
    <w:rsid w:val="008004A1"/>
    <w:rsid w:val="008042F7"/>
    <w:rsid w:val="0080452F"/>
    <w:rsid w:val="0080504B"/>
    <w:rsid w:val="00805C7F"/>
    <w:rsid w:val="00807E9A"/>
    <w:rsid w:val="00814707"/>
    <w:rsid w:val="00815A14"/>
    <w:rsid w:val="00817883"/>
    <w:rsid w:val="008209E6"/>
    <w:rsid w:val="0082228A"/>
    <w:rsid w:val="008254F8"/>
    <w:rsid w:val="00825602"/>
    <w:rsid w:val="00825E38"/>
    <w:rsid w:val="00826714"/>
    <w:rsid w:val="008340B8"/>
    <w:rsid w:val="00834B24"/>
    <w:rsid w:val="0083527D"/>
    <w:rsid w:val="008365BD"/>
    <w:rsid w:val="00837799"/>
    <w:rsid w:val="00842B88"/>
    <w:rsid w:val="00842F88"/>
    <w:rsid w:val="00852188"/>
    <w:rsid w:val="0085638A"/>
    <w:rsid w:val="00861B00"/>
    <w:rsid w:val="008639AE"/>
    <w:rsid w:val="00863F01"/>
    <w:rsid w:val="008647F4"/>
    <w:rsid w:val="00864F53"/>
    <w:rsid w:val="008653EF"/>
    <w:rsid w:val="008666E7"/>
    <w:rsid w:val="00867294"/>
    <w:rsid w:val="0087606B"/>
    <w:rsid w:val="00883524"/>
    <w:rsid w:val="008852F9"/>
    <w:rsid w:val="0089037A"/>
    <w:rsid w:val="008903D0"/>
    <w:rsid w:val="00894CB8"/>
    <w:rsid w:val="008A2C2E"/>
    <w:rsid w:val="008A47BE"/>
    <w:rsid w:val="008A6A30"/>
    <w:rsid w:val="008A6D08"/>
    <w:rsid w:val="008B0311"/>
    <w:rsid w:val="008B08BC"/>
    <w:rsid w:val="008B0F89"/>
    <w:rsid w:val="008B17AB"/>
    <w:rsid w:val="008B24B0"/>
    <w:rsid w:val="008B4A76"/>
    <w:rsid w:val="008B4C0B"/>
    <w:rsid w:val="008B502E"/>
    <w:rsid w:val="008B6873"/>
    <w:rsid w:val="008C1260"/>
    <w:rsid w:val="008C32B6"/>
    <w:rsid w:val="008C6890"/>
    <w:rsid w:val="008C7204"/>
    <w:rsid w:val="008D1EBF"/>
    <w:rsid w:val="008D421C"/>
    <w:rsid w:val="008D4472"/>
    <w:rsid w:val="008D679A"/>
    <w:rsid w:val="008D6999"/>
    <w:rsid w:val="008D7B20"/>
    <w:rsid w:val="008E18EB"/>
    <w:rsid w:val="008E29E4"/>
    <w:rsid w:val="008E2B78"/>
    <w:rsid w:val="008E63E2"/>
    <w:rsid w:val="008E64AE"/>
    <w:rsid w:val="008E6ECA"/>
    <w:rsid w:val="008E7C70"/>
    <w:rsid w:val="008F25A5"/>
    <w:rsid w:val="008F4362"/>
    <w:rsid w:val="008F5304"/>
    <w:rsid w:val="008F6C10"/>
    <w:rsid w:val="00901FFB"/>
    <w:rsid w:val="00910139"/>
    <w:rsid w:val="00913849"/>
    <w:rsid w:val="00913B2F"/>
    <w:rsid w:val="009164E2"/>
    <w:rsid w:val="009224E2"/>
    <w:rsid w:val="00923BFC"/>
    <w:rsid w:val="00924715"/>
    <w:rsid w:val="009254FE"/>
    <w:rsid w:val="00930259"/>
    <w:rsid w:val="009318BB"/>
    <w:rsid w:val="00931AF0"/>
    <w:rsid w:val="00933D4F"/>
    <w:rsid w:val="0093569F"/>
    <w:rsid w:val="00936927"/>
    <w:rsid w:val="00940FDD"/>
    <w:rsid w:val="009443D9"/>
    <w:rsid w:val="00947405"/>
    <w:rsid w:val="00947ECD"/>
    <w:rsid w:val="009562DC"/>
    <w:rsid w:val="009622FE"/>
    <w:rsid w:val="00962968"/>
    <w:rsid w:val="00964E27"/>
    <w:rsid w:val="0096505C"/>
    <w:rsid w:val="00965D44"/>
    <w:rsid w:val="0096792A"/>
    <w:rsid w:val="00970B4B"/>
    <w:rsid w:val="009734D0"/>
    <w:rsid w:val="00973C14"/>
    <w:rsid w:val="00976D6C"/>
    <w:rsid w:val="0098020C"/>
    <w:rsid w:val="00980835"/>
    <w:rsid w:val="009843EF"/>
    <w:rsid w:val="00985B97"/>
    <w:rsid w:val="00990A96"/>
    <w:rsid w:val="009911EB"/>
    <w:rsid w:val="00994277"/>
    <w:rsid w:val="00994B43"/>
    <w:rsid w:val="00994BD3"/>
    <w:rsid w:val="00995C9F"/>
    <w:rsid w:val="009978DA"/>
    <w:rsid w:val="009A2EEC"/>
    <w:rsid w:val="009A339E"/>
    <w:rsid w:val="009A6958"/>
    <w:rsid w:val="009A7794"/>
    <w:rsid w:val="009B2ABA"/>
    <w:rsid w:val="009B456F"/>
    <w:rsid w:val="009B5B0B"/>
    <w:rsid w:val="009B6EDB"/>
    <w:rsid w:val="009C03F5"/>
    <w:rsid w:val="009C0571"/>
    <w:rsid w:val="009C147B"/>
    <w:rsid w:val="009C2245"/>
    <w:rsid w:val="009C4E5C"/>
    <w:rsid w:val="009C639E"/>
    <w:rsid w:val="009C7E87"/>
    <w:rsid w:val="009D09F3"/>
    <w:rsid w:val="009D0DEE"/>
    <w:rsid w:val="009D762A"/>
    <w:rsid w:val="009E0A9A"/>
    <w:rsid w:val="009E5C15"/>
    <w:rsid w:val="009E7BED"/>
    <w:rsid w:val="009F0162"/>
    <w:rsid w:val="009F165C"/>
    <w:rsid w:val="009F20B9"/>
    <w:rsid w:val="009F4559"/>
    <w:rsid w:val="009F5582"/>
    <w:rsid w:val="00A01FB4"/>
    <w:rsid w:val="00A02DA9"/>
    <w:rsid w:val="00A103D2"/>
    <w:rsid w:val="00A12022"/>
    <w:rsid w:val="00A14807"/>
    <w:rsid w:val="00A14B1C"/>
    <w:rsid w:val="00A20FCE"/>
    <w:rsid w:val="00A21359"/>
    <w:rsid w:val="00A22190"/>
    <w:rsid w:val="00A23292"/>
    <w:rsid w:val="00A23F91"/>
    <w:rsid w:val="00A24370"/>
    <w:rsid w:val="00A259C9"/>
    <w:rsid w:val="00A30E0F"/>
    <w:rsid w:val="00A31767"/>
    <w:rsid w:val="00A337D5"/>
    <w:rsid w:val="00A34B57"/>
    <w:rsid w:val="00A34C62"/>
    <w:rsid w:val="00A3792A"/>
    <w:rsid w:val="00A37B52"/>
    <w:rsid w:val="00A41A71"/>
    <w:rsid w:val="00A4275F"/>
    <w:rsid w:val="00A43F67"/>
    <w:rsid w:val="00A54028"/>
    <w:rsid w:val="00A55811"/>
    <w:rsid w:val="00A56A27"/>
    <w:rsid w:val="00A607B2"/>
    <w:rsid w:val="00A613D2"/>
    <w:rsid w:val="00A6181A"/>
    <w:rsid w:val="00A63D0A"/>
    <w:rsid w:val="00A64F62"/>
    <w:rsid w:val="00A6753C"/>
    <w:rsid w:val="00A71697"/>
    <w:rsid w:val="00A721A8"/>
    <w:rsid w:val="00A73377"/>
    <w:rsid w:val="00A7423E"/>
    <w:rsid w:val="00A74533"/>
    <w:rsid w:val="00A7459B"/>
    <w:rsid w:val="00A8196A"/>
    <w:rsid w:val="00A82D7A"/>
    <w:rsid w:val="00A833AE"/>
    <w:rsid w:val="00A84192"/>
    <w:rsid w:val="00A86A82"/>
    <w:rsid w:val="00A86CF1"/>
    <w:rsid w:val="00A90321"/>
    <w:rsid w:val="00A91E25"/>
    <w:rsid w:val="00A9248C"/>
    <w:rsid w:val="00A94E59"/>
    <w:rsid w:val="00A95059"/>
    <w:rsid w:val="00A95322"/>
    <w:rsid w:val="00A978EC"/>
    <w:rsid w:val="00AA1D29"/>
    <w:rsid w:val="00AA2ACF"/>
    <w:rsid w:val="00AA47C0"/>
    <w:rsid w:val="00AA76FF"/>
    <w:rsid w:val="00AB485A"/>
    <w:rsid w:val="00AB4FF0"/>
    <w:rsid w:val="00AB5DCD"/>
    <w:rsid w:val="00AB7396"/>
    <w:rsid w:val="00AC0233"/>
    <w:rsid w:val="00AC5259"/>
    <w:rsid w:val="00AD18E6"/>
    <w:rsid w:val="00AD1B3A"/>
    <w:rsid w:val="00AD2F94"/>
    <w:rsid w:val="00AD45B7"/>
    <w:rsid w:val="00AD5927"/>
    <w:rsid w:val="00AD70D2"/>
    <w:rsid w:val="00AE1384"/>
    <w:rsid w:val="00AE2756"/>
    <w:rsid w:val="00AE284E"/>
    <w:rsid w:val="00AE2D3E"/>
    <w:rsid w:val="00AE522E"/>
    <w:rsid w:val="00AE712E"/>
    <w:rsid w:val="00AE72C1"/>
    <w:rsid w:val="00AE7C6E"/>
    <w:rsid w:val="00AF1203"/>
    <w:rsid w:val="00AF2BA9"/>
    <w:rsid w:val="00AF3AC2"/>
    <w:rsid w:val="00AF4082"/>
    <w:rsid w:val="00B0051E"/>
    <w:rsid w:val="00B012C7"/>
    <w:rsid w:val="00B02C59"/>
    <w:rsid w:val="00B0303C"/>
    <w:rsid w:val="00B03CDC"/>
    <w:rsid w:val="00B04048"/>
    <w:rsid w:val="00B0734A"/>
    <w:rsid w:val="00B1144F"/>
    <w:rsid w:val="00B134B4"/>
    <w:rsid w:val="00B30725"/>
    <w:rsid w:val="00B34E44"/>
    <w:rsid w:val="00B358E3"/>
    <w:rsid w:val="00B406F9"/>
    <w:rsid w:val="00B407D6"/>
    <w:rsid w:val="00B408EC"/>
    <w:rsid w:val="00B41BF0"/>
    <w:rsid w:val="00B42483"/>
    <w:rsid w:val="00B44D55"/>
    <w:rsid w:val="00B45216"/>
    <w:rsid w:val="00B45709"/>
    <w:rsid w:val="00B46188"/>
    <w:rsid w:val="00B46729"/>
    <w:rsid w:val="00B525F5"/>
    <w:rsid w:val="00B52792"/>
    <w:rsid w:val="00B556A5"/>
    <w:rsid w:val="00B55969"/>
    <w:rsid w:val="00B564C9"/>
    <w:rsid w:val="00B56A5B"/>
    <w:rsid w:val="00B56AB5"/>
    <w:rsid w:val="00B5709E"/>
    <w:rsid w:val="00B608EA"/>
    <w:rsid w:val="00B61C56"/>
    <w:rsid w:val="00B621CF"/>
    <w:rsid w:val="00B6226F"/>
    <w:rsid w:val="00B6348D"/>
    <w:rsid w:val="00B64108"/>
    <w:rsid w:val="00B64772"/>
    <w:rsid w:val="00B66514"/>
    <w:rsid w:val="00B70A7D"/>
    <w:rsid w:val="00B733F9"/>
    <w:rsid w:val="00B741E7"/>
    <w:rsid w:val="00B763A3"/>
    <w:rsid w:val="00B77601"/>
    <w:rsid w:val="00B81379"/>
    <w:rsid w:val="00B8311D"/>
    <w:rsid w:val="00B8329F"/>
    <w:rsid w:val="00B87159"/>
    <w:rsid w:val="00B959EA"/>
    <w:rsid w:val="00B96C10"/>
    <w:rsid w:val="00BA0496"/>
    <w:rsid w:val="00BA1B29"/>
    <w:rsid w:val="00BA489B"/>
    <w:rsid w:val="00BA675B"/>
    <w:rsid w:val="00BB2D47"/>
    <w:rsid w:val="00BB318E"/>
    <w:rsid w:val="00BB3BD9"/>
    <w:rsid w:val="00BB41CC"/>
    <w:rsid w:val="00BB5F80"/>
    <w:rsid w:val="00BC0897"/>
    <w:rsid w:val="00BC0B58"/>
    <w:rsid w:val="00BC3D7D"/>
    <w:rsid w:val="00BC540C"/>
    <w:rsid w:val="00BC69F9"/>
    <w:rsid w:val="00BC6F73"/>
    <w:rsid w:val="00BC7E29"/>
    <w:rsid w:val="00BD0BC6"/>
    <w:rsid w:val="00BD0FD5"/>
    <w:rsid w:val="00BD16A5"/>
    <w:rsid w:val="00BD1E48"/>
    <w:rsid w:val="00BD2865"/>
    <w:rsid w:val="00BD3DD5"/>
    <w:rsid w:val="00BD4F60"/>
    <w:rsid w:val="00BD5D61"/>
    <w:rsid w:val="00BD66B1"/>
    <w:rsid w:val="00BD678C"/>
    <w:rsid w:val="00BD71E4"/>
    <w:rsid w:val="00BD7D7B"/>
    <w:rsid w:val="00BE134A"/>
    <w:rsid w:val="00BE2337"/>
    <w:rsid w:val="00BE349C"/>
    <w:rsid w:val="00BE382D"/>
    <w:rsid w:val="00BE3E2B"/>
    <w:rsid w:val="00BE7670"/>
    <w:rsid w:val="00BE7B6C"/>
    <w:rsid w:val="00C0273A"/>
    <w:rsid w:val="00C04ECA"/>
    <w:rsid w:val="00C06E1D"/>
    <w:rsid w:val="00C10A4C"/>
    <w:rsid w:val="00C12B88"/>
    <w:rsid w:val="00C14620"/>
    <w:rsid w:val="00C21815"/>
    <w:rsid w:val="00C2243B"/>
    <w:rsid w:val="00C2455E"/>
    <w:rsid w:val="00C25101"/>
    <w:rsid w:val="00C2552B"/>
    <w:rsid w:val="00C26DEE"/>
    <w:rsid w:val="00C3000E"/>
    <w:rsid w:val="00C32D36"/>
    <w:rsid w:val="00C3434B"/>
    <w:rsid w:val="00C346DC"/>
    <w:rsid w:val="00C36862"/>
    <w:rsid w:val="00C36D4B"/>
    <w:rsid w:val="00C40A06"/>
    <w:rsid w:val="00C40DB1"/>
    <w:rsid w:val="00C41483"/>
    <w:rsid w:val="00C41684"/>
    <w:rsid w:val="00C42D7D"/>
    <w:rsid w:val="00C45376"/>
    <w:rsid w:val="00C45F66"/>
    <w:rsid w:val="00C526B4"/>
    <w:rsid w:val="00C578B2"/>
    <w:rsid w:val="00C57DE4"/>
    <w:rsid w:val="00C6239E"/>
    <w:rsid w:val="00C62517"/>
    <w:rsid w:val="00C71242"/>
    <w:rsid w:val="00C71BEA"/>
    <w:rsid w:val="00C750A9"/>
    <w:rsid w:val="00C75C76"/>
    <w:rsid w:val="00C80207"/>
    <w:rsid w:val="00C81E32"/>
    <w:rsid w:val="00C86611"/>
    <w:rsid w:val="00C90C84"/>
    <w:rsid w:val="00CA39B9"/>
    <w:rsid w:val="00CA4DE7"/>
    <w:rsid w:val="00CA5DE0"/>
    <w:rsid w:val="00CB143C"/>
    <w:rsid w:val="00CB1AA9"/>
    <w:rsid w:val="00CB280E"/>
    <w:rsid w:val="00CB2BB9"/>
    <w:rsid w:val="00CB4863"/>
    <w:rsid w:val="00CB5DBA"/>
    <w:rsid w:val="00CB7AAC"/>
    <w:rsid w:val="00CC19A4"/>
    <w:rsid w:val="00CC1B46"/>
    <w:rsid w:val="00CC2037"/>
    <w:rsid w:val="00CC296B"/>
    <w:rsid w:val="00CC2EFF"/>
    <w:rsid w:val="00CC3A7D"/>
    <w:rsid w:val="00CC3EC4"/>
    <w:rsid w:val="00CC5D0D"/>
    <w:rsid w:val="00CC6AE4"/>
    <w:rsid w:val="00CD0227"/>
    <w:rsid w:val="00CD3BBA"/>
    <w:rsid w:val="00CD546E"/>
    <w:rsid w:val="00CD7D31"/>
    <w:rsid w:val="00CE2730"/>
    <w:rsid w:val="00CE3C09"/>
    <w:rsid w:val="00CE75AE"/>
    <w:rsid w:val="00CE78D1"/>
    <w:rsid w:val="00CF28F0"/>
    <w:rsid w:val="00CF40E0"/>
    <w:rsid w:val="00CF62DC"/>
    <w:rsid w:val="00CF6507"/>
    <w:rsid w:val="00CF6B77"/>
    <w:rsid w:val="00CF7B1D"/>
    <w:rsid w:val="00CF7C45"/>
    <w:rsid w:val="00D01A31"/>
    <w:rsid w:val="00D01C97"/>
    <w:rsid w:val="00D03047"/>
    <w:rsid w:val="00D03E04"/>
    <w:rsid w:val="00D04B07"/>
    <w:rsid w:val="00D04FB2"/>
    <w:rsid w:val="00D10504"/>
    <w:rsid w:val="00D116DD"/>
    <w:rsid w:val="00D11E53"/>
    <w:rsid w:val="00D132F7"/>
    <w:rsid w:val="00D16753"/>
    <w:rsid w:val="00D20F4A"/>
    <w:rsid w:val="00D252DE"/>
    <w:rsid w:val="00D266E5"/>
    <w:rsid w:val="00D26982"/>
    <w:rsid w:val="00D26C38"/>
    <w:rsid w:val="00D32A67"/>
    <w:rsid w:val="00D33142"/>
    <w:rsid w:val="00D3346C"/>
    <w:rsid w:val="00D34B8C"/>
    <w:rsid w:val="00D40F07"/>
    <w:rsid w:val="00D4128C"/>
    <w:rsid w:val="00D42FAB"/>
    <w:rsid w:val="00D43164"/>
    <w:rsid w:val="00D441A7"/>
    <w:rsid w:val="00D4641E"/>
    <w:rsid w:val="00D46A02"/>
    <w:rsid w:val="00D500D5"/>
    <w:rsid w:val="00D509BD"/>
    <w:rsid w:val="00D5413F"/>
    <w:rsid w:val="00D56C0A"/>
    <w:rsid w:val="00D57378"/>
    <w:rsid w:val="00D61C56"/>
    <w:rsid w:val="00D61EB7"/>
    <w:rsid w:val="00D625E7"/>
    <w:rsid w:val="00D636A4"/>
    <w:rsid w:val="00D648FA"/>
    <w:rsid w:val="00D7014A"/>
    <w:rsid w:val="00D70AC3"/>
    <w:rsid w:val="00D71B6E"/>
    <w:rsid w:val="00D7244B"/>
    <w:rsid w:val="00D729F4"/>
    <w:rsid w:val="00D72CDE"/>
    <w:rsid w:val="00D8038F"/>
    <w:rsid w:val="00D81633"/>
    <w:rsid w:val="00D82D00"/>
    <w:rsid w:val="00D8392D"/>
    <w:rsid w:val="00D877AE"/>
    <w:rsid w:val="00D90DE2"/>
    <w:rsid w:val="00D91A19"/>
    <w:rsid w:val="00D91B11"/>
    <w:rsid w:val="00D9418C"/>
    <w:rsid w:val="00D9534E"/>
    <w:rsid w:val="00D95782"/>
    <w:rsid w:val="00DA00EF"/>
    <w:rsid w:val="00DA515C"/>
    <w:rsid w:val="00DA6152"/>
    <w:rsid w:val="00DA6DC3"/>
    <w:rsid w:val="00DA7956"/>
    <w:rsid w:val="00DA7F1E"/>
    <w:rsid w:val="00DB0448"/>
    <w:rsid w:val="00DB0931"/>
    <w:rsid w:val="00DB0E88"/>
    <w:rsid w:val="00DB2343"/>
    <w:rsid w:val="00DB38B1"/>
    <w:rsid w:val="00DB40A5"/>
    <w:rsid w:val="00DB742D"/>
    <w:rsid w:val="00DB77EC"/>
    <w:rsid w:val="00DB7D73"/>
    <w:rsid w:val="00DC152D"/>
    <w:rsid w:val="00DC2110"/>
    <w:rsid w:val="00DC39A0"/>
    <w:rsid w:val="00DC51D2"/>
    <w:rsid w:val="00DC657F"/>
    <w:rsid w:val="00DC691F"/>
    <w:rsid w:val="00DC6D30"/>
    <w:rsid w:val="00DC7C96"/>
    <w:rsid w:val="00DD1B6F"/>
    <w:rsid w:val="00DD1EA0"/>
    <w:rsid w:val="00DD2D90"/>
    <w:rsid w:val="00DD60CC"/>
    <w:rsid w:val="00DE07A3"/>
    <w:rsid w:val="00DE399B"/>
    <w:rsid w:val="00DE4072"/>
    <w:rsid w:val="00DE5C90"/>
    <w:rsid w:val="00DF055A"/>
    <w:rsid w:val="00DF4425"/>
    <w:rsid w:val="00DF4B3D"/>
    <w:rsid w:val="00DF5CF0"/>
    <w:rsid w:val="00DF7FE1"/>
    <w:rsid w:val="00E003E7"/>
    <w:rsid w:val="00E03520"/>
    <w:rsid w:val="00E03AAF"/>
    <w:rsid w:val="00E0647D"/>
    <w:rsid w:val="00E1257B"/>
    <w:rsid w:val="00E1271B"/>
    <w:rsid w:val="00E1299D"/>
    <w:rsid w:val="00E135AD"/>
    <w:rsid w:val="00E14C43"/>
    <w:rsid w:val="00E15B7F"/>
    <w:rsid w:val="00E16C85"/>
    <w:rsid w:val="00E17477"/>
    <w:rsid w:val="00E20690"/>
    <w:rsid w:val="00E244F7"/>
    <w:rsid w:val="00E25342"/>
    <w:rsid w:val="00E255E1"/>
    <w:rsid w:val="00E25806"/>
    <w:rsid w:val="00E25ACF"/>
    <w:rsid w:val="00E264B4"/>
    <w:rsid w:val="00E26AD4"/>
    <w:rsid w:val="00E347D7"/>
    <w:rsid w:val="00E3603B"/>
    <w:rsid w:val="00E36E6E"/>
    <w:rsid w:val="00E3754F"/>
    <w:rsid w:val="00E42E34"/>
    <w:rsid w:val="00E431A9"/>
    <w:rsid w:val="00E43B34"/>
    <w:rsid w:val="00E4491E"/>
    <w:rsid w:val="00E46119"/>
    <w:rsid w:val="00E473E0"/>
    <w:rsid w:val="00E52D9C"/>
    <w:rsid w:val="00E53B5A"/>
    <w:rsid w:val="00E55604"/>
    <w:rsid w:val="00E55E33"/>
    <w:rsid w:val="00E56A63"/>
    <w:rsid w:val="00E611B7"/>
    <w:rsid w:val="00E613C7"/>
    <w:rsid w:val="00E641C3"/>
    <w:rsid w:val="00E6549E"/>
    <w:rsid w:val="00E67645"/>
    <w:rsid w:val="00E70F4D"/>
    <w:rsid w:val="00E74C1B"/>
    <w:rsid w:val="00E75C97"/>
    <w:rsid w:val="00E7731E"/>
    <w:rsid w:val="00E81B28"/>
    <w:rsid w:val="00E82EA1"/>
    <w:rsid w:val="00E835B3"/>
    <w:rsid w:val="00E842CC"/>
    <w:rsid w:val="00E86F21"/>
    <w:rsid w:val="00E9198E"/>
    <w:rsid w:val="00E9246F"/>
    <w:rsid w:val="00E92D68"/>
    <w:rsid w:val="00E94D5B"/>
    <w:rsid w:val="00E9576C"/>
    <w:rsid w:val="00E966CA"/>
    <w:rsid w:val="00EA1FCC"/>
    <w:rsid w:val="00EA375E"/>
    <w:rsid w:val="00EA3D17"/>
    <w:rsid w:val="00EA3E45"/>
    <w:rsid w:val="00EA45EA"/>
    <w:rsid w:val="00EA62E4"/>
    <w:rsid w:val="00EB1221"/>
    <w:rsid w:val="00EB2C35"/>
    <w:rsid w:val="00EB41C2"/>
    <w:rsid w:val="00EB4CFE"/>
    <w:rsid w:val="00EB5389"/>
    <w:rsid w:val="00EB5606"/>
    <w:rsid w:val="00EB6107"/>
    <w:rsid w:val="00EC0B15"/>
    <w:rsid w:val="00EC1698"/>
    <w:rsid w:val="00EC2310"/>
    <w:rsid w:val="00EC26AF"/>
    <w:rsid w:val="00EC2B1D"/>
    <w:rsid w:val="00EC47D2"/>
    <w:rsid w:val="00EC50DA"/>
    <w:rsid w:val="00EC518F"/>
    <w:rsid w:val="00EC6B1F"/>
    <w:rsid w:val="00EC6C5A"/>
    <w:rsid w:val="00EC71BC"/>
    <w:rsid w:val="00EC723D"/>
    <w:rsid w:val="00EC74DF"/>
    <w:rsid w:val="00EC75F4"/>
    <w:rsid w:val="00ED1917"/>
    <w:rsid w:val="00ED406C"/>
    <w:rsid w:val="00ED59CE"/>
    <w:rsid w:val="00ED672B"/>
    <w:rsid w:val="00ED693A"/>
    <w:rsid w:val="00ED69E2"/>
    <w:rsid w:val="00ED71A0"/>
    <w:rsid w:val="00ED72C5"/>
    <w:rsid w:val="00ED7D24"/>
    <w:rsid w:val="00EE0653"/>
    <w:rsid w:val="00EE0D1B"/>
    <w:rsid w:val="00EE14D6"/>
    <w:rsid w:val="00EE1706"/>
    <w:rsid w:val="00EE1EEA"/>
    <w:rsid w:val="00EE5EA9"/>
    <w:rsid w:val="00EF1B9B"/>
    <w:rsid w:val="00EF2844"/>
    <w:rsid w:val="00F04828"/>
    <w:rsid w:val="00F07058"/>
    <w:rsid w:val="00F070F7"/>
    <w:rsid w:val="00F07DD5"/>
    <w:rsid w:val="00F10DDE"/>
    <w:rsid w:val="00F111A9"/>
    <w:rsid w:val="00F12621"/>
    <w:rsid w:val="00F13B31"/>
    <w:rsid w:val="00F200E2"/>
    <w:rsid w:val="00F20CBA"/>
    <w:rsid w:val="00F21EBB"/>
    <w:rsid w:val="00F2620A"/>
    <w:rsid w:val="00F268E1"/>
    <w:rsid w:val="00F2742E"/>
    <w:rsid w:val="00F30223"/>
    <w:rsid w:val="00F3079A"/>
    <w:rsid w:val="00F30FE6"/>
    <w:rsid w:val="00F322D6"/>
    <w:rsid w:val="00F34043"/>
    <w:rsid w:val="00F34C13"/>
    <w:rsid w:val="00F35C2A"/>
    <w:rsid w:val="00F369A0"/>
    <w:rsid w:val="00F36CEC"/>
    <w:rsid w:val="00F36EFD"/>
    <w:rsid w:val="00F42C3D"/>
    <w:rsid w:val="00F43096"/>
    <w:rsid w:val="00F431DF"/>
    <w:rsid w:val="00F44384"/>
    <w:rsid w:val="00F478A6"/>
    <w:rsid w:val="00F513B3"/>
    <w:rsid w:val="00F51570"/>
    <w:rsid w:val="00F51ED4"/>
    <w:rsid w:val="00F52950"/>
    <w:rsid w:val="00F53E09"/>
    <w:rsid w:val="00F562F8"/>
    <w:rsid w:val="00F60480"/>
    <w:rsid w:val="00F635F2"/>
    <w:rsid w:val="00F6500B"/>
    <w:rsid w:val="00F663D1"/>
    <w:rsid w:val="00F67E61"/>
    <w:rsid w:val="00F7062A"/>
    <w:rsid w:val="00F70F4A"/>
    <w:rsid w:val="00F7157F"/>
    <w:rsid w:val="00F72691"/>
    <w:rsid w:val="00F7415E"/>
    <w:rsid w:val="00F75788"/>
    <w:rsid w:val="00F870FC"/>
    <w:rsid w:val="00F91CE3"/>
    <w:rsid w:val="00F9277F"/>
    <w:rsid w:val="00F92DB6"/>
    <w:rsid w:val="00F94191"/>
    <w:rsid w:val="00F9429E"/>
    <w:rsid w:val="00F94E10"/>
    <w:rsid w:val="00F9593C"/>
    <w:rsid w:val="00F95986"/>
    <w:rsid w:val="00F97D6A"/>
    <w:rsid w:val="00FA0E33"/>
    <w:rsid w:val="00FA11AC"/>
    <w:rsid w:val="00FA2198"/>
    <w:rsid w:val="00FA2735"/>
    <w:rsid w:val="00FA2993"/>
    <w:rsid w:val="00FA2BD2"/>
    <w:rsid w:val="00FA2BDB"/>
    <w:rsid w:val="00FA3313"/>
    <w:rsid w:val="00FA535D"/>
    <w:rsid w:val="00FA7F14"/>
    <w:rsid w:val="00FB2D8E"/>
    <w:rsid w:val="00FB3C65"/>
    <w:rsid w:val="00FB47B9"/>
    <w:rsid w:val="00FB5D6F"/>
    <w:rsid w:val="00FB6182"/>
    <w:rsid w:val="00FC48E1"/>
    <w:rsid w:val="00FC5466"/>
    <w:rsid w:val="00FC5EB6"/>
    <w:rsid w:val="00FC65B9"/>
    <w:rsid w:val="00FC6FB4"/>
    <w:rsid w:val="00FD3126"/>
    <w:rsid w:val="00FD57D6"/>
    <w:rsid w:val="00FD5EFA"/>
    <w:rsid w:val="00FD70B9"/>
    <w:rsid w:val="00FE0C58"/>
    <w:rsid w:val="00FE1CD1"/>
    <w:rsid w:val="00FE4221"/>
    <w:rsid w:val="00FE6AC4"/>
    <w:rsid w:val="00FE7D4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
    <w:name w:val="Unresolved Mention"/>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769157389">
      <w:bodyDiv w:val="1"/>
      <w:marLeft w:val="0"/>
      <w:marRight w:val="0"/>
      <w:marTop w:val="0"/>
      <w:marBottom w:val="0"/>
      <w:divBdr>
        <w:top w:val="none" w:sz="0" w:space="0" w:color="auto"/>
        <w:left w:val="none" w:sz="0" w:space="0" w:color="auto"/>
        <w:bottom w:val="none" w:sz="0" w:space="0" w:color="auto"/>
        <w:right w:val="none" w:sz="0" w:space="0" w:color="auto"/>
      </w:divBdr>
      <w:divsChild>
        <w:div w:id="1792898524">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koropetse@gmail.com" TargetMode="External"/><Relationship Id="rId4" Type="http://schemas.openxmlformats.org/officeDocument/2006/relationships/settings" Target="settings.xml"/><Relationship Id="rId9" Type="http://schemas.openxmlformats.org/officeDocument/2006/relationships/hyperlink" Target="mailto:benjamin@raphelainc.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8334%27%5d&amp;xhitlist_md=target-id=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AD2E-661F-4536-B3D9-8A25513E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Mokone</cp:lastModifiedBy>
  <cp:revision>3</cp:revision>
  <cp:lastPrinted>2023-08-02T09:23:00Z</cp:lastPrinted>
  <dcterms:created xsi:type="dcterms:W3CDTF">2023-08-04T10:27:00Z</dcterms:created>
  <dcterms:modified xsi:type="dcterms:W3CDTF">2023-08-04T10:28:00Z</dcterms:modified>
</cp:coreProperties>
</file>