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60E9D" w14:textId="5C0E72B0" w:rsidR="00572404" w:rsidRPr="000F45CA" w:rsidRDefault="00572404" w:rsidP="00572404">
      <w:pPr>
        <w:pStyle w:val="Subtitle"/>
      </w:pPr>
      <w:bookmarkStart w:id="0" w:name="_GoBack"/>
      <w:bookmarkEnd w:id="0"/>
      <w:r w:rsidRPr="000F45CA">
        <w:rPr>
          <w:rFonts w:ascii="Calibri" w:hAnsi="Calibri" w:cs="Calibri"/>
          <w:noProof/>
          <w:lang w:eastAsia="en-ZA"/>
        </w:rPr>
        <w:drawing>
          <wp:anchor distT="0" distB="0" distL="114300" distR="114300" simplePos="0" relativeHeight="251659264" behindDoc="1" locked="0" layoutInCell="1" allowOverlap="1" wp14:anchorId="7894F03E" wp14:editId="74A2B918">
            <wp:simplePos x="0" y="0"/>
            <wp:positionH relativeFrom="column">
              <wp:posOffset>1979407</wp:posOffset>
            </wp:positionH>
            <wp:positionV relativeFrom="paragraph">
              <wp:posOffset>-621105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a:ln>
                      <a:noFill/>
                    </a:ln>
                  </pic:spPr>
                </pic:pic>
              </a:graphicData>
            </a:graphic>
          </wp:anchor>
        </w:drawing>
      </w:r>
    </w:p>
    <w:p w14:paraId="6D0B681C" w14:textId="467D9D75" w:rsidR="00572404" w:rsidRPr="000F45CA" w:rsidRDefault="00572404" w:rsidP="00572404">
      <w:pPr>
        <w:spacing w:line="360" w:lineRule="auto"/>
        <w:jc w:val="both"/>
        <w:rPr>
          <w:rFonts w:ascii="Arial" w:hAnsi="Arial" w:cs="Arial"/>
          <w:b/>
          <w:sz w:val="28"/>
          <w:szCs w:val="28"/>
          <w:u w:val="single"/>
        </w:rPr>
      </w:pPr>
      <w:r w:rsidRPr="000F45CA">
        <w:rPr>
          <w:rFonts w:ascii="Arial" w:hAnsi="Arial" w:cs="Arial"/>
          <w:b/>
          <w:sz w:val="28"/>
          <w:szCs w:val="28"/>
        </w:rPr>
        <w:t xml:space="preserve">                </w:t>
      </w:r>
    </w:p>
    <w:p w14:paraId="69A5FA86" w14:textId="77777777" w:rsidR="00572404" w:rsidRDefault="00572404" w:rsidP="00572404">
      <w:pPr>
        <w:spacing w:line="360" w:lineRule="auto"/>
        <w:ind w:left="227"/>
        <w:jc w:val="center"/>
        <w:rPr>
          <w:rFonts w:ascii="Arial" w:hAnsi="Arial" w:cs="Arial"/>
          <w:caps/>
          <w:sz w:val="28"/>
          <w:szCs w:val="28"/>
        </w:rPr>
      </w:pPr>
      <w:r w:rsidRPr="009C6A65">
        <w:rPr>
          <w:rFonts w:ascii="Arial" w:hAnsi="Arial" w:cs="Arial"/>
          <w:caps/>
          <w:sz w:val="28"/>
          <w:szCs w:val="28"/>
        </w:rPr>
        <w:tab/>
      </w:r>
    </w:p>
    <w:p w14:paraId="1F88C65E" w14:textId="77777777" w:rsidR="00572404" w:rsidRPr="003B708A" w:rsidRDefault="00572404" w:rsidP="00572404">
      <w:pPr>
        <w:spacing w:line="360" w:lineRule="auto"/>
        <w:ind w:left="227"/>
        <w:jc w:val="center"/>
        <w:rPr>
          <w:rFonts w:ascii="Arial" w:eastAsia="Calibri" w:hAnsi="Arial" w:cs="Arial"/>
          <w:b/>
          <w:u w:val="single"/>
        </w:rPr>
      </w:pPr>
      <w:r w:rsidRPr="003B708A">
        <w:rPr>
          <w:rFonts w:ascii="Arial" w:eastAsia="Calibri" w:hAnsi="Arial" w:cs="Arial"/>
          <w:b/>
          <w:u w:val="single"/>
        </w:rPr>
        <w:t>IN THE HIGH COURT OF SOUTH AFRICA</w:t>
      </w:r>
    </w:p>
    <w:p w14:paraId="5D2EB5E6" w14:textId="77777777" w:rsidR="00572404" w:rsidRDefault="00572404" w:rsidP="00572404">
      <w:pPr>
        <w:spacing w:line="360" w:lineRule="auto"/>
        <w:ind w:left="227"/>
        <w:jc w:val="center"/>
        <w:rPr>
          <w:rFonts w:ascii="Arial" w:eastAsia="Calibri" w:hAnsi="Arial" w:cs="Arial"/>
          <w:b/>
          <w:u w:val="single"/>
        </w:rPr>
      </w:pPr>
      <w:r>
        <w:rPr>
          <w:rFonts w:ascii="Arial" w:eastAsia="Calibri" w:hAnsi="Arial" w:cs="Arial"/>
          <w:b/>
          <w:u w:val="single"/>
        </w:rPr>
        <w:t>(GAUTENG DIVISION, PRETORIA</w:t>
      </w:r>
    </w:p>
    <w:p w14:paraId="640529C5" w14:textId="77777777" w:rsidR="00572404" w:rsidRPr="0023740C" w:rsidRDefault="00572404" w:rsidP="00572404">
      <w:pPr>
        <w:spacing w:line="360" w:lineRule="auto"/>
        <w:ind w:left="227"/>
        <w:jc w:val="center"/>
        <w:rPr>
          <w:rFonts w:ascii="Arial" w:eastAsia="Calibri" w:hAnsi="Arial" w:cs="Arial"/>
          <w:b/>
          <w:u w:val="single"/>
        </w:rPr>
      </w:pPr>
    </w:p>
    <w:p w14:paraId="35205604" w14:textId="77777777" w:rsidR="00572404" w:rsidRDefault="00572404" w:rsidP="00572404">
      <w:pPr>
        <w:spacing w:line="360" w:lineRule="auto"/>
        <w:ind w:left="340"/>
        <w:rPr>
          <w:rFonts w:ascii="Arial" w:eastAsia="Calibri" w:hAnsi="Arial" w:cs="Arial"/>
          <w:b/>
        </w:rPr>
      </w:pPr>
      <w:r w:rsidRPr="003B708A">
        <w:rPr>
          <w:rFonts w:ascii="Arial" w:eastAsia="Calibri" w:hAnsi="Arial" w:cs="Arial"/>
          <w:b/>
        </w:rPr>
        <w:tab/>
      </w:r>
      <w:r w:rsidRPr="003B708A">
        <w:rPr>
          <w:rFonts w:ascii="Arial" w:eastAsia="Calibri" w:hAnsi="Arial" w:cs="Arial"/>
          <w:b/>
        </w:rPr>
        <w:tab/>
      </w:r>
      <w:r w:rsidRPr="003B708A">
        <w:rPr>
          <w:rFonts w:ascii="Arial" w:eastAsia="Calibri" w:hAnsi="Arial" w:cs="Arial"/>
          <w:b/>
        </w:rPr>
        <w:tab/>
      </w:r>
      <w:r w:rsidRPr="003B708A">
        <w:rPr>
          <w:rFonts w:ascii="Arial" w:eastAsia="Calibri" w:hAnsi="Arial" w:cs="Arial"/>
          <w:b/>
        </w:rPr>
        <w:tab/>
      </w:r>
      <w:r w:rsidRPr="003B708A">
        <w:rPr>
          <w:rFonts w:ascii="Arial" w:eastAsia="Calibri" w:hAnsi="Arial" w:cs="Arial"/>
          <w:b/>
        </w:rPr>
        <w:tab/>
      </w:r>
      <w:r w:rsidRPr="003B708A">
        <w:rPr>
          <w:rFonts w:ascii="Arial" w:eastAsia="Calibri" w:hAnsi="Arial" w:cs="Arial"/>
          <w:b/>
        </w:rPr>
        <w:tab/>
      </w:r>
      <w:r>
        <w:rPr>
          <w:rFonts w:ascii="Arial" w:eastAsia="Calibri" w:hAnsi="Arial" w:cs="Arial"/>
          <w:b/>
        </w:rPr>
        <w:t xml:space="preserve">                                     </w:t>
      </w:r>
      <w:r w:rsidRPr="003B708A">
        <w:rPr>
          <w:rFonts w:ascii="Arial" w:eastAsia="Calibri" w:hAnsi="Arial" w:cs="Arial"/>
          <w:b/>
        </w:rPr>
        <w:t xml:space="preserve">Case No.: </w:t>
      </w:r>
      <w:r>
        <w:rPr>
          <w:rFonts w:ascii="Arial" w:eastAsia="Calibri" w:hAnsi="Arial" w:cs="Arial"/>
          <w:b/>
        </w:rPr>
        <w:t>44033</w:t>
      </w:r>
      <w:r w:rsidRPr="003B708A">
        <w:rPr>
          <w:rFonts w:ascii="Arial" w:eastAsia="Calibri" w:hAnsi="Arial" w:cs="Arial"/>
          <w:b/>
        </w:rPr>
        <w:t>/</w:t>
      </w:r>
      <w:r>
        <w:rPr>
          <w:rFonts w:ascii="Arial" w:eastAsia="Calibri" w:hAnsi="Arial" w:cs="Arial"/>
          <w:b/>
        </w:rPr>
        <w:t>19</w:t>
      </w:r>
    </w:p>
    <w:p w14:paraId="34909D10" w14:textId="77777777" w:rsidR="00572404" w:rsidRDefault="00572404" w:rsidP="00572404">
      <w:pPr>
        <w:spacing w:line="360" w:lineRule="auto"/>
        <w:ind w:left="340"/>
        <w:rPr>
          <w:rFonts w:ascii="Arial" w:eastAsia="Calibri" w:hAnsi="Arial" w:cs="Arial"/>
          <w:b/>
        </w:rPr>
      </w:pPr>
    </w:p>
    <w:p w14:paraId="2AE63ED6" w14:textId="77777777" w:rsidR="00572404" w:rsidRPr="003B708A" w:rsidRDefault="00572404" w:rsidP="00572404">
      <w:pPr>
        <w:spacing w:line="360" w:lineRule="auto"/>
        <w:ind w:left="340"/>
        <w:rPr>
          <w:rFonts w:ascii="Arial" w:eastAsia="Calibri" w:hAnsi="Arial" w:cs="Arial"/>
          <w:b/>
        </w:rPr>
      </w:pPr>
      <w:r>
        <w:rPr>
          <w:rFonts w:ascii="Arial" w:eastAsia="Calibri" w:hAnsi="Arial" w:cs="Arial"/>
          <w:b/>
          <w:noProof/>
          <w:lang w:eastAsia="en-ZA"/>
        </w:rPr>
        <w:drawing>
          <wp:inline distT="0" distB="0" distL="0" distR="0" wp14:anchorId="1E914EDE" wp14:editId="478B62BB">
            <wp:extent cx="3804813" cy="151765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352" cy="1520258"/>
                    </a:xfrm>
                    <a:prstGeom prst="rect">
                      <a:avLst/>
                    </a:prstGeom>
                    <a:noFill/>
                  </pic:spPr>
                </pic:pic>
              </a:graphicData>
            </a:graphic>
          </wp:inline>
        </w:drawing>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14:paraId="5E057148" w14:textId="77777777" w:rsidR="00572404" w:rsidRPr="00C11873" w:rsidRDefault="00572404" w:rsidP="00572404">
      <w:pPr>
        <w:spacing w:line="360" w:lineRule="auto"/>
        <w:ind w:left="340"/>
        <w:rPr>
          <w:rFonts w:ascii="Arial" w:eastAsia="Calibri" w:hAnsi="Arial" w:cs="Arial"/>
        </w:rPr>
      </w:pPr>
      <w:r w:rsidRPr="00C11873">
        <w:rPr>
          <w:rFonts w:ascii="Arial" w:eastAsia="Calibri" w:hAnsi="Arial" w:cs="Arial"/>
        </w:rPr>
        <w:t>In the matter between:</w:t>
      </w:r>
    </w:p>
    <w:p w14:paraId="11D7B352" w14:textId="77777777" w:rsidR="00572404" w:rsidRDefault="00572404" w:rsidP="00572404">
      <w:pPr>
        <w:spacing w:line="360" w:lineRule="auto"/>
        <w:rPr>
          <w:rFonts w:ascii="Arial" w:eastAsia="Calibri" w:hAnsi="Arial" w:cs="Arial"/>
          <w:b/>
        </w:rPr>
      </w:pPr>
    </w:p>
    <w:p w14:paraId="1B07144D" w14:textId="77777777" w:rsidR="00572404" w:rsidRPr="0023740C" w:rsidRDefault="00572404" w:rsidP="00572404">
      <w:pPr>
        <w:spacing w:line="360" w:lineRule="auto"/>
        <w:ind w:left="340"/>
        <w:rPr>
          <w:rFonts w:ascii="Arial" w:eastAsia="Calibri" w:hAnsi="Arial" w:cs="Arial"/>
          <w:b/>
          <w:sz w:val="12"/>
          <w:szCs w:val="12"/>
        </w:rPr>
      </w:pPr>
    </w:p>
    <w:p w14:paraId="79A29AB2" w14:textId="77777777" w:rsidR="00572404" w:rsidRDefault="00572404" w:rsidP="00572404">
      <w:pPr>
        <w:spacing w:line="480" w:lineRule="auto"/>
        <w:ind w:left="340"/>
        <w:jc w:val="both"/>
        <w:rPr>
          <w:rFonts w:ascii="Arial" w:eastAsia="Calibri" w:hAnsi="Arial" w:cs="Arial"/>
          <w:b/>
        </w:rPr>
      </w:pPr>
      <w:r>
        <w:rPr>
          <w:rFonts w:ascii="Arial" w:eastAsia="Calibri" w:hAnsi="Arial" w:cs="Arial"/>
          <w:b/>
        </w:rPr>
        <w:t>LIZETTE ANTOINETTE LABUSCHAGNE                                                 Applicant</w:t>
      </w:r>
    </w:p>
    <w:p w14:paraId="6E159EDD" w14:textId="77777777" w:rsidR="00572404" w:rsidRPr="003B708A" w:rsidRDefault="00572404" w:rsidP="00572404">
      <w:pPr>
        <w:spacing w:line="480" w:lineRule="auto"/>
        <w:ind w:left="34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sidRPr="003B708A">
        <w:rPr>
          <w:rFonts w:ascii="Arial" w:eastAsia="Calibri" w:hAnsi="Arial" w:cs="Arial"/>
          <w:b/>
        </w:rPr>
        <w:t xml:space="preserve"> </w:t>
      </w:r>
      <w:r w:rsidRPr="003B708A">
        <w:rPr>
          <w:rFonts w:ascii="Arial" w:eastAsia="Calibri" w:hAnsi="Arial" w:cs="Arial"/>
          <w:b/>
        </w:rPr>
        <w:tab/>
        <w:t xml:space="preserve">       </w:t>
      </w:r>
      <w:r>
        <w:rPr>
          <w:rFonts w:ascii="Arial" w:eastAsia="Calibri" w:hAnsi="Arial" w:cs="Arial"/>
          <w:b/>
        </w:rPr>
        <w:t xml:space="preserve">                            </w:t>
      </w:r>
      <w:r w:rsidRPr="003B708A">
        <w:rPr>
          <w:rFonts w:ascii="Arial" w:eastAsia="Calibri" w:hAnsi="Arial" w:cs="Arial"/>
          <w:b/>
        </w:rPr>
        <w:t xml:space="preserve">        </w:t>
      </w:r>
    </w:p>
    <w:p w14:paraId="4E7C7C65" w14:textId="77777777" w:rsidR="00572404" w:rsidRDefault="00572404" w:rsidP="00572404">
      <w:pPr>
        <w:spacing w:line="480" w:lineRule="auto"/>
        <w:ind w:left="340"/>
        <w:rPr>
          <w:rFonts w:ascii="Arial" w:eastAsia="Calibri" w:hAnsi="Arial" w:cs="Arial"/>
          <w:b/>
        </w:rPr>
      </w:pPr>
      <w:r>
        <w:rPr>
          <w:rFonts w:ascii="Arial" w:eastAsia="Calibri" w:hAnsi="Arial" w:cs="Arial"/>
          <w:b/>
        </w:rPr>
        <w:t>a</w:t>
      </w:r>
      <w:r w:rsidRPr="003B708A">
        <w:rPr>
          <w:rFonts w:ascii="Arial" w:eastAsia="Calibri" w:hAnsi="Arial" w:cs="Arial"/>
          <w:b/>
        </w:rPr>
        <w:t>nd</w:t>
      </w:r>
    </w:p>
    <w:p w14:paraId="18BD0F20" w14:textId="77777777" w:rsidR="00572404" w:rsidRPr="0023740C" w:rsidRDefault="00572404" w:rsidP="00572404">
      <w:pPr>
        <w:spacing w:line="480" w:lineRule="auto"/>
        <w:ind w:left="340"/>
        <w:jc w:val="both"/>
        <w:rPr>
          <w:rFonts w:ascii="Arial" w:eastAsia="Calibri" w:hAnsi="Arial" w:cs="Arial"/>
          <w:b/>
          <w:sz w:val="12"/>
          <w:szCs w:val="12"/>
        </w:rPr>
      </w:pPr>
    </w:p>
    <w:p w14:paraId="27FA0FB3" w14:textId="77777777" w:rsidR="00572404" w:rsidRDefault="00572404" w:rsidP="00572404">
      <w:pPr>
        <w:spacing w:line="480" w:lineRule="auto"/>
        <w:ind w:left="340"/>
        <w:jc w:val="both"/>
        <w:rPr>
          <w:rFonts w:ascii="Arial" w:eastAsia="Calibri" w:hAnsi="Arial" w:cs="Arial"/>
          <w:b/>
        </w:rPr>
      </w:pPr>
      <w:r>
        <w:rPr>
          <w:rFonts w:ascii="Arial" w:eastAsia="Calibri" w:hAnsi="Arial" w:cs="Arial"/>
          <w:b/>
        </w:rPr>
        <w:t xml:space="preserve">THE MINISTER OF STATE SECURITY AGENCY </w:t>
      </w:r>
      <w:r>
        <w:rPr>
          <w:rFonts w:ascii="Arial" w:eastAsia="Calibri" w:hAnsi="Arial" w:cs="Arial"/>
          <w:b/>
        </w:rPr>
        <w:tab/>
        <w:t xml:space="preserve">    </w:t>
      </w:r>
      <w:r>
        <w:rPr>
          <w:rFonts w:ascii="Arial" w:eastAsia="Calibri" w:hAnsi="Arial" w:cs="Arial"/>
          <w:b/>
        </w:rPr>
        <w:tab/>
        <w:t xml:space="preserve">        First Respondent</w:t>
      </w:r>
    </w:p>
    <w:p w14:paraId="3F390E09" w14:textId="77777777" w:rsidR="00572404" w:rsidRDefault="00572404" w:rsidP="00572404">
      <w:pPr>
        <w:spacing w:line="480" w:lineRule="auto"/>
        <w:ind w:left="340"/>
        <w:jc w:val="both"/>
        <w:rPr>
          <w:rFonts w:ascii="Arial" w:eastAsia="Calibri" w:hAnsi="Arial" w:cs="Arial"/>
          <w:b/>
        </w:rPr>
      </w:pPr>
    </w:p>
    <w:p w14:paraId="0ADC381A" w14:textId="77777777" w:rsidR="00572404" w:rsidRDefault="00572404" w:rsidP="00572404">
      <w:pPr>
        <w:spacing w:line="480" w:lineRule="auto"/>
        <w:ind w:left="340"/>
        <w:jc w:val="both"/>
        <w:rPr>
          <w:rFonts w:ascii="Arial" w:eastAsia="Calibri" w:hAnsi="Arial" w:cs="Arial"/>
          <w:b/>
        </w:rPr>
      </w:pPr>
      <w:r>
        <w:rPr>
          <w:rFonts w:ascii="Arial" w:eastAsia="Calibri" w:hAnsi="Arial" w:cs="Arial"/>
          <w:b/>
        </w:rPr>
        <w:t>THE CHAIRPERSON OF THE GRIEVANCE PANEL NO.      Second Respondent</w:t>
      </w:r>
    </w:p>
    <w:p w14:paraId="3D610633" w14:textId="77777777" w:rsidR="00572404" w:rsidRDefault="00572404" w:rsidP="00572404">
      <w:pPr>
        <w:spacing w:line="480" w:lineRule="auto"/>
        <w:ind w:left="340"/>
        <w:jc w:val="both"/>
        <w:rPr>
          <w:rFonts w:ascii="Arial" w:eastAsia="Calibri" w:hAnsi="Arial" w:cs="Arial"/>
          <w:b/>
        </w:rPr>
      </w:pPr>
      <w:r>
        <w:rPr>
          <w:rFonts w:ascii="Arial" w:eastAsia="Calibri" w:hAnsi="Arial" w:cs="Arial"/>
          <w:b/>
        </w:rPr>
        <w:t>PULANE MOLEFE</w:t>
      </w:r>
    </w:p>
    <w:p w14:paraId="4E37BAAD" w14:textId="77777777" w:rsidR="00572404" w:rsidRDefault="00572404" w:rsidP="00572404">
      <w:pPr>
        <w:spacing w:line="480" w:lineRule="auto"/>
        <w:ind w:left="340"/>
        <w:jc w:val="both"/>
        <w:rPr>
          <w:rFonts w:ascii="Arial" w:eastAsia="Calibri" w:hAnsi="Arial" w:cs="Arial"/>
          <w:b/>
        </w:rPr>
      </w:pPr>
    </w:p>
    <w:p w14:paraId="4B016B1E" w14:textId="77777777" w:rsidR="00572404" w:rsidRDefault="00572404" w:rsidP="00572404">
      <w:pPr>
        <w:spacing w:line="480" w:lineRule="auto"/>
        <w:ind w:left="340"/>
        <w:jc w:val="both"/>
        <w:rPr>
          <w:rFonts w:ascii="Arial" w:eastAsia="Calibri" w:hAnsi="Arial" w:cs="Arial"/>
          <w:b/>
        </w:rPr>
      </w:pPr>
      <w:r>
        <w:rPr>
          <w:rFonts w:ascii="Arial" w:eastAsia="Calibri" w:hAnsi="Arial" w:cs="Arial"/>
          <w:b/>
        </w:rPr>
        <w:t xml:space="preserve">THE ACTING DIRECTOR- GENERAL: </w:t>
      </w:r>
      <w:r>
        <w:rPr>
          <w:rFonts w:ascii="Arial" w:eastAsia="Calibri" w:hAnsi="Arial" w:cs="Arial"/>
          <w:b/>
        </w:rPr>
        <w:tab/>
      </w:r>
      <w:r>
        <w:rPr>
          <w:rFonts w:ascii="Arial" w:eastAsia="Calibri" w:hAnsi="Arial" w:cs="Arial"/>
          <w:b/>
        </w:rPr>
        <w:tab/>
      </w:r>
      <w:r>
        <w:rPr>
          <w:rFonts w:ascii="Arial" w:eastAsia="Calibri" w:hAnsi="Arial" w:cs="Arial"/>
          <w:b/>
        </w:rPr>
        <w:tab/>
        <w:t xml:space="preserve">       Third Respondent</w:t>
      </w:r>
    </w:p>
    <w:p w14:paraId="107749CC" w14:textId="77777777" w:rsidR="00572404" w:rsidRDefault="00572404" w:rsidP="00572404">
      <w:pPr>
        <w:spacing w:line="480" w:lineRule="auto"/>
        <w:ind w:left="340"/>
        <w:jc w:val="both"/>
        <w:rPr>
          <w:rFonts w:ascii="Arial" w:eastAsia="Calibri" w:hAnsi="Arial" w:cs="Arial"/>
          <w:b/>
        </w:rPr>
      </w:pPr>
      <w:r>
        <w:rPr>
          <w:rFonts w:ascii="Arial" w:eastAsia="Calibri" w:hAnsi="Arial" w:cs="Arial"/>
          <w:b/>
        </w:rPr>
        <w:t xml:space="preserve">STATE SECURITY AGENCY </w:t>
      </w:r>
    </w:p>
    <w:p w14:paraId="4B56E02A" w14:textId="77777777" w:rsidR="00572404" w:rsidRPr="0031595D" w:rsidRDefault="00572404" w:rsidP="00572404">
      <w:pPr>
        <w:spacing w:line="480" w:lineRule="auto"/>
        <w:ind w:left="340"/>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p>
    <w:p w14:paraId="5EE288EB" w14:textId="77777777" w:rsidR="00572404" w:rsidRDefault="00572404" w:rsidP="00572404">
      <w:pPr>
        <w:pStyle w:val="NoSpacing"/>
        <w:spacing w:line="276" w:lineRule="auto"/>
        <w:ind w:left="340"/>
        <w:rPr>
          <w:rFonts w:ascii="Arial" w:hAnsi="Arial" w:cs="Arial"/>
          <w:sz w:val="24"/>
          <w:szCs w:val="24"/>
        </w:rPr>
      </w:pPr>
      <w:r>
        <w:rPr>
          <w:rFonts w:ascii="Arial" w:hAnsi="Arial" w:cs="Arial"/>
          <w:b/>
          <w:sz w:val="24"/>
          <w:szCs w:val="24"/>
        </w:rPr>
        <w:t>Date of h</w:t>
      </w:r>
      <w:r w:rsidRPr="0023740C">
        <w:rPr>
          <w:rFonts w:ascii="Arial" w:hAnsi="Arial" w:cs="Arial"/>
          <w:b/>
          <w:sz w:val="24"/>
          <w:szCs w:val="24"/>
        </w:rPr>
        <w:t>ear</w:t>
      </w:r>
      <w:r>
        <w:rPr>
          <w:rFonts w:ascii="Arial" w:hAnsi="Arial" w:cs="Arial"/>
          <w:b/>
          <w:sz w:val="24"/>
          <w:szCs w:val="24"/>
        </w:rPr>
        <w:t>ing</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07/06/2023</w:t>
      </w:r>
    </w:p>
    <w:p w14:paraId="33AB7B29" w14:textId="77777777" w:rsidR="00572404" w:rsidRDefault="00572404" w:rsidP="00572404">
      <w:pPr>
        <w:pStyle w:val="NoSpacing"/>
        <w:spacing w:line="276" w:lineRule="auto"/>
        <w:ind w:left="340"/>
        <w:rPr>
          <w:rFonts w:ascii="Arial" w:hAnsi="Arial" w:cs="Arial"/>
          <w:sz w:val="24"/>
          <w:szCs w:val="24"/>
        </w:rPr>
      </w:pPr>
      <w:r>
        <w:rPr>
          <w:rFonts w:ascii="Arial" w:hAnsi="Arial" w:cs="Arial"/>
          <w:sz w:val="24"/>
          <w:szCs w:val="24"/>
        </w:rPr>
        <w:t xml:space="preserve">  </w:t>
      </w:r>
    </w:p>
    <w:p w14:paraId="54A09AED" w14:textId="77777777" w:rsidR="00572404" w:rsidRPr="00CC2301" w:rsidRDefault="00572404" w:rsidP="00572404">
      <w:pPr>
        <w:pStyle w:val="NoSpacing"/>
        <w:spacing w:line="360" w:lineRule="auto"/>
        <w:jc w:val="both"/>
        <w:rPr>
          <w:rFonts w:ascii="Arial" w:hAnsi="Arial" w:cs="Arial"/>
          <w:sz w:val="24"/>
          <w:szCs w:val="24"/>
        </w:rPr>
      </w:pPr>
    </w:p>
    <w:p w14:paraId="3064576E" w14:textId="77777777" w:rsidR="00572404" w:rsidRPr="00CC2301" w:rsidRDefault="00572404" w:rsidP="00572404">
      <w:pPr>
        <w:pStyle w:val="NoSpacing"/>
        <w:spacing w:line="360" w:lineRule="auto"/>
        <w:jc w:val="both"/>
        <w:rPr>
          <w:rFonts w:ascii="Arial" w:hAnsi="Arial" w:cs="Arial"/>
          <w:sz w:val="12"/>
          <w:szCs w:val="12"/>
        </w:rPr>
      </w:pPr>
    </w:p>
    <w:p w14:paraId="147AEEEE" w14:textId="77777777" w:rsidR="00572404" w:rsidRPr="00CC2301" w:rsidRDefault="00572404" w:rsidP="00572404">
      <w:pPr>
        <w:pBdr>
          <w:top w:val="single" w:sz="4" w:space="0" w:color="auto"/>
          <w:left w:val="single" w:sz="4" w:space="4" w:color="auto"/>
          <w:bottom w:val="single" w:sz="4" w:space="11" w:color="auto"/>
          <w:right w:val="single" w:sz="4" w:space="4" w:color="auto"/>
        </w:pBdr>
        <w:shd w:val="clear" w:color="auto" w:fill="A6A6A6"/>
        <w:spacing w:line="360" w:lineRule="auto"/>
        <w:ind w:left="340"/>
        <w:jc w:val="both"/>
        <w:rPr>
          <w:rFonts w:ascii="Arial" w:eastAsia="Calibri" w:hAnsi="Arial" w:cs="Arial"/>
          <w:b/>
          <w:sz w:val="28"/>
          <w:szCs w:val="28"/>
          <w:lang w:val="en-GB"/>
        </w:rPr>
      </w:pPr>
      <w:r w:rsidRPr="00CC2301">
        <w:rPr>
          <w:rFonts w:ascii="Arial" w:eastAsia="Calibri" w:hAnsi="Arial" w:cs="Arial"/>
          <w:b/>
          <w:sz w:val="28"/>
          <w:szCs w:val="28"/>
        </w:rPr>
        <w:t xml:space="preserve">   </w:t>
      </w:r>
    </w:p>
    <w:p w14:paraId="4B2CDD61" w14:textId="77777777" w:rsidR="00572404" w:rsidRPr="00CC2301" w:rsidRDefault="00572404" w:rsidP="00572404">
      <w:pPr>
        <w:pBdr>
          <w:top w:val="single" w:sz="4" w:space="0" w:color="auto"/>
          <w:left w:val="single" w:sz="4" w:space="4" w:color="auto"/>
          <w:bottom w:val="single" w:sz="4" w:space="11" w:color="auto"/>
          <w:right w:val="single" w:sz="4" w:space="4" w:color="auto"/>
        </w:pBdr>
        <w:shd w:val="clear" w:color="auto" w:fill="A6A6A6"/>
        <w:spacing w:line="360" w:lineRule="auto"/>
        <w:ind w:left="340"/>
        <w:jc w:val="center"/>
        <w:rPr>
          <w:rFonts w:ascii="Arial" w:eastAsia="Calibri" w:hAnsi="Arial" w:cs="Arial"/>
          <w:b/>
          <w:lang w:val="en-GB"/>
        </w:rPr>
      </w:pPr>
      <w:r w:rsidRPr="00CC2301">
        <w:rPr>
          <w:rFonts w:ascii="Arial" w:eastAsia="Calibri" w:hAnsi="Arial" w:cs="Arial"/>
          <w:b/>
          <w:lang w:val="en-GB"/>
        </w:rPr>
        <w:t>JUDGMENT</w:t>
      </w:r>
    </w:p>
    <w:p w14:paraId="13359F91" w14:textId="77777777" w:rsidR="00572404" w:rsidRPr="00CC2301" w:rsidRDefault="00572404" w:rsidP="00572404">
      <w:pPr>
        <w:spacing w:line="360" w:lineRule="auto"/>
        <w:jc w:val="both"/>
        <w:rPr>
          <w:rFonts w:ascii="Arial" w:eastAsia="Calibri" w:hAnsi="Arial" w:cs="Arial"/>
          <w:b/>
          <w:sz w:val="28"/>
          <w:szCs w:val="28"/>
        </w:rPr>
      </w:pPr>
    </w:p>
    <w:p w14:paraId="0B37428A" w14:textId="77777777" w:rsidR="00572404" w:rsidRDefault="00572404" w:rsidP="00572404">
      <w:pPr>
        <w:spacing w:line="360" w:lineRule="auto"/>
        <w:ind w:left="340"/>
        <w:jc w:val="both"/>
        <w:rPr>
          <w:rFonts w:ascii="Arial" w:eastAsia="Calibri" w:hAnsi="Arial" w:cs="Arial"/>
          <w:b/>
        </w:rPr>
      </w:pPr>
      <w:r w:rsidRPr="00CC2301">
        <w:rPr>
          <w:rFonts w:ascii="Arial" w:eastAsia="Calibri" w:hAnsi="Arial" w:cs="Arial"/>
          <w:b/>
        </w:rPr>
        <w:t>MTEMBU AJ</w:t>
      </w:r>
    </w:p>
    <w:p w14:paraId="620058D6" w14:textId="77777777" w:rsidR="00572404" w:rsidRDefault="00572404" w:rsidP="00572404">
      <w:pPr>
        <w:spacing w:line="360" w:lineRule="auto"/>
        <w:ind w:left="340"/>
        <w:jc w:val="both"/>
        <w:rPr>
          <w:rFonts w:ascii="Arial" w:eastAsia="Calibri" w:hAnsi="Arial" w:cs="Arial"/>
          <w:b/>
        </w:rPr>
      </w:pPr>
    </w:p>
    <w:p w14:paraId="425CE621" w14:textId="77777777" w:rsidR="00572404" w:rsidRPr="00CC2301" w:rsidRDefault="00572404" w:rsidP="00572404">
      <w:pPr>
        <w:spacing w:line="360" w:lineRule="auto"/>
        <w:ind w:left="340"/>
        <w:jc w:val="both"/>
        <w:rPr>
          <w:rFonts w:ascii="Arial" w:eastAsia="Calibri" w:hAnsi="Arial" w:cs="Arial"/>
          <w:b/>
        </w:rPr>
      </w:pPr>
      <w:r>
        <w:rPr>
          <w:rFonts w:ascii="Arial" w:eastAsia="Calibri" w:hAnsi="Arial" w:cs="Arial"/>
          <w:b/>
        </w:rPr>
        <w:t>Introduction</w:t>
      </w:r>
    </w:p>
    <w:p w14:paraId="00F55868" w14:textId="77777777" w:rsidR="00572404" w:rsidRPr="009B14EC" w:rsidRDefault="00572404" w:rsidP="00572404">
      <w:pPr>
        <w:tabs>
          <w:tab w:val="left" w:pos="142"/>
        </w:tabs>
        <w:spacing w:line="360" w:lineRule="auto"/>
        <w:ind w:left="340"/>
        <w:jc w:val="both"/>
        <w:rPr>
          <w:rFonts w:ascii="Arial" w:hAnsi="Arial" w:cs="Arial"/>
          <w:sz w:val="12"/>
          <w:szCs w:val="12"/>
          <w:lang w:val="en-US"/>
        </w:rPr>
      </w:pPr>
    </w:p>
    <w:p w14:paraId="5F4D4E25" w14:textId="77777777" w:rsidR="00572404" w:rsidRPr="00CC2301" w:rsidRDefault="00572404" w:rsidP="00572404">
      <w:pPr>
        <w:spacing w:line="360" w:lineRule="auto"/>
        <w:jc w:val="both"/>
        <w:rPr>
          <w:rFonts w:ascii="Arial" w:hAnsi="Arial" w:cs="Arial"/>
          <w:b/>
          <w:sz w:val="12"/>
          <w:szCs w:val="12"/>
          <w:lang w:val="en-US"/>
        </w:rPr>
      </w:pPr>
    </w:p>
    <w:p w14:paraId="33BBBC68" w14:textId="77777777" w:rsidR="00572404" w:rsidRPr="00483B4D" w:rsidRDefault="00572404" w:rsidP="00572404">
      <w:pPr>
        <w:pStyle w:val="NormalWeb"/>
        <w:spacing w:line="360" w:lineRule="auto"/>
        <w:ind w:left="1060" w:hanging="720"/>
        <w:jc w:val="both"/>
        <w:rPr>
          <w:rFonts w:ascii="Arial" w:eastAsia="Calibri" w:hAnsi="Arial" w:cs="Arial"/>
          <w:lang w:val="en-GB"/>
        </w:rPr>
      </w:pPr>
      <w:r>
        <w:rPr>
          <w:rFonts w:ascii="Arial" w:eastAsia="Calibri" w:hAnsi="Arial" w:cs="Arial"/>
          <w:lang w:val="en-US"/>
        </w:rPr>
        <w:t>[1]</w:t>
      </w:r>
      <w:r>
        <w:rPr>
          <w:rFonts w:ascii="Arial" w:eastAsia="Calibri" w:hAnsi="Arial" w:cs="Arial"/>
          <w:lang w:val="en-US"/>
        </w:rPr>
        <w:tab/>
      </w:r>
      <w:r w:rsidRPr="00D629F3">
        <w:rPr>
          <w:rFonts w:ascii="Arial" w:hAnsi="Arial" w:cs="Arial"/>
          <w:color w:val="252525"/>
          <w:lang w:val="en-GB"/>
        </w:rPr>
        <w:t xml:space="preserve">This is an application whereby the applicant challenges the </w:t>
      </w:r>
      <w:r>
        <w:rPr>
          <w:rFonts w:ascii="Arial" w:hAnsi="Arial" w:cs="Arial"/>
          <w:color w:val="252525"/>
          <w:lang w:val="en-GB"/>
        </w:rPr>
        <w:t xml:space="preserve">first </w:t>
      </w:r>
      <w:r w:rsidRPr="00D629F3">
        <w:rPr>
          <w:rFonts w:ascii="Arial" w:hAnsi="Arial" w:cs="Arial"/>
          <w:color w:val="252525"/>
          <w:lang w:val="en-GB"/>
        </w:rPr>
        <w:t xml:space="preserve">respondent’s decision or conduct in removing her from the position of unit head, </w:t>
      </w:r>
      <w:r w:rsidRPr="00254A8F">
        <w:rPr>
          <w:rFonts w:ascii="Arial" w:hAnsi="Arial" w:cs="Arial"/>
          <w:color w:val="252525"/>
          <w:lang w:val="en-GB"/>
        </w:rPr>
        <w:t xml:space="preserve">which had been </w:t>
      </w:r>
      <w:r>
        <w:rPr>
          <w:rFonts w:ascii="Arial" w:hAnsi="Arial" w:cs="Arial"/>
          <w:color w:val="252525"/>
          <w:lang w:val="en-GB"/>
        </w:rPr>
        <w:t>vacated</w:t>
      </w:r>
      <w:r w:rsidRPr="00254A8F">
        <w:rPr>
          <w:rFonts w:ascii="Arial" w:hAnsi="Arial" w:cs="Arial"/>
          <w:color w:val="252525"/>
          <w:lang w:val="en-GB"/>
        </w:rPr>
        <w:t xml:space="preserve"> by </w:t>
      </w:r>
      <w:r>
        <w:rPr>
          <w:rFonts w:ascii="Arial" w:hAnsi="Arial" w:cs="Arial"/>
          <w:color w:val="252525"/>
          <w:lang w:val="en-GB"/>
        </w:rPr>
        <w:t>her</w:t>
      </w:r>
      <w:r w:rsidRPr="00254A8F">
        <w:rPr>
          <w:rFonts w:ascii="Arial" w:hAnsi="Arial" w:cs="Arial"/>
          <w:color w:val="252525"/>
          <w:lang w:val="en-GB"/>
        </w:rPr>
        <w:t xml:space="preserve"> superior to whom she was then reporting. </w:t>
      </w:r>
      <w:r w:rsidRPr="00D629F3">
        <w:rPr>
          <w:rFonts w:ascii="Arial" w:hAnsi="Arial" w:cs="Arial"/>
          <w:color w:val="252525"/>
          <w:lang w:val="en-GB"/>
        </w:rPr>
        <w:t>The applicant strongly feels that upon the departure of her superior, Mr Christo Strydom, she was a perfect candidate to fill the post. Th</w:t>
      </w:r>
      <w:r>
        <w:rPr>
          <w:rFonts w:ascii="Arial" w:hAnsi="Arial" w:cs="Arial"/>
          <w:color w:val="252525"/>
          <w:lang w:val="en-GB"/>
        </w:rPr>
        <w:t>is</w:t>
      </w:r>
      <w:r w:rsidRPr="00D629F3">
        <w:rPr>
          <w:rFonts w:ascii="Arial" w:hAnsi="Arial" w:cs="Arial"/>
          <w:color w:val="252525"/>
          <w:lang w:val="en-GB"/>
        </w:rPr>
        <w:t xml:space="preserve"> position, she contends, was wrongfully filed by Ms Maletswa.</w:t>
      </w:r>
      <w:r>
        <w:rPr>
          <w:rFonts w:ascii="Arial" w:hAnsi="Arial" w:cs="Arial"/>
          <w:color w:val="252525"/>
          <w:lang w:val="en-GB"/>
        </w:rPr>
        <w:t xml:space="preserve"> </w:t>
      </w:r>
      <w:r w:rsidRPr="00D629F3">
        <w:rPr>
          <w:rFonts w:ascii="Arial" w:eastAsia="Calibri" w:hAnsi="Arial" w:cs="Arial"/>
          <w:lang w:val="en-GB"/>
        </w:rPr>
        <w:t xml:space="preserve">In addition to this, the applicant challenges the </w:t>
      </w:r>
      <w:r>
        <w:rPr>
          <w:rFonts w:ascii="Arial" w:eastAsia="Calibri" w:hAnsi="Arial" w:cs="Arial"/>
          <w:lang w:val="en-GB"/>
        </w:rPr>
        <w:t xml:space="preserve">first </w:t>
      </w:r>
      <w:r w:rsidRPr="00D629F3">
        <w:rPr>
          <w:rFonts w:ascii="Arial" w:eastAsia="Calibri" w:hAnsi="Arial" w:cs="Arial"/>
          <w:lang w:val="en-GB"/>
        </w:rPr>
        <w:t xml:space="preserve">respondent’s decision </w:t>
      </w:r>
      <w:r>
        <w:rPr>
          <w:rFonts w:ascii="Arial" w:eastAsia="Calibri" w:hAnsi="Arial" w:cs="Arial"/>
          <w:lang w:val="en-GB"/>
        </w:rPr>
        <w:t>to adjust</w:t>
      </w:r>
      <w:r w:rsidRPr="00D629F3">
        <w:rPr>
          <w:rFonts w:ascii="Arial" w:eastAsia="Calibri" w:hAnsi="Arial" w:cs="Arial"/>
          <w:lang w:val="en-GB"/>
        </w:rPr>
        <w:t xml:space="preserve"> her Individual Performance Measurement System’s ratings (“IPMS”) from level 4 to level 3 for the years 2013/2014 and 2014/2015.</w:t>
      </w:r>
      <w:r>
        <w:rPr>
          <w:rFonts w:ascii="Arial" w:eastAsia="Calibri" w:hAnsi="Arial" w:cs="Arial"/>
          <w:lang w:val="en-GB"/>
        </w:rPr>
        <w:t xml:space="preserve"> </w:t>
      </w:r>
    </w:p>
    <w:p w14:paraId="4437B45A" w14:textId="77777777" w:rsidR="00572404" w:rsidRPr="00483B4D" w:rsidRDefault="00572404" w:rsidP="00572404">
      <w:pPr>
        <w:pStyle w:val="NormalWeb"/>
        <w:spacing w:line="360" w:lineRule="auto"/>
        <w:ind w:left="1060" w:hanging="720"/>
        <w:jc w:val="both"/>
        <w:rPr>
          <w:rFonts w:ascii="Arial" w:eastAsia="Calibri" w:hAnsi="Arial" w:cs="Arial"/>
          <w:lang w:val="en-GB"/>
        </w:rPr>
      </w:pPr>
    </w:p>
    <w:p w14:paraId="280EC0FB" w14:textId="77777777" w:rsidR="00572404" w:rsidRDefault="00572404" w:rsidP="00572404">
      <w:pPr>
        <w:pStyle w:val="NormalWeb"/>
        <w:spacing w:line="360" w:lineRule="auto"/>
        <w:ind w:left="1060" w:hanging="720"/>
        <w:jc w:val="both"/>
        <w:rPr>
          <w:rFonts w:ascii="Arial" w:eastAsia="Calibri" w:hAnsi="Arial" w:cs="Arial"/>
          <w:lang w:val="en-GB"/>
        </w:rPr>
      </w:pPr>
      <w:r>
        <w:rPr>
          <w:rFonts w:ascii="Arial" w:eastAsia="Calibri" w:hAnsi="Arial" w:cs="Arial"/>
          <w:lang w:val="en-GB"/>
        </w:rPr>
        <w:t>[2]</w:t>
      </w:r>
      <w:r>
        <w:rPr>
          <w:rFonts w:ascii="Arial" w:eastAsia="Calibri" w:hAnsi="Arial" w:cs="Arial"/>
          <w:lang w:val="en-GB"/>
        </w:rPr>
        <w:tab/>
      </w:r>
      <w:r w:rsidRPr="00483B4D">
        <w:rPr>
          <w:rFonts w:ascii="Arial" w:eastAsia="Calibri" w:hAnsi="Arial" w:cs="Arial"/>
          <w:lang w:val="en-GB"/>
        </w:rPr>
        <w:t xml:space="preserve">In </w:t>
      </w:r>
      <w:r>
        <w:rPr>
          <w:rFonts w:ascii="Arial" w:eastAsia="Calibri" w:hAnsi="Arial" w:cs="Arial"/>
          <w:lang w:val="en-GB"/>
        </w:rPr>
        <w:t xml:space="preserve">the amended notice of motion which, in my view, is crafted in a convoluted manner, </w:t>
      </w:r>
      <w:r w:rsidRPr="00483B4D">
        <w:rPr>
          <w:rFonts w:ascii="Arial" w:eastAsia="Calibri" w:hAnsi="Arial" w:cs="Arial"/>
          <w:lang w:val="en-GB"/>
        </w:rPr>
        <w:t>the applicant sought an order</w:t>
      </w:r>
      <w:r>
        <w:rPr>
          <w:rFonts w:ascii="Arial" w:eastAsia="Calibri" w:hAnsi="Arial" w:cs="Arial"/>
          <w:lang w:val="en-GB"/>
        </w:rPr>
        <w:t xml:space="preserve">, </w:t>
      </w:r>
      <w:r w:rsidRPr="00F07401">
        <w:rPr>
          <w:rFonts w:ascii="Arial" w:eastAsia="Calibri" w:hAnsi="Arial" w:cs="Arial"/>
          <w:i/>
          <w:iCs/>
          <w:lang w:val="en-GB"/>
        </w:rPr>
        <w:t>inter alia,</w:t>
      </w:r>
      <w:r>
        <w:rPr>
          <w:rFonts w:ascii="Arial" w:eastAsia="Calibri" w:hAnsi="Arial" w:cs="Arial"/>
          <w:lang w:val="en-GB"/>
        </w:rPr>
        <w:t xml:space="preserve"> in the following terms</w:t>
      </w:r>
      <w:r w:rsidRPr="00483B4D">
        <w:rPr>
          <w:rFonts w:ascii="Arial" w:eastAsia="Calibri" w:hAnsi="Arial" w:cs="Arial"/>
          <w:lang w:val="en-GB"/>
        </w:rPr>
        <w:t>:</w:t>
      </w:r>
    </w:p>
    <w:p w14:paraId="590E2051" w14:textId="77777777" w:rsidR="00572404" w:rsidRPr="00D35373" w:rsidRDefault="00572404" w:rsidP="00572404">
      <w:pPr>
        <w:pStyle w:val="NormalWeb"/>
        <w:spacing w:line="360" w:lineRule="auto"/>
        <w:ind w:left="1060" w:hanging="720"/>
        <w:jc w:val="both"/>
        <w:rPr>
          <w:rFonts w:ascii="Arial" w:eastAsia="Calibri" w:hAnsi="Arial" w:cs="Arial"/>
          <w:sz w:val="21"/>
          <w:szCs w:val="21"/>
          <w:lang w:val="en-GB"/>
        </w:rPr>
      </w:pPr>
    </w:p>
    <w:p w14:paraId="0DFABA0A" w14:textId="77777777" w:rsidR="00572404" w:rsidRPr="00D35373" w:rsidRDefault="00572404" w:rsidP="00572404">
      <w:pPr>
        <w:pStyle w:val="NormalWeb"/>
        <w:spacing w:line="360" w:lineRule="auto"/>
        <w:ind w:left="2160" w:hanging="720"/>
        <w:jc w:val="both"/>
        <w:rPr>
          <w:rFonts w:ascii="Arial" w:eastAsia="Calibri" w:hAnsi="Arial" w:cs="Arial"/>
          <w:i/>
          <w:iCs/>
          <w:sz w:val="21"/>
          <w:szCs w:val="21"/>
          <w:lang w:val="en-GB"/>
        </w:rPr>
      </w:pPr>
      <w:r w:rsidRPr="00D35373">
        <w:rPr>
          <w:rFonts w:ascii="Arial" w:eastAsia="Calibri" w:hAnsi="Arial" w:cs="Arial"/>
          <w:i/>
          <w:iCs/>
          <w:sz w:val="21"/>
          <w:szCs w:val="21"/>
          <w:lang w:val="en-GB"/>
        </w:rPr>
        <w:t xml:space="preserve">“1.   </w:t>
      </w:r>
      <w:r w:rsidRPr="00D35373">
        <w:rPr>
          <w:rFonts w:ascii="Arial" w:eastAsia="Calibri" w:hAnsi="Arial" w:cs="Arial"/>
          <w:i/>
          <w:iCs/>
          <w:sz w:val="21"/>
          <w:szCs w:val="21"/>
          <w:lang w:val="en-GB"/>
        </w:rPr>
        <w:tab/>
        <w:t>That the recommendation by the second respondent and the approval thereof by the first respondent that applicant be transferred laterally from the Directorate Telecommunications to another directorate of the State Security Agency be reviewed and set aside:</w:t>
      </w:r>
    </w:p>
    <w:p w14:paraId="66BFD9B6" w14:textId="77777777" w:rsidR="00572404" w:rsidRPr="00D35373" w:rsidRDefault="00572404" w:rsidP="00572404">
      <w:pPr>
        <w:pStyle w:val="NormalWeb"/>
        <w:spacing w:line="360" w:lineRule="auto"/>
        <w:ind w:left="2160" w:hanging="720"/>
        <w:jc w:val="both"/>
        <w:rPr>
          <w:rFonts w:ascii="Arial" w:eastAsia="Calibri" w:hAnsi="Arial" w:cs="Arial"/>
          <w:i/>
          <w:iCs/>
          <w:sz w:val="21"/>
          <w:szCs w:val="21"/>
          <w:lang w:val="en-GB"/>
        </w:rPr>
      </w:pPr>
      <w:r w:rsidRPr="00D35373">
        <w:rPr>
          <w:rFonts w:ascii="Arial" w:eastAsia="Calibri" w:hAnsi="Arial" w:cs="Arial"/>
          <w:i/>
          <w:iCs/>
          <w:sz w:val="21"/>
          <w:szCs w:val="21"/>
          <w:lang w:val="en-GB"/>
        </w:rPr>
        <w:t>2.</w:t>
      </w:r>
      <w:r w:rsidRPr="00D35373">
        <w:rPr>
          <w:rFonts w:ascii="Arial" w:eastAsia="Calibri" w:hAnsi="Arial" w:cs="Arial"/>
          <w:i/>
          <w:iCs/>
          <w:sz w:val="21"/>
          <w:szCs w:val="21"/>
          <w:lang w:val="en-GB"/>
        </w:rPr>
        <w:tab/>
        <w:t>An order that the applicant be retrospectively appointed on a level commensurate to that of unit head (now P2) from 1 October 2002, alternatively from June 2015;</w:t>
      </w:r>
    </w:p>
    <w:p w14:paraId="69101147" w14:textId="77777777" w:rsidR="00572404" w:rsidRPr="00D35373" w:rsidRDefault="00572404" w:rsidP="00572404">
      <w:pPr>
        <w:pStyle w:val="NormalWeb"/>
        <w:spacing w:line="360" w:lineRule="auto"/>
        <w:ind w:left="2160" w:hanging="720"/>
        <w:jc w:val="both"/>
        <w:rPr>
          <w:rFonts w:ascii="Arial" w:eastAsia="Calibri" w:hAnsi="Arial" w:cs="Arial"/>
          <w:i/>
          <w:iCs/>
          <w:sz w:val="21"/>
          <w:szCs w:val="21"/>
          <w:lang w:val="en-GB"/>
        </w:rPr>
      </w:pPr>
      <w:r w:rsidRPr="00D35373">
        <w:rPr>
          <w:rFonts w:ascii="Arial" w:eastAsia="Calibri" w:hAnsi="Arial" w:cs="Arial"/>
          <w:i/>
          <w:iCs/>
          <w:sz w:val="21"/>
          <w:szCs w:val="21"/>
          <w:lang w:val="en-GB"/>
        </w:rPr>
        <w:t>3.</w:t>
      </w:r>
      <w:r w:rsidRPr="00D35373">
        <w:rPr>
          <w:rFonts w:ascii="Arial" w:eastAsia="Calibri" w:hAnsi="Arial" w:cs="Arial"/>
          <w:i/>
          <w:iCs/>
          <w:sz w:val="21"/>
          <w:szCs w:val="21"/>
          <w:lang w:val="en-GB"/>
        </w:rPr>
        <w:tab/>
        <w:t xml:space="preserve">An order that applicant’s remuneration be </w:t>
      </w:r>
      <w:r>
        <w:rPr>
          <w:rFonts w:ascii="Arial" w:eastAsia="Calibri" w:hAnsi="Arial" w:cs="Arial"/>
          <w:i/>
          <w:iCs/>
          <w:sz w:val="21"/>
          <w:szCs w:val="21"/>
          <w:lang w:val="en-GB"/>
        </w:rPr>
        <w:t>retrospectively</w:t>
      </w:r>
      <w:r w:rsidRPr="00D35373">
        <w:rPr>
          <w:rFonts w:ascii="Arial" w:eastAsia="Calibri" w:hAnsi="Arial" w:cs="Arial"/>
          <w:i/>
          <w:iCs/>
          <w:sz w:val="21"/>
          <w:szCs w:val="21"/>
          <w:lang w:val="en-GB"/>
        </w:rPr>
        <w:t xml:space="preserve"> recalculated by first respondent, alternatively third respondent from 1 October 2002, alternatively June 2015 commensurate with that of a unit head (Level2) and that the difference between what applicant is entitled to and what she was </w:t>
      </w:r>
      <w:r w:rsidRPr="00D35373">
        <w:rPr>
          <w:rFonts w:ascii="Arial" w:eastAsia="Calibri" w:hAnsi="Arial" w:cs="Arial"/>
          <w:i/>
          <w:iCs/>
          <w:sz w:val="21"/>
          <w:szCs w:val="21"/>
          <w:lang w:val="en-GB"/>
        </w:rPr>
        <w:lastRenderedPageBreak/>
        <w:t>actually paid, be paid to applicant within 30 court days from this order being made;</w:t>
      </w:r>
    </w:p>
    <w:p w14:paraId="2873BBCB" w14:textId="77777777" w:rsidR="00572404" w:rsidRPr="00D35373" w:rsidRDefault="00572404" w:rsidP="00572404">
      <w:pPr>
        <w:pStyle w:val="NormalWeb"/>
        <w:spacing w:line="360" w:lineRule="auto"/>
        <w:ind w:left="2160" w:hanging="720"/>
        <w:jc w:val="both"/>
        <w:rPr>
          <w:rFonts w:ascii="Arial" w:eastAsia="Calibri" w:hAnsi="Arial" w:cs="Arial"/>
          <w:i/>
          <w:iCs/>
          <w:sz w:val="21"/>
          <w:szCs w:val="21"/>
          <w:lang w:val="en-GB"/>
        </w:rPr>
      </w:pPr>
      <w:r w:rsidRPr="00D35373">
        <w:rPr>
          <w:rFonts w:ascii="Arial" w:eastAsia="Calibri" w:hAnsi="Arial" w:cs="Arial"/>
          <w:i/>
          <w:iCs/>
          <w:sz w:val="21"/>
          <w:szCs w:val="21"/>
          <w:lang w:val="en-GB"/>
        </w:rPr>
        <w:t>4.</w:t>
      </w:r>
      <w:r w:rsidRPr="00D35373">
        <w:rPr>
          <w:rFonts w:ascii="Arial" w:eastAsia="Calibri" w:hAnsi="Arial" w:cs="Arial"/>
          <w:i/>
          <w:iCs/>
          <w:sz w:val="21"/>
          <w:szCs w:val="21"/>
          <w:lang w:val="en-GB"/>
        </w:rPr>
        <w:tab/>
        <w:t xml:space="preserve">An order that the respondents make available to the Honourable Court and the applicant the details of the respective remuneration packages, now G3 and P2, to enable the applicant and the Honourable Court calculate the amount retrospectively payable to applicant. </w:t>
      </w:r>
    </w:p>
    <w:p w14:paraId="7AF81CE8" w14:textId="77777777" w:rsidR="00572404" w:rsidRPr="00D35373" w:rsidRDefault="00572404" w:rsidP="00572404">
      <w:pPr>
        <w:pStyle w:val="NormalWeb"/>
        <w:spacing w:line="360" w:lineRule="auto"/>
        <w:ind w:left="2160" w:hanging="720"/>
        <w:jc w:val="both"/>
        <w:rPr>
          <w:rFonts w:ascii="Arial" w:eastAsia="Calibri" w:hAnsi="Arial" w:cs="Arial"/>
          <w:i/>
          <w:iCs/>
          <w:sz w:val="21"/>
          <w:szCs w:val="21"/>
          <w:lang w:val="en-GB"/>
        </w:rPr>
      </w:pPr>
      <w:r w:rsidRPr="00D35373">
        <w:rPr>
          <w:rFonts w:ascii="Arial" w:eastAsia="Calibri" w:hAnsi="Arial" w:cs="Arial"/>
          <w:i/>
          <w:iCs/>
          <w:sz w:val="21"/>
          <w:szCs w:val="21"/>
          <w:lang w:val="en-GB"/>
        </w:rPr>
        <w:t>5.</w:t>
      </w:r>
      <w:r w:rsidRPr="00D35373">
        <w:rPr>
          <w:rFonts w:ascii="Arial" w:eastAsia="Calibri" w:hAnsi="Arial" w:cs="Arial"/>
          <w:i/>
          <w:iCs/>
          <w:sz w:val="21"/>
          <w:szCs w:val="21"/>
          <w:lang w:val="en-GB"/>
        </w:rPr>
        <w:tab/>
        <w:t>That the decision of the third respondent confirming applicant’s Individual Performance Measurement System’s rating of 3 for the years 2013/2014 and 2014/2015 be reviewed and set aside and adjusted to a category rating of 4;</w:t>
      </w:r>
    </w:p>
    <w:p w14:paraId="1B79D909" w14:textId="77777777" w:rsidR="00572404" w:rsidRPr="00D35373" w:rsidRDefault="00572404" w:rsidP="00572404">
      <w:pPr>
        <w:pStyle w:val="NormalWeb"/>
        <w:spacing w:line="360" w:lineRule="auto"/>
        <w:ind w:left="2160" w:hanging="720"/>
        <w:jc w:val="both"/>
        <w:rPr>
          <w:rFonts w:ascii="Arial" w:eastAsia="Calibri" w:hAnsi="Arial" w:cs="Arial"/>
          <w:i/>
          <w:iCs/>
          <w:sz w:val="21"/>
          <w:szCs w:val="21"/>
          <w:lang w:val="en-GB"/>
        </w:rPr>
      </w:pPr>
      <w:r w:rsidRPr="00D35373">
        <w:rPr>
          <w:rFonts w:ascii="Arial" w:eastAsia="Calibri" w:hAnsi="Arial" w:cs="Arial"/>
          <w:i/>
          <w:iCs/>
          <w:sz w:val="21"/>
          <w:szCs w:val="21"/>
          <w:lang w:val="en-GB"/>
        </w:rPr>
        <w:t>6.</w:t>
      </w:r>
      <w:r w:rsidRPr="00D35373">
        <w:rPr>
          <w:rFonts w:ascii="Arial" w:eastAsia="Calibri" w:hAnsi="Arial" w:cs="Arial"/>
          <w:i/>
          <w:iCs/>
          <w:sz w:val="21"/>
          <w:szCs w:val="21"/>
          <w:lang w:val="en-GB"/>
        </w:rPr>
        <w:tab/>
        <w:t>An order that applicant’s performance bonus be recalculated by first, alternatively third respondent, based on a performance rating of 4 for the years 2013/2014 and 2014/2015 and that the difference between the recalculated bonus and the bonus actually paid for the two years be paid to the applicant within 30 court days of this order being made;</w:t>
      </w:r>
      <w:r>
        <w:rPr>
          <w:rFonts w:ascii="Arial" w:eastAsia="Calibri" w:hAnsi="Arial" w:cs="Arial"/>
          <w:i/>
          <w:iCs/>
          <w:sz w:val="21"/>
          <w:szCs w:val="21"/>
          <w:lang w:val="en-GB"/>
        </w:rPr>
        <w:t>”</w:t>
      </w:r>
      <w:r w:rsidRPr="00D35373">
        <w:rPr>
          <w:rFonts w:ascii="Arial" w:eastAsia="Calibri" w:hAnsi="Arial" w:cs="Arial"/>
          <w:i/>
          <w:iCs/>
          <w:sz w:val="21"/>
          <w:szCs w:val="21"/>
          <w:lang w:val="en-GB"/>
        </w:rPr>
        <w:tab/>
        <w:t xml:space="preserve"> </w:t>
      </w:r>
    </w:p>
    <w:p w14:paraId="2C87DF59" w14:textId="77777777" w:rsidR="00572404" w:rsidRDefault="00572404" w:rsidP="00572404">
      <w:pPr>
        <w:pStyle w:val="NormalWeb"/>
        <w:spacing w:line="360" w:lineRule="auto"/>
        <w:ind w:left="1440"/>
        <w:jc w:val="both"/>
        <w:rPr>
          <w:rFonts w:ascii="Arial" w:eastAsia="Calibri" w:hAnsi="Arial" w:cs="Arial"/>
          <w:lang w:val="en-GB"/>
        </w:rPr>
      </w:pPr>
    </w:p>
    <w:p w14:paraId="73903232" w14:textId="77777777" w:rsidR="00572404" w:rsidRDefault="00572404" w:rsidP="00572404">
      <w:pPr>
        <w:pStyle w:val="NormalWeb"/>
        <w:spacing w:line="360" w:lineRule="auto"/>
        <w:ind w:left="1060" w:hanging="720"/>
        <w:jc w:val="both"/>
        <w:rPr>
          <w:rFonts w:ascii="Arial" w:eastAsia="Calibri" w:hAnsi="Arial" w:cs="Arial"/>
          <w:lang w:val="en-GB"/>
        </w:rPr>
      </w:pPr>
      <w:r>
        <w:rPr>
          <w:rFonts w:ascii="Arial" w:eastAsia="Calibri" w:hAnsi="Arial" w:cs="Arial"/>
          <w:lang w:val="en-GB"/>
        </w:rPr>
        <w:t>[3]</w:t>
      </w:r>
      <w:r>
        <w:rPr>
          <w:rFonts w:ascii="Arial" w:eastAsia="Calibri" w:hAnsi="Arial" w:cs="Arial"/>
          <w:lang w:val="en-GB"/>
        </w:rPr>
        <w:tab/>
      </w:r>
      <w:r w:rsidRPr="00D629F3">
        <w:rPr>
          <w:rFonts w:ascii="Arial" w:eastAsia="Calibri" w:hAnsi="Arial" w:cs="Arial"/>
          <w:lang w:val="en-GB"/>
        </w:rPr>
        <w:t>During the hearing, it became abundantly clear that the application centres on two issues: first, whether the applicant should have been appointed or promoted to the position of unit head rather than Ms. Maletswa</w:t>
      </w:r>
      <w:r>
        <w:rPr>
          <w:rFonts w:ascii="Arial" w:eastAsia="Calibri" w:hAnsi="Arial" w:cs="Arial"/>
          <w:lang w:val="en-GB"/>
        </w:rPr>
        <w:t xml:space="preserve">. Second, whether the applicant’s IPMS ratings for 2013/2014 and 2014/2015 should be adjusted from 3 out of 5 to 4 out of 5. </w:t>
      </w:r>
    </w:p>
    <w:p w14:paraId="7DE29256" w14:textId="77777777" w:rsidR="00572404" w:rsidRDefault="00572404" w:rsidP="00572404">
      <w:pPr>
        <w:pStyle w:val="NormalWeb"/>
        <w:spacing w:line="360" w:lineRule="auto"/>
        <w:ind w:left="1060" w:hanging="720"/>
        <w:rPr>
          <w:rFonts w:ascii="Arial" w:hAnsi="Arial" w:cs="Arial"/>
          <w:b/>
          <w:bCs/>
          <w:kern w:val="2"/>
          <w:lang w:val="en-GB"/>
          <w14:ligatures w14:val="standardContextual"/>
        </w:rPr>
      </w:pPr>
    </w:p>
    <w:p w14:paraId="7814D5EA" w14:textId="77777777" w:rsidR="00572404" w:rsidRPr="00560A2D" w:rsidRDefault="00572404" w:rsidP="00572404">
      <w:pPr>
        <w:pStyle w:val="NormalWeb"/>
        <w:spacing w:line="360" w:lineRule="auto"/>
        <w:ind w:left="1060" w:hanging="720"/>
        <w:rPr>
          <w:rFonts w:ascii="Arial" w:eastAsia="Calibri" w:hAnsi="Arial" w:cs="Arial"/>
          <w:b/>
          <w:bCs/>
        </w:rPr>
      </w:pPr>
      <w:r w:rsidRPr="00560A2D">
        <w:rPr>
          <w:rFonts w:ascii="Arial" w:eastAsia="Calibri" w:hAnsi="Arial" w:cs="Arial"/>
          <w:b/>
          <w:bCs/>
          <w:lang w:val="en-GB"/>
        </w:rPr>
        <w:t>Summary of the facts</w:t>
      </w:r>
    </w:p>
    <w:p w14:paraId="525F68C5" w14:textId="77777777" w:rsidR="00572404" w:rsidRPr="00560A2D" w:rsidRDefault="00572404" w:rsidP="00572404">
      <w:pPr>
        <w:pStyle w:val="NormalWeb"/>
        <w:spacing w:line="360" w:lineRule="auto"/>
        <w:ind w:left="1060" w:hanging="720"/>
        <w:jc w:val="both"/>
        <w:rPr>
          <w:rFonts w:ascii="Arial" w:eastAsia="Calibri" w:hAnsi="Arial" w:cs="Arial"/>
        </w:rPr>
      </w:pPr>
    </w:p>
    <w:p w14:paraId="314323A9" w14:textId="77777777" w:rsidR="00572404" w:rsidRDefault="00572404" w:rsidP="00572404">
      <w:pPr>
        <w:pStyle w:val="NormalWeb"/>
        <w:spacing w:line="360" w:lineRule="auto"/>
        <w:ind w:left="1060" w:hanging="720"/>
        <w:jc w:val="both"/>
        <w:rPr>
          <w:rFonts w:ascii="Arial" w:eastAsia="Calibri" w:hAnsi="Arial" w:cs="Arial"/>
          <w:lang w:val="en-GB"/>
        </w:rPr>
      </w:pPr>
      <w:r>
        <w:rPr>
          <w:rFonts w:ascii="Arial" w:eastAsia="Calibri" w:hAnsi="Arial" w:cs="Arial"/>
          <w:lang w:val="en-GB"/>
        </w:rPr>
        <w:t>[4]</w:t>
      </w:r>
      <w:r>
        <w:rPr>
          <w:rFonts w:ascii="Arial" w:eastAsia="Calibri" w:hAnsi="Arial" w:cs="Arial"/>
          <w:lang w:val="en-GB"/>
        </w:rPr>
        <w:tab/>
      </w:r>
      <w:r w:rsidRPr="00560A2D">
        <w:rPr>
          <w:rFonts w:ascii="Arial" w:eastAsia="Calibri" w:hAnsi="Arial" w:cs="Arial"/>
          <w:lang w:val="en-GB"/>
        </w:rPr>
        <w:t>The applicant commenced employment with the State Security Agency with effect from 1 April 2002 as an administrative officer in the telecommunication division responsible for mobile telephone services.</w:t>
      </w:r>
    </w:p>
    <w:p w14:paraId="77BBD8EB" w14:textId="77777777" w:rsidR="00572404" w:rsidRPr="00560A2D" w:rsidRDefault="00572404" w:rsidP="00572404">
      <w:pPr>
        <w:pStyle w:val="NoSpacing"/>
      </w:pPr>
    </w:p>
    <w:p w14:paraId="7C7D96FE" w14:textId="77777777" w:rsidR="00572404" w:rsidRDefault="00572404" w:rsidP="00572404">
      <w:pPr>
        <w:pStyle w:val="NormalWeb"/>
        <w:spacing w:line="360" w:lineRule="auto"/>
        <w:ind w:left="1060" w:hanging="720"/>
        <w:jc w:val="both"/>
        <w:rPr>
          <w:rFonts w:ascii="Arial" w:eastAsia="Calibri" w:hAnsi="Arial" w:cs="Arial"/>
          <w:lang w:val="en-GB"/>
        </w:rPr>
      </w:pPr>
      <w:r>
        <w:rPr>
          <w:rFonts w:ascii="Arial" w:eastAsia="Calibri" w:hAnsi="Arial" w:cs="Arial"/>
          <w:lang w:val="en-GB"/>
        </w:rPr>
        <w:t>[5]</w:t>
      </w:r>
      <w:r>
        <w:rPr>
          <w:rFonts w:ascii="Arial" w:eastAsia="Calibri" w:hAnsi="Arial" w:cs="Arial"/>
          <w:lang w:val="en-GB"/>
        </w:rPr>
        <w:tab/>
      </w:r>
      <w:r w:rsidRPr="00560A2D">
        <w:rPr>
          <w:rFonts w:ascii="Arial" w:eastAsia="Calibri" w:hAnsi="Arial" w:cs="Arial"/>
          <w:lang w:val="en-GB"/>
        </w:rPr>
        <w:t>The applicant was reporting to Mr Christo Strydom</w:t>
      </w:r>
      <w:r>
        <w:rPr>
          <w:rFonts w:ascii="Arial" w:eastAsia="Calibri" w:hAnsi="Arial" w:cs="Arial"/>
          <w:lang w:val="en-GB"/>
        </w:rPr>
        <w:t>,</w:t>
      </w:r>
      <w:r w:rsidRPr="00560A2D">
        <w:rPr>
          <w:rFonts w:ascii="Arial" w:eastAsia="Calibri" w:hAnsi="Arial" w:cs="Arial"/>
          <w:lang w:val="en-GB"/>
        </w:rPr>
        <w:t xml:space="preserve"> who was then Deputy Divisional Head</w:t>
      </w:r>
      <w:r w:rsidRPr="0010132F">
        <w:t xml:space="preserve">. </w:t>
      </w:r>
      <w:r w:rsidRPr="0010132F">
        <w:rPr>
          <w:rFonts w:ascii="Arial" w:hAnsi="Arial" w:cs="Arial"/>
        </w:rPr>
        <w:t>Apparently, Mr Strydom left the organisation in the same, 2002.</w:t>
      </w:r>
      <w:r w:rsidRPr="00E80A1F">
        <w:rPr>
          <w:rFonts w:ascii="Arial" w:eastAsia="Calibri" w:hAnsi="Arial" w:cs="Arial"/>
          <w:color w:val="FF0000"/>
          <w:lang w:val="en-GB"/>
        </w:rPr>
        <w:t xml:space="preserve"> </w:t>
      </w:r>
      <w:r>
        <w:rPr>
          <w:rFonts w:ascii="Arial" w:eastAsia="Calibri" w:hAnsi="Arial" w:cs="Arial"/>
          <w:lang w:val="en-GB"/>
        </w:rPr>
        <w:t>T</w:t>
      </w:r>
      <w:r w:rsidRPr="00560A2D">
        <w:rPr>
          <w:rFonts w:ascii="Arial" w:eastAsia="Calibri" w:hAnsi="Arial" w:cs="Arial"/>
          <w:lang w:val="en-GB"/>
        </w:rPr>
        <w:t xml:space="preserve">he applicant admits that it was explained to her that she could not act in the post previously occupied by Mr Strydom on the basis that this post </w:t>
      </w:r>
      <w:r w:rsidRPr="00560A2D">
        <w:rPr>
          <w:rFonts w:ascii="Arial" w:eastAsia="Calibri" w:hAnsi="Arial" w:cs="Arial"/>
          <w:lang w:val="en-GB"/>
        </w:rPr>
        <w:lastRenderedPageBreak/>
        <w:t xml:space="preserve">no longer existed in the division and for this reason, the post was never advertised. </w:t>
      </w:r>
    </w:p>
    <w:p w14:paraId="79169691" w14:textId="77777777" w:rsidR="00572404" w:rsidRPr="00560A2D" w:rsidRDefault="00572404" w:rsidP="00572404">
      <w:pPr>
        <w:pStyle w:val="NoSpacing"/>
      </w:pPr>
    </w:p>
    <w:p w14:paraId="729B2219" w14:textId="77777777" w:rsidR="00572404" w:rsidRDefault="00572404" w:rsidP="00572404">
      <w:pPr>
        <w:pStyle w:val="NormalWeb"/>
        <w:spacing w:line="360" w:lineRule="auto"/>
        <w:ind w:left="1060" w:hanging="720"/>
        <w:jc w:val="both"/>
        <w:rPr>
          <w:rFonts w:ascii="Arial" w:eastAsia="Calibri" w:hAnsi="Arial" w:cs="Arial"/>
          <w:lang w:val="en-GB"/>
        </w:rPr>
      </w:pPr>
      <w:r>
        <w:rPr>
          <w:rFonts w:ascii="Arial" w:eastAsia="Calibri" w:hAnsi="Arial" w:cs="Arial"/>
          <w:lang w:val="en-GB"/>
        </w:rPr>
        <w:t>[6]</w:t>
      </w:r>
      <w:r>
        <w:rPr>
          <w:rFonts w:ascii="Arial" w:eastAsia="Calibri" w:hAnsi="Arial" w:cs="Arial"/>
          <w:lang w:val="en-GB"/>
        </w:rPr>
        <w:tab/>
        <w:t>After that the</w:t>
      </w:r>
      <w:r w:rsidRPr="00560A2D">
        <w:rPr>
          <w:rFonts w:ascii="Arial" w:eastAsia="Calibri" w:hAnsi="Arial" w:cs="Arial"/>
          <w:lang w:val="en-GB"/>
        </w:rPr>
        <w:t xml:space="preserve"> </w:t>
      </w:r>
      <w:r>
        <w:rPr>
          <w:rFonts w:ascii="Arial" w:eastAsia="Calibri" w:hAnsi="Arial" w:cs="Arial"/>
          <w:lang w:val="en-GB"/>
        </w:rPr>
        <w:t>a</w:t>
      </w:r>
      <w:r w:rsidRPr="00560A2D">
        <w:rPr>
          <w:rFonts w:ascii="Arial" w:eastAsia="Calibri" w:hAnsi="Arial" w:cs="Arial"/>
          <w:lang w:val="en-GB"/>
        </w:rPr>
        <w:t xml:space="preserve">pplicant reported to </w:t>
      </w:r>
      <w:r w:rsidRPr="00C22CE6">
        <w:rPr>
          <w:rFonts w:ascii="Arial" w:eastAsia="Calibri" w:hAnsi="Arial" w:cs="Arial"/>
          <w:color w:val="000000" w:themeColor="text1"/>
          <w:lang w:val="en-GB"/>
        </w:rPr>
        <w:t xml:space="preserve">a certain </w:t>
      </w:r>
      <w:r w:rsidRPr="00560A2D">
        <w:rPr>
          <w:rFonts w:ascii="Arial" w:eastAsia="Calibri" w:hAnsi="Arial" w:cs="Arial"/>
          <w:lang w:val="en-GB"/>
        </w:rPr>
        <w:t>Mr Steyn</w:t>
      </w:r>
      <w:r>
        <w:rPr>
          <w:rFonts w:ascii="Arial" w:eastAsia="Calibri" w:hAnsi="Arial" w:cs="Arial"/>
          <w:lang w:val="en-GB"/>
        </w:rPr>
        <w:t xml:space="preserve"> who in</w:t>
      </w:r>
      <w:r w:rsidRPr="00560A2D">
        <w:rPr>
          <w:rFonts w:ascii="Arial" w:eastAsia="Calibri" w:hAnsi="Arial" w:cs="Arial"/>
          <w:lang w:val="en-GB"/>
        </w:rPr>
        <w:t xml:space="preserve"> August 2003, </w:t>
      </w:r>
      <w:r>
        <w:rPr>
          <w:rFonts w:ascii="Arial" w:eastAsia="Calibri" w:hAnsi="Arial" w:cs="Arial"/>
          <w:lang w:val="en-GB"/>
        </w:rPr>
        <w:t>after</w:t>
      </w:r>
      <w:r w:rsidRPr="00560A2D">
        <w:rPr>
          <w:rFonts w:ascii="Arial" w:eastAsia="Calibri" w:hAnsi="Arial" w:cs="Arial"/>
          <w:lang w:val="en-GB"/>
        </w:rPr>
        <w:t xml:space="preserve"> the departure of Mr Strydom, </w:t>
      </w:r>
      <w:r>
        <w:rPr>
          <w:rFonts w:ascii="Arial" w:eastAsia="Calibri" w:hAnsi="Arial" w:cs="Arial"/>
          <w:lang w:val="en-GB"/>
        </w:rPr>
        <w:t xml:space="preserve">made </w:t>
      </w:r>
      <w:r w:rsidRPr="00560A2D">
        <w:rPr>
          <w:rFonts w:ascii="Arial" w:eastAsia="Calibri" w:hAnsi="Arial" w:cs="Arial"/>
          <w:lang w:val="en-GB"/>
        </w:rPr>
        <w:t xml:space="preserve">submissions and recommendations that there should be a creation of two-unit head posts in the division.  These recommendations were </w:t>
      </w:r>
      <w:r>
        <w:rPr>
          <w:rFonts w:ascii="Arial" w:eastAsia="Calibri" w:hAnsi="Arial" w:cs="Arial"/>
          <w:lang w:val="en-GB"/>
        </w:rPr>
        <w:t xml:space="preserve">however </w:t>
      </w:r>
      <w:r w:rsidRPr="00560A2D">
        <w:rPr>
          <w:rFonts w:ascii="Arial" w:eastAsia="Calibri" w:hAnsi="Arial" w:cs="Arial"/>
          <w:lang w:val="en-GB"/>
        </w:rPr>
        <w:t xml:space="preserve">not approved. </w:t>
      </w:r>
    </w:p>
    <w:p w14:paraId="447808CD" w14:textId="77777777" w:rsidR="00572404" w:rsidRPr="00560A2D" w:rsidRDefault="00572404" w:rsidP="00572404">
      <w:pPr>
        <w:pStyle w:val="NoSpacing"/>
      </w:pPr>
    </w:p>
    <w:p w14:paraId="4BF673B8" w14:textId="4C82B374" w:rsidR="00572404"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[7]</w:t>
      </w:r>
      <w:r>
        <w:rPr>
          <w:rFonts w:ascii="Arial" w:eastAsia="Calibri" w:hAnsi="Arial" w:cs="Arial"/>
        </w:rPr>
        <w:tab/>
        <w:t>Two</w:t>
      </w:r>
      <w:r w:rsidRPr="00560A2D">
        <w:rPr>
          <w:rFonts w:ascii="Arial" w:eastAsia="Calibri" w:hAnsi="Arial" w:cs="Arial"/>
        </w:rPr>
        <w:t xml:space="preserve"> years later, on 01 February 2006, the </w:t>
      </w:r>
      <w:r w:rsidRPr="00C22CE6">
        <w:rPr>
          <w:rFonts w:ascii="Arial" w:eastAsia="Calibri" w:hAnsi="Arial" w:cs="Arial"/>
          <w:color w:val="000000" w:themeColor="text1"/>
        </w:rPr>
        <w:t xml:space="preserve">Acting Manager: Information </w:t>
      </w:r>
      <w:r>
        <w:rPr>
          <w:rFonts w:ascii="Arial" w:eastAsia="Calibri" w:hAnsi="Arial" w:cs="Arial"/>
          <w:color w:val="000000" w:themeColor="text1"/>
        </w:rPr>
        <w:t>Systems</w:t>
      </w:r>
      <w:r w:rsidRPr="00C22CE6">
        <w:rPr>
          <w:rFonts w:ascii="Arial" w:eastAsia="Calibri" w:hAnsi="Arial" w:cs="Arial"/>
          <w:color w:val="000000" w:themeColor="text1"/>
        </w:rPr>
        <w:t xml:space="preserve"> </w:t>
      </w:r>
      <w:r w:rsidRPr="00560A2D">
        <w:rPr>
          <w:rFonts w:ascii="Arial" w:eastAsia="Calibri" w:hAnsi="Arial" w:cs="Arial"/>
        </w:rPr>
        <w:t>at th</w:t>
      </w:r>
      <w:r>
        <w:rPr>
          <w:rFonts w:ascii="Arial" w:eastAsia="Calibri" w:hAnsi="Arial" w:cs="Arial"/>
        </w:rPr>
        <w:t>e</w:t>
      </w:r>
      <w:r w:rsidRPr="00560A2D">
        <w:rPr>
          <w:rFonts w:ascii="Arial" w:eastAsia="Calibri" w:hAnsi="Arial" w:cs="Arial"/>
        </w:rPr>
        <w:t xml:space="preserve"> time, Mr Bernard</w:t>
      </w:r>
      <w:r>
        <w:rPr>
          <w:rFonts w:ascii="Arial" w:eastAsia="Calibri" w:hAnsi="Arial" w:cs="Arial"/>
        </w:rPr>
        <w:t>,</w:t>
      </w:r>
      <w:r w:rsidRPr="00560A2D">
        <w:rPr>
          <w:rFonts w:ascii="Arial" w:eastAsia="Calibri" w:hAnsi="Arial" w:cs="Arial"/>
        </w:rPr>
        <w:t xml:space="preserve"> also made submissions and recommendations that the applicant be appointed as the </w:t>
      </w:r>
      <w:r>
        <w:rPr>
          <w:rFonts w:ascii="Arial" w:eastAsia="Calibri" w:hAnsi="Arial" w:cs="Arial"/>
        </w:rPr>
        <w:t>u</w:t>
      </w:r>
      <w:r w:rsidRPr="00560A2D">
        <w:rPr>
          <w:rFonts w:ascii="Arial" w:eastAsia="Calibri" w:hAnsi="Arial" w:cs="Arial"/>
        </w:rPr>
        <w:t xml:space="preserve">nit </w:t>
      </w:r>
      <w:r>
        <w:rPr>
          <w:rFonts w:ascii="Arial" w:eastAsia="Calibri" w:hAnsi="Arial" w:cs="Arial"/>
        </w:rPr>
        <w:t>h</w:t>
      </w:r>
      <w:r w:rsidRPr="00560A2D">
        <w:rPr>
          <w:rFonts w:ascii="Arial" w:eastAsia="Calibri" w:hAnsi="Arial" w:cs="Arial"/>
        </w:rPr>
        <w:t>ead. However, these recommendations too were not approved.</w:t>
      </w:r>
      <w:r>
        <w:rPr>
          <w:rFonts w:ascii="Arial" w:eastAsia="Calibri" w:hAnsi="Arial" w:cs="Arial"/>
        </w:rPr>
        <w:t xml:space="preserve"> </w:t>
      </w:r>
      <w:r w:rsidRPr="00560A2D">
        <w:rPr>
          <w:rFonts w:ascii="Arial" w:eastAsia="Calibri" w:hAnsi="Arial" w:cs="Arial"/>
        </w:rPr>
        <w:t>The applicant</w:t>
      </w:r>
      <w:r w:rsidR="00D74854">
        <w:rPr>
          <w:rFonts w:ascii="Arial" w:eastAsia="Calibri" w:hAnsi="Arial" w:cs="Arial"/>
        </w:rPr>
        <w:t xml:space="preserve"> </w:t>
      </w:r>
      <w:r>
        <w:rPr>
          <w:rFonts w:ascii="Arial" w:eastAsia="Calibri" w:hAnsi="Arial" w:cs="Arial"/>
        </w:rPr>
        <w:t xml:space="preserve">contends that she </w:t>
      </w:r>
      <w:r w:rsidRPr="00560A2D">
        <w:rPr>
          <w:rFonts w:ascii="Arial" w:eastAsia="Calibri" w:hAnsi="Arial" w:cs="Arial"/>
        </w:rPr>
        <w:t xml:space="preserve">performed the functions of the </w:t>
      </w:r>
      <w:r>
        <w:rPr>
          <w:rFonts w:ascii="Arial" w:eastAsia="Calibri" w:hAnsi="Arial" w:cs="Arial"/>
        </w:rPr>
        <w:t>u</w:t>
      </w:r>
      <w:r w:rsidRPr="00560A2D">
        <w:rPr>
          <w:rFonts w:ascii="Arial" w:eastAsia="Calibri" w:hAnsi="Arial" w:cs="Arial"/>
        </w:rPr>
        <w:t xml:space="preserve">nit </w:t>
      </w:r>
      <w:r>
        <w:rPr>
          <w:rFonts w:ascii="Arial" w:eastAsia="Calibri" w:hAnsi="Arial" w:cs="Arial"/>
        </w:rPr>
        <w:t>h</w:t>
      </w:r>
      <w:r w:rsidRPr="00560A2D">
        <w:rPr>
          <w:rFonts w:ascii="Arial" w:eastAsia="Calibri" w:hAnsi="Arial" w:cs="Arial"/>
        </w:rPr>
        <w:t>ead. However, she admits that she was never formally appointed to th</w:t>
      </w:r>
      <w:r>
        <w:rPr>
          <w:rFonts w:ascii="Arial" w:eastAsia="Calibri" w:hAnsi="Arial" w:cs="Arial"/>
        </w:rPr>
        <w:t>at</w:t>
      </w:r>
      <w:r w:rsidR="00D74854">
        <w:rPr>
          <w:rFonts w:ascii="Arial" w:eastAsia="Calibri" w:hAnsi="Arial" w:cs="Arial"/>
        </w:rPr>
        <w:t xml:space="preserve"> </w:t>
      </w:r>
      <w:r w:rsidRPr="00560A2D">
        <w:rPr>
          <w:rFonts w:ascii="Arial" w:eastAsia="Calibri" w:hAnsi="Arial" w:cs="Arial"/>
        </w:rPr>
        <w:t>position, and neither was she remunerated in accordance with the post level of a unit head and</w:t>
      </w:r>
      <w:r>
        <w:rPr>
          <w:rFonts w:ascii="Arial" w:eastAsia="Calibri" w:hAnsi="Arial" w:cs="Arial"/>
        </w:rPr>
        <w:t xml:space="preserve"> </w:t>
      </w:r>
      <w:r w:rsidRPr="00560A2D">
        <w:rPr>
          <w:rFonts w:ascii="Arial" w:eastAsia="Calibri" w:hAnsi="Arial" w:cs="Arial"/>
        </w:rPr>
        <w:t>or in accordance with the functions and responsibilities she executed. Again in May 2006, three months later, the General Manager: Human Resources, Mr Masango</w:t>
      </w:r>
      <w:r>
        <w:rPr>
          <w:rFonts w:ascii="Arial" w:eastAsia="Calibri" w:hAnsi="Arial" w:cs="Arial"/>
        </w:rPr>
        <w:t>,</w:t>
      </w:r>
      <w:r w:rsidRPr="00560A2D">
        <w:rPr>
          <w:rFonts w:ascii="Arial" w:eastAsia="Calibri" w:hAnsi="Arial" w:cs="Arial"/>
        </w:rPr>
        <w:t xml:space="preserve"> </w:t>
      </w:r>
      <w:r>
        <w:rPr>
          <w:rFonts w:ascii="Arial" w:eastAsia="Calibri" w:hAnsi="Arial" w:cs="Arial"/>
        </w:rPr>
        <w:t xml:space="preserve">attempted to have the applicant’s post </w:t>
      </w:r>
      <w:r w:rsidRPr="00560A2D">
        <w:rPr>
          <w:rFonts w:ascii="Arial" w:eastAsia="Calibri" w:hAnsi="Arial" w:cs="Arial"/>
        </w:rPr>
        <w:t>re-evaluated</w:t>
      </w:r>
      <w:r>
        <w:rPr>
          <w:rFonts w:ascii="Arial" w:eastAsia="Calibri" w:hAnsi="Arial" w:cs="Arial"/>
        </w:rPr>
        <w:t xml:space="preserve">. </w:t>
      </w:r>
      <w:r w:rsidRPr="00560A2D">
        <w:rPr>
          <w:rFonts w:ascii="Arial" w:eastAsia="Calibri" w:hAnsi="Arial" w:cs="Arial"/>
        </w:rPr>
        <w:t>This attempt to</w:t>
      </w:r>
      <w:r>
        <w:rPr>
          <w:rFonts w:ascii="Arial" w:eastAsia="Calibri" w:hAnsi="Arial" w:cs="Arial"/>
        </w:rPr>
        <w:t>o</w:t>
      </w:r>
      <w:r w:rsidRPr="00560A2D">
        <w:rPr>
          <w:rFonts w:ascii="Arial" w:eastAsia="Calibri" w:hAnsi="Arial" w:cs="Arial"/>
        </w:rPr>
        <w:t xml:space="preserve"> </w:t>
      </w:r>
      <w:r>
        <w:rPr>
          <w:rFonts w:ascii="Arial" w:eastAsia="Calibri" w:hAnsi="Arial" w:cs="Arial"/>
        </w:rPr>
        <w:t>failed</w:t>
      </w:r>
      <w:r w:rsidRPr="00560A2D">
        <w:rPr>
          <w:rFonts w:ascii="Arial" w:eastAsia="Calibri" w:hAnsi="Arial" w:cs="Arial"/>
        </w:rPr>
        <w:t xml:space="preserve">. </w:t>
      </w:r>
    </w:p>
    <w:p w14:paraId="48C22C1D" w14:textId="77777777" w:rsidR="00572404" w:rsidRPr="00560A2D" w:rsidRDefault="00572404" w:rsidP="00572404">
      <w:pPr>
        <w:pStyle w:val="NoSpacing"/>
      </w:pPr>
    </w:p>
    <w:p w14:paraId="5C233F4E" w14:textId="77777777" w:rsidR="00572404" w:rsidRPr="00560A2D"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[8]</w:t>
      </w:r>
      <w:r>
        <w:rPr>
          <w:rFonts w:ascii="Arial" w:eastAsia="Calibri" w:hAnsi="Arial" w:cs="Arial"/>
        </w:rPr>
        <w:tab/>
      </w:r>
      <w:r w:rsidRPr="00560A2D">
        <w:rPr>
          <w:rFonts w:ascii="Arial" w:eastAsia="Calibri" w:hAnsi="Arial" w:cs="Arial"/>
        </w:rPr>
        <w:t xml:space="preserve">In 2012, six years later, the State Security Agency merged two branches of National intelligence. </w:t>
      </w:r>
      <w:r w:rsidRPr="00413A8C">
        <w:rPr>
          <w:rFonts w:ascii="Arial" w:eastAsia="Calibri" w:hAnsi="Arial" w:cs="Arial"/>
          <w:color w:val="000000" w:themeColor="text1"/>
        </w:rPr>
        <w:t xml:space="preserve">As a consequence of these changes, </w:t>
      </w:r>
      <w:r>
        <w:rPr>
          <w:rFonts w:ascii="Arial" w:eastAsia="Calibri" w:hAnsi="Arial" w:cs="Arial"/>
        </w:rPr>
        <w:t>t</w:t>
      </w:r>
      <w:r w:rsidRPr="00560A2D">
        <w:rPr>
          <w:rFonts w:ascii="Arial" w:eastAsia="Calibri" w:hAnsi="Arial" w:cs="Arial"/>
        </w:rPr>
        <w:t xml:space="preserve">he </w:t>
      </w:r>
      <w:r>
        <w:rPr>
          <w:rFonts w:ascii="Arial" w:eastAsia="Calibri" w:hAnsi="Arial" w:cs="Arial"/>
        </w:rPr>
        <w:t>a</w:t>
      </w:r>
      <w:r w:rsidRPr="00560A2D">
        <w:rPr>
          <w:rFonts w:ascii="Arial" w:eastAsia="Calibri" w:hAnsi="Arial" w:cs="Arial"/>
        </w:rPr>
        <w:t xml:space="preserve">pplicant, therefore, </w:t>
      </w:r>
      <w:r>
        <w:rPr>
          <w:rFonts w:ascii="Arial" w:eastAsia="Calibri" w:hAnsi="Arial" w:cs="Arial"/>
        </w:rPr>
        <w:t xml:space="preserve">requested a promotion.  </w:t>
      </w:r>
      <w:r w:rsidRPr="00560A2D">
        <w:rPr>
          <w:rFonts w:ascii="Arial" w:eastAsia="Calibri" w:hAnsi="Arial" w:cs="Arial"/>
        </w:rPr>
        <w:t xml:space="preserve"> Mr  Bam</w:t>
      </w:r>
      <w:r>
        <w:rPr>
          <w:rFonts w:ascii="Arial" w:eastAsia="Calibri" w:hAnsi="Arial" w:cs="Arial"/>
        </w:rPr>
        <w:t xml:space="preserve"> </w:t>
      </w:r>
      <w:r w:rsidRPr="00413A8C">
        <w:rPr>
          <w:rFonts w:ascii="Arial" w:eastAsia="Calibri" w:hAnsi="Arial" w:cs="Arial"/>
          <w:color w:val="000000" w:themeColor="text1"/>
        </w:rPr>
        <w:t xml:space="preserve">who was then the applicant’s Acting Manager </w:t>
      </w:r>
      <w:r w:rsidRPr="00560A2D">
        <w:rPr>
          <w:rFonts w:ascii="Arial" w:eastAsia="Calibri" w:hAnsi="Arial" w:cs="Arial"/>
        </w:rPr>
        <w:t xml:space="preserve">declined the request for promotion. Aggrieved </w:t>
      </w:r>
      <w:r>
        <w:rPr>
          <w:rFonts w:ascii="Arial" w:eastAsia="Calibri" w:hAnsi="Arial" w:cs="Arial"/>
        </w:rPr>
        <w:t>by</w:t>
      </w:r>
      <w:r w:rsidRPr="00560A2D">
        <w:rPr>
          <w:rFonts w:ascii="Arial" w:eastAsia="Calibri" w:hAnsi="Arial" w:cs="Arial"/>
        </w:rPr>
        <w:t xml:space="preserve"> this, the </w:t>
      </w:r>
      <w:r>
        <w:rPr>
          <w:rFonts w:ascii="Arial" w:eastAsia="Calibri" w:hAnsi="Arial" w:cs="Arial"/>
        </w:rPr>
        <w:t>a</w:t>
      </w:r>
      <w:r w:rsidRPr="00560A2D">
        <w:rPr>
          <w:rFonts w:ascii="Arial" w:eastAsia="Calibri" w:hAnsi="Arial" w:cs="Arial"/>
        </w:rPr>
        <w:t xml:space="preserve">pplicant escalated her issues to </w:t>
      </w:r>
      <w:r>
        <w:rPr>
          <w:rFonts w:ascii="Arial" w:eastAsia="Calibri" w:hAnsi="Arial" w:cs="Arial"/>
        </w:rPr>
        <w:t xml:space="preserve">the then Director-General, </w:t>
      </w:r>
      <w:r w:rsidRPr="00560A2D">
        <w:rPr>
          <w:rFonts w:ascii="Arial" w:eastAsia="Calibri" w:hAnsi="Arial" w:cs="Arial"/>
        </w:rPr>
        <w:t xml:space="preserve">Mr Dlomo. Mr Dlomo undertook to investigate. He however came back to the applicant and informed </w:t>
      </w:r>
      <w:r>
        <w:rPr>
          <w:rFonts w:ascii="Arial" w:eastAsia="Calibri" w:hAnsi="Arial" w:cs="Arial"/>
        </w:rPr>
        <w:t>her</w:t>
      </w:r>
      <w:r w:rsidRPr="00560A2D">
        <w:rPr>
          <w:rFonts w:ascii="Arial" w:eastAsia="Calibri" w:hAnsi="Arial" w:cs="Arial"/>
        </w:rPr>
        <w:t xml:space="preserve"> that she could not be appointed as the unit head because she did not have a</w:t>
      </w:r>
      <w:r>
        <w:rPr>
          <w:rFonts w:ascii="Arial" w:eastAsia="Calibri" w:hAnsi="Arial" w:cs="Arial"/>
        </w:rPr>
        <w:t xml:space="preserve">n </w:t>
      </w:r>
      <w:r w:rsidRPr="00560A2D">
        <w:rPr>
          <w:rFonts w:ascii="Arial" w:eastAsia="Calibri" w:hAnsi="Arial" w:cs="Arial"/>
        </w:rPr>
        <w:t xml:space="preserve">NQF6 </w:t>
      </w:r>
      <w:r>
        <w:rPr>
          <w:rFonts w:ascii="Arial" w:eastAsia="Calibri" w:hAnsi="Arial" w:cs="Arial"/>
        </w:rPr>
        <w:t xml:space="preserve">qualification which is equivalent to a </w:t>
      </w:r>
      <w:r w:rsidRPr="00560A2D">
        <w:rPr>
          <w:rFonts w:ascii="Arial" w:eastAsia="Calibri" w:hAnsi="Arial" w:cs="Arial"/>
        </w:rPr>
        <w:t xml:space="preserve">degree. </w:t>
      </w:r>
      <w:r>
        <w:rPr>
          <w:rFonts w:ascii="Arial" w:eastAsia="Calibri" w:hAnsi="Arial" w:cs="Arial"/>
        </w:rPr>
        <w:t xml:space="preserve"> She subsequently</w:t>
      </w:r>
      <w:r w:rsidRPr="00560A2D">
        <w:rPr>
          <w:rFonts w:ascii="Arial" w:eastAsia="Calibri" w:hAnsi="Arial" w:cs="Arial"/>
        </w:rPr>
        <w:t xml:space="preserve"> enrolled for a BA Criminology Degree at the University of South Africa</w:t>
      </w:r>
      <w:r>
        <w:rPr>
          <w:rFonts w:ascii="Arial" w:eastAsia="Calibri" w:hAnsi="Arial" w:cs="Arial"/>
        </w:rPr>
        <w:t>, apparently upon the advice from Mr Dlomo</w:t>
      </w:r>
      <w:r w:rsidRPr="00560A2D">
        <w:rPr>
          <w:rFonts w:ascii="Arial" w:eastAsia="Calibri" w:hAnsi="Arial" w:cs="Arial"/>
        </w:rPr>
        <w:t xml:space="preserve">.  </w:t>
      </w:r>
    </w:p>
    <w:p w14:paraId="4F408D52" w14:textId="77777777" w:rsidR="00572404" w:rsidRPr="00560A2D" w:rsidRDefault="00572404" w:rsidP="00572404">
      <w:pPr>
        <w:pStyle w:val="NoSpacing"/>
      </w:pPr>
    </w:p>
    <w:p w14:paraId="7A7A5189" w14:textId="77777777" w:rsidR="00572404" w:rsidRPr="00560A2D"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[9]</w:t>
      </w:r>
      <w:r>
        <w:rPr>
          <w:rFonts w:ascii="Arial" w:eastAsia="Calibri" w:hAnsi="Arial" w:cs="Arial"/>
        </w:rPr>
        <w:tab/>
      </w:r>
      <w:r w:rsidRPr="00560A2D">
        <w:rPr>
          <w:rFonts w:ascii="Arial" w:eastAsia="Calibri" w:hAnsi="Arial" w:cs="Arial"/>
        </w:rPr>
        <w:t xml:space="preserve">The </w:t>
      </w:r>
      <w:r>
        <w:rPr>
          <w:rFonts w:ascii="Arial" w:eastAsia="Calibri" w:hAnsi="Arial" w:cs="Arial"/>
        </w:rPr>
        <w:t>a</w:t>
      </w:r>
      <w:r w:rsidRPr="00560A2D">
        <w:rPr>
          <w:rFonts w:ascii="Arial" w:eastAsia="Calibri" w:hAnsi="Arial" w:cs="Arial"/>
        </w:rPr>
        <w:t>pplicant also submitted a formal grievance against Mr Bam because she felt victimised.  According to the applicant, her grievance was never investigated.</w:t>
      </w:r>
      <w:r>
        <w:rPr>
          <w:rFonts w:ascii="Arial" w:eastAsia="Calibri" w:hAnsi="Arial" w:cs="Arial"/>
        </w:rPr>
        <w:t xml:space="preserve"> </w:t>
      </w:r>
      <w:r w:rsidRPr="00560A2D">
        <w:rPr>
          <w:rFonts w:ascii="Arial" w:eastAsia="Calibri" w:hAnsi="Arial" w:cs="Arial"/>
        </w:rPr>
        <w:t>For the period</w:t>
      </w:r>
      <w:r>
        <w:rPr>
          <w:rFonts w:ascii="Arial" w:eastAsia="Calibri" w:hAnsi="Arial" w:cs="Arial"/>
        </w:rPr>
        <w:t>s</w:t>
      </w:r>
      <w:r w:rsidRPr="00560A2D">
        <w:rPr>
          <w:rFonts w:ascii="Arial" w:eastAsia="Calibri" w:hAnsi="Arial" w:cs="Arial"/>
        </w:rPr>
        <w:t xml:space="preserve"> of 2013/2014 – 2014/2015</w:t>
      </w:r>
      <w:r>
        <w:rPr>
          <w:rFonts w:ascii="Arial" w:eastAsia="Calibri" w:hAnsi="Arial" w:cs="Arial"/>
        </w:rPr>
        <w:t xml:space="preserve"> </w:t>
      </w:r>
      <w:r w:rsidRPr="00560A2D">
        <w:rPr>
          <w:rFonts w:ascii="Arial" w:eastAsia="Calibri" w:hAnsi="Arial" w:cs="Arial"/>
        </w:rPr>
        <w:t xml:space="preserve">Integrated </w:t>
      </w:r>
      <w:r w:rsidRPr="00560A2D">
        <w:rPr>
          <w:rFonts w:ascii="Arial" w:eastAsia="Calibri" w:hAnsi="Arial" w:cs="Arial"/>
        </w:rPr>
        <w:lastRenderedPageBreak/>
        <w:t>Performance Measurement System</w:t>
      </w:r>
      <w:r>
        <w:rPr>
          <w:rFonts w:ascii="Arial" w:eastAsia="Calibri" w:hAnsi="Arial" w:cs="Arial"/>
        </w:rPr>
        <w:t>,</w:t>
      </w:r>
      <w:r w:rsidRPr="00560A2D">
        <w:rPr>
          <w:rFonts w:ascii="Arial" w:eastAsia="Calibri" w:hAnsi="Arial" w:cs="Arial"/>
        </w:rPr>
        <w:t xml:space="preserve"> the applicant rated her performance on a level 4 out of 5. Mr Bam reduced the ratings to a level 3. </w:t>
      </w:r>
      <w:r>
        <w:rPr>
          <w:rFonts w:ascii="Arial" w:eastAsia="Calibri" w:hAnsi="Arial" w:cs="Arial"/>
        </w:rPr>
        <w:t>Dissatisfied</w:t>
      </w:r>
      <w:r w:rsidRPr="00560A2D">
        <w:rPr>
          <w:rFonts w:ascii="Arial" w:eastAsia="Calibri" w:hAnsi="Arial" w:cs="Arial"/>
        </w:rPr>
        <w:t xml:space="preserve"> with Mr Bam’s ratings, the applicant appealed. According to the applicant, she never received an outcome in her appeal. Mr Bam was later replaced by </w:t>
      </w:r>
      <w:r>
        <w:rPr>
          <w:rFonts w:ascii="Arial" w:eastAsia="Calibri" w:hAnsi="Arial" w:cs="Arial"/>
        </w:rPr>
        <w:t xml:space="preserve">a certain </w:t>
      </w:r>
      <w:r w:rsidRPr="00560A2D">
        <w:rPr>
          <w:rFonts w:ascii="Arial" w:eastAsia="Calibri" w:hAnsi="Arial" w:cs="Arial"/>
        </w:rPr>
        <w:t xml:space="preserve">Mr Shariff. </w:t>
      </w:r>
    </w:p>
    <w:p w14:paraId="4196F14D" w14:textId="77777777" w:rsidR="00572404" w:rsidRPr="00560A2D" w:rsidRDefault="00572404" w:rsidP="00572404">
      <w:pPr>
        <w:pStyle w:val="NoSpacing"/>
      </w:pPr>
    </w:p>
    <w:p w14:paraId="56B3EC9D" w14:textId="77777777" w:rsidR="00572404" w:rsidRPr="00560A2D"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[10]</w:t>
      </w:r>
      <w:r>
        <w:rPr>
          <w:rFonts w:ascii="Arial" w:eastAsia="Calibri" w:hAnsi="Arial" w:cs="Arial"/>
        </w:rPr>
        <w:tab/>
      </w:r>
      <w:r w:rsidRPr="00560A2D">
        <w:rPr>
          <w:rFonts w:ascii="Arial" w:eastAsia="Calibri" w:hAnsi="Arial" w:cs="Arial"/>
        </w:rPr>
        <w:t xml:space="preserve">In June 2015, the applicant was invited to a meeting wherein she was informed by Mr Shariff that Ms Maletswa had been appointed as the unit head and she would report to her.  </w:t>
      </w:r>
    </w:p>
    <w:p w14:paraId="4F89347A" w14:textId="77777777" w:rsidR="00572404" w:rsidRPr="00560A2D" w:rsidRDefault="00572404" w:rsidP="00572404">
      <w:pPr>
        <w:pStyle w:val="NoSpacing"/>
      </w:pPr>
    </w:p>
    <w:p w14:paraId="5DAF064F" w14:textId="77777777" w:rsidR="00572404"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[11]</w:t>
      </w:r>
      <w:r>
        <w:rPr>
          <w:rFonts w:ascii="Arial" w:eastAsia="Calibri" w:hAnsi="Arial" w:cs="Arial"/>
        </w:rPr>
        <w:tab/>
      </w:r>
      <w:r w:rsidRPr="00560A2D">
        <w:rPr>
          <w:rFonts w:ascii="Arial" w:eastAsia="Calibri" w:hAnsi="Arial" w:cs="Arial"/>
        </w:rPr>
        <w:t xml:space="preserve">The applicant was aggrieved by this as she felt that her functions and responsibilities were taken away from her and consequently requested that she should be transferred to another division as she could </w:t>
      </w:r>
      <w:r w:rsidRPr="00385E97">
        <w:rPr>
          <w:rFonts w:ascii="Arial" w:eastAsia="Calibri" w:hAnsi="Arial" w:cs="Arial"/>
          <w:color w:val="000000" w:themeColor="text1"/>
        </w:rPr>
        <w:t xml:space="preserve">not cope working </w:t>
      </w:r>
      <w:r w:rsidRPr="00560A2D">
        <w:rPr>
          <w:rFonts w:ascii="Arial" w:eastAsia="Calibri" w:hAnsi="Arial" w:cs="Arial"/>
        </w:rPr>
        <w:t xml:space="preserve">under Ms Maletswa in the same division. The approval was granted. </w:t>
      </w:r>
    </w:p>
    <w:p w14:paraId="1E91E44F" w14:textId="77777777" w:rsidR="00572404" w:rsidRDefault="00572404" w:rsidP="00572404">
      <w:pPr>
        <w:pStyle w:val="NormalWeb"/>
        <w:spacing w:line="360" w:lineRule="auto"/>
        <w:ind w:left="1060" w:hanging="720"/>
        <w:jc w:val="both"/>
        <w:rPr>
          <w:rFonts w:ascii="Arial" w:eastAsia="Calibri" w:hAnsi="Arial" w:cs="Arial"/>
        </w:rPr>
      </w:pPr>
    </w:p>
    <w:p w14:paraId="5DF07BD8" w14:textId="77777777" w:rsidR="00572404" w:rsidRPr="00560A2D" w:rsidRDefault="00572404" w:rsidP="00572404">
      <w:pPr>
        <w:pStyle w:val="NormalWeb"/>
        <w:spacing w:line="360" w:lineRule="auto"/>
        <w:ind w:left="1060"/>
        <w:jc w:val="both"/>
        <w:rPr>
          <w:rFonts w:ascii="Arial" w:eastAsia="Calibri" w:hAnsi="Arial" w:cs="Arial"/>
        </w:rPr>
      </w:pPr>
      <w:r w:rsidRPr="00560A2D">
        <w:rPr>
          <w:rFonts w:ascii="Arial" w:eastAsia="Calibri" w:hAnsi="Arial" w:cs="Arial"/>
        </w:rPr>
        <w:t>The applicant was transferred to the IT Stock Department</w:t>
      </w:r>
      <w:r>
        <w:rPr>
          <w:rFonts w:ascii="Arial" w:eastAsia="Calibri" w:hAnsi="Arial" w:cs="Arial"/>
        </w:rPr>
        <w:t xml:space="preserve"> where she </w:t>
      </w:r>
      <w:r w:rsidRPr="00560A2D">
        <w:rPr>
          <w:rFonts w:ascii="Arial" w:eastAsia="Calibri" w:hAnsi="Arial" w:cs="Arial"/>
        </w:rPr>
        <w:t xml:space="preserve"> worked in an open space with other colleagues. According to the applicant, this was a demotion. As a result, she submitted another grievance with respect to the appointment of M</w:t>
      </w:r>
      <w:r>
        <w:rPr>
          <w:rFonts w:ascii="Arial" w:eastAsia="Calibri" w:hAnsi="Arial" w:cs="Arial"/>
        </w:rPr>
        <w:t>s</w:t>
      </w:r>
      <w:r w:rsidRPr="00560A2D">
        <w:rPr>
          <w:rFonts w:ascii="Arial" w:eastAsia="Calibri" w:hAnsi="Arial" w:cs="Arial"/>
        </w:rPr>
        <w:t xml:space="preserve"> Maletswa. Her grievance was only entertained three years later, after a series of demands.  A grievance panel was convened in October 2018.  The following</w:t>
      </w:r>
      <w:r>
        <w:rPr>
          <w:rFonts w:ascii="Arial" w:eastAsia="Calibri" w:hAnsi="Arial" w:cs="Arial"/>
        </w:rPr>
        <w:t xml:space="preserve"> year</w:t>
      </w:r>
      <w:r w:rsidRPr="00560A2D">
        <w:rPr>
          <w:rFonts w:ascii="Arial" w:eastAsia="Calibri" w:hAnsi="Arial" w:cs="Arial"/>
        </w:rPr>
        <w:t xml:space="preserve">, on 17 January 2019, the applicant received an outcome of her grievance, however, not the entire report. It was conveyed to the applicant that Ms Maletswa was unlawfully appointed to the unit head post. The reasons being, the post had been scrapped and no longer existed. The applicant was further advised that a consultation process would be undertaken with her regarding a possible transfer to another directorate. </w:t>
      </w:r>
    </w:p>
    <w:p w14:paraId="6DCC02CE" w14:textId="77777777" w:rsidR="00572404" w:rsidRPr="00560A2D" w:rsidRDefault="00572404" w:rsidP="00572404">
      <w:pPr>
        <w:pStyle w:val="NoSpacing"/>
      </w:pPr>
    </w:p>
    <w:p w14:paraId="469483E9" w14:textId="77777777" w:rsidR="00572404" w:rsidRPr="00560A2D" w:rsidRDefault="00572404" w:rsidP="00572404">
      <w:pPr>
        <w:pStyle w:val="NormalWeb"/>
        <w:spacing w:line="360" w:lineRule="auto"/>
        <w:ind w:left="1060" w:hanging="720"/>
        <w:jc w:val="both"/>
        <w:rPr>
          <w:rFonts w:ascii="Arial" w:eastAsia="Calibri" w:hAnsi="Arial" w:cs="Arial"/>
        </w:rPr>
      </w:pPr>
      <w:r>
        <w:rPr>
          <w:rFonts w:ascii="Arial" w:eastAsia="Calibri" w:hAnsi="Arial" w:cs="Arial"/>
          <w:lang w:val="en-GB"/>
        </w:rPr>
        <w:t>[12]</w:t>
      </w:r>
      <w:r>
        <w:rPr>
          <w:rFonts w:ascii="Arial" w:eastAsia="Calibri" w:hAnsi="Arial" w:cs="Arial"/>
          <w:lang w:val="en-GB"/>
        </w:rPr>
        <w:tab/>
      </w:r>
      <w:r w:rsidRPr="00560A2D">
        <w:rPr>
          <w:rFonts w:ascii="Arial" w:eastAsia="Calibri" w:hAnsi="Arial" w:cs="Arial"/>
          <w:lang w:val="en-GB"/>
        </w:rPr>
        <w:t>Regarding the outcome with respect to her performance scoring, the applicant</w:t>
      </w:r>
      <w:r>
        <w:rPr>
          <w:rFonts w:ascii="Arial" w:eastAsia="Calibri" w:hAnsi="Arial" w:cs="Arial"/>
          <w:lang w:val="en-GB"/>
        </w:rPr>
        <w:t>,</w:t>
      </w:r>
      <w:r w:rsidRPr="00560A2D">
        <w:rPr>
          <w:rFonts w:ascii="Arial" w:eastAsia="Calibri" w:hAnsi="Arial" w:cs="Arial"/>
          <w:lang w:val="en-GB"/>
        </w:rPr>
        <w:t xml:space="preserve"> through a letter from Mr Jafta dated 18 March 2019, the then Acting Director-General</w:t>
      </w:r>
      <w:r>
        <w:rPr>
          <w:rFonts w:ascii="Arial" w:eastAsia="Calibri" w:hAnsi="Arial" w:cs="Arial"/>
          <w:lang w:val="en-GB"/>
        </w:rPr>
        <w:t>,</w:t>
      </w:r>
      <w:r w:rsidRPr="00560A2D">
        <w:rPr>
          <w:rFonts w:ascii="Arial" w:eastAsia="Calibri" w:hAnsi="Arial" w:cs="Arial"/>
          <w:lang w:val="en-GB"/>
        </w:rPr>
        <w:t xml:space="preserve"> was advised that Mr Jafta considered the appeal and supported the rating of level 3.  </w:t>
      </w:r>
    </w:p>
    <w:p w14:paraId="4A954AD9" w14:textId="77777777" w:rsidR="00572404" w:rsidRPr="00560A2D" w:rsidRDefault="00572404" w:rsidP="00572404">
      <w:pPr>
        <w:pStyle w:val="NormalWeb"/>
        <w:spacing w:line="360" w:lineRule="auto"/>
        <w:ind w:left="1060" w:hanging="720"/>
        <w:jc w:val="both"/>
        <w:rPr>
          <w:rFonts w:ascii="Arial" w:eastAsia="Calibri" w:hAnsi="Arial" w:cs="Arial"/>
        </w:rPr>
      </w:pPr>
    </w:p>
    <w:p w14:paraId="5C65526D" w14:textId="77777777" w:rsidR="00572404" w:rsidRPr="00560A2D" w:rsidRDefault="00572404" w:rsidP="00572404">
      <w:pPr>
        <w:pStyle w:val="NormalWeb"/>
        <w:spacing w:line="360" w:lineRule="auto"/>
        <w:ind w:left="1060" w:hanging="720"/>
        <w:jc w:val="both"/>
        <w:rPr>
          <w:rFonts w:ascii="Arial" w:eastAsia="Calibri" w:hAnsi="Arial" w:cs="Arial"/>
          <w:b/>
          <w:bCs/>
        </w:rPr>
      </w:pPr>
      <w:r w:rsidRPr="00560A2D">
        <w:rPr>
          <w:rFonts w:ascii="Arial" w:eastAsia="Calibri" w:hAnsi="Arial" w:cs="Arial"/>
          <w:b/>
          <w:bCs/>
          <w:lang w:val="en-GB"/>
        </w:rPr>
        <w:lastRenderedPageBreak/>
        <w:t>Grounds of review</w:t>
      </w:r>
    </w:p>
    <w:p w14:paraId="36181982" w14:textId="77777777" w:rsidR="00572404" w:rsidRPr="00560A2D" w:rsidRDefault="00572404" w:rsidP="00572404">
      <w:pPr>
        <w:pStyle w:val="NormalWeb"/>
        <w:spacing w:line="360" w:lineRule="auto"/>
        <w:ind w:left="1060" w:hanging="720"/>
        <w:jc w:val="both"/>
        <w:rPr>
          <w:rFonts w:ascii="Arial" w:eastAsia="Calibri" w:hAnsi="Arial" w:cs="Arial"/>
        </w:rPr>
      </w:pPr>
    </w:p>
    <w:p w14:paraId="55975802" w14:textId="77777777" w:rsidR="00572404" w:rsidRPr="00560A2D"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[13]</w:t>
      </w:r>
      <w:r>
        <w:rPr>
          <w:rFonts w:ascii="Arial" w:eastAsia="Calibri" w:hAnsi="Arial" w:cs="Arial"/>
        </w:rPr>
        <w:tab/>
      </w:r>
      <w:r w:rsidRPr="00560A2D">
        <w:rPr>
          <w:rFonts w:ascii="Arial" w:eastAsia="Calibri" w:hAnsi="Arial" w:cs="Arial"/>
        </w:rPr>
        <w:t>The grounds of review are premised upon the contention that the first respondent’s decision is reviewable in terms of the Promotion of Administrative Act 3 of 2000,</w:t>
      </w:r>
      <w:r>
        <w:rPr>
          <w:rFonts w:ascii="Arial" w:eastAsia="Calibri" w:hAnsi="Arial" w:cs="Arial"/>
        </w:rPr>
        <w:t xml:space="preserve"> (“PAJA”),</w:t>
      </w:r>
      <w:r w:rsidRPr="00560A2D">
        <w:rPr>
          <w:rFonts w:ascii="Arial" w:eastAsia="Calibri" w:hAnsi="Arial" w:cs="Arial"/>
        </w:rPr>
        <w:t xml:space="preserve"> alternatively in terms of the principles of legality, and</w:t>
      </w:r>
      <w:r>
        <w:rPr>
          <w:rFonts w:ascii="Arial" w:eastAsia="Calibri" w:hAnsi="Arial" w:cs="Arial"/>
        </w:rPr>
        <w:t xml:space="preserve"> </w:t>
      </w:r>
      <w:r w:rsidRPr="00560A2D">
        <w:rPr>
          <w:rFonts w:ascii="Arial" w:eastAsia="Calibri" w:hAnsi="Arial" w:cs="Arial"/>
        </w:rPr>
        <w:t>or in terms of section 23 of the Constitution Act 108 of 1996.  However, there is no specific reference to the provisions of PAJA</w:t>
      </w:r>
      <w:r>
        <w:rPr>
          <w:rFonts w:ascii="Arial" w:eastAsia="Calibri" w:hAnsi="Arial" w:cs="Arial"/>
        </w:rPr>
        <w:t xml:space="preserve"> which the applicant relies on</w:t>
      </w:r>
      <w:r w:rsidRPr="00560A2D">
        <w:rPr>
          <w:rFonts w:ascii="Arial" w:eastAsia="Calibri" w:hAnsi="Arial" w:cs="Arial"/>
        </w:rPr>
        <w:t xml:space="preserve">. The reference thereto is amorphous.  </w:t>
      </w:r>
    </w:p>
    <w:p w14:paraId="2A181F04" w14:textId="77777777" w:rsidR="00572404" w:rsidRPr="00560A2D" w:rsidRDefault="00572404" w:rsidP="00572404">
      <w:pPr>
        <w:pStyle w:val="NormalWeb"/>
        <w:spacing w:line="360" w:lineRule="auto"/>
        <w:jc w:val="both"/>
        <w:rPr>
          <w:rFonts w:ascii="Arial" w:eastAsia="Calibri" w:hAnsi="Arial" w:cs="Arial"/>
        </w:rPr>
      </w:pPr>
    </w:p>
    <w:p w14:paraId="7A6AB192" w14:textId="77777777" w:rsidR="00572404" w:rsidRPr="00560A2D"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[14]</w:t>
      </w:r>
      <w:r>
        <w:rPr>
          <w:rFonts w:ascii="Arial" w:eastAsia="Calibri" w:hAnsi="Arial" w:cs="Arial"/>
        </w:rPr>
        <w:tab/>
        <w:t>I</w:t>
      </w:r>
      <w:r w:rsidRPr="00560A2D">
        <w:rPr>
          <w:rFonts w:ascii="Arial" w:eastAsia="Calibri" w:hAnsi="Arial" w:cs="Arial"/>
        </w:rPr>
        <w:t>n sum, the grounds of review are that for the past 13 years, the applicant ha</w:t>
      </w:r>
      <w:r>
        <w:rPr>
          <w:rFonts w:ascii="Arial" w:eastAsia="Calibri" w:hAnsi="Arial" w:cs="Arial"/>
        </w:rPr>
        <w:t>d</w:t>
      </w:r>
      <w:r w:rsidRPr="00560A2D">
        <w:rPr>
          <w:rFonts w:ascii="Arial" w:eastAsia="Calibri" w:hAnsi="Arial" w:cs="Arial"/>
        </w:rPr>
        <w:t xml:space="preserve"> been performing the functions of the unit head, from 2002 to 2015.</w:t>
      </w:r>
      <w:r>
        <w:rPr>
          <w:rFonts w:ascii="Arial" w:eastAsia="Calibri" w:hAnsi="Arial" w:cs="Arial"/>
        </w:rPr>
        <w:t xml:space="preserve"> It is on</w:t>
      </w:r>
      <w:r w:rsidRPr="00560A2D">
        <w:rPr>
          <w:rFonts w:ascii="Arial" w:eastAsia="Calibri" w:hAnsi="Arial" w:cs="Arial"/>
        </w:rPr>
        <w:t xml:space="preserve"> this basis</w:t>
      </w:r>
      <w:r>
        <w:rPr>
          <w:rFonts w:ascii="Arial" w:eastAsia="Calibri" w:hAnsi="Arial" w:cs="Arial"/>
        </w:rPr>
        <w:t xml:space="preserve"> that the applicant contends that</w:t>
      </w:r>
      <w:r w:rsidRPr="00560A2D">
        <w:rPr>
          <w:rFonts w:ascii="Arial" w:eastAsia="Calibri" w:hAnsi="Arial" w:cs="Arial"/>
        </w:rPr>
        <w:t xml:space="preserve"> the appointment of Ms Maletswa to the position of the unit head is unfair. </w:t>
      </w:r>
      <w:r>
        <w:rPr>
          <w:rFonts w:ascii="Arial" w:eastAsia="Calibri" w:hAnsi="Arial" w:cs="Arial"/>
        </w:rPr>
        <w:t xml:space="preserve"> </w:t>
      </w:r>
      <w:r w:rsidRPr="00560A2D">
        <w:rPr>
          <w:rFonts w:ascii="Arial" w:eastAsia="Calibri" w:hAnsi="Arial" w:cs="Arial"/>
        </w:rPr>
        <w:t xml:space="preserve"> The IPMS ratings were lowered by Mr Bam for malicious reasons.</w:t>
      </w:r>
      <w:r>
        <w:rPr>
          <w:rFonts w:ascii="Arial" w:eastAsia="Calibri" w:hAnsi="Arial" w:cs="Arial"/>
        </w:rPr>
        <w:t xml:space="preserve"> According to her this amounted to </w:t>
      </w:r>
      <w:r w:rsidRPr="00560A2D">
        <w:rPr>
          <w:rFonts w:ascii="Arial" w:eastAsia="Calibri" w:hAnsi="Arial" w:cs="Arial"/>
        </w:rPr>
        <w:t xml:space="preserve">victimisation. Her previous </w:t>
      </w:r>
      <w:r>
        <w:rPr>
          <w:rFonts w:ascii="Arial" w:eastAsia="Calibri" w:hAnsi="Arial" w:cs="Arial"/>
        </w:rPr>
        <w:t>ratings</w:t>
      </w:r>
      <w:r w:rsidRPr="00560A2D">
        <w:rPr>
          <w:rFonts w:ascii="Arial" w:eastAsia="Calibri" w:hAnsi="Arial" w:cs="Arial"/>
        </w:rPr>
        <w:t xml:space="preserve">, two years prior,  had not changed. There was no reason to justify a decrease in her ratings.  Her duties were taken away from her without a hearing. </w:t>
      </w:r>
      <w:r>
        <w:rPr>
          <w:rFonts w:ascii="Arial" w:eastAsia="Calibri" w:hAnsi="Arial" w:cs="Arial"/>
        </w:rPr>
        <w:t xml:space="preserve"> The applicant further contended that the failure to promote her and her demotion was discrimination on the ground of race. </w:t>
      </w:r>
    </w:p>
    <w:p w14:paraId="6A2B1510" w14:textId="77777777" w:rsidR="00572404" w:rsidRPr="00560A2D" w:rsidRDefault="00572404" w:rsidP="00572404">
      <w:pPr>
        <w:pStyle w:val="NormalWeb"/>
        <w:spacing w:line="360" w:lineRule="auto"/>
        <w:ind w:left="1060" w:hanging="720"/>
        <w:jc w:val="both"/>
        <w:rPr>
          <w:rFonts w:ascii="Arial" w:eastAsia="Calibri" w:hAnsi="Arial" w:cs="Arial"/>
        </w:rPr>
      </w:pPr>
    </w:p>
    <w:p w14:paraId="11D3FDBA" w14:textId="77777777" w:rsidR="00572404" w:rsidRPr="00560A2D"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[15]</w:t>
      </w:r>
      <w:r>
        <w:rPr>
          <w:rFonts w:ascii="Arial" w:eastAsia="Calibri" w:hAnsi="Arial" w:cs="Arial"/>
        </w:rPr>
        <w:tab/>
        <w:t>The respondent opposed the review application and contended that the applicant never performed the functions of a unit head</w:t>
      </w:r>
      <w:r w:rsidRPr="00560A2D">
        <w:rPr>
          <w:rFonts w:ascii="Arial" w:eastAsia="Calibri" w:hAnsi="Arial" w:cs="Arial"/>
        </w:rPr>
        <w:t xml:space="preserve">. Had she done so, she would have invoked the benefits of payment for acting in terms of the Ministerial Delegation of Powers and Direction (“MPD”), and </w:t>
      </w:r>
      <w:r>
        <w:rPr>
          <w:rFonts w:ascii="Arial" w:eastAsia="Calibri" w:hAnsi="Arial" w:cs="Arial"/>
        </w:rPr>
        <w:t>clauses</w:t>
      </w:r>
      <w:r w:rsidRPr="00560A2D">
        <w:rPr>
          <w:rFonts w:ascii="Arial" w:eastAsia="Calibri" w:hAnsi="Arial" w:cs="Arial"/>
        </w:rPr>
        <w:t xml:space="preserve"> 3.2 and 7.8 of the Human Resource Directive Remuneration Management. It is </w:t>
      </w:r>
      <w:r>
        <w:rPr>
          <w:rFonts w:ascii="Arial" w:eastAsia="Calibri" w:hAnsi="Arial" w:cs="Arial"/>
        </w:rPr>
        <w:t>in</w:t>
      </w:r>
      <w:r w:rsidRPr="00560A2D">
        <w:rPr>
          <w:rFonts w:ascii="Arial" w:eastAsia="Calibri" w:hAnsi="Arial" w:cs="Arial"/>
        </w:rPr>
        <w:t xml:space="preserve">conceivable that the applicant would have been acting in the position of unit head for a period of thirteen years (13) without receiving any acting allowance and not </w:t>
      </w:r>
      <w:r>
        <w:rPr>
          <w:rFonts w:ascii="Arial" w:eastAsia="Calibri" w:hAnsi="Arial" w:cs="Arial"/>
        </w:rPr>
        <w:t>lodging</w:t>
      </w:r>
      <w:r w:rsidRPr="00560A2D">
        <w:rPr>
          <w:rFonts w:ascii="Arial" w:eastAsia="Calibri" w:hAnsi="Arial" w:cs="Arial"/>
        </w:rPr>
        <w:t xml:space="preserve"> any grievance regarding payment for acting in the position of unit head. The applicant did not possess </w:t>
      </w:r>
      <w:r>
        <w:rPr>
          <w:rFonts w:ascii="Arial" w:eastAsia="Calibri" w:hAnsi="Arial" w:cs="Arial"/>
        </w:rPr>
        <w:t xml:space="preserve">the </w:t>
      </w:r>
      <w:r w:rsidRPr="00560A2D">
        <w:rPr>
          <w:rFonts w:ascii="Arial" w:eastAsia="Calibri" w:hAnsi="Arial" w:cs="Arial"/>
        </w:rPr>
        <w:t xml:space="preserve">necessary qualifications to act in such </w:t>
      </w:r>
      <w:r>
        <w:rPr>
          <w:rFonts w:ascii="Arial" w:eastAsia="Calibri" w:hAnsi="Arial" w:cs="Arial"/>
        </w:rPr>
        <w:t xml:space="preserve">a </w:t>
      </w:r>
      <w:r w:rsidRPr="00560A2D">
        <w:rPr>
          <w:rFonts w:ascii="Arial" w:eastAsia="Calibri" w:hAnsi="Arial" w:cs="Arial"/>
        </w:rPr>
        <w:t xml:space="preserve">position. </w:t>
      </w:r>
    </w:p>
    <w:p w14:paraId="0CB9862A" w14:textId="77777777" w:rsidR="00572404" w:rsidRPr="00560A2D" w:rsidRDefault="00572404" w:rsidP="00572404">
      <w:pPr>
        <w:pStyle w:val="NoSpacing"/>
      </w:pPr>
    </w:p>
    <w:p w14:paraId="445CB893" w14:textId="77777777" w:rsidR="00572404"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lastRenderedPageBreak/>
        <w:t>[16]</w:t>
      </w:r>
      <w:r>
        <w:rPr>
          <w:rFonts w:ascii="Arial" w:eastAsia="Calibri" w:hAnsi="Arial" w:cs="Arial"/>
        </w:rPr>
        <w:tab/>
        <w:t>According to the respondent, t</w:t>
      </w:r>
      <w:r w:rsidRPr="00560A2D">
        <w:rPr>
          <w:rFonts w:ascii="Arial" w:eastAsia="Calibri" w:hAnsi="Arial" w:cs="Arial"/>
        </w:rPr>
        <w:t xml:space="preserve">he unit head position was managerial in nature not administrative. The position was disestablished and no longer existed. The applicant was only performing administrative functions. The applicant was transferred to another division based on her own request. The appointment of Ms Maletswa was set aside as it was established that she was unlawfully appointed. </w:t>
      </w:r>
    </w:p>
    <w:p w14:paraId="3421A589" w14:textId="77777777" w:rsidR="00572404" w:rsidRPr="00560A2D" w:rsidRDefault="00572404" w:rsidP="00572404">
      <w:pPr>
        <w:pStyle w:val="NoSpacing"/>
      </w:pPr>
    </w:p>
    <w:p w14:paraId="09D85336" w14:textId="77777777" w:rsidR="00572404" w:rsidRPr="00560A2D" w:rsidRDefault="00572404" w:rsidP="00572404">
      <w:pPr>
        <w:pStyle w:val="NormalWeb"/>
        <w:spacing w:line="360" w:lineRule="auto"/>
        <w:ind w:left="1060" w:hanging="720"/>
        <w:jc w:val="both"/>
        <w:rPr>
          <w:rFonts w:ascii="Arial" w:eastAsia="Calibri" w:hAnsi="Arial" w:cs="Arial"/>
          <w:b/>
          <w:bCs/>
        </w:rPr>
      </w:pPr>
      <w:r w:rsidRPr="00560A2D">
        <w:rPr>
          <w:rFonts w:ascii="Arial" w:eastAsia="Calibri" w:hAnsi="Arial" w:cs="Arial"/>
          <w:b/>
          <w:bCs/>
        </w:rPr>
        <w:t xml:space="preserve">Submissions </w:t>
      </w:r>
    </w:p>
    <w:p w14:paraId="4AFCFB4F" w14:textId="77777777" w:rsidR="00572404" w:rsidRPr="00560A2D" w:rsidRDefault="00572404" w:rsidP="00572404">
      <w:pPr>
        <w:pStyle w:val="NoSpacing"/>
      </w:pPr>
    </w:p>
    <w:p w14:paraId="6641E47B" w14:textId="77777777" w:rsidR="00572404" w:rsidRPr="00560A2D" w:rsidRDefault="00572404" w:rsidP="00572404">
      <w:pPr>
        <w:pStyle w:val="NormalWeb"/>
        <w:spacing w:line="360" w:lineRule="auto"/>
        <w:ind w:left="1060" w:hanging="720"/>
        <w:jc w:val="both"/>
        <w:rPr>
          <w:rFonts w:ascii="Arial" w:eastAsia="Calibri" w:hAnsi="Arial" w:cs="Arial"/>
        </w:rPr>
      </w:pPr>
      <w:r w:rsidRPr="00560A2D">
        <w:rPr>
          <w:rFonts w:ascii="Arial" w:eastAsia="Calibri" w:hAnsi="Arial" w:cs="Arial"/>
        </w:rPr>
        <w:t xml:space="preserve"> </w:t>
      </w:r>
      <w:r>
        <w:rPr>
          <w:rFonts w:ascii="Arial" w:eastAsia="Calibri" w:hAnsi="Arial" w:cs="Arial"/>
        </w:rPr>
        <w:t>[17]</w:t>
      </w:r>
      <w:r>
        <w:rPr>
          <w:rFonts w:ascii="Arial" w:eastAsia="Calibri" w:hAnsi="Arial" w:cs="Arial"/>
        </w:rPr>
        <w:tab/>
      </w:r>
      <w:r w:rsidRPr="00560A2D">
        <w:rPr>
          <w:rFonts w:ascii="Arial" w:eastAsia="Calibri" w:hAnsi="Arial" w:cs="Arial"/>
        </w:rPr>
        <w:t>The applicant submitted that although she was formally appointed as an administrative officer, she from October 20</w:t>
      </w:r>
      <w:r>
        <w:rPr>
          <w:rFonts w:ascii="Arial" w:eastAsia="Calibri" w:hAnsi="Arial" w:cs="Arial"/>
        </w:rPr>
        <w:t>0</w:t>
      </w:r>
      <w:r w:rsidRPr="00560A2D">
        <w:rPr>
          <w:rFonts w:ascii="Arial" w:eastAsia="Calibri" w:hAnsi="Arial" w:cs="Arial"/>
        </w:rPr>
        <w:t>2 until 2015 performed the duties of a Deputy Divisional Head and that she is entitled to be remunerated on the level of a Deputy Divisional Head</w:t>
      </w:r>
      <w:r>
        <w:rPr>
          <w:rFonts w:ascii="Arial" w:eastAsia="Calibri" w:hAnsi="Arial" w:cs="Arial"/>
        </w:rPr>
        <w:t xml:space="preserve"> (unit head)</w:t>
      </w:r>
      <w:r w:rsidRPr="00560A2D">
        <w:rPr>
          <w:rFonts w:ascii="Arial" w:eastAsia="Calibri" w:hAnsi="Arial" w:cs="Arial"/>
        </w:rPr>
        <w:t xml:space="preserve">. In support of this contention, it was submitted that there can be no doubt that working as </w:t>
      </w:r>
      <w:r>
        <w:rPr>
          <w:rFonts w:ascii="Arial" w:eastAsia="Calibri" w:hAnsi="Arial" w:cs="Arial"/>
        </w:rPr>
        <w:t xml:space="preserve">a </w:t>
      </w:r>
      <w:r w:rsidRPr="00560A2D">
        <w:rPr>
          <w:rFonts w:ascii="Arial" w:eastAsia="Calibri" w:hAnsi="Arial" w:cs="Arial"/>
        </w:rPr>
        <w:t xml:space="preserve">unit head, fulfilling the tasks and functions of a unit head, and having the status of a unit </w:t>
      </w:r>
      <w:r>
        <w:rPr>
          <w:rFonts w:ascii="Arial" w:eastAsia="Calibri" w:hAnsi="Arial" w:cs="Arial"/>
        </w:rPr>
        <w:t xml:space="preserve">head </w:t>
      </w:r>
      <w:r w:rsidRPr="00560A2D">
        <w:rPr>
          <w:rFonts w:ascii="Arial" w:eastAsia="Calibri" w:hAnsi="Arial" w:cs="Arial"/>
        </w:rPr>
        <w:t xml:space="preserve">for many years resulted in a situation where the applicant was effectively in the same position as being promoted. </w:t>
      </w:r>
    </w:p>
    <w:p w14:paraId="08E73A46" w14:textId="77777777" w:rsidR="00572404" w:rsidRPr="00560A2D" w:rsidRDefault="00572404" w:rsidP="00572404">
      <w:pPr>
        <w:pStyle w:val="NoSpacing"/>
      </w:pPr>
    </w:p>
    <w:p w14:paraId="29B33F03" w14:textId="77777777" w:rsidR="00572404"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[18]</w:t>
      </w:r>
      <w:r>
        <w:rPr>
          <w:rFonts w:ascii="Arial" w:eastAsia="Calibri" w:hAnsi="Arial" w:cs="Arial"/>
        </w:rPr>
        <w:tab/>
      </w:r>
      <w:r w:rsidRPr="00560A2D">
        <w:rPr>
          <w:rFonts w:ascii="Arial" w:eastAsia="Calibri" w:hAnsi="Arial" w:cs="Arial"/>
        </w:rPr>
        <w:t xml:space="preserve">In addition to this aspect, the applicant’s further contention is that when, during 2015, Ms Maletswa was appointed as </w:t>
      </w:r>
      <w:r>
        <w:rPr>
          <w:rFonts w:ascii="Arial" w:eastAsia="Calibri" w:hAnsi="Arial" w:cs="Arial"/>
        </w:rPr>
        <w:t>u</w:t>
      </w:r>
      <w:r w:rsidRPr="00560A2D">
        <w:rPr>
          <w:rFonts w:ascii="Arial" w:eastAsia="Calibri" w:hAnsi="Arial" w:cs="Arial"/>
        </w:rPr>
        <w:t xml:space="preserve">nit </w:t>
      </w:r>
      <w:r>
        <w:rPr>
          <w:rFonts w:ascii="Arial" w:eastAsia="Calibri" w:hAnsi="Arial" w:cs="Arial"/>
        </w:rPr>
        <w:t>h</w:t>
      </w:r>
      <w:r w:rsidRPr="00560A2D">
        <w:rPr>
          <w:rFonts w:ascii="Arial" w:eastAsia="Calibri" w:hAnsi="Arial" w:cs="Arial"/>
        </w:rPr>
        <w:t xml:space="preserve">ead in the division where the applicant was functioning, she was then demoted.  In support of this submission, it was contended that even if she did not have a vested right in the position, she certainly had a right to be heard when the respondent decided to appoint Ms Maletswa. </w:t>
      </w:r>
    </w:p>
    <w:p w14:paraId="5C8516AD" w14:textId="77777777" w:rsidR="00572404" w:rsidRDefault="00572404" w:rsidP="00572404">
      <w:pPr>
        <w:pStyle w:val="NoSpacing"/>
      </w:pPr>
    </w:p>
    <w:p w14:paraId="78C3DAB6" w14:textId="77777777" w:rsidR="00572404" w:rsidRDefault="00572404" w:rsidP="00572404">
      <w:pPr>
        <w:pStyle w:val="NormalWeb"/>
        <w:spacing w:line="360" w:lineRule="auto"/>
        <w:ind w:left="1060"/>
        <w:jc w:val="both"/>
        <w:rPr>
          <w:rFonts w:ascii="Arial" w:eastAsia="Calibri" w:hAnsi="Arial" w:cs="Arial"/>
        </w:rPr>
      </w:pPr>
      <w:r w:rsidRPr="00560A2D">
        <w:rPr>
          <w:rFonts w:ascii="Arial" w:eastAsia="Calibri" w:hAnsi="Arial" w:cs="Arial"/>
        </w:rPr>
        <w:t xml:space="preserve">The applicant’s counsel, relying on </w:t>
      </w:r>
      <w:r w:rsidRPr="00560A2D">
        <w:rPr>
          <w:rFonts w:ascii="Arial" w:eastAsia="Calibri" w:hAnsi="Arial" w:cs="Arial"/>
          <w:b/>
          <w:bCs/>
        </w:rPr>
        <w:t>Eskom v Marshal and Others</w:t>
      </w:r>
      <w:r>
        <w:rPr>
          <w:rStyle w:val="FootnoteReference"/>
          <w:rFonts w:ascii="Arial" w:eastAsia="Calibri" w:hAnsi="Arial" w:cs="Arial"/>
          <w:b/>
          <w:bCs/>
        </w:rPr>
        <w:footnoteReference w:id="1"/>
      </w:r>
      <w:r w:rsidRPr="00560A2D">
        <w:rPr>
          <w:rFonts w:ascii="Arial" w:eastAsia="Calibri" w:hAnsi="Arial" w:cs="Arial"/>
        </w:rPr>
        <w:t>, submitted that working for many years as unit head and studying further on advice of her superiors,  created a legitimate expectation that she would be appointed to the position of unit head. Therefore, the applicant was demoted,</w:t>
      </w:r>
      <w:r>
        <w:rPr>
          <w:rFonts w:ascii="Arial" w:eastAsia="Calibri" w:hAnsi="Arial" w:cs="Arial"/>
        </w:rPr>
        <w:t xml:space="preserve"> </w:t>
      </w:r>
      <w:r w:rsidRPr="00560A2D">
        <w:rPr>
          <w:rFonts w:ascii="Arial" w:eastAsia="Calibri" w:hAnsi="Arial" w:cs="Arial"/>
        </w:rPr>
        <w:t xml:space="preserve">the submission goes. </w:t>
      </w:r>
      <w:r w:rsidRPr="00F00F0F">
        <w:rPr>
          <w:rFonts w:ascii="Arial" w:eastAsia="Calibri" w:hAnsi="Arial" w:cs="Arial"/>
        </w:rPr>
        <w:t xml:space="preserve">On the second issue pertaining to IPMS, it was argued that the applicant's IPMS rating prior to 2014 was always at level </w:t>
      </w:r>
      <w:r w:rsidRPr="00F00F0F">
        <w:rPr>
          <w:rFonts w:ascii="Arial" w:eastAsia="Calibri" w:hAnsi="Arial" w:cs="Arial"/>
        </w:rPr>
        <w:lastRenderedPageBreak/>
        <w:t>4 for two consecutive years, and that a decrease from level 4 to level 3 for the years 2013/2014 and 2014/2015 was irrational.</w:t>
      </w:r>
    </w:p>
    <w:p w14:paraId="0CAA7F97" w14:textId="77777777" w:rsidR="00572404" w:rsidRPr="00560A2D" w:rsidRDefault="00572404" w:rsidP="00572404">
      <w:pPr>
        <w:pStyle w:val="NormalWeb"/>
        <w:spacing w:line="360" w:lineRule="auto"/>
        <w:ind w:left="1060" w:hanging="720"/>
        <w:jc w:val="both"/>
      </w:pPr>
    </w:p>
    <w:p w14:paraId="03ED86EC" w14:textId="77777777" w:rsidR="00572404"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[19]</w:t>
      </w:r>
      <w:r>
        <w:rPr>
          <w:rFonts w:ascii="Arial" w:eastAsia="Calibri" w:hAnsi="Arial" w:cs="Arial"/>
        </w:rPr>
        <w:tab/>
      </w:r>
      <w:r w:rsidRPr="00560A2D">
        <w:rPr>
          <w:rFonts w:ascii="Arial" w:eastAsia="Calibri" w:hAnsi="Arial" w:cs="Arial"/>
        </w:rPr>
        <w:t>On the other hand, it was submitted, on behalf of the respondents, that the applicant was neither appointed nor remunerated on the level of a unit head. Consistent with this, the applicant never challenged why she was not remunerated for the acting position as she alleged. The applicant was transferred based on her request to another division.</w:t>
      </w:r>
      <w:r>
        <w:rPr>
          <w:rFonts w:ascii="Arial" w:eastAsia="Calibri" w:hAnsi="Arial" w:cs="Arial"/>
        </w:rPr>
        <w:t xml:space="preserve"> </w:t>
      </w:r>
      <w:r w:rsidRPr="00560A2D">
        <w:rPr>
          <w:rFonts w:ascii="Arial" w:eastAsia="Calibri" w:hAnsi="Arial" w:cs="Arial"/>
        </w:rPr>
        <w:t xml:space="preserve">Ms Maletswa’s appointment was set aside. The applicant therefore should not rely on </w:t>
      </w:r>
      <w:r>
        <w:rPr>
          <w:rFonts w:ascii="Arial" w:eastAsia="Calibri" w:hAnsi="Arial" w:cs="Arial"/>
        </w:rPr>
        <w:t xml:space="preserve">Ms </w:t>
      </w:r>
      <w:r w:rsidRPr="00560A2D">
        <w:rPr>
          <w:rFonts w:ascii="Arial" w:eastAsia="Calibri" w:hAnsi="Arial" w:cs="Arial"/>
        </w:rPr>
        <w:t xml:space="preserve">Maletswa’s appointment since it was set aside. </w:t>
      </w:r>
      <w:r>
        <w:rPr>
          <w:rFonts w:ascii="Arial" w:eastAsia="Calibri" w:hAnsi="Arial" w:cs="Arial"/>
        </w:rPr>
        <w:t xml:space="preserve">It </w:t>
      </w:r>
      <w:r w:rsidRPr="00560A2D">
        <w:rPr>
          <w:rFonts w:ascii="Arial" w:eastAsia="Calibri" w:hAnsi="Arial" w:cs="Arial"/>
        </w:rPr>
        <w:t xml:space="preserve">was submitted that even though the </w:t>
      </w:r>
      <w:r>
        <w:rPr>
          <w:rFonts w:ascii="Arial" w:eastAsia="Calibri" w:hAnsi="Arial" w:cs="Arial"/>
        </w:rPr>
        <w:t xml:space="preserve">first </w:t>
      </w:r>
      <w:r w:rsidRPr="00560A2D">
        <w:rPr>
          <w:rFonts w:ascii="Arial" w:eastAsia="Calibri" w:hAnsi="Arial" w:cs="Arial"/>
        </w:rPr>
        <w:t xml:space="preserve">respondent admits that Ms Maletswa ought to not have been appointed, and she is not </w:t>
      </w:r>
      <w:r>
        <w:rPr>
          <w:rFonts w:ascii="Arial" w:eastAsia="Calibri" w:hAnsi="Arial" w:cs="Arial"/>
        </w:rPr>
        <w:t>supposed to occupy the unit head post</w:t>
      </w:r>
      <w:r w:rsidRPr="00560A2D">
        <w:rPr>
          <w:rFonts w:ascii="Arial" w:eastAsia="Calibri" w:hAnsi="Arial" w:cs="Arial"/>
        </w:rPr>
        <w:t xml:space="preserve">, that does not mean that the applicant qualifies for any promotion. The applicant’s contention that the court should grant her promotion without following due process cannot be countenanced. </w:t>
      </w:r>
    </w:p>
    <w:p w14:paraId="4A5DAEA7" w14:textId="77777777" w:rsidR="00572404" w:rsidRDefault="00572404" w:rsidP="00572404">
      <w:pPr>
        <w:pStyle w:val="NormalWeb"/>
        <w:spacing w:line="360" w:lineRule="auto"/>
        <w:ind w:left="1060" w:hanging="720"/>
        <w:jc w:val="both"/>
        <w:rPr>
          <w:rFonts w:ascii="Arial" w:eastAsia="Calibri" w:hAnsi="Arial" w:cs="Arial"/>
        </w:rPr>
      </w:pPr>
    </w:p>
    <w:p w14:paraId="070208E0" w14:textId="77777777" w:rsidR="00572404" w:rsidRPr="00560A2D" w:rsidRDefault="00572404" w:rsidP="00572404">
      <w:pPr>
        <w:pStyle w:val="NormalWeb"/>
        <w:spacing w:line="360" w:lineRule="auto"/>
        <w:ind w:left="1060" w:hanging="720"/>
        <w:jc w:val="both"/>
        <w:rPr>
          <w:rFonts w:ascii="Arial" w:eastAsia="Calibri" w:hAnsi="Arial" w:cs="Arial"/>
          <w:b/>
          <w:bCs/>
        </w:rPr>
      </w:pPr>
      <w:r w:rsidRPr="00560A2D">
        <w:rPr>
          <w:rFonts w:ascii="Arial" w:eastAsia="Calibri" w:hAnsi="Arial" w:cs="Arial"/>
          <w:b/>
          <w:bCs/>
        </w:rPr>
        <w:t xml:space="preserve">Analysis </w:t>
      </w:r>
    </w:p>
    <w:p w14:paraId="741B226F" w14:textId="77777777" w:rsidR="00572404" w:rsidRDefault="00572404" w:rsidP="00572404">
      <w:pPr>
        <w:pStyle w:val="NoSpacing"/>
        <w:rPr>
          <w:lang w:val="en-GB"/>
        </w:rPr>
      </w:pPr>
    </w:p>
    <w:p w14:paraId="5004EAD8" w14:textId="77777777" w:rsidR="00572404" w:rsidRDefault="00572404" w:rsidP="00572404">
      <w:pPr>
        <w:pStyle w:val="NormalWeb"/>
        <w:spacing w:line="360" w:lineRule="auto"/>
        <w:ind w:left="1060" w:hanging="720"/>
        <w:jc w:val="both"/>
        <w:rPr>
          <w:rFonts w:ascii="Arial" w:eastAsia="Calibri" w:hAnsi="Arial" w:cs="Arial"/>
        </w:rPr>
      </w:pPr>
      <w:r>
        <w:rPr>
          <w:rFonts w:ascii="Arial" w:eastAsia="Calibri" w:hAnsi="Arial" w:cs="Arial"/>
          <w:lang w:val="en-GB"/>
        </w:rPr>
        <w:t>[20]</w:t>
      </w:r>
      <w:r>
        <w:rPr>
          <w:rFonts w:ascii="Arial" w:eastAsia="Calibri" w:hAnsi="Arial" w:cs="Arial"/>
          <w:lang w:val="en-GB"/>
        </w:rPr>
        <w:tab/>
      </w:r>
      <w:r w:rsidRPr="009F79FE">
        <w:rPr>
          <w:rFonts w:ascii="Arial" w:eastAsia="Calibri" w:hAnsi="Arial" w:cs="Arial"/>
          <w:lang w:val="en-GB"/>
        </w:rPr>
        <w:t>As I have already stated, the grounds of review are predicated on the contention that the first respondent's decision is reviewable in terms of the Promotion of Administrative Act 3 of 2000, alternatively in terms of legality principles, and</w:t>
      </w:r>
      <w:r>
        <w:rPr>
          <w:rFonts w:ascii="Arial" w:eastAsia="Calibri" w:hAnsi="Arial" w:cs="Arial"/>
          <w:lang w:val="en-GB"/>
        </w:rPr>
        <w:t xml:space="preserve"> </w:t>
      </w:r>
      <w:r w:rsidRPr="009F79FE">
        <w:rPr>
          <w:rFonts w:ascii="Arial" w:eastAsia="Calibri" w:hAnsi="Arial" w:cs="Arial"/>
          <w:lang w:val="en-GB"/>
        </w:rPr>
        <w:t>or in terms of section 23 of the Constitution Act 108 of 1996</w:t>
      </w:r>
      <w:r>
        <w:rPr>
          <w:rFonts w:ascii="Arial" w:eastAsia="Calibri" w:hAnsi="Arial" w:cs="Arial"/>
        </w:rPr>
        <w:t xml:space="preserve">. The issues revolve around the failure to promote the applicant and an unreasonable decrease in her IPMS ratings. </w:t>
      </w:r>
    </w:p>
    <w:p w14:paraId="67B2374F" w14:textId="77777777" w:rsidR="00572404" w:rsidRDefault="00572404" w:rsidP="00572404">
      <w:pPr>
        <w:pStyle w:val="NoSpacing"/>
      </w:pPr>
    </w:p>
    <w:p w14:paraId="3B00BF8B" w14:textId="77777777" w:rsidR="00572404" w:rsidRPr="006B2B70" w:rsidRDefault="00572404" w:rsidP="00572404">
      <w:pPr>
        <w:pStyle w:val="NormalWeb"/>
        <w:spacing w:line="360" w:lineRule="auto"/>
        <w:ind w:left="1060"/>
        <w:jc w:val="both"/>
        <w:rPr>
          <w:rFonts w:ascii="Arial" w:eastAsia="Calibri" w:hAnsi="Arial" w:cs="Arial"/>
          <w:lang w:val="en-US"/>
        </w:rPr>
      </w:pPr>
      <w:r w:rsidRPr="00DC498D">
        <w:rPr>
          <w:rFonts w:ascii="Arial" w:eastAsia="Calibri" w:hAnsi="Arial" w:cs="Arial"/>
          <w:lang w:val="en-US"/>
        </w:rPr>
        <w:t xml:space="preserve">In </w:t>
      </w:r>
      <w:r w:rsidRPr="00DC498D">
        <w:rPr>
          <w:rFonts w:ascii="Arial" w:eastAsia="Calibri" w:hAnsi="Arial" w:cs="Arial"/>
          <w:b/>
          <w:bCs/>
          <w:lang w:val="en-US"/>
        </w:rPr>
        <w:t>Gcaba v Minster of Safety &amp; Security</w:t>
      </w:r>
      <w:r>
        <w:rPr>
          <w:rStyle w:val="FootnoteReference"/>
          <w:rFonts w:ascii="Arial" w:eastAsia="Calibri" w:hAnsi="Arial" w:cs="Arial"/>
          <w:b/>
          <w:bCs/>
          <w:lang w:val="en-US"/>
        </w:rPr>
        <w:footnoteReference w:id="2"/>
      </w:r>
      <w:r w:rsidRPr="00DC498D">
        <w:rPr>
          <w:rFonts w:ascii="Arial" w:eastAsia="Calibri" w:hAnsi="Arial" w:cs="Arial"/>
          <w:b/>
          <w:bCs/>
          <w:lang w:val="en-US"/>
        </w:rPr>
        <w:t xml:space="preserve"> and Mkumatela v Nelson Mandela Metropolitan Municipality</w:t>
      </w:r>
      <w:r>
        <w:rPr>
          <w:rStyle w:val="FootnoteReference"/>
          <w:rFonts w:ascii="Arial" w:eastAsia="Calibri" w:hAnsi="Arial" w:cs="Arial"/>
          <w:b/>
          <w:bCs/>
          <w:lang w:val="en-US"/>
        </w:rPr>
        <w:footnoteReference w:id="3"/>
      </w:r>
      <w:r w:rsidRPr="00DC498D">
        <w:rPr>
          <w:rFonts w:ascii="Arial" w:eastAsia="Calibri" w:hAnsi="Arial" w:cs="Arial"/>
          <w:b/>
          <w:bCs/>
          <w:lang w:val="en-US"/>
        </w:rPr>
        <w:t>,</w:t>
      </w:r>
      <w:r w:rsidRPr="00DC498D">
        <w:rPr>
          <w:rFonts w:ascii="Arial" w:eastAsia="Calibri" w:hAnsi="Arial" w:cs="Arial"/>
          <w:lang w:val="en-US"/>
        </w:rPr>
        <w:t xml:space="preserve"> the </w:t>
      </w:r>
      <w:r>
        <w:rPr>
          <w:rFonts w:ascii="Arial" w:eastAsia="Calibri" w:hAnsi="Arial" w:cs="Arial"/>
          <w:lang w:val="en-US"/>
        </w:rPr>
        <w:t>C</w:t>
      </w:r>
      <w:r w:rsidRPr="00DC498D">
        <w:rPr>
          <w:rFonts w:ascii="Arial" w:eastAsia="Calibri" w:hAnsi="Arial" w:cs="Arial"/>
          <w:lang w:val="en-US"/>
        </w:rPr>
        <w:t xml:space="preserve">onstitutional </w:t>
      </w:r>
      <w:r>
        <w:rPr>
          <w:rFonts w:ascii="Arial" w:eastAsia="Calibri" w:hAnsi="Arial" w:cs="Arial"/>
          <w:lang w:val="en-US"/>
        </w:rPr>
        <w:t>Court</w:t>
      </w:r>
      <w:r w:rsidRPr="00DC498D">
        <w:rPr>
          <w:rFonts w:ascii="Arial" w:eastAsia="Calibri" w:hAnsi="Arial" w:cs="Arial"/>
          <w:lang w:val="en-US"/>
        </w:rPr>
        <w:t xml:space="preserve"> and the Supreme Court of </w:t>
      </w:r>
      <w:r>
        <w:rPr>
          <w:rFonts w:ascii="Arial" w:eastAsia="Calibri" w:hAnsi="Arial" w:cs="Arial"/>
          <w:lang w:val="en-US"/>
        </w:rPr>
        <w:t>A</w:t>
      </w:r>
      <w:r w:rsidRPr="00DC498D">
        <w:rPr>
          <w:rFonts w:ascii="Arial" w:eastAsia="Calibri" w:hAnsi="Arial" w:cs="Arial"/>
          <w:lang w:val="en-US"/>
        </w:rPr>
        <w:t xml:space="preserve">ppeal respectively ruled that promotion in the public sector does not constitute an administrative action. This principle was applied in </w:t>
      </w:r>
      <w:r w:rsidRPr="00DC498D">
        <w:rPr>
          <w:rFonts w:ascii="Arial" w:eastAsia="Calibri" w:hAnsi="Arial" w:cs="Arial"/>
          <w:b/>
          <w:bCs/>
          <w:lang w:val="en-US"/>
        </w:rPr>
        <w:t xml:space="preserve">City of Cape Town v SAMWU obo Sylvester, Mongomeni and </w:t>
      </w:r>
      <w:r w:rsidRPr="00DC498D">
        <w:rPr>
          <w:rFonts w:ascii="Arial" w:eastAsia="Calibri" w:hAnsi="Arial" w:cs="Arial"/>
          <w:b/>
          <w:bCs/>
          <w:lang w:val="en-US"/>
        </w:rPr>
        <w:lastRenderedPageBreak/>
        <w:t>Akiemdien</w:t>
      </w:r>
      <w:r>
        <w:rPr>
          <w:rStyle w:val="FootnoteReference"/>
          <w:rFonts w:ascii="Arial" w:eastAsia="Calibri" w:hAnsi="Arial" w:cs="Arial"/>
          <w:b/>
          <w:bCs/>
          <w:lang w:val="en-US"/>
        </w:rPr>
        <w:footnoteReference w:id="4"/>
      </w:r>
      <w:r w:rsidRPr="00DC498D">
        <w:rPr>
          <w:rFonts w:ascii="Arial" w:eastAsia="Calibri" w:hAnsi="Arial" w:cs="Arial"/>
          <w:lang w:val="en-US"/>
        </w:rPr>
        <w:t xml:space="preserve"> where a bargaining council award ordering the promotion of the applicant employee was on review. Such matters</w:t>
      </w:r>
      <w:r>
        <w:rPr>
          <w:rFonts w:ascii="Arial" w:eastAsia="Calibri" w:hAnsi="Arial" w:cs="Arial"/>
          <w:lang w:val="en-US"/>
        </w:rPr>
        <w:t>,</w:t>
      </w:r>
      <w:r w:rsidRPr="00DC498D">
        <w:rPr>
          <w:rFonts w:ascii="Arial" w:eastAsia="Calibri" w:hAnsi="Arial" w:cs="Arial"/>
          <w:lang w:val="en-US"/>
        </w:rPr>
        <w:t xml:space="preserve"> the Labour Court found</w:t>
      </w:r>
      <w:r>
        <w:rPr>
          <w:rFonts w:ascii="Arial" w:eastAsia="Calibri" w:hAnsi="Arial" w:cs="Arial"/>
          <w:lang w:val="en-US"/>
        </w:rPr>
        <w:t>,</w:t>
      </w:r>
      <w:r w:rsidRPr="00DC498D">
        <w:rPr>
          <w:rFonts w:ascii="Arial" w:eastAsia="Calibri" w:hAnsi="Arial" w:cs="Arial"/>
          <w:lang w:val="en-US"/>
        </w:rPr>
        <w:t xml:space="preserve"> should not be treated as akin to a judicial review of administrative decisions since employment decisions that do not affect the public at large are not administrative decisions. </w:t>
      </w:r>
      <w:r w:rsidRPr="006B2B70">
        <w:rPr>
          <w:rFonts w:ascii="Arial" w:eastAsia="Calibri" w:hAnsi="Arial" w:cs="Arial"/>
          <w:lang w:val="en-US"/>
        </w:rPr>
        <w:t>The proper yardstick, Rabkin-Naiker</w:t>
      </w:r>
      <w:r>
        <w:rPr>
          <w:rFonts w:ascii="Arial" w:eastAsia="Calibri" w:hAnsi="Arial" w:cs="Arial"/>
          <w:lang w:val="en-US"/>
        </w:rPr>
        <w:t xml:space="preserve"> </w:t>
      </w:r>
      <w:r w:rsidRPr="006B2B70">
        <w:rPr>
          <w:rFonts w:ascii="Arial" w:eastAsia="Calibri" w:hAnsi="Arial" w:cs="Arial"/>
          <w:lang w:val="en-US"/>
        </w:rPr>
        <w:t xml:space="preserve">J noted, is </w:t>
      </w:r>
      <w:r w:rsidRPr="006B2B70">
        <w:rPr>
          <w:rFonts w:ascii="Arial" w:hAnsi="Arial" w:cs="Arial"/>
          <w:color w:val="000000"/>
          <w:shd w:val="clear" w:color="auto" w:fill="FFFFFF"/>
        </w:rPr>
        <w:t>fairness to both parties</w:t>
      </w:r>
      <w:r>
        <w:rPr>
          <w:rFonts w:ascii="Arial" w:hAnsi="Arial" w:cs="Arial"/>
          <w:color w:val="000000"/>
          <w:shd w:val="clear" w:color="auto" w:fill="FFFFFF"/>
        </w:rPr>
        <w:t>. ‘I</w:t>
      </w:r>
      <w:r w:rsidRPr="006B2B70">
        <w:rPr>
          <w:rFonts w:ascii="Arial" w:hAnsi="Arial" w:cs="Arial"/>
          <w:color w:val="000000"/>
          <w:shd w:val="clear" w:color="auto" w:fill="FFFFFF"/>
        </w:rPr>
        <w:t>rrationality’ remains relevant only insofar as it demonstrates unfairness.</w:t>
      </w:r>
    </w:p>
    <w:p w14:paraId="26C11C47" w14:textId="77777777" w:rsidR="00572404" w:rsidRPr="006B2B70" w:rsidRDefault="00572404" w:rsidP="00572404">
      <w:pPr>
        <w:pStyle w:val="NormalWeb"/>
        <w:spacing w:line="360" w:lineRule="auto"/>
        <w:ind w:left="1060" w:hanging="720"/>
        <w:jc w:val="both"/>
        <w:rPr>
          <w:rFonts w:ascii="Arial" w:eastAsia="Calibri" w:hAnsi="Arial" w:cs="Arial"/>
          <w:lang w:val="en-GB"/>
        </w:rPr>
      </w:pPr>
    </w:p>
    <w:p w14:paraId="59668F08" w14:textId="77777777" w:rsidR="00572404" w:rsidRDefault="00572404" w:rsidP="00572404">
      <w:pPr>
        <w:pStyle w:val="NormalWeb"/>
        <w:spacing w:line="360" w:lineRule="auto"/>
        <w:ind w:left="1060" w:hanging="720"/>
        <w:jc w:val="both"/>
        <w:rPr>
          <w:rFonts w:ascii="Arial" w:hAnsi="Arial" w:cs="Arial"/>
          <w:color w:val="000000"/>
          <w:shd w:val="clear" w:color="auto" w:fill="FFFFFF"/>
        </w:rPr>
      </w:pPr>
      <w:r>
        <w:rPr>
          <w:rFonts w:ascii="Arial" w:eastAsia="Calibri" w:hAnsi="Arial" w:cs="Arial"/>
          <w:lang w:val="en-GB"/>
        </w:rPr>
        <w:t>[21]</w:t>
      </w:r>
      <w:r>
        <w:rPr>
          <w:rFonts w:ascii="Arial" w:eastAsia="Calibri" w:hAnsi="Arial" w:cs="Arial"/>
          <w:lang w:val="en-GB"/>
        </w:rPr>
        <w:tab/>
        <w:t xml:space="preserve">In this matter before me, </w:t>
      </w:r>
      <w:r>
        <w:rPr>
          <w:rFonts w:ascii="Arial" w:hAnsi="Arial" w:cs="Arial"/>
        </w:rPr>
        <w:t>i</w:t>
      </w:r>
      <w:r w:rsidRPr="0000768C">
        <w:rPr>
          <w:rFonts w:ascii="Arial" w:hAnsi="Arial" w:cs="Arial"/>
        </w:rPr>
        <w:t>t is common cause that the applicant as an employee of the State Security Agency does not enjoy any protection under Labour Relations Act 66 of 1995 (“the LRA) and the Employment Equity Act 55 of 1998 (“the EEA”). In terms of section 2, the LRA</w:t>
      </w:r>
      <w:r w:rsidRPr="0000768C">
        <w:rPr>
          <w:rFonts w:ascii="Arial" w:hAnsi="Arial" w:cs="Arial"/>
          <w:color w:val="000000"/>
        </w:rPr>
        <w:t xml:space="preserve"> does not apply to members of the National Defence Force; and the State Security Agency.</w:t>
      </w:r>
      <w:r w:rsidRPr="0000768C">
        <w:rPr>
          <w:rFonts w:ascii="Arial" w:eastAsia="Calibri" w:hAnsi="Arial" w:cs="Arial"/>
          <w:lang w:val="en-GB"/>
        </w:rPr>
        <w:t xml:space="preserve"> </w:t>
      </w:r>
      <w:r w:rsidRPr="0000768C">
        <w:rPr>
          <w:rFonts w:ascii="Arial" w:hAnsi="Arial" w:cs="Arial"/>
          <w:color w:val="000000"/>
          <w:shd w:val="clear" w:color="auto" w:fill="FFFFFF"/>
        </w:rPr>
        <w:t>The L</w:t>
      </w:r>
      <w:r>
        <w:rPr>
          <w:rFonts w:ascii="Arial" w:hAnsi="Arial" w:cs="Arial"/>
          <w:color w:val="000000"/>
          <w:shd w:val="clear" w:color="auto" w:fill="FFFFFF"/>
        </w:rPr>
        <w:t>RA</w:t>
      </w:r>
      <w:r w:rsidRPr="0000768C">
        <w:rPr>
          <w:rFonts w:ascii="Arial" w:hAnsi="Arial" w:cs="Arial"/>
          <w:color w:val="000000"/>
          <w:shd w:val="clear" w:color="auto" w:fill="FFFFFF"/>
        </w:rPr>
        <w:t xml:space="preserve"> expressly excludes members of the </w:t>
      </w:r>
      <w:r>
        <w:rPr>
          <w:rFonts w:ascii="Arial" w:hAnsi="Arial" w:cs="Arial"/>
          <w:color w:val="000000"/>
          <w:shd w:val="clear" w:color="auto" w:fill="FFFFFF"/>
        </w:rPr>
        <w:t xml:space="preserve">State </w:t>
      </w:r>
      <w:r w:rsidRPr="0000768C">
        <w:rPr>
          <w:rFonts w:ascii="Arial" w:hAnsi="Arial" w:cs="Arial"/>
          <w:color w:val="000000"/>
          <w:shd w:val="clear" w:color="auto" w:fill="FFFFFF"/>
        </w:rPr>
        <w:t>S</w:t>
      </w:r>
      <w:r>
        <w:rPr>
          <w:rFonts w:ascii="Arial" w:hAnsi="Arial" w:cs="Arial"/>
          <w:color w:val="000000"/>
          <w:shd w:val="clear" w:color="auto" w:fill="FFFFFF"/>
        </w:rPr>
        <w:t>ecurity Agency</w:t>
      </w:r>
      <w:r w:rsidRPr="0000768C">
        <w:rPr>
          <w:rFonts w:ascii="Arial" w:hAnsi="Arial" w:cs="Arial"/>
          <w:color w:val="000000"/>
          <w:shd w:val="clear" w:color="auto" w:fill="FFFFFF"/>
        </w:rPr>
        <w:t xml:space="preserve"> from its operation. Its expansive protections therefore </w:t>
      </w:r>
      <w:r>
        <w:rPr>
          <w:rFonts w:ascii="Arial" w:hAnsi="Arial" w:cs="Arial"/>
          <w:color w:val="000000"/>
          <w:shd w:val="clear" w:color="auto" w:fill="FFFFFF"/>
        </w:rPr>
        <w:t>do</w:t>
      </w:r>
      <w:r w:rsidRPr="0000768C">
        <w:rPr>
          <w:rFonts w:ascii="Arial" w:hAnsi="Arial" w:cs="Arial"/>
          <w:color w:val="000000"/>
          <w:shd w:val="clear" w:color="auto" w:fill="FFFFFF"/>
        </w:rPr>
        <w:t xml:space="preserve"> not cover the parties such as the applicant in her employment with the </w:t>
      </w:r>
      <w:r>
        <w:rPr>
          <w:rFonts w:ascii="Arial" w:hAnsi="Arial" w:cs="Arial"/>
          <w:color w:val="000000"/>
          <w:shd w:val="clear" w:color="auto" w:fill="FFFFFF"/>
        </w:rPr>
        <w:t xml:space="preserve">first </w:t>
      </w:r>
      <w:r w:rsidRPr="0000768C">
        <w:rPr>
          <w:rFonts w:ascii="Arial" w:hAnsi="Arial" w:cs="Arial"/>
          <w:color w:val="000000"/>
          <w:shd w:val="clear" w:color="auto" w:fill="FFFFFF"/>
        </w:rPr>
        <w:t>respondent. However,</w:t>
      </w:r>
      <w:r w:rsidRPr="0000768C">
        <w:rPr>
          <w:rStyle w:val="apple-converted-space"/>
          <w:rFonts w:ascii="Arial" w:hAnsi="Arial" w:cs="Arial"/>
          <w:color w:val="000000"/>
          <w:shd w:val="clear" w:color="auto" w:fill="FFFFFF"/>
        </w:rPr>
        <w:t> </w:t>
      </w:r>
      <w:r w:rsidRPr="0000768C">
        <w:rPr>
          <w:rFonts w:ascii="Arial" w:hAnsi="Arial" w:cs="Arial"/>
        </w:rPr>
        <w:t>section 23(1)</w:t>
      </w:r>
      <w:r w:rsidRPr="0000768C">
        <w:rPr>
          <w:rStyle w:val="apple-converted-space"/>
          <w:rFonts w:ascii="Arial" w:hAnsi="Arial" w:cs="Arial"/>
          <w:color w:val="000000"/>
          <w:shd w:val="clear" w:color="auto" w:fill="FFFFFF"/>
        </w:rPr>
        <w:t> </w:t>
      </w:r>
      <w:r w:rsidRPr="0000768C">
        <w:rPr>
          <w:rFonts w:ascii="Arial" w:hAnsi="Arial" w:cs="Arial"/>
          <w:color w:val="000000"/>
          <w:shd w:val="clear" w:color="auto" w:fill="FFFFFF"/>
        </w:rPr>
        <w:t>of the Bill of Rights (of which the LRA is the principal legislative off-shoot) provides that “Everyone has the right to fair labour practices”. This includes members of the defence force.</w:t>
      </w:r>
      <w:r>
        <w:rPr>
          <w:rStyle w:val="FootnoteReference"/>
          <w:rFonts w:ascii="Arial" w:hAnsi="Arial" w:cs="Arial"/>
          <w:color w:val="000000"/>
          <w:shd w:val="clear" w:color="auto" w:fill="FFFFFF"/>
        </w:rPr>
        <w:footnoteReference w:id="5"/>
      </w:r>
      <w:r>
        <w:rPr>
          <w:rFonts w:ascii="Arial" w:hAnsi="Arial" w:cs="Arial"/>
          <w:color w:val="000000"/>
          <w:shd w:val="clear" w:color="auto" w:fill="FFFFFF"/>
        </w:rPr>
        <w:t xml:space="preserve"> The SCA in </w:t>
      </w:r>
      <w:r w:rsidRPr="00DF4CF1">
        <w:rPr>
          <w:rFonts w:ascii="Arial" w:hAnsi="Arial" w:cs="Arial"/>
          <w:b/>
          <w:bCs/>
          <w:color w:val="000000"/>
          <w:shd w:val="clear" w:color="auto" w:fill="FFFFFF"/>
        </w:rPr>
        <w:t xml:space="preserve">Murray v Minister of Defence </w:t>
      </w:r>
      <w:r>
        <w:rPr>
          <w:rFonts w:ascii="Arial" w:hAnsi="Arial" w:cs="Arial"/>
          <w:color w:val="000000"/>
          <w:shd w:val="clear" w:color="auto" w:fill="FFFFFF"/>
        </w:rPr>
        <w:t xml:space="preserve">held that: </w:t>
      </w:r>
    </w:p>
    <w:p w14:paraId="4E8A0B6F" w14:textId="77777777" w:rsidR="00572404" w:rsidRDefault="00572404" w:rsidP="00572404">
      <w:pPr>
        <w:pStyle w:val="NormalWeb"/>
        <w:spacing w:line="360" w:lineRule="auto"/>
        <w:ind w:left="1060" w:hanging="720"/>
        <w:jc w:val="both"/>
        <w:rPr>
          <w:rFonts w:ascii="Arial" w:hAnsi="Arial" w:cs="Arial"/>
          <w:color w:val="000000"/>
          <w:shd w:val="clear" w:color="auto" w:fill="FFFFFF"/>
        </w:rPr>
      </w:pPr>
    </w:p>
    <w:p w14:paraId="20E57FE3" w14:textId="77777777" w:rsidR="00572404" w:rsidRPr="00E26342" w:rsidRDefault="00572404" w:rsidP="00572404">
      <w:pPr>
        <w:pStyle w:val="para-10"/>
        <w:spacing w:before="0" w:beforeAutospacing="0" w:after="0" w:afterAutospacing="0" w:line="360" w:lineRule="auto"/>
        <w:ind w:left="1440"/>
        <w:jc w:val="both"/>
        <w:rPr>
          <w:rFonts w:ascii="Arial" w:hAnsi="Arial" w:cs="Arial"/>
          <w:i/>
          <w:iCs/>
          <w:color w:val="000000"/>
          <w:sz w:val="18"/>
          <w:szCs w:val="18"/>
        </w:rPr>
      </w:pPr>
      <w:r w:rsidRPr="00E26342">
        <w:rPr>
          <w:rFonts w:ascii="Arial" w:hAnsi="Arial" w:cs="Arial"/>
          <w:i/>
          <w:iCs/>
          <w:color w:val="000000"/>
          <w:sz w:val="18"/>
          <w:szCs w:val="18"/>
        </w:rPr>
        <w:t>“</w:t>
      </w:r>
      <w:r w:rsidRPr="00E26342">
        <w:rPr>
          <w:rFonts w:ascii="Arial" w:hAnsi="Arial" w:cs="Arial"/>
          <w:i/>
          <w:iCs/>
          <w:color w:val="000000"/>
          <w:sz w:val="22"/>
          <w:szCs w:val="22"/>
        </w:rPr>
        <w:t>In 1995, the LRA expressly codified unfair employer-instigated resignation as a dismissal. Even though that does not apply here, the constitutional guarantee of fair labour practices continues to cover a non-LRA employee who resigns because of intolerable conduct by the employer, and to offer protection through the constitutionally developed common-law.”</w:t>
      </w:r>
      <w:r>
        <w:rPr>
          <w:rStyle w:val="FootnoteReference"/>
          <w:rFonts w:ascii="Arial" w:hAnsi="Arial" w:cs="Arial"/>
          <w:i/>
          <w:iCs/>
          <w:color w:val="000000"/>
          <w:sz w:val="22"/>
          <w:szCs w:val="22"/>
        </w:rPr>
        <w:footnoteReference w:id="6"/>
      </w:r>
      <w:r w:rsidRPr="00E26342">
        <w:rPr>
          <w:rStyle w:val="apple-converted-space"/>
          <w:rFonts w:ascii="Arial" w:hAnsi="Arial" w:cs="Arial"/>
          <w:i/>
          <w:iCs/>
          <w:color w:val="000000"/>
          <w:sz w:val="18"/>
          <w:szCs w:val="18"/>
        </w:rPr>
        <w:t> </w:t>
      </w:r>
    </w:p>
    <w:p w14:paraId="1F67E3C9" w14:textId="77777777" w:rsidR="00572404" w:rsidRDefault="00572404" w:rsidP="00572404">
      <w:pPr>
        <w:pStyle w:val="NormalWeb"/>
        <w:spacing w:line="360" w:lineRule="auto"/>
        <w:ind w:left="1060" w:hanging="720"/>
        <w:jc w:val="both"/>
        <w:rPr>
          <w:rFonts w:ascii="Arial" w:hAnsi="Arial" w:cs="Arial"/>
          <w:color w:val="000000"/>
          <w:shd w:val="clear" w:color="auto" w:fill="FFFFFF"/>
        </w:rPr>
      </w:pPr>
    </w:p>
    <w:p w14:paraId="6F9A51F6" w14:textId="77777777" w:rsidR="00572404" w:rsidRDefault="00572404" w:rsidP="00572404">
      <w:pPr>
        <w:pStyle w:val="NormalWeb"/>
        <w:spacing w:line="360" w:lineRule="auto"/>
        <w:ind w:left="1060" w:hanging="720"/>
        <w:jc w:val="both"/>
        <w:rPr>
          <w:rFonts w:ascii="Arial" w:hAnsi="Arial" w:cs="Arial"/>
          <w:color w:val="000000"/>
          <w:shd w:val="clear" w:color="auto" w:fill="FFFFFF"/>
        </w:rPr>
      </w:pPr>
      <w:r>
        <w:rPr>
          <w:rFonts w:ascii="Arial" w:hAnsi="Arial" w:cs="Arial"/>
          <w:color w:val="000000"/>
          <w:shd w:val="clear" w:color="auto" w:fill="FFFFFF"/>
        </w:rPr>
        <w:lastRenderedPageBreak/>
        <w:t>[22]</w:t>
      </w:r>
      <w:r>
        <w:rPr>
          <w:rFonts w:ascii="Arial" w:hAnsi="Arial" w:cs="Arial"/>
          <w:color w:val="000000"/>
          <w:shd w:val="clear" w:color="auto" w:fill="FFFFFF"/>
        </w:rPr>
        <w:tab/>
        <w:t xml:space="preserve">It is manifest from the SCA decision in </w:t>
      </w:r>
      <w:r w:rsidRPr="001946E4">
        <w:rPr>
          <w:rFonts w:ascii="Arial" w:hAnsi="Arial" w:cs="Arial"/>
          <w:i/>
          <w:iCs/>
          <w:color w:val="000000"/>
          <w:shd w:val="clear" w:color="auto" w:fill="FFFFFF"/>
        </w:rPr>
        <w:t>Murray</w:t>
      </w:r>
      <w:r>
        <w:rPr>
          <w:rFonts w:ascii="Arial" w:hAnsi="Arial" w:cs="Arial"/>
          <w:color w:val="000000"/>
          <w:shd w:val="clear" w:color="auto" w:fill="FFFFFF"/>
        </w:rPr>
        <w:t xml:space="preserve"> that even though the provisions of the LRA do not apply to litigants such as the applicant, but the Constitution guarantees them a right to fair labour practices. </w:t>
      </w:r>
    </w:p>
    <w:p w14:paraId="0E473033" w14:textId="77777777" w:rsidR="00572404" w:rsidRDefault="00572404" w:rsidP="00572404">
      <w:pPr>
        <w:pStyle w:val="NormalWeb"/>
        <w:spacing w:line="360" w:lineRule="auto"/>
        <w:ind w:left="1060" w:hanging="720"/>
        <w:jc w:val="both"/>
        <w:rPr>
          <w:rFonts w:ascii="Arial" w:hAnsi="Arial" w:cs="Arial"/>
          <w:color w:val="000000"/>
          <w:shd w:val="clear" w:color="auto" w:fill="FFFFFF"/>
        </w:rPr>
      </w:pPr>
    </w:p>
    <w:p w14:paraId="5C10C24F" w14:textId="77777777" w:rsidR="00572404" w:rsidRDefault="00572404" w:rsidP="00572404">
      <w:pPr>
        <w:pStyle w:val="NormalWeb"/>
        <w:spacing w:line="360" w:lineRule="auto"/>
        <w:ind w:left="1060" w:hanging="720"/>
        <w:jc w:val="both"/>
        <w:rPr>
          <w:rFonts w:ascii="Arial" w:hAnsi="Arial" w:cs="Arial"/>
          <w:color w:val="000000"/>
          <w:shd w:val="clear" w:color="auto" w:fill="FFFFFF"/>
        </w:rPr>
      </w:pPr>
      <w:r>
        <w:rPr>
          <w:rFonts w:ascii="Arial" w:hAnsi="Arial" w:cs="Arial"/>
          <w:color w:val="000000"/>
          <w:shd w:val="clear" w:color="auto" w:fill="FFFFFF"/>
        </w:rPr>
        <w:t>[23]</w:t>
      </w:r>
      <w:r>
        <w:rPr>
          <w:rFonts w:ascii="Arial" w:hAnsi="Arial" w:cs="Arial"/>
          <w:color w:val="000000"/>
          <w:shd w:val="clear" w:color="auto" w:fill="FFFFFF"/>
        </w:rPr>
        <w:tab/>
        <w:t xml:space="preserve">The Constitutional Court in </w:t>
      </w:r>
      <w:r w:rsidRPr="009F79FE">
        <w:rPr>
          <w:rFonts w:ascii="Arial" w:hAnsi="Arial" w:cs="Arial"/>
          <w:b/>
          <w:bCs/>
          <w:color w:val="000000"/>
          <w:shd w:val="clear" w:color="auto" w:fill="FFFFFF"/>
        </w:rPr>
        <w:t>Pretorius &amp; Another v Transnet Pension Fund and Others</w:t>
      </w:r>
      <w:r>
        <w:rPr>
          <w:rStyle w:val="FootnoteReference"/>
          <w:rFonts w:ascii="Arial" w:hAnsi="Arial" w:cs="Arial"/>
          <w:b/>
          <w:bCs/>
          <w:color w:val="000000"/>
          <w:shd w:val="clear" w:color="auto" w:fill="FFFFFF"/>
        </w:rPr>
        <w:footnoteReference w:id="7"/>
      </w:r>
      <w:r w:rsidRPr="00C02BCA">
        <w:rPr>
          <w:rFonts w:ascii="Arial" w:hAnsi="Arial" w:cs="Arial"/>
          <w:color w:val="000000"/>
          <w:shd w:val="clear" w:color="auto" w:fill="FFFFFF"/>
        </w:rPr>
        <w:t xml:space="preserve"> </w:t>
      </w:r>
      <w:r>
        <w:rPr>
          <w:rFonts w:ascii="Arial" w:hAnsi="Arial" w:cs="Arial"/>
          <w:color w:val="000000"/>
          <w:shd w:val="clear" w:color="auto" w:fill="FFFFFF"/>
        </w:rPr>
        <w:t>further suggested that a</w:t>
      </w:r>
      <w:r w:rsidRPr="00507760">
        <w:rPr>
          <w:rFonts w:ascii="Arial" w:hAnsi="Arial" w:cs="Arial"/>
          <w:color w:val="000000"/>
          <w:shd w:val="clear" w:color="auto" w:fill="FFFFFF"/>
        </w:rPr>
        <w:t xml:space="preserve"> person who is not defined as an employee under the LRA but who is engaged in an employee-employer relationship may rely on such a relationship to assert their constitutional right to </w:t>
      </w:r>
      <w:r>
        <w:rPr>
          <w:rFonts w:ascii="Arial" w:hAnsi="Arial" w:cs="Arial"/>
          <w:color w:val="000000"/>
          <w:shd w:val="clear" w:color="auto" w:fill="FFFFFF"/>
        </w:rPr>
        <w:t>fair labour</w:t>
      </w:r>
      <w:r w:rsidRPr="00507760">
        <w:rPr>
          <w:rFonts w:ascii="Arial" w:hAnsi="Arial" w:cs="Arial"/>
          <w:color w:val="000000"/>
          <w:shd w:val="clear" w:color="auto" w:fill="FFFFFF"/>
        </w:rPr>
        <w:t xml:space="preserve"> practices.</w:t>
      </w:r>
      <w:r>
        <w:rPr>
          <w:rFonts w:ascii="Arial" w:hAnsi="Arial" w:cs="Arial"/>
          <w:color w:val="000000"/>
          <w:shd w:val="clear" w:color="auto" w:fill="FFFFFF"/>
        </w:rPr>
        <w:t xml:space="preserve"> It stated that </w:t>
      </w:r>
      <w:r w:rsidRPr="00E25EC3">
        <w:rPr>
          <w:rFonts w:ascii="Arial" w:hAnsi="Arial" w:cs="Arial"/>
          <w:color w:val="000000"/>
          <w:shd w:val="clear" w:color="auto" w:fill="FFFFFF"/>
        </w:rPr>
        <w:t>“More and more people find themselves in the “twilight zone” of employment”.</w:t>
      </w:r>
      <w:r w:rsidRPr="00E25EC3">
        <w:rPr>
          <w:rStyle w:val="apple-converted-space"/>
          <w:rFonts w:ascii="Arial" w:hAnsi="Arial" w:cs="Arial"/>
          <w:color w:val="000000"/>
          <w:shd w:val="clear" w:color="auto" w:fill="FFFFFF"/>
        </w:rPr>
        <w:t> </w:t>
      </w:r>
    </w:p>
    <w:p w14:paraId="09FB29DE" w14:textId="77777777" w:rsidR="00572404" w:rsidRDefault="00572404" w:rsidP="00572404">
      <w:pPr>
        <w:pStyle w:val="NormalWeb"/>
        <w:spacing w:line="360" w:lineRule="auto"/>
        <w:ind w:left="1060" w:hanging="720"/>
        <w:jc w:val="both"/>
        <w:rPr>
          <w:rFonts w:ascii="Arial" w:hAnsi="Arial" w:cs="Arial"/>
          <w:color w:val="000000"/>
          <w:shd w:val="clear" w:color="auto" w:fill="FFFFFF"/>
        </w:rPr>
      </w:pPr>
    </w:p>
    <w:p w14:paraId="0381E2F9" w14:textId="77777777" w:rsidR="00572404" w:rsidRDefault="00572404" w:rsidP="00572404">
      <w:pPr>
        <w:pStyle w:val="NormalWeb"/>
        <w:spacing w:line="360" w:lineRule="auto"/>
        <w:ind w:left="1060" w:hanging="720"/>
        <w:jc w:val="both"/>
        <w:rPr>
          <w:rFonts w:ascii="Arial" w:hAnsi="Arial" w:cs="Arial"/>
          <w:color w:val="000000"/>
        </w:rPr>
      </w:pPr>
      <w:r>
        <w:rPr>
          <w:rFonts w:ascii="Arial" w:hAnsi="Arial" w:cs="Arial"/>
          <w:color w:val="000000"/>
          <w:shd w:val="clear" w:color="auto" w:fill="FFFFFF"/>
        </w:rPr>
        <w:t>[24]</w:t>
      </w:r>
      <w:r>
        <w:rPr>
          <w:rFonts w:ascii="Arial" w:hAnsi="Arial" w:cs="Arial"/>
          <w:color w:val="000000"/>
          <w:shd w:val="clear" w:color="auto" w:fill="FFFFFF"/>
        </w:rPr>
        <w:tab/>
      </w:r>
      <w:r w:rsidRPr="006D3E34">
        <w:rPr>
          <w:rFonts w:ascii="Arial" w:hAnsi="Arial" w:cs="Arial"/>
          <w:color w:val="000000"/>
          <w:shd w:val="clear" w:color="auto" w:fill="FFFFFF"/>
        </w:rPr>
        <w:t xml:space="preserve">I </w:t>
      </w:r>
      <w:r>
        <w:rPr>
          <w:rFonts w:ascii="Arial" w:hAnsi="Arial" w:cs="Arial"/>
          <w:color w:val="000000"/>
          <w:shd w:val="clear" w:color="auto" w:fill="FFFFFF"/>
        </w:rPr>
        <w:t xml:space="preserve">now </w:t>
      </w:r>
      <w:r w:rsidRPr="006D3E34">
        <w:rPr>
          <w:rFonts w:ascii="Arial" w:hAnsi="Arial" w:cs="Arial"/>
          <w:color w:val="000000"/>
          <w:shd w:val="clear" w:color="auto" w:fill="FFFFFF"/>
        </w:rPr>
        <w:t xml:space="preserve">turn to address the controversy about </w:t>
      </w:r>
      <w:r>
        <w:rPr>
          <w:rFonts w:ascii="Arial" w:hAnsi="Arial" w:cs="Arial"/>
          <w:color w:val="000000"/>
          <w:shd w:val="clear" w:color="auto" w:fill="FFFFFF"/>
        </w:rPr>
        <w:t>promotion or appointment</w:t>
      </w:r>
      <w:r w:rsidRPr="006D3E34">
        <w:rPr>
          <w:rFonts w:ascii="Arial" w:hAnsi="Arial" w:cs="Arial"/>
          <w:color w:val="000000"/>
          <w:shd w:val="clear" w:color="auto" w:fill="FFFFFF"/>
        </w:rPr>
        <w:t>, which was the basis for the applicant’s case</w:t>
      </w:r>
      <w:r>
        <w:rPr>
          <w:rFonts w:ascii="Arial" w:hAnsi="Arial" w:cs="Arial"/>
          <w:color w:val="000000"/>
          <w:shd w:val="clear" w:color="auto" w:fill="FFFFFF"/>
        </w:rPr>
        <w:t>.</w:t>
      </w:r>
      <w:r>
        <w:rPr>
          <w:rFonts w:ascii="Arial" w:hAnsi="Arial" w:cs="Arial"/>
          <w:color w:val="000000"/>
          <w:shd w:val="clear" w:color="auto" w:fill="FFFFFF"/>
          <w:lang w:val="en-US"/>
        </w:rPr>
        <w:t xml:space="preserve"> </w:t>
      </w:r>
      <w:r w:rsidRPr="00222A42">
        <w:rPr>
          <w:rStyle w:val="apple-converted-space"/>
          <w:rFonts w:ascii="Arial" w:hAnsi="Arial" w:cs="Arial"/>
          <w:color w:val="000000"/>
          <w:shd w:val="clear" w:color="auto" w:fill="FFFFFF"/>
          <w:lang w:val="en-US"/>
        </w:rPr>
        <w:t>In the case of promotion</w:t>
      </w:r>
      <w:r>
        <w:rPr>
          <w:rStyle w:val="apple-converted-space"/>
          <w:rFonts w:ascii="Arial" w:hAnsi="Arial" w:cs="Arial"/>
          <w:color w:val="000000"/>
          <w:shd w:val="clear" w:color="auto" w:fill="FFFFFF"/>
          <w:lang w:val="en-US"/>
        </w:rPr>
        <w:t>,</w:t>
      </w:r>
      <w:r w:rsidRPr="00222A42">
        <w:rPr>
          <w:rStyle w:val="apple-converted-space"/>
          <w:rFonts w:ascii="Arial" w:hAnsi="Arial" w:cs="Arial"/>
          <w:color w:val="000000"/>
          <w:shd w:val="clear" w:color="auto" w:fill="FFFFFF"/>
          <w:lang w:val="en-US"/>
        </w:rPr>
        <w:t xml:space="preserve"> there </w:t>
      </w:r>
      <w:r>
        <w:rPr>
          <w:rStyle w:val="apple-converted-space"/>
          <w:rFonts w:ascii="Arial" w:hAnsi="Arial" w:cs="Arial"/>
          <w:color w:val="000000"/>
          <w:shd w:val="clear" w:color="auto" w:fill="FFFFFF"/>
          <w:lang w:val="en-US"/>
        </w:rPr>
        <w:t xml:space="preserve">is </w:t>
      </w:r>
      <w:r w:rsidRPr="00222A42">
        <w:rPr>
          <w:rStyle w:val="apple-converted-space"/>
          <w:rFonts w:ascii="Arial" w:hAnsi="Arial" w:cs="Arial"/>
          <w:color w:val="000000"/>
          <w:shd w:val="clear" w:color="auto" w:fill="FFFFFF"/>
          <w:lang w:val="en-US"/>
        </w:rPr>
        <w:t>generally no right to be promoted. The decision to promote ultimately falls within the employer’s managerial prerogative. The exercise of managerial prerogative has to be no more than good faith and rational.</w:t>
      </w:r>
      <w:r w:rsidRPr="00222A42">
        <w:rPr>
          <w:rStyle w:val="FootnoteReference"/>
          <w:rFonts w:ascii="Arial" w:hAnsi="Arial" w:cs="Arial"/>
          <w:color w:val="000000"/>
          <w:shd w:val="clear" w:color="auto" w:fill="FFFFFF"/>
          <w:lang w:val="en-US"/>
        </w:rPr>
        <w:footnoteReference w:id="8"/>
      </w:r>
      <w:r>
        <w:rPr>
          <w:rStyle w:val="apple-converted-space"/>
          <w:rFonts w:ascii="Verdana" w:hAnsi="Verdana"/>
          <w:color w:val="000000"/>
          <w:sz w:val="18"/>
          <w:szCs w:val="18"/>
          <w:shd w:val="clear" w:color="auto" w:fill="FFFFFF"/>
          <w:lang w:val="en-US"/>
        </w:rPr>
        <w:t xml:space="preserve"> </w:t>
      </w:r>
      <w:r w:rsidRPr="00222A42">
        <w:rPr>
          <w:rFonts w:ascii="Arial" w:hAnsi="Arial" w:cs="Arial"/>
          <w:color w:val="000000"/>
        </w:rPr>
        <w:t xml:space="preserve">I would merely emphasise, as cautioned by Corbett CJ </w:t>
      </w:r>
      <w:r>
        <w:rPr>
          <w:rFonts w:ascii="Arial" w:hAnsi="Arial" w:cs="Arial"/>
          <w:color w:val="000000"/>
        </w:rPr>
        <w:t xml:space="preserve">in </w:t>
      </w:r>
      <w:r w:rsidRPr="00222A42">
        <w:rPr>
          <w:rFonts w:ascii="Arial" w:hAnsi="Arial" w:cs="Arial"/>
          <w:b/>
          <w:bCs/>
          <w:i/>
          <w:iCs/>
          <w:color w:val="000000"/>
        </w:rPr>
        <w:t>Administrator</w:t>
      </w:r>
      <w:r w:rsidRPr="00222A42">
        <w:rPr>
          <w:rFonts w:ascii="Arial" w:hAnsi="Arial" w:cs="Arial"/>
          <w:b/>
          <w:bCs/>
          <w:color w:val="000000"/>
        </w:rPr>
        <w:t>,</w:t>
      </w:r>
      <w:r w:rsidRPr="00222A42">
        <w:rPr>
          <w:rStyle w:val="apple-converted-space"/>
          <w:rFonts w:ascii="Arial" w:hAnsi="Arial" w:cs="Arial"/>
          <w:b/>
          <w:bCs/>
          <w:color w:val="000000"/>
        </w:rPr>
        <w:t> </w:t>
      </w:r>
      <w:r w:rsidRPr="00222A42">
        <w:rPr>
          <w:rFonts w:ascii="Arial" w:hAnsi="Arial" w:cs="Arial"/>
          <w:b/>
          <w:bCs/>
          <w:i/>
          <w:iCs/>
          <w:color w:val="000000"/>
        </w:rPr>
        <w:t>Transvaal &amp; others v Traub &amp; others</w:t>
      </w:r>
      <w:r w:rsidRPr="00222A42">
        <w:rPr>
          <w:rStyle w:val="apple-converted-space"/>
          <w:rFonts w:ascii="Arial" w:hAnsi="Arial" w:cs="Arial"/>
          <w:b/>
          <w:bCs/>
          <w:i/>
          <w:iCs/>
          <w:color w:val="000000"/>
        </w:rPr>
        <w:t> </w:t>
      </w:r>
      <w:r w:rsidRPr="00222A42">
        <w:rPr>
          <w:rFonts w:ascii="Arial" w:hAnsi="Arial" w:cs="Arial"/>
          <w:b/>
          <w:bCs/>
          <w:color w:val="000000"/>
        </w:rPr>
        <w:t>1989 (4) SA 731</w:t>
      </w:r>
      <w:r w:rsidRPr="00222A42">
        <w:rPr>
          <w:rStyle w:val="apple-converted-space"/>
          <w:rFonts w:ascii="Arial" w:hAnsi="Arial" w:cs="Arial"/>
          <w:b/>
          <w:bCs/>
          <w:color w:val="000000"/>
        </w:rPr>
        <w:t> </w:t>
      </w:r>
      <w:r w:rsidRPr="00222A42">
        <w:rPr>
          <w:rFonts w:ascii="Arial" w:hAnsi="Arial" w:cs="Arial"/>
          <w:b/>
          <w:bCs/>
          <w:color w:val="000000"/>
        </w:rPr>
        <w:t>(A)</w:t>
      </w:r>
      <w:r w:rsidRPr="00222A42">
        <w:rPr>
          <w:rFonts w:ascii="Arial" w:hAnsi="Arial" w:cs="Arial"/>
          <w:color w:val="000000"/>
        </w:rPr>
        <w:t xml:space="preserve">, that the need to avoid undue judicial interference in the administration of public authorities must always be placed in the balance. </w:t>
      </w:r>
      <w:r w:rsidRPr="00305AA2">
        <w:rPr>
          <w:rFonts w:ascii="Arial" w:hAnsi="Arial" w:cs="Arial"/>
          <w:color w:val="000000"/>
        </w:rPr>
        <w:t xml:space="preserve">Indeed, </w:t>
      </w:r>
      <w:r>
        <w:rPr>
          <w:rFonts w:ascii="Arial" w:hAnsi="Arial" w:cs="Arial"/>
          <w:color w:val="000000"/>
        </w:rPr>
        <w:t>as I have already stated,</w:t>
      </w:r>
      <w:r w:rsidRPr="00305AA2">
        <w:rPr>
          <w:rFonts w:ascii="Arial" w:hAnsi="Arial" w:cs="Arial"/>
          <w:color w:val="000000"/>
        </w:rPr>
        <w:t xml:space="preserve"> the promotion of an employee is a privilege, bestowed at the discretion of the employer when deemed appropriate. It is not a right to which an employee is entitled unless, of course, his employment contract so provides.</w:t>
      </w:r>
    </w:p>
    <w:p w14:paraId="28ED1C36" w14:textId="77777777" w:rsidR="00572404" w:rsidRDefault="00572404" w:rsidP="00572404">
      <w:pPr>
        <w:pStyle w:val="NormalWeb"/>
        <w:spacing w:line="360" w:lineRule="auto"/>
        <w:ind w:left="1060" w:hanging="720"/>
        <w:jc w:val="both"/>
        <w:rPr>
          <w:rFonts w:ascii="Arial" w:hAnsi="Arial" w:cs="Arial"/>
          <w:color w:val="000000"/>
          <w:shd w:val="clear" w:color="auto" w:fill="FFFFFF"/>
          <w:lang w:val="en-US"/>
        </w:rPr>
      </w:pPr>
    </w:p>
    <w:p w14:paraId="2B600E79" w14:textId="77777777" w:rsidR="00572404" w:rsidRDefault="00572404" w:rsidP="00572404">
      <w:pPr>
        <w:pStyle w:val="NormalWeb"/>
        <w:spacing w:line="360" w:lineRule="auto"/>
        <w:ind w:left="1060" w:hanging="720"/>
        <w:jc w:val="both"/>
        <w:rPr>
          <w:rFonts w:ascii="Arial" w:eastAsia="Calibri" w:hAnsi="Arial" w:cs="Arial"/>
        </w:rPr>
      </w:pPr>
      <w:r>
        <w:rPr>
          <w:rFonts w:ascii="Arial" w:hAnsi="Arial" w:cs="Arial"/>
          <w:color w:val="000000"/>
          <w:shd w:val="clear" w:color="auto" w:fill="FFFFFF"/>
          <w:lang w:val="en-US"/>
        </w:rPr>
        <w:t>[25]</w:t>
      </w:r>
      <w:r>
        <w:rPr>
          <w:rFonts w:ascii="Arial" w:hAnsi="Arial" w:cs="Arial"/>
          <w:color w:val="000000"/>
          <w:shd w:val="clear" w:color="auto" w:fill="FFFFFF"/>
          <w:lang w:val="en-US"/>
        </w:rPr>
        <w:tab/>
      </w:r>
      <w:r>
        <w:rPr>
          <w:rFonts w:ascii="Arial" w:hAnsi="Arial" w:cs="Arial"/>
          <w:color w:val="000000"/>
          <w:shd w:val="clear" w:color="auto" w:fill="FFFFFF"/>
        </w:rPr>
        <w:t>T</w:t>
      </w:r>
      <w:r w:rsidRPr="00560A2D">
        <w:rPr>
          <w:rFonts w:ascii="Arial" w:eastAsia="Calibri" w:hAnsi="Arial" w:cs="Arial"/>
        </w:rPr>
        <w:t>he applicant</w:t>
      </w:r>
      <w:r>
        <w:rPr>
          <w:rFonts w:ascii="Arial" w:eastAsia="Calibri" w:hAnsi="Arial" w:cs="Arial"/>
        </w:rPr>
        <w:t>’s contention that she</w:t>
      </w:r>
      <w:r w:rsidRPr="00560A2D">
        <w:rPr>
          <w:rFonts w:ascii="Arial" w:eastAsia="Calibri" w:hAnsi="Arial" w:cs="Arial"/>
        </w:rPr>
        <w:t xml:space="preserve"> </w:t>
      </w:r>
      <w:r>
        <w:rPr>
          <w:rFonts w:ascii="Arial" w:eastAsia="Calibri" w:hAnsi="Arial" w:cs="Arial"/>
        </w:rPr>
        <w:t>performed</w:t>
      </w:r>
      <w:r w:rsidRPr="00560A2D">
        <w:rPr>
          <w:rFonts w:ascii="Arial" w:eastAsia="Calibri" w:hAnsi="Arial" w:cs="Arial"/>
        </w:rPr>
        <w:t xml:space="preserve"> the functions of the unit head, from 2002 to 2015</w:t>
      </w:r>
      <w:r>
        <w:rPr>
          <w:rFonts w:ascii="Arial" w:eastAsia="Calibri" w:hAnsi="Arial" w:cs="Arial"/>
        </w:rPr>
        <w:t xml:space="preserve"> and therefore she deserved promotion is susceptible to criticism</w:t>
      </w:r>
      <w:r w:rsidRPr="00560A2D">
        <w:rPr>
          <w:rFonts w:ascii="Arial" w:eastAsia="Calibri" w:hAnsi="Arial" w:cs="Arial"/>
        </w:rPr>
        <w:t>.</w:t>
      </w:r>
      <w:r>
        <w:rPr>
          <w:rFonts w:ascii="Arial" w:eastAsia="Calibri" w:hAnsi="Arial" w:cs="Arial"/>
        </w:rPr>
        <w:t xml:space="preserve"> The intriguing part, firstly, is that t</w:t>
      </w:r>
      <w:r w:rsidRPr="00560A2D">
        <w:rPr>
          <w:rFonts w:ascii="Arial" w:eastAsia="Calibri" w:hAnsi="Arial" w:cs="Arial"/>
        </w:rPr>
        <w:t>he applicant</w:t>
      </w:r>
      <w:r>
        <w:rPr>
          <w:rFonts w:ascii="Arial" w:eastAsia="Calibri" w:hAnsi="Arial" w:cs="Arial"/>
        </w:rPr>
        <w:t xml:space="preserve"> </w:t>
      </w:r>
      <w:r w:rsidRPr="00560A2D">
        <w:rPr>
          <w:rFonts w:ascii="Arial" w:eastAsia="Calibri" w:hAnsi="Arial" w:cs="Arial"/>
        </w:rPr>
        <w:t xml:space="preserve">admits that she was never formally appointed to the position, and neither was she remunerated </w:t>
      </w:r>
      <w:r w:rsidRPr="00560A2D">
        <w:rPr>
          <w:rFonts w:ascii="Arial" w:eastAsia="Calibri" w:hAnsi="Arial" w:cs="Arial"/>
        </w:rPr>
        <w:lastRenderedPageBreak/>
        <w:t>in accordance with the post level of a unit head and/or in accordance with the functions and responsibilities she executed.</w:t>
      </w:r>
      <w:r>
        <w:rPr>
          <w:rFonts w:ascii="Arial" w:eastAsia="Calibri" w:hAnsi="Arial" w:cs="Arial"/>
        </w:rPr>
        <w:t xml:space="preserve"> </w:t>
      </w:r>
    </w:p>
    <w:p w14:paraId="1F17FD0B" w14:textId="77777777" w:rsidR="00572404" w:rsidRDefault="00572404" w:rsidP="00572404">
      <w:pPr>
        <w:pStyle w:val="NormalWeb"/>
        <w:spacing w:line="360" w:lineRule="auto"/>
        <w:ind w:left="1060" w:hanging="720"/>
        <w:jc w:val="both"/>
        <w:rPr>
          <w:rFonts w:ascii="Arial" w:eastAsia="Calibri" w:hAnsi="Arial" w:cs="Arial"/>
        </w:rPr>
      </w:pPr>
    </w:p>
    <w:p w14:paraId="7653549A" w14:textId="77777777" w:rsidR="00572404" w:rsidRDefault="00572404" w:rsidP="00572404">
      <w:pPr>
        <w:pStyle w:val="NormalWeb"/>
        <w:spacing w:line="360" w:lineRule="auto"/>
        <w:ind w:left="1060" w:hanging="720"/>
        <w:jc w:val="both"/>
        <w:rPr>
          <w:rStyle w:val="apple-converted-space"/>
          <w:rFonts w:ascii="Verdana" w:hAnsi="Verdana"/>
          <w:color w:val="000000"/>
          <w:sz w:val="18"/>
          <w:szCs w:val="18"/>
          <w:shd w:val="clear" w:color="auto" w:fill="FFFFFF"/>
          <w:lang w:val="en-US"/>
        </w:rPr>
      </w:pPr>
      <w:r>
        <w:rPr>
          <w:rFonts w:ascii="Arial" w:eastAsia="Calibri" w:hAnsi="Arial" w:cs="Arial"/>
        </w:rPr>
        <w:t>[26]</w:t>
      </w:r>
      <w:r>
        <w:rPr>
          <w:rFonts w:ascii="Arial" w:eastAsia="Calibri" w:hAnsi="Arial" w:cs="Arial"/>
        </w:rPr>
        <w:tab/>
        <w:t xml:space="preserve">The second part is that </w:t>
      </w:r>
      <w:r>
        <w:rPr>
          <w:rFonts w:ascii="Arial" w:eastAsia="Calibri" w:hAnsi="Arial" w:cs="Arial"/>
          <w:lang w:val="en-GB"/>
        </w:rPr>
        <w:t>she</w:t>
      </w:r>
      <w:r w:rsidRPr="00560A2D">
        <w:rPr>
          <w:rFonts w:ascii="Arial" w:eastAsia="Calibri" w:hAnsi="Arial" w:cs="Arial"/>
          <w:lang w:val="en-GB"/>
        </w:rPr>
        <w:t xml:space="preserve"> admits that it was explained to her that she could not act in the post previously occupied by Mr Strydom on the basis that this post no longer existed in the division and for this reason, the post was never advertised.</w:t>
      </w:r>
      <w:r>
        <w:rPr>
          <w:rFonts w:ascii="Arial" w:eastAsia="Calibri" w:hAnsi="Arial" w:cs="Arial"/>
          <w:lang w:val="en-GB"/>
        </w:rPr>
        <w:t xml:space="preserve"> This, in my view, defeats the applicant’s contention that she was an acting unit head upon the departure of Mr Strydom. I agree with the respondent’s contention that </w:t>
      </w:r>
      <w:r>
        <w:rPr>
          <w:rFonts w:ascii="Arial" w:eastAsia="Calibri" w:hAnsi="Arial" w:cs="Arial"/>
        </w:rPr>
        <w:t xml:space="preserve">had </w:t>
      </w:r>
      <w:r w:rsidRPr="00560A2D">
        <w:rPr>
          <w:rFonts w:ascii="Arial" w:eastAsia="Calibri" w:hAnsi="Arial" w:cs="Arial"/>
        </w:rPr>
        <w:t xml:space="preserve">she </w:t>
      </w:r>
      <w:r>
        <w:rPr>
          <w:rFonts w:ascii="Arial" w:eastAsia="Calibri" w:hAnsi="Arial" w:cs="Arial"/>
        </w:rPr>
        <w:t>performed the duties of a unit head or acted in such a capacity, surely, she</w:t>
      </w:r>
      <w:r w:rsidRPr="00560A2D">
        <w:rPr>
          <w:rFonts w:ascii="Arial" w:eastAsia="Calibri" w:hAnsi="Arial" w:cs="Arial"/>
        </w:rPr>
        <w:t xml:space="preserve"> would have invoked the benefits of payment for acting in </w:t>
      </w:r>
      <w:r>
        <w:rPr>
          <w:rFonts w:ascii="Arial" w:eastAsia="Calibri" w:hAnsi="Arial" w:cs="Arial"/>
        </w:rPr>
        <w:t xml:space="preserve">such a position. It is common cause that the first respondent has policies that permit employees to claim acting allowance and benefits, in particular, </w:t>
      </w:r>
      <w:r w:rsidRPr="00560A2D">
        <w:rPr>
          <w:rFonts w:ascii="Arial" w:eastAsia="Calibri" w:hAnsi="Arial" w:cs="Arial"/>
        </w:rPr>
        <w:t>the Ministerial Delegation of Powers and Direction, and Human Resource Directive Remuneration Management</w:t>
      </w:r>
      <w:r>
        <w:rPr>
          <w:rFonts w:ascii="Arial" w:eastAsia="Calibri" w:hAnsi="Arial" w:cs="Arial"/>
        </w:rPr>
        <w:t xml:space="preserve"> policy</w:t>
      </w:r>
      <w:r w:rsidRPr="00560A2D">
        <w:rPr>
          <w:rFonts w:ascii="Arial" w:eastAsia="Calibri" w:hAnsi="Arial" w:cs="Arial"/>
        </w:rPr>
        <w:t xml:space="preserve">. </w:t>
      </w:r>
      <w:r>
        <w:rPr>
          <w:rFonts w:ascii="Arial" w:eastAsia="Calibri" w:hAnsi="Arial" w:cs="Arial"/>
        </w:rPr>
        <w:t>I</w:t>
      </w:r>
      <w:r w:rsidRPr="00560A2D">
        <w:rPr>
          <w:rFonts w:ascii="Arial" w:eastAsia="Calibri" w:hAnsi="Arial" w:cs="Arial"/>
        </w:rPr>
        <w:t xml:space="preserve">t </w:t>
      </w:r>
      <w:r>
        <w:rPr>
          <w:rFonts w:ascii="Arial" w:eastAsia="Calibri" w:hAnsi="Arial" w:cs="Arial"/>
        </w:rPr>
        <w:t>defies logic</w:t>
      </w:r>
      <w:r w:rsidRPr="00560A2D">
        <w:rPr>
          <w:rFonts w:ascii="Arial" w:eastAsia="Calibri" w:hAnsi="Arial" w:cs="Arial"/>
        </w:rPr>
        <w:t xml:space="preserve"> that the applicant would have been acting in the position of unit head for a period of thirteen years (13) without receiving any acting allowance and </w:t>
      </w:r>
      <w:r>
        <w:rPr>
          <w:rFonts w:ascii="Arial" w:eastAsia="Calibri" w:hAnsi="Arial" w:cs="Arial"/>
        </w:rPr>
        <w:t>without</w:t>
      </w:r>
      <w:r w:rsidRPr="00560A2D">
        <w:rPr>
          <w:rFonts w:ascii="Arial" w:eastAsia="Calibri" w:hAnsi="Arial" w:cs="Arial"/>
        </w:rPr>
        <w:t xml:space="preserve"> </w:t>
      </w:r>
      <w:r>
        <w:rPr>
          <w:rFonts w:ascii="Arial" w:eastAsia="Calibri" w:hAnsi="Arial" w:cs="Arial"/>
        </w:rPr>
        <w:t>lodging</w:t>
      </w:r>
      <w:r w:rsidRPr="00560A2D">
        <w:rPr>
          <w:rFonts w:ascii="Arial" w:eastAsia="Calibri" w:hAnsi="Arial" w:cs="Arial"/>
        </w:rPr>
        <w:t xml:space="preserve"> any grievance regarding payment for acting in the position of unit head.</w:t>
      </w:r>
      <w:r>
        <w:rPr>
          <w:rFonts w:ascii="Arial" w:eastAsia="Calibri" w:hAnsi="Arial" w:cs="Arial"/>
        </w:rPr>
        <w:t xml:space="preserve"> The </w:t>
      </w:r>
      <w:r w:rsidRPr="00B924AB">
        <w:rPr>
          <w:rFonts w:ascii="Arial" w:eastAsia="Calibri" w:hAnsi="Arial" w:cs="Arial"/>
        </w:rPr>
        <w:t>applicant</w:t>
      </w:r>
      <w:r w:rsidRPr="00B924AB">
        <w:rPr>
          <w:rStyle w:val="apple-converted-space"/>
          <w:rFonts w:ascii="Arial" w:hAnsi="Arial" w:cs="Arial"/>
          <w:color w:val="000000"/>
          <w:shd w:val="clear" w:color="auto" w:fill="FFFFFF"/>
          <w:lang w:val="en-US"/>
        </w:rPr>
        <w:t xml:space="preserve"> was notorious for lodging grievances but for strange reasons, never challenged the nonpayment of acting allowance.</w:t>
      </w:r>
      <w:r>
        <w:rPr>
          <w:rStyle w:val="apple-converted-space"/>
          <w:rFonts w:ascii="Verdana" w:hAnsi="Verdana"/>
          <w:color w:val="000000"/>
          <w:sz w:val="18"/>
          <w:szCs w:val="18"/>
          <w:shd w:val="clear" w:color="auto" w:fill="FFFFFF"/>
          <w:lang w:val="en-US"/>
        </w:rPr>
        <w:t xml:space="preserve"> </w:t>
      </w:r>
    </w:p>
    <w:p w14:paraId="75E18E54" w14:textId="77777777" w:rsidR="00572404" w:rsidRDefault="00572404" w:rsidP="00572404">
      <w:pPr>
        <w:pStyle w:val="NormalWeb"/>
        <w:spacing w:line="360" w:lineRule="auto"/>
        <w:ind w:left="1060" w:hanging="720"/>
        <w:jc w:val="both"/>
        <w:rPr>
          <w:rStyle w:val="apple-converted-space"/>
          <w:rFonts w:ascii="Verdana" w:hAnsi="Verdana"/>
          <w:color w:val="000000"/>
          <w:sz w:val="18"/>
          <w:szCs w:val="18"/>
          <w:shd w:val="clear" w:color="auto" w:fill="FFFFFF"/>
          <w:lang w:val="en-US"/>
        </w:rPr>
      </w:pPr>
    </w:p>
    <w:p w14:paraId="691E2C6B" w14:textId="77777777" w:rsidR="00572404" w:rsidRDefault="00572404" w:rsidP="00572404">
      <w:pPr>
        <w:pStyle w:val="NormalWeb"/>
        <w:spacing w:line="360" w:lineRule="auto"/>
        <w:ind w:left="1060" w:hanging="720"/>
        <w:jc w:val="both"/>
        <w:rPr>
          <w:rFonts w:ascii="Verdana" w:hAnsi="Verdana"/>
          <w:color w:val="000000"/>
          <w:sz w:val="18"/>
          <w:szCs w:val="18"/>
          <w:shd w:val="clear" w:color="auto" w:fill="FFFFFF"/>
        </w:rPr>
      </w:pPr>
      <w:r w:rsidRPr="004F768F">
        <w:rPr>
          <w:rStyle w:val="apple-converted-space"/>
          <w:rFonts w:ascii="Arial" w:hAnsi="Arial" w:cs="Arial"/>
          <w:color w:val="000000"/>
          <w:shd w:val="clear" w:color="auto" w:fill="FFFFFF"/>
          <w:lang w:val="en-US"/>
        </w:rPr>
        <w:t>[27]</w:t>
      </w:r>
      <w:r>
        <w:rPr>
          <w:rStyle w:val="apple-converted-space"/>
          <w:rFonts w:ascii="Verdana" w:hAnsi="Verdana"/>
          <w:color w:val="000000"/>
          <w:sz w:val="18"/>
          <w:szCs w:val="18"/>
          <w:shd w:val="clear" w:color="auto" w:fill="FFFFFF"/>
          <w:lang w:val="en-US"/>
        </w:rPr>
        <w:tab/>
      </w:r>
      <w:r w:rsidRPr="00B924AB">
        <w:rPr>
          <w:rStyle w:val="apple-converted-space"/>
          <w:rFonts w:ascii="Arial" w:hAnsi="Arial" w:cs="Arial"/>
          <w:color w:val="000000"/>
          <w:shd w:val="clear" w:color="auto" w:fill="FFFFFF"/>
          <w:lang w:val="en-US"/>
        </w:rPr>
        <w:t>The question</w:t>
      </w:r>
      <w:r>
        <w:rPr>
          <w:rStyle w:val="apple-converted-space"/>
          <w:rFonts w:ascii="Verdana" w:hAnsi="Verdana"/>
          <w:color w:val="000000"/>
          <w:sz w:val="18"/>
          <w:szCs w:val="18"/>
          <w:shd w:val="clear" w:color="auto" w:fill="FFFFFF"/>
          <w:lang w:val="en-US"/>
        </w:rPr>
        <w:t xml:space="preserve"> </w:t>
      </w:r>
      <w:r w:rsidRPr="00B04301">
        <w:rPr>
          <w:rStyle w:val="apple-converted-space"/>
          <w:rFonts w:ascii="Arial" w:hAnsi="Arial" w:cs="Arial"/>
          <w:color w:val="000000"/>
          <w:shd w:val="clear" w:color="auto" w:fill="FFFFFF"/>
          <w:lang w:val="en-US"/>
        </w:rPr>
        <w:t xml:space="preserve">of </w:t>
      </w:r>
      <w:r w:rsidRPr="00D629F3">
        <w:rPr>
          <w:rFonts w:ascii="Arial" w:eastAsia="Calibri" w:hAnsi="Arial" w:cs="Arial"/>
          <w:lang w:val="en-GB"/>
        </w:rPr>
        <w:t>whether the applicant should have been promoted to the position of</w:t>
      </w:r>
      <w:r>
        <w:rPr>
          <w:rFonts w:ascii="Arial" w:eastAsia="Calibri" w:hAnsi="Arial" w:cs="Arial"/>
          <w:lang w:val="en-GB"/>
        </w:rPr>
        <w:t xml:space="preserve"> </w:t>
      </w:r>
      <w:r w:rsidRPr="00D629F3">
        <w:rPr>
          <w:rFonts w:ascii="Arial" w:eastAsia="Calibri" w:hAnsi="Arial" w:cs="Arial"/>
          <w:lang w:val="en-GB"/>
        </w:rPr>
        <w:t>unit head rather than Ms. Maletswa</w:t>
      </w:r>
      <w:r>
        <w:rPr>
          <w:rFonts w:ascii="Arial" w:eastAsia="Calibri" w:hAnsi="Arial" w:cs="Arial"/>
          <w:lang w:val="en-GB"/>
        </w:rPr>
        <w:t xml:space="preserve"> also does not take the applicant’s case further. The applicant, in her own concession, submits that the appointment of Ms Maletswa became a shock to her because she was aware that there was no approved unit head post. In addition to this, she agrees, the post was never advertised. This was further confirmed by the grievance panel which found that </w:t>
      </w:r>
      <w:r w:rsidRPr="00560A2D">
        <w:rPr>
          <w:rFonts w:ascii="Arial" w:eastAsia="Calibri" w:hAnsi="Arial" w:cs="Arial"/>
        </w:rPr>
        <w:t>Ms Maletswa was unlawfully appointed to the unit head post. The reasons being, the post had been scrapped and that it no longer existed</w:t>
      </w:r>
      <w:r w:rsidRPr="00E26342">
        <w:rPr>
          <w:rFonts w:ascii="Arial" w:eastAsia="Calibri" w:hAnsi="Arial" w:cs="Arial"/>
        </w:rPr>
        <w:t xml:space="preserve">. </w:t>
      </w:r>
      <w:r w:rsidRPr="00E26342">
        <w:rPr>
          <w:rFonts w:ascii="Arial" w:hAnsi="Arial" w:cs="Arial"/>
          <w:color w:val="000000"/>
          <w:shd w:val="clear" w:color="auto" w:fill="FFFFFF"/>
        </w:rPr>
        <w:t>I digress at this juncture to observe that the grievance panel recommended as follows:</w:t>
      </w:r>
      <w:r>
        <w:rPr>
          <w:rFonts w:ascii="Verdana" w:hAnsi="Verdana"/>
          <w:color w:val="000000"/>
          <w:sz w:val="18"/>
          <w:szCs w:val="18"/>
          <w:shd w:val="clear" w:color="auto" w:fill="FFFFFF"/>
        </w:rPr>
        <w:t xml:space="preserve"> </w:t>
      </w:r>
    </w:p>
    <w:p w14:paraId="459AE11C" w14:textId="77777777" w:rsidR="00572404" w:rsidRDefault="00572404" w:rsidP="00572404">
      <w:pPr>
        <w:pStyle w:val="NormalWeb"/>
        <w:spacing w:line="360" w:lineRule="auto"/>
        <w:ind w:left="1060" w:hanging="720"/>
        <w:jc w:val="both"/>
        <w:rPr>
          <w:rFonts w:ascii="Verdana" w:hAnsi="Verdana"/>
          <w:color w:val="000000"/>
          <w:sz w:val="18"/>
          <w:szCs w:val="18"/>
          <w:shd w:val="clear" w:color="auto" w:fill="FFFFFF"/>
        </w:rPr>
      </w:pPr>
    </w:p>
    <w:p w14:paraId="61BAB9A6" w14:textId="77777777" w:rsidR="00572404" w:rsidRDefault="00572404" w:rsidP="00572404">
      <w:pPr>
        <w:pStyle w:val="NormalWeb"/>
        <w:spacing w:line="360" w:lineRule="auto"/>
        <w:ind w:left="2160" w:hanging="720"/>
        <w:jc w:val="both"/>
        <w:rPr>
          <w:rFonts w:ascii="Arial" w:hAnsi="Arial" w:cs="Arial"/>
          <w:i/>
          <w:iCs/>
          <w:color w:val="000000"/>
          <w:sz w:val="21"/>
          <w:szCs w:val="21"/>
          <w:shd w:val="clear" w:color="auto" w:fill="FFFFFF"/>
        </w:rPr>
      </w:pPr>
      <w:r w:rsidRPr="00445654">
        <w:rPr>
          <w:rFonts w:ascii="Arial" w:hAnsi="Arial" w:cs="Arial"/>
          <w:i/>
          <w:iCs/>
          <w:color w:val="000000"/>
          <w:sz w:val="21"/>
          <w:szCs w:val="21"/>
          <w:shd w:val="clear" w:color="auto" w:fill="FFFFFF"/>
        </w:rPr>
        <w:lastRenderedPageBreak/>
        <w:t xml:space="preserve">“9.1.1 </w:t>
      </w:r>
      <w:r w:rsidRPr="00445654">
        <w:rPr>
          <w:rFonts w:ascii="Arial" w:hAnsi="Arial" w:cs="Arial"/>
          <w:i/>
          <w:iCs/>
          <w:color w:val="000000"/>
          <w:sz w:val="21"/>
          <w:szCs w:val="21"/>
          <w:shd w:val="clear" w:color="auto" w:fill="FFFFFF"/>
        </w:rPr>
        <w:tab/>
        <w:t>The creation of the current Unit Head position in Division IO32 be declared null and void as due process was not followed and no formal approval by the Director-General is reflected on the submission.</w:t>
      </w:r>
    </w:p>
    <w:p w14:paraId="53710446" w14:textId="77777777" w:rsidR="00572404" w:rsidRPr="00445654" w:rsidRDefault="00572404" w:rsidP="00572404">
      <w:pPr>
        <w:pStyle w:val="NoSpacing"/>
        <w:rPr>
          <w:shd w:val="clear" w:color="auto" w:fill="FFFFFF"/>
        </w:rPr>
      </w:pPr>
    </w:p>
    <w:p w14:paraId="31BDCBA5" w14:textId="77777777" w:rsidR="00572404" w:rsidRDefault="00572404" w:rsidP="00572404">
      <w:pPr>
        <w:pStyle w:val="NormalWeb"/>
        <w:spacing w:line="360" w:lineRule="auto"/>
        <w:ind w:left="2160" w:hanging="720"/>
        <w:jc w:val="both"/>
        <w:rPr>
          <w:rFonts w:ascii="Arial" w:hAnsi="Arial" w:cs="Arial"/>
          <w:i/>
          <w:iCs/>
          <w:color w:val="000000"/>
          <w:sz w:val="21"/>
          <w:szCs w:val="21"/>
          <w:shd w:val="clear" w:color="auto" w:fill="FFFFFF"/>
        </w:rPr>
      </w:pPr>
      <w:r w:rsidRPr="00445654">
        <w:rPr>
          <w:rFonts w:ascii="Arial" w:hAnsi="Arial" w:cs="Arial"/>
          <w:i/>
          <w:iCs/>
          <w:color w:val="000000"/>
          <w:sz w:val="21"/>
          <w:szCs w:val="21"/>
          <w:shd w:val="clear" w:color="auto" w:fill="FFFFFF"/>
        </w:rPr>
        <w:t>9.1.2</w:t>
      </w:r>
      <w:r w:rsidRPr="00445654">
        <w:rPr>
          <w:rFonts w:ascii="Arial" w:hAnsi="Arial" w:cs="Arial"/>
          <w:i/>
          <w:iCs/>
          <w:color w:val="000000"/>
          <w:sz w:val="21"/>
          <w:szCs w:val="21"/>
          <w:shd w:val="clear" w:color="auto" w:fill="FFFFFF"/>
        </w:rPr>
        <w:tab/>
        <w:t>A Business Analysis be concluded in Division IO32 to determine the functional need for a Unit Head position as well as the post establishment and to follow due process to create a formal Unit Head position.</w:t>
      </w:r>
    </w:p>
    <w:p w14:paraId="593A4717" w14:textId="77777777" w:rsidR="00572404" w:rsidRPr="00445654" w:rsidRDefault="00572404" w:rsidP="00572404">
      <w:pPr>
        <w:pStyle w:val="NoSpacing"/>
        <w:rPr>
          <w:shd w:val="clear" w:color="auto" w:fill="FFFFFF"/>
        </w:rPr>
      </w:pPr>
    </w:p>
    <w:p w14:paraId="2BC62881" w14:textId="77777777" w:rsidR="00572404" w:rsidRPr="00445654" w:rsidRDefault="00572404" w:rsidP="00572404">
      <w:pPr>
        <w:pStyle w:val="NormalWeb"/>
        <w:spacing w:line="360" w:lineRule="auto"/>
        <w:ind w:left="2160" w:hanging="720"/>
        <w:jc w:val="both"/>
        <w:rPr>
          <w:rFonts w:ascii="Arial" w:hAnsi="Arial" w:cs="Arial"/>
          <w:i/>
          <w:iCs/>
          <w:color w:val="000000"/>
          <w:sz w:val="21"/>
          <w:szCs w:val="21"/>
          <w:shd w:val="clear" w:color="auto" w:fill="FFFFFF"/>
        </w:rPr>
      </w:pPr>
      <w:r w:rsidRPr="00445654">
        <w:rPr>
          <w:rFonts w:ascii="Arial" w:hAnsi="Arial" w:cs="Arial"/>
          <w:i/>
          <w:iCs/>
          <w:color w:val="000000"/>
          <w:sz w:val="21"/>
          <w:szCs w:val="21"/>
          <w:shd w:val="clear" w:color="auto" w:fill="FFFFFF"/>
        </w:rPr>
        <w:t>9.1.3</w:t>
      </w:r>
      <w:r w:rsidRPr="00445654">
        <w:rPr>
          <w:rFonts w:ascii="Arial" w:hAnsi="Arial" w:cs="Arial"/>
          <w:i/>
          <w:iCs/>
          <w:color w:val="000000"/>
          <w:sz w:val="21"/>
          <w:szCs w:val="21"/>
          <w:shd w:val="clear" w:color="auto" w:fill="FFFFFF"/>
        </w:rPr>
        <w:tab/>
        <w:t xml:space="preserve">If the Business Analysis outcome result in the creation and approval of a Unit Head position, the position be filled in accordance with Chapter V of the Intelligence Services Regulations, 2014 and SSA Directive HRD.OS (Human Resource Directive on Recruitment, Selection, Appointment and Termination of Service).  </w:t>
      </w:r>
    </w:p>
    <w:p w14:paraId="6C0CACF6" w14:textId="77777777" w:rsidR="00572404" w:rsidRPr="00445654" w:rsidRDefault="00572404" w:rsidP="00572404">
      <w:pPr>
        <w:pStyle w:val="NormalWeb"/>
        <w:spacing w:line="360" w:lineRule="auto"/>
        <w:ind w:left="2160"/>
        <w:jc w:val="both"/>
        <w:rPr>
          <w:rFonts w:ascii="Arial" w:hAnsi="Arial" w:cs="Arial"/>
          <w:i/>
          <w:iCs/>
          <w:color w:val="000000"/>
          <w:sz w:val="21"/>
          <w:szCs w:val="21"/>
          <w:shd w:val="clear" w:color="auto" w:fill="FFFFFF"/>
        </w:rPr>
      </w:pPr>
      <w:r w:rsidRPr="00445654">
        <w:rPr>
          <w:rFonts w:ascii="Arial" w:hAnsi="Arial" w:cs="Arial"/>
          <w:i/>
          <w:iCs/>
          <w:color w:val="000000"/>
          <w:sz w:val="21"/>
          <w:szCs w:val="21"/>
          <w:shd w:val="clear" w:color="auto" w:fill="FFFFFF"/>
        </w:rPr>
        <w:t xml:space="preserve">. . . </w:t>
      </w:r>
    </w:p>
    <w:p w14:paraId="3D5439E0" w14:textId="77777777" w:rsidR="00572404" w:rsidRPr="00445654" w:rsidRDefault="00572404" w:rsidP="00572404">
      <w:pPr>
        <w:pStyle w:val="NormalWeb"/>
        <w:spacing w:line="360" w:lineRule="auto"/>
        <w:ind w:left="2160" w:hanging="720"/>
        <w:jc w:val="both"/>
        <w:rPr>
          <w:rFonts w:ascii="Arial" w:hAnsi="Arial" w:cs="Arial"/>
          <w:i/>
          <w:iCs/>
          <w:color w:val="000000"/>
          <w:sz w:val="21"/>
          <w:szCs w:val="21"/>
          <w:shd w:val="clear" w:color="auto" w:fill="FFFFFF"/>
        </w:rPr>
      </w:pPr>
      <w:r w:rsidRPr="00445654">
        <w:rPr>
          <w:rFonts w:ascii="Arial" w:hAnsi="Arial" w:cs="Arial"/>
          <w:i/>
          <w:iCs/>
          <w:color w:val="000000"/>
          <w:sz w:val="21"/>
          <w:szCs w:val="21"/>
          <w:shd w:val="clear" w:color="auto" w:fill="FFFFFF"/>
        </w:rPr>
        <w:t>8.1</w:t>
      </w:r>
      <w:r w:rsidRPr="00445654">
        <w:rPr>
          <w:rFonts w:ascii="Arial" w:hAnsi="Arial" w:cs="Arial"/>
          <w:i/>
          <w:iCs/>
          <w:color w:val="000000"/>
          <w:sz w:val="21"/>
          <w:szCs w:val="21"/>
          <w:shd w:val="clear" w:color="auto" w:fill="FFFFFF"/>
        </w:rPr>
        <w:tab/>
        <w:t>The process followed in appointing Ms AM Maletswa in the Division Services Administration (IO32) by the Agency was in contravention of Chapter II (Organisation and Structures), IV (Job Evaluation) &amp; V (Recruitment, Selection, Appointment and Termination) of the Intelligence Services Regulations, 2014.”</w:t>
      </w:r>
    </w:p>
    <w:p w14:paraId="633D1E6A" w14:textId="77777777" w:rsidR="00572404" w:rsidRPr="00201E71" w:rsidRDefault="00572404" w:rsidP="00572404">
      <w:pPr>
        <w:pStyle w:val="NormalWeb"/>
        <w:spacing w:line="360" w:lineRule="auto"/>
        <w:ind w:left="2160" w:hanging="720"/>
        <w:jc w:val="both"/>
        <w:rPr>
          <w:rFonts w:ascii="Arial" w:eastAsia="Calibri" w:hAnsi="Arial" w:cs="Arial"/>
        </w:rPr>
      </w:pPr>
      <w:r>
        <w:rPr>
          <w:rFonts w:ascii="Verdana" w:hAnsi="Verdana"/>
          <w:color w:val="000000"/>
          <w:sz w:val="18"/>
          <w:szCs w:val="18"/>
          <w:shd w:val="clear" w:color="auto" w:fill="FFFFFF"/>
        </w:rPr>
        <w:tab/>
      </w:r>
    </w:p>
    <w:p w14:paraId="3AC4B2C2" w14:textId="77777777" w:rsidR="00572404" w:rsidRDefault="00572404" w:rsidP="00572404">
      <w:pPr>
        <w:pStyle w:val="NormalWeb"/>
        <w:spacing w:line="360" w:lineRule="auto"/>
        <w:ind w:left="1060" w:hanging="720"/>
        <w:jc w:val="both"/>
        <w:rPr>
          <w:rFonts w:ascii="Arial" w:hAnsi="Arial" w:cs="Arial"/>
          <w:color w:val="000000"/>
          <w:shd w:val="clear" w:color="auto" w:fill="FFFFFF"/>
        </w:rPr>
      </w:pPr>
      <w:r>
        <w:rPr>
          <w:rFonts w:ascii="Arial" w:hAnsi="Arial" w:cs="Arial"/>
          <w:color w:val="000000"/>
          <w:shd w:val="clear" w:color="auto" w:fill="FFFFFF"/>
        </w:rPr>
        <w:t>[28]</w:t>
      </w:r>
      <w:r>
        <w:rPr>
          <w:rFonts w:ascii="Arial" w:hAnsi="Arial" w:cs="Arial"/>
          <w:color w:val="000000"/>
          <w:shd w:val="clear" w:color="auto" w:fill="FFFFFF"/>
        </w:rPr>
        <w:tab/>
        <w:t xml:space="preserve">This, in my view,  seems to suggest that, indeed, there was no unit head post position. It was never approved, hence the appointment of Ms Maletswa was also declared </w:t>
      </w:r>
      <w:r w:rsidRPr="0010132F">
        <w:rPr>
          <w:rFonts w:ascii="Arial" w:hAnsi="Arial" w:cs="Arial"/>
          <w:i/>
          <w:iCs/>
          <w:color w:val="000000"/>
          <w:shd w:val="clear" w:color="auto" w:fill="FFFFFF"/>
        </w:rPr>
        <w:t>null and void</w:t>
      </w:r>
      <w:r>
        <w:rPr>
          <w:rFonts w:ascii="Arial" w:hAnsi="Arial" w:cs="Arial"/>
          <w:color w:val="000000"/>
          <w:shd w:val="clear" w:color="auto" w:fill="FFFFFF"/>
        </w:rPr>
        <w:t>. In addition to this, the grievance panel recommended that a</w:t>
      </w:r>
      <w:r w:rsidRPr="00E26342">
        <w:rPr>
          <w:rFonts w:ascii="Arial" w:hAnsi="Arial" w:cs="Arial"/>
          <w:color w:val="000000"/>
          <w:shd w:val="clear" w:color="auto" w:fill="FFFFFF"/>
        </w:rPr>
        <w:t xml:space="preserve"> Business Analysis </w:t>
      </w:r>
      <w:r>
        <w:rPr>
          <w:rFonts w:ascii="Arial" w:hAnsi="Arial" w:cs="Arial"/>
          <w:color w:val="000000"/>
          <w:shd w:val="clear" w:color="auto" w:fill="FFFFFF"/>
        </w:rPr>
        <w:t xml:space="preserve">should </w:t>
      </w:r>
      <w:r w:rsidRPr="00E26342">
        <w:rPr>
          <w:rFonts w:ascii="Arial" w:hAnsi="Arial" w:cs="Arial"/>
          <w:color w:val="000000"/>
          <w:shd w:val="clear" w:color="auto" w:fill="FFFFFF"/>
        </w:rPr>
        <w:t xml:space="preserve">be concluded in Division IO32 to determine the functional need for a </w:t>
      </w:r>
      <w:r>
        <w:rPr>
          <w:rFonts w:ascii="Arial" w:hAnsi="Arial" w:cs="Arial"/>
          <w:color w:val="000000"/>
          <w:shd w:val="clear" w:color="auto" w:fill="FFFFFF"/>
        </w:rPr>
        <w:t>u</w:t>
      </w:r>
      <w:r w:rsidRPr="00E26342">
        <w:rPr>
          <w:rFonts w:ascii="Arial" w:hAnsi="Arial" w:cs="Arial"/>
          <w:color w:val="000000"/>
          <w:shd w:val="clear" w:color="auto" w:fill="FFFFFF"/>
        </w:rPr>
        <w:t xml:space="preserve">nit </w:t>
      </w:r>
      <w:r>
        <w:rPr>
          <w:rFonts w:ascii="Arial" w:hAnsi="Arial" w:cs="Arial"/>
          <w:color w:val="000000"/>
          <w:shd w:val="clear" w:color="auto" w:fill="FFFFFF"/>
        </w:rPr>
        <w:t>h</w:t>
      </w:r>
      <w:r w:rsidRPr="00E26342">
        <w:rPr>
          <w:rFonts w:ascii="Arial" w:hAnsi="Arial" w:cs="Arial"/>
          <w:color w:val="000000"/>
          <w:shd w:val="clear" w:color="auto" w:fill="FFFFFF"/>
        </w:rPr>
        <w:t>ead position.</w:t>
      </w:r>
      <w:r>
        <w:rPr>
          <w:rFonts w:ascii="Arial" w:hAnsi="Arial" w:cs="Arial"/>
          <w:color w:val="000000"/>
          <w:shd w:val="clear" w:color="auto" w:fill="FFFFFF"/>
        </w:rPr>
        <w:t xml:space="preserve"> Now, the critical question is, how can the applicant be promoted to a position that does not exist? Surely, she cannot. This, too, defeats any suggestion of legitimate expectation. </w:t>
      </w:r>
    </w:p>
    <w:p w14:paraId="270A85AF" w14:textId="77777777" w:rsidR="00572404" w:rsidRDefault="00572404" w:rsidP="00572404">
      <w:pPr>
        <w:pStyle w:val="NormalWeb"/>
        <w:spacing w:line="360" w:lineRule="auto"/>
        <w:ind w:left="1060" w:hanging="720"/>
        <w:jc w:val="both"/>
        <w:rPr>
          <w:rFonts w:ascii="Arial" w:hAnsi="Arial" w:cs="Arial"/>
          <w:color w:val="000000"/>
          <w:shd w:val="clear" w:color="auto" w:fill="FFFFFF"/>
        </w:rPr>
      </w:pPr>
    </w:p>
    <w:p w14:paraId="59B74FCF" w14:textId="77777777" w:rsidR="00572404" w:rsidRPr="00201E71" w:rsidRDefault="00572404" w:rsidP="00572404">
      <w:pPr>
        <w:pStyle w:val="NormalWeb"/>
        <w:spacing w:line="360" w:lineRule="auto"/>
        <w:ind w:left="1060" w:hanging="720"/>
        <w:jc w:val="both"/>
        <w:rPr>
          <w:rFonts w:ascii="Arial" w:hAnsi="Arial" w:cs="Arial"/>
          <w:color w:val="000000"/>
          <w:shd w:val="clear" w:color="auto" w:fill="FFFFFF"/>
          <w:lang w:val="en-US"/>
        </w:rPr>
      </w:pPr>
      <w:r>
        <w:rPr>
          <w:rFonts w:ascii="Arial" w:hAnsi="Arial" w:cs="Arial"/>
          <w:color w:val="000000"/>
          <w:shd w:val="clear" w:color="auto" w:fill="FFFFFF"/>
        </w:rPr>
        <w:t>[29]</w:t>
      </w:r>
      <w:r>
        <w:rPr>
          <w:rFonts w:ascii="Arial" w:hAnsi="Arial" w:cs="Arial"/>
          <w:color w:val="000000"/>
          <w:shd w:val="clear" w:color="auto" w:fill="FFFFFF"/>
        </w:rPr>
        <w:tab/>
        <w:t>In</w:t>
      </w:r>
      <w:r w:rsidRPr="00DF6512">
        <w:rPr>
          <w:rFonts w:ascii="Arial" w:hAnsi="Arial" w:cs="Arial"/>
          <w:b/>
          <w:bCs/>
          <w:color w:val="000000"/>
          <w:kern w:val="2"/>
          <w:sz w:val="22"/>
          <w:szCs w:val="22"/>
          <w:shd w:val="clear" w:color="auto" w:fill="FFFFFF"/>
          <w:lang w:val="en-US"/>
          <w14:ligatures w14:val="standardContextual"/>
        </w:rPr>
        <w:t xml:space="preserve"> </w:t>
      </w:r>
      <w:r w:rsidRPr="00DF6512">
        <w:rPr>
          <w:rFonts w:ascii="Arial" w:hAnsi="Arial" w:cs="Arial"/>
          <w:b/>
          <w:bCs/>
          <w:color w:val="000000"/>
          <w:shd w:val="clear" w:color="auto" w:fill="FFFFFF"/>
          <w:lang w:val="en-US"/>
        </w:rPr>
        <w:t>Mathibeli v Minister of Labour</w:t>
      </w:r>
      <w:r>
        <w:rPr>
          <w:rStyle w:val="FootnoteReference"/>
          <w:rFonts w:ascii="Arial" w:hAnsi="Arial" w:cs="Arial"/>
          <w:b/>
          <w:bCs/>
          <w:color w:val="000000"/>
          <w:shd w:val="clear" w:color="auto" w:fill="FFFFFF"/>
          <w:lang w:val="en-US"/>
        </w:rPr>
        <w:footnoteReference w:id="9"/>
      </w:r>
      <w:r>
        <w:rPr>
          <w:rFonts w:ascii="Arial" w:hAnsi="Arial" w:cs="Arial"/>
          <w:b/>
          <w:bCs/>
          <w:color w:val="000000"/>
          <w:shd w:val="clear" w:color="auto" w:fill="FFFFFF"/>
          <w:lang w:val="en-US"/>
        </w:rPr>
        <w:t>,</w:t>
      </w:r>
      <w:r w:rsidRPr="00DF6512">
        <w:rPr>
          <w:rFonts w:ascii="Arial" w:hAnsi="Arial" w:cs="Arial"/>
          <w:b/>
          <w:bCs/>
          <w:color w:val="000000"/>
          <w:shd w:val="clear" w:color="auto" w:fill="FFFFFF"/>
          <w:lang w:val="en-US"/>
        </w:rPr>
        <w:t xml:space="preserve"> </w:t>
      </w:r>
      <w:r w:rsidRPr="00DF6512">
        <w:rPr>
          <w:rFonts w:ascii="Arial" w:hAnsi="Arial" w:cs="Arial"/>
          <w:color w:val="000000"/>
          <w:shd w:val="clear" w:color="auto" w:fill="FFFFFF"/>
          <w:lang w:val="en-US"/>
        </w:rPr>
        <w:t xml:space="preserve">a recommendation that the appellant’s post be upgraded was not approved because it was in conflict with a collective agreement. The appellant then referred an unfair labour practice </w:t>
      </w:r>
      <w:r w:rsidRPr="00DF6512">
        <w:rPr>
          <w:rFonts w:ascii="Arial" w:hAnsi="Arial" w:cs="Arial"/>
          <w:color w:val="000000"/>
          <w:shd w:val="clear" w:color="auto" w:fill="FFFFFF"/>
          <w:lang w:val="en-US"/>
        </w:rPr>
        <w:lastRenderedPageBreak/>
        <w:t>dispute concerning promotion for arbitration. On review, the Labour Court found that the bargaining council lacked jurisdiction to arbitrate because the dispute was one of interest. On appeal, the Labour Appeal Court did not agree with this finding but found that, because the upgrading had not been authorized, the appellant had no right to be upgraded and, therefore, the respondent had not committed an unfair labor practice.</w:t>
      </w:r>
    </w:p>
    <w:p w14:paraId="687D8BBE" w14:textId="77777777" w:rsidR="00572404" w:rsidRDefault="00572404" w:rsidP="00572404">
      <w:pPr>
        <w:pStyle w:val="NormalWeb"/>
        <w:spacing w:line="360" w:lineRule="auto"/>
        <w:ind w:left="1060" w:hanging="720"/>
        <w:rPr>
          <w:rFonts w:ascii="Arial" w:hAnsi="Arial" w:cs="Arial"/>
          <w:color w:val="000000"/>
          <w:shd w:val="clear" w:color="auto" w:fill="FFFFFF"/>
        </w:rPr>
      </w:pPr>
    </w:p>
    <w:p w14:paraId="3366E62B" w14:textId="77777777" w:rsidR="00572404" w:rsidRDefault="00572404" w:rsidP="00572404">
      <w:pPr>
        <w:pStyle w:val="NormalWeb"/>
        <w:spacing w:line="360" w:lineRule="auto"/>
        <w:ind w:left="1060" w:hanging="720"/>
        <w:jc w:val="both"/>
        <w:rPr>
          <w:rFonts w:ascii="Arial" w:hAnsi="Arial" w:cs="Arial"/>
          <w:color w:val="000000"/>
          <w:shd w:val="clear" w:color="auto" w:fill="FFFFFF"/>
          <w:lang w:val="en-US"/>
        </w:rPr>
      </w:pPr>
      <w:r>
        <w:rPr>
          <w:rFonts w:ascii="Arial" w:hAnsi="Arial" w:cs="Arial"/>
          <w:color w:val="000000"/>
          <w:shd w:val="clear" w:color="auto" w:fill="FFFFFF"/>
        </w:rPr>
        <w:t>[30]</w:t>
      </w:r>
      <w:r>
        <w:rPr>
          <w:rFonts w:ascii="Arial" w:hAnsi="Arial" w:cs="Arial"/>
          <w:color w:val="000000"/>
          <w:shd w:val="clear" w:color="auto" w:fill="FFFFFF"/>
        </w:rPr>
        <w:tab/>
        <w:t xml:space="preserve">Another </w:t>
      </w:r>
      <w:r>
        <w:rPr>
          <w:rFonts w:ascii="Arial" w:hAnsi="Arial" w:cs="Arial"/>
          <w:color w:val="000000"/>
          <w:shd w:val="clear" w:color="auto" w:fill="FFFFFF"/>
          <w:lang w:val="en-US"/>
        </w:rPr>
        <w:t>a</w:t>
      </w:r>
      <w:r w:rsidRPr="004B1A03">
        <w:rPr>
          <w:rFonts w:ascii="Arial" w:hAnsi="Arial" w:cs="Arial"/>
          <w:color w:val="000000"/>
          <w:shd w:val="clear" w:color="auto" w:fill="FFFFFF"/>
          <w:lang w:val="en-US"/>
        </w:rPr>
        <w:t>pplicant</w:t>
      </w:r>
      <w:r>
        <w:rPr>
          <w:rFonts w:ascii="Arial" w:hAnsi="Arial" w:cs="Arial"/>
          <w:color w:val="000000"/>
          <w:shd w:val="clear" w:color="auto" w:fill="FFFFFF"/>
          <w:lang w:val="en-US"/>
        </w:rPr>
        <w:t xml:space="preserve">’s contention which deserves consideration is what she calls demotion. Regrettably, the applicant </w:t>
      </w:r>
      <w:r w:rsidRPr="004B1A03">
        <w:rPr>
          <w:rFonts w:ascii="Arial" w:hAnsi="Arial" w:cs="Arial"/>
          <w:color w:val="000000"/>
          <w:shd w:val="clear" w:color="auto" w:fill="FFFFFF"/>
          <w:lang w:val="en-US"/>
        </w:rPr>
        <w:t>speaks in paradox, first</w:t>
      </w:r>
      <w:r>
        <w:rPr>
          <w:rFonts w:ascii="Arial" w:hAnsi="Arial" w:cs="Arial"/>
          <w:color w:val="000000"/>
          <w:shd w:val="clear" w:color="auto" w:fill="FFFFFF"/>
          <w:lang w:val="en-US"/>
        </w:rPr>
        <w:t>ly</w:t>
      </w:r>
      <w:r w:rsidRPr="004B1A03">
        <w:rPr>
          <w:rFonts w:ascii="Arial" w:hAnsi="Arial" w:cs="Arial"/>
          <w:color w:val="000000"/>
          <w:shd w:val="clear" w:color="auto" w:fill="FFFFFF"/>
          <w:lang w:val="en-US"/>
        </w:rPr>
        <w:t xml:space="preserve"> she contends, she was not promoted or appointed to the position of unit</w:t>
      </w:r>
      <w:r>
        <w:rPr>
          <w:rFonts w:ascii="Arial" w:hAnsi="Arial" w:cs="Arial"/>
          <w:color w:val="000000"/>
          <w:shd w:val="clear" w:color="auto" w:fill="FFFFFF"/>
          <w:lang w:val="en-US"/>
        </w:rPr>
        <w:t xml:space="preserve"> head.</w:t>
      </w:r>
      <w:r w:rsidRPr="004B1A03">
        <w:rPr>
          <w:rFonts w:ascii="Arial" w:hAnsi="Arial" w:cs="Arial"/>
          <w:color w:val="000000"/>
          <w:shd w:val="clear" w:color="auto" w:fill="FFFFFF"/>
          <w:lang w:val="en-US"/>
        </w:rPr>
        <w:t xml:space="preserve"> </w:t>
      </w:r>
      <w:r>
        <w:rPr>
          <w:rFonts w:ascii="Arial" w:hAnsi="Arial" w:cs="Arial"/>
          <w:color w:val="000000"/>
          <w:shd w:val="clear" w:color="auto" w:fill="FFFFFF"/>
          <w:lang w:val="en-US"/>
        </w:rPr>
        <w:t>W</w:t>
      </w:r>
      <w:r w:rsidRPr="004B1A03">
        <w:rPr>
          <w:rFonts w:ascii="Arial" w:hAnsi="Arial" w:cs="Arial"/>
          <w:color w:val="000000"/>
          <w:shd w:val="clear" w:color="auto" w:fill="FFFFFF"/>
          <w:lang w:val="en-US"/>
        </w:rPr>
        <w:t>hile trying to follow her logic of reasoning, she, in the process changes tu</w:t>
      </w:r>
      <w:r>
        <w:rPr>
          <w:rFonts w:ascii="Arial" w:hAnsi="Arial" w:cs="Arial"/>
          <w:color w:val="000000"/>
          <w:shd w:val="clear" w:color="auto" w:fill="FFFFFF"/>
          <w:lang w:val="en-US"/>
        </w:rPr>
        <w:t>ne</w:t>
      </w:r>
      <w:r w:rsidRPr="004B1A03">
        <w:rPr>
          <w:rFonts w:ascii="Arial" w:hAnsi="Arial" w:cs="Arial"/>
          <w:color w:val="000000"/>
          <w:shd w:val="clear" w:color="auto" w:fill="FFFFFF"/>
          <w:lang w:val="en-US"/>
        </w:rPr>
        <w:t xml:space="preserve"> and contends </w:t>
      </w:r>
      <w:r>
        <w:rPr>
          <w:rFonts w:ascii="Arial" w:hAnsi="Arial" w:cs="Arial"/>
          <w:color w:val="000000"/>
          <w:shd w:val="clear" w:color="auto" w:fill="FFFFFF"/>
          <w:lang w:val="en-US"/>
        </w:rPr>
        <w:t xml:space="preserve">that </w:t>
      </w:r>
      <w:r w:rsidRPr="004B1A03">
        <w:rPr>
          <w:rFonts w:ascii="Arial" w:hAnsi="Arial" w:cs="Arial"/>
          <w:color w:val="000000"/>
          <w:shd w:val="clear" w:color="auto" w:fill="FFFFFF"/>
          <w:lang w:val="en-US"/>
        </w:rPr>
        <w:t>she was demoted in that she was transferred to another</w:t>
      </w:r>
      <w:r>
        <w:rPr>
          <w:rFonts w:ascii="Arial" w:hAnsi="Arial" w:cs="Arial"/>
          <w:color w:val="000000"/>
          <w:shd w:val="clear" w:color="auto" w:fill="FFFFFF"/>
          <w:lang w:val="en-US"/>
        </w:rPr>
        <w:t xml:space="preserve"> division.</w:t>
      </w:r>
      <w:r w:rsidRPr="004B1A03">
        <w:rPr>
          <w:rFonts w:ascii="Arial" w:hAnsi="Arial" w:cs="Arial"/>
          <w:color w:val="000000"/>
          <w:shd w:val="clear" w:color="auto" w:fill="FFFFFF"/>
          <w:lang w:val="en-US"/>
        </w:rPr>
        <w:t xml:space="preserve"> Let me deal with </w:t>
      </w:r>
      <w:r>
        <w:rPr>
          <w:rFonts w:ascii="Arial" w:hAnsi="Arial" w:cs="Arial"/>
          <w:color w:val="000000"/>
          <w:shd w:val="clear" w:color="auto" w:fill="FFFFFF"/>
          <w:lang w:val="en-US"/>
        </w:rPr>
        <w:t xml:space="preserve">the </w:t>
      </w:r>
      <w:r w:rsidRPr="004B1A03">
        <w:rPr>
          <w:rFonts w:ascii="Arial" w:hAnsi="Arial" w:cs="Arial"/>
          <w:color w:val="000000"/>
          <w:shd w:val="clear" w:color="auto" w:fill="FFFFFF"/>
          <w:lang w:val="en-US"/>
        </w:rPr>
        <w:t xml:space="preserve">issue of demotion which arises out of a transfer or appointment of Ms Maletswa. It is common cause that she requested a transfer to another division which was duly granted. It is common cause that her salary was never reduced. It is common cause that she was never formally appointed to an acting position. It is further common cause </w:t>
      </w:r>
      <w:r>
        <w:rPr>
          <w:rFonts w:ascii="Arial" w:hAnsi="Arial" w:cs="Arial"/>
          <w:color w:val="000000"/>
          <w:shd w:val="clear" w:color="auto" w:fill="FFFFFF"/>
          <w:lang w:val="en-US"/>
        </w:rPr>
        <w:t xml:space="preserve">that </w:t>
      </w:r>
      <w:r w:rsidRPr="004B1A03">
        <w:rPr>
          <w:rFonts w:ascii="Arial" w:hAnsi="Arial" w:cs="Arial"/>
          <w:color w:val="000000"/>
          <w:shd w:val="clear" w:color="auto" w:fill="FFFFFF"/>
          <w:lang w:val="en-US"/>
        </w:rPr>
        <w:t>she was never remunerated for the alleged acting post. It is trite that demotion lies in a diminution of remuneration levels, fringe benefits, status, different levels of responsibility or authority, or power. Therefore, the issue of demotion does not arise</w:t>
      </w:r>
      <w:r>
        <w:rPr>
          <w:rFonts w:ascii="Arial" w:hAnsi="Arial" w:cs="Arial"/>
          <w:color w:val="000000"/>
          <w:shd w:val="clear" w:color="auto" w:fill="FFFFFF"/>
          <w:lang w:val="en-US"/>
        </w:rPr>
        <w:t xml:space="preserve"> under these circumstances</w:t>
      </w:r>
      <w:r w:rsidRPr="004B1A03">
        <w:rPr>
          <w:rFonts w:ascii="Arial" w:hAnsi="Arial" w:cs="Arial"/>
          <w:color w:val="000000"/>
          <w:shd w:val="clear" w:color="auto" w:fill="FFFFFF"/>
          <w:lang w:val="en-US"/>
        </w:rPr>
        <w:t xml:space="preserve">. </w:t>
      </w:r>
    </w:p>
    <w:p w14:paraId="0D98D9EA" w14:textId="77777777" w:rsidR="00572404" w:rsidRDefault="00572404" w:rsidP="00572404">
      <w:pPr>
        <w:pStyle w:val="NormalWeb"/>
        <w:spacing w:line="360" w:lineRule="auto"/>
        <w:ind w:left="1060" w:hanging="720"/>
        <w:jc w:val="both"/>
        <w:rPr>
          <w:rFonts w:ascii="Arial" w:hAnsi="Arial" w:cs="Arial"/>
          <w:color w:val="000000"/>
          <w:shd w:val="clear" w:color="auto" w:fill="FFFFFF"/>
          <w:lang w:val="en-US"/>
        </w:rPr>
      </w:pPr>
    </w:p>
    <w:p w14:paraId="3BEC94C3" w14:textId="77777777" w:rsidR="00572404" w:rsidRDefault="00572404" w:rsidP="00572404">
      <w:pPr>
        <w:pStyle w:val="NormalWeb"/>
        <w:spacing w:line="360" w:lineRule="auto"/>
        <w:ind w:left="1060" w:hanging="720"/>
        <w:jc w:val="both"/>
        <w:rPr>
          <w:rFonts w:ascii="Arial" w:hAnsi="Arial" w:cs="Arial"/>
          <w:color w:val="000000"/>
          <w:shd w:val="clear" w:color="auto" w:fill="FFFFFF"/>
          <w:lang w:val="en-US"/>
        </w:rPr>
      </w:pPr>
      <w:r>
        <w:rPr>
          <w:rFonts w:ascii="Arial" w:hAnsi="Arial" w:cs="Arial"/>
          <w:color w:val="000000"/>
          <w:shd w:val="clear" w:color="auto" w:fill="FFFFFF"/>
          <w:lang w:val="en-US"/>
        </w:rPr>
        <w:t>[31]</w:t>
      </w:r>
      <w:r>
        <w:rPr>
          <w:rFonts w:ascii="Arial" w:hAnsi="Arial" w:cs="Arial"/>
          <w:color w:val="000000"/>
          <w:shd w:val="clear" w:color="auto" w:fill="FFFFFF"/>
          <w:lang w:val="en-US"/>
        </w:rPr>
        <w:tab/>
        <w:t xml:space="preserve">The applicant also brought in the issue of discrimination that she was discriminated against on the basis of race. This was just a bold statement with no substantiation. In support of this contention, it was simply that the applicant is white and Ms Maletswa is black. I must emphasize that the allegations of racism should not be made frivolously. </w:t>
      </w:r>
      <w:r w:rsidRPr="00E07A78">
        <w:rPr>
          <w:rFonts w:ascii="Arial" w:hAnsi="Arial" w:cs="Arial"/>
          <w:color w:val="000000"/>
          <w:shd w:val="clear" w:color="auto" w:fill="FFFFFF"/>
          <w:lang w:val="en-US"/>
        </w:rPr>
        <w:t>This country has a painful historical past. Issues pertaining to racism should be genuine, not for cheap politicking</w:t>
      </w:r>
      <w:r>
        <w:rPr>
          <w:rFonts w:ascii="Arial" w:hAnsi="Arial" w:cs="Arial"/>
          <w:color w:val="000000"/>
          <w:shd w:val="clear" w:color="auto" w:fill="FFFFFF"/>
          <w:lang w:val="en-US"/>
        </w:rPr>
        <w:t xml:space="preserve">. The applicant was, in this regard, clutching at straws. </w:t>
      </w:r>
    </w:p>
    <w:p w14:paraId="7E13E3DD" w14:textId="77777777" w:rsidR="00572404" w:rsidRDefault="00572404" w:rsidP="00572404">
      <w:pPr>
        <w:pStyle w:val="NormalWeb"/>
        <w:spacing w:line="360" w:lineRule="auto"/>
        <w:ind w:left="1060" w:hanging="720"/>
        <w:jc w:val="both"/>
        <w:rPr>
          <w:rFonts w:ascii="Arial" w:hAnsi="Arial" w:cs="Arial"/>
          <w:color w:val="000000"/>
          <w:shd w:val="clear" w:color="auto" w:fill="FFFFFF"/>
          <w:lang w:val="en-US"/>
        </w:rPr>
      </w:pPr>
    </w:p>
    <w:p w14:paraId="5C198C1F" w14:textId="77777777" w:rsidR="00572404" w:rsidRDefault="00572404" w:rsidP="00572404">
      <w:pPr>
        <w:pStyle w:val="NormalWeb"/>
        <w:spacing w:line="360" w:lineRule="auto"/>
        <w:ind w:left="1060" w:hanging="720"/>
        <w:jc w:val="both"/>
        <w:rPr>
          <w:rFonts w:ascii="Arial" w:eastAsia="Calibri" w:hAnsi="Arial" w:cs="Arial"/>
        </w:rPr>
      </w:pPr>
      <w:r>
        <w:rPr>
          <w:rFonts w:ascii="Arial" w:hAnsi="Arial" w:cs="Arial"/>
          <w:color w:val="000000"/>
          <w:shd w:val="clear" w:color="auto" w:fill="FFFFFF"/>
          <w:lang w:val="en-US"/>
        </w:rPr>
        <w:t>[32]</w:t>
      </w:r>
      <w:r>
        <w:rPr>
          <w:rFonts w:ascii="Arial" w:hAnsi="Arial" w:cs="Arial"/>
          <w:color w:val="000000"/>
          <w:shd w:val="clear" w:color="auto" w:fill="FFFFFF"/>
          <w:lang w:val="en-US"/>
        </w:rPr>
        <w:tab/>
        <w:t xml:space="preserve">The last issue, as raised by the applicant, is the IPMS ratings.  </w:t>
      </w:r>
      <w:r w:rsidRPr="00560A2D">
        <w:rPr>
          <w:rFonts w:ascii="Arial" w:eastAsia="Calibri" w:hAnsi="Arial" w:cs="Arial"/>
        </w:rPr>
        <w:t>The</w:t>
      </w:r>
      <w:r>
        <w:rPr>
          <w:rFonts w:ascii="Arial" w:eastAsia="Calibri" w:hAnsi="Arial" w:cs="Arial"/>
        </w:rPr>
        <w:t xml:space="preserve"> contention</w:t>
      </w:r>
      <w:r w:rsidRPr="00560A2D">
        <w:rPr>
          <w:rFonts w:ascii="Arial" w:eastAsia="Calibri" w:hAnsi="Arial" w:cs="Arial"/>
        </w:rPr>
        <w:t xml:space="preserve"> on the</w:t>
      </w:r>
      <w:r>
        <w:rPr>
          <w:rFonts w:ascii="Arial" w:eastAsia="Calibri" w:hAnsi="Arial" w:cs="Arial"/>
        </w:rPr>
        <w:t xml:space="preserve"> </w:t>
      </w:r>
      <w:r w:rsidRPr="00560A2D">
        <w:rPr>
          <w:rFonts w:ascii="Arial" w:eastAsia="Calibri" w:hAnsi="Arial" w:cs="Arial"/>
        </w:rPr>
        <w:t xml:space="preserve">issue relating to IPMS was that the applicant’s IPMS rating </w:t>
      </w:r>
      <w:r w:rsidRPr="00560A2D">
        <w:rPr>
          <w:rFonts w:ascii="Arial" w:eastAsia="Calibri" w:hAnsi="Arial" w:cs="Arial"/>
        </w:rPr>
        <w:lastRenderedPageBreak/>
        <w:t xml:space="preserve">prior to 2014 was always at level 4, for two consecutive years, </w:t>
      </w:r>
      <w:r>
        <w:rPr>
          <w:rFonts w:ascii="Arial" w:eastAsia="Calibri" w:hAnsi="Arial" w:cs="Arial"/>
        </w:rPr>
        <w:t xml:space="preserve">and </w:t>
      </w:r>
      <w:r w:rsidRPr="00560A2D">
        <w:rPr>
          <w:rFonts w:ascii="Arial" w:eastAsia="Calibri" w:hAnsi="Arial" w:cs="Arial"/>
        </w:rPr>
        <w:t>a decrease from 4 to 3 category was irrational for the period</w:t>
      </w:r>
      <w:r>
        <w:rPr>
          <w:rFonts w:ascii="Arial" w:eastAsia="Calibri" w:hAnsi="Arial" w:cs="Arial"/>
        </w:rPr>
        <w:t>s</w:t>
      </w:r>
      <w:r w:rsidRPr="00560A2D">
        <w:rPr>
          <w:rFonts w:ascii="Arial" w:eastAsia="Calibri" w:hAnsi="Arial" w:cs="Arial"/>
        </w:rPr>
        <w:t xml:space="preserve"> 2013/2014 and 2014/2015.</w:t>
      </w:r>
      <w:r>
        <w:rPr>
          <w:rFonts w:ascii="Arial" w:eastAsia="Calibri" w:hAnsi="Arial" w:cs="Arial"/>
        </w:rPr>
        <w:t xml:space="preserve"> I must say that there was no further information placed before court for consideration. This court was not appraised as to how the IPMS rating works. </w:t>
      </w:r>
      <w:r w:rsidRPr="00560A2D">
        <w:rPr>
          <w:rFonts w:ascii="Arial" w:eastAsia="Calibri" w:hAnsi="Arial" w:cs="Arial"/>
        </w:rPr>
        <w:t xml:space="preserve"> </w:t>
      </w:r>
      <w:r>
        <w:rPr>
          <w:rFonts w:ascii="Arial" w:eastAsia="Calibri" w:hAnsi="Arial" w:cs="Arial"/>
        </w:rPr>
        <w:t xml:space="preserve">No information was provided about the policy governing IPMS ratings, if there is any. No information was provided as to how the first respondent stumbled vis-à-vis the existing policy. The applicant’s counsel correctly conceded that there was no sufficient record before court in relation to the IPMS. </w:t>
      </w:r>
    </w:p>
    <w:p w14:paraId="5B215E65" w14:textId="77777777" w:rsidR="00572404" w:rsidRDefault="00572404" w:rsidP="00572404">
      <w:pPr>
        <w:pStyle w:val="NoSpacing"/>
      </w:pPr>
    </w:p>
    <w:p w14:paraId="2A2F406E" w14:textId="77777777" w:rsidR="00572404"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[33]</w:t>
      </w:r>
      <w:r>
        <w:rPr>
          <w:rFonts w:ascii="Arial" w:eastAsia="Calibri" w:hAnsi="Arial" w:cs="Arial"/>
        </w:rPr>
        <w:tab/>
        <w:t xml:space="preserve">I must also say that this court was urged to determine the matter fully and not remit it back for consideration </w:t>
      </w:r>
      <w:r w:rsidRPr="00035942">
        <w:rPr>
          <w:rFonts w:ascii="Arial" w:eastAsia="Calibri" w:hAnsi="Arial" w:cs="Arial"/>
          <w:i/>
          <w:iCs/>
        </w:rPr>
        <w:t>de novo</w:t>
      </w:r>
      <w:r>
        <w:rPr>
          <w:rFonts w:ascii="Arial" w:eastAsia="Calibri" w:hAnsi="Arial" w:cs="Arial"/>
        </w:rPr>
        <w:t xml:space="preserve">. Indeed, I agree. Where the applicant has failed to establish her case, it axiomatically follows that her application must fail. </w:t>
      </w:r>
    </w:p>
    <w:p w14:paraId="71C77979" w14:textId="77777777" w:rsidR="00572404" w:rsidRDefault="00572404" w:rsidP="00572404">
      <w:pPr>
        <w:pStyle w:val="NoSpacing"/>
      </w:pPr>
    </w:p>
    <w:p w14:paraId="0C8C1C08" w14:textId="77777777" w:rsidR="00572404"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[34]</w:t>
      </w:r>
      <w:r>
        <w:rPr>
          <w:rFonts w:ascii="Arial" w:eastAsia="Calibri" w:hAnsi="Arial" w:cs="Arial"/>
        </w:rPr>
        <w:tab/>
        <w:t xml:space="preserve">Perhaps, a few issues warrant consideration based on what is available before court.  </w:t>
      </w:r>
      <w:r w:rsidRPr="00FC7849">
        <w:rPr>
          <w:rFonts w:ascii="Arial" w:hAnsi="Arial" w:cs="Arial"/>
          <w:color w:val="000000"/>
        </w:rPr>
        <w:t>The applicant rated herself by giving herself the score she subjectively wanted. As already stated, one is not appraised of the policy in this regard, but what baffles my mind is, how a person</w:t>
      </w:r>
      <w:r>
        <w:rPr>
          <w:rFonts w:ascii="Arial" w:hAnsi="Arial" w:cs="Arial"/>
          <w:color w:val="000000"/>
        </w:rPr>
        <w:t xml:space="preserve"> can</w:t>
      </w:r>
      <w:r w:rsidRPr="00FC7849">
        <w:rPr>
          <w:rFonts w:ascii="Arial" w:hAnsi="Arial" w:cs="Arial"/>
          <w:color w:val="000000"/>
        </w:rPr>
        <w:t xml:space="preserve"> rate himself or herself to the highest point, when reduced to a lower point, then question the rationality of the other, while his or her rationality is left unquestioned</w:t>
      </w:r>
      <w:r>
        <w:rPr>
          <w:rFonts w:ascii="Arial" w:hAnsi="Arial" w:cs="Arial"/>
          <w:color w:val="000000"/>
        </w:rPr>
        <w:t>.</w:t>
      </w:r>
      <w:r w:rsidRPr="00FC7849">
        <w:rPr>
          <w:rFonts w:ascii="Arial" w:hAnsi="Arial" w:cs="Arial"/>
          <w:color w:val="000000"/>
        </w:rPr>
        <w:t xml:space="preserve"> In my view, previous work performance cannot be used as a yardstick. Otherwise, there will be no need for an annual performance evaluation.</w:t>
      </w:r>
    </w:p>
    <w:p w14:paraId="761C2928" w14:textId="77777777" w:rsidR="00572404" w:rsidRDefault="00572404" w:rsidP="00572404">
      <w:pPr>
        <w:pStyle w:val="NoSpacing"/>
      </w:pPr>
    </w:p>
    <w:p w14:paraId="3163E3F6" w14:textId="77777777" w:rsidR="00572404" w:rsidRDefault="00572404" w:rsidP="00572404">
      <w:pPr>
        <w:pStyle w:val="NormalWeb"/>
        <w:spacing w:line="360" w:lineRule="auto"/>
        <w:ind w:left="1060" w:hanging="720"/>
        <w:jc w:val="both"/>
        <w:rPr>
          <w:rFonts w:ascii="Arial" w:eastAsia="Calibri" w:hAnsi="Arial" w:cs="Arial"/>
        </w:rPr>
      </w:pPr>
      <w:r>
        <w:rPr>
          <w:rFonts w:ascii="Arial" w:eastAsia="Calibri" w:hAnsi="Arial" w:cs="Arial"/>
        </w:rPr>
        <w:t>[35]</w:t>
      </w:r>
      <w:r>
        <w:rPr>
          <w:rFonts w:ascii="Arial" w:eastAsia="Calibri" w:hAnsi="Arial" w:cs="Arial"/>
        </w:rPr>
        <w:tab/>
        <w:t xml:space="preserve">Regrettably, the applicant has not made a convincing case to this court on all fronts. </w:t>
      </w:r>
    </w:p>
    <w:p w14:paraId="602D14BB" w14:textId="77777777" w:rsidR="00572404" w:rsidRPr="00DC6F55" w:rsidRDefault="00572404" w:rsidP="00572404">
      <w:pPr>
        <w:pStyle w:val="NormalWeb"/>
        <w:spacing w:line="360" w:lineRule="auto"/>
        <w:ind w:left="1060" w:hanging="720"/>
        <w:jc w:val="both"/>
        <w:rPr>
          <w:rFonts w:ascii="Arial" w:eastAsia="Calibri" w:hAnsi="Arial" w:cs="Arial"/>
        </w:rPr>
      </w:pPr>
    </w:p>
    <w:p w14:paraId="3C8124E6" w14:textId="77777777" w:rsidR="00572404" w:rsidRDefault="00572404" w:rsidP="00572404">
      <w:pPr>
        <w:pStyle w:val="NormalWeb"/>
        <w:spacing w:line="360" w:lineRule="auto"/>
        <w:ind w:firstLine="340"/>
        <w:jc w:val="both"/>
        <w:rPr>
          <w:rFonts w:ascii="Arial" w:eastAsia="Calibri" w:hAnsi="Arial" w:cs="Arial"/>
          <w:b/>
          <w:bCs/>
          <w:lang w:val="en-GB"/>
        </w:rPr>
      </w:pPr>
      <w:r w:rsidRPr="00F510E4">
        <w:rPr>
          <w:rFonts w:ascii="Arial" w:eastAsia="Calibri" w:hAnsi="Arial" w:cs="Arial"/>
          <w:b/>
          <w:bCs/>
          <w:lang w:val="en-GB"/>
        </w:rPr>
        <w:t>Costs</w:t>
      </w:r>
    </w:p>
    <w:p w14:paraId="417152A9" w14:textId="77777777" w:rsidR="00572404" w:rsidRDefault="00572404" w:rsidP="00572404">
      <w:pPr>
        <w:pStyle w:val="NormalWeb"/>
        <w:spacing w:line="360" w:lineRule="auto"/>
        <w:ind w:firstLine="340"/>
        <w:jc w:val="both"/>
        <w:rPr>
          <w:rFonts w:ascii="Arial" w:eastAsia="Calibri" w:hAnsi="Arial" w:cs="Arial"/>
          <w:b/>
          <w:bCs/>
          <w:lang w:val="en-GB"/>
        </w:rPr>
      </w:pPr>
    </w:p>
    <w:p w14:paraId="337D05B2" w14:textId="77777777" w:rsidR="00572404" w:rsidRPr="00F510E4" w:rsidRDefault="00572404" w:rsidP="00572404">
      <w:pPr>
        <w:pStyle w:val="NormalWeb"/>
        <w:spacing w:line="360" w:lineRule="auto"/>
        <w:ind w:left="1060" w:hanging="720"/>
        <w:jc w:val="both"/>
        <w:rPr>
          <w:rFonts w:ascii="Arial" w:eastAsia="Calibri" w:hAnsi="Arial" w:cs="Arial"/>
          <w:b/>
          <w:bCs/>
          <w:lang w:val="en-GB"/>
        </w:rPr>
      </w:pPr>
      <w:r w:rsidRPr="00D4742E">
        <w:rPr>
          <w:rFonts w:ascii="Arial" w:eastAsia="Calibri" w:hAnsi="Arial" w:cs="Arial"/>
          <w:lang w:val="en-GB"/>
        </w:rPr>
        <w:t>[</w:t>
      </w:r>
      <w:r>
        <w:rPr>
          <w:rFonts w:ascii="Arial" w:eastAsia="Calibri" w:hAnsi="Arial" w:cs="Arial"/>
          <w:lang w:val="en-GB"/>
        </w:rPr>
        <w:t>36</w:t>
      </w:r>
      <w:r w:rsidRPr="00D4742E">
        <w:rPr>
          <w:rFonts w:ascii="Arial" w:eastAsia="Calibri" w:hAnsi="Arial" w:cs="Arial"/>
          <w:lang w:val="en-GB"/>
        </w:rPr>
        <w:t>]</w:t>
      </w:r>
      <w:r>
        <w:rPr>
          <w:rFonts w:ascii="Arial" w:eastAsia="Calibri" w:hAnsi="Arial" w:cs="Arial"/>
          <w:b/>
          <w:bCs/>
          <w:lang w:val="en-GB"/>
        </w:rPr>
        <w:tab/>
      </w:r>
      <w:r w:rsidRPr="00CC2301">
        <w:rPr>
          <w:rFonts w:ascii="Arial" w:hAnsi="Arial" w:cs="Arial"/>
          <w:color w:val="242121"/>
          <w:lang w:val="en-US"/>
        </w:rPr>
        <w:t xml:space="preserve">What remains is the question of costs. </w:t>
      </w:r>
      <w:r>
        <w:rPr>
          <w:rFonts w:ascii="Arial" w:hAnsi="Arial" w:cs="Arial"/>
          <w:color w:val="242121"/>
        </w:rPr>
        <w:t xml:space="preserve">The general rule is that the successful party should be given his costs, and this rule should not be departed from, </w:t>
      </w:r>
      <w:r>
        <w:rPr>
          <w:rFonts w:ascii="Arial" w:hAnsi="Arial" w:cs="Arial"/>
          <w:color w:val="242121"/>
        </w:rPr>
        <w:lastRenderedPageBreak/>
        <w:t>except where there are good grounds for doing so. In this matter, there is nothing that warrants deviation from the general rule.</w:t>
      </w:r>
    </w:p>
    <w:p w14:paraId="5E505182" w14:textId="77777777" w:rsidR="00572404" w:rsidRPr="00483B4D" w:rsidRDefault="00572404" w:rsidP="00572404">
      <w:pPr>
        <w:pStyle w:val="NormalWeb"/>
        <w:spacing w:line="360" w:lineRule="auto"/>
        <w:ind w:left="1060" w:hanging="720"/>
        <w:jc w:val="both"/>
        <w:rPr>
          <w:rFonts w:ascii="Arial" w:eastAsia="Calibri" w:hAnsi="Arial" w:cs="Arial"/>
          <w:lang w:val="en-GB"/>
        </w:rPr>
      </w:pPr>
    </w:p>
    <w:p w14:paraId="4A53CBE2" w14:textId="77777777" w:rsidR="00572404" w:rsidRPr="006D67F4" w:rsidRDefault="00572404" w:rsidP="00572404">
      <w:pPr>
        <w:spacing w:line="360" w:lineRule="auto"/>
        <w:ind w:left="1060" w:hanging="720"/>
        <w:jc w:val="both"/>
        <w:rPr>
          <w:rFonts w:ascii="Arial" w:hAnsi="Arial" w:cs="Arial"/>
          <w:b/>
          <w:bCs/>
          <w:color w:val="242121"/>
        </w:rPr>
      </w:pPr>
      <w:r w:rsidRPr="006D67F4">
        <w:rPr>
          <w:rFonts w:ascii="Arial" w:hAnsi="Arial" w:cs="Arial"/>
          <w:b/>
          <w:bCs/>
          <w:color w:val="242121"/>
        </w:rPr>
        <w:t>Order</w:t>
      </w:r>
    </w:p>
    <w:p w14:paraId="0BC166E9" w14:textId="77777777" w:rsidR="00572404" w:rsidRDefault="00572404" w:rsidP="00572404">
      <w:pPr>
        <w:spacing w:line="360" w:lineRule="auto"/>
        <w:ind w:left="1060" w:hanging="720"/>
        <w:jc w:val="both"/>
        <w:rPr>
          <w:rFonts w:ascii="Arial" w:hAnsi="Arial" w:cs="Arial"/>
          <w:color w:val="242121"/>
        </w:rPr>
      </w:pPr>
    </w:p>
    <w:p w14:paraId="1595A8E7" w14:textId="77777777" w:rsidR="00572404" w:rsidRPr="006D67F4" w:rsidRDefault="00572404" w:rsidP="00572404">
      <w:pPr>
        <w:spacing w:line="360" w:lineRule="auto"/>
        <w:ind w:left="1060" w:hanging="720"/>
        <w:jc w:val="both"/>
        <w:rPr>
          <w:rFonts w:ascii="Arial" w:hAnsi="Arial" w:cs="Arial"/>
        </w:rPr>
      </w:pPr>
      <w:r w:rsidRPr="00CC2301">
        <w:rPr>
          <w:rFonts w:ascii="Arial" w:eastAsia="Calibri" w:hAnsi="Arial" w:cs="Arial"/>
        </w:rPr>
        <w:t>[</w:t>
      </w:r>
      <w:r>
        <w:rPr>
          <w:rFonts w:ascii="Arial" w:eastAsia="Calibri" w:hAnsi="Arial" w:cs="Arial"/>
        </w:rPr>
        <w:t>37</w:t>
      </w:r>
      <w:r w:rsidRPr="00CC2301">
        <w:rPr>
          <w:rFonts w:ascii="Arial" w:eastAsia="Calibri" w:hAnsi="Arial" w:cs="Arial"/>
        </w:rPr>
        <w:t>]</w:t>
      </w:r>
      <w:r w:rsidRPr="00CC2301">
        <w:rPr>
          <w:rFonts w:ascii="Arial" w:eastAsia="Calibri" w:hAnsi="Arial" w:cs="Arial"/>
        </w:rPr>
        <w:tab/>
      </w:r>
      <w:r>
        <w:rPr>
          <w:rFonts w:ascii="Arial" w:hAnsi="Arial" w:cs="Arial"/>
          <w:color w:val="313131"/>
        </w:rPr>
        <w:t>In the result</w:t>
      </w:r>
      <w:r w:rsidRPr="00CC2301">
        <w:rPr>
          <w:rFonts w:ascii="Arial" w:hAnsi="Arial" w:cs="Arial"/>
          <w:color w:val="313131"/>
        </w:rPr>
        <w:t>, the following order is made:</w:t>
      </w:r>
    </w:p>
    <w:p w14:paraId="297D587F" w14:textId="77777777" w:rsidR="00572404" w:rsidRPr="00CC2301" w:rsidRDefault="00572404" w:rsidP="00572404">
      <w:pPr>
        <w:pStyle w:val="NoSpacing"/>
      </w:pPr>
    </w:p>
    <w:p w14:paraId="48B8CAEA" w14:textId="378A79B8" w:rsidR="00572404" w:rsidRPr="003B2A0C" w:rsidRDefault="00BC2CCD" w:rsidP="00BC2CCD">
      <w:pPr>
        <w:pStyle w:val="western"/>
        <w:autoSpaceDE w:val="0"/>
        <w:autoSpaceDN w:val="0"/>
        <w:adjustRightInd w:val="0"/>
        <w:spacing w:line="360" w:lineRule="auto"/>
        <w:ind w:left="1854" w:hanging="720"/>
        <w:jc w:val="both"/>
        <w:rPr>
          <w:rFonts w:ascii="Verdana" w:hAnsi="Verdana"/>
          <w:color w:val="242121"/>
        </w:rPr>
      </w:pPr>
      <w:r w:rsidRPr="003B2A0C">
        <w:rPr>
          <w:rFonts w:ascii="Arial" w:hAnsi="Arial" w:cs="Arial"/>
          <w:color w:val="242121"/>
        </w:rPr>
        <w:t>(i)</w:t>
      </w:r>
      <w:r w:rsidRPr="003B2A0C">
        <w:rPr>
          <w:rFonts w:ascii="Arial" w:hAnsi="Arial" w:cs="Arial"/>
          <w:color w:val="242121"/>
        </w:rPr>
        <w:tab/>
      </w:r>
      <w:r w:rsidR="00572404" w:rsidRPr="003B2A0C">
        <w:rPr>
          <w:rFonts w:ascii="Arial" w:hAnsi="Arial" w:cs="Arial"/>
          <w:color w:val="313131"/>
        </w:rPr>
        <w:t>The application is dismissed with costs.</w:t>
      </w:r>
      <w:r w:rsidR="00572404" w:rsidRPr="003B2A0C">
        <w:rPr>
          <w:rFonts w:ascii="Verdana" w:hAnsi="Verdana"/>
          <w:color w:val="242121"/>
        </w:rPr>
        <w:tab/>
        <w:t xml:space="preserve">   </w:t>
      </w:r>
      <w:r w:rsidR="00572404" w:rsidRPr="003B2A0C">
        <w:rPr>
          <w:rFonts w:ascii="Verdana" w:hAnsi="Verdana"/>
          <w:color w:val="242121"/>
        </w:rPr>
        <w:tab/>
      </w:r>
    </w:p>
    <w:p w14:paraId="744D577C" w14:textId="77777777" w:rsidR="00572404" w:rsidRPr="009C6A65" w:rsidRDefault="00572404" w:rsidP="00572404">
      <w:pPr>
        <w:shd w:val="clear" w:color="auto" w:fill="FFFFFF"/>
        <w:spacing w:line="360" w:lineRule="auto"/>
        <w:jc w:val="right"/>
        <w:rPr>
          <w:rFonts w:ascii="Arial" w:hAnsi="Arial" w:cs="Arial"/>
          <w:sz w:val="28"/>
          <w:szCs w:val="28"/>
        </w:rPr>
      </w:pPr>
    </w:p>
    <w:p w14:paraId="56222023" w14:textId="77777777" w:rsidR="00572404" w:rsidRPr="00012A61" w:rsidRDefault="00572404" w:rsidP="00572404">
      <w:pPr>
        <w:keepNext/>
        <w:keepLines/>
        <w:tabs>
          <w:tab w:val="left" w:pos="0"/>
        </w:tabs>
        <w:spacing w:before="240" w:after="200" w:line="360" w:lineRule="auto"/>
        <w:ind w:left="1211"/>
        <w:contextualSpacing/>
        <w:jc w:val="right"/>
        <w:rPr>
          <w:rFonts w:ascii="Arial" w:hAnsi="Arial" w:cs="Arial"/>
          <w:b/>
          <w:u w:val="single"/>
          <w:lang w:eastAsia="en-US"/>
        </w:rPr>
      </w:pPr>
      <w:r w:rsidRPr="00012A61">
        <w:rPr>
          <w:rFonts w:ascii="Arial" w:hAnsi="Arial" w:cs="Arial"/>
          <w:b/>
          <w:u w:val="single"/>
          <w:lang w:eastAsia="en-US"/>
        </w:rPr>
        <w:t>____________________________</w:t>
      </w:r>
    </w:p>
    <w:p w14:paraId="7637D4B9" w14:textId="77777777" w:rsidR="00572404" w:rsidRPr="00012A61" w:rsidRDefault="00572404" w:rsidP="00572404">
      <w:pPr>
        <w:keepNext/>
        <w:spacing w:after="200" w:line="360" w:lineRule="auto"/>
        <w:ind w:left="1211"/>
        <w:contextualSpacing/>
        <w:jc w:val="right"/>
        <w:rPr>
          <w:rFonts w:ascii="Arial" w:hAnsi="Arial" w:cs="Arial"/>
          <w:b/>
          <w:lang w:eastAsia="en-US"/>
        </w:rPr>
      </w:pPr>
      <w:r>
        <w:rPr>
          <w:rFonts w:ascii="Arial" w:hAnsi="Arial" w:cs="Arial"/>
          <w:b/>
          <w:lang w:eastAsia="en-US"/>
        </w:rPr>
        <w:t>A.M. MTEMBU</w:t>
      </w:r>
      <w:r w:rsidRPr="00012A61">
        <w:rPr>
          <w:rFonts w:ascii="Arial" w:hAnsi="Arial" w:cs="Arial"/>
          <w:b/>
          <w:lang w:eastAsia="en-US"/>
        </w:rPr>
        <w:t xml:space="preserve"> </w:t>
      </w:r>
      <w:r>
        <w:rPr>
          <w:rFonts w:ascii="Arial" w:hAnsi="Arial" w:cs="Arial"/>
          <w:b/>
          <w:lang w:eastAsia="en-US"/>
        </w:rPr>
        <w:t>A</w:t>
      </w:r>
      <w:r w:rsidRPr="00012A61">
        <w:rPr>
          <w:rFonts w:ascii="Arial" w:hAnsi="Arial" w:cs="Arial"/>
          <w:b/>
          <w:lang w:eastAsia="en-US"/>
        </w:rPr>
        <w:t>J</w:t>
      </w:r>
    </w:p>
    <w:p w14:paraId="56E8C0A1" w14:textId="77777777" w:rsidR="00572404" w:rsidRPr="00012A61" w:rsidRDefault="00572404" w:rsidP="00572404">
      <w:pPr>
        <w:keepNext/>
        <w:spacing w:after="200" w:line="360" w:lineRule="auto"/>
        <w:ind w:left="1211"/>
        <w:contextualSpacing/>
        <w:jc w:val="right"/>
        <w:rPr>
          <w:rFonts w:ascii="Arial" w:hAnsi="Arial" w:cs="Arial"/>
          <w:i/>
          <w:lang w:eastAsia="en-US"/>
        </w:rPr>
      </w:pPr>
      <w:r>
        <w:rPr>
          <w:rFonts w:ascii="Arial" w:hAnsi="Arial" w:cs="Arial"/>
          <w:i/>
          <w:lang w:eastAsia="en-US"/>
        </w:rPr>
        <w:t xml:space="preserve">Acting </w:t>
      </w:r>
      <w:r w:rsidRPr="00012A61">
        <w:rPr>
          <w:rFonts w:ascii="Arial" w:hAnsi="Arial" w:cs="Arial"/>
          <w:i/>
          <w:lang w:eastAsia="en-US"/>
        </w:rPr>
        <w:t>Judge of the High Court of South Africa</w:t>
      </w:r>
    </w:p>
    <w:p w14:paraId="3A32D168" w14:textId="77777777" w:rsidR="00572404" w:rsidRPr="00C11873" w:rsidRDefault="00572404" w:rsidP="00572404">
      <w:pPr>
        <w:keepNext/>
        <w:spacing w:after="200" w:line="360" w:lineRule="auto"/>
        <w:ind w:left="1211"/>
        <w:contextualSpacing/>
        <w:jc w:val="right"/>
        <w:rPr>
          <w:rFonts w:ascii="Arial" w:hAnsi="Arial" w:cs="Arial"/>
          <w:b/>
        </w:rPr>
      </w:pPr>
      <w:r w:rsidRPr="00012A61">
        <w:rPr>
          <w:rFonts w:ascii="Arial" w:hAnsi="Arial" w:cs="Arial"/>
          <w:i/>
          <w:lang w:eastAsia="en-US"/>
        </w:rPr>
        <w:t>Gauteng Division, Pretoria</w:t>
      </w:r>
    </w:p>
    <w:p w14:paraId="4A98525B" w14:textId="77777777" w:rsidR="00572404" w:rsidRPr="00C11873" w:rsidRDefault="00572404" w:rsidP="00572404">
      <w:pPr>
        <w:spacing w:line="360" w:lineRule="auto"/>
        <w:ind w:firstLine="340"/>
        <w:rPr>
          <w:rFonts w:ascii="Arial" w:hAnsi="Arial" w:cs="Arial"/>
        </w:rPr>
      </w:pPr>
      <w:r w:rsidRPr="00C11873">
        <w:rPr>
          <w:rFonts w:ascii="Arial" w:hAnsi="Arial" w:cs="Arial"/>
          <w:b/>
        </w:rPr>
        <w:tab/>
      </w:r>
      <w:r w:rsidRPr="00C11873">
        <w:rPr>
          <w:rFonts w:ascii="Arial" w:hAnsi="Arial" w:cs="Arial"/>
        </w:rPr>
        <w:tab/>
      </w:r>
      <w:r w:rsidRPr="00C11873">
        <w:rPr>
          <w:rFonts w:ascii="Arial" w:hAnsi="Arial" w:cs="Arial"/>
        </w:rPr>
        <w:tab/>
      </w:r>
      <w:r w:rsidRPr="00C11873">
        <w:rPr>
          <w:rFonts w:ascii="Arial" w:hAnsi="Arial" w:cs="Arial"/>
        </w:rPr>
        <w:tab/>
      </w:r>
      <w:r w:rsidRPr="00C11873">
        <w:rPr>
          <w:rFonts w:ascii="Arial" w:hAnsi="Arial" w:cs="Arial"/>
          <w:b/>
        </w:rPr>
        <w:tab/>
      </w:r>
    </w:p>
    <w:p w14:paraId="509C4327" w14:textId="77777777" w:rsidR="00572404" w:rsidRDefault="00572404" w:rsidP="00572404">
      <w:pPr>
        <w:widowControl w:val="0"/>
        <w:autoSpaceDE w:val="0"/>
        <w:autoSpaceDN w:val="0"/>
        <w:adjustRightInd w:val="0"/>
        <w:spacing w:after="200" w:line="276" w:lineRule="auto"/>
        <w:ind w:left="340"/>
        <w:jc w:val="both"/>
        <w:rPr>
          <w:rFonts w:ascii="Arial" w:hAnsi="Arial" w:cs="Arial"/>
        </w:rPr>
      </w:pPr>
      <w:r w:rsidRPr="003B2A0C">
        <w:rPr>
          <w:rFonts w:ascii="Calibri" w:hAnsi="Calibri" w:cs="Calibri"/>
          <w:bCs/>
          <w:sz w:val="22"/>
          <w:szCs w:val="22"/>
          <w:lang w:eastAsia="en-ZA"/>
        </w:rPr>
        <w:t>"</w:t>
      </w:r>
      <w:r w:rsidRPr="003B2A0C">
        <w:rPr>
          <w:rFonts w:ascii="Calibri" w:hAnsi="Calibri" w:cs="Calibri"/>
          <w:i/>
          <w:sz w:val="22"/>
          <w:szCs w:val="22"/>
          <w:lang w:val="en-GB" w:eastAsia="en-ZA"/>
        </w:rPr>
        <w:t xml:space="preserve">This </w:t>
      </w:r>
      <w:r>
        <w:rPr>
          <w:rFonts w:ascii="Calibri" w:hAnsi="Calibri" w:cs="Calibri"/>
          <w:i/>
          <w:sz w:val="22"/>
          <w:szCs w:val="22"/>
          <w:lang w:val="en-GB" w:eastAsia="en-ZA"/>
        </w:rPr>
        <w:t>judgment</w:t>
      </w:r>
      <w:r w:rsidRPr="003B2A0C">
        <w:rPr>
          <w:rFonts w:ascii="Calibri" w:hAnsi="Calibri" w:cs="Calibri"/>
          <w:i/>
          <w:sz w:val="22"/>
          <w:szCs w:val="22"/>
          <w:lang w:val="en-GB" w:eastAsia="en-ZA"/>
        </w:rPr>
        <w:t xml:space="preserve"> </w:t>
      </w:r>
      <w:r>
        <w:rPr>
          <w:rFonts w:ascii="Calibri" w:hAnsi="Calibri" w:cs="Calibri"/>
          <w:i/>
          <w:sz w:val="22"/>
          <w:szCs w:val="22"/>
          <w:lang w:val="en-GB" w:eastAsia="en-ZA"/>
        </w:rPr>
        <w:t xml:space="preserve">was prepared and authored </w:t>
      </w:r>
      <w:r w:rsidRPr="003B2A0C">
        <w:rPr>
          <w:rFonts w:ascii="Calibri" w:hAnsi="Calibri" w:cs="Calibri"/>
          <w:i/>
          <w:sz w:val="22"/>
          <w:szCs w:val="22"/>
          <w:lang w:val="en-GB" w:eastAsia="en-ZA"/>
        </w:rPr>
        <w:t>by the Judge whose name is reflected herein, duly signed</w:t>
      </w:r>
      <w:r>
        <w:rPr>
          <w:rFonts w:ascii="Calibri" w:hAnsi="Calibri" w:cs="Calibri"/>
          <w:i/>
          <w:sz w:val="22"/>
          <w:szCs w:val="22"/>
          <w:lang w:val="en-GB" w:eastAsia="en-ZA"/>
        </w:rPr>
        <w:t>,</w:t>
      </w:r>
      <w:r w:rsidRPr="003B2A0C">
        <w:rPr>
          <w:rFonts w:ascii="Calibri" w:hAnsi="Calibri" w:cs="Calibri"/>
          <w:i/>
          <w:sz w:val="22"/>
          <w:szCs w:val="22"/>
          <w:lang w:val="en-GB" w:eastAsia="en-ZA"/>
        </w:rPr>
        <w:t xml:space="preserve"> and is submitted electronically to the Parties/their legal representatives by email. This </w:t>
      </w:r>
      <w:r>
        <w:rPr>
          <w:rFonts w:ascii="Calibri" w:hAnsi="Calibri" w:cs="Calibri"/>
          <w:i/>
          <w:sz w:val="22"/>
          <w:szCs w:val="22"/>
          <w:lang w:val="en-GB" w:eastAsia="en-ZA"/>
        </w:rPr>
        <w:t>judgment</w:t>
      </w:r>
      <w:r w:rsidRPr="003B2A0C">
        <w:rPr>
          <w:rFonts w:ascii="Calibri" w:hAnsi="Calibri" w:cs="Calibri"/>
          <w:i/>
          <w:sz w:val="22"/>
          <w:szCs w:val="22"/>
          <w:lang w:val="en-GB" w:eastAsia="en-ZA"/>
        </w:rPr>
        <w:t xml:space="preserve"> is further uploaded to the electronic file of this matter on Case Lines by the Judge or h</w:t>
      </w:r>
      <w:r>
        <w:rPr>
          <w:rFonts w:ascii="Calibri" w:hAnsi="Calibri" w:cs="Calibri"/>
          <w:i/>
          <w:sz w:val="22"/>
          <w:szCs w:val="22"/>
          <w:lang w:val="en-GB" w:eastAsia="en-ZA"/>
        </w:rPr>
        <w:t>is</w:t>
      </w:r>
      <w:r w:rsidRPr="003B2A0C">
        <w:rPr>
          <w:rFonts w:ascii="Calibri" w:hAnsi="Calibri" w:cs="Calibri"/>
          <w:i/>
          <w:sz w:val="22"/>
          <w:szCs w:val="22"/>
          <w:lang w:val="en-GB" w:eastAsia="en-ZA"/>
        </w:rPr>
        <w:t xml:space="preserve"> Secretary. The date of this </w:t>
      </w:r>
      <w:r>
        <w:rPr>
          <w:rFonts w:ascii="Calibri" w:hAnsi="Calibri" w:cs="Calibri"/>
          <w:i/>
          <w:sz w:val="22"/>
          <w:szCs w:val="22"/>
          <w:lang w:val="en-GB" w:eastAsia="en-ZA"/>
        </w:rPr>
        <w:t>judgment</w:t>
      </w:r>
      <w:r w:rsidRPr="003B2A0C">
        <w:rPr>
          <w:rFonts w:ascii="Calibri" w:hAnsi="Calibri" w:cs="Calibri"/>
          <w:i/>
          <w:sz w:val="22"/>
          <w:szCs w:val="22"/>
          <w:lang w:val="en-GB" w:eastAsia="en-ZA"/>
        </w:rPr>
        <w:t xml:space="preserve"> is deemed to be </w:t>
      </w:r>
      <w:r>
        <w:rPr>
          <w:rFonts w:ascii="Calibri" w:hAnsi="Calibri" w:cs="Calibri"/>
          <w:i/>
          <w:sz w:val="22"/>
          <w:szCs w:val="22"/>
          <w:lang w:val="en-GB" w:eastAsia="en-ZA"/>
        </w:rPr>
        <w:t>17</w:t>
      </w:r>
      <w:r w:rsidRPr="003B2A0C">
        <w:rPr>
          <w:rFonts w:ascii="Calibri" w:hAnsi="Calibri" w:cs="Calibri"/>
          <w:i/>
          <w:sz w:val="22"/>
          <w:szCs w:val="22"/>
          <w:lang w:val="en-GB" w:eastAsia="en-ZA"/>
        </w:rPr>
        <w:t xml:space="preserve"> Ju</w:t>
      </w:r>
      <w:r>
        <w:rPr>
          <w:rFonts w:ascii="Calibri" w:hAnsi="Calibri" w:cs="Calibri"/>
          <w:i/>
          <w:sz w:val="22"/>
          <w:szCs w:val="22"/>
          <w:lang w:val="en-GB" w:eastAsia="en-ZA"/>
        </w:rPr>
        <w:t>ly</w:t>
      </w:r>
      <w:r w:rsidRPr="003B2A0C">
        <w:rPr>
          <w:rFonts w:ascii="Calibri" w:hAnsi="Calibri" w:cs="Calibri"/>
          <w:i/>
          <w:sz w:val="22"/>
          <w:szCs w:val="22"/>
          <w:lang w:val="en-GB" w:eastAsia="en-ZA"/>
        </w:rPr>
        <w:t xml:space="preserve"> 2023."</w:t>
      </w:r>
    </w:p>
    <w:p w14:paraId="15C8FDB2" w14:textId="77777777" w:rsidR="00572404" w:rsidRDefault="00572404" w:rsidP="00572404">
      <w:pPr>
        <w:spacing w:line="360" w:lineRule="auto"/>
        <w:ind w:left="5040" w:hanging="4700"/>
        <w:jc w:val="both"/>
        <w:rPr>
          <w:rFonts w:ascii="Arial" w:hAnsi="Arial" w:cs="Arial"/>
        </w:rPr>
      </w:pPr>
    </w:p>
    <w:p w14:paraId="5AB956ED" w14:textId="77777777" w:rsidR="00572404" w:rsidRPr="00012A61" w:rsidRDefault="00572404" w:rsidP="00572404">
      <w:pPr>
        <w:spacing w:line="360" w:lineRule="auto"/>
        <w:ind w:left="5040" w:hanging="4700"/>
        <w:jc w:val="both"/>
        <w:rPr>
          <w:rFonts w:ascii="Arial" w:hAnsi="Arial" w:cs="Arial"/>
        </w:rPr>
      </w:pPr>
      <w:r w:rsidRPr="00012A61">
        <w:rPr>
          <w:rFonts w:ascii="Arial" w:hAnsi="Arial" w:cs="Arial"/>
        </w:rPr>
        <w:t xml:space="preserve">Counsel for the Applicant: Adv </w:t>
      </w:r>
      <w:r>
        <w:rPr>
          <w:rFonts w:ascii="Arial" w:hAnsi="Arial" w:cs="Arial"/>
        </w:rPr>
        <w:t>G L Van Der Westhuizen</w:t>
      </w:r>
    </w:p>
    <w:p w14:paraId="1348A3F5" w14:textId="77777777" w:rsidR="00572404" w:rsidRPr="00012A61" w:rsidRDefault="00572404" w:rsidP="00572404">
      <w:pPr>
        <w:spacing w:line="360" w:lineRule="auto"/>
        <w:ind w:left="5040" w:hanging="4700"/>
        <w:jc w:val="both"/>
        <w:rPr>
          <w:rFonts w:ascii="Arial" w:hAnsi="Arial" w:cs="Arial"/>
        </w:rPr>
      </w:pPr>
      <w:r w:rsidRPr="00012A61">
        <w:rPr>
          <w:rFonts w:ascii="Arial" w:hAnsi="Arial" w:cs="Arial"/>
        </w:rPr>
        <w:t xml:space="preserve">                                          </w:t>
      </w:r>
    </w:p>
    <w:p w14:paraId="64C6AA05" w14:textId="77777777" w:rsidR="00572404" w:rsidRPr="00012A61" w:rsidRDefault="00572404" w:rsidP="00572404">
      <w:pPr>
        <w:spacing w:line="360" w:lineRule="auto"/>
        <w:ind w:left="5040" w:hanging="4700"/>
        <w:jc w:val="both"/>
        <w:rPr>
          <w:rFonts w:ascii="Arial" w:hAnsi="Arial" w:cs="Arial"/>
        </w:rPr>
      </w:pPr>
    </w:p>
    <w:p w14:paraId="34756E9D" w14:textId="77777777" w:rsidR="00572404" w:rsidRPr="00012A61" w:rsidRDefault="00572404" w:rsidP="00572404">
      <w:pPr>
        <w:spacing w:line="360" w:lineRule="auto"/>
        <w:ind w:left="5040" w:hanging="4700"/>
        <w:jc w:val="both"/>
        <w:rPr>
          <w:rFonts w:ascii="Arial" w:hAnsi="Arial" w:cs="Arial"/>
        </w:rPr>
      </w:pPr>
      <w:r w:rsidRPr="00012A61">
        <w:rPr>
          <w:rFonts w:ascii="Arial" w:hAnsi="Arial" w:cs="Arial"/>
        </w:rPr>
        <w:t xml:space="preserve">Instructed by: </w:t>
      </w:r>
      <w:r>
        <w:rPr>
          <w:rFonts w:ascii="Arial" w:hAnsi="Arial" w:cs="Arial"/>
        </w:rPr>
        <w:t>DDP Attorneys, Rosebank</w:t>
      </w:r>
    </w:p>
    <w:p w14:paraId="18214CFD" w14:textId="77777777" w:rsidR="00572404" w:rsidRPr="00012A61" w:rsidRDefault="00572404" w:rsidP="00572404">
      <w:pPr>
        <w:spacing w:line="360" w:lineRule="auto"/>
        <w:ind w:left="5040" w:hanging="4700"/>
        <w:jc w:val="both"/>
        <w:rPr>
          <w:rFonts w:ascii="Arial" w:hAnsi="Arial" w:cs="Arial"/>
        </w:rPr>
      </w:pPr>
    </w:p>
    <w:p w14:paraId="5093321E" w14:textId="77777777" w:rsidR="00572404" w:rsidRPr="00012A61" w:rsidRDefault="00572404" w:rsidP="00572404">
      <w:pPr>
        <w:spacing w:line="360" w:lineRule="auto"/>
        <w:ind w:firstLine="340"/>
        <w:jc w:val="both"/>
        <w:rPr>
          <w:rFonts w:ascii="Arial" w:hAnsi="Arial" w:cs="Arial"/>
        </w:rPr>
      </w:pPr>
      <w:r w:rsidRPr="00012A61">
        <w:rPr>
          <w:rFonts w:ascii="Arial" w:hAnsi="Arial" w:cs="Arial"/>
        </w:rPr>
        <w:t xml:space="preserve">Counsel for the Respondent: </w:t>
      </w:r>
      <w:r>
        <w:rPr>
          <w:rFonts w:ascii="Arial" w:hAnsi="Arial" w:cs="Arial"/>
        </w:rPr>
        <w:t>Adv LJ Mboweni</w:t>
      </w:r>
    </w:p>
    <w:p w14:paraId="39F6892F" w14:textId="77777777" w:rsidR="00572404" w:rsidRPr="00012A61" w:rsidRDefault="00572404" w:rsidP="00572404">
      <w:pPr>
        <w:spacing w:line="360" w:lineRule="auto"/>
        <w:ind w:firstLine="340"/>
        <w:jc w:val="both"/>
        <w:rPr>
          <w:rFonts w:ascii="Arial" w:hAnsi="Arial" w:cs="Arial"/>
        </w:rPr>
      </w:pPr>
    </w:p>
    <w:p w14:paraId="41F99336" w14:textId="77777777" w:rsidR="00572404" w:rsidRPr="00F36C5A" w:rsidRDefault="00572404" w:rsidP="00572404">
      <w:pPr>
        <w:spacing w:line="360" w:lineRule="auto"/>
        <w:ind w:firstLine="340"/>
        <w:jc w:val="both"/>
        <w:rPr>
          <w:rFonts w:ascii="Arial" w:hAnsi="Arial" w:cs="Arial"/>
          <w:sz w:val="28"/>
          <w:szCs w:val="28"/>
        </w:rPr>
      </w:pPr>
      <w:r w:rsidRPr="00012A61">
        <w:rPr>
          <w:rFonts w:ascii="Arial" w:hAnsi="Arial" w:cs="Arial"/>
        </w:rPr>
        <w:t>Instructed by</w:t>
      </w:r>
      <w:r>
        <w:rPr>
          <w:rFonts w:ascii="Arial" w:hAnsi="Arial" w:cs="Arial"/>
        </w:rPr>
        <w:t>: State Attorney, Pretoria</w:t>
      </w:r>
      <w:r>
        <w:rPr>
          <w:rFonts w:ascii="Arial" w:hAnsi="Arial" w:cs="Arial"/>
          <w:b/>
          <w:bCs/>
          <w:caps/>
          <w:sz w:val="28"/>
          <w:szCs w:val="28"/>
        </w:rPr>
        <w:t xml:space="preserve">                   </w:t>
      </w:r>
      <w:r>
        <w:rPr>
          <w:rFonts w:ascii="Arial" w:hAnsi="Arial" w:cs="Arial"/>
          <w:b/>
          <w:bCs/>
          <w:caps/>
          <w:sz w:val="28"/>
          <w:szCs w:val="28"/>
        </w:rPr>
        <w:tab/>
      </w:r>
    </w:p>
    <w:p w14:paraId="641BC3FE" w14:textId="77777777" w:rsidR="0094493A" w:rsidRDefault="0094493A"/>
    <w:sectPr w:rsidR="0094493A" w:rsidSect="0049478F">
      <w:headerReference w:type="default" r:id="rId9"/>
      <w:footerReference w:type="default" r:id="rId10"/>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C6455" w14:textId="77777777" w:rsidR="00E52435" w:rsidRDefault="00E52435" w:rsidP="00572404">
      <w:r>
        <w:separator/>
      </w:r>
    </w:p>
  </w:endnote>
  <w:endnote w:type="continuationSeparator" w:id="0">
    <w:p w14:paraId="223B54C3" w14:textId="77777777" w:rsidR="00E52435" w:rsidRDefault="00E52435" w:rsidP="0057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37494"/>
      <w:docPartObj>
        <w:docPartGallery w:val="Page Numbers (Bottom of Page)"/>
        <w:docPartUnique/>
      </w:docPartObj>
    </w:sdtPr>
    <w:sdtEndPr>
      <w:rPr>
        <w:color w:val="7F7F7F" w:themeColor="background1" w:themeShade="7F"/>
        <w:spacing w:val="60"/>
      </w:rPr>
    </w:sdtEndPr>
    <w:sdtContent>
      <w:p w14:paraId="4AF24D0E" w14:textId="0B77035E" w:rsidR="00E74913" w:rsidRDefault="00286B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2CCD">
          <w:rPr>
            <w:noProof/>
          </w:rPr>
          <w:t>15</w:t>
        </w:r>
        <w:r>
          <w:rPr>
            <w:noProof/>
          </w:rPr>
          <w:fldChar w:fldCharType="end"/>
        </w:r>
        <w:r>
          <w:t xml:space="preserve"> | </w:t>
        </w:r>
        <w:r>
          <w:rPr>
            <w:color w:val="7F7F7F" w:themeColor="background1" w:themeShade="7F"/>
            <w:spacing w:val="60"/>
          </w:rPr>
          <w:t>Page</w:t>
        </w:r>
      </w:p>
    </w:sdtContent>
  </w:sdt>
  <w:p w14:paraId="4C82F42B" w14:textId="77777777" w:rsidR="0049478F" w:rsidRDefault="00E524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AD68" w14:textId="77777777" w:rsidR="00E52435" w:rsidRDefault="00E52435" w:rsidP="00572404">
      <w:r>
        <w:separator/>
      </w:r>
    </w:p>
  </w:footnote>
  <w:footnote w:type="continuationSeparator" w:id="0">
    <w:p w14:paraId="56A80876" w14:textId="77777777" w:rsidR="00E52435" w:rsidRDefault="00E52435" w:rsidP="00572404">
      <w:r>
        <w:continuationSeparator/>
      </w:r>
    </w:p>
  </w:footnote>
  <w:footnote w:id="1">
    <w:p w14:paraId="49576FBB" w14:textId="77777777" w:rsidR="00572404" w:rsidRPr="00131523" w:rsidRDefault="00572404" w:rsidP="00572404">
      <w:pPr>
        <w:pStyle w:val="FootnoteText"/>
        <w:rPr>
          <w:lang w:val="en-US"/>
        </w:rPr>
      </w:pPr>
      <w:r>
        <w:rPr>
          <w:rStyle w:val="FootnoteReference"/>
        </w:rPr>
        <w:footnoteRef/>
      </w:r>
      <w:r>
        <w:t xml:space="preserve"> </w:t>
      </w:r>
      <w:r>
        <w:rPr>
          <w:lang w:val="en-US"/>
        </w:rPr>
        <w:t>[2003] 1 BLLR 12 (LC) at paras [20] to [21]</w:t>
      </w:r>
    </w:p>
  </w:footnote>
  <w:footnote w:id="2">
    <w:p w14:paraId="3A6643EF" w14:textId="77777777" w:rsidR="00572404" w:rsidRPr="009F79FE" w:rsidRDefault="00572404" w:rsidP="00572404">
      <w:pPr>
        <w:pStyle w:val="FootnoteText"/>
        <w:rPr>
          <w:lang w:val="en-US"/>
        </w:rPr>
      </w:pPr>
      <w:r>
        <w:rPr>
          <w:rStyle w:val="FootnoteReference"/>
        </w:rPr>
        <w:footnoteRef/>
      </w:r>
      <w:r>
        <w:t xml:space="preserve"> </w:t>
      </w:r>
      <w:r w:rsidRPr="009F79FE">
        <w:rPr>
          <w:b/>
          <w:bCs/>
          <w:lang w:val="en-US"/>
        </w:rPr>
        <w:t>[</w:t>
      </w:r>
      <w:r w:rsidRPr="009F79FE">
        <w:rPr>
          <w:lang w:val="en-US"/>
        </w:rPr>
        <w:t>2009] 12 BLLR 1145 (CC) at para 64</w:t>
      </w:r>
    </w:p>
  </w:footnote>
  <w:footnote w:id="3">
    <w:p w14:paraId="0048E9FD" w14:textId="77777777" w:rsidR="00572404" w:rsidRPr="009F79FE" w:rsidRDefault="00572404" w:rsidP="00572404">
      <w:pPr>
        <w:pStyle w:val="FootnoteText"/>
        <w:rPr>
          <w:lang w:val="en-US"/>
        </w:rPr>
      </w:pPr>
      <w:r w:rsidRPr="009F79FE">
        <w:rPr>
          <w:rStyle w:val="FootnoteReference"/>
        </w:rPr>
        <w:footnoteRef/>
      </w:r>
      <w:r w:rsidRPr="009F79FE">
        <w:t xml:space="preserve"> </w:t>
      </w:r>
      <w:r w:rsidRPr="009F79FE">
        <w:rPr>
          <w:lang w:val="en-US"/>
        </w:rPr>
        <w:t>[2010] 2 BLLR 115 (SCA)</w:t>
      </w:r>
    </w:p>
  </w:footnote>
  <w:footnote w:id="4">
    <w:p w14:paraId="0845514D" w14:textId="77777777" w:rsidR="00572404" w:rsidRPr="009F79FE" w:rsidRDefault="00572404" w:rsidP="00572404">
      <w:pPr>
        <w:pStyle w:val="FootnoteText"/>
        <w:rPr>
          <w:lang w:val="en-US"/>
        </w:rPr>
      </w:pPr>
      <w:r>
        <w:rPr>
          <w:rStyle w:val="FootnoteReference"/>
        </w:rPr>
        <w:footnoteRef/>
      </w:r>
      <w:r>
        <w:t xml:space="preserve"> </w:t>
      </w:r>
      <w:r>
        <w:rPr>
          <w:lang w:val="en-US"/>
        </w:rPr>
        <w:t>[2013] 3 BLLR 267 (LC)</w:t>
      </w:r>
    </w:p>
  </w:footnote>
  <w:footnote w:id="5">
    <w:p w14:paraId="664CA7E6" w14:textId="77777777" w:rsidR="00572404" w:rsidRPr="0000768C" w:rsidRDefault="00572404" w:rsidP="00572404">
      <w:pPr>
        <w:pStyle w:val="FootnoteText"/>
        <w:rPr>
          <w:lang w:val="en-US"/>
        </w:rPr>
      </w:pPr>
      <w:r>
        <w:rPr>
          <w:rStyle w:val="FootnoteReference"/>
        </w:rPr>
        <w:footnoteRef/>
      </w:r>
      <w:r>
        <w:t xml:space="preserve"> </w:t>
      </w:r>
      <w:r w:rsidRPr="0000768C">
        <w:t>Murray v Minister of Defence [2008] 3 All SA 66 (SCA)</w:t>
      </w:r>
      <w:r>
        <w:t xml:space="preserve"> at para [5]</w:t>
      </w:r>
    </w:p>
  </w:footnote>
  <w:footnote w:id="6">
    <w:p w14:paraId="25D2223A" w14:textId="77777777" w:rsidR="00572404" w:rsidRPr="00326FCE" w:rsidRDefault="00572404" w:rsidP="00572404">
      <w:pPr>
        <w:pStyle w:val="FootnoteText"/>
        <w:rPr>
          <w:lang w:val="en-US"/>
        </w:rPr>
      </w:pPr>
      <w:r>
        <w:rPr>
          <w:rStyle w:val="FootnoteReference"/>
        </w:rPr>
        <w:footnoteRef/>
      </w:r>
      <w:r>
        <w:t xml:space="preserve"> </w:t>
      </w:r>
      <w:r>
        <w:rPr>
          <w:lang w:val="en-US"/>
        </w:rPr>
        <w:t>Ibid at para [9]</w:t>
      </w:r>
    </w:p>
  </w:footnote>
  <w:footnote w:id="7">
    <w:p w14:paraId="0977C30C" w14:textId="77777777" w:rsidR="00572404" w:rsidRPr="009F79FE" w:rsidRDefault="00572404" w:rsidP="00572404">
      <w:pPr>
        <w:pStyle w:val="FootnoteText"/>
        <w:rPr>
          <w:lang w:val="en-US"/>
        </w:rPr>
      </w:pPr>
      <w:r>
        <w:rPr>
          <w:rStyle w:val="FootnoteReference"/>
        </w:rPr>
        <w:footnoteRef/>
      </w:r>
      <w:r>
        <w:t xml:space="preserve"> </w:t>
      </w:r>
      <w:r w:rsidRPr="009F79FE">
        <w:rPr>
          <w:b/>
          <w:bCs/>
        </w:rPr>
        <w:t>[</w:t>
      </w:r>
      <w:r w:rsidRPr="009F79FE">
        <w:t>2018] 7 BLLR 633 (CC)</w:t>
      </w:r>
      <w:r>
        <w:t xml:space="preserve"> at para [48]</w:t>
      </w:r>
    </w:p>
  </w:footnote>
  <w:footnote w:id="8">
    <w:p w14:paraId="52824AC5" w14:textId="77777777" w:rsidR="00572404" w:rsidRPr="00222A42" w:rsidRDefault="00572404" w:rsidP="00572404">
      <w:pPr>
        <w:pStyle w:val="FootnoteText"/>
        <w:rPr>
          <w:lang w:val="en-US"/>
        </w:rPr>
      </w:pPr>
      <w:r>
        <w:rPr>
          <w:rStyle w:val="FootnoteReference"/>
        </w:rPr>
        <w:footnoteRef/>
      </w:r>
      <w:r>
        <w:t xml:space="preserve"> </w:t>
      </w:r>
      <w:r>
        <w:rPr>
          <w:lang w:val="en-US"/>
        </w:rPr>
        <w:t>S</w:t>
      </w:r>
      <w:r w:rsidRPr="00222A42">
        <w:rPr>
          <w:lang w:val="en-US"/>
        </w:rPr>
        <w:t>ee</w:t>
      </w:r>
      <w:r w:rsidRPr="00222A42">
        <w:rPr>
          <w:b/>
          <w:bCs/>
          <w:lang w:val="en-US"/>
        </w:rPr>
        <w:t xml:space="preserve"> </w:t>
      </w:r>
      <w:r w:rsidRPr="00222A42">
        <w:rPr>
          <w:lang w:val="en-US"/>
        </w:rPr>
        <w:t xml:space="preserve">SAPS v SSSBC [2010]  8 BLLR 892 </w:t>
      </w:r>
      <w:r>
        <w:rPr>
          <w:lang w:val="en-US"/>
        </w:rPr>
        <w:t>(</w:t>
      </w:r>
      <w:r w:rsidRPr="00222A42">
        <w:rPr>
          <w:lang w:val="en-US"/>
        </w:rPr>
        <w:t>LC</w:t>
      </w:r>
      <w:r>
        <w:rPr>
          <w:lang w:val="en-US"/>
        </w:rPr>
        <w:t>)</w:t>
      </w:r>
      <w:r w:rsidRPr="00222A42">
        <w:rPr>
          <w:lang w:val="en-US"/>
        </w:rPr>
        <w:t xml:space="preserve"> at para 15; See also SAPS v PSA  </w:t>
      </w:r>
      <w:r>
        <w:rPr>
          <w:lang w:val="en-US"/>
        </w:rPr>
        <w:t>[</w:t>
      </w:r>
      <w:r w:rsidRPr="00222A42">
        <w:rPr>
          <w:lang w:val="en-US"/>
        </w:rPr>
        <w:t>2007</w:t>
      </w:r>
      <w:r>
        <w:rPr>
          <w:lang w:val="en-US"/>
        </w:rPr>
        <w:t>]</w:t>
      </w:r>
      <w:r w:rsidRPr="00222A42">
        <w:rPr>
          <w:lang w:val="en-US"/>
        </w:rPr>
        <w:t xml:space="preserve"> 5 BLLR 383 </w:t>
      </w:r>
      <w:r>
        <w:rPr>
          <w:lang w:val="en-US"/>
        </w:rPr>
        <w:t>(</w:t>
      </w:r>
      <w:r w:rsidRPr="00222A42">
        <w:rPr>
          <w:lang w:val="en-US"/>
        </w:rPr>
        <w:t>CC</w:t>
      </w:r>
      <w:r>
        <w:rPr>
          <w:lang w:val="en-US"/>
        </w:rPr>
        <w:t>)</w:t>
      </w:r>
      <w:r w:rsidRPr="00222A42">
        <w:rPr>
          <w:lang w:val="en-US"/>
        </w:rPr>
        <w:t xml:space="preserve">, with reference to Van Rooyen v the State </w:t>
      </w:r>
      <w:r>
        <w:rPr>
          <w:lang w:val="en-US"/>
        </w:rPr>
        <w:t>[</w:t>
      </w:r>
      <w:r w:rsidRPr="00222A42">
        <w:rPr>
          <w:lang w:val="en-US"/>
        </w:rPr>
        <w:t>2002</w:t>
      </w:r>
      <w:r>
        <w:rPr>
          <w:lang w:val="en-US"/>
        </w:rPr>
        <w:t>]</w:t>
      </w:r>
      <w:r w:rsidRPr="00222A42">
        <w:rPr>
          <w:lang w:val="en-US"/>
        </w:rPr>
        <w:t xml:space="preserve"> 8 BCLR 810 </w:t>
      </w:r>
      <w:r>
        <w:rPr>
          <w:lang w:val="en-US"/>
        </w:rPr>
        <w:t>(</w:t>
      </w:r>
      <w:r w:rsidRPr="00222A42">
        <w:rPr>
          <w:lang w:val="en-US"/>
        </w:rPr>
        <w:t>CC</w:t>
      </w:r>
      <w:r>
        <w:rPr>
          <w:lang w:val="en-US"/>
        </w:rPr>
        <w:t>)</w:t>
      </w:r>
    </w:p>
  </w:footnote>
  <w:footnote w:id="9">
    <w:p w14:paraId="6B7B563C" w14:textId="77777777" w:rsidR="00572404" w:rsidRPr="00DF6512" w:rsidRDefault="00572404" w:rsidP="00572404">
      <w:pPr>
        <w:pStyle w:val="FootnoteText"/>
        <w:rPr>
          <w:lang w:val="en-US"/>
        </w:rPr>
      </w:pPr>
      <w:r>
        <w:rPr>
          <w:rStyle w:val="FootnoteReference"/>
        </w:rPr>
        <w:footnoteRef/>
      </w:r>
      <w:r>
        <w:t xml:space="preserve"> </w:t>
      </w:r>
      <w:r>
        <w:rPr>
          <w:lang w:val="en-US"/>
        </w:rPr>
        <w:t>[</w:t>
      </w:r>
      <w:r w:rsidRPr="00DF6512">
        <w:rPr>
          <w:b/>
          <w:bCs/>
          <w:lang w:val="en-US"/>
        </w:rPr>
        <w:t>2015</w:t>
      </w:r>
      <w:r>
        <w:rPr>
          <w:b/>
          <w:bCs/>
          <w:lang w:val="en-US"/>
        </w:rPr>
        <w:t>]</w:t>
      </w:r>
      <w:r w:rsidRPr="00DF6512">
        <w:rPr>
          <w:b/>
          <w:bCs/>
          <w:lang w:val="en-US"/>
        </w:rPr>
        <w:t xml:space="preserve"> 3 BLLR 267 </w:t>
      </w:r>
      <w:r>
        <w:rPr>
          <w:b/>
          <w:bCs/>
          <w:lang w:val="en-US"/>
        </w:rPr>
        <w:t>(</w:t>
      </w:r>
      <w:r w:rsidRPr="00DF6512">
        <w:rPr>
          <w:b/>
          <w:bCs/>
          <w:lang w:val="en-US"/>
        </w:rPr>
        <w:t>LAC</w:t>
      </w:r>
      <w:r>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207F" w14:textId="77777777" w:rsidR="00957A2E" w:rsidRDefault="00E52435">
    <w:pPr>
      <w:pStyle w:val="Header"/>
      <w:jc w:val="center"/>
    </w:pPr>
  </w:p>
  <w:p w14:paraId="4DF3AD22" w14:textId="77777777" w:rsidR="00957A2E" w:rsidRDefault="00E524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8AF"/>
    <w:multiLevelType w:val="hybridMultilevel"/>
    <w:tmpl w:val="139225B0"/>
    <w:lvl w:ilvl="0" w:tplc="445016D0">
      <w:start w:val="1"/>
      <w:numFmt w:val="lowerRoman"/>
      <w:lvlText w:val="(%1)"/>
      <w:lvlJc w:val="left"/>
      <w:pPr>
        <w:ind w:left="1789" w:hanging="720"/>
      </w:pPr>
      <w:rPr>
        <w:rFonts w:ascii="Arial" w:eastAsia="Times New Roman" w:hAnsi="Arial" w:cs="Arial"/>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04"/>
    <w:rsid w:val="000F1783"/>
    <w:rsid w:val="00160110"/>
    <w:rsid w:val="00286B88"/>
    <w:rsid w:val="00572404"/>
    <w:rsid w:val="0094493A"/>
    <w:rsid w:val="00AB0A8C"/>
    <w:rsid w:val="00BC2CCD"/>
    <w:rsid w:val="00C842E4"/>
    <w:rsid w:val="00D74854"/>
    <w:rsid w:val="00E524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05EA"/>
  <w15:chartTrackingRefBased/>
  <w15:docId w15:val="{E4BB4C62-245E-B94F-B848-F3F2E473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04"/>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40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72404"/>
    <w:rPr>
      <w:kern w:val="0"/>
      <w:sz w:val="22"/>
      <w:szCs w:val="22"/>
      <w14:ligatures w14:val="none"/>
    </w:rPr>
  </w:style>
  <w:style w:type="paragraph" w:styleId="Footer">
    <w:name w:val="footer"/>
    <w:basedOn w:val="Normal"/>
    <w:link w:val="FooterChar"/>
    <w:uiPriority w:val="99"/>
    <w:unhideWhenUsed/>
    <w:rsid w:val="0057240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72404"/>
    <w:rPr>
      <w:kern w:val="0"/>
      <w:sz w:val="22"/>
      <w:szCs w:val="22"/>
      <w14:ligatures w14:val="none"/>
    </w:rPr>
  </w:style>
  <w:style w:type="paragraph" w:styleId="NoSpacing">
    <w:name w:val="No Spacing"/>
    <w:uiPriority w:val="1"/>
    <w:qFormat/>
    <w:rsid w:val="00572404"/>
    <w:rPr>
      <w:kern w:val="0"/>
      <w:sz w:val="22"/>
      <w:szCs w:val="22"/>
      <w14:ligatures w14:val="none"/>
    </w:rPr>
  </w:style>
  <w:style w:type="paragraph" w:styleId="FootnoteText">
    <w:name w:val="footnote text"/>
    <w:basedOn w:val="Normal"/>
    <w:link w:val="FootnoteTextChar"/>
    <w:uiPriority w:val="99"/>
    <w:unhideWhenUsed/>
    <w:rsid w:val="0057240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72404"/>
    <w:rPr>
      <w:kern w:val="0"/>
      <w:sz w:val="20"/>
      <w:szCs w:val="20"/>
      <w14:ligatures w14:val="none"/>
    </w:rPr>
  </w:style>
  <w:style w:type="character" w:styleId="FootnoteReference">
    <w:name w:val="footnote reference"/>
    <w:basedOn w:val="DefaultParagraphFont"/>
    <w:uiPriority w:val="99"/>
    <w:semiHidden/>
    <w:unhideWhenUsed/>
    <w:rsid w:val="00572404"/>
    <w:rPr>
      <w:vertAlign w:val="superscript"/>
    </w:rPr>
  </w:style>
  <w:style w:type="paragraph" w:styleId="NormalWeb">
    <w:name w:val="Normal (Web)"/>
    <w:basedOn w:val="Normal"/>
    <w:uiPriority w:val="99"/>
    <w:unhideWhenUsed/>
    <w:rsid w:val="00572404"/>
    <w:pPr>
      <w:spacing w:after="160" w:line="259" w:lineRule="auto"/>
    </w:pPr>
    <w:rPr>
      <w:rFonts w:eastAsiaTheme="minorHAnsi"/>
      <w:lang w:eastAsia="en-US"/>
    </w:rPr>
  </w:style>
  <w:style w:type="character" w:customStyle="1" w:styleId="apple-converted-space">
    <w:name w:val="apple-converted-space"/>
    <w:basedOn w:val="DefaultParagraphFont"/>
    <w:rsid w:val="00572404"/>
  </w:style>
  <w:style w:type="paragraph" w:customStyle="1" w:styleId="western">
    <w:name w:val="western"/>
    <w:basedOn w:val="Normal"/>
    <w:rsid w:val="00572404"/>
    <w:pPr>
      <w:spacing w:before="100" w:beforeAutospacing="1" w:after="100" w:afterAutospacing="1"/>
    </w:pPr>
  </w:style>
  <w:style w:type="paragraph" w:customStyle="1" w:styleId="para-10">
    <w:name w:val="para-10"/>
    <w:basedOn w:val="Normal"/>
    <w:rsid w:val="00572404"/>
    <w:pPr>
      <w:spacing w:before="100" w:beforeAutospacing="1" w:after="100" w:afterAutospacing="1"/>
    </w:pPr>
  </w:style>
  <w:style w:type="paragraph" w:styleId="Subtitle">
    <w:name w:val="Subtitle"/>
    <w:basedOn w:val="Normal"/>
    <w:next w:val="Normal"/>
    <w:link w:val="SubtitleChar"/>
    <w:uiPriority w:val="11"/>
    <w:qFormat/>
    <w:rsid w:val="0057240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72404"/>
    <w:rPr>
      <w:rFonts w:eastAsiaTheme="minorEastAsia"/>
      <w:color w:val="5A5A5A" w:themeColor="text1" w:themeTint="A5"/>
      <w:spacing w:val="15"/>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3812</Words>
  <Characters>21729</Characters>
  <Application>Microsoft Office Word</Application>
  <DocSecurity>0</DocSecurity>
  <Lines>181</Lines>
  <Paragraphs>50</Paragraphs>
  <ScaleCrop>false</ScaleCrop>
  <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Mtembu</dc:creator>
  <cp:keywords/>
  <dc:description/>
  <cp:lastModifiedBy>Mary Bruce</cp:lastModifiedBy>
  <cp:revision>3</cp:revision>
  <dcterms:created xsi:type="dcterms:W3CDTF">2023-07-27T11:53:00Z</dcterms:created>
  <dcterms:modified xsi:type="dcterms:W3CDTF">2023-08-04T13:45:00Z</dcterms:modified>
</cp:coreProperties>
</file>