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4518" w14:textId="77777777" w:rsidR="00E601F7" w:rsidRPr="00294709" w:rsidRDefault="00E601F7" w:rsidP="00E601F7">
      <w:pPr>
        <w:spacing w:after="0" w:line="360" w:lineRule="auto"/>
        <w:jc w:val="center"/>
        <w:rPr>
          <w:rFonts w:ascii="Arial" w:eastAsia="Arial" w:hAnsi="Arial" w:cs="Arial"/>
          <w:b/>
          <w:sz w:val="24"/>
          <w:szCs w:val="24"/>
        </w:rPr>
      </w:pPr>
      <w:bookmarkStart w:id="0" w:name="_GoBack"/>
      <w:bookmarkEnd w:id="0"/>
      <w:r w:rsidRPr="00294709">
        <w:rPr>
          <w:rFonts w:ascii="Arial" w:eastAsia="Arial" w:hAnsi="Arial" w:cs="Arial"/>
          <w:b/>
          <w:sz w:val="24"/>
          <w:szCs w:val="24"/>
        </w:rPr>
        <w:t>REPUBLIC OF SOUTH AFRICA</w:t>
      </w:r>
    </w:p>
    <w:p w14:paraId="6BBF79F7" w14:textId="77777777" w:rsidR="00E601F7" w:rsidRPr="00294709" w:rsidRDefault="00E601F7" w:rsidP="00E601F7">
      <w:pPr>
        <w:spacing w:after="0" w:line="360" w:lineRule="auto"/>
        <w:jc w:val="center"/>
        <w:rPr>
          <w:rFonts w:ascii="Arial" w:eastAsia="Arial" w:hAnsi="Arial" w:cs="Arial"/>
          <w:b/>
          <w:sz w:val="24"/>
          <w:szCs w:val="24"/>
        </w:rPr>
      </w:pPr>
      <w:r w:rsidRPr="00294709">
        <w:rPr>
          <w:rFonts w:ascii="Arial" w:eastAsia="Arial" w:hAnsi="Arial" w:cs="Arial"/>
          <w:noProof/>
          <w:sz w:val="24"/>
          <w:szCs w:val="24"/>
        </w:rPr>
        <w:drawing>
          <wp:inline distT="0" distB="0" distL="0" distR="0" wp14:anchorId="12290C2D" wp14:editId="3B86C747">
            <wp:extent cx="1371600" cy="12192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371600" cy="1219200"/>
                    </a:xfrm>
                    <a:prstGeom prst="rect">
                      <a:avLst/>
                    </a:prstGeom>
                    <a:ln/>
                  </pic:spPr>
                </pic:pic>
              </a:graphicData>
            </a:graphic>
          </wp:inline>
        </w:drawing>
      </w:r>
    </w:p>
    <w:p w14:paraId="2BB6E72D" w14:textId="4C2FF191" w:rsidR="00E601F7" w:rsidRPr="00294709" w:rsidRDefault="00E601F7" w:rsidP="00D733E3">
      <w:pPr>
        <w:spacing w:after="0" w:line="360" w:lineRule="auto"/>
        <w:contextualSpacing/>
        <w:jc w:val="center"/>
        <w:rPr>
          <w:rFonts w:ascii="Arial" w:eastAsia="Arial" w:hAnsi="Arial" w:cs="Arial"/>
          <w:b/>
          <w:sz w:val="24"/>
          <w:szCs w:val="24"/>
        </w:rPr>
      </w:pPr>
      <w:r w:rsidRPr="00294709">
        <w:rPr>
          <w:rFonts w:ascii="Arial" w:eastAsia="Arial" w:hAnsi="Arial" w:cs="Arial"/>
          <w:b/>
          <w:sz w:val="24"/>
          <w:szCs w:val="24"/>
        </w:rPr>
        <w:t xml:space="preserve">IN THE HIGH </w:t>
      </w:r>
      <w:r w:rsidR="00566C8A">
        <w:rPr>
          <w:rFonts w:ascii="Arial" w:eastAsia="Arial" w:hAnsi="Arial" w:cs="Arial"/>
          <w:b/>
          <w:sz w:val="24"/>
          <w:szCs w:val="24"/>
        </w:rPr>
        <w:t>COURT</w:t>
      </w:r>
      <w:r w:rsidRPr="00294709">
        <w:rPr>
          <w:rFonts w:ascii="Arial" w:eastAsia="Arial" w:hAnsi="Arial" w:cs="Arial"/>
          <w:b/>
          <w:sz w:val="24"/>
          <w:szCs w:val="24"/>
        </w:rPr>
        <w:t xml:space="preserve"> OF SOUTH AFRICA</w:t>
      </w:r>
    </w:p>
    <w:p w14:paraId="0C6D2B2F" w14:textId="7F58668D" w:rsidR="00E601F7" w:rsidRPr="00294709" w:rsidRDefault="00E601F7" w:rsidP="00D733E3">
      <w:pPr>
        <w:spacing w:before="120" w:line="360" w:lineRule="auto"/>
        <w:contextualSpacing/>
        <w:jc w:val="center"/>
        <w:rPr>
          <w:rFonts w:ascii="Arial" w:eastAsia="Arial" w:hAnsi="Arial" w:cs="Arial"/>
          <w:b/>
          <w:sz w:val="24"/>
          <w:szCs w:val="24"/>
        </w:rPr>
      </w:pPr>
      <w:r w:rsidRPr="00294709">
        <w:rPr>
          <w:rFonts w:ascii="Arial" w:eastAsia="Arial" w:hAnsi="Arial" w:cs="Arial"/>
          <w:b/>
          <w:sz w:val="24"/>
          <w:szCs w:val="24"/>
        </w:rPr>
        <w:t>GAUTENG DIVISION, PRETORIA</w:t>
      </w:r>
    </w:p>
    <w:p w14:paraId="531E63FE" w14:textId="22EAFDEF" w:rsidR="00E601F7" w:rsidRPr="00294709" w:rsidRDefault="00894524" w:rsidP="00D733E3">
      <w:pPr>
        <w:spacing w:before="120" w:line="360" w:lineRule="auto"/>
        <w:ind w:left="5760"/>
        <w:jc w:val="both"/>
        <w:rPr>
          <w:rFonts w:ascii="Arial" w:eastAsia="Arial" w:hAnsi="Arial" w:cs="Arial"/>
          <w:b/>
          <w:sz w:val="24"/>
          <w:szCs w:val="24"/>
        </w:rPr>
      </w:pPr>
      <w:r>
        <w:rPr>
          <w:rFonts w:ascii="Arial" w:eastAsia="Arial" w:hAnsi="Arial" w:cs="Arial"/>
          <w:b/>
          <w:sz w:val="24"/>
          <w:szCs w:val="24"/>
        </w:rPr>
        <w:t xml:space="preserve">        </w:t>
      </w:r>
      <w:r w:rsidR="00E601F7" w:rsidRPr="00294709">
        <w:rPr>
          <w:rFonts w:ascii="Arial" w:eastAsia="Arial" w:hAnsi="Arial" w:cs="Arial"/>
          <w:b/>
          <w:sz w:val="24"/>
          <w:szCs w:val="24"/>
        </w:rPr>
        <w:t xml:space="preserve">CASE NO: </w:t>
      </w:r>
      <w:r w:rsidR="0090600B">
        <w:rPr>
          <w:rFonts w:ascii="Arial" w:eastAsia="Arial" w:hAnsi="Arial" w:cs="Arial"/>
          <w:b/>
          <w:sz w:val="24"/>
          <w:szCs w:val="24"/>
        </w:rPr>
        <w:t>2022/12875</w:t>
      </w:r>
    </w:p>
    <w:tbl>
      <w:tblPr>
        <w:tblW w:w="3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tblGrid>
      <w:tr w:rsidR="000C5394" w:rsidRPr="00294709" w14:paraId="6B5D9AEE" w14:textId="77777777" w:rsidTr="00C444D4">
        <w:trPr>
          <w:trHeight w:val="2100"/>
        </w:trPr>
        <w:tc>
          <w:tcPr>
            <w:tcW w:w="3823" w:type="dxa"/>
            <w:tcBorders>
              <w:top w:val="single" w:sz="4" w:space="0" w:color="000000"/>
              <w:left w:val="single" w:sz="4" w:space="0" w:color="000000"/>
              <w:bottom w:val="single" w:sz="4" w:space="0" w:color="000000"/>
              <w:right w:val="single" w:sz="4" w:space="0" w:color="000000"/>
            </w:tcBorders>
          </w:tcPr>
          <w:p w14:paraId="02FAC482" w14:textId="77777777" w:rsidR="000C5394" w:rsidRPr="00294709" w:rsidRDefault="000C5394" w:rsidP="00EE45FF">
            <w:pPr>
              <w:pBdr>
                <w:top w:val="nil"/>
                <w:left w:val="nil"/>
                <w:bottom w:val="nil"/>
                <w:right w:val="nil"/>
                <w:between w:val="nil"/>
              </w:pBdr>
              <w:spacing w:after="0" w:line="360" w:lineRule="auto"/>
              <w:jc w:val="both"/>
              <w:rPr>
                <w:rFonts w:ascii="Arial" w:hAnsi="Arial" w:cs="Arial"/>
                <w:color w:val="000000"/>
                <w:sz w:val="16"/>
                <w:szCs w:val="16"/>
              </w:rPr>
            </w:pPr>
            <w:r>
              <w:rPr>
                <w:rFonts w:ascii="Arial" w:eastAsia="Arial" w:hAnsi="Arial" w:cs="Arial"/>
                <w:color w:val="000000"/>
                <w:sz w:val="16"/>
                <w:szCs w:val="16"/>
              </w:rPr>
              <w:t xml:space="preserve">1.    </w:t>
            </w:r>
            <w:r w:rsidRPr="00294709">
              <w:rPr>
                <w:rFonts w:ascii="Arial" w:eastAsia="Arial" w:hAnsi="Arial" w:cs="Arial"/>
                <w:color w:val="000000"/>
                <w:sz w:val="16"/>
                <w:szCs w:val="16"/>
              </w:rPr>
              <w:t>REPORTABLE: NO</w:t>
            </w:r>
          </w:p>
          <w:p w14:paraId="695172BC" w14:textId="77777777" w:rsidR="000C5394" w:rsidRDefault="000C5394" w:rsidP="00EE45FF">
            <w:pPr>
              <w:pBdr>
                <w:top w:val="nil"/>
                <w:left w:val="nil"/>
                <w:bottom w:val="nil"/>
                <w:right w:val="nil"/>
                <w:between w:val="nil"/>
              </w:pBdr>
              <w:spacing w:after="0" w:line="360" w:lineRule="auto"/>
              <w:jc w:val="both"/>
              <w:rPr>
                <w:rFonts w:ascii="Arial" w:hAnsi="Arial" w:cs="Arial"/>
                <w:color w:val="000000"/>
                <w:sz w:val="16"/>
                <w:szCs w:val="16"/>
              </w:rPr>
            </w:pPr>
            <w:r>
              <w:rPr>
                <w:rFonts w:ascii="Arial" w:eastAsia="Arial" w:hAnsi="Arial" w:cs="Arial"/>
                <w:color w:val="000000"/>
                <w:sz w:val="16"/>
                <w:szCs w:val="16"/>
              </w:rPr>
              <w:t xml:space="preserve">2.    </w:t>
            </w:r>
            <w:r w:rsidRPr="00294709">
              <w:rPr>
                <w:rFonts w:ascii="Arial" w:eastAsia="Arial" w:hAnsi="Arial" w:cs="Arial"/>
                <w:color w:val="000000"/>
                <w:sz w:val="16"/>
                <w:szCs w:val="16"/>
              </w:rPr>
              <w:t xml:space="preserve">OF INTEREST TO OTHER JUDGES: </w:t>
            </w:r>
            <w:r>
              <w:rPr>
                <w:rFonts w:ascii="Arial" w:eastAsia="Arial" w:hAnsi="Arial" w:cs="Arial"/>
                <w:color w:val="000000"/>
                <w:sz w:val="16"/>
                <w:szCs w:val="16"/>
              </w:rPr>
              <w:t>N</w:t>
            </w:r>
            <w:r w:rsidRPr="00294709">
              <w:rPr>
                <w:rFonts w:ascii="Arial" w:eastAsia="Arial" w:hAnsi="Arial" w:cs="Arial"/>
                <w:color w:val="000000"/>
                <w:sz w:val="16"/>
                <w:szCs w:val="16"/>
              </w:rPr>
              <w:t>O</w:t>
            </w:r>
          </w:p>
          <w:p w14:paraId="74AB8963" w14:textId="20B4EBBC" w:rsidR="000C5394" w:rsidRPr="00294709" w:rsidRDefault="000C5394" w:rsidP="00EE45FF">
            <w:pPr>
              <w:pBdr>
                <w:top w:val="nil"/>
                <w:left w:val="nil"/>
                <w:bottom w:val="nil"/>
                <w:right w:val="nil"/>
                <w:between w:val="nil"/>
              </w:pBdr>
              <w:spacing w:after="0" w:line="360" w:lineRule="auto"/>
              <w:jc w:val="both"/>
              <w:rPr>
                <w:rFonts w:ascii="Arial" w:hAnsi="Arial" w:cs="Arial"/>
                <w:color w:val="000000"/>
                <w:sz w:val="16"/>
                <w:szCs w:val="16"/>
              </w:rPr>
            </w:pPr>
            <w:r>
              <w:rPr>
                <w:rFonts w:ascii="Arial" w:hAnsi="Arial" w:cs="Arial"/>
                <w:color w:val="000000"/>
                <w:sz w:val="16"/>
                <w:szCs w:val="16"/>
              </w:rPr>
              <w:t xml:space="preserve">3.    </w:t>
            </w:r>
            <w:r w:rsidRPr="00294709">
              <w:rPr>
                <w:rFonts w:ascii="Arial" w:eastAsia="Arial" w:hAnsi="Arial" w:cs="Arial"/>
                <w:color w:val="000000"/>
                <w:sz w:val="16"/>
                <w:szCs w:val="16"/>
              </w:rPr>
              <w:t xml:space="preserve">REVISED:  </w:t>
            </w:r>
            <w:r w:rsidR="00F75E4B">
              <w:rPr>
                <w:rFonts w:ascii="Arial" w:eastAsia="Arial" w:hAnsi="Arial" w:cs="Arial"/>
                <w:color w:val="000000"/>
                <w:sz w:val="16"/>
                <w:szCs w:val="16"/>
              </w:rPr>
              <w:t>YES</w:t>
            </w:r>
          </w:p>
          <w:p w14:paraId="73C28BCE" w14:textId="77777777" w:rsidR="000C5394" w:rsidRPr="00294709" w:rsidRDefault="000C5394" w:rsidP="00EE45FF">
            <w:pPr>
              <w:spacing w:after="0" w:line="360" w:lineRule="auto"/>
              <w:ind w:left="306" w:hanging="284"/>
              <w:jc w:val="both"/>
              <w:rPr>
                <w:rFonts w:ascii="Arial" w:eastAsia="Arial" w:hAnsi="Arial" w:cs="Arial"/>
                <w:sz w:val="16"/>
                <w:szCs w:val="16"/>
              </w:rPr>
            </w:pPr>
          </w:p>
          <w:p w14:paraId="097A4CF5" w14:textId="6D241613" w:rsidR="000C5394" w:rsidRDefault="000C5394" w:rsidP="00EE45FF">
            <w:pPr>
              <w:spacing w:after="0" w:line="360" w:lineRule="auto"/>
              <w:jc w:val="both"/>
              <w:rPr>
                <w:rFonts w:ascii="Arial" w:eastAsia="Arial" w:hAnsi="Arial" w:cs="Arial"/>
                <w:sz w:val="16"/>
                <w:szCs w:val="16"/>
              </w:rPr>
            </w:pPr>
            <w:r w:rsidRPr="00294709">
              <w:rPr>
                <w:rFonts w:ascii="Arial" w:eastAsia="Arial" w:hAnsi="Arial" w:cs="Arial"/>
                <w:sz w:val="16"/>
                <w:szCs w:val="16"/>
              </w:rPr>
              <w:t xml:space="preserve">DATE: </w:t>
            </w:r>
            <w:r w:rsidR="00F75E4B">
              <w:rPr>
                <w:rFonts w:ascii="Arial" w:eastAsia="Arial" w:hAnsi="Arial" w:cs="Arial"/>
                <w:sz w:val="16"/>
                <w:szCs w:val="16"/>
              </w:rPr>
              <w:t>31</w:t>
            </w:r>
            <w:r w:rsidR="00642E4C">
              <w:rPr>
                <w:rFonts w:ascii="Arial" w:eastAsia="Arial" w:hAnsi="Arial" w:cs="Arial"/>
                <w:sz w:val="16"/>
                <w:szCs w:val="16"/>
              </w:rPr>
              <w:t xml:space="preserve"> July</w:t>
            </w:r>
            <w:r>
              <w:rPr>
                <w:rFonts w:ascii="Arial" w:eastAsia="Arial" w:hAnsi="Arial" w:cs="Arial"/>
                <w:sz w:val="16"/>
                <w:szCs w:val="16"/>
              </w:rPr>
              <w:t xml:space="preserve"> </w:t>
            </w:r>
            <w:r w:rsidRPr="00294709">
              <w:rPr>
                <w:rFonts w:ascii="Arial" w:eastAsia="Arial" w:hAnsi="Arial" w:cs="Arial"/>
                <w:sz w:val="16"/>
                <w:szCs w:val="16"/>
              </w:rPr>
              <w:t>2023</w:t>
            </w:r>
          </w:p>
          <w:p w14:paraId="33E714DE" w14:textId="77777777" w:rsidR="000C5394" w:rsidRPr="00294709" w:rsidRDefault="000C5394" w:rsidP="00EE45FF">
            <w:pPr>
              <w:spacing w:after="0" w:line="360" w:lineRule="auto"/>
              <w:jc w:val="both"/>
              <w:rPr>
                <w:rFonts w:ascii="Arial" w:eastAsia="Arial" w:hAnsi="Arial" w:cs="Arial"/>
                <w:sz w:val="16"/>
                <w:szCs w:val="16"/>
              </w:rPr>
            </w:pPr>
          </w:p>
          <w:p w14:paraId="43185586" w14:textId="77777777" w:rsidR="000C5394" w:rsidRPr="00294709" w:rsidRDefault="000C5394" w:rsidP="00EE45FF">
            <w:pPr>
              <w:spacing w:after="0" w:line="360" w:lineRule="auto"/>
              <w:jc w:val="both"/>
              <w:rPr>
                <w:rFonts w:ascii="Arial" w:eastAsia="Arial" w:hAnsi="Arial" w:cs="Arial"/>
                <w:sz w:val="16"/>
                <w:szCs w:val="16"/>
              </w:rPr>
            </w:pPr>
            <w:r w:rsidRPr="003C2397">
              <w:rPr>
                <w:noProof/>
              </w:rPr>
              <mc:AlternateContent>
                <mc:Choice Requires="wpi">
                  <w:drawing>
                    <wp:anchor distT="0" distB="0" distL="114300" distR="114300" simplePos="0" relativeHeight="251658752" behindDoc="0" locked="0" layoutInCell="1" allowOverlap="1" wp14:anchorId="010D9CF8" wp14:editId="024B76FE">
                      <wp:simplePos x="0" y="0"/>
                      <wp:positionH relativeFrom="column">
                        <wp:posOffset>101599</wp:posOffset>
                      </wp:positionH>
                      <wp:positionV relativeFrom="paragraph">
                        <wp:posOffset>-78105</wp:posOffset>
                      </wp:positionV>
                      <wp:extent cx="1101725" cy="393700"/>
                      <wp:effectExtent l="38100" t="38100" r="22225" b="44450"/>
                      <wp:wrapNone/>
                      <wp:docPr id="1779315779" name="Ink 1779315779"/>
                      <wp:cNvGraphicFramePr/>
                      <a:graphic xmlns:a="http://schemas.openxmlformats.org/drawingml/2006/main">
                        <a:graphicData uri="http://schemas.microsoft.com/office/word/2010/wordprocessingInk">
                          <w14:contentPart bwMode="auto" r:id="rId9">
                            <w14:nvContentPartPr>
                              <w14:cNvContentPartPr/>
                            </w14:nvContentPartPr>
                            <w14:xfrm>
                              <a:off x="0" y="0"/>
                              <a:ext cx="1101725" cy="39370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3F71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79315779" o:spid="_x0000_s1026" type="#_x0000_t75" style="position:absolute;margin-left:7.65pt;margin-top:-6.5pt;width:87.4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">
                      <v:imagedata r:id="rId10" o:title=""/>
                    </v:shape>
                  </w:pict>
                </mc:Fallback>
              </mc:AlternateContent>
            </w:r>
          </w:p>
          <w:p w14:paraId="1795DD75" w14:textId="77777777" w:rsidR="000C5394" w:rsidRPr="00294709" w:rsidRDefault="000C5394" w:rsidP="00EE45FF">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BBEAD7B" w14:textId="77777777" w:rsidR="00E601F7" w:rsidRPr="00294709" w:rsidRDefault="00E601F7" w:rsidP="00E601F7">
      <w:pPr>
        <w:spacing w:after="0" w:line="360" w:lineRule="auto"/>
        <w:jc w:val="both"/>
        <w:rPr>
          <w:rFonts w:ascii="Arial" w:eastAsia="Arial" w:hAnsi="Arial" w:cs="Arial"/>
          <w:b/>
          <w:sz w:val="24"/>
          <w:szCs w:val="24"/>
        </w:rPr>
      </w:pPr>
    </w:p>
    <w:p w14:paraId="5894C645" w14:textId="4CAEBC50" w:rsidR="00E601F7" w:rsidRPr="00294709" w:rsidRDefault="00E601F7" w:rsidP="00B33894">
      <w:pPr>
        <w:spacing w:before="120" w:line="240" w:lineRule="auto"/>
        <w:jc w:val="both"/>
        <w:rPr>
          <w:rFonts w:ascii="Arial" w:eastAsia="Arial" w:hAnsi="Arial" w:cs="Arial"/>
          <w:sz w:val="24"/>
          <w:szCs w:val="24"/>
        </w:rPr>
      </w:pPr>
      <w:r w:rsidRPr="00294709">
        <w:rPr>
          <w:rFonts w:ascii="Arial" w:eastAsia="Arial" w:hAnsi="Arial" w:cs="Arial"/>
          <w:sz w:val="24"/>
          <w:szCs w:val="24"/>
        </w:rPr>
        <w:t>In the matter between:</w:t>
      </w:r>
    </w:p>
    <w:p w14:paraId="2DBB7178" w14:textId="6179A790" w:rsidR="00E601F7" w:rsidRPr="00A37DA4" w:rsidRDefault="0090600B" w:rsidP="00B33894">
      <w:pPr>
        <w:spacing w:before="120" w:line="240" w:lineRule="auto"/>
        <w:jc w:val="both"/>
        <w:rPr>
          <w:rFonts w:ascii="Arial" w:eastAsia="Arial" w:hAnsi="Arial" w:cs="Arial"/>
          <w:b/>
          <w:sz w:val="24"/>
          <w:szCs w:val="24"/>
        </w:rPr>
      </w:pPr>
      <w:r>
        <w:rPr>
          <w:rFonts w:ascii="Arial" w:eastAsia="Arial" w:hAnsi="Arial" w:cs="Arial"/>
          <w:b/>
          <w:sz w:val="24"/>
          <w:szCs w:val="24"/>
        </w:rPr>
        <w:t>HENDRINA MARIA MAGDALENA LEUVENNINK</w:t>
      </w:r>
      <w:r>
        <w:rPr>
          <w:rFonts w:ascii="Arial" w:eastAsia="Arial" w:hAnsi="Arial" w:cs="Arial"/>
          <w:b/>
          <w:sz w:val="24"/>
          <w:szCs w:val="24"/>
        </w:rPr>
        <w:tab/>
      </w:r>
      <w:r w:rsidR="00E601F7" w:rsidRPr="00294709">
        <w:rPr>
          <w:rFonts w:ascii="Arial" w:eastAsia="Arial" w:hAnsi="Arial" w:cs="Arial"/>
          <w:bCs/>
          <w:sz w:val="24"/>
          <w:szCs w:val="24"/>
        </w:rPr>
        <w:tab/>
      </w:r>
      <w:r w:rsidR="00E601F7" w:rsidRPr="00294709">
        <w:rPr>
          <w:rFonts w:ascii="Arial" w:eastAsia="Arial" w:hAnsi="Arial" w:cs="Arial"/>
          <w:bCs/>
          <w:sz w:val="24"/>
          <w:szCs w:val="24"/>
        </w:rPr>
        <w:tab/>
        <w:t xml:space="preserve"> </w:t>
      </w:r>
      <w:r w:rsidR="00E601F7" w:rsidRPr="00294709">
        <w:rPr>
          <w:rFonts w:ascii="Arial" w:eastAsia="Arial" w:hAnsi="Arial" w:cs="Arial"/>
          <w:bCs/>
          <w:sz w:val="24"/>
          <w:szCs w:val="24"/>
        </w:rPr>
        <w:tab/>
      </w:r>
      <w:r w:rsidR="00566C8A">
        <w:rPr>
          <w:rFonts w:ascii="Arial" w:eastAsia="Arial" w:hAnsi="Arial" w:cs="Arial"/>
          <w:bCs/>
          <w:sz w:val="24"/>
          <w:szCs w:val="24"/>
        </w:rPr>
        <w:t>Applicant</w:t>
      </w:r>
    </w:p>
    <w:p w14:paraId="20909022" w14:textId="5BF0D5F1" w:rsidR="00E601F7" w:rsidRPr="00294709" w:rsidRDefault="00E601F7" w:rsidP="00B33894">
      <w:pPr>
        <w:spacing w:before="120" w:line="240" w:lineRule="auto"/>
        <w:jc w:val="both"/>
        <w:rPr>
          <w:rFonts w:ascii="Arial" w:eastAsia="Arial" w:hAnsi="Arial" w:cs="Arial"/>
          <w:sz w:val="24"/>
          <w:szCs w:val="24"/>
        </w:rPr>
      </w:pPr>
      <w:r w:rsidRPr="00294709">
        <w:rPr>
          <w:rFonts w:ascii="Arial" w:eastAsia="Arial" w:hAnsi="Arial" w:cs="Arial"/>
          <w:sz w:val="24"/>
          <w:szCs w:val="24"/>
        </w:rPr>
        <w:t xml:space="preserve">and </w:t>
      </w:r>
    </w:p>
    <w:p w14:paraId="7792B1E7" w14:textId="50FD98CB" w:rsidR="00E601F7" w:rsidRPr="00294709" w:rsidRDefault="0090600B" w:rsidP="00B33894">
      <w:pPr>
        <w:spacing w:before="120" w:line="240" w:lineRule="auto"/>
        <w:jc w:val="both"/>
        <w:rPr>
          <w:rFonts w:ascii="Arial" w:eastAsia="Arial" w:hAnsi="Arial" w:cs="Arial"/>
          <w:bCs/>
          <w:sz w:val="24"/>
          <w:szCs w:val="24"/>
          <w:lang w:val="en-GB"/>
        </w:rPr>
      </w:pPr>
      <w:r>
        <w:rPr>
          <w:rFonts w:ascii="Arial" w:eastAsia="Arial" w:hAnsi="Arial" w:cs="Arial"/>
          <w:b/>
          <w:sz w:val="24"/>
          <w:szCs w:val="24"/>
          <w:lang w:val="en-GB"/>
        </w:rPr>
        <w:t xml:space="preserve">THE SOUTH AFRICAN CIVIL AVIATION AUTHORITY </w:t>
      </w:r>
      <w:r>
        <w:rPr>
          <w:rFonts w:ascii="Arial" w:eastAsia="Arial" w:hAnsi="Arial" w:cs="Arial"/>
          <w:b/>
          <w:sz w:val="24"/>
          <w:szCs w:val="24"/>
          <w:lang w:val="en-GB"/>
        </w:rPr>
        <w:tab/>
        <w:t xml:space="preserve"> </w:t>
      </w:r>
      <w:r w:rsidR="00E601F7" w:rsidRPr="00294709">
        <w:rPr>
          <w:rFonts w:ascii="Arial" w:eastAsia="Arial" w:hAnsi="Arial" w:cs="Arial"/>
          <w:bCs/>
          <w:sz w:val="24"/>
          <w:szCs w:val="24"/>
          <w:lang w:val="en-GB"/>
        </w:rPr>
        <w:tab/>
      </w:r>
      <w:r>
        <w:rPr>
          <w:rFonts w:ascii="Arial" w:eastAsia="Arial" w:hAnsi="Arial" w:cs="Arial"/>
          <w:bCs/>
          <w:sz w:val="24"/>
          <w:szCs w:val="24"/>
          <w:lang w:val="en-GB"/>
        </w:rPr>
        <w:t xml:space="preserve">  </w:t>
      </w:r>
      <w:r w:rsidR="00E601F7" w:rsidRPr="00294709">
        <w:rPr>
          <w:rFonts w:ascii="Arial" w:eastAsia="Arial" w:hAnsi="Arial" w:cs="Arial"/>
          <w:bCs/>
          <w:sz w:val="24"/>
          <w:szCs w:val="24"/>
          <w:lang w:val="en-GB"/>
        </w:rPr>
        <w:t>1</w:t>
      </w:r>
      <w:r w:rsidR="00E601F7" w:rsidRPr="00294709">
        <w:rPr>
          <w:rFonts w:ascii="Arial" w:eastAsia="Arial" w:hAnsi="Arial" w:cs="Arial"/>
          <w:bCs/>
          <w:sz w:val="24"/>
          <w:szCs w:val="24"/>
          <w:vertAlign w:val="superscript"/>
          <w:lang w:val="en-GB"/>
        </w:rPr>
        <w:t xml:space="preserve">st </w:t>
      </w:r>
      <w:r w:rsidR="00566C8A">
        <w:rPr>
          <w:rFonts w:ascii="Arial" w:eastAsia="Arial" w:hAnsi="Arial" w:cs="Arial"/>
          <w:bCs/>
          <w:sz w:val="24"/>
          <w:szCs w:val="24"/>
          <w:lang w:val="en-GB"/>
        </w:rPr>
        <w:t>Respondent</w:t>
      </w:r>
    </w:p>
    <w:p w14:paraId="07492F48" w14:textId="2D047FF6" w:rsidR="0090600B" w:rsidRDefault="0090600B" w:rsidP="00B33894">
      <w:pPr>
        <w:spacing w:before="120" w:line="240" w:lineRule="auto"/>
        <w:jc w:val="both"/>
        <w:rPr>
          <w:rFonts w:ascii="Arial" w:eastAsia="Arial" w:hAnsi="Arial" w:cs="Arial"/>
          <w:bCs/>
          <w:sz w:val="24"/>
          <w:szCs w:val="24"/>
          <w:lang w:val="en-GB"/>
        </w:rPr>
      </w:pPr>
      <w:r>
        <w:rPr>
          <w:rFonts w:ascii="Arial" w:eastAsia="Arial" w:hAnsi="Arial" w:cs="Arial"/>
          <w:b/>
          <w:sz w:val="24"/>
          <w:szCs w:val="24"/>
          <w:lang w:val="en-GB"/>
        </w:rPr>
        <w:t>N NARAINDATH</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sidR="00E601F7" w:rsidRPr="00294709">
        <w:rPr>
          <w:rFonts w:ascii="Arial" w:eastAsia="Arial" w:hAnsi="Arial" w:cs="Arial"/>
          <w:bCs/>
          <w:sz w:val="24"/>
          <w:szCs w:val="24"/>
          <w:lang w:val="en-GB"/>
        </w:rPr>
        <w:tab/>
      </w:r>
      <w:r w:rsidR="00E601F7" w:rsidRPr="00294709">
        <w:rPr>
          <w:rFonts w:ascii="Arial" w:eastAsia="Arial" w:hAnsi="Arial" w:cs="Arial"/>
          <w:bCs/>
          <w:sz w:val="24"/>
          <w:szCs w:val="24"/>
          <w:lang w:val="en-GB"/>
        </w:rPr>
        <w:tab/>
      </w:r>
      <w:r w:rsidR="00E601F7" w:rsidRPr="00294709">
        <w:rPr>
          <w:rFonts w:ascii="Arial" w:eastAsia="Arial" w:hAnsi="Arial" w:cs="Arial"/>
          <w:bCs/>
          <w:sz w:val="24"/>
          <w:szCs w:val="24"/>
          <w:lang w:val="en-GB"/>
        </w:rPr>
        <w:tab/>
      </w:r>
      <w:r w:rsidR="00E601F7" w:rsidRPr="00294709">
        <w:rPr>
          <w:rFonts w:ascii="Arial" w:eastAsia="Arial" w:hAnsi="Arial" w:cs="Arial"/>
          <w:bCs/>
          <w:sz w:val="24"/>
          <w:szCs w:val="24"/>
          <w:lang w:val="en-GB"/>
        </w:rPr>
        <w:tab/>
      </w:r>
      <w:r w:rsidR="00E601F7" w:rsidRPr="00294709">
        <w:rPr>
          <w:rFonts w:ascii="Arial" w:eastAsia="Arial" w:hAnsi="Arial" w:cs="Arial"/>
          <w:bCs/>
          <w:sz w:val="24"/>
          <w:szCs w:val="24"/>
          <w:lang w:val="en-GB"/>
        </w:rPr>
        <w:tab/>
      </w:r>
      <w:r w:rsidR="00595049">
        <w:rPr>
          <w:rFonts w:ascii="Arial" w:eastAsia="Arial" w:hAnsi="Arial" w:cs="Arial"/>
          <w:bCs/>
          <w:sz w:val="24"/>
          <w:szCs w:val="24"/>
          <w:lang w:val="en-GB"/>
        </w:rPr>
        <w:t xml:space="preserve"> </w:t>
      </w:r>
      <w:r>
        <w:rPr>
          <w:rFonts w:ascii="Arial" w:eastAsia="Arial" w:hAnsi="Arial" w:cs="Arial"/>
          <w:bCs/>
          <w:sz w:val="24"/>
          <w:szCs w:val="24"/>
          <w:lang w:val="en-GB"/>
        </w:rPr>
        <w:t xml:space="preserve"> </w:t>
      </w:r>
      <w:r w:rsidR="00E601F7" w:rsidRPr="00294709">
        <w:rPr>
          <w:rFonts w:ascii="Arial" w:eastAsia="Arial" w:hAnsi="Arial" w:cs="Arial"/>
          <w:bCs/>
          <w:sz w:val="24"/>
          <w:szCs w:val="24"/>
          <w:lang w:val="en-GB"/>
        </w:rPr>
        <w:t>2</w:t>
      </w:r>
      <w:r w:rsidR="00E601F7" w:rsidRPr="00294709">
        <w:rPr>
          <w:rFonts w:ascii="Arial" w:eastAsia="Arial" w:hAnsi="Arial" w:cs="Arial"/>
          <w:bCs/>
          <w:sz w:val="24"/>
          <w:szCs w:val="24"/>
          <w:vertAlign w:val="superscript"/>
          <w:lang w:val="en-GB"/>
        </w:rPr>
        <w:t>nd</w:t>
      </w:r>
      <w:r w:rsidR="00E601F7" w:rsidRPr="00294709">
        <w:rPr>
          <w:rFonts w:ascii="Arial" w:eastAsia="Arial" w:hAnsi="Arial" w:cs="Arial"/>
          <w:bCs/>
          <w:sz w:val="24"/>
          <w:szCs w:val="24"/>
          <w:lang w:val="en-GB"/>
        </w:rPr>
        <w:t xml:space="preserve"> </w:t>
      </w:r>
      <w:r w:rsidR="00566C8A">
        <w:rPr>
          <w:rFonts w:ascii="Arial" w:eastAsia="Arial" w:hAnsi="Arial" w:cs="Arial"/>
          <w:bCs/>
          <w:sz w:val="24"/>
          <w:szCs w:val="24"/>
          <w:lang w:val="en-GB"/>
        </w:rPr>
        <w:t>Respondent</w:t>
      </w:r>
      <w:r w:rsidR="00E601F7" w:rsidRPr="00294709">
        <w:rPr>
          <w:rFonts w:ascii="Arial" w:eastAsia="Arial" w:hAnsi="Arial" w:cs="Arial"/>
          <w:bCs/>
          <w:sz w:val="24"/>
          <w:szCs w:val="24"/>
          <w:lang w:val="en-GB"/>
        </w:rPr>
        <w:t xml:space="preserve"> </w:t>
      </w:r>
    </w:p>
    <w:p w14:paraId="73824A76" w14:textId="70C8129B" w:rsidR="0090600B" w:rsidRDefault="0090600B" w:rsidP="00B33894">
      <w:pPr>
        <w:spacing w:before="120" w:line="240" w:lineRule="auto"/>
        <w:jc w:val="both"/>
        <w:rPr>
          <w:rFonts w:ascii="Arial" w:eastAsia="Arial" w:hAnsi="Arial" w:cs="Arial"/>
          <w:bCs/>
          <w:sz w:val="24"/>
          <w:szCs w:val="24"/>
          <w:lang w:val="en-GB"/>
        </w:rPr>
      </w:pPr>
      <w:r>
        <w:rPr>
          <w:rFonts w:ascii="Arial" w:eastAsia="Arial" w:hAnsi="Arial" w:cs="Arial"/>
          <w:b/>
          <w:sz w:val="24"/>
          <w:szCs w:val="24"/>
          <w:lang w:val="en-GB"/>
        </w:rPr>
        <w:t>THE MINISTER OF TRANSPORT</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Cs/>
          <w:sz w:val="24"/>
          <w:szCs w:val="24"/>
          <w:lang w:val="en-GB"/>
        </w:rPr>
        <w:tab/>
        <w:t xml:space="preserve">  3</w:t>
      </w:r>
      <w:r>
        <w:rPr>
          <w:rFonts w:ascii="Arial" w:eastAsia="Arial" w:hAnsi="Arial" w:cs="Arial"/>
          <w:bCs/>
          <w:sz w:val="24"/>
          <w:szCs w:val="24"/>
          <w:vertAlign w:val="superscript"/>
          <w:lang w:val="en-GB"/>
        </w:rPr>
        <w:t xml:space="preserve">rd </w:t>
      </w:r>
      <w:r w:rsidR="00566C8A">
        <w:rPr>
          <w:rFonts w:ascii="Arial" w:eastAsia="Arial" w:hAnsi="Arial" w:cs="Arial"/>
          <w:bCs/>
          <w:sz w:val="24"/>
          <w:szCs w:val="24"/>
          <w:lang w:val="en-GB"/>
        </w:rPr>
        <w:t>Respondent</w:t>
      </w:r>
    </w:p>
    <w:p w14:paraId="18852F17" w14:textId="06DB77A3" w:rsidR="0090600B" w:rsidRPr="0090600B" w:rsidRDefault="0090600B" w:rsidP="00B33894">
      <w:pPr>
        <w:spacing w:before="120" w:line="240" w:lineRule="auto"/>
        <w:jc w:val="both"/>
        <w:rPr>
          <w:rFonts w:ascii="Arial" w:eastAsia="Arial" w:hAnsi="Arial" w:cs="Arial"/>
          <w:bCs/>
          <w:sz w:val="24"/>
          <w:szCs w:val="24"/>
          <w:lang w:val="en-GB"/>
        </w:rPr>
      </w:pPr>
      <w:r>
        <w:rPr>
          <w:rFonts w:ascii="Arial" w:eastAsia="Arial" w:hAnsi="Arial" w:cs="Arial"/>
          <w:b/>
          <w:sz w:val="24"/>
          <w:szCs w:val="24"/>
          <w:lang w:val="en-GB"/>
        </w:rPr>
        <w:t>XCALIBUR RESOURCES (PTY) LTD</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 xml:space="preserve">  </w:t>
      </w:r>
      <w:r>
        <w:rPr>
          <w:rFonts w:ascii="Arial" w:eastAsia="Arial" w:hAnsi="Arial" w:cs="Arial"/>
          <w:bCs/>
          <w:sz w:val="24"/>
          <w:szCs w:val="24"/>
          <w:lang w:val="en-GB"/>
        </w:rPr>
        <w:t>4</w:t>
      </w:r>
      <w:r w:rsidRPr="0090600B">
        <w:rPr>
          <w:rFonts w:ascii="Arial" w:eastAsia="Arial" w:hAnsi="Arial" w:cs="Arial"/>
          <w:bCs/>
          <w:sz w:val="24"/>
          <w:szCs w:val="24"/>
          <w:vertAlign w:val="superscript"/>
          <w:lang w:val="en-GB"/>
        </w:rPr>
        <w:t>th</w:t>
      </w:r>
      <w:r>
        <w:rPr>
          <w:rFonts w:ascii="Arial" w:eastAsia="Arial" w:hAnsi="Arial" w:cs="Arial"/>
          <w:bCs/>
          <w:sz w:val="24"/>
          <w:szCs w:val="24"/>
          <w:lang w:val="en-GB"/>
        </w:rPr>
        <w:t xml:space="preserve"> </w:t>
      </w:r>
      <w:r w:rsidR="00566C8A">
        <w:rPr>
          <w:rFonts w:ascii="Arial" w:eastAsia="Arial" w:hAnsi="Arial" w:cs="Arial"/>
          <w:bCs/>
          <w:sz w:val="24"/>
          <w:szCs w:val="24"/>
          <w:lang w:val="en-GB"/>
        </w:rPr>
        <w:t>Respondent</w:t>
      </w:r>
      <w:r>
        <w:rPr>
          <w:rFonts w:ascii="Arial" w:eastAsia="Arial" w:hAnsi="Arial" w:cs="Arial"/>
          <w:bCs/>
          <w:sz w:val="24"/>
          <w:szCs w:val="24"/>
          <w:lang w:val="en-GB"/>
        </w:rPr>
        <w:t xml:space="preserve"> </w:t>
      </w:r>
    </w:p>
    <w:p w14:paraId="655BE9F1" w14:textId="3092E4B7" w:rsidR="00E601F7" w:rsidRPr="007E4AE4" w:rsidRDefault="00E601F7" w:rsidP="007E4AE4">
      <w:pPr>
        <w:spacing w:after="0" w:line="240" w:lineRule="auto"/>
        <w:ind w:right="206"/>
        <w:jc w:val="both"/>
        <w:rPr>
          <w:rFonts w:ascii="Arial" w:eastAsia="Arial" w:hAnsi="Arial" w:cs="Arial"/>
          <w:bCs/>
          <w:sz w:val="24"/>
          <w:szCs w:val="24"/>
          <w:lang w:val="en-GB"/>
        </w:rPr>
      </w:pPr>
    </w:p>
    <w:p w14:paraId="122AB4BF" w14:textId="600051D0" w:rsidR="00E601F7" w:rsidRPr="00294709" w:rsidRDefault="00E601F7" w:rsidP="00E601F7">
      <w:pPr>
        <w:pBdr>
          <w:bottom w:val="single" w:sz="12" w:space="1" w:color="000000"/>
        </w:pBdr>
        <w:spacing w:after="0" w:line="240" w:lineRule="auto"/>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___________________________________________________________________</w:t>
      </w:r>
      <w:r w:rsidR="00B33894">
        <w:rPr>
          <w:rFonts w:ascii="Arial" w:eastAsia="Arial" w:hAnsi="Arial" w:cs="Arial"/>
          <w:b/>
          <w:sz w:val="24"/>
          <w:szCs w:val="24"/>
        </w:rPr>
        <w:t>_____</w:t>
      </w:r>
    </w:p>
    <w:p w14:paraId="0B64AFF9" w14:textId="77777777" w:rsidR="00E601F7" w:rsidRPr="00294709" w:rsidRDefault="00E601F7" w:rsidP="00E601F7">
      <w:pPr>
        <w:pBdr>
          <w:bottom w:val="single" w:sz="12" w:space="1" w:color="000000"/>
        </w:pBdr>
        <w:spacing w:after="0" w:line="240" w:lineRule="auto"/>
        <w:jc w:val="both"/>
        <w:rPr>
          <w:rFonts w:ascii="Arial" w:eastAsia="Arial" w:hAnsi="Arial" w:cs="Arial"/>
          <w:b/>
          <w:sz w:val="24"/>
          <w:szCs w:val="24"/>
        </w:rPr>
      </w:pPr>
    </w:p>
    <w:p w14:paraId="30BF99DB" w14:textId="133D19F9" w:rsidR="00E601F7" w:rsidRPr="00294709" w:rsidRDefault="00E601F7" w:rsidP="00E601F7">
      <w:pPr>
        <w:pBdr>
          <w:bottom w:val="single" w:sz="12" w:space="1" w:color="000000"/>
        </w:pBdr>
        <w:spacing w:after="0" w:line="240" w:lineRule="auto"/>
        <w:jc w:val="center"/>
        <w:rPr>
          <w:rFonts w:ascii="Arial" w:eastAsia="Arial" w:hAnsi="Arial" w:cs="Arial"/>
          <w:b/>
          <w:sz w:val="24"/>
          <w:szCs w:val="24"/>
        </w:rPr>
      </w:pPr>
      <w:r w:rsidRPr="00294709">
        <w:rPr>
          <w:rFonts w:ascii="Arial" w:eastAsia="Arial" w:hAnsi="Arial" w:cs="Arial"/>
          <w:b/>
          <w:sz w:val="24"/>
          <w:szCs w:val="24"/>
        </w:rPr>
        <w:t>JUDGMENT</w:t>
      </w:r>
    </w:p>
    <w:p w14:paraId="417E3B74" w14:textId="77777777" w:rsidR="00E601F7" w:rsidRPr="00294709" w:rsidRDefault="00E601F7" w:rsidP="00E601F7">
      <w:pPr>
        <w:pBdr>
          <w:bottom w:val="single" w:sz="12" w:space="1" w:color="000000"/>
        </w:pBdr>
        <w:spacing w:after="0" w:line="240" w:lineRule="auto"/>
        <w:jc w:val="both"/>
        <w:rPr>
          <w:rFonts w:ascii="Arial" w:eastAsia="Arial" w:hAnsi="Arial" w:cs="Arial"/>
          <w:b/>
          <w:sz w:val="24"/>
          <w:szCs w:val="24"/>
        </w:rPr>
      </w:pPr>
    </w:p>
    <w:p w14:paraId="22BBA344" w14:textId="77777777" w:rsidR="00E601F7" w:rsidRPr="00294709" w:rsidRDefault="00E601F7" w:rsidP="00E601F7">
      <w:pPr>
        <w:spacing w:after="0" w:line="240" w:lineRule="auto"/>
        <w:jc w:val="both"/>
        <w:rPr>
          <w:rFonts w:ascii="Arial" w:eastAsia="Arial" w:hAnsi="Arial" w:cs="Arial"/>
          <w:b/>
          <w:sz w:val="24"/>
          <w:szCs w:val="24"/>
        </w:rPr>
      </w:pPr>
    </w:p>
    <w:p w14:paraId="13731E2E" w14:textId="446C7EC2" w:rsidR="00E601F7" w:rsidRPr="00B0760E" w:rsidRDefault="003D0B9B" w:rsidP="003D0B9B">
      <w:pPr>
        <w:spacing w:after="0" w:line="240" w:lineRule="auto"/>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K </w:t>
      </w:r>
      <w:r w:rsidR="00E601F7" w:rsidRPr="00B0760E">
        <w:rPr>
          <w:rFonts w:ascii="Arial" w:eastAsia="Arial" w:hAnsi="Arial" w:cs="Arial"/>
          <w:b/>
          <w:color w:val="000000" w:themeColor="text1"/>
          <w:sz w:val="24"/>
          <w:szCs w:val="24"/>
        </w:rPr>
        <w:t>STRYDOM, AJ</w:t>
      </w:r>
    </w:p>
    <w:p w14:paraId="7E98659D" w14:textId="77777777" w:rsidR="00E601F7" w:rsidRPr="00B0760E" w:rsidRDefault="00E601F7" w:rsidP="00E601F7">
      <w:pPr>
        <w:pBdr>
          <w:top w:val="nil"/>
          <w:left w:val="nil"/>
          <w:bottom w:val="nil"/>
          <w:right w:val="nil"/>
          <w:between w:val="nil"/>
        </w:pBdr>
        <w:spacing w:after="0" w:line="360" w:lineRule="auto"/>
        <w:jc w:val="both"/>
        <w:rPr>
          <w:rFonts w:ascii="Arial" w:eastAsia="Arial" w:hAnsi="Arial" w:cs="Arial"/>
          <w:b/>
          <w:color w:val="000000" w:themeColor="text1"/>
          <w:sz w:val="24"/>
          <w:szCs w:val="24"/>
        </w:rPr>
      </w:pPr>
    </w:p>
    <w:p w14:paraId="271EA804" w14:textId="0093B4CB" w:rsidR="00E601F7" w:rsidRPr="00642E4C" w:rsidRDefault="00A37DA4" w:rsidP="00642E4C">
      <w:pPr>
        <w:pBdr>
          <w:top w:val="nil"/>
          <w:left w:val="nil"/>
          <w:bottom w:val="nil"/>
          <w:right w:val="nil"/>
          <w:between w:val="nil"/>
        </w:pBdr>
        <w:spacing w:before="120" w:line="360" w:lineRule="auto"/>
        <w:ind w:left="851" w:hanging="720"/>
        <w:jc w:val="both"/>
        <w:rPr>
          <w:rFonts w:ascii="Arial" w:eastAsia="Arial" w:hAnsi="Arial" w:cs="Arial"/>
          <w:color w:val="000000" w:themeColor="text1"/>
          <w:sz w:val="24"/>
          <w:szCs w:val="24"/>
        </w:rPr>
      </w:pPr>
      <w:r w:rsidRPr="00A37DA4">
        <w:rPr>
          <w:rFonts w:ascii="Arial" w:eastAsia="Arial" w:hAnsi="Arial" w:cs="Arial"/>
          <w:b/>
          <w:color w:val="000000" w:themeColor="text1"/>
          <w:sz w:val="24"/>
          <w:szCs w:val="24"/>
        </w:rPr>
        <w:t>Introduction:</w:t>
      </w:r>
    </w:p>
    <w:p w14:paraId="7B8CB175" w14:textId="4EEE607C" w:rsidR="00B270E6"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9A6D54">
        <w:rPr>
          <w:rFonts w:ascii="Arial" w:hAnsi="Arial" w:cs="Arial"/>
          <w:color w:val="000000" w:themeColor="text1"/>
          <w:sz w:val="24"/>
          <w:szCs w:val="24"/>
        </w:rPr>
        <w:t>1)</w:t>
      </w:r>
      <w:r w:rsidRPr="009A6D54">
        <w:rPr>
          <w:rFonts w:ascii="Arial" w:hAnsi="Arial" w:cs="Arial"/>
          <w:color w:val="000000" w:themeColor="text1"/>
          <w:sz w:val="24"/>
          <w:szCs w:val="24"/>
        </w:rPr>
        <w:tab/>
      </w:r>
      <w:r w:rsidR="00E33660" w:rsidRPr="002D0A15">
        <w:rPr>
          <w:rFonts w:ascii="Arial" w:hAnsi="Arial" w:cs="Arial"/>
          <w:color w:val="000000" w:themeColor="text1"/>
          <w:sz w:val="24"/>
          <w:szCs w:val="24"/>
        </w:rPr>
        <w:t>As with</w:t>
      </w:r>
      <w:r w:rsidR="00B270E6" w:rsidRPr="002D0A15">
        <w:rPr>
          <w:rFonts w:ascii="Arial" w:hAnsi="Arial" w:cs="Arial"/>
          <w:color w:val="000000" w:themeColor="text1"/>
          <w:sz w:val="24"/>
          <w:szCs w:val="24"/>
        </w:rPr>
        <w:t xml:space="preserve"> Romulus and Remus,</w:t>
      </w:r>
      <w:r w:rsidR="00DC1A41" w:rsidRPr="002D0A15">
        <w:rPr>
          <w:rFonts w:ascii="Arial" w:hAnsi="Arial" w:cs="Arial"/>
          <w:color w:val="000000" w:themeColor="text1"/>
          <w:sz w:val="24"/>
          <w:szCs w:val="24"/>
        </w:rPr>
        <w:t xml:space="preserve"> the acronyms</w:t>
      </w:r>
      <w:r w:rsidR="00B270E6" w:rsidRPr="002D0A15">
        <w:rPr>
          <w:rFonts w:ascii="Arial" w:hAnsi="Arial" w:cs="Arial"/>
          <w:color w:val="000000" w:themeColor="text1"/>
          <w:sz w:val="24"/>
          <w:szCs w:val="24"/>
        </w:rPr>
        <w:t xml:space="preserve"> </w:t>
      </w:r>
      <w:r w:rsidR="009A6D54" w:rsidRPr="002D0A15">
        <w:rPr>
          <w:rFonts w:ascii="Arial" w:hAnsi="Arial" w:cs="Arial"/>
          <w:color w:val="000000" w:themeColor="text1"/>
          <w:sz w:val="24"/>
          <w:szCs w:val="24"/>
        </w:rPr>
        <w:t>“</w:t>
      </w:r>
      <w:r w:rsidR="00B270E6" w:rsidRPr="002D0A15">
        <w:rPr>
          <w:rFonts w:ascii="Arial" w:hAnsi="Arial" w:cs="Arial"/>
          <w:color w:val="000000" w:themeColor="text1"/>
          <w:sz w:val="24"/>
          <w:szCs w:val="24"/>
        </w:rPr>
        <w:t>PAIA</w:t>
      </w:r>
      <w:r w:rsidR="009A6D54" w:rsidRPr="002D0A15">
        <w:rPr>
          <w:rFonts w:ascii="Arial" w:hAnsi="Arial" w:cs="Arial"/>
          <w:color w:val="000000" w:themeColor="text1"/>
          <w:sz w:val="24"/>
          <w:szCs w:val="24"/>
        </w:rPr>
        <w:t>”</w:t>
      </w:r>
      <w:r w:rsidR="00B270E6" w:rsidRPr="002D0A15">
        <w:rPr>
          <w:rFonts w:ascii="Arial" w:hAnsi="Arial" w:cs="Arial"/>
          <w:color w:val="000000" w:themeColor="text1"/>
          <w:sz w:val="24"/>
          <w:szCs w:val="24"/>
        </w:rPr>
        <w:t xml:space="preserve"> and </w:t>
      </w:r>
      <w:r w:rsidR="009A6D54" w:rsidRPr="002D0A15">
        <w:rPr>
          <w:rFonts w:ascii="Arial" w:hAnsi="Arial" w:cs="Arial"/>
          <w:color w:val="000000" w:themeColor="text1"/>
          <w:sz w:val="24"/>
          <w:szCs w:val="24"/>
        </w:rPr>
        <w:t>“</w:t>
      </w:r>
      <w:r w:rsidR="00B270E6" w:rsidRPr="002D0A15">
        <w:rPr>
          <w:rFonts w:ascii="Arial" w:hAnsi="Arial" w:cs="Arial"/>
          <w:color w:val="000000" w:themeColor="text1"/>
          <w:sz w:val="24"/>
          <w:szCs w:val="24"/>
        </w:rPr>
        <w:t>PAJA</w:t>
      </w:r>
      <w:r w:rsidR="009A6D54" w:rsidRPr="002D0A15">
        <w:rPr>
          <w:rFonts w:ascii="Arial" w:hAnsi="Arial" w:cs="Arial"/>
          <w:color w:val="000000" w:themeColor="text1"/>
          <w:sz w:val="24"/>
          <w:szCs w:val="24"/>
        </w:rPr>
        <w:t>”</w:t>
      </w:r>
      <w:r w:rsidR="00B270E6" w:rsidRPr="002D0A15">
        <w:rPr>
          <w:rFonts w:ascii="Arial" w:hAnsi="Arial" w:cs="Arial"/>
          <w:color w:val="000000" w:themeColor="text1"/>
          <w:sz w:val="24"/>
          <w:szCs w:val="24"/>
        </w:rPr>
        <w:t xml:space="preserve"> sound confusingly similar</w:t>
      </w:r>
      <w:r w:rsidR="0066516E" w:rsidRPr="002D0A15">
        <w:rPr>
          <w:rFonts w:ascii="Arial" w:hAnsi="Arial" w:cs="Arial"/>
          <w:color w:val="000000" w:themeColor="text1"/>
          <w:sz w:val="24"/>
          <w:szCs w:val="24"/>
        </w:rPr>
        <w:t>. However</w:t>
      </w:r>
      <w:r w:rsidR="00B270E6" w:rsidRPr="002D0A15">
        <w:rPr>
          <w:rFonts w:ascii="Arial" w:hAnsi="Arial" w:cs="Arial"/>
          <w:color w:val="000000" w:themeColor="text1"/>
          <w:sz w:val="24"/>
          <w:szCs w:val="24"/>
        </w:rPr>
        <w:t>, despite being borne of the same mothe</w:t>
      </w:r>
      <w:r w:rsidR="001144A3" w:rsidRPr="002D0A15">
        <w:rPr>
          <w:rFonts w:ascii="Arial" w:hAnsi="Arial" w:cs="Arial"/>
          <w:color w:val="000000" w:themeColor="text1"/>
          <w:sz w:val="24"/>
          <w:szCs w:val="24"/>
        </w:rPr>
        <w:t>r</w:t>
      </w:r>
      <w:r w:rsidR="00B270E6" w:rsidRPr="002D0A15">
        <w:rPr>
          <w:rFonts w:ascii="Arial" w:hAnsi="Arial" w:cs="Arial"/>
          <w:color w:val="000000" w:themeColor="text1"/>
          <w:sz w:val="24"/>
          <w:szCs w:val="24"/>
        </w:rPr>
        <w:t>,</w:t>
      </w:r>
      <w:r w:rsidR="007131F9" w:rsidRPr="002D0A15">
        <w:rPr>
          <w:rFonts w:ascii="Arial" w:hAnsi="Arial" w:cs="Arial"/>
          <w:color w:val="000000" w:themeColor="text1"/>
          <w:sz w:val="24"/>
          <w:szCs w:val="24"/>
        </w:rPr>
        <w:t xml:space="preserve"> the</w:t>
      </w:r>
      <w:r w:rsidR="00A52E9A" w:rsidRPr="002D0A15">
        <w:rPr>
          <w:rFonts w:ascii="Arial" w:hAnsi="Arial" w:cs="Arial"/>
          <w:color w:val="000000" w:themeColor="text1"/>
          <w:sz w:val="24"/>
          <w:szCs w:val="24"/>
        </w:rPr>
        <w:t xml:space="preserve">y are </w:t>
      </w:r>
      <w:r w:rsidR="0066516E" w:rsidRPr="002D0A15">
        <w:rPr>
          <w:rFonts w:ascii="Arial" w:hAnsi="Arial" w:cs="Arial"/>
          <w:color w:val="000000" w:themeColor="text1"/>
          <w:sz w:val="24"/>
          <w:szCs w:val="24"/>
        </w:rPr>
        <w:t>individuals</w:t>
      </w:r>
      <w:r w:rsidR="00A52E9A" w:rsidRPr="002D0A15">
        <w:rPr>
          <w:rFonts w:ascii="Arial" w:hAnsi="Arial" w:cs="Arial"/>
          <w:color w:val="000000" w:themeColor="text1"/>
          <w:sz w:val="24"/>
          <w:szCs w:val="24"/>
        </w:rPr>
        <w:t xml:space="preserve"> in their own right</w:t>
      </w:r>
      <w:r w:rsidR="00B270E6" w:rsidRPr="002D0A15">
        <w:rPr>
          <w:rFonts w:ascii="Arial" w:hAnsi="Arial" w:cs="Arial"/>
          <w:color w:val="000000" w:themeColor="text1"/>
          <w:sz w:val="24"/>
          <w:szCs w:val="24"/>
        </w:rPr>
        <w:t>. Confuse or conflate the two and you will get the tail</w:t>
      </w:r>
      <w:r w:rsidR="009C12A4" w:rsidRPr="002D0A15">
        <w:rPr>
          <w:rFonts w:ascii="Arial" w:hAnsi="Arial" w:cs="Arial"/>
          <w:color w:val="000000" w:themeColor="text1"/>
          <w:sz w:val="24"/>
          <w:szCs w:val="24"/>
        </w:rPr>
        <w:t>-</w:t>
      </w:r>
      <w:r w:rsidR="00B270E6" w:rsidRPr="002D0A15">
        <w:rPr>
          <w:rFonts w:ascii="Arial" w:hAnsi="Arial" w:cs="Arial"/>
          <w:color w:val="000000" w:themeColor="text1"/>
          <w:sz w:val="24"/>
          <w:szCs w:val="24"/>
        </w:rPr>
        <w:t xml:space="preserve">end of </w:t>
      </w:r>
      <w:r w:rsidR="000D191F" w:rsidRPr="002D0A15">
        <w:rPr>
          <w:rFonts w:ascii="Arial" w:hAnsi="Arial" w:cs="Arial"/>
          <w:color w:val="000000" w:themeColor="text1"/>
          <w:sz w:val="24"/>
          <w:szCs w:val="24"/>
        </w:rPr>
        <w:t>the</w:t>
      </w:r>
      <w:r w:rsidR="00B270E6" w:rsidRPr="002D0A15">
        <w:rPr>
          <w:rFonts w:ascii="Arial" w:hAnsi="Arial" w:cs="Arial"/>
          <w:color w:val="000000" w:themeColor="text1"/>
          <w:sz w:val="24"/>
          <w:szCs w:val="24"/>
        </w:rPr>
        <w:t xml:space="preserve"> story, an incorrect interpretation of the law </w:t>
      </w:r>
      <w:r w:rsidR="00BB22F4" w:rsidRPr="002D0A15">
        <w:rPr>
          <w:rFonts w:ascii="Arial" w:hAnsi="Arial" w:cs="Arial"/>
          <w:color w:val="000000" w:themeColor="text1"/>
          <w:sz w:val="24"/>
          <w:szCs w:val="24"/>
        </w:rPr>
        <w:t xml:space="preserve">or </w:t>
      </w:r>
      <w:r w:rsidR="00B270E6" w:rsidRPr="002D0A15">
        <w:rPr>
          <w:rFonts w:ascii="Arial" w:hAnsi="Arial" w:cs="Arial"/>
          <w:color w:val="000000" w:themeColor="text1"/>
          <w:sz w:val="24"/>
          <w:szCs w:val="24"/>
        </w:rPr>
        <w:t>a</w:t>
      </w:r>
      <w:r w:rsidR="009A6D54" w:rsidRPr="002D0A15">
        <w:rPr>
          <w:rFonts w:ascii="Arial" w:hAnsi="Arial" w:cs="Arial"/>
          <w:color w:val="000000" w:themeColor="text1"/>
          <w:sz w:val="24"/>
          <w:szCs w:val="24"/>
        </w:rPr>
        <w:t>n oddly</w:t>
      </w:r>
      <w:r w:rsidR="00B270E6" w:rsidRPr="002D0A15">
        <w:rPr>
          <w:rFonts w:ascii="Arial" w:hAnsi="Arial" w:cs="Arial"/>
          <w:color w:val="000000" w:themeColor="text1"/>
          <w:sz w:val="24"/>
          <w:szCs w:val="24"/>
        </w:rPr>
        <w:t xml:space="preserve"> named city in Italy.</w:t>
      </w:r>
    </w:p>
    <w:p w14:paraId="3BA399F8" w14:textId="6AB6E372" w:rsidR="00510E5E"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6F1158">
        <w:rPr>
          <w:rFonts w:ascii="Arial" w:hAnsi="Arial" w:cs="Arial"/>
          <w:color w:val="000000" w:themeColor="text1"/>
          <w:sz w:val="24"/>
          <w:szCs w:val="24"/>
        </w:rPr>
        <w:lastRenderedPageBreak/>
        <w:t>2)</w:t>
      </w:r>
      <w:r w:rsidRPr="006F1158">
        <w:rPr>
          <w:rFonts w:ascii="Arial" w:hAnsi="Arial" w:cs="Arial"/>
          <w:color w:val="000000" w:themeColor="text1"/>
          <w:sz w:val="24"/>
          <w:szCs w:val="24"/>
        </w:rPr>
        <w:tab/>
      </w:r>
      <w:r w:rsidR="00E52740" w:rsidRPr="002D0A15">
        <w:rPr>
          <w:rFonts w:ascii="Arial" w:hAnsi="Arial" w:cs="Arial"/>
          <w:color w:val="000000" w:themeColor="text1"/>
          <w:sz w:val="24"/>
          <w:szCs w:val="24"/>
        </w:rPr>
        <w:t>In</w:t>
      </w:r>
      <w:r w:rsidR="00BE32F7" w:rsidRPr="002D0A15">
        <w:rPr>
          <w:rFonts w:ascii="Arial" w:hAnsi="Arial" w:cs="Arial"/>
          <w:color w:val="000000" w:themeColor="text1"/>
          <w:sz w:val="24"/>
          <w:szCs w:val="24"/>
        </w:rPr>
        <w:t xml:space="preserve"> an opposed application for access to </w:t>
      </w:r>
      <w:r w:rsidR="00637DB5" w:rsidRPr="002D0A15">
        <w:rPr>
          <w:rFonts w:ascii="Arial" w:hAnsi="Arial" w:cs="Arial"/>
          <w:color w:val="000000" w:themeColor="text1"/>
          <w:sz w:val="24"/>
          <w:szCs w:val="24"/>
        </w:rPr>
        <w:t>records</w:t>
      </w:r>
      <w:r w:rsidR="00BE32F7" w:rsidRPr="002D0A15">
        <w:rPr>
          <w:rFonts w:ascii="Arial" w:hAnsi="Arial" w:cs="Arial"/>
          <w:color w:val="000000" w:themeColor="text1"/>
          <w:sz w:val="24"/>
          <w:szCs w:val="24"/>
        </w:rPr>
        <w:t xml:space="preserve"> in terms of the Promotion of Access to Information Act </w:t>
      </w:r>
      <w:r w:rsidR="00896C77" w:rsidRPr="002D0A15">
        <w:rPr>
          <w:rFonts w:ascii="Arial" w:hAnsi="Arial" w:cs="Arial"/>
          <w:color w:val="000000" w:themeColor="text1"/>
          <w:sz w:val="24"/>
          <w:szCs w:val="24"/>
        </w:rPr>
        <w:t xml:space="preserve">2 of 2000 </w:t>
      </w:r>
      <w:r w:rsidR="00990E4C" w:rsidRPr="002D0A15">
        <w:rPr>
          <w:rFonts w:ascii="Arial" w:hAnsi="Arial" w:cs="Arial"/>
          <w:color w:val="000000" w:themeColor="text1"/>
          <w:sz w:val="24"/>
          <w:szCs w:val="24"/>
        </w:rPr>
        <w:t>(“PAIA”)</w:t>
      </w:r>
      <w:r w:rsidR="00006BB3" w:rsidRPr="002D0A15">
        <w:rPr>
          <w:rFonts w:ascii="Arial" w:eastAsiaTheme="minorHAnsi" w:hAnsi="Arial" w:cs="Arial"/>
          <w:color w:val="000000" w:themeColor="text1"/>
          <w:sz w:val="24"/>
          <w:szCs w:val="24"/>
          <w:lang w:eastAsia="en-US"/>
          <w14:ligatures w14:val="standardContextual"/>
        </w:rPr>
        <w:t xml:space="preserve">, </w:t>
      </w:r>
      <w:r w:rsidR="001F3AD2" w:rsidRPr="002D0A15">
        <w:rPr>
          <w:rFonts w:ascii="Arial" w:eastAsiaTheme="minorHAnsi" w:hAnsi="Arial" w:cs="Arial"/>
          <w:color w:val="000000" w:themeColor="text1"/>
          <w:sz w:val="24"/>
          <w:szCs w:val="24"/>
          <w:lang w:eastAsia="en-US"/>
          <w14:ligatures w14:val="standardContextual"/>
        </w:rPr>
        <w:t xml:space="preserve">both </w:t>
      </w:r>
      <w:r w:rsidR="00491EF0" w:rsidRPr="002D0A15">
        <w:rPr>
          <w:rFonts w:ascii="Arial" w:eastAsiaTheme="minorHAnsi" w:hAnsi="Arial" w:cs="Arial"/>
          <w:color w:val="000000" w:themeColor="text1"/>
          <w:sz w:val="24"/>
          <w:szCs w:val="24"/>
          <w:lang w:eastAsia="en-US"/>
          <w14:ligatures w14:val="standardContextual"/>
        </w:rPr>
        <w:t xml:space="preserve">the </w:t>
      </w:r>
      <w:r w:rsidR="00566C8A" w:rsidRPr="002D0A15">
        <w:rPr>
          <w:rFonts w:ascii="Arial" w:eastAsiaTheme="minorHAnsi" w:hAnsi="Arial" w:cs="Arial"/>
          <w:color w:val="000000" w:themeColor="text1"/>
          <w:sz w:val="24"/>
          <w:szCs w:val="24"/>
          <w:lang w:eastAsia="en-US"/>
          <w14:ligatures w14:val="standardContextual"/>
        </w:rPr>
        <w:t>Applicant</w:t>
      </w:r>
      <w:r w:rsidR="003E166D" w:rsidRPr="002D0A15">
        <w:rPr>
          <w:rFonts w:ascii="Arial" w:eastAsiaTheme="minorHAnsi" w:hAnsi="Arial" w:cs="Arial"/>
          <w:color w:val="000000" w:themeColor="text1"/>
          <w:sz w:val="24"/>
          <w:szCs w:val="24"/>
          <w:lang w:eastAsia="en-US"/>
          <w14:ligatures w14:val="standardContextual"/>
        </w:rPr>
        <w:t xml:space="preserve"> (to a lesser</w:t>
      </w:r>
      <w:r w:rsidR="00491EF0" w:rsidRPr="002D0A15">
        <w:rPr>
          <w:rFonts w:ascii="Arial" w:eastAsiaTheme="minorHAnsi" w:hAnsi="Arial" w:cs="Arial"/>
          <w:color w:val="000000" w:themeColor="text1"/>
          <w:sz w:val="24"/>
          <w:szCs w:val="24"/>
          <w:lang w:eastAsia="en-US"/>
          <w14:ligatures w14:val="standardContextual"/>
        </w:rPr>
        <w:t>)</w:t>
      </w:r>
      <w:r w:rsidR="003E166D" w:rsidRPr="002D0A15">
        <w:rPr>
          <w:rFonts w:ascii="Arial" w:eastAsiaTheme="minorHAnsi" w:hAnsi="Arial" w:cs="Arial"/>
          <w:color w:val="000000" w:themeColor="text1"/>
          <w:sz w:val="24"/>
          <w:szCs w:val="24"/>
          <w:lang w:eastAsia="en-US"/>
          <w14:ligatures w14:val="standardContextual"/>
        </w:rPr>
        <w:t xml:space="preserve"> and</w:t>
      </w:r>
      <w:r w:rsidR="00491EF0" w:rsidRPr="002D0A15">
        <w:rPr>
          <w:rFonts w:ascii="Arial" w:eastAsiaTheme="minorHAnsi" w:hAnsi="Arial" w:cs="Arial"/>
          <w:color w:val="000000" w:themeColor="text1"/>
          <w:sz w:val="24"/>
          <w:szCs w:val="24"/>
          <w:lang w:eastAsia="en-US"/>
          <w14:ligatures w14:val="standardContextual"/>
        </w:rPr>
        <w:t xml:space="preserve"> the </w:t>
      </w:r>
      <w:r w:rsidR="00566C8A" w:rsidRPr="002D0A15">
        <w:rPr>
          <w:rFonts w:ascii="Arial" w:eastAsiaTheme="minorHAnsi" w:hAnsi="Arial" w:cs="Arial"/>
          <w:color w:val="000000" w:themeColor="text1"/>
          <w:sz w:val="24"/>
          <w:szCs w:val="24"/>
          <w:lang w:eastAsia="en-US"/>
          <w14:ligatures w14:val="standardContextual"/>
        </w:rPr>
        <w:t>Respondent</w:t>
      </w:r>
      <w:r w:rsidR="009E6E1A" w:rsidRPr="002D0A15">
        <w:rPr>
          <w:rFonts w:ascii="Arial" w:eastAsiaTheme="minorHAnsi" w:hAnsi="Arial" w:cs="Arial"/>
          <w:color w:val="000000" w:themeColor="text1"/>
          <w:sz w:val="24"/>
          <w:szCs w:val="24"/>
          <w:lang w:eastAsia="en-US"/>
          <w14:ligatures w14:val="standardContextual"/>
        </w:rPr>
        <w:t xml:space="preserve"> (to a</w:t>
      </w:r>
      <w:r w:rsidR="003E166D" w:rsidRPr="002D0A15">
        <w:rPr>
          <w:rFonts w:ascii="Arial" w:eastAsiaTheme="minorHAnsi" w:hAnsi="Arial" w:cs="Arial"/>
          <w:color w:val="000000" w:themeColor="text1"/>
          <w:sz w:val="24"/>
          <w:szCs w:val="24"/>
          <w:lang w:eastAsia="en-US"/>
          <w14:ligatures w14:val="standardContextual"/>
        </w:rPr>
        <w:t xml:space="preserve"> greater </w:t>
      </w:r>
      <w:r w:rsidR="00BB22F4" w:rsidRPr="002D0A15">
        <w:rPr>
          <w:rFonts w:ascii="Arial" w:eastAsiaTheme="minorHAnsi" w:hAnsi="Arial" w:cs="Arial"/>
          <w:color w:val="000000" w:themeColor="text1"/>
          <w:sz w:val="24"/>
          <w:szCs w:val="24"/>
          <w:lang w:eastAsia="en-US"/>
          <w14:ligatures w14:val="standardContextual"/>
        </w:rPr>
        <w:t>extent) laboured</w:t>
      </w:r>
      <w:r w:rsidR="003E166D" w:rsidRPr="002D0A15">
        <w:rPr>
          <w:rFonts w:ascii="Arial" w:eastAsiaTheme="minorHAnsi" w:hAnsi="Arial" w:cs="Arial"/>
          <w:color w:val="000000" w:themeColor="text1"/>
          <w:sz w:val="24"/>
          <w:szCs w:val="24"/>
          <w:lang w:eastAsia="en-US"/>
          <w14:ligatures w14:val="standardContextual"/>
        </w:rPr>
        <w:t xml:space="preserve"> under the </w:t>
      </w:r>
      <w:r w:rsidR="00AE6317" w:rsidRPr="002D0A15">
        <w:rPr>
          <w:rFonts w:ascii="Arial" w:eastAsiaTheme="minorHAnsi" w:hAnsi="Arial" w:cs="Arial"/>
          <w:color w:val="000000" w:themeColor="text1"/>
          <w:sz w:val="24"/>
          <w:szCs w:val="24"/>
          <w:lang w:eastAsia="en-US"/>
          <w14:ligatures w14:val="standardContextual"/>
        </w:rPr>
        <w:t xml:space="preserve">incorrect </w:t>
      </w:r>
      <w:r w:rsidR="003E166D" w:rsidRPr="002D0A15">
        <w:rPr>
          <w:rFonts w:ascii="Arial" w:eastAsiaTheme="minorHAnsi" w:hAnsi="Arial" w:cs="Arial"/>
          <w:color w:val="000000" w:themeColor="text1"/>
          <w:sz w:val="24"/>
          <w:szCs w:val="24"/>
          <w:lang w:eastAsia="en-US"/>
          <w14:ligatures w14:val="standardContextual"/>
        </w:rPr>
        <w:t xml:space="preserve">impression that </w:t>
      </w:r>
      <w:r w:rsidR="00FA2707" w:rsidRPr="002D0A15">
        <w:rPr>
          <w:rFonts w:ascii="Arial" w:eastAsiaTheme="minorHAnsi" w:hAnsi="Arial" w:cs="Arial"/>
          <w:color w:val="000000" w:themeColor="text1"/>
          <w:sz w:val="24"/>
          <w:szCs w:val="24"/>
          <w:lang w:eastAsia="en-US"/>
          <w14:ligatures w14:val="standardContextual"/>
        </w:rPr>
        <w:t xml:space="preserve">they were in </w:t>
      </w:r>
      <w:r w:rsidR="00566C8A" w:rsidRPr="002D0A15">
        <w:rPr>
          <w:rFonts w:ascii="Arial" w:eastAsiaTheme="minorHAnsi" w:hAnsi="Arial" w:cs="Arial"/>
          <w:color w:val="000000" w:themeColor="text1"/>
          <w:sz w:val="24"/>
          <w:szCs w:val="24"/>
          <w:lang w:eastAsia="en-US"/>
          <w14:ligatures w14:val="standardContextual"/>
        </w:rPr>
        <w:t>Court</w:t>
      </w:r>
      <w:r w:rsidR="00FA2707" w:rsidRPr="002D0A15">
        <w:rPr>
          <w:rFonts w:ascii="Arial" w:eastAsiaTheme="minorHAnsi" w:hAnsi="Arial" w:cs="Arial"/>
          <w:color w:val="000000" w:themeColor="text1"/>
          <w:sz w:val="24"/>
          <w:szCs w:val="24"/>
          <w:lang w:eastAsia="en-US"/>
          <w14:ligatures w14:val="standardContextual"/>
        </w:rPr>
        <w:t xml:space="preserve"> for </w:t>
      </w:r>
      <w:r w:rsidR="003E166D" w:rsidRPr="002D0A15">
        <w:rPr>
          <w:rFonts w:ascii="Arial" w:eastAsiaTheme="minorHAnsi" w:hAnsi="Arial" w:cs="Arial"/>
          <w:color w:val="000000" w:themeColor="text1"/>
          <w:sz w:val="24"/>
          <w:szCs w:val="24"/>
          <w:lang w:eastAsia="en-US"/>
          <w14:ligatures w14:val="standardContextual"/>
        </w:rPr>
        <w:t>a review application</w:t>
      </w:r>
      <w:r w:rsidR="00B225E2" w:rsidRPr="002D0A15">
        <w:rPr>
          <w:rFonts w:ascii="Arial" w:eastAsiaTheme="minorHAnsi" w:hAnsi="Arial" w:cs="Arial"/>
          <w:color w:val="000000" w:themeColor="text1"/>
          <w:sz w:val="24"/>
          <w:szCs w:val="24"/>
          <w:lang w:eastAsia="en-US"/>
          <w14:ligatures w14:val="standardContextual"/>
        </w:rPr>
        <w:t xml:space="preserve">. This fundamental </w:t>
      </w:r>
      <w:r w:rsidR="00600DC0" w:rsidRPr="002D0A15">
        <w:rPr>
          <w:rFonts w:ascii="Arial" w:eastAsiaTheme="minorHAnsi" w:hAnsi="Arial" w:cs="Arial"/>
          <w:color w:val="000000" w:themeColor="text1"/>
          <w:sz w:val="24"/>
          <w:szCs w:val="24"/>
          <w:lang w:eastAsia="en-US"/>
          <w14:ligatures w14:val="standardContextual"/>
        </w:rPr>
        <w:t>error</w:t>
      </w:r>
      <w:r w:rsidR="009C7FF9" w:rsidRPr="002D0A15">
        <w:rPr>
          <w:rFonts w:ascii="Arial" w:eastAsiaTheme="minorHAnsi" w:hAnsi="Arial" w:cs="Arial"/>
          <w:color w:val="000000" w:themeColor="text1"/>
          <w:sz w:val="24"/>
          <w:szCs w:val="24"/>
          <w:lang w:eastAsia="en-US"/>
          <w14:ligatures w14:val="standardContextual"/>
        </w:rPr>
        <w:t xml:space="preserve"> had an exponential ripple </w:t>
      </w:r>
      <w:r w:rsidR="00FA2707" w:rsidRPr="002D0A15">
        <w:rPr>
          <w:rFonts w:ascii="Arial" w:eastAsiaTheme="minorHAnsi" w:hAnsi="Arial" w:cs="Arial"/>
          <w:color w:val="000000" w:themeColor="text1"/>
          <w:sz w:val="24"/>
          <w:szCs w:val="24"/>
          <w:lang w:eastAsia="en-US"/>
          <w14:ligatures w14:val="standardContextual"/>
        </w:rPr>
        <w:t>e</w:t>
      </w:r>
      <w:r w:rsidR="009C7FF9" w:rsidRPr="002D0A15">
        <w:rPr>
          <w:rFonts w:ascii="Arial" w:eastAsiaTheme="minorHAnsi" w:hAnsi="Arial" w:cs="Arial"/>
          <w:color w:val="000000" w:themeColor="text1"/>
          <w:sz w:val="24"/>
          <w:szCs w:val="24"/>
          <w:lang w:eastAsia="en-US"/>
          <w14:ligatures w14:val="standardContextual"/>
        </w:rPr>
        <w:t>ffect that</w:t>
      </w:r>
      <w:r w:rsidR="00CD40B6" w:rsidRPr="002D0A15">
        <w:rPr>
          <w:rFonts w:ascii="Arial" w:eastAsiaTheme="minorHAnsi" w:hAnsi="Arial" w:cs="Arial"/>
          <w:color w:val="000000" w:themeColor="text1"/>
          <w:sz w:val="24"/>
          <w:szCs w:val="24"/>
          <w:lang w:eastAsia="en-US"/>
          <w14:ligatures w14:val="standardContextual"/>
        </w:rPr>
        <w:t xml:space="preserve"> greatly complicated and conflated the issues</w:t>
      </w:r>
      <w:r w:rsidR="00FA2707" w:rsidRPr="002D0A15">
        <w:rPr>
          <w:rFonts w:ascii="Arial" w:eastAsiaTheme="minorHAnsi" w:hAnsi="Arial" w:cs="Arial"/>
          <w:color w:val="000000" w:themeColor="text1"/>
          <w:sz w:val="24"/>
          <w:szCs w:val="24"/>
          <w:lang w:eastAsia="en-US"/>
          <w14:ligatures w14:val="standardContextual"/>
        </w:rPr>
        <w:t>.</w:t>
      </w:r>
      <w:r w:rsidR="00CD40B6" w:rsidRPr="002D0A15">
        <w:rPr>
          <w:rFonts w:ascii="Arial" w:eastAsiaTheme="minorHAnsi" w:hAnsi="Arial" w:cs="Arial"/>
          <w:color w:val="000000" w:themeColor="text1"/>
          <w:sz w:val="24"/>
          <w:szCs w:val="24"/>
          <w:lang w:eastAsia="en-US"/>
          <w14:ligatures w14:val="standardContextual"/>
        </w:rPr>
        <w:t xml:space="preserve"> </w:t>
      </w:r>
    </w:p>
    <w:p w14:paraId="31670903" w14:textId="69A0060E" w:rsidR="00004EBD" w:rsidRPr="00004EBD" w:rsidRDefault="002D0A15" w:rsidP="002D0A15">
      <w:pPr>
        <w:pStyle w:val="NormalWeb"/>
        <w:shd w:val="clear" w:color="auto" w:fill="FFFFFF"/>
        <w:spacing w:before="120" w:beforeAutospacing="0" w:after="120" w:afterAutospacing="0" w:line="360" w:lineRule="auto"/>
        <w:ind w:left="426" w:hanging="502"/>
        <w:textAlignment w:val="baseline"/>
        <w:rPr>
          <w:rFonts w:ascii="Helvetica" w:hAnsi="Helvetica"/>
          <w:color w:val="000000" w:themeColor="text1"/>
        </w:rPr>
      </w:pPr>
      <w:r w:rsidRPr="00004EBD">
        <w:rPr>
          <w:rFonts w:ascii="Helvetica" w:hAnsi="Helvetica"/>
          <w:color w:val="000000" w:themeColor="text1"/>
        </w:rPr>
        <w:t>3)</w:t>
      </w:r>
      <w:r w:rsidRPr="00004EBD">
        <w:rPr>
          <w:rFonts w:ascii="Helvetica" w:hAnsi="Helvetica"/>
          <w:color w:val="000000" w:themeColor="text1"/>
        </w:rPr>
        <w:tab/>
      </w:r>
      <w:r w:rsidR="007C070A">
        <w:rPr>
          <w:rFonts w:ascii="Arial" w:hAnsi="Arial" w:cs="Arial"/>
          <w:color w:val="000000" w:themeColor="text1"/>
        </w:rPr>
        <w:t>T</w:t>
      </w:r>
      <w:r w:rsidR="001F0D46">
        <w:rPr>
          <w:rFonts w:ascii="Arial" w:hAnsi="Arial" w:cs="Arial"/>
          <w:color w:val="000000" w:themeColor="text1"/>
        </w:rPr>
        <w:t>yping</w:t>
      </w:r>
      <w:r w:rsidR="00122BDA">
        <w:rPr>
          <w:rFonts w:ascii="Arial" w:hAnsi="Arial" w:cs="Arial"/>
          <w:color w:val="000000" w:themeColor="text1"/>
        </w:rPr>
        <w:t xml:space="preserve"> applications in terms of PAIA as </w:t>
      </w:r>
      <w:r w:rsidR="00D00FCE">
        <w:rPr>
          <w:rFonts w:ascii="Arial" w:hAnsi="Arial" w:cs="Arial"/>
          <w:color w:val="000000" w:themeColor="text1"/>
        </w:rPr>
        <w:t>“applications for review”</w:t>
      </w:r>
      <w:r w:rsidR="00122BDA">
        <w:rPr>
          <w:rFonts w:ascii="Arial" w:hAnsi="Arial" w:cs="Arial"/>
          <w:color w:val="000000" w:themeColor="text1"/>
        </w:rPr>
        <w:t xml:space="preserve">, is a </w:t>
      </w:r>
      <w:r w:rsidR="004238AE">
        <w:rPr>
          <w:rFonts w:ascii="Arial" w:hAnsi="Arial" w:cs="Arial"/>
          <w:color w:val="000000" w:themeColor="text1"/>
        </w:rPr>
        <w:t xml:space="preserve">dangerous </w:t>
      </w:r>
      <w:r w:rsidR="00122BDA">
        <w:rPr>
          <w:rFonts w:ascii="Arial" w:hAnsi="Arial" w:cs="Arial"/>
          <w:color w:val="000000" w:themeColor="text1"/>
        </w:rPr>
        <w:t>misnomer</w:t>
      </w:r>
      <w:r w:rsidR="008E38ED">
        <w:rPr>
          <w:rFonts w:ascii="Arial" w:hAnsi="Arial" w:cs="Arial"/>
          <w:color w:val="000000" w:themeColor="text1"/>
        </w:rPr>
        <w:t xml:space="preserve">, </w:t>
      </w:r>
      <w:r w:rsidR="004C707C">
        <w:rPr>
          <w:rFonts w:ascii="Arial" w:hAnsi="Arial" w:cs="Arial"/>
          <w:color w:val="000000" w:themeColor="text1"/>
        </w:rPr>
        <w:t>which</w:t>
      </w:r>
      <w:r w:rsidR="008E38ED">
        <w:rPr>
          <w:rFonts w:ascii="Arial" w:hAnsi="Arial" w:cs="Arial"/>
          <w:color w:val="000000" w:themeColor="text1"/>
        </w:rPr>
        <w:t>,</w:t>
      </w:r>
      <w:r w:rsidR="004C707C">
        <w:rPr>
          <w:rFonts w:ascii="Arial" w:hAnsi="Arial" w:cs="Arial"/>
          <w:color w:val="000000" w:themeColor="text1"/>
        </w:rPr>
        <w:t xml:space="preserve"> from the outset </w:t>
      </w:r>
      <w:r w:rsidR="008E38ED">
        <w:rPr>
          <w:rFonts w:ascii="Arial" w:hAnsi="Arial" w:cs="Arial"/>
          <w:color w:val="000000" w:themeColor="text1"/>
        </w:rPr>
        <w:t>places such applications in the wrong context.</w:t>
      </w:r>
      <w:r w:rsidR="00004EBD">
        <w:rPr>
          <w:rFonts w:ascii="Arial" w:hAnsi="Arial" w:cs="Arial"/>
          <w:color w:val="000000" w:themeColor="text1"/>
        </w:rPr>
        <w:t xml:space="preserve"> As will become evident in this judgment, context is everyt</w:t>
      </w:r>
      <w:r w:rsidR="00435D6A">
        <w:rPr>
          <w:rFonts w:ascii="Arial" w:hAnsi="Arial" w:cs="Arial"/>
          <w:color w:val="000000" w:themeColor="text1"/>
        </w:rPr>
        <w:t>hing</w:t>
      </w:r>
      <w:r w:rsidR="00004EBD">
        <w:rPr>
          <w:rFonts w:ascii="Arial" w:hAnsi="Arial" w:cs="Arial"/>
          <w:color w:val="000000" w:themeColor="text1"/>
        </w:rPr>
        <w:t>.</w:t>
      </w:r>
    </w:p>
    <w:p w14:paraId="5CD3660E" w14:textId="5D037B5A" w:rsidR="0027508D" w:rsidRPr="0027508D" w:rsidRDefault="002D0A15" w:rsidP="002D0A15">
      <w:pPr>
        <w:pStyle w:val="NormalWeb"/>
        <w:shd w:val="clear" w:color="auto" w:fill="FFFFFF"/>
        <w:spacing w:before="120" w:beforeAutospacing="0" w:after="120" w:afterAutospacing="0" w:line="360" w:lineRule="auto"/>
        <w:ind w:left="426" w:hanging="502"/>
        <w:textAlignment w:val="baseline"/>
        <w:rPr>
          <w:rFonts w:ascii="Helvetica" w:hAnsi="Helvetica"/>
          <w:color w:val="000000" w:themeColor="text1"/>
        </w:rPr>
      </w:pPr>
      <w:r w:rsidRPr="0027508D">
        <w:rPr>
          <w:rFonts w:ascii="Helvetica" w:hAnsi="Helvetica"/>
          <w:color w:val="000000" w:themeColor="text1"/>
        </w:rPr>
        <w:t>4)</w:t>
      </w:r>
      <w:r w:rsidRPr="0027508D">
        <w:rPr>
          <w:rFonts w:ascii="Helvetica" w:hAnsi="Helvetica"/>
          <w:color w:val="000000" w:themeColor="text1"/>
        </w:rPr>
        <w:tab/>
      </w:r>
      <w:r w:rsidR="00020BE5">
        <w:rPr>
          <w:rFonts w:ascii="Arial" w:hAnsi="Arial" w:cs="Arial"/>
          <w:color w:val="000000" w:themeColor="text1"/>
        </w:rPr>
        <w:t xml:space="preserve"> </w:t>
      </w:r>
      <w:r w:rsidR="00F4780D">
        <w:rPr>
          <w:rFonts w:ascii="Arial" w:hAnsi="Arial" w:cs="Arial"/>
          <w:color w:val="000000" w:themeColor="text1"/>
        </w:rPr>
        <w:t xml:space="preserve">Whilst the </w:t>
      </w:r>
      <w:r w:rsidR="00566C8A">
        <w:rPr>
          <w:rFonts w:ascii="Arial" w:hAnsi="Arial" w:cs="Arial"/>
          <w:color w:val="000000" w:themeColor="text1"/>
        </w:rPr>
        <w:t>Court</w:t>
      </w:r>
      <w:r w:rsidR="00F4780D">
        <w:rPr>
          <w:rFonts w:ascii="Arial" w:hAnsi="Arial" w:cs="Arial"/>
          <w:color w:val="000000" w:themeColor="text1"/>
        </w:rPr>
        <w:t xml:space="preserve"> naturally has to review (in the normal </w:t>
      </w:r>
      <w:r w:rsidR="00DB6281">
        <w:rPr>
          <w:rFonts w:ascii="Arial" w:hAnsi="Arial" w:cs="Arial"/>
          <w:color w:val="000000" w:themeColor="text1"/>
        </w:rPr>
        <w:t xml:space="preserve">grammatical </w:t>
      </w:r>
      <w:r w:rsidR="00F4780D">
        <w:rPr>
          <w:rFonts w:ascii="Arial" w:hAnsi="Arial" w:cs="Arial"/>
          <w:color w:val="000000" w:themeColor="text1"/>
        </w:rPr>
        <w:t>sense) the refusal of the information officer</w:t>
      </w:r>
      <w:r w:rsidR="00F5116E">
        <w:rPr>
          <w:rFonts w:ascii="Arial" w:hAnsi="Arial" w:cs="Arial"/>
          <w:color w:val="000000" w:themeColor="text1"/>
        </w:rPr>
        <w:t xml:space="preserve">, it does not do so as a </w:t>
      </w:r>
      <w:r w:rsidR="00566C8A">
        <w:rPr>
          <w:rFonts w:ascii="Arial" w:hAnsi="Arial" w:cs="Arial"/>
          <w:color w:val="000000" w:themeColor="text1"/>
        </w:rPr>
        <w:t>Court</w:t>
      </w:r>
      <w:r w:rsidR="00F5116E">
        <w:rPr>
          <w:rFonts w:ascii="Arial" w:hAnsi="Arial" w:cs="Arial"/>
          <w:color w:val="000000" w:themeColor="text1"/>
        </w:rPr>
        <w:t xml:space="preserve"> of review (in the legal sense).</w:t>
      </w:r>
      <w:r w:rsidR="00953E10" w:rsidRPr="00953E10">
        <w:rPr>
          <w:rFonts w:ascii="Arial" w:hAnsi="Arial" w:cs="Arial"/>
          <w:color w:val="000000" w:themeColor="text1"/>
        </w:rPr>
        <w:t xml:space="preserve"> </w:t>
      </w:r>
    </w:p>
    <w:p w14:paraId="3F64C0A8" w14:textId="669AD5A8" w:rsidR="00DD51B1" w:rsidRDefault="002D0A15" w:rsidP="002D0A15">
      <w:pPr>
        <w:pStyle w:val="NormalWeb"/>
        <w:shd w:val="clear" w:color="auto" w:fill="FFFFFF"/>
        <w:spacing w:before="120" w:beforeAutospacing="0" w:after="120" w:afterAutospacing="0" w:line="360" w:lineRule="auto"/>
        <w:ind w:left="425" w:hanging="502"/>
        <w:contextualSpacing/>
        <w:textAlignment w:val="baseline"/>
        <w:rPr>
          <w:rFonts w:ascii="Helvetica" w:hAnsi="Helvetica"/>
          <w:color w:val="000000" w:themeColor="text1"/>
        </w:rPr>
      </w:pPr>
      <w:r>
        <w:rPr>
          <w:rFonts w:ascii="Helvetica" w:hAnsi="Helvetica"/>
          <w:color w:val="000000" w:themeColor="text1"/>
        </w:rPr>
        <w:t>5)</w:t>
      </w:r>
      <w:r>
        <w:rPr>
          <w:rFonts w:ascii="Helvetica" w:hAnsi="Helvetica"/>
          <w:color w:val="000000" w:themeColor="text1"/>
        </w:rPr>
        <w:tab/>
      </w:r>
      <w:r w:rsidR="00953E10" w:rsidRPr="00B0760E">
        <w:rPr>
          <w:rFonts w:ascii="Arial" w:hAnsi="Arial" w:cs="Arial"/>
          <w:color w:val="000000" w:themeColor="text1"/>
        </w:rPr>
        <w:t xml:space="preserve">As explained by Ngcobo CJ in </w:t>
      </w:r>
      <w:r w:rsidR="00953E10" w:rsidRPr="00B0760E">
        <w:rPr>
          <w:rFonts w:ascii="Arial" w:hAnsi="Arial" w:cs="Arial"/>
          <w:i/>
          <w:iCs/>
          <w:color w:val="000000" w:themeColor="text1"/>
        </w:rPr>
        <w:t>President v M&amp;G</w:t>
      </w:r>
      <w:r w:rsidR="00953E10" w:rsidRPr="00B0760E">
        <w:rPr>
          <w:rFonts w:ascii="Arial" w:hAnsi="Arial" w:cs="Arial"/>
          <w:color w:val="000000" w:themeColor="text1"/>
        </w:rPr>
        <w:t xml:space="preserve"> (2011 CC</w:t>
      </w:r>
      <w:r w:rsidR="007B2967" w:rsidRPr="00B0760E">
        <w:rPr>
          <w:rFonts w:ascii="Arial" w:hAnsi="Arial" w:cs="Arial"/>
          <w:color w:val="000000" w:themeColor="text1"/>
        </w:rPr>
        <w:t>), in</w:t>
      </w:r>
      <w:r w:rsidR="00953E10" w:rsidRPr="00B0760E">
        <w:rPr>
          <w:rFonts w:ascii="Arial" w:hAnsi="Arial" w:cs="Arial"/>
          <w:color w:val="000000" w:themeColor="text1"/>
        </w:rPr>
        <w:t xml:space="preserve"> proceedings under PAIA, a </w:t>
      </w:r>
      <w:r w:rsidR="00566C8A">
        <w:rPr>
          <w:rFonts w:ascii="Arial" w:hAnsi="Arial" w:cs="Arial"/>
          <w:color w:val="000000" w:themeColor="text1"/>
        </w:rPr>
        <w:t>Court</w:t>
      </w:r>
      <w:r w:rsidR="00953E10" w:rsidRPr="00B0760E">
        <w:rPr>
          <w:rFonts w:ascii="Arial" w:hAnsi="Arial" w:cs="Arial"/>
          <w:color w:val="000000" w:themeColor="text1"/>
        </w:rPr>
        <w:t xml:space="preserve"> does not conduct a review of the refusal of access to information but ‘</w:t>
      </w:r>
      <w:r w:rsidR="00953E10" w:rsidRPr="00B0760E">
        <w:rPr>
          <w:rFonts w:ascii="Arial" w:hAnsi="Arial" w:cs="Arial"/>
          <w:i/>
          <w:iCs/>
          <w:color w:val="000000" w:themeColor="text1"/>
        </w:rPr>
        <w:t>decides the claim of exemption from disclosure afresh, engaging in a de novo reconsideration of the merits’</w:t>
      </w:r>
      <w:r w:rsidR="00953E10" w:rsidRPr="00B0760E">
        <w:rPr>
          <w:rFonts w:ascii="Arial" w:hAnsi="Arial" w:cs="Arial"/>
          <w:color w:val="000000" w:themeColor="text1"/>
        </w:rPr>
        <w:t>.</w:t>
      </w:r>
      <w:r w:rsidR="00953E10" w:rsidRPr="00B0760E">
        <w:rPr>
          <w:rStyle w:val="FootnoteReference"/>
          <w:rFonts w:ascii="Arial" w:hAnsi="Arial" w:cs="Arial"/>
          <w:color w:val="000000" w:themeColor="text1"/>
        </w:rPr>
        <w:footnoteReference w:id="1"/>
      </w:r>
      <w:r w:rsidR="00953E10" w:rsidRPr="00B0760E">
        <w:rPr>
          <w:rFonts w:ascii="Arial" w:hAnsi="Arial" w:cs="Arial"/>
          <w:color w:val="000000" w:themeColor="text1"/>
        </w:rPr>
        <w:t xml:space="preserve"> </w:t>
      </w:r>
      <w:r w:rsidR="00D4100E">
        <w:rPr>
          <w:rFonts w:ascii="Arial" w:hAnsi="Arial" w:cs="Arial"/>
          <w:color w:val="000000" w:themeColor="text1"/>
        </w:rPr>
        <w:t xml:space="preserve">This was a reiteration of the view of the Supreme </w:t>
      </w:r>
      <w:r w:rsidR="00566C8A">
        <w:rPr>
          <w:rFonts w:ascii="Arial" w:hAnsi="Arial" w:cs="Arial"/>
          <w:color w:val="000000" w:themeColor="text1"/>
        </w:rPr>
        <w:t>Court</w:t>
      </w:r>
      <w:r w:rsidR="00D4100E">
        <w:rPr>
          <w:rFonts w:ascii="Arial" w:hAnsi="Arial" w:cs="Arial"/>
          <w:color w:val="000000" w:themeColor="text1"/>
        </w:rPr>
        <w:t xml:space="preserve"> of Appeal</w:t>
      </w:r>
      <w:r w:rsidR="006B6CA2">
        <w:rPr>
          <w:rFonts w:ascii="Arial" w:hAnsi="Arial" w:cs="Arial"/>
          <w:color w:val="000000" w:themeColor="text1"/>
        </w:rPr>
        <w:t>,</w:t>
      </w:r>
      <w:r w:rsidR="00DD51B1">
        <w:rPr>
          <w:rFonts w:ascii="Arial" w:hAnsi="Arial" w:cs="Arial"/>
          <w:color w:val="000000" w:themeColor="text1"/>
        </w:rPr>
        <w:t xml:space="preserve"> in the same matter</w:t>
      </w:r>
      <w:r w:rsidR="006B6CA2">
        <w:rPr>
          <w:rFonts w:ascii="Arial" w:hAnsi="Arial" w:cs="Arial"/>
          <w:color w:val="000000" w:themeColor="text1"/>
        </w:rPr>
        <w:t>,</w:t>
      </w:r>
      <w:r w:rsidR="00DD51B1">
        <w:rPr>
          <w:rFonts w:ascii="Arial" w:hAnsi="Arial" w:cs="Arial"/>
          <w:color w:val="000000" w:themeColor="text1"/>
        </w:rPr>
        <w:t xml:space="preserve"> the previous year:</w:t>
      </w:r>
    </w:p>
    <w:p w14:paraId="32FA5054" w14:textId="0A499C78" w:rsidR="0064592B" w:rsidRPr="00C33946" w:rsidRDefault="00A14E38" w:rsidP="00C33946">
      <w:pPr>
        <w:pStyle w:val="NormalWeb"/>
        <w:shd w:val="clear" w:color="auto" w:fill="FFFFFF"/>
        <w:spacing w:before="120" w:beforeAutospacing="0" w:after="120" w:afterAutospacing="0" w:line="360" w:lineRule="auto"/>
        <w:ind w:left="425"/>
        <w:contextualSpacing/>
        <w:textAlignment w:val="baseline"/>
        <w:rPr>
          <w:rFonts w:ascii="Helvetica" w:hAnsi="Helvetica"/>
          <w:i/>
          <w:iCs/>
          <w:color w:val="000000" w:themeColor="text1"/>
        </w:rPr>
      </w:pPr>
      <w:r w:rsidRPr="00DD51B1">
        <w:rPr>
          <w:rFonts w:ascii="Arial" w:hAnsi="Arial" w:cs="Arial"/>
          <w:i/>
          <w:iCs/>
          <w:color w:val="000000" w:themeColor="text1"/>
        </w:rPr>
        <w:t>[12] The proceedings that are contemplated by s 78(2) are not a review of or an appeal from the decision of the information officer or the internal appeal. They are original proceedings for the enforcement of the right that the requester has</w:t>
      </w:r>
      <w:r w:rsidR="00A04480">
        <w:rPr>
          <w:rFonts w:ascii="Arial" w:hAnsi="Arial" w:cs="Arial"/>
          <w:i/>
          <w:iCs/>
          <w:color w:val="000000" w:themeColor="text1"/>
        </w:rPr>
        <w:t>…</w:t>
      </w:r>
      <w:r w:rsidRPr="00DD51B1">
        <w:rPr>
          <w:rFonts w:ascii="Arial" w:hAnsi="Arial" w:cs="Arial"/>
          <w:i/>
          <w:iCs/>
          <w:color w:val="000000" w:themeColor="text1"/>
        </w:rPr>
        <w:t>.</w:t>
      </w:r>
      <w:r w:rsidR="00534F68">
        <w:rPr>
          <w:rStyle w:val="FootnoteReference"/>
          <w:rFonts w:ascii="Arial" w:hAnsi="Arial" w:cs="Arial"/>
          <w:i/>
          <w:iCs/>
          <w:color w:val="000000" w:themeColor="text1"/>
        </w:rPr>
        <w:footnoteReference w:id="2"/>
      </w:r>
    </w:p>
    <w:p w14:paraId="7D8FD48F" w14:textId="2C972BB4" w:rsidR="00A24C43" w:rsidRPr="00A24C43" w:rsidRDefault="00A24C43" w:rsidP="00EA302F">
      <w:pPr>
        <w:tabs>
          <w:tab w:val="right" w:pos="8208"/>
        </w:tabs>
        <w:spacing w:before="240" w:line="360" w:lineRule="auto"/>
        <w:jc w:val="both"/>
        <w:rPr>
          <w:rFonts w:ascii="Arial" w:hAnsi="Arial" w:cs="Arial"/>
          <w:b/>
          <w:bCs/>
          <w:color w:val="000000" w:themeColor="text1"/>
          <w:sz w:val="24"/>
          <w:szCs w:val="24"/>
        </w:rPr>
      </w:pPr>
      <w:r w:rsidRPr="00A24C43">
        <w:rPr>
          <w:rFonts w:ascii="Arial" w:hAnsi="Arial" w:cs="Arial"/>
          <w:b/>
          <w:bCs/>
          <w:color w:val="000000" w:themeColor="text1"/>
          <w:sz w:val="24"/>
          <w:szCs w:val="24"/>
        </w:rPr>
        <w:t>Background</w:t>
      </w:r>
    </w:p>
    <w:p w14:paraId="471524B4" w14:textId="266AB47D" w:rsidR="009C1BA9"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6)</w:t>
      </w:r>
      <w:r w:rsidRPr="00B0760E">
        <w:rPr>
          <w:rFonts w:ascii="Arial" w:hAnsi="Arial" w:cs="Arial"/>
          <w:color w:val="000000" w:themeColor="text1"/>
          <w:sz w:val="24"/>
          <w:szCs w:val="24"/>
        </w:rPr>
        <w:tab/>
      </w:r>
      <w:r w:rsidR="00273FE3" w:rsidRPr="002D0A15">
        <w:rPr>
          <w:rFonts w:ascii="Arial" w:hAnsi="Arial" w:cs="Arial"/>
          <w:color w:val="000000" w:themeColor="text1"/>
          <w:sz w:val="24"/>
          <w:szCs w:val="24"/>
        </w:rPr>
        <w:t>On the 4</w:t>
      </w:r>
      <w:r w:rsidR="00273FE3" w:rsidRPr="002D0A15">
        <w:rPr>
          <w:rFonts w:ascii="Arial" w:hAnsi="Arial" w:cs="Arial"/>
          <w:color w:val="000000" w:themeColor="text1"/>
          <w:sz w:val="24"/>
          <w:szCs w:val="24"/>
          <w:vertAlign w:val="superscript"/>
        </w:rPr>
        <w:t>th</w:t>
      </w:r>
      <w:r w:rsidR="00273FE3" w:rsidRPr="002D0A15">
        <w:rPr>
          <w:rFonts w:ascii="Arial" w:hAnsi="Arial" w:cs="Arial"/>
          <w:color w:val="000000" w:themeColor="text1"/>
          <w:sz w:val="24"/>
          <w:szCs w:val="24"/>
        </w:rPr>
        <w:t xml:space="preserve"> of February 2021</w:t>
      </w:r>
      <w:r w:rsidR="00C23977" w:rsidRPr="002D0A15">
        <w:rPr>
          <w:rFonts w:ascii="Arial" w:hAnsi="Arial" w:cs="Arial"/>
          <w:color w:val="000000" w:themeColor="text1"/>
          <w:sz w:val="24"/>
          <w:szCs w:val="24"/>
        </w:rPr>
        <w:t>, t</w:t>
      </w:r>
      <w:r w:rsidR="00BE32F7" w:rsidRPr="002D0A15">
        <w:rPr>
          <w:rFonts w:ascii="Arial" w:hAnsi="Arial" w:cs="Arial"/>
          <w:color w:val="000000" w:themeColor="text1"/>
          <w:sz w:val="24"/>
          <w:szCs w:val="24"/>
        </w:rPr>
        <w:t xml:space="preserve">he </w:t>
      </w:r>
      <w:r w:rsidR="00566C8A" w:rsidRPr="002D0A15">
        <w:rPr>
          <w:rFonts w:ascii="Arial" w:hAnsi="Arial" w:cs="Arial"/>
          <w:color w:val="000000" w:themeColor="text1"/>
          <w:sz w:val="24"/>
          <w:szCs w:val="24"/>
        </w:rPr>
        <w:t>Applicant</w:t>
      </w:r>
      <w:r w:rsidR="00BE32F7" w:rsidRPr="002D0A15">
        <w:rPr>
          <w:rFonts w:ascii="Arial" w:hAnsi="Arial" w:cs="Arial"/>
          <w:color w:val="000000" w:themeColor="text1"/>
          <w:sz w:val="24"/>
          <w:szCs w:val="24"/>
        </w:rPr>
        <w:t xml:space="preserve">’s husband </w:t>
      </w:r>
      <w:r w:rsidR="00C638C4" w:rsidRPr="002D0A15">
        <w:rPr>
          <w:rFonts w:ascii="Arial" w:hAnsi="Arial" w:cs="Arial"/>
          <w:color w:val="000000" w:themeColor="text1"/>
          <w:sz w:val="24"/>
          <w:szCs w:val="24"/>
        </w:rPr>
        <w:t xml:space="preserve">was </w:t>
      </w:r>
      <w:r w:rsidR="00C23977" w:rsidRPr="002D0A15">
        <w:rPr>
          <w:rFonts w:ascii="Arial" w:hAnsi="Arial" w:cs="Arial"/>
          <w:color w:val="000000" w:themeColor="text1"/>
          <w:sz w:val="24"/>
          <w:szCs w:val="24"/>
        </w:rPr>
        <w:t xml:space="preserve">involved in a fatal accident while </w:t>
      </w:r>
      <w:r w:rsidR="00C638C4" w:rsidRPr="002D0A15">
        <w:rPr>
          <w:rFonts w:ascii="Arial" w:hAnsi="Arial" w:cs="Arial"/>
          <w:color w:val="000000" w:themeColor="text1"/>
          <w:sz w:val="24"/>
          <w:szCs w:val="24"/>
        </w:rPr>
        <w:t>piloting an airplane</w:t>
      </w:r>
      <w:r w:rsidR="0060422C" w:rsidRPr="002D0A15">
        <w:rPr>
          <w:rFonts w:ascii="Arial" w:hAnsi="Arial" w:cs="Arial"/>
          <w:color w:val="000000" w:themeColor="text1"/>
          <w:sz w:val="24"/>
          <w:szCs w:val="24"/>
        </w:rPr>
        <w:t xml:space="preserve"> </w:t>
      </w:r>
      <w:r w:rsidR="0016247E" w:rsidRPr="002D0A15">
        <w:rPr>
          <w:rFonts w:ascii="Arial" w:hAnsi="Arial" w:cs="Arial"/>
          <w:color w:val="000000" w:themeColor="text1"/>
          <w:sz w:val="24"/>
          <w:szCs w:val="24"/>
        </w:rPr>
        <w:t>belonging to the fourth</w:t>
      </w:r>
      <w:r w:rsidR="0060422C"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Respondent</w:t>
      </w:r>
      <w:r w:rsidR="0060422C" w:rsidRPr="002D0A15">
        <w:rPr>
          <w:rFonts w:ascii="Arial" w:hAnsi="Arial" w:cs="Arial"/>
          <w:color w:val="000000" w:themeColor="text1"/>
          <w:sz w:val="24"/>
          <w:szCs w:val="24"/>
        </w:rPr>
        <w:t>.</w:t>
      </w:r>
      <w:r w:rsidR="00D934C3" w:rsidRPr="002D0A15">
        <w:rPr>
          <w:rFonts w:ascii="Arial" w:hAnsi="Arial" w:cs="Arial"/>
          <w:color w:val="000000" w:themeColor="text1"/>
          <w:sz w:val="24"/>
          <w:szCs w:val="24"/>
        </w:rPr>
        <w:t xml:space="preserve"> </w:t>
      </w:r>
      <w:r w:rsidR="00AB59A4" w:rsidRPr="002D0A15">
        <w:rPr>
          <w:rFonts w:ascii="Arial" w:hAnsi="Arial" w:cs="Arial"/>
          <w:color w:val="000000" w:themeColor="text1"/>
          <w:sz w:val="24"/>
          <w:szCs w:val="24"/>
        </w:rPr>
        <w:t xml:space="preserve">The first </w:t>
      </w:r>
      <w:r w:rsidR="00566C8A" w:rsidRPr="002D0A15">
        <w:rPr>
          <w:rFonts w:ascii="Arial" w:hAnsi="Arial" w:cs="Arial"/>
          <w:color w:val="000000" w:themeColor="text1"/>
          <w:sz w:val="24"/>
          <w:szCs w:val="24"/>
        </w:rPr>
        <w:t>Respondent</w:t>
      </w:r>
      <w:r w:rsidR="00AB59A4" w:rsidRPr="002D0A15">
        <w:rPr>
          <w:rFonts w:ascii="Arial" w:hAnsi="Arial" w:cs="Arial"/>
          <w:color w:val="000000" w:themeColor="text1"/>
          <w:sz w:val="24"/>
          <w:szCs w:val="24"/>
        </w:rPr>
        <w:t xml:space="preserve"> investigated the accident and published a final report. </w:t>
      </w:r>
      <w:r w:rsidR="00DD45F7"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Applicant</w:t>
      </w:r>
      <w:r w:rsidR="00DD45F7" w:rsidRPr="002D0A15">
        <w:rPr>
          <w:rFonts w:ascii="Arial" w:hAnsi="Arial" w:cs="Arial"/>
          <w:color w:val="000000" w:themeColor="text1"/>
          <w:sz w:val="24"/>
          <w:szCs w:val="24"/>
        </w:rPr>
        <w:t xml:space="preserve"> thereafter appointed two experts </w:t>
      </w:r>
      <w:r w:rsidR="007F23C4" w:rsidRPr="002D0A15">
        <w:rPr>
          <w:rFonts w:ascii="Arial" w:hAnsi="Arial" w:cs="Arial"/>
          <w:color w:val="000000" w:themeColor="text1"/>
          <w:sz w:val="24"/>
          <w:szCs w:val="24"/>
        </w:rPr>
        <w:t xml:space="preserve">who agree that the first </w:t>
      </w:r>
      <w:r w:rsidR="00566C8A" w:rsidRPr="002D0A15">
        <w:rPr>
          <w:rFonts w:ascii="Arial" w:hAnsi="Arial" w:cs="Arial"/>
          <w:color w:val="000000" w:themeColor="text1"/>
          <w:sz w:val="24"/>
          <w:szCs w:val="24"/>
        </w:rPr>
        <w:t>Respondent</w:t>
      </w:r>
      <w:r w:rsidR="00FB4812" w:rsidRPr="002D0A15">
        <w:rPr>
          <w:rFonts w:ascii="Arial" w:hAnsi="Arial" w:cs="Arial"/>
          <w:color w:val="000000" w:themeColor="text1"/>
          <w:sz w:val="24"/>
          <w:szCs w:val="24"/>
        </w:rPr>
        <w:t>’s</w:t>
      </w:r>
      <w:r w:rsidR="007F23C4" w:rsidRPr="002D0A15">
        <w:rPr>
          <w:rFonts w:ascii="Arial" w:hAnsi="Arial" w:cs="Arial"/>
          <w:color w:val="000000" w:themeColor="text1"/>
          <w:sz w:val="24"/>
          <w:szCs w:val="24"/>
        </w:rPr>
        <w:t xml:space="preserve"> report lacked certain relevant information necessary to establish the cause of the accident. </w:t>
      </w:r>
      <w:r w:rsidR="00D060B2" w:rsidRPr="002D0A15">
        <w:rPr>
          <w:rFonts w:ascii="Arial" w:hAnsi="Arial" w:cs="Arial"/>
          <w:color w:val="000000" w:themeColor="text1"/>
          <w:sz w:val="24"/>
          <w:szCs w:val="24"/>
        </w:rPr>
        <w:t xml:space="preserve">For purposes of this application, it is only necessary to note that </w:t>
      </w:r>
      <w:r w:rsidR="00AA4058" w:rsidRPr="002D0A15">
        <w:rPr>
          <w:rFonts w:ascii="Arial" w:hAnsi="Arial" w:cs="Arial"/>
          <w:color w:val="000000" w:themeColor="text1"/>
          <w:sz w:val="24"/>
          <w:szCs w:val="24"/>
        </w:rPr>
        <w:t xml:space="preserve">all </w:t>
      </w:r>
      <w:r w:rsidR="000B576B" w:rsidRPr="002D0A15">
        <w:rPr>
          <w:rFonts w:ascii="Arial" w:hAnsi="Arial" w:cs="Arial"/>
          <w:color w:val="000000" w:themeColor="text1"/>
          <w:sz w:val="24"/>
          <w:szCs w:val="24"/>
        </w:rPr>
        <w:t>investigations done thus far,</w:t>
      </w:r>
      <w:r w:rsidR="00AA4058" w:rsidRPr="002D0A15">
        <w:rPr>
          <w:rFonts w:ascii="Arial" w:hAnsi="Arial" w:cs="Arial"/>
          <w:color w:val="000000" w:themeColor="text1"/>
          <w:sz w:val="24"/>
          <w:szCs w:val="24"/>
        </w:rPr>
        <w:t xml:space="preserve"> differ on the </w:t>
      </w:r>
      <w:r w:rsidR="000B576B" w:rsidRPr="002D0A15">
        <w:rPr>
          <w:rFonts w:ascii="Arial" w:hAnsi="Arial" w:cs="Arial"/>
          <w:color w:val="000000" w:themeColor="text1"/>
          <w:sz w:val="24"/>
          <w:szCs w:val="24"/>
        </w:rPr>
        <w:t xml:space="preserve">exact </w:t>
      </w:r>
      <w:r w:rsidR="00AA4058" w:rsidRPr="002D0A15">
        <w:rPr>
          <w:rFonts w:ascii="Arial" w:hAnsi="Arial" w:cs="Arial"/>
          <w:color w:val="000000" w:themeColor="text1"/>
          <w:sz w:val="24"/>
          <w:szCs w:val="24"/>
        </w:rPr>
        <w:t>cause</w:t>
      </w:r>
      <w:r w:rsidR="005D2E41" w:rsidRPr="002D0A15">
        <w:rPr>
          <w:rFonts w:ascii="Arial" w:hAnsi="Arial" w:cs="Arial"/>
          <w:color w:val="000000" w:themeColor="text1"/>
          <w:sz w:val="24"/>
          <w:szCs w:val="24"/>
        </w:rPr>
        <w:t xml:space="preserve"> of</w:t>
      </w:r>
      <w:r w:rsidR="00AA4058" w:rsidRPr="002D0A15">
        <w:rPr>
          <w:rFonts w:ascii="Arial" w:hAnsi="Arial" w:cs="Arial"/>
          <w:color w:val="000000" w:themeColor="text1"/>
          <w:sz w:val="24"/>
          <w:szCs w:val="24"/>
        </w:rPr>
        <w:t xml:space="preserve"> the accident. </w:t>
      </w:r>
      <w:r w:rsidR="007815B3" w:rsidRPr="002D0A15">
        <w:rPr>
          <w:rFonts w:ascii="Arial" w:hAnsi="Arial" w:cs="Arial"/>
          <w:color w:val="000000" w:themeColor="text1"/>
          <w:sz w:val="24"/>
          <w:szCs w:val="24"/>
        </w:rPr>
        <w:t>One of the</w:t>
      </w:r>
      <w:r w:rsidR="00826CFD"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Applicant</w:t>
      </w:r>
      <w:r w:rsidR="00826CFD" w:rsidRPr="002D0A15">
        <w:rPr>
          <w:rFonts w:ascii="Arial" w:hAnsi="Arial" w:cs="Arial"/>
          <w:color w:val="000000" w:themeColor="text1"/>
          <w:sz w:val="24"/>
          <w:szCs w:val="24"/>
        </w:rPr>
        <w:t>’s expert</w:t>
      </w:r>
      <w:r w:rsidR="007815B3" w:rsidRPr="002D0A15">
        <w:rPr>
          <w:rFonts w:ascii="Arial" w:hAnsi="Arial" w:cs="Arial"/>
          <w:color w:val="000000" w:themeColor="text1"/>
          <w:sz w:val="24"/>
          <w:szCs w:val="24"/>
        </w:rPr>
        <w:t>s</w:t>
      </w:r>
      <w:r w:rsidR="00826CFD" w:rsidRPr="002D0A15">
        <w:rPr>
          <w:rFonts w:ascii="Arial" w:hAnsi="Arial" w:cs="Arial"/>
          <w:color w:val="000000" w:themeColor="text1"/>
          <w:sz w:val="24"/>
          <w:szCs w:val="24"/>
        </w:rPr>
        <w:t xml:space="preserve"> has advised that he requires the</w:t>
      </w:r>
      <w:r w:rsidR="00D65147" w:rsidRPr="002D0A15">
        <w:rPr>
          <w:rFonts w:ascii="Arial" w:hAnsi="Arial" w:cs="Arial"/>
          <w:color w:val="000000" w:themeColor="text1"/>
          <w:sz w:val="24"/>
          <w:szCs w:val="24"/>
        </w:rPr>
        <w:t xml:space="preserve"> following</w:t>
      </w:r>
      <w:r w:rsidR="00826CFD" w:rsidRPr="002D0A15">
        <w:rPr>
          <w:rFonts w:ascii="Arial" w:hAnsi="Arial" w:cs="Arial"/>
          <w:color w:val="000000" w:themeColor="text1"/>
          <w:sz w:val="24"/>
          <w:szCs w:val="24"/>
        </w:rPr>
        <w:t xml:space="preserve"> records from the first </w:t>
      </w:r>
      <w:r w:rsidR="00566C8A" w:rsidRPr="002D0A15">
        <w:rPr>
          <w:rFonts w:ascii="Arial" w:hAnsi="Arial" w:cs="Arial"/>
          <w:color w:val="000000" w:themeColor="text1"/>
          <w:sz w:val="24"/>
          <w:szCs w:val="24"/>
        </w:rPr>
        <w:t>Respondent</w:t>
      </w:r>
      <w:r w:rsidR="00826CFD" w:rsidRPr="002D0A15">
        <w:rPr>
          <w:rFonts w:ascii="Arial" w:hAnsi="Arial" w:cs="Arial"/>
          <w:color w:val="000000" w:themeColor="text1"/>
          <w:sz w:val="24"/>
          <w:szCs w:val="24"/>
        </w:rPr>
        <w:t>, to enable him to provide a final report</w:t>
      </w:r>
      <w:r w:rsidR="009C1BA9" w:rsidRPr="002D0A15">
        <w:rPr>
          <w:rFonts w:ascii="Arial" w:hAnsi="Arial" w:cs="Arial"/>
          <w:color w:val="000000" w:themeColor="text1"/>
          <w:sz w:val="24"/>
          <w:szCs w:val="24"/>
        </w:rPr>
        <w:t>:</w:t>
      </w:r>
    </w:p>
    <w:p w14:paraId="112DED87" w14:textId="6D453666" w:rsidR="009C1BA9" w:rsidRPr="002D0A15" w:rsidRDefault="002D0A15" w:rsidP="002D0A15">
      <w:pPr>
        <w:tabs>
          <w:tab w:val="right" w:pos="8208"/>
        </w:tabs>
        <w:spacing w:after="0" w:line="360" w:lineRule="auto"/>
        <w:ind w:left="714" w:hanging="357"/>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a)</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 xml:space="preserve">All correspondence recorded between the pilot of ZS-XAT and the pilot of ZS-XAS from take off until the time of the crash including recordings from ground control, tower control and air control; </w:t>
      </w:r>
    </w:p>
    <w:p w14:paraId="29FE093E" w14:textId="46C4AE3C" w:rsidR="009C1BA9" w:rsidRPr="00B0760E" w:rsidRDefault="002D0A15" w:rsidP="002D0A15">
      <w:pPr>
        <w:pStyle w:val="Style2"/>
        <w:spacing w:line="360" w:lineRule="auto"/>
        <w:ind w:left="714" w:hanging="357"/>
        <w:contextualSpacing/>
        <w:rPr>
          <w:rFonts w:ascii="Arial" w:hAnsi="Arial" w:cs="Arial"/>
          <w:color w:val="000000" w:themeColor="text1"/>
        </w:rPr>
      </w:pPr>
      <w:r w:rsidRPr="00B0760E">
        <w:rPr>
          <w:rFonts w:ascii="Arial" w:hAnsi="Arial" w:cs="Arial"/>
          <w:color w:val="000000" w:themeColor="text1"/>
        </w:rPr>
        <w:t>b)</w:t>
      </w:r>
      <w:r w:rsidRPr="00B0760E">
        <w:rPr>
          <w:rFonts w:ascii="Arial" w:hAnsi="Arial" w:cs="Arial"/>
          <w:color w:val="000000" w:themeColor="text1"/>
        </w:rPr>
        <w:tab/>
      </w:r>
      <w:r w:rsidR="009C1BA9" w:rsidRPr="00B0760E">
        <w:rPr>
          <w:rFonts w:ascii="Arial" w:hAnsi="Arial" w:cs="Arial"/>
          <w:color w:val="000000" w:themeColor="text1"/>
        </w:rPr>
        <w:t xml:space="preserve">ATNS Radar Plot/s relating to ZS-XAT and ZS-XAS from the day of the accident;  </w:t>
      </w:r>
    </w:p>
    <w:p w14:paraId="11B56804" w14:textId="65534681" w:rsidR="009C1BA9" w:rsidRPr="002D0A15" w:rsidRDefault="002D0A15" w:rsidP="002D0A15">
      <w:pPr>
        <w:tabs>
          <w:tab w:val="right" w:pos="8208"/>
        </w:tabs>
        <w:spacing w:after="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c)</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Detailed weather reports relating to the day of the accident;</w:t>
      </w:r>
    </w:p>
    <w:p w14:paraId="776428C8" w14:textId="1B82D386"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d)</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Transcripts of the communication/s between ZS-XAT and ZSXAS and between both aircraft and the respective control towers L/ATNS;</w:t>
      </w:r>
    </w:p>
    <w:p w14:paraId="587D7DDC" w14:textId="1622E1C3"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e)</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 xml:space="preserve">Witness </w:t>
      </w:r>
      <w:r w:rsidR="00245167" w:rsidRPr="002D0A15">
        <w:rPr>
          <w:rFonts w:ascii="Arial" w:hAnsi="Arial" w:cs="Arial"/>
          <w:color w:val="000000" w:themeColor="text1"/>
          <w:sz w:val="24"/>
          <w:szCs w:val="24"/>
        </w:rPr>
        <w:t>State</w:t>
      </w:r>
      <w:r w:rsidR="009C1BA9" w:rsidRPr="002D0A15">
        <w:rPr>
          <w:rFonts w:ascii="Arial" w:hAnsi="Arial" w:cs="Arial"/>
          <w:color w:val="000000" w:themeColor="text1"/>
          <w:sz w:val="24"/>
          <w:szCs w:val="24"/>
        </w:rPr>
        <w:t>ments relating to and considered towards determining the final conclusion/s of AIID Investigation;</w:t>
      </w:r>
    </w:p>
    <w:p w14:paraId="61524ED7" w14:textId="257117EA"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f)</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Accident Site and other photographs used for the AIID Investigation;</w:t>
      </w:r>
    </w:p>
    <w:p w14:paraId="2DA779DB" w14:textId="73E77EFB"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g)</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Detailed accident site plots showing the locations of each part;</w:t>
      </w:r>
    </w:p>
    <w:p w14:paraId="0CFA81AE" w14:textId="02A703C6"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h)</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Engine OEM teardown report Vector P&amp;W;</w:t>
      </w:r>
    </w:p>
    <w:p w14:paraId="014DAFC1" w14:textId="50B907F1" w:rsidR="009C1BA9"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i)</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Post-accident control surfaces Service Ability Inspection Report; and</w:t>
      </w:r>
    </w:p>
    <w:p w14:paraId="4DDB4350" w14:textId="0CA24AD7" w:rsidR="00EC5A15"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j)</w:t>
      </w:r>
      <w:r w:rsidRPr="00B0760E">
        <w:rPr>
          <w:rFonts w:ascii="Arial" w:hAnsi="Arial" w:cs="Arial"/>
          <w:color w:val="000000" w:themeColor="text1"/>
          <w:sz w:val="24"/>
          <w:szCs w:val="24"/>
        </w:rPr>
        <w:tab/>
      </w:r>
      <w:r w:rsidR="009C1BA9" w:rsidRPr="002D0A15">
        <w:rPr>
          <w:rFonts w:ascii="Arial" w:hAnsi="Arial" w:cs="Arial"/>
          <w:color w:val="000000" w:themeColor="text1"/>
          <w:sz w:val="24"/>
          <w:szCs w:val="24"/>
        </w:rPr>
        <w:t>Human Factors Analysis Report</w:t>
      </w:r>
    </w:p>
    <w:p w14:paraId="737C6FAB" w14:textId="03AE512C" w:rsidR="00611EFF"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7)</w:t>
      </w:r>
      <w:r w:rsidRPr="00B0760E">
        <w:rPr>
          <w:rFonts w:ascii="Arial" w:hAnsi="Arial" w:cs="Arial"/>
          <w:color w:val="000000" w:themeColor="text1"/>
          <w:sz w:val="24"/>
          <w:szCs w:val="24"/>
        </w:rPr>
        <w:tab/>
      </w:r>
      <w:r w:rsidR="00E322CA" w:rsidRPr="002D0A15">
        <w:rPr>
          <w:rFonts w:ascii="Arial" w:hAnsi="Arial" w:cs="Arial"/>
          <w:color w:val="000000" w:themeColor="text1"/>
          <w:sz w:val="24"/>
          <w:szCs w:val="24"/>
        </w:rPr>
        <w:t xml:space="preserve">There is no dispute that </w:t>
      </w:r>
      <w:r w:rsidR="002D392D" w:rsidRPr="002D0A15">
        <w:rPr>
          <w:rFonts w:ascii="Arial" w:hAnsi="Arial" w:cs="Arial"/>
          <w:color w:val="000000" w:themeColor="text1"/>
          <w:sz w:val="24"/>
          <w:szCs w:val="24"/>
        </w:rPr>
        <w:t xml:space="preserve">that the </w:t>
      </w:r>
      <w:r w:rsidR="00566C8A" w:rsidRPr="002D0A15">
        <w:rPr>
          <w:rFonts w:ascii="Arial" w:hAnsi="Arial" w:cs="Arial"/>
          <w:color w:val="000000" w:themeColor="text1"/>
          <w:sz w:val="24"/>
          <w:szCs w:val="24"/>
        </w:rPr>
        <w:t>Applicant</w:t>
      </w:r>
      <w:r w:rsidR="00E322CA" w:rsidRPr="002D0A15">
        <w:rPr>
          <w:rFonts w:ascii="Arial" w:hAnsi="Arial" w:cs="Arial"/>
          <w:color w:val="000000" w:themeColor="text1"/>
          <w:sz w:val="24"/>
          <w:szCs w:val="24"/>
        </w:rPr>
        <w:t xml:space="preserve"> properly applied </w:t>
      </w:r>
      <w:r w:rsidR="00990E4C" w:rsidRPr="002D0A15">
        <w:rPr>
          <w:rFonts w:ascii="Arial" w:hAnsi="Arial" w:cs="Arial"/>
          <w:color w:val="000000" w:themeColor="text1"/>
          <w:sz w:val="24"/>
          <w:szCs w:val="24"/>
        </w:rPr>
        <w:t>for access</w:t>
      </w:r>
      <w:r w:rsidR="00611EFF" w:rsidRPr="002D0A15">
        <w:rPr>
          <w:rFonts w:ascii="Arial" w:hAnsi="Arial" w:cs="Arial"/>
          <w:color w:val="000000" w:themeColor="text1"/>
          <w:sz w:val="24"/>
          <w:szCs w:val="24"/>
        </w:rPr>
        <w:t xml:space="preserve"> to the</w:t>
      </w:r>
      <w:r w:rsidR="00CB7281" w:rsidRPr="002D0A15">
        <w:rPr>
          <w:rFonts w:ascii="Arial" w:hAnsi="Arial" w:cs="Arial"/>
          <w:color w:val="000000" w:themeColor="text1"/>
          <w:sz w:val="24"/>
          <w:szCs w:val="24"/>
        </w:rPr>
        <w:t>se</w:t>
      </w:r>
      <w:r w:rsidR="00611EFF" w:rsidRPr="002D0A15">
        <w:rPr>
          <w:rFonts w:ascii="Arial" w:hAnsi="Arial" w:cs="Arial"/>
          <w:color w:val="000000" w:themeColor="text1"/>
          <w:sz w:val="24"/>
          <w:szCs w:val="24"/>
        </w:rPr>
        <w:t xml:space="preserve"> records</w:t>
      </w:r>
      <w:r w:rsidR="00990E4C" w:rsidRPr="002D0A15">
        <w:rPr>
          <w:rFonts w:ascii="Arial" w:hAnsi="Arial" w:cs="Arial"/>
          <w:color w:val="000000" w:themeColor="text1"/>
          <w:sz w:val="24"/>
          <w:szCs w:val="24"/>
        </w:rPr>
        <w:t xml:space="preserve"> </w:t>
      </w:r>
      <w:r w:rsidR="00E322CA" w:rsidRPr="002D0A15">
        <w:rPr>
          <w:rFonts w:ascii="Arial" w:hAnsi="Arial" w:cs="Arial"/>
          <w:color w:val="000000" w:themeColor="text1"/>
          <w:sz w:val="24"/>
          <w:szCs w:val="24"/>
        </w:rPr>
        <w:t xml:space="preserve">in terms of </w:t>
      </w:r>
      <w:r w:rsidR="00990E4C" w:rsidRPr="002D0A15">
        <w:rPr>
          <w:rFonts w:ascii="Arial" w:hAnsi="Arial" w:cs="Arial"/>
          <w:color w:val="000000" w:themeColor="text1"/>
          <w:sz w:val="24"/>
          <w:szCs w:val="24"/>
        </w:rPr>
        <w:t>PAIA</w:t>
      </w:r>
      <w:r w:rsidR="002D392D" w:rsidRPr="002D0A15">
        <w:rPr>
          <w:rFonts w:ascii="Arial" w:hAnsi="Arial" w:cs="Arial"/>
          <w:color w:val="000000" w:themeColor="text1"/>
          <w:sz w:val="24"/>
          <w:szCs w:val="24"/>
        </w:rPr>
        <w:t xml:space="preserve"> and that </w:t>
      </w:r>
      <w:r w:rsidR="00E042EB" w:rsidRPr="002D0A15">
        <w:rPr>
          <w:rFonts w:ascii="Arial" w:hAnsi="Arial" w:cs="Arial"/>
          <w:color w:val="000000" w:themeColor="text1"/>
          <w:sz w:val="24"/>
          <w:szCs w:val="24"/>
        </w:rPr>
        <w:t xml:space="preserve">access was refused by the second </w:t>
      </w:r>
      <w:r w:rsidR="00566C8A" w:rsidRPr="002D0A15">
        <w:rPr>
          <w:rFonts w:ascii="Arial" w:hAnsi="Arial" w:cs="Arial"/>
          <w:color w:val="000000" w:themeColor="text1"/>
          <w:sz w:val="24"/>
          <w:szCs w:val="24"/>
        </w:rPr>
        <w:t>Respondent</w:t>
      </w:r>
      <w:r w:rsidR="00F70057" w:rsidRPr="002D0A15">
        <w:rPr>
          <w:rFonts w:ascii="Arial" w:hAnsi="Arial" w:cs="Arial"/>
          <w:color w:val="000000" w:themeColor="text1"/>
          <w:sz w:val="24"/>
          <w:szCs w:val="24"/>
        </w:rPr>
        <w:t xml:space="preserve">, the </w:t>
      </w:r>
      <w:r w:rsidR="00D75148" w:rsidRPr="002D0A15">
        <w:rPr>
          <w:rFonts w:ascii="Arial" w:hAnsi="Arial" w:cs="Arial"/>
          <w:color w:val="000000" w:themeColor="text1"/>
          <w:sz w:val="24"/>
          <w:szCs w:val="24"/>
        </w:rPr>
        <w:t xml:space="preserve">deputy information officer of the first </w:t>
      </w:r>
      <w:r w:rsidR="00566C8A" w:rsidRPr="002D0A15">
        <w:rPr>
          <w:rFonts w:ascii="Arial" w:hAnsi="Arial" w:cs="Arial"/>
          <w:color w:val="000000" w:themeColor="text1"/>
          <w:sz w:val="24"/>
          <w:szCs w:val="24"/>
        </w:rPr>
        <w:t>Respondent</w:t>
      </w:r>
      <w:r w:rsidR="00D75148" w:rsidRPr="002D0A15">
        <w:rPr>
          <w:rFonts w:ascii="Arial" w:hAnsi="Arial" w:cs="Arial"/>
          <w:color w:val="000000" w:themeColor="text1"/>
          <w:sz w:val="24"/>
          <w:szCs w:val="24"/>
        </w:rPr>
        <w:t xml:space="preserve">. </w:t>
      </w:r>
      <w:r w:rsidR="00CB7281" w:rsidRPr="002D0A15">
        <w:rPr>
          <w:rFonts w:ascii="Arial" w:hAnsi="Arial" w:cs="Arial"/>
          <w:color w:val="000000" w:themeColor="text1"/>
          <w:sz w:val="24"/>
          <w:szCs w:val="24"/>
        </w:rPr>
        <w:t>(</w:t>
      </w:r>
      <w:r w:rsidR="00021570" w:rsidRPr="002D0A15">
        <w:rPr>
          <w:rFonts w:ascii="Arial" w:hAnsi="Arial" w:cs="Arial"/>
          <w:color w:val="000000" w:themeColor="text1"/>
          <w:sz w:val="24"/>
          <w:szCs w:val="24"/>
        </w:rPr>
        <w:t xml:space="preserve">The third </w:t>
      </w:r>
      <w:r w:rsidR="0047732B" w:rsidRPr="002D0A15">
        <w:rPr>
          <w:rFonts w:ascii="Arial" w:hAnsi="Arial" w:cs="Arial"/>
          <w:color w:val="000000" w:themeColor="text1"/>
          <w:sz w:val="24"/>
          <w:szCs w:val="24"/>
        </w:rPr>
        <w:t xml:space="preserve">and fourth </w:t>
      </w:r>
      <w:r w:rsidR="00566C8A" w:rsidRPr="002D0A15">
        <w:rPr>
          <w:rFonts w:ascii="Arial" w:hAnsi="Arial" w:cs="Arial"/>
          <w:color w:val="000000" w:themeColor="text1"/>
          <w:sz w:val="24"/>
          <w:szCs w:val="24"/>
        </w:rPr>
        <w:t>Respondent</w:t>
      </w:r>
      <w:r w:rsidR="0047732B" w:rsidRPr="002D0A15">
        <w:rPr>
          <w:rFonts w:ascii="Arial" w:hAnsi="Arial" w:cs="Arial"/>
          <w:color w:val="000000" w:themeColor="text1"/>
          <w:sz w:val="24"/>
          <w:szCs w:val="24"/>
        </w:rPr>
        <w:t>’s having been added as interested parties only, the re</w:t>
      </w:r>
      <w:r w:rsidR="000E71F6" w:rsidRPr="002D0A15">
        <w:rPr>
          <w:rFonts w:ascii="Arial" w:hAnsi="Arial" w:cs="Arial"/>
          <w:color w:val="000000" w:themeColor="text1"/>
          <w:sz w:val="24"/>
          <w:szCs w:val="24"/>
        </w:rPr>
        <w:t>ference to “</w:t>
      </w:r>
      <w:r w:rsidR="00566C8A" w:rsidRPr="002D0A15">
        <w:rPr>
          <w:rFonts w:ascii="Arial" w:hAnsi="Arial" w:cs="Arial"/>
          <w:color w:val="000000" w:themeColor="text1"/>
          <w:sz w:val="24"/>
          <w:szCs w:val="24"/>
        </w:rPr>
        <w:t>Respondent</w:t>
      </w:r>
      <w:r w:rsidR="000E71F6" w:rsidRPr="002D0A15">
        <w:rPr>
          <w:rFonts w:ascii="Arial" w:hAnsi="Arial" w:cs="Arial"/>
          <w:color w:val="000000" w:themeColor="text1"/>
          <w:sz w:val="24"/>
          <w:szCs w:val="24"/>
        </w:rPr>
        <w:t xml:space="preserve">” forthwith is a reference to the first </w:t>
      </w:r>
      <w:r w:rsidR="00566C8A" w:rsidRPr="002D0A15">
        <w:rPr>
          <w:rFonts w:ascii="Arial" w:hAnsi="Arial" w:cs="Arial"/>
          <w:color w:val="000000" w:themeColor="text1"/>
          <w:sz w:val="24"/>
          <w:szCs w:val="24"/>
        </w:rPr>
        <w:t>Respondent</w:t>
      </w:r>
      <w:r w:rsidR="00A872EC" w:rsidRPr="002D0A15">
        <w:rPr>
          <w:rFonts w:ascii="Arial" w:hAnsi="Arial" w:cs="Arial"/>
          <w:color w:val="000000" w:themeColor="text1"/>
          <w:sz w:val="24"/>
          <w:szCs w:val="24"/>
        </w:rPr>
        <w:t xml:space="preserve"> or the second </w:t>
      </w:r>
      <w:r w:rsidR="00566C8A" w:rsidRPr="002D0A15">
        <w:rPr>
          <w:rFonts w:ascii="Arial" w:hAnsi="Arial" w:cs="Arial"/>
          <w:color w:val="000000" w:themeColor="text1"/>
          <w:sz w:val="24"/>
          <w:szCs w:val="24"/>
        </w:rPr>
        <w:t>Respondent</w:t>
      </w:r>
      <w:r w:rsidR="00A872EC" w:rsidRPr="002D0A15">
        <w:rPr>
          <w:rFonts w:ascii="Arial" w:hAnsi="Arial" w:cs="Arial"/>
          <w:color w:val="000000" w:themeColor="text1"/>
          <w:sz w:val="24"/>
          <w:szCs w:val="24"/>
        </w:rPr>
        <w:t xml:space="preserve">, as </w:t>
      </w:r>
      <w:r w:rsidR="001C50E4" w:rsidRPr="002D0A15">
        <w:rPr>
          <w:rFonts w:ascii="Arial" w:hAnsi="Arial" w:cs="Arial"/>
          <w:color w:val="000000" w:themeColor="text1"/>
          <w:sz w:val="24"/>
          <w:szCs w:val="24"/>
        </w:rPr>
        <w:t>the case may be, in context of such a reference</w:t>
      </w:r>
      <w:r w:rsidR="000E71F6" w:rsidRPr="002D0A15">
        <w:rPr>
          <w:rFonts w:ascii="Arial" w:hAnsi="Arial" w:cs="Arial"/>
          <w:color w:val="000000" w:themeColor="text1"/>
          <w:sz w:val="24"/>
          <w:szCs w:val="24"/>
        </w:rPr>
        <w:t>.</w:t>
      </w:r>
      <w:r w:rsidR="00CB7281" w:rsidRPr="002D0A15">
        <w:rPr>
          <w:rFonts w:ascii="Arial" w:hAnsi="Arial" w:cs="Arial"/>
          <w:color w:val="000000" w:themeColor="text1"/>
          <w:sz w:val="24"/>
          <w:szCs w:val="24"/>
        </w:rPr>
        <w:t>)</w:t>
      </w:r>
    </w:p>
    <w:p w14:paraId="2218B18D" w14:textId="10A232DD" w:rsidR="00F2376B"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8)</w:t>
      </w:r>
      <w:r w:rsidRPr="00B0760E">
        <w:rPr>
          <w:rFonts w:ascii="Arial" w:hAnsi="Arial" w:cs="Arial"/>
          <w:color w:val="000000" w:themeColor="text1"/>
          <w:sz w:val="24"/>
          <w:szCs w:val="24"/>
        </w:rPr>
        <w:tab/>
      </w:r>
      <w:r w:rsidR="00E73434" w:rsidRPr="002D0A15">
        <w:rPr>
          <w:rFonts w:ascii="Arial" w:hAnsi="Arial" w:cs="Arial"/>
          <w:color w:val="000000" w:themeColor="text1"/>
          <w:sz w:val="24"/>
          <w:szCs w:val="24"/>
        </w:rPr>
        <w:t>In its refusal</w:t>
      </w:r>
      <w:r w:rsidR="00DA2738" w:rsidRPr="002D0A15">
        <w:rPr>
          <w:rFonts w:ascii="Arial" w:hAnsi="Arial" w:cs="Arial"/>
          <w:color w:val="000000" w:themeColor="text1"/>
          <w:sz w:val="24"/>
          <w:szCs w:val="24"/>
        </w:rPr>
        <w:t xml:space="preserve"> letter</w:t>
      </w:r>
      <w:r w:rsidR="00E73434"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E73434" w:rsidRPr="002D0A15">
        <w:rPr>
          <w:rFonts w:ascii="Arial" w:hAnsi="Arial" w:cs="Arial"/>
          <w:color w:val="000000" w:themeColor="text1"/>
          <w:sz w:val="24"/>
          <w:szCs w:val="24"/>
        </w:rPr>
        <w:t xml:space="preserve"> relies on </w:t>
      </w:r>
      <w:r w:rsidR="00461C8B" w:rsidRPr="002D0A15">
        <w:rPr>
          <w:rFonts w:ascii="Arial" w:hAnsi="Arial" w:cs="Arial"/>
          <w:color w:val="000000" w:themeColor="text1"/>
          <w:sz w:val="24"/>
          <w:szCs w:val="24"/>
        </w:rPr>
        <w:t xml:space="preserve">regulation </w:t>
      </w:r>
      <w:r w:rsidR="00EB1F86" w:rsidRPr="002D0A15">
        <w:rPr>
          <w:rFonts w:ascii="Arial" w:hAnsi="Arial" w:cs="Arial"/>
          <w:color w:val="000000" w:themeColor="text1"/>
          <w:sz w:val="24"/>
          <w:szCs w:val="24"/>
        </w:rPr>
        <w:t xml:space="preserve">12.04.6 of part 12 of the </w:t>
      </w:r>
      <w:r w:rsidR="009B7F32" w:rsidRPr="002D0A15">
        <w:rPr>
          <w:rFonts w:ascii="Arial" w:hAnsi="Arial" w:cs="Arial"/>
          <w:color w:val="000000" w:themeColor="text1"/>
          <w:sz w:val="24"/>
          <w:szCs w:val="24"/>
        </w:rPr>
        <w:t xml:space="preserve">South African </w:t>
      </w:r>
      <w:r w:rsidR="00EB1F86" w:rsidRPr="002D0A15">
        <w:rPr>
          <w:rFonts w:ascii="Arial" w:hAnsi="Arial" w:cs="Arial"/>
          <w:color w:val="000000" w:themeColor="text1"/>
          <w:sz w:val="24"/>
          <w:szCs w:val="24"/>
        </w:rPr>
        <w:t xml:space="preserve">Civil Aviation Regulations of 2011 </w:t>
      </w:r>
      <w:r w:rsidR="00E73434" w:rsidRPr="002D0A15">
        <w:rPr>
          <w:rFonts w:ascii="Arial" w:hAnsi="Arial" w:cs="Arial"/>
          <w:color w:val="000000" w:themeColor="text1"/>
          <w:sz w:val="24"/>
          <w:szCs w:val="24"/>
        </w:rPr>
        <w:t xml:space="preserve">("SACARS"), which </w:t>
      </w:r>
      <w:r w:rsidR="00245167" w:rsidRPr="002D0A15">
        <w:rPr>
          <w:rFonts w:ascii="Arial" w:hAnsi="Arial" w:cs="Arial"/>
          <w:color w:val="000000" w:themeColor="text1"/>
          <w:sz w:val="24"/>
          <w:szCs w:val="24"/>
        </w:rPr>
        <w:t>State</w:t>
      </w:r>
      <w:r w:rsidR="00E73434" w:rsidRPr="002D0A15">
        <w:rPr>
          <w:rFonts w:ascii="Arial" w:hAnsi="Arial" w:cs="Arial"/>
          <w:color w:val="000000" w:themeColor="text1"/>
          <w:sz w:val="24"/>
          <w:szCs w:val="24"/>
        </w:rPr>
        <w:t xml:space="preserve">s that certain records </w:t>
      </w:r>
      <w:r w:rsidR="00E73434" w:rsidRPr="002D0A15">
        <w:rPr>
          <w:rFonts w:ascii="Arial" w:hAnsi="Arial" w:cs="Arial"/>
          <w:i/>
          <w:iCs/>
          <w:color w:val="000000" w:themeColor="text1"/>
          <w:sz w:val="24"/>
          <w:szCs w:val="24"/>
        </w:rPr>
        <w:t>"</w:t>
      </w:r>
      <w:r w:rsidR="00D145AF" w:rsidRPr="002D0A15">
        <w:rPr>
          <w:rFonts w:ascii="Arial" w:hAnsi="Arial" w:cs="Arial"/>
          <w:i/>
          <w:iCs/>
          <w:color w:val="000000" w:themeColor="text1"/>
          <w:sz w:val="24"/>
          <w:szCs w:val="24"/>
        </w:rPr>
        <w:t>…</w:t>
      </w:r>
      <w:r w:rsidR="00E73434" w:rsidRPr="002D0A15">
        <w:rPr>
          <w:rFonts w:ascii="Arial" w:hAnsi="Arial" w:cs="Arial"/>
          <w:i/>
          <w:iCs/>
          <w:color w:val="000000" w:themeColor="text1"/>
          <w:sz w:val="24"/>
          <w:szCs w:val="24"/>
        </w:rPr>
        <w:t xml:space="preserve">shall not be made available for purposes other than accident or incident investigation, unless a </w:t>
      </w:r>
      <w:r w:rsidR="00566C8A" w:rsidRPr="002D0A15">
        <w:rPr>
          <w:rFonts w:ascii="Arial" w:hAnsi="Arial" w:cs="Arial"/>
          <w:i/>
          <w:iCs/>
          <w:color w:val="000000" w:themeColor="text1"/>
          <w:sz w:val="24"/>
          <w:szCs w:val="24"/>
        </w:rPr>
        <w:t>Court</w:t>
      </w:r>
      <w:r w:rsidR="00E73434" w:rsidRPr="002D0A15">
        <w:rPr>
          <w:rFonts w:ascii="Arial" w:hAnsi="Arial" w:cs="Arial"/>
          <w:i/>
          <w:iCs/>
          <w:color w:val="000000" w:themeColor="text1"/>
          <w:sz w:val="24"/>
          <w:szCs w:val="24"/>
        </w:rPr>
        <w:t xml:space="preserve"> of law determines that the disclosure or use outweighs the likely adverse domestic and international impact such action may have on that or future investigation, taking into account all applicable law.</w:t>
      </w:r>
      <w:r w:rsidR="00E73434" w:rsidRPr="002D0A15">
        <w:rPr>
          <w:rFonts w:ascii="Arial" w:hAnsi="Arial" w:cs="Arial"/>
          <w:color w:val="000000" w:themeColor="text1"/>
          <w:sz w:val="24"/>
          <w:szCs w:val="24"/>
        </w:rPr>
        <w:t>.."</w:t>
      </w:r>
      <w:r w:rsidR="003B7F28" w:rsidRPr="002D0A15">
        <w:rPr>
          <w:rFonts w:ascii="Arial" w:hAnsi="Arial" w:cs="Arial"/>
          <w:color w:val="000000" w:themeColor="text1"/>
          <w:sz w:val="24"/>
          <w:szCs w:val="24"/>
        </w:rPr>
        <w:t xml:space="preserve"> (“the weighing test”)</w:t>
      </w:r>
    </w:p>
    <w:p w14:paraId="1AC7C69F" w14:textId="72A4C949" w:rsidR="0086356E"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9C1DD1" w:rsidRPr="002D0A15">
        <w:rPr>
          <w:rFonts w:ascii="Arial" w:hAnsi="Arial" w:cs="Arial"/>
          <w:color w:val="000000" w:themeColor="text1"/>
          <w:sz w:val="24"/>
          <w:szCs w:val="24"/>
        </w:rPr>
        <w:t xml:space="preserve">The refusal letter goes further to inform the </w:t>
      </w:r>
      <w:r w:rsidR="00566C8A" w:rsidRPr="002D0A15">
        <w:rPr>
          <w:rFonts w:ascii="Arial" w:hAnsi="Arial" w:cs="Arial"/>
          <w:color w:val="000000" w:themeColor="text1"/>
          <w:sz w:val="24"/>
          <w:szCs w:val="24"/>
        </w:rPr>
        <w:t>Applicant</w:t>
      </w:r>
      <w:r w:rsidR="009C1DD1" w:rsidRPr="002D0A15">
        <w:rPr>
          <w:rFonts w:ascii="Arial" w:hAnsi="Arial" w:cs="Arial"/>
          <w:color w:val="000000" w:themeColor="text1"/>
          <w:sz w:val="24"/>
          <w:szCs w:val="24"/>
        </w:rPr>
        <w:t xml:space="preserve"> </w:t>
      </w:r>
      <w:r w:rsidR="009C1DD1" w:rsidRPr="002D0A15">
        <w:rPr>
          <w:rFonts w:ascii="Arial" w:hAnsi="Arial" w:cs="Arial"/>
          <w:i/>
          <w:iCs/>
          <w:color w:val="000000" w:themeColor="text1"/>
          <w:sz w:val="24"/>
          <w:szCs w:val="24"/>
        </w:rPr>
        <w:t xml:space="preserve">"... that in terms of section 25(3)(c) </w:t>
      </w:r>
      <w:r w:rsidR="00EB4B8C" w:rsidRPr="002D0A15">
        <w:rPr>
          <w:rFonts w:ascii="Arial" w:hAnsi="Arial" w:cs="Arial"/>
          <w:color w:val="000000" w:themeColor="text1"/>
          <w:sz w:val="24"/>
          <w:szCs w:val="24"/>
        </w:rPr>
        <w:t>[</w:t>
      </w:r>
      <w:r w:rsidR="00B448E8" w:rsidRPr="002D0A15">
        <w:rPr>
          <w:rFonts w:ascii="Arial" w:hAnsi="Arial" w:cs="Arial"/>
          <w:color w:val="000000" w:themeColor="text1"/>
          <w:sz w:val="24"/>
          <w:szCs w:val="24"/>
        </w:rPr>
        <w:t>of PAIA</w:t>
      </w:r>
      <w:r w:rsidR="00EB4B8C" w:rsidRPr="002D0A15">
        <w:rPr>
          <w:rFonts w:ascii="Arial" w:hAnsi="Arial" w:cs="Arial"/>
          <w:color w:val="000000" w:themeColor="text1"/>
          <w:sz w:val="24"/>
          <w:szCs w:val="24"/>
        </w:rPr>
        <w:t>]</w:t>
      </w:r>
      <w:r w:rsidR="00B448E8" w:rsidRPr="002D0A15">
        <w:rPr>
          <w:rFonts w:ascii="Arial" w:hAnsi="Arial" w:cs="Arial"/>
          <w:i/>
          <w:iCs/>
          <w:color w:val="000000" w:themeColor="text1"/>
          <w:sz w:val="24"/>
          <w:szCs w:val="24"/>
        </w:rPr>
        <w:t xml:space="preserve"> </w:t>
      </w:r>
      <w:r w:rsidR="009C1DD1" w:rsidRPr="002D0A15">
        <w:rPr>
          <w:rFonts w:ascii="Arial" w:hAnsi="Arial" w:cs="Arial"/>
          <w:i/>
          <w:iCs/>
          <w:color w:val="000000" w:themeColor="text1"/>
          <w:sz w:val="24"/>
          <w:szCs w:val="24"/>
        </w:rPr>
        <w:t xml:space="preserve">you have the right to lodge an application with a </w:t>
      </w:r>
      <w:r w:rsidR="00566C8A" w:rsidRPr="002D0A15">
        <w:rPr>
          <w:rFonts w:ascii="Arial" w:hAnsi="Arial" w:cs="Arial"/>
          <w:i/>
          <w:iCs/>
          <w:color w:val="000000" w:themeColor="text1"/>
          <w:sz w:val="24"/>
          <w:szCs w:val="24"/>
        </w:rPr>
        <w:t>Court</w:t>
      </w:r>
      <w:r w:rsidR="009C1DD1" w:rsidRPr="002D0A15">
        <w:rPr>
          <w:rFonts w:ascii="Arial" w:hAnsi="Arial" w:cs="Arial"/>
          <w:i/>
          <w:iCs/>
          <w:color w:val="000000" w:themeColor="text1"/>
          <w:sz w:val="24"/>
          <w:szCs w:val="24"/>
        </w:rPr>
        <w:t xml:space="preserve"> to </w:t>
      </w:r>
      <w:r w:rsidR="009C1DD1" w:rsidRPr="002D0A15">
        <w:rPr>
          <w:rFonts w:ascii="Arial" w:hAnsi="Arial" w:cs="Arial"/>
          <w:b/>
          <w:bCs/>
          <w:i/>
          <w:iCs/>
          <w:color w:val="000000" w:themeColor="text1"/>
          <w:sz w:val="24"/>
          <w:szCs w:val="24"/>
        </w:rPr>
        <w:t>review</w:t>
      </w:r>
      <w:r w:rsidR="009C1DD1" w:rsidRPr="002D0A15">
        <w:rPr>
          <w:rFonts w:ascii="Arial" w:hAnsi="Arial" w:cs="Arial"/>
          <w:i/>
          <w:iCs/>
          <w:color w:val="000000" w:themeColor="text1"/>
          <w:sz w:val="24"/>
          <w:szCs w:val="24"/>
        </w:rPr>
        <w:t xml:space="preserve"> this decision within a period of 30 days</w:t>
      </w:r>
      <w:r w:rsidR="009C1DD1" w:rsidRPr="002D0A15">
        <w:rPr>
          <w:rFonts w:ascii="Arial" w:hAnsi="Arial" w:cs="Arial"/>
          <w:color w:val="000000" w:themeColor="text1"/>
          <w:sz w:val="24"/>
          <w:szCs w:val="24"/>
        </w:rPr>
        <w:t>."</w:t>
      </w:r>
    </w:p>
    <w:p w14:paraId="5DD36B51" w14:textId="4D50CCAB" w:rsidR="00435D6A"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9276A4" w:rsidRPr="002D0A15">
        <w:rPr>
          <w:rFonts w:ascii="Arial" w:hAnsi="Arial" w:cs="Arial"/>
          <w:color w:val="000000" w:themeColor="text1"/>
          <w:sz w:val="24"/>
          <w:szCs w:val="24"/>
        </w:rPr>
        <w:t>The reference to “review” in the refusal letter</w:t>
      </w:r>
      <w:r w:rsidR="00AF6C30" w:rsidRPr="002D0A15">
        <w:rPr>
          <w:rFonts w:ascii="Arial" w:hAnsi="Arial" w:cs="Arial"/>
          <w:color w:val="000000" w:themeColor="text1"/>
          <w:sz w:val="24"/>
          <w:szCs w:val="24"/>
        </w:rPr>
        <w:t xml:space="preserve"> is of the </w:t>
      </w:r>
      <w:r w:rsidR="00566C8A" w:rsidRPr="002D0A15">
        <w:rPr>
          <w:rFonts w:ascii="Arial" w:hAnsi="Arial" w:cs="Arial"/>
          <w:color w:val="000000" w:themeColor="text1"/>
          <w:sz w:val="24"/>
          <w:szCs w:val="24"/>
        </w:rPr>
        <w:t>Respondent</w:t>
      </w:r>
      <w:r w:rsidR="00AF6C30" w:rsidRPr="002D0A15">
        <w:rPr>
          <w:rFonts w:ascii="Arial" w:hAnsi="Arial" w:cs="Arial"/>
          <w:color w:val="000000" w:themeColor="text1"/>
          <w:sz w:val="24"/>
          <w:szCs w:val="24"/>
        </w:rPr>
        <w:t>’s</w:t>
      </w:r>
      <w:r w:rsidR="00D27F4A" w:rsidRPr="002D0A15">
        <w:rPr>
          <w:rFonts w:ascii="Arial" w:hAnsi="Arial" w:cs="Arial"/>
          <w:color w:val="000000" w:themeColor="text1"/>
          <w:sz w:val="24"/>
          <w:szCs w:val="24"/>
        </w:rPr>
        <w:t xml:space="preserve"> </w:t>
      </w:r>
      <w:r w:rsidR="00553618" w:rsidRPr="002D0A15">
        <w:rPr>
          <w:rFonts w:ascii="Arial" w:hAnsi="Arial" w:cs="Arial"/>
          <w:color w:val="000000" w:themeColor="text1"/>
          <w:sz w:val="24"/>
          <w:szCs w:val="24"/>
        </w:rPr>
        <w:t>creation</w:t>
      </w:r>
      <w:r w:rsidR="00D27F4A" w:rsidRPr="002D0A15">
        <w:rPr>
          <w:rFonts w:ascii="Arial" w:hAnsi="Arial" w:cs="Arial"/>
          <w:color w:val="000000" w:themeColor="text1"/>
          <w:sz w:val="24"/>
          <w:szCs w:val="24"/>
        </w:rPr>
        <w:t xml:space="preserve">, as section 25(3)(c) </w:t>
      </w:r>
      <w:r w:rsidR="009050A9" w:rsidRPr="002D0A15">
        <w:rPr>
          <w:rFonts w:ascii="Arial" w:hAnsi="Arial" w:cs="Arial"/>
          <w:color w:val="000000" w:themeColor="text1"/>
          <w:sz w:val="24"/>
          <w:szCs w:val="24"/>
        </w:rPr>
        <w:t xml:space="preserve">of PAIA </w:t>
      </w:r>
      <w:r w:rsidR="00063AC0" w:rsidRPr="002D0A15">
        <w:rPr>
          <w:rFonts w:ascii="Arial" w:hAnsi="Arial" w:cs="Arial"/>
          <w:color w:val="000000" w:themeColor="text1"/>
          <w:sz w:val="24"/>
          <w:szCs w:val="24"/>
        </w:rPr>
        <w:t xml:space="preserve">makes reference to an “application” to </w:t>
      </w:r>
      <w:r w:rsidR="00566C8A" w:rsidRPr="002D0A15">
        <w:rPr>
          <w:rFonts w:ascii="Arial" w:hAnsi="Arial" w:cs="Arial"/>
          <w:color w:val="000000" w:themeColor="text1"/>
          <w:sz w:val="24"/>
          <w:szCs w:val="24"/>
        </w:rPr>
        <w:t>Court</w:t>
      </w:r>
      <w:r w:rsidR="00063AC0" w:rsidRPr="002D0A15">
        <w:rPr>
          <w:rFonts w:ascii="Arial" w:hAnsi="Arial" w:cs="Arial"/>
          <w:color w:val="000000" w:themeColor="text1"/>
          <w:sz w:val="24"/>
          <w:szCs w:val="24"/>
        </w:rPr>
        <w:t xml:space="preserve">. </w:t>
      </w:r>
      <w:r w:rsidR="00A050DC" w:rsidRPr="002D0A15">
        <w:rPr>
          <w:rFonts w:ascii="Arial" w:hAnsi="Arial" w:cs="Arial"/>
          <w:color w:val="000000" w:themeColor="text1"/>
          <w:sz w:val="24"/>
          <w:szCs w:val="24"/>
        </w:rPr>
        <w:t xml:space="preserve">In fact, PAIA makes reference to “review” </w:t>
      </w:r>
      <w:r w:rsidR="008B234F" w:rsidRPr="002D0A15">
        <w:rPr>
          <w:rFonts w:ascii="Arial" w:hAnsi="Arial" w:cs="Arial"/>
          <w:color w:val="000000" w:themeColor="text1"/>
          <w:sz w:val="24"/>
          <w:szCs w:val="24"/>
        </w:rPr>
        <w:t xml:space="preserve">only </w:t>
      </w:r>
      <w:r w:rsidR="00A050DC" w:rsidRPr="002D0A15">
        <w:rPr>
          <w:rFonts w:ascii="Arial" w:hAnsi="Arial" w:cs="Arial"/>
          <w:color w:val="000000" w:themeColor="text1"/>
          <w:sz w:val="24"/>
          <w:szCs w:val="24"/>
        </w:rPr>
        <w:t>once</w:t>
      </w:r>
      <w:r w:rsidR="008B234F" w:rsidRPr="002D0A15">
        <w:rPr>
          <w:rFonts w:ascii="Arial" w:hAnsi="Arial" w:cs="Arial"/>
          <w:color w:val="000000" w:themeColor="text1"/>
          <w:sz w:val="24"/>
          <w:szCs w:val="24"/>
        </w:rPr>
        <w:t xml:space="preserve"> and then only regarding </w:t>
      </w:r>
      <w:r w:rsidR="00C131D7" w:rsidRPr="002D0A15">
        <w:rPr>
          <w:rFonts w:ascii="Arial" w:hAnsi="Arial" w:cs="Arial"/>
          <w:color w:val="000000" w:themeColor="text1"/>
          <w:sz w:val="24"/>
          <w:szCs w:val="24"/>
        </w:rPr>
        <w:t>parliament’s</w:t>
      </w:r>
      <w:r w:rsidR="008B234F" w:rsidRPr="002D0A15">
        <w:rPr>
          <w:rFonts w:ascii="Arial" w:hAnsi="Arial" w:cs="Arial"/>
          <w:color w:val="000000" w:themeColor="text1"/>
          <w:sz w:val="24"/>
          <w:szCs w:val="24"/>
        </w:rPr>
        <w:t xml:space="preserve"> obligation to review </w:t>
      </w:r>
      <w:r w:rsidR="00DF2724" w:rsidRPr="002D0A15">
        <w:rPr>
          <w:rFonts w:ascii="Arial" w:hAnsi="Arial" w:cs="Arial"/>
          <w:color w:val="000000" w:themeColor="text1"/>
          <w:sz w:val="24"/>
          <w:szCs w:val="24"/>
        </w:rPr>
        <w:lastRenderedPageBreak/>
        <w:t>Section 87</w:t>
      </w:r>
      <w:r w:rsidR="00553618" w:rsidRPr="002D0A15">
        <w:rPr>
          <w:rFonts w:ascii="Arial" w:hAnsi="Arial" w:cs="Arial"/>
          <w:color w:val="000000" w:themeColor="text1"/>
          <w:sz w:val="24"/>
          <w:szCs w:val="24"/>
        </w:rPr>
        <w:t>,</w:t>
      </w:r>
      <w:r w:rsidR="00DF2724" w:rsidRPr="002D0A15">
        <w:rPr>
          <w:rFonts w:ascii="Arial" w:hAnsi="Arial" w:cs="Arial"/>
          <w:color w:val="000000" w:themeColor="text1"/>
          <w:sz w:val="24"/>
          <w:szCs w:val="24"/>
        </w:rPr>
        <w:t xml:space="preserve">  which deals with</w:t>
      </w:r>
      <w:r w:rsidR="006A7F86" w:rsidRPr="002D0A15">
        <w:rPr>
          <w:rFonts w:ascii="Arial" w:hAnsi="Arial" w:cs="Arial"/>
          <w:color w:val="000000" w:themeColor="text1"/>
          <w:sz w:val="24"/>
          <w:szCs w:val="24"/>
        </w:rPr>
        <w:t xml:space="preserve"> transitional provisions</w:t>
      </w:r>
      <w:r w:rsidR="00484344" w:rsidRPr="002D0A15">
        <w:rPr>
          <w:rFonts w:ascii="Arial" w:hAnsi="Arial" w:cs="Arial"/>
          <w:color w:val="000000" w:themeColor="text1"/>
          <w:sz w:val="24"/>
          <w:szCs w:val="24"/>
        </w:rPr>
        <w:t xml:space="preserve">. </w:t>
      </w:r>
      <w:r w:rsidR="00896181" w:rsidRPr="002D0A15">
        <w:rPr>
          <w:rFonts w:ascii="Arial" w:hAnsi="Arial" w:cs="Arial"/>
          <w:color w:val="000000" w:themeColor="text1"/>
          <w:sz w:val="24"/>
          <w:szCs w:val="24"/>
        </w:rPr>
        <w:t>Even then, the reference to review is in the normal grammatical sense and not the legal sense.</w:t>
      </w:r>
    </w:p>
    <w:p w14:paraId="56C87CCA" w14:textId="401AC3B9" w:rsidR="005D441E" w:rsidRPr="00435D6A" w:rsidRDefault="00674BD8" w:rsidP="00435D6A">
      <w:pPr>
        <w:tabs>
          <w:tab w:val="right" w:pos="8208"/>
        </w:tabs>
        <w:spacing w:before="120" w:line="360" w:lineRule="auto"/>
        <w:jc w:val="both"/>
        <w:rPr>
          <w:rFonts w:ascii="Arial" w:hAnsi="Arial" w:cs="Arial"/>
          <w:color w:val="000000" w:themeColor="text1"/>
          <w:sz w:val="24"/>
          <w:szCs w:val="24"/>
        </w:rPr>
      </w:pPr>
      <w:r w:rsidRPr="00435D6A">
        <w:rPr>
          <w:rFonts w:ascii="Arial" w:hAnsi="Arial" w:cs="Arial"/>
          <w:b/>
          <w:bCs/>
          <w:color w:val="000000" w:themeColor="text1"/>
          <w:sz w:val="24"/>
          <w:szCs w:val="24"/>
        </w:rPr>
        <w:t>Prayers in terms of the notice of motion</w:t>
      </w:r>
    </w:p>
    <w:p w14:paraId="2DD6CFC9" w14:textId="46B8EECF" w:rsidR="00F86714"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AB0FC5" w:rsidRPr="002D0A15">
        <w:rPr>
          <w:rFonts w:ascii="Arial" w:hAnsi="Arial" w:cs="Arial"/>
          <w:color w:val="000000" w:themeColor="text1"/>
          <w:sz w:val="24"/>
          <w:szCs w:val="24"/>
        </w:rPr>
        <w:t xml:space="preserve">Having been </w:t>
      </w:r>
      <w:r w:rsidR="008F634B" w:rsidRPr="002D0A15">
        <w:rPr>
          <w:rFonts w:ascii="Arial" w:hAnsi="Arial" w:cs="Arial"/>
          <w:color w:val="000000" w:themeColor="text1"/>
          <w:sz w:val="24"/>
          <w:szCs w:val="24"/>
        </w:rPr>
        <w:t xml:space="preserve">so </w:t>
      </w:r>
      <w:r w:rsidR="00AB0FC5" w:rsidRPr="002D0A15">
        <w:rPr>
          <w:rFonts w:ascii="Arial" w:hAnsi="Arial" w:cs="Arial"/>
          <w:color w:val="000000" w:themeColor="text1"/>
          <w:sz w:val="24"/>
          <w:szCs w:val="24"/>
        </w:rPr>
        <w:t xml:space="preserve">advised by the </w:t>
      </w:r>
      <w:r w:rsidR="00566C8A" w:rsidRPr="002D0A15">
        <w:rPr>
          <w:rFonts w:ascii="Arial" w:hAnsi="Arial" w:cs="Arial"/>
          <w:color w:val="000000" w:themeColor="text1"/>
          <w:sz w:val="24"/>
          <w:szCs w:val="24"/>
        </w:rPr>
        <w:t>Respondent</w:t>
      </w:r>
      <w:r w:rsidR="00AB0FC5" w:rsidRPr="002D0A15">
        <w:rPr>
          <w:rFonts w:ascii="Arial" w:hAnsi="Arial" w:cs="Arial"/>
          <w:color w:val="000000" w:themeColor="text1"/>
          <w:sz w:val="24"/>
          <w:szCs w:val="24"/>
        </w:rPr>
        <w:t xml:space="preserve">, </w:t>
      </w:r>
      <w:r w:rsidR="006E5671" w:rsidRPr="002D0A15">
        <w:rPr>
          <w:rFonts w:ascii="Arial" w:hAnsi="Arial" w:cs="Arial"/>
          <w:color w:val="000000" w:themeColor="text1"/>
          <w:sz w:val="24"/>
          <w:szCs w:val="24"/>
        </w:rPr>
        <w:t>t</w:t>
      </w:r>
      <w:r w:rsidR="00D404D6" w:rsidRPr="002D0A15">
        <w:rPr>
          <w:rFonts w:ascii="Arial" w:hAnsi="Arial" w:cs="Arial"/>
          <w:color w:val="000000" w:themeColor="text1"/>
          <w:sz w:val="24"/>
          <w:szCs w:val="24"/>
        </w:rPr>
        <w:t xml:space="preserve">he </w:t>
      </w:r>
      <w:r w:rsidR="00566C8A" w:rsidRPr="002D0A15">
        <w:rPr>
          <w:rFonts w:ascii="Arial" w:hAnsi="Arial" w:cs="Arial"/>
          <w:color w:val="000000" w:themeColor="text1"/>
          <w:sz w:val="24"/>
          <w:szCs w:val="24"/>
        </w:rPr>
        <w:t>Applicant</w:t>
      </w:r>
      <w:r w:rsidR="00D404D6" w:rsidRPr="002D0A15">
        <w:rPr>
          <w:rFonts w:ascii="Arial" w:hAnsi="Arial" w:cs="Arial"/>
          <w:color w:val="000000" w:themeColor="text1"/>
          <w:sz w:val="24"/>
          <w:szCs w:val="24"/>
        </w:rPr>
        <w:t xml:space="preserve"> duly brought this application </w:t>
      </w:r>
      <w:r w:rsidR="00F30CEB" w:rsidRPr="002D0A15">
        <w:rPr>
          <w:rFonts w:ascii="Arial" w:hAnsi="Arial" w:cs="Arial"/>
          <w:color w:val="000000" w:themeColor="text1"/>
          <w:sz w:val="24"/>
          <w:szCs w:val="24"/>
        </w:rPr>
        <w:t>requesting that</w:t>
      </w:r>
      <w:r w:rsidR="000712B7" w:rsidRPr="002D0A15">
        <w:rPr>
          <w:rFonts w:ascii="Arial" w:hAnsi="Arial" w:cs="Arial"/>
          <w:color w:val="000000" w:themeColor="text1"/>
          <w:sz w:val="24"/>
          <w:szCs w:val="24"/>
        </w:rPr>
        <w:t xml:space="preserve"> t</w:t>
      </w:r>
      <w:r w:rsidR="00D404D6" w:rsidRPr="002D0A15">
        <w:rPr>
          <w:rFonts w:ascii="Arial" w:hAnsi="Arial" w:cs="Arial"/>
          <w:color w:val="000000" w:themeColor="text1"/>
          <w:sz w:val="24"/>
          <w:szCs w:val="24"/>
        </w:rPr>
        <w:t>h</w:t>
      </w:r>
      <w:r w:rsidR="00946E37" w:rsidRPr="002D0A15">
        <w:rPr>
          <w:rFonts w:ascii="Arial" w:hAnsi="Arial" w:cs="Arial"/>
          <w:color w:val="000000" w:themeColor="text1"/>
          <w:sz w:val="24"/>
          <w:szCs w:val="24"/>
        </w:rPr>
        <w:t>e</w:t>
      </w:r>
      <w:r w:rsidR="00D404D6" w:rsidRPr="002D0A15">
        <w:rPr>
          <w:rFonts w:ascii="Arial" w:hAnsi="Arial" w:cs="Arial"/>
          <w:color w:val="000000" w:themeColor="text1"/>
          <w:sz w:val="24"/>
          <w:szCs w:val="24"/>
        </w:rPr>
        <w:t xml:space="preserve"> refusal be </w:t>
      </w:r>
      <w:r w:rsidR="00FC6D46" w:rsidRPr="002D0A15">
        <w:rPr>
          <w:rFonts w:ascii="Arial" w:hAnsi="Arial" w:cs="Arial"/>
          <w:color w:val="000000" w:themeColor="text1"/>
          <w:sz w:val="24"/>
          <w:szCs w:val="24"/>
        </w:rPr>
        <w:t>“</w:t>
      </w:r>
      <w:r w:rsidR="00D4023D" w:rsidRPr="002D0A15">
        <w:rPr>
          <w:rFonts w:ascii="Arial" w:hAnsi="Arial" w:cs="Arial"/>
          <w:b/>
          <w:bCs/>
          <w:i/>
          <w:iCs/>
          <w:color w:val="000000" w:themeColor="text1"/>
          <w:sz w:val="24"/>
          <w:szCs w:val="24"/>
        </w:rPr>
        <w:t xml:space="preserve">reviewed </w:t>
      </w:r>
      <w:r w:rsidR="00D4023D" w:rsidRPr="002D0A15">
        <w:rPr>
          <w:rFonts w:ascii="Arial" w:hAnsi="Arial" w:cs="Arial"/>
          <w:i/>
          <w:iCs/>
          <w:color w:val="000000" w:themeColor="text1"/>
          <w:sz w:val="24"/>
          <w:szCs w:val="24"/>
        </w:rPr>
        <w:t xml:space="preserve">and </w:t>
      </w:r>
      <w:r w:rsidR="00D404D6" w:rsidRPr="002D0A15">
        <w:rPr>
          <w:rFonts w:ascii="Arial" w:hAnsi="Arial" w:cs="Arial"/>
          <w:i/>
          <w:iCs/>
          <w:color w:val="000000" w:themeColor="text1"/>
          <w:sz w:val="24"/>
          <w:szCs w:val="24"/>
        </w:rPr>
        <w:t>set aside</w:t>
      </w:r>
      <w:r w:rsidR="00FC6D46" w:rsidRPr="002D0A15">
        <w:rPr>
          <w:rFonts w:ascii="Arial" w:hAnsi="Arial" w:cs="Arial"/>
          <w:color w:val="000000" w:themeColor="text1"/>
          <w:sz w:val="24"/>
          <w:szCs w:val="24"/>
        </w:rPr>
        <w:t>”</w:t>
      </w:r>
      <w:r w:rsidR="00D404D6" w:rsidRPr="002D0A15">
        <w:rPr>
          <w:rFonts w:ascii="Arial" w:hAnsi="Arial" w:cs="Arial"/>
          <w:color w:val="000000" w:themeColor="text1"/>
          <w:sz w:val="24"/>
          <w:szCs w:val="24"/>
        </w:rPr>
        <w:t xml:space="preserve"> "... </w:t>
      </w:r>
      <w:r w:rsidR="00D404D6" w:rsidRPr="002D0A15">
        <w:rPr>
          <w:rFonts w:ascii="Arial" w:hAnsi="Arial" w:cs="Arial"/>
          <w:i/>
          <w:iCs/>
          <w:color w:val="000000" w:themeColor="text1"/>
          <w:sz w:val="24"/>
          <w:szCs w:val="24"/>
        </w:rPr>
        <w:t>in terms of the provisions of section 25(3)(c)..</w:t>
      </w:r>
      <w:r w:rsidR="00D404D6" w:rsidRPr="002D0A15">
        <w:rPr>
          <w:rFonts w:ascii="Arial" w:hAnsi="Arial" w:cs="Arial"/>
          <w:color w:val="000000" w:themeColor="text1"/>
          <w:sz w:val="24"/>
          <w:szCs w:val="24"/>
        </w:rPr>
        <w:t>."of PAIA</w:t>
      </w:r>
      <w:r w:rsidR="00F86714" w:rsidRPr="002D0A15">
        <w:rPr>
          <w:rFonts w:ascii="Arial" w:hAnsi="Arial" w:cs="Arial"/>
          <w:color w:val="000000" w:themeColor="text1"/>
          <w:sz w:val="24"/>
          <w:szCs w:val="24"/>
        </w:rPr>
        <w:t xml:space="preserve">. </w:t>
      </w:r>
    </w:p>
    <w:p w14:paraId="77B91016" w14:textId="5EC40EED" w:rsidR="000712B7"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F86714"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Court</w:t>
      </w:r>
      <w:r w:rsidR="00F86714" w:rsidRPr="002D0A15">
        <w:rPr>
          <w:rFonts w:ascii="Arial" w:hAnsi="Arial" w:cs="Arial"/>
          <w:color w:val="000000" w:themeColor="text1"/>
          <w:sz w:val="24"/>
          <w:szCs w:val="24"/>
        </w:rPr>
        <w:t xml:space="preserve"> is also requested to order that </w:t>
      </w:r>
      <w:r w:rsidR="00612D56" w:rsidRPr="002D0A15">
        <w:rPr>
          <w:rFonts w:ascii="Arial" w:hAnsi="Arial" w:cs="Arial"/>
          <w:color w:val="000000" w:themeColor="text1"/>
          <w:sz w:val="24"/>
          <w:szCs w:val="24"/>
        </w:rPr>
        <w:t xml:space="preserve">the first and second </w:t>
      </w:r>
      <w:r w:rsidR="00566C8A" w:rsidRPr="002D0A15">
        <w:rPr>
          <w:rFonts w:ascii="Arial" w:hAnsi="Arial" w:cs="Arial"/>
          <w:color w:val="000000" w:themeColor="text1"/>
          <w:sz w:val="24"/>
          <w:szCs w:val="24"/>
        </w:rPr>
        <w:t>Respondent</w:t>
      </w:r>
      <w:r w:rsidR="00612D56" w:rsidRPr="002D0A15">
        <w:rPr>
          <w:rFonts w:ascii="Arial" w:hAnsi="Arial" w:cs="Arial"/>
          <w:color w:val="000000" w:themeColor="text1"/>
          <w:sz w:val="24"/>
          <w:szCs w:val="24"/>
        </w:rPr>
        <w:t xml:space="preserve">s provide the records within 15 days. </w:t>
      </w:r>
    </w:p>
    <w:p w14:paraId="2B7EFDE1" w14:textId="5A675745" w:rsidR="00E216D5"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0712B7">
        <w:rPr>
          <w:rFonts w:ascii="Arial" w:hAnsi="Arial" w:cs="Arial"/>
          <w:color w:val="000000" w:themeColor="text1"/>
          <w:sz w:val="24"/>
          <w:szCs w:val="24"/>
        </w:rPr>
        <w:t>13)</w:t>
      </w:r>
      <w:r w:rsidRPr="000712B7">
        <w:rPr>
          <w:rFonts w:ascii="Arial" w:hAnsi="Arial" w:cs="Arial"/>
          <w:color w:val="000000" w:themeColor="text1"/>
          <w:sz w:val="24"/>
          <w:szCs w:val="24"/>
        </w:rPr>
        <w:tab/>
      </w:r>
      <w:r w:rsidR="00C2046E" w:rsidRPr="002D0A15">
        <w:rPr>
          <w:rFonts w:ascii="Arial" w:hAnsi="Arial" w:cs="Arial"/>
          <w:color w:val="000000" w:themeColor="text1"/>
          <w:sz w:val="24"/>
          <w:szCs w:val="24"/>
        </w:rPr>
        <w:t>A</w:t>
      </w:r>
      <w:r w:rsidR="000712B7" w:rsidRPr="002D0A15">
        <w:rPr>
          <w:rFonts w:ascii="Arial" w:hAnsi="Arial" w:cs="Arial"/>
          <w:color w:val="000000" w:themeColor="text1"/>
          <w:sz w:val="24"/>
          <w:szCs w:val="24"/>
        </w:rPr>
        <w:t>n alternati</w:t>
      </w:r>
      <w:r w:rsidR="002854D5" w:rsidRPr="002D0A15">
        <w:rPr>
          <w:rFonts w:ascii="Arial" w:hAnsi="Arial" w:cs="Arial"/>
          <w:color w:val="000000" w:themeColor="text1"/>
          <w:sz w:val="24"/>
          <w:szCs w:val="24"/>
        </w:rPr>
        <w:t>ve prayer</w:t>
      </w:r>
      <w:r w:rsidR="00C2046E" w:rsidRPr="002D0A15">
        <w:rPr>
          <w:rFonts w:ascii="Arial" w:hAnsi="Arial" w:cs="Arial"/>
          <w:color w:val="000000" w:themeColor="text1"/>
          <w:sz w:val="24"/>
          <w:szCs w:val="24"/>
        </w:rPr>
        <w:t>,</w:t>
      </w:r>
      <w:r w:rsidR="002854D5" w:rsidRPr="002D0A15">
        <w:rPr>
          <w:rFonts w:ascii="Arial" w:hAnsi="Arial" w:cs="Arial"/>
          <w:color w:val="000000" w:themeColor="text1"/>
          <w:sz w:val="24"/>
          <w:szCs w:val="24"/>
        </w:rPr>
        <w:t xml:space="preserve"> for an</w:t>
      </w:r>
      <w:r w:rsidR="00E216D5" w:rsidRPr="002D0A15">
        <w:rPr>
          <w:rFonts w:ascii="Arial" w:hAnsi="Arial" w:cs="Arial"/>
          <w:color w:val="000000" w:themeColor="text1"/>
          <w:sz w:val="24"/>
          <w:szCs w:val="24"/>
        </w:rPr>
        <w:t xml:space="preserve"> </w:t>
      </w:r>
      <w:r w:rsidR="00157E02" w:rsidRPr="002D0A15">
        <w:rPr>
          <w:rFonts w:ascii="Arial" w:hAnsi="Arial" w:cs="Arial"/>
          <w:color w:val="000000" w:themeColor="text1"/>
          <w:sz w:val="24"/>
          <w:szCs w:val="24"/>
        </w:rPr>
        <w:t>order</w:t>
      </w:r>
      <w:r w:rsidR="00612D56" w:rsidRPr="002D0A15">
        <w:rPr>
          <w:rFonts w:ascii="Arial" w:hAnsi="Arial" w:cs="Arial"/>
          <w:color w:val="000000" w:themeColor="text1"/>
          <w:sz w:val="24"/>
          <w:szCs w:val="24"/>
        </w:rPr>
        <w:t xml:space="preserve"> that the records be made available in terms of the provisions of regulation</w:t>
      </w:r>
      <w:r w:rsidR="00EB1F86" w:rsidRPr="002D0A15">
        <w:rPr>
          <w:rFonts w:ascii="Arial" w:hAnsi="Arial" w:cs="Arial"/>
          <w:color w:val="000000" w:themeColor="text1"/>
          <w:sz w:val="24"/>
          <w:szCs w:val="24"/>
        </w:rPr>
        <w:t xml:space="preserve"> </w:t>
      </w:r>
      <w:r w:rsidR="00612D56" w:rsidRPr="002D0A15">
        <w:rPr>
          <w:rFonts w:ascii="Arial" w:hAnsi="Arial" w:cs="Arial"/>
          <w:color w:val="000000" w:themeColor="text1"/>
          <w:sz w:val="24"/>
          <w:szCs w:val="24"/>
        </w:rPr>
        <w:t>12.04.6 of part 12 of</w:t>
      </w:r>
      <w:r w:rsidR="00461C8B" w:rsidRPr="002D0A15">
        <w:rPr>
          <w:rFonts w:ascii="Arial" w:hAnsi="Arial" w:cs="Arial"/>
          <w:color w:val="000000" w:themeColor="text1"/>
          <w:sz w:val="24"/>
          <w:szCs w:val="24"/>
        </w:rPr>
        <w:t xml:space="preserve"> SACARS</w:t>
      </w:r>
      <w:r w:rsidR="00C2046E" w:rsidRPr="002D0A15">
        <w:rPr>
          <w:rFonts w:ascii="Arial" w:hAnsi="Arial" w:cs="Arial"/>
          <w:color w:val="000000" w:themeColor="text1"/>
          <w:sz w:val="24"/>
          <w:szCs w:val="24"/>
        </w:rPr>
        <w:t>, is also included (“the alternative prayer”).</w:t>
      </w:r>
    </w:p>
    <w:p w14:paraId="63CBD55D" w14:textId="083EED77" w:rsidR="004434A1" w:rsidRPr="00B0760E" w:rsidRDefault="002A762D" w:rsidP="004434A1">
      <w:pPr>
        <w:tabs>
          <w:tab w:val="right" w:pos="8208"/>
        </w:tabs>
        <w:spacing w:before="120" w:line="360" w:lineRule="auto"/>
        <w:jc w:val="both"/>
        <w:rPr>
          <w:rFonts w:ascii="Arial" w:hAnsi="Arial" w:cs="Arial"/>
          <w:b/>
          <w:bCs/>
          <w:color w:val="000000" w:themeColor="text1"/>
          <w:sz w:val="24"/>
          <w:szCs w:val="24"/>
        </w:rPr>
      </w:pPr>
      <w:r w:rsidRPr="00B0760E">
        <w:rPr>
          <w:rFonts w:ascii="Arial" w:hAnsi="Arial" w:cs="Arial"/>
          <w:b/>
          <w:bCs/>
          <w:color w:val="000000" w:themeColor="text1"/>
          <w:sz w:val="24"/>
          <w:szCs w:val="24"/>
        </w:rPr>
        <w:t xml:space="preserve">Preliminary </w:t>
      </w:r>
      <w:r w:rsidR="00B57AB5" w:rsidRPr="00B0760E">
        <w:rPr>
          <w:rFonts w:ascii="Arial" w:hAnsi="Arial" w:cs="Arial"/>
          <w:b/>
          <w:bCs/>
          <w:color w:val="000000" w:themeColor="text1"/>
          <w:sz w:val="24"/>
          <w:szCs w:val="24"/>
        </w:rPr>
        <w:t xml:space="preserve">challenge by </w:t>
      </w:r>
      <w:r w:rsidR="00566C8A">
        <w:rPr>
          <w:rFonts w:ascii="Arial" w:hAnsi="Arial" w:cs="Arial"/>
          <w:b/>
          <w:bCs/>
          <w:color w:val="000000" w:themeColor="text1"/>
          <w:sz w:val="24"/>
          <w:szCs w:val="24"/>
        </w:rPr>
        <w:t>Respondent</w:t>
      </w:r>
      <w:r w:rsidR="00C948FC" w:rsidRPr="00B0760E">
        <w:rPr>
          <w:rFonts w:ascii="Arial" w:hAnsi="Arial" w:cs="Arial"/>
          <w:b/>
          <w:bCs/>
          <w:color w:val="000000" w:themeColor="text1"/>
          <w:sz w:val="24"/>
          <w:szCs w:val="24"/>
        </w:rPr>
        <w:t xml:space="preserve">: </w:t>
      </w:r>
      <w:r w:rsidR="007913A8" w:rsidRPr="00B0760E">
        <w:rPr>
          <w:rFonts w:ascii="Arial" w:hAnsi="Arial" w:cs="Arial"/>
          <w:b/>
          <w:bCs/>
          <w:color w:val="000000" w:themeColor="text1"/>
          <w:sz w:val="24"/>
          <w:szCs w:val="24"/>
        </w:rPr>
        <w:t>Incompetency</w:t>
      </w:r>
      <w:r w:rsidR="001A4D6E" w:rsidRPr="00B0760E">
        <w:rPr>
          <w:rFonts w:ascii="Arial" w:hAnsi="Arial" w:cs="Arial"/>
          <w:b/>
          <w:bCs/>
          <w:color w:val="000000" w:themeColor="text1"/>
          <w:sz w:val="24"/>
          <w:szCs w:val="24"/>
        </w:rPr>
        <w:t xml:space="preserve"> of </w:t>
      </w:r>
      <w:r w:rsidR="00740CD6">
        <w:rPr>
          <w:rFonts w:ascii="Arial" w:hAnsi="Arial" w:cs="Arial"/>
          <w:b/>
          <w:bCs/>
          <w:color w:val="000000" w:themeColor="text1"/>
          <w:sz w:val="24"/>
          <w:szCs w:val="24"/>
        </w:rPr>
        <w:t>an ap</w:t>
      </w:r>
      <w:r w:rsidR="00FC6D46">
        <w:rPr>
          <w:rFonts w:ascii="Arial" w:hAnsi="Arial" w:cs="Arial"/>
          <w:b/>
          <w:bCs/>
          <w:color w:val="000000" w:themeColor="text1"/>
          <w:sz w:val="24"/>
          <w:szCs w:val="24"/>
        </w:rPr>
        <w:t>plication ito</w:t>
      </w:r>
      <w:r w:rsidR="007913A8" w:rsidRPr="00B0760E">
        <w:rPr>
          <w:rFonts w:ascii="Arial" w:hAnsi="Arial" w:cs="Arial"/>
          <w:b/>
          <w:bCs/>
          <w:color w:val="000000" w:themeColor="text1"/>
          <w:sz w:val="24"/>
          <w:szCs w:val="24"/>
        </w:rPr>
        <w:t xml:space="preserve"> PAIA</w:t>
      </w:r>
    </w:p>
    <w:p w14:paraId="6BF09B4F" w14:textId="0570E065" w:rsidR="00A82D63"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14)</w:t>
      </w:r>
      <w:r w:rsidRPr="00B0760E">
        <w:rPr>
          <w:rFonts w:ascii="Arial" w:hAnsi="Arial" w:cs="Arial"/>
          <w:color w:val="000000" w:themeColor="text1"/>
          <w:sz w:val="24"/>
          <w:szCs w:val="24"/>
        </w:rPr>
        <w:tab/>
      </w:r>
      <w:r w:rsidR="004434A1"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7630CC" w:rsidRPr="002D0A15">
        <w:rPr>
          <w:rFonts w:ascii="Arial" w:hAnsi="Arial" w:cs="Arial"/>
          <w:color w:val="000000" w:themeColor="text1"/>
          <w:sz w:val="24"/>
          <w:szCs w:val="24"/>
        </w:rPr>
        <w:t xml:space="preserve">, in </w:t>
      </w:r>
      <w:r w:rsidR="006F33B6" w:rsidRPr="002D0A15">
        <w:rPr>
          <w:rFonts w:ascii="Arial" w:hAnsi="Arial" w:cs="Arial"/>
          <w:color w:val="000000" w:themeColor="text1"/>
          <w:sz w:val="24"/>
          <w:szCs w:val="24"/>
        </w:rPr>
        <w:t>its</w:t>
      </w:r>
      <w:r w:rsidR="007630CC" w:rsidRPr="002D0A15">
        <w:rPr>
          <w:rFonts w:ascii="Arial" w:hAnsi="Arial" w:cs="Arial"/>
          <w:color w:val="000000" w:themeColor="text1"/>
          <w:sz w:val="24"/>
          <w:szCs w:val="24"/>
        </w:rPr>
        <w:t xml:space="preserve"> answering affidavit</w:t>
      </w:r>
      <w:r w:rsidR="00E56494" w:rsidRPr="002D0A15">
        <w:rPr>
          <w:rFonts w:ascii="Arial" w:hAnsi="Arial" w:cs="Arial"/>
          <w:color w:val="000000" w:themeColor="text1"/>
          <w:sz w:val="24"/>
          <w:szCs w:val="24"/>
        </w:rPr>
        <w:t xml:space="preserve"> (dated 16 September 20</w:t>
      </w:r>
      <w:r w:rsidR="00CE2CA3" w:rsidRPr="002D0A15">
        <w:rPr>
          <w:rFonts w:ascii="Arial" w:hAnsi="Arial" w:cs="Arial"/>
          <w:color w:val="000000" w:themeColor="text1"/>
          <w:sz w:val="24"/>
          <w:szCs w:val="24"/>
        </w:rPr>
        <w:t>22)</w:t>
      </w:r>
      <w:r w:rsidR="007630CC" w:rsidRPr="002D0A15">
        <w:rPr>
          <w:rFonts w:ascii="Arial" w:hAnsi="Arial" w:cs="Arial"/>
          <w:color w:val="000000" w:themeColor="text1"/>
          <w:sz w:val="24"/>
          <w:szCs w:val="24"/>
        </w:rPr>
        <w:t>, allege</w:t>
      </w:r>
      <w:r w:rsidR="00942DB4" w:rsidRPr="002D0A15">
        <w:rPr>
          <w:rFonts w:ascii="Arial" w:hAnsi="Arial" w:cs="Arial"/>
          <w:color w:val="000000" w:themeColor="text1"/>
          <w:sz w:val="24"/>
          <w:szCs w:val="24"/>
        </w:rPr>
        <w:t>d</w:t>
      </w:r>
      <w:r w:rsidR="00A54240" w:rsidRPr="002D0A15">
        <w:rPr>
          <w:rFonts w:ascii="Arial" w:hAnsi="Arial" w:cs="Arial"/>
          <w:color w:val="000000" w:themeColor="text1"/>
          <w:sz w:val="24"/>
          <w:szCs w:val="24"/>
        </w:rPr>
        <w:t xml:space="preserve"> </w:t>
      </w:r>
      <w:r w:rsidR="00557A13" w:rsidRPr="002D0A15">
        <w:rPr>
          <w:rFonts w:ascii="Arial" w:hAnsi="Arial" w:cs="Arial"/>
          <w:color w:val="000000" w:themeColor="text1"/>
          <w:sz w:val="24"/>
          <w:szCs w:val="24"/>
        </w:rPr>
        <w:t>t</w:t>
      </w:r>
      <w:r w:rsidR="005A3D38" w:rsidRPr="002D0A15">
        <w:rPr>
          <w:rFonts w:ascii="Arial" w:hAnsi="Arial" w:cs="Arial"/>
          <w:color w:val="000000" w:themeColor="text1"/>
          <w:sz w:val="24"/>
          <w:szCs w:val="24"/>
        </w:rPr>
        <w:t xml:space="preserve">hat it was not competent for the </w:t>
      </w:r>
      <w:r w:rsidR="00566C8A" w:rsidRPr="002D0A15">
        <w:rPr>
          <w:rFonts w:ascii="Arial" w:hAnsi="Arial" w:cs="Arial"/>
          <w:color w:val="000000" w:themeColor="text1"/>
          <w:sz w:val="24"/>
          <w:szCs w:val="24"/>
        </w:rPr>
        <w:t>Applicant</w:t>
      </w:r>
      <w:r w:rsidR="005A3D38" w:rsidRPr="002D0A15">
        <w:rPr>
          <w:rFonts w:ascii="Arial" w:hAnsi="Arial" w:cs="Arial"/>
          <w:color w:val="000000" w:themeColor="text1"/>
          <w:sz w:val="24"/>
          <w:szCs w:val="24"/>
        </w:rPr>
        <w:t xml:space="preserve"> to bring this application in terms of PAIA</w:t>
      </w:r>
      <w:r w:rsidR="00ED6638" w:rsidRPr="002D0A15">
        <w:rPr>
          <w:rFonts w:ascii="Arial" w:hAnsi="Arial" w:cs="Arial"/>
          <w:color w:val="000000" w:themeColor="text1"/>
          <w:sz w:val="24"/>
          <w:szCs w:val="24"/>
        </w:rPr>
        <w:t>, that the refusal constituted administrative action</w:t>
      </w:r>
      <w:r w:rsidR="005A3D38" w:rsidRPr="002D0A15">
        <w:rPr>
          <w:rFonts w:ascii="Arial" w:hAnsi="Arial" w:cs="Arial"/>
          <w:color w:val="000000" w:themeColor="text1"/>
          <w:sz w:val="24"/>
          <w:szCs w:val="24"/>
        </w:rPr>
        <w:t xml:space="preserve"> and that</w:t>
      </w:r>
      <w:r w:rsidR="00031F64" w:rsidRPr="002D0A15">
        <w:rPr>
          <w:rFonts w:ascii="Arial" w:hAnsi="Arial" w:cs="Arial"/>
          <w:color w:val="000000" w:themeColor="text1"/>
          <w:sz w:val="24"/>
          <w:szCs w:val="24"/>
        </w:rPr>
        <w:t>, as such,</w:t>
      </w:r>
      <w:r w:rsidR="005A3D38"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Applicant</w:t>
      </w:r>
      <w:r w:rsidR="005A3D38" w:rsidRPr="002D0A15">
        <w:rPr>
          <w:rFonts w:ascii="Arial" w:hAnsi="Arial" w:cs="Arial"/>
          <w:color w:val="000000" w:themeColor="text1"/>
          <w:sz w:val="24"/>
          <w:szCs w:val="24"/>
        </w:rPr>
        <w:t xml:space="preserve"> should have approach</w:t>
      </w:r>
      <w:r w:rsidR="00A67CEE" w:rsidRPr="002D0A15">
        <w:rPr>
          <w:rFonts w:ascii="Arial" w:hAnsi="Arial" w:cs="Arial"/>
          <w:color w:val="000000" w:themeColor="text1"/>
          <w:sz w:val="24"/>
          <w:szCs w:val="24"/>
        </w:rPr>
        <w:t>ed</w:t>
      </w:r>
      <w:r w:rsidR="005A3D38"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Court</w:t>
      </w:r>
      <w:r w:rsidR="005A3D38" w:rsidRPr="002D0A15">
        <w:rPr>
          <w:rFonts w:ascii="Arial" w:hAnsi="Arial" w:cs="Arial"/>
          <w:color w:val="000000" w:themeColor="text1"/>
          <w:sz w:val="24"/>
          <w:szCs w:val="24"/>
        </w:rPr>
        <w:t xml:space="preserve"> in terms of the provisions of</w:t>
      </w:r>
      <w:r w:rsidR="00A67CEE" w:rsidRPr="002D0A15">
        <w:rPr>
          <w:rFonts w:ascii="Arial" w:hAnsi="Arial" w:cs="Arial"/>
          <w:color w:val="000000" w:themeColor="text1"/>
          <w:sz w:val="24"/>
          <w:szCs w:val="24"/>
        </w:rPr>
        <w:t xml:space="preserve"> the Promotion of Administrative Justice Act 3 of 2000 ("PAJA")</w:t>
      </w:r>
      <w:r w:rsidR="00217001" w:rsidRPr="002D0A15">
        <w:rPr>
          <w:rFonts w:ascii="Arial" w:hAnsi="Arial" w:cs="Arial"/>
          <w:color w:val="000000" w:themeColor="text1"/>
          <w:sz w:val="24"/>
          <w:szCs w:val="24"/>
        </w:rPr>
        <w:t>.</w:t>
      </w:r>
      <w:r w:rsidR="00BA1C31" w:rsidRPr="00B0760E">
        <w:rPr>
          <w:rStyle w:val="FootnoteReference"/>
          <w:rFonts w:ascii="Arial" w:hAnsi="Arial" w:cs="Arial"/>
          <w:color w:val="000000" w:themeColor="text1"/>
          <w:sz w:val="24"/>
          <w:szCs w:val="24"/>
        </w:rPr>
        <w:footnoteReference w:id="3"/>
      </w:r>
      <w:r w:rsidR="005D010D" w:rsidRPr="002D0A15">
        <w:rPr>
          <w:rFonts w:ascii="Arial" w:hAnsi="Arial" w:cs="Arial"/>
          <w:color w:val="000000" w:themeColor="text1"/>
          <w:sz w:val="24"/>
          <w:szCs w:val="24"/>
        </w:rPr>
        <w:t xml:space="preserve"> </w:t>
      </w:r>
      <w:r w:rsidR="0023787A" w:rsidRPr="002D0A15">
        <w:rPr>
          <w:rFonts w:ascii="Arial" w:hAnsi="Arial" w:cs="Arial"/>
          <w:color w:val="000000" w:themeColor="text1"/>
          <w:sz w:val="24"/>
          <w:szCs w:val="24"/>
        </w:rPr>
        <w:t>I</w:t>
      </w:r>
      <w:r w:rsidR="005D010D" w:rsidRPr="002D0A15">
        <w:rPr>
          <w:rFonts w:ascii="Arial" w:hAnsi="Arial" w:cs="Arial"/>
          <w:color w:val="000000" w:themeColor="text1"/>
          <w:sz w:val="24"/>
          <w:szCs w:val="24"/>
        </w:rPr>
        <w:t xml:space="preserve">t </w:t>
      </w:r>
      <w:r w:rsidR="0023787A" w:rsidRPr="002D0A15">
        <w:rPr>
          <w:rFonts w:ascii="Arial" w:hAnsi="Arial" w:cs="Arial"/>
          <w:color w:val="000000" w:themeColor="text1"/>
          <w:sz w:val="24"/>
          <w:szCs w:val="24"/>
        </w:rPr>
        <w:t xml:space="preserve">further </w:t>
      </w:r>
      <w:r w:rsidR="00C528EE" w:rsidRPr="002D0A15">
        <w:rPr>
          <w:rFonts w:ascii="Arial" w:hAnsi="Arial" w:cs="Arial"/>
          <w:color w:val="000000" w:themeColor="text1"/>
          <w:sz w:val="24"/>
          <w:szCs w:val="24"/>
        </w:rPr>
        <w:t>argue</w:t>
      </w:r>
      <w:r w:rsidR="00942DB4" w:rsidRPr="002D0A15">
        <w:rPr>
          <w:rFonts w:ascii="Arial" w:hAnsi="Arial" w:cs="Arial"/>
          <w:color w:val="000000" w:themeColor="text1"/>
          <w:sz w:val="24"/>
          <w:szCs w:val="24"/>
        </w:rPr>
        <w:t>d</w:t>
      </w:r>
      <w:r w:rsidR="005D010D" w:rsidRPr="002D0A15">
        <w:rPr>
          <w:rFonts w:ascii="Arial" w:hAnsi="Arial" w:cs="Arial"/>
          <w:color w:val="000000" w:themeColor="text1"/>
          <w:sz w:val="24"/>
          <w:szCs w:val="24"/>
        </w:rPr>
        <w:t xml:space="preserve"> that, insofar as PAJA might not apply, the </w:t>
      </w:r>
      <w:r w:rsidR="00566C8A" w:rsidRPr="002D0A15">
        <w:rPr>
          <w:rFonts w:ascii="Arial" w:hAnsi="Arial" w:cs="Arial"/>
          <w:color w:val="000000" w:themeColor="text1"/>
          <w:sz w:val="24"/>
          <w:szCs w:val="24"/>
        </w:rPr>
        <w:t>Applicant</w:t>
      </w:r>
      <w:r w:rsidR="005D010D" w:rsidRPr="002D0A15">
        <w:rPr>
          <w:rFonts w:ascii="Arial" w:hAnsi="Arial" w:cs="Arial"/>
          <w:color w:val="000000" w:themeColor="text1"/>
          <w:sz w:val="24"/>
          <w:szCs w:val="24"/>
        </w:rPr>
        <w:t xml:space="preserve"> should have brought the </w:t>
      </w:r>
      <w:r w:rsidR="000E32B8" w:rsidRPr="002D0A15">
        <w:rPr>
          <w:rFonts w:ascii="Arial" w:hAnsi="Arial" w:cs="Arial"/>
          <w:color w:val="000000" w:themeColor="text1"/>
          <w:sz w:val="24"/>
          <w:szCs w:val="24"/>
        </w:rPr>
        <w:t>application</w:t>
      </w:r>
      <w:r w:rsidR="005D010D" w:rsidRPr="002D0A15">
        <w:rPr>
          <w:rFonts w:ascii="Arial" w:hAnsi="Arial" w:cs="Arial"/>
          <w:color w:val="000000" w:themeColor="text1"/>
          <w:sz w:val="24"/>
          <w:szCs w:val="24"/>
        </w:rPr>
        <w:t xml:space="preserve"> under the principle of legality</w:t>
      </w:r>
      <w:r w:rsidR="006B2A10" w:rsidRPr="002D0A15">
        <w:rPr>
          <w:rFonts w:ascii="Arial" w:hAnsi="Arial" w:cs="Arial"/>
          <w:color w:val="000000" w:themeColor="text1"/>
          <w:sz w:val="24"/>
          <w:szCs w:val="24"/>
        </w:rPr>
        <w:t>.</w:t>
      </w:r>
      <w:r w:rsidR="005E7E73" w:rsidRPr="00B0760E">
        <w:rPr>
          <w:rStyle w:val="FootnoteReference"/>
          <w:rFonts w:ascii="Arial" w:hAnsi="Arial" w:cs="Arial"/>
          <w:color w:val="000000" w:themeColor="text1"/>
          <w:sz w:val="24"/>
          <w:szCs w:val="24"/>
        </w:rPr>
        <w:footnoteReference w:id="4"/>
      </w:r>
      <w:r w:rsidR="00BA1C31" w:rsidRPr="002D0A15">
        <w:rPr>
          <w:rFonts w:ascii="Arial" w:hAnsi="Arial" w:cs="Arial"/>
          <w:color w:val="000000" w:themeColor="text1"/>
          <w:sz w:val="24"/>
          <w:szCs w:val="24"/>
        </w:rPr>
        <w:t xml:space="preserve"> </w:t>
      </w:r>
    </w:p>
    <w:p w14:paraId="33949AE8" w14:textId="2C5933DB" w:rsidR="009D5D05"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15)</w:t>
      </w:r>
      <w:r w:rsidRPr="00B0760E">
        <w:rPr>
          <w:rFonts w:ascii="Arial" w:hAnsi="Arial" w:cs="Arial"/>
          <w:color w:val="000000" w:themeColor="text1"/>
          <w:sz w:val="24"/>
          <w:szCs w:val="24"/>
        </w:rPr>
        <w:tab/>
      </w:r>
      <w:r w:rsidR="004A1D56"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4A1D56" w:rsidRPr="002D0A15">
        <w:rPr>
          <w:rFonts w:ascii="Arial" w:hAnsi="Arial" w:cs="Arial"/>
          <w:color w:val="000000" w:themeColor="text1"/>
          <w:sz w:val="24"/>
          <w:szCs w:val="24"/>
        </w:rPr>
        <w:t xml:space="preserve"> argue</w:t>
      </w:r>
      <w:r w:rsidR="00FA120B" w:rsidRPr="002D0A15">
        <w:rPr>
          <w:rFonts w:ascii="Arial" w:hAnsi="Arial" w:cs="Arial"/>
          <w:color w:val="000000" w:themeColor="text1"/>
          <w:sz w:val="24"/>
          <w:szCs w:val="24"/>
        </w:rPr>
        <w:t>d</w:t>
      </w:r>
      <w:r w:rsidR="004A1D56" w:rsidRPr="002D0A15">
        <w:rPr>
          <w:rFonts w:ascii="Arial" w:hAnsi="Arial" w:cs="Arial"/>
          <w:color w:val="000000" w:themeColor="text1"/>
          <w:sz w:val="24"/>
          <w:szCs w:val="24"/>
        </w:rPr>
        <w:t xml:space="preserve"> that the refusal is lawful as the requested records are exempt from disclosure in terms of section 41 of PAIA.</w:t>
      </w:r>
      <w:r w:rsidR="00E4524D" w:rsidRPr="002D0A15">
        <w:rPr>
          <w:rFonts w:ascii="Arial" w:hAnsi="Arial" w:cs="Arial"/>
          <w:color w:val="000000" w:themeColor="text1"/>
          <w:sz w:val="24"/>
          <w:szCs w:val="24"/>
        </w:rPr>
        <w:t xml:space="preserve"> Therefore, a</w:t>
      </w:r>
      <w:r w:rsidR="00AF7FE6" w:rsidRPr="002D0A15">
        <w:rPr>
          <w:rFonts w:ascii="Arial" w:hAnsi="Arial" w:cs="Arial"/>
          <w:color w:val="000000" w:themeColor="text1"/>
          <w:sz w:val="24"/>
          <w:szCs w:val="24"/>
        </w:rPr>
        <w:t xml:space="preserve">s the </w:t>
      </w:r>
      <w:r w:rsidR="00566C8A" w:rsidRPr="002D0A15">
        <w:rPr>
          <w:rFonts w:ascii="Arial" w:hAnsi="Arial" w:cs="Arial"/>
          <w:color w:val="000000" w:themeColor="text1"/>
          <w:sz w:val="24"/>
          <w:szCs w:val="24"/>
        </w:rPr>
        <w:t>Applicant</w:t>
      </w:r>
      <w:r w:rsidR="00AF7FE6" w:rsidRPr="002D0A15">
        <w:rPr>
          <w:rFonts w:ascii="Arial" w:hAnsi="Arial" w:cs="Arial"/>
          <w:color w:val="000000" w:themeColor="text1"/>
          <w:sz w:val="24"/>
          <w:szCs w:val="24"/>
        </w:rPr>
        <w:t xml:space="preserve"> has not demonstrated that the decision is unlawful, it cannot be </w:t>
      </w:r>
      <w:r w:rsidR="00A559F5" w:rsidRPr="002D0A15">
        <w:rPr>
          <w:rFonts w:ascii="Arial" w:hAnsi="Arial" w:cs="Arial"/>
          <w:color w:val="000000" w:themeColor="text1"/>
          <w:sz w:val="24"/>
          <w:szCs w:val="24"/>
        </w:rPr>
        <w:t>“</w:t>
      </w:r>
      <w:r w:rsidR="00AF7FE6" w:rsidRPr="002D0A15">
        <w:rPr>
          <w:rFonts w:ascii="Arial" w:hAnsi="Arial" w:cs="Arial"/>
          <w:color w:val="000000" w:themeColor="text1"/>
          <w:sz w:val="24"/>
          <w:szCs w:val="24"/>
        </w:rPr>
        <w:t>reviewed</w:t>
      </w:r>
      <w:r w:rsidR="00A559F5" w:rsidRPr="002D0A15">
        <w:rPr>
          <w:rFonts w:ascii="Arial" w:hAnsi="Arial" w:cs="Arial"/>
          <w:color w:val="000000" w:themeColor="text1"/>
          <w:sz w:val="24"/>
          <w:szCs w:val="24"/>
        </w:rPr>
        <w:t>”</w:t>
      </w:r>
      <w:r w:rsidR="00C74A68" w:rsidRPr="002D0A15">
        <w:rPr>
          <w:rFonts w:ascii="Arial" w:hAnsi="Arial" w:cs="Arial"/>
          <w:color w:val="000000" w:themeColor="text1"/>
          <w:sz w:val="24"/>
          <w:szCs w:val="24"/>
        </w:rPr>
        <w:t xml:space="preserve">. </w:t>
      </w:r>
    </w:p>
    <w:p w14:paraId="61C0B4FE" w14:textId="56DC2846" w:rsidR="007B2C7A" w:rsidRPr="002D0A15" w:rsidRDefault="002D0A15" w:rsidP="002D0A15">
      <w:pPr>
        <w:tabs>
          <w:tab w:val="right" w:pos="8208"/>
        </w:tabs>
        <w:spacing w:before="120" w:line="360" w:lineRule="auto"/>
        <w:ind w:left="426" w:hanging="426"/>
        <w:jc w:val="both"/>
        <w:rPr>
          <w:rFonts w:ascii="Arial" w:hAnsi="Arial" w:cs="Arial"/>
          <w:b/>
          <w:bCs/>
          <w:color w:val="000000" w:themeColor="text1"/>
          <w:sz w:val="24"/>
          <w:szCs w:val="24"/>
        </w:rPr>
      </w:pPr>
      <w:r w:rsidRPr="00B0760E">
        <w:rPr>
          <w:rFonts w:ascii="Arial" w:hAnsi="Arial" w:cs="Arial"/>
          <w:color w:val="000000" w:themeColor="text1"/>
          <w:sz w:val="24"/>
          <w:szCs w:val="24"/>
        </w:rPr>
        <w:t>16)</w:t>
      </w:r>
      <w:r w:rsidRPr="00B0760E">
        <w:rPr>
          <w:rFonts w:ascii="Arial" w:hAnsi="Arial" w:cs="Arial"/>
          <w:color w:val="000000" w:themeColor="text1"/>
          <w:sz w:val="24"/>
          <w:szCs w:val="24"/>
        </w:rPr>
        <w:tab/>
      </w:r>
      <w:r w:rsidR="001D63F9" w:rsidRPr="002D0A15">
        <w:rPr>
          <w:rFonts w:ascii="Arial" w:hAnsi="Arial" w:cs="Arial"/>
          <w:color w:val="000000" w:themeColor="text1"/>
          <w:sz w:val="24"/>
          <w:szCs w:val="24"/>
        </w:rPr>
        <w:t xml:space="preserve">With regards to </w:t>
      </w:r>
      <w:r w:rsidR="0082376F" w:rsidRPr="002D0A15">
        <w:rPr>
          <w:rFonts w:ascii="Arial" w:hAnsi="Arial" w:cs="Arial"/>
          <w:color w:val="000000" w:themeColor="text1"/>
          <w:sz w:val="24"/>
          <w:szCs w:val="24"/>
        </w:rPr>
        <w:t xml:space="preserve">the alternative </w:t>
      </w:r>
      <w:r w:rsidR="001D63F9" w:rsidRPr="002D0A15">
        <w:rPr>
          <w:rFonts w:ascii="Arial" w:hAnsi="Arial" w:cs="Arial"/>
          <w:color w:val="000000" w:themeColor="text1"/>
          <w:sz w:val="24"/>
          <w:szCs w:val="24"/>
        </w:rPr>
        <w:t xml:space="preserve">prayer, </w:t>
      </w:r>
      <w:r w:rsidR="00D57A35" w:rsidRPr="002D0A15">
        <w:rPr>
          <w:rFonts w:ascii="Arial" w:hAnsi="Arial" w:cs="Arial"/>
          <w:color w:val="000000" w:themeColor="text1"/>
          <w:sz w:val="24"/>
          <w:szCs w:val="24"/>
        </w:rPr>
        <w:t xml:space="preserve">in </w:t>
      </w:r>
      <w:r w:rsidR="0090714A" w:rsidRPr="002D0A15">
        <w:rPr>
          <w:rFonts w:ascii="Arial" w:hAnsi="Arial" w:cs="Arial"/>
          <w:color w:val="000000" w:themeColor="text1"/>
          <w:sz w:val="24"/>
          <w:szCs w:val="24"/>
        </w:rPr>
        <w:t xml:space="preserve">terms of </w:t>
      </w:r>
      <w:r w:rsidR="005E77B3" w:rsidRPr="002D0A15">
        <w:rPr>
          <w:rFonts w:ascii="Arial" w:hAnsi="Arial" w:cs="Arial"/>
          <w:color w:val="000000" w:themeColor="text1"/>
          <w:sz w:val="24"/>
          <w:szCs w:val="24"/>
        </w:rPr>
        <w:t xml:space="preserve">regulation 12.04.6 of part 12 of </w:t>
      </w:r>
      <w:r w:rsidR="0090714A" w:rsidRPr="002D0A15">
        <w:rPr>
          <w:rFonts w:ascii="Arial" w:hAnsi="Arial" w:cs="Arial"/>
          <w:color w:val="000000" w:themeColor="text1"/>
          <w:sz w:val="24"/>
          <w:szCs w:val="24"/>
        </w:rPr>
        <w:t>SACARS</w:t>
      </w:r>
      <w:r w:rsidR="0082376F"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F50D14" w:rsidRPr="002D0A15">
        <w:rPr>
          <w:rFonts w:ascii="Arial" w:hAnsi="Arial" w:cs="Arial"/>
          <w:color w:val="000000" w:themeColor="text1"/>
          <w:sz w:val="24"/>
          <w:szCs w:val="24"/>
        </w:rPr>
        <w:t xml:space="preserve"> argue</w:t>
      </w:r>
      <w:r w:rsidR="00E95D80" w:rsidRPr="002D0A15">
        <w:rPr>
          <w:rFonts w:ascii="Arial" w:hAnsi="Arial" w:cs="Arial"/>
          <w:color w:val="000000" w:themeColor="text1"/>
          <w:sz w:val="24"/>
          <w:szCs w:val="24"/>
        </w:rPr>
        <w:t>d</w:t>
      </w:r>
      <w:r w:rsidR="00F50D14" w:rsidRPr="002D0A15">
        <w:rPr>
          <w:rFonts w:ascii="Arial" w:hAnsi="Arial" w:cs="Arial"/>
          <w:color w:val="000000" w:themeColor="text1"/>
          <w:sz w:val="24"/>
          <w:szCs w:val="24"/>
        </w:rPr>
        <w:t xml:space="preserve"> that this </w:t>
      </w:r>
      <w:r w:rsidR="00566C8A" w:rsidRPr="002D0A15">
        <w:rPr>
          <w:rFonts w:ascii="Arial" w:hAnsi="Arial" w:cs="Arial"/>
          <w:color w:val="000000" w:themeColor="text1"/>
          <w:sz w:val="24"/>
          <w:szCs w:val="24"/>
        </w:rPr>
        <w:t>Court</w:t>
      </w:r>
      <w:r w:rsidR="006B737E" w:rsidRPr="002D0A15">
        <w:rPr>
          <w:rFonts w:ascii="Arial" w:hAnsi="Arial" w:cs="Arial"/>
          <w:color w:val="000000" w:themeColor="text1"/>
          <w:sz w:val="24"/>
          <w:szCs w:val="24"/>
        </w:rPr>
        <w:t xml:space="preserve"> is </w:t>
      </w:r>
      <w:r w:rsidR="00F50D14" w:rsidRPr="002D0A15">
        <w:rPr>
          <w:rFonts w:ascii="Arial" w:hAnsi="Arial" w:cs="Arial"/>
          <w:color w:val="000000" w:themeColor="text1"/>
          <w:sz w:val="24"/>
          <w:szCs w:val="24"/>
        </w:rPr>
        <w:t>only empowered to make a determination in terms of the weighing test</w:t>
      </w:r>
      <w:r w:rsidR="00E95D80" w:rsidRPr="002D0A15">
        <w:rPr>
          <w:rFonts w:ascii="Arial" w:hAnsi="Arial" w:cs="Arial"/>
          <w:color w:val="000000" w:themeColor="text1"/>
          <w:sz w:val="24"/>
          <w:szCs w:val="24"/>
        </w:rPr>
        <w:t xml:space="preserve"> provided for in th</w:t>
      </w:r>
      <w:r w:rsidR="006F5436" w:rsidRPr="002D0A15">
        <w:rPr>
          <w:rFonts w:ascii="Arial" w:hAnsi="Arial" w:cs="Arial"/>
          <w:color w:val="000000" w:themeColor="text1"/>
          <w:sz w:val="24"/>
          <w:szCs w:val="24"/>
        </w:rPr>
        <w:t>e</w:t>
      </w:r>
      <w:r w:rsidR="00E95D80" w:rsidRPr="002D0A15">
        <w:rPr>
          <w:rFonts w:ascii="Arial" w:hAnsi="Arial" w:cs="Arial"/>
          <w:color w:val="000000" w:themeColor="text1"/>
          <w:sz w:val="24"/>
          <w:szCs w:val="24"/>
        </w:rPr>
        <w:t xml:space="preserve"> regulation</w:t>
      </w:r>
      <w:r w:rsidR="006B737E" w:rsidRPr="002D0A15">
        <w:rPr>
          <w:rFonts w:ascii="Arial" w:hAnsi="Arial" w:cs="Arial"/>
          <w:color w:val="000000" w:themeColor="text1"/>
          <w:sz w:val="24"/>
          <w:szCs w:val="24"/>
        </w:rPr>
        <w:t xml:space="preserve">. </w:t>
      </w:r>
      <w:r w:rsidR="0090714A" w:rsidRPr="002D0A15">
        <w:rPr>
          <w:rFonts w:ascii="Arial" w:hAnsi="Arial" w:cs="Arial"/>
          <w:color w:val="000000" w:themeColor="text1"/>
          <w:sz w:val="24"/>
          <w:szCs w:val="24"/>
        </w:rPr>
        <w:t>It</w:t>
      </w:r>
      <w:r w:rsidR="00AF6AB5" w:rsidRPr="002D0A15">
        <w:rPr>
          <w:rFonts w:ascii="Arial" w:hAnsi="Arial" w:cs="Arial"/>
          <w:color w:val="000000" w:themeColor="text1"/>
          <w:sz w:val="24"/>
          <w:szCs w:val="24"/>
        </w:rPr>
        <w:t xml:space="preserve"> further</w:t>
      </w:r>
      <w:r w:rsidR="0090714A" w:rsidRPr="002D0A15">
        <w:rPr>
          <w:rFonts w:ascii="Arial" w:hAnsi="Arial" w:cs="Arial"/>
          <w:color w:val="000000" w:themeColor="text1"/>
          <w:sz w:val="24"/>
          <w:szCs w:val="24"/>
        </w:rPr>
        <w:t xml:space="preserve"> submit</w:t>
      </w:r>
      <w:r w:rsidR="009D34C3" w:rsidRPr="002D0A15">
        <w:rPr>
          <w:rFonts w:ascii="Arial" w:hAnsi="Arial" w:cs="Arial"/>
          <w:color w:val="000000" w:themeColor="text1"/>
          <w:sz w:val="24"/>
          <w:szCs w:val="24"/>
        </w:rPr>
        <w:t>ted</w:t>
      </w:r>
      <w:r w:rsidR="0090714A" w:rsidRPr="002D0A15">
        <w:rPr>
          <w:rFonts w:ascii="Arial" w:hAnsi="Arial" w:cs="Arial"/>
          <w:color w:val="000000" w:themeColor="text1"/>
          <w:sz w:val="24"/>
          <w:szCs w:val="24"/>
        </w:rPr>
        <w:t xml:space="preserve"> that</w:t>
      </w:r>
      <w:r w:rsidR="00D438FA"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Applicant</w:t>
      </w:r>
      <w:r w:rsidR="00D438FA" w:rsidRPr="002D0A15">
        <w:rPr>
          <w:rFonts w:ascii="Arial" w:hAnsi="Arial" w:cs="Arial"/>
          <w:color w:val="000000" w:themeColor="text1"/>
          <w:sz w:val="24"/>
          <w:szCs w:val="24"/>
        </w:rPr>
        <w:t xml:space="preserve"> has not provided the </w:t>
      </w:r>
      <w:r w:rsidR="00566C8A" w:rsidRPr="002D0A15">
        <w:rPr>
          <w:rFonts w:ascii="Arial" w:hAnsi="Arial" w:cs="Arial"/>
          <w:color w:val="000000" w:themeColor="text1"/>
          <w:sz w:val="24"/>
          <w:szCs w:val="24"/>
        </w:rPr>
        <w:t>Court</w:t>
      </w:r>
      <w:r w:rsidR="00D438FA" w:rsidRPr="002D0A15">
        <w:rPr>
          <w:rFonts w:ascii="Arial" w:hAnsi="Arial" w:cs="Arial"/>
          <w:color w:val="000000" w:themeColor="text1"/>
          <w:sz w:val="24"/>
          <w:szCs w:val="24"/>
        </w:rPr>
        <w:t xml:space="preserve"> </w:t>
      </w:r>
      <w:r w:rsidR="0015105E" w:rsidRPr="002D0A15">
        <w:rPr>
          <w:rFonts w:ascii="Arial" w:hAnsi="Arial" w:cs="Arial"/>
          <w:color w:val="000000" w:themeColor="text1"/>
          <w:sz w:val="24"/>
          <w:szCs w:val="24"/>
        </w:rPr>
        <w:t xml:space="preserve">with sufficient legal or factual information upon which it can make </w:t>
      </w:r>
      <w:r w:rsidR="007F4C3B" w:rsidRPr="002D0A15">
        <w:rPr>
          <w:rFonts w:ascii="Arial" w:hAnsi="Arial" w:cs="Arial"/>
          <w:color w:val="000000" w:themeColor="text1"/>
          <w:sz w:val="24"/>
          <w:szCs w:val="24"/>
        </w:rPr>
        <w:t xml:space="preserve">such </w:t>
      </w:r>
      <w:r w:rsidR="0015105E" w:rsidRPr="002D0A15">
        <w:rPr>
          <w:rFonts w:ascii="Arial" w:hAnsi="Arial" w:cs="Arial"/>
          <w:color w:val="000000" w:themeColor="text1"/>
          <w:sz w:val="24"/>
          <w:szCs w:val="24"/>
        </w:rPr>
        <w:t xml:space="preserve">a </w:t>
      </w:r>
      <w:r w:rsidR="007F4C3B" w:rsidRPr="002D0A15">
        <w:rPr>
          <w:rFonts w:ascii="Arial" w:hAnsi="Arial" w:cs="Arial"/>
          <w:color w:val="000000" w:themeColor="text1"/>
          <w:sz w:val="24"/>
          <w:szCs w:val="24"/>
        </w:rPr>
        <w:t xml:space="preserve">determination. </w:t>
      </w:r>
    </w:p>
    <w:p w14:paraId="46418C7F" w14:textId="76292DB3" w:rsidR="007F5B33"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17)</w:t>
      </w:r>
      <w:r w:rsidRPr="00B0760E">
        <w:rPr>
          <w:rFonts w:ascii="Arial" w:hAnsi="Arial" w:cs="Arial"/>
          <w:color w:val="000000" w:themeColor="text1"/>
          <w:sz w:val="24"/>
          <w:szCs w:val="24"/>
        </w:rPr>
        <w:tab/>
      </w:r>
      <w:r w:rsidR="0061051A" w:rsidRPr="002D0A15">
        <w:rPr>
          <w:rFonts w:ascii="Arial" w:hAnsi="Arial" w:cs="Arial"/>
          <w:color w:val="000000" w:themeColor="text1"/>
          <w:sz w:val="24"/>
          <w:szCs w:val="24"/>
        </w:rPr>
        <w:t>The aforementioned remained the</w:t>
      </w:r>
      <w:r w:rsidR="00ED17AB" w:rsidRPr="002D0A15">
        <w:rPr>
          <w:rFonts w:ascii="Arial" w:hAnsi="Arial" w:cs="Arial"/>
          <w:color w:val="000000" w:themeColor="text1"/>
          <w:sz w:val="24"/>
          <w:szCs w:val="24"/>
        </w:rPr>
        <w:t xml:space="preserve"> contentions </w:t>
      </w:r>
      <w:r w:rsidR="0061051A" w:rsidRPr="002D0A15">
        <w:rPr>
          <w:rFonts w:ascii="Arial" w:hAnsi="Arial" w:cs="Arial"/>
          <w:color w:val="000000" w:themeColor="text1"/>
          <w:sz w:val="24"/>
          <w:szCs w:val="24"/>
        </w:rPr>
        <w:t xml:space="preserve">of the </w:t>
      </w:r>
      <w:r w:rsidR="00566C8A" w:rsidRPr="002D0A15">
        <w:rPr>
          <w:rFonts w:ascii="Arial" w:hAnsi="Arial" w:cs="Arial"/>
          <w:color w:val="000000" w:themeColor="text1"/>
          <w:sz w:val="24"/>
          <w:szCs w:val="24"/>
        </w:rPr>
        <w:t>Respondent</w:t>
      </w:r>
      <w:r w:rsidR="00BF4662" w:rsidRPr="002D0A15">
        <w:rPr>
          <w:rFonts w:ascii="Arial" w:hAnsi="Arial" w:cs="Arial"/>
          <w:color w:val="000000" w:themeColor="text1"/>
          <w:sz w:val="24"/>
          <w:szCs w:val="24"/>
        </w:rPr>
        <w:t>, as per</w:t>
      </w:r>
      <w:r w:rsidR="000B14F8" w:rsidRPr="002D0A15">
        <w:rPr>
          <w:rFonts w:ascii="Arial" w:hAnsi="Arial" w:cs="Arial"/>
          <w:color w:val="000000" w:themeColor="text1"/>
          <w:sz w:val="24"/>
          <w:szCs w:val="24"/>
        </w:rPr>
        <w:t xml:space="preserve"> its heads of argument</w:t>
      </w:r>
      <w:r w:rsidR="000A72D1" w:rsidRPr="002D0A15">
        <w:rPr>
          <w:rFonts w:ascii="Arial" w:hAnsi="Arial" w:cs="Arial"/>
          <w:color w:val="000000" w:themeColor="text1"/>
          <w:sz w:val="24"/>
          <w:szCs w:val="24"/>
        </w:rPr>
        <w:t xml:space="preserve">, despite the </w:t>
      </w:r>
      <w:r w:rsidR="00566C8A" w:rsidRPr="002D0A15">
        <w:rPr>
          <w:rFonts w:ascii="Arial" w:hAnsi="Arial" w:cs="Arial"/>
          <w:color w:val="000000" w:themeColor="text1"/>
          <w:sz w:val="24"/>
          <w:szCs w:val="24"/>
        </w:rPr>
        <w:t>Applicant</w:t>
      </w:r>
      <w:r w:rsidR="000A72D1" w:rsidRPr="002D0A15">
        <w:rPr>
          <w:rFonts w:ascii="Arial" w:hAnsi="Arial" w:cs="Arial"/>
          <w:color w:val="000000" w:themeColor="text1"/>
          <w:sz w:val="24"/>
          <w:szCs w:val="24"/>
        </w:rPr>
        <w:t>, in her replying affidavit, d</w:t>
      </w:r>
      <w:r w:rsidR="002633C8" w:rsidRPr="002D0A15">
        <w:rPr>
          <w:rFonts w:ascii="Arial" w:hAnsi="Arial" w:cs="Arial"/>
          <w:color w:val="000000" w:themeColor="text1"/>
          <w:sz w:val="24"/>
          <w:szCs w:val="24"/>
        </w:rPr>
        <w:t>irecting</w:t>
      </w:r>
      <w:r w:rsidR="000A72D1"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9759F4" w:rsidRPr="002D0A15">
        <w:rPr>
          <w:rFonts w:ascii="Arial" w:hAnsi="Arial" w:cs="Arial"/>
          <w:color w:val="000000" w:themeColor="text1"/>
          <w:sz w:val="24"/>
          <w:szCs w:val="24"/>
        </w:rPr>
        <w:t xml:space="preserve">’s </w:t>
      </w:r>
      <w:r w:rsidR="009759F4" w:rsidRPr="002D0A15">
        <w:rPr>
          <w:rFonts w:ascii="Arial" w:hAnsi="Arial" w:cs="Arial"/>
          <w:color w:val="000000" w:themeColor="text1"/>
          <w:sz w:val="24"/>
          <w:szCs w:val="24"/>
        </w:rPr>
        <w:lastRenderedPageBreak/>
        <w:t xml:space="preserve">attention to </w:t>
      </w:r>
      <w:r w:rsidR="0022122C" w:rsidRPr="002D0A15">
        <w:rPr>
          <w:rFonts w:ascii="Arial" w:hAnsi="Arial" w:cs="Arial"/>
          <w:color w:val="000000" w:themeColor="text1"/>
          <w:sz w:val="24"/>
          <w:szCs w:val="24"/>
        </w:rPr>
        <w:t xml:space="preserve">Section 1(hh) of PAJA </w:t>
      </w:r>
      <w:r w:rsidR="002633C8" w:rsidRPr="002D0A15">
        <w:rPr>
          <w:rFonts w:ascii="Arial" w:hAnsi="Arial" w:cs="Arial"/>
          <w:color w:val="000000" w:themeColor="text1"/>
          <w:sz w:val="24"/>
          <w:szCs w:val="24"/>
        </w:rPr>
        <w:t>w</w:t>
      </w:r>
      <w:r w:rsidR="00A02579" w:rsidRPr="002D0A15">
        <w:rPr>
          <w:rFonts w:ascii="Arial" w:hAnsi="Arial" w:cs="Arial"/>
          <w:color w:val="000000" w:themeColor="text1"/>
          <w:sz w:val="24"/>
          <w:szCs w:val="24"/>
        </w:rPr>
        <w:t xml:space="preserve">hich specifically </w:t>
      </w:r>
      <w:r w:rsidR="00245167" w:rsidRPr="002D0A15">
        <w:rPr>
          <w:rFonts w:ascii="Arial" w:hAnsi="Arial" w:cs="Arial"/>
          <w:color w:val="000000" w:themeColor="text1"/>
          <w:sz w:val="24"/>
          <w:szCs w:val="24"/>
        </w:rPr>
        <w:t>State</w:t>
      </w:r>
      <w:r w:rsidR="00A02579" w:rsidRPr="002D0A15">
        <w:rPr>
          <w:rFonts w:ascii="Arial" w:hAnsi="Arial" w:cs="Arial"/>
          <w:color w:val="000000" w:themeColor="text1"/>
          <w:sz w:val="24"/>
          <w:szCs w:val="24"/>
        </w:rPr>
        <w:t>s that the provisions there</w:t>
      </w:r>
      <w:r w:rsidR="000B14F8" w:rsidRPr="002D0A15">
        <w:rPr>
          <w:rFonts w:ascii="Arial" w:hAnsi="Arial" w:cs="Arial"/>
          <w:color w:val="000000" w:themeColor="text1"/>
          <w:sz w:val="24"/>
          <w:szCs w:val="24"/>
        </w:rPr>
        <w:t>of do</w:t>
      </w:r>
      <w:r w:rsidR="00A02579" w:rsidRPr="002D0A15">
        <w:rPr>
          <w:rFonts w:ascii="Arial" w:hAnsi="Arial" w:cs="Arial"/>
          <w:color w:val="000000" w:themeColor="text1"/>
          <w:sz w:val="24"/>
          <w:szCs w:val="24"/>
        </w:rPr>
        <w:t xml:space="preserve"> not apply to decisions taken in terms of PAIA</w:t>
      </w:r>
      <w:r w:rsidR="002633C8" w:rsidRPr="002D0A15">
        <w:rPr>
          <w:rFonts w:ascii="Arial" w:hAnsi="Arial" w:cs="Arial"/>
          <w:color w:val="000000" w:themeColor="text1"/>
          <w:sz w:val="24"/>
          <w:szCs w:val="24"/>
        </w:rPr>
        <w:t>.</w:t>
      </w:r>
      <w:r w:rsidR="002633C8" w:rsidRPr="00B0760E">
        <w:rPr>
          <w:rStyle w:val="FootnoteReference"/>
          <w:rFonts w:ascii="Arial" w:hAnsi="Arial" w:cs="Arial"/>
          <w:color w:val="000000" w:themeColor="text1"/>
          <w:sz w:val="24"/>
          <w:szCs w:val="24"/>
        </w:rPr>
        <w:footnoteReference w:id="5"/>
      </w:r>
    </w:p>
    <w:p w14:paraId="7579A3E9" w14:textId="16D6BEAD" w:rsidR="007949AB"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18)</w:t>
      </w:r>
      <w:r w:rsidRPr="00B0760E">
        <w:rPr>
          <w:rFonts w:ascii="Arial" w:hAnsi="Arial" w:cs="Arial"/>
          <w:color w:val="000000" w:themeColor="text1"/>
          <w:sz w:val="24"/>
          <w:szCs w:val="24"/>
        </w:rPr>
        <w:tab/>
      </w:r>
      <w:r w:rsidR="007F723E" w:rsidRPr="002D0A15">
        <w:rPr>
          <w:rFonts w:ascii="Arial" w:hAnsi="Arial" w:cs="Arial"/>
          <w:color w:val="000000" w:themeColor="text1"/>
          <w:sz w:val="24"/>
          <w:szCs w:val="24"/>
        </w:rPr>
        <w:t>It was only</w:t>
      </w:r>
      <w:r w:rsidR="002B107E" w:rsidRPr="002D0A15">
        <w:rPr>
          <w:rFonts w:ascii="Arial" w:hAnsi="Arial" w:cs="Arial"/>
          <w:color w:val="000000" w:themeColor="text1"/>
          <w:sz w:val="24"/>
          <w:szCs w:val="24"/>
        </w:rPr>
        <w:t xml:space="preserve"> o</w:t>
      </w:r>
      <w:r w:rsidR="00C25E02" w:rsidRPr="002D0A15">
        <w:rPr>
          <w:rFonts w:ascii="Arial" w:hAnsi="Arial" w:cs="Arial"/>
          <w:color w:val="000000" w:themeColor="text1"/>
          <w:sz w:val="24"/>
          <w:szCs w:val="24"/>
        </w:rPr>
        <w:t>n the day of hearing</w:t>
      </w:r>
      <w:r w:rsidR="007F723E" w:rsidRPr="002D0A15">
        <w:rPr>
          <w:rFonts w:ascii="Arial" w:hAnsi="Arial" w:cs="Arial"/>
          <w:color w:val="000000" w:themeColor="text1"/>
          <w:sz w:val="24"/>
          <w:szCs w:val="24"/>
        </w:rPr>
        <w:t xml:space="preserve"> that</w:t>
      </w:r>
      <w:r w:rsidR="00C25E02" w:rsidRPr="002D0A15">
        <w:rPr>
          <w:rFonts w:ascii="Arial" w:hAnsi="Arial" w:cs="Arial"/>
          <w:color w:val="000000" w:themeColor="text1"/>
          <w:sz w:val="24"/>
          <w:szCs w:val="24"/>
        </w:rPr>
        <w:t xml:space="preserve"> counsel for the </w:t>
      </w:r>
      <w:r w:rsidR="00566C8A" w:rsidRPr="002D0A15">
        <w:rPr>
          <w:rFonts w:ascii="Arial" w:hAnsi="Arial" w:cs="Arial"/>
          <w:color w:val="000000" w:themeColor="text1"/>
          <w:sz w:val="24"/>
          <w:szCs w:val="24"/>
        </w:rPr>
        <w:t>Respondent</w:t>
      </w:r>
      <w:r w:rsidR="00D13668" w:rsidRPr="002D0A15">
        <w:rPr>
          <w:rFonts w:ascii="Arial" w:hAnsi="Arial" w:cs="Arial"/>
          <w:color w:val="000000" w:themeColor="text1"/>
          <w:sz w:val="24"/>
          <w:szCs w:val="24"/>
        </w:rPr>
        <w:t xml:space="preserve">, </w:t>
      </w:r>
      <w:r w:rsidR="00C25E02" w:rsidRPr="002D0A15">
        <w:rPr>
          <w:rFonts w:ascii="Arial" w:hAnsi="Arial" w:cs="Arial"/>
          <w:color w:val="000000" w:themeColor="text1"/>
          <w:sz w:val="24"/>
          <w:szCs w:val="24"/>
        </w:rPr>
        <w:t>quite rightly</w:t>
      </w:r>
      <w:r w:rsidR="002276AF" w:rsidRPr="002D0A15">
        <w:rPr>
          <w:rFonts w:ascii="Arial" w:hAnsi="Arial" w:cs="Arial"/>
          <w:color w:val="000000" w:themeColor="text1"/>
          <w:sz w:val="24"/>
          <w:szCs w:val="24"/>
        </w:rPr>
        <w:t>,</w:t>
      </w:r>
      <w:r w:rsidR="00C25E02" w:rsidRPr="002D0A15">
        <w:rPr>
          <w:rFonts w:ascii="Arial" w:hAnsi="Arial" w:cs="Arial"/>
          <w:color w:val="000000" w:themeColor="text1"/>
          <w:sz w:val="24"/>
          <w:szCs w:val="24"/>
        </w:rPr>
        <w:t xml:space="preserve"> conceded that the application could not be </w:t>
      </w:r>
      <w:r w:rsidR="00AF16B1" w:rsidRPr="002D0A15">
        <w:rPr>
          <w:rFonts w:ascii="Arial" w:hAnsi="Arial" w:cs="Arial"/>
          <w:color w:val="000000" w:themeColor="text1"/>
          <w:sz w:val="24"/>
          <w:szCs w:val="24"/>
        </w:rPr>
        <w:t xml:space="preserve">have been </w:t>
      </w:r>
      <w:r w:rsidR="00C25E02" w:rsidRPr="002D0A15">
        <w:rPr>
          <w:rFonts w:ascii="Arial" w:hAnsi="Arial" w:cs="Arial"/>
          <w:color w:val="000000" w:themeColor="text1"/>
          <w:sz w:val="24"/>
          <w:szCs w:val="24"/>
        </w:rPr>
        <w:t>brought in terms of PAJA given the</w:t>
      </w:r>
      <w:r w:rsidR="002156D9" w:rsidRPr="002D0A15">
        <w:rPr>
          <w:rFonts w:ascii="Arial" w:hAnsi="Arial" w:cs="Arial"/>
          <w:color w:val="000000" w:themeColor="text1"/>
          <w:sz w:val="24"/>
          <w:szCs w:val="24"/>
        </w:rPr>
        <w:t>se</w:t>
      </w:r>
      <w:r w:rsidR="00C25E02" w:rsidRPr="002D0A15">
        <w:rPr>
          <w:rFonts w:ascii="Arial" w:hAnsi="Arial" w:cs="Arial"/>
          <w:color w:val="000000" w:themeColor="text1"/>
          <w:sz w:val="24"/>
          <w:szCs w:val="24"/>
        </w:rPr>
        <w:t xml:space="preserve"> provisions</w:t>
      </w:r>
      <w:r w:rsidR="002156D9" w:rsidRPr="002D0A15">
        <w:rPr>
          <w:rFonts w:ascii="Arial" w:hAnsi="Arial" w:cs="Arial"/>
          <w:color w:val="000000" w:themeColor="text1"/>
          <w:sz w:val="24"/>
          <w:szCs w:val="24"/>
        </w:rPr>
        <w:t>.</w:t>
      </w:r>
    </w:p>
    <w:p w14:paraId="172EF919" w14:textId="5CDD0EEF" w:rsidR="00D970EA"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19)</w:t>
      </w:r>
      <w:r w:rsidRPr="00B0760E">
        <w:rPr>
          <w:rFonts w:ascii="Arial" w:hAnsi="Arial" w:cs="Arial"/>
          <w:color w:val="000000" w:themeColor="text1"/>
          <w:sz w:val="24"/>
          <w:szCs w:val="24"/>
        </w:rPr>
        <w:tab/>
      </w:r>
      <w:r w:rsidR="00A475DD" w:rsidRPr="002D0A15">
        <w:rPr>
          <w:rFonts w:ascii="Arial" w:hAnsi="Arial" w:cs="Arial"/>
          <w:color w:val="000000" w:themeColor="text1"/>
          <w:sz w:val="24"/>
          <w:szCs w:val="24"/>
        </w:rPr>
        <w:t xml:space="preserve"> </w:t>
      </w:r>
      <w:r w:rsidR="00C9562F" w:rsidRPr="002D0A15">
        <w:rPr>
          <w:rFonts w:ascii="Arial" w:hAnsi="Arial" w:cs="Arial"/>
          <w:color w:val="000000" w:themeColor="text1"/>
          <w:sz w:val="24"/>
          <w:szCs w:val="24"/>
        </w:rPr>
        <w:t>In view of</w:t>
      </w:r>
      <w:r w:rsidR="00785DCA" w:rsidRPr="002D0A15">
        <w:rPr>
          <w:rFonts w:ascii="Arial" w:hAnsi="Arial" w:cs="Arial"/>
          <w:color w:val="000000" w:themeColor="text1"/>
          <w:sz w:val="24"/>
          <w:szCs w:val="24"/>
        </w:rPr>
        <w:t xml:space="preserve"> this concession</w:t>
      </w:r>
      <w:r w:rsidR="00A475DD" w:rsidRPr="002D0A15">
        <w:rPr>
          <w:rFonts w:ascii="Arial" w:hAnsi="Arial" w:cs="Arial"/>
          <w:color w:val="000000" w:themeColor="text1"/>
          <w:sz w:val="24"/>
          <w:szCs w:val="24"/>
        </w:rPr>
        <w:t xml:space="preserve">, </w:t>
      </w:r>
      <w:r w:rsidR="00D970EA" w:rsidRPr="002D0A15">
        <w:rPr>
          <w:rFonts w:ascii="Arial" w:hAnsi="Arial" w:cs="Arial"/>
          <w:color w:val="000000" w:themeColor="text1"/>
          <w:sz w:val="24"/>
          <w:szCs w:val="24"/>
        </w:rPr>
        <w:t xml:space="preserve">Counsel </w:t>
      </w:r>
      <w:r w:rsidR="00F764CE" w:rsidRPr="002D0A15">
        <w:rPr>
          <w:rFonts w:ascii="Arial" w:hAnsi="Arial" w:cs="Arial"/>
          <w:color w:val="000000" w:themeColor="text1"/>
          <w:sz w:val="24"/>
          <w:szCs w:val="24"/>
        </w:rPr>
        <w:t xml:space="preserve">amended </w:t>
      </w:r>
      <w:r w:rsidR="00D65A9B" w:rsidRPr="002D0A15">
        <w:rPr>
          <w:rFonts w:ascii="Arial" w:hAnsi="Arial" w:cs="Arial"/>
          <w:color w:val="000000" w:themeColor="text1"/>
          <w:sz w:val="24"/>
          <w:szCs w:val="24"/>
        </w:rPr>
        <w:t>the</w:t>
      </w:r>
      <w:r w:rsidR="00F764CE"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Respondent</w:t>
      </w:r>
      <w:r w:rsidR="00F764CE" w:rsidRPr="002D0A15">
        <w:rPr>
          <w:rFonts w:ascii="Arial" w:hAnsi="Arial" w:cs="Arial"/>
          <w:color w:val="000000" w:themeColor="text1"/>
          <w:sz w:val="24"/>
          <w:szCs w:val="24"/>
        </w:rPr>
        <w:t>’s</w:t>
      </w:r>
      <w:r w:rsidR="00D65A9B" w:rsidRPr="002D0A15">
        <w:rPr>
          <w:rFonts w:ascii="Arial" w:hAnsi="Arial" w:cs="Arial"/>
          <w:color w:val="000000" w:themeColor="text1"/>
          <w:sz w:val="24"/>
          <w:szCs w:val="24"/>
        </w:rPr>
        <w:t xml:space="preserve"> argument</w:t>
      </w:r>
      <w:r w:rsidR="00B85284" w:rsidRPr="002D0A15">
        <w:rPr>
          <w:rFonts w:ascii="Arial" w:hAnsi="Arial" w:cs="Arial"/>
          <w:color w:val="000000" w:themeColor="text1"/>
          <w:sz w:val="24"/>
          <w:szCs w:val="24"/>
        </w:rPr>
        <w:t>, but persisted with the view</w:t>
      </w:r>
      <w:r w:rsidR="00D65A9B" w:rsidRPr="002D0A15">
        <w:rPr>
          <w:rFonts w:ascii="Arial" w:hAnsi="Arial" w:cs="Arial"/>
          <w:color w:val="000000" w:themeColor="text1"/>
          <w:sz w:val="24"/>
          <w:szCs w:val="24"/>
        </w:rPr>
        <w:t xml:space="preserve"> that the application is incompetent. </w:t>
      </w:r>
      <w:r w:rsidR="00B85284" w:rsidRPr="002D0A15">
        <w:rPr>
          <w:rFonts w:ascii="Arial" w:hAnsi="Arial" w:cs="Arial"/>
          <w:color w:val="000000" w:themeColor="text1"/>
          <w:sz w:val="24"/>
          <w:szCs w:val="24"/>
        </w:rPr>
        <w:t xml:space="preserve">The amended argument </w:t>
      </w:r>
      <w:r w:rsidR="00E158D5" w:rsidRPr="002D0A15">
        <w:rPr>
          <w:rFonts w:ascii="Arial" w:hAnsi="Arial" w:cs="Arial"/>
          <w:color w:val="000000" w:themeColor="text1"/>
          <w:sz w:val="24"/>
          <w:szCs w:val="24"/>
        </w:rPr>
        <w:t xml:space="preserve">is </w:t>
      </w:r>
      <w:r w:rsidR="00D91FB7" w:rsidRPr="002D0A15">
        <w:rPr>
          <w:rFonts w:ascii="Arial" w:hAnsi="Arial" w:cs="Arial"/>
          <w:color w:val="000000" w:themeColor="text1"/>
          <w:sz w:val="24"/>
          <w:szCs w:val="24"/>
        </w:rPr>
        <w:t>premised</w:t>
      </w:r>
      <w:r w:rsidR="00E158D5" w:rsidRPr="002D0A15">
        <w:rPr>
          <w:rFonts w:ascii="Arial" w:hAnsi="Arial" w:cs="Arial"/>
          <w:color w:val="000000" w:themeColor="text1"/>
          <w:sz w:val="24"/>
          <w:szCs w:val="24"/>
        </w:rPr>
        <w:t xml:space="preserve"> on the</w:t>
      </w:r>
      <w:r w:rsidR="00D65A9B" w:rsidRPr="002D0A15">
        <w:rPr>
          <w:rFonts w:ascii="Arial" w:hAnsi="Arial" w:cs="Arial"/>
          <w:color w:val="000000" w:themeColor="text1"/>
          <w:sz w:val="24"/>
          <w:szCs w:val="24"/>
        </w:rPr>
        <w:t xml:space="preserve"> fact that</w:t>
      </w:r>
      <w:r w:rsidR="007B20A5" w:rsidRPr="002D0A15">
        <w:rPr>
          <w:rFonts w:ascii="Arial" w:hAnsi="Arial" w:cs="Arial"/>
          <w:color w:val="000000" w:themeColor="text1"/>
          <w:sz w:val="24"/>
          <w:szCs w:val="24"/>
        </w:rPr>
        <w:t xml:space="preserve"> </w:t>
      </w:r>
      <w:r w:rsidR="00D970EA" w:rsidRPr="002D0A15">
        <w:rPr>
          <w:rFonts w:ascii="Arial" w:hAnsi="Arial" w:cs="Arial"/>
          <w:color w:val="000000" w:themeColor="text1"/>
          <w:sz w:val="24"/>
          <w:szCs w:val="24"/>
        </w:rPr>
        <w:t>the notice of motion refers to a review under section 25(3) of PAIA, whereas</w:t>
      </w:r>
      <w:r w:rsidR="008A1988" w:rsidRPr="002D0A15">
        <w:rPr>
          <w:rFonts w:ascii="Arial" w:hAnsi="Arial" w:cs="Arial"/>
          <w:color w:val="000000" w:themeColor="text1"/>
          <w:sz w:val="24"/>
          <w:szCs w:val="24"/>
        </w:rPr>
        <w:t xml:space="preserve"> applications to</w:t>
      </w:r>
      <w:r w:rsidR="00D970EA"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Court</w:t>
      </w:r>
      <w:r w:rsidR="008A1988" w:rsidRPr="002D0A15">
        <w:rPr>
          <w:rFonts w:ascii="Arial" w:hAnsi="Arial" w:cs="Arial"/>
          <w:color w:val="000000" w:themeColor="text1"/>
          <w:sz w:val="24"/>
          <w:szCs w:val="24"/>
        </w:rPr>
        <w:t xml:space="preserve"> </w:t>
      </w:r>
      <w:r w:rsidR="00D970EA" w:rsidRPr="002D0A15">
        <w:rPr>
          <w:rFonts w:ascii="Arial" w:hAnsi="Arial" w:cs="Arial"/>
          <w:color w:val="000000" w:themeColor="text1"/>
          <w:sz w:val="24"/>
          <w:szCs w:val="24"/>
        </w:rPr>
        <w:t xml:space="preserve">are regulated in terms of section </w:t>
      </w:r>
      <w:r w:rsidR="001279CF" w:rsidRPr="002D0A15">
        <w:rPr>
          <w:rFonts w:ascii="Arial" w:hAnsi="Arial" w:cs="Arial"/>
          <w:color w:val="000000" w:themeColor="text1"/>
          <w:sz w:val="24"/>
          <w:szCs w:val="24"/>
        </w:rPr>
        <w:t>78</w:t>
      </w:r>
      <w:r w:rsidR="00D970EA" w:rsidRPr="002D0A15">
        <w:rPr>
          <w:rFonts w:ascii="Arial" w:hAnsi="Arial" w:cs="Arial"/>
          <w:color w:val="000000" w:themeColor="text1"/>
          <w:sz w:val="24"/>
          <w:szCs w:val="24"/>
        </w:rPr>
        <w:t>.</w:t>
      </w:r>
      <w:r w:rsidR="006E32B8" w:rsidRPr="002D0A15">
        <w:rPr>
          <w:rFonts w:ascii="Arial" w:hAnsi="Arial" w:cs="Arial"/>
          <w:color w:val="000000" w:themeColor="text1"/>
          <w:sz w:val="24"/>
          <w:szCs w:val="24"/>
        </w:rPr>
        <w:t xml:space="preserve"> </w:t>
      </w:r>
      <w:r w:rsidR="00191C21" w:rsidRPr="002D0A15">
        <w:rPr>
          <w:rFonts w:ascii="Arial" w:hAnsi="Arial" w:cs="Arial"/>
          <w:color w:val="000000" w:themeColor="text1"/>
          <w:sz w:val="24"/>
          <w:szCs w:val="24"/>
        </w:rPr>
        <w:t>Because of the reference to the incorrect section</w:t>
      </w:r>
      <w:r w:rsidR="00AB0C95" w:rsidRPr="002D0A15">
        <w:rPr>
          <w:rFonts w:ascii="Arial" w:hAnsi="Arial" w:cs="Arial"/>
          <w:color w:val="000000" w:themeColor="text1"/>
          <w:sz w:val="24"/>
          <w:szCs w:val="24"/>
        </w:rPr>
        <w:t xml:space="preserve"> (or so the argument goes)</w:t>
      </w:r>
      <w:r w:rsidR="00191C21" w:rsidRPr="002D0A15">
        <w:rPr>
          <w:rFonts w:ascii="Arial" w:hAnsi="Arial" w:cs="Arial"/>
          <w:color w:val="000000" w:themeColor="text1"/>
          <w:sz w:val="24"/>
          <w:szCs w:val="24"/>
        </w:rPr>
        <w:t xml:space="preserve">, the </w:t>
      </w:r>
      <w:r w:rsidR="008A1988" w:rsidRPr="002D0A15">
        <w:rPr>
          <w:rFonts w:ascii="Arial" w:hAnsi="Arial" w:cs="Arial"/>
          <w:color w:val="000000" w:themeColor="text1"/>
          <w:sz w:val="24"/>
          <w:szCs w:val="24"/>
        </w:rPr>
        <w:t>application</w:t>
      </w:r>
      <w:r w:rsidR="00191C21" w:rsidRPr="002D0A15">
        <w:rPr>
          <w:rFonts w:ascii="Arial" w:hAnsi="Arial" w:cs="Arial"/>
          <w:color w:val="000000" w:themeColor="text1"/>
          <w:sz w:val="24"/>
          <w:szCs w:val="24"/>
        </w:rPr>
        <w:t xml:space="preserve"> is not properly before this </w:t>
      </w:r>
      <w:r w:rsidR="00566C8A" w:rsidRPr="002D0A15">
        <w:rPr>
          <w:rFonts w:ascii="Arial" w:hAnsi="Arial" w:cs="Arial"/>
          <w:color w:val="000000" w:themeColor="text1"/>
          <w:sz w:val="24"/>
          <w:szCs w:val="24"/>
        </w:rPr>
        <w:t>Court</w:t>
      </w:r>
      <w:r w:rsidR="00191C21" w:rsidRPr="002D0A15">
        <w:rPr>
          <w:rFonts w:ascii="Arial" w:hAnsi="Arial" w:cs="Arial"/>
          <w:color w:val="000000" w:themeColor="text1"/>
          <w:sz w:val="24"/>
          <w:szCs w:val="24"/>
        </w:rPr>
        <w:t xml:space="preserve"> in terms of PAIA</w:t>
      </w:r>
      <w:r w:rsidR="00172578" w:rsidRPr="002D0A15">
        <w:rPr>
          <w:rFonts w:ascii="Arial" w:hAnsi="Arial" w:cs="Arial"/>
          <w:color w:val="000000" w:themeColor="text1"/>
          <w:sz w:val="24"/>
          <w:szCs w:val="24"/>
        </w:rPr>
        <w:t>.</w:t>
      </w:r>
    </w:p>
    <w:p w14:paraId="4AB31B75" w14:textId="708D4CA9" w:rsidR="00C25E02"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20)</w:t>
      </w:r>
      <w:r w:rsidRPr="00B0760E">
        <w:rPr>
          <w:rFonts w:ascii="Arial" w:hAnsi="Arial" w:cs="Arial"/>
          <w:color w:val="000000" w:themeColor="text1"/>
          <w:sz w:val="24"/>
          <w:szCs w:val="24"/>
        </w:rPr>
        <w:tab/>
      </w:r>
      <w:r w:rsidR="006C6C31" w:rsidRPr="002D0A15">
        <w:rPr>
          <w:rFonts w:ascii="Arial" w:hAnsi="Arial" w:cs="Arial"/>
          <w:color w:val="000000" w:themeColor="text1"/>
          <w:sz w:val="24"/>
          <w:szCs w:val="24"/>
        </w:rPr>
        <w:t xml:space="preserve">As PAIA is specifically excluded from the operations of PAJA, </w:t>
      </w:r>
      <w:r w:rsidR="00172578" w:rsidRPr="002D0A15">
        <w:rPr>
          <w:rFonts w:ascii="Arial" w:hAnsi="Arial" w:cs="Arial"/>
          <w:color w:val="000000" w:themeColor="text1"/>
          <w:sz w:val="24"/>
          <w:szCs w:val="24"/>
        </w:rPr>
        <w:t>Counsel</w:t>
      </w:r>
      <w:r w:rsidR="00D970EA" w:rsidRPr="002D0A15">
        <w:rPr>
          <w:rFonts w:ascii="Arial" w:hAnsi="Arial" w:cs="Arial"/>
          <w:color w:val="000000" w:themeColor="text1"/>
          <w:sz w:val="24"/>
          <w:szCs w:val="24"/>
        </w:rPr>
        <w:t xml:space="preserve"> </w:t>
      </w:r>
      <w:r w:rsidR="00172578" w:rsidRPr="002D0A15">
        <w:rPr>
          <w:rFonts w:ascii="Arial" w:hAnsi="Arial" w:cs="Arial"/>
          <w:color w:val="000000" w:themeColor="text1"/>
          <w:sz w:val="24"/>
          <w:szCs w:val="24"/>
        </w:rPr>
        <w:t>s</w:t>
      </w:r>
      <w:r w:rsidR="00424CC4" w:rsidRPr="002D0A15">
        <w:rPr>
          <w:rFonts w:ascii="Arial" w:hAnsi="Arial" w:cs="Arial"/>
          <w:color w:val="000000" w:themeColor="text1"/>
          <w:sz w:val="24"/>
          <w:szCs w:val="24"/>
        </w:rPr>
        <w:t>u</w:t>
      </w:r>
      <w:r w:rsidR="00172578" w:rsidRPr="002D0A15">
        <w:rPr>
          <w:rFonts w:ascii="Arial" w:hAnsi="Arial" w:cs="Arial"/>
          <w:color w:val="000000" w:themeColor="text1"/>
          <w:sz w:val="24"/>
          <w:szCs w:val="24"/>
        </w:rPr>
        <w:t>bmitted</w:t>
      </w:r>
      <w:r w:rsidR="00D970EA" w:rsidRPr="002D0A15">
        <w:rPr>
          <w:rFonts w:ascii="Arial" w:hAnsi="Arial" w:cs="Arial"/>
          <w:color w:val="000000" w:themeColor="text1"/>
          <w:sz w:val="24"/>
          <w:szCs w:val="24"/>
        </w:rPr>
        <w:t xml:space="preserve"> that the </w:t>
      </w:r>
      <w:r w:rsidR="00566C8A" w:rsidRPr="002D0A15">
        <w:rPr>
          <w:rFonts w:ascii="Arial" w:hAnsi="Arial" w:cs="Arial"/>
          <w:color w:val="000000" w:themeColor="text1"/>
          <w:sz w:val="24"/>
          <w:szCs w:val="24"/>
        </w:rPr>
        <w:t>Applicant</w:t>
      </w:r>
      <w:r w:rsidR="00D970EA" w:rsidRPr="002D0A15">
        <w:rPr>
          <w:rFonts w:ascii="Arial" w:hAnsi="Arial" w:cs="Arial"/>
          <w:color w:val="000000" w:themeColor="text1"/>
          <w:sz w:val="24"/>
          <w:szCs w:val="24"/>
        </w:rPr>
        <w:t xml:space="preserve"> should therefore have brought the application as a review under the legality principle.</w:t>
      </w:r>
      <w:r w:rsidR="007778F5" w:rsidRPr="002D0A15">
        <w:rPr>
          <w:color w:val="000000" w:themeColor="text1"/>
        </w:rPr>
        <w:t xml:space="preserve"> </w:t>
      </w:r>
      <w:r w:rsidR="007778F5" w:rsidRPr="002D0A15">
        <w:rPr>
          <w:rFonts w:ascii="Arial" w:hAnsi="Arial" w:cs="Arial"/>
          <w:color w:val="000000" w:themeColor="text1"/>
          <w:sz w:val="24"/>
          <w:szCs w:val="24"/>
        </w:rPr>
        <w:t xml:space="preserve">As she had failed to do so, the application stands to be </w:t>
      </w:r>
      <w:r w:rsidR="00C44561" w:rsidRPr="002D0A15">
        <w:rPr>
          <w:rFonts w:ascii="Arial" w:hAnsi="Arial" w:cs="Arial"/>
          <w:color w:val="000000" w:themeColor="text1"/>
          <w:sz w:val="24"/>
          <w:szCs w:val="24"/>
        </w:rPr>
        <w:t>dismissed.</w:t>
      </w:r>
      <w:r w:rsidR="00C25E02" w:rsidRPr="002D0A15">
        <w:rPr>
          <w:rFonts w:ascii="Arial" w:hAnsi="Arial" w:cs="Arial"/>
          <w:color w:val="000000" w:themeColor="text1"/>
          <w:sz w:val="24"/>
          <w:szCs w:val="24"/>
        </w:rPr>
        <w:t xml:space="preserve"> </w:t>
      </w:r>
    </w:p>
    <w:p w14:paraId="480338A8" w14:textId="2021F88E" w:rsidR="00D13668" w:rsidRPr="00B0760E" w:rsidRDefault="00D13668" w:rsidP="00E11901">
      <w:pPr>
        <w:tabs>
          <w:tab w:val="right" w:pos="8208"/>
        </w:tabs>
        <w:spacing w:before="120" w:line="360" w:lineRule="auto"/>
        <w:ind w:left="426" w:hanging="426"/>
        <w:jc w:val="both"/>
        <w:rPr>
          <w:rFonts w:ascii="Arial" w:hAnsi="Arial" w:cs="Arial"/>
          <w:color w:val="000000" w:themeColor="text1"/>
          <w:sz w:val="24"/>
          <w:szCs w:val="24"/>
          <w:u w:val="single"/>
        </w:rPr>
      </w:pPr>
      <w:r w:rsidRPr="00B0760E">
        <w:rPr>
          <w:rFonts w:ascii="Arial" w:hAnsi="Arial" w:cs="Arial"/>
          <w:color w:val="000000" w:themeColor="text1"/>
          <w:sz w:val="24"/>
          <w:szCs w:val="24"/>
          <w:u w:val="single"/>
        </w:rPr>
        <w:t xml:space="preserve">Evaluation of </w:t>
      </w:r>
      <w:r w:rsidR="00566C8A">
        <w:rPr>
          <w:rFonts w:ascii="Arial" w:hAnsi="Arial" w:cs="Arial"/>
          <w:color w:val="000000" w:themeColor="text1"/>
          <w:sz w:val="24"/>
          <w:szCs w:val="24"/>
          <w:u w:val="single"/>
        </w:rPr>
        <w:t>Respondent</w:t>
      </w:r>
      <w:r w:rsidR="00C44561" w:rsidRPr="00B0760E">
        <w:rPr>
          <w:rFonts w:ascii="Arial" w:hAnsi="Arial" w:cs="Arial"/>
          <w:color w:val="000000" w:themeColor="text1"/>
          <w:sz w:val="24"/>
          <w:szCs w:val="24"/>
          <w:u w:val="single"/>
        </w:rPr>
        <w:t xml:space="preserve">’s </w:t>
      </w:r>
      <w:r w:rsidR="007B20A5" w:rsidRPr="00B0760E">
        <w:rPr>
          <w:rFonts w:ascii="Arial" w:hAnsi="Arial" w:cs="Arial"/>
          <w:color w:val="000000" w:themeColor="text1"/>
          <w:sz w:val="24"/>
          <w:szCs w:val="24"/>
          <w:u w:val="single"/>
        </w:rPr>
        <w:t>(amended) challenge</w:t>
      </w:r>
    </w:p>
    <w:p w14:paraId="19F646DB" w14:textId="0B314531" w:rsidR="00C3278B"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21)</w:t>
      </w:r>
      <w:r w:rsidRPr="00B0760E">
        <w:rPr>
          <w:rFonts w:ascii="Arial" w:hAnsi="Arial" w:cs="Arial"/>
          <w:color w:val="000000" w:themeColor="text1"/>
          <w:sz w:val="24"/>
          <w:szCs w:val="24"/>
        </w:rPr>
        <w:tab/>
      </w:r>
      <w:r w:rsidR="00006704" w:rsidRPr="002D0A15">
        <w:rPr>
          <w:rFonts w:ascii="Arial" w:hAnsi="Arial" w:cs="Arial"/>
          <w:color w:val="000000" w:themeColor="text1"/>
          <w:sz w:val="24"/>
          <w:szCs w:val="24"/>
        </w:rPr>
        <w:t xml:space="preserve">In </w:t>
      </w:r>
      <w:r w:rsidR="00006704" w:rsidRPr="002D0A15">
        <w:rPr>
          <w:rFonts w:ascii="Arial" w:hAnsi="Arial" w:cs="Arial"/>
          <w:i/>
          <w:iCs/>
          <w:color w:val="000000" w:themeColor="text1"/>
          <w:sz w:val="24"/>
          <w:szCs w:val="24"/>
        </w:rPr>
        <w:t>Garvas</w:t>
      </w:r>
      <w:r w:rsidR="00CA46D4" w:rsidRPr="00B0760E">
        <w:rPr>
          <w:rStyle w:val="FootnoteReference"/>
          <w:rFonts w:ascii="Arial" w:hAnsi="Arial" w:cs="Arial"/>
          <w:color w:val="000000" w:themeColor="text1"/>
          <w:sz w:val="24"/>
          <w:szCs w:val="24"/>
        </w:rPr>
        <w:footnoteReference w:id="6"/>
      </w:r>
      <w:r w:rsidR="00006704" w:rsidRPr="002D0A15">
        <w:rPr>
          <w:rFonts w:ascii="Arial" w:hAnsi="Arial" w:cs="Arial"/>
          <w:color w:val="000000" w:themeColor="text1"/>
          <w:sz w:val="24"/>
          <w:szCs w:val="24"/>
        </w:rPr>
        <w:t xml:space="preserve"> </w:t>
      </w:r>
      <w:r w:rsidR="007A3123" w:rsidRPr="002D0A15">
        <w:rPr>
          <w:rFonts w:ascii="Arial" w:hAnsi="Arial" w:cs="Arial"/>
          <w:color w:val="000000" w:themeColor="text1"/>
          <w:sz w:val="24"/>
          <w:szCs w:val="24"/>
        </w:rPr>
        <w:t xml:space="preserve">it was </w:t>
      </w:r>
      <w:r w:rsidR="00245167" w:rsidRPr="002D0A15">
        <w:rPr>
          <w:rFonts w:ascii="Arial" w:hAnsi="Arial" w:cs="Arial"/>
          <w:color w:val="000000" w:themeColor="text1"/>
          <w:sz w:val="24"/>
          <w:szCs w:val="24"/>
        </w:rPr>
        <w:t>State</w:t>
      </w:r>
      <w:r w:rsidR="007A3123" w:rsidRPr="002D0A15">
        <w:rPr>
          <w:rFonts w:ascii="Arial" w:hAnsi="Arial" w:cs="Arial"/>
          <w:color w:val="000000" w:themeColor="text1"/>
          <w:sz w:val="24"/>
          <w:szCs w:val="24"/>
        </w:rPr>
        <w:t>d</w:t>
      </w:r>
      <w:r w:rsidR="00006704" w:rsidRPr="002D0A15">
        <w:rPr>
          <w:rFonts w:ascii="Arial" w:hAnsi="Arial" w:cs="Arial"/>
          <w:color w:val="000000" w:themeColor="text1"/>
          <w:sz w:val="24"/>
          <w:szCs w:val="24"/>
        </w:rPr>
        <w:t xml:space="preserve"> is that “</w:t>
      </w:r>
      <w:r w:rsidR="00006704" w:rsidRPr="002D0A15">
        <w:rPr>
          <w:rFonts w:ascii="Arial" w:hAnsi="Arial" w:cs="Arial"/>
          <w:i/>
          <w:iCs/>
          <w:color w:val="000000" w:themeColor="text1"/>
          <w:sz w:val="24"/>
          <w:szCs w:val="24"/>
        </w:rPr>
        <w:t xml:space="preserve">ours is a ‘never again’ </w:t>
      </w:r>
      <w:r w:rsidR="0090753B" w:rsidRPr="002D0A15">
        <w:rPr>
          <w:rFonts w:ascii="Arial" w:hAnsi="Arial" w:cs="Arial"/>
          <w:i/>
          <w:iCs/>
          <w:color w:val="000000" w:themeColor="text1"/>
          <w:sz w:val="24"/>
          <w:szCs w:val="24"/>
        </w:rPr>
        <w:t>Constitution</w:t>
      </w:r>
      <w:r w:rsidR="00006704" w:rsidRPr="002D0A15">
        <w:rPr>
          <w:rFonts w:ascii="Arial" w:hAnsi="Arial" w:cs="Arial"/>
          <w:i/>
          <w:iCs/>
          <w:color w:val="000000" w:themeColor="text1"/>
          <w:sz w:val="24"/>
          <w:szCs w:val="24"/>
        </w:rPr>
        <w:t>: never again will we allow the right of ordinary people to freedom in all its forms to be taken away</w:t>
      </w:r>
      <w:r w:rsidR="00006704" w:rsidRPr="002D0A15">
        <w:rPr>
          <w:rFonts w:ascii="Arial" w:hAnsi="Arial" w:cs="Arial"/>
          <w:color w:val="000000" w:themeColor="text1"/>
          <w:sz w:val="24"/>
          <w:szCs w:val="24"/>
        </w:rPr>
        <w:t>.”</w:t>
      </w:r>
      <w:r w:rsidR="00C3278B" w:rsidRPr="002D0A15">
        <w:rPr>
          <w:rFonts w:ascii="Arial" w:hAnsi="Arial" w:cs="Arial"/>
          <w:color w:val="000000" w:themeColor="text1"/>
          <w:sz w:val="24"/>
          <w:szCs w:val="24"/>
        </w:rPr>
        <w:t xml:space="preserve"> </w:t>
      </w:r>
    </w:p>
    <w:p w14:paraId="26F9F72C" w14:textId="1AC34A0D" w:rsidR="00580538"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22)</w:t>
      </w:r>
      <w:r w:rsidRPr="00B0760E">
        <w:rPr>
          <w:rFonts w:ascii="Arial" w:hAnsi="Arial" w:cs="Arial"/>
          <w:color w:val="000000" w:themeColor="text1"/>
          <w:sz w:val="24"/>
          <w:szCs w:val="24"/>
        </w:rPr>
        <w:tab/>
      </w:r>
      <w:r w:rsidR="008A256A" w:rsidRPr="002D0A15">
        <w:rPr>
          <w:rFonts w:ascii="Arial" w:hAnsi="Arial" w:cs="Arial"/>
          <w:color w:val="000000" w:themeColor="text1"/>
          <w:sz w:val="24"/>
          <w:szCs w:val="24"/>
        </w:rPr>
        <w:t>PAIA for</w:t>
      </w:r>
      <w:r w:rsidR="00006704" w:rsidRPr="002D0A15">
        <w:rPr>
          <w:rFonts w:ascii="Arial" w:hAnsi="Arial" w:cs="Arial"/>
          <w:color w:val="000000" w:themeColor="text1"/>
          <w:sz w:val="24"/>
          <w:szCs w:val="24"/>
        </w:rPr>
        <w:t>ms</w:t>
      </w:r>
      <w:r w:rsidR="008A256A" w:rsidRPr="002D0A15">
        <w:rPr>
          <w:rFonts w:ascii="Arial" w:hAnsi="Arial" w:cs="Arial"/>
          <w:color w:val="000000" w:themeColor="text1"/>
          <w:sz w:val="24"/>
          <w:szCs w:val="24"/>
        </w:rPr>
        <w:t xml:space="preserve"> part of the body of "never again" legislative instruments that are the direct embodiment of </w:t>
      </w:r>
      <w:r w:rsidR="00D9671F" w:rsidRPr="002D0A15">
        <w:rPr>
          <w:rFonts w:ascii="Arial" w:hAnsi="Arial" w:cs="Arial"/>
          <w:color w:val="000000" w:themeColor="text1"/>
          <w:sz w:val="24"/>
          <w:szCs w:val="24"/>
        </w:rPr>
        <w:t>the protection of the</w:t>
      </w:r>
      <w:r w:rsidR="008A256A" w:rsidRPr="002D0A15">
        <w:rPr>
          <w:rFonts w:ascii="Arial" w:hAnsi="Arial" w:cs="Arial"/>
          <w:color w:val="000000" w:themeColor="text1"/>
          <w:sz w:val="24"/>
          <w:szCs w:val="24"/>
        </w:rPr>
        <w:t xml:space="preserve"> freedom</w:t>
      </w:r>
      <w:r w:rsidR="00D9671F" w:rsidRPr="002D0A15">
        <w:rPr>
          <w:rFonts w:ascii="Arial" w:hAnsi="Arial" w:cs="Arial"/>
          <w:color w:val="000000" w:themeColor="text1"/>
          <w:sz w:val="24"/>
          <w:szCs w:val="24"/>
        </w:rPr>
        <w:t>s</w:t>
      </w:r>
      <w:r w:rsidR="008A256A" w:rsidRPr="002D0A15">
        <w:rPr>
          <w:rFonts w:ascii="Arial" w:hAnsi="Arial" w:cs="Arial"/>
          <w:color w:val="000000" w:themeColor="text1"/>
          <w:sz w:val="24"/>
          <w:szCs w:val="24"/>
        </w:rPr>
        <w:t xml:space="preserve"> </w:t>
      </w:r>
      <w:r w:rsidR="00242101" w:rsidRPr="002D0A15">
        <w:rPr>
          <w:rFonts w:ascii="Arial" w:hAnsi="Arial" w:cs="Arial"/>
          <w:color w:val="000000" w:themeColor="text1"/>
          <w:sz w:val="24"/>
          <w:szCs w:val="24"/>
        </w:rPr>
        <w:t xml:space="preserve">so </w:t>
      </w:r>
      <w:r w:rsidR="008A256A" w:rsidRPr="002D0A15">
        <w:rPr>
          <w:rFonts w:ascii="Arial" w:hAnsi="Arial" w:cs="Arial"/>
          <w:color w:val="000000" w:themeColor="text1"/>
          <w:sz w:val="24"/>
          <w:szCs w:val="24"/>
        </w:rPr>
        <w:t>guaranteed</w:t>
      </w:r>
      <w:r w:rsidR="002A578B" w:rsidRPr="002D0A15">
        <w:rPr>
          <w:rFonts w:ascii="Arial" w:hAnsi="Arial" w:cs="Arial"/>
          <w:color w:val="000000" w:themeColor="text1"/>
          <w:sz w:val="24"/>
          <w:szCs w:val="24"/>
        </w:rPr>
        <w:t>.</w:t>
      </w:r>
      <w:r w:rsidR="006E6A20" w:rsidRPr="002D0A15">
        <w:rPr>
          <w:rFonts w:ascii="Arial" w:hAnsi="Arial" w:cs="Arial"/>
          <w:color w:val="000000" w:themeColor="text1"/>
          <w:sz w:val="24"/>
          <w:szCs w:val="24"/>
        </w:rPr>
        <w:t xml:space="preserve"> Its primary objective is to give effect to right of access</w:t>
      </w:r>
      <w:r w:rsidR="00976B49" w:rsidRPr="002D0A15">
        <w:rPr>
          <w:rFonts w:ascii="Arial" w:hAnsi="Arial" w:cs="Arial"/>
          <w:color w:val="000000" w:themeColor="text1"/>
          <w:sz w:val="24"/>
          <w:szCs w:val="24"/>
        </w:rPr>
        <w:t xml:space="preserve"> to information as entrenched in Section 32 of the </w:t>
      </w:r>
      <w:r w:rsidR="0090753B" w:rsidRPr="002D0A15">
        <w:rPr>
          <w:rFonts w:ascii="Arial" w:hAnsi="Arial" w:cs="Arial"/>
          <w:color w:val="000000" w:themeColor="text1"/>
          <w:sz w:val="24"/>
          <w:szCs w:val="24"/>
        </w:rPr>
        <w:t>Constitution</w:t>
      </w:r>
      <w:r w:rsidR="00976B49" w:rsidRPr="002D0A15">
        <w:rPr>
          <w:rFonts w:ascii="Arial" w:hAnsi="Arial" w:cs="Arial"/>
          <w:color w:val="000000" w:themeColor="text1"/>
          <w:sz w:val="24"/>
          <w:szCs w:val="24"/>
        </w:rPr>
        <w:t>.</w:t>
      </w:r>
    </w:p>
    <w:p w14:paraId="1435A3F2" w14:textId="12768904" w:rsidR="00242101"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23)</w:t>
      </w:r>
      <w:r w:rsidRPr="00B0760E">
        <w:rPr>
          <w:rFonts w:ascii="Arial" w:hAnsi="Arial" w:cs="Arial"/>
          <w:color w:val="000000" w:themeColor="text1"/>
          <w:sz w:val="24"/>
          <w:szCs w:val="24"/>
        </w:rPr>
        <w:tab/>
      </w:r>
      <w:r w:rsidR="002A578B" w:rsidRPr="002D0A15">
        <w:rPr>
          <w:rFonts w:ascii="Arial" w:hAnsi="Arial" w:cs="Arial"/>
          <w:color w:val="000000" w:themeColor="text1"/>
          <w:sz w:val="24"/>
          <w:szCs w:val="24"/>
        </w:rPr>
        <w:t xml:space="preserve"> </w:t>
      </w:r>
      <w:r w:rsidR="007F5FBF" w:rsidRPr="002D0A15">
        <w:rPr>
          <w:rFonts w:ascii="Arial" w:hAnsi="Arial" w:cs="Arial"/>
          <w:color w:val="000000" w:themeColor="text1"/>
          <w:sz w:val="24"/>
          <w:szCs w:val="24"/>
        </w:rPr>
        <w:t xml:space="preserve">Its nature as a </w:t>
      </w:r>
      <w:r w:rsidR="00A30033" w:rsidRPr="002D0A15">
        <w:rPr>
          <w:rFonts w:ascii="Arial" w:hAnsi="Arial" w:cs="Arial"/>
          <w:color w:val="000000" w:themeColor="text1"/>
          <w:sz w:val="24"/>
          <w:szCs w:val="24"/>
        </w:rPr>
        <w:t>proverbial “</w:t>
      </w:r>
      <w:r w:rsidR="007F5FBF" w:rsidRPr="002D0A15">
        <w:rPr>
          <w:rFonts w:ascii="Arial" w:hAnsi="Arial" w:cs="Arial"/>
          <w:color w:val="000000" w:themeColor="text1"/>
          <w:sz w:val="24"/>
          <w:szCs w:val="24"/>
        </w:rPr>
        <w:t>champion of the people</w:t>
      </w:r>
      <w:r w:rsidR="00A30033" w:rsidRPr="002D0A15">
        <w:rPr>
          <w:rFonts w:ascii="Arial" w:hAnsi="Arial" w:cs="Arial"/>
          <w:color w:val="000000" w:themeColor="text1"/>
          <w:sz w:val="24"/>
          <w:szCs w:val="24"/>
        </w:rPr>
        <w:t>”</w:t>
      </w:r>
      <w:r w:rsidR="007F5FBF" w:rsidRPr="002D0A15">
        <w:rPr>
          <w:rFonts w:ascii="Arial" w:hAnsi="Arial" w:cs="Arial"/>
          <w:color w:val="000000" w:themeColor="text1"/>
          <w:sz w:val="24"/>
          <w:szCs w:val="24"/>
        </w:rPr>
        <w:t xml:space="preserve"> is </w:t>
      </w:r>
      <w:r w:rsidR="00CA7E56" w:rsidRPr="002D0A15">
        <w:rPr>
          <w:rFonts w:ascii="Arial" w:hAnsi="Arial" w:cs="Arial"/>
          <w:color w:val="000000" w:themeColor="text1"/>
          <w:sz w:val="24"/>
          <w:szCs w:val="24"/>
        </w:rPr>
        <w:t>evidenced</w:t>
      </w:r>
      <w:r w:rsidR="007F5FBF" w:rsidRPr="002D0A15">
        <w:rPr>
          <w:rFonts w:ascii="Arial" w:hAnsi="Arial" w:cs="Arial"/>
          <w:color w:val="000000" w:themeColor="text1"/>
          <w:sz w:val="24"/>
          <w:szCs w:val="24"/>
        </w:rPr>
        <w:t xml:space="preserve"> by </w:t>
      </w:r>
      <w:r w:rsidR="00CA7E56" w:rsidRPr="002D0A15">
        <w:rPr>
          <w:rFonts w:ascii="Arial" w:hAnsi="Arial" w:cs="Arial"/>
          <w:color w:val="000000" w:themeColor="text1"/>
          <w:sz w:val="24"/>
          <w:szCs w:val="24"/>
        </w:rPr>
        <w:t xml:space="preserve">Section 2 </w:t>
      </w:r>
      <w:r w:rsidR="00DC31E2" w:rsidRPr="002D0A15">
        <w:rPr>
          <w:rFonts w:ascii="Arial" w:hAnsi="Arial" w:cs="Arial"/>
          <w:color w:val="000000" w:themeColor="text1"/>
          <w:sz w:val="24"/>
          <w:szCs w:val="24"/>
        </w:rPr>
        <w:t xml:space="preserve">which </w:t>
      </w:r>
      <w:r w:rsidR="00CA7E56" w:rsidRPr="002D0A15">
        <w:rPr>
          <w:rFonts w:ascii="Arial" w:hAnsi="Arial" w:cs="Arial"/>
          <w:color w:val="000000" w:themeColor="text1"/>
          <w:sz w:val="24"/>
          <w:szCs w:val="24"/>
        </w:rPr>
        <w:t>requires that</w:t>
      </w:r>
      <w:r w:rsidR="00DC31E2" w:rsidRPr="002D0A15">
        <w:rPr>
          <w:rFonts w:ascii="Arial" w:hAnsi="Arial" w:cs="Arial"/>
          <w:color w:val="000000" w:themeColor="text1"/>
          <w:sz w:val="24"/>
          <w:szCs w:val="24"/>
        </w:rPr>
        <w:t>,</w:t>
      </w:r>
      <w:r w:rsidR="00CA7E56" w:rsidRPr="002D0A15">
        <w:rPr>
          <w:rFonts w:ascii="Arial" w:hAnsi="Arial" w:cs="Arial"/>
          <w:color w:val="000000" w:themeColor="text1"/>
          <w:sz w:val="24"/>
          <w:szCs w:val="24"/>
        </w:rPr>
        <w:t xml:space="preserve"> when interpreting a provision of the Act every </w:t>
      </w:r>
      <w:r w:rsidR="00566C8A" w:rsidRPr="002D0A15">
        <w:rPr>
          <w:rFonts w:ascii="Arial" w:hAnsi="Arial" w:cs="Arial"/>
          <w:color w:val="000000" w:themeColor="text1"/>
          <w:sz w:val="24"/>
          <w:szCs w:val="24"/>
        </w:rPr>
        <w:t>Court</w:t>
      </w:r>
      <w:r w:rsidR="00CA7E56" w:rsidRPr="002D0A15">
        <w:rPr>
          <w:rFonts w:ascii="Arial" w:hAnsi="Arial" w:cs="Arial"/>
          <w:color w:val="000000" w:themeColor="text1"/>
          <w:sz w:val="24"/>
          <w:szCs w:val="24"/>
        </w:rPr>
        <w:t xml:space="preserve"> must prefer a reasonable interpretation consistent with the objects of the Act over any alternative interpretation inconsistent with these objects.  </w:t>
      </w:r>
    </w:p>
    <w:p w14:paraId="0307DCD6" w14:textId="5C4585E2" w:rsidR="00A30033"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24)</w:t>
      </w:r>
      <w:r w:rsidRPr="00B0760E">
        <w:rPr>
          <w:rFonts w:ascii="Arial" w:hAnsi="Arial" w:cs="Arial"/>
          <w:color w:val="000000" w:themeColor="text1"/>
          <w:sz w:val="24"/>
          <w:szCs w:val="24"/>
        </w:rPr>
        <w:tab/>
      </w:r>
      <w:r w:rsidR="00B72029" w:rsidRPr="002D0A15">
        <w:rPr>
          <w:rFonts w:ascii="Arial" w:hAnsi="Arial" w:cs="Arial"/>
          <w:color w:val="000000" w:themeColor="text1"/>
          <w:sz w:val="24"/>
          <w:szCs w:val="24"/>
        </w:rPr>
        <w:t>Seen within this context</w:t>
      </w:r>
      <w:r w:rsidR="00D20DE9" w:rsidRPr="002D0A15">
        <w:rPr>
          <w:rFonts w:ascii="Arial" w:hAnsi="Arial" w:cs="Arial"/>
          <w:color w:val="000000" w:themeColor="text1"/>
          <w:sz w:val="24"/>
          <w:szCs w:val="24"/>
        </w:rPr>
        <w:t>,</w:t>
      </w:r>
      <w:r w:rsidR="00B72029" w:rsidRPr="002D0A15">
        <w:rPr>
          <w:rFonts w:ascii="Arial" w:hAnsi="Arial" w:cs="Arial"/>
          <w:color w:val="000000" w:themeColor="text1"/>
          <w:sz w:val="24"/>
          <w:szCs w:val="24"/>
        </w:rPr>
        <w:t xml:space="preserve"> it should be self-evident that the objection based on the, supposedly, incorrect</w:t>
      </w:r>
      <w:r w:rsidR="00897F0F" w:rsidRPr="002D0A15">
        <w:rPr>
          <w:rFonts w:ascii="Arial" w:hAnsi="Arial" w:cs="Arial"/>
          <w:color w:val="000000" w:themeColor="text1"/>
          <w:sz w:val="24"/>
          <w:szCs w:val="24"/>
        </w:rPr>
        <w:t xml:space="preserve"> </w:t>
      </w:r>
      <w:r w:rsidR="00B72029" w:rsidRPr="002D0A15">
        <w:rPr>
          <w:rFonts w:ascii="Arial" w:hAnsi="Arial" w:cs="Arial"/>
          <w:color w:val="000000" w:themeColor="text1"/>
          <w:sz w:val="24"/>
          <w:szCs w:val="24"/>
        </w:rPr>
        <w:t>section referred to in the notice of motion</w:t>
      </w:r>
      <w:r w:rsidR="00C03501" w:rsidRPr="002D0A15">
        <w:rPr>
          <w:rFonts w:ascii="Arial" w:hAnsi="Arial" w:cs="Arial"/>
          <w:color w:val="000000" w:themeColor="text1"/>
          <w:sz w:val="24"/>
          <w:szCs w:val="24"/>
        </w:rPr>
        <w:t xml:space="preserve"> is contrived and</w:t>
      </w:r>
      <w:r w:rsidR="00B72029" w:rsidRPr="002D0A15">
        <w:rPr>
          <w:rFonts w:ascii="Arial" w:hAnsi="Arial" w:cs="Arial"/>
          <w:color w:val="000000" w:themeColor="text1"/>
          <w:sz w:val="24"/>
          <w:szCs w:val="24"/>
        </w:rPr>
        <w:t xml:space="preserve"> overly technical. Section 25 of PAIA references</w:t>
      </w:r>
      <w:r w:rsidR="00CA3F35" w:rsidRPr="002D0A15">
        <w:rPr>
          <w:rFonts w:ascii="Arial" w:hAnsi="Arial" w:cs="Arial"/>
          <w:color w:val="000000" w:themeColor="text1"/>
          <w:sz w:val="24"/>
          <w:szCs w:val="24"/>
        </w:rPr>
        <w:t xml:space="preserve"> the duty of a public body</w:t>
      </w:r>
      <w:r w:rsidR="00D41807" w:rsidRPr="002D0A15">
        <w:rPr>
          <w:rFonts w:ascii="Arial" w:hAnsi="Arial" w:cs="Arial"/>
          <w:color w:val="000000" w:themeColor="text1"/>
          <w:sz w:val="24"/>
          <w:szCs w:val="24"/>
        </w:rPr>
        <w:t xml:space="preserve"> </w:t>
      </w:r>
      <w:r w:rsidR="00173BFE" w:rsidRPr="002D0A15">
        <w:rPr>
          <w:rFonts w:ascii="Arial" w:hAnsi="Arial" w:cs="Arial"/>
          <w:color w:val="000000" w:themeColor="text1"/>
          <w:sz w:val="24"/>
          <w:szCs w:val="24"/>
        </w:rPr>
        <w:t>refusing</w:t>
      </w:r>
      <w:r w:rsidR="00D41807" w:rsidRPr="002D0A15">
        <w:rPr>
          <w:rFonts w:ascii="Arial" w:hAnsi="Arial" w:cs="Arial"/>
          <w:color w:val="000000" w:themeColor="text1"/>
          <w:sz w:val="24"/>
          <w:szCs w:val="24"/>
        </w:rPr>
        <w:t xml:space="preserve"> access to  records,</w:t>
      </w:r>
      <w:r w:rsidR="00CA3F35" w:rsidRPr="002D0A15">
        <w:rPr>
          <w:rFonts w:ascii="Arial" w:hAnsi="Arial" w:cs="Arial"/>
          <w:color w:val="000000" w:themeColor="text1"/>
          <w:sz w:val="24"/>
          <w:szCs w:val="24"/>
        </w:rPr>
        <w:t xml:space="preserve"> to inform</w:t>
      </w:r>
      <w:r w:rsidR="00FB6D77" w:rsidRPr="002D0A15">
        <w:rPr>
          <w:rFonts w:ascii="Arial" w:hAnsi="Arial" w:cs="Arial"/>
          <w:color w:val="000000" w:themeColor="text1"/>
          <w:sz w:val="24"/>
          <w:szCs w:val="24"/>
        </w:rPr>
        <w:t xml:space="preserve"> an </w:t>
      </w:r>
      <w:r w:rsidR="00566C8A" w:rsidRPr="002D0A15">
        <w:rPr>
          <w:rFonts w:ascii="Arial" w:hAnsi="Arial" w:cs="Arial"/>
          <w:color w:val="000000" w:themeColor="text1"/>
          <w:sz w:val="24"/>
          <w:szCs w:val="24"/>
        </w:rPr>
        <w:t>Applicant</w:t>
      </w:r>
      <w:r w:rsidR="00FB6D77" w:rsidRPr="002D0A15">
        <w:rPr>
          <w:rFonts w:ascii="Arial" w:hAnsi="Arial" w:cs="Arial"/>
          <w:color w:val="000000" w:themeColor="text1"/>
          <w:sz w:val="24"/>
          <w:szCs w:val="24"/>
        </w:rPr>
        <w:t xml:space="preserve"> of his/her</w:t>
      </w:r>
      <w:r w:rsidR="00B72029" w:rsidRPr="002D0A15">
        <w:rPr>
          <w:rFonts w:ascii="Arial" w:hAnsi="Arial" w:cs="Arial"/>
          <w:color w:val="000000" w:themeColor="text1"/>
          <w:sz w:val="24"/>
          <w:szCs w:val="24"/>
        </w:rPr>
        <w:t xml:space="preserve"> right to </w:t>
      </w:r>
      <w:r w:rsidR="00D41807" w:rsidRPr="002D0A15">
        <w:rPr>
          <w:rFonts w:ascii="Arial" w:hAnsi="Arial" w:cs="Arial"/>
          <w:color w:val="000000" w:themeColor="text1"/>
          <w:sz w:val="24"/>
          <w:szCs w:val="24"/>
        </w:rPr>
        <w:t xml:space="preserve">apply to </w:t>
      </w:r>
      <w:r w:rsidR="00566C8A" w:rsidRPr="002D0A15">
        <w:rPr>
          <w:rFonts w:ascii="Arial" w:hAnsi="Arial" w:cs="Arial"/>
          <w:color w:val="000000" w:themeColor="text1"/>
          <w:sz w:val="24"/>
          <w:szCs w:val="24"/>
        </w:rPr>
        <w:t>Court</w:t>
      </w:r>
      <w:r w:rsidR="00173BFE" w:rsidRPr="002D0A15">
        <w:rPr>
          <w:rFonts w:ascii="Arial" w:hAnsi="Arial" w:cs="Arial"/>
          <w:color w:val="000000" w:themeColor="text1"/>
          <w:sz w:val="24"/>
          <w:szCs w:val="24"/>
        </w:rPr>
        <w:t>,</w:t>
      </w:r>
      <w:r w:rsidR="00B72029" w:rsidRPr="002D0A15">
        <w:rPr>
          <w:rFonts w:ascii="Arial" w:hAnsi="Arial" w:cs="Arial"/>
          <w:color w:val="000000" w:themeColor="text1"/>
          <w:sz w:val="24"/>
          <w:szCs w:val="24"/>
        </w:rPr>
        <w:t xml:space="preserve"> whereas section 78</w:t>
      </w:r>
      <w:r w:rsidR="00173BFE" w:rsidRPr="002D0A15">
        <w:rPr>
          <w:rFonts w:ascii="Arial" w:hAnsi="Arial" w:cs="Arial"/>
          <w:color w:val="000000" w:themeColor="text1"/>
          <w:sz w:val="24"/>
          <w:szCs w:val="24"/>
        </w:rPr>
        <w:t xml:space="preserve"> (and onwards)</w:t>
      </w:r>
      <w:r w:rsidR="00B72029" w:rsidRPr="002D0A15">
        <w:rPr>
          <w:rFonts w:ascii="Arial" w:hAnsi="Arial" w:cs="Arial"/>
          <w:color w:val="000000" w:themeColor="text1"/>
          <w:sz w:val="24"/>
          <w:szCs w:val="24"/>
        </w:rPr>
        <w:t xml:space="preserve"> regulates the conduct of such a</w:t>
      </w:r>
      <w:r w:rsidR="00173BFE" w:rsidRPr="002D0A15">
        <w:rPr>
          <w:rFonts w:ascii="Arial" w:hAnsi="Arial" w:cs="Arial"/>
          <w:color w:val="000000" w:themeColor="text1"/>
          <w:sz w:val="24"/>
          <w:szCs w:val="24"/>
        </w:rPr>
        <w:t>n application</w:t>
      </w:r>
      <w:r w:rsidR="00CA3F35" w:rsidRPr="002D0A15">
        <w:rPr>
          <w:rFonts w:ascii="Arial" w:hAnsi="Arial" w:cs="Arial"/>
          <w:color w:val="000000" w:themeColor="text1"/>
          <w:sz w:val="24"/>
          <w:szCs w:val="24"/>
        </w:rPr>
        <w:t xml:space="preserve">. </w:t>
      </w:r>
      <w:r w:rsidR="00DF433A" w:rsidRPr="002D0A15">
        <w:rPr>
          <w:rFonts w:ascii="Arial" w:hAnsi="Arial" w:cs="Arial"/>
          <w:color w:val="000000" w:themeColor="text1"/>
          <w:sz w:val="24"/>
          <w:szCs w:val="24"/>
        </w:rPr>
        <w:t xml:space="preserve">Regardless of the </w:t>
      </w:r>
      <w:r w:rsidR="00DF433A" w:rsidRPr="002D0A15">
        <w:rPr>
          <w:rFonts w:ascii="Arial" w:hAnsi="Arial" w:cs="Arial"/>
          <w:color w:val="000000" w:themeColor="text1"/>
          <w:sz w:val="24"/>
          <w:szCs w:val="24"/>
        </w:rPr>
        <w:lastRenderedPageBreak/>
        <w:t xml:space="preserve">section, PAIA does not cater for different types of </w:t>
      </w:r>
      <w:r w:rsidR="001C3FA3" w:rsidRPr="002D0A15">
        <w:rPr>
          <w:rFonts w:ascii="Arial" w:hAnsi="Arial" w:cs="Arial"/>
          <w:color w:val="000000" w:themeColor="text1"/>
          <w:sz w:val="24"/>
          <w:szCs w:val="24"/>
        </w:rPr>
        <w:t>applications</w:t>
      </w:r>
      <w:r w:rsidR="00DF433A" w:rsidRPr="002D0A15">
        <w:rPr>
          <w:rFonts w:ascii="Arial" w:hAnsi="Arial" w:cs="Arial"/>
          <w:color w:val="000000" w:themeColor="text1"/>
          <w:sz w:val="24"/>
          <w:szCs w:val="24"/>
        </w:rPr>
        <w:t xml:space="preserve"> </w:t>
      </w:r>
      <w:r w:rsidR="00A663EC" w:rsidRPr="002D0A15">
        <w:rPr>
          <w:rFonts w:ascii="Arial" w:hAnsi="Arial" w:cs="Arial"/>
          <w:color w:val="000000" w:themeColor="text1"/>
          <w:sz w:val="24"/>
          <w:szCs w:val="24"/>
        </w:rPr>
        <w:t>governed by</w:t>
      </w:r>
      <w:r w:rsidR="00DF433A" w:rsidRPr="002D0A15">
        <w:rPr>
          <w:rFonts w:ascii="Arial" w:hAnsi="Arial" w:cs="Arial"/>
          <w:color w:val="000000" w:themeColor="text1"/>
          <w:sz w:val="24"/>
          <w:szCs w:val="24"/>
        </w:rPr>
        <w:t xml:space="preserve"> different sections. The argument that the reference to section 25 </w:t>
      </w:r>
      <w:r w:rsidR="0004480E" w:rsidRPr="002D0A15">
        <w:rPr>
          <w:rFonts w:ascii="Arial" w:hAnsi="Arial" w:cs="Arial"/>
          <w:color w:val="000000" w:themeColor="text1"/>
          <w:sz w:val="24"/>
          <w:szCs w:val="24"/>
        </w:rPr>
        <w:t>(</w:t>
      </w:r>
      <w:r w:rsidR="00DF433A" w:rsidRPr="002D0A15">
        <w:rPr>
          <w:rFonts w:ascii="Arial" w:hAnsi="Arial" w:cs="Arial"/>
          <w:color w:val="000000" w:themeColor="text1"/>
          <w:sz w:val="24"/>
          <w:szCs w:val="24"/>
        </w:rPr>
        <w:t>instead of section 78</w:t>
      </w:r>
      <w:r w:rsidR="0004480E" w:rsidRPr="002D0A15">
        <w:rPr>
          <w:rFonts w:ascii="Arial" w:hAnsi="Arial" w:cs="Arial"/>
          <w:color w:val="000000" w:themeColor="text1"/>
          <w:sz w:val="24"/>
          <w:szCs w:val="24"/>
        </w:rPr>
        <w:t>)</w:t>
      </w:r>
      <w:r w:rsidR="00DF433A" w:rsidRPr="002D0A15">
        <w:rPr>
          <w:rFonts w:ascii="Arial" w:hAnsi="Arial" w:cs="Arial"/>
          <w:color w:val="000000" w:themeColor="text1"/>
          <w:sz w:val="24"/>
          <w:szCs w:val="24"/>
        </w:rPr>
        <w:t xml:space="preserve"> resulted in the </w:t>
      </w:r>
      <w:r w:rsidR="00566C8A" w:rsidRPr="002D0A15">
        <w:rPr>
          <w:rFonts w:ascii="Arial" w:hAnsi="Arial" w:cs="Arial"/>
          <w:color w:val="000000" w:themeColor="text1"/>
          <w:sz w:val="24"/>
          <w:szCs w:val="24"/>
        </w:rPr>
        <w:t>Respondent</w:t>
      </w:r>
      <w:r w:rsidR="00DF433A" w:rsidRPr="002D0A15">
        <w:rPr>
          <w:rFonts w:ascii="Arial" w:hAnsi="Arial" w:cs="Arial"/>
          <w:color w:val="000000" w:themeColor="text1"/>
          <w:sz w:val="24"/>
          <w:szCs w:val="24"/>
        </w:rPr>
        <w:t xml:space="preserve"> not knowing what case it is called upon to meet is </w:t>
      </w:r>
      <w:r w:rsidR="00D20DE9" w:rsidRPr="002D0A15">
        <w:rPr>
          <w:rFonts w:ascii="Arial" w:hAnsi="Arial" w:cs="Arial"/>
          <w:color w:val="000000" w:themeColor="text1"/>
          <w:sz w:val="24"/>
          <w:szCs w:val="24"/>
        </w:rPr>
        <w:t xml:space="preserve">therefore </w:t>
      </w:r>
      <w:r w:rsidR="00DF433A" w:rsidRPr="002D0A15">
        <w:rPr>
          <w:rFonts w:ascii="Arial" w:hAnsi="Arial" w:cs="Arial"/>
          <w:color w:val="000000" w:themeColor="text1"/>
          <w:sz w:val="24"/>
          <w:szCs w:val="24"/>
        </w:rPr>
        <w:t>disingenuous.</w:t>
      </w:r>
    </w:p>
    <w:p w14:paraId="429AA21B" w14:textId="771E4815" w:rsidR="00D91DAF"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25)</w:t>
      </w:r>
      <w:r w:rsidRPr="00B0760E">
        <w:rPr>
          <w:rFonts w:ascii="Arial" w:hAnsi="Arial" w:cs="Arial"/>
          <w:color w:val="000000" w:themeColor="text1"/>
          <w:sz w:val="24"/>
          <w:szCs w:val="24"/>
        </w:rPr>
        <w:tab/>
      </w:r>
      <w:r w:rsidR="00880B6B" w:rsidRPr="002D0A15">
        <w:rPr>
          <w:rFonts w:ascii="Arial" w:hAnsi="Arial" w:cs="Arial"/>
          <w:color w:val="000000" w:themeColor="text1"/>
          <w:sz w:val="24"/>
          <w:szCs w:val="24"/>
        </w:rPr>
        <w:t>Similarly</w:t>
      </w:r>
      <w:r w:rsidR="009A3B13" w:rsidRPr="002D0A15">
        <w:rPr>
          <w:rFonts w:ascii="Arial" w:hAnsi="Arial" w:cs="Arial"/>
          <w:color w:val="000000" w:themeColor="text1"/>
          <w:sz w:val="24"/>
          <w:szCs w:val="24"/>
        </w:rPr>
        <w:t>,</w:t>
      </w:r>
      <w:r w:rsidR="00880B6B" w:rsidRPr="002D0A15">
        <w:rPr>
          <w:rFonts w:ascii="Arial" w:hAnsi="Arial" w:cs="Arial"/>
          <w:color w:val="000000" w:themeColor="text1"/>
          <w:sz w:val="24"/>
          <w:szCs w:val="24"/>
        </w:rPr>
        <w:t xml:space="preserve"> the argument that the </w:t>
      </w:r>
      <w:r w:rsidR="00566C8A" w:rsidRPr="002D0A15">
        <w:rPr>
          <w:rFonts w:ascii="Arial" w:hAnsi="Arial" w:cs="Arial"/>
          <w:color w:val="000000" w:themeColor="text1"/>
          <w:sz w:val="24"/>
          <w:szCs w:val="24"/>
        </w:rPr>
        <w:t>Applicant</w:t>
      </w:r>
      <w:r w:rsidR="00880B6B" w:rsidRPr="002D0A15">
        <w:rPr>
          <w:rFonts w:ascii="Arial" w:hAnsi="Arial" w:cs="Arial"/>
          <w:color w:val="000000" w:themeColor="text1"/>
          <w:sz w:val="24"/>
          <w:szCs w:val="24"/>
        </w:rPr>
        <w:t xml:space="preserve"> is bound to the grounds for </w:t>
      </w:r>
      <w:r w:rsidR="00EE7387" w:rsidRPr="002D0A15">
        <w:rPr>
          <w:rFonts w:ascii="Arial" w:hAnsi="Arial" w:cs="Arial"/>
          <w:color w:val="000000" w:themeColor="text1"/>
          <w:sz w:val="24"/>
          <w:szCs w:val="24"/>
        </w:rPr>
        <w:t>“</w:t>
      </w:r>
      <w:r w:rsidR="00880B6B" w:rsidRPr="002D0A15">
        <w:rPr>
          <w:rFonts w:ascii="Arial" w:hAnsi="Arial" w:cs="Arial"/>
          <w:color w:val="000000" w:themeColor="text1"/>
          <w:sz w:val="24"/>
          <w:szCs w:val="24"/>
        </w:rPr>
        <w:t>review</w:t>
      </w:r>
      <w:r w:rsidR="00D95CB7" w:rsidRPr="002D0A15">
        <w:rPr>
          <w:rFonts w:ascii="Arial" w:hAnsi="Arial" w:cs="Arial"/>
          <w:color w:val="000000" w:themeColor="text1"/>
          <w:sz w:val="24"/>
          <w:szCs w:val="24"/>
        </w:rPr>
        <w:t>”</w:t>
      </w:r>
      <w:r w:rsidR="00880B6B" w:rsidRPr="002D0A15">
        <w:rPr>
          <w:rFonts w:ascii="Arial" w:hAnsi="Arial" w:cs="Arial"/>
          <w:color w:val="000000" w:themeColor="text1"/>
          <w:sz w:val="24"/>
          <w:szCs w:val="24"/>
        </w:rPr>
        <w:t xml:space="preserve"> as set out in section 25, is nonsensical and seems to be based on an amalgamation of principles relating to reviews brought in terms of PAJA with </w:t>
      </w:r>
      <w:r w:rsidR="005B1ED6" w:rsidRPr="002D0A15">
        <w:rPr>
          <w:rFonts w:ascii="Arial" w:hAnsi="Arial" w:cs="Arial"/>
          <w:color w:val="000000" w:themeColor="text1"/>
          <w:sz w:val="24"/>
          <w:szCs w:val="24"/>
        </w:rPr>
        <w:t>applications</w:t>
      </w:r>
      <w:r w:rsidR="00880B6B" w:rsidRPr="002D0A15">
        <w:rPr>
          <w:rFonts w:ascii="Arial" w:hAnsi="Arial" w:cs="Arial"/>
          <w:color w:val="000000" w:themeColor="text1"/>
          <w:sz w:val="24"/>
          <w:szCs w:val="24"/>
        </w:rPr>
        <w:t xml:space="preserve"> brought in terms of PAIA</w:t>
      </w:r>
      <w:r w:rsidR="00DF3513" w:rsidRPr="002D0A15">
        <w:rPr>
          <w:rFonts w:ascii="Arial" w:hAnsi="Arial" w:cs="Arial"/>
          <w:color w:val="000000" w:themeColor="text1"/>
          <w:sz w:val="24"/>
          <w:szCs w:val="24"/>
        </w:rPr>
        <w:t xml:space="preserve">. </w:t>
      </w:r>
    </w:p>
    <w:p w14:paraId="095ADC7B" w14:textId="61D2C6A4" w:rsidR="007D2E56" w:rsidRPr="002D0A15" w:rsidRDefault="002D0A15" w:rsidP="002D0A15">
      <w:pPr>
        <w:tabs>
          <w:tab w:val="right" w:pos="8208"/>
        </w:tabs>
        <w:spacing w:before="120" w:line="360" w:lineRule="auto"/>
        <w:ind w:left="426" w:hanging="426"/>
        <w:jc w:val="both"/>
        <w:rPr>
          <w:rFonts w:ascii="Arial" w:hAnsi="Arial" w:cs="Arial"/>
          <w:i/>
          <w:iCs/>
          <w:color w:val="000000" w:themeColor="text1"/>
          <w:sz w:val="24"/>
          <w:szCs w:val="24"/>
        </w:rPr>
      </w:pPr>
      <w:r w:rsidRPr="00B0760E">
        <w:rPr>
          <w:rFonts w:ascii="Arial" w:hAnsi="Arial" w:cs="Arial"/>
          <w:color w:val="000000" w:themeColor="text1"/>
          <w:sz w:val="24"/>
          <w:szCs w:val="24"/>
        </w:rPr>
        <w:t>26)</w:t>
      </w:r>
      <w:r w:rsidRPr="00B0760E">
        <w:rPr>
          <w:rFonts w:ascii="Arial" w:hAnsi="Arial" w:cs="Arial"/>
          <w:color w:val="000000" w:themeColor="text1"/>
          <w:sz w:val="24"/>
          <w:szCs w:val="24"/>
        </w:rPr>
        <w:tab/>
      </w:r>
      <w:r w:rsidR="000B0BF2" w:rsidRPr="002D0A15">
        <w:rPr>
          <w:rFonts w:ascii="Arial" w:hAnsi="Arial" w:cs="Arial"/>
          <w:color w:val="000000" w:themeColor="text1"/>
          <w:sz w:val="24"/>
          <w:szCs w:val="24"/>
        </w:rPr>
        <w:t xml:space="preserve">Whilst PAJA may list </w:t>
      </w:r>
      <w:r w:rsidR="00935880" w:rsidRPr="002D0A15">
        <w:rPr>
          <w:rFonts w:ascii="Arial" w:hAnsi="Arial" w:cs="Arial"/>
          <w:color w:val="000000" w:themeColor="text1"/>
          <w:sz w:val="24"/>
          <w:szCs w:val="24"/>
        </w:rPr>
        <w:t xml:space="preserve">several </w:t>
      </w:r>
      <w:r w:rsidR="000B0BF2" w:rsidRPr="002D0A15">
        <w:rPr>
          <w:rFonts w:ascii="Arial" w:hAnsi="Arial" w:cs="Arial"/>
          <w:color w:val="000000" w:themeColor="text1"/>
          <w:sz w:val="24"/>
          <w:szCs w:val="24"/>
        </w:rPr>
        <w:t xml:space="preserve">grounds for review, PAIA's only </w:t>
      </w:r>
      <w:r w:rsidR="007107A7" w:rsidRPr="002D0A15">
        <w:rPr>
          <w:rFonts w:ascii="Arial" w:hAnsi="Arial" w:cs="Arial"/>
          <w:color w:val="000000" w:themeColor="text1"/>
          <w:sz w:val="24"/>
          <w:szCs w:val="24"/>
        </w:rPr>
        <w:t>“</w:t>
      </w:r>
      <w:r w:rsidR="000B0BF2" w:rsidRPr="002D0A15">
        <w:rPr>
          <w:rFonts w:ascii="Arial" w:hAnsi="Arial" w:cs="Arial"/>
          <w:color w:val="000000" w:themeColor="text1"/>
          <w:sz w:val="24"/>
          <w:szCs w:val="24"/>
        </w:rPr>
        <w:t>ground</w:t>
      </w:r>
      <w:r w:rsidR="007107A7" w:rsidRPr="002D0A15">
        <w:rPr>
          <w:rFonts w:ascii="Arial" w:hAnsi="Arial" w:cs="Arial"/>
          <w:color w:val="000000" w:themeColor="text1"/>
          <w:sz w:val="24"/>
          <w:szCs w:val="24"/>
        </w:rPr>
        <w:t>”</w:t>
      </w:r>
      <w:r w:rsidR="000B0BF2" w:rsidRPr="002D0A15">
        <w:rPr>
          <w:rFonts w:ascii="Arial" w:hAnsi="Arial" w:cs="Arial"/>
          <w:color w:val="000000" w:themeColor="text1"/>
          <w:sz w:val="24"/>
          <w:szCs w:val="24"/>
        </w:rPr>
        <w:t xml:space="preserve"> </w:t>
      </w:r>
      <w:r w:rsidR="003E5A8C" w:rsidRPr="002D0A15">
        <w:rPr>
          <w:rFonts w:ascii="Arial" w:hAnsi="Arial" w:cs="Arial"/>
          <w:color w:val="000000" w:themeColor="text1"/>
          <w:sz w:val="24"/>
          <w:szCs w:val="24"/>
        </w:rPr>
        <w:t xml:space="preserve">for </w:t>
      </w:r>
      <w:r w:rsidR="000E0DC3" w:rsidRPr="002D0A15">
        <w:rPr>
          <w:rFonts w:ascii="Arial" w:hAnsi="Arial" w:cs="Arial"/>
          <w:color w:val="000000" w:themeColor="text1"/>
          <w:sz w:val="24"/>
          <w:szCs w:val="24"/>
        </w:rPr>
        <w:t>bringing an application</w:t>
      </w:r>
      <w:r w:rsidR="003E5A8C" w:rsidRPr="002D0A15">
        <w:rPr>
          <w:rFonts w:ascii="Arial" w:hAnsi="Arial" w:cs="Arial"/>
          <w:color w:val="000000" w:themeColor="text1"/>
          <w:sz w:val="24"/>
          <w:szCs w:val="24"/>
        </w:rPr>
        <w:t xml:space="preserve"> </w:t>
      </w:r>
      <w:r w:rsidR="000B0BF2" w:rsidRPr="002D0A15">
        <w:rPr>
          <w:rFonts w:ascii="Arial" w:hAnsi="Arial" w:cs="Arial"/>
          <w:color w:val="000000" w:themeColor="text1"/>
          <w:sz w:val="24"/>
          <w:szCs w:val="24"/>
        </w:rPr>
        <w:t xml:space="preserve">is that there was a </w:t>
      </w:r>
      <w:r w:rsidR="001138F5" w:rsidRPr="002D0A15">
        <w:rPr>
          <w:rFonts w:ascii="Arial" w:hAnsi="Arial" w:cs="Arial"/>
          <w:color w:val="000000" w:themeColor="text1"/>
          <w:sz w:val="24"/>
          <w:szCs w:val="24"/>
        </w:rPr>
        <w:t xml:space="preserve">procedurally compliant request for access, which was </w:t>
      </w:r>
      <w:r w:rsidR="000B0BF2" w:rsidRPr="002D0A15">
        <w:rPr>
          <w:rFonts w:ascii="Arial" w:hAnsi="Arial" w:cs="Arial"/>
          <w:color w:val="000000" w:themeColor="text1"/>
          <w:sz w:val="24"/>
          <w:szCs w:val="24"/>
        </w:rPr>
        <w:t>refus</w:t>
      </w:r>
      <w:r w:rsidR="001138F5" w:rsidRPr="002D0A15">
        <w:rPr>
          <w:rFonts w:ascii="Arial" w:hAnsi="Arial" w:cs="Arial"/>
          <w:color w:val="000000" w:themeColor="text1"/>
          <w:sz w:val="24"/>
          <w:szCs w:val="24"/>
        </w:rPr>
        <w:t>ed</w:t>
      </w:r>
      <w:r w:rsidR="000E0DC3" w:rsidRPr="002D0A15">
        <w:rPr>
          <w:rFonts w:ascii="Arial" w:hAnsi="Arial" w:cs="Arial"/>
          <w:color w:val="000000" w:themeColor="text1"/>
          <w:sz w:val="24"/>
          <w:szCs w:val="24"/>
        </w:rPr>
        <w:t xml:space="preserve"> and that internal remedies have been exhausted</w:t>
      </w:r>
      <w:r w:rsidR="00424DB5" w:rsidRPr="002D0A15">
        <w:rPr>
          <w:rFonts w:ascii="Arial" w:hAnsi="Arial" w:cs="Arial"/>
          <w:color w:val="000000" w:themeColor="text1"/>
          <w:sz w:val="24"/>
          <w:szCs w:val="24"/>
        </w:rPr>
        <w:t xml:space="preserve"> (if applicable)</w:t>
      </w:r>
      <w:r w:rsidR="000B0BF2" w:rsidRPr="002D0A15">
        <w:rPr>
          <w:rFonts w:ascii="Arial" w:hAnsi="Arial" w:cs="Arial"/>
          <w:color w:val="000000" w:themeColor="text1"/>
          <w:sz w:val="24"/>
          <w:szCs w:val="24"/>
        </w:rPr>
        <w:t>.</w:t>
      </w:r>
      <w:r w:rsidR="007D2E56" w:rsidRPr="002D0A15">
        <w:rPr>
          <w:rFonts w:ascii="Arial" w:hAnsi="Arial" w:cs="Arial"/>
          <w:color w:val="000000" w:themeColor="text1"/>
          <w:sz w:val="24"/>
          <w:szCs w:val="24"/>
        </w:rPr>
        <w:t xml:space="preserve"> As </w:t>
      </w:r>
      <w:r w:rsidR="00245167" w:rsidRPr="002D0A15">
        <w:rPr>
          <w:rFonts w:ascii="Arial" w:hAnsi="Arial" w:cs="Arial"/>
          <w:color w:val="000000" w:themeColor="text1"/>
          <w:sz w:val="24"/>
          <w:szCs w:val="24"/>
        </w:rPr>
        <w:t>State</w:t>
      </w:r>
      <w:r w:rsidR="007D2E56" w:rsidRPr="002D0A15">
        <w:rPr>
          <w:rFonts w:ascii="Arial" w:hAnsi="Arial" w:cs="Arial"/>
          <w:color w:val="000000" w:themeColor="text1"/>
          <w:sz w:val="24"/>
          <w:szCs w:val="24"/>
        </w:rPr>
        <w:t xml:space="preserve">d in </w:t>
      </w:r>
      <w:r w:rsidR="007D2E56" w:rsidRPr="002D0A15">
        <w:rPr>
          <w:rFonts w:ascii="Arial" w:hAnsi="Arial" w:cs="Arial"/>
          <w:i/>
          <w:iCs/>
          <w:color w:val="000000" w:themeColor="text1"/>
          <w:sz w:val="24"/>
          <w:szCs w:val="24"/>
        </w:rPr>
        <w:t>De Lange &amp; another v Eskom Holdings Ltd &amp; others</w:t>
      </w:r>
      <w:r w:rsidR="007D2E56" w:rsidRPr="002D0A15">
        <w:rPr>
          <w:rFonts w:ascii="Arial" w:hAnsi="Arial" w:cs="Arial"/>
          <w:color w:val="000000" w:themeColor="text1"/>
          <w:sz w:val="24"/>
          <w:szCs w:val="24"/>
        </w:rPr>
        <w:t xml:space="preserve">: </w:t>
      </w:r>
      <w:r w:rsidR="007D2E56" w:rsidRPr="002D0A15">
        <w:rPr>
          <w:rFonts w:ascii="Arial" w:hAnsi="Arial" w:cs="Arial"/>
          <w:i/>
          <w:iCs/>
          <w:color w:val="000000" w:themeColor="text1"/>
          <w:sz w:val="24"/>
          <w:szCs w:val="24"/>
        </w:rPr>
        <w:t xml:space="preserve">“…the requester does not need to explain why it seeks the information, let alone why it requires it for the exercise of its rights. </w:t>
      </w:r>
      <w:r w:rsidR="007D2E56" w:rsidRPr="002D0A15">
        <w:rPr>
          <w:rFonts w:ascii="Arial" w:hAnsi="Arial" w:cs="Arial"/>
          <w:i/>
          <w:iCs/>
          <w:color w:val="000000" w:themeColor="text1"/>
          <w:sz w:val="24"/>
          <w:szCs w:val="24"/>
          <w:u w:val="single"/>
        </w:rPr>
        <w:t>In terms of s 11(1) of PAIA a requester of information is entitled to the information requested from a public body</w:t>
      </w:r>
      <w:r w:rsidR="007D2E56" w:rsidRPr="002D0A15">
        <w:rPr>
          <w:rFonts w:ascii="Arial" w:hAnsi="Arial" w:cs="Arial"/>
          <w:i/>
          <w:iCs/>
          <w:color w:val="000000" w:themeColor="text1"/>
          <w:sz w:val="24"/>
          <w:szCs w:val="24"/>
        </w:rPr>
        <w:t xml:space="preserve"> as long as it has complied with the procedural requirements set in that Act and as long as none of the grounds of refusal are applicable</w:t>
      </w:r>
      <w:r w:rsidR="007D2E56" w:rsidRPr="002D0A15">
        <w:rPr>
          <w:rFonts w:ascii="Arial" w:hAnsi="Arial" w:cs="Arial"/>
          <w:color w:val="000000" w:themeColor="text1"/>
          <w:sz w:val="24"/>
          <w:szCs w:val="24"/>
        </w:rPr>
        <w:t xml:space="preserve">. </w:t>
      </w:r>
      <w:r w:rsidR="007D2E56" w:rsidRPr="002D0A15">
        <w:rPr>
          <w:rFonts w:ascii="Arial" w:hAnsi="Arial" w:cs="Arial"/>
          <w:i/>
          <w:iCs/>
          <w:color w:val="000000" w:themeColor="text1"/>
          <w:sz w:val="24"/>
          <w:szCs w:val="24"/>
        </w:rPr>
        <w:t>Those grounds of refusal are set out in Ch 4 of Part 2 of the Act.”</w:t>
      </w:r>
      <w:r w:rsidR="00993C5A" w:rsidRPr="002D0A15">
        <w:rPr>
          <w:rFonts w:ascii="Arial" w:hAnsi="Arial" w:cs="Arial"/>
          <w:color w:val="000000" w:themeColor="text1"/>
          <w:sz w:val="24"/>
          <w:szCs w:val="24"/>
        </w:rPr>
        <w:t xml:space="preserve"> [Underlining my own].</w:t>
      </w:r>
    </w:p>
    <w:p w14:paraId="786491AA" w14:textId="6D9CE16A" w:rsidR="00C97E63"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27)</w:t>
      </w:r>
      <w:r w:rsidRPr="00B0760E">
        <w:rPr>
          <w:rFonts w:ascii="Arial" w:hAnsi="Arial" w:cs="Arial"/>
          <w:color w:val="000000" w:themeColor="text1"/>
          <w:sz w:val="24"/>
          <w:szCs w:val="24"/>
        </w:rPr>
        <w:tab/>
      </w:r>
      <w:r w:rsidR="00413D5D" w:rsidRPr="002D0A15">
        <w:rPr>
          <w:rFonts w:ascii="Arial" w:hAnsi="Arial" w:cs="Arial"/>
          <w:color w:val="000000" w:themeColor="text1"/>
          <w:sz w:val="24"/>
          <w:szCs w:val="24"/>
        </w:rPr>
        <w:t xml:space="preserve">Following questions posed by the </w:t>
      </w:r>
      <w:r w:rsidR="00566C8A" w:rsidRPr="002D0A15">
        <w:rPr>
          <w:rFonts w:ascii="Arial" w:hAnsi="Arial" w:cs="Arial"/>
          <w:color w:val="000000" w:themeColor="text1"/>
          <w:sz w:val="24"/>
          <w:szCs w:val="24"/>
        </w:rPr>
        <w:t>Court</w:t>
      </w:r>
      <w:r w:rsidR="00413D5D" w:rsidRPr="002D0A15">
        <w:rPr>
          <w:rFonts w:ascii="Arial" w:hAnsi="Arial" w:cs="Arial"/>
          <w:color w:val="000000" w:themeColor="text1"/>
          <w:sz w:val="24"/>
          <w:szCs w:val="24"/>
        </w:rPr>
        <w:t>,</w:t>
      </w:r>
      <w:r w:rsidR="007F67E5" w:rsidRPr="002D0A15">
        <w:rPr>
          <w:rFonts w:ascii="Arial" w:hAnsi="Arial" w:cs="Arial"/>
          <w:color w:val="000000" w:themeColor="text1"/>
          <w:sz w:val="24"/>
          <w:szCs w:val="24"/>
        </w:rPr>
        <w:t xml:space="preserve"> counsel for the </w:t>
      </w:r>
      <w:r w:rsidR="00566C8A" w:rsidRPr="002D0A15">
        <w:rPr>
          <w:rFonts w:ascii="Arial" w:hAnsi="Arial" w:cs="Arial"/>
          <w:color w:val="000000" w:themeColor="text1"/>
          <w:sz w:val="24"/>
          <w:szCs w:val="24"/>
        </w:rPr>
        <w:t>Respondent</w:t>
      </w:r>
      <w:r w:rsidR="007F67E5" w:rsidRPr="002D0A15">
        <w:rPr>
          <w:rFonts w:ascii="Arial" w:hAnsi="Arial" w:cs="Arial"/>
          <w:color w:val="000000" w:themeColor="text1"/>
          <w:sz w:val="24"/>
          <w:szCs w:val="24"/>
        </w:rPr>
        <w:t xml:space="preserve"> admit</w:t>
      </w:r>
      <w:r w:rsidR="00413D5D" w:rsidRPr="002D0A15">
        <w:rPr>
          <w:rFonts w:ascii="Arial" w:hAnsi="Arial" w:cs="Arial"/>
          <w:color w:val="000000" w:themeColor="text1"/>
          <w:sz w:val="24"/>
          <w:szCs w:val="24"/>
        </w:rPr>
        <w:t>ted</w:t>
      </w:r>
      <w:r w:rsidR="007F67E5" w:rsidRPr="002D0A15">
        <w:rPr>
          <w:rFonts w:ascii="Arial" w:hAnsi="Arial" w:cs="Arial"/>
          <w:color w:val="000000" w:themeColor="text1"/>
          <w:sz w:val="24"/>
          <w:szCs w:val="24"/>
        </w:rPr>
        <w:t xml:space="preserve"> that</w:t>
      </w:r>
      <w:r w:rsidR="00896245" w:rsidRPr="002D0A15">
        <w:rPr>
          <w:rFonts w:ascii="Arial" w:hAnsi="Arial" w:cs="Arial"/>
          <w:color w:val="000000" w:themeColor="text1"/>
          <w:sz w:val="24"/>
          <w:szCs w:val="24"/>
        </w:rPr>
        <w:t>,</w:t>
      </w:r>
      <w:r w:rsidR="007F67E5" w:rsidRPr="002D0A15">
        <w:rPr>
          <w:rFonts w:ascii="Arial" w:hAnsi="Arial" w:cs="Arial"/>
          <w:color w:val="000000" w:themeColor="text1"/>
          <w:sz w:val="24"/>
          <w:szCs w:val="24"/>
        </w:rPr>
        <w:t xml:space="preserve"> had the </w:t>
      </w:r>
      <w:r w:rsidR="00566C8A" w:rsidRPr="002D0A15">
        <w:rPr>
          <w:rFonts w:ascii="Arial" w:hAnsi="Arial" w:cs="Arial"/>
          <w:color w:val="000000" w:themeColor="text1"/>
          <w:sz w:val="24"/>
          <w:szCs w:val="24"/>
        </w:rPr>
        <w:t>Applicant</w:t>
      </w:r>
      <w:r w:rsidR="007F67E5" w:rsidRPr="002D0A15">
        <w:rPr>
          <w:rFonts w:ascii="Arial" w:hAnsi="Arial" w:cs="Arial"/>
          <w:color w:val="000000" w:themeColor="text1"/>
          <w:sz w:val="24"/>
          <w:szCs w:val="24"/>
        </w:rPr>
        <w:t xml:space="preserve"> not made specific reference to Section 25 and merely termed this </w:t>
      </w:r>
      <w:r w:rsidR="00896245" w:rsidRPr="002D0A15">
        <w:rPr>
          <w:rFonts w:ascii="Arial" w:hAnsi="Arial" w:cs="Arial"/>
          <w:color w:val="000000" w:themeColor="text1"/>
          <w:sz w:val="24"/>
          <w:szCs w:val="24"/>
        </w:rPr>
        <w:t>application “</w:t>
      </w:r>
      <w:r w:rsidR="007F67E5" w:rsidRPr="002D0A15">
        <w:rPr>
          <w:rFonts w:ascii="Arial" w:hAnsi="Arial" w:cs="Arial"/>
          <w:color w:val="000000" w:themeColor="text1"/>
          <w:sz w:val="24"/>
          <w:szCs w:val="24"/>
        </w:rPr>
        <w:t xml:space="preserve">an application in terms of </w:t>
      </w:r>
      <w:r w:rsidR="00F7325C" w:rsidRPr="002D0A15">
        <w:rPr>
          <w:rFonts w:ascii="Arial" w:hAnsi="Arial" w:cs="Arial"/>
          <w:color w:val="000000" w:themeColor="text1"/>
          <w:sz w:val="24"/>
          <w:szCs w:val="24"/>
        </w:rPr>
        <w:t>PAIA,</w:t>
      </w:r>
      <w:r w:rsidR="00896245" w:rsidRPr="002D0A15">
        <w:rPr>
          <w:rFonts w:ascii="Arial" w:hAnsi="Arial" w:cs="Arial"/>
          <w:color w:val="000000" w:themeColor="text1"/>
          <w:sz w:val="24"/>
          <w:szCs w:val="24"/>
        </w:rPr>
        <w:t>“</w:t>
      </w:r>
      <w:r w:rsidR="00B21DC2" w:rsidRPr="002D0A15">
        <w:rPr>
          <w:rFonts w:ascii="Arial" w:hAnsi="Arial" w:cs="Arial"/>
          <w:color w:val="000000" w:themeColor="text1"/>
          <w:sz w:val="24"/>
          <w:szCs w:val="24"/>
        </w:rPr>
        <w:t xml:space="preserve"> </w:t>
      </w:r>
      <w:r w:rsidR="007F67E5" w:rsidRPr="002D0A15">
        <w:rPr>
          <w:rFonts w:ascii="Arial" w:hAnsi="Arial" w:cs="Arial"/>
          <w:color w:val="000000" w:themeColor="text1"/>
          <w:sz w:val="24"/>
          <w:szCs w:val="24"/>
        </w:rPr>
        <w:t>the</w:t>
      </w:r>
      <w:r w:rsidR="008A5FA9" w:rsidRPr="002D0A15">
        <w:rPr>
          <w:rFonts w:ascii="Arial" w:hAnsi="Arial" w:cs="Arial"/>
          <w:color w:val="000000" w:themeColor="text1"/>
          <w:sz w:val="24"/>
          <w:szCs w:val="24"/>
        </w:rPr>
        <w:t>re would not have been a challenge to the competency of the application and relief sought under PAIA.</w:t>
      </w:r>
      <w:r w:rsidR="00DD2BA7" w:rsidRPr="002D0A15">
        <w:rPr>
          <w:rFonts w:ascii="Arial" w:hAnsi="Arial" w:cs="Arial"/>
          <w:color w:val="000000" w:themeColor="text1"/>
          <w:sz w:val="24"/>
          <w:szCs w:val="24"/>
        </w:rPr>
        <w:t xml:space="preserve"> </w:t>
      </w:r>
      <w:r w:rsidR="00C97E63" w:rsidRPr="002D0A15">
        <w:rPr>
          <w:rFonts w:ascii="Arial" w:hAnsi="Arial" w:cs="Arial"/>
          <w:color w:val="000000" w:themeColor="text1"/>
          <w:sz w:val="24"/>
          <w:szCs w:val="24"/>
        </w:rPr>
        <w:t>This is illustrative of how overly technical this challenge was.</w:t>
      </w:r>
    </w:p>
    <w:p w14:paraId="348D480F" w14:textId="40EE2D91" w:rsidR="00C23EBA"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28)</w:t>
      </w:r>
      <w:r w:rsidRPr="00B0760E">
        <w:rPr>
          <w:rFonts w:ascii="Arial" w:hAnsi="Arial" w:cs="Arial"/>
          <w:color w:val="000000" w:themeColor="text1"/>
          <w:sz w:val="24"/>
          <w:szCs w:val="24"/>
        </w:rPr>
        <w:tab/>
      </w:r>
      <w:r w:rsidR="00C23EBA" w:rsidRPr="002D0A15">
        <w:rPr>
          <w:rFonts w:ascii="Arial" w:hAnsi="Arial" w:cs="Arial"/>
          <w:color w:val="000000" w:themeColor="text1"/>
          <w:sz w:val="24"/>
          <w:szCs w:val="24"/>
        </w:rPr>
        <w:t>I</w:t>
      </w:r>
      <w:r w:rsidR="00410F6E" w:rsidRPr="002D0A15">
        <w:rPr>
          <w:rFonts w:ascii="Arial" w:hAnsi="Arial" w:cs="Arial"/>
          <w:color w:val="000000" w:themeColor="text1"/>
          <w:sz w:val="24"/>
          <w:szCs w:val="24"/>
        </w:rPr>
        <w:t>t is</w:t>
      </w:r>
      <w:r w:rsidR="00C23EBA" w:rsidRPr="002D0A15">
        <w:rPr>
          <w:rFonts w:ascii="Arial" w:hAnsi="Arial" w:cs="Arial"/>
          <w:color w:val="000000" w:themeColor="text1"/>
          <w:sz w:val="24"/>
          <w:szCs w:val="24"/>
        </w:rPr>
        <w:t xml:space="preserve"> accordingly h</w:t>
      </w:r>
      <w:r w:rsidR="00410F6E" w:rsidRPr="002D0A15">
        <w:rPr>
          <w:rFonts w:ascii="Arial" w:hAnsi="Arial" w:cs="Arial"/>
          <w:color w:val="000000" w:themeColor="text1"/>
          <w:sz w:val="24"/>
          <w:szCs w:val="24"/>
        </w:rPr>
        <w:t>e</w:t>
      </w:r>
      <w:r w:rsidR="00C23EBA" w:rsidRPr="002D0A15">
        <w:rPr>
          <w:rFonts w:ascii="Arial" w:hAnsi="Arial" w:cs="Arial"/>
          <w:color w:val="000000" w:themeColor="text1"/>
          <w:sz w:val="24"/>
          <w:szCs w:val="24"/>
        </w:rPr>
        <w:t xml:space="preserve">ld that the application </w:t>
      </w:r>
      <w:r w:rsidR="00EB19D2" w:rsidRPr="002D0A15">
        <w:rPr>
          <w:rFonts w:ascii="Arial" w:hAnsi="Arial" w:cs="Arial"/>
          <w:color w:val="000000" w:themeColor="text1"/>
          <w:sz w:val="24"/>
          <w:szCs w:val="24"/>
        </w:rPr>
        <w:t>brought</w:t>
      </w:r>
      <w:r w:rsidR="0066565C" w:rsidRPr="002D0A15">
        <w:rPr>
          <w:rFonts w:ascii="Arial" w:hAnsi="Arial" w:cs="Arial"/>
          <w:color w:val="000000" w:themeColor="text1"/>
          <w:sz w:val="24"/>
          <w:szCs w:val="24"/>
        </w:rPr>
        <w:t xml:space="preserve"> (insofar as it is an application for access to records)</w:t>
      </w:r>
      <w:r w:rsidR="00D56993" w:rsidRPr="002D0A15">
        <w:rPr>
          <w:rFonts w:ascii="Arial" w:hAnsi="Arial" w:cs="Arial"/>
          <w:color w:val="000000" w:themeColor="text1"/>
          <w:sz w:val="24"/>
          <w:szCs w:val="24"/>
        </w:rPr>
        <w:t>,</w:t>
      </w:r>
      <w:r w:rsidR="00C23EBA" w:rsidRPr="002D0A15">
        <w:rPr>
          <w:rFonts w:ascii="Arial" w:hAnsi="Arial" w:cs="Arial"/>
          <w:color w:val="000000" w:themeColor="text1"/>
          <w:sz w:val="24"/>
          <w:szCs w:val="24"/>
        </w:rPr>
        <w:t xml:space="preserve"> in terms of PAIA</w:t>
      </w:r>
      <w:r w:rsidR="00D56993" w:rsidRPr="002D0A15">
        <w:rPr>
          <w:rFonts w:ascii="Arial" w:hAnsi="Arial" w:cs="Arial"/>
          <w:color w:val="000000" w:themeColor="text1"/>
          <w:sz w:val="24"/>
          <w:szCs w:val="24"/>
        </w:rPr>
        <w:t>,</w:t>
      </w:r>
      <w:r w:rsidR="00C23EBA" w:rsidRPr="002D0A15">
        <w:rPr>
          <w:rFonts w:ascii="Arial" w:hAnsi="Arial" w:cs="Arial"/>
          <w:color w:val="000000" w:themeColor="text1"/>
          <w:sz w:val="24"/>
          <w:szCs w:val="24"/>
        </w:rPr>
        <w:t xml:space="preserve"> is competently before this </w:t>
      </w:r>
      <w:r w:rsidR="00566C8A" w:rsidRPr="002D0A15">
        <w:rPr>
          <w:rFonts w:ascii="Arial" w:hAnsi="Arial" w:cs="Arial"/>
          <w:color w:val="000000" w:themeColor="text1"/>
          <w:sz w:val="24"/>
          <w:szCs w:val="24"/>
        </w:rPr>
        <w:t>Court</w:t>
      </w:r>
      <w:r w:rsidR="00C23EBA" w:rsidRPr="002D0A15">
        <w:rPr>
          <w:rFonts w:ascii="Arial" w:hAnsi="Arial" w:cs="Arial"/>
          <w:color w:val="000000" w:themeColor="text1"/>
          <w:sz w:val="24"/>
          <w:szCs w:val="24"/>
        </w:rPr>
        <w:t>.</w:t>
      </w:r>
    </w:p>
    <w:p w14:paraId="03A62594" w14:textId="3FDCEBA2" w:rsidR="00681D1A" w:rsidRPr="002D0A15" w:rsidRDefault="002D0A15" w:rsidP="002D0A15">
      <w:pPr>
        <w:tabs>
          <w:tab w:val="right" w:pos="8208"/>
        </w:tabs>
        <w:spacing w:before="120" w:line="360" w:lineRule="auto"/>
        <w:ind w:left="426" w:hanging="426"/>
        <w:jc w:val="both"/>
        <w:rPr>
          <w:rFonts w:ascii="Arial" w:hAnsi="Arial" w:cs="Arial"/>
          <w:b/>
          <w:bCs/>
          <w:color w:val="000000" w:themeColor="text1"/>
          <w:sz w:val="24"/>
          <w:szCs w:val="24"/>
        </w:rPr>
      </w:pPr>
      <w:r w:rsidRPr="00B0760E">
        <w:rPr>
          <w:rFonts w:ascii="Arial" w:hAnsi="Arial" w:cs="Arial"/>
          <w:color w:val="000000" w:themeColor="text1"/>
          <w:sz w:val="24"/>
          <w:szCs w:val="24"/>
        </w:rPr>
        <w:t>29)</w:t>
      </w:r>
      <w:r w:rsidRPr="00B0760E">
        <w:rPr>
          <w:rFonts w:ascii="Arial" w:hAnsi="Arial" w:cs="Arial"/>
          <w:color w:val="000000" w:themeColor="text1"/>
          <w:sz w:val="24"/>
          <w:szCs w:val="24"/>
        </w:rPr>
        <w:tab/>
      </w:r>
      <w:r w:rsidR="00C23EBA" w:rsidRPr="002D0A15">
        <w:rPr>
          <w:rFonts w:ascii="Arial" w:hAnsi="Arial" w:cs="Arial"/>
          <w:color w:val="000000" w:themeColor="text1"/>
          <w:sz w:val="24"/>
          <w:szCs w:val="24"/>
        </w:rPr>
        <w:t xml:space="preserve">Although </w:t>
      </w:r>
      <w:r w:rsidR="00CD4CD4" w:rsidRPr="002D0A15">
        <w:rPr>
          <w:rFonts w:ascii="Arial" w:hAnsi="Arial" w:cs="Arial"/>
          <w:color w:val="000000" w:themeColor="text1"/>
          <w:sz w:val="24"/>
          <w:szCs w:val="24"/>
        </w:rPr>
        <w:t>this finding renders the argument</w:t>
      </w:r>
      <w:r w:rsidR="00056C71" w:rsidRPr="002D0A15">
        <w:rPr>
          <w:rFonts w:ascii="Arial" w:hAnsi="Arial" w:cs="Arial"/>
          <w:color w:val="000000" w:themeColor="text1"/>
          <w:sz w:val="24"/>
          <w:szCs w:val="24"/>
        </w:rPr>
        <w:t>,</w:t>
      </w:r>
      <w:r w:rsidR="0002745F" w:rsidRPr="002D0A15">
        <w:rPr>
          <w:rFonts w:ascii="Arial" w:hAnsi="Arial" w:cs="Arial"/>
          <w:color w:val="000000" w:themeColor="text1"/>
          <w:sz w:val="24"/>
          <w:szCs w:val="24"/>
        </w:rPr>
        <w:t xml:space="preserve"> on the applicability of the principle of legality in the context of PAIA applications</w:t>
      </w:r>
      <w:r w:rsidR="00056C71" w:rsidRPr="002D0A15">
        <w:rPr>
          <w:rFonts w:ascii="Arial" w:hAnsi="Arial" w:cs="Arial"/>
          <w:color w:val="000000" w:themeColor="text1"/>
          <w:sz w:val="24"/>
          <w:szCs w:val="24"/>
        </w:rPr>
        <w:t>,</w:t>
      </w:r>
      <w:r w:rsidR="00CD4CD4" w:rsidRPr="002D0A15">
        <w:rPr>
          <w:rFonts w:ascii="Arial" w:hAnsi="Arial" w:cs="Arial"/>
          <w:color w:val="000000" w:themeColor="text1"/>
          <w:sz w:val="24"/>
          <w:szCs w:val="24"/>
        </w:rPr>
        <w:t xml:space="preserve"> moot</w:t>
      </w:r>
      <w:r w:rsidR="003F1C27" w:rsidRPr="002D0A15">
        <w:rPr>
          <w:rFonts w:ascii="Arial" w:hAnsi="Arial" w:cs="Arial"/>
          <w:color w:val="000000" w:themeColor="text1"/>
          <w:sz w:val="24"/>
          <w:szCs w:val="24"/>
        </w:rPr>
        <w:t xml:space="preserve"> for purposes of the</w:t>
      </w:r>
      <w:r w:rsidR="000478CB" w:rsidRPr="002D0A15">
        <w:rPr>
          <w:rFonts w:ascii="Arial" w:hAnsi="Arial" w:cs="Arial"/>
          <w:color w:val="000000" w:themeColor="text1"/>
          <w:sz w:val="24"/>
          <w:szCs w:val="24"/>
        </w:rPr>
        <w:t xml:space="preserve"> preliminary</w:t>
      </w:r>
      <w:r w:rsidR="003F1C27" w:rsidRPr="002D0A15">
        <w:rPr>
          <w:rFonts w:ascii="Arial" w:hAnsi="Arial" w:cs="Arial"/>
          <w:color w:val="000000" w:themeColor="text1"/>
          <w:sz w:val="24"/>
          <w:szCs w:val="24"/>
        </w:rPr>
        <w:t xml:space="preserve"> challenge</w:t>
      </w:r>
      <w:r w:rsidR="00CD4CD4" w:rsidRPr="002D0A15">
        <w:rPr>
          <w:rFonts w:ascii="Arial" w:hAnsi="Arial" w:cs="Arial"/>
          <w:color w:val="000000" w:themeColor="text1"/>
          <w:sz w:val="24"/>
          <w:szCs w:val="24"/>
        </w:rPr>
        <w:t>,</w:t>
      </w:r>
      <w:r w:rsidR="008C4089" w:rsidRPr="002D0A15">
        <w:rPr>
          <w:rFonts w:ascii="Arial" w:hAnsi="Arial" w:cs="Arial"/>
          <w:color w:val="000000" w:themeColor="text1"/>
          <w:sz w:val="24"/>
          <w:szCs w:val="24"/>
        </w:rPr>
        <w:t xml:space="preserve"> </w:t>
      </w:r>
      <w:r w:rsidR="00056C71" w:rsidRPr="002D0A15">
        <w:rPr>
          <w:rFonts w:ascii="Arial" w:hAnsi="Arial" w:cs="Arial"/>
          <w:color w:val="000000" w:themeColor="text1"/>
          <w:sz w:val="24"/>
          <w:szCs w:val="24"/>
        </w:rPr>
        <w:t xml:space="preserve">it </w:t>
      </w:r>
      <w:r w:rsidR="003F1C27" w:rsidRPr="002D0A15">
        <w:rPr>
          <w:rFonts w:ascii="Arial" w:hAnsi="Arial" w:cs="Arial"/>
          <w:color w:val="000000" w:themeColor="text1"/>
          <w:sz w:val="24"/>
          <w:szCs w:val="24"/>
        </w:rPr>
        <w:t>also</w:t>
      </w:r>
      <w:r w:rsidR="00723F17" w:rsidRPr="002D0A15">
        <w:rPr>
          <w:rFonts w:ascii="Arial" w:hAnsi="Arial" w:cs="Arial"/>
          <w:color w:val="000000" w:themeColor="text1"/>
          <w:sz w:val="24"/>
          <w:szCs w:val="24"/>
        </w:rPr>
        <w:t xml:space="preserve"> </w:t>
      </w:r>
      <w:r w:rsidR="00AB572F" w:rsidRPr="002D0A15">
        <w:rPr>
          <w:rFonts w:ascii="Arial" w:hAnsi="Arial" w:cs="Arial"/>
          <w:color w:val="000000" w:themeColor="text1"/>
          <w:sz w:val="24"/>
          <w:szCs w:val="24"/>
        </w:rPr>
        <w:t>underscored</w:t>
      </w:r>
      <w:r w:rsidR="00723F17" w:rsidRPr="002D0A15">
        <w:rPr>
          <w:rFonts w:ascii="Arial" w:hAnsi="Arial" w:cs="Arial"/>
          <w:color w:val="000000" w:themeColor="text1"/>
          <w:sz w:val="24"/>
          <w:szCs w:val="24"/>
        </w:rPr>
        <w:t xml:space="preserve"> a large portion of the </w:t>
      </w:r>
      <w:r w:rsidR="00AB572F" w:rsidRPr="002D0A15">
        <w:rPr>
          <w:rFonts w:ascii="Arial" w:hAnsi="Arial" w:cs="Arial"/>
          <w:color w:val="000000" w:themeColor="text1"/>
          <w:sz w:val="24"/>
          <w:szCs w:val="24"/>
        </w:rPr>
        <w:t xml:space="preserve">Respondent’s </w:t>
      </w:r>
      <w:r w:rsidR="00723F17" w:rsidRPr="002D0A15">
        <w:rPr>
          <w:rFonts w:ascii="Arial" w:hAnsi="Arial" w:cs="Arial"/>
          <w:color w:val="000000" w:themeColor="text1"/>
          <w:sz w:val="24"/>
          <w:szCs w:val="24"/>
        </w:rPr>
        <w:t>argument on the merits of the application and therefore</w:t>
      </w:r>
      <w:r w:rsidR="008C4089" w:rsidRPr="002D0A15">
        <w:rPr>
          <w:rFonts w:ascii="Arial" w:hAnsi="Arial" w:cs="Arial"/>
          <w:color w:val="000000" w:themeColor="text1"/>
          <w:sz w:val="24"/>
          <w:szCs w:val="24"/>
        </w:rPr>
        <w:t xml:space="preserve"> </w:t>
      </w:r>
      <w:r w:rsidR="002C66E4" w:rsidRPr="002D0A15">
        <w:rPr>
          <w:rFonts w:ascii="Arial" w:hAnsi="Arial" w:cs="Arial"/>
          <w:color w:val="000000" w:themeColor="text1"/>
          <w:sz w:val="24"/>
          <w:szCs w:val="24"/>
        </w:rPr>
        <w:t>necessitates</w:t>
      </w:r>
      <w:r w:rsidR="001F61F8" w:rsidRPr="002D0A15">
        <w:rPr>
          <w:rFonts w:ascii="Arial" w:hAnsi="Arial" w:cs="Arial"/>
          <w:color w:val="000000" w:themeColor="text1"/>
          <w:sz w:val="24"/>
          <w:szCs w:val="24"/>
        </w:rPr>
        <w:t xml:space="preserve"> </w:t>
      </w:r>
      <w:r w:rsidR="008B103D" w:rsidRPr="002D0A15">
        <w:rPr>
          <w:rFonts w:ascii="Arial" w:hAnsi="Arial" w:cs="Arial"/>
          <w:color w:val="000000" w:themeColor="text1"/>
          <w:sz w:val="24"/>
          <w:szCs w:val="24"/>
        </w:rPr>
        <w:t>comment</w:t>
      </w:r>
      <w:r w:rsidR="00C23EBA" w:rsidRPr="002D0A15">
        <w:rPr>
          <w:rFonts w:ascii="Arial" w:hAnsi="Arial" w:cs="Arial"/>
          <w:b/>
          <w:bCs/>
          <w:color w:val="000000" w:themeColor="text1"/>
          <w:sz w:val="24"/>
          <w:szCs w:val="24"/>
        </w:rPr>
        <w:t>.</w:t>
      </w:r>
    </w:p>
    <w:p w14:paraId="77791090" w14:textId="017FA60D" w:rsidR="007A0F30"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30)</w:t>
      </w:r>
      <w:r w:rsidRPr="00B0760E">
        <w:rPr>
          <w:rFonts w:ascii="Arial" w:hAnsi="Arial" w:cs="Arial"/>
          <w:color w:val="000000" w:themeColor="text1"/>
          <w:sz w:val="24"/>
          <w:szCs w:val="24"/>
        </w:rPr>
        <w:tab/>
      </w:r>
      <w:r w:rsidR="00D261D3" w:rsidRPr="002D0A15">
        <w:rPr>
          <w:rFonts w:ascii="Arial" w:hAnsi="Arial" w:cs="Arial"/>
          <w:color w:val="000000" w:themeColor="text1"/>
          <w:sz w:val="24"/>
          <w:szCs w:val="24"/>
        </w:rPr>
        <w:t xml:space="preserve">The doctrine of subsidiarity, as recognised </w:t>
      </w:r>
      <w:r w:rsidR="006158A3" w:rsidRPr="002D0A15">
        <w:rPr>
          <w:rFonts w:ascii="Arial" w:hAnsi="Arial" w:cs="Arial"/>
          <w:color w:val="000000" w:themeColor="text1"/>
          <w:sz w:val="24"/>
          <w:szCs w:val="24"/>
        </w:rPr>
        <w:t xml:space="preserve">in, for instance, </w:t>
      </w:r>
      <w:r w:rsidR="00095AB8" w:rsidRPr="002D0A15">
        <w:rPr>
          <w:rFonts w:ascii="Arial" w:hAnsi="Arial" w:cs="Arial"/>
          <w:i/>
          <w:iCs/>
          <w:color w:val="000000" w:themeColor="text1"/>
          <w:sz w:val="24"/>
          <w:szCs w:val="24"/>
        </w:rPr>
        <w:t>Bato Star</w:t>
      </w:r>
      <w:r w:rsidR="003E01D0" w:rsidRPr="00B0760E">
        <w:rPr>
          <w:rStyle w:val="FootnoteReference"/>
          <w:rFonts w:ascii="Arial" w:hAnsi="Arial" w:cs="Arial"/>
          <w:color w:val="000000" w:themeColor="text1"/>
          <w:sz w:val="24"/>
          <w:szCs w:val="24"/>
        </w:rPr>
        <w:footnoteReference w:id="7"/>
      </w:r>
      <w:r w:rsidR="00095AB8" w:rsidRPr="002D0A15">
        <w:rPr>
          <w:rFonts w:ascii="Arial" w:hAnsi="Arial" w:cs="Arial"/>
          <w:color w:val="000000" w:themeColor="text1"/>
          <w:sz w:val="24"/>
          <w:szCs w:val="24"/>
        </w:rPr>
        <w:t xml:space="preserve">, prohibits a litigant from indirectly enforcing and protecting a </w:t>
      </w:r>
      <w:r w:rsidR="0090753B" w:rsidRPr="002D0A15">
        <w:rPr>
          <w:rFonts w:ascii="Arial" w:hAnsi="Arial" w:cs="Arial"/>
          <w:color w:val="000000" w:themeColor="text1"/>
          <w:sz w:val="24"/>
          <w:szCs w:val="24"/>
        </w:rPr>
        <w:t>Constitution</w:t>
      </w:r>
      <w:r w:rsidR="00095AB8" w:rsidRPr="002D0A15">
        <w:rPr>
          <w:rFonts w:ascii="Arial" w:hAnsi="Arial" w:cs="Arial"/>
          <w:color w:val="000000" w:themeColor="text1"/>
          <w:sz w:val="24"/>
          <w:szCs w:val="24"/>
        </w:rPr>
        <w:t>al right against infringement by means of the common law where</w:t>
      </w:r>
      <w:r w:rsidR="00CA74FA" w:rsidRPr="002D0A15">
        <w:rPr>
          <w:rFonts w:ascii="Arial" w:hAnsi="Arial" w:cs="Arial"/>
          <w:color w:val="000000" w:themeColor="text1"/>
          <w:sz w:val="24"/>
          <w:szCs w:val="24"/>
        </w:rPr>
        <w:t xml:space="preserve"> there is</w:t>
      </w:r>
      <w:r w:rsidR="00095AB8" w:rsidRPr="002D0A15">
        <w:rPr>
          <w:rFonts w:ascii="Arial" w:hAnsi="Arial" w:cs="Arial"/>
          <w:color w:val="000000" w:themeColor="text1"/>
          <w:sz w:val="24"/>
          <w:szCs w:val="24"/>
        </w:rPr>
        <w:t xml:space="preserve"> legislation</w:t>
      </w:r>
      <w:r w:rsidR="00B53679" w:rsidRPr="002D0A15">
        <w:rPr>
          <w:rFonts w:ascii="Arial" w:hAnsi="Arial" w:cs="Arial"/>
          <w:color w:val="000000" w:themeColor="text1"/>
          <w:sz w:val="24"/>
          <w:szCs w:val="24"/>
        </w:rPr>
        <w:t xml:space="preserve"> in place that </w:t>
      </w:r>
      <w:r w:rsidR="00095AB8" w:rsidRPr="002D0A15">
        <w:rPr>
          <w:rFonts w:ascii="Arial" w:hAnsi="Arial" w:cs="Arial"/>
          <w:color w:val="000000" w:themeColor="text1"/>
          <w:sz w:val="24"/>
          <w:szCs w:val="24"/>
        </w:rPr>
        <w:t>gives effect to the right in question</w:t>
      </w:r>
      <w:r w:rsidR="00B53679" w:rsidRPr="002D0A15">
        <w:rPr>
          <w:rFonts w:ascii="Arial" w:hAnsi="Arial" w:cs="Arial"/>
          <w:color w:val="000000" w:themeColor="text1"/>
          <w:sz w:val="24"/>
          <w:szCs w:val="24"/>
        </w:rPr>
        <w:t xml:space="preserve">. </w:t>
      </w:r>
      <w:r w:rsidR="007737E9" w:rsidRPr="002D0A15">
        <w:rPr>
          <w:rFonts w:ascii="Arial" w:hAnsi="Arial" w:cs="Arial"/>
          <w:color w:val="000000" w:themeColor="text1"/>
          <w:sz w:val="24"/>
          <w:szCs w:val="24"/>
        </w:rPr>
        <w:t xml:space="preserve">It is only where the legislation does not give effect to the right </w:t>
      </w:r>
      <w:r w:rsidR="00C81877" w:rsidRPr="002D0A15">
        <w:rPr>
          <w:rFonts w:ascii="Arial" w:hAnsi="Arial" w:cs="Arial"/>
          <w:color w:val="000000" w:themeColor="text1"/>
          <w:sz w:val="24"/>
          <w:szCs w:val="24"/>
        </w:rPr>
        <w:t xml:space="preserve">or makes no </w:t>
      </w:r>
      <w:r w:rsidR="00C81877" w:rsidRPr="002D0A15">
        <w:rPr>
          <w:rFonts w:ascii="Arial" w:hAnsi="Arial" w:cs="Arial"/>
          <w:color w:val="000000" w:themeColor="text1"/>
          <w:sz w:val="24"/>
          <w:szCs w:val="24"/>
        </w:rPr>
        <w:lastRenderedPageBreak/>
        <w:t>provision for it, that the common law (</w:t>
      </w:r>
      <w:r w:rsidR="00591FBA" w:rsidRPr="002D0A15">
        <w:rPr>
          <w:rFonts w:ascii="Arial" w:hAnsi="Arial" w:cs="Arial"/>
          <w:color w:val="000000" w:themeColor="text1"/>
          <w:sz w:val="24"/>
          <w:szCs w:val="24"/>
        </w:rPr>
        <w:t xml:space="preserve">in the case of administrative action - </w:t>
      </w:r>
      <w:r w:rsidR="00C81877" w:rsidRPr="002D0A15">
        <w:rPr>
          <w:rFonts w:ascii="Arial" w:hAnsi="Arial" w:cs="Arial"/>
          <w:color w:val="000000" w:themeColor="text1"/>
          <w:sz w:val="24"/>
          <w:szCs w:val="24"/>
        </w:rPr>
        <w:t xml:space="preserve">the doctrine of legality) may be invoked. </w:t>
      </w:r>
      <w:r w:rsidR="00591FBA" w:rsidRPr="002D0A15">
        <w:rPr>
          <w:rFonts w:ascii="Arial" w:eastAsiaTheme="minorHAnsi" w:hAnsi="Arial" w:cs="Arial"/>
          <w:color w:val="000000" w:themeColor="text1"/>
          <w:sz w:val="24"/>
          <w:szCs w:val="24"/>
          <w:lang w:eastAsia="en-US"/>
          <w14:ligatures w14:val="standardContextual"/>
        </w:rPr>
        <w:t>To</w:t>
      </w:r>
      <w:r w:rsidR="004C2593" w:rsidRPr="002D0A15">
        <w:rPr>
          <w:rFonts w:ascii="Arial" w:eastAsiaTheme="minorHAnsi" w:hAnsi="Arial" w:cs="Arial"/>
          <w:color w:val="000000" w:themeColor="text1"/>
          <w:sz w:val="24"/>
          <w:szCs w:val="24"/>
          <w:lang w:eastAsia="en-US"/>
          <w14:ligatures w14:val="standardContextual"/>
        </w:rPr>
        <w:t xml:space="preserve"> hold otherwise would be contrary to the notion of a single system of law as endorsed by the </w:t>
      </w:r>
      <w:r w:rsidR="0090753B" w:rsidRPr="002D0A15">
        <w:rPr>
          <w:rFonts w:ascii="Arial" w:eastAsiaTheme="minorHAnsi" w:hAnsi="Arial" w:cs="Arial"/>
          <w:color w:val="000000" w:themeColor="text1"/>
          <w:sz w:val="24"/>
          <w:szCs w:val="24"/>
          <w:lang w:eastAsia="en-US"/>
          <w14:ligatures w14:val="standardContextual"/>
        </w:rPr>
        <w:t>Constitution</w:t>
      </w:r>
      <w:r w:rsidR="004C2593" w:rsidRPr="002D0A15">
        <w:rPr>
          <w:rFonts w:ascii="Arial" w:eastAsiaTheme="minorHAnsi" w:hAnsi="Arial" w:cs="Arial"/>
          <w:color w:val="000000" w:themeColor="text1"/>
          <w:sz w:val="24"/>
          <w:szCs w:val="24"/>
          <w:lang w:eastAsia="en-US"/>
          <w14:ligatures w14:val="standardContextual"/>
        </w:rPr>
        <w:t xml:space="preserve">al </w:t>
      </w:r>
      <w:r w:rsidR="00566C8A" w:rsidRPr="002D0A15">
        <w:rPr>
          <w:rFonts w:ascii="Arial" w:eastAsiaTheme="minorHAnsi" w:hAnsi="Arial" w:cs="Arial"/>
          <w:color w:val="000000" w:themeColor="text1"/>
          <w:sz w:val="24"/>
          <w:szCs w:val="24"/>
          <w:lang w:eastAsia="en-US"/>
          <w14:ligatures w14:val="standardContextual"/>
        </w:rPr>
        <w:t>Court</w:t>
      </w:r>
      <w:r w:rsidR="004C2593" w:rsidRPr="002D0A15">
        <w:rPr>
          <w:rFonts w:ascii="Arial" w:eastAsiaTheme="minorHAnsi" w:hAnsi="Arial" w:cs="Arial"/>
          <w:color w:val="000000" w:themeColor="text1"/>
          <w:sz w:val="24"/>
          <w:szCs w:val="24"/>
          <w:lang w:eastAsia="en-US"/>
          <w14:ligatures w14:val="standardContextual"/>
        </w:rPr>
        <w:t xml:space="preserve"> in </w:t>
      </w:r>
      <w:r w:rsidR="004C2593" w:rsidRPr="002D0A15">
        <w:rPr>
          <w:rFonts w:ascii="Arial" w:eastAsiaTheme="minorHAnsi" w:hAnsi="Arial" w:cs="Arial"/>
          <w:i/>
          <w:iCs/>
          <w:color w:val="000000" w:themeColor="text1"/>
          <w:sz w:val="24"/>
          <w:szCs w:val="24"/>
          <w:lang w:eastAsia="en-US"/>
          <w14:ligatures w14:val="standardContextual"/>
        </w:rPr>
        <w:t>Pharmaceutical Manufacturers.</w:t>
      </w:r>
      <w:r w:rsidR="00A612C6" w:rsidRPr="00B0760E">
        <w:rPr>
          <w:rStyle w:val="FootnoteReference"/>
          <w:rFonts w:ascii="Arial" w:eastAsiaTheme="minorHAnsi" w:hAnsi="Arial" w:cs="Arial"/>
          <w:i/>
          <w:iCs/>
          <w:color w:val="000000" w:themeColor="text1"/>
          <w:sz w:val="24"/>
          <w:szCs w:val="24"/>
          <w:lang w:eastAsia="en-US"/>
          <w14:ligatures w14:val="standardContextual"/>
        </w:rPr>
        <w:footnoteReference w:id="8"/>
      </w:r>
    </w:p>
    <w:p w14:paraId="685475E5" w14:textId="7561AA44" w:rsidR="0098512F" w:rsidRPr="002D0A15" w:rsidRDefault="002D0A15" w:rsidP="002D0A15">
      <w:pPr>
        <w:tabs>
          <w:tab w:val="right" w:pos="8208"/>
        </w:tabs>
        <w:spacing w:before="120" w:line="360" w:lineRule="auto"/>
        <w:ind w:left="426" w:hanging="426"/>
        <w:jc w:val="both"/>
        <w:rPr>
          <w:rFonts w:ascii="Arial" w:hAnsi="Arial" w:cs="Arial"/>
          <w:b/>
          <w:bCs/>
          <w:color w:val="000000" w:themeColor="text1"/>
          <w:sz w:val="24"/>
          <w:szCs w:val="24"/>
        </w:rPr>
      </w:pPr>
      <w:r w:rsidRPr="00B0760E">
        <w:rPr>
          <w:rFonts w:ascii="Arial" w:hAnsi="Arial" w:cs="Arial"/>
          <w:color w:val="000000" w:themeColor="text1"/>
          <w:sz w:val="24"/>
          <w:szCs w:val="24"/>
        </w:rPr>
        <w:t>31)</w:t>
      </w:r>
      <w:r w:rsidRPr="00B0760E">
        <w:rPr>
          <w:rFonts w:ascii="Arial" w:hAnsi="Arial" w:cs="Arial"/>
          <w:color w:val="000000" w:themeColor="text1"/>
          <w:sz w:val="24"/>
          <w:szCs w:val="24"/>
        </w:rPr>
        <w:tab/>
      </w:r>
      <w:r w:rsidR="0098512F" w:rsidRPr="002D0A15">
        <w:rPr>
          <w:rFonts w:ascii="Arial" w:eastAsiaTheme="minorHAnsi" w:hAnsi="Arial" w:cs="Arial"/>
          <w:color w:val="000000" w:themeColor="text1"/>
          <w:sz w:val="24"/>
          <w:szCs w:val="24"/>
          <w:lang w:eastAsia="en-US"/>
          <w14:ligatures w14:val="standardContextual"/>
        </w:rPr>
        <w:t>Within the context of PAJA, the principle of legality is relied upon where the exercise of power does not fall within the limited scope of administrative action as defined by the act, but nonetheless affects the rights of parties.</w:t>
      </w:r>
      <w:r w:rsidR="00CD55D4" w:rsidRPr="002D0A15">
        <w:rPr>
          <w:rFonts w:ascii="Arial" w:hAnsi="Arial" w:cs="Arial"/>
          <w:color w:val="000000" w:themeColor="text1"/>
          <w:sz w:val="24"/>
          <w:szCs w:val="24"/>
        </w:rPr>
        <w:t xml:space="preserve"> The principle is based on the </w:t>
      </w:r>
      <w:r w:rsidR="006A3EC4" w:rsidRPr="002D0A15">
        <w:rPr>
          <w:rFonts w:ascii="Arial" w:hAnsi="Arial" w:cs="Arial"/>
          <w:color w:val="000000" w:themeColor="text1"/>
          <w:sz w:val="24"/>
          <w:szCs w:val="24"/>
        </w:rPr>
        <w:t>rule of law</w:t>
      </w:r>
      <w:r w:rsidR="00CD55D4" w:rsidRPr="002D0A15">
        <w:rPr>
          <w:rFonts w:ascii="Arial" w:hAnsi="Arial" w:cs="Arial"/>
          <w:color w:val="000000" w:themeColor="text1"/>
          <w:sz w:val="24"/>
          <w:szCs w:val="24"/>
        </w:rPr>
        <w:t xml:space="preserve"> position that "</w:t>
      </w:r>
      <w:r w:rsidR="00CD55D4" w:rsidRPr="002D0A15">
        <w:rPr>
          <w:rFonts w:ascii="Arial" w:hAnsi="Arial" w:cs="Arial"/>
          <w:i/>
          <w:iCs/>
          <w:color w:val="000000" w:themeColor="text1"/>
          <w:sz w:val="24"/>
          <w:szCs w:val="24"/>
        </w:rPr>
        <w:t>the exercise of public power is only legitimate where lawful</w:t>
      </w:r>
      <w:r w:rsidR="00CD55D4" w:rsidRPr="002D0A15">
        <w:rPr>
          <w:rFonts w:ascii="Arial" w:hAnsi="Arial" w:cs="Arial"/>
          <w:color w:val="000000" w:themeColor="text1"/>
          <w:sz w:val="24"/>
          <w:szCs w:val="24"/>
        </w:rPr>
        <w:t>"</w:t>
      </w:r>
      <w:r w:rsidR="004E57EE" w:rsidRPr="00B0760E">
        <w:rPr>
          <w:rStyle w:val="FootnoteReference"/>
          <w:rFonts w:ascii="Arial" w:hAnsi="Arial" w:cs="Arial"/>
          <w:color w:val="000000" w:themeColor="text1"/>
          <w:sz w:val="24"/>
          <w:szCs w:val="24"/>
        </w:rPr>
        <w:footnoteReference w:id="9"/>
      </w:r>
      <w:r w:rsidR="006A3EC4" w:rsidRPr="002D0A15">
        <w:rPr>
          <w:rFonts w:ascii="Arial" w:hAnsi="Arial" w:cs="Arial"/>
          <w:color w:val="000000" w:themeColor="text1"/>
          <w:sz w:val="24"/>
          <w:szCs w:val="24"/>
        </w:rPr>
        <w:t xml:space="preserve"> </w:t>
      </w:r>
      <w:r w:rsidR="004E57EE" w:rsidRPr="002D0A15">
        <w:rPr>
          <w:rFonts w:ascii="Arial" w:hAnsi="Arial" w:cs="Arial"/>
          <w:color w:val="000000" w:themeColor="text1"/>
          <w:sz w:val="24"/>
          <w:szCs w:val="24"/>
        </w:rPr>
        <w:t>a</w:t>
      </w:r>
      <w:r w:rsidR="006A3EC4" w:rsidRPr="002D0A15">
        <w:rPr>
          <w:rFonts w:ascii="Arial" w:hAnsi="Arial" w:cs="Arial"/>
          <w:color w:val="000000" w:themeColor="text1"/>
          <w:sz w:val="24"/>
          <w:szCs w:val="24"/>
        </w:rPr>
        <w:t xml:space="preserve">s now enshrined in S33 of the </w:t>
      </w:r>
      <w:r w:rsidR="0090753B" w:rsidRPr="002D0A15">
        <w:rPr>
          <w:rFonts w:ascii="Arial" w:hAnsi="Arial" w:cs="Arial"/>
          <w:color w:val="000000" w:themeColor="text1"/>
          <w:sz w:val="24"/>
          <w:szCs w:val="24"/>
        </w:rPr>
        <w:t>Constitution</w:t>
      </w:r>
      <w:r w:rsidR="006A3EC4" w:rsidRPr="002D0A15">
        <w:rPr>
          <w:rFonts w:ascii="Arial" w:hAnsi="Arial" w:cs="Arial"/>
          <w:color w:val="000000" w:themeColor="text1"/>
          <w:sz w:val="24"/>
          <w:szCs w:val="24"/>
        </w:rPr>
        <w:t>.</w:t>
      </w:r>
      <w:r w:rsidR="0098512F" w:rsidRPr="002D0A15">
        <w:rPr>
          <w:rFonts w:ascii="Arial" w:eastAsiaTheme="minorHAnsi" w:hAnsi="Arial" w:cs="Arial"/>
          <w:color w:val="000000" w:themeColor="text1"/>
          <w:sz w:val="24"/>
          <w:szCs w:val="24"/>
          <w:lang w:eastAsia="en-US"/>
          <w14:ligatures w14:val="standardContextual"/>
        </w:rPr>
        <w:t xml:space="preserve"> In such cases the provisions of section 3</w:t>
      </w:r>
      <w:r w:rsidR="002C3A6A" w:rsidRPr="002D0A15">
        <w:rPr>
          <w:rFonts w:ascii="Arial" w:eastAsiaTheme="minorHAnsi" w:hAnsi="Arial" w:cs="Arial"/>
          <w:color w:val="000000" w:themeColor="text1"/>
          <w:sz w:val="24"/>
          <w:szCs w:val="24"/>
          <w:lang w:eastAsia="en-US"/>
          <w14:ligatures w14:val="standardContextual"/>
        </w:rPr>
        <w:t>3</w:t>
      </w:r>
      <w:r w:rsidR="0098512F" w:rsidRPr="002D0A15">
        <w:rPr>
          <w:rFonts w:ascii="Arial" w:eastAsiaTheme="minorHAnsi" w:hAnsi="Arial" w:cs="Arial"/>
          <w:color w:val="000000" w:themeColor="text1"/>
          <w:sz w:val="24"/>
          <w:szCs w:val="24"/>
          <w:lang w:eastAsia="en-US"/>
          <w14:ligatures w14:val="standardContextual"/>
        </w:rPr>
        <w:t xml:space="preserve"> </w:t>
      </w:r>
      <w:r w:rsidR="002B7B63" w:rsidRPr="002D0A15">
        <w:rPr>
          <w:rFonts w:ascii="Arial" w:eastAsiaTheme="minorHAnsi" w:hAnsi="Arial" w:cs="Arial"/>
          <w:color w:val="000000" w:themeColor="text1"/>
          <w:sz w:val="24"/>
          <w:szCs w:val="24"/>
          <w:lang w:eastAsia="en-US"/>
          <w14:ligatures w14:val="standardContextual"/>
        </w:rPr>
        <w:t xml:space="preserve">of the </w:t>
      </w:r>
      <w:r w:rsidR="0090753B" w:rsidRPr="002D0A15">
        <w:rPr>
          <w:rFonts w:ascii="Arial" w:eastAsiaTheme="minorHAnsi" w:hAnsi="Arial" w:cs="Arial"/>
          <w:color w:val="000000" w:themeColor="text1"/>
          <w:sz w:val="24"/>
          <w:szCs w:val="24"/>
          <w:lang w:eastAsia="en-US"/>
          <w14:ligatures w14:val="standardContextual"/>
        </w:rPr>
        <w:t>Constitution</w:t>
      </w:r>
      <w:r w:rsidR="002B7B63" w:rsidRPr="002D0A15">
        <w:rPr>
          <w:rFonts w:ascii="Arial" w:eastAsiaTheme="minorHAnsi" w:hAnsi="Arial" w:cs="Arial"/>
          <w:color w:val="000000" w:themeColor="text1"/>
          <w:sz w:val="24"/>
          <w:szCs w:val="24"/>
          <w:lang w:eastAsia="en-US"/>
          <w14:ligatures w14:val="standardContextual"/>
        </w:rPr>
        <w:t xml:space="preserve"> </w:t>
      </w:r>
      <w:r w:rsidR="0098512F" w:rsidRPr="002D0A15">
        <w:rPr>
          <w:rFonts w:ascii="Arial" w:eastAsiaTheme="minorHAnsi" w:hAnsi="Arial" w:cs="Arial"/>
          <w:color w:val="000000" w:themeColor="text1"/>
          <w:sz w:val="24"/>
          <w:szCs w:val="24"/>
          <w:lang w:eastAsia="en-US"/>
          <w14:ligatures w14:val="standardContextual"/>
        </w:rPr>
        <w:t xml:space="preserve">are relied upon directly to review such an exercise of power. To this extent the principle of legality operates as </w:t>
      </w:r>
      <w:r w:rsidR="0098512F" w:rsidRPr="002D0A15">
        <w:rPr>
          <w:rFonts w:ascii="Arial" w:eastAsiaTheme="minorHAnsi" w:hAnsi="Arial" w:cs="Arial"/>
          <w:i/>
          <w:iCs/>
          <w:color w:val="000000" w:themeColor="text1"/>
          <w:sz w:val="24"/>
          <w:szCs w:val="24"/>
          <w:lang w:eastAsia="en-US"/>
          <w14:ligatures w14:val="standardContextual"/>
        </w:rPr>
        <w:t>“…a backstop or safety net …</w:t>
      </w:r>
      <w:r w:rsidR="0098512F" w:rsidRPr="002D0A15">
        <w:rPr>
          <w:rFonts w:ascii="Arial" w:eastAsiaTheme="minorHAnsi" w:hAnsi="Arial" w:cs="Arial"/>
          <w:color w:val="000000" w:themeColor="text1"/>
          <w:sz w:val="24"/>
          <w:szCs w:val="24"/>
          <w:lang w:eastAsia="en-US"/>
          <w14:ligatures w14:val="standardContextual"/>
        </w:rPr>
        <w:t>”</w:t>
      </w:r>
      <w:r w:rsidR="0098512F" w:rsidRPr="00B0760E">
        <w:rPr>
          <w:rStyle w:val="FootnoteReference"/>
          <w:rFonts w:ascii="Arial" w:eastAsiaTheme="minorHAnsi" w:hAnsi="Arial" w:cs="Arial"/>
          <w:color w:val="000000" w:themeColor="text1"/>
          <w:sz w:val="24"/>
          <w:szCs w:val="24"/>
          <w:lang w:eastAsia="en-US"/>
          <w14:ligatures w14:val="standardContextual"/>
        </w:rPr>
        <w:footnoteReference w:id="10"/>
      </w:r>
      <w:r w:rsidR="0098512F" w:rsidRPr="002D0A15">
        <w:rPr>
          <w:rFonts w:ascii="Arial" w:eastAsiaTheme="minorHAnsi" w:hAnsi="Arial" w:cs="Arial"/>
          <w:color w:val="000000" w:themeColor="text1"/>
          <w:sz w:val="24"/>
          <w:szCs w:val="24"/>
          <w:lang w:eastAsia="en-US"/>
          <w14:ligatures w14:val="standardContextual"/>
        </w:rPr>
        <w:t xml:space="preserve"> for instances where PAJA does not apply. </w:t>
      </w:r>
    </w:p>
    <w:p w14:paraId="0B3BD133" w14:textId="676D3B85" w:rsidR="0098512F"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32)</w:t>
      </w:r>
      <w:r w:rsidRPr="00B0760E">
        <w:rPr>
          <w:rFonts w:ascii="Arial" w:hAnsi="Arial" w:cs="Arial"/>
          <w:color w:val="000000" w:themeColor="text1"/>
          <w:sz w:val="24"/>
          <w:szCs w:val="24"/>
        </w:rPr>
        <w:tab/>
      </w:r>
      <w:r w:rsidR="0098512F" w:rsidRPr="002D0A15">
        <w:rPr>
          <w:rFonts w:ascii="Arial" w:hAnsi="Arial" w:cs="Arial"/>
          <w:color w:val="000000" w:themeColor="text1"/>
          <w:sz w:val="24"/>
          <w:szCs w:val="24"/>
        </w:rPr>
        <w:t xml:space="preserve">This does not mean that, as PAJA does not </w:t>
      </w:r>
      <w:r w:rsidR="006D67E6" w:rsidRPr="002D0A15">
        <w:rPr>
          <w:rFonts w:ascii="Arial" w:hAnsi="Arial" w:cs="Arial"/>
          <w:color w:val="000000" w:themeColor="text1"/>
          <w:sz w:val="24"/>
          <w:szCs w:val="24"/>
        </w:rPr>
        <w:t xml:space="preserve">apply to </w:t>
      </w:r>
      <w:r w:rsidR="0098512F" w:rsidRPr="002D0A15">
        <w:rPr>
          <w:rFonts w:ascii="Arial" w:hAnsi="Arial" w:cs="Arial"/>
          <w:color w:val="000000" w:themeColor="text1"/>
          <w:sz w:val="24"/>
          <w:szCs w:val="24"/>
        </w:rPr>
        <w:t xml:space="preserve">decisions made in terms of PAIA, parties can review a refusal of access to information with direct reference to Section 32 of the </w:t>
      </w:r>
      <w:r w:rsidR="0090753B" w:rsidRPr="002D0A15">
        <w:rPr>
          <w:rFonts w:ascii="Arial" w:hAnsi="Arial" w:cs="Arial"/>
          <w:color w:val="000000" w:themeColor="text1"/>
          <w:sz w:val="24"/>
          <w:szCs w:val="24"/>
        </w:rPr>
        <w:t>Constitution</w:t>
      </w:r>
      <w:r w:rsidR="0098512F" w:rsidRPr="002D0A15">
        <w:rPr>
          <w:rFonts w:ascii="Arial" w:hAnsi="Arial" w:cs="Arial"/>
          <w:color w:val="000000" w:themeColor="text1"/>
          <w:sz w:val="24"/>
          <w:szCs w:val="24"/>
        </w:rPr>
        <w:t xml:space="preserve"> on the basis of legality.</w:t>
      </w:r>
      <w:r w:rsidR="00D9299F" w:rsidRPr="002D0A15">
        <w:rPr>
          <w:rFonts w:ascii="Arial" w:hAnsi="Arial" w:cs="Arial"/>
          <w:color w:val="000000" w:themeColor="text1"/>
          <w:sz w:val="24"/>
          <w:szCs w:val="24"/>
        </w:rPr>
        <w:t xml:space="preserve"> </w:t>
      </w:r>
      <w:r w:rsidR="00D67E7D" w:rsidRPr="002D0A15">
        <w:rPr>
          <w:rFonts w:ascii="Arial" w:hAnsi="Arial" w:cs="Arial"/>
          <w:color w:val="000000" w:themeColor="text1"/>
          <w:sz w:val="24"/>
          <w:szCs w:val="24"/>
        </w:rPr>
        <w:t>Such an argument misconstrues PAIA as a subordinate of PAJA, instead of recognising that PAIA stands on equal footing to</w:t>
      </w:r>
      <w:r w:rsidR="002B7B63" w:rsidRPr="002D0A15">
        <w:rPr>
          <w:rFonts w:ascii="Arial" w:hAnsi="Arial" w:cs="Arial"/>
          <w:color w:val="000000" w:themeColor="text1"/>
          <w:sz w:val="24"/>
          <w:szCs w:val="24"/>
        </w:rPr>
        <w:t>,</w:t>
      </w:r>
      <w:r w:rsidR="00D67E7D" w:rsidRPr="002D0A15">
        <w:rPr>
          <w:rFonts w:ascii="Arial" w:hAnsi="Arial" w:cs="Arial"/>
          <w:color w:val="000000" w:themeColor="text1"/>
          <w:sz w:val="24"/>
          <w:szCs w:val="24"/>
        </w:rPr>
        <w:t xml:space="preserve"> and distinct of</w:t>
      </w:r>
      <w:r w:rsidR="002B7B63" w:rsidRPr="002D0A15">
        <w:rPr>
          <w:rFonts w:ascii="Arial" w:hAnsi="Arial" w:cs="Arial"/>
          <w:color w:val="000000" w:themeColor="text1"/>
          <w:sz w:val="24"/>
          <w:szCs w:val="24"/>
        </w:rPr>
        <w:t>,</w:t>
      </w:r>
      <w:r w:rsidR="00D67E7D" w:rsidRPr="002D0A15">
        <w:rPr>
          <w:rFonts w:ascii="Arial" w:hAnsi="Arial" w:cs="Arial"/>
          <w:color w:val="000000" w:themeColor="text1"/>
          <w:sz w:val="24"/>
          <w:szCs w:val="24"/>
        </w:rPr>
        <w:t xml:space="preserve"> PAJA. Essentially, once the right to be enforced is one as expressed by section 32 of the </w:t>
      </w:r>
      <w:r w:rsidR="0090753B" w:rsidRPr="002D0A15">
        <w:rPr>
          <w:rFonts w:ascii="Arial" w:hAnsi="Arial" w:cs="Arial"/>
          <w:color w:val="000000" w:themeColor="text1"/>
          <w:sz w:val="24"/>
          <w:szCs w:val="24"/>
        </w:rPr>
        <w:t>Constitution</w:t>
      </w:r>
      <w:r w:rsidR="00D67E7D" w:rsidRPr="002D0A15">
        <w:rPr>
          <w:rFonts w:ascii="Arial" w:hAnsi="Arial" w:cs="Arial"/>
          <w:color w:val="000000" w:themeColor="text1"/>
          <w:sz w:val="24"/>
          <w:szCs w:val="24"/>
        </w:rPr>
        <w:t xml:space="preserve">, PAIA is applicable, without any reference to PAJA.  </w:t>
      </w:r>
    </w:p>
    <w:p w14:paraId="00D606EA" w14:textId="0DEC9058" w:rsidR="00514AB3" w:rsidRPr="002D0A15" w:rsidRDefault="002D0A15" w:rsidP="002D0A15">
      <w:pPr>
        <w:tabs>
          <w:tab w:val="right" w:pos="8208"/>
        </w:tabs>
        <w:spacing w:before="120" w:line="360" w:lineRule="auto"/>
        <w:ind w:left="426" w:hanging="426"/>
        <w:jc w:val="both"/>
        <w:rPr>
          <w:rFonts w:ascii="Arial" w:hAnsi="Arial" w:cs="Arial"/>
          <w:b/>
          <w:bCs/>
          <w:color w:val="000000" w:themeColor="text1"/>
          <w:sz w:val="24"/>
          <w:szCs w:val="24"/>
        </w:rPr>
      </w:pPr>
      <w:r w:rsidRPr="00B0760E">
        <w:rPr>
          <w:rFonts w:ascii="Arial" w:hAnsi="Arial" w:cs="Arial"/>
          <w:color w:val="000000" w:themeColor="text1"/>
          <w:sz w:val="24"/>
          <w:szCs w:val="24"/>
        </w:rPr>
        <w:t>33)</w:t>
      </w:r>
      <w:r w:rsidRPr="00B0760E">
        <w:rPr>
          <w:rFonts w:ascii="Arial" w:hAnsi="Arial" w:cs="Arial"/>
          <w:color w:val="000000" w:themeColor="text1"/>
          <w:sz w:val="24"/>
          <w:szCs w:val="24"/>
        </w:rPr>
        <w:tab/>
      </w:r>
      <w:r w:rsidR="00324F0E" w:rsidRPr="002D0A15">
        <w:rPr>
          <w:rFonts w:ascii="Arial" w:hAnsi="Arial" w:cs="Arial"/>
          <w:color w:val="000000" w:themeColor="text1"/>
          <w:sz w:val="24"/>
          <w:szCs w:val="24"/>
        </w:rPr>
        <w:t xml:space="preserve">The majority finding in </w:t>
      </w:r>
      <w:bookmarkStart w:id="1" w:name="_Hlk140946675"/>
      <w:r w:rsidR="00324F0E" w:rsidRPr="002D0A15">
        <w:rPr>
          <w:rFonts w:ascii="Arial" w:hAnsi="Arial" w:cs="Arial"/>
          <w:i/>
          <w:iCs/>
          <w:color w:val="000000" w:themeColor="text1"/>
          <w:sz w:val="24"/>
          <w:szCs w:val="24"/>
        </w:rPr>
        <w:t>My Vote Counts NPC v Minister of Justice and Correctional Services and Another</w:t>
      </w:r>
      <w:bookmarkEnd w:id="1"/>
      <w:r w:rsidR="00324F0E" w:rsidRPr="00B0760E">
        <w:rPr>
          <w:rStyle w:val="FootnoteReference"/>
          <w:rFonts w:ascii="Arial" w:hAnsi="Arial" w:cs="Arial"/>
          <w:color w:val="000000" w:themeColor="text1"/>
          <w:sz w:val="24"/>
          <w:szCs w:val="24"/>
        </w:rPr>
        <w:footnoteReference w:id="11"/>
      </w:r>
      <w:r w:rsidR="00324F0E" w:rsidRPr="002D0A15">
        <w:rPr>
          <w:rFonts w:ascii="Arial" w:hAnsi="Arial" w:cs="Arial"/>
          <w:color w:val="000000" w:themeColor="text1"/>
          <w:sz w:val="24"/>
          <w:szCs w:val="24"/>
        </w:rPr>
        <w:t xml:space="preserve"> makes it clear that our </w:t>
      </w:r>
      <w:r w:rsidR="00566C8A" w:rsidRPr="002D0A15">
        <w:rPr>
          <w:rFonts w:ascii="Arial" w:hAnsi="Arial" w:cs="Arial"/>
          <w:color w:val="000000" w:themeColor="text1"/>
          <w:sz w:val="24"/>
          <w:szCs w:val="24"/>
        </w:rPr>
        <w:t>Court</w:t>
      </w:r>
      <w:r w:rsidR="00324F0E" w:rsidRPr="002D0A15">
        <w:rPr>
          <w:rFonts w:ascii="Arial" w:hAnsi="Arial" w:cs="Arial"/>
          <w:color w:val="000000" w:themeColor="text1"/>
          <w:sz w:val="24"/>
          <w:szCs w:val="24"/>
        </w:rPr>
        <w:t xml:space="preserve">s have not developed a justiciable principle akin to legality within the context of access to information. Should it do so, such a principle, having its genesis in access to information as opposed to </w:t>
      </w:r>
      <w:r w:rsidR="00DB08C8" w:rsidRPr="002D0A15">
        <w:rPr>
          <w:rFonts w:ascii="Arial" w:hAnsi="Arial" w:cs="Arial"/>
          <w:color w:val="000000" w:themeColor="text1"/>
          <w:sz w:val="24"/>
          <w:szCs w:val="24"/>
        </w:rPr>
        <w:t>fair</w:t>
      </w:r>
      <w:r w:rsidR="00D51AE9" w:rsidRPr="002D0A15">
        <w:rPr>
          <w:rFonts w:ascii="Arial" w:hAnsi="Arial" w:cs="Arial"/>
          <w:color w:val="000000" w:themeColor="text1"/>
          <w:sz w:val="24"/>
          <w:szCs w:val="24"/>
        </w:rPr>
        <w:t xml:space="preserve"> </w:t>
      </w:r>
      <w:r w:rsidR="00324F0E" w:rsidRPr="002D0A15">
        <w:rPr>
          <w:rFonts w:ascii="Arial" w:hAnsi="Arial" w:cs="Arial"/>
          <w:color w:val="000000" w:themeColor="text1"/>
          <w:sz w:val="24"/>
          <w:szCs w:val="24"/>
        </w:rPr>
        <w:t>administrative action, would</w:t>
      </w:r>
      <w:r w:rsidR="003A7650" w:rsidRPr="002D0A15">
        <w:rPr>
          <w:rFonts w:ascii="Arial" w:hAnsi="Arial" w:cs="Arial"/>
          <w:color w:val="000000" w:themeColor="text1"/>
          <w:sz w:val="24"/>
          <w:szCs w:val="24"/>
        </w:rPr>
        <w:t>, in any event,</w:t>
      </w:r>
      <w:r w:rsidR="00324F0E" w:rsidRPr="002D0A15">
        <w:rPr>
          <w:rFonts w:ascii="Arial" w:hAnsi="Arial" w:cs="Arial"/>
          <w:color w:val="000000" w:themeColor="text1"/>
          <w:sz w:val="24"/>
          <w:szCs w:val="24"/>
        </w:rPr>
        <w:t xml:space="preserve"> stand apart from the principle of legality. Such a principle</w:t>
      </w:r>
      <w:r w:rsidR="00D51AE9" w:rsidRPr="002D0A15">
        <w:rPr>
          <w:rFonts w:ascii="Arial" w:hAnsi="Arial" w:cs="Arial"/>
          <w:color w:val="000000" w:themeColor="text1"/>
          <w:sz w:val="24"/>
          <w:szCs w:val="24"/>
        </w:rPr>
        <w:t>, were it to be developed,</w:t>
      </w:r>
      <w:r w:rsidR="00324F0E" w:rsidRPr="002D0A15">
        <w:rPr>
          <w:rFonts w:ascii="Arial" w:hAnsi="Arial" w:cs="Arial"/>
          <w:color w:val="000000" w:themeColor="text1"/>
          <w:sz w:val="24"/>
          <w:szCs w:val="24"/>
        </w:rPr>
        <w:t xml:space="preserve"> could for instance be referred to as “the principle of transparency.”</w:t>
      </w:r>
      <w:r w:rsidR="00324F0E" w:rsidRPr="00B0760E">
        <w:rPr>
          <w:rStyle w:val="FootnoteReference"/>
          <w:rFonts w:ascii="Arial" w:hAnsi="Arial" w:cs="Arial"/>
          <w:color w:val="000000" w:themeColor="text1"/>
          <w:sz w:val="24"/>
          <w:szCs w:val="24"/>
        </w:rPr>
        <w:footnoteReference w:id="12"/>
      </w:r>
    </w:p>
    <w:p w14:paraId="4A8652B6" w14:textId="5995D27F" w:rsidR="001C3E47" w:rsidRPr="002D0A15" w:rsidRDefault="002D0A15" w:rsidP="002D0A15">
      <w:pPr>
        <w:tabs>
          <w:tab w:val="right" w:pos="8208"/>
        </w:tabs>
        <w:spacing w:before="120" w:line="360" w:lineRule="auto"/>
        <w:ind w:left="499" w:hanging="357"/>
        <w:jc w:val="both"/>
        <w:rPr>
          <w:rFonts w:ascii="Arial" w:hAnsi="Arial" w:cs="Arial"/>
          <w:i/>
          <w:iCs/>
          <w:color w:val="000000" w:themeColor="text1"/>
          <w:sz w:val="24"/>
          <w:szCs w:val="24"/>
        </w:rPr>
      </w:pPr>
      <w:r w:rsidRPr="00B0760E">
        <w:rPr>
          <w:rFonts w:ascii="Arial" w:hAnsi="Arial" w:cs="Arial"/>
          <w:color w:val="000000" w:themeColor="text1"/>
          <w:sz w:val="24"/>
          <w:szCs w:val="24"/>
        </w:rPr>
        <w:lastRenderedPageBreak/>
        <w:t>34)</w:t>
      </w:r>
      <w:r w:rsidRPr="00B0760E">
        <w:rPr>
          <w:rFonts w:ascii="Arial" w:hAnsi="Arial" w:cs="Arial"/>
          <w:color w:val="000000" w:themeColor="text1"/>
          <w:sz w:val="24"/>
          <w:szCs w:val="24"/>
        </w:rPr>
        <w:tab/>
      </w:r>
      <w:r w:rsidR="00E27FAF" w:rsidRPr="002D0A15">
        <w:rPr>
          <w:rFonts w:ascii="Arial" w:hAnsi="Arial" w:cs="Arial"/>
          <w:color w:val="000000" w:themeColor="text1"/>
          <w:sz w:val="24"/>
          <w:szCs w:val="24"/>
        </w:rPr>
        <w:t xml:space="preserve">Even before the decision in </w:t>
      </w:r>
      <w:r w:rsidR="00E27FAF" w:rsidRPr="002D0A15">
        <w:rPr>
          <w:rFonts w:ascii="Arial" w:hAnsi="Arial" w:cs="Arial"/>
          <w:i/>
          <w:iCs/>
          <w:color w:val="000000" w:themeColor="text1"/>
          <w:sz w:val="24"/>
          <w:szCs w:val="24"/>
        </w:rPr>
        <w:t>My Vote Counts</w:t>
      </w:r>
      <w:r w:rsidR="00E27FAF" w:rsidRPr="002D0A15">
        <w:rPr>
          <w:rFonts w:ascii="Arial" w:hAnsi="Arial" w:cs="Arial"/>
          <w:color w:val="000000" w:themeColor="text1"/>
          <w:sz w:val="24"/>
          <w:szCs w:val="24"/>
        </w:rPr>
        <w:t xml:space="preserve">, this </w:t>
      </w:r>
      <w:r w:rsidR="00566C8A" w:rsidRPr="002D0A15">
        <w:rPr>
          <w:rFonts w:ascii="Arial" w:hAnsi="Arial" w:cs="Arial"/>
          <w:color w:val="000000" w:themeColor="text1"/>
          <w:sz w:val="24"/>
          <w:szCs w:val="24"/>
        </w:rPr>
        <w:t>Court</w:t>
      </w:r>
      <w:r w:rsidR="00E27FAF" w:rsidRPr="002D0A15">
        <w:rPr>
          <w:rFonts w:ascii="Arial" w:hAnsi="Arial" w:cs="Arial"/>
          <w:color w:val="000000" w:themeColor="text1"/>
          <w:sz w:val="24"/>
          <w:szCs w:val="24"/>
        </w:rPr>
        <w:t xml:space="preserve"> endorsed</w:t>
      </w:r>
      <w:r w:rsidR="0059369D" w:rsidRPr="002D0A15">
        <w:rPr>
          <w:rFonts w:ascii="Arial" w:hAnsi="Arial" w:cs="Arial"/>
          <w:color w:val="000000" w:themeColor="text1"/>
          <w:sz w:val="24"/>
          <w:szCs w:val="24"/>
        </w:rPr>
        <w:t xml:space="preserve"> the applicability of the subsidiary theory in the context of access to information. </w:t>
      </w:r>
      <w:r w:rsidR="00E27FAF" w:rsidRPr="002D0A15">
        <w:rPr>
          <w:rFonts w:ascii="Arial" w:hAnsi="Arial" w:cs="Arial"/>
          <w:color w:val="000000" w:themeColor="text1"/>
          <w:sz w:val="24"/>
          <w:szCs w:val="24"/>
        </w:rPr>
        <w:t xml:space="preserve"> </w:t>
      </w:r>
      <w:r w:rsidR="001C3E47" w:rsidRPr="002D0A15">
        <w:rPr>
          <w:rFonts w:ascii="Arial" w:hAnsi="Arial" w:cs="Arial"/>
          <w:color w:val="000000" w:themeColor="text1"/>
          <w:sz w:val="24"/>
          <w:szCs w:val="24"/>
        </w:rPr>
        <w:t xml:space="preserve">In the matter of </w:t>
      </w:r>
      <w:r w:rsidR="001C3E47" w:rsidRPr="002D0A15">
        <w:rPr>
          <w:rFonts w:ascii="Arial" w:hAnsi="Arial" w:cs="Arial"/>
          <w:i/>
          <w:iCs/>
          <w:color w:val="000000" w:themeColor="text1"/>
          <w:sz w:val="24"/>
          <w:szCs w:val="24"/>
        </w:rPr>
        <w:t xml:space="preserve">Kerkhoff v Minister of Justice and </w:t>
      </w:r>
      <w:r w:rsidR="0090753B" w:rsidRPr="002D0A15">
        <w:rPr>
          <w:rFonts w:ascii="Arial" w:hAnsi="Arial" w:cs="Arial"/>
          <w:i/>
          <w:iCs/>
          <w:color w:val="000000" w:themeColor="text1"/>
          <w:sz w:val="24"/>
          <w:szCs w:val="24"/>
        </w:rPr>
        <w:t>Constitution</w:t>
      </w:r>
      <w:r w:rsidR="001C3E47" w:rsidRPr="002D0A15">
        <w:rPr>
          <w:rFonts w:ascii="Arial" w:hAnsi="Arial" w:cs="Arial"/>
          <w:i/>
          <w:iCs/>
          <w:color w:val="000000" w:themeColor="text1"/>
          <w:sz w:val="24"/>
          <w:szCs w:val="24"/>
        </w:rPr>
        <w:t>al Development and Others</w:t>
      </w:r>
      <w:r w:rsidR="00EF2A8B" w:rsidRPr="002D0A15">
        <w:rPr>
          <w:rFonts w:ascii="Arial" w:hAnsi="Arial" w:cs="Arial"/>
          <w:color w:val="000000" w:themeColor="text1"/>
          <w:sz w:val="24"/>
          <w:szCs w:val="24"/>
        </w:rPr>
        <w:t>,</w:t>
      </w:r>
      <w:r w:rsidR="001C3E47" w:rsidRPr="00B0760E">
        <w:rPr>
          <w:rStyle w:val="FootnoteReference"/>
          <w:rFonts w:ascii="Arial" w:hAnsi="Arial" w:cs="Arial"/>
          <w:color w:val="000000" w:themeColor="text1"/>
          <w:sz w:val="24"/>
          <w:szCs w:val="24"/>
        </w:rPr>
        <w:footnoteReference w:id="13"/>
      </w:r>
      <w:r w:rsidR="001C3E47" w:rsidRPr="002D0A15">
        <w:rPr>
          <w:rFonts w:ascii="Arial" w:hAnsi="Arial" w:cs="Arial"/>
          <w:color w:val="000000" w:themeColor="text1"/>
          <w:sz w:val="24"/>
          <w:szCs w:val="24"/>
        </w:rPr>
        <w:t xml:space="preserve"> </w:t>
      </w:r>
      <w:r w:rsidR="00514AB3" w:rsidRPr="002D0A15">
        <w:rPr>
          <w:rFonts w:ascii="Arial" w:hAnsi="Arial" w:cs="Arial"/>
          <w:color w:val="000000" w:themeColor="text1"/>
          <w:sz w:val="24"/>
          <w:szCs w:val="24"/>
        </w:rPr>
        <w:t>w</w:t>
      </w:r>
      <w:r w:rsidR="00AE6565" w:rsidRPr="002D0A15">
        <w:rPr>
          <w:rFonts w:ascii="Arial" w:hAnsi="Arial" w:cs="Arial"/>
          <w:color w:val="000000" w:themeColor="text1"/>
          <w:sz w:val="24"/>
          <w:szCs w:val="24"/>
        </w:rPr>
        <w:t xml:space="preserve">here the </w:t>
      </w:r>
      <w:r w:rsidR="00566C8A" w:rsidRPr="002D0A15">
        <w:rPr>
          <w:rFonts w:ascii="Arial" w:hAnsi="Arial" w:cs="Arial"/>
          <w:color w:val="000000" w:themeColor="text1"/>
          <w:sz w:val="24"/>
          <w:szCs w:val="24"/>
        </w:rPr>
        <w:t>Applicant</w:t>
      </w:r>
      <w:r w:rsidR="00AE6565" w:rsidRPr="002D0A15">
        <w:rPr>
          <w:rFonts w:ascii="Arial" w:hAnsi="Arial" w:cs="Arial"/>
          <w:color w:val="000000" w:themeColor="text1"/>
          <w:sz w:val="24"/>
          <w:szCs w:val="24"/>
        </w:rPr>
        <w:t xml:space="preserve"> sought to rely directly on section 32 of the </w:t>
      </w:r>
      <w:r w:rsidR="0090753B" w:rsidRPr="002D0A15">
        <w:rPr>
          <w:rFonts w:ascii="Arial" w:hAnsi="Arial" w:cs="Arial"/>
          <w:color w:val="000000" w:themeColor="text1"/>
          <w:sz w:val="24"/>
          <w:szCs w:val="24"/>
        </w:rPr>
        <w:t>Constitution</w:t>
      </w:r>
      <w:r w:rsidR="00AE6565" w:rsidRPr="002D0A15">
        <w:rPr>
          <w:rFonts w:ascii="Arial" w:hAnsi="Arial" w:cs="Arial"/>
          <w:color w:val="000000" w:themeColor="text1"/>
          <w:sz w:val="24"/>
          <w:szCs w:val="24"/>
        </w:rPr>
        <w:t xml:space="preserve"> as the basis for his review, </w:t>
      </w:r>
      <w:r w:rsidR="00BB7878" w:rsidRPr="002D0A15">
        <w:rPr>
          <w:rFonts w:ascii="Arial" w:hAnsi="Arial" w:cs="Arial"/>
          <w:color w:val="000000" w:themeColor="text1"/>
          <w:sz w:val="24"/>
          <w:szCs w:val="24"/>
        </w:rPr>
        <w:t>Southwood J</w:t>
      </w:r>
      <w:r w:rsidR="00AE6565" w:rsidRPr="002D0A15">
        <w:rPr>
          <w:rFonts w:ascii="Arial" w:hAnsi="Arial" w:cs="Arial"/>
          <w:color w:val="000000" w:themeColor="text1"/>
          <w:sz w:val="24"/>
          <w:szCs w:val="24"/>
        </w:rPr>
        <w:t xml:space="preserve"> </w:t>
      </w:r>
      <w:r w:rsidR="00BB7878" w:rsidRPr="002D0A15">
        <w:rPr>
          <w:rFonts w:ascii="Arial" w:hAnsi="Arial" w:cs="Arial"/>
          <w:color w:val="000000" w:themeColor="text1"/>
          <w:sz w:val="24"/>
          <w:szCs w:val="24"/>
        </w:rPr>
        <w:t xml:space="preserve"> (in </w:t>
      </w:r>
      <w:r w:rsidR="00AE6565" w:rsidRPr="002D0A15">
        <w:rPr>
          <w:rFonts w:ascii="Arial" w:hAnsi="Arial" w:cs="Arial"/>
          <w:color w:val="000000" w:themeColor="text1"/>
          <w:sz w:val="24"/>
          <w:szCs w:val="24"/>
        </w:rPr>
        <w:t>approv</w:t>
      </w:r>
      <w:r w:rsidR="00BB7878" w:rsidRPr="002D0A15">
        <w:rPr>
          <w:rFonts w:ascii="Arial" w:hAnsi="Arial" w:cs="Arial"/>
          <w:color w:val="000000" w:themeColor="text1"/>
          <w:sz w:val="24"/>
          <w:szCs w:val="24"/>
        </w:rPr>
        <w:t>ing</w:t>
      </w:r>
      <w:r w:rsidR="00AE6565" w:rsidRPr="002D0A15">
        <w:rPr>
          <w:rFonts w:ascii="Arial" w:hAnsi="Arial" w:cs="Arial"/>
          <w:color w:val="000000" w:themeColor="text1"/>
          <w:sz w:val="24"/>
          <w:szCs w:val="24"/>
        </w:rPr>
        <w:t xml:space="preserve"> of the finding in</w:t>
      </w:r>
      <w:r w:rsidR="0017154E" w:rsidRPr="002D0A15">
        <w:rPr>
          <w:color w:val="000000" w:themeColor="text1"/>
        </w:rPr>
        <w:t xml:space="preserve"> </w:t>
      </w:r>
      <w:r w:rsidR="0017154E" w:rsidRPr="002D0A15">
        <w:rPr>
          <w:rFonts w:ascii="Arial" w:hAnsi="Arial" w:cs="Arial"/>
          <w:i/>
          <w:iCs/>
          <w:color w:val="000000" w:themeColor="text1"/>
          <w:sz w:val="24"/>
          <w:szCs w:val="24"/>
        </w:rPr>
        <w:t>Institute for</w:t>
      </w:r>
      <w:r w:rsidR="0017154E" w:rsidRPr="002D0A15">
        <w:rPr>
          <w:rFonts w:ascii="Arial" w:hAnsi="Arial" w:cs="Arial"/>
          <w:color w:val="000000" w:themeColor="text1"/>
          <w:sz w:val="24"/>
          <w:szCs w:val="24"/>
        </w:rPr>
        <w:t xml:space="preserve"> </w:t>
      </w:r>
      <w:r w:rsidR="0017154E" w:rsidRPr="002D0A15">
        <w:rPr>
          <w:rFonts w:ascii="Arial" w:hAnsi="Arial" w:cs="Arial"/>
          <w:i/>
          <w:iCs/>
          <w:color w:val="000000" w:themeColor="text1"/>
          <w:sz w:val="24"/>
          <w:szCs w:val="24"/>
        </w:rPr>
        <w:t>Democracy in South Africa v ANC</w:t>
      </w:r>
      <w:r w:rsidR="00A76F61" w:rsidRPr="00B0760E">
        <w:rPr>
          <w:rStyle w:val="FootnoteReference"/>
          <w:rFonts w:ascii="Arial" w:hAnsi="Arial" w:cs="Arial"/>
          <w:color w:val="000000" w:themeColor="text1"/>
          <w:sz w:val="24"/>
          <w:szCs w:val="24"/>
        </w:rPr>
        <w:footnoteReference w:id="14"/>
      </w:r>
      <w:r w:rsidR="00BB7878" w:rsidRPr="002D0A15">
        <w:rPr>
          <w:rFonts w:ascii="Arial" w:hAnsi="Arial" w:cs="Arial"/>
          <w:i/>
          <w:iCs/>
          <w:color w:val="000000" w:themeColor="text1"/>
          <w:sz w:val="24"/>
          <w:szCs w:val="24"/>
        </w:rPr>
        <w:t xml:space="preserve">), </w:t>
      </w:r>
      <w:r w:rsidR="00245167" w:rsidRPr="002D0A15">
        <w:rPr>
          <w:rFonts w:ascii="Arial" w:hAnsi="Arial" w:cs="Arial"/>
          <w:color w:val="000000" w:themeColor="text1"/>
          <w:sz w:val="24"/>
          <w:szCs w:val="24"/>
        </w:rPr>
        <w:t>State</w:t>
      </w:r>
      <w:r w:rsidR="00BB7878" w:rsidRPr="002D0A15">
        <w:rPr>
          <w:rFonts w:ascii="Arial" w:hAnsi="Arial" w:cs="Arial"/>
          <w:color w:val="000000" w:themeColor="text1"/>
          <w:sz w:val="24"/>
          <w:szCs w:val="24"/>
        </w:rPr>
        <w:t>d</w:t>
      </w:r>
      <w:r w:rsidR="00873274" w:rsidRPr="002D0A15">
        <w:rPr>
          <w:rFonts w:ascii="Arial" w:hAnsi="Arial" w:cs="Arial"/>
          <w:color w:val="000000" w:themeColor="text1"/>
          <w:sz w:val="24"/>
          <w:szCs w:val="24"/>
        </w:rPr>
        <w:t xml:space="preserve"> </w:t>
      </w:r>
      <w:r w:rsidR="0017154E" w:rsidRPr="002D0A15">
        <w:rPr>
          <w:rFonts w:ascii="Arial" w:hAnsi="Arial" w:cs="Arial"/>
          <w:color w:val="000000" w:themeColor="text1"/>
          <w:sz w:val="24"/>
          <w:szCs w:val="24"/>
        </w:rPr>
        <w:t xml:space="preserve">that </w:t>
      </w:r>
      <w:r w:rsidR="00873274" w:rsidRPr="002D0A15">
        <w:rPr>
          <w:rFonts w:ascii="Arial" w:hAnsi="Arial" w:cs="Arial"/>
          <w:i/>
          <w:iCs/>
          <w:color w:val="000000" w:themeColor="text1"/>
          <w:sz w:val="24"/>
          <w:szCs w:val="24"/>
        </w:rPr>
        <w:t>“….</w:t>
      </w:r>
      <w:r w:rsidR="0017154E" w:rsidRPr="002D0A15">
        <w:rPr>
          <w:rFonts w:ascii="Arial" w:hAnsi="Arial" w:cs="Arial"/>
          <w:i/>
          <w:iCs/>
          <w:color w:val="000000" w:themeColor="text1"/>
          <w:sz w:val="24"/>
          <w:szCs w:val="24"/>
        </w:rPr>
        <w:t xml:space="preserve">‘s 32 of the </w:t>
      </w:r>
      <w:r w:rsidR="0090753B" w:rsidRPr="002D0A15">
        <w:rPr>
          <w:rFonts w:ascii="Arial" w:hAnsi="Arial" w:cs="Arial"/>
          <w:i/>
          <w:iCs/>
          <w:color w:val="000000" w:themeColor="text1"/>
          <w:sz w:val="24"/>
          <w:szCs w:val="24"/>
        </w:rPr>
        <w:t>Constitution</w:t>
      </w:r>
      <w:r w:rsidR="0017154E" w:rsidRPr="002D0A15">
        <w:rPr>
          <w:rFonts w:ascii="Arial" w:hAnsi="Arial" w:cs="Arial"/>
          <w:i/>
          <w:iCs/>
          <w:color w:val="000000" w:themeColor="text1"/>
          <w:sz w:val="24"/>
          <w:szCs w:val="24"/>
        </w:rPr>
        <w:t xml:space="preserve"> provides the underlying basis for and informs the rights contained in PAIA, but that the section itself is subsumed by PAIA, which now regulates the right of access to information’;  that parties must assert the right via the Act and therefore that s 32 is not capable of serving as an independent legal basis or cause of action for enforcement of rights of access to information where no challenge is directed at the validity or </w:t>
      </w:r>
      <w:r w:rsidR="0090753B" w:rsidRPr="002D0A15">
        <w:rPr>
          <w:rFonts w:ascii="Arial" w:hAnsi="Arial" w:cs="Arial"/>
          <w:i/>
          <w:iCs/>
          <w:color w:val="000000" w:themeColor="text1"/>
          <w:sz w:val="24"/>
          <w:szCs w:val="24"/>
        </w:rPr>
        <w:t>Constitution</w:t>
      </w:r>
      <w:r w:rsidR="0017154E" w:rsidRPr="002D0A15">
        <w:rPr>
          <w:rFonts w:ascii="Arial" w:hAnsi="Arial" w:cs="Arial"/>
          <w:i/>
          <w:iCs/>
          <w:color w:val="000000" w:themeColor="text1"/>
          <w:sz w:val="24"/>
          <w:szCs w:val="24"/>
        </w:rPr>
        <w:t>ality of any of the provisions of PAIA.</w:t>
      </w:r>
      <w:r w:rsidR="00360A33" w:rsidRPr="002D0A15">
        <w:rPr>
          <w:rFonts w:ascii="Arial" w:hAnsi="Arial" w:cs="Arial"/>
          <w:i/>
          <w:iCs/>
          <w:color w:val="000000" w:themeColor="text1"/>
          <w:sz w:val="24"/>
          <w:szCs w:val="24"/>
        </w:rPr>
        <w:t>”</w:t>
      </w:r>
      <w:r w:rsidR="0017154E" w:rsidRPr="002D0A15">
        <w:rPr>
          <w:rFonts w:ascii="Arial" w:hAnsi="Arial" w:cs="Arial"/>
          <w:i/>
          <w:iCs/>
          <w:color w:val="000000" w:themeColor="text1"/>
          <w:sz w:val="24"/>
          <w:szCs w:val="24"/>
        </w:rPr>
        <w:t xml:space="preserve">  </w:t>
      </w:r>
    </w:p>
    <w:p w14:paraId="6E90AA10" w14:textId="2D8F4A7C" w:rsidR="00A37478" w:rsidRPr="002D0A15" w:rsidRDefault="002D0A15" w:rsidP="002D0A15">
      <w:pPr>
        <w:tabs>
          <w:tab w:val="right" w:pos="8208"/>
        </w:tabs>
        <w:spacing w:before="120" w:line="360" w:lineRule="auto"/>
        <w:ind w:left="499" w:hanging="357"/>
        <w:jc w:val="both"/>
        <w:rPr>
          <w:rFonts w:ascii="Arial" w:hAnsi="Arial" w:cs="Arial"/>
          <w:color w:val="000000" w:themeColor="text1"/>
          <w:sz w:val="24"/>
          <w:szCs w:val="24"/>
        </w:rPr>
      </w:pPr>
      <w:r w:rsidRPr="00B0760E">
        <w:rPr>
          <w:rFonts w:ascii="Arial" w:hAnsi="Arial" w:cs="Arial"/>
          <w:color w:val="000000" w:themeColor="text1"/>
          <w:sz w:val="24"/>
          <w:szCs w:val="24"/>
        </w:rPr>
        <w:t>35)</w:t>
      </w:r>
      <w:r w:rsidRPr="00B0760E">
        <w:rPr>
          <w:rFonts w:ascii="Arial" w:hAnsi="Arial" w:cs="Arial"/>
          <w:color w:val="000000" w:themeColor="text1"/>
          <w:sz w:val="24"/>
          <w:szCs w:val="24"/>
        </w:rPr>
        <w:tab/>
      </w:r>
      <w:r w:rsidR="00646C24" w:rsidRPr="002D0A15">
        <w:rPr>
          <w:rFonts w:ascii="Arial" w:hAnsi="Arial" w:cs="Arial"/>
          <w:color w:val="000000" w:themeColor="text1"/>
          <w:sz w:val="24"/>
          <w:szCs w:val="24"/>
        </w:rPr>
        <w:t xml:space="preserve">In the present matter, the fallacy of the </w:t>
      </w:r>
      <w:r w:rsidR="00566C8A" w:rsidRPr="002D0A15">
        <w:rPr>
          <w:rFonts w:ascii="Arial" w:hAnsi="Arial" w:cs="Arial"/>
          <w:color w:val="000000" w:themeColor="text1"/>
          <w:sz w:val="24"/>
          <w:szCs w:val="24"/>
        </w:rPr>
        <w:t>Respondent</w:t>
      </w:r>
      <w:r w:rsidR="00646C24" w:rsidRPr="002D0A15">
        <w:rPr>
          <w:rFonts w:ascii="Arial" w:hAnsi="Arial" w:cs="Arial"/>
          <w:color w:val="000000" w:themeColor="text1"/>
          <w:sz w:val="24"/>
          <w:szCs w:val="24"/>
        </w:rPr>
        <w:t>'s argument is two-fold: It assumes that, in cases of access to information, there is an alternative review</w:t>
      </w:r>
      <w:r w:rsidR="00795DFE" w:rsidRPr="002D0A15">
        <w:rPr>
          <w:rFonts w:ascii="Arial" w:hAnsi="Arial" w:cs="Arial"/>
          <w:color w:val="000000" w:themeColor="text1"/>
          <w:sz w:val="24"/>
          <w:szCs w:val="24"/>
        </w:rPr>
        <w:t xml:space="preserve"> remedy</w:t>
      </w:r>
      <w:r w:rsidR="00646C24" w:rsidRPr="002D0A15">
        <w:rPr>
          <w:rFonts w:ascii="Arial" w:hAnsi="Arial" w:cs="Arial"/>
          <w:color w:val="000000" w:themeColor="text1"/>
          <w:sz w:val="24"/>
          <w:szCs w:val="24"/>
        </w:rPr>
        <w:t xml:space="preserve"> available based </w:t>
      </w:r>
      <w:r w:rsidR="009E0E88" w:rsidRPr="002D0A15">
        <w:rPr>
          <w:rFonts w:ascii="Arial" w:hAnsi="Arial" w:cs="Arial"/>
          <w:color w:val="000000" w:themeColor="text1"/>
          <w:sz w:val="24"/>
          <w:szCs w:val="24"/>
        </w:rPr>
        <w:t xml:space="preserve">directly </w:t>
      </w:r>
      <w:r w:rsidR="00646C24" w:rsidRPr="002D0A15">
        <w:rPr>
          <w:rFonts w:ascii="Arial" w:hAnsi="Arial" w:cs="Arial"/>
          <w:color w:val="000000" w:themeColor="text1"/>
          <w:sz w:val="24"/>
          <w:szCs w:val="24"/>
        </w:rPr>
        <w:t>on</w:t>
      </w:r>
      <w:r w:rsidR="00795DFE" w:rsidRPr="002D0A15">
        <w:rPr>
          <w:rFonts w:ascii="Arial" w:hAnsi="Arial" w:cs="Arial"/>
          <w:color w:val="000000" w:themeColor="text1"/>
          <w:sz w:val="24"/>
          <w:szCs w:val="24"/>
        </w:rPr>
        <w:t xml:space="preserve"> section 32 of the</w:t>
      </w:r>
      <w:r w:rsidR="00646C24" w:rsidRPr="002D0A15">
        <w:rPr>
          <w:rFonts w:ascii="Arial" w:hAnsi="Arial" w:cs="Arial"/>
          <w:color w:val="000000" w:themeColor="text1"/>
          <w:sz w:val="24"/>
          <w:szCs w:val="24"/>
        </w:rPr>
        <w:t xml:space="preserve"> </w:t>
      </w:r>
      <w:r w:rsidR="0090753B" w:rsidRPr="002D0A15">
        <w:rPr>
          <w:rFonts w:ascii="Arial" w:hAnsi="Arial" w:cs="Arial"/>
          <w:color w:val="000000" w:themeColor="text1"/>
          <w:sz w:val="24"/>
          <w:szCs w:val="24"/>
        </w:rPr>
        <w:t>Constitution</w:t>
      </w:r>
      <w:r w:rsidR="00646C24" w:rsidRPr="002D0A15">
        <w:rPr>
          <w:rFonts w:ascii="Arial" w:hAnsi="Arial" w:cs="Arial"/>
          <w:color w:val="000000" w:themeColor="text1"/>
          <w:sz w:val="24"/>
          <w:szCs w:val="24"/>
        </w:rPr>
        <w:t xml:space="preserve">.  Stemming from this, it then </w:t>
      </w:r>
      <w:r w:rsidR="001460AC" w:rsidRPr="002D0A15">
        <w:rPr>
          <w:rFonts w:ascii="Arial" w:hAnsi="Arial" w:cs="Arial"/>
          <w:color w:val="000000" w:themeColor="text1"/>
          <w:sz w:val="24"/>
          <w:szCs w:val="24"/>
        </w:rPr>
        <w:t>assumes that</w:t>
      </w:r>
      <w:r w:rsidR="00646C24" w:rsidRPr="002D0A15">
        <w:rPr>
          <w:rFonts w:ascii="Arial" w:hAnsi="Arial" w:cs="Arial"/>
          <w:color w:val="000000" w:themeColor="text1"/>
          <w:sz w:val="24"/>
          <w:szCs w:val="24"/>
        </w:rPr>
        <w:t xml:space="preserve"> such a review would be based on the principle of legality and would therefore </w:t>
      </w:r>
      <w:r w:rsidR="00935090" w:rsidRPr="002D0A15">
        <w:rPr>
          <w:rFonts w:ascii="Arial" w:hAnsi="Arial" w:cs="Arial"/>
          <w:color w:val="000000" w:themeColor="text1"/>
          <w:sz w:val="24"/>
          <w:szCs w:val="24"/>
        </w:rPr>
        <w:t xml:space="preserve">place </w:t>
      </w:r>
      <w:r w:rsidR="007B45FC" w:rsidRPr="002D0A15">
        <w:rPr>
          <w:rFonts w:ascii="Arial" w:hAnsi="Arial" w:cs="Arial"/>
          <w:color w:val="000000" w:themeColor="text1"/>
          <w:sz w:val="24"/>
          <w:szCs w:val="24"/>
        </w:rPr>
        <w:t>a</w:t>
      </w:r>
      <w:r w:rsidR="00935090" w:rsidRPr="002D0A15">
        <w:rPr>
          <w:rFonts w:ascii="Arial" w:hAnsi="Arial" w:cs="Arial"/>
          <w:color w:val="000000" w:themeColor="text1"/>
          <w:sz w:val="24"/>
          <w:szCs w:val="24"/>
        </w:rPr>
        <w:t xml:space="preserve"> burden o</w:t>
      </w:r>
      <w:r w:rsidR="007B45FC" w:rsidRPr="002D0A15">
        <w:rPr>
          <w:rFonts w:ascii="Arial" w:hAnsi="Arial" w:cs="Arial"/>
          <w:color w:val="000000" w:themeColor="text1"/>
          <w:sz w:val="24"/>
          <w:szCs w:val="24"/>
        </w:rPr>
        <w:t>n</w:t>
      </w:r>
      <w:r w:rsidR="00935090"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Applicant</w:t>
      </w:r>
      <w:r w:rsidR="00935090" w:rsidRPr="002D0A15">
        <w:rPr>
          <w:rFonts w:ascii="Arial" w:hAnsi="Arial" w:cs="Arial"/>
          <w:color w:val="000000" w:themeColor="text1"/>
          <w:sz w:val="24"/>
          <w:szCs w:val="24"/>
        </w:rPr>
        <w:t xml:space="preserve"> to prove </w:t>
      </w:r>
      <w:r w:rsidR="004F52CA" w:rsidRPr="002D0A15">
        <w:rPr>
          <w:rFonts w:ascii="Arial" w:hAnsi="Arial" w:cs="Arial"/>
          <w:color w:val="000000" w:themeColor="text1"/>
          <w:sz w:val="24"/>
          <w:szCs w:val="24"/>
        </w:rPr>
        <w:t>unlawfulness.</w:t>
      </w:r>
    </w:p>
    <w:p w14:paraId="1A124F97" w14:textId="06E74E49" w:rsidR="00562C38" w:rsidRPr="002D0A15" w:rsidRDefault="002D0A15" w:rsidP="002D0A15">
      <w:pPr>
        <w:tabs>
          <w:tab w:val="right" w:pos="8208"/>
        </w:tabs>
        <w:spacing w:before="120" w:line="360" w:lineRule="auto"/>
        <w:ind w:left="499" w:hanging="357"/>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562C38" w:rsidRPr="002D0A15">
        <w:rPr>
          <w:rFonts w:ascii="Arial" w:hAnsi="Arial" w:cs="Arial"/>
          <w:color w:val="000000" w:themeColor="text1"/>
          <w:sz w:val="24"/>
          <w:szCs w:val="24"/>
        </w:rPr>
        <w:t xml:space="preserve">This line of flawed reasoning pervaded </w:t>
      </w:r>
      <w:r w:rsidR="00740E68" w:rsidRPr="002D0A15">
        <w:rPr>
          <w:rFonts w:ascii="Arial" w:hAnsi="Arial" w:cs="Arial"/>
          <w:color w:val="000000" w:themeColor="text1"/>
          <w:sz w:val="24"/>
          <w:szCs w:val="24"/>
        </w:rPr>
        <w:t xml:space="preserve">most </w:t>
      </w:r>
      <w:r w:rsidR="00562C38" w:rsidRPr="002D0A15">
        <w:rPr>
          <w:rFonts w:ascii="Arial" w:hAnsi="Arial" w:cs="Arial"/>
          <w:color w:val="000000" w:themeColor="text1"/>
          <w:sz w:val="24"/>
          <w:szCs w:val="24"/>
        </w:rPr>
        <w:t xml:space="preserve">of the contentions by the </w:t>
      </w:r>
      <w:r w:rsidR="00566C8A" w:rsidRPr="002D0A15">
        <w:rPr>
          <w:rFonts w:ascii="Arial" w:hAnsi="Arial" w:cs="Arial"/>
          <w:color w:val="000000" w:themeColor="text1"/>
          <w:sz w:val="24"/>
          <w:szCs w:val="24"/>
        </w:rPr>
        <w:t>Respondent</w:t>
      </w:r>
      <w:r w:rsidR="00562C38" w:rsidRPr="002D0A15">
        <w:rPr>
          <w:rFonts w:ascii="Arial" w:hAnsi="Arial" w:cs="Arial"/>
          <w:color w:val="000000" w:themeColor="text1"/>
          <w:sz w:val="24"/>
          <w:szCs w:val="24"/>
        </w:rPr>
        <w:t xml:space="preserve"> on the merits of the application with countless references to the necessity for the </w:t>
      </w:r>
      <w:r w:rsidR="00566C8A" w:rsidRPr="002D0A15">
        <w:rPr>
          <w:rFonts w:ascii="Arial" w:hAnsi="Arial" w:cs="Arial"/>
          <w:color w:val="000000" w:themeColor="text1"/>
          <w:sz w:val="24"/>
          <w:szCs w:val="24"/>
        </w:rPr>
        <w:t>Applicant</w:t>
      </w:r>
      <w:r w:rsidR="00470898" w:rsidRPr="002D0A15">
        <w:rPr>
          <w:rFonts w:ascii="Arial" w:hAnsi="Arial" w:cs="Arial"/>
          <w:color w:val="000000" w:themeColor="text1"/>
          <w:sz w:val="24"/>
          <w:szCs w:val="24"/>
        </w:rPr>
        <w:t xml:space="preserve"> to</w:t>
      </w:r>
      <w:r w:rsidR="00562C38" w:rsidRPr="002D0A15">
        <w:rPr>
          <w:rFonts w:ascii="Arial" w:hAnsi="Arial" w:cs="Arial"/>
          <w:color w:val="000000" w:themeColor="text1"/>
          <w:sz w:val="24"/>
          <w:szCs w:val="24"/>
        </w:rPr>
        <w:t xml:space="preserve"> prove the unlawfulness</w:t>
      </w:r>
      <w:r w:rsidR="007847FA" w:rsidRPr="002D0A15">
        <w:rPr>
          <w:rFonts w:ascii="Arial" w:hAnsi="Arial" w:cs="Arial"/>
          <w:color w:val="000000" w:themeColor="text1"/>
          <w:sz w:val="24"/>
          <w:szCs w:val="24"/>
        </w:rPr>
        <w:t xml:space="preserve"> of the refusal</w:t>
      </w:r>
      <w:r w:rsidR="00562C38" w:rsidRPr="002D0A15">
        <w:rPr>
          <w:rFonts w:ascii="Arial" w:hAnsi="Arial" w:cs="Arial"/>
          <w:color w:val="000000" w:themeColor="text1"/>
          <w:sz w:val="24"/>
          <w:szCs w:val="24"/>
        </w:rPr>
        <w:t>.</w:t>
      </w:r>
      <w:r w:rsidR="00AC0756" w:rsidRPr="002D0A15">
        <w:rPr>
          <w:rFonts w:ascii="Arial" w:hAnsi="Arial" w:cs="Arial"/>
          <w:color w:val="000000" w:themeColor="text1"/>
          <w:sz w:val="24"/>
          <w:szCs w:val="24"/>
        </w:rPr>
        <w:t xml:space="preserve"> </w:t>
      </w:r>
    </w:p>
    <w:p w14:paraId="3C4BCC28" w14:textId="588A94E0" w:rsidR="00DE5B65" w:rsidRPr="002D0A15" w:rsidRDefault="002D0A15" w:rsidP="002D0A15">
      <w:pPr>
        <w:tabs>
          <w:tab w:val="right" w:pos="8208"/>
        </w:tabs>
        <w:spacing w:before="120" w:line="360" w:lineRule="auto"/>
        <w:ind w:left="499" w:hanging="357"/>
        <w:jc w:val="both"/>
        <w:rPr>
          <w:rFonts w:ascii="Arial" w:hAnsi="Arial" w:cs="Arial"/>
          <w:color w:val="000000" w:themeColor="text1"/>
          <w:sz w:val="24"/>
          <w:szCs w:val="24"/>
        </w:rPr>
      </w:pPr>
      <w:r w:rsidRPr="00B0760E">
        <w:rPr>
          <w:rFonts w:ascii="Arial" w:hAnsi="Arial" w:cs="Arial"/>
          <w:color w:val="000000" w:themeColor="text1"/>
          <w:sz w:val="24"/>
          <w:szCs w:val="24"/>
        </w:rPr>
        <w:t>37)</w:t>
      </w:r>
      <w:r w:rsidRPr="00B0760E">
        <w:rPr>
          <w:rFonts w:ascii="Arial" w:hAnsi="Arial" w:cs="Arial"/>
          <w:color w:val="000000" w:themeColor="text1"/>
          <w:sz w:val="24"/>
          <w:szCs w:val="24"/>
        </w:rPr>
        <w:tab/>
      </w:r>
      <w:r w:rsidR="00DE5B65" w:rsidRPr="002D0A15">
        <w:rPr>
          <w:rFonts w:ascii="Arial" w:hAnsi="Arial" w:cs="Arial"/>
          <w:color w:val="000000" w:themeColor="text1"/>
          <w:sz w:val="24"/>
          <w:szCs w:val="24"/>
        </w:rPr>
        <w:t xml:space="preserve">Given that </w:t>
      </w:r>
      <w:r w:rsidR="00B87E7D" w:rsidRPr="002D0A15">
        <w:rPr>
          <w:rFonts w:ascii="Arial" w:hAnsi="Arial" w:cs="Arial"/>
          <w:color w:val="000000" w:themeColor="text1"/>
          <w:sz w:val="24"/>
          <w:szCs w:val="24"/>
        </w:rPr>
        <w:t xml:space="preserve">it has already been found that the principle of subsidiarity places the application squarely within the ambit of PAIA, </w:t>
      </w:r>
      <w:r w:rsidR="008353FF" w:rsidRPr="002D0A15">
        <w:rPr>
          <w:rFonts w:ascii="Arial" w:hAnsi="Arial" w:cs="Arial"/>
          <w:color w:val="000000" w:themeColor="text1"/>
          <w:sz w:val="24"/>
          <w:szCs w:val="24"/>
        </w:rPr>
        <w:t>arguments related to requirements under PAJA or legality, will not be pertinently addressed in assessing the merits of the application.</w:t>
      </w:r>
    </w:p>
    <w:p w14:paraId="32153E05" w14:textId="56B7934C" w:rsidR="00113FEB" w:rsidRPr="00B0760E" w:rsidRDefault="00113FEB" w:rsidP="00AA66A5">
      <w:pPr>
        <w:tabs>
          <w:tab w:val="right" w:pos="8208"/>
        </w:tabs>
        <w:spacing w:before="240" w:line="360" w:lineRule="auto"/>
        <w:ind w:left="499" w:hanging="357"/>
        <w:jc w:val="both"/>
        <w:rPr>
          <w:rFonts w:ascii="Arial" w:hAnsi="Arial" w:cs="Arial"/>
          <w:b/>
          <w:bCs/>
          <w:color w:val="000000" w:themeColor="text1"/>
          <w:sz w:val="24"/>
          <w:szCs w:val="24"/>
        </w:rPr>
      </w:pPr>
      <w:r w:rsidRPr="00B0760E">
        <w:rPr>
          <w:rFonts w:ascii="Arial" w:hAnsi="Arial" w:cs="Arial"/>
          <w:b/>
          <w:bCs/>
          <w:color w:val="000000" w:themeColor="text1"/>
          <w:sz w:val="24"/>
          <w:szCs w:val="24"/>
        </w:rPr>
        <w:t>The meri</w:t>
      </w:r>
      <w:r w:rsidR="00EC5A4F" w:rsidRPr="00B0760E">
        <w:rPr>
          <w:rFonts w:ascii="Arial" w:hAnsi="Arial" w:cs="Arial"/>
          <w:b/>
          <w:bCs/>
          <w:color w:val="000000" w:themeColor="text1"/>
          <w:sz w:val="24"/>
          <w:szCs w:val="24"/>
        </w:rPr>
        <w:t>ts of the application</w:t>
      </w:r>
    </w:p>
    <w:p w14:paraId="72AAF138" w14:textId="4CDF6AE9" w:rsidR="00906AAD" w:rsidRPr="00B0760E" w:rsidRDefault="00EF5612" w:rsidP="00A70CE9">
      <w:pPr>
        <w:tabs>
          <w:tab w:val="right" w:pos="8208"/>
        </w:tabs>
        <w:spacing w:before="120" w:line="360" w:lineRule="auto"/>
        <w:ind w:left="499" w:hanging="357"/>
        <w:jc w:val="both"/>
        <w:rPr>
          <w:rFonts w:ascii="Arial" w:hAnsi="Arial" w:cs="Arial"/>
          <w:color w:val="000000" w:themeColor="text1"/>
          <w:sz w:val="24"/>
          <w:szCs w:val="24"/>
          <w:u w:val="single"/>
        </w:rPr>
      </w:pPr>
      <w:r w:rsidRPr="00B0760E">
        <w:rPr>
          <w:rFonts w:ascii="Arial" w:hAnsi="Arial" w:cs="Arial"/>
          <w:color w:val="000000" w:themeColor="text1"/>
          <w:sz w:val="24"/>
          <w:szCs w:val="24"/>
          <w:u w:val="single"/>
        </w:rPr>
        <w:t>Onus</w:t>
      </w:r>
    </w:p>
    <w:p w14:paraId="4CA8BF7F" w14:textId="26428978" w:rsidR="00043FC5" w:rsidRPr="002D0A15" w:rsidRDefault="002D0A15" w:rsidP="002D0A15">
      <w:pPr>
        <w:tabs>
          <w:tab w:val="right" w:pos="8208"/>
        </w:tabs>
        <w:spacing w:before="120" w:line="360" w:lineRule="auto"/>
        <w:ind w:left="499" w:hanging="357"/>
        <w:jc w:val="both"/>
        <w:rPr>
          <w:rFonts w:ascii="Arial" w:hAnsi="Arial" w:cs="Arial"/>
          <w:color w:val="000000" w:themeColor="text1"/>
          <w:sz w:val="24"/>
          <w:szCs w:val="24"/>
        </w:rPr>
      </w:pPr>
      <w:r w:rsidRPr="00B0760E">
        <w:rPr>
          <w:rFonts w:ascii="Arial" w:hAnsi="Arial" w:cs="Arial"/>
          <w:color w:val="000000" w:themeColor="text1"/>
          <w:sz w:val="24"/>
          <w:szCs w:val="24"/>
        </w:rPr>
        <w:t>38)</w:t>
      </w:r>
      <w:r w:rsidRPr="00B0760E">
        <w:rPr>
          <w:rFonts w:ascii="Arial" w:hAnsi="Arial" w:cs="Arial"/>
          <w:color w:val="000000" w:themeColor="text1"/>
          <w:sz w:val="24"/>
          <w:szCs w:val="24"/>
        </w:rPr>
        <w:tab/>
      </w:r>
      <w:r w:rsidR="008B2951" w:rsidRPr="002D0A15">
        <w:rPr>
          <w:rFonts w:ascii="Arial" w:hAnsi="Arial" w:cs="Arial"/>
          <w:color w:val="000000" w:themeColor="text1"/>
          <w:sz w:val="24"/>
          <w:szCs w:val="24"/>
        </w:rPr>
        <w:t>In terms of PAIA, t</w:t>
      </w:r>
      <w:r w:rsidR="00B73F56" w:rsidRPr="002D0A15">
        <w:rPr>
          <w:rFonts w:ascii="Arial" w:hAnsi="Arial" w:cs="Arial"/>
          <w:color w:val="000000" w:themeColor="text1"/>
          <w:sz w:val="24"/>
          <w:szCs w:val="24"/>
        </w:rPr>
        <w:t>he burden is</w:t>
      </w:r>
      <w:r w:rsidR="00A37A35" w:rsidRPr="002D0A15">
        <w:rPr>
          <w:rFonts w:ascii="Arial" w:hAnsi="Arial" w:cs="Arial"/>
          <w:color w:val="000000" w:themeColor="text1"/>
          <w:sz w:val="24"/>
          <w:szCs w:val="24"/>
        </w:rPr>
        <w:t xml:space="preserve"> </w:t>
      </w:r>
      <w:r w:rsidR="00B73F56" w:rsidRPr="002D0A15">
        <w:rPr>
          <w:rFonts w:ascii="Arial" w:hAnsi="Arial" w:cs="Arial"/>
          <w:color w:val="000000" w:themeColor="text1"/>
          <w:sz w:val="24"/>
          <w:szCs w:val="24"/>
        </w:rPr>
        <w:t>on the party refusing access to prov</w:t>
      </w:r>
      <w:r w:rsidR="001A4E23" w:rsidRPr="002D0A15">
        <w:rPr>
          <w:rFonts w:ascii="Arial" w:hAnsi="Arial" w:cs="Arial"/>
          <w:color w:val="000000" w:themeColor="text1"/>
          <w:sz w:val="24"/>
          <w:szCs w:val="24"/>
        </w:rPr>
        <w:t xml:space="preserve">ide sufficient </w:t>
      </w:r>
      <w:r w:rsidR="005D5592" w:rsidRPr="002D0A15">
        <w:rPr>
          <w:rFonts w:ascii="Arial" w:hAnsi="Arial" w:cs="Arial"/>
          <w:color w:val="000000" w:themeColor="text1"/>
          <w:sz w:val="24"/>
          <w:szCs w:val="24"/>
        </w:rPr>
        <w:t>evidence for a conclusion, on the balance of probabilities,</w:t>
      </w:r>
      <w:r w:rsidR="00B73F56" w:rsidRPr="002D0A15">
        <w:rPr>
          <w:rFonts w:ascii="Arial" w:hAnsi="Arial" w:cs="Arial"/>
          <w:color w:val="000000" w:themeColor="text1"/>
          <w:sz w:val="24"/>
          <w:szCs w:val="24"/>
        </w:rPr>
        <w:t xml:space="preserve"> that the record in question falls within the </w:t>
      </w:r>
      <w:r w:rsidR="00D22839" w:rsidRPr="002D0A15">
        <w:rPr>
          <w:rFonts w:ascii="Arial" w:hAnsi="Arial" w:cs="Arial"/>
          <w:color w:val="000000" w:themeColor="text1"/>
          <w:sz w:val="24"/>
          <w:szCs w:val="24"/>
        </w:rPr>
        <w:t>description</w:t>
      </w:r>
      <w:r w:rsidR="00B73F56" w:rsidRPr="002D0A15">
        <w:rPr>
          <w:rFonts w:ascii="Arial" w:hAnsi="Arial" w:cs="Arial"/>
          <w:color w:val="000000" w:themeColor="text1"/>
          <w:sz w:val="24"/>
          <w:szCs w:val="24"/>
        </w:rPr>
        <w:t xml:space="preserve"> of the statutory exemption it seeks to claim</w:t>
      </w:r>
      <w:r w:rsidR="00E93BAB" w:rsidRPr="002D0A15">
        <w:rPr>
          <w:rFonts w:ascii="Arial" w:hAnsi="Arial" w:cs="Arial"/>
          <w:color w:val="000000" w:themeColor="text1"/>
          <w:sz w:val="24"/>
          <w:szCs w:val="24"/>
        </w:rPr>
        <w:t>.</w:t>
      </w:r>
      <w:r w:rsidR="00B73F56" w:rsidRPr="00B0760E">
        <w:rPr>
          <w:rStyle w:val="FootnoteReference"/>
          <w:rFonts w:ascii="Arial" w:hAnsi="Arial" w:cs="Arial"/>
          <w:color w:val="000000" w:themeColor="text1"/>
          <w:sz w:val="24"/>
          <w:szCs w:val="24"/>
        </w:rPr>
        <w:footnoteReference w:id="15"/>
      </w:r>
    </w:p>
    <w:p w14:paraId="68B1C0C4" w14:textId="4A886AAB" w:rsidR="00216B59" w:rsidRPr="002D0A15" w:rsidRDefault="002D0A15" w:rsidP="002D0A15">
      <w:pPr>
        <w:tabs>
          <w:tab w:val="right" w:pos="8208"/>
        </w:tabs>
        <w:spacing w:before="120" w:line="360" w:lineRule="auto"/>
        <w:ind w:left="360" w:hanging="360"/>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39)</w:t>
      </w:r>
      <w:r w:rsidRPr="00B0760E">
        <w:rPr>
          <w:rFonts w:ascii="Arial" w:hAnsi="Arial" w:cs="Arial"/>
          <w:color w:val="000000" w:themeColor="text1"/>
          <w:sz w:val="24"/>
          <w:szCs w:val="24"/>
        </w:rPr>
        <w:tab/>
      </w:r>
      <w:r w:rsidR="00216B59" w:rsidRPr="002D0A15">
        <w:rPr>
          <w:rFonts w:ascii="Arial" w:hAnsi="Arial" w:cs="Arial"/>
          <w:color w:val="000000" w:themeColor="text1"/>
          <w:sz w:val="24"/>
          <w:szCs w:val="24"/>
        </w:rPr>
        <w:t xml:space="preserve">On the day of hearing, I enquired from the parties whether the </w:t>
      </w:r>
      <w:r w:rsidR="00566C8A" w:rsidRPr="002D0A15">
        <w:rPr>
          <w:rFonts w:ascii="Arial" w:hAnsi="Arial" w:cs="Arial"/>
          <w:color w:val="000000" w:themeColor="text1"/>
          <w:sz w:val="24"/>
          <w:szCs w:val="24"/>
        </w:rPr>
        <w:t>Respondent</w:t>
      </w:r>
      <w:r w:rsidR="00216B59" w:rsidRPr="002D0A15">
        <w:rPr>
          <w:rFonts w:ascii="Arial" w:hAnsi="Arial" w:cs="Arial"/>
          <w:color w:val="000000" w:themeColor="text1"/>
          <w:sz w:val="24"/>
          <w:szCs w:val="24"/>
        </w:rPr>
        <w:t xml:space="preserve"> is a public or a private body, as this had not been pertinently </w:t>
      </w:r>
      <w:r w:rsidR="00E465E6" w:rsidRPr="002D0A15">
        <w:rPr>
          <w:rFonts w:ascii="Arial" w:hAnsi="Arial" w:cs="Arial"/>
          <w:color w:val="000000" w:themeColor="text1"/>
          <w:sz w:val="24"/>
          <w:szCs w:val="24"/>
        </w:rPr>
        <w:t>raised</w:t>
      </w:r>
      <w:r w:rsidR="00216B59" w:rsidRPr="002D0A15">
        <w:rPr>
          <w:rFonts w:ascii="Arial" w:hAnsi="Arial" w:cs="Arial"/>
          <w:color w:val="000000" w:themeColor="text1"/>
          <w:sz w:val="24"/>
          <w:szCs w:val="24"/>
        </w:rPr>
        <w:t xml:space="preserve"> in the papers.</w:t>
      </w:r>
      <w:r w:rsidR="005A1673" w:rsidRPr="002D0A15">
        <w:rPr>
          <w:rFonts w:ascii="Arial" w:hAnsi="Arial" w:cs="Arial"/>
          <w:color w:val="000000" w:themeColor="text1"/>
          <w:sz w:val="24"/>
          <w:szCs w:val="24"/>
        </w:rPr>
        <w:t xml:space="preserve"> After some queries regarding the relevance of this</w:t>
      </w:r>
      <w:r w:rsidR="000F47AB" w:rsidRPr="002D0A15">
        <w:rPr>
          <w:rFonts w:ascii="Arial" w:hAnsi="Arial" w:cs="Arial"/>
          <w:color w:val="000000" w:themeColor="text1"/>
          <w:sz w:val="24"/>
          <w:szCs w:val="24"/>
        </w:rPr>
        <w:t>,</w:t>
      </w:r>
      <w:r w:rsidR="00216B59" w:rsidRPr="002D0A15">
        <w:rPr>
          <w:rFonts w:ascii="Arial" w:hAnsi="Arial" w:cs="Arial"/>
          <w:color w:val="000000" w:themeColor="text1"/>
          <w:sz w:val="24"/>
          <w:szCs w:val="24"/>
        </w:rPr>
        <w:t xml:space="preserve"> </w:t>
      </w:r>
      <w:r w:rsidR="000F47AB" w:rsidRPr="002D0A15">
        <w:rPr>
          <w:rFonts w:ascii="Arial" w:hAnsi="Arial" w:cs="Arial"/>
          <w:color w:val="000000" w:themeColor="text1"/>
          <w:sz w:val="24"/>
          <w:szCs w:val="24"/>
        </w:rPr>
        <w:t>c</w:t>
      </w:r>
      <w:r w:rsidR="00216B59" w:rsidRPr="002D0A15">
        <w:rPr>
          <w:rFonts w:ascii="Arial" w:hAnsi="Arial" w:cs="Arial"/>
          <w:color w:val="000000" w:themeColor="text1"/>
          <w:sz w:val="24"/>
          <w:szCs w:val="24"/>
        </w:rPr>
        <w:t xml:space="preserve">ounsel for the </w:t>
      </w:r>
      <w:r w:rsidR="00566C8A" w:rsidRPr="002D0A15">
        <w:rPr>
          <w:rFonts w:ascii="Arial" w:hAnsi="Arial" w:cs="Arial"/>
          <w:color w:val="000000" w:themeColor="text1"/>
          <w:sz w:val="24"/>
          <w:szCs w:val="24"/>
        </w:rPr>
        <w:t>Respondent</w:t>
      </w:r>
      <w:r w:rsidR="00216B59" w:rsidRPr="002D0A15">
        <w:rPr>
          <w:rFonts w:ascii="Arial" w:hAnsi="Arial" w:cs="Arial"/>
          <w:color w:val="000000" w:themeColor="text1"/>
          <w:sz w:val="24"/>
          <w:szCs w:val="24"/>
        </w:rPr>
        <w:t xml:space="preserve"> submitted that the </w:t>
      </w:r>
      <w:r w:rsidR="00566C8A" w:rsidRPr="002D0A15">
        <w:rPr>
          <w:rFonts w:ascii="Arial" w:hAnsi="Arial" w:cs="Arial"/>
          <w:color w:val="000000" w:themeColor="text1"/>
          <w:sz w:val="24"/>
          <w:szCs w:val="24"/>
        </w:rPr>
        <w:t>Respondent</w:t>
      </w:r>
      <w:r w:rsidR="00216B59" w:rsidRPr="002D0A15">
        <w:rPr>
          <w:rFonts w:ascii="Arial" w:hAnsi="Arial" w:cs="Arial"/>
          <w:color w:val="000000" w:themeColor="text1"/>
          <w:sz w:val="24"/>
          <w:szCs w:val="24"/>
        </w:rPr>
        <w:t xml:space="preserve"> is a public body. This determination is highly relevant when the </w:t>
      </w:r>
      <w:r w:rsidR="00566C8A" w:rsidRPr="002D0A15">
        <w:rPr>
          <w:rFonts w:ascii="Arial" w:hAnsi="Arial" w:cs="Arial"/>
          <w:color w:val="000000" w:themeColor="text1"/>
          <w:sz w:val="24"/>
          <w:szCs w:val="24"/>
        </w:rPr>
        <w:t>Court</w:t>
      </w:r>
      <w:r w:rsidR="00216B59" w:rsidRPr="002D0A15">
        <w:rPr>
          <w:rFonts w:ascii="Arial" w:hAnsi="Arial" w:cs="Arial"/>
          <w:color w:val="000000" w:themeColor="text1"/>
          <w:sz w:val="24"/>
          <w:szCs w:val="24"/>
        </w:rPr>
        <w:t xml:space="preserve"> has to establish whether the </w:t>
      </w:r>
      <w:r w:rsidR="00566C8A" w:rsidRPr="002D0A15">
        <w:rPr>
          <w:rFonts w:ascii="Arial" w:hAnsi="Arial" w:cs="Arial"/>
          <w:color w:val="000000" w:themeColor="text1"/>
          <w:sz w:val="24"/>
          <w:szCs w:val="24"/>
        </w:rPr>
        <w:t>Applicant</w:t>
      </w:r>
      <w:r w:rsidR="00216B59" w:rsidRPr="002D0A15">
        <w:rPr>
          <w:rFonts w:ascii="Arial" w:hAnsi="Arial" w:cs="Arial"/>
          <w:color w:val="000000" w:themeColor="text1"/>
          <w:sz w:val="24"/>
          <w:szCs w:val="24"/>
        </w:rPr>
        <w:t xml:space="preserve"> has discharged her onus in terms of PAIA. Section 11, which deals with public bodies, requires only that the </w:t>
      </w:r>
      <w:r w:rsidR="00566C8A" w:rsidRPr="002D0A15">
        <w:rPr>
          <w:rFonts w:ascii="Arial" w:hAnsi="Arial" w:cs="Arial"/>
          <w:color w:val="000000" w:themeColor="text1"/>
          <w:sz w:val="24"/>
          <w:szCs w:val="24"/>
        </w:rPr>
        <w:t>Applicant</w:t>
      </w:r>
      <w:r w:rsidR="00216B59" w:rsidRPr="002D0A15">
        <w:rPr>
          <w:rFonts w:ascii="Arial" w:hAnsi="Arial" w:cs="Arial"/>
          <w:color w:val="000000" w:themeColor="text1"/>
          <w:sz w:val="24"/>
          <w:szCs w:val="24"/>
        </w:rPr>
        <w:t xml:space="preserve"> meet the procedural requirements of PAIA. Once she has so complied, the </w:t>
      </w:r>
      <w:r w:rsidR="00566C8A" w:rsidRPr="002D0A15">
        <w:rPr>
          <w:rFonts w:ascii="Arial" w:hAnsi="Arial" w:cs="Arial"/>
          <w:color w:val="000000" w:themeColor="text1"/>
          <w:sz w:val="24"/>
          <w:szCs w:val="24"/>
        </w:rPr>
        <w:t>Respondent</w:t>
      </w:r>
      <w:r w:rsidR="00216B59" w:rsidRPr="002D0A15">
        <w:rPr>
          <w:rFonts w:ascii="Arial" w:hAnsi="Arial" w:cs="Arial"/>
          <w:color w:val="000000" w:themeColor="text1"/>
          <w:sz w:val="24"/>
          <w:szCs w:val="24"/>
        </w:rPr>
        <w:t xml:space="preserve"> is obligated to provide the records, unless it can prove that such a record is exempt from disclosure in terms of PAIA.  Had the </w:t>
      </w:r>
      <w:r w:rsidR="00566C8A" w:rsidRPr="002D0A15">
        <w:rPr>
          <w:rFonts w:ascii="Arial" w:hAnsi="Arial" w:cs="Arial"/>
          <w:color w:val="000000" w:themeColor="text1"/>
          <w:sz w:val="24"/>
          <w:szCs w:val="24"/>
        </w:rPr>
        <w:t>Respondent</w:t>
      </w:r>
      <w:r w:rsidR="00216B59" w:rsidRPr="002D0A15">
        <w:rPr>
          <w:rFonts w:ascii="Arial" w:hAnsi="Arial" w:cs="Arial"/>
          <w:color w:val="000000" w:themeColor="text1"/>
          <w:sz w:val="24"/>
          <w:szCs w:val="24"/>
        </w:rPr>
        <w:t xml:space="preserve"> been a private body, the </w:t>
      </w:r>
      <w:r w:rsidR="00566C8A" w:rsidRPr="002D0A15">
        <w:rPr>
          <w:rFonts w:ascii="Arial" w:hAnsi="Arial" w:cs="Arial"/>
          <w:color w:val="000000" w:themeColor="text1"/>
          <w:sz w:val="24"/>
          <w:szCs w:val="24"/>
        </w:rPr>
        <w:t>Applicant</w:t>
      </w:r>
      <w:r w:rsidR="00216B59" w:rsidRPr="002D0A15">
        <w:rPr>
          <w:rFonts w:ascii="Arial" w:hAnsi="Arial" w:cs="Arial"/>
          <w:color w:val="000000" w:themeColor="text1"/>
          <w:sz w:val="24"/>
          <w:szCs w:val="24"/>
        </w:rPr>
        <w:t xml:space="preserve"> would also have had to show that the information requested is required ‘</w:t>
      </w:r>
      <w:r w:rsidR="00216B59" w:rsidRPr="002D0A15">
        <w:rPr>
          <w:rFonts w:ascii="Arial" w:hAnsi="Arial" w:cs="Arial"/>
          <w:i/>
          <w:iCs/>
          <w:color w:val="000000" w:themeColor="text1"/>
          <w:sz w:val="24"/>
          <w:szCs w:val="24"/>
        </w:rPr>
        <w:t>for the protection of any rights’</w:t>
      </w:r>
      <w:r w:rsidR="00216B59" w:rsidRPr="002D0A15">
        <w:rPr>
          <w:rFonts w:ascii="Arial" w:hAnsi="Arial" w:cs="Arial"/>
          <w:color w:val="000000" w:themeColor="text1"/>
          <w:sz w:val="24"/>
          <w:szCs w:val="24"/>
        </w:rPr>
        <w:t xml:space="preserve"> in terms of Section 50.</w:t>
      </w:r>
    </w:p>
    <w:p w14:paraId="18457B20" w14:textId="754D3A4B" w:rsidR="00C612A0"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40)</w:t>
      </w:r>
      <w:r w:rsidRPr="00B0760E">
        <w:rPr>
          <w:rFonts w:ascii="Arial" w:hAnsi="Arial" w:cs="Arial"/>
          <w:color w:val="000000" w:themeColor="text1"/>
          <w:sz w:val="24"/>
          <w:szCs w:val="24"/>
        </w:rPr>
        <w:tab/>
      </w:r>
      <w:r w:rsidR="00E66D27" w:rsidRPr="002D0A15">
        <w:rPr>
          <w:rFonts w:ascii="Arial" w:hAnsi="Arial" w:cs="Arial"/>
          <w:color w:val="000000" w:themeColor="text1"/>
          <w:sz w:val="24"/>
          <w:szCs w:val="24"/>
        </w:rPr>
        <w:t xml:space="preserve">It not being in dispute that the </w:t>
      </w:r>
      <w:r w:rsidR="00566C8A" w:rsidRPr="002D0A15">
        <w:rPr>
          <w:rFonts w:ascii="Arial" w:hAnsi="Arial" w:cs="Arial"/>
          <w:color w:val="000000" w:themeColor="text1"/>
          <w:sz w:val="24"/>
          <w:szCs w:val="24"/>
        </w:rPr>
        <w:t>Applicant</w:t>
      </w:r>
      <w:r w:rsidR="00E66D27" w:rsidRPr="002D0A15">
        <w:rPr>
          <w:rFonts w:ascii="Arial" w:hAnsi="Arial" w:cs="Arial"/>
          <w:color w:val="000000" w:themeColor="text1"/>
          <w:sz w:val="24"/>
          <w:szCs w:val="24"/>
        </w:rPr>
        <w:t xml:space="preserve"> complied with the procedural requirements </w:t>
      </w:r>
      <w:r w:rsidR="0046105B" w:rsidRPr="002D0A15">
        <w:rPr>
          <w:rFonts w:ascii="Arial" w:hAnsi="Arial" w:cs="Arial"/>
          <w:color w:val="000000" w:themeColor="text1"/>
          <w:sz w:val="24"/>
          <w:szCs w:val="24"/>
        </w:rPr>
        <w:t>of PAIA</w:t>
      </w:r>
      <w:r w:rsidR="00D6526E" w:rsidRPr="002D0A15">
        <w:rPr>
          <w:rFonts w:ascii="Arial" w:hAnsi="Arial" w:cs="Arial"/>
          <w:color w:val="000000" w:themeColor="text1"/>
          <w:sz w:val="24"/>
          <w:szCs w:val="24"/>
        </w:rPr>
        <w:t xml:space="preserve"> and the </w:t>
      </w:r>
      <w:r w:rsidR="00566C8A" w:rsidRPr="002D0A15">
        <w:rPr>
          <w:rFonts w:ascii="Arial" w:hAnsi="Arial" w:cs="Arial"/>
          <w:color w:val="000000" w:themeColor="text1"/>
          <w:sz w:val="24"/>
          <w:szCs w:val="24"/>
        </w:rPr>
        <w:t>Respondent</w:t>
      </w:r>
      <w:r w:rsidR="00BE28F7" w:rsidRPr="002D0A15">
        <w:rPr>
          <w:rFonts w:ascii="Arial" w:hAnsi="Arial" w:cs="Arial"/>
          <w:color w:val="000000" w:themeColor="text1"/>
          <w:sz w:val="24"/>
          <w:szCs w:val="24"/>
        </w:rPr>
        <w:t>’s counsel having</w:t>
      </w:r>
      <w:r w:rsidR="00D6526E" w:rsidRPr="002D0A15">
        <w:rPr>
          <w:rFonts w:ascii="Arial" w:hAnsi="Arial" w:cs="Arial"/>
          <w:color w:val="000000" w:themeColor="text1"/>
          <w:sz w:val="24"/>
          <w:szCs w:val="24"/>
        </w:rPr>
        <w:t xml:space="preserve"> </w:t>
      </w:r>
      <w:r w:rsidR="00795AFE" w:rsidRPr="002D0A15">
        <w:rPr>
          <w:rFonts w:ascii="Arial" w:hAnsi="Arial" w:cs="Arial"/>
          <w:color w:val="000000" w:themeColor="text1"/>
          <w:sz w:val="24"/>
          <w:szCs w:val="24"/>
        </w:rPr>
        <w:t>confirm</w:t>
      </w:r>
      <w:r w:rsidR="00BE28F7" w:rsidRPr="002D0A15">
        <w:rPr>
          <w:rFonts w:ascii="Arial" w:hAnsi="Arial" w:cs="Arial"/>
          <w:color w:val="000000" w:themeColor="text1"/>
          <w:sz w:val="24"/>
          <w:szCs w:val="24"/>
        </w:rPr>
        <w:t>ed that</w:t>
      </w:r>
      <w:r w:rsidR="00795AFE" w:rsidRPr="002D0A15">
        <w:rPr>
          <w:rFonts w:ascii="Arial" w:hAnsi="Arial" w:cs="Arial"/>
          <w:color w:val="000000" w:themeColor="text1"/>
          <w:sz w:val="24"/>
          <w:szCs w:val="24"/>
        </w:rPr>
        <w:t xml:space="preserve"> no issue will be raised regarding</w:t>
      </w:r>
      <w:r w:rsidR="00BE28F7" w:rsidRPr="002D0A15">
        <w:rPr>
          <w:rFonts w:ascii="Arial" w:hAnsi="Arial" w:cs="Arial"/>
          <w:color w:val="000000" w:themeColor="text1"/>
          <w:sz w:val="24"/>
          <w:szCs w:val="24"/>
        </w:rPr>
        <w:t xml:space="preserve"> the exhaustion of</w:t>
      </w:r>
      <w:r w:rsidR="00795AFE" w:rsidRPr="002D0A15">
        <w:rPr>
          <w:rFonts w:ascii="Arial" w:hAnsi="Arial" w:cs="Arial"/>
          <w:color w:val="000000" w:themeColor="text1"/>
          <w:sz w:val="24"/>
          <w:szCs w:val="24"/>
        </w:rPr>
        <w:t xml:space="preserve"> internal remedies</w:t>
      </w:r>
      <w:r w:rsidR="0046105B" w:rsidRPr="002D0A15">
        <w:rPr>
          <w:rFonts w:ascii="Arial" w:hAnsi="Arial" w:cs="Arial"/>
          <w:color w:val="000000" w:themeColor="text1"/>
          <w:sz w:val="24"/>
          <w:szCs w:val="24"/>
        </w:rPr>
        <w:t xml:space="preserve">, the onus </w:t>
      </w:r>
      <w:r w:rsidR="00BA2774" w:rsidRPr="002D0A15">
        <w:rPr>
          <w:rFonts w:ascii="Arial" w:hAnsi="Arial" w:cs="Arial"/>
          <w:color w:val="000000" w:themeColor="text1"/>
          <w:sz w:val="24"/>
          <w:szCs w:val="24"/>
        </w:rPr>
        <w:t>then shifted</w:t>
      </w:r>
      <w:r w:rsidR="0046105B" w:rsidRPr="002D0A15">
        <w:rPr>
          <w:rFonts w:ascii="Arial" w:hAnsi="Arial" w:cs="Arial"/>
          <w:color w:val="000000" w:themeColor="text1"/>
          <w:sz w:val="24"/>
          <w:szCs w:val="24"/>
        </w:rPr>
        <w:t xml:space="preserve"> to the </w:t>
      </w:r>
      <w:r w:rsidR="00566C8A" w:rsidRPr="002D0A15">
        <w:rPr>
          <w:rFonts w:ascii="Arial" w:hAnsi="Arial" w:cs="Arial"/>
          <w:color w:val="000000" w:themeColor="text1"/>
          <w:sz w:val="24"/>
          <w:szCs w:val="24"/>
        </w:rPr>
        <w:t>Respondent</w:t>
      </w:r>
      <w:r w:rsidR="0046105B" w:rsidRPr="002D0A15">
        <w:rPr>
          <w:rFonts w:ascii="Arial" w:hAnsi="Arial" w:cs="Arial"/>
          <w:color w:val="000000" w:themeColor="text1"/>
          <w:sz w:val="24"/>
          <w:szCs w:val="24"/>
        </w:rPr>
        <w:t xml:space="preserve"> to prove that </w:t>
      </w:r>
      <w:r w:rsidR="002E29F0" w:rsidRPr="002D0A15">
        <w:rPr>
          <w:rFonts w:ascii="Arial" w:hAnsi="Arial" w:cs="Arial"/>
          <w:color w:val="000000" w:themeColor="text1"/>
          <w:sz w:val="24"/>
          <w:szCs w:val="24"/>
        </w:rPr>
        <w:t>the requested records are exempt from disclosure</w:t>
      </w:r>
      <w:r w:rsidR="00F428DA" w:rsidRPr="002D0A15">
        <w:rPr>
          <w:rFonts w:ascii="Arial" w:hAnsi="Arial" w:cs="Arial"/>
          <w:color w:val="000000" w:themeColor="text1"/>
          <w:sz w:val="24"/>
          <w:szCs w:val="24"/>
        </w:rPr>
        <w:t xml:space="preserve"> by virtue of </w:t>
      </w:r>
      <w:r w:rsidR="00052921" w:rsidRPr="002D0A15">
        <w:rPr>
          <w:rFonts w:ascii="Arial" w:hAnsi="Arial" w:cs="Arial"/>
          <w:color w:val="000000" w:themeColor="text1"/>
          <w:sz w:val="24"/>
          <w:szCs w:val="24"/>
        </w:rPr>
        <w:t xml:space="preserve">statute. </w:t>
      </w:r>
    </w:p>
    <w:p w14:paraId="0479850B" w14:textId="3D521E12" w:rsidR="00973117"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41)</w:t>
      </w:r>
      <w:r w:rsidRPr="00B0760E">
        <w:rPr>
          <w:rFonts w:ascii="Arial" w:hAnsi="Arial" w:cs="Arial"/>
          <w:color w:val="000000" w:themeColor="text1"/>
          <w:sz w:val="24"/>
          <w:szCs w:val="24"/>
        </w:rPr>
        <w:tab/>
      </w:r>
      <w:r w:rsidR="00AC710D" w:rsidRPr="002D0A15">
        <w:rPr>
          <w:rFonts w:ascii="Arial" w:hAnsi="Arial" w:cs="Arial"/>
          <w:color w:val="000000" w:themeColor="text1"/>
          <w:sz w:val="24"/>
          <w:szCs w:val="24"/>
        </w:rPr>
        <w:t>Regarding the sufficiency of proof</w:t>
      </w:r>
      <w:r w:rsidR="002E29F0" w:rsidRPr="002D0A15">
        <w:rPr>
          <w:rFonts w:ascii="Arial" w:hAnsi="Arial" w:cs="Arial"/>
          <w:color w:val="000000" w:themeColor="text1"/>
          <w:sz w:val="24"/>
          <w:szCs w:val="24"/>
        </w:rPr>
        <w:t>, t</w:t>
      </w:r>
      <w:r w:rsidR="00973117" w:rsidRPr="002D0A15">
        <w:rPr>
          <w:rFonts w:ascii="Arial" w:hAnsi="Arial" w:cs="Arial"/>
          <w:color w:val="000000" w:themeColor="text1"/>
          <w:sz w:val="24"/>
          <w:szCs w:val="24"/>
        </w:rPr>
        <w:t xml:space="preserve">he </w:t>
      </w:r>
      <w:r w:rsidR="0090753B" w:rsidRPr="002D0A15">
        <w:rPr>
          <w:rFonts w:ascii="Arial" w:hAnsi="Arial" w:cs="Arial"/>
          <w:color w:val="000000" w:themeColor="text1"/>
          <w:sz w:val="24"/>
          <w:szCs w:val="24"/>
        </w:rPr>
        <w:t>Constitution</w:t>
      </w:r>
      <w:r w:rsidR="00973117" w:rsidRPr="002D0A15">
        <w:rPr>
          <w:rFonts w:ascii="Arial" w:hAnsi="Arial" w:cs="Arial"/>
          <w:color w:val="000000" w:themeColor="text1"/>
          <w:sz w:val="24"/>
          <w:szCs w:val="24"/>
        </w:rPr>
        <w:t xml:space="preserve">al </w:t>
      </w:r>
      <w:r w:rsidR="00566C8A" w:rsidRPr="002D0A15">
        <w:rPr>
          <w:rFonts w:ascii="Arial" w:hAnsi="Arial" w:cs="Arial"/>
          <w:color w:val="000000" w:themeColor="text1"/>
          <w:sz w:val="24"/>
          <w:szCs w:val="24"/>
        </w:rPr>
        <w:t>Court</w:t>
      </w:r>
      <w:r w:rsidR="00973117" w:rsidRPr="002D0A15">
        <w:rPr>
          <w:rFonts w:ascii="Arial" w:hAnsi="Arial" w:cs="Arial"/>
          <w:color w:val="000000" w:themeColor="text1"/>
          <w:sz w:val="24"/>
          <w:szCs w:val="24"/>
        </w:rPr>
        <w:t xml:space="preserve">, in 2011, in </w:t>
      </w:r>
      <w:r w:rsidR="00973117" w:rsidRPr="002D0A15">
        <w:rPr>
          <w:rFonts w:ascii="Arial" w:hAnsi="Arial" w:cs="Arial"/>
          <w:i/>
          <w:iCs/>
          <w:color w:val="000000" w:themeColor="text1"/>
          <w:sz w:val="24"/>
          <w:szCs w:val="24"/>
        </w:rPr>
        <w:t>President of the Republic of South Africa and Others v M &amp; G Media Ltd</w:t>
      </w:r>
      <w:r w:rsidR="00973117" w:rsidRPr="002D0A15">
        <w:rPr>
          <w:rFonts w:ascii="Arial" w:hAnsi="Arial" w:cs="Arial"/>
          <w:color w:val="000000" w:themeColor="text1"/>
          <w:sz w:val="24"/>
          <w:szCs w:val="24"/>
        </w:rPr>
        <w:t xml:space="preserve">  (“</w:t>
      </w:r>
      <w:r w:rsidR="00973117" w:rsidRPr="002D0A15">
        <w:rPr>
          <w:rFonts w:ascii="Arial" w:hAnsi="Arial" w:cs="Arial"/>
          <w:i/>
          <w:iCs/>
          <w:color w:val="000000" w:themeColor="text1"/>
          <w:sz w:val="24"/>
          <w:szCs w:val="24"/>
        </w:rPr>
        <w:t>President v M&amp;G (2011 CC)</w:t>
      </w:r>
      <w:r w:rsidR="00973117" w:rsidRPr="002D0A15">
        <w:rPr>
          <w:rFonts w:ascii="Arial" w:hAnsi="Arial" w:cs="Arial"/>
          <w:color w:val="000000" w:themeColor="text1"/>
          <w:sz w:val="24"/>
          <w:szCs w:val="24"/>
        </w:rPr>
        <w:t xml:space="preserve">”) held that it is not sufficient for the </w:t>
      </w:r>
      <w:r w:rsidR="00566C8A" w:rsidRPr="002D0A15">
        <w:rPr>
          <w:rFonts w:ascii="Arial" w:hAnsi="Arial" w:cs="Arial"/>
          <w:color w:val="000000" w:themeColor="text1"/>
          <w:sz w:val="24"/>
          <w:szCs w:val="24"/>
        </w:rPr>
        <w:t>Respondent</w:t>
      </w:r>
      <w:r w:rsidR="00973117" w:rsidRPr="002D0A15">
        <w:rPr>
          <w:rFonts w:ascii="Arial" w:hAnsi="Arial" w:cs="Arial"/>
          <w:color w:val="000000" w:themeColor="text1"/>
          <w:sz w:val="24"/>
          <w:szCs w:val="24"/>
        </w:rPr>
        <w:t xml:space="preserve"> to merely recite the wording of the statutory exemption relied upon</w:t>
      </w:r>
      <w:r w:rsidR="00973117" w:rsidRPr="00B0760E">
        <w:rPr>
          <w:rStyle w:val="FootnoteReference"/>
          <w:rFonts w:ascii="Arial" w:hAnsi="Arial" w:cs="Arial"/>
          <w:color w:val="000000" w:themeColor="text1"/>
          <w:sz w:val="24"/>
          <w:szCs w:val="24"/>
        </w:rPr>
        <w:footnoteReference w:id="16"/>
      </w:r>
      <w:r w:rsidR="00973117" w:rsidRPr="002D0A15">
        <w:rPr>
          <w:rFonts w:ascii="Arial" w:hAnsi="Arial" w:cs="Arial"/>
          <w:color w:val="000000" w:themeColor="text1"/>
          <w:sz w:val="24"/>
          <w:szCs w:val="24"/>
        </w:rPr>
        <w:t xml:space="preserve"> and laid down the following principles:</w:t>
      </w:r>
    </w:p>
    <w:p w14:paraId="44F1BA82" w14:textId="1CFE332D" w:rsidR="00973117"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973117" w:rsidRPr="002D0A15">
        <w:rPr>
          <w:rFonts w:ascii="Arial" w:hAnsi="Arial" w:cs="Arial"/>
          <w:color w:val="000000" w:themeColor="text1"/>
          <w:sz w:val="24"/>
          <w:szCs w:val="24"/>
        </w:rPr>
        <w:t>“</w:t>
      </w:r>
      <w:r w:rsidR="00973117" w:rsidRPr="002D0A15">
        <w:rPr>
          <w:rFonts w:ascii="Arial" w:hAnsi="Arial" w:cs="Arial"/>
          <w:i/>
          <w:iCs/>
          <w:color w:val="000000" w:themeColor="text1"/>
          <w:sz w:val="24"/>
          <w:szCs w:val="24"/>
        </w:rPr>
        <w:t>Affidavits must subscribe the justification for non-disclosure with reasonably specific detail for the requester of information to be able to mount an effective case against the agency's claim for exemption</w:t>
      </w:r>
      <w:r w:rsidR="00973117" w:rsidRPr="002D0A15">
        <w:rPr>
          <w:rFonts w:ascii="Arial" w:hAnsi="Arial" w:cs="Arial"/>
          <w:color w:val="000000" w:themeColor="text1"/>
          <w:sz w:val="24"/>
          <w:szCs w:val="24"/>
        </w:rPr>
        <w:t>.”</w:t>
      </w:r>
      <w:r w:rsidR="00973117" w:rsidRPr="00B0760E">
        <w:rPr>
          <w:rStyle w:val="FootnoteReference"/>
          <w:rFonts w:ascii="Arial" w:hAnsi="Arial" w:cs="Arial"/>
          <w:color w:val="000000" w:themeColor="text1"/>
          <w:sz w:val="24"/>
          <w:szCs w:val="24"/>
        </w:rPr>
        <w:footnoteReference w:id="17"/>
      </w:r>
    </w:p>
    <w:p w14:paraId="1388DC56" w14:textId="267AE5B3" w:rsidR="00973117"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973117" w:rsidRPr="002D0A15">
        <w:rPr>
          <w:rFonts w:ascii="Arial" w:hAnsi="Arial" w:cs="Arial"/>
          <w:color w:val="000000" w:themeColor="text1"/>
          <w:sz w:val="24"/>
          <w:szCs w:val="24"/>
        </w:rPr>
        <w:t>“</w:t>
      </w:r>
      <w:r w:rsidR="00973117" w:rsidRPr="002D0A15">
        <w:rPr>
          <w:rFonts w:ascii="Arial" w:hAnsi="Arial" w:cs="Arial"/>
          <w:i/>
          <w:iCs/>
          <w:color w:val="000000" w:themeColor="text1"/>
          <w:sz w:val="24"/>
          <w:szCs w:val="24"/>
        </w:rPr>
        <w:t xml:space="preserve">The affidavits for the </w:t>
      </w:r>
      <w:r w:rsidR="00245167" w:rsidRPr="002D0A15">
        <w:rPr>
          <w:rFonts w:ascii="Arial" w:hAnsi="Arial" w:cs="Arial"/>
          <w:i/>
          <w:iCs/>
          <w:color w:val="000000" w:themeColor="text1"/>
          <w:sz w:val="24"/>
          <w:szCs w:val="24"/>
        </w:rPr>
        <w:t>State</w:t>
      </w:r>
      <w:r w:rsidR="00973117" w:rsidRPr="002D0A15">
        <w:rPr>
          <w:rFonts w:ascii="Arial" w:hAnsi="Arial" w:cs="Arial"/>
          <w:i/>
          <w:iCs/>
          <w:color w:val="000000" w:themeColor="text1"/>
          <w:sz w:val="24"/>
          <w:szCs w:val="24"/>
        </w:rPr>
        <w:t xml:space="preserve"> must provide sufficient information to bring the record within the exemption claimed. This recognises that access to information held by the </w:t>
      </w:r>
      <w:r w:rsidR="00245167" w:rsidRPr="002D0A15">
        <w:rPr>
          <w:rFonts w:ascii="Arial" w:hAnsi="Arial" w:cs="Arial"/>
          <w:i/>
          <w:iCs/>
          <w:color w:val="000000" w:themeColor="text1"/>
          <w:sz w:val="24"/>
          <w:szCs w:val="24"/>
        </w:rPr>
        <w:t>State</w:t>
      </w:r>
      <w:r w:rsidR="00973117" w:rsidRPr="002D0A15">
        <w:rPr>
          <w:rFonts w:ascii="Arial" w:hAnsi="Arial" w:cs="Arial"/>
          <w:i/>
          <w:iCs/>
          <w:color w:val="000000" w:themeColor="text1"/>
          <w:sz w:val="24"/>
          <w:szCs w:val="24"/>
        </w:rPr>
        <w:t xml:space="preserve"> is important to promoting transparent and accountable government, and people's enjoyment of their rights under the Bill of Rights depends on such transparent and accountable government</w:t>
      </w:r>
      <w:r w:rsidR="00973117" w:rsidRPr="002D0A15">
        <w:rPr>
          <w:rFonts w:ascii="Arial" w:hAnsi="Arial" w:cs="Arial"/>
          <w:color w:val="000000" w:themeColor="text1"/>
          <w:sz w:val="24"/>
          <w:szCs w:val="24"/>
        </w:rPr>
        <w:t>.”</w:t>
      </w:r>
      <w:r w:rsidR="00973117" w:rsidRPr="00B0760E">
        <w:rPr>
          <w:rStyle w:val="FootnoteReference"/>
          <w:rFonts w:ascii="Arial" w:hAnsi="Arial" w:cs="Arial"/>
          <w:color w:val="000000" w:themeColor="text1"/>
          <w:sz w:val="24"/>
          <w:szCs w:val="24"/>
        </w:rPr>
        <w:footnoteReference w:id="18"/>
      </w:r>
    </w:p>
    <w:p w14:paraId="3B6218F2" w14:textId="43611E3A" w:rsidR="00F9016D" w:rsidRPr="00B0760E" w:rsidRDefault="00566C8A" w:rsidP="00E358F5">
      <w:pPr>
        <w:tabs>
          <w:tab w:val="right" w:pos="8208"/>
        </w:tabs>
        <w:spacing w:before="240" w:line="360" w:lineRule="auto"/>
        <w:ind w:left="709" w:hanging="720"/>
        <w:jc w:val="both"/>
        <w:rPr>
          <w:rFonts w:ascii="Arial" w:hAnsi="Arial" w:cs="Arial"/>
          <w:b/>
          <w:bCs/>
          <w:color w:val="000000" w:themeColor="text1"/>
          <w:sz w:val="24"/>
          <w:szCs w:val="24"/>
        </w:rPr>
      </w:pPr>
      <w:r>
        <w:rPr>
          <w:rFonts w:ascii="Arial" w:hAnsi="Arial" w:cs="Arial"/>
          <w:b/>
          <w:bCs/>
          <w:color w:val="000000" w:themeColor="text1"/>
          <w:sz w:val="24"/>
          <w:szCs w:val="24"/>
        </w:rPr>
        <w:t>Respondent</w:t>
      </w:r>
      <w:r w:rsidR="00E203AE" w:rsidRPr="00B0760E">
        <w:rPr>
          <w:rFonts w:ascii="Arial" w:hAnsi="Arial" w:cs="Arial"/>
          <w:b/>
          <w:bCs/>
          <w:color w:val="000000" w:themeColor="text1"/>
          <w:sz w:val="24"/>
          <w:szCs w:val="24"/>
        </w:rPr>
        <w:t>’</w:t>
      </w:r>
      <w:r w:rsidR="0041662B" w:rsidRPr="00B0760E">
        <w:rPr>
          <w:rFonts w:ascii="Arial" w:hAnsi="Arial" w:cs="Arial"/>
          <w:b/>
          <w:bCs/>
          <w:color w:val="000000" w:themeColor="text1"/>
          <w:sz w:val="24"/>
          <w:szCs w:val="24"/>
        </w:rPr>
        <w:t>s justifications for refusal of access</w:t>
      </w:r>
      <w:r w:rsidR="00F66C8B" w:rsidRPr="00B0760E">
        <w:rPr>
          <w:rFonts w:ascii="Arial" w:hAnsi="Arial" w:cs="Arial"/>
          <w:b/>
          <w:bCs/>
          <w:color w:val="000000" w:themeColor="text1"/>
          <w:sz w:val="24"/>
          <w:szCs w:val="24"/>
        </w:rPr>
        <w:t xml:space="preserve">  </w:t>
      </w:r>
    </w:p>
    <w:p w14:paraId="5C98BF5A" w14:textId="63D0E94C" w:rsidR="00F929E8" w:rsidRPr="002D0A15" w:rsidRDefault="002D0A15" w:rsidP="002D0A15">
      <w:pPr>
        <w:tabs>
          <w:tab w:val="right" w:pos="8208"/>
        </w:tabs>
        <w:spacing w:before="120" w:line="360" w:lineRule="auto"/>
        <w:ind w:left="425" w:hanging="425"/>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42)</w:t>
      </w:r>
      <w:r w:rsidRPr="00B0760E">
        <w:rPr>
          <w:rFonts w:ascii="Arial" w:hAnsi="Arial" w:cs="Arial"/>
          <w:color w:val="000000" w:themeColor="text1"/>
          <w:sz w:val="24"/>
          <w:szCs w:val="24"/>
        </w:rPr>
        <w:tab/>
      </w:r>
      <w:r w:rsidR="00B247EA" w:rsidRPr="002D0A15">
        <w:rPr>
          <w:rFonts w:ascii="Arial" w:hAnsi="Arial" w:cs="Arial"/>
          <w:color w:val="000000" w:themeColor="text1"/>
          <w:sz w:val="24"/>
          <w:szCs w:val="24"/>
        </w:rPr>
        <w:t xml:space="preserve">Despite the refusal letter </w:t>
      </w:r>
      <w:r w:rsidR="00F929E8" w:rsidRPr="002D0A15">
        <w:rPr>
          <w:rFonts w:ascii="Arial" w:hAnsi="Arial" w:cs="Arial"/>
          <w:color w:val="000000" w:themeColor="text1"/>
          <w:sz w:val="24"/>
          <w:szCs w:val="24"/>
        </w:rPr>
        <w:t>proffering</w:t>
      </w:r>
      <w:r w:rsidR="00837929" w:rsidRPr="002D0A15">
        <w:rPr>
          <w:rFonts w:ascii="Arial" w:hAnsi="Arial" w:cs="Arial"/>
          <w:color w:val="000000" w:themeColor="text1"/>
          <w:sz w:val="24"/>
          <w:szCs w:val="24"/>
        </w:rPr>
        <w:t xml:space="preserve"> only the provisions of part 12 of SACARS as reasons for refusing access to the records, the </w:t>
      </w:r>
      <w:r w:rsidR="00566C8A" w:rsidRPr="002D0A15">
        <w:rPr>
          <w:rFonts w:ascii="Arial" w:hAnsi="Arial" w:cs="Arial"/>
          <w:color w:val="000000" w:themeColor="text1"/>
          <w:sz w:val="24"/>
          <w:szCs w:val="24"/>
        </w:rPr>
        <w:t>Respondent</w:t>
      </w:r>
      <w:r w:rsidR="00837929" w:rsidRPr="002D0A15">
        <w:rPr>
          <w:rFonts w:ascii="Arial" w:hAnsi="Arial" w:cs="Arial"/>
          <w:color w:val="000000" w:themeColor="text1"/>
          <w:sz w:val="24"/>
          <w:szCs w:val="24"/>
        </w:rPr>
        <w:t>, in its answering affidavit expanded its reasons</w:t>
      </w:r>
      <w:r w:rsidR="00F929E8" w:rsidRPr="002D0A15">
        <w:rPr>
          <w:rFonts w:ascii="Arial" w:hAnsi="Arial" w:cs="Arial"/>
          <w:color w:val="000000" w:themeColor="text1"/>
          <w:sz w:val="24"/>
          <w:szCs w:val="24"/>
        </w:rPr>
        <w:t xml:space="preserve"> for refusal.</w:t>
      </w:r>
      <w:r w:rsidR="006A3391" w:rsidRPr="002D0A15">
        <w:rPr>
          <w:rFonts w:ascii="Arial" w:hAnsi="Arial" w:cs="Arial"/>
          <w:color w:val="000000" w:themeColor="text1"/>
          <w:sz w:val="24"/>
          <w:szCs w:val="24"/>
        </w:rPr>
        <w:t xml:space="preserve"> </w:t>
      </w:r>
    </w:p>
    <w:p w14:paraId="6D7DD05F" w14:textId="4919EA76" w:rsidR="00FC4FD3" w:rsidRPr="002D0A15" w:rsidRDefault="002D0A15" w:rsidP="002D0A15">
      <w:pPr>
        <w:tabs>
          <w:tab w:val="right" w:pos="8208"/>
        </w:tabs>
        <w:spacing w:before="120" w:line="360" w:lineRule="auto"/>
        <w:ind w:left="425" w:hanging="425"/>
        <w:jc w:val="both"/>
        <w:rPr>
          <w:rFonts w:ascii="Arial" w:hAnsi="Arial" w:cs="Arial"/>
          <w:color w:val="000000" w:themeColor="text1"/>
          <w:sz w:val="24"/>
          <w:szCs w:val="24"/>
        </w:rPr>
      </w:pPr>
      <w:r w:rsidRPr="00B0760E">
        <w:rPr>
          <w:rFonts w:ascii="Arial" w:hAnsi="Arial" w:cs="Arial"/>
          <w:color w:val="000000" w:themeColor="text1"/>
          <w:sz w:val="24"/>
          <w:szCs w:val="24"/>
        </w:rPr>
        <w:t>43)</w:t>
      </w:r>
      <w:r w:rsidRPr="00B0760E">
        <w:rPr>
          <w:rFonts w:ascii="Arial" w:hAnsi="Arial" w:cs="Arial"/>
          <w:color w:val="000000" w:themeColor="text1"/>
          <w:sz w:val="24"/>
          <w:szCs w:val="24"/>
        </w:rPr>
        <w:tab/>
      </w:r>
      <w:r w:rsidR="00F73A54"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3C723A" w:rsidRPr="002D0A15">
        <w:rPr>
          <w:rFonts w:ascii="Arial" w:hAnsi="Arial" w:cs="Arial"/>
          <w:color w:val="000000" w:themeColor="text1"/>
          <w:sz w:val="24"/>
          <w:szCs w:val="24"/>
        </w:rPr>
        <w:t xml:space="preserve"> </w:t>
      </w:r>
      <w:r w:rsidR="00245167" w:rsidRPr="002D0A15">
        <w:rPr>
          <w:rFonts w:ascii="Arial" w:hAnsi="Arial" w:cs="Arial"/>
          <w:color w:val="000000" w:themeColor="text1"/>
          <w:sz w:val="24"/>
          <w:szCs w:val="24"/>
        </w:rPr>
        <w:t>State</w:t>
      </w:r>
      <w:r w:rsidR="003C723A" w:rsidRPr="002D0A15">
        <w:rPr>
          <w:rFonts w:ascii="Arial" w:hAnsi="Arial" w:cs="Arial"/>
          <w:color w:val="000000" w:themeColor="text1"/>
          <w:sz w:val="24"/>
          <w:szCs w:val="24"/>
        </w:rPr>
        <w:t xml:space="preserve">s that the </w:t>
      </w:r>
      <w:r w:rsidR="00FC4FD3" w:rsidRPr="002D0A15">
        <w:rPr>
          <w:rFonts w:ascii="Arial" w:hAnsi="Arial" w:cs="Arial"/>
          <w:color w:val="000000" w:themeColor="text1"/>
          <w:sz w:val="24"/>
          <w:szCs w:val="24"/>
        </w:rPr>
        <w:t>following documents do not exist</w:t>
      </w:r>
      <w:r w:rsidR="003C723A" w:rsidRPr="002D0A15">
        <w:rPr>
          <w:rFonts w:ascii="Arial" w:hAnsi="Arial" w:cs="Arial"/>
          <w:color w:val="000000" w:themeColor="text1"/>
          <w:sz w:val="24"/>
          <w:szCs w:val="24"/>
        </w:rPr>
        <w:t xml:space="preserve"> and</w:t>
      </w:r>
      <w:r w:rsidR="00426E3B" w:rsidRPr="002D0A15">
        <w:rPr>
          <w:rFonts w:ascii="Arial" w:hAnsi="Arial" w:cs="Arial"/>
          <w:color w:val="000000" w:themeColor="text1"/>
          <w:sz w:val="24"/>
          <w:szCs w:val="24"/>
        </w:rPr>
        <w:t>/or</w:t>
      </w:r>
      <w:r w:rsidR="003C723A" w:rsidRPr="002D0A15">
        <w:rPr>
          <w:rFonts w:ascii="Arial" w:hAnsi="Arial" w:cs="Arial"/>
          <w:color w:val="000000" w:themeColor="text1"/>
          <w:sz w:val="24"/>
          <w:szCs w:val="24"/>
        </w:rPr>
        <w:t xml:space="preserve"> are not in its </w:t>
      </w:r>
      <w:r w:rsidR="00127604" w:rsidRPr="002D0A15">
        <w:rPr>
          <w:rFonts w:ascii="Arial" w:hAnsi="Arial" w:cs="Arial"/>
          <w:color w:val="000000" w:themeColor="text1"/>
          <w:sz w:val="24"/>
          <w:szCs w:val="24"/>
        </w:rPr>
        <w:t>possession</w:t>
      </w:r>
      <w:r w:rsidR="00FC4FD3" w:rsidRPr="002D0A15">
        <w:rPr>
          <w:rFonts w:ascii="Arial" w:hAnsi="Arial" w:cs="Arial"/>
          <w:color w:val="000000" w:themeColor="text1"/>
          <w:sz w:val="24"/>
          <w:szCs w:val="24"/>
        </w:rPr>
        <w:t>:</w:t>
      </w:r>
    </w:p>
    <w:p w14:paraId="719EDEF7" w14:textId="447934D5" w:rsidR="00FC4FD3"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786C59" w:rsidRPr="002D0A15">
        <w:rPr>
          <w:rFonts w:ascii="Arial" w:hAnsi="Arial" w:cs="Arial"/>
          <w:color w:val="000000" w:themeColor="text1"/>
          <w:sz w:val="24"/>
          <w:szCs w:val="24"/>
        </w:rPr>
        <w:t xml:space="preserve">The </w:t>
      </w:r>
      <w:r w:rsidR="00145A62" w:rsidRPr="002D0A15">
        <w:rPr>
          <w:rFonts w:ascii="Arial" w:hAnsi="Arial" w:cs="Arial"/>
          <w:color w:val="000000" w:themeColor="text1"/>
          <w:sz w:val="24"/>
          <w:szCs w:val="24"/>
        </w:rPr>
        <w:t>“</w:t>
      </w:r>
      <w:r w:rsidR="005F1B20" w:rsidRPr="002D0A15">
        <w:rPr>
          <w:rFonts w:ascii="Arial" w:hAnsi="Arial" w:cs="Arial"/>
          <w:color w:val="000000" w:themeColor="text1"/>
          <w:sz w:val="24"/>
          <w:szCs w:val="24"/>
        </w:rPr>
        <w:t>Post-accident control surfaces Service Ability Inspection Report</w:t>
      </w:r>
      <w:r w:rsidR="00145A62" w:rsidRPr="002D0A15">
        <w:rPr>
          <w:rFonts w:ascii="Arial" w:hAnsi="Arial" w:cs="Arial"/>
          <w:color w:val="000000" w:themeColor="text1"/>
          <w:sz w:val="24"/>
          <w:szCs w:val="24"/>
        </w:rPr>
        <w:t>”</w:t>
      </w:r>
      <w:r w:rsidR="006A3970" w:rsidRPr="002D0A15">
        <w:rPr>
          <w:rFonts w:ascii="Arial" w:hAnsi="Arial" w:cs="Arial"/>
          <w:color w:val="000000" w:themeColor="text1"/>
          <w:sz w:val="24"/>
          <w:szCs w:val="24"/>
        </w:rPr>
        <w:t xml:space="preserve"> do</w:t>
      </w:r>
      <w:r w:rsidR="00786C59" w:rsidRPr="002D0A15">
        <w:rPr>
          <w:rFonts w:ascii="Arial" w:hAnsi="Arial" w:cs="Arial"/>
          <w:color w:val="000000" w:themeColor="text1"/>
          <w:sz w:val="24"/>
          <w:szCs w:val="24"/>
        </w:rPr>
        <w:t>es</w:t>
      </w:r>
      <w:r w:rsidR="006A3970" w:rsidRPr="002D0A15">
        <w:rPr>
          <w:rFonts w:ascii="Arial" w:hAnsi="Arial" w:cs="Arial"/>
          <w:color w:val="000000" w:themeColor="text1"/>
          <w:sz w:val="24"/>
          <w:szCs w:val="24"/>
        </w:rPr>
        <w:t xml:space="preserve"> not exist and</w:t>
      </w:r>
      <w:r w:rsidR="00786C59"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786C59" w:rsidRPr="002D0A15">
        <w:rPr>
          <w:rFonts w:ascii="Arial" w:hAnsi="Arial" w:cs="Arial"/>
          <w:color w:val="000000" w:themeColor="text1"/>
          <w:sz w:val="24"/>
          <w:szCs w:val="24"/>
        </w:rPr>
        <w:t xml:space="preserve"> is</w:t>
      </w:r>
      <w:r w:rsidR="006A3970" w:rsidRPr="002D0A15">
        <w:rPr>
          <w:rFonts w:ascii="Arial" w:hAnsi="Arial" w:cs="Arial"/>
          <w:color w:val="000000" w:themeColor="text1"/>
          <w:sz w:val="24"/>
          <w:szCs w:val="24"/>
        </w:rPr>
        <w:t xml:space="preserve"> not in possession</w:t>
      </w:r>
      <w:r w:rsidR="001240A8" w:rsidRPr="002D0A15">
        <w:rPr>
          <w:rFonts w:ascii="Arial" w:hAnsi="Arial" w:cs="Arial"/>
          <w:color w:val="000000" w:themeColor="text1"/>
          <w:sz w:val="24"/>
          <w:szCs w:val="24"/>
        </w:rPr>
        <w:t xml:space="preserve"> thereof</w:t>
      </w:r>
      <w:r w:rsidR="006A3970" w:rsidRPr="002D0A15">
        <w:rPr>
          <w:rFonts w:ascii="Arial" w:hAnsi="Arial" w:cs="Arial"/>
          <w:color w:val="000000" w:themeColor="text1"/>
          <w:sz w:val="24"/>
          <w:szCs w:val="24"/>
        </w:rPr>
        <w:t>.</w:t>
      </w:r>
    </w:p>
    <w:p w14:paraId="59021C71" w14:textId="3ED33254" w:rsidR="006A3970" w:rsidRPr="002D0A15" w:rsidRDefault="002D0A15" w:rsidP="002D0A15">
      <w:pPr>
        <w:tabs>
          <w:tab w:val="right" w:pos="8208"/>
        </w:tabs>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5A2EBB" w:rsidRPr="002D0A15">
        <w:rPr>
          <w:rFonts w:ascii="Arial" w:hAnsi="Arial" w:cs="Arial"/>
          <w:color w:val="000000" w:themeColor="text1"/>
          <w:sz w:val="24"/>
          <w:szCs w:val="24"/>
        </w:rPr>
        <w:t xml:space="preserve">The </w:t>
      </w:r>
      <w:r w:rsidR="00145A62" w:rsidRPr="002D0A15">
        <w:rPr>
          <w:rFonts w:ascii="Arial" w:hAnsi="Arial" w:cs="Arial"/>
          <w:color w:val="000000" w:themeColor="text1"/>
          <w:sz w:val="24"/>
          <w:szCs w:val="24"/>
        </w:rPr>
        <w:t>“</w:t>
      </w:r>
      <w:r w:rsidR="00F73A54" w:rsidRPr="002D0A15">
        <w:rPr>
          <w:rFonts w:ascii="Arial" w:hAnsi="Arial" w:cs="Arial"/>
          <w:color w:val="000000" w:themeColor="text1"/>
          <w:sz w:val="24"/>
          <w:szCs w:val="24"/>
        </w:rPr>
        <w:t>Human Factors Analysis Report</w:t>
      </w:r>
      <w:r w:rsidR="00145A62" w:rsidRPr="002D0A15">
        <w:rPr>
          <w:rFonts w:ascii="Arial" w:hAnsi="Arial" w:cs="Arial"/>
          <w:color w:val="000000" w:themeColor="text1"/>
          <w:sz w:val="24"/>
          <w:szCs w:val="24"/>
        </w:rPr>
        <w:t>”</w:t>
      </w:r>
      <w:r w:rsidR="006150F9" w:rsidRPr="002D0A15">
        <w:rPr>
          <w:rFonts w:ascii="Arial" w:hAnsi="Arial" w:cs="Arial"/>
          <w:color w:val="000000" w:themeColor="text1"/>
          <w:sz w:val="24"/>
          <w:szCs w:val="24"/>
        </w:rPr>
        <w:t xml:space="preserve"> does not exist and the </w:t>
      </w:r>
      <w:r w:rsidR="00566C8A" w:rsidRPr="002D0A15">
        <w:rPr>
          <w:rFonts w:ascii="Arial" w:hAnsi="Arial" w:cs="Arial"/>
          <w:color w:val="000000" w:themeColor="text1"/>
          <w:sz w:val="24"/>
          <w:szCs w:val="24"/>
        </w:rPr>
        <w:t>Respondent</w:t>
      </w:r>
      <w:r w:rsidR="006150F9" w:rsidRPr="002D0A15">
        <w:rPr>
          <w:rFonts w:ascii="Arial" w:hAnsi="Arial" w:cs="Arial"/>
          <w:color w:val="000000" w:themeColor="text1"/>
          <w:sz w:val="24"/>
          <w:szCs w:val="24"/>
        </w:rPr>
        <w:t xml:space="preserve"> is not in possession</w:t>
      </w:r>
      <w:r w:rsidR="001240A8" w:rsidRPr="002D0A15">
        <w:rPr>
          <w:rFonts w:ascii="Arial" w:hAnsi="Arial" w:cs="Arial"/>
          <w:color w:val="000000" w:themeColor="text1"/>
          <w:sz w:val="24"/>
          <w:szCs w:val="24"/>
        </w:rPr>
        <w:t xml:space="preserve"> thereof</w:t>
      </w:r>
      <w:r w:rsidR="006150F9" w:rsidRPr="002D0A15">
        <w:rPr>
          <w:rFonts w:ascii="Arial" w:hAnsi="Arial" w:cs="Arial"/>
          <w:color w:val="000000" w:themeColor="text1"/>
          <w:sz w:val="24"/>
          <w:szCs w:val="24"/>
        </w:rPr>
        <w:t>.</w:t>
      </w:r>
    </w:p>
    <w:p w14:paraId="64D4D49C" w14:textId="24FD5770" w:rsidR="00016108" w:rsidRPr="002D0A15" w:rsidRDefault="002D0A15" w:rsidP="002D0A15">
      <w:pPr>
        <w:tabs>
          <w:tab w:val="right" w:pos="8208"/>
        </w:tabs>
        <w:spacing w:before="120" w:line="360" w:lineRule="auto"/>
        <w:ind w:left="720" w:hanging="357"/>
        <w:jc w:val="both"/>
        <w:rPr>
          <w:rFonts w:ascii="Arial" w:hAnsi="Arial" w:cs="Arial"/>
          <w:color w:val="000000" w:themeColor="text1"/>
          <w:sz w:val="24"/>
          <w:szCs w:val="24"/>
        </w:rPr>
      </w:pPr>
      <w:r w:rsidRPr="00B0760E">
        <w:rPr>
          <w:rFonts w:ascii="Arial" w:hAnsi="Arial" w:cs="Arial"/>
          <w:color w:val="000000" w:themeColor="text1"/>
          <w:sz w:val="24"/>
          <w:szCs w:val="24"/>
        </w:rPr>
        <w:t>c)</w:t>
      </w:r>
      <w:r w:rsidRPr="00B0760E">
        <w:rPr>
          <w:rFonts w:ascii="Arial" w:hAnsi="Arial" w:cs="Arial"/>
          <w:color w:val="000000" w:themeColor="text1"/>
          <w:sz w:val="24"/>
          <w:szCs w:val="24"/>
        </w:rPr>
        <w:tab/>
      </w:r>
      <w:r w:rsidR="006150F9" w:rsidRPr="002D0A15">
        <w:rPr>
          <w:rFonts w:ascii="Arial" w:hAnsi="Arial" w:cs="Arial"/>
          <w:color w:val="000000" w:themeColor="text1"/>
          <w:sz w:val="24"/>
          <w:szCs w:val="24"/>
        </w:rPr>
        <w:t xml:space="preserve">The </w:t>
      </w:r>
      <w:r w:rsidR="00D00F2D" w:rsidRPr="002D0A15">
        <w:rPr>
          <w:rFonts w:ascii="Arial" w:hAnsi="Arial" w:cs="Arial"/>
          <w:color w:val="000000" w:themeColor="text1"/>
          <w:sz w:val="24"/>
          <w:szCs w:val="24"/>
        </w:rPr>
        <w:t>“Detailed accident site plots showing the locations of each part”</w:t>
      </w:r>
      <w:r w:rsidR="00EF17E2" w:rsidRPr="002D0A15">
        <w:rPr>
          <w:rFonts w:ascii="Arial" w:hAnsi="Arial" w:cs="Arial"/>
          <w:color w:val="000000" w:themeColor="text1"/>
          <w:sz w:val="24"/>
          <w:szCs w:val="24"/>
        </w:rPr>
        <w:t xml:space="preserve"> is not in the possession of the </w:t>
      </w:r>
      <w:r w:rsidR="00566C8A" w:rsidRPr="002D0A15">
        <w:rPr>
          <w:rFonts w:ascii="Arial" w:hAnsi="Arial" w:cs="Arial"/>
          <w:color w:val="000000" w:themeColor="text1"/>
          <w:sz w:val="24"/>
          <w:szCs w:val="24"/>
        </w:rPr>
        <w:t>Respondent</w:t>
      </w:r>
      <w:r w:rsidR="00EF17E2" w:rsidRPr="002D0A15">
        <w:rPr>
          <w:rFonts w:ascii="Arial" w:hAnsi="Arial" w:cs="Arial"/>
          <w:color w:val="000000" w:themeColor="text1"/>
          <w:sz w:val="24"/>
          <w:szCs w:val="24"/>
        </w:rPr>
        <w:t>.</w:t>
      </w:r>
    </w:p>
    <w:p w14:paraId="6E8B987D" w14:textId="2525B764" w:rsidR="00127604" w:rsidRPr="002D0A15" w:rsidRDefault="002D0A15" w:rsidP="002D0A15">
      <w:pPr>
        <w:tabs>
          <w:tab w:val="right" w:pos="8208"/>
        </w:tabs>
        <w:spacing w:before="120" w:line="360" w:lineRule="auto"/>
        <w:ind w:left="567" w:hanging="498"/>
        <w:jc w:val="both"/>
        <w:rPr>
          <w:rFonts w:ascii="Arial" w:hAnsi="Arial" w:cs="Arial"/>
          <w:color w:val="000000" w:themeColor="text1"/>
          <w:sz w:val="24"/>
          <w:szCs w:val="24"/>
        </w:rPr>
      </w:pPr>
      <w:r w:rsidRPr="00B0760E">
        <w:rPr>
          <w:rFonts w:ascii="Arial" w:hAnsi="Arial" w:cs="Arial"/>
          <w:color w:val="000000" w:themeColor="text1"/>
          <w:sz w:val="24"/>
          <w:szCs w:val="24"/>
        </w:rPr>
        <w:t>44)</w:t>
      </w:r>
      <w:r w:rsidRPr="00B0760E">
        <w:rPr>
          <w:rFonts w:ascii="Arial" w:hAnsi="Arial" w:cs="Arial"/>
          <w:color w:val="000000" w:themeColor="text1"/>
          <w:sz w:val="24"/>
          <w:szCs w:val="24"/>
        </w:rPr>
        <w:tab/>
      </w:r>
      <w:r w:rsidR="00235C92" w:rsidRPr="002D0A15">
        <w:rPr>
          <w:rFonts w:ascii="Arial" w:hAnsi="Arial" w:cs="Arial"/>
          <w:color w:val="000000" w:themeColor="text1"/>
          <w:sz w:val="24"/>
          <w:szCs w:val="24"/>
        </w:rPr>
        <w:t>Regarding the remainder of the records, t</w:t>
      </w:r>
      <w:r w:rsidR="00CE5094" w:rsidRPr="002D0A15">
        <w:rPr>
          <w:rFonts w:ascii="Arial" w:hAnsi="Arial" w:cs="Arial"/>
          <w:color w:val="000000" w:themeColor="text1"/>
          <w:sz w:val="24"/>
          <w:szCs w:val="24"/>
        </w:rPr>
        <w:t xml:space="preserve">he </w:t>
      </w:r>
      <w:r w:rsidR="00566C8A" w:rsidRPr="002D0A15">
        <w:rPr>
          <w:rFonts w:ascii="Arial" w:hAnsi="Arial" w:cs="Arial"/>
          <w:color w:val="000000" w:themeColor="text1"/>
          <w:sz w:val="24"/>
          <w:szCs w:val="24"/>
        </w:rPr>
        <w:t>Respondent</w:t>
      </w:r>
      <w:r w:rsidR="00CE5094" w:rsidRPr="002D0A15">
        <w:rPr>
          <w:rFonts w:ascii="Arial" w:hAnsi="Arial" w:cs="Arial"/>
          <w:color w:val="000000" w:themeColor="text1"/>
          <w:sz w:val="24"/>
          <w:szCs w:val="24"/>
        </w:rPr>
        <w:t xml:space="preserve">, </w:t>
      </w:r>
      <w:bookmarkStart w:id="2" w:name="_Hlk140338344"/>
      <w:r w:rsidR="00245167" w:rsidRPr="002D0A15">
        <w:rPr>
          <w:rFonts w:ascii="Arial" w:hAnsi="Arial" w:cs="Arial"/>
          <w:color w:val="000000" w:themeColor="text1"/>
          <w:sz w:val="24"/>
          <w:szCs w:val="24"/>
        </w:rPr>
        <w:t>State</w:t>
      </w:r>
      <w:r w:rsidR="00686FE8" w:rsidRPr="002D0A15">
        <w:rPr>
          <w:rFonts w:ascii="Arial" w:hAnsi="Arial" w:cs="Arial"/>
          <w:color w:val="000000" w:themeColor="text1"/>
          <w:sz w:val="24"/>
          <w:szCs w:val="24"/>
        </w:rPr>
        <w:t xml:space="preserve">s that it relies on the provisions of </w:t>
      </w:r>
      <w:r w:rsidR="00CE5094" w:rsidRPr="002D0A15">
        <w:rPr>
          <w:rFonts w:ascii="Arial" w:hAnsi="Arial" w:cs="Arial"/>
          <w:color w:val="000000" w:themeColor="text1"/>
          <w:sz w:val="24"/>
          <w:szCs w:val="24"/>
        </w:rPr>
        <w:t>section 41</w:t>
      </w:r>
      <w:r w:rsidR="00686FE8" w:rsidRPr="002D0A15">
        <w:rPr>
          <w:rFonts w:ascii="Arial" w:hAnsi="Arial" w:cs="Arial"/>
          <w:color w:val="000000" w:themeColor="text1"/>
          <w:sz w:val="24"/>
          <w:szCs w:val="24"/>
        </w:rPr>
        <w:t>(1)(a)(iii) and s41(1)(b)(iii)</w:t>
      </w:r>
      <w:r w:rsidR="00CE5094" w:rsidRPr="002D0A15">
        <w:rPr>
          <w:rFonts w:ascii="Arial" w:hAnsi="Arial" w:cs="Arial"/>
          <w:color w:val="000000" w:themeColor="text1"/>
          <w:sz w:val="24"/>
          <w:szCs w:val="24"/>
        </w:rPr>
        <w:t xml:space="preserve"> of PAIA</w:t>
      </w:r>
      <w:bookmarkEnd w:id="2"/>
      <w:r w:rsidR="00E05321" w:rsidRPr="002D0A15">
        <w:rPr>
          <w:rFonts w:ascii="Arial" w:hAnsi="Arial" w:cs="Arial"/>
          <w:color w:val="000000" w:themeColor="text1"/>
          <w:sz w:val="24"/>
          <w:szCs w:val="24"/>
        </w:rPr>
        <w:t xml:space="preserve"> for the refusal to provide the requested records. The sections</w:t>
      </w:r>
      <w:r w:rsidR="007014A7" w:rsidRPr="002D0A15">
        <w:rPr>
          <w:rFonts w:ascii="Arial" w:hAnsi="Arial" w:cs="Arial"/>
          <w:color w:val="000000" w:themeColor="text1"/>
          <w:sz w:val="24"/>
          <w:szCs w:val="24"/>
        </w:rPr>
        <w:t xml:space="preserve"> </w:t>
      </w:r>
      <w:r w:rsidR="00E05321" w:rsidRPr="002D0A15">
        <w:rPr>
          <w:rFonts w:ascii="Arial" w:hAnsi="Arial" w:cs="Arial"/>
          <w:color w:val="000000" w:themeColor="text1"/>
          <w:sz w:val="24"/>
          <w:szCs w:val="24"/>
        </w:rPr>
        <w:t xml:space="preserve">provide </w:t>
      </w:r>
      <w:r w:rsidR="00CE5094" w:rsidRPr="002D0A15">
        <w:rPr>
          <w:rFonts w:ascii="Arial" w:hAnsi="Arial" w:cs="Arial"/>
          <w:color w:val="000000" w:themeColor="text1"/>
          <w:sz w:val="24"/>
          <w:szCs w:val="24"/>
        </w:rPr>
        <w:t>that</w:t>
      </w:r>
      <w:r w:rsidR="00432B94" w:rsidRPr="002D0A15">
        <w:rPr>
          <w:rFonts w:ascii="Arial" w:hAnsi="Arial" w:cs="Arial"/>
          <w:color w:val="000000" w:themeColor="text1"/>
          <w:sz w:val="24"/>
          <w:szCs w:val="24"/>
        </w:rPr>
        <w:t xml:space="preserve"> access to a record</w:t>
      </w:r>
      <w:r w:rsidR="00CE5094" w:rsidRPr="002D0A15">
        <w:rPr>
          <w:rFonts w:ascii="Arial" w:hAnsi="Arial" w:cs="Arial"/>
          <w:color w:val="000000" w:themeColor="text1"/>
          <w:sz w:val="24"/>
          <w:szCs w:val="24"/>
        </w:rPr>
        <w:t xml:space="preserve"> may be refused if the disclosure</w:t>
      </w:r>
      <w:r w:rsidR="00432B94" w:rsidRPr="002D0A15">
        <w:rPr>
          <w:rFonts w:ascii="Arial" w:hAnsi="Arial" w:cs="Arial"/>
          <w:color w:val="000000" w:themeColor="text1"/>
          <w:sz w:val="24"/>
          <w:szCs w:val="24"/>
        </w:rPr>
        <w:t xml:space="preserve"> thereof</w:t>
      </w:r>
      <w:r w:rsidR="00CE5094" w:rsidRPr="002D0A15">
        <w:rPr>
          <w:rFonts w:ascii="Arial" w:hAnsi="Arial" w:cs="Arial"/>
          <w:color w:val="000000" w:themeColor="text1"/>
          <w:sz w:val="24"/>
          <w:szCs w:val="24"/>
        </w:rPr>
        <w:t>:</w:t>
      </w:r>
    </w:p>
    <w:p w14:paraId="1D63BCA1" w14:textId="2516C90E" w:rsidR="00127604" w:rsidRPr="002D0A15" w:rsidRDefault="002D0A15" w:rsidP="002D0A15">
      <w:pPr>
        <w:tabs>
          <w:tab w:val="left" w:pos="851"/>
          <w:tab w:val="right" w:pos="8208"/>
        </w:tabs>
        <w:spacing w:before="120" w:line="360" w:lineRule="auto"/>
        <w:ind w:left="993" w:hanging="498"/>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CE5094" w:rsidRPr="002D0A15">
        <w:rPr>
          <w:rFonts w:ascii="Arial" w:hAnsi="Arial" w:cs="Arial"/>
          <w:i/>
          <w:iCs/>
          <w:color w:val="000000" w:themeColor="text1"/>
          <w:sz w:val="24"/>
          <w:szCs w:val="24"/>
        </w:rPr>
        <w:t xml:space="preserve"> “…could reasonably be expected to cause prejudice to the international relations of the Republic</w:t>
      </w:r>
      <w:r w:rsidR="00CE5094" w:rsidRPr="00B0760E">
        <w:rPr>
          <w:rStyle w:val="FootnoteReference"/>
          <w:rFonts w:ascii="Arial" w:hAnsi="Arial" w:cs="Arial"/>
          <w:i/>
          <w:iCs/>
          <w:color w:val="000000" w:themeColor="text1"/>
          <w:sz w:val="24"/>
          <w:szCs w:val="24"/>
        </w:rPr>
        <w:footnoteReference w:id="19"/>
      </w:r>
      <w:r w:rsidR="00CE5094" w:rsidRPr="002D0A15">
        <w:rPr>
          <w:rFonts w:ascii="Arial" w:hAnsi="Arial" w:cs="Arial"/>
          <w:i/>
          <w:iCs/>
          <w:color w:val="000000" w:themeColor="text1"/>
          <w:sz w:val="24"/>
          <w:szCs w:val="24"/>
        </w:rPr>
        <w:t xml:space="preserve">” </w:t>
      </w:r>
      <w:r w:rsidR="00CE5094" w:rsidRPr="002D0A15">
        <w:rPr>
          <w:rFonts w:ascii="Arial" w:hAnsi="Arial" w:cs="Arial"/>
          <w:color w:val="000000" w:themeColor="text1"/>
          <w:sz w:val="24"/>
          <w:szCs w:val="24"/>
        </w:rPr>
        <w:t>or</w:t>
      </w:r>
    </w:p>
    <w:p w14:paraId="5A5E7657" w14:textId="739AF271" w:rsidR="00816018" w:rsidRPr="002D0A15" w:rsidRDefault="002D0A15" w:rsidP="002D0A15">
      <w:pPr>
        <w:tabs>
          <w:tab w:val="left" w:pos="851"/>
          <w:tab w:val="right" w:pos="8208"/>
        </w:tabs>
        <w:spacing w:before="120" w:line="360" w:lineRule="auto"/>
        <w:ind w:left="993" w:hanging="498"/>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CE5094" w:rsidRPr="002D0A15">
        <w:rPr>
          <w:rFonts w:ascii="Arial" w:hAnsi="Arial" w:cs="Arial"/>
          <w:i/>
          <w:iCs/>
          <w:color w:val="000000" w:themeColor="text1"/>
          <w:sz w:val="24"/>
          <w:szCs w:val="24"/>
        </w:rPr>
        <w:t>“…would reveal information required to be held in confidence by an international agreement."</w:t>
      </w:r>
      <w:r w:rsidR="00CE5094" w:rsidRPr="002D0A15">
        <w:rPr>
          <w:rFonts w:ascii="Arial" w:hAnsi="Arial" w:cs="Arial"/>
          <w:color w:val="000000" w:themeColor="text1"/>
          <w:sz w:val="24"/>
          <w:szCs w:val="24"/>
        </w:rPr>
        <w:t xml:space="preserve"> </w:t>
      </w:r>
      <w:r w:rsidR="00CE5094" w:rsidRPr="00B0760E">
        <w:rPr>
          <w:rStyle w:val="FootnoteReference"/>
          <w:rFonts w:ascii="Arial" w:hAnsi="Arial" w:cs="Arial"/>
          <w:color w:val="000000" w:themeColor="text1"/>
          <w:sz w:val="24"/>
          <w:szCs w:val="24"/>
        </w:rPr>
        <w:footnoteReference w:id="20"/>
      </w:r>
      <w:r w:rsidR="00CE5094" w:rsidRPr="002D0A15">
        <w:rPr>
          <w:rFonts w:ascii="Arial" w:hAnsi="Arial" w:cs="Arial"/>
          <w:color w:val="000000" w:themeColor="text1"/>
          <w:sz w:val="24"/>
          <w:szCs w:val="24"/>
        </w:rPr>
        <w:t xml:space="preserve"> </w:t>
      </w:r>
    </w:p>
    <w:p w14:paraId="70FE39D0" w14:textId="1CBA3D4F" w:rsidR="008E3A43" w:rsidRPr="00B0760E" w:rsidRDefault="00A01C9B" w:rsidP="00113BD8">
      <w:pPr>
        <w:tabs>
          <w:tab w:val="right" w:pos="8208"/>
        </w:tabs>
        <w:spacing w:before="120" w:line="360" w:lineRule="auto"/>
        <w:jc w:val="both"/>
        <w:rPr>
          <w:rFonts w:ascii="Arial" w:hAnsi="Arial" w:cs="Arial"/>
          <w:color w:val="000000" w:themeColor="text1"/>
          <w:sz w:val="24"/>
          <w:szCs w:val="24"/>
          <w:u w:val="single"/>
        </w:rPr>
      </w:pPr>
      <w:r w:rsidRPr="00B0760E">
        <w:rPr>
          <w:rFonts w:ascii="Arial" w:hAnsi="Arial" w:cs="Arial"/>
          <w:color w:val="000000" w:themeColor="text1"/>
          <w:sz w:val="24"/>
          <w:szCs w:val="24"/>
          <w:u w:val="single"/>
        </w:rPr>
        <w:t>Evaluation of r</w:t>
      </w:r>
      <w:r w:rsidR="008E3A43" w:rsidRPr="00B0760E">
        <w:rPr>
          <w:rFonts w:ascii="Arial" w:hAnsi="Arial" w:cs="Arial"/>
          <w:color w:val="000000" w:themeColor="text1"/>
          <w:sz w:val="24"/>
          <w:szCs w:val="24"/>
          <w:u w:val="single"/>
        </w:rPr>
        <w:t>ecords refused</w:t>
      </w:r>
      <w:r w:rsidR="005A6FD9" w:rsidRPr="00B0760E">
        <w:rPr>
          <w:rFonts w:ascii="Arial" w:hAnsi="Arial" w:cs="Arial"/>
          <w:color w:val="000000" w:themeColor="text1"/>
          <w:sz w:val="24"/>
          <w:szCs w:val="24"/>
          <w:u w:val="single"/>
        </w:rPr>
        <w:t xml:space="preserve"> </w:t>
      </w:r>
      <w:r w:rsidR="002D3D29" w:rsidRPr="00B0760E">
        <w:rPr>
          <w:rFonts w:ascii="Arial" w:hAnsi="Arial" w:cs="Arial"/>
          <w:color w:val="000000" w:themeColor="text1"/>
          <w:sz w:val="24"/>
          <w:szCs w:val="24"/>
          <w:u w:val="single"/>
        </w:rPr>
        <w:t xml:space="preserve">as </w:t>
      </w:r>
      <w:r w:rsidR="002F11D3" w:rsidRPr="00B0760E">
        <w:rPr>
          <w:rFonts w:ascii="Arial" w:hAnsi="Arial" w:cs="Arial"/>
          <w:color w:val="000000" w:themeColor="text1"/>
          <w:sz w:val="24"/>
          <w:szCs w:val="24"/>
          <w:u w:val="single"/>
        </w:rPr>
        <w:t xml:space="preserve">not in existence and/or in possession of </w:t>
      </w:r>
      <w:r w:rsidR="00566C8A">
        <w:rPr>
          <w:rFonts w:ascii="Arial" w:hAnsi="Arial" w:cs="Arial"/>
          <w:color w:val="000000" w:themeColor="text1"/>
          <w:sz w:val="24"/>
          <w:szCs w:val="24"/>
          <w:u w:val="single"/>
        </w:rPr>
        <w:t>Respondent</w:t>
      </w:r>
    </w:p>
    <w:p w14:paraId="77216004" w14:textId="48E95F75" w:rsidR="00B1657C"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45)</w:t>
      </w:r>
      <w:r w:rsidRPr="00B0760E">
        <w:rPr>
          <w:rFonts w:ascii="Arial" w:hAnsi="Arial" w:cs="Arial"/>
          <w:color w:val="000000" w:themeColor="text1"/>
          <w:sz w:val="24"/>
          <w:szCs w:val="24"/>
        </w:rPr>
        <w:tab/>
      </w:r>
      <w:r w:rsidR="002D13D9" w:rsidRPr="002D0A15">
        <w:rPr>
          <w:rFonts w:ascii="Arial" w:hAnsi="Arial" w:cs="Arial"/>
          <w:color w:val="000000" w:themeColor="text1"/>
          <w:sz w:val="24"/>
          <w:szCs w:val="24"/>
        </w:rPr>
        <w:t xml:space="preserve">In the answering affidavit the </w:t>
      </w:r>
      <w:r w:rsidR="00566C8A" w:rsidRPr="002D0A15">
        <w:rPr>
          <w:rFonts w:ascii="Arial" w:hAnsi="Arial" w:cs="Arial"/>
          <w:color w:val="000000" w:themeColor="text1"/>
          <w:sz w:val="24"/>
          <w:szCs w:val="24"/>
        </w:rPr>
        <w:t>Respondent</w:t>
      </w:r>
      <w:r w:rsidR="002D13D9" w:rsidRPr="002D0A15">
        <w:rPr>
          <w:rFonts w:ascii="Arial" w:hAnsi="Arial" w:cs="Arial"/>
          <w:color w:val="000000" w:themeColor="text1"/>
          <w:sz w:val="24"/>
          <w:szCs w:val="24"/>
        </w:rPr>
        <w:t xml:space="preserve"> makes a bald averment that the </w:t>
      </w:r>
      <w:r w:rsidR="004C0F58" w:rsidRPr="002D0A15">
        <w:rPr>
          <w:rFonts w:ascii="Arial" w:hAnsi="Arial" w:cs="Arial"/>
          <w:color w:val="000000" w:themeColor="text1"/>
          <w:sz w:val="24"/>
          <w:szCs w:val="24"/>
        </w:rPr>
        <w:t xml:space="preserve">“Post-accident control surfaces Service Ability Inspection Report” </w:t>
      </w:r>
      <w:r w:rsidR="002B4E49" w:rsidRPr="002D0A15">
        <w:rPr>
          <w:rFonts w:ascii="Arial" w:hAnsi="Arial" w:cs="Arial"/>
          <w:color w:val="000000" w:themeColor="text1"/>
          <w:sz w:val="24"/>
          <w:szCs w:val="24"/>
        </w:rPr>
        <w:t xml:space="preserve">and the “Human Factors Analysis </w:t>
      </w:r>
      <w:r w:rsidR="00992127" w:rsidRPr="002D0A15">
        <w:rPr>
          <w:rFonts w:ascii="Arial" w:hAnsi="Arial" w:cs="Arial"/>
          <w:color w:val="000000" w:themeColor="text1"/>
          <w:sz w:val="24"/>
          <w:szCs w:val="24"/>
        </w:rPr>
        <w:t>Report” do</w:t>
      </w:r>
      <w:r w:rsidR="002D13D9" w:rsidRPr="002D0A15">
        <w:rPr>
          <w:rFonts w:ascii="Arial" w:hAnsi="Arial" w:cs="Arial"/>
          <w:color w:val="000000" w:themeColor="text1"/>
          <w:sz w:val="24"/>
          <w:szCs w:val="24"/>
        </w:rPr>
        <w:t xml:space="preserve"> not exist</w:t>
      </w:r>
      <w:r w:rsidR="002B4E49" w:rsidRPr="002D0A15">
        <w:rPr>
          <w:rFonts w:ascii="Arial" w:hAnsi="Arial" w:cs="Arial"/>
          <w:color w:val="000000" w:themeColor="text1"/>
          <w:sz w:val="24"/>
          <w:szCs w:val="24"/>
        </w:rPr>
        <w:t xml:space="preserve">, as </w:t>
      </w:r>
      <w:r w:rsidR="00651635" w:rsidRPr="002D0A15">
        <w:rPr>
          <w:rFonts w:ascii="Arial" w:hAnsi="Arial" w:cs="Arial"/>
          <w:color w:val="000000" w:themeColor="text1"/>
          <w:sz w:val="24"/>
          <w:szCs w:val="24"/>
        </w:rPr>
        <w:t xml:space="preserve">“the type of investigation </w:t>
      </w:r>
      <w:r w:rsidR="007B0A47" w:rsidRPr="002D0A15">
        <w:rPr>
          <w:rFonts w:ascii="Arial" w:hAnsi="Arial" w:cs="Arial"/>
          <w:color w:val="000000" w:themeColor="text1"/>
          <w:sz w:val="24"/>
          <w:szCs w:val="24"/>
        </w:rPr>
        <w:t xml:space="preserve">conducted by the Civil Aviation Authority did not require information that would have resulted in the </w:t>
      </w:r>
      <w:r w:rsidR="00B1657C" w:rsidRPr="002D0A15">
        <w:rPr>
          <w:rFonts w:ascii="Arial" w:hAnsi="Arial" w:cs="Arial"/>
          <w:color w:val="000000" w:themeColor="text1"/>
          <w:sz w:val="24"/>
          <w:szCs w:val="24"/>
        </w:rPr>
        <w:t>reports sought</w:t>
      </w:r>
      <w:r w:rsidR="002D13D9" w:rsidRPr="002D0A15">
        <w:rPr>
          <w:rFonts w:ascii="Arial" w:hAnsi="Arial" w:cs="Arial"/>
          <w:color w:val="000000" w:themeColor="text1"/>
          <w:sz w:val="24"/>
          <w:szCs w:val="24"/>
        </w:rPr>
        <w:t>.</w:t>
      </w:r>
      <w:r w:rsidR="00B1657C" w:rsidRPr="002D0A15">
        <w:rPr>
          <w:rFonts w:ascii="Arial" w:hAnsi="Arial" w:cs="Arial"/>
          <w:color w:val="000000" w:themeColor="text1"/>
          <w:sz w:val="24"/>
          <w:szCs w:val="24"/>
        </w:rPr>
        <w:t>”</w:t>
      </w:r>
      <w:r w:rsidR="002D13D9" w:rsidRPr="002D0A15">
        <w:rPr>
          <w:rFonts w:ascii="Arial" w:hAnsi="Arial" w:cs="Arial"/>
          <w:color w:val="000000" w:themeColor="text1"/>
          <w:sz w:val="24"/>
          <w:szCs w:val="24"/>
        </w:rPr>
        <w:t xml:space="preserve"> No further information is supplied. </w:t>
      </w:r>
    </w:p>
    <w:p w14:paraId="6C510B49" w14:textId="502765DF" w:rsidR="005A6FD9" w:rsidRPr="002D0A15" w:rsidRDefault="002D0A15" w:rsidP="002D0A15">
      <w:pPr>
        <w:spacing w:before="120" w:line="360" w:lineRule="auto"/>
        <w:ind w:left="426" w:hanging="426"/>
        <w:rPr>
          <w:rFonts w:ascii="Arial" w:hAnsi="Arial" w:cs="Arial"/>
          <w:color w:val="000000" w:themeColor="text1"/>
          <w:sz w:val="24"/>
          <w:szCs w:val="24"/>
        </w:rPr>
      </w:pPr>
      <w:r w:rsidRPr="00B0760E">
        <w:rPr>
          <w:rFonts w:ascii="Arial" w:hAnsi="Arial" w:cs="Arial"/>
          <w:color w:val="000000" w:themeColor="text1"/>
          <w:sz w:val="24"/>
          <w:szCs w:val="24"/>
        </w:rPr>
        <w:t>46)</w:t>
      </w:r>
      <w:r w:rsidRPr="00B0760E">
        <w:rPr>
          <w:rFonts w:ascii="Arial" w:hAnsi="Arial" w:cs="Arial"/>
          <w:color w:val="000000" w:themeColor="text1"/>
          <w:sz w:val="24"/>
          <w:szCs w:val="24"/>
        </w:rPr>
        <w:tab/>
      </w:r>
      <w:r w:rsidR="002D13D9" w:rsidRPr="002D0A15">
        <w:rPr>
          <w:rFonts w:ascii="Arial" w:hAnsi="Arial" w:cs="Arial"/>
          <w:color w:val="000000" w:themeColor="text1"/>
          <w:sz w:val="24"/>
          <w:szCs w:val="24"/>
        </w:rPr>
        <w:t xml:space="preserve">In the matter of </w:t>
      </w:r>
      <w:r w:rsidR="002D13D9" w:rsidRPr="002D0A15">
        <w:rPr>
          <w:rFonts w:ascii="Arial" w:hAnsi="Arial" w:cs="Arial"/>
          <w:i/>
          <w:iCs/>
          <w:color w:val="000000" w:themeColor="text1"/>
          <w:sz w:val="24"/>
          <w:szCs w:val="24"/>
        </w:rPr>
        <w:t>Treatment Action Campaign v Minister of Correctional Services and Another</w:t>
      </w:r>
      <w:r w:rsidR="002D13D9" w:rsidRPr="002D0A15">
        <w:rPr>
          <w:rFonts w:ascii="Arial" w:hAnsi="Arial" w:cs="Arial"/>
          <w:color w:val="000000" w:themeColor="text1"/>
          <w:sz w:val="24"/>
          <w:szCs w:val="24"/>
        </w:rPr>
        <w:t>,</w:t>
      </w:r>
      <w:r w:rsidR="00B1657C" w:rsidRPr="00B0760E">
        <w:rPr>
          <w:rStyle w:val="FootnoteReference"/>
          <w:rFonts w:ascii="Arial" w:hAnsi="Arial" w:cs="Arial"/>
          <w:color w:val="000000" w:themeColor="text1"/>
          <w:sz w:val="24"/>
          <w:szCs w:val="24"/>
        </w:rPr>
        <w:footnoteReference w:id="21"/>
      </w:r>
      <w:r w:rsidR="002D13D9"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Court</w:t>
      </w:r>
      <w:r w:rsidR="002D13D9" w:rsidRPr="002D0A15">
        <w:rPr>
          <w:rFonts w:ascii="Arial" w:hAnsi="Arial" w:cs="Arial"/>
          <w:color w:val="000000" w:themeColor="text1"/>
          <w:sz w:val="24"/>
          <w:szCs w:val="24"/>
        </w:rPr>
        <w:t xml:space="preserve"> evaluated the sufficiency of such an averment in an affidavit with reference to the provisions of S </w:t>
      </w:r>
      <w:r w:rsidR="00354183" w:rsidRPr="002D0A15">
        <w:rPr>
          <w:rFonts w:ascii="Arial" w:hAnsi="Arial" w:cs="Arial"/>
          <w:color w:val="000000" w:themeColor="text1"/>
          <w:sz w:val="24"/>
          <w:szCs w:val="24"/>
        </w:rPr>
        <w:t xml:space="preserve">23 of </w:t>
      </w:r>
      <w:r w:rsidR="002D13D9" w:rsidRPr="002D0A15">
        <w:rPr>
          <w:rFonts w:ascii="Arial" w:hAnsi="Arial" w:cs="Arial"/>
          <w:color w:val="000000" w:themeColor="text1"/>
          <w:sz w:val="24"/>
          <w:szCs w:val="24"/>
        </w:rPr>
        <w:t>PAIA</w:t>
      </w:r>
      <w:r w:rsidR="00354183" w:rsidRPr="002D0A15">
        <w:rPr>
          <w:rFonts w:ascii="Arial" w:hAnsi="Arial" w:cs="Arial"/>
          <w:color w:val="000000" w:themeColor="text1"/>
          <w:sz w:val="24"/>
          <w:szCs w:val="24"/>
        </w:rPr>
        <w:t xml:space="preserve">, which </w:t>
      </w:r>
      <w:r w:rsidR="00245167" w:rsidRPr="002D0A15">
        <w:rPr>
          <w:rFonts w:ascii="Arial" w:hAnsi="Arial" w:cs="Arial"/>
          <w:color w:val="000000" w:themeColor="text1"/>
          <w:sz w:val="24"/>
          <w:szCs w:val="24"/>
        </w:rPr>
        <w:t>State</w:t>
      </w:r>
      <w:r w:rsidR="00354183" w:rsidRPr="002D0A15">
        <w:rPr>
          <w:rFonts w:ascii="Arial" w:hAnsi="Arial" w:cs="Arial"/>
          <w:color w:val="000000" w:themeColor="text1"/>
          <w:sz w:val="24"/>
          <w:szCs w:val="24"/>
        </w:rPr>
        <w:t>s that</w:t>
      </w:r>
      <w:r w:rsidR="005A6FD9" w:rsidRPr="002D0A15">
        <w:rPr>
          <w:rFonts w:ascii="Arial" w:hAnsi="Arial" w:cs="Arial"/>
          <w:color w:val="000000" w:themeColor="text1"/>
          <w:sz w:val="24"/>
          <w:szCs w:val="24"/>
        </w:rPr>
        <w:t>: “</w:t>
      </w:r>
      <w:r w:rsidR="005A6FD9" w:rsidRPr="002D0A15">
        <w:rPr>
          <w:rFonts w:ascii="Arial" w:hAnsi="Arial" w:cs="Arial"/>
          <w:i/>
          <w:iCs/>
          <w:color w:val="000000" w:themeColor="text1"/>
          <w:sz w:val="24"/>
          <w:szCs w:val="24"/>
        </w:rPr>
        <w:t xml:space="preserve">The affidavit or affirmation referred to in subsection (1) must give a full account of all steps taken to </w:t>
      </w:r>
      <w:r w:rsidR="005A6FD9" w:rsidRPr="002D0A15">
        <w:rPr>
          <w:rFonts w:ascii="Arial" w:hAnsi="Arial" w:cs="Arial"/>
          <w:i/>
          <w:iCs/>
          <w:color w:val="000000" w:themeColor="text1"/>
          <w:sz w:val="24"/>
          <w:szCs w:val="24"/>
        </w:rPr>
        <w:lastRenderedPageBreak/>
        <w:t>find the record in question or to determine whether the record exists, as the case may be, including all communications with every person who conducted the search on behalf of the information officer</w:t>
      </w:r>
      <w:r w:rsidR="005A6FD9" w:rsidRPr="002D0A15">
        <w:rPr>
          <w:rFonts w:ascii="Arial" w:hAnsi="Arial" w:cs="Arial"/>
          <w:color w:val="000000" w:themeColor="text1"/>
          <w:sz w:val="24"/>
          <w:szCs w:val="24"/>
        </w:rPr>
        <w:t>.’</w:t>
      </w:r>
    </w:p>
    <w:p w14:paraId="1D293B22" w14:textId="72060D11" w:rsidR="008E3A43"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47)</w:t>
      </w:r>
      <w:r w:rsidRPr="00B0760E">
        <w:rPr>
          <w:rFonts w:ascii="Arial" w:hAnsi="Arial" w:cs="Arial"/>
          <w:color w:val="000000" w:themeColor="text1"/>
          <w:sz w:val="24"/>
          <w:szCs w:val="24"/>
        </w:rPr>
        <w:tab/>
      </w:r>
      <w:r w:rsidR="0009211C" w:rsidRPr="002D0A15">
        <w:rPr>
          <w:rFonts w:ascii="Arial" w:hAnsi="Arial" w:cs="Arial"/>
          <w:color w:val="000000" w:themeColor="text1"/>
          <w:sz w:val="24"/>
          <w:szCs w:val="24"/>
        </w:rPr>
        <w:t xml:space="preserve">When held up to the standard of this section, it is self-evident that the answering affidavit is wholly insufficient. </w:t>
      </w:r>
      <w:r w:rsidR="0067706C" w:rsidRPr="002D0A15">
        <w:rPr>
          <w:rFonts w:ascii="Arial" w:hAnsi="Arial" w:cs="Arial"/>
          <w:color w:val="000000" w:themeColor="text1"/>
          <w:sz w:val="24"/>
          <w:szCs w:val="24"/>
        </w:rPr>
        <w:t xml:space="preserve">It contains no information regarding a search done </w:t>
      </w:r>
      <w:r w:rsidR="009A5560" w:rsidRPr="002D0A15">
        <w:rPr>
          <w:rFonts w:ascii="Arial" w:hAnsi="Arial" w:cs="Arial"/>
          <w:color w:val="000000" w:themeColor="text1"/>
          <w:sz w:val="24"/>
          <w:szCs w:val="24"/>
        </w:rPr>
        <w:t xml:space="preserve">for the records </w:t>
      </w:r>
      <w:r w:rsidR="0067706C" w:rsidRPr="002D0A15">
        <w:rPr>
          <w:rFonts w:ascii="Arial" w:hAnsi="Arial" w:cs="Arial"/>
          <w:color w:val="000000" w:themeColor="text1"/>
          <w:sz w:val="24"/>
          <w:szCs w:val="24"/>
        </w:rPr>
        <w:t>or enquiries</w:t>
      </w:r>
      <w:r w:rsidR="00BC4D48" w:rsidRPr="002D0A15">
        <w:rPr>
          <w:rFonts w:ascii="Arial" w:hAnsi="Arial" w:cs="Arial"/>
          <w:color w:val="000000" w:themeColor="text1"/>
          <w:sz w:val="24"/>
          <w:szCs w:val="24"/>
        </w:rPr>
        <w:t xml:space="preserve"> made</w:t>
      </w:r>
      <w:r w:rsidR="0067706C" w:rsidRPr="002D0A15">
        <w:rPr>
          <w:rFonts w:ascii="Arial" w:hAnsi="Arial" w:cs="Arial"/>
          <w:color w:val="000000" w:themeColor="text1"/>
          <w:sz w:val="24"/>
          <w:szCs w:val="24"/>
        </w:rPr>
        <w:t xml:space="preserve"> as to the existence of the </w:t>
      </w:r>
      <w:r w:rsidR="00795768" w:rsidRPr="002D0A15">
        <w:rPr>
          <w:rFonts w:ascii="Arial" w:hAnsi="Arial" w:cs="Arial"/>
          <w:color w:val="000000" w:themeColor="text1"/>
          <w:sz w:val="24"/>
          <w:szCs w:val="24"/>
        </w:rPr>
        <w:t>records</w:t>
      </w:r>
      <w:r w:rsidR="0067706C" w:rsidRPr="002D0A15">
        <w:rPr>
          <w:rFonts w:ascii="Arial" w:hAnsi="Arial" w:cs="Arial"/>
          <w:color w:val="000000" w:themeColor="text1"/>
          <w:sz w:val="24"/>
          <w:szCs w:val="24"/>
        </w:rPr>
        <w:t xml:space="preserve">. The deponent, being the deputy information officer, does not </w:t>
      </w:r>
      <w:r w:rsidR="00245167" w:rsidRPr="002D0A15">
        <w:rPr>
          <w:rFonts w:ascii="Arial" w:hAnsi="Arial" w:cs="Arial"/>
          <w:color w:val="000000" w:themeColor="text1"/>
          <w:sz w:val="24"/>
          <w:szCs w:val="24"/>
        </w:rPr>
        <w:t>State</w:t>
      </w:r>
      <w:r w:rsidR="0067706C" w:rsidRPr="002D0A15">
        <w:rPr>
          <w:rFonts w:ascii="Arial" w:hAnsi="Arial" w:cs="Arial"/>
          <w:color w:val="000000" w:themeColor="text1"/>
          <w:sz w:val="24"/>
          <w:szCs w:val="24"/>
        </w:rPr>
        <w:t xml:space="preserve"> how she came to the expert determination that the type of investigation</w:t>
      </w:r>
      <w:r w:rsidR="00945B7C" w:rsidRPr="002D0A15">
        <w:rPr>
          <w:rFonts w:ascii="Arial" w:hAnsi="Arial" w:cs="Arial"/>
          <w:color w:val="000000" w:themeColor="text1"/>
          <w:sz w:val="24"/>
          <w:szCs w:val="24"/>
        </w:rPr>
        <w:t xml:space="preserve"> done</w:t>
      </w:r>
      <w:r w:rsidR="0067706C" w:rsidRPr="002D0A15">
        <w:rPr>
          <w:rFonts w:ascii="Arial" w:hAnsi="Arial" w:cs="Arial"/>
          <w:color w:val="000000" w:themeColor="text1"/>
          <w:sz w:val="24"/>
          <w:szCs w:val="24"/>
        </w:rPr>
        <w:t xml:space="preserve"> does not</w:t>
      </w:r>
      <w:r w:rsidR="00945B7C" w:rsidRPr="002D0A15">
        <w:rPr>
          <w:rFonts w:ascii="Arial" w:hAnsi="Arial" w:cs="Arial"/>
          <w:color w:val="000000" w:themeColor="text1"/>
          <w:sz w:val="24"/>
          <w:szCs w:val="24"/>
        </w:rPr>
        <w:t xml:space="preserve"> require</w:t>
      </w:r>
      <w:r w:rsidR="0067706C" w:rsidRPr="002D0A15">
        <w:rPr>
          <w:rFonts w:ascii="Arial" w:hAnsi="Arial" w:cs="Arial"/>
          <w:color w:val="000000" w:themeColor="text1"/>
          <w:sz w:val="24"/>
          <w:szCs w:val="24"/>
        </w:rPr>
        <w:t xml:space="preserve"> the reports, nor is there confirmation from the duly qualified person from whom she received this information to this effect.</w:t>
      </w:r>
    </w:p>
    <w:p w14:paraId="7D0CF875" w14:textId="584EED40" w:rsidR="000C46B0"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48)</w:t>
      </w:r>
      <w:r w:rsidRPr="00B0760E">
        <w:rPr>
          <w:rFonts w:ascii="Arial" w:hAnsi="Arial" w:cs="Arial"/>
          <w:color w:val="000000" w:themeColor="text1"/>
          <w:sz w:val="24"/>
          <w:szCs w:val="24"/>
        </w:rPr>
        <w:tab/>
      </w:r>
      <w:r w:rsidR="00803D33" w:rsidRPr="002D0A15">
        <w:rPr>
          <w:rFonts w:ascii="Arial" w:hAnsi="Arial" w:cs="Arial"/>
          <w:color w:val="000000" w:themeColor="text1"/>
          <w:sz w:val="24"/>
          <w:szCs w:val="24"/>
        </w:rPr>
        <w:t xml:space="preserve">Similarly, with regards to the averment that the </w:t>
      </w:r>
      <w:r w:rsidR="00566C8A" w:rsidRPr="002D0A15">
        <w:rPr>
          <w:rFonts w:ascii="Arial" w:hAnsi="Arial" w:cs="Arial"/>
          <w:color w:val="000000" w:themeColor="text1"/>
          <w:sz w:val="24"/>
          <w:szCs w:val="24"/>
        </w:rPr>
        <w:t>Respondent</w:t>
      </w:r>
      <w:r w:rsidR="00803D33" w:rsidRPr="002D0A15">
        <w:rPr>
          <w:rFonts w:ascii="Arial" w:hAnsi="Arial" w:cs="Arial"/>
          <w:color w:val="000000" w:themeColor="text1"/>
          <w:sz w:val="24"/>
          <w:szCs w:val="24"/>
        </w:rPr>
        <w:t xml:space="preserve"> is not in possession of the</w:t>
      </w:r>
      <w:r w:rsidR="00240182" w:rsidRPr="002D0A15">
        <w:rPr>
          <w:rFonts w:ascii="Arial" w:hAnsi="Arial" w:cs="Arial"/>
          <w:color w:val="000000" w:themeColor="text1"/>
          <w:sz w:val="24"/>
          <w:szCs w:val="24"/>
        </w:rPr>
        <w:t xml:space="preserve">se reports </w:t>
      </w:r>
      <w:r w:rsidR="005933EF" w:rsidRPr="002D0A15">
        <w:rPr>
          <w:rFonts w:ascii="Arial" w:hAnsi="Arial" w:cs="Arial"/>
          <w:color w:val="000000" w:themeColor="text1"/>
          <w:sz w:val="24"/>
          <w:szCs w:val="24"/>
        </w:rPr>
        <w:t>and the</w:t>
      </w:r>
      <w:r w:rsidR="00803D33" w:rsidRPr="002D0A15">
        <w:rPr>
          <w:rFonts w:ascii="Arial" w:hAnsi="Arial" w:cs="Arial"/>
          <w:color w:val="000000" w:themeColor="text1"/>
          <w:sz w:val="24"/>
          <w:szCs w:val="24"/>
        </w:rPr>
        <w:t xml:space="preserve"> </w:t>
      </w:r>
      <w:r w:rsidR="00240182" w:rsidRPr="002D0A15">
        <w:rPr>
          <w:rFonts w:ascii="Arial" w:hAnsi="Arial" w:cs="Arial"/>
          <w:color w:val="000000" w:themeColor="text1"/>
          <w:sz w:val="24"/>
          <w:szCs w:val="24"/>
        </w:rPr>
        <w:t>“Detailed accident site plots showing the locations of each part”</w:t>
      </w:r>
      <w:r w:rsidR="005933EF" w:rsidRPr="002D0A15">
        <w:rPr>
          <w:rFonts w:ascii="Arial" w:hAnsi="Arial" w:cs="Arial"/>
          <w:color w:val="000000" w:themeColor="text1"/>
          <w:sz w:val="24"/>
          <w:szCs w:val="24"/>
        </w:rPr>
        <w:t>, the affidavit</w:t>
      </w:r>
      <w:r w:rsidR="000E4583" w:rsidRPr="002D0A15">
        <w:rPr>
          <w:rFonts w:ascii="Arial" w:hAnsi="Arial" w:cs="Arial"/>
          <w:color w:val="000000" w:themeColor="text1"/>
          <w:sz w:val="24"/>
          <w:szCs w:val="24"/>
        </w:rPr>
        <w:t xml:space="preserve"> does not meet the requirements as espouse</w:t>
      </w:r>
      <w:r w:rsidR="00744212" w:rsidRPr="002D0A15">
        <w:rPr>
          <w:rFonts w:ascii="Arial" w:hAnsi="Arial" w:cs="Arial"/>
          <w:color w:val="000000" w:themeColor="text1"/>
          <w:sz w:val="24"/>
          <w:szCs w:val="24"/>
        </w:rPr>
        <w:t>d</w:t>
      </w:r>
      <w:r w:rsidR="000E4583" w:rsidRPr="002D0A15">
        <w:rPr>
          <w:rFonts w:ascii="Arial" w:hAnsi="Arial" w:cs="Arial"/>
          <w:color w:val="000000" w:themeColor="text1"/>
          <w:sz w:val="24"/>
          <w:szCs w:val="24"/>
        </w:rPr>
        <w:t xml:space="preserve"> in </w:t>
      </w:r>
      <w:r w:rsidR="000E4583" w:rsidRPr="002D0A15">
        <w:rPr>
          <w:rFonts w:ascii="Arial" w:hAnsi="Arial" w:cs="Arial"/>
          <w:i/>
          <w:iCs/>
          <w:color w:val="000000" w:themeColor="text1"/>
          <w:sz w:val="24"/>
          <w:szCs w:val="24"/>
        </w:rPr>
        <w:t>President v M&amp;G (2011 CC)</w:t>
      </w:r>
      <w:r w:rsidR="00C332BE" w:rsidRPr="002D0A15">
        <w:rPr>
          <w:rFonts w:ascii="Arial" w:hAnsi="Arial" w:cs="Arial"/>
          <w:color w:val="000000" w:themeColor="text1"/>
          <w:sz w:val="24"/>
          <w:szCs w:val="24"/>
        </w:rPr>
        <w:t>.</w:t>
      </w:r>
      <w:r w:rsidR="000E4583" w:rsidRPr="002D0A15">
        <w:rPr>
          <w:rFonts w:ascii="Arial" w:hAnsi="Arial" w:cs="Arial"/>
          <w:color w:val="000000" w:themeColor="text1"/>
          <w:sz w:val="24"/>
          <w:szCs w:val="24"/>
        </w:rPr>
        <w:t xml:space="preserve"> </w:t>
      </w:r>
      <w:r w:rsidR="00DF4731" w:rsidRPr="002D0A15">
        <w:rPr>
          <w:rFonts w:ascii="Arial" w:hAnsi="Arial" w:cs="Arial"/>
          <w:color w:val="000000" w:themeColor="text1"/>
          <w:sz w:val="24"/>
          <w:szCs w:val="24"/>
        </w:rPr>
        <w:t xml:space="preserve">In this regard it is noted that for purposes of PAIA, references to </w:t>
      </w:r>
      <w:r w:rsidR="00795768" w:rsidRPr="002D0A15">
        <w:rPr>
          <w:rFonts w:ascii="Arial" w:hAnsi="Arial" w:cs="Arial"/>
          <w:color w:val="000000" w:themeColor="text1"/>
          <w:sz w:val="24"/>
          <w:szCs w:val="24"/>
        </w:rPr>
        <w:t>“</w:t>
      </w:r>
      <w:r w:rsidR="00DF4731" w:rsidRPr="002D0A15">
        <w:rPr>
          <w:rFonts w:ascii="Arial" w:hAnsi="Arial" w:cs="Arial"/>
          <w:color w:val="000000" w:themeColor="text1"/>
          <w:sz w:val="24"/>
          <w:szCs w:val="24"/>
        </w:rPr>
        <w:t>documents</w:t>
      </w:r>
      <w:r w:rsidR="00795768" w:rsidRPr="002D0A15">
        <w:rPr>
          <w:rFonts w:ascii="Arial" w:hAnsi="Arial" w:cs="Arial"/>
          <w:color w:val="000000" w:themeColor="text1"/>
          <w:sz w:val="24"/>
          <w:szCs w:val="24"/>
        </w:rPr>
        <w:t>”</w:t>
      </w:r>
      <w:r w:rsidR="00DF4731" w:rsidRPr="002D0A15">
        <w:rPr>
          <w:rFonts w:ascii="Arial" w:hAnsi="Arial" w:cs="Arial"/>
          <w:color w:val="000000" w:themeColor="text1"/>
          <w:sz w:val="24"/>
          <w:szCs w:val="24"/>
        </w:rPr>
        <w:t xml:space="preserve"> include document in the </w:t>
      </w:r>
      <w:r w:rsidR="00795768" w:rsidRPr="002D0A15">
        <w:rPr>
          <w:rFonts w:ascii="Arial" w:hAnsi="Arial" w:cs="Arial"/>
          <w:color w:val="000000" w:themeColor="text1"/>
          <w:sz w:val="24"/>
          <w:szCs w:val="24"/>
        </w:rPr>
        <w:t>“</w:t>
      </w:r>
      <w:r w:rsidR="00DF4731" w:rsidRPr="002D0A15">
        <w:rPr>
          <w:rFonts w:ascii="Arial" w:hAnsi="Arial" w:cs="Arial"/>
          <w:color w:val="000000" w:themeColor="text1"/>
          <w:sz w:val="24"/>
          <w:szCs w:val="24"/>
        </w:rPr>
        <w:t>possession or control</w:t>
      </w:r>
      <w:r w:rsidR="00795768" w:rsidRPr="002D0A15">
        <w:rPr>
          <w:rFonts w:ascii="Arial" w:hAnsi="Arial" w:cs="Arial"/>
          <w:color w:val="000000" w:themeColor="text1"/>
          <w:sz w:val="24"/>
          <w:szCs w:val="24"/>
        </w:rPr>
        <w:t>”</w:t>
      </w:r>
      <w:r w:rsidR="00EB0E4E">
        <w:rPr>
          <w:rStyle w:val="FootnoteReference"/>
          <w:rFonts w:ascii="Arial" w:hAnsi="Arial" w:cs="Arial"/>
          <w:color w:val="000000" w:themeColor="text1"/>
          <w:sz w:val="24"/>
          <w:szCs w:val="24"/>
        </w:rPr>
        <w:footnoteReference w:id="22"/>
      </w:r>
      <w:r w:rsidR="00DF4731" w:rsidRPr="002D0A15">
        <w:rPr>
          <w:rFonts w:ascii="Arial" w:hAnsi="Arial" w:cs="Arial"/>
          <w:color w:val="000000" w:themeColor="text1"/>
          <w:sz w:val="24"/>
          <w:szCs w:val="24"/>
        </w:rPr>
        <w:t xml:space="preserve"> of the </w:t>
      </w:r>
      <w:r w:rsidR="00BF7777" w:rsidRPr="002D0A15">
        <w:rPr>
          <w:rFonts w:ascii="Arial" w:hAnsi="Arial" w:cs="Arial"/>
          <w:color w:val="000000" w:themeColor="text1"/>
          <w:sz w:val="24"/>
          <w:szCs w:val="24"/>
        </w:rPr>
        <w:t>public body. Section</w:t>
      </w:r>
      <w:r w:rsidR="00AE7D13" w:rsidRPr="002D0A15">
        <w:rPr>
          <w:rFonts w:ascii="Arial" w:hAnsi="Arial" w:cs="Arial"/>
          <w:color w:val="000000" w:themeColor="text1"/>
          <w:sz w:val="24"/>
          <w:szCs w:val="24"/>
        </w:rPr>
        <w:t xml:space="preserve"> 20 provides for the procedure to be adopted in cases where documents </w:t>
      </w:r>
      <w:r w:rsidR="00C72A66" w:rsidRPr="002D0A15">
        <w:rPr>
          <w:rFonts w:ascii="Arial" w:hAnsi="Arial" w:cs="Arial"/>
          <w:color w:val="000000" w:themeColor="text1"/>
          <w:sz w:val="24"/>
          <w:szCs w:val="24"/>
        </w:rPr>
        <w:t xml:space="preserve">cannot be found or are not in existence. The </w:t>
      </w:r>
      <w:r w:rsidR="00566C8A" w:rsidRPr="002D0A15">
        <w:rPr>
          <w:rFonts w:ascii="Arial" w:hAnsi="Arial" w:cs="Arial"/>
          <w:color w:val="000000" w:themeColor="text1"/>
          <w:sz w:val="24"/>
          <w:szCs w:val="24"/>
        </w:rPr>
        <w:t>Respondent</w:t>
      </w:r>
      <w:r w:rsidR="00C72A66" w:rsidRPr="002D0A15">
        <w:rPr>
          <w:rFonts w:ascii="Arial" w:hAnsi="Arial" w:cs="Arial"/>
          <w:color w:val="000000" w:themeColor="text1"/>
          <w:sz w:val="24"/>
          <w:szCs w:val="24"/>
        </w:rPr>
        <w:t xml:space="preserve"> has</w:t>
      </w:r>
      <w:r w:rsidR="0090384F" w:rsidRPr="002D0A15">
        <w:rPr>
          <w:rFonts w:ascii="Arial" w:hAnsi="Arial" w:cs="Arial"/>
          <w:color w:val="000000" w:themeColor="text1"/>
          <w:sz w:val="24"/>
          <w:szCs w:val="24"/>
        </w:rPr>
        <w:t>, for example,</w:t>
      </w:r>
      <w:r w:rsidR="00C72A66" w:rsidRPr="002D0A15">
        <w:rPr>
          <w:rFonts w:ascii="Arial" w:hAnsi="Arial" w:cs="Arial"/>
          <w:color w:val="000000" w:themeColor="text1"/>
          <w:sz w:val="24"/>
          <w:szCs w:val="24"/>
        </w:rPr>
        <w:t xml:space="preserve"> not addressed </w:t>
      </w:r>
      <w:r w:rsidR="00B63EDF" w:rsidRPr="002D0A15">
        <w:rPr>
          <w:rFonts w:ascii="Arial" w:hAnsi="Arial" w:cs="Arial"/>
          <w:color w:val="000000" w:themeColor="text1"/>
          <w:sz w:val="24"/>
          <w:szCs w:val="24"/>
        </w:rPr>
        <w:t>these procedures in the answering affidavit.</w:t>
      </w:r>
    </w:p>
    <w:p w14:paraId="47B41656" w14:textId="66C39E59" w:rsidR="001C02A8"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49)</w:t>
      </w:r>
      <w:r w:rsidRPr="00B0760E">
        <w:rPr>
          <w:rFonts w:ascii="Arial" w:hAnsi="Arial" w:cs="Arial"/>
          <w:color w:val="000000" w:themeColor="text1"/>
          <w:sz w:val="24"/>
          <w:szCs w:val="24"/>
        </w:rPr>
        <w:tab/>
      </w:r>
      <w:r w:rsidR="00796EED"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796EED" w:rsidRPr="002D0A15">
        <w:rPr>
          <w:rFonts w:ascii="Arial" w:hAnsi="Arial" w:cs="Arial"/>
          <w:color w:val="000000" w:themeColor="text1"/>
          <w:sz w:val="24"/>
          <w:szCs w:val="24"/>
        </w:rPr>
        <w:t xml:space="preserve"> has accordingly provided insufficient information to bring these three records within the </w:t>
      </w:r>
      <w:r w:rsidR="00B63EDF" w:rsidRPr="002D0A15">
        <w:rPr>
          <w:rFonts w:ascii="Arial" w:hAnsi="Arial" w:cs="Arial"/>
          <w:color w:val="000000" w:themeColor="text1"/>
          <w:sz w:val="24"/>
          <w:szCs w:val="24"/>
        </w:rPr>
        <w:t xml:space="preserve">ambit of the </w:t>
      </w:r>
      <w:r w:rsidR="00796EED" w:rsidRPr="002D0A15">
        <w:rPr>
          <w:rFonts w:ascii="Arial" w:hAnsi="Arial" w:cs="Arial"/>
          <w:color w:val="000000" w:themeColor="text1"/>
          <w:sz w:val="24"/>
          <w:szCs w:val="24"/>
        </w:rPr>
        <w:t>exemption</w:t>
      </w:r>
      <w:r w:rsidR="00B63EDF" w:rsidRPr="002D0A15">
        <w:rPr>
          <w:rFonts w:ascii="Arial" w:hAnsi="Arial" w:cs="Arial"/>
          <w:color w:val="000000" w:themeColor="text1"/>
          <w:sz w:val="24"/>
          <w:szCs w:val="24"/>
        </w:rPr>
        <w:t>s</w:t>
      </w:r>
      <w:r w:rsidR="00796EED" w:rsidRPr="002D0A15">
        <w:rPr>
          <w:rFonts w:ascii="Arial" w:hAnsi="Arial" w:cs="Arial"/>
          <w:color w:val="000000" w:themeColor="text1"/>
          <w:sz w:val="24"/>
          <w:szCs w:val="24"/>
        </w:rPr>
        <w:t xml:space="preserve"> claimed.</w:t>
      </w:r>
    </w:p>
    <w:p w14:paraId="11408DB9" w14:textId="17A3586D" w:rsidR="0074706C" w:rsidRPr="00B0760E" w:rsidRDefault="00C332BE" w:rsidP="00131F51">
      <w:pPr>
        <w:tabs>
          <w:tab w:val="right" w:pos="8208"/>
        </w:tabs>
        <w:spacing w:before="120" w:line="360" w:lineRule="auto"/>
        <w:ind w:left="426" w:hanging="426"/>
        <w:rPr>
          <w:rFonts w:ascii="Arial" w:hAnsi="Arial" w:cs="Arial"/>
          <w:color w:val="000000" w:themeColor="text1"/>
          <w:sz w:val="24"/>
          <w:szCs w:val="24"/>
          <w:u w:val="single"/>
        </w:rPr>
      </w:pPr>
      <w:r w:rsidRPr="00B0760E">
        <w:rPr>
          <w:rFonts w:ascii="Arial" w:hAnsi="Arial" w:cs="Arial"/>
          <w:color w:val="000000" w:themeColor="text1"/>
          <w:sz w:val="24"/>
          <w:szCs w:val="24"/>
          <w:u w:val="single"/>
        </w:rPr>
        <w:t xml:space="preserve">Evaluation of </w:t>
      </w:r>
      <w:r w:rsidR="00557025" w:rsidRPr="00B0760E">
        <w:rPr>
          <w:rFonts w:ascii="Arial" w:hAnsi="Arial" w:cs="Arial"/>
          <w:color w:val="000000" w:themeColor="text1"/>
          <w:sz w:val="24"/>
          <w:szCs w:val="24"/>
          <w:u w:val="single"/>
        </w:rPr>
        <w:t xml:space="preserve">refusal ito </w:t>
      </w:r>
      <w:r w:rsidR="00E46E67" w:rsidRPr="00B0760E">
        <w:rPr>
          <w:rFonts w:ascii="Arial" w:hAnsi="Arial" w:cs="Arial"/>
          <w:color w:val="000000" w:themeColor="text1"/>
          <w:sz w:val="24"/>
          <w:szCs w:val="24"/>
          <w:u w:val="single"/>
        </w:rPr>
        <w:t>Section 41</w:t>
      </w:r>
      <w:r w:rsidR="00CF64F0" w:rsidRPr="00B0760E">
        <w:rPr>
          <w:rFonts w:ascii="Arial" w:hAnsi="Arial" w:cs="Arial"/>
          <w:color w:val="000000" w:themeColor="text1"/>
          <w:sz w:val="24"/>
          <w:szCs w:val="24"/>
          <w:u w:val="single"/>
        </w:rPr>
        <w:t>(1)</w:t>
      </w:r>
      <w:r w:rsidR="00D44880" w:rsidRPr="00B0760E">
        <w:rPr>
          <w:rFonts w:ascii="Arial" w:hAnsi="Arial" w:cs="Arial"/>
          <w:color w:val="000000" w:themeColor="text1"/>
          <w:sz w:val="24"/>
          <w:szCs w:val="24"/>
          <w:u w:val="single"/>
        </w:rPr>
        <w:t>(a)(iii)</w:t>
      </w:r>
      <w:r w:rsidR="00BA10A9" w:rsidRPr="00B0760E">
        <w:rPr>
          <w:rFonts w:ascii="Arial" w:hAnsi="Arial" w:cs="Arial"/>
          <w:color w:val="000000" w:themeColor="text1"/>
          <w:sz w:val="24"/>
          <w:szCs w:val="24"/>
          <w:u w:val="single"/>
        </w:rPr>
        <w:t xml:space="preserve">: </w:t>
      </w:r>
      <w:r w:rsidR="00557025" w:rsidRPr="00B0760E">
        <w:rPr>
          <w:rFonts w:ascii="Arial" w:hAnsi="Arial" w:cs="Arial"/>
          <w:color w:val="000000" w:themeColor="text1"/>
          <w:sz w:val="24"/>
          <w:szCs w:val="24"/>
          <w:u w:val="single"/>
        </w:rPr>
        <w:t>“</w:t>
      </w:r>
      <w:r w:rsidR="00BA10A9" w:rsidRPr="00B0760E">
        <w:rPr>
          <w:rFonts w:ascii="Arial" w:hAnsi="Arial" w:cs="Arial"/>
          <w:i/>
          <w:iCs/>
          <w:color w:val="000000" w:themeColor="text1"/>
          <w:sz w:val="24"/>
          <w:szCs w:val="24"/>
          <w:u w:val="single"/>
        </w:rPr>
        <w:t>prejudice to the international relations</w:t>
      </w:r>
      <w:r w:rsidR="00557025" w:rsidRPr="00B0760E">
        <w:rPr>
          <w:rFonts w:ascii="Arial" w:hAnsi="Arial" w:cs="Arial"/>
          <w:i/>
          <w:iCs/>
          <w:color w:val="000000" w:themeColor="text1"/>
          <w:sz w:val="24"/>
          <w:szCs w:val="24"/>
          <w:u w:val="single"/>
        </w:rPr>
        <w:t>”</w:t>
      </w:r>
    </w:p>
    <w:p w14:paraId="13ED35D7" w14:textId="5FE7B8DB" w:rsidR="002B159E"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rPr>
      </w:pPr>
      <w:r w:rsidRPr="00B0760E">
        <w:rPr>
          <w:rFonts w:ascii="Arial" w:hAnsi="Arial" w:cs="Arial"/>
          <w:color w:val="000000" w:themeColor="text1"/>
          <w:sz w:val="24"/>
          <w:szCs w:val="24"/>
        </w:rPr>
        <w:t>50)</w:t>
      </w:r>
      <w:r w:rsidRPr="00B0760E">
        <w:rPr>
          <w:rFonts w:ascii="Arial" w:hAnsi="Arial" w:cs="Arial"/>
          <w:color w:val="000000" w:themeColor="text1"/>
          <w:sz w:val="24"/>
          <w:szCs w:val="24"/>
        </w:rPr>
        <w:tab/>
      </w:r>
      <w:r w:rsidR="002B159E" w:rsidRPr="002D0A15">
        <w:rPr>
          <w:rFonts w:ascii="Arial" w:hAnsi="Arial" w:cs="Arial"/>
          <w:color w:val="000000" w:themeColor="text1"/>
          <w:sz w:val="24"/>
          <w:szCs w:val="24"/>
        </w:rPr>
        <w:t xml:space="preserve">Despite the inference the </w:t>
      </w:r>
      <w:r w:rsidR="00566C8A" w:rsidRPr="002D0A15">
        <w:rPr>
          <w:rFonts w:ascii="Arial" w:hAnsi="Arial" w:cs="Arial"/>
          <w:color w:val="000000" w:themeColor="text1"/>
          <w:sz w:val="24"/>
          <w:szCs w:val="24"/>
        </w:rPr>
        <w:t>Respondent</w:t>
      </w:r>
      <w:r w:rsidR="002B159E" w:rsidRPr="002D0A15">
        <w:rPr>
          <w:rFonts w:ascii="Arial" w:hAnsi="Arial" w:cs="Arial"/>
          <w:color w:val="000000" w:themeColor="text1"/>
          <w:sz w:val="24"/>
          <w:szCs w:val="24"/>
        </w:rPr>
        <w:t xml:space="preserve"> wishes the </w:t>
      </w:r>
      <w:r w:rsidR="00566C8A" w:rsidRPr="002D0A15">
        <w:rPr>
          <w:rFonts w:ascii="Arial" w:hAnsi="Arial" w:cs="Arial"/>
          <w:color w:val="000000" w:themeColor="text1"/>
          <w:sz w:val="24"/>
          <w:szCs w:val="24"/>
        </w:rPr>
        <w:t>Court</w:t>
      </w:r>
      <w:r w:rsidR="002B159E" w:rsidRPr="002D0A15">
        <w:rPr>
          <w:rFonts w:ascii="Arial" w:hAnsi="Arial" w:cs="Arial"/>
          <w:color w:val="000000" w:themeColor="text1"/>
          <w:sz w:val="24"/>
          <w:szCs w:val="24"/>
        </w:rPr>
        <w:t xml:space="preserve"> to draw, the provisions of section 41 of PAIA are not absolutely prohibitive. Section 41(1)</w:t>
      </w:r>
      <w:r w:rsidR="00993706" w:rsidRPr="002D0A15">
        <w:rPr>
          <w:rFonts w:ascii="Arial" w:hAnsi="Arial" w:cs="Arial"/>
          <w:color w:val="000000" w:themeColor="text1"/>
          <w:sz w:val="24"/>
          <w:szCs w:val="24"/>
        </w:rPr>
        <w:t>(a)(ii)</w:t>
      </w:r>
      <w:r w:rsidR="002B159E" w:rsidRPr="002D0A15">
        <w:rPr>
          <w:rFonts w:ascii="Arial" w:hAnsi="Arial" w:cs="Arial"/>
          <w:color w:val="000000" w:themeColor="text1"/>
          <w:sz w:val="24"/>
          <w:szCs w:val="24"/>
        </w:rPr>
        <w:t xml:space="preserve"> provides that the information officer of a public body </w:t>
      </w:r>
      <w:r w:rsidR="002B159E" w:rsidRPr="002D0A15">
        <w:rPr>
          <w:rFonts w:ascii="Arial" w:hAnsi="Arial" w:cs="Arial"/>
          <w:color w:val="000000" w:themeColor="text1"/>
          <w:sz w:val="24"/>
          <w:szCs w:val="24"/>
          <w:u w:val="single"/>
        </w:rPr>
        <w:t>may</w:t>
      </w:r>
      <w:r w:rsidR="002B159E" w:rsidRPr="002D0A15">
        <w:rPr>
          <w:rFonts w:ascii="Arial" w:hAnsi="Arial" w:cs="Arial"/>
          <w:color w:val="000000" w:themeColor="text1"/>
          <w:sz w:val="24"/>
          <w:szCs w:val="24"/>
        </w:rPr>
        <w:t xml:space="preserve"> refuse a request for access to record.</w:t>
      </w:r>
      <w:r w:rsidR="002B159E" w:rsidRPr="002D0A15">
        <w:rPr>
          <w:color w:val="000000" w:themeColor="text1"/>
        </w:rPr>
        <w:t xml:space="preserve"> </w:t>
      </w:r>
      <w:r w:rsidR="002B159E"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2B159E" w:rsidRPr="002D0A15">
        <w:rPr>
          <w:rFonts w:ascii="Arial" w:hAnsi="Arial" w:cs="Arial"/>
          <w:color w:val="000000" w:themeColor="text1"/>
          <w:sz w:val="24"/>
          <w:szCs w:val="24"/>
        </w:rPr>
        <w:t xml:space="preserve"> therefore</w:t>
      </w:r>
      <w:r w:rsidR="00AA46A7" w:rsidRPr="002D0A15">
        <w:rPr>
          <w:rFonts w:ascii="Arial" w:hAnsi="Arial" w:cs="Arial"/>
          <w:color w:val="000000" w:themeColor="text1"/>
          <w:sz w:val="24"/>
          <w:szCs w:val="24"/>
        </w:rPr>
        <w:t xml:space="preserve"> not only</w:t>
      </w:r>
      <w:r w:rsidR="002B159E" w:rsidRPr="002D0A15">
        <w:rPr>
          <w:rFonts w:ascii="Arial" w:hAnsi="Arial" w:cs="Arial"/>
          <w:color w:val="000000" w:themeColor="text1"/>
          <w:sz w:val="24"/>
          <w:szCs w:val="24"/>
        </w:rPr>
        <w:t xml:space="preserve"> needs</w:t>
      </w:r>
      <w:r w:rsidR="00AA46A7" w:rsidRPr="002D0A15">
        <w:rPr>
          <w:rFonts w:ascii="Arial" w:hAnsi="Arial" w:cs="Arial"/>
          <w:color w:val="000000" w:themeColor="text1"/>
          <w:sz w:val="24"/>
          <w:szCs w:val="24"/>
        </w:rPr>
        <w:t xml:space="preserve"> </w:t>
      </w:r>
      <w:r w:rsidR="002B159E" w:rsidRPr="002D0A15">
        <w:rPr>
          <w:rFonts w:ascii="Arial" w:hAnsi="Arial" w:cs="Arial"/>
          <w:color w:val="000000" w:themeColor="text1"/>
          <w:sz w:val="24"/>
          <w:szCs w:val="24"/>
        </w:rPr>
        <w:t xml:space="preserve">prove that the requested record falls under the </w:t>
      </w:r>
      <w:r w:rsidR="00613BFF" w:rsidRPr="002D0A15">
        <w:rPr>
          <w:rFonts w:ascii="Arial" w:hAnsi="Arial" w:cs="Arial"/>
          <w:color w:val="000000" w:themeColor="text1"/>
          <w:sz w:val="24"/>
          <w:szCs w:val="24"/>
        </w:rPr>
        <w:t>section’s exemption provision</w:t>
      </w:r>
      <w:r w:rsidR="002B159E" w:rsidRPr="002D0A15">
        <w:rPr>
          <w:rFonts w:ascii="Arial" w:hAnsi="Arial" w:cs="Arial"/>
          <w:color w:val="000000" w:themeColor="text1"/>
          <w:sz w:val="24"/>
          <w:szCs w:val="24"/>
        </w:rPr>
        <w:t xml:space="preserve">, but also needs to provide reasons why, in the exercise of its discretion afforded by the section, it decided to refuse the </w:t>
      </w:r>
      <w:r w:rsidR="00566C8A" w:rsidRPr="002D0A15">
        <w:rPr>
          <w:rFonts w:ascii="Arial" w:hAnsi="Arial" w:cs="Arial"/>
          <w:color w:val="000000" w:themeColor="text1"/>
          <w:sz w:val="24"/>
          <w:szCs w:val="24"/>
        </w:rPr>
        <w:t>Applicant</w:t>
      </w:r>
      <w:r w:rsidR="002B159E" w:rsidRPr="002D0A15">
        <w:rPr>
          <w:rFonts w:ascii="Arial" w:hAnsi="Arial" w:cs="Arial"/>
          <w:color w:val="000000" w:themeColor="text1"/>
          <w:sz w:val="24"/>
          <w:szCs w:val="24"/>
        </w:rPr>
        <w:t xml:space="preserve"> access to the requested records.</w:t>
      </w:r>
    </w:p>
    <w:p w14:paraId="3881E1C3" w14:textId="2F281C8D" w:rsidR="00656491" w:rsidRPr="002D0A15" w:rsidRDefault="002D0A15" w:rsidP="002D0A15">
      <w:pPr>
        <w:tabs>
          <w:tab w:val="right" w:pos="8208"/>
        </w:tabs>
        <w:spacing w:before="120" w:line="360" w:lineRule="auto"/>
        <w:ind w:left="426" w:hanging="426"/>
        <w:jc w:val="both"/>
        <w:rPr>
          <w:rFonts w:ascii="Arial" w:hAnsi="Arial" w:cs="Arial"/>
          <w:color w:val="000000" w:themeColor="text1"/>
          <w:sz w:val="24"/>
          <w:szCs w:val="24"/>
          <w:u w:val="single"/>
        </w:rPr>
      </w:pPr>
      <w:r w:rsidRPr="00656491">
        <w:rPr>
          <w:rFonts w:ascii="Arial" w:hAnsi="Arial" w:cs="Arial"/>
          <w:color w:val="000000" w:themeColor="text1"/>
          <w:sz w:val="24"/>
          <w:szCs w:val="24"/>
        </w:rPr>
        <w:t>51)</w:t>
      </w:r>
      <w:r w:rsidRPr="00656491">
        <w:rPr>
          <w:rFonts w:ascii="Arial" w:hAnsi="Arial" w:cs="Arial"/>
          <w:color w:val="000000" w:themeColor="text1"/>
          <w:sz w:val="24"/>
          <w:szCs w:val="24"/>
        </w:rPr>
        <w:tab/>
      </w:r>
      <w:r w:rsidR="002B159E" w:rsidRPr="002D0A15">
        <w:rPr>
          <w:rFonts w:ascii="Arial" w:hAnsi="Arial" w:cs="Arial"/>
          <w:color w:val="000000" w:themeColor="text1"/>
          <w:sz w:val="24"/>
          <w:szCs w:val="24"/>
        </w:rPr>
        <w:t>Section 41(2)(g) and (h) describes the type of information that may cause prejudice to international relations as</w:t>
      </w:r>
      <w:r w:rsidR="00234BF5" w:rsidRPr="002D0A15">
        <w:rPr>
          <w:rFonts w:ascii="Arial" w:hAnsi="Arial" w:cs="Arial"/>
          <w:color w:val="000000" w:themeColor="text1"/>
          <w:sz w:val="24"/>
          <w:szCs w:val="24"/>
        </w:rPr>
        <w:t>,</w:t>
      </w:r>
      <w:r w:rsidR="002B159E" w:rsidRPr="002D0A15">
        <w:rPr>
          <w:rFonts w:ascii="Arial" w:hAnsi="Arial" w:cs="Arial"/>
          <w:color w:val="000000" w:themeColor="text1"/>
          <w:sz w:val="24"/>
          <w:szCs w:val="24"/>
        </w:rPr>
        <w:t xml:space="preserve"> for instance</w:t>
      </w:r>
      <w:r w:rsidR="00234BF5" w:rsidRPr="002D0A15">
        <w:rPr>
          <w:rFonts w:ascii="Arial" w:hAnsi="Arial" w:cs="Arial"/>
          <w:color w:val="000000" w:themeColor="text1"/>
          <w:sz w:val="24"/>
          <w:szCs w:val="24"/>
        </w:rPr>
        <w:t>,</w:t>
      </w:r>
      <w:r w:rsidR="002B159E" w:rsidRPr="002D0A15">
        <w:rPr>
          <w:rFonts w:ascii="Arial" w:hAnsi="Arial" w:cs="Arial"/>
          <w:color w:val="000000" w:themeColor="text1"/>
          <w:sz w:val="24"/>
          <w:szCs w:val="24"/>
        </w:rPr>
        <w:t xml:space="preserve"> the positions adopted or to be adopted by South Africa or another </w:t>
      </w:r>
      <w:r w:rsidR="00245167" w:rsidRPr="002D0A15">
        <w:rPr>
          <w:rFonts w:ascii="Arial" w:hAnsi="Arial" w:cs="Arial"/>
          <w:color w:val="000000" w:themeColor="text1"/>
          <w:sz w:val="24"/>
          <w:szCs w:val="24"/>
        </w:rPr>
        <w:t>State</w:t>
      </w:r>
      <w:r w:rsidR="002B159E" w:rsidRPr="002D0A15">
        <w:rPr>
          <w:rFonts w:ascii="Arial" w:hAnsi="Arial" w:cs="Arial"/>
          <w:color w:val="000000" w:themeColor="text1"/>
          <w:sz w:val="24"/>
          <w:szCs w:val="24"/>
        </w:rPr>
        <w:t xml:space="preserve"> or international organisation in international negotiations or the content of diplomatic correspondence. Whilst this is not an exhaustive list, the nature of the exemption can be gleaned from these examples: the exemption pertains to </w:t>
      </w:r>
      <w:r w:rsidR="002B159E" w:rsidRPr="002D0A15">
        <w:rPr>
          <w:rFonts w:ascii="Arial" w:hAnsi="Arial" w:cs="Arial"/>
          <w:color w:val="000000" w:themeColor="text1"/>
          <w:sz w:val="24"/>
          <w:szCs w:val="24"/>
        </w:rPr>
        <w:lastRenderedPageBreak/>
        <w:t>information or records held</w:t>
      </w:r>
      <w:r w:rsidR="0064771C" w:rsidRPr="002D0A15">
        <w:rPr>
          <w:rFonts w:ascii="Arial" w:hAnsi="Arial" w:cs="Arial"/>
          <w:color w:val="000000" w:themeColor="text1"/>
          <w:sz w:val="24"/>
          <w:szCs w:val="24"/>
        </w:rPr>
        <w:t xml:space="preserve"> that, by their </w:t>
      </w:r>
      <w:r w:rsidR="00692A53" w:rsidRPr="002D0A15">
        <w:rPr>
          <w:rFonts w:ascii="Arial" w:hAnsi="Arial" w:cs="Arial"/>
          <w:color w:val="000000" w:themeColor="text1"/>
          <w:sz w:val="24"/>
          <w:szCs w:val="24"/>
        </w:rPr>
        <w:t>nature should remain secret, lest they impact future negotiations</w:t>
      </w:r>
      <w:r w:rsidR="00E51FB2" w:rsidRPr="002D0A15">
        <w:rPr>
          <w:rFonts w:ascii="Arial" w:hAnsi="Arial" w:cs="Arial"/>
          <w:color w:val="000000" w:themeColor="text1"/>
          <w:sz w:val="24"/>
          <w:szCs w:val="24"/>
        </w:rPr>
        <w:t xml:space="preserve"> or diplomatic relations with other </w:t>
      </w:r>
      <w:r w:rsidR="00245167" w:rsidRPr="002D0A15">
        <w:rPr>
          <w:rFonts w:ascii="Arial" w:hAnsi="Arial" w:cs="Arial"/>
          <w:color w:val="000000" w:themeColor="text1"/>
          <w:sz w:val="24"/>
          <w:szCs w:val="24"/>
        </w:rPr>
        <w:t>State</w:t>
      </w:r>
      <w:r w:rsidR="00E51FB2" w:rsidRPr="002D0A15">
        <w:rPr>
          <w:rFonts w:ascii="Arial" w:hAnsi="Arial" w:cs="Arial"/>
          <w:color w:val="000000" w:themeColor="text1"/>
          <w:sz w:val="24"/>
          <w:szCs w:val="24"/>
        </w:rPr>
        <w:t xml:space="preserve">s. </w:t>
      </w:r>
      <w:r w:rsidR="002B159E"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2B159E" w:rsidRPr="002D0A15">
        <w:rPr>
          <w:rFonts w:ascii="Arial" w:hAnsi="Arial" w:cs="Arial"/>
          <w:color w:val="000000" w:themeColor="text1"/>
          <w:sz w:val="24"/>
          <w:szCs w:val="24"/>
        </w:rPr>
        <w:t xml:space="preserve"> has provided </w:t>
      </w:r>
      <w:r w:rsidR="00656491" w:rsidRPr="002D0A15">
        <w:rPr>
          <w:rFonts w:ascii="Arial" w:hAnsi="Arial" w:cs="Arial"/>
          <w:color w:val="000000" w:themeColor="text1"/>
          <w:sz w:val="24"/>
          <w:szCs w:val="24"/>
        </w:rPr>
        <w:t>no information showing how</w:t>
      </w:r>
      <w:r w:rsidR="006C3D85" w:rsidRPr="002D0A15">
        <w:rPr>
          <w:rFonts w:ascii="Arial" w:hAnsi="Arial" w:cs="Arial"/>
          <w:color w:val="000000" w:themeColor="text1"/>
          <w:sz w:val="24"/>
          <w:szCs w:val="24"/>
        </w:rPr>
        <w:t xml:space="preserve"> </w:t>
      </w:r>
      <w:r w:rsidR="00B34B58" w:rsidRPr="002D0A15">
        <w:rPr>
          <w:rFonts w:ascii="Arial" w:hAnsi="Arial" w:cs="Arial"/>
          <w:color w:val="000000" w:themeColor="text1"/>
          <w:sz w:val="24"/>
          <w:szCs w:val="24"/>
        </w:rPr>
        <w:t>divulging records to</w:t>
      </w:r>
      <w:r w:rsidR="00656491" w:rsidRPr="002D0A15">
        <w:rPr>
          <w:rFonts w:ascii="Arial" w:hAnsi="Arial" w:cs="Arial"/>
          <w:color w:val="000000" w:themeColor="text1"/>
          <w:sz w:val="24"/>
          <w:szCs w:val="24"/>
        </w:rPr>
        <w:t xml:space="preserve"> </w:t>
      </w:r>
      <w:r w:rsidR="00626C88" w:rsidRPr="002D0A15">
        <w:rPr>
          <w:rFonts w:ascii="Arial" w:hAnsi="Arial" w:cs="Arial"/>
          <w:color w:val="000000" w:themeColor="text1"/>
          <w:sz w:val="24"/>
          <w:szCs w:val="24"/>
        </w:rPr>
        <w:t>enable</w:t>
      </w:r>
      <w:r w:rsidR="00656491" w:rsidRPr="002D0A15">
        <w:rPr>
          <w:rFonts w:ascii="Arial" w:hAnsi="Arial" w:cs="Arial"/>
          <w:color w:val="000000" w:themeColor="text1"/>
          <w:sz w:val="24"/>
          <w:szCs w:val="24"/>
        </w:rPr>
        <w:t xml:space="preserve"> the Applicant to</w:t>
      </w:r>
      <w:r w:rsidR="006D2352" w:rsidRPr="002D0A15">
        <w:rPr>
          <w:rFonts w:ascii="Arial" w:hAnsi="Arial" w:cs="Arial"/>
          <w:color w:val="000000" w:themeColor="text1"/>
          <w:sz w:val="24"/>
          <w:szCs w:val="24"/>
        </w:rPr>
        <w:t xml:space="preserve"> find out the cause of her husband’s death, would influence the Republic’s relationship</w:t>
      </w:r>
      <w:r w:rsidR="006C3D85" w:rsidRPr="002D0A15">
        <w:rPr>
          <w:rFonts w:ascii="Arial" w:hAnsi="Arial" w:cs="Arial"/>
          <w:color w:val="000000" w:themeColor="text1"/>
          <w:sz w:val="24"/>
          <w:szCs w:val="24"/>
        </w:rPr>
        <w:t>s or negotiating powers</w:t>
      </w:r>
      <w:r w:rsidR="006D2352" w:rsidRPr="002D0A15">
        <w:rPr>
          <w:rFonts w:ascii="Arial" w:hAnsi="Arial" w:cs="Arial"/>
          <w:color w:val="000000" w:themeColor="text1"/>
          <w:sz w:val="24"/>
          <w:szCs w:val="24"/>
        </w:rPr>
        <w:t xml:space="preserve"> on a global </w:t>
      </w:r>
      <w:r w:rsidR="006C3D85" w:rsidRPr="002D0A15">
        <w:rPr>
          <w:rFonts w:ascii="Arial" w:hAnsi="Arial" w:cs="Arial"/>
          <w:color w:val="000000" w:themeColor="text1"/>
          <w:sz w:val="24"/>
          <w:szCs w:val="24"/>
        </w:rPr>
        <w:t xml:space="preserve">level. </w:t>
      </w:r>
    </w:p>
    <w:p w14:paraId="2FDC239A" w14:textId="6E33138C" w:rsidR="002C13BF" w:rsidRPr="00656491" w:rsidRDefault="000E3BCB" w:rsidP="00656491">
      <w:pPr>
        <w:pStyle w:val="ListParagraph"/>
        <w:tabs>
          <w:tab w:val="right" w:pos="8208"/>
        </w:tabs>
        <w:spacing w:before="120" w:line="360" w:lineRule="auto"/>
        <w:ind w:left="142"/>
        <w:contextualSpacing w:val="0"/>
        <w:jc w:val="both"/>
        <w:rPr>
          <w:rFonts w:ascii="Arial" w:hAnsi="Arial" w:cs="Arial"/>
          <w:color w:val="000000" w:themeColor="text1"/>
          <w:sz w:val="24"/>
          <w:szCs w:val="24"/>
          <w:u w:val="single"/>
        </w:rPr>
      </w:pPr>
      <w:r w:rsidRPr="00656491">
        <w:rPr>
          <w:rFonts w:ascii="Arial" w:hAnsi="Arial" w:cs="Arial"/>
          <w:color w:val="000000" w:themeColor="text1"/>
          <w:sz w:val="24"/>
          <w:szCs w:val="24"/>
          <w:u w:val="single"/>
        </w:rPr>
        <w:t xml:space="preserve">Evaluation </w:t>
      </w:r>
      <w:r w:rsidR="002F7387" w:rsidRPr="00656491">
        <w:rPr>
          <w:rFonts w:ascii="Arial" w:hAnsi="Arial" w:cs="Arial"/>
          <w:color w:val="000000" w:themeColor="text1"/>
          <w:sz w:val="24"/>
          <w:szCs w:val="24"/>
          <w:u w:val="single"/>
        </w:rPr>
        <w:t xml:space="preserve">of refusal ito </w:t>
      </w:r>
      <w:r w:rsidR="002B159E" w:rsidRPr="00656491">
        <w:rPr>
          <w:rFonts w:ascii="Arial" w:hAnsi="Arial" w:cs="Arial"/>
          <w:color w:val="000000" w:themeColor="text1"/>
          <w:sz w:val="24"/>
          <w:szCs w:val="24"/>
          <w:u w:val="single"/>
        </w:rPr>
        <w:t>Section 41(1)(a)(iii) of PAIA</w:t>
      </w:r>
      <w:r w:rsidR="002F7387" w:rsidRPr="00656491">
        <w:rPr>
          <w:rFonts w:ascii="Arial" w:hAnsi="Arial" w:cs="Arial"/>
          <w:color w:val="000000" w:themeColor="text1"/>
          <w:sz w:val="24"/>
          <w:szCs w:val="24"/>
          <w:u w:val="single"/>
        </w:rPr>
        <w:t>:</w:t>
      </w:r>
      <w:r w:rsidR="00F27311" w:rsidRPr="00656491">
        <w:rPr>
          <w:rFonts w:ascii="Arial" w:hAnsi="Arial" w:cs="Arial"/>
          <w:color w:val="000000" w:themeColor="text1"/>
          <w:sz w:val="24"/>
          <w:szCs w:val="24"/>
          <w:u w:val="single"/>
        </w:rPr>
        <w:t xml:space="preserve"> “</w:t>
      </w:r>
      <w:r w:rsidR="004109B9" w:rsidRPr="00656491">
        <w:rPr>
          <w:rFonts w:ascii="Arial" w:hAnsi="Arial" w:cs="Arial"/>
          <w:i/>
          <w:iCs/>
          <w:color w:val="000000" w:themeColor="text1"/>
          <w:sz w:val="24"/>
          <w:szCs w:val="24"/>
          <w:u w:val="single"/>
        </w:rPr>
        <w:t>international agreement</w:t>
      </w:r>
      <w:r w:rsidR="004109B9" w:rsidRPr="00656491">
        <w:rPr>
          <w:rFonts w:ascii="Arial" w:hAnsi="Arial" w:cs="Arial"/>
          <w:color w:val="000000" w:themeColor="text1"/>
          <w:sz w:val="24"/>
          <w:szCs w:val="24"/>
          <w:u w:val="single"/>
        </w:rPr>
        <w:t>”</w:t>
      </w:r>
    </w:p>
    <w:p w14:paraId="23241DCC" w14:textId="7D235180" w:rsidR="00187191"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52)</w:t>
      </w:r>
      <w:r w:rsidRPr="00B0760E">
        <w:rPr>
          <w:rFonts w:ascii="Arial" w:hAnsi="Arial" w:cs="Arial"/>
          <w:color w:val="000000" w:themeColor="text1"/>
          <w:sz w:val="24"/>
          <w:szCs w:val="24"/>
        </w:rPr>
        <w:tab/>
      </w:r>
      <w:r w:rsidR="00C856D3" w:rsidRPr="002D0A15">
        <w:rPr>
          <w:rFonts w:ascii="Arial" w:hAnsi="Arial" w:cs="Arial"/>
          <w:color w:val="000000" w:themeColor="text1"/>
          <w:sz w:val="24"/>
          <w:szCs w:val="24"/>
        </w:rPr>
        <w:t>T</w:t>
      </w:r>
      <w:r w:rsidR="008120E0" w:rsidRPr="002D0A15">
        <w:rPr>
          <w:rFonts w:ascii="Arial" w:hAnsi="Arial" w:cs="Arial"/>
          <w:color w:val="000000" w:themeColor="text1"/>
          <w:sz w:val="24"/>
          <w:szCs w:val="24"/>
        </w:rPr>
        <w:t xml:space="preserve">he </w:t>
      </w:r>
      <w:r w:rsidR="00566C8A" w:rsidRPr="002D0A15">
        <w:rPr>
          <w:rFonts w:ascii="Arial" w:hAnsi="Arial" w:cs="Arial"/>
          <w:color w:val="000000" w:themeColor="text1"/>
          <w:sz w:val="24"/>
          <w:szCs w:val="24"/>
        </w:rPr>
        <w:t>Respondent</w:t>
      </w:r>
      <w:r w:rsidR="008120E0" w:rsidRPr="002D0A15">
        <w:rPr>
          <w:rFonts w:ascii="Arial" w:hAnsi="Arial" w:cs="Arial"/>
          <w:color w:val="000000" w:themeColor="text1"/>
          <w:sz w:val="24"/>
          <w:szCs w:val="24"/>
        </w:rPr>
        <w:t xml:space="preserve"> </w:t>
      </w:r>
      <w:r w:rsidR="000D6BD3" w:rsidRPr="002D0A15">
        <w:rPr>
          <w:rFonts w:ascii="Arial" w:hAnsi="Arial" w:cs="Arial"/>
          <w:color w:val="000000" w:themeColor="text1"/>
          <w:sz w:val="24"/>
          <w:szCs w:val="24"/>
        </w:rPr>
        <w:t>argues that</w:t>
      </w:r>
      <w:r w:rsidR="00A60D7E" w:rsidRPr="002D0A15">
        <w:rPr>
          <w:rFonts w:ascii="Arial" w:hAnsi="Arial" w:cs="Arial"/>
          <w:color w:val="000000" w:themeColor="text1"/>
          <w:sz w:val="24"/>
          <w:szCs w:val="24"/>
        </w:rPr>
        <w:t>,</w:t>
      </w:r>
      <w:r w:rsidR="000D6BD3" w:rsidRPr="002D0A15">
        <w:rPr>
          <w:rFonts w:ascii="Arial" w:hAnsi="Arial" w:cs="Arial"/>
          <w:color w:val="000000" w:themeColor="text1"/>
          <w:sz w:val="24"/>
          <w:szCs w:val="24"/>
        </w:rPr>
        <w:t xml:space="preserve"> as South Africa is a party to the </w:t>
      </w:r>
      <w:r w:rsidR="00566C8A" w:rsidRPr="002D0A15">
        <w:rPr>
          <w:rFonts w:ascii="Arial" w:hAnsi="Arial" w:cs="Arial"/>
          <w:i/>
          <w:iCs/>
          <w:color w:val="000000" w:themeColor="text1"/>
          <w:sz w:val="24"/>
          <w:szCs w:val="24"/>
        </w:rPr>
        <w:t>Convention</w:t>
      </w:r>
      <w:r w:rsidR="000D6BD3" w:rsidRPr="002D0A15">
        <w:rPr>
          <w:rFonts w:ascii="Arial" w:hAnsi="Arial" w:cs="Arial"/>
          <w:i/>
          <w:iCs/>
          <w:color w:val="000000" w:themeColor="text1"/>
          <w:sz w:val="24"/>
          <w:szCs w:val="24"/>
        </w:rPr>
        <w:t xml:space="preserve"> on International </w:t>
      </w:r>
      <w:r w:rsidR="00621DEF" w:rsidRPr="002D0A15">
        <w:rPr>
          <w:rFonts w:ascii="Arial" w:hAnsi="Arial" w:cs="Arial"/>
          <w:i/>
          <w:iCs/>
          <w:color w:val="000000" w:themeColor="text1"/>
          <w:sz w:val="24"/>
          <w:szCs w:val="24"/>
        </w:rPr>
        <w:t>C</w:t>
      </w:r>
      <w:r w:rsidR="000D6BD3" w:rsidRPr="002D0A15">
        <w:rPr>
          <w:rFonts w:ascii="Arial" w:hAnsi="Arial" w:cs="Arial"/>
          <w:i/>
          <w:iCs/>
          <w:color w:val="000000" w:themeColor="text1"/>
          <w:sz w:val="24"/>
          <w:szCs w:val="24"/>
        </w:rPr>
        <w:t xml:space="preserve">ivil </w:t>
      </w:r>
      <w:r w:rsidR="00621DEF" w:rsidRPr="002D0A15">
        <w:rPr>
          <w:rFonts w:ascii="Arial" w:hAnsi="Arial" w:cs="Arial"/>
          <w:i/>
          <w:iCs/>
          <w:color w:val="000000" w:themeColor="text1"/>
          <w:sz w:val="24"/>
          <w:szCs w:val="24"/>
        </w:rPr>
        <w:t>A</w:t>
      </w:r>
      <w:r w:rsidR="000D6BD3" w:rsidRPr="002D0A15">
        <w:rPr>
          <w:rFonts w:ascii="Arial" w:hAnsi="Arial" w:cs="Arial"/>
          <w:i/>
          <w:iCs/>
          <w:color w:val="000000" w:themeColor="text1"/>
          <w:sz w:val="24"/>
          <w:szCs w:val="24"/>
        </w:rPr>
        <w:t>viation</w:t>
      </w:r>
      <w:r w:rsidR="000D6BD3"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Convention</w:t>
      </w:r>
      <w:r w:rsidR="000D6BD3" w:rsidRPr="002D0A15">
        <w:rPr>
          <w:rFonts w:ascii="Arial" w:hAnsi="Arial" w:cs="Arial"/>
          <w:color w:val="000000" w:themeColor="text1"/>
          <w:sz w:val="24"/>
          <w:szCs w:val="24"/>
        </w:rPr>
        <w:t xml:space="preserve">") of the International </w:t>
      </w:r>
      <w:r w:rsidR="00621DEF" w:rsidRPr="002D0A15">
        <w:rPr>
          <w:rFonts w:ascii="Arial" w:hAnsi="Arial" w:cs="Arial"/>
          <w:color w:val="000000" w:themeColor="text1"/>
          <w:sz w:val="24"/>
          <w:szCs w:val="24"/>
        </w:rPr>
        <w:t>C</w:t>
      </w:r>
      <w:r w:rsidR="000D6BD3" w:rsidRPr="002D0A15">
        <w:rPr>
          <w:rFonts w:ascii="Arial" w:hAnsi="Arial" w:cs="Arial"/>
          <w:color w:val="000000" w:themeColor="text1"/>
          <w:sz w:val="24"/>
          <w:szCs w:val="24"/>
        </w:rPr>
        <w:t xml:space="preserve">ivil </w:t>
      </w:r>
      <w:r w:rsidR="00621DEF" w:rsidRPr="002D0A15">
        <w:rPr>
          <w:rFonts w:ascii="Arial" w:hAnsi="Arial" w:cs="Arial"/>
          <w:color w:val="000000" w:themeColor="text1"/>
          <w:sz w:val="24"/>
          <w:szCs w:val="24"/>
        </w:rPr>
        <w:t>A</w:t>
      </w:r>
      <w:r w:rsidR="000D6BD3" w:rsidRPr="002D0A15">
        <w:rPr>
          <w:rFonts w:ascii="Arial" w:hAnsi="Arial" w:cs="Arial"/>
          <w:color w:val="000000" w:themeColor="text1"/>
          <w:sz w:val="24"/>
          <w:szCs w:val="24"/>
        </w:rPr>
        <w:t xml:space="preserve">viation </w:t>
      </w:r>
      <w:r w:rsidR="00621DEF" w:rsidRPr="002D0A15">
        <w:rPr>
          <w:rFonts w:ascii="Arial" w:hAnsi="Arial" w:cs="Arial"/>
          <w:color w:val="000000" w:themeColor="text1"/>
          <w:sz w:val="24"/>
          <w:szCs w:val="24"/>
        </w:rPr>
        <w:t>O</w:t>
      </w:r>
      <w:r w:rsidR="000D6BD3" w:rsidRPr="002D0A15">
        <w:rPr>
          <w:rFonts w:ascii="Arial" w:hAnsi="Arial" w:cs="Arial"/>
          <w:color w:val="000000" w:themeColor="text1"/>
          <w:sz w:val="24"/>
          <w:szCs w:val="24"/>
        </w:rPr>
        <w:t xml:space="preserve">rganisation ("ICAO"), it is prohibited by the </w:t>
      </w:r>
      <w:r w:rsidR="00566C8A" w:rsidRPr="002D0A15">
        <w:rPr>
          <w:rFonts w:ascii="Arial" w:hAnsi="Arial" w:cs="Arial"/>
          <w:color w:val="000000" w:themeColor="text1"/>
          <w:sz w:val="24"/>
          <w:szCs w:val="24"/>
        </w:rPr>
        <w:t>Convention</w:t>
      </w:r>
      <w:r w:rsidR="000D6BD3" w:rsidRPr="002D0A15">
        <w:rPr>
          <w:rFonts w:ascii="Arial" w:hAnsi="Arial" w:cs="Arial"/>
          <w:color w:val="000000" w:themeColor="text1"/>
          <w:sz w:val="24"/>
          <w:szCs w:val="24"/>
        </w:rPr>
        <w:t xml:space="preserve"> from disclosing the requested information.</w:t>
      </w:r>
      <w:r w:rsidR="00233F30"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Annex</w:t>
      </w:r>
      <w:r w:rsidR="0056267D" w:rsidRPr="002D0A15">
        <w:rPr>
          <w:rFonts w:ascii="Arial" w:hAnsi="Arial" w:cs="Arial"/>
          <w:color w:val="000000" w:themeColor="text1"/>
          <w:sz w:val="24"/>
          <w:szCs w:val="24"/>
        </w:rPr>
        <w:t xml:space="preserve"> 13 clause 5.12 </w:t>
      </w:r>
      <w:r w:rsidR="008D584D" w:rsidRPr="002D0A15">
        <w:rPr>
          <w:rFonts w:ascii="Arial" w:hAnsi="Arial" w:cs="Arial"/>
          <w:color w:val="000000" w:themeColor="text1"/>
          <w:sz w:val="24"/>
          <w:szCs w:val="24"/>
        </w:rPr>
        <w:t xml:space="preserve">of the </w:t>
      </w:r>
      <w:r w:rsidR="00566C8A" w:rsidRPr="002D0A15">
        <w:rPr>
          <w:rFonts w:ascii="Arial" w:hAnsi="Arial" w:cs="Arial"/>
          <w:color w:val="000000" w:themeColor="text1"/>
          <w:sz w:val="24"/>
          <w:szCs w:val="24"/>
        </w:rPr>
        <w:t>Convention</w:t>
      </w:r>
      <w:r w:rsidR="003A2D20" w:rsidRPr="00B0760E">
        <w:rPr>
          <w:rStyle w:val="FootnoteReference"/>
          <w:rFonts w:ascii="Arial" w:hAnsi="Arial" w:cs="Arial"/>
          <w:color w:val="000000" w:themeColor="text1"/>
          <w:sz w:val="24"/>
          <w:szCs w:val="24"/>
        </w:rPr>
        <w:footnoteReference w:id="23"/>
      </w:r>
      <w:r w:rsidR="008D584D" w:rsidRPr="002D0A15">
        <w:rPr>
          <w:rFonts w:ascii="Arial" w:hAnsi="Arial" w:cs="Arial"/>
          <w:color w:val="000000" w:themeColor="text1"/>
          <w:sz w:val="24"/>
          <w:szCs w:val="24"/>
        </w:rPr>
        <w:t xml:space="preserve"> provides that: </w:t>
      </w:r>
      <w:r w:rsidR="008D584D" w:rsidRPr="002D0A15">
        <w:rPr>
          <w:rFonts w:ascii="Arial" w:hAnsi="Arial" w:cs="Arial"/>
          <w:i/>
          <w:iCs/>
          <w:color w:val="000000" w:themeColor="text1"/>
          <w:sz w:val="24"/>
          <w:szCs w:val="24"/>
        </w:rPr>
        <w:t xml:space="preserve">“the </w:t>
      </w:r>
      <w:r w:rsidR="00245167" w:rsidRPr="002D0A15">
        <w:rPr>
          <w:rFonts w:ascii="Arial" w:hAnsi="Arial" w:cs="Arial"/>
          <w:i/>
          <w:iCs/>
          <w:color w:val="000000" w:themeColor="text1"/>
          <w:sz w:val="24"/>
          <w:szCs w:val="24"/>
        </w:rPr>
        <w:t>State</w:t>
      </w:r>
      <w:r w:rsidR="008D584D" w:rsidRPr="002D0A15">
        <w:rPr>
          <w:rFonts w:ascii="Arial" w:hAnsi="Arial" w:cs="Arial"/>
          <w:i/>
          <w:iCs/>
          <w:color w:val="000000" w:themeColor="text1"/>
          <w:sz w:val="24"/>
          <w:szCs w:val="24"/>
        </w:rPr>
        <w:t xml:space="preserve"> conducting the investigation of an accident or incident shall not make the following records available for purposes other than accident or incident investigation, unless the competent authority designated by that </w:t>
      </w:r>
      <w:r w:rsidR="00245167" w:rsidRPr="002D0A15">
        <w:rPr>
          <w:rFonts w:ascii="Arial" w:hAnsi="Arial" w:cs="Arial"/>
          <w:i/>
          <w:iCs/>
          <w:color w:val="000000" w:themeColor="text1"/>
          <w:sz w:val="24"/>
          <w:szCs w:val="24"/>
        </w:rPr>
        <w:t>State</w:t>
      </w:r>
      <w:r w:rsidR="008D584D" w:rsidRPr="002D0A15">
        <w:rPr>
          <w:rFonts w:ascii="Arial" w:hAnsi="Arial" w:cs="Arial"/>
          <w:i/>
          <w:iCs/>
          <w:color w:val="000000" w:themeColor="text1"/>
          <w:sz w:val="24"/>
          <w:szCs w:val="24"/>
        </w:rPr>
        <w:t xml:space="preserve"> determines, in accordance with national laws and subject to appendix 2 and 5.12.5, that their disclosure or use outweighs the likely adverse domestic and international impact such action may have on that or any future investigation</w:t>
      </w:r>
      <w:r w:rsidR="00251DE2" w:rsidRPr="002D0A15">
        <w:rPr>
          <w:rFonts w:ascii="Arial" w:hAnsi="Arial" w:cs="Arial"/>
          <w:i/>
          <w:iCs/>
          <w:color w:val="000000" w:themeColor="text1"/>
          <w:sz w:val="24"/>
          <w:szCs w:val="24"/>
        </w:rPr>
        <w:t>:…</w:t>
      </w:r>
      <w:r w:rsidR="008D584D" w:rsidRPr="002D0A15">
        <w:rPr>
          <w:rFonts w:ascii="Arial" w:hAnsi="Arial" w:cs="Arial"/>
          <w:i/>
          <w:iCs/>
          <w:color w:val="000000" w:themeColor="text1"/>
          <w:sz w:val="24"/>
          <w:szCs w:val="24"/>
        </w:rPr>
        <w:t>”</w:t>
      </w:r>
    </w:p>
    <w:p w14:paraId="248C7B13" w14:textId="2A8316C6" w:rsidR="002509D3"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53)</w:t>
      </w:r>
      <w:r w:rsidRPr="00B0760E">
        <w:rPr>
          <w:rFonts w:ascii="Arial" w:hAnsi="Arial" w:cs="Arial"/>
          <w:color w:val="000000" w:themeColor="text1"/>
          <w:sz w:val="24"/>
          <w:szCs w:val="24"/>
        </w:rPr>
        <w:tab/>
      </w:r>
      <w:r w:rsidR="002509D3" w:rsidRPr="002D0A15">
        <w:rPr>
          <w:rFonts w:ascii="Arial" w:hAnsi="Arial" w:cs="Arial"/>
          <w:color w:val="000000" w:themeColor="text1"/>
          <w:sz w:val="24"/>
          <w:szCs w:val="24"/>
        </w:rPr>
        <w:t xml:space="preserve">These provisions have been incorporated into part 12 of </w:t>
      </w:r>
      <w:r w:rsidR="00150010" w:rsidRPr="002D0A15">
        <w:rPr>
          <w:rFonts w:ascii="Arial" w:hAnsi="Arial" w:cs="Arial"/>
          <w:color w:val="000000" w:themeColor="text1"/>
          <w:sz w:val="24"/>
          <w:szCs w:val="24"/>
        </w:rPr>
        <w:t xml:space="preserve">the South African </w:t>
      </w:r>
      <w:r w:rsidR="00150010" w:rsidRPr="002D0A15">
        <w:rPr>
          <w:rFonts w:ascii="Arial" w:hAnsi="Arial" w:cs="Arial"/>
          <w:i/>
          <w:iCs/>
          <w:color w:val="000000" w:themeColor="text1"/>
          <w:sz w:val="24"/>
          <w:szCs w:val="24"/>
        </w:rPr>
        <w:t>Civil Aviation Regulations</w:t>
      </w:r>
      <w:r w:rsidR="001E0E54" w:rsidRPr="002D0A15">
        <w:rPr>
          <w:rFonts w:ascii="Arial" w:hAnsi="Arial" w:cs="Arial"/>
          <w:color w:val="000000" w:themeColor="text1"/>
          <w:sz w:val="24"/>
          <w:szCs w:val="24"/>
        </w:rPr>
        <w:t>,2011</w:t>
      </w:r>
      <w:r w:rsidR="00150010" w:rsidRPr="002D0A15">
        <w:rPr>
          <w:rFonts w:ascii="Arial" w:hAnsi="Arial" w:cs="Arial"/>
          <w:color w:val="000000" w:themeColor="text1"/>
          <w:sz w:val="24"/>
          <w:szCs w:val="24"/>
        </w:rPr>
        <w:t xml:space="preserve"> (“</w:t>
      </w:r>
      <w:r w:rsidR="00CD2F85" w:rsidRPr="002D0A15">
        <w:rPr>
          <w:rFonts w:ascii="Arial" w:hAnsi="Arial" w:cs="Arial"/>
          <w:color w:val="000000" w:themeColor="text1"/>
          <w:sz w:val="24"/>
          <w:szCs w:val="24"/>
        </w:rPr>
        <w:t>SACARS</w:t>
      </w:r>
      <w:r w:rsidR="00D2213F" w:rsidRPr="002D0A15">
        <w:rPr>
          <w:rFonts w:ascii="Arial" w:hAnsi="Arial" w:cs="Arial"/>
          <w:color w:val="000000" w:themeColor="text1"/>
          <w:sz w:val="24"/>
          <w:szCs w:val="24"/>
        </w:rPr>
        <w:t>”)</w:t>
      </w:r>
      <w:r w:rsidR="002509D3"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2509D3" w:rsidRPr="002D0A15">
        <w:rPr>
          <w:rFonts w:ascii="Arial" w:hAnsi="Arial" w:cs="Arial"/>
          <w:color w:val="000000" w:themeColor="text1"/>
          <w:sz w:val="24"/>
          <w:szCs w:val="24"/>
        </w:rPr>
        <w:t xml:space="preserve"> argues that it is therefore </w:t>
      </w:r>
      <w:r w:rsidR="001E0E54" w:rsidRPr="002D0A15">
        <w:rPr>
          <w:rFonts w:ascii="Arial" w:hAnsi="Arial" w:cs="Arial"/>
          <w:color w:val="000000" w:themeColor="text1"/>
          <w:sz w:val="24"/>
          <w:szCs w:val="24"/>
        </w:rPr>
        <w:t>prohibited</w:t>
      </w:r>
      <w:r w:rsidR="002509D3" w:rsidRPr="002D0A15">
        <w:rPr>
          <w:rFonts w:ascii="Arial" w:hAnsi="Arial" w:cs="Arial"/>
          <w:color w:val="000000" w:themeColor="text1"/>
          <w:sz w:val="24"/>
          <w:szCs w:val="24"/>
        </w:rPr>
        <w:t xml:space="preserve"> by international agreement</w:t>
      </w:r>
      <w:r w:rsidR="001E0E54" w:rsidRPr="002D0A15">
        <w:rPr>
          <w:rFonts w:ascii="Arial" w:hAnsi="Arial" w:cs="Arial"/>
          <w:color w:val="000000" w:themeColor="text1"/>
          <w:sz w:val="24"/>
          <w:szCs w:val="24"/>
        </w:rPr>
        <w:t>,</w:t>
      </w:r>
      <w:r w:rsidR="002509D3" w:rsidRPr="002D0A15">
        <w:rPr>
          <w:rFonts w:ascii="Arial" w:hAnsi="Arial" w:cs="Arial"/>
          <w:color w:val="000000" w:themeColor="text1"/>
          <w:sz w:val="24"/>
          <w:szCs w:val="24"/>
        </w:rPr>
        <w:t xml:space="preserve"> as well as domestic law</w:t>
      </w:r>
      <w:r w:rsidR="001E0E54" w:rsidRPr="002D0A15">
        <w:rPr>
          <w:rFonts w:ascii="Arial" w:hAnsi="Arial" w:cs="Arial"/>
          <w:color w:val="000000" w:themeColor="text1"/>
          <w:sz w:val="24"/>
          <w:szCs w:val="24"/>
        </w:rPr>
        <w:t>,</w:t>
      </w:r>
      <w:r w:rsidR="002509D3" w:rsidRPr="002D0A15">
        <w:rPr>
          <w:rFonts w:ascii="Arial" w:hAnsi="Arial" w:cs="Arial"/>
          <w:color w:val="000000" w:themeColor="text1"/>
          <w:sz w:val="24"/>
          <w:szCs w:val="24"/>
        </w:rPr>
        <w:t xml:space="preserve"> </w:t>
      </w:r>
      <w:r w:rsidR="001E0E54" w:rsidRPr="002D0A15">
        <w:rPr>
          <w:rFonts w:ascii="Arial" w:hAnsi="Arial" w:cs="Arial"/>
          <w:color w:val="000000" w:themeColor="text1"/>
          <w:sz w:val="24"/>
          <w:szCs w:val="24"/>
        </w:rPr>
        <w:t xml:space="preserve">from providing </w:t>
      </w:r>
      <w:r w:rsidR="002509D3" w:rsidRPr="002D0A15">
        <w:rPr>
          <w:rFonts w:ascii="Arial" w:hAnsi="Arial" w:cs="Arial"/>
          <w:color w:val="000000" w:themeColor="text1"/>
          <w:sz w:val="24"/>
          <w:szCs w:val="24"/>
        </w:rPr>
        <w:t xml:space="preserve">the </w:t>
      </w:r>
      <w:r w:rsidR="001E0E54" w:rsidRPr="002D0A15">
        <w:rPr>
          <w:rFonts w:ascii="Arial" w:hAnsi="Arial" w:cs="Arial"/>
          <w:color w:val="000000" w:themeColor="text1"/>
          <w:sz w:val="24"/>
          <w:szCs w:val="24"/>
        </w:rPr>
        <w:t xml:space="preserve">records </w:t>
      </w:r>
      <w:r w:rsidR="002509D3" w:rsidRPr="002D0A15">
        <w:rPr>
          <w:rFonts w:ascii="Arial" w:hAnsi="Arial" w:cs="Arial"/>
          <w:color w:val="000000" w:themeColor="text1"/>
          <w:sz w:val="24"/>
          <w:szCs w:val="24"/>
        </w:rPr>
        <w:t xml:space="preserve">requested by the </w:t>
      </w:r>
      <w:r w:rsidR="00566C8A" w:rsidRPr="002D0A15">
        <w:rPr>
          <w:rFonts w:ascii="Arial" w:hAnsi="Arial" w:cs="Arial"/>
          <w:color w:val="000000" w:themeColor="text1"/>
          <w:sz w:val="24"/>
          <w:szCs w:val="24"/>
        </w:rPr>
        <w:t>Applicant</w:t>
      </w:r>
      <w:r w:rsidR="002509D3" w:rsidRPr="002D0A15">
        <w:rPr>
          <w:rFonts w:ascii="Arial" w:hAnsi="Arial" w:cs="Arial"/>
          <w:color w:val="000000" w:themeColor="text1"/>
          <w:sz w:val="24"/>
          <w:szCs w:val="24"/>
        </w:rPr>
        <w:t xml:space="preserve">. </w:t>
      </w:r>
    </w:p>
    <w:p w14:paraId="3319CFB0" w14:textId="19E9DEDD" w:rsidR="00BA571D"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54)</w:t>
      </w:r>
      <w:r w:rsidRPr="00B0760E">
        <w:rPr>
          <w:rFonts w:ascii="Arial" w:hAnsi="Arial" w:cs="Arial"/>
          <w:color w:val="000000" w:themeColor="text1"/>
          <w:sz w:val="24"/>
          <w:szCs w:val="24"/>
        </w:rPr>
        <w:tab/>
      </w:r>
      <w:r w:rsidR="002509D3" w:rsidRPr="002D0A15">
        <w:rPr>
          <w:rFonts w:ascii="Arial" w:hAnsi="Arial" w:cs="Arial"/>
          <w:color w:val="000000" w:themeColor="text1"/>
          <w:sz w:val="24"/>
          <w:szCs w:val="24"/>
        </w:rPr>
        <w:t>In developing this argument</w:t>
      </w:r>
      <w:r w:rsidR="00593AB1" w:rsidRPr="002D0A15">
        <w:rPr>
          <w:rFonts w:ascii="Arial" w:hAnsi="Arial" w:cs="Arial"/>
          <w:color w:val="000000" w:themeColor="text1"/>
          <w:sz w:val="24"/>
          <w:szCs w:val="24"/>
        </w:rPr>
        <w:t>,</w:t>
      </w:r>
      <w:r w:rsidR="002509D3" w:rsidRPr="002D0A15">
        <w:rPr>
          <w:rFonts w:ascii="Arial" w:hAnsi="Arial" w:cs="Arial"/>
          <w:color w:val="000000" w:themeColor="text1"/>
          <w:sz w:val="24"/>
          <w:szCs w:val="24"/>
        </w:rPr>
        <w:t xml:space="preserve"> reliance is placed on section 231 of the </w:t>
      </w:r>
      <w:r w:rsidR="0090753B" w:rsidRPr="002D0A15">
        <w:rPr>
          <w:rFonts w:ascii="Arial" w:hAnsi="Arial" w:cs="Arial"/>
          <w:color w:val="000000" w:themeColor="text1"/>
          <w:sz w:val="24"/>
          <w:szCs w:val="24"/>
        </w:rPr>
        <w:t>Constitution</w:t>
      </w:r>
      <w:r w:rsidR="002509D3" w:rsidRPr="002D0A15">
        <w:rPr>
          <w:rFonts w:ascii="Arial" w:hAnsi="Arial" w:cs="Arial"/>
          <w:color w:val="000000" w:themeColor="text1"/>
          <w:sz w:val="24"/>
          <w:szCs w:val="24"/>
        </w:rPr>
        <w:t xml:space="preserve"> which provides that any international agreement becomes law in the Republic when it is enacted into law by national legislation.</w:t>
      </w:r>
      <w:r w:rsidR="009E28F6" w:rsidRPr="002D0A15">
        <w:rPr>
          <w:rFonts w:ascii="Arial" w:hAnsi="Arial" w:cs="Arial"/>
          <w:color w:val="000000" w:themeColor="text1"/>
          <w:sz w:val="24"/>
          <w:szCs w:val="24"/>
        </w:rPr>
        <w:t xml:space="preserve"> </w:t>
      </w:r>
      <w:r w:rsidR="0084017E" w:rsidRPr="002D0A15">
        <w:rPr>
          <w:rFonts w:ascii="Arial" w:hAnsi="Arial" w:cs="Arial"/>
          <w:color w:val="000000" w:themeColor="text1"/>
          <w:sz w:val="24"/>
          <w:szCs w:val="24"/>
        </w:rPr>
        <w:t xml:space="preserve">It is argued that the </w:t>
      </w:r>
      <w:r w:rsidR="00566C8A" w:rsidRPr="002D0A15">
        <w:rPr>
          <w:rFonts w:ascii="Arial" w:hAnsi="Arial" w:cs="Arial"/>
          <w:color w:val="000000" w:themeColor="text1"/>
          <w:sz w:val="24"/>
          <w:szCs w:val="24"/>
        </w:rPr>
        <w:t>Court</w:t>
      </w:r>
      <w:r w:rsidR="0084017E" w:rsidRPr="002D0A15">
        <w:rPr>
          <w:rFonts w:ascii="Arial" w:hAnsi="Arial" w:cs="Arial"/>
          <w:color w:val="000000" w:themeColor="text1"/>
          <w:sz w:val="24"/>
          <w:szCs w:val="24"/>
        </w:rPr>
        <w:t xml:space="preserve"> can therefore not lawfully grant an order would contravene the </w:t>
      </w:r>
      <w:r w:rsidR="00566C8A" w:rsidRPr="002D0A15">
        <w:rPr>
          <w:rFonts w:ascii="Arial" w:hAnsi="Arial" w:cs="Arial"/>
          <w:color w:val="000000" w:themeColor="text1"/>
          <w:sz w:val="24"/>
          <w:szCs w:val="24"/>
        </w:rPr>
        <w:t>Convention</w:t>
      </w:r>
      <w:r w:rsidR="0084017E" w:rsidRPr="002D0A15">
        <w:rPr>
          <w:rFonts w:ascii="Arial" w:hAnsi="Arial" w:cs="Arial"/>
          <w:color w:val="000000" w:themeColor="text1"/>
          <w:sz w:val="24"/>
          <w:szCs w:val="24"/>
        </w:rPr>
        <w:t xml:space="preserve"> and section 41 of PAIA</w:t>
      </w:r>
      <w:r w:rsidR="00924E2D" w:rsidRPr="002D0A15">
        <w:rPr>
          <w:rFonts w:ascii="Arial" w:hAnsi="Arial" w:cs="Arial"/>
          <w:color w:val="000000" w:themeColor="text1"/>
          <w:sz w:val="24"/>
          <w:szCs w:val="24"/>
        </w:rPr>
        <w:t xml:space="preserve">, </w:t>
      </w:r>
      <w:r w:rsidR="008D418E" w:rsidRPr="002D0A15">
        <w:rPr>
          <w:rFonts w:ascii="Arial" w:hAnsi="Arial" w:cs="Arial"/>
          <w:color w:val="000000" w:themeColor="text1"/>
          <w:sz w:val="24"/>
          <w:szCs w:val="24"/>
        </w:rPr>
        <w:t>w</w:t>
      </w:r>
      <w:r w:rsidR="00F40AAE" w:rsidRPr="002D0A15">
        <w:rPr>
          <w:rFonts w:ascii="Arial" w:hAnsi="Arial" w:cs="Arial"/>
          <w:color w:val="000000" w:themeColor="text1"/>
          <w:sz w:val="24"/>
          <w:szCs w:val="24"/>
        </w:rPr>
        <w:t xml:space="preserve">ithout the </w:t>
      </w:r>
      <w:r w:rsidR="00566C8A" w:rsidRPr="002D0A15">
        <w:rPr>
          <w:rFonts w:ascii="Arial" w:hAnsi="Arial" w:cs="Arial"/>
          <w:color w:val="000000" w:themeColor="text1"/>
          <w:sz w:val="24"/>
          <w:szCs w:val="24"/>
        </w:rPr>
        <w:t>Applicant</w:t>
      </w:r>
      <w:r w:rsidR="00F40AAE" w:rsidRPr="002D0A15">
        <w:rPr>
          <w:rFonts w:ascii="Arial" w:hAnsi="Arial" w:cs="Arial"/>
          <w:color w:val="000000" w:themeColor="text1"/>
          <w:sz w:val="24"/>
          <w:szCs w:val="24"/>
        </w:rPr>
        <w:t xml:space="preserve"> bringing a </w:t>
      </w:r>
      <w:r w:rsidR="0090753B" w:rsidRPr="002D0A15">
        <w:rPr>
          <w:rFonts w:ascii="Arial" w:hAnsi="Arial" w:cs="Arial"/>
          <w:color w:val="000000" w:themeColor="text1"/>
          <w:sz w:val="24"/>
          <w:szCs w:val="24"/>
        </w:rPr>
        <w:t>Constitution</w:t>
      </w:r>
      <w:r w:rsidR="00F40AAE" w:rsidRPr="002D0A15">
        <w:rPr>
          <w:rFonts w:ascii="Arial" w:hAnsi="Arial" w:cs="Arial"/>
          <w:color w:val="000000" w:themeColor="text1"/>
          <w:sz w:val="24"/>
          <w:szCs w:val="24"/>
        </w:rPr>
        <w:t xml:space="preserve">al challenge to the </w:t>
      </w:r>
      <w:r w:rsidR="00C73813" w:rsidRPr="002D0A15">
        <w:rPr>
          <w:rFonts w:ascii="Arial" w:hAnsi="Arial" w:cs="Arial"/>
          <w:color w:val="000000" w:themeColor="text1"/>
          <w:sz w:val="24"/>
          <w:szCs w:val="24"/>
        </w:rPr>
        <w:t>“…</w:t>
      </w:r>
      <w:r w:rsidR="00F40AAE" w:rsidRPr="002D0A15">
        <w:rPr>
          <w:rFonts w:ascii="Arial" w:hAnsi="Arial" w:cs="Arial"/>
          <w:i/>
          <w:iCs/>
          <w:color w:val="000000" w:themeColor="text1"/>
          <w:sz w:val="24"/>
          <w:szCs w:val="24"/>
        </w:rPr>
        <w:t xml:space="preserve">validity of section 41 of PAIA, the </w:t>
      </w:r>
      <w:r w:rsidR="00566C8A" w:rsidRPr="002D0A15">
        <w:rPr>
          <w:rFonts w:ascii="Arial" w:hAnsi="Arial" w:cs="Arial"/>
          <w:i/>
          <w:iCs/>
          <w:color w:val="000000" w:themeColor="text1"/>
          <w:sz w:val="24"/>
          <w:szCs w:val="24"/>
        </w:rPr>
        <w:t>Convention</w:t>
      </w:r>
      <w:r w:rsidR="00F40AAE" w:rsidRPr="002D0A15">
        <w:rPr>
          <w:rFonts w:ascii="Arial" w:hAnsi="Arial" w:cs="Arial"/>
          <w:i/>
          <w:iCs/>
          <w:color w:val="000000" w:themeColor="text1"/>
          <w:sz w:val="24"/>
          <w:szCs w:val="24"/>
        </w:rPr>
        <w:t xml:space="preserve"> and part 12 of the </w:t>
      </w:r>
      <w:r w:rsidR="00B45EEC" w:rsidRPr="002D0A15">
        <w:rPr>
          <w:rFonts w:ascii="Arial" w:hAnsi="Arial" w:cs="Arial"/>
          <w:i/>
          <w:iCs/>
          <w:color w:val="000000" w:themeColor="text1"/>
          <w:sz w:val="24"/>
          <w:szCs w:val="24"/>
        </w:rPr>
        <w:t>Civil Aviation Regulation</w:t>
      </w:r>
      <w:r w:rsidR="00BE5D3D" w:rsidRPr="002D0A15">
        <w:rPr>
          <w:rFonts w:ascii="Arial" w:hAnsi="Arial" w:cs="Arial"/>
          <w:color w:val="000000" w:themeColor="text1"/>
          <w:sz w:val="24"/>
          <w:szCs w:val="24"/>
        </w:rPr>
        <w:t>.</w:t>
      </w:r>
      <w:r w:rsidR="00C73813" w:rsidRPr="002D0A15">
        <w:rPr>
          <w:rFonts w:ascii="Arial" w:hAnsi="Arial" w:cs="Arial"/>
          <w:color w:val="000000" w:themeColor="text1"/>
          <w:sz w:val="24"/>
          <w:szCs w:val="24"/>
        </w:rPr>
        <w:t>”</w:t>
      </w:r>
      <w:r w:rsidR="00BE5D3D" w:rsidRPr="002D0A15">
        <w:rPr>
          <w:rFonts w:ascii="Arial" w:hAnsi="Arial" w:cs="Arial"/>
          <w:color w:val="000000" w:themeColor="text1"/>
          <w:sz w:val="24"/>
          <w:szCs w:val="24"/>
        </w:rPr>
        <w:t xml:space="preserve"> </w:t>
      </w:r>
      <w:r w:rsidR="00B45EEC" w:rsidRPr="00B0760E">
        <w:rPr>
          <w:rStyle w:val="FootnoteReference"/>
          <w:rFonts w:ascii="Arial" w:hAnsi="Arial" w:cs="Arial"/>
          <w:color w:val="000000" w:themeColor="text1"/>
          <w:sz w:val="24"/>
          <w:szCs w:val="24"/>
        </w:rPr>
        <w:footnoteReference w:id="24"/>
      </w:r>
    </w:p>
    <w:p w14:paraId="52121E78" w14:textId="7DB13A6A" w:rsidR="00E373C8"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55)</w:t>
      </w:r>
      <w:r w:rsidRPr="00B0760E">
        <w:rPr>
          <w:rFonts w:ascii="Arial" w:hAnsi="Arial" w:cs="Arial"/>
          <w:color w:val="000000" w:themeColor="text1"/>
          <w:sz w:val="24"/>
          <w:szCs w:val="24"/>
        </w:rPr>
        <w:tab/>
      </w:r>
      <w:r w:rsidR="00A40AE8" w:rsidRPr="002D0A15">
        <w:rPr>
          <w:rFonts w:ascii="Arial" w:hAnsi="Arial" w:cs="Arial"/>
          <w:color w:val="000000" w:themeColor="text1"/>
          <w:sz w:val="24"/>
          <w:szCs w:val="24"/>
        </w:rPr>
        <w:t xml:space="preserve">This argument is based on the assumption that the provisions of the </w:t>
      </w:r>
      <w:r w:rsidR="00566C8A" w:rsidRPr="002D0A15">
        <w:rPr>
          <w:rFonts w:ascii="Arial" w:hAnsi="Arial" w:cs="Arial"/>
          <w:color w:val="000000" w:themeColor="text1"/>
          <w:sz w:val="24"/>
          <w:szCs w:val="24"/>
        </w:rPr>
        <w:t>Convention</w:t>
      </w:r>
      <w:r w:rsidR="00A40AE8" w:rsidRPr="002D0A15">
        <w:rPr>
          <w:rFonts w:ascii="Arial" w:hAnsi="Arial" w:cs="Arial"/>
          <w:color w:val="000000" w:themeColor="text1"/>
          <w:sz w:val="24"/>
          <w:szCs w:val="24"/>
        </w:rPr>
        <w:t xml:space="preserve">'s </w:t>
      </w:r>
      <w:r w:rsidR="00566C8A" w:rsidRPr="002D0A15">
        <w:rPr>
          <w:rFonts w:ascii="Arial" w:hAnsi="Arial" w:cs="Arial"/>
          <w:color w:val="000000" w:themeColor="text1"/>
          <w:sz w:val="24"/>
          <w:szCs w:val="24"/>
        </w:rPr>
        <w:t>Annex</w:t>
      </w:r>
      <w:r w:rsidR="00980948" w:rsidRPr="002D0A15">
        <w:rPr>
          <w:rFonts w:ascii="Arial" w:hAnsi="Arial" w:cs="Arial"/>
          <w:color w:val="000000" w:themeColor="text1"/>
          <w:sz w:val="24"/>
          <w:szCs w:val="24"/>
        </w:rPr>
        <w:t xml:space="preserve"> 13</w:t>
      </w:r>
      <w:r w:rsidR="00A40AE8" w:rsidRPr="002D0A15">
        <w:rPr>
          <w:rFonts w:ascii="Arial" w:hAnsi="Arial" w:cs="Arial"/>
          <w:color w:val="000000" w:themeColor="text1"/>
          <w:sz w:val="24"/>
          <w:szCs w:val="24"/>
        </w:rPr>
        <w:t xml:space="preserve"> </w:t>
      </w:r>
      <w:r w:rsidR="008D4FB6" w:rsidRPr="002D0A15">
        <w:rPr>
          <w:rFonts w:ascii="Arial" w:hAnsi="Arial" w:cs="Arial"/>
          <w:color w:val="000000" w:themeColor="text1"/>
          <w:sz w:val="24"/>
          <w:szCs w:val="24"/>
        </w:rPr>
        <w:t>are</w:t>
      </w:r>
      <w:r w:rsidR="00A40AE8" w:rsidRPr="002D0A15">
        <w:rPr>
          <w:rFonts w:ascii="Arial" w:hAnsi="Arial" w:cs="Arial"/>
          <w:color w:val="000000" w:themeColor="text1"/>
          <w:sz w:val="24"/>
          <w:szCs w:val="24"/>
        </w:rPr>
        <w:t xml:space="preserve"> binding on ratifying </w:t>
      </w:r>
      <w:r w:rsidR="00245167" w:rsidRPr="002D0A15">
        <w:rPr>
          <w:rFonts w:ascii="Arial" w:hAnsi="Arial" w:cs="Arial"/>
          <w:color w:val="000000" w:themeColor="text1"/>
          <w:sz w:val="24"/>
          <w:szCs w:val="24"/>
        </w:rPr>
        <w:t>State</w:t>
      </w:r>
      <w:r w:rsidR="00566DBB" w:rsidRPr="002D0A15">
        <w:rPr>
          <w:rFonts w:ascii="Arial" w:hAnsi="Arial" w:cs="Arial"/>
          <w:color w:val="000000" w:themeColor="text1"/>
          <w:sz w:val="24"/>
          <w:szCs w:val="24"/>
        </w:rPr>
        <w:t>s</w:t>
      </w:r>
      <w:r w:rsidR="008C6231" w:rsidRPr="002D0A15">
        <w:rPr>
          <w:rFonts w:ascii="Arial" w:hAnsi="Arial" w:cs="Arial"/>
          <w:color w:val="000000" w:themeColor="text1"/>
          <w:sz w:val="24"/>
          <w:szCs w:val="24"/>
        </w:rPr>
        <w:t xml:space="preserve"> and</w:t>
      </w:r>
      <w:r w:rsidR="00F71122" w:rsidRPr="002D0A15">
        <w:rPr>
          <w:rFonts w:ascii="Arial" w:hAnsi="Arial" w:cs="Arial"/>
          <w:color w:val="000000" w:themeColor="text1"/>
          <w:sz w:val="24"/>
          <w:szCs w:val="24"/>
        </w:rPr>
        <w:t xml:space="preserve"> that the obligation</w:t>
      </w:r>
      <w:r w:rsidR="00C43C0A" w:rsidRPr="002D0A15">
        <w:rPr>
          <w:rFonts w:ascii="Arial" w:hAnsi="Arial" w:cs="Arial"/>
          <w:color w:val="000000" w:themeColor="text1"/>
          <w:sz w:val="24"/>
          <w:szCs w:val="24"/>
        </w:rPr>
        <w:t xml:space="preserve"> in terms thereof is one of non-disclosure of records.</w:t>
      </w:r>
    </w:p>
    <w:p w14:paraId="2E79C932" w14:textId="4D2EDE6B" w:rsidR="00187DF3"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56)</w:t>
      </w:r>
      <w:r w:rsidRPr="00B0760E">
        <w:rPr>
          <w:rFonts w:ascii="Arial" w:hAnsi="Arial" w:cs="Arial"/>
          <w:color w:val="000000" w:themeColor="text1"/>
          <w:sz w:val="24"/>
          <w:szCs w:val="24"/>
        </w:rPr>
        <w:tab/>
      </w:r>
      <w:r w:rsidR="00E01F6A" w:rsidRPr="002D0A15">
        <w:rPr>
          <w:rFonts w:ascii="Arial" w:hAnsi="Arial" w:cs="Arial"/>
          <w:color w:val="000000" w:themeColor="text1"/>
          <w:sz w:val="24"/>
          <w:szCs w:val="24"/>
        </w:rPr>
        <w:t>This</w:t>
      </w:r>
      <w:r w:rsidR="00597EDF" w:rsidRPr="002D0A15">
        <w:rPr>
          <w:rFonts w:ascii="Arial" w:hAnsi="Arial" w:cs="Arial"/>
          <w:color w:val="000000" w:themeColor="text1"/>
          <w:sz w:val="24"/>
          <w:szCs w:val="24"/>
        </w:rPr>
        <w:t xml:space="preserve"> assumption misconstrues</w:t>
      </w:r>
      <w:r w:rsidR="00E01F6A" w:rsidRPr="002D0A15">
        <w:rPr>
          <w:rFonts w:ascii="Arial" w:hAnsi="Arial" w:cs="Arial"/>
          <w:color w:val="000000" w:themeColor="text1"/>
          <w:sz w:val="24"/>
          <w:szCs w:val="24"/>
        </w:rPr>
        <w:t xml:space="preserve"> both the nature of the </w:t>
      </w:r>
      <w:r w:rsidR="00566C8A" w:rsidRPr="002D0A15">
        <w:rPr>
          <w:rFonts w:ascii="Arial" w:hAnsi="Arial" w:cs="Arial"/>
          <w:color w:val="000000" w:themeColor="text1"/>
          <w:sz w:val="24"/>
          <w:szCs w:val="24"/>
        </w:rPr>
        <w:t>Annex</w:t>
      </w:r>
      <w:r w:rsidR="00E01F6A" w:rsidRPr="002D0A15">
        <w:rPr>
          <w:rFonts w:ascii="Arial" w:hAnsi="Arial" w:cs="Arial"/>
          <w:color w:val="000000" w:themeColor="text1"/>
          <w:sz w:val="24"/>
          <w:szCs w:val="24"/>
        </w:rPr>
        <w:t>es</w:t>
      </w:r>
      <w:r w:rsidR="001D67EB" w:rsidRPr="002D0A15">
        <w:rPr>
          <w:rFonts w:ascii="Arial" w:hAnsi="Arial" w:cs="Arial"/>
          <w:color w:val="000000" w:themeColor="text1"/>
          <w:sz w:val="24"/>
          <w:szCs w:val="24"/>
        </w:rPr>
        <w:t xml:space="preserve"> in general,</w:t>
      </w:r>
      <w:r w:rsidR="00E01F6A" w:rsidRPr="002D0A15">
        <w:rPr>
          <w:rFonts w:ascii="Arial" w:hAnsi="Arial" w:cs="Arial"/>
          <w:color w:val="000000" w:themeColor="text1"/>
          <w:sz w:val="24"/>
          <w:szCs w:val="24"/>
        </w:rPr>
        <w:t xml:space="preserve"> as well as the </w:t>
      </w:r>
      <w:r w:rsidR="000415EC" w:rsidRPr="002D0A15">
        <w:rPr>
          <w:rFonts w:ascii="Arial" w:hAnsi="Arial" w:cs="Arial"/>
          <w:color w:val="000000" w:themeColor="text1"/>
          <w:sz w:val="24"/>
          <w:szCs w:val="24"/>
        </w:rPr>
        <w:t xml:space="preserve">duties of the </w:t>
      </w:r>
      <w:r w:rsidR="00E01F6A" w:rsidRPr="002D0A15">
        <w:rPr>
          <w:rFonts w:ascii="Arial" w:hAnsi="Arial" w:cs="Arial"/>
          <w:color w:val="000000" w:themeColor="text1"/>
          <w:sz w:val="24"/>
          <w:szCs w:val="24"/>
        </w:rPr>
        <w:t xml:space="preserve">rectifying </w:t>
      </w:r>
      <w:r w:rsidR="00245167" w:rsidRPr="002D0A15">
        <w:rPr>
          <w:rFonts w:ascii="Arial" w:hAnsi="Arial" w:cs="Arial"/>
          <w:color w:val="000000" w:themeColor="text1"/>
          <w:sz w:val="24"/>
          <w:szCs w:val="24"/>
        </w:rPr>
        <w:t>State</w:t>
      </w:r>
      <w:r w:rsidR="00E01F6A" w:rsidRPr="002D0A15">
        <w:rPr>
          <w:rFonts w:ascii="Arial" w:hAnsi="Arial" w:cs="Arial"/>
          <w:color w:val="000000" w:themeColor="text1"/>
          <w:sz w:val="24"/>
          <w:szCs w:val="24"/>
        </w:rPr>
        <w:t>s</w:t>
      </w:r>
      <w:r w:rsidR="00027A03" w:rsidRPr="002D0A15">
        <w:rPr>
          <w:rFonts w:ascii="Arial" w:hAnsi="Arial" w:cs="Arial"/>
          <w:color w:val="000000" w:themeColor="text1"/>
          <w:sz w:val="24"/>
          <w:szCs w:val="24"/>
        </w:rPr>
        <w:t xml:space="preserve"> </w:t>
      </w:r>
      <w:r w:rsidR="009D6C81" w:rsidRPr="002D0A15">
        <w:rPr>
          <w:rFonts w:ascii="Arial" w:hAnsi="Arial" w:cs="Arial"/>
          <w:color w:val="000000" w:themeColor="text1"/>
          <w:sz w:val="24"/>
          <w:szCs w:val="24"/>
        </w:rPr>
        <w:t>in terms thereof</w:t>
      </w:r>
      <w:r w:rsidR="00F70037" w:rsidRPr="002D0A15">
        <w:rPr>
          <w:rFonts w:ascii="Arial" w:hAnsi="Arial" w:cs="Arial"/>
          <w:color w:val="000000" w:themeColor="text1"/>
          <w:sz w:val="24"/>
          <w:szCs w:val="24"/>
        </w:rPr>
        <w:t>. In terms of</w:t>
      </w:r>
      <w:r w:rsidR="00C87874" w:rsidRPr="002D0A15">
        <w:rPr>
          <w:rFonts w:ascii="Arial" w:hAnsi="Arial" w:cs="Arial"/>
          <w:color w:val="000000" w:themeColor="text1"/>
          <w:sz w:val="24"/>
          <w:szCs w:val="24"/>
        </w:rPr>
        <w:t xml:space="preserve"> Article 37 of</w:t>
      </w:r>
      <w:r w:rsidR="00F70037"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Convention</w:t>
      </w:r>
      <w:r w:rsidR="00C87874" w:rsidRPr="002D0A15">
        <w:rPr>
          <w:rFonts w:ascii="Arial" w:hAnsi="Arial" w:cs="Arial"/>
          <w:color w:val="000000" w:themeColor="text1"/>
          <w:sz w:val="24"/>
          <w:szCs w:val="24"/>
        </w:rPr>
        <w:t>,</w:t>
      </w:r>
      <w:r w:rsidR="001B1157" w:rsidRPr="002D0A15">
        <w:rPr>
          <w:rFonts w:ascii="Arial" w:hAnsi="Arial" w:cs="Arial"/>
          <w:color w:val="000000" w:themeColor="text1"/>
          <w:sz w:val="24"/>
          <w:szCs w:val="24"/>
        </w:rPr>
        <w:t xml:space="preserve"> </w:t>
      </w:r>
      <w:r w:rsidR="001B1157" w:rsidRPr="002D0A15">
        <w:rPr>
          <w:rFonts w:ascii="Arial" w:hAnsi="Arial" w:cs="Arial"/>
          <w:color w:val="000000" w:themeColor="text1"/>
          <w:sz w:val="24"/>
          <w:szCs w:val="24"/>
        </w:rPr>
        <w:lastRenderedPageBreak/>
        <w:t>r</w:t>
      </w:r>
      <w:r w:rsidR="000F65EE" w:rsidRPr="002D0A15">
        <w:rPr>
          <w:rFonts w:ascii="Arial" w:hAnsi="Arial" w:cs="Arial"/>
          <w:color w:val="000000" w:themeColor="text1"/>
          <w:sz w:val="24"/>
          <w:szCs w:val="24"/>
        </w:rPr>
        <w:t xml:space="preserve">atifying </w:t>
      </w:r>
      <w:r w:rsidR="00245167" w:rsidRPr="002D0A15">
        <w:rPr>
          <w:rFonts w:ascii="Arial" w:hAnsi="Arial" w:cs="Arial"/>
          <w:color w:val="000000" w:themeColor="text1"/>
          <w:sz w:val="24"/>
          <w:szCs w:val="24"/>
        </w:rPr>
        <w:t>State</w:t>
      </w:r>
      <w:r w:rsidR="000F65EE" w:rsidRPr="002D0A15">
        <w:rPr>
          <w:rFonts w:ascii="Arial" w:hAnsi="Arial" w:cs="Arial"/>
          <w:color w:val="000000" w:themeColor="text1"/>
          <w:sz w:val="24"/>
          <w:szCs w:val="24"/>
        </w:rPr>
        <w:t>s</w:t>
      </w:r>
      <w:r w:rsidR="008A63F3" w:rsidRPr="002D0A15">
        <w:rPr>
          <w:rFonts w:ascii="Arial" w:hAnsi="Arial" w:cs="Arial"/>
          <w:color w:val="000000" w:themeColor="text1"/>
          <w:sz w:val="24"/>
          <w:szCs w:val="24"/>
        </w:rPr>
        <w:t>:” …</w:t>
      </w:r>
      <w:r w:rsidR="000F65EE" w:rsidRPr="002D0A15">
        <w:rPr>
          <w:rFonts w:ascii="Arial" w:hAnsi="Arial" w:cs="Arial"/>
          <w:i/>
          <w:iCs/>
          <w:color w:val="000000" w:themeColor="text1"/>
          <w:sz w:val="24"/>
          <w:szCs w:val="24"/>
        </w:rPr>
        <w:t>undertake to collaborate in securing the highest practicable degree of uniformity in regulations, standards, procedures and organisation in relation to aircraft</w:t>
      </w:r>
      <w:r w:rsidR="0037417D" w:rsidRPr="002D0A15">
        <w:rPr>
          <w:rFonts w:ascii="Arial" w:hAnsi="Arial" w:cs="Arial"/>
          <w:i/>
          <w:iCs/>
          <w:color w:val="000000" w:themeColor="text1"/>
          <w:sz w:val="24"/>
          <w:szCs w:val="24"/>
        </w:rPr>
        <w:t>..</w:t>
      </w:r>
      <w:r w:rsidR="000F65EE" w:rsidRPr="002D0A15">
        <w:rPr>
          <w:rFonts w:ascii="Arial" w:hAnsi="Arial" w:cs="Arial"/>
          <w:i/>
          <w:iCs/>
          <w:color w:val="000000" w:themeColor="text1"/>
          <w:sz w:val="24"/>
          <w:szCs w:val="24"/>
        </w:rPr>
        <w:t>.</w:t>
      </w:r>
      <w:r w:rsidR="00187DF3" w:rsidRPr="002D0A15">
        <w:rPr>
          <w:rFonts w:ascii="Arial" w:hAnsi="Arial" w:cs="Arial"/>
          <w:color w:val="000000" w:themeColor="text1"/>
          <w:sz w:val="24"/>
          <w:szCs w:val="24"/>
        </w:rPr>
        <w:t>“</w:t>
      </w:r>
      <w:r w:rsidR="00187DF3" w:rsidRPr="00B0760E">
        <w:rPr>
          <w:rStyle w:val="FootnoteReference"/>
          <w:rFonts w:ascii="Arial" w:hAnsi="Arial" w:cs="Arial"/>
          <w:color w:val="000000" w:themeColor="text1"/>
          <w:sz w:val="24"/>
          <w:szCs w:val="24"/>
        </w:rPr>
        <w:footnoteReference w:id="25"/>
      </w:r>
    </w:p>
    <w:p w14:paraId="494AAB6C" w14:textId="1C66684E" w:rsidR="00566DBB"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57)</w:t>
      </w:r>
      <w:r w:rsidRPr="00B0760E">
        <w:rPr>
          <w:rFonts w:ascii="Arial" w:hAnsi="Arial" w:cs="Arial"/>
          <w:color w:val="000000" w:themeColor="text1"/>
          <w:sz w:val="24"/>
          <w:szCs w:val="24"/>
        </w:rPr>
        <w:tab/>
      </w:r>
      <w:r w:rsidR="0037417D" w:rsidRPr="002D0A15">
        <w:rPr>
          <w:rFonts w:ascii="Arial" w:hAnsi="Arial" w:cs="Arial"/>
          <w:color w:val="000000" w:themeColor="text1"/>
          <w:sz w:val="24"/>
          <w:szCs w:val="24"/>
        </w:rPr>
        <w:t>T</w:t>
      </w:r>
      <w:r w:rsidR="000F65EE" w:rsidRPr="002D0A15">
        <w:rPr>
          <w:rFonts w:ascii="Arial" w:hAnsi="Arial" w:cs="Arial"/>
          <w:color w:val="000000" w:themeColor="text1"/>
          <w:sz w:val="24"/>
          <w:szCs w:val="24"/>
        </w:rPr>
        <w:t>o this end ICAO has adopted, a</w:t>
      </w:r>
      <w:r w:rsidR="009D6C81" w:rsidRPr="002D0A15">
        <w:rPr>
          <w:rFonts w:ascii="Arial" w:hAnsi="Arial" w:cs="Arial"/>
          <w:color w:val="000000" w:themeColor="text1"/>
          <w:sz w:val="24"/>
          <w:szCs w:val="24"/>
        </w:rPr>
        <w:t>nd amends</w:t>
      </w:r>
      <w:r w:rsidR="000F65EE" w:rsidRPr="002D0A15">
        <w:rPr>
          <w:rFonts w:ascii="Arial" w:hAnsi="Arial" w:cs="Arial"/>
          <w:color w:val="000000" w:themeColor="text1"/>
          <w:sz w:val="24"/>
          <w:szCs w:val="24"/>
        </w:rPr>
        <w:t xml:space="preserve"> from time to time, international standards and recommended practices and procedures dealing with 11 prescribed matters and such other matters concerned with the safety, regularity and efficiency of a navigation as may from time to time be appropriate. These are known as the </w:t>
      </w:r>
      <w:r w:rsidR="00566C8A" w:rsidRPr="002D0A15">
        <w:rPr>
          <w:rFonts w:ascii="Arial" w:hAnsi="Arial" w:cs="Arial"/>
          <w:color w:val="000000" w:themeColor="text1"/>
          <w:sz w:val="24"/>
          <w:szCs w:val="24"/>
        </w:rPr>
        <w:t>Annex</w:t>
      </w:r>
      <w:r w:rsidR="000F65EE" w:rsidRPr="002D0A15">
        <w:rPr>
          <w:rFonts w:ascii="Arial" w:hAnsi="Arial" w:cs="Arial"/>
          <w:color w:val="000000" w:themeColor="text1"/>
          <w:sz w:val="24"/>
          <w:szCs w:val="24"/>
        </w:rPr>
        <w:t xml:space="preserve">es to the </w:t>
      </w:r>
      <w:r w:rsidR="00566C8A" w:rsidRPr="002D0A15">
        <w:rPr>
          <w:rFonts w:ascii="Arial" w:hAnsi="Arial" w:cs="Arial"/>
          <w:color w:val="000000" w:themeColor="text1"/>
          <w:sz w:val="24"/>
          <w:szCs w:val="24"/>
        </w:rPr>
        <w:t>Convention</w:t>
      </w:r>
      <w:r w:rsidR="000F65EE" w:rsidRPr="002D0A15">
        <w:rPr>
          <w:rFonts w:ascii="Arial" w:hAnsi="Arial" w:cs="Arial"/>
          <w:color w:val="000000" w:themeColor="text1"/>
          <w:sz w:val="24"/>
          <w:szCs w:val="24"/>
        </w:rPr>
        <w:t>.</w:t>
      </w:r>
      <w:r w:rsidR="006F3A6D" w:rsidRPr="00B0760E">
        <w:rPr>
          <w:rStyle w:val="FootnoteReference"/>
          <w:rFonts w:ascii="Arial" w:hAnsi="Arial" w:cs="Arial"/>
          <w:color w:val="000000" w:themeColor="text1"/>
          <w:sz w:val="24"/>
          <w:szCs w:val="24"/>
        </w:rPr>
        <w:footnoteReference w:id="26"/>
      </w:r>
    </w:p>
    <w:p w14:paraId="78DDBAEA" w14:textId="4AB8CD8F" w:rsidR="00517711"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58)</w:t>
      </w:r>
      <w:r w:rsidRPr="00B0760E">
        <w:rPr>
          <w:rFonts w:ascii="Arial" w:hAnsi="Arial" w:cs="Arial"/>
          <w:color w:val="000000" w:themeColor="text1"/>
          <w:sz w:val="24"/>
          <w:szCs w:val="24"/>
        </w:rPr>
        <w:tab/>
      </w:r>
      <w:r w:rsidR="00566C8A" w:rsidRPr="002D0A15">
        <w:rPr>
          <w:rFonts w:ascii="Arial" w:hAnsi="Arial" w:cs="Arial"/>
          <w:color w:val="000000" w:themeColor="text1"/>
          <w:sz w:val="24"/>
          <w:szCs w:val="24"/>
        </w:rPr>
        <w:t>Annex</w:t>
      </w:r>
      <w:r w:rsidR="00517711" w:rsidRPr="002D0A15">
        <w:rPr>
          <w:rFonts w:ascii="Arial" w:hAnsi="Arial" w:cs="Arial"/>
          <w:color w:val="000000" w:themeColor="text1"/>
          <w:sz w:val="24"/>
          <w:szCs w:val="24"/>
        </w:rPr>
        <w:t xml:space="preserve"> 13</w:t>
      </w:r>
      <w:r w:rsidR="004E37E3" w:rsidRPr="002D0A15">
        <w:rPr>
          <w:rFonts w:ascii="Arial" w:hAnsi="Arial" w:cs="Arial"/>
          <w:color w:val="000000" w:themeColor="text1"/>
          <w:sz w:val="24"/>
          <w:szCs w:val="24"/>
        </w:rPr>
        <w:t xml:space="preserve"> </w:t>
      </w:r>
      <w:r w:rsidR="009A4393" w:rsidRPr="002D0A15">
        <w:rPr>
          <w:rFonts w:ascii="Arial" w:hAnsi="Arial" w:cs="Arial"/>
          <w:color w:val="000000" w:themeColor="text1"/>
          <w:sz w:val="24"/>
          <w:szCs w:val="24"/>
        </w:rPr>
        <w:t>is born</w:t>
      </w:r>
      <w:r w:rsidR="00F71C67" w:rsidRPr="002D0A15">
        <w:rPr>
          <w:rFonts w:ascii="Arial" w:hAnsi="Arial" w:cs="Arial"/>
          <w:color w:val="000000" w:themeColor="text1"/>
          <w:sz w:val="24"/>
          <w:szCs w:val="24"/>
        </w:rPr>
        <w:t>e</w:t>
      </w:r>
      <w:r w:rsidR="009A4393" w:rsidRPr="002D0A15">
        <w:rPr>
          <w:rFonts w:ascii="Arial" w:hAnsi="Arial" w:cs="Arial"/>
          <w:color w:val="000000" w:themeColor="text1"/>
          <w:sz w:val="24"/>
          <w:szCs w:val="24"/>
        </w:rPr>
        <w:t xml:space="preserve"> from article 26 of the </w:t>
      </w:r>
      <w:r w:rsidR="00566C8A" w:rsidRPr="002D0A15">
        <w:rPr>
          <w:rFonts w:ascii="Arial" w:hAnsi="Arial" w:cs="Arial"/>
          <w:color w:val="000000" w:themeColor="text1"/>
          <w:sz w:val="24"/>
          <w:szCs w:val="24"/>
        </w:rPr>
        <w:t>Convention</w:t>
      </w:r>
      <w:r w:rsidR="00517711" w:rsidRPr="002D0A15">
        <w:rPr>
          <w:rFonts w:ascii="Arial" w:hAnsi="Arial" w:cs="Arial"/>
          <w:color w:val="000000" w:themeColor="text1"/>
          <w:sz w:val="24"/>
          <w:szCs w:val="24"/>
        </w:rPr>
        <w:t xml:space="preserve"> </w:t>
      </w:r>
      <w:r w:rsidR="009A4393" w:rsidRPr="002D0A15">
        <w:rPr>
          <w:rFonts w:ascii="Arial" w:hAnsi="Arial" w:cs="Arial"/>
          <w:color w:val="000000" w:themeColor="text1"/>
          <w:sz w:val="24"/>
          <w:szCs w:val="24"/>
        </w:rPr>
        <w:t>w</w:t>
      </w:r>
      <w:r w:rsidR="004E37E3" w:rsidRPr="002D0A15">
        <w:rPr>
          <w:rFonts w:ascii="Arial" w:hAnsi="Arial" w:cs="Arial"/>
          <w:color w:val="000000" w:themeColor="text1"/>
          <w:sz w:val="24"/>
          <w:szCs w:val="24"/>
        </w:rPr>
        <w:t xml:space="preserve">hich obliges ratifying </w:t>
      </w:r>
      <w:r w:rsidR="00245167" w:rsidRPr="002D0A15">
        <w:rPr>
          <w:rFonts w:ascii="Arial" w:hAnsi="Arial" w:cs="Arial"/>
          <w:color w:val="000000" w:themeColor="text1"/>
          <w:sz w:val="24"/>
          <w:szCs w:val="24"/>
        </w:rPr>
        <w:t>State</w:t>
      </w:r>
      <w:r w:rsidR="004E37E3" w:rsidRPr="002D0A15">
        <w:rPr>
          <w:rFonts w:ascii="Arial" w:hAnsi="Arial" w:cs="Arial"/>
          <w:color w:val="000000" w:themeColor="text1"/>
          <w:sz w:val="24"/>
          <w:szCs w:val="24"/>
        </w:rPr>
        <w:t xml:space="preserve">s to conduct an enquiry into </w:t>
      </w:r>
      <w:r w:rsidR="009A4393" w:rsidRPr="002D0A15">
        <w:rPr>
          <w:rFonts w:ascii="Arial" w:hAnsi="Arial" w:cs="Arial"/>
          <w:color w:val="000000" w:themeColor="text1"/>
          <w:sz w:val="24"/>
          <w:szCs w:val="24"/>
        </w:rPr>
        <w:t>aircraft</w:t>
      </w:r>
      <w:r w:rsidR="004E37E3" w:rsidRPr="002D0A15">
        <w:rPr>
          <w:rFonts w:ascii="Arial" w:hAnsi="Arial" w:cs="Arial"/>
          <w:color w:val="000000" w:themeColor="text1"/>
          <w:sz w:val="24"/>
          <w:szCs w:val="24"/>
        </w:rPr>
        <w:t xml:space="preserve"> accidents.</w:t>
      </w:r>
      <w:r w:rsidR="000C4C72" w:rsidRPr="002D0A15">
        <w:rPr>
          <w:rFonts w:ascii="Arial" w:hAnsi="Arial" w:cs="Arial"/>
          <w:color w:val="000000" w:themeColor="text1"/>
          <w:sz w:val="24"/>
          <w:szCs w:val="24"/>
        </w:rPr>
        <w:t xml:space="preserve"> </w:t>
      </w:r>
      <w:r w:rsidR="00475A43" w:rsidRPr="002D0A15">
        <w:rPr>
          <w:rFonts w:ascii="Arial" w:hAnsi="Arial" w:cs="Arial"/>
          <w:color w:val="000000" w:themeColor="text1"/>
          <w:sz w:val="24"/>
          <w:szCs w:val="24"/>
        </w:rPr>
        <w:t xml:space="preserve">The foreword to the </w:t>
      </w:r>
      <w:r w:rsidR="00566C8A" w:rsidRPr="002D0A15">
        <w:rPr>
          <w:rFonts w:ascii="Arial" w:hAnsi="Arial" w:cs="Arial"/>
          <w:color w:val="000000" w:themeColor="text1"/>
          <w:sz w:val="24"/>
          <w:szCs w:val="24"/>
        </w:rPr>
        <w:t>Annex</w:t>
      </w:r>
      <w:r w:rsidR="00475A43" w:rsidRPr="002D0A15">
        <w:rPr>
          <w:rFonts w:ascii="Arial" w:hAnsi="Arial" w:cs="Arial"/>
          <w:color w:val="000000" w:themeColor="text1"/>
          <w:sz w:val="24"/>
          <w:szCs w:val="24"/>
        </w:rPr>
        <w:t xml:space="preserve"> however makes it clear that ICAO adopted a resolution </w:t>
      </w:r>
      <w:r w:rsidR="00B105E7" w:rsidRPr="002D0A15">
        <w:rPr>
          <w:rFonts w:ascii="Arial" w:hAnsi="Arial" w:cs="Arial"/>
          <w:color w:val="000000" w:themeColor="text1"/>
          <w:sz w:val="24"/>
          <w:szCs w:val="24"/>
        </w:rPr>
        <w:t xml:space="preserve">recognising </w:t>
      </w:r>
      <w:r w:rsidR="00475A43" w:rsidRPr="002D0A15">
        <w:rPr>
          <w:rFonts w:ascii="Arial" w:hAnsi="Arial" w:cs="Arial"/>
          <w:color w:val="000000" w:themeColor="text1"/>
          <w:sz w:val="24"/>
          <w:szCs w:val="24"/>
        </w:rPr>
        <w:t>that parties may deviate</w:t>
      </w:r>
      <w:r w:rsidR="00522483" w:rsidRPr="002D0A15">
        <w:rPr>
          <w:rFonts w:ascii="Arial" w:hAnsi="Arial" w:cs="Arial"/>
          <w:color w:val="000000" w:themeColor="text1"/>
          <w:sz w:val="24"/>
          <w:szCs w:val="24"/>
        </w:rPr>
        <w:t>, in terms of article 38</w:t>
      </w:r>
      <w:r w:rsidR="00475A43" w:rsidRPr="002D0A15">
        <w:rPr>
          <w:rFonts w:ascii="Arial" w:hAnsi="Arial" w:cs="Arial"/>
          <w:color w:val="000000" w:themeColor="text1"/>
          <w:sz w:val="24"/>
          <w:szCs w:val="24"/>
        </w:rPr>
        <w:t xml:space="preserve"> </w:t>
      </w:r>
      <w:r w:rsidR="00791314" w:rsidRPr="002D0A15">
        <w:rPr>
          <w:rFonts w:ascii="Arial" w:hAnsi="Arial" w:cs="Arial"/>
          <w:color w:val="000000" w:themeColor="text1"/>
          <w:sz w:val="24"/>
          <w:szCs w:val="24"/>
        </w:rPr>
        <w:t xml:space="preserve">of the Convention </w:t>
      </w:r>
      <w:r w:rsidR="00475A43" w:rsidRPr="002D0A15">
        <w:rPr>
          <w:rFonts w:ascii="Arial" w:hAnsi="Arial" w:cs="Arial"/>
          <w:color w:val="000000" w:themeColor="text1"/>
          <w:sz w:val="24"/>
          <w:szCs w:val="24"/>
        </w:rPr>
        <w:t xml:space="preserve">from the provisions of </w:t>
      </w:r>
      <w:r w:rsidR="00566C8A" w:rsidRPr="002D0A15">
        <w:rPr>
          <w:rFonts w:ascii="Arial" w:hAnsi="Arial" w:cs="Arial"/>
          <w:color w:val="000000" w:themeColor="text1"/>
          <w:sz w:val="24"/>
          <w:szCs w:val="24"/>
        </w:rPr>
        <w:t>Annex</w:t>
      </w:r>
      <w:r w:rsidR="00475A43" w:rsidRPr="002D0A15">
        <w:rPr>
          <w:rFonts w:ascii="Arial" w:hAnsi="Arial" w:cs="Arial"/>
          <w:color w:val="000000" w:themeColor="text1"/>
          <w:sz w:val="24"/>
          <w:szCs w:val="24"/>
        </w:rPr>
        <w:t xml:space="preserve"> 13, save for the explicit provisions contained in article 26.</w:t>
      </w:r>
      <w:r w:rsidR="00450331" w:rsidRPr="00B0760E">
        <w:rPr>
          <w:rStyle w:val="FootnoteReference"/>
          <w:rFonts w:ascii="Arial" w:hAnsi="Arial" w:cs="Arial"/>
          <w:color w:val="000000" w:themeColor="text1"/>
          <w:sz w:val="24"/>
          <w:szCs w:val="24"/>
        </w:rPr>
        <w:footnoteReference w:id="27"/>
      </w:r>
      <w:r w:rsidR="00475A43" w:rsidRPr="002D0A15">
        <w:rPr>
          <w:rFonts w:ascii="Arial" w:hAnsi="Arial" w:cs="Arial"/>
          <w:color w:val="000000" w:themeColor="text1"/>
          <w:sz w:val="24"/>
          <w:szCs w:val="24"/>
        </w:rPr>
        <w:t xml:space="preserve"> Article 26 </w:t>
      </w:r>
      <w:r w:rsidR="00F71C67" w:rsidRPr="002D0A15">
        <w:rPr>
          <w:rFonts w:ascii="Arial" w:hAnsi="Arial" w:cs="Arial"/>
          <w:color w:val="000000" w:themeColor="text1"/>
          <w:sz w:val="24"/>
          <w:szCs w:val="24"/>
        </w:rPr>
        <w:t xml:space="preserve">does not </w:t>
      </w:r>
      <w:r w:rsidR="00522483" w:rsidRPr="002D0A15">
        <w:rPr>
          <w:rFonts w:ascii="Arial" w:hAnsi="Arial" w:cs="Arial"/>
          <w:color w:val="000000" w:themeColor="text1"/>
          <w:sz w:val="24"/>
          <w:szCs w:val="24"/>
        </w:rPr>
        <w:t>contain</w:t>
      </w:r>
      <w:r w:rsidR="00F71C67" w:rsidRPr="002D0A15">
        <w:rPr>
          <w:rFonts w:ascii="Arial" w:hAnsi="Arial" w:cs="Arial"/>
          <w:color w:val="000000" w:themeColor="text1"/>
          <w:sz w:val="24"/>
          <w:szCs w:val="24"/>
        </w:rPr>
        <w:t xml:space="preserve"> any </w:t>
      </w:r>
      <w:r w:rsidR="00475A43" w:rsidRPr="002D0A15">
        <w:rPr>
          <w:rFonts w:ascii="Arial" w:hAnsi="Arial" w:cs="Arial"/>
          <w:color w:val="000000" w:themeColor="text1"/>
          <w:sz w:val="24"/>
          <w:szCs w:val="24"/>
        </w:rPr>
        <w:t>reference to the accessibility of records.</w:t>
      </w:r>
    </w:p>
    <w:p w14:paraId="18BD4046" w14:textId="275B634F" w:rsidR="008A5C65"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59)</w:t>
      </w:r>
      <w:r w:rsidRPr="00B0760E">
        <w:rPr>
          <w:rFonts w:ascii="Arial" w:hAnsi="Arial" w:cs="Arial"/>
          <w:color w:val="000000" w:themeColor="text1"/>
          <w:sz w:val="24"/>
          <w:szCs w:val="24"/>
        </w:rPr>
        <w:tab/>
      </w:r>
      <w:r w:rsidR="00FF014F" w:rsidRPr="002D0A15">
        <w:rPr>
          <w:rFonts w:ascii="Arial" w:hAnsi="Arial" w:cs="Arial"/>
          <w:color w:val="000000" w:themeColor="text1"/>
          <w:sz w:val="24"/>
          <w:szCs w:val="24"/>
        </w:rPr>
        <w:t xml:space="preserve">The duty is therefore not on </w:t>
      </w:r>
      <w:r w:rsidR="00245167" w:rsidRPr="002D0A15">
        <w:rPr>
          <w:rFonts w:ascii="Arial" w:hAnsi="Arial" w:cs="Arial"/>
          <w:color w:val="000000" w:themeColor="text1"/>
          <w:sz w:val="24"/>
          <w:szCs w:val="24"/>
        </w:rPr>
        <w:t>State</w:t>
      </w:r>
      <w:r w:rsidR="00FF014F" w:rsidRPr="002D0A15">
        <w:rPr>
          <w:rFonts w:ascii="Arial" w:hAnsi="Arial" w:cs="Arial"/>
          <w:color w:val="000000" w:themeColor="text1"/>
          <w:sz w:val="24"/>
          <w:szCs w:val="24"/>
        </w:rPr>
        <w:t xml:space="preserve">s to not disclose such information, but rather to incorporate the recommendations as per the </w:t>
      </w:r>
      <w:r w:rsidR="00566C8A" w:rsidRPr="002D0A15">
        <w:rPr>
          <w:rFonts w:ascii="Arial" w:hAnsi="Arial" w:cs="Arial"/>
          <w:color w:val="000000" w:themeColor="text1"/>
          <w:sz w:val="24"/>
          <w:szCs w:val="24"/>
        </w:rPr>
        <w:t>Annex</w:t>
      </w:r>
      <w:r w:rsidR="00FF014F" w:rsidRPr="002D0A15">
        <w:rPr>
          <w:rFonts w:ascii="Arial" w:hAnsi="Arial" w:cs="Arial"/>
          <w:color w:val="000000" w:themeColor="text1"/>
          <w:sz w:val="24"/>
          <w:szCs w:val="24"/>
        </w:rPr>
        <w:t xml:space="preserve"> into their national </w:t>
      </w:r>
      <w:r w:rsidR="00377B74" w:rsidRPr="002D0A15">
        <w:rPr>
          <w:rFonts w:ascii="Arial" w:hAnsi="Arial" w:cs="Arial"/>
          <w:color w:val="000000" w:themeColor="text1"/>
          <w:sz w:val="24"/>
          <w:szCs w:val="24"/>
        </w:rPr>
        <w:t xml:space="preserve">legislation, </w:t>
      </w:r>
      <w:r w:rsidR="00791314" w:rsidRPr="002D0A15">
        <w:rPr>
          <w:rFonts w:ascii="Arial" w:hAnsi="Arial" w:cs="Arial"/>
          <w:color w:val="000000" w:themeColor="text1"/>
          <w:sz w:val="24"/>
          <w:szCs w:val="24"/>
        </w:rPr>
        <w:t xml:space="preserve">in order </w:t>
      </w:r>
      <w:r w:rsidR="00377B74" w:rsidRPr="002D0A15">
        <w:rPr>
          <w:rFonts w:ascii="Arial" w:hAnsi="Arial" w:cs="Arial"/>
          <w:color w:val="000000" w:themeColor="text1"/>
          <w:sz w:val="24"/>
          <w:szCs w:val="24"/>
        </w:rPr>
        <w:t>to</w:t>
      </w:r>
      <w:r w:rsidR="00E155DA" w:rsidRPr="002D0A15">
        <w:rPr>
          <w:rFonts w:ascii="Arial" w:hAnsi="Arial" w:cs="Arial"/>
          <w:color w:val="000000" w:themeColor="text1"/>
          <w:sz w:val="24"/>
          <w:szCs w:val="24"/>
        </w:rPr>
        <w:t xml:space="preserve"> </w:t>
      </w:r>
      <w:r w:rsidR="00AF4020" w:rsidRPr="002D0A15">
        <w:rPr>
          <w:rFonts w:ascii="Arial" w:hAnsi="Arial" w:cs="Arial"/>
          <w:color w:val="000000" w:themeColor="text1"/>
          <w:sz w:val="24"/>
          <w:szCs w:val="24"/>
        </w:rPr>
        <w:t>a</w:t>
      </w:r>
      <w:r w:rsidR="00E155DA" w:rsidRPr="002D0A15">
        <w:rPr>
          <w:rFonts w:ascii="Arial" w:hAnsi="Arial" w:cs="Arial"/>
          <w:color w:val="000000" w:themeColor="text1"/>
          <w:sz w:val="24"/>
          <w:szCs w:val="24"/>
        </w:rPr>
        <w:t>chieve uniformity of regulation</w:t>
      </w:r>
      <w:r w:rsidR="00A1200D" w:rsidRPr="002D0A15">
        <w:rPr>
          <w:rFonts w:ascii="Arial" w:hAnsi="Arial" w:cs="Arial"/>
          <w:color w:val="000000" w:themeColor="text1"/>
          <w:sz w:val="24"/>
          <w:szCs w:val="24"/>
        </w:rPr>
        <w:t xml:space="preserve"> of civil aviation,</w:t>
      </w:r>
      <w:r w:rsidR="00E155DA" w:rsidRPr="002D0A15">
        <w:rPr>
          <w:rFonts w:ascii="Arial" w:hAnsi="Arial" w:cs="Arial"/>
          <w:color w:val="000000" w:themeColor="text1"/>
          <w:sz w:val="24"/>
          <w:szCs w:val="24"/>
        </w:rPr>
        <w:t xml:space="preserve"> as per Article 37.</w:t>
      </w:r>
      <w:r w:rsidR="00377B74" w:rsidRPr="002D0A15">
        <w:rPr>
          <w:rFonts w:ascii="Arial" w:hAnsi="Arial" w:cs="Arial"/>
          <w:color w:val="000000" w:themeColor="text1"/>
          <w:sz w:val="24"/>
          <w:szCs w:val="24"/>
        </w:rPr>
        <w:t xml:space="preserve"> </w:t>
      </w:r>
    </w:p>
    <w:p w14:paraId="2B7F3A67" w14:textId="00498A9D" w:rsidR="00FF74F6"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60)</w:t>
      </w:r>
      <w:r w:rsidRPr="00B0760E">
        <w:rPr>
          <w:rFonts w:ascii="Arial" w:hAnsi="Arial" w:cs="Arial"/>
          <w:color w:val="000000" w:themeColor="text1"/>
          <w:sz w:val="24"/>
          <w:szCs w:val="24"/>
        </w:rPr>
        <w:tab/>
      </w:r>
      <w:r w:rsidR="00C3194D" w:rsidRPr="002D0A15">
        <w:rPr>
          <w:rFonts w:ascii="Arial" w:hAnsi="Arial" w:cs="Arial"/>
          <w:color w:val="000000" w:themeColor="text1"/>
          <w:sz w:val="24"/>
          <w:szCs w:val="24"/>
        </w:rPr>
        <w:t>B</w:t>
      </w:r>
      <w:r w:rsidR="00E55188" w:rsidRPr="002D0A15">
        <w:rPr>
          <w:rFonts w:ascii="Arial" w:hAnsi="Arial" w:cs="Arial"/>
          <w:color w:val="000000" w:themeColor="text1"/>
          <w:sz w:val="24"/>
          <w:szCs w:val="24"/>
        </w:rPr>
        <w:t xml:space="preserve">y incorporating the provisions </w:t>
      </w:r>
      <w:r w:rsidR="00C3194D" w:rsidRPr="002D0A15">
        <w:rPr>
          <w:rFonts w:ascii="Arial" w:hAnsi="Arial" w:cs="Arial"/>
          <w:color w:val="000000" w:themeColor="text1"/>
          <w:sz w:val="24"/>
          <w:szCs w:val="24"/>
        </w:rPr>
        <w:t xml:space="preserve">of Annex 13 </w:t>
      </w:r>
      <w:r w:rsidR="00E55188" w:rsidRPr="002D0A15">
        <w:rPr>
          <w:rFonts w:ascii="Arial" w:hAnsi="Arial" w:cs="Arial"/>
          <w:color w:val="000000" w:themeColor="text1"/>
          <w:sz w:val="24"/>
          <w:szCs w:val="24"/>
        </w:rPr>
        <w:t xml:space="preserve">into </w:t>
      </w:r>
      <w:r w:rsidR="002B5D43" w:rsidRPr="002D0A15">
        <w:rPr>
          <w:rFonts w:ascii="Arial" w:hAnsi="Arial" w:cs="Arial"/>
          <w:color w:val="000000" w:themeColor="text1"/>
          <w:sz w:val="24"/>
          <w:szCs w:val="24"/>
        </w:rPr>
        <w:t xml:space="preserve">12 of the </w:t>
      </w:r>
      <w:r w:rsidR="00CD2F85" w:rsidRPr="002D0A15">
        <w:rPr>
          <w:rFonts w:ascii="Arial" w:hAnsi="Arial" w:cs="Arial"/>
          <w:color w:val="000000" w:themeColor="text1"/>
          <w:sz w:val="24"/>
          <w:szCs w:val="24"/>
        </w:rPr>
        <w:t>SACARS</w:t>
      </w:r>
      <w:r w:rsidR="00A6198B" w:rsidRPr="002D0A15">
        <w:rPr>
          <w:rFonts w:ascii="Arial" w:hAnsi="Arial" w:cs="Arial"/>
          <w:color w:val="000000" w:themeColor="text1"/>
          <w:sz w:val="24"/>
          <w:szCs w:val="24"/>
        </w:rPr>
        <w:t xml:space="preserve">, South Africa has complied with its obligations </w:t>
      </w:r>
      <w:r w:rsidR="00F77B85" w:rsidRPr="002D0A15">
        <w:rPr>
          <w:rFonts w:ascii="Arial" w:hAnsi="Arial" w:cs="Arial"/>
          <w:color w:val="000000" w:themeColor="text1"/>
          <w:sz w:val="24"/>
          <w:szCs w:val="24"/>
        </w:rPr>
        <w:t>under</w:t>
      </w:r>
      <w:r w:rsidR="00A6198B" w:rsidRPr="002D0A15">
        <w:rPr>
          <w:rFonts w:ascii="Arial" w:hAnsi="Arial" w:cs="Arial"/>
          <w:color w:val="000000" w:themeColor="text1"/>
          <w:sz w:val="24"/>
          <w:szCs w:val="24"/>
        </w:rPr>
        <w:t xml:space="preserve"> the Convention and Annex 13.</w:t>
      </w:r>
      <w:r w:rsidR="00E37529" w:rsidRPr="002D0A15">
        <w:rPr>
          <w:color w:val="000000" w:themeColor="text1"/>
        </w:rPr>
        <w:t xml:space="preserve"> </w:t>
      </w:r>
      <w:r w:rsidR="001D1D3C" w:rsidRPr="002D0A15">
        <w:rPr>
          <w:rFonts w:ascii="Arial" w:hAnsi="Arial" w:cs="Arial"/>
          <w:color w:val="000000" w:themeColor="text1"/>
          <w:sz w:val="24"/>
          <w:szCs w:val="24"/>
        </w:rPr>
        <w:t>P</w:t>
      </w:r>
      <w:r w:rsidR="00E37529" w:rsidRPr="002D0A15">
        <w:rPr>
          <w:rFonts w:ascii="Arial" w:hAnsi="Arial" w:cs="Arial"/>
          <w:color w:val="000000" w:themeColor="text1"/>
          <w:sz w:val="24"/>
          <w:szCs w:val="24"/>
        </w:rPr>
        <w:t>ut differently, South Africa does not have an obligation</w:t>
      </w:r>
      <w:r w:rsidR="00F77B85" w:rsidRPr="002D0A15">
        <w:rPr>
          <w:rFonts w:ascii="Arial" w:hAnsi="Arial" w:cs="Arial"/>
          <w:color w:val="000000" w:themeColor="text1"/>
          <w:sz w:val="24"/>
          <w:szCs w:val="24"/>
        </w:rPr>
        <w:t>,</w:t>
      </w:r>
      <w:r w:rsidR="00E37529" w:rsidRPr="002D0A15">
        <w:rPr>
          <w:rFonts w:ascii="Arial" w:hAnsi="Arial" w:cs="Arial"/>
          <w:color w:val="000000" w:themeColor="text1"/>
          <w:sz w:val="24"/>
          <w:szCs w:val="24"/>
        </w:rPr>
        <w:t xml:space="preserve"> </w:t>
      </w:r>
      <w:r w:rsidR="00F77B85" w:rsidRPr="002D0A15">
        <w:rPr>
          <w:rFonts w:ascii="Arial" w:hAnsi="Arial" w:cs="Arial"/>
          <w:color w:val="000000" w:themeColor="text1"/>
          <w:sz w:val="24"/>
          <w:szCs w:val="24"/>
        </w:rPr>
        <w:t>in terms of the international agreement,</w:t>
      </w:r>
      <w:r w:rsidR="00E37529" w:rsidRPr="002D0A15">
        <w:rPr>
          <w:rFonts w:ascii="Arial" w:hAnsi="Arial" w:cs="Arial"/>
          <w:color w:val="000000" w:themeColor="text1"/>
          <w:sz w:val="24"/>
          <w:szCs w:val="24"/>
        </w:rPr>
        <w:t xml:space="preserve"> to not disclose </w:t>
      </w:r>
      <w:r w:rsidR="003A3E68" w:rsidRPr="002D0A15">
        <w:rPr>
          <w:rFonts w:ascii="Arial" w:hAnsi="Arial" w:cs="Arial"/>
          <w:color w:val="000000" w:themeColor="text1"/>
          <w:sz w:val="24"/>
          <w:szCs w:val="24"/>
        </w:rPr>
        <w:t>records</w:t>
      </w:r>
      <w:r w:rsidR="00E37529" w:rsidRPr="002D0A15">
        <w:rPr>
          <w:rFonts w:ascii="Arial" w:hAnsi="Arial" w:cs="Arial"/>
          <w:color w:val="000000" w:themeColor="text1"/>
          <w:sz w:val="24"/>
          <w:szCs w:val="24"/>
        </w:rPr>
        <w:t xml:space="preserve"> </w:t>
      </w:r>
      <w:r w:rsidR="00B23470" w:rsidRPr="002D0A15">
        <w:rPr>
          <w:rFonts w:ascii="Arial" w:hAnsi="Arial" w:cs="Arial"/>
          <w:color w:val="000000" w:themeColor="text1"/>
          <w:sz w:val="24"/>
          <w:szCs w:val="24"/>
        </w:rPr>
        <w:t xml:space="preserve">to the </w:t>
      </w:r>
      <w:r w:rsidR="00566C8A" w:rsidRPr="002D0A15">
        <w:rPr>
          <w:rFonts w:ascii="Arial" w:hAnsi="Arial" w:cs="Arial"/>
          <w:color w:val="000000" w:themeColor="text1"/>
          <w:sz w:val="24"/>
          <w:szCs w:val="24"/>
        </w:rPr>
        <w:t>Applicant</w:t>
      </w:r>
      <w:r w:rsidR="00E37529" w:rsidRPr="002D0A15">
        <w:rPr>
          <w:rFonts w:ascii="Arial" w:hAnsi="Arial" w:cs="Arial"/>
          <w:color w:val="000000" w:themeColor="text1"/>
          <w:sz w:val="24"/>
          <w:szCs w:val="24"/>
        </w:rPr>
        <w:t>- it ha</w:t>
      </w:r>
      <w:r w:rsidR="00FA16A5" w:rsidRPr="002D0A15">
        <w:rPr>
          <w:rFonts w:ascii="Arial" w:hAnsi="Arial" w:cs="Arial"/>
          <w:color w:val="000000" w:themeColor="text1"/>
          <w:sz w:val="24"/>
          <w:szCs w:val="24"/>
        </w:rPr>
        <w:t>d</w:t>
      </w:r>
      <w:r w:rsidR="00E37529" w:rsidRPr="002D0A15">
        <w:rPr>
          <w:rFonts w:ascii="Arial" w:hAnsi="Arial" w:cs="Arial"/>
          <w:color w:val="000000" w:themeColor="text1"/>
          <w:sz w:val="24"/>
          <w:szCs w:val="24"/>
        </w:rPr>
        <w:t xml:space="preserve"> a duty to bring its own </w:t>
      </w:r>
      <w:r w:rsidR="009D5CA3" w:rsidRPr="002D0A15">
        <w:rPr>
          <w:rFonts w:ascii="Arial" w:hAnsi="Arial" w:cs="Arial"/>
          <w:color w:val="000000" w:themeColor="text1"/>
          <w:sz w:val="24"/>
          <w:szCs w:val="24"/>
        </w:rPr>
        <w:t>regulations</w:t>
      </w:r>
      <w:r w:rsidR="001D1D3C" w:rsidRPr="002D0A15">
        <w:rPr>
          <w:rFonts w:ascii="Arial" w:hAnsi="Arial" w:cs="Arial"/>
          <w:color w:val="000000" w:themeColor="text1"/>
          <w:sz w:val="24"/>
          <w:szCs w:val="24"/>
        </w:rPr>
        <w:t xml:space="preserve"> pertaining to disclosure</w:t>
      </w:r>
      <w:r w:rsidR="00E37529" w:rsidRPr="002D0A15">
        <w:rPr>
          <w:rFonts w:ascii="Arial" w:hAnsi="Arial" w:cs="Arial"/>
          <w:color w:val="000000" w:themeColor="text1"/>
          <w:sz w:val="24"/>
          <w:szCs w:val="24"/>
        </w:rPr>
        <w:t xml:space="preserve"> in line with that of </w:t>
      </w:r>
      <w:r w:rsidR="00566C8A" w:rsidRPr="002D0A15">
        <w:rPr>
          <w:rFonts w:ascii="Arial" w:hAnsi="Arial" w:cs="Arial"/>
          <w:color w:val="000000" w:themeColor="text1"/>
          <w:sz w:val="24"/>
          <w:szCs w:val="24"/>
        </w:rPr>
        <w:t>Annex</w:t>
      </w:r>
      <w:r w:rsidR="00FA16A5" w:rsidRPr="002D0A15">
        <w:rPr>
          <w:rFonts w:ascii="Arial" w:hAnsi="Arial" w:cs="Arial"/>
          <w:color w:val="000000" w:themeColor="text1"/>
          <w:sz w:val="24"/>
          <w:szCs w:val="24"/>
        </w:rPr>
        <w:t xml:space="preserve"> 13</w:t>
      </w:r>
      <w:r w:rsidR="00E37529" w:rsidRPr="002D0A15">
        <w:rPr>
          <w:rFonts w:ascii="Arial" w:hAnsi="Arial" w:cs="Arial"/>
          <w:color w:val="000000" w:themeColor="text1"/>
          <w:sz w:val="24"/>
          <w:szCs w:val="24"/>
        </w:rPr>
        <w:t>, insofar as possible</w:t>
      </w:r>
      <w:r w:rsidR="009D5CA3" w:rsidRPr="002D0A15">
        <w:rPr>
          <w:rFonts w:ascii="Arial" w:hAnsi="Arial" w:cs="Arial"/>
          <w:color w:val="000000" w:themeColor="text1"/>
          <w:sz w:val="24"/>
          <w:szCs w:val="24"/>
        </w:rPr>
        <w:t>,</w:t>
      </w:r>
      <w:r w:rsidR="00E37529" w:rsidRPr="002D0A15">
        <w:rPr>
          <w:rFonts w:ascii="Arial" w:hAnsi="Arial" w:cs="Arial"/>
          <w:color w:val="000000" w:themeColor="text1"/>
          <w:sz w:val="24"/>
          <w:szCs w:val="24"/>
        </w:rPr>
        <w:t xml:space="preserve"> within the confines of its own regulatory system.</w:t>
      </w:r>
      <w:r w:rsidR="00693069" w:rsidRPr="002D0A15">
        <w:rPr>
          <w:rFonts w:ascii="Arial" w:hAnsi="Arial" w:cs="Arial"/>
          <w:color w:val="000000" w:themeColor="text1"/>
          <w:sz w:val="24"/>
          <w:szCs w:val="24"/>
        </w:rPr>
        <w:t xml:space="preserve"> If those domestic procedures fell foul of the provisions of </w:t>
      </w:r>
      <w:r w:rsidR="00566C8A" w:rsidRPr="002D0A15">
        <w:rPr>
          <w:rFonts w:ascii="Arial" w:hAnsi="Arial" w:cs="Arial"/>
          <w:color w:val="000000" w:themeColor="text1"/>
          <w:sz w:val="24"/>
          <w:szCs w:val="24"/>
        </w:rPr>
        <w:t>Annex</w:t>
      </w:r>
      <w:r w:rsidR="00693069" w:rsidRPr="002D0A15">
        <w:rPr>
          <w:rFonts w:ascii="Arial" w:hAnsi="Arial" w:cs="Arial"/>
          <w:color w:val="000000" w:themeColor="text1"/>
          <w:sz w:val="24"/>
          <w:szCs w:val="24"/>
        </w:rPr>
        <w:t xml:space="preserve"> 13, </w:t>
      </w:r>
      <w:r w:rsidR="00043281" w:rsidRPr="002D0A15">
        <w:rPr>
          <w:rFonts w:ascii="Arial" w:hAnsi="Arial" w:cs="Arial"/>
          <w:color w:val="000000" w:themeColor="text1"/>
          <w:sz w:val="24"/>
          <w:szCs w:val="24"/>
        </w:rPr>
        <w:t xml:space="preserve">ICAO should have been </w:t>
      </w:r>
      <w:r w:rsidR="00426685" w:rsidRPr="002D0A15">
        <w:rPr>
          <w:rFonts w:ascii="Arial" w:hAnsi="Arial" w:cs="Arial"/>
          <w:color w:val="000000" w:themeColor="text1"/>
          <w:sz w:val="24"/>
          <w:szCs w:val="24"/>
        </w:rPr>
        <w:t>notified</w:t>
      </w:r>
      <w:r w:rsidR="00043281" w:rsidRPr="002D0A15">
        <w:rPr>
          <w:rFonts w:ascii="Arial" w:hAnsi="Arial" w:cs="Arial"/>
          <w:color w:val="000000" w:themeColor="text1"/>
          <w:sz w:val="24"/>
          <w:szCs w:val="24"/>
        </w:rPr>
        <w:t xml:space="preserve"> in terms of Article 38</w:t>
      </w:r>
      <w:r w:rsidR="00001016" w:rsidRPr="002D0A15">
        <w:rPr>
          <w:rFonts w:ascii="Arial" w:hAnsi="Arial" w:cs="Arial"/>
          <w:color w:val="000000" w:themeColor="text1"/>
          <w:sz w:val="24"/>
          <w:szCs w:val="24"/>
        </w:rPr>
        <w:t xml:space="preserve">. </w:t>
      </w:r>
      <w:r w:rsidR="00A12739" w:rsidRPr="002D0A15">
        <w:rPr>
          <w:rFonts w:ascii="Arial" w:hAnsi="Arial" w:cs="Arial"/>
          <w:color w:val="000000" w:themeColor="text1"/>
          <w:sz w:val="24"/>
          <w:szCs w:val="24"/>
        </w:rPr>
        <w:t>The</w:t>
      </w:r>
      <w:r w:rsidR="00612AF3" w:rsidRPr="002D0A15">
        <w:rPr>
          <w:rFonts w:ascii="Arial" w:hAnsi="Arial" w:cs="Arial"/>
          <w:color w:val="000000" w:themeColor="text1"/>
          <w:sz w:val="24"/>
          <w:szCs w:val="24"/>
        </w:rPr>
        <w:t xml:space="preserve">re is no obligation of non-disclosure </w:t>
      </w:r>
      <w:r w:rsidR="00612AF3" w:rsidRPr="002D0A15">
        <w:rPr>
          <w:rFonts w:ascii="Arial" w:hAnsi="Arial" w:cs="Arial"/>
          <w:i/>
          <w:iCs/>
          <w:color w:val="000000" w:themeColor="text1"/>
          <w:sz w:val="24"/>
          <w:szCs w:val="24"/>
        </w:rPr>
        <w:t>vis-à-vis</w:t>
      </w:r>
      <w:r w:rsidR="00612AF3"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Applicant</w:t>
      </w:r>
      <w:r w:rsidR="00E83898" w:rsidRPr="002D0A15">
        <w:rPr>
          <w:rFonts w:ascii="Arial" w:hAnsi="Arial" w:cs="Arial"/>
          <w:color w:val="000000" w:themeColor="text1"/>
          <w:sz w:val="24"/>
          <w:szCs w:val="24"/>
        </w:rPr>
        <w:t xml:space="preserve"> and resultantly</w:t>
      </w:r>
      <w:r w:rsidR="00904969" w:rsidRPr="002D0A15">
        <w:rPr>
          <w:rFonts w:ascii="Arial" w:hAnsi="Arial" w:cs="Arial"/>
          <w:color w:val="000000" w:themeColor="text1"/>
          <w:sz w:val="24"/>
          <w:szCs w:val="24"/>
        </w:rPr>
        <w:t xml:space="preserve"> her right of access is not</w:t>
      </w:r>
      <w:r w:rsidR="00EF5771" w:rsidRPr="002D0A15">
        <w:rPr>
          <w:rFonts w:ascii="Arial" w:hAnsi="Arial" w:cs="Arial"/>
          <w:color w:val="000000" w:themeColor="text1"/>
          <w:sz w:val="24"/>
          <w:szCs w:val="24"/>
        </w:rPr>
        <w:t xml:space="preserve"> impeded</w:t>
      </w:r>
      <w:r w:rsidR="00E83898" w:rsidRPr="002D0A15">
        <w:rPr>
          <w:rFonts w:ascii="Arial" w:hAnsi="Arial" w:cs="Arial"/>
          <w:color w:val="000000" w:themeColor="text1"/>
          <w:sz w:val="24"/>
          <w:szCs w:val="24"/>
        </w:rPr>
        <w:t xml:space="preserve"> </w:t>
      </w:r>
      <w:r w:rsidR="00EF5771" w:rsidRPr="002D0A15">
        <w:rPr>
          <w:rFonts w:ascii="Arial" w:hAnsi="Arial" w:cs="Arial"/>
          <w:color w:val="000000" w:themeColor="text1"/>
          <w:sz w:val="24"/>
          <w:szCs w:val="24"/>
        </w:rPr>
        <w:t xml:space="preserve">by </w:t>
      </w:r>
      <w:r w:rsidR="00E83898" w:rsidRPr="002D0A15">
        <w:rPr>
          <w:rFonts w:ascii="Arial" w:hAnsi="Arial" w:cs="Arial"/>
          <w:color w:val="000000" w:themeColor="text1"/>
          <w:sz w:val="24"/>
          <w:szCs w:val="24"/>
        </w:rPr>
        <w:t>the exemption as per Section 41(1)(b)(iii) of PAIA.</w:t>
      </w:r>
    </w:p>
    <w:p w14:paraId="451EDE17" w14:textId="284090DF" w:rsidR="00566DBB"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61)</w:t>
      </w:r>
      <w:r w:rsidRPr="00B0760E">
        <w:rPr>
          <w:rFonts w:ascii="Arial" w:hAnsi="Arial" w:cs="Arial"/>
          <w:color w:val="000000" w:themeColor="text1"/>
          <w:sz w:val="24"/>
          <w:szCs w:val="24"/>
        </w:rPr>
        <w:tab/>
      </w:r>
      <w:r w:rsidR="00042A74" w:rsidRPr="002D0A15">
        <w:rPr>
          <w:rFonts w:ascii="Arial" w:hAnsi="Arial" w:cs="Arial"/>
          <w:color w:val="000000" w:themeColor="text1"/>
          <w:sz w:val="24"/>
          <w:szCs w:val="24"/>
        </w:rPr>
        <w:t>T</w:t>
      </w:r>
      <w:r w:rsidR="001B37FA" w:rsidRPr="002D0A15">
        <w:rPr>
          <w:rFonts w:ascii="Arial" w:hAnsi="Arial" w:cs="Arial"/>
          <w:color w:val="000000" w:themeColor="text1"/>
          <w:sz w:val="24"/>
          <w:szCs w:val="24"/>
        </w:rPr>
        <w:t xml:space="preserve">he </w:t>
      </w:r>
      <w:r w:rsidR="00566C8A" w:rsidRPr="002D0A15">
        <w:rPr>
          <w:rFonts w:ascii="Arial" w:hAnsi="Arial" w:cs="Arial"/>
          <w:color w:val="000000" w:themeColor="text1"/>
          <w:sz w:val="24"/>
          <w:szCs w:val="24"/>
        </w:rPr>
        <w:t>Respondent</w:t>
      </w:r>
      <w:r w:rsidR="001B37FA" w:rsidRPr="002D0A15">
        <w:rPr>
          <w:rFonts w:ascii="Arial" w:hAnsi="Arial" w:cs="Arial"/>
          <w:color w:val="000000" w:themeColor="text1"/>
          <w:sz w:val="24"/>
          <w:szCs w:val="24"/>
        </w:rPr>
        <w:t xml:space="preserve"> has also argued </w:t>
      </w:r>
      <w:r w:rsidR="00F0665C" w:rsidRPr="002D0A15">
        <w:rPr>
          <w:rFonts w:ascii="Arial" w:hAnsi="Arial" w:cs="Arial"/>
          <w:color w:val="000000" w:themeColor="text1"/>
          <w:sz w:val="24"/>
          <w:szCs w:val="24"/>
        </w:rPr>
        <w:t>that, as</w:t>
      </w:r>
      <w:r w:rsidR="00492B04" w:rsidRPr="002D0A15">
        <w:rPr>
          <w:rFonts w:ascii="Arial" w:hAnsi="Arial" w:cs="Arial"/>
          <w:color w:val="000000" w:themeColor="text1"/>
          <w:sz w:val="24"/>
          <w:szCs w:val="24"/>
        </w:rPr>
        <w:t xml:space="preserve"> the</w:t>
      </w:r>
      <w:r w:rsidR="00D32EE7" w:rsidRPr="002D0A15">
        <w:rPr>
          <w:rFonts w:ascii="Arial" w:hAnsi="Arial" w:cs="Arial"/>
          <w:color w:val="000000" w:themeColor="text1"/>
          <w:sz w:val="24"/>
          <w:szCs w:val="24"/>
        </w:rPr>
        <w:t xml:space="preserve"> provisions of </w:t>
      </w:r>
      <w:r w:rsidR="00566C8A" w:rsidRPr="002D0A15">
        <w:rPr>
          <w:rFonts w:ascii="Arial" w:hAnsi="Arial" w:cs="Arial"/>
          <w:color w:val="000000" w:themeColor="text1"/>
          <w:sz w:val="24"/>
          <w:szCs w:val="24"/>
        </w:rPr>
        <w:t>Annex</w:t>
      </w:r>
      <w:r w:rsidR="00D32EE7" w:rsidRPr="002D0A15">
        <w:rPr>
          <w:rFonts w:ascii="Arial" w:hAnsi="Arial" w:cs="Arial"/>
          <w:color w:val="000000" w:themeColor="text1"/>
          <w:sz w:val="24"/>
          <w:szCs w:val="24"/>
        </w:rPr>
        <w:t xml:space="preserve"> 13 have been incorporated into</w:t>
      </w:r>
      <w:r w:rsidR="006066A1" w:rsidRPr="002D0A15">
        <w:rPr>
          <w:rFonts w:ascii="Arial" w:hAnsi="Arial" w:cs="Arial"/>
          <w:color w:val="000000" w:themeColor="text1"/>
          <w:sz w:val="24"/>
          <w:szCs w:val="24"/>
        </w:rPr>
        <w:t xml:space="preserve"> national legislation by way of part 12 of </w:t>
      </w:r>
      <w:r w:rsidR="00CD2F85" w:rsidRPr="002D0A15">
        <w:rPr>
          <w:rFonts w:ascii="Arial" w:hAnsi="Arial" w:cs="Arial"/>
          <w:color w:val="000000" w:themeColor="text1"/>
          <w:sz w:val="24"/>
          <w:szCs w:val="24"/>
        </w:rPr>
        <w:t>SACARS</w:t>
      </w:r>
      <w:r w:rsidR="00785EFB" w:rsidRPr="002D0A15">
        <w:rPr>
          <w:rFonts w:ascii="Arial" w:hAnsi="Arial" w:cs="Arial"/>
          <w:color w:val="000000" w:themeColor="text1"/>
          <w:sz w:val="24"/>
          <w:szCs w:val="24"/>
        </w:rPr>
        <w:t xml:space="preserve">, the </w:t>
      </w:r>
      <w:r w:rsidR="00C826A4" w:rsidRPr="002D0A15">
        <w:rPr>
          <w:rFonts w:ascii="Arial" w:hAnsi="Arial" w:cs="Arial"/>
          <w:color w:val="000000" w:themeColor="text1"/>
          <w:sz w:val="24"/>
          <w:szCs w:val="24"/>
        </w:rPr>
        <w:t xml:space="preserve">disclosure is </w:t>
      </w:r>
      <w:r w:rsidR="0042514F" w:rsidRPr="002D0A15">
        <w:rPr>
          <w:rFonts w:ascii="Arial" w:hAnsi="Arial" w:cs="Arial"/>
          <w:color w:val="000000" w:themeColor="text1"/>
          <w:sz w:val="24"/>
          <w:szCs w:val="24"/>
        </w:rPr>
        <w:t xml:space="preserve">also </w:t>
      </w:r>
      <w:r w:rsidR="00C826A4" w:rsidRPr="002D0A15">
        <w:rPr>
          <w:rFonts w:ascii="Arial" w:hAnsi="Arial" w:cs="Arial"/>
          <w:color w:val="000000" w:themeColor="text1"/>
          <w:sz w:val="24"/>
          <w:szCs w:val="24"/>
        </w:rPr>
        <w:t>prohibited</w:t>
      </w:r>
      <w:r w:rsidR="0042514F" w:rsidRPr="002D0A15">
        <w:rPr>
          <w:rFonts w:ascii="Arial" w:hAnsi="Arial" w:cs="Arial"/>
          <w:color w:val="000000" w:themeColor="text1"/>
          <w:sz w:val="24"/>
          <w:szCs w:val="24"/>
        </w:rPr>
        <w:t xml:space="preserve"> under Section 41 of PAIA</w:t>
      </w:r>
      <w:r w:rsidR="00BE33A7" w:rsidRPr="002D0A15">
        <w:rPr>
          <w:rFonts w:ascii="Arial" w:hAnsi="Arial" w:cs="Arial"/>
          <w:color w:val="000000" w:themeColor="text1"/>
          <w:sz w:val="24"/>
          <w:szCs w:val="24"/>
        </w:rPr>
        <w:t>.</w:t>
      </w:r>
    </w:p>
    <w:p w14:paraId="3C030FEB" w14:textId="1143D006" w:rsidR="0083722E" w:rsidRPr="002D0A15" w:rsidRDefault="002D0A15" w:rsidP="002D0A15">
      <w:pPr>
        <w:tabs>
          <w:tab w:val="left" w:pos="709"/>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62)</w:t>
      </w:r>
      <w:r w:rsidRPr="00B0760E">
        <w:rPr>
          <w:rFonts w:ascii="Arial" w:hAnsi="Arial" w:cs="Arial"/>
          <w:color w:val="000000" w:themeColor="text1"/>
          <w:sz w:val="24"/>
          <w:szCs w:val="24"/>
        </w:rPr>
        <w:tab/>
      </w:r>
      <w:r w:rsidR="00404E80" w:rsidRPr="002D0A15">
        <w:rPr>
          <w:rFonts w:ascii="Arial" w:hAnsi="Arial" w:cs="Arial"/>
          <w:color w:val="000000" w:themeColor="text1"/>
          <w:sz w:val="24"/>
          <w:szCs w:val="24"/>
        </w:rPr>
        <w:t>It is doubtful whether</w:t>
      </w:r>
      <w:r w:rsidR="00505C4E" w:rsidRPr="002D0A15">
        <w:rPr>
          <w:rFonts w:ascii="Arial" w:hAnsi="Arial" w:cs="Arial"/>
          <w:color w:val="000000" w:themeColor="text1"/>
          <w:sz w:val="24"/>
          <w:szCs w:val="24"/>
        </w:rPr>
        <w:t xml:space="preserve"> the provisions of </w:t>
      </w:r>
      <w:r w:rsidR="00280964" w:rsidRPr="002D0A15">
        <w:rPr>
          <w:rFonts w:ascii="Arial" w:hAnsi="Arial" w:cs="Arial"/>
          <w:color w:val="000000" w:themeColor="text1"/>
          <w:sz w:val="24"/>
          <w:szCs w:val="24"/>
        </w:rPr>
        <w:t>domestic legislation</w:t>
      </w:r>
      <w:r w:rsidR="00BE33A7" w:rsidRPr="002D0A15">
        <w:rPr>
          <w:rFonts w:ascii="Arial" w:hAnsi="Arial" w:cs="Arial"/>
          <w:color w:val="000000" w:themeColor="text1"/>
          <w:sz w:val="24"/>
          <w:szCs w:val="24"/>
        </w:rPr>
        <w:t xml:space="preserve"> (even when informed by international agreements)</w:t>
      </w:r>
      <w:r w:rsidR="00280964" w:rsidRPr="002D0A15">
        <w:rPr>
          <w:rFonts w:ascii="Arial" w:hAnsi="Arial" w:cs="Arial"/>
          <w:color w:val="000000" w:themeColor="text1"/>
          <w:sz w:val="24"/>
          <w:szCs w:val="24"/>
        </w:rPr>
        <w:t xml:space="preserve"> could be </w:t>
      </w:r>
      <w:r w:rsidR="00014430" w:rsidRPr="002D0A15">
        <w:rPr>
          <w:rFonts w:ascii="Arial" w:hAnsi="Arial" w:cs="Arial"/>
          <w:color w:val="000000" w:themeColor="text1"/>
          <w:sz w:val="24"/>
          <w:szCs w:val="24"/>
        </w:rPr>
        <w:t>regarded</w:t>
      </w:r>
      <w:r w:rsidR="009808A7" w:rsidRPr="002D0A15">
        <w:rPr>
          <w:rFonts w:ascii="Arial" w:hAnsi="Arial" w:cs="Arial"/>
          <w:color w:val="000000" w:themeColor="text1"/>
          <w:sz w:val="24"/>
          <w:szCs w:val="24"/>
        </w:rPr>
        <w:t xml:space="preserve"> for purposes of exemption from disclosure</w:t>
      </w:r>
      <w:r w:rsidR="00014430" w:rsidRPr="002D0A15">
        <w:rPr>
          <w:rFonts w:ascii="Arial" w:hAnsi="Arial" w:cs="Arial"/>
          <w:color w:val="000000" w:themeColor="text1"/>
          <w:sz w:val="24"/>
          <w:szCs w:val="24"/>
        </w:rPr>
        <w:t xml:space="preserve"> under </w:t>
      </w:r>
      <w:r w:rsidR="00280964" w:rsidRPr="002D0A15">
        <w:rPr>
          <w:rFonts w:ascii="Arial" w:hAnsi="Arial" w:cs="Arial"/>
          <w:color w:val="000000" w:themeColor="text1"/>
          <w:sz w:val="24"/>
          <w:szCs w:val="24"/>
        </w:rPr>
        <w:t>Section 41 of PAIA</w:t>
      </w:r>
      <w:r w:rsidR="00014430" w:rsidRPr="002D0A15">
        <w:rPr>
          <w:rFonts w:ascii="Arial" w:hAnsi="Arial" w:cs="Arial"/>
          <w:color w:val="000000" w:themeColor="text1"/>
          <w:sz w:val="24"/>
          <w:szCs w:val="24"/>
        </w:rPr>
        <w:t xml:space="preserve"> (which deals with </w:t>
      </w:r>
      <w:r w:rsidR="00014430" w:rsidRPr="002D0A15">
        <w:rPr>
          <w:rFonts w:ascii="Arial" w:hAnsi="Arial" w:cs="Arial"/>
          <w:color w:val="000000" w:themeColor="text1"/>
          <w:sz w:val="24"/>
          <w:szCs w:val="24"/>
          <w:u w:val="single"/>
        </w:rPr>
        <w:t>international</w:t>
      </w:r>
      <w:r w:rsidR="008544D9" w:rsidRPr="002D0A15">
        <w:rPr>
          <w:rFonts w:ascii="Arial" w:hAnsi="Arial" w:cs="Arial"/>
          <w:color w:val="000000" w:themeColor="text1"/>
          <w:sz w:val="24"/>
          <w:szCs w:val="24"/>
        </w:rPr>
        <w:t xml:space="preserve"> </w:t>
      </w:r>
      <w:r w:rsidR="00014430" w:rsidRPr="002D0A15">
        <w:rPr>
          <w:rFonts w:ascii="Arial" w:hAnsi="Arial" w:cs="Arial"/>
          <w:color w:val="000000" w:themeColor="text1"/>
          <w:sz w:val="24"/>
          <w:szCs w:val="24"/>
        </w:rPr>
        <w:t>obligations)</w:t>
      </w:r>
      <w:r w:rsidR="00404E80" w:rsidRPr="002D0A15">
        <w:rPr>
          <w:rFonts w:ascii="Arial" w:hAnsi="Arial" w:cs="Arial"/>
          <w:color w:val="000000" w:themeColor="text1"/>
          <w:sz w:val="24"/>
          <w:szCs w:val="24"/>
        </w:rPr>
        <w:t xml:space="preserve">. </w:t>
      </w:r>
      <w:r w:rsidR="00410A59" w:rsidRPr="002D0A15">
        <w:rPr>
          <w:rFonts w:ascii="Arial" w:hAnsi="Arial" w:cs="Arial"/>
          <w:color w:val="000000" w:themeColor="text1"/>
          <w:sz w:val="24"/>
          <w:szCs w:val="24"/>
        </w:rPr>
        <w:t xml:space="preserve">Regardless, even if such an interpretation is </w:t>
      </w:r>
      <w:r w:rsidR="00D503E7" w:rsidRPr="002D0A15">
        <w:rPr>
          <w:rFonts w:ascii="Arial" w:hAnsi="Arial" w:cs="Arial"/>
          <w:color w:val="000000" w:themeColor="text1"/>
          <w:sz w:val="24"/>
          <w:szCs w:val="24"/>
        </w:rPr>
        <w:t>accepted</w:t>
      </w:r>
      <w:r w:rsidR="0083722E" w:rsidRPr="002D0A15">
        <w:rPr>
          <w:rFonts w:ascii="Arial" w:hAnsi="Arial" w:cs="Arial"/>
          <w:color w:val="000000" w:themeColor="text1"/>
          <w:sz w:val="24"/>
          <w:szCs w:val="24"/>
        </w:rPr>
        <w:t>, Section 5 of PAIA makes it clear that it applies to the exclusion of “…</w:t>
      </w:r>
      <w:r w:rsidR="0083722E" w:rsidRPr="002D0A15">
        <w:rPr>
          <w:rFonts w:ascii="Arial" w:hAnsi="Arial" w:cs="Arial"/>
          <w:i/>
          <w:iCs/>
          <w:color w:val="000000" w:themeColor="text1"/>
          <w:sz w:val="24"/>
          <w:szCs w:val="24"/>
        </w:rPr>
        <w:t>any provision of any other legislation that prohibits or restricts the disclosure of record of a public or private body and is materially inconsistent with object or specific provision of the Act</w:t>
      </w:r>
      <w:r w:rsidR="0083722E" w:rsidRPr="002D0A15">
        <w:rPr>
          <w:rFonts w:ascii="Arial" w:hAnsi="Arial" w:cs="Arial"/>
          <w:color w:val="000000" w:themeColor="text1"/>
          <w:sz w:val="24"/>
          <w:szCs w:val="24"/>
        </w:rPr>
        <w:t>.”</w:t>
      </w:r>
    </w:p>
    <w:p w14:paraId="20AA0066" w14:textId="45A2B6F8" w:rsidR="00035937" w:rsidRPr="002D0A15" w:rsidRDefault="002D0A15" w:rsidP="002D0A15">
      <w:pPr>
        <w:tabs>
          <w:tab w:val="left" w:pos="709"/>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63)</w:t>
      </w:r>
      <w:r w:rsidRPr="00B0760E">
        <w:rPr>
          <w:rFonts w:ascii="Arial" w:hAnsi="Arial" w:cs="Arial"/>
          <w:color w:val="000000" w:themeColor="text1"/>
          <w:sz w:val="24"/>
          <w:szCs w:val="24"/>
        </w:rPr>
        <w:tab/>
      </w:r>
      <w:r w:rsidR="00035937" w:rsidRPr="002D0A15">
        <w:rPr>
          <w:rFonts w:ascii="Arial" w:hAnsi="Arial" w:cs="Arial"/>
          <w:color w:val="000000" w:themeColor="text1"/>
          <w:sz w:val="24"/>
          <w:szCs w:val="24"/>
        </w:rPr>
        <w:t>As such, th</w:t>
      </w:r>
      <w:r w:rsidR="00A41B3E" w:rsidRPr="002D0A15">
        <w:rPr>
          <w:rFonts w:ascii="Arial" w:hAnsi="Arial" w:cs="Arial"/>
          <w:color w:val="000000" w:themeColor="text1"/>
          <w:sz w:val="24"/>
          <w:szCs w:val="24"/>
        </w:rPr>
        <w:t>e provisions of PAIA prevail</w:t>
      </w:r>
      <w:r w:rsidR="00A04680" w:rsidRPr="002D0A15">
        <w:rPr>
          <w:rFonts w:ascii="Arial" w:hAnsi="Arial" w:cs="Arial"/>
          <w:color w:val="000000" w:themeColor="text1"/>
          <w:sz w:val="24"/>
          <w:szCs w:val="24"/>
        </w:rPr>
        <w:t xml:space="preserve"> and this </w:t>
      </w:r>
      <w:r w:rsidR="00566C8A" w:rsidRPr="002D0A15">
        <w:rPr>
          <w:rFonts w:ascii="Arial" w:hAnsi="Arial" w:cs="Arial"/>
          <w:color w:val="000000" w:themeColor="text1"/>
          <w:sz w:val="24"/>
          <w:szCs w:val="24"/>
        </w:rPr>
        <w:t>Court</w:t>
      </w:r>
      <w:r w:rsidR="00A04680" w:rsidRPr="002D0A15">
        <w:rPr>
          <w:rFonts w:ascii="Arial" w:hAnsi="Arial" w:cs="Arial"/>
          <w:color w:val="000000" w:themeColor="text1"/>
          <w:sz w:val="24"/>
          <w:szCs w:val="24"/>
        </w:rPr>
        <w:t xml:space="preserve"> is therefore not bound to the provisions of </w:t>
      </w:r>
      <w:r w:rsidR="00B66394" w:rsidRPr="002D0A15">
        <w:rPr>
          <w:rFonts w:ascii="Arial" w:hAnsi="Arial" w:cs="Arial"/>
          <w:color w:val="000000" w:themeColor="text1"/>
          <w:sz w:val="24"/>
          <w:szCs w:val="24"/>
        </w:rPr>
        <w:t xml:space="preserve">SACARS </w:t>
      </w:r>
      <w:r w:rsidR="00661527" w:rsidRPr="002D0A15">
        <w:rPr>
          <w:rFonts w:ascii="Arial" w:hAnsi="Arial" w:cs="Arial"/>
          <w:color w:val="000000" w:themeColor="text1"/>
          <w:sz w:val="24"/>
          <w:szCs w:val="24"/>
        </w:rPr>
        <w:t xml:space="preserve">or the </w:t>
      </w:r>
      <w:r w:rsidR="00566C8A" w:rsidRPr="002D0A15">
        <w:rPr>
          <w:rFonts w:ascii="Arial" w:hAnsi="Arial" w:cs="Arial"/>
          <w:color w:val="000000" w:themeColor="text1"/>
          <w:sz w:val="24"/>
          <w:szCs w:val="24"/>
        </w:rPr>
        <w:t>Convention</w:t>
      </w:r>
      <w:r w:rsidR="00A60594" w:rsidRPr="002D0A15">
        <w:rPr>
          <w:rFonts w:ascii="Arial" w:hAnsi="Arial" w:cs="Arial"/>
          <w:color w:val="000000" w:themeColor="text1"/>
          <w:sz w:val="24"/>
          <w:szCs w:val="24"/>
        </w:rPr>
        <w:t xml:space="preserve"> </w:t>
      </w:r>
      <w:r w:rsidR="00822D7A" w:rsidRPr="002D0A15">
        <w:rPr>
          <w:rFonts w:ascii="Arial" w:hAnsi="Arial" w:cs="Arial"/>
          <w:color w:val="000000" w:themeColor="text1"/>
          <w:sz w:val="24"/>
          <w:szCs w:val="24"/>
        </w:rPr>
        <w:t>(</w:t>
      </w:r>
      <w:r w:rsidR="00661527" w:rsidRPr="002D0A15">
        <w:rPr>
          <w:rFonts w:ascii="Arial" w:hAnsi="Arial" w:cs="Arial"/>
          <w:color w:val="000000" w:themeColor="text1"/>
          <w:sz w:val="24"/>
          <w:szCs w:val="24"/>
        </w:rPr>
        <w:t>insofar as direct incorporation may be argued)</w:t>
      </w:r>
      <w:r w:rsidR="006F3FF7" w:rsidRPr="002D0A15">
        <w:rPr>
          <w:rFonts w:ascii="Arial" w:hAnsi="Arial" w:cs="Arial"/>
          <w:color w:val="000000" w:themeColor="text1"/>
          <w:sz w:val="24"/>
          <w:szCs w:val="24"/>
        </w:rPr>
        <w:t xml:space="preserve"> where </w:t>
      </w:r>
      <w:r w:rsidR="0018759D" w:rsidRPr="002D0A15">
        <w:rPr>
          <w:rFonts w:ascii="Arial" w:hAnsi="Arial" w:cs="Arial"/>
          <w:color w:val="000000" w:themeColor="text1"/>
          <w:sz w:val="24"/>
          <w:szCs w:val="24"/>
        </w:rPr>
        <w:t xml:space="preserve">such </w:t>
      </w:r>
      <w:r w:rsidR="00AD4179" w:rsidRPr="002D0A15">
        <w:rPr>
          <w:rFonts w:ascii="Arial" w:hAnsi="Arial" w:cs="Arial"/>
          <w:color w:val="000000" w:themeColor="text1"/>
          <w:sz w:val="24"/>
          <w:szCs w:val="24"/>
        </w:rPr>
        <w:t xml:space="preserve">provisions </w:t>
      </w:r>
      <w:r w:rsidR="006F3FF7" w:rsidRPr="002D0A15">
        <w:rPr>
          <w:rFonts w:ascii="Arial" w:hAnsi="Arial" w:cs="Arial"/>
          <w:color w:val="000000" w:themeColor="text1"/>
          <w:sz w:val="24"/>
          <w:szCs w:val="24"/>
        </w:rPr>
        <w:t xml:space="preserve">are </w:t>
      </w:r>
      <w:r w:rsidR="00E51C79" w:rsidRPr="002D0A15">
        <w:rPr>
          <w:rFonts w:ascii="Arial" w:hAnsi="Arial" w:cs="Arial"/>
          <w:color w:val="000000" w:themeColor="text1"/>
          <w:sz w:val="24"/>
          <w:szCs w:val="24"/>
        </w:rPr>
        <w:t xml:space="preserve">materially in </w:t>
      </w:r>
      <w:r w:rsidR="006F3FF7" w:rsidRPr="002D0A15">
        <w:rPr>
          <w:rFonts w:ascii="Arial" w:hAnsi="Arial" w:cs="Arial"/>
          <w:color w:val="000000" w:themeColor="text1"/>
          <w:sz w:val="24"/>
          <w:szCs w:val="24"/>
        </w:rPr>
        <w:t xml:space="preserve">conflict with </w:t>
      </w:r>
      <w:r w:rsidR="00F52377" w:rsidRPr="002D0A15">
        <w:rPr>
          <w:rFonts w:ascii="Arial" w:hAnsi="Arial" w:cs="Arial"/>
          <w:color w:val="000000" w:themeColor="text1"/>
          <w:sz w:val="24"/>
          <w:szCs w:val="24"/>
        </w:rPr>
        <w:t xml:space="preserve">the provisions of </w:t>
      </w:r>
      <w:r w:rsidR="00E51C79" w:rsidRPr="002D0A15">
        <w:rPr>
          <w:rFonts w:ascii="Arial" w:hAnsi="Arial" w:cs="Arial"/>
          <w:color w:val="000000" w:themeColor="text1"/>
          <w:sz w:val="24"/>
          <w:szCs w:val="24"/>
        </w:rPr>
        <w:t>PAIA</w:t>
      </w:r>
      <w:r w:rsidR="00B36371" w:rsidRPr="002D0A15">
        <w:rPr>
          <w:rFonts w:ascii="Arial" w:hAnsi="Arial" w:cs="Arial"/>
          <w:color w:val="000000" w:themeColor="text1"/>
          <w:sz w:val="24"/>
          <w:szCs w:val="24"/>
        </w:rPr>
        <w:t>.</w:t>
      </w:r>
    </w:p>
    <w:p w14:paraId="36D07C4A" w14:textId="5898504E" w:rsidR="00BF127F" w:rsidRPr="002D0A15" w:rsidRDefault="002D0A15" w:rsidP="002D0A15">
      <w:pPr>
        <w:tabs>
          <w:tab w:val="left" w:pos="709"/>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64)</w:t>
      </w:r>
      <w:r w:rsidRPr="00B0760E">
        <w:rPr>
          <w:rFonts w:ascii="Arial" w:hAnsi="Arial" w:cs="Arial"/>
          <w:color w:val="000000" w:themeColor="text1"/>
          <w:sz w:val="24"/>
          <w:szCs w:val="24"/>
        </w:rPr>
        <w:tab/>
      </w:r>
      <w:r w:rsidR="00960691" w:rsidRPr="002D0A15">
        <w:rPr>
          <w:rFonts w:ascii="Arial" w:hAnsi="Arial" w:cs="Arial"/>
          <w:color w:val="000000" w:themeColor="text1"/>
          <w:sz w:val="24"/>
          <w:szCs w:val="24"/>
        </w:rPr>
        <w:t xml:space="preserve">Furthermore, </w:t>
      </w:r>
      <w:r w:rsidR="000860AB" w:rsidRPr="002D0A15">
        <w:rPr>
          <w:rFonts w:ascii="Arial" w:hAnsi="Arial" w:cs="Arial"/>
          <w:color w:val="000000" w:themeColor="text1"/>
          <w:sz w:val="24"/>
          <w:szCs w:val="24"/>
        </w:rPr>
        <w:t>even</w:t>
      </w:r>
      <w:r w:rsidR="00630045" w:rsidRPr="002D0A15">
        <w:rPr>
          <w:rFonts w:ascii="Arial" w:hAnsi="Arial" w:cs="Arial"/>
          <w:color w:val="000000" w:themeColor="text1"/>
          <w:sz w:val="24"/>
          <w:szCs w:val="24"/>
        </w:rPr>
        <w:t xml:space="preserve"> if the </w:t>
      </w:r>
      <w:r w:rsidR="00566C8A" w:rsidRPr="002D0A15">
        <w:rPr>
          <w:rFonts w:ascii="Arial" w:hAnsi="Arial" w:cs="Arial"/>
          <w:color w:val="000000" w:themeColor="text1"/>
          <w:sz w:val="24"/>
          <w:szCs w:val="24"/>
        </w:rPr>
        <w:t>Convention</w:t>
      </w:r>
      <w:r w:rsidR="0018759D" w:rsidRPr="002D0A15">
        <w:rPr>
          <w:rFonts w:ascii="Arial" w:hAnsi="Arial" w:cs="Arial"/>
          <w:color w:val="000000" w:themeColor="text1"/>
          <w:sz w:val="24"/>
          <w:szCs w:val="24"/>
        </w:rPr>
        <w:t>,</w:t>
      </w:r>
      <w:r w:rsidR="00630045" w:rsidRPr="002D0A15">
        <w:rPr>
          <w:rFonts w:ascii="Arial" w:hAnsi="Arial" w:cs="Arial"/>
          <w:color w:val="000000" w:themeColor="text1"/>
          <w:sz w:val="24"/>
          <w:szCs w:val="24"/>
        </w:rPr>
        <w:t xml:space="preserve"> </w:t>
      </w:r>
      <w:r w:rsidR="00566C8A" w:rsidRPr="002D0A15">
        <w:rPr>
          <w:rFonts w:ascii="Arial" w:hAnsi="Arial" w:cs="Arial"/>
          <w:color w:val="000000" w:themeColor="text1"/>
          <w:sz w:val="24"/>
          <w:szCs w:val="24"/>
        </w:rPr>
        <w:t>Annex</w:t>
      </w:r>
      <w:r w:rsidR="00630045" w:rsidRPr="002D0A15">
        <w:rPr>
          <w:rFonts w:ascii="Arial" w:hAnsi="Arial" w:cs="Arial"/>
          <w:color w:val="000000" w:themeColor="text1"/>
          <w:sz w:val="24"/>
          <w:szCs w:val="24"/>
        </w:rPr>
        <w:t xml:space="preserve"> 13</w:t>
      </w:r>
      <w:r w:rsidR="0018759D" w:rsidRPr="002D0A15">
        <w:rPr>
          <w:rFonts w:ascii="Arial" w:hAnsi="Arial" w:cs="Arial"/>
          <w:color w:val="000000" w:themeColor="text1"/>
          <w:sz w:val="24"/>
          <w:szCs w:val="24"/>
        </w:rPr>
        <w:t xml:space="preserve"> or SACARS</w:t>
      </w:r>
      <w:r w:rsidR="0052472A" w:rsidRPr="002D0A15">
        <w:rPr>
          <w:rFonts w:ascii="Arial" w:hAnsi="Arial" w:cs="Arial"/>
          <w:color w:val="000000" w:themeColor="text1"/>
          <w:sz w:val="24"/>
          <w:szCs w:val="24"/>
        </w:rPr>
        <w:t xml:space="preserve"> created an international obligation for </w:t>
      </w:r>
      <w:r w:rsidR="004A41D2" w:rsidRPr="002D0A15">
        <w:rPr>
          <w:rFonts w:ascii="Arial" w:hAnsi="Arial" w:cs="Arial"/>
          <w:color w:val="000000" w:themeColor="text1"/>
          <w:sz w:val="24"/>
          <w:szCs w:val="24"/>
        </w:rPr>
        <w:t>purposes</w:t>
      </w:r>
      <w:r w:rsidR="0052472A" w:rsidRPr="002D0A15">
        <w:rPr>
          <w:rFonts w:ascii="Arial" w:hAnsi="Arial" w:cs="Arial"/>
          <w:color w:val="000000" w:themeColor="text1"/>
          <w:sz w:val="24"/>
          <w:szCs w:val="24"/>
        </w:rPr>
        <w:t xml:space="preserve"> of </w:t>
      </w:r>
      <w:r w:rsidR="00B93CDC" w:rsidRPr="002D0A15">
        <w:rPr>
          <w:rFonts w:ascii="Arial" w:hAnsi="Arial" w:cs="Arial"/>
          <w:color w:val="000000" w:themeColor="text1"/>
          <w:sz w:val="24"/>
          <w:szCs w:val="24"/>
        </w:rPr>
        <w:t>Section 41(1)(a)(iii)</w:t>
      </w:r>
      <w:r w:rsidR="000860AB" w:rsidRPr="002D0A15">
        <w:rPr>
          <w:rFonts w:ascii="Arial" w:hAnsi="Arial" w:cs="Arial"/>
          <w:color w:val="000000" w:themeColor="text1"/>
          <w:sz w:val="24"/>
          <w:szCs w:val="24"/>
        </w:rPr>
        <w:t>,</w:t>
      </w:r>
      <w:r w:rsidR="006C5AD9" w:rsidRPr="002D0A15">
        <w:rPr>
          <w:rFonts w:ascii="Arial" w:hAnsi="Arial" w:cs="Arial"/>
          <w:color w:val="000000" w:themeColor="text1"/>
          <w:sz w:val="24"/>
          <w:szCs w:val="24"/>
        </w:rPr>
        <w:t xml:space="preserve"> no information was </w:t>
      </w:r>
      <w:r w:rsidR="00BB2953" w:rsidRPr="002D0A15">
        <w:rPr>
          <w:rFonts w:ascii="Arial" w:hAnsi="Arial" w:cs="Arial"/>
          <w:color w:val="000000" w:themeColor="text1"/>
          <w:sz w:val="24"/>
          <w:szCs w:val="24"/>
        </w:rPr>
        <w:t>provided</w:t>
      </w:r>
      <w:r w:rsidR="004E1CD4" w:rsidRPr="002D0A15">
        <w:rPr>
          <w:rFonts w:ascii="Arial" w:hAnsi="Arial" w:cs="Arial"/>
          <w:color w:val="000000" w:themeColor="text1"/>
          <w:sz w:val="24"/>
          <w:szCs w:val="24"/>
        </w:rPr>
        <w:t xml:space="preserve"> </w:t>
      </w:r>
      <w:r w:rsidR="008A31CC" w:rsidRPr="002D0A15">
        <w:rPr>
          <w:rFonts w:ascii="Arial" w:hAnsi="Arial" w:cs="Arial"/>
          <w:color w:val="000000" w:themeColor="text1"/>
          <w:sz w:val="24"/>
          <w:szCs w:val="24"/>
        </w:rPr>
        <w:t xml:space="preserve">to enable the </w:t>
      </w:r>
      <w:r w:rsidR="00566C8A" w:rsidRPr="002D0A15">
        <w:rPr>
          <w:rFonts w:ascii="Arial" w:hAnsi="Arial" w:cs="Arial"/>
          <w:color w:val="000000" w:themeColor="text1"/>
          <w:sz w:val="24"/>
          <w:szCs w:val="24"/>
        </w:rPr>
        <w:t>Court</w:t>
      </w:r>
      <w:r w:rsidR="008A31CC" w:rsidRPr="002D0A15">
        <w:rPr>
          <w:rFonts w:ascii="Arial" w:hAnsi="Arial" w:cs="Arial"/>
          <w:color w:val="000000" w:themeColor="text1"/>
          <w:sz w:val="24"/>
          <w:szCs w:val="24"/>
        </w:rPr>
        <w:t xml:space="preserve"> to determine whether the requested records fall within the ambit of </w:t>
      </w:r>
      <w:r w:rsidR="00566C8A" w:rsidRPr="002D0A15">
        <w:rPr>
          <w:rFonts w:ascii="Arial" w:hAnsi="Arial" w:cs="Arial"/>
          <w:color w:val="000000" w:themeColor="text1"/>
          <w:sz w:val="24"/>
          <w:szCs w:val="24"/>
        </w:rPr>
        <w:t>Annex</w:t>
      </w:r>
      <w:r w:rsidR="003471FA" w:rsidRPr="002D0A15">
        <w:rPr>
          <w:rFonts w:ascii="Arial" w:hAnsi="Arial" w:cs="Arial"/>
          <w:color w:val="000000" w:themeColor="text1"/>
          <w:sz w:val="24"/>
          <w:szCs w:val="24"/>
        </w:rPr>
        <w:t xml:space="preserve"> 13 and </w:t>
      </w:r>
      <w:r w:rsidR="00853DF8" w:rsidRPr="002D0A15">
        <w:rPr>
          <w:rFonts w:ascii="Arial" w:hAnsi="Arial" w:cs="Arial"/>
          <w:color w:val="000000" w:themeColor="text1"/>
          <w:sz w:val="24"/>
          <w:szCs w:val="24"/>
        </w:rPr>
        <w:t>whether</w:t>
      </w:r>
      <w:r w:rsidR="00A71DBE"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A71DBE" w:rsidRPr="002D0A15">
        <w:rPr>
          <w:rFonts w:ascii="Arial" w:hAnsi="Arial" w:cs="Arial"/>
          <w:color w:val="000000" w:themeColor="text1"/>
          <w:sz w:val="24"/>
          <w:szCs w:val="24"/>
        </w:rPr>
        <w:t xml:space="preserve"> applied its mind in accordance with the discretion afforded to it in terms of section 41(1). </w:t>
      </w:r>
    </w:p>
    <w:p w14:paraId="059DDE3A" w14:textId="06452740" w:rsidR="008D3284" w:rsidRPr="002D0A15" w:rsidRDefault="002D0A15" w:rsidP="002D0A15">
      <w:pPr>
        <w:tabs>
          <w:tab w:val="left" w:pos="709"/>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65)</w:t>
      </w:r>
      <w:r w:rsidRPr="00B0760E">
        <w:rPr>
          <w:rFonts w:ascii="Arial" w:hAnsi="Arial" w:cs="Arial"/>
          <w:color w:val="000000" w:themeColor="text1"/>
          <w:sz w:val="24"/>
          <w:szCs w:val="24"/>
        </w:rPr>
        <w:tab/>
      </w:r>
      <w:r w:rsidR="00CF467D"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90556A" w:rsidRPr="002D0A15">
        <w:rPr>
          <w:rFonts w:ascii="Arial" w:hAnsi="Arial" w:cs="Arial"/>
          <w:color w:val="000000" w:themeColor="text1"/>
          <w:sz w:val="24"/>
          <w:szCs w:val="24"/>
        </w:rPr>
        <w:t>, in relying on the exemption,</w:t>
      </w:r>
      <w:r w:rsidR="00CF467D" w:rsidRPr="002D0A15">
        <w:rPr>
          <w:rFonts w:ascii="Arial" w:hAnsi="Arial" w:cs="Arial"/>
          <w:color w:val="000000" w:themeColor="text1"/>
          <w:sz w:val="24"/>
          <w:szCs w:val="24"/>
        </w:rPr>
        <w:t xml:space="preserve"> deals with the</w:t>
      </w:r>
      <w:r w:rsidR="00333BBE" w:rsidRPr="002D0A15">
        <w:rPr>
          <w:rFonts w:ascii="Arial" w:hAnsi="Arial" w:cs="Arial"/>
          <w:color w:val="000000" w:themeColor="text1"/>
          <w:sz w:val="24"/>
          <w:szCs w:val="24"/>
        </w:rPr>
        <w:t xml:space="preserve"> requested records</w:t>
      </w:r>
      <w:r w:rsidR="00CF467D" w:rsidRPr="002D0A15">
        <w:rPr>
          <w:rFonts w:ascii="Arial" w:hAnsi="Arial" w:cs="Arial"/>
          <w:color w:val="000000" w:themeColor="text1"/>
          <w:sz w:val="24"/>
          <w:szCs w:val="24"/>
        </w:rPr>
        <w:t xml:space="preserve"> </w:t>
      </w:r>
      <w:r w:rsidR="00B7282D" w:rsidRPr="002D0A15">
        <w:rPr>
          <w:rFonts w:ascii="Arial" w:hAnsi="Arial" w:cs="Arial"/>
          <w:i/>
          <w:iCs/>
          <w:color w:val="000000" w:themeColor="text1"/>
          <w:sz w:val="24"/>
          <w:szCs w:val="24"/>
        </w:rPr>
        <w:t>en blo</w:t>
      </w:r>
      <w:r w:rsidR="00630045" w:rsidRPr="002D0A15">
        <w:rPr>
          <w:rFonts w:ascii="Arial" w:hAnsi="Arial" w:cs="Arial"/>
          <w:i/>
          <w:iCs/>
          <w:color w:val="000000" w:themeColor="text1"/>
          <w:sz w:val="24"/>
          <w:szCs w:val="24"/>
        </w:rPr>
        <w:t>c</w:t>
      </w:r>
      <w:r w:rsidR="0090556A" w:rsidRPr="002D0A15">
        <w:rPr>
          <w:rFonts w:ascii="Arial" w:hAnsi="Arial" w:cs="Arial"/>
          <w:i/>
          <w:iCs/>
          <w:color w:val="000000" w:themeColor="text1"/>
          <w:sz w:val="24"/>
          <w:szCs w:val="24"/>
        </w:rPr>
        <w:t xml:space="preserve">. </w:t>
      </w:r>
      <w:r w:rsidR="00E93680" w:rsidRPr="002D0A15">
        <w:rPr>
          <w:rFonts w:ascii="Arial" w:hAnsi="Arial" w:cs="Arial"/>
          <w:color w:val="000000" w:themeColor="text1"/>
          <w:sz w:val="24"/>
          <w:szCs w:val="24"/>
        </w:rPr>
        <w:t xml:space="preserve">This approach does not </w:t>
      </w:r>
      <w:r w:rsidR="00435C32" w:rsidRPr="002D0A15">
        <w:rPr>
          <w:rFonts w:ascii="Arial" w:hAnsi="Arial" w:cs="Arial"/>
          <w:color w:val="000000" w:themeColor="text1"/>
          <w:sz w:val="24"/>
          <w:szCs w:val="24"/>
        </w:rPr>
        <w:t xml:space="preserve">comply with the requirements as per </w:t>
      </w:r>
      <w:r w:rsidR="00435C32" w:rsidRPr="002D0A15">
        <w:rPr>
          <w:rFonts w:ascii="Arial" w:hAnsi="Arial" w:cs="Arial"/>
          <w:i/>
          <w:iCs/>
          <w:color w:val="000000" w:themeColor="text1"/>
          <w:sz w:val="24"/>
          <w:szCs w:val="24"/>
        </w:rPr>
        <w:t>President v M&amp;G (2011 CC</w:t>
      </w:r>
      <w:r w:rsidR="00694DC2" w:rsidRPr="002D0A15">
        <w:rPr>
          <w:rFonts w:ascii="Arial" w:hAnsi="Arial" w:cs="Arial"/>
          <w:i/>
          <w:iCs/>
          <w:color w:val="000000" w:themeColor="text1"/>
          <w:sz w:val="24"/>
          <w:szCs w:val="24"/>
        </w:rPr>
        <w:t>)</w:t>
      </w:r>
      <w:r w:rsidR="0079377D" w:rsidRPr="002D0A15">
        <w:rPr>
          <w:rFonts w:ascii="Arial" w:hAnsi="Arial" w:cs="Arial"/>
          <w:i/>
          <w:iCs/>
          <w:color w:val="000000" w:themeColor="text1"/>
          <w:sz w:val="24"/>
          <w:szCs w:val="24"/>
        </w:rPr>
        <w:t xml:space="preserve"> </w:t>
      </w:r>
      <w:r w:rsidR="00505A14" w:rsidRPr="002D0A15">
        <w:rPr>
          <w:rFonts w:ascii="Arial" w:hAnsi="Arial" w:cs="Arial"/>
          <w:color w:val="000000" w:themeColor="text1"/>
          <w:sz w:val="24"/>
          <w:szCs w:val="24"/>
        </w:rPr>
        <w:t xml:space="preserve">The lackadaisical approach of the </w:t>
      </w:r>
      <w:r w:rsidR="00566C8A" w:rsidRPr="002D0A15">
        <w:rPr>
          <w:rFonts w:ascii="Arial" w:hAnsi="Arial" w:cs="Arial"/>
          <w:color w:val="000000" w:themeColor="text1"/>
          <w:sz w:val="24"/>
          <w:szCs w:val="24"/>
        </w:rPr>
        <w:t>Respondent</w:t>
      </w:r>
      <w:r w:rsidR="00505A14" w:rsidRPr="002D0A15">
        <w:rPr>
          <w:rFonts w:ascii="Arial" w:hAnsi="Arial" w:cs="Arial"/>
          <w:color w:val="000000" w:themeColor="text1"/>
          <w:sz w:val="24"/>
          <w:szCs w:val="24"/>
        </w:rPr>
        <w:t xml:space="preserve"> is evidenced, f</w:t>
      </w:r>
      <w:r w:rsidR="00A71DBE" w:rsidRPr="002D0A15">
        <w:rPr>
          <w:rFonts w:ascii="Arial" w:hAnsi="Arial" w:cs="Arial"/>
          <w:color w:val="000000" w:themeColor="text1"/>
          <w:sz w:val="24"/>
          <w:szCs w:val="24"/>
        </w:rPr>
        <w:t xml:space="preserve">or instance, </w:t>
      </w:r>
      <w:r w:rsidR="00505A14" w:rsidRPr="002D0A15">
        <w:rPr>
          <w:rFonts w:ascii="Arial" w:hAnsi="Arial" w:cs="Arial"/>
          <w:color w:val="000000" w:themeColor="text1"/>
          <w:sz w:val="24"/>
          <w:szCs w:val="24"/>
        </w:rPr>
        <w:t xml:space="preserve">by </w:t>
      </w:r>
      <w:r w:rsidR="00B02BA8" w:rsidRPr="002D0A15">
        <w:rPr>
          <w:rFonts w:ascii="Arial" w:hAnsi="Arial" w:cs="Arial"/>
          <w:color w:val="000000" w:themeColor="text1"/>
          <w:sz w:val="24"/>
          <w:szCs w:val="24"/>
        </w:rPr>
        <w:t xml:space="preserve">the </w:t>
      </w:r>
      <w:r w:rsidR="00A71DBE" w:rsidRPr="002D0A15">
        <w:rPr>
          <w:rFonts w:ascii="Arial" w:hAnsi="Arial" w:cs="Arial"/>
          <w:color w:val="000000" w:themeColor="text1"/>
          <w:sz w:val="24"/>
          <w:szCs w:val="24"/>
        </w:rPr>
        <w:t xml:space="preserve">request for </w:t>
      </w:r>
      <w:r w:rsidR="00C72B6E" w:rsidRPr="002D0A15">
        <w:rPr>
          <w:rFonts w:ascii="Arial" w:hAnsi="Arial" w:cs="Arial"/>
          <w:color w:val="000000" w:themeColor="text1"/>
          <w:sz w:val="24"/>
          <w:szCs w:val="24"/>
        </w:rPr>
        <w:t>“</w:t>
      </w:r>
      <w:r w:rsidR="00A71DBE" w:rsidRPr="002D0A15">
        <w:rPr>
          <w:rFonts w:ascii="Arial" w:hAnsi="Arial" w:cs="Arial"/>
          <w:color w:val="000000" w:themeColor="text1"/>
          <w:sz w:val="24"/>
          <w:szCs w:val="24"/>
        </w:rPr>
        <w:t>detailed weather reports relating to the day of the accident</w:t>
      </w:r>
      <w:r w:rsidR="00C72B6E" w:rsidRPr="002D0A15">
        <w:rPr>
          <w:rFonts w:ascii="Arial" w:hAnsi="Arial" w:cs="Arial"/>
          <w:color w:val="000000" w:themeColor="text1"/>
          <w:sz w:val="24"/>
          <w:szCs w:val="24"/>
        </w:rPr>
        <w:t>”.</w:t>
      </w:r>
      <w:r w:rsidR="00590E68" w:rsidRPr="002D0A15">
        <w:rPr>
          <w:rFonts w:ascii="Arial" w:hAnsi="Arial" w:cs="Arial"/>
          <w:color w:val="000000" w:themeColor="text1"/>
          <w:sz w:val="24"/>
          <w:szCs w:val="24"/>
        </w:rPr>
        <w:t xml:space="preserve"> This record is </w:t>
      </w:r>
      <w:r w:rsidR="001E3801" w:rsidRPr="002D0A15">
        <w:rPr>
          <w:rFonts w:ascii="Arial" w:hAnsi="Arial" w:cs="Arial"/>
          <w:color w:val="000000" w:themeColor="text1"/>
          <w:sz w:val="24"/>
          <w:szCs w:val="24"/>
        </w:rPr>
        <w:t xml:space="preserve">also </w:t>
      </w:r>
      <w:r w:rsidR="00590E68" w:rsidRPr="002D0A15">
        <w:rPr>
          <w:rFonts w:ascii="Arial" w:hAnsi="Arial" w:cs="Arial"/>
          <w:color w:val="000000" w:themeColor="text1"/>
          <w:sz w:val="24"/>
          <w:szCs w:val="24"/>
        </w:rPr>
        <w:t xml:space="preserve">refused based on the </w:t>
      </w:r>
      <w:r w:rsidR="00403D2F" w:rsidRPr="002D0A15">
        <w:rPr>
          <w:rFonts w:ascii="Arial" w:hAnsi="Arial" w:cs="Arial"/>
          <w:color w:val="000000" w:themeColor="text1"/>
          <w:sz w:val="24"/>
          <w:szCs w:val="24"/>
        </w:rPr>
        <w:t xml:space="preserve">provisions of </w:t>
      </w:r>
      <w:r w:rsidR="00566C8A" w:rsidRPr="002D0A15">
        <w:rPr>
          <w:rFonts w:ascii="Arial" w:hAnsi="Arial" w:cs="Arial"/>
          <w:color w:val="000000" w:themeColor="text1"/>
          <w:sz w:val="24"/>
          <w:szCs w:val="24"/>
        </w:rPr>
        <w:t>Annex</w:t>
      </w:r>
      <w:r w:rsidR="00403D2F" w:rsidRPr="002D0A15">
        <w:rPr>
          <w:rFonts w:ascii="Arial" w:hAnsi="Arial" w:cs="Arial"/>
          <w:color w:val="000000" w:themeColor="text1"/>
          <w:sz w:val="24"/>
          <w:szCs w:val="24"/>
        </w:rPr>
        <w:t xml:space="preserve"> 13 or part12 of SACARS</w:t>
      </w:r>
      <w:r w:rsidR="00B15274" w:rsidRPr="002D0A15">
        <w:rPr>
          <w:rFonts w:ascii="Arial" w:hAnsi="Arial" w:cs="Arial"/>
          <w:color w:val="000000" w:themeColor="text1"/>
          <w:sz w:val="24"/>
          <w:szCs w:val="24"/>
        </w:rPr>
        <w:t xml:space="preserve">, </w:t>
      </w:r>
      <w:r w:rsidR="00342D24" w:rsidRPr="002D0A15">
        <w:rPr>
          <w:rFonts w:ascii="Arial" w:hAnsi="Arial" w:cs="Arial"/>
          <w:color w:val="000000" w:themeColor="text1"/>
          <w:sz w:val="24"/>
          <w:szCs w:val="24"/>
        </w:rPr>
        <w:t>despite</w:t>
      </w:r>
      <w:r w:rsidR="00B15274" w:rsidRPr="002D0A15">
        <w:rPr>
          <w:rFonts w:ascii="Arial" w:hAnsi="Arial" w:cs="Arial"/>
          <w:color w:val="000000" w:themeColor="text1"/>
          <w:sz w:val="24"/>
          <w:szCs w:val="24"/>
        </w:rPr>
        <w:t xml:space="preserve"> neither instrument list</w:t>
      </w:r>
      <w:r w:rsidR="00342D24" w:rsidRPr="002D0A15">
        <w:rPr>
          <w:rFonts w:ascii="Arial" w:hAnsi="Arial" w:cs="Arial"/>
          <w:color w:val="000000" w:themeColor="text1"/>
          <w:sz w:val="24"/>
          <w:szCs w:val="24"/>
        </w:rPr>
        <w:t>ing</w:t>
      </w:r>
      <w:r w:rsidR="00B15274" w:rsidRPr="002D0A15">
        <w:rPr>
          <w:rFonts w:ascii="Arial" w:hAnsi="Arial" w:cs="Arial"/>
          <w:color w:val="000000" w:themeColor="text1"/>
          <w:sz w:val="24"/>
          <w:szCs w:val="24"/>
        </w:rPr>
        <w:t xml:space="preserve"> it as</w:t>
      </w:r>
      <w:r w:rsidR="00342D24" w:rsidRPr="002D0A15">
        <w:rPr>
          <w:rFonts w:ascii="Arial" w:hAnsi="Arial" w:cs="Arial"/>
          <w:color w:val="000000" w:themeColor="text1"/>
          <w:sz w:val="24"/>
          <w:szCs w:val="24"/>
        </w:rPr>
        <w:t xml:space="preserve"> a</w:t>
      </w:r>
      <w:r w:rsidR="00B15274" w:rsidRPr="002D0A15">
        <w:rPr>
          <w:rFonts w:ascii="Arial" w:hAnsi="Arial" w:cs="Arial"/>
          <w:color w:val="000000" w:themeColor="text1"/>
          <w:sz w:val="24"/>
          <w:szCs w:val="24"/>
        </w:rPr>
        <w:t xml:space="preserve"> prohibited</w:t>
      </w:r>
      <w:r w:rsidR="00E51583" w:rsidRPr="002D0A15">
        <w:rPr>
          <w:rFonts w:ascii="Arial" w:hAnsi="Arial" w:cs="Arial"/>
          <w:color w:val="000000" w:themeColor="text1"/>
          <w:sz w:val="24"/>
          <w:szCs w:val="24"/>
        </w:rPr>
        <w:t xml:space="preserve"> record</w:t>
      </w:r>
      <w:r w:rsidR="00B15274" w:rsidRPr="002D0A15">
        <w:rPr>
          <w:rFonts w:ascii="Arial" w:hAnsi="Arial" w:cs="Arial"/>
          <w:color w:val="000000" w:themeColor="text1"/>
          <w:sz w:val="24"/>
          <w:szCs w:val="24"/>
        </w:rPr>
        <w:t>.</w:t>
      </w:r>
      <w:r w:rsidR="000C2352" w:rsidRPr="002D0A15">
        <w:rPr>
          <w:rFonts w:ascii="Arial" w:hAnsi="Arial" w:cs="Arial"/>
          <w:color w:val="000000" w:themeColor="text1"/>
          <w:sz w:val="24"/>
          <w:szCs w:val="24"/>
        </w:rPr>
        <w:t xml:space="preserve"> </w:t>
      </w:r>
      <w:r w:rsidR="00E51583" w:rsidRPr="002D0A15">
        <w:rPr>
          <w:rFonts w:ascii="Arial" w:hAnsi="Arial" w:cs="Arial"/>
          <w:color w:val="000000" w:themeColor="text1"/>
          <w:sz w:val="24"/>
          <w:szCs w:val="24"/>
        </w:rPr>
        <w:t>Counsel for the Respondent</w:t>
      </w:r>
      <w:r w:rsidR="007459BE" w:rsidRPr="002D0A15">
        <w:rPr>
          <w:rFonts w:ascii="Arial" w:hAnsi="Arial" w:cs="Arial"/>
          <w:color w:val="000000" w:themeColor="text1"/>
          <w:sz w:val="24"/>
          <w:szCs w:val="24"/>
        </w:rPr>
        <w:t xml:space="preserve"> </w:t>
      </w:r>
      <w:r w:rsidR="000C2352" w:rsidRPr="002D0A15">
        <w:rPr>
          <w:rFonts w:ascii="Arial" w:hAnsi="Arial" w:cs="Arial"/>
          <w:color w:val="000000" w:themeColor="text1"/>
          <w:sz w:val="24"/>
          <w:szCs w:val="24"/>
        </w:rPr>
        <w:t xml:space="preserve">took umbrage against this being </w:t>
      </w:r>
      <w:r w:rsidR="00E16BB0" w:rsidRPr="002D0A15">
        <w:rPr>
          <w:rFonts w:ascii="Arial" w:hAnsi="Arial" w:cs="Arial"/>
          <w:color w:val="000000" w:themeColor="text1"/>
          <w:sz w:val="24"/>
          <w:szCs w:val="24"/>
        </w:rPr>
        <w:t xml:space="preserve">pointed out by the </w:t>
      </w:r>
      <w:r w:rsidR="00566C8A" w:rsidRPr="002D0A15">
        <w:rPr>
          <w:rFonts w:ascii="Arial" w:hAnsi="Arial" w:cs="Arial"/>
          <w:color w:val="000000" w:themeColor="text1"/>
          <w:sz w:val="24"/>
          <w:szCs w:val="24"/>
        </w:rPr>
        <w:t>Court</w:t>
      </w:r>
      <w:r w:rsidR="00E16BB0" w:rsidRPr="002D0A15">
        <w:rPr>
          <w:rFonts w:ascii="Arial" w:hAnsi="Arial" w:cs="Arial"/>
          <w:color w:val="000000" w:themeColor="text1"/>
          <w:sz w:val="24"/>
          <w:szCs w:val="24"/>
        </w:rPr>
        <w:t xml:space="preserve">, as, in his view, this was not part of the </w:t>
      </w:r>
      <w:r w:rsidR="00566C8A" w:rsidRPr="002D0A15">
        <w:rPr>
          <w:rFonts w:ascii="Arial" w:hAnsi="Arial" w:cs="Arial"/>
          <w:color w:val="000000" w:themeColor="text1"/>
          <w:sz w:val="24"/>
          <w:szCs w:val="24"/>
        </w:rPr>
        <w:t>Applicant</w:t>
      </w:r>
      <w:r w:rsidR="00E16BB0" w:rsidRPr="002D0A15">
        <w:rPr>
          <w:rFonts w:ascii="Arial" w:hAnsi="Arial" w:cs="Arial"/>
          <w:color w:val="000000" w:themeColor="text1"/>
          <w:sz w:val="24"/>
          <w:szCs w:val="24"/>
        </w:rPr>
        <w:t xml:space="preserve">’s case. </w:t>
      </w:r>
      <w:r w:rsidR="00853DF8" w:rsidRPr="002D0A15">
        <w:rPr>
          <w:rFonts w:ascii="Arial" w:hAnsi="Arial" w:cs="Arial"/>
          <w:color w:val="000000" w:themeColor="text1"/>
          <w:sz w:val="24"/>
          <w:szCs w:val="24"/>
        </w:rPr>
        <w:t xml:space="preserve">This is an incorrect </w:t>
      </w:r>
      <w:r w:rsidR="00737216" w:rsidRPr="002D0A15">
        <w:rPr>
          <w:rFonts w:ascii="Arial" w:hAnsi="Arial" w:cs="Arial"/>
          <w:color w:val="000000" w:themeColor="text1"/>
          <w:sz w:val="24"/>
          <w:szCs w:val="24"/>
        </w:rPr>
        <w:t>interpretation of evidentiary burden</w:t>
      </w:r>
      <w:r w:rsidR="00F8510F" w:rsidRPr="002D0A15">
        <w:rPr>
          <w:rFonts w:ascii="Arial" w:hAnsi="Arial" w:cs="Arial"/>
          <w:color w:val="000000" w:themeColor="text1"/>
          <w:sz w:val="24"/>
          <w:szCs w:val="24"/>
        </w:rPr>
        <w:t xml:space="preserve"> on the </w:t>
      </w:r>
      <w:r w:rsidR="00566C8A" w:rsidRPr="002D0A15">
        <w:rPr>
          <w:rFonts w:ascii="Arial" w:hAnsi="Arial" w:cs="Arial"/>
          <w:color w:val="000000" w:themeColor="text1"/>
          <w:sz w:val="24"/>
          <w:szCs w:val="24"/>
        </w:rPr>
        <w:t>Respondent</w:t>
      </w:r>
      <w:r w:rsidR="00F8510F" w:rsidRPr="002D0A15">
        <w:rPr>
          <w:rFonts w:ascii="Arial" w:hAnsi="Arial" w:cs="Arial"/>
          <w:color w:val="000000" w:themeColor="text1"/>
          <w:sz w:val="24"/>
          <w:szCs w:val="24"/>
        </w:rPr>
        <w:t xml:space="preserve"> in terms </w:t>
      </w:r>
      <w:r w:rsidR="00737216" w:rsidRPr="002D0A15">
        <w:rPr>
          <w:rFonts w:ascii="Arial" w:hAnsi="Arial" w:cs="Arial"/>
          <w:color w:val="000000" w:themeColor="text1"/>
          <w:sz w:val="24"/>
          <w:szCs w:val="24"/>
        </w:rPr>
        <w:t xml:space="preserve">of PAIA. </w:t>
      </w:r>
      <w:r w:rsidR="007459BE" w:rsidRPr="002D0A15">
        <w:rPr>
          <w:rFonts w:ascii="Arial" w:hAnsi="Arial" w:cs="Arial"/>
          <w:color w:val="000000" w:themeColor="text1"/>
          <w:sz w:val="24"/>
          <w:szCs w:val="24"/>
        </w:rPr>
        <w:t xml:space="preserve">Given that the onus is on the </w:t>
      </w:r>
      <w:r w:rsidR="00566C8A" w:rsidRPr="002D0A15">
        <w:rPr>
          <w:rFonts w:ascii="Arial" w:hAnsi="Arial" w:cs="Arial"/>
          <w:color w:val="000000" w:themeColor="text1"/>
          <w:sz w:val="24"/>
          <w:szCs w:val="24"/>
        </w:rPr>
        <w:t>Respondent</w:t>
      </w:r>
      <w:r w:rsidR="007459BE" w:rsidRPr="002D0A15">
        <w:rPr>
          <w:rFonts w:ascii="Arial" w:hAnsi="Arial" w:cs="Arial"/>
          <w:color w:val="000000" w:themeColor="text1"/>
          <w:sz w:val="24"/>
          <w:szCs w:val="24"/>
        </w:rPr>
        <w:t xml:space="preserve"> to justify the refusal of access to the record, it </w:t>
      </w:r>
      <w:r w:rsidR="001416FD" w:rsidRPr="002D0A15">
        <w:rPr>
          <w:rFonts w:ascii="Arial" w:hAnsi="Arial" w:cs="Arial"/>
          <w:color w:val="000000" w:themeColor="text1"/>
          <w:sz w:val="24"/>
          <w:szCs w:val="24"/>
        </w:rPr>
        <w:t>is the duty of</w:t>
      </w:r>
      <w:r w:rsidR="007459BE"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7459BE" w:rsidRPr="002D0A15">
        <w:rPr>
          <w:rFonts w:ascii="Arial" w:hAnsi="Arial" w:cs="Arial"/>
          <w:color w:val="000000" w:themeColor="text1"/>
          <w:sz w:val="24"/>
          <w:szCs w:val="24"/>
        </w:rPr>
        <w:t xml:space="preserve"> </w:t>
      </w:r>
      <w:r w:rsidR="001416FD" w:rsidRPr="002D0A15">
        <w:rPr>
          <w:rFonts w:ascii="Arial" w:hAnsi="Arial" w:cs="Arial"/>
          <w:color w:val="000000" w:themeColor="text1"/>
          <w:sz w:val="24"/>
          <w:szCs w:val="24"/>
        </w:rPr>
        <w:t xml:space="preserve">to sufficiently canvas </w:t>
      </w:r>
      <w:r w:rsidR="007459BE" w:rsidRPr="002D0A15">
        <w:rPr>
          <w:rFonts w:ascii="Arial" w:hAnsi="Arial" w:cs="Arial"/>
          <w:color w:val="000000" w:themeColor="text1"/>
          <w:sz w:val="24"/>
          <w:szCs w:val="24"/>
        </w:rPr>
        <w:t>its reason for refusal of</w:t>
      </w:r>
      <w:r w:rsidR="00841319" w:rsidRPr="002D0A15">
        <w:rPr>
          <w:rFonts w:ascii="Arial" w:hAnsi="Arial" w:cs="Arial"/>
          <w:color w:val="000000" w:themeColor="text1"/>
          <w:sz w:val="24"/>
          <w:szCs w:val="24"/>
        </w:rPr>
        <w:t>, for instance,</w:t>
      </w:r>
      <w:r w:rsidR="007459BE" w:rsidRPr="002D0A15">
        <w:rPr>
          <w:rFonts w:ascii="Arial" w:hAnsi="Arial" w:cs="Arial"/>
          <w:color w:val="000000" w:themeColor="text1"/>
          <w:sz w:val="24"/>
          <w:szCs w:val="24"/>
        </w:rPr>
        <w:t xml:space="preserve"> this specific record</w:t>
      </w:r>
      <w:r w:rsidR="00853DF8" w:rsidRPr="002D0A15">
        <w:rPr>
          <w:rFonts w:ascii="Arial" w:hAnsi="Arial" w:cs="Arial"/>
          <w:color w:val="000000" w:themeColor="text1"/>
          <w:sz w:val="24"/>
          <w:szCs w:val="24"/>
        </w:rPr>
        <w:t>.</w:t>
      </w:r>
      <w:r w:rsidR="00F8510F" w:rsidRPr="002D0A15">
        <w:rPr>
          <w:rFonts w:ascii="Arial" w:hAnsi="Arial" w:cs="Arial"/>
          <w:color w:val="000000" w:themeColor="text1"/>
          <w:sz w:val="24"/>
          <w:szCs w:val="24"/>
        </w:rPr>
        <w:t xml:space="preserve"> </w:t>
      </w:r>
    </w:p>
    <w:p w14:paraId="4A970B60" w14:textId="1FCD90F9" w:rsidR="00B83EFC" w:rsidRPr="00B0760E" w:rsidRDefault="00B83EFC" w:rsidP="00C059A1">
      <w:pPr>
        <w:tabs>
          <w:tab w:val="left" w:pos="709"/>
          <w:tab w:val="right" w:pos="8208"/>
        </w:tabs>
        <w:spacing w:before="120" w:line="360" w:lineRule="auto"/>
        <w:ind w:left="426" w:hanging="502"/>
        <w:jc w:val="both"/>
        <w:rPr>
          <w:rFonts w:ascii="Arial" w:hAnsi="Arial" w:cs="Arial"/>
          <w:b/>
          <w:bCs/>
          <w:color w:val="000000" w:themeColor="text1"/>
          <w:sz w:val="24"/>
          <w:szCs w:val="24"/>
        </w:rPr>
      </w:pPr>
      <w:r w:rsidRPr="00B0760E">
        <w:rPr>
          <w:rFonts w:ascii="Arial" w:hAnsi="Arial" w:cs="Arial"/>
          <w:b/>
          <w:bCs/>
          <w:color w:val="000000" w:themeColor="text1"/>
          <w:sz w:val="24"/>
          <w:szCs w:val="24"/>
        </w:rPr>
        <w:t>The relief sought</w:t>
      </w:r>
    </w:p>
    <w:p w14:paraId="56763EE3" w14:textId="57A68098" w:rsidR="00765A63" w:rsidRPr="00B0760E" w:rsidRDefault="002D0A15" w:rsidP="002D0A15">
      <w:pPr>
        <w:pStyle w:val="NormalWeb"/>
        <w:shd w:val="clear" w:color="auto" w:fill="FFFFFF"/>
        <w:tabs>
          <w:tab w:val="left" w:pos="709"/>
        </w:tabs>
        <w:spacing w:before="120" w:beforeAutospacing="0" w:after="120" w:afterAutospacing="0" w:line="360" w:lineRule="auto"/>
        <w:ind w:left="426" w:hanging="502"/>
        <w:textAlignment w:val="baseline"/>
        <w:rPr>
          <w:rFonts w:ascii="Arial" w:hAnsi="Arial" w:cs="Arial"/>
          <w:color w:val="000000" w:themeColor="text1"/>
        </w:rPr>
      </w:pPr>
      <w:r w:rsidRPr="00B0760E">
        <w:rPr>
          <w:rFonts w:ascii="Arial" w:hAnsi="Arial" w:cs="Arial"/>
          <w:color w:val="000000" w:themeColor="text1"/>
        </w:rPr>
        <w:t>66)</w:t>
      </w:r>
      <w:r w:rsidRPr="00B0760E">
        <w:rPr>
          <w:rFonts w:ascii="Arial" w:hAnsi="Arial" w:cs="Arial"/>
          <w:color w:val="000000" w:themeColor="text1"/>
        </w:rPr>
        <w:tab/>
      </w:r>
      <w:r w:rsidR="00765A63" w:rsidRPr="00B0760E">
        <w:rPr>
          <w:rFonts w:ascii="Helvetica" w:hAnsi="Helvetica"/>
          <w:color w:val="000000" w:themeColor="text1"/>
        </w:rPr>
        <w:t>I am</w:t>
      </w:r>
      <w:r w:rsidR="00CE74A7">
        <w:rPr>
          <w:rFonts w:ascii="Helvetica" w:hAnsi="Helvetica"/>
          <w:color w:val="000000" w:themeColor="text1"/>
        </w:rPr>
        <w:t>,</w:t>
      </w:r>
      <w:r w:rsidR="00765A63" w:rsidRPr="00B0760E">
        <w:rPr>
          <w:rFonts w:ascii="Helvetica" w:hAnsi="Helvetica"/>
          <w:color w:val="000000" w:themeColor="text1"/>
        </w:rPr>
        <w:t xml:space="preserve"> however</w:t>
      </w:r>
      <w:r w:rsidR="00CE74A7">
        <w:rPr>
          <w:rFonts w:ascii="Helvetica" w:hAnsi="Helvetica"/>
          <w:color w:val="000000" w:themeColor="text1"/>
        </w:rPr>
        <w:t>,</w:t>
      </w:r>
      <w:r w:rsidR="00765A63" w:rsidRPr="00B0760E">
        <w:rPr>
          <w:rFonts w:ascii="Helvetica" w:hAnsi="Helvetica"/>
          <w:color w:val="000000" w:themeColor="text1"/>
        </w:rPr>
        <w:t xml:space="preserve"> in agreement with the </w:t>
      </w:r>
      <w:r w:rsidR="00566C8A">
        <w:rPr>
          <w:rFonts w:ascii="Helvetica" w:hAnsi="Helvetica"/>
          <w:color w:val="000000" w:themeColor="text1"/>
        </w:rPr>
        <w:t>Respondent</w:t>
      </w:r>
      <w:r w:rsidR="00765A63" w:rsidRPr="00B0760E">
        <w:rPr>
          <w:rFonts w:ascii="Helvetica" w:hAnsi="Helvetica"/>
          <w:color w:val="000000" w:themeColor="text1"/>
        </w:rPr>
        <w:t xml:space="preserve">’s submissions regarding the alternative </w:t>
      </w:r>
      <w:r w:rsidR="001419B3">
        <w:rPr>
          <w:rFonts w:ascii="Helvetica" w:hAnsi="Helvetica"/>
          <w:color w:val="000000" w:themeColor="text1"/>
        </w:rPr>
        <w:t>prayer based</w:t>
      </w:r>
      <w:r w:rsidR="00765A63" w:rsidRPr="00B0760E">
        <w:rPr>
          <w:rFonts w:ascii="Helvetica" w:hAnsi="Helvetica"/>
          <w:color w:val="000000" w:themeColor="text1"/>
        </w:rPr>
        <w:t xml:space="preserve"> on SACARS. Had the </w:t>
      </w:r>
      <w:r w:rsidR="00566C8A">
        <w:rPr>
          <w:rFonts w:ascii="Helvetica" w:hAnsi="Helvetica"/>
          <w:color w:val="000000" w:themeColor="text1"/>
        </w:rPr>
        <w:t>Applicant</w:t>
      </w:r>
      <w:r w:rsidR="00765A63" w:rsidRPr="00B0760E">
        <w:rPr>
          <w:rFonts w:ascii="Helvetica" w:hAnsi="Helvetica"/>
          <w:color w:val="000000" w:themeColor="text1"/>
        </w:rPr>
        <w:t xml:space="preserve"> wanted relief in terms of the </w:t>
      </w:r>
      <w:r w:rsidR="00765A63" w:rsidRPr="00B0760E">
        <w:rPr>
          <w:rFonts w:ascii="Arial" w:hAnsi="Arial" w:cs="Arial"/>
          <w:color w:val="000000" w:themeColor="text1"/>
        </w:rPr>
        <w:t xml:space="preserve">provisions of regulation 12.04.6 of part 12 of SACARS, it would have had to place information before the </w:t>
      </w:r>
      <w:r w:rsidR="00566C8A">
        <w:rPr>
          <w:rFonts w:ascii="Arial" w:hAnsi="Arial" w:cs="Arial"/>
          <w:color w:val="000000" w:themeColor="text1"/>
        </w:rPr>
        <w:t>Court</w:t>
      </w:r>
      <w:r w:rsidR="00765A63" w:rsidRPr="00B0760E">
        <w:rPr>
          <w:rFonts w:ascii="Arial" w:hAnsi="Arial" w:cs="Arial"/>
          <w:color w:val="000000" w:themeColor="text1"/>
        </w:rPr>
        <w:t xml:space="preserve"> to </w:t>
      </w:r>
      <w:r w:rsidR="007B4866" w:rsidRPr="00B0760E">
        <w:rPr>
          <w:rFonts w:ascii="Arial" w:hAnsi="Arial" w:cs="Arial"/>
          <w:color w:val="000000" w:themeColor="text1"/>
        </w:rPr>
        <w:t xml:space="preserve">enable it to </w:t>
      </w:r>
      <w:r w:rsidR="00765A63" w:rsidRPr="00B0760E">
        <w:rPr>
          <w:rFonts w:ascii="Arial" w:hAnsi="Arial" w:cs="Arial"/>
          <w:color w:val="000000" w:themeColor="text1"/>
        </w:rPr>
        <w:t xml:space="preserve">perform the weighing test described above. In that event, the </w:t>
      </w:r>
      <w:r w:rsidR="00566C8A">
        <w:rPr>
          <w:rFonts w:ascii="Arial" w:hAnsi="Arial" w:cs="Arial"/>
          <w:color w:val="000000" w:themeColor="text1"/>
        </w:rPr>
        <w:t>Court</w:t>
      </w:r>
      <w:r w:rsidR="00765A63" w:rsidRPr="00B0760E">
        <w:rPr>
          <w:rFonts w:ascii="Arial" w:hAnsi="Arial" w:cs="Arial"/>
          <w:color w:val="000000" w:themeColor="text1"/>
        </w:rPr>
        <w:t xml:space="preserve"> could, at most, have declared that “..</w:t>
      </w:r>
      <w:r w:rsidR="00765A63" w:rsidRPr="00B0760E">
        <w:rPr>
          <w:rFonts w:ascii="Arial" w:hAnsi="Arial" w:cs="Arial"/>
          <w:i/>
          <w:iCs/>
          <w:color w:val="000000" w:themeColor="text1"/>
        </w:rPr>
        <w:t xml:space="preserve"> the disclosure or use </w:t>
      </w:r>
      <w:r w:rsidR="00765A63" w:rsidRPr="00B0760E">
        <w:rPr>
          <w:rFonts w:ascii="Arial" w:hAnsi="Arial" w:cs="Arial"/>
          <w:i/>
          <w:iCs/>
          <w:color w:val="000000" w:themeColor="text1"/>
        </w:rPr>
        <w:lastRenderedPageBreak/>
        <w:t>outweighs the likely adverse domestic and international impact such action may have on that or future investigation…”</w:t>
      </w:r>
    </w:p>
    <w:p w14:paraId="4FA0D568" w14:textId="699D6E8A" w:rsidR="008B1AD7" w:rsidRPr="00B0760E" w:rsidRDefault="002D0A15" w:rsidP="002D0A15">
      <w:pPr>
        <w:pStyle w:val="NormalWeb"/>
        <w:shd w:val="clear" w:color="auto" w:fill="FFFFFF"/>
        <w:tabs>
          <w:tab w:val="left" w:pos="709"/>
        </w:tabs>
        <w:spacing w:before="120" w:beforeAutospacing="0" w:after="120" w:afterAutospacing="0" w:line="360" w:lineRule="auto"/>
        <w:ind w:left="426" w:hanging="502"/>
        <w:textAlignment w:val="baseline"/>
        <w:rPr>
          <w:rFonts w:ascii="Arial" w:hAnsi="Arial" w:cs="Arial"/>
          <w:color w:val="000000" w:themeColor="text1"/>
        </w:rPr>
      </w:pPr>
      <w:r w:rsidRPr="00B0760E">
        <w:rPr>
          <w:rFonts w:ascii="Arial" w:hAnsi="Arial" w:cs="Arial"/>
          <w:color w:val="000000" w:themeColor="text1"/>
        </w:rPr>
        <w:t>67)</w:t>
      </w:r>
      <w:r w:rsidRPr="00B0760E">
        <w:rPr>
          <w:rFonts w:ascii="Arial" w:hAnsi="Arial" w:cs="Arial"/>
          <w:color w:val="000000" w:themeColor="text1"/>
        </w:rPr>
        <w:tab/>
      </w:r>
      <w:r w:rsidR="00765A63" w:rsidRPr="00B0760E">
        <w:rPr>
          <w:rFonts w:ascii="Arial" w:hAnsi="Arial" w:cs="Arial"/>
          <w:color w:val="000000" w:themeColor="text1"/>
        </w:rPr>
        <w:t>However, t</w:t>
      </w:r>
      <w:r w:rsidR="008B1AD7" w:rsidRPr="00B0760E">
        <w:rPr>
          <w:rFonts w:ascii="Arial" w:hAnsi="Arial" w:cs="Arial"/>
          <w:color w:val="000000" w:themeColor="text1"/>
        </w:rPr>
        <w:t xml:space="preserve">he </w:t>
      </w:r>
      <w:r w:rsidR="00566C8A">
        <w:rPr>
          <w:rFonts w:ascii="Arial" w:hAnsi="Arial" w:cs="Arial"/>
          <w:color w:val="000000" w:themeColor="text1"/>
        </w:rPr>
        <w:t>Respondent</w:t>
      </w:r>
      <w:r w:rsidR="00C43BCD" w:rsidRPr="00B0760E">
        <w:rPr>
          <w:rFonts w:ascii="Arial" w:hAnsi="Arial" w:cs="Arial"/>
          <w:color w:val="000000" w:themeColor="text1"/>
        </w:rPr>
        <w:t>’s objections to the relief</w:t>
      </w:r>
      <w:r w:rsidR="00E60D39" w:rsidRPr="00B0760E">
        <w:rPr>
          <w:rFonts w:ascii="Arial" w:hAnsi="Arial" w:cs="Arial"/>
          <w:color w:val="000000" w:themeColor="text1"/>
        </w:rPr>
        <w:t xml:space="preserve"> sought</w:t>
      </w:r>
      <w:r w:rsidR="00765A63" w:rsidRPr="00B0760E">
        <w:rPr>
          <w:rFonts w:ascii="Arial" w:hAnsi="Arial" w:cs="Arial"/>
          <w:color w:val="000000" w:themeColor="text1"/>
        </w:rPr>
        <w:t xml:space="preserve"> under PAIA</w:t>
      </w:r>
      <w:r w:rsidR="00E60D39" w:rsidRPr="00B0760E">
        <w:rPr>
          <w:rFonts w:ascii="Arial" w:hAnsi="Arial" w:cs="Arial"/>
          <w:color w:val="000000" w:themeColor="text1"/>
        </w:rPr>
        <w:t xml:space="preserve"> were based on principles applicable in PAJA or legality reviews, such</w:t>
      </w:r>
      <w:r w:rsidR="00765A63" w:rsidRPr="00B0760E">
        <w:rPr>
          <w:rFonts w:ascii="Arial" w:hAnsi="Arial" w:cs="Arial"/>
          <w:color w:val="000000" w:themeColor="text1"/>
        </w:rPr>
        <w:t xml:space="preserve"> as, for instance</w:t>
      </w:r>
      <w:r w:rsidR="00E60D39" w:rsidRPr="00B0760E">
        <w:rPr>
          <w:rFonts w:ascii="Arial" w:hAnsi="Arial" w:cs="Arial"/>
          <w:color w:val="000000" w:themeColor="text1"/>
        </w:rPr>
        <w:t xml:space="preserve"> </w:t>
      </w:r>
      <w:r w:rsidR="00A63C78" w:rsidRPr="00B0760E">
        <w:rPr>
          <w:rFonts w:ascii="Arial" w:hAnsi="Arial" w:cs="Arial"/>
          <w:color w:val="000000" w:themeColor="text1"/>
        </w:rPr>
        <w:t>the</w:t>
      </w:r>
      <w:r w:rsidR="00E60D39" w:rsidRPr="00B0760E">
        <w:rPr>
          <w:rFonts w:ascii="Arial" w:hAnsi="Arial" w:cs="Arial"/>
          <w:color w:val="000000" w:themeColor="text1"/>
        </w:rPr>
        <w:t xml:space="preserve"> need for exceptional circumstances to be proven </w:t>
      </w:r>
      <w:r w:rsidR="00F72F2C" w:rsidRPr="00B0760E">
        <w:rPr>
          <w:rFonts w:ascii="Arial" w:hAnsi="Arial" w:cs="Arial"/>
          <w:color w:val="000000" w:themeColor="text1"/>
        </w:rPr>
        <w:t xml:space="preserve">before a </w:t>
      </w:r>
      <w:r w:rsidR="00566C8A">
        <w:rPr>
          <w:rFonts w:ascii="Arial" w:hAnsi="Arial" w:cs="Arial"/>
          <w:color w:val="000000" w:themeColor="text1"/>
        </w:rPr>
        <w:t>Court</w:t>
      </w:r>
      <w:r w:rsidR="00F72F2C" w:rsidRPr="00B0760E">
        <w:rPr>
          <w:rFonts w:ascii="Arial" w:hAnsi="Arial" w:cs="Arial"/>
          <w:color w:val="000000" w:themeColor="text1"/>
        </w:rPr>
        <w:t xml:space="preserve"> can substitute its decision for that of the public body.</w:t>
      </w:r>
      <w:r w:rsidR="00A351BA" w:rsidRPr="00B0760E">
        <w:rPr>
          <w:rFonts w:ascii="Arial" w:hAnsi="Arial" w:cs="Arial"/>
          <w:color w:val="000000" w:themeColor="text1"/>
        </w:rPr>
        <w:t xml:space="preserve"> I do not intend to deal with each of the objections in light of my previous findings on the </w:t>
      </w:r>
      <w:r w:rsidR="00C73924" w:rsidRPr="00B0760E">
        <w:rPr>
          <w:rFonts w:ascii="Arial" w:hAnsi="Arial" w:cs="Arial"/>
          <w:color w:val="000000" w:themeColor="text1"/>
        </w:rPr>
        <w:t>inapplicability of PAJA or legality principles in PAIA applications.</w:t>
      </w:r>
    </w:p>
    <w:p w14:paraId="26EE86C9" w14:textId="02A75CBD" w:rsidR="00D6775C" w:rsidRPr="00B0760E" w:rsidRDefault="002D0A15" w:rsidP="002D0A15">
      <w:pPr>
        <w:pStyle w:val="NormalWeb"/>
        <w:shd w:val="clear" w:color="auto" w:fill="FFFFFF"/>
        <w:spacing w:before="120" w:beforeAutospacing="0" w:after="120" w:afterAutospacing="0" w:line="360" w:lineRule="auto"/>
        <w:ind w:left="426" w:hanging="502"/>
        <w:textAlignment w:val="baseline"/>
        <w:rPr>
          <w:rFonts w:ascii="Helvetica" w:hAnsi="Helvetica"/>
          <w:color w:val="000000" w:themeColor="text1"/>
        </w:rPr>
      </w:pPr>
      <w:r w:rsidRPr="00B0760E">
        <w:rPr>
          <w:rFonts w:ascii="Helvetica" w:hAnsi="Helvetica"/>
          <w:color w:val="000000" w:themeColor="text1"/>
        </w:rPr>
        <w:t>68)</w:t>
      </w:r>
      <w:r w:rsidRPr="00B0760E">
        <w:rPr>
          <w:rFonts w:ascii="Helvetica" w:hAnsi="Helvetica"/>
          <w:color w:val="000000" w:themeColor="text1"/>
        </w:rPr>
        <w:tab/>
      </w:r>
      <w:r w:rsidR="00517B29" w:rsidRPr="00B0760E">
        <w:rPr>
          <w:rFonts w:ascii="Arial" w:hAnsi="Arial" w:cs="Arial"/>
          <w:color w:val="000000" w:themeColor="text1"/>
        </w:rPr>
        <w:t xml:space="preserve">PAIA itself provides what can or cannot be granted. </w:t>
      </w:r>
      <w:r w:rsidR="00497965" w:rsidRPr="00B0760E">
        <w:rPr>
          <w:rFonts w:ascii="Arial" w:hAnsi="Arial" w:cs="Arial"/>
          <w:color w:val="000000" w:themeColor="text1"/>
        </w:rPr>
        <w:t>S</w:t>
      </w:r>
      <w:r w:rsidR="00B54ED5" w:rsidRPr="00B0760E">
        <w:rPr>
          <w:rFonts w:ascii="Arial" w:hAnsi="Arial" w:cs="Arial"/>
          <w:color w:val="000000" w:themeColor="text1"/>
        </w:rPr>
        <w:t xml:space="preserve">ection </w:t>
      </w:r>
      <w:r w:rsidR="007B526E" w:rsidRPr="00B0760E">
        <w:rPr>
          <w:rFonts w:ascii="Arial" w:hAnsi="Arial" w:cs="Arial"/>
          <w:color w:val="000000" w:themeColor="text1"/>
        </w:rPr>
        <w:t xml:space="preserve">82 </w:t>
      </w:r>
      <w:r w:rsidR="00B54ED5" w:rsidRPr="00B0760E">
        <w:rPr>
          <w:rFonts w:ascii="Arial" w:hAnsi="Arial" w:cs="Arial"/>
          <w:color w:val="000000" w:themeColor="text1"/>
        </w:rPr>
        <w:t xml:space="preserve">of PAIA </w:t>
      </w:r>
      <w:r w:rsidR="007B526E" w:rsidRPr="00B0760E">
        <w:rPr>
          <w:rFonts w:ascii="Arial" w:hAnsi="Arial" w:cs="Arial"/>
          <w:color w:val="000000" w:themeColor="text1"/>
        </w:rPr>
        <w:t xml:space="preserve">empowers the </w:t>
      </w:r>
      <w:r w:rsidR="00566C8A">
        <w:rPr>
          <w:rFonts w:ascii="Arial" w:hAnsi="Arial" w:cs="Arial"/>
          <w:color w:val="000000" w:themeColor="text1"/>
        </w:rPr>
        <w:t>Court</w:t>
      </w:r>
      <w:r w:rsidR="007B526E" w:rsidRPr="00B0760E">
        <w:rPr>
          <w:rFonts w:ascii="Arial" w:hAnsi="Arial" w:cs="Arial"/>
          <w:color w:val="000000" w:themeColor="text1"/>
        </w:rPr>
        <w:t xml:space="preserve"> to make</w:t>
      </w:r>
      <w:r w:rsidR="007B526E" w:rsidRPr="00B0760E">
        <w:rPr>
          <w:rFonts w:ascii="Helvetica" w:hAnsi="Helvetica"/>
          <w:color w:val="000000" w:themeColor="text1"/>
        </w:rPr>
        <w:t xml:space="preserve"> any decision is deems just and equitable</w:t>
      </w:r>
      <w:r w:rsidR="00B54ED5" w:rsidRPr="00B0760E">
        <w:rPr>
          <w:rFonts w:ascii="Helvetica" w:hAnsi="Helvetica"/>
          <w:color w:val="000000" w:themeColor="text1"/>
        </w:rPr>
        <w:t xml:space="preserve">, including orders </w:t>
      </w:r>
      <w:r w:rsidR="00DE73AE" w:rsidRPr="00B0760E">
        <w:rPr>
          <w:rFonts w:ascii="Helvetica" w:hAnsi="Helvetica"/>
          <w:color w:val="000000" w:themeColor="text1"/>
        </w:rPr>
        <w:t xml:space="preserve">setting aside the decision, </w:t>
      </w:r>
      <w:r w:rsidR="00293F2A" w:rsidRPr="00B0760E">
        <w:rPr>
          <w:rFonts w:ascii="Helvetica" w:hAnsi="Helvetica"/>
          <w:color w:val="000000" w:themeColor="text1"/>
        </w:rPr>
        <w:t xml:space="preserve">orders requiring the </w:t>
      </w:r>
      <w:r w:rsidR="00566C8A">
        <w:rPr>
          <w:rFonts w:ascii="Helvetica" w:hAnsi="Helvetica"/>
          <w:color w:val="000000" w:themeColor="text1"/>
        </w:rPr>
        <w:t>Respondent</w:t>
      </w:r>
      <w:r w:rsidR="00293F2A" w:rsidRPr="00B0760E">
        <w:rPr>
          <w:rFonts w:ascii="Helvetica" w:hAnsi="Helvetica"/>
          <w:color w:val="000000" w:themeColor="text1"/>
        </w:rPr>
        <w:t xml:space="preserve"> to “</w:t>
      </w:r>
      <w:r w:rsidR="00293F2A" w:rsidRPr="00B0760E">
        <w:rPr>
          <w:rFonts w:ascii="Helvetica" w:hAnsi="Helvetica"/>
          <w:i/>
          <w:iCs/>
          <w:color w:val="000000" w:themeColor="text1"/>
        </w:rPr>
        <w:t>..take such action…</w:t>
      </w:r>
      <w:r w:rsidR="002F3406" w:rsidRPr="00B0760E">
        <w:rPr>
          <w:rFonts w:ascii="Helvetica" w:hAnsi="Helvetica"/>
          <w:i/>
          <w:iCs/>
          <w:color w:val="000000" w:themeColor="text1"/>
        </w:rPr>
        <w:t xml:space="preserve">as the </w:t>
      </w:r>
      <w:r w:rsidR="00566C8A">
        <w:rPr>
          <w:rFonts w:ascii="Helvetica" w:hAnsi="Helvetica"/>
          <w:i/>
          <w:iCs/>
          <w:color w:val="000000" w:themeColor="text1"/>
        </w:rPr>
        <w:t>Court</w:t>
      </w:r>
      <w:r w:rsidR="002F3406" w:rsidRPr="00B0760E">
        <w:rPr>
          <w:rFonts w:ascii="Helvetica" w:hAnsi="Helvetica"/>
          <w:i/>
          <w:iCs/>
          <w:color w:val="000000" w:themeColor="text1"/>
        </w:rPr>
        <w:t xml:space="preserve"> considers necessary</w:t>
      </w:r>
      <w:r w:rsidR="002F3406" w:rsidRPr="00B0760E">
        <w:rPr>
          <w:rFonts w:ascii="Helvetica" w:hAnsi="Helvetica"/>
          <w:color w:val="000000" w:themeColor="text1"/>
        </w:rPr>
        <w:t xml:space="preserve">..”, interdicts, declarators and even </w:t>
      </w:r>
      <w:r w:rsidR="00462827" w:rsidRPr="00B0760E">
        <w:rPr>
          <w:rFonts w:ascii="Helvetica" w:hAnsi="Helvetica"/>
          <w:color w:val="000000" w:themeColor="text1"/>
        </w:rPr>
        <w:t xml:space="preserve">orders pertaining to </w:t>
      </w:r>
      <w:r w:rsidR="002F3406" w:rsidRPr="00B0760E">
        <w:rPr>
          <w:rFonts w:ascii="Helvetica" w:hAnsi="Helvetica"/>
          <w:color w:val="000000" w:themeColor="text1"/>
        </w:rPr>
        <w:t>compensation.</w:t>
      </w:r>
    </w:p>
    <w:p w14:paraId="0E582E00" w14:textId="5F5EA242" w:rsidR="001B1AB9" w:rsidRPr="00B0760E" w:rsidRDefault="001B1AB9" w:rsidP="00F92658">
      <w:pPr>
        <w:pStyle w:val="NormalWeb"/>
        <w:shd w:val="clear" w:color="auto" w:fill="FFFFFF"/>
        <w:spacing w:before="120" w:beforeAutospacing="0" w:after="120" w:afterAutospacing="0" w:line="360" w:lineRule="auto"/>
        <w:ind w:left="426" w:hanging="502"/>
        <w:textAlignment w:val="baseline"/>
        <w:rPr>
          <w:rFonts w:ascii="Helvetica" w:hAnsi="Helvetica"/>
          <w:b/>
          <w:bCs/>
          <w:color w:val="000000" w:themeColor="text1"/>
        </w:rPr>
      </w:pPr>
      <w:r w:rsidRPr="00B0760E">
        <w:rPr>
          <w:rFonts w:ascii="Helvetica" w:hAnsi="Helvetica"/>
          <w:b/>
          <w:bCs/>
          <w:color w:val="000000" w:themeColor="text1"/>
        </w:rPr>
        <w:t>Finding</w:t>
      </w:r>
    </w:p>
    <w:p w14:paraId="272ABBE6" w14:textId="35225F1B" w:rsidR="00B30E4C" w:rsidRPr="00B0760E" w:rsidRDefault="002D0A15" w:rsidP="002D0A15">
      <w:pPr>
        <w:pStyle w:val="NormalWeb"/>
        <w:shd w:val="clear" w:color="auto" w:fill="FFFFFF"/>
        <w:spacing w:before="120" w:beforeAutospacing="0" w:after="120" w:afterAutospacing="0" w:line="360" w:lineRule="auto"/>
        <w:ind w:left="426" w:hanging="502"/>
        <w:textAlignment w:val="baseline"/>
        <w:rPr>
          <w:rFonts w:ascii="Helvetica" w:hAnsi="Helvetica"/>
          <w:color w:val="000000" w:themeColor="text1"/>
        </w:rPr>
      </w:pPr>
      <w:r w:rsidRPr="00B0760E">
        <w:rPr>
          <w:rFonts w:ascii="Helvetica" w:hAnsi="Helvetica"/>
          <w:color w:val="000000" w:themeColor="text1"/>
        </w:rPr>
        <w:t>69)</w:t>
      </w:r>
      <w:r w:rsidRPr="00B0760E">
        <w:rPr>
          <w:rFonts w:ascii="Helvetica" w:hAnsi="Helvetica"/>
          <w:color w:val="000000" w:themeColor="text1"/>
        </w:rPr>
        <w:tab/>
      </w:r>
      <w:r w:rsidR="003E5FDC" w:rsidRPr="00B0760E">
        <w:rPr>
          <w:rFonts w:ascii="Arial" w:hAnsi="Arial" w:cs="Arial"/>
          <w:color w:val="000000" w:themeColor="text1"/>
        </w:rPr>
        <w:t xml:space="preserve">The </w:t>
      </w:r>
      <w:r w:rsidR="00566C8A">
        <w:rPr>
          <w:rFonts w:ascii="Arial" w:hAnsi="Arial" w:cs="Arial"/>
          <w:color w:val="000000" w:themeColor="text1"/>
        </w:rPr>
        <w:t>Court</w:t>
      </w:r>
      <w:r w:rsidR="003E5FDC" w:rsidRPr="00B0760E">
        <w:rPr>
          <w:rFonts w:ascii="Arial" w:hAnsi="Arial" w:cs="Arial"/>
          <w:color w:val="000000" w:themeColor="text1"/>
        </w:rPr>
        <w:t xml:space="preserve"> is called upon to decide </w:t>
      </w:r>
      <w:r w:rsidR="00FE21A2" w:rsidRPr="00B0760E">
        <w:rPr>
          <w:rFonts w:ascii="Arial" w:hAnsi="Arial" w:cs="Arial"/>
          <w:color w:val="000000" w:themeColor="text1"/>
        </w:rPr>
        <w:t xml:space="preserve">whether the </w:t>
      </w:r>
      <w:r w:rsidR="00566C8A">
        <w:rPr>
          <w:rFonts w:ascii="Arial" w:hAnsi="Arial" w:cs="Arial"/>
          <w:color w:val="000000" w:themeColor="text1"/>
        </w:rPr>
        <w:t>Respondent</w:t>
      </w:r>
      <w:r w:rsidR="00FE21A2" w:rsidRPr="00B0760E">
        <w:rPr>
          <w:rFonts w:ascii="Arial" w:hAnsi="Arial" w:cs="Arial"/>
          <w:color w:val="000000" w:themeColor="text1"/>
        </w:rPr>
        <w:t xml:space="preserve"> has proven</w:t>
      </w:r>
      <w:r w:rsidR="00551F4C">
        <w:rPr>
          <w:rFonts w:ascii="Arial" w:hAnsi="Arial" w:cs="Arial"/>
          <w:color w:val="000000" w:themeColor="text1"/>
        </w:rPr>
        <w:t xml:space="preserve"> that the record requested falls within the ambit of</w:t>
      </w:r>
      <w:r w:rsidR="00FE21A2" w:rsidRPr="00B0760E">
        <w:rPr>
          <w:rFonts w:ascii="Arial" w:hAnsi="Arial" w:cs="Arial"/>
          <w:color w:val="000000" w:themeColor="text1"/>
        </w:rPr>
        <w:t xml:space="preserve"> </w:t>
      </w:r>
      <w:r w:rsidR="00F83A96" w:rsidRPr="00B0760E">
        <w:rPr>
          <w:rFonts w:ascii="Arial" w:hAnsi="Arial" w:cs="Arial"/>
          <w:color w:val="000000" w:themeColor="text1"/>
        </w:rPr>
        <w:t xml:space="preserve">the exemption relied upon. If not, the default position under PAIA </w:t>
      </w:r>
      <w:r w:rsidR="007810D9" w:rsidRPr="00B0760E">
        <w:rPr>
          <w:rFonts w:ascii="Arial" w:hAnsi="Arial" w:cs="Arial"/>
          <w:color w:val="000000" w:themeColor="text1"/>
        </w:rPr>
        <w:t>prevails</w:t>
      </w:r>
      <w:r w:rsidR="00F83A96" w:rsidRPr="00B0760E">
        <w:rPr>
          <w:rFonts w:ascii="Arial" w:hAnsi="Arial" w:cs="Arial"/>
          <w:color w:val="000000" w:themeColor="text1"/>
        </w:rPr>
        <w:t xml:space="preserve"> </w:t>
      </w:r>
      <w:r w:rsidR="00DF3980">
        <w:rPr>
          <w:rFonts w:ascii="Arial" w:hAnsi="Arial" w:cs="Arial"/>
          <w:color w:val="000000" w:themeColor="text1"/>
        </w:rPr>
        <w:t xml:space="preserve">and </w:t>
      </w:r>
      <w:r w:rsidR="000E77CB" w:rsidRPr="00B0760E">
        <w:rPr>
          <w:rFonts w:ascii="Arial" w:hAnsi="Arial" w:cs="Arial"/>
          <w:color w:val="000000" w:themeColor="text1"/>
        </w:rPr>
        <w:t xml:space="preserve">access to records held by public </w:t>
      </w:r>
      <w:r w:rsidR="00AC717C" w:rsidRPr="00B0760E">
        <w:rPr>
          <w:rFonts w:ascii="Arial" w:hAnsi="Arial" w:cs="Arial"/>
          <w:color w:val="000000" w:themeColor="text1"/>
        </w:rPr>
        <w:t>bodies must be granted.</w:t>
      </w:r>
    </w:p>
    <w:p w14:paraId="1215DCEC" w14:textId="59372F67" w:rsidR="00AF68A8" w:rsidRPr="00B0760E" w:rsidRDefault="002D0A15" w:rsidP="002D0A15">
      <w:pPr>
        <w:pStyle w:val="NormalWeb"/>
        <w:shd w:val="clear" w:color="auto" w:fill="FFFFFF"/>
        <w:spacing w:before="120" w:beforeAutospacing="0" w:after="120" w:afterAutospacing="0" w:line="360" w:lineRule="auto"/>
        <w:ind w:left="426" w:hanging="502"/>
        <w:textAlignment w:val="baseline"/>
        <w:rPr>
          <w:rFonts w:ascii="Helvetica" w:hAnsi="Helvetica"/>
          <w:color w:val="000000" w:themeColor="text1"/>
        </w:rPr>
      </w:pPr>
      <w:r w:rsidRPr="00B0760E">
        <w:rPr>
          <w:rFonts w:ascii="Helvetica" w:hAnsi="Helvetica"/>
          <w:color w:val="000000" w:themeColor="text1"/>
        </w:rPr>
        <w:t>70)</w:t>
      </w:r>
      <w:r w:rsidRPr="00B0760E">
        <w:rPr>
          <w:rFonts w:ascii="Helvetica" w:hAnsi="Helvetica"/>
          <w:color w:val="000000" w:themeColor="text1"/>
        </w:rPr>
        <w:tab/>
      </w:r>
      <w:r w:rsidR="00AF68A8" w:rsidRPr="00B0760E">
        <w:rPr>
          <w:rFonts w:ascii="Arial" w:hAnsi="Arial" w:cs="Arial"/>
          <w:color w:val="000000" w:themeColor="text1"/>
        </w:rPr>
        <w:t xml:space="preserve">As set out above, the </w:t>
      </w:r>
      <w:r w:rsidR="00566C8A">
        <w:rPr>
          <w:rFonts w:ascii="Arial" w:hAnsi="Arial" w:cs="Arial"/>
          <w:color w:val="000000" w:themeColor="text1"/>
        </w:rPr>
        <w:t>Respondent</w:t>
      </w:r>
      <w:r w:rsidR="00AF68A8" w:rsidRPr="00B0760E">
        <w:rPr>
          <w:rFonts w:ascii="Arial" w:hAnsi="Arial" w:cs="Arial"/>
          <w:color w:val="000000" w:themeColor="text1"/>
        </w:rPr>
        <w:t xml:space="preserve"> has failed to </w:t>
      </w:r>
      <w:r w:rsidR="009A581A" w:rsidRPr="00B0760E">
        <w:rPr>
          <w:rFonts w:ascii="Arial" w:hAnsi="Arial" w:cs="Arial"/>
          <w:color w:val="000000" w:themeColor="text1"/>
        </w:rPr>
        <w:t>prove that any of the records</w:t>
      </w:r>
      <w:r w:rsidR="00C7229C" w:rsidRPr="00B0760E">
        <w:rPr>
          <w:rFonts w:ascii="Arial" w:hAnsi="Arial" w:cs="Arial"/>
          <w:color w:val="000000" w:themeColor="text1"/>
        </w:rPr>
        <w:t xml:space="preserve"> are exempted from production in terms of PAIA. </w:t>
      </w:r>
      <w:r w:rsidR="00220642" w:rsidRPr="00B0760E">
        <w:rPr>
          <w:rFonts w:ascii="Arial" w:hAnsi="Arial" w:cs="Arial"/>
          <w:color w:val="000000" w:themeColor="text1"/>
        </w:rPr>
        <w:t>The order</w:t>
      </w:r>
      <w:r w:rsidR="00504F72" w:rsidRPr="00B0760E">
        <w:rPr>
          <w:rFonts w:ascii="Arial" w:hAnsi="Arial" w:cs="Arial"/>
          <w:color w:val="000000" w:themeColor="text1"/>
        </w:rPr>
        <w:t>, in general,</w:t>
      </w:r>
      <w:r w:rsidR="00220642" w:rsidRPr="00B0760E">
        <w:rPr>
          <w:rFonts w:ascii="Arial" w:hAnsi="Arial" w:cs="Arial"/>
          <w:color w:val="000000" w:themeColor="text1"/>
        </w:rPr>
        <w:t xml:space="preserve"> therefore reflects the default position. However, as Section 82 provides </w:t>
      </w:r>
      <w:r w:rsidR="007810D9" w:rsidRPr="00B0760E">
        <w:rPr>
          <w:rFonts w:ascii="Arial" w:hAnsi="Arial" w:cs="Arial"/>
          <w:color w:val="000000" w:themeColor="text1"/>
        </w:rPr>
        <w:t>for flexibility of approach where in the interest of justice</w:t>
      </w:r>
      <w:r w:rsidR="00427488" w:rsidRPr="00B0760E">
        <w:rPr>
          <w:rFonts w:ascii="Arial" w:hAnsi="Arial" w:cs="Arial"/>
          <w:color w:val="000000" w:themeColor="text1"/>
        </w:rPr>
        <w:t xml:space="preserve"> and</w:t>
      </w:r>
      <w:r w:rsidR="000E4DFD">
        <w:rPr>
          <w:rFonts w:ascii="Arial" w:hAnsi="Arial" w:cs="Arial"/>
          <w:color w:val="000000" w:themeColor="text1"/>
        </w:rPr>
        <w:t>,</w:t>
      </w:r>
      <w:r w:rsidR="00427488" w:rsidRPr="00B0760E">
        <w:rPr>
          <w:rFonts w:ascii="Arial" w:hAnsi="Arial" w:cs="Arial"/>
          <w:color w:val="000000" w:themeColor="text1"/>
        </w:rPr>
        <w:t xml:space="preserve"> </w:t>
      </w:r>
      <w:r w:rsidR="0055537C">
        <w:rPr>
          <w:rFonts w:ascii="Arial" w:hAnsi="Arial" w:cs="Arial"/>
          <w:color w:val="000000" w:themeColor="text1"/>
        </w:rPr>
        <w:t xml:space="preserve">as </w:t>
      </w:r>
      <w:r w:rsidR="00427488" w:rsidRPr="00B0760E">
        <w:rPr>
          <w:rFonts w:ascii="Arial" w:hAnsi="Arial" w:cs="Arial"/>
          <w:color w:val="000000" w:themeColor="text1"/>
        </w:rPr>
        <w:t xml:space="preserve">the </w:t>
      </w:r>
      <w:r w:rsidR="00566C8A">
        <w:rPr>
          <w:rFonts w:ascii="Arial" w:hAnsi="Arial" w:cs="Arial"/>
          <w:color w:val="000000" w:themeColor="text1"/>
        </w:rPr>
        <w:t>Court</w:t>
      </w:r>
      <w:r w:rsidR="00427488" w:rsidRPr="00B0760E">
        <w:rPr>
          <w:rFonts w:ascii="Arial" w:hAnsi="Arial" w:cs="Arial"/>
          <w:color w:val="000000" w:themeColor="text1"/>
        </w:rPr>
        <w:t xml:space="preserve"> cannot order</w:t>
      </w:r>
      <w:r w:rsidR="00662E14">
        <w:rPr>
          <w:rFonts w:ascii="Arial" w:hAnsi="Arial" w:cs="Arial"/>
          <w:color w:val="000000" w:themeColor="text1"/>
        </w:rPr>
        <w:t xml:space="preserve"> an impossibility</w:t>
      </w:r>
      <w:r w:rsidR="00A7197A" w:rsidRPr="00B0760E">
        <w:rPr>
          <w:rFonts w:ascii="Arial" w:hAnsi="Arial" w:cs="Arial"/>
          <w:color w:val="000000" w:themeColor="text1"/>
        </w:rPr>
        <w:t>, the order</w:t>
      </w:r>
      <w:r w:rsidR="00504F72" w:rsidRPr="00B0760E">
        <w:rPr>
          <w:rFonts w:ascii="Arial" w:hAnsi="Arial" w:cs="Arial"/>
          <w:color w:val="000000" w:themeColor="text1"/>
        </w:rPr>
        <w:t xml:space="preserve"> provides </w:t>
      </w:r>
      <w:r w:rsidR="00B949B8" w:rsidRPr="00B0760E">
        <w:rPr>
          <w:rFonts w:ascii="Arial" w:hAnsi="Arial" w:cs="Arial"/>
          <w:color w:val="000000" w:themeColor="text1"/>
        </w:rPr>
        <w:t xml:space="preserve">for </w:t>
      </w:r>
      <w:r w:rsidR="00B10AB2">
        <w:rPr>
          <w:rFonts w:ascii="Arial" w:hAnsi="Arial" w:cs="Arial"/>
          <w:color w:val="000000" w:themeColor="text1"/>
        </w:rPr>
        <w:t xml:space="preserve">instances </w:t>
      </w:r>
      <w:r w:rsidR="00B949B8" w:rsidRPr="00B0760E">
        <w:rPr>
          <w:rFonts w:ascii="Arial" w:hAnsi="Arial" w:cs="Arial"/>
          <w:color w:val="000000" w:themeColor="text1"/>
        </w:rPr>
        <w:t>where it is alleged that records do not exist</w:t>
      </w:r>
      <w:r w:rsidR="00E65C51" w:rsidRPr="00B0760E">
        <w:rPr>
          <w:rFonts w:ascii="Arial" w:hAnsi="Arial" w:cs="Arial"/>
          <w:color w:val="000000" w:themeColor="text1"/>
        </w:rPr>
        <w:t xml:space="preserve"> or are not in the possession of the </w:t>
      </w:r>
      <w:r w:rsidR="00566C8A">
        <w:rPr>
          <w:rFonts w:ascii="Arial" w:hAnsi="Arial" w:cs="Arial"/>
          <w:color w:val="000000" w:themeColor="text1"/>
        </w:rPr>
        <w:t>Respondent</w:t>
      </w:r>
      <w:r w:rsidR="00E65C51" w:rsidRPr="00B0760E">
        <w:rPr>
          <w:rFonts w:ascii="Arial" w:hAnsi="Arial" w:cs="Arial"/>
          <w:color w:val="000000" w:themeColor="text1"/>
        </w:rPr>
        <w:t>.</w:t>
      </w:r>
    </w:p>
    <w:p w14:paraId="58468F5A" w14:textId="4DCBD21A" w:rsidR="00615192" w:rsidRPr="00B0760E" w:rsidRDefault="00070E35" w:rsidP="00F92658">
      <w:pPr>
        <w:pStyle w:val="ListParagraph"/>
        <w:tabs>
          <w:tab w:val="right" w:pos="8208"/>
        </w:tabs>
        <w:spacing w:before="120" w:line="360" w:lineRule="auto"/>
        <w:ind w:left="426" w:hanging="502"/>
        <w:contextualSpacing w:val="0"/>
        <w:jc w:val="both"/>
        <w:rPr>
          <w:rFonts w:ascii="Arial" w:hAnsi="Arial" w:cs="Arial"/>
          <w:b/>
          <w:bCs/>
          <w:color w:val="000000" w:themeColor="text1"/>
          <w:sz w:val="24"/>
          <w:szCs w:val="24"/>
        </w:rPr>
      </w:pPr>
      <w:r w:rsidRPr="00B0760E">
        <w:rPr>
          <w:rFonts w:ascii="Arial" w:hAnsi="Arial" w:cs="Arial"/>
          <w:b/>
          <w:bCs/>
          <w:color w:val="000000" w:themeColor="text1"/>
          <w:sz w:val="24"/>
          <w:szCs w:val="24"/>
        </w:rPr>
        <w:t>Costs</w:t>
      </w:r>
    </w:p>
    <w:p w14:paraId="38673EFD" w14:textId="1F068C0A" w:rsidR="00876E1A"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71)</w:t>
      </w:r>
      <w:r w:rsidRPr="00B0760E">
        <w:rPr>
          <w:rFonts w:ascii="Arial" w:hAnsi="Arial" w:cs="Arial"/>
          <w:color w:val="000000" w:themeColor="text1"/>
          <w:sz w:val="24"/>
          <w:szCs w:val="24"/>
        </w:rPr>
        <w:tab/>
      </w:r>
      <w:r w:rsidR="00876E1A" w:rsidRPr="002D0A15">
        <w:rPr>
          <w:rFonts w:ascii="Arial" w:hAnsi="Arial" w:cs="Arial"/>
          <w:color w:val="000000" w:themeColor="text1"/>
          <w:sz w:val="24"/>
          <w:szCs w:val="24"/>
        </w:rPr>
        <w:t xml:space="preserve">From the outset, the </w:t>
      </w:r>
      <w:r w:rsidR="00566C8A" w:rsidRPr="002D0A15">
        <w:rPr>
          <w:rFonts w:ascii="Arial" w:hAnsi="Arial" w:cs="Arial"/>
          <w:color w:val="000000" w:themeColor="text1"/>
          <w:sz w:val="24"/>
          <w:szCs w:val="24"/>
        </w:rPr>
        <w:t>Respondent</w:t>
      </w:r>
      <w:r w:rsidR="00876E1A" w:rsidRPr="002D0A15">
        <w:rPr>
          <w:rFonts w:ascii="Arial" w:hAnsi="Arial" w:cs="Arial"/>
          <w:color w:val="000000" w:themeColor="text1"/>
          <w:sz w:val="24"/>
          <w:szCs w:val="24"/>
        </w:rPr>
        <w:t xml:space="preserve"> opposed this application based on an</w:t>
      </w:r>
      <w:r w:rsidR="00D95C55" w:rsidRPr="002D0A15">
        <w:rPr>
          <w:rFonts w:ascii="Arial" w:hAnsi="Arial" w:cs="Arial"/>
          <w:color w:val="000000" w:themeColor="text1"/>
          <w:sz w:val="24"/>
          <w:szCs w:val="24"/>
        </w:rPr>
        <w:t xml:space="preserve"> erroneous reliance on </w:t>
      </w:r>
      <w:r w:rsidR="003A28AB" w:rsidRPr="002D0A15">
        <w:rPr>
          <w:rFonts w:ascii="Arial" w:hAnsi="Arial" w:cs="Arial"/>
          <w:color w:val="000000" w:themeColor="text1"/>
          <w:sz w:val="24"/>
          <w:szCs w:val="24"/>
        </w:rPr>
        <w:t>PAJA and the principle of legality</w:t>
      </w:r>
      <w:r w:rsidR="00876E1A" w:rsidRPr="002D0A15">
        <w:rPr>
          <w:rFonts w:ascii="Arial" w:hAnsi="Arial" w:cs="Arial"/>
          <w:color w:val="000000" w:themeColor="text1"/>
          <w:sz w:val="24"/>
          <w:szCs w:val="24"/>
        </w:rPr>
        <w:t xml:space="preserve">. The deponent to the answering affidavit, being the deputy information officer, laboured under the misapprehension that PAIA does not provide a mechanism for her decision to be appealed to </w:t>
      </w:r>
      <w:r w:rsidR="00566C8A" w:rsidRPr="002D0A15">
        <w:rPr>
          <w:rFonts w:ascii="Arial" w:hAnsi="Arial" w:cs="Arial"/>
          <w:color w:val="000000" w:themeColor="text1"/>
          <w:sz w:val="24"/>
          <w:szCs w:val="24"/>
        </w:rPr>
        <w:t>Court</w:t>
      </w:r>
      <w:r w:rsidR="00876E1A" w:rsidRPr="002D0A15">
        <w:rPr>
          <w:rFonts w:ascii="Arial" w:hAnsi="Arial" w:cs="Arial"/>
          <w:color w:val="000000" w:themeColor="text1"/>
          <w:sz w:val="24"/>
          <w:szCs w:val="24"/>
        </w:rPr>
        <w:t xml:space="preserve">. Even though it is confounding that the information officer, who presumably should be </w:t>
      </w:r>
      <w:r w:rsidR="00876E1A" w:rsidRPr="002D0A15">
        <w:rPr>
          <w:rFonts w:ascii="Arial" w:hAnsi="Arial" w:cs="Arial"/>
          <w:i/>
          <w:iCs/>
          <w:color w:val="000000" w:themeColor="text1"/>
          <w:sz w:val="24"/>
          <w:szCs w:val="24"/>
        </w:rPr>
        <w:t>au fait</w:t>
      </w:r>
      <w:r w:rsidR="00876E1A" w:rsidRPr="002D0A15">
        <w:rPr>
          <w:rFonts w:ascii="Arial" w:hAnsi="Arial" w:cs="Arial"/>
          <w:color w:val="000000" w:themeColor="text1"/>
          <w:sz w:val="24"/>
          <w:szCs w:val="24"/>
        </w:rPr>
        <w:t xml:space="preserve"> with the provisions of PAIA, was unaware of the provisions of section 87, the opposition at that stage might have been forgivable on the basis of </w:t>
      </w:r>
      <w:r w:rsidR="00876E1A" w:rsidRPr="002D0A15">
        <w:rPr>
          <w:rFonts w:ascii="Arial" w:hAnsi="Arial" w:cs="Arial"/>
          <w:i/>
          <w:iCs/>
          <w:color w:val="000000" w:themeColor="text1"/>
          <w:sz w:val="24"/>
          <w:szCs w:val="24"/>
        </w:rPr>
        <w:t>bona fide</w:t>
      </w:r>
      <w:r w:rsidR="00876E1A" w:rsidRPr="002D0A15">
        <w:rPr>
          <w:rFonts w:ascii="Arial" w:hAnsi="Arial" w:cs="Arial"/>
          <w:color w:val="000000" w:themeColor="text1"/>
          <w:sz w:val="24"/>
          <w:szCs w:val="24"/>
        </w:rPr>
        <w:t xml:space="preserve"> </w:t>
      </w:r>
      <w:r w:rsidR="0037155B" w:rsidRPr="002D0A15">
        <w:rPr>
          <w:rFonts w:ascii="Arial" w:hAnsi="Arial" w:cs="Arial"/>
          <w:color w:val="000000" w:themeColor="text1"/>
          <w:sz w:val="24"/>
          <w:szCs w:val="24"/>
        </w:rPr>
        <w:t>ignorance.</w:t>
      </w:r>
    </w:p>
    <w:p w14:paraId="6BE85224" w14:textId="3C4228C6" w:rsidR="00876E1A"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72)</w:t>
      </w:r>
      <w:r w:rsidRPr="00B0760E">
        <w:rPr>
          <w:rFonts w:ascii="Arial" w:hAnsi="Arial" w:cs="Arial"/>
          <w:color w:val="000000" w:themeColor="text1"/>
          <w:sz w:val="24"/>
          <w:szCs w:val="24"/>
        </w:rPr>
        <w:tab/>
      </w:r>
      <w:r w:rsidR="00876E1A" w:rsidRPr="002D0A15">
        <w:rPr>
          <w:rFonts w:ascii="Arial" w:hAnsi="Arial" w:cs="Arial"/>
          <w:color w:val="000000" w:themeColor="text1"/>
          <w:sz w:val="24"/>
          <w:szCs w:val="24"/>
        </w:rPr>
        <w:t>However, once the replying affidavit</w:t>
      </w:r>
      <w:r w:rsidR="000B61AA" w:rsidRPr="002D0A15">
        <w:rPr>
          <w:rFonts w:ascii="Arial" w:hAnsi="Arial" w:cs="Arial"/>
          <w:color w:val="000000" w:themeColor="text1"/>
          <w:sz w:val="24"/>
          <w:szCs w:val="24"/>
        </w:rPr>
        <w:t>,</w:t>
      </w:r>
      <w:r w:rsidR="00876E1A" w:rsidRPr="002D0A15">
        <w:rPr>
          <w:rFonts w:ascii="Arial" w:hAnsi="Arial" w:cs="Arial"/>
          <w:color w:val="000000" w:themeColor="text1"/>
          <w:sz w:val="24"/>
          <w:szCs w:val="24"/>
        </w:rPr>
        <w:t xml:space="preserve"> indicating </w:t>
      </w:r>
      <w:r w:rsidR="000B61AA" w:rsidRPr="002D0A15">
        <w:rPr>
          <w:rFonts w:ascii="Arial" w:hAnsi="Arial" w:cs="Arial"/>
          <w:color w:val="000000" w:themeColor="text1"/>
          <w:sz w:val="24"/>
          <w:szCs w:val="24"/>
        </w:rPr>
        <w:t>the non applicability of PAJA ito of S11 thereof</w:t>
      </w:r>
      <w:r w:rsidR="004D68BC" w:rsidRPr="002D0A15">
        <w:rPr>
          <w:rFonts w:ascii="Arial" w:hAnsi="Arial" w:cs="Arial"/>
          <w:color w:val="000000" w:themeColor="text1"/>
          <w:sz w:val="24"/>
          <w:szCs w:val="24"/>
        </w:rPr>
        <w:t xml:space="preserve">, </w:t>
      </w:r>
      <w:r w:rsidR="00876E1A" w:rsidRPr="002D0A15">
        <w:rPr>
          <w:rFonts w:ascii="Arial" w:hAnsi="Arial" w:cs="Arial"/>
          <w:color w:val="000000" w:themeColor="text1"/>
          <w:sz w:val="24"/>
          <w:szCs w:val="24"/>
        </w:rPr>
        <w:t>was served</w:t>
      </w:r>
      <w:r w:rsidR="004D68BC" w:rsidRPr="002D0A15">
        <w:rPr>
          <w:rFonts w:ascii="Arial" w:hAnsi="Arial" w:cs="Arial"/>
          <w:color w:val="000000" w:themeColor="text1"/>
          <w:sz w:val="24"/>
          <w:szCs w:val="24"/>
        </w:rPr>
        <w:t>,</w:t>
      </w:r>
      <w:r w:rsidR="00876E1A" w:rsidRPr="002D0A15">
        <w:rPr>
          <w:rFonts w:ascii="Arial" w:hAnsi="Arial" w:cs="Arial"/>
          <w:color w:val="000000" w:themeColor="text1"/>
          <w:sz w:val="24"/>
          <w:szCs w:val="24"/>
        </w:rPr>
        <w:t xml:space="preserve"> in November 2021,</w:t>
      </w:r>
      <w:r w:rsidR="00AD1424" w:rsidRPr="002D0A15">
        <w:rPr>
          <w:rFonts w:ascii="Arial" w:hAnsi="Arial" w:cs="Arial"/>
          <w:color w:val="000000" w:themeColor="text1"/>
          <w:sz w:val="24"/>
          <w:szCs w:val="24"/>
        </w:rPr>
        <w:t xml:space="preserve"> reliance on such ignorance could no longer justify the opposition. Instead of reassessing its position </w:t>
      </w:r>
      <w:r w:rsidR="00AE1AA5" w:rsidRPr="002D0A15">
        <w:rPr>
          <w:rFonts w:ascii="Arial" w:hAnsi="Arial" w:cs="Arial"/>
          <w:color w:val="000000" w:themeColor="text1"/>
          <w:sz w:val="24"/>
          <w:szCs w:val="24"/>
        </w:rPr>
        <w:t>and filing papers to amend or supplement its arguments</w:t>
      </w:r>
      <w:r w:rsidR="001729B4" w:rsidRPr="002D0A15">
        <w:rPr>
          <w:rFonts w:ascii="Arial" w:hAnsi="Arial" w:cs="Arial"/>
          <w:color w:val="000000" w:themeColor="text1"/>
          <w:sz w:val="24"/>
          <w:szCs w:val="24"/>
        </w:rPr>
        <w:t>, it proceeded headstrong with the position as stated in the answering affidavit</w:t>
      </w:r>
      <w:r w:rsidR="003B2406" w:rsidRPr="002D0A15">
        <w:rPr>
          <w:rFonts w:ascii="Arial" w:hAnsi="Arial" w:cs="Arial"/>
          <w:color w:val="000000" w:themeColor="text1"/>
          <w:sz w:val="24"/>
          <w:szCs w:val="24"/>
        </w:rPr>
        <w:t xml:space="preserve">. </w:t>
      </w:r>
      <w:r w:rsidR="00876E1A" w:rsidRPr="002D0A15">
        <w:rPr>
          <w:rFonts w:ascii="Arial" w:hAnsi="Arial" w:cs="Arial"/>
          <w:color w:val="000000" w:themeColor="text1"/>
          <w:sz w:val="24"/>
          <w:szCs w:val="24"/>
        </w:rPr>
        <w:t xml:space="preserve"> </w:t>
      </w:r>
      <w:r w:rsidR="003B2406" w:rsidRPr="002D0A15">
        <w:rPr>
          <w:rFonts w:ascii="Arial" w:hAnsi="Arial" w:cs="Arial"/>
          <w:color w:val="000000" w:themeColor="text1"/>
          <w:sz w:val="24"/>
          <w:szCs w:val="24"/>
        </w:rPr>
        <w:t>I</w:t>
      </w:r>
      <w:r w:rsidR="00876E1A" w:rsidRPr="002D0A15">
        <w:rPr>
          <w:rFonts w:ascii="Arial" w:hAnsi="Arial" w:cs="Arial"/>
          <w:color w:val="000000" w:themeColor="text1"/>
          <w:sz w:val="24"/>
          <w:szCs w:val="24"/>
        </w:rPr>
        <w:t xml:space="preserve">t was only on the date of trial, that counsel conceded that </w:t>
      </w:r>
      <w:r w:rsidR="007C142F" w:rsidRPr="002D0A15">
        <w:rPr>
          <w:rFonts w:ascii="Arial" w:hAnsi="Arial" w:cs="Arial"/>
          <w:color w:val="000000" w:themeColor="text1"/>
          <w:sz w:val="24"/>
          <w:szCs w:val="24"/>
        </w:rPr>
        <w:t>their</w:t>
      </w:r>
      <w:r w:rsidR="00876E1A" w:rsidRPr="002D0A15">
        <w:rPr>
          <w:rFonts w:ascii="Arial" w:hAnsi="Arial" w:cs="Arial"/>
          <w:color w:val="000000" w:themeColor="text1"/>
          <w:sz w:val="24"/>
          <w:szCs w:val="24"/>
        </w:rPr>
        <w:t xml:space="preserve"> objection is simply unsustainable. </w:t>
      </w:r>
      <w:r w:rsidR="003B2406" w:rsidRPr="002D0A15">
        <w:rPr>
          <w:rFonts w:ascii="Arial" w:hAnsi="Arial" w:cs="Arial"/>
          <w:color w:val="000000" w:themeColor="text1"/>
          <w:sz w:val="24"/>
          <w:szCs w:val="24"/>
        </w:rPr>
        <w:t>Despite this concession,</w:t>
      </w:r>
      <w:r w:rsidR="00876E1A" w:rsidRPr="002D0A15">
        <w:rPr>
          <w:rFonts w:ascii="Arial" w:hAnsi="Arial" w:cs="Arial"/>
          <w:color w:val="000000" w:themeColor="text1"/>
          <w:sz w:val="24"/>
          <w:szCs w:val="24"/>
        </w:rPr>
        <w:t xml:space="preserve"> as evidenced above</w:t>
      </w:r>
      <w:r w:rsidR="00D067D2" w:rsidRPr="002D0A15">
        <w:rPr>
          <w:rFonts w:ascii="Arial" w:hAnsi="Arial" w:cs="Arial"/>
          <w:color w:val="000000" w:themeColor="text1"/>
          <w:sz w:val="24"/>
          <w:szCs w:val="24"/>
        </w:rPr>
        <w:t>,</w:t>
      </w:r>
      <w:r w:rsidR="00876E1A" w:rsidRPr="002D0A15">
        <w:rPr>
          <w:rFonts w:ascii="Arial" w:hAnsi="Arial" w:cs="Arial"/>
          <w:color w:val="000000" w:themeColor="text1"/>
          <w:sz w:val="24"/>
          <w:szCs w:val="24"/>
        </w:rPr>
        <w:t xml:space="preserve"> the argument presented to </w:t>
      </w:r>
      <w:r w:rsidR="00566C8A" w:rsidRPr="002D0A15">
        <w:rPr>
          <w:rFonts w:ascii="Arial" w:hAnsi="Arial" w:cs="Arial"/>
          <w:color w:val="000000" w:themeColor="text1"/>
          <w:sz w:val="24"/>
          <w:szCs w:val="24"/>
        </w:rPr>
        <w:t>Court</w:t>
      </w:r>
      <w:r w:rsidR="00876E1A" w:rsidRPr="002D0A15">
        <w:rPr>
          <w:rFonts w:ascii="Arial" w:hAnsi="Arial" w:cs="Arial"/>
          <w:color w:val="000000" w:themeColor="text1"/>
          <w:sz w:val="24"/>
          <w:szCs w:val="24"/>
        </w:rPr>
        <w:t xml:space="preserve"> was still permeated with principles that resort under PAJA or legality reviews</w:t>
      </w:r>
      <w:r w:rsidR="00245197" w:rsidRPr="002D0A15">
        <w:rPr>
          <w:rFonts w:ascii="Arial" w:hAnsi="Arial" w:cs="Arial"/>
          <w:color w:val="000000" w:themeColor="text1"/>
          <w:sz w:val="24"/>
          <w:szCs w:val="24"/>
        </w:rPr>
        <w:t xml:space="preserve"> and the Respondent persisted with </w:t>
      </w:r>
      <w:r w:rsidR="00A76EDB" w:rsidRPr="002D0A15">
        <w:rPr>
          <w:rFonts w:ascii="Arial" w:hAnsi="Arial" w:cs="Arial"/>
          <w:color w:val="000000" w:themeColor="text1"/>
          <w:sz w:val="24"/>
          <w:szCs w:val="24"/>
        </w:rPr>
        <w:t xml:space="preserve">placing </w:t>
      </w:r>
      <w:r w:rsidR="00BC1725" w:rsidRPr="002D0A15">
        <w:rPr>
          <w:rFonts w:ascii="Arial" w:hAnsi="Arial" w:cs="Arial"/>
          <w:color w:val="000000" w:themeColor="text1"/>
          <w:sz w:val="24"/>
          <w:szCs w:val="24"/>
        </w:rPr>
        <w:t xml:space="preserve">the </w:t>
      </w:r>
      <w:r w:rsidR="00A76EDB" w:rsidRPr="002D0A15">
        <w:rPr>
          <w:rFonts w:ascii="Arial" w:hAnsi="Arial" w:cs="Arial"/>
          <w:color w:val="000000" w:themeColor="text1"/>
          <w:sz w:val="24"/>
          <w:szCs w:val="24"/>
        </w:rPr>
        <w:t>burden on the Applicant</w:t>
      </w:r>
      <w:r w:rsidR="00BC1725" w:rsidRPr="002D0A15">
        <w:rPr>
          <w:rFonts w:ascii="Arial" w:hAnsi="Arial" w:cs="Arial"/>
          <w:color w:val="000000" w:themeColor="text1"/>
          <w:sz w:val="24"/>
          <w:szCs w:val="24"/>
        </w:rPr>
        <w:t xml:space="preserve"> to prove unlawfulness</w:t>
      </w:r>
      <w:r w:rsidR="002F05CA" w:rsidRPr="002D0A15">
        <w:rPr>
          <w:rFonts w:ascii="Arial" w:hAnsi="Arial" w:cs="Arial"/>
          <w:color w:val="000000" w:themeColor="text1"/>
          <w:sz w:val="24"/>
          <w:szCs w:val="24"/>
        </w:rPr>
        <w:t xml:space="preserve">. It </w:t>
      </w:r>
      <w:r w:rsidR="00BC6018" w:rsidRPr="002D0A15">
        <w:rPr>
          <w:rFonts w:ascii="Arial" w:hAnsi="Arial" w:cs="Arial"/>
          <w:color w:val="000000" w:themeColor="text1"/>
          <w:sz w:val="24"/>
          <w:szCs w:val="24"/>
        </w:rPr>
        <w:t xml:space="preserve">also </w:t>
      </w:r>
      <w:r w:rsidR="002F05CA" w:rsidRPr="002D0A15">
        <w:rPr>
          <w:rFonts w:ascii="Arial" w:hAnsi="Arial" w:cs="Arial"/>
          <w:color w:val="000000" w:themeColor="text1"/>
          <w:sz w:val="24"/>
          <w:szCs w:val="24"/>
        </w:rPr>
        <w:t xml:space="preserve">sought to limit the powers of this Court by referencing the need for </w:t>
      </w:r>
      <w:r w:rsidR="0074073A" w:rsidRPr="002D0A15">
        <w:rPr>
          <w:rFonts w:ascii="Arial" w:hAnsi="Arial" w:cs="Arial"/>
          <w:color w:val="000000" w:themeColor="text1"/>
          <w:sz w:val="24"/>
          <w:szCs w:val="24"/>
        </w:rPr>
        <w:t>“</w:t>
      </w:r>
      <w:r w:rsidR="002F05CA" w:rsidRPr="002D0A15">
        <w:rPr>
          <w:rFonts w:ascii="Arial" w:hAnsi="Arial" w:cs="Arial"/>
          <w:color w:val="000000" w:themeColor="text1"/>
          <w:sz w:val="24"/>
          <w:szCs w:val="24"/>
        </w:rPr>
        <w:t>special circumstances</w:t>
      </w:r>
      <w:r w:rsidR="0074073A" w:rsidRPr="002D0A15">
        <w:rPr>
          <w:rFonts w:ascii="Arial" w:hAnsi="Arial" w:cs="Arial"/>
          <w:color w:val="000000" w:themeColor="text1"/>
          <w:sz w:val="24"/>
          <w:szCs w:val="24"/>
        </w:rPr>
        <w:t>”</w:t>
      </w:r>
      <w:r w:rsidR="002F05CA" w:rsidRPr="002D0A15">
        <w:rPr>
          <w:rFonts w:ascii="Arial" w:hAnsi="Arial" w:cs="Arial"/>
          <w:color w:val="000000" w:themeColor="text1"/>
          <w:sz w:val="24"/>
          <w:szCs w:val="24"/>
        </w:rPr>
        <w:t xml:space="preserve"> to be proven before </w:t>
      </w:r>
      <w:r w:rsidR="00644965" w:rsidRPr="002D0A15">
        <w:rPr>
          <w:rFonts w:ascii="Arial" w:hAnsi="Arial" w:cs="Arial"/>
          <w:color w:val="000000" w:themeColor="text1"/>
          <w:sz w:val="24"/>
          <w:szCs w:val="24"/>
        </w:rPr>
        <w:t xml:space="preserve">the Court could </w:t>
      </w:r>
      <w:r w:rsidR="0074073A" w:rsidRPr="002D0A15">
        <w:rPr>
          <w:rFonts w:ascii="Arial" w:hAnsi="Arial" w:cs="Arial"/>
          <w:color w:val="000000" w:themeColor="text1"/>
          <w:sz w:val="24"/>
          <w:szCs w:val="24"/>
        </w:rPr>
        <w:t>“</w:t>
      </w:r>
      <w:r w:rsidR="00644965" w:rsidRPr="002D0A15">
        <w:rPr>
          <w:rFonts w:ascii="Arial" w:hAnsi="Arial" w:cs="Arial"/>
          <w:color w:val="000000" w:themeColor="text1"/>
          <w:sz w:val="24"/>
          <w:szCs w:val="24"/>
        </w:rPr>
        <w:t>substitute</w:t>
      </w:r>
      <w:r w:rsidR="0074073A" w:rsidRPr="002D0A15">
        <w:rPr>
          <w:rFonts w:ascii="Arial" w:hAnsi="Arial" w:cs="Arial"/>
          <w:color w:val="000000" w:themeColor="text1"/>
          <w:sz w:val="24"/>
          <w:szCs w:val="24"/>
        </w:rPr>
        <w:t>”</w:t>
      </w:r>
      <w:r w:rsidR="00644965" w:rsidRPr="002D0A15">
        <w:rPr>
          <w:rFonts w:ascii="Arial" w:hAnsi="Arial" w:cs="Arial"/>
          <w:color w:val="000000" w:themeColor="text1"/>
          <w:sz w:val="24"/>
          <w:szCs w:val="24"/>
        </w:rPr>
        <w:t xml:space="preserve"> its decision for that of the information officer</w:t>
      </w:r>
      <w:r w:rsidR="00C15855" w:rsidRPr="002D0A15">
        <w:rPr>
          <w:rFonts w:ascii="Arial" w:hAnsi="Arial" w:cs="Arial"/>
          <w:color w:val="000000" w:themeColor="text1"/>
          <w:sz w:val="24"/>
          <w:szCs w:val="24"/>
        </w:rPr>
        <w:t xml:space="preserve">. </w:t>
      </w:r>
    </w:p>
    <w:p w14:paraId="30F69503" w14:textId="313E9B24" w:rsidR="00FD3F15"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73)</w:t>
      </w:r>
      <w:r w:rsidRPr="00B0760E">
        <w:rPr>
          <w:rFonts w:ascii="Arial" w:hAnsi="Arial" w:cs="Arial"/>
          <w:color w:val="000000" w:themeColor="text1"/>
          <w:sz w:val="24"/>
          <w:szCs w:val="24"/>
        </w:rPr>
        <w:tab/>
      </w:r>
      <w:r w:rsidR="00876E1A"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876E1A" w:rsidRPr="002D0A15">
        <w:rPr>
          <w:rFonts w:ascii="Arial" w:hAnsi="Arial" w:cs="Arial"/>
          <w:color w:val="000000" w:themeColor="text1"/>
          <w:sz w:val="24"/>
          <w:szCs w:val="24"/>
        </w:rPr>
        <w:t xml:space="preserve"> made no attempt to comply </w:t>
      </w:r>
      <w:r w:rsidR="007C142F" w:rsidRPr="002D0A15">
        <w:rPr>
          <w:rFonts w:ascii="Arial" w:hAnsi="Arial" w:cs="Arial"/>
          <w:color w:val="000000" w:themeColor="text1"/>
          <w:sz w:val="24"/>
          <w:szCs w:val="24"/>
        </w:rPr>
        <w:t>its</w:t>
      </w:r>
      <w:r w:rsidR="00876E1A" w:rsidRPr="002D0A15">
        <w:rPr>
          <w:rFonts w:ascii="Arial" w:hAnsi="Arial" w:cs="Arial"/>
          <w:color w:val="000000" w:themeColor="text1"/>
          <w:sz w:val="24"/>
          <w:szCs w:val="24"/>
        </w:rPr>
        <w:t xml:space="preserve"> obligations in terms of PAIA and relied on b</w:t>
      </w:r>
      <w:r w:rsidR="00791B39" w:rsidRPr="002D0A15">
        <w:rPr>
          <w:rFonts w:ascii="Arial" w:hAnsi="Arial" w:cs="Arial"/>
          <w:color w:val="000000" w:themeColor="text1"/>
          <w:sz w:val="24"/>
          <w:szCs w:val="24"/>
        </w:rPr>
        <w:t>a</w:t>
      </w:r>
      <w:r w:rsidR="00876E1A" w:rsidRPr="002D0A15">
        <w:rPr>
          <w:rFonts w:ascii="Arial" w:hAnsi="Arial" w:cs="Arial"/>
          <w:color w:val="000000" w:themeColor="text1"/>
          <w:sz w:val="24"/>
          <w:szCs w:val="24"/>
        </w:rPr>
        <w:t>ld generalised references to the exemptions</w:t>
      </w:r>
      <w:r w:rsidR="00245197" w:rsidRPr="002D0A15">
        <w:rPr>
          <w:rFonts w:ascii="Arial" w:hAnsi="Arial" w:cs="Arial"/>
          <w:color w:val="000000" w:themeColor="text1"/>
          <w:sz w:val="24"/>
          <w:szCs w:val="24"/>
        </w:rPr>
        <w:t>,</w:t>
      </w:r>
      <w:r w:rsidR="002F3F8F" w:rsidRPr="002D0A15">
        <w:rPr>
          <w:rFonts w:ascii="Arial" w:hAnsi="Arial" w:cs="Arial"/>
          <w:color w:val="000000" w:themeColor="text1"/>
          <w:sz w:val="24"/>
          <w:szCs w:val="24"/>
        </w:rPr>
        <w:t xml:space="preserve"> without laying a fundamental basis for the reliance thereon</w:t>
      </w:r>
      <w:r w:rsidR="00876E1A" w:rsidRPr="002D0A15">
        <w:rPr>
          <w:rFonts w:ascii="Arial" w:hAnsi="Arial" w:cs="Arial"/>
          <w:color w:val="000000" w:themeColor="text1"/>
          <w:sz w:val="24"/>
          <w:szCs w:val="24"/>
        </w:rPr>
        <w:t>. In the instance of the weather reports</w:t>
      </w:r>
      <w:r w:rsidR="008118D3" w:rsidRPr="002D0A15">
        <w:rPr>
          <w:rFonts w:ascii="Arial" w:hAnsi="Arial" w:cs="Arial"/>
          <w:color w:val="000000" w:themeColor="text1"/>
          <w:sz w:val="24"/>
          <w:szCs w:val="24"/>
        </w:rPr>
        <w:t xml:space="preserve">, </w:t>
      </w:r>
      <w:r w:rsidR="00876E1A" w:rsidRPr="002D0A15">
        <w:rPr>
          <w:rFonts w:ascii="Arial" w:hAnsi="Arial" w:cs="Arial"/>
          <w:color w:val="000000" w:themeColor="text1"/>
          <w:sz w:val="24"/>
          <w:szCs w:val="24"/>
        </w:rPr>
        <w:t xml:space="preserve">the exemption relied upon was </w:t>
      </w:r>
      <w:r w:rsidR="00245399" w:rsidRPr="002D0A15">
        <w:rPr>
          <w:rFonts w:ascii="Arial" w:hAnsi="Arial" w:cs="Arial"/>
          <w:color w:val="000000" w:themeColor="text1"/>
          <w:sz w:val="24"/>
          <w:szCs w:val="24"/>
        </w:rPr>
        <w:t>nonsensical.</w:t>
      </w:r>
    </w:p>
    <w:p w14:paraId="2F26BEE9" w14:textId="325967E8" w:rsidR="00E8097E"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74)</w:t>
      </w:r>
      <w:r w:rsidRPr="00B0760E">
        <w:rPr>
          <w:rFonts w:ascii="Arial" w:hAnsi="Arial" w:cs="Arial"/>
          <w:color w:val="000000" w:themeColor="text1"/>
          <w:sz w:val="24"/>
          <w:szCs w:val="24"/>
        </w:rPr>
        <w:tab/>
      </w:r>
      <w:r w:rsidR="008118D3" w:rsidRPr="002D0A15">
        <w:rPr>
          <w:rFonts w:ascii="Arial" w:hAnsi="Arial" w:cs="Arial"/>
          <w:color w:val="000000" w:themeColor="text1"/>
          <w:sz w:val="24"/>
          <w:szCs w:val="24"/>
        </w:rPr>
        <w:t xml:space="preserve">I echo the sentiments expressed by </w:t>
      </w:r>
      <w:r w:rsidR="00E8097E" w:rsidRPr="002D0A15">
        <w:rPr>
          <w:rFonts w:ascii="Arial" w:hAnsi="Arial" w:cs="Arial"/>
          <w:color w:val="000000" w:themeColor="text1"/>
          <w:sz w:val="24"/>
          <w:szCs w:val="24"/>
        </w:rPr>
        <w:t>Southwood J</w:t>
      </w:r>
      <w:r w:rsidR="00597F20" w:rsidRPr="002D0A15">
        <w:rPr>
          <w:rFonts w:ascii="Arial" w:hAnsi="Arial" w:cs="Arial"/>
          <w:color w:val="000000" w:themeColor="text1"/>
          <w:sz w:val="24"/>
          <w:szCs w:val="24"/>
        </w:rPr>
        <w:t>, in awarding costs on the scale as between attorney and own client</w:t>
      </w:r>
      <w:r w:rsidR="009C67F0" w:rsidRPr="002D0A15">
        <w:rPr>
          <w:rFonts w:ascii="Arial" w:hAnsi="Arial" w:cs="Arial"/>
          <w:color w:val="000000" w:themeColor="text1"/>
          <w:sz w:val="24"/>
          <w:szCs w:val="24"/>
        </w:rPr>
        <w:t>,</w:t>
      </w:r>
      <w:r w:rsidR="00E8097E" w:rsidRPr="002D0A15">
        <w:rPr>
          <w:rFonts w:ascii="Arial" w:hAnsi="Arial" w:cs="Arial"/>
          <w:color w:val="000000" w:themeColor="text1"/>
          <w:sz w:val="24"/>
          <w:szCs w:val="24"/>
        </w:rPr>
        <w:t xml:space="preserve"> in </w:t>
      </w:r>
      <w:r w:rsidR="00E8097E" w:rsidRPr="002D0A15">
        <w:rPr>
          <w:rFonts w:ascii="Arial" w:hAnsi="Arial" w:cs="Arial"/>
          <w:i/>
          <w:iCs/>
          <w:color w:val="000000" w:themeColor="text1"/>
          <w:sz w:val="24"/>
          <w:szCs w:val="24"/>
        </w:rPr>
        <w:t>Treatment Actio</w:t>
      </w:r>
      <w:r w:rsidR="007142F2" w:rsidRPr="002D0A15">
        <w:rPr>
          <w:rFonts w:ascii="Arial" w:hAnsi="Arial" w:cs="Arial"/>
          <w:i/>
          <w:iCs/>
          <w:color w:val="000000" w:themeColor="text1"/>
          <w:sz w:val="24"/>
          <w:szCs w:val="24"/>
        </w:rPr>
        <w:t>n</w:t>
      </w:r>
      <w:r w:rsidR="009C67F0" w:rsidRPr="002D0A15">
        <w:rPr>
          <w:rFonts w:ascii="Arial" w:hAnsi="Arial" w:cs="Arial"/>
          <w:i/>
          <w:iCs/>
          <w:color w:val="000000" w:themeColor="text1"/>
          <w:sz w:val="24"/>
          <w:szCs w:val="24"/>
        </w:rPr>
        <w:t xml:space="preserve"> Campaig</w:t>
      </w:r>
      <w:r w:rsidR="00E8097E" w:rsidRPr="002D0A15">
        <w:rPr>
          <w:rFonts w:ascii="Arial" w:hAnsi="Arial" w:cs="Arial"/>
          <w:i/>
          <w:iCs/>
          <w:color w:val="000000" w:themeColor="text1"/>
          <w:sz w:val="24"/>
          <w:szCs w:val="24"/>
        </w:rPr>
        <w:t>n</w:t>
      </w:r>
      <w:r w:rsidR="00E8097E" w:rsidRPr="002D0A15">
        <w:rPr>
          <w:rFonts w:ascii="Arial" w:hAnsi="Arial" w:cs="Arial"/>
          <w:color w:val="000000" w:themeColor="text1"/>
          <w:sz w:val="24"/>
          <w:szCs w:val="24"/>
        </w:rPr>
        <w:t xml:space="preserve">: </w:t>
      </w:r>
    </w:p>
    <w:p w14:paraId="7C76B055" w14:textId="74408012" w:rsidR="00E8097E" w:rsidRPr="00B0760E" w:rsidRDefault="007E101C" w:rsidP="00182E70">
      <w:pPr>
        <w:pStyle w:val="ListParagraph"/>
        <w:tabs>
          <w:tab w:val="right" w:pos="8208"/>
        </w:tabs>
        <w:spacing w:before="120" w:line="360" w:lineRule="auto"/>
        <w:ind w:left="426" w:hanging="502"/>
        <w:contextualSpacing w:val="0"/>
        <w:rPr>
          <w:rFonts w:ascii="Arial" w:hAnsi="Arial" w:cs="Arial"/>
          <w:i/>
          <w:iCs/>
          <w:color w:val="000000" w:themeColor="text1"/>
          <w:sz w:val="24"/>
          <w:szCs w:val="24"/>
        </w:rPr>
      </w:pPr>
      <w:r w:rsidRPr="00B0760E">
        <w:rPr>
          <w:rFonts w:ascii="Arial" w:hAnsi="Arial" w:cs="Arial"/>
          <w:i/>
          <w:iCs/>
          <w:color w:val="000000" w:themeColor="text1"/>
          <w:sz w:val="24"/>
          <w:szCs w:val="24"/>
        </w:rPr>
        <w:tab/>
      </w:r>
      <w:r w:rsidR="00E8097E" w:rsidRPr="00B0760E">
        <w:rPr>
          <w:rFonts w:ascii="Arial" w:hAnsi="Arial" w:cs="Arial"/>
          <w:i/>
          <w:iCs/>
          <w:color w:val="000000" w:themeColor="text1"/>
          <w:sz w:val="24"/>
          <w:szCs w:val="24"/>
        </w:rPr>
        <w:t xml:space="preserve">“It is disturbing that the </w:t>
      </w:r>
      <w:r w:rsidR="00E8097E" w:rsidRPr="00B0760E">
        <w:rPr>
          <w:rFonts w:ascii="Arial" w:hAnsi="Arial" w:cs="Arial"/>
          <w:i/>
          <w:iCs/>
          <w:color w:val="000000" w:themeColor="text1"/>
          <w:sz w:val="24"/>
          <w:szCs w:val="24"/>
        </w:rPr>
        <w:tab/>
        <w:t xml:space="preserve">first </w:t>
      </w:r>
      <w:r w:rsidR="00566C8A">
        <w:rPr>
          <w:rFonts w:ascii="Arial" w:hAnsi="Arial" w:cs="Arial"/>
          <w:i/>
          <w:iCs/>
          <w:color w:val="000000" w:themeColor="text1"/>
          <w:sz w:val="24"/>
          <w:szCs w:val="24"/>
        </w:rPr>
        <w:t>Respondent</w:t>
      </w:r>
      <w:r w:rsidR="00E8097E" w:rsidRPr="00B0760E">
        <w:rPr>
          <w:rFonts w:ascii="Arial" w:hAnsi="Arial" w:cs="Arial"/>
          <w:i/>
          <w:iCs/>
          <w:color w:val="000000" w:themeColor="text1"/>
          <w:sz w:val="24"/>
          <w:szCs w:val="24"/>
        </w:rPr>
        <w:t xml:space="preserve"> has relied on technical points which have no merit and </w:t>
      </w:r>
      <w:r w:rsidR="00E8097E" w:rsidRPr="00B0760E">
        <w:rPr>
          <w:rFonts w:ascii="Arial" w:hAnsi="Arial" w:cs="Arial"/>
          <w:i/>
          <w:iCs/>
          <w:color w:val="000000" w:themeColor="text1"/>
          <w:sz w:val="24"/>
          <w:szCs w:val="24"/>
        </w:rPr>
        <w:tab/>
        <w:t xml:space="preserve">instead of complying with its </w:t>
      </w:r>
      <w:r w:rsidR="0090753B">
        <w:rPr>
          <w:rFonts w:ascii="Arial" w:hAnsi="Arial" w:cs="Arial"/>
          <w:i/>
          <w:iCs/>
          <w:color w:val="000000" w:themeColor="text1"/>
          <w:sz w:val="24"/>
          <w:szCs w:val="24"/>
        </w:rPr>
        <w:t>Constitution</w:t>
      </w:r>
      <w:r w:rsidR="00E8097E" w:rsidRPr="00B0760E">
        <w:rPr>
          <w:rFonts w:ascii="Arial" w:hAnsi="Arial" w:cs="Arial"/>
          <w:i/>
          <w:iCs/>
          <w:color w:val="000000" w:themeColor="text1"/>
          <w:sz w:val="24"/>
          <w:szCs w:val="24"/>
        </w:rPr>
        <w:t xml:space="preserve">al obligations has waged a war </w:t>
      </w:r>
      <w:r w:rsidR="00E8097E" w:rsidRPr="00B0760E">
        <w:rPr>
          <w:rFonts w:ascii="Arial" w:hAnsi="Arial" w:cs="Arial"/>
          <w:i/>
          <w:iCs/>
          <w:color w:val="000000" w:themeColor="text1"/>
          <w:sz w:val="24"/>
          <w:szCs w:val="24"/>
        </w:rPr>
        <w:tab/>
        <w:t xml:space="preserve">of attrition in the </w:t>
      </w:r>
      <w:r w:rsidR="00566C8A">
        <w:rPr>
          <w:rFonts w:ascii="Arial" w:hAnsi="Arial" w:cs="Arial"/>
          <w:i/>
          <w:iCs/>
          <w:color w:val="000000" w:themeColor="text1"/>
          <w:sz w:val="24"/>
          <w:szCs w:val="24"/>
        </w:rPr>
        <w:t>Court</w:t>
      </w:r>
      <w:r w:rsidR="00E8097E" w:rsidRPr="00B0760E">
        <w:rPr>
          <w:rFonts w:ascii="Arial" w:hAnsi="Arial" w:cs="Arial"/>
          <w:i/>
          <w:iCs/>
          <w:color w:val="000000" w:themeColor="text1"/>
          <w:sz w:val="24"/>
          <w:szCs w:val="24"/>
        </w:rPr>
        <w:t xml:space="preserve">.  This is not what is expected of a government </w:t>
      </w:r>
      <w:r w:rsidR="00E8097E" w:rsidRPr="00B0760E">
        <w:rPr>
          <w:rFonts w:ascii="Arial" w:hAnsi="Arial" w:cs="Arial"/>
          <w:i/>
          <w:iCs/>
          <w:color w:val="000000" w:themeColor="text1"/>
          <w:sz w:val="24"/>
          <w:szCs w:val="24"/>
        </w:rPr>
        <w:tab/>
        <w:t>minister</w:t>
      </w:r>
      <w:r w:rsidR="00182E70">
        <w:rPr>
          <w:rFonts w:ascii="Arial" w:hAnsi="Arial" w:cs="Arial"/>
          <w:i/>
          <w:iCs/>
          <w:color w:val="000000" w:themeColor="text1"/>
          <w:sz w:val="24"/>
          <w:szCs w:val="24"/>
        </w:rPr>
        <w:t xml:space="preserve"> </w:t>
      </w:r>
      <w:r w:rsidR="00E8097E" w:rsidRPr="00B0760E">
        <w:rPr>
          <w:rFonts w:ascii="Arial" w:hAnsi="Arial" w:cs="Arial"/>
          <w:i/>
          <w:iCs/>
          <w:color w:val="000000" w:themeColor="text1"/>
          <w:sz w:val="24"/>
          <w:szCs w:val="24"/>
        </w:rPr>
        <w:t>and a</w:t>
      </w:r>
      <w:r w:rsidR="00182E70">
        <w:rPr>
          <w:rFonts w:ascii="Arial" w:hAnsi="Arial" w:cs="Arial"/>
          <w:i/>
          <w:iCs/>
          <w:color w:val="000000" w:themeColor="text1"/>
          <w:sz w:val="24"/>
          <w:szCs w:val="24"/>
        </w:rPr>
        <w:t xml:space="preserve"> </w:t>
      </w:r>
      <w:r w:rsidR="00245167">
        <w:rPr>
          <w:rFonts w:ascii="Arial" w:hAnsi="Arial" w:cs="Arial"/>
          <w:i/>
          <w:iCs/>
          <w:color w:val="000000" w:themeColor="text1"/>
          <w:sz w:val="24"/>
          <w:szCs w:val="24"/>
        </w:rPr>
        <w:t>State</w:t>
      </w:r>
      <w:r w:rsidR="00E8097E" w:rsidRPr="00B0760E">
        <w:rPr>
          <w:rFonts w:ascii="Arial" w:hAnsi="Arial" w:cs="Arial"/>
          <w:i/>
          <w:iCs/>
          <w:color w:val="000000" w:themeColor="text1"/>
          <w:sz w:val="24"/>
          <w:szCs w:val="24"/>
        </w:rPr>
        <w:t xml:space="preserve"> department.  In my view their conduct is not only </w:t>
      </w:r>
      <w:r w:rsidR="00E8097E" w:rsidRPr="00B0760E">
        <w:rPr>
          <w:rFonts w:ascii="Arial" w:hAnsi="Arial" w:cs="Arial"/>
          <w:i/>
          <w:iCs/>
          <w:color w:val="000000" w:themeColor="text1"/>
          <w:sz w:val="24"/>
          <w:szCs w:val="24"/>
        </w:rPr>
        <w:tab/>
        <w:t xml:space="preserve">inconsistent with the </w:t>
      </w:r>
      <w:r w:rsidR="0090753B">
        <w:rPr>
          <w:rFonts w:ascii="Arial" w:hAnsi="Arial" w:cs="Arial"/>
          <w:i/>
          <w:iCs/>
          <w:color w:val="000000" w:themeColor="text1"/>
          <w:sz w:val="24"/>
          <w:szCs w:val="24"/>
        </w:rPr>
        <w:t>Constitution</w:t>
      </w:r>
      <w:r w:rsidR="00E8097E" w:rsidRPr="00B0760E">
        <w:rPr>
          <w:rFonts w:ascii="Arial" w:hAnsi="Arial" w:cs="Arial"/>
          <w:i/>
          <w:iCs/>
          <w:color w:val="000000" w:themeColor="text1"/>
          <w:sz w:val="24"/>
          <w:szCs w:val="24"/>
        </w:rPr>
        <w:t xml:space="preserve"> and PAIA but is reprehensible.”</w:t>
      </w:r>
    </w:p>
    <w:p w14:paraId="614BFEC8" w14:textId="50365FD3" w:rsidR="00687C13"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75)</w:t>
      </w:r>
      <w:r w:rsidRPr="00B0760E">
        <w:rPr>
          <w:rFonts w:ascii="Arial" w:hAnsi="Arial" w:cs="Arial"/>
          <w:color w:val="000000" w:themeColor="text1"/>
          <w:sz w:val="24"/>
          <w:szCs w:val="24"/>
        </w:rPr>
        <w:tab/>
      </w:r>
      <w:r w:rsidR="00622CE5" w:rsidRPr="002D0A15">
        <w:rPr>
          <w:rFonts w:ascii="Arial" w:hAnsi="Arial" w:cs="Arial"/>
          <w:color w:val="000000" w:themeColor="text1"/>
          <w:sz w:val="24"/>
          <w:szCs w:val="24"/>
        </w:rPr>
        <w:t>However,</w:t>
      </w:r>
      <w:r w:rsidR="00A77D1A" w:rsidRPr="002D0A15">
        <w:rPr>
          <w:rFonts w:ascii="Arial" w:hAnsi="Arial" w:cs="Arial"/>
          <w:color w:val="000000" w:themeColor="text1"/>
          <w:sz w:val="24"/>
          <w:szCs w:val="24"/>
        </w:rPr>
        <w:t xml:space="preserve"> I am mindful of the fact that the </w:t>
      </w:r>
      <w:r w:rsidR="00566C8A" w:rsidRPr="002D0A15">
        <w:rPr>
          <w:rFonts w:ascii="Arial" w:hAnsi="Arial" w:cs="Arial"/>
          <w:color w:val="000000" w:themeColor="text1"/>
          <w:sz w:val="24"/>
          <w:szCs w:val="24"/>
        </w:rPr>
        <w:t>Applicant</w:t>
      </w:r>
      <w:r w:rsidR="00A77D1A" w:rsidRPr="002D0A15">
        <w:rPr>
          <w:rFonts w:ascii="Arial" w:hAnsi="Arial" w:cs="Arial"/>
          <w:color w:val="000000" w:themeColor="text1"/>
          <w:sz w:val="24"/>
          <w:szCs w:val="24"/>
        </w:rPr>
        <w:t xml:space="preserve">, in framing her relief </w:t>
      </w:r>
      <w:r w:rsidR="00AB2D90" w:rsidRPr="002D0A15">
        <w:rPr>
          <w:rFonts w:ascii="Arial" w:hAnsi="Arial" w:cs="Arial"/>
          <w:color w:val="000000" w:themeColor="text1"/>
          <w:sz w:val="24"/>
          <w:szCs w:val="24"/>
        </w:rPr>
        <w:t xml:space="preserve">in prayer 1 of the notice of motion, contributed to the </w:t>
      </w:r>
      <w:r w:rsidR="008017C1" w:rsidRPr="002D0A15">
        <w:rPr>
          <w:rFonts w:ascii="Arial" w:hAnsi="Arial" w:cs="Arial"/>
          <w:color w:val="000000" w:themeColor="text1"/>
          <w:sz w:val="24"/>
          <w:szCs w:val="24"/>
        </w:rPr>
        <w:t>conflation of issues. Furthermore,</w:t>
      </w:r>
      <w:r w:rsidR="00622CE5"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Applicant</w:t>
      </w:r>
      <w:r w:rsidR="00622CE5" w:rsidRPr="002D0A15">
        <w:rPr>
          <w:rFonts w:ascii="Arial" w:hAnsi="Arial" w:cs="Arial"/>
          <w:color w:val="000000" w:themeColor="text1"/>
          <w:sz w:val="24"/>
          <w:szCs w:val="24"/>
        </w:rPr>
        <w:t xml:space="preserve"> did not, in the notice of motion or </w:t>
      </w:r>
      <w:r w:rsidR="008017C1" w:rsidRPr="002D0A15">
        <w:rPr>
          <w:rFonts w:ascii="Arial" w:hAnsi="Arial" w:cs="Arial"/>
          <w:color w:val="000000" w:themeColor="text1"/>
          <w:sz w:val="24"/>
          <w:szCs w:val="24"/>
        </w:rPr>
        <w:t xml:space="preserve">in </w:t>
      </w:r>
      <w:r w:rsidR="00566C8A" w:rsidRPr="002D0A15">
        <w:rPr>
          <w:rFonts w:ascii="Arial" w:hAnsi="Arial" w:cs="Arial"/>
          <w:color w:val="000000" w:themeColor="text1"/>
          <w:sz w:val="24"/>
          <w:szCs w:val="24"/>
        </w:rPr>
        <w:t>Court</w:t>
      </w:r>
      <w:r w:rsidR="00622CE5" w:rsidRPr="002D0A15">
        <w:rPr>
          <w:rFonts w:ascii="Arial" w:hAnsi="Arial" w:cs="Arial"/>
          <w:color w:val="000000" w:themeColor="text1"/>
          <w:sz w:val="24"/>
          <w:szCs w:val="24"/>
        </w:rPr>
        <w:t>, seek costs on a punitive scale</w:t>
      </w:r>
      <w:r w:rsidR="00210FFB" w:rsidRPr="002D0A15">
        <w:rPr>
          <w:rFonts w:ascii="Arial" w:hAnsi="Arial" w:cs="Arial"/>
          <w:color w:val="000000" w:themeColor="text1"/>
          <w:sz w:val="24"/>
          <w:szCs w:val="24"/>
        </w:rPr>
        <w:t xml:space="preserve">. </w:t>
      </w:r>
    </w:p>
    <w:p w14:paraId="04D10A27" w14:textId="5295FA54" w:rsidR="00210FFB"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Pr>
          <w:rFonts w:ascii="Arial" w:hAnsi="Arial" w:cs="Arial"/>
          <w:color w:val="000000" w:themeColor="text1"/>
          <w:sz w:val="24"/>
          <w:szCs w:val="24"/>
        </w:rPr>
        <w:t>76)</w:t>
      </w:r>
      <w:r>
        <w:rPr>
          <w:rFonts w:ascii="Arial" w:hAnsi="Arial" w:cs="Arial"/>
          <w:color w:val="000000" w:themeColor="text1"/>
          <w:sz w:val="24"/>
          <w:szCs w:val="24"/>
        </w:rPr>
        <w:tab/>
      </w:r>
      <w:r w:rsidR="00A014F1" w:rsidRPr="002D0A15">
        <w:rPr>
          <w:rFonts w:ascii="Arial" w:hAnsi="Arial" w:cs="Arial"/>
          <w:color w:val="000000" w:themeColor="text1"/>
          <w:sz w:val="24"/>
          <w:szCs w:val="24"/>
        </w:rPr>
        <w:t xml:space="preserve">The notice of motion prays for an order against the first and second </w:t>
      </w:r>
      <w:r w:rsidR="00566C8A" w:rsidRPr="002D0A15">
        <w:rPr>
          <w:rFonts w:ascii="Arial" w:hAnsi="Arial" w:cs="Arial"/>
          <w:color w:val="000000" w:themeColor="text1"/>
          <w:sz w:val="24"/>
          <w:szCs w:val="24"/>
        </w:rPr>
        <w:t>Respondent</w:t>
      </w:r>
      <w:r w:rsidR="00A014F1" w:rsidRPr="002D0A15">
        <w:rPr>
          <w:rFonts w:ascii="Arial" w:hAnsi="Arial" w:cs="Arial"/>
          <w:color w:val="000000" w:themeColor="text1"/>
          <w:sz w:val="24"/>
          <w:szCs w:val="24"/>
        </w:rPr>
        <w:t xml:space="preserve">s. The second </w:t>
      </w:r>
      <w:r w:rsidR="00566C8A" w:rsidRPr="002D0A15">
        <w:rPr>
          <w:rFonts w:ascii="Arial" w:hAnsi="Arial" w:cs="Arial"/>
          <w:color w:val="000000" w:themeColor="text1"/>
          <w:sz w:val="24"/>
          <w:szCs w:val="24"/>
        </w:rPr>
        <w:t>Respondent</w:t>
      </w:r>
      <w:r w:rsidR="00A014F1" w:rsidRPr="002D0A15">
        <w:rPr>
          <w:rFonts w:ascii="Arial" w:hAnsi="Arial" w:cs="Arial"/>
          <w:color w:val="000000" w:themeColor="text1"/>
          <w:sz w:val="24"/>
          <w:szCs w:val="24"/>
        </w:rPr>
        <w:t xml:space="preserve"> is cited in her personal capacity</w:t>
      </w:r>
      <w:r w:rsidR="00E13924" w:rsidRPr="002D0A15">
        <w:rPr>
          <w:rFonts w:ascii="Arial" w:hAnsi="Arial" w:cs="Arial"/>
          <w:color w:val="000000" w:themeColor="text1"/>
          <w:sz w:val="24"/>
          <w:szCs w:val="24"/>
        </w:rPr>
        <w:t>.</w:t>
      </w:r>
      <w:r w:rsidR="00537861" w:rsidRPr="002D0A15">
        <w:rPr>
          <w:rFonts w:ascii="Arial" w:hAnsi="Arial" w:cs="Arial"/>
          <w:color w:val="000000" w:themeColor="text1"/>
          <w:sz w:val="24"/>
          <w:szCs w:val="24"/>
        </w:rPr>
        <w:t xml:space="preserve"> </w:t>
      </w:r>
      <w:r w:rsidR="00E13924" w:rsidRPr="002D0A15">
        <w:rPr>
          <w:rFonts w:ascii="Arial" w:hAnsi="Arial" w:cs="Arial"/>
          <w:color w:val="000000" w:themeColor="text1"/>
          <w:sz w:val="24"/>
          <w:szCs w:val="24"/>
        </w:rPr>
        <w:t>N</w:t>
      </w:r>
      <w:r w:rsidR="00537861" w:rsidRPr="002D0A15">
        <w:rPr>
          <w:rFonts w:ascii="Arial" w:hAnsi="Arial" w:cs="Arial"/>
          <w:color w:val="000000" w:themeColor="text1"/>
          <w:sz w:val="24"/>
          <w:szCs w:val="24"/>
        </w:rPr>
        <w:t>o case has been made</w:t>
      </w:r>
      <w:r w:rsidR="00E12ED4" w:rsidRPr="002D0A15">
        <w:rPr>
          <w:rFonts w:ascii="Arial" w:hAnsi="Arial" w:cs="Arial"/>
          <w:color w:val="000000" w:themeColor="text1"/>
          <w:sz w:val="24"/>
          <w:szCs w:val="24"/>
        </w:rPr>
        <w:t xml:space="preserve"> out</w:t>
      </w:r>
      <w:r w:rsidR="00537861" w:rsidRPr="002D0A15">
        <w:rPr>
          <w:rFonts w:ascii="Arial" w:hAnsi="Arial" w:cs="Arial"/>
          <w:color w:val="000000" w:themeColor="text1"/>
          <w:sz w:val="24"/>
          <w:szCs w:val="24"/>
        </w:rPr>
        <w:t xml:space="preserve"> that would elevate her conduct</w:t>
      </w:r>
      <w:r w:rsidR="00E12ED4" w:rsidRPr="002D0A15">
        <w:rPr>
          <w:rFonts w:ascii="Arial" w:hAnsi="Arial" w:cs="Arial"/>
          <w:color w:val="000000" w:themeColor="text1"/>
          <w:sz w:val="24"/>
          <w:szCs w:val="24"/>
        </w:rPr>
        <w:t xml:space="preserve"> to the </w:t>
      </w:r>
      <w:r w:rsidR="00450778" w:rsidRPr="002D0A15">
        <w:rPr>
          <w:rFonts w:ascii="Arial" w:hAnsi="Arial" w:cs="Arial"/>
          <w:color w:val="000000" w:themeColor="text1"/>
          <w:sz w:val="24"/>
          <w:szCs w:val="24"/>
        </w:rPr>
        <w:t xml:space="preserve">a level of </w:t>
      </w:r>
      <w:r w:rsidR="00450778" w:rsidRPr="002D0A15">
        <w:rPr>
          <w:rFonts w:ascii="Arial" w:hAnsi="Arial" w:cs="Arial"/>
          <w:i/>
          <w:iCs/>
          <w:color w:val="000000" w:themeColor="text1"/>
          <w:sz w:val="24"/>
          <w:szCs w:val="24"/>
        </w:rPr>
        <w:t>mala fides</w:t>
      </w:r>
      <w:r w:rsidR="00E6083D" w:rsidRPr="002D0A15">
        <w:rPr>
          <w:rFonts w:ascii="Arial" w:hAnsi="Arial" w:cs="Arial"/>
          <w:i/>
          <w:iCs/>
          <w:color w:val="000000" w:themeColor="text1"/>
          <w:sz w:val="24"/>
          <w:szCs w:val="24"/>
        </w:rPr>
        <w:t xml:space="preserve"> </w:t>
      </w:r>
      <w:r w:rsidR="00450778" w:rsidRPr="002D0A15">
        <w:rPr>
          <w:rFonts w:ascii="Arial" w:hAnsi="Arial" w:cs="Arial"/>
          <w:i/>
          <w:iCs/>
          <w:color w:val="000000" w:themeColor="text1"/>
          <w:sz w:val="24"/>
          <w:szCs w:val="24"/>
        </w:rPr>
        <w:t xml:space="preserve"> </w:t>
      </w:r>
      <w:r w:rsidR="00450778" w:rsidRPr="002D0A15">
        <w:rPr>
          <w:rFonts w:ascii="Arial" w:hAnsi="Arial" w:cs="Arial"/>
          <w:color w:val="000000" w:themeColor="text1"/>
          <w:sz w:val="24"/>
          <w:szCs w:val="24"/>
        </w:rPr>
        <w:t>that would</w:t>
      </w:r>
      <w:r w:rsidR="00537861" w:rsidRPr="002D0A15">
        <w:rPr>
          <w:rFonts w:ascii="Arial" w:hAnsi="Arial" w:cs="Arial"/>
          <w:color w:val="000000" w:themeColor="text1"/>
          <w:sz w:val="24"/>
          <w:szCs w:val="24"/>
        </w:rPr>
        <w:t xml:space="preserve"> </w:t>
      </w:r>
      <w:r w:rsidR="00450778" w:rsidRPr="002D0A15">
        <w:rPr>
          <w:rFonts w:ascii="Arial" w:hAnsi="Arial" w:cs="Arial"/>
          <w:color w:val="000000" w:themeColor="text1"/>
          <w:sz w:val="24"/>
          <w:szCs w:val="24"/>
        </w:rPr>
        <w:t xml:space="preserve">attract </w:t>
      </w:r>
      <w:r w:rsidR="00537861" w:rsidRPr="002D0A15">
        <w:rPr>
          <w:rFonts w:ascii="Arial" w:hAnsi="Arial" w:cs="Arial"/>
          <w:color w:val="000000" w:themeColor="text1"/>
          <w:sz w:val="24"/>
          <w:szCs w:val="24"/>
        </w:rPr>
        <w:t xml:space="preserve">personal liability for costs. </w:t>
      </w:r>
    </w:p>
    <w:p w14:paraId="63318544" w14:textId="369916AD" w:rsidR="00695970"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t>77)</w:t>
      </w:r>
      <w:r w:rsidRPr="00B0760E">
        <w:rPr>
          <w:rFonts w:ascii="Arial" w:hAnsi="Arial" w:cs="Arial"/>
          <w:color w:val="000000" w:themeColor="text1"/>
          <w:sz w:val="24"/>
          <w:szCs w:val="24"/>
        </w:rPr>
        <w:tab/>
      </w:r>
      <w:r w:rsidR="00242C6C"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Applicant</w:t>
      </w:r>
      <w:r w:rsidR="00242C6C" w:rsidRPr="002D0A15">
        <w:rPr>
          <w:rFonts w:ascii="Arial" w:hAnsi="Arial" w:cs="Arial"/>
          <w:color w:val="000000" w:themeColor="text1"/>
          <w:sz w:val="24"/>
          <w:szCs w:val="24"/>
        </w:rPr>
        <w:t xml:space="preserve"> request</w:t>
      </w:r>
      <w:r w:rsidR="00210FFB" w:rsidRPr="002D0A15">
        <w:rPr>
          <w:rFonts w:ascii="Arial" w:hAnsi="Arial" w:cs="Arial"/>
          <w:color w:val="000000" w:themeColor="text1"/>
          <w:sz w:val="24"/>
          <w:szCs w:val="24"/>
        </w:rPr>
        <w:t>s</w:t>
      </w:r>
      <w:r w:rsidR="00242C6C" w:rsidRPr="002D0A15">
        <w:rPr>
          <w:rFonts w:ascii="Arial" w:hAnsi="Arial" w:cs="Arial"/>
          <w:color w:val="000000" w:themeColor="text1"/>
          <w:sz w:val="24"/>
          <w:szCs w:val="24"/>
        </w:rPr>
        <w:t xml:space="preserve"> the costs of two counsel premised on the technical</w:t>
      </w:r>
      <w:r w:rsidR="00180956" w:rsidRPr="002D0A15">
        <w:rPr>
          <w:rFonts w:ascii="Arial" w:hAnsi="Arial" w:cs="Arial"/>
          <w:color w:val="000000" w:themeColor="text1"/>
          <w:sz w:val="24"/>
          <w:szCs w:val="24"/>
        </w:rPr>
        <w:t xml:space="preserve"> nature of the </w:t>
      </w:r>
      <w:r w:rsidR="00566C8A" w:rsidRPr="002D0A15">
        <w:rPr>
          <w:rFonts w:ascii="Arial" w:hAnsi="Arial" w:cs="Arial"/>
          <w:color w:val="000000" w:themeColor="text1"/>
          <w:sz w:val="24"/>
          <w:szCs w:val="24"/>
        </w:rPr>
        <w:t>Respondent</w:t>
      </w:r>
      <w:r w:rsidR="00180956" w:rsidRPr="002D0A15">
        <w:rPr>
          <w:rFonts w:ascii="Arial" w:hAnsi="Arial" w:cs="Arial"/>
          <w:color w:val="000000" w:themeColor="text1"/>
          <w:sz w:val="24"/>
          <w:szCs w:val="24"/>
        </w:rPr>
        <w:t xml:space="preserve">’s objection based on the </w:t>
      </w:r>
      <w:r w:rsidR="00566C8A" w:rsidRPr="002D0A15">
        <w:rPr>
          <w:rFonts w:ascii="Arial" w:hAnsi="Arial" w:cs="Arial"/>
          <w:color w:val="000000" w:themeColor="text1"/>
          <w:sz w:val="24"/>
          <w:szCs w:val="24"/>
        </w:rPr>
        <w:t>Convention</w:t>
      </w:r>
      <w:r w:rsidR="00180956" w:rsidRPr="002D0A15">
        <w:rPr>
          <w:rFonts w:ascii="Arial" w:hAnsi="Arial" w:cs="Arial"/>
          <w:color w:val="000000" w:themeColor="text1"/>
          <w:sz w:val="24"/>
          <w:szCs w:val="24"/>
        </w:rPr>
        <w:t>.</w:t>
      </w:r>
      <w:r w:rsidR="00AA20B4" w:rsidRPr="002D0A15">
        <w:rPr>
          <w:rFonts w:ascii="Arial" w:hAnsi="Arial" w:cs="Arial"/>
          <w:color w:val="000000" w:themeColor="text1"/>
          <w:sz w:val="24"/>
          <w:szCs w:val="24"/>
        </w:rPr>
        <w:t xml:space="preserve"> </w:t>
      </w:r>
      <w:r w:rsidR="00634984" w:rsidRPr="002D0A15">
        <w:rPr>
          <w:rFonts w:ascii="Arial" w:hAnsi="Arial" w:cs="Arial"/>
          <w:color w:val="000000" w:themeColor="text1"/>
          <w:sz w:val="24"/>
          <w:szCs w:val="24"/>
        </w:rPr>
        <w:t>Having</w:t>
      </w:r>
      <w:r w:rsidR="00D351CC" w:rsidRPr="002D0A15">
        <w:rPr>
          <w:rFonts w:ascii="Arial" w:hAnsi="Arial" w:cs="Arial"/>
          <w:color w:val="000000" w:themeColor="text1"/>
          <w:sz w:val="24"/>
          <w:szCs w:val="24"/>
        </w:rPr>
        <w:t xml:space="preserve"> also</w:t>
      </w:r>
      <w:r w:rsidR="00634984" w:rsidRPr="002D0A15">
        <w:rPr>
          <w:rFonts w:ascii="Arial" w:hAnsi="Arial" w:cs="Arial"/>
          <w:color w:val="000000" w:themeColor="text1"/>
          <w:sz w:val="24"/>
          <w:szCs w:val="24"/>
        </w:rPr>
        <w:t xml:space="preserve"> wrestled with the </w:t>
      </w:r>
      <w:r w:rsidR="00566C8A" w:rsidRPr="002D0A15">
        <w:rPr>
          <w:rFonts w:ascii="Arial" w:hAnsi="Arial" w:cs="Arial"/>
          <w:color w:val="000000" w:themeColor="text1"/>
          <w:sz w:val="24"/>
          <w:szCs w:val="24"/>
        </w:rPr>
        <w:t>Convention</w:t>
      </w:r>
      <w:r w:rsidR="00634984" w:rsidRPr="002D0A15">
        <w:rPr>
          <w:rFonts w:ascii="Arial" w:hAnsi="Arial" w:cs="Arial"/>
          <w:color w:val="000000" w:themeColor="text1"/>
          <w:sz w:val="24"/>
          <w:szCs w:val="24"/>
        </w:rPr>
        <w:t xml:space="preserve"> and the </w:t>
      </w:r>
      <w:r w:rsidR="00566C8A" w:rsidRPr="002D0A15">
        <w:rPr>
          <w:rFonts w:ascii="Arial" w:hAnsi="Arial" w:cs="Arial"/>
          <w:color w:val="000000" w:themeColor="text1"/>
          <w:sz w:val="24"/>
          <w:szCs w:val="24"/>
        </w:rPr>
        <w:t>Annex</w:t>
      </w:r>
      <w:r w:rsidR="00634984" w:rsidRPr="002D0A15">
        <w:rPr>
          <w:rFonts w:ascii="Arial" w:hAnsi="Arial" w:cs="Arial"/>
          <w:color w:val="000000" w:themeColor="text1"/>
          <w:sz w:val="24"/>
          <w:szCs w:val="24"/>
        </w:rPr>
        <w:t>es thereto</w:t>
      </w:r>
      <w:r w:rsidR="00D351CC" w:rsidRPr="002D0A15">
        <w:rPr>
          <w:rFonts w:ascii="Arial" w:hAnsi="Arial" w:cs="Arial"/>
          <w:color w:val="000000" w:themeColor="text1"/>
          <w:sz w:val="24"/>
          <w:szCs w:val="24"/>
        </w:rPr>
        <w:t xml:space="preserve"> in preparation of this judgment</w:t>
      </w:r>
      <w:r w:rsidR="00634984" w:rsidRPr="002D0A15">
        <w:rPr>
          <w:rFonts w:ascii="Arial" w:hAnsi="Arial" w:cs="Arial"/>
          <w:color w:val="000000" w:themeColor="text1"/>
          <w:sz w:val="24"/>
          <w:szCs w:val="24"/>
        </w:rPr>
        <w:t xml:space="preserve">, </w:t>
      </w:r>
      <w:r w:rsidR="00640BE5" w:rsidRPr="002D0A15">
        <w:rPr>
          <w:rFonts w:ascii="Arial" w:hAnsi="Arial" w:cs="Arial"/>
          <w:color w:val="000000" w:themeColor="text1"/>
          <w:sz w:val="24"/>
          <w:szCs w:val="24"/>
        </w:rPr>
        <w:t xml:space="preserve">I agree with the </w:t>
      </w:r>
      <w:r w:rsidR="00566C8A" w:rsidRPr="002D0A15">
        <w:rPr>
          <w:rFonts w:ascii="Arial" w:hAnsi="Arial" w:cs="Arial"/>
          <w:color w:val="000000" w:themeColor="text1"/>
          <w:sz w:val="24"/>
          <w:szCs w:val="24"/>
        </w:rPr>
        <w:t>Applicant</w:t>
      </w:r>
      <w:r w:rsidR="00640BE5" w:rsidRPr="002D0A15">
        <w:rPr>
          <w:rFonts w:ascii="Arial" w:hAnsi="Arial" w:cs="Arial"/>
          <w:color w:val="000000" w:themeColor="text1"/>
          <w:sz w:val="24"/>
          <w:szCs w:val="24"/>
        </w:rPr>
        <w:t xml:space="preserve"> on this point.</w:t>
      </w:r>
    </w:p>
    <w:p w14:paraId="24B7FE37" w14:textId="29C9E770" w:rsidR="00E601F7" w:rsidRPr="002D0A15" w:rsidRDefault="002D0A15" w:rsidP="002D0A15">
      <w:pPr>
        <w:tabs>
          <w:tab w:val="right" w:pos="8208"/>
        </w:tabs>
        <w:spacing w:before="120" w:line="360" w:lineRule="auto"/>
        <w:ind w:left="426" w:hanging="502"/>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78)</w:t>
      </w:r>
      <w:r w:rsidRPr="00B0760E">
        <w:rPr>
          <w:rFonts w:ascii="Arial" w:hAnsi="Arial" w:cs="Arial"/>
          <w:color w:val="000000" w:themeColor="text1"/>
          <w:sz w:val="24"/>
          <w:szCs w:val="24"/>
        </w:rPr>
        <w:tab/>
      </w:r>
      <w:r w:rsidR="00E601F7" w:rsidRPr="002D0A15">
        <w:rPr>
          <w:rFonts w:ascii="Arial" w:hAnsi="Arial" w:cs="Arial"/>
          <w:color w:val="000000" w:themeColor="text1"/>
          <w:sz w:val="24"/>
          <w:szCs w:val="24"/>
        </w:rPr>
        <w:t>I, therefore, make the following order:</w:t>
      </w:r>
    </w:p>
    <w:p w14:paraId="2831B9BA" w14:textId="77777777" w:rsidR="00AA6C8C" w:rsidRPr="00B0760E" w:rsidRDefault="00AA6C8C" w:rsidP="00AA6C8C">
      <w:pPr>
        <w:pStyle w:val="ListParagraph"/>
        <w:tabs>
          <w:tab w:val="right" w:pos="8208"/>
        </w:tabs>
        <w:spacing w:before="120" w:line="360" w:lineRule="auto"/>
        <w:contextualSpacing w:val="0"/>
        <w:jc w:val="both"/>
        <w:rPr>
          <w:rFonts w:ascii="Arial" w:hAnsi="Arial" w:cs="Arial"/>
          <w:color w:val="000000" w:themeColor="text1"/>
          <w:sz w:val="24"/>
          <w:szCs w:val="24"/>
        </w:rPr>
      </w:pPr>
    </w:p>
    <w:p w14:paraId="1BAADF78" w14:textId="3FCE085F" w:rsidR="00AA6C8C" w:rsidRPr="00B0760E" w:rsidRDefault="00AA6C8C" w:rsidP="00AA6C8C">
      <w:pPr>
        <w:tabs>
          <w:tab w:val="right" w:pos="8208"/>
        </w:tabs>
        <w:spacing w:before="120" w:line="360" w:lineRule="auto"/>
        <w:jc w:val="both"/>
        <w:rPr>
          <w:rFonts w:ascii="Arial" w:hAnsi="Arial" w:cs="Arial"/>
          <w:b/>
          <w:bCs/>
          <w:color w:val="000000" w:themeColor="text1"/>
          <w:sz w:val="24"/>
          <w:szCs w:val="24"/>
        </w:rPr>
      </w:pPr>
      <w:r w:rsidRPr="00B0760E">
        <w:rPr>
          <w:rFonts w:ascii="Arial" w:hAnsi="Arial" w:cs="Arial"/>
          <w:b/>
          <w:bCs/>
          <w:color w:val="000000" w:themeColor="text1"/>
          <w:sz w:val="24"/>
          <w:szCs w:val="24"/>
        </w:rPr>
        <w:t>ORDER</w:t>
      </w:r>
    </w:p>
    <w:p w14:paraId="1EC8D112" w14:textId="33EEFB1F" w:rsidR="00E601F7" w:rsidRPr="002D0A15" w:rsidRDefault="002D0A15" w:rsidP="002D0A15">
      <w:pPr>
        <w:spacing w:before="120" w:line="360" w:lineRule="auto"/>
        <w:ind w:left="720" w:hanging="360"/>
        <w:jc w:val="both"/>
        <w:rPr>
          <w:rFonts w:ascii="Arial" w:hAnsi="Arial" w:cs="Arial"/>
          <w:color w:val="000000" w:themeColor="text1"/>
          <w:sz w:val="24"/>
          <w:szCs w:val="24"/>
        </w:rPr>
      </w:pPr>
      <w:r w:rsidRPr="00B0760E">
        <w:rPr>
          <w:rFonts w:ascii="Arial" w:hAnsi="Arial" w:cs="Arial"/>
          <w:color w:val="000000" w:themeColor="text1"/>
          <w:sz w:val="24"/>
          <w:szCs w:val="24"/>
        </w:rPr>
        <w:t>1.</w:t>
      </w:r>
      <w:r w:rsidRPr="00B0760E">
        <w:rPr>
          <w:rFonts w:ascii="Arial" w:hAnsi="Arial" w:cs="Arial"/>
          <w:color w:val="000000" w:themeColor="text1"/>
          <w:sz w:val="24"/>
          <w:szCs w:val="24"/>
        </w:rPr>
        <w:tab/>
      </w:r>
      <w:r w:rsidR="00166075"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166075" w:rsidRPr="002D0A15">
        <w:rPr>
          <w:rFonts w:ascii="Arial" w:hAnsi="Arial" w:cs="Arial"/>
          <w:color w:val="000000" w:themeColor="text1"/>
          <w:sz w:val="24"/>
          <w:szCs w:val="24"/>
        </w:rPr>
        <w:t xml:space="preserve"> is ordered to</w:t>
      </w:r>
      <w:r w:rsidR="00A2749D" w:rsidRPr="002D0A15">
        <w:rPr>
          <w:rFonts w:ascii="Arial" w:hAnsi="Arial" w:cs="Arial"/>
          <w:color w:val="000000" w:themeColor="text1"/>
          <w:sz w:val="24"/>
          <w:szCs w:val="24"/>
        </w:rPr>
        <w:t xml:space="preserve"> make the </w:t>
      </w:r>
      <w:r w:rsidR="00444328" w:rsidRPr="002D0A15">
        <w:rPr>
          <w:rFonts w:ascii="Arial" w:hAnsi="Arial" w:cs="Arial"/>
          <w:color w:val="000000" w:themeColor="text1"/>
          <w:sz w:val="24"/>
          <w:szCs w:val="24"/>
        </w:rPr>
        <w:t xml:space="preserve">following </w:t>
      </w:r>
      <w:r w:rsidR="00A2749D" w:rsidRPr="002D0A15">
        <w:rPr>
          <w:rFonts w:ascii="Arial" w:hAnsi="Arial" w:cs="Arial"/>
          <w:color w:val="000000" w:themeColor="text1"/>
          <w:sz w:val="24"/>
          <w:szCs w:val="24"/>
        </w:rPr>
        <w:t>original</w:t>
      </w:r>
      <w:r w:rsidR="00444328" w:rsidRPr="002D0A15">
        <w:rPr>
          <w:rFonts w:ascii="Arial" w:hAnsi="Arial" w:cs="Arial"/>
          <w:color w:val="000000" w:themeColor="text1"/>
          <w:sz w:val="24"/>
          <w:szCs w:val="24"/>
        </w:rPr>
        <w:t xml:space="preserve"> records</w:t>
      </w:r>
      <w:r w:rsidR="00A2749D" w:rsidRPr="002D0A15">
        <w:rPr>
          <w:rFonts w:ascii="Arial" w:hAnsi="Arial" w:cs="Arial"/>
          <w:color w:val="000000" w:themeColor="text1"/>
          <w:sz w:val="24"/>
          <w:szCs w:val="24"/>
        </w:rPr>
        <w:t xml:space="preserve"> available for inspection by the </w:t>
      </w:r>
      <w:r w:rsidR="00566C8A" w:rsidRPr="002D0A15">
        <w:rPr>
          <w:rFonts w:ascii="Arial" w:hAnsi="Arial" w:cs="Arial"/>
          <w:color w:val="000000" w:themeColor="text1"/>
          <w:sz w:val="24"/>
          <w:szCs w:val="24"/>
        </w:rPr>
        <w:t>Applicant</w:t>
      </w:r>
      <w:r w:rsidR="00A2749D" w:rsidRPr="002D0A15">
        <w:rPr>
          <w:rFonts w:ascii="Arial" w:hAnsi="Arial" w:cs="Arial"/>
          <w:color w:val="000000" w:themeColor="text1"/>
          <w:sz w:val="24"/>
          <w:szCs w:val="24"/>
        </w:rPr>
        <w:t xml:space="preserve"> or her representatives or any experts appointed by her and </w:t>
      </w:r>
      <w:r w:rsidR="00BC7185" w:rsidRPr="002D0A15">
        <w:rPr>
          <w:rFonts w:ascii="Arial" w:hAnsi="Arial" w:cs="Arial"/>
          <w:color w:val="000000" w:themeColor="text1"/>
          <w:sz w:val="24"/>
          <w:szCs w:val="24"/>
        </w:rPr>
        <w:t xml:space="preserve">to </w:t>
      </w:r>
      <w:r w:rsidR="00A2749D" w:rsidRPr="002D0A15">
        <w:rPr>
          <w:rFonts w:ascii="Arial" w:hAnsi="Arial" w:cs="Arial"/>
          <w:color w:val="000000" w:themeColor="text1"/>
          <w:sz w:val="24"/>
          <w:szCs w:val="24"/>
        </w:rPr>
        <w:t>furnish clear copies thereof</w:t>
      </w:r>
      <w:r w:rsidR="00166075" w:rsidRPr="002D0A15">
        <w:rPr>
          <w:rFonts w:ascii="Arial" w:hAnsi="Arial" w:cs="Arial"/>
          <w:color w:val="000000" w:themeColor="text1"/>
          <w:sz w:val="24"/>
          <w:szCs w:val="24"/>
        </w:rPr>
        <w:t xml:space="preserve"> </w:t>
      </w:r>
      <w:r w:rsidR="00BC7185" w:rsidRPr="002D0A15">
        <w:rPr>
          <w:rFonts w:ascii="Arial" w:hAnsi="Arial" w:cs="Arial"/>
          <w:color w:val="000000" w:themeColor="text1"/>
          <w:sz w:val="24"/>
          <w:szCs w:val="24"/>
        </w:rPr>
        <w:t xml:space="preserve">to the </w:t>
      </w:r>
      <w:r w:rsidR="00566C8A" w:rsidRPr="002D0A15">
        <w:rPr>
          <w:rFonts w:ascii="Arial" w:hAnsi="Arial" w:cs="Arial"/>
          <w:color w:val="000000" w:themeColor="text1"/>
          <w:sz w:val="24"/>
          <w:szCs w:val="24"/>
        </w:rPr>
        <w:t>Applicant</w:t>
      </w:r>
      <w:r w:rsidR="00BC7185" w:rsidRPr="002D0A15">
        <w:rPr>
          <w:rFonts w:ascii="Arial" w:hAnsi="Arial" w:cs="Arial"/>
          <w:color w:val="000000" w:themeColor="text1"/>
          <w:sz w:val="24"/>
          <w:szCs w:val="24"/>
        </w:rPr>
        <w:t xml:space="preserve"> </w:t>
      </w:r>
      <w:r w:rsidR="004528E5" w:rsidRPr="002D0A15">
        <w:rPr>
          <w:rFonts w:ascii="Arial" w:hAnsi="Arial" w:cs="Arial"/>
          <w:color w:val="000000" w:themeColor="text1"/>
          <w:sz w:val="24"/>
          <w:szCs w:val="24"/>
        </w:rPr>
        <w:t xml:space="preserve">within </w:t>
      </w:r>
      <w:r w:rsidR="007F3C0D" w:rsidRPr="002D0A15">
        <w:rPr>
          <w:rFonts w:ascii="Arial" w:hAnsi="Arial" w:cs="Arial"/>
          <w:color w:val="000000" w:themeColor="text1"/>
          <w:sz w:val="24"/>
          <w:szCs w:val="24"/>
        </w:rPr>
        <w:t>1</w:t>
      </w:r>
      <w:r w:rsidR="004528E5" w:rsidRPr="002D0A15">
        <w:rPr>
          <w:rFonts w:ascii="Arial" w:hAnsi="Arial" w:cs="Arial"/>
          <w:color w:val="000000" w:themeColor="text1"/>
          <w:sz w:val="24"/>
          <w:szCs w:val="24"/>
        </w:rPr>
        <w:t>5 business days of this order:</w:t>
      </w:r>
    </w:p>
    <w:p w14:paraId="5E3B3A51" w14:textId="1BA41B26" w:rsidR="00117485" w:rsidRPr="002D0A15" w:rsidRDefault="002D0A15" w:rsidP="002D0A15">
      <w:pPr>
        <w:tabs>
          <w:tab w:val="right" w:pos="8208"/>
        </w:tabs>
        <w:spacing w:after="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117485" w:rsidRPr="002D0A15">
        <w:rPr>
          <w:rFonts w:ascii="Arial" w:hAnsi="Arial" w:cs="Arial"/>
          <w:color w:val="000000" w:themeColor="text1"/>
          <w:sz w:val="24"/>
          <w:szCs w:val="24"/>
        </w:rPr>
        <w:t xml:space="preserve">All correspondence recorded between the pilot of ZS-XAT and the pilot of ZS-XAS from take off until the time of the crash including recordings from ground control, tower control and air control; </w:t>
      </w:r>
    </w:p>
    <w:p w14:paraId="21391D0E" w14:textId="799FB4AB" w:rsidR="00117485" w:rsidRPr="00B0760E" w:rsidRDefault="002D0A15" w:rsidP="002D0A15">
      <w:pPr>
        <w:pStyle w:val="Style2"/>
        <w:spacing w:line="360" w:lineRule="auto"/>
        <w:ind w:left="1440" w:hanging="360"/>
        <w:contextualSpacing/>
        <w:rPr>
          <w:rFonts w:ascii="Arial" w:hAnsi="Arial" w:cs="Arial"/>
          <w:color w:val="000000" w:themeColor="text1"/>
        </w:rPr>
      </w:pPr>
      <w:r w:rsidRPr="00B0760E">
        <w:rPr>
          <w:rFonts w:ascii="Arial" w:hAnsi="Arial" w:cs="Arial"/>
          <w:color w:val="000000" w:themeColor="text1"/>
        </w:rPr>
        <w:t>b.</w:t>
      </w:r>
      <w:r w:rsidRPr="00B0760E">
        <w:rPr>
          <w:rFonts w:ascii="Arial" w:hAnsi="Arial" w:cs="Arial"/>
          <w:color w:val="000000" w:themeColor="text1"/>
        </w:rPr>
        <w:tab/>
      </w:r>
      <w:r w:rsidR="00117485" w:rsidRPr="00B0760E">
        <w:rPr>
          <w:rFonts w:ascii="Arial" w:hAnsi="Arial" w:cs="Arial"/>
          <w:color w:val="000000" w:themeColor="text1"/>
        </w:rPr>
        <w:t xml:space="preserve">ATNS Radar Plot/s relating to ZS-XAT and ZS-XAS from the day of the accident;  </w:t>
      </w:r>
    </w:p>
    <w:p w14:paraId="271C5D95" w14:textId="283E506A" w:rsidR="00117485" w:rsidRPr="002D0A15" w:rsidRDefault="002D0A15" w:rsidP="002D0A15">
      <w:pPr>
        <w:tabs>
          <w:tab w:val="right" w:pos="8208"/>
        </w:tabs>
        <w:spacing w:after="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c.</w:t>
      </w:r>
      <w:r w:rsidRPr="00B0760E">
        <w:rPr>
          <w:rFonts w:ascii="Arial" w:hAnsi="Arial" w:cs="Arial"/>
          <w:color w:val="000000" w:themeColor="text1"/>
          <w:sz w:val="24"/>
          <w:szCs w:val="24"/>
        </w:rPr>
        <w:tab/>
      </w:r>
      <w:r w:rsidR="00117485" w:rsidRPr="002D0A15">
        <w:rPr>
          <w:rFonts w:ascii="Arial" w:hAnsi="Arial" w:cs="Arial"/>
          <w:color w:val="000000" w:themeColor="text1"/>
          <w:sz w:val="24"/>
          <w:szCs w:val="24"/>
        </w:rPr>
        <w:t>Detailed weather reports relating to the day of the accident;</w:t>
      </w:r>
    </w:p>
    <w:p w14:paraId="063ED926" w14:textId="008CEA28" w:rsidR="00117485"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d.</w:t>
      </w:r>
      <w:r w:rsidRPr="00B0760E">
        <w:rPr>
          <w:rFonts w:ascii="Arial" w:hAnsi="Arial" w:cs="Arial"/>
          <w:color w:val="000000" w:themeColor="text1"/>
          <w:sz w:val="24"/>
          <w:szCs w:val="24"/>
        </w:rPr>
        <w:tab/>
      </w:r>
      <w:r w:rsidR="00117485" w:rsidRPr="002D0A15">
        <w:rPr>
          <w:rFonts w:ascii="Arial" w:hAnsi="Arial" w:cs="Arial"/>
          <w:color w:val="000000" w:themeColor="text1"/>
          <w:sz w:val="24"/>
          <w:szCs w:val="24"/>
        </w:rPr>
        <w:t>Transcripts of the communication/s between ZS-XAT and ZSXAS and between both aircraft and the respective control towers L/ATNS;</w:t>
      </w:r>
    </w:p>
    <w:p w14:paraId="341D4D3D" w14:textId="652ADA13" w:rsidR="00117485"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e.</w:t>
      </w:r>
      <w:r w:rsidRPr="00B0760E">
        <w:rPr>
          <w:rFonts w:ascii="Arial" w:hAnsi="Arial" w:cs="Arial"/>
          <w:color w:val="000000" w:themeColor="text1"/>
          <w:sz w:val="24"/>
          <w:szCs w:val="24"/>
        </w:rPr>
        <w:tab/>
      </w:r>
      <w:r w:rsidR="00117485" w:rsidRPr="002D0A15">
        <w:rPr>
          <w:rFonts w:ascii="Arial" w:hAnsi="Arial" w:cs="Arial"/>
          <w:color w:val="000000" w:themeColor="text1"/>
          <w:sz w:val="24"/>
          <w:szCs w:val="24"/>
        </w:rPr>
        <w:t xml:space="preserve">Witness </w:t>
      </w:r>
      <w:r w:rsidR="00245167" w:rsidRPr="002D0A15">
        <w:rPr>
          <w:rFonts w:ascii="Arial" w:hAnsi="Arial" w:cs="Arial"/>
          <w:color w:val="000000" w:themeColor="text1"/>
          <w:sz w:val="24"/>
          <w:szCs w:val="24"/>
        </w:rPr>
        <w:t>State</w:t>
      </w:r>
      <w:r w:rsidR="00117485" w:rsidRPr="002D0A15">
        <w:rPr>
          <w:rFonts w:ascii="Arial" w:hAnsi="Arial" w:cs="Arial"/>
          <w:color w:val="000000" w:themeColor="text1"/>
          <w:sz w:val="24"/>
          <w:szCs w:val="24"/>
        </w:rPr>
        <w:t>ments relating to and considered towards determining the final conclusion/s of AIID Investigation;</w:t>
      </w:r>
    </w:p>
    <w:p w14:paraId="6328ED1B" w14:textId="46B182A3" w:rsidR="00117485"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f.</w:t>
      </w:r>
      <w:r w:rsidRPr="00B0760E">
        <w:rPr>
          <w:rFonts w:ascii="Arial" w:hAnsi="Arial" w:cs="Arial"/>
          <w:color w:val="000000" w:themeColor="text1"/>
          <w:sz w:val="24"/>
          <w:szCs w:val="24"/>
        </w:rPr>
        <w:tab/>
      </w:r>
      <w:r w:rsidR="00117485" w:rsidRPr="002D0A15">
        <w:rPr>
          <w:rFonts w:ascii="Arial" w:hAnsi="Arial" w:cs="Arial"/>
          <w:color w:val="000000" w:themeColor="text1"/>
          <w:sz w:val="24"/>
          <w:szCs w:val="24"/>
        </w:rPr>
        <w:t>Accident Site and other photographs used for the AIID Investigation;</w:t>
      </w:r>
    </w:p>
    <w:p w14:paraId="6E1A47DE" w14:textId="718E412E" w:rsidR="00117485" w:rsidRPr="002D0A15" w:rsidRDefault="002D0A15" w:rsidP="002D0A15">
      <w:pPr>
        <w:tabs>
          <w:tab w:val="right" w:pos="8208"/>
        </w:tabs>
        <w:spacing w:before="120" w:line="360" w:lineRule="auto"/>
        <w:ind w:left="1440" w:hanging="357"/>
        <w:jc w:val="both"/>
        <w:rPr>
          <w:rFonts w:ascii="Arial" w:hAnsi="Arial" w:cs="Arial"/>
          <w:color w:val="000000" w:themeColor="text1"/>
          <w:sz w:val="24"/>
          <w:szCs w:val="24"/>
        </w:rPr>
      </w:pPr>
      <w:r w:rsidRPr="008761B2">
        <w:rPr>
          <w:rFonts w:ascii="Arial" w:hAnsi="Arial" w:cs="Arial"/>
          <w:color w:val="000000" w:themeColor="text1"/>
          <w:sz w:val="24"/>
          <w:szCs w:val="24"/>
        </w:rPr>
        <w:t>g.</w:t>
      </w:r>
      <w:r w:rsidRPr="008761B2">
        <w:rPr>
          <w:rFonts w:ascii="Arial" w:hAnsi="Arial" w:cs="Arial"/>
          <w:color w:val="000000" w:themeColor="text1"/>
          <w:sz w:val="24"/>
          <w:szCs w:val="24"/>
        </w:rPr>
        <w:tab/>
      </w:r>
      <w:r w:rsidR="00117485" w:rsidRPr="002D0A15">
        <w:rPr>
          <w:rFonts w:ascii="Arial" w:hAnsi="Arial" w:cs="Arial"/>
          <w:color w:val="000000" w:themeColor="text1"/>
          <w:sz w:val="24"/>
          <w:szCs w:val="24"/>
        </w:rPr>
        <w:t>Engine OEM teardown report Vector P&amp;W;</w:t>
      </w:r>
    </w:p>
    <w:p w14:paraId="0647C6D5" w14:textId="3A726EF4" w:rsidR="004528E5" w:rsidRPr="002D0A15" w:rsidRDefault="002D0A15" w:rsidP="002D0A15">
      <w:pPr>
        <w:spacing w:before="120" w:line="360" w:lineRule="auto"/>
        <w:ind w:left="720" w:hanging="357"/>
        <w:jc w:val="both"/>
        <w:rPr>
          <w:rFonts w:ascii="Arial" w:hAnsi="Arial" w:cs="Arial"/>
          <w:color w:val="000000" w:themeColor="text1"/>
          <w:sz w:val="24"/>
          <w:szCs w:val="24"/>
        </w:rPr>
      </w:pPr>
      <w:r w:rsidRPr="00B0760E">
        <w:rPr>
          <w:rFonts w:ascii="Arial" w:hAnsi="Arial" w:cs="Arial"/>
          <w:color w:val="000000" w:themeColor="text1"/>
          <w:sz w:val="24"/>
          <w:szCs w:val="24"/>
        </w:rPr>
        <w:t>2.</w:t>
      </w:r>
      <w:r w:rsidRPr="00B0760E">
        <w:rPr>
          <w:rFonts w:ascii="Arial" w:hAnsi="Arial" w:cs="Arial"/>
          <w:color w:val="000000" w:themeColor="text1"/>
          <w:sz w:val="24"/>
          <w:szCs w:val="24"/>
        </w:rPr>
        <w:tab/>
      </w:r>
      <w:r w:rsidR="004C6864"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4C6864" w:rsidRPr="002D0A15">
        <w:rPr>
          <w:rFonts w:ascii="Arial" w:hAnsi="Arial" w:cs="Arial"/>
          <w:color w:val="000000" w:themeColor="text1"/>
          <w:sz w:val="24"/>
          <w:szCs w:val="24"/>
        </w:rPr>
        <w:t xml:space="preserve"> shall within </w:t>
      </w:r>
      <w:r w:rsidR="00AF5B8C" w:rsidRPr="002D0A15">
        <w:rPr>
          <w:rFonts w:ascii="Arial" w:hAnsi="Arial" w:cs="Arial"/>
          <w:color w:val="000000" w:themeColor="text1"/>
          <w:sz w:val="24"/>
          <w:szCs w:val="24"/>
        </w:rPr>
        <w:t>1</w:t>
      </w:r>
      <w:r w:rsidR="007F3C0D" w:rsidRPr="002D0A15">
        <w:rPr>
          <w:rFonts w:ascii="Arial" w:hAnsi="Arial" w:cs="Arial"/>
          <w:color w:val="000000" w:themeColor="text1"/>
          <w:sz w:val="24"/>
          <w:szCs w:val="24"/>
        </w:rPr>
        <w:t>5</w:t>
      </w:r>
      <w:r w:rsidR="00AF5B8C" w:rsidRPr="002D0A15">
        <w:rPr>
          <w:rFonts w:ascii="Arial" w:hAnsi="Arial" w:cs="Arial"/>
          <w:color w:val="000000" w:themeColor="text1"/>
          <w:sz w:val="24"/>
          <w:szCs w:val="24"/>
        </w:rPr>
        <w:t xml:space="preserve"> business days of this order</w:t>
      </w:r>
      <w:r w:rsidR="00BF5DA5" w:rsidRPr="002D0A15">
        <w:rPr>
          <w:rFonts w:ascii="Arial" w:hAnsi="Arial" w:cs="Arial"/>
          <w:color w:val="000000" w:themeColor="text1"/>
          <w:sz w:val="24"/>
          <w:szCs w:val="24"/>
        </w:rPr>
        <w:t xml:space="preserve"> take all </w:t>
      </w:r>
      <w:r w:rsidR="00AB30DC" w:rsidRPr="002D0A15">
        <w:rPr>
          <w:rFonts w:ascii="Arial" w:hAnsi="Arial" w:cs="Arial"/>
          <w:color w:val="000000" w:themeColor="text1"/>
          <w:sz w:val="24"/>
          <w:szCs w:val="24"/>
        </w:rPr>
        <w:t>reasonable</w:t>
      </w:r>
      <w:r w:rsidR="00BF5DA5" w:rsidRPr="002D0A15">
        <w:rPr>
          <w:rFonts w:ascii="Arial" w:hAnsi="Arial" w:cs="Arial"/>
          <w:color w:val="000000" w:themeColor="text1"/>
          <w:sz w:val="24"/>
          <w:szCs w:val="24"/>
        </w:rPr>
        <w:t xml:space="preserve"> steps</w:t>
      </w:r>
      <w:r w:rsidR="0036222A" w:rsidRPr="002D0A15">
        <w:rPr>
          <w:rFonts w:ascii="Arial" w:hAnsi="Arial" w:cs="Arial"/>
          <w:color w:val="000000" w:themeColor="text1"/>
          <w:sz w:val="24"/>
          <w:szCs w:val="24"/>
        </w:rPr>
        <w:t xml:space="preserve"> to find or determine the existence of the following records</w:t>
      </w:r>
      <w:r w:rsidR="00EB7AF4" w:rsidRPr="002D0A15">
        <w:rPr>
          <w:rFonts w:ascii="Arial" w:hAnsi="Arial" w:cs="Arial"/>
          <w:color w:val="000000" w:themeColor="text1"/>
          <w:sz w:val="24"/>
          <w:szCs w:val="24"/>
        </w:rPr>
        <w:t>:</w:t>
      </w:r>
    </w:p>
    <w:p w14:paraId="7CCFA561" w14:textId="35D2B447" w:rsidR="00D727EC"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D727EC" w:rsidRPr="002D0A15">
        <w:rPr>
          <w:rFonts w:ascii="Arial" w:hAnsi="Arial" w:cs="Arial"/>
          <w:color w:val="000000" w:themeColor="text1"/>
          <w:sz w:val="24"/>
          <w:szCs w:val="24"/>
        </w:rPr>
        <w:t>Detailed accident site plots showing the locations of each part;</w:t>
      </w:r>
    </w:p>
    <w:p w14:paraId="64EA115B" w14:textId="0299CC53" w:rsidR="00D727EC"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D727EC" w:rsidRPr="002D0A15">
        <w:rPr>
          <w:rFonts w:ascii="Arial" w:hAnsi="Arial" w:cs="Arial"/>
          <w:color w:val="000000" w:themeColor="text1"/>
          <w:sz w:val="24"/>
          <w:szCs w:val="24"/>
        </w:rPr>
        <w:t>Post-accident control surfaces Service Ability Inspection Report; and</w:t>
      </w:r>
    </w:p>
    <w:p w14:paraId="02A8C3AD" w14:textId="2919F8B0" w:rsidR="00D727EC" w:rsidRPr="002D0A15" w:rsidRDefault="002D0A15" w:rsidP="002D0A15">
      <w:pPr>
        <w:tabs>
          <w:tab w:val="right" w:pos="8208"/>
        </w:tabs>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c.</w:t>
      </w:r>
      <w:r w:rsidRPr="00B0760E">
        <w:rPr>
          <w:rFonts w:ascii="Arial" w:hAnsi="Arial" w:cs="Arial"/>
          <w:color w:val="000000" w:themeColor="text1"/>
          <w:sz w:val="24"/>
          <w:szCs w:val="24"/>
        </w:rPr>
        <w:tab/>
      </w:r>
      <w:r w:rsidR="00D727EC" w:rsidRPr="002D0A15">
        <w:rPr>
          <w:rFonts w:ascii="Arial" w:hAnsi="Arial" w:cs="Arial"/>
          <w:color w:val="000000" w:themeColor="text1"/>
          <w:sz w:val="24"/>
          <w:szCs w:val="24"/>
        </w:rPr>
        <w:t>Human Factors Analysis Report</w:t>
      </w:r>
    </w:p>
    <w:p w14:paraId="2A928750" w14:textId="6A5A9AE0" w:rsidR="00917A16" w:rsidRPr="002D0A15" w:rsidRDefault="002D0A15" w:rsidP="002D0A15">
      <w:pPr>
        <w:spacing w:before="120" w:line="360" w:lineRule="auto"/>
        <w:ind w:left="714" w:hanging="357"/>
        <w:jc w:val="both"/>
        <w:rPr>
          <w:rFonts w:ascii="Arial" w:hAnsi="Arial" w:cs="Arial"/>
          <w:color w:val="000000" w:themeColor="text1"/>
          <w:sz w:val="24"/>
          <w:szCs w:val="24"/>
        </w:rPr>
      </w:pPr>
      <w:r w:rsidRPr="00B0760E">
        <w:rPr>
          <w:rFonts w:ascii="Arial" w:hAnsi="Arial" w:cs="Arial"/>
          <w:color w:val="000000" w:themeColor="text1"/>
          <w:sz w:val="24"/>
          <w:szCs w:val="24"/>
        </w:rPr>
        <w:t>3.</w:t>
      </w:r>
      <w:r w:rsidRPr="00B0760E">
        <w:rPr>
          <w:rFonts w:ascii="Arial" w:hAnsi="Arial" w:cs="Arial"/>
          <w:color w:val="000000" w:themeColor="text1"/>
          <w:sz w:val="24"/>
          <w:szCs w:val="24"/>
        </w:rPr>
        <w:tab/>
      </w:r>
      <w:r w:rsidR="00917A16" w:rsidRPr="002D0A15">
        <w:rPr>
          <w:rFonts w:ascii="Arial" w:hAnsi="Arial" w:cs="Arial"/>
          <w:color w:val="000000" w:themeColor="text1"/>
          <w:sz w:val="24"/>
          <w:szCs w:val="24"/>
        </w:rPr>
        <w:t>In the event that a record as per 2 above,</w:t>
      </w:r>
      <w:r w:rsidR="00BD3A6B" w:rsidRPr="002D0A15">
        <w:rPr>
          <w:rFonts w:ascii="Arial" w:hAnsi="Arial" w:cs="Arial"/>
          <w:color w:val="000000" w:themeColor="text1"/>
          <w:sz w:val="24"/>
          <w:szCs w:val="24"/>
        </w:rPr>
        <w:t xml:space="preserve"> is</w:t>
      </w:r>
      <w:r w:rsidR="00634B32" w:rsidRPr="002D0A15">
        <w:rPr>
          <w:rFonts w:ascii="Arial" w:hAnsi="Arial" w:cs="Arial"/>
          <w:color w:val="000000" w:themeColor="text1"/>
          <w:sz w:val="24"/>
          <w:szCs w:val="24"/>
        </w:rPr>
        <w:t xml:space="preserve"> under the control of the </w:t>
      </w:r>
      <w:r w:rsidR="00566C8A" w:rsidRPr="002D0A15">
        <w:rPr>
          <w:rFonts w:ascii="Arial" w:hAnsi="Arial" w:cs="Arial"/>
          <w:color w:val="000000" w:themeColor="text1"/>
          <w:sz w:val="24"/>
          <w:szCs w:val="24"/>
        </w:rPr>
        <w:t>Respondent</w:t>
      </w:r>
      <w:r w:rsidR="00634B32" w:rsidRPr="002D0A15">
        <w:rPr>
          <w:rFonts w:ascii="Arial" w:hAnsi="Arial" w:cs="Arial"/>
          <w:color w:val="000000" w:themeColor="text1"/>
          <w:sz w:val="24"/>
          <w:szCs w:val="24"/>
        </w:rPr>
        <w:t>, but</w:t>
      </w:r>
      <w:r w:rsidR="00BD3A6B" w:rsidRPr="002D0A15">
        <w:rPr>
          <w:rFonts w:ascii="Arial" w:hAnsi="Arial" w:cs="Arial"/>
          <w:color w:val="000000" w:themeColor="text1"/>
          <w:sz w:val="24"/>
          <w:szCs w:val="24"/>
        </w:rPr>
        <w:t xml:space="preserve"> </w:t>
      </w:r>
      <w:r w:rsidR="00C04098" w:rsidRPr="002D0A15">
        <w:rPr>
          <w:rFonts w:ascii="Arial" w:hAnsi="Arial" w:cs="Arial"/>
          <w:color w:val="000000" w:themeColor="text1"/>
          <w:sz w:val="24"/>
          <w:szCs w:val="24"/>
        </w:rPr>
        <w:t xml:space="preserve">not in its possession, </w:t>
      </w:r>
      <w:r w:rsidR="00917A16"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917A16" w:rsidRPr="002D0A15">
        <w:rPr>
          <w:rFonts w:ascii="Arial" w:hAnsi="Arial" w:cs="Arial"/>
          <w:color w:val="000000" w:themeColor="text1"/>
          <w:sz w:val="24"/>
          <w:szCs w:val="24"/>
        </w:rPr>
        <w:t xml:space="preserve"> shall within </w:t>
      </w:r>
      <w:r w:rsidR="00ED64DF" w:rsidRPr="002D0A15">
        <w:rPr>
          <w:rFonts w:ascii="Arial" w:hAnsi="Arial" w:cs="Arial"/>
          <w:color w:val="000000" w:themeColor="text1"/>
          <w:sz w:val="24"/>
          <w:szCs w:val="24"/>
        </w:rPr>
        <w:t>1</w:t>
      </w:r>
      <w:r w:rsidR="00C04098" w:rsidRPr="002D0A15">
        <w:rPr>
          <w:rFonts w:ascii="Arial" w:hAnsi="Arial" w:cs="Arial"/>
          <w:color w:val="000000" w:themeColor="text1"/>
          <w:sz w:val="24"/>
          <w:szCs w:val="24"/>
        </w:rPr>
        <w:t>5</w:t>
      </w:r>
      <w:r w:rsidR="00917A16" w:rsidRPr="002D0A15">
        <w:rPr>
          <w:rFonts w:ascii="Arial" w:hAnsi="Arial" w:cs="Arial"/>
          <w:color w:val="000000" w:themeColor="text1"/>
          <w:sz w:val="24"/>
          <w:szCs w:val="24"/>
        </w:rPr>
        <w:t xml:space="preserve"> business days of this order</w:t>
      </w:r>
      <w:r w:rsidR="00C8671C" w:rsidRPr="002D0A15">
        <w:rPr>
          <w:rFonts w:ascii="Arial" w:hAnsi="Arial" w:cs="Arial"/>
          <w:color w:val="000000" w:themeColor="text1"/>
          <w:sz w:val="24"/>
          <w:szCs w:val="24"/>
        </w:rPr>
        <w:t xml:space="preserve"> obtain the record from the person, entity or body in whose possession it is</w:t>
      </w:r>
      <w:r w:rsidR="009A7D2B" w:rsidRPr="002D0A15">
        <w:rPr>
          <w:rFonts w:ascii="Arial" w:hAnsi="Arial" w:cs="Arial"/>
          <w:color w:val="000000" w:themeColor="text1"/>
          <w:sz w:val="24"/>
          <w:szCs w:val="24"/>
        </w:rPr>
        <w:t xml:space="preserve"> and </w:t>
      </w:r>
      <w:r w:rsidR="00A50390" w:rsidRPr="002D0A15">
        <w:rPr>
          <w:rFonts w:ascii="Arial" w:hAnsi="Arial" w:cs="Arial"/>
          <w:color w:val="000000" w:themeColor="text1"/>
          <w:sz w:val="24"/>
          <w:szCs w:val="24"/>
        </w:rPr>
        <w:t>make the original</w:t>
      </w:r>
      <w:r w:rsidR="009A7D2B" w:rsidRPr="002D0A15">
        <w:rPr>
          <w:rFonts w:ascii="Arial" w:hAnsi="Arial" w:cs="Arial"/>
          <w:color w:val="000000" w:themeColor="text1"/>
          <w:sz w:val="24"/>
          <w:szCs w:val="24"/>
        </w:rPr>
        <w:t xml:space="preserve"> record</w:t>
      </w:r>
      <w:r w:rsidR="00A50390" w:rsidRPr="002D0A15">
        <w:rPr>
          <w:rFonts w:ascii="Arial" w:hAnsi="Arial" w:cs="Arial"/>
          <w:color w:val="000000" w:themeColor="text1"/>
          <w:sz w:val="24"/>
          <w:szCs w:val="24"/>
        </w:rPr>
        <w:t xml:space="preserve"> available for inspection by the </w:t>
      </w:r>
      <w:r w:rsidR="00566C8A" w:rsidRPr="002D0A15">
        <w:rPr>
          <w:rFonts w:ascii="Arial" w:hAnsi="Arial" w:cs="Arial"/>
          <w:color w:val="000000" w:themeColor="text1"/>
          <w:sz w:val="24"/>
          <w:szCs w:val="24"/>
        </w:rPr>
        <w:t>Applicant</w:t>
      </w:r>
      <w:r w:rsidR="00A2749D" w:rsidRPr="002D0A15">
        <w:rPr>
          <w:rFonts w:ascii="Arial" w:hAnsi="Arial" w:cs="Arial"/>
          <w:color w:val="000000" w:themeColor="text1"/>
          <w:sz w:val="24"/>
          <w:szCs w:val="24"/>
        </w:rPr>
        <w:t xml:space="preserve"> or </w:t>
      </w:r>
      <w:r w:rsidR="00A50390" w:rsidRPr="002D0A15">
        <w:rPr>
          <w:rFonts w:ascii="Arial" w:hAnsi="Arial" w:cs="Arial"/>
          <w:color w:val="000000" w:themeColor="text1"/>
          <w:sz w:val="24"/>
          <w:szCs w:val="24"/>
        </w:rPr>
        <w:t>her representatives</w:t>
      </w:r>
      <w:r w:rsidR="00C8671C" w:rsidRPr="002D0A15">
        <w:rPr>
          <w:rFonts w:ascii="Arial" w:hAnsi="Arial" w:cs="Arial"/>
          <w:color w:val="000000" w:themeColor="text1"/>
          <w:sz w:val="24"/>
          <w:szCs w:val="24"/>
        </w:rPr>
        <w:t xml:space="preserve"> </w:t>
      </w:r>
      <w:r w:rsidR="00A2749D" w:rsidRPr="002D0A15">
        <w:rPr>
          <w:rFonts w:ascii="Arial" w:hAnsi="Arial" w:cs="Arial"/>
          <w:color w:val="000000" w:themeColor="text1"/>
          <w:sz w:val="24"/>
          <w:szCs w:val="24"/>
        </w:rPr>
        <w:t xml:space="preserve">or any experts appointed by her </w:t>
      </w:r>
      <w:r w:rsidR="00C8671C" w:rsidRPr="002D0A15">
        <w:rPr>
          <w:rFonts w:ascii="Arial" w:hAnsi="Arial" w:cs="Arial"/>
          <w:color w:val="000000" w:themeColor="text1"/>
          <w:sz w:val="24"/>
          <w:szCs w:val="24"/>
        </w:rPr>
        <w:t xml:space="preserve">and furnish </w:t>
      </w:r>
      <w:r w:rsidR="00A2749D" w:rsidRPr="002D0A15">
        <w:rPr>
          <w:rFonts w:ascii="Arial" w:hAnsi="Arial" w:cs="Arial"/>
          <w:color w:val="000000" w:themeColor="text1"/>
          <w:sz w:val="24"/>
          <w:szCs w:val="24"/>
        </w:rPr>
        <w:t>clear copies thereof</w:t>
      </w:r>
      <w:r w:rsidR="00C8671C" w:rsidRPr="002D0A15">
        <w:rPr>
          <w:rFonts w:ascii="Arial" w:hAnsi="Arial" w:cs="Arial"/>
          <w:color w:val="000000" w:themeColor="text1"/>
          <w:sz w:val="24"/>
          <w:szCs w:val="24"/>
        </w:rPr>
        <w:t xml:space="preserve"> to the </w:t>
      </w:r>
      <w:r w:rsidR="00566C8A" w:rsidRPr="002D0A15">
        <w:rPr>
          <w:rFonts w:ascii="Arial" w:hAnsi="Arial" w:cs="Arial"/>
          <w:color w:val="000000" w:themeColor="text1"/>
          <w:sz w:val="24"/>
          <w:szCs w:val="24"/>
        </w:rPr>
        <w:t>Applicant</w:t>
      </w:r>
      <w:r w:rsidR="00C8671C" w:rsidRPr="002D0A15">
        <w:rPr>
          <w:rFonts w:ascii="Arial" w:hAnsi="Arial" w:cs="Arial"/>
          <w:color w:val="000000" w:themeColor="text1"/>
          <w:sz w:val="24"/>
          <w:szCs w:val="24"/>
        </w:rPr>
        <w:t>.</w:t>
      </w:r>
    </w:p>
    <w:p w14:paraId="38572D4F" w14:textId="0ED00D5E" w:rsidR="0036222A" w:rsidRPr="002D0A15" w:rsidRDefault="002D0A15" w:rsidP="002D0A15">
      <w:pPr>
        <w:spacing w:before="120" w:line="360" w:lineRule="auto"/>
        <w:ind w:left="714" w:hanging="357"/>
        <w:jc w:val="both"/>
        <w:rPr>
          <w:rFonts w:ascii="Arial" w:hAnsi="Arial" w:cs="Arial"/>
          <w:color w:val="000000" w:themeColor="text1"/>
          <w:sz w:val="24"/>
          <w:szCs w:val="24"/>
        </w:rPr>
      </w:pPr>
      <w:r w:rsidRPr="00B0760E">
        <w:rPr>
          <w:rFonts w:ascii="Arial" w:hAnsi="Arial" w:cs="Arial"/>
          <w:color w:val="000000" w:themeColor="text1"/>
          <w:sz w:val="24"/>
          <w:szCs w:val="24"/>
        </w:rPr>
        <w:t>4.</w:t>
      </w:r>
      <w:r w:rsidRPr="00B0760E">
        <w:rPr>
          <w:rFonts w:ascii="Arial" w:hAnsi="Arial" w:cs="Arial"/>
          <w:color w:val="000000" w:themeColor="text1"/>
          <w:sz w:val="24"/>
          <w:szCs w:val="24"/>
        </w:rPr>
        <w:tab/>
      </w:r>
      <w:r w:rsidR="009F5A86" w:rsidRPr="002D0A15">
        <w:rPr>
          <w:rFonts w:ascii="Arial" w:hAnsi="Arial" w:cs="Arial"/>
          <w:color w:val="000000" w:themeColor="text1"/>
          <w:sz w:val="24"/>
          <w:szCs w:val="24"/>
        </w:rPr>
        <w:t xml:space="preserve">In the event that </w:t>
      </w:r>
      <w:r w:rsidR="00CB20B5" w:rsidRPr="002D0A15">
        <w:rPr>
          <w:rFonts w:ascii="Arial" w:hAnsi="Arial" w:cs="Arial"/>
          <w:color w:val="000000" w:themeColor="text1"/>
          <w:sz w:val="24"/>
          <w:szCs w:val="24"/>
        </w:rPr>
        <w:t>a record</w:t>
      </w:r>
      <w:r w:rsidR="009F5A86" w:rsidRPr="002D0A15">
        <w:rPr>
          <w:rFonts w:ascii="Arial" w:hAnsi="Arial" w:cs="Arial"/>
          <w:color w:val="000000" w:themeColor="text1"/>
          <w:sz w:val="24"/>
          <w:szCs w:val="24"/>
        </w:rPr>
        <w:t xml:space="preserve"> as per </w:t>
      </w:r>
      <w:r w:rsidR="002C6F7B" w:rsidRPr="002D0A15">
        <w:rPr>
          <w:rFonts w:ascii="Arial" w:hAnsi="Arial" w:cs="Arial"/>
          <w:color w:val="000000" w:themeColor="text1"/>
          <w:sz w:val="24"/>
          <w:szCs w:val="24"/>
        </w:rPr>
        <w:t xml:space="preserve">2 above do not exist, the </w:t>
      </w:r>
      <w:r w:rsidR="00566C8A" w:rsidRPr="002D0A15">
        <w:rPr>
          <w:rFonts w:ascii="Arial" w:hAnsi="Arial" w:cs="Arial"/>
          <w:color w:val="000000" w:themeColor="text1"/>
          <w:sz w:val="24"/>
          <w:szCs w:val="24"/>
        </w:rPr>
        <w:t>Respondent</w:t>
      </w:r>
      <w:r w:rsidR="002C6F7B" w:rsidRPr="002D0A15">
        <w:rPr>
          <w:rFonts w:ascii="Arial" w:hAnsi="Arial" w:cs="Arial"/>
          <w:color w:val="000000" w:themeColor="text1"/>
          <w:sz w:val="24"/>
          <w:szCs w:val="24"/>
        </w:rPr>
        <w:t xml:space="preserve"> shall within 15 business days of this order</w:t>
      </w:r>
      <w:r w:rsidR="00106D08" w:rsidRPr="002D0A15">
        <w:rPr>
          <w:rFonts w:ascii="Arial" w:hAnsi="Arial" w:cs="Arial"/>
          <w:color w:val="000000" w:themeColor="text1"/>
          <w:sz w:val="24"/>
          <w:szCs w:val="24"/>
        </w:rPr>
        <w:t>:</w:t>
      </w:r>
    </w:p>
    <w:p w14:paraId="6A60F2F9" w14:textId="4E0EC278" w:rsidR="00106D08" w:rsidRPr="002D0A15" w:rsidRDefault="002D0A15" w:rsidP="002D0A15">
      <w:pPr>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lastRenderedPageBreak/>
        <w:t>a.</w:t>
      </w:r>
      <w:r w:rsidRPr="00B0760E">
        <w:rPr>
          <w:rFonts w:ascii="Arial" w:hAnsi="Arial" w:cs="Arial"/>
          <w:color w:val="000000" w:themeColor="text1"/>
          <w:sz w:val="24"/>
          <w:szCs w:val="24"/>
        </w:rPr>
        <w:tab/>
      </w:r>
      <w:r w:rsidR="00106D08" w:rsidRPr="002D0A15">
        <w:rPr>
          <w:rFonts w:ascii="Arial" w:hAnsi="Arial" w:cs="Arial"/>
          <w:color w:val="000000" w:themeColor="text1"/>
          <w:sz w:val="24"/>
          <w:szCs w:val="24"/>
        </w:rPr>
        <w:t xml:space="preserve">Furnish the </w:t>
      </w:r>
      <w:r w:rsidR="00566C8A" w:rsidRPr="002D0A15">
        <w:rPr>
          <w:rFonts w:ascii="Arial" w:hAnsi="Arial" w:cs="Arial"/>
          <w:color w:val="000000" w:themeColor="text1"/>
          <w:sz w:val="24"/>
          <w:szCs w:val="24"/>
        </w:rPr>
        <w:t>Applicant</w:t>
      </w:r>
      <w:r w:rsidR="00106D08" w:rsidRPr="002D0A15">
        <w:rPr>
          <w:rFonts w:ascii="Arial" w:hAnsi="Arial" w:cs="Arial"/>
          <w:color w:val="000000" w:themeColor="text1"/>
          <w:sz w:val="24"/>
          <w:szCs w:val="24"/>
        </w:rPr>
        <w:t xml:space="preserve"> with an affidavit</w:t>
      </w:r>
      <w:r w:rsidR="007C3203" w:rsidRPr="002D0A15">
        <w:rPr>
          <w:rFonts w:ascii="Arial" w:hAnsi="Arial" w:cs="Arial"/>
          <w:color w:val="000000" w:themeColor="text1"/>
          <w:sz w:val="24"/>
          <w:szCs w:val="24"/>
        </w:rPr>
        <w:t xml:space="preserve"> for each record it claims does not exist</w:t>
      </w:r>
      <w:r w:rsidR="002236FC" w:rsidRPr="002D0A15">
        <w:rPr>
          <w:rFonts w:ascii="Arial" w:hAnsi="Arial" w:cs="Arial"/>
          <w:color w:val="000000" w:themeColor="text1"/>
          <w:sz w:val="24"/>
          <w:szCs w:val="24"/>
        </w:rPr>
        <w:t>,</w:t>
      </w:r>
      <w:r w:rsidR="00106D08" w:rsidRPr="002D0A15">
        <w:rPr>
          <w:rFonts w:ascii="Arial" w:hAnsi="Arial" w:cs="Arial"/>
          <w:color w:val="000000" w:themeColor="text1"/>
          <w:sz w:val="24"/>
          <w:szCs w:val="24"/>
        </w:rPr>
        <w:t xml:space="preserve"> deposed to by its </w:t>
      </w:r>
      <w:r w:rsidR="003D4654" w:rsidRPr="002D0A15">
        <w:rPr>
          <w:rFonts w:ascii="Arial" w:hAnsi="Arial" w:cs="Arial"/>
          <w:color w:val="000000" w:themeColor="text1"/>
          <w:sz w:val="24"/>
          <w:szCs w:val="24"/>
        </w:rPr>
        <w:t xml:space="preserve">Chief Information officer, or if not possible, its deputy information officer, </w:t>
      </w:r>
      <w:r w:rsidR="007C3203" w:rsidRPr="002D0A15">
        <w:rPr>
          <w:rFonts w:ascii="Arial" w:hAnsi="Arial" w:cs="Arial"/>
          <w:color w:val="000000" w:themeColor="text1"/>
          <w:sz w:val="24"/>
          <w:szCs w:val="24"/>
        </w:rPr>
        <w:t xml:space="preserve">setting out </w:t>
      </w:r>
      <w:r w:rsidR="002236FC" w:rsidRPr="002D0A15">
        <w:rPr>
          <w:rFonts w:ascii="Arial" w:hAnsi="Arial" w:cs="Arial"/>
          <w:color w:val="000000" w:themeColor="text1"/>
          <w:sz w:val="24"/>
          <w:szCs w:val="24"/>
        </w:rPr>
        <w:t>a full account of all steps taken to determine whether the record exists</w:t>
      </w:r>
      <w:r w:rsidR="00430CD4" w:rsidRPr="002D0A15">
        <w:rPr>
          <w:rFonts w:ascii="Arial" w:hAnsi="Arial" w:cs="Arial"/>
          <w:color w:val="000000" w:themeColor="text1"/>
          <w:sz w:val="24"/>
          <w:szCs w:val="24"/>
        </w:rPr>
        <w:t xml:space="preserve"> and the basis for the conclusion that the record does not exist</w:t>
      </w:r>
      <w:r w:rsidR="002236FC" w:rsidRPr="002D0A15">
        <w:rPr>
          <w:rFonts w:ascii="Arial" w:hAnsi="Arial" w:cs="Arial"/>
          <w:color w:val="000000" w:themeColor="text1"/>
          <w:sz w:val="24"/>
          <w:szCs w:val="24"/>
        </w:rPr>
        <w:t>, including all communications with every person</w:t>
      </w:r>
      <w:r w:rsidR="002E74E4" w:rsidRPr="002D0A15">
        <w:rPr>
          <w:rFonts w:ascii="Arial" w:hAnsi="Arial" w:cs="Arial"/>
          <w:color w:val="000000" w:themeColor="text1"/>
          <w:sz w:val="24"/>
          <w:szCs w:val="24"/>
        </w:rPr>
        <w:t xml:space="preserve"> </w:t>
      </w:r>
      <w:r w:rsidR="00F33100" w:rsidRPr="002D0A15">
        <w:rPr>
          <w:rFonts w:ascii="Arial" w:hAnsi="Arial" w:cs="Arial"/>
          <w:color w:val="000000" w:themeColor="text1"/>
          <w:sz w:val="24"/>
          <w:szCs w:val="24"/>
        </w:rPr>
        <w:t>on whose advice it was determined that the record does not exist.</w:t>
      </w:r>
    </w:p>
    <w:p w14:paraId="6BB9620E" w14:textId="2533C90A" w:rsidR="0043545B" w:rsidRPr="002D0A15" w:rsidRDefault="002D0A15" w:rsidP="002D0A15">
      <w:pPr>
        <w:spacing w:before="120" w:line="360" w:lineRule="auto"/>
        <w:ind w:left="1440" w:hanging="357"/>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43545B" w:rsidRPr="002D0A15">
        <w:rPr>
          <w:rFonts w:ascii="Arial" w:hAnsi="Arial" w:cs="Arial"/>
          <w:color w:val="000000" w:themeColor="text1"/>
          <w:sz w:val="24"/>
          <w:szCs w:val="24"/>
        </w:rPr>
        <w:t xml:space="preserve">Confirmatory affidavits </w:t>
      </w:r>
      <w:r w:rsidR="00A26799" w:rsidRPr="002D0A15">
        <w:rPr>
          <w:rFonts w:ascii="Arial" w:hAnsi="Arial" w:cs="Arial"/>
          <w:color w:val="000000" w:themeColor="text1"/>
          <w:sz w:val="24"/>
          <w:szCs w:val="24"/>
        </w:rPr>
        <w:t>from each person referred to in the affidavit as per 3a above.</w:t>
      </w:r>
    </w:p>
    <w:p w14:paraId="25E52FFF" w14:textId="4E1FDF8B" w:rsidR="00A26799" w:rsidRPr="002D0A15" w:rsidRDefault="002D0A15" w:rsidP="002D0A15">
      <w:pPr>
        <w:spacing w:before="120" w:line="360" w:lineRule="auto"/>
        <w:ind w:left="720" w:hanging="357"/>
        <w:jc w:val="both"/>
        <w:rPr>
          <w:rFonts w:ascii="Arial" w:hAnsi="Arial" w:cs="Arial"/>
          <w:color w:val="000000" w:themeColor="text1"/>
          <w:sz w:val="24"/>
          <w:szCs w:val="24"/>
        </w:rPr>
      </w:pPr>
      <w:r w:rsidRPr="00B0760E">
        <w:rPr>
          <w:rFonts w:ascii="Arial" w:hAnsi="Arial" w:cs="Arial"/>
          <w:color w:val="000000" w:themeColor="text1"/>
          <w:sz w:val="24"/>
          <w:szCs w:val="24"/>
        </w:rPr>
        <w:t>5.</w:t>
      </w:r>
      <w:r w:rsidRPr="00B0760E">
        <w:rPr>
          <w:rFonts w:ascii="Arial" w:hAnsi="Arial" w:cs="Arial"/>
          <w:color w:val="000000" w:themeColor="text1"/>
          <w:sz w:val="24"/>
          <w:szCs w:val="24"/>
        </w:rPr>
        <w:tab/>
      </w:r>
      <w:r w:rsidR="00A26799" w:rsidRPr="002D0A15">
        <w:rPr>
          <w:rFonts w:ascii="Arial" w:hAnsi="Arial" w:cs="Arial"/>
          <w:color w:val="000000" w:themeColor="text1"/>
          <w:sz w:val="24"/>
          <w:szCs w:val="24"/>
        </w:rPr>
        <w:t xml:space="preserve">In the event that </w:t>
      </w:r>
      <w:r w:rsidR="00CB20B5" w:rsidRPr="002D0A15">
        <w:rPr>
          <w:rFonts w:ascii="Arial" w:hAnsi="Arial" w:cs="Arial"/>
          <w:color w:val="000000" w:themeColor="text1"/>
          <w:sz w:val="24"/>
          <w:szCs w:val="24"/>
        </w:rPr>
        <w:t xml:space="preserve">a record, </w:t>
      </w:r>
      <w:r w:rsidR="00A26799" w:rsidRPr="002D0A15">
        <w:rPr>
          <w:rFonts w:ascii="Arial" w:hAnsi="Arial" w:cs="Arial"/>
          <w:color w:val="000000" w:themeColor="text1"/>
          <w:sz w:val="24"/>
          <w:szCs w:val="24"/>
        </w:rPr>
        <w:t xml:space="preserve">as per 2 </w:t>
      </w:r>
      <w:r w:rsidR="00655367" w:rsidRPr="002D0A15">
        <w:rPr>
          <w:rFonts w:ascii="Arial" w:hAnsi="Arial" w:cs="Arial"/>
          <w:color w:val="000000" w:themeColor="text1"/>
          <w:sz w:val="24"/>
          <w:szCs w:val="24"/>
        </w:rPr>
        <w:t>above, is</w:t>
      </w:r>
      <w:r w:rsidR="004F1874" w:rsidRPr="002D0A15">
        <w:rPr>
          <w:rFonts w:ascii="Arial" w:hAnsi="Arial" w:cs="Arial"/>
          <w:color w:val="000000" w:themeColor="text1"/>
          <w:sz w:val="24"/>
          <w:szCs w:val="24"/>
        </w:rPr>
        <w:t xml:space="preserve"> not in the possession</w:t>
      </w:r>
      <w:r w:rsidR="00795F14" w:rsidRPr="002D0A15">
        <w:rPr>
          <w:rFonts w:ascii="Arial" w:hAnsi="Arial" w:cs="Arial"/>
          <w:color w:val="000000" w:themeColor="text1"/>
          <w:sz w:val="24"/>
          <w:szCs w:val="24"/>
        </w:rPr>
        <w:t xml:space="preserve"> or under the control</w:t>
      </w:r>
      <w:r w:rsidR="00334798" w:rsidRPr="002D0A15">
        <w:rPr>
          <w:rFonts w:ascii="Arial" w:hAnsi="Arial" w:cs="Arial"/>
          <w:color w:val="000000" w:themeColor="text1"/>
          <w:sz w:val="24"/>
          <w:szCs w:val="24"/>
        </w:rPr>
        <w:t xml:space="preserve">, of the </w:t>
      </w:r>
      <w:r w:rsidR="00566C8A" w:rsidRPr="002D0A15">
        <w:rPr>
          <w:rFonts w:ascii="Arial" w:hAnsi="Arial" w:cs="Arial"/>
          <w:color w:val="000000" w:themeColor="text1"/>
          <w:sz w:val="24"/>
          <w:szCs w:val="24"/>
        </w:rPr>
        <w:t>Respondent</w:t>
      </w:r>
      <w:r w:rsidR="00334798" w:rsidRPr="002D0A15">
        <w:rPr>
          <w:rFonts w:ascii="Arial" w:hAnsi="Arial" w:cs="Arial"/>
          <w:color w:val="000000" w:themeColor="text1"/>
          <w:sz w:val="24"/>
          <w:szCs w:val="24"/>
        </w:rPr>
        <w:t>, but is in the possession of another public body</w:t>
      </w:r>
      <w:r w:rsidR="00965738" w:rsidRPr="002D0A15">
        <w:rPr>
          <w:rFonts w:ascii="Arial" w:hAnsi="Arial" w:cs="Arial"/>
          <w:color w:val="000000" w:themeColor="text1"/>
          <w:sz w:val="24"/>
          <w:szCs w:val="24"/>
        </w:rPr>
        <w:t xml:space="preserve">, the </w:t>
      </w:r>
      <w:r w:rsidR="00566C8A" w:rsidRPr="002D0A15">
        <w:rPr>
          <w:rFonts w:ascii="Arial" w:hAnsi="Arial" w:cs="Arial"/>
          <w:color w:val="000000" w:themeColor="text1"/>
          <w:sz w:val="24"/>
          <w:szCs w:val="24"/>
        </w:rPr>
        <w:t>Respondent</w:t>
      </w:r>
      <w:r w:rsidR="00A26799" w:rsidRPr="002D0A15">
        <w:rPr>
          <w:rFonts w:ascii="Arial" w:hAnsi="Arial" w:cs="Arial"/>
          <w:color w:val="000000" w:themeColor="text1"/>
          <w:sz w:val="24"/>
          <w:szCs w:val="24"/>
        </w:rPr>
        <w:t xml:space="preserve"> shall</w:t>
      </w:r>
      <w:r w:rsidR="00965738" w:rsidRPr="002D0A15">
        <w:rPr>
          <w:rFonts w:ascii="Arial" w:hAnsi="Arial" w:cs="Arial"/>
          <w:color w:val="000000" w:themeColor="text1"/>
          <w:sz w:val="24"/>
          <w:szCs w:val="24"/>
        </w:rPr>
        <w:t>,</w:t>
      </w:r>
      <w:r w:rsidR="00A26799" w:rsidRPr="002D0A15">
        <w:rPr>
          <w:rFonts w:ascii="Arial" w:hAnsi="Arial" w:cs="Arial"/>
          <w:color w:val="000000" w:themeColor="text1"/>
          <w:sz w:val="24"/>
          <w:szCs w:val="24"/>
        </w:rPr>
        <w:t xml:space="preserve"> within 15 business days of this order:</w:t>
      </w:r>
    </w:p>
    <w:p w14:paraId="1E24F749" w14:textId="3533B0D5" w:rsidR="00A26799" w:rsidRPr="002D0A15" w:rsidRDefault="002D0A15" w:rsidP="002D0A15">
      <w:pPr>
        <w:spacing w:before="120" w:line="360" w:lineRule="auto"/>
        <w:ind w:left="1440" w:hanging="360"/>
        <w:jc w:val="both"/>
        <w:rPr>
          <w:rFonts w:ascii="Arial" w:hAnsi="Arial" w:cs="Arial"/>
          <w:color w:val="000000" w:themeColor="text1"/>
          <w:sz w:val="24"/>
          <w:szCs w:val="24"/>
        </w:rPr>
      </w:pPr>
      <w:r w:rsidRPr="00B0760E">
        <w:rPr>
          <w:rFonts w:ascii="Arial" w:hAnsi="Arial" w:cs="Arial"/>
          <w:color w:val="000000" w:themeColor="text1"/>
          <w:sz w:val="24"/>
          <w:szCs w:val="24"/>
        </w:rPr>
        <w:t>a.</w:t>
      </w:r>
      <w:r w:rsidRPr="00B0760E">
        <w:rPr>
          <w:rFonts w:ascii="Arial" w:hAnsi="Arial" w:cs="Arial"/>
          <w:color w:val="000000" w:themeColor="text1"/>
          <w:sz w:val="24"/>
          <w:szCs w:val="24"/>
        </w:rPr>
        <w:tab/>
      </w:r>
      <w:r w:rsidR="00C0535B" w:rsidRPr="002D0A15">
        <w:rPr>
          <w:rFonts w:ascii="Arial" w:hAnsi="Arial" w:cs="Arial"/>
          <w:color w:val="000000" w:themeColor="text1"/>
          <w:sz w:val="24"/>
          <w:szCs w:val="24"/>
        </w:rPr>
        <w:t xml:space="preserve">Comply with the procedures as set out in Section 20 of </w:t>
      </w:r>
      <w:r w:rsidR="00BC0A1E" w:rsidRPr="002D0A15">
        <w:rPr>
          <w:rFonts w:ascii="Arial" w:hAnsi="Arial" w:cs="Arial"/>
          <w:color w:val="000000" w:themeColor="text1"/>
          <w:sz w:val="24"/>
          <w:szCs w:val="24"/>
        </w:rPr>
        <w:t>the Promotion of Access to Information Act</w:t>
      </w:r>
      <w:r w:rsidR="00A36E3C" w:rsidRPr="002D0A15">
        <w:rPr>
          <w:rFonts w:ascii="Arial" w:hAnsi="Arial" w:cs="Arial"/>
          <w:color w:val="000000" w:themeColor="text1"/>
          <w:sz w:val="24"/>
          <w:szCs w:val="24"/>
        </w:rPr>
        <w:t>, and</w:t>
      </w:r>
    </w:p>
    <w:p w14:paraId="200D202F" w14:textId="27510065" w:rsidR="00A36E3C" w:rsidRPr="002D0A15" w:rsidRDefault="002D0A15" w:rsidP="002D0A15">
      <w:pPr>
        <w:spacing w:before="120" w:line="360" w:lineRule="auto"/>
        <w:ind w:left="1440" w:hanging="357"/>
        <w:jc w:val="both"/>
        <w:rPr>
          <w:rFonts w:ascii="Arial" w:hAnsi="Arial" w:cs="Arial"/>
          <w:color w:val="000000" w:themeColor="text1"/>
          <w:sz w:val="24"/>
          <w:szCs w:val="24"/>
        </w:rPr>
      </w:pPr>
      <w:r w:rsidRPr="00B0760E">
        <w:rPr>
          <w:rFonts w:ascii="Arial" w:hAnsi="Arial" w:cs="Arial"/>
          <w:color w:val="000000" w:themeColor="text1"/>
          <w:sz w:val="24"/>
          <w:szCs w:val="24"/>
        </w:rPr>
        <w:t>b.</w:t>
      </w:r>
      <w:r w:rsidRPr="00B0760E">
        <w:rPr>
          <w:rFonts w:ascii="Arial" w:hAnsi="Arial" w:cs="Arial"/>
          <w:color w:val="000000" w:themeColor="text1"/>
          <w:sz w:val="24"/>
          <w:szCs w:val="24"/>
        </w:rPr>
        <w:tab/>
      </w:r>
      <w:r w:rsidR="00A36E3C" w:rsidRPr="002D0A15">
        <w:rPr>
          <w:rFonts w:ascii="Arial" w:hAnsi="Arial" w:cs="Arial"/>
          <w:color w:val="000000" w:themeColor="text1"/>
          <w:sz w:val="24"/>
          <w:szCs w:val="24"/>
        </w:rPr>
        <w:t xml:space="preserve">Furnish the </w:t>
      </w:r>
      <w:r w:rsidR="00566C8A" w:rsidRPr="002D0A15">
        <w:rPr>
          <w:rFonts w:ascii="Arial" w:hAnsi="Arial" w:cs="Arial"/>
          <w:color w:val="000000" w:themeColor="text1"/>
          <w:sz w:val="24"/>
          <w:szCs w:val="24"/>
        </w:rPr>
        <w:t>Applicant</w:t>
      </w:r>
      <w:r w:rsidR="00A36E3C" w:rsidRPr="002D0A15">
        <w:rPr>
          <w:rFonts w:ascii="Arial" w:hAnsi="Arial" w:cs="Arial"/>
          <w:color w:val="000000" w:themeColor="text1"/>
          <w:sz w:val="24"/>
          <w:szCs w:val="24"/>
        </w:rPr>
        <w:t xml:space="preserve"> with an affidavit</w:t>
      </w:r>
      <w:r w:rsidR="009E1111" w:rsidRPr="002D0A15">
        <w:rPr>
          <w:rFonts w:ascii="Arial" w:hAnsi="Arial" w:cs="Arial"/>
          <w:color w:val="000000" w:themeColor="text1"/>
          <w:sz w:val="24"/>
          <w:szCs w:val="24"/>
        </w:rPr>
        <w:t>,</w:t>
      </w:r>
      <w:r w:rsidR="00A36E3C" w:rsidRPr="002D0A15">
        <w:rPr>
          <w:rFonts w:ascii="Arial" w:hAnsi="Arial" w:cs="Arial"/>
          <w:color w:val="000000" w:themeColor="text1"/>
          <w:sz w:val="24"/>
          <w:szCs w:val="24"/>
        </w:rPr>
        <w:t xml:space="preserve"> for each record</w:t>
      </w:r>
      <w:r w:rsidR="00913A91" w:rsidRPr="002D0A15">
        <w:rPr>
          <w:rFonts w:ascii="Arial" w:hAnsi="Arial" w:cs="Arial"/>
          <w:color w:val="000000" w:themeColor="text1"/>
          <w:sz w:val="24"/>
          <w:szCs w:val="24"/>
        </w:rPr>
        <w:t xml:space="preserve"> not in its possession or under the control</w:t>
      </w:r>
      <w:r w:rsidR="00A36E3C" w:rsidRPr="002D0A15">
        <w:rPr>
          <w:rFonts w:ascii="Arial" w:hAnsi="Arial" w:cs="Arial"/>
          <w:color w:val="000000" w:themeColor="text1"/>
          <w:sz w:val="24"/>
          <w:szCs w:val="24"/>
        </w:rPr>
        <w:t>, deposed to by its Chief Information officer, or if not possible, its deputy information officer, setting out a full account of all steps taken</w:t>
      </w:r>
      <w:r w:rsidR="002355CC" w:rsidRPr="002D0A15">
        <w:rPr>
          <w:rFonts w:ascii="Arial" w:hAnsi="Arial" w:cs="Arial"/>
          <w:color w:val="000000" w:themeColor="text1"/>
          <w:sz w:val="24"/>
          <w:szCs w:val="24"/>
        </w:rPr>
        <w:t xml:space="preserve"> to comply with Section 20 of the Promotion of Access to Information Act</w:t>
      </w:r>
      <w:r w:rsidR="00BB0C0A" w:rsidRPr="002D0A15">
        <w:rPr>
          <w:rFonts w:ascii="Arial" w:hAnsi="Arial" w:cs="Arial"/>
          <w:color w:val="000000" w:themeColor="text1"/>
          <w:sz w:val="24"/>
          <w:szCs w:val="24"/>
        </w:rPr>
        <w:t xml:space="preserve"> and indicating which public body is in possession of the record</w:t>
      </w:r>
      <w:r w:rsidR="00B91D48" w:rsidRPr="002D0A15">
        <w:rPr>
          <w:rFonts w:ascii="Arial" w:hAnsi="Arial" w:cs="Arial"/>
          <w:color w:val="000000" w:themeColor="text1"/>
          <w:sz w:val="24"/>
          <w:szCs w:val="24"/>
        </w:rPr>
        <w:t xml:space="preserve">, including all communications with every person </w:t>
      </w:r>
      <w:r w:rsidR="00220E55" w:rsidRPr="002D0A15">
        <w:rPr>
          <w:rFonts w:ascii="Arial" w:hAnsi="Arial" w:cs="Arial"/>
          <w:color w:val="000000" w:themeColor="text1"/>
          <w:sz w:val="24"/>
          <w:szCs w:val="24"/>
        </w:rPr>
        <w:t>such requests were sent to.</w:t>
      </w:r>
    </w:p>
    <w:p w14:paraId="585041C3" w14:textId="3873F2ED" w:rsidR="00AD5B54" w:rsidRPr="002D0A15" w:rsidRDefault="002D0A15" w:rsidP="002D0A15">
      <w:pPr>
        <w:spacing w:before="120" w:line="360" w:lineRule="auto"/>
        <w:ind w:left="720" w:hanging="357"/>
        <w:jc w:val="both"/>
        <w:rPr>
          <w:rFonts w:ascii="Arial" w:hAnsi="Arial" w:cs="Arial"/>
          <w:color w:val="000000" w:themeColor="text1"/>
          <w:sz w:val="24"/>
          <w:szCs w:val="24"/>
        </w:rPr>
      </w:pPr>
      <w:r w:rsidRPr="00B0760E">
        <w:rPr>
          <w:rFonts w:ascii="Arial" w:hAnsi="Arial" w:cs="Arial"/>
          <w:color w:val="000000" w:themeColor="text1"/>
          <w:sz w:val="24"/>
          <w:szCs w:val="24"/>
        </w:rPr>
        <w:t>6.</w:t>
      </w:r>
      <w:r w:rsidRPr="00B0760E">
        <w:rPr>
          <w:rFonts w:ascii="Arial" w:hAnsi="Arial" w:cs="Arial"/>
          <w:color w:val="000000" w:themeColor="text1"/>
          <w:sz w:val="24"/>
          <w:szCs w:val="24"/>
        </w:rPr>
        <w:tab/>
      </w:r>
      <w:r w:rsidR="00CC0C06" w:rsidRPr="002D0A15">
        <w:rPr>
          <w:rFonts w:ascii="Arial" w:hAnsi="Arial" w:cs="Arial"/>
          <w:color w:val="000000" w:themeColor="text1"/>
          <w:sz w:val="24"/>
          <w:szCs w:val="24"/>
        </w:rPr>
        <w:t xml:space="preserve">The </w:t>
      </w:r>
      <w:r w:rsidR="00566C8A" w:rsidRPr="002D0A15">
        <w:rPr>
          <w:rFonts w:ascii="Arial" w:hAnsi="Arial" w:cs="Arial"/>
          <w:color w:val="000000" w:themeColor="text1"/>
          <w:sz w:val="24"/>
          <w:szCs w:val="24"/>
        </w:rPr>
        <w:t>Respondent</w:t>
      </w:r>
      <w:r w:rsidR="00CC0C06" w:rsidRPr="002D0A15">
        <w:rPr>
          <w:rFonts w:ascii="Arial" w:hAnsi="Arial" w:cs="Arial"/>
          <w:color w:val="000000" w:themeColor="text1"/>
          <w:sz w:val="24"/>
          <w:szCs w:val="24"/>
        </w:rPr>
        <w:t xml:space="preserve"> is ordered to pay the costs of the </w:t>
      </w:r>
      <w:r w:rsidR="00566C8A" w:rsidRPr="002D0A15">
        <w:rPr>
          <w:rFonts w:ascii="Arial" w:hAnsi="Arial" w:cs="Arial"/>
          <w:color w:val="000000" w:themeColor="text1"/>
          <w:sz w:val="24"/>
          <w:szCs w:val="24"/>
        </w:rPr>
        <w:t>Applicant</w:t>
      </w:r>
      <w:r w:rsidR="00CC0C06" w:rsidRPr="002D0A15">
        <w:rPr>
          <w:rFonts w:ascii="Arial" w:hAnsi="Arial" w:cs="Arial"/>
          <w:color w:val="000000" w:themeColor="text1"/>
          <w:sz w:val="24"/>
          <w:szCs w:val="24"/>
        </w:rPr>
        <w:t xml:space="preserve"> on a party and party scale, including the costs of two counsel.</w:t>
      </w:r>
    </w:p>
    <w:p w14:paraId="1909514B" w14:textId="43B501F4" w:rsidR="00E601F7" w:rsidRPr="00B0760E" w:rsidRDefault="00E601F7" w:rsidP="00A60D7E">
      <w:pPr>
        <w:tabs>
          <w:tab w:val="right" w:pos="8208"/>
        </w:tabs>
        <w:spacing w:before="120" w:line="360" w:lineRule="auto"/>
        <w:ind w:left="720" w:hanging="720"/>
        <w:jc w:val="right"/>
        <w:rPr>
          <w:rFonts w:ascii="Arial" w:hAnsi="Arial" w:cs="Arial"/>
          <w:color w:val="000000" w:themeColor="text1"/>
          <w:sz w:val="24"/>
          <w:szCs w:val="24"/>
        </w:rPr>
      </w:pPr>
    </w:p>
    <w:p w14:paraId="072009CA" w14:textId="395D95DA" w:rsidR="00F75E4B" w:rsidRPr="00732822" w:rsidRDefault="00F75E4B" w:rsidP="00F75E4B">
      <w:pPr>
        <w:spacing w:line="360" w:lineRule="auto"/>
        <w:contextualSpacing/>
        <w:rPr>
          <w:sz w:val="24"/>
          <w:szCs w:val="24"/>
        </w:rPr>
      </w:pPr>
    </w:p>
    <w:p w14:paraId="73244832" w14:textId="564AAB47" w:rsidR="00F75E4B" w:rsidRPr="00732822" w:rsidRDefault="00F75E4B" w:rsidP="00F75E4B">
      <w:pPr>
        <w:spacing w:line="360" w:lineRule="auto"/>
        <w:contextualSpacing/>
        <w:rPr>
          <w:sz w:val="24"/>
          <w:szCs w:val="24"/>
        </w:rPr>
      </w:pPr>
      <w:r w:rsidRPr="00732822">
        <w:rPr>
          <w:noProof/>
          <w:sz w:val="24"/>
          <w:szCs w:val="24"/>
        </w:rPr>
        <mc:AlternateContent>
          <mc:Choice Requires="wpi">
            <w:drawing>
              <wp:anchor distT="0" distB="0" distL="114300" distR="114300" simplePos="0" relativeHeight="251660800" behindDoc="0" locked="0" layoutInCell="1" allowOverlap="1" wp14:anchorId="640D9F85" wp14:editId="5904F01B">
                <wp:simplePos x="0" y="0"/>
                <wp:positionH relativeFrom="column">
                  <wp:posOffset>3977005</wp:posOffset>
                </wp:positionH>
                <wp:positionV relativeFrom="paragraph">
                  <wp:posOffset>-335915</wp:posOffset>
                </wp:positionV>
                <wp:extent cx="2220755" cy="824760"/>
                <wp:effectExtent l="38100" t="38100" r="27305" b="3302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2220755" cy="8247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495A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12.8pt;margin-top:-26.8pt;width:175.55pt;height:65.6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">
                <v:imagedata r:id="rId12" o:title=""/>
              </v:shape>
            </w:pict>
          </mc:Fallback>
        </mc:AlternateContent>
      </w:r>
    </w:p>
    <w:p w14:paraId="51F2A0BF" w14:textId="77777777" w:rsidR="00F75E4B" w:rsidRPr="00732822" w:rsidRDefault="00F75E4B" w:rsidP="00F75E4B">
      <w:pPr>
        <w:spacing w:line="360" w:lineRule="auto"/>
        <w:ind w:left="7200"/>
        <w:contextualSpacing/>
        <w:rPr>
          <w:sz w:val="24"/>
          <w:szCs w:val="24"/>
        </w:rPr>
      </w:pPr>
      <w:r w:rsidRPr="00732822">
        <w:rPr>
          <w:sz w:val="24"/>
          <w:szCs w:val="24"/>
        </w:rPr>
        <w:t>____________________</w:t>
      </w:r>
    </w:p>
    <w:p w14:paraId="05EA432F" w14:textId="77777777" w:rsidR="00F75E4B" w:rsidRDefault="00F75E4B" w:rsidP="00F75E4B">
      <w:pPr>
        <w:tabs>
          <w:tab w:val="right" w:pos="8208"/>
        </w:tabs>
        <w:spacing w:before="120" w:line="360" w:lineRule="auto"/>
        <w:ind w:left="5103" w:hanging="720"/>
        <w:contextualSpacing/>
        <w:rPr>
          <w:rFonts w:ascii="Arial" w:hAnsi="Arial" w:cs="Arial"/>
          <w:color w:val="000000" w:themeColor="text1"/>
          <w:sz w:val="24"/>
          <w:szCs w:val="24"/>
        </w:rPr>
      </w:pPr>
    </w:p>
    <w:p w14:paraId="7C192B87" w14:textId="1C6FBE75" w:rsidR="00E601F7" w:rsidRPr="00B0760E" w:rsidRDefault="00250745" w:rsidP="000E27C9">
      <w:pPr>
        <w:tabs>
          <w:tab w:val="right" w:pos="8208"/>
        </w:tabs>
        <w:spacing w:before="120" w:line="360" w:lineRule="auto"/>
        <w:ind w:left="720" w:hanging="720"/>
        <w:contextualSpacing/>
        <w:jc w:val="right"/>
        <w:rPr>
          <w:rFonts w:ascii="Arial" w:hAnsi="Arial" w:cs="Arial"/>
          <w:b/>
          <w:color w:val="000000" w:themeColor="text1"/>
          <w:sz w:val="24"/>
          <w:szCs w:val="24"/>
        </w:rPr>
      </w:pPr>
      <w:r w:rsidRPr="00B0760E">
        <w:rPr>
          <w:rFonts w:ascii="Arial" w:hAnsi="Arial" w:cs="Arial"/>
          <w:b/>
          <w:color w:val="000000" w:themeColor="text1"/>
          <w:sz w:val="24"/>
          <w:szCs w:val="24"/>
        </w:rPr>
        <w:t>K STRYDOM</w:t>
      </w:r>
    </w:p>
    <w:p w14:paraId="6CA7C603" w14:textId="3BD45BAA" w:rsidR="00E601F7" w:rsidRPr="00B0760E" w:rsidRDefault="00E601F7" w:rsidP="000E27C9">
      <w:pPr>
        <w:tabs>
          <w:tab w:val="right" w:pos="8208"/>
        </w:tabs>
        <w:spacing w:before="120" w:line="360" w:lineRule="auto"/>
        <w:ind w:left="720" w:hanging="720"/>
        <w:contextualSpacing/>
        <w:jc w:val="right"/>
        <w:rPr>
          <w:rFonts w:ascii="Arial" w:hAnsi="Arial" w:cs="Arial"/>
          <w:b/>
          <w:color w:val="000000" w:themeColor="text1"/>
          <w:sz w:val="24"/>
          <w:szCs w:val="24"/>
        </w:rPr>
      </w:pPr>
      <w:r w:rsidRPr="00B0760E">
        <w:rPr>
          <w:rFonts w:ascii="Arial" w:hAnsi="Arial" w:cs="Arial"/>
          <w:b/>
          <w:color w:val="000000" w:themeColor="text1"/>
          <w:sz w:val="24"/>
          <w:szCs w:val="24"/>
        </w:rPr>
        <w:t xml:space="preserve">ACTING JUDGE OF THE HIGH </w:t>
      </w:r>
      <w:r w:rsidR="00566C8A">
        <w:rPr>
          <w:rFonts w:ascii="Arial" w:hAnsi="Arial" w:cs="Arial"/>
          <w:b/>
          <w:color w:val="000000" w:themeColor="text1"/>
          <w:sz w:val="24"/>
          <w:szCs w:val="24"/>
        </w:rPr>
        <w:t>COURT</w:t>
      </w:r>
    </w:p>
    <w:p w14:paraId="7B64578C" w14:textId="77777777" w:rsidR="00E601F7" w:rsidRPr="00B0760E" w:rsidRDefault="00E601F7" w:rsidP="000E27C9">
      <w:pPr>
        <w:tabs>
          <w:tab w:val="right" w:pos="8208"/>
        </w:tabs>
        <w:spacing w:before="120" w:line="360" w:lineRule="auto"/>
        <w:ind w:left="720" w:hanging="720"/>
        <w:contextualSpacing/>
        <w:jc w:val="right"/>
        <w:rPr>
          <w:rFonts w:ascii="Arial" w:hAnsi="Arial" w:cs="Arial"/>
          <w:b/>
          <w:color w:val="000000" w:themeColor="text1"/>
          <w:sz w:val="24"/>
          <w:szCs w:val="24"/>
        </w:rPr>
      </w:pPr>
      <w:r w:rsidRPr="00B0760E">
        <w:rPr>
          <w:rFonts w:ascii="Arial" w:hAnsi="Arial" w:cs="Arial"/>
          <w:b/>
          <w:color w:val="000000" w:themeColor="text1"/>
          <w:sz w:val="24"/>
          <w:szCs w:val="24"/>
        </w:rPr>
        <w:t>OF SOUTH AFRICA GAUTENG</w:t>
      </w:r>
    </w:p>
    <w:p w14:paraId="61AF69EB" w14:textId="5DDD8C7E" w:rsidR="00E601F7" w:rsidRPr="00977582" w:rsidRDefault="00E601F7" w:rsidP="00977582">
      <w:pPr>
        <w:tabs>
          <w:tab w:val="right" w:pos="8208"/>
        </w:tabs>
        <w:spacing w:before="120" w:line="360" w:lineRule="auto"/>
        <w:ind w:left="720" w:hanging="720"/>
        <w:contextualSpacing/>
        <w:jc w:val="right"/>
        <w:rPr>
          <w:rFonts w:ascii="Arial" w:hAnsi="Arial" w:cs="Arial"/>
          <w:b/>
          <w:color w:val="000000" w:themeColor="text1"/>
          <w:sz w:val="24"/>
          <w:szCs w:val="24"/>
        </w:rPr>
      </w:pPr>
      <w:r w:rsidRPr="00B0760E">
        <w:rPr>
          <w:rFonts w:ascii="Arial" w:hAnsi="Arial" w:cs="Arial"/>
          <w:b/>
          <w:color w:val="000000" w:themeColor="text1"/>
          <w:sz w:val="24"/>
          <w:szCs w:val="24"/>
        </w:rPr>
        <w:t>DIVISION, PRETORIA</w:t>
      </w:r>
    </w:p>
    <w:p w14:paraId="217F4978" w14:textId="46C469CF" w:rsidR="00E601F7" w:rsidRPr="00B0760E" w:rsidRDefault="007E7F05" w:rsidP="000E27C9">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Date of hearing: </w:t>
      </w:r>
      <w:r w:rsidR="009D4B94">
        <w:rPr>
          <w:rFonts w:ascii="Arial" w:hAnsi="Arial" w:cs="Arial"/>
          <w:color w:val="000000" w:themeColor="text1"/>
          <w:sz w:val="24"/>
          <w:szCs w:val="24"/>
        </w:rPr>
        <w:t>12 April 2023</w:t>
      </w:r>
    </w:p>
    <w:p w14:paraId="42B6492C" w14:textId="677888FE" w:rsidR="00E601F7" w:rsidRDefault="00566C8A" w:rsidP="00977582">
      <w:pPr>
        <w:tabs>
          <w:tab w:val="right" w:pos="8208"/>
        </w:tabs>
        <w:spacing w:before="12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Judgment</w:t>
      </w:r>
      <w:r w:rsidR="00E601F7" w:rsidRPr="00B0760E">
        <w:rPr>
          <w:rFonts w:ascii="Arial" w:hAnsi="Arial" w:cs="Arial"/>
          <w:color w:val="000000" w:themeColor="text1"/>
          <w:sz w:val="24"/>
          <w:szCs w:val="24"/>
        </w:rPr>
        <w:t xml:space="preserve"> delivered:  </w:t>
      </w:r>
      <w:r w:rsidR="00ED64DF">
        <w:rPr>
          <w:rFonts w:ascii="Arial" w:hAnsi="Arial" w:cs="Arial"/>
          <w:color w:val="000000" w:themeColor="text1"/>
          <w:sz w:val="24"/>
          <w:szCs w:val="24"/>
        </w:rPr>
        <w:t>24 July 2023</w:t>
      </w:r>
    </w:p>
    <w:p w14:paraId="0F0C13D0" w14:textId="44126187" w:rsidR="00F75E4B" w:rsidRPr="00B0760E" w:rsidRDefault="00F75E4B" w:rsidP="00977582">
      <w:pPr>
        <w:tabs>
          <w:tab w:val="right" w:pos="8208"/>
        </w:tabs>
        <w:spacing w:before="12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ab/>
        <w:t>Amended: 31 July 2023</w:t>
      </w:r>
    </w:p>
    <w:p w14:paraId="4137809E" w14:textId="046184AD" w:rsidR="00E601F7" w:rsidRPr="00504C8F" w:rsidRDefault="00E601F7" w:rsidP="00977582">
      <w:pPr>
        <w:tabs>
          <w:tab w:val="right" w:pos="8208"/>
        </w:tabs>
        <w:spacing w:before="120" w:line="360" w:lineRule="auto"/>
        <w:ind w:left="720" w:hanging="720"/>
        <w:jc w:val="both"/>
        <w:rPr>
          <w:rFonts w:ascii="Arial" w:hAnsi="Arial" w:cs="Arial"/>
          <w:b/>
          <w:bCs/>
          <w:color w:val="000000" w:themeColor="text1"/>
          <w:sz w:val="24"/>
          <w:szCs w:val="24"/>
        </w:rPr>
      </w:pPr>
      <w:r w:rsidRPr="00504C8F">
        <w:rPr>
          <w:rFonts w:ascii="Arial" w:hAnsi="Arial" w:cs="Arial"/>
          <w:b/>
          <w:bCs/>
          <w:color w:val="000000" w:themeColor="text1"/>
          <w:sz w:val="24"/>
          <w:szCs w:val="24"/>
        </w:rPr>
        <w:t>Appearances:</w:t>
      </w:r>
    </w:p>
    <w:p w14:paraId="094DF7F5" w14:textId="7ABBE747" w:rsidR="00E601F7" w:rsidRPr="00504C8F" w:rsidRDefault="00E601F7" w:rsidP="00504C8F">
      <w:pPr>
        <w:tabs>
          <w:tab w:val="right" w:pos="8208"/>
        </w:tabs>
        <w:spacing w:before="120" w:line="360" w:lineRule="auto"/>
        <w:ind w:left="720" w:hanging="720"/>
        <w:contextualSpacing/>
        <w:jc w:val="both"/>
        <w:rPr>
          <w:rFonts w:ascii="Arial" w:hAnsi="Arial" w:cs="Arial"/>
          <w:color w:val="000000" w:themeColor="text1"/>
          <w:sz w:val="24"/>
          <w:szCs w:val="24"/>
          <w:u w:val="single"/>
        </w:rPr>
      </w:pPr>
      <w:r w:rsidRPr="00504C8F">
        <w:rPr>
          <w:rFonts w:ascii="Arial" w:hAnsi="Arial" w:cs="Arial"/>
          <w:color w:val="000000" w:themeColor="text1"/>
          <w:sz w:val="24"/>
          <w:szCs w:val="24"/>
          <w:u w:val="single"/>
        </w:rPr>
        <w:t xml:space="preserve">For the </w:t>
      </w:r>
      <w:r w:rsidR="00566C8A" w:rsidRPr="00504C8F">
        <w:rPr>
          <w:rFonts w:ascii="Arial" w:hAnsi="Arial" w:cs="Arial"/>
          <w:color w:val="000000" w:themeColor="text1"/>
          <w:sz w:val="24"/>
          <w:szCs w:val="24"/>
          <w:u w:val="single"/>
        </w:rPr>
        <w:t>Applicant</w:t>
      </w:r>
      <w:r w:rsidRPr="00504C8F">
        <w:rPr>
          <w:rFonts w:ascii="Arial" w:hAnsi="Arial" w:cs="Arial"/>
          <w:color w:val="000000" w:themeColor="text1"/>
          <w:sz w:val="24"/>
          <w:szCs w:val="24"/>
          <w:u w:val="single"/>
        </w:rPr>
        <w:t xml:space="preserve">:   </w:t>
      </w:r>
    </w:p>
    <w:p w14:paraId="0F2E1B38" w14:textId="68D9F24C" w:rsidR="00E601F7" w:rsidRDefault="00B52ED6" w:rsidP="00504C8F">
      <w:pPr>
        <w:tabs>
          <w:tab w:val="right" w:pos="8208"/>
        </w:tabs>
        <w:spacing w:before="120" w:line="360" w:lineRule="auto"/>
        <w:ind w:left="720" w:hanging="720"/>
        <w:contextualSpacing/>
        <w:jc w:val="both"/>
        <w:rPr>
          <w:rFonts w:ascii="Arial" w:hAnsi="Arial" w:cs="Arial"/>
          <w:color w:val="000000" w:themeColor="text1"/>
          <w:sz w:val="24"/>
          <w:szCs w:val="24"/>
        </w:rPr>
      </w:pPr>
      <w:r w:rsidRPr="00B52ED6">
        <w:rPr>
          <w:rFonts w:ascii="Arial" w:hAnsi="Arial" w:cs="Arial"/>
          <w:color w:val="000000" w:themeColor="text1"/>
          <w:sz w:val="24"/>
          <w:szCs w:val="24"/>
        </w:rPr>
        <w:t>Adv A Maré</w:t>
      </w:r>
    </w:p>
    <w:p w14:paraId="5803824F" w14:textId="5DD63B79" w:rsidR="000D24C6" w:rsidRPr="00504C8F" w:rsidRDefault="000D24C6" w:rsidP="00504C8F">
      <w:pPr>
        <w:tabs>
          <w:tab w:val="right" w:pos="8208"/>
        </w:tabs>
        <w:spacing w:before="120" w:line="360" w:lineRule="auto"/>
        <w:ind w:left="720" w:hanging="720"/>
        <w:contextualSpacing/>
        <w:jc w:val="both"/>
        <w:rPr>
          <w:rFonts w:ascii="Arial" w:hAnsi="Arial" w:cs="Arial"/>
          <w:i/>
          <w:iCs/>
          <w:color w:val="000000" w:themeColor="text1"/>
          <w:sz w:val="24"/>
          <w:szCs w:val="24"/>
        </w:rPr>
      </w:pPr>
      <w:r w:rsidRPr="00504C8F">
        <w:rPr>
          <w:rFonts w:ascii="Arial" w:hAnsi="Arial" w:cs="Arial"/>
          <w:i/>
          <w:iCs/>
          <w:color w:val="000000" w:themeColor="text1"/>
          <w:sz w:val="24"/>
          <w:szCs w:val="24"/>
        </w:rPr>
        <w:t>Instructed by:</w:t>
      </w:r>
    </w:p>
    <w:p w14:paraId="3D662658" w14:textId="77777777" w:rsidR="0015159C" w:rsidRDefault="00EE5AF8" w:rsidP="00504C8F">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ML Schoeman attorneys</w:t>
      </w:r>
      <w:r w:rsidR="0015159C">
        <w:rPr>
          <w:rFonts w:ascii="Arial" w:hAnsi="Arial" w:cs="Arial"/>
          <w:color w:val="000000" w:themeColor="text1"/>
          <w:sz w:val="24"/>
          <w:szCs w:val="24"/>
        </w:rPr>
        <w:t xml:space="preserve">, </w:t>
      </w:r>
    </w:p>
    <w:p w14:paraId="47113636" w14:textId="77777777" w:rsidR="0015159C" w:rsidRDefault="0015159C" w:rsidP="00504C8F">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892 Leymanni Street, </w:t>
      </w:r>
    </w:p>
    <w:p w14:paraId="0E3B40E2" w14:textId="12D9C2C2" w:rsidR="00EE5AF8" w:rsidRDefault="0015159C" w:rsidP="00504C8F">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Montana, Pretoria</w:t>
      </w:r>
    </w:p>
    <w:p w14:paraId="5AE84603" w14:textId="77777777" w:rsidR="00DF2219" w:rsidRPr="00B0760E" w:rsidRDefault="00DF2219" w:rsidP="00504C8F">
      <w:pPr>
        <w:tabs>
          <w:tab w:val="right" w:pos="8208"/>
        </w:tabs>
        <w:spacing w:before="120" w:line="360" w:lineRule="auto"/>
        <w:ind w:left="720" w:hanging="720"/>
        <w:contextualSpacing/>
        <w:jc w:val="both"/>
        <w:rPr>
          <w:rFonts w:ascii="Arial" w:hAnsi="Arial" w:cs="Arial"/>
          <w:color w:val="000000" w:themeColor="text1"/>
          <w:sz w:val="24"/>
          <w:szCs w:val="24"/>
        </w:rPr>
      </w:pPr>
    </w:p>
    <w:p w14:paraId="76D6E312" w14:textId="54815B27" w:rsidR="00E601F7" w:rsidRPr="00DF2219" w:rsidRDefault="00E601F7" w:rsidP="00DF2219">
      <w:pPr>
        <w:tabs>
          <w:tab w:val="right" w:pos="8208"/>
        </w:tabs>
        <w:spacing w:before="120" w:line="360" w:lineRule="auto"/>
        <w:ind w:left="720" w:hanging="720"/>
        <w:contextualSpacing/>
        <w:jc w:val="both"/>
        <w:rPr>
          <w:rFonts w:ascii="Arial" w:hAnsi="Arial" w:cs="Arial"/>
          <w:color w:val="000000" w:themeColor="text1"/>
          <w:sz w:val="24"/>
          <w:szCs w:val="24"/>
          <w:u w:val="single"/>
        </w:rPr>
      </w:pPr>
      <w:r w:rsidRPr="00DF2219">
        <w:rPr>
          <w:rFonts w:ascii="Arial" w:hAnsi="Arial" w:cs="Arial"/>
          <w:color w:val="000000" w:themeColor="text1"/>
          <w:sz w:val="24"/>
          <w:szCs w:val="24"/>
          <w:u w:val="single"/>
        </w:rPr>
        <w:t>For the</w:t>
      </w:r>
      <w:r w:rsidR="007E7F05" w:rsidRPr="00DF2219">
        <w:rPr>
          <w:rFonts w:ascii="Arial" w:hAnsi="Arial" w:cs="Arial"/>
          <w:color w:val="000000" w:themeColor="text1"/>
          <w:sz w:val="24"/>
          <w:szCs w:val="24"/>
          <w:u w:val="single"/>
        </w:rPr>
        <w:t xml:space="preserve"> First and Second</w:t>
      </w:r>
      <w:r w:rsidRPr="00DF2219">
        <w:rPr>
          <w:rFonts w:ascii="Arial" w:hAnsi="Arial" w:cs="Arial"/>
          <w:color w:val="000000" w:themeColor="text1"/>
          <w:sz w:val="24"/>
          <w:szCs w:val="24"/>
          <w:u w:val="single"/>
        </w:rPr>
        <w:t xml:space="preserve"> </w:t>
      </w:r>
      <w:r w:rsidR="00566C8A" w:rsidRPr="00DF2219">
        <w:rPr>
          <w:rFonts w:ascii="Arial" w:hAnsi="Arial" w:cs="Arial"/>
          <w:color w:val="000000" w:themeColor="text1"/>
          <w:sz w:val="24"/>
          <w:szCs w:val="24"/>
          <w:u w:val="single"/>
        </w:rPr>
        <w:t>Respondent</w:t>
      </w:r>
      <w:r w:rsidR="00250745" w:rsidRPr="00DF2219">
        <w:rPr>
          <w:rFonts w:ascii="Arial" w:hAnsi="Arial" w:cs="Arial"/>
          <w:color w:val="000000" w:themeColor="text1"/>
          <w:sz w:val="24"/>
          <w:szCs w:val="24"/>
          <w:u w:val="single"/>
        </w:rPr>
        <w:t>s</w:t>
      </w:r>
      <w:r w:rsidRPr="00DF2219">
        <w:rPr>
          <w:rFonts w:ascii="Arial" w:hAnsi="Arial" w:cs="Arial"/>
          <w:color w:val="000000" w:themeColor="text1"/>
          <w:sz w:val="24"/>
          <w:szCs w:val="24"/>
          <w:u w:val="single"/>
        </w:rPr>
        <w:t xml:space="preserve">:  </w:t>
      </w:r>
    </w:p>
    <w:p w14:paraId="0294268B" w14:textId="3FA9540C" w:rsidR="00A9705F" w:rsidRDefault="00A9705F" w:rsidP="00DF2219">
      <w:pPr>
        <w:tabs>
          <w:tab w:val="right" w:pos="8208"/>
        </w:tabs>
        <w:spacing w:before="120" w:line="360" w:lineRule="auto"/>
        <w:ind w:left="720" w:hanging="720"/>
        <w:contextualSpacing/>
        <w:jc w:val="both"/>
        <w:rPr>
          <w:rFonts w:ascii="Arial" w:hAnsi="Arial" w:cs="Arial"/>
          <w:color w:val="000000" w:themeColor="text1"/>
          <w:sz w:val="24"/>
          <w:szCs w:val="24"/>
        </w:rPr>
      </w:pPr>
      <w:r w:rsidRPr="00A9705F">
        <w:rPr>
          <w:rFonts w:ascii="Arial" w:hAnsi="Arial" w:cs="Arial"/>
          <w:color w:val="000000" w:themeColor="text1"/>
          <w:sz w:val="24"/>
          <w:szCs w:val="24"/>
        </w:rPr>
        <w:t>Adv K Tsatsawane SC</w:t>
      </w:r>
    </w:p>
    <w:p w14:paraId="02EBF980" w14:textId="7AEEA720" w:rsidR="00DF2219" w:rsidRPr="00DF2219" w:rsidRDefault="00DF2219" w:rsidP="00DF2219">
      <w:pPr>
        <w:tabs>
          <w:tab w:val="right" w:pos="8208"/>
        </w:tabs>
        <w:spacing w:before="120" w:line="360" w:lineRule="auto"/>
        <w:ind w:left="720" w:hanging="720"/>
        <w:contextualSpacing/>
        <w:jc w:val="both"/>
        <w:rPr>
          <w:rFonts w:ascii="Arial" w:hAnsi="Arial" w:cs="Arial"/>
          <w:i/>
          <w:iCs/>
          <w:color w:val="000000" w:themeColor="text1"/>
          <w:sz w:val="24"/>
          <w:szCs w:val="24"/>
        </w:rPr>
      </w:pPr>
      <w:r>
        <w:rPr>
          <w:rFonts w:ascii="Arial" w:hAnsi="Arial" w:cs="Arial"/>
          <w:i/>
          <w:iCs/>
          <w:color w:val="000000" w:themeColor="text1"/>
          <w:sz w:val="24"/>
          <w:szCs w:val="24"/>
        </w:rPr>
        <w:t>Instructed by:</w:t>
      </w:r>
    </w:p>
    <w:p w14:paraId="0CD6FDF5" w14:textId="0ADBB6DF" w:rsidR="00197E34" w:rsidRDefault="00197E34" w:rsidP="00DF2219">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Seanaego Attorneys Inc</w:t>
      </w:r>
    </w:p>
    <w:p w14:paraId="593A18D2" w14:textId="46214EE8" w:rsidR="00197E34" w:rsidRDefault="00197E34" w:rsidP="00DF2219">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Block</w:t>
      </w:r>
      <w:r w:rsidR="00504C8F">
        <w:rPr>
          <w:rFonts w:ascii="Arial" w:hAnsi="Arial" w:cs="Arial"/>
          <w:color w:val="000000" w:themeColor="text1"/>
          <w:sz w:val="24"/>
          <w:szCs w:val="24"/>
        </w:rPr>
        <w:t xml:space="preserve"> B, 1</w:t>
      </w:r>
      <w:r w:rsidR="00504C8F" w:rsidRPr="00504C8F">
        <w:rPr>
          <w:rFonts w:ascii="Arial" w:hAnsi="Arial" w:cs="Arial"/>
          <w:color w:val="000000" w:themeColor="text1"/>
          <w:sz w:val="24"/>
          <w:szCs w:val="24"/>
          <w:vertAlign w:val="superscript"/>
        </w:rPr>
        <w:t>st</w:t>
      </w:r>
      <w:r w:rsidR="00504C8F">
        <w:rPr>
          <w:rFonts w:ascii="Arial" w:hAnsi="Arial" w:cs="Arial"/>
          <w:color w:val="000000" w:themeColor="text1"/>
          <w:sz w:val="24"/>
          <w:szCs w:val="24"/>
        </w:rPr>
        <w:t xml:space="preserve"> floor Suite C</w:t>
      </w:r>
    </w:p>
    <w:p w14:paraId="660115C2" w14:textId="6077766D" w:rsidR="00504C8F" w:rsidRDefault="00504C8F" w:rsidP="00DF2219">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Kyalami business park</w:t>
      </w:r>
    </w:p>
    <w:p w14:paraId="44AC6713" w14:textId="4E39FEA8" w:rsidR="00504C8F" w:rsidRDefault="00504C8F" w:rsidP="00DF2219">
      <w:pPr>
        <w:tabs>
          <w:tab w:val="right" w:pos="8208"/>
        </w:tabs>
        <w:spacing w:before="120" w:line="360" w:lineRule="auto"/>
        <w:ind w:left="720" w:hanging="720"/>
        <w:contextualSpacing/>
        <w:jc w:val="both"/>
        <w:rPr>
          <w:rFonts w:ascii="Arial" w:hAnsi="Arial" w:cs="Arial"/>
          <w:color w:val="000000" w:themeColor="text1"/>
          <w:sz w:val="24"/>
          <w:szCs w:val="24"/>
        </w:rPr>
      </w:pPr>
      <w:r>
        <w:rPr>
          <w:rFonts w:ascii="Arial" w:hAnsi="Arial" w:cs="Arial"/>
          <w:color w:val="000000" w:themeColor="text1"/>
          <w:sz w:val="24"/>
          <w:szCs w:val="24"/>
        </w:rPr>
        <w:t>Midrand</w:t>
      </w:r>
    </w:p>
    <w:p w14:paraId="4D6A50C9" w14:textId="77777777" w:rsidR="002F7DC7" w:rsidRPr="00B0760E" w:rsidRDefault="002F7DC7" w:rsidP="00A60D7E">
      <w:pPr>
        <w:tabs>
          <w:tab w:val="right" w:pos="8208"/>
        </w:tabs>
        <w:spacing w:before="120" w:line="360" w:lineRule="auto"/>
        <w:ind w:left="720" w:hanging="720"/>
        <w:jc w:val="both"/>
        <w:rPr>
          <w:rFonts w:ascii="Arial" w:hAnsi="Arial" w:cs="Arial"/>
          <w:color w:val="000000" w:themeColor="text1"/>
          <w:sz w:val="24"/>
          <w:szCs w:val="24"/>
        </w:rPr>
      </w:pPr>
    </w:p>
    <w:p w14:paraId="2CD21E6E" w14:textId="77777777" w:rsidR="00E601F7" w:rsidRPr="00B0760E" w:rsidRDefault="00E601F7" w:rsidP="00A60D7E">
      <w:pPr>
        <w:tabs>
          <w:tab w:val="right" w:pos="8208"/>
        </w:tabs>
        <w:spacing w:before="120" w:line="360" w:lineRule="auto"/>
        <w:ind w:left="720" w:hanging="720"/>
        <w:jc w:val="both"/>
        <w:rPr>
          <w:rFonts w:ascii="Arial" w:hAnsi="Arial" w:cs="Arial"/>
          <w:color w:val="000000" w:themeColor="text1"/>
          <w:sz w:val="24"/>
          <w:szCs w:val="24"/>
        </w:rPr>
      </w:pPr>
    </w:p>
    <w:p w14:paraId="13E6233A" w14:textId="77777777" w:rsidR="00E601F7" w:rsidRPr="00B0760E" w:rsidRDefault="00E601F7" w:rsidP="00A60D7E">
      <w:pPr>
        <w:pBdr>
          <w:top w:val="nil"/>
          <w:left w:val="nil"/>
          <w:bottom w:val="nil"/>
          <w:right w:val="nil"/>
          <w:between w:val="nil"/>
        </w:pBdr>
        <w:spacing w:before="120" w:line="360" w:lineRule="auto"/>
        <w:ind w:left="720" w:hanging="720"/>
        <w:jc w:val="both"/>
        <w:rPr>
          <w:rFonts w:ascii="Arial" w:eastAsia="Arial" w:hAnsi="Arial" w:cs="Arial"/>
          <w:color w:val="000000" w:themeColor="text1"/>
          <w:sz w:val="24"/>
          <w:szCs w:val="24"/>
        </w:rPr>
      </w:pPr>
    </w:p>
    <w:p w14:paraId="7EE2238F" w14:textId="77777777" w:rsidR="00111684" w:rsidRPr="00A60D7E" w:rsidRDefault="00111684" w:rsidP="00A60D7E">
      <w:pPr>
        <w:spacing w:before="120" w:line="360" w:lineRule="auto"/>
        <w:ind w:hanging="720"/>
        <w:rPr>
          <w:rFonts w:ascii="Arial" w:hAnsi="Arial" w:cs="Arial"/>
          <w:sz w:val="24"/>
          <w:szCs w:val="24"/>
        </w:rPr>
      </w:pPr>
    </w:p>
    <w:sectPr w:rsidR="00111684" w:rsidRPr="00A60D7E" w:rsidSect="00C444D4">
      <w:footerReference w:type="default" r:id="rId13"/>
      <w:pgSz w:w="11906" w:h="16838"/>
      <w:pgMar w:top="1134" w:right="1440" w:bottom="709"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4E6B9" w14:textId="77777777" w:rsidR="00B9263C" w:rsidRDefault="00B9263C" w:rsidP="00E601F7">
      <w:pPr>
        <w:spacing w:after="0" w:line="240" w:lineRule="auto"/>
      </w:pPr>
      <w:r>
        <w:separator/>
      </w:r>
    </w:p>
  </w:endnote>
  <w:endnote w:type="continuationSeparator" w:id="0">
    <w:p w14:paraId="6EADD821" w14:textId="77777777" w:rsidR="00B9263C" w:rsidRDefault="00B9263C" w:rsidP="00E6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BB40" w14:textId="14620313" w:rsidR="00B64768" w:rsidRDefault="00BE6CE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0A15">
      <w:rPr>
        <w:noProof/>
        <w:color w:val="000000"/>
      </w:rPr>
      <w:t>1</w:t>
    </w:r>
    <w:r>
      <w:rPr>
        <w:color w:val="000000"/>
      </w:rPr>
      <w:fldChar w:fldCharType="end"/>
    </w:r>
  </w:p>
  <w:p w14:paraId="321B6EC7" w14:textId="77777777" w:rsidR="00B64768" w:rsidRDefault="00B926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BCCF" w14:textId="77777777" w:rsidR="00B9263C" w:rsidRDefault="00B9263C" w:rsidP="00E601F7">
      <w:pPr>
        <w:spacing w:after="0" w:line="240" w:lineRule="auto"/>
      </w:pPr>
      <w:r>
        <w:separator/>
      </w:r>
    </w:p>
  </w:footnote>
  <w:footnote w:type="continuationSeparator" w:id="0">
    <w:p w14:paraId="1B6FD53D" w14:textId="77777777" w:rsidR="00B9263C" w:rsidRDefault="00B9263C" w:rsidP="00E601F7">
      <w:pPr>
        <w:spacing w:after="0" w:line="240" w:lineRule="auto"/>
      </w:pPr>
      <w:r>
        <w:continuationSeparator/>
      </w:r>
    </w:p>
  </w:footnote>
  <w:footnote w:id="1">
    <w:p w14:paraId="6B3CBF60" w14:textId="77777777" w:rsidR="00953E10" w:rsidRDefault="00953E10" w:rsidP="00953E10">
      <w:pPr>
        <w:pStyle w:val="FootnoteText"/>
      </w:pPr>
      <w:r>
        <w:rPr>
          <w:rStyle w:val="FootnoteReference"/>
        </w:rPr>
        <w:footnoteRef/>
      </w:r>
      <w:r>
        <w:t xml:space="preserve"> </w:t>
      </w:r>
      <w:r w:rsidRPr="00913E5A">
        <w:rPr>
          <w:i/>
          <w:iCs/>
        </w:rPr>
        <w:t>President v M&amp;G (2011) CC</w:t>
      </w:r>
      <w:r>
        <w:t xml:space="preserve"> at para 13-14</w:t>
      </w:r>
    </w:p>
  </w:footnote>
  <w:footnote w:id="2">
    <w:p w14:paraId="2DAD9AD7" w14:textId="77777777" w:rsidR="00534F68" w:rsidRPr="00534F68" w:rsidRDefault="00534F68" w:rsidP="00534F68">
      <w:r>
        <w:rPr>
          <w:rStyle w:val="FootnoteReference"/>
        </w:rPr>
        <w:footnoteRef/>
      </w:r>
      <w:r>
        <w:t xml:space="preserve"> </w:t>
      </w:r>
      <w:r w:rsidRPr="00534F68">
        <w:rPr>
          <w:i/>
          <w:iCs/>
        </w:rPr>
        <w:t xml:space="preserve">The President of RSA v M &amp; G Media </w:t>
      </w:r>
      <w:r w:rsidRPr="00534F68">
        <w:t>(570/10) [2010] ZASCA 177 (14 DECEMBER 2010)</w:t>
      </w:r>
    </w:p>
    <w:p w14:paraId="0D0E2979" w14:textId="7819F1BC" w:rsidR="00534F68" w:rsidRDefault="00534F68">
      <w:pPr>
        <w:pStyle w:val="FootnoteText"/>
      </w:pPr>
    </w:p>
  </w:footnote>
  <w:footnote w:id="3">
    <w:p w14:paraId="190F8396" w14:textId="73569650" w:rsidR="00BA1C31" w:rsidRDefault="00BA1C31" w:rsidP="00BA1C31">
      <w:pPr>
        <w:pStyle w:val="FootnoteText"/>
      </w:pPr>
      <w:r>
        <w:rPr>
          <w:rStyle w:val="FootnoteReference"/>
        </w:rPr>
        <w:footnoteRef/>
      </w:r>
      <w:r>
        <w:t xml:space="preserve"> </w:t>
      </w:r>
      <w:r w:rsidR="00A63FAF">
        <w:t xml:space="preserve">First and </w:t>
      </w:r>
      <w:r w:rsidR="00566C8A">
        <w:t>Respondent</w:t>
      </w:r>
      <w:r w:rsidR="00A63FAF">
        <w:t>’s a</w:t>
      </w:r>
      <w:r>
        <w:t xml:space="preserve">nswering affidavit para2.2 </w:t>
      </w:r>
      <w:r w:rsidR="00DC40C7">
        <w:t>- Case Lines 007-6</w:t>
      </w:r>
    </w:p>
  </w:footnote>
  <w:footnote w:id="4">
    <w:p w14:paraId="4889B890" w14:textId="0BC9702E" w:rsidR="005E7E73" w:rsidRDefault="005E7E73">
      <w:pPr>
        <w:pStyle w:val="FootnoteText"/>
      </w:pPr>
      <w:r>
        <w:rPr>
          <w:rStyle w:val="FootnoteReference"/>
        </w:rPr>
        <w:footnoteRef/>
      </w:r>
      <w:r>
        <w:t xml:space="preserve"> First and </w:t>
      </w:r>
      <w:r w:rsidR="00566C8A">
        <w:t>Respondent</w:t>
      </w:r>
      <w:r>
        <w:t>’s Heads of argument</w:t>
      </w:r>
      <w:r w:rsidR="00D31D1A">
        <w:t xml:space="preserve"> paras 2.4 to 2.0 </w:t>
      </w:r>
      <w:r w:rsidR="00DC40C7">
        <w:t xml:space="preserve"> - </w:t>
      </w:r>
      <w:r w:rsidR="00D31D1A">
        <w:t>Case Lines 012-51 to 012-</w:t>
      </w:r>
      <w:r w:rsidR="00DC40C7">
        <w:t>55</w:t>
      </w:r>
    </w:p>
  </w:footnote>
  <w:footnote w:id="5">
    <w:p w14:paraId="71E1F282" w14:textId="6A6815BC" w:rsidR="002633C8" w:rsidRDefault="002633C8">
      <w:pPr>
        <w:pStyle w:val="FootnoteText"/>
      </w:pPr>
      <w:r>
        <w:rPr>
          <w:rStyle w:val="FootnoteReference"/>
        </w:rPr>
        <w:footnoteRef/>
      </w:r>
      <w:r>
        <w:t xml:space="preserve"> </w:t>
      </w:r>
      <w:r w:rsidR="00566C8A">
        <w:t>Applicant</w:t>
      </w:r>
      <w:r>
        <w:t>’s replying affidavit para</w:t>
      </w:r>
      <w:r w:rsidR="00C53DC3">
        <w:t xml:space="preserve"> 12 Case Lines 011-4</w:t>
      </w:r>
    </w:p>
  </w:footnote>
  <w:footnote w:id="6">
    <w:p w14:paraId="6BD6BE9A" w14:textId="5112794B" w:rsidR="00CA46D4" w:rsidRDefault="00CA46D4">
      <w:pPr>
        <w:pStyle w:val="FootnoteText"/>
      </w:pPr>
      <w:r>
        <w:rPr>
          <w:rStyle w:val="FootnoteReference"/>
        </w:rPr>
        <w:footnoteRef/>
      </w:r>
      <w:r>
        <w:t xml:space="preserve"> </w:t>
      </w:r>
      <w:r w:rsidRPr="007250A4">
        <w:rPr>
          <w:i/>
        </w:rPr>
        <w:t>South African Transport and Allied Workers Union and Another v Garvas and Others</w:t>
      </w:r>
      <w:r>
        <w:t xml:space="preserve"> [2012] ZACC 13; 2013 (1)SA 83 (CC) para 63</w:t>
      </w:r>
    </w:p>
  </w:footnote>
  <w:footnote w:id="7">
    <w:p w14:paraId="1CCDF5B7" w14:textId="46991730" w:rsidR="003E01D0" w:rsidRDefault="003E01D0">
      <w:pPr>
        <w:pStyle w:val="FootnoteText"/>
      </w:pPr>
      <w:r>
        <w:rPr>
          <w:rStyle w:val="FootnoteReference"/>
        </w:rPr>
        <w:footnoteRef/>
      </w:r>
      <w:r>
        <w:t xml:space="preserve"> </w:t>
      </w:r>
      <w:r w:rsidRPr="00B4749E">
        <w:rPr>
          <w:i/>
          <w:iCs/>
        </w:rPr>
        <w:t>Bato Star Fishing (Pty) Ltd v Minister of Environmental Affairs and Tourism and Others</w:t>
      </w:r>
      <w:r w:rsidR="00B4749E">
        <w:t xml:space="preserve"> </w:t>
      </w:r>
      <w:r w:rsidR="00B4749E" w:rsidRPr="00B4749E">
        <w:t>2004 (4) SA 490 (CC)</w:t>
      </w:r>
    </w:p>
  </w:footnote>
  <w:footnote w:id="8">
    <w:p w14:paraId="2BC13BCA" w14:textId="77777777" w:rsidR="00976457" w:rsidRPr="00976457" w:rsidRDefault="00A612C6" w:rsidP="00976457">
      <w:pPr>
        <w:pStyle w:val="FootnoteText"/>
        <w:rPr>
          <w:i/>
          <w:iCs/>
        </w:rPr>
      </w:pPr>
      <w:r>
        <w:rPr>
          <w:rStyle w:val="FootnoteReference"/>
        </w:rPr>
        <w:footnoteRef/>
      </w:r>
      <w:r>
        <w:t xml:space="preserve"> </w:t>
      </w:r>
      <w:r w:rsidR="00976457" w:rsidRPr="00976457">
        <w:rPr>
          <w:i/>
          <w:iCs/>
        </w:rPr>
        <w:t xml:space="preserve">Pharmaceutical Manufacturers Association of South Africa and Another: In re Ex Parte President of the </w:t>
      </w:r>
    </w:p>
    <w:p w14:paraId="5435172D" w14:textId="2F1F6DDB" w:rsidR="00A612C6" w:rsidRDefault="00976457" w:rsidP="00976457">
      <w:pPr>
        <w:pStyle w:val="FootnoteText"/>
      </w:pPr>
      <w:r w:rsidRPr="00976457">
        <w:rPr>
          <w:i/>
          <w:iCs/>
        </w:rPr>
        <w:t>Republic of South Africa and Others</w:t>
      </w:r>
      <w:r>
        <w:t xml:space="preserve"> [2000] ZACC 1, 2000 (2) SA 674 (CC), 2000 (3) BCLR 241 (CC) (‘Pharmaceutical Manufacturers’) at para 45</w:t>
      </w:r>
    </w:p>
  </w:footnote>
  <w:footnote w:id="9">
    <w:p w14:paraId="1F7ED4EF" w14:textId="77777777" w:rsidR="004E57EE" w:rsidRDefault="004E57EE" w:rsidP="004E57EE">
      <w:pPr>
        <w:pStyle w:val="FootnoteText"/>
      </w:pPr>
      <w:r>
        <w:rPr>
          <w:rStyle w:val="FootnoteReference"/>
        </w:rPr>
        <w:footnoteRef/>
      </w:r>
      <w:r>
        <w:t xml:space="preserve"> </w:t>
      </w:r>
      <w:r w:rsidRPr="00F50F28">
        <w:rPr>
          <w:i/>
          <w:iCs/>
        </w:rPr>
        <w:t xml:space="preserve">Fedsure Life Assurance Ltd. and Others v Greater Johannesburg Transitional Metropolitan Council and Others </w:t>
      </w:r>
      <w:r w:rsidRPr="00A61CA4">
        <w:t>(328/97) [1998] ZASCA 14; 1998 (2) SA 1115 (SCA)</w:t>
      </w:r>
      <w:r>
        <w:t xml:space="preserve"> at paras 56 and 59</w:t>
      </w:r>
    </w:p>
  </w:footnote>
  <w:footnote w:id="10">
    <w:p w14:paraId="10D54070" w14:textId="76D609C2" w:rsidR="0098512F" w:rsidRDefault="0098512F" w:rsidP="0098512F">
      <w:pPr>
        <w:pStyle w:val="FootnoteText"/>
      </w:pPr>
      <w:r>
        <w:rPr>
          <w:rStyle w:val="FootnoteReference"/>
        </w:rPr>
        <w:footnoteRef/>
      </w:r>
      <w:r>
        <w:t xml:space="preserve"> </w:t>
      </w:r>
      <w:r w:rsidRPr="00292A80">
        <w:t xml:space="preserve">  C Hoexter ‘</w:t>
      </w:r>
      <w:r w:rsidRPr="00292A80">
        <w:rPr>
          <w:i/>
          <w:iCs/>
        </w:rPr>
        <w:t xml:space="preserve">The Enforcement of an Official Promise: Form, Substance and the Constitutional </w:t>
      </w:r>
      <w:r w:rsidR="00566C8A">
        <w:rPr>
          <w:i/>
          <w:iCs/>
        </w:rPr>
        <w:t>Court</w:t>
      </w:r>
      <w:r w:rsidRPr="00292A80">
        <w:t>’ (2015) 132 South African Law Journal 207 (‘Enforcement’), 219.</w:t>
      </w:r>
    </w:p>
  </w:footnote>
  <w:footnote w:id="11">
    <w:p w14:paraId="46237649" w14:textId="77777777" w:rsidR="00324F0E" w:rsidRDefault="00324F0E" w:rsidP="00324F0E">
      <w:pPr>
        <w:pStyle w:val="FootnoteText"/>
      </w:pPr>
      <w:r>
        <w:rPr>
          <w:rStyle w:val="FootnoteReference"/>
        </w:rPr>
        <w:footnoteRef/>
      </w:r>
      <w:r>
        <w:t xml:space="preserve"> </w:t>
      </w:r>
      <w:r w:rsidRPr="001C31F5">
        <w:rPr>
          <w:i/>
          <w:iCs/>
        </w:rPr>
        <w:t>My Vote Counts NPC v Minister of Justice and Correctional Services and Another</w:t>
      </w:r>
      <w:r w:rsidRPr="0009265A">
        <w:t xml:space="preserve"> (CCT249/17) [2018] ZACC 17; 2018 (8) BCLR 893 (CC); 2018 (5) SA 380 (CC) (21 June 2018</w:t>
      </w:r>
    </w:p>
  </w:footnote>
  <w:footnote w:id="12">
    <w:p w14:paraId="597DB2C6" w14:textId="4082EEC1" w:rsidR="00324F0E" w:rsidRDefault="00324F0E" w:rsidP="00324F0E">
      <w:pPr>
        <w:pStyle w:val="FootnoteText"/>
      </w:pPr>
      <w:r>
        <w:rPr>
          <w:rStyle w:val="FootnoteReference"/>
        </w:rPr>
        <w:footnoteRef/>
      </w:r>
      <w:r>
        <w:t xml:space="preserve"> Murcott and Van der Westhuizen: “</w:t>
      </w:r>
      <w:r w:rsidRPr="00025B3A">
        <w:rPr>
          <w:i/>
          <w:iCs/>
        </w:rPr>
        <w:t>The ebb and flow of the principle of legality: Critical Reflections on Motau and My Vote Counts</w:t>
      </w:r>
      <w:r>
        <w:t xml:space="preserve">” Juta Constitutional </w:t>
      </w:r>
      <w:r w:rsidR="00566C8A">
        <w:t>Court</w:t>
      </w:r>
      <w:r>
        <w:t xml:space="preserve"> Review (2015) 7 CCR 43 page 70</w:t>
      </w:r>
    </w:p>
  </w:footnote>
  <w:footnote w:id="13">
    <w:p w14:paraId="49900B7A" w14:textId="5756EA22" w:rsidR="001C3E47" w:rsidRDefault="001C3E47">
      <w:pPr>
        <w:pStyle w:val="FootnoteText"/>
      </w:pPr>
      <w:r>
        <w:rPr>
          <w:rStyle w:val="FootnoteReference"/>
        </w:rPr>
        <w:footnoteRef/>
      </w:r>
      <w:r w:rsidRPr="001C3E47">
        <w:t xml:space="preserve"> </w:t>
      </w:r>
      <w:r w:rsidRPr="001C3E47">
        <w:rPr>
          <w:i/>
          <w:iCs/>
        </w:rPr>
        <w:t>Kerkhoff v Minister of Justice and Constitutional Development and Others</w:t>
      </w:r>
      <w:r w:rsidRPr="001C3E47">
        <w:t xml:space="preserve"> (2011 (2) SACR 109 (GNP)) [2010] ZAGPPHC 5; 14920/2009 (10 February 2010)</w:t>
      </w:r>
      <w:r w:rsidR="00873274">
        <w:t xml:space="preserve"> para 17</w:t>
      </w:r>
    </w:p>
  </w:footnote>
  <w:footnote w:id="14">
    <w:p w14:paraId="34D5914D" w14:textId="469DE873" w:rsidR="00A76F61" w:rsidRDefault="00A76F61">
      <w:pPr>
        <w:pStyle w:val="FootnoteText"/>
      </w:pPr>
      <w:r>
        <w:rPr>
          <w:rStyle w:val="FootnoteReference"/>
        </w:rPr>
        <w:footnoteRef/>
      </w:r>
      <w:r>
        <w:t xml:space="preserve"> </w:t>
      </w:r>
      <w:r w:rsidRPr="00A76F61">
        <w:t xml:space="preserve">Democracy in South Africa v ANC 2005 (5) SA 39 (C) para 17  </w:t>
      </w:r>
    </w:p>
  </w:footnote>
  <w:footnote w:id="15">
    <w:p w14:paraId="2DB00F40" w14:textId="70BBE12F" w:rsidR="00B73F56" w:rsidRDefault="00B73F56">
      <w:pPr>
        <w:pStyle w:val="FootnoteText"/>
      </w:pPr>
      <w:r>
        <w:rPr>
          <w:rStyle w:val="FootnoteReference"/>
        </w:rPr>
        <w:footnoteRef/>
      </w:r>
      <w:r>
        <w:t xml:space="preserve"> </w:t>
      </w:r>
      <w:r w:rsidR="00660A01">
        <w:t>Sections 11(1) read with Section 81(3) of PAIA</w:t>
      </w:r>
      <w:r w:rsidR="00CC2500">
        <w:t xml:space="preserve">; </w:t>
      </w:r>
      <w:r w:rsidR="00CC2500" w:rsidRPr="00991561">
        <w:rPr>
          <w:i/>
          <w:iCs/>
        </w:rPr>
        <w:t>President of the Republic of South Africa and Others v M &amp; G Media Ltd</w:t>
      </w:r>
      <w:r w:rsidR="00CC2500" w:rsidRPr="00CC2500">
        <w:t xml:space="preserve"> </w:t>
      </w:r>
      <w:r w:rsidR="00991561">
        <w:t xml:space="preserve"> </w:t>
      </w:r>
      <w:r w:rsidR="00CC2500" w:rsidRPr="00CC2500">
        <w:t>2012 (2) SA 50 (CC) (29 November 2011)</w:t>
      </w:r>
      <w:r w:rsidR="00CC2500">
        <w:t xml:space="preserve"> para</w:t>
      </w:r>
      <w:r w:rsidR="00991561">
        <w:t xml:space="preserve"> </w:t>
      </w:r>
      <w:r w:rsidR="00235B82">
        <w:t>2</w:t>
      </w:r>
      <w:r w:rsidR="0003214D">
        <w:t>3</w:t>
      </w:r>
    </w:p>
  </w:footnote>
  <w:footnote w:id="16">
    <w:p w14:paraId="1E923F7B" w14:textId="77777777" w:rsidR="00973117" w:rsidRDefault="00973117" w:rsidP="00973117">
      <w:pPr>
        <w:pStyle w:val="FootnoteText"/>
      </w:pPr>
      <w:r>
        <w:rPr>
          <w:rStyle w:val="FootnoteReference"/>
        </w:rPr>
        <w:footnoteRef/>
      </w:r>
      <w:r>
        <w:t xml:space="preserve"> </w:t>
      </w:r>
      <w:r w:rsidRPr="00991561">
        <w:rPr>
          <w:i/>
          <w:iCs/>
        </w:rPr>
        <w:t>President of the Republic of South Africa and Others v M &amp; G Media Ltd</w:t>
      </w:r>
      <w:r w:rsidRPr="00CC2500">
        <w:t xml:space="preserve"> </w:t>
      </w:r>
      <w:r>
        <w:t xml:space="preserve"> </w:t>
      </w:r>
      <w:r w:rsidRPr="00CC2500">
        <w:t>2012 (2) SA 50 (CC) (29 November 2011)</w:t>
      </w:r>
      <w:r>
        <w:t xml:space="preserve"> para 24</w:t>
      </w:r>
    </w:p>
  </w:footnote>
  <w:footnote w:id="17">
    <w:p w14:paraId="6B9A235A" w14:textId="77777777" w:rsidR="00973117" w:rsidRPr="00913E5A" w:rsidRDefault="00973117" w:rsidP="00973117">
      <w:pPr>
        <w:pStyle w:val="FootnoteText"/>
      </w:pPr>
      <w:r>
        <w:rPr>
          <w:rStyle w:val="FootnoteReference"/>
        </w:rPr>
        <w:footnoteRef/>
      </w:r>
      <w:r>
        <w:t xml:space="preserve"> </w:t>
      </w:r>
      <w:r w:rsidRPr="00913E5A">
        <w:rPr>
          <w:i/>
          <w:iCs/>
        </w:rPr>
        <w:t xml:space="preserve">President v M&amp;G (2011) CC </w:t>
      </w:r>
      <w:r w:rsidRPr="00913E5A">
        <w:t>at para 18</w:t>
      </w:r>
    </w:p>
  </w:footnote>
  <w:footnote w:id="18">
    <w:p w14:paraId="134B3373" w14:textId="77777777" w:rsidR="00973117" w:rsidRDefault="00973117" w:rsidP="00973117">
      <w:pPr>
        <w:pStyle w:val="FootnoteText"/>
      </w:pPr>
      <w:r w:rsidRPr="00913E5A">
        <w:rPr>
          <w:rStyle w:val="FootnoteReference"/>
          <w:i/>
          <w:iCs/>
        </w:rPr>
        <w:footnoteRef/>
      </w:r>
      <w:r w:rsidRPr="00913E5A">
        <w:rPr>
          <w:i/>
          <w:iCs/>
        </w:rPr>
        <w:t xml:space="preserve"> President v M&amp;G (2011) CC</w:t>
      </w:r>
      <w:r>
        <w:t xml:space="preserve"> at para 24</w:t>
      </w:r>
    </w:p>
  </w:footnote>
  <w:footnote w:id="19">
    <w:p w14:paraId="093485CC" w14:textId="77777777" w:rsidR="00CE5094" w:rsidRDefault="00CE5094" w:rsidP="00CE5094">
      <w:pPr>
        <w:pStyle w:val="FootnoteText"/>
      </w:pPr>
      <w:r>
        <w:rPr>
          <w:rStyle w:val="FootnoteReference"/>
        </w:rPr>
        <w:footnoteRef/>
      </w:r>
      <w:r>
        <w:t xml:space="preserve"> S</w:t>
      </w:r>
      <w:r w:rsidRPr="00955BFA">
        <w:t>ection 41(1)(a)(iii) of PAIA</w:t>
      </w:r>
    </w:p>
  </w:footnote>
  <w:footnote w:id="20">
    <w:p w14:paraId="3EFD99E2" w14:textId="77777777" w:rsidR="00CE5094" w:rsidRDefault="00CE5094" w:rsidP="00CE5094">
      <w:pPr>
        <w:pStyle w:val="FootnoteText"/>
      </w:pPr>
      <w:r>
        <w:rPr>
          <w:rStyle w:val="FootnoteReference"/>
        </w:rPr>
        <w:footnoteRef/>
      </w:r>
      <w:r>
        <w:t xml:space="preserve"> </w:t>
      </w:r>
      <w:bookmarkStart w:id="3" w:name="_Hlk140350980"/>
      <w:r w:rsidRPr="0003696F">
        <w:t>Section 41(1)(b)(iii) of PAIA</w:t>
      </w:r>
      <w:bookmarkEnd w:id="3"/>
    </w:p>
  </w:footnote>
  <w:footnote w:id="21">
    <w:p w14:paraId="3233A3FA" w14:textId="159A14E7" w:rsidR="00B1657C" w:rsidRDefault="00B1657C">
      <w:pPr>
        <w:pStyle w:val="FootnoteText"/>
      </w:pPr>
      <w:r>
        <w:rPr>
          <w:rStyle w:val="FootnoteReference"/>
        </w:rPr>
        <w:footnoteRef/>
      </w:r>
      <w:r>
        <w:t xml:space="preserve"> </w:t>
      </w:r>
      <w:r w:rsidRPr="00B1657C">
        <w:rPr>
          <w:i/>
          <w:iCs/>
        </w:rPr>
        <w:t xml:space="preserve">Treatment Action Campaign v Minister of Correctional Services and Another </w:t>
      </w:r>
      <w:r w:rsidRPr="00B1657C">
        <w:t>(18379/2008) [2009] ZAGPHC 10 (30 January 2009)</w:t>
      </w:r>
      <w:r w:rsidR="00EF3C15">
        <w:t xml:space="preserve"> para 31.5</w:t>
      </w:r>
      <w:r w:rsidR="00AF179D">
        <w:t xml:space="preserve"> (“Treatment Action Campaign”)</w:t>
      </w:r>
    </w:p>
  </w:footnote>
  <w:footnote w:id="22">
    <w:p w14:paraId="5F8880EC" w14:textId="2C8F1E4D" w:rsidR="00EB0E4E" w:rsidRDefault="00EB0E4E">
      <w:pPr>
        <w:pStyle w:val="FootnoteText"/>
      </w:pPr>
      <w:r>
        <w:rPr>
          <w:rStyle w:val="FootnoteReference"/>
        </w:rPr>
        <w:footnoteRef/>
      </w:r>
      <w:r>
        <w:t xml:space="preserve"> Section 1 PAIA</w:t>
      </w:r>
    </w:p>
  </w:footnote>
  <w:footnote w:id="23">
    <w:p w14:paraId="350F98ED" w14:textId="0CFCF853" w:rsidR="003A2D20" w:rsidRDefault="003A2D20">
      <w:pPr>
        <w:pStyle w:val="FootnoteText"/>
      </w:pPr>
      <w:r>
        <w:rPr>
          <w:rStyle w:val="FootnoteReference"/>
        </w:rPr>
        <w:footnoteRef/>
      </w:r>
      <w:r>
        <w:t xml:space="preserve"> ICAO </w:t>
      </w:r>
      <w:r w:rsidR="00566C8A">
        <w:rPr>
          <w:i/>
          <w:iCs/>
        </w:rPr>
        <w:t>Annex</w:t>
      </w:r>
      <w:r w:rsidRPr="00BF5236">
        <w:rPr>
          <w:i/>
          <w:iCs/>
        </w:rPr>
        <w:t xml:space="preserve"> 13 to the </w:t>
      </w:r>
      <w:r w:rsidR="00566C8A">
        <w:rPr>
          <w:i/>
          <w:iCs/>
        </w:rPr>
        <w:t>Convention</w:t>
      </w:r>
      <w:r w:rsidRPr="00BF5236">
        <w:rPr>
          <w:i/>
          <w:iCs/>
        </w:rPr>
        <w:t>: Aircraft Accident and Incident Investigation</w:t>
      </w:r>
    </w:p>
  </w:footnote>
  <w:footnote w:id="24">
    <w:p w14:paraId="1393937F" w14:textId="618457A7" w:rsidR="00B45EEC" w:rsidRDefault="00B45EEC">
      <w:pPr>
        <w:pStyle w:val="FootnoteText"/>
      </w:pPr>
      <w:r>
        <w:rPr>
          <w:rStyle w:val="FootnoteReference"/>
        </w:rPr>
        <w:footnoteRef/>
      </w:r>
      <w:r>
        <w:t xml:space="preserve"> </w:t>
      </w:r>
      <w:r w:rsidR="00566C8A">
        <w:t>Respondent</w:t>
      </w:r>
      <w:r w:rsidR="00B44015">
        <w:t xml:space="preserve">’s Heads of Argument para </w:t>
      </w:r>
      <w:r w:rsidR="00BA3572">
        <w:t>2.14 found at Case Lines 012-62</w:t>
      </w:r>
    </w:p>
  </w:footnote>
  <w:footnote w:id="25">
    <w:p w14:paraId="534B8622" w14:textId="2CB95AF4" w:rsidR="00187DF3" w:rsidRDefault="00187DF3">
      <w:pPr>
        <w:pStyle w:val="FootnoteText"/>
      </w:pPr>
      <w:r>
        <w:rPr>
          <w:rStyle w:val="FootnoteReference"/>
        </w:rPr>
        <w:footnoteRef/>
      </w:r>
      <w:r>
        <w:t xml:space="preserve"> </w:t>
      </w:r>
      <w:r w:rsidR="00170871">
        <w:t>LAWSA, 2</w:t>
      </w:r>
      <w:r w:rsidR="00170871" w:rsidRPr="00170871">
        <w:rPr>
          <w:vertAlign w:val="superscript"/>
        </w:rPr>
        <w:t>nd</w:t>
      </w:r>
      <w:r w:rsidR="00170871">
        <w:t xml:space="preserve"> ed, </w:t>
      </w:r>
      <w:r w:rsidR="002A6891">
        <w:t xml:space="preserve">2 Part 1  </w:t>
      </w:r>
      <w:r w:rsidR="00DC4850">
        <w:t xml:space="preserve">par 37 referring to </w:t>
      </w:r>
      <w:r>
        <w:t xml:space="preserve">Article 37, read with </w:t>
      </w:r>
      <w:r w:rsidR="00170871">
        <w:t xml:space="preserve">arts 54(1)  </w:t>
      </w:r>
      <w:r w:rsidR="002A6891">
        <w:t>a</w:t>
      </w:r>
      <w:r w:rsidR="00170871">
        <w:t xml:space="preserve">nd 90 of the </w:t>
      </w:r>
      <w:r w:rsidR="00566C8A">
        <w:t>Convention</w:t>
      </w:r>
    </w:p>
  </w:footnote>
  <w:footnote w:id="26">
    <w:p w14:paraId="334BD535" w14:textId="6BD1377A" w:rsidR="006F3A6D" w:rsidRDefault="006F3A6D">
      <w:pPr>
        <w:pStyle w:val="FootnoteText"/>
      </w:pPr>
      <w:r>
        <w:rPr>
          <w:rStyle w:val="FootnoteReference"/>
        </w:rPr>
        <w:footnoteRef/>
      </w:r>
      <w:r>
        <w:t xml:space="preserve"> </w:t>
      </w:r>
      <w:r w:rsidR="0022551B">
        <w:t xml:space="preserve">Article 37 of the </w:t>
      </w:r>
      <w:r w:rsidR="00566C8A">
        <w:t>Convention</w:t>
      </w:r>
    </w:p>
  </w:footnote>
  <w:footnote w:id="27">
    <w:p w14:paraId="56AB919D" w14:textId="440D96D0" w:rsidR="00450331" w:rsidRPr="00381E72" w:rsidRDefault="00450331">
      <w:pPr>
        <w:pStyle w:val="FootnoteText"/>
        <w:rPr>
          <w:i/>
          <w:iCs/>
        </w:rPr>
      </w:pPr>
      <w:r>
        <w:rPr>
          <w:rStyle w:val="FootnoteReference"/>
        </w:rPr>
        <w:footnoteRef/>
      </w:r>
      <w:r>
        <w:t xml:space="preserve"> ICAO</w:t>
      </w:r>
      <w:r w:rsidR="008C2EB8">
        <w:t xml:space="preserve"> </w:t>
      </w:r>
      <w:r w:rsidR="00566C8A">
        <w:rPr>
          <w:i/>
          <w:iCs/>
        </w:rPr>
        <w:t>Annex</w:t>
      </w:r>
      <w:r w:rsidR="008C2EB8" w:rsidRPr="00BF5236">
        <w:rPr>
          <w:i/>
          <w:iCs/>
        </w:rPr>
        <w:t xml:space="preserve"> 13 to the </w:t>
      </w:r>
      <w:r w:rsidR="00566C8A">
        <w:rPr>
          <w:i/>
          <w:iCs/>
        </w:rPr>
        <w:t>Convention</w:t>
      </w:r>
      <w:r w:rsidR="008C2EB8" w:rsidRPr="00BF5236">
        <w:rPr>
          <w:i/>
          <w:iCs/>
        </w:rPr>
        <w:t>: Aircraft Accident and</w:t>
      </w:r>
      <w:r w:rsidR="005A0C87" w:rsidRPr="00BF5236">
        <w:rPr>
          <w:i/>
          <w:iCs/>
        </w:rPr>
        <w:t xml:space="preserve"> Incident</w:t>
      </w:r>
      <w:r w:rsidR="008C2EB8" w:rsidRPr="00BF5236">
        <w:rPr>
          <w:i/>
          <w:iCs/>
        </w:rPr>
        <w:t xml:space="preserve"> Investigation</w:t>
      </w:r>
      <w:r w:rsidR="005A0C87">
        <w:t xml:space="preserve">, </w:t>
      </w:r>
      <w:r w:rsidR="00BF5236" w:rsidRPr="00381E72">
        <w:rPr>
          <w:i/>
          <w:iCs/>
        </w:rPr>
        <w:t xml:space="preserve">Foreword: </w:t>
      </w:r>
      <w:r w:rsidR="005A7291" w:rsidRPr="00381E72">
        <w:rPr>
          <w:i/>
          <w:iCs/>
        </w:rPr>
        <w:t>R</w:t>
      </w:r>
      <w:r w:rsidR="00BF5236" w:rsidRPr="00381E72">
        <w:rPr>
          <w:i/>
          <w:iCs/>
        </w:rPr>
        <w:t xml:space="preserve">elationship between </w:t>
      </w:r>
      <w:r w:rsidR="00566C8A">
        <w:rPr>
          <w:i/>
          <w:iCs/>
        </w:rPr>
        <w:t>Annex</w:t>
      </w:r>
      <w:r w:rsidR="00BF5236" w:rsidRPr="00381E72">
        <w:rPr>
          <w:i/>
          <w:iCs/>
        </w:rPr>
        <w:t xml:space="preserve"> 13 and</w:t>
      </w:r>
      <w:r w:rsidR="005A7291" w:rsidRPr="00381E72">
        <w:rPr>
          <w:i/>
          <w:iCs/>
        </w:rPr>
        <w:t xml:space="preserve"> Article 26 of the </w:t>
      </w:r>
      <w:r w:rsidR="00566C8A">
        <w:rPr>
          <w:i/>
          <w:iCs/>
        </w:rPr>
        <w:t>Convention</w:t>
      </w:r>
      <w:r w:rsidR="009D0EAC">
        <w:rPr>
          <w:i/>
          <w:iCs/>
        </w:rPr>
        <w:t>, 2020</w:t>
      </w:r>
      <w:r w:rsidR="00AD3B31">
        <w:rPr>
          <w:i/>
          <w:iC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150292F"/>
    <w:multiLevelType w:val="hybridMultilevel"/>
    <w:tmpl w:val="E5161340"/>
    <w:lvl w:ilvl="0" w:tplc="736A1AD0">
      <w:start w:val="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600DF7"/>
    <w:multiLevelType w:val="hybridMultilevel"/>
    <w:tmpl w:val="FE6E46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9D164F6"/>
    <w:multiLevelType w:val="hybridMultilevel"/>
    <w:tmpl w:val="D32A7B74"/>
    <w:lvl w:ilvl="0" w:tplc="E7F43216">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4C04DC"/>
    <w:multiLevelType w:val="hybridMultilevel"/>
    <w:tmpl w:val="98EC042A"/>
    <w:lvl w:ilvl="0" w:tplc="56042D1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774A133D"/>
    <w:multiLevelType w:val="multilevel"/>
    <w:tmpl w:val="0974E2D2"/>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6"/>
  </w:num>
  <w:num w:numId="4">
    <w:abstractNumId w:val="1"/>
  </w:num>
  <w:num w:numId="5">
    <w:abstractNumId w:val="0"/>
  </w:num>
  <w:num w:numId="6">
    <w:abstractNumId w:val="5"/>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7"/>
    <w:rsid w:val="0000096B"/>
    <w:rsid w:val="00001016"/>
    <w:rsid w:val="000010AD"/>
    <w:rsid w:val="00003C59"/>
    <w:rsid w:val="00004EBD"/>
    <w:rsid w:val="00006704"/>
    <w:rsid w:val="00006BB3"/>
    <w:rsid w:val="00014430"/>
    <w:rsid w:val="00016108"/>
    <w:rsid w:val="00020BE5"/>
    <w:rsid w:val="00021570"/>
    <w:rsid w:val="00023167"/>
    <w:rsid w:val="000234E3"/>
    <w:rsid w:val="000243E9"/>
    <w:rsid w:val="00025B3A"/>
    <w:rsid w:val="00025C9C"/>
    <w:rsid w:val="0002745F"/>
    <w:rsid w:val="00027A03"/>
    <w:rsid w:val="00031F64"/>
    <w:rsid w:val="0003214D"/>
    <w:rsid w:val="00035937"/>
    <w:rsid w:val="0003696F"/>
    <w:rsid w:val="000415EC"/>
    <w:rsid w:val="00042A74"/>
    <w:rsid w:val="00043281"/>
    <w:rsid w:val="00043FC5"/>
    <w:rsid w:val="0004480E"/>
    <w:rsid w:val="000478CB"/>
    <w:rsid w:val="00052921"/>
    <w:rsid w:val="00056C71"/>
    <w:rsid w:val="00057860"/>
    <w:rsid w:val="00060A13"/>
    <w:rsid w:val="00063AC0"/>
    <w:rsid w:val="00063F03"/>
    <w:rsid w:val="000678E5"/>
    <w:rsid w:val="00070E35"/>
    <w:rsid w:val="000712B7"/>
    <w:rsid w:val="00075664"/>
    <w:rsid w:val="00081437"/>
    <w:rsid w:val="000860AB"/>
    <w:rsid w:val="00086EDE"/>
    <w:rsid w:val="00087A0C"/>
    <w:rsid w:val="00091B50"/>
    <w:rsid w:val="0009211C"/>
    <w:rsid w:val="0009265A"/>
    <w:rsid w:val="00093AF1"/>
    <w:rsid w:val="000944BF"/>
    <w:rsid w:val="00095AB8"/>
    <w:rsid w:val="00096EE0"/>
    <w:rsid w:val="000A4202"/>
    <w:rsid w:val="000A72D1"/>
    <w:rsid w:val="000A7D8D"/>
    <w:rsid w:val="000B0BF2"/>
    <w:rsid w:val="000B14F8"/>
    <w:rsid w:val="000B426A"/>
    <w:rsid w:val="000B576B"/>
    <w:rsid w:val="000B60D6"/>
    <w:rsid w:val="000B61AA"/>
    <w:rsid w:val="000B664C"/>
    <w:rsid w:val="000C0345"/>
    <w:rsid w:val="000C2352"/>
    <w:rsid w:val="000C46B0"/>
    <w:rsid w:val="000C4C72"/>
    <w:rsid w:val="000C5394"/>
    <w:rsid w:val="000D008C"/>
    <w:rsid w:val="000D191F"/>
    <w:rsid w:val="000D24C6"/>
    <w:rsid w:val="000D6BD3"/>
    <w:rsid w:val="000E0DC3"/>
    <w:rsid w:val="000E27C9"/>
    <w:rsid w:val="000E32B8"/>
    <w:rsid w:val="000E3BCB"/>
    <w:rsid w:val="000E4583"/>
    <w:rsid w:val="000E48BD"/>
    <w:rsid w:val="000E4DFD"/>
    <w:rsid w:val="000E5904"/>
    <w:rsid w:val="000E71F6"/>
    <w:rsid w:val="000E77CB"/>
    <w:rsid w:val="000F31E4"/>
    <w:rsid w:val="000F47AB"/>
    <w:rsid w:val="000F633E"/>
    <w:rsid w:val="000F65EE"/>
    <w:rsid w:val="000F7E2A"/>
    <w:rsid w:val="001041C0"/>
    <w:rsid w:val="00106D08"/>
    <w:rsid w:val="00111684"/>
    <w:rsid w:val="001138F5"/>
    <w:rsid w:val="00113BD8"/>
    <w:rsid w:val="00113FEB"/>
    <w:rsid w:val="001144A3"/>
    <w:rsid w:val="00117485"/>
    <w:rsid w:val="00121309"/>
    <w:rsid w:val="00122776"/>
    <w:rsid w:val="00122BDA"/>
    <w:rsid w:val="00123BA0"/>
    <w:rsid w:val="001240A8"/>
    <w:rsid w:val="0012551D"/>
    <w:rsid w:val="00127604"/>
    <w:rsid w:val="001279CF"/>
    <w:rsid w:val="00131F51"/>
    <w:rsid w:val="001416FD"/>
    <w:rsid w:val="001419B3"/>
    <w:rsid w:val="001458BE"/>
    <w:rsid w:val="00145A62"/>
    <w:rsid w:val="001460AC"/>
    <w:rsid w:val="00150010"/>
    <w:rsid w:val="0015105E"/>
    <w:rsid w:val="0015159C"/>
    <w:rsid w:val="00157109"/>
    <w:rsid w:val="00157E02"/>
    <w:rsid w:val="0016247E"/>
    <w:rsid w:val="00163F6A"/>
    <w:rsid w:val="00163FFD"/>
    <w:rsid w:val="00164915"/>
    <w:rsid w:val="00166075"/>
    <w:rsid w:val="00170871"/>
    <w:rsid w:val="0017154E"/>
    <w:rsid w:val="00172578"/>
    <w:rsid w:val="001729B4"/>
    <w:rsid w:val="00173391"/>
    <w:rsid w:val="00173BFE"/>
    <w:rsid w:val="00177934"/>
    <w:rsid w:val="00180956"/>
    <w:rsid w:val="00182E70"/>
    <w:rsid w:val="001833A1"/>
    <w:rsid w:val="0018422A"/>
    <w:rsid w:val="0018486E"/>
    <w:rsid w:val="00185E53"/>
    <w:rsid w:val="00187191"/>
    <w:rsid w:val="0018759D"/>
    <w:rsid w:val="001879B9"/>
    <w:rsid w:val="00187DF3"/>
    <w:rsid w:val="00191C21"/>
    <w:rsid w:val="00197E34"/>
    <w:rsid w:val="001A4AC3"/>
    <w:rsid w:val="001A4D6E"/>
    <w:rsid w:val="001A4E23"/>
    <w:rsid w:val="001A502F"/>
    <w:rsid w:val="001B0109"/>
    <w:rsid w:val="001B1157"/>
    <w:rsid w:val="001B1AB9"/>
    <w:rsid w:val="001B37FA"/>
    <w:rsid w:val="001C02A8"/>
    <w:rsid w:val="001C31F5"/>
    <w:rsid w:val="001C3E47"/>
    <w:rsid w:val="001C3FA3"/>
    <w:rsid w:val="001C4B2B"/>
    <w:rsid w:val="001C50E4"/>
    <w:rsid w:val="001D0739"/>
    <w:rsid w:val="001D1D3C"/>
    <w:rsid w:val="001D1FE2"/>
    <w:rsid w:val="001D63F9"/>
    <w:rsid w:val="001D67EB"/>
    <w:rsid w:val="001E0E54"/>
    <w:rsid w:val="001E3801"/>
    <w:rsid w:val="001E69C4"/>
    <w:rsid w:val="001F0D46"/>
    <w:rsid w:val="001F3AD2"/>
    <w:rsid w:val="001F61F8"/>
    <w:rsid w:val="0020222F"/>
    <w:rsid w:val="00204899"/>
    <w:rsid w:val="00210FFB"/>
    <w:rsid w:val="00213387"/>
    <w:rsid w:val="00214236"/>
    <w:rsid w:val="002156D9"/>
    <w:rsid w:val="00216B59"/>
    <w:rsid w:val="00217001"/>
    <w:rsid w:val="00220642"/>
    <w:rsid w:val="00220E55"/>
    <w:rsid w:val="0022122C"/>
    <w:rsid w:val="002236FC"/>
    <w:rsid w:val="0022551B"/>
    <w:rsid w:val="002276AF"/>
    <w:rsid w:val="00231333"/>
    <w:rsid w:val="00233F30"/>
    <w:rsid w:val="00234BF5"/>
    <w:rsid w:val="002355CC"/>
    <w:rsid w:val="00235B82"/>
    <w:rsid w:val="00235C92"/>
    <w:rsid w:val="0023787A"/>
    <w:rsid w:val="00240182"/>
    <w:rsid w:val="00241C49"/>
    <w:rsid w:val="00242101"/>
    <w:rsid w:val="00242C6C"/>
    <w:rsid w:val="00245167"/>
    <w:rsid w:val="00245197"/>
    <w:rsid w:val="00245399"/>
    <w:rsid w:val="0024629E"/>
    <w:rsid w:val="002477CB"/>
    <w:rsid w:val="00250745"/>
    <w:rsid w:val="002509D3"/>
    <w:rsid w:val="00251D8F"/>
    <w:rsid w:val="00251DE2"/>
    <w:rsid w:val="00261C96"/>
    <w:rsid w:val="002633C8"/>
    <w:rsid w:val="00273FE3"/>
    <w:rsid w:val="0027508D"/>
    <w:rsid w:val="00275E2F"/>
    <w:rsid w:val="00280964"/>
    <w:rsid w:val="00282CDD"/>
    <w:rsid w:val="002854D5"/>
    <w:rsid w:val="00292A80"/>
    <w:rsid w:val="00292CEE"/>
    <w:rsid w:val="00293F2A"/>
    <w:rsid w:val="002A1414"/>
    <w:rsid w:val="002A17A6"/>
    <w:rsid w:val="002A1EE3"/>
    <w:rsid w:val="002A45A1"/>
    <w:rsid w:val="002A578B"/>
    <w:rsid w:val="002A6891"/>
    <w:rsid w:val="002A762D"/>
    <w:rsid w:val="002B0F13"/>
    <w:rsid w:val="002B107E"/>
    <w:rsid w:val="002B159E"/>
    <w:rsid w:val="002B4E49"/>
    <w:rsid w:val="002B5D43"/>
    <w:rsid w:val="002B7B63"/>
    <w:rsid w:val="002C0A4F"/>
    <w:rsid w:val="002C13BF"/>
    <w:rsid w:val="002C3A6A"/>
    <w:rsid w:val="002C66E4"/>
    <w:rsid w:val="002C6F7B"/>
    <w:rsid w:val="002D0A15"/>
    <w:rsid w:val="002D13D9"/>
    <w:rsid w:val="002D379D"/>
    <w:rsid w:val="002D392D"/>
    <w:rsid w:val="002D3D29"/>
    <w:rsid w:val="002D6EFC"/>
    <w:rsid w:val="002D781D"/>
    <w:rsid w:val="002E006F"/>
    <w:rsid w:val="002E0684"/>
    <w:rsid w:val="002E1850"/>
    <w:rsid w:val="002E29F0"/>
    <w:rsid w:val="002E38E6"/>
    <w:rsid w:val="002E74E4"/>
    <w:rsid w:val="002F05CA"/>
    <w:rsid w:val="002F07FF"/>
    <w:rsid w:val="002F11D3"/>
    <w:rsid w:val="002F3406"/>
    <w:rsid w:val="002F3F8F"/>
    <w:rsid w:val="002F7387"/>
    <w:rsid w:val="002F7DC7"/>
    <w:rsid w:val="0030070D"/>
    <w:rsid w:val="00301EA4"/>
    <w:rsid w:val="00302BFC"/>
    <w:rsid w:val="00311B0E"/>
    <w:rsid w:val="0031543F"/>
    <w:rsid w:val="00321DEB"/>
    <w:rsid w:val="003224FA"/>
    <w:rsid w:val="00324F0E"/>
    <w:rsid w:val="00325097"/>
    <w:rsid w:val="0033220E"/>
    <w:rsid w:val="00332528"/>
    <w:rsid w:val="00333BBE"/>
    <w:rsid w:val="00333D10"/>
    <w:rsid w:val="00334798"/>
    <w:rsid w:val="0033513C"/>
    <w:rsid w:val="00335AD6"/>
    <w:rsid w:val="00342D24"/>
    <w:rsid w:val="00343142"/>
    <w:rsid w:val="003471FA"/>
    <w:rsid w:val="00354183"/>
    <w:rsid w:val="00354DBB"/>
    <w:rsid w:val="0035548A"/>
    <w:rsid w:val="003570D2"/>
    <w:rsid w:val="00360033"/>
    <w:rsid w:val="00360A33"/>
    <w:rsid w:val="0036222A"/>
    <w:rsid w:val="00362E6D"/>
    <w:rsid w:val="00363937"/>
    <w:rsid w:val="0037155B"/>
    <w:rsid w:val="0037417D"/>
    <w:rsid w:val="00374680"/>
    <w:rsid w:val="00375876"/>
    <w:rsid w:val="00376040"/>
    <w:rsid w:val="00377B74"/>
    <w:rsid w:val="00380295"/>
    <w:rsid w:val="00380CB5"/>
    <w:rsid w:val="00381E72"/>
    <w:rsid w:val="00386888"/>
    <w:rsid w:val="00386ABA"/>
    <w:rsid w:val="003948E3"/>
    <w:rsid w:val="00397612"/>
    <w:rsid w:val="003A18EE"/>
    <w:rsid w:val="003A1E1B"/>
    <w:rsid w:val="003A28AB"/>
    <w:rsid w:val="003A2D20"/>
    <w:rsid w:val="003A3E68"/>
    <w:rsid w:val="003A5049"/>
    <w:rsid w:val="003A7650"/>
    <w:rsid w:val="003B1EAA"/>
    <w:rsid w:val="003B2406"/>
    <w:rsid w:val="003B2CF2"/>
    <w:rsid w:val="003B3654"/>
    <w:rsid w:val="003B5DCE"/>
    <w:rsid w:val="003B7F28"/>
    <w:rsid w:val="003C723A"/>
    <w:rsid w:val="003D0B9B"/>
    <w:rsid w:val="003D4654"/>
    <w:rsid w:val="003D4A5C"/>
    <w:rsid w:val="003D7CEC"/>
    <w:rsid w:val="003E01D0"/>
    <w:rsid w:val="003E166D"/>
    <w:rsid w:val="003E2E0E"/>
    <w:rsid w:val="003E31D0"/>
    <w:rsid w:val="003E5773"/>
    <w:rsid w:val="003E5A8C"/>
    <w:rsid w:val="003E5FDC"/>
    <w:rsid w:val="003E6267"/>
    <w:rsid w:val="003E7EEC"/>
    <w:rsid w:val="003F1C27"/>
    <w:rsid w:val="003F3274"/>
    <w:rsid w:val="003F3AA9"/>
    <w:rsid w:val="003F45AA"/>
    <w:rsid w:val="003F4F64"/>
    <w:rsid w:val="003F5B4A"/>
    <w:rsid w:val="003F6975"/>
    <w:rsid w:val="00400E9A"/>
    <w:rsid w:val="00403D2F"/>
    <w:rsid w:val="00404E80"/>
    <w:rsid w:val="004109B9"/>
    <w:rsid w:val="00410A59"/>
    <w:rsid w:val="00410F6E"/>
    <w:rsid w:val="00413D5D"/>
    <w:rsid w:val="00414A6F"/>
    <w:rsid w:val="0041662B"/>
    <w:rsid w:val="00416DB4"/>
    <w:rsid w:val="004236D9"/>
    <w:rsid w:val="004238AE"/>
    <w:rsid w:val="00424CC4"/>
    <w:rsid w:val="00424DB5"/>
    <w:rsid w:val="0042514F"/>
    <w:rsid w:val="00426685"/>
    <w:rsid w:val="00426E3B"/>
    <w:rsid w:val="00427488"/>
    <w:rsid w:val="00430CD4"/>
    <w:rsid w:val="00432B94"/>
    <w:rsid w:val="00434D6A"/>
    <w:rsid w:val="0043545A"/>
    <w:rsid w:val="0043545B"/>
    <w:rsid w:val="00435C32"/>
    <w:rsid w:val="00435D6A"/>
    <w:rsid w:val="0043680F"/>
    <w:rsid w:val="004434A1"/>
    <w:rsid w:val="00444328"/>
    <w:rsid w:val="00445F07"/>
    <w:rsid w:val="00450331"/>
    <w:rsid w:val="00450778"/>
    <w:rsid w:val="004528E5"/>
    <w:rsid w:val="0046105B"/>
    <w:rsid w:val="004613B5"/>
    <w:rsid w:val="00461C8B"/>
    <w:rsid w:val="00462827"/>
    <w:rsid w:val="00463F6E"/>
    <w:rsid w:val="00470898"/>
    <w:rsid w:val="00470CCA"/>
    <w:rsid w:val="00471FC4"/>
    <w:rsid w:val="00472D50"/>
    <w:rsid w:val="00475A43"/>
    <w:rsid w:val="0047732B"/>
    <w:rsid w:val="00484344"/>
    <w:rsid w:val="00491EF0"/>
    <w:rsid w:val="00492B04"/>
    <w:rsid w:val="00497965"/>
    <w:rsid w:val="004A1BCA"/>
    <w:rsid w:val="004A1D56"/>
    <w:rsid w:val="004A41D2"/>
    <w:rsid w:val="004A5484"/>
    <w:rsid w:val="004B280D"/>
    <w:rsid w:val="004C0F58"/>
    <w:rsid w:val="004C2593"/>
    <w:rsid w:val="004C2CBD"/>
    <w:rsid w:val="004C6864"/>
    <w:rsid w:val="004C707C"/>
    <w:rsid w:val="004D68BC"/>
    <w:rsid w:val="004E067B"/>
    <w:rsid w:val="004E1CD4"/>
    <w:rsid w:val="004E37E3"/>
    <w:rsid w:val="004E57EE"/>
    <w:rsid w:val="004E5BF9"/>
    <w:rsid w:val="004F1874"/>
    <w:rsid w:val="004F52CA"/>
    <w:rsid w:val="004F7D60"/>
    <w:rsid w:val="00500F58"/>
    <w:rsid w:val="00501AC9"/>
    <w:rsid w:val="00501D66"/>
    <w:rsid w:val="0050362E"/>
    <w:rsid w:val="00504C8F"/>
    <w:rsid w:val="00504F72"/>
    <w:rsid w:val="0050517E"/>
    <w:rsid w:val="00505A14"/>
    <w:rsid w:val="00505C4E"/>
    <w:rsid w:val="00507640"/>
    <w:rsid w:val="00507D7E"/>
    <w:rsid w:val="00510E5E"/>
    <w:rsid w:val="00512979"/>
    <w:rsid w:val="00513442"/>
    <w:rsid w:val="00513800"/>
    <w:rsid w:val="00514AB3"/>
    <w:rsid w:val="00515288"/>
    <w:rsid w:val="00517711"/>
    <w:rsid w:val="00517B29"/>
    <w:rsid w:val="00517D9A"/>
    <w:rsid w:val="00522483"/>
    <w:rsid w:val="0052472A"/>
    <w:rsid w:val="00534F68"/>
    <w:rsid w:val="0053780F"/>
    <w:rsid w:val="00537861"/>
    <w:rsid w:val="0055097E"/>
    <w:rsid w:val="00551DBD"/>
    <w:rsid w:val="00551F4C"/>
    <w:rsid w:val="0055307F"/>
    <w:rsid w:val="00553618"/>
    <w:rsid w:val="0055537C"/>
    <w:rsid w:val="00557025"/>
    <w:rsid w:val="00557A13"/>
    <w:rsid w:val="00561FD1"/>
    <w:rsid w:val="0056267D"/>
    <w:rsid w:val="00562C38"/>
    <w:rsid w:val="00566C8A"/>
    <w:rsid w:val="00566DBB"/>
    <w:rsid w:val="00570F22"/>
    <w:rsid w:val="005736C8"/>
    <w:rsid w:val="00580538"/>
    <w:rsid w:val="00581CD4"/>
    <w:rsid w:val="00590E68"/>
    <w:rsid w:val="00590F06"/>
    <w:rsid w:val="00591FBA"/>
    <w:rsid w:val="00592501"/>
    <w:rsid w:val="0059319F"/>
    <w:rsid w:val="005933EF"/>
    <w:rsid w:val="0059369D"/>
    <w:rsid w:val="00593AB1"/>
    <w:rsid w:val="00595049"/>
    <w:rsid w:val="00597EDF"/>
    <w:rsid w:val="00597F20"/>
    <w:rsid w:val="005A050D"/>
    <w:rsid w:val="005A0762"/>
    <w:rsid w:val="005A09E1"/>
    <w:rsid w:val="005A0C87"/>
    <w:rsid w:val="005A1673"/>
    <w:rsid w:val="005A2EBB"/>
    <w:rsid w:val="005A301E"/>
    <w:rsid w:val="005A3D38"/>
    <w:rsid w:val="005A6CF3"/>
    <w:rsid w:val="005A6FD9"/>
    <w:rsid w:val="005A7291"/>
    <w:rsid w:val="005B04AB"/>
    <w:rsid w:val="005B18AF"/>
    <w:rsid w:val="005B1ED6"/>
    <w:rsid w:val="005B7322"/>
    <w:rsid w:val="005C29AD"/>
    <w:rsid w:val="005C4610"/>
    <w:rsid w:val="005C5805"/>
    <w:rsid w:val="005C7A77"/>
    <w:rsid w:val="005D010D"/>
    <w:rsid w:val="005D2E41"/>
    <w:rsid w:val="005D441E"/>
    <w:rsid w:val="005D4FB3"/>
    <w:rsid w:val="005D5592"/>
    <w:rsid w:val="005E48AB"/>
    <w:rsid w:val="005E6B73"/>
    <w:rsid w:val="005E77B3"/>
    <w:rsid w:val="005E7C3D"/>
    <w:rsid w:val="005E7E73"/>
    <w:rsid w:val="005F1B20"/>
    <w:rsid w:val="005F6BDB"/>
    <w:rsid w:val="00600A3C"/>
    <w:rsid w:val="00600DC0"/>
    <w:rsid w:val="0060422C"/>
    <w:rsid w:val="006066A1"/>
    <w:rsid w:val="00607ADE"/>
    <w:rsid w:val="0061051A"/>
    <w:rsid w:val="00611EFF"/>
    <w:rsid w:val="00612AF3"/>
    <w:rsid w:val="00612D56"/>
    <w:rsid w:val="00613BFF"/>
    <w:rsid w:val="006150F9"/>
    <w:rsid w:val="00615192"/>
    <w:rsid w:val="006158A3"/>
    <w:rsid w:val="00621BE2"/>
    <w:rsid w:val="00621DEF"/>
    <w:rsid w:val="00622CE5"/>
    <w:rsid w:val="00626C88"/>
    <w:rsid w:val="00627A27"/>
    <w:rsid w:val="00630045"/>
    <w:rsid w:val="006310A5"/>
    <w:rsid w:val="00631ECE"/>
    <w:rsid w:val="00634984"/>
    <w:rsid w:val="00634B32"/>
    <w:rsid w:val="00637DB5"/>
    <w:rsid w:val="00637ECD"/>
    <w:rsid w:val="00640BE5"/>
    <w:rsid w:val="00642E4C"/>
    <w:rsid w:val="00644965"/>
    <w:rsid w:val="0064592B"/>
    <w:rsid w:val="00646C24"/>
    <w:rsid w:val="0064771C"/>
    <w:rsid w:val="00651635"/>
    <w:rsid w:val="00654DB8"/>
    <w:rsid w:val="00655367"/>
    <w:rsid w:val="00656491"/>
    <w:rsid w:val="00657039"/>
    <w:rsid w:val="00657D16"/>
    <w:rsid w:val="00660A01"/>
    <w:rsid w:val="00661527"/>
    <w:rsid w:val="00662E14"/>
    <w:rsid w:val="00664681"/>
    <w:rsid w:val="0066516E"/>
    <w:rsid w:val="00665403"/>
    <w:rsid w:val="00665495"/>
    <w:rsid w:val="0066565C"/>
    <w:rsid w:val="00674BD8"/>
    <w:rsid w:val="0067706C"/>
    <w:rsid w:val="00680A18"/>
    <w:rsid w:val="00681D1A"/>
    <w:rsid w:val="00684400"/>
    <w:rsid w:val="00686DA6"/>
    <w:rsid w:val="00686FE8"/>
    <w:rsid w:val="00687C13"/>
    <w:rsid w:val="00692A53"/>
    <w:rsid w:val="00693069"/>
    <w:rsid w:val="006942B7"/>
    <w:rsid w:val="00694DC2"/>
    <w:rsid w:val="00695970"/>
    <w:rsid w:val="006A03C3"/>
    <w:rsid w:val="006A3391"/>
    <w:rsid w:val="006A3970"/>
    <w:rsid w:val="006A3EC4"/>
    <w:rsid w:val="006A485B"/>
    <w:rsid w:val="006A6DDB"/>
    <w:rsid w:val="006A7F86"/>
    <w:rsid w:val="006B2A10"/>
    <w:rsid w:val="006B6CA2"/>
    <w:rsid w:val="006B737E"/>
    <w:rsid w:val="006C3D85"/>
    <w:rsid w:val="006C5AD9"/>
    <w:rsid w:val="006C6245"/>
    <w:rsid w:val="006C6C31"/>
    <w:rsid w:val="006D131B"/>
    <w:rsid w:val="006D2352"/>
    <w:rsid w:val="006D5A27"/>
    <w:rsid w:val="006D67E6"/>
    <w:rsid w:val="006E32B8"/>
    <w:rsid w:val="006E5671"/>
    <w:rsid w:val="006E6A20"/>
    <w:rsid w:val="006E6D95"/>
    <w:rsid w:val="006F1158"/>
    <w:rsid w:val="006F125C"/>
    <w:rsid w:val="006F16DF"/>
    <w:rsid w:val="006F2C15"/>
    <w:rsid w:val="006F33B6"/>
    <w:rsid w:val="006F3A6D"/>
    <w:rsid w:val="006F3FF7"/>
    <w:rsid w:val="006F5436"/>
    <w:rsid w:val="006F7FAD"/>
    <w:rsid w:val="007014A7"/>
    <w:rsid w:val="007066BB"/>
    <w:rsid w:val="007075E6"/>
    <w:rsid w:val="007104C6"/>
    <w:rsid w:val="007107A7"/>
    <w:rsid w:val="00711E6B"/>
    <w:rsid w:val="007131F9"/>
    <w:rsid w:val="007142F2"/>
    <w:rsid w:val="00723219"/>
    <w:rsid w:val="00723F17"/>
    <w:rsid w:val="0073387B"/>
    <w:rsid w:val="00737216"/>
    <w:rsid w:val="0074073A"/>
    <w:rsid w:val="00740CD6"/>
    <w:rsid w:val="00740E01"/>
    <w:rsid w:val="00740E68"/>
    <w:rsid w:val="00744212"/>
    <w:rsid w:val="007459BE"/>
    <w:rsid w:val="0074706C"/>
    <w:rsid w:val="00751F8D"/>
    <w:rsid w:val="00755251"/>
    <w:rsid w:val="007630CC"/>
    <w:rsid w:val="00763A7C"/>
    <w:rsid w:val="00765A63"/>
    <w:rsid w:val="00772237"/>
    <w:rsid w:val="00772741"/>
    <w:rsid w:val="007737E9"/>
    <w:rsid w:val="00774E1E"/>
    <w:rsid w:val="00776D22"/>
    <w:rsid w:val="007778F5"/>
    <w:rsid w:val="007810D9"/>
    <w:rsid w:val="007815B3"/>
    <w:rsid w:val="007824D4"/>
    <w:rsid w:val="00784666"/>
    <w:rsid w:val="007847FA"/>
    <w:rsid w:val="00785AD2"/>
    <w:rsid w:val="00785DCA"/>
    <w:rsid w:val="00785EFB"/>
    <w:rsid w:val="00785FCA"/>
    <w:rsid w:val="00786C59"/>
    <w:rsid w:val="00791314"/>
    <w:rsid w:val="007913A8"/>
    <w:rsid w:val="00791B39"/>
    <w:rsid w:val="00792E5E"/>
    <w:rsid w:val="00793242"/>
    <w:rsid w:val="0079377D"/>
    <w:rsid w:val="007949AB"/>
    <w:rsid w:val="00795149"/>
    <w:rsid w:val="00795768"/>
    <w:rsid w:val="00795AFE"/>
    <w:rsid w:val="00795DFE"/>
    <w:rsid w:val="00795F14"/>
    <w:rsid w:val="00796EED"/>
    <w:rsid w:val="007A02E2"/>
    <w:rsid w:val="007A0F30"/>
    <w:rsid w:val="007A3123"/>
    <w:rsid w:val="007A38ED"/>
    <w:rsid w:val="007A593A"/>
    <w:rsid w:val="007A6BB1"/>
    <w:rsid w:val="007A6F5E"/>
    <w:rsid w:val="007B0A47"/>
    <w:rsid w:val="007B0BD4"/>
    <w:rsid w:val="007B20A5"/>
    <w:rsid w:val="007B27FF"/>
    <w:rsid w:val="007B2967"/>
    <w:rsid w:val="007B2C7A"/>
    <w:rsid w:val="007B45FC"/>
    <w:rsid w:val="007B4866"/>
    <w:rsid w:val="007B526E"/>
    <w:rsid w:val="007C070A"/>
    <w:rsid w:val="007C142F"/>
    <w:rsid w:val="007C3203"/>
    <w:rsid w:val="007C3D2D"/>
    <w:rsid w:val="007D2E56"/>
    <w:rsid w:val="007D626C"/>
    <w:rsid w:val="007D7B93"/>
    <w:rsid w:val="007E101C"/>
    <w:rsid w:val="007E4A98"/>
    <w:rsid w:val="007E4AE4"/>
    <w:rsid w:val="007E7E95"/>
    <w:rsid w:val="007E7F05"/>
    <w:rsid w:val="007F23C4"/>
    <w:rsid w:val="007F3C0D"/>
    <w:rsid w:val="007F487A"/>
    <w:rsid w:val="007F4C3B"/>
    <w:rsid w:val="007F54DF"/>
    <w:rsid w:val="007F5B33"/>
    <w:rsid w:val="007F5FBF"/>
    <w:rsid w:val="007F67E5"/>
    <w:rsid w:val="007F723E"/>
    <w:rsid w:val="00801390"/>
    <w:rsid w:val="008017C1"/>
    <w:rsid w:val="00803D33"/>
    <w:rsid w:val="00804BEA"/>
    <w:rsid w:val="00805D2A"/>
    <w:rsid w:val="00806314"/>
    <w:rsid w:val="00807494"/>
    <w:rsid w:val="00807616"/>
    <w:rsid w:val="008118D3"/>
    <w:rsid w:val="008120E0"/>
    <w:rsid w:val="00815671"/>
    <w:rsid w:val="00816018"/>
    <w:rsid w:val="00821311"/>
    <w:rsid w:val="00822D7A"/>
    <w:rsid w:val="0082376F"/>
    <w:rsid w:val="008251C6"/>
    <w:rsid w:val="00826CFD"/>
    <w:rsid w:val="008335DD"/>
    <w:rsid w:val="00834CAA"/>
    <w:rsid w:val="008353FF"/>
    <w:rsid w:val="0083722E"/>
    <w:rsid w:val="00837527"/>
    <w:rsid w:val="00837929"/>
    <w:rsid w:val="0084017E"/>
    <w:rsid w:val="00840A9D"/>
    <w:rsid w:val="00841319"/>
    <w:rsid w:val="008447B3"/>
    <w:rsid w:val="00847B0E"/>
    <w:rsid w:val="00853DF8"/>
    <w:rsid w:val="008544D9"/>
    <w:rsid w:val="00855414"/>
    <w:rsid w:val="00856474"/>
    <w:rsid w:val="00862111"/>
    <w:rsid w:val="0086265B"/>
    <w:rsid w:val="008627B1"/>
    <w:rsid w:val="00862F91"/>
    <w:rsid w:val="0086356E"/>
    <w:rsid w:val="00872AB0"/>
    <w:rsid w:val="00873274"/>
    <w:rsid w:val="008761B2"/>
    <w:rsid w:val="00876E1A"/>
    <w:rsid w:val="00877C51"/>
    <w:rsid w:val="00880B6B"/>
    <w:rsid w:val="00883748"/>
    <w:rsid w:val="00890A9B"/>
    <w:rsid w:val="0089360B"/>
    <w:rsid w:val="00894524"/>
    <w:rsid w:val="00895D61"/>
    <w:rsid w:val="00896181"/>
    <w:rsid w:val="00896245"/>
    <w:rsid w:val="00896C77"/>
    <w:rsid w:val="00897F0F"/>
    <w:rsid w:val="008A1988"/>
    <w:rsid w:val="008A256A"/>
    <w:rsid w:val="008A2A2E"/>
    <w:rsid w:val="008A31CC"/>
    <w:rsid w:val="008A3432"/>
    <w:rsid w:val="008A599A"/>
    <w:rsid w:val="008A5A28"/>
    <w:rsid w:val="008A5C65"/>
    <w:rsid w:val="008A5FA9"/>
    <w:rsid w:val="008A63F3"/>
    <w:rsid w:val="008B103D"/>
    <w:rsid w:val="008B1AD7"/>
    <w:rsid w:val="008B234F"/>
    <w:rsid w:val="008B27B2"/>
    <w:rsid w:val="008B2951"/>
    <w:rsid w:val="008B3B26"/>
    <w:rsid w:val="008B75CD"/>
    <w:rsid w:val="008C2EB8"/>
    <w:rsid w:val="008C4089"/>
    <w:rsid w:val="008C6231"/>
    <w:rsid w:val="008D3284"/>
    <w:rsid w:val="008D418E"/>
    <w:rsid w:val="008D4FB6"/>
    <w:rsid w:val="008D584D"/>
    <w:rsid w:val="008D77B9"/>
    <w:rsid w:val="008E38ED"/>
    <w:rsid w:val="008E3A43"/>
    <w:rsid w:val="008E64F2"/>
    <w:rsid w:val="008E7624"/>
    <w:rsid w:val="008F0D3E"/>
    <w:rsid w:val="008F450F"/>
    <w:rsid w:val="008F634B"/>
    <w:rsid w:val="008F6D57"/>
    <w:rsid w:val="00901104"/>
    <w:rsid w:val="00902176"/>
    <w:rsid w:val="0090384F"/>
    <w:rsid w:val="00904332"/>
    <w:rsid w:val="00904969"/>
    <w:rsid w:val="009050A9"/>
    <w:rsid w:val="0090556A"/>
    <w:rsid w:val="0090600B"/>
    <w:rsid w:val="00906AAD"/>
    <w:rsid w:val="0090714A"/>
    <w:rsid w:val="0090753B"/>
    <w:rsid w:val="00913A91"/>
    <w:rsid w:val="00913E5A"/>
    <w:rsid w:val="00917A16"/>
    <w:rsid w:val="0092139B"/>
    <w:rsid w:val="00924E2D"/>
    <w:rsid w:val="009253E9"/>
    <w:rsid w:val="009276A4"/>
    <w:rsid w:val="0093126A"/>
    <w:rsid w:val="00932589"/>
    <w:rsid w:val="00934075"/>
    <w:rsid w:val="00935090"/>
    <w:rsid w:val="00935880"/>
    <w:rsid w:val="00935FF7"/>
    <w:rsid w:val="0094014A"/>
    <w:rsid w:val="00942DB4"/>
    <w:rsid w:val="00945B7C"/>
    <w:rsid w:val="00946E37"/>
    <w:rsid w:val="0095095C"/>
    <w:rsid w:val="00952FD8"/>
    <w:rsid w:val="00953E10"/>
    <w:rsid w:val="00955595"/>
    <w:rsid w:val="00955BFA"/>
    <w:rsid w:val="00960691"/>
    <w:rsid w:val="00962420"/>
    <w:rsid w:val="00965738"/>
    <w:rsid w:val="0096601F"/>
    <w:rsid w:val="0096688A"/>
    <w:rsid w:val="00973117"/>
    <w:rsid w:val="00973423"/>
    <w:rsid w:val="009759F4"/>
    <w:rsid w:val="00976457"/>
    <w:rsid w:val="00976B49"/>
    <w:rsid w:val="00976F54"/>
    <w:rsid w:val="00977582"/>
    <w:rsid w:val="009808A7"/>
    <w:rsid w:val="00980948"/>
    <w:rsid w:val="0098512F"/>
    <w:rsid w:val="0098718D"/>
    <w:rsid w:val="009873BD"/>
    <w:rsid w:val="0098749C"/>
    <w:rsid w:val="009905A6"/>
    <w:rsid w:val="00990E4C"/>
    <w:rsid w:val="00991561"/>
    <w:rsid w:val="00991CAE"/>
    <w:rsid w:val="00992127"/>
    <w:rsid w:val="00992BE5"/>
    <w:rsid w:val="00992F76"/>
    <w:rsid w:val="00993706"/>
    <w:rsid w:val="00993C5A"/>
    <w:rsid w:val="00994B76"/>
    <w:rsid w:val="00996A66"/>
    <w:rsid w:val="009A2043"/>
    <w:rsid w:val="009A3B13"/>
    <w:rsid w:val="009A4393"/>
    <w:rsid w:val="009A5560"/>
    <w:rsid w:val="009A581A"/>
    <w:rsid w:val="009A6D54"/>
    <w:rsid w:val="009A7D2B"/>
    <w:rsid w:val="009B2EF2"/>
    <w:rsid w:val="009B5D79"/>
    <w:rsid w:val="009B7F32"/>
    <w:rsid w:val="009C12A4"/>
    <w:rsid w:val="009C1BA9"/>
    <w:rsid w:val="009C1DD1"/>
    <w:rsid w:val="009C2BC2"/>
    <w:rsid w:val="009C67F0"/>
    <w:rsid w:val="009C7FF9"/>
    <w:rsid w:val="009D0EAC"/>
    <w:rsid w:val="009D0FE7"/>
    <w:rsid w:val="009D34C3"/>
    <w:rsid w:val="009D4B94"/>
    <w:rsid w:val="009D5CA3"/>
    <w:rsid w:val="009D5D05"/>
    <w:rsid w:val="009D6C81"/>
    <w:rsid w:val="009E05AD"/>
    <w:rsid w:val="009E0E88"/>
    <w:rsid w:val="009E1111"/>
    <w:rsid w:val="009E28F6"/>
    <w:rsid w:val="009E4440"/>
    <w:rsid w:val="009E6E1A"/>
    <w:rsid w:val="009F1616"/>
    <w:rsid w:val="009F20AB"/>
    <w:rsid w:val="009F5A86"/>
    <w:rsid w:val="00A014F1"/>
    <w:rsid w:val="00A0184C"/>
    <w:rsid w:val="00A01C9B"/>
    <w:rsid w:val="00A02579"/>
    <w:rsid w:val="00A02C47"/>
    <w:rsid w:val="00A04480"/>
    <w:rsid w:val="00A04680"/>
    <w:rsid w:val="00A050DC"/>
    <w:rsid w:val="00A059F3"/>
    <w:rsid w:val="00A0629D"/>
    <w:rsid w:val="00A1200D"/>
    <w:rsid w:val="00A12739"/>
    <w:rsid w:val="00A13E46"/>
    <w:rsid w:val="00A14E38"/>
    <w:rsid w:val="00A21BDD"/>
    <w:rsid w:val="00A24C43"/>
    <w:rsid w:val="00A25672"/>
    <w:rsid w:val="00A26799"/>
    <w:rsid w:val="00A2749D"/>
    <w:rsid w:val="00A30033"/>
    <w:rsid w:val="00A323DA"/>
    <w:rsid w:val="00A33FA4"/>
    <w:rsid w:val="00A351BA"/>
    <w:rsid w:val="00A36E3C"/>
    <w:rsid w:val="00A37478"/>
    <w:rsid w:val="00A37A35"/>
    <w:rsid w:val="00A37DA4"/>
    <w:rsid w:val="00A40AE8"/>
    <w:rsid w:val="00A41B3E"/>
    <w:rsid w:val="00A467EC"/>
    <w:rsid w:val="00A475DD"/>
    <w:rsid w:val="00A50390"/>
    <w:rsid w:val="00A5046B"/>
    <w:rsid w:val="00A5069F"/>
    <w:rsid w:val="00A52E9A"/>
    <w:rsid w:val="00A54240"/>
    <w:rsid w:val="00A54409"/>
    <w:rsid w:val="00A559F5"/>
    <w:rsid w:val="00A60594"/>
    <w:rsid w:val="00A60D7E"/>
    <w:rsid w:val="00A612C6"/>
    <w:rsid w:val="00A6198B"/>
    <w:rsid w:val="00A61A32"/>
    <w:rsid w:val="00A61CA4"/>
    <w:rsid w:val="00A63C78"/>
    <w:rsid w:val="00A63FAF"/>
    <w:rsid w:val="00A654DF"/>
    <w:rsid w:val="00A663EC"/>
    <w:rsid w:val="00A67CEE"/>
    <w:rsid w:val="00A70CE9"/>
    <w:rsid w:val="00A7197A"/>
    <w:rsid w:val="00A71DBE"/>
    <w:rsid w:val="00A757F0"/>
    <w:rsid w:val="00A76EDB"/>
    <w:rsid w:val="00A76F61"/>
    <w:rsid w:val="00A77D1A"/>
    <w:rsid w:val="00A77D2E"/>
    <w:rsid w:val="00A81912"/>
    <w:rsid w:val="00A82D63"/>
    <w:rsid w:val="00A84BDA"/>
    <w:rsid w:val="00A872EC"/>
    <w:rsid w:val="00A9555D"/>
    <w:rsid w:val="00A9705F"/>
    <w:rsid w:val="00AA0751"/>
    <w:rsid w:val="00AA20B4"/>
    <w:rsid w:val="00AA221D"/>
    <w:rsid w:val="00AA4058"/>
    <w:rsid w:val="00AA46A7"/>
    <w:rsid w:val="00AA4D04"/>
    <w:rsid w:val="00AA66A5"/>
    <w:rsid w:val="00AA6C8C"/>
    <w:rsid w:val="00AB0C95"/>
    <w:rsid w:val="00AB0FC5"/>
    <w:rsid w:val="00AB2D90"/>
    <w:rsid w:val="00AB30DC"/>
    <w:rsid w:val="00AB3AD9"/>
    <w:rsid w:val="00AB3E10"/>
    <w:rsid w:val="00AB4448"/>
    <w:rsid w:val="00AB572F"/>
    <w:rsid w:val="00AB59A4"/>
    <w:rsid w:val="00AB750E"/>
    <w:rsid w:val="00AB7F51"/>
    <w:rsid w:val="00AC0278"/>
    <w:rsid w:val="00AC0756"/>
    <w:rsid w:val="00AC398B"/>
    <w:rsid w:val="00AC3A5C"/>
    <w:rsid w:val="00AC6AA7"/>
    <w:rsid w:val="00AC710D"/>
    <w:rsid w:val="00AC717C"/>
    <w:rsid w:val="00AD1424"/>
    <w:rsid w:val="00AD3B31"/>
    <w:rsid w:val="00AD4179"/>
    <w:rsid w:val="00AD53BA"/>
    <w:rsid w:val="00AD5B54"/>
    <w:rsid w:val="00AE1AA5"/>
    <w:rsid w:val="00AE2EF3"/>
    <w:rsid w:val="00AE6317"/>
    <w:rsid w:val="00AE6565"/>
    <w:rsid w:val="00AE7D13"/>
    <w:rsid w:val="00AF16B1"/>
    <w:rsid w:val="00AF179D"/>
    <w:rsid w:val="00AF18A4"/>
    <w:rsid w:val="00AF4020"/>
    <w:rsid w:val="00AF5B8C"/>
    <w:rsid w:val="00AF68A8"/>
    <w:rsid w:val="00AF6AB5"/>
    <w:rsid w:val="00AF6C30"/>
    <w:rsid w:val="00AF73D5"/>
    <w:rsid w:val="00AF7FE6"/>
    <w:rsid w:val="00B02BA8"/>
    <w:rsid w:val="00B0760E"/>
    <w:rsid w:val="00B105E7"/>
    <w:rsid w:val="00B10AB2"/>
    <w:rsid w:val="00B15274"/>
    <w:rsid w:val="00B1657C"/>
    <w:rsid w:val="00B21DC2"/>
    <w:rsid w:val="00B2222B"/>
    <w:rsid w:val="00B225E2"/>
    <w:rsid w:val="00B23470"/>
    <w:rsid w:val="00B23805"/>
    <w:rsid w:val="00B247EA"/>
    <w:rsid w:val="00B270E6"/>
    <w:rsid w:val="00B27231"/>
    <w:rsid w:val="00B30E4C"/>
    <w:rsid w:val="00B33894"/>
    <w:rsid w:val="00B34B58"/>
    <w:rsid w:val="00B36371"/>
    <w:rsid w:val="00B4005F"/>
    <w:rsid w:val="00B406A4"/>
    <w:rsid w:val="00B42B2E"/>
    <w:rsid w:val="00B42D2A"/>
    <w:rsid w:val="00B44015"/>
    <w:rsid w:val="00B448E8"/>
    <w:rsid w:val="00B45EEC"/>
    <w:rsid w:val="00B4749E"/>
    <w:rsid w:val="00B47B0B"/>
    <w:rsid w:val="00B52ED6"/>
    <w:rsid w:val="00B53679"/>
    <w:rsid w:val="00B53CE4"/>
    <w:rsid w:val="00B54ED5"/>
    <w:rsid w:val="00B57AB5"/>
    <w:rsid w:val="00B61714"/>
    <w:rsid w:val="00B61ED2"/>
    <w:rsid w:val="00B63EDF"/>
    <w:rsid w:val="00B65B2B"/>
    <w:rsid w:val="00B6619C"/>
    <w:rsid w:val="00B66394"/>
    <w:rsid w:val="00B709C7"/>
    <w:rsid w:val="00B72029"/>
    <w:rsid w:val="00B72373"/>
    <w:rsid w:val="00B7282D"/>
    <w:rsid w:val="00B73F56"/>
    <w:rsid w:val="00B77756"/>
    <w:rsid w:val="00B83E1C"/>
    <w:rsid w:val="00B83EFC"/>
    <w:rsid w:val="00B85284"/>
    <w:rsid w:val="00B85847"/>
    <w:rsid w:val="00B87DD1"/>
    <w:rsid w:val="00B87E7D"/>
    <w:rsid w:val="00B91D48"/>
    <w:rsid w:val="00B9263C"/>
    <w:rsid w:val="00B93CDC"/>
    <w:rsid w:val="00B949B8"/>
    <w:rsid w:val="00B9780F"/>
    <w:rsid w:val="00BA10A9"/>
    <w:rsid w:val="00BA1C31"/>
    <w:rsid w:val="00BA202E"/>
    <w:rsid w:val="00BA2774"/>
    <w:rsid w:val="00BA3572"/>
    <w:rsid w:val="00BA571D"/>
    <w:rsid w:val="00BB0C0A"/>
    <w:rsid w:val="00BB22F4"/>
    <w:rsid w:val="00BB2953"/>
    <w:rsid w:val="00BB45B6"/>
    <w:rsid w:val="00BB4A16"/>
    <w:rsid w:val="00BB69B8"/>
    <w:rsid w:val="00BB7878"/>
    <w:rsid w:val="00BC0A1E"/>
    <w:rsid w:val="00BC1725"/>
    <w:rsid w:val="00BC4BFA"/>
    <w:rsid w:val="00BC4D48"/>
    <w:rsid w:val="00BC5DEF"/>
    <w:rsid w:val="00BC6018"/>
    <w:rsid w:val="00BC7185"/>
    <w:rsid w:val="00BD3A6B"/>
    <w:rsid w:val="00BD4054"/>
    <w:rsid w:val="00BE0322"/>
    <w:rsid w:val="00BE0A6B"/>
    <w:rsid w:val="00BE28F7"/>
    <w:rsid w:val="00BE32F7"/>
    <w:rsid w:val="00BE33A7"/>
    <w:rsid w:val="00BE5D3D"/>
    <w:rsid w:val="00BE5D91"/>
    <w:rsid w:val="00BE6CE2"/>
    <w:rsid w:val="00BE7801"/>
    <w:rsid w:val="00BF127F"/>
    <w:rsid w:val="00BF4662"/>
    <w:rsid w:val="00BF5236"/>
    <w:rsid w:val="00BF5A2E"/>
    <w:rsid w:val="00BF5DA5"/>
    <w:rsid w:val="00BF6302"/>
    <w:rsid w:val="00BF7777"/>
    <w:rsid w:val="00C03501"/>
    <w:rsid w:val="00C04098"/>
    <w:rsid w:val="00C0535B"/>
    <w:rsid w:val="00C059A1"/>
    <w:rsid w:val="00C11121"/>
    <w:rsid w:val="00C11E74"/>
    <w:rsid w:val="00C131D7"/>
    <w:rsid w:val="00C15855"/>
    <w:rsid w:val="00C1681E"/>
    <w:rsid w:val="00C2046E"/>
    <w:rsid w:val="00C22E89"/>
    <w:rsid w:val="00C23977"/>
    <w:rsid w:val="00C23EBA"/>
    <w:rsid w:val="00C25E02"/>
    <w:rsid w:val="00C26D4C"/>
    <w:rsid w:val="00C2709C"/>
    <w:rsid w:val="00C27BCE"/>
    <w:rsid w:val="00C305A6"/>
    <w:rsid w:val="00C3194D"/>
    <w:rsid w:val="00C3278B"/>
    <w:rsid w:val="00C332BE"/>
    <w:rsid w:val="00C33946"/>
    <w:rsid w:val="00C41ECB"/>
    <w:rsid w:val="00C435C2"/>
    <w:rsid w:val="00C43BCD"/>
    <w:rsid w:val="00C43C0A"/>
    <w:rsid w:val="00C444D4"/>
    <w:rsid w:val="00C44561"/>
    <w:rsid w:val="00C506C5"/>
    <w:rsid w:val="00C528EE"/>
    <w:rsid w:val="00C53DC3"/>
    <w:rsid w:val="00C5558C"/>
    <w:rsid w:val="00C612A0"/>
    <w:rsid w:val="00C62873"/>
    <w:rsid w:val="00C62BE9"/>
    <w:rsid w:val="00C632A4"/>
    <w:rsid w:val="00C638C4"/>
    <w:rsid w:val="00C6562F"/>
    <w:rsid w:val="00C7229C"/>
    <w:rsid w:val="00C72A66"/>
    <w:rsid w:val="00C72B6E"/>
    <w:rsid w:val="00C73813"/>
    <w:rsid w:val="00C73924"/>
    <w:rsid w:val="00C74A68"/>
    <w:rsid w:val="00C80764"/>
    <w:rsid w:val="00C81877"/>
    <w:rsid w:val="00C82108"/>
    <w:rsid w:val="00C826A4"/>
    <w:rsid w:val="00C8513C"/>
    <w:rsid w:val="00C856D3"/>
    <w:rsid w:val="00C859CC"/>
    <w:rsid w:val="00C8671C"/>
    <w:rsid w:val="00C87874"/>
    <w:rsid w:val="00C91030"/>
    <w:rsid w:val="00C93B70"/>
    <w:rsid w:val="00C948FC"/>
    <w:rsid w:val="00C9562F"/>
    <w:rsid w:val="00C97E63"/>
    <w:rsid w:val="00CA11CF"/>
    <w:rsid w:val="00CA1919"/>
    <w:rsid w:val="00CA3F35"/>
    <w:rsid w:val="00CA46D4"/>
    <w:rsid w:val="00CA74FA"/>
    <w:rsid w:val="00CA7E56"/>
    <w:rsid w:val="00CB03AF"/>
    <w:rsid w:val="00CB20B5"/>
    <w:rsid w:val="00CB5035"/>
    <w:rsid w:val="00CB6707"/>
    <w:rsid w:val="00CB7281"/>
    <w:rsid w:val="00CC0C06"/>
    <w:rsid w:val="00CC2500"/>
    <w:rsid w:val="00CC37AC"/>
    <w:rsid w:val="00CC39DB"/>
    <w:rsid w:val="00CC47E3"/>
    <w:rsid w:val="00CC55C9"/>
    <w:rsid w:val="00CD2F85"/>
    <w:rsid w:val="00CD40B6"/>
    <w:rsid w:val="00CD4CD4"/>
    <w:rsid w:val="00CD55D4"/>
    <w:rsid w:val="00CE05AA"/>
    <w:rsid w:val="00CE2CA3"/>
    <w:rsid w:val="00CE4E4E"/>
    <w:rsid w:val="00CE5094"/>
    <w:rsid w:val="00CE5F29"/>
    <w:rsid w:val="00CE74A7"/>
    <w:rsid w:val="00CF0B5C"/>
    <w:rsid w:val="00CF467D"/>
    <w:rsid w:val="00CF5C16"/>
    <w:rsid w:val="00CF64F0"/>
    <w:rsid w:val="00CF7CF0"/>
    <w:rsid w:val="00D00F2D"/>
    <w:rsid w:val="00D00FCE"/>
    <w:rsid w:val="00D02CC6"/>
    <w:rsid w:val="00D060B2"/>
    <w:rsid w:val="00D067D2"/>
    <w:rsid w:val="00D13668"/>
    <w:rsid w:val="00D145AF"/>
    <w:rsid w:val="00D14C36"/>
    <w:rsid w:val="00D20DE9"/>
    <w:rsid w:val="00D2213F"/>
    <w:rsid w:val="00D22839"/>
    <w:rsid w:val="00D261D3"/>
    <w:rsid w:val="00D27BF1"/>
    <w:rsid w:val="00D27F4A"/>
    <w:rsid w:val="00D30A26"/>
    <w:rsid w:val="00D318B6"/>
    <w:rsid w:val="00D31D1A"/>
    <w:rsid w:val="00D32EE7"/>
    <w:rsid w:val="00D351CC"/>
    <w:rsid w:val="00D378F8"/>
    <w:rsid w:val="00D4023D"/>
    <w:rsid w:val="00D404D6"/>
    <w:rsid w:val="00D4100E"/>
    <w:rsid w:val="00D41807"/>
    <w:rsid w:val="00D438FA"/>
    <w:rsid w:val="00D44880"/>
    <w:rsid w:val="00D45ACA"/>
    <w:rsid w:val="00D46E62"/>
    <w:rsid w:val="00D503E7"/>
    <w:rsid w:val="00D50D4F"/>
    <w:rsid w:val="00D51AE9"/>
    <w:rsid w:val="00D53438"/>
    <w:rsid w:val="00D5391F"/>
    <w:rsid w:val="00D56539"/>
    <w:rsid w:val="00D56993"/>
    <w:rsid w:val="00D57A35"/>
    <w:rsid w:val="00D61FF0"/>
    <w:rsid w:val="00D65147"/>
    <w:rsid w:val="00D6526E"/>
    <w:rsid w:val="00D65A9B"/>
    <w:rsid w:val="00D6775C"/>
    <w:rsid w:val="00D67E7D"/>
    <w:rsid w:val="00D727EC"/>
    <w:rsid w:val="00D728E8"/>
    <w:rsid w:val="00D733E3"/>
    <w:rsid w:val="00D73FBB"/>
    <w:rsid w:val="00D75148"/>
    <w:rsid w:val="00D80227"/>
    <w:rsid w:val="00D84909"/>
    <w:rsid w:val="00D90205"/>
    <w:rsid w:val="00D91DAF"/>
    <w:rsid w:val="00D91FB7"/>
    <w:rsid w:val="00D9299F"/>
    <w:rsid w:val="00D934C3"/>
    <w:rsid w:val="00D95C55"/>
    <w:rsid w:val="00D95CB7"/>
    <w:rsid w:val="00D9671F"/>
    <w:rsid w:val="00D970EA"/>
    <w:rsid w:val="00D97E5F"/>
    <w:rsid w:val="00DA2738"/>
    <w:rsid w:val="00DA31DF"/>
    <w:rsid w:val="00DA7B79"/>
    <w:rsid w:val="00DB08C8"/>
    <w:rsid w:val="00DB220A"/>
    <w:rsid w:val="00DB2F42"/>
    <w:rsid w:val="00DB44A1"/>
    <w:rsid w:val="00DB6281"/>
    <w:rsid w:val="00DB734B"/>
    <w:rsid w:val="00DC1A41"/>
    <w:rsid w:val="00DC2257"/>
    <w:rsid w:val="00DC31E2"/>
    <w:rsid w:val="00DC36B0"/>
    <w:rsid w:val="00DC40C7"/>
    <w:rsid w:val="00DC4593"/>
    <w:rsid w:val="00DC4850"/>
    <w:rsid w:val="00DC5D12"/>
    <w:rsid w:val="00DC5FAD"/>
    <w:rsid w:val="00DC66C4"/>
    <w:rsid w:val="00DD2BA7"/>
    <w:rsid w:val="00DD45F7"/>
    <w:rsid w:val="00DD51B1"/>
    <w:rsid w:val="00DE295B"/>
    <w:rsid w:val="00DE5B65"/>
    <w:rsid w:val="00DE73AE"/>
    <w:rsid w:val="00DF2219"/>
    <w:rsid w:val="00DF2724"/>
    <w:rsid w:val="00DF2D89"/>
    <w:rsid w:val="00DF3513"/>
    <w:rsid w:val="00DF3980"/>
    <w:rsid w:val="00DF433A"/>
    <w:rsid w:val="00DF4731"/>
    <w:rsid w:val="00DF5A8D"/>
    <w:rsid w:val="00E01F6A"/>
    <w:rsid w:val="00E023C3"/>
    <w:rsid w:val="00E02DAE"/>
    <w:rsid w:val="00E042EB"/>
    <w:rsid w:val="00E051B2"/>
    <w:rsid w:val="00E05321"/>
    <w:rsid w:val="00E06204"/>
    <w:rsid w:val="00E11901"/>
    <w:rsid w:val="00E12ED4"/>
    <w:rsid w:val="00E13924"/>
    <w:rsid w:val="00E13A1C"/>
    <w:rsid w:val="00E155DA"/>
    <w:rsid w:val="00E156DC"/>
    <w:rsid w:val="00E158D5"/>
    <w:rsid w:val="00E15EBF"/>
    <w:rsid w:val="00E16BB0"/>
    <w:rsid w:val="00E203AE"/>
    <w:rsid w:val="00E216D5"/>
    <w:rsid w:val="00E21E6F"/>
    <w:rsid w:val="00E22062"/>
    <w:rsid w:val="00E27FAF"/>
    <w:rsid w:val="00E322CA"/>
    <w:rsid w:val="00E3336B"/>
    <w:rsid w:val="00E33660"/>
    <w:rsid w:val="00E33AAB"/>
    <w:rsid w:val="00E358F5"/>
    <w:rsid w:val="00E373C8"/>
    <w:rsid w:val="00E37529"/>
    <w:rsid w:val="00E4524D"/>
    <w:rsid w:val="00E465E6"/>
    <w:rsid w:val="00E46E67"/>
    <w:rsid w:val="00E47703"/>
    <w:rsid w:val="00E47BF0"/>
    <w:rsid w:val="00E51583"/>
    <w:rsid w:val="00E51C79"/>
    <w:rsid w:val="00E51FB2"/>
    <w:rsid w:val="00E52740"/>
    <w:rsid w:val="00E529F1"/>
    <w:rsid w:val="00E53CA0"/>
    <w:rsid w:val="00E54CC3"/>
    <w:rsid w:val="00E55188"/>
    <w:rsid w:val="00E56494"/>
    <w:rsid w:val="00E601F7"/>
    <w:rsid w:val="00E6083D"/>
    <w:rsid w:val="00E60D39"/>
    <w:rsid w:val="00E6400A"/>
    <w:rsid w:val="00E65C51"/>
    <w:rsid w:val="00E66D27"/>
    <w:rsid w:val="00E72802"/>
    <w:rsid w:val="00E73434"/>
    <w:rsid w:val="00E802D0"/>
    <w:rsid w:val="00E8097E"/>
    <w:rsid w:val="00E82BE5"/>
    <w:rsid w:val="00E83898"/>
    <w:rsid w:val="00E93680"/>
    <w:rsid w:val="00E93BAB"/>
    <w:rsid w:val="00E95D80"/>
    <w:rsid w:val="00EA302F"/>
    <w:rsid w:val="00EA6C56"/>
    <w:rsid w:val="00EA7EBB"/>
    <w:rsid w:val="00EB0E4E"/>
    <w:rsid w:val="00EB19D2"/>
    <w:rsid w:val="00EB1F86"/>
    <w:rsid w:val="00EB4B8C"/>
    <w:rsid w:val="00EB55C1"/>
    <w:rsid w:val="00EB67EB"/>
    <w:rsid w:val="00EB7AF3"/>
    <w:rsid w:val="00EB7AF4"/>
    <w:rsid w:val="00EC5A15"/>
    <w:rsid w:val="00EC5A4F"/>
    <w:rsid w:val="00EC5B83"/>
    <w:rsid w:val="00ED17AB"/>
    <w:rsid w:val="00ED64DF"/>
    <w:rsid w:val="00ED6638"/>
    <w:rsid w:val="00ED6A1E"/>
    <w:rsid w:val="00EE3EAF"/>
    <w:rsid w:val="00EE4BD7"/>
    <w:rsid w:val="00EE5AF8"/>
    <w:rsid w:val="00EE7387"/>
    <w:rsid w:val="00EE753E"/>
    <w:rsid w:val="00EF0E0F"/>
    <w:rsid w:val="00EF1683"/>
    <w:rsid w:val="00EF17E2"/>
    <w:rsid w:val="00EF2188"/>
    <w:rsid w:val="00EF2A8B"/>
    <w:rsid w:val="00EF3C15"/>
    <w:rsid w:val="00EF51E1"/>
    <w:rsid w:val="00EF5612"/>
    <w:rsid w:val="00EF5771"/>
    <w:rsid w:val="00F0665C"/>
    <w:rsid w:val="00F16D5B"/>
    <w:rsid w:val="00F174AB"/>
    <w:rsid w:val="00F2376B"/>
    <w:rsid w:val="00F25DA5"/>
    <w:rsid w:val="00F265CD"/>
    <w:rsid w:val="00F27311"/>
    <w:rsid w:val="00F27AB5"/>
    <w:rsid w:val="00F30CEB"/>
    <w:rsid w:val="00F33100"/>
    <w:rsid w:val="00F34D78"/>
    <w:rsid w:val="00F3781F"/>
    <w:rsid w:val="00F37874"/>
    <w:rsid w:val="00F40AAE"/>
    <w:rsid w:val="00F428DA"/>
    <w:rsid w:val="00F43500"/>
    <w:rsid w:val="00F4780D"/>
    <w:rsid w:val="00F50D14"/>
    <w:rsid w:val="00F50F28"/>
    <w:rsid w:val="00F5116E"/>
    <w:rsid w:val="00F52377"/>
    <w:rsid w:val="00F5358C"/>
    <w:rsid w:val="00F556F4"/>
    <w:rsid w:val="00F55BE6"/>
    <w:rsid w:val="00F66C8B"/>
    <w:rsid w:val="00F675EF"/>
    <w:rsid w:val="00F67F84"/>
    <w:rsid w:val="00F70037"/>
    <w:rsid w:val="00F70057"/>
    <w:rsid w:val="00F71122"/>
    <w:rsid w:val="00F71C67"/>
    <w:rsid w:val="00F71EE7"/>
    <w:rsid w:val="00F72C43"/>
    <w:rsid w:val="00F72F2C"/>
    <w:rsid w:val="00F7325C"/>
    <w:rsid w:val="00F73A54"/>
    <w:rsid w:val="00F7508E"/>
    <w:rsid w:val="00F75AB4"/>
    <w:rsid w:val="00F75E4B"/>
    <w:rsid w:val="00F764CE"/>
    <w:rsid w:val="00F77B85"/>
    <w:rsid w:val="00F83A96"/>
    <w:rsid w:val="00F8510F"/>
    <w:rsid w:val="00F86714"/>
    <w:rsid w:val="00F9016D"/>
    <w:rsid w:val="00F90FEE"/>
    <w:rsid w:val="00F912B1"/>
    <w:rsid w:val="00F92658"/>
    <w:rsid w:val="00F929E8"/>
    <w:rsid w:val="00F96C1B"/>
    <w:rsid w:val="00FA120B"/>
    <w:rsid w:val="00FA16A5"/>
    <w:rsid w:val="00FA2707"/>
    <w:rsid w:val="00FA3D1C"/>
    <w:rsid w:val="00FA5FBF"/>
    <w:rsid w:val="00FB4812"/>
    <w:rsid w:val="00FB6D77"/>
    <w:rsid w:val="00FC0C84"/>
    <w:rsid w:val="00FC4FD3"/>
    <w:rsid w:val="00FC6D46"/>
    <w:rsid w:val="00FC74B0"/>
    <w:rsid w:val="00FD3F15"/>
    <w:rsid w:val="00FD5A37"/>
    <w:rsid w:val="00FD5AFC"/>
    <w:rsid w:val="00FE1BAE"/>
    <w:rsid w:val="00FE1F8E"/>
    <w:rsid w:val="00FE21A2"/>
    <w:rsid w:val="00FE7F43"/>
    <w:rsid w:val="00FF014F"/>
    <w:rsid w:val="00FF026B"/>
    <w:rsid w:val="00FF1E1A"/>
    <w:rsid w:val="00FF6260"/>
    <w:rsid w:val="00FF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7DC"/>
  <w15:chartTrackingRefBased/>
  <w15:docId w15:val="{D9EFCE89-4D1D-4C34-9CC8-B2AC65F0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159E"/>
    <w:pPr>
      <w:spacing w:after="120" w:line="264" w:lineRule="auto"/>
    </w:pPr>
    <w:rPr>
      <w:rFonts w:ascii="Calibri" w:eastAsia="Calibri" w:hAnsi="Calibri" w:cs="Calibri"/>
      <w:kern w:val="0"/>
      <w:sz w:val="20"/>
      <w:szCs w:val="20"/>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F7"/>
    <w:pPr>
      <w:ind w:left="720"/>
      <w:contextualSpacing/>
    </w:pPr>
  </w:style>
  <w:style w:type="paragraph" w:styleId="FootnoteText">
    <w:name w:val="footnote text"/>
    <w:basedOn w:val="Normal"/>
    <w:link w:val="FootnoteTextChar"/>
    <w:uiPriority w:val="99"/>
    <w:semiHidden/>
    <w:unhideWhenUsed/>
    <w:rsid w:val="00E601F7"/>
    <w:pPr>
      <w:spacing w:after="0" w:line="240" w:lineRule="auto"/>
    </w:pPr>
  </w:style>
  <w:style w:type="character" w:customStyle="1" w:styleId="FootnoteTextChar">
    <w:name w:val="Footnote Text Char"/>
    <w:basedOn w:val="DefaultParagraphFont"/>
    <w:link w:val="FootnoteText"/>
    <w:uiPriority w:val="99"/>
    <w:semiHidden/>
    <w:rsid w:val="00E601F7"/>
    <w:rPr>
      <w:rFonts w:ascii="Calibri" w:eastAsia="Calibri" w:hAnsi="Calibri" w:cs="Calibri"/>
      <w:kern w:val="0"/>
      <w:sz w:val="20"/>
      <w:szCs w:val="20"/>
      <w:lang w:val="en-ZA" w:eastAsia="en-ZA"/>
      <w14:ligatures w14:val="none"/>
    </w:rPr>
  </w:style>
  <w:style w:type="character" w:styleId="FootnoteReference">
    <w:name w:val="footnote reference"/>
    <w:basedOn w:val="DefaultParagraphFont"/>
    <w:uiPriority w:val="99"/>
    <w:semiHidden/>
    <w:unhideWhenUsed/>
    <w:rsid w:val="00E601F7"/>
    <w:rPr>
      <w:vertAlign w:val="superscript"/>
    </w:rPr>
  </w:style>
  <w:style w:type="paragraph" w:customStyle="1" w:styleId="Style2">
    <w:name w:val="Style2"/>
    <w:basedOn w:val="Normal"/>
    <w:next w:val="Normal"/>
    <w:uiPriority w:val="99"/>
    <w:rsid w:val="00E6400A"/>
    <w:pPr>
      <w:widowControl w:val="0"/>
      <w:autoSpaceDE w:val="0"/>
      <w:autoSpaceDN w:val="0"/>
      <w:adjustRightInd w:val="0"/>
      <w:spacing w:after="0" w:line="240" w:lineRule="auto"/>
    </w:pPr>
    <w:rPr>
      <w:rFonts w:ascii="Arial MT" w:eastAsiaTheme="minorEastAsia" w:hAnsi="Arial MT" w:cs="Arial MT"/>
      <w:sz w:val="24"/>
      <w:szCs w:val="24"/>
      <w14:ligatures w14:val="standardContextual"/>
    </w:rPr>
  </w:style>
  <w:style w:type="paragraph" w:styleId="NormalWeb">
    <w:name w:val="Normal (Web)"/>
    <w:basedOn w:val="Normal"/>
    <w:uiPriority w:val="99"/>
    <w:unhideWhenUsed/>
    <w:rsid w:val="00B54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1356">
      <w:bodyDiv w:val="1"/>
      <w:marLeft w:val="0"/>
      <w:marRight w:val="0"/>
      <w:marTop w:val="0"/>
      <w:marBottom w:val="0"/>
      <w:divBdr>
        <w:top w:val="none" w:sz="0" w:space="0" w:color="auto"/>
        <w:left w:val="none" w:sz="0" w:space="0" w:color="auto"/>
        <w:bottom w:val="none" w:sz="0" w:space="0" w:color="auto"/>
        <w:right w:val="none" w:sz="0" w:space="0" w:color="auto"/>
      </w:divBdr>
    </w:div>
    <w:div w:id="229930419">
      <w:bodyDiv w:val="1"/>
      <w:marLeft w:val="0"/>
      <w:marRight w:val="0"/>
      <w:marTop w:val="0"/>
      <w:marBottom w:val="0"/>
      <w:divBdr>
        <w:top w:val="none" w:sz="0" w:space="0" w:color="auto"/>
        <w:left w:val="none" w:sz="0" w:space="0" w:color="auto"/>
        <w:bottom w:val="none" w:sz="0" w:space="0" w:color="auto"/>
        <w:right w:val="none" w:sz="0" w:space="0" w:color="auto"/>
      </w:divBdr>
    </w:div>
    <w:div w:id="244844229">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411661430">
      <w:bodyDiv w:val="1"/>
      <w:marLeft w:val="0"/>
      <w:marRight w:val="0"/>
      <w:marTop w:val="0"/>
      <w:marBottom w:val="0"/>
      <w:divBdr>
        <w:top w:val="none" w:sz="0" w:space="0" w:color="auto"/>
        <w:left w:val="none" w:sz="0" w:space="0" w:color="auto"/>
        <w:bottom w:val="none" w:sz="0" w:space="0" w:color="auto"/>
        <w:right w:val="none" w:sz="0" w:space="0" w:color="auto"/>
      </w:divBdr>
    </w:div>
    <w:div w:id="606693186">
      <w:bodyDiv w:val="1"/>
      <w:marLeft w:val="0"/>
      <w:marRight w:val="0"/>
      <w:marTop w:val="0"/>
      <w:marBottom w:val="0"/>
      <w:divBdr>
        <w:top w:val="none" w:sz="0" w:space="0" w:color="auto"/>
        <w:left w:val="none" w:sz="0" w:space="0" w:color="auto"/>
        <w:bottom w:val="none" w:sz="0" w:space="0" w:color="auto"/>
        <w:right w:val="none" w:sz="0" w:space="0" w:color="auto"/>
      </w:divBdr>
    </w:div>
    <w:div w:id="690180016">
      <w:bodyDiv w:val="1"/>
      <w:marLeft w:val="0"/>
      <w:marRight w:val="0"/>
      <w:marTop w:val="0"/>
      <w:marBottom w:val="0"/>
      <w:divBdr>
        <w:top w:val="none" w:sz="0" w:space="0" w:color="auto"/>
        <w:left w:val="none" w:sz="0" w:space="0" w:color="auto"/>
        <w:bottom w:val="none" w:sz="0" w:space="0" w:color="auto"/>
        <w:right w:val="none" w:sz="0" w:space="0" w:color="auto"/>
      </w:divBdr>
    </w:div>
    <w:div w:id="721976838">
      <w:bodyDiv w:val="1"/>
      <w:marLeft w:val="0"/>
      <w:marRight w:val="0"/>
      <w:marTop w:val="0"/>
      <w:marBottom w:val="0"/>
      <w:divBdr>
        <w:top w:val="none" w:sz="0" w:space="0" w:color="auto"/>
        <w:left w:val="none" w:sz="0" w:space="0" w:color="auto"/>
        <w:bottom w:val="none" w:sz="0" w:space="0" w:color="auto"/>
        <w:right w:val="none" w:sz="0" w:space="0" w:color="auto"/>
      </w:divBdr>
    </w:div>
    <w:div w:id="773063656">
      <w:bodyDiv w:val="1"/>
      <w:marLeft w:val="0"/>
      <w:marRight w:val="0"/>
      <w:marTop w:val="0"/>
      <w:marBottom w:val="0"/>
      <w:divBdr>
        <w:top w:val="none" w:sz="0" w:space="0" w:color="auto"/>
        <w:left w:val="none" w:sz="0" w:space="0" w:color="auto"/>
        <w:bottom w:val="none" w:sz="0" w:space="0" w:color="auto"/>
        <w:right w:val="none" w:sz="0" w:space="0" w:color="auto"/>
      </w:divBdr>
    </w:div>
    <w:div w:id="850948917">
      <w:bodyDiv w:val="1"/>
      <w:marLeft w:val="0"/>
      <w:marRight w:val="0"/>
      <w:marTop w:val="0"/>
      <w:marBottom w:val="0"/>
      <w:divBdr>
        <w:top w:val="none" w:sz="0" w:space="0" w:color="auto"/>
        <w:left w:val="none" w:sz="0" w:space="0" w:color="auto"/>
        <w:bottom w:val="none" w:sz="0" w:space="0" w:color="auto"/>
        <w:right w:val="none" w:sz="0" w:space="0" w:color="auto"/>
      </w:divBdr>
    </w:div>
    <w:div w:id="989364008">
      <w:bodyDiv w:val="1"/>
      <w:marLeft w:val="0"/>
      <w:marRight w:val="0"/>
      <w:marTop w:val="0"/>
      <w:marBottom w:val="0"/>
      <w:divBdr>
        <w:top w:val="none" w:sz="0" w:space="0" w:color="auto"/>
        <w:left w:val="none" w:sz="0" w:space="0" w:color="auto"/>
        <w:bottom w:val="none" w:sz="0" w:space="0" w:color="auto"/>
        <w:right w:val="none" w:sz="0" w:space="0" w:color="auto"/>
      </w:divBdr>
    </w:div>
    <w:div w:id="1080374294">
      <w:bodyDiv w:val="1"/>
      <w:marLeft w:val="0"/>
      <w:marRight w:val="0"/>
      <w:marTop w:val="0"/>
      <w:marBottom w:val="0"/>
      <w:divBdr>
        <w:top w:val="none" w:sz="0" w:space="0" w:color="auto"/>
        <w:left w:val="none" w:sz="0" w:space="0" w:color="auto"/>
        <w:bottom w:val="none" w:sz="0" w:space="0" w:color="auto"/>
        <w:right w:val="none" w:sz="0" w:space="0" w:color="auto"/>
      </w:divBdr>
    </w:div>
    <w:div w:id="1081487603">
      <w:bodyDiv w:val="1"/>
      <w:marLeft w:val="0"/>
      <w:marRight w:val="0"/>
      <w:marTop w:val="0"/>
      <w:marBottom w:val="0"/>
      <w:divBdr>
        <w:top w:val="none" w:sz="0" w:space="0" w:color="auto"/>
        <w:left w:val="none" w:sz="0" w:space="0" w:color="auto"/>
        <w:bottom w:val="none" w:sz="0" w:space="0" w:color="auto"/>
        <w:right w:val="none" w:sz="0" w:space="0" w:color="auto"/>
      </w:divBdr>
    </w:div>
    <w:div w:id="1090153639">
      <w:bodyDiv w:val="1"/>
      <w:marLeft w:val="0"/>
      <w:marRight w:val="0"/>
      <w:marTop w:val="0"/>
      <w:marBottom w:val="0"/>
      <w:divBdr>
        <w:top w:val="none" w:sz="0" w:space="0" w:color="auto"/>
        <w:left w:val="none" w:sz="0" w:space="0" w:color="auto"/>
        <w:bottom w:val="none" w:sz="0" w:space="0" w:color="auto"/>
        <w:right w:val="none" w:sz="0" w:space="0" w:color="auto"/>
      </w:divBdr>
    </w:div>
    <w:div w:id="1161773839">
      <w:bodyDiv w:val="1"/>
      <w:marLeft w:val="0"/>
      <w:marRight w:val="0"/>
      <w:marTop w:val="0"/>
      <w:marBottom w:val="0"/>
      <w:divBdr>
        <w:top w:val="none" w:sz="0" w:space="0" w:color="auto"/>
        <w:left w:val="none" w:sz="0" w:space="0" w:color="auto"/>
        <w:bottom w:val="none" w:sz="0" w:space="0" w:color="auto"/>
        <w:right w:val="none" w:sz="0" w:space="0" w:color="auto"/>
      </w:divBdr>
    </w:div>
    <w:div w:id="1256673975">
      <w:bodyDiv w:val="1"/>
      <w:marLeft w:val="0"/>
      <w:marRight w:val="0"/>
      <w:marTop w:val="0"/>
      <w:marBottom w:val="0"/>
      <w:divBdr>
        <w:top w:val="none" w:sz="0" w:space="0" w:color="auto"/>
        <w:left w:val="none" w:sz="0" w:space="0" w:color="auto"/>
        <w:bottom w:val="none" w:sz="0" w:space="0" w:color="auto"/>
        <w:right w:val="none" w:sz="0" w:space="0" w:color="auto"/>
      </w:divBdr>
    </w:div>
    <w:div w:id="1263613663">
      <w:bodyDiv w:val="1"/>
      <w:marLeft w:val="0"/>
      <w:marRight w:val="0"/>
      <w:marTop w:val="0"/>
      <w:marBottom w:val="0"/>
      <w:divBdr>
        <w:top w:val="none" w:sz="0" w:space="0" w:color="auto"/>
        <w:left w:val="none" w:sz="0" w:space="0" w:color="auto"/>
        <w:bottom w:val="none" w:sz="0" w:space="0" w:color="auto"/>
        <w:right w:val="none" w:sz="0" w:space="0" w:color="auto"/>
      </w:divBdr>
    </w:div>
    <w:div w:id="1284505962">
      <w:bodyDiv w:val="1"/>
      <w:marLeft w:val="0"/>
      <w:marRight w:val="0"/>
      <w:marTop w:val="0"/>
      <w:marBottom w:val="0"/>
      <w:divBdr>
        <w:top w:val="none" w:sz="0" w:space="0" w:color="auto"/>
        <w:left w:val="none" w:sz="0" w:space="0" w:color="auto"/>
        <w:bottom w:val="none" w:sz="0" w:space="0" w:color="auto"/>
        <w:right w:val="none" w:sz="0" w:space="0" w:color="auto"/>
      </w:divBdr>
    </w:div>
    <w:div w:id="1312371881">
      <w:bodyDiv w:val="1"/>
      <w:marLeft w:val="0"/>
      <w:marRight w:val="0"/>
      <w:marTop w:val="0"/>
      <w:marBottom w:val="0"/>
      <w:divBdr>
        <w:top w:val="none" w:sz="0" w:space="0" w:color="auto"/>
        <w:left w:val="none" w:sz="0" w:space="0" w:color="auto"/>
        <w:bottom w:val="none" w:sz="0" w:space="0" w:color="auto"/>
        <w:right w:val="none" w:sz="0" w:space="0" w:color="auto"/>
      </w:divBdr>
    </w:div>
    <w:div w:id="1371105746">
      <w:bodyDiv w:val="1"/>
      <w:marLeft w:val="0"/>
      <w:marRight w:val="0"/>
      <w:marTop w:val="0"/>
      <w:marBottom w:val="0"/>
      <w:divBdr>
        <w:top w:val="none" w:sz="0" w:space="0" w:color="auto"/>
        <w:left w:val="none" w:sz="0" w:space="0" w:color="auto"/>
        <w:bottom w:val="none" w:sz="0" w:space="0" w:color="auto"/>
        <w:right w:val="none" w:sz="0" w:space="0" w:color="auto"/>
      </w:divBdr>
    </w:div>
    <w:div w:id="1481387017">
      <w:bodyDiv w:val="1"/>
      <w:marLeft w:val="0"/>
      <w:marRight w:val="0"/>
      <w:marTop w:val="0"/>
      <w:marBottom w:val="0"/>
      <w:divBdr>
        <w:top w:val="none" w:sz="0" w:space="0" w:color="auto"/>
        <w:left w:val="none" w:sz="0" w:space="0" w:color="auto"/>
        <w:bottom w:val="none" w:sz="0" w:space="0" w:color="auto"/>
        <w:right w:val="none" w:sz="0" w:space="0" w:color="auto"/>
      </w:divBdr>
    </w:div>
    <w:div w:id="1501893141">
      <w:bodyDiv w:val="1"/>
      <w:marLeft w:val="0"/>
      <w:marRight w:val="0"/>
      <w:marTop w:val="0"/>
      <w:marBottom w:val="0"/>
      <w:divBdr>
        <w:top w:val="none" w:sz="0" w:space="0" w:color="auto"/>
        <w:left w:val="none" w:sz="0" w:space="0" w:color="auto"/>
        <w:bottom w:val="none" w:sz="0" w:space="0" w:color="auto"/>
        <w:right w:val="none" w:sz="0" w:space="0" w:color="auto"/>
      </w:divBdr>
    </w:div>
    <w:div w:id="1518495188">
      <w:bodyDiv w:val="1"/>
      <w:marLeft w:val="0"/>
      <w:marRight w:val="0"/>
      <w:marTop w:val="0"/>
      <w:marBottom w:val="0"/>
      <w:divBdr>
        <w:top w:val="none" w:sz="0" w:space="0" w:color="auto"/>
        <w:left w:val="none" w:sz="0" w:space="0" w:color="auto"/>
        <w:bottom w:val="none" w:sz="0" w:space="0" w:color="auto"/>
        <w:right w:val="none" w:sz="0" w:space="0" w:color="auto"/>
      </w:divBdr>
    </w:div>
    <w:div w:id="1526866761">
      <w:bodyDiv w:val="1"/>
      <w:marLeft w:val="0"/>
      <w:marRight w:val="0"/>
      <w:marTop w:val="0"/>
      <w:marBottom w:val="0"/>
      <w:divBdr>
        <w:top w:val="none" w:sz="0" w:space="0" w:color="auto"/>
        <w:left w:val="none" w:sz="0" w:space="0" w:color="auto"/>
        <w:bottom w:val="none" w:sz="0" w:space="0" w:color="auto"/>
        <w:right w:val="none" w:sz="0" w:space="0" w:color="auto"/>
      </w:divBdr>
    </w:div>
    <w:div w:id="1584803368">
      <w:bodyDiv w:val="1"/>
      <w:marLeft w:val="0"/>
      <w:marRight w:val="0"/>
      <w:marTop w:val="0"/>
      <w:marBottom w:val="0"/>
      <w:divBdr>
        <w:top w:val="none" w:sz="0" w:space="0" w:color="auto"/>
        <w:left w:val="none" w:sz="0" w:space="0" w:color="auto"/>
        <w:bottom w:val="none" w:sz="0" w:space="0" w:color="auto"/>
        <w:right w:val="none" w:sz="0" w:space="0" w:color="auto"/>
      </w:divBdr>
    </w:div>
    <w:div w:id="1601601059">
      <w:bodyDiv w:val="1"/>
      <w:marLeft w:val="0"/>
      <w:marRight w:val="0"/>
      <w:marTop w:val="0"/>
      <w:marBottom w:val="0"/>
      <w:divBdr>
        <w:top w:val="none" w:sz="0" w:space="0" w:color="auto"/>
        <w:left w:val="none" w:sz="0" w:space="0" w:color="auto"/>
        <w:bottom w:val="none" w:sz="0" w:space="0" w:color="auto"/>
        <w:right w:val="none" w:sz="0" w:space="0" w:color="auto"/>
      </w:divBdr>
    </w:div>
    <w:div w:id="1611542867">
      <w:bodyDiv w:val="1"/>
      <w:marLeft w:val="0"/>
      <w:marRight w:val="0"/>
      <w:marTop w:val="0"/>
      <w:marBottom w:val="0"/>
      <w:divBdr>
        <w:top w:val="none" w:sz="0" w:space="0" w:color="auto"/>
        <w:left w:val="none" w:sz="0" w:space="0" w:color="auto"/>
        <w:bottom w:val="none" w:sz="0" w:space="0" w:color="auto"/>
        <w:right w:val="none" w:sz="0" w:space="0" w:color="auto"/>
      </w:divBdr>
    </w:div>
    <w:div w:id="1718385015">
      <w:bodyDiv w:val="1"/>
      <w:marLeft w:val="0"/>
      <w:marRight w:val="0"/>
      <w:marTop w:val="0"/>
      <w:marBottom w:val="0"/>
      <w:divBdr>
        <w:top w:val="none" w:sz="0" w:space="0" w:color="auto"/>
        <w:left w:val="none" w:sz="0" w:space="0" w:color="auto"/>
        <w:bottom w:val="none" w:sz="0" w:space="0" w:color="auto"/>
        <w:right w:val="none" w:sz="0" w:space="0" w:color="auto"/>
      </w:divBdr>
    </w:div>
    <w:div w:id="1727145162">
      <w:bodyDiv w:val="1"/>
      <w:marLeft w:val="0"/>
      <w:marRight w:val="0"/>
      <w:marTop w:val="0"/>
      <w:marBottom w:val="0"/>
      <w:divBdr>
        <w:top w:val="none" w:sz="0" w:space="0" w:color="auto"/>
        <w:left w:val="none" w:sz="0" w:space="0" w:color="auto"/>
        <w:bottom w:val="none" w:sz="0" w:space="0" w:color="auto"/>
        <w:right w:val="none" w:sz="0" w:space="0" w:color="auto"/>
      </w:divBdr>
    </w:div>
    <w:div w:id="1732384981">
      <w:bodyDiv w:val="1"/>
      <w:marLeft w:val="0"/>
      <w:marRight w:val="0"/>
      <w:marTop w:val="0"/>
      <w:marBottom w:val="0"/>
      <w:divBdr>
        <w:top w:val="none" w:sz="0" w:space="0" w:color="auto"/>
        <w:left w:val="none" w:sz="0" w:space="0" w:color="auto"/>
        <w:bottom w:val="none" w:sz="0" w:space="0" w:color="auto"/>
        <w:right w:val="none" w:sz="0" w:space="0" w:color="auto"/>
      </w:divBdr>
    </w:div>
    <w:div w:id="1809711422">
      <w:bodyDiv w:val="1"/>
      <w:marLeft w:val="0"/>
      <w:marRight w:val="0"/>
      <w:marTop w:val="0"/>
      <w:marBottom w:val="0"/>
      <w:divBdr>
        <w:top w:val="none" w:sz="0" w:space="0" w:color="auto"/>
        <w:left w:val="none" w:sz="0" w:space="0" w:color="auto"/>
        <w:bottom w:val="none" w:sz="0" w:space="0" w:color="auto"/>
        <w:right w:val="none" w:sz="0" w:space="0" w:color="auto"/>
      </w:divBdr>
    </w:div>
    <w:div w:id="1817986896">
      <w:bodyDiv w:val="1"/>
      <w:marLeft w:val="0"/>
      <w:marRight w:val="0"/>
      <w:marTop w:val="0"/>
      <w:marBottom w:val="0"/>
      <w:divBdr>
        <w:top w:val="none" w:sz="0" w:space="0" w:color="auto"/>
        <w:left w:val="none" w:sz="0" w:space="0" w:color="auto"/>
        <w:bottom w:val="none" w:sz="0" w:space="0" w:color="auto"/>
        <w:right w:val="none" w:sz="0" w:space="0" w:color="auto"/>
      </w:divBdr>
    </w:div>
    <w:div w:id="1849514706">
      <w:bodyDiv w:val="1"/>
      <w:marLeft w:val="0"/>
      <w:marRight w:val="0"/>
      <w:marTop w:val="0"/>
      <w:marBottom w:val="0"/>
      <w:divBdr>
        <w:top w:val="none" w:sz="0" w:space="0" w:color="auto"/>
        <w:left w:val="none" w:sz="0" w:space="0" w:color="auto"/>
        <w:bottom w:val="none" w:sz="0" w:space="0" w:color="auto"/>
        <w:right w:val="none" w:sz="0" w:space="0" w:color="auto"/>
      </w:divBdr>
    </w:div>
    <w:div w:id="2009863846">
      <w:bodyDiv w:val="1"/>
      <w:marLeft w:val="0"/>
      <w:marRight w:val="0"/>
      <w:marTop w:val="0"/>
      <w:marBottom w:val="0"/>
      <w:divBdr>
        <w:top w:val="none" w:sz="0" w:space="0" w:color="auto"/>
        <w:left w:val="none" w:sz="0" w:space="0" w:color="auto"/>
        <w:bottom w:val="none" w:sz="0" w:space="0" w:color="auto"/>
        <w:right w:val="none" w:sz="0" w:space="0" w:color="auto"/>
      </w:divBdr>
    </w:div>
    <w:div w:id="20506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6T20:40:23.612"/>
    </inkml:context>
    <inkml:brush xml:id="br0">
      <inkml:brushProperty name="width" value="0.025" units="cm"/>
      <inkml:brushProperty name="height" value="0.025" units="cm"/>
    </inkml:brush>
  </inkml:definitions>
  <inkml:trace contextRef="#ctx0" brushRef="#br0">441 287 2809,'-1'-1'338,"1"1"1,-1 0 0,0-1-1,1 1 1,-1 0 0,0 0 0,1-1-1,-1 1 1,0 0 0,0 0 0,1 0-1,-1 0 1,0 0 0,0 0-1,1 0 1,-1 0 0,0 0-339,3 12 3060,0-4-3697,9 45 2113,-3 1 0,-3 0 0,-1 46-1476,-15 192 955,7-228-998,4-48-272,2-9-883,-2-7 1121,0 0-1,0 0 0,1 0 0,-1 0 1,0 0-1,0 0 0,0 0 1,0 0-1,0 0 0,0 0 0,0 0 1,0 1-1,0-1 0,0 0 1,0 0-1,1 0 0,-1 0 0,0 0 1,0 0-1,0 0 0,0 0 1,0 0-1,0 0 0,0 0 0,0 0 1,0 0-1,1 0 0,-1 0 1,0 0-1,0 0 0,0 0 0,0 0 1,0 0-1,0 0 0,0 0 1,0 0-1,1 0 0,-1 0 0,0 0 1,0-1-1,0 1 0,0 0 1,0 0-1,0 0 0,0 0 0,0 0 78,7-8-3328</inkml:trace>
  <inkml:trace contextRef="#ctx0" brushRef="#br0" timeOffset="1">647 316 1880,'1'4'5885,"-3"5"-3530,-7 26-2735,8-32 948,-52 193 1920,50-186-2380,0 0 0,-1 0 0,0-1 0,0 0 0,-1 0-1,0 0 1,-1-1 0,0 1 0,-1-1 0,1-1 0,-2 2-108,4-5 24,-1 0 1,1-1 0,0 1-1,-1-1 1,0 0-1,0 0 1,0-1 0,0 0-1,0 0 1,-1 0-1,2 0 1,-2-1-1,1 1 1,-1-1 0,0-1-1,1 1 1,-1-1-1,0 0 1,1 0 0,-1-1-1,-3 0-24,8 1 5,0 0-1,0 0 0,1 0 1,-1-1-1,0 1 1,0 0-1,0-1 0,0 1 1,0 0-1,1-1 1,-1 1-1,0-1 1,0 1-1,1-1 0,-1 0 1,0 1-1,1-1 1,-1 0-1,0 1-4,1-1 11,0 0-1,0 1 1,-1 0-1,1-1 1,0 1 0,0-1-1,0 0 1,0 1-1,0-1 1,0 1 0,0-1-1,0 0 1,0 1 0,0-1-1,1 1 1,-1-1-1,0 0 1,0 1 0,0-1-1,1 1 1,-1-1-11,2-1 41,-1-1 0,1 2 1,-1-1-1,1 0 0,0 0 0,0 0 0,-1 0 1,2 1-1,-1-1 0,0 1 0,0-1 1,1 1-42,5-1 115,0-1 0,1 1 0,-1 0 0,0 0 0,1 1 0,-1 0 0,0 1-1,1-1 1,-1 2 0,1-1 0,0 1-115,19 3 514,2 1 0,11 4-514,-38-8 32,43 12 164,-1 2 0,-1 3-1,-1 0 1,0 3 0,20 14-196,-52-29-155,0 0 1,0 0-1,0-1 1,1-1-1,5 1 155,-13-4-230,0 0 0,1 0 0,-1 0 0,0-1 0,1 0 0,-2 0 0,2 0 0,-1-1 0,0 1 0,0-1 0,1 0 0,-1 0-1,0-1 1,0 1 0,0-1 0,0 0 0,2-1 230,-1 0-855,0 0 1,0 0-1,-1-1 0,1 1 0,-1-1 0,4-4 855,2-8-2950</inkml:trace>
  <inkml:trace contextRef="#ctx0" brushRef="#br0" timeOffset="2">143 798 3929,'1'-4'3146,"14"-14"-2071,-3 8-655,0 1 0,1-1 0,-1 2 1,2 1-1,-1 0 0,2 1 0,-1 0 1,5-1-421,0-1 396,524-228 4409,-377 160-4349,21-9-187,15-17-269,-177 87-6,0-1-1,-1 0 0,14-13 7,-34 26-19,-1 0-1,0 0 0,0 0 0,0-1 0,0 0 0,-1 1 0,0-1 0,0 0 0,0 0 1,2-2 19,-4 4-18,0 0 0,1 1 0,-1-1 0,0 0 0,1 1 0,-1-1 0,0 0 0,0 1 0,-1-1 0,1 1 0,0-1 0,-1 0 0,1 1 0,0-1 0,-1 1 0,0-1 0,1 0 0,-1 1 0,0-1 1,0 1-1,0 0 0,0 0 0,0-1 0,0 1 0,0 0 0,0 0 0,-1 0 0,0-1 18,-5-3-63,-1 1 0,1 1 0,-1-1 0,0 1 0,0 0 0,0 0 0,0 1 0,0 0 0,-1 0 0,-2 1 63,-21-3-293,-33 1 293,63 3-5,-65 0-88,-1 3 0,-27 6 93,-127 26-73,120-13-91,1 3 0,-39 19 164,80-24-229,-33 20 229,72-32-35,1 2-1,2 2 1,-1 0-1,0 0 1,2 1-1,-7 8 36,19-17-3,1 1 0,0 0-1,0-1 1,0 1 0,1 1-1,-1-2 1,1 1 0,0 3 3,2-6-1,0 1 0,0-1 1,0 1-1,1-1 0,-1 1 0,1-1 1,0 1-1,0 0 0,0-1 0,0 1 1,0 0-1,0-1 0,1 0 1,0 1-1,-1-1 0,1 0 0,0 0 1,0 1-1,0-1 0,2 2 1,1 2 9,1-1 1,0 0-1,0 0 0,0 0 1,1-1-1,-1 0 0,1 0 1,0 0-1,0 0 1,0-2-1,7 3-9,22 10 168,1-1 1,33 8-169,75 13 258,-119-29-225,90 17 86,58 17 22,-152-35-127,51 12 195,27 15-209,-80-26 26,0 2 1,-1-1-1,0 2 1,-1 1-1,0 0 1,-1 1-1,12 10-26,-23-17 5,0 1-1,0 0 0,0 0 1,-1 1-1,0 0 1,0-1-1,-1 1 1,0 0-1,0-1 0,-1 2 1,1-1-1,-1 0 1,1 7-5,-2-7 5,0 0 1,-1-1-1,0 0 1,0 1 0,-1 0-1,1 0 1,-1 0-1,-1-1 1,1 1-1,-1 0 1,0-1 0,0 1-1,-1-2 1,1 1-1,-1 0 1,0 0-6,-4 5 21,0 1 0,-1-2 1,0 1-1,-1-3 0,0 2 1,-1-1-1,1 0 0,-7 4-21,0-3 29,0 0 0,-1-1 0,0 0 0,0-1 0,-10 2-29,-17 3 61,0-2 0,-1-4 1,0 0-1,-16-1-61,-26-1 171,0-4-1,-49-6-170,76 1 67,0-3-1,-44-10-66,73 10 18,0-1 0,1-1 1,0-1-1,0-1 0,-26-17-18,45 23 34,0-1-1,0 0 0,1-1 0,-5-4-33,12 8 12,0 1 0,-1-1 0,1 0-1,1 1 1,-1-1 0,0 0-1,1-1 1,0 1 0,0 1 0,0-2-1,1 1 1,0 0 0,-1-4-12,1 3 13,1-1 1,0 0-1,0 0 0,0 0 1,0 1-1,1 0 1,0-1-1,1 0 0,-1 1 1,2-4-14,2-1 4,-1-1 0,2 2 0,0-1 0,0 0 0,2-2-4,12-12-18,0 1 1,2 0-1,13-10 18,12-4-8,0 1 0,2 3 0,47-24 8,-68 41 9,2 2-1,0 0 1,0 3 0,10-2-9,-29 9-2,1 1 0,0 1 0,1-1 0,-1 1 0,0 1 1,0 0-1,8 1 2,-14 1-2,1-1 0,0 1 0,-1 0 0,0 1 0,1-1 0,-1 1 0,0 0 0,0 1 0,0-1 0,0 1 0,0 1 0,0-1-1,-1 1 1,5 4 2,3 5 1,0 1 0,-1 1-1,0 1 1,-1-1-1,-1 2 1,0 1-1,8 11 210,7 8-210,-18-28 166,0-1 0,1 1 0,0 0-1,1-1 1,8 6-166,-15-12 57,1-2 0,0 2-1,0-1 1,0 0 0,-1 1-1,1-1 1,0 0 0,0 0-1,1 0 1,-1-1 0,0 1-1,0-1 1,1 0 0,-1 0-1,0 0 1,0 0-1,1 0 1,-1-1 0,0 0-1,0 1 1,0-1 0,2-1-57,3-1 202,0 0 0,0-1 0,0 0 0,0-1 0,-1 0 0,0 0 0,5-5-202,-2-3 569,-8 11-174,1 9-315,-1-4-124,-1-1 44,0 1 0,1-1 0,0 1 0,-1-1 0,1 1 0,0-1 0,0 0 0,0 0 0,1 0 0,-1 0 0,0-1 0,1 1 0,1 0 0,2 3 0,-3-3 10,0-1 0,-1 0 0,1 1-1,0-1 1,0 0 0,0 1 0,1-1 0,-1 0-1,-1 0 1,2-1 0,-1 1 0,0-1 0,1 0-1,-1 1 1,0-1 0,1-1 0,-1 1 0,3-1-10,2-1 97,1-1 0,-1 0 0,-1 1 1,1-2-1,0 0 0,0-1-97,19-9 152,-5 1-149,-18 10 5,1 0 0,-1 1 0,1-1 0,0 1 0,0 0 0,5-1-8,-9 3 4,1-1 0,-1 1 0,0 0-1,1 0 1,-1 0 0,0 0 0,1 0 0,-1 0 0,0 1-1,0-1 1,1 0 0,-1 0 0,0 1 0,0-1 0,1 0-1,-1 1 1,-1-1 0,1 1 0,1 0 0,-1-1 0,0 1 0,0 0-1,-1 0 1,1 0 0,0 0 0,0 0 0,0-1 0,-1 2-1,1-1 1,0 0-4,13 14 37,-12-14-20,0 0-1,0 0 1,0 0 0,0 0-1,0-1 1,0 1 0,0 0 0,0-1-1,0 0 1,0 1 0,0-1-1,0 0 1,1 0 0,-1 0-1,0 0 1,0-1 0,0 1-1,0-1 1,0 1 0,0-1-1,0 0 1,0 1 0,0-2-17,8-2 115,-1-1 1,0 0-1,0-1 1,1 0-116,0 0 78,34-20 352,15-4-430,-55 27 8,6-1-5,-6 5-17,-7 12 4,1-6 32,-16 47 61,2 0 0,4 2 0,2-1 0,2 2 0,1 54-83,6-96-325,1 1 1,2-1 0,-1-1 0,2 1-1,0 1 1,0-1 0,6 10 324,-9-24-151,1 0 1,-1 0-1,1 0 1,-1 0-1,1-1 1,-1 1-1,1 0 1,-1 0-1,1 0 1,0 0-1,0-1 1,-1 1-1,1 0 1,0-1 150,0 1-176,-1-1 0,1 0 0,-1 0 0,1 0 0,-1 0 0,1 1 0,-1-1 0,1 0 1,-1 0-1,1 0 0,-1 0 0,1 0 0,-1 0 0,1 0 0,-1-1 0,1 1 0,-1 0 0,1 0 0,-1 0 1,1 0-1,-1-1 176,2 0-490,0 0 1,-1 0-1,1-1 1,-1 1-1,1-1 1,-1 1 0,0-1-1,0 1 1,0-1-1,1 0 1,-2 1-1,1-1 1,1-1 489,7-24-4164</inkml:trace>
  <inkml:trace contextRef="#ctx0" brushRef="#br0" timeOffset="3">1702 595 5393,'2'-4'487,"0"-1"0,0 1 0,0 0 0,0-1 0,1 1-1,0 0 1,0 1 0,0-1 0,0 0 0,1 1 0,-1 0 0,1 1 0,-1-1-1,1 1 1,1-1 0,-1 0 0,0 1 0,1 0 0,-1 1 0,1-1 0,-1 0-1,1 1 1,0 0 0,0 0 0,2 0-487,105-11 2824,63-10-751,128-17 2,19 7-906,-113 12-945,-192 19-216,7-2-59,0 0 0,-1-1 1,7-3 50,-29 7-57,1-1 1,-1 1-1,1-1 1,-1 1-1,1-1 1,-1 0 0,1 0-1,-1 1 1,0-1-1,1 1 1,-1-1 0,0-1-1,0 1 1,1-1 56,-2 2-46,1-1 1,-1 1 0,0-1-1,0 1 1,0 0-1,0 0 1,0-1 0,1 1-1,-1-1 1,0 1-1,0 0 1,0-1 0,0 1-1,0-1 1,0 1-1,0-1 1,-1 1 0,1-1-1,0 1 1,0 0-1,0-1 46,-1 0-101,1 0 0,-1 0 0,0 0-1,0 0 1,1 0 0,-1 1 0,0-1-1,0 0 1,0 0 0,0 1 0,0-1 0,0 1 101,-10-5-1103,0 1 1,-1 0-1,1 0 1,0 2-1,-1-1 1,0 1-1,0 1 1,-5 0 1102,-5-1-2127,-30-3-2264</inkml:trace>
  <inkml:trace contextRef="#ctx0" brushRef="#br0" timeOffset="4">559 315 5777,'0'0'334,"0"-1"1,0 1-1,0-1 0,1 1 0,-1-1 0,0 1 0,0-1 0,0 1 1,1-1-1,-1 1 0,0-1 0,1 1 0,-1 0 0,0-1 0,1 1 0,-1-1 1,0 1-1,1 0 0,-1 0 0,1-1 0,-1 1-334,13-2 2456,17 10-3349,-17-5 1569,29 5 327,0-2 1,0-2-1,1-1 1,22-2-1004,9-5 1042,0-2 0,20-6-1042,246-43 2269,53-4-764,-16 7-990,-291 41-465,-11 2-44,1-4-1,70-20-5,-145 33-57,28-12-269,-29 12 227,1 0 0,-1-1-1,1 1 1,-1 0 0,1 0 0,-1-1-1,1 1 1,-1 0 0,1-1-1,-1 1 1,1-1 0,-1 1 0,0-1-1,1 1 1,-1 0 0,1-1 0,-1 1-1,0-1 1,0 1 0,1-1 0,-1 1-1,0-1 1,0 1 0,0-1-1,0 0 1,1 1 0,-1-1 0,0 1-1,0-1 1,0 0 0,0 1 0,-1-1-1,1 1 1,0-1 0,0 1-1,0-1 1,0 0 0,0 1 0,-1-1-1,1 1 1,0-1 0,-1 1 0,1-1-1,0 1 1,-1-1 99,-15-12-4873,-6-3-683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9T05:49:54.713"/>
    </inkml:context>
    <inkml:brush xml:id="br0">
      <inkml:brushProperty name="width" value="0.025" units="cm"/>
      <inkml:brushProperty name="height" value="0.025" units="cm"/>
    </inkml:brush>
  </inkml:definitions>
  <inkml:trace contextRef="#ctx0" brushRef="#br0">887 604 2809,'-1'-1'338,"0"1"1,-1-1 0,1 0-1,0 1 1,-1-1 0,1 1 0,0-1-1,-1 1 1,1 0 0,-1-1 0,1 1-1,-1 0 1,1 0 0,-1 0-1,1 0 1,0 0 0,-1 1-339,5 22 3060,2-7-3697,16 97 2113,-5 0 0,-5 0 0,-3 97-1476,-30 401 955,13-477-998,10-101-272,3-19-883,-4-14 1121,0 0-1,0 0 0,1 0 0,-1 0 1,0 1-1,0-1 0,0 0 1,0 0-1,0 0 0,1 0 0,-1 0 1,0 1-1,0-1 0,0 0 1,0 0-1,1 0 0,-1 0 0,0 0 1,0 0-1,0 0 0,0 0 1,1 0-1,-1 0 0,0 0 0,0 0 1,0 0-1,1 0 0,-1 0 1,0 0-1,0 0 0,0 0 0,1 0 1,-1 0-1,0 0 0,0 0 1,0 0-1,1 0 0,-1 0 0,0 0 1,0-1-1,0 1 0,0 0 1,1 0-1,-1 0 0,0 0 0,0-1 78,14-15-3328</inkml:trace>
  <inkml:trace contextRef="#ctx0" brushRef="#br0" timeOffset="677.19">1303 667 1880,'1'7'5885,"-5"11"-3530,-14 54-2735,16-65 948,-105 405 1920,102-391-2380,-2-1 0,-1 0 0,0 0 0,-1-1 0,-1 0-1,0-1 1,-2 0 0,0 0 0,-1-1 0,0-1 0,-4 2-108,9-10 24,-1-1 1,2 2 0,-2-2-1,-1-1 1,1 0-1,-1 0 1,0-1 0,0 0-1,-1-1 1,0 0-1,1-1 1,-1 0-1,0 0 1,-1-1 0,1-1-1,0 0 1,-1 0-1,1-1 1,0-1 0,-1 0-1,-6-1-24,16 1 5,0 1-1,0 0 0,1 0 1,-1-1-1,0 1 1,0-1-1,1 0 0,-1 1 1,0-1-1,1 0 1,-1 0-1,0 0 1,1 0-1,0 0 0,-1-1 1,1 1-1,0 0 1,-1-1-1,1 1-4,1-1 11,-1 1-1,1 0 1,-1 0-1,1 0 1,0 0 0,0-1-1,0 1 1,0 0-1,0 0 1,0 0 0,0-1-1,0 1 1,0 0 0,0 0-1,1 0 1,-1-1-1,0 1 1,1 0 0,-1 0-1,1 0 1,0-1-11,2-2 41,0-1 0,0 1 1,0-1-1,1 1 0,0 0 0,-1 1 0,1-1 1,1 1-1,-1 0 0,0 1 0,1-1 1,1 0-42,10-3 115,0 0 0,1 2 0,-1 0 0,1 0 0,0 2 0,0 0 0,0 1-1,0 0 1,0 2 0,0 0 0,0 1-115,41 6 514,1 2 0,25 9-514,-78-17 32,86 27 164,-1 2 0,-1 5-1,-2 4 1,-2 3 0,42 30-196,-106-60-155,0 0 1,0-2-1,1-1 1,0-1-1,12 2 155,-27-9-230,0 0 0,1 0 0,-1-1 0,1-1 0,0 0 0,-1 0 0,1 0 0,-1-1 0,1 0 0,-1-1 0,1 0 0,-1 0-1,0-1 1,0 0 0,0-1 0,0 1 0,4-4 230,-2 1-855,0 0 1,0-1-1,0-1 0,-1 1 0,0-1 0,7-8 855,3-18-2950</inkml:trace>
  <inkml:trace contextRef="#ctx0" brushRef="#br0" timeOffset="1550.35">287 1675 3929,'3'-10'3146,"27"-28"-2071,-7 18-655,2 1 0,0 0 0,1 2 1,1 2-1,0 0 0,2 2 0,-1 0 1,12-1-421,-2-2 396,1057-480 4409,-760 339-4349,42-22-187,29-36-269,-355 184-6,0-1-1,-3-2 0,29-28 7,-70 56-19,-1 0-1,1 0 0,-1-1 0,-1 0 0,1-1 0,-2 1 0,1-1 0,-1 0 0,0-1 1,3-6 19,-6 12-18,-1-1 0,1 1 0,0 0 0,-1-1 0,1 1 0,-1 0 0,0-1 0,0 1 0,-1-1 0,1 1 0,-1 0 0,0-2 0,1 3 0,-1-1 0,-1 0 0,1-1 0,0 1 0,-1 0 0,0 0 1,0 0-1,0 1 0,0-1 0,0 0 0,0 1 0,-1-1 0,1 1 0,0 0 0,-3-2 18,-9-6-63,-1 2 0,0-1 0,-1 2 0,0 0 0,0 1 0,0 0 0,0 2 0,-1 0 0,0 0 0,-5 1 63,-43-5-293,-66 2 293,127 6-5,-131 0-88,-1 6 0,-56 13 93,-255 55-73,241-29-91,1 9 0,-78 36 164,163-47-229,-69 39 229,148-63-35,1 3-1,2 1 1,0 2-1,1 1 1,2 2-1,-14 16 36,40-36-3,0 2 0,1-1-1,0 0 1,1 2 0,0 0-1,0 0 1,1 0 0,-1 5 3,5-11-1,0 0 0,0 0 1,1 0-1,0 0 0,0 1 0,0-1 1,1 0-1,0 1 0,0-1 0,0 0 1,1 1-1,-1-1 0,1 0 1,1 0-1,-1 0 0,1 0 0,0 0 1,0 0-1,0 0 0,3 4 1,4 2 9,0 0 1,1 0-1,0-1 0,1-1 1,0 0-1,0 0 0,1-1 1,0-1-1,0 0 1,1 1-1,12 3-9,46 20 168,1-2 1,67 16-169,151 28 258,-239-61-225,181 38 86,119 32 22,-309-71-127,102 27 195,57 26-209,-163-50 26,-1 1 1,0 1-1,-1 3 1,-1 2-1,-1 0 1,-1 2-1,23 22-26,-46-36 5,0 1-1,0 0 0,-1 1 1,-1 0-1,0 1 1,0-1-1,-1 2 1,-1-1-1,0 1 0,-1 0 1,0-1-1,-1 1 1,3 14-5,-5-15 5,-1 0 1,-1 0-1,0 0 1,0 0 0,-1 0-1,0 0 1,-1 0-1,-1 0 1,0 0-1,0-1 1,-1 1 0,-1-1-1,0 0 1,0 0-1,-1-1 1,-1 0-6,-6 10 21,-2 2 0,-1-2 1,0-1-1,-2-1 0,0 0 1,-1-1-1,0-1 0,-14 8-21,1-4 29,0-1 0,-2-2 0,0-1 0,-1-1 0,-18 2-29,-36 9 61,0-6 0,-2-4 1,0-4-1,-31-1-61,-55-3 171,0-8-1,-98-14-170,156 4 67,-1-6-1,-90-25-66,147 25 18,1-1 0,1-4 1,0-2-1,2-3 0,-54-33-18,90 45 34,1 0-1,0-2 0,1 0 0,-8-10-33,22 18 12,1 1 0,-1 0 0,1-1-1,1 1 1,-1-1 0,1 0-1,1-1 1,0 0 0,0 0 0,0 0-1,1 0 1,1 0 0,-2-6-12,3 3 13,0 0 1,1 0-1,0 0 0,0 0 1,1 0-1,1 1 1,0-1-1,1 0 0,0 1 1,3-7-14,3-5 4,0 2 0,2 0 0,1 0 0,0 1 0,5-5-4,23-26-18,1 3 1,3 0-1,27-20 18,22-11-8,3 5 0,3 4 0,94-50 8,-136 88 9,2 2-1,2 3 1,0 2 0,18-2-9,-56 19-2,1 1 0,0 2 0,2 0 0,-2 1 0,1 2 1,0 0-1,14 2 2,-26 1-2,1 0 0,-1 0 0,0 2 0,0 0 0,0 0 0,-1 1 0,1 1 0,-1 0 0,0 0 0,0 1 0,-1 1 0,1 0-1,-2 1 1,11 7 2,6 15 1,-1 0 0,-1 1-1,-1 2 1,-2 0-1,-1 1 1,-1 4-1,16 23 210,15 15-210,-37-56 166,1-2 0,0 0 0,2 0-1,0-2 1,17 13-166,-29-25 57,0-1 0,1 0-1,0 1 1,0-2 0,0 0-1,0 0 1,0 0 0,0 0-1,1 0 1,-1-1 0,1 0-1,-1 0 1,1-1 0,-1 0-1,1 0 1,-1-1-1,1 1 1,-1-1 0,1-1-1,-1 1 1,0-1 0,4-2-57,6-1 202,1-3 0,-1 0 0,0-1 0,-1-1 0,0 0 0,-1-1 0,10-10-202,-5-5 569,-15 21-174,4 20-315,-5-9-124,-1-1 44,1 1 0,0-1 0,1 0 0,-1 0 0,1 0 0,0-1 0,0 1 0,0-1 0,1 0 0,0 0 0,-1-1 0,1 1 0,3 0 0,5 5 0,-8-5 10,1 0 0,-1-1 0,1 1-1,0-1 1,0-1 0,0 0 0,1 0 0,-1 0-1,0 0 1,1-1 0,-1 0 0,1 0 0,0-1-1,-1 1 1,1-1 0,0-1 0,-1 1 0,7-2-10,3-3 97,1 0 0,-1-1 0,0-1 1,-1 0-1,1-2 0,1-1-97,36-19 152,-8 3-149,-36 19 5,0 1 0,0 1 0,1 0 0,0 0 0,0 1 0,10-3-8,-18 6 4,1 0 0,0 1 0,-1 0-1,1 0 1,-1 0 0,1 0 0,0 0 0,-1 0 0,1 1-1,-1-1 1,1 1 0,-1-1 0,1 1 0,-1 0 0,1 0-1,-1 1 1,0-1 0,0 0 0,1 1 0,-1-1 0,0 1 0,0 0-1,-1-1 1,1 1 0,0 0 0,0 0 0,-1 0 0,0 1-1,1-1 1,-1 1-4,28 27 37,-25-27-20,0-1-1,-1 0 1,1-1 0,0 1-1,0-1 1,0 1 0,0-1 0,0 0-1,1-1 1,-1 1 0,0-1-1,0 0 1,1 0 0,-1 0-1,0 0 1,0-1 0,0 0-1,1 0 1,-1 0 0,0 0-1,0-1 1,0 1 0,1-2-17,14-6 115,-1-1 1,1 0-1,-2-2 1,4-2-116,-2 1 78,70-42 352,29-9-430,-109 59 8,11-4-5,-12 11-17,-14 26 4,1-13 32,-31 99 61,5-1 0,6 4 0,5 0 0,5 1 0,0 114-83,14-200-325,1 0 1,3 0 0,0-1 0,2 0-1,1 0 1,1 1 0,9 22 324,-15-52-151,0 0 1,0 0-1,0 0 1,0 0-1,0-1 1,0 1-1,1 0 1,-1 0-1,0-1 1,1 1-1,0-1 1,-1 1-1,1-1 1,0 0 150,-1 0-176,0-1 0,0 1 0,0-1 0,0 0 0,0 0 0,0 1 0,0-1 0,0 0 1,0 0-1,0 0 0,0 0 0,0 0 0,0 0 0,0 0 0,0-1 0,0 1 0,0 0 0,0 0 0,0-1 1,0 1-1,0-1 176,3-1-490,-1-1 1,0 1-1,0-1 1,0 0-1,0 0 1,-1 0 0,1 0-1,-1-1 1,0 1-1,1-1 1,-2 1-1,1-1 1,1-2 489,16-52-4164</inkml:trace>
  <inkml:trace contextRef="#ctx0" brushRef="#br0" timeOffset="1946.66">3430 1249 5393,'3'-9'487,"1"0"0,0 0 0,1 0 0,-1 0 0,2 1-1,-1 0 1,1 0 0,2 1 0,-2-2 0,1 2 0,0 1 0,1 1 0,-1-1-1,1 1 1,1-1 0,-1 1 0,1 1 0,0 0 0,0 0 0,0 0 0,0 1-1,1 1 1,-1 0 0,1 0 0,4 0-487,213-24 2824,125-18-751,261-39 2,35 16-906,-226 25-945,-387 39-216,13-2-59,-1-1 0,0-3 1,13-5 50,-57 13-57,0 0 1,0 0-1,0 0 1,0 0-1,0 0 1,0-1 0,0 0-1,0 1 1,-1-1-1,1 0 1,-1 0 0,1-1-1,-1 1 1,2-3 56,-4 5-46,1-1 1,-1 0 0,0 0-1,1 1 1,-1-1-1,0 0 1,0 0 0,1 0-1,-1 0 1,0 0-1,0 1 1,0-1 0,0 0-1,0 0 1,0 0-1,0 0 1,-1 0 0,1 0-1,0 1 1,0-1-1,-1-1 46,0 0-101,0 0 0,-1 1 0,1-1-1,-1 0 1,1 0 0,-1 1 0,1-1-1,-1 1 1,0-1 0,0 1 0,0 0 0,-1-1 101,-19-8-1103,0 2 1,-1 0-1,0 1 1,0 1-1,-1 1 1,0 1-1,1 2 1,-12-1 1102,-10-1-2127,-60-8-2264</inkml:trace>
  <inkml:trace contextRef="#ctx0" brushRef="#br0" timeOffset="2506.67">1125 662 5777,'0'-1'334,"0"0"1,0 0-1,0 0 0,1 0 0,-1 0 0,1 0 0,-1 0 0,0 0 1,1 0-1,0 0 0,-1 0 0,1 0 0,-1 1 0,1-1 0,0-1 0,0 1 1,-1 1-1,1-1 0,0 1 0,0-1 0,0 0-334,25-2 2456,35 19-3349,-35-8 1569,59 9 327,0-4 1,0-4-1,2-3 1,45-5-1004,17-8 1042,0-7 0,40-13-1042,497-85 2269,105-13-764,-30 16-990,-589 85-465,-18 5-44,-1-8-1,140-42-5,-291 68-57,56-23-269,-57 24 227,0 0 0,0-1-1,0 1 1,0-1 0,0 1 0,0-1-1,0 0 1,0 1 0,0-1-1,0 0 1,0 0 0,0 0 0,-1 0-1,1 0 1,0 0 0,0 0 0,-1 0-1,1 0 1,-1 0 0,1 0 0,-1 0-1,1 0 1,-1 0 0,0 0-1,0-2 1,1 3 0,-1-1 0,0 0-1,0 0 1,0-1 0,0 1 0,-1 0-1,1 0 1,0 0 0,0 0-1,-1-1 1,1 1 0,0 0 0,-1 0-1,0 0 1,1 0 0,-1 0 0,1 0-1,-1 0 1,-1-1 99,-29-24-4873,-15-10-683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A713-23B0-445C-9095-42C18A5C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Jansen van Rensburg</dc:creator>
  <cp:keywords/>
  <dc:description/>
  <cp:lastModifiedBy>Mary Bruce</cp:lastModifiedBy>
  <cp:revision>3</cp:revision>
  <dcterms:created xsi:type="dcterms:W3CDTF">2023-07-31T09:50:00Z</dcterms:created>
  <dcterms:modified xsi:type="dcterms:W3CDTF">2023-08-04T13:51:00Z</dcterms:modified>
</cp:coreProperties>
</file>