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D9DD5F" w14:textId="77777777" w:rsidR="00DC1ECB" w:rsidRDefault="00DC1ECB" w:rsidP="00DC1ECB">
      <w:pPr>
        <w:rPr>
          <w:lang w:val="en-ZA" w:eastAsia="en-ZA"/>
        </w:rPr>
      </w:pPr>
      <w:r>
        <w:rPr>
          <w:rFonts w:ascii="Arial" w:hAnsi="Arial" w:cs="Arial"/>
          <w:color w:val="FF0000"/>
        </w:rPr>
        <w:t>Editorial note: Certain information has been redacted from this judgment in compliance with the law.</w:t>
      </w:r>
    </w:p>
    <w:p w14:paraId="03573813" w14:textId="2B175448" w:rsidR="00DC1ECB" w:rsidRDefault="00DC1ECB" w:rsidP="0028563A">
      <w:pPr>
        <w:spacing w:line="360" w:lineRule="auto"/>
        <w:rPr>
          <w:rFonts w:ascii="Arial" w:hAnsi="Arial" w:cs="Arial"/>
          <w:b/>
          <w:lang w:val="en-ZA"/>
        </w:rPr>
      </w:pPr>
    </w:p>
    <w:p w14:paraId="39091830" w14:textId="6DDBF87B" w:rsidR="00DC1ECB" w:rsidRDefault="00DC1ECB" w:rsidP="0028563A">
      <w:pPr>
        <w:spacing w:line="360" w:lineRule="auto"/>
        <w:rPr>
          <w:rFonts w:ascii="Arial" w:hAnsi="Arial" w:cs="Arial"/>
          <w:b/>
          <w:lang w:val="en-ZA"/>
        </w:rPr>
      </w:pPr>
    </w:p>
    <w:p w14:paraId="2AD876B4" w14:textId="77777777" w:rsidR="00DC1ECB" w:rsidRDefault="00DC1ECB" w:rsidP="0028563A">
      <w:pPr>
        <w:spacing w:line="360" w:lineRule="auto"/>
        <w:rPr>
          <w:rFonts w:ascii="Arial" w:hAnsi="Arial" w:cs="Arial"/>
          <w:b/>
          <w:lang w:val="en-ZA"/>
        </w:rPr>
      </w:pPr>
    </w:p>
    <w:p w14:paraId="07D2C215" w14:textId="68A0FEAE" w:rsidR="0064625B" w:rsidRPr="00E92DE2" w:rsidRDefault="0064625B" w:rsidP="0028563A">
      <w:pPr>
        <w:spacing w:line="360" w:lineRule="auto"/>
        <w:rPr>
          <w:rFonts w:ascii="Arial" w:hAnsi="Arial" w:cs="Arial"/>
          <w:b/>
          <w:lang w:val="en-ZA"/>
        </w:rPr>
      </w:pPr>
      <w:r w:rsidRPr="00E92DE2">
        <w:rPr>
          <w:rFonts w:ascii="Arial" w:hAnsi="Arial" w:cs="Arial"/>
          <w:b/>
          <w:noProof/>
          <w:lang w:val="en-ZA" w:eastAsia="en-ZA"/>
        </w:rPr>
        <w:drawing>
          <wp:anchor distT="0" distB="0" distL="114300" distR="114300" simplePos="0" relativeHeight="251660288" behindDoc="0" locked="0" layoutInCell="1" allowOverlap="1" wp14:anchorId="7C9E02E1" wp14:editId="54E1680D">
            <wp:simplePos x="0" y="0"/>
            <wp:positionH relativeFrom="column">
              <wp:posOffset>1983105</wp:posOffset>
            </wp:positionH>
            <wp:positionV relativeFrom="paragraph">
              <wp:posOffset>-752475</wp:posOffset>
            </wp:positionV>
            <wp:extent cx="1325245" cy="1189990"/>
            <wp:effectExtent l="0" t="0" r="8255" b="0"/>
            <wp:wrapNone/>
            <wp:docPr id="1" name="Picture 1" descr="Description: Description: cid:image002.jpg@01D019DE.127D2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2.jpg@01D019DE.127D259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25245" cy="11899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2DE2">
        <w:rPr>
          <w:rFonts w:ascii="Arial" w:hAnsi="Arial" w:cs="Arial"/>
          <w:b/>
          <w:lang w:val="en-ZA"/>
        </w:rPr>
        <w:tab/>
      </w:r>
    </w:p>
    <w:p w14:paraId="3B6C635D" w14:textId="77777777" w:rsidR="0064625B" w:rsidRPr="00E92DE2" w:rsidRDefault="0064625B" w:rsidP="0028563A">
      <w:pPr>
        <w:spacing w:line="360" w:lineRule="auto"/>
        <w:jc w:val="center"/>
        <w:rPr>
          <w:rFonts w:ascii="Arial" w:hAnsi="Arial" w:cs="Arial"/>
          <w:b/>
          <w:lang w:val="en-ZA"/>
        </w:rPr>
      </w:pPr>
      <w:r w:rsidRPr="00E92DE2">
        <w:rPr>
          <w:rFonts w:ascii="Arial" w:hAnsi="Arial" w:cs="Arial"/>
          <w:b/>
          <w:lang w:val="en-ZA"/>
        </w:rPr>
        <w:t xml:space="preserve"> </w:t>
      </w:r>
    </w:p>
    <w:p w14:paraId="482CC86B" w14:textId="77777777" w:rsidR="0064625B" w:rsidRPr="0020509D" w:rsidRDefault="0064625B" w:rsidP="0028563A">
      <w:pPr>
        <w:spacing w:line="360" w:lineRule="auto"/>
        <w:jc w:val="center"/>
        <w:rPr>
          <w:rFonts w:ascii="Arial" w:hAnsi="Arial" w:cs="Arial"/>
          <w:b/>
        </w:rPr>
      </w:pPr>
      <w:r w:rsidRPr="0020509D">
        <w:rPr>
          <w:rFonts w:ascii="Arial" w:hAnsi="Arial" w:cs="Arial"/>
          <w:b/>
        </w:rPr>
        <w:t xml:space="preserve">    IN THE HIGH COURT OF SOUTH AFRICA</w:t>
      </w:r>
    </w:p>
    <w:p w14:paraId="79117E58" w14:textId="1D713ABA" w:rsidR="0064625B" w:rsidRPr="0020509D" w:rsidRDefault="0064625B" w:rsidP="0028563A">
      <w:pPr>
        <w:spacing w:line="360" w:lineRule="auto"/>
        <w:jc w:val="center"/>
        <w:rPr>
          <w:rFonts w:ascii="Arial" w:hAnsi="Arial" w:cs="Arial"/>
          <w:b/>
        </w:rPr>
      </w:pPr>
      <w:r w:rsidRPr="0020509D">
        <w:rPr>
          <w:rFonts w:ascii="Arial" w:hAnsi="Arial" w:cs="Arial"/>
          <w:b/>
        </w:rPr>
        <w:t>GAUTENG DIVISION</w:t>
      </w:r>
      <w:r w:rsidR="00E025D8">
        <w:rPr>
          <w:rFonts w:ascii="Arial" w:hAnsi="Arial" w:cs="Arial"/>
          <w:b/>
        </w:rPr>
        <w:t>,</w:t>
      </w:r>
      <w:r w:rsidRPr="0020509D">
        <w:rPr>
          <w:rFonts w:ascii="Arial" w:hAnsi="Arial" w:cs="Arial"/>
          <w:b/>
        </w:rPr>
        <w:t xml:space="preserve"> PRETORIA</w:t>
      </w:r>
    </w:p>
    <w:p w14:paraId="2F28EF21" w14:textId="29FA5344" w:rsidR="0064625B" w:rsidRPr="0020509D" w:rsidRDefault="0064625B" w:rsidP="0028563A">
      <w:pPr>
        <w:spacing w:line="360" w:lineRule="auto"/>
        <w:jc w:val="center"/>
        <w:rPr>
          <w:rFonts w:ascii="Arial" w:hAnsi="Arial" w:cs="Arial"/>
          <w:b/>
        </w:rPr>
      </w:pPr>
    </w:p>
    <w:p w14:paraId="506A93E3" w14:textId="568E3E56" w:rsidR="0064625B" w:rsidRPr="0020509D" w:rsidRDefault="0064625B" w:rsidP="0028563A">
      <w:pPr>
        <w:spacing w:line="360" w:lineRule="auto"/>
        <w:jc w:val="right"/>
        <w:rPr>
          <w:rFonts w:ascii="Arial" w:hAnsi="Arial" w:cs="Arial"/>
          <w:b/>
          <w:i/>
        </w:rPr>
      </w:pPr>
      <w:r w:rsidRPr="0020509D">
        <w:rPr>
          <w:rFonts w:ascii="Arial" w:hAnsi="Arial" w:cs="Arial"/>
          <w:b/>
          <w:noProof/>
          <w:lang w:val="en-ZA" w:eastAsia="en-ZA"/>
        </w:rPr>
        <mc:AlternateContent>
          <mc:Choice Requires="wps">
            <w:drawing>
              <wp:anchor distT="0" distB="0" distL="114300" distR="114300" simplePos="0" relativeHeight="251659264" behindDoc="0" locked="0" layoutInCell="1" allowOverlap="1" wp14:anchorId="66618D5E" wp14:editId="13783D8C">
                <wp:simplePos x="0" y="0"/>
                <wp:positionH relativeFrom="column">
                  <wp:posOffset>-2540</wp:posOffset>
                </wp:positionH>
                <wp:positionV relativeFrom="paragraph">
                  <wp:posOffset>7620</wp:posOffset>
                </wp:positionV>
                <wp:extent cx="3286760" cy="1344930"/>
                <wp:effectExtent l="0" t="0" r="27940"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760" cy="1344930"/>
                        </a:xfrm>
                        <a:prstGeom prst="rect">
                          <a:avLst/>
                        </a:prstGeom>
                        <a:solidFill>
                          <a:srgbClr val="FFFFFF"/>
                        </a:solidFill>
                        <a:ln w="9525">
                          <a:solidFill>
                            <a:srgbClr val="000000"/>
                          </a:solidFill>
                          <a:miter lim="800000"/>
                          <a:headEnd/>
                          <a:tailEnd/>
                        </a:ln>
                      </wps:spPr>
                      <wps:txbx>
                        <w:txbxContent>
                          <w:p w14:paraId="5E1BDD2A" w14:textId="55D7F6CB" w:rsidR="00FB3D83" w:rsidRDefault="000E3C6A" w:rsidP="000E3C6A">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FB3D83">
                              <w:rPr>
                                <w:rFonts w:ascii="Century Gothic" w:hAnsi="Century Gothic"/>
                                <w:sz w:val="20"/>
                                <w:szCs w:val="20"/>
                              </w:rPr>
                              <w:t>REPORTABLE:  NO</w:t>
                            </w:r>
                          </w:p>
                          <w:p w14:paraId="6E006B9F" w14:textId="3A1BC16B" w:rsidR="00FB3D83" w:rsidRDefault="000E3C6A" w:rsidP="000E3C6A">
                            <w:pPr>
                              <w:tabs>
                                <w:tab w:val="left" w:pos="900"/>
                              </w:tabs>
                              <w:ind w:left="900" w:hanging="720"/>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FB3D83">
                              <w:rPr>
                                <w:rFonts w:ascii="Century Gothic" w:hAnsi="Century Gothic"/>
                                <w:sz w:val="20"/>
                                <w:szCs w:val="20"/>
                              </w:rPr>
                              <w:t>OF INTEREST TO OTHER JUDGES: NO</w:t>
                            </w:r>
                          </w:p>
                          <w:p w14:paraId="212DAB06" w14:textId="3C9EFB4E" w:rsidR="00FB3D83" w:rsidRDefault="000E3C6A" w:rsidP="000E3C6A">
                            <w:pPr>
                              <w:tabs>
                                <w:tab w:val="left" w:pos="900"/>
                              </w:tabs>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FB3D83">
                              <w:rPr>
                                <w:rFonts w:ascii="Century Gothic" w:hAnsi="Century Gothic"/>
                                <w:sz w:val="20"/>
                                <w:szCs w:val="20"/>
                              </w:rPr>
                              <w:t>REVISED:  YES</w:t>
                            </w:r>
                          </w:p>
                          <w:p w14:paraId="7006CD2F" w14:textId="77777777" w:rsidR="00FB3D83" w:rsidRDefault="00FB3D83" w:rsidP="0064625B">
                            <w:pPr>
                              <w:rPr>
                                <w:rFonts w:ascii="Century Gothic" w:hAnsi="Century Gothic"/>
                                <w:b/>
                                <w:sz w:val="18"/>
                                <w:szCs w:val="18"/>
                              </w:rPr>
                            </w:pPr>
                          </w:p>
                          <w:p w14:paraId="4FFA7344" w14:textId="77777777" w:rsidR="00FB3D83" w:rsidRDefault="00FB3D83" w:rsidP="0064625B">
                            <w:pPr>
                              <w:rPr>
                                <w:rFonts w:ascii="Century Gothic" w:hAnsi="Century Gothic"/>
                                <w:b/>
                                <w:sz w:val="18"/>
                                <w:szCs w:val="18"/>
                              </w:rPr>
                            </w:pPr>
                          </w:p>
                          <w:p w14:paraId="5624E6D2" w14:textId="77777777" w:rsidR="00FB3D83" w:rsidRDefault="00FB3D83" w:rsidP="0064625B">
                            <w:pPr>
                              <w:rPr>
                                <w:rFonts w:ascii="Century Gothic" w:hAnsi="Century Gothic"/>
                                <w:b/>
                                <w:sz w:val="18"/>
                                <w:szCs w:val="18"/>
                              </w:rPr>
                            </w:pPr>
                          </w:p>
                          <w:p w14:paraId="60B7EE70" w14:textId="07FFF2F8" w:rsidR="00FB3D83" w:rsidRDefault="00FB3D83" w:rsidP="0064625B">
                            <w:pPr>
                              <w:rPr>
                                <w:rFonts w:ascii="Century Gothic" w:hAnsi="Century Gothic"/>
                                <w:b/>
                                <w:sz w:val="18"/>
                                <w:szCs w:val="18"/>
                              </w:rPr>
                            </w:pPr>
                            <w:r>
                              <w:rPr>
                                <w:rFonts w:ascii="Century Gothic" w:hAnsi="Century Gothic"/>
                                <w:b/>
                                <w:sz w:val="18"/>
                                <w:szCs w:val="18"/>
                              </w:rPr>
                              <w:t xml:space="preserve"> ………...............................         …………………………….</w:t>
                            </w:r>
                          </w:p>
                          <w:p w14:paraId="0B432AF6" w14:textId="77777777" w:rsidR="00FB3D83" w:rsidRDefault="00FB3D83" w:rsidP="0064625B">
                            <w:pPr>
                              <w:rPr>
                                <w:rFonts w:ascii="Century Gothic" w:hAnsi="Century Gothic"/>
                                <w:sz w:val="18"/>
                                <w:szCs w:val="18"/>
                              </w:rPr>
                            </w:pP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618D5E" id="_x0000_t202" coordsize="21600,21600" o:spt="202" path="m,l,21600r21600,l21600,xe">
                <v:stroke joinstyle="miter"/>
                <v:path gradientshapeok="t" o:connecttype="rect"/>
              </v:shapetype>
              <v:shape id="Text Box 2" o:spid="_x0000_s1026" type="#_x0000_t202" style="position:absolute;left:0;text-align:left;margin-left:-.2pt;margin-top:.6pt;width:258.8pt;height:10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">
                <v:textbox>
                  <w:txbxContent>
                    <w:p w14:paraId="5E1BDD2A" w14:textId="55D7F6CB" w:rsidR="00FB3D83" w:rsidRDefault="000E3C6A" w:rsidP="000E3C6A">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FB3D83">
                        <w:rPr>
                          <w:rFonts w:ascii="Century Gothic" w:hAnsi="Century Gothic"/>
                          <w:sz w:val="20"/>
                          <w:szCs w:val="20"/>
                        </w:rPr>
                        <w:t>REPORTABLE:  NO</w:t>
                      </w:r>
                    </w:p>
                    <w:p w14:paraId="6E006B9F" w14:textId="3A1BC16B" w:rsidR="00FB3D83" w:rsidRDefault="000E3C6A" w:rsidP="000E3C6A">
                      <w:pPr>
                        <w:tabs>
                          <w:tab w:val="left" w:pos="900"/>
                        </w:tabs>
                        <w:ind w:left="900" w:hanging="720"/>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FB3D83">
                        <w:rPr>
                          <w:rFonts w:ascii="Century Gothic" w:hAnsi="Century Gothic"/>
                          <w:sz w:val="20"/>
                          <w:szCs w:val="20"/>
                        </w:rPr>
                        <w:t>OF INTEREST TO OTHER JUDGES: NO</w:t>
                      </w:r>
                    </w:p>
                    <w:p w14:paraId="212DAB06" w14:textId="3C9EFB4E" w:rsidR="00FB3D83" w:rsidRDefault="000E3C6A" w:rsidP="000E3C6A">
                      <w:pPr>
                        <w:tabs>
                          <w:tab w:val="left" w:pos="900"/>
                        </w:tabs>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FB3D83">
                        <w:rPr>
                          <w:rFonts w:ascii="Century Gothic" w:hAnsi="Century Gothic"/>
                          <w:sz w:val="20"/>
                          <w:szCs w:val="20"/>
                        </w:rPr>
                        <w:t>REVISED:  YES</w:t>
                      </w:r>
                    </w:p>
                    <w:p w14:paraId="7006CD2F" w14:textId="77777777" w:rsidR="00FB3D83" w:rsidRDefault="00FB3D83" w:rsidP="0064625B">
                      <w:pPr>
                        <w:rPr>
                          <w:rFonts w:ascii="Century Gothic" w:hAnsi="Century Gothic"/>
                          <w:b/>
                          <w:sz w:val="18"/>
                          <w:szCs w:val="18"/>
                        </w:rPr>
                      </w:pPr>
                    </w:p>
                    <w:p w14:paraId="4FFA7344" w14:textId="77777777" w:rsidR="00FB3D83" w:rsidRDefault="00FB3D83" w:rsidP="0064625B">
                      <w:pPr>
                        <w:rPr>
                          <w:rFonts w:ascii="Century Gothic" w:hAnsi="Century Gothic"/>
                          <w:b/>
                          <w:sz w:val="18"/>
                          <w:szCs w:val="18"/>
                        </w:rPr>
                      </w:pPr>
                    </w:p>
                    <w:p w14:paraId="5624E6D2" w14:textId="77777777" w:rsidR="00FB3D83" w:rsidRDefault="00FB3D83" w:rsidP="0064625B">
                      <w:pPr>
                        <w:rPr>
                          <w:rFonts w:ascii="Century Gothic" w:hAnsi="Century Gothic"/>
                          <w:b/>
                          <w:sz w:val="18"/>
                          <w:szCs w:val="18"/>
                        </w:rPr>
                      </w:pPr>
                    </w:p>
                    <w:p w14:paraId="60B7EE70" w14:textId="07FFF2F8" w:rsidR="00FB3D83" w:rsidRDefault="00FB3D83" w:rsidP="0064625B">
                      <w:pPr>
                        <w:rPr>
                          <w:rFonts w:ascii="Century Gothic" w:hAnsi="Century Gothic"/>
                          <w:b/>
                          <w:sz w:val="18"/>
                          <w:szCs w:val="18"/>
                        </w:rPr>
                      </w:pPr>
                      <w:r>
                        <w:rPr>
                          <w:rFonts w:ascii="Century Gothic" w:hAnsi="Century Gothic"/>
                          <w:b/>
                          <w:sz w:val="18"/>
                          <w:szCs w:val="18"/>
                        </w:rPr>
                        <w:t xml:space="preserve"> ………...............................         …………………………….</w:t>
                      </w:r>
                    </w:p>
                    <w:p w14:paraId="0B432AF6" w14:textId="77777777" w:rsidR="00FB3D83" w:rsidRDefault="00FB3D83" w:rsidP="0064625B">
                      <w:pPr>
                        <w:rPr>
                          <w:rFonts w:ascii="Century Gothic" w:hAnsi="Century Gothic"/>
                          <w:sz w:val="18"/>
                          <w:szCs w:val="18"/>
                        </w:rPr>
                      </w:pP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        SIGNATURE</w:t>
                      </w:r>
                    </w:p>
                  </w:txbxContent>
                </v:textbox>
              </v:shape>
            </w:pict>
          </mc:Fallback>
        </mc:AlternateContent>
      </w:r>
    </w:p>
    <w:p w14:paraId="23B84F92" w14:textId="77777777" w:rsidR="0064625B" w:rsidRPr="0020509D" w:rsidRDefault="0064625B" w:rsidP="0028563A">
      <w:pPr>
        <w:pStyle w:val="Heading1"/>
        <w:tabs>
          <w:tab w:val="clear" w:pos="540"/>
        </w:tabs>
        <w:ind w:right="-29"/>
        <w:jc w:val="right"/>
        <w:rPr>
          <w:rFonts w:ascii="Arial" w:hAnsi="Arial" w:cs="Arial"/>
        </w:rPr>
      </w:pPr>
    </w:p>
    <w:p w14:paraId="70D1614A" w14:textId="77777777" w:rsidR="0064625B" w:rsidRPr="0020509D" w:rsidRDefault="0064625B" w:rsidP="0028563A">
      <w:pPr>
        <w:pStyle w:val="Heading1"/>
        <w:tabs>
          <w:tab w:val="clear" w:pos="540"/>
        </w:tabs>
        <w:ind w:right="-29"/>
        <w:jc w:val="right"/>
        <w:rPr>
          <w:rFonts w:ascii="Arial" w:hAnsi="Arial" w:cs="Arial"/>
        </w:rPr>
      </w:pPr>
    </w:p>
    <w:p w14:paraId="2B8E3823" w14:textId="77777777" w:rsidR="00E67500" w:rsidRPr="0020509D" w:rsidRDefault="00E67500" w:rsidP="0028563A">
      <w:pPr>
        <w:jc w:val="center"/>
        <w:rPr>
          <w:rFonts w:ascii="Arial" w:hAnsi="Arial" w:cs="Arial"/>
          <w:b/>
        </w:rPr>
      </w:pPr>
    </w:p>
    <w:p w14:paraId="0A0C720E" w14:textId="77777777" w:rsidR="00E67500" w:rsidRPr="0020509D" w:rsidRDefault="00E67500" w:rsidP="0028563A">
      <w:pPr>
        <w:jc w:val="center"/>
        <w:rPr>
          <w:rFonts w:ascii="Arial" w:hAnsi="Arial" w:cs="Arial"/>
          <w:b/>
        </w:rPr>
      </w:pPr>
    </w:p>
    <w:p w14:paraId="1A8046AD" w14:textId="1F8ACCDE" w:rsidR="00E67500" w:rsidRPr="0020509D" w:rsidRDefault="00E67500" w:rsidP="0028563A">
      <w:pPr>
        <w:jc w:val="both"/>
        <w:rPr>
          <w:rFonts w:ascii="Arial" w:hAnsi="Arial" w:cs="Arial"/>
        </w:rPr>
      </w:pPr>
    </w:p>
    <w:p w14:paraId="2AE21FD1" w14:textId="77777777" w:rsidR="00C47805" w:rsidRPr="0020509D" w:rsidRDefault="00C47805" w:rsidP="0028563A">
      <w:pPr>
        <w:jc w:val="both"/>
        <w:rPr>
          <w:rFonts w:ascii="Arial" w:hAnsi="Arial" w:cs="Arial"/>
        </w:rPr>
      </w:pPr>
    </w:p>
    <w:tbl>
      <w:tblPr>
        <w:tblW w:w="9073" w:type="dxa"/>
        <w:tblInd w:w="-142" w:type="dxa"/>
        <w:tblLook w:val="01E0" w:firstRow="1" w:lastRow="1" w:firstColumn="1" w:lastColumn="1" w:noHBand="0" w:noVBand="0"/>
      </w:tblPr>
      <w:tblGrid>
        <w:gridCol w:w="34"/>
        <w:gridCol w:w="5778"/>
        <w:gridCol w:w="3261"/>
      </w:tblGrid>
      <w:tr w:rsidR="00E67500" w:rsidRPr="0020509D" w14:paraId="03162803" w14:textId="77777777" w:rsidTr="00E63613">
        <w:tc>
          <w:tcPr>
            <w:tcW w:w="5812" w:type="dxa"/>
            <w:gridSpan w:val="2"/>
            <w:shd w:val="clear" w:color="auto" w:fill="auto"/>
          </w:tcPr>
          <w:p w14:paraId="4624082E" w14:textId="77777777" w:rsidR="00E67500" w:rsidRPr="0020509D" w:rsidRDefault="00E67500" w:rsidP="0027706F">
            <w:pPr>
              <w:widowControl w:val="0"/>
              <w:spacing w:line="360" w:lineRule="auto"/>
              <w:rPr>
                <w:rFonts w:ascii="Arial" w:hAnsi="Arial" w:cs="Arial"/>
              </w:rPr>
            </w:pPr>
          </w:p>
        </w:tc>
        <w:tc>
          <w:tcPr>
            <w:tcW w:w="3261" w:type="dxa"/>
            <w:shd w:val="clear" w:color="auto" w:fill="auto"/>
          </w:tcPr>
          <w:p w14:paraId="6F5AA26D" w14:textId="781EDF6C" w:rsidR="00E67500" w:rsidRPr="0020509D" w:rsidRDefault="00D05AE5" w:rsidP="0027706F">
            <w:pPr>
              <w:widowControl w:val="0"/>
              <w:spacing w:line="360" w:lineRule="auto"/>
              <w:jc w:val="right"/>
              <w:rPr>
                <w:rFonts w:ascii="Arial" w:hAnsi="Arial" w:cs="Arial"/>
                <w:b/>
              </w:rPr>
            </w:pPr>
            <w:r w:rsidRPr="0020509D">
              <w:rPr>
                <w:rFonts w:ascii="Arial" w:hAnsi="Arial" w:cs="Arial"/>
                <w:b/>
              </w:rPr>
              <w:t xml:space="preserve">Case Number: </w:t>
            </w:r>
            <w:r w:rsidR="00347D49" w:rsidRPr="0020509D">
              <w:rPr>
                <w:rFonts w:ascii="Arial" w:hAnsi="Arial" w:cs="Arial"/>
                <w:b/>
                <w:bCs/>
              </w:rPr>
              <w:t>25888/2021</w:t>
            </w:r>
          </w:p>
        </w:tc>
      </w:tr>
      <w:tr w:rsidR="007E5B04" w:rsidRPr="0020509D" w14:paraId="4D1B6F2E" w14:textId="77777777" w:rsidTr="00E63613">
        <w:tc>
          <w:tcPr>
            <w:tcW w:w="5812" w:type="dxa"/>
            <w:gridSpan w:val="2"/>
            <w:shd w:val="clear" w:color="auto" w:fill="auto"/>
          </w:tcPr>
          <w:p w14:paraId="6E36F63A" w14:textId="77777777" w:rsidR="007E5B04" w:rsidRPr="0020509D" w:rsidRDefault="007E5B04" w:rsidP="0027706F">
            <w:pPr>
              <w:widowControl w:val="0"/>
              <w:spacing w:line="360" w:lineRule="auto"/>
              <w:rPr>
                <w:rFonts w:ascii="Arial" w:hAnsi="Arial" w:cs="Arial"/>
              </w:rPr>
            </w:pPr>
          </w:p>
        </w:tc>
        <w:tc>
          <w:tcPr>
            <w:tcW w:w="3261" w:type="dxa"/>
            <w:shd w:val="clear" w:color="auto" w:fill="auto"/>
          </w:tcPr>
          <w:p w14:paraId="4D90F532" w14:textId="77777777" w:rsidR="007E5B04" w:rsidRPr="0020509D" w:rsidRDefault="007E5B04" w:rsidP="0027706F">
            <w:pPr>
              <w:widowControl w:val="0"/>
              <w:spacing w:line="360" w:lineRule="auto"/>
              <w:jc w:val="right"/>
              <w:rPr>
                <w:rFonts w:ascii="Arial" w:hAnsi="Arial" w:cs="Arial"/>
                <w:b/>
              </w:rPr>
            </w:pPr>
          </w:p>
        </w:tc>
      </w:tr>
      <w:tr w:rsidR="007E5B04" w:rsidRPr="0020509D" w14:paraId="71233938" w14:textId="77777777" w:rsidTr="0027706F">
        <w:tblPrEx>
          <w:tblLook w:val="0000" w:firstRow="0" w:lastRow="0" w:firstColumn="0" w:lastColumn="0" w:noHBand="0" w:noVBand="0"/>
        </w:tblPrEx>
        <w:trPr>
          <w:gridBefore w:val="1"/>
          <w:wBefore w:w="34" w:type="dxa"/>
        </w:trPr>
        <w:tc>
          <w:tcPr>
            <w:tcW w:w="5778" w:type="dxa"/>
            <w:tcBorders>
              <w:top w:val="nil"/>
              <w:left w:val="nil"/>
              <w:bottom w:val="nil"/>
              <w:right w:val="nil"/>
            </w:tcBorders>
          </w:tcPr>
          <w:p w14:paraId="7155C85B" w14:textId="67C9A4EC" w:rsidR="007E5B04" w:rsidRPr="0020509D" w:rsidRDefault="00EF2DBB" w:rsidP="00DC1ECB">
            <w:pPr>
              <w:widowControl w:val="0"/>
              <w:spacing w:line="360" w:lineRule="auto"/>
              <w:rPr>
                <w:rFonts w:ascii="Arial" w:hAnsi="Arial" w:cs="Arial"/>
                <w:b/>
                <w:bCs/>
              </w:rPr>
            </w:pPr>
            <w:r w:rsidRPr="0020509D">
              <w:rPr>
                <w:rFonts w:ascii="Arial" w:hAnsi="Arial" w:cs="Arial"/>
                <w:b/>
                <w:bCs/>
              </w:rPr>
              <w:t>E</w:t>
            </w:r>
            <w:r w:rsidR="00DC1ECB">
              <w:rPr>
                <w:rFonts w:ascii="Arial" w:hAnsi="Arial" w:cs="Arial"/>
                <w:b/>
                <w:bCs/>
              </w:rPr>
              <w:t xml:space="preserve">[…] </w:t>
            </w:r>
            <w:r w:rsidRPr="0020509D">
              <w:rPr>
                <w:rFonts w:ascii="Arial" w:hAnsi="Arial" w:cs="Arial"/>
                <w:b/>
                <w:bCs/>
              </w:rPr>
              <w:t>L</w:t>
            </w:r>
            <w:r w:rsidR="00DC1ECB">
              <w:rPr>
                <w:rFonts w:ascii="Arial" w:hAnsi="Arial" w:cs="Arial"/>
                <w:b/>
                <w:bCs/>
              </w:rPr>
              <w:t>[…]</w:t>
            </w:r>
            <w:bookmarkStart w:id="0" w:name="_GoBack"/>
            <w:bookmarkEnd w:id="0"/>
          </w:p>
        </w:tc>
        <w:tc>
          <w:tcPr>
            <w:tcW w:w="3261" w:type="dxa"/>
            <w:tcBorders>
              <w:top w:val="nil"/>
              <w:left w:val="nil"/>
              <w:bottom w:val="nil"/>
              <w:right w:val="nil"/>
            </w:tcBorders>
          </w:tcPr>
          <w:p w14:paraId="02F44C64" w14:textId="5E1D1159" w:rsidR="007E5B04" w:rsidRPr="0020509D" w:rsidRDefault="00EF2DBB" w:rsidP="0027706F">
            <w:pPr>
              <w:widowControl w:val="0"/>
              <w:spacing w:line="360" w:lineRule="auto"/>
              <w:jc w:val="right"/>
              <w:rPr>
                <w:rFonts w:ascii="Arial" w:hAnsi="Arial" w:cs="Arial"/>
              </w:rPr>
            </w:pPr>
            <w:r w:rsidRPr="0020509D">
              <w:rPr>
                <w:rFonts w:ascii="Arial" w:hAnsi="Arial" w:cs="Arial"/>
              </w:rPr>
              <w:t>Plaintiff</w:t>
            </w:r>
            <w:r w:rsidR="00A9501B" w:rsidRPr="0020509D">
              <w:rPr>
                <w:rFonts w:ascii="Arial" w:hAnsi="Arial" w:cs="Arial"/>
              </w:rPr>
              <w:t xml:space="preserve"> / Respondent</w:t>
            </w:r>
            <w:r w:rsidRPr="0020509D">
              <w:rPr>
                <w:rFonts w:ascii="Arial" w:hAnsi="Arial" w:cs="Arial"/>
              </w:rPr>
              <w:t xml:space="preserve"> </w:t>
            </w:r>
          </w:p>
        </w:tc>
      </w:tr>
      <w:tr w:rsidR="007E5B04" w:rsidRPr="0020509D" w14:paraId="13684C95" w14:textId="77777777" w:rsidTr="0027706F">
        <w:tblPrEx>
          <w:tblLook w:val="0000" w:firstRow="0" w:lastRow="0" w:firstColumn="0" w:lastColumn="0" w:noHBand="0" w:noVBand="0"/>
        </w:tblPrEx>
        <w:trPr>
          <w:gridBefore w:val="1"/>
          <w:wBefore w:w="34" w:type="dxa"/>
        </w:trPr>
        <w:tc>
          <w:tcPr>
            <w:tcW w:w="5778" w:type="dxa"/>
            <w:tcBorders>
              <w:top w:val="nil"/>
              <w:left w:val="nil"/>
              <w:bottom w:val="nil"/>
              <w:right w:val="nil"/>
            </w:tcBorders>
          </w:tcPr>
          <w:p w14:paraId="6F570F95" w14:textId="77777777" w:rsidR="007E5B04" w:rsidRPr="0020509D" w:rsidRDefault="007E5B04" w:rsidP="0027706F">
            <w:pPr>
              <w:widowControl w:val="0"/>
              <w:spacing w:line="360" w:lineRule="auto"/>
              <w:rPr>
                <w:rFonts w:ascii="Arial" w:hAnsi="Arial" w:cs="Arial"/>
                <w:b/>
              </w:rPr>
            </w:pPr>
          </w:p>
        </w:tc>
        <w:tc>
          <w:tcPr>
            <w:tcW w:w="3261" w:type="dxa"/>
            <w:tcBorders>
              <w:top w:val="nil"/>
              <w:left w:val="nil"/>
              <w:bottom w:val="nil"/>
              <w:right w:val="nil"/>
            </w:tcBorders>
          </w:tcPr>
          <w:p w14:paraId="79FDA9CE" w14:textId="77777777" w:rsidR="007E5B04" w:rsidRPr="0020509D" w:rsidRDefault="007E5B04" w:rsidP="0027706F">
            <w:pPr>
              <w:widowControl w:val="0"/>
              <w:spacing w:line="360" w:lineRule="auto"/>
              <w:jc w:val="right"/>
              <w:rPr>
                <w:rFonts w:ascii="Arial" w:hAnsi="Arial" w:cs="Arial"/>
              </w:rPr>
            </w:pPr>
          </w:p>
        </w:tc>
      </w:tr>
      <w:tr w:rsidR="007E5B04" w:rsidRPr="0020509D" w14:paraId="1EDE80CE" w14:textId="77777777" w:rsidTr="0027706F">
        <w:tblPrEx>
          <w:tblLook w:val="0000" w:firstRow="0" w:lastRow="0" w:firstColumn="0" w:lastColumn="0" w:noHBand="0" w:noVBand="0"/>
        </w:tblPrEx>
        <w:trPr>
          <w:gridBefore w:val="1"/>
          <w:wBefore w:w="34" w:type="dxa"/>
        </w:trPr>
        <w:tc>
          <w:tcPr>
            <w:tcW w:w="5778" w:type="dxa"/>
            <w:tcBorders>
              <w:top w:val="nil"/>
              <w:left w:val="nil"/>
              <w:bottom w:val="nil"/>
              <w:right w:val="nil"/>
            </w:tcBorders>
          </w:tcPr>
          <w:p w14:paraId="234EB6A3" w14:textId="77777777" w:rsidR="007E5B04" w:rsidRPr="0020509D" w:rsidRDefault="007E5B04" w:rsidP="0027706F">
            <w:pPr>
              <w:widowControl w:val="0"/>
              <w:spacing w:line="360" w:lineRule="auto"/>
              <w:rPr>
                <w:rFonts w:ascii="Arial" w:hAnsi="Arial" w:cs="Arial"/>
              </w:rPr>
            </w:pPr>
            <w:r w:rsidRPr="0020509D">
              <w:rPr>
                <w:rFonts w:ascii="Arial" w:hAnsi="Arial" w:cs="Arial"/>
              </w:rPr>
              <w:t>AND</w:t>
            </w:r>
          </w:p>
        </w:tc>
        <w:tc>
          <w:tcPr>
            <w:tcW w:w="3261" w:type="dxa"/>
            <w:tcBorders>
              <w:top w:val="nil"/>
              <w:left w:val="nil"/>
              <w:bottom w:val="nil"/>
              <w:right w:val="nil"/>
            </w:tcBorders>
          </w:tcPr>
          <w:p w14:paraId="1DC16222" w14:textId="77777777" w:rsidR="007E5B04" w:rsidRPr="0020509D" w:rsidRDefault="007E5B04" w:rsidP="0027706F">
            <w:pPr>
              <w:widowControl w:val="0"/>
              <w:spacing w:line="360" w:lineRule="auto"/>
              <w:jc w:val="right"/>
              <w:rPr>
                <w:rFonts w:ascii="Arial" w:hAnsi="Arial" w:cs="Arial"/>
              </w:rPr>
            </w:pPr>
          </w:p>
        </w:tc>
      </w:tr>
      <w:tr w:rsidR="007E5B04" w:rsidRPr="0020509D" w14:paraId="311FA1BD" w14:textId="77777777" w:rsidTr="0027706F">
        <w:tblPrEx>
          <w:tblLook w:val="0000" w:firstRow="0" w:lastRow="0" w:firstColumn="0" w:lastColumn="0" w:noHBand="0" w:noVBand="0"/>
        </w:tblPrEx>
        <w:trPr>
          <w:gridBefore w:val="1"/>
          <w:wBefore w:w="34" w:type="dxa"/>
        </w:trPr>
        <w:tc>
          <w:tcPr>
            <w:tcW w:w="5778" w:type="dxa"/>
            <w:tcBorders>
              <w:top w:val="nil"/>
              <w:left w:val="nil"/>
              <w:bottom w:val="nil"/>
              <w:right w:val="nil"/>
            </w:tcBorders>
          </w:tcPr>
          <w:p w14:paraId="59001921" w14:textId="77777777" w:rsidR="007E5B04" w:rsidRPr="0020509D" w:rsidRDefault="007E5B04" w:rsidP="0027706F">
            <w:pPr>
              <w:widowControl w:val="0"/>
              <w:spacing w:line="360" w:lineRule="auto"/>
              <w:rPr>
                <w:rFonts w:ascii="Arial" w:hAnsi="Arial" w:cs="Arial"/>
              </w:rPr>
            </w:pPr>
          </w:p>
        </w:tc>
        <w:tc>
          <w:tcPr>
            <w:tcW w:w="3261" w:type="dxa"/>
            <w:tcBorders>
              <w:top w:val="nil"/>
              <w:left w:val="nil"/>
              <w:bottom w:val="nil"/>
              <w:right w:val="nil"/>
            </w:tcBorders>
          </w:tcPr>
          <w:p w14:paraId="73D0ECF6" w14:textId="77777777" w:rsidR="007E5B04" w:rsidRPr="0020509D" w:rsidRDefault="007E5B04" w:rsidP="0027706F">
            <w:pPr>
              <w:widowControl w:val="0"/>
              <w:spacing w:line="360" w:lineRule="auto"/>
              <w:jc w:val="right"/>
              <w:rPr>
                <w:rFonts w:ascii="Arial" w:hAnsi="Arial" w:cs="Arial"/>
              </w:rPr>
            </w:pPr>
          </w:p>
        </w:tc>
      </w:tr>
      <w:tr w:rsidR="00EF2DBB" w:rsidRPr="0020509D" w14:paraId="6FA6201C" w14:textId="77777777" w:rsidTr="0027706F">
        <w:tblPrEx>
          <w:tblLook w:val="0000" w:firstRow="0" w:lastRow="0" w:firstColumn="0" w:lastColumn="0" w:noHBand="0" w:noVBand="0"/>
        </w:tblPrEx>
        <w:trPr>
          <w:gridBefore w:val="1"/>
          <w:wBefore w:w="34" w:type="dxa"/>
        </w:trPr>
        <w:tc>
          <w:tcPr>
            <w:tcW w:w="5778" w:type="dxa"/>
            <w:tcBorders>
              <w:top w:val="nil"/>
              <w:left w:val="nil"/>
              <w:bottom w:val="nil"/>
              <w:right w:val="nil"/>
            </w:tcBorders>
          </w:tcPr>
          <w:p w14:paraId="1DEE0097" w14:textId="1C05A669" w:rsidR="00EF2DBB" w:rsidRPr="0020509D" w:rsidRDefault="00EF2DBB" w:rsidP="00EF2DBB">
            <w:pPr>
              <w:widowControl w:val="0"/>
              <w:spacing w:line="360" w:lineRule="auto"/>
              <w:rPr>
                <w:rFonts w:ascii="Arial" w:hAnsi="Arial" w:cs="Arial"/>
                <w:b/>
                <w:bCs/>
              </w:rPr>
            </w:pPr>
            <w:r w:rsidRPr="0020509D">
              <w:rPr>
                <w:rFonts w:ascii="Arial" w:hAnsi="Arial" w:cs="Arial"/>
                <w:b/>
                <w:bCs/>
              </w:rPr>
              <w:t xml:space="preserve">VERSTER-ROOS INCORPORATED (PTY) LTD  </w:t>
            </w:r>
          </w:p>
        </w:tc>
        <w:tc>
          <w:tcPr>
            <w:tcW w:w="3261" w:type="dxa"/>
            <w:tcBorders>
              <w:top w:val="nil"/>
              <w:left w:val="nil"/>
              <w:bottom w:val="nil"/>
              <w:right w:val="nil"/>
            </w:tcBorders>
          </w:tcPr>
          <w:p w14:paraId="4E99718D" w14:textId="33B98562" w:rsidR="00EF2DBB" w:rsidRPr="0020509D" w:rsidRDefault="00EF2DBB" w:rsidP="00EF2DBB">
            <w:pPr>
              <w:widowControl w:val="0"/>
              <w:spacing w:line="360" w:lineRule="auto"/>
              <w:jc w:val="right"/>
              <w:rPr>
                <w:rFonts w:ascii="Arial" w:hAnsi="Arial" w:cs="Arial"/>
              </w:rPr>
            </w:pPr>
            <w:r w:rsidRPr="0020509D">
              <w:rPr>
                <w:rFonts w:ascii="Arial" w:hAnsi="Arial" w:cs="Arial"/>
              </w:rPr>
              <w:t>Defendant / Excipient</w:t>
            </w:r>
          </w:p>
        </w:tc>
      </w:tr>
    </w:tbl>
    <w:p w14:paraId="7B9509B0" w14:textId="77777777" w:rsidR="00E67500" w:rsidRPr="0020509D" w:rsidRDefault="00E67500" w:rsidP="0028563A">
      <w:pPr>
        <w:rPr>
          <w:rFonts w:ascii="Arial" w:hAnsi="Arial" w:cs="Arial"/>
        </w:rPr>
      </w:pPr>
    </w:p>
    <w:p w14:paraId="1FA1A1FF" w14:textId="77777777" w:rsidR="00E67500" w:rsidRPr="0020509D" w:rsidRDefault="00E67500" w:rsidP="0028563A">
      <w:pPr>
        <w:rPr>
          <w:rFonts w:ascii="Arial" w:hAnsi="Arial" w:cs="Arial"/>
        </w:rPr>
      </w:pPr>
    </w:p>
    <w:tbl>
      <w:tblPr>
        <w:tblW w:w="8931" w:type="dxa"/>
        <w:tblBorders>
          <w:top w:val="single" w:sz="4" w:space="0" w:color="auto"/>
          <w:bottom w:val="single" w:sz="4" w:space="0" w:color="auto"/>
        </w:tblBorders>
        <w:tblLook w:val="01E0" w:firstRow="1" w:lastRow="1" w:firstColumn="1" w:lastColumn="1" w:noHBand="0" w:noVBand="0"/>
      </w:tblPr>
      <w:tblGrid>
        <w:gridCol w:w="8931"/>
      </w:tblGrid>
      <w:tr w:rsidR="00D47448" w:rsidRPr="0020509D" w14:paraId="002697CC" w14:textId="77777777" w:rsidTr="00B2247D">
        <w:tc>
          <w:tcPr>
            <w:tcW w:w="8931" w:type="dxa"/>
            <w:shd w:val="clear" w:color="auto" w:fill="auto"/>
          </w:tcPr>
          <w:p w14:paraId="16D06D42" w14:textId="77777777" w:rsidR="00D47448" w:rsidRPr="0020509D" w:rsidRDefault="00D47448" w:rsidP="0028563A">
            <w:pPr>
              <w:rPr>
                <w:rFonts w:ascii="Arial" w:hAnsi="Arial" w:cs="Arial"/>
              </w:rPr>
            </w:pPr>
          </w:p>
          <w:p w14:paraId="54FC4A9A" w14:textId="77777777" w:rsidR="00C869F7" w:rsidRPr="0020509D" w:rsidRDefault="00E30BD8" w:rsidP="0028563A">
            <w:pPr>
              <w:jc w:val="center"/>
              <w:rPr>
                <w:rFonts w:ascii="Arial" w:hAnsi="Arial" w:cs="Arial"/>
                <w:b/>
              </w:rPr>
            </w:pPr>
            <w:r w:rsidRPr="0020509D">
              <w:rPr>
                <w:rFonts w:ascii="Arial" w:hAnsi="Arial" w:cs="Arial"/>
                <w:b/>
              </w:rPr>
              <w:t>JUDGMENT</w:t>
            </w:r>
          </w:p>
          <w:p w14:paraId="6DC6D6AD" w14:textId="77777777" w:rsidR="00D47448" w:rsidRPr="0020509D" w:rsidRDefault="00D47448" w:rsidP="0028563A">
            <w:pPr>
              <w:jc w:val="center"/>
              <w:rPr>
                <w:rFonts w:ascii="Arial" w:hAnsi="Arial" w:cs="Arial"/>
              </w:rPr>
            </w:pPr>
          </w:p>
        </w:tc>
      </w:tr>
    </w:tbl>
    <w:p w14:paraId="639A24C7" w14:textId="77777777" w:rsidR="005A36DC" w:rsidRPr="0020509D" w:rsidRDefault="005A36DC" w:rsidP="0028563A">
      <w:pPr>
        <w:widowControl w:val="0"/>
        <w:autoSpaceDE w:val="0"/>
        <w:autoSpaceDN w:val="0"/>
        <w:adjustRightInd w:val="0"/>
        <w:spacing w:line="480" w:lineRule="auto"/>
        <w:ind w:right="-455"/>
        <w:jc w:val="center"/>
        <w:rPr>
          <w:rFonts w:ascii="Arial" w:hAnsi="Arial" w:cs="Arial"/>
          <w:b/>
          <w:u w:val="single"/>
        </w:rPr>
      </w:pPr>
      <w:bookmarkStart w:id="1" w:name="QuickMark"/>
      <w:bookmarkEnd w:id="1"/>
    </w:p>
    <w:p w14:paraId="2B81E4ED" w14:textId="77777777" w:rsidR="00D5760E" w:rsidRPr="0020509D" w:rsidRDefault="00D5760E" w:rsidP="0028563A">
      <w:pPr>
        <w:widowControl w:val="0"/>
        <w:autoSpaceDE w:val="0"/>
        <w:autoSpaceDN w:val="0"/>
        <w:adjustRightInd w:val="0"/>
        <w:spacing w:line="480" w:lineRule="auto"/>
        <w:ind w:right="-455"/>
        <w:rPr>
          <w:rFonts w:ascii="Arial" w:hAnsi="Arial" w:cs="Arial"/>
          <w:bCs/>
        </w:rPr>
      </w:pPr>
      <w:r w:rsidRPr="0020509D">
        <w:rPr>
          <w:rFonts w:ascii="Arial" w:hAnsi="Arial" w:cs="Arial"/>
          <w:b/>
          <w:u w:val="single"/>
        </w:rPr>
        <w:t>H G A SNYMAN AJ</w:t>
      </w:r>
    </w:p>
    <w:p w14:paraId="313818E9" w14:textId="77777777" w:rsidR="00D5760E" w:rsidRPr="0020509D" w:rsidRDefault="00D5760E" w:rsidP="0028563A">
      <w:pPr>
        <w:widowControl w:val="0"/>
        <w:autoSpaceDE w:val="0"/>
        <w:autoSpaceDN w:val="0"/>
        <w:adjustRightInd w:val="0"/>
        <w:spacing w:line="480" w:lineRule="auto"/>
        <w:ind w:right="-455"/>
        <w:rPr>
          <w:rFonts w:ascii="Arial" w:hAnsi="Arial" w:cs="Arial"/>
          <w:bCs/>
        </w:rPr>
      </w:pPr>
    </w:p>
    <w:p w14:paraId="75F20B87" w14:textId="4AB1A964" w:rsidR="005A7E21" w:rsidRPr="0020509D" w:rsidRDefault="006F63E8" w:rsidP="0028563A">
      <w:pPr>
        <w:pStyle w:val="Heading1"/>
        <w:keepLines/>
        <w:tabs>
          <w:tab w:val="clear" w:pos="540"/>
        </w:tabs>
        <w:spacing w:after="360"/>
        <w:rPr>
          <w:rFonts w:ascii="Arial" w:hAnsi="Arial" w:cs="Arial"/>
        </w:rPr>
      </w:pPr>
      <w:bookmarkStart w:id="2" w:name="_Toc299712776"/>
      <w:bookmarkStart w:id="3" w:name="_Toc419271086"/>
      <w:bookmarkEnd w:id="2"/>
      <w:bookmarkEnd w:id="3"/>
      <w:r w:rsidRPr="0020509D">
        <w:rPr>
          <w:rFonts w:ascii="Arial" w:hAnsi="Arial" w:cs="Arial"/>
        </w:rPr>
        <w:t xml:space="preserve">INTRODUCTION </w:t>
      </w:r>
    </w:p>
    <w:p w14:paraId="180A89E6" w14:textId="5B35DE53" w:rsidR="00A9501B" w:rsidRPr="0020509D" w:rsidRDefault="000E3C6A" w:rsidP="000E3C6A">
      <w:pPr>
        <w:widowControl w:val="0"/>
        <w:spacing w:after="360" w:line="480" w:lineRule="auto"/>
        <w:ind w:left="737" w:right="-455" w:hanging="737"/>
        <w:jc w:val="both"/>
        <w:rPr>
          <w:rFonts w:ascii="Arial" w:hAnsi="Arial" w:cs="Arial"/>
        </w:rPr>
      </w:pPr>
      <w:r w:rsidRPr="0020509D">
        <w:rPr>
          <w:rFonts w:ascii="Arial" w:hAnsi="Arial" w:cs="Arial"/>
        </w:rPr>
        <w:t>[1]</w:t>
      </w:r>
      <w:r w:rsidRPr="0020509D">
        <w:rPr>
          <w:rFonts w:ascii="Arial" w:hAnsi="Arial" w:cs="Arial"/>
        </w:rPr>
        <w:tab/>
      </w:r>
      <w:r w:rsidR="00A9501B" w:rsidRPr="0020509D">
        <w:rPr>
          <w:rFonts w:ascii="Arial" w:hAnsi="Arial" w:cs="Arial"/>
        </w:rPr>
        <w:t>This is an exception by the defendant / excipient (“</w:t>
      </w:r>
      <w:r w:rsidR="00A9501B" w:rsidRPr="0020509D">
        <w:rPr>
          <w:rFonts w:ascii="Arial" w:hAnsi="Arial" w:cs="Arial"/>
          <w:i/>
          <w:iCs/>
        </w:rPr>
        <w:t>the excipient</w:t>
      </w:r>
      <w:r w:rsidR="00A9501B" w:rsidRPr="0020509D">
        <w:rPr>
          <w:rFonts w:ascii="Arial" w:hAnsi="Arial" w:cs="Arial"/>
        </w:rPr>
        <w:t xml:space="preserve">”) against the </w:t>
      </w:r>
      <w:r w:rsidR="00A9501B" w:rsidRPr="0020509D">
        <w:rPr>
          <w:rFonts w:ascii="Arial" w:hAnsi="Arial" w:cs="Arial"/>
        </w:rPr>
        <w:lastRenderedPageBreak/>
        <w:t xml:space="preserve">plaintiff’s particulars of claim on the basis that it does not disclose a cause of action. </w:t>
      </w:r>
    </w:p>
    <w:p w14:paraId="3A74C8E2" w14:textId="2BB50963" w:rsidR="00A9501B" w:rsidRPr="0020509D" w:rsidRDefault="000E3C6A" w:rsidP="000E3C6A">
      <w:pPr>
        <w:widowControl w:val="0"/>
        <w:spacing w:after="360" w:line="480" w:lineRule="auto"/>
        <w:ind w:left="737" w:right="-455" w:hanging="737"/>
        <w:jc w:val="both"/>
        <w:rPr>
          <w:rFonts w:ascii="Arial" w:hAnsi="Arial" w:cs="Arial"/>
        </w:rPr>
      </w:pPr>
      <w:r w:rsidRPr="0020509D">
        <w:rPr>
          <w:rFonts w:ascii="Arial" w:hAnsi="Arial" w:cs="Arial"/>
        </w:rPr>
        <w:t>[2]</w:t>
      </w:r>
      <w:r w:rsidRPr="0020509D">
        <w:rPr>
          <w:rFonts w:ascii="Arial" w:hAnsi="Arial" w:cs="Arial"/>
        </w:rPr>
        <w:tab/>
      </w:r>
      <w:r w:rsidR="00A9501B" w:rsidRPr="0020509D">
        <w:rPr>
          <w:rFonts w:ascii="Arial" w:hAnsi="Arial" w:cs="Arial"/>
        </w:rPr>
        <w:t>The excipient is the plaintiff’s former attorney of record in her divorce action against her husband. It is common cause that the plaintiff is still married in community of property with her husband and that the divorce action has not been finalised.</w:t>
      </w:r>
    </w:p>
    <w:p w14:paraId="73AA2743" w14:textId="7098A9BF" w:rsidR="00A9501B" w:rsidRPr="0020509D" w:rsidRDefault="000E3C6A" w:rsidP="000E3C6A">
      <w:pPr>
        <w:widowControl w:val="0"/>
        <w:spacing w:after="360" w:line="480" w:lineRule="auto"/>
        <w:ind w:left="737" w:right="-455" w:hanging="737"/>
        <w:jc w:val="both"/>
        <w:rPr>
          <w:rFonts w:ascii="Arial" w:hAnsi="Arial" w:cs="Arial"/>
        </w:rPr>
      </w:pPr>
      <w:r w:rsidRPr="0020509D">
        <w:rPr>
          <w:rFonts w:ascii="Arial" w:hAnsi="Arial" w:cs="Arial"/>
        </w:rPr>
        <w:t>[3]</w:t>
      </w:r>
      <w:r w:rsidRPr="0020509D">
        <w:rPr>
          <w:rFonts w:ascii="Arial" w:hAnsi="Arial" w:cs="Arial"/>
        </w:rPr>
        <w:tab/>
      </w:r>
      <w:r w:rsidR="00A9501B" w:rsidRPr="0020509D">
        <w:rPr>
          <w:rFonts w:ascii="Arial" w:hAnsi="Arial" w:cs="Arial"/>
        </w:rPr>
        <w:t>The plaintiff issued summons against the excipient on 26 May 2021. She claims damages from the excipient in the amount of R1,317,515 plus interest and costs on the attorney and client scale.</w:t>
      </w:r>
    </w:p>
    <w:p w14:paraId="62BDC1C9" w14:textId="0F7FD0B1" w:rsidR="00A9501B" w:rsidRPr="0020509D" w:rsidRDefault="00A9501B" w:rsidP="00A9501B">
      <w:pPr>
        <w:pStyle w:val="Heading1"/>
        <w:keepLines/>
        <w:tabs>
          <w:tab w:val="clear" w:pos="540"/>
        </w:tabs>
        <w:spacing w:after="360"/>
        <w:rPr>
          <w:rFonts w:ascii="Arial" w:hAnsi="Arial" w:cs="Arial"/>
        </w:rPr>
      </w:pPr>
      <w:r w:rsidRPr="0020509D">
        <w:rPr>
          <w:rFonts w:ascii="Arial" w:hAnsi="Arial" w:cs="Arial"/>
        </w:rPr>
        <w:t xml:space="preserve">THE PLAINTIFF’S PARTICULARS OF CLAIM </w:t>
      </w:r>
    </w:p>
    <w:p w14:paraId="6EB73BE9" w14:textId="7840FF8D" w:rsidR="00A9501B" w:rsidRPr="0020509D" w:rsidRDefault="000E3C6A" w:rsidP="000E3C6A">
      <w:pPr>
        <w:widowControl w:val="0"/>
        <w:tabs>
          <w:tab w:val="left" w:pos="-1440"/>
          <w:tab w:val="left" w:pos="-720"/>
          <w:tab w:val="left" w:pos="0"/>
          <w:tab w:val="left" w:pos="737"/>
          <w:tab w:val="left" w:pos="1008"/>
          <w:tab w:val="left" w:pos="1728"/>
          <w:tab w:val="left" w:pos="2448"/>
          <w:tab w:val="left" w:pos="3888"/>
          <w:tab w:val="left" w:pos="5328"/>
          <w:tab w:val="left" w:pos="6768"/>
          <w:tab w:val="left" w:pos="8208"/>
        </w:tabs>
        <w:spacing w:after="480" w:line="480" w:lineRule="auto"/>
        <w:ind w:left="737" w:hanging="737"/>
        <w:jc w:val="both"/>
        <w:rPr>
          <w:rFonts w:ascii="Arial" w:hAnsi="Arial" w:cs="Arial"/>
        </w:rPr>
      </w:pPr>
      <w:r w:rsidRPr="0020509D">
        <w:rPr>
          <w:rFonts w:ascii="Arial" w:hAnsi="Arial" w:cs="Arial"/>
        </w:rPr>
        <w:t>[4]</w:t>
      </w:r>
      <w:r w:rsidRPr="0020509D">
        <w:rPr>
          <w:rFonts w:ascii="Arial" w:hAnsi="Arial" w:cs="Arial"/>
        </w:rPr>
        <w:tab/>
      </w:r>
      <w:r w:rsidR="00A9501B" w:rsidRPr="0020509D">
        <w:rPr>
          <w:rFonts w:ascii="Arial" w:hAnsi="Arial" w:cs="Arial"/>
        </w:rPr>
        <w:t xml:space="preserve">The plaintiff’s claim is based thereon that she on or about 15 April 2018 </w:t>
      </w:r>
      <w:r w:rsidR="00FD7252" w:rsidRPr="0020509D">
        <w:rPr>
          <w:rFonts w:ascii="Arial" w:hAnsi="Arial" w:cs="Arial"/>
        </w:rPr>
        <w:t>entered</w:t>
      </w:r>
      <w:r w:rsidR="00A9501B" w:rsidRPr="0020509D">
        <w:rPr>
          <w:rFonts w:ascii="Arial" w:hAnsi="Arial" w:cs="Arial"/>
        </w:rPr>
        <w:t xml:space="preserve"> a partially oral, partially written agreement with the excipient. In terms of this agreement</w:t>
      </w:r>
      <w:r w:rsidR="0020509D" w:rsidRPr="0020509D">
        <w:rPr>
          <w:rFonts w:ascii="Arial" w:hAnsi="Arial" w:cs="Arial"/>
        </w:rPr>
        <w:t>,</w:t>
      </w:r>
      <w:r w:rsidR="00A9501B" w:rsidRPr="0020509D">
        <w:rPr>
          <w:rFonts w:ascii="Arial" w:hAnsi="Arial" w:cs="Arial"/>
        </w:rPr>
        <w:t xml:space="preserve"> the plaintiff would render legal services to the plaintiff in respect of her divorce matter and the excipient would at all material times act in the best interest of the plaintiff. </w:t>
      </w:r>
    </w:p>
    <w:p w14:paraId="068252A8" w14:textId="7E82BAB0" w:rsidR="00A9501B" w:rsidRPr="0020509D" w:rsidRDefault="000E3C6A" w:rsidP="000E3C6A">
      <w:pPr>
        <w:widowControl w:val="0"/>
        <w:tabs>
          <w:tab w:val="left" w:pos="-1440"/>
          <w:tab w:val="left" w:pos="-720"/>
          <w:tab w:val="left" w:pos="0"/>
          <w:tab w:val="left" w:pos="737"/>
          <w:tab w:val="left" w:pos="1008"/>
          <w:tab w:val="left" w:pos="1728"/>
          <w:tab w:val="left" w:pos="2448"/>
          <w:tab w:val="left" w:pos="3888"/>
          <w:tab w:val="left" w:pos="5328"/>
          <w:tab w:val="left" w:pos="6768"/>
          <w:tab w:val="left" w:pos="8208"/>
        </w:tabs>
        <w:spacing w:after="480" w:line="480" w:lineRule="auto"/>
        <w:ind w:left="737" w:hanging="737"/>
        <w:jc w:val="both"/>
        <w:rPr>
          <w:rFonts w:ascii="Arial" w:hAnsi="Arial" w:cs="Arial"/>
        </w:rPr>
      </w:pPr>
      <w:r w:rsidRPr="0020509D">
        <w:rPr>
          <w:rFonts w:ascii="Arial" w:hAnsi="Arial" w:cs="Arial"/>
        </w:rPr>
        <w:t>[5]</w:t>
      </w:r>
      <w:r w:rsidRPr="0020509D">
        <w:rPr>
          <w:rFonts w:ascii="Arial" w:hAnsi="Arial" w:cs="Arial"/>
        </w:rPr>
        <w:tab/>
      </w:r>
      <w:r w:rsidR="00A9501B" w:rsidRPr="0020509D">
        <w:rPr>
          <w:rFonts w:ascii="Arial" w:hAnsi="Arial" w:cs="Arial"/>
        </w:rPr>
        <w:t>The plaintiff alleges that the excipient failed and</w:t>
      </w:r>
      <w:r w:rsidR="0020509D" w:rsidRPr="0020509D">
        <w:rPr>
          <w:rFonts w:ascii="Arial" w:hAnsi="Arial" w:cs="Arial"/>
        </w:rPr>
        <w:t xml:space="preserve"> </w:t>
      </w:r>
      <w:r w:rsidR="00A9501B" w:rsidRPr="0020509D">
        <w:rPr>
          <w:rFonts w:ascii="Arial" w:hAnsi="Arial" w:cs="Arial"/>
        </w:rPr>
        <w:t>or neglected and</w:t>
      </w:r>
      <w:r w:rsidR="0020509D" w:rsidRPr="0020509D">
        <w:rPr>
          <w:rFonts w:ascii="Arial" w:hAnsi="Arial" w:cs="Arial"/>
        </w:rPr>
        <w:t xml:space="preserve"> </w:t>
      </w:r>
      <w:r w:rsidR="00A9501B" w:rsidRPr="0020509D">
        <w:rPr>
          <w:rFonts w:ascii="Arial" w:hAnsi="Arial" w:cs="Arial"/>
        </w:rPr>
        <w:t>or refused to attend to the plaintiff’s matter in terms of the agreement and is in breach of the contract. The basis for this is that she allegedly informed the excipient that her husband would be retiring and drawing his pension fund “</w:t>
      </w:r>
      <w:r w:rsidR="00A9501B" w:rsidRPr="0020509D">
        <w:rPr>
          <w:rFonts w:ascii="Arial" w:hAnsi="Arial" w:cs="Arial"/>
          <w:i/>
          <w:iCs/>
        </w:rPr>
        <w:t>soon</w:t>
      </w:r>
      <w:r w:rsidR="00A9501B" w:rsidRPr="0020509D">
        <w:rPr>
          <w:rFonts w:ascii="Arial" w:hAnsi="Arial" w:cs="Arial"/>
        </w:rPr>
        <w:t xml:space="preserve">” and that she would be entitled to </w:t>
      </w:r>
      <w:r w:rsidR="0020509D">
        <w:rPr>
          <w:rFonts w:ascii="Arial" w:hAnsi="Arial" w:cs="Arial"/>
        </w:rPr>
        <w:t xml:space="preserve">half </w:t>
      </w:r>
      <w:r w:rsidR="00A9501B" w:rsidRPr="0020509D">
        <w:rPr>
          <w:rFonts w:ascii="Arial" w:hAnsi="Arial" w:cs="Arial"/>
        </w:rPr>
        <w:t xml:space="preserve">of the </w:t>
      </w:r>
      <w:r w:rsidR="00A9501B" w:rsidRPr="0020509D">
        <w:rPr>
          <w:rFonts w:ascii="Arial" w:hAnsi="Arial" w:cs="Arial"/>
        </w:rPr>
        <w:lastRenderedPageBreak/>
        <w:t xml:space="preserve">capital amount of this pension as a result of the marriage in community of property. </w:t>
      </w:r>
      <w:proofErr w:type="gramStart"/>
      <w:r w:rsidR="00A9501B" w:rsidRPr="0020509D">
        <w:rPr>
          <w:rFonts w:ascii="Arial" w:hAnsi="Arial" w:cs="Arial"/>
        </w:rPr>
        <w:t>Moreover</w:t>
      </w:r>
      <w:proofErr w:type="gramEnd"/>
      <w:r w:rsidR="00A9501B" w:rsidRPr="0020509D">
        <w:rPr>
          <w:rFonts w:ascii="Arial" w:hAnsi="Arial" w:cs="Arial"/>
        </w:rPr>
        <w:t xml:space="preserve"> that she “</w:t>
      </w:r>
      <w:r w:rsidR="00A9501B" w:rsidRPr="0020509D">
        <w:rPr>
          <w:rFonts w:ascii="Arial" w:hAnsi="Arial" w:cs="Arial"/>
          <w:i/>
          <w:iCs/>
        </w:rPr>
        <w:t>might</w:t>
      </w:r>
      <w:r w:rsidR="00A9501B" w:rsidRPr="0020509D">
        <w:rPr>
          <w:rFonts w:ascii="Arial" w:hAnsi="Arial" w:cs="Arial"/>
        </w:rPr>
        <w:t>” forfeit same as soon as the benefit is paid out before the divorce was finalised. Plaintiff requested the excipient to “</w:t>
      </w:r>
      <w:r w:rsidR="00A9501B" w:rsidRPr="0020509D">
        <w:rPr>
          <w:rFonts w:ascii="Arial" w:hAnsi="Arial" w:cs="Arial"/>
          <w:i/>
          <w:iCs/>
        </w:rPr>
        <w:t>act and inform the pension fund of the position</w:t>
      </w:r>
      <w:r w:rsidR="00A9501B" w:rsidRPr="0020509D">
        <w:rPr>
          <w:rFonts w:ascii="Arial" w:hAnsi="Arial" w:cs="Arial"/>
        </w:rPr>
        <w:t xml:space="preserve">”. The excipient allegedly breached the legal services agreement in that the excipient failed, refused </w:t>
      </w:r>
      <w:r w:rsidR="0020509D" w:rsidRPr="0020509D">
        <w:rPr>
          <w:rFonts w:ascii="Arial" w:hAnsi="Arial" w:cs="Arial"/>
        </w:rPr>
        <w:t xml:space="preserve">and </w:t>
      </w:r>
      <w:r w:rsidR="00A9501B" w:rsidRPr="0020509D">
        <w:rPr>
          <w:rFonts w:ascii="Arial" w:hAnsi="Arial" w:cs="Arial"/>
        </w:rPr>
        <w:t>or neglected to inform the pension fund of the position</w:t>
      </w:r>
      <w:r w:rsidR="005122BF" w:rsidRPr="0020509D">
        <w:rPr>
          <w:rFonts w:ascii="Arial" w:hAnsi="Arial" w:cs="Arial"/>
        </w:rPr>
        <w:t>. I</w:t>
      </w:r>
      <w:r w:rsidR="00A9501B" w:rsidRPr="0020509D">
        <w:rPr>
          <w:rFonts w:ascii="Arial" w:hAnsi="Arial" w:cs="Arial"/>
        </w:rPr>
        <w:t>n the alternative</w:t>
      </w:r>
      <w:r w:rsidR="005122BF" w:rsidRPr="0020509D">
        <w:rPr>
          <w:rFonts w:ascii="Arial" w:hAnsi="Arial" w:cs="Arial"/>
        </w:rPr>
        <w:t>, the excipient</w:t>
      </w:r>
      <w:r w:rsidR="00A9501B" w:rsidRPr="0020509D">
        <w:rPr>
          <w:rFonts w:ascii="Arial" w:hAnsi="Arial" w:cs="Arial"/>
        </w:rPr>
        <w:t xml:space="preserve"> failed to bring the necessary application to have the pension fund frozen until such time that the divorce was finalised.</w:t>
      </w:r>
      <w:r w:rsidR="005122BF" w:rsidRPr="0020509D">
        <w:rPr>
          <w:rFonts w:ascii="Arial" w:hAnsi="Arial" w:cs="Arial"/>
        </w:rPr>
        <w:t xml:space="preserve"> As a result</w:t>
      </w:r>
      <w:r w:rsidR="0020509D" w:rsidRPr="0020509D">
        <w:rPr>
          <w:rFonts w:ascii="Arial" w:hAnsi="Arial" w:cs="Arial"/>
        </w:rPr>
        <w:t xml:space="preserve"> of the breach</w:t>
      </w:r>
      <w:r w:rsidR="005122BF" w:rsidRPr="0020509D">
        <w:rPr>
          <w:rFonts w:ascii="Arial" w:hAnsi="Arial" w:cs="Arial"/>
        </w:rPr>
        <w:t xml:space="preserve">, </w:t>
      </w:r>
      <w:r w:rsidR="0020509D" w:rsidRPr="0020509D">
        <w:rPr>
          <w:rFonts w:ascii="Arial" w:hAnsi="Arial" w:cs="Arial"/>
        </w:rPr>
        <w:t xml:space="preserve">the plaintiff allegedly </w:t>
      </w:r>
      <w:r w:rsidR="00A9501B" w:rsidRPr="0020509D">
        <w:rPr>
          <w:rFonts w:ascii="Arial" w:hAnsi="Arial" w:cs="Arial"/>
        </w:rPr>
        <w:t xml:space="preserve">suffered damages in that the pension fund moneys were paid out to her husband prior to </w:t>
      </w:r>
      <w:r w:rsidR="00A9501B" w:rsidRPr="00C61FF3">
        <w:rPr>
          <w:rFonts w:ascii="Arial" w:hAnsi="Arial" w:cs="Arial"/>
        </w:rPr>
        <w:t>final</w:t>
      </w:r>
      <w:r w:rsidR="00A9501B" w:rsidRPr="0020509D">
        <w:rPr>
          <w:rFonts w:ascii="Arial" w:hAnsi="Arial" w:cs="Arial"/>
        </w:rPr>
        <w:t>isation of the divorce</w:t>
      </w:r>
      <w:r w:rsidR="0020509D" w:rsidRPr="0020509D">
        <w:rPr>
          <w:rFonts w:ascii="Arial" w:hAnsi="Arial" w:cs="Arial"/>
        </w:rPr>
        <w:t xml:space="preserve"> matter</w:t>
      </w:r>
      <w:r w:rsidR="00A9501B" w:rsidRPr="0020509D">
        <w:rPr>
          <w:rFonts w:ascii="Arial" w:hAnsi="Arial" w:cs="Arial"/>
        </w:rPr>
        <w:t xml:space="preserve">. </w:t>
      </w:r>
    </w:p>
    <w:p w14:paraId="50A9B7FE" w14:textId="4FB56F7C" w:rsidR="00A9501B" w:rsidRPr="000525BF" w:rsidRDefault="000E3C6A" w:rsidP="000E3C6A">
      <w:pPr>
        <w:widowControl w:val="0"/>
        <w:tabs>
          <w:tab w:val="left" w:pos="-1440"/>
          <w:tab w:val="left" w:pos="-720"/>
          <w:tab w:val="left" w:pos="0"/>
          <w:tab w:val="left" w:pos="737"/>
          <w:tab w:val="left" w:pos="1008"/>
          <w:tab w:val="left" w:pos="1728"/>
          <w:tab w:val="left" w:pos="2448"/>
          <w:tab w:val="left" w:pos="3888"/>
          <w:tab w:val="left" w:pos="5328"/>
          <w:tab w:val="left" w:pos="6768"/>
          <w:tab w:val="left" w:pos="8208"/>
        </w:tabs>
        <w:spacing w:after="480" w:line="480" w:lineRule="auto"/>
        <w:ind w:left="737" w:hanging="737"/>
        <w:jc w:val="both"/>
        <w:rPr>
          <w:rFonts w:ascii="Arial" w:hAnsi="Arial" w:cs="Arial"/>
          <w:lang w:val="en-ZA"/>
        </w:rPr>
      </w:pPr>
      <w:r w:rsidRPr="000525BF">
        <w:rPr>
          <w:rFonts w:ascii="Arial" w:hAnsi="Arial" w:cs="Arial"/>
          <w:lang w:val="en-ZA"/>
        </w:rPr>
        <w:t>[6]</w:t>
      </w:r>
      <w:r w:rsidRPr="000525BF">
        <w:rPr>
          <w:rFonts w:ascii="Arial" w:hAnsi="Arial" w:cs="Arial"/>
          <w:lang w:val="en-ZA"/>
        </w:rPr>
        <w:tab/>
      </w:r>
      <w:r w:rsidR="00A9501B" w:rsidRPr="0020509D">
        <w:rPr>
          <w:rFonts w:ascii="Arial" w:hAnsi="Arial" w:cs="Arial"/>
        </w:rPr>
        <w:t xml:space="preserve">The plaintiff </w:t>
      </w:r>
      <w:r w:rsidR="0020509D" w:rsidRPr="0020509D">
        <w:rPr>
          <w:rFonts w:ascii="Arial" w:hAnsi="Arial" w:cs="Arial"/>
        </w:rPr>
        <w:t xml:space="preserve">pleads </w:t>
      </w:r>
      <w:r w:rsidR="00A9501B" w:rsidRPr="0020509D">
        <w:rPr>
          <w:rFonts w:ascii="Arial" w:hAnsi="Arial" w:cs="Arial"/>
        </w:rPr>
        <w:t xml:space="preserve">that the pension fund paid out </w:t>
      </w:r>
      <w:r w:rsidR="0020509D" w:rsidRPr="0020509D">
        <w:rPr>
          <w:rFonts w:ascii="Arial" w:hAnsi="Arial" w:cs="Arial"/>
        </w:rPr>
        <w:t xml:space="preserve">an amount of R754,010.92 to her husband, being one third of the capital amount. It is pleaded that although the capital amount cannot at this stage be calculated exactly, the reasonable </w:t>
      </w:r>
      <w:proofErr w:type="gramStart"/>
      <w:r w:rsidR="0020509D" w:rsidRPr="0020509D">
        <w:rPr>
          <w:rFonts w:ascii="Arial" w:hAnsi="Arial" w:cs="Arial"/>
        </w:rPr>
        <w:t>inference  to</w:t>
      </w:r>
      <w:proofErr w:type="gramEnd"/>
      <w:r w:rsidR="0020509D" w:rsidRPr="0020509D">
        <w:rPr>
          <w:rFonts w:ascii="Arial" w:hAnsi="Arial" w:cs="Arial"/>
        </w:rPr>
        <w:t xml:space="preserve"> be drawn is that the total capital </w:t>
      </w:r>
      <w:r w:rsidR="0020509D">
        <w:rPr>
          <w:rFonts w:ascii="Arial" w:hAnsi="Arial" w:cs="Arial"/>
        </w:rPr>
        <w:t xml:space="preserve">amount </w:t>
      </w:r>
      <w:r w:rsidR="0020509D" w:rsidRPr="0020509D">
        <w:rPr>
          <w:rFonts w:ascii="Arial" w:hAnsi="Arial" w:cs="Arial"/>
        </w:rPr>
        <w:t xml:space="preserve">at the time of the </w:t>
      </w:r>
      <w:r w:rsidR="0020509D" w:rsidRPr="0020509D">
        <w:rPr>
          <w:rFonts w:ascii="Arial" w:hAnsi="Arial" w:cs="Arial"/>
          <w:i/>
          <w:iCs/>
        </w:rPr>
        <w:t>“exit”</w:t>
      </w:r>
      <w:r w:rsidR="0020509D" w:rsidRPr="0020509D">
        <w:rPr>
          <w:rFonts w:ascii="Arial" w:hAnsi="Arial" w:cs="Arial"/>
        </w:rPr>
        <w:t xml:space="preserve"> would have been three times the amount paid out. It is pleaded that fifty present of that would be R1,317,515.00. </w:t>
      </w:r>
      <w:r w:rsidR="00FD7252">
        <w:rPr>
          <w:rFonts w:ascii="Arial" w:hAnsi="Arial" w:cs="Arial"/>
        </w:rPr>
        <w:t>T</w:t>
      </w:r>
      <w:r w:rsidR="0020509D">
        <w:rPr>
          <w:rFonts w:ascii="Arial" w:hAnsi="Arial" w:cs="Arial"/>
        </w:rPr>
        <w:t xml:space="preserve">his </w:t>
      </w:r>
      <w:r w:rsidR="0020509D" w:rsidRPr="0020509D">
        <w:rPr>
          <w:rFonts w:ascii="Arial" w:hAnsi="Arial" w:cs="Arial"/>
        </w:rPr>
        <w:t xml:space="preserve">is the damage that the plaintiff </w:t>
      </w:r>
      <w:r w:rsidR="00FD7252">
        <w:rPr>
          <w:rFonts w:ascii="Arial" w:hAnsi="Arial" w:cs="Arial"/>
        </w:rPr>
        <w:t xml:space="preserve">allegedly </w:t>
      </w:r>
      <w:r w:rsidR="0020509D" w:rsidRPr="0020509D">
        <w:rPr>
          <w:rFonts w:ascii="Arial" w:hAnsi="Arial" w:cs="Arial"/>
        </w:rPr>
        <w:t xml:space="preserve">suffered. In the </w:t>
      </w:r>
      <w:r w:rsidR="00FD7252">
        <w:rPr>
          <w:rFonts w:ascii="Arial" w:hAnsi="Arial" w:cs="Arial"/>
        </w:rPr>
        <w:t>plaintiff’s</w:t>
      </w:r>
      <w:r w:rsidR="0020509D">
        <w:rPr>
          <w:rFonts w:ascii="Arial" w:hAnsi="Arial" w:cs="Arial"/>
        </w:rPr>
        <w:t xml:space="preserve"> rule 23(1) notice</w:t>
      </w:r>
      <w:r w:rsidR="0020509D" w:rsidRPr="0020509D">
        <w:rPr>
          <w:rFonts w:ascii="Arial" w:hAnsi="Arial" w:cs="Arial"/>
        </w:rPr>
        <w:t>, the excipient join</w:t>
      </w:r>
      <w:r w:rsidR="0020509D">
        <w:rPr>
          <w:rFonts w:ascii="Arial" w:hAnsi="Arial" w:cs="Arial"/>
        </w:rPr>
        <w:t>ed</w:t>
      </w:r>
      <w:r w:rsidR="0020509D" w:rsidRPr="0020509D">
        <w:rPr>
          <w:rFonts w:ascii="Arial" w:hAnsi="Arial" w:cs="Arial"/>
        </w:rPr>
        <w:t xml:space="preserve"> issue with the plaintiff</w:t>
      </w:r>
      <w:r w:rsidR="0020509D">
        <w:rPr>
          <w:rFonts w:ascii="Arial" w:hAnsi="Arial" w:cs="Arial"/>
        </w:rPr>
        <w:t>’</w:t>
      </w:r>
      <w:r w:rsidR="0020509D" w:rsidRPr="0020509D">
        <w:rPr>
          <w:rFonts w:ascii="Arial" w:hAnsi="Arial" w:cs="Arial"/>
        </w:rPr>
        <w:t xml:space="preserve">s </w:t>
      </w:r>
      <w:r w:rsidR="00FD7252">
        <w:rPr>
          <w:rFonts w:ascii="Arial" w:hAnsi="Arial" w:cs="Arial"/>
        </w:rPr>
        <w:t>calculations</w:t>
      </w:r>
      <w:r w:rsidR="0020509D">
        <w:rPr>
          <w:rFonts w:ascii="Arial" w:hAnsi="Arial" w:cs="Arial"/>
        </w:rPr>
        <w:t xml:space="preserve">. Excipient stated that </w:t>
      </w:r>
      <w:r w:rsidR="0020509D">
        <w:rPr>
          <w:rFonts w:ascii="Arial" w:hAnsi="Arial" w:cs="Arial"/>
          <w:lang w:val="en-ZA"/>
        </w:rPr>
        <w:t xml:space="preserve">if one third payment is R754,010.92 and it is assumed that this is one third of the pension, the full amount of the pension would be R2,262,032.76. Half of this is </w:t>
      </w:r>
      <w:r w:rsidR="0020509D">
        <w:rPr>
          <w:rFonts w:ascii="Arial" w:hAnsi="Arial" w:cs="Arial"/>
          <w:lang w:val="en-ZA"/>
        </w:rPr>
        <w:lastRenderedPageBreak/>
        <w:t xml:space="preserve">R1,131,016.38, not </w:t>
      </w:r>
      <w:r w:rsidR="0020509D" w:rsidRPr="0020509D">
        <w:rPr>
          <w:rFonts w:ascii="Arial" w:hAnsi="Arial" w:cs="Arial"/>
        </w:rPr>
        <w:t>R1,317,515.00.</w:t>
      </w:r>
      <w:r w:rsidR="0020509D">
        <w:rPr>
          <w:rFonts w:ascii="Arial" w:hAnsi="Arial" w:cs="Arial"/>
        </w:rPr>
        <w:t xml:space="preserve"> </w:t>
      </w:r>
      <w:r w:rsidR="00867B68">
        <w:rPr>
          <w:rFonts w:ascii="Arial" w:hAnsi="Arial" w:cs="Arial"/>
        </w:rPr>
        <w:t xml:space="preserve">This </w:t>
      </w:r>
      <w:r w:rsidR="0020509D">
        <w:rPr>
          <w:rFonts w:ascii="Arial" w:hAnsi="Arial" w:cs="Arial"/>
        </w:rPr>
        <w:t xml:space="preserve">issue </w:t>
      </w:r>
      <w:r w:rsidR="000525BF">
        <w:rPr>
          <w:rFonts w:ascii="Arial" w:hAnsi="Arial" w:cs="Arial"/>
        </w:rPr>
        <w:t>was</w:t>
      </w:r>
      <w:r w:rsidR="00867B68">
        <w:rPr>
          <w:rFonts w:ascii="Arial" w:hAnsi="Arial" w:cs="Arial"/>
        </w:rPr>
        <w:t>, however,</w:t>
      </w:r>
      <w:r w:rsidR="000525BF">
        <w:rPr>
          <w:rFonts w:ascii="Arial" w:hAnsi="Arial" w:cs="Arial"/>
        </w:rPr>
        <w:t xml:space="preserve"> </w:t>
      </w:r>
      <w:r w:rsidR="0020509D">
        <w:rPr>
          <w:rFonts w:ascii="Arial" w:hAnsi="Arial" w:cs="Arial"/>
        </w:rPr>
        <w:t xml:space="preserve">not raised as part of the exception and is therefore </w:t>
      </w:r>
      <w:r w:rsidR="000525BF">
        <w:rPr>
          <w:rFonts w:ascii="Arial" w:hAnsi="Arial" w:cs="Arial"/>
        </w:rPr>
        <w:t>not before this court</w:t>
      </w:r>
      <w:r w:rsidR="0020509D">
        <w:rPr>
          <w:rFonts w:ascii="Arial" w:hAnsi="Arial" w:cs="Arial"/>
        </w:rPr>
        <w:t>.</w:t>
      </w:r>
    </w:p>
    <w:p w14:paraId="1A04779F" w14:textId="77777777" w:rsidR="00A9501B" w:rsidRPr="0020509D" w:rsidRDefault="00A9501B" w:rsidP="004C188D">
      <w:pPr>
        <w:pStyle w:val="Heading1"/>
        <w:keepLines/>
        <w:tabs>
          <w:tab w:val="clear" w:pos="540"/>
        </w:tabs>
        <w:spacing w:after="360"/>
        <w:rPr>
          <w:rFonts w:ascii="Arial" w:hAnsi="Arial" w:cs="Arial"/>
          <w:b w:val="0"/>
        </w:rPr>
      </w:pPr>
      <w:r w:rsidRPr="0020509D">
        <w:rPr>
          <w:rFonts w:ascii="Arial" w:hAnsi="Arial" w:cs="Arial"/>
        </w:rPr>
        <w:t>THE LAW IN RELATION TO EXCEPTIONS AGAINST PLEADINGS ON THE BASIS THAT THEY DO NOT SUSTAIN A CAUSE OF ACTION</w:t>
      </w:r>
    </w:p>
    <w:p w14:paraId="386DDB44" w14:textId="7659022D" w:rsidR="00A9501B" w:rsidRPr="0020509D" w:rsidRDefault="000E3C6A" w:rsidP="000E3C6A">
      <w:pPr>
        <w:widowControl w:val="0"/>
        <w:spacing w:after="360" w:line="480" w:lineRule="auto"/>
        <w:ind w:left="737" w:right="-455" w:hanging="737"/>
        <w:jc w:val="both"/>
        <w:rPr>
          <w:rFonts w:ascii="Arial" w:hAnsi="Arial" w:cs="Arial"/>
          <w:i/>
          <w:iCs/>
        </w:rPr>
      </w:pPr>
      <w:r w:rsidRPr="0020509D">
        <w:rPr>
          <w:rFonts w:ascii="Arial" w:hAnsi="Arial" w:cs="Arial"/>
          <w:iCs/>
        </w:rPr>
        <w:t>[7]</w:t>
      </w:r>
      <w:r w:rsidRPr="0020509D">
        <w:rPr>
          <w:rFonts w:ascii="Arial" w:hAnsi="Arial" w:cs="Arial"/>
          <w:iCs/>
        </w:rPr>
        <w:tab/>
      </w:r>
      <w:r w:rsidR="00A9501B" w:rsidRPr="0020509D">
        <w:rPr>
          <w:rFonts w:ascii="Arial" w:hAnsi="Arial" w:cs="Arial"/>
        </w:rPr>
        <w:t>The legal principles applicable to exceptions based on the grounds that a pleading fails to sustain a cause of action</w:t>
      </w:r>
      <w:r w:rsidR="00F14567">
        <w:rPr>
          <w:rFonts w:ascii="Arial" w:hAnsi="Arial" w:cs="Arial"/>
        </w:rPr>
        <w:t>, is trite</w:t>
      </w:r>
      <w:r w:rsidR="00A9501B" w:rsidRPr="0020509D">
        <w:rPr>
          <w:rFonts w:ascii="Arial" w:hAnsi="Arial" w:cs="Arial"/>
        </w:rPr>
        <w:t xml:space="preserve">. </w:t>
      </w:r>
    </w:p>
    <w:p w14:paraId="698184A3" w14:textId="22356B10" w:rsidR="00A9501B" w:rsidRPr="0020509D" w:rsidRDefault="000E3C6A" w:rsidP="000E3C6A">
      <w:pPr>
        <w:widowControl w:val="0"/>
        <w:spacing w:after="360" w:line="480" w:lineRule="auto"/>
        <w:ind w:left="737" w:right="-455" w:hanging="737"/>
        <w:jc w:val="both"/>
        <w:rPr>
          <w:rFonts w:ascii="Arial" w:hAnsi="Arial" w:cs="Arial"/>
          <w:i/>
          <w:iCs/>
        </w:rPr>
      </w:pPr>
      <w:r w:rsidRPr="0020509D">
        <w:rPr>
          <w:rFonts w:ascii="Arial" w:hAnsi="Arial" w:cs="Arial"/>
          <w:iCs/>
        </w:rPr>
        <w:t>[8]</w:t>
      </w:r>
      <w:r w:rsidRPr="0020509D">
        <w:rPr>
          <w:rFonts w:ascii="Arial" w:hAnsi="Arial" w:cs="Arial"/>
          <w:iCs/>
        </w:rPr>
        <w:tab/>
      </w:r>
      <w:r w:rsidR="00A9501B" w:rsidRPr="0020509D">
        <w:rPr>
          <w:rFonts w:ascii="Arial" w:hAnsi="Arial" w:cs="Arial"/>
        </w:rPr>
        <w:t xml:space="preserve">In the matter of </w:t>
      </w:r>
      <w:r w:rsidR="00A9501B" w:rsidRPr="0020509D">
        <w:rPr>
          <w:rFonts w:ascii="Arial" w:hAnsi="Arial" w:cs="Arial"/>
          <w:b/>
          <w:bCs/>
          <w:u w:val="single"/>
        </w:rPr>
        <w:t>Kahn v Stewart and others</w:t>
      </w:r>
      <w:r w:rsidR="00A9501B" w:rsidRPr="0020509D">
        <w:rPr>
          <w:rFonts w:ascii="Arial" w:hAnsi="Arial" w:cs="Arial"/>
          <w:b/>
          <w:bCs/>
        </w:rPr>
        <w:t xml:space="preserve"> </w:t>
      </w:r>
      <w:r w:rsidR="00A9501B" w:rsidRPr="0020509D">
        <w:rPr>
          <w:rFonts w:ascii="Arial" w:hAnsi="Arial" w:cs="Arial"/>
        </w:rPr>
        <w:t>it was held that:</w:t>
      </w:r>
    </w:p>
    <w:p w14:paraId="28CA3F40" w14:textId="54521CB8" w:rsidR="00A9501B" w:rsidRPr="0020509D" w:rsidRDefault="00A9501B" w:rsidP="00A9501B">
      <w:pPr>
        <w:widowControl w:val="0"/>
        <w:spacing w:after="720"/>
        <w:ind w:left="1440" w:right="-454"/>
        <w:jc w:val="both"/>
        <w:rPr>
          <w:rFonts w:ascii="Arial" w:hAnsi="Arial" w:cs="Arial"/>
          <w:i/>
          <w:iCs/>
        </w:rPr>
      </w:pPr>
      <w:r w:rsidRPr="0020509D">
        <w:rPr>
          <w:rFonts w:ascii="Arial" w:hAnsi="Arial" w:cs="Arial"/>
        </w:rPr>
        <w:t>“</w:t>
      </w:r>
      <w:r w:rsidRPr="0020509D">
        <w:rPr>
          <w:rFonts w:ascii="Arial" w:hAnsi="Arial" w:cs="Arial"/>
          <w:i/>
          <w:iCs/>
        </w:rPr>
        <w:t>In my view, it is the duty of the Court</w:t>
      </w:r>
      <w:r w:rsidR="008A49E2">
        <w:rPr>
          <w:rFonts w:ascii="Arial" w:hAnsi="Arial" w:cs="Arial"/>
          <w:i/>
          <w:iCs/>
        </w:rPr>
        <w:t>,</w:t>
      </w:r>
      <w:r w:rsidRPr="0020509D">
        <w:rPr>
          <w:rFonts w:ascii="Arial" w:hAnsi="Arial" w:cs="Arial"/>
          <w:i/>
          <w:iCs/>
        </w:rPr>
        <w:t xml:space="preserve"> when an exception is taken to a pleading</w:t>
      </w:r>
      <w:r w:rsidR="008A49E2">
        <w:rPr>
          <w:rFonts w:ascii="Arial" w:hAnsi="Arial" w:cs="Arial"/>
          <w:i/>
          <w:iCs/>
        </w:rPr>
        <w:t>,</w:t>
      </w:r>
      <w:r w:rsidRPr="0020509D">
        <w:rPr>
          <w:rFonts w:ascii="Arial" w:hAnsi="Arial" w:cs="Arial"/>
          <w:i/>
          <w:iCs/>
        </w:rPr>
        <w:t xml:space="preserve"> first to see if there is a point of law to be decided which will dispose of the case in whole or in part. If there is not, then it must see if there is any embarrassment</w:t>
      </w:r>
      <w:r w:rsidR="008A49E2">
        <w:rPr>
          <w:rFonts w:ascii="Arial" w:hAnsi="Arial" w:cs="Arial"/>
          <w:i/>
          <w:iCs/>
        </w:rPr>
        <w:t>,</w:t>
      </w:r>
      <w:r w:rsidRPr="0020509D">
        <w:rPr>
          <w:rFonts w:ascii="Arial" w:hAnsi="Arial" w:cs="Arial"/>
          <w:i/>
          <w:iCs/>
        </w:rPr>
        <w:t xml:space="preserve"> which is real and such as cannot be met by the asking of particulars, as </w:t>
      </w:r>
      <w:r w:rsidR="008A49E2">
        <w:rPr>
          <w:rFonts w:ascii="Arial" w:hAnsi="Arial" w:cs="Arial"/>
          <w:i/>
          <w:iCs/>
        </w:rPr>
        <w:t xml:space="preserve">the </w:t>
      </w:r>
      <w:r w:rsidRPr="0020509D">
        <w:rPr>
          <w:rFonts w:ascii="Arial" w:hAnsi="Arial" w:cs="Arial"/>
          <w:i/>
          <w:iCs/>
        </w:rPr>
        <w:t>result of the fault</w:t>
      </w:r>
      <w:r w:rsidR="008A49E2">
        <w:rPr>
          <w:rFonts w:ascii="Arial" w:hAnsi="Arial" w:cs="Arial"/>
          <w:i/>
          <w:iCs/>
        </w:rPr>
        <w:t>s</w:t>
      </w:r>
      <w:r w:rsidRPr="0020509D">
        <w:rPr>
          <w:rFonts w:ascii="Arial" w:hAnsi="Arial" w:cs="Arial"/>
          <w:i/>
          <w:iCs/>
        </w:rPr>
        <w:t xml:space="preserve"> in pleading to which exception is taken. And, unless the excipient can satisfy the Court that there is such a point of law or such real embarrassment</w:t>
      </w:r>
      <w:r w:rsidR="008A49E2">
        <w:rPr>
          <w:rFonts w:ascii="Arial" w:hAnsi="Arial" w:cs="Arial"/>
          <w:i/>
          <w:iCs/>
        </w:rPr>
        <w:t>,</w:t>
      </w:r>
      <w:r w:rsidRPr="0020509D">
        <w:rPr>
          <w:rFonts w:ascii="Arial" w:hAnsi="Arial" w:cs="Arial"/>
          <w:i/>
          <w:iCs/>
        </w:rPr>
        <w:t xml:space="preserve"> then the exception should be dismissed.</w:t>
      </w:r>
      <w:r w:rsidRPr="0020509D">
        <w:rPr>
          <w:rFonts w:ascii="Arial" w:hAnsi="Arial" w:cs="Arial"/>
        </w:rPr>
        <w:t>”</w:t>
      </w:r>
      <w:r w:rsidRPr="0020509D">
        <w:rPr>
          <w:rStyle w:val="FootnoteReference"/>
          <w:rFonts w:ascii="Arial" w:hAnsi="Arial" w:cs="Arial"/>
        </w:rPr>
        <w:footnoteReference w:id="1"/>
      </w:r>
    </w:p>
    <w:p w14:paraId="71E95283" w14:textId="43E42392" w:rsidR="00A9501B" w:rsidRPr="0020509D" w:rsidRDefault="000E3C6A" w:rsidP="000E3C6A">
      <w:pPr>
        <w:widowControl w:val="0"/>
        <w:spacing w:after="360" w:line="480" w:lineRule="auto"/>
        <w:ind w:left="737" w:right="-454" w:hanging="737"/>
        <w:jc w:val="both"/>
        <w:rPr>
          <w:rFonts w:ascii="Arial" w:hAnsi="Arial" w:cs="Arial"/>
        </w:rPr>
      </w:pPr>
      <w:r w:rsidRPr="0020509D">
        <w:rPr>
          <w:rFonts w:ascii="Arial" w:hAnsi="Arial" w:cs="Arial"/>
        </w:rPr>
        <w:t>[9]</w:t>
      </w:r>
      <w:r w:rsidRPr="0020509D">
        <w:rPr>
          <w:rFonts w:ascii="Arial" w:hAnsi="Arial" w:cs="Arial"/>
        </w:rPr>
        <w:tab/>
      </w:r>
      <w:r w:rsidR="00A9501B" w:rsidRPr="0020509D">
        <w:rPr>
          <w:rFonts w:ascii="Arial" w:hAnsi="Arial" w:cs="Arial"/>
        </w:rPr>
        <w:t xml:space="preserve">In </w:t>
      </w:r>
      <w:proofErr w:type="spellStart"/>
      <w:r w:rsidR="00A9501B" w:rsidRPr="0020509D">
        <w:rPr>
          <w:rFonts w:ascii="Arial" w:hAnsi="Arial" w:cs="Arial"/>
          <w:b/>
          <w:bCs/>
          <w:u w:val="single"/>
        </w:rPr>
        <w:t>Jugwanth</w:t>
      </w:r>
      <w:proofErr w:type="spellEnd"/>
      <w:r w:rsidR="00A9501B" w:rsidRPr="0020509D">
        <w:rPr>
          <w:rFonts w:ascii="Arial" w:hAnsi="Arial" w:cs="Arial"/>
          <w:b/>
          <w:bCs/>
          <w:u w:val="single"/>
        </w:rPr>
        <w:t xml:space="preserve"> v Mobile Telephone Networks (Pty) Ltd</w:t>
      </w:r>
      <w:r w:rsidR="00A9501B" w:rsidRPr="0020509D">
        <w:rPr>
          <w:rFonts w:ascii="Arial" w:hAnsi="Arial" w:cs="Arial"/>
        </w:rPr>
        <w:t>,</w:t>
      </w:r>
      <w:r w:rsidR="00A9501B" w:rsidRPr="0020509D">
        <w:rPr>
          <w:rStyle w:val="FootnoteReference"/>
          <w:rFonts w:ascii="Arial" w:hAnsi="Arial" w:cs="Arial"/>
        </w:rPr>
        <w:footnoteReference w:id="2"/>
      </w:r>
      <w:r w:rsidR="00A9501B" w:rsidRPr="0020509D">
        <w:rPr>
          <w:rFonts w:ascii="Arial" w:hAnsi="Arial" w:cs="Arial"/>
        </w:rPr>
        <w:t xml:space="preserve"> Gorvin JA held that:</w:t>
      </w:r>
    </w:p>
    <w:p w14:paraId="1F0F6ABF" w14:textId="02F07711" w:rsidR="00A9501B" w:rsidRPr="0020509D" w:rsidRDefault="00A9501B" w:rsidP="00A9501B">
      <w:pPr>
        <w:widowControl w:val="0"/>
        <w:spacing w:after="480"/>
        <w:ind w:left="2161" w:right="-454" w:hanging="743"/>
        <w:jc w:val="both"/>
        <w:rPr>
          <w:rFonts w:ascii="Arial" w:hAnsi="Arial" w:cs="Arial"/>
          <w:i/>
          <w:iCs/>
        </w:rPr>
      </w:pPr>
      <w:r w:rsidRPr="0020509D">
        <w:rPr>
          <w:rFonts w:ascii="Arial" w:hAnsi="Arial" w:cs="Arial"/>
        </w:rPr>
        <w:t>“</w:t>
      </w:r>
      <w:r w:rsidR="008A49E2">
        <w:rPr>
          <w:rFonts w:ascii="Arial" w:hAnsi="Arial" w:cs="Arial"/>
          <w:i/>
          <w:iCs/>
        </w:rPr>
        <w:t>[3]</w:t>
      </w:r>
      <w:r w:rsidRPr="0020509D">
        <w:rPr>
          <w:rFonts w:ascii="Arial" w:hAnsi="Arial" w:cs="Arial"/>
          <w:i/>
          <w:iCs/>
        </w:rPr>
        <w:tab/>
        <w:t>The approach to an exception that a pleading does not disclose a cause of action was reiterated by Marais JA in Vermeulen v Goose Valley Investments</w:t>
      </w:r>
      <w:r w:rsidRPr="0020509D">
        <w:rPr>
          <w:rFonts w:ascii="Arial" w:hAnsi="Arial" w:cs="Arial"/>
          <w:b/>
          <w:bCs/>
          <w:i/>
          <w:iCs/>
        </w:rPr>
        <w:t xml:space="preserve"> </w:t>
      </w:r>
      <w:r w:rsidRPr="0020509D">
        <w:rPr>
          <w:rFonts w:ascii="Arial" w:hAnsi="Arial" w:cs="Arial"/>
          <w:i/>
          <w:iCs/>
        </w:rPr>
        <w:t xml:space="preserve">(Pty) Ltd: </w:t>
      </w:r>
    </w:p>
    <w:p w14:paraId="2D7EDE4E" w14:textId="2FDAD59F" w:rsidR="00A9501B" w:rsidRPr="0020509D" w:rsidRDefault="00A9501B" w:rsidP="008A49E2">
      <w:pPr>
        <w:widowControl w:val="0"/>
        <w:spacing w:after="480"/>
        <w:ind w:left="2880" w:right="-454"/>
        <w:jc w:val="both"/>
        <w:rPr>
          <w:rFonts w:ascii="Arial" w:hAnsi="Arial" w:cs="Arial"/>
          <w:i/>
          <w:iCs/>
        </w:rPr>
      </w:pPr>
      <w:r w:rsidRPr="0020509D">
        <w:rPr>
          <w:rFonts w:ascii="Arial" w:hAnsi="Arial" w:cs="Arial"/>
          <w:i/>
          <w:iCs/>
        </w:rPr>
        <w:t xml:space="preserve">‘It is trite law that an exception that a cause of action is not disclosed by a pleading cannot succeed unless it is shown that </w:t>
      </w:r>
      <w:r w:rsidRPr="0020509D">
        <w:rPr>
          <w:rFonts w:ascii="Arial" w:hAnsi="Arial" w:cs="Arial"/>
        </w:rPr>
        <w:t>ex facie</w:t>
      </w:r>
      <w:r w:rsidRPr="0020509D">
        <w:rPr>
          <w:rFonts w:ascii="Arial" w:hAnsi="Arial" w:cs="Arial"/>
          <w:i/>
          <w:iCs/>
        </w:rPr>
        <w:t xml:space="preserve"> the allegations made by a plaintiff and any document upon which his or her cause of action </w:t>
      </w:r>
      <w:r w:rsidRPr="0020509D">
        <w:rPr>
          <w:rFonts w:ascii="Arial" w:hAnsi="Arial" w:cs="Arial"/>
          <w:i/>
          <w:iCs/>
        </w:rPr>
        <w:lastRenderedPageBreak/>
        <w:t>may be based, the claim is (not may be) bad in law.</w:t>
      </w:r>
      <w:r w:rsidR="008A49E2">
        <w:rPr>
          <w:rFonts w:ascii="Arial" w:hAnsi="Arial" w:cs="Arial"/>
          <w:i/>
          <w:iCs/>
        </w:rPr>
        <w:t>’</w:t>
      </w:r>
    </w:p>
    <w:p w14:paraId="772323A9" w14:textId="77777777" w:rsidR="00A9501B" w:rsidRPr="0020509D" w:rsidRDefault="00A9501B" w:rsidP="00A9501B">
      <w:pPr>
        <w:widowControl w:val="0"/>
        <w:spacing w:after="480"/>
        <w:ind w:left="2127" w:right="-454"/>
        <w:jc w:val="both"/>
        <w:rPr>
          <w:rFonts w:ascii="Arial" w:hAnsi="Arial" w:cs="Arial"/>
        </w:rPr>
      </w:pPr>
      <w:r w:rsidRPr="0020509D">
        <w:rPr>
          <w:rFonts w:ascii="Arial" w:hAnsi="Arial" w:cs="Arial"/>
          <w:i/>
          <w:iCs/>
        </w:rPr>
        <w:t>An exception sets out why the excipient says that the facts pleaded by a plaintiff are insufficient. Only if the facts pleaded by a plaintiff could not, on any basis, as a matter of law, result in a judgment being granted against the cited defendant, can an exception succeed. Only those facts alleged in the particulars of claim and any other facts agreed to by the parties can be taken into account.</w:t>
      </w:r>
      <w:r w:rsidRPr="0020509D">
        <w:rPr>
          <w:rFonts w:ascii="Arial" w:hAnsi="Arial" w:cs="Arial"/>
        </w:rPr>
        <w:t>”</w:t>
      </w:r>
    </w:p>
    <w:p w14:paraId="04DFCA38" w14:textId="77777777" w:rsidR="00A9501B" w:rsidRPr="0020509D" w:rsidRDefault="00A9501B" w:rsidP="004C188D">
      <w:pPr>
        <w:pStyle w:val="Heading1"/>
        <w:keepLines/>
        <w:tabs>
          <w:tab w:val="clear" w:pos="540"/>
        </w:tabs>
        <w:spacing w:after="360"/>
        <w:rPr>
          <w:rFonts w:ascii="Arial" w:hAnsi="Arial" w:cs="Arial"/>
          <w:b w:val="0"/>
        </w:rPr>
      </w:pPr>
      <w:r w:rsidRPr="0020509D">
        <w:rPr>
          <w:rFonts w:ascii="Arial" w:hAnsi="Arial" w:cs="Arial"/>
        </w:rPr>
        <w:t>THE EXCIPIENT’S GROUNDS OF EXCEPTION</w:t>
      </w:r>
    </w:p>
    <w:p w14:paraId="258F7426" w14:textId="6A34C4B5" w:rsidR="00F14567" w:rsidRDefault="000E3C6A" w:rsidP="000E3C6A">
      <w:pPr>
        <w:widowControl w:val="0"/>
        <w:tabs>
          <w:tab w:val="left" w:pos="-1440"/>
          <w:tab w:val="left" w:pos="-720"/>
          <w:tab w:val="left" w:pos="0"/>
          <w:tab w:val="left" w:pos="737"/>
          <w:tab w:val="left" w:pos="1008"/>
          <w:tab w:val="left" w:pos="1728"/>
          <w:tab w:val="left" w:pos="2448"/>
          <w:tab w:val="left" w:pos="3888"/>
          <w:tab w:val="left" w:pos="5328"/>
          <w:tab w:val="left" w:pos="6768"/>
          <w:tab w:val="left" w:pos="8208"/>
        </w:tabs>
        <w:spacing w:after="480" w:line="480" w:lineRule="auto"/>
        <w:ind w:left="737" w:hanging="737"/>
        <w:jc w:val="both"/>
        <w:rPr>
          <w:rFonts w:ascii="Arial" w:hAnsi="Arial" w:cs="Arial"/>
        </w:rPr>
      </w:pPr>
      <w:r>
        <w:rPr>
          <w:rFonts w:ascii="Arial" w:hAnsi="Arial" w:cs="Arial"/>
        </w:rPr>
        <w:t>[10]</w:t>
      </w:r>
      <w:r>
        <w:rPr>
          <w:rFonts w:ascii="Arial" w:hAnsi="Arial" w:cs="Arial"/>
        </w:rPr>
        <w:tab/>
      </w:r>
      <w:r w:rsidR="00A9501B" w:rsidRPr="0020509D">
        <w:rPr>
          <w:rFonts w:ascii="Arial" w:hAnsi="Arial" w:cs="Arial"/>
        </w:rPr>
        <w:t>The excipient raised two grounds of exception</w:t>
      </w:r>
      <w:r w:rsidR="000525BF">
        <w:rPr>
          <w:rFonts w:ascii="Arial" w:hAnsi="Arial" w:cs="Arial"/>
        </w:rPr>
        <w:t xml:space="preserve">, both </w:t>
      </w:r>
      <w:r w:rsidR="00A9501B" w:rsidRPr="0020509D">
        <w:rPr>
          <w:rFonts w:ascii="Arial" w:hAnsi="Arial" w:cs="Arial"/>
        </w:rPr>
        <w:t>on the basis that the</w:t>
      </w:r>
      <w:r w:rsidR="00C61FF3">
        <w:rPr>
          <w:rFonts w:ascii="Arial" w:hAnsi="Arial" w:cs="Arial"/>
        </w:rPr>
        <w:t xml:space="preserve"> plaintiff’s</w:t>
      </w:r>
      <w:r w:rsidR="00A9501B" w:rsidRPr="0020509D">
        <w:rPr>
          <w:rFonts w:ascii="Arial" w:hAnsi="Arial" w:cs="Arial"/>
        </w:rPr>
        <w:t xml:space="preserve"> particulars of claim do not disclose a cause of action. </w:t>
      </w:r>
    </w:p>
    <w:p w14:paraId="185D78EC" w14:textId="737F0020" w:rsidR="00A9501B" w:rsidRPr="0020509D" w:rsidRDefault="000E3C6A" w:rsidP="000E3C6A">
      <w:pPr>
        <w:widowControl w:val="0"/>
        <w:tabs>
          <w:tab w:val="left" w:pos="-1440"/>
          <w:tab w:val="left" w:pos="-720"/>
          <w:tab w:val="left" w:pos="0"/>
          <w:tab w:val="left" w:pos="737"/>
          <w:tab w:val="left" w:pos="1008"/>
          <w:tab w:val="left" w:pos="1728"/>
          <w:tab w:val="left" w:pos="2448"/>
          <w:tab w:val="left" w:pos="3888"/>
          <w:tab w:val="left" w:pos="5328"/>
          <w:tab w:val="left" w:pos="6768"/>
          <w:tab w:val="left" w:pos="8208"/>
        </w:tabs>
        <w:spacing w:after="480" w:line="480" w:lineRule="auto"/>
        <w:ind w:left="737" w:hanging="737"/>
        <w:jc w:val="both"/>
        <w:rPr>
          <w:rFonts w:ascii="Arial" w:hAnsi="Arial" w:cs="Arial"/>
        </w:rPr>
      </w:pPr>
      <w:r w:rsidRPr="0020509D">
        <w:rPr>
          <w:rFonts w:ascii="Arial" w:hAnsi="Arial" w:cs="Arial"/>
        </w:rPr>
        <w:t>[11]</w:t>
      </w:r>
      <w:r w:rsidRPr="0020509D">
        <w:rPr>
          <w:rFonts w:ascii="Arial" w:hAnsi="Arial" w:cs="Arial"/>
        </w:rPr>
        <w:tab/>
      </w:r>
      <w:r w:rsidR="00A9501B" w:rsidRPr="0020509D">
        <w:rPr>
          <w:rFonts w:ascii="Arial" w:hAnsi="Arial" w:cs="Arial"/>
        </w:rPr>
        <w:t xml:space="preserve">The first of exception is that the plaintiff suffered no damages. This is based </w:t>
      </w:r>
      <w:r w:rsidR="000525BF">
        <w:rPr>
          <w:rFonts w:ascii="Arial" w:hAnsi="Arial" w:cs="Arial"/>
        </w:rPr>
        <w:t xml:space="preserve">on </w:t>
      </w:r>
      <w:r w:rsidR="00A9501B" w:rsidRPr="0020509D">
        <w:rPr>
          <w:rFonts w:ascii="Arial" w:hAnsi="Arial" w:cs="Arial"/>
        </w:rPr>
        <w:t>section 7(7)(a) of the Divorce Act 70 of 1979 (“</w:t>
      </w:r>
      <w:r w:rsidR="00A9501B" w:rsidRPr="0020509D">
        <w:rPr>
          <w:rFonts w:ascii="Arial" w:hAnsi="Arial" w:cs="Arial"/>
          <w:i/>
          <w:iCs/>
        </w:rPr>
        <w:t>the Divorce Act</w:t>
      </w:r>
      <w:r w:rsidR="00A9501B" w:rsidRPr="0020509D">
        <w:rPr>
          <w:rFonts w:ascii="Arial" w:hAnsi="Arial" w:cs="Arial"/>
        </w:rPr>
        <w:t xml:space="preserve">”) </w:t>
      </w:r>
      <w:r w:rsidR="000525BF">
        <w:rPr>
          <w:rFonts w:ascii="Arial" w:hAnsi="Arial" w:cs="Arial"/>
        </w:rPr>
        <w:t xml:space="preserve">which </w:t>
      </w:r>
      <w:r w:rsidR="00A9501B" w:rsidRPr="0020509D">
        <w:rPr>
          <w:rFonts w:ascii="Arial" w:hAnsi="Arial" w:cs="Arial"/>
        </w:rPr>
        <w:t>provides that:</w:t>
      </w:r>
    </w:p>
    <w:p w14:paraId="54F4C083" w14:textId="77777777" w:rsidR="00A9501B" w:rsidRPr="0020509D" w:rsidRDefault="00A9501B" w:rsidP="00A9501B">
      <w:pPr>
        <w:widowControl w:val="0"/>
        <w:tabs>
          <w:tab w:val="left" w:pos="-1440"/>
          <w:tab w:val="left" w:pos="-720"/>
          <w:tab w:val="left" w:pos="0"/>
          <w:tab w:val="left" w:pos="1008"/>
          <w:tab w:val="left" w:pos="1728"/>
          <w:tab w:val="left" w:pos="2448"/>
          <w:tab w:val="left" w:pos="3888"/>
          <w:tab w:val="left" w:pos="5328"/>
          <w:tab w:val="left" w:pos="6768"/>
          <w:tab w:val="left" w:pos="8208"/>
        </w:tabs>
        <w:spacing w:after="720"/>
        <w:ind w:left="1701"/>
        <w:jc w:val="both"/>
        <w:rPr>
          <w:rFonts w:ascii="Arial" w:hAnsi="Arial" w:cs="Arial"/>
        </w:rPr>
      </w:pPr>
      <w:r w:rsidRPr="0020509D">
        <w:rPr>
          <w:rFonts w:ascii="Arial" w:hAnsi="Arial" w:cs="Arial"/>
        </w:rPr>
        <w:t>“</w:t>
      </w:r>
      <w:r w:rsidRPr="0020509D">
        <w:rPr>
          <w:rFonts w:ascii="Arial" w:hAnsi="Arial" w:cs="Arial"/>
          <w:i/>
          <w:iCs/>
        </w:rPr>
        <w:t>In determination of the patrimonial benefits to which the parties to any divorce action may be entitled, the pension interest of a party shall, subject to paragraphs (b) and (c), be deemed to be part of his assets.</w:t>
      </w:r>
      <w:r w:rsidRPr="0020509D">
        <w:rPr>
          <w:rFonts w:ascii="Arial" w:hAnsi="Arial" w:cs="Arial"/>
        </w:rPr>
        <w:t>”</w:t>
      </w:r>
    </w:p>
    <w:p w14:paraId="3351CC60" w14:textId="41A1B3E4" w:rsidR="00F14567" w:rsidRDefault="000E3C6A" w:rsidP="000E3C6A">
      <w:pPr>
        <w:widowControl w:val="0"/>
        <w:tabs>
          <w:tab w:val="left" w:pos="-1440"/>
          <w:tab w:val="left" w:pos="-720"/>
          <w:tab w:val="left" w:pos="0"/>
          <w:tab w:val="left" w:pos="737"/>
          <w:tab w:val="left" w:pos="1008"/>
          <w:tab w:val="left" w:pos="1728"/>
          <w:tab w:val="left" w:pos="2448"/>
          <w:tab w:val="left" w:pos="3888"/>
          <w:tab w:val="left" w:pos="5328"/>
          <w:tab w:val="left" w:pos="6768"/>
          <w:tab w:val="left" w:pos="8208"/>
        </w:tabs>
        <w:spacing w:after="480" w:line="480" w:lineRule="auto"/>
        <w:ind w:left="737" w:hanging="737"/>
        <w:jc w:val="both"/>
        <w:rPr>
          <w:rFonts w:ascii="Arial" w:hAnsi="Arial" w:cs="Arial"/>
        </w:rPr>
      </w:pPr>
      <w:r>
        <w:rPr>
          <w:rFonts w:ascii="Arial" w:hAnsi="Arial" w:cs="Arial"/>
        </w:rPr>
        <w:t>[12]</w:t>
      </w:r>
      <w:r>
        <w:rPr>
          <w:rFonts w:ascii="Arial" w:hAnsi="Arial" w:cs="Arial"/>
        </w:rPr>
        <w:tab/>
      </w:r>
      <w:r w:rsidR="00A9501B" w:rsidRPr="0020509D">
        <w:rPr>
          <w:rFonts w:ascii="Arial" w:hAnsi="Arial" w:cs="Arial"/>
        </w:rPr>
        <w:t xml:space="preserve">The argument </w:t>
      </w:r>
      <w:r w:rsidR="00B33050">
        <w:rPr>
          <w:rFonts w:ascii="Arial" w:hAnsi="Arial" w:cs="Arial"/>
        </w:rPr>
        <w:t>is</w:t>
      </w:r>
      <w:r w:rsidR="00A9501B" w:rsidRPr="0020509D">
        <w:rPr>
          <w:rFonts w:ascii="Arial" w:hAnsi="Arial" w:cs="Arial"/>
        </w:rPr>
        <w:t xml:space="preserve"> that the value of the defendant’s pension fund would therefore be included as an asset in the joint estate for purposes of determining the value of the estate on divorce. Based on the authority of </w:t>
      </w:r>
      <w:r w:rsidR="00A9501B" w:rsidRPr="0020509D">
        <w:rPr>
          <w:rFonts w:ascii="Arial" w:hAnsi="Arial" w:cs="Arial"/>
          <w:b/>
          <w:bCs/>
          <w:u w:val="single"/>
        </w:rPr>
        <w:t>De Kock v Jacobsen and another</w:t>
      </w:r>
      <w:r w:rsidR="00A9501B" w:rsidRPr="0020509D">
        <w:rPr>
          <w:rFonts w:ascii="Arial" w:hAnsi="Arial" w:cs="Arial"/>
          <w:b/>
          <w:bCs/>
        </w:rPr>
        <w:t xml:space="preserve"> 1999 (4) SA 346 (W) at 349G-H</w:t>
      </w:r>
      <w:r w:rsidR="00A9501B" w:rsidRPr="0020509D">
        <w:rPr>
          <w:rFonts w:ascii="Arial" w:hAnsi="Arial" w:cs="Arial"/>
        </w:rPr>
        <w:t xml:space="preserve">, it was argued that the accrued right to the pension forms part of the joint estate of spouses married in community of property. </w:t>
      </w:r>
      <w:r w:rsidR="00C61FF3">
        <w:rPr>
          <w:rFonts w:ascii="Arial" w:hAnsi="Arial" w:cs="Arial"/>
        </w:rPr>
        <w:t>U</w:t>
      </w:r>
      <w:r w:rsidR="00A9501B" w:rsidRPr="0020509D">
        <w:rPr>
          <w:rFonts w:ascii="Arial" w:hAnsi="Arial" w:cs="Arial"/>
        </w:rPr>
        <w:t xml:space="preserve">nder the </w:t>
      </w:r>
      <w:r w:rsidR="00A9501B" w:rsidRPr="0020509D">
        <w:rPr>
          <w:rFonts w:ascii="Arial" w:hAnsi="Arial" w:cs="Arial"/>
        </w:rPr>
        <w:lastRenderedPageBreak/>
        <w:t>circumstances</w:t>
      </w:r>
      <w:r w:rsidR="00C61FF3">
        <w:rPr>
          <w:rFonts w:ascii="Arial" w:hAnsi="Arial" w:cs="Arial"/>
        </w:rPr>
        <w:t>,</w:t>
      </w:r>
      <w:r w:rsidR="00A9501B" w:rsidRPr="0020509D">
        <w:rPr>
          <w:rFonts w:ascii="Arial" w:hAnsi="Arial" w:cs="Arial"/>
        </w:rPr>
        <w:t xml:space="preserve"> the accrued pension benefit is an asset in the joint estate, just as the pension interest was deemed to be an asset in the joint estate</w:t>
      </w:r>
      <w:r w:rsidR="007623F8">
        <w:rPr>
          <w:rFonts w:ascii="Arial" w:hAnsi="Arial" w:cs="Arial"/>
        </w:rPr>
        <w:t xml:space="preserve">. There was therefore </w:t>
      </w:r>
      <w:r w:rsidR="00A9501B" w:rsidRPr="0020509D">
        <w:rPr>
          <w:rFonts w:ascii="Arial" w:hAnsi="Arial" w:cs="Arial"/>
        </w:rPr>
        <w:t xml:space="preserve">no loss to the plaintiff and accordingly no </w:t>
      </w:r>
      <w:r w:rsidR="00867B68" w:rsidRPr="0020509D">
        <w:rPr>
          <w:rFonts w:ascii="Arial" w:hAnsi="Arial" w:cs="Arial"/>
        </w:rPr>
        <w:t>damages</w:t>
      </w:r>
      <w:r w:rsidR="00867B68">
        <w:rPr>
          <w:rFonts w:ascii="Arial" w:hAnsi="Arial" w:cs="Arial"/>
        </w:rPr>
        <w:t xml:space="preserve"> when a portion of the pension was paid out</w:t>
      </w:r>
      <w:r w:rsidR="00A9501B" w:rsidRPr="0020509D">
        <w:rPr>
          <w:rFonts w:ascii="Arial" w:hAnsi="Arial" w:cs="Arial"/>
        </w:rPr>
        <w:t xml:space="preserve">. </w:t>
      </w:r>
      <w:r w:rsidR="007623F8">
        <w:rPr>
          <w:rFonts w:ascii="Arial" w:hAnsi="Arial" w:cs="Arial"/>
        </w:rPr>
        <w:t xml:space="preserve">The excipient argues that a </w:t>
      </w:r>
      <w:r w:rsidR="007623F8" w:rsidRPr="0020509D">
        <w:rPr>
          <w:rFonts w:ascii="Arial" w:hAnsi="Arial" w:cs="Arial"/>
        </w:rPr>
        <w:t>cause of action founded on damages as a result of breach of contract can never be sustained (on any interpretation) without damages</w:t>
      </w:r>
      <w:r w:rsidR="007623F8">
        <w:rPr>
          <w:rFonts w:ascii="Arial" w:hAnsi="Arial" w:cs="Arial"/>
        </w:rPr>
        <w:t>.</w:t>
      </w:r>
      <w:r w:rsidR="007623F8" w:rsidRPr="0020509D">
        <w:rPr>
          <w:rFonts w:ascii="Arial" w:hAnsi="Arial" w:cs="Arial"/>
        </w:rPr>
        <w:t xml:space="preserve"> </w:t>
      </w:r>
      <w:r w:rsidR="00A9501B" w:rsidRPr="0020509D">
        <w:rPr>
          <w:rFonts w:ascii="Arial" w:hAnsi="Arial" w:cs="Arial"/>
        </w:rPr>
        <w:t xml:space="preserve">It is in this regard common cause that there is no allegation in the particulars of claim that the pension benefit has been unlawfully alienated </w:t>
      </w:r>
      <w:r w:rsidR="007623F8">
        <w:rPr>
          <w:rFonts w:ascii="Arial" w:hAnsi="Arial" w:cs="Arial"/>
        </w:rPr>
        <w:t xml:space="preserve">since it </w:t>
      </w:r>
      <w:r w:rsidR="0035474C">
        <w:rPr>
          <w:rFonts w:ascii="Arial" w:hAnsi="Arial" w:cs="Arial"/>
        </w:rPr>
        <w:t>was</w:t>
      </w:r>
      <w:r w:rsidR="007623F8">
        <w:rPr>
          <w:rFonts w:ascii="Arial" w:hAnsi="Arial" w:cs="Arial"/>
        </w:rPr>
        <w:t xml:space="preserve"> paid out.</w:t>
      </w:r>
      <w:r w:rsidR="00A9501B" w:rsidRPr="0020509D">
        <w:rPr>
          <w:rFonts w:ascii="Arial" w:hAnsi="Arial" w:cs="Arial"/>
        </w:rPr>
        <w:t xml:space="preserve"> </w:t>
      </w:r>
    </w:p>
    <w:p w14:paraId="4B4CD19E" w14:textId="1ABF8D70" w:rsidR="00A9501B" w:rsidRPr="00F14567" w:rsidRDefault="000E3C6A" w:rsidP="000E3C6A">
      <w:pPr>
        <w:widowControl w:val="0"/>
        <w:tabs>
          <w:tab w:val="left" w:pos="-1440"/>
          <w:tab w:val="left" w:pos="-720"/>
          <w:tab w:val="left" w:pos="0"/>
          <w:tab w:val="left" w:pos="737"/>
          <w:tab w:val="left" w:pos="1008"/>
          <w:tab w:val="left" w:pos="1728"/>
          <w:tab w:val="left" w:pos="2448"/>
          <w:tab w:val="left" w:pos="3888"/>
          <w:tab w:val="left" w:pos="5328"/>
          <w:tab w:val="left" w:pos="6768"/>
          <w:tab w:val="left" w:pos="8208"/>
        </w:tabs>
        <w:spacing w:after="480" w:line="480" w:lineRule="auto"/>
        <w:ind w:left="737" w:hanging="737"/>
        <w:jc w:val="both"/>
        <w:rPr>
          <w:rFonts w:ascii="Arial" w:hAnsi="Arial" w:cs="Arial"/>
        </w:rPr>
      </w:pPr>
      <w:r w:rsidRPr="00F14567">
        <w:rPr>
          <w:rFonts w:ascii="Arial" w:hAnsi="Arial" w:cs="Arial"/>
        </w:rPr>
        <w:t>[13]</w:t>
      </w:r>
      <w:r w:rsidRPr="00F14567">
        <w:rPr>
          <w:rFonts w:ascii="Arial" w:hAnsi="Arial" w:cs="Arial"/>
        </w:rPr>
        <w:tab/>
      </w:r>
      <w:r w:rsidR="00A9501B" w:rsidRPr="0020509D">
        <w:rPr>
          <w:rFonts w:ascii="Arial" w:hAnsi="Arial" w:cs="Arial"/>
        </w:rPr>
        <w:t>The excipient also relies on sections 37D of the Pension Funds Act 24 of 1956 (“</w:t>
      </w:r>
      <w:r w:rsidR="00A9501B" w:rsidRPr="0020509D">
        <w:rPr>
          <w:rFonts w:ascii="Arial" w:hAnsi="Arial" w:cs="Arial"/>
          <w:i/>
          <w:iCs/>
        </w:rPr>
        <w:t>the Pension Funds Act</w:t>
      </w:r>
      <w:r w:rsidR="00A9501B" w:rsidRPr="0020509D">
        <w:rPr>
          <w:rFonts w:ascii="Arial" w:hAnsi="Arial" w:cs="Arial"/>
        </w:rPr>
        <w:t>”), which provides that a registered fund may deduct from a member’s pension interest any amount assigned from such benefit to a non-member spouse in terms of a decree of divorce granted under section 7(8)(a) of the Divorce Act. It was in this regard argued that entitlement of a spouse to payment of a portion of a member’s pension interest by a pension fund requires three things, namely:</w:t>
      </w:r>
      <w:r w:rsidR="00F14567">
        <w:rPr>
          <w:rFonts w:ascii="Arial" w:hAnsi="Arial" w:cs="Arial"/>
        </w:rPr>
        <w:t xml:space="preserve"> </w:t>
      </w:r>
      <w:r w:rsidR="00A9501B" w:rsidRPr="00F14567">
        <w:rPr>
          <w:rFonts w:ascii="Arial" w:hAnsi="Arial" w:cs="Arial"/>
        </w:rPr>
        <w:t>The existence of a pension interest; A determination by the divorce court that the non-member spouse is entitled to the assignment of a portion of the pension interest; and</w:t>
      </w:r>
      <w:r w:rsidR="00F14567">
        <w:rPr>
          <w:rFonts w:ascii="Arial" w:hAnsi="Arial" w:cs="Arial"/>
        </w:rPr>
        <w:t xml:space="preserve"> a</w:t>
      </w:r>
      <w:r w:rsidR="00A9501B" w:rsidRPr="00F14567">
        <w:rPr>
          <w:rFonts w:ascii="Arial" w:hAnsi="Arial" w:cs="Arial"/>
        </w:rPr>
        <w:t xml:space="preserve"> decree of divorce. </w:t>
      </w:r>
    </w:p>
    <w:p w14:paraId="5D126BC5" w14:textId="3AA9AF86" w:rsidR="00A9501B" w:rsidRPr="0020509D" w:rsidRDefault="000E3C6A" w:rsidP="000E3C6A">
      <w:pPr>
        <w:widowControl w:val="0"/>
        <w:tabs>
          <w:tab w:val="left" w:pos="-1440"/>
          <w:tab w:val="left" w:pos="-720"/>
          <w:tab w:val="left" w:pos="0"/>
          <w:tab w:val="left" w:pos="737"/>
          <w:tab w:val="left" w:pos="1008"/>
          <w:tab w:val="left" w:pos="1728"/>
          <w:tab w:val="left" w:pos="2448"/>
          <w:tab w:val="left" w:pos="3888"/>
          <w:tab w:val="left" w:pos="5328"/>
          <w:tab w:val="left" w:pos="6768"/>
          <w:tab w:val="left" w:pos="8208"/>
        </w:tabs>
        <w:spacing w:after="480" w:line="480" w:lineRule="auto"/>
        <w:ind w:left="737" w:hanging="737"/>
        <w:jc w:val="both"/>
        <w:rPr>
          <w:rFonts w:ascii="Arial" w:hAnsi="Arial" w:cs="Arial"/>
        </w:rPr>
      </w:pPr>
      <w:r w:rsidRPr="0020509D">
        <w:rPr>
          <w:rFonts w:ascii="Arial" w:hAnsi="Arial" w:cs="Arial"/>
        </w:rPr>
        <w:t>[14]</w:t>
      </w:r>
      <w:r w:rsidRPr="0020509D">
        <w:rPr>
          <w:rFonts w:ascii="Arial" w:hAnsi="Arial" w:cs="Arial"/>
        </w:rPr>
        <w:tab/>
      </w:r>
      <w:r w:rsidR="00A9501B" w:rsidRPr="0020509D">
        <w:rPr>
          <w:rFonts w:ascii="Arial" w:hAnsi="Arial" w:cs="Arial"/>
        </w:rPr>
        <w:t xml:space="preserve">It was argued that none of these factors are present in this instance. The pension interest has been converted to a pension benefit, which has </w:t>
      </w:r>
      <w:r w:rsidR="00A9501B" w:rsidRPr="0020509D">
        <w:rPr>
          <w:rFonts w:ascii="Arial" w:hAnsi="Arial" w:cs="Arial"/>
        </w:rPr>
        <w:lastRenderedPageBreak/>
        <w:t xml:space="preserve">accrued to the joint estate as an asset therein. </w:t>
      </w:r>
      <w:r w:rsidR="00867B68">
        <w:rPr>
          <w:rFonts w:ascii="Arial" w:hAnsi="Arial" w:cs="Arial"/>
        </w:rPr>
        <w:t xml:space="preserve">The excipient therefore </w:t>
      </w:r>
      <w:r w:rsidR="00A9501B" w:rsidRPr="0020509D">
        <w:rPr>
          <w:rFonts w:ascii="Arial" w:hAnsi="Arial" w:cs="Arial"/>
        </w:rPr>
        <w:t>conclude</w:t>
      </w:r>
      <w:r w:rsidR="00867B68">
        <w:rPr>
          <w:rFonts w:ascii="Arial" w:hAnsi="Arial" w:cs="Arial"/>
        </w:rPr>
        <w:t>s</w:t>
      </w:r>
      <w:r w:rsidR="00A9501B" w:rsidRPr="0020509D">
        <w:rPr>
          <w:rFonts w:ascii="Arial" w:hAnsi="Arial" w:cs="Arial"/>
        </w:rPr>
        <w:t xml:space="preserve"> that the plaintiff has suffered no damages based on the interpretation of the particulars of claim and that the first ground of exception ought to be upheld. </w:t>
      </w:r>
    </w:p>
    <w:p w14:paraId="6E7687E1" w14:textId="0147CDAA" w:rsidR="007623F8" w:rsidRDefault="000E3C6A" w:rsidP="000E3C6A">
      <w:pPr>
        <w:widowControl w:val="0"/>
        <w:tabs>
          <w:tab w:val="left" w:pos="-1440"/>
          <w:tab w:val="left" w:pos="-720"/>
          <w:tab w:val="left" w:pos="0"/>
          <w:tab w:val="left" w:pos="737"/>
          <w:tab w:val="left" w:pos="1008"/>
          <w:tab w:val="left" w:pos="1728"/>
          <w:tab w:val="left" w:pos="2448"/>
          <w:tab w:val="left" w:pos="3888"/>
          <w:tab w:val="left" w:pos="5328"/>
          <w:tab w:val="left" w:pos="6768"/>
          <w:tab w:val="left" w:pos="8208"/>
        </w:tabs>
        <w:spacing w:after="480" w:line="480" w:lineRule="auto"/>
        <w:ind w:left="737" w:hanging="737"/>
        <w:jc w:val="both"/>
        <w:rPr>
          <w:rFonts w:ascii="Arial" w:hAnsi="Arial" w:cs="Arial"/>
        </w:rPr>
      </w:pPr>
      <w:r>
        <w:rPr>
          <w:rFonts w:ascii="Arial" w:hAnsi="Arial" w:cs="Arial"/>
        </w:rPr>
        <w:t>[15]</w:t>
      </w:r>
      <w:r>
        <w:rPr>
          <w:rFonts w:ascii="Arial" w:hAnsi="Arial" w:cs="Arial"/>
        </w:rPr>
        <w:tab/>
      </w:r>
      <w:r w:rsidR="00A9501B" w:rsidRPr="0020509D">
        <w:rPr>
          <w:rFonts w:ascii="Arial" w:hAnsi="Arial" w:cs="Arial"/>
        </w:rPr>
        <w:t xml:space="preserve">The second ground of exception is that the plaintiff’s cause of action is premised on the fact that the excipient was negligent in executing of its obligations under the legal services agreement. The plaintiff alleges that the excipient breached the legal services agreement by neglecting to bring an application to have the pension fund frozen, pending finalisation of the divorce. </w:t>
      </w:r>
      <w:r w:rsidR="00F14567">
        <w:rPr>
          <w:rFonts w:ascii="Arial" w:hAnsi="Arial" w:cs="Arial"/>
        </w:rPr>
        <w:t xml:space="preserve">The plaintiff </w:t>
      </w:r>
      <w:r w:rsidR="00A9501B" w:rsidRPr="0020509D">
        <w:rPr>
          <w:rFonts w:ascii="Arial" w:hAnsi="Arial" w:cs="Arial"/>
        </w:rPr>
        <w:t>argue</w:t>
      </w:r>
      <w:r w:rsidR="00F14567">
        <w:rPr>
          <w:rFonts w:ascii="Arial" w:hAnsi="Arial" w:cs="Arial"/>
        </w:rPr>
        <w:t>s</w:t>
      </w:r>
      <w:r w:rsidR="00A9501B" w:rsidRPr="0020509D">
        <w:rPr>
          <w:rFonts w:ascii="Arial" w:hAnsi="Arial" w:cs="Arial"/>
        </w:rPr>
        <w:t xml:space="preserve"> in this regard that the existence of a marriage in community of property, in itself, does not entitle the plaintiff to a portion of her husband’s pension fund interest, or to the “</w:t>
      </w:r>
      <w:r w:rsidR="00A9501B" w:rsidRPr="0020509D">
        <w:rPr>
          <w:rFonts w:ascii="Arial" w:hAnsi="Arial" w:cs="Arial"/>
          <w:i/>
          <w:iCs/>
        </w:rPr>
        <w:t>freezing of the pension fund</w:t>
      </w:r>
      <w:r w:rsidR="00A9501B" w:rsidRPr="0020509D">
        <w:rPr>
          <w:rFonts w:ascii="Arial" w:hAnsi="Arial" w:cs="Arial"/>
        </w:rPr>
        <w:t xml:space="preserve">”. To do so would have </w:t>
      </w:r>
      <w:r w:rsidR="00F14567">
        <w:rPr>
          <w:rFonts w:ascii="Arial" w:hAnsi="Arial" w:cs="Arial"/>
        </w:rPr>
        <w:t>amounted to</w:t>
      </w:r>
      <w:r w:rsidR="00A9501B" w:rsidRPr="0020509D">
        <w:rPr>
          <w:rFonts w:ascii="Arial" w:hAnsi="Arial" w:cs="Arial"/>
        </w:rPr>
        <w:t xml:space="preserve"> interdictory relief as part of which any applicant had to </w:t>
      </w:r>
      <w:r w:rsidR="007623F8">
        <w:rPr>
          <w:rFonts w:ascii="Arial" w:hAnsi="Arial" w:cs="Arial"/>
        </w:rPr>
        <w:t xml:space="preserve">plead and </w:t>
      </w:r>
      <w:r w:rsidR="00A9501B" w:rsidRPr="0020509D">
        <w:rPr>
          <w:rFonts w:ascii="Arial" w:hAnsi="Arial" w:cs="Arial"/>
        </w:rPr>
        <w:t xml:space="preserve">satisfy the requirements of an interim interdict, namely that the applicant has a </w:t>
      </w:r>
      <w:r w:rsidR="00A9501B" w:rsidRPr="0020509D">
        <w:rPr>
          <w:rFonts w:ascii="Arial" w:hAnsi="Arial" w:cs="Arial"/>
          <w:i/>
          <w:iCs/>
        </w:rPr>
        <w:t>prima facie</w:t>
      </w:r>
      <w:r w:rsidR="00A9501B" w:rsidRPr="0020509D">
        <w:rPr>
          <w:rFonts w:ascii="Arial" w:hAnsi="Arial" w:cs="Arial"/>
        </w:rPr>
        <w:t xml:space="preserve"> right, a well-grounded apprehension of irreparable harm if the interim relief is not granted, that the balance of convenience </w:t>
      </w:r>
      <w:r w:rsidR="00F14567">
        <w:rPr>
          <w:rFonts w:ascii="Arial" w:hAnsi="Arial" w:cs="Arial"/>
        </w:rPr>
        <w:t xml:space="preserve">is </w:t>
      </w:r>
      <w:r w:rsidR="00A9501B" w:rsidRPr="0020509D">
        <w:rPr>
          <w:rFonts w:ascii="Arial" w:hAnsi="Arial" w:cs="Arial"/>
        </w:rPr>
        <w:t xml:space="preserve">in favour of granting of the interim relief, and </w:t>
      </w:r>
      <w:r w:rsidR="00F14567">
        <w:rPr>
          <w:rFonts w:ascii="Arial" w:hAnsi="Arial" w:cs="Arial"/>
        </w:rPr>
        <w:t xml:space="preserve">that </w:t>
      </w:r>
      <w:r w:rsidR="00A9501B" w:rsidRPr="0020509D">
        <w:rPr>
          <w:rFonts w:ascii="Arial" w:hAnsi="Arial" w:cs="Arial"/>
        </w:rPr>
        <w:t>the</w:t>
      </w:r>
      <w:r w:rsidR="00F14567">
        <w:rPr>
          <w:rFonts w:ascii="Arial" w:hAnsi="Arial" w:cs="Arial"/>
        </w:rPr>
        <w:t xml:space="preserve">re is no other </w:t>
      </w:r>
      <w:r w:rsidR="00A9501B" w:rsidRPr="0020509D">
        <w:rPr>
          <w:rFonts w:ascii="Arial" w:hAnsi="Arial" w:cs="Arial"/>
        </w:rPr>
        <w:t xml:space="preserve">satisfactory remedy. </w:t>
      </w:r>
    </w:p>
    <w:p w14:paraId="1CB7D33D" w14:textId="1DA5EB7D" w:rsidR="00F14567" w:rsidRDefault="000E3C6A" w:rsidP="000E3C6A">
      <w:pPr>
        <w:widowControl w:val="0"/>
        <w:tabs>
          <w:tab w:val="left" w:pos="-1440"/>
          <w:tab w:val="left" w:pos="-720"/>
          <w:tab w:val="left" w:pos="0"/>
          <w:tab w:val="left" w:pos="737"/>
          <w:tab w:val="left" w:pos="1008"/>
          <w:tab w:val="left" w:pos="1728"/>
          <w:tab w:val="left" w:pos="2448"/>
          <w:tab w:val="left" w:pos="3888"/>
          <w:tab w:val="left" w:pos="5328"/>
          <w:tab w:val="left" w:pos="6768"/>
          <w:tab w:val="left" w:pos="8208"/>
        </w:tabs>
        <w:spacing w:after="480" w:line="480" w:lineRule="auto"/>
        <w:ind w:left="737" w:hanging="737"/>
        <w:jc w:val="both"/>
        <w:rPr>
          <w:rFonts w:ascii="Arial" w:hAnsi="Arial" w:cs="Arial"/>
        </w:rPr>
      </w:pPr>
      <w:r>
        <w:rPr>
          <w:rFonts w:ascii="Arial" w:hAnsi="Arial" w:cs="Arial"/>
        </w:rPr>
        <w:t>[16]</w:t>
      </w:r>
      <w:r>
        <w:rPr>
          <w:rFonts w:ascii="Arial" w:hAnsi="Arial" w:cs="Arial"/>
        </w:rPr>
        <w:tab/>
      </w:r>
      <w:r w:rsidR="00A9501B" w:rsidRPr="0020509D">
        <w:rPr>
          <w:rFonts w:ascii="Arial" w:hAnsi="Arial" w:cs="Arial"/>
        </w:rPr>
        <w:t xml:space="preserve">The </w:t>
      </w:r>
      <w:r w:rsidR="007623F8">
        <w:rPr>
          <w:rFonts w:ascii="Arial" w:hAnsi="Arial" w:cs="Arial"/>
        </w:rPr>
        <w:t xml:space="preserve">excipient </w:t>
      </w:r>
      <w:r w:rsidR="00A9501B" w:rsidRPr="0020509D">
        <w:rPr>
          <w:rFonts w:ascii="Arial" w:hAnsi="Arial" w:cs="Arial"/>
        </w:rPr>
        <w:t>except</w:t>
      </w:r>
      <w:r w:rsidR="00F14567">
        <w:rPr>
          <w:rFonts w:ascii="Arial" w:hAnsi="Arial" w:cs="Arial"/>
        </w:rPr>
        <w:t>s</w:t>
      </w:r>
      <w:r w:rsidR="00A9501B" w:rsidRPr="0020509D">
        <w:rPr>
          <w:rFonts w:ascii="Arial" w:hAnsi="Arial" w:cs="Arial"/>
        </w:rPr>
        <w:t xml:space="preserve"> </w:t>
      </w:r>
      <w:r w:rsidR="00F14567">
        <w:rPr>
          <w:rFonts w:ascii="Arial" w:hAnsi="Arial" w:cs="Arial"/>
        </w:rPr>
        <w:t>to the particulars of claim on the basis t</w:t>
      </w:r>
      <w:r w:rsidR="00A9501B" w:rsidRPr="0020509D">
        <w:rPr>
          <w:rFonts w:ascii="Arial" w:hAnsi="Arial" w:cs="Arial"/>
        </w:rPr>
        <w:t xml:space="preserve">hat the plaintiff does not plead any facts, which gave rise to a </w:t>
      </w:r>
      <w:r w:rsidR="00A9501B" w:rsidRPr="0020509D">
        <w:rPr>
          <w:rFonts w:ascii="Arial" w:hAnsi="Arial" w:cs="Arial"/>
          <w:i/>
          <w:iCs/>
        </w:rPr>
        <w:t>prima facie</w:t>
      </w:r>
      <w:r w:rsidR="00A9501B" w:rsidRPr="0020509D">
        <w:rPr>
          <w:rFonts w:ascii="Arial" w:hAnsi="Arial" w:cs="Arial"/>
        </w:rPr>
        <w:t xml:space="preserve"> right for the freezing of the husband’s pension fund, or any of the other </w:t>
      </w:r>
      <w:r w:rsidR="00A9501B" w:rsidRPr="0020509D">
        <w:rPr>
          <w:rFonts w:ascii="Arial" w:hAnsi="Arial" w:cs="Arial"/>
        </w:rPr>
        <w:lastRenderedPageBreak/>
        <w:t xml:space="preserve">requirements for interdictory relief. In addition, that on the plaintiff’s version only a portion of the pension fund has been paid out and no basis is laid for the assertion that the pension benefit is payable to the full extent, entitling the plaintiff to </w:t>
      </w:r>
      <w:r w:rsidR="00F14567">
        <w:rPr>
          <w:rFonts w:ascii="Arial" w:hAnsi="Arial" w:cs="Arial"/>
        </w:rPr>
        <w:t xml:space="preserve">half </w:t>
      </w:r>
      <w:r w:rsidR="00A9501B" w:rsidRPr="0020509D">
        <w:rPr>
          <w:rFonts w:ascii="Arial" w:hAnsi="Arial" w:cs="Arial"/>
        </w:rPr>
        <w:t>of the proceeds of the “</w:t>
      </w:r>
      <w:r w:rsidR="00A9501B" w:rsidRPr="0020509D">
        <w:rPr>
          <w:rFonts w:ascii="Arial" w:hAnsi="Arial" w:cs="Arial"/>
          <w:i/>
          <w:iCs/>
        </w:rPr>
        <w:t>capital amount</w:t>
      </w:r>
      <w:r w:rsidR="00A9501B" w:rsidRPr="0020509D">
        <w:rPr>
          <w:rFonts w:ascii="Arial" w:hAnsi="Arial" w:cs="Arial"/>
        </w:rPr>
        <w:t xml:space="preserve">”. </w:t>
      </w:r>
    </w:p>
    <w:p w14:paraId="26BD4873" w14:textId="311C16DD" w:rsidR="00A9501B" w:rsidRPr="0020509D" w:rsidRDefault="000E3C6A" w:rsidP="000E3C6A">
      <w:pPr>
        <w:widowControl w:val="0"/>
        <w:tabs>
          <w:tab w:val="left" w:pos="-1440"/>
          <w:tab w:val="left" w:pos="-720"/>
          <w:tab w:val="left" w:pos="0"/>
          <w:tab w:val="left" w:pos="737"/>
          <w:tab w:val="left" w:pos="1008"/>
          <w:tab w:val="left" w:pos="1728"/>
          <w:tab w:val="left" w:pos="2448"/>
          <w:tab w:val="left" w:pos="3888"/>
          <w:tab w:val="left" w:pos="5328"/>
          <w:tab w:val="left" w:pos="6768"/>
          <w:tab w:val="left" w:pos="8208"/>
        </w:tabs>
        <w:spacing w:after="480" w:line="480" w:lineRule="auto"/>
        <w:ind w:left="737" w:hanging="737"/>
        <w:jc w:val="both"/>
        <w:rPr>
          <w:rFonts w:ascii="Arial" w:hAnsi="Arial" w:cs="Arial"/>
        </w:rPr>
      </w:pPr>
      <w:r w:rsidRPr="0020509D">
        <w:rPr>
          <w:rFonts w:ascii="Arial" w:hAnsi="Arial" w:cs="Arial"/>
        </w:rPr>
        <w:t>[17]</w:t>
      </w:r>
      <w:r w:rsidRPr="0020509D">
        <w:rPr>
          <w:rFonts w:ascii="Arial" w:hAnsi="Arial" w:cs="Arial"/>
        </w:rPr>
        <w:tab/>
      </w:r>
      <w:r w:rsidR="00A9501B" w:rsidRPr="0020509D">
        <w:rPr>
          <w:rFonts w:ascii="Arial" w:hAnsi="Arial" w:cs="Arial"/>
        </w:rPr>
        <w:t xml:space="preserve">Under the circumstances it was submitted that on any interpretation of the particulars of claim, the plaintiff has not made out a case for breach of the legal services agreement, or for negligence. </w:t>
      </w:r>
    </w:p>
    <w:p w14:paraId="46911C20" w14:textId="77777777" w:rsidR="00A9501B" w:rsidRPr="0020509D" w:rsidRDefault="00A9501B" w:rsidP="004C188D">
      <w:pPr>
        <w:pStyle w:val="Heading1"/>
        <w:keepLines/>
        <w:tabs>
          <w:tab w:val="clear" w:pos="540"/>
        </w:tabs>
        <w:spacing w:after="360"/>
        <w:rPr>
          <w:rFonts w:ascii="Arial" w:hAnsi="Arial" w:cs="Arial"/>
          <w:b w:val="0"/>
        </w:rPr>
      </w:pPr>
      <w:r w:rsidRPr="0020509D">
        <w:rPr>
          <w:rFonts w:ascii="Arial" w:hAnsi="Arial" w:cs="Arial"/>
        </w:rPr>
        <w:t>ARGUMENTS ON BEHALF OF THE PLAINTIFF</w:t>
      </w:r>
    </w:p>
    <w:p w14:paraId="3216E416" w14:textId="502185F0" w:rsidR="00C61FF3" w:rsidRDefault="000E3C6A" w:rsidP="000E3C6A">
      <w:pPr>
        <w:widowControl w:val="0"/>
        <w:tabs>
          <w:tab w:val="left" w:pos="-1440"/>
          <w:tab w:val="left" w:pos="-720"/>
          <w:tab w:val="left" w:pos="0"/>
          <w:tab w:val="left" w:pos="737"/>
          <w:tab w:val="left" w:pos="1008"/>
          <w:tab w:val="left" w:pos="1728"/>
          <w:tab w:val="left" w:pos="2448"/>
          <w:tab w:val="left" w:pos="3888"/>
          <w:tab w:val="left" w:pos="5328"/>
          <w:tab w:val="left" w:pos="6768"/>
          <w:tab w:val="left" w:pos="8208"/>
        </w:tabs>
        <w:spacing w:after="480" w:line="480" w:lineRule="auto"/>
        <w:ind w:left="737" w:hanging="737"/>
        <w:jc w:val="both"/>
        <w:rPr>
          <w:rFonts w:ascii="Arial" w:hAnsi="Arial" w:cs="Arial"/>
        </w:rPr>
      </w:pPr>
      <w:r>
        <w:rPr>
          <w:rFonts w:ascii="Arial" w:hAnsi="Arial" w:cs="Arial"/>
        </w:rPr>
        <w:t>[18]</w:t>
      </w:r>
      <w:r>
        <w:rPr>
          <w:rFonts w:ascii="Arial" w:hAnsi="Arial" w:cs="Arial"/>
        </w:rPr>
        <w:tab/>
      </w:r>
      <w:r w:rsidR="006665D6">
        <w:rPr>
          <w:rFonts w:ascii="Arial" w:hAnsi="Arial" w:cs="Arial"/>
        </w:rPr>
        <w:t xml:space="preserve">It was </w:t>
      </w:r>
      <w:r w:rsidR="005B6C56">
        <w:rPr>
          <w:rFonts w:ascii="Arial" w:hAnsi="Arial" w:cs="Arial"/>
        </w:rPr>
        <w:t>submitted</w:t>
      </w:r>
      <w:r w:rsidR="006665D6">
        <w:rPr>
          <w:rFonts w:ascii="Arial" w:hAnsi="Arial" w:cs="Arial"/>
        </w:rPr>
        <w:t xml:space="preserve"> on behalf of the plaintiff that t</w:t>
      </w:r>
      <w:r w:rsidR="00A9501B" w:rsidRPr="006665D6">
        <w:rPr>
          <w:rFonts w:ascii="Arial" w:hAnsi="Arial" w:cs="Arial"/>
        </w:rPr>
        <w:t xml:space="preserve">he </w:t>
      </w:r>
      <w:r w:rsidR="006665D6" w:rsidRPr="006665D6">
        <w:rPr>
          <w:rFonts w:ascii="Arial" w:hAnsi="Arial" w:cs="Arial"/>
        </w:rPr>
        <w:t>exception was instituted as an abuse of process to have the merit</w:t>
      </w:r>
      <w:r w:rsidR="006665D6">
        <w:rPr>
          <w:rFonts w:ascii="Arial" w:hAnsi="Arial" w:cs="Arial"/>
        </w:rPr>
        <w:t>s</w:t>
      </w:r>
      <w:r w:rsidR="006665D6" w:rsidRPr="006665D6">
        <w:rPr>
          <w:rFonts w:ascii="Arial" w:hAnsi="Arial" w:cs="Arial"/>
        </w:rPr>
        <w:t xml:space="preserve"> heard before the matter proceed to trial, </w:t>
      </w:r>
      <w:r w:rsidR="006665D6">
        <w:rPr>
          <w:rFonts w:ascii="Arial" w:hAnsi="Arial" w:cs="Arial"/>
        </w:rPr>
        <w:t xml:space="preserve">in </w:t>
      </w:r>
      <w:r w:rsidR="006665D6" w:rsidRPr="006665D6">
        <w:rPr>
          <w:rFonts w:ascii="Arial" w:hAnsi="Arial" w:cs="Arial"/>
        </w:rPr>
        <w:t xml:space="preserve">an attempt to discourage the </w:t>
      </w:r>
      <w:r w:rsidR="006665D6">
        <w:rPr>
          <w:rFonts w:ascii="Arial" w:hAnsi="Arial" w:cs="Arial"/>
        </w:rPr>
        <w:t>p</w:t>
      </w:r>
      <w:r w:rsidR="006665D6" w:rsidRPr="006665D6">
        <w:rPr>
          <w:rFonts w:ascii="Arial" w:hAnsi="Arial" w:cs="Arial"/>
        </w:rPr>
        <w:t>laintiff from pursuing the case due to the financial implications it may have</w:t>
      </w:r>
      <w:r w:rsidR="006665D6">
        <w:rPr>
          <w:rFonts w:ascii="Arial" w:hAnsi="Arial" w:cs="Arial"/>
        </w:rPr>
        <w:t xml:space="preserve">. It was done </w:t>
      </w:r>
      <w:r w:rsidR="006665D6" w:rsidRPr="006665D6">
        <w:rPr>
          <w:rFonts w:ascii="Arial" w:hAnsi="Arial" w:cs="Arial"/>
        </w:rPr>
        <w:t xml:space="preserve">to try and force the </w:t>
      </w:r>
      <w:r w:rsidR="006665D6">
        <w:rPr>
          <w:rFonts w:ascii="Arial" w:hAnsi="Arial" w:cs="Arial"/>
        </w:rPr>
        <w:t>p</w:t>
      </w:r>
      <w:r w:rsidR="006665D6" w:rsidRPr="006665D6">
        <w:rPr>
          <w:rFonts w:ascii="Arial" w:hAnsi="Arial" w:cs="Arial"/>
        </w:rPr>
        <w:t xml:space="preserve">laintiff to drop the case on the basis that she cannot litigate on equal footing with the </w:t>
      </w:r>
      <w:r w:rsidR="006665D6">
        <w:rPr>
          <w:rFonts w:ascii="Arial" w:hAnsi="Arial" w:cs="Arial"/>
        </w:rPr>
        <w:t xml:space="preserve">excipient who </w:t>
      </w:r>
      <w:r w:rsidR="006665D6" w:rsidRPr="006665D6">
        <w:rPr>
          <w:rFonts w:ascii="Arial" w:hAnsi="Arial" w:cs="Arial"/>
        </w:rPr>
        <w:t xml:space="preserve">can afford to bring </w:t>
      </w:r>
      <w:r w:rsidR="006665D6" w:rsidRPr="006665D6">
        <w:rPr>
          <w:rFonts w:ascii="Arial" w:hAnsi="Arial" w:cs="Arial"/>
          <w:i/>
          <w:iCs/>
        </w:rPr>
        <w:t>“vexatious exceptions to the pleadings in hopes of dragging the matter out as long as possible”</w:t>
      </w:r>
      <w:r w:rsidR="006665D6" w:rsidRPr="006665D6">
        <w:rPr>
          <w:rFonts w:ascii="Arial" w:hAnsi="Arial" w:cs="Arial"/>
        </w:rPr>
        <w:t xml:space="preserve"> and once again, as in the past, act to the detriment of the </w:t>
      </w:r>
      <w:r w:rsidR="006665D6">
        <w:rPr>
          <w:rFonts w:ascii="Arial" w:hAnsi="Arial" w:cs="Arial"/>
        </w:rPr>
        <w:t>p</w:t>
      </w:r>
      <w:r w:rsidR="006665D6" w:rsidRPr="006665D6">
        <w:rPr>
          <w:rFonts w:ascii="Arial" w:hAnsi="Arial" w:cs="Arial"/>
        </w:rPr>
        <w:t xml:space="preserve">laintiff’s financial position. </w:t>
      </w:r>
    </w:p>
    <w:p w14:paraId="6F51287A" w14:textId="03C5A397" w:rsidR="006665D6" w:rsidRPr="006665D6" w:rsidRDefault="000E3C6A" w:rsidP="000E3C6A">
      <w:pPr>
        <w:widowControl w:val="0"/>
        <w:tabs>
          <w:tab w:val="left" w:pos="-1440"/>
          <w:tab w:val="left" w:pos="-720"/>
          <w:tab w:val="left" w:pos="0"/>
          <w:tab w:val="left" w:pos="737"/>
          <w:tab w:val="left" w:pos="1008"/>
          <w:tab w:val="left" w:pos="1728"/>
          <w:tab w:val="left" w:pos="2448"/>
          <w:tab w:val="left" w:pos="3888"/>
          <w:tab w:val="left" w:pos="5328"/>
          <w:tab w:val="left" w:pos="6768"/>
          <w:tab w:val="left" w:pos="8208"/>
        </w:tabs>
        <w:spacing w:after="480" w:line="480" w:lineRule="auto"/>
        <w:ind w:left="737" w:hanging="737"/>
        <w:jc w:val="both"/>
        <w:rPr>
          <w:rFonts w:ascii="Arial" w:hAnsi="Arial" w:cs="Arial"/>
        </w:rPr>
      </w:pPr>
      <w:r w:rsidRPr="006665D6">
        <w:rPr>
          <w:rFonts w:ascii="Arial" w:hAnsi="Arial" w:cs="Arial"/>
        </w:rPr>
        <w:t>[19]</w:t>
      </w:r>
      <w:r w:rsidRPr="006665D6">
        <w:rPr>
          <w:rFonts w:ascii="Arial" w:hAnsi="Arial" w:cs="Arial"/>
        </w:rPr>
        <w:tab/>
      </w:r>
      <w:r w:rsidR="006665D6" w:rsidRPr="006665D6">
        <w:rPr>
          <w:rFonts w:ascii="Arial" w:hAnsi="Arial" w:cs="Arial"/>
        </w:rPr>
        <w:t xml:space="preserve">The </w:t>
      </w:r>
      <w:r w:rsidR="006665D6">
        <w:rPr>
          <w:rFonts w:ascii="Arial" w:hAnsi="Arial" w:cs="Arial"/>
        </w:rPr>
        <w:t>p</w:t>
      </w:r>
      <w:r w:rsidR="006665D6" w:rsidRPr="006665D6">
        <w:rPr>
          <w:rFonts w:ascii="Arial" w:hAnsi="Arial" w:cs="Arial"/>
        </w:rPr>
        <w:t xml:space="preserve">laintiff therefore asks that the exception be set aside and </w:t>
      </w:r>
      <w:r w:rsidR="006665D6">
        <w:rPr>
          <w:rFonts w:ascii="Arial" w:hAnsi="Arial" w:cs="Arial"/>
        </w:rPr>
        <w:t xml:space="preserve">that </w:t>
      </w:r>
      <w:r w:rsidR="006665D6" w:rsidRPr="006665D6">
        <w:rPr>
          <w:rFonts w:ascii="Arial" w:hAnsi="Arial" w:cs="Arial"/>
        </w:rPr>
        <w:t xml:space="preserve">punitive costs on </w:t>
      </w:r>
      <w:r w:rsidR="006665D6">
        <w:rPr>
          <w:rFonts w:ascii="Arial" w:hAnsi="Arial" w:cs="Arial"/>
        </w:rPr>
        <w:t xml:space="preserve">a scale of </w:t>
      </w:r>
      <w:r w:rsidR="006665D6" w:rsidRPr="006665D6">
        <w:rPr>
          <w:rFonts w:ascii="Arial" w:hAnsi="Arial" w:cs="Arial"/>
        </w:rPr>
        <w:t xml:space="preserve">attorney and client </w:t>
      </w:r>
      <w:r w:rsidR="006665D6">
        <w:rPr>
          <w:rFonts w:ascii="Arial" w:hAnsi="Arial" w:cs="Arial"/>
        </w:rPr>
        <w:t xml:space="preserve">be awarded </w:t>
      </w:r>
      <w:r w:rsidR="006665D6" w:rsidRPr="006665D6">
        <w:rPr>
          <w:rFonts w:ascii="Arial" w:hAnsi="Arial" w:cs="Arial"/>
        </w:rPr>
        <w:t xml:space="preserve">against the </w:t>
      </w:r>
      <w:r w:rsidR="006665D6" w:rsidRPr="006665D6">
        <w:rPr>
          <w:rFonts w:ascii="Arial" w:hAnsi="Arial" w:cs="Arial"/>
        </w:rPr>
        <w:lastRenderedPageBreak/>
        <w:t>excipient.</w:t>
      </w:r>
    </w:p>
    <w:p w14:paraId="7F3C9A41" w14:textId="11F1C956" w:rsidR="006665D6" w:rsidRDefault="000E3C6A" w:rsidP="000E3C6A">
      <w:pPr>
        <w:widowControl w:val="0"/>
        <w:spacing w:after="360" w:line="480" w:lineRule="auto"/>
        <w:ind w:left="737" w:right="-455" w:hanging="737"/>
        <w:jc w:val="both"/>
        <w:rPr>
          <w:rFonts w:ascii="Arial" w:hAnsi="Arial" w:cs="Arial"/>
        </w:rPr>
      </w:pPr>
      <w:r>
        <w:rPr>
          <w:rFonts w:ascii="Arial" w:hAnsi="Arial" w:cs="Arial"/>
        </w:rPr>
        <w:t>[20]</w:t>
      </w:r>
      <w:r>
        <w:rPr>
          <w:rFonts w:ascii="Arial" w:hAnsi="Arial" w:cs="Arial"/>
        </w:rPr>
        <w:tab/>
      </w:r>
      <w:r w:rsidR="006665D6">
        <w:rPr>
          <w:rFonts w:ascii="Arial" w:hAnsi="Arial" w:cs="Arial"/>
        </w:rPr>
        <w:t xml:space="preserve">There are, however, no facts before this </w:t>
      </w:r>
      <w:r w:rsidR="00CA2D2E">
        <w:rPr>
          <w:rFonts w:ascii="Arial" w:hAnsi="Arial" w:cs="Arial"/>
        </w:rPr>
        <w:t>c</w:t>
      </w:r>
      <w:r w:rsidR="006665D6">
        <w:rPr>
          <w:rFonts w:ascii="Arial" w:hAnsi="Arial" w:cs="Arial"/>
        </w:rPr>
        <w:t>ourt based upon which the above submissions can be made</w:t>
      </w:r>
      <w:r w:rsidR="00C61FF3">
        <w:rPr>
          <w:rFonts w:ascii="Arial" w:hAnsi="Arial" w:cs="Arial"/>
        </w:rPr>
        <w:t>. T</w:t>
      </w:r>
      <w:r w:rsidR="006665D6">
        <w:rPr>
          <w:rFonts w:ascii="Arial" w:hAnsi="Arial" w:cs="Arial"/>
        </w:rPr>
        <w:t xml:space="preserve">his court will therefore not entertain them. </w:t>
      </w:r>
    </w:p>
    <w:p w14:paraId="420D80B2" w14:textId="28A6615C" w:rsidR="00374383" w:rsidRPr="00374383" w:rsidRDefault="000E3C6A" w:rsidP="000E3C6A">
      <w:pPr>
        <w:widowControl w:val="0"/>
        <w:spacing w:after="360" w:line="480" w:lineRule="auto"/>
        <w:ind w:left="737" w:right="-455" w:hanging="737"/>
        <w:jc w:val="both"/>
        <w:rPr>
          <w:rFonts w:ascii="Arial" w:hAnsi="Arial" w:cs="Arial"/>
        </w:rPr>
      </w:pPr>
      <w:r w:rsidRPr="00374383">
        <w:rPr>
          <w:rFonts w:ascii="Arial" w:hAnsi="Arial" w:cs="Arial"/>
        </w:rPr>
        <w:t>[21]</w:t>
      </w:r>
      <w:r w:rsidRPr="00374383">
        <w:rPr>
          <w:rFonts w:ascii="Arial" w:hAnsi="Arial" w:cs="Arial"/>
        </w:rPr>
        <w:tab/>
      </w:r>
      <w:r w:rsidR="006665D6">
        <w:rPr>
          <w:rFonts w:ascii="Arial" w:hAnsi="Arial" w:cs="Arial"/>
        </w:rPr>
        <w:t xml:space="preserve">In any event, even if plaintiff’s unfounded suspicions, and I do not put it any higher than that, are correct, they have no relevance for the present inquiry. </w:t>
      </w:r>
      <w:r w:rsidR="00C61FF3">
        <w:rPr>
          <w:rFonts w:ascii="Arial" w:hAnsi="Arial" w:cs="Arial"/>
        </w:rPr>
        <w:t xml:space="preserve">As </w:t>
      </w:r>
      <w:r w:rsidR="00374383">
        <w:rPr>
          <w:rFonts w:ascii="Arial" w:hAnsi="Arial" w:cs="Arial"/>
        </w:rPr>
        <w:t xml:space="preserve">Schreiner JA held in </w:t>
      </w:r>
      <w:r w:rsidR="00374383" w:rsidRPr="00374383">
        <w:rPr>
          <w:rFonts w:ascii="Arial" w:hAnsi="Arial" w:cs="Arial"/>
          <w:b/>
          <w:bCs/>
          <w:u w:val="single"/>
          <w:lang w:val="en-ZA"/>
        </w:rPr>
        <w:t xml:space="preserve">Tsose v Minister of Justice and </w:t>
      </w:r>
      <w:r w:rsidR="00374383" w:rsidRPr="00867B68">
        <w:rPr>
          <w:rFonts w:ascii="Arial" w:hAnsi="Arial" w:cs="Arial"/>
          <w:b/>
          <w:bCs/>
          <w:u w:val="single"/>
          <w:lang w:val="en-ZA"/>
        </w:rPr>
        <w:t>Others</w:t>
      </w:r>
      <w:r w:rsidR="00374383" w:rsidRPr="00867B68">
        <w:rPr>
          <w:rFonts w:ascii="Arial" w:hAnsi="Arial" w:cs="Arial"/>
          <w:b/>
          <w:bCs/>
          <w:lang w:val="en-ZA"/>
        </w:rPr>
        <w:t xml:space="preserve"> 1951 (3) SA 10 (A)</w:t>
      </w:r>
      <w:r w:rsidR="00374383" w:rsidRPr="00374383">
        <w:rPr>
          <w:rFonts w:ascii="Arial" w:hAnsi="Arial" w:cs="Arial"/>
          <w:b/>
          <w:bCs/>
          <w:lang w:val="en-ZA"/>
        </w:rPr>
        <w:t xml:space="preserve"> at 17G-H</w:t>
      </w:r>
      <w:r w:rsidR="00374383">
        <w:rPr>
          <w:rFonts w:ascii="Arial" w:hAnsi="Arial" w:cs="Arial"/>
          <w:lang w:val="en-ZA"/>
        </w:rPr>
        <w:t xml:space="preserve">: </w:t>
      </w:r>
      <w:r w:rsidR="00374383" w:rsidRPr="00374383">
        <w:rPr>
          <w:rFonts w:ascii="Arial" w:hAnsi="Arial" w:cs="Arial"/>
          <w:i/>
          <w:iCs/>
          <w:lang w:val="en-ZA"/>
        </w:rPr>
        <w:t>“For just as the best motive will not cure an otherwise illegal arrest so the worst motive will not render an otherwise legal arrest illegal.”</w:t>
      </w:r>
      <w:r w:rsidR="00374383">
        <w:rPr>
          <w:rFonts w:ascii="Arial" w:hAnsi="Arial" w:cs="Arial"/>
          <w:lang w:val="en-ZA"/>
        </w:rPr>
        <w:t xml:space="preserve"> </w:t>
      </w:r>
      <w:r w:rsidR="00C61FF3">
        <w:rPr>
          <w:rFonts w:ascii="Arial" w:hAnsi="Arial" w:cs="Arial"/>
          <w:lang w:val="en-ZA"/>
        </w:rPr>
        <w:t xml:space="preserve">In my view this equally applies to the present matter. </w:t>
      </w:r>
      <w:r w:rsidR="00C61FF3">
        <w:rPr>
          <w:rFonts w:ascii="Arial" w:hAnsi="Arial" w:cs="Arial"/>
        </w:rPr>
        <w:t>The exception is either good or bad, whatever the excipients motive was in bringing it.</w:t>
      </w:r>
    </w:p>
    <w:p w14:paraId="47F0C1E1" w14:textId="398B1B62" w:rsidR="00A9501B" w:rsidRPr="0020509D" w:rsidRDefault="000E3C6A" w:rsidP="000E3C6A">
      <w:pPr>
        <w:widowControl w:val="0"/>
        <w:tabs>
          <w:tab w:val="left" w:pos="-1440"/>
          <w:tab w:val="left" w:pos="-720"/>
          <w:tab w:val="left" w:pos="0"/>
          <w:tab w:val="left" w:pos="737"/>
          <w:tab w:val="left" w:pos="1008"/>
          <w:tab w:val="left" w:pos="1728"/>
          <w:tab w:val="left" w:pos="2448"/>
          <w:tab w:val="left" w:pos="3888"/>
          <w:tab w:val="left" w:pos="5328"/>
          <w:tab w:val="left" w:pos="6768"/>
          <w:tab w:val="left" w:pos="8208"/>
        </w:tabs>
        <w:spacing w:after="480" w:line="480" w:lineRule="auto"/>
        <w:ind w:left="737" w:hanging="737"/>
        <w:jc w:val="both"/>
        <w:rPr>
          <w:rFonts w:ascii="Arial" w:hAnsi="Arial" w:cs="Arial"/>
        </w:rPr>
      </w:pPr>
      <w:r w:rsidRPr="0020509D">
        <w:rPr>
          <w:rFonts w:ascii="Arial" w:hAnsi="Arial" w:cs="Arial"/>
        </w:rPr>
        <w:t>[22]</w:t>
      </w:r>
      <w:r w:rsidRPr="0020509D">
        <w:rPr>
          <w:rFonts w:ascii="Arial" w:hAnsi="Arial" w:cs="Arial"/>
        </w:rPr>
        <w:tab/>
      </w:r>
      <w:r w:rsidR="00374383">
        <w:rPr>
          <w:rFonts w:ascii="Arial" w:hAnsi="Arial" w:cs="Arial"/>
          <w:lang w:val="en-ZA"/>
        </w:rPr>
        <w:t xml:space="preserve">The plaintiff’s argument </w:t>
      </w:r>
      <w:r w:rsidR="00A9501B" w:rsidRPr="0020509D">
        <w:rPr>
          <w:rFonts w:ascii="Arial" w:hAnsi="Arial" w:cs="Arial"/>
        </w:rPr>
        <w:t xml:space="preserve">is </w:t>
      </w:r>
      <w:r w:rsidR="00374383">
        <w:rPr>
          <w:rFonts w:ascii="Arial" w:hAnsi="Arial" w:cs="Arial"/>
        </w:rPr>
        <w:t xml:space="preserve">further that </w:t>
      </w:r>
      <w:r w:rsidR="00A9501B" w:rsidRPr="0020509D">
        <w:rPr>
          <w:rFonts w:ascii="Arial" w:hAnsi="Arial" w:cs="Arial"/>
        </w:rPr>
        <w:t>the particulars of claim set out the material facts so sufficiently and with particularity that the excipient “</w:t>
      </w:r>
      <w:r w:rsidR="00A9501B" w:rsidRPr="0020509D">
        <w:rPr>
          <w:rFonts w:ascii="Arial" w:hAnsi="Arial" w:cs="Arial"/>
          <w:i/>
          <w:iCs/>
        </w:rPr>
        <w:t>is completely aware of exactly the case it is to meet</w:t>
      </w:r>
      <w:r w:rsidR="00A9501B" w:rsidRPr="0020509D">
        <w:rPr>
          <w:rFonts w:ascii="Arial" w:hAnsi="Arial" w:cs="Arial"/>
        </w:rPr>
        <w:t xml:space="preserve">”. Moreover, that the exception strikes at the heart of the </w:t>
      </w:r>
      <w:r w:rsidR="00A9501B" w:rsidRPr="0020509D">
        <w:rPr>
          <w:rFonts w:ascii="Arial" w:hAnsi="Arial" w:cs="Arial"/>
          <w:i/>
          <w:iCs/>
        </w:rPr>
        <w:t>facta probantia</w:t>
      </w:r>
      <w:r w:rsidR="00A9501B" w:rsidRPr="0020509D">
        <w:rPr>
          <w:rFonts w:ascii="Arial" w:hAnsi="Arial" w:cs="Arial"/>
        </w:rPr>
        <w:t xml:space="preserve">, which the excipient alleges would not be sufficient to sustain a cause of action. In this regard the plaintiff </w:t>
      </w:r>
      <w:r w:rsidR="00374383">
        <w:rPr>
          <w:rFonts w:ascii="Arial" w:hAnsi="Arial" w:cs="Arial"/>
        </w:rPr>
        <w:t xml:space="preserve">relies on the difference </w:t>
      </w:r>
      <w:r w:rsidR="00A9501B" w:rsidRPr="0020509D">
        <w:rPr>
          <w:rFonts w:ascii="Arial" w:hAnsi="Arial" w:cs="Arial"/>
        </w:rPr>
        <w:t xml:space="preserve">between the </w:t>
      </w:r>
      <w:r w:rsidR="00A9501B" w:rsidRPr="0020509D">
        <w:rPr>
          <w:rFonts w:ascii="Arial" w:hAnsi="Arial" w:cs="Arial"/>
          <w:i/>
          <w:iCs/>
        </w:rPr>
        <w:t>facta probanda</w:t>
      </w:r>
      <w:r w:rsidR="00A9501B" w:rsidRPr="0020509D">
        <w:rPr>
          <w:rFonts w:ascii="Arial" w:hAnsi="Arial" w:cs="Arial"/>
        </w:rPr>
        <w:t xml:space="preserve"> and the </w:t>
      </w:r>
      <w:r w:rsidR="00A9501B" w:rsidRPr="0020509D">
        <w:rPr>
          <w:rFonts w:ascii="Arial" w:hAnsi="Arial" w:cs="Arial"/>
          <w:i/>
          <w:iCs/>
        </w:rPr>
        <w:t>facta probantia</w:t>
      </w:r>
      <w:r w:rsidR="00A9501B" w:rsidRPr="0020509D">
        <w:rPr>
          <w:rFonts w:ascii="Arial" w:hAnsi="Arial" w:cs="Arial"/>
        </w:rPr>
        <w:t xml:space="preserve">, </w:t>
      </w:r>
      <w:r w:rsidR="00374383">
        <w:rPr>
          <w:rFonts w:ascii="Arial" w:hAnsi="Arial" w:cs="Arial"/>
        </w:rPr>
        <w:t xml:space="preserve">with reference to </w:t>
      </w:r>
      <w:r w:rsidR="00A9501B" w:rsidRPr="0020509D">
        <w:rPr>
          <w:rFonts w:ascii="Arial" w:hAnsi="Arial" w:cs="Arial"/>
        </w:rPr>
        <w:t xml:space="preserve">the well-known authority of </w:t>
      </w:r>
      <w:r w:rsidR="00A9501B" w:rsidRPr="0020509D">
        <w:rPr>
          <w:rFonts w:ascii="Arial" w:hAnsi="Arial" w:cs="Arial"/>
          <w:b/>
          <w:bCs/>
          <w:u w:val="single"/>
        </w:rPr>
        <w:t>Jowell v Bramwell-Jones and others</w:t>
      </w:r>
      <w:r w:rsidR="00A9501B" w:rsidRPr="0020509D">
        <w:rPr>
          <w:rFonts w:ascii="Arial" w:hAnsi="Arial" w:cs="Arial"/>
          <w:b/>
          <w:bCs/>
        </w:rPr>
        <w:t xml:space="preserve"> 1988 (1) SA 836 (W) at 93A-B</w:t>
      </w:r>
      <w:r w:rsidR="00A9501B" w:rsidRPr="0020509D">
        <w:rPr>
          <w:rFonts w:ascii="Arial" w:hAnsi="Arial" w:cs="Arial"/>
        </w:rPr>
        <w:t xml:space="preserve"> where it was </w:t>
      </w:r>
      <w:r w:rsidR="00A44E25">
        <w:rPr>
          <w:rFonts w:ascii="Arial" w:hAnsi="Arial" w:cs="Arial"/>
        </w:rPr>
        <w:t>held</w:t>
      </w:r>
      <w:r w:rsidR="00A9501B" w:rsidRPr="0020509D">
        <w:rPr>
          <w:rFonts w:ascii="Arial" w:hAnsi="Arial" w:cs="Arial"/>
        </w:rPr>
        <w:t xml:space="preserve"> that:</w:t>
      </w:r>
    </w:p>
    <w:p w14:paraId="7A4AAECD" w14:textId="77777777" w:rsidR="00A9501B" w:rsidRPr="0020509D" w:rsidRDefault="00A9501B" w:rsidP="00A9501B">
      <w:pPr>
        <w:widowControl w:val="0"/>
        <w:tabs>
          <w:tab w:val="left" w:pos="-1440"/>
          <w:tab w:val="left" w:pos="-720"/>
          <w:tab w:val="left" w:pos="0"/>
          <w:tab w:val="left" w:pos="1008"/>
          <w:tab w:val="left" w:pos="1728"/>
          <w:tab w:val="left" w:pos="2448"/>
          <w:tab w:val="left" w:pos="3888"/>
          <w:tab w:val="left" w:pos="5328"/>
          <w:tab w:val="left" w:pos="6768"/>
          <w:tab w:val="left" w:pos="8208"/>
        </w:tabs>
        <w:spacing w:after="720"/>
        <w:ind w:left="1701"/>
        <w:jc w:val="both"/>
        <w:rPr>
          <w:rFonts w:ascii="Arial" w:hAnsi="Arial" w:cs="Arial"/>
        </w:rPr>
      </w:pPr>
      <w:r w:rsidRPr="0020509D">
        <w:rPr>
          <w:rFonts w:ascii="Arial" w:hAnsi="Arial" w:cs="Arial"/>
        </w:rPr>
        <w:t>“</w:t>
      </w:r>
      <w:r w:rsidRPr="0020509D">
        <w:rPr>
          <w:rFonts w:ascii="Arial" w:hAnsi="Arial" w:cs="Arial"/>
          <w:i/>
          <w:iCs/>
        </w:rPr>
        <w:t xml:space="preserve">A distinction must be drawn between the </w:t>
      </w:r>
      <w:r w:rsidRPr="0020509D">
        <w:rPr>
          <w:rFonts w:ascii="Arial" w:hAnsi="Arial" w:cs="Arial"/>
        </w:rPr>
        <w:t xml:space="preserve">facta probanda, </w:t>
      </w:r>
      <w:r w:rsidRPr="0020509D">
        <w:rPr>
          <w:rFonts w:ascii="Arial" w:hAnsi="Arial" w:cs="Arial"/>
          <w:i/>
          <w:iCs/>
        </w:rPr>
        <w:t xml:space="preserve">or </w:t>
      </w:r>
      <w:r w:rsidRPr="0020509D">
        <w:rPr>
          <w:rFonts w:ascii="Arial" w:hAnsi="Arial" w:cs="Arial"/>
          <w:i/>
          <w:iCs/>
        </w:rPr>
        <w:lastRenderedPageBreak/>
        <w:t xml:space="preserve">primary factual allegations which every plaintiff must make, and the </w:t>
      </w:r>
      <w:r w:rsidRPr="0020509D">
        <w:rPr>
          <w:rFonts w:ascii="Arial" w:hAnsi="Arial" w:cs="Arial"/>
        </w:rPr>
        <w:t>facta probantia,</w:t>
      </w:r>
      <w:r w:rsidRPr="0020509D">
        <w:rPr>
          <w:rFonts w:ascii="Arial" w:hAnsi="Arial" w:cs="Arial"/>
          <w:i/>
          <w:iCs/>
        </w:rPr>
        <w:t xml:space="preserve"> which are the secondary allegations upon which the plaintiff will rely in support of his primary factual allegations. Generally speaking, the latter are matters for particulars for trial and even then are limited. For the rest, they are matters for evidence.</w:t>
      </w:r>
      <w:r w:rsidRPr="0020509D">
        <w:rPr>
          <w:rFonts w:ascii="Arial" w:hAnsi="Arial" w:cs="Arial"/>
        </w:rPr>
        <w:t>”</w:t>
      </w:r>
    </w:p>
    <w:p w14:paraId="0F77E319" w14:textId="2AEF4DDF" w:rsidR="00A9501B" w:rsidRDefault="000E3C6A" w:rsidP="000E3C6A">
      <w:pPr>
        <w:widowControl w:val="0"/>
        <w:spacing w:after="360" w:line="480" w:lineRule="auto"/>
        <w:ind w:left="737" w:right="-455" w:hanging="737"/>
        <w:jc w:val="both"/>
        <w:rPr>
          <w:rFonts w:ascii="Arial" w:hAnsi="Arial" w:cs="Arial"/>
        </w:rPr>
      </w:pPr>
      <w:r>
        <w:rPr>
          <w:rFonts w:ascii="Arial" w:hAnsi="Arial" w:cs="Arial"/>
        </w:rPr>
        <w:t>[23]</w:t>
      </w:r>
      <w:r>
        <w:rPr>
          <w:rFonts w:ascii="Arial" w:hAnsi="Arial" w:cs="Arial"/>
        </w:rPr>
        <w:tab/>
      </w:r>
      <w:r w:rsidR="00374383">
        <w:rPr>
          <w:rFonts w:ascii="Arial" w:hAnsi="Arial" w:cs="Arial"/>
        </w:rPr>
        <w:t>The plaintiff argues that the excipient has failed to dispose of the onus which it bears by limiting itself to a single interpretation of the particulars of claim, as well as not addressing the cause of action but rather the facts which should sustain the cause of action.</w:t>
      </w:r>
    </w:p>
    <w:p w14:paraId="6FDB8539" w14:textId="0E6A9BFF" w:rsidR="00643A8A" w:rsidRDefault="000E3C6A" w:rsidP="000E3C6A">
      <w:pPr>
        <w:widowControl w:val="0"/>
        <w:spacing w:after="360" w:line="480" w:lineRule="auto"/>
        <w:ind w:left="737" w:right="-455" w:hanging="737"/>
        <w:jc w:val="both"/>
        <w:rPr>
          <w:rFonts w:ascii="Arial" w:hAnsi="Arial" w:cs="Arial"/>
        </w:rPr>
      </w:pPr>
      <w:r>
        <w:rPr>
          <w:rFonts w:ascii="Arial" w:hAnsi="Arial" w:cs="Arial"/>
        </w:rPr>
        <w:t>[24]</w:t>
      </w:r>
      <w:r>
        <w:rPr>
          <w:rFonts w:ascii="Arial" w:hAnsi="Arial" w:cs="Arial"/>
        </w:rPr>
        <w:tab/>
      </w:r>
      <w:r w:rsidR="00374383">
        <w:rPr>
          <w:rFonts w:ascii="Arial" w:hAnsi="Arial" w:cs="Arial"/>
        </w:rPr>
        <w:t xml:space="preserve">In so far as the damages are concerned, the plaintiff argues that the excipient’s exception that an alienation is not pleaded is patently incorrect. This is because, so the argument goes, in action proceedings the plaintiff is not strictly bound to the allegations made in the particulars of claim, </w:t>
      </w:r>
      <w:r w:rsidR="00EF5D24">
        <w:rPr>
          <w:rFonts w:ascii="Arial" w:hAnsi="Arial" w:cs="Arial"/>
        </w:rPr>
        <w:t xml:space="preserve">but is at liberty to lead oral evidence in the main action, </w:t>
      </w:r>
      <w:r w:rsidR="009E4BB5">
        <w:rPr>
          <w:rFonts w:ascii="Arial" w:hAnsi="Arial" w:cs="Arial"/>
        </w:rPr>
        <w:t>“</w:t>
      </w:r>
      <w:r w:rsidR="00EF5D24" w:rsidRPr="009E4BB5">
        <w:rPr>
          <w:rFonts w:ascii="Arial" w:hAnsi="Arial" w:cs="Arial"/>
          <w:i/>
          <w:iCs/>
        </w:rPr>
        <w:t xml:space="preserve">which will of course prove the fact that alienation </w:t>
      </w:r>
      <w:r w:rsidR="005E480D" w:rsidRPr="009E4BB5">
        <w:rPr>
          <w:rFonts w:ascii="Arial" w:hAnsi="Arial" w:cs="Arial"/>
          <w:i/>
          <w:iCs/>
        </w:rPr>
        <w:t>has already occurred</w:t>
      </w:r>
      <w:r w:rsidR="009E4BB5">
        <w:rPr>
          <w:rFonts w:ascii="Arial" w:hAnsi="Arial" w:cs="Arial"/>
        </w:rPr>
        <w:t>”. It is submitted this will</w:t>
      </w:r>
      <w:r w:rsidR="00867B68">
        <w:rPr>
          <w:rFonts w:ascii="Arial" w:hAnsi="Arial" w:cs="Arial"/>
        </w:rPr>
        <w:t xml:space="preserve"> </w:t>
      </w:r>
      <w:r w:rsidR="00643A8A">
        <w:rPr>
          <w:rFonts w:ascii="Arial" w:hAnsi="Arial" w:cs="Arial"/>
        </w:rPr>
        <w:t xml:space="preserve">come out in the trial stage of the action, and is not to be adjudicated upon at the pleading stage. </w:t>
      </w:r>
    </w:p>
    <w:p w14:paraId="73106C7F" w14:textId="27DAC2A9" w:rsidR="00374383" w:rsidRDefault="000E3C6A" w:rsidP="000E3C6A">
      <w:pPr>
        <w:widowControl w:val="0"/>
        <w:spacing w:after="360" w:line="480" w:lineRule="auto"/>
        <w:ind w:left="737" w:right="-455" w:hanging="737"/>
        <w:jc w:val="both"/>
        <w:rPr>
          <w:rFonts w:ascii="Arial" w:hAnsi="Arial" w:cs="Arial"/>
        </w:rPr>
      </w:pPr>
      <w:r>
        <w:rPr>
          <w:rFonts w:ascii="Arial" w:hAnsi="Arial" w:cs="Arial"/>
        </w:rPr>
        <w:t>[25]</w:t>
      </w:r>
      <w:r>
        <w:rPr>
          <w:rFonts w:ascii="Arial" w:hAnsi="Arial" w:cs="Arial"/>
        </w:rPr>
        <w:tab/>
      </w:r>
      <w:r w:rsidR="00643A8A">
        <w:rPr>
          <w:rFonts w:ascii="Arial" w:hAnsi="Arial" w:cs="Arial"/>
        </w:rPr>
        <w:t xml:space="preserve">The plaintiff’s criticism is further that </w:t>
      </w:r>
      <w:r w:rsidR="00F11369">
        <w:rPr>
          <w:rFonts w:ascii="Arial" w:hAnsi="Arial" w:cs="Arial"/>
        </w:rPr>
        <w:t xml:space="preserve">the </w:t>
      </w:r>
      <w:r w:rsidR="00643A8A">
        <w:rPr>
          <w:rFonts w:ascii="Arial" w:hAnsi="Arial" w:cs="Arial"/>
        </w:rPr>
        <w:t xml:space="preserve">excipient is essentially telling the court that in its view there are no prospects of success and accordingly the exception should stand, rather than making out a case that the pleadings disclose no cause of action. </w:t>
      </w:r>
      <w:r w:rsidR="009E4BB5">
        <w:rPr>
          <w:rFonts w:ascii="Arial" w:hAnsi="Arial" w:cs="Arial"/>
        </w:rPr>
        <w:t xml:space="preserve"> </w:t>
      </w:r>
    </w:p>
    <w:p w14:paraId="6A4C242B" w14:textId="74BD93C4" w:rsidR="001137FA" w:rsidRDefault="000E3C6A" w:rsidP="000E3C6A">
      <w:pPr>
        <w:widowControl w:val="0"/>
        <w:spacing w:after="360" w:line="480" w:lineRule="auto"/>
        <w:ind w:left="737" w:right="-455" w:hanging="737"/>
        <w:jc w:val="both"/>
        <w:rPr>
          <w:rFonts w:ascii="Arial" w:hAnsi="Arial" w:cs="Arial"/>
        </w:rPr>
      </w:pPr>
      <w:r>
        <w:rPr>
          <w:rFonts w:ascii="Arial" w:hAnsi="Arial" w:cs="Arial"/>
        </w:rPr>
        <w:t>[26]</w:t>
      </w:r>
      <w:r>
        <w:rPr>
          <w:rFonts w:ascii="Arial" w:hAnsi="Arial" w:cs="Arial"/>
        </w:rPr>
        <w:tab/>
      </w:r>
      <w:r w:rsidR="00643A8A">
        <w:rPr>
          <w:rFonts w:ascii="Arial" w:hAnsi="Arial" w:cs="Arial"/>
        </w:rPr>
        <w:t xml:space="preserve">It is also argued </w:t>
      </w:r>
      <w:r w:rsidR="00F11369">
        <w:rPr>
          <w:rFonts w:ascii="Arial" w:hAnsi="Arial" w:cs="Arial"/>
        </w:rPr>
        <w:t xml:space="preserve">in the heads of argument </w:t>
      </w:r>
      <w:r w:rsidR="00643A8A">
        <w:rPr>
          <w:rFonts w:ascii="Arial" w:hAnsi="Arial" w:cs="Arial"/>
        </w:rPr>
        <w:t xml:space="preserve">on behalf of the plaintiff that since </w:t>
      </w:r>
      <w:r w:rsidR="00643A8A">
        <w:rPr>
          <w:rFonts w:ascii="Arial" w:hAnsi="Arial" w:cs="Arial"/>
        </w:rPr>
        <w:lastRenderedPageBreak/>
        <w:t>the exception was brought approximately three and a half months after the summons was duly served</w:t>
      </w:r>
      <w:r w:rsidR="00F11369">
        <w:rPr>
          <w:rFonts w:ascii="Arial" w:hAnsi="Arial" w:cs="Arial"/>
        </w:rPr>
        <w:t>,</w:t>
      </w:r>
      <w:r w:rsidR="00643A8A">
        <w:rPr>
          <w:rFonts w:ascii="Arial" w:hAnsi="Arial" w:cs="Arial"/>
        </w:rPr>
        <w:t xml:space="preserve"> it was “</w:t>
      </w:r>
      <w:r w:rsidR="00643A8A">
        <w:rPr>
          <w:rFonts w:ascii="Arial" w:hAnsi="Arial" w:cs="Arial"/>
          <w:i/>
          <w:iCs/>
        </w:rPr>
        <w:t>greatly out of time</w:t>
      </w:r>
      <w:r w:rsidR="00643A8A">
        <w:rPr>
          <w:rFonts w:ascii="Arial" w:hAnsi="Arial" w:cs="Arial"/>
        </w:rPr>
        <w:t xml:space="preserve">”. Since no condonation was sought, the excipient is not properly before court and this </w:t>
      </w:r>
      <w:r w:rsidR="00CA2D2E">
        <w:rPr>
          <w:rFonts w:ascii="Arial" w:hAnsi="Arial" w:cs="Arial"/>
        </w:rPr>
        <w:t>c</w:t>
      </w:r>
      <w:r w:rsidR="00643A8A">
        <w:rPr>
          <w:rFonts w:ascii="Arial" w:hAnsi="Arial" w:cs="Arial"/>
        </w:rPr>
        <w:t xml:space="preserve">ourt accordingly cannot be vested with jurisdiction to hear this matter. This argument was </w:t>
      </w:r>
      <w:r w:rsidR="00C2549C">
        <w:rPr>
          <w:rFonts w:ascii="Arial" w:hAnsi="Arial" w:cs="Arial"/>
        </w:rPr>
        <w:t xml:space="preserve">correctly </w:t>
      </w:r>
      <w:r w:rsidR="00643A8A">
        <w:rPr>
          <w:rFonts w:ascii="Arial" w:hAnsi="Arial" w:cs="Arial"/>
        </w:rPr>
        <w:t xml:space="preserve">not pursued in oral argument before </w:t>
      </w:r>
      <w:r w:rsidR="00C2549C">
        <w:rPr>
          <w:rFonts w:ascii="Arial" w:hAnsi="Arial" w:cs="Arial"/>
        </w:rPr>
        <w:t xml:space="preserve">this </w:t>
      </w:r>
      <w:r w:rsidR="00CA2D2E">
        <w:rPr>
          <w:rFonts w:ascii="Arial" w:hAnsi="Arial" w:cs="Arial"/>
        </w:rPr>
        <w:t>c</w:t>
      </w:r>
      <w:r w:rsidR="00C2549C">
        <w:rPr>
          <w:rFonts w:ascii="Arial" w:hAnsi="Arial" w:cs="Arial"/>
        </w:rPr>
        <w:t xml:space="preserve">ourt. It is trite that an exception is a pleading and, in the case of an exception to a declaration or combined summons, a notice of bar in terms of rule 26 is required before the plaintiff can object to the exception on the ground that it was delivered out of time. </w:t>
      </w:r>
    </w:p>
    <w:p w14:paraId="42B9C03F" w14:textId="7FD9773A" w:rsidR="00072192" w:rsidRPr="00673FCB" w:rsidRDefault="00072192" w:rsidP="004C188D">
      <w:pPr>
        <w:pStyle w:val="Heading1"/>
        <w:keepLines/>
        <w:tabs>
          <w:tab w:val="clear" w:pos="540"/>
        </w:tabs>
        <w:spacing w:after="360"/>
        <w:rPr>
          <w:rFonts w:ascii="Arial" w:hAnsi="Arial" w:cs="Arial"/>
          <w:b w:val="0"/>
        </w:rPr>
      </w:pPr>
      <w:r w:rsidRPr="004C188D">
        <w:rPr>
          <w:rFonts w:ascii="Arial" w:hAnsi="Arial" w:cs="Arial"/>
        </w:rPr>
        <w:t>DISCUSSION</w:t>
      </w:r>
    </w:p>
    <w:p w14:paraId="2E40678A" w14:textId="7252FCEA" w:rsidR="00C61FF3" w:rsidRDefault="000E3C6A" w:rsidP="000E3C6A">
      <w:pPr>
        <w:widowControl w:val="0"/>
        <w:spacing w:after="360" w:line="480" w:lineRule="auto"/>
        <w:ind w:left="737" w:right="-455" w:hanging="737"/>
        <w:jc w:val="both"/>
        <w:rPr>
          <w:rFonts w:ascii="Arial" w:hAnsi="Arial" w:cs="Arial"/>
        </w:rPr>
      </w:pPr>
      <w:r>
        <w:rPr>
          <w:rFonts w:ascii="Arial" w:hAnsi="Arial" w:cs="Arial"/>
        </w:rPr>
        <w:t>[27]</w:t>
      </w:r>
      <w:r>
        <w:rPr>
          <w:rFonts w:ascii="Arial" w:hAnsi="Arial" w:cs="Arial"/>
        </w:rPr>
        <w:tab/>
      </w:r>
      <w:r w:rsidR="00673FCB">
        <w:rPr>
          <w:rFonts w:ascii="Arial" w:hAnsi="Arial" w:cs="Arial"/>
        </w:rPr>
        <w:t xml:space="preserve">I agree with the excipient that the particulars of claim fail to disclose a cause of action. The case as pleaded </w:t>
      </w:r>
      <w:r w:rsidR="0043259A">
        <w:rPr>
          <w:rFonts w:ascii="Arial" w:hAnsi="Arial" w:cs="Arial"/>
        </w:rPr>
        <w:t xml:space="preserve">is that the plaintiff suffered damages because one third of the pension was allowed to be paid out and the fact that the excipient </w:t>
      </w:r>
      <w:r w:rsidR="00360684">
        <w:rPr>
          <w:rFonts w:ascii="Arial" w:hAnsi="Arial" w:cs="Arial"/>
        </w:rPr>
        <w:t xml:space="preserve">did not take steps to freeze the remainder of the pension fund. I agree with the submissions on behalf of the excipient that the mere fact that the pension benefit was paid out does not mean that </w:t>
      </w:r>
      <w:r w:rsidR="00723145">
        <w:rPr>
          <w:rFonts w:ascii="Arial" w:hAnsi="Arial" w:cs="Arial"/>
        </w:rPr>
        <w:t>the plaintiff suffered damages in view of the provisions of the Divorce Act referred to</w:t>
      </w:r>
      <w:r w:rsidR="00C61FF3">
        <w:rPr>
          <w:rFonts w:ascii="Arial" w:hAnsi="Arial" w:cs="Arial"/>
        </w:rPr>
        <w:t>. W</w:t>
      </w:r>
      <w:r w:rsidR="00723145">
        <w:rPr>
          <w:rFonts w:ascii="Arial" w:hAnsi="Arial" w:cs="Arial"/>
        </w:rPr>
        <w:t>hat happened is that this “</w:t>
      </w:r>
      <w:r w:rsidR="00723145">
        <w:rPr>
          <w:rFonts w:ascii="Arial" w:hAnsi="Arial" w:cs="Arial"/>
          <w:i/>
          <w:iCs/>
        </w:rPr>
        <w:t>asset</w:t>
      </w:r>
      <w:r w:rsidR="00723145">
        <w:rPr>
          <w:rFonts w:ascii="Arial" w:hAnsi="Arial" w:cs="Arial"/>
        </w:rPr>
        <w:t xml:space="preserve">” was merely taken out of the </w:t>
      </w:r>
      <w:r w:rsidR="00C61FF3">
        <w:rPr>
          <w:rFonts w:ascii="Arial" w:hAnsi="Arial" w:cs="Arial"/>
        </w:rPr>
        <w:t xml:space="preserve">joint estate’s </w:t>
      </w:r>
      <w:r w:rsidR="00723145">
        <w:rPr>
          <w:rFonts w:ascii="Arial" w:hAnsi="Arial" w:cs="Arial"/>
        </w:rPr>
        <w:t xml:space="preserve">one pocket and put into the other. </w:t>
      </w:r>
    </w:p>
    <w:p w14:paraId="4BB9D9AE" w14:textId="0D32D646" w:rsidR="00C61FF3" w:rsidRDefault="000E3C6A" w:rsidP="000E3C6A">
      <w:pPr>
        <w:widowControl w:val="0"/>
        <w:spacing w:after="360" w:line="480" w:lineRule="auto"/>
        <w:ind w:left="737" w:right="-455" w:hanging="737"/>
        <w:jc w:val="both"/>
        <w:rPr>
          <w:rFonts w:ascii="Arial" w:hAnsi="Arial" w:cs="Arial"/>
        </w:rPr>
      </w:pPr>
      <w:r>
        <w:rPr>
          <w:rFonts w:ascii="Arial" w:hAnsi="Arial" w:cs="Arial"/>
        </w:rPr>
        <w:t>[28]</w:t>
      </w:r>
      <w:r>
        <w:rPr>
          <w:rFonts w:ascii="Arial" w:hAnsi="Arial" w:cs="Arial"/>
        </w:rPr>
        <w:tab/>
      </w:r>
      <w:r w:rsidR="00723145">
        <w:rPr>
          <w:rFonts w:ascii="Arial" w:hAnsi="Arial" w:cs="Arial"/>
        </w:rPr>
        <w:t>Based on the facts a</w:t>
      </w:r>
      <w:r w:rsidR="00D80F68">
        <w:rPr>
          <w:rFonts w:ascii="Arial" w:hAnsi="Arial" w:cs="Arial"/>
        </w:rPr>
        <w:t xml:space="preserve">s pleaded, the joint estate was not diminished by this being done. The arguments on behalf of the plaintiff cannot be sustained that </w:t>
      </w:r>
      <w:r w:rsidR="00D80F68">
        <w:rPr>
          <w:rFonts w:ascii="Arial" w:hAnsi="Arial" w:cs="Arial"/>
        </w:rPr>
        <w:lastRenderedPageBreak/>
        <w:t xml:space="preserve">this is merely the </w:t>
      </w:r>
      <w:r w:rsidR="004C188D">
        <w:rPr>
          <w:rFonts w:ascii="Arial" w:hAnsi="Arial" w:cs="Arial"/>
          <w:i/>
          <w:iCs/>
        </w:rPr>
        <w:t>f</w:t>
      </w:r>
      <w:r w:rsidR="00D80F68">
        <w:rPr>
          <w:rFonts w:ascii="Arial" w:hAnsi="Arial" w:cs="Arial"/>
          <w:i/>
          <w:iCs/>
        </w:rPr>
        <w:t>acta probantia</w:t>
      </w:r>
      <w:r w:rsidR="00D80F68">
        <w:rPr>
          <w:rFonts w:ascii="Arial" w:hAnsi="Arial" w:cs="Arial"/>
        </w:rPr>
        <w:t xml:space="preserve"> and not the </w:t>
      </w:r>
      <w:r w:rsidR="004C188D">
        <w:rPr>
          <w:rFonts w:ascii="Arial" w:hAnsi="Arial" w:cs="Arial"/>
          <w:i/>
          <w:iCs/>
        </w:rPr>
        <w:t>f</w:t>
      </w:r>
      <w:r w:rsidR="00D80F68">
        <w:rPr>
          <w:rFonts w:ascii="Arial" w:hAnsi="Arial" w:cs="Arial"/>
          <w:i/>
          <w:iCs/>
        </w:rPr>
        <w:t>acta probanda</w:t>
      </w:r>
      <w:r w:rsidR="00D80F68">
        <w:rPr>
          <w:rFonts w:ascii="Arial" w:hAnsi="Arial" w:cs="Arial"/>
        </w:rPr>
        <w:t xml:space="preserve">. The argument that it will be shown at the trial by the evidence that there was indeed an alienation subsequent to the amount being paid out cannot be upheld. This will be an entirely different cause of action than the one now pleaded. </w:t>
      </w:r>
      <w:r w:rsidR="00C61FF3">
        <w:rPr>
          <w:rFonts w:ascii="Arial" w:hAnsi="Arial" w:cs="Arial"/>
        </w:rPr>
        <w:t xml:space="preserve">The excipient will accordingly be entitled to raise an objection if such evidence is </w:t>
      </w:r>
      <w:r w:rsidR="00867B68">
        <w:rPr>
          <w:rFonts w:ascii="Arial" w:hAnsi="Arial" w:cs="Arial"/>
        </w:rPr>
        <w:t>presented</w:t>
      </w:r>
      <w:r w:rsidR="00C61FF3">
        <w:rPr>
          <w:rFonts w:ascii="Arial" w:hAnsi="Arial" w:cs="Arial"/>
        </w:rPr>
        <w:t>.</w:t>
      </w:r>
    </w:p>
    <w:p w14:paraId="4078D95A" w14:textId="38721F98" w:rsidR="00C61FF3" w:rsidRDefault="000E3C6A" w:rsidP="000E3C6A">
      <w:pPr>
        <w:widowControl w:val="0"/>
        <w:spacing w:after="360" w:line="480" w:lineRule="auto"/>
        <w:ind w:left="737" w:right="-455" w:hanging="737"/>
        <w:jc w:val="both"/>
        <w:rPr>
          <w:rFonts w:ascii="Arial" w:hAnsi="Arial" w:cs="Arial"/>
        </w:rPr>
      </w:pPr>
      <w:r>
        <w:rPr>
          <w:rFonts w:ascii="Arial" w:hAnsi="Arial" w:cs="Arial"/>
        </w:rPr>
        <w:t>[29]</w:t>
      </w:r>
      <w:r>
        <w:rPr>
          <w:rFonts w:ascii="Arial" w:hAnsi="Arial" w:cs="Arial"/>
        </w:rPr>
        <w:tab/>
      </w:r>
      <w:r w:rsidR="00D80F68">
        <w:rPr>
          <w:rFonts w:ascii="Arial" w:hAnsi="Arial" w:cs="Arial"/>
        </w:rPr>
        <w:t xml:space="preserve">In so far as the </w:t>
      </w:r>
      <w:r w:rsidR="006B128B">
        <w:rPr>
          <w:rFonts w:ascii="Arial" w:hAnsi="Arial" w:cs="Arial"/>
        </w:rPr>
        <w:t xml:space="preserve">remaining capital of the pension fund is concerned also in that regard no </w:t>
      </w:r>
      <w:r w:rsidR="00DB7A4E">
        <w:rPr>
          <w:rFonts w:ascii="Arial" w:hAnsi="Arial" w:cs="Arial"/>
        </w:rPr>
        <w:t xml:space="preserve">valid </w:t>
      </w:r>
      <w:r w:rsidR="006B128B">
        <w:rPr>
          <w:rFonts w:ascii="Arial" w:hAnsi="Arial" w:cs="Arial"/>
        </w:rPr>
        <w:t xml:space="preserve">cause of action is pleaded, which shows that the plaintiff has suffered damages. </w:t>
      </w:r>
      <w:r w:rsidR="00A80199">
        <w:rPr>
          <w:rFonts w:ascii="Arial" w:hAnsi="Arial" w:cs="Arial"/>
        </w:rPr>
        <w:t>On the facts as pleaded the pension is still held by the pension fund and without more it cannot be said that the plaintiff suffered damages</w:t>
      </w:r>
      <w:r w:rsidR="0090125B">
        <w:rPr>
          <w:rFonts w:ascii="Arial" w:hAnsi="Arial" w:cs="Arial"/>
        </w:rPr>
        <w:t xml:space="preserve"> since that amount has not been frozen</w:t>
      </w:r>
      <w:r w:rsidR="00C36D78">
        <w:rPr>
          <w:rFonts w:ascii="Arial" w:hAnsi="Arial" w:cs="Arial"/>
        </w:rPr>
        <w:t xml:space="preserve">. In any event, no facts are pleaded, which shows that there were grounds for the interdict that the plaintiff pleads the excipient </w:t>
      </w:r>
      <w:r w:rsidR="00C61FF3">
        <w:rPr>
          <w:rFonts w:ascii="Arial" w:hAnsi="Arial" w:cs="Arial"/>
        </w:rPr>
        <w:t xml:space="preserve">ought to have </w:t>
      </w:r>
      <w:r w:rsidR="00C36D78">
        <w:rPr>
          <w:rFonts w:ascii="Arial" w:hAnsi="Arial" w:cs="Arial"/>
        </w:rPr>
        <w:t>applied for.</w:t>
      </w:r>
    </w:p>
    <w:p w14:paraId="422C25D4" w14:textId="237AC8B2" w:rsidR="00072192" w:rsidRPr="00C61FF3" w:rsidRDefault="000E3C6A" w:rsidP="000E3C6A">
      <w:pPr>
        <w:widowControl w:val="0"/>
        <w:spacing w:after="360" w:line="480" w:lineRule="auto"/>
        <w:ind w:left="737" w:right="-455" w:hanging="737"/>
        <w:jc w:val="both"/>
        <w:rPr>
          <w:rFonts w:ascii="Arial" w:hAnsi="Arial" w:cs="Arial"/>
        </w:rPr>
      </w:pPr>
      <w:r w:rsidRPr="00C61FF3">
        <w:rPr>
          <w:rFonts w:ascii="Arial" w:hAnsi="Arial" w:cs="Arial"/>
        </w:rPr>
        <w:t>[30]</w:t>
      </w:r>
      <w:r w:rsidRPr="00C61FF3">
        <w:rPr>
          <w:rFonts w:ascii="Arial" w:hAnsi="Arial" w:cs="Arial"/>
        </w:rPr>
        <w:tab/>
      </w:r>
      <w:r w:rsidR="00C61FF3">
        <w:rPr>
          <w:rFonts w:ascii="Arial" w:hAnsi="Arial" w:cs="Arial"/>
        </w:rPr>
        <w:t xml:space="preserve">In the result, only taking into account </w:t>
      </w:r>
      <w:r w:rsidR="00C61FF3" w:rsidRPr="00C61FF3">
        <w:rPr>
          <w:rFonts w:ascii="Arial" w:hAnsi="Arial" w:cs="Arial"/>
        </w:rPr>
        <w:t>th</w:t>
      </w:r>
      <w:r w:rsidR="00867B68">
        <w:rPr>
          <w:rFonts w:ascii="Arial" w:hAnsi="Arial" w:cs="Arial"/>
        </w:rPr>
        <w:t>e</w:t>
      </w:r>
      <w:r w:rsidR="00C61FF3" w:rsidRPr="00C61FF3">
        <w:rPr>
          <w:rFonts w:ascii="Arial" w:hAnsi="Arial" w:cs="Arial"/>
        </w:rPr>
        <w:t xml:space="preserve"> facts alleged in the particulars of claim and </w:t>
      </w:r>
      <w:r w:rsidR="00C61FF3">
        <w:rPr>
          <w:rFonts w:ascii="Arial" w:hAnsi="Arial" w:cs="Arial"/>
        </w:rPr>
        <w:t xml:space="preserve">the </w:t>
      </w:r>
      <w:r w:rsidR="00C61FF3" w:rsidRPr="00C61FF3">
        <w:rPr>
          <w:rFonts w:ascii="Arial" w:hAnsi="Arial" w:cs="Arial"/>
        </w:rPr>
        <w:t>other facts agreed to by the parties</w:t>
      </w:r>
      <w:r w:rsidR="00C61FF3">
        <w:rPr>
          <w:rFonts w:ascii="Arial" w:hAnsi="Arial" w:cs="Arial"/>
        </w:rPr>
        <w:t xml:space="preserve">, as I must, I find that </w:t>
      </w:r>
      <w:r w:rsidR="00C61FF3" w:rsidRPr="00C61FF3">
        <w:rPr>
          <w:rFonts w:ascii="Arial" w:hAnsi="Arial" w:cs="Arial"/>
        </w:rPr>
        <w:t xml:space="preserve">the pleaded </w:t>
      </w:r>
      <w:r w:rsidR="00C61FF3">
        <w:rPr>
          <w:rFonts w:ascii="Arial" w:hAnsi="Arial" w:cs="Arial"/>
        </w:rPr>
        <w:t xml:space="preserve">case </w:t>
      </w:r>
      <w:r w:rsidR="00C61FF3" w:rsidRPr="00C61FF3">
        <w:rPr>
          <w:rFonts w:ascii="Arial" w:hAnsi="Arial" w:cs="Arial"/>
        </w:rPr>
        <w:t xml:space="preserve">could not, on any basis, as a matter of law, result in a judgment being granted against </w:t>
      </w:r>
      <w:r w:rsidR="00C61FF3">
        <w:rPr>
          <w:rFonts w:ascii="Arial" w:hAnsi="Arial" w:cs="Arial"/>
        </w:rPr>
        <w:t xml:space="preserve">the plaintiff against </w:t>
      </w:r>
      <w:r w:rsidR="00C61FF3" w:rsidRPr="00C61FF3">
        <w:rPr>
          <w:rFonts w:ascii="Arial" w:hAnsi="Arial" w:cs="Arial"/>
        </w:rPr>
        <w:t xml:space="preserve">the </w:t>
      </w:r>
      <w:r w:rsidR="00C61FF3">
        <w:rPr>
          <w:rFonts w:ascii="Arial" w:hAnsi="Arial" w:cs="Arial"/>
        </w:rPr>
        <w:t>excipient.</w:t>
      </w:r>
      <w:r w:rsidR="003B6DDC">
        <w:rPr>
          <w:rFonts w:ascii="Arial" w:hAnsi="Arial" w:cs="Arial"/>
        </w:rPr>
        <w:t xml:space="preserve"> Both grounds of exception are therefore upheld.</w:t>
      </w:r>
    </w:p>
    <w:p w14:paraId="061476B1" w14:textId="11C3E66F" w:rsidR="001137FA" w:rsidRPr="0020509D" w:rsidRDefault="001137FA" w:rsidP="001137FA">
      <w:pPr>
        <w:pStyle w:val="Heading1"/>
        <w:keepLines/>
        <w:tabs>
          <w:tab w:val="clear" w:pos="540"/>
        </w:tabs>
        <w:spacing w:after="360"/>
        <w:rPr>
          <w:rFonts w:ascii="Arial" w:hAnsi="Arial" w:cs="Arial"/>
        </w:rPr>
      </w:pPr>
      <w:r w:rsidRPr="0020509D">
        <w:rPr>
          <w:rFonts w:ascii="Arial" w:hAnsi="Arial" w:cs="Arial"/>
        </w:rPr>
        <w:t>COSTS</w:t>
      </w:r>
    </w:p>
    <w:p w14:paraId="3850FB08" w14:textId="0B24F294" w:rsidR="00C61FF3" w:rsidRDefault="000E3C6A" w:rsidP="000E3C6A">
      <w:pPr>
        <w:widowControl w:val="0"/>
        <w:spacing w:after="360" w:line="480" w:lineRule="auto"/>
        <w:ind w:left="737" w:right="-455" w:hanging="737"/>
        <w:jc w:val="both"/>
        <w:rPr>
          <w:rFonts w:ascii="Arial" w:hAnsi="Arial" w:cs="Arial"/>
        </w:rPr>
      </w:pPr>
      <w:r>
        <w:rPr>
          <w:rFonts w:ascii="Arial" w:hAnsi="Arial" w:cs="Arial"/>
        </w:rPr>
        <w:t>[31]</w:t>
      </w:r>
      <w:r>
        <w:rPr>
          <w:rFonts w:ascii="Arial" w:hAnsi="Arial" w:cs="Arial"/>
        </w:rPr>
        <w:tab/>
      </w:r>
      <w:r w:rsidR="00F14567" w:rsidRPr="00F14567">
        <w:rPr>
          <w:rFonts w:ascii="Arial" w:hAnsi="Arial" w:cs="Arial"/>
        </w:rPr>
        <w:t>I see no reason in this matter for the costs not to follow the event.</w:t>
      </w:r>
    </w:p>
    <w:p w14:paraId="587FDC19" w14:textId="12EF8DF0" w:rsidR="00F14567" w:rsidRPr="004C188D" w:rsidRDefault="000E3C6A" w:rsidP="000E3C6A">
      <w:pPr>
        <w:widowControl w:val="0"/>
        <w:spacing w:after="360" w:line="480" w:lineRule="auto"/>
        <w:ind w:left="737" w:right="-455" w:hanging="737"/>
        <w:jc w:val="both"/>
        <w:rPr>
          <w:rFonts w:ascii="Arial" w:hAnsi="Arial" w:cs="Arial"/>
        </w:rPr>
      </w:pPr>
      <w:r w:rsidRPr="004C188D">
        <w:rPr>
          <w:rFonts w:ascii="Arial" w:hAnsi="Arial" w:cs="Arial"/>
        </w:rPr>
        <w:lastRenderedPageBreak/>
        <w:t>[32]</w:t>
      </w:r>
      <w:r w:rsidRPr="004C188D">
        <w:rPr>
          <w:rFonts w:ascii="Arial" w:hAnsi="Arial" w:cs="Arial"/>
        </w:rPr>
        <w:tab/>
      </w:r>
      <w:r w:rsidR="00C61FF3">
        <w:rPr>
          <w:rFonts w:ascii="Arial" w:hAnsi="Arial" w:cs="Arial"/>
        </w:rPr>
        <w:t>In the result</w:t>
      </w:r>
      <w:r w:rsidR="00786E61">
        <w:rPr>
          <w:rFonts w:ascii="Arial" w:hAnsi="Arial" w:cs="Arial"/>
        </w:rPr>
        <w:t>,</w:t>
      </w:r>
      <w:r w:rsidR="00C61FF3">
        <w:rPr>
          <w:rFonts w:ascii="Arial" w:hAnsi="Arial" w:cs="Arial"/>
        </w:rPr>
        <w:t xml:space="preserve"> the following order is made.</w:t>
      </w:r>
      <w:r w:rsidR="00F14567" w:rsidRPr="00F14567">
        <w:rPr>
          <w:rFonts w:ascii="Arial" w:hAnsi="Arial" w:cs="Arial"/>
        </w:rPr>
        <w:t xml:space="preserve"> </w:t>
      </w:r>
    </w:p>
    <w:p w14:paraId="016313E8" w14:textId="09843C4A" w:rsidR="004A42F5" w:rsidRPr="0020509D" w:rsidRDefault="006F63E8" w:rsidP="0028563A">
      <w:pPr>
        <w:pStyle w:val="Heading1"/>
        <w:keepLines/>
        <w:tabs>
          <w:tab w:val="clear" w:pos="540"/>
        </w:tabs>
        <w:spacing w:after="360"/>
        <w:rPr>
          <w:rFonts w:ascii="Arial" w:hAnsi="Arial" w:cs="Arial"/>
        </w:rPr>
      </w:pPr>
      <w:r w:rsidRPr="0020509D">
        <w:rPr>
          <w:rFonts w:ascii="Arial" w:hAnsi="Arial" w:cs="Arial"/>
        </w:rPr>
        <w:t>ORDER</w:t>
      </w:r>
    </w:p>
    <w:p w14:paraId="62171A12" w14:textId="50FCF27D" w:rsidR="005122BF" w:rsidRPr="000E3C6A" w:rsidRDefault="000E3C6A" w:rsidP="000E3C6A">
      <w:pPr>
        <w:spacing w:after="360" w:line="480" w:lineRule="auto"/>
        <w:ind w:left="720" w:hanging="720"/>
        <w:jc w:val="both"/>
        <w:rPr>
          <w:rFonts w:ascii="Arial" w:hAnsi="Arial" w:cs="Arial"/>
        </w:rPr>
      </w:pPr>
      <w:r w:rsidRPr="0020509D">
        <w:rPr>
          <w:rFonts w:ascii="Arial" w:hAnsi="Arial" w:cs="Arial"/>
        </w:rPr>
        <w:t>1.</w:t>
      </w:r>
      <w:r w:rsidRPr="0020509D">
        <w:rPr>
          <w:rFonts w:ascii="Arial" w:hAnsi="Arial" w:cs="Arial"/>
        </w:rPr>
        <w:tab/>
      </w:r>
      <w:r w:rsidR="005122BF" w:rsidRPr="000E3C6A">
        <w:rPr>
          <w:rFonts w:ascii="Arial" w:hAnsi="Arial" w:cs="Arial"/>
        </w:rPr>
        <w:t>The exception is upheld;</w:t>
      </w:r>
    </w:p>
    <w:p w14:paraId="36F59FE0" w14:textId="716AA00B" w:rsidR="005122BF" w:rsidRPr="000E3C6A" w:rsidRDefault="000E3C6A" w:rsidP="000E3C6A">
      <w:pPr>
        <w:spacing w:after="360" w:line="480" w:lineRule="auto"/>
        <w:ind w:left="720" w:hanging="720"/>
        <w:jc w:val="both"/>
        <w:rPr>
          <w:rFonts w:ascii="Arial" w:hAnsi="Arial" w:cs="Arial"/>
        </w:rPr>
      </w:pPr>
      <w:r w:rsidRPr="0020509D">
        <w:rPr>
          <w:rFonts w:ascii="Arial" w:hAnsi="Arial" w:cs="Arial"/>
        </w:rPr>
        <w:t>2.</w:t>
      </w:r>
      <w:r w:rsidRPr="0020509D">
        <w:rPr>
          <w:rFonts w:ascii="Arial" w:hAnsi="Arial" w:cs="Arial"/>
        </w:rPr>
        <w:tab/>
      </w:r>
      <w:r w:rsidR="005122BF" w:rsidRPr="000E3C6A">
        <w:rPr>
          <w:rFonts w:ascii="Arial" w:hAnsi="Arial" w:cs="Arial"/>
        </w:rPr>
        <w:t>The plaintiff is afforded ten days within which to file amended particulars of claim that address and cure the grounds of exception, failing which the plaintiff’s claim against the defendant is dismissed;</w:t>
      </w:r>
    </w:p>
    <w:p w14:paraId="7DCE7D1D" w14:textId="3DB731F8" w:rsidR="005122BF" w:rsidRPr="000E3C6A" w:rsidRDefault="000E3C6A" w:rsidP="000E3C6A">
      <w:pPr>
        <w:spacing w:after="360" w:line="480" w:lineRule="auto"/>
        <w:ind w:left="720" w:hanging="720"/>
        <w:jc w:val="both"/>
        <w:rPr>
          <w:rFonts w:ascii="Arial" w:hAnsi="Arial" w:cs="Arial"/>
        </w:rPr>
      </w:pPr>
      <w:r w:rsidRPr="0020509D">
        <w:rPr>
          <w:rFonts w:ascii="Arial" w:hAnsi="Arial" w:cs="Arial"/>
        </w:rPr>
        <w:t>3.</w:t>
      </w:r>
      <w:r w:rsidRPr="0020509D">
        <w:rPr>
          <w:rFonts w:ascii="Arial" w:hAnsi="Arial" w:cs="Arial"/>
        </w:rPr>
        <w:tab/>
      </w:r>
      <w:r w:rsidR="005122BF" w:rsidRPr="000E3C6A">
        <w:rPr>
          <w:rFonts w:ascii="Arial" w:hAnsi="Arial" w:cs="Arial"/>
        </w:rPr>
        <w:t xml:space="preserve">In the event that the amended particulars of claim </w:t>
      </w:r>
      <w:proofErr w:type="gramStart"/>
      <w:r w:rsidR="005122BF" w:rsidRPr="000E3C6A">
        <w:rPr>
          <w:rFonts w:ascii="Arial" w:hAnsi="Arial" w:cs="Arial"/>
        </w:rPr>
        <w:t>fails</w:t>
      </w:r>
      <w:proofErr w:type="gramEnd"/>
      <w:r w:rsidR="005122BF" w:rsidRPr="000E3C6A">
        <w:rPr>
          <w:rFonts w:ascii="Arial" w:hAnsi="Arial" w:cs="Arial"/>
        </w:rPr>
        <w:t xml:space="preserve"> to address or cure the grounds of exception, the defendant is entitled to approach the </w:t>
      </w:r>
      <w:r w:rsidR="00CA2D2E" w:rsidRPr="000E3C6A">
        <w:rPr>
          <w:rFonts w:ascii="Arial" w:hAnsi="Arial" w:cs="Arial"/>
        </w:rPr>
        <w:t>c</w:t>
      </w:r>
      <w:r w:rsidR="005122BF" w:rsidRPr="000E3C6A">
        <w:rPr>
          <w:rFonts w:ascii="Arial" w:hAnsi="Arial" w:cs="Arial"/>
        </w:rPr>
        <w:t>ourt on the same papers, duly supplemented with the amended particulars of claim, for an order that the action against the defendant be dismissed;</w:t>
      </w:r>
    </w:p>
    <w:p w14:paraId="7F59C821" w14:textId="4AEBA404" w:rsidR="005122BF" w:rsidRPr="000E3C6A" w:rsidRDefault="000E3C6A" w:rsidP="000E3C6A">
      <w:pPr>
        <w:spacing w:after="360" w:line="480" w:lineRule="auto"/>
        <w:ind w:left="720" w:hanging="720"/>
        <w:jc w:val="both"/>
        <w:rPr>
          <w:rFonts w:ascii="Arial" w:hAnsi="Arial" w:cs="Arial"/>
        </w:rPr>
      </w:pPr>
      <w:r w:rsidRPr="0020509D">
        <w:rPr>
          <w:rFonts w:ascii="Arial" w:hAnsi="Arial" w:cs="Arial"/>
        </w:rPr>
        <w:t>4.</w:t>
      </w:r>
      <w:r w:rsidRPr="0020509D">
        <w:rPr>
          <w:rFonts w:ascii="Arial" w:hAnsi="Arial" w:cs="Arial"/>
        </w:rPr>
        <w:tab/>
      </w:r>
      <w:r w:rsidR="005122BF" w:rsidRPr="000E3C6A">
        <w:rPr>
          <w:rFonts w:ascii="Arial" w:hAnsi="Arial" w:cs="Arial"/>
        </w:rPr>
        <w:t>The plaintiff is ordered to pay the costs of the exception;</w:t>
      </w:r>
    </w:p>
    <w:p w14:paraId="1C8A1834" w14:textId="18ECDCAC" w:rsidR="00427280" w:rsidRPr="000E3C6A" w:rsidRDefault="000E3C6A" w:rsidP="000E3C6A">
      <w:pPr>
        <w:spacing w:after="360" w:line="480" w:lineRule="auto"/>
        <w:ind w:left="720" w:hanging="720"/>
        <w:jc w:val="both"/>
        <w:rPr>
          <w:rFonts w:ascii="Arial" w:hAnsi="Arial" w:cs="Arial"/>
        </w:rPr>
      </w:pPr>
      <w:r w:rsidRPr="0020509D">
        <w:rPr>
          <w:rFonts w:ascii="Arial" w:hAnsi="Arial" w:cs="Arial"/>
        </w:rPr>
        <w:t>5.</w:t>
      </w:r>
      <w:r w:rsidRPr="0020509D">
        <w:rPr>
          <w:rFonts w:ascii="Arial" w:hAnsi="Arial" w:cs="Arial"/>
        </w:rPr>
        <w:tab/>
      </w:r>
      <w:r w:rsidR="005122BF" w:rsidRPr="000E3C6A">
        <w:rPr>
          <w:rFonts w:ascii="Arial" w:hAnsi="Arial" w:cs="Arial"/>
        </w:rPr>
        <w:t>In the event that the action is dismissed, the plaintiff is ordered to pay the costs of the action.</w:t>
      </w:r>
    </w:p>
    <w:p w14:paraId="0A03CAD5" w14:textId="6E119A23" w:rsidR="00C869F7" w:rsidRPr="0020509D" w:rsidRDefault="00C869F7" w:rsidP="00C869F7">
      <w:pPr>
        <w:widowControl w:val="0"/>
        <w:tabs>
          <w:tab w:val="left" w:pos="-1440"/>
          <w:tab w:val="left" w:pos="-720"/>
          <w:tab w:val="left" w:pos="0"/>
          <w:tab w:val="left" w:pos="1008"/>
          <w:tab w:val="left" w:pos="1728"/>
          <w:tab w:val="left" w:pos="2448"/>
          <w:tab w:val="left" w:pos="3888"/>
          <w:tab w:val="left" w:pos="5328"/>
          <w:tab w:val="left" w:pos="6768"/>
        </w:tabs>
        <w:spacing w:after="360" w:line="276" w:lineRule="auto"/>
        <w:ind w:right="-454"/>
        <w:contextualSpacing/>
        <w:jc w:val="right"/>
        <w:rPr>
          <w:rFonts w:ascii="Arial" w:hAnsi="Arial" w:cs="Arial"/>
        </w:rPr>
      </w:pPr>
      <w:r w:rsidRPr="0020509D">
        <w:rPr>
          <w:rFonts w:ascii="Arial" w:hAnsi="Arial" w:cs="Arial"/>
        </w:rPr>
        <w:t>________________________________</w:t>
      </w:r>
    </w:p>
    <w:p w14:paraId="4E891190" w14:textId="77777777" w:rsidR="00C869F7" w:rsidRPr="0020509D" w:rsidRDefault="00C869F7" w:rsidP="00C869F7">
      <w:pPr>
        <w:widowControl w:val="0"/>
        <w:tabs>
          <w:tab w:val="left" w:pos="-1440"/>
          <w:tab w:val="left" w:pos="-720"/>
          <w:tab w:val="left" w:pos="0"/>
          <w:tab w:val="left" w:pos="1008"/>
          <w:tab w:val="left" w:pos="1728"/>
          <w:tab w:val="left" w:pos="2448"/>
          <w:tab w:val="left" w:pos="3888"/>
          <w:tab w:val="left" w:pos="5328"/>
          <w:tab w:val="left" w:pos="6768"/>
        </w:tabs>
        <w:spacing w:after="360" w:line="276" w:lineRule="auto"/>
        <w:ind w:right="-454"/>
        <w:contextualSpacing/>
        <w:jc w:val="right"/>
        <w:rPr>
          <w:rFonts w:ascii="Arial" w:hAnsi="Arial" w:cs="Arial"/>
          <w:b/>
          <w:bCs/>
        </w:rPr>
      </w:pPr>
      <w:r w:rsidRPr="0020509D">
        <w:rPr>
          <w:rFonts w:ascii="Arial" w:hAnsi="Arial" w:cs="Arial"/>
          <w:b/>
          <w:bCs/>
        </w:rPr>
        <w:t>H G A SNYMAN</w:t>
      </w:r>
    </w:p>
    <w:p w14:paraId="143527CB" w14:textId="1A7BF0F9" w:rsidR="00722902" w:rsidRPr="0020509D" w:rsidRDefault="00C869F7" w:rsidP="00C869F7">
      <w:pPr>
        <w:widowControl w:val="0"/>
        <w:tabs>
          <w:tab w:val="left" w:pos="-1440"/>
          <w:tab w:val="left" w:pos="-720"/>
          <w:tab w:val="left" w:pos="0"/>
          <w:tab w:val="left" w:pos="1008"/>
          <w:tab w:val="left" w:pos="1728"/>
          <w:tab w:val="left" w:pos="2448"/>
          <w:tab w:val="left" w:pos="3888"/>
          <w:tab w:val="left" w:pos="5328"/>
          <w:tab w:val="left" w:pos="6768"/>
        </w:tabs>
        <w:spacing w:after="360" w:line="276" w:lineRule="auto"/>
        <w:ind w:right="-454"/>
        <w:contextualSpacing/>
        <w:jc w:val="right"/>
        <w:rPr>
          <w:rFonts w:ascii="Arial" w:hAnsi="Arial" w:cs="Arial"/>
        </w:rPr>
      </w:pPr>
      <w:r w:rsidRPr="0020509D">
        <w:rPr>
          <w:rFonts w:ascii="Arial" w:hAnsi="Arial" w:cs="Arial"/>
        </w:rPr>
        <w:t>Acting Judge of the</w:t>
      </w:r>
      <w:r w:rsidR="00BF0B02" w:rsidRPr="0020509D">
        <w:rPr>
          <w:rFonts w:ascii="Arial" w:hAnsi="Arial" w:cs="Arial"/>
        </w:rPr>
        <w:t xml:space="preserve"> High Court of</w:t>
      </w:r>
      <w:r w:rsidRPr="0020509D">
        <w:rPr>
          <w:rFonts w:ascii="Arial" w:hAnsi="Arial" w:cs="Arial"/>
        </w:rPr>
        <w:t xml:space="preserve"> </w:t>
      </w:r>
    </w:p>
    <w:p w14:paraId="7B73A663" w14:textId="764E4073" w:rsidR="00C869F7" w:rsidRPr="0020509D" w:rsidRDefault="00BF0B02" w:rsidP="00BF0B02">
      <w:pPr>
        <w:widowControl w:val="0"/>
        <w:tabs>
          <w:tab w:val="left" w:pos="-1440"/>
          <w:tab w:val="left" w:pos="-720"/>
          <w:tab w:val="left" w:pos="0"/>
          <w:tab w:val="left" w:pos="1008"/>
          <w:tab w:val="left" w:pos="1728"/>
          <w:tab w:val="left" w:pos="2448"/>
          <w:tab w:val="left" w:pos="3888"/>
          <w:tab w:val="left" w:pos="5328"/>
          <w:tab w:val="left" w:pos="6768"/>
        </w:tabs>
        <w:spacing w:after="360" w:line="276" w:lineRule="auto"/>
        <w:ind w:right="-454"/>
        <w:contextualSpacing/>
        <w:jc w:val="right"/>
        <w:rPr>
          <w:rFonts w:ascii="Arial" w:hAnsi="Arial" w:cs="Arial"/>
        </w:rPr>
      </w:pPr>
      <w:r w:rsidRPr="0020509D">
        <w:rPr>
          <w:rFonts w:ascii="Arial" w:hAnsi="Arial" w:cs="Arial"/>
        </w:rPr>
        <w:t xml:space="preserve">South Africa, </w:t>
      </w:r>
      <w:r w:rsidR="00C869F7" w:rsidRPr="0020509D">
        <w:rPr>
          <w:rFonts w:ascii="Arial" w:hAnsi="Arial" w:cs="Arial"/>
        </w:rPr>
        <w:t xml:space="preserve">Gauteng </w:t>
      </w:r>
      <w:r w:rsidR="005122BF" w:rsidRPr="0020509D">
        <w:rPr>
          <w:rFonts w:ascii="Arial" w:hAnsi="Arial" w:cs="Arial"/>
        </w:rPr>
        <w:t>Division</w:t>
      </w:r>
      <w:r w:rsidRPr="0020509D">
        <w:rPr>
          <w:rFonts w:ascii="Arial" w:hAnsi="Arial" w:cs="Arial"/>
        </w:rPr>
        <w:t>,</w:t>
      </w:r>
    </w:p>
    <w:p w14:paraId="1EC32571" w14:textId="77777777" w:rsidR="00C869F7" w:rsidRPr="0020509D" w:rsidRDefault="00C869F7" w:rsidP="00C869F7">
      <w:pPr>
        <w:widowControl w:val="0"/>
        <w:tabs>
          <w:tab w:val="left" w:pos="-1440"/>
          <w:tab w:val="left" w:pos="-720"/>
          <w:tab w:val="left" w:pos="0"/>
          <w:tab w:val="left" w:pos="1008"/>
          <w:tab w:val="left" w:pos="1728"/>
          <w:tab w:val="left" w:pos="2448"/>
          <w:tab w:val="left" w:pos="3888"/>
          <w:tab w:val="left" w:pos="5328"/>
          <w:tab w:val="left" w:pos="6768"/>
        </w:tabs>
        <w:spacing w:after="360" w:line="276" w:lineRule="auto"/>
        <w:ind w:right="-454"/>
        <w:contextualSpacing/>
        <w:jc w:val="right"/>
        <w:rPr>
          <w:rFonts w:ascii="Arial" w:hAnsi="Arial" w:cs="Arial"/>
        </w:rPr>
      </w:pPr>
      <w:r w:rsidRPr="0020509D">
        <w:rPr>
          <w:rFonts w:ascii="Arial" w:hAnsi="Arial" w:cs="Arial"/>
        </w:rPr>
        <w:t xml:space="preserve">Pretoria </w:t>
      </w:r>
    </w:p>
    <w:p w14:paraId="3F803518" w14:textId="77777777" w:rsidR="00C869F7" w:rsidRPr="0020509D" w:rsidRDefault="00C869F7" w:rsidP="00C869F7">
      <w:pPr>
        <w:widowControl w:val="0"/>
        <w:tabs>
          <w:tab w:val="left" w:pos="-1440"/>
          <w:tab w:val="left" w:pos="-720"/>
          <w:tab w:val="left" w:pos="0"/>
          <w:tab w:val="left" w:pos="1008"/>
          <w:tab w:val="left" w:pos="1728"/>
          <w:tab w:val="left" w:pos="2448"/>
          <w:tab w:val="left" w:pos="3888"/>
          <w:tab w:val="left" w:pos="5328"/>
          <w:tab w:val="left" w:pos="6768"/>
        </w:tabs>
        <w:spacing w:after="360" w:line="276" w:lineRule="auto"/>
        <w:ind w:right="-454"/>
        <w:contextualSpacing/>
        <w:jc w:val="right"/>
        <w:rPr>
          <w:rFonts w:ascii="Arial" w:hAnsi="Arial" w:cs="Arial"/>
        </w:rPr>
      </w:pPr>
    </w:p>
    <w:p w14:paraId="3481B9C7" w14:textId="0D7AF233" w:rsidR="00C869F7" w:rsidRPr="0020509D" w:rsidRDefault="00371F4A" w:rsidP="00C869F7">
      <w:pPr>
        <w:widowControl w:val="0"/>
        <w:tabs>
          <w:tab w:val="left" w:pos="-1440"/>
          <w:tab w:val="left" w:pos="-720"/>
          <w:tab w:val="left" w:pos="0"/>
          <w:tab w:val="left" w:pos="1008"/>
          <w:tab w:val="left" w:pos="1728"/>
          <w:tab w:val="left" w:pos="2448"/>
          <w:tab w:val="left" w:pos="3888"/>
          <w:tab w:val="left" w:pos="5328"/>
          <w:tab w:val="left" w:pos="6768"/>
        </w:tabs>
        <w:spacing w:after="360" w:line="276" w:lineRule="auto"/>
        <w:ind w:right="-454"/>
        <w:contextualSpacing/>
        <w:rPr>
          <w:rFonts w:ascii="Arial" w:hAnsi="Arial" w:cs="Arial"/>
        </w:rPr>
      </w:pPr>
      <w:r w:rsidRPr="0020509D">
        <w:rPr>
          <w:rFonts w:ascii="Arial" w:hAnsi="Arial" w:cs="Arial"/>
        </w:rPr>
        <w:t>Heard in open court:</w:t>
      </w:r>
      <w:r w:rsidR="00C869F7" w:rsidRPr="0020509D">
        <w:rPr>
          <w:rFonts w:ascii="Arial" w:hAnsi="Arial" w:cs="Arial"/>
        </w:rPr>
        <w:t xml:space="preserve"> </w:t>
      </w:r>
      <w:r w:rsidR="00427280" w:rsidRPr="0020509D">
        <w:rPr>
          <w:rFonts w:ascii="Arial" w:hAnsi="Arial" w:cs="Arial"/>
        </w:rPr>
        <w:t>5 June 2023</w:t>
      </w:r>
    </w:p>
    <w:p w14:paraId="6FC0DBE2" w14:textId="77777777" w:rsidR="00264126" w:rsidRPr="0020509D" w:rsidRDefault="00264126" w:rsidP="00C869F7">
      <w:pPr>
        <w:widowControl w:val="0"/>
        <w:tabs>
          <w:tab w:val="left" w:pos="-1440"/>
          <w:tab w:val="left" w:pos="-720"/>
          <w:tab w:val="left" w:pos="0"/>
          <w:tab w:val="left" w:pos="1008"/>
          <w:tab w:val="left" w:pos="1728"/>
          <w:tab w:val="left" w:pos="2448"/>
          <w:tab w:val="left" w:pos="3888"/>
          <w:tab w:val="left" w:pos="5328"/>
          <w:tab w:val="left" w:pos="6768"/>
        </w:tabs>
        <w:spacing w:after="360" w:line="276" w:lineRule="auto"/>
        <w:ind w:right="-454"/>
        <w:contextualSpacing/>
        <w:rPr>
          <w:rFonts w:ascii="Arial" w:hAnsi="Arial" w:cs="Arial"/>
        </w:rPr>
      </w:pPr>
    </w:p>
    <w:p w14:paraId="54C07013" w14:textId="0D9A0FEB" w:rsidR="00C869F7" w:rsidRPr="0020509D" w:rsidRDefault="00371F4A" w:rsidP="00C869F7">
      <w:pPr>
        <w:widowControl w:val="0"/>
        <w:tabs>
          <w:tab w:val="left" w:pos="-1440"/>
          <w:tab w:val="left" w:pos="-720"/>
          <w:tab w:val="left" w:pos="0"/>
          <w:tab w:val="left" w:pos="1008"/>
          <w:tab w:val="left" w:pos="1728"/>
          <w:tab w:val="left" w:pos="2448"/>
          <w:tab w:val="left" w:pos="3888"/>
          <w:tab w:val="left" w:pos="5328"/>
          <w:tab w:val="left" w:pos="6768"/>
        </w:tabs>
        <w:spacing w:after="360" w:line="276" w:lineRule="auto"/>
        <w:ind w:right="-454"/>
        <w:contextualSpacing/>
        <w:rPr>
          <w:rFonts w:ascii="Arial" w:hAnsi="Arial" w:cs="Arial"/>
        </w:rPr>
      </w:pPr>
      <w:r w:rsidRPr="0020509D">
        <w:rPr>
          <w:rFonts w:ascii="Arial" w:hAnsi="Arial" w:cs="Arial"/>
        </w:rPr>
        <w:t xml:space="preserve">Delivered and uploaded to CaseLines: </w:t>
      </w:r>
      <w:r w:rsidR="00C61FF3">
        <w:rPr>
          <w:rFonts w:ascii="Arial" w:hAnsi="Arial" w:cs="Arial"/>
        </w:rPr>
        <w:t>31 July 2023</w:t>
      </w:r>
      <w:r w:rsidR="00C869F7" w:rsidRPr="0020509D">
        <w:rPr>
          <w:rFonts w:ascii="Arial" w:hAnsi="Arial" w:cs="Arial"/>
        </w:rPr>
        <w:t xml:space="preserve"> </w:t>
      </w:r>
    </w:p>
    <w:p w14:paraId="75987638" w14:textId="77777777" w:rsidR="00264126" w:rsidRPr="0020509D" w:rsidRDefault="00264126" w:rsidP="00C869F7">
      <w:pPr>
        <w:widowControl w:val="0"/>
        <w:tabs>
          <w:tab w:val="left" w:pos="-1440"/>
          <w:tab w:val="left" w:pos="-720"/>
          <w:tab w:val="left" w:pos="0"/>
          <w:tab w:val="left" w:pos="1008"/>
          <w:tab w:val="left" w:pos="1728"/>
          <w:tab w:val="left" w:pos="2448"/>
          <w:tab w:val="left" w:pos="3888"/>
          <w:tab w:val="left" w:pos="5328"/>
          <w:tab w:val="left" w:pos="6768"/>
        </w:tabs>
        <w:spacing w:after="360" w:line="276" w:lineRule="auto"/>
        <w:ind w:right="-454"/>
        <w:contextualSpacing/>
        <w:rPr>
          <w:rFonts w:ascii="Arial" w:hAnsi="Arial" w:cs="Arial"/>
        </w:rPr>
      </w:pPr>
    </w:p>
    <w:p w14:paraId="039970D7" w14:textId="77777777" w:rsidR="00ED1A06" w:rsidRDefault="00ED1A06" w:rsidP="00C869F7">
      <w:pPr>
        <w:widowControl w:val="0"/>
        <w:tabs>
          <w:tab w:val="left" w:pos="-1440"/>
          <w:tab w:val="left" w:pos="-720"/>
          <w:tab w:val="left" w:pos="0"/>
          <w:tab w:val="left" w:pos="1008"/>
          <w:tab w:val="left" w:pos="1728"/>
          <w:tab w:val="left" w:pos="2448"/>
          <w:tab w:val="left" w:pos="3888"/>
          <w:tab w:val="left" w:pos="5328"/>
          <w:tab w:val="left" w:pos="6768"/>
        </w:tabs>
        <w:spacing w:after="360" w:line="276" w:lineRule="auto"/>
        <w:ind w:right="-454"/>
        <w:contextualSpacing/>
        <w:rPr>
          <w:rFonts w:ascii="Arial" w:hAnsi="Arial" w:cs="Arial"/>
        </w:rPr>
      </w:pPr>
    </w:p>
    <w:p w14:paraId="525C9F55" w14:textId="77777777" w:rsidR="00ED1A06" w:rsidRDefault="00ED1A06" w:rsidP="00C869F7">
      <w:pPr>
        <w:widowControl w:val="0"/>
        <w:tabs>
          <w:tab w:val="left" w:pos="-1440"/>
          <w:tab w:val="left" w:pos="-720"/>
          <w:tab w:val="left" w:pos="0"/>
          <w:tab w:val="left" w:pos="1008"/>
          <w:tab w:val="left" w:pos="1728"/>
          <w:tab w:val="left" w:pos="2448"/>
          <w:tab w:val="left" w:pos="3888"/>
          <w:tab w:val="left" w:pos="5328"/>
          <w:tab w:val="left" w:pos="6768"/>
        </w:tabs>
        <w:spacing w:after="360" w:line="276" w:lineRule="auto"/>
        <w:ind w:right="-454"/>
        <w:contextualSpacing/>
        <w:rPr>
          <w:rFonts w:ascii="Arial" w:hAnsi="Arial" w:cs="Arial"/>
        </w:rPr>
      </w:pPr>
    </w:p>
    <w:p w14:paraId="74FC4311" w14:textId="308AA805" w:rsidR="005C17BA" w:rsidRPr="0020509D" w:rsidRDefault="005C17BA" w:rsidP="00C869F7">
      <w:pPr>
        <w:widowControl w:val="0"/>
        <w:tabs>
          <w:tab w:val="left" w:pos="-1440"/>
          <w:tab w:val="left" w:pos="-720"/>
          <w:tab w:val="left" w:pos="0"/>
          <w:tab w:val="left" w:pos="1008"/>
          <w:tab w:val="left" w:pos="1728"/>
          <w:tab w:val="left" w:pos="2448"/>
          <w:tab w:val="left" w:pos="3888"/>
          <w:tab w:val="left" w:pos="5328"/>
          <w:tab w:val="left" w:pos="6768"/>
        </w:tabs>
        <w:spacing w:after="360" w:line="276" w:lineRule="auto"/>
        <w:ind w:right="-454"/>
        <w:contextualSpacing/>
        <w:rPr>
          <w:rFonts w:ascii="Arial" w:hAnsi="Arial" w:cs="Arial"/>
        </w:rPr>
      </w:pPr>
      <w:r w:rsidRPr="0020509D">
        <w:rPr>
          <w:rFonts w:ascii="Arial" w:hAnsi="Arial" w:cs="Arial"/>
        </w:rPr>
        <w:t xml:space="preserve">Appearances: </w:t>
      </w:r>
    </w:p>
    <w:p w14:paraId="0CA5E5C7" w14:textId="0DE48968" w:rsidR="005C17BA" w:rsidRPr="0020509D" w:rsidRDefault="005C17BA" w:rsidP="00C869F7">
      <w:pPr>
        <w:widowControl w:val="0"/>
        <w:tabs>
          <w:tab w:val="left" w:pos="-1440"/>
          <w:tab w:val="left" w:pos="-720"/>
          <w:tab w:val="left" w:pos="0"/>
          <w:tab w:val="left" w:pos="1008"/>
          <w:tab w:val="left" w:pos="1728"/>
          <w:tab w:val="left" w:pos="2448"/>
          <w:tab w:val="left" w:pos="3888"/>
          <w:tab w:val="left" w:pos="5328"/>
          <w:tab w:val="left" w:pos="6768"/>
        </w:tabs>
        <w:spacing w:after="360" w:line="276" w:lineRule="auto"/>
        <w:ind w:right="-454"/>
        <w:contextualSpacing/>
        <w:rPr>
          <w:rFonts w:ascii="Arial" w:hAnsi="Arial" w:cs="Arial"/>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6"/>
        <w:gridCol w:w="5063"/>
      </w:tblGrid>
      <w:tr w:rsidR="00030B7E" w:rsidRPr="0020509D" w14:paraId="7ED94781" w14:textId="77777777" w:rsidTr="00B109AB">
        <w:tc>
          <w:tcPr>
            <w:tcW w:w="3266" w:type="dxa"/>
          </w:tcPr>
          <w:p w14:paraId="6C938243" w14:textId="6ED3D426" w:rsidR="00030B7E" w:rsidRPr="0020509D" w:rsidRDefault="00030B7E" w:rsidP="00030B7E">
            <w:pPr>
              <w:widowControl w:val="0"/>
              <w:autoSpaceDE w:val="0"/>
              <w:autoSpaceDN w:val="0"/>
              <w:adjustRightInd w:val="0"/>
              <w:spacing w:line="360" w:lineRule="auto"/>
              <w:rPr>
                <w:rFonts w:ascii="Arial" w:hAnsi="Arial" w:cs="Arial"/>
              </w:rPr>
            </w:pPr>
            <w:r w:rsidRPr="0020509D">
              <w:rPr>
                <w:rFonts w:ascii="Arial" w:hAnsi="Arial" w:cs="Arial"/>
              </w:rPr>
              <w:t xml:space="preserve">For the plaintiff / </w:t>
            </w:r>
            <w:r w:rsidR="00427280" w:rsidRPr="0020509D">
              <w:rPr>
                <w:rFonts w:ascii="Arial" w:hAnsi="Arial" w:cs="Arial"/>
              </w:rPr>
              <w:t>respondent</w:t>
            </w:r>
            <w:r w:rsidRPr="0020509D">
              <w:rPr>
                <w:rFonts w:ascii="Arial" w:hAnsi="Arial" w:cs="Arial"/>
              </w:rPr>
              <w:t xml:space="preserve">: </w:t>
            </w:r>
            <w:r w:rsidRPr="0020509D">
              <w:rPr>
                <w:rFonts w:ascii="Arial" w:hAnsi="Arial" w:cs="Arial"/>
              </w:rPr>
              <w:tab/>
            </w:r>
          </w:p>
        </w:tc>
        <w:tc>
          <w:tcPr>
            <w:tcW w:w="5063" w:type="dxa"/>
          </w:tcPr>
          <w:p w14:paraId="7D50526C" w14:textId="4F7EAB37" w:rsidR="00030B7E" w:rsidRPr="0020509D" w:rsidRDefault="00426385" w:rsidP="00030B7E">
            <w:pPr>
              <w:widowControl w:val="0"/>
              <w:autoSpaceDE w:val="0"/>
              <w:autoSpaceDN w:val="0"/>
              <w:adjustRightInd w:val="0"/>
              <w:spacing w:line="360" w:lineRule="auto"/>
              <w:rPr>
                <w:rFonts w:ascii="Arial" w:hAnsi="Arial" w:cs="Arial"/>
              </w:rPr>
            </w:pPr>
            <w:r w:rsidRPr="0020509D">
              <w:rPr>
                <w:rFonts w:ascii="Arial" w:hAnsi="Arial" w:cs="Arial"/>
              </w:rPr>
              <w:t>Adv X</w:t>
            </w:r>
            <w:r w:rsidR="00427280" w:rsidRPr="0020509D">
              <w:rPr>
                <w:rFonts w:ascii="Arial" w:hAnsi="Arial" w:cs="Arial"/>
              </w:rPr>
              <w:t>T</w:t>
            </w:r>
            <w:r w:rsidRPr="0020509D">
              <w:rPr>
                <w:rFonts w:ascii="Arial" w:hAnsi="Arial" w:cs="Arial"/>
              </w:rPr>
              <w:t xml:space="preserve"> van Niekerk </w:t>
            </w:r>
          </w:p>
          <w:p w14:paraId="71F92A51" w14:textId="08BF06E0" w:rsidR="00030B7E" w:rsidRPr="0020509D" w:rsidRDefault="00030B7E" w:rsidP="00030B7E">
            <w:pPr>
              <w:widowControl w:val="0"/>
              <w:autoSpaceDE w:val="0"/>
              <w:autoSpaceDN w:val="0"/>
              <w:adjustRightInd w:val="0"/>
              <w:spacing w:line="360" w:lineRule="auto"/>
              <w:rPr>
                <w:rFonts w:ascii="Arial" w:hAnsi="Arial" w:cs="Arial"/>
              </w:rPr>
            </w:pPr>
            <w:r w:rsidRPr="0020509D">
              <w:rPr>
                <w:rFonts w:ascii="Arial" w:hAnsi="Arial" w:cs="Arial"/>
              </w:rPr>
              <w:t xml:space="preserve">Instructed by </w:t>
            </w:r>
            <w:r w:rsidR="00B947E9" w:rsidRPr="0020509D">
              <w:rPr>
                <w:rFonts w:ascii="Arial" w:hAnsi="Arial" w:cs="Arial"/>
              </w:rPr>
              <w:t xml:space="preserve">Riana Brown Attorneys </w:t>
            </w:r>
          </w:p>
        </w:tc>
      </w:tr>
      <w:tr w:rsidR="00030B7E" w:rsidRPr="0020509D" w14:paraId="5ED335E7" w14:textId="77777777" w:rsidTr="00B109AB">
        <w:tc>
          <w:tcPr>
            <w:tcW w:w="3266" w:type="dxa"/>
          </w:tcPr>
          <w:p w14:paraId="6C112197" w14:textId="77777777" w:rsidR="00030B7E" w:rsidRPr="0020509D" w:rsidRDefault="00030B7E" w:rsidP="00030B7E">
            <w:pPr>
              <w:widowControl w:val="0"/>
              <w:autoSpaceDE w:val="0"/>
              <w:autoSpaceDN w:val="0"/>
              <w:adjustRightInd w:val="0"/>
              <w:spacing w:line="360" w:lineRule="auto"/>
              <w:rPr>
                <w:rFonts w:ascii="Arial" w:hAnsi="Arial" w:cs="Arial"/>
              </w:rPr>
            </w:pPr>
          </w:p>
        </w:tc>
        <w:tc>
          <w:tcPr>
            <w:tcW w:w="5063" w:type="dxa"/>
          </w:tcPr>
          <w:p w14:paraId="68429ECE" w14:textId="77777777" w:rsidR="00030B7E" w:rsidRPr="0020509D" w:rsidRDefault="00030B7E" w:rsidP="00030B7E">
            <w:pPr>
              <w:widowControl w:val="0"/>
              <w:autoSpaceDE w:val="0"/>
              <w:autoSpaceDN w:val="0"/>
              <w:adjustRightInd w:val="0"/>
              <w:spacing w:line="360" w:lineRule="auto"/>
              <w:rPr>
                <w:rFonts w:ascii="Arial" w:hAnsi="Arial" w:cs="Arial"/>
              </w:rPr>
            </w:pPr>
          </w:p>
        </w:tc>
      </w:tr>
      <w:tr w:rsidR="00030B7E" w:rsidRPr="0020509D" w14:paraId="37F85812" w14:textId="77777777" w:rsidTr="00B109AB">
        <w:tc>
          <w:tcPr>
            <w:tcW w:w="3266" w:type="dxa"/>
          </w:tcPr>
          <w:p w14:paraId="3156F4BE" w14:textId="77777777" w:rsidR="00A9501B" w:rsidRPr="0020509D" w:rsidRDefault="00030B7E" w:rsidP="00030B7E">
            <w:pPr>
              <w:widowControl w:val="0"/>
              <w:autoSpaceDE w:val="0"/>
              <w:autoSpaceDN w:val="0"/>
              <w:adjustRightInd w:val="0"/>
              <w:spacing w:line="360" w:lineRule="auto"/>
              <w:rPr>
                <w:rFonts w:ascii="Arial" w:hAnsi="Arial" w:cs="Arial"/>
              </w:rPr>
            </w:pPr>
            <w:r w:rsidRPr="0020509D">
              <w:rPr>
                <w:rFonts w:ascii="Arial" w:hAnsi="Arial" w:cs="Arial"/>
              </w:rPr>
              <w:t>For the defendant</w:t>
            </w:r>
            <w:r w:rsidR="00A9501B" w:rsidRPr="0020509D">
              <w:rPr>
                <w:rFonts w:ascii="Arial" w:hAnsi="Arial" w:cs="Arial"/>
              </w:rPr>
              <w:t xml:space="preserve"> /</w:t>
            </w:r>
          </w:p>
          <w:p w14:paraId="70991739" w14:textId="2C2C3F09" w:rsidR="00030B7E" w:rsidRPr="0020509D" w:rsidRDefault="00A9501B" w:rsidP="00030B7E">
            <w:pPr>
              <w:widowControl w:val="0"/>
              <w:autoSpaceDE w:val="0"/>
              <w:autoSpaceDN w:val="0"/>
              <w:adjustRightInd w:val="0"/>
              <w:spacing w:line="360" w:lineRule="auto"/>
              <w:rPr>
                <w:rFonts w:ascii="Arial" w:hAnsi="Arial" w:cs="Arial"/>
              </w:rPr>
            </w:pPr>
            <w:r w:rsidRPr="0020509D">
              <w:rPr>
                <w:rFonts w:ascii="Arial" w:hAnsi="Arial" w:cs="Arial"/>
              </w:rPr>
              <w:t>excipient</w:t>
            </w:r>
            <w:r w:rsidR="00030B7E" w:rsidRPr="0020509D">
              <w:rPr>
                <w:rFonts w:ascii="Arial" w:hAnsi="Arial" w:cs="Arial"/>
              </w:rPr>
              <w:t>:</w:t>
            </w:r>
            <w:r w:rsidR="00030B7E" w:rsidRPr="0020509D">
              <w:rPr>
                <w:rFonts w:ascii="Arial" w:hAnsi="Arial" w:cs="Arial"/>
              </w:rPr>
              <w:tab/>
            </w:r>
          </w:p>
        </w:tc>
        <w:tc>
          <w:tcPr>
            <w:tcW w:w="5063" w:type="dxa"/>
          </w:tcPr>
          <w:p w14:paraId="081C62DE" w14:textId="6F300351" w:rsidR="00030B7E" w:rsidRPr="0020509D" w:rsidRDefault="00426385" w:rsidP="00030B7E">
            <w:pPr>
              <w:widowControl w:val="0"/>
              <w:autoSpaceDE w:val="0"/>
              <w:autoSpaceDN w:val="0"/>
              <w:adjustRightInd w:val="0"/>
              <w:spacing w:line="360" w:lineRule="auto"/>
              <w:rPr>
                <w:rFonts w:ascii="Arial" w:hAnsi="Arial" w:cs="Arial"/>
              </w:rPr>
            </w:pPr>
            <w:r w:rsidRPr="0020509D">
              <w:rPr>
                <w:rFonts w:ascii="Arial" w:hAnsi="Arial" w:cs="Arial"/>
              </w:rPr>
              <w:t>Adv T Odendaal</w:t>
            </w:r>
          </w:p>
          <w:p w14:paraId="3C1CCD2F" w14:textId="270C0F4E" w:rsidR="00B3341F" w:rsidRPr="0020509D" w:rsidRDefault="00B3341F" w:rsidP="00030B7E">
            <w:pPr>
              <w:widowControl w:val="0"/>
              <w:autoSpaceDE w:val="0"/>
              <w:autoSpaceDN w:val="0"/>
              <w:adjustRightInd w:val="0"/>
              <w:spacing w:line="360" w:lineRule="auto"/>
              <w:rPr>
                <w:rFonts w:ascii="Arial" w:hAnsi="Arial" w:cs="Arial"/>
              </w:rPr>
            </w:pPr>
            <w:r w:rsidRPr="0020509D">
              <w:rPr>
                <w:rFonts w:ascii="Arial" w:hAnsi="Arial" w:cs="Arial"/>
              </w:rPr>
              <w:t xml:space="preserve">Instructed by </w:t>
            </w:r>
            <w:r w:rsidR="00573C2A" w:rsidRPr="0020509D">
              <w:rPr>
                <w:rFonts w:ascii="Arial" w:hAnsi="Arial" w:cs="Arial"/>
              </w:rPr>
              <w:t>Sava</w:t>
            </w:r>
            <w:r w:rsidR="00F52CFA" w:rsidRPr="0020509D">
              <w:rPr>
                <w:rFonts w:ascii="Arial" w:hAnsi="Arial" w:cs="Arial"/>
              </w:rPr>
              <w:t>g</w:t>
            </w:r>
            <w:r w:rsidR="00573C2A" w:rsidRPr="0020509D">
              <w:rPr>
                <w:rFonts w:ascii="Arial" w:hAnsi="Arial" w:cs="Arial"/>
              </w:rPr>
              <w:t>e Jooste &amp; Adams Inc</w:t>
            </w:r>
          </w:p>
        </w:tc>
      </w:tr>
      <w:tr w:rsidR="00030B7E" w:rsidRPr="0020509D" w14:paraId="3C1BAE1A" w14:textId="77777777" w:rsidTr="00B109AB">
        <w:tc>
          <w:tcPr>
            <w:tcW w:w="3266" w:type="dxa"/>
          </w:tcPr>
          <w:p w14:paraId="0D5C1B23" w14:textId="77777777" w:rsidR="00030B7E" w:rsidRPr="0020509D" w:rsidRDefault="00030B7E" w:rsidP="00030B7E">
            <w:pPr>
              <w:widowControl w:val="0"/>
              <w:autoSpaceDE w:val="0"/>
              <w:autoSpaceDN w:val="0"/>
              <w:adjustRightInd w:val="0"/>
              <w:spacing w:line="360" w:lineRule="auto"/>
              <w:rPr>
                <w:rFonts w:ascii="Arial" w:hAnsi="Arial" w:cs="Arial"/>
              </w:rPr>
            </w:pPr>
          </w:p>
        </w:tc>
        <w:tc>
          <w:tcPr>
            <w:tcW w:w="5063" w:type="dxa"/>
          </w:tcPr>
          <w:p w14:paraId="2189BCC6" w14:textId="77777777" w:rsidR="00030B7E" w:rsidRPr="0020509D" w:rsidRDefault="00030B7E" w:rsidP="00030B7E">
            <w:pPr>
              <w:widowControl w:val="0"/>
              <w:autoSpaceDE w:val="0"/>
              <w:autoSpaceDN w:val="0"/>
              <w:adjustRightInd w:val="0"/>
              <w:spacing w:line="360" w:lineRule="auto"/>
              <w:rPr>
                <w:rFonts w:ascii="Arial" w:hAnsi="Arial" w:cs="Arial"/>
              </w:rPr>
            </w:pPr>
          </w:p>
        </w:tc>
      </w:tr>
    </w:tbl>
    <w:p w14:paraId="51D4030D" w14:textId="09967858" w:rsidR="008A0DCA" w:rsidRPr="0020509D" w:rsidRDefault="008A0DCA" w:rsidP="00030B7E">
      <w:pPr>
        <w:widowControl w:val="0"/>
        <w:autoSpaceDE w:val="0"/>
        <w:autoSpaceDN w:val="0"/>
        <w:adjustRightInd w:val="0"/>
        <w:rPr>
          <w:rFonts w:ascii="Arial" w:hAnsi="Arial" w:cs="Arial"/>
        </w:rPr>
      </w:pPr>
    </w:p>
    <w:sectPr w:rsidR="008A0DCA" w:rsidRPr="0020509D">
      <w:headerReference w:type="even" r:id="rId10"/>
      <w:headerReference w:type="default" r:id="rId11"/>
      <w:pgSz w:w="11906" w:h="16838"/>
      <w:pgMar w:top="1474" w:right="1758" w:bottom="1474" w:left="181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D75B8F" w14:textId="77777777" w:rsidR="00A26EFE" w:rsidRDefault="00A26EFE">
      <w:r>
        <w:separator/>
      </w:r>
    </w:p>
  </w:endnote>
  <w:endnote w:type="continuationSeparator" w:id="0">
    <w:p w14:paraId="12D6276C" w14:textId="77777777" w:rsidR="00A26EFE" w:rsidRDefault="00A26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notTrueType/>
    <w:pitch w:val="variable"/>
    <w:sig w:usb0="E00002FF" w:usb1="5000205A"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50D96D" w14:textId="77777777" w:rsidR="00A26EFE" w:rsidRDefault="00A26EFE">
      <w:r>
        <w:separator/>
      </w:r>
    </w:p>
  </w:footnote>
  <w:footnote w:type="continuationSeparator" w:id="0">
    <w:p w14:paraId="39B133B8" w14:textId="77777777" w:rsidR="00A26EFE" w:rsidRDefault="00A26EFE">
      <w:r>
        <w:continuationSeparator/>
      </w:r>
    </w:p>
  </w:footnote>
  <w:footnote w:id="1">
    <w:p w14:paraId="6FEA14F8" w14:textId="77777777" w:rsidR="00A9501B" w:rsidRPr="00D06DE8" w:rsidRDefault="00A9501B" w:rsidP="00A9501B">
      <w:pPr>
        <w:pStyle w:val="FootnoteText"/>
        <w:ind w:left="567" w:hanging="567"/>
        <w:jc w:val="both"/>
        <w:rPr>
          <w:rFonts w:ascii="Arial" w:hAnsi="Arial" w:cs="Arial"/>
          <w:lang w:val="en-ZA"/>
        </w:rPr>
      </w:pPr>
      <w:r w:rsidRPr="00D06DE8">
        <w:rPr>
          <w:rStyle w:val="FootnoteReference"/>
          <w:rFonts w:ascii="Arial" w:hAnsi="Arial" w:cs="Arial"/>
          <w:lang w:val="en-ZA"/>
        </w:rPr>
        <w:footnoteRef/>
      </w:r>
      <w:r w:rsidRPr="00D06DE8">
        <w:rPr>
          <w:rFonts w:ascii="Arial" w:hAnsi="Arial" w:cs="Arial"/>
          <w:lang w:val="en-ZA"/>
        </w:rPr>
        <w:t xml:space="preserve"> </w:t>
      </w:r>
      <w:r>
        <w:rPr>
          <w:rFonts w:ascii="Arial" w:hAnsi="Arial" w:cs="Arial"/>
          <w:lang w:val="en-ZA"/>
        </w:rPr>
        <w:tab/>
      </w:r>
      <w:r w:rsidRPr="00C315DF">
        <w:rPr>
          <w:rFonts w:ascii="Arial" w:hAnsi="Arial" w:cs="Arial"/>
          <w:b/>
          <w:bCs/>
          <w:lang w:val="en-ZA"/>
        </w:rPr>
        <w:t>1</w:t>
      </w:r>
      <w:r>
        <w:rPr>
          <w:rFonts w:ascii="Arial" w:hAnsi="Arial" w:cs="Arial"/>
          <w:b/>
          <w:bCs/>
          <w:lang w:val="en-ZA"/>
        </w:rPr>
        <w:t>942 (CPD) 386 and 391</w:t>
      </w:r>
      <w:r w:rsidRPr="00D06DE8">
        <w:rPr>
          <w:rFonts w:ascii="Arial" w:hAnsi="Arial" w:cs="Arial"/>
          <w:lang w:val="en-ZA"/>
        </w:rPr>
        <w:t>.</w:t>
      </w:r>
    </w:p>
  </w:footnote>
  <w:footnote w:id="2">
    <w:p w14:paraId="02335187" w14:textId="77777777" w:rsidR="00A9501B" w:rsidRPr="00D06DE8" w:rsidRDefault="00A9501B" w:rsidP="00A9501B">
      <w:pPr>
        <w:pStyle w:val="FootnoteText"/>
        <w:ind w:left="567" w:hanging="567"/>
        <w:jc w:val="both"/>
        <w:rPr>
          <w:rFonts w:ascii="Arial" w:hAnsi="Arial" w:cs="Arial"/>
          <w:lang w:val="en-ZA"/>
        </w:rPr>
      </w:pPr>
      <w:r w:rsidRPr="00D06DE8">
        <w:rPr>
          <w:rStyle w:val="FootnoteReference"/>
          <w:rFonts w:ascii="Arial" w:hAnsi="Arial" w:cs="Arial"/>
          <w:lang w:val="en-ZA"/>
        </w:rPr>
        <w:footnoteRef/>
      </w:r>
      <w:r w:rsidRPr="00D06DE8">
        <w:rPr>
          <w:rFonts w:ascii="Arial" w:hAnsi="Arial" w:cs="Arial"/>
          <w:lang w:val="en-ZA"/>
        </w:rPr>
        <w:t xml:space="preserve"> </w:t>
      </w:r>
      <w:r>
        <w:rPr>
          <w:rFonts w:ascii="Arial" w:hAnsi="Arial" w:cs="Arial"/>
          <w:lang w:val="en-ZA"/>
        </w:rPr>
        <w:tab/>
      </w:r>
      <w:r>
        <w:rPr>
          <w:rFonts w:ascii="Arial" w:hAnsi="Arial" w:cs="Arial"/>
          <w:b/>
          <w:bCs/>
          <w:lang w:val="en-ZA"/>
        </w:rPr>
        <w:t>2021 JDR 2056 (SCA) at paragraph [3]</w:t>
      </w:r>
      <w:r w:rsidRPr="00D06DE8">
        <w:rPr>
          <w:rFonts w:ascii="Arial" w:hAnsi="Arial" w:cs="Arial"/>
          <w:lang w:val="en-ZA"/>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C894F" w14:textId="77777777" w:rsidR="00FB3D83" w:rsidRDefault="00FB3D8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5C7DB5" w14:textId="77777777" w:rsidR="00FB3D83" w:rsidRDefault="00FB3D83">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4CE50" w14:textId="77777777" w:rsidR="00FB3D83" w:rsidRDefault="00FB3D83" w:rsidP="00D9318F">
    <w:pPr>
      <w:pStyle w:val="Header"/>
      <w:framePr w:w="9078" w:wrap="around" w:vAnchor="text" w:hAnchor="page" w:x="1659" w:y="-10"/>
      <w:tabs>
        <w:tab w:val="clear" w:pos="8306"/>
      </w:tabs>
      <w:ind w:right="-445"/>
      <w:rPr>
        <w:rStyle w:val="PageNumber"/>
      </w:rPr>
    </w:pPr>
  </w:p>
  <w:p w14:paraId="410B7D8C" w14:textId="77777777" w:rsidR="00FB3D83" w:rsidRDefault="00FB3D83" w:rsidP="00D9318F">
    <w:pPr>
      <w:pStyle w:val="Header"/>
      <w:framePr w:w="9078" w:wrap="around" w:vAnchor="text" w:hAnchor="page" w:x="1659" w:y="-10"/>
      <w:tabs>
        <w:tab w:val="clear" w:pos="8306"/>
        <w:tab w:val="right" w:pos="8344"/>
      </w:tabs>
      <w:rPr>
        <w:rStyle w:val="PageNumber"/>
      </w:rPr>
    </w:pPr>
  </w:p>
  <w:p w14:paraId="70DC3D52" w14:textId="6A070FA3" w:rsidR="00FB3D83" w:rsidRDefault="00FB3D83" w:rsidP="00D9318F">
    <w:pPr>
      <w:pStyle w:val="Header"/>
      <w:framePr w:w="9078" w:wrap="around" w:vAnchor="text" w:hAnchor="page" w:x="1659" w:y="-10"/>
      <w:tabs>
        <w:tab w:val="clear" w:pos="8306"/>
        <w:tab w:val="right" w:pos="8344"/>
      </w:tabs>
      <w:ind w:right="-445"/>
      <w:rPr>
        <w:rStyle w:val="PageNumber"/>
        <w:rFonts w:ascii="Arial" w:hAnsi="Arial" w:cs="Arial"/>
        <w:b/>
        <w:bCs/>
      </w:rPr>
    </w:pPr>
    <w:r>
      <w:rPr>
        <w:rStyle w:val="PageNumber"/>
        <w:b/>
        <w:bCs/>
      </w:rPr>
      <w:tab/>
    </w:r>
    <w:r>
      <w:rPr>
        <w:rStyle w:val="PageNumber"/>
        <w:rFonts w:ascii="Arial" w:hAnsi="Arial" w:cs="Arial"/>
        <w:b/>
        <w:bCs/>
      </w:rPr>
      <w:t xml:space="preserve">Page </w:t>
    </w:r>
    <w:r>
      <w:rPr>
        <w:rStyle w:val="PageNumber"/>
        <w:rFonts w:ascii="Arial" w:hAnsi="Arial" w:cs="Arial"/>
        <w:b/>
        <w:bCs/>
      </w:rPr>
      <w:fldChar w:fldCharType="begin"/>
    </w:r>
    <w:r>
      <w:rPr>
        <w:rStyle w:val="PageNumber"/>
        <w:rFonts w:ascii="Arial" w:hAnsi="Arial" w:cs="Arial"/>
        <w:b/>
        <w:bCs/>
      </w:rPr>
      <w:instrText xml:space="preserve">PAGE  </w:instrText>
    </w:r>
    <w:r>
      <w:rPr>
        <w:rStyle w:val="PageNumber"/>
        <w:rFonts w:ascii="Arial" w:hAnsi="Arial" w:cs="Arial"/>
        <w:b/>
        <w:bCs/>
      </w:rPr>
      <w:fldChar w:fldCharType="separate"/>
    </w:r>
    <w:r w:rsidR="00DC1ECB">
      <w:rPr>
        <w:rStyle w:val="PageNumber"/>
        <w:rFonts w:ascii="Arial" w:hAnsi="Arial" w:cs="Arial"/>
        <w:b/>
        <w:bCs/>
        <w:noProof/>
      </w:rPr>
      <w:t>14</w:t>
    </w:r>
    <w:r>
      <w:rPr>
        <w:rStyle w:val="PageNumber"/>
        <w:rFonts w:ascii="Arial" w:hAnsi="Arial" w:cs="Arial"/>
        <w:b/>
        <w:bCs/>
      </w:rPr>
      <w:fldChar w:fldCharType="end"/>
    </w:r>
  </w:p>
  <w:p w14:paraId="4C296E58" w14:textId="77777777" w:rsidR="00FB3D83" w:rsidRDefault="00FB3D83" w:rsidP="00D9318F">
    <w:pPr>
      <w:pStyle w:val="Header"/>
      <w:framePr w:w="9078" w:wrap="around" w:vAnchor="text" w:hAnchor="page" w:x="1659" w:y="-10"/>
      <w:pBdr>
        <w:bottom w:val="single" w:sz="4" w:space="1" w:color="auto"/>
      </w:pBdr>
      <w:tabs>
        <w:tab w:val="clear" w:pos="8306"/>
        <w:tab w:val="right" w:pos="8344"/>
      </w:tabs>
      <w:rPr>
        <w:rStyle w:val="PageNumber"/>
      </w:rPr>
    </w:pPr>
  </w:p>
  <w:p w14:paraId="6C7B1409" w14:textId="77777777" w:rsidR="00FB3D83" w:rsidRDefault="00FB3D83" w:rsidP="00D9318F">
    <w:pPr>
      <w:pStyle w:val="Header"/>
      <w:framePr w:w="9078" w:wrap="around" w:vAnchor="text" w:hAnchor="page" w:x="1659" w:y="-10"/>
      <w:tabs>
        <w:tab w:val="clear" w:pos="8306"/>
        <w:tab w:val="right" w:pos="8344"/>
      </w:tabs>
      <w:rPr>
        <w:rStyle w:val="PageNumber"/>
      </w:rPr>
    </w:pPr>
  </w:p>
  <w:p w14:paraId="44680D8F" w14:textId="77777777" w:rsidR="00FB3D83" w:rsidRDefault="00FB3D83">
    <w:pPr>
      <w:pStyle w:val="Header"/>
      <w:ind w:right="360"/>
    </w:pPr>
  </w:p>
  <w:p w14:paraId="05F7E7E2" w14:textId="77777777" w:rsidR="00FB3D83" w:rsidRDefault="00FB3D83">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D6C38"/>
    <w:multiLevelType w:val="hybridMultilevel"/>
    <w:tmpl w:val="A4F0F91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2" w15:restartNumberingAfterBreak="0">
    <w:nsid w:val="18D276D0"/>
    <w:multiLevelType w:val="hybridMultilevel"/>
    <w:tmpl w:val="E21CDB3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3B2E2523"/>
    <w:multiLevelType w:val="multilevel"/>
    <w:tmpl w:val="DCCE7F6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22D725B"/>
    <w:multiLevelType w:val="hybridMultilevel"/>
    <w:tmpl w:val="96081E6C"/>
    <w:lvl w:ilvl="0" w:tplc="D55CE14E">
      <w:start w:val="1"/>
      <w:numFmt w:val="upperLetter"/>
      <w:lvlText w:val="%1."/>
      <w:lvlJc w:val="left"/>
      <w:pPr>
        <w:tabs>
          <w:tab w:val="num" w:pos="680"/>
        </w:tabs>
        <w:ind w:left="680" w:hanging="680"/>
      </w:pPr>
      <w:rPr>
        <w:rFonts w:hint="default"/>
        <w:b/>
        <w:i w:val="0"/>
      </w:rPr>
    </w:lvl>
    <w:lvl w:ilvl="1" w:tplc="8C82C04C">
      <w:start w:val="1"/>
      <w:numFmt w:val="lowerLetter"/>
      <w:lvlText w:val="(%2)"/>
      <w:lvlJc w:val="left"/>
      <w:pPr>
        <w:tabs>
          <w:tab w:val="num" w:pos="1701"/>
        </w:tabs>
        <w:ind w:left="1701" w:hanging="850"/>
      </w:pPr>
      <w:rPr>
        <w:rFonts w:hint="default"/>
        <w:b/>
        <w:i w:val="0"/>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429B6404"/>
    <w:multiLevelType w:val="multilevel"/>
    <w:tmpl w:val="AC4EE298"/>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4D8C2CB9"/>
    <w:multiLevelType w:val="multilevel"/>
    <w:tmpl w:val="03703CFE"/>
    <w:lvl w:ilvl="0">
      <w:start w:val="3"/>
      <w:numFmt w:val="decimal"/>
      <w:lvlText w:val="%1."/>
      <w:lvlJc w:val="left"/>
      <w:pPr>
        <w:ind w:left="480" w:hanging="4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7" w15:restartNumberingAfterBreak="0">
    <w:nsid w:val="4FE96534"/>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15:restartNumberingAfterBreak="0">
    <w:nsid w:val="7027610F"/>
    <w:multiLevelType w:val="multilevel"/>
    <w:tmpl w:val="3E4077BC"/>
    <w:lvl w:ilvl="0">
      <w:start w:val="1"/>
      <w:numFmt w:val="decimal"/>
      <w:lvlText w:val="[%1]"/>
      <w:lvlJc w:val="left"/>
      <w:pPr>
        <w:tabs>
          <w:tab w:val="num" w:pos="737"/>
        </w:tabs>
        <w:ind w:left="737" w:hanging="737"/>
      </w:pPr>
      <w:rPr>
        <w:rFonts w:hint="default"/>
        <w:b w:val="0"/>
        <w:i w:val="0"/>
      </w:rPr>
    </w:lvl>
    <w:lvl w:ilvl="1">
      <w:start w:val="1"/>
      <w:numFmt w:val="decimal"/>
      <w:lvlText w:val="[%1.%2]"/>
      <w:lvlJc w:val="left"/>
      <w:pPr>
        <w:tabs>
          <w:tab w:val="num" w:pos="1701"/>
        </w:tabs>
        <w:ind w:left="1701" w:hanging="964"/>
      </w:pPr>
      <w:rPr>
        <w:rFonts w:hint="default"/>
        <w:b w:val="0"/>
        <w:i w:val="0"/>
      </w:rPr>
    </w:lvl>
    <w:lvl w:ilvl="2">
      <w:start w:val="1"/>
      <w:numFmt w:val="decimal"/>
      <w:lvlText w:val="%1.%2.%3."/>
      <w:lvlJc w:val="left"/>
      <w:pPr>
        <w:tabs>
          <w:tab w:val="num" w:pos="2835"/>
        </w:tabs>
        <w:ind w:left="2835" w:hanging="1134"/>
      </w:pPr>
      <w:rPr>
        <w:rFonts w:hint="default"/>
        <w:b w:val="0"/>
        <w:i w:val="0"/>
      </w:rPr>
    </w:lvl>
    <w:lvl w:ilvl="3">
      <w:start w:val="1"/>
      <w:numFmt w:val="decimal"/>
      <w:lvlText w:val="%1.%2.%3.%4."/>
      <w:lvlJc w:val="left"/>
      <w:pPr>
        <w:tabs>
          <w:tab w:val="num" w:pos="6634"/>
        </w:tabs>
        <w:ind w:left="6634" w:hanging="260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7"/>
  </w:num>
  <w:num w:numId="2">
    <w:abstractNumId w:val="8"/>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6"/>
  </w:num>
  <w:num w:numId="6">
    <w:abstractNumId w:val="5"/>
  </w:num>
  <w:num w:numId="7">
    <w:abstractNumId w:val="3"/>
  </w:num>
  <w:num w:numId="8">
    <w:abstractNumId w:val="0"/>
  </w:num>
  <w:num w:numId="9">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C52"/>
    <w:rsid w:val="00001B44"/>
    <w:rsid w:val="00001D14"/>
    <w:rsid w:val="0000291A"/>
    <w:rsid w:val="000033AB"/>
    <w:rsid w:val="000051D4"/>
    <w:rsid w:val="00005D60"/>
    <w:rsid w:val="000073AD"/>
    <w:rsid w:val="0001038C"/>
    <w:rsid w:val="00011C5F"/>
    <w:rsid w:val="000149AF"/>
    <w:rsid w:val="000161F4"/>
    <w:rsid w:val="0001703F"/>
    <w:rsid w:val="00017F30"/>
    <w:rsid w:val="000206B7"/>
    <w:rsid w:val="00022FAF"/>
    <w:rsid w:val="0002550D"/>
    <w:rsid w:val="000269B3"/>
    <w:rsid w:val="0002761D"/>
    <w:rsid w:val="00027F02"/>
    <w:rsid w:val="00030B7E"/>
    <w:rsid w:val="00034BB5"/>
    <w:rsid w:val="00040676"/>
    <w:rsid w:val="00040AB7"/>
    <w:rsid w:val="0004222F"/>
    <w:rsid w:val="00044DDB"/>
    <w:rsid w:val="00045EAE"/>
    <w:rsid w:val="0004622E"/>
    <w:rsid w:val="00047287"/>
    <w:rsid w:val="00047562"/>
    <w:rsid w:val="00050653"/>
    <w:rsid w:val="000525BF"/>
    <w:rsid w:val="00053290"/>
    <w:rsid w:val="000536E4"/>
    <w:rsid w:val="00053E61"/>
    <w:rsid w:val="00055206"/>
    <w:rsid w:val="00062B01"/>
    <w:rsid w:val="00064DDB"/>
    <w:rsid w:val="00065C2C"/>
    <w:rsid w:val="00066C6B"/>
    <w:rsid w:val="000706E4"/>
    <w:rsid w:val="00072192"/>
    <w:rsid w:val="00072478"/>
    <w:rsid w:val="00073C81"/>
    <w:rsid w:val="00075ABC"/>
    <w:rsid w:val="000765EA"/>
    <w:rsid w:val="0007745D"/>
    <w:rsid w:val="000779F9"/>
    <w:rsid w:val="0008787B"/>
    <w:rsid w:val="00090480"/>
    <w:rsid w:val="00091777"/>
    <w:rsid w:val="0009309F"/>
    <w:rsid w:val="0009323A"/>
    <w:rsid w:val="0009390D"/>
    <w:rsid w:val="000939C6"/>
    <w:rsid w:val="000941F7"/>
    <w:rsid w:val="00095010"/>
    <w:rsid w:val="0009586F"/>
    <w:rsid w:val="00095D23"/>
    <w:rsid w:val="0009691B"/>
    <w:rsid w:val="00096D42"/>
    <w:rsid w:val="000A0F87"/>
    <w:rsid w:val="000A19C3"/>
    <w:rsid w:val="000A1A4A"/>
    <w:rsid w:val="000A1AEB"/>
    <w:rsid w:val="000A2255"/>
    <w:rsid w:val="000A3BCE"/>
    <w:rsid w:val="000A3EED"/>
    <w:rsid w:val="000A40EE"/>
    <w:rsid w:val="000A43EA"/>
    <w:rsid w:val="000B0111"/>
    <w:rsid w:val="000B01DF"/>
    <w:rsid w:val="000B2E31"/>
    <w:rsid w:val="000B63D9"/>
    <w:rsid w:val="000B722C"/>
    <w:rsid w:val="000C186E"/>
    <w:rsid w:val="000C5863"/>
    <w:rsid w:val="000D0589"/>
    <w:rsid w:val="000D07DB"/>
    <w:rsid w:val="000D0C08"/>
    <w:rsid w:val="000D15D5"/>
    <w:rsid w:val="000D333A"/>
    <w:rsid w:val="000D562A"/>
    <w:rsid w:val="000D6A96"/>
    <w:rsid w:val="000D6BD1"/>
    <w:rsid w:val="000D6DCD"/>
    <w:rsid w:val="000D79D2"/>
    <w:rsid w:val="000E0BA7"/>
    <w:rsid w:val="000E269B"/>
    <w:rsid w:val="000E35B9"/>
    <w:rsid w:val="000E3C6A"/>
    <w:rsid w:val="000E3E92"/>
    <w:rsid w:val="000E453E"/>
    <w:rsid w:val="000E4D49"/>
    <w:rsid w:val="000E5863"/>
    <w:rsid w:val="000E7892"/>
    <w:rsid w:val="000E7E68"/>
    <w:rsid w:val="000F1568"/>
    <w:rsid w:val="000F6D48"/>
    <w:rsid w:val="001037A7"/>
    <w:rsid w:val="00107139"/>
    <w:rsid w:val="00110C9B"/>
    <w:rsid w:val="00111A59"/>
    <w:rsid w:val="00112CA3"/>
    <w:rsid w:val="001137FA"/>
    <w:rsid w:val="00113AE5"/>
    <w:rsid w:val="00114266"/>
    <w:rsid w:val="00114FF5"/>
    <w:rsid w:val="001154C8"/>
    <w:rsid w:val="00115616"/>
    <w:rsid w:val="00116B6C"/>
    <w:rsid w:val="0011737D"/>
    <w:rsid w:val="0011756E"/>
    <w:rsid w:val="00120741"/>
    <w:rsid w:val="001208EB"/>
    <w:rsid w:val="00120FF2"/>
    <w:rsid w:val="00123F08"/>
    <w:rsid w:val="00124629"/>
    <w:rsid w:val="00126B9B"/>
    <w:rsid w:val="00131C71"/>
    <w:rsid w:val="0013661A"/>
    <w:rsid w:val="001368FD"/>
    <w:rsid w:val="0013709B"/>
    <w:rsid w:val="00137E97"/>
    <w:rsid w:val="001409A5"/>
    <w:rsid w:val="00140A5A"/>
    <w:rsid w:val="00142A91"/>
    <w:rsid w:val="00143517"/>
    <w:rsid w:val="0014427C"/>
    <w:rsid w:val="0014496C"/>
    <w:rsid w:val="0014544E"/>
    <w:rsid w:val="00145C05"/>
    <w:rsid w:val="00145C0E"/>
    <w:rsid w:val="00146F6B"/>
    <w:rsid w:val="00150365"/>
    <w:rsid w:val="0015047B"/>
    <w:rsid w:val="00153657"/>
    <w:rsid w:val="001549C5"/>
    <w:rsid w:val="00155A63"/>
    <w:rsid w:val="00155E7E"/>
    <w:rsid w:val="001579A1"/>
    <w:rsid w:val="001622E3"/>
    <w:rsid w:val="001629E7"/>
    <w:rsid w:val="00162CCF"/>
    <w:rsid w:val="001634BB"/>
    <w:rsid w:val="00170CF5"/>
    <w:rsid w:val="001717B8"/>
    <w:rsid w:val="00172F07"/>
    <w:rsid w:val="00173A7D"/>
    <w:rsid w:val="001746AA"/>
    <w:rsid w:val="00174869"/>
    <w:rsid w:val="001759E8"/>
    <w:rsid w:val="00175EA4"/>
    <w:rsid w:val="00176B2C"/>
    <w:rsid w:val="001771BB"/>
    <w:rsid w:val="001807F6"/>
    <w:rsid w:val="00182AFE"/>
    <w:rsid w:val="00185915"/>
    <w:rsid w:val="00186B1C"/>
    <w:rsid w:val="00186D6E"/>
    <w:rsid w:val="0018776D"/>
    <w:rsid w:val="00187DB3"/>
    <w:rsid w:val="00190ACE"/>
    <w:rsid w:val="00190D2D"/>
    <w:rsid w:val="001A0786"/>
    <w:rsid w:val="001A098E"/>
    <w:rsid w:val="001A17E6"/>
    <w:rsid w:val="001A5662"/>
    <w:rsid w:val="001B1493"/>
    <w:rsid w:val="001B3811"/>
    <w:rsid w:val="001B5500"/>
    <w:rsid w:val="001B5D8E"/>
    <w:rsid w:val="001C2D7F"/>
    <w:rsid w:val="001C2EB6"/>
    <w:rsid w:val="001C3442"/>
    <w:rsid w:val="001C3A0B"/>
    <w:rsid w:val="001C439B"/>
    <w:rsid w:val="001C447F"/>
    <w:rsid w:val="001C47C2"/>
    <w:rsid w:val="001C4CD1"/>
    <w:rsid w:val="001C51F5"/>
    <w:rsid w:val="001C6EF2"/>
    <w:rsid w:val="001C72BD"/>
    <w:rsid w:val="001C7891"/>
    <w:rsid w:val="001C7A5B"/>
    <w:rsid w:val="001D036E"/>
    <w:rsid w:val="001D0A52"/>
    <w:rsid w:val="001D163C"/>
    <w:rsid w:val="001D1FB8"/>
    <w:rsid w:val="001D26E1"/>
    <w:rsid w:val="001D4E6C"/>
    <w:rsid w:val="001D4F64"/>
    <w:rsid w:val="001D5476"/>
    <w:rsid w:val="001D5A88"/>
    <w:rsid w:val="001D5CB0"/>
    <w:rsid w:val="001D5D5B"/>
    <w:rsid w:val="001D6D15"/>
    <w:rsid w:val="001D77A1"/>
    <w:rsid w:val="001E1B81"/>
    <w:rsid w:val="001E47A0"/>
    <w:rsid w:val="001E4EA3"/>
    <w:rsid w:val="001E545D"/>
    <w:rsid w:val="001E7DEA"/>
    <w:rsid w:val="001F1BD4"/>
    <w:rsid w:val="001F21BE"/>
    <w:rsid w:val="001F3040"/>
    <w:rsid w:val="001F468C"/>
    <w:rsid w:val="001F4E74"/>
    <w:rsid w:val="001F62F2"/>
    <w:rsid w:val="001F646A"/>
    <w:rsid w:val="001F7185"/>
    <w:rsid w:val="00201BF4"/>
    <w:rsid w:val="00204DE7"/>
    <w:rsid w:val="0020509D"/>
    <w:rsid w:val="00205248"/>
    <w:rsid w:val="002054B8"/>
    <w:rsid w:val="00205C02"/>
    <w:rsid w:val="0020604B"/>
    <w:rsid w:val="00207DAC"/>
    <w:rsid w:val="00210445"/>
    <w:rsid w:val="00213522"/>
    <w:rsid w:val="0021394B"/>
    <w:rsid w:val="00215025"/>
    <w:rsid w:val="002209A9"/>
    <w:rsid w:val="0022324F"/>
    <w:rsid w:val="002247C1"/>
    <w:rsid w:val="00224A66"/>
    <w:rsid w:val="002262D3"/>
    <w:rsid w:val="00226515"/>
    <w:rsid w:val="00233D1B"/>
    <w:rsid w:val="002363A6"/>
    <w:rsid w:val="00236F61"/>
    <w:rsid w:val="00241F0E"/>
    <w:rsid w:val="002438D2"/>
    <w:rsid w:val="002440C6"/>
    <w:rsid w:val="002477FC"/>
    <w:rsid w:val="0025105E"/>
    <w:rsid w:val="00251955"/>
    <w:rsid w:val="00251E6F"/>
    <w:rsid w:val="00254F7E"/>
    <w:rsid w:val="0025717C"/>
    <w:rsid w:val="00260F85"/>
    <w:rsid w:val="00260F94"/>
    <w:rsid w:val="002613A4"/>
    <w:rsid w:val="00261641"/>
    <w:rsid w:val="00264126"/>
    <w:rsid w:val="002643C9"/>
    <w:rsid w:val="00265435"/>
    <w:rsid w:val="00267468"/>
    <w:rsid w:val="00271127"/>
    <w:rsid w:val="00272725"/>
    <w:rsid w:val="00273933"/>
    <w:rsid w:val="00274959"/>
    <w:rsid w:val="00275836"/>
    <w:rsid w:val="0027706F"/>
    <w:rsid w:val="0028084C"/>
    <w:rsid w:val="0028108E"/>
    <w:rsid w:val="0028563A"/>
    <w:rsid w:val="002856E8"/>
    <w:rsid w:val="00285DAC"/>
    <w:rsid w:val="00287470"/>
    <w:rsid w:val="00290886"/>
    <w:rsid w:val="00293CC8"/>
    <w:rsid w:val="00293F09"/>
    <w:rsid w:val="00295BE0"/>
    <w:rsid w:val="0029623B"/>
    <w:rsid w:val="0029786B"/>
    <w:rsid w:val="002A29B9"/>
    <w:rsid w:val="002A365B"/>
    <w:rsid w:val="002A7B48"/>
    <w:rsid w:val="002B15BD"/>
    <w:rsid w:val="002B2372"/>
    <w:rsid w:val="002B2433"/>
    <w:rsid w:val="002B49A9"/>
    <w:rsid w:val="002C13B6"/>
    <w:rsid w:val="002C44CB"/>
    <w:rsid w:val="002C5F4D"/>
    <w:rsid w:val="002C6059"/>
    <w:rsid w:val="002C7D6C"/>
    <w:rsid w:val="002D2E69"/>
    <w:rsid w:val="002D3140"/>
    <w:rsid w:val="002D5F77"/>
    <w:rsid w:val="002D696A"/>
    <w:rsid w:val="002E0B77"/>
    <w:rsid w:val="002E1149"/>
    <w:rsid w:val="002E4417"/>
    <w:rsid w:val="002E70F2"/>
    <w:rsid w:val="002E78FC"/>
    <w:rsid w:val="002F0024"/>
    <w:rsid w:val="002F0BE7"/>
    <w:rsid w:val="002F0F35"/>
    <w:rsid w:val="002F3E07"/>
    <w:rsid w:val="002F58F5"/>
    <w:rsid w:val="002F622E"/>
    <w:rsid w:val="002F79E2"/>
    <w:rsid w:val="00300A8F"/>
    <w:rsid w:val="0030255B"/>
    <w:rsid w:val="003042D0"/>
    <w:rsid w:val="00305723"/>
    <w:rsid w:val="0030680F"/>
    <w:rsid w:val="003075AC"/>
    <w:rsid w:val="00307FEF"/>
    <w:rsid w:val="00310DC4"/>
    <w:rsid w:val="00312604"/>
    <w:rsid w:val="003153E2"/>
    <w:rsid w:val="003157C1"/>
    <w:rsid w:val="003158A0"/>
    <w:rsid w:val="0031644B"/>
    <w:rsid w:val="003165A0"/>
    <w:rsid w:val="003170A0"/>
    <w:rsid w:val="00317C52"/>
    <w:rsid w:val="0032279E"/>
    <w:rsid w:val="0032529D"/>
    <w:rsid w:val="00326E19"/>
    <w:rsid w:val="00327247"/>
    <w:rsid w:val="00327C25"/>
    <w:rsid w:val="003313D5"/>
    <w:rsid w:val="003357F9"/>
    <w:rsid w:val="00335B38"/>
    <w:rsid w:val="0033625A"/>
    <w:rsid w:val="00336B60"/>
    <w:rsid w:val="003425EE"/>
    <w:rsid w:val="00344555"/>
    <w:rsid w:val="003453FD"/>
    <w:rsid w:val="0034798F"/>
    <w:rsid w:val="00347B84"/>
    <w:rsid w:val="00347D49"/>
    <w:rsid w:val="00353135"/>
    <w:rsid w:val="0035357C"/>
    <w:rsid w:val="0035474C"/>
    <w:rsid w:val="003575F5"/>
    <w:rsid w:val="00360684"/>
    <w:rsid w:val="00360AAC"/>
    <w:rsid w:val="0036229A"/>
    <w:rsid w:val="00362C2A"/>
    <w:rsid w:val="0036774D"/>
    <w:rsid w:val="00371B6B"/>
    <w:rsid w:val="00371EC3"/>
    <w:rsid w:val="00371F4A"/>
    <w:rsid w:val="00373295"/>
    <w:rsid w:val="00374383"/>
    <w:rsid w:val="00377C58"/>
    <w:rsid w:val="00381357"/>
    <w:rsid w:val="00385BF6"/>
    <w:rsid w:val="00386C16"/>
    <w:rsid w:val="00386CBB"/>
    <w:rsid w:val="0039054E"/>
    <w:rsid w:val="00393A3B"/>
    <w:rsid w:val="003944B4"/>
    <w:rsid w:val="003956E9"/>
    <w:rsid w:val="00395EC8"/>
    <w:rsid w:val="003968EB"/>
    <w:rsid w:val="003A1A59"/>
    <w:rsid w:val="003A2173"/>
    <w:rsid w:val="003A377C"/>
    <w:rsid w:val="003A4B85"/>
    <w:rsid w:val="003A60BE"/>
    <w:rsid w:val="003A6589"/>
    <w:rsid w:val="003A7D68"/>
    <w:rsid w:val="003B0A86"/>
    <w:rsid w:val="003B286C"/>
    <w:rsid w:val="003B2C35"/>
    <w:rsid w:val="003B46E7"/>
    <w:rsid w:val="003B6DDC"/>
    <w:rsid w:val="003B7B6A"/>
    <w:rsid w:val="003C1DDE"/>
    <w:rsid w:val="003C3C07"/>
    <w:rsid w:val="003C46C9"/>
    <w:rsid w:val="003C5037"/>
    <w:rsid w:val="003C7A85"/>
    <w:rsid w:val="003C7B59"/>
    <w:rsid w:val="003D0B5B"/>
    <w:rsid w:val="003D12B3"/>
    <w:rsid w:val="003D2923"/>
    <w:rsid w:val="003D61FC"/>
    <w:rsid w:val="003E05B4"/>
    <w:rsid w:val="003E0FA6"/>
    <w:rsid w:val="003E1E55"/>
    <w:rsid w:val="003E284D"/>
    <w:rsid w:val="003E381D"/>
    <w:rsid w:val="003E3B28"/>
    <w:rsid w:val="003E6B89"/>
    <w:rsid w:val="003E7E39"/>
    <w:rsid w:val="003F0EE5"/>
    <w:rsid w:val="003F127B"/>
    <w:rsid w:val="003F1707"/>
    <w:rsid w:val="00402C65"/>
    <w:rsid w:val="00403E37"/>
    <w:rsid w:val="00411109"/>
    <w:rsid w:val="004123DF"/>
    <w:rsid w:val="00414651"/>
    <w:rsid w:val="004177F8"/>
    <w:rsid w:val="00417D0E"/>
    <w:rsid w:val="0042098B"/>
    <w:rsid w:val="004214D4"/>
    <w:rsid w:val="0042192C"/>
    <w:rsid w:val="0042414F"/>
    <w:rsid w:val="00425306"/>
    <w:rsid w:val="0042616C"/>
    <w:rsid w:val="00426385"/>
    <w:rsid w:val="00427280"/>
    <w:rsid w:val="004272D0"/>
    <w:rsid w:val="00427FA0"/>
    <w:rsid w:val="00431006"/>
    <w:rsid w:val="00431D16"/>
    <w:rsid w:val="0043259A"/>
    <w:rsid w:val="00434EB4"/>
    <w:rsid w:val="004354FB"/>
    <w:rsid w:val="004364DD"/>
    <w:rsid w:val="00437E83"/>
    <w:rsid w:val="00441ECD"/>
    <w:rsid w:val="00441EEF"/>
    <w:rsid w:val="0044261E"/>
    <w:rsid w:val="00442E66"/>
    <w:rsid w:val="00442FEB"/>
    <w:rsid w:val="0045204B"/>
    <w:rsid w:val="00452FF3"/>
    <w:rsid w:val="0045535A"/>
    <w:rsid w:val="00455713"/>
    <w:rsid w:val="00463065"/>
    <w:rsid w:val="00463C37"/>
    <w:rsid w:val="0046505A"/>
    <w:rsid w:val="004654B5"/>
    <w:rsid w:val="0046664D"/>
    <w:rsid w:val="0046780C"/>
    <w:rsid w:val="00470197"/>
    <w:rsid w:val="00470A46"/>
    <w:rsid w:val="0047156C"/>
    <w:rsid w:val="00477A18"/>
    <w:rsid w:val="004801F0"/>
    <w:rsid w:val="00480A1C"/>
    <w:rsid w:val="00481075"/>
    <w:rsid w:val="00483CD1"/>
    <w:rsid w:val="00483D44"/>
    <w:rsid w:val="00487FD8"/>
    <w:rsid w:val="00490A68"/>
    <w:rsid w:val="00491E80"/>
    <w:rsid w:val="00493A05"/>
    <w:rsid w:val="00493AAB"/>
    <w:rsid w:val="004943D2"/>
    <w:rsid w:val="004969E8"/>
    <w:rsid w:val="00496CFA"/>
    <w:rsid w:val="004A0C2F"/>
    <w:rsid w:val="004A1C22"/>
    <w:rsid w:val="004A354B"/>
    <w:rsid w:val="004A42F5"/>
    <w:rsid w:val="004A4E4C"/>
    <w:rsid w:val="004A7270"/>
    <w:rsid w:val="004B0378"/>
    <w:rsid w:val="004B12C2"/>
    <w:rsid w:val="004B2E9C"/>
    <w:rsid w:val="004B61C9"/>
    <w:rsid w:val="004B7A83"/>
    <w:rsid w:val="004C0B02"/>
    <w:rsid w:val="004C1407"/>
    <w:rsid w:val="004C188D"/>
    <w:rsid w:val="004C3C78"/>
    <w:rsid w:val="004C6F10"/>
    <w:rsid w:val="004C75B3"/>
    <w:rsid w:val="004D00F7"/>
    <w:rsid w:val="004D0147"/>
    <w:rsid w:val="004D4CB8"/>
    <w:rsid w:val="004D6963"/>
    <w:rsid w:val="004D6DF4"/>
    <w:rsid w:val="004D6E84"/>
    <w:rsid w:val="004D7E24"/>
    <w:rsid w:val="004E0632"/>
    <w:rsid w:val="004E1419"/>
    <w:rsid w:val="004E21EC"/>
    <w:rsid w:val="004E223F"/>
    <w:rsid w:val="004E29CA"/>
    <w:rsid w:val="004E4B2E"/>
    <w:rsid w:val="004E694E"/>
    <w:rsid w:val="004E786B"/>
    <w:rsid w:val="004F2538"/>
    <w:rsid w:val="004F5212"/>
    <w:rsid w:val="004F7EAE"/>
    <w:rsid w:val="00502AD5"/>
    <w:rsid w:val="005033FE"/>
    <w:rsid w:val="005077BF"/>
    <w:rsid w:val="0050787C"/>
    <w:rsid w:val="005122BF"/>
    <w:rsid w:val="005139E9"/>
    <w:rsid w:val="005142CF"/>
    <w:rsid w:val="005241BA"/>
    <w:rsid w:val="00525742"/>
    <w:rsid w:val="0052796D"/>
    <w:rsid w:val="005315AE"/>
    <w:rsid w:val="00533C74"/>
    <w:rsid w:val="005350FD"/>
    <w:rsid w:val="0053599E"/>
    <w:rsid w:val="00535C39"/>
    <w:rsid w:val="005461FB"/>
    <w:rsid w:val="0054646C"/>
    <w:rsid w:val="00547E96"/>
    <w:rsid w:val="00553A7B"/>
    <w:rsid w:val="00554D17"/>
    <w:rsid w:val="00556A29"/>
    <w:rsid w:val="0055734D"/>
    <w:rsid w:val="0055789E"/>
    <w:rsid w:val="00557D7E"/>
    <w:rsid w:val="00560072"/>
    <w:rsid w:val="0056358B"/>
    <w:rsid w:val="005640A4"/>
    <w:rsid w:val="00565739"/>
    <w:rsid w:val="00565DC9"/>
    <w:rsid w:val="005701A6"/>
    <w:rsid w:val="005713DE"/>
    <w:rsid w:val="005738EE"/>
    <w:rsid w:val="00573B16"/>
    <w:rsid w:val="00573C2A"/>
    <w:rsid w:val="005754AF"/>
    <w:rsid w:val="0057621D"/>
    <w:rsid w:val="00580A78"/>
    <w:rsid w:val="00582F6A"/>
    <w:rsid w:val="00583EF4"/>
    <w:rsid w:val="00587489"/>
    <w:rsid w:val="005878BA"/>
    <w:rsid w:val="005906FA"/>
    <w:rsid w:val="00592662"/>
    <w:rsid w:val="00592FBD"/>
    <w:rsid w:val="005954C9"/>
    <w:rsid w:val="00597AB3"/>
    <w:rsid w:val="00597FEF"/>
    <w:rsid w:val="005A0C08"/>
    <w:rsid w:val="005A2342"/>
    <w:rsid w:val="005A36DC"/>
    <w:rsid w:val="005A391C"/>
    <w:rsid w:val="005A39FE"/>
    <w:rsid w:val="005A4284"/>
    <w:rsid w:val="005A5199"/>
    <w:rsid w:val="005A637A"/>
    <w:rsid w:val="005A6B2B"/>
    <w:rsid w:val="005A6CAD"/>
    <w:rsid w:val="005A7650"/>
    <w:rsid w:val="005A7ADF"/>
    <w:rsid w:val="005A7E21"/>
    <w:rsid w:val="005B059D"/>
    <w:rsid w:val="005B33BC"/>
    <w:rsid w:val="005B362A"/>
    <w:rsid w:val="005B4275"/>
    <w:rsid w:val="005B6C56"/>
    <w:rsid w:val="005C04AD"/>
    <w:rsid w:val="005C17BA"/>
    <w:rsid w:val="005C207F"/>
    <w:rsid w:val="005C4561"/>
    <w:rsid w:val="005C46A3"/>
    <w:rsid w:val="005C4B20"/>
    <w:rsid w:val="005C5B19"/>
    <w:rsid w:val="005C64C1"/>
    <w:rsid w:val="005C71E8"/>
    <w:rsid w:val="005C735A"/>
    <w:rsid w:val="005C7B04"/>
    <w:rsid w:val="005D0C0F"/>
    <w:rsid w:val="005D147B"/>
    <w:rsid w:val="005D418D"/>
    <w:rsid w:val="005D7092"/>
    <w:rsid w:val="005D7F65"/>
    <w:rsid w:val="005E2B5B"/>
    <w:rsid w:val="005E425D"/>
    <w:rsid w:val="005E4553"/>
    <w:rsid w:val="005E480D"/>
    <w:rsid w:val="005E6F6F"/>
    <w:rsid w:val="005F1077"/>
    <w:rsid w:val="005F127E"/>
    <w:rsid w:val="005F1527"/>
    <w:rsid w:val="005F159E"/>
    <w:rsid w:val="005F22F9"/>
    <w:rsid w:val="005F2D38"/>
    <w:rsid w:val="005F2D40"/>
    <w:rsid w:val="005F4619"/>
    <w:rsid w:val="005F4623"/>
    <w:rsid w:val="005F5E17"/>
    <w:rsid w:val="005F6C10"/>
    <w:rsid w:val="005F6EB8"/>
    <w:rsid w:val="005F7C2F"/>
    <w:rsid w:val="005F7E11"/>
    <w:rsid w:val="0060225A"/>
    <w:rsid w:val="00603E69"/>
    <w:rsid w:val="0060666D"/>
    <w:rsid w:val="00611497"/>
    <w:rsid w:val="0061264A"/>
    <w:rsid w:val="00612DDD"/>
    <w:rsid w:val="00613661"/>
    <w:rsid w:val="006142A7"/>
    <w:rsid w:val="006159D9"/>
    <w:rsid w:val="00616356"/>
    <w:rsid w:val="006173C7"/>
    <w:rsid w:val="00617ADB"/>
    <w:rsid w:val="00620018"/>
    <w:rsid w:val="00625CF8"/>
    <w:rsid w:val="0062725F"/>
    <w:rsid w:val="00627492"/>
    <w:rsid w:val="0063063F"/>
    <w:rsid w:val="00630FD2"/>
    <w:rsid w:val="00634B08"/>
    <w:rsid w:val="00635047"/>
    <w:rsid w:val="006352F3"/>
    <w:rsid w:val="0063722C"/>
    <w:rsid w:val="00640DEB"/>
    <w:rsid w:val="006419CC"/>
    <w:rsid w:val="006434EE"/>
    <w:rsid w:val="006439E9"/>
    <w:rsid w:val="00643A8A"/>
    <w:rsid w:val="00643DE4"/>
    <w:rsid w:val="006448B5"/>
    <w:rsid w:val="00645042"/>
    <w:rsid w:val="0064625B"/>
    <w:rsid w:val="0064749A"/>
    <w:rsid w:val="00651C36"/>
    <w:rsid w:val="00654D64"/>
    <w:rsid w:val="006554DC"/>
    <w:rsid w:val="006555F3"/>
    <w:rsid w:val="00655B8E"/>
    <w:rsid w:val="00660CE5"/>
    <w:rsid w:val="00661C41"/>
    <w:rsid w:val="0066493F"/>
    <w:rsid w:val="006665D6"/>
    <w:rsid w:val="00670D13"/>
    <w:rsid w:val="00672016"/>
    <w:rsid w:val="00673895"/>
    <w:rsid w:val="00673FCB"/>
    <w:rsid w:val="0067600C"/>
    <w:rsid w:val="00676A77"/>
    <w:rsid w:val="006801C3"/>
    <w:rsid w:val="00681693"/>
    <w:rsid w:val="00681AAF"/>
    <w:rsid w:val="00684826"/>
    <w:rsid w:val="00684A49"/>
    <w:rsid w:val="00687F8C"/>
    <w:rsid w:val="00691362"/>
    <w:rsid w:val="0069292C"/>
    <w:rsid w:val="00692AA7"/>
    <w:rsid w:val="00694168"/>
    <w:rsid w:val="006942A7"/>
    <w:rsid w:val="00694362"/>
    <w:rsid w:val="006A00DF"/>
    <w:rsid w:val="006A0A87"/>
    <w:rsid w:val="006A215A"/>
    <w:rsid w:val="006A465F"/>
    <w:rsid w:val="006A7255"/>
    <w:rsid w:val="006B03C3"/>
    <w:rsid w:val="006B0C47"/>
    <w:rsid w:val="006B116A"/>
    <w:rsid w:val="006B128B"/>
    <w:rsid w:val="006B161D"/>
    <w:rsid w:val="006B3CF5"/>
    <w:rsid w:val="006B4B80"/>
    <w:rsid w:val="006B57AA"/>
    <w:rsid w:val="006B65C1"/>
    <w:rsid w:val="006B71FD"/>
    <w:rsid w:val="006B79A6"/>
    <w:rsid w:val="006C0557"/>
    <w:rsid w:val="006C518C"/>
    <w:rsid w:val="006D1616"/>
    <w:rsid w:val="006D5AA8"/>
    <w:rsid w:val="006D63A6"/>
    <w:rsid w:val="006D6B1B"/>
    <w:rsid w:val="006E2984"/>
    <w:rsid w:val="006E5B90"/>
    <w:rsid w:val="006E73E6"/>
    <w:rsid w:val="006F2AFC"/>
    <w:rsid w:val="006F4E4C"/>
    <w:rsid w:val="006F4EDA"/>
    <w:rsid w:val="006F63E8"/>
    <w:rsid w:val="006F6F21"/>
    <w:rsid w:val="0070011E"/>
    <w:rsid w:val="00700D89"/>
    <w:rsid w:val="00702264"/>
    <w:rsid w:val="007062B4"/>
    <w:rsid w:val="007062B7"/>
    <w:rsid w:val="00706541"/>
    <w:rsid w:val="00706AF4"/>
    <w:rsid w:val="0070789B"/>
    <w:rsid w:val="00710C43"/>
    <w:rsid w:val="00710F1B"/>
    <w:rsid w:val="007111CD"/>
    <w:rsid w:val="007115F9"/>
    <w:rsid w:val="00712BDA"/>
    <w:rsid w:val="00712D7E"/>
    <w:rsid w:val="0071352E"/>
    <w:rsid w:val="007160A0"/>
    <w:rsid w:val="00722902"/>
    <w:rsid w:val="007229B2"/>
    <w:rsid w:val="00723075"/>
    <w:rsid w:val="00723145"/>
    <w:rsid w:val="00723B25"/>
    <w:rsid w:val="00723EB3"/>
    <w:rsid w:val="0072583F"/>
    <w:rsid w:val="00726970"/>
    <w:rsid w:val="00731CC9"/>
    <w:rsid w:val="00733833"/>
    <w:rsid w:val="0073410B"/>
    <w:rsid w:val="00735692"/>
    <w:rsid w:val="00737BE2"/>
    <w:rsid w:val="007437F4"/>
    <w:rsid w:val="00744D57"/>
    <w:rsid w:val="007457F4"/>
    <w:rsid w:val="0074615A"/>
    <w:rsid w:val="0074698D"/>
    <w:rsid w:val="00750DC8"/>
    <w:rsid w:val="00753ED1"/>
    <w:rsid w:val="0075695A"/>
    <w:rsid w:val="00757A9F"/>
    <w:rsid w:val="00761E14"/>
    <w:rsid w:val="00761FB6"/>
    <w:rsid w:val="007623F8"/>
    <w:rsid w:val="007639E1"/>
    <w:rsid w:val="00764B48"/>
    <w:rsid w:val="007658D8"/>
    <w:rsid w:val="00765E5A"/>
    <w:rsid w:val="00765F60"/>
    <w:rsid w:val="00767448"/>
    <w:rsid w:val="00771583"/>
    <w:rsid w:val="00775456"/>
    <w:rsid w:val="0078438E"/>
    <w:rsid w:val="0078573E"/>
    <w:rsid w:val="00786E61"/>
    <w:rsid w:val="00787359"/>
    <w:rsid w:val="007910B4"/>
    <w:rsid w:val="0079238F"/>
    <w:rsid w:val="0079601E"/>
    <w:rsid w:val="007A0355"/>
    <w:rsid w:val="007A1F6C"/>
    <w:rsid w:val="007A4E05"/>
    <w:rsid w:val="007A5D72"/>
    <w:rsid w:val="007A6D0B"/>
    <w:rsid w:val="007A750C"/>
    <w:rsid w:val="007A7B62"/>
    <w:rsid w:val="007B093F"/>
    <w:rsid w:val="007B102D"/>
    <w:rsid w:val="007B162C"/>
    <w:rsid w:val="007B1A2B"/>
    <w:rsid w:val="007B2584"/>
    <w:rsid w:val="007B2ADB"/>
    <w:rsid w:val="007B3B90"/>
    <w:rsid w:val="007B5280"/>
    <w:rsid w:val="007B6D06"/>
    <w:rsid w:val="007B7BFA"/>
    <w:rsid w:val="007C7434"/>
    <w:rsid w:val="007D066E"/>
    <w:rsid w:val="007D2665"/>
    <w:rsid w:val="007D3E04"/>
    <w:rsid w:val="007D44AE"/>
    <w:rsid w:val="007D68C2"/>
    <w:rsid w:val="007E0B69"/>
    <w:rsid w:val="007E5B04"/>
    <w:rsid w:val="007E6322"/>
    <w:rsid w:val="007E65EC"/>
    <w:rsid w:val="007E70DD"/>
    <w:rsid w:val="007E73D0"/>
    <w:rsid w:val="007F4DCD"/>
    <w:rsid w:val="007F61A4"/>
    <w:rsid w:val="00800D02"/>
    <w:rsid w:val="008032CE"/>
    <w:rsid w:val="00804B99"/>
    <w:rsid w:val="00805498"/>
    <w:rsid w:val="008102DE"/>
    <w:rsid w:val="00810470"/>
    <w:rsid w:val="00810893"/>
    <w:rsid w:val="0081192E"/>
    <w:rsid w:val="008137D6"/>
    <w:rsid w:val="00813EDF"/>
    <w:rsid w:val="0081633E"/>
    <w:rsid w:val="008165FF"/>
    <w:rsid w:val="0081738B"/>
    <w:rsid w:val="00824691"/>
    <w:rsid w:val="0082477D"/>
    <w:rsid w:val="00825ADF"/>
    <w:rsid w:val="00831ECB"/>
    <w:rsid w:val="00831F25"/>
    <w:rsid w:val="0083300A"/>
    <w:rsid w:val="00833029"/>
    <w:rsid w:val="008334AD"/>
    <w:rsid w:val="008356BE"/>
    <w:rsid w:val="00835D23"/>
    <w:rsid w:val="00835E09"/>
    <w:rsid w:val="008360E5"/>
    <w:rsid w:val="00841861"/>
    <w:rsid w:val="0084222B"/>
    <w:rsid w:val="00842394"/>
    <w:rsid w:val="008428AE"/>
    <w:rsid w:val="008445A2"/>
    <w:rsid w:val="008462A6"/>
    <w:rsid w:val="0084793B"/>
    <w:rsid w:val="008519F3"/>
    <w:rsid w:val="008531CB"/>
    <w:rsid w:val="00853566"/>
    <w:rsid w:val="0085450F"/>
    <w:rsid w:val="0085611B"/>
    <w:rsid w:val="0085735D"/>
    <w:rsid w:val="008573DD"/>
    <w:rsid w:val="008615C4"/>
    <w:rsid w:val="00862D67"/>
    <w:rsid w:val="00863F2E"/>
    <w:rsid w:val="00867B68"/>
    <w:rsid w:val="0087012C"/>
    <w:rsid w:val="00871963"/>
    <w:rsid w:val="00871A66"/>
    <w:rsid w:val="008723AC"/>
    <w:rsid w:val="008744B7"/>
    <w:rsid w:val="00875F12"/>
    <w:rsid w:val="00876703"/>
    <w:rsid w:val="00876E26"/>
    <w:rsid w:val="00877F2E"/>
    <w:rsid w:val="008800AC"/>
    <w:rsid w:val="00882EEE"/>
    <w:rsid w:val="00882FA4"/>
    <w:rsid w:val="00887B7F"/>
    <w:rsid w:val="00892021"/>
    <w:rsid w:val="008923D2"/>
    <w:rsid w:val="00893F7F"/>
    <w:rsid w:val="00894512"/>
    <w:rsid w:val="00894A7E"/>
    <w:rsid w:val="0089671D"/>
    <w:rsid w:val="008978F1"/>
    <w:rsid w:val="008A0515"/>
    <w:rsid w:val="008A081C"/>
    <w:rsid w:val="008A0853"/>
    <w:rsid w:val="008A0DCA"/>
    <w:rsid w:val="008A49E2"/>
    <w:rsid w:val="008A60C5"/>
    <w:rsid w:val="008A7909"/>
    <w:rsid w:val="008B15B1"/>
    <w:rsid w:val="008B6A2D"/>
    <w:rsid w:val="008B6C6E"/>
    <w:rsid w:val="008B7486"/>
    <w:rsid w:val="008B7D32"/>
    <w:rsid w:val="008C1F90"/>
    <w:rsid w:val="008C2112"/>
    <w:rsid w:val="008C32FF"/>
    <w:rsid w:val="008C35F0"/>
    <w:rsid w:val="008C41F8"/>
    <w:rsid w:val="008C7826"/>
    <w:rsid w:val="008D0F62"/>
    <w:rsid w:val="008D1F8E"/>
    <w:rsid w:val="008D44EC"/>
    <w:rsid w:val="008D4C3E"/>
    <w:rsid w:val="008D66C5"/>
    <w:rsid w:val="008D761B"/>
    <w:rsid w:val="008E02CD"/>
    <w:rsid w:val="008E4605"/>
    <w:rsid w:val="008E7933"/>
    <w:rsid w:val="008F1077"/>
    <w:rsid w:val="008F1341"/>
    <w:rsid w:val="008F2BE1"/>
    <w:rsid w:val="008F3F9B"/>
    <w:rsid w:val="008F4440"/>
    <w:rsid w:val="008F48D0"/>
    <w:rsid w:val="008F4D3E"/>
    <w:rsid w:val="008F5297"/>
    <w:rsid w:val="008F59F1"/>
    <w:rsid w:val="008F6A95"/>
    <w:rsid w:val="00900189"/>
    <w:rsid w:val="009003A0"/>
    <w:rsid w:val="0090125B"/>
    <w:rsid w:val="00904EA7"/>
    <w:rsid w:val="009073B6"/>
    <w:rsid w:val="00907569"/>
    <w:rsid w:val="00910B75"/>
    <w:rsid w:val="00910B76"/>
    <w:rsid w:val="00911E6C"/>
    <w:rsid w:val="00920818"/>
    <w:rsid w:val="00920A5B"/>
    <w:rsid w:val="00920C15"/>
    <w:rsid w:val="00921C19"/>
    <w:rsid w:val="009249B8"/>
    <w:rsid w:val="009301D5"/>
    <w:rsid w:val="009354EB"/>
    <w:rsid w:val="00937396"/>
    <w:rsid w:val="009375ED"/>
    <w:rsid w:val="00940C78"/>
    <w:rsid w:val="00941EDC"/>
    <w:rsid w:val="009424F2"/>
    <w:rsid w:val="009429D6"/>
    <w:rsid w:val="0094321C"/>
    <w:rsid w:val="00943AA8"/>
    <w:rsid w:val="009443CD"/>
    <w:rsid w:val="00946FB1"/>
    <w:rsid w:val="00947204"/>
    <w:rsid w:val="0094770B"/>
    <w:rsid w:val="00951FC9"/>
    <w:rsid w:val="00952565"/>
    <w:rsid w:val="00956DE8"/>
    <w:rsid w:val="00960972"/>
    <w:rsid w:val="00961663"/>
    <w:rsid w:val="00961F3E"/>
    <w:rsid w:val="0096370C"/>
    <w:rsid w:val="0096377B"/>
    <w:rsid w:val="009637DD"/>
    <w:rsid w:val="00964F71"/>
    <w:rsid w:val="009651F6"/>
    <w:rsid w:val="00966945"/>
    <w:rsid w:val="00966E9B"/>
    <w:rsid w:val="00973522"/>
    <w:rsid w:val="00974A30"/>
    <w:rsid w:val="00975808"/>
    <w:rsid w:val="0098595F"/>
    <w:rsid w:val="009901FA"/>
    <w:rsid w:val="009902F6"/>
    <w:rsid w:val="009922E6"/>
    <w:rsid w:val="009948AB"/>
    <w:rsid w:val="009961C5"/>
    <w:rsid w:val="009A0500"/>
    <w:rsid w:val="009A05B6"/>
    <w:rsid w:val="009A077F"/>
    <w:rsid w:val="009A09C5"/>
    <w:rsid w:val="009A0D49"/>
    <w:rsid w:val="009A1474"/>
    <w:rsid w:val="009A1B6B"/>
    <w:rsid w:val="009A529D"/>
    <w:rsid w:val="009A5DD6"/>
    <w:rsid w:val="009A64D9"/>
    <w:rsid w:val="009B0198"/>
    <w:rsid w:val="009B01D9"/>
    <w:rsid w:val="009B0F8F"/>
    <w:rsid w:val="009B17C8"/>
    <w:rsid w:val="009B209E"/>
    <w:rsid w:val="009B6914"/>
    <w:rsid w:val="009C04F8"/>
    <w:rsid w:val="009C1BD7"/>
    <w:rsid w:val="009C25D2"/>
    <w:rsid w:val="009C26F5"/>
    <w:rsid w:val="009C3933"/>
    <w:rsid w:val="009C3FB8"/>
    <w:rsid w:val="009C4990"/>
    <w:rsid w:val="009C4EDC"/>
    <w:rsid w:val="009C5A74"/>
    <w:rsid w:val="009C7D4C"/>
    <w:rsid w:val="009D1332"/>
    <w:rsid w:val="009D2C1F"/>
    <w:rsid w:val="009D2CD5"/>
    <w:rsid w:val="009D40B8"/>
    <w:rsid w:val="009D4148"/>
    <w:rsid w:val="009D5AF8"/>
    <w:rsid w:val="009E0C0B"/>
    <w:rsid w:val="009E26AA"/>
    <w:rsid w:val="009E3D1A"/>
    <w:rsid w:val="009E4BB5"/>
    <w:rsid w:val="009E5F19"/>
    <w:rsid w:val="009E60F5"/>
    <w:rsid w:val="009E71E8"/>
    <w:rsid w:val="009F170A"/>
    <w:rsid w:val="009F23D0"/>
    <w:rsid w:val="009F300F"/>
    <w:rsid w:val="009F4162"/>
    <w:rsid w:val="009F43C5"/>
    <w:rsid w:val="009F48F9"/>
    <w:rsid w:val="009F607E"/>
    <w:rsid w:val="009F6861"/>
    <w:rsid w:val="00A00D0C"/>
    <w:rsid w:val="00A01850"/>
    <w:rsid w:val="00A01ECB"/>
    <w:rsid w:val="00A027DA"/>
    <w:rsid w:val="00A04370"/>
    <w:rsid w:val="00A05DFF"/>
    <w:rsid w:val="00A066AA"/>
    <w:rsid w:val="00A06787"/>
    <w:rsid w:val="00A06B81"/>
    <w:rsid w:val="00A13ED8"/>
    <w:rsid w:val="00A15511"/>
    <w:rsid w:val="00A17362"/>
    <w:rsid w:val="00A177F5"/>
    <w:rsid w:val="00A21F1A"/>
    <w:rsid w:val="00A22DA4"/>
    <w:rsid w:val="00A22E5D"/>
    <w:rsid w:val="00A2658B"/>
    <w:rsid w:val="00A26EFE"/>
    <w:rsid w:val="00A27C23"/>
    <w:rsid w:val="00A30352"/>
    <w:rsid w:val="00A33D67"/>
    <w:rsid w:val="00A428E7"/>
    <w:rsid w:val="00A43BCB"/>
    <w:rsid w:val="00A4462C"/>
    <w:rsid w:val="00A44E25"/>
    <w:rsid w:val="00A464CA"/>
    <w:rsid w:val="00A51877"/>
    <w:rsid w:val="00A53CFB"/>
    <w:rsid w:val="00A54031"/>
    <w:rsid w:val="00A56C56"/>
    <w:rsid w:val="00A56E75"/>
    <w:rsid w:val="00A60B52"/>
    <w:rsid w:val="00A61ECE"/>
    <w:rsid w:val="00A62174"/>
    <w:rsid w:val="00A62272"/>
    <w:rsid w:val="00A6256F"/>
    <w:rsid w:val="00A6533F"/>
    <w:rsid w:val="00A667FA"/>
    <w:rsid w:val="00A67528"/>
    <w:rsid w:val="00A70907"/>
    <w:rsid w:val="00A71E9F"/>
    <w:rsid w:val="00A721AC"/>
    <w:rsid w:val="00A72967"/>
    <w:rsid w:val="00A74392"/>
    <w:rsid w:val="00A80199"/>
    <w:rsid w:val="00A80953"/>
    <w:rsid w:val="00A8367A"/>
    <w:rsid w:val="00A83AA7"/>
    <w:rsid w:val="00A83BC2"/>
    <w:rsid w:val="00A8424E"/>
    <w:rsid w:val="00A8625A"/>
    <w:rsid w:val="00A91119"/>
    <w:rsid w:val="00A916A2"/>
    <w:rsid w:val="00A93C87"/>
    <w:rsid w:val="00A94907"/>
    <w:rsid w:val="00A9501B"/>
    <w:rsid w:val="00A95E5A"/>
    <w:rsid w:val="00AA2DB8"/>
    <w:rsid w:val="00AA5E8D"/>
    <w:rsid w:val="00AA67D9"/>
    <w:rsid w:val="00AA67EE"/>
    <w:rsid w:val="00AA723C"/>
    <w:rsid w:val="00AA7ADE"/>
    <w:rsid w:val="00AB0894"/>
    <w:rsid w:val="00AB2FA7"/>
    <w:rsid w:val="00AB351C"/>
    <w:rsid w:val="00AB3D9A"/>
    <w:rsid w:val="00AB671F"/>
    <w:rsid w:val="00AC05A4"/>
    <w:rsid w:val="00AC0EE9"/>
    <w:rsid w:val="00AC1A75"/>
    <w:rsid w:val="00AC4655"/>
    <w:rsid w:val="00AC4AAD"/>
    <w:rsid w:val="00AC50D2"/>
    <w:rsid w:val="00AC69BF"/>
    <w:rsid w:val="00AD1A75"/>
    <w:rsid w:val="00AD37B0"/>
    <w:rsid w:val="00AD5290"/>
    <w:rsid w:val="00AD5966"/>
    <w:rsid w:val="00AD63F0"/>
    <w:rsid w:val="00AE0F73"/>
    <w:rsid w:val="00AE15AD"/>
    <w:rsid w:val="00AE3071"/>
    <w:rsid w:val="00AE5CB8"/>
    <w:rsid w:val="00AE608F"/>
    <w:rsid w:val="00AF113D"/>
    <w:rsid w:val="00AF142E"/>
    <w:rsid w:val="00AF4EF0"/>
    <w:rsid w:val="00AF624A"/>
    <w:rsid w:val="00AF769F"/>
    <w:rsid w:val="00AF77F7"/>
    <w:rsid w:val="00B01EFC"/>
    <w:rsid w:val="00B021C4"/>
    <w:rsid w:val="00B024AA"/>
    <w:rsid w:val="00B05084"/>
    <w:rsid w:val="00B05E8E"/>
    <w:rsid w:val="00B109AB"/>
    <w:rsid w:val="00B1334E"/>
    <w:rsid w:val="00B136B8"/>
    <w:rsid w:val="00B1519C"/>
    <w:rsid w:val="00B16F27"/>
    <w:rsid w:val="00B20A9E"/>
    <w:rsid w:val="00B20C5E"/>
    <w:rsid w:val="00B2247D"/>
    <w:rsid w:val="00B24847"/>
    <w:rsid w:val="00B26035"/>
    <w:rsid w:val="00B26AE1"/>
    <w:rsid w:val="00B30F66"/>
    <w:rsid w:val="00B33050"/>
    <w:rsid w:val="00B3341F"/>
    <w:rsid w:val="00B34559"/>
    <w:rsid w:val="00B35AF1"/>
    <w:rsid w:val="00B4079B"/>
    <w:rsid w:val="00B40CA9"/>
    <w:rsid w:val="00B411EE"/>
    <w:rsid w:val="00B438EF"/>
    <w:rsid w:val="00B45930"/>
    <w:rsid w:val="00B46ABC"/>
    <w:rsid w:val="00B46CFA"/>
    <w:rsid w:val="00B47186"/>
    <w:rsid w:val="00B473B8"/>
    <w:rsid w:val="00B47921"/>
    <w:rsid w:val="00B47E96"/>
    <w:rsid w:val="00B51A36"/>
    <w:rsid w:val="00B53880"/>
    <w:rsid w:val="00B54648"/>
    <w:rsid w:val="00B54988"/>
    <w:rsid w:val="00B563B5"/>
    <w:rsid w:val="00B611E1"/>
    <w:rsid w:val="00B61E42"/>
    <w:rsid w:val="00B61EA8"/>
    <w:rsid w:val="00B6218F"/>
    <w:rsid w:val="00B67672"/>
    <w:rsid w:val="00B70457"/>
    <w:rsid w:val="00B726D9"/>
    <w:rsid w:val="00B74F65"/>
    <w:rsid w:val="00B75197"/>
    <w:rsid w:val="00B77667"/>
    <w:rsid w:val="00B806B8"/>
    <w:rsid w:val="00B81F21"/>
    <w:rsid w:val="00B84C18"/>
    <w:rsid w:val="00B865EB"/>
    <w:rsid w:val="00B9007C"/>
    <w:rsid w:val="00B91672"/>
    <w:rsid w:val="00B92AE6"/>
    <w:rsid w:val="00B947A6"/>
    <w:rsid w:val="00B947E9"/>
    <w:rsid w:val="00B95161"/>
    <w:rsid w:val="00B954D2"/>
    <w:rsid w:val="00B9722E"/>
    <w:rsid w:val="00B972B6"/>
    <w:rsid w:val="00B973D0"/>
    <w:rsid w:val="00BA1551"/>
    <w:rsid w:val="00BA2BF9"/>
    <w:rsid w:val="00BA4B06"/>
    <w:rsid w:val="00BA7923"/>
    <w:rsid w:val="00BB270E"/>
    <w:rsid w:val="00BB47D5"/>
    <w:rsid w:val="00BB669E"/>
    <w:rsid w:val="00BB7993"/>
    <w:rsid w:val="00BB7D66"/>
    <w:rsid w:val="00BC0BF3"/>
    <w:rsid w:val="00BC21AE"/>
    <w:rsid w:val="00BC2B29"/>
    <w:rsid w:val="00BC3AF7"/>
    <w:rsid w:val="00BC416F"/>
    <w:rsid w:val="00BC4C38"/>
    <w:rsid w:val="00BC79F9"/>
    <w:rsid w:val="00BD2F9E"/>
    <w:rsid w:val="00BE0AAF"/>
    <w:rsid w:val="00BE2C23"/>
    <w:rsid w:val="00BE2DD1"/>
    <w:rsid w:val="00BE4B0B"/>
    <w:rsid w:val="00BE4E67"/>
    <w:rsid w:val="00BF0B02"/>
    <w:rsid w:val="00BF14C4"/>
    <w:rsid w:val="00BF589E"/>
    <w:rsid w:val="00BF63D0"/>
    <w:rsid w:val="00BF716D"/>
    <w:rsid w:val="00BF7E53"/>
    <w:rsid w:val="00C00AFC"/>
    <w:rsid w:val="00C02974"/>
    <w:rsid w:val="00C04036"/>
    <w:rsid w:val="00C058A1"/>
    <w:rsid w:val="00C05A62"/>
    <w:rsid w:val="00C06F4E"/>
    <w:rsid w:val="00C12B60"/>
    <w:rsid w:val="00C12EE3"/>
    <w:rsid w:val="00C1395C"/>
    <w:rsid w:val="00C1544B"/>
    <w:rsid w:val="00C159D7"/>
    <w:rsid w:val="00C16728"/>
    <w:rsid w:val="00C21191"/>
    <w:rsid w:val="00C24D57"/>
    <w:rsid w:val="00C2549C"/>
    <w:rsid w:val="00C25FB7"/>
    <w:rsid w:val="00C2699A"/>
    <w:rsid w:val="00C26C36"/>
    <w:rsid w:val="00C27FCE"/>
    <w:rsid w:val="00C317D7"/>
    <w:rsid w:val="00C36D78"/>
    <w:rsid w:val="00C37122"/>
    <w:rsid w:val="00C40938"/>
    <w:rsid w:val="00C410CC"/>
    <w:rsid w:val="00C414AB"/>
    <w:rsid w:val="00C42757"/>
    <w:rsid w:val="00C47805"/>
    <w:rsid w:val="00C503F5"/>
    <w:rsid w:val="00C5120C"/>
    <w:rsid w:val="00C518F4"/>
    <w:rsid w:val="00C51F64"/>
    <w:rsid w:val="00C52467"/>
    <w:rsid w:val="00C52EF4"/>
    <w:rsid w:val="00C53889"/>
    <w:rsid w:val="00C5594F"/>
    <w:rsid w:val="00C56636"/>
    <w:rsid w:val="00C56D6B"/>
    <w:rsid w:val="00C6187E"/>
    <w:rsid w:val="00C61C39"/>
    <w:rsid w:val="00C61E06"/>
    <w:rsid w:val="00C61FA9"/>
    <w:rsid w:val="00C61FF3"/>
    <w:rsid w:val="00C643C8"/>
    <w:rsid w:val="00C65CDB"/>
    <w:rsid w:val="00C66550"/>
    <w:rsid w:val="00C67061"/>
    <w:rsid w:val="00C70BE9"/>
    <w:rsid w:val="00C7110D"/>
    <w:rsid w:val="00C7299B"/>
    <w:rsid w:val="00C72AAB"/>
    <w:rsid w:val="00C734D7"/>
    <w:rsid w:val="00C75DF1"/>
    <w:rsid w:val="00C8189D"/>
    <w:rsid w:val="00C83BD3"/>
    <w:rsid w:val="00C869F7"/>
    <w:rsid w:val="00C9080F"/>
    <w:rsid w:val="00C949C8"/>
    <w:rsid w:val="00C96389"/>
    <w:rsid w:val="00C9779A"/>
    <w:rsid w:val="00CA2A91"/>
    <w:rsid w:val="00CA2D2E"/>
    <w:rsid w:val="00CA3541"/>
    <w:rsid w:val="00CA631B"/>
    <w:rsid w:val="00CA7384"/>
    <w:rsid w:val="00CB018E"/>
    <w:rsid w:val="00CB5671"/>
    <w:rsid w:val="00CB5963"/>
    <w:rsid w:val="00CB5B11"/>
    <w:rsid w:val="00CB6ECF"/>
    <w:rsid w:val="00CB7634"/>
    <w:rsid w:val="00CB780E"/>
    <w:rsid w:val="00CC0CDF"/>
    <w:rsid w:val="00CC4E64"/>
    <w:rsid w:val="00CD2751"/>
    <w:rsid w:val="00CD36A4"/>
    <w:rsid w:val="00CD4B2F"/>
    <w:rsid w:val="00CE0063"/>
    <w:rsid w:val="00CE0A6B"/>
    <w:rsid w:val="00CE1474"/>
    <w:rsid w:val="00CE1C4E"/>
    <w:rsid w:val="00CE241E"/>
    <w:rsid w:val="00CE5605"/>
    <w:rsid w:val="00CF3354"/>
    <w:rsid w:val="00CF51B8"/>
    <w:rsid w:val="00CF5A73"/>
    <w:rsid w:val="00CF5F85"/>
    <w:rsid w:val="00CF6B95"/>
    <w:rsid w:val="00D00358"/>
    <w:rsid w:val="00D02F0B"/>
    <w:rsid w:val="00D04006"/>
    <w:rsid w:val="00D045E2"/>
    <w:rsid w:val="00D05636"/>
    <w:rsid w:val="00D05AE5"/>
    <w:rsid w:val="00D073B6"/>
    <w:rsid w:val="00D07B3E"/>
    <w:rsid w:val="00D11D37"/>
    <w:rsid w:val="00D12FC9"/>
    <w:rsid w:val="00D13AC3"/>
    <w:rsid w:val="00D13D0C"/>
    <w:rsid w:val="00D15F84"/>
    <w:rsid w:val="00D17BA0"/>
    <w:rsid w:val="00D265D7"/>
    <w:rsid w:val="00D30ABF"/>
    <w:rsid w:val="00D30B7F"/>
    <w:rsid w:val="00D313E1"/>
    <w:rsid w:val="00D322D9"/>
    <w:rsid w:val="00D33BED"/>
    <w:rsid w:val="00D34D7D"/>
    <w:rsid w:val="00D36F94"/>
    <w:rsid w:val="00D37A6B"/>
    <w:rsid w:val="00D44544"/>
    <w:rsid w:val="00D44C09"/>
    <w:rsid w:val="00D47448"/>
    <w:rsid w:val="00D50540"/>
    <w:rsid w:val="00D50EF7"/>
    <w:rsid w:val="00D52EA8"/>
    <w:rsid w:val="00D5332C"/>
    <w:rsid w:val="00D559DB"/>
    <w:rsid w:val="00D55ABF"/>
    <w:rsid w:val="00D564CA"/>
    <w:rsid w:val="00D566A5"/>
    <w:rsid w:val="00D57284"/>
    <w:rsid w:val="00D5760E"/>
    <w:rsid w:val="00D61D22"/>
    <w:rsid w:val="00D6501C"/>
    <w:rsid w:val="00D65FE9"/>
    <w:rsid w:val="00D66A38"/>
    <w:rsid w:val="00D67A8C"/>
    <w:rsid w:val="00D710EC"/>
    <w:rsid w:val="00D71F7D"/>
    <w:rsid w:val="00D770FA"/>
    <w:rsid w:val="00D77169"/>
    <w:rsid w:val="00D77C32"/>
    <w:rsid w:val="00D80F35"/>
    <w:rsid w:val="00D80F68"/>
    <w:rsid w:val="00D849B0"/>
    <w:rsid w:val="00D85F2E"/>
    <w:rsid w:val="00D879A5"/>
    <w:rsid w:val="00D92420"/>
    <w:rsid w:val="00D9318F"/>
    <w:rsid w:val="00D94CB1"/>
    <w:rsid w:val="00D960C9"/>
    <w:rsid w:val="00D96361"/>
    <w:rsid w:val="00D96499"/>
    <w:rsid w:val="00DA0982"/>
    <w:rsid w:val="00DA0A70"/>
    <w:rsid w:val="00DA1E89"/>
    <w:rsid w:val="00DA22B0"/>
    <w:rsid w:val="00DA2C25"/>
    <w:rsid w:val="00DA2CDD"/>
    <w:rsid w:val="00DA3540"/>
    <w:rsid w:val="00DA4036"/>
    <w:rsid w:val="00DA52AE"/>
    <w:rsid w:val="00DA61DE"/>
    <w:rsid w:val="00DA778E"/>
    <w:rsid w:val="00DA7825"/>
    <w:rsid w:val="00DB057E"/>
    <w:rsid w:val="00DB1A38"/>
    <w:rsid w:val="00DB248C"/>
    <w:rsid w:val="00DB4111"/>
    <w:rsid w:val="00DB4E18"/>
    <w:rsid w:val="00DB5366"/>
    <w:rsid w:val="00DB6A76"/>
    <w:rsid w:val="00DB70A3"/>
    <w:rsid w:val="00DB7993"/>
    <w:rsid w:val="00DB7A4E"/>
    <w:rsid w:val="00DC1ECB"/>
    <w:rsid w:val="00DC3037"/>
    <w:rsid w:val="00DC3346"/>
    <w:rsid w:val="00DC462E"/>
    <w:rsid w:val="00DC51AA"/>
    <w:rsid w:val="00DC5FBE"/>
    <w:rsid w:val="00DC68B2"/>
    <w:rsid w:val="00DD0581"/>
    <w:rsid w:val="00DD14E0"/>
    <w:rsid w:val="00DD3671"/>
    <w:rsid w:val="00DD4497"/>
    <w:rsid w:val="00DD4758"/>
    <w:rsid w:val="00DD4F69"/>
    <w:rsid w:val="00DD602D"/>
    <w:rsid w:val="00DD6C89"/>
    <w:rsid w:val="00DE00F4"/>
    <w:rsid w:val="00DE1EF7"/>
    <w:rsid w:val="00DE2705"/>
    <w:rsid w:val="00DE2899"/>
    <w:rsid w:val="00DE3656"/>
    <w:rsid w:val="00DE63C0"/>
    <w:rsid w:val="00DE68CD"/>
    <w:rsid w:val="00DF2BC3"/>
    <w:rsid w:val="00DF3B15"/>
    <w:rsid w:val="00DF5A0F"/>
    <w:rsid w:val="00DF5F7E"/>
    <w:rsid w:val="00DF65AB"/>
    <w:rsid w:val="00E01DB6"/>
    <w:rsid w:val="00E02329"/>
    <w:rsid w:val="00E025D8"/>
    <w:rsid w:val="00E0382E"/>
    <w:rsid w:val="00E03B37"/>
    <w:rsid w:val="00E04935"/>
    <w:rsid w:val="00E10A83"/>
    <w:rsid w:val="00E16EFF"/>
    <w:rsid w:val="00E20072"/>
    <w:rsid w:val="00E200C3"/>
    <w:rsid w:val="00E2163C"/>
    <w:rsid w:val="00E2243F"/>
    <w:rsid w:val="00E23348"/>
    <w:rsid w:val="00E2468B"/>
    <w:rsid w:val="00E2535B"/>
    <w:rsid w:val="00E26830"/>
    <w:rsid w:val="00E27B24"/>
    <w:rsid w:val="00E30BD8"/>
    <w:rsid w:val="00E345E7"/>
    <w:rsid w:val="00E37473"/>
    <w:rsid w:val="00E3762E"/>
    <w:rsid w:val="00E40954"/>
    <w:rsid w:val="00E43008"/>
    <w:rsid w:val="00E475AB"/>
    <w:rsid w:val="00E51F3E"/>
    <w:rsid w:val="00E52C65"/>
    <w:rsid w:val="00E53745"/>
    <w:rsid w:val="00E5440D"/>
    <w:rsid w:val="00E564C5"/>
    <w:rsid w:val="00E609D6"/>
    <w:rsid w:val="00E618B3"/>
    <w:rsid w:val="00E6224E"/>
    <w:rsid w:val="00E63613"/>
    <w:rsid w:val="00E66DF7"/>
    <w:rsid w:val="00E670DC"/>
    <w:rsid w:val="00E67500"/>
    <w:rsid w:val="00E72E01"/>
    <w:rsid w:val="00E74C0F"/>
    <w:rsid w:val="00E77139"/>
    <w:rsid w:val="00E77DCF"/>
    <w:rsid w:val="00E80FD6"/>
    <w:rsid w:val="00E821BE"/>
    <w:rsid w:val="00E8741E"/>
    <w:rsid w:val="00E9060D"/>
    <w:rsid w:val="00E914C0"/>
    <w:rsid w:val="00E91730"/>
    <w:rsid w:val="00E92C71"/>
    <w:rsid w:val="00E92DE2"/>
    <w:rsid w:val="00E93085"/>
    <w:rsid w:val="00E932E3"/>
    <w:rsid w:val="00E95846"/>
    <w:rsid w:val="00EA5515"/>
    <w:rsid w:val="00EA5795"/>
    <w:rsid w:val="00EA5C37"/>
    <w:rsid w:val="00EA5D0F"/>
    <w:rsid w:val="00EA77C5"/>
    <w:rsid w:val="00EB327A"/>
    <w:rsid w:val="00EB39DA"/>
    <w:rsid w:val="00EB3A30"/>
    <w:rsid w:val="00EB45EB"/>
    <w:rsid w:val="00EB5E36"/>
    <w:rsid w:val="00EC06C1"/>
    <w:rsid w:val="00EC0F92"/>
    <w:rsid w:val="00EC1CE7"/>
    <w:rsid w:val="00EC251B"/>
    <w:rsid w:val="00EC31D0"/>
    <w:rsid w:val="00EC6948"/>
    <w:rsid w:val="00EC720B"/>
    <w:rsid w:val="00EC7495"/>
    <w:rsid w:val="00EC7EBA"/>
    <w:rsid w:val="00ED0008"/>
    <w:rsid w:val="00ED1A06"/>
    <w:rsid w:val="00ED21F2"/>
    <w:rsid w:val="00ED692E"/>
    <w:rsid w:val="00EE1E63"/>
    <w:rsid w:val="00EE20DD"/>
    <w:rsid w:val="00EE3279"/>
    <w:rsid w:val="00EE7A06"/>
    <w:rsid w:val="00EF1105"/>
    <w:rsid w:val="00EF11B8"/>
    <w:rsid w:val="00EF2DBB"/>
    <w:rsid w:val="00EF5D24"/>
    <w:rsid w:val="00F024EF"/>
    <w:rsid w:val="00F03F2E"/>
    <w:rsid w:val="00F068F6"/>
    <w:rsid w:val="00F07845"/>
    <w:rsid w:val="00F11369"/>
    <w:rsid w:val="00F12344"/>
    <w:rsid w:val="00F1263A"/>
    <w:rsid w:val="00F12936"/>
    <w:rsid w:val="00F12A89"/>
    <w:rsid w:val="00F1319C"/>
    <w:rsid w:val="00F14567"/>
    <w:rsid w:val="00F2067D"/>
    <w:rsid w:val="00F206F8"/>
    <w:rsid w:val="00F2070A"/>
    <w:rsid w:val="00F20A45"/>
    <w:rsid w:val="00F23585"/>
    <w:rsid w:val="00F24BDC"/>
    <w:rsid w:val="00F25404"/>
    <w:rsid w:val="00F26C01"/>
    <w:rsid w:val="00F26EAC"/>
    <w:rsid w:val="00F32B60"/>
    <w:rsid w:val="00F32FB6"/>
    <w:rsid w:val="00F33088"/>
    <w:rsid w:val="00F332EE"/>
    <w:rsid w:val="00F33594"/>
    <w:rsid w:val="00F40CA9"/>
    <w:rsid w:val="00F40EAF"/>
    <w:rsid w:val="00F40EE0"/>
    <w:rsid w:val="00F41121"/>
    <w:rsid w:val="00F41AD9"/>
    <w:rsid w:val="00F46BBB"/>
    <w:rsid w:val="00F529A7"/>
    <w:rsid w:val="00F52CFA"/>
    <w:rsid w:val="00F542FE"/>
    <w:rsid w:val="00F5679D"/>
    <w:rsid w:val="00F56D16"/>
    <w:rsid w:val="00F60258"/>
    <w:rsid w:val="00F60787"/>
    <w:rsid w:val="00F6118E"/>
    <w:rsid w:val="00F628EC"/>
    <w:rsid w:val="00F65BC1"/>
    <w:rsid w:val="00F65E8F"/>
    <w:rsid w:val="00F67247"/>
    <w:rsid w:val="00F707F0"/>
    <w:rsid w:val="00F70D0D"/>
    <w:rsid w:val="00F70D43"/>
    <w:rsid w:val="00F70DA2"/>
    <w:rsid w:val="00F711EC"/>
    <w:rsid w:val="00F715C0"/>
    <w:rsid w:val="00F7231B"/>
    <w:rsid w:val="00F73A74"/>
    <w:rsid w:val="00F75B74"/>
    <w:rsid w:val="00F76146"/>
    <w:rsid w:val="00F76746"/>
    <w:rsid w:val="00F776EE"/>
    <w:rsid w:val="00F77B42"/>
    <w:rsid w:val="00F80BE2"/>
    <w:rsid w:val="00F811B0"/>
    <w:rsid w:val="00F84761"/>
    <w:rsid w:val="00F84A12"/>
    <w:rsid w:val="00F87C0A"/>
    <w:rsid w:val="00F92808"/>
    <w:rsid w:val="00F9297B"/>
    <w:rsid w:val="00F94734"/>
    <w:rsid w:val="00F94EE7"/>
    <w:rsid w:val="00F96319"/>
    <w:rsid w:val="00FA08AA"/>
    <w:rsid w:val="00FA228D"/>
    <w:rsid w:val="00FA28B0"/>
    <w:rsid w:val="00FA4AB0"/>
    <w:rsid w:val="00FA4ED4"/>
    <w:rsid w:val="00FA5D45"/>
    <w:rsid w:val="00FB0366"/>
    <w:rsid w:val="00FB0736"/>
    <w:rsid w:val="00FB1C8E"/>
    <w:rsid w:val="00FB27DF"/>
    <w:rsid w:val="00FB344B"/>
    <w:rsid w:val="00FB3D83"/>
    <w:rsid w:val="00FB4336"/>
    <w:rsid w:val="00FB7414"/>
    <w:rsid w:val="00FB770A"/>
    <w:rsid w:val="00FB7BC0"/>
    <w:rsid w:val="00FC074A"/>
    <w:rsid w:val="00FC46D2"/>
    <w:rsid w:val="00FC5FAA"/>
    <w:rsid w:val="00FC62B1"/>
    <w:rsid w:val="00FD2A80"/>
    <w:rsid w:val="00FD3F71"/>
    <w:rsid w:val="00FD54B1"/>
    <w:rsid w:val="00FD6D73"/>
    <w:rsid w:val="00FD7252"/>
    <w:rsid w:val="00FE1B53"/>
    <w:rsid w:val="00FE2A96"/>
    <w:rsid w:val="00FE2B75"/>
    <w:rsid w:val="00FE2C60"/>
    <w:rsid w:val="00FE2DFF"/>
    <w:rsid w:val="00FE34FD"/>
    <w:rsid w:val="00FE4BD5"/>
    <w:rsid w:val="00FE4E87"/>
    <w:rsid w:val="00FF06B8"/>
    <w:rsid w:val="00FF0FF2"/>
    <w:rsid w:val="00FF1687"/>
    <w:rsid w:val="00FF2D04"/>
    <w:rsid w:val="00FF39CD"/>
    <w:rsid w:val="00FF3DD8"/>
    <w:rsid w:val="00FF54E5"/>
    <w:rsid w:val="00FF6031"/>
    <w:rsid w:val="00FF6ED0"/>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E89AB0"/>
  <w15:docId w15:val="{95D2366A-797F-4CA9-BA14-27BB0AB95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1">
    <w:name w:val="heading 1"/>
    <w:basedOn w:val="Normal"/>
    <w:next w:val="Normal"/>
    <w:qFormat/>
    <w:pPr>
      <w:keepNext/>
      <w:tabs>
        <w:tab w:val="left" w:pos="540"/>
      </w:tabs>
      <w:spacing w:line="480" w:lineRule="auto"/>
      <w:jc w:val="both"/>
      <w:outlineLvl w:val="0"/>
    </w:pPr>
    <w:rPr>
      <w:b/>
      <w:bCs/>
      <w:u w:val="single"/>
    </w:rPr>
  </w:style>
  <w:style w:type="paragraph" w:styleId="Heading2">
    <w:name w:val="heading 2"/>
    <w:basedOn w:val="Normal"/>
    <w:next w:val="Normal"/>
    <w:qFormat/>
    <w:pPr>
      <w:keepNext/>
      <w:tabs>
        <w:tab w:val="left" w:pos="540"/>
      </w:tabs>
      <w:spacing w:line="480" w:lineRule="auto"/>
      <w:jc w:val="both"/>
      <w:outlineLvl w:val="1"/>
    </w:pPr>
    <w:rPr>
      <w:u w:val="single"/>
    </w:rPr>
  </w:style>
  <w:style w:type="paragraph" w:styleId="Heading3">
    <w:name w:val="heading 3"/>
    <w:basedOn w:val="Normal"/>
    <w:next w:val="Normal"/>
    <w:qFormat/>
    <w:pPr>
      <w:keepNext/>
      <w:spacing w:line="480" w:lineRule="auto"/>
      <w:jc w:val="both"/>
      <w:outlineLvl w:val="2"/>
    </w:pPr>
    <w:rPr>
      <w:rFonts w:ascii="Arial" w:hAnsi="Arial" w:cs="Arial"/>
      <w:b/>
    </w:rPr>
  </w:style>
  <w:style w:type="paragraph" w:styleId="Heading4">
    <w:name w:val="heading 4"/>
    <w:basedOn w:val="Normal"/>
    <w:next w:val="Normal"/>
    <w:qFormat/>
    <w:pPr>
      <w:keepNext/>
      <w:outlineLvl w:val="3"/>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Footer">
    <w:name w:val="footer"/>
    <w:basedOn w:val="Normal"/>
    <w:pPr>
      <w:tabs>
        <w:tab w:val="center" w:pos="4153"/>
        <w:tab w:val="right" w:pos="8306"/>
      </w:tabs>
    </w:pPr>
  </w:style>
  <w:style w:type="table" w:styleId="TableGrid">
    <w:name w:val="Table Grid"/>
    <w:basedOn w:val="TableNormal"/>
    <w:rsid w:val="00ED21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67247"/>
    <w:rPr>
      <w:color w:val="0000FF"/>
      <w:u w:val="single"/>
    </w:rPr>
  </w:style>
  <w:style w:type="paragraph" w:styleId="FootnoteText">
    <w:name w:val="footnote text"/>
    <w:basedOn w:val="Normal"/>
    <w:link w:val="FootnoteTextChar"/>
    <w:uiPriority w:val="99"/>
    <w:semiHidden/>
    <w:rsid w:val="00B46ABC"/>
    <w:rPr>
      <w:sz w:val="20"/>
      <w:szCs w:val="20"/>
    </w:rPr>
  </w:style>
  <w:style w:type="character" w:styleId="FootnoteReference">
    <w:name w:val="footnote reference"/>
    <w:uiPriority w:val="99"/>
    <w:semiHidden/>
    <w:rsid w:val="00B46ABC"/>
    <w:rPr>
      <w:vertAlign w:val="superscript"/>
    </w:rPr>
  </w:style>
  <w:style w:type="paragraph" w:styleId="TOC1">
    <w:name w:val="toc 1"/>
    <w:basedOn w:val="Normal"/>
    <w:next w:val="Normal"/>
    <w:autoRedefine/>
    <w:uiPriority w:val="39"/>
    <w:rsid w:val="00DB70A3"/>
    <w:pPr>
      <w:tabs>
        <w:tab w:val="left" w:pos="567"/>
        <w:tab w:val="right" w:leader="dot" w:pos="8505"/>
      </w:tabs>
      <w:spacing w:after="120" w:line="360" w:lineRule="auto"/>
      <w:ind w:left="567" w:right="851" w:hanging="567"/>
      <w:jc w:val="both"/>
    </w:pPr>
    <w:rPr>
      <w:rFonts w:ascii="Arial" w:hAnsi="Arial"/>
      <w:b/>
    </w:rPr>
  </w:style>
  <w:style w:type="paragraph" w:styleId="TOC2">
    <w:name w:val="toc 2"/>
    <w:basedOn w:val="Normal"/>
    <w:next w:val="Normal"/>
    <w:autoRedefine/>
    <w:uiPriority w:val="39"/>
    <w:rsid w:val="00DB70A3"/>
    <w:pPr>
      <w:tabs>
        <w:tab w:val="left" w:pos="1134"/>
        <w:tab w:val="right" w:leader="dot" w:pos="8505"/>
      </w:tabs>
      <w:spacing w:after="120" w:line="360" w:lineRule="auto"/>
      <w:ind w:left="1134" w:right="851" w:hanging="567"/>
      <w:jc w:val="both"/>
    </w:pPr>
    <w:rPr>
      <w:rFonts w:ascii="Arial" w:hAnsi="Arial"/>
      <w:b/>
    </w:rPr>
  </w:style>
  <w:style w:type="numbering" w:styleId="111111">
    <w:name w:val="Outline List 2"/>
    <w:basedOn w:val="NoList"/>
    <w:rsid w:val="007E65EC"/>
    <w:pPr>
      <w:numPr>
        <w:numId w:val="1"/>
      </w:numPr>
    </w:pPr>
  </w:style>
  <w:style w:type="paragraph" w:styleId="ListParagraph">
    <w:name w:val="List Paragraph"/>
    <w:basedOn w:val="Normal"/>
    <w:uiPriority w:val="34"/>
    <w:qFormat/>
    <w:rsid w:val="00326E19"/>
    <w:pPr>
      <w:ind w:left="720"/>
      <w:contextualSpacing/>
    </w:pPr>
  </w:style>
  <w:style w:type="paragraph" w:styleId="TOC3">
    <w:name w:val="toc 3"/>
    <w:basedOn w:val="Normal"/>
    <w:next w:val="Normal"/>
    <w:autoRedefine/>
    <w:rsid w:val="00B136B8"/>
    <w:pPr>
      <w:spacing w:after="100"/>
      <w:ind w:left="480"/>
    </w:pPr>
  </w:style>
  <w:style w:type="character" w:customStyle="1" w:styleId="UnresolvedMention1">
    <w:name w:val="Unresolved Mention1"/>
    <w:basedOn w:val="DefaultParagraphFont"/>
    <w:uiPriority w:val="99"/>
    <w:semiHidden/>
    <w:unhideWhenUsed/>
    <w:rsid w:val="006A00DF"/>
    <w:rPr>
      <w:color w:val="605E5C"/>
      <w:shd w:val="clear" w:color="auto" w:fill="E1DFDD"/>
    </w:rPr>
  </w:style>
  <w:style w:type="paragraph" w:styleId="BodyText">
    <w:name w:val="Body Text"/>
    <w:basedOn w:val="Normal"/>
    <w:link w:val="BodyTextChar"/>
    <w:semiHidden/>
    <w:rsid w:val="00B35AF1"/>
    <w:pPr>
      <w:tabs>
        <w:tab w:val="left" w:pos="720"/>
        <w:tab w:val="left" w:pos="1680"/>
        <w:tab w:val="left" w:pos="2760"/>
        <w:tab w:val="right" w:pos="8040"/>
      </w:tabs>
      <w:spacing w:line="480" w:lineRule="auto"/>
      <w:jc w:val="both"/>
    </w:pPr>
    <w:rPr>
      <w:rFonts w:ascii="Arial" w:hAnsi="Arial" w:cs="Arial"/>
      <w:szCs w:val="20"/>
      <w:lang w:eastAsia="en-GB"/>
    </w:rPr>
  </w:style>
  <w:style w:type="character" w:customStyle="1" w:styleId="BodyTextChar">
    <w:name w:val="Body Text Char"/>
    <w:basedOn w:val="DefaultParagraphFont"/>
    <w:link w:val="BodyText"/>
    <w:semiHidden/>
    <w:rsid w:val="00B35AF1"/>
    <w:rPr>
      <w:rFonts w:ascii="Arial" w:hAnsi="Arial" w:cs="Arial"/>
      <w:sz w:val="24"/>
      <w:lang w:val="en-GB" w:eastAsia="en-GB"/>
    </w:rPr>
  </w:style>
  <w:style w:type="character" w:customStyle="1" w:styleId="FootnoteTextChar">
    <w:name w:val="Footnote Text Char"/>
    <w:link w:val="FootnoteText"/>
    <w:uiPriority w:val="99"/>
    <w:semiHidden/>
    <w:rsid w:val="00B35AF1"/>
    <w:rPr>
      <w:lang w:val="en-GB" w:eastAsia="en-US"/>
    </w:rPr>
  </w:style>
  <w:style w:type="character" w:styleId="FollowedHyperlink">
    <w:name w:val="FollowedHyperlink"/>
    <w:basedOn w:val="DefaultParagraphFont"/>
    <w:semiHidden/>
    <w:unhideWhenUsed/>
    <w:rsid w:val="000D333A"/>
    <w:rPr>
      <w:color w:val="800080" w:themeColor="followedHyperlink"/>
      <w:u w:val="single"/>
    </w:rPr>
  </w:style>
  <w:style w:type="paragraph" w:styleId="NormalWeb">
    <w:name w:val="Normal (Web)"/>
    <w:basedOn w:val="Normal"/>
    <w:uiPriority w:val="99"/>
    <w:semiHidden/>
    <w:unhideWhenUsed/>
    <w:rsid w:val="00073C81"/>
    <w:pPr>
      <w:spacing w:before="100" w:beforeAutospacing="1" w:after="100" w:afterAutospacing="1"/>
    </w:pPr>
    <w:rPr>
      <w:rFonts w:ascii="Times" w:hAnsi="Times"/>
      <w:sz w:val="20"/>
      <w:szCs w:val="20"/>
      <w:lang w:val="en-US"/>
    </w:rPr>
  </w:style>
  <w:style w:type="character" w:customStyle="1" w:styleId="UnresolvedMention2">
    <w:name w:val="Unresolved Mention2"/>
    <w:basedOn w:val="DefaultParagraphFont"/>
    <w:uiPriority w:val="99"/>
    <w:semiHidden/>
    <w:unhideWhenUsed/>
    <w:rsid w:val="001D5D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80718">
      <w:bodyDiv w:val="1"/>
      <w:marLeft w:val="0"/>
      <w:marRight w:val="0"/>
      <w:marTop w:val="0"/>
      <w:marBottom w:val="0"/>
      <w:divBdr>
        <w:top w:val="none" w:sz="0" w:space="0" w:color="auto"/>
        <w:left w:val="none" w:sz="0" w:space="0" w:color="auto"/>
        <w:bottom w:val="none" w:sz="0" w:space="0" w:color="auto"/>
        <w:right w:val="none" w:sz="0" w:space="0" w:color="auto"/>
      </w:divBdr>
    </w:div>
    <w:div w:id="1256160946">
      <w:bodyDiv w:val="1"/>
      <w:marLeft w:val="0"/>
      <w:marRight w:val="0"/>
      <w:marTop w:val="0"/>
      <w:marBottom w:val="0"/>
      <w:divBdr>
        <w:top w:val="none" w:sz="0" w:space="0" w:color="auto"/>
        <w:left w:val="none" w:sz="0" w:space="0" w:color="auto"/>
        <w:bottom w:val="none" w:sz="0" w:space="0" w:color="auto"/>
        <w:right w:val="none" w:sz="0" w:space="0" w:color="auto"/>
      </w:divBdr>
      <w:divsChild>
        <w:div w:id="329405771">
          <w:marLeft w:val="0"/>
          <w:marRight w:val="0"/>
          <w:marTop w:val="0"/>
          <w:marBottom w:val="0"/>
          <w:divBdr>
            <w:top w:val="none" w:sz="0" w:space="0" w:color="auto"/>
            <w:left w:val="none" w:sz="0" w:space="0" w:color="auto"/>
            <w:bottom w:val="none" w:sz="0" w:space="0" w:color="auto"/>
            <w:right w:val="none" w:sz="0" w:space="0" w:color="auto"/>
          </w:divBdr>
          <w:divsChild>
            <w:div w:id="1227494442">
              <w:marLeft w:val="0"/>
              <w:marRight w:val="0"/>
              <w:marTop w:val="0"/>
              <w:marBottom w:val="0"/>
              <w:divBdr>
                <w:top w:val="none" w:sz="0" w:space="0" w:color="auto"/>
                <w:left w:val="none" w:sz="0" w:space="0" w:color="auto"/>
                <w:bottom w:val="none" w:sz="0" w:space="0" w:color="auto"/>
                <w:right w:val="none" w:sz="0" w:space="0" w:color="auto"/>
              </w:divBdr>
              <w:divsChild>
                <w:div w:id="133413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2.jpg@01D0409E.932462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20B03-6093-40B5-ADD6-87CFEF066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2589</Words>
  <Characters>14759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MEMORANDUM RE COURT’S  ORDER TO SELL FALCON ZS – DAV</vt:lpstr>
    </vt:vector>
  </TitlesOfParts>
  <Company>VdMerwe &amp; Ginsburg</Company>
  <LinksUpToDate>false</LinksUpToDate>
  <CharactersWithSpaces>17314</CharactersWithSpaces>
  <SharedDoc>false</SharedDoc>
  <HLinks>
    <vt:vector size="18" baseType="variant">
      <vt:variant>
        <vt:i4>1835069</vt:i4>
      </vt:variant>
      <vt:variant>
        <vt:i4>14</vt:i4>
      </vt:variant>
      <vt:variant>
        <vt:i4>0</vt:i4>
      </vt:variant>
      <vt:variant>
        <vt:i4>5</vt:i4>
      </vt:variant>
      <vt:variant>
        <vt:lpwstr/>
      </vt:variant>
      <vt:variant>
        <vt:lpwstr>_Toc299712778</vt:lpwstr>
      </vt:variant>
      <vt:variant>
        <vt:i4>1835069</vt:i4>
      </vt:variant>
      <vt:variant>
        <vt:i4>8</vt:i4>
      </vt:variant>
      <vt:variant>
        <vt:i4>0</vt:i4>
      </vt:variant>
      <vt:variant>
        <vt:i4>5</vt:i4>
      </vt:variant>
      <vt:variant>
        <vt:lpwstr/>
      </vt:variant>
      <vt:variant>
        <vt:lpwstr>_Toc299712777</vt:lpwstr>
      </vt:variant>
      <vt:variant>
        <vt:i4>1835069</vt:i4>
      </vt:variant>
      <vt:variant>
        <vt:i4>2</vt:i4>
      </vt:variant>
      <vt:variant>
        <vt:i4>0</vt:i4>
      </vt:variant>
      <vt:variant>
        <vt:i4>5</vt:i4>
      </vt:variant>
      <vt:variant>
        <vt:lpwstr/>
      </vt:variant>
      <vt:variant>
        <vt:lpwstr>_Toc299712776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RE COURT’S  ORDER TO SELL FALCON ZS – DAV</dc:title>
  <dc:subject/>
  <dc:creator>Doret Johnston-Robertson</dc:creator>
  <cp:keywords/>
  <dc:description/>
  <cp:lastModifiedBy>Mary Bruce</cp:lastModifiedBy>
  <cp:revision>4</cp:revision>
  <cp:lastPrinted>2023-07-31T10:55:00Z</cp:lastPrinted>
  <dcterms:created xsi:type="dcterms:W3CDTF">2023-07-31T18:33:00Z</dcterms:created>
  <dcterms:modified xsi:type="dcterms:W3CDTF">2023-08-04T14:00:00Z</dcterms:modified>
</cp:coreProperties>
</file>