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60" w:rsidRDefault="0033534F">
      <w:pPr>
        <w:pStyle w:val="BodyA"/>
        <w:suppressAutoHyphens/>
        <w:spacing w:line="360" w:lineRule="auto"/>
        <w:jc w:val="center"/>
        <w:rPr>
          <w:b/>
          <w:bCs/>
        </w:rPr>
      </w:pPr>
      <w:bookmarkStart w:id="0" w:name="_GoBack"/>
      <w:bookmarkEnd w:id="0"/>
      <w:r>
        <w:rPr>
          <w:b/>
          <w:bCs/>
        </w:rPr>
        <w:t>REPUBLIC OF SOUTH AFRICA</w:t>
      </w:r>
    </w:p>
    <w:p w:rsidR="00EC5E60" w:rsidRDefault="0033534F">
      <w:pPr>
        <w:pStyle w:val="BodyA"/>
        <w:suppressAutoHyphens/>
        <w:spacing w:line="360" w:lineRule="auto"/>
        <w:jc w:val="center"/>
        <w:rPr>
          <w:b/>
          <w:bCs/>
        </w:rPr>
      </w:pPr>
      <w:r>
        <w:rPr>
          <w:rFonts w:ascii="Times New Roman" w:eastAsia="Times New Roman" w:hAnsi="Times New Roman" w:cs="Times New Roman"/>
          <w:b/>
          <w:bCs/>
          <w:noProof/>
          <w:lang w:val="en-ZA"/>
        </w:rPr>
        <w:drawing>
          <wp:inline distT="0" distB="0" distL="0" distR="0">
            <wp:extent cx="1400175" cy="1400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EC5E60" w:rsidRDefault="0033534F">
      <w:pPr>
        <w:pStyle w:val="BodyA"/>
        <w:suppressAutoHyphens/>
        <w:spacing w:line="360" w:lineRule="auto"/>
        <w:jc w:val="center"/>
        <w:rPr>
          <w:b/>
          <w:bCs/>
        </w:rPr>
      </w:pPr>
      <w:r>
        <w:rPr>
          <w:b/>
          <w:bCs/>
        </w:rPr>
        <w:t>IN THE HIGH COURT OF SOUTH AFRICA</w:t>
      </w:r>
    </w:p>
    <w:p w:rsidR="00EC5E60" w:rsidRDefault="0033534F">
      <w:pPr>
        <w:pStyle w:val="BodyA"/>
        <w:suppressAutoHyphens/>
        <w:spacing w:line="360" w:lineRule="auto"/>
        <w:jc w:val="center"/>
        <w:rPr>
          <w:b/>
          <w:bCs/>
          <w:lang w:val="de-DE"/>
        </w:rPr>
      </w:pPr>
      <w:r>
        <w:rPr>
          <w:b/>
          <w:bCs/>
          <w:lang w:val="de-DE"/>
        </w:rPr>
        <w:t xml:space="preserve">GAUTENG DIVISION, PRETORIA </w:t>
      </w:r>
    </w:p>
    <w:p w:rsidR="00EC5E60" w:rsidRDefault="0033534F">
      <w:pPr>
        <w:pStyle w:val="BodyA"/>
        <w:tabs>
          <w:tab w:val="left" w:pos="780"/>
        </w:tabs>
        <w:suppressAutoHyphens/>
        <w:spacing w:line="360" w:lineRule="auto"/>
        <w:jc w:val="both"/>
      </w:pPr>
      <w:r>
        <w:tab/>
      </w:r>
      <w:r>
        <w:tab/>
      </w:r>
    </w:p>
    <w:p w:rsidR="00EC5E60" w:rsidRDefault="0033534F">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CASE NO: 34744/2022 </w:t>
      </w:r>
    </w:p>
    <w:p w:rsidR="00EC5E60" w:rsidRDefault="008029B2">
      <w:pPr>
        <w:pStyle w:val="BodyA"/>
        <w:suppressAutoHyphens/>
        <w:spacing w:line="360" w:lineRule="auto"/>
        <w:jc w:val="right"/>
        <w:rPr>
          <w:b/>
          <w:bCs/>
        </w:rPr>
      </w:pPr>
      <w:r>
        <w:rPr>
          <w:b/>
          <w:bCs/>
        </w:rPr>
        <w:t xml:space="preserve">DOH: 12 July </w:t>
      </w:r>
      <w:r w:rsidR="0033534F">
        <w:rPr>
          <w:b/>
          <w:bCs/>
        </w:rPr>
        <w:t xml:space="preserve">2023 </w:t>
      </w:r>
    </w:p>
    <w:p w:rsidR="00EC5E60" w:rsidRDefault="0033534F">
      <w:pPr>
        <w:pStyle w:val="BodyA"/>
        <w:suppressAutoHyphens/>
        <w:spacing w:line="360" w:lineRule="auto"/>
        <w:jc w:val="right"/>
        <w:rPr>
          <w:b/>
          <w:bCs/>
          <w:sz w:val="28"/>
          <w:szCs w:val="28"/>
        </w:rPr>
      </w:pPr>
      <w:r>
        <w:rPr>
          <w:rFonts w:ascii="Times New Roman" w:eastAsia="Times New Roman" w:hAnsi="Times New Roman" w:cs="Times New Roman"/>
          <w:b/>
          <w:bCs/>
          <w:noProof/>
          <w:lang w:val="en-ZA"/>
        </w:rPr>
        <mc:AlternateContent>
          <mc:Choice Requires="wps">
            <w:drawing>
              <wp:anchor distT="0" distB="0" distL="0" distR="0" simplePos="0" relativeHeight="251659264" behindDoc="0" locked="0" layoutInCell="1" allowOverlap="1">
                <wp:simplePos x="0" y="0"/>
                <wp:positionH relativeFrom="column">
                  <wp:posOffset>-1549400</wp:posOffset>
                </wp:positionH>
                <wp:positionV relativeFrom="line">
                  <wp:posOffset>-4614545</wp:posOffset>
                </wp:positionV>
                <wp:extent cx="635000" cy="635000"/>
                <wp:effectExtent l="0" t="0" r="0" b="0"/>
                <wp:wrapNone/>
                <wp:docPr id="1073741826" name="officeArt object" descr="Square"/>
                <wp:cNvGraphicFramePr/>
                <a:graphic xmlns:a="http://schemas.openxmlformats.org/drawingml/2006/main">
                  <a:graphicData uri="http://schemas.microsoft.com/office/word/2010/wordprocessingShape">
                    <wps:wsp>
                      <wps:cNvSpPr/>
                      <wps:spPr>
                        <a:xfrm>
                          <a:off x="0" y="0"/>
                          <a:ext cx="635000" cy="635000"/>
                        </a:xfrm>
                        <a:prstGeom prst="rect">
                          <a:avLst/>
                        </a:prstGeom>
                        <a:solidFill>
                          <a:srgbClr val="FFFFFF"/>
                        </a:solidFill>
                        <a:ln w="9525" cap="flat">
                          <a:solidFill>
                            <a:srgbClr val="000000"/>
                          </a:solidFill>
                          <a:prstDash val="solid"/>
                          <a:round/>
                        </a:ln>
                        <a:effectLst/>
                      </wps:spPr>
                      <wps:bodyPr/>
                    </wps:wsp>
                  </a:graphicData>
                </a:graphic>
              </wp:anchor>
            </w:drawing>
          </mc:Choice>
          <mc:Fallback xmlns:cx1="http://schemas.microsoft.com/office/drawing/2015/9/8/chartex">
            <w:pict>
              <v:rect id="_x0000_s1026" style="visibility:visible;position:absolute;margin-left:-122.0pt;margin-top:-363.4pt;width:50.0pt;height:5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eastAsia="Times New Roman" w:hAnsi="Times New Roman" w:cs="Times New Roman"/>
          <w:b/>
          <w:bCs/>
          <w:noProof/>
          <w:sz w:val="28"/>
          <w:szCs w:val="28"/>
          <w:lang w:val="en-ZA"/>
        </w:rPr>
        <mc:AlternateContent>
          <mc:Choice Requires="wpg">
            <w:drawing>
              <wp:anchor distT="0" distB="0" distL="0" distR="0" simplePos="0" relativeHeight="251660288" behindDoc="0" locked="0" layoutInCell="1" allowOverlap="1">
                <wp:simplePos x="0" y="0"/>
                <wp:positionH relativeFrom="page">
                  <wp:posOffset>914400</wp:posOffset>
                </wp:positionH>
                <wp:positionV relativeFrom="line">
                  <wp:posOffset>337820</wp:posOffset>
                </wp:positionV>
                <wp:extent cx="3495043" cy="1336042"/>
                <wp:effectExtent l="0" t="0" r="0" b="0"/>
                <wp:wrapNone/>
                <wp:docPr id="1073741829" name="officeArt object" descr="Group"/>
                <wp:cNvGraphicFramePr/>
                <a:graphic xmlns:a="http://schemas.openxmlformats.org/drawingml/2006/main">
                  <a:graphicData uri="http://schemas.microsoft.com/office/word/2010/wordprocessingGroup">
                    <wpg:wgp>
                      <wpg:cNvGrpSpPr/>
                      <wpg:grpSpPr>
                        <a:xfrm>
                          <a:off x="0" y="0"/>
                          <a:ext cx="3495043" cy="1336042"/>
                          <a:chOff x="0" y="0"/>
                          <a:chExt cx="3495042" cy="1336041"/>
                        </a:xfrm>
                      </wpg:grpSpPr>
                      <wps:wsp>
                        <wps:cNvPr id="1073741827" name="Rectangle"/>
                        <wps:cNvSpPr/>
                        <wps:spPr>
                          <a:xfrm>
                            <a:off x="-1" y="-1"/>
                            <a:ext cx="3495043" cy="1336042"/>
                          </a:xfrm>
                          <a:prstGeom prst="rect">
                            <a:avLst/>
                          </a:prstGeom>
                          <a:solidFill>
                            <a:srgbClr val="FFFFFF"/>
                          </a:solidFill>
                          <a:ln w="10160" cap="flat">
                            <a:solidFill>
                              <a:srgbClr val="000000"/>
                            </a:solidFill>
                            <a:prstDash val="solid"/>
                            <a:round/>
                          </a:ln>
                          <a:effectLst/>
                        </wps:spPr>
                        <wps:bodyPr/>
                      </wps:wsp>
                      <wps:wsp>
                        <wps:cNvPr id="1073741828" name="REPORTABLE: NO/YES…"/>
                        <wps:cNvSpPr txBox="1"/>
                        <wps:spPr>
                          <a:xfrm>
                            <a:off x="137156" y="-1"/>
                            <a:ext cx="3220724" cy="1336042"/>
                          </a:xfrm>
                          <a:prstGeom prst="rect">
                            <a:avLst/>
                          </a:prstGeom>
                          <a:noFill/>
                          <a:ln w="12700" cap="flat">
                            <a:noFill/>
                            <a:miter lim="400000"/>
                          </a:ln>
                          <a:effectLst/>
                        </wps:spPr>
                        <wps:txbx>
                          <w:txbxContent>
                            <w:p w:rsidR="00EC5E60" w:rsidRDefault="00D23CA3" w:rsidP="00D23CA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33534F">
                                <w:rPr>
                                  <w:rFonts w:ascii="Century Gothic" w:hAnsi="Century Gothic"/>
                                  <w:sz w:val="18"/>
                                  <w:szCs w:val="18"/>
                                </w:rPr>
                                <w:t xml:space="preserve">REPORTABLE: </w:t>
                              </w:r>
                              <w:r w:rsidR="0033534F">
                                <w:rPr>
                                  <w:rFonts w:ascii="Century Gothic" w:hAnsi="Century Gothic"/>
                                  <w:b/>
                                  <w:bCs/>
                                  <w:sz w:val="18"/>
                                  <w:szCs w:val="18"/>
                                </w:rPr>
                                <w:t>NO</w:t>
                              </w:r>
                              <w:r w:rsidR="0033534F">
                                <w:rPr>
                                  <w:rFonts w:ascii="Century Gothic" w:hAnsi="Century Gothic"/>
                                  <w:sz w:val="18"/>
                                  <w:szCs w:val="18"/>
                                </w:rPr>
                                <w:t>/YES</w:t>
                              </w:r>
                            </w:p>
                            <w:p w:rsidR="00EC5E60" w:rsidRDefault="00D23CA3" w:rsidP="00D23CA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33534F">
                                <w:rPr>
                                  <w:rFonts w:ascii="Century Gothic" w:hAnsi="Century Gothic"/>
                                  <w:sz w:val="18"/>
                                  <w:szCs w:val="18"/>
                                </w:rPr>
                                <w:t xml:space="preserve">OF INTEREST TO OTHER JUDGES: </w:t>
                              </w:r>
                              <w:r w:rsidR="0033534F">
                                <w:rPr>
                                  <w:rFonts w:ascii="Century Gothic" w:hAnsi="Century Gothic"/>
                                  <w:b/>
                                  <w:bCs/>
                                  <w:sz w:val="18"/>
                                  <w:szCs w:val="18"/>
                                </w:rPr>
                                <w:t>NO</w:t>
                              </w:r>
                              <w:r w:rsidR="0033534F">
                                <w:rPr>
                                  <w:rFonts w:ascii="Century Gothic" w:hAnsi="Century Gothic"/>
                                  <w:sz w:val="18"/>
                                  <w:szCs w:val="18"/>
                                </w:rPr>
                                <w:t>/YES</w:t>
                              </w:r>
                            </w:p>
                            <w:p w:rsidR="00EC5E60" w:rsidRDefault="00D23CA3" w:rsidP="00D23CA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33534F">
                                <w:rPr>
                                  <w:rFonts w:ascii="Century Gothic" w:hAnsi="Century Gothic"/>
                                  <w:sz w:val="18"/>
                                  <w:szCs w:val="18"/>
                                </w:rPr>
                                <w:t xml:space="preserve">REVISED. </w:t>
                              </w:r>
                            </w:p>
                            <w:p w:rsidR="00EC5E60" w:rsidRDefault="00EC5E60">
                              <w:pPr>
                                <w:pStyle w:val="BodyA"/>
                                <w:ind w:left="1857"/>
                                <w:rPr>
                                  <w:rFonts w:ascii="Century Gothic" w:eastAsia="Century Gothic" w:hAnsi="Century Gothic" w:cs="Century Gothic"/>
                                  <w:sz w:val="18"/>
                                  <w:szCs w:val="18"/>
                                </w:rPr>
                              </w:pPr>
                            </w:p>
                            <w:p w:rsidR="00EC5E60" w:rsidRDefault="00EC5E60">
                              <w:pPr>
                                <w:pStyle w:val="BodyA"/>
                                <w:rPr>
                                  <w:rFonts w:ascii="Century Gothic" w:eastAsia="Century Gothic" w:hAnsi="Century Gothic" w:cs="Century Gothic"/>
                                  <w:b/>
                                  <w:bCs/>
                                  <w:sz w:val="18"/>
                                  <w:szCs w:val="18"/>
                                </w:rPr>
                              </w:pPr>
                            </w:p>
                            <w:p w:rsidR="00EC5E60" w:rsidRDefault="0033534F">
                              <w:pPr>
                                <w:pStyle w:val="BodyA"/>
                                <w:rPr>
                                  <w:rFonts w:ascii="Century Gothic" w:eastAsia="Century Gothic" w:hAnsi="Century Gothic" w:cs="Century Gothic"/>
                                  <w:b/>
                                  <w:bCs/>
                                  <w:sz w:val="18"/>
                                  <w:szCs w:val="18"/>
                                </w:rPr>
                              </w:pPr>
                              <w:r>
                                <w:rPr>
                                  <w:rFonts w:ascii="Century Gothic" w:hAnsi="Century Gothic"/>
                                  <w:b/>
                                  <w:bCs/>
                                  <w:sz w:val="18"/>
                                  <w:szCs w:val="18"/>
                                </w:rPr>
                                <w:t>…………..………….............</w:t>
                              </w:r>
                              <w:r>
                                <w:rPr>
                                  <w:rFonts w:ascii="Century Gothic" w:hAnsi="Century Gothic"/>
                                  <w:b/>
                                  <w:bCs/>
                                  <w:sz w:val="18"/>
                                  <w:szCs w:val="18"/>
                                </w:rPr>
                                <w:tab/>
                              </w:r>
                              <w:r w:rsidR="0006403D">
                                <w:rPr>
                                  <w:rFonts w:ascii="Century Gothic" w:hAnsi="Century Gothic"/>
                                  <w:b/>
                                  <w:bCs/>
                                  <w:sz w:val="18"/>
                                  <w:szCs w:val="18"/>
                                  <w:u w:val="dotted"/>
                                </w:rPr>
                                <w:t>27</w:t>
                              </w:r>
                              <w:r w:rsidRPr="008029B2">
                                <w:rPr>
                                  <w:rFonts w:ascii="Century Gothic" w:hAnsi="Century Gothic"/>
                                  <w:b/>
                                  <w:bCs/>
                                  <w:sz w:val="18"/>
                                  <w:szCs w:val="18"/>
                                  <w:u w:val="dotted"/>
                                </w:rPr>
                                <w:t xml:space="preserve"> JULY 2023</w:t>
                              </w:r>
                            </w:p>
                            <w:p w:rsidR="00EC5E60" w:rsidRDefault="00EC5E60">
                              <w:pPr>
                                <w:pStyle w:val="BodyA"/>
                                <w:rPr>
                                  <w:rFonts w:ascii="Century Gothic" w:eastAsia="Century Gothic" w:hAnsi="Century Gothic" w:cs="Century Gothic"/>
                                  <w:b/>
                                  <w:bCs/>
                                  <w:sz w:val="18"/>
                                  <w:szCs w:val="18"/>
                                </w:rPr>
                              </w:pPr>
                            </w:p>
                            <w:p w:rsidR="00EC5E60" w:rsidRDefault="00EC5E60">
                              <w:pPr>
                                <w:pStyle w:val="BodyA"/>
                                <w:rPr>
                                  <w:rFonts w:ascii="Century Gothic" w:eastAsia="Century Gothic" w:hAnsi="Century Gothic" w:cs="Century Gothic"/>
                                  <w:b/>
                                  <w:bCs/>
                                  <w:sz w:val="18"/>
                                  <w:szCs w:val="18"/>
                                </w:rPr>
                              </w:pPr>
                            </w:p>
                            <w:p w:rsidR="00EC5E60" w:rsidRDefault="0033534F">
                              <w:pPr>
                                <w:pStyle w:val="BodyA"/>
                                <w:rPr>
                                  <w:rFonts w:ascii="Century Gothic" w:eastAsia="Century Gothic" w:hAnsi="Century Gothic" w:cs="Century Gothic"/>
                                  <w:b/>
                                  <w:bCs/>
                                  <w:sz w:val="18"/>
                                  <w:szCs w:val="18"/>
                                </w:rPr>
                              </w:pPr>
                              <w:r>
                                <w:rPr>
                                  <w:rFonts w:ascii="Century Gothic" w:hAnsi="Century Gothic"/>
                                  <w:b/>
                                  <w:bCs/>
                                  <w:sz w:val="18"/>
                                  <w:szCs w:val="18"/>
                                </w:rPr>
                                <w:t>JULY 2021</w:t>
                              </w:r>
                            </w:p>
                            <w:p w:rsidR="00EC5E60" w:rsidRDefault="0033534F">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id="officeArt object" o:spid="_x0000_s1026" alt="Group" style="position:absolute;left:0;text-align:left;margin-left:1in;margin-top:26.6pt;width:275.2pt;height:105.2pt;z-index:251660288;mso-wrap-distance-left:0;mso-wrap-distance-right:0;mso-position-horizontal-relative:page;mso-position-vertical-relative:line"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">
                <v:rect id="Rectangle" o:spid="_x0000_s1027" style="position:absolute;width:34950;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1371;width:32207;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" filled="f" stroked="f" strokeweight="1pt">
                  <v:stroke miterlimit="4"/>
                  <v:textbox inset="1.2699mm,1.2699mm,1.2699mm,1.2699mm">
                    <w:txbxContent>
                      <w:p w:rsidR="00EC5E60" w:rsidRDefault="00D23CA3" w:rsidP="00D23CA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1.</w:t>
                        </w:r>
                        <w:r>
                          <w:rPr>
                            <w:rFonts w:ascii="Century Gothic" w:eastAsia="Century Gothic" w:hAnsi="Century Gothic" w:cs="Century Gothic"/>
                            <w:kern w:val="0"/>
                            <w:sz w:val="18"/>
                            <w:szCs w:val="18"/>
                          </w:rPr>
                          <w:tab/>
                        </w:r>
                        <w:r w:rsidR="0033534F">
                          <w:rPr>
                            <w:rFonts w:ascii="Century Gothic" w:hAnsi="Century Gothic"/>
                            <w:sz w:val="18"/>
                            <w:szCs w:val="18"/>
                          </w:rPr>
                          <w:t xml:space="preserve">REPORTABLE: </w:t>
                        </w:r>
                        <w:r w:rsidR="0033534F">
                          <w:rPr>
                            <w:rFonts w:ascii="Century Gothic" w:hAnsi="Century Gothic"/>
                            <w:b/>
                            <w:bCs/>
                            <w:sz w:val="18"/>
                            <w:szCs w:val="18"/>
                          </w:rPr>
                          <w:t>NO</w:t>
                        </w:r>
                        <w:r w:rsidR="0033534F">
                          <w:rPr>
                            <w:rFonts w:ascii="Century Gothic" w:hAnsi="Century Gothic"/>
                            <w:sz w:val="18"/>
                            <w:szCs w:val="18"/>
                          </w:rPr>
                          <w:t>/YES</w:t>
                        </w:r>
                      </w:p>
                      <w:p w:rsidR="00EC5E60" w:rsidRDefault="00D23CA3" w:rsidP="00D23CA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2.</w:t>
                        </w:r>
                        <w:r>
                          <w:rPr>
                            <w:rFonts w:ascii="Century Gothic" w:eastAsia="Century Gothic" w:hAnsi="Century Gothic" w:cs="Century Gothic"/>
                            <w:kern w:val="0"/>
                            <w:sz w:val="18"/>
                            <w:szCs w:val="18"/>
                          </w:rPr>
                          <w:tab/>
                        </w:r>
                        <w:r w:rsidR="0033534F">
                          <w:rPr>
                            <w:rFonts w:ascii="Century Gothic" w:hAnsi="Century Gothic"/>
                            <w:sz w:val="18"/>
                            <w:szCs w:val="18"/>
                          </w:rPr>
                          <w:t xml:space="preserve">OF INTEREST TO OTHER JUDGES: </w:t>
                        </w:r>
                        <w:r w:rsidR="0033534F">
                          <w:rPr>
                            <w:rFonts w:ascii="Century Gothic" w:hAnsi="Century Gothic"/>
                            <w:b/>
                            <w:bCs/>
                            <w:sz w:val="18"/>
                            <w:szCs w:val="18"/>
                          </w:rPr>
                          <w:t>NO</w:t>
                        </w:r>
                        <w:r w:rsidR="0033534F">
                          <w:rPr>
                            <w:rFonts w:ascii="Century Gothic" w:hAnsi="Century Gothic"/>
                            <w:sz w:val="18"/>
                            <w:szCs w:val="18"/>
                          </w:rPr>
                          <w:t>/YES</w:t>
                        </w:r>
                      </w:p>
                      <w:p w:rsidR="00EC5E60" w:rsidRDefault="00D23CA3" w:rsidP="00D23CA3">
                        <w:pPr>
                          <w:pStyle w:val="BodyA"/>
                          <w:ind w:left="1857" w:hanging="1137"/>
                          <w:rPr>
                            <w:rFonts w:ascii="Century Gothic" w:hAnsi="Century Gothic"/>
                            <w:sz w:val="18"/>
                            <w:szCs w:val="18"/>
                          </w:rPr>
                        </w:pPr>
                        <w:r>
                          <w:rPr>
                            <w:rFonts w:ascii="Century Gothic" w:eastAsia="Century Gothic" w:hAnsi="Century Gothic" w:cs="Century Gothic"/>
                            <w:kern w:val="0"/>
                            <w:sz w:val="18"/>
                            <w:szCs w:val="18"/>
                          </w:rPr>
                          <w:t>3.</w:t>
                        </w:r>
                        <w:r>
                          <w:rPr>
                            <w:rFonts w:ascii="Century Gothic" w:eastAsia="Century Gothic" w:hAnsi="Century Gothic" w:cs="Century Gothic"/>
                            <w:kern w:val="0"/>
                            <w:sz w:val="18"/>
                            <w:szCs w:val="18"/>
                          </w:rPr>
                          <w:tab/>
                        </w:r>
                        <w:r w:rsidR="0033534F">
                          <w:rPr>
                            <w:rFonts w:ascii="Century Gothic" w:hAnsi="Century Gothic"/>
                            <w:sz w:val="18"/>
                            <w:szCs w:val="18"/>
                          </w:rPr>
                          <w:t xml:space="preserve">REVISED. </w:t>
                        </w:r>
                      </w:p>
                      <w:p w:rsidR="00EC5E60" w:rsidRDefault="00EC5E60">
                        <w:pPr>
                          <w:pStyle w:val="BodyA"/>
                          <w:ind w:left="1857"/>
                          <w:rPr>
                            <w:rFonts w:ascii="Century Gothic" w:eastAsia="Century Gothic" w:hAnsi="Century Gothic" w:cs="Century Gothic"/>
                            <w:sz w:val="18"/>
                            <w:szCs w:val="18"/>
                          </w:rPr>
                        </w:pPr>
                      </w:p>
                      <w:p w:rsidR="00EC5E60" w:rsidRDefault="00EC5E60">
                        <w:pPr>
                          <w:pStyle w:val="BodyA"/>
                          <w:rPr>
                            <w:rFonts w:ascii="Century Gothic" w:eastAsia="Century Gothic" w:hAnsi="Century Gothic" w:cs="Century Gothic"/>
                            <w:b/>
                            <w:bCs/>
                            <w:sz w:val="18"/>
                            <w:szCs w:val="18"/>
                          </w:rPr>
                        </w:pPr>
                      </w:p>
                      <w:p w:rsidR="00EC5E60" w:rsidRDefault="0033534F">
                        <w:pPr>
                          <w:pStyle w:val="BodyA"/>
                          <w:rPr>
                            <w:rFonts w:ascii="Century Gothic" w:eastAsia="Century Gothic" w:hAnsi="Century Gothic" w:cs="Century Gothic"/>
                            <w:b/>
                            <w:bCs/>
                            <w:sz w:val="18"/>
                            <w:szCs w:val="18"/>
                          </w:rPr>
                        </w:pPr>
                        <w:r>
                          <w:rPr>
                            <w:rFonts w:ascii="Century Gothic" w:hAnsi="Century Gothic"/>
                            <w:b/>
                            <w:bCs/>
                            <w:sz w:val="18"/>
                            <w:szCs w:val="18"/>
                          </w:rPr>
                          <w:t>…………..………….............</w:t>
                        </w:r>
                        <w:r>
                          <w:rPr>
                            <w:rFonts w:ascii="Century Gothic" w:hAnsi="Century Gothic"/>
                            <w:b/>
                            <w:bCs/>
                            <w:sz w:val="18"/>
                            <w:szCs w:val="18"/>
                          </w:rPr>
                          <w:tab/>
                        </w:r>
                        <w:r w:rsidR="0006403D">
                          <w:rPr>
                            <w:rFonts w:ascii="Century Gothic" w:hAnsi="Century Gothic"/>
                            <w:b/>
                            <w:bCs/>
                            <w:sz w:val="18"/>
                            <w:szCs w:val="18"/>
                            <w:u w:val="dotted"/>
                          </w:rPr>
                          <w:t>27</w:t>
                        </w:r>
                        <w:r w:rsidRPr="008029B2">
                          <w:rPr>
                            <w:rFonts w:ascii="Century Gothic" w:hAnsi="Century Gothic"/>
                            <w:b/>
                            <w:bCs/>
                            <w:sz w:val="18"/>
                            <w:szCs w:val="18"/>
                            <w:u w:val="dotted"/>
                          </w:rPr>
                          <w:t xml:space="preserve"> JULY 2023</w:t>
                        </w:r>
                      </w:p>
                      <w:p w:rsidR="00EC5E60" w:rsidRDefault="00EC5E60">
                        <w:pPr>
                          <w:pStyle w:val="BodyA"/>
                          <w:rPr>
                            <w:rFonts w:ascii="Century Gothic" w:eastAsia="Century Gothic" w:hAnsi="Century Gothic" w:cs="Century Gothic"/>
                            <w:b/>
                            <w:bCs/>
                            <w:sz w:val="18"/>
                            <w:szCs w:val="18"/>
                          </w:rPr>
                        </w:pPr>
                      </w:p>
                      <w:p w:rsidR="00EC5E60" w:rsidRDefault="00EC5E60">
                        <w:pPr>
                          <w:pStyle w:val="BodyA"/>
                          <w:rPr>
                            <w:rFonts w:ascii="Century Gothic" w:eastAsia="Century Gothic" w:hAnsi="Century Gothic" w:cs="Century Gothic"/>
                            <w:b/>
                            <w:bCs/>
                            <w:sz w:val="18"/>
                            <w:szCs w:val="18"/>
                          </w:rPr>
                        </w:pPr>
                      </w:p>
                      <w:p w:rsidR="00EC5E60" w:rsidRDefault="0033534F">
                        <w:pPr>
                          <w:pStyle w:val="BodyA"/>
                          <w:rPr>
                            <w:rFonts w:ascii="Century Gothic" w:eastAsia="Century Gothic" w:hAnsi="Century Gothic" w:cs="Century Gothic"/>
                            <w:b/>
                            <w:bCs/>
                            <w:sz w:val="18"/>
                            <w:szCs w:val="18"/>
                          </w:rPr>
                        </w:pPr>
                        <w:r>
                          <w:rPr>
                            <w:rFonts w:ascii="Century Gothic" w:hAnsi="Century Gothic"/>
                            <w:b/>
                            <w:bCs/>
                            <w:sz w:val="18"/>
                            <w:szCs w:val="18"/>
                          </w:rPr>
                          <w:t>JULY 2021</w:t>
                        </w:r>
                      </w:p>
                      <w:p w:rsidR="00EC5E60" w:rsidRDefault="0033534F">
                        <w:pPr>
                          <w:pStyle w:val="BodyA"/>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p>
    <w:p w:rsidR="00EC5E60" w:rsidRDefault="0033534F">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rsidR="00EC5E60" w:rsidRDefault="00EC5E60">
      <w:pPr>
        <w:pStyle w:val="BodyA"/>
        <w:suppressAutoHyphens/>
        <w:spacing w:line="360" w:lineRule="auto"/>
        <w:ind w:left="785"/>
        <w:jc w:val="both"/>
        <w:rPr>
          <w:kern w:val="25"/>
        </w:rPr>
      </w:pPr>
    </w:p>
    <w:p w:rsidR="00EC5E60" w:rsidRDefault="00EC5E60">
      <w:pPr>
        <w:pStyle w:val="BodyA"/>
        <w:suppressAutoHyphens/>
        <w:spacing w:line="360" w:lineRule="auto"/>
        <w:jc w:val="both"/>
        <w:rPr>
          <w:u w:val="single"/>
        </w:rPr>
      </w:pPr>
    </w:p>
    <w:p w:rsidR="00EC5E60" w:rsidRDefault="00EC5E60">
      <w:pPr>
        <w:pStyle w:val="BodyA"/>
        <w:suppressAutoHyphens/>
        <w:spacing w:line="360" w:lineRule="auto"/>
        <w:jc w:val="both"/>
        <w:rPr>
          <w:u w:val="single"/>
        </w:rPr>
      </w:pPr>
    </w:p>
    <w:p w:rsidR="00EC5E60" w:rsidRDefault="00EC5E60">
      <w:pPr>
        <w:pStyle w:val="BodyA"/>
        <w:suppressAutoHyphens/>
        <w:spacing w:line="360" w:lineRule="auto"/>
        <w:jc w:val="both"/>
        <w:rPr>
          <w:u w:val="single"/>
        </w:rPr>
      </w:pPr>
    </w:p>
    <w:p w:rsidR="00EC5E60" w:rsidRDefault="0033534F">
      <w:pPr>
        <w:pStyle w:val="BodyA"/>
        <w:tabs>
          <w:tab w:val="left" w:pos="6253"/>
        </w:tabs>
        <w:suppressAutoHyphens/>
        <w:spacing w:line="360" w:lineRule="auto"/>
        <w:jc w:val="both"/>
      </w:pPr>
      <w:r>
        <w:tab/>
      </w:r>
    </w:p>
    <w:p w:rsidR="00EC5E60" w:rsidRDefault="00EC5E60">
      <w:pPr>
        <w:pStyle w:val="BodyA"/>
        <w:tabs>
          <w:tab w:val="left" w:pos="6253"/>
        </w:tabs>
        <w:suppressAutoHyphens/>
        <w:spacing w:line="360" w:lineRule="auto"/>
        <w:jc w:val="both"/>
      </w:pPr>
    </w:p>
    <w:p w:rsidR="00EC5E60" w:rsidRPr="008029B2" w:rsidRDefault="0033534F">
      <w:pPr>
        <w:pStyle w:val="BodyA"/>
        <w:tabs>
          <w:tab w:val="left" w:pos="6253"/>
        </w:tabs>
        <w:suppressAutoHyphens/>
        <w:spacing w:line="360" w:lineRule="auto"/>
        <w:jc w:val="both"/>
        <w:rPr>
          <w:rFonts w:cs="Arial"/>
        </w:rPr>
      </w:pPr>
      <w:r w:rsidRPr="008029B2">
        <w:rPr>
          <w:rFonts w:cs="Arial"/>
        </w:rPr>
        <w:t>In the matter of:</w:t>
      </w:r>
    </w:p>
    <w:p w:rsidR="00EC5E60" w:rsidRPr="008029B2" w:rsidRDefault="00EC5E60">
      <w:pPr>
        <w:pStyle w:val="BodyA"/>
        <w:tabs>
          <w:tab w:val="left" w:pos="6253"/>
        </w:tabs>
        <w:suppressAutoHyphens/>
        <w:spacing w:line="360" w:lineRule="auto"/>
        <w:jc w:val="both"/>
        <w:rPr>
          <w:rFonts w:cs="Arial"/>
          <w:b/>
          <w:bCs/>
        </w:rPr>
      </w:pPr>
    </w:p>
    <w:p w:rsidR="00EC5E60" w:rsidRPr="008029B2" w:rsidRDefault="0033534F">
      <w:pPr>
        <w:pStyle w:val="Default"/>
        <w:spacing w:before="0" w:after="240"/>
        <w:rPr>
          <w:rFonts w:ascii="Arial" w:eastAsia="Arial" w:hAnsi="Arial" w:cs="Arial"/>
          <w:b/>
          <w:bCs/>
          <w:shd w:val="clear" w:color="auto" w:fill="FFFFFF"/>
        </w:rPr>
      </w:pPr>
      <w:r w:rsidRPr="008029B2">
        <w:rPr>
          <w:rFonts w:ascii="Arial" w:hAnsi="Arial" w:cs="Arial"/>
          <w:b/>
          <w:bCs/>
        </w:rPr>
        <w:t xml:space="preserve">THE BODY CORPORATE OF MIONETTE </w:t>
      </w:r>
      <w:r w:rsidRPr="008029B2">
        <w:rPr>
          <w:rFonts w:ascii="Arial" w:hAnsi="Arial" w:cs="Arial"/>
          <w:b/>
          <w:bCs/>
        </w:rPr>
        <w:tab/>
      </w:r>
      <w:r w:rsidRPr="008029B2">
        <w:rPr>
          <w:rFonts w:ascii="Arial" w:eastAsia="Arial" w:hAnsi="Arial" w:cs="Arial"/>
          <w:b/>
          <w:bCs/>
          <w:shd w:val="clear" w:color="auto" w:fill="FFFFFF"/>
        </w:rPr>
        <w:tab/>
      </w:r>
      <w:r w:rsidRPr="008029B2">
        <w:rPr>
          <w:rFonts w:ascii="Arial" w:eastAsia="Arial" w:hAnsi="Arial" w:cs="Arial"/>
          <w:b/>
          <w:bCs/>
          <w:shd w:val="clear" w:color="auto" w:fill="FFFFFF"/>
        </w:rPr>
        <w:tab/>
      </w:r>
      <w:r w:rsidRPr="008029B2">
        <w:rPr>
          <w:rFonts w:ascii="Arial" w:eastAsia="Arial" w:hAnsi="Arial" w:cs="Arial"/>
          <w:b/>
          <w:bCs/>
          <w:shd w:val="clear" w:color="auto" w:fill="FFFFFF"/>
        </w:rPr>
        <w:tab/>
      </w:r>
      <w:r w:rsidRPr="008029B2">
        <w:rPr>
          <w:rFonts w:ascii="Arial" w:eastAsia="Arial" w:hAnsi="Arial" w:cs="Arial"/>
          <w:b/>
          <w:bCs/>
          <w:shd w:val="clear" w:color="auto" w:fill="FFFFFF"/>
        </w:rPr>
        <w:tab/>
      </w:r>
      <w:r w:rsidR="008029B2">
        <w:rPr>
          <w:rFonts w:ascii="Arial" w:eastAsia="Arial" w:hAnsi="Arial" w:cs="Arial"/>
          <w:b/>
          <w:bCs/>
          <w:shd w:val="clear" w:color="auto" w:fill="FFFFFF"/>
        </w:rPr>
        <w:t xml:space="preserve">     </w:t>
      </w:r>
      <w:r w:rsidRPr="008029B2">
        <w:rPr>
          <w:rFonts w:ascii="Arial" w:eastAsia="Arial" w:hAnsi="Arial" w:cs="Arial"/>
          <w:b/>
          <w:bCs/>
          <w:shd w:val="clear" w:color="auto" w:fill="FFFFFF"/>
        </w:rPr>
        <w:t>Applicant</w:t>
      </w:r>
      <w:r w:rsidRPr="008029B2">
        <w:rPr>
          <w:rFonts w:ascii="Arial" w:eastAsia="Arial" w:hAnsi="Arial" w:cs="Arial"/>
          <w:b/>
          <w:bCs/>
          <w:shd w:val="clear" w:color="auto" w:fill="FFFFFF"/>
        </w:rPr>
        <w:tab/>
      </w:r>
      <w:r w:rsidRPr="008029B2">
        <w:rPr>
          <w:rFonts w:ascii="Arial" w:eastAsia="Arial" w:hAnsi="Arial" w:cs="Arial"/>
          <w:b/>
          <w:bCs/>
          <w:shd w:val="clear" w:color="auto" w:fill="FFFFFF"/>
        </w:rPr>
        <w:tab/>
      </w:r>
      <w:r w:rsidRPr="008029B2">
        <w:rPr>
          <w:rFonts w:ascii="Arial" w:eastAsia="Arial" w:hAnsi="Arial" w:cs="Arial"/>
          <w:b/>
          <w:bCs/>
          <w:shd w:val="clear" w:color="auto" w:fill="FFFFFF"/>
        </w:rPr>
        <w:tab/>
      </w:r>
      <w:r w:rsidRPr="008029B2">
        <w:rPr>
          <w:rFonts w:ascii="Arial" w:eastAsia="Arial" w:hAnsi="Arial" w:cs="Arial"/>
          <w:b/>
          <w:bCs/>
          <w:shd w:val="clear" w:color="auto" w:fill="FFFFFF"/>
        </w:rPr>
        <w:tab/>
      </w:r>
      <w:r w:rsidRPr="008029B2">
        <w:rPr>
          <w:rFonts w:ascii="Arial" w:eastAsia="Arial" w:hAnsi="Arial" w:cs="Arial"/>
          <w:b/>
          <w:bCs/>
          <w:shd w:val="clear" w:color="auto" w:fill="FFFFFF"/>
        </w:rPr>
        <w:tab/>
      </w:r>
      <w:r w:rsidRPr="008029B2">
        <w:rPr>
          <w:rFonts w:ascii="Arial" w:eastAsia="Arial" w:hAnsi="Arial" w:cs="Arial"/>
          <w:b/>
          <w:bCs/>
          <w:shd w:val="clear" w:color="auto" w:fill="FFFFFF"/>
        </w:rPr>
        <w:tab/>
      </w:r>
      <w:r w:rsidR="008029B2">
        <w:rPr>
          <w:rFonts w:ascii="Arial" w:eastAsia="Arial" w:hAnsi="Arial" w:cs="Arial"/>
          <w:b/>
          <w:bCs/>
          <w:shd w:val="clear" w:color="auto" w:fill="FFFFFF"/>
        </w:rPr>
        <w:t xml:space="preserve">   </w:t>
      </w:r>
    </w:p>
    <w:p w:rsidR="00EC5E60" w:rsidRPr="008029B2" w:rsidRDefault="0033534F">
      <w:pPr>
        <w:pStyle w:val="BodyA"/>
        <w:suppressAutoHyphens/>
        <w:spacing w:line="360" w:lineRule="auto"/>
        <w:jc w:val="both"/>
        <w:outlineLvl w:val="0"/>
        <w:rPr>
          <w:rFonts w:cs="Arial"/>
        </w:rPr>
      </w:pPr>
      <w:r w:rsidRPr="008029B2">
        <w:rPr>
          <w:rFonts w:cs="Arial"/>
        </w:rPr>
        <w:t>and</w:t>
      </w:r>
    </w:p>
    <w:p w:rsidR="00EC5E60" w:rsidRPr="008029B2" w:rsidRDefault="00EC5E60">
      <w:pPr>
        <w:pStyle w:val="BodyA"/>
        <w:tabs>
          <w:tab w:val="right" w:pos="9340"/>
        </w:tabs>
        <w:suppressAutoHyphens/>
        <w:spacing w:line="360" w:lineRule="auto"/>
        <w:outlineLvl w:val="0"/>
        <w:rPr>
          <w:rFonts w:cs="Arial"/>
          <w:b/>
          <w:bCs/>
        </w:rPr>
      </w:pPr>
    </w:p>
    <w:p w:rsidR="00EC5E60" w:rsidRDefault="0033534F">
      <w:pPr>
        <w:pStyle w:val="BodyA"/>
        <w:tabs>
          <w:tab w:val="right" w:pos="9340"/>
        </w:tabs>
        <w:suppressAutoHyphens/>
        <w:spacing w:line="360" w:lineRule="auto"/>
        <w:outlineLvl w:val="0"/>
        <w:rPr>
          <w:rFonts w:cs="Arial"/>
          <w:b/>
          <w:bCs/>
        </w:rPr>
      </w:pPr>
      <w:r w:rsidRPr="008029B2">
        <w:rPr>
          <w:rFonts w:cs="Arial"/>
          <w:b/>
          <w:bCs/>
        </w:rPr>
        <w:t>STEPHINA LEKGANYANE</w:t>
      </w:r>
      <w:r w:rsidRPr="008029B2">
        <w:rPr>
          <w:rFonts w:cs="Arial"/>
          <w:b/>
          <w:bCs/>
        </w:rPr>
        <w:tab/>
        <w:t>Respondent</w:t>
      </w:r>
    </w:p>
    <w:p w:rsidR="008029B2" w:rsidRDefault="008029B2">
      <w:pPr>
        <w:pStyle w:val="BodyA"/>
        <w:tabs>
          <w:tab w:val="right" w:pos="9340"/>
        </w:tabs>
        <w:suppressAutoHyphens/>
        <w:spacing w:line="360" w:lineRule="auto"/>
        <w:outlineLvl w:val="0"/>
        <w:rPr>
          <w:rFonts w:cs="Arial"/>
          <w:b/>
          <w:bCs/>
        </w:rPr>
      </w:pPr>
    </w:p>
    <w:p w:rsidR="008029B2" w:rsidRDefault="008029B2">
      <w:pPr>
        <w:pStyle w:val="BodyA"/>
        <w:tabs>
          <w:tab w:val="right" w:pos="9340"/>
        </w:tabs>
        <w:suppressAutoHyphens/>
        <w:spacing w:line="360" w:lineRule="auto"/>
        <w:outlineLvl w:val="0"/>
        <w:rPr>
          <w:rFonts w:cs="Arial"/>
          <w:b/>
          <w:bCs/>
        </w:rPr>
      </w:pPr>
    </w:p>
    <w:p w:rsidR="008029B2" w:rsidRPr="008029B2" w:rsidRDefault="008029B2">
      <w:pPr>
        <w:pStyle w:val="BodyA"/>
        <w:tabs>
          <w:tab w:val="right" w:pos="9340"/>
        </w:tabs>
        <w:suppressAutoHyphens/>
        <w:spacing w:line="360" w:lineRule="auto"/>
        <w:outlineLvl w:val="0"/>
        <w:rPr>
          <w:rFonts w:cs="Arial"/>
          <w:b/>
          <w:bCs/>
        </w:rPr>
      </w:pPr>
    </w:p>
    <w:p w:rsidR="00EC5E60" w:rsidRDefault="0033534F">
      <w:pPr>
        <w:pStyle w:val="BodyA"/>
        <w:tabs>
          <w:tab w:val="right" w:pos="9340"/>
        </w:tabs>
        <w:suppressAutoHyphens/>
        <w:spacing w:line="360" w:lineRule="auto"/>
        <w:outlineLvl w:val="0"/>
      </w:pPr>
      <w:r>
        <w:rPr>
          <w:b/>
          <w:bCs/>
        </w:rPr>
        <w:tab/>
      </w:r>
    </w:p>
    <w:p w:rsidR="00EC5E60" w:rsidRPr="008029B2" w:rsidRDefault="0033534F" w:rsidP="008029B2">
      <w:pPr>
        <w:pStyle w:val="BodyA"/>
        <w:suppressAutoHyphens/>
        <w:spacing w:line="360" w:lineRule="auto"/>
        <w:jc w:val="both"/>
        <w:outlineLvl w:val="0"/>
        <w:rPr>
          <w:b/>
          <w:bCs/>
        </w:rPr>
      </w:pPr>
      <w:r>
        <w:rPr>
          <w:b/>
          <w:bCs/>
        </w:rPr>
        <w:lastRenderedPageBreak/>
        <w:t>———————————————————————————————————————</w:t>
      </w:r>
    </w:p>
    <w:p w:rsidR="001947C0" w:rsidRDefault="001947C0" w:rsidP="001947C0">
      <w:pPr>
        <w:jc w:val="center"/>
        <w:rPr>
          <w:rFonts w:ascii="Helvetica Neue" w:eastAsia="Helvetica Neue" w:hAnsi="Helvetica Neue" w:cs="Helvetica Neue"/>
          <w:color w:val="000000"/>
          <w:sz w:val="22"/>
          <w:szCs w:val="22"/>
          <w:u w:color="000000"/>
          <w:lang w:eastAsia="en-ZA"/>
          <w14:textOutline w14:w="0" w14:cap="flat" w14:cmpd="sng" w14:algn="ctr">
            <w14:noFill/>
            <w14:prstDash w14:val="solid"/>
            <w14:bevel/>
          </w14:textOutline>
        </w:rPr>
      </w:pPr>
      <w:r w:rsidRPr="001947C0">
        <w:rPr>
          <w:rFonts w:ascii="Arial" w:eastAsia="Arial" w:hAnsi="Arial" w:cs="Arial"/>
          <w:b/>
          <w:bCs/>
          <w:color w:val="000000"/>
          <w:u w:color="000000"/>
          <w:lang w:eastAsia="en-ZA"/>
          <w14:textOutline w14:w="0" w14:cap="flat" w14:cmpd="sng" w14:algn="ctr">
            <w14:noFill/>
            <w14:prstDash w14:val="solid"/>
            <w14:bevel/>
          </w14:textOutline>
        </w:rPr>
        <w:t xml:space="preserve">JUDGEMENT - LEAVE TO APPEAL  </w:t>
      </w:r>
    </w:p>
    <w:p w:rsidR="001947C0" w:rsidRPr="001947C0" w:rsidRDefault="001947C0" w:rsidP="001947C0">
      <w:pPr>
        <w:jc w:val="center"/>
        <w:rPr>
          <w:rFonts w:ascii="Helvetica Neue" w:eastAsia="Helvetica Neue" w:hAnsi="Helvetica Neue" w:cs="Helvetica Neue"/>
          <w:color w:val="000000"/>
          <w:sz w:val="22"/>
          <w:szCs w:val="22"/>
          <w:u w:color="000000"/>
          <w:lang w:eastAsia="en-ZA"/>
          <w14:textOutline w14:w="0" w14:cap="flat" w14:cmpd="sng" w14:algn="ctr">
            <w14:noFill/>
            <w14:prstDash w14:val="solid"/>
            <w14:bevel/>
          </w14:textOutline>
        </w:rPr>
      </w:pPr>
    </w:p>
    <w:p w:rsidR="00EC5E60" w:rsidRPr="001947C0" w:rsidRDefault="001947C0" w:rsidP="001947C0">
      <w:pPr>
        <w:suppressAutoHyphens/>
        <w:spacing w:line="360" w:lineRule="auto"/>
        <w:jc w:val="center"/>
        <w:outlineLvl w:val="0"/>
        <w:rPr>
          <w:rFonts w:ascii="Arial" w:hAnsi="Arial" w:cs="Arial"/>
          <w:b/>
          <w:bCs/>
          <w:color w:val="000000"/>
          <w:kern w:val="28"/>
          <w:u w:color="000000"/>
          <w:lang w:eastAsia="en-ZA"/>
          <w14:textOutline w14:w="12700" w14:cap="flat" w14:cmpd="sng" w14:algn="ctr">
            <w14:noFill/>
            <w14:prstDash w14:val="solid"/>
            <w14:miter w14:lim="400000"/>
          </w14:textOutline>
        </w:rPr>
      </w:pPr>
      <w:r w:rsidRPr="001947C0">
        <w:rPr>
          <w:rFonts w:ascii="Arial" w:hAnsi="Arial" w:cs="Arial"/>
          <w:b/>
          <w:bCs/>
          <w:color w:val="000000"/>
          <w:kern w:val="28"/>
          <w:u w:color="000000"/>
          <w:lang w:eastAsia="en-ZA"/>
          <w14:textOutline w14:w="12700" w14:cap="flat" w14:cmpd="sng" w14:algn="ctr">
            <w14:noFill/>
            <w14:prstDash w14:val="solid"/>
            <w14:miter w14:lim="400000"/>
          </w14:textOutline>
        </w:rPr>
        <w:t xml:space="preserve">THIS JUDGEMENT HAS BEEN HANDED DOWN REMOTELY AND SHALL BE CIRCULATED TO THE PARTIES BY WAY OF EMAIL/ UPLOADED ON CASELINES. ITS DATE OF HAND DOWN SHALL </w:t>
      </w:r>
      <w:r>
        <w:rPr>
          <w:rFonts w:ascii="Arial" w:hAnsi="Arial" w:cs="Arial"/>
          <w:b/>
          <w:bCs/>
          <w:color w:val="000000"/>
          <w:kern w:val="28"/>
          <w:u w:color="000000"/>
          <w:lang w:eastAsia="en-ZA"/>
          <w14:textOutline w14:w="12700" w14:cap="flat" w14:cmpd="sng" w14:algn="ctr">
            <w14:noFill/>
            <w14:prstDash w14:val="solid"/>
            <w14:miter w14:lim="400000"/>
          </w14:textOutline>
        </w:rPr>
        <w:t>BE DEEMED TO BE 27 JULY 2023</w:t>
      </w:r>
    </w:p>
    <w:p w:rsidR="00EC5E60" w:rsidRDefault="0033534F">
      <w:pPr>
        <w:pStyle w:val="BodyA"/>
        <w:tabs>
          <w:tab w:val="left" w:pos="720"/>
        </w:tabs>
        <w:suppressAutoHyphens/>
        <w:spacing w:line="360" w:lineRule="auto"/>
        <w:jc w:val="both"/>
        <w:outlineLvl w:val="0"/>
      </w:pPr>
      <w:r>
        <w:rPr>
          <w:b/>
          <w:bCs/>
        </w:rPr>
        <w:t>———————————————————————————————————————</w:t>
      </w:r>
    </w:p>
    <w:p w:rsidR="00EC5E60" w:rsidRPr="0006403D" w:rsidRDefault="0033534F" w:rsidP="0006403D">
      <w:pPr>
        <w:pStyle w:val="level1"/>
        <w:suppressAutoHyphens/>
        <w:spacing w:after="480"/>
        <w:rPr>
          <w:b/>
          <w:bCs/>
          <w:u w:val="single"/>
        </w:rPr>
      </w:pPr>
      <w:r>
        <w:rPr>
          <w:b/>
          <w:bCs/>
          <w:sz w:val="26"/>
          <w:szCs w:val="26"/>
        </w:rPr>
        <w:t>Bam</w:t>
      </w:r>
      <w:r>
        <w:rPr>
          <w:b/>
          <w:bCs/>
        </w:rPr>
        <w:t xml:space="preserve"> J</w:t>
      </w:r>
    </w:p>
    <w:p w:rsidR="00EC5E60" w:rsidRDefault="00D23CA3" w:rsidP="00D23CA3">
      <w:pPr>
        <w:pStyle w:val="BodyB"/>
        <w:spacing w:line="480" w:lineRule="auto"/>
        <w:ind w:left="316" w:hanging="316"/>
        <w:rPr>
          <w:rFonts w:ascii="Arial" w:hAnsi="Arial"/>
          <w:b/>
          <w:bCs/>
        </w:rPr>
      </w:pPr>
      <w:r>
        <w:rPr>
          <w:rFonts w:ascii="Arial" w:hAnsi="Arial Unicode MS"/>
          <w:b/>
          <w:bCs/>
        </w:rPr>
        <w:t>A.</w:t>
      </w:r>
      <w:r>
        <w:rPr>
          <w:rFonts w:ascii="Arial" w:hAnsi="Arial Unicode MS"/>
          <w:b/>
          <w:bCs/>
        </w:rPr>
        <w:tab/>
      </w:r>
      <w:r w:rsidR="0033534F">
        <w:rPr>
          <w:rFonts w:ascii="Arial" w:hAnsi="Arial"/>
          <w:b/>
          <w:bCs/>
        </w:rPr>
        <w:t>Introduction</w:t>
      </w:r>
    </w:p>
    <w:p w:rsidR="00EC5E60" w:rsidRDefault="00D23CA3" w:rsidP="00D23CA3">
      <w:pPr>
        <w:pStyle w:val="BodyB"/>
        <w:widowControl w:val="0"/>
        <w:suppressAutoHyphens/>
        <w:spacing w:line="480" w:lineRule="auto"/>
        <w:ind w:left="253" w:hanging="253"/>
        <w:jc w:val="both"/>
        <w:rPr>
          <w:rFonts w:ascii="Arial" w:hAnsi="Arial"/>
        </w:rPr>
      </w:pPr>
      <w:r>
        <w:rPr>
          <w:rFonts w:ascii="Arial" w:hAnsi="Arial Unicode MS"/>
        </w:rPr>
        <w:t>1.</w:t>
      </w:r>
      <w:r>
        <w:rPr>
          <w:rFonts w:ascii="Arial" w:hAnsi="Arial Unicode MS"/>
        </w:rPr>
        <w:tab/>
      </w:r>
      <w:r w:rsidR="0033534F">
        <w:rPr>
          <w:rFonts w:ascii="Arial" w:hAnsi="Arial"/>
        </w:rPr>
        <w:t>This is an application for leave to appeal the order of this court of 29 March 2023. The applicant’s grounds for leave to appeal are set out in its Notice of Appeal and amplified in its Heads of Argument. I do not necessarily repeat them in this judgment. The applicant bases its application on the provisions of section 17 (a) (i) and (ii) of the Superior Courts Act</w:t>
      </w:r>
      <w:r w:rsidR="0033534F">
        <w:rPr>
          <w:rFonts w:ascii="Arial" w:eastAsia="Arial" w:hAnsi="Arial" w:cs="Arial"/>
          <w:vertAlign w:val="superscript"/>
        </w:rPr>
        <w:footnoteReference w:id="2"/>
      </w:r>
      <w:r w:rsidR="0033534F">
        <w:rPr>
          <w:rFonts w:ascii="Arial" w:hAnsi="Arial"/>
        </w:rPr>
        <w:t xml:space="preserve">. It says, there are reasonable prospects that another court would reach a different outcome. It further contends that there are compelling reasons why the appeal should be heard as envisaged in Section 17 (a) (ii). The application is opposed by the respondent who asserts that the application is without merit. </w:t>
      </w:r>
    </w:p>
    <w:p w:rsidR="00EC5E60" w:rsidRDefault="00EC5E60">
      <w:pPr>
        <w:pStyle w:val="BodyB"/>
        <w:widowControl w:val="0"/>
        <w:suppressAutoHyphens/>
        <w:spacing w:line="480" w:lineRule="auto"/>
        <w:jc w:val="both"/>
        <w:rPr>
          <w:rFonts w:ascii="Arial" w:eastAsia="Arial" w:hAnsi="Arial" w:cs="Arial"/>
        </w:rPr>
      </w:pPr>
    </w:p>
    <w:p w:rsidR="00EC5E60" w:rsidRDefault="0033534F">
      <w:pPr>
        <w:pStyle w:val="BodyB"/>
        <w:widowControl w:val="0"/>
        <w:suppressAutoHyphens/>
        <w:spacing w:line="480" w:lineRule="auto"/>
        <w:jc w:val="both"/>
        <w:rPr>
          <w:rFonts w:ascii="Arial" w:eastAsia="Arial" w:hAnsi="Arial" w:cs="Arial"/>
          <w:b/>
          <w:bCs/>
        </w:rPr>
      </w:pPr>
      <w:r>
        <w:rPr>
          <w:rFonts w:ascii="Arial" w:hAnsi="Arial"/>
          <w:b/>
          <w:bCs/>
        </w:rPr>
        <w:t>B. The Law</w:t>
      </w:r>
    </w:p>
    <w:p w:rsidR="00EC5E60" w:rsidRDefault="00D23CA3" w:rsidP="00D23CA3">
      <w:pPr>
        <w:pStyle w:val="BodyB"/>
        <w:widowControl w:val="0"/>
        <w:suppressAutoHyphens/>
        <w:spacing w:line="480" w:lineRule="auto"/>
        <w:ind w:left="253" w:hanging="253"/>
        <w:jc w:val="both"/>
        <w:rPr>
          <w:rFonts w:ascii="Arial" w:hAnsi="Arial"/>
        </w:rPr>
      </w:pPr>
      <w:r>
        <w:rPr>
          <w:rFonts w:ascii="Arial" w:hAnsi="Arial Unicode MS"/>
        </w:rPr>
        <w:t>2.</w:t>
      </w:r>
      <w:r>
        <w:rPr>
          <w:rFonts w:ascii="Arial" w:hAnsi="Arial Unicode MS"/>
        </w:rPr>
        <w:tab/>
      </w:r>
      <w:r w:rsidR="0033534F">
        <w:rPr>
          <w:rFonts w:ascii="Arial" w:hAnsi="Arial"/>
        </w:rPr>
        <w:t>Section 17 (1) (a) (i) and (ii) of the Superior Court Act, reads:</w:t>
      </w:r>
    </w:p>
    <w:p w:rsidR="00EC5E60" w:rsidRDefault="0033534F">
      <w:pPr>
        <w:pStyle w:val="BodyB"/>
        <w:widowControl w:val="0"/>
        <w:suppressAutoHyphens/>
        <w:spacing w:line="360" w:lineRule="auto"/>
        <w:ind w:left="567"/>
        <w:jc w:val="both"/>
        <w:rPr>
          <w:rFonts w:ascii="Arial" w:eastAsia="Arial" w:hAnsi="Arial" w:cs="Arial"/>
          <w:sz w:val="22"/>
          <w:szCs w:val="22"/>
        </w:rPr>
      </w:pPr>
      <w:r>
        <w:rPr>
          <w:rFonts w:ascii="Arial" w:hAnsi="Arial"/>
          <w:sz w:val="22"/>
          <w:szCs w:val="22"/>
        </w:rPr>
        <w:t>‘Leave to appeal may only be given where the judge or judges concerned are of the opinion that—</w:t>
      </w:r>
    </w:p>
    <w:p w:rsidR="00EC5E60" w:rsidRDefault="0033534F">
      <w:pPr>
        <w:pStyle w:val="BodyB"/>
        <w:widowControl w:val="0"/>
        <w:suppressAutoHyphens/>
        <w:spacing w:line="360" w:lineRule="auto"/>
        <w:ind w:left="567"/>
        <w:jc w:val="both"/>
        <w:rPr>
          <w:rFonts w:ascii="Arial" w:eastAsia="Arial" w:hAnsi="Arial" w:cs="Arial"/>
          <w:sz w:val="22"/>
          <w:szCs w:val="22"/>
        </w:rPr>
      </w:pPr>
      <w:r>
        <w:rPr>
          <w:rFonts w:ascii="Arial" w:hAnsi="Arial"/>
          <w:sz w:val="22"/>
          <w:szCs w:val="22"/>
        </w:rPr>
        <w:t>(a) (i) the appeal would have a reasonable prospect of success; or</w:t>
      </w:r>
    </w:p>
    <w:p w:rsidR="00EC5E60" w:rsidRDefault="0033534F">
      <w:pPr>
        <w:pStyle w:val="BodyB"/>
        <w:widowControl w:val="0"/>
        <w:suppressAutoHyphens/>
        <w:spacing w:line="360" w:lineRule="auto"/>
        <w:ind w:left="567"/>
        <w:jc w:val="both"/>
        <w:rPr>
          <w:rFonts w:ascii="Arial" w:eastAsia="Arial" w:hAnsi="Arial" w:cs="Arial"/>
          <w:sz w:val="22"/>
          <w:szCs w:val="22"/>
        </w:rPr>
      </w:pPr>
      <w:r>
        <w:rPr>
          <w:rFonts w:ascii="Arial" w:hAnsi="Arial"/>
          <w:sz w:val="22"/>
          <w:szCs w:val="22"/>
        </w:rPr>
        <w:t>(ii) there is some other compelling reason why the appeal should be heard, including conflicting judgments on the matter under consideration…’</w:t>
      </w:r>
    </w:p>
    <w:p w:rsidR="00EC5E60" w:rsidRDefault="00EC5E60">
      <w:pPr>
        <w:pStyle w:val="BodyB"/>
        <w:widowControl w:val="0"/>
        <w:suppressAutoHyphens/>
        <w:spacing w:line="480" w:lineRule="auto"/>
        <w:jc w:val="both"/>
        <w:rPr>
          <w:rFonts w:ascii="Arial" w:eastAsia="Arial" w:hAnsi="Arial" w:cs="Arial"/>
        </w:rPr>
      </w:pPr>
    </w:p>
    <w:p w:rsidR="00EC5E60" w:rsidRDefault="00D23CA3" w:rsidP="00D23CA3">
      <w:pPr>
        <w:pStyle w:val="BodyB"/>
        <w:widowControl w:val="0"/>
        <w:suppressAutoHyphens/>
        <w:spacing w:line="480" w:lineRule="auto"/>
        <w:ind w:left="253" w:hanging="253"/>
        <w:jc w:val="both"/>
        <w:rPr>
          <w:rFonts w:ascii="Arial" w:hAnsi="Arial"/>
        </w:rPr>
      </w:pPr>
      <w:r>
        <w:rPr>
          <w:rFonts w:ascii="Arial" w:hAnsi="Arial Unicode MS"/>
        </w:rPr>
        <w:lastRenderedPageBreak/>
        <w:t>3.</w:t>
      </w:r>
      <w:r>
        <w:rPr>
          <w:rFonts w:ascii="Arial" w:hAnsi="Arial Unicode MS"/>
        </w:rPr>
        <w:tab/>
      </w:r>
      <w:r w:rsidR="0033534F">
        <w:rPr>
          <w:rFonts w:ascii="Arial" w:hAnsi="Arial"/>
        </w:rPr>
        <w:t xml:space="preserve">The true meaning of the test has been espoused by Superior Courts from time to time and from which it is said, an assessment of prospects of success envisages a dispassionate evaluation of the facts and law and establishing whether another forum would come to a different finding. In </w:t>
      </w:r>
      <w:r w:rsidR="0033534F">
        <w:rPr>
          <w:rFonts w:ascii="Arial" w:hAnsi="Arial"/>
          <w:i/>
          <w:iCs/>
        </w:rPr>
        <w:t>Smith v S</w:t>
      </w:r>
      <w:r w:rsidR="0033534F">
        <w:rPr>
          <w:rFonts w:ascii="Arial" w:hAnsi="Arial"/>
        </w:rPr>
        <w:t>, the test was articulated thus:</w:t>
      </w:r>
    </w:p>
    <w:p w:rsidR="00EC5E60" w:rsidRDefault="0033534F">
      <w:pPr>
        <w:pStyle w:val="BodyB"/>
        <w:widowControl w:val="0"/>
        <w:suppressAutoHyphens/>
        <w:spacing w:line="360" w:lineRule="auto"/>
        <w:ind w:left="567"/>
        <w:jc w:val="both"/>
        <w:rPr>
          <w:rFonts w:ascii="Arial" w:eastAsia="Arial" w:hAnsi="Arial" w:cs="Arial"/>
          <w:sz w:val="22"/>
          <w:szCs w:val="22"/>
        </w:rPr>
      </w:pPr>
      <w:r>
        <w:rPr>
          <w:rFonts w:ascii="Arial" w:hAnsi="Arial"/>
          <w:sz w:val="22"/>
          <w:szCs w:val="22"/>
        </w:rPr>
        <w:t>‘What the test of reasonable prospects of success postulates is a dispassionate decision, based on the facts and the law, that a court of appeal could reasonably arrive at a conclusion differe</w:t>
      </w:r>
      <w:r w:rsidR="008029B2">
        <w:rPr>
          <w:rFonts w:ascii="Arial" w:hAnsi="Arial"/>
          <w:sz w:val="22"/>
          <w:szCs w:val="22"/>
        </w:rPr>
        <w:t>nt to that of the trial court.</w:t>
      </w:r>
      <w:r>
        <w:rPr>
          <w:rFonts w:ascii="Arial" w:hAnsi="Arial"/>
          <w:sz w:val="22"/>
          <w:szCs w:val="22"/>
        </w:rPr>
        <w:t xml:space="preserve">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Pr>
          <w:rFonts w:ascii="Arial" w:eastAsia="Arial" w:hAnsi="Arial" w:cs="Arial"/>
          <w:sz w:val="22"/>
          <w:szCs w:val="22"/>
          <w:vertAlign w:val="superscript"/>
        </w:rPr>
        <w:footnoteReference w:id="3"/>
      </w:r>
    </w:p>
    <w:p w:rsidR="00EC5E60" w:rsidRDefault="00EC5E60">
      <w:pPr>
        <w:pStyle w:val="BodyB"/>
        <w:widowControl w:val="0"/>
        <w:suppressAutoHyphens/>
        <w:spacing w:line="360" w:lineRule="auto"/>
        <w:ind w:left="567"/>
        <w:jc w:val="both"/>
        <w:rPr>
          <w:rFonts w:ascii="Arial" w:eastAsia="Arial" w:hAnsi="Arial" w:cs="Arial"/>
          <w:sz w:val="22"/>
          <w:szCs w:val="22"/>
        </w:rPr>
      </w:pPr>
    </w:p>
    <w:p w:rsidR="00EC5E60" w:rsidRDefault="00D23CA3" w:rsidP="00D23CA3">
      <w:pPr>
        <w:pStyle w:val="BodyB"/>
        <w:widowControl w:val="0"/>
        <w:suppressAutoHyphens/>
        <w:spacing w:line="480" w:lineRule="auto"/>
        <w:ind w:left="253" w:hanging="253"/>
        <w:jc w:val="both"/>
        <w:rPr>
          <w:rFonts w:ascii="Arial" w:hAnsi="Arial"/>
        </w:rPr>
      </w:pPr>
      <w:r>
        <w:rPr>
          <w:rFonts w:ascii="Arial" w:hAnsi="Arial Unicode MS"/>
        </w:rPr>
        <w:t>4.</w:t>
      </w:r>
      <w:r>
        <w:rPr>
          <w:rFonts w:ascii="Arial" w:hAnsi="Arial Unicode MS"/>
        </w:rPr>
        <w:tab/>
      </w:r>
      <w:r w:rsidR="0033534F">
        <w:rPr>
          <w:rFonts w:ascii="Arial" w:hAnsi="Arial"/>
        </w:rPr>
        <w:t xml:space="preserve">In clearing the doubt of higher threshold, the same court in </w:t>
      </w:r>
      <w:r w:rsidR="0033534F">
        <w:rPr>
          <w:rFonts w:ascii="Arial" w:hAnsi="Arial"/>
          <w:i/>
          <w:iCs/>
        </w:rPr>
        <w:t>Ramakatsa and Others</w:t>
      </w:r>
      <w:r w:rsidR="0033534F">
        <w:rPr>
          <w:rFonts w:ascii="Arial" w:hAnsi="Arial"/>
        </w:rPr>
        <w:t xml:space="preserve"> v </w:t>
      </w:r>
      <w:r w:rsidR="0033534F">
        <w:rPr>
          <w:rFonts w:ascii="Arial" w:hAnsi="Arial"/>
          <w:i/>
          <w:iCs/>
        </w:rPr>
        <w:t>African National Congress and Another</w:t>
      </w:r>
      <w:r w:rsidR="0033534F">
        <w:rPr>
          <w:rFonts w:ascii="Arial" w:hAnsi="Arial"/>
        </w:rPr>
        <w:t xml:space="preserve"> said: </w:t>
      </w:r>
    </w:p>
    <w:p w:rsidR="00EC5E60" w:rsidRDefault="0033534F">
      <w:pPr>
        <w:pStyle w:val="BodyB"/>
        <w:widowControl w:val="0"/>
        <w:suppressAutoHyphens/>
        <w:spacing w:line="360" w:lineRule="auto"/>
        <w:ind w:left="567"/>
        <w:jc w:val="both"/>
        <w:rPr>
          <w:rFonts w:ascii="Arial" w:hAnsi="Arial"/>
          <w:sz w:val="22"/>
          <w:szCs w:val="22"/>
        </w:rPr>
      </w:pPr>
      <w:r>
        <w:rPr>
          <w:rFonts w:ascii="Arial" w:hAnsi="Arial"/>
          <w:sz w:val="22"/>
          <w:szCs w:val="22"/>
        </w:rPr>
        <w:t>‘…This Court in Caratco, concerning the provisions of s 17(1)(a)(ii) of the SC Act pointed out that if the court is unpersuaded that there are prospects of success, it must still enquire into whether there is a compelling reason to entertain the appeal. Compelling reason would of course include an important question of law or a discreet issue of public importance that will have an effect on future disputes. However, this Court correctly added that ‘but here too the merits remain vitally important and are often decisive’. I am mindful of the decisions at high court level debating whether the use of the word ‘would’ as opposed to ‘could’ possibly means that the threshold for granting the appeal has been raised. If a reasonable prospect of success is established, leave to appeal should be granted. Similarly, if there are some other compelling reasons why the appeal should be heard, leave to appeal should be granted. …’</w:t>
      </w:r>
      <w:r>
        <w:rPr>
          <w:rFonts w:ascii="Arial" w:eastAsia="Arial" w:hAnsi="Arial" w:cs="Arial"/>
          <w:sz w:val="22"/>
          <w:szCs w:val="22"/>
          <w:vertAlign w:val="superscript"/>
        </w:rPr>
        <w:footnoteReference w:id="4"/>
      </w:r>
      <w:r>
        <w:rPr>
          <w:rFonts w:ascii="Arial" w:hAnsi="Arial"/>
          <w:sz w:val="22"/>
          <w:szCs w:val="22"/>
        </w:rPr>
        <w:t xml:space="preserve"> (citation omitted)</w:t>
      </w:r>
    </w:p>
    <w:p w:rsidR="001947C0" w:rsidRDefault="001947C0">
      <w:pPr>
        <w:pStyle w:val="BodyB"/>
        <w:widowControl w:val="0"/>
        <w:suppressAutoHyphens/>
        <w:spacing w:line="360" w:lineRule="auto"/>
        <w:ind w:left="567"/>
        <w:jc w:val="both"/>
        <w:rPr>
          <w:rFonts w:ascii="Arial" w:hAnsi="Arial"/>
          <w:sz w:val="22"/>
          <w:szCs w:val="22"/>
        </w:rPr>
      </w:pPr>
    </w:p>
    <w:p w:rsidR="001947C0" w:rsidRDefault="001947C0">
      <w:pPr>
        <w:pStyle w:val="BodyB"/>
        <w:widowControl w:val="0"/>
        <w:suppressAutoHyphens/>
        <w:spacing w:line="360" w:lineRule="auto"/>
        <w:ind w:left="567"/>
        <w:jc w:val="both"/>
        <w:rPr>
          <w:rFonts w:ascii="Arial" w:eastAsia="Arial" w:hAnsi="Arial" w:cs="Arial"/>
          <w:sz w:val="22"/>
          <w:szCs w:val="22"/>
        </w:rPr>
      </w:pPr>
    </w:p>
    <w:p w:rsidR="00EC5E60" w:rsidRDefault="00EC5E60">
      <w:pPr>
        <w:pStyle w:val="BodyB"/>
        <w:widowControl w:val="0"/>
        <w:suppressAutoHyphens/>
        <w:spacing w:line="480" w:lineRule="auto"/>
        <w:jc w:val="both"/>
        <w:rPr>
          <w:rFonts w:ascii="Arial" w:eastAsia="Arial" w:hAnsi="Arial" w:cs="Arial"/>
        </w:rPr>
      </w:pPr>
    </w:p>
    <w:p w:rsidR="00EC5E60" w:rsidRDefault="0033534F">
      <w:pPr>
        <w:pStyle w:val="BodyB"/>
        <w:widowControl w:val="0"/>
        <w:suppressAutoHyphens/>
        <w:spacing w:line="480" w:lineRule="auto"/>
        <w:jc w:val="both"/>
        <w:rPr>
          <w:rFonts w:ascii="Arial" w:eastAsia="Arial" w:hAnsi="Arial" w:cs="Arial"/>
          <w:b/>
          <w:bCs/>
        </w:rPr>
      </w:pPr>
      <w:r>
        <w:rPr>
          <w:rFonts w:ascii="Arial" w:hAnsi="Arial"/>
          <w:b/>
          <w:bCs/>
        </w:rPr>
        <w:lastRenderedPageBreak/>
        <w:t>C. Merits</w:t>
      </w:r>
    </w:p>
    <w:p w:rsidR="00EC5E60" w:rsidRDefault="00D23CA3" w:rsidP="00D23CA3">
      <w:pPr>
        <w:pStyle w:val="BodyB"/>
        <w:widowControl w:val="0"/>
        <w:suppressAutoHyphens/>
        <w:spacing w:line="480" w:lineRule="auto"/>
        <w:ind w:left="253" w:hanging="253"/>
        <w:jc w:val="both"/>
        <w:rPr>
          <w:rFonts w:ascii="Arial" w:hAnsi="Arial"/>
        </w:rPr>
      </w:pPr>
      <w:r>
        <w:rPr>
          <w:rFonts w:ascii="Arial" w:hAnsi="Arial Unicode MS"/>
        </w:rPr>
        <w:t>5.</w:t>
      </w:r>
      <w:r>
        <w:rPr>
          <w:rFonts w:ascii="Arial" w:hAnsi="Arial Unicode MS"/>
        </w:rPr>
        <w:tab/>
      </w:r>
      <w:r w:rsidR="0033534F">
        <w:rPr>
          <w:rFonts w:ascii="Arial" w:hAnsi="Arial"/>
        </w:rPr>
        <w:t>At the outset, the applicant’s heads targeted what it called the centre of this court’s judgement, namely:</w:t>
      </w:r>
    </w:p>
    <w:p w:rsidR="00EC5E60" w:rsidRDefault="0033534F">
      <w:pPr>
        <w:pStyle w:val="BodyB"/>
        <w:widowControl w:val="0"/>
        <w:suppressAutoHyphens/>
        <w:spacing w:line="480" w:lineRule="auto"/>
        <w:ind w:left="567"/>
        <w:jc w:val="both"/>
        <w:rPr>
          <w:rFonts w:ascii="Arial" w:eastAsia="Arial" w:hAnsi="Arial" w:cs="Arial"/>
        </w:rPr>
      </w:pPr>
      <w:r>
        <w:rPr>
          <w:rFonts w:ascii="Arial" w:hAnsi="Arial"/>
        </w:rPr>
        <w:t>(i) Whether a party may rely on an automated report to demonstrate that the sale of the immovable property of the debtor will result in payment to the creditors;</w:t>
      </w:r>
    </w:p>
    <w:p w:rsidR="00EC5E60" w:rsidRDefault="0033534F">
      <w:pPr>
        <w:pStyle w:val="BodyB"/>
        <w:widowControl w:val="0"/>
        <w:suppressAutoHyphens/>
        <w:spacing w:line="480" w:lineRule="auto"/>
        <w:ind w:left="567"/>
        <w:jc w:val="both"/>
        <w:rPr>
          <w:rFonts w:ascii="Arial" w:eastAsia="Arial" w:hAnsi="Arial" w:cs="Arial"/>
        </w:rPr>
      </w:pPr>
      <w:r>
        <w:rPr>
          <w:rFonts w:ascii="Arial" w:hAnsi="Arial"/>
        </w:rPr>
        <w:t xml:space="preserve">(ii) Whether the considerations and or permutations that ordinarily apply in Rule 46A sales should apply in sequestration proceedings to determine that the sale of the debtor’s immovable property will result in a distribution to the creditors; and </w:t>
      </w:r>
    </w:p>
    <w:p w:rsidR="00EC5E60" w:rsidRDefault="0033534F">
      <w:pPr>
        <w:pStyle w:val="BodyB"/>
        <w:widowControl w:val="0"/>
        <w:suppressAutoHyphens/>
        <w:spacing w:line="480" w:lineRule="auto"/>
        <w:ind w:left="567"/>
        <w:jc w:val="both"/>
        <w:rPr>
          <w:rFonts w:ascii="Arial" w:eastAsia="Arial" w:hAnsi="Arial" w:cs="Arial"/>
        </w:rPr>
      </w:pPr>
      <w:r>
        <w:rPr>
          <w:rFonts w:ascii="Arial" w:hAnsi="Arial"/>
        </w:rPr>
        <w:t>(iii)  To what extent are parties bound by concessions made in a joint practice note.</w:t>
      </w:r>
    </w:p>
    <w:p w:rsidR="00EC5E60" w:rsidRDefault="00EC5E60">
      <w:pPr>
        <w:pStyle w:val="BodyB"/>
        <w:widowControl w:val="0"/>
        <w:suppressAutoHyphens/>
        <w:spacing w:line="480" w:lineRule="auto"/>
        <w:ind w:left="567"/>
        <w:jc w:val="both"/>
        <w:rPr>
          <w:rFonts w:ascii="Arial" w:eastAsia="Arial" w:hAnsi="Arial" w:cs="Arial"/>
        </w:rPr>
      </w:pPr>
    </w:p>
    <w:p w:rsidR="00EC5E60" w:rsidRDefault="00D23CA3" w:rsidP="00D23CA3">
      <w:pPr>
        <w:pStyle w:val="BodyB"/>
        <w:widowControl w:val="0"/>
        <w:suppressAutoHyphens/>
        <w:spacing w:line="480" w:lineRule="auto"/>
        <w:ind w:left="253" w:hanging="253"/>
        <w:jc w:val="both"/>
        <w:rPr>
          <w:rFonts w:ascii="Arial" w:hAnsi="Arial"/>
        </w:rPr>
      </w:pPr>
      <w:r>
        <w:rPr>
          <w:rFonts w:ascii="Arial" w:hAnsi="Arial Unicode MS"/>
        </w:rPr>
        <w:t>6.</w:t>
      </w:r>
      <w:r>
        <w:rPr>
          <w:rFonts w:ascii="Arial" w:hAnsi="Arial Unicode MS"/>
        </w:rPr>
        <w:tab/>
      </w:r>
      <w:r w:rsidR="0033534F">
        <w:rPr>
          <w:rFonts w:ascii="Arial" w:hAnsi="Arial"/>
        </w:rPr>
        <w:t xml:space="preserve">The applicant, I should say, chose to disregard that the overall import of the judgement and its reliance on previous superior court’s judgements, including the Constitutional Court’s dicta in </w:t>
      </w:r>
      <w:r w:rsidR="0033534F">
        <w:rPr>
          <w:rFonts w:ascii="Arial" w:hAnsi="Arial"/>
          <w:i/>
          <w:iCs/>
        </w:rPr>
        <w:t xml:space="preserve">Stratford and Others </w:t>
      </w:r>
      <w:r w:rsidR="0033534F">
        <w:rPr>
          <w:rFonts w:ascii="Arial" w:hAnsi="Arial"/>
        </w:rPr>
        <w:t xml:space="preserve">v </w:t>
      </w:r>
      <w:r w:rsidR="0033534F">
        <w:rPr>
          <w:rFonts w:ascii="Arial" w:hAnsi="Arial"/>
          <w:i/>
          <w:iCs/>
        </w:rPr>
        <w:t>Investec Bank Limited</w:t>
      </w:r>
      <w:r w:rsidR="0033534F">
        <w:rPr>
          <w:rFonts w:ascii="Arial" w:hAnsi="Arial"/>
        </w:rPr>
        <w:t xml:space="preserve"> and Others</w:t>
      </w:r>
      <w:r w:rsidR="0033534F">
        <w:rPr>
          <w:rFonts w:ascii="Arial" w:eastAsia="Arial" w:hAnsi="Arial" w:cs="Arial"/>
          <w:vertAlign w:val="superscript"/>
        </w:rPr>
        <w:footnoteReference w:id="5"/>
      </w:r>
      <w:r w:rsidR="0033534F">
        <w:rPr>
          <w:rFonts w:ascii="Arial" w:hAnsi="Arial"/>
        </w:rPr>
        <w:t xml:space="preserve"> and that court's guidance on how courts should approach the question of the belief that the sequestration will be to the advantage of the general body of creditors. As a consequence of its choices, the applicant ended up revisiting its case to amplify it on the question of the automated report and how other courts have made use of it, without delving into the merits of those cases. It also seeks to introduce new arguments about replacement of non paying members with paying members in a Body Corporate.</w:t>
      </w:r>
    </w:p>
    <w:p w:rsidR="00EC5E60" w:rsidRDefault="00EC5E60">
      <w:pPr>
        <w:pStyle w:val="BodyB"/>
        <w:widowControl w:val="0"/>
        <w:suppressAutoHyphens/>
        <w:spacing w:line="480" w:lineRule="auto"/>
        <w:jc w:val="both"/>
        <w:rPr>
          <w:rFonts w:ascii="Arial" w:eastAsia="Arial" w:hAnsi="Arial" w:cs="Arial"/>
        </w:rPr>
      </w:pPr>
    </w:p>
    <w:p w:rsidR="00EC5E60" w:rsidRDefault="00D23CA3" w:rsidP="00D23CA3">
      <w:pPr>
        <w:pStyle w:val="BodyB"/>
        <w:widowControl w:val="0"/>
        <w:suppressAutoHyphens/>
        <w:spacing w:line="480" w:lineRule="auto"/>
        <w:ind w:left="253" w:hanging="253"/>
        <w:jc w:val="both"/>
        <w:rPr>
          <w:rFonts w:ascii="Arial" w:hAnsi="Arial"/>
        </w:rPr>
      </w:pPr>
      <w:r>
        <w:rPr>
          <w:rFonts w:ascii="Arial" w:hAnsi="Arial Unicode MS"/>
        </w:rPr>
        <w:t>7.</w:t>
      </w:r>
      <w:r>
        <w:rPr>
          <w:rFonts w:ascii="Arial" w:hAnsi="Arial Unicode MS"/>
        </w:rPr>
        <w:tab/>
      </w:r>
      <w:r w:rsidR="0033534F">
        <w:rPr>
          <w:rFonts w:ascii="Arial" w:hAnsi="Arial"/>
        </w:rPr>
        <w:t xml:space="preserve">The judgement of this court need not be repeated. It sets out the reasons the values in the automated report are highly unlikely. It takes into account the present slumping </w:t>
      </w:r>
      <w:r w:rsidR="0033534F">
        <w:rPr>
          <w:rFonts w:ascii="Arial" w:hAnsi="Arial"/>
        </w:rPr>
        <w:lastRenderedPageBreak/>
        <w:t xml:space="preserve">economy, the risks that a purchaser faces and in forced sales, which do not wait for markets to correct property prices, and the pressure that all these elements put on property prices, with the result that, in the court’s mind, the chances of obtaining the amounts illustrated in the automated report are dim if not improbable, making it unlikely that the general body of creditors may receive a dividend as opposed to contributing towards costs. As a result of confining the judgement to the automated report, the applicant suggests that the case involves important principles of law. Far from it, the recommended approach in evaluating the question of advantage to creditors on the facts before a court has long been settled by the Superior Courts, including the Constitutional Court. In short, what appears to be important questions of law is borne out of the applicant’s choices in identifying what the judgment centres on, which is inaccurate. </w:t>
      </w:r>
    </w:p>
    <w:p w:rsidR="00EC5E60" w:rsidRDefault="00EC5E60">
      <w:pPr>
        <w:pStyle w:val="BodyB"/>
        <w:widowControl w:val="0"/>
        <w:suppressAutoHyphens/>
        <w:spacing w:line="480" w:lineRule="auto"/>
        <w:jc w:val="both"/>
        <w:rPr>
          <w:rFonts w:ascii="Arial" w:eastAsia="Arial" w:hAnsi="Arial" w:cs="Arial"/>
        </w:rPr>
      </w:pPr>
    </w:p>
    <w:p w:rsidR="00EC5E60" w:rsidRDefault="00D23CA3" w:rsidP="00D23CA3">
      <w:pPr>
        <w:pStyle w:val="BodyB"/>
        <w:widowControl w:val="0"/>
        <w:suppressAutoHyphens/>
        <w:spacing w:line="480" w:lineRule="auto"/>
        <w:ind w:left="253" w:hanging="253"/>
        <w:jc w:val="both"/>
        <w:rPr>
          <w:rFonts w:ascii="Arial" w:hAnsi="Arial"/>
        </w:rPr>
      </w:pPr>
      <w:r>
        <w:rPr>
          <w:rFonts w:ascii="Arial" w:hAnsi="Arial Unicode MS"/>
        </w:rPr>
        <w:t>8.</w:t>
      </w:r>
      <w:r>
        <w:rPr>
          <w:rFonts w:ascii="Arial" w:hAnsi="Arial Unicode MS"/>
        </w:rPr>
        <w:tab/>
      </w:r>
      <w:r w:rsidR="0033534F">
        <w:rPr>
          <w:rFonts w:ascii="Arial" w:hAnsi="Arial"/>
        </w:rPr>
        <w:t xml:space="preserve">The applicant further posits an argument about the extent to which an agreement set out in a joint practice is binding to a party. Exactly what role an agreement between the parties on a joint practice note has on the court’s enquiry into the question of the belief as to whether sequestration will be to the advantage of creditors, is not mentioned by the applicant. What is undoubted however, is that such agreement cannot usurp the court’s function of applying its mind to the facts, including those agreed to by the parties and the law and reaching a conclusion on whether the belief that the sequestration of the debtor’s estate is to the advantage of the general body of creditors. </w:t>
      </w:r>
    </w:p>
    <w:p w:rsidR="00EC5E60" w:rsidRDefault="00EC5E60">
      <w:pPr>
        <w:pStyle w:val="BodyB"/>
        <w:widowControl w:val="0"/>
        <w:suppressAutoHyphens/>
        <w:spacing w:line="480" w:lineRule="auto"/>
        <w:jc w:val="both"/>
        <w:rPr>
          <w:rFonts w:ascii="Arial" w:eastAsia="Arial" w:hAnsi="Arial" w:cs="Arial"/>
        </w:rPr>
      </w:pPr>
    </w:p>
    <w:p w:rsidR="00EC5E60" w:rsidRDefault="00D23CA3" w:rsidP="00D23CA3">
      <w:pPr>
        <w:pStyle w:val="BodyB"/>
        <w:widowControl w:val="0"/>
        <w:suppressAutoHyphens/>
        <w:spacing w:line="480" w:lineRule="auto"/>
        <w:ind w:left="253" w:hanging="253"/>
        <w:jc w:val="both"/>
        <w:rPr>
          <w:rFonts w:ascii="Arial" w:hAnsi="Arial"/>
        </w:rPr>
      </w:pPr>
      <w:r>
        <w:rPr>
          <w:rFonts w:ascii="Arial" w:hAnsi="Arial Unicode MS"/>
        </w:rPr>
        <w:t>9.</w:t>
      </w:r>
      <w:r>
        <w:rPr>
          <w:rFonts w:ascii="Arial" w:hAnsi="Arial Unicode MS"/>
        </w:rPr>
        <w:tab/>
      </w:r>
      <w:r w:rsidR="0033534F">
        <w:rPr>
          <w:rFonts w:ascii="Arial" w:hAnsi="Arial"/>
        </w:rPr>
        <w:t xml:space="preserve">I reached the conclusion that the belief that the sequestration will be to the advantage </w:t>
      </w:r>
      <w:r w:rsidR="0033534F">
        <w:rPr>
          <w:rFonts w:ascii="Arial" w:hAnsi="Arial"/>
        </w:rPr>
        <w:lastRenderedPageBreak/>
        <w:t>of the creditors is not borne out by the facts.  My reasoning is fully set out in the judgement. The application has no prospects of success and falls to be dismissed.</w:t>
      </w:r>
    </w:p>
    <w:p w:rsidR="0006403D" w:rsidRDefault="0006403D" w:rsidP="0006403D">
      <w:pPr>
        <w:pStyle w:val="BodyB"/>
        <w:widowControl w:val="0"/>
        <w:suppressAutoHyphens/>
        <w:spacing w:line="480" w:lineRule="auto"/>
        <w:jc w:val="both"/>
        <w:rPr>
          <w:rFonts w:ascii="Arial" w:hAnsi="Arial"/>
        </w:rPr>
      </w:pPr>
    </w:p>
    <w:p w:rsidR="00EC5E60" w:rsidRDefault="0033534F">
      <w:pPr>
        <w:pStyle w:val="BodyB"/>
        <w:widowControl w:val="0"/>
        <w:suppressAutoHyphens/>
        <w:spacing w:line="480" w:lineRule="auto"/>
        <w:rPr>
          <w:rFonts w:ascii="Arial" w:eastAsia="Arial" w:hAnsi="Arial" w:cs="Arial"/>
          <w:b/>
          <w:bCs/>
        </w:rPr>
      </w:pPr>
      <w:r>
        <w:rPr>
          <w:rFonts w:ascii="Arial" w:hAnsi="Arial"/>
          <w:b/>
          <w:bCs/>
        </w:rPr>
        <w:t>D. Order</w:t>
      </w:r>
    </w:p>
    <w:p w:rsidR="00EC5E60" w:rsidRDefault="00D23CA3" w:rsidP="00D23CA3">
      <w:pPr>
        <w:pStyle w:val="BodyB"/>
        <w:widowControl w:val="0"/>
        <w:suppressAutoHyphens/>
        <w:spacing w:line="480" w:lineRule="auto"/>
        <w:ind w:left="253" w:hanging="253"/>
        <w:rPr>
          <w:rFonts w:ascii="Arial" w:hAnsi="Arial"/>
        </w:rPr>
      </w:pPr>
      <w:r>
        <w:rPr>
          <w:rFonts w:ascii="Arial" w:hAnsi="Arial Unicode MS"/>
        </w:rPr>
        <w:t>10.</w:t>
      </w:r>
      <w:r>
        <w:rPr>
          <w:rFonts w:ascii="Arial" w:hAnsi="Arial Unicode MS"/>
        </w:rPr>
        <w:tab/>
      </w:r>
      <w:r w:rsidR="0033534F">
        <w:rPr>
          <w:rFonts w:ascii="Arial" w:hAnsi="Arial"/>
        </w:rPr>
        <w:t xml:space="preserve"> The application for leave to appeal is dismissed with costs.</w:t>
      </w:r>
    </w:p>
    <w:p w:rsidR="00EC5E60" w:rsidRDefault="00EC5E60">
      <w:pPr>
        <w:pStyle w:val="BodyB"/>
        <w:widowControl w:val="0"/>
        <w:suppressAutoHyphens/>
        <w:spacing w:line="480" w:lineRule="auto"/>
        <w:rPr>
          <w:rFonts w:ascii="Arial" w:eastAsia="Arial" w:hAnsi="Arial" w:cs="Arial"/>
        </w:rPr>
      </w:pPr>
    </w:p>
    <w:p w:rsidR="00EC5E60" w:rsidRDefault="00EC5E60">
      <w:pPr>
        <w:pStyle w:val="BodyB"/>
        <w:widowControl w:val="0"/>
        <w:suppressAutoHyphens/>
        <w:spacing w:line="480" w:lineRule="auto"/>
        <w:rPr>
          <w:rFonts w:ascii="Arial" w:eastAsia="Arial" w:hAnsi="Arial" w:cs="Arial"/>
        </w:rPr>
      </w:pPr>
    </w:p>
    <w:p w:rsidR="00EC5E60" w:rsidRDefault="0033534F">
      <w:pPr>
        <w:pStyle w:val="BodyB"/>
        <w:widowControl w:val="0"/>
        <w:suppressAutoHyphens/>
        <w:spacing w:line="48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AF11BF">
        <w:rPr>
          <w:rFonts w:ascii="Arial" w:eastAsia="Arial" w:hAnsi="Arial" w:cs="Arial"/>
        </w:rPr>
        <w:tab/>
      </w:r>
      <w:r>
        <w:rPr>
          <w:rFonts w:ascii="Arial" w:eastAsia="Arial" w:hAnsi="Arial" w:cs="Arial"/>
        </w:rPr>
        <w:t>____</w:t>
      </w:r>
      <w:r w:rsidR="00AF11BF">
        <w:rPr>
          <w:rFonts w:ascii="Arial" w:eastAsia="Arial" w:hAnsi="Arial" w:cs="Arial"/>
        </w:rPr>
        <w:t>___________________________</w:t>
      </w:r>
    </w:p>
    <w:p w:rsidR="00EC5E60" w:rsidRDefault="0033534F">
      <w:pPr>
        <w:pStyle w:val="BodyB"/>
        <w:widowControl w:val="0"/>
        <w:suppressAutoHyphens/>
        <w:spacing w:line="48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AF11BF">
        <w:rPr>
          <w:rFonts w:ascii="Arial" w:eastAsia="Arial" w:hAnsi="Arial" w:cs="Arial"/>
        </w:rPr>
        <w:tab/>
      </w:r>
      <w:r w:rsidR="00AF11BF">
        <w:rPr>
          <w:rFonts w:ascii="Arial" w:hAnsi="Arial"/>
          <w:b/>
          <w:bCs/>
          <w:lang w:val="de-DE"/>
        </w:rPr>
        <w:t xml:space="preserve">NN BAM </w:t>
      </w:r>
      <w:r>
        <w:rPr>
          <w:rFonts w:ascii="Arial" w:eastAsia="Arial" w:hAnsi="Arial" w:cs="Arial"/>
          <w:b/>
          <w:bCs/>
        </w:rPr>
        <w:br/>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sidR="00AF11BF">
        <w:rPr>
          <w:rFonts w:ascii="Arial" w:eastAsia="Arial" w:hAnsi="Arial" w:cs="Arial"/>
          <w:b/>
          <w:bCs/>
        </w:rPr>
        <w:tab/>
      </w:r>
      <w:r>
        <w:rPr>
          <w:rFonts w:ascii="Arial" w:hAnsi="Arial"/>
          <w:b/>
          <w:bCs/>
        </w:rPr>
        <w:t>JUD</w:t>
      </w:r>
      <w:r w:rsidR="00AF11BF">
        <w:rPr>
          <w:rFonts w:ascii="Arial" w:hAnsi="Arial"/>
          <w:b/>
          <w:bCs/>
        </w:rPr>
        <w:t xml:space="preserve">GE OF THE HIGH COURT, </w:t>
      </w:r>
      <w:r w:rsidR="00AF11BF">
        <w:rPr>
          <w:rFonts w:ascii="Arial" w:hAnsi="Arial"/>
          <w:b/>
          <w:bCs/>
        </w:rPr>
        <w:tab/>
      </w:r>
      <w:r w:rsidR="00AF11BF">
        <w:rPr>
          <w:rFonts w:ascii="Arial" w:hAnsi="Arial"/>
          <w:b/>
          <w:bCs/>
        </w:rPr>
        <w:tab/>
      </w:r>
      <w:r w:rsidR="00AF11BF">
        <w:rPr>
          <w:rFonts w:ascii="Arial" w:hAnsi="Arial"/>
          <w:b/>
          <w:bCs/>
        </w:rPr>
        <w:tab/>
      </w:r>
      <w:r w:rsidR="00AF11BF">
        <w:rPr>
          <w:rFonts w:ascii="Arial" w:hAnsi="Arial"/>
          <w:b/>
          <w:bCs/>
        </w:rPr>
        <w:tab/>
      </w:r>
      <w:r w:rsidR="00AF11BF">
        <w:rPr>
          <w:rFonts w:ascii="Arial" w:hAnsi="Arial"/>
          <w:b/>
          <w:bCs/>
        </w:rPr>
        <w:tab/>
      </w:r>
      <w:r w:rsidR="00AF11BF">
        <w:rPr>
          <w:rFonts w:ascii="Arial" w:hAnsi="Arial"/>
          <w:b/>
          <w:bCs/>
        </w:rPr>
        <w:tab/>
      </w:r>
      <w:r w:rsidR="00AF11BF">
        <w:rPr>
          <w:rFonts w:ascii="Arial" w:hAnsi="Arial"/>
          <w:b/>
          <w:bCs/>
        </w:rPr>
        <w:tab/>
      </w:r>
      <w:r w:rsidR="00AF11BF">
        <w:rPr>
          <w:rFonts w:ascii="Arial" w:hAnsi="Arial"/>
          <w:b/>
          <w:bCs/>
        </w:rPr>
        <w:tab/>
      </w:r>
      <w:r w:rsidR="00AF11BF">
        <w:rPr>
          <w:rFonts w:ascii="Arial" w:hAnsi="Arial"/>
          <w:b/>
          <w:bCs/>
        </w:rPr>
        <w:tab/>
      </w:r>
      <w:r>
        <w:rPr>
          <w:rFonts w:ascii="Arial" w:hAnsi="Arial"/>
          <w:b/>
          <w:bCs/>
          <w:lang w:val="de-DE"/>
        </w:rPr>
        <w:t xml:space="preserve">GAUTENG DIVISION, </w:t>
      </w:r>
      <w:r>
        <w:rPr>
          <w:rFonts w:ascii="Arial" w:hAnsi="Arial"/>
          <w:b/>
          <w:bCs/>
        </w:rPr>
        <w:t>PRETORIA</w:t>
      </w:r>
    </w:p>
    <w:p w:rsidR="00EC5E60" w:rsidRDefault="0033534F">
      <w:pPr>
        <w:pStyle w:val="Default"/>
        <w:spacing w:before="0"/>
        <w:rPr>
          <w:rFonts w:ascii="Arial" w:eastAsia="Arial" w:hAnsi="Arial" w:cs="Arial"/>
          <w:shd w:val="clear" w:color="auto" w:fill="FFFFFF"/>
        </w:rPr>
      </w:pPr>
      <w:r>
        <w:rPr>
          <w:rFonts w:ascii="Arial" w:eastAsia="Arial" w:hAnsi="Arial" w:cs="Arial"/>
          <w:noProof/>
          <w:shd w:val="clear" w:color="auto" w:fill="FFFFFF"/>
          <w:lang w:val="en-ZA"/>
        </w:rPr>
        <w:drawing>
          <wp:inline distT="0" distB="0" distL="0" distR="0">
            <wp:extent cx="787400" cy="355600"/>
            <wp:effectExtent l="0" t="0" r="0" b="0"/>
            <wp:docPr id="1073741830" name="officeArt object" descr="page20image18125120.png"/>
            <wp:cNvGraphicFramePr/>
            <a:graphic xmlns:a="http://schemas.openxmlformats.org/drawingml/2006/main">
              <a:graphicData uri="http://schemas.openxmlformats.org/drawingml/2006/picture">
                <pic:pic xmlns:pic="http://schemas.openxmlformats.org/drawingml/2006/picture">
                  <pic:nvPicPr>
                    <pic:cNvPr id="1073741830" name="page20image18125120.png" descr="page20image18125120.png"/>
                    <pic:cNvPicPr>
                      <a:picLocks noChangeAspect="1"/>
                    </pic:cNvPicPr>
                  </pic:nvPicPr>
                  <pic:blipFill>
                    <a:blip r:embed="rId8">
                      <a:extLst/>
                    </a:blip>
                    <a:stretch>
                      <a:fillRect/>
                    </a:stretch>
                  </pic:blipFill>
                  <pic:spPr>
                    <a:xfrm>
                      <a:off x="0" y="0"/>
                      <a:ext cx="787400" cy="355600"/>
                    </a:xfrm>
                    <a:prstGeom prst="rect">
                      <a:avLst/>
                    </a:prstGeom>
                    <a:ln w="12700" cap="flat">
                      <a:noFill/>
                      <a:miter lim="400000"/>
                    </a:ln>
                    <a:effectLst/>
                  </pic:spPr>
                </pic:pic>
              </a:graphicData>
            </a:graphic>
          </wp:inline>
        </w:drawing>
      </w:r>
    </w:p>
    <w:p w:rsidR="00AF11BF" w:rsidRDefault="00AF11BF">
      <w:pPr>
        <w:pStyle w:val="BodyA"/>
        <w:widowControl w:val="0"/>
        <w:suppressAutoHyphens/>
        <w:spacing w:line="480" w:lineRule="auto"/>
        <w:rPr>
          <w:b/>
          <w:bCs/>
          <w:lang w:val="en-ZA"/>
        </w:rPr>
      </w:pPr>
      <w:r w:rsidRPr="00AF11BF">
        <w:rPr>
          <w:b/>
          <w:bCs/>
          <w:lang w:val="en-ZA"/>
        </w:rPr>
        <w:t>Date of Hearing</w:t>
      </w:r>
      <w:r>
        <w:rPr>
          <w:b/>
          <w:bCs/>
          <w:lang w:val="en-ZA"/>
        </w:rPr>
        <w:t>:</w:t>
      </w:r>
      <w:r>
        <w:rPr>
          <w:b/>
          <w:bCs/>
          <w:lang w:val="en-ZA"/>
        </w:rPr>
        <w:tab/>
      </w:r>
      <w:r>
        <w:rPr>
          <w:b/>
          <w:bCs/>
          <w:lang w:val="en-ZA"/>
        </w:rPr>
        <w:tab/>
      </w:r>
      <w:r>
        <w:rPr>
          <w:b/>
          <w:bCs/>
          <w:lang w:val="en-ZA"/>
        </w:rPr>
        <w:tab/>
      </w:r>
      <w:r>
        <w:rPr>
          <w:b/>
          <w:bCs/>
          <w:lang w:val="en-ZA"/>
        </w:rPr>
        <w:tab/>
      </w:r>
      <w:r>
        <w:rPr>
          <w:b/>
          <w:bCs/>
          <w:lang w:val="en-ZA"/>
        </w:rPr>
        <w:tab/>
        <w:t>12 July 2023</w:t>
      </w:r>
    </w:p>
    <w:p w:rsidR="00AF11BF" w:rsidRDefault="00AF11BF">
      <w:pPr>
        <w:pStyle w:val="BodyA"/>
        <w:widowControl w:val="0"/>
        <w:suppressAutoHyphens/>
        <w:spacing w:line="480" w:lineRule="auto"/>
        <w:rPr>
          <w:b/>
          <w:bCs/>
          <w:lang w:val="en-ZA"/>
        </w:rPr>
      </w:pPr>
      <w:r>
        <w:rPr>
          <w:b/>
          <w:bCs/>
          <w:lang w:val="en-ZA"/>
        </w:rPr>
        <w:t>Date of Judgement:</w:t>
      </w:r>
      <w:r>
        <w:rPr>
          <w:b/>
          <w:bCs/>
          <w:lang w:val="en-ZA"/>
        </w:rPr>
        <w:tab/>
      </w:r>
      <w:r>
        <w:rPr>
          <w:b/>
          <w:bCs/>
          <w:lang w:val="en-ZA"/>
        </w:rPr>
        <w:tab/>
      </w:r>
      <w:r>
        <w:rPr>
          <w:b/>
          <w:bCs/>
          <w:lang w:val="en-ZA"/>
        </w:rPr>
        <w:tab/>
      </w:r>
      <w:r>
        <w:rPr>
          <w:b/>
          <w:bCs/>
          <w:lang w:val="en-ZA"/>
        </w:rPr>
        <w:tab/>
        <w:t>27 July 2023</w:t>
      </w:r>
    </w:p>
    <w:p w:rsidR="0006403D" w:rsidRPr="00AF11BF" w:rsidRDefault="0006403D">
      <w:pPr>
        <w:pStyle w:val="BodyA"/>
        <w:widowControl w:val="0"/>
        <w:suppressAutoHyphens/>
        <w:spacing w:line="480" w:lineRule="auto"/>
        <w:rPr>
          <w:b/>
          <w:bCs/>
          <w:lang w:val="en-ZA"/>
        </w:rPr>
      </w:pPr>
    </w:p>
    <w:p w:rsidR="00EC5E60" w:rsidRPr="0006403D" w:rsidRDefault="00AF11BF">
      <w:pPr>
        <w:pStyle w:val="BodyA"/>
        <w:widowControl w:val="0"/>
        <w:suppressAutoHyphens/>
        <w:spacing w:line="480" w:lineRule="auto"/>
        <w:rPr>
          <w:b/>
          <w:bCs/>
          <w:u w:val="single"/>
          <w:lang w:val="en-ZA"/>
        </w:rPr>
      </w:pPr>
      <w:r w:rsidRPr="0006403D">
        <w:rPr>
          <w:b/>
          <w:bCs/>
          <w:u w:val="single"/>
          <w:lang w:val="en-ZA"/>
        </w:rPr>
        <w:t>Appearances</w:t>
      </w:r>
      <w:r w:rsidR="0033534F" w:rsidRPr="0006403D">
        <w:rPr>
          <w:b/>
          <w:bCs/>
          <w:u w:val="single"/>
        </w:rPr>
        <w:t>:</w:t>
      </w:r>
    </w:p>
    <w:p w:rsidR="0006403D" w:rsidRPr="0006403D" w:rsidRDefault="0006403D">
      <w:pPr>
        <w:pStyle w:val="BodyA"/>
        <w:widowControl w:val="0"/>
        <w:suppressAutoHyphens/>
        <w:spacing w:line="480" w:lineRule="auto"/>
        <w:rPr>
          <w:b/>
          <w:bCs/>
        </w:rPr>
      </w:pPr>
      <w:r>
        <w:rPr>
          <w:b/>
          <w:bCs/>
          <w:u w:color="FF0000"/>
        </w:rPr>
        <w:t>Applicant’s Counsel</w:t>
      </w:r>
      <w:r>
        <w:rPr>
          <w:b/>
          <w:bCs/>
        </w:rPr>
        <w:t xml:space="preserve">: </w:t>
      </w:r>
      <w:r>
        <w:rPr>
          <w:b/>
          <w:bCs/>
        </w:rPr>
        <w:tab/>
      </w:r>
      <w:r>
        <w:rPr>
          <w:b/>
          <w:bCs/>
        </w:rPr>
        <w:tab/>
      </w:r>
      <w:r>
        <w:rPr>
          <w:b/>
          <w:bCs/>
        </w:rPr>
        <w:tab/>
      </w:r>
      <w:r>
        <w:rPr>
          <w:b/>
          <w:bCs/>
        </w:rPr>
        <w:tab/>
        <w:t>Adv J.</w:t>
      </w:r>
      <w:r w:rsidR="0033534F">
        <w:rPr>
          <w:b/>
          <w:bCs/>
        </w:rPr>
        <w:t>C Prinsloo</w:t>
      </w:r>
      <w:r w:rsidR="0033534F">
        <w:br/>
        <w:t>Instruc</w:t>
      </w:r>
      <w:r>
        <w:t>ted by:</w:t>
      </w:r>
      <w:r>
        <w:tab/>
      </w:r>
      <w:r>
        <w:tab/>
      </w:r>
      <w:r>
        <w:tab/>
      </w:r>
      <w:r>
        <w:tab/>
      </w:r>
      <w:r>
        <w:tab/>
        <w:t>Theron and Henning Attorneys</w:t>
      </w:r>
    </w:p>
    <w:p w:rsidR="00EC5E60" w:rsidRDefault="0006403D">
      <w:pPr>
        <w:pStyle w:val="BodyA"/>
        <w:widowControl w:val="0"/>
        <w:suppressAutoHyphens/>
        <w:spacing w:line="480" w:lineRule="auto"/>
      </w:pPr>
      <w:r>
        <w:tab/>
      </w:r>
      <w:r>
        <w:tab/>
      </w:r>
      <w:r>
        <w:tab/>
      </w:r>
      <w:r>
        <w:tab/>
      </w:r>
      <w:r>
        <w:tab/>
      </w:r>
      <w:r>
        <w:tab/>
      </w:r>
      <w:r>
        <w:tab/>
      </w:r>
      <w:r w:rsidR="0033534F">
        <w:t>Pretoria</w:t>
      </w:r>
    </w:p>
    <w:p w:rsidR="00EC5E60" w:rsidRDefault="0006403D">
      <w:pPr>
        <w:pStyle w:val="BodyA"/>
        <w:widowControl w:val="0"/>
        <w:suppressAutoHyphens/>
        <w:spacing w:line="480" w:lineRule="auto"/>
      </w:pPr>
      <w:r>
        <w:rPr>
          <w:b/>
          <w:bCs/>
        </w:rPr>
        <w:t>Respondent’s Counsel</w:t>
      </w:r>
      <w:r w:rsidR="0033534F">
        <w:t>:</w:t>
      </w:r>
      <w:r w:rsidR="0033534F">
        <w:tab/>
      </w:r>
      <w:r w:rsidR="0033534F">
        <w:tab/>
      </w:r>
      <w:r w:rsidR="0033534F">
        <w:tab/>
      </w:r>
      <w:r>
        <w:tab/>
      </w:r>
      <w:r>
        <w:rPr>
          <w:b/>
          <w:bCs/>
        </w:rPr>
        <w:t>Adv L.</w:t>
      </w:r>
      <w:r w:rsidR="0033534F">
        <w:rPr>
          <w:b/>
          <w:bCs/>
        </w:rPr>
        <w:t>M Maake</w:t>
      </w:r>
      <w:r w:rsidR="0033534F">
        <w:rPr>
          <w:b/>
          <w:bCs/>
        </w:rPr>
        <w:tab/>
      </w:r>
      <w:r w:rsidR="0033534F">
        <w:rPr>
          <w:b/>
          <w:bCs/>
        </w:rPr>
        <w:tab/>
      </w:r>
      <w:r w:rsidR="0033534F">
        <w:tab/>
      </w:r>
      <w:r w:rsidR="0033534F">
        <w:tab/>
      </w:r>
    </w:p>
    <w:p w:rsidR="00EC5E60" w:rsidRDefault="0033534F">
      <w:pPr>
        <w:pStyle w:val="BodyA"/>
        <w:widowControl w:val="0"/>
        <w:suppressAutoHyphens/>
        <w:spacing w:line="480" w:lineRule="auto"/>
      </w:pPr>
      <w:r>
        <w:t xml:space="preserve">Instructed by: </w:t>
      </w:r>
      <w:r>
        <w:tab/>
      </w:r>
      <w:r>
        <w:tab/>
      </w:r>
      <w:r>
        <w:tab/>
      </w:r>
      <w:r>
        <w:tab/>
      </w:r>
      <w:r>
        <w:tab/>
        <w:t>Malale Nthapeleng Attorneys</w:t>
      </w:r>
    </w:p>
    <w:p w:rsidR="00EC5E60" w:rsidRDefault="0033534F">
      <w:pPr>
        <w:pStyle w:val="BodyA"/>
        <w:widowControl w:val="0"/>
        <w:suppressAutoHyphens/>
        <w:spacing w:line="480" w:lineRule="auto"/>
      </w:pPr>
      <w:r>
        <w:tab/>
      </w:r>
      <w:r>
        <w:tab/>
      </w:r>
      <w:r>
        <w:tab/>
      </w:r>
      <w:r>
        <w:tab/>
      </w:r>
      <w:r>
        <w:tab/>
      </w:r>
      <w:r>
        <w:tab/>
      </w:r>
      <w:r>
        <w:tab/>
        <w:t>Monument Park, Pretoria</w:t>
      </w:r>
    </w:p>
    <w:p w:rsidR="00EC5E60" w:rsidRDefault="00EC5E60">
      <w:pPr>
        <w:pStyle w:val="BodyA"/>
        <w:widowControl w:val="0"/>
        <w:suppressAutoHyphens/>
        <w:spacing w:line="480" w:lineRule="auto"/>
      </w:pPr>
    </w:p>
    <w:p w:rsidR="00EC5E60" w:rsidRDefault="00EC5E60">
      <w:pPr>
        <w:pStyle w:val="BodyA"/>
        <w:widowControl w:val="0"/>
        <w:suppressAutoHyphens/>
        <w:spacing w:line="480" w:lineRule="auto"/>
      </w:pPr>
    </w:p>
    <w:p w:rsidR="00EC5E60" w:rsidRDefault="0033534F">
      <w:pPr>
        <w:pStyle w:val="BodyA"/>
        <w:widowControl w:val="0"/>
        <w:suppressAutoHyphens/>
        <w:spacing w:line="480" w:lineRule="auto"/>
      </w:pPr>
      <w:r>
        <w:tab/>
      </w:r>
      <w:r>
        <w:tab/>
      </w:r>
    </w:p>
    <w:p w:rsidR="00EC5E60" w:rsidRDefault="0033534F">
      <w:pPr>
        <w:pStyle w:val="BodyA"/>
        <w:widowControl w:val="0"/>
        <w:suppressAutoHyphens/>
        <w:spacing w:line="480" w:lineRule="auto"/>
        <w:rPr>
          <w:b/>
          <w:bCs/>
          <w:u w:color="FF2D21"/>
        </w:rPr>
      </w:pPr>
      <w:r>
        <w:tab/>
      </w:r>
      <w:r>
        <w:tab/>
      </w:r>
      <w:r>
        <w:tab/>
      </w:r>
      <w:r>
        <w:tab/>
      </w:r>
      <w:r>
        <w:tab/>
      </w:r>
      <w:r>
        <w:tab/>
      </w:r>
      <w:r>
        <w:tab/>
      </w:r>
      <w:r>
        <w:tab/>
      </w:r>
      <w:r>
        <w:tab/>
      </w:r>
      <w:r>
        <w:tab/>
      </w:r>
      <w:r>
        <w:tab/>
      </w:r>
      <w:r>
        <w:tab/>
      </w:r>
    </w:p>
    <w:p w:rsidR="00EC5E60" w:rsidRDefault="00EC5E60">
      <w:pPr>
        <w:pStyle w:val="BodyB"/>
        <w:widowControl w:val="0"/>
        <w:suppressAutoHyphens/>
        <w:spacing w:line="480" w:lineRule="auto"/>
        <w:ind w:left="720"/>
        <w:rPr>
          <w:rFonts w:ascii="Arial" w:eastAsia="Arial" w:hAnsi="Arial" w:cs="Arial"/>
          <w:b/>
          <w:bCs/>
          <w:u w:color="FF2D21"/>
        </w:rPr>
      </w:pPr>
    </w:p>
    <w:p w:rsidR="00EC5E60" w:rsidRDefault="00EC5E60">
      <w:pPr>
        <w:pStyle w:val="BodyB"/>
        <w:widowControl w:val="0"/>
        <w:suppressAutoHyphens/>
        <w:spacing w:line="480" w:lineRule="auto"/>
        <w:ind w:left="720"/>
        <w:rPr>
          <w:rFonts w:ascii="Arial" w:eastAsia="Arial" w:hAnsi="Arial" w:cs="Arial"/>
          <w:b/>
          <w:bCs/>
          <w:u w:color="FF2D21"/>
        </w:rPr>
      </w:pPr>
    </w:p>
    <w:p w:rsidR="00EC5E60" w:rsidRDefault="00EC5E60">
      <w:pPr>
        <w:pStyle w:val="Default"/>
        <w:spacing w:before="0" w:line="360" w:lineRule="auto"/>
        <w:rPr>
          <w:rFonts w:ascii="Arial" w:eastAsia="Arial" w:hAnsi="Arial" w:cs="Arial"/>
          <w:b/>
          <w:bCs/>
          <w:u w:color="FF2D21"/>
        </w:rPr>
      </w:pPr>
    </w:p>
    <w:p w:rsidR="00EC5E60" w:rsidRDefault="00EC5E60">
      <w:pPr>
        <w:pStyle w:val="Default"/>
        <w:spacing w:before="0" w:line="360" w:lineRule="auto"/>
      </w:pPr>
    </w:p>
    <w:sectPr w:rsidR="00EC5E60">
      <w:headerReference w:type="default" r:id="rId9"/>
      <w:footerReference w:type="default" r:id="rId10"/>
      <w:headerReference w:type="first" r:id="rId11"/>
      <w:footerReference w:type="first" r:id="rId12"/>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73" w:rsidRDefault="00A27673">
      <w:r>
        <w:separator/>
      </w:r>
    </w:p>
  </w:endnote>
  <w:endnote w:type="continuationSeparator" w:id="0">
    <w:p w:rsidR="00A27673" w:rsidRDefault="00A2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60" w:rsidRDefault="00EC5E60">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60" w:rsidRDefault="00EC5E6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73" w:rsidRDefault="00A27673">
      <w:r>
        <w:separator/>
      </w:r>
    </w:p>
  </w:footnote>
  <w:footnote w:type="continuationSeparator" w:id="0">
    <w:p w:rsidR="00A27673" w:rsidRDefault="00A27673">
      <w:r>
        <w:continuationSeparator/>
      </w:r>
    </w:p>
  </w:footnote>
  <w:footnote w:type="continuationNotice" w:id="1">
    <w:p w:rsidR="00A27673" w:rsidRDefault="00A27673"/>
  </w:footnote>
  <w:footnote w:id="2">
    <w:p w:rsidR="00EC5E60" w:rsidRPr="0006403D" w:rsidRDefault="0033534F">
      <w:pPr>
        <w:pStyle w:val="BodyC"/>
        <w:rPr>
          <w:rFonts w:ascii="Arial" w:hAnsi="Arial" w:cs="Arial"/>
        </w:rPr>
      </w:pPr>
      <w:r w:rsidRPr="0006403D">
        <w:rPr>
          <w:rFonts w:ascii="Arial" w:eastAsia="Helvetica Neue" w:hAnsi="Arial" w:cs="Arial"/>
          <w:sz w:val="18"/>
          <w:szCs w:val="18"/>
          <w:vertAlign w:val="superscript"/>
        </w:rPr>
        <w:footnoteRef/>
      </w:r>
      <w:r w:rsidRPr="0006403D">
        <w:rPr>
          <w:rFonts w:ascii="Arial" w:hAnsi="Arial" w:cs="Arial"/>
          <w:sz w:val="18"/>
          <w:szCs w:val="18"/>
        </w:rPr>
        <w:t xml:space="preserve"> Act 10 of 2013</w:t>
      </w:r>
      <w:r w:rsidR="0006403D">
        <w:rPr>
          <w:rFonts w:ascii="Arial" w:hAnsi="Arial" w:cs="Arial"/>
          <w:sz w:val="18"/>
          <w:szCs w:val="18"/>
        </w:rPr>
        <w:t>.</w:t>
      </w:r>
    </w:p>
  </w:footnote>
  <w:footnote w:id="3">
    <w:p w:rsidR="00EC5E60" w:rsidRPr="0006403D" w:rsidRDefault="0033534F" w:rsidP="0006403D">
      <w:pPr>
        <w:pStyle w:val="BodyC"/>
        <w:jc w:val="both"/>
        <w:rPr>
          <w:rFonts w:ascii="Arial" w:hAnsi="Arial" w:cs="Arial"/>
        </w:rPr>
      </w:pPr>
      <w:r w:rsidRPr="0006403D">
        <w:rPr>
          <w:rFonts w:ascii="Arial" w:eastAsia="Helvetica Neue" w:hAnsi="Arial" w:cs="Arial"/>
          <w:sz w:val="18"/>
          <w:szCs w:val="18"/>
          <w:vertAlign w:val="superscript"/>
        </w:rPr>
        <w:footnoteRef/>
      </w:r>
      <w:r w:rsidRPr="0006403D">
        <w:rPr>
          <w:rFonts w:ascii="Arial" w:hAnsi="Arial" w:cs="Arial"/>
          <w:sz w:val="18"/>
          <w:szCs w:val="18"/>
        </w:rPr>
        <w:t xml:space="preserve"> (475/10) [2011] ZASCA 15; 2012 (1) SACR 567 (SCA) (15 March 2011), paragraph 7</w:t>
      </w:r>
      <w:r w:rsidR="0006403D">
        <w:rPr>
          <w:rFonts w:ascii="Arial" w:hAnsi="Arial" w:cs="Arial"/>
          <w:sz w:val="18"/>
          <w:szCs w:val="18"/>
        </w:rPr>
        <w:t>.</w:t>
      </w:r>
    </w:p>
  </w:footnote>
  <w:footnote w:id="4">
    <w:p w:rsidR="00EC5E60" w:rsidRDefault="0033534F" w:rsidP="0006403D">
      <w:pPr>
        <w:pStyle w:val="BodyC"/>
        <w:jc w:val="both"/>
      </w:pPr>
      <w:r w:rsidRPr="0006403D">
        <w:rPr>
          <w:rFonts w:ascii="Arial" w:eastAsia="Helvetica Neue" w:hAnsi="Arial" w:cs="Arial"/>
          <w:sz w:val="18"/>
          <w:szCs w:val="18"/>
          <w:vertAlign w:val="superscript"/>
        </w:rPr>
        <w:footnoteRef/>
      </w:r>
      <w:r w:rsidRPr="0006403D">
        <w:rPr>
          <w:rFonts w:ascii="Arial" w:hAnsi="Arial" w:cs="Arial"/>
          <w:sz w:val="18"/>
          <w:szCs w:val="18"/>
        </w:rPr>
        <w:t xml:space="preserve"> (724/2019) [2021] ZASCA 31 (31 March 2021), paragraph 10</w:t>
      </w:r>
      <w:r w:rsidR="0006403D">
        <w:rPr>
          <w:rFonts w:ascii="Arial" w:hAnsi="Arial" w:cs="Arial"/>
          <w:sz w:val="18"/>
          <w:szCs w:val="18"/>
        </w:rPr>
        <w:t>.</w:t>
      </w:r>
    </w:p>
  </w:footnote>
  <w:footnote w:id="5">
    <w:p w:rsidR="00EC5E60" w:rsidRPr="0006403D" w:rsidRDefault="0033534F">
      <w:pPr>
        <w:pStyle w:val="BodyC"/>
        <w:rPr>
          <w:rFonts w:ascii="Arial" w:hAnsi="Arial" w:cs="Arial"/>
        </w:rPr>
      </w:pPr>
      <w:r w:rsidRPr="0006403D">
        <w:rPr>
          <w:rFonts w:ascii="Arial" w:eastAsia="Helvetica Neue" w:hAnsi="Arial" w:cs="Arial"/>
          <w:sz w:val="18"/>
          <w:szCs w:val="18"/>
          <w:vertAlign w:val="superscript"/>
        </w:rPr>
        <w:footnoteRef/>
      </w:r>
      <w:r w:rsidRPr="0006403D">
        <w:rPr>
          <w:rFonts w:ascii="Arial" w:hAnsi="Arial" w:cs="Arial"/>
          <w:sz w:val="18"/>
          <w:szCs w:val="18"/>
        </w:rPr>
        <w:t xml:space="preserve"> (CCT 62/14) [2014] ZACC 38; 2015 (3) BCLR 358 (CC); 2015 (3) SA 1 (CC); (2015) 36 ILJ 583 (CC) (19 December 2014), paragraphs 44-45</w:t>
      </w:r>
      <w:r w:rsidR="0006403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60" w:rsidRDefault="0033534F">
    <w:pPr>
      <w:pStyle w:val="Header"/>
      <w:tabs>
        <w:tab w:val="clear" w:pos="9360"/>
        <w:tab w:val="right" w:pos="9340"/>
      </w:tabs>
      <w:jc w:val="right"/>
    </w:pPr>
    <w:r>
      <w:t xml:space="preserve">Page </w:t>
    </w:r>
    <w:r>
      <w:fldChar w:fldCharType="begin"/>
    </w:r>
    <w:r>
      <w:instrText xml:space="preserve"> PAGE </w:instrText>
    </w:r>
    <w:r>
      <w:fldChar w:fldCharType="separate"/>
    </w:r>
    <w:r w:rsidR="00D23CA3">
      <w:rPr>
        <w:noProof/>
      </w:rPr>
      <w:t>7</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E60" w:rsidRDefault="00EC5E60">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405"/>
    <w:multiLevelType w:val="hybridMultilevel"/>
    <w:tmpl w:val="11A41B26"/>
    <w:numStyleLink w:val="Lettered"/>
  </w:abstractNum>
  <w:abstractNum w:abstractNumId="1" w15:restartNumberingAfterBreak="0">
    <w:nsid w:val="22B25200"/>
    <w:multiLevelType w:val="hybridMultilevel"/>
    <w:tmpl w:val="11A41B26"/>
    <w:styleLink w:val="Lettered"/>
    <w:lvl w:ilvl="0" w:tplc="01F681FA">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F9B062BA">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0D584A04">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D5105494">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4726FBDA">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953ED1DE">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B5A877B0">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1C7295F0">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ADECC7CC">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3A2EDC"/>
    <w:multiLevelType w:val="hybridMultilevel"/>
    <w:tmpl w:val="FA100340"/>
    <w:numStyleLink w:val="Numbered"/>
  </w:abstractNum>
  <w:abstractNum w:abstractNumId="3" w15:restartNumberingAfterBreak="0">
    <w:nsid w:val="42C70435"/>
    <w:multiLevelType w:val="hybridMultilevel"/>
    <w:tmpl w:val="3564C3AC"/>
    <w:lvl w:ilvl="0" w:tplc="4EF8FA6A">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75662E28">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09148EE4">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22D8FCC6">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FBD81522">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204A432A">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23584AD8">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AE92C988">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E006E954">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F1B2372"/>
    <w:multiLevelType w:val="hybridMultilevel"/>
    <w:tmpl w:val="FA100340"/>
    <w:styleLink w:val="Numbered"/>
    <w:lvl w:ilvl="0" w:tplc="2072FD9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78DEA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19E3EA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746E2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A4031B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DCC9B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23D64FB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E08DD8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B94462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60"/>
    <w:rsid w:val="0006403D"/>
    <w:rsid w:val="001947C0"/>
    <w:rsid w:val="0033534F"/>
    <w:rsid w:val="008029B2"/>
    <w:rsid w:val="00A27673"/>
    <w:rsid w:val="00AF11BF"/>
    <w:rsid w:val="00D23CA3"/>
    <w:rsid w:val="00EC5E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AD7E-9722-4E62-ABB7-20A758B1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numbering" w:customStyle="1" w:styleId="Lettered">
    <w:name w:val="Lettered"/>
    <w:pPr>
      <w:numPr>
        <w:numId w:val="2"/>
      </w:numPr>
    </w:pPr>
  </w:style>
  <w:style w:type="numbering" w:customStyle="1" w:styleId="Numbered">
    <w:name w:val="Numbered"/>
    <w:pPr>
      <w:numPr>
        <w:numId w:val="4"/>
      </w:numPr>
    </w:p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Mary Bruce</cp:lastModifiedBy>
  <cp:revision>3</cp:revision>
  <dcterms:created xsi:type="dcterms:W3CDTF">2023-07-27T13:22:00Z</dcterms:created>
  <dcterms:modified xsi:type="dcterms:W3CDTF">2023-08-06T15:35:00Z</dcterms:modified>
</cp:coreProperties>
</file>