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3AD9" w14:textId="77777777" w:rsidR="000213E7" w:rsidRPr="00361BEB" w:rsidRDefault="000213E7" w:rsidP="000213E7">
      <w:pPr>
        <w:spacing w:after="120" w:line="240" w:lineRule="auto"/>
        <w:jc w:val="center"/>
        <w:rPr>
          <w:rFonts w:cs="Times New Roman"/>
          <w:b/>
          <w:bCs/>
          <w:color w:val="000000" w:themeColor="text1"/>
          <w:sz w:val="26"/>
          <w:szCs w:val="26"/>
        </w:rPr>
      </w:pPr>
      <w:bookmarkStart w:id="0" w:name="_GoBack"/>
      <w:bookmarkEnd w:id="0"/>
      <w:r w:rsidRPr="00361BEB">
        <w:rPr>
          <w:rFonts w:cs="Times New Roman"/>
          <w:b/>
          <w:bCs/>
          <w:color w:val="000000" w:themeColor="text1"/>
          <w:sz w:val="26"/>
          <w:szCs w:val="26"/>
        </w:rPr>
        <w:t>REPUBLIC OF SOUTH AFRICA</w:t>
      </w:r>
    </w:p>
    <w:p w14:paraId="385664C2" w14:textId="77777777" w:rsidR="000213E7" w:rsidRPr="00361BEB" w:rsidRDefault="000213E7" w:rsidP="000213E7">
      <w:pPr>
        <w:spacing w:after="120" w:line="240" w:lineRule="auto"/>
        <w:jc w:val="center"/>
        <w:rPr>
          <w:rFonts w:cs="Times New Roman"/>
          <w:b/>
          <w:bCs/>
          <w:color w:val="000000" w:themeColor="text1"/>
          <w:sz w:val="26"/>
          <w:szCs w:val="26"/>
        </w:rPr>
      </w:pPr>
      <w:r w:rsidRPr="00361BEB">
        <w:rPr>
          <w:rFonts w:cs="Times New Roman"/>
          <w:b/>
          <w:noProof/>
          <w:color w:val="000000" w:themeColor="text1"/>
          <w:szCs w:val="26"/>
          <w:lang w:eastAsia="en-ZA"/>
        </w:rPr>
        <w:drawing>
          <wp:inline distT="0" distB="0" distL="0" distR="0" wp14:anchorId="691018BD" wp14:editId="299206BE">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65643CB8" w14:textId="77777777" w:rsidR="000213E7" w:rsidRPr="00361BEB" w:rsidRDefault="000213E7" w:rsidP="00C63398">
      <w:pPr>
        <w:spacing w:after="0" w:line="240" w:lineRule="auto"/>
        <w:jc w:val="center"/>
        <w:rPr>
          <w:rFonts w:cs="Times New Roman"/>
          <w:b/>
          <w:bCs/>
          <w:color w:val="000000" w:themeColor="text1"/>
          <w:sz w:val="26"/>
          <w:szCs w:val="26"/>
        </w:rPr>
      </w:pPr>
      <w:r w:rsidRPr="00361BEB">
        <w:rPr>
          <w:rFonts w:cs="Times New Roman"/>
          <w:b/>
          <w:bCs/>
          <w:color w:val="000000" w:themeColor="text1"/>
          <w:sz w:val="26"/>
          <w:szCs w:val="26"/>
        </w:rPr>
        <w:t>IN THE HIGH COURT OF SOUTH AFRICA</w:t>
      </w:r>
    </w:p>
    <w:p w14:paraId="517A3B4E" w14:textId="77777777" w:rsidR="000213E7" w:rsidRDefault="000213E7" w:rsidP="00C63398">
      <w:pPr>
        <w:spacing w:after="0" w:line="240" w:lineRule="auto"/>
        <w:jc w:val="center"/>
        <w:rPr>
          <w:rFonts w:cs="Times New Roman"/>
          <w:b/>
          <w:bCs/>
          <w:color w:val="000000" w:themeColor="text1"/>
          <w:sz w:val="26"/>
          <w:szCs w:val="26"/>
        </w:rPr>
      </w:pPr>
      <w:r w:rsidRPr="00361BEB">
        <w:rPr>
          <w:rFonts w:cs="Times New Roman"/>
          <w:b/>
          <w:bCs/>
          <w:color w:val="000000" w:themeColor="text1"/>
          <w:sz w:val="26"/>
          <w:szCs w:val="26"/>
        </w:rPr>
        <w:t>GAUTENG DIVISION, PRETORIA</w:t>
      </w:r>
    </w:p>
    <w:p w14:paraId="1DDD8893" w14:textId="77777777" w:rsidR="00D52593" w:rsidRPr="00361BEB" w:rsidRDefault="00D52593" w:rsidP="00C63398">
      <w:pPr>
        <w:spacing w:after="0" w:line="240" w:lineRule="auto"/>
        <w:jc w:val="center"/>
        <w:rPr>
          <w:rFonts w:cs="Times New Roman"/>
          <w:color w:val="000000" w:themeColor="text1"/>
          <w:sz w:val="26"/>
          <w:szCs w:val="26"/>
        </w:rPr>
      </w:pPr>
    </w:p>
    <w:p w14:paraId="5941FEB8" w14:textId="77777777" w:rsidR="000213E7" w:rsidRPr="00361BEB" w:rsidRDefault="000213E7" w:rsidP="000213E7">
      <w:pPr>
        <w:tabs>
          <w:tab w:val="right" w:pos="9360"/>
        </w:tabs>
        <w:spacing w:before="240" w:line="360" w:lineRule="auto"/>
        <w:rPr>
          <w:rFonts w:cs="Times New Roman"/>
          <w:color w:val="000000" w:themeColor="text1"/>
          <w:sz w:val="26"/>
          <w:szCs w:val="26"/>
        </w:rPr>
      </w:pPr>
      <w:r w:rsidRPr="006D15F7">
        <w:rPr>
          <w:rFonts w:ascii="Arial" w:eastAsia="Times New Roman" w:hAnsi="Arial" w:cs="Arial"/>
          <w:noProof/>
          <w:sz w:val="24"/>
          <w:szCs w:val="24"/>
          <w:u w:val="single"/>
          <w:lang w:eastAsia="en-ZA"/>
        </w:rPr>
        <mc:AlternateContent>
          <mc:Choice Requires="wps">
            <w:drawing>
              <wp:anchor distT="0" distB="0" distL="0" distR="0" simplePos="0" relativeHeight="251659264" behindDoc="0" locked="0" layoutInCell="1" allowOverlap="1" wp14:anchorId="62197911" wp14:editId="06467D69">
                <wp:simplePos x="0" y="0"/>
                <wp:positionH relativeFrom="margin">
                  <wp:posOffset>55033</wp:posOffset>
                </wp:positionH>
                <wp:positionV relativeFrom="paragraph">
                  <wp:posOffset>82338</wp:posOffset>
                </wp:positionV>
                <wp:extent cx="2582334" cy="1126067"/>
                <wp:effectExtent l="0" t="0" r="27940" b="17145"/>
                <wp:wrapNone/>
                <wp:docPr id="4" name="Text Box 1"/>
                <wp:cNvGraphicFramePr/>
                <a:graphic xmlns:a="http://schemas.openxmlformats.org/drawingml/2006/main">
                  <a:graphicData uri="http://schemas.microsoft.com/office/word/2010/wordprocessingShape">
                    <wps:wsp>
                      <wps:cNvSpPr/>
                      <wps:spPr>
                        <a:xfrm>
                          <a:off x="0" y="0"/>
                          <a:ext cx="2582334" cy="1126067"/>
                        </a:xfrm>
                        <a:prstGeom prst="rect">
                          <a:avLst/>
                        </a:prstGeom>
                        <a:solidFill>
                          <a:srgbClr val="FFFFFF"/>
                        </a:solidFill>
                        <a:ln w="9360">
                          <a:solidFill>
                            <a:srgbClr val="000000"/>
                          </a:solidFill>
                          <a:miter/>
                        </a:ln>
                        <a:effectLst/>
                      </wps:spPr>
                      <wps:txbx>
                        <w:txbxContent>
                          <w:p w14:paraId="16CDCC0F" w14:textId="01B7B099" w:rsidR="000213E7" w:rsidRPr="00766C97" w:rsidRDefault="004200A4" w:rsidP="004200A4">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(1)</w:t>
                            </w:r>
                            <w:r w:rsidRPr="00766C97">
                              <w:rPr>
                                <w:rFonts w:cs="Times New Roman"/>
                                <w:sz w:val="16"/>
                                <w:szCs w:val="16"/>
                              </w:rPr>
                              <w:tab/>
                            </w:r>
                            <w:r w:rsidR="000213E7" w:rsidRPr="00766C97">
                              <w:rPr>
                                <w:rFonts w:cs="Times New Roman"/>
                                <w:color w:val="000000"/>
                                <w:sz w:val="18"/>
                                <w:szCs w:val="18"/>
                              </w:rPr>
                              <w:t>REPORTABLE: NO</w:t>
                            </w:r>
                          </w:p>
                          <w:p w14:paraId="701A19A3" w14:textId="55F060A0" w:rsidR="000213E7" w:rsidRPr="00766C97" w:rsidRDefault="004200A4" w:rsidP="004200A4">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(2)</w:t>
                            </w:r>
                            <w:r w:rsidRPr="00766C97">
                              <w:rPr>
                                <w:rFonts w:cs="Times New Roman"/>
                                <w:sz w:val="16"/>
                                <w:szCs w:val="16"/>
                              </w:rPr>
                              <w:tab/>
                            </w:r>
                            <w:r w:rsidR="000213E7" w:rsidRPr="00766C97">
                              <w:rPr>
                                <w:rFonts w:cs="Times New Roman"/>
                                <w:color w:val="000000"/>
                                <w:sz w:val="18"/>
                                <w:szCs w:val="18"/>
                              </w:rPr>
                              <w:t>OF INTEREST TO OTHER JUDGES: NO</w:t>
                            </w:r>
                          </w:p>
                          <w:p w14:paraId="34567947" w14:textId="3340BF1C" w:rsidR="000213E7" w:rsidRPr="00766C97" w:rsidRDefault="004200A4" w:rsidP="004200A4">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(3)</w:t>
                            </w:r>
                            <w:r w:rsidRPr="00766C97">
                              <w:rPr>
                                <w:rFonts w:cs="Times New Roman"/>
                                <w:sz w:val="16"/>
                                <w:szCs w:val="16"/>
                              </w:rPr>
                              <w:tab/>
                            </w:r>
                            <w:r w:rsidR="000213E7" w:rsidRPr="00766C97">
                              <w:rPr>
                                <w:rFonts w:cs="Times New Roman"/>
                                <w:color w:val="000000"/>
                                <w:sz w:val="18"/>
                                <w:szCs w:val="18"/>
                              </w:rPr>
                              <w:t xml:space="preserve">REVISED. </w:t>
                            </w:r>
                          </w:p>
                          <w:p w14:paraId="74776465" w14:textId="77777777" w:rsidR="000213E7" w:rsidRPr="00766C97" w:rsidRDefault="000213E7" w:rsidP="000213E7">
                            <w:pPr>
                              <w:pStyle w:val="FrameContents"/>
                              <w:spacing w:after="0" w:line="168" w:lineRule="auto"/>
                              <w:ind w:left="900"/>
                              <w:rPr>
                                <w:rFonts w:cs="Times New Roman"/>
                              </w:rPr>
                            </w:pPr>
                          </w:p>
                          <w:p w14:paraId="7DCE7F64" w14:textId="4ED4966B" w:rsidR="0016296A" w:rsidRDefault="000213E7" w:rsidP="0016296A">
                            <w:pPr>
                              <w:pStyle w:val="FrameContents"/>
                              <w:spacing w:after="0" w:line="168" w:lineRule="auto"/>
                              <w:rPr>
                                <w:rFonts w:ascii="Century Gothic" w:hAnsi="Century Gothic"/>
                                <w:b/>
                                <w:color w:val="000000"/>
                                <w:sz w:val="18"/>
                                <w:szCs w:val="18"/>
                              </w:rPr>
                            </w:pPr>
                            <w:r>
                              <w:rPr>
                                <w:rFonts w:ascii="Century Gothic" w:hAnsi="Century Gothic"/>
                                <w:b/>
                                <w:color w:val="000000"/>
                                <w:sz w:val="18"/>
                                <w:szCs w:val="18"/>
                              </w:rPr>
                              <w:t xml:space="preserve"> </w:t>
                            </w:r>
                          </w:p>
                          <w:p w14:paraId="2BD4077A" w14:textId="77777777" w:rsidR="004429F5" w:rsidRDefault="004429F5" w:rsidP="0016296A">
                            <w:pPr>
                              <w:pStyle w:val="FrameContents"/>
                              <w:spacing w:after="0" w:line="168" w:lineRule="auto"/>
                              <w:rPr>
                                <w:rFonts w:cs="Times New Roman"/>
                                <w:b/>
                              </w:rPr>
                            </w:pPr>
                          </w:p>
                          <w:p w14:paraId="14D5D311" w14:textId="24CE0AC3" w:rsidR="000213E7" w:rsidRPr="00B4274D" w:rsidRDefault="004429F5" w:rsidP="0016296A">
                            <w:pPr>
                              <w:pStyle w:val="FrameContents"/>
                              <w:spacing w:after="0" w:line="240" w:lineRule="auto"/>
                              <w:ind w:left="180"/>
                              <w:rPr>
                                <w:rFonts w:cs="Times New Roman"/>
                                <w:b/>
                              </w:rPr>
                            </w:pPr>
                            <w:r>
                              <w:rPr>
                                <w:rFonts w:cs="Times New Roman"/>
                                <w:b/>
                              </w:rPr>
                              <w:t>28</w:t>
                            </w:r>
                            <w:r w:rsidR="0016296A">
                              <w:rPr>
                                <w:rFonts w:cs="Times New Roman"/>
                                <w:b/>
                              </w:rPr>
                              <w:t xml:space="preserve"> July </w:t>
                            </w:r>
                            <w:r w:rsidR="000213E7">
                              <w:rPr>
                                <w:rFonts w:cs="Times New Roman"/>
                                <w:b/>
                              </w:rPr>
                              <w:t>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197911" id="Text Box 1" o:spid="_x0000_s1026" style="position:absolute;margin-left:4.35pt;margin-top:6.5pt;width:203.35pt;height:88.6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" strokeweight=".26mm">
                <v:textbox>
                  <w:txbxContent>
                    <w:p w14:paraId="16CDCC0F" w14:textId="01B7B099" w:rsidR="000213E7" w:rsidRPr="00766C97" w:rsidRDefault="004200A4" w:rsidP="004200A4">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(1)</w:t>
                      </w:r>
                      <w:r w:rsidRPr="00766C97">
                        <w:rPr>
                          <w:rFonts w:cs="Times New Roman"/>
                          <w:sz w:val="16"/>
                          <w:szCs w:val="16"/>
                        </w:rPr>
                        <w:tab/>
                      </w:r>
                      <w:r w:rsidR="000213E7" w:rsidRPr="00766C97">
                        <w:rPr>
                          <w:rFonts w:cs="Times New Roman"/>
                          <w:color w:val="000000"/>
                          <w:sz w:val="18"/>
                          <w:szCs w:val="18"/>
                        </w:rPr>
                        <w:t>REPORTABLE: NO</w:t>
                      </w:r>
                    </w:p>
                    <w:p w14:paraId="701A19A3" w14:textId="55F060A0" w:rsidR="000213E7" w:rsidRPr="00766C97" w:rsidRDefault="004200A4" w:rsidP="004200A4">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(2)</w:t>
                      </w:r>
                      <w:r w:rsidRPr="00766C97">
                        <w:rPr>
                          <w:rFonts w:cs="Times New Roman"/>
                          <w:sz w:val="16"/>
                          <w:szCs w:val="16"/>
                        </w:rPr>
                        <w:tab/>
                      </w:r>
                      <w:r w:rsidR="000213E7" w:rsidRPr="00766C97">
                        <w:rPr>
                          <w:rFonts w:cs="Times New Roman"/>
                          <w:color w:val="000000"/>
                          <w:sz w:val="18"/>
                          <w:szCs w:val="18"/>
                        </w:rPr>
                        <w:t>OF INTEREST TO OTHER JUDGES: NO</w:t>
                      </w:r>
                    </w:p>
                    <w:p w14:paraId="34567947" w14:textId="3340BF1C" w:rsidR="000213E7" w:rsidRPr="00766C97" w:rsidRDefault="004200A4" w:rsidP="004200A4">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(3)</w:t>
                      </w:r>
                      <w:r w:rsidRPr="00766C97">
                        <w:rPr>
                          <w:rFonts w:cs="Times New Roman"/>
                          <w:sz w:val="16"/>
                          <w:szCs w:val="16"/>
                        </w:rPr>
                        <w:tab/>
                      </w:r>
                      <w:r w:rsidR="000213E7" w:rsidRPr="00766C97">
                        <w:rPr>
                          <w:rFonts w:cs="Times New Roman"/>
                          <w:color w:val="000000"/>
                          <w:sz w:val="18"/>
                          <w:szCs w:val="18"/>
                        </w:rPr>
                        <w:t xml:space="preserve">REVISED. </w:t>
                      </w:r>
                    </w:p>
                    <w:p w14:paraId="74776465" w14:textId="77777777" w:rsidR="000213E7" w:rsidRPr="00766C97" w:rsidRDefault="000213E7" w:rsidP="000213E7">
                      <w:pPr>
                        <w:pStyle w:val="FrameContents"/>
                        <w:spacing w:after="0" w:line="168" w:lineRule="auto"/>
                        <w:ind w:left="900"/>
                        <w:rPr>
                          <w:rFonts w:cs="Times New Roman"/>
                        </w:rPr>
                      </w:pPr>
                    </w:p>
                    <w:p w14:paraId="7DCE7F64" w14:textId="4ED4966B" w:rsidR="0016296A" w:rsidRDefault="000213E7" w:rsidP="0016296A">
                      <w:pPr>
                        <w:pStyle w:val="FrameContents"/>
                        <w:spacing w:after="0" w:line="168" w:lineRule="auto"/>
                        <w:rPr>
                          <w:rFonts w:ascii="Century Gothic" w:hAnsi="Century Gothic"/>
                          <w:b/>
                          <w:color w:val="000000"/>
                          <w:sz w:val="18"/>
                          <w:szCs w:val="18"/>
                        </w:rPr>
                      </w:pPr>
                      <w:r>
                        <w:rPr>
                          <w:rFonts w:ascii="Century Gothic" w:hAnsi="Century Gothic"/>
                          <w:b/>
                          <w:color w:val="000000"/>
                          <w:sz w:val="18"/>
                          <w:szCs w:val="18"/>
                        </w:rPr>
                        <w:t xml:space="preserve"> </w:t>
                      </w:r>
                    </w:p>
                    <w:p w14:paraId="2BD4077A" w14:textId="77777777" w:rsidR="004429F5" w:rsidRDefault="004429F5" w:rsidP="0016296A">
                      <w:pPr>
                        <w:pStyle w:val="FrameContents"/>
                        <w:spacing w:after="0" w:line="168" w:lineRule="auto"/>
                        <w:rPr>
                          <w:rFonts w:cs="Times New Roman"/>
                          <w:b/>
                        </w:rPr>
                      </w:pPr>
                    </w:p>
                    <w:p w14:paraId="14D5D311" w14:textId="24CE0AC3" w:rsidR="000213E7" w:rsidRPr="00B4274D" w:rsidRDefault="004429F5" w:rsidP="0016296A">
                      <w:pPr>
                        <w:pStyle w:val="FrameContents"/>
                        <w:spacing w:after="0" w:line="240" w:lineRule="auto"/>
                        <w:ind w:left="180"/>
                        <w:rPr>
                          <w:rFonts w:cs="Times New Roman"/>
                          <w:b/>
                        </w:rPr>
                      </w:pPr>
                      <w:r>
                        <w:rPr>
                          <w:rFonts w:cs="Times New Roman"/>
                          <w:b/>
                        </w:rPr>
                        <w:t>28</w:t>
                      </w:r>
                      <w:r w:rsidR="0016296A">
                        <w:rPr>
                          <w:rFonts w:cs="Times New Roman"/>
                          <w:b/>
                        </w:rPr>
                        <w:t xml:space="preserve"> July </w:t>
                      </w:r>
                      <w:r w:rsidR="000213E7">
                        <w:rPr>
                          <w:rFonts w:cs="Times New Roman"/>
                          <w:b/>
                        </w:rPr>
                        <w:t>2023</w:t>
                      </w:r>
                    </w:p>
                  </w:txbxContent>
                </v:textbox>
                <w10:wrap anchorx="margin"/>
              </v:rect>
            </w:pict>
          </mc:Fallback>
        </mc:AlternateContent>
      </w:r>
    </w:p>
    <w:p w14:paraId="4985061D" w14:textId="77777777" w:rsidR="000213E7" w:rsidRDefault="000213E7" w:rsidP="000213E7">
      <w:pPr>
        <w:tabs>
          <w:tab w:val="right" w:pos="9360"/>
        </w:tabs>
        <w:spacing w:after="0" w:line="360" w:lineRule="auto"/>
        <w:rPr>
          <w:rFonts w:cs="Times New Roman"/>
          <w:color w:val="000000" w:themeColor="text1"/>
          <w:sz w:val="26"/>
          <w:szCs w:val="26"/>
        </w:rPr>
      </w:pPr>
    </w:p>
    <w:p w14:paraId="4D860985" w14:textId="3AACFAB8" w:rsidR="002A47E8" w:rsidRPr="00541265" w:rsidRDefault="002A47E8" w:rsidP="002A47E8">
      <w:pPr>
        <w:spacing w:before="240" w:line="480" w:lineRule="auto"/>
        <w:jc w:val="right"/>
        <w:rPr>
          <w:rFonts w:cs="Times New Roman"/>
          <w:sz w:val="26"/>
          <w:szCs w:val="26"/>
          <w:lang w:val="en-GB"/>
        </w:rPr>
      </w:pPr>
      <w:r w:rsidRPr="00541265">
        <w:rPr>
          <w:rFonts w:cs="Times New Roman"/>
          <w:sz w:val="26"/>
          <w:szCs w:val="26"/>
          <w:lang w:val="en-GB"/>
        </w:rPr>
        <w:t xml:space="preserve">Case No: </w:t>
      </w:r>
      <w:r w:rsidR="00875CF4">
        <w:rPr>
          <w:rFonts w:cs="Times New Roman"/>
          <w:sz w:val="26"/>
          <w:szCs w:val="26"/>
          <w:lang w:val="en-GB"/>
        </w:rPr>
        <w:t>15695</w:t>
      </w:r>
      <w:r w:rsidR="00072079">
        <w:rPr>
          <w:rFonts w:cs="Times New Roman"/>
          <w:sz w:val="26"/>
          <w:szCs w:val="26"/>
          <w:lang w:val="en-GB"/>
        </w:rPr>
        <w:t>/22</w:t>
      </w:r>
    </w:p>
    <w:p w14:paraId="1837F428" w14:textId="5AE1FC20" w:rsidR="002A47E8" w:rsidRPr="00541265" w:rsidRDefault="002A47E8" w:rsidP="002A47E8">
      <w:pPr>
        <w:spacing w:before="240" w:line="480" w:lineRule="auto"/>
        <w:rPr>
          <w:rFonts w:cs="Times New Roman"/>
          <w:sz w:val="26"/>
          <w:szCs w:val="26"/>
          <w:lang w:val="en-GB"/>
        </w:rPr>
      </w:pPr>
      <w:r w:rsidRPr="00541265">
        <w:rPr>
          <w:rFonts w:cs="Times New Roman"/>
          <w:sz w:val="26"/>
          <w:szCs w:val="26"/>
          <w:lang w:val="en-GB"/>
        </w:rPr>
        <w:t>In the matter between:</w:t>
      </w:r>
    </w:p>
    <w:p w14:paraId="45475371" w14:textId="320364A2" w:rsidR="002A47E8" w:rsidRDefault="001C3FE9" w:rsidP="00F72B10">
      <w:pPr>
        <w:tabs>
          <w:tab w:val="right" w:pos="9026"/>
        </w:tabs>
        <w:spacing w:before="120" w:after="120" w:line="240" w:lineRule="auto"/>
        <w:rPr>
          <w:rFonts w:cs="Times New Roman"/>
          <w:sz w:val="26"/>
          <w:szCs w:val="26"/>
          <w:lang w:val="en-GB"/>
        </w:rPr>
      </w:pPr>
      <w:r>
        <w:rPr>
          <w:rFonts w:cs="Times New Roman"/>
          <w:b/>
          <w:bCs/>
          <w:sz w:val="26"/>
          <w:szCs w:val="26"/>
          <w:lang w:val="en-GB"/>
        </w:rPr>
        <w:t>STEPHANUS CORNELIUS VERCUEIL N.O</w:t>
      </w:r>
      <w:r w:rsidR="00F72B10">
        <w:rPr>
          <w:rFonts w:cs="Times New Roman"/>
          <w:b/>
          <w:bCs/>
          <w:sz w:val="26"/>
          <w:szCs w:val="26"/>
          <w:lang w:val="en-GB"/>
        </w:rPr>
        <w:t>.</w:t>
      </w:r>
      <w:r>
        <w:rPr>
          <w:rFonts w:cs="Times New Roman"/>
          <w:b/>
          <w:bCs/>
          <w:sz w:val="26"/>
          <w:szCs w:val="26"/>
          <w:lang w:val="en-GB"/>
        </w:rPr>
        <w:tab/>
      </w:r>
      <w:r w:rsidRPr="001C3FE9">
        <w:rPr>
          <w:rFonts w:cs="Times New Roman"/>
          <w:sz w:val="26"/>
          <w:szCs w:val="26"/>
          <w:lang w:val="en-GB"/>
        </w:rPr>
        <w:t>Applicant</w:t>
      </w:r>
    </w:p>
    <w:p w14:paraId="4958C6BA" w14:textId="02CA85C2" w:rsidR="00F72B10" w:rsidRDefault="00F72B10" w:rsidP="00F72B10">
      <w:pPr>
        <w:tabs>
          <w:tab w:val="right" w:pos="9026"/>
        </w:tabs>
        <w:spacing w:before="120" w:after="120" w:line="240" w:lineRule="auto"/>
        <w:rPr>
          <w:rFonts w:cs="Times New Roman"/>
          <w:sz w:val="26"/>
          <w:szCs w:val="26"/>
          <w:lang w:val="en-GB"/>
        </w:rPr>
      </w:pPr>
      <w:r>
        <w:rPr>
          <w:rFonts w:cs="Times New Roman"/>
          <w:sz w:val="26"/>
          <w:szCs w:val="26"/>
          <w:lang w:val="en-GB"/>
        </w:rPr>
        <w:t>(In his official capacity as Trustee of the JC Trust</w:t>
      </w:r>
    </w:p>
    <w:p w14:paraId="4DF41B49" w14:textId="63C9064B" w:rsidR="00F72B10" w:rsidRPr="00541265" w:rsidRDefault="00F72B10" w:rsidP="00F72B10">
      <w:pPr>
        <w:tabs>
          <w:tab w:val="right" w:pos="9026"/>
        </w:tabs>
        <w:spacing w:before="120" w:after="120" w:line="240" w:lineRule="auto"/>
        <w:rPr>
          <w:rFonts w:cs="Times New Roman"/>
          <w:sz w:val="26"/>
          <w:szCs w:val="26"/>
          <w:lang w:val="en-GB"/>
        </w:rPr>
      </w:pPr>
      <w:r>
        <w:rPr>
          <w:rFonts w:cs="Times New Roman"/>
          <w:sz w:val="26"/>
          <w:szCs w:val="26"/>
          <w:lang w:val="en-GB"/>
        </w:rPr>
        <w:t>[IT9951/2004])</w:t>
      </w:r>
    </w:p>
    <w:p w14:paraId="3946D61A" w14:textId="34BA9AE9" w:rsidR="002A47E8" w:rsidRPr="00541265" w:rsidRDefault="002A47E8" w:rsidP="002A47E8">
      <w:pPr>
        <w:tabs>
          <w:tab w:val="right" w:pos="9026"/>
        </w:tabs>
        <w:spacing w:before="240" w:line="480" w:lineRule="auto"/>
        <w:rPr>
          <w:rFonts w:cs="Times New Roman"/>
          <w:sz w:val="26"/>
          <w:szCs w:val="26"/>
          <w:lang w:val="en-GB"/>
        </w:rPr>
      </w:pPr>
      <w:r w:rsidRPr="00541265">
        <w:rPr>
          <w:rFonts w:cs="Times New Roman"/>
          <w:sz w:val="26"/>
          <w:szCs w:val="26"/>
          <w:lang w:val="en-GB"/>
        </w:rPr>
        <w:t xml:space="preserve">and </w:t>
      </w:r>
    </w:p>
    <w:p w14:paraId="5F3EC2AE" w14:textId="10AA22DA" w:rsidR="002A47E8" w:rsidRDefault="001C3FE9" w:rsidP="001C3FE9">
      <w:pPr>
        <w:tabs>
          <w:tab w:val="right" w:pos="9026"/>
        </w:tabs>
        <w:spacing w:after="0" w:line="240" w:lineRule="auto"/>
        <w:rPr>
          <w:rFonts w:cs="Times New Roman"/>
          <w:sz w:val="26"/>
          <w:szCs w:val="26"/>
          <w:lang w:val="en-GB"/>
        </w:rPr>
      </w:pPr>
      <w:r>
        <w:rPr>
          <w:rFonts w:cs="Times New Roman"/>
          <w:b/>
          <w:bCs/>
          <w:sz w:val="26"/>
          <w:szCs w:val="26"/>
          <w:lang w:val="en-GB"/>
        </w:rPr>
        <w:t>HUXLEY TRADING 2 (PTY) LTD</w:t>
      </w:r>
      <w:r>
        <w:rPr>
          <w:rFonts w:cs="Times New Roman"/>
          <w:b/>
          <w:bCs/>
          <w:sz w:val="26"/>
          <w:szCs w:val="26"/>
          <w:lang w:val="en-GB"/>
        </w:rPr>
        <w:tab/>
      </w:r>
      <w:r w:rsidRPr="00072079">
        <w:rPr>
          <w:rFonts w:cs="Times New Roman"/>
          <w:sz w:val="26"/>
          <w:szCs w:val="26"/>
          <w:lang w:val="en-GB"/>
        </w:rPr>
        <w:t>Respondent</w:t>
      </w:r>
    </w:p>
    <w:p w14:paraId="4EE6E9A2" w14:textId="759B78AF" w:rsidR="00F72B10" w:rsidRPr="001C3FE9" w:rsidRDefault="00F72B10" w:rsidP="001C3FE9">
      <w:pPr>
        <w:tabs>
          <w:tab w:val="right" w:pos="9026"/>
        </w:tabs>
        <w:spacing w:after="0" w:line="240" w:lineRule="auto"/>
        <w:rPr>
          <w:rFonts w:cs="Times New Roman"/>
          <w:b/>
          <w:bCs/>
          <w:sz w:val="26"/>
          <w:szCs w:val="26"/>
          <w:lang w:val="en-GB"/>
        </w:rPr>
      </w:pPr>
      <w:r>
        <w:rPr>
          <w:rFonts w:cs="Times New Roman"/>
          <w:sz w:val="26"/>
          <w:szCs w:val="26"/>
          <w:lang w:val="en-GB"/>
        </w:rPr>
        <w:t>(Registration number: 2005/002203/07)</w:t>
      </w:r>
    </w:p>
    <w:p w14:paraId="73A53898" w14:textId="1A436A01" w:rsidR="002A47E8" w:rsidRPr="00541265" w:rsidRDefault="002A47E8" w:rsidP="00C63398">
      <w:pPr>
        <w:tabs>
          <w:tab w:val="right" w:pos="9026"/>
        </w:tabs>
        <w:spacing w:before="240" w:line="240" w:lineRule="auto"/>
        <w:rPr>
          <w:rFonts w:cs="Times New Roman"/>
          <w:sz w:val="26"/>
          <w:szCs w:val="26"/>
          <w:lang w:val="en-GB"/>
        </w:rPr>
      </w:pPr>
      <w:r w:rsidRPr="00541265">
        <w:rPr>
          <w:rFonts w:cs="Times New Roman"/>
          <w:sz w:val="26"/>
          <w:szCs w:val="26"/>
          <w:lang w:val="en-GB"/>
        </w:rPr>
        <w:t>_____________________________________________________________________</w:t>
      </w:r>
    </w:p>
    <w:p w14:paraId="54F86DD7" w14:textId="099C9722" w:rsidR="002A47E8" w:rsidRPr="00541265" w:rsidRDefault="002A47E8" w:rsidP="00C63398">
      <w:pPr>
        <w:tabs>
          <w:tab w:val="right" w:pos="9026"/>
        </w:tabs>
        <w:spacing w:before="240" w:line="240" w:lineRule="auto"/>
        <w:jc w:val="center"/>
        <w:rPr>
          <w:rFonts w:cs="Times New Roman"/>
          <w:b/>
          <w:bCs/>
          <w:sz w:val="26"/>
          <w:szCs w:val="26"/>
          <w:lang w:val="en-GB"/>
        </w:rPr>
      </w:pPr>
      <w:r w:rsidRPr="00541265">
        <w:rPr>
          <w:rFonts w:cs="Times New Roman"/>
          <w:b/>
          <w:bCs/>
          <w:sz w:val="26"/>
          <w:szCs w:val="26"/>
          <w:lang w:val="en-GB"/>
        </w:rPr>
        <w:t>JUDGMENT</w:t>
      </w:r>
    </w:p>
    <w:p w14:paraId="0FDEB058" w14:textId="527BCB9B" w:rsidR="002A47E8" w:rsidRPr="00BA4B45" w:rsidRDefault="002A47E8" w:rsidP="00C63398">
      <w:pPr>
        <w:tabs>
          <w:tab w:val="right" w:pos="9026"/>
        </w:tabs>
        <w:spacing w:before="240" w:line="240" w:lineRule="auto"/>
        <w:rPr>
          <w:rFonts w:cs="Times New Roman"/>
          <w:sz w:val="26"/>
          <w:szCs w:val="26"/>
          <w:lang w:val="en-GB"/>
        </w:rPr>
      </w:pPr>
      <w:r w:rsidRPr="00BA4B45">
        <w:rPr>
          <w:rFonts w:cs="Times New Roman"/>
          <w:sz w:val="26"/>
          <w:szCs w:val="26"/>
          <w:lang w:val="en-GB"/>
        </w:rPr>
        <w:t>_____________________________________________________________________</w:t>
      </w:r>
    </w:p>
    <w:p w14:paraId="2D59968B" w14:textId="3CED22EB" w:rsidR="00DC063A" w:rsidRDefault="00541265" w:rsidP="00396E58">
      <w:pPr>
        <w:spacing w:line="360" w:lineRule="auto"/>
        <w:jc w:val="both"/>
        <w:rPr>
          <w:rFonts w:cs="Times New Roman"/>
          <w:b/>
          <w:bCs/>
          <w:sz w:val="26"/>
          <w:szCs w:val="26"/>
          <w:lang w:val="en-GB"/>
        </w:rPr>
      </w:pPr>
      <w:r>
        <w:rPr>
          <w:rFonts w:cs="Times New Roman"/>
          <w:b/>
          <w:bCs/>
          <w:sz w:val="26"/>
          <w:szCs w:val="26"/>
          <w:lang w:val="en-GB"/>
        </w:rPr>
        <w:t xml:space="preserve">SK </w:t>
      </w:r>
      <w:r w:rsidR="00C35686" w:rsidRPr="00541265">
        <w:rPr>
          <w:rFonts w:cs="Times New Roman"/>
          <w:b/>
          <w:bCs/>
          <w:sz w:val="26"/>
          <w:szCs w:val="26"/>
          <w:lang w:val="en-GB"/>
        </w:rPr>
        <w:t>HASSIM AJ</w:t>
      </w:r>
    </w:p>
    <w:p w14:paraId="5AFED2AE" w14:textId="40E7AFB7" w:rsidR="00425A07" w:rsidRDefault="00425A07" w:rsidP="00396E58">
      <w:pPr>
        <w:spacing w:line="360" w:lineRule="auto"/>
        <w:jc w:val="both"/>
        <w:rPr>
          <w:rFonts w:cs="Times New Roman"/>
          <w:b/>
          <w:bCs/>
          <w:sz w:val="26"/>
          <w:szCs w:val="26"/>
          <w:lang w:val="en-GB"/>
        </w:rPr>
      </w:pPr>
      <w:r>
        <w:rPr>
          <w:rFonts w:cs="Times New Roman"/>
          <w:b/>
          <w:bCs/>
          <w:sz w:val="26"/>
          <w:szCs w:val="26"/>
          <w:lang w:val="en-GB"/>
        </w:rPr>
        <w:t>Introduction</w:t>
      </w:r>
    </w:p>
    <w:p w14:paraId="3B21BDD4" w14:textId="70A2DE8D" w:rsidR="00B52953"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w:t>
      </w:r>
      <w:r>
        <w:rPr>
          <w:rFonts w:cs="Times New Roman"/>
          <w:sz w:val="26"/>
          <w:szCs w:val="26"/>
          <w:lang w:val="en-GB"/>
        </w:rPr>
        <w:tab/>
      </w:r>
      <w:r w:rsidR="00B52953">
        <w:rPr>
          <w:rFonts w:cs="Times New Roman"/>
          <w:sz w:val="26"/>
          <w:szCs w:val="26"/>
          <w:lang w:val="en-GB"/>
        </w:rPr>
        <w:t>The applicant is the trustee of the JC Trust</w:t>
      </w:r>
      <w:r w:rsidR="00A71454">
        <w:rPr>
          <w:rFonts w:cs="Times New Roman"/>
          <w:sz w:val="26"/>
          <w:szCs w:val="26"/>
          <w:lang w:val="en-GB"/>
        </w:rPr>
        <w:t xml:space="preserve"> (“</w:t>
      </w:r>
      <w:r w:rsidR="00A71454" w:rsidRPr="00DB1602">
        <w:rPr>
          <w:rFonts w:cs="Times New Roman"/>
          <w:b/>
          <w:bCs/>
          <w:sz w:val="26"/>
          <w:szCs w:val="26"/>
          <w:lang w:val="en-GB"/>
        </w:rPr>
        <w:t>the Trust</w:t>
      </w:r>
      <w:r w:rsidR="00A71454">
        <w:rPr>
          <w:rFonts w:cs="Times New Roman"/>
          <w:sz w:val="26"/>
          <w:szCs w:val="26"/>
          <w:lang w:val="en-GB"/>
        </w:rPr>
        <w:t>”)</w:t>
      </w:r>
      <w:r w:rsidR="00B52953">
        <w:rPr>
          <w:rFonts w:cs="Times New Roman"/>
          <w:sz w:val="26"/>
          <w:szCs w:val="26"/>
          <w:lang w:val="en-GB"/>
        </w:rPr>
        <w:t xml:space="preserve">.  He applies in that capacity for the </w:t>
      </w:r>
      <w:r w:rsidR="003F3DDC">
        <w:rPr>
          <w:rFonts w:cs="Times New Roman"/>
          <w:sz w:val="26"/>
          <w:szCs w:val="26"/>
          <w:lang w:val="en-GB"/>
        </w:rPr>
        <w:t xml:space="preserve">winding-up </w:t>
      </w:r>
      <w:r w:rsidR="00B52953">
        <w:rPr>
          <w:rFonts w:cs="Times New Roman"/>
          <w:sz w:val="26"/>
          <w:szCs w:val="26"/>
          <w:lang w:val="en-GB"/>
        </w:rPr>
        <w:t xml:space="preserve">of the respondent </w:t>
      </w:r>
      <w:r w:rsidR="00B52953" w:rsidRPr="007271AA">
        <w:rPr>
          <w:rFonts w:cs="Times New Roman"/>
          <w:sz w:val="26"/>
          <w:szCs w:val="26"/>
          <w:lang w:val="en-GB"/>
        </w:rPr>
        <w:t>on the ground that it is unable to pay its debts</w:t>
      </w:r>
      <w:r w:rsidR="00B52953">
        <w:rPr>
          <w:rFonts w:cs="Times New Roman"/>
          <w:sz w:val="26"/>
          <w:szCs w:val="26"/>
          <w:lang w:val="en-GB"/>
        </w:rPr>
        <w:t xml:space="preserve"> alternatively and in the event that the respondent is found to be solvent he seek</w:t>
      </w:r>
      <w:r w:rsidR="00A71454">
        <w:rPr>
          <w:rFonts w:cs="Times New Roman"/>
          <w:sz w:val="26"/>
          <w:szCs w:val="26"/>
          <w:lang w:val="en-GB"/>
        </w:rPr>
        <w:t>s</w:t>
      </w:r>
      <w:r w:rsidR="00B52953">
        <w:rPr>
          <w:rFonts w:cs="Times New Roman"/>
          <w:sz w:val="26"/>
          <w:szCs w:val="26"/>
          <w:lang w:val="en-GB"/>
        </w:rPr>
        <w:t xml:space="preserve"> to </w:t>
      </w:r>
      <w:r w:rsidR="003F3DDC">
        <w:rPr>
          <w:rFonts w:cs="Times New Roman"/>
          <w:sz w:val="26"/>
          <w:szCs w:val="26"/>
          <w:lang w:val="en-GB"/>
        </w:rPr>
        <w:t>wind-up</w:t>
      </w:r>
      <w:r w:rsidR="00B52953">
        <w:rPr>
          <w:rFonts w:cs="Times New Roman"/>
          <w:sz w:val="26"/>
          <w:szCs w:val="26"/>
          <w:lang w:val="en-GB"/>
        </w:rPr>
        <w:t xml:space="preserve"> the respondent under the provisions of section 81(1)(d) of the Companies Act, Act No </w:t>
      </w:r>
      <w:r w:rsidR="002E1F31">
        <w:rPr>
          <w:rFonts w:cs="Times New Roman"/>
          <w:sz w:val="26"/>
          <w:szCs w:val="26"/>
          <w:lang w:val="en-GB"/>
        </w:rPr>
        <w:t xml:space="preserve">71 </w:t>
      </w:r>
      <w:r w:rsidR="00B52953">
        <w:rPr>
          <w:rFonts w:cs="Times New Roman"/>
          <w:sz w:val="26"/>
          <w:szCs w:val="26"/>
          <w:lang w:val="en-GB"/>
        </w:rPr>
        <w:t>of 2008 (“</w:t>
      </w:r>
      <w:r w:rsidR="00B52953" w:rsidRPr="0017355A">
        <w:rPr>
          <w:rFonts w:cs="Times New Roman"/>
          <w:b/>
          <w:bCs/>
          <w:sz w:val="26"/>
          <w:szCs w:val="26"/>
          <w:lang w:val="en-GB"/>
        </w:rPr>
        <w:t>the Companies Act, 2008</w:t>
      </w:r>
      <w:r w:rsidR="00B52953">
        <w:rPr>
          <w:rFonts w:cs="Times New Roman"/>
          <w:sz w:val="26"/>
          <w:szCs w:val="26"/>
          <w:lang w:val="en-GB"/>
        </w:rPr>
        <w:t>”).</w:t>
      </w:r>
    </w:p>
    <w:p w14:paraId="2B41644A" w14:textId="1E279C46" w:rsidR="00266F14"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lastRenderedPageBreak/>
        <w:t>2.</w:t>
      </w:r>
      <w:r>
        <w:rPr>
          <w:rFonts w:cs="Times New Roman"/>
          <w:sz w:val="26"/>
          <w:szCs w:val="26"/>
          <w:lang w:val="en-GB"/>
        </w:rPr>
        <w:tab/>
      </w:r>
      <w:r w:rsidR="00365BF5">
        <w:rPr>
          <w:rFonts w:cs="Times New Roman"/>
          <w:sz w:val="26"/>
          <w:szCs w:val="26"/>
          <w:lang w:val="en-GB"/>
        </w:rPr>
        <w:t xml:space="preserve">The </w:t>
      </w:r>
      <w:r w:rsidR="007271AA">
        <w:rPr>
          <w:rFonts w:cs="Times New Roman"/>
          <w:sz w:val="26"/>
          <w:szCs w:val="26"/>
          <w:lang w:val="en-GB"/>
        </w:rPr>
        <w:t xml:space="preserve">respondent is a property holding company. </w:t>
      </w:r>
      <w:r w:rsidR="0017355A">
        <w:rPr>
          <w:rFonts w:cs="Times New Roman"/>
          <w:sz w:val="26"/>
          <w:szCs w:val="26"/>
          <w:lang w:val="en-GB"/>
        </w:rPr>
        <w:t xml:space="preserve"> It was formed in 2005 for the purpose of acquiring an immovable property</w:t>
      </w:r>
      <w:r w:rsidR="002E1F31">
        <w:rPr>
          <w:rFonts w:cs="Times New Roman"/>
          <w:sz w:val="26"/>
          <w:szCs w:val="26"/>
          <w:lang w:val="en-GB"/>
        </w:rPr>
        <w:t xml:space="preserve">, portion 18 of the farm Nooitgedacht 333 in extent </w:t>
      </w:r>
      <w:r w:rsidR="00425A07">
        <w:rPr>
          <w:rFonts w:cs="Times New Roman"/>
          <w:sz w:val="26"/>
          <w:szCs w:val="26"/>
          <w:lang w:val="en-GB"/>
        </w:rPr>
        <w:t>11,4214 hectares</w:t>
      </w:r>
      <w:r w:rsidR="0017355A">
        <w:rPr>
          <w:rFonts w:cs="Times New Roman"/>
          <w:sz w:val="26"/>
          <w:szCs w:val="26"/>
          <w:lang w:val="en-GB"/>
        </w:rPr>
        <w:t xml:space="preserve"> </w:t>
      </w:r>
      <w:r w:rsidR="00520DD1">
        <w:rPr>
          <w:rFonts w:cs="Times New Roman"/>
          <w:sz w:val="26"/>
          <w:szCs w:val="26"/>
          <w:lang w:val="en-GB"/>
        </w:rPr>
        <w:t>(</w:t>
      </w:r>
      <w:r w:rsidR="00520DD1">
        <w:rPr>
          <w:rFonts w:cs="Times New Roman"/>
          <w:b/>
          <w:bCs/>
          <w:sz w:val="26"/>
          <w:szCs w:val="26"/>
          <w:lang w:val="en-GB"/>
        </w:rPr>
        <w:t>“the</w:t>
      </w:r>
      <w:r w:rsidR="00520DD1" w:rsidRPr="00520DD1">
        <w:rPr>
          <w:rFonts w:cs="Times New Roman"/>
          <w:b/>
          <w:bCs/>
          <w:sz w:val="26"/>
          <w:szCs w:val="26"/>
          <w:lang w:val="en-GB"/>
        </w:rPr>
        <w:t xml:space="preserve"> property</w:t>
      </w:r>
      <w:r w:rsidR="00520DD1">
        <w:rPr>
          <w:rFonts w:cs="Times New Roman"/>
          <w:sz w:val="26"/>
          <w:szCs w:val="26"/>
          <w:lang w:val="en-GB"/>
        </w:rPr>
        <w:t xml:space="preserve">”) </w:t>
      </w:r>
      <w:r w:rsidR="00B52953" w:rsidRPr="00520DD1">
        <w:rPr>
          <w:rFonts w:cs="Times New Roman"/>
          <w:sz w:val="26"/>
          <w:szCs w:val="26"/>
          <w:lang w:val="en-GB"/>
        </w:rPr>
        <w:t>for</w:t>
      </w:r>
      <w:r w:rsidR="00B52953">
        <w:rPr>
          <w:rFonts w:cs="Times New Roman"/>
          <w:sz w:val="26"/>
          <w:szCs w:val="26"/>
          <w:lang w:val="en-GB"/>
        </w:rPr>
        <w:t xml:space="preserve"> a purchase consideration of R</w:t>
      </w:r>
      <w:r w:rsidR="00425A07">
        <w:rPr>
          <w:rFonts w:cs="Times New Roman"/>
          <w:sz w:val="26"/>
          <w:szCs w:val="26"/>
          <w:lang w:val="en-GB"/>
        </w:rPr>
        <w:t>3</w:t>
      </w:r>
      <w:r w:rsidR="00B52953">
        <w:rPr>
          <w:rFonts w:cs="Times New Roman"/>
          <w:sz w:val="26"/>
          <w:szCs w:val="26"/>
          <w:lang w:val="en-GB"/>
        </w:rPr>
        <w:t xml:space="preserve">00 000.00, </w:t>
      </w:r>
      <w:r w:rsidR="0017355A">
        <w:rPr>
          <w:rFonts w:cs="Times New Roman"/>
          <w:sz w:val="26"/>
          <w:szCs w:val="26"/>
          <w:lang w:val="en-GB"/>
        </w:rPr>
        <w:t>which it did.  The</w:t>
      </w:r>
      <w:r w:rsidR="00B52953">
        <w:rPr>
          <w:rFonts w:cs="Times New Roman"/>
          <w:sz w:val="26"/>
          <w:szCs w:val="26"/>
          <w:lang w:val="en-GB"/>
        </w:rPr>
        <w:t xml:space="preserve"> acquisition was financed </w:t>
      </w:r>
      <w:r w:rsidR="00266F14">
        <w:rPr>
          <w:rFonts w:cs="Times New Roman"/>
          <w:sz w:val="26"/>
          <w:szCs w:val="26"/>
          <w:lang w:val="en-GB"/>
        </w:rPr>
        <w:t xml:space="preserve">with a loan </w:t>
      </w:r>
      <w:r w:rsidR="00425A07">
        <w:rPr>
          <w:rFonts w:cs="Times New Roman"/>
          <w:sz w:val="26"/>
          <w:szCs w:val="26"/>
          <w:lang w:val="en-GB"/>
        </w:rPr>
        <w:t xml:space="preserve">of R500 000.00 </w:t>
      </w:r>
      <w:r w:rsidR="0017355A">
        <w:rPr>
          <w:rFonts w:cs="Times New Roman"/>
          <w:sz w:val="26"/>
          <w:szCs w:val="26"/>
          <w:lang w:val="en-GB"/>
        </w:rPr>
        <w:t xml:space="preserve">secured by a mortgage bond registered </w:t>
      </w:r>
      <w:r w:rsidR="00425A07">
        <w:rPr>
          <w:rFonts w:cs="Times New Roman"/>
          <w:sz w:val="26"/>
          <w:szCs w:val="26"/>
          <w:lang w:val="en-GB"/>
        </w:rPr>
        <w:t xml:space="preserve">over the property </w:t>
      </w:r>
      <w:r w:rsidR="0017355A">
        <w:rPr>
          <w:rFonts w:cs="Times New Roman"/>
          <w:sz w:val="26"/>
          <w:szCs w:val="26"/>
          <w:lang w:val="en-GB"/>
        </w:rPr>
        <w:t xml:space="preserve">in </w:t>
      </w:r>
      <w:r w:rsidR="00B52953">
        <w:rPr>
          <w:rFonts w:cs="Times New Roman"/>
          <w:sz w:val="26"/>
          <w:szCs w:val="26"/>
          <w:lang w:val="en-GB"/>
        </w:rPr>
        <w:t>favour</w:t>
      </w:r>
      <w:r w:rsidR="0017355A">
        <w:rPr>
          <w:rFonts w:cs="Times New Roman"/>
          <w:sz w:val="26"/>
          <w:szCs w:val="26"/>
          <w:lang w:val="en-GB"/>
        </w:rPr>
        <w:t xml:space="preserve"> of Nedbank.  </w:t>
      </w:r>
      <w:r w:rsidR="00266F14">
        <w:rPr>
          <w:rFonts w:cs="Times New Roman"/>
          <w:sz w:val="26"/>
          <w:szCs w:val="26"/>
          <w:lang w:val="en-GB"/>
        </w:rPr>
        <w:t>The applicant</w:t>
      </w:r>
      <w:r w:rsidR="00A71454">
        <w:rPr>
          <w:rFonts w:cs="Times New Roman"/>
          <w:sz w:val="26"/>
          <w:szCs w:val="26"/>
          <w:lang w:val="en-GB"/>
        </w:rPr>
        <w:t>, in his personal capacity,</w:t>
      </w:r>
      <w:r w:rsidR="00266F14">
        <w:rPr>
          <w:rFonts w:cs="Times New Roman"/>
          <w:sz w:val="26"/>
          <w:szCs w:val="26"/>
          <w:lang w:val="en-GB"/>
        </w:rPr>
        <w:t xml:space="preserve"> and Mr </w:t>
      </w:r>
      <w:r w:rsidR="00CA6FD2">
        <w:rPr>
          <w:rFonts w:cs="Times New Roman"/>
          <w:sz w:val="26"/>
          <w:szCs w:val="26"/>
          <w:lang w:val="en-GB"/>
        </w:rPr>
        <w:t xml:space="preserve">Ignatius Willem </w:t>
      </w:r>
      <w:r w:rsidR="00266F14">
        <w:rPr>
          <w:rFonts w:cs="Times New Roman"/>
          <w:sz w:val="26"/>
          <w:szCs w:val="26"/>
          <w:lang w:val="en-GB"/>
        </w:rPr>
        <w:t xml:space="preserve">Ferreira </w:t>
      </w:r>
      <w:r w:rsidR="00CA6FD2">
        <w:rPr>
          <w:rFonts w:cs="Times New Roman"/>
          <w:sz w:val="26"/>
          <w:szCs w:val="26"/>
          <w:lang w:val="en-GB"/>
        </w:rPr>
        <w:t xml:space="preserve">Senior </w:t>
      </w:r>
      <w:r w:rsidR="00266F14">
        <w:rPr>
          <w:rFonts w:cs="Times New Roman"/>
          <w:sz w:val="26"/>
          <w:szCs w:val="26"/>
          <w:lang w:val="en-GB"/>
        </w:rPr>
        <w:t xml:space="preserve">bound themselves as sureties and co-principal debtors to Nedbank.  </w:t>
      </w:r>
      <w:r w:rsidR="00956FB4">
        <w:rPr>
          <w:rFonts w:cs="Times New Roman"/>
          <w:sz w:val="26"/>
          <w:szCs w:val="26"/>
          <w:lang w:val="en-GB"/>
        </w:rPr>
        <w:t xml:space="preserve">The applicant does not dispute that </w:t>
      </w:r>
      <w:r w:rsidR="00F72B10">
        <w:rPr>
          <w:rFonts w:cs="Times New Roman"/>
          <w:sz w:val="26"/>
          <w:szCs w:val="26"/>
          <w:lang w:val="en-GB"/>
        </w:rPr>
        <w:t>Siboniseng</w:t>
      </w:r>
      <w:r w:rsidR="00956FB4">
        <w:rPr>
          <w:rFonts w:cs="Times New Roman"/>
          <w:sz w:val="26"/>
          <w:szCs w:val="26"/>
          <w:lang w:val="en-GB"/>
        </w:rPr>
        <w:t xml:space="preserve"> Construction and Projects 130 (Pty) Ltd (</w:t>
      </w:r>
      <w:r w:rsidR="00956FB4">
        <w:rPr>
          <w:rFonts w:cs="Times New Roman"/>
          <w:b/>
          <w:bCs/>
          <w:sz w:val="26"/>
          <w:szCs w:val="26"/>
          <w:lang w:val="en-GB"/>
        </w:rPr>
        <w:t>“Siboniseng</w:t>
      </w:r>
      <w:r w:rsidR="00956FB4">
        <w:rPr>
          <w:rFonts w:cs="Times New Roman"/>
          <w:sz w:val="26"/>
          <w:szCs w:val="26"/>
          <w:lang w:val="en-GB"/>
        </w:rPr>
        <w:t>”) holds the right to services to the property and the right to develop it (“</w:t>
      </w:r>
      <w:r w:rsidR="00956FB4">
        <w:rPr>
          <w:rFonts w:cs="Times New Roman"/>
          <w:b/>
          <w:bCs/>
          <w:sz w:val="26"/>
          <w:szCs w:val="26"/>
          <w:lang w:val="en-GB"/>
        </w:rPr>
        <w:t xml:space="preserve">the </w:t>
      </w:r>
      <w:r w:rsidR="00956FB4" w:rsidRPr="00956FB4">
        <w:rPr>
          <w:rFonts w:cs="Times New Roman"/>
          <w:b/>
          <w:bCs/>
          <w:sz w:val="26"/>
          <w:szCs w:val="26"/>
          <w:lang w:val="en-GB"/>
        </w:rPr>
        <w:t>development rights</w:t>
      </w:r>
      <w:r w:rsidR="00956FB4">
        <w:rPr>
          <w:rFonts w:cs="Times New Roman"/>
          <w:sz w:val="26"/>
          <w:szCs w:val="26"/>
          <w:lang w:val="en-GB"/>
        </w:rPr>
        <w:t>”).</w:t>
      </w:r>
    </w:p>
    <w:p w14:paraId="0A3BC02D" w14:textId="7A6F62A0" w:rsidR="007271AA"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3.</w:t>
      </w:r>
      <w:r>
        <w:rPr>
          <w:rFonts w:cs="Times New Roman"/>
          <w:sz w:val="26"/>
          <w:szCs w:val="26"/>
          <w:lang w:val="en-GB"/>
        </w:rPr>
        <w:tab/>
      </w:r>
      <w:r w:rsidR="00B52953">
        <w:rPr>
          <w:rFonts w:cs="Times New Roman"/>
          <w:sz w:val="26"/>
          <w:szCs w:val="26"/>
          <w:lang w:val="en-GB"/>
        </w:rPr>
        <w:t>The authorised share capital of 100 or</w:t>
      </w:r>
      <w:r w:rsidR="0017355A">
        <w:rPr>
          <w:rFonts w:cs="Times New Roman"/>
          <w:sz w:val="26"/>
          <w:szCs w:val="26"/>
          <w:lang w:val="en-GB"/>
        </w:rPr>
        <w:t>dinary share</w:t>
      </w:r>
      <w:r w:rsidR="00D52593">
        <w:rPr>
          <w:rFonts w:cs="Times New Roman"/>
          <w:sz w:val="26"/>
          <w:szCs w:val="26"/>
          <w:lang w:val="en-GB"/>
        </w:rPr>
        <w:t>s</w:t>
      </w:r>
      <w:r w:rsidR="0017355A">
        <w:rPr>
          <w:rFonts w:cs="Times New Roman"/>
          <w:sz w:val="26"/>
          <w:szCs w:val="26"/>
          <w:lang w:val="en-GB"/>
        </w:rPr>
        <w:t xml:space="preserve"> </w:t>
      </w:r>
      <w:r w:rsidR="00B52953">
        <w:rPr>
          <w:rFonts w:cs="Times New Roman"/>
          <w:sz w:val="26"/>
          <w:szCs w:val="26"/>
          <w:lang w:val="en-GB"/>
        </w:rPr>
        <w:t xml:space="preserve">was issued and allotted </w:t>
      </w:r>
      <w:r w:rsidR="0017355A">
        <w:rPr>
          <w:rFonts w:cs="Times New Roman"/>
          <w:sz w:val="26"/>
          <w:szCs w:val="26"/>
          <w:lang w:val="en-GB"/>
        </w:rPr>
        <w:t>in the following proportions:</w:t>
      </w:r>
    </w:p>
    <w:p w14:paraId="16E76046" w14:textId="1926A407" w:rsidR="007271AA"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(a)</w:t>
      </w:r>
      <w:r>
        <w:rPr>
          <w:rFonts w:cs="Times New Roman"/>
          <w:sz w:val="26"/>
          <w:szCs w:val="26"/>
          <w:lang w:val="en-GB"/>
        </w:rPr>
        <w:tab/>
      </w:r>
      <w:r w:rsidR="007271AA">
        <w:rPr>
          <w:rFonts w:cs="Times New Roman"/>
          <w:sz w:val="26"/>
          <w:szCs w:val="26"/>
          <w:lang w:val="en-GB"/>
        </w:rPr>
        <w:t>34% by the JC Trust;</w:t>
      </w:r>
    </w:p>
    <w:p w14:paraId="6AD3C798" w14:textId="24562DC5" w:rsidR="007271AA"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(b)</w:t>
      </w:r>
      <w:r>
        <w:rPr>
          <w:rFonts w:cs="Times New Roman"/>
          <w:sz w:val="26"/>
          <w:szCs w:val="26"/>
          <w:lang w:val="en-GB"/>
        </w:rPr>
        <w:tab/>
      </w:r>
      <w:r w:rsidR="007271AA">
        <w:rPr>
          <w:rFonts w:cs="Times New Roman"/>
          <w:sz w:val="26"/>
          <w:szCs w:val="26"/>
          <w:lang w:val="en-GB"/>
        </w:rPr>
        <w:t xml:space="preserve">33% by Mr Ignatius Willem Ferreira </w:t>
      </w:r>
      <w:r w:rsidR="00CA6FD2">
        <w:rPr>
          <w:rFonts w:cs="Times New Roman"/>
          <w:sz w:val="26"/>
          <w:szCs w:val="26"/>
          <w:lang w:val="en-GB"/>
        </w:rPr>
        <w:t xml:space="preserve">Senior </w:t>
      </w:r>
      <w:r w:rsidR="007271AA">
        <w:rPr>
          <w:rFonts w:cs="Times New Roman"/>
          <w:sz w:val="26"/>
          <w:szCs w:val="26"/>
          <w:lang w:val="en-GB"/>
        </w:rPr>
        <w:t>(Mr Fer</w:t>
      </w:r>
      <w:r w:rsidR="00013A41">
        <w:rPr>
          <w:rFonts w:cs="Times New Roman"/>
          <w:sz w:val="26"/>
          <w:szCs w:val="26"/>
          <w:lang w:val="en-GB"/>
        </w:rPr>
        <w:t>r</w:t>
      </w:r>
      <w:r w:rsidR="007271AA">
        <w:rPr>
          <w:rFonts w:cs="Times New Roman"/>
          <w:sz w:val="26"/>
          <w:szCs w:val="26"/>
          <w:lang w:val="en-GB"/>
        </w:rPr>
        <w:t>eira); and</w:t>
      </w:r>
    </w:p>
    <w:p w14:paraId="44777902" w14:textId="74C77EBE" w:rsidR="007271AA"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(c)</w:t>
      </w:r>
      <w:r>
        <w:rPr>
          <w:rFonts w:cs="Times New Roman"/>
          <w:sz w:val="26"/>
          <w:szCs w:val="26"/>
          <w:lang w:val="en-GB"/>
        </w:rPr>
        <w:tab/>
      </w:r>
      <w:r w:rsidR="007271AA">
        <w:rPr>
          <w:rFonts w:cs="Times New Roman"/>
          <w:sz w:val="26"/>
          <w:szCs w:val="26"/>
          <w:lang w:val="en-GB"/>
        </w:rPr>
        <w:t xml:space="preserve">33% by the latter’s son Mr Ignatius Willem Ferreira </w:t>
      </w:r>
      <w:r w:rsidR="00CA6FD2">
        <w:rPr>
          <w:rFonts w:cs="Times New Roman"/>
          <w:sz w:val="26"/>
          <w:szCs w:val="26"/>
          <w:lang w:val="en-GB"/>
        </w:rPr>
        <w:t xml:space="preserve">Junior </w:t>
      </w:r>
      <w:r w:rsidR="007271AA">
        <w:rPr>
          <w:rFonts w:cs="Times New Roman"/>
          <w:sz w:val="26"/>
          <w:szCs w:val="26"/>
          <w:lang w:val="en-GB"/>
        </w:rPr>
        <w:t>(Mr Ferreira Junior)</w:t>
      </w:r>
      <w:r w:rsidR="00DE541E">
        <w:rPr>
          <w:rFonts w:cs="Times New Roman"/>
          <w:sz w:val="26"/>
          <w:szCs w:val="26"/>
          <w:lang w:val="en-GB"/>
        </w:rPr>
        <w:t>.</w:t>
      </w:r>
    </w:p>
    <w:p w14:paraId="6287E843" w14:textId="1F936647" w:rsidR="00B52953"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w:t>
      </w:r>
      <w:r>
        <w:rPr>
          <w:rFonts w:cs="Times New Roman"/>
          <w:sz w:val="26"/>
          <w:szCs w:val="26"/>
          <w:lang w:val="en-GB"/>
        </w:rPr>
        <w:tab/>
      </w:r>
      <w:r w:rsidR="00B52953">
        <w:rPr>
          <w:rFonts w:cs="Times New Roman"/>
          <w:sz w:val="26"/>
          <w:szCs w:val="26"/>
          <w:lang w:val="en-GB"/>
        </w:rPr>
        <w:t>Mr Ferreira</w:t>
      </w:r>
      <w:r w:rsidR="00013A41">
        <w:rPr>
          <w:rFonts w:cs="Times New Roman"/>
          <w:sz w:val="26"/>
          <w:szCs w:val="26"/>
          <w:lang w:val="en-GB"/>
        </w:rPr>
        <w:t xml:space="preserve"> </w:t>
      </w:r>
      <w:r w:rsidR="00B52953">
        <w:rPr>
          <w:rFonts w:cs="Times New Roman"/>
          <w:sz w:val="26"/>
          <w:szCs w:val="26"/>
          <w:lang w:val="en-GB"/>
        </w:rPr>
        <w:t xml:space="preserve">and the applicant were appointed as the directors of the respondent.  The applicant resigned as a director </w:t>
      </w:r>
      <w:r w:rsidR="00D52593">
        <w:rPr>
          <w:rFonts w:cs="Times New Roman"/>
          <w:sz w:val="26"/>
          <w:szCs w:val="26"/>
          <w:lang w:val="en-GB"/>
        </w:rPr>
        <w:t>o</w:t>
      </w:r>
      <w:r w:rsidR="00B52953">
        <w:rPr>
          <w:rFonts w:cs="Times New Roman"/>
          <w:sz w:val="26"/>
          <w:szCs w:val="26"/>
          <w:lang w:val="en-GB"/>
        </w:rPr>
        <w:t>n 8 August 2005.</w:t>
      </w:r>
      <w:r w:rsidR="00617F7C">
        <w:rPr>
          <w:rFonts w:cs="Times New Roman"/>
          <w:sz w:val="26"/>
          <w:szCs w:val="26"/>
          <w:lang w:val="en-GB"/>
        </w:rPr>
        <w:t xml:space="preserve">  It is common cause he has not participated in the company’s affairs since then. </w:t>
      </w:r>
    </w:p>
    <w:p w14:paraId="2D5BC86B" w14:textId="6FF4DB71" w:rsidR="00DE541E"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5.</w:t>
      </w:r>
      <w:r>
        <w:rPr>
          <w:rFonts w:cs="Times New Roman"/>
          <w:sz w:val="26"/>
          <w:szCs w:val="26"/>
          <w:lang w:val="en-GB"/>
        </w:rPr>
        <w:tab/>
      </w:r>
      <w:r w:rsidR="00B52953">
        <w:rPr>
          <w:rFonts w:cs="Times New Roman"/>
          <w:sz w:val="26"/>
          <w:szCs w:val="26"/>
          <w:lang w:val="en-GB"/>
        </w:rPr>
        <w:t>At around the time of the applicant’s resignation as director</w:t>
      </w:r>
      <w:r w:rsidR="00D52593">
        <w:rPr>
          <w:rFonts w:cs="Times New Roman"/>
          <w:sz w:val="26"/>
          <w:szCs w:val="26"/>
          <w:lang w:val="en-GB"/>
        </w:rPr>
        <w:t>,</w:t>
      </w:r>
      <w:r w:rsidR="00B52953">
        <w:rPr>
          <w:rFonts w:cs="Times New Roman"/>
          <w:sz w:val="26"/>
          <w:szCs w:val="26"/>
          <w:lang w:val="en-GB"/>
        </w:rPr>
        <w:t xml:space="preserve"> he offered to </w:t>
      </w:r>
      <w:r w:rsidR="00266F14">
        <w:rPr>
          <w:rFonts w:cs="Times New Roman"/>
          <w:sz w:val="26"/>
          <w:szCs w:val="26"/>
          <w:lang w:val="en-GB"/>
        </w:rPr>
        <w:t xml:space="preserve">sell </w:t>
      </w:r>
      <w:r w:rsidR="003F3DDC">
        <w:rPr>
          <w:rFonts w:cs="Times New Roman"/>
          <w:sz w:val="26"/>
          <w:szCs w:val="26"/>
          <w:lang w:val="en-GB"/>
        </w:rPr>
        <w:t xml:space="preserve">the Trust’s </w:t>
      </w:r>
      <w:r w:rsidR="00B52953">
        <w:rPr>
          <w:rFonts w:cs="Times New Roman"/>
          <w:sz w:val="26"/>
          <w:szCs w:val="26"/>
          <w:lang w:val="en-GB"/>
        </w:rPr>
        <w:t xml:space="preserve">shareholding to Mr Ferreira </w:t>
      </w:r>
      <w:r w:rsidR="00266F14">
        <w:rPr>
          <w:rFonts w:cs="Times New Roman"/>
          <w:sz w:val="26"/>
          <w:szCs w:val="26"/>
          <w:lang w:val="en-GB"/>
        </w:rPr>
        <w:t xml:space="preserve">for R10 000.00 being the value of </w:t>
      </w:r>
      <w:r w:rsidR="003F3DDC">
        <w:rPr>
          <w:rFonts w:cs="Times New Roman"/>
          <w:sz w:val="26"/>
          <w:szCs w:val="26"/>
          <w:lang w:val="en-GB"/>
        </w:rPr>
        <w:t>the</w:t>
      </w:r>
      <w:r w:rsidR="00266F14">
        <w:rPr>
          <w:rFonts w:cs="Times New Roman"/>
          <w:sz w:val="26"/>
          <w:szCs w:val="26"/>
          <w:lang w:val="en-GB"/>
        </w:rPr>
        <w:t xml:space="preserve"> monetary contribution to the respondent.  The applicant claims that Mr Ferreira accepted the offer but failed to pay the money</w:t>
      </w:r>
      <w:r w:rsidR="003F3DDC">
        <w:rPr>
          <w:rFonts w:cs="Times New Roman"/>
          <w:sz w:val="26"/>
          <w:szCs w:val="26"/>
          <w:lang w:val="en-GB"/>
        </w:rPr>
        <w:t>.</w:t>
      </w:r>
      <w:r w:rsidR="00266F14">
        <w:rPr>
          <w:rFonts w:cs="Times New Roman"/>
          <w:sz w:val="26"/>
          <w:szCs w:val="26"/>
          <w:lang w:val="en-GB"/>
        </w:rPr>
        <w:t xml:space="preserve">  Mr Ferreria</w:t>
      </w:r>
      <w:r w:rsidR="00D52593">
        <w:rPr>
          <w:rFonts w:cs="Times New Roman"/>
          <w:sz w:val="26"/>
          <w:szCs w:val="26"/>
          <w:lang w:val="en-GB"/>
        </w:rPr>
        <w:t>,</w:t>
      </w:r>
      <w:r w:rsidR="00266F14">
        <w:rPr>
          <w:rFonts w:cs="Times New Roman"/>
          <w:sz w:val="26"/>
          <w:szCs w:val="26"/>
          <w:lang w:val="en-GB"/>
        </w:rPr>
        <w:t xml:space="preserve"> on the other hand</w:t>
      </w:r>
      <w:r w:rsidR="00D52593">
        <w:rPr>
          <w:rFonts w:cs="Times New Roman"/>
          <w:sz w:val="26"/>
          <w:szCs w:val="26"/>
          <w:lang w:val="en-GB"/>
        </w:rPr>
        <w:t>,</w:t>
      </w:r>
      <w:r w:rsidR="00266F14">
        <w:rPr>
          <w:rFonts w:cs="Times New Roman"/>
          <w:sz w:val="26"/>
          <w:szCs w:val="26"/>
          <w:lang w:val="en-GB"/>
        </w:rPr>
        <w:t xml:space="preserve"> contends that he attempted to pay the money and he tender</w:t>
      </w:r>
      <w:r w:rsidR="00520DD1">
        <w:rPr>
          <w:rFonts w:cs="Times New Roman"/>
          <w:sz w:val="26"/>
          <w:szCs w:val="26"/>
          <w:lang w:val="en-GB"/>
        </w:rPr>
        <w:t>s</w:t>
      </w:r>
      <w:r w:rsidR="00266F14">
        <w:rPr>
          <w:rFonts w:cs="Times New Roman"/>
          <w:sz w:val="26"/>
          <w:szCs w:val="26"/>
          <w:lang w:val="en-GB"/>
        </w:rPr>
        <w:t xml:space="preserve"> payment.  </w:t>
      </w:r>
    </w:p>
    <w:p w14:paraId="0310C4D5" w14:textId="549CEAC8" w:rsidR="00425A07" w:rsidRPr="00425A07" w:rsidRDefault="00425A07" w:rsidP="00425A07">
      <w:pPr>
        <w:spacing w:before="100" w:after="40" w:line="360" w:lineRule="auto"/>
        <w:jc w:val="both"/>
        <w:rPr>
          <w:rFonts w:cs="Times New Roman"/>
          <w:b/>
          <w:bCs/>
          <w:sz w:val="26"/>
          <w:szCs w:val="26"/>
          <w:lang w:val="en-GB"/>
        </w:rPr>
      </w:pPr>
      <w:r w:rsidRPr="00D52593">
        <w:rPr>
          <w:rFonts w:cs="Times New Roman"/>
          <w:b/>
          <w:bCs/>
          <w:i/>
          <w:iCs/>
          <w:sz w:val="26"/>
          <w:szCs w:val="26"/>
          <w:lang w:val="en-GB"/>
        </w:rPr>
        <w:t>Locus standi</w:t>
      </w:r>
      <w:r>
        <w:rPr>
          <w:rFonts w:cs="Times New Roman"/>
          <w:b/>
          <w:bCs/>
          <w:sz w:val="26"/>
          <w:szCs w:val="26"/>
          <w:lang w:val="en-GB"/>
        </w:rPr>
        <w:t xml:space="preserve"> of applicant</w:t>
      </w:r>
    </w:p>
    <w:p w14:paraId="488529D8" w14:textId="3A15C35F" w:rsidR="00B52953"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6.</w:t>
      </w:r>
      <w:r>
        <w:rPr>
          <w:rFonts w:cs="Times New Roman"/>
          <w:sz w:val="26"/>
          <w:szCs w:val="26"/>
          <w:lang w:val="en-GB"/>
        </w:rPr>
        <w:tab/>
      </w:r>
      <w:r w:rsidR="00DE541E">
        <w:rPr>
          <w:rFonts w:cs="Times New Roman"/>
          <w:sz w:val="26"/>
          <w:szCs w:val="26"/>
          <w:lang w:val="en-GB"/>
        </w:rPr>
        <w:t>The respondent contend</w:t>
      </w:r>
      <w:r w:rsidR="00301A26">
        <w:rPr>
          <w:rFonts w:cs="Times New Roman"/>
          <w:sz w:val="26"/>
          <w:szCs w:val="26"/>
          <w:lang w:val="en-GB"/>
        </w:rPr>
        <w:t>s</w:t>
      </w:r>
      <w:r w:rsidR="00DE541E">
        <w:rPr>
          <w:rFonts w:cs="Times New Roman"/>
          <w:sz w:val="26"/>
          <w:szCs w:val="26"/>
          <w:lang w:val="en-GB"/>
        </w:rPr>
        <w:t xml:space="preserve"> that in view of the sale of the Trust’s shares</w:t>
      </w:r>
      <w:r w:rsidR="00301A26">
        <w:rPr>
          <w:rFonts w:cs="Times New Roman"/>
          <w:sz w:val="26"/>
          <w:szCs w:val="26"/>
          <w:lang w:val="en-GB"/>
        </w:rPr>
        <w:t>,</w:t>
      </w:r>
      <w:r w:rsidR="00DE541E">
        <w:rPr>
          <w:rFonts w:cs="Times New Roman"/>
          <w:sz w:val="26"/>
          <w:szCs w:val="26"/>
          <w:lang w:val="en-GB"/>
        </w:rPr>
        <w:t xml:space="preserve"> the</w:t>
      </w:r>
      <w:r w:rsidR="00EB7417">
        <w:rPr>
          <w:rFonts w:cs="Times New Roman"/>
          <w:sz w:val="26"/>
          <w:szCs w:val="26"/>
          <w:lang w:val="en-GB"/>
        </w:rPr>
        <w:t xml:space="preserve"> Trust </w:t>
      </w:r>
      <w:r w:rsidR="00DE541E">
        <w:rPr>
          <w:rFonts w:cs="Times New Roman"/>
          <w:sz w:val="26"/>
          <w:szCs w:val="26"/>
          <w:lang w:val="en-GB"/>
        </w:rPr>
        <w:t>d</w:t>
      </w:r>
      <w:r w:rsidR="00520DD1">
        <w:rPr>
          <w:rFonts w:cs="Times New Roman"/>
          <w:sz w:val="26"/>
          <w:szCs w:val="26"/>
          <w:lang w:val="en-GB"/>
        </w:rPr>
        <w:t xml:space="preserve">oes </w:t>
      </w:r>
      <w:r w:rsidR="00DE541E">
        <w:rPr>
          <w:rFonts w:cs="Times New Roman"/>
          <w:sz w:val="26"/>
          <w:szCs w:val="26"/>
          <w:lang w:val="en-GB"/>
        </w:rPr>
        <w:t xml:space="preserve">not have </w:t>
      </w:r>
      <w:r w:rsidR="00DE541E">
        <w:rPr>
          <w:rFonts w:cs="Times New Roman"/>
          <w:i/>
          <w:iCs/>
          <w:sz w:val="26"/>
          <w:szCs w:val="26"/>
          <w:lang w:val="en-GB"/>
        </w:rPr>
        <w:t xml:space="preserve">locus standi </w:t>
      </w:r>
      <w:r w:rsidR="00DE541E">
        <w:rPr>
          <w:rFonts w:cs="Times New Roman"/>
          <w:sz w:val="26"/>
          <w:szCs w:val="26"/>
          <w:lang w:val="en-GB"/>
        </w:rPr>
        <w:t xml:space="preserve">to apply for the </w:t>
      </w:r>
      <w:r w:rsidR="00013A41">
        <w:rPr>
          <w:rFonts w:cs="Times New Roman"/>
          <w:sz w:val="26"/>
          <w:szCs w:val="26"/>
          <w:lang w:val="en-GB"/>
        </w:rPr>
        <w:t xml:space="preserve">winding-up </w:t>
      </w:r>
      <w:r w:rsidR="00DE541E">
        <w:rPr>
          <w:rFonts w:cs="Times New Roman"/>
          <w:sz w:val="26"/>
          <w:szCs w:val="26"/>
          <w:lang w:val="en-GB"/>
        </w:rPr>
        <w:t xml:space="preserve">of the respondent.  To counter this, in the replying affidavit the applicant refers to an e-mail in which he was asked by Mr Ferreira’s attorney, </w:t>
      </w:r>
      <w:r w:rsidR="00D52593">
        <w:rPr>
          <w:rFonts w:cs="Times New Roman"/>
          <w:sz w:val="26"/>
          <w:szCs w:val="26"/>
          <w:lang w:val="en-GB"/>
        </w:rPr>
        <w:t>Mr Shepper</w:t>
      </w:r>
      <w:r w:rsidR="003F3DDC">
        <w:rPr>
          <w:rFonts w:cs="Times New Roman"/>
          <w:sz w:val="26"/>
          <w:szCs w:val="26"/>
          <w:lang w:val="en-GB"/>
        </w:rPr>
        <w:t>s</w:t>
      </w:r>
      <w:r w:rsidR="00D52593">
        <w:rPr>
          <w:rFonts w:cs="Times New Roman"/>
          <w:sz w:val="26"/>
          <w:szCs w:val="26"/>
          <w:lang w:val="en-GB"/>
        </w:rPr>
        <w:t>on</w:t>
      </w:r>
      <w:r w:rsidR="00DE541E">
        <w:rPr>
          <w:rFonts w:cs="Times New Roman"/>
          <w:sz w:val="26"/>
          <w:szCs w:val="26"/>
          <w:lang w:val="en-GB"/>
        </w:rPr>
        <w:t xml:space="preserve"> whether he would be willing </w:t>
      </w:r>
      <w:r w:rsidR="00DE541E">
        <w:rPr>
          <w:rFonts w:cs="Times New Roman"/>
          <w:sz w:val="26"/>
          <w:szCs w:val="26"/>
          <w:lang w:val="en-GB"/>
        </w:rPr>
        <w:lastRenderedPageBreak/>
        <w:t xml:space="preserve">to dispose of </w:t>
      </w:r>
      <w:r w:rsidR="00EB7417">
        <w:rPr>
          <w:rFonts w:cs="Times New Roman"/>
          <w:sz w:val="26"/>
          <w:szCs w:val="26"/>
          <w:lang w:val="en-GB"/>
        </w:rPr>
        <w:t xml:space="preserve">the </w:t>
      </w:r>
      <w:r w:rsidR="00DE541E">
        <w:rPr>
          <w:rFonts w:cs="Times New Roman"/>
          <w:sz w:val="26"/>
          <w:szCs w:val="26"/>
          <w:lang w:val="en-GB"/>
        </w:rPr>
        <w:t xml:space="preserve">shares for R10 000.00.  The applicant contends that this goes to show that </w:t>
      </w:r>
      <w:r w:rsidR="00EB7417">
        <w:rPr>
          <w:rFonts w:cs="Times New Roman"/>
          <w:sz w:val="26"/>
          <w:szCs w:val="26"/>
          <w:lang w:val="en-GB"/>
        </w:rPr>
        <w:t>t</w:t>
      </w:r>
      <w:r w:rsidR="00DE541E">
        <w:rPr>
          <w:rFonts w:cs="Times New Roman"/>
          <w:sz w:val="26"/>
          <w:szCs w:val="26"/>
          <w:lang w:val="en-GB"/>
        </w:rPr>
        <w:t xml:space="preserve">he </w:t>
      </w:r>
      <w:r w:rsidR="00EB7417">
        <w:rPr>
          <w:rFonts w:cs="Times New Roman"/>
          <w:sz w:val="26"/>
          <w:szCs w:val="26"/>
          <w:lang w:val="en-GB"/>
        </w:rPr>
        <w:t xml:space="preserve">Trust </w:t>
      </w:r>
      <w:r w:rsidR="00DE541E">
        <w:rPr>
          <w:rFonts w:cs="Times New Roman"/>
          <w:sz w:val="26"/>
          <w:szCs w:val="26"/>
          <w:lang w:val="en-GB"/>
        </w:rPr>
        <w:t xml:space="preserve">remains the owner of the shares.  </w:t>
      </w:r>
    </w:p>
    <w:p w14:paraId="7E0E6ED9" w14:textId="625D8DCC" w:rsidR="00A71454"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7.</w:t>
      </w:r>
      <w:r>
        <w:rPr>
          <w:rFonts w:cs="Times New Roman"/>
          <w:sz w:val="26"/>
          <w:szCs w:val="26"/>
          <w:lang w:val="en-GB"/>
        </w:rPr>
        <w:tab/>
      </w:r>
      <w:r w:rsidR="00DE541E">
        <w:rPr>
          <w:rFonts w:cs="Times New Roman"/>
          <w:sz w:val="26"/>
          <w:szCs w:val="26"/>
          <w:lang w:val="en-GB"/>
        </w:rPr>
        <w:t xml:space="preserve">I am not satisfied the applicant has made out a case for the </w:t>
      </w:r>
      <w:r w:rsidR="00013A41">
        <w:rPr>
          <w:rFonts w:cs="Times New Roman"/>
          <w:sz w:val="26"/>
          <w:szCs w:val="26"/>
          <w:lang w:val="en-GB"/>
        </w:rPr>
        <w:t xml:space="preserve">winding-up </w:t>
      </w:r>
      <w:r w:rsidR="00DE541E">
        <w:rPr>
          <w:rFonts w:cs="Times New Roman"/>
          <w:sz w:val="26"/>
          <w:szCs w:val="26"/>
          <w:lang w:val="en-GB"/>
        </w:rPr>
        <w:t xml:space="preserve">of the respondent.  For this reason, and without deciding the issue, I am prepared to accept </w:t>
      </w:r>
      <w:r w:rsidR="00301A26">
        <w:rPr>
          <w:rFonts w:cs="Times New Roman"/>
          <w:sz w:val="26"/>
          <w:szCs w:val="26"/>
          <w:lang w:val="en-GB"/>
        </w:rPr>
        <w:t xml:space="preserve">that </w:t>
      </w:r>
      <w:r w:rsidR="00266F14">
        <w:rPr>
          <w:rFonts w:cs="Times New Roman"/>
          <w:sz w:val="26"/>
          <w:szCs w:val="26"/>
          <w:lang w:val="en-GB"/>
        </w:rPr>
        <w:t xml:space="preserve">the </w:t>
      </w:r>
      <w:r w:rsidR="00301A26">
        <w:rPr>
          <w:rFonts w:cs="Times New Roman"/>
          <w:sz w:val="26"/>
          <w:szCs w:val="26"/>
          <w:lang w:val="en-GB"/>
        </w:rPr>
        <w:t xml:space="preserve">Trust is a member of the respondent and as such </w:t>
      </w:r>
      <w:r w:rsidR="00266F14">
        <w:rPr>
          <w:rFonts w:cs="Times New Roman"/>
          <w:sz w:val="26"/>
          <w:szCs w:val="26"/>
          <w:lang w:val="en-GB"/>
        </w:rPr>
        <w:t xml:space="preserve">has </w:t>
      </w:r>
      <w:r w:rsidR="00266F14" w:rsidRPr="00266F14">
        <w:rPr>
          <w:rFonts w:cs="Times New Roman"/>
          <w:i/>
          <w:iCs/>
          <w:sz w:val="26"/>
          <w:szCs w:val="26"/>
          <w:lang w:val="en-GB"/>
        </w:rPr>
        <w:t>locus standi</w:t>
      </w:r>
      <w:r w:rsidR="00266F14">
        <w:rPr>
          <w:rFonts w:cs="Times New Roman"/>
          <w:sz w:val="26"/>
          <w:szCs w:val="26"/>
          <w:lang w:val="en-GB"/>
        </w:rPr>
        <w:t xml:space="preserve"> </w:t>
      </w:r>
      <w:r w:rsidR="00DE541E">
        <w:rPr>
          <w:rFonts w:cs="Times New Roman"/>
          <w:sz w:val="26"/>
          <w:szCs w:val="26"/>
          <w:lang w:val="en-GB"/>
        </w:rPr>
        <w:t xml:space="preserve">to apply for its </w:t>
      </w:r>
      <w:r w:rsidR="00013A41">
        <w:rPr>
          <w:rFonts w:cs="Times New Roman"/>
          <w:sz w:val="26"/>
          <w:szCs w:val="26"/>
          <w:lang w:val="en-GB"/>
        </w:rPr>
        <w:t>winding-up</w:t>
      </w:r>
      <w:r w:rsidR="00A71454">
        <w:rPr>
          <w:rFonts w:cs="Times New Roman"/>
          <w:sz w:val="26"/>
          <w:szCs w:val="26"/>
          <w:lang w:val="en-GB"/>
        </w:rPr>
        <w:t>.</w:t>
      </w:r>
    </w:p>
    <w:p w14:paraId="34624BB4" w14:textId="4365513F" w:rsidR="00425A07" w:rsidRPr="00425A07" w:rsidRDefault="00425A07" w:rsidP="00425A07">
      <w:pPr>
        <w:spacing w:before="100" w:after="40" w:line="360" w:lineRule="auto"/>
        <w:jc w:val="both"/>
        <w:rPr>
          <w:rFonts w:cs="Times New Roman"/>
          <w:b/>
          <w:bCs/>
          <w:sz w:val="26"/>
          <w:szCs w:val="26"/>
          <w:lang w:val="en-GB"/>
        </w:rPr>
      </w:pPr>
      <w:r w:rsidRPr="00425A07">
        <w:rPr>
          <w:rFonts w:cs="Times New Roman"/>
          <w:b/>
          <w:bCs/>
          <w:sz w:val="26"/>
          <w:szCs w:val="26"/>
          <w:lang w:val="en-GB"/>
        </w:rPr>
        <w:t>Solvency</w:t>
      </w:r>
    </w:p>
    <w:p w14:paraId="6F86FDF7" w14:textId="424B6B3B" w:rsidR="00E154C1"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8.</w:t>
      </w:r>
      <w:r>
        <w:rPr>
          <w:rFonts w:cs="Times New Roman"/>
          <w:sz w:val="26"/>
          <w:szCs w:val="26"/>
          <w:lang w:val="en-GB"/>
        </w:rPr>
        <w:tab/>
      </w:r>
      <w:r w:rsidR="00D32CCD">
        <w:rPr>
          <w:rFonts w:cs="Times New Roman"/>
          <w:sz w:val="26"/>
          <w:szCs w:val="26"/>
          <w:lang w:val="en-GB"/>
        </w:rPr>
        <w:t>On 21 April 2022</w:t>
      </w:r>
      <w:r w:rsidR="00D52593">
        <w:rPr>
          <w:rFonts w:cs="Times New Roman"/>
          <w:sz w:val="26"/>
          <w:szCs w:val="26"/>
          <w:lang w:val="en-GB"/>
        </w:rPr>
        <w:t>,</w:t>
      </w:r>
      <w:r w:rsidR="00D32CCD">
        <w:rPr>
          <w:rFonts w:cs="Times New Roman"/>
          <w:sz w:val="26"/>
          <w:szCs w:val="26"/>
          <w:lang w:val="en-GB"/>
        </w:rPr>
        <w:t xml:space="preserve"> Nedbank obtained default judgment against the respondent for payment of R156 489.68 together with interest.  In consequence thereof the property was attached and a sale in execution </w:t>
      </w:r>
      <w:r w:rsidR="00520DD1">
        <w:rPr>
          <w:rFonts w:cs="Times New Roman"/>
          <w:sz w:val="26"/>
          <w:szCs w:val="26"/>
          <w:lang w:val="en-GB"/>
        </w:rPr>
        <w:t>w</w:t>
      </w:r>
      <w:r w:rsidR="00D32CCD">
        <w:rPr>
          <w:rFonts w:cs="Times New Roman"/>
          <w:sz w:val="26"/>
          <w:szCs w:val="26"/>
          <w:lang w:val="en-GB"/>
        </w:rPr>
        <w:t xml:space="preserve">as scheduled.  </w:t>
      </w:r>
      <w:r w:rsidR="0043697E">
        <w:rPr>
          <w:rFonts w:cs="Times New Roman"/>
          <w:sz w:val="26"/>
          <w:szCs w:val="26"/>
          <w:lang w:val="en-GB"/>
        </w:rPr>
        <w:t xml:space="preserve">The amount in arrears at the time was R52 623.38.  It, as well as Nedbank’s legal costs were paid </w:t>
      </w:r>
      <w:r w:rsidR="00D32CCD">
        <w:rPr>
          <w:rFonts w:cs="Times New Roman"/>
          <w:sz w:val="26"/>
          <w:szCs w:val="26"/>
          <w:lang w:val="en-GB"/>
        </w:rPr>
        <w:t>prior to the sale</w:t>
      </w:r>
      <w:r w:rsidR="00C05042">
        <w:rPr>
          <w:rFonts w:cs="Times New Roman"/>
          <w:sz w:val="26"/>
          <w:szCs w:val="26"/>
          <w:lang w:val="en-GB"/>
        </w:rPr>
        <w:t>,</w:t>
      </w:r>
      <w:r w:rsidR="0043697E">
        <w:rPr>
          <w:rFonts w:cs="Times New Roman"/>
          <w:sz w:val="26"/>
          <w:szCs w:val="26"/>
          <w:lang w:val="en-GB"/>
        </w:rPr>
        <w:t xml:space="preserve"> and the sale in execution was cancelled</w:t>
      </w:r>
      <w:r w:rsidR="00D32CCD">
        <w:rPr>
          <w:rFonts w:cs="Times New Roman"/>
          <w:sz w:val="26"/>
          <w:szCs w:val="26"/>
          <w:lang w:val="en-GB"/>
        </w:rPr>
        <w:t xml:space="preserve">.  </w:t>
      </w:r>
      <w:r w:rsidR="00796D28">
        <w:rPr>
          <w:rFonts w:cs="Times New Roman"/>
          <w:sz w:val="26"/>
          <w:szCs w:val="26"/>
          <w:lang w:val="en-GB"/>
        </w:rPr>
        <w:t xml:space="preserve">Insofar as the balance of the debt is concerned, the respondent and Nedbank agreed that the debt will be liquidated at R2 700.00 per month.  </w:t>
      </w:r>
      <w:r w:rsidR="00A71454">
        <w:rPr>
          <w:rFonts w:cs="Times New Roman"/>
          <w:sz w:val="26"/>
          <w:szCs w:val="26"/>
          <w:lang w:val="en-GB"/>
        </w:rPr>
        <w:t xml:space="preserve">As at </w:t>
      </w:r>
      <w:r w:rsidR="009D31B7">
        <w:rPr>
          <w:rFonts w:cs="Times New Roman"/>
          <w:sz w:val="26"/>
          <w:szCs w:val="26"/>
          <w:lang w:val="en-GB"/>
        </w:rPr>
        <w:t xml:space="preserve">28 October 2022, the amount owing to Nedbank was R117 090.93. </w:t>
      </w:r>
    </w:p>
    <w:p w14:paraId="2A3DB977" w14:textId="4950F81E" w:rsidR="00E154C1" w:rsidRPr="00E154C1" w:rsidRDefault="004200A4" w:rsidP="004200A4">
      <w:pPr>
        <w:spacing w:before="100" w:after="40" w:line="360" w:lineRule="auto"/>
        <w:ind w:left="567" w:hanging="567"/>
        <w:jc w:val="both"/>
        <w:rPr>
          <w:rFonts w:cs="Times New Roman"/>
          <w:sz w:val="26"/>
          <w:szCs w:val="26"/>
          <w:lang w:val="en-GB"/>
        </w:rPr>
      </w:pPr>
      <w:r w:rsidRPr="00E154C1">
        <w:rPr>
          <w:rFonts w:cs="Times New Roman"/>
          <w:sz w:val="26"/>
          <w:szCs w:val="26"/>
          <w:lang w:val="en-GB"/>
        </w:rPr>
        <w:t>9.</w:t>
      </w:r>
      <w:r w:rsidRPr="00E154C1">
        <w:rPr>
          <w:rFonts w:cs="Times New Roman"/>
          <w:sz w:val="26"/>
          <w:szCs w:val="26"/>
          <w:lang w:val="en-GB"/>
        </w:rPr>
        <w:tab/>
      </w:r>
      <w:r w:rsidR="00E154C1" w:rsidRPr="009D31B7">
        <w:rPr>
          <w:rFonts w:cs="Times New Roman"/>
          <w:sz w:val="26"/>
          <w:szCs w:val="26"/>
          <w:lang w:val="en-GB"/>
        </w:rPr>
        <w:t>In his replying affidavit the applicant disputes that the agreement with Nedbank ha</w:t>
      </w:r>
      <w:r w:rsidR="00520DD1">
        <w:rPr>
          <w:rFonts w:cs="Times New Roman"/>
          <w:sz w:val="26"/>
          <w:szCs w:val="26"/>
          <w:lang w:val="en-GB"/>
        </w:rPr>
        <w:t>s</w:t>
      </w:r>
      <w:r w:rsidR="00E154C1" w:rsidRPr="009D31B7">
        <w:rPr>
          <w:rFonts w:cs="Times New Roman"/>
          <w:sz w:val="26"/>
          <w:szCs w:val="26"/>
          <w:lang w:val="en-GB"/>
        </w:rPr>
        <w:t xml:space="preserve"> been adhered to.  This does appear to be the case when regard is had to the statement of 28 October 2022 attached to the respondent’s answering affidavit.  It appears therefrom that an amount of R1 579.22 was outstanding for more than 90 days, R2 755.61 for more than 60 days</w:t>
      </w:r>
      <w:r w:rsidR="003F3DDC">
        <w:rPr>
          <w:rFonts w:cs="Times New Roman"/>
          <w:sz w:val="26"/>
          <w:szCs w:val="26"/>
          <w:lang w:val="en-GB"/>
        </w:rPr>
        <w:t>,</w:t>
      </w:r>
      <w:r w:rsidR="00E154C1" w:rsidRPr="009D31B7">
        <w:rPr>
          <w:rFonts w:cs="Times New Roman"/>
          <w:sz w:val="26"/>
          <w:szCs w:val="26"/>
          <w:lang w:val="en-GB"/>
        </w:rPr>
        <w:t xml:space="preserve"> and R2 755.61 for more than 30 days.  </w:t>
      </w:r>
      <w:r w:rsidR="00E154C1" w:rsidRPr="00E154C1">
        <w:rPr>
          <w:rFonts w:cs="Times New Roman"/>
          <w:sz w:val="26"/>
          <w:szCs w:val="26"/>
          <w:lang w:val="en-GB"/>
        </w:rPr>
        <w:t>On 24 November 2022</w:t>
      </w:r>
      <w:r w:rsidR="00D52593">
        <w:rPr>
          <w:rFonts w:cs="Times New Roman"/>
          <w:sz w:val="26"/>
          <w:szCs w:val="26"/>
          <w:lang w:val="en-GB"/>
        </w:rPr>
        <w:t>,</w:t>
      </w:r>
      <w:r w:rsidR="00E154C1" w:rsidRPr="00E154C1">
        <w:rPr>
          <w:rFonts w:cs="Times New Roman"/>
          <w:sz w:val="26"/>
          <w:szCs w:val="26"/>
          <w:lang w:val="en-GB"/>
        </w:rPr>
        <w:t xml:space="preserve"> the applicant established from Nedbank that R9 082.00 was in arrears.  </w:t>
      </w:r>
    </w:p>
    <w:p w14:paraId="467598B7" w14:textId="170C2E17" w:rsidR="00E154C1"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10.</w:t>
      </w:r>
      <w:r>
        <w:rPr>
          <w:rFonts w:cs="Times New Roman"/>
          <w:sz w:val="26"/>
          <w:szCs w:val="26"/>
          <w:lang w:val="en-GB"/>
        </w:rPr>
        <w:tab/>
      </w:r>
      <w:r w:rsidR="009D31B7">
        <w:rPr>
          <w:rFonts w:cs="Times New Roman"/>
          <w:sz w:val="26"/>
          <w:szCs w:val="26"/>
          <w:lang w:val="en-GB"/>
        </w:rPr>
        <w:t>The respondent is indebted to the municipality for rates and taxes.  The applicant attache</w:t>
      </w:r>
      <w:r w:rsidR="003F3DDC">
        <w:rPr>
          <w:rFonts w:cs="Times New Roman"/>
          <w:sz w:val="26"/>
          <w:szCs w:val="26"/>
          <w:lang w:val="en-GB"/>
        </w:rPr>
        <w:t>s</w:t>
      </w:r>
      <w:r w:rsidR="009D31B7">
        <w:rPr>
          <w:rFonts w:cs="Times New Roman"/>
          <w:sz w:val="26"/>
          <w:szCs w:val="26"/>
          <w:lang w:val="en-GB"/>
        </w:rPr>
        <w:t xml:space="preserve"> to the replying affidavit a copy of the statement of account from the municipality which reflects R26 682.59 as being overdue.</w:t>
      </w:r>
      <w:r w:rsidR="009D31B7">
        <w:rPr>
          <w:rStyle w:val="FootnoteReference"/>
          <w:rFonts w:cs="Times New Roman"/>
          <w:sz w:val="26"/>
          <w:szCs w:val="26"/>
          <w:lang w:val="en-GB"/>
        </w:rPr>
        <w:footnoteReference w:id="1"/>
      </w:r>
      <w:r w:rsidR="009D31B7">
        <w:rPr>
          <w:rFonts w:cs="Times New Roman"/>
          <w:sz w:val="26"/>
          <w:szCs w:val="26"/>
          <w:lang w:val="en-GB"/>
        </w:rPr>
        <w:t xml:space="preserve">  </w:t>
      </w:r>
      <w:r w:rsidR="00E154C1">
        <w:rPr>
          <w:rFonts w:cs="Times New Roman"/>
          <w:sz w:val="26"/>
          <w:szCs w:val="26"/>
          <w:lang w:val="en-GB"/>
        </w:rPr>
        <w:t>Based on the monthly rates and taxes due on the property</w:t>
      </w:r>
      <w:r w:rsidR="00D52593">
        <w:rPr>
          <w:rFonts w:cs="Times New Roman"/>
          <w:sz w:val="26"/>
          <w:szCs w:val="26"/>
          <w:lang w:val="en-GB"/>
        </w:rPr>
        <w:t>,</w:t>
      </w:r>
      <w:r w:rsidR="00E154C1">
        <w:rPr>
          <w:rFonts w:cs="Times New Roman"/>
          <w:sz w:val="26"/>
          <w:szCs w:val="26"/>
          <w:lang w:val="en-GB"/>
        </w:rPr>
        <w:t xml:space="preserve"> the applicant estimates that rates and taxes have not been paid for more than five years.</w:t>
      </w:r>
    </w:p>
    <w:p w14:paraId="3248B118" w14:textId="299011EB" w:rsidR="00E570B5"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lastRenderedPageBreak/>
        <w:t>11.</w:t>
      </w:r>
      <w:r>
        <w:rPr>
          <w:rFonts w:cs="Times New Roman"/>
          <w:sz w:val="26"/>
          <w:szCs w:val="26"/>
          <w:lang w:val="en-GB"/>
        </w:rPr>
        <w:tab/>
      </w:r>
      <w:r w:rsidR="002726AE">
        <w:rPr>
          <w:rFonts w:cs="Times New Roman"/>
          <w:sz w:val="26"/>
          <w:szCs w:val="26"/>
          <w:lang w:val="en-GB"/>
        </w:rPr>
        <w:t xml:space="preserve">According to the respondent </w:t>
      </w:r>
      <w:r w:rsidR="00E154C1">
        <w:rPr>
          <w:rFonts w:cs="Times New Roman"/>
          <w:sz w:val="26"/>
          <w:szCs w:val="26"/>
          <w:lang w:val="en-GB"/>
        </w:rPr>
        <w:t>Nedbank</w:t>
      </w:r>
      <w:r w:rsidR="00D52593">
        <w:rPr>
          <w:rFonts w:cs="Times New Roman"/>
          <w:sz w:val="26"/>
          <w:szCs w:val="26"/>
          <w:lang w:val="en-GB"/>
        </w:rPr>
        <w:t>,</w:t>
      </w:r>
      <w:r w:rsidR="00E154C1">
        <w:rPr>
          <w:rFonts w:cs="Times New Roman"/>
          <w:sz w:val="26"/>
          <w:szCs w:val="26"/>
          <w:lang w:val="en-GB"/>
        </w:rPr>
        <w:t xml:space="preserve"> and the municipality are the</w:t>
      </w:r>
      <w:r w:rsidR="00037AD1">
        <w:rPr>
          <w:rFonts w:cs="Times New Roman"/>
          <w:sz w:val="26"/>
          <w:szCs w:val="26"/>
          <w:lang w:val="en-GB"/>
        </w:rPr>
        <w:t xml:space="preserve"> only creditors.  </w:t>
      </w:r>
      <w:r w:rsidR="00E570B5">
        <w:rPr>
          <w:rFonts w:cs="Times New Roman"/>
          <w:sz w:val="26"/>
          <w:szCs w:val="26"/>
          <w:lang w:val="en-GB"/>
        </w:rPr>
        <w:t xml:space="preserve">The applicant disputes this.  According to him the respondent has contingent liabilities to the value of approximately R12 150 000.00.  </w:t>
      </w:r>
      <w:r w:rsidR="00520DD1">
        <w:rPr>
          <w:rFonts w:cs="Times New Roman"/>
          <w:sz w:val="26"/>
          <w:szCs w:val="26"/>
          <w:lang w:val="en-GB"/>
        </w:rPr>
        <w:t>T</w:t>
      </w:r>
      <w:r w:rsidR="00781DBD">
        <w:rPr>
          <w:rFonts w:cs="Times New Roman"/>
          <w:sz w:val="26"/>
          <w:szCs w:val="26"/>
          <w:lang w:val="en-GB"/>
        </w:rPr>
        <w:t xml:space="preserve">he contingent liabilities will arise </w:t>
      </w:r>
      <w:r w:rsidR="00A71454">
        <w:rPr>
          <w:rFonts w:cs="Times New Roman"/>
          <w:sz w:val="26"/>
          <w:szCs w:val="26"/>
          <w:lang w:val="en-GB"/>
        </w:rPr>
        <w:t xml:space="preserve">if </w:t>
      </w:r>
      <w:r w:rsidR="00781DBD">
        <w:rPr>
          <w:rFonts w:cs="Times New Roman"/>
          <w:sz w:val="26"/>
          <w:szCs w:val="26"/>
          <w:lang w:val="en-GB"/>
        </w:rPr>
        <w:t xml:space="preserve">the property is sold </w:t>
      </w:r>
      <w:r w:rsidR="00A71454">
        <w:rPr>
          <w:rFonts w:cs="Times New Roman"/>
          <w:sz w:val="26"/>
          <w:szCs w:val="26"/>
          <w:lang w:val="en-GB"/>
        </w:rPr>
        <w:t xml:space="preserve">on the terms of a proposed draft sale of agreement </w:t>
      </w:r>
      <w:r w:rsidR="00520DD1">
        <w:rPr>
          <w:rFonts w:cs="Times New Roman"/>
          <w:sz w:val="26"/>
          <w:szCs w:val="26"/>
          <w:lang w:val="en-GB"/>
        </w:rPr>
        <w:t>in that e</w:t>
      </w:r>
      <w:r w:rsidR="00807F89">
        <w:rPr>
          <w:rFonts w:cs="Times New Roman"/>
          <w:sz w:val="26"/>
          <w:szCs w:val="26"/>
          <w:lang w:val="en-GB"/>
        </w:rPr>
        <w:t xml:space="preserve">state </w:t>
      </w:r>
      <w:r w:rsidR="00781DBD">
        <w:rPr>
          <w:rFonts w:cs="Times New Roman"/>
          <w:sz w:val="26"/>
          <w:szCs w:val="26"/>
          <w:lang w:val="en-GB"/>
        </w:rPr>
        <w:t>agent’s commission</w:t>
      </w:r>
      <w:r w:rsidR="00912DA5">
        <w:rPr>
          <w:rFonts w:cs="Times New Roman"/>
          <w:sz w:val="26"/>
          <w:szCs w:val="26"/>
          <w:lang w:val="en-GB"/>
        </w:rPr>
        <w:t xml:space="preserve"> will have to be </w:t>
      </w:r>
      <w:r w:rsidR="00807F89">
        <w:rPr>
          <w:rFonts w:cs="Times New Roman"/>
          <w:sz w:val="26"/>
          <w:szCs w:val="26"/>
          <w:lang w:val="en-GB"/>
        </w:rPr>
        <w:t>paid to Harcourts</w:t>
      </w:r>
      <w:r w:rsidR="00520DD1">
        <w:rPr>
          <w:rFonts w:cs="Times New Roman"/>
          <w:sz w:val="26"/>
          <w:szCs w:val="26"/>
          <w:lang w:val="en-GB"/>
        </w:rPr>
        <w:t xml:space="preserve"> estate agency</w:t>
      </w:r>
      <w:r w:rsidR="00807F89">
        <w:rPr>
          <w:rFonts w:cs="Times New Roman"/>
          <w:sz w:val="26"/>
          <w:szCs w:val="26"/>
          <w:lang w:val="en-GB"/>
        </w:rPr>
        <w:t>,</w:t>
      </w:r>
      <w:r w:rsidR="00C57852">
        <w:rPr>
          <w:rStyle w:val="FootnoteReference"/>
          <w:rFonts w:cs="Times New Roman"/>
          <w:sz w:val="26"/>
          <w:szCs w:val="26"/>
          <w:lang w:val="en-GB"/>
        </w:rPr>
        <w:footnoteReference w:id="2"/>
      </w:r>
      <w:r w:rsidR="00781DBD">
        <w:rPr>
          <w:rFonts w:cs="Times New Roman"/>
          <w:sz w:val="26"/>
          <w:szCs w:val="26"/>
          <w:lang w:val="en-GB"/>
        </w:rPr>
        <w:t xml:space="preserve"> legal fees</w:t>
      </w:r>
      <w:r w:rsidR="00C57852">
        <w:rPr>
          <w:rStyle w:val="FootnoteReference"/>
          <w:rFonts w:cs="Times New Roman"/>
          <w:sz w:val="26"/>
          <w:szCs w:val="26"/>
          <w:lang w:val="en-GB"/>
        </w:rPr>
        <w:footnoteReference w:id="3"/>
      </w:r>
      <w:r w:rsidR="00781DBD">
        <w:rPr>
          <w:rFonts w:cs="Times New Roman"/>
          <w:sz w:val="26"/>
          <w:szCs w:val="26"/>
          <w:lang w:val="en-GB"/>
        </w:rPr>
        <w:t xml:space="preserve"> </w:t>
      </w:r>
      <w:r w:rsidR="00807F89">
        <w:rPr>
          <w:rFonts w:cs="Times New Roman"/>
          <w:sz w:val="26"/>
          <w:szCs w:val="26"/>
          <w:lang w:val="en-GB"/>
        </w:rPr>
        <w:t xml:space="preserve">to Mr Shepperson, and </w:t>
      </w:r>
      <w:r w:rsidR="00781DBD">
        <w:rPr>
          <w:rFonts w:cs="Times New Roman"/>
          <w:sz w:val="26"/>
          <w:szCs w:val="26"/>
          <w:lang w:val="en-GB"/>
        </w:rPr>
        <w:t>an amount</w:t>
      </w:r>
      <w:r w:rsidR="00520DD1">
        <w:rPr>
          <w:rFonts w:cs="Times New Roman"/>
          <w:sz w:val="26"/>
          <w:szCs w:val="26"/>
          <w:lang w:val="en-GB"/>
        </w:rPr>
        <w:t xml:space="preserve"> </w:t>
      </w:r>
      <w:r w:rsidR="00520DD1">
        <w:rPr>
          <w:rStyle w:val="FootnoteReference"/>
          <w:rFonts w:cs="Times New Roman"/>
          <w:sz w:val="26"/>
          <w:szCs w:val="26"/>
          <w:lang w:val="en-GB"/>
        </w:rPr>
        <w:footnoteReference w:id="4"/>
      </w:r>
      <w:r w:rsidR="00781DBD">
        <w:rPr>
          <w:rFonts w:cs="Times New Roman"/>
          <w:sz w:val="26"/>
          <w:szCs w:val="26"/>
          <w:lang w:val="en-GB"/>
        </w:rPr>
        <w:t xml:space="preserve"> to </w:t>
      </w:r>
      <w:r w:rsidR="00F72B10">
        <w:rPr>
          <w:rFonts w:cs="Times New Roman"/>
          <w:sz w:val="26"/>
          <w:szCs w:val="26"/>
          <w:lang w:val="en-GB"/>
        </w:rPr>
        <w:t>Siboniseng</w:t>
      </w:r>
      <w:r w:rsidR="00781DBD">
        <w:rPr>
          <w:rFonts w:cs="Times New Roman"/>
          <w:sz w:val="26"/>
          <w:szCs w:val="26"/>
          <w:lang w:val="en-GB"/>
        </w:rPr>
        <w:t xml:space="preserve">.  </w:t>
      </w:r>
    </w:p>
    <w:p w14:paraId="71C3A0AB" w14:textId="01BF78F5" w:rsidR="00CF4C74"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12.</w:t>
      </w:r>
      <w:r>
        <w:rPr>
          <w:rFonts w:cs="Times New Roman"/>
          <w:sz w:val="26"/>
          <w:szCs w:val="26"/>
          <w:lang w:val="en-GB"/>
        </w:rPr>
        <w:tab/>
      </w:r>
      <w:r w:rsidR="00CF4C74">
        <w:rPr>
          <w:rFonts w:cs="Times New Roman"/>
          <w:sz w:val="26"/>
          <w:szCs w:val="26"/>
          <w:lang w:val="en-GB"/>
        </w:rPr>
        <w:t>It is trite that t</w:t>
      </w:r>
      <w:r w:rsidR="00CF4C74" w:rsidRPr="00A9584B">
        <w:rPr>
          <w:rFonts w:cs="Times New Roman"/>
          <w:sz w:val="26"/>
          <w:szCs w:val="26"/>
          <w:lang w:val="en-GB"/>
        </w:rPr>
        <w:t>he onus rests on</w:t>
      </w:r>
      <w:r w:rsidR="006B663D">
        <w:rPr>
          <w:rFonts w:cs="Times New Roman"/>
          <w:sz w:val="26"/>
          <w:szCs w:val="26"/>
          <w:lang w:val="en-GB"/>
        </w:rPr>
        <w:t xml:space="preserve"> the </w:t>
      </w:r>
      <w:r w:rsidR="006B663D" w:rsidRPr="00A9584B">
        <w:rPr>
          <w:rFonts w:cs="Times New Roman"/>
          <w:sz w:val="26"/>
          <w:szCs w:val="26"/>
          <w:lang w:val="en-GB"/>
        </w:rPr>
        <w:t xml:space="preserve">applicant </w:t>
      </w:r>
      <w:r w:rsidR="00CF4C74" w:rsidRPr="00A9584B">
        <w:rPr>
          <w:rFonts w:cs="Times New Roman"/>
          <w:sz w:val="26"/>
          <w:szCs w:val="26"/>
          <w:lang w:val="en-GB"/>
        </w:rPr>
        <w:t>to demonstrate insolvency.</w:t>
      </w:r>
      <w:r w:rsidR="00CF4C74">
        <w:rPr>
          <w:rFonts w:cs="Times New Roman"/>
          <w:sz w:val="26"/>
          <w:szCs w:val="26"/>
          <w:lang w:val="en-GB"/>
        </w:rPr>
        <w:t xml:space="preserve">  The applicant has </w:t>
      </w:r>
      <w:r w:rsidR="00807F89">
        <w:rPr>
          <w:rFonts w:cs="Times New Roman"/>
          <w:sz w:val="26"/>
          <w:szCs w:val="26"/>
          <w:lang w:val="en-GB"/>
        </w:rPr>
        <w:t xml:space="preserve">produced no evidence as to the value of the property. </w:t>
      </w:r>
      <w:r w:rsidR="00CF4C74">
        <w:rPr>
          <w:rFonts w:cs="Times New Roman"/>
          <w:sz w:val="26"/>
          <w:szCs w:val="26"/>
          <w:lang w:val="en-GB"/>
        </w:rPr>
        <w:t xml:space="preserve"> </w:t>
      </w:r>
      <w:r w:rsidR="00807F89">
        <w:rPr>
          <w:rFonts w:cs="Times New Roman"/>
          <w:sz w:val="26"/>
          <w:szCs w:val="26"/>
          <w:lang w:val="en-GB"/>
        </w:rPr>
        <w:t xml:space="preserve">In the replying affidavit the applicant points out with reference to the municipal statement of account that the market value of the property is R915 000.00.  </w:t>
      </w:r>
    </w:p>
    <w:p w14:paraId="0718D93C" w14:textId="0066C5D0" w:rsidR="00807F89"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13.</w:t>
      </w:r>
      <w:r>
        <w:rPr>
          <w:rFonts w:cs="Times New Roman"/>
          <w:sz w:val="26"/>
          <w:szCs w:val="26"/>
          <w:lang w:val="en-GB"/>
        </w:rPr>
        <w:tab/>
      </w:r>
      <w:r w:rsidR="00807F89">
        <w:rPr>
          <w:rFonts w:cs="Times New Roman"/>
          <w:sz w:val="26"/>
          <w:szCs w:val="26"/>
          <w:lang w:val="en-GB"/>
        </w:rPr>
        <w:t xml:space="preserve">The respondent’s liabilities comprise the debt owed to Nedbank and </w:t>
      </w:r>
      <w:r w:rsidR="006B663D">
        <w:rPr>
          <w:rFonts w:cs="Times New Roman"/>
          <w:sz w:val="26"/>
          <w:szCs w:val="26"/>
          <w:lang w:val="en-GB"/>
        </w:rPr>
        <w:t xml:space="preserve">that owed to </w:t>
      </w:r>
      <w:r w:rsidR="00807F89">
        <w:rPr>
          <w:rFonts w:cs="Times New Roman"/>
          <w:sz w:val="26"/>
          <w:szCs w:val="26"/>
          <w:lang w:val="en-GB"/>
        </w:rPr>
        <w:t xml:space="preserve">the municipality.  </w:t>
      </w:r>
      <w:r w:rsidR="00071E74">
        <w:rPr>
          <w:rFonts w:cs="Times New Roman"/>
          <w:sz w:val="26"/>
          <w:szCs w:val="26"/>
          <w:lang w:val="en-GB"/>
        </w:rPr>
        <w:t xml:space="preserve">Combined they are below R915 000.00.  </w:t>
      </w:r>
    </w:p>
    <w:p w14:paraId="4A5DAF3F" w14:textId="3E16812F" w:rsidR="00807F89"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14.</w:t>
      </w:r>
      <w:r>
        <w:rPr>
          <w:rFonts w:cs="Times New Roman"/>
          <w:sz w:val="26"/>
          <w:szCs w:val="26"/>
          <w:lang w:val="en-GB"/>
        </w:rPr>
        <w:tab/>
      </w:r>
      <w:r w:rsidR="00071E74">
        <w:rPr>
          <w:rFonts w:cs="Times New Roman"/>
          <w:sz w:val="26"/>
          <w:szCs w:val="26"/>
          <w:lang w:val="en-GB"/>
        </w:rPr>
        <w:t xml:space="preserve">The applicant’s claim that the respondent has contingent liabilities to the value of R12 150 000.00 </w:t>
      </w:r>
      <w:r w:rsidR="00D75C54">
        <w:rPr>
          <w:rFonts w:cs="Times New Roman"/>
          <w:sz w:val="26"/>
          <w:szCs w:val="26"/>
          <w:lang w:val="en-GB"/>
        </w:rPr>
        <w:t xml:space="preserve">arises from the failure to appreciate when a contingent or prospective liability arises.  </w:t>
      </w:r>
      <w:r w:rsidR="00807F89">
        <w:rPr>
          <w:rFonts w:cs="Times New Roman"/>
          <w:sz w:val="26"/>
          <w:szCs w:val="26"/>
          <w:lang w:val="en-GB"/>
        </w:rPr>
        <w:t xml:space="preserve">The source of the contingent liabilities contended for by the applicant is a proposed draft of an agreement for the sale of the property.  No agreement has been entered into.  A contingent or prospective liability arises from an existing </w:t>
      </w:r>
      <w:r w:rsidR="00807F89" w:rsidRPr="00912DA5">
        <w:rPr>
          <w:rFonts w:cs="Times New Roman"/>
          <w:i/>
          <w:iCs/>
          <w:sz w:val="26"/>
          <w:szCs w:val="26"/>
          <w:lang w:val="en-GB"/>
        </w:rPr>
        <w:t>vinculum juris</w:t>
      </w:r>
      <w:r w:rsidR="00D52593">
        <w:rPr>
          <w:rFonts w:cs="Times New Roman"/>
          <w:i/>
          <w:iCs/>
          <w:sz w:val="26"/>
          <w:szCs w:val="26"/>
          <w:lang w:val="en-GB"/>
        </w:rPr>
        <w:t> </w:t>
      </w:r>
      <w:r w:rsidR="00211F69">
        <w:rPr>
          <w:rStyle w:val="FootnoteReference"/>
          <w:rFonts w:cs="Times New Roman"/>
          <w:sz w:val="26"/>
          <w:szCs w:val="26"/>
          <w:lang w:val="en-GB"/>
        </w:rPr>
        <w:footnoteReference w:id="5"/>
      </w:r>
      <w:r w:rsidR="00211F69">
        <w:rPr>
          <w:rFonts w:cs="Times New Roman"/>
          <w:i/>
          <w:iCs/>
          <w:sz w:val="26"/>
          <w:szCs w:val="26"/>
          <w:lang w:val="en-GB"/>
        </w:rPr>
        <w:t xml:space="preserve"> </w:t>
      </w:r>
      <w:r w:rsidR="00211F69">
        <w:rPr>
          <w:rFonts w:cs="Times New Roman"/>
          <w:sz w:val="26"/>
          <w:szCs w:val="26"/>
          <w:lang w:val="en-GB"/>
        </w:rPr>
        <w:t>between the creditor and debtor.</w:t>
      </w:r>
      <w:r w:rsidR="00807F89">
        <w:rPr>
          <w:rFonts w:cs="Times New Roman"/>
          <w:sz w:val="26"/>
          <w:szCs w:val="26"/>
          <w:lang w:val="en-GB"/>
        </w:rPr>
        <w:t xml:space="preserve">  The respondent has no legal obligation to pay the estate agent, the attorney or the holder of the </w:t>
      </w:r>
      <w:r w:rsidR="003F3DDC">
        <w:rPr>
          <w:rFonts w:cs="Times New Roman"/>
          <w:sz w:val="26"/>
          <w:szCs w:val="26"/>
          <w:lang w:val="en-GB"/>
        </w:rPr>
        <w:t xml:space="preserve">development </w:t>
      </w:r>
      <w:r w:rsidR="00807F89">
        <w:rPr>
          <w:rFonts w:cs="Times New Roman"/>
          <w:sz w:val="26"/>
          <w:szCs w:val="26"/>
          <w:lang w:val="en-GB"/>
        </w:rPr>
        <w:t>rights.</w:t>
      </w:r>
      <w:r w:rsidR="00211F69">
        <w:rPr>
          <w:rStyle w:val="FootnoteReference"/>
          <w:rFonts w:cs="Times New Roman"/>
          <w:sz w:val="26"/>
          <w:szCs w:val="26"/>
          <w:lang w:val="en-GB"/>
        </w:rPr>
        <w:footnoteReference w:id="6"/>
      </w:r>
      <w:r w:rsidR="00807F89">
        <w:rPr>
          <w:rFonts w:cs="Times New Roman"/>
          <w:sz w:val="26"/>
          <w:szCs w:val="26"/>
          <w:lang w:val="en-GB"/>
        </w:rPr>
        <w:t xml:space="preserve">  And none of them </w:t>
      </w:r>
      <w:r w:rsidR="00356A4E">
        <w:rPr>
          <w:rFonts w:cs="Times New Roman"/>
          <w:sz w:val="26"/>
          <w:szCs w:val="26"/>
          <w:lang w:val="en-GB"/>
        </w:rPr>
        <w:t>have a legal right to enforce payment.</w:t>
      </w:r>
      <w:r w:rsidR="00356A4E">
        <w:rPr>
          <w:rStyle w:val="FootnoteReference"/>
          <w:rFonts w:cs="Times New Roman"/>
          <w:sz w:val="26"/>
          <w:szCs w:val="26"/>
          <w:lang w:val="en-GB"/>
        </w:rPr>
        <w:footnoteReference w:id="7"/>
      </w:r>
      <w:r w:rsidR="00356A4E">
        <w:rPr>
          <w:rFonts w:cs="Times New Roman"/>
          <w:sz w:val="26"/>
          <w:szCs w:val="26"/>
          <w:lang w:val="en-GB"/>
        </w:rPr>
        <w:t xml:space="preserve">  </w:t>
      </w:r>
    </w:p>
    <w:p w14:paraId="6FB08EBE" w14:textId="176CA584" w:rsidR="009D31B7"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15.</w:t>
      </w:r>
      <w:r>
        <w:rPr>
          <w:rFonts w:cs="Times New Roman"/>
          <w:sz w:val="26"/>
          <w:szCs w:val="26"/>
          <w:lang w:val="en-GB"/>
        </w:rPr>
        <w:tab/>
      </w:r>
      <w:r w:rsidR="00D75C54">
        <w:rPr>
          <w:rFonts w:cs="Times New Roman"/>
          <w:sz w:val="26"/>
          <w:szCs w:val="26"/>
          <w:lang w:val="en-GB"/>
        </w:rPr>
        <w:t>Apart from Nedbank and the municipality</w:t>
      </w:r>
      <w:r w:rsidR="00D52593">
        <w:rPr>
          <w:rFonts w:cs="Times New Roman"/>
          <w:sz w:val="26"/>
          <w:szCs w:val="26"/>
          <w:lang w:val="en-GB"/>
        </w:rPr>
        <w:t>,</w:t>
      </w:r>
      <w:r w:rsidR="00D75C54">
        <w:rPr>
          <w:rFonts w:cs="Times New Roman"/>
          <w:sz w:val="26"/>
          <w:szCs w:val="26"/>
          <w:lang w:val="en-GB"/>
        </w:rPr>
        <w:t xml:space="preserve"> there are no other liabilities</w:t>
      </w:r>
      <w:r w:rsidR="00D52593">
        <w:rPr>
          <w:rFonts w:cs="Times New Roman"/>
          <w:sz w:val="26"/>
          <w:szCs w:val="26"/>
          <w:lang w:val="en-GB"/>
        </w:rPr>
        <w:t>;</w:t>
      </w:r>
      <w:r w:rsidR="00D75C54">
        <w:rPr>
          <w:rFonts w:cs="Times New Roman"/>
          <w:sz w:val="26"/>
          <w:szCs w:val="26"/>
          <w:lang w:val="en-GB"/>
        </w:rPr>
        <w:t xml:space="preserve"> neither actual nor contingent or prospective.  </w:t>
      </w:r>
      <w:r w:rsidR="002D312A">
        <w:rPr>
          <w:rFonts w:cs="Times New Roman"/>
          <w:sz w:val="26"/>
          <w:szCs w:val="26"/>
          <w:lang w:val="en-GB"/>
        </w:rPr>
        <w:t>The respondent’s assets exceed its liabilities.</w:t>
      </w:r>
    </w:p>
    <w:p w14:paraId="3F7E96D2" w14:textId="05EAAFF3" w:rsidR="00E154C1"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16.</w:t>
      </w:r>
      <w:r>
        <w:rPr>
          <w:rFonts w:cs="Times New Roman"/>
          <w:sz w:val="26"/>
          <w:szCs w:val="26"/>
          <w:lang w:val="en-GB"/>
        </w:rPr>
        <w:tab/>
      </w:r>
      <w:r w:rsidR="00E154C1" w:rsidRPr="009D31B7">
        <w:rPr>
          <w:rFonts w:cs="Times New Roman"/>
          <w:sz w:val="26"/>
          <w:szCs w:val="26"/>
          <w:lang w:val="en-GB"/>
        </w:rPr>
        <w:t xml:space="preserve">The applicant’s case in the founding affidavit for commercial insolvency was the </w:t>
      </w:r>
      <w:r w:rsidR="006660A5">
        <w:rPr>
          <w:rFonts w:cs="Times New Roman"/>
          <w:sz w:val="26"/>
          <w:szCs w:val="26"/>
          <w:lang w:val="en-GB"/>
        </w:rPr>
        <w:t xml:space="preserve">default </w:t>
      </w:r>
      <w:r w:rsidR="00E154C1" w:rsidRPr="009D31B7">
        <w:rPr>
          <w:rFonts w:cs="Times New Roman"/>
          <w:sz w:val="26"/>
          <w:szCs w:val="26"/>
          <w:lang w:val="en-GB"/>
        </w:rPr>
        <w:t>judgment granted in favour of Nedbank.  However, the arrears were paid</w:t>
      </w:r>
      <w:r w:rsidR="00E154C1">
        <w:rPr>
          <w:rFonts w:cs="Times New Roman"/>
          <w:sz w:val="26"/>
          <w:szCs w:val="26"/>
          <w:lang w:val="en-GB"/>
        </w:rPr>
        <w:t>,</w:t>
      </w:r>
      <w:r w:rsidR="00E154C1" w:rsidRPr="009D31B7">
        <w:rPr>
          <w:rFonts w:cs="Times New Roman"/>
          <w:sz w:val="26"/>
          <w:szCs w:val="26"/>
          <w:lang w:val="en-GB"/>
        </w:rPr>
        <w:t xml:space="preserve"> and the respondent entered into an agreement with Nedbank for the payment of </w:t>
      </w:r>
      <w:r w:rsidR="00E154C1" w:rsidRPr="009D31B7">
        <w:rPr>
          <w:rFonts w:cs="Times New Roman"/>
          <w:sz w:val="26"/>
          <w:szCs w:val="26"/>
          <w:lang w:val="en-GB"/>
        </w:rPr>
        <w:lastRenderedPageBreak/>
        <w:t>the outstanding amount.</w:t>
      </w:r>
      <w:r w:rsidR="00E154C1">
        <w:rPr>
          <w:rFonts w:cs="Times New Roman"/>
          <w:sz w:val="26"/>
          <w:szCs w:val="26"/>
          <w:lang w:val="en-GB"/>
        </w:rPr>
        <w:t xml:space="preserve"> </w:t>
      </w:r>
      <w:r w:rsidR="00E154C1" w:rsidRPr="009D31B7">
        <w:rPr>
          <w:rFonts w:cs="Times New Roman"/>
          <w:sz w:val="26"/>
          <w:szCs w:val="26"/>
          <w:lang w:val="en-GB"/>
        </w:rPr>
        <w:t xml:space="preserve"> </w:t>
      </w:r>
      <w:r w:rsidR="00E154C1">
        <w:rPr>
          <w:rFonts w:cs="Times New Roman"/>
          <w:sz w:val="26"/>
          <w:szCs w:val="26"/>
          <w:lang w:val="en-GB"/>
        </w:rPr>
        <w:t>The applicant argues that the failure to adhere to the payment arrangement with Nedbank and the failure to pay rates and taxes for more than five years demonstrates that the respondent is unable to pay its debts</w:t>
      </w:r>
      <w:r w:rsidR="00D75C54">
        <w:rPr>
          <w:rFonts w:cs="Times New Roman"/>
          <w:sz w:val="26"/>
          <w:szCs w:val="26"/>
          <w:lang w:val="en-GB"/>
        </w:rPr>
        <w:t>.</w:t>
      </w:r>
      <w:r w:rsidR="00FD42C6">
        <w:rPr>
          <w:rFonts w:cs="Times New Roman"/>
          <w:sz w:val="26"/>
          <w:szCs w:val="26"/>
          <w:lang w:val="en-GB"/>
        </w:rPr>
        <w:t xml:space="preserve"> </w:t>
      </w:r>
      <w:r w:rsidR="002D312A">
        <w:rPr>
          <w:rFonts w:cs="Times New Roman"/>
          <w:sz w:val="26"/>
          <w:szCs w:val="26"/>
          <w:lang w:val="en-GB"/>
        </w:rPr>
        <w:t xml:space="preserve"> </w:t>
      </w:r>
    </w:p>
    <w:p w14:paraId="79BA6420" w14:textId="71FCAFA1" w:rsidR="00F4434E"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17.</w:t>
      </w:r>
      <w:r>
        <w:rPr>
          <w:rFonts w:cs="Times New Roman"/>
          <w:sz w:val="26"/>
          <w:szCs w:val="26"/>
          <w:lang w:val="en-GB"/>
        </w:rPr>
        <w:tab/>
      </w:r>
      <w:r w:rsidR="00F4434E">
        <w:rPr>
          <w:rFonts w:cs="Times New Roman"/>
          <w:sz w:val="26"/>
          <w:szCs w:val="26"/>
          <w:lang w:val="en-GB"/>
        </w:rPr>
        <w:t>The respondent’s only asset is 1</w:t>
      </w:r>
      <w:r w:rsidR="00013A41">
        <w:rPr>
          <w:rFonts w:cs="Times New Roman"/>
          <w:sz w:val="26"/>
          <w:szCs w:val="26"/>
          <w:lang w:val="en-GB"/>
        </w:rPr>
        <w:t>1,</w:t>
      </w:r>
      <w:r w:rsidR="00F4434E">
        <w:rPr>
          <w:rFonts w:cs="Times New Roman"/>
          <w:sz w:val="26"/>
          <w:szCs w:val="26"/>
          <w:lang w:val="en-GB"/>
        </w:rPr>
        <w:t xml:space="preserve">4212 hectares of agricultural land.  The applicant knew that the property was to be purchased as an investment and he agreed to the formation of the respondent on this basis and acquired shares therein.  </w:t>
      </w:r>
    </w:p>
    <w:p w14:paraId="0743E226" w14:textId="6F03706B" w:rsidR="002D312A"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18.</w:t>
      </w:r>
      <w:r>
        <w:rPr>
          <w:rFonts w:cs="Times New Roman"/>
          <w:sz w:val="26"/>
          <w:szCs w:val="26"/>
          <w:lang w:val="en-GB"/>
        </w:rPr>
        <w:tab/>
      </w:r>
      <w:r w:rsidR="002D312A">
        <w:rPr>
          <w:rFonts w:cs="Times New Roman"/>
          <w:sz w:val="26"/>
          <w:szCs w:val="26"/>
          <w:lang w:val="en-GB"/>
        </w:rPr>
        <w:t xml:space="preserve">Caney J in </w:t>
      </w:r>
      <w:r w:rsidR="002D312A" w:rsidRPr="00F317BA">
        <w:rPr>
          <w:rFonts w:cs="Times New Roman"/>
          <w:i/>
          <w:iCs/>
          <w:sz w:val="26"/>
          <w:szCs w:val="26"/>
          <w:lang w:val="en-GB"/>
        </w:rPr>
        <w:t>Rosenbach &amp; Co (Pty) Ltd v Singh’s Bazaars (Pty) Ltd</w:t>
      </w:r>
      <w:r w:rsidR="002D312A">
        <w:rPr>
          <w:rFonts w:cs="Times New Roman"/>
          <w:sz w:val="26"/>
          <w:szCs w:val="26"/>
          <w:lang w:val="en-GB"/>
        </w:rPr>
        <w:t xml:space="preserve"> set out the test for the winding-up of a company on the grounds of commercial insolvency as follows:</w:t>
      </w:r>
    </w:p>
    <w:p w14:paraId="52477158" w14:textId="77777777" w:rsidR="002D312A" w:rsidRPr="00F317BA" w:rsidRDefault="002D312A" w:rsidP="002D312A">
      <w:pPr>
        <w:spacing w:before="100" w:after="40" w:line="240" w:lineRule="auto"/>
        <w:ind w:left="720"/>
        <w:jc w:val="both"/>
        <w:rPr>
          <w:rFonts w:cs="Times New Roman"/>
          <w:lang w:val="en-GB"/>
        </w:rPr>
      </w:pPr>
      <w:r>
        <w:rPr>
          <w:rFonts w:cs="Times New Roman"/>
          <w:i/>
          <w:iCs/>
          <w:sz w:val="26"/>
          <w:szCs w:val="26"/>
          <w:lang w:val="en-GB"/>
        </w:rPr>
        <w:t>“</w:t>
      </w:r>
      <w:r w:rsidRPr="00F317BA">
        <w:rPr>
          <w:rFonts w:cs="Times New Roman"/>
          <w:lang w:val="en-GB"/>
        </w:rPr>
        <w:t>The proper approach in deciding the question whether a company should be wound up on this ground appears to me, in the light of what I have said, to be that, if it is established that a company is unable to pay its debts, in the sense of being unable to meet the current demands upon it, its day to day liabilities in the ordinary course of its business, it is in a state of commercial insolvency; that it is unable to pay its debts may be established by the means provided in para. (a) or para. (b) of sec. 112</w:t>
      </w:r>
      <w:r>
        <w:rPr>
          <w:rFonts w:cs="Times New Roman"/>
          <w:lang w:val="en-GB"/>
        </w:rPr>
        <w:t>,</w:t>
      </w:r>
      <w:r w:rsidRPr="00F317BA">
        <w:rPr>
          <w:rFonts w:cs="Times New Roman"/>
          <w:lang w:val="en-GB"/>
        </w:rPr>
        <w:t xml:space="preserve"> or in any other way, by proper evidence. If the company is in fact solvent, in the sense of its assets exceeding its liabilities, this may or may not, depending upon the circumstances, lead to a refusal of a winding-up order; the circumstances particularly to be taken into consideration against the making of an order are such as show that there are liquid assets or readily realisable assets available out of which, or the proceeds of which, the company is in fact able to pay its debts. Cf. Chandlers Ltd v Dealesville Hotel (Pty.) Ltd., 1954 (4) SA 748 (O) at p. 749. Nevertheless, in exercising its powers the Court will have regard to the fact that</w:t>
      </w:r>
    </w:p>
    <w:p w14:paraId="19D416E3" w14:textId="77777777" w:rsidR="002D312A" w:rsidRPr="00F317BA" w:rsidRDefault="002D312A" w:rsidP="002D312A">
      <w:pPr>
        <w:spacing w:before="100" w:after="40" w:line="240" w:lineRule="auto"/>
        <w:ind w:left="1440"/>
        <w:jc w:val="both"/>
        <w:rPr>
          <w:rFonts w:cs="Times New Roman"/>
          <w:lang w:val="en-GB"/>
        </w:rPr>
      </w:pPr>
      <w:r w:rsidRPr="00F317BA">
        <w:rPr>
          <w:rFonts w:cs="Times New Roman"/>
          <w:lang w:val="en-GB"/>
        </w:rPr>
        <w:t>'a creditor who cannot obtain payment of his debt is entitled as between himself and the company ex debito justitiae to an order if he brings his case within the Act. He is not bound to give time'.</w:t>
      </w:r>
    </w:p>
    <w:p w14:paraId="787EB4BD" w14:textId="77777777" w:rsidR="002D312A" w:rsidRPr="00F317BA" w:rsidRDefault="002D312A" w:rsidP="002D312A">
      <w:pPr>
        <w:spacing w:before="100" w:after="40" w:line="240" w:lineRule="auto"/>
        <w:ind w:left="720" w:firstLine="720"/>
        <w:jc w:val="both"/>
        <w:rPr>
          <w:rFonts w:cs="Times New Roman"/>
          <w:lang w:val="en-GB"/>
        </w:rPr>
      </w:pPr>
      <w:r w:rsidRPr="00F317BA">
        <w:rPr>
          <w:rFonts w:cs="Times New Roman"/>
          <w:lang w:val="en-GB"/>
        </w:rPr>
        <w:t>Buckley, p. 450.</w:t>
      </w:r>
    </w:p>
    <w:p w14:paraId="2FE8B24B" w14:textId="77777777" w:rsidR="002D312A" w:rsidRPr="00F317BA" w:rsidRDefault="002D312A" w:rsidP="002D312A">
      <w:pPr>
        <w:spacing w:before="100" w:after="40" w:line="240" w:lineRule="auto"/>
        <w:ind w:left="720"/>
        <w:jc w:val="both"/>
        <w:rPr>
          <w:rFonts w:cs="Times New Roman"/>
          <w:lang w:val="en-GB"/>
        </w:rPr>
      </w:pPr>
      <w:r w:rsidRPr="00F317BA">
        <w:rPr>
          <w:rFonts w:cs="Times New Roman"/>
          <w:lang w:val="en-GB"/>
        </w:rPr>
        <w:t>This view is supported also by Palmer at p. 27:</w:t>
      </w:r>
    </w:p>
    <w:p w14:paraId="0D0CB600" w14:textId="77777777" w:rsidR="002D312A" w:rsidRPr="00F317BA" w:rsidRDefault="002D312A" w:rsidP="002D312A">
      <w:pPr>
        <w:spacing w:before="100" w:after="40" w:line="240" w:lineRule="auto"/>
        <w:ind w:left="1440"/>
        <w:jc w:val="both"/>
        <w:rPr>
          <w:rFonts w:cs="Times New Roman"/>
          <w:lang w:val="en-GB"/>
        </w:rPr>
      </w:pPr>
      <w:r w:rsidRPr="00F317BA">
        <w:rPr>
          <w:rFonts w:cs="Times New Roman"/>
          <w:lang w:val="en-GB"/>
        </w:rPr>
        <w:t>'The fact that there is due to the petitioner a liquidated sum, that the debt is not disputed, and that the petitioner has demanded payment without success, affords cogent prima facie evidence of the company's inability to pay its debts, and is the evidence most commonly relied on.'</w:t>
      </w:r>
    </w:p>
    <w:p w14:paraId="3BAECDCE" w14:textId="77777777" w:rsidR="002D312A" w:rsidRPr="00F317BA" w:rsidRDefault="002D312A" w:rsidP="002D312A">
      <w:pPr>
        <w:spacing w:before="100" w:after="40" w:line="240" w:lineRule="auto"/>
        <w:ind w:left="720"/>
        <w:jc w:val="both"/>
        <w:rPr>
          <w:rFonts w:cs="Times New Roman"/>
          <w:lang w:val="en-GB"/>
        </w:rPr>
      </w:pPr>
      <w:r w:rsidRPr="00F317BA">
        <w:rPr>
          <w:rFonts w:cs="Times New Roman"/>
          <w:lang w:val="en-GB"/>
        </w:rPr>
        <w:t>This appears to me to accord with sound business principles, for a concern which is not in financial difficulties ought to be able to pay its way from current revenue or readily available resources.</w:t>
      </w:r>
    </w:p>
    <w:p w14:paraId="28AAEDC3" w14:textId="0D28BDBB" w:rsidR="00FD42C6" w:rsidRPr="00F317BA" w:rsidRDefault="004200A4" w:rsidP="004200A4">
      <w:pPr>
        <w:spacing w:before="100" w:after="40" w:line="360" w:lineRule="auto"/>
        <w:ind w:left="567" w:hanging="567"/>
        <w:jc w:val="both"/>
        <w:rPr>
          <w:rFonts w:cs="Times New Roman"/>
          <w:lang w:val="en-GB"/>
        </w:rPr>
      </w:pPr>
      <w:r w:rsidRPr="00F317BA">
        <w:rPr>
          <w:rFonts w:cs="Times New Roman"/>
          <w:sz w:val="26"/>
          <w:szCs w:val="26"/>
          <w:lang w:val="en-GB"/>
        </w:rPr>
        <w:t>19.</w:t>
      </w:r>
      <w:r w:rsidRPr="00F317BA">
        <w:rPr>
          <w:rFonts w:cs="Times New Roman"/>
          <w:sz w:val="26"/>
          <w:szCs w:val="26"/>
          <w:lang w:val="en-GB"/>
        </w:rPr>
        <w:tab/>
      </w:r>
      <w:r w:rsidR="00281498" w:rsidRPr="00F4434E">
        <w:rPr>
          <w:rFonts w:cs="Times New Roman"/>
          <w:sz w:val="26"/>
          <w:szCs w:val="26"/>
          <w:lang w:val="en-GB"/>
        </w:rPr>
        <w:t xml:space="preserve">The respondent is not a trading company; </w:t>
      </w:r>
      <w:r w:rsidR="002D312A">
        <w:rPr>
          <w:rFonts w:cs="Times New Roman"/>
          <w:sz w:val="26"/>
          <w:szCs w:val="26"/>
          <w:lang w:val="en-GB"/>
        </w:rPr>
        <w:t xml:space="preserve">it does not carry on business and </w:t>
      </w:r>
      <w:r w:rsidR="00281498" w:rsidRPr="00F4434E">
        <w:rPr>
          <w:rFonts w:cs="Times New Roman"/>
          <w:sz w:val="26"/>
          <w:szCs w:val="26"/>
          <w:lang w:val="en-GB"/>
        </w:rPr>
        <w:t xml:space="preserve">has no income.  </w:t>
      </w:r>
      <w:r w:rsidR="006660A5">
        <w:rPr>
          <w:rFonts w:cs="Times New Roman"/>
          <w:sz w:val="26"/>
          <w:szCs w:val="26"/>
          <w:lang w:val="en-GB"/>
        </w:rPr>
        <w:t xml:space="preserve">It is </w:t>
      </w:r>
      <w:r w:rsidR="002D312A">
        <w:rPr>
          <w:rFonts w:cs="Times New Roman"/>
          <w:sz w:val="26"/>
          <w:szCs w:val="26"/>
          <w:lang w:val="en-GB"/>
        </w:rPr>
        <w:t>not a company incurring debts on a daily basis in the ordinary course of business.</w:t>
      </w:r>
      <w:r w:rsidR="002D312A" w:rsidRPr="00F4434E">
        <w:rPr>
          <w:rFonts w:cs="Times New Roman"/>
          <w:sz w:val="26"/>
          <w:szCs w:val="26"/>
          <w:lang w:val="en-GB"/>
        </w:rPr>
        <w:t xml:space="preserve"> </w:t>
      </w:r>
      <w:r w:rsidR="002D312A">
        <w:rPr>
          <w:rFonts w:cs="Times New Roman"/>
          <w:sz w:val="26"/>
          <w:szCs w:val="26"/>
          <w:lang w:val="en-GB"/>
        </w:rPr>
        <w:t xml:space="preserve"> </w:t>
      </w:r>
      <w:r w:rsidR="00F4434E" w:rsidRPr="00F4434E">
        <w:rPr>
          <w:rFonts w:cs="Times New Roman"/>
          <w:sz w:val="26"/>
          <w:szCs w:val="26"/>
          <w:lang w:val="en-GB"/>
        </w:rPr>
        <w:t>Both the debt to Nedbank and the municipality stem from the ownership of the land</w:t>
      </w:r>
      <w:r w:rsidR="002D312A">
        <w:rPr>
          <w:rFonts w:cs="Times New Roman"/>
          <w:sz w:val="26"/>
          <w:szCs w:val="26"/>
          <w:lang w:val="en-GB"/>
        </w:rPr>
        <w:t xml:space="preserve"> and have not been incurred in the ordinary course of business</w:t>
      </w:r>
      <w:r w:rsidR="00F4434E">
        <w:rPr>
          <w:rFonts w:cs="Times New Roman"/>
          <w:sz w:val="26"/>
          <w:szCs w:val="26"/>
          <w:lang w:val="en-GB"/>
        </w:rPr>
        <w:t xml:space="preserve">.  </w:t>
      </w:r>
    </w:p>
    <w:p w14:paraId="58F08DCA" w14:textId="546DA390" w:rsidR="00181EFE" w:rsidRPr="00627E18" w:rsidRDefault="004200A4" w:rsidP="004200A4">
      <w:pPr>
        <w:spacing w:before="100" w:after="40" w:line="360" w:lineRule="auto"/>
        <w:ind w:left="567" w:hanging="567"/>
        <w:jc w:val="both"/>
        <w:rPr>
          <w:rFonts w:cs="Times New Roman"/>
          <w:sz w:val="26"/>
          <w:szCs w:val="26"/>
          <w:lang w:val="en-GB"/>
        </w:rPr>
      </w:pPr>
      <w:r w:rsidRPr="00627E18">
        <w:rPr>
          <w:rFonts w:cs="Times New Roman"/>
          <w:sz w:val="26"/>
          <w:szCs w:val="26"/>
          <w:lang w:val="en-GB"/>
        </w:rPr>
        <w:t>20.</w:t>
      </w:r>
      <w:r w:rsidRPr="00627E18">
        <w:rPr>
          <w:rFonts w:cs="Times New Roman"/>
          <w:sz w:val="26"/>
          <w:szCs w:val="26"/>
          <w:lang w:val="en-GB"/>
        </w:rPr>
        <w:tab/>
      </w:r>
      <w:r w:rsidR="00627E18">
        <w:rPr>
          <w:rFonts w:cs="Times New Roman"/>
          <w:sz w:val="26"/>
          <w:szCs w:val="26"/>
          <w:lang w:val="en-GB"/>
        </w:rPr>
        <w:t xml:space="preserve">Where an applicant for the </w:t>
      </w:r>
      <w:r w:rsidR="006660A5">
        <w:rPr>
          <w:rFonts w:cs="Times New Roman"/>
          <w:sz w:val="26"/>
          <w:szCs w:val="26"/>
          <w:lang w:val="en-GB"/>
        </w:rPr>
        <w:t>winding-up</w:t>
      </w:r>
      <w:r w:rsidR="00627E18">
        <w:rPr>
          <w:rFonts w:cs="Times New Roman"/>
          <w:sz w:val="26"/>
          <w:szCs w:val="26"/>
          <w:lang w:val="en-GB"/>
        </w:rPr>
        <w:t xml:space="preserve"> of a company is owed a debt that the company cannot pay, the court’s discretion to refuse a winding-up order is </w:t>
      </w:r>
      <w:r w:rsidR="00627E18">
        <w:rPr>
          <w:rFonts w:cs="Times New Roman"/>
          <w:sz w:val="26"/>
          <w:szCs w:val="26"/>
          <w:lang w:val="en-GB"/>
        </w:rPr>
        <w:lastRenderedPageBreak/>
        <w:t>limited.</w:t>
      </w:r>
      <w:r w:rsidR="00D52593">
        <w:rPr>
          <w:rFonts w:cs="Times New Roman"/>
          <w:sz w:val="26"/>
          <w:szCs w:val="26"/>
          <w:lang w:val="en-GB"/>
        </w:rPr>
        <w:t> </w:t>
      </w:r>
      <w:r w:rsidR="00627E18">
        <w:rPr>
          <w:rStyle w:val="FootnoteReference"/>
          <w:rFonts w:cs="Times New Roman"/>
          <w:sz w:val="26"/>
          <w:szCs w:val="26"/>
          <w:lang w:val="en-GB"/>
        </w:rPr>
        <w:footnoteReference w:id="8"/>
      </w:r>
      <w:r w:rsidR="00627E18">
        <w:rPr>
          <w:rFonts w:cs="Times New Roman"/>
          <w:sz w:val="26"/>
          <w:szCs w:val="26"/>
          <w:lang w:val="en-GB"/>
        </w:rPr>
        <w:t xml:space="preserve">  </w:t>
      </w:r>
      <w:r w:rsidR="002D312A" w:rsidRPr="00627E18">
        <w:rPr>
          <w:rFonts w:cs="Times New Roman"/>
          <w:sz w:val="26"/>
          <w:szCs w:val="26"/>
          <w:lang w:val="en-GB"/>
        </w:rPr>
        <w:t xml:space="preserve">The applicant is </w:t>
      </w:r>
      <w:r w:rsidR="00627E18">
        <w:rPr>
          <w:rFonts w:cs="Times New Roman"/>
          <w:sz w:val="26"/>
          <w:szCs w:val="26"/>
          <w:lang w:val="en-GB"/>
        </w:rPr>
        <w:t xml:space="preserve">however </w:t>
      </w:r>
      <w:r w:rsidR="002D312A" w:rsidRPr="00627E18">
        <w:rPr>
          <w:rFonts w:cs="Times New Roman"/>
          <w:sz w:val="26"/>
          <w:szCs w:val="26"/>
          <w:lang w:val="en-GB"/>
        </w:rPr>
        <w:t xml:space="preserve">not </w:t>
      </w:r>
      <w:r w:rsidR="00627E18">
        <w:rPr>
          <w:rFonts w:cs="Times New Roman"/>
          <w:sz w:val="26"/>
          <w:szCs w:val="26"/>
          <w:lang w:val="en-GB"/>
        </w:rPr>
        <w:t xml:space="preserve">an </w:t>
      </w:r>
      <w:r w:rsidR="002D312A" w:rsidRPr="00627E18">
        <w:rPr>
          <w:rFonts w:cs="Times New Roman"/>
          <w:sz w:val="26"/>
          <w:szCs w:val="26"/>
          <w:lang w:val="en-GB"/>
        </w:rPr>
        <w:t xml:space="preserve">unpaid creditor.  This is therefore not a case of an applicant having the right </w:t>
      </w:r>
      <w:r w:rsidR="002D312A" w:rsidRPr="00627E18">
        <w:rPr>
          <w:rFonts w:cs="Times New Roman"/>
          <w:i/>
          <w:iCs/>
          <w:sz w:val="26"/>
          <w:szCs w:val="26"/>
          <w:lang w:val="en-GB"/>
        </w:rPr>
        <w:t xml:space="preserve">ex debito justitiae </w:t>
      </w:r>
      <w:r w:rsidR="002D312A" w:rsidRPr="00627E18">
        <w:rPr>
          <w:rFonts w:cs="Times New Roman"/>
          <w:sz w:val="26"/>
          <w:szCs w:val="26"/>
          <w:lang w:val="en-GB"/>
        </w:rPr>
        <w:t xml:space="preserve">to an order winding up a company that has not discharged its debt.  </w:t>
      </w:r>
    </w:p>
    <w:p w14:paraId="57A1220F" w14:textId="44F70AFF" w:rsidR="00627E18" w:rsidRPr="00F317BA" w:rsidRDefault="004200A4" w:rsidP="004200A4">
      <w:pPr>
        <w:spacing w:before="100" w:after="40" w:line="360" w:lineRule="auto"/>
        <w:ind w:left="567" w:hanging="567"/>
        <w:jc w:val="both"/>
        <w:rPr>
          <w:rFonts w:cs="Times New Roman"/>
          <w:lang w:val="en-GB"/>
        </w:rPr>
      </w:pPr>
      <w:r w:rsidRPr="00F317BA">
        <w:rPr>
          <w:rFonts w:cs="Times New Roman"/>
          <w:sz w:val="26"/>
          <w:szCs w:val="26"/>
          <w:lang w:val="en-GB"/>
        </w:rPr>
        <w:t>21.</w:t>
      </w:r>
      <w:r w:rsidRPr="00F317BA">
        <w:rPr>
          <w:rFonts w:cs="Times New Roman"/>
          <w:sz w:val="26"/>
          <w:szCs w:val="26"/>
          <w:lang w:val="en-GB"/>
        </w:rPr>
        <w:tab/>
      </w:r>
      <w:r w:rsidR="00627E18">
        <w:rPr>
          <w:rFonts w:cs="Times New Roman"/>
          <w:sz w:val="26"/>
          <w:szCs w:val="26"/>
          <w:lang w:val="en-GB"/>
        </w:rPr>
        <w:t xml:space="preserve">I consider </w:t>
      </w:r>
      <w:r w:rsidR="00A909D3">
        <w:rPr>
          <w:rFonts w:cs="Times New Roman"/>
          <w:sz w:val="26"/>
          <w:szCs w:val="26"/>
          <w:lang w:val="en-GB"/>
        </w:rPr>
        <w:t xml:space="preserve">now </w:t>
      </w:r>
      <w:r w:rsidR="00627E18">
        <w:rPr>
          <w:rFonts w:cs="Times New Roman"/>
          <w:sz w:val="26"/>
          <w:szCs w:val="26"/>
          <w:lang w:val="en-GB"/>
        </w:rPr>
        <w:t>whether in the exercise of my discretion I should find that the respondent should be wound up</w:t>
      </w:r>
      <w:r w:rsidR="006660A5">
        <w:rPr>
          <w:rFonts w:cs="Times New Roman"/>
          <w:sz w:val="26"/>
          <w:szCs w:val="26"/>
          <w:lang w:val="en-GB"/>
        </w:rPr>
        <w:t xml:space="preserve"> for failure to pay Nedbank and the municipality timeously</w:t>
      </w:r>
      <w:r w:rsidR="00627E18">
        <w:rPr>
          <w:rFonts w:cs="Times New Roman"/>
          <w:sz w:val="26"/>
          <w:szCs w:val="26"/>
          <w:lang w:val="en-GB"/>
        </w:rPr>
        <w:t xml:space="preserve">. </w:t>
      </w:r>
    </w:p>
    <w:p w14:paraId="5C1B0DCF" w14:textId="18F9DF45" w:rsidR="00F02F0F"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22.</w:t>
      </w:r>
      <w:r>
        <w:rPr>
          <w:rFonts w:cs="Times New Roman"/>
          <w:sz w:val="26"/>
          <w:szCs w:val="26"/>
          <w:lang w:val="en-GB"/>
        </w:rPr>
        <w:tab/>
      </w:r>
      <w:r w:rsidR="00350A14">
        <w:rPr>
          <w:rFonts w:cs="Times New Roman"/>
          <w:sz w:val="26"/>
          <w:szCs w:val="26"/>
          <w:lang w:val="en-GB"/>
        </w:rPr>
        <w:t>I</w:t>
      </w:r>
      <w:r w:rsidR="00A909D3">
        <w:rPr>
          <w:rFonts w:cs="Times New Roman"/>
          <w:sz w:val="26"/>
          <w:szCs w:val="26"/>
          <w:lang w:val="en-GB"/>
        </w:rPr>
        <w:t xml:space="preserve">n exercising my discretion </w:t>
      </w:r>
      <w:r w:rsidR="00EB7417">
        <w:rPr>
          <w:rFonts w:cs="Times New Roman"/>
          <w:sz w:val="26"/>
          <w:szCs w:val="26"/>
          <w:lang w:val="en-GB"/>
        </w:rPr>
        <w:t xml:space="preserve">whether </w:t>
      </w:r>
      <w:r w:rsidR="00A909D3">
        <w:rPr>
          <w:rFonts w:cs="Times New Roman"/>
          <w:sz w:val="26"/>
          <w:szCs w:val="26"/>
          <w:lang w:val="en-GB"/>
        </w:rPr>
        <w:t>to wind-up the respondent</w:t>
      </w:r>
      <w:r w:rsidR="00F3598E">
        <w:rPr>
          <w:rFonts w:cs="Times New Roman"/>
          <w:sz w:val="26"/>
          <w:szCs w:val="26"/>
          <w:lang w:val="en-GB"/>
        </w:rPr>
        <w:t>,</w:t>
      </w:r>
      <w:r w:rsidR="00A909D3">
        <w:rPr>
          <w:rFonts w:cs="Times New Roman"/>
          <w:sz w:val="26"/>
          <w:szCs w:val="26"/>
          <w:lang w:val="en-GB"/>
        </w:rPr>
        <w:t xml:space="preserve"> I </w:t>
      </w:r>
      <w:r w:rsidR="00350A14">
        <w:rPr>
          <w:rFonts w:cs="Times New Roman"/>
          <w:sz w:val="26"/>
          <w:szCs w:val="26"/>
          <w:lang w:val="en-GB"/>
        </w:rPr>
        <w:t xml:space="preserve">cannot ignore that </w:t>
      </w:r>
      <w:r w:rsidR="00F02F0F" w:rsidRPr="0038197E">
        <w:rPr>
          <w:rFonts w:cs="Times New Roman"/>
          <w:sz w:val="26"/>
          <w:szCs w:val="26"/>
          <w:lang w:val="en-GB"/>
        </w:rPr>
        <w:t>the intrinsic value of the property</w:t>
      </w:r>
      <w:r w:rsidR="00F02F0F">
        <w:rPr>
          <w:rFonts w:cs="Times New Roman"/>
          <w:sz w:val="26"/>
          <w:szCs w:val="26"/>
          <w:lang w:val="en-GB"/>
        </w:rPr>
        <w:t xml:space="preserve"> exceeds the R915 000.00 which the applicant contends is its value or R1 million which the respondent contends is its value.  </w:t>
      </w:r>
      <w:r w:rsidR="00350A14">
        <w:rPr>
          <w:rFonts w:cs="Times New Roman"/>
          <w:sz w:val="26"/>
          <w:szCs w:val="26"/>
          <w:lang w:val="en-GB"/>
        </w:rPr>
        <w:t>The respondent’s case is that the</w:t>
      </w:r>
      <w:r w:rsidR="00350A14" w:rsidRPr="0038197E">
        <w:rPr>
          <w:rFonts w:cs="Times New Roman"/>
          <w:sz w:val="26"/>
          <w:szCs w:val="26"/>
          <w:lang w:val="en-GB"/>
        </w:rPr>
        <w:t xml:space="preserve"> value of the property rests in its sale together </w:t>
      </w:r>
      <w:r w:rsidR="00350A14">
        <w:rPr>
          <w:rFonts w:cs="Times New Roman"/>
          <w:sz w:val="26"/>
          <w:szCs w:val="26"/>
          <w:lang w:val="en-GB"/>
        </w:rPr>
        <w:t>with</w:t>
      </w:r>
      <w:r w:rsidR="00627E18">
        <w:rPr>
          <w:rFonts w:cs="Times New Roman"/>
          <w:sz w:val="26"/>
          <w:szCs w:val="26"/>
          <w:lang w:val="en-GB"/>
        </w:rPr>
        <w:t xml:space="preserve"> the adjacent </w:t>
      </w:r>
      <w:r w:rsidR="00350A14">
        <w:rPr>
          <w:rFonts w:cs="Times New Roman"/>
          <w:sz w:val="26"/>
          <w:szCs w:val="26"/>
          <w:lang w:val="en-GB"/>
        </w:rPr>
        <w:t>erf 17</w:t>
      </w:r>
      <w:r w:rsidR="00627E18">
        <w:rPr>
          <w:rFonts w:cs="Times New Roman"/>
          <w:sz w:val="26"/>
          <w:szCs w:val="26"/>
          <w:lang w:val="en-GB"/>
        </w:rPr>
        <w:t xml:space="preserve"> which is owned by one Mr Eldie Ferreira</w:t>
      </w:r>
      <w:r w:rsidR="00350A14">
        <w:rPr>
          <w:rFonts w:cs="Times New Roman"/>
          <w:sz w:val="26"/>
          <w:szCs w:val="26"/>
          <w:lang w:val="en-GB"/>
        </w:rPr>
        <w:t xml:space="preserve"> and </w:t>
      </w:r>
      <w:r w:rsidR="00627E18">
        <w:rPr>
          <w:rFonts w:cs="Times New Roman"/>
          <w:sz w:val="26"/>
          <w:szCs w:val="26"/>
          <w:lang w:val="en-GB"/>
        </w:rPr>
        <w:t xml:space="preserve">Siboniseng’s </w:t>
      </w:r>
      <w:r w:rsidR="006660A5">
        <w:rPr>
          <w:rFonts w:cs="Times New Roman"/>
          <w:sz w:val="26"/>
          <w:szCs w:val="26"/>
          <w:lang w:val="en-GB"/>
        </w:rPr>
        <w:t xml:space="preserve">development </w:t>
      </w:r>
      <w:r w:rsidR="00350A14" w:rsidRPr="0038197E">
        <w:rPr>
          <w:rFonts w:cs="Times New Roman"/>
          <w:sz w:val="26"/>
          <w:szCs w:val="26"/>
          <w:lang w:val="en-GB"/>
        </w:rPr>
        <w:t>right</w:t>
      </w:r>
      <w:r w:rsidR="00627E18">
        <w:rPr>
          <w:rFonts w:cs="Times New Roman"/>
          <w:sz w:val="26"/>
          <w:szCs w:val="26"/>
          <w:lang w:val="en-GB"/>
        </w:rPr>
        <w:t>s.</w:t>
      </w:r>
      <w:r w:rsidR="00350A14">
        <w:rPr>
          <w:rFonts w:cs="Times New Roman"/>
          <w:sz w:val="26"/>
          <w:szCs w:val="26"/>
          <w:lang w:val="en-GB"/>
        </w:rPr>
        <w:t xml:space="preserve">  </w:t>
      </w:r>
      <w:r w:rsidR="00F3598E">
        <w:rPr>
          <w:rFonts w:cs="Times New Roman"/>
          <w:sz w:val="26"/>
          <w:szCs w:val="26"/>
          <w:lang w:val="en-GB"/>
        </w:rPr>
        <w:t xml:space="preserve">I will </w:t>
      </w:r>
      <w:r w:rsidR="006660A5">
        <w:rPr>
          <w:rFonts w:cs="Times New Roman"/>
          <w:sz w:val="26"/>
          <w:szCs w:val="26"/>
          <w:lang w:val="en-GB"/>
        </w:rPr>
        <w:t>late</w:t>
      </w:r>
      <w:r w:rsidR="008A3B04">
        <w:rPr>
          <w:rFonts w:cs="Times New Roman"/>
          <w:sz w:val="26"/>
          <w:szCs w:val="26"/>
          <w:lang w:val="en-GB"/>
        </w:rPr>
        <w:t>r</w:t>
      </w:r>
      <w:r w:rsidR="006660A5">
        <w:rPr>
          <w:rFonts w:cs="Times New Roman"/>
          <w:sz w:val="26"/>
          <w:szCs w:val="26"/>
          <w:lang w:val="en-GB"/>
        </w:rPr>
        <w:t xml:space="preserve"> </w:t>
      </w:r>
      <w:r w:rsidR="00F3598E">
        <w:rPr>
          <w:rFonts w:cs="Times New Roman"/>
          <w:sz w:val="26"/>
          <w:szCs w:val="26"/>
          <w:lang w:val="en-GB"/>
        </w:rPr>
        <w:t xml:space="preserve">return to the proposed disposal of the property.  </w:t>
      </w:r>
    </w:p>
    <w:p w14:paraId="22C0C1A6" w14:textId="0A9BE055" w:rsidR="00627E18"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23.</w:t>
      </w:r>
      <w:r>
        <w:rPr>
          <w:rFonts w:cs="Times New Roman"/>
          <w:sz w:val="26"/>
          <w:szCs w:val="26"/>
          <w:lang w:val="en-GB"/>
        </w:rPr>
        <w:tab/>
      </w:r>
      <w:r w:rsidR="00F02F0F">
        <w:rPr>
          <w:rFonts w:cs="Times New Roman"/>
          <w:sz w:val="26"/>
          <w:szCs w:val="26"/>
          <w:lang w:val="en-GB"/>
        </w:rPr>
        <w:t>The respondent does not hold the right to services over the property nor the right to develop a township on the property.  These are owned by Siboniseng.  Siboniseng also holds these rights over the adjacent erf 17</w:t>
      </w:r>
      <w:r w:rsidR="00627E18">
        <w:rPr>
          <w:rFonts w:cs="Times New Roman"/>
          <w:sz w:val="26"/>
          <w:szCs w:val="26"/>
          <w:lang w:val="en-GB"/>
        </w:rPr>
        <w:t>.</w:t>
      </w:r>
      <w:r w:rsidR="00F02F0F">
        <w:rPr>
          <w:rFonts w:cs="Times New Roman"/>
          <w:sz w:val="26"/>
          <w:szCs w:val="26"/>
          <w:lang w:val="en-GB"/>
        </w:rPr>
        <w:t xml:space="preserve">  </w:t>
      </w:r>
    </w:p>
    <w:p w14:paraId="3552EE99" w14:textId="45CDFE26" w:rsidR="00890A0F"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24.</w:t>
      </w:r>
      <w:r>
        <w:rPr>
          <w:rFonts w:cs="Times New Roman"/>
          <w:sz w:val="26"/>
          <w:szCs w:val="26"/>
          <w:lang w:val="en-GB"/>
        </w:rPr>
        <w:tab/>
      </w:r>
      <w:r w:rsidR="00350A14">
        <w:rPr>
          <w:rFonts w:cs="Times New Roman"/>
          <w:sz w:val="26"/>
          <w:szCs w:val="26"/>
          <w:lang w:val="en-GB"/>
        </w:rPr>
        <w:t>According to the respondent the individual properties and the rights owned by Siboniseng will realise far less if sold separately than if the property is sold as a package</w:t>
      </w:r>
      <w:r w:rsidR="00627E18">
        <w:rPr>
          <w:rFonts w:cs="Times New Roman"/>
          <w:sz w:val="26"/>
          <w:szCs w:val="26"/>
          <w:lang w:val="en-GB"/>
        </w:rPr>
        <w:t xml:space="preserve"> with</w:t>
      </w:r>
      <w:r w:rsidR="00350A14">
        <w:rPr>
          <w:rFonts w:cs="Times New Roman"/>
          <w:sz w:val="26"/>
          <w:szCs w:val="26"/>
          <w:lang w:val="en-GB"/>
        </w:rPr>
        <w:t xml:space="preserve"> erf 17 and Siboniseng’s </w:t>
      </w:r>
      <w:r w:rsidR="00D52593">
        <w:rPr>
          <w:rFonts w:cs="Times New Roman"/>
          <w:sz w:val="26"/>
          <w:szCs w:val="26"/>
          <w:lang w:val="en-GB"/>
        </w:rPr>
        <w:t xml:space="preserve">development </w:t>
      </w:r>
      <w:r w:rsidR="00350A14">
        <w:rPr>
          <w:rFonts w:cs="Times New Roman"/>
          <w:sz w:val="26"/>
          <w:szCs w:val="26"/>
          <w:lang w:val="en-GB"/>
        </w:rPr>
        <w:t>rights.  In the latter case, it could</w:t>
      </w:r>
      <w:r w:rsidR="00890A0F" w:rsidRPr="00350A14">
        <w:rPr>
          <w:rFonts w:cs="Times New Roman"/>
          <w:sz w:val="26"/>
          <w:szCs w:val="26"/>
          <w:lang w:val="en-GB"/>
        </w:rPr>
        <w:t xml:space="preserve"> realise around R20 million.  </w:t>
      </w:r>
      <w:r w:rsidR="00350A14" w:rsidRPr="00350A14">
        <w:rPr>
          <w:rFonts w:cs="Times New Roman"/>
          <w:sz w:val="26"/>
          <w:szCs w:val="26"/>
          <w:lang w:val="en-GB"/>
        </w:rPr>
        <w:t>The applicant has not rebutted th</w:t>
      </w:r>
      <w:r w:rsidR="00350A14">
        <w:rPr>
          <w:rFonts w:cs="Times New Roman"/>
          <w:sz w:val="26"/>
          <w:szCs w:val="26"/>
          <w:lang w:val="en-GB"/>
        </w:rPr>
        <w:t>is</w:t>
      </w:r>
      <w:r w:rsidR="00350A14" w:rsidRPr="00350A14">
        <w:rPr>
          <w:rFonts w:cs="Times New Roman"/>
          <w:sz w:val="26"/>
          <w:szCs w:val="26"/>
          <w:lang w:val="en-GB"/>
        </w:rPr>
        <w:t xml:space="preserve">.  </w:t>
      </w:r>
    </w:p>
    <w:p w14:paraId="732A3BB3" w14:textId="1296FF54" w:rsidR="001661F9" w:rsidRPr="00350A14" w:rsidRDefault="004200A4" w:rsidP="004200A4">
      <w:pPr>
        <w:spacing w:before="100" w:after="40" w:line="360" w:lineRule="auto"/>
        <w:ind w:left="567" w:hanging="567"/>
        <w:jc w:val="both"/>
        <w:rPr>
          <w:rFonts w:cs="Times New Roman"/>
          <w:sz w:val="26"/>
          <w:szCs w:val="26"/>
          <w:lang w:val="en-GB"/>
        </w:rPr>
      </w:pPr>
      <w:r w:rsidRPr="00350A14">
        <w:rPr>
          <w:rFonts w:cs="Times New Roman"/>
          <w:sz w:val="26"/>
          <w:szCs w:val="26"/>
          <w:lang w:val="en-GB"/>
        </w:rPr>
        <w:t>25.</w:t>
      </w:r>
      <w:r w:rsidRPr="00350A14">
        <w:rPr>
          <w:rFonts w:cs="Times New Roman"/>
          <w:sz w:val="26"/>
          <w:szCs w:val="26"/>
          <w:lang w:val="en-GB"/>
        </w:rPr>
        <w:tab/>
      </w:r>
      <w:r w:rsidR="001661F9">
        <w:rPr>
          <w:rFonts w:cs="Times New Roman"/>
          <w:sz w:val="26"/>
          <w:szCs w:val="26"/>
          <w:lang w:val="en-GB"/>
        </w:rPr>
        <w:t xml:space="preserve">There is no evidence that the two creditors are demanding payment.  Nedbank, a secured creditor, is armed with a judgment.  </w:t>
      </w:r>
      <w:r w:rsidR="00D52593">
        <w:rPr>
          <w:rFonts w:cs="Times New Roman"/>
          <w:sz w:val="26"/>
          <w:szCs w:val="26"/>
          <w:lang w:val="en-GB"/>
        </w:rPr>
        <w:t>Since the cancellation of the sale in execution i</w:t>
      </w:r>
      <w:r w:rsidR="001661F9">
        <w:rPr>
          <w:rFonts w:cs="Times New Roman"/>
          <w:sz w:val="26"/>
          <w:szCs w:val="26"/>
          <w:lang w:val="en-GB"/>
        </w:rPr>
        <w:t xml:space="preserve">t has not taken steps to execute upon the judgment.  The municipality has remedies available to it to enforce payment of rates and taxes.  It has not invoked them.  </w:t>
      </w:r>
    </w:p>
    <w:p w14:paraId="5BA0F00B" w14:textId="3CEE0733" w:rsidR="003F663B"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26.</w:t>
      </w:r>
      <w:r>
        <w:rPr>
          <w:rFonts w:cs="Times New Roman"/>
          <w:sz w:val="26"/>
          <w:szCs w:val="26"/>
          <w:lang w:val="en-GB"/>
        </w:rPr>
        <w:tab/>
      </w:r>
      <w:r w:rsidR="003F663B">
        <w:rPr>
          <w:rFonts w:cs="Times New Roman"/>
          <w:sz w:val="26"/>
          <w:szCs w:val="26"/>
          <w:lang w:val="en-GB"/>
        </w:rPr>
        <w:t>In these circumstances</w:t>
      </w:r>
      <w:r w:rsidR="00A909D3">
        <w:rPr>
          <w:rFonts w:cs="Times New Roman"/>
          <w:sz w:val="26"/>
          <w:szCs w:val="26"/>
          <w:lang w:val="en-GB"/>
        </w:rPr>
        <w:t>,</w:t>
      </w:r>
      <w:r w:rsidR="003F663B">
        <w:rPr>
          <w:rFonts w:cs="Times New Roman"/>
          <w:sz w:val="26"/>
          <w:szCs w:val="26"/>
          <w:lang w:val="en-GB"/>
        </w:rPr>
        <w:t xml:space="preserve"> I am not inclined </w:t>
      </w:r>
      <w:r w:rsidR="006660A5">
        <w:rPr>
          <w:rFonts w:cs="Times New Roman"/>
          <w:sz w:val="26"/>
          <w:szCs w:val="26"/>
          <w:lang w:val="en-GB"/>
        </w:rPr>
        <w:t xml:space="preserve">to </w:t>
      </w:r>
      <w:r w:rsidR="003F663B">
        <w:rPr>
          <w:rFonts w:cs="Times New Roman"/>
          <w:sz w:val="26"/>
          <w:szCs w:val="26"/>
          <w:lang w:val="en-GB"/>
        </w:rPr>
        <w:t>exercise my discretion in favour of winding up the respondent notwithstanding that it appears not to be making prompt payments to Nedbank and the municipality.</w:t>
      </w:r>
    </w:p>
    <w:p w14:paraId="1E98EFFE" w14:textId="47E74C51" w:rsidR="00425A07" w:rsidRPr="00425A07" w:rsidRDefault="00425A07" w:rsidP="00425A07">
      <w:pPr>
        <w:spacing w:before="100" w:after="40" w:line="360" w:lineRule="auto"/>
        <w:jc w:val="both"/>
        <w:rPr>
          <w:rFonts w:cs="Times New Roman"/>
          <w:b/>
          <w:bCs/>
          <w:sz w:val="26"/>
          <w:szCs w:val="26"/>
          <w:lang w:val="en-GB"/>
        </w:rPr>
      </w:pPr>
      <w:r w:rsidRPr="00425A07">
        <w:rPr>
          <w:rFonts w:cs="Times New Roman"/>
          <w:b/>
          <w:bCs/>
          <w:sz w:val="26"/>
          <w:szCs w:val="26"/>
          <w:lang w:val="en-GB"/>
        </w:rPr>
        <w:lastRenderedPageBreak/>
        <w:t>Winding up the respondent under section 81(1)(d) of the Companies Act, 2008</w:t>
      </w:r>
      <w:r>
        <w:rPr>
          <w:rFonts w:cs="Times New Roman"/>
          <w:b/>
          <w:bCs/>
          <w:sz w:val="26"/>
          <w:szCs w:val="26"/>
          <w:lang w:val="en-GB"/>
        </w:rPr>
        <w:t xml:space="preserve"> on the basis that it is just and equitable to do so</w:t>
      </w:r>
    </w:p>
    <w:p w14:paraId="00BBAF5C" w14:textId="136C4DB6" w:rsidR="00103A58" w:rsidRPr="003F663B" w:rsidRDefault="004200A4" w:rsidP="004200A4">
      <w:pPr>
        <w:spacing w:before="100" w:after="40" w:line="360" w:lineRule="auto"/>
        <w:ind w:left="567" w:hanging="567"/>
        <w:jc w:val="both"/>
        <w:rPr>
          <w:rFonts w:cs="Times New Roman"/>
          <w:sz w:val="26"/>
          <w:szCs w:val="26"/>
          <w:lang w:val="en-GB"/>
        </w:rPr>
      </w:pPr>
      <w:r w:rsidRPr="003F663B">
        <w:rPr>
          <w:rFonts w:cs="Times New Roman"/>
          <w:sz w:val="26"/>
          <w:szCs w:val="26"/>
          <w:lang w:val="en-GB"/>
        </w:rPr>
        <w:t>27.</w:t>
      </w:r>
      <w:r w:rsidRPr="003F663B">
        <w:rPr>
          <w:rFonts w:cs="Times New Roman"/>
          <w:sz w:val="26"/>
          <w:szCs w:val="26"/>
          <w:lang w:val="en-GB"/>
        </w:rPr>
        <w:tab/>
      </w:r>
      <w:r w:rsidR="003F663B">
        <w:rPr>
          <w:rFonts w:cs="Times New Roman"/>
          <w:sz w:val="26"/>
          <w:szCs w:val="26"/>
          <w:lang w:val="en-GB"/>
        </w:rPr>
        <w:t xml:space="preserve">I turn to consider the applicant’s case </w:t>
      </w:r>
      <w:r w:rsidR="00617F7C" w:rsidRPr="003F663B">
        <w:rPr>
          <w:rFonts w:cs="Times New Roman"/>
          <w:sz w:val="26"/>
          <w:szCs w:val="26"/>
          <w:lang w:val="en-GB"/>
        </w:rPr>
        <w:t xml:space="preserve">for winding up the respondent </w:t>
      </w:r>
      <w:r w:rsidR="00A909D3">
        <w:rPr>
          <w:rFonts w:cs="Times New Roman"/>
          <w:sz w:val="26"/>
          <w:szCs w:val="26"/>
          <w:lang w:val="en-GB"/>
        </w:rPr>
        <w:t xml:space="preserve">in terms of </w:t>
      </w:r>
      <w:r w:rsidR="00617F7C" w:rsidRPr="003F663B">
        <w:rPr>
          <w:rFonts w:cs="Times New Roman"/>
          <w:sz w:val="26"/>
          <w:szCs w:val="26"/>
          <w:lang w:val="en-GB"/>
        </w:rPr>
        <w:t xml:space="preserve">section 81(1)(d) of the Companies Act, 2008.  </w:t>
      </w:r>
      <w:r w:rsidR="00425A07">
        <w:rPr>
          <w:rFonts w:cs="Times New Roman"/>
          <w:sz w:val="26"/>
          <w:szCs w:val="26"/>
          <w:lang w:val="en-GB"/>
        </w:rPr>
        <w:t xml:space="preserve">In broad terms the applicant </w:t>
      </w:r>
      <w:r w:rsidR="00425A07" w:rsidRPr="003F663B">
        <w:rPr>
          <w:rFonts w:cs="Times New Roman"/>
          <w:sz w:val="26"/>
          <w:szCs w:val="26"/>
          <w:lang w:val="en-GB"/>
        </w:rPr>
        <w:t xml:space="preserve">avers that the respondent </w:t>
      </w:r>
      <w:r w:rsidR="00617F7C" w:rsidRPr="003F663B">
        <w:rPr>
          <w:rFonts w:cs="Times New Roman"/>
          <w:sz w:val="26"/>
          <w:szCs w:val="26"/>
          <w:lang w:val="en-GB"/>
        </w:rPr>
        <w:t xml:space="preserve">should be </w:t>
      </w:r>
      <w:r w:rsidR="00A909D3">
        <w:rPr>
          <w:rFonts w:cs="Times New Roman"/>
          <w:sz w:val="26"/>
          <w:szCs w:val="26"/>
          <w:lang w:val="en-GB"/>
        </w:rPr>
        <w:t xml:space="preserve">wound up </w:t>
      </w:r>
      <w:r w:rsidR="00617F7C" w:rsidRPr="003F663B">
        <w:rPr>
          <w:rFonts w:cs="Times New Roman"/>
          <w:sz w:val="26"/>
          <w:szCs w:val="26"/>
          <w:lang w:val="en-GB"/>
        </w:rPr>
        <w:t>for the following reasons:</w:t>
      </w:r>
    </w:p>
    <w:p w14:paraId="4FA93B90" w14:textId="2967EFEE" w:rsidR="00C24F26"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(a)</w:t>
      </w:r>
      <w:r>
        <w:rPr>
          <w:rFonts w:cs="Times New Roman"/>
          <w:sz w:val="26"/>
          <w:szCs w:val="26"/>
          <w:lang w:val="en-GB"/>
        </w:rPr>
        <w:tab/>
      </w:r>
      <w:r w:rsidR="006660A5">
        <w:rPr>
          <w:rFonts w:cs="Times New Roman"/>
          <w:sz w:val="26"/>
          <w:szCs w:val="26"/>
          <w:lang w:val="en-GB"/>
        </w:rPr>
        <w:t>A</w:t>
      </w:r>
      <w:r w:rsidR="00C24F26">
        <w:rPr>
          <w:rFonts w:cs="Times New Roman"/>
          <w:sz w:val="26"/>
          <w:szCs w:val="26"/>
          <w:lang w:val="en-GB"/>
        </w:rPr>
        <w:t xml:space="preserve"> deadlock in the management of the respondent. </w:t>
      </w:r>
    </w:p>
    <w:p w14:paraId="10A2C65E" w14:textId="22581D47" w:rsidR="00546D22"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(b)</w:t>
      </w:r>
      <w:r>
        <w:rPr>
          <w:rFonts w:cs="Times New Roman"/>
          <w:sz w:val="26"/>
          <w:szCs w:val="26"/>
          <w:lang w:val="en-GB"/>
        </w:rPr>
        <w:tab/>
      </w:r>
      <w:r w:rsidR="00A909D3">
        <w:rPr>
          <w:rFonts w:cs="Times New Roman"/>
          <w:sz w:val="26"/>
          <w:szCs w:val="26"/>
          <w:lang w:val="en-GB"/>
        </w:rPr>
        <w:t>An i</w:t>
      </w:r>
      <w:r w:rsidR="00060FD3">
        <w:rPr>
          <w:rFonts w:cs="Times New Roman"/>
          <w:sz w:val="26"/>
          <w:szCs w:val="26"/>
          <w:lang w:val="en-GB"/>
        </w:rPr>
        <w:t>rretrievable</w:t>
      </w:r>
      <w:r w:rsidR="00546D22">
        <w:rPr>
          <w:rFonts w:cs="Times New Roman"/>
          <w:sz w:val="26"/>
          <w:szCs w:val="26"/>
          <w:lang w:val="en-GB"/>
        </w:rPr>
        <w:t xml:space="preserve"> breakdown in the trust relationship between the applicant and Mr </w:t>
      </w:r>
      <w:r w:rsidR="00060FD3">
        <w:rPr>
          <w:rFonts w:cs="Times New Roman"/>
          <w:sz w:val="26"/>
          <w:szCs w:val="26"/>
          <w:lang w:val="en-GB"/>
        </w:rPr>
        <w:t>F</w:t>
      </w:r>
      <w:r w:rsidR="00546D22">
        <w:rPr>
          <w:rFonts w:cs="Times New Roman"/>
          <w:sz w:val="26"/>
          <w:szCs w:val="26"/>
          <w:lang w:val="en-GB"/>
        </w:rPr>
        <w:t>erreira</w:t>
      </w:r>
      <w:r w:rsidR="00060FD3">
        <w:rPr>
          <w:rFonts w:cs="Times New Roman"/>
          <w:sz w:val="26"/>
          <w:szCs w:val="26"/>
          <w:lang w:val="en-GB"/>
        </w:rPr>
        <w:t>.</w:t>
      </w:r>
    </w:p>
    <w:p w14:paraId="305E7E85" w14:textId="63E6A516" w:rsidR="00546D22"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(c)</w:t>
      </w:r>
      <w:r>
        <w:rPr>
          <w:rFonts w:cs="Times New Roman"/>
          <w:sz w:val="26"/>
          <w:szCs w:val="26"/>
          <w:lang w:val="en-GB"/>
        </w:rPr>
        <w:tab/>
      </w:r>
      <w:r w:rsidR="00060FD3">
        <w:rPr>
          <w:rFonts w:cs="Times New Roman"/>
          <w:sz w:val="26"/>
          <w:szCs w:val="26"/>
          <w:lang w:val="en-GB"/>
        </w:rPr>
        <w:t>Illegal activities in the management of the respondent and potential fraud in relation to the sale of the respondent’s assets to undisclosed third parties.</w:t>
      </w:r>
    </w:p>
    <w:p w14:paraId="08380FFA" w14:textId="720C7B64" w:rsidR="001624BB"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(d)</w:t>
      </w:r>
      <w:r>
        <w:rPr>
          <w:rFonts w:cs="Times New Roman"/>
          <w:sz w:val="26"/>
          <w:szCs w:val="26"/>
          <w:lang w:val="en-GB"/>
        </w:rPr>
        <w:tab/>
      </w:r>
      <w:r w:rsidR="006660A5">
        <w:rPr>
          <w:rFonts w:cs="Times New Roman"/>
          <w:sz w:val="26"/>
          <w:szCs w:val="26"/>
          <w:lang w:val="en-GB"/>
        </w:rPr>
        <w:t>M</w:t>
      </w:r>
      <w:r w:rsidR="001624BB">
        <w:rPr>
          <w:rFonts w:cs="Times New Roman"/>
          <w:sz w:val="26"/>
          <w:szCs w:val="26"/>
          <w:lang w:val="en-GB"/>
        </w:rPr>
        <w:t>ismanage</w:t>
      </w:r>
      <w:r w:rsidR="006660A5">
        <w:rPr>
          <w:rFonts w:cs="Times New Roman"/>
          <w:sz w:val="26"/>
          <w:szCs w:val="26"/>
          <w:lang w:val="en-GB"/>
        </w:rPr>
        <w:t>ment of the affairs of the respondent have been</w:t>
      </w:r>
      <w:r w:rsidR="001624BB">
        <w:rPr>
          <w:rFonts w:cs="Times New Roman"/>
          <w:sz w:val="26"/>
          <w:szCs w:val="26"/>
          <w:lang w:val="en-GB"/>
        </w:rPr>
        <w:t xml:space="preserve"> resulting in financially adverse consequences.</w:t>
      </w:r>
    </w:p>
    <w:p w14:paraId="6782E1DE" w14:textId="21AFD85F" w:rsidR="00060FD3" w:rsidRDefault="004200A4" w:rsidP="004200A4">
      <w:pPr>
        <w:spacing w:before="100" w:after="40" w:line="360" w:lineRule="auto"/>
        <w:ind w:left="1418" w:hanging="851"/>
        <w:jc w:val="both"/>
        <w:rPr>
          <w:rFonts w:cs="Times New Roman"/>
          <w:sz w:val="26"/>
          <w:szCs w:val="26"/>
          <w:lang w:val="en-GB"/>
        </w:rPr>
      </w:pPr>
      <w:r>
        <w:rPr>
          <w:rFonts w:cs="Times New Roman"/>
          <w:sz w:val="26"/>
          <w:szCs w:val="26"/>
          <w:lang w:val="en-GB"/>
        </w:rPr>
        <w:t>(e)</w:t>
      </w:r>
      <w:r>
        <w:rPr>
          <w:rFonts w:cs="Times New Roman"/>
          <w:sz w:val="26"/>
          <w:szCs w:val="26"/>
          <w:lang w:val="en-GB"/>
        </w:rPr>
        <w:tab/>
      </w:r>
      <w:r w:rsidR="00060FD3">
        <w:rPr>
          <w:rFonts w:cs="Times New Roman"/>
          <w:sz w:val="26"/>
          <w:szCs w:val="26"/>
          <w:lang w:val="en-GB"/>
        </w:rPr>
        <w:t>Governance irregularities.</w:t>
      </w:r>
    </w:p>
    <w:p w14:paraId="17BF1A3F" w14:textId="59573872" w:rsidR="00425A07" w:rsidRPr="00425A07" w:rsidRDefault="00425A07" w:rsidP="00425A07">
      <w:pPr>
        <w:spacing w:before="100" w:after="40" w:line="360" w:lineRule="auto"/>
        <w:jc w:val="both"/>
        <w:rPr>
          <w:rFonts w:cs="Times New Roman"/>
          <w:b/>
          <w:bCs/>
          <w:sz w:val="26"/>
          <w:szCs w:val="26"/>
          <w:lang w:val="en-GB"/>
        </w:rPr>
      </w:pPr>
      <w:r>
        <w:rPr>
          <w:rFonts w:cs="Times New Roman"/>
          <w:b/>
          <w:bCs/>
          <w:sz w:val="26"/>
          <w:szCs w:val="26"/>
          <w:lang w:val="en-GB"/>
        </w:rPr>
        <w:t>Deadlock</w:t>
      </w:r>
    </w:p>
    <w:p w14:paraId="1538C817" w14:textId="15A979BC" w:rsidR="00E26B29"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28.</w:t>
      </w:r>
      <w:r>
        <w:rPr>
          <w:rFonts w:cs="Times New Roman"/>
          <w:sz w:val="26"/>
          <w:szCs w:val="26"/>
          <w:lang w:val="en-GB"/>
        </w:rPr>
        <w:tab/>
      </w:r>
      <w:r w:rsidR="00060FD3">
        <w:rPr>
          <w:rFonts w:cs="Times New Roman"/>
          <w:sz w:val="26"/>
          <w:szCs w:val="26"/>
          <w:lang w:val="en-GB"/>
        </w:rPr>
        <w:t>The respondent has one director, Mr Ferreira.  Therefore</w:t>
      </w:r>
      <w:r w:rsidR="004E012B">
        <w:rPr>
          <w:rFonts w:cs="Times New Roman"/>
          <w:sz w:val="26"/>
          <w:szCs w:val="26"/>
          <w:lang w:val="en-GB"/>
        </w:rPr>
        <w:t>,</w:t>
      </w:r>
      <w:r w:rsidR="00060FD3">
        <w:rPr>
          <w:rFonts w:cs="Times New Roman"/>
          <w:sz w:val="26"/>
          <w:szCs w:val="26"/>
          <w:lang w:val="en-GB"/>
        </w:rPr>
        <w:t xml:space="preserve"> there can be no deadlock between directors.  No cause of action avails the </w:t>
      </w:r>
      <w:r w:rsidR="00D52593">
        <w:rPr>
          <w:rFonts w:cs="Times New Roman"/>
          <w:sz w:val="26"/>
          <w:szCs w:val="26"/>
          <w:lang w:val="en-GB"/>
        </w:rPr>
        <w:t xml:space="preserve">Trust </w:t>
      </w:r>
      <w:r w:rsidR="00060FD3">
        <w:rPr>
          <w:rFonts w:cs="Times New Roman"/>
          <w:sz w:val="26"/>
          <w:szCs w:val="26"/>
          <w:lang w:val="en-GB"/>
        </w:rPr>
        <w:t>under section 81(1)(d) (i)</w:t>
      </w:r>
      <w:r w:rsidR="00A909D3">
        <w:rPr>
          <w:rFonts w:cs="Times New Roman"/>
          <w:sz w:val="26"/>
          <w:szCs w:val="26"/>
          <w:lang w:val="en-GB"/>
        </w:rPr>
        <w:t xml:space="preserve"> of the Companies Act, 2008</w:t>
      </w:r>
      <w:r w:rsidR="00060FD3">
        <w:rPr>
          <w:rFonts w:cs="Times New Roman"/>
          <w:sz w:val="26"/>
          <w:szCs w:val="26"/>
          <w:lang w:val="en-GB"/>
        </w:rPr>
        <w:t xml:space="preserve"> to seek the</w:t>
      </w:r>
      <w:r w:rsidR="00A909D3">
        <w:rPr>
          <w:rFonts w:cs="Times New Roman"/>
          <w:sz w:val="26"/>
          <w:szCs w:val="26"/>
          <w:lang w:val="en-GB"/>
        </w:rPr>
        <w:t xml:space="preserve"> winding-up</w:t>
      </w:r>
      <w:r w:rsidR="00060FD3">
        <w:rPr>
          <w:rFonts w:cs="Times New Roman"/>
          <w:sz w:val="26"/>
          <w:szCs w:val="26"/>
          <w:lang w:val="en-GB"/>
        </w:rPr>
        <w:t xml:space="preserve"> of the respondent.  No case is made out for the </w:t>
      </w:r>
      <w:r w:rsidR="00A909D3">
        <w:rPr>
          <w:rFonts w:cs="Times New Roman"/>
          <w:sz w:val="26"/>
          <w:szCs w:val="26"/>
          <w:lang w:val="en-GB"/>
        </w:rPr>
        <w:t xml:space="preserve">winding-up </w:t>
      </w:r>
      <w:r w:rsidR="00060FD3">
        <w:rPr>
          <w:rFonts w:cs="Times New Roman"/>
          <w:sz w:val="26"/>
          <w:szCs w:val="26"/>
          <w:lang w:val="en-GB"/>
        </w:rPr>
        <w:t xml:space="preserve">of the respondent under section </w:t>
      </w:r>
      <w:r w:rsidR="00E26B29">
        <w:rPr>
          <w:rFonts w:cs="Times New Roman"/>
          <w:sz w:val="26"/>
          <w:szCs w:val="26"/>
          <w:lang w:val="en-GB"/>
        </w:rPr>
        <w:t xml:space="preserve">81 (1)(d)(ii).  The remaining cause of action under section 81(1)(d) is that under section 81(1)(d)(iii), namely whether it is otherwise just and equitable to wind-up a company.  </w:t>
      </w:r>
    </w:p>
    <w:p w14:paraId="38269B94" w14:textId="65AD9D77" w:rsidR="00425A07" w:rsidRPr="00425A07" w:rsidRDefault="00425A07" w:rsidP="00425A07">
      <w:pPr>
        <w:spacing w:before="100" w:after="40" w:line="360" w:lineRule="auto"/>
        <w:jc w:val="both"/>
        <w:rPr>
          <w:rFonts w:cs="Times New Roman"/>
          <w:b/>
          <w:bCs/>
          <w:sz w:val="26"/>
          <w:szCs w:val="26"/>
          <w:lang w:val="en-GB"/>
        </w:rPr>
      </w:pPr>
      <w:r>
        <w:rPr>
          <w:rFonts w:cs="Times New Roman"/>
          <w:b/>
          <w:bCs/>
          <w:sz w:val="26"/>
          <w:szCs w:val="26"/>
          <w:lang w:val="en-GB"/>
        </w:rPr>
        <w:t xml:space="preserve">Breakdown of trust </w:t>
      </w:r>
    </w:p>
    <w:p w14:paraId="2465EFF0" w14:textId="12099BC4" w:rsidR="00D51641"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29.</w:t>
      </w:r>
      <w:r>
        <w:rPr>
          <w:rFonts w:cs="Times New Roman"/>
          <w:sz w:val="26"/>
          <w:szCs w:val="26"/>
          <w:lang w:val="en-GB"/>
        </w:rPr>
        <w:tab/>
      </w:r>
      <w:r w:rsidR="00E26B29">
        <w:rPr>
          <w:rFonts w:cs="Times New Roman"/>
          <w:sz w:val="26"/>
          <w:szCs w:val="26"/>
          <w:lang w:val="en-GB"/>
        </w:rPr>
        <w:t xml:space="preserve">The </w:t>
      </w:r>
      <w:r w:rsidR="006D0130">
        <w:rPr>
          <w:rFonts w:cs="Times New Roman"/>
          <w:sz w:val="26"/>
          <w:szCs w:val="26"/>
          <w:lang w:val="en-GB"/>
        </w:rPr>
        <w:t xml:space="preserve">essence of the applicant’s case is that he does not </w:t>
      </w:r>
      <w:r w:rsidR="004E012B">
        <w:rPr>
          <w:rFonts w:cs="Times New Roman"/>
          <w:sz w:val="26"/>
          <w:szCs w:val="26"/>
          <w:lang w:val="en-GB"/>
        </w:rPr>
        <w:t xml:space="preserve">trust Mr Ferreira.  </w:t>
      </w:r>
      <w:r w:rsidR="006D0130">
        <w:rPr>
          <w:rFonts w:cs="Times New Roman"/>
          <w:sz w:val="26"/>
          <w:szCs w:val="26"/>
          <w:lang w:val="en-GB"/>
        </w:rPr>
        <w:t xml:space="preserve">He believes Mr Ferreira is intent on </w:t>
      </w:r>
      <w:r w:rsidR="00F21609">
        <w:rPr>
          <w:rFonts w:cs="Times New Roman"/>
          <w:sz w:val="26"/>
          <w:szCs w:val="26"/>
          <w:lang w:val="en-GB"/>
        </w:rPr>
        <w:t xml:space="preserve">appropriating the Trust’s shares in the respondent and </w:t>
      </w:r>
      <w:r w:rsidR="006D0130">
        <w:rPr>
          <w:rFonts w:cs="Times New Roman"/>
          <w:sz w:val="26"/>
          <w:szCs w:val="26"/>
          <w:lang w:val="en-GB"/>
        </w:rPr>
        <w:t>spiriting away the property to the detriment of the Trust</w:t>
      </w:r>
      <w:r w:rsidR="00A909D3">
        <w:rPr>
          <w:rFonts w:cs="Times New Roman"/>
          <w:sz w:val="26"/>
          <w:szCs w:val="26"/>
          <w:lang w:val="en-GB"/>
        </w:rPr>
        <w:t>,</w:t>
      </w:r>
      <w:r w:rsidR="00D51641">
        <w:rPr>
          <w:rFonts w:cs="Times New Roman"/>
          <w:sz w:val="26"/>
          <w:szCs w:val="26"/>
          <w:lang w:val="en-GB"/>
        </w:rPr>
        <w:t xml:space="preserve"> and that he is mismanaging the respondent, acting in breach of fiduciary duties and contrary to the prescripts of </w:t>
      </w:r>
      <w:r w:rsidR="006660A5">
        <w:rPr>
          <w:rFonts w:cs="Times New Roman"/>
          <w:sz w:val="26"/>
          <w:szCs w:val="26"/>
          <w:lang w:val="en-GB"/>
        </w:rPr>
        <w:t xml:space="preserve">sound </w:t>
      </w:r>
      <w:r w:rsidR="00D51641">
        <w:rPr>
          <w:rFonts w:cs="Times New Roman"/>
          <w:sz w:val="26"/>
          <w:szCs w:val="26"/>
          <w:lang w:val="en-GB"/>
        </w:rPr>
        <w:t xml:space="preserve">corporate governance. </w:t>
      </w:r>
      <w:r w:rsidR="006D0130">
        <w:rPr>
          <w:rFonts w:cs="Times New Roman"/>
          <w:sz w:val="26"/>
          <w:szCs w:val="26"/>
          <w:lang w:val="en-GB"/>
        </w:rPr>
        <w:t xml:space="preserve"> </w:t>
      </w:r>
    </w:p>
    <w:p w14:paraId="6856CABA" w14:textId="182D0445" w:rsidR="005A214D"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30.</w:t>
      </w:r>
      <w:r>
        <w:rPr>
          <w:rFonts w:cs="Times New Roman"/>
          <w:sz w:val="26"/>
          <w:szCs w:val="26"/>
          <w:lang w:val="en-GB"/>
        </w:rPr>
        <w:tab/>
      </w:r>
      <w:r w:rsidR="00D51641">
        <w:rPr>
          <w:rFonts w:cs="Times New Roman"/>
          <w:sz w:val="26"/>
          <w:szCs w:val="26"/>
          <w:lang w:val="en-GB"/>
        </w:rPr>
        <w:t xml:space="preserve">He alleges irregularities by Mr Ferreira in dealing with the </w:t>
      </w:r>
      <w:r w:rsidR="006D0130" w:rsidRPr="00D51641">
        <w:rPr>
          <w:rFonts w:cs="Times New Roman"/>
          <w:sz w:val="26"/>
          <w:szCs w:val="26"/>
          <w:lang w:val="en-GB"/>
        </w:rPr>
        <w:t xml:space="preserve">respondent’s </w:t>
      </w:r>
      <w:r w:rsidR="00D51641">
        <w:rPr>
          <w:rFonts w:cs="Times New Roman"/>
          <w:sz w:val="26"/>
          <w:szCs w:val="26"/>
          <w:lang w:val="en-GB"/>
        </w:rPr>
        <w:t xml:space="preserve">share </w:t>
      </w:r>
      <w:r w:rsidR="006D0130" w:rsidRPr="00D51641">
        <w:rPr>
          <w:rFonts w:cs="Times New Roman"/>
          <w:sz w:val="26"/>
          <w:szCs w:val="26"/>
          <w:lang w:val="en-GB"/>
        </w:rPr>
        <w:t>capital</w:t>
      </w:r>
      <w:r w:rsidR="00D51641">
        <w:rPr>
          <w:rFonts w:cs="Times New Roman"/>
          <w:sz w:val="26"/>
          <w:szCs w:val="26"/>
          <w:lang w:val="en-GB"/>
        </w:rPr>
        <w:t xml:space="preserve"> including increasing the authorised share capital </w:t>
      </w:r>
      <w:r w:rsidR="006D0130" w:rsidRPr="00D51641">
        <w:rPr>
          <w:rFonts w:cs="Times New Roman"/>
          <w:sz w:val="26"/>
          <w:szCs w:val="26"/>
          <w:lang w:val="en-GB"/>
        </w:rPr>
        <w:t>from 100 shares to 1</w:t>
      </w:r>
      <w:r w:rsidR="001624BB" w:rsidRPr="00D51641">
        <w:rPr>
          <w:rFonts w:cs="Times New Roman"/>
          <w:sz w:val="26"/>
          <w:szCs w:val="26"/>
          <w:lang w:val="en-GB"/>
        </w:rPr>
        <w:t> </w:t>
      </w:r>
      <w:r w:rsidR="006D0130" w:rsidRPr="00D51641">
        <w:rPr>
          <w:rFonts w:cs="Times New Roman"/>
          <w:sz w:val="26"/>
          <w:szCs w:val="26"/>
          <w:lang w:val="en-GB"/>
        </w:rPr>
        <w:t>000</w:t>
      </w:r>
      <w:r w:rsidR="001624BB" w:rsidRPr="00D51641">
        <w:rPr>
          <w:rFonts w:cs="Times New Roman"/>
          <w:sz w:val="26"/>
          <w:szCs w:val="26"/>
          <w:lang w:val="en-GB"/>
        </w:rPr>
        <w:t xml:space="preserve"> </w:t>
      </w:r>
      <w:r w:rsidR="001624BB" w:rsidRPr="00D51641">
        <w:rPr>
          <w:rFonts w:cs="Times New Roman"/>
          <w:sz w:val="26"/>
          <w:szCs w:val="26"/>
          <w:lang w:val="en-GB"/>
        </w:rPr>
        <w:lastRenderedPageBreak/>
        <w:t>shares</w:t>
      </w:r>
      <w:r w:rsidR="00D51641">
        <w:rPr>
          <w:rFonts w:cs="Times New Roman"/>
          <w:sz w:val="26"/>
          <w:szCs w:val="26"/>
          <w:lang w:val="en-GB"/>
        </w:rPr>
        <w:t xml:space="preserve"> thereby diluting the value of </w:t>
      </w:r>
      <w:r w:rsidR="00D52593">
        <w:rPr>
          <w:rFonts w:cs="Times New Roman"/>
          <w:sz w:val="26"/>
          <w:szCs w:val="26"/>
          <w:lang w:val="en-GB"/>
        </w:rPr>
        <w:t xml:space="preserve">the Trust’s </w:t>
      </w:r>
      <w:r w:rsidR="00D51641">
        <w:rPr>
          <w:rFonts w:cs="Times New Roman"/>
          <w:sz w:val="26"/>
          <w:szCs w:val="26"/>
          <w:lang w:val="en-GB"/>
        </w:rPr>
        <w:t xml:space="preserve">shareholding, </w:t>
      </w:r>
      <w:r w:rsidR="005A214D">
        <w:rPr>
          <w:rFonts w:cs="Times New Roman"/>
          <w:sz w:val="26"/>
          <w:szCs w:val="26"/>
          <w:lang w:val="en-GB"/>
        </w:rPr>
        <w:t xml:space="preserve">and issuing shares to </w:t>
      </w:r>
      <w:r w:rsidR="005A214D" w:rsidRPr="00D51641">
        <w:rPr>
          <w:rFonts w:cs="Times New Roman"/>
          <w:sz w:val="26"/>
          <w:szCs w:val="26"/>
          <w:lang w:val="en-GB"/>
        </w:rPr>
        <w:t>one Mr Lucky Hatlane Makaringe</w:t>
      </w:r>
      <w:r w:rsidR="005A214D">
        <w:rPr>
          <w:rFonts w:cs="Times New Roman"/>
          <w:sz w:val="26"/>
          <w:szCs w:val="26"/>
          <w:lang w:val="en-GB"/>
        </w:rPr>
        <w:t xml:space="preserve"> </w:t>
      </w:r>
      <w:r w:rsidR="005A214D" w:rsidRPr="00D51641">
        <w:rPr>
          <w:rFonts w:cs="Times New Roman"/>
          <w:sz w:val="26"/>
          <w:szCs w:val="26"/>
          <w:lang w:val="en-GB"/>
        </w:rPr>
        <w:t>(“</w:t>
      </w:r>
      <w:r w:rsidR="005A214D" w:rsidRPr="00D51641">
        <w:rPr>
          <w:rFonts w:cs="Times New Roman"/>
          <w:b/>
          <w:bCs/>
          <w:sz w:val="26"/>
          <w:szCs w:val="26"/>
          <w:lang w:val="en-GB"/>
        </w:rPr>
        <w:t>Mr Makaringe</w:t>
      </w:r>
      <w:r w:rsidR="005A214D" w:rsidRPr="00D51641">
        <w:rPr>
          <w:rFonts w:cs="Times New Roman"/>
          <w:sz w:val="26"/>
          <w:szCs w:val="26"/>
          <w:lang w:val="en-GB"/>
        </w:rPr>
        <w:t>”)</w:t>
      </w:r>
      <w:r w:rsidR="00345E17">
        <w:rPr>
          <w:rFonts w:cs="Times New Roman"/>
          <w:sz w:val="26"/>
          <w:szCs w:val="26"/>
          <w:lang w:val="en-GB"/>
        </w:rPr>
        <w:t xml:space="preserve"> </w:t>
      </w:r>
      <w:r w:rsidR="005A214D">
        <w:rPr>
          <w:rFonts w:cs="Times New Roman"/>
          <w:sz w:val="26"/>
          <w:szCs w:val="26"/>
          <w:lang w:val="en-GB"/>
        </w:rPr>
        <w:t xml:space="preserve">who </w:t>
      </w:r>
      <w:r w:rsidR="00A909D3">
        <w:rPr>
          <w:rFonts w:cs="Times New Roman"/>
          <w:sz w:val="26"/>
          <w:szCs w:val="26"/>
          <w:lang w:val="en-GB"/>
        </w:rPr>
        <w:t xml:space="preserve">the applicant avers </w:t>
      </w:r>
      <w:r w:rsidR="005A214D">
        <w:rPr>
          <w:rFonts w:cs="Times New Roman"/>
          <w:sz w:val="26"/>
          <w:szCs w:val="26"/>
          <w:lang w:val="en-GB"/>
        </w:rPr>
        <w:t xml:space="preserve">was </w:t>
      </w:r>
      <w:r w:rsidR="00D51641">
        <w:rPr>
          <w:rFonts w:cs="Times New Roman"/>
          <w:sz w:val="26"/>
          <w:szCs w:val="26"/>
          <w:lang w:val="en-GB"/>
        </w:rPr>
        <w:t>appoint</w:t>
      </w:r>
      <w:r w:rsidR="005A214D">
        <w:rPr>
          <w:rFonts w:cs="Times New Roman"/>
          <w:sz w:val="26"/>
          <w:szCs w:val="26"/>
          <w:lang w:val="en-GB"/>
        </w:rPr>
        <w:t xml:space="preserve">ed as a director </w:t>
      </w:r>
      <w:r w:rsidR="00D51641">
        <w:rPr>
          <w:rFonts w:cs="Times New Roman"/>
          <w:sz w:val="26"/>
          <w:szCs w:val="26"/>
          <w:lang w:val="en-GB"/>
        </w:rPr>
        <w:t>on</w:t>
      </w:r>
      <w:r w:rsidR="00D51641" w:rsidRPr="00D51641">
        <w:rPr>
          <w:rFonts w:cs="Times New Roman"/>
          <w:sz w:val="26"/>
          <w:szCs w:val="26"/>
          <w:lang w:val="en-GB"/>
        </w:rPr>
        <w:t xml:space="preserve"> 2 November 2021 without a meeting of shareholders having been convened</w:t>
      </w:r>
      <w:r w:rsidR="005A214D">
        <w:rPr>
          <w:rFonts w:cs="Times New Roman"/>
          <w:sz w:val="26"/>
          <w:szCs w:val="26"/>
          <w:lang w:val="en-GB"/>
        </w:rPr>
        <w:t>.</w:t>
      </w:r>
    </w:p>
    <w:p w14:paraId="41FB5D75" w14:textId="2FF65524" w:rsidR="00D51641" w:rsidRPr="00345E17" w:rsidRDefault="004200A4" w:rsidP="004200A4">
      <w:pPr>
        <w:spacing w:before="100" w:after="40" w:line="360" w:lineRule="auto"/>
        <w:ind w:left="567" w:hanging="567"/>
        <w:jc w:val="both"/>
        <w:rPr>
          <w:rFonts w:cs="Times New Roman"/>
          <w:strike/>
          <w:sz w:val="26"/>
          <w:szCs w:val="26"/>
          <w:lang w:val="en-GB"/>
        </w:rPr>
      </w:pPr>
      <w:r w:rsidRPr="00345E17">
        <w:rPr>
          <w:rFonts w:cs="Times New Roman"/>
          <w:sz w:val="26"/>
          <w:szCs w:val="26"/>
          <w:lang w:val="en-GB"/>
        </w:rPr>
        <w:t>31.</w:t>
      </w:r>
      <w:r w:rsidRPr="00345E17">
        <w:rPr>
          <w:rFonts w:cs="Times New Roman"/>
          <w:sz w:val="26"/>
          <w:szCs w:val="26"/>
          <w:lang w:val="en-GB"/>
        </w:rPr>
        <w:tab/>
      </w:r>
      <w:r w:rsidR="005A214D">
        <w:rPr>
          <w:rFonts w:cs="Times New Roman"/>
          <w:sz w:val="26"/>
          <w:szCs w:val="26"/>
          <w:lang w:val="en-GB"/>
        </w:rPr>
        <w:t>The applicant attache</w:t>
      </w:r>
      <w:r w:rsidR="00A909D3">
        <w:rPr>
          <w:rFonts w:cs="Times New Roman"/>
          <w:sz w:val="26"/>
          <w:szCs w:val="26"/>
          <w:lang w:val="en-GB"/>
        </w:rPr>
        <w:t>s</w:t>
      </w:r>
      <w:r w:rsidR="005A214D">
        <w:rPr>
          <w:rFonts w:cs="Times New Roman"/>
          <w:sz w:val="26"/>
          <w:szCs w:val="26"/>
          <w:lang w:val="en-GB"/>
        </w:rPr>
        <w:t xml:space="preserve"> to the founding affidavit a</w:t>
      </w:r>
      <w:r w:rsidR="00D51641" w:rsidRPr="00D51641">
        <w:rPr>
          <w:rFonts w:cs="Times New Roman"/>
          <w:sz w:val="26"/>
          <w:szCs w:val="26"/>
          <w:lang w:val="en-GB"/>
        </w:rPr>
        <w:t xml:space="preserve"> CIPC Form COR 39 ostensibly signed by Mr Ferreira and Mr Makaringe reflecting the </w:t>
      </w:r>
      <w:r w:rsidR="00A909D3">
        <w:rPr>
          <w:rFonts w:cs="Times New Roman"/>
          <w:sz w:val="26"/>
          <w:szCs w:val="26"/>
          <w:lang w:val="en-GB"/>
        </w:rPr>
        <w:t xml:space="preserve">appointment of the </w:t>
      </w:r>
      <w:r w:rsidR="00D51641" w:rsidRPr="00D51641">
        <w:rPr>
          <w:rFonts w:cs="Times New Roman"/>
          <w:sz w:val="26"/>
          <w:szCs w:val="26"/>
          <w:lang w:val="en-GB"/>
        </w:rPr>
        <w:t>latter as a director on 2 November 2021</w:t>
      </w:r>
      <w:r w:rsidR="005A214D">
        <w:rPr>
          <w:rFonts w:cs="Times New Roman"/>
          <w:sz w:val="26"/>
          <w:szCs w:val="26"/>
          <w:lang w:val="en-GB"/>
        </w:rPr>
        <w:t>.  A</w:t>
      </w:r>
      <w:r w:rsidR="00D51641" w:rsidRPr="00D51641">
        <w:rPr>
          <w:rFonts w:cs="Times New Roman"/>
          <w:sz w:val="26"/>
          <w:szCs w:val="26"/>
          <w:lang w:val="en-GB"/>
        </w:rPr>
        <w:t xml:space="preserve"> ‘board resolution’ ostensibly signed by the two directors, Mr Ferreira and Mr Makaringe on 4 November 2021 which records </w:t>
      </w:r>
      <w:r w:rsidR="005A214D">
        <w:rPr>
          <w:rFonts w:cs="Times New Roman"/>
          <w:sz w:val="26"/>
          <w:szCs w:val="26"/>
          <w:lang w:val="en-GB"/>
        </w:rPr>
        <w:t xml:space="preserve">amongst others </w:t>
      </w:r>
      <w:r w:rsidR="00D51641" w:rsidRPr="00D51641">
        <w:rPr>
          <w:rFonts w:cs="Times New Roman"/>
          <w:sz w:val="26"/>
          <w:szCs w:val="26"/>
          <w:lang w:val="en-GB"/>
        </w:rPr>
        <w:t xml:space="preserve">a decision to issue 50% of the shares in the respondent to Mr Makaringe </w:t>
      </w:r>
      <w:r w:rsidR="005A214D">
        <w:rPr>
          <w:rFonts w:cs="Times New Roman"/>
          <w:sz w:val="26"/>
          <w:szCs w:val="26"/>
          <w:lang w:val="en-GB"/>
        </w:rPr>
        <w:t xml:space="preserve">is attached to the founding affidavit.  </w:t>
      </w:r>
      <w:r w:rsidR="00A909D3">
        <w:rPr>
          <w:rFonts w:cs="Times New Roman"/>
          <w:sz w:val="26"/>
          <w:szCs w:val="26"/>
          <w:lang w:val="en-GB"/>
        </w:rPr>
        <w:t xml:space="preserve">A </w:t>
      </w:r>
      <w:r w:rsidR="00D51641" w:rsidRPr="00D51641">
        <w:rPr>
          <w:rFonts w:cs="Times New Roman"/>
          <w:sz w:val="26"/>
          <w:szCs w:val="26"/>
          <w:lang w:val="en-GB"/>
        </w:rPr>
        <w:t xml:space="preserve">resolution ostensibly signed by Mr Ferreira and one E Malatji described as </w:t>
      </w:r>
      <w:r w:rsidR="00A909D3">
        <w:rPr>
          <w:rFonts w:cs="Times New Roman"/>
          <w:sz w:val="26"/>
          <w:szCs w:val="26"/>
          <w:lang w:val="en-GB"/>
        </w:rPr>
        <w:t>‘</w:t>
      </w:r>
      <w:r w:rsidR="00D51641" w:rsidRPr="00D51641">
        <w:rPr>
          <w:rFonts w:cs="Times New Roman"/>
          <w:sz w:val="26"/>
          <w:szCs w:val="26"/>
          <w:lang w:val="en-GB"/>
        </w:rPr>
        <w:t>Secretary’ recording that a decision that share certificate number 1 reflecting Mr Ferreira Senior’s shareholding in the respondent as 100% should be reissued and all previous share certificates should be ‘discarded’ because Mr Ferreira Senior d</w:t>
      </w:r>
      <w:r w:rsidR="00A909D3">
        <w:rPr>
          <w:rFonts w:cs="Times New Roman"/>
          <w:sz w:val="26"/>
          <w:szCs w:val="26"/>
          <w:lang w:val="en-GB"/>
        </w:rPr>
        <w:t>oes</w:t>
      </w:r>
      <w:r w:rsidR="00D51641" w:rsidRPr="00D51641">
        <w:rPr>
          <w:rFonts w:cs="Times New Roman"/>
          <w:sz w:val="26"/>
          <w:szCs w:val="26"/>
          <w:lang w:val="en-GB"/>
        </w:rPr>
        <w:t xml:space="preserve"> ‘not know the whereabouts of the company secretarial information’ is produced by the applicant</w:t>
      </w:r>
      <w:r w:rsidR="005A214D" w:rsidRPr="005A214D">
        <w:rPr>
          <w:rFonts w:cs="Times New Roman"/>
          <w:sz w:val="26"/>
          <w:szCs w:val="26"/>
          <w:lang w:val="en-GB"/>
        </w:rPr>
        <w:t xml:space="preserve">.  </w:t>
      </w:r>
    </w:p>
    <w:p w14:paraId="57D2DA87" w14:textId="31F8C6FB" w:rsidR="00167E29"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32.</w:t>
      </w:r>
      <w:r>
        <w:rPr>
          <w:rFonts w:cs="Times New Roman"/>
          <w:sz w:val="26"/>
          <w:szCs w:val="26"/>
          <w:lang w:val="en-GB"/>
        </w:rPr>
        <w:tab/>
      </w:r>
      <w:r w:rsidR="00345E17">
        <w:rPr>
          <w:rFonts w:cs="Times New Roman"/>
          <w:sz w:val="26"/>
          <w:szCs w:val="26"/>
          <w:lang w:val="en-GB"/>
        </w:rPr>
        <w:t xml:space="preserve">Mr Ferreira denies that he had anything to do with Mr </w:t>
      </w:r>
      <w:r w:rsidR="00345E17" w:rsidRPr="002E2835">
        <w:rPr>
          <w:rFonts w:cs="Times New Roman"/>
          <w:sz w:val="26"/>
          <w:szCs w:val="26"/>
          <w:lang w:val="en-GB"/>
        </w:rPr>
        <w:t>Makaringe</w:t>
      </w:r>
      <w:r w:rsidR="00A909D3">
        <w:rPr>
          <w:rFonts w:cs="Times New Roman"/>
          <w:sz w:val="26"/>
          <w:szCs w:val="26"/>
          <w:lang w:val="en-GB"/>
        </w:rPr>
        <w:t>’s</w:t>
      </w:r>
      <w:r w:rsidR="00345E17">
        <w:rPr>
          <w:rFonts w:cs="Times New Roman"/>
          <w:sz w:val="26"/>
          <w:szCs w:val="26"/>
          <w:lang w:val="en-GB"/>
        </w:rPr>
        <w:t xml:space="preserve"> appoint</w:t>
      </w:r>
      <w:r w:rsidR="00A909D3">
        <w:rPr>
          <w:rFonts w:cs="Times New Roman"/>
          <w:sz w:val="26"/>
          <w:szCs w:val="26"/>
          <w:lang w:val="en-GB"/>
        </w:rPr>
        <w:t>ment as</w:t>
      </w:r>
      <w:r w:rsidR="00345E17">
        <w:rPr>
          <w:rFonts w:cs="Times New Roman"/>
          <w:sz w:val="26"/>
          <w:szCs w:val="26"/>
          <w:lang w:val="en-GB"/>
        </w:rPr>
        <w:t xml:space="preserve"> a director, nor of the authorised share capital being increased.  He also denies signing the CIPC Form COR 39 </w:t>
      </w:r>
      <w:r w:rsidR="00A909D3">
        <w:rPr>
          <w:rFonts w:cs="Times New Roman"/>
          <w:sz w:val="26"/>
          <w:szCs w:val="26"/>
          <w:lang w:val="en-GB"/>
        </w:rPr>
        <w:t xml:space="preserve">and </w:t>
      </w:r>
      <w:r w:rsidR="00345E17">
        <w:rPr>
          <w:rFonts w:cs="Times New Roman"/>
          <w:sz w:val="26"/>
          <w:szCs w:val="26"/>
          <w:lang w:val="en-GB"/>
        </w:rPr>
        <w:t xml:space="preserve">the two </w:t>
      </w:r>
      <w:r w:rsidR="00A909D3">
        <w:rPr>
          <w:rFonts w:cs="Times New Roman"/>
          <w:sz w:val="26"/>
          <w:szCs w:val="26"/>
          <w:lang w:val="en-GB"/>
        </w:rPr>
        <w:t>‘</w:t>
      </w:r>
      <w:r w:rsidR="00345E17">
        <w:rPr>
          <w:rFonts w:cs="Times New Roman"/>
          <w:sz w:val="26"/>
          <w:szCs w:val="26"/>
          <w:lang w:val="en-GB"/>
        </w:rPr>
        <w:t>board resolutions</w:t>
      </w:r>
      <w:r w:rsidR="00A909D3">
        <w:rPr>
          <w:rFonts w:cs="Times New Roman"/>
          <w:sz w:val="26"/>
          <w:szCs w:val="26"/>
          <w:lang w:val="en-GB"/>
        </w:rPr>
        <w:t>’</w:t>
      </w:r>
      <w:r w:rsidR="00345E17">
        <w:rPr>
          <w:rFonts w:cs="Times New Roman"/>
          <w:sz w:val="26"/>
          <w:szCs w:val="26"/>
          <w:lang w:val="en-GB"/>
        </w:rPr>
        <w:t xml:space="preserve">.  He claims that Mr </w:t>
      </w:r>
      <w:r w:rsidR="00345E17" w:rsidRPr="002E2835">
        <w:rPr>
          <w:rFonts w:cs="Times New Roman"/>
          <w:sz w:val="26"/>
          <w:szCs w:val="26"/>
          <w:lang w:val="en-GB"/>
        </w:rPr>
        <w:t>Makaringe</w:t>
      </w:r>
      <w:r w:rsidR="00345E17">
        <w:rPr>
          <w:rFonts w:cs="Times New Roman"/>
          <w:sz w:val="26"/>
          <w:szCs w:val="26"/>
          <w:lang w:val="en-GB"/>
        </w:rPr>
        <w:t xml:space="preserve">, who he believed was attached to a firm of attorneys assisting him in resolving the proceedings brought by Nedbank against the respondent, was involved in ‘nefarious activities’ thereby suggesting that the documents bearing his signatures were a forgery.  </w:t>
      </w:r>
      <w:r w:rsidR="00167E29">
        <w:rPr>
          <w:rFonts w:cs="Times New Roman"/>
          <w:sz w:val="26"/>
          <w:szCs w:val="26"/>
          <w:lang w:val="en-GB"/>
        </w:rPr>
        <w:t xml:space="preserve">Mr Ferreira’s </w:t>
      </w:r>
      <w:r w:rsidR="00A909D3">
        <w:rPr>
          <w:rFonts w:cs="Times New Roman"/>
          <w:sz w:val="26"/>
          <w:szCs w:val="26"/>
          <w:lang w:val="en-GB"/>
        </w:rPr>
        <w:t xml:space="preserve">claim that his signatures were a forgery </w:t>
      </w:r>
      <w:r w:rsidR="00345E17">
        <w:rPr>
          <w:rFonts w:cs="Times New Roman"/>
          <w:sz w:val="26"/>
          <w:szCs w:val="26"/>
          <w:lang w:val="en-GB"/>
        </w:rPr>
        <w:t xml:space="preserve">have a ring of truth to it. </w:t>
      </w:r>
      <w:r w:rsidR="00167E29">
        <w:rPr>
          <w:rFonts w:cs="Times New Roman"/>
          <w:sz w:val="26"/>
          <w:szCs w:val="26"/>
          <w:lang w:val="en-GB"/>
        </w:rPr>
        <w:t xml:space="preserve"> Mr </w:t>
      </w:r>
      <w:r w:rsidR="00167E29" w:rsidRPr="002E2835">
        <w:rPr>
          <w:rFonts w:cs="Times New Roman"/>
          <w:sz w:val="26"/>
          <w:szCs w:val="26"/>
          <w:lang w:val="en-GB"/>
        </w:rPr>
        <w:t>Makaringe</w:t>
      </w:r>
      <w:r w:rsidR="00167E29">
        <w:rPr>
          <w:rFonts w:cs="Times New Roman"/>
          <w:sz w:val="26"/>
          <w:szCs w:val="26"/>
          <w:lang w:val="en-GB"/>
        </w:rPr>
        <w:t xml:space="preserve"> did tell</w:t>
      </w:r>
      <w:r w:rsidR="00345E17">
        <w:rPr>
          <w:rFonts w:cs="Times New Roman"/>
          <w:sz w:val="26"/>
          <w:szCs w:val="26"/>
          <w:lang w:val="en-GB"/>
        </w:rPr>
        <w:t xml:space="preserve"> the applicant that he d</w:t>
      </w:r>
      <w:r w:rsidR="00167E29">
        <w:rPr>
          <w:rFonts w:cs="Times New Roman"/>
          <w:sz w:val="26"/>
          <w:szCs w:val="26"/>
          <w:lang w:val="en-GB"/>
        </w:rPr>
        <w:t xml:space="preserve">oes </w:t>
      </w:r>
      <w:r w:rsidR="00345E17">
        <w:rPr>
          <w:rFonts w:cs="Times New Roman"/>
          <w:sz w:val="26"/>
          <w:szCs w:val="26"/>
          <w:lang w:val="en-GB"/>
        </w:rPr>
        <w:t xml:space="preserve">not know how it came about that he </w:t>
      </w:r>
      <w:r w:rsidR="00167E29">
        <w:rPr>
          <w:rFonts w:cs="Times New Roman"/>
          <w:sz w:val="26"/>
          <w:szCs w:val="26"/>
          <w:lang w:val="en-GB"/>
        </w:rPr>
        <w:t>i</w:t>
      </w:r>
      <w:r w:rsidR="00345E17">
        <w:rPr>
          <w:rFonts w:cs="Times New Roman"/>
          <w:sz w:val="26"/>
          <w:szCs w:val="26"/>
          <w:lang w:val="en-GB"/>
        </w:rPr>
        <w:t xml:space="preserve">s reflected as a director of the respondent, and offered to resign and renounce any shares that may have been issued to him.  </w:t>
      </w:r>
      <w:r w:rsidR="008A3B04">
        <w:rPr>
          <w:rFonts w:cs="Times New Roman"/>
          <w:sz w:val="26"/>
          <w:szCs w:val="26"/>
          <w:lang w:val="en-GB"/>
        </w:rPr>
        <w:t xml:space="preserve">He would not have offered to do this if he was legitimately a director and shareholder.  </w:t>
      </w:r>
      <w:r w:rsidR="00345E17">
        <w:rPr>
          <w:rFonts w:cs="Times New Roman"/>
          <w:sz w:val="26"/>
          <w:szCs w:val="26"/>
          <w:lang w:val="en-GB"/>
        </w:rPr>
        <w:t xml:space="preserve">Mr </w:t>
      </w:r>
      <w:r w:rsidR="00345E17" w:rsidRPr="002E2835">
        <w:rPr>
          <w:rFonts w:cs="Times New Roman"/>
          <w:sz w:val="26"/>
          <w:szCs w:val="26"/>
          <w:lang w:val="en-GB"/>
        </w:rPr>
        <w:t>Makaringe</w:t>
      </w:r>
      <w:r w:rsidR="00345E17">
        <w:rPr>
          <w:rFonts w:cs="Times New Roman"/>
          <w:sz w:val="26"/>
          <w:szCs w:val="26"/>
          <w:lang w:val="en-GB"/>
        </w:rPr>
        <w:t xml:space="preserve">’s involvement is by no means clear from the papers.  </w:t>
      </w:r>
      <w:r w:rsidR="00167E29">
        <w:rPr>
          <w:rFonts w:cs="Times New Roman"/>
          <w:sz w:val="26"/>
          <w:szCs w:val="26"/>
          <w:lang w:val="en-GB"/>
        </w:rPr>
        <w:t xml:space="preserve">I must make it clear that I am not suggesting that Mr </w:t>
      </w:r>
      <w:r w:rsidR="00167E29" w:rsidRPr="002E2835">
        <w:rPr>
          <w:rFonts w:cs="Times New Roman"/>
          <w:sz w:val="26"/>
          <w:szCs w:val="26"/>
          <w:lang w:val="en-GB"/>
        </w:rPr>
        <w:t>Makaringe</w:t>
      </w:r>
      <w:r w:rsidR="00167E29">
        <w:rPr>
          <w:rFonts w:cs="Times New Roman"/>
          <w:sz w:val="26"/>
          <w:szCs w:val="26"/>
          <w:lang w:val="en-GB"/>
        </w:rPr>
        <w:t xml:space="preserve"> forged the signatures nor that he was involved in nefarious activities.  </w:t>
      </w:r>
      <w:r w:rsidR="008A3B04">
        <w:rPr>
          <w:rFonts w:cs="Times New Roman"/>
          <w:sz w:val="26"/>
          <w:szCs w:val="26"/>
          <w:lang w:val="en-GB"/>
        </w:rPr>
        <w:t>It is possible that fraud was committed by persons unrelated to both Mr Ferreira and Mr Makaringe.</w:t>
      </w:r>
    </w:p>
    <w:p w14:paraId="5462FD83" w14:textId="0E46174E" w:rsidR="00345E17"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lastRenderedPageBreak/>
        <w:t>33.</w:t>
      </w:r>
      <w:r>
        <w:rPr>
          <w:rFonts w:cs="Times New Roman"/>
          <w:sz w:val="26"/>
          <w:szCs w:val="26"/>
          <w:lang w:val="en-GB"/>
        </w:rPr>
        <w:tab/>
      </w:r>
      <w:r w:rsidR="00345E17">
        <w:rPr>
          <w:rFonts w:cs="Times New Roman"/>
          <w:sz w:val="26"/>
          <w:szCs w:val="26"/>
          <w:lang w:val="en-GB"/>
        </w:rPr>
        <w:t xml:space="preserve">In the replying affidavit the applicant refers to an e-mail from Mr </w:t>
      </w:r>
      <w:r w:rsidR="00345E17" w:rsidRPr="002E2835">
        <w:rPr>
          <w:rFonts w:cs="Times New Roman"/>
          <w:sz w:val="26"/>
          <w:szCs w:val="26"/>
          <w:lang w:val="en-GB"/>
        </w:rPr>
        <w:t>Makaringe</w:t>
      </w:r>
      <w:r w:rsidR="00345E17">
        <w:rPr>
          <w:rFonts w:cs="Times New Roman"/>
          <w:sz w:val="26"/>
          <w:szCs w:val="26"/>
          <w:lang w:val="en-GB"/>
        </w:rPr>
        <w:t xml:space="preserve"> on 13 May 2022 in which he states that he paid an amount of R21 600.00</w:t>
      </w:r>
      <w:r w:rsidR="006660A5">
        <w:rPr>
          <w:rFonts w:cs="Times New Roman"/>
          <w:sz w:val="26"/>
          <w:szCs w:val="26"/>
          <w:lang w:val="en-GB"/>
        </w:rPr>
        <w:t xml:space="preserve"> for the benefit of the respondent</w:t>
      </w:r>
      <w:r w:rsidR="00167E29">
        <w:rPr>
          <w:rFonts w:cs="Times New Roman"/>
          <w:sz w:val="26"/>
          <w:szCs w:val="26"/>
          <w:lang w:val="en-GB"/>
        </w:rPr>
        <w:t xml:space="preserve">.  The e-mail and the </w:t>
      </w:r>
      <w:r w:rsidR="00345E17">
        <w:rPr>
          <w:rFonts w:cs="Times New Roman"/>
          <w:sz w:val="26"/>
          <w:szCs w:val="26"/>
          <w:lang w:val="en-GB"/>
        </w:rPr>
        <w:t>proof of payments to Nedbank Home Loans</w:t>
      </w:r>
      <w:r w:rsidR="00167E29">
        <w:rPr>
          <w:rFonts w:cs="Times New Roman"/>
          <w:sz w:val="26"/>
          <w:szCs w:val="26"/>
          <w:lang w:val="en-GB"/>
        </w:rPr>
        <w:t xml:space="preserve"> are attached to the replying affidavit.</w:t>
      </w:r>
      <w:r w:rsidR="00345E17">
        <w:rPr>
          <w:rFonts w:cs="Times New Roman"/>
          <w:sz w:val="26"/>
          <w:szCs w:val="26"/>
          <w:lang w:val="en-GB"/>
        </w:rPr>
        <w:t xml:space="preserve">  </w:t>
      </w:r>
      <w:r w:rsidR="00167E29">
        <w:rPr>
          <w:rFonts w:cs="Times New Roman"/>
          <w:sz w:val="26"/>
          <w:szCs w:val="26"/>
          <w:lang w:val="en-GB"/>
        </w:rPr>
        <w:t xml:space="preserve">Mr </w:t>
      </w:r>
      <w:r w:rsidR="00167E29" w:rsidRPr="002E2835">
        <w:rPr>
          <w:rFonts w:cs="Times New Roman"/>
          <w:sz w:val="26"/>
          <w:szCs w:val="26"/>
          <w:lang w:val="en-GB"/>
        </w:rPr>
        <w:t>Makaringe</w:t>
      </w:r>
      <w:r w:rsidR="00167E29">
        <w:rPr>
          <w:rFonts w:cs="Times New Roman"/>
          <w:sz w:val="26"/>
          <w:szCs w:val="26"/>
          <w:lang w:val="en-GB"/>
        </w:rPr>
        <w:t xml:space="preserve"> </w:t>
      </w:r>
      <w:r w:rsidR="00345E17">
        <w:rPr>
          <w:rFonts w:cs="Times New Roman"/>
          <w:sz w:val="26"/>
          <w:szCs w:val="26"/>
          <w:lang w:val="en-GB"/>
        </w:rPr>
        <w:t xml:space="preserve">appears to have paid an amount to RNK Inc Attorneys apparently in connection with the litigation by Nedbank against the respondent.  </w:t>
      </w:r>
      <w:r w:rsidR="00232354">
        <w:rPr>
          <w:rFonts w:cs="Times New Roman"/>
          <w:sz w:val="26"/>
          <w:szCs w:val="26"/>
          <w:lang w:val="en-GB"/>
        </w:rPr>
        <w:t>The dispute of facts relating to Mr Ferr</w:t>
      </w:r>
      <w:r w:rsidR="00013A41">
        <w:rPr>
          <w:rFonts w:cs="Times New Roman"/>
          <w:sz w:val="26"/>
          <w:szCs w:val="26"/>
          <w:lang w:val="en-GB"/>
        </w:rPr>
        <w:t>e</w:t>
      </w:r>
      <w:r w:rsidR="00232354">
        <w:rPr>
          <w:rFonts w:cs="Times New Roman"/>
          <w:sz w:val="26"/>
          <w:szCs w:val="26"/>
          <w:lang w:val="en-GB"/>
        </w:rPr>
        <w:t xml:space="preserve">ira’s actions </w:t>
      </w:r>
      <w:r w:rsidR="00167E29">
        <w:rPr>
          <w:rFonts w:cs="Times New Roman"/>
          <w:sz w:val="26"/>
          <w:szCs w:val="26"/>
          <w:lang w:val="en-GB"/>
        </w:rPr>
        <w:t xml:space="preserve">and his relationship with Mr </w:t>
      </w:r>
      <w:r w:rsidR="00167E29" w:rsidRPr="002E2835">
        <w:rPr>
          <w:rFonts w:cs="Times New Roman"/>
          <w:sz w:val="26"/>
          <w:szCs w:val="26"/>
          <w:lang w:val="en-GB"/>
        </w:rPr>
        <w:t>Makaringe</w:t>
      </w:r>
      <w:r w:rsidR="00167E29">
        <w:rPr>
          <w:rFonts w:cs="Times New Roman"/>
          <w:sz w:val="26"/>
          <w:szCs w:val="26"/>
          <w:lang w:val="en-GB"/>
        </w:rPr>
        <w:t xml:space="preserve"> and the latter’s involvement in the respondent </w:t>
      </w:r>
      <w:r w:rsidR="00232354">
        <w:rPr>
          <w:rFonts w:cs="Times New Roman"/>
          <w:sz w:val="26"/>
          <w:szCs w:val="26"/>
          <w:lang w:val="en-GB"/>
        </w:rPr>
        <w:t xml:space="preserve">are not capable of being resolved on the papers.  </w:t>
      </w:r>
    </w:p>
    <w:p w14:paraId="0688C3E6" w14:textId="6843DB6F" w:rsidR="00BE366D"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34.</w:t>
      </w:r>
      <w:r>
        <w:rPr>
          <w:rFonts w:cs="Times New Roman"/>
          <w:sz w:val="26"/>
          <w:szCs w:val="26"/>
          <w:lang w:val="en-GB"/>
        </w:rPr>
        <w:tab/>
      </w:r>
      <w:r w:rsidR="009D148B">
        <w:rPr>
          <w:rFonts w:cs="Times New Roman"/>
          <w:sz w:val="26"/>
          <w:szCs w:val="26"/>
          <w:lang w:val="en-GB"/>
        </w:rPr>
        <w:t xml:space="preserve">My impression from a reading of the papers is that </w:t>
      </w:r>
      <w:r w:rsidR="00167E29">
        <w:rPr>
          <w:rFonts w:cs="Times New Roman"/>
          <w:sz w:val="26"/>
          <w:szCs w:val="26"/>
          <w:lang w:val="en-GB"/>
        </w:rPr>
        <w:t>t</w:t>
      </w:r>
      <w:r w:rsidR="009D148B">
        <w:rPr>
          <w:rFonts w:cs="Times New Roman"/>
          <w:sz w:val="26"/>
          <w:szCs w:val="26"/>
          <w:lang w:val="en-GB"/>
        </w:rPr>
        <w:t xml:space="preserve">he </w:t>
      </w:r>
      <w:r w:rsidR="00167E29">
        <w:rPr>
          <w:rFonts w:cs="Times New Roman"/>
          <w:sz w:val="26"/>
          <w:szCs w:val="26"/>
          <w:lang w:val="en-GB"/>
        </w:rPr>
        <w:t xml:space="preserve">applicant </w:t>
      </w:r>
      <w:r w:rsidR="009D148B">
        <w:rPr>
          <w:rFonts w:cs="Times New Roman"/>
          <w:sz w:val="26"/>
          <w:szCs w:val="26"/>
          <w:lang w:val="en-GB"/>
        </w:rPr>
        <w:t xml:space="preserve">is suspicious of Mr Ferreira’s actions and </w:t>
      </w:r>
      <w:r w:rsidR="00BE366D">
        <w:rPr>
          <w:rFonts w:cs="Times New Roman"/>
          <w:sz w:val="26"/>
          <w:szCs w:val="26"/>
          <w:lang w:val="en-GB"/>
        </w:rPr>
        <w:t xml:space="preserve">the </w:t>
      </w:r>
      <w:r w:rsidR="009D148B">
        <w:rPr>
          <w:rFonts w:cs="Times New Roman"/>
          <w:sz w:val="26"/>
          <w:szCs w:val="26"/>
          <w:lang w:val="en-GB"/>
        </w:rPr>
        <w:t>proposed transaction for the sale of the property.  He questions Mr Ferreira’s motives and suspects that the disposal of the property may constitute fraudulent activity.  He does not however disclose</w:t>
      </w:r>
      <w:r w:rsidR="00167E29">
        <w:rPr>
          <w:rFonts w:cs="Times New Roman"/>
          <w:sz w:val="26"/>
          <w:szCs w:val="26"/>
          <w:lang w:val="en-GB"/>
        </w:rPr>
        <w:t xml:space="preserve"> the</w:t>
      </w:r>
      <w:r w:rsidR="009D148B">
        <w:rPr>
          <w:rFonts w:cs="Times New Roman"/>
          <w:sz w:val="26"/>
          <w:szCs w:val="26"/>
          <w:lang w:val="en-GB"/>
        </w:rPr>
        <w:t xml:space="preserve"> facts </w:t>
      </w:r>
      <w:r w:rsidR="00167E29">
        <w:rPr>
          <w:rFonts w:cs="Times New Roman"/>
          <w:sz w:val="26"/>
          <w:szCs w:val="26"/>
          <w:lang w:val="en-GB"/>
        </w:rPr>
        <w:t>which give rise to the suspicion o</w:t>
      </w:r>
      <w:r w:rsidR="009D148B">
        <w:rPr>
          <w:rFonts w:cs="Times New Roman"/>
          <w:sz w:val="26"/>
          <w:szCs w:val="26"/>
          <w:lang w:val="en-GB"/>
        </w:rPr>
        <w:t xml:space="preserve">f fraudulent activity save </w:t>
      </w:r>
      <w:r w:rsidR="00167E29">
        <w:rPr>
          <w:rFonts w:cs="Times New Roman"/>
          <w:sz w:val="26"/>
          <w:szCs w:val="26"/>
          <w:lang w:val="en-GB"/>
        </w:rPr>
        <w:t xml:space="preserve">perhaps </w:t>
      </w:r>
      <w:r w:rsidR="009D148B">
        <w:rPr>
          <w:rFonts w:cs="Times New Roman"/>
          <w:sz w:val="26"/>
          <w:szCs w:val="26"/>
          <w:lang w:val="en-GB"/>
        </w:rPr>
        <w:t xml:space="preserve">that the </w:t>
      </w:r>
      <w:r w:rsidR="00D52593">
        <w:rPr>
          <w:rFonts w:cs="Times New Roman"/>
          <w:sz w:val="26"/>
          <w:szCs w:val="26"/>
          <w:lang w:val="en-GB"/>
        </w:rPr>
        <w:t xml:space="preserve">company </w:t>
      </w:r>
      <w:r w:rsidR="009D148B">
        <w:rPr>
          <w:rFonts w:cs="Times New Roman"/>
          <w:sz w:val="26"/>
          <w:szCs w:val="26"/>
          <w:lang w:val="en-GB"/>
        </w:rPr>
        <w:t xml:space="preserve">identified as the </w:t>
      </w:r>
      <w:r w:rsidR="00BE366D">
        <w:rPr>
          <w:rFonts w:cs="Times New Roman"/>
          <w:sz w:val="26"/>
          <w:szCs w:val="26"/>
          <w:lang w:val="en-GB"/>
        </w:rPr>
        <w:t xml:space="preserve">purchaser in a draft version of a proposed sale agreement provided to </w:t>
      </w:r>
      <w:r w:rsidR="00167E29">
        <w:rPr>
          <w:rFonts w:cs="Times New Roman"/>
          <w:sz w:val="26"/>
          <w:szCs w:val="26"/>
          <w:lang w:val="en-GB"/>
        </w:rPr>
        <w:t xml:space="preserve">the applicant </w:t>
      </w:r>
      <w:r w:rsidR="00BE366D">
        <w:rPr>
          <w:rFonts w:cs="Times New Roman"/>
          <w:sz w:val="26"/>
          <w:szCs w:val="26"/>
          <w:lang w:val="en-GB"/>
        </w:rPr>
        <w:t>on 11 May 2022 (“</w:t>
      </w:r>
      <w:r w:rsidR="00BE366D">
        <w:rPr>
          <w:rFonts w:cs="Times New Roman"/>
          <w:b/>
          <w:bCs/>
          <w:sz w:val="26"/>
          <w:szCs w:val="26"/>
          <w:lang w:val="en-GB"/>
        </w:rPr>
        <w:t>the first draft sale agreement</w:t>
      </w:r>
      <w:r w:rsidR="00BE366D">
        <w:rPr>
          <w:rFonts w:cs="Times New Roman"/>
          <w:sz w:val="26"/>
          <w:szCs w:val="26"/>
          <w:lang w:val="en-GB"/>
        </w:rPr>
        <w:t xml:space="preserve">”) </w:t>
      </w:r>
      <w:r w:rsidR="008A3B04">
        <w:rPr>
          <w:rFonts w:cs="Times New Roman"/>
          <w:sz w:val="26"/>
          <w:szCs w:val="26"/>
          <w:lang w:val="en-GB"/>
        </w:rPr>
        <w:t xml:space="preserve">apparently </w:t>
      </w:r>
      <w:r w:rsidR="00BE366D">
        <w:rPr>
          <w:rFonts w:cs="Times New Roman"/>
          <w:sz w:val="26"/>
          <w:szCs w:val="26"/>
          <w:lang w:val="en-GB"/>
        </w:rPr>
        <w:t xml:space="preserve">does not exist.  </w:t>
      </w:r>
    </w:p>
    <w:p w14:paraId="4DF81877" w14:textId="4A02CB73" w:rsidR="00FF3CDB" w:rsidRPr="00BE366D" w:rsidRDefault="004200A4" w:rsidP="004200A4">
      <w:pPr>
        <w:spacing w:before="100" w:after="40" w:line="360" w:lineRule="auto"/>
        <w:ind w:left="567" w:hanging="567"/>
        <w:jc w:val="both"/>
        <w:rPr>
          <w:rFonts w:cs="Times New Roman"/>
          <w:sz w:val="26"/>
          <w:szCs w:val="26"/>
          <w:lang w:val="en-GB"/>
        </w:rPr>
      </w:pPr>
      <w:r w:rsidRPr="00BE366D">
        <w:rPr>
          <w:rFonts w:cs="Times New Roman"/>
          <w:sz w:val="26"/>
          <w:szCs w:val="26"/>
          <w:lang w:val="en-GB"/>
        </w:rPr>
        <w:t>35.</w:t>
      </w:r>
      <w:r w:rsidRPr="00BE366D">
        <w:rPr>
          <w:rFonts w:cs="Times New Roman"/>
          <w:sz w:val="26"/>
          <w:szCs w:val="26"/>
          <w:lang w:val="en-GB"/>
        </w:rPr>
        <w:tab/>
      </w:r>
      <w:r w:rsidR="00BE366D">
        <w:rPr>
          <w:rFonts w:cs="Times New Roman"/>
          <w:sz w:val="26"/>
          <w:szCs w:val="26"/>
          <w:lang w:val="en-GB"/>
        </w:rPr>
        <w:t>The applicant i</w:t>
      </w:r>
      <w:r w:rsidR="00232354">
        <w:rPr>
          <w:rFonts w:cs="Times New Roman"/>
          <w:sz w:val="26"/>
          <w:szCs w:val="26"/>
          <w:lang w:val="en-GB"/>
        </w:rPr>
        <w:t>s s</w:t>
      </w:r>
      <w:r w:rsidR="00BE366D">
        <w:rPr>
          <w:rFonts w:cs="Times New Roman"/>
          <w:sz w:val="26"/>
          <w:szCs w:val="26"/>
          <w:lang w:val="en-GB"/>
        </w:rPr>
        <w:t xml:space="preserve">ceptical </w:t>
      </w:r>
      <w:r w:rsidR="00232354">
        <w:rPr>
          <w:rFonts w:cs="Times New Roman"/>
          <w:sz w:val="26"/>
          <w:szCs w:val="26"/>
          <w:lang w:val="en-GB"/>
        </w:rPr>
        <w:t>of Siboniseng</w:t>
      </w:r>
      <w:r w:rsidR="00167E29">
        <w:rPr>
          <w:rFonts w:cs="Times New Roman"/>
          <w:sz w:val="26"/>
          <w:szCs w:val="26"/>
          <w:lang w:val="en-GB"/>
        </w:rPr>
        <w:t>’s</w:t>
      </w:r>
      <w:r w:rsidR="00232354">
        <w:rPr>
          <w:rFonts w:cs="Times New Roman"/>
          <w:sz w:val="26"/>
          <w:szCs w:val="26"/>
          <w:lang w:val="en-GB"/>
        </w:rPr>
        <w:t xml:space="preserve"> involvement in the </w:t>
      </w:r>
      <w:r w:rsidR="00167E29">
        <w:rPr>
          <w:rFonts w:cs="Times New Roman"/>
          <w:sz w:val="26"/>
          <w:szCs w:val="26"/>
          <w:lang w:val="en-GB"/>
        </w:rPr>
        <w:t xml:space="preserve">sale of the property.  </w:t>
      </w:r>
      <w:r w:rsidR="00232354">
        <w:rPr>
          <w:rFonts w:cs="Times New Roman"/>
          <w:sz w:val="26"/>
          <w:szCs w:val="26"/>
          <w:lang w:val="en-GB"/>
        </w:rPr>
        <w:t xml:space="preserve">He suggests that </w:t>
      </w:r>
      <w:r w:rsidR="00FF3CDB">
        <w:rPr>
          <w:rFonts w:cs="Times New Roman"/>
          <w:sz w:val="26"/>
          <w:szCs w:val="26"/>
          <w:lang w:val="en-GB"/>
        </w:rPr>
        <w:t>Mr Ferreira</w:t>
      </w:r>
      <w:r w:rsidR="00232354">
        <w:rPr>
          <w:rFonts w:cs="Times New Roman"/>
          <w:sz w:val="26"/>
          <w:szCs w:val="26"/>
          <w:lang w:val="en-GB"/>
        </w:rPr>
        <w:t>’s</w:t>
      </w:r>
      <w:r w:rsidR="00FF3CDB">
        <w:rPr>
          <w:rFonts w:cs="Times New Roman"/>
          <w:sz w:val="26"/>
          <w:szCs w:val="26"/>
          <w:lang w:val="en-GB"/>
        </w:rPr>
        <w:t xml:space="preserve"> attempt</w:t>
      </w:r>
      <w:r w:rsidR="00232354">
        <w:rPr>
          <w:rFonts w:cs="Times New Roman"/>
          <w:sz w:val="26"/>
          <w:szCs w:val="26"/>
          <w:lang w:val="en-GB"/>
        </w:rPr>
        <w:t>s</w:t>
      </w:r>
      <w:r w:rsidR="00FF3CDB">
        <w:rPr>
          <w:rFonts w:cs="Times New Roman"/>
          <w:sz w:val="26"/>
          <w:szCs w:val="26"/>
          <w:lang w:val="en-GB"/>
        </w:rPr>
        <w:t xml:space="preserve"> to sell the property without </w:t>
      </w:r>
      <w:r w:rsidR="00232354">
        <w:rPr>
          <w:rFonts w:cs="Times New Roman"/>
          <w:sz w:val="26"/>
          <w:szCs w:val="26"/>
          <w:lang w:val="en-GB"/>
        </w:rPr>
        <w:t xml:space="preserve">disclosing </w:t>
      </w:r>
      <w:r w:rsidR="00167E29">
        <w:rPr>
          <w:rFonts w:cs="Times New Roman"/>
          <w:sz w:val="26"/>
          <w:szCs w:val="26"/>
          <w:lang w:val="en-GB"/>
        </w:rPr>
        <w:t xml:space="preserve">these </w:t>
      </w:r>
      <w:r w:rsidR="00232354">
        <w:rPr>
          <w:rFonts w:cs="Times New Roman"/>
          <w:sz w:val="26"/>
          <w:szCs w:val="26"/>
          <w:lang w:val="en-GB"/>
        </w:rPr>
        <w:t xml:space="preserve">to him </w:t>
      </w:r>
      <w:r w:rsidR="00167E29">
        <w:rPr>
          <w:rFonts w:cs="Times New Roman"/>
          <w:sz w:val="26"/>
          <w:szCs w:val="26"/>
          <w:lang w:val="en-GB"/>
        </w:rPr>
        <w:t xml:space="preserve">earlier </w:t>
      </w:r>
      <w:r w:rsidR="00232354">
        <w:rPr>
          <w:rFonts w:cs="Times New Roman"/>
          <w:sz w:val="26"/>
          <w:szCs w:val="26"/>
          <w:lang w:val="en-GB"/>
        </w:rPr>
        <w:t>supports his suspicion that Mr Ferreira is dealing with the property as if it belong</w:t>
      </w:r>
      <w:r w:rsidR="00167E29">
        <w:rPr>
          <w:rFonts w:cs="Times New Roman"/>
          <w:sz w:val="26"/>
          <w:szCs w:val="26"/>
          <w:lang w:val="en-GB"/>
        </w:rPr>
        <w:t xml:space="preserve">s </w:t>
      </w:r>
      <w:r w:rsidR="00232354">
        <w:rPr>
          <w:rFonts w:cs="Times New Roman"/>
          <w:sz w:val="26"/>
          <w:szCs w:val="26"/>
          <w:lang w:val="en-GB"/>
        </w:rPr>
        <w:t>to him</w:t>
      </w:r>
      <w:r w:rsidR="009D148B">
        <w:rPr>
          <w:rFonts w:cs="Times New Roman"/>
          <w:sz w:val="26"/>
          <w:szCs w:val="26"/>
          <w:lang w:val="en-GB"/>
        </w:rPr>
        <w:t xml:space="preserve"> and </w:t>
      </w:r>
      <w:r w:rsidR="00232354">
        <w:rPr>
          <w:rFonts w:cs="Times New Roman"/>
          <w:sz w:val="26"/>
          <w:szCs w:val="26"/>
          <w:lang w:val="en-GB"/>
        </w:rPr>
        <w:t xml:space="preserve">intends </w:t>
      </w:r>
      <w:r w:rsidR="009D148B">
        <w:rPr>
          <w:rFonts w:cs="Times New Roman"/>
          <w:sz w:val="26"/>
          <w:szCs w:val="26"/>
          <w:lang w:val="en-GB"/>
        </w:rPr>
        <w:t xml:space="preserve">disposing of it </w:t>
      </w:r>
      <w:r w:rsidR="00232354">
        <w:rPr>
          <w:rFonts w:cs="Times New Roman"/>
          <w:sz w:val="26"/>
          <w:szCs w:val="26"/>
          <w:lang w:val="en-GB"/>
        </w:rPr>
        <w:t xml:space="preserve">to the detriment of the </w:t>
      </w:r>
      <w:r w:rsidR="009D148B">
        <w:rPr>
          <w:rFonts w:cs="Times New Roman"/>
          <w:sz w:val="26"/>
          <w:szCs w:val="26"/>
          <w:lang w:val="en-GB"/>
        </w:rPr>
        <w:t xml:space="preserve">respondent and the Trust.  </w:t>
      </w:r>
      <w:r w:rsidR="00167E29">
        <w:rPr>
          <w:rFonts w:cs="Times New Roman"/>
          <w:sz w:val="26"/>
          <w:szCs w:val="26"/>
          <w:lang w:val="en-GB"/>
        </w:rPr>
        <w:t xml:space="preserve">The applicant seeks </w:t>
      </w:r>
      <w:r w:rsidR="009D148B">
        <w:rPr>
          <w:rFonts w:cs="Times New Roman"/>
          <w:sz w:val="26"/>
          <w:szCs w:val="26"/>
          <w:lang w:val="en-GB"/>
        </w:rPr>
        <w:t xml:space="preserve">support for his suspicions </w:t>
      </w:r>
      <w:r w:rsidR="00167E29">
        <w:rPr>
          <w:rFonts w:cs="Times New Roman"/>
          <w:sz w:val="26"/>
          <w:szCs w:val="26"/>
          <w:lang w:val="en-GB"/>
        </w:rPr>
        <w:t xml:space="preserve">in the </w:t>
      </w:r>
      <w:r w:rsidR="006657BD" w:rsidRPr="00BE366D">
        <w:rPr>
          <w:rFonts w:cs="Times New Roman"/>
          <w:sz w:val="26"/>
          <w:szCs w:val="26"/>
          <w:lang w:val="en-GB"/>
        </w:rPr>
        <w:t>first draft sale agreement</w:t>
      </w:r>
      <w:r w:rsidR="00BE366D" w:rsidRPr="00BE366D">
        <w:rPr>
          <w:rFonts w:cs="Times New Roman"/>
          <w:sz w:val="26"/>
          <w:szCs w:val="26"/>
          <w:lang w:val="en-GB"/>
        </w:rPr>
        <w:t>.</w:t>
      </w:r>
      <w:r w:rsidR="00622105" w:rsidRPr="00BE366D">
        <w:rPr>
          <w:rFonts w:cs="Times New Roman"/>
          <w:sz w:val="26"/>
          <w:szCs w:val="26"/>
          <w:lang w:val="en-GB"/>
        </w:rPr>
        <w:t xml:space="preserve">  </w:t>
      </w:r>
    </w:p>
    <w:p w14:paraId="22339E69" w14:textId="29D42100" w:rsidR="00412D67" w:rsidRPr="00BE366D" w:rsidRDefault="004200A4" w:rsidP="004200A4">
      <w:pPr>
        <w:spacing w:before="100" w:after="40" w:line="360" w:lineRule="auto"/>
        <w:ind w:left="567" w:hanging="567"/>
        <w:jc w:val="both"/>
        <w:rPr>
          <w:rFonts w:cs="Times New Roman"/>
          <w:sz w:val="26"/>
          <w:szCs w:val="26"/>
          <w:lang w:val="en-GB"/>
        </w:rPr>
      </w:pPr>
      <w:r w:rsidRPr="00BE366D">
        <w:rPr>
          <w:rFonts w:cs="Times New Roman"/>
          <w:sz w:val="26"/>
          <w:szCs w:val="26"/>
          <w:lang w:val="en-GB"/>
        </w:rPr>
        <w:t>36.</w:t>
      </w:r>
      <w:r w:rsidRPr="00BE366D">
        <w:rPr>
          <w:rFonts w:cs="Times New Roman"/>
          <w:sz w:val="26"/>
          <w:szCs w:val="26"/>
          <w:lang w:val="en-GB"/>
        </w:rPr>
        <w:tab/>
      </w:r>
      <w:r w:rsidR="00BE366D">
        <w:rPr>
          <w:rFonts w:cs="Times New Roman"/>
          <w:sz w:val="26"/>
          <w:szCs w:val="26"/>
          <w:lang w:val="en-GB"/>
        </w:rPr>
        <w:t>T</w:t>
      </w:r>
      <w:r w:rsidR="00CD31BB">
        <w:rPr>
          <w:rFonts w:cs="Times New Roman"/>
          <w:sz w:val="26"/>
          <w:szCs w:val="26"/>
          <w:lang w:val="en-GB"/>
        </w:rPr>
        <w:t xml:space="preserve">he applicant </w:t>
      </w:r>
      <w:r w:rsidR="00BE366D">
        <w:rPr>
          <w:rFonts w:cs="Times New Roman"/>
          <w:sz w:val="26"/>
          <w:szCs w:val="26"/>
          <w:lang w:val="en-GB"/>
        </w:rPr>
        <w:t xml:space="preserve">points out that the </w:t>
      </w:r>
      <w:r w:rsidR="00CD31BB">
        <w:rPr>
          <w:rFonts w:cs="Times New Roman"/>
          <w:sz w:val="26"/>
          <w:szCs w:val="26"/>
          <w:lang w:val="en-GB"/>
        </w:rPr>
        <w:t xml:space="preserve">prospective purchaser is described </w:t>
      </w:r>
      <w:r w:rsidR="00167E29">
        <w:rPr>
          <w:rFonts w:cs="Times New Roman"/>
          <w:sz w:val="26"/>
          <w:szCs w:val="26"/>
          <w:lang w:val="en-GB"/>
        </w:rPr>
        <w:t xml:space="preserve">therein </w:t>
      </w:r>
      <w:r w:rsidR="00CD31BB">
        <w:rPr>
          <w:rFonts w:cs="Times New Roman"/>
          <w:sz w:val="26"/>
          <w:szCs w:val="26"/>
          <w:lang w:val="en-GB"/>
        </w:rPr>
        <w:t>as Hico Properties (Pty) Ltd (registration no 2020/274748/07).  However</w:t>
      </w:r>
      <w:r w:rsidR="00743B97">
        <w:rPr>
          <w:rFonts w:cs="Times New Roman"/>
          <w:sz w:val="26"/>
          <w:szCs w:val="26"/>
          <w:lang w:val="en-GB"/>
        </w:rPr>
        <w:t>,</w:t>
      </w:r>
      <w:r w:rsidR="00CD31BB">
        <w:rPr>
          <w:rFonts w:cs="Times New Roman"/>
          <w:sz w:val="26"/>
          <w:szCs w:val="26"/>
          <w:lang w:val="en-GB"/>
        </w:rPr>
        <w:t xml:space="preserve"> the registration number belongs to a company ‘Craigieburn Agri </w:t>
      </w:r>
      <w:r w:rsidR="00AB4A91">
        <w:rPr>
          <w:rFonts w:cs="Times New Roman"/>
          <w:sz w:val="26"/>
          <w:szCs w:val="26"/>
          <w:lang w:val="en-GB"/>
        </w:rPr>
        <w:t>Enterprises</w:t>
      </w:r>
      <w:r w:rsidR="00167E29">
        <w:rPr>
          <w:rFonts w:cs="Times New Roman"/>
          <w:sz w:val="26"/>
          <w:szCs w:val="26"/>
          <w:lang w:val="en-GB"/>
        </w:rPr>
        <w:t>’</w:t>
      </w:r>
      <w:r w:rsidR="00CD31BB">
        <w:rPr>
          <w:rFonts w:cs="Times New Roman"/>
          <w:sz w:val="26"/>
          <w:szCs w:val="26"/>
          <w:lang w:val="en-GB"/>
        </w:rPr>
        <w:t xml:space="preserve"> and there is no company registered with the name ‘Hico Properties</w:t>
      </w:r>
      <w:r w:rsidR="008A3B04">
        <w:rPr>
          <w:rFonts w:cs="Times New Roman"/>
          <w:sz w:val="26"/>
          <w:szCs w:val="26"/>
          <w:lang w:val="en-GB"/>
        </w:rPr>
        <w:t>’</w:t>
      </w:r>
      <w:r w:rsidR="00CD31BB">
        <w:rPr>
          <w:rFonts w:cs="Times New Roman"/>
          <w:sz w:val="26"/>
          <w:szCs w:val="26"/>
          <w:lang w:val="en-GB"/>
        </w:rPr>
        <w:t xml:space="preserve">.  </w:t>
      </w:r>
      <w:r w:rsidR="00743B97">
        <w:rPr>
          <w:rFonts w:cs="Times New Roman"/>
          <w:sz w:val="26"/>
          <w:szCs w:val="26"/>
          <w:lang w:val="en-GB"/>
        </w:rPr>
        <w:t>He</w:t>
      </w:r>
      <w:r w:rsidR="00167E29">
        <w:rPr>
          <w:rFonts w:cs="Times New Roman"/>
          <w:sz w:val="26"/>
          <w:szCs w:val="26"/>
          <w:lang w:val="en-GB"/>
        </w:rPr>
        <w:t xml:space="preserve"> says he</w:t>
      </w:r>
      <w:r w:rsidR="00743B97">
        <w:rPr>
          <w:rFonts w:cs="Times New Roman"/>
          <w:sz w:val="26"/>
          <w:szCs w:val="26"/>
          <w:lang w:val="en-GB"/>
        </w:rPr>
        <w:t xml:space="preserve"> queried this.  There </w:t>
      </w:r>
      <w:r w:rsidR="00BE366D">
        <w:rPr>
          <w:rFonts w:cs="Times New Roman"/>
          <w:sz w:val="26"/>
          <w:szCs w:val="26"/>
          <w:lang w:val="en-GB"/>
        </w:rPr>
        <w:t>was</w:t>
      </w:r>
      <w:r w:rsidR="00167E29">
        <w:rPr>
          <w:rFonts w:cs="Times New Roman"/>
          <w:sz w:val="26"/>
          <w:szCs w:val="26"/>
          <w:lang w:val="en-GB"/>
        </w:rPr>
        <w:t xml:space="preserve"> however</w:t>
      </w:r>
      <w:r w:rsidR="00BE366D">
        <w:rPr>
          <w:rFonts w:cs="Times New Roman"/>
          <w:sz w:val="26"/>
          <w:szCs w:val="26"/>
          <w:lang w:val="en-GB"/>
        </w:rPr>
        <w:t xml:space="preserve"> </w:t>
      </w:r>
      <w:r w:rsidR="00743B97">
        <w:rPr>
          <w:rFonts w:cs="Times New Roman"/>
          <w:sz w:val="26"/>
          <w:szCs w:val="26"/>
          <w:lang w:val="en-GB"/>
        </w:rPr>
        <w:t xml:space="preserve">no response to the query.  </w:t>
      </w:r>
      <w:r w:rsidR="00AD44F8" w:rsidRPr="00BE366D">
        <w:rPr>
          <w:rFonts w:cs="Times New Roman"/>
          <w:sz w:val="26"/>
          <w:szCs w:val="26"/>
          <w:lang w:val="en-GB"/>
        </w:rPr>
        <w:t>Instead</w:t>
      </w:r>
      <w:r w:rsidR="00D52593">
        <w:rPr>
          <w:rFonts w:cs="Times New Roman"/>
          <w:sz w:val="26"/>
          <w:szCs w:val="26"/>
          <w:lang w:val="en-GB"/>
        </w:rPr>
        <w:t>,</w:t>
      </w:r>
      <w:r w:rsidR="00AD44F8" w:rsidRPr="00BE366D">
        <w:rPr>
          <w:rFonts w:cs="Times New Roman"/>
          <w:sz w:val="26"/>
          <w:szCs w:val="26"/>
          <w:lang w:val="en-GB"/>
        </w:rPr>
        <w:t xml:space="preserve"> o</w:t>
      </w:r>
      <w:r w:rsidR="00743B97" w:rsidRPr="00BE366D">
        <w:rPr>
          <w:rFonts w:cs="Times New Roman"/>
          <w:sz w:val="26"/>
          <w:szCs w:val="26"/>
          <w:lang w:val="en-GB"/>
        </w:rPr>
        <w:t>n 3 June 2022</w:t>
      </w:r>
      <w:r w:rsidR="00167E29">
        <w:rPr>
          <w:rFonts w:cs="Times New Roman"/>
          <w:sz w:val="26"/>
          <w:szCs w:val="26"/>
          <w:lang w:val="en-GB"/>
        </w:rPr>
        <w:t>,</w:t>
      </w:r>
      <w:r w:rsidR="00743B97" w:rsidRPr="00BE366D">
        <w:rPr>
          <w:rFonts w:cs="Times New Roman"/>
          <w:sz w:val="26"/>
          <w:szCs w:val="26"/>
          <w:lang w:val="en-GB"/>
        </w:rPr>
        <w:t xml:space="preserve"> Mr Shepperson sent</w:t>
      </w:r>
      <w:r w:rsidR="00C2465C" w:rsidRPr="00BE366D">
        <w:rPr>
          <w:rFonts w:cs="Times New Roman"/>
          <w:sz w:val="26"/>
          <w:szCs w:val="26"/>
          <w:lang w:val="en-GB"/>
        </w:rPr>
        <w:t xml:space="preserve"> to </w:t>
      </w:r>
      <w:r w:rsidR="00167E29">
        <w:rPr>
          <w:rFonts w:cs="Times New Roman"/>
          <w:sz w:val="26"/>
          <w:szCs w:val="26"/>
          <w:lang w:val="en-GB"/>
        </w:rPr>
        <w:t xml:space="preserve">him </w:t>
      </w:r>
      <w:r w:rsidR="00743B97" w:rsidRPr="00BE366D">
        <w:rPr>
          <w:rFonts w:cs="Times New Roman"/>
          <w:sz w:val="26"/>
          <w:szCs w:val="26"/>
          <w:lang w:val="en-GB"/>
        </w:rPr>
        <w:t>a ‘Development Distribution Agreement’</w:t>
      </w:r>
      <w:r w:rsidR="006657BD" w:rsidRPr="00BE366D">
        <w:rPr>
          <w:rFonts w:cs="Times New Roman"/>
          <w:sz w:val="26"/>
          <w:szCs w:val="26"/>
          <w:lang w:val="en-GB"/>
        </w:rPr>
        <w:t xml:space="preserve"> signed by Mr Ferreira on 5 February 2020 (“</w:t>
      </w:r>
      <w:r w:rsidR="006657BD" w:rsidRPr="00BE366D">
        <w:rPr>
          <w:rFonts w:cs="Times New Roman"/>
          <w:b/>
          <w:bCs/>
          <w:sz w:val="26"/>
          <w:szCs w:val="26"/>
          <w:lang w:val="en-GB"/>
        </w:rPr>
        <w:t>the signed Development and Distribution Agreement</w:t>
      </w:r>
      <w:r w:rsidR="006657BD" w:rsidRPr="00BE366D">
        <w:rPr>
          <w:rFonts w:cs="Times New Roman"/>
          <w:sz w:val="26"/>
          <w:szCs w:val="26"/>
          <w:lang w:val="en-GB"/>
        </w:rPr>
        <w:t>”)</w:t>
      </w:r>
      <w:r w:rsidR="00C2465C" w:rsidRPr="00BE366D">
        <w:rPr>
          <w:rFonts w:cs="Times New Roman"/>
          <w:sz w:val="26"/>
          <w:szCs w:val="26"/>
          <w:lang w:val="en-GB"/>
        </w:rPr>
        <w:t xml:space="preserve">, a draft resolution for adoption by the respondent’s shareholders </w:t>
      </w:r>
      <w:r w:rsidR="00C2465C" w:rsidRPr="00BE366D">
        <w:rPr>
          <w:rFonts w:cs="Times New Roman"/>
          <w:sz w:val="26"/>
          <w:szCs w:val="26"/>
          <w:lang w:val="en-GB"/>
        </w:rPr>
        <w:lastRenderedPageBreak/>
        <w:t>authorising the sale of the property and ratifying the a</w:t>
      </w:r>
      <w:r w:rsidR="006657BD" w:rsidRPr="00BE366D">
        <w:rPr>
          <w:rFonts w:cs="Times New Roman"/>
          <w:sz w:val="26"/>
          <w:szCs w:val="26"/>
          <w:lang w:val="en-GB"/>
        </w:rPr>
        <w:t>c</w:t>
      </w:r>
      <w:r w:rsidR="00C2465C" w:rsidRPr="00BE366D">
        <w:rPr>
          <w:rFonts w:cs="Times New Roman"/>
          <w:sz w:val="26"/>
          <w:szCs w:val="26"/>
          <w:lang w:val="en-GB"/>
        </w:rPr>
        <w:t>tions of Mr Ferreira, a draft deed of sale</w:t>
      </w:r>
      <w:r w:rsidR="006657BD" w:rsidRPr="00BE366D">
        <w:rPr>
          <w:rFonts w:cs="Times New Roman"/>
          <w:sz w:val="26"/>
          <w:szCs w:val="26"/>
          <w:lang w:val="en-GB"/>
        </w:rPr>
        <w:t xml:space="preserve"> (</w:t>
      </w:r>
      <w:r w:rsidR="006657BD" w:rsidRPr="00BE366D">
        <w:rPr>
          <w:rFonts w:cs="Times New Roman"/>
          <w:b/>
          <w:bCs/>
          <w:sz w:val="26"/>
          <w:szCs w:val="26"/>
          <w:lang w:val="en-GB"/>
        </w:rPr>
        <w:t>“the second draft sale agreement</w:t>
      </w:r>
      <w:r w:rsidR="006657BD" w:rsidRPr="00BE366D">
        <w:rPr>
          <w:rFonts w:cs="Times New Roman"/>
          <w:sz w:val="26"/>
          <w:szCs w:val="26"/>
          <w:lang w:val="en-GB"/>
        </w:rPr>
        <w:t>”) and a draft “development distribution agreement”</w:t>
      </w:r>
      <w:r w:rsidR="00743B97" w:rsidRPr="00BE366D">
        <w:rPr>
          <w:rFonts w:cs="Times New Roman"/>
          <w:sz w:val="26"/>
          <w:szCs w:val="26"/>
          <w:lang w:val="en-GB"/>
        </w:rPr>
        <w:t xml:space="preserve"> </w:t>
      </w:r>
      <w:r w:rsidR="00A17473" w:rsidRPr="00BE366D">
        <w:rPr>
          <w:rFonts w:cs="Times New Roman"/>
          <w:sz w:val="26"/>
          <w:szCs w:val="26"/>
          <w:lang w:val="en-GB"/>
        </w:rPr>
        <w:t>(</w:t>
      </w:r>
      <w:r w:rsidR="00A17473" w:rsidRPr="00BE366D">
        <w:rPr>
          <w:rFonts w:cs="Times New Roman"/>
          <w:b/>
          <w:bCs/>
          <w:sz w:val="26"/>
          <w:szCs w:val="26"/>
          <w:lang w:val="en-GB"/>
        </w:rPr>
        <w:t>“the proposed distribution agreement</w:t>
      </w:r>
      <w:r w:rsidR="00A17473" w:rsidRPr="00BE366D">
        <w:rPr>
          <w:rFonts w:cs="Times New Roman"/>
          <w:sz w:val="26"/>
          <w:szCs w:val="26"/>
          <w:lang w:val="en-GB"/>
        </w:rPr>
        <w:t xml:space="preserve">”) </w:t>
      </w:r>
      <w:r w:rsidR="00743B97" w:rsidRPr="00BE366D">
        <w:rPr>
          <w:rFonts w:cs="Times New Roman"/>
          <w:sz w:val="26"/>
          <w:szCs w:val="26"/>
          <w:lang w:val="en-GB"/>
        </w:rPr>
        <w:t>as attachment</w:t>
      </w:r>
      <w:r w:rsidR="00C2465C" w:rsidRPr="00BE366D">
        <w:rPr>
          <w:rFonts w:cs="Times New Roman"/>
          <w:sz w:val="26"/>
          <w:szCs w:val="26"/>
          <w:lang w:val="en-GB"/>
        </w:rPr>
        <w:t>s</w:t>
      </w:r>
      <w:r w:rsidR="00743B97" w:rsidRPr="00BE366D">
        <w:rPr>
          <w:rFonts w:cs="Times New Roman"/>
          <w:sz w:val="26"/>
          <w:szCs w:val="26"/>
          <w:lang w:val="en-GB"/>
        </w:rPr>
        <w:t xml:space="preserve"> to an e-mail</w:t>
      </w:r>
      <w:r w:rsidR="00C2465C" w:rsidRPr="00BE366D">
        <w:rPr>
          <w:rFonts w:cs="Times New Roman"/>
          <w:sz w:val="26"/>
          <w:szCs w:val="26"/>
          <w:lang w:val="en-GB"/>
        </w:rPr>
        <w:t xml:space="preserve"> which </w:t>
      </w:r>
      <w:r w:rsidR="00743B97" w:rsidRPr="00BE366D">
        <w:rPr>
          <w:rFonts w:cs="Times New Roman"/>
          <w:sz w:val="26"/>
          <w:szCs w:val="26"/>
          <w:lang w:val="en-GB"/>
        </w:rPr>
        <w:t>reads as follows:</w:t>
      </w:r>
    </w:p>
    <w:p w14:paraId="6059D37C" w14:textId="77777777" w:rsidR="00877142" w:rsidRPr="00AB4A91" w:rsidRDefault="00743B97" w:rsidP="00AB4A91">
      <w:pPr>
        <w:spacing w:before="100" w:after="40" w:line="240" w:lineRule="auto"/>
        <w:ind w:left="720"/>
        <w:jc w:val="both"/>
        <w:rPr>
          <w:rFonts w:cs="Times New Roman"/>
          <w:lang w:val="en-GB"/>
        </w:rPr>
      </w:pPr>
      <w:r>
        <w:rPr>
          <w:rFonts w:cs="Times New Roman"/>
          <w:sz w:val="26"/>
          <w:szCs w:val="26"/>
          <w:lang w:val="en-GB"/>
        </w:rPr>
        <w:t>“</w:t>
      </w:r>
      <w:r w:rsidRPr="00AB4A91">
        <w:rPr>
          <w:rFonts w:cs="Times New Roman"/>
          <w:lang w:val="en-GB"/>
        </w:rPr>
        <w:t xml:space="preserve">In order to achieve maximum value for all the Parties concerned, it is essential that the two properties and the basket of rights be sold together as a package.  </w:t>
      </w:r>
    </w:p>
    <w:p w14:paraId="7166E2C4" w14:textId="4540C1DB" w:rsidR="00743B97" w:rsidRPr="00AB4A91" w:rsidRDefault="00743B97" w:rsidP="00AB4A91">
      <w:pPr>
        <w:spacing w:before="100" w:after="40" w:line="240" w:lineRule="auto"/>
        <w:ind w:left="720"/>
        <w:jc w:val="both"/>
        <w:rPr>
          <w:rFonts w:cs="Times New Roman"/>
          <w:lang w:val="en-GB"/>
        </w:rPr>
      </w:pPr>
      <w:r w:rsidRPr="00AB4A91">
        <w:rPr>
          <w:rFonts w:cs="Times New Roman"/>
          <w:lang w:val="en-GB"/>
        </w:rPr>
        <w:t>The individual elements are basically worthless on their own in comparison to such a package deal.</w:t>
      </w:r>
    </w:p>
    <w:p w14:paraId="3CA7CD39" w14:textId="7365F1B7" w:rsidR="00743B97" w:rsidRPr="00AB4A91" w:rsidRDefault="00743B97" w:rsidP="00AB4A91">
      <w:pPr>
        <w:spacing w:before="100" w:after="40" w:line="240" w:lineRule="auto"/>
        <w:ind w:left="720"/>
        <w:jc w:val="both"/>
        <w:rPr>
          <w:rFonts w:cs="Times New Roman"/>
          <w:lang w:val="en-GB"/>
        </w:rPr>
      </w:pPr>
      <w:r w:rsidRPr="00AB4A91">
        <w:rPr>
          <w:rFonts w:cs="Times New Roman"/>
          <w:lang w:val="en-GB"/>
        </w:rPr>
        <w:t xml:space="preserve">In recognition of this fact, the three parties have been working together over an extended period of time (together with a </w:t>
      </w:r>
      <w:r w:rsidR="00877142" w:rsidRPr="00AB4A91">
        <w:rPr>
          <w:rFonts w:cs="Times New Roman"/>
          <w:lang w:val="en-GB"/>
        </w:rPr>
        <w:t xml:space="preserve">number of service providers) in order to achieve such joint benefit by selling the complete package.  This cooperation has been recognised by the parties in various agreements and I </w:t>
      </w:r>
      <w:r w:rsidR="00AB4A91" w:rsidRPr="00AB4A91">
        <w:rPr>
          <w:rFonts w:cs="Times New Roman"/>
          <w:lang w:val="en-GB"/>
        </w:rPr>
        <w:t>attach</w:t>
      </w:r>
      <w:r w:rsidR="00877142" w:rsidRPr="00AB4A91">
        <w:rPr>
          <w:rFonts w:cs="Times New Roman"/>
          <w:lang w:val="en-GB"/>
        </w:rPr>
        <w:t xml:space="preserve"> hereto a prior Distribution Agreement from 2020.  You may also confirm all of the above with Martin Ferreira (a </w:t>
      </w:r>
      <w:r w:rsidR="00AB4A91" w:rsidRPr="00AB4A91">
        <w:rPr>
          <w:rFonts w:cs="Times New Roman"/>
          <w:lang w:val="en-GB"/>
        </w:rPr>
        <w:t>consultant</w:t>
      </w:r>
      <w:r w:rsidR="00877142" w:rsidRPr="00AB4A91">
        <w:rPr>
          <w:rFonts w:cs="Times New Roman"/>
          <w:lang w:val="en-GB"/>
        </w:rPr>
        <w:t xml:space="preserve"> at MacRoberts Attorneys), who represents Eldie </w:t>
      </w:r>
      <w:r w:rsidR="00AB4A91">
        <w:rPr>
          <w:rFonts w:cs="Times New Roman"/>
          <w:lang w:val="en-GB"/>
        </w:rPr>
        <w:t>F</w:t>
      </w:r>
      <w:r w:rsidR="00877142" w:rsidRPr="00AB4A91">
        <w:rPr>
          <w:rFonts w:cs="Times New Roman"/>
          <w:lang w:val="en-GB"/>
        </w:rPr>
        <w:t xml:space="preserve">erreira in this </w:t>
      </w:r>
      <w:r w:rsidR="00AB4A91" w:rsidRPr="00AB4A91">
        <w:rPr>
          <w:rFonts w:cs="Times New Roman"/>
          <w:lang w:val="en-GB"/>
        </w:rPr>
        <w:t>transaction</w:t>
      </w:r>
      <w:r w:rsidR="00877142" w:rsidRPr="00AB4A91">
        <w:rPr>
          <w:rFonts w:cs="Times New Roman"/>
          <w:lang w:val="en-GB"/>
        </w:rPr>
        <w:t>.  Eldie is willing and ready to sign.</w:t>
      </w:r>
    </w:p>
    <w:p w14:paraId="4AE38711" w14:textId="3D00E677" w:rsidR="00877142" w:rsidRPr="00AB4A91" w:rsidRDefault="00877142" w:rsidP="00AB4A91">
      <w:pPr>
        <w:spacing w:before="100" w:after="40" w:line="240" w:lineRule="auto"/>
        <w:ind w:left="720"/>
        <w:jc w:val="both"/>
        <w:rPr>
          <w:rFonts w:cs="Times New Roman"/>
          <w:lang w:val="en-GB"/>
        </w:rPr>
      </w:pPr>
      <w:r w:rsidRPr="00AB4A91">
        <w:rPr>
          <w:rFonts w:cs="Times New Roman"/>
          <w:lang w:val="en-GB"/>
        </w:rPr>
        <w:t xml:space="preserve">I would humbly submit that any attempt to disrupt these arrangements in creation </w:t>
      </w:r>
      <w:r w:rsidR="00D52593">
        <w:rPr>
          <w:rFonts w:cs="Times New Roman"/>
          <w:lang w:val="en-GB"/>
        </w:rPr>
        <w:t xml:space="preserve">[sic] </w:t>
      </w:r>
      <w:r w:rsidRPr="00AB4A91">
        <w:rPr>
          <w:rFonts w:cs="Times New Roman"/>
          <w:lang w:val="en-GB"/>
        </w:rPr>
        <w:t xml:space="preserve">of the package would be to the detriment of all the parties, including Huxley and its Shareholders.  I have </w:t>
      </w:r>
      <w:r w:rsidR="00AB4A91" w:rsidRPr="00AB4A91">
        <w:rPr>
          <w:rFonts w:cs="Times New Roman"/>
          <w:lang w:val="en-GB"/>
        </w:rPr>
        <w:t>attached</w:t>
      </w:r>
      <w:r w:rsidRPr="00AB4A91">
        <w:rPr>
          <w:rFonts w:cs="Times New Roman"/>
          <w:lang w:val="en-GB"/>
        </w:rPr>
        <w:t xml:space="preserve"> the </w:t>
      </w:r>
      <w:r w:rsidR="00AB4A91" w:rsidRPr="00AB4A91">
        <w:rPr>
          <w:rFonts w:cs="Times New Roman"/>
          <w:lang w:val="en-GB"/>
        </w:rPr>
        <w:t>latest draft proposed Agreements for the Sale of the above property and I sincerely urge you to consider these favourably.  I still await the exact details of the purchaser ad I have Accordingly omitted these from the attached drafts.  I believe that the authenticity of the Purchaser will be quickly established, since it has 14 days to pay a R2.5m Deposit.</w:t>
      </w:r>
    </w:p>
    <w:p w14:paraId="45BDDB22" w14:textId="3161A080" w:rsidR="00AB4A91" w:rsidRPr="00AB4A91" w:rsidRDefault="00AB4A91" w:rsidP="00AB4A91">
      <w:pPr>
        <w:spacing w:before="100" w:after="40" w:line="240" w:lineRule="auto"/>
        <w:ind w:left="720"/>
        <w:jc w:val="both"/>
        <w:rPr>
          <w:rFonts w:cs="Times New Roman"/>
          <w:lang w:val="en-GB"/>
        </w:rPr>
      </w:pPr>
      <w:r w:rsidRPr="00AB4A91">
        <w:rPr>
          <w:rFonts w:cs="Times New Roman"/>
          <w:lang w:val="en-GB"/>
        </w:rPr>
        <w:t>In the light of the above, I look forward to receiving your feedback.</w:t>
      </w:r>
      <w:r>
        <w:rPr>
          <w:rFonts w:cs="Times New Roman"/>
          <w:lang w:val="en-GB"/>
        </w:rPr>
        <w:t>”</w:t>
      </w:r>
    </w:p>
    <w:p w14:paraId="3C7738EC" w14:textId="77F91629" w:rsidR="00EA606E"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37.</w:t>
      </w:r>
      <w:r>
        <w:rPr>
          <w:rFonts w:cs="Times New Roman"/>
          <w:sz w:val="26"/>
          <w:szCs w:val="26"/>
          <w:lang w:val="en-GB"/>
        </w:rPr>
        <w:tab/>
      </w:r>
      <w:r w:rsidR="00C2465C">
        <w:rPr>
          <w:rFonts w:cs="Times New Roman"/>
          <w:sz w:val="26"/>
          <w:szCs w:val="26"/>
          <w:lang w:val="en-GB"/>
        </w:rPr>
        <w:t>The</w:t>
      </w:r>
      <w:r w:rsidR="006657BD">
        <w:rPr>
          <w:rFonts w:cs="Times New Roman"/>
          <w:sz w:val="26"/>
          <w:szCs w:val="26"/>
          <w:lang w:val="en-GB"/>
        </w:rPr>
        <w:t xml:space="preserve"> signed </w:t>
      </w:r>
      <w:r w:rsidR="00C2465C">
        <w:rPr>
          <w:rFonts w:cs="Times New Roman"/>
          <w:sz w:val="26"/>
          <w:szCs w:val="26"/>
          <w:lang w:val="en-GB"/>
        </w:rPr>
        <w:t xml:space="preserve">Distribution Agreement reveals who the role players referred to in the e-mail are.  </w:t>
      </w:r>
      <w:r w:rsidR="00013A41">
        <w:rPr>
          <w:rFonts w:cs="Times New Roman"/>
          <w:sz w:val="26"/>
          <w:szCs w:val="26"/>
          <w:lang w:val="en-GB"/>
        </w:rPr>
        <w:t xml:space="preserve">Mr </w:t>
      </w:r>
      <w:r w:rsidR="00AB4A91">
        <w:rPr>
          <w:rFonts w:cs="Times New Roman"/>
          <w:sz w:val="26"/>
          <w:szCs w:val="26"/>
          <w:lang w:val="en-GB"/>
        </w:rPr>
        <w:t xml:space="preserve">Eldie Ferreira is the owner of portion 17 of the farm Nooitgedacht 333, the respondent is the owner of portion 18 and Siboniseng is the holder of the </w:t>
      </w:r>
      <w:r w:rsidR="006660A5">
        <w:rPr>
          <w:rFonts w:cs="Times New Roman"/>
          <w:sz w:val="26"/>
          <w:szCs w:val="26"/>
          <w:lang w:val="en-GB"/>
        </w:rPr>
        <w:t xml:space="preserve">development </w:t>
      </w:r>
      <w:r w:rsidR="00AB4A91">
        <w:rPr>
          <w:rFonts w:cs="Times New Roman"/>
          <w:sz w:val="26"/>
          <w:szCs w:val="26"/>
          <w:lang w:val="en-GB"/>
        </w:rPr>
        <w:t>rights in respect of Leeuwfontein Ext 18</w:t>
      </w:r>
      <w:r w:rsidR="006660A5">
        <w:rPr>
          <w:rFonts w:cs="Times New Roman"/>
          <w:sz w:val="26"/>
          <w:szCs w:val="26"/>
          <w:lang w:val="en-GB"/>
        </w:rPr>
        <w:t xml:space="preserve"> which is </w:t>
      </w:r>
      <w:r w:rsidR="00AB4A91">
        <w:rPr>
          <w:rFonts w:cs="Times New Roman"/>
          <w:sz w:val="26"/>
          <w:szCs w:val="26"/>
          <w:lang w:val="en-GB"/>
        </w:rPr>
        <w:t xml:space="preserve">to be developed on the two erven.  These parties entered into a Development Distribution Agreement on </w:t>
      </w:r>
      <w:r w:rsidR="00A70D74">
        <w:rPr>
          <w:rFonts w:cs="Times New Roman"/>
          <w:sz w:val="26"/>
          <w:szCs w:val="26"/>
          <w:lang w:val="en-GB"/>
        </w:rPr>
        <w:t>5 February 2020.  Th</w:t>
      </w:r>
      <w:r w:rsidR="00F3598E">
        <w:rPr>
          <w:rFonts w:cs="Times New Roman"/>
          <w:sz w:val="26"/>
          <w:szCs w:val="26"/>
          <w:lang w:val="en-GB"/>
        </w:rPr>
        <w:t>e</w:t>
      </w:r>
      <w:r w:rsidR="00A70D74">
        <w:rPr>
          <w:rFonts w:cs="Times New Roman"/>
          <w:sz w:val="26"/>
          <w:szCs w:val="26"/>
          <w:lang w:val="en-GB"/>
        </w:rPr>
        <w:t xml:space="preserve"> agreement records that the three parties </w:t>
      </w:r>
      <w:r w:rsidR="006660A5">
        <w:rPr>
          <w:rFonts w:cs="Times New Roman"/>
          <w:sz w:val="26"/>
          <w:szCs w:val="26"/>
          <w:lang w:val="en-GB"/>
        </w:rPr>
        <w:t xml:space="preserve">will </w:t>
      </w:r>
      <w:r w:rsidR="00A70D74">
        <w:rPr>
          <w:rFonts w:cs="Times New Roman"/>
          <w:sz w:val="26"/>
          <w:szCs w:val="26"/>
          <w:lang w:val="en-GB"/>
        </w:rPr>
        <w:t>be entering into an agreement with a developer and another company which will result in the transfer of the two erven and the development rights</w:t>
      </w:r>
      <w:r w:rsidR="00496DB1">
        <w:rPr>
          <w:rFonts w:cs="Times New Roman"/>
          <w:sz w:val="26"/>
          <w:szCs w:val="26"/>
          <w:lang w:val="en-GB"/>
        </w:rPr>
        <w:t>,</w:t>
      </w:r>
      <w:r w:rsidR="00A70D74">
        <w:rPr>
          <w:rFonts w:cs="Times New Roman"/>
          <w:sz w:val="26"/>
          <w:szCs w:val="26"/>
          <w:lang w:val="en-GB"/>
        </w:rPr>
        <w:t xml:space="preserve"> and realise for the parties R25 million</w:t>
      </w:r>
      <w:r w:rsidR="006660A5">
        <w:rPr>
          <w:rFonts w:cs="Times New Roman"/>
          <w:sz w:val="26"/>
          <w:szCs w:val="26"/>
          <w:lang w:val="en-GB"/>
        </w:rPr>
        <w:t xml:space="preserve"> of which</w:t>
      </w:r>
      <w:r w:rsidR="00A70D74">
        <w:rPr>
          <w:rFonts w:cs="Times New Roman"/>
          <w:sz w:val="26"/>
          <w:szCs w:val="26"/>
          <w:lang w:val="en-GB"/>
        </w:rPr>
        <w:t xml:space="preserve"> </w:t>
      </w:r>
      <w:r w:rsidR="00D52593">
        <w:rPr>
          <w:rFonts w:cs="Times New Roman"/>
          <w:sz w:val="26"/>
          <w:szCs w:val="26"/>
          <w:lang w:val="en-GB"/>
        </w:rPr>
        <w:t xml:space="preserve">R7 </w:t>
      </w:r>
      <w:r w:rsidR="00A70D74">
        <w:rPr>
          <w:rFonts w:cs="Times New Roman"/>
          <w:sz w:val="26"/>
          <w:szCs w:val="26"/>
          <w:lang w:val="en-GB"/>
        </w:rPr>
        <w:t>million will be payable to the three parties on transfer of the land.  The amount will be distributed amongst the three parties.  The respondent and Siboniseng to each receive R1 750 000.00</w:t>
      </w:r>
      <w:r w:rsidR="00496DB1">
        <w:rPr>
          <w:rFonts w:cs="Times New Roman"/>
          <w:sz w:val="26"/>
          <w:szCs w:val="26"/>
          <w:lang w:val="en-GB"/>
        </w:rPr>
        <w:t>,</w:t>
      </w:r>
      <w:r w:rsidR="00A70D74">
        <w:rPr>
          <w:rFonts w:cs="Times New Roman"/>
          <w:sz w:val="26"/>
          <w:szCs w:val="26"/>
          <w:lang w:val="en-GB"/>
        </w:rPr>
        <w:t xml:space="preserve"> and Eldie Ferreira R3 500 000 being the full purchase consideration for portion 17.  The balance of the purchase price, namely R18 000 000.00 will be paid in instalments on sales of erven or houses after the proclamation and transfer </w:t>
      </w:r>
      <w:r w:rsidR="00C2465C">
        <w:rPr>
          <w:rFonts w:cs="Times New Roman"/>
          <w:sz w:val="26"/>
          <w:szCs w:val="26"/>
          <w:lang w:val="en-GB"/>
        </w:rPr>
        <w:t>of the erven.  R8 500 000.00 of the balance of the purchase price will be paid to Siboniseng and R9 500 000.00 to the respondent who will also be responsible to pay Harcourts’s reasonable fees.</w:t>
      </w:r>
    </w:p>
    <w:p w14:paraId="59026CBE" w14:textId="6C619E0C" w:rsidR="001715A8" w:rsidRPr="009561B0" w:rsidRDefault="004200A4" w:rsidP="004200A4">
      <w:pPr>
        <w:spacing w:before="100" w:after="40" w:line="360" w:lineRule="auto"/>
        <w:ind w:left="567" w:hanging="567"/>
        <w:jc w:val="both"/>
        <w:rPr>
          <w:rFonts w:cs="Times New Roman"/>
          <w:sz w:val="26"/>
          <w:szCs w:val="26"/>
          <w:lang w:val="en-GB"/>
        </w:rPr>
      </w:pPr>
      <w:r w:rsidRPr="009561B0">
        <w:rPr>
          <w:rFonts w:cs="Times New Roman"/>
          <w:sz w:val="26"/>
          <w:szCs w:val="26"/>
          <w:lang w:val="en-GB"/>
        </w:rPr>
        <w:lastRenderedPageBreak/>
        <w:t>38.</w:t>
      </w:r>
      <w:r w:rsidRPr="009561B0">
        <w:rPr>
          <w:rFonts w:cs="Times New Roman"/>
          <w:sz w:val="26"/>
          <w:szCs w:val="26"/>
          <w:lang w:val="en-GB"/>
        </w:rPr>
        <w:tab/>
      </w:r>
      <w:r w:rsidR="001715A8">
        <w:rPr>
          <w:rFonts w:cs="Times New Roman"/>
          <w:sz w:val="26"/>
          <w:szCs w:val="26"/>
          <w:lang w:val="en-GB"/>
        </w:rPr>
        <w:t xml:space="preserve">The second draft sale agreement envisages a sale of the </w:t>
      </w:r>
      <w:r w:rsidR="00AA544D">
        <w:rPr>
          <w:rFonts w:cs="Times New Roman"/>
          <w:sz w:val="26"/>
          <w:szCs w:val="26"/>
          <w:lang w:val="en-GB"/>
        </w:rPr>
        <w:t xml:space="preserve">respondent’s </w:t>
      </w:r>
      <w:r w:rsidR="001715A8">
        <w:rPr>
          <w:rFonts w:cs="Times New Roman"/>
          <w:sz w:val="26"/>
          <w:szCs w:val="26"/>
          <w:lang w:val="en-GB"/>
        </w:rPr>
        <w:t xml:space="preserve">property </w:t>
      </w:r>
      <w:r w:rsidR="00AA544D">
        <w:rPr>
          <w:rFonts w:cs="Times New Roman"/>
          <w:sz w:val="26"/>
          <w:szCs w:val="26"/>
          <w:lang w:val="en-GB"/>
        </w:rPr>
        <w:t>(</w:t>
      </w:r>
      <w:r w:rsidR="00013A41">
        <w:rPr>
          <w:rFonts w:cs="Times New Roman"/>
          <w:sz w:val="26"/>
          <w:szCs w:val="26"/>
          <w:lang w:val="en-GB"/>
        </w:rPr>
        <w:t>i.e.,</w:t>
      </w:r>
      <w:r w:rsidR="00AA544D">
        <w:rPr>
          <w:rFonts w:cs="Times New Roman"/>
          <w:sz w:val="26"/>
          <w:szCs w:val="26"/>
          <w:lang w:val="en-GB"/>
        </w:rPr>
        <w:t xml:space="preserve"> portion 18) </w:t>
      </w:r>
      <w:r w:rsidR="001715A8">
        <w:rPr>
          <w:rFonts w:cs="Times New Roman"/>
          <w:sz w:val="26"/>
          <w:szCs w:val="26"/>
          <w:lang w:val="en-GB"/>
        </w:rPr>
        <w:t xml:space="preserve">and Siboniseng’s </w:t>
      </w:r>
      <w:r w:rsidR="006660A5">
        <w:rPr>
          <w:rFonts w:cs="Times New Roman"/>
          <w:sz w:val="26"/>
          <w:szCs w:val="26"/>
          <w:lang w:val="en-GB"/>
        </w:rPr>
        <w:t xml:space="preserve">development </w:t>
      </w:r>
      <w:r w:rsidR="001715A8">
        <w:rPr>
          <w:rFonts w:cs="Times New Roman"/>
          <w:sz w:val="26"/>
          <w:szCs w:val="26"/>
          <w:lang w:val="en-GB"/>
        </w:rPr>
        <w:t>right</w:t>
      </w:r>
      <w:r w:rsidR="006660A5">
        <w:rPr>
          <w:rFonts w:cs="Times New Roman"/>
          <w:sz w:val="26"/>
          <w:szCs w:val="26"/>
          <w:lang w:val="en-GB"/>
        </w:rPr>
        <w:t xml:space="preserve">s </w:t>
      </w:r>
      <w:r w:rsidR="001715A8">
        <w:rPr>
          <w:rFonts w:cs="Times New Roman"/>
          <w:sz w:val="26"/>
          <w:szCs w:val="26"/>
          <w:lang w:val="en-GB"/>
        </w:rPr>
        <w:t>for a combined purchase</w:t>
      </w:r>
      <w:r w:rsidR="00AA544D">
        <w:rPr>
          <w:rFonts w:cs="Times New Roman"/>
          <w:sz w:val="26"/>
          <w:szCs w:val="26"/>
          <w:lang w:val="en-GB"/>
        </w:rPr>
        <w:t xml:space="preserve"> consideration </w:t>
      </w:r>
      <w:r w:rsidR="001715A8">
        <w:rPr>
          <w:rFonts w:cs="Times New Roman"/>
          <w:sz w:val="26"/>
          <w:szCs w:val="26"/>
          <w:lang w:val="en-GB"/>
        </w:rPr>
        <w:t xml:space="preserve">of R21.5 million.  </w:t>
      </w:r>
      <w:r w:rsidR="00E72AD9">
        <w:rPr>
          <w:rFonts w:cs="Times New Roman"/>
          <w:sz w:val="26"/>
          <w:szCs w:val="26"/>
          <w:lang w:val="en-GB"/>
        </w:rPr>
        <w:t>The identity of the purchaser does not appear from this second draft sale agreement.  I do not find anything sinister in this</w:t>
      </w:r>
      <w:r w:rsidR="006660A5">
        <w:rPr>
          <w:rFonts w:cs="Times New Roman"/>
          <w:sz w:val="26"/>
          <w:szCs w:val="26"/>
          <w:lang w:val="en-GB"/>
        </w:rPr>
        <w:t>,</w:t>
      </w:r>
      <w:r w:rsidR="00E72AD9">
        <w:rPr>
          <w:rFonts w:cs="Times New Roman"/>
          <w:sz w:val="26"/>
          <w:szCs w:val="26"/>
          <w:lang w:val="en-GB"/>
        </w:rPr>
        <w:t xml:space="preserve"> </w:t>
      </w:r>
      <w:r w:rsidR="006660A5">
        <w:rPr>
          <w:rFonts w:cs="Times New Roman"/>
          <w:sz w:val="26"/>
          <w:szCs w:val="26"/>
          <w:lang w:val="en-GB"/>
        </w:rPr>
        <w:t>n</w:t>
      </w:r>
      <w:r w:rsidR="00E72AD9">
        <w:rPr>
          <w:rFonts w:cs="Times New Roman"/>
          <w:sz w:val="26"/>
          <w:szCs w:val="26"/>
          <w:lang w:val="en-GB"/>
        </w:rPr>
        <w:t xml:space="preserve">or in the fact that the </w:t>
      </w:r>
      <w:r w:rsidR="00D52593">
        <w:rPr>
          <w:rFonts w:cs="Times New Roman"/>
          <w:sz w:val="26"/>
          <w:szCs w:val="26"/>
          <w:lang w:val="en-GB"/>
        </w:rPr>
        <w:t xml:space="preserve">company </w:t>
      </w:r>
      <w:r w:rsidR="00E72AD9" w:rsidRPr="00E72AD9">
        <w:rPr>
          <w:rFonts w:cs="Times New Roman"/>
          <w:sz w:val="26"/>
          <w:szCs w:val="26"/>
          <w:lang w:val="en-GB"/>
        </w:rPr>
        <w:t xml:space="preserve">referred to in the first draft sale agreement </w:t>
      </w:r>
      <w:r w:rsidR="00EC59F9">
        <w:rPr>
          <w:rFonts w:cs="Times New Roman"/>
          <w:sz w:val="26"/>
          <w:szCs w:val="26"/>
          <w:lang w:val="en-GB"/>
        </w:rPr>
        <w:t xml:space="preserve">was found not to exist.  What is clear from the papers </w:t>
      </w:r>
      <w:r w:rsidR="006660A5">
        <w:rPr>
          <w:rFonts w:cs="Times New Roman"/>
          <w:sz w:val="26"/>
          <w:szCs w:val="26"/>
          <w:lang w:val="en-GB"/>
        </w:rPr>
        <w:t xml:space="preserve">is </w:t>
      </w:r>
      <w:r w:rsidR="00EC59F9">
        <w:rPr>
          <w:rFonts w:cs="Times New Roman"/>
          <w:sz w:val="26"/>
          <w:szCs w:val="26"/>
          <w:lang w:val="en-GB"/>
        </w:rPr>
        <w:t>that there have been numerous attempts to realise the best value for a property which has the potential to be developed for township</w:t>
      </w:r>
      <w:r w:rsidR="00C85334">
        <w:rPr>
          <w:rFonts w:cs="Times New Roman"/>
          <w:sz w:val="26"/>
          <w:szCs w:val="26"/>
          <w:lang w:val="en-GB"/>
        </w:rPr>
        <w:t xml:space="preserve"> establishment</w:t>
      </w:r>
      <w:r w:rsidR="00EC59F9">
        <w:rPr>
          <w:rFonts w:cs="Times New Roman"/>
          <w:sz w:val="26"/>
          <w:szCs w:val="26"/>
          <w:lang w:val="en-GB"/>
        </w:rPr>
        <w:t>.  Mr Shepperson in an e-mail to the applicant informed him that the respondent, Siboniseng and the owner of erf 17 ha</w:t>
      </w:r>
      <w:r w:rsidR="00C85334">
        <w:rPr>
          <w:rFonts w:cs="Times New Roman"/>
          <w:sz w:val="26"/>
          <w:szCs w:val="26"/>
          <w:lang w:val="en-GB"/>
        </w:rPr>
        <w:t>d</w:t>
      </w:r>
      <w:r w:rsidR="00EC59F9">
        <w:rPr>
          <w:rFonts w:cs="Times New Roman"/>
          <w:sz w:val="26"/>
          <w:szCs w:val="26"/>
          <w:lang w:val="en-GB"/>
        </w:rPr>
        <w:t xml:space="preserve"> been working together for an extended period of time with a number of service providers.  The applicant has not produced any evidence to controvert this.  Mr </w:t>
      </w:r>
      <w:r w:rsidR="00F71206">
        <w:rPr>
          <w:rFonts w:cs="Times New Roman"/>
          <w:sz w:val="26"/>
          <w:szCs w:val="26"/>
          <w:lang w:val="en-GB"/>
        </w:rPr>
        <w:t xml:space="preserve">Shepperson </w:t>
      </w:r>
      <w:r w:rsidR="00EC59F9">
        <w:rPr>
          <w:rFonts w:cs="Times New Roman"/>
          <w:sz w:val="26"/>
          <w:szCs w:val="26"/>
          <w:lang w:val="en-GB"/>
        </w:rPr>
        <w:t>also informed the applicant that the exact details of the purchaser w</w:t>
      </w:r>
      <w:r w:rsidR="00F71206">
        <w:rPr>
          <w:rFonts w:cs="Times New Roman"/>
          <w:sz w:val="26"/>
          <w:szCs w:val="26"/>
          <w:lang w:val="en-GB"/>
        </w:rPr>
        <w:t xml:space="preserve">ould be inserted when he is told who it will be.  </w:t>
      </w:r>
      <w:r w:rsidR="00EC59F9">
        <w:rPr>
          <w:rFonts w:cs="Times New Roman"/>
          <w:sz w:val="26"/>
          <w:szCs w:val="26"/>
          <w:lang w:val="en-GB"/>
        </w:rPr>
        <w:t xml:space="preserve">In my view it is not implausible that negotiations </w:t>
      </w:r>
      <w:r w:rsidR="00C85334">
        <w:rPr>
          <w:rFonts w:cs="Times New Roman"/>
          <w:sz w:val="26"/>
          <w:szCs w:val="26"/>
          <w:lang w:val="en-GB"/>
        </w:rPr>
        <w:t xml:space="preserve">are </w:t>
      </w:r>
      <w:r w:rsidR="00EC59F9">
        <w:rPr>
          <w:rFonts w:cs="Times New Roman"/>
          <w:sz w:val="26"/>
          <w:szCs w:val="26"/>
          <w:lang w:val="en-GB"/>
        </w:rPr>
        <w:t>afoot with more than one prospective purchaser.  The</w:t>
      </w:r>
      <w:r w:rsidR="00C85334">
        <w:rPr>
          <w:rFonts w:cs="Times New Roman"/>
          <w:sz w:val="26"/>
          <w:szCs w:val="26"/>
          <w:lang w:val="en-GB"/>
        </w:rPr>
        <w:t xml:space="preserve"> ultimate </w:t>
      </w:r>
      <w:r w:rsidR="00EC59F9">
        <w:rPr>
          <w:rFonts w:cs="Times New Roman"/>
          <w:sz w:val="26"/>
          <w:szCs w:val="26"/>
          <w:lang w:val="en-GB"/>
        </w:rPr>
        <w:t>purchase</w:t>
      </w:r>
      <w:r w:rsidR="00C85334">
        <w:rPr>
          <w:rFonts w:cs="Times New Roman"/>
          <w:sz w:val="26"/>
          <w:szCs w:val="26"/>
          <w:lang w:val="en-GB"/>
        </w:rPr>
        <w:t>r</w:t>
      </w:r>
      <w:r w:rsidR="00EC59F9">
        <w:rPr>
          <w:rFonts w:cs="Times New Roman"/>
          <w:sz w:val="26"/>
          <w:szCs w:val="26"/>
          <w:lang w:val="en-GB"/>
        </w:rPr>
        <w:t xml:space="preserve"> will depend on the outcome of the discussions</w:t>
      </w:r>
      <w:r w:rsidR="00C85334">
        <w:rPr>
          <w:rFonts w:cs="Times New Roman"/>
          <w:sz w:val="26"/>
          <w:szCs w:val="26"/>
          <w:lang w:val="en-GB"/>
        </w:rPr>
        <w:t xml:space="preserve"> and other variables</w:t>
      </w:r>
      <w:r w:rsidR="00EC59F9">
        <w:rPr>
          <w:rFonts w:cs="Times New Roman"/>
          <w:sz w:val="26"/>
          <w:szCs w:val="26"/>
          <w:lang w:val="en-GB"/>
        </w:rPr>
        <w:t xml:space="preserve">.  Mr Shepperson pointed out to the applicant in the e-mail that </w:t>
      </w:r>
      <w:r w:rsidR="00DF6169">
        <w:rPr>
          <w:rFonts w:cs="Times New Roman"/>
          <w:sz w:val="26"/>
          <w:szCs w:val="26"/>
          <w:lang w:val="en-GB"/>
        </w:rPr>
        <w:t xml:space="preserve">the purchaser will be obliged in terms of the agreement with it to pay </w:t>
      </w:r>
      <w:r w:rsidR="00C85334">
        <w:rPr>
          <w:rFonts w:cs="Times New Roman"/>
          <w:sz w:val="26"/>
          <w:szCs w:val="26"/>
          <w:lang w:val="en-GB"/>
        </w:rPr>
        <w:t xml:space="preserve">to the respondent </w:t>
      </w:r>
      <w:r w:rsidR="00DF6169">
        <w:rPr>
          <w:rFonts w:cs="Times New Roman"/>
          <w:sz w:val="26"/>
          <w:szCs w:val="26"/>
          <w:lang w:val="en-GB"/>
        </w:rPr>
        <w:t>a deposit of R2.5 million within 14 days of the signature of the agreement.  This Mr Shepperson opined will pro</w:t>
      </w:r>
      <w:r w:rsidR="00C85334">
        <w:rPr>
          <w:rFonts w:cs="Times New Roman"/>
          <w:sz w:val="26"/>
          <w:szCs w:val="26"/>
          <w:lang w:val="en-GB"/>
        </w:rPr>
        <w:t xml:space="preserve">ve </w:t>
      </w:r>
      <w:r w:rsidR="00DF6169">
        <w:rPr>
          <w:rFonts w:cs="Times New Roman"/>
          <w:sz w:val="26"/>
          <w:szCs w:val="26"/>
          <w:lang w:val="en-GB"/>
        </w:rPr>
        <w:t xml:space="preserve">the genuineness of the purchaser.  </w:t>
      </w:r>
      <w:r w:rsidR="00C85334">
        <w:rPr>
          <w:rFonts w:cs="Times New Roman"/>
          <w:sz w:val="26"/>
          <w:szCs w:val="26"/>
          <w:lang w:val="en-GB"/>
        </w:rPr>
        <w:t>I</w:t>
      </w:r>
      <w:r w:rsidR="00DF6169">
        <w:rPr>
          <w:rFonts w:cs="Times New Roman"/>
          <w:sz w:val="26"/>
          <w:szCs w:val="26"/>
          <w:lang w:val="en-GB"/>
        </w:rPr>
        <w:t xml:space="preserve">n my view </w:t>
      </w:r>
      <w:r w:rsidR="00C85334">
        <w:rPr>
          <w:rFonts w:cs="Times New Roman"/>
          <w:sz w:val="26"/>
          <w:szCs w:val="26"/>
          <w:lang w:val="en-GB"/>
        </w:rPr>
        <w:t xml:space="preserve">the obligation to pay a deposit </w:t>
      </w:r>
      <w:r w:rsidR="00DF6169">
        <w:rPr>
          <w:rFonts w:cs="Times New Roman"/>
          <w:sz w:val="26"/>
          <w:szCs w:val="26"/>
          <w:lang w:val="en-GB"/>
        </w:rPr>
        <w:t xml:space="preserve">will </w:t>
      </w:r>
      <w:r w:rsidR="00F71206">
        <w:rPr>
          <w:rFonts w:cs="Times New Roman"/>
          <w:sz w:val="26"/>
          <w:szCs w:val="26"/>
          <w:lang w:val="en-GB"/>
        </w:rPr>
        <w:t xml:space="preserve">separate the chaff from the grain.  The proposed second draft sale agreement contains a safety net for the respondent.  The purchase price has to be secured by guarantees to be provided within 30 days of the payment of the deposit.  </w:t>
      </w:r>
    </w:p>
    <w:p w14:paraId="3475FE7B" w14:textId="62BC49A1" w:rsidR="00BE366D"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39.</w:t>
      </w:r>
      <w:r>
        <w:rPr>
          <w:rFonts w:cs="Times New Roman"/>
          <w:sz w:val="26"/>
          <w:szCs w:val="26"/>
          <w:lang w:val="en-GB"/>
        </w:rPr>
        <w:tab/>
      </w:r>
      <w:r w:rsidR="00A17473">
        <w:rPr>
          <w:rFonts w:cs="Times New Roman"/>
          <w:sz w:val="26"/>
          <w:szCs w:val="26"/>
          <w:lang w:val="en-GB"/>
        </w:rPr>
        <w:t xml:space="preserve">The </w:t>
      </w:r>
      <w:r w:rsidR="00F71206">
        <w:rPr>
          <w:rFonts w:cs="Times New Roman"/>
          <w:sz w:val="26"/>
          <w:szCs w:val="26"/>
          <w:lang w:val="en-GB"/>
        </w:rPr>
        <w:t>distribution</w:t>
      </w:r>
      <w:r w:rsidR="00C85334">
        <w:rPr>
          <w:rFonts w:cs="Times New Roman"/>
          <w:sz w:val="26"/>
          <w:szCs w:val="26"/>
          <w:lang w:val="en-GB"/>
        </w:rPr>
        <w:t xml:space="preserve"> </w:t>
      </w:r>
      <w:r w:rsidR="00F71206">
        <w:rPr>
          <w:rFonts w:cs="Times New Roman"/>
          <w:sz w:val="26"/>
          <w:szCs w:val="26"/>
          <w:lang w:val="en-GB"/>
        </w:rPr>
        <w:t xml:space="preserve">between the respondent and Siboniseng of the proceeds of the sale of the property and </w:t>
      </w:r>
      <w:r w:rsidR="00D43B00">
        <w:rPr>
          <w:rFonts w:cs="Times New Roman"/>
          <w:sz w:val="26"/>
          <w:szCs w:val="26"/>
          <w:lang w:val="en-GB"/>
        </w:rPr>
        <w:t>Siboniseng</w:t>
      </w:r>
      <w:r w:rsidR="00C85334">
        <w:rPr>
          <w:rFonts w:cs="Times New Roman"/>
          <w:sz w:val="26"/>
          <w:szCs w:val="26"/>
          <w:lang w:val="en-GB"/>
        </w:rPr>
        <w:t>’s development</w:t>
      </w:r>
      <w:r w:rsidR="00D43B00">
        <w:rPr>
          <w:rFonts w:cs="Times New Roman"/>
          <w:sz w:val="26"/>
          <w:szCs w:val="26"/>
          <w:lang w:val="en-GB"/>
        </w:rPr>
        <w:t xml:space="preserve"> </w:t>
      </w:r>
      <w:r w:rsidR="00F71206">
        <w:rPr>
          <w:rFonts w:cs="Times New Roman"/>
          <w:sz w:val="26"/>
          <w:szCs w:val="26"/>
          <w:lang w:val="en-GB"/>
        </w:rPr>
        <w:t>right</w:t>
      </w:r>
      <w:r w:rsidR="00D43B00">
        <w:rPr>
          <w:rFonts w:cs="Times New Roman"/>
          <w:sz w:val="26"/>
          <w:szCs w:val="26"/>
          <w:lang w:val="en-GB"/>
        </w:rPr>
        <w:t xml:space="preserve">s is set out in </w:t>
      </w:r>
      <w:r w:rsidR="00F71206">
        <w:rPr>
          <w:rFonts w:cs="Times New Roman"/>
          <w:sz w:val="26"/>
          <w:szCs w:val="26"/>
          <w:lang w:val="en-GB"/>
        </w:rPr>
        <w:t xml:space="preserve">the </w:t>
      </w:r>
      <w:r w:rsidR="00A17473">
        <w:rPr>
          <w:rFonts w:cs="Times New Roman"/>
          <w:sz w:val="26"/>
          <w:szCs w:val="26"/>
          <w:lang w:val="en-GB"/>
        </w:rPr>
        <w:t>proposed distribution agreement to be entered into between the respondent and Siboniseng</w:t>
      </w:r>
      <w:r w:rsidR="00AA544D">
        <w:rPr>
          <w:rFonts w:cs="Times New Roman"/>
          <w:sz w:val="26"/>
          <w:szCs w:val="26"/>
          <w:lang w:val="en-GB"/>
        </w:rPr>
        <w:t xml:space="preserve">.  </w:t>
      </w:r>
      <w:r w:rsidR="00D43B00">
        <w:rPr>
          <w:rFonts w:cs="Times New Roman"/>
          <w:sz w:val="26"/>
          <w:szCs w:val="26"/>
          <w:lang w:val="en-GB"/>
        </w:rPr>
        <w:t>S</w:t>
      </w:r>
      <w:r w:rsidR="00AA544D">
        <w:rPr>
          <w:rFonts w:cs="Times New Roman"/>
          <w:sz w:val="26"/>
          <w:szCs w:val="26"/>
          <w:lang w:val="en-GB"/>
        </w:rPr>
        <w:t xml:space="preserve">iboniseng is to </w:t>
      </w:r>
      <w:r w:rsidR="00A17473">
        <w:rPr>
          <w:rFonts w:cs="Times New Roman"/>
          <w:sz w:val="26"/>
          <w:szCs w:val="26"/>
          <w:lang w:val="en-GB"/>
        </w:rPr>
        <w:t xml:space="preserve">receive R10 million and </w:t>
      </w:r>
      <w:r w:rsidR="005B235F">
        <w:rPr>
          <w:rFonts w:cs="Times New Roman"/>
          <w:sz w:val="26"/>
          <w:szCs w:val="26"/>
          <w:lang w:val="en-GB"/>
        </w:rPr>
        <w:t xml:space="preserve">the </w:t>
      </w:r>
      <w:r w:rsidR="00AA544D">
        <w:rPr>
          <w:rFonts w:cs="Times New Roman"/>
          <w:sz w:val="26"/>
          <w:szCs w:val="26"/>
          <w:lang w:val="en-GB"/>
        </w:rPr>
        <w:t xml:space="preserve">respondent </w:t>
      </w:r>
      <w:r w:rsidR="005B235F">
        <w:rPr>
          <w:rFonts w:cs="Times New Roman"/>
          <w:sz w:val="26"/>
          <w:szCs w:val="26"/>
          <w:lang w:val="en-GB"/>
        </w:rPr>
        <w:t xml:space="preserve">R11.5 million.  </w:t>
      </w:r>
    </w:p>
    <w:p w14:paraId="4B844E6A" w14:textId="73CEE1E0" w:rsidR="002C4356"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40.</w:t>
      </w:r>
      <w:r>
        <w:rPr>
          <w:rFonts w:cs="Times New Roman"/>
          <w:sz w:val="26"/>
          <w:szCs w:val="26"/>
          <w:lang w:val="en-GB"/>
        </w:rPr>
        <w:tab/>
      </w:r>
      <w:r w:rsidR="002C4356">
        <w:rPr>
          <w:rFonts w:cs="Times New Roman"/>
          <w:sz w:val="26"/>
          <w:szCs w:val="26"/>
          <w:lang w:val="en-GB"/>
        </w:rPr>
        <w:t>The parties envisage sharing the estate agent’s commission</w:t>
      </w:r>
      <w:r w:rsidR="00C85334">
        <w:rPr>
          <w:rFonts w:cs="Times New Roman"/>
          <w:sz w:val="26"/>
          <w:szCs w:val="26"/>
          <w:lang w:val="en-GB"/>
        </w:rPr>
        <w:t>.  T</w:t>
      </w:r>
      <w:r w:rsidR="002C4356">
        <w:rPr>
          <w:rFonts w:cs="Times New Roman"/>
          <w:sz w:val="26"/>
          <w:szCs w:val="26"/>
          <w:lang w:val="en-GB"/>
        </w:rPr>
        <w:t>he respondent to pay R400 000.00</w:t>
      </w:r>
      <w:r w:rsidR="00D52593">
        <w:rPr>
          <w:rFonts w:cs="Times New Roman"/>
          <w:sz w:val="26"/>
          <w:szCs w:val="26"/>
          <w:lang w:val="en-GB"/>
        </w:rPr>
        <w:t>,</w:t>
      </w:r>
      <w:r w:rsidR="002C4356">
        <w:rPr>
          <w:rFonts w:cs="Times New Roman"/>
          <w:sz w:val="26"/>
          <w:szCs w:val="26"/>
          <w:lang w:val="en-GB"/>
        </w:rPr>
        <w:t xml:space="preserve"> and Siboniseng R250 000.00.  As far as Mr Shep</w:t>
      </w:r>
      <w:r w:rsidR="00C85334">
        <w:rPr>
          <w:rFonts w:cs="Times New Roman"/>
          <w:sz w:val="26"/>
          <w:szCs w:val="26"/>
          <w:lang w:val="en-GB"/>
        </w:rPr>
        <w:t>p</w:t>
      </w:r>
      <w:r w:rsidR="002C4356">
        <w:rPr>
          <w:rFonts w:cs="Times New Roman"/>
          <w:sz w:val="26"/>
          <w:szCs w:val="26"/>
          <w:lang w:val="en-GB"/>
        </w:rPr>
        <w:t>erson’s legal and advisory costs are concerned</w:t>
      </w:r>
      <w:r w:rsidR="00143614">
        <w:rPr>
          <w:rFonts w:cs="Times New Roman"/>
          <w:sz w:val="26"/>
          <w:szCs w:val="26"/>
          <w:lang w:val="en-GB"/>
        </w:rPr>
        <w:t>,</w:t>
      </w:r>
      <w:r w:rsidR="002C4356">
        <w:rPr>
          <w:rFonts w:cs="Times New Roman"/>
          <w:sz w:val="26"/>
          <w:szCs w:val="26"/>
          <w:lang w:val="en-GB"/>
        </w:rPr>
        <w:t xml:space="preserve"> the</w:t>
      </w:r>
      <w:r w:rsidR="00C85334">
        <w:rPr>
          <w:rFonts w:cs="Times New Roman"/>
          <w:sz w:val="26"/>
          <w:szCs w:val="26"/>
          <w:lang w:val="en-GB"/>
        </w:rPr>
        <w:t xml:space="preserve"> respondent and Siboniseng </w:t>
      </w:r>
      <w:r w:rsidR="002C4356">
        <w:rPr>
          <w:rFonts w:cs="Times New Roman"/>
          <w:sz w:val="26"/>
          <w:szCs w:val="26"/>
          <w:lang w:val="en-GB"/>
        </w:rPr>
        <w:t xml:space="preserve">envisage the respondent paying R600 000.00 and Siboniseng R1 100 000.00.  There </w:t>
      </w:r>
      <w:r w:rsidR="00143614">
        <w:rPr>
          <w:rFonts w:cs="Times New Roman"/>
          <w:sz w:val="26"/>
          <w:szCs w:val="26"/>
          <w:lang w:val="en-GB"/>
        </w:rPr>
        <w:t>i</w:t>
      </w:r>
      <w:r w:rsidR="002C4356">
        <w:rPr>
          <w:rFonts w:cs="Times New Roman"/>
          <w:sz w:val="26"/>
          <w:szCs w:val="26"/>
          <w:lang w:val="en-GB"/>
        </w:rPr>
        <w:t xml:space="preserve">s also </w:t>
      </w:r>
      <w:r w:rsidR="00143614">
        <w:rPr>
          <w:rFonts w:cs="Times New Roman"/>
          <w:sz w:val="26"/>
          <w:szCs w:val="26"/>
          <w:lang w:val="en-GB"/>
        </w:rPr>
        <w:t xml:space="preserve">a </w:t>
      </w:r>
      <w:r w:rsidR="002C4356">
        <w:rPr>
          <w:rFonts w:cs="Times New Roman"/>
          <w:sz w:val="26"/>
          <w:szCs w:val="26"/>
          <w:lang w:val="en-GB"/>
        </w:rPr>
        <w:t xml:space="preserve">provision for R5 000 000.00 </w:t>
      </w:r>
      <w:r w:rsidR="00143614">
        <w:rPr>
          <w:rFonts w:cs="Times New Roman"/>
          <w:sz w:val="26"/>
          <w:szCs w:val="26"/>
          <w:lang w:val="en-GB"/>
        </w:rPr>
        <w:t xml:space="preserve">to be </w:t>
      </w:r>
      <w:r w:rsidR="002C4356">
        <w:rPr>
          <w:rFonts w:cs="Times New Roman"/>
          <w:sz w:val="26"/>
          <w:szCs w:val="26"/>
          <w:lang w:val="en-GB"/>
        </w:rPr>
        <w:t xml:space="preserve">held as a retention amount for the benefit of the </w:t>
      </w:r>
      <w:r w:rsidR="002C4356">
        <w:rPr>
          <w:rFonts w:cs="Times New Roman"/>
          <w:sz w:val="26"/>
          <w:szCs w:val="26"/>
          <w:lang w:val="en-GB"/>
        </w:rPr>
        <w:lastRenderedPageBreak/>
        <w:t xml:space="preserve">purchaser.  The purpose of the retention amount is identified in the </w:t>
      </w:r>
      <w:r w:rsidR="002C4356" w:rsidRPr="005B235F">
        <w:rPr>
          <w:rFonts w:cs="Times New Roman"/>
          <w:sz w:val="26"/>
          <w:szCs w:val="26"/>
          <w:lang w:val="en-GB"/>
        </w:rPr>
        <w:t>second draft sale agreement</w:t>
      </w:r>
      <w:r w:rsidR="002C4356">
        <w:rPr>
          <w:rFonts w:cs="Times New Roman"/>
          <w:sz w:val="26"/>
          <w:szCs w:val="26"/>
          <w:lang w:val="en-GB"/>
        </w:rPr>
        <w:t xml:space="preserve">.  </w:t>
      </w:r>
    </w:p>
    <w:p w14:paraId="20C9FEC0" w14:textId="2977CBB7" w:rsidR="00D43B00" w:rsidRPr="00D43B00" w:rsidRDefault="004200A4" w:rsidP="004200A4">
      <w:pPr>
        <w:spacing w:before="100" w:after="40" w:line="360" w:lineRule="auto"/>
        <w:ind w:left="567" w:hanging="567"/>
        <w:jc w:val="both"/>
        <w:rPr>
          <w:rFonts w:cs="Times New Roman"/>
          <w:sz w:val="26"/>
          <w:szCs w:val="26"/>
          <w:lang w:val="en-GB"/>
        </w:rPr>
      </w:pPr>
      <w:r w:rsidRPr="00D43B00">
        <w:rPr>
          <w:rFonts w:cs="Times New Roman"/>
          <w:sz w:val="26"/>
          <w:szCs w:val="26"/>
          <w:lang w:val="en-GB"/>
        </w:rPr>
        <w:t>41.</w:t>
      </w:r>
      <w:r w:rsidRPr="00D43B00">
        <w:rPr>
          <w:rFonts w:cs="Times New Roman"/>
          <w:sz w:val="26"/>
          <w:szCs w:val="26"/>
          <w:lang w:val="en-GB"/>
        </w:rPr>
        <w:tab/>
      </w:r>
      <w:r w:rsidR="00D43B00">
        <w:rPr>
          <w:rFonts w:cs="Times New Roman"/>
          <w:sz w:val="26"/>
          <w:szCs w:val="26"/>
          <w:lang w:val="en-GB"/>
        </w:rPr>
        <w:t xml:space="preserve">I am mindful that the </w:t>
      </w:r>
      <w:r w:rsidR="00D43B00" w:rsidRPr="00D43B00">
        <w:rPr>
          <w:rFonts w:cs="Times New Roman"/>
          <w:sz w:val="26"/>
          <w:szCs w:val="26"/>
          <w:lang w:val="en-GB"/>
        </w:rPr>
        <w:t>first draft sale agreement envisaged the sale of portion 17 and there was no reference therein to portion 18.  Mr Shepperson explained in his e-mail of 20 May 2022 that the potential purchaser sent the agreement</w:t>
      </w:r>
      <w:r w:rsidR="00D43B00" w:rsidRPr="00D43B00">
        <w:rPr>
          <w:rStyle w:val="FootnoteReference"/>
          <w:rFonts w:cs="Times New Roman"/>
          <w:sz w:val="26"/>
          <w:szCs w:val="26"/>
          <w:lang w:val="en-GB"/>
        </w:rPr>
        <w:footnoteReference w:id="9"/>
      </w:r>
      <w:r w:rsidR="00D43B00" w:rsidRPr="00D43B00">
        <w:rPr>
          <w:rFonts w:cs="Times New Roman"/>
          <w:sz w:val="26"/>
          <w:szCs w:val="26"/>
          <w:lang w:val="en-GB"/>
        </w:rPr>
        <w:t xml:space="preserve"> for the purchase of erf 17 but not erf 18.  </w:t>
      </w:r>
      <w:r w:rsidR="00D43B00">
        <w:rPr>
          <w:rFonts w:cs="Times New Roman"/>
          <w:sz w:val="26"/>
          <w:szCs w:val="26"/>
          <w:lang w:val="en-GB"/>
        </w:rPr>
        <w:t xml:space="preserve">There is again nothing sinister in this.  In terms of the </w:t>
      </w:r>
      <w:r w:rsidR="00D43B00" w:rsidRPr="00D43B00">
        <w:rPr>
          <w:rFonts w:cs="Times New Roman"/>
          <w:sz w:val="26"/>
          <w:szCs w:val="26"/>
          <w:lang w:val="en-GB"/>
        </w:rPr>
        <w:t>signed Development and Distribution Agreement</w:t>
      </w:r>
      <w:r w:rsidR="00D43B00">
        <w:rPr>
          <w:rFonts w:cs="Times New Roman"/>
          <w:sz w:val="26"/>
          <w:szCs w:val="26"/>
          <w:lang w:val="en-GB"/>
        </w:rPr>
        <w:t xml:space="preserve"> the purchase consideration for erf 17, erf 18 and </w:t>
      </w:r>
      <w:r w:rsidR="002C4356">
        <w:rPr>
          <w:rFonts w:cs="Times New Roman"/>
          <w:sz w:val="26"/>
          <w:szCs w:val="26"/>
          <w:lang w:val="en-GB"/>
        </w:rPr>
        <w:t xml:space="preserve">Siboniseng’s </w:t>
      </w:r>
      <w:r w:rsidR="00C85334">
        <w:rPr>
          <w:rFonts w:cs="Times New Roman"/>
          <w:sz w:val="26"/>
          <w:szCs w:val="26"/>
          <w:lang w:val="en-GB"/>
        </w:rPr>
        <w:t xml:space="preserve">development </w:t>
      </w:r>
      <w:r w:rsidR="002C4356">
        <w:rPr>
          <w:rFonts w:cs="Times New Roman"/>
          <w:sz w:val="26"/>
          <w:szCs w:val="26"/>
          <w:lang w:val="en-GB"/>
        </w:rPr>
        <w:t>rights was to be R25 000 000.00</w:t>
      </w:r>
      <w:r w:rsidR="00C85334">
        <w:rPr>
          <w:rFonts w:cs="Times New Roman"/>
          <w:sz w:val="26"/>
          <w:szCs w:val="26"/>
          <w:lang w:val="en-GB"/>
        </w:rPr>
        <w:t>.  Of this amount</w:t>
      </w:r>
      <w:r w:rsidR="002C4356">
        <w:rPr>
          <w:rFonts w:cs="Times New Roman"/>
          <w:sz w:val="26"/>
          <w:szCs w:val="26"/>
          <w:lang w:val="en-GB"/>
        </w:rPr>
        <w:t xml:space="preserve"> R3 500 000.00 </w:t>
      </w:r>
      <w:r w:rsidR="00C85334">
        <w:rPr>
          <w:rFonts w:cs="Times New Roman"/>
          <w:sz w:val="26"/>
          <w:szCs w:val="26"/>
          <w:lang w:val="en-GB"/>
        </w:rPr>
        <w:t>constituted the purchase consideration for</w:t>
      </w:r>
      <w:r w:rsidR="002C4356">
        <w:rPr>
          <w:rFonts w:cs="Times New Roman"/>
          <w:sz w:val="26"/>
          <w:szCs w:val="26"/>
          <w:lang w:val="en-GB"/>
        </w:rPr>
        <w:t xml:space="preserve"> erf 17.  The remaining R21 500 000.00 </w:t>
      </w:r>
      <w:r w:rsidR="008F14D3">
        <w:rPr>
          <w:rFonts w:cs="Times New Roman"/>
          <w:sz w:val="26"/>
          <w:szCs w:val="26"/>
          <w:lang w:val="en-GB"/>
        </w:rPr>
        <w:t xml:space="preserve">being the purchase consideration for erf 18 and Siboniseng’s development rights </w:t>
      </w:r>
      <w:r w:rsidR="002C4356">
        <w:rPr>
          <w:rFonts w:cs="Times New Roman"/>
          <w:sz w:val="26"/>
          <w:szCs w:val="26"/>
          <w:lang w:val="en-GB"/>
        </w:rPr>
        <w:t>was to be distributed between the respondent and Siboniseng</w:t>
      </w:r>
      <w:r w:rsidR="00013A41">
        <w:rPr>
          <w:rFonts w:cs="Times New Roman"/>
          <w:sz w:val="26"/>
          <w:szCs w:val="26"/>
          <w:lang w:val="en-GB"/>
        </w:rPr>
        <w:t xml:space="preserve">.  </w:t>
      </w:r>
      <w:r w:rsidR="002C4356">
        <w:rPr>
          <w:rFonts w:cs="Times New Roman"/>
          <w:sz w:val="26"/>
          <w:szCs w:val="26"/>
          <w:lang w:val="en-GB"/>
        </w:rPr>
        <w:t xml:space="preserve">The former to receive R11 250 000.00 and the latter R10 250 000.00.  In terms of the </w:t>
      </w:r>
      <w:r w:rsidR="002C4356" w:rsidRPr="002C4356">
        <w:rPr>
          <w:rFonts w:cs="Times New Roman"/>
          <w:sz w:val="26"/>
          <w:szCs w:val="26"/>
          <w:lang w:val="en-GB"/>
        </w:rPr>
        <w:t>proposed distribution agreement</w:t>
      </w:r>
      <w:r w:rsidR="00143614">
        <w:rPr>
          <w:rFonts w:cs="Times New Roman"/>
          <w:sz w:val="26"/>
          <w:szCs w:val="26"/>
          <w:lang w:val="en-GB"/>
        </w:rPr>
        <w:t>,</w:t>
      </w:r>
      <w:r w:rsidR="002C4356">
        <w:rPr>
          <w:rFonts w:cs="Times New Roman"/>
          <w:sz w:val="26"/>
          <w:szCs w:val="26"/>
          <w:lang w:val="en-GB"/>
        </w:rPr>
        <w:t xml:space="preserve"> Siboniseng will receive R10 million and the respondent R11.5 million.  </w:t>
      </w:r>
    </w:p>
    <w:p w14:paraId="44D66FB3" w14:textId="3A51D63A" w:rsidR="00BE366D"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42.</w:t>
      </w:r>
      <w:r>
        <w:rPr>
          <w:rFonts w:cs="Times New Roman"/>
          <w:sz w:val="26"/>
          <w:szCs w:val="26"/>
          <w:lang w:val="en-GB"/>
        </w:rPr>
        <w:tab/>
      </w:r>
      <w:r w:rsidR="00BE366D">
        <w:rPr>
          <w:rFonts w:cs="Times New Roman"/>
          <w:sz w:val="26"/>
          <w:szCs w:val="26"/>
          <w:lang w:val="en-GB"/>
        </w:rPr>
        <w:t>The applicant considers payment of R10 million to Siboniseng as an assumption of a liability by the respondent in favour of Siboniseng without a valid cause.  However, the applicant ignore</w:t>
      </w:r>
      <w:r w:rsidR="008F14D3">
        <w:rPr>
          <w:rFonts w:cs="Times New Roman"/>
          <w:sz w:val="26"/>
          <w:szCs w:val="26"/>
          <w:lang w:val="en-GB"/>
        </w:rPr>
        <w:t>s</w:t>
      </w:r>
      <w:r w:rsidR="00BE366D">
        <w:rPr>
          <w:rFonts w:cs="Times New Roman"/>
          <w:sz w:val="26"/>
          <w:szCs w:val="26"/>
          <w:lang w:val="en-GB"/>
        </w:rPr>
        <w:t xml:space="preserve"> that the respondent would be selling the property and Siboniseng </w:t>
      </w:r>
      <w:r w:rsidR="008F14D3">
        <w:rPr>
          <w:rFonts w:cs="Times New Roman"/>
          <w:sz w:val="26"/>
          <w:szCs w:val="26"/>
          <w:lang w:val="en-GB"/>
        </w:rPr>
        <w:t xml:space="preserve">would be selling its right to develop </w:t>
      </w:r>
      <w:r w:rsidR="00BE366D">
        <w:rPr>
          <w:rFonts w:cs="Times New Roman"/>
          <w:sz w:val="26"/>
          <w:szCs w:val="26"/>
          <w:lang w:val="en-GB"/>
        </w:rPr>
        <w:t xml:space="preserve">the property. The payment of R10 million to Siboniseng constitutes the purchase consideration for the sale of </w:t>
      </w:r>
      <w:r w:rsidR="00E72AD9">
        <w:rPr>
          <w:rFonts w:cs="Times New Roman"/>
          <w:sz w:val="26"/>
          <w:szCs w:val="26"/>
          <w:lang w:val="en-GB"/>
        </w:rPr>
        <w:t>Siboniseng’s rights to develop the property</w:t>
      </w:r>
      <w:r w:rsidR="008F14D3">
        <w:rPr>
          <w:rFonts w:cs="Times New Roman"/>
          <w:sz w:val="26"/>
          <w:szCs w:val="26"/>
          <w:lang w:val="en-GB"/>
        </w:rPr>
        <w:t>.</w:t>
      </w:r>
      <w:r w:rsidR="00E72AD9">
        <w:rPr>
          <w:rFonts w:cs="Times New Roman"/>
          <w:sz w:val="26"/>
          <w:szCs w:val="26"/>
          <w:lang w:val="en-GB"/>
        </w:rPr>
        <w:t xml:space="preserve">  It is the sale of the property together with Siboniseng’s rights that allows the respondent to command a purchase consideration of R11.5 million</w:t>
      </w:r>
      <w:r w:rsidR="008F14D3">
        <w:rPr>
          <w:rFonts w:cs="Times New Roman"/>
          <w:sz w:val="26"/>
          <w:szCs w:val="26"/>
          <w:lang w:val="en-GB"/>
        </w:rPr>
        <w:t xml:space="preserve"> for the property.  If sold on its own the property will realise around R1 million</w:t>
      </w:r>
      <w:r w:rsidR="00E72AD9">
        <w:rPr>
          <w:rFonts w:cs="Times New Roman"/>
          <w:sz w:val="26"/>
          <w:szCs w:val="26"/>
          <w:lang w:val="en-GB"/>
        </w:rPr>
        <w:t xml:space="preserve">.  The payment to Harcourts and Mr Shepperson </w:t>
      </w:r>
      <w:r w:rsidR="008F14D3">
        <w:rPr>
          <w:rFonts w:cs="Times New Roman"/>
          <w:sz w:val="26"/>
          <w:szCs w:val="26"/>
          <w:lang w:val="en-GB"/>
        </w:rPr>
        <w:t>is</w:t>
      </w:r>
      <w:r w:rsidR="00E72AD9">
        <w:rPr>
          <w:rFonts w:cs="Times New Roman"/>
          <w:sz w:val="26"/>
          <w:szCs w:val="26"/>
          <w:lang w:val="en-GB"/>
        </w:rPr>
        <w:t xml:space="preserve"> for services rendered</w:t>
      </w:r>
      <w:r w:rsidR="008F14D3">
        <w:rPr>
          <w:rFonts w:cs="Times New Roman"/>
          <w:sz w:val="26"/>
          <w:szCs w:val="26"/>
          <w:lang w:val="en-GB"/>
        </w:rPr>
        <w:t xml:space="preserve"> by them</w:t>
      </w:r>
      <w:r w:rsidR="00E72AD9">
        <w:rPr>
          <w:rFonts w:cs="Times New Roman"/>
          <w:sz w:val="26"/>
          <w:szCs w:val="26"/>
          <w:lang w:val="en-GB"/>
        </w:rPr>
        <w:t xml:space="preserve">.  </w:t>
      </w:r>
    </w:p>
    <w:p w14:paraId="4295CB8B" w14:textId="0D10030E" w:rsidR="002C4356"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43.</w:t>
      </w:r>
      <w:r>
        <w:rPr>
          <w:rFonts w:cs="Times New Roman"/>
          <w:sz w:val="26"/>
          <w:szCs w:val="26"/>
          <w:lang w:val="en-GB"/>
        </w:rPr>
        <w:tab/>
      </w:r>
      <w:r w:rsidR="008F14D3">
        <w:rPr>
          <w:rFonts w:cs="Times New Roman"/>
          <w:sz w:val="26"/>
          <w:szCs w:val="26"/>
          <w:lang w:val="en-GB"/>
        </w:rPr>
        <w:t>The applicant has failed to demonstrate that his suspicions are reasonable.  The allegation of fraud is not supported by facts.  I see no</w:t>
      </w:r>
      <w:r w:rsidR="008138AE">
        <w:rPr>
          <w:rFonts w:cs="Times New Roman"/>
          <w:sz w:val="26"/>
          <w:szCs w:val="26"/>
          <w:lang w:val="en-GB"/>
        </w:rPr>
        <w:t xml:space="preserve"> justification </w:t>
      </w:r>
      <w:r w:rsidR="008F14D3">
        <w:rPr>
          <w:rFonts w:cs="Times New Roman"/>
          <w:sz w:val="26"/>
          <w:szCs w:val="26"/>
          <w:lang w:val="en-GB"/>
        </w:rPr>
        <w:t xml:space="preserve">for </w:t>
      </w:r>
      <w:r w:rsidR="00D1585E">
        <w:rPr>
          <w:rFonts w:cs="Times New Roman"/>
          <w:sz w:val="26"/>
          <w:szCs w:val="26"/>
          <w:lang w:val="en-GB"/>
        </w:rPr>
        <w:t xml:space="preserve">suspecting </w:t>
      </w:r>
      <w:r w:rsidR="008138AE">
        <w:rPr>
          <w:rFonts w:cs="Times New Roman"/>
          <w:sz w:val="26"/>
          <w:szCs w:val="26"/>
          <w:lang w:val="en-GB"/>
        </w:rPr>
        <w:t>Mr F</w:t>
      </w:r>
      <w:r w:rsidR="008F14D3">
        <w:rPr>
          <w:rFonts w:cs="Times New Roman"/>
          <w:sz w:val="26"/>
          <w:szCs w:val="26"/>
          <w:lang w:val="en-GB"/>
        </w:rPr>
        <w:t>erreira</w:t>
      </w:r>
      <w:r w:rsidR="00D1585E">
        <w:rPr>
          <w:rFonts w:cs="Times New Roman"/>
          <w:sz w:val="26"/>
          <w:szCs w:val="26"/>
          <w:lang w:val="en-GB"/>
        </w:rPr>
        <w:t xml:space="preserve"> of acting unlawfully or in bad faith.  On the facts before me I cannot conclude that he is acting in bad faith or has an ulterior motive in</w:t>
      </w:r>
      <w:r w:rsidR="008138AE">
        <w:rPr>
          <w:rFonts w:cs="Times New Roman"/>
          <w:sz w:val="26"/>
          <w:szCs w:val="26"/>
          <w:lang w:val="en-GB"/>
        </w:rPr>
        <w:t xml:space="preserve"> </w:t>
      </w:r>
      <w:r w:rsidR="00D1585E">
        <w:rPr>
          <w:rFonts w:cs="Times New Roman"/>
          <w:sz w:val="26"/>
          <w:szCs w:val="26"/>
          <w:lang w:val="en-GB"/>
        </w:rPr>
        <w:t xml:space="preserve">disposing of the </w:t>
      </w:r>
      <w:r w:rsidR="008138AE">
        <w:rPr>
          <w:rFonts w:cs="Times New Roman"/>
          <w:sz w:val="26"/>
          <w:szCs w:val="26"/>
          <w:lang w:val="en-GB"/>
        </w:rPr>
        <w:t xml:space="preserve">property.  </w:t>
      </w:r>
      <w:r w:rsidR="00D1585E">
        <w:rPr>
          <w:rFonts w:cs="Times New Roman"/>
          <w:sz w:val="26"/>
          <w:szCs w:val="26"/>
          <w:lang w:val="en-GB"/>
        </w:rPr>
        <w:t xml:space="preserve">Nor am I able to find </w:t>
      </w:r>
      <w:r w:rsidR="008138AE">
        <w:rPr>
          <w:rFonts w:cs="Times New Roman"/>
          <w:sz w:val="26"/>
          <w:szCs w:val="26"/>
          <w:lang w:val="en-GB"/>
        </w:rPr>
        <w:t xml:space="preserve">any justification for the misgivings </w:t>
      </w:r>
      <w:r w:rsidR="00D1585E">
        <w:rPr>
          <w:rFonts w:cs="Times New Roman"/>
          <w:sz w:val="26"/>
          <w:szCs w:val="26"/>
          <w:lang w:val="en-GB"/>
        </w:rPr>
        <w:t xml:space="preserve">regarding </w:t>
      </w:r>
      <w:r w:rsidR="008138AE">
        <w:rPr>
          <w:rFonts w:cs="Times New Roman"/>
          <w:sz w:val="26"/>
          <w:szCs w:val="26"/>
          <w:lang w:val="en-GB"/>
        </w:rPr>
        <w:lastRenderedPageBreak/>
        <w:t>Siboniseng’s involvement.  Far from acting to the detriment of the respondent and shareholders, Mr Ferreira in my view has been astute in exploiting the value of the property and realising the best value for the respondent and its shareholders.  There is no merit in the claim that Mr Ferreira is dealing with the property as if it is his own.  Mr Ferreira is the director of the company.  Nothing preclude</w:t>
      </w:r>
      <w:r w:rsidR="00496DB1">
        <w:rPr>
          <w:rFonts w:cs="Times New Roman"/>
          <w:sz w:val="26"/>
          <w:szCs w:val="26"/>
          <w:lang w:val="en-GB"/>
        </w:rPr>
        <w:t>s</w:t>
      </w:r>
      <w:r w:rsidR="008138AE">
        <w:rPr>
          <w:rFonts w:cs="Times New Roman"/>
          <w:sz w:val="26"/>
          <w:szCs w:val="26"/>
          <w:lang w:val="en-GB"/>
        </w:rPr>
        <w:t xml:space="preserve"> him from exploring the sale of a property and it is clear that he is mindful that he requires shareholder consent to dispose of the property.  </w:t>
      </w:r>
    </w:p>
    <w:p w14:paraId="67868797" w14:textId="17C21E45" w:rsidR="00425A07"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44.</w:t>
      </w:r>
      <w:r>
        <w:rPr>
          <w:rFonts w:cs="Times New Roman"/>
          <w:sz w:val="26"/>
          <w:szCs w:val="26"/>
          <w:lang w:val="en-GB"/>
        </w:rPr>
        <w:tab/>
      </w:r>
      <w:r w:rsidR="008138AE">
        <w:rPr>
          <w:rFonts w:cs="Times New Roman"/>
          <w:sz w:val="26"/>
          <w:szCs w:val="26"/>
          <w:lang w:val="en-GB"/>
        </w:rPr>
        <w:t xml:space="preserve">The applicant is frank that he will not support the sale of the property.  That is however not a reason to wind up the respondent.  The company laws provide remedies in such an instance.  </w:t>
      </w:r>
    </w:p>
    <w:p w14:paraId="1B0FB26B" w14:textId="23BE2D77" w:rsidR="00425A07" w:rsidRPr="00425A07" w:rsidRDefault="00425A07" w:rsidP="00425A07">
      <w:pPr>
        <w:spacing w:before="100" w:after="40" w:line="360" w:lineRule="auto"/>
        <w:jc w:val="both"/>
        <w:rPr>
          <w:rFonts w:cs="Times New Roman"/>
          <w:b/>
          <w:bCs/>
          <w:sz w:val="26"/>
          <w:szCs w:val="26"/>
          <w:lang w:val="en-GB"/>
        </w:rPr>
      </w:pPr>
      <w:r w:rsidRPr="00425A07">
        <w:rPr>
          <w:rFonts w:cs="Times New Roman"/>
          <w:b/>
          <w:bCs/>
          <w:sz w:val="26"/>
          <w:szCs w:val="26"/>
          <w:lang w:val="en-GB"/>
        </w:rPr>
        <w:t xml:space="preserve">Mismanagement and governance irregularities </w:t>
      </w:r>
    </w:p>
    <w:p w14:paraId="6AC3E062" w14:textId="36ACA1A6" w:rsidR="00D1585E"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45.</w:t>
      </w:r>
      <w:r>
        <w:rPr>
          <w:rFonts w:cs="Times New Roman"/>
          <w:sz w:val="26"/>
          <w:szCs w:val="26"/>
          <w:lang w:val="en-GB"/>
        </w:rPr>
        <w:tab/>
      </w:r>
      <w:r w:rsidR="00425A07">
        <w:rPr>
          <w:rFonts w:cs="Times New Roman"/>
          <w:sz w:val="26"/>
          <w:szCs w:val="26"/>
          <w:lang w:val="en-GB"/>
        </w:rPr>
        <w:t xml:space="preserve">The applicant </w:t>
      </w:r>
      <w:r w:rsidR="00D1585E">
        <w:rPr>
          <w:rFonts w:cs="Times New Roman"/>
          <w:sz w:val="26"/>
          <w:szCs w:val="26"/>
          <w:lang w:val="en-GB"/>
        </w:rPr>
        <w:t>raises management and governance concerns.  He alleges that shareholder meetings are not convened.  To demonstrate mismanagement</w:t>
      </w:r>
      <w:r w:rsidR="00496DB1">
        <w:rPr>
          <w:rFonts w:cs="Times New Roman"/>
          <w:sz w:val="26"/>
          <w:szCs w:val="26"/>
          <w:lang w:val="en-GB"/>
        </w:rPr>
        <w:t>,</w:t>
      </w:r>
      <w:r w:rsidR="00D1585E">
        <w:rPr>
          <w:rFonts w:cs="Times New Roman"/>
          <w:sz w:val="26"/>
          <w:szCs w:val="26"/>
          <w:lang w:val="en-GB"/>
        </w:rPr>
        <w:t xml:space="preserve"> he alleges that Mr Ferreira does not know who the auditor of the company is.  He </w:t>
      </w:r>
      <w:r w:rsidR="00425A07">
        <w:rPr>
          <w:rFonts w:cs="Times New Roman"/>
          <w:sz w:val="26"/>
          <w:szCs w:val="26"/>
          <w:lang w:val="en-GB"/>
        </w:rPr>
        <w:t xml:space="preserve">alleges that he discovered </w:t>
      </w:r>
      <w:r w:rsidR="00425A07" w:rsidRPr="002E2835">
        <w:rPr>
          <w:rFonts w:cs="Times New Roman"/>
          <w:sz w:val="26"/>
          <w:szCs w:val="26"/>
          <w:lang w:val="en-GB"/>
        </w:rPr>
        <w:t>at a shareholders</w:t>
      </w:r>
      <w:r w:rsidR="00425A07">
        <w:rPr>
          <w:rFonts w:cs="Times New Roman"/>
          <w:sz w:val="26"/>
          <w:szCs w:val="26"/>
          <w:lang w:val="en-GB"/>
        </w:rPr>
        <w:t>’</w:t>
      </w:r>
      <w:r w:rsidR="00425A07" w:rsidRPr="002E2835">
        <w:rPr>
          <w:rFonts w:cs="Times New Roman"/>
          <w:sz w:val="26"/>
          <w:szCs w:val="26"/>
          <w:lang w:val="en-GB"/>
        </w:rPr>
        <w:t xml:space="preserve"> meeting on 15 June 2022</w:t>
      </w:r>
      <w:r w:rsidR="00425A07">
        <w:rPr>
          <w:rFonts w:cs="Times New Roman"/>
          <w:sz w:val="26"/>
          <w:szCs w:val="26"/>
          <w:lang w:val="en-GB"/>
        </w:rPr>
        <w:t xml:space="preserve"> that </w:t>
      </w:r>
      <w:r w:rsidR="00425A07" w:rsidRPr="002E2835">
        <w:rPr>
          <w:rFonts w:cs="Times New Roman"/>
          <w:sz w:val="26"/>
          <w:szCs w:val="26"/>
          <w:lang w:val="en-GB"/>
        </w:rPr>
        <w:t xml:space="preserve">Mr Ferreira </w:t>
      </w:r>
      <w:r w:rsidR="00493DC8">
        <w:rPr>
          <w:rFonts w:cs="Times New Roman"/>
          <w:sz w:val="26"/>
          <w:szCs w:val="26"/>
          <w:lang w:val="en-GB"/>
        </w:rPr>
        <w:t xml:space="preserve">did not </w:t>
      </w:r>
      <w:r w:rsidR="00425A07">
        <w:rPr>
          <w:rFonts w:cs="Times New Roman"/>
          <w:sz w:val="26"/>
          <w:szCs w:val="26"/>
          <w:lang w:val="en-GB"/>
        </w:rPr>
        <w:t xml:space="preserve">know </w:t>
      </w:r>
      <w:r w:rsidR="00425A07" w:rsidRPr="002E2835">
        <w:rPr>
          <w:rFonts w:cs="Times New Roman"/>
          <w:sz w:val="26"/>
          <w:szCs w:val="26"/>
          <w:lang w:val="en-GB"/>
        </w:rPr>
        <w:t>when the last annual financial statements were prepared</w:t>
      </w:r>
      <w:r w:rsidR="00425A07">
        <w:rPr>
          <w:rFonts w:cs="Times New Roman"/>
          <w:sz w:val="26"/>
          <w:szCs w:val="26"/>
          <w:lang w:val="en-GB"/>
        </w:rPr>
        <w:t xml:space="preserve"> as he had left this to his wife who had passed away</w:t>
      </w:r>
      <w:r w:rsidR="00425A07" w:rsidRPr="00425A07">
        <w:rPr>
          <w:rFonts w:cs="Times New Roman"/>
          <w:sz w:val="26"/>
          <w:szCs w:val="26"/>
          <w:lang w:val="en-GB"/>
        </w:rPr>
        <w:t xml:space="preserve">.  </w:t>
      </w:r>
    </w:p>
    <w:p w14:paraId="04CC43C9" w14:textId="77CE0BEE" w:rsidR="002E1F31" w:rsidRPr="00425A07" w:rsidRDefault="004200A4" w:rsidP="004200A4">
      <w:pPr>
        <w:spacing w:before="100" w:after="40" w:line="360" w:lineRule="auto"/>
        <w:ind w:left="567" w:hanging="567"/>
        <w:jc w:val="both"/>
        <w:rPr>
          <w:rFonts w:cs="Times New Roman"/>
          <w:sz w:val="26"/>
          <w:szCs w:val="26"/>
          <w:lang w:val="en-GB"/>
        </w:rPr>
      </w:pPr>
      <w:r w:rsidRPr="00425A07">
        <w:rPr>
          <w:rFonts w:cs="Times New Roman"/>
          <w:sz w:val="26"/>
          <w:szCs w:val="26"/>
          <w:lang w:val="en-GB"/>
        </w:rPr>
        <w:t>46.</w:t>
      </w:r>
      <w:r w:rsidRPr="00425A07">
        <w:rPr>
          <w:rFonts w:cs="Times New Roman"/>
          <w:sz w:val="26"/>
          <w:szCs w:val="26"/>
          <w:lang w:val="en-GB"/>
        </w:rPr>
        <w:tab/>
      </w:r>
      <w:r w:rsidR="002E1F31" w:rsidRPr="00425A07">
        <w:rPr>
          <w:rFonts w:cs="Times New Roman"/>
          <w:sz w:val="26"/>
          <w:szCs w:val="26"/>
          <w:lang w:val="en-GB"/>
        </w:rPr>
        <w:t>Mr Ferreira</w:t>
      </w:r>
      <w:r w:rsidR="00143614">
        <w:rPr>
          <w:rFonts w:cs="Times New Roman"/>
          <w:sz w:val="26"/>
          <w:szCs w:val="26"/>
          <w:lang w:val="en-GB"/>
        </w:rPr>
        <w:t>’s</w:t>
      </w:r>
      <w:r w:rsidR="002E1F31" w:rsidRPr="00425A07">
        <w:rPr>
          <w:rFonts w:cs="Times New Roman"/>
          <w:sz w:val="26"/>
          <w:szCs w:val="26"/>
          <w:lang w:val="en-GB"/>
        </w:rPr>
        <w:t xml:space="preserve"> </w:t>
      </w:r>
      <w:r w:rsidR="00D1585E">
        <w:rPr>
          <w:rFonts w:cs="Times New Roman"/>
          <w:sz w:val="26"/>
          <w:szCs w:val="26"/>
          <w:lang w:val="en-GB"/>
        </w:rPr>
        <w:t xml:space="preserve">explanation is </w:t>
      </w:r>
      <w:r w:rsidR="002E1F31" w:rsidRPr="00425A07">
        <w:rPr>
          <w:rFonts w:cs="Times New Roman"/>
          <w:sz w:val="26"/>
          <w:szCs w:val="26"/>
          <w:lang w:val="en-GB"/>
        </w:rPr>
        <w:t xml:space="preserve">that his late wife was an accountant and she attended to the preparation of the financial statements.  She died on 8 April 2020.  </w:t>
      </w:r>
      <w:r w:rsidR="004B0DB5">
        <w:rPr>
          <w:rFonts w:cs="Times New Roman"/>
          <w:sz w:val="26"/>
          <w:szCs w:val="26"/>
          <w:lang w:val="en-GB"/>
        </w:rPr>
        <w:t xml:space="preserve">And he </w:t>
      </w:r>
      <w:r w:rsidR="002E1F31" w:rsidRPr="00425A07">
        <w:rPr>
          <w:rFonts w:cs="Times New Roman"/>
          <w:sz w:val="26"/>
          <w:szCs w:val="26"/>
          <w:lang w:val="en-GB"/>
        </w:rPr>
        <w:t>believed that Mr WJH Pretorius was the respondent’s auditor.  The applicant ha</w:t>
      </w:r>
      <w:r w:rsidR="004B0DB5">
        <w:rPr>
          <w:rFonts w:cs="Times New Roman"/>
          <w:sz w:val="26"/>
          <w:szCs w:val="26"/>
          <w:lang w:val="en-GB"/>
        </w:rPr>
        <w:t>s</w:t>
      </w:r>
      <w:r w:rsidR="002E1F31" w:rsidRPr="00425A07">
        <w:rPr>
          <w:rFonts w:cs="Times New Roman"/>
          <w:sz w:val="26"/>
          <w:szCs w:val="26"/>
          <w:lang w:val="en-GB"/>
        </w:rPr>
        <w:t xml:space="preserve"> however established that Mr WJH Pretorius </w:t>
      </w:r>
      <w:r w:rsidR="004B0DB5">
        <w:rPr>
          <w:rFonts w:cs="Times New Roman"/>
          <w:sz w:val="26"/>
          <w:szCs w:val="26"/>
          <w:lang w:val="en-GB"/>
        </w:rPr>
        <w:t>is</w:t>
      </w:r>
      <w:r w:rsidR="002E1F31" w:rsidRPr="00425A07">
        <w:rPr>
          <w:rFonts w:cs="Times New Roman"/>
          <w:sz w:val="26"/>
          <w:szCs w:val="26"/>
          <w:lang w:val="en-GB"/>
        </w:rPr>
        <w:t xml:space="preserve"> not the auditor.  </w:t>
      </w:r>
    </w:p>
    <w:p w14:paraId="3AFD716A" w14:textId="228F8AD7" w:rsidR="002E1F31"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47.</w:t>
      </w:r>
      <w:r>
        <w:rPr>
          <w:rFonts w:cs="Times New Roman"/>
          <w:sz w:val="26"/>
          <w:szCs w:val="26"/>
          <w:lang w:val="en-GB"/>
        </w:rPr>
        <w:tab/>
      </w:r>
      <w:r w:rsidR="002E1F31">
        <w:rPr>
          <w:rFonts w:cs="Times New Roman"/>
          <w:sz w:val="26"/>
          <w:szCs w:val="26"/>
          <w:lang w:val="en-GB"/>
        </w:rPr>
        <w:t>Mr Ferreira’s answer</w:t>
      </w:r>
      <w:r w:rsidR="004B0DB5">
        <w:rPr>
          <w:rFonts w:cs="Times New Roman"/>
          <w:sz w:val="26"/>
          <w:szCs w:val="26"/>
          <w:lang w:val="en-GB"/>
        </w:rPr>
        <w:t>s are</w:t>
      </w:r>
      <w:r w:rsidR="002E1F31">
        <w:rPr>
          <w:rFonts w:cs="Times New Roman"/>
          <w:sz w:val="26"/>
          <w:szCs w:val="26"/>
          <w:lang w:val="en-GB"/>
        </w:rPr>
        <w:t xml:space="preserve"> not satisfactory.  However, this is not a reason to wind-up the respondent.  If the applicant is dissatisfied with Mr Ferreira’s management of the respondent (or mismanagement) or Mr Ferreira’s failure to adhere to </w:t>
      </w:r>
      <w:r w:rsidR="004B0DB5">
        <w:rPr>
          <w:rFonts w:cs="Times New Roman"/>
          <w:sz w:val="26"/>
          <w:szCs w:val="26"/>
          <w:lang w:val="en-GB"/>
        </w:rPr>
        <w:t xml:space="preserve">sound </w:t>
      </w:r>
      <w:r w:rsidR="002E1F31">
        <w:rPr>
          <w:rFonts w:cs="Times New Roman"/>
          <w:sz w:val="26"/>
          <w:szCs w:val="26"/>
          <w:lang w:val="en-GB"/>
        </w:rPr>
        <w:t xml:space="preserve">corporate governance prescripts, </w:t>
      </w:r>
      <w:r w:rsidR="004B0DB5">
        <w:rPr>
          <w:rFonts w:cs="Times New Roman"/>
          <w:sz w:val="26"/>
          <w:szCs w:val="26"/>
          <w:lang w:val="en-GB"/>
        </w:rPr>
        <w:t xml:space="preserve">his remedies lie in </w:t>
      </w:r>
      <w:r w:rsidR="002E1F31">
        <w:rPr>
          <w:rFonts w:cs="Times New Roman"/>
          <w:sz w:val="26"/>
          <w:szCs w:val="26"/>
          <w:lang w:val="en-GB"/>
        </w:rPr>
        <w:t xml:space="preserve">the </w:t>
      </w:r>
      <w:r w:rsidR="004B0DB5">
        <w:rPr>
          <w:rFonts w:cs="Times New Roman"/>
          <w:sz w:val="26"/>
          <w:szCs w:val="26"/>
          <w:lang w:val="en-GB"/>
        </w:rPr>
        <w:t>C</w:t>
      </w:r>
      <w:r w:rsidR="002E1F31">
        <w:rPr>
          <w:rFonts w:cs="Times New Roman"/>
          <w:sz w:val="26"/>
          <w:szCs w:val="26"/>
          <w:lang w:val="en-GB"/>
        </w:rPr>
        <w:t>ompan</w:t>
      </w:r>
      <w:r w:rsidR="00143614">
        <w:rPr>
          <w:rFonts w:cs="Times New Roman"/>
          <w:sz w:val="26"/>
          <w:szCs w:val="26"/>
          <w:lang w:val="en-GB"/>
        </w:rPr>
        <w:t>ies</w:t>
      </w:r>
      <w:r w:rsidR="002E1F31">
        <w:rPr>
          <w:rFonts w:cs="Times New Roman"/>
          <w:sz w:val="26"/>
          <w:szCs w:val="26"/>
          <w:lang w:val="en-GB"/>
        </w:rPr>
        <w:t xml:space="preserve"> </w:t>
      </w:r>
      <w:r w:rsidR="004B0DB5">
        <w:rPr>
          <w:rFonts w:cs="Times New Roman"/>
          <w:sz w:val="26"/>
          <w:szCs w:val="26"/>
          <w:lang w:val="en-GB"/>
        </w:rPr>
        <w:t xml:space="preserve">Act, 2008.  For instance, he has a right to demand the holding of shareholder meetings.  Shareholders also have the right to remove directors.  The complaints directed against Mr Ferreira can be addressed without having to resort to winding-up the respondent.  </w:t>
      </w:r>
    </w:p>
    <w:p w14:paraId="2EF4A7ED" w14:textId="77777777" w:rsidR="004429F5" w:rsidRDefault="004429F5" w:rsidP="004429F5">
      <w:pPr>
        <w:spacing w:before="100" w:after="40" w:line="360" w:lineRule="auto"/>
        <w:jc w:val="both"/>
        <w:rPr>
          <w:rFonts w:cs="Times New Roman"/>
          <w:sz w:val="26"/>
          <w:szCs w:val="26"/>
          <w:lang w:val="en-GB"/>
        </w:rPr>
      </w:pPr>
    </w:p>
    <w:p w14:paraId="5AD2B9FB" w14:textId="76EB2633" w:rsidR="004B0DB5" w:rsidRPr="004B0DB5" w:rsidRDefault="004B0DB5" w:rsidP="004B0DB5">
      <w:pPr>
        <w:spacing w:before="100" w:after="40" w:line="360" w:lineRule="auto"/>
        <w:jc w:val="both"/>
        <w:rPr>
          <w:rFonts w:cs="Times New Roman"/>
          <w:b/>
          <w:bCs/>
          <w:sz w:val="26"/>
          <w:szCs w:val="26"/>
          <w:lang w:val="en-GB"/>
        </w:rPr>
      </w:pPr>
      <w:r>
        <w:rPr>
          <w:rFonts w:cs="Times New Roman"/>
          <w:b/>
          <w:bCs/>
          <w:sz w:val="26"/>
          <w:szCs w:val="26"/>
          <w:lang w:val="en-GB"/>
        </w:rPr>
        <w:lastRenderedPageBreak/>
        <w:t>Conclusion</w:t>
      </w:r>
    </w:p>
    <w:p w14:paraId="509FFE9A" w14:textId="333F6842" w:rsidR="008138AE"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48.</w:t>
      </w:r>
      <w:r>
        <w:rPr>
          <w:rFonts w:cs="Times New Roman"/>
          <w:sz w:val="26"/>
          <w:szCs w:val="26"/>
          <w:lang w:val="en-GB"/>
        </w:rPr>
        <w:tab/>
      </w:r>
      <w:r w:rsidR="002E1F31">
        <w:rPr>
          <w:rFonts w:cs="Times New Roman"/>
          <w:sz w:val="26"/>
          <w:szCs w:val="26"/>
          <w:lang w:val="en-GB"/>
        </w:rPr>
        <w:t xml:space="preserve">I am not persuaded that it is just and equitable to wind-up the respondent </w:t>
      </w:r>
      <w:r w:rsidR="004B0DB5">
        <w:rPr>
          <w:rFonts w:cs="Times New Roman"/>
          <w:sz w:val="26"/>
          <w:szCs w:val="26"/>
          <w:lang w:val="en-GB"/>
        </w:rPr>
        <w:t xml:space="preserve">be it in terms of section </w:t>
      </w:r>
      <w:r w:rsidR="002E1F31">
        <w:rPr>
          <w:rFonts w:cs="Times New Roman"/>
          <w:sz w:val="26"/>
          <w:szCs w:val="26"/>
          <w:lang w:val="en-GB"/>
        </w:rPr>
        <w:t>81(1)(d)(iii)</w:t>
      </w:r>
      <w:r w:rsidR="004B0DB5">
        <w:rPr>
          <w:rFonts w:cs="Times New Roman"/>
          <w:sz w:val="26"/>
          <w:szCs w:val="26"/>
          <w:lang w:val="en-GB"/>
        </w:rPr>
        <w:t xml:space="preserve"> of the Companies Act, 2008 or section 344 (h) </w:t>
      </w:r>
      <w:r w:rsidR="00493DC8">
        <w:rPr>
          <w:rFonts w:cs="Times New Roman"/>
          <w:sz w:val="26"/>
          <w:szCs w:val="26"/>
          <w:lang w:val="en-GB"/>
        </w:rPr>
        <w:t xml:space="preserve">of the Companies Act, Act No 61 of 1973 </w:t>
      </w:r>
      <w:r w:rsidR="004B0DB5">
        <w:rPr>
          <w:rFonts w:cs="Times New Roman"/>
          <w:sz w:val="26"/>
          <w:szCs w:val="26"/>
          <w:lang w:val="en-GB"/>
        </w:rPr>
        <w:t>read with section 345</w:t>
      </w:r>
      <w:r w:rsidR="00493DC8">
        <w:rPr>
          <w:rFonts w:cs="Times New Roman"/>
          <w:sz w:val="26"/>
          <w:szCs w:val="26"/>
          <w:lang w:val="en-GB"/>
        </w:rPr>
        <w:t xml:space="preserve"> thereof</w:t>
      </w:r>
      <w:r w:rsidR="004B0DB5">
        <w:rPr>
          <w:rFonts w:cs="Times New Roman"/>
          <w:sz w:val="26"/>
          <w:szCs w:val="26"/>
          <w:lang w:val="en-GB"/>
        </w:rPr>
        <w:t>.</w:t>
      </w:r>
      <w:r w:rsidR="002E1F31">
        <w:rPr>
          <w:rFonts w:cs="Times New Roman"/>
          <w:sz w:val="26"/>
          <w:szCs w:val="26"/>
          <w:lang w:val="en-GB"/>
        </w:rPr>
        <w:t xml:space="preserve">  </w:t>
      </w:r>
    </w:p>
    <w:p w14:paraId="49296A38" w14:textId="31BAFB6B" w:rsidR="00425A07" w:rsidRPr="00425A07" w:rsidRDefault="00425A07" w:rsidP="00425A07">
      <w:pPr>
        <w:spacing w:before="100" w:after="40" w:line="360" w:lineRule="auto"/>
        <w:jc w:val="both"/>
        <w:rPr>
          <w:rFonts w:cs="Times New Roman"/>
          <w:b/>
          <w:bCs/>
          <w:sz w:val="26"/>
          <w:szCs w:val="26"/>
          <w:lang w:val="en-GB"/>
        </w:rPr>
      </w:pPr>
      <w:r>
        <w:rPr>
          <w:rFonts w:cs="Times New Roman"/>
          <w:b/>
          <w:bCs/>
          <w:sz w:val="26"/>
          <w:szCs w:val="26"/>
          <w:lang w:val="en-GB"/>
        </w:rPr>
        <w:t xml:space="preserve">Order </w:t>
      </w:r>
    </w:p>
    <w:p w14:paraId="4748A7A3" w14:textId="57354FB3" w:rsidR="002E1F31" w:rsidRDefault="004200A4" w:rsidP="004200A4">
      <w:pPr>
        <w:spacing w:before="100" w:after="40" w:line="360" w:lineRule="auto"/>
        <w:ind w:left="567" w:hanging="567"/>
        <w:jc w:val="both"/>
        <w:rPr>
          <w:rFonts w:cs="Times New Roman"/>
          <w:sz w:val="26"/>
          <w:szCs w:val="26"/>
          <w:lang w:val="en-GB"/>
        </w:rPr>
      </w:pPr>
      <w:r>
        <w:rPr>
          <w:rFonts w:cs="Times New Roman"/>
          <w:sz w:val="26"/>
          <w:szCs w:val="26"/>
          <w:lang w:val="en-GB"/>
        </w:rPr>
        <w:t>49.</w:t>
      </w:r>
      <w:r>
        <w:rPr>
          <w:rFonts w:cs="Times New Roman"/>
          <w:sz w:val="26"/>
          <w:szCs w:val="26"/>
          <w:lang w:val="en-GB"/>
        </w:rPr>
        <w:tab/>
      </w:r>
      <w:r w:rsidR="002E1F31">
        <w:rPr>
          <w:rFonts w:cs="Times New Roman"/>
          <w:sz w:val="26"/>
          <w:szCs w:val="26"/>
          <w:lang w:val="en-GB"/>
        </w:rPr>
        <w:t>Consequently, I make the following order:</w:t>
      </w:r>
    </w:p>
    <w:p w14:paraId="025820DB" w14:textId="1670F0F8" w:rsidR="002E1F31" w:rsidRDefault="002E1F31" w:rsidP="002E1F31">
      <w:pPr>
        <w:spacing w:before="100" w:after="40" w:line="360" w:lineRule="auto"/>
        <w:ind w:left="567"/>
        <w:jc w:val="both"/>
        <w:rPr>
          <w:rFonts w:cs="Times New Roman"/>
          <w:sz w:val="26"/>
          <w:szCs w:val="26"/>
          <w:lang w:val="en-GB"/>
        </w:rPr>
      </w:pPr>
      <w:r>
        <w:rPr>
          <w:rFonts w:cs="Times New Roman"/>
          <w:sz w:val="26"/>
          <w:szCs w:val="26"/>
          <w:lang w:val="en-GB"/>
        </w:rPr>
        <w:t>The application is dismissed with costs.</w:t>
      </w:r>
    </w:p>
    <w:p w14:paraId="3FECF11E" w14:textId="77777777" w:rsidR="004429F5" w:rsidRDefault="004429F5" w:rsidP="002E1F31">
      <w:pPr>
        <w:spacing w:before="100" w:after="40" w:line="360" w:lineRule="auto"/>
        <w:ind w:left="567"/>
        <w:jc w:val="both"/>
        <w:rPr>
          <w:rFonts w:cs="Times New Roman"/>
          <w:sz w:val="26"/>
          <w:szCs w:val="26"/>
          <w:lang w:val="en-GB"/>
        </w:rPr>
      </w:pPr>
    </w:p>
    <w:p w14:paraId="78033F55" w14:textId="77777777" w:rsidR="000213E7" w:rsidRPr="00361BEB" w:rsidRDefault="000213E7" w:rsidP="000213E7">
      <w:pPr>
        <w:spacing w:after="0" w:line="240" w:lineRule="auto"/>
        <w:ind w:left="1429"/>
        <w:jc w:val="right"/>
        <w:rPr>
          <w:rFonts w:eastAsia="Calibri"/>
          <w:color w:val="000000" w:themeColor="text1"/>
          <w:sz w:val="26"/>
          <w:szCs w:val="26"/>
          <w:lang w:val="af-ZA"/>
        </w:rPr>
      </w:pPr>
      <w:r w:rsidRPr="00361BEB">
        <w:rPr>
          <w:rFonts w:eastAsia="Calibri"/>
          <w:color w:val="000000" w:themeColor="text1"/>
          <w:sz w:val="26"/>
          <w:szCs w:val="26"/>
          <w:lang w:val="af-ZA"/>
        </w:rPr>
        <w:t>_________________________________</w:t>
      </w:r>
    </w:p>
    <w:p w14:paraId="2FA19D63" w14:textId="77777777" w:rsidR="000213E7" w:rsidRPr="00361BEB" w:rsidRDefault="000213E7" w:rsidP="000213E7">
      <w:pPr>
        <w:spacing w:after="0" w:line="240" w:lineRule="auto"/>
        <w:ind w:left="1429"/>
        <w:jc w:val="right"/>
        <w:rPr>
          <w:rFonts w:eastAsia="Calibri"/>
          <w:b/>
          <w:color w:val="000000" w:themeColor="text1"/>
          <w:sz w:val="26"/>
          <w:szCs w:val="26"/>
          <w:lang w:val="af-ZA"/>
        </w:rPr>
      </w:pPr>
      <w:r w:rsidRPr="00361BEB">
        <w:rPr>
          <w:rFonts w:eastAsia="Calibri"/>
          <w:b/>
          <w:color w:val="000000" w:themeColor="text1"/>
          <w:sz w:val="26"/>
          <w:szCs w:val="26"/>
          <w:lang w:val="af-ZA"/>
        </w:rPr>
        <w:t>S K HASSIM AJ</w:t>
      </w:r>
    </w:p>
    <w:p w14:paraId="661F9C08" w14:textId="77777777" w:rsidR="000213E7" w:rsidRPr="00361BEB" w:rsidRDefault="000213E7" w:rsidP="000213E7">
      <w:pPr>
        <w:spacing w:after="0" w:line="240" w:lineRule="auto"/>
        <w:ind w:left="1429"/>
        <w:jc w:val="right"/>
        <w:rPr>
          <w:rFonts w:eastAsia="Calibri"/>
          <w:color w:val="000000" w:themeColor="text1"/>
          <w:sz w:val="26"/>
          <w:szCs w:val="26"/>
          <w:lang w:val="af-ZA"/>
        </w:rPr>
      </w:pPr>
      <w:r w:rsidRPr="00361BEB">
        <w:rPr>
          <w:rFonts w:eastAsia="Calibri"/>
          <w:color w:val="000000" w:themeColor="text1"/>
          <w:sz w:val="26"/>
          <w:szCs w:val="26"/>
          <w:lang w:val="af-ZA"/>
        </w:rPr>
        <w:t>Acting Judge: Gauteng Division, Pretoria</w:t>
      </w:r>
    </w:p>
    <w:p w14:paraId="65B1BA2B" w14:textId="77777777" w:rsidR="000213E7" w:rsidRPr="00361BEB" w:rsidRDefault="000213E7" w:rsidP="000213E7">
      <w:pPr>
        <w:spacing w:after="0" w:line="240" w:lineRule="auto"/>
        <w:ind w:left="1429"/>
        <w:jc w:val="right"/>
        <w:rPr>
          <w:rFonts w:eastAsia="Calibri"/>
          <w:color w:val="000000" w:themeColor="text1"/>
          <w:sz w:val="26"/>
          <w:szCs w:val="26"/>
          <w:lang w:val="af-ZA"/>
        </w:rPr>
      </w:pPr>
      <w:r w:rsidRPr="00361BEB">
        <w:rPr>
          <w:rFonts w:eastAsia="Calibri"/>
          <w:color w:val="000000" w:themeColor="text1"/>
          <w:sz w:val="26"/>
          <w:szCs w:val="26"/>
          <w:lang w:val="af-ZA"/>
        </w:rPr>
        <w:t>(electronic signature appended)</w:t>
      </w:r>
    </w:p>
    <w:p w14:paraId="6E3FE699" w14:textId="77777777" w:rsidR="000213E7" w:rsidRPr="00361BEB" w:rsidRDefault="000213E7" w:rsidP="000213E7">
      <w:pPr>
        <w:pStyle w:val="ListParagraph"/>
        <w:spacing w:after="0" w:line="240" w:lineRule="auto"/>
        <w:ind w:left="6620"/>
        <w:contextualSpacing w:val="0"/>
        <w:jc w:val="right"/>
        <w:rPr>
          <w:rFonts w:eastAsia="Calibri"/>
          <w:color w:val="000000" w:themeColor="text1"/>
          <w:sz w:val="26"/>
          <w:szCs w:val="26"/>
          <w:lang w:val="af-ZA"/>
        </w:rPr>
      </w:pPr>
    </w:p>
    <w:p w14:paraId="247E79C3" w14:textId="606B0A98" w:rsidR="000213E7" w:rsidRDefault="000213E7" w:rsidP="000213E7">
      <w:pPr>
        <w:tabs>
          <w:tab w:val="left" w:pos="1843"/>
        </w:tabs>
        <w:spacing w:before="240" w:line="240" w:lineRule="auto"/>
        <w:jc w:val="both"/>
        <w:rPr>
          <w:rFonts w:eastAsia="Arial Unicode MS" w:cs="Times New Roman"/>
          <w:bCs/>
          <w:color w:val="000000" w:themeColor="text1"/>
          <w:sz w:val="24"/>
          <w:szCs w:val="24"/>
        </w:rPr>
      </w:pPr>
      <w:r w:rsidRPr="00361BEB">
        <w:rPr>
          <w:rFonts w:eastAsia="Arial Unicode MS" w:cs="Times New Roman"/>
          <w:bCs/>
          <w:color w:val="000000" w:themeColor="text1"/>
          <w:sz w:val="24"/>
          <w:szCs w:val="24"/>
        </w:rPr>
        <w:t xml:space="preserve">This judgment was prepared and authored by the Judge whose name is reflected and is handed down electronically by circulation to the </w:t>
      </w:r>
      <w:r>
        <w:rPr>
          <w:rFonts w:eastAsia="Arial Unicode MS" w:cs="Times New Roman"/>
          <w:bCs/>
          <w:color w:val="000000" w:themeColor="text1"/>
          <w:sz w:val="24"/>
          <w:szCs w:val="24"/>
        </w:rPr>
        <w:t>parties’</w:t>
      </w:r>
      <w:r w:rsidRPr="00361BEB">
        <w:rPr>
          <w:rFonts w:eastAsia="Arial Unicode MS" w:cs="Times New Roman"/>
          <w:bCs/>
          <w:color w:val="000000" w:themeColor="text1"/>
          <w:sz w:val="24"/>
          <w:szCs w:val="24"/>
        </w:rPr>
        <w:t xml:space="preserve"> legal representatives by e</w:t>
      </w:r>
      <w:r>
        <w:rPr>
          <w:rFonts w:eastAsia="Arial Unicode MS" w:cs="Times New Roman"/>
          <w:bCs/>
          <w:color w:val="000000" w:themeColor="text1"/>
          <w:sz w:val="24"/>
          <w:szCs w:val="24"/>
        </w:rPr>
        <w:t>-</w:t>
      </w:r>
      <w:r w:rsidRPr="00361BEB">
        <w:rPr>
          <w:rFonts w:eastAsia="Arial Unicode MS" w:cs="Times New Roman"/>
          <w:bCs/>
          <w:color w:val="000000" w:themeColor="text1"/>
          <w:sz w:val="24"/>
          <w:szCs w:val="24"/>
        </w:rPr>
        <w:t xml:space="preserve">mail and by uploading it to the electronic file of this matter on CaseLines.  The date for hand-down is deemed to be </w:t>
      </w:r>
      <w:r w:rsidR="00990E68">
        <w:rPr>
          <w:rFonts w:eastAsia="Arial Unicode MS" w:cs="Times New Roman"/>
          <w:bCs/>
          <w:color w:val="000000" w:themeColor="text1"/>
          <w:sz w:val="24"/>
          <w:szCs w:val="24"/>
        </w:rPr>
        <w:t>28</w:t>
      </w:r>
      <w:r>
        <w:rPr>
          <w:rFonts w:eastAsia="Arial Unicode MS" w:cs="Times New Roman"/>
          <w:bCs/>
          <w:color w:val="000000" w:themeColor="text1"/>
          <w:sz w:val="24"/>
          <w:szCs w:val="24"/>
        </w:rPr>
        <w:t xml:space="preserve"> Ju</w:t>
      </w:r>
      <w:r w:rsidR="00B43FB4">
        <w:rPr>
          <w:rFonts w:eastAsia="Arial Unicode MS" w:cs="Times New Roman"/>
          <w:bCs/>
          <w:color w:val="000000" w:themeColor="text1"/>
          <w:sz w:val="24"/>
          <w:szCs w:val="24"/>
        </w:rPr>
        <w:t xml:space="preserve">ly </w:t>
      </w:r>
      <w:r>
        <w:rPr>
          <w:rFonts w:eastAsia="Arial Unicode MS" w:cs="Times New Roman"/>
          <w:bCs/>
          <w:color w:val="000000" w:themeColor="text1"/>
          <w:sz w:val="24"/>
          <w:szCs w:val="24"/>
        </w:rPr>
        <w:t>2023</w:t>
      </w:r>
      <w:r w:rsidRPr="00361BEB">
        <w:rPr>
          <w:rFonts w:eastAsia="Arial Unicode MS" w:cs="Times New Roman"/>
          <w:bCs/>
          <w:color w:val="000000" w:themeColor="text1"/>
          <w:sz w:val="24"/>
          <w:szCs w:val="24"/>
        </w:rPr>
        <w:t>.</w:t>
      </w:r>
    </w:p>
    <w:p w14:paraId="33B4E8CF" w14:textId="77777777" w:rsidR="000213E7" w:rsidRDefault="000213E7" w:rsidP="000213E7">
      <w:pPr>
        <w:tabs>
          <w:tab w:val="left" w:pos="1560"/>
          <w:tab w:val="left" w:pos="1843"/>
        </w:tabs>
        <w:spacing w:before="100" w:after="40" w:line="480" w:lineRule="auto"/>
        <w:ind w:left="1440"/>
        <w:jc w:val="both"/>
        <w:rPr>
          <w:rFonts w:cs="Times New Roman"/>
          <w:sz w:val="26"/>
          <w:szCs w:val="26"/>
          <w:lang w:val="en-GB"/>
        </w:rPr>
      </w:pPr>
    </w:p>
    <w:p w14:paraId="20D0BDBC" w14:textId="1D9A7B95" w:rsidR="00487A26" w:rsidRDefault="00487A26" w:rsidP="00487A26">
      <w:pPr>
        <w:tabs>
          <w:tab w:val="left" w:pos="1560"/>
          <w:tab w:val="left" w:pos="1843"/>
        </w:tabs>
        <w:spacing w:before="100" w:after="40" w:line="480" w:lineRule="auto"/>
        <w:jc w:val="both"/>
        <w:rPr>
          <w:rFonts w:cs="Times New Roman"/>
          <w:sz w:val="26"/>
          <w:szCs w:val="26"/>
          <w:lang w:val="en-GB"/>
        </w:rPr>
      </w:pPr>
      <w:r>
        <w:rPr>
          <w:rFonts w:cs="Times New Roman"/>
          <w:sz w:val="26"/>
          <w:szCs w:val="26"/>
          <w:lang w:val="en-GB"/>
        </w:rPr>
        <w:t>Date of Hearing:</w:t>
      </w:r>
      <w:r>
        <w:rPr>
          <w:rFonts w:cs="Times New Roman"/>
          <w:sz w:val="26"/>
          <w:szCs w:val="26"/>
          <w:lang w:val="en-GB"/>
        </w:rPr>
        <w:tab/>
      </w:r>
      <w:r>
        <w:rPr>
          <w:rFonts w:cs="Times New Roman"/>
          <w:sz w:val="26"/>
          <w:szCs w:val="26"/>
          <w:lang w:val="en-GB"/>
        </w:rPr>
        <w:tab/>
      </w:r>
      <w:r>
        <w:rPr>
          <w:rFonts w:cs="Times New Roman"/>
          <w:sz w:val="26"/>
          <w:szCs w:val="26"/>
          <w:lang w:val="en-GB"/>
        </w:rPr>
        <w:tab/>
        <w:t>8 Ma</w:t>
      </w:r>
      <w:r w:rsidR="00B43FB4">
        <w:rPr>
          <w:rFonts w:cs="Times New Roman"/>
          <w:sz w:val="26"/>
          <w:szCs w:val="26"/>
          <w:lang w:val="en-GB"/>
        </w:rPr>
        <w:t>y</w:t>
      </w:r>
      <w:r>
        <w:rPr>
          <w:rFonts w:cs="Times New Roman"/>
          <w:sz w:val="26"/>
          <w:szCs w:val="26"/>
          <w:lang w:val="en-GB"/>
        </w:rPr>
        <w:t xml:space="preserve"> 2023</w:t>
      </w:r>
    </w:p>
    <w:p w14:paraId="6FF4BE49" w14:textId="6DED61F2" w:rsidR="00487A26" w:rsidRDefault="00487A26" w:rsidP="00487A26">
      <w:pPr>
        <w:tabs>
          <w:tab w:val="left" w:pos="1560"/>
          <w:tab w:val="left" w:pos="1843"/>
        </w:tabs>
        <w:spacing w:before="100" w:after="40" w:line="480" w:lineRule="auto"/>
        <w:jc w:val="both"/>
        <w:rPr>
          <w:rFonts w:cs="Times New Roman"/>
          <w:sz w:val="26"/>
          <w:szCs w:val="26"/>
          <w:lang w:val="en-GB"/>
        </w:rPr>
      </w:pPr>
      <w:r>
        <w:rPr>
          <w:rFonts w:cs="Times New Roman"/>
          <w:sz w:val="26"/>
          <w:szCs w:val="26"/>
          <w:lang w:val="en-GB"/>
        </w:rPr>
        <w:t>Applicant’s Counsel:</w:t>
      </w:r>
      <w:r>
        <w:rPr>
          <w:rFonts w:cs="Times New Roman"/>
          <w:sz w:val="26"/>
          <w:szCs w:val="26"/>
          <w:lang w:val="en-GB"/>
        </w:rPr>
        <w:tab/>
        <w:t xml:space="preserve">Adv </w:t>
      </w:r>
      <w:r w:rsidR="00990E68">
        <w:rPr>
          <w:rFonts w:cs="Times New Roman"/>
          <w:sz w:val="26"/>
          <w:szCs w:val="26"/>
          <w:lang w:val="en-GB"/>
        </w:rPr>
        <w:t xml:space="preserve">J H Lerm </w:t>
      </w:r>
    </w:p>
    <w:p w14:paraId="0A16A4DF" w14:textId="4CFE0415" w:rsidR="00487A26" w:rsidRPr="00487A26" w:rsidRDefault="00487A26" w:rsidP="00487A26">
      <w:pPr>
        <w:tabs>
          <w:tab w:val="left" w:pos="1560"/>
          <w:tab w:val="left" w:pos="1843"/>
        </w:tabs>
        <w:spacing w:before="100" w:after="40" w:line="480" w:lineRule="auto"/>
        <w:jc w:val="both"/>
        <w:rPr>
          <w:rFonts w:cs="Times New Roman"/>
          <w:sz w:val="26"/>
          <w:szCs w:val="26"/>
          <w:lang w:val="en-GB"/>
        </w:rPr>
      </w:pPr>
      <w:r>
        <w:rPr>
          <w:rFonts w:cs="Times New Roman"/>
          <w:sz w:val="26"/>
          <w:szCs w:val="26"/>
          <w:lang w:val="en-GB"/>
        </w:rPr>
        <w:t>Respondent’s Counsel</w:t>
      </w:r>
      <w:r>
        <w:rPr>
          <w:rFonts w:cs="Times New Roman"/>
          <w:sz w:val="26"/>
          <w:szCs w:val="26"/>
          <w:lang w:val="en-GB"/>
        </w:rPr>
        <w:tab/>
        <w:t xml:space="preserve">Adv </w:t>
      </w:r>
      <w:r w:rsidR="00990E68">
        <w:rPr>
          <w:rFonts w:cs="Times New Roman"/>
          <w:sz w:val="26"/>
          <w:szCs w:val="26"/>
          <w:lang w:val="en-GB"/>
        </w:rPr>
        <w:t>S L P Mulligan</w:t>
      </w:r>
    </w:p>
    <w:sectPr w:rsidR="00487A26" w:rsidRPr="00487A26" w:rsidSect="0044604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8CA3" w14:textId="77777777" w:rsidR="002817BB" w:rsidRDefault="002817BB" w:rsidP="00BC30E8">
      <w:pPr>
        <w:spacing w:after="0" w:line="240" w:lineRule="auto"/>
      </w:pPr>
      <w:r>
        <w:separator/>
      </w:r>
    </w:p>
  </w:endnote>
  <w:endnote w:type="continuationSeparator" w:id="0">
    <w:p w14:paraId="252A9ED8" w14:textId="77777777" w:rsidR="002817BB" w:rsidRDefault="002817BB" w:rsidP="00BC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BDFF" w14:textId="77777777" w:rsidR="002817BB" w:rsidRDefault="002817BB" w:rsidP="00BC30E8">
      <w:pPr>
        <w:spacing w:after="0" w:line="240" w:lineRule="auto"/>
      </w:pPr>
      <w:r>
        <w:separator/>
      </w:r>
    </w:p>
  </w:footnote>
  <w:footnote w:type="continuationSeparator" w:id="0">
    <w:p w14:paraId="3EC48B00" w14:textId="77777777" w:rsidR="002817BB" w:rsidRDefault="002817BB" w:rsidP="00BC30E8">
      <w:pPr>
        <w:spacing w:after="0" w:line="240" w:lineRule="auto"/>
      </w:pPr>
      <w:r>
        <w:continuationSeparator/>
      </w:r>
    </w:p>
  </w:footnote>
  <w:footnote w:id="1">
    <w:p w14:paraId="2D116F0E" w14:textId="0E3141DE" w:rsidR="009D31B7" w:rsidRPr="002726AE" w:rsidRDefault="009D31B7" w:rsidP="00013A41">
      <w:pPr>
        <w:pStyle w:val="FootnoteText"/>
        <w:ind w:left="567" w:hanging="567"/>
        <w:rPr>
          <w:lang w:val="en-GB"/>
        </w:rPr>
      </w:pPr>
      <w:r>
        <w:rPr>
          <w:rStyle w:val="FootnoteReference"/>
        </w:rPr>
        <w:footnoteRef/>
      </w:r>
      <w:r>
        <w:t xml:space="preserve"> </w:t>
      </w:r>
      <w:r>
        <w:rPr>
          <w:lang w:val="en-GB"/>
        </w:rPr>
        <w:tab/>
        <w:t>The total amount outstanding being R27 058.86.  R25 628.88 of that was outstanding for more than 90 days</w:t>
      </w:r>
      <w:r w:rsidR="003F3DDC">
        <w:rPr>
          <w:lang w:val="en-GB"/>
        </w:rPr>
        <w:t>,</w:t>
      </w:r>
      <w:r>
        <w:rPr>
          <w:lang w:val="en-GB"/>
        </w:rPr>
        <w:t xml:space="preserve"> and R1 053.71</w:t>
      </w:r>
      <w:r w:rsidR="003F3DDC">
        <w:rPr>
          <w:lang w:val="en-GB"/>
        </w:rPr>
        <w:t xml:space="preserve"> for</w:t>
      </w:r>
      <w:r>
        <w:rPr>
          <w:lang w:val="en-GB"/>
        </w:rPr>
        <w:t xml:space="preserve"> between 30 day</w:t>
      </w:r>
      <w:r w:rsidR="003F3DDC">
        <w:rPr>
          <w:lang w:val="en-GB"/>
        </w:rPr>
        <w:t>s</w:t>
      </w:r>
      <w:r>
        <w:rPr>
          <w:lang w:val="en-GB"/>
        </w:rPr>
        <w:t xml:space="preserve"> and 90 days.  </w:t>
      </w:r>
    </w:p>
  </w:footnote>
  <w:footnote w:id="2">
    <w:p w14:paraId="3EFC9F74" w14:textId="29288B8B" w:rsidR="00C57852" w:rsidRPr="00C57852" w:rsidRDefault="00C57852" w:rsidP="00013A41">
      <w:pPr>
        <w:pStyle w:val="FootnoteText"/>
        <w:tabs>
          <w:tab w:val="left" w:pos="567"/>
        </w:tabs>
        <w:ind w:left="567" w:hanging="567"/>
        <w:rPr>
          <w:lang w:val="en-GB"/>
        </w:rPr>
      </w:pPr>
      <w:r>
        <w:rPr>
          <w:rStyle w:val="FootnoteReference"/>
        </w:rPr>
        <w:footnoteRef/>
      </w:r>
      <w:r>
        <w:t xml:space="preserve"> </w:t>
      </w:r>
      <w:r>
        <w:rPr>
          <w:lang w:val="en-GB"/>
        </w:rPr>
        <w:tab/>
        <w:t>R650 000.00.</w:t>
      </w:r>
    </w:p>
  </w:footnote>
  <w:footnote w:id="3">
    <w:p w14:paraId="67CF6E3E" w14:textId="0AD90281" w:rsidR="00C57852" w:rsidRPr="00C57852" w:rsidRDefault="00C57852" w:rsidP="00013A41">
      <w:pPr>
        <w:pStyle w:val="FootnoteText"/>
        <w:tabs>
          <w:tab w:val="left" w:pos="567"/>
        </w:tabs>
        <w:ind w:left="567" w:hanging="567"/>
        <w:rPr>
          <w:lang w:val="en-GB"/>
        </w:rPr>
      </w:pPr>
      <w:r>
        <w:rPr>
          <w:rStyle w:val="FootnoteReference"/>
        </w:rPr>
        <w:footnoteRef/>
      </w:r>
      <w:r>
        <w:t xml:space="preserve"> </w:t>
      </w:r>
      <w:r>
        <w:rPr>
          <w:lang w:val="en-GB"/>
        </w:rPr>
        <w:tab/>
        <w:t>R1.5 million.</w:t>
      </w:r>
    </w:p>
  </w:footnote>
  <w:footnote w:id="4">
    <w:p w14:paraId="42E5F523" w14:textId="3E20434A" w:rsidR="00520DD1" w:rsidRPr="00520DD1" w:rsidRDefault="00520DD1" w:rsidP="00520DD1">
      <w:pPr>
        <w:pStyle w:val="FootnoteText"/>
        <w:tabs>
          <w:tab w:val="left" w:pos="567"/>
        </w:tabs>
        <w:rPr>
          <w:lang w:val="en-GB"/>
        </w:rPr>
      </w:pPr>
      <w:r>
        <w:rPr>
          <w:rStyle w:val="FootnoteReference"/>
        </w:rPr>
        <w:footnoteRef/>
      </w:r>
      <w:r>
        <w:t xml:space="preserve"> </w:t>
      </w:r>
      <w:r>
        <w:rPr>
          <w:lang w:val="en-GB"/>
        </w:rPr>
        <w:tab/>
        <w:t>R10 million.</w:t>
      </w:r>
    </w:p>
  </w:footnote>
  <w:footnote w:id="5">
    <w:p w14:paraId="4D6AAC9F" w14:textId="35EF1574" w:rsidR="00211F69" w:rsidRPr="00211F69" w:rsidRDefault="00211F69" w:rsidP="00013A41">
      <w:pPr>
        <w:pStyle w:val="FootnoteText"/>
        <w:ind w:left="567" w:hanging="567"/>
        <w:rPr>
          <w:lang w:val="en-GB"/>
        </w:rPr>
      </w:pPr>
      <w:r>
        <w:rPr>
          <w:rStyle w:val="FootnoteReference"/>
        </w:rPr>
        <w:footnoteRef/>
      </w:r>
      <w:r>
        <w:t xml:space="preserve"> </w:t>
      </w:r>
      <w:r>
        <w:rPr>
          <w:lang w:val="en-GB"/>
        </w:rPr>
        <w:tab/>
      </w:r>
      <w:r w:rsidRPr="00D52593">
        <w:rPr>
          <w:i/>
          <w:iCs/>
          <w:lang w:val="en-GB"/>
        </w:rPr>
        <w:t>Holzman NO and Another v Knights Engineering and Precision Works (Pty) Ltd</w:t>
      </w:r>
      <w:r w:rsidRPr="00356A4E">
        <w:rPr>
          <w:lang w:val="en-GB"/>
        </w:rPr>
        <w:t xml:space="preserve"> 1979 (2) SA 784 (W)</w:t>
      </w:r>
      <w:r>
        <w:rPr>
          <w:lang w:val="en-GB"/>
        </w:rPr>
        <w:t xml:space="preserve"> at 786F.</w:t>
      </w:r>
    </w:p>
  </w:footnote>
  <w:footnote w:id="6">
    <w:p w14:paraId="73EC0AFE" w14:textId="4E0A4580" w:rsidR="00211F69" w:rsidRPr="00211F69" w:rsidRDefault="00211F69" w:rsidP="00013A41">
      <w:pPr>
        <w:pStyle w:val="FootnoteText"/>
        <w:ind w:left="567" w:hanging="567"/>
        <w:rPr>
          <w:lang w:val="en-GB"/>
        </w:rPr>
      </w:pPr>
      <w:r>
        <w:rPr>
          <w:rStyle w:val="FootnoteReference"/>
        </w:rPr>
        <w:footnoteRef/>
      </w:r>
      <w:r>
        <w:t xml:space="preserve"> </w:t>
      </w:r>
      <w:r>
        <w:rPr>
          <w:lang w:val="en-GB"/>
        </w:rPr>
        <w:tab/>
        <w:t>Siboneseng.</w:t>
      </w:r>
    </w:p>
  </w:footnote>
  <w:footnote w:id="7">
    <w:p w14:paraId="773E66C7" w14:textId="4E70D850" w:rsidR="00356A4E" w:rsidRPr="00356A4E" w:rsidRDefault="00356A4E" w:rsidP="00013A41">
      <w:pPr>
        <w:pStyle w:val="FootnoteText"/>
        <w:ind w:left="567" w:hanging="567"/>
        <w:rPr>
          <w:lang w:val="en-GB"/>
        </w:rPr>
      </w:pPr>
      <w:r>
        <w:rPr>
          <w:rStyle w:val="FootnoteReference"/>
        </w:rPr>
        <w:footnoteRef/>
      </w:r>
      <w:r>
        <w:t xml:space="preserve"> </w:t>
      </w:r>
      <w:r>
        <w:rPr>
          <w:lang w:val="en-GB"/>
        </w:rPr>
        <w:tab/>
      </w:r>
      <w:r w:rsidR="00211F69" w:rsidRPr="004429F5">
        <w:rPr>
          <w:i/>
          <w:iCs/>
          <w:lang w:val="en-GB"/>
        </w:rPr>
        <w:t>Holzman NO and Another v Knights Engineering and Precision Work</w:t>
      </w:r>
      <w:r w:rsidR="00211F69">
        <w:rPr>
          <w:lang w:val="en-GB"/>
        </w:rPr>
        <w:t xml:space="preserve"> at 787E-F</w:t>
      </w:r>
    </w:p>
  </w:footnote>
  <w:footnote w:id="8">
    <w:p w14:paraId="7156EFB7" w14:textId="77777777" w:rsidR="00627E18" w:rsidRPr="00172CDF" w:rsidRDefault="00627E18" w:rsidP="00627E18">
      <w:pPr>
        <w:pStyle w:val="FootnoteText"/>
        <w:ind w:left="567" w:hanging="567"/>
        <w:rPr>
          <w:lang w:val="en-GB"/>
        </w:rPr>
      </w:pPr>
      <w:r>
        <w:rPr>
          <w:rStyle w:val="FootnoteReference"/>
        </w:rPr>
        <w:footnoteRef/>
      </w:r>
      <w:r>
        <w:t xml:space="preserve"> </w:t>
      </w:r>
      <w:r>
        <w:rPr>
          <w:lang w:val="en-GB"/>
        </w:rPr>
        <w:tab/>
      </w:r>
      <w:r>
        <w:rPr>
          <w:i/>
          <w:iCs/>
          <w:lang w:val="en-GB"/>
        </w:rPr>
        <w:t xml:space="preserve">ABSA Bank Ltd v Rhebokskloof (Pty) Ltd </w:t>
      </w:r>
      <w:r>
        <w:rPr>
          <w:lang w:val="en-GB"/>
        </w:rPr>
        <w:t>1993 (4) SA 436 (C) at 440F-441A.</w:t>
      </w:r>
    </w:p>
  </w:footnote>
  <w:footnote w:id="9">
    <w:p w14:paraId="27A384EA" w14:textId="5A2B087B" w:rsidR="00D43B00" w:rsidRPr="00D43B00" w:rsidRDefault="00D43B00" w:rsidP="00013A41">
      <w:pPr>
        <w:pStyle w:val="FootnoteText"/>
        <w:ind w:left="567" w:hanging="567"/>
        <w:rPr>
          <w:lang w:val="en-GB"/>
        </w:rPr>
      </w:pPr>
      <w:r>
        <w:rPr>
          <w:rStyle w:val="FootnoteReference"/>
        </w:rPr>
        <w:footnoteRef/>
      </w:r>
      <w:r>
        <w:t xml:space="preserve"> </w:t>
      </w:r>
      <w:r>
        <w:rPr>
          <w:lang w:val="en-GB"/>
        </w:rPr>
        <w:tab/>
        <w:t xml:space="preserve">Referred to in the e-mail as ‘OTP’ (i.e., presumably offer to purchase).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6"/>
        <w:szCs w:val="26"/>
      </w:rPr>
      <w:id w:val="-1318336367"/>
      <w:docPartObj>
        <w:docPartGallery w:val="Page Numbers (Top of Page)"/>
        <w:docPartUnique/>
      </w:docPartObj>
    </w:sdtPr>
    <w:sdtEndPr/>
    <w:sdtContent>
      <w:p w14:paraId="7CBA5325" w14:textId="0E8BAF62" w:rsidR="00446041" w:rsidRPr="00446041" w:rsidRDefault="00446041">
        <w:pPr>
          <w:pStyle w:val="Header"/>
          <w:jc w:val="right"/>
          <w:rPr>
            <w:rFonts w:cs="Times New Roman"/>
            <w:sz w:val="26"/>
            <w:szCs w:val="26"/>
          </w:rPr>
        </w:pPr>
        <w:r w:rsidRPr="00446041">
          <w:rPr>
            <w:rFonts w:cs="Times New Roman"/>
            <w:sz w:val="26"/>
            <w:szCs w:val="26"/>
          </w:rPr>
          <w:t xml:space="preserve">Page </w:t>
        </w:r>
        <w:r w:rsidRPr="00446041">
          <w:rPr>
            <w:rFonts w:cs="Times New Roman"/>
            <w:b/>
            <w:bCs/>
            <w:sz w:val="26"/>
            <w:szCs w:val="26"/>
          </w:rPr>
          <w:fldChar w:fldCharType="begin"/>
        </w:r>
        <w:r w:rsidRPr="00446041">
          <w:rPr>
            <w:rFonts w:cs="Times New Roman"/>
            <w:b/>
            <w:bCs/>
            <w:sz w:val="26"/>
            <w:szCs w:val="26"/>
          </w:rPr>
          <w:instrText xml:space="preserve"> PAGE </w:instrText>
        </w:r>
        <w:r w:rsidRPr="00446041">
          <w:rPr>
            <w:rFonts w:cs="Times New Roman"/>
            <w:b/>
            <w:bCs/>
            <w:sz w:val="26"/>
            <w:szCs w:val="26"/>
          </w:rPr>
          <w:fldChar w:fldCharType="separate"/>
        </w:r>
        <w:r w:rsidR="004200A4">
          <w:rPr>
            <w:rFonts w:cs="Times New Roman"/>
            <w:b/>
            <w:bCs/>
            <w:noProof/>
            <w:sz w:val="26"/>
            <w:szCs w:val="26"/>
          </w:rPr>
          <w:t>14</w:t>
        </w:r>
        <w:r w:rsidRPr="00446041">
          <w:rPr>
            <w:rFonts w:cs="Times New Roman"/>
            <w:b/>
            <w:bCs/>
            <w:sz w:val="26"/>
            <w:szCs w:val="26"/>
          </w:rPr>
          <w:fldChar w:fldCharType="end"/>
        </w:r>
        <w:r w:rsidRPr="00446041">
          <w:rPr>
            <w:rFonts w:cs="Times New Roman"/>
            <w:sz w:val="26"/>
            <w:szCs w:val="26"/>
          </w:rPr>
          <w:t xml:space="preserve"> of </w:t>
        </w:r>
        <w:r w:rsidRPr="00446041">
          <w:rPr>
            <w:rFonts w:cs="Times New Roman"/>
            <w:b/>
            <w:bCs/>
            <w:sz w:val="26"/>
            <w:szCs w:val="26"/>
          </w:rPr>
          <w:fldChar w:fldCharType="begin"/>
        </w:r>
        <w:r w:rsidRPr="00446041">
          <w:rPr>
            <w:rFonts w:cs="Times New Roman"/>
            <w:b/>
            <w:bCs/>
            <w:sz w:val="26"/>
            <w:szCs w:val="26"/>
          </w:rPr>
          <w:instrText xml:space="preserve"> NUMPAGES  </w:instrText>
        </w:r>
        <w:r w:rsidRPr="00446041">
          <w:rPr>
            <w:rFonts w:cs="Times New Roman"/>
            <w:b/>
            <w:bCs/>
            <w:sz w:val="26"/>
            <w:szCs w:val="26"/>
          </w:rPr>
          <w:fldChar w:fldCharType="separate"/>
        </w:r>
        <w:r w:rsidR="004200A4">
          <w:rPr>
            <w:rFonts w:cs="Times New Roman"/>
            <w:b/>
            <w:bCs/>
            <w:noProof/>
            <w:sz w:val="26"/>
            <w:szCs w:val="26"/>
          </w:rPr>
          <w:t>14</w:t>
        </w:r>
        <w:r w:rsidRPr="00446041">
          <w:rPr>
            <w:rFonts w:cs="Times New Roman"/>
            <w:b/>
            <w:bCs/>
            <w:sz w:val="26"/>
            <w:szCs w:val="26"/>
          </w:rPr>
          <w:fldChar w:fldCharType="end"/>
        </w:r>
      </w:p>
    </w:sdtContent>
  </w:sdt>
  <w:p w14:paraId="686CDC6B" w14:textId="77777777" w:rsidR="00446041" w:rsidRDefault="00446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174"/>
    <w:multiLevelType w:val="hybridMultilevel"/>
    <w:tmpl w:val="D7DA543A"/>
    <w:lvl w:ilvl="0" w:tplc="21D2D90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96276BD"/>
    <w:multiLevelType w:val="hybridMultilevel"/>
    <w:tmpl w:val="A8044FD4"/>
    <w:lvl w:ilvl="0" w:tplc="BA08454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15:restartNumberingAfterBreak="0">
    <w:nsid w:val="22344C55"/>
    <w:multiLevelType w:val="hybridMultilevel"/>
    <w:tmpl w:val="49CC8130"/>
    <w:lvl w:ilvl="0" w:tplc="ADFE67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36376A"/>
    <w:multiLevelType w:val="multilevel"/>
    <w:tmpl w:val="4C18B3BA"/>
    <w:lvl w:ilvl="0">
      <w:start w:val="1"/>
      <w:numFmt w:val="decimal"/>
      <w:lvlText w:val="%1."/>
      <w:lvlJc w:val="left"/>
      <w:pPr>
        <w:ind w:left="360" w:hanging="360"/>
      </w:pPr>
      <w:rPr>
        <w:b w:val="0"/>
        <w:bCs w:val="0"/>
        <w:strike w:val="0"/>
        <w:sz w:val="26"/>
        <w:szCs w:val="26"/>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5E3F61"/>
    <w:multiLevelType w:val="hybridMultilevel"/>
    <w:tmpl w:val="49886B38"/>
    <w:lvl w:ilvl="0" w:tplc="90EC50A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2D8452C8"/>
    <w:multiLevelType w:val="hybridMultilevel"/>
    <w:tmpl w:val="F5C04B3E"/>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6645BA4"/>
    <w:multiLevelType w:val="hybridMultilevel"/>
    <w:tmpl w:val="E2CE7E48"/>
    <w:lvl w:ilvl="0" w:tplc="DD8E2372">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39050F"/>
    <w:multiLevelType w:val="hybridMultilevel"/>
    <w:tmpl w:val="BB58C0D0"/>
    <w:lvl w:ilvl="0" w:tplc="4AFAB34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1E05FEA"/>
    <w:multiLevelType w:val="hybridMultilevel"/>
    <w:tmpl w:val="84F88D4C"/>
    <w:lvl w:ilvl="0" w:tplc="321848C8">
      <w:start w:val="1"/>
      <w:numFmt w:val="decimal"/>
      <w:lvlText w:val="(%1)"/>
      <w:lvlJc w:val="left"/>
      <w:pPr>
        <w:ind w:left="1077" w:hanging="360"/>
      </w:pPr>
      <w:rPr>
        <w:rFonts w:hint="default"/>
        <w:sz w:val="22"/>
        <w:szCs w:val="22"/>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9" w15:restartNumberingAfterBreak="0">
    <w:nsid w:val="44745A07"/>
    <w:multiLevelType w:val="multilevel"/>
    <w:tmpl w:val="6D4A2D68"/>
    <w:styleLink w:val="Style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1E69D1"/>
    <w:multiLevelType w:val="hybridMultilevel"/>
    <w:tmpl w:val="AB2EA796"/>
    <w:lvl w:ilvl="0" w:tplc="42A052E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4FC87DD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00274E"/>
    <w:multiLevelType w:val="multilevel"/>
    <w:tmpl w:val="28BAC8D0"/>
    <w:lvl w:ilvl="0">
      <w:start w:val="1"/>
      <w:numFmt w:val="decimal"/>
      <w:lvlText w:val="(%1)"/>
      <w:lvlJc w:val="left"/>
      <w:pPr>
        <w:tabs>
          <w:tab w:val="num" w:pos="900"/>
        </w:tabs>
        <w:ind w:left="900" w:hanging="720"/>
      </w:pPr>
      <w:rPr>
        <w:rFonts w:ascii="Times New Roman" w:hAnsi="Times New Roman" w:cs="Times New Roman" w:hint="default"/>
        <w:sz w:val="16"/>
        <w:szCs w:val="16"/>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636B5147"/>
    <w:multiLevelType w:val="hybridMultilevel"/>
    <w:tmpl w:val="141A8BEE"/>
    <w:lvl w:ilvl="0" w:tplc="054A2A9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65A9603D"/>
    <w:multiLevelType w:val="multilevel"/>
    <w:tmpl w:val="8722B51A"/>
    <w:lvl w:ilvl="0">
      <w:start w:val="1"/>
      <w:numFmt w:val="decimal"/>
      <w:lvlText w:val="[%1]"/>
      <w:lvlJc w:val="left"/>
      <w:pPr>
        <w:ind w:left="360" w:hanging="360"/>
      </w:pPr>
      <w:rPr>
        <w:rFonts w:hint="default"/>
        <w:b w:val="0"/>
        <w:bCs w:val="0"/>
        <w:i w:val="0"/>
        <w:iCs w:val="0"/>
        <w:strike w:val="0"/>
        <w:color w:val="auto"/>
        <w:sz w:val="26"/>
        <w:szCs w:val="26"/>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004593"/>
    <w:multiLevelType w:val="multilevel"/>
    <w:tmpl w:val="6D4A2D68"/>
    <w:numStyleLink w:val="Style1"/>
  </w:abstractNum>
  <w:abstractNum w:abstractNumId="16" w15:restartNumberingAfterBreak="0">
    <w:nsid w:val="76C816E9"/>
    <w:multiLevelType w:val="hybridMultilevel"/>
    <w:tmpl w:val="1F4E3874"/>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E6C4B89"/>
    <w:multiLevelType w:val="hybridMultilevel"/>
    <w:tmpl w:val="1DFEECE8"/>
    <w:lvl w:ilvl="0" w:tplc="D74897C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5"/>
  </w:num>
  <w:num w:numId="2">
    <w:abstractNumId w:val="11"/>
  </w:num>
  <w:num w:numId="3">
    <w:abstractNumId w:val="16"/>
  </w:num>
  <w:num w:numId="4">
    <w:abstractNumId w:val="9"/>
  </w:num>
  <w:num w:numId="5">
    <w:abstractNumId w:val="15"/>
  </w:num>
  <w:num w:numId="6">
    <w:abstractNumId w:val="2"/>
  </w:num>
  <w:num w:numId="7">
    <w:abstractNumId w:val="6"/>
  </w:num>
  <w:num w:numId="8">
    <w:abstractNumId w:val="3"/>
  </w:num>
  <w:num w:numId="9">
    <w:abstractNumId w:val="0"/>
  </w:num>
  <w:num w:numId="10">
    <w:abstractNumId w:val="12"/>
  </w:num>
  <w:num w:numId="11">
    <w:abstractNumId w:val="14"/>
  </w:num>
  <w:num w:numId="12">
    <w:abstractNumId w:val="8"/>
  </w:num>
  <w:num w:numId="13">
    <w:abstractNumId w:val="17"/>
  </w:num>
  <w:num w:numId="14">
    <w:abstractNumId w:val="1"/>
  </w:num>
  <w:num w:numId="15">
    <w:abstractNumId w:val="7"/>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0" w:nlCheck="1" w:checkStyle="1"/>
  <w:activeWritingStyle w:appName="MSWord" w:lang="en-ZA" w:vendorID="64" w:dllVersion="0"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8"/>
    <w:rsid w:val="00002BCF"/>
    <w:rsid w:val="00004513"/>
    <w:rsid w:val="000066BD"/>
    <w:rsid w:val="000067D4"/>
    <w:rsid w:val="00013A41"/>
    <w:rsid w:val="000213E7"/>
    <w:rsid w:val="00021846"/>
    <w:rsid w:val="000238D2"/>
    <w:rsid w:val="00032295"/>
    <w:rsid w:val="000334E2"/>
    <w:rsid w:val="00034566"/>
    <w:rsid w:val="0003570C"/>
    <w:rsid w:val="0003587A"/>
    <w:rsid w:val="00036AE5"/>
    <w:rsid w:val="00037AD1"/>
    <w:rsid w:val="00042A3B"/>
    <w:rsid w:val="00045817"/>
    <w:rsid w:val="0004585E"/>
    <w:rsid w:val="00046489"/>
    <w:rsid w:val="00046F2F"/>
    <w:rsid w:val="000530AC"/>
    <w:rsid w:val="00054BFE"/>
    <w:rsid w:val="00054F10"/>
    <w:rsid w:val="00060FD3"/>
    <w:rsid w:val="00064E1C"/>
    <w:rsid w:val="000679D8"/>
    <w:rsid w:val="00071B1C"/>
    <w:rsid w:val="00071E74"/>
    <w:rsid w:val="00072079"/>
    <w:rsid w:val="0007367F"/>
    <w:rsid w:val="00074E15"/>
    <w:rsid w:val="000920AC"/>
    <w:rsid w:val="000943EF"/>
    <w:rsid w:val="00097C94"/>
    <w:rsid w:val="00097D0D"/>
    <w:rsid w:val="000A2E42"/>
    <w:rsid w:val="000A393A"/>
    <w:rsid w:val="000B566D"/>
    <w:rsid w:val="000C7EF6"/>
    <w:rsid w:val="000D468F"/>
    <w:rsid w:val="000D4E31"/>
    <w:rsid w:val="000D60ED"/>
    <w:rsid w:val="000D7C8D"/>
    <w:rsid w:val="000E0603"/>
    <w:rsid w:val="000E08FF"/>
    <w:rsid w:val="000E094B"/>
    <w:rsid w:val="000E10C0"/>
    <w:rsid w:val="000E1418"/>
    <w:rsid w:val="000E24E8"/>
    <w:rsid w:val="000E5961"/>
    <w:rsid w:val="000E71ED"/>
    <w:rsid w:val="000F2767"/>
    <w:rsid w:val="000F53A0"/>
    <w:rsid w:val="0010070D"/>
    <w:rsid w:val="00103A58"/>
    <w:rsid w:val="00104820"/>
    <w:rsid w:val="0010517B"/>
    <w:rsid w:val="00106259"/>
    <w:rsid w:val="00110305"/>
    <w:rsid w:val="0012545F"/>
    <w:rsid w:val="00132DF6"/>
    <w:rsid w:val="001342BC"/>
    <w:rsid w:val="00136FF0"/>
    <w:rsid w:val="00140425"/>
    <w:rsid w:val="00143614"/>
    <w:rsid w:val="00144A61"/>
    <w:rsid w:val="00144D0E"/>
    <w:rsid w:val="00145009"/>
    <w:rsid w:val="001458C4"/>
    <w:rsid w:val="001468A3"/>
    <w:rsid w:val="00151629"/>
    <w:rsid w:val="001531C1"/>
    <w:rsid w:val="001624BB"/>
    <w:rsid w:val="0016296A"/>
    <w:rsid w:val="001661F9"/>
    <w:rsid w:val="001674DF"/>
    <w:rsid w:val="00167E29"/>
    <w:rsid w:val="001715A8"/>
    <w:rsid w:val="00171E47"/>
    <w:rsid w:val="00172CDF"/>
    <w:rsid w:val="0017355A"/>
    <w:rsid w:val="00173D07"/>
    <w:rsid w:val="00175810"/>
    <w:rsid w:val="00177554"/>
    <w:rsid w:val="00180074"/>
    <w:rsid w:val="00180868"/>
    <w:rsid w:val="00181EFE"/>
    <w:rsid w:val="001826BE"/>
    <w:rsid w:val="00183F90"/>
    <w:rsid w:val="00187DF5"/>
    <w:rsid w:val="001930BB"/>
    <w:rsid w:val="001933C7"/>
    <w:rsid w:val="00193C4C"/>
    <w:rsid w:val="00197DE7"/>
    <w:rsid w:val="001A57E6"/>
    <w:rsid w:val="001B0B48"/>
    <w:rsid w:val="001B3885"/>
    <w:rsid w:val="001B4167"/>
    <w:rsid w:val="001B70CB"/>
    <w:rsid w:val="001C3FE9"/>
    <w:rsid w:val="001C6C13"/>
    <w:rsid w:val="001D5B38"/>
    <w:rsid w:val="001D74E5"/>
    <w:rsid w:val="001E052F"/>
    <w:rsid w:val="001E3809"/>
    <w:rsid w:val="001E672C"/>
    <w:rsid w:val="001E77D4"/>
    <w:rsid w:val="001F043D"/>
    <w:rsid w:val="001F6A47"/>
    <w:rsid w:val="001F7DCF"/>
    <w:rsid w:val="00201BDC"/>
    <w:rsid w:val="00203693"/>
    <w:rsid w:val="00211F69"/>
    <w:rsid w:val="00213318"/>
    <w:rsid w:val="00213B35"/>
    <w:rsid w:val="00221756"/>
    <w:rsid w:val="0022175F"/>
    <w:rsid w:val="00222975"/>
    <w:rsid w:val="00224A6B"/>
    <w:rsid w:val="00232354"/>
    <w:rsid w:val="0023703A"/>
    <w:rsid w:val="00237B11"/>
    <w:rsid w:val="00241672"/>
    <w:rsid w:val="002552A1"/>
    <w:rsid w:val="002563F1"/>
    <w:rsid w:val="0025642C"/>
    <w:rsid w:val="00263207"/>
    <w:rsid w:val="002653FB"/>
    <w:rsid w:val="00266F14"/>
    <w:rsid w:val="002726AE"/>
    <w:rsid w:val="002748EC"/>
    <w:rsid w:val="00275278"/>
    <w:rsid w:val="00281498"/>
    <w:rsid w:val="002817BB"/>
    <w:rsid w:val="0028485F"/>
    <w:rsid w:val="0028580D"/>
    <w:rsid w:val="002874BC"/>
    <w:rsid w:val="00287FD6"/>
    <w:rsid w:val="00291A6B"/>
    <w:rsid w:val="00292964"/>
    <w:rsid w:val="002A1D5E"/>
    <w:rsid w:val="002A47E8"/>
    <w:rsid w:val="002A50F0"/>
    <w:rsid w:val="002A74C3"/>
    <w:rsid w:val="002B099F"/>
    <w:rsid w:val="002B3C29"/>
    <w:rsid w:val="002B5AF4"/>
    <w:rsid w:val="002B5E09"/>
    <w:rsid w:val="002B6EE4"/>
    <w:rsid w:val="002C4356"/>
    <w:rsid w:val="002C558C"/>
    <w:rsid w:val="002C72F6"/>
    <w:rsid w:val="002C75A3"/>
    <w:rsid w:val="002C7925"/>
    <w:rsid w:val="002D08BF"/>
    <w:rsid w:val="002D1CBA"/>
    <w:rsid w:val="002D312A"/>
    <w:rsid w:val="002D6928"/>
    <w:rsid w:val="002D7066"/>
    <w:rsid w:val="002E1DF6"/>
    <w:rsid w:val="002E1F31"/>
    <w:rsid w:val="002E2835"/>
    <w:rsid w:val="002F1571"/>
    <w:rsid w:val="00301A26"/>
    <w:rsid w:val="0030338C"/>
    <w:rsid w:val="003034CC"/>
    <w:rsid w:val="003078B7"/>
    <w:rsid w:val="003079B2"/>
    <w:rsid w:val="00315161"/>
    <w:rsid w:val="0031630D"/>
    <w:rsid w:val="00316766"/>
    <w:rsid w:val="00321C69"/>
    <w:rsid w:val="00330524"/>
    <w:rsid w:val="0033348B"/>
    <w:rsid w:val="00333BBF"/>
    <w:rsid w:val="00333E46"/>
    <w:rsid w:val="003360D7"/>
    <w:rsid w:val="00342BF2"/>
    <w:rsid w:val="003430C7"/>
    <w:rsid w:val="00343A41"/>
    <w:rsid w:val="00344D00"/>
    <w:rsid w:val="00344D04"/>
    <w:rsid w:val="00345E17"/>
    <w:rsid w:val="0034737F"/>
    <w:rsid w:val="00350A14"/>
    <w:rsid w:val="00353C42"/>
    <w:rsid w:val="00356A4E"/>
    <w:rsid w:val="00360421"/>
    <w:rsid w:val="00362A5E"/>
    <w:rsid w:val="00365A5F"/>
    <w:rsid w:val="00365BF5"/>
    <w:rsid w:val="0036622A"/>
    <w:rsid w:val="00370D32"/>
    <w:rsid w:val="003766ED"/>
    <w:rsid w:val="00376BE3"/>
    <w:rsid w:val="00377A23"/>
    <w:rsid w:val="0038197E"/>
    <w:rsid w:val="003823E7"/>
    <w:rsid w:val="00383E1F"/>
    <w:rsid w:val="003869F8"/>
    <w:rsid w:val="003918B0"/>
    <w:rsid w:val="00396E58"/>
    <w:rsid w:val="003A2943"/>
    <w:rsid w:val="003A4772"/>
    <w:rsid w:val="003B3CD3"/>
    <w:rsid w:val="003B6ECE"/>
    <w:rsid w:val="003B7CA5"/>
    <w:rsid w:val="003C0BC4"/>
    <w:rsid w:val="003C7611"/>
    <w:rsid w:val="003D2CFB"/>
    <w:rsid w:val="003D31CD"/>
    <w:rsid w:val="003D397D"/>
    <w:rsid w:val="003D55FD"/>
    <w:rsid w:val="003D6500"/>
    <w:rsid w:val="003F0CAE"/>
    <w:rsid w:val="003F3DDC"/>
    <w:rsid w:val="003F4C1E"/>
    <w:rsid w:val="003F663B"/>
    <w:rsid w:val="003F79BD"/>
    <w:rsid w:val="003F7EBC"/>
    <w:rsid w:val="00400BCA"/>
    <w:rsid w:val="004046DE"/>
    <w:rsid w:val="00405AFB"/>
    <w:rsid w:val="00410368"/>
    <w:rsid w:val="004128C0"/>
    <w:rsid w:val="00412A82"/>
    <w:rsid w:val="00412D67"/>
    <w:rsid w:val="0041457B"/>
    <w:rsid w:val="00416B76"/>
    <w:rsid w:val="004200A4"/>
    <w:rsid w:val="00425A07"/>
    <w:rsid w:val="00427FDD"/>
    <w:rsid w:val="00433069"/>
    <w:rsid w:val="0043335B"/>
    <w:rsid w:val="00433D5A"/>
    <w:rsid w:val="004344C7"/>
    <w:rsid w:val="0043697E"/>
    <w:rsid w:val="004429F5"/>
    <w:rsid w:val="004452B6"/>
    <w:rsid w:val="00446041"/>
    <w:rsid w:val="004476EA"/>
    <w:rsid w:val="00457C5B"/>
    <w:rsid w:val="004624DB"/>
    <w:rsid w:val="0046301B"/>
    <w:rsid w:val="004645FF"/>
    <w:rsid w:val="0046554C"/>
    <w:rsid w:val="00475CA5"/>
    <w:rsid w:val="0047703C"/>
    <w:rsid w:val="00480358"/>
    <w:rsid w:val="004805C4"/>
    <w:rsid w:val="00481642"/>
    <w:rsid w:val="00481C73"/>
    <w:rsid w:val="004821FC"/>
    <w:rsid w:val="0048635F"/>
    <w:rsid w:val="00486520"/>
    <w:rsid w:val="00487A26"/>
    <w:rsid w:val="00493DC8"/>
    <w:rsid w:val="00493F3B"/>
    <w:rsid w:val="00496DB1"/>
    <w:rsid w:val="00497CAB"/>
    <w:rsid w:val="004B0BAF"/>
    <w:rsid w:val="004B0DB5"/>
    <w:rsid w:val="004B0E3F"/>
    <w:rsid w:val="004B26C9"/>
    <w:rsid w:val="004B2E66"/>
    <w:rsid w:val="004B55B8"/>
    <w:rsid w:val="004C4D60"/>
    <w:rsid w:val="004C5C16"/>
    <w:rsid w:val="004D11AB"/>
    <w:rsid w:val="004D3F7A"/>
    <w:rsid w:val="004E012B"/>
    <w:rsid w:val="004E0F9F"/>
    <w:rsid w:val="004E182D"/>
    <w:rsid w:val="004E3F8D"/>
    <w:rsid w:val="004E7D7E"/>
    <w:rsid w:val="004F434B"/>
    <w:rsid w:val="004F777D"/>
    <w:rsid w:val="00501333"/>
    <w:rsid w:val="00501392"/>
    <w:rsid w:val="0051289A"/>
    <w:rsid w:val="005130E0"/>
    <w:rsid w:val="00516A98"/>
    <w:rsid w:val="00520215"/>
    <w:rsid w:val="00520DD1"/>
    <w:rsid w:val="00522E9A"/>
    <w:rsid w:val="00525DE4"/>
    <w:rsid w:val="005278DC"/>
    <w:rsid w:val="00532AA5"/>
    <w:rsid w:val="00541265"/>
    <w:rsid w:val="00546BB9"/>
    <w:rsid w:val="00546D22"/>
    <w:rsid w:val="00563CB7"/>
    <w:rsid w:val="00570776"/>
    <w:rsid w:val="00574706"/>
    <w:rsid w:val="005810BD"/>
    <w:rsid w:val="005815C7"/>
    <w:rsid w:val="00581990"/>
    <w:rsid w:val="00592B52"/>
    <w:rsid w:val="005A155D"/>
    <w:rsid w:val="005A214D"/>
    <w:rsid w:val="005A3445"/>
    <w:rsid w:val="005B0666"/>
    <w:rsid w:val="005B235F"/>
    <w:rsid w:val="005C0D69"/>
    <w:rsid w:val="005C1BFD"/>
    <w:rsid w:val="005C5BEC"/>
    <w:rsid w:val="005D37C6"/>
    <w:rsid w:val="005D3909"/>
    <w:rsid w:val="005D3CA0"/>
    <w:rsid w:val="005D48FF"/>
    <w:rsid w:val="005D656E"/>
    <w:rsid w:val="005E00DE"/>
    <w:rsid w:val="005E301E"/>
    <w:rsid w:val="005E3413"/>
    <w:rsid w:val="005E37C1"/>
    <w:rsid w:val="005E4813"/>
    <w:rsid w:val="005E5CBA"/>
    <w:rsid w:val="005E6EF1"/>
    <w:rsid w:val="005E746E"/>
    <w:rsid w:val="005F59C3"/>
    <w:rsid w:val="005F5D72"/>
    <w:rsid w:val="00603725"/>
    <w:rsid w:val="00604A94"/>
    <w:rsid w:val="0061470A"/>
    <w:rsid w:val="00614713"/>
    <w:rsid w:val="00616F20"/>
    <w:rsid w:val="00617F7C"/>
    <w:rsid w:val="0062047B"/>
    <w:rsid w:val="006205B3"/>
    <w:rsid w:val="00622105"/>
    <w:rsid w:val="00622A74"/>
    <w:rsid w:val="00622FB3"/>
    <w:rsid w:val="00626062"/>
    <w:rsid w:val="0062662D"/>
    <w:rsid w:val="00627E18"/>
    <w:rsid w:val="00635E7C"/>
    <w:rsid w:val="006404F8"/>
    <w:rsid w:val="00640B63"/>
    <w:rsid w:val="00641C29"/>
    <w:rsid w:val="00647DC0"/>
    <w:rsid w:val="00651313"/>
    <w:rsid w:val="00651940"/>
    <w:rsid w:val="00657D85"/>
    <w:rsid w:val="00662291"/>
    <w:rsid w:val="006657BD"/>
    <w:rsid w:val="006660A5"/>
    <w:rsid w:val="00671F4F"/>
    <w:rsid w:val="00672923"/>
    <w:rsid w:val="00672ADE"/>
    <w:rsid w:val="006731C1"/>
    <w:rsid w:val="006758D4"/>
    <w:rsid w:val="00675BF1"/>
    <w:rsid w:val="00676112"/>
    <w:rsid w:val="00676C11"/>
    <w:rsid w:val="00676C7C"/>
    <w:rsid w:val="00676D1F"/>
    <w:rsid w:val="006906AA"/>
    <w:rsid w:val="0069306D"/>
    <w:rsid w:val="00695823"/>
    <w:rsid w:val="006A34A1"/>
    <w:rsid w:val="006A5930"/>
    <w:rsid w:val="006A78CE"/>
    <w:rsid w:val="006B2B67"/>
    <w:rsid w:val="006B663D"/>
    <w:rsid w:val="006B7B21"/>
    <w:rsid w:val="006C4CC8"/>
    <w:rsid w:val="006C59F0"/>
    <w:rsid w:val="006D0130"/>
    <w:rsid w:val="006D1711"/>
    <w:rsid w:val="006D1CFB"/>
    <w:rsid w:val="006E3E30"/>
    <w:rsid w:val="006F55E0"/>
    <w:rsid w:val="00702A10"/>
    <w:rsid w:val="00704C74"/>
    <w:rsid w:val="007055CB"/>
    <w:rsid w:val="007111D3"/>
    <w:rsid w:val="00713D56"/>
    <w:rsid w:val="007175C8"/>
    <w:rsid w:val="00721DDA"/>
    <w:rsid w:val="00723556"/>
    <w:rsid w:val="00725231"/>
    <w:rsid w:val="007271AA"/>
    <w:rsid w:val="00727658"/>
    <w:rsid w:val="00730111"/>
    <w:rsid w:val="00732485"/>
    <w:rsid w:val="00740FA9"/>
    <w:rsid w:val="007412F7"/>
    <w:rsid w:val="00741AEB"/>
    <w:rsid w:val="00743B97"/>
    <w:rsid w:val="00744B64"/>
    <w:rsid w:val="00745440"/>
    <w:rsid w:val="00751503"/>
    <w:rsid w:val="0075615D"/>
    <w:rsid w:val="00757FF1"/>
    <w:rsid w:val="0076339F"/>
    <w:rsid w:val="0076452E"/>
    <w:rsid w:val="007653A2"/>
    <w:rsid w:val="00766A80"/>
    <w:rsid w:val="007718FD"/>
    <w:rsid w:val="00775CBC"/>
    <w:rsid w:val="00781DBD"/>
    <w:rsid w:val="0079328F"/>
    <w:rsid w:val="007952D8"/>
    <w:rsid w:val="00796D28"/>
    <w:rsid w:val="00797E00"/>
    <w:rsid w:val="007A0A09"/>
    <w:rsid w:val="007A1BB5"/>
    <w:rsid w:val="007A7C42"/>
    <w:rsid w:val="007B1FE2"/>
    <w:rsid w:val="007B49F8"/>
    <w:rsid w:val="007B4B24"/>
    <w:rsid w:val="007B4F9B"/>
    <w:rsid w:val="007C356E"/>
    <w:rsid w:val="007E6C10"/>
    <w:rsid w:val="007F05FE"/>
    <w:rsid w:val="007F46F7"/>
    <w:rsid w:val="007F6B33"/>
    <w:rsid w:val="008000A0"/>
    <w:rsid w:val="0080550D"/>
    <w:rsid w:val="00807F89"/>
    <w:rsid w:val="008137BC"/>
    <w:rsid w:val="008138AE"/>
    <w:rsid w:val="00817149"/>
    <w:rsid w:val="008172A7"/>
    <w:rsid w:val="0082200B"/>
    <w:rsid w:val="00823E75"/>
    <w:rsid w:val="00830F01"/>
    <w:rsid w:val="00836DF5"/>
    <w:rsid w:val="008440C7"/>
    <w:rsid w:val="00854EA6"/>
    <w:rsid w:val="00857ACD"/>
    <w:rsid w:val="008604ED"/>
    <w:rsid w:val="008711D1"/>
    <w:rsid w:val="00874C56"/>
    <w:rsid w:val="00874F7D"/>
    <w:rsid w:val="00875CF4"/>
    <w:rsid w:val="00876990"/>
    <w:rsid w:val="00877142"/>
    <w:rsid w:val="00880F7E"/>
    <w:rsid w:val="0088405A"/>
    <w:rsid w:val="00890A0F"/>
    <w:rsid w:val="00890EC6"/>
    <w:rsid w:val="0089389C"/>
    <w:rsid w:val="00893B85"/>
    <w:rsid w:val="00897BE8"/>
    <w:rsid w:val="008A0A53"/>
    <w:rsid w:val="008A0C32"/>
    <w:rsid w:val="008A177A"/>
    <w:rsid w:val="008A3B04"/>
    <w:rsid w:val="008A3B11"/>
    <w:rsid w:val="008A6B0A"/>
    <w:rsid w:val="008B4735"/>
    <w:rsid w:val="008B698E"/>
    <w:rsid w:val="008B74E8"/>
    <w:rsid w:val="008B7ECE"/>
    <w:rsid w:val="008C62B0"/>
    <w:rsid w:val="008C6D0E"/>
    <w:rsid w:val="008D08D3"/>
    <w:rsid w:val="008D0CF0"/>
    <w:rsid w:val="008D113E"/>
    <w:rsid w:val="008D2CAA"/>
    <w:rsid w:val="008D4151"/>
    <w:rsid w:val="008E1899"/>
    <w:rsid w:val="008E3BCB"/>
    <w:rsid w:val="008F14D3"/>
    <w:rsid w:val="008F6930"/>
    <w:rsid w:val="009019FD"/>
    <w:rsid w:val="0090279C"/>
    <w:rsid w:val="009038FF"/>
    <w:rsid w:val="0090634C"/>
    <w:rsid w:val="00906681"/>
    <w:rsid w:val="00912DA5"/>
    <w:rsid w:val="00912E32"/>
    <w:rsid w:val="00915D6F"/>
    <w:rsid w:val="00922CAF"/>
    <w:rsid w:val="00923613"/>
    <w:rsid w:val="00925786"/>
    <w:rsid w:val="009262DE"/>
    <w:rsid w:val="009321CA"/>
    <w:rsid w:val="009332FD"/>
    <w:rsid w:val="00933D06"/>
    <w:rsid w:val="009351CB"/>
    <w:rsid w:val="00942094"/>
    <w:rsid w:val="009428EC"/>
    <w:rsid w:val="00943EC0"/>
    <w:rsid w:val="00947CFC"/>
    <w:rsid w:val="00950B3D"/>
    <w:rsid w:val="00953120"/>
    <w:rsid w:val="00954EF2"/>
    <w:rsid w:val="00955055"/>
    <w:rsid w:val="009550F1"/>
    <w:rsid w:val="009561B0"/>
    <w:rsid w:val="00956FB4"/>
    <w:rsid w:val="009600EB"/>
    <w:rsid w:val="00967B9F"/>
    <w:rsid w:val="00970BC2"/>
    <w:rsid w:val="0097224D"/>
    <w:rsid w:val="00972F37"/>
    <w:rsid w:val="00975178"/>
    <w:rsid w:val="00981019"/>
    <w:rsid w:val="0098323E"/>
    <w:rsid w:val="0098381D"/>
    <w:rsid w:val="00987005"/>
    <w:rsid w:val="00990E68"/>
    <w:rsid w:val="0099521F"/>
    <w:rsid w:val="009A7336"/>
    <w:rsid w:val="009B33E0"/>
    <w:rsid w:val="009C104B"/>
    <w:rsid w:val="009C684C"/>
    <w:rsid w:val="009D148B"/>
    <w:rsid w:val="009D30D2"/>
    <w:rsid w:val="009D31B7"/>
    <w:rsid w:val="009E1B6C"/>
    <w:rsid w:val="009E2246"/>
    <w:rsid w:val="009E4FBE"/>
    <w:rsid w:val="009F368C"/>
    <w:rsid w:val="00A00100"/>
    <w:rsid w:val="00A01DF6"/>
    <w:rsid w:val="00A0759B"/>
    <w:rsid w:val="00A07667"/>
    <w:rsid w:val="00A15724"/>
    <w:rsid w:val="00A17473"/>
    <w:rsid w:val="00A21580"/>
    <w:rsid w:val="00A23B4B"/>
    <w:rsid w:val="00A27B29"/>
    <w:rsid w:val="00A33E19"/>
    <w:rsid w:val="00A43486"/>
    <w:rsid w:val="00A43BC6"/>
    <w:rsid w:val="00A4600B"/>
    <w:rsid w:val="00A57B7E"/>
    <w:rsid w:val="00A64795"/>
    <w:rsid w:val="00A65245"/>
    <w:rsid w:val="00A679C8"/>
    <w:rsid w:val="00A70A61"/>
    <w:rsid w:val="00A70D74"/>
    <w:rsid w:val="00A71454"/>
    <w:rsid w:val="00A73146"/>
    <w:rsid w:val="00A86198"/>
    <w:rsid w:val="00A909D3"/>
    <w:rsid w:val="00A928C3"/>
    <w:rsid w:val="00A9584B"/>
    <w:rsid w:val="00A9714C"/>
    <w:rsid w:val="00AA44E2"/>
    <w:rsid w:val="00AA5103"/>
    <w:rsid w:val="00AA544D"/>
    <w:rsid w:val="00AB0C2D"/>
    <w:rsid w:val="00AB11A9"/>
    <w:rsid w:val="00AB4A91"/>
    <w:rsid w:val="00AC33D7"/>
    <w:rsid w:val="00AC41B3"/>
    <w:rsid w:val="00AC454A"/>
    <w:rsid w:val="00AC488A"/>
    <w:rsid w:val="00AC57B9"/>
    <w:rsid w:val="00AD1795"/>
    <w:rsid w:val="00AD44F8"/>
    <w:rsid w:val="00AD51F7"/>
    <w:rsid w:val="00AD7DC1"/>
    <w:rsid w:val="00AE5F72"/>
    <w:rsid w:val="00AF1BA6"/>
    <w:rsid w:val="00AF2F86"/>
    <w:rsid w:val="00AF3439"/>
    <w:rsid w:val="00AF3463"/>
    <w:rsid w:val="00AF41E8"/>
    <w:rsid w:val="00AF439F"/>
    <w:rsid w:val="00AF5AD4"/>
    <w:rsid w:val="00AF6F6E"/>
    <w:rsid w:val="00B0004F"/>
    <w:rsid w:val="00B02502"/>
    <w:rsid w:val="00B034B0"/>
    <w:rsid w:val="00B03869"/>
    <w:rsid w:val="00B04896"/>
    <w:rsid w:val="00B068F0"/>
    <w:rsid w:val="00B073D4"/>
    <w:rsid w:val="00B11942"/>
    <w:rsid w:val="00B121B1"/>
    <w:rsid w:val="00B1603D"/>
    <w:rsid w:val="00B214CA"/>
    <w:rsid w:val="00B277BC"/>
    <w:rsid w:val="00B2784B"/>
    <w:rsid w:val="00B27FA2"/>
    <w:rsid w:val="00B3125E"/>
    <w:rsid w:val="00B355E4"/>
    <w:rsid w:val="00B36665"/>
    <w:rsid w:val="00B424F4"/>
    <w:rsid w:val="00B43FB4"/>
    <w:rsid w:val="00B457D9"/>
    <w:rsid w:val="00B50E6A"/>
    <w:rsid w:val="00B51378"/>
    <w:rsid w:val="00B52953"/>
    <w:rsid w:val="00B53C3D"/>
    <w:rsid w:val="00B545DC"/>
    <w:rsid w:val="00B56707"/>
    <w:rsid w:val="00B6564B"/>
    <w:rsid w:val="00B6734B"/>
    <w:rsid w:val="00B70259"/>
    <w:rsid w:val="00B71F42"/>
    <w:rsid w:val="00B72076"/>
    <w:rsid w:val="00B74414"/>
    <w:rsid w:val="00B84056"/>
    <w:rsid w:val="00B8707D"/>
    <w:rsid w:val="00B92D44"/>
    <w:rsid w:val="00B9310B"/>
    <w:rsid w:val="00B97D46"/>
    <w:rsid w:val="00BA20E8"/>
    <w:rsid w:val="00BA4B45"/>
    <w:rsid w:val="00BA6A2B"/>
    <w:rsid w:val="00BB0B80"/>
    <w:rsid w:val="00BB0C16"/>
    <w:rsid w:val="00BB3487"/>
    <w:rsid w:val="00BB6B5A"/>
    <w:rsid w:val="00BB7B5F"/>
    <w:rsid w:val="00BB7E7D"/>
    <w:rsid w:val="00BC113D"/>
    <w:rsid w:val="00BC16E1"/>
    <w:rsid w:val="00BC30E8"/>
    <w:rsid w:val="00BC33FD"/>
    <w:rsid w:val="00BC5DC6"/>
    <w:rsid w:val="00BC6378"/>
    <w:rsid w:val="00BD1058"/>
    <w:rsid w:val="00BD6588"/>
    <w:rsid w:val="00BD711C"/>
    <w:rsid w:val="00BE00EA"/>
    <w:rsid w:val="00BE2E9F"/>
    <w:rsid w:val="00BE366D"/>
    <w:rsid w:val="00BE5C38"/>
    <w:rsid w:val="00BF1805"/>
    <w:rsid w:val="00C01900"/>
    <w:rsid w:val="00C03215"/>
    <w:rsid w:val="00C045F2"/>
    <w:rsid w:val="00C05042"/>
    <w:rsid w:val="00C06E18"/>
    <w:rsid w:val="00C07DC2"/>
    <w:rsid w:val="00C10565"/>
    <w:rsid w:val="00C14C6D"/>
    <w:rsid w:val="00C17A73"/>
    <w:rsid w:val="00C21222"/>
    <w:rsid w:val="00C24505"/>
    <w:rsid w:val="00C2465C"/>
    <w:rsid w:val="00C24F26"/>
    <w:rsid w:val="00C25CF1"/>
    <w:rsid w:val="00C31830"/>
    <w:rsid w:val="00C3293B"/>
    <w:rsid w:val="00C33C8F"/>
    <w:rsid w:val="00C35686"/>
    <w:rsid w:val="00C35F9F"/>
    <w:rsid w:val="00C40A53"/>
    <w:rsid w:val="00C42141"/>
    <w:rsid w:val="00C5322E"/>
    <w:rsid w:val="00C542E8"/>
    <w:rsid w:val="00C57852"/>
    <w:rsid w:val="00C57B1D"/>
    <w:rsid w:val="00C63398"/>
    <w:rsid w:val="00C65017"/>
    <w:rsid w:val="00C66B26"/>
    <w:rsid w:val="00C754F2"/>
    <w:rsid w:val="00C82FE7"/>
    <w:rsid w:val="00C83846"/>
    <w:rsid w:val="00C84175"/>
    <w:rsid w:val="00C8476B"/>
    <w:rsid w:val="00C85334"/>
    <w:rsid w:val="00C94C36"/>
    <w:rsid w:val="00C97306"/>
    <w:rsid w:val="00CA56EA"/>
    <w:rsid w:val="00CA58EC"/>
    <w:rsid w:val="00CA6FD2"/>
    <w:rsid w:val="00CB22FF"/>
    <w:rsid w:val="00CB3101"/>
    <w:rsid w:val="00CB7C48"/>
    <w:rsid w:val="00CC0A8A"/>
    <w:rsid w:val="00CC4D96"/>
    <w:rsid w:val="00CC5D1A"/>
    <w:rsid w:val="00CC5F87"/>
    <w:rsid w:val="00CC690F"/>
    <w:rsid w:val="00CD137D"/>
    <w:rsid w:val="00CD2811"/>
    <w:rsid w:val="00CD31BB"/>
    <w:rsid w:val="00CD3BF1"/>
    <w:rsid w:val="00CD404D"/>
    <w:rsid w:val="00CD6DAF"/>
    <w:rsid w:val="00CE4C97"/>
    <w:rsid w:val="00CF03C2"/>
    <w:rsid w:val="00CF2934"/>
    <w:rsid w:val="00CF31DD"/>
    <w:rsid w:val="00CF352B"/>
    <w:rsid w:val="00CF4C74"/>
    <w:rsid w:val="00D0666C"/>
    <w:rsid w:val="00D11AC1"/>
    <w:rsid w:val="00D11FE4"/>
    <w:rsid w:val="00D1585E"/>
    <w:rsid w:val="00D15D1E"/>
    <w:rsid w:val="00D21AB0"/>
    <w:rsid w:val="00D3241D"/>
    <w:rsid w:val="00D32CCD"/>
    <w:rsid w:val="00D3312A"/>
    <w:rsid w:val="00D344EA"/>
    <w:rsid w:val="00D34C9F"/>
    <w:rsid w:val="00D40F02"/>
    <w:rsid w:val="00D411FE"/>
    <w:rsid w:val="00D43B00"/>
    <w:rsid w:val="00D448B9"/>
    <w:rsid w:val="00D45385"/>
    <w:rsid w:val="00D460E6"/>
    <w:rsid w:val="00D479AE"/>
    <w:rsid w:val="00D51641"/>
    <w:rsid w:val="00D52593"/>
    <w:rsid w:val="00D56ABA"/>
    <w:rsid w:val="00D57821"/>
    <w:rsid w:val="00D64EE0"/>
    <w:rsid w:val="00D66326"/>
    <w:rsid w:val="00D75C54"/>
    <w:rsid w:val="00D8120D"/>
    <w:rsid w:val="00D812E6"/>
    <w:rsid w:val="00D8258F"/>
    <w:rsid w:val="00D8606D"/>
    <w:rsid w:val="00D875EB"/>
    <w:rsid w:val="00D9281A"/>
    <w:rsid w:val="00DA1E53"/>
    <w:rsid w:val="00DA2101"/>
    <w:rsid w:val="00DA4340"/>
    <w:rsid w:val="00DA4541"/>
    <w:rsid w:val="00DA46A0"/>
    <w:rsid w:val="00DA75B1"/>
    <w:rsid w:val="00DB0EAF"/>
    <w:rsid w:val="00DB1602"/>
    <w:rsid w:val="00DB1909"/>
    <w:rsid w:val="00DB58BB"/>
    <w:rsid w:val="00DC00A2"/>
    <w:rsid w:val="00DC063A"/>
    <w:rsid w:val="00DC1E23"/>
    <w:rsid w:val="00DC4BD7"/>
    <w:rsid w:val="00DD1F94"/>
    <w:rsid w:val="00DD5B96"/>
    <w:rsid w:val="00DE1B5A"/>
    <w:rsid w:val="00DE541E"/>
    <w:rsid w:val="00DE7BD5"/>
    <w:rsid w:val="00DF5C3D"/>
    <w:rsid w:val="00DF6169"/>
    <w:rsid w:val="00DF71E4"/>
    <w:rsid w:val="00E03948"/>
    <w:rsid w:val="00E07912"/>
    <w:rsid w:val="00E109C9"/>
    <w:rsid w:val="00E154C1"/>
    <w:rsid w:val="00E1761F"/>
    <w:rsid w:val="00E208D4"/>
    <w:rsid w:val="00E26B29"/>
    <w:rsid w:val="00E26F22"/>
    <w:rsid w:val="00E31CB3"/>
    <w:rsid w:val="00E31DD7"/>
    <w:rsid w:val="00E347AE"/>
    <w:rsid w:val="00E37476"/>
    <w:rsid w:val="00E41F5C"/>
    <w:rsid w:val="00E4573F"/>
    <w:rsid w:val="00E506EA"/>
    <w:rsid w:val="00E570B5"/>
    <w:rsid w:val="00E70079"/>
    <w:rsid w:val="00E70B22"/>
    <w:rsid w:val="00E72AD9"/>
    <w:rsid w:val="00E730FB"/>
    <w:rsid w:val="00E82AE2"/>
    <w:rsid w:val="00E84DAB"/>
    <w:rsid w:val="00E85D0E"/>
    <w:rsid w:val="00E86215"/>
    <w:rsid w:val="00E87792"/>
    <w:rsid w:val="00E90103"/>
    <w:rsid w:val="00E91D30"/>
    <w:rsid w:val="00E91ECE"/>
    <w:rsid w:val="00E9699C"/>
    <w:rsid w:val="00E97936"/>
    <w:rsid w:val="00EA124B"/>
    <w:rsid w:val="00EA474F"/>
    <w:rsid w:val="00EA606E"/>
    <w:rsid w:val="00EB3BD9"/>
    <w:rsid w:val="00EB6A80"/>
    <w:rsid w:val="00EB7417"/>
    <w:rsid w:val="00EC3771"/>
    <w:rsid w:val="00EC59F9"/>
    <w:rsid w:val="00ED3AD4"/>
    <w:rsid w:val="00ED692C"/>
    <w:rsid w:val="00ED6DCE"/>
    <w:rsid w:val="00EE3DD7"/>
    <w:rsid w:val="00EF63D5"/>
    <w:rsid w:val="00EF7AF5"/>
    <w:rsid w:val="00F02F0F"/>
    <w:rsid w:val="00F036D1"/>
    <w:rsid w:val="00F0463D"/>
    <w:rsid w:val="00F129CD"/>
    <w:rsid w:val="00F146DB"/>
    <w:rsid w:val="00F21609"/>
    <w:rsid w:val="00F26B5A"/>
    <w:rsid w:val="00F26E17"/>
    <w:rsid w:val="00F317BA"/>
    <w:rsid w:val="00F3342C"/>
    <w:rsid w:val="00F340E7"/>
    <w:rsid w:val="00F3436E"/>
    <w:rsid w:val="00F3598E"/>
    <w:rsid w:val="00F35A2D"/>
    <w:rsid w:val="00F43CB8"/>
    <w:rsid w:val="00F4434C"/>
    <w:rsid w:val="00F4434E"/>
    <w:rsid w:val="00F4647B"/>
    <w:rsid w:val="00F46BE9"/>
    <w:rsid w:val="00F47F19"/>
    <w:rsid w:val="00F505D2"/>
    <w:rsid w:val="00F5416C"/>
    <w:rsid w:val="00F605CD"/>
    <w:rsid w:val="00F66432"/>
    <w:rsid w:val="00F6703D"/>
    <w:rsid w:val="00F70DD5"/>
    <w:rsid w:val="00F71206"/>
    <w:rsid w:val="00F72B10"/>
    <w:rsid w:val="00F73561"/>
    <w:rsid w:val="00F753E4"/>
    <w:rsid w:val="00F87BCB"/>
    <w:rsid w:val="00F90541"/>
    <w:rsid w:val="00F946BF"/>
    <w:rsid w:val="00F975DC"/>
    <w:rsid w:val="00FA0DE2"/>
    <w:rsid w:val="00FA38D7"/>
    <w:rsid w:val="00FA7898"/>
    <w:rsid w:val="00FB4F14"/>
    <w:rsid w:val="00FB562A"/>
    <w:rsid w:val="00FC0087"/>
    <w:rsid w:val="00FC093C"/>
    <w:rsid w:val="00FC2E9C"/>
    <w:rsid w:val="00FC7B8D"/>
    <w:rsid w:val="00FD3515"/>
    <w:rsid w:val="00FD42C6"/>
    <w:rsid w:val="00FD6750"/>
    <w:rsid w:val="00FE2623"/>
    <w:rsid w:val="00FE2F3B"/>
    <w:rsid w:val="00FE42CC"/>
    <w:rsid w:val="00FF0066"/>
    <w:rsid w:val="00FF064A"/>
    <w:rsid w:val="00FF1844"/>
    <w:rsid w:val="00FF187D"/>
    <w:rsid w:val="00FF3CDB"/>
    <w:rsid w:val="00FF3EF6"/>
    <w:rsid w:val="00FF75F8"/>
    <w:rsid w:val="00FF7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6C6F"/>
  <w15:chartTrackingRefBased/>
  <w15:docId w15:val="{E0CB728A-E44D-44B0-91DF-441C7D3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9328F"/>
    <w:pPr>
      <w:numPr>
        <w:numId w:val="4"/>
      </w:numPr>
    </w:pPr>
  </w:style>
  <w:style w:type="paragraph" w:styleId="FootnoteText">
    <w:name w:val="footnote text"/>
    <w:basedOn w:val="Normal"/>
    <w:link w:val="FootnoteTextChar"/>
    <w:uiPriority w:val="99"/>
    <w:unhideWhenUsed/>
    <w:rsid w:val="00BC30E8"/>
    <w:pPr>
      <w:spacing w:after="0" w:line="240" w:lineRule="auto"/>
    </w:pPr>
  </w:style>
  <w:style w:type="character" w:customStyle="1" w:styleId="FootnoteTextChar">
    <w:name w:val="Footnote Text Char"/>
    <w:basedOn w:val="DefaultParagraphFont"/>
    <w:link w:val="FootnoteText"/>
    <w:uiPriority w:val="99"/>
    <w:rsid w:val="00BC30E8"/>
    <w:rPr>
      <w:sz w:val="20"/>
      <w:szCs w:val="20"/>
    </w:rPr>
  </w:style>
  <w:style w:type="character" w:styleId="FootnoteReference">
    <w:name w:val="footnote reference"/>
    <w:basedOn w:val="DefaultParagraphFont"/>
    <w:uiPriority w:val="99"/>
    <w:semiHidden/>
    <w:unhideWhenUsed/>
    <w:rsid w:val="00BC30E8"/>
    <w:rPr>
      <w:vertAlign w:val="superscript"/>
    </w:rPr>
  </w:style>
  <w:style w:type="paragraph" w:styleId="Revision">
    <w:name w:val="Revision"/>
    <w:hidden/>
    <w:uiPriority w:val="99"/>
    <w:semiHidden/>
    <w:rsid w:val="00F47F19"/>
    <w:pPr>
      <w:spacing w:after="0" w:line="240" w:lineRule="auto"/>
    </w:pPr>
  </w:style>
  <w:style w:type="character" w:styleId="Hyperlink">
    <w:name w:val="Hyperlink"/>
    <w:basedOn w:val="DefaultParagraphFont"/>
    <w:uiPriority w:val="99"/>
    <w:semiHidden/>
    <w:unhideWhenUsed/>
    <w:rsid w:val="00046489"/>
    <w:rPr>
      <w:color w:val="0000FF"/>
      <w:u w:val="single"/>
    </w:rPr>
  </w:style>
  <w:style w:type="paragraph" w:styleId="Header">
    <w:name w:val="header"/>
    <w:basedOn w:val="Normal"/>
    <w:link w:val="HeaderChar"/>
    <w:uiPriority w:val="99"/>
    <w:unhideWhenUsed/>
    <w:rsid w:val="0044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41"/>
  </w:style>
  <w:style w:type="paragraph" w:styleId="Footer">
    <w:name w:val="footer"/>
    <w:basedOn w:val="Normal"/>
    <w:link w:val="FooterChar"/>
    <w:uiPriority w:val="99"/>
    <w:unhideWhenUsed/>
    <w:rsid w:val="0044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41"/>
  </w:style>
  <w:style w:type="paragraph" w:customStyle="1" w:styleId="FrameContents">
    <w:name w:val="Frame Contents"/>
    <w:basedOn w:val="Normal"/>
    <w:qFormat/>
    <w:rsid w:val="000213E7"/>
    <w:pPr>
      <w:spacing w:after="200" w:line="276" w:lineRule="auto"/>
    </w:pPr>
    <w:rPr>
      <w:kern w:val="0"/>
      <w14:ligatures w14:val="none"/>
    </w:rPr>
  </w:style>
  <w:style w:type="paragraph" w:styleId="ListParagraph">
    <w:name w:val="List Paragraph"/>
    <w:basedOn w:val="Normal"/>
    <w:uiPriority w:val="34"/>
    <w:qFormat/>
    <w:rsid w:val="000213E7"/>
    <w:pPr>
      <w:ind w:left="720"/>
      <w:contextualSpacing/>
    </w:pPr>
    <w:rPr>
      <w:kern w:val="0"/>
      <w:lang w:val="en-US"/>
      <w14:ligatures w14:val="none"/>
    </w:rPr>
  </w:style>
  <w:style w:type="paragraph" w:styleId="EndnoteText">
    <w:name w:val="endnote text"/>
    <w:basedOn w:val="Normal"/>
    <w:link w:val="EndnoteTextChar"/>
    <w:uiPriority w:val="99"/>
    <w:semiHidden/>
    <w:unhideWhenUsed/>
    <w:rsid w:val="002B6EE4"/>
    <w:pPr>
      <w:spacing w:after="0" w:line="240" w:lineRule="auto"/>
    </w:pPr>
  </w:style>
  <w:style w:type="character" w:customStyle="1" w:styleId="EndnoteTextChar">
    <w:name w:val="Endnote Text Char"/>
    <w:basedOn w:val="DefaultParagraphFont"/>
    <w:link w:val="EndnoteText"/>
    <w:uiPriority w:val="99"/>
    <w:semiHidden/>
    <w:rsid w:val="002B6EE4"/>
  </w:style>
  <w:style w:type="character" w:styleId="EndnoteReference">
    <w:name w:val="endnote reference"/>
    <w:basedOn w:val="DefaultParagraphFont"/>
    <w:uiPriority w:val="99"/>
    <w:semiHidden/>
    <w:unhideWhenUsed/>
    <w:rsid w:val="002B6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3EFA-C782-40FF-8D48-74C5308C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Hassim</dc:creator>
  <cp:keywords/>
  <dc:description/>
  <cp:lastModifiedBy>Mary Bruce</cp:lastModifiedBy>
  <cp:revision>3</cp:revision>
  <cp:lastPrinted>2023-07-28T09:59:00Z</cp:lastPrinted>
  <dcterms:created xsi:type="dcterms:W3CDTF">2023-07-28T11:36:00Z</dcterms:created>
  <dcterms:modified xsi:type="dcterms:W3CDTF">2023-08-06T19:21:00Z</dcterms:modified>
</cp:coreProperties>
</file>