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BC546" w14:textId="77777777" w:rsidR="001E77C7" w:rsidRPr="00982FB0" w:rsidRDefault="001E77C7" w:rsidP="00F445C9">
      <w:pPr>
        <w:rPr>
          <w:rFonts w:cs="Arial"/>
        </w:rPr>
      </w:pPr>
      <w:bookmarkStart w:id="0" w:name="_Hlk97197783"/>
      <w:bookmarkEnd w:id="0"/>
    </w:p>
    <w:p w14:paraId="6A6BF4C8" w14:textId="77777777" w:rsidR="001E77C7" w:rsidRPr="00982FB0" w:rsidRDefault="0020229A" w:rsidP="00AD7F4C">
      <w:pPr>
        <w:jc w:val="center"/>
        <w:rPr>
          <w:rFonts w:cs="Arial"/>
        </w:rPr>
      </w:pPr>
      <w:r w:rsidRPr="00982FB0">
        <w:rPr>
          <w:rFonts w:cs="Arial"/>
          <w:noProof/>
          <w:lang w:val="en-US" w:eastAsia="en-US"/>
        </w:rPr>
        <w:drawing>
          <wp:inline distT="0" distB="0" distL="0" distR="0" wp14:anchorId="4ADDB8C5" wp14:editId="37063D8D">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4A9A7B24" w14:textId="77777777" w:rsidR="001E77C7" w:rsidRPr="00982FB0" w:rsidRDefault="001E77C7" w:rsidP="00AD7F4C">
      <w:pPr>
        <w:jc w:val="center"/>
        <w:rPr>
          <w:rFonts w:cs="Arial"/>
        </w:rPr>
      </w:pPr>
    </w:p>
    <w:p w14:paraId="2372EFCB" w14:textId="77777777" w:rsidR="00FF73DA" w:rsidRPr="00982FB0" w:rsidRDefault="00FF73DA" w:rsidP="00AD7F4C">
      <w:pPr>
        <w:jc w:val="center"/>
        <w:rPr>
          <w:rFonts w:cs="Arial"/>
          <w:b/>
        </w:rPr>
      </w:pPr>
      <w:r w:rsidRPr="00982FB0">
        <w:rPr>
          <w:rFonts w:cs="Arial"/>
          <w:b/>
        </w:rPr>
        <w:t>IN THE HIGH COURT OF SOUTH AFRICA</w:t>
      </w:r>
    </w:p>
    <w:p w14:paraId="0B65FED0" w14:textId="77777777" w:rsidR="002B39BC" w:rsidRPr="00982FB0" w:rsidRDefault="00FD64FD" w:rsidP="002B39BC">
      <w:pPr>
        <w:jc w:val="center"/>
        <w:rPr>
          <w:rFonts w:cs="Arial"/>
          <w:b/>
        </w:rPr>
      </w:pPr>
      <w:r w:rsidRPr="00982FB0">
        <w:rPr>
          <w:rFonts w:cs="Arial"/>
          <w:b/>
        </w:rPr>
        <w:t xml:space="preserve">GAUTENG DIVISION, </w:t>
      </w:r>
      <w:r w:rsidR="003A3344" w:rsidRPr="00982FB0">
        <w:rPr>
          <w:rFonts w:cs="Arial"/>
          <w:b/>
        </w:rPr>
        <w:t>PRETORIA</w:t>
      </w:r>
    </w:p>
    <w:p w14:paraId="62ED30A6" w14:textId="77777777" w:rsidR="00AD7F4C" w:rsidRPr="00982FB0" w:rsidRDefault="00AD7F4C" w:rsidP="002B39BC">
      <w:pPr>
        <w:jc w:val="center"/>
        <w:rPr>
          <w:rFonts w:cs="Arial"/>
        </w:rPr>
      </w:pPr>
    </w:p>
    <w:p w14:paraId="40704E42" w14:textId="77777777" w:rsidR="00A33502" w:rsidRPr="00982FB0" w:rsidRDefault="00A33502" w:rsidP="00222D24">
      <w:pPr>
        <w:jc w:val="right"/>
        <w:rPr>
          <w:rFonts w:cs="Arial"/>
        </w:rPr>
      </w:pPr>
    </w:p>
    <w:p w14:paraId="2F7720C8" w14:textId="0A81C6ED" w:rsidR="00222D24" w:rsidRPr="00982FB0" w:rsidRDefault="003876E6" w:rsidP="003876E6">
      <w:pPr>
        <w:tabs>
          <w:tab w:val="left" w:pos="480"/>
          <w:tab w:val="right" w:pos="9026"/>
        </w:tabs>
        <w:jc w:val="left"/>
        <w:rPr>
          <w:rFonts w:cs="Arial"/>
          <w:b/>
        </w:rPr>
      </w:pPr>
      <w:r w:rsidRPr="00982FB0">
        <w:rPr>
          <w:rFonts w:cs="Arial"/>
          <w:b/>
        </w:rPr>
        <w:tab/>
      </w:r>
      <w:r w:rsidRPr="00982FB0">
        <w:rPr>
          <w:rFonts w:cs="Arial"/>
          <w:b/>
        </w:rPr>
        <w:tab/>
      </w:r>
      <w:r w:rsidR="000B1DC3" w:rsidRPr="00982FB0">
        <w:rPr>
          <w:noProof/>
          <w:lang w:val="en-US" w:eastAsia="en-US"/>
        </w:rPr>
        <mc:AlternateContent>
          <mc:Choice Requires="wps">
            <w:drawing>
              <wp:anchor distT="0" distB="0" distL="114300" distR="114300" simplePos="0" relativeHeight="251654656" behindDoc="0" locked="0" layoutInCell="1" allowOverlap="1" wp14:anchorId="36F21609" wp14:editId="73F7F513">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01B45447" w14:textId="77777777" w:rsidR="00B209F5" w:rsidRPr="00913F95" w:rsidRDefault="00B209F5" w:rsidP="004F68B9">
                            <w:pPr>
                              <w:jc w:val="center"/>
                              <w:rPr>
                                <w:rFonts w:ascii="Century Gothic" w:hAnsi="Century Gothic"/>
                                <w:b/>
                                <w:sz w:val="20"/>
                                <w:szCs w:val="20"/>
                              </w:rPr>
                            </w:pPr>
                          </w:p>
                          <w:p w14:paraId="7E11E24F" w14:textId="5B8C5D9D" w:rsidR="00B209F5" w:rsidRPr="00024C6F" w:rsidRDefault="00F0006B" w:rsidP="00F0006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1D6234B2" w:rsidR="00B209F5" w:rsidRDefault="00F0006B" w:rsidP="00F0006B">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7C1DC6D8" w:rsidR="00B209F5" w:rsidRPr="00024C6F" w:rsidRDefault="00F0006B" w:rsidP="00F0006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50C46DA7"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7A7966">
                              <w:rPr>
                                <w:rFonts w:asciiTheme="minorHAnsi" w:hAnsiTheme="minorHAnsi" w:cstheme="minorHAnsi"/>
                                <w:b/>
                                <w:sz w:val="18"/>
                                <w:szCs w:val="18"/>
                              </w:rPr>
                              <w:t>10</w:t>
                            </w:r>
                            <w:r>
                              <w:rPr>
                                <w:rFonts w:asciiTheme="minorHAnsi" w:hAnsiTheme="minorHAnsi" w:cstheme="minorHAnsi"/>
                                <w:b/>
                                <w:sz w:val="18"/>
                                <w:szCs w:val="18"/>
                              </w:rPr>
                              <w:t>/</w:t>
                            </w:r>
                            <w:r w:rsidR="00103419">
                              <w:rPr>
                                <w:rFonts w:asciiTheme="minorHAnsi" w:hAnsiTheme="minorHAnsi" w:cstheme="minorHAnsi"/>
                                <w:b/>
                                <w:sz w:val="18"/>
                                <w:szCs w:val="18"/>
                              </w:rPr>
                              <w:t>0</w:t>
                            </w:r>
                            <w:r w:rsidR="00452110">
                              <w:rPr>
                                <w:rFonts w:asciiTheme="minorHAnsi" w:hAnsiTheme="minorHAnsi" w:cstheme="minorHAnsi"/>
                                <w:b/>
                                <w:sz w:val="18"/>
                                <w:szCs w:val="18"/>
                              </w:rPr>
                              <w:t>8</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21609"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blKgIAAFEEAAAOAAAAZHJzL2Uyb0RvYy54bWysVNtu2zAMfR+wfxD0vthxk6w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4VVR5G8LdHH0zYvV+mq1jOwyVr5ct86HDwI0iZuKOix9gmen&#10;ex/G0JeQRB+UbPZSqWS4Q71TjpwYtsk+fWd0Pw1ThvQVXS+L5ajA1OenEHn6/gahZcB+V1JX9PoS&#10;xMqo23vTpG4MTKpxj9kpg0lGIaN2o4phqIdzYWponlBSB2Nf4xzipgP3k5Iee7qi/seROUGJ+miw&#10;LOv5YhGHIBmLZRLUTT311MMMR6iKBkrG7S6Mg3O0Th46fGlsBAO3WMpWJpEj1ZHVmTf2bSrTecbi&#10;YEztFPXrT7B9BgAA//8DAFBLAwQUAAYACAAAACEAH5yRUuAAAAAKAQAADwAAAGRycy9kb3ducmV2&#10;LnhtbEyPy07DMBBF90j8gzVIbFDrNK7aNMSpEBIIdlAQ3brxNInwI9huGv6eYQW7Gc3VmXOr7WQN&#10;GzHE3jsJi3kGDF3jde9aCe9vD7MCWEzKaWW8QwnfGGFbX15UqtT+7F5x3KWWEcTFUknoUhpKzmPT&#10;oVVx7gd0dDv6YFWiNbRcB3UmuDU8z7IVt6p39KFTA9532HzuTlZCsXwa9/FZvHw0q6PZpJv1+PgV&#10;pLy+mu5ugSWc0l8YfvVJHWpyOviT05EZCTPCU1SCEDkwCiyLNQ0HCbkQC+B1xf9XqH8AAAD//wMA&#10;UEsBAi0AFAAGAAgAAAAhALaDOJL+AAAA4QEAABMAAAAAAAAAAAAAAAAAAAAAAFtDb250ZW50X1R5&#10;cGVzXS54bWxQSwECLQAUAAYACAAAACEAOP0h/9YAAACUAQAACwAAAAAAAAAAAAAAAAAvAQAAX3Jl&#10;bHMvLnJlbHNQSwECLQAUAAYACAAAACEACuIG5SoCAABRBAAADgAAAAAAAAAAAAAAAAAuAgAAZHJz&#10;L2Uyb0RvYy54bWxQSwECLQAUAAYACAAAACEAH5yRUuAAAAAKAQAADwAAAAAAAAAAAAAAAACEBAAA&#10;ZHJzL2Rvd25yZXYueG1sUEsFBgAAAAAEAAQA8wAAAJEFAAAAAA==&#10;">
                <v:textbox>
                  <w:txbxContent>
                    <w:p w14:paraId="01B45447" w14:textId="77777777" w:rsidR="00B209F5" w:rsidRPr="00913F95" w:rsidRDefault="00B209F5" w:rsidP="004F68B9">
                      <w:pPr>
                        <w:jc w:val="center"/>
                        <w:rPr>
                          <w:rFonts w:ascii="Century Gothic" w:hAnsi="Century Gothic"/>
                          <w:b/>
                          <w:sz w:val="20"/>
                          <w:szCs w:val="20"/>
                        </w:rPr>
                      </w:pPr>
                    </w:p>
                    <w:p w14:paraId="7E11E24F" w14:textId="5B8C5D9D" w:rsidR="00B209F5" w:rsidRPr="00024C6F" w:rsidRDefault="00F0006B" w:rsidP="00F0006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1D6234B2" w:rsidR="00B209F5" w:rsidRDefault="00F0006B" w:rsidP="00F0006B">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7C1DC6D8" w:rsidR="00B209F5" w:rsidRPr="00024C6F" w:rsidRDefault="00F0006B" w:rsidP="00F0006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50C46DA7"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7A7966">
                        <w:rPr>
                          <w:rFonts w:asciiTheme="minorHAnsi" w:hAnsiTheme="minorHAnsi" w:cstheme="minorHAnsi"/>
                          <w:b/>
                          <w:sz w:val="18"/>
                          <w:szCs w:val="18"/>
                        </w:rPr>
                        <w:t>10</w:t>
                      </w:r>
                      <w:r>
                        <w:rPr>
                          <w:rFonts w:asciiTheme="minorHAnsi" w:hAnsiTheme="minorHAnsi" w:cstheme="minorHAnsi"/>
                          <w:b/>
                          <w:sz w:val="18"/>
                          <w:szCs w:val="18"/>
                        </w:rPr>
                        <w:t>/</w:t>
                      </w:r>
                      <w:r w:rsidR="00103419">
                        <w:rPr>
                          <w:rFonts w:asciiTheme="minorHAnsi" w:hAnsiTheme="minorHAnsi" w:cstheme="minorHAnsi"/>
                          <w:b/>
                          <w:sz w:val="18"/>
                          <w:szCs w:val="18"/>
                        </w:rPr>
                        <w:t>0</w:t>
                      </w:r>
                      <w:r w:rsidR="00452110">
                        <w:rPr>
                          <w:rFonts w:asciiTheme="minorHAnsi" w:hAnsiTheme="minorHAnsi" w:cstheme="minorHAnsi"/>
                          <w:b/>
                          <w:sz w:val="18"/>
                          <w:szCs w:val="18"/>
                        </w:rPr>
                        <w:t>8</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982FB0">
        <w:rPr>
          <w:rFonts w:cs="Arial"/>
          <w:b/>
        </w:rPr>
        <w:t>C</w:t>
      </w:r>
      <w:r w:rsidR="008A5CAB" w:rsidRPr="00982FB0">
        <w:rPr>
          <w:rFonts w:cs="Arial"/>
          <w:b/>
        </w:rPr>
        <w:t>ase</w:t>
      </w:r>
      <w:r w:rsidR="00222D24" w:rsidRPr="00982FB0">
        <w:rPr>
          <w:rFonts w:cs="Arial"/>
          <w:b/>
        </w:rPr>
        <w:t xml:space="preserve"> N</w:t>
      </w:r>
      <w:r w:rsidR="008A5CAB" w:rsidRPr="00982FB0">
        <w:rPr>
          <w:rFonts w:cs="Arial"/>
          <w:b/>
        </w:rPr>
        <w:t>o</w:t>
      </w:r>
      <w:r w:rsidR="00222D24" w:rsidRPr="00982FB0">
        <w:rPr>
          <w:rFonts w:cs="Arial"/>
          <w:b/>
        </w:rPr>
        <w:t xml:space="preserve">: </w:t>
      </w:r>
      <w:r w:rsidR="000A6115" w:rsidRPr="00982FB0">
        <w:rPr>
          <w:rFonts w:cs="Arial"/>
          <w:b/>
        </w:rPr>
        <w:t>B</w:t>
      </w:r>
      <w:r w:rsidR="008C0099" w:rsidRPr="00982FB0">
        <w:rPr>
          <w:rFonts w:cs="Arial"/>
          <w:b/>
        </w:rPr>
        <w:t>39161/2022</w:t>
      </w:r>
    </w:p>
    <w:p w14:paraId="0831543A" w14:textId="77777777" w:rsidR="008A5CAB" w:rsidRPr="00982FB0" w:rsidRDefault="008A5CAB" w:rsidP="00F445C9">
      <w:pPr>
        <w:jc w:val="left"/>
        <w:rPr>
          <w:rFonts w:cs="Arial"/>
        </w:rPr>
      </w:pPr>
    </w:p>
    <w:p w14:paraId="6778F80E" w14:textId="77777777" w:rsidR="008A5CAB" w:rsidRPr="00982FB0" w:rsidRDefault="008A5CAB" w:rsidP="00F445C9">
      <w:pPr>
        <w:jc w:val="left"/>
        <w:rPr>
          <w:rFonts w:cs="Arial"/>
          <w:noProof/>
          <w:lang w:val="en-ZA"/>
        </w:rPr>
      </w:pPr>
    </w:p>
    <w:p w14:paraId="26D119C3" w14:textId="77777777" w:rsidR="003876E6" w:rsidRPr="00982FB0" w:rsidRDefault="003876E6" w:rsidP="00F445C9">
      <w:pPr>
        <w:jc w:val="left"/>
        <w:rPr>
          <w:rFonts w:cs="Arial"/>
        </w:rPr>
      </w:pPr>
    </w:p>
    <w:p w14:paraId="3ED61E2A" w14:textId="77777777" w:rsidR="00A33502" w:rsidRPr="00982FB0" w:rsidRDefault="00A33502" w:rsidP="00A33502">
      <w:pPr>
        <w:jc w:val="center"/>
        <w:rPr>
          <w:rFonts w:cs="Arial"/>
        </w:rPr>
      </w:pPr>
      <w:r w:rsidRPr="00982FB0">
        <w:rPr>
          <w:rFonts w:cs="Arial"/>
        </w:rPr>
        <w:tab/>
      </w:r>
      <w:r w:rsidRPr="00982FB0">
        <w:rPr>
          <w:rFonts w:cs="Arial"/>
        </w:rPr>
        <w:tab/>
      </w:r>
      <w:r w:rsidRPr="00982FB0">
        <w:rPr>
          <w:rFonts w:cs="Arial"/>
        </w:rPr>
        <w:tab/>
      </w:r>
      <w:r w:rsidRPr="00982FB0">
        <w:rPr>
          <w:rFonts w:cs="Arial"/>
        </w:rPr>
        <w:tab/>
      </w:r>
      <w:r w:rsidRPr="00982FB0">
        <w:rPr>
          <w:rFonts w:cs="Arial"/>
        </w:rPr>
        <w:tab/>
        <w:t xml:space="preserve">                                     </w:t>
      </w:r>
    </w:p>
    <w:p w14:paraId="3750004F" w14:textId="77777777" w:rsidR="009C7480" w:rsidRPr="00982FB0" w:rsidRDefault="009C7480" w:rsidP="00A33502">
      <w:pPr>
        <w:rPr>
          <w:rFonts w:cs="Arial"/>
        </w:rPr>
      </w:pPr>
    </w:p>
    <w:p w14:paraId="1328A261" w14:textId="77777777" w:rsidR="009C7480" w:rsidRPr="00982FB0" w:rsidRDefault="009C7480" w:rsidP="009C7480">
      <w:pPr>
        <w:rPr>
          <w:rFonts w:cs="Arial"/>
        </w:rPr>
      </w:pPr>
      <w:r w:rsidRPr="00982FB0">
        <w:rPr>
          <w:rFonts w:cs="Arial"/>
        </w:rPr>
        <w:t>In the matter between:</w:t>
      </w:r>
    </w:p>
    <w:p w14:paraId="18EA2840" w14:textId="77777777" w:rsidR="00222D24" w:rsidRPr="00982FB0" w:rsidRDefault="00222D24" w:rsidP="00CB5C55">
      <w:pPr>
        <w:jc w:val="right"/>
        <w:rPr>
          <w:rFonts w:cs="Arial"/>
        </w:rPr>
      </w:pPr>
    </w:p>
    <w:p w14:paraId="6A16DDE3" w14:textId="77777777" w:rsidR="009C7480" w:rsidRPr="00982FB0" w:rsidRDefault="009C7480" w:rsidP="009C7480">
      <w:pPr>
        <w:rPr>
          <w:rFonts w:cs="Arial"/>
        </w:rPr>
      </w:pPr>
    </w:p>
    <w:p w14:paraId="0A4B47FA" w14:textId="77777777" w:rsidR="00AA73D3" w:rsidRPr="00982FB0" w:rsidRDefault="00AA73D3" w:rsidP="00FB4FCD">
      <w:pPr>
        <w:pStyle w:val="Parties"/>
        <w:spacing w:before="120"/>
        <w:jc w:val="left"/>
        <w:rPr>
          <w:rFonts w:cs="Arial"/>
          <w:b/>
          <w:bCs/>
          <w:lang w:val="en-GB"/>
        </w:rPr>
      </w:pPr>
    </w:p>
    <w:p w14:paraId="0514F4A0" w14:textId="5E4F7896" w:rsidR="001C447E" w:rsidRPr="00982FB0" w:rsidRDefault="008C0099" w:rsidP="00FB4FCD">
      <w:pPr>
        <w:pStyle w:val="Parties"/>
        <w:spacing w:before="120"/>
        <w:jc w:val="left"/>
        <w:rPr>
          <w:rFonts w:cs="Arial"/>
          <w:b/>
          <w:bCs/>
          <w:lang w:val="en-GB"/>
        </w:rPr>
      </w:pPr>
      <w:r w:rsidRPr="00982FB0">
        <w:rPr>
          <w:rFonts w:cs="Arial"/>
          <w:b/>
          <w:bCs/>
          <w:lang w:val="en-GB"/>
        </w:rPr>
        <w:t>AKASIA ROAD SURFACING (PTY) LTD</w:t>
      </w:r>
      <w:r w:rsidR="00445E91" w:rsidRPr="00982FB0">
        <w:rPr>
          <w:rFonts w:cs="Arial"/>
          <w:b/>
          <w:bCs/>
          <w:lang w:val="en-GB"/>
        </w:rPr>
        <w:tab/>
      </w:r>
      <w:r w:rsidRPr="00982FB0">
        <w:rPr>
          <w:rFonts w:cs="Arial"/>
          <w:lang w:val="en-GB"/>
        </w:rPr>
        <w:t xml:space="preserve">First </w:t>
      </w:r>
      <w:r w:rsidR="000B7A7B" w:rsidRPr="00982FB0">
        <w:rPr>
          <w:rFonts w:cs="Arial"/>
          <w:lang w:val="en-GB"/>
        </w:rPr>
        <w:t>Applicant</w:t>
      </w:r>
    </w:p>
    <w:p w14:paraId="69BAC428" w14:textId="77777777" w:rsidR="008C0099" w:rsidRPr="00982FB0" w:rsidRDefault="008C0099" w:rsidP="008C0099">
      <w:pPr>
        <w:pStyle w:val="Parties"/>
        <w:spacing w:before="120"/>
        <w:jc w:val="left"/>
        <w:rPr>
          <w:rFonts w:cs="Arial"/>
          <w:lang w:val="en-GB"/>
        </w:rPr>
      </w:pPr>
      <w:r w:rsidRPr="00982FB0">
        <w:rPr>
          <w:rFonts w:cs="Arial"/>
          <w:lang w:val="en-GB"/>
        </w:rPr>
        <w:t>(Registration number 1996/010877/07)</w:t>
      </w:r>
      <w:r w:rsidR="008A5CAB" w:rsidRPr="00982FB0">
        <w:rPr>
          <w:rFonts w:cs="Arial"/>
          <w:lang w:val="en-GB"/>
        </w:rPr>
        <w:tab/>
      </w:r>
    </w:p>
    <w:p w14:paraId="19CF2D6C" w14:textId="77777777" w:rsidR="008C0099" w:rsidRPr="00982FB0" w:rsidRDefault="008C0099" w:rsidP="008C0099">
      <w:pPr>
        <w:pStyle w:val="Parties"/>
        <w:spacing w:before="120"/>
        <w:jc w:val="left"/>
        <w:rPr>
          <w:rFonts w:cs="Arial"/>
          <w:lang w:val="en-GB"/>
        </w:rPr>
      </w:pPr>
    </w:p>
    <w:p w14:paraId="45F7C57D" w14:textId="4D601910" w:rsidR="008C0099" w:rsidRPr="00982FB0" w:rsidRDefault="008C0099" w:rsidP="008C0099">
      <w:pPr>
        <w:pStyle w:val="Parties"/>
        <w:spacing w:before="120"/>
        <w:jc w:val="left"/>
        <w:rPr>
          <w:rFonts w:cs="Arial"/>
          <w:lang w:val="en-GB"/>
        </w:rPr>
      </w:pPr>
      <w:r w:rsidRPr="00982FB0">
        <w:rPr>
          <w:rFonts w:cs="Arial"/>
          <w:b/>
          <w:bCs/>
          <w:lang w:val="en-GB"/>
        </w:rPr>
        <w:t>ACORN PROPERTIES (PTY) LTD</w:t>
      </w:r>
      <w:r w:rsidRPr="00982FB0">
        <w:rPr>
          <w:rFonts w:cs="Arial"/>
          <w:b/>
          <w:bCs/>
          <w:lang w:val="en-GB"/>
        </w:rPr>
        <w:tab/>
      </w:r>
      <w:r w:rsidRPr="00982FB0">
        <w:rPr>
          <w:rFonts w:cs="Arial"/>
          <w:lang w:val="en-GB"/>
        </w:rPr>
        <w:t>Second Applicant</w:t>
      </w:r>
    </w:p>
    <w:p w14:paraId="0A549870" w14:textId="3F8CE4AE" w:rsidR="008C0099" w:rsidRPr="00982FB0" w:rsidRDefault="008C0099" w:rsidP="008C0099">
      <w:pPr>
        <w:pStyle w:val="Parties"/>
        <w:spacing w:before="120"/>
        <w:jc w:val="left"/>
        <w:rPr>
          <w:rFonts w:cs="Arial"/>
          <w:lang w:val="en-GB"/>
        </w:rPr>
      </w:pPr>
      <w:r w:rsidRPr="00982FB0">
        <w:rPr>
          <w:rFonts w:cs="Arial"/>
          <w:lang w:val="en-GB"/>
        </w:rPr>
        <w:t>(Registration number 2019/117075/07)</w:t>
      </w:r>
    </w:p>
    <w:p w14:paraId="0BE7085F" w14:textId="77777777" w:rsidR="008C0099" w:rsidRPr="00982FB0" w:rsidRDefault="008C0099" w:rsidP="008C0099">
      <w:pPr>
        <w:pStyle w:val="Parties"/>
        <w:spacing w:before="120"/>
        <w:jc w:val="left"/>
        <w:rPr>
          <w:rFonts w:cs="Arial"/>
          <w:b/>
          <w:bCs/>
          <w:lang w:val="en-GB"/>
        </w:rPr>
      </w:pPr>
    </w:p>
    <w:p w14:paraId="05480E2B" w14:textId="14899F22" w:rsidR="008C0099" w:rsidRPr="00982FB0" w:rsidRDefault="008C0099" w:rsidP="008C0099">
      <w:pPr>
        <w:pStyle w:val="Parties"/>
        <w:spacing w:before="120"/>
        <w:jc w:val="left"/>
        <w:rPr>
          <w:rFonts w:cs="Arial"/>
          <w:b/>
          <w:bCs/>
          <w:lang w:val="en-GB"/>
        </w:rPr>
      </w:pPr>
      <w:r w:rsidRPr="00982FB0">
        <w:rPr>
          <w:rFonts w:cs="Arial"/>
          <w:b/>
          <w:bCs/>
          <w:lang w:val="en-GB"/>
        </w:rPr>
        <w:t>RAUBEX ROADS AND EARTHWORKS HOLDINGS (PTY) LTD</w:t>
      </w:r>
      <w:r w:rsidRPr="00982FB0">
        <w:rPr>
          <w:rFonts w:cs="Arial"/>
          <w:b/>
          <w:bCs/>
          <w:lang w:val="en-GB"/>
        </w:rPr>
        <w:tab/>
      </w:r>
      <w:r w:rsidRPr="00982FB0">
        <w:rPr>
          <w:rFonts w:cs="Arial"/>
          <w:lang w:val="en-GB"/>
        </w:rPr>
        <w:t>Third Applicant</w:t>
      </w:r>
    </w:p>
    <w:p w14:paraId="1A6DE71D" w14:textId="69149FEB" w:rsidR="008C0099" w:rsidRPr="00982FB0" w:rsidRDefault="008C0099" w:rsidP="008C0099">
      <w:pPr>
        <w:pStyle w:val="Parties"/>
        <w:spacing w:before="120"/>
        <w:jc w:val="left"/>
        <w:rPr>
          <w:rFonts w:cs="Arial"/>
          <w:lang w:val="en-GB"/>
        </w:rPr>
      </w:pPr>
      <w:r w:rsidRPr="00982FB0">
        <w:rPr>
          <w:rFonts w:cs="Arial"/>
          <w:lang w:val="en-GB"/>
        </w:rPr>
        <w:t>(Registration number 1997/000224/07)</w:t>
      </w:r>
      <w:r w:rsidRPr="00982FB0">
        <w:rPr>
          <w:rFonts w:cs="Arial"/>
          <w:lang w:val="en-GB"/>
        </w:rPr>
        <w:tab/>
      </w:r>
    </w:p>
    <w:p w14:paraId="0FF95773" w14:textId="2376AA3F" w:rsidR="00222D24" w:rsidRPr="00982FB0" w:rsidRDefault="008C0099" w:rsidP="008C0099">
      <w:pPr>
        <w:pStyle w:val="Parties"/>
        <w:spacing w:before="120"/>
        <w:jc w:val="left"/>
        <w:rPr>
          <w:rFonts w:cs="Arial"/>
          <w:lang w:val="en-GB"/>
        </w:rPr>
      </w:pPr>
      <w:r w:rsidRPr="00982FB0">
        <w:rPr>
          <w:rFonts w:cs="Arial"/>
          <w:lang w:val="en-GB"/>
        </w:rPr>
        <w:tab/>
      </w:r>
      <w:r w:rsidR="009C7480" w:rsidRPr="00982FB0">
        <w:rPr>
          <w:rFonts w:cs="Arial"/>
          <w:lang w:val="en-GB"/>
        </w:rPr>
        <w:tab/>
      </w:r>
    </w:p>
    <w:p w14:paraId="6B9C8887" w14:textId="77777777" w:rsidR="00222D24" w:rsidRPr="00982FB0" w:rsidRDefault="007237D8" w:rsidP="009C7480">
      <w:pPr>
        <w:pStyle w:val="Parties"/>
        <w:rPr>
          <w:rFonts w:cs="Arial"/>
          <w:lang w:val="en-GB"/>
        </w:rPr>
      </w:pPr>
      <w:r w:rsidRPr="00982FB0">
        <w:rPr>
          <w:rFonts w:cs="Arial"/>
          <w:lang w:val="en-GB"/>
        </w:rPr>
        <w:t xml:space="preserve">and </w:t>
      </w:r>
    </w:p>
    <w:p w14:paraId="6F2E9442" w14:textId="77777777" w:rsidR="00AA73D3" w:rsidRPr="00982FB0" w:rsidRDefault="00AA73D3" w:rsidP="009C7480">
      <w:pPr>
        <w:pStyle w:val="Parties"/>
        <w:rPr>
          <w:rFonts w:cs="Arial"/>
          <w:lang w:val="en-GB"/>
        </w:rPr>
      </w:pPr>
    </w:p>
    <w:p w14:paraId="6FF96226" w14:textId="77777777" w:rsidR="007237D8" w:rsidRPr="00982FB0" w:rsidRDefault="007237D8" w:rsidP="009C7480">
      <w:pPr>
        <w:pStyle w:val="Parties"/>
        <w:rPr>
          <w:rFonts w:cs="Arial"/>
          <w:lang w:val="en-GB"/>
        </w:rPr>
      </w:pPr>
      <w:bookmarkStart w:id="1" w:name="_Hlk107739703"/>
    </w:p>
    <w:p w14:paraId="4D37450A" w14:textId="6785E90B" w:rsidR="00E21156" w:rsidRPr="00982FB0" w:rsidRDefault="008C0099" w:rsidP="009C7480">
      <w:pPr>
        <w:pStyle w:val="Parties"/>
        <w:rPr>
          <w:rFonts w:cs="Arial"/>
          <w:b/>
          <w:bCs/>
          <w:lang w:val="en-GB"/>
        </w:rPr>
      </w:pPr>
      <w:r w:rsidRPr="00982FB0">
        <w:rPr>
          <w:rFonts w:cs="Arial"/>
          <w:b/>
          <w:bCs/>
          <w:lang w:val="en-GB"/>
        </w:rPr>
        <w:t>CITY OF TSHWANE METROPOLITAN MUNICIPALITY</w:t>
      </w:r>
      <w:r w:rsidR="00445E91" w:rsidRPr="00982FB0">
        <w:rPr>
          <w:rFonts w:cs="Arial"/>
          <w:b/>
          <w:bCs/>
          <w:lang w:val="en-GB"/>
        </w:rPr>
        <w:tab/>
      </w:r>
      <w:r w:rsidR="00904145" w:rsidRPr="00982FB0">
        <w:rPr>
          <w:rFonts w:cs="Arial"/>
          <w:lang w:val="en-GB"/>
        </w:rPr>
        <w:t>Respondent</w:t>
      </w:r>
    </w:p>
    <w:p w14:paraId="5C606693" w14:textId="77777777" w:rsidR="005157E7" w:rsidRPr="00982FB0" w:rsidRDefault="005157E7" w:rsidP="009C7480">
      <w:pPr>
        <w:pStyle w:val="Parties"/>
        <w:rPr>
          <w:rFonts w:cs="Arial"/>
          <w:b/>
          <w:bCs/>
          <w:lang w:val="en-GB"/>
        </w:rPr>
      </w:pPr>
    </w:p>
    <w:bookmarkEnd w:id="1"/>
    <w:p w14:paraId="794BFC5A" w14:textId="77777777" w:rsidR="0037375D" w:rsidRPr="00982FB0" w:rsidRDefault="0037375D" w:rsidP="00F03EF8">
      <w:pPr>
        <w:tabs>
          <w:tab w:val="right" w:pos="8931"/>
        </w:tabs>
        <w:rPr>
          <w:rFonts w:eastAsia="Calibri" w:cs="Arial"/>
          <w:b/>
        </w:rPr>
      </w:pPr>
    </w:p>
    <w:p w14:paraId="731CF88F" w14:textId="77777777" w:rsidR="00E21156" w:rsidRPr="00982FB0" w:rsidRDefault="00E21156" w:rsidP="00E21156">
      <w:pPr>
        <w:rPr>
          <w:rFonts w:cs="Arial"/>
        </w:rPr>
      </w:pPr>
    </w:p>
    <w:p w14:paraId="39788D7F" w14:textId="77777777" w:rsidR="00450A5A" w:rsidRPr="00982FB0" w:rsidRDefault="003A3344" w:rsidP="00763EF5">
      <w:pPr>
        <w:pStyle w:val="TramLines"/>
        <w:jc w:val="center"/>
        <w:rPr>
          <w:rFonts w:cs="Arial"/>
        </w:rPr>
      </w:pPr>
      <w:r w:rsidRPr="00982FB0">
        <w:rPr>
          <w:rFonts w:cs="Arial"/>
        </w:rPr>
        <w:t>JUDGMENT</w:t>
      </w:r>
    </w:p>
    <w:p w14:paraId="60D90B3D" w14:textId="77777777" w:rsidR="008A5CAB" w:rsidRPr="00982FB0" w:rsidRDefault="008A5CAB" w:rsidP="00130D1F">
      <w:pPr>
        <w:rPr>
          <w:rFonts w:cs="Arial"/>
          <w:b/>
        </w:rPr>
      </w:pPr>
    </w:p>
    <w:p w14:paraId="3CBA34F8" w14:textId="77777777" w:rsidR="00D41B55" w:rsidRPr="00982FB0" w:rsidRDefault="00D41B55" w:rsidP="004266C6">
      <w:pPr>
        <w:spacing w:line="360" w:lineRule="auto"/>
        <w:rPr>
          <w:rFonts w:cs="Arial"/>
          <w:b/>
          <w:szCs w:val="24"/>
        </w:rPr>
      </w:pPr>
    </w:p>
    <w:p w14:paraId="35F87020" w14:textId="3FBFD0CE" w:rsidR="008C2EF1" w:rsidRPr="00982FB0" w:rsidRDefault="00BC748E" w:rsidP="004266C6">
      <w:pPr>
        <w:spacing w:line="360" w:lineRule="auto"/>
        <w:rPr>
          <w:rFonts w:cs="Arial"/>
          <w:b/>
          <w:szCs w:val="24"/>
        </w:rPr>
      </w:pPr>
      <w:r w:rsidRPr="00982FB0">
        <w:rPr>
          <w:rFonts w:cs="Arial"/>
          <w:b/>
          <w:szCs w:val="24"/>
        </w:rPr>
        <w:lastRenderedPageBreak/>
        <w:t>PHOOKO</w:t>
      </w:r>
      <w:r w:rsidR="001D2EA8" w:rsidRPr="00982FB0">
        <w:rPr>
          <w:rFonts w:cs="Arial"/>
          <w:b/>
          <w:szCs w:val="24"/>
        </w:rPr>
        <w:t xml:space="preserve"> </w:t>
      </w:r>
      <w:r w:rsidR="00130D1F" w:rsidRPr="00982FB0">
        <w:rPr>
          <w:rFonts w:cs="Arial"/>
          <w:b/>
          <w:szCs w:val="24"/>
        </w:rPr>
        <w:t>AJ</w:t>
      </w:r>
      <w:r w:rsidR="009C242A" w:rsidRPr="00982FB0">
        <w:rPr>
          <w:rFonts w:cs="Arial"/>
          <w:b/>
          <w:szCs w:val="24"/>
        </w:rPr>
        <w:t xml:space="preserve"> </w:t>
      </w:r>
    </w:p>
    <w:p w14:paraId="408D735B" w14:textId="77777777" w:rsidR="006F6229" w:rsidRPr="00982FB0" w:rsidRDefault="006F6229" w:rsidP="004266C6">
      <w:pPr>
        <w:spacing w:line="360" w:lineRule="auto"/>
        <w:rPr>
          <w:rFonts w:cs="Arial"/>
          <w:b/>
          <w:szCs w:val="24"/>
        </w:rPr>
      </w:pPr>
    </w:p>
    <w:p w14:paraId="16F247E8" w14:textId="77777777" w:rsidR="00E81F46" w:rsidRPr="00982FB0" w:rsidRDefault="00E81F46" w:rsidP="004266C6">
      <w:pPr>
        <w:spacing w:line="360" w:lineRule="auto"/>
        <w:rPr>
          <w:rFonts w:cs="Arial"/>
          <w:b/>
          <w:szCs w:val="24"/>
        </w:rPr>
      </w:pPr>
      <w:bookmarkStart w:id="2" w:name="_Hlk94344738"/>
      <w:r w:rsidRPr="00982FB0">
        <w:rPr>
          <w:rFonts w:cs="Arial"/>
          <w:b/>
          <w:szCs w:val="24"/>
        </w:rPr>
        <w:t>INTRODUCTION</w:t>
      </w:r>
    </w:p>
    <w:p w14:paraId="19DA6AE0" w14:textId="7AFDF7F1" w:rsidR="00095505" w:rsidRPr="00982FB0" w:rsidRDefault="00F0006B" w:rsidP="00F0006B">
      <w:pPr>
        <w:pStyle w:val="1"/>
        <w:numPr>
          <w:ilvl w:val="0"/>
          <w:numId w:val="0"/>
        </w:numPr>
        <w:tabs>
          <w:tab w:val="left" w:pos="567"/>
        </w:tabs>
        <w:ind w:left="567" w:hanging="567"/>
      </w:pPr>
      <w:r w:rsidRPr="00982FB0">
        <w:rPr>
          <w:rFonts w:cs="Arial"/>
          <w:szCs w:val="24"/>
        </w:rPr>
        <w:t>[1</w:t>
      </w:r>
      <w:bookmarkStart w:id="3" w:name="_GoBack"/>
      <w:bookmarkEnd w:id="3"/>
      <w:r w:rsidRPr="00982FB0">
        <w:rPr>
          <w:rFonts w:cs="Arial"/>
          <w:szCs w:val="24"/>
        </w:rPr>
        <w:t>]</w:t>
      </w:r>
      <w:r w:rsidRPr="00982FB0">
        <w:rPr>
          <w:rFonts w:cs="Arial"/>
          <w:szCs w:val="24"/>
        </w:rPr>
        <w:tab/>
      </w:r>
      <w:r w:rsidR="00A14452" w:rsidRPr="00982FB0">
        <w:t xml:space="preserve">This matter is complex and has a long history relating to </w:t>
      </w:r>
      <w:r w:rsidR="00691A84" w:rsidRPr="00982FB0">
        <w:t>disputed outstanding rates and taxes.</w:t>
      </w:r>
      <w:r w:rsidR="004815AE" w:rsidRPr="00982FB0">
        <w:t xml:space="preserve"> </w:t>
      </w:r>
      <w:r w:rsidR="00691A84" w:rsidRPr="00982FB0">
        <w:t xml:space="preserve">The </w:t>
      </w:r>
      <w:r w:rsidR="000A6115" w:rsidRPr="00982FB0">
        <w:t>clearance</w:t>
      </w:r>
      <w:r w:rsidR="00691A84" w:rsidRPr="00982FB0">
        <w:t xml:space="preserve"> figures throughout the pleadings do not</w:t>
      </w:r>
      <w:r w:rsidR="004815AE" w:rsidRPr="00982FB0">
        <w:t xml:space="preserve"> add up and</w:t>
      </w:r>
      <w:r w:rsidR="00691A84" w:rsidRPr="00982FB0">
        <w:t xml:space="preserve"> make sense</w:t>
      </w:r>
      <w:r w:rsidR="004815AE" w:rsidRPr="00982FB0">
        <w:t>.  I</w:t>
      </w:r>
      <w:r w:rsidR="00691A84" w:rsidRPr="00982FB0">
        <w:t xml:space="preserve">t is difficult to ascertain what is due and what the amount due relates to. </w:t>
      </w:r>
      <w:r w:rsidR="004815AE" w:rsidRPr="00982FB0">
        <w:t xml:space="preserve"> </w:t>
      </w:r>
      <w:r w:rsidR="00691A84" w:rsidRPr="00982FB0">
        <w:t>Consequently, reference will only be made to the amount that is allegedly due to the Respondent</w:t>
      </w:r>
      <w:r w:rsidR="00F736E8" w:rsidRPr="00982FB0">
        <w:t>,</w:t>
      </w:r>
      <w:r w:rsidR="00691A84" w:rsidRPr="00982FB0">
        <w:t xml:space="preserve"> and to</w:t>
      </w:r>
      <w:r w:rsidR="000A6115" w:rsidRPr="00982FB0">
        <w:t xml:space="preserve"> a</w:t>
      </w:r>
      <w:r w:rsidR="00691A84" w:rsidRPr="00982FB0">
        <w:t xml:space="preserve"> limited extent, other amounts may be referred to.</w:t>
      </w:r>
    </w:p>
    <w:p w14:paraId="6DF4FB31" w14:textId="542DC57C" w:rsidR="00064934" w:rsidRPr="00982FB0" w:rsidRDefault="00F0006B" w:rsidP="00F0006B">
      <w:pPr>
        <w:pStyle w:val="1"/>
        <w:numPr>
          <w:ilvl w:val="0"/>
          <w:numId w:val="0"/>
        </w:numPr>
        <w:tabs>
          <w:tab w:val="left" w:pos="567"/>
        </w:tabs>
        <w:ind w:left="567" w:hanging="567"/>
      </w:pPr>
      <w:r w:rsidRPr="00982FB0">
        <w:rPr>
          <w:rFonts w:cs="Arial"/>
          <w:szCs w:val="24"/>
        </w:rPr>
        <w:t>[2]</w:t>
      </w:r>
      <w:r w:rsidRPr="00982FB0">
        <w:rPr>
          <w:rFonts w:cs="Arial"/>
          <w:szCs w:val="24"/>
        </w:rPr>
        <w:tab/>
      </w:r>
      <w:r w:rsidR="006D4D8A" w:rsidRPr="00982FB0">
        <w:rPr>
          <w:rFonts w:cs="Arial"/>
          <w:szCs w:val="24"/>
          <w:lang w:val="en-ZA" w:eastAsia="en-US"/>
        </w:rPr>
        <w:t>Th</w:t>
      </w:r>
      <w:r w:rsidR="00942258" w:rsidRPr="00982FB0">
        <w:rPr>
          <w:rFonts w:cs="Arial"/>
          <w:szCs w:val="24"/>
          <w:lang w:val="en-ZA" w:eastAsia="en-US"/>
        </w:rPr>
        <w:t>is is an application</w:t>
      </w:r>
      <w:r w:rsidR="00256747" w:rsidRPr="00982FB0">
        <w:rPr>
          <w:rFonts w:cs="Arial"/>
          <w:szCs w:val="24"/>
          <w:lang w:val="en-ZA" w:eastAsia="en-US"/>
        </w:rPr>
        <w:t xml:space="preserve"> brought by the First Applicant seeking this Court to</w:t>
      </w:r>
      <w:r w:rsidR="00B26DE5" w:rsidRPr="00982FB0">
        <w:rPr>
          <w:rFonts w:cs="Arial"/>
          <w:szCs w:val="24"/>
          <w:lang w:val="en-ZA" w:eastAsia="en-US"/>
        </w:rPr>
        <w:t>,</w:t>
      </w:r>
      <w:r w:rsidR="00256747" w:rsidRPr="00982FB0">
        <w:rPr>
          <w:rFonts w:cs="Arial"/>
          <w:szCs w:val="24"/>
          <w:lang w:val="en-ZA" w:eastAsia="en-US"/>
        </w:rPr>
        <w:t xml:space="preserve"> </w:t>
      </w:r>
      <w:r w:rsidR="00256747" w:rsidRPr="001B4B65">
        <w:rPr>
          <w:rFonts w:cs="Arial"/>
          <w:i/>
          <w:szCs w:val="24"/>
          <w:lang w:val="en-ZA" w:eastAsia="en-US"/>
        </w:rPr>
        <w:t>inter alia</w:t>
      </w:r>
      <w:r w:rsidR="00B26DE5" w:rsidRPr="00982FB0">
        <w:rPr>
          <w:rFonts w:cs="Arial"/>
          <w:szCs w:val="24"/>
          <w:lang w:val="en-ZA" w:eastAsia="en-US"/>
        </w:rPr>
        <w:t>,</w:t>
      </w:r>
      <w:r w:rsidR="00064934" w:rsidRPr="00982FB0">
        <w:rPr>
          <w:rFonts w:cs="Arial"/>
          <w:szCs w:val="24"/>
          <w:lang w:val="en-ZA" w:eastAsia="en-US"/>
        </w:rPr>
        <w:t xml:space="preserve"> declare an amount of </w:t>
      </w:r>
      <w:bookmarkStart w:id="4" w:name="_Hlk141747224"/>
      <w:r w:rsidR="00064934" w:rsidRPr="00982FB0">
        <w:rPr>
          <w:rFonts w:cs="Arial"/>
          <w:szCs w:val="24"/>
          <w:lang w:val="en-ZA" w:eastAsia="en-US"/>
        </w:rPr>
        <w:t xml:space="preserve">R2 454 297.91 </w:t>
      </w:r>
      <w:bookmarkEnd w:id="4"/>
      <w:r w:rsidR="00064934" w:rsidRPr="00982FB0">
        <w:rPr>
          <w:rFonts w:cs="Arial"/>
          <w:szCs w:val="24"/>
          <w:lang w:val="en-ZA" w:eastAsia="en-US"/>
        </w:rPr>
        <w:t>in respect of disputed outstanding rates and taxes not due</w:t>
      </w:r>
      <w:r w:rsidR="00256747" w:rsidRPr="00982FB0">
        <w:rPr>
          <w:rFonts w:cs="Arial"/>
          <w:szCs w:val="24"/>
          <w:lang w:val="en-ZA" w:eastAsia="en-US"/>
        </w:rPr>
        <w:t xml:space="preserve"> </w:t>
      </w:r>
      <w:r w:rsidR="00064934" w:rsidRPr="00982FB0">
        <w:rPr>
          <w:rFonts w:cs="Arial"/>
          <w:szCs w:val="24"/>
          <w:lang w:val="en-ZA" w:eastAsia="en-US"/>
        </w:rPr>
        <w:t xml:space="preserve">to </w:t>
      </w:r>
      <w:r w:rsidR="00256747" w:rsidRPr="00982FB0">
        <w:rPr>
          <w:rFonts w:cs="Arial"/>
          <w:szCs w:val="24"/>
          <w:lang w:val="en-ZA" w:eastAsia="en-US"/>
        </w:rPr>
        <w:t xml:space="preserve">the Respondent </w:t>
      </w:r>
      <w:r w:rsidR="00064934" w:rsidRPr="00982FB0">
        <w:rPr>
          <w:rFonts w:cs="Arial"/>
          <w:szCs w:val="24"/>
          <w:lang w:val="en-ZA" w:eastAsia="en-US"/>
        </w:rPr>
        <w:t xml:space="preserve">and that the Respondent be ordered to issue </w:t>
      </w:r>
      <w:r w:rsidR="004C7940" w:rsidRPr="00982FB0">
        <w:rPr>
          <w:rFonts w:cs="Arial"/>
          <w:szCs w:val="24"/>
          <w:lang w:val="en-ZA" w:eastAsia="en-US"/>
        </w:rPr>
        <w:t xml:space="preserve">a </w:t>
      </w:r>
      <w:r w:rsidR="00FD6110" w:rsidRPr="00982FB0">
        <w:rPr>
          <w:rFonts w:cs="Arial"/>
          <w:szCs w:val="24"/>
          <w:lang w:val="en-ZA" w:eastAsia="en-US"/>
        </w:rPr>
        <w:t xml:space="preserve">rates </w:t>
      </w:r>
      <w:r w:rsidR="00064934" w:rsidRPr="00982FB0">
        <w:rPr>
          <w:rFonts w:cs="Arial"/>
          <w:szCs w:val="24"/>
          <w:lang w:val="en-ZA" w:eastAsia="en-US"/>
        </w:rPr>
        <w:t>clearance certificate to the First Applicant as per section 118</w:t>
      </w:r>
      <w:r w:rsidR="000A6115" w:rsidRPr="00982FB0">
        <w:rPr>
          <w:rFonts w:cs="Arial"/>
          <w:szCs w:val="24"/>
          <w:lang w:val="en-ZA" w:eastAsia="en-US"/>
        </w:rPr>
        <w:t>(1)</w:t>
      </w:r>
      <w:r w:rsidR="00064934" w:rsidRPr="00982FB0">
        <w:rPr>
          <w:rFonts w:cs="Arial"/>
          <w:szCs w:val="24"/>
          <w:lang w:val="en-ZA" w:eastAsia="en-US"/>
        </w:rPr>
        <w:t xml:space="preserve"> of the</w:t>
      </w:r>
      <w:r w:rsidR="004C7940" w:rsidRPr="00982FB0">
        <w:rPr>
          <w:rFonts w:cs="Arial"/>
          <w:szCs w:val="24"/>
          <w:lang w:val="en-ZA" w:eastAsia="en-US"/>
        </w:rPr>
        <w:t xml:space="preserve"> </w:t>
      </w:r>
      <w:r w:rsidR="004C7940" w:rsidRPr="001B4B65">
        <w:rPr>
          <w:rFonts w:cs="Arial"/>
          <w:shd w:val="clear" w:color="auto" w:fill="FFFFFF"/>
        </w:rPr>
        <w:t>Municipal Systems Act</w:t>
      </w:r>
      <w:r w:rsidR="006D2CA9" w:rsidRPr="001B4B65">
        <w:rPr>
          <w:rStyle w:val="FootnoteReference"/>
          <w:rFonts w:cs="Arial"/>
          <w:shd w:val="clear" w:color="auto" w:fill="FFFFFF"/>
        </w:rPr>
        <w:footnoteReference w:id="1"/>
      </w:r>
      <w:r w:rsidR="004C7940" w:rsidRPr="001B4B65">
        <w:rPr>
          <w:rFonts w:cs="Arial"/>
          <w:shd w:val="clear" w:color="auto" w:fill="FFFFFF"/>
        </w:rPr>
        <w:t xml:space="preserve"> (</w:t>
      </w:r>
      <w:r w:rsidR="000A6115" w:rsidRPr="001B4B65">
        <w:rPr>
          <w:rFonts w:cs="Arial"/>
          <w:shd w:val="clear" w:color="auto" w:fill="FFFFFF"/>
        </w:rPr>
        <w:t xml:space="preserve">the </w:t>
      </w:r>
      <w:r w:rsidR="004C7940" w:rsidRPr="001B4B65">
        <w:rPr>
          <w:rFonts w:cs="Arial"/>
          <w:shd w:val="clear" w:color="auto" w:fill="FFFFFF"/>
        </w:rPr>
        <w:t xml:space="preserve">Systems Act). </w:t>
      </w:r>
      <w:r w:rsidR="000B1DC3" w:rsidRPr="001B4B65">
        <w:rPr>
          <w:rFonts w:cs="Arial"/>
          <w:shd w:val="clear" w:color="auto" w:fill="FFFFFF"/>
        </w:rPr>
        <w:t xml:space="preserve"> </w:t>
      </w:r>
      <w:r w:rsidR="004C7940" w:rsidRPr="001B4B65">
        <w:rPr>
          <w:rFonts w:cs="Arial"/>
          <w:shd w:val="clear" w:color="auto" w:fill="FFFFFF"/>
        </w:rPr>
        <w:t>The basis for this is that the said rates and taxes are a historical debt and ought to be excluded from the clearance figures that were requested in May 2021.</w:t>
      </w:r>
    </w:p>
    <w:p w14:paraId="061F9664" w14:textId="7947D7C6" w:rsidR="00064934" w:rsidRPr="00982FB0" w:rsidRDefault="00F0006B" w:rsidP="00F0006B">
      <w:pPr>
        <w:pStyle w:val="1"/>
        <w:numPr>
          <w:ilvl w:val="0"/>
          <w:numId w:val="0"/>
        </w:numPr>
        <w:tabs>
          <w:tab w:val="left" w:pos="567"/>
        </w:tabs>
        <w:spacing w:before="240"/>
        <w:ind w:left="567" w:hanging="567"/>
      </w:pPr>
      <w:r w:rsidRPr="00982FB0">
        <w:rPr>
          <w:rFonts w:cs="Arial"/>
          <w:szCs w:val="24"/>
        </w:rPr>
        <w:t>[3]</w:t>
      </w:r>
      <w:r w:rsidRPr="00982FB0">
        <w:rPr>
          <w:rFonts w:cs="Arial"/>
          <w:szCs w:val="24"/>
        </w:rPr>
        <w:tab/>
      </w:r>
      <w:r w:rsidR="00064934" w:rsidRPr="00982FB0">
        <w:rPr>
          <w:rFonts w:cs="Arial"/>
          <w:szCs w:val="24"/>
          <w:lang w:val="en-ZA" w:eastAsia="en-US"/>
        </w:rPr>
        <w:t xml:space="preserve">The Respondent opposed the application on the basis that it is inter alia entitled to withhold the First </w:t>
      </w:r>
      <w:r w:rsidR="00D307B6">
        <w:rPr>
          <w:rFonts w:cs="Arial"/>
          <w:szCs w:val="24"/>
          <w:lang w:val="en-ZA" w:eastAsia="en-US"/>
        </w:rPr>
        <w:t>Applicant’s</w:t>
      </w:r>
      <w:r w:rsidR="00064934" w:rsidRPr="00982FB0">
        <w:rPr>
          <w:rFonts w:cs="Arial"/>
          <w:szCs w:val="24"/>
        </w:rPr>
        <w:t xml:space="preserve"> rates clearance certificate pending the payment of </w:t>
      </w:r>
      <w:r w:rsidR="000A6115" w:rsidRPr="00982FB0">
        <w:rPr>
          <w:rFonts w:cs="Arial"/>
          <w:szCs w:val="24"/>
        </w:rPr>
        <w:t xml:space="preserve">all </w:t>
      </w:r>
      <w:r w:rsidR="00064934" w:rsidRPr="00982FB0">
        <w:rPr>
          <w:rFonts w:cs="Arial"/>
          <w:szCs w:val="24"/>
        </w:rPr>
        <w:t>outstanding rates,</w:t>
      </w:r>
      <w:r w:rsidR="004C7940" w:rsidRPr="00982FB0">
        <w:rPr>
          <w:rFonts w:cs="Arial"/>
          <w:szCs w:val="24"/>
        </w:rPr>
        <w:t xml:space="preserve"> and taxes</w:t>
      </w:r>
      <w:r w:rsidR="00064934" w:rsidRPr="00982FB0">
        <w:rPr>
          <w:rFonts w:cs="Arial"/>
          <w:szCs w:val="24"/>
        </w:rPr>
        <w:t xml:space="preserve"> and that the </w:t>
      </w:r>
      <w:r w:rsidR="00064934" w:rsidRPr="00982FB0">
        <w:rPr>
          <w:rFonts w:cs="Arial"/>
          <w:szCs w:val="24"/>
          <w:lang w:val="en-ZA" w:eastAsia="en-US"/>
        </w:rPr>
        <w:t xml:space="preserve">First Applicant seeks to resolve a </w:t>
      </w:r>
      <w:r w:rsidR="000A6115" w:rsidRPr="00982FB0">
        <w:rPr>
          <w:rFonts w:cs="Arial"/>
          <w:szCs w:val="24"/>
          <w:lang w:val="en-ZA" w:eastAsia="en-US"/>
        </w:rPr>
        <w:t xml:space="preserve">February/March </w:t>
      </w:r>
      <w:r w:rsidR="00064934" w:rsidRPr="00982FB0">
        <w:rPr>
          <w:rFonts w:cs="Arial"/>
          <w:szCs w:val="24"/>
          <w:lang w:val="en-ZA" w:eastAsia="en-US"/>
        </w:rPr>
        <w:t xml:space="preserve">2014 rate and taxes dispute via a February 2020 </w:t>
      </w:r>
      <w:r w:rsidR="004C7940" w:rsidRPr="00982FB0">
        <w:rPr>
          <w:rFonts w:cs="Arial"/>
          <w:szCs w:val="24"/>
          <w:lang w:val="en-ZA" w:eastAsia="en-US"/>
        </w:rPr>
        <w:t xml:space="preserve">property sale </w:t>
      </w:r>
      <w:r w:rsidR="00064934" w:rsidRPr="00982FB0">
        <w:rPr>
          <w:rFonts w:cs="Arial"/>
          <w:szCs w:val="24"/>
          <w:lang w:val="en-ZA" w:eastAsia="en-US"/>
        </w:rPr>
        <w:t xml:space="preserve">transaction. </w:t>
      </w:r>
    </w:p>
    <w:p w14:paraId="4814E292" w14:textId="77777777" w:rsidR="00D307B6" w:rsidRDefault="00D307B6" w:rsidP="002C7B9F">
      <w:pPr>
        <w:pStyle w:val="1"/>
        <w:numPr>
          <w:ilvl w:val="0"/>
          <w:numId w:val="0"/>
        </w:numPr>
        <w:rPr>
          <w:b/>
          <w:bCs/>
        </w:rPr>
      </w:pPr>
    </w:p>
    <w:p w14:paraId="2B02142F" w14:textId="554EB8D0" w:rsidR="00B97F58" w:rsidRPr="00982FB0" w:rsidRDefault="00B97F58" w:rsidP="002C7B9F">
      <w:pPr>
        <w:pStyle w:val="1"/>
        <w:numPr>
          <w:ilvl w:val="0"/>
          <w:numId w:val="0"/>
        </w:numPr>
        <w:rPr>
          <w:b/>
          <w:bCs/>
        </w:rPr>
      </w:pPr>
      <w:r w:rsidRPr="00982FB0">
        <w:rPr>
          <w:b/>
          <w:bCs/>
        </w:rPr>
        <w:lastRenderedPageBreak/>
        <w:t>PARTIES</w:t>
      </w:r>
    </w:p>
    <w:p w14:paraId="262DE191" w14:textId="0EDE17E8" w:rsidR="002F6982" w:rsidRPr="00982FB0" w:rsidRDefault="00F0006B" w:rsidP="00F0006B">
      <w:pPr>
        <w:pStyle w:val="1"/>
        <w:numPr>
          <w:ilvl w:val="0"/>
          <w:numId w:val="0"/>
        </w:numPr>
        <w:tabs>
          <w:tab w:val="left" w:pos="567"/>
        </w:tabs>
        <w:spacing w:before="240"/>
        <w:ind w:left="567" w:hanging="567"/>
        <w:rPr>
          <w:rFonts w:cs="Arial"/>
          <w:szCs w:val="24"/>
        </w:rPr>
      </w:pPr>
      <w:r w:rsidRPr="00982FB0">
        <w:rPr>
          <w:rFonts w:cs="Arial"/>
          <w:szCs w:val="24"/>
        </w:rPr>
        <w:t>[4]</w:t>
      </w:r>
      <w:r w:rsidRPr="00982FB0">
        <w:rPr>
          <w:rFonts w:cs="Arial"/>
          <w:szCs w:val="24"/>
        </w:rPr>
        <w:tab/>
      </w:r>
      <w:r w:rsidR="00B97F58" w:rsidRPr="00982FB0">
        <w:rPr>
          <w:rFonts w:cs="Arial"/>
          <w:szCs w:val="24"/>
          <w:lang w:val="en-ZA" w:eastAsia="en-US"/>
        </w:rPr>
        <w:t>The First Applicant is Akasisa R</w:t>
      </w:r>
      <w:r w:rsidR="000A6115" w:rsidRPr="00982FB0">
        <w:rPr>
          <w:rFonts w:cs="Arial"/>
          <w:szCs w:val="24"/>
          <w:lang w:val="en-ZA" w:eastAsia="en-US"/>
        </w:rPr>
        <w:t>o</w:t>
      </w:r>
      <w:r w:rsidR="00B97F58" w:rsidRPr="00982FB0">
        <w:rPr>
          <w:rFonts w:cs="Arial"/>
          <w:szCs w:val="24"/>
          <w:lang w:val="en-ZA" w:eastAsia="en-US"/>
        </w:rPr>
        <w:t>ad Surfacing (Pty) Ltd with a registration number 1996/010877/07, a company duly registered and incorporated in terms of the laws of the Republic of South Africa whose main place of business is at 47 Graf Road, Bon Accord, Pretoria, Gauteng Province.</w:t>
      </w:r>
    </w:p>
    <w:p w14:paraId="2058BB42" w14:textId="77777777" w:rsidR="00612572" w:rsidRDefault="00FF1890" w:rsidP="00612572">
      <w:pPr>
        <w:pStyle w:val="1"/>
        <w:numPr>
          <w:ilvl w:val="0"/>
          <w:numId w:val="0"/>
        </w:numPr>
        <w:tabs>
          <w:tab w:val="left" w:pos="1276"/>
        </w:tabs>
        <w:spacing w:before="240" w:line="360" w:lineRule="auto"/>
        <w:ind w:left="2157" w:hanging="1590"/>
        <w:rPr>
          <w:rFonts w:cs="Arial"/>
          <w:iCs w:val="0"/>
          <w:szCs w:val="24"/>
          <w:lang w:val="en-ZA" w:eastAsia="en-US"/>
        </w:rPr>
      </w:pPr>
      <w:r w:rsidRPr="00982FB0">
        <w:rPr>
          <w:rFonts w:cs="Arial"/>
          <w:iCs w:val="0"/>
          <w:szCs w:val="24"/>
          <w:lang w:val="en-ZA" w:eastAsia="en-US"/>
        </w:rPr>
        <w:t>[</w:t>
      </w:r>
      <w:r w:rsidR="007E31E3" w:rsidRPr="00982FB0">
        <w:rPr>
          <w:rFonts w:cs="Arial"/>
          <w:iCs w:val="0"/>
          <w:szCs w:val="24"/>
          <w:lang w:val="en-ZA" w:eastAsia="en-US"/>
        </w:rPr>
        <w:t>4</w:t>
      </w:r>
      <w:r w:rsidRPr="00982FB0">
        <w:rPr>
          <w:rFonts w:cs="Arial"/>
          <w:iCs w:val="0"/>
          <w:szCs w:val="24"/>
          <w:lang w:val="en-ZA" w:eastAsia="en-US"/>
        </w:rPr>
        <w:t>.1]</w:t>
      </w:r>
      <w:r w:rsidR="00C61B12" w:rsidRPr="00982FB0">
        <w:rPr>
          <w:rFonts w:cs="Arial"/>
          <w:iCs w:val="0"/>
          <w:szCs w:val="24"/>
          <w:lang w:val="en-ZA" w:eastAsia="en-US"/>
        </w:rPr>
        <w:tab/>
      </w:r>
      <w:r w:rsidR="00A130A4" w:rsidRPr="00982FB0">
        <w:rPr>
          <w:rFonts w:cs="Arial"/>
          <w:iCs w:val="0"/>
          <w:szCs w:val="24"/>
          <w:lang w:val="en-ZA" w:eastAsia="en-US"/>
        </w:rPr>
        <w:t>The First Applicant was previously known and registered as Bonn Plant</w:t>
      </w:r>
      <w:r w:rsidR="00612572">
        <w:rPr>
          <w:rFonts w:cs="Arial"/>
          <w:iCs w:val="0"/>
          <w:szCs w:val="24"/>
          <w:lang w:val="en-ZA" w:eastAsia="en-US"/>
        </w:rPr>
        <w:t xml:space="preserve"> </w:t>
      </w:r>
    </w:p>
    <w:p w14:paraId="0916F14F" w14:textId="5739D6CF" w:rsidR="00A130A4" w:rsidRPr="00982FB0" w:rsidRDefault="00612572" w:rsidP="00612572">
      <w:pPr>
        <w:pStyle w:val="1"/>
        <w:numPr>
          <w:ilvl w:val="0"/>
          <w:numId w:val="0"/>
        </w:numPr>
        <w:tabs>
          <w:tab w:val="left" w:pos="1276"/>
        </w:tabs>
        <w:spacing w:before="240" w:line="360" w:lineRule="auto"/>
        <w:ind w:left="2157" w:hanging="1590"/>
        <w:rPr>
          <w:rFonts w:cs="Arial"/>
          <w:szCs w:val="24"/>
          <w:lang w:val="en-ZA" w:eastAsia="en-US"/>
        </w:rPr>
      </w:pPr>
      <w:r>
        <w:rPr>
          <w:rFonts w:cs="Arial"/>
          <w:iCs w:val="0"/>
          <w:szCs w:val="24"/>
          <w:lang w:val="en-ZA" w:eastAsia="en-US"/>
        </w:rPr>
        <w:tab/>
      </w:r>
      <w:r w:rsidR="00A130A4" w:rsidRPr="00982FB0">
        <w:rPr>
          <w:rFonts w:cs="Arial"/>
          <w:szCs w:val="24"/>
          <w:lang w:val="en-ZA" w:eastAsia="en-US"/>
        </w:rPr>
        <w:t>Hire (Pty) Ltd.</w:t>
      </w:r>
    </w:p>
    <w:p w14:paraId="6ABDB5B9" w14:textId="2EA79EDD" w:rsidR="00FF1890" w:rsidRPr="00982FB0" w:rsidRDefault="00A130A4" w:rsidP="00612572">
      <w:pPr>
        <w:pStyle w:val="1"/>
        <w:numPr>
          <w:ilvl w:val="0"/>
          <w:numId w:val="0"/>
        </w:numPr>
        <w:tabs>
          <w:tab w:val="left" w:pos="1276"/>
        </w:tabs>
        <w:spacing w:before="240" w:line="360" w:lineRule="auto"/>
        <w:ind w:left="2157" w:hanging="1590"/>
        <w:rPr>
          <w:rFonts w:cs="Arial"/>
          <w:szCs w:val="24"/>
        </w:rPr>
      </w:pPr>
      <w:r w:rsidRPr="00982FB0">
        <w:rPr>
          <w:rFonts w:cs="Arial"/>
          <w:szCs w:val="24"/>
          <w:lang w:val="en-ZA" w:eastAsia="en-US"/>
        </w:rPr>
        <w:t>[</w:t>
      </w:r>
      <w:r w:rsidR="007E31E3" w:rsidRPr="00982FB0">
        <w:rPr>
          <w:rFonts w:cs="Arial"/>
          <w:szCs w:val="24"/>
          <w:lang w:val="en-ZA" w:eastAsia="en-US"/>
        </w:rPr>
        <w:t>4</w:t>
      </w:r>
      <w:r w:rsidRPr="00982FB0">
        <w:rPr>
          <w:rFonts w:cs="Arial"/>
          <w:szCs w:val="24"/>
          <w:lang w:val="en-ZA" w:eastAsia="en-US"/>
        </w:rPr>
        <w:t>.2]</w:t>
      </w:r>
      <w:r w:rsidR="00C61B12" w:rsidRPr="00982FB0">
        <w:rPr>
          <w:rFonts w:cs="Arial"/>
          <w:szCs w:val="24"/>
          <w:lang w:val="en-ZA" w:eastAsia="en-US"/>
        </w:rPr>
        <w:tab/>
      </w:r>
      <w:r w:rsidR="00FF1890" w:rsidRPr="00982FB0">
        <w:rPr>
          <w:rFonts w:cs="Arial"/>
          <w:szCs w:val="24"/>
          <w:lang w:val="en-ZA" w:eastAsia="en-US"/>
        </w:rPr>
        <w:t>The First Applicant is a wholly owned subsidiary of the Third Applicant</w:t>
      </w:r>
      <w:r w:rsidR="009E7720" w:rsidRPr="00982FB0">
        <w:rPr>
          <w:rFonts w:cs="Arial"/>
          <w:szCs w:val="24"/>
          <w:lang w:val="en-ZA" w:eastAsia="en-US"/>
        </w:rPr>
        <w:t>.</w:t>
      </w:r>
      <w:r w:rsidR="00FF1890" w:rsidRPr="00982FB0">
        <w:rPr>
          <w:rFonts w:cs="Arial"/>
          <w:szCs w:val="24"/>
          <w:lang w:val="en-ZA" w:eastAsia="en-US"/>
        </w:rPr>
        <w:t xml:space="preserve"> </w:t>
      </w:r>
    </w:p>
    <w:p w14:paraId="7D4E70E7" w14:textId="62B9D99C" w:rsidR="00B97F58"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[5]</w:t>
      </w:r>
      <w:r w:rsidRPr="00982FB0">
        <w:rPr>
          <w:rFonts w:cs="Arial"/>
          <w:szCs w:val="24"/>
        </w:rPr>
        <w:tab/>
      </w:r>
      <w:r w:rsidR="00B97F58" w:rsidRPr="00982FB0">
        <w:rPr>
          <w:rFonts w:cs="Arial"/>
          <w:szCs w:val="24"/>
          <w:lang w:val="en-ZA" w:eastAsia="en-US"/>
        </w:rPr>
        <w:t>The Second Applicant is Acorn Properties (Pty) Ltd with a registration number 2019/117075/07, a company duly registered and incorporated in terms of the laws of the Republic of South Africa and whose main place of business is at 21 McHardy Avenue, Holland PARK, Qgebhera, Eastern Cape Province.</w:t>
      </w:r>
    </w:p>
    <w:p w14:paraId="58988127" w14:textId="65F1EF94" w:rsidR="00B97F58" w:rsidRPr="00982FB0" w:rsidRDefault="00B97F58" w:rsidP="001B4B65">
      <w:pPr>
        <w:pStyle w:val="1"/>
        <w:numPr>
          <w:ilvl w:val="0"/>
          <w:numId w:val="0"/>
        </w:numPr>
        <w:tabs>
          <w:tab w:val="left" w:pos="1276"/>
        </w:tabs>
        <w:spacing w:before="240" w:line="360" w:lineRule="auto"/>
        <w:ind w:left="1276" w:hanging="709"/>
        <w:rPr>
          <w:rFonts w:cs="Arial"/>
          <w:szCs w:val="24"/>
          <w:lang w:val="en-ZA" w:eastAsia="en-US"/>
        </w:rPr>
      </w:pPr>
      <w:r w:rsidRPr="00982FB0">
        <w:rPr>
          <w:rFonts w:cs="Arial"/>
          <w:iCs w:val="0"/>
          <w:szCs w:val="24"/>
          <w:lang w:val="en-ZA" w:eastAsia="en-US"/>
        </w:rPr>
        <w:t>[</w:t>
      </w:r>
      <w:r w:rsidR="007E31E3" w:rsidRPr="00982FB0">
        <w:rPr>
          <w:rFonts w:cs="Arial"/>
          <w:iCs w:val="0"/>
          <w:szCs w:val="24"/>
          <w:lang w:val="en-ZA" w:eastAsia="en-US"/>
        </w:rPr>
        <w:t>5</w:t>
      </w:r>
      <w:r w:rsidRPr="00982FB0">
        <w:rPr>
          <w:rFonts w:cs="Arial"/>
          <w:iCs w:val="0"/>
          <w:szCs w:val="24"/>
          <w:lang w:val="en-ZA" w:eastAsia="en-US"/>
        </w:rPr>
        <w:t>.1]</w:t>
      </w:r>
      <w:r w:rsidR="00C61B12" w:rsidRPr="00982FB0">
        <w:rPr>
          <w:rFonts w:cs="Arial"/>
          <w:iCs w:val="0"/>
          <w:szCs w:val="24"/>
          <w:lang w:val="en-ZA" w:eastAsia="en-US"/>
        </w:rPr>
        <w:tab/>
      </w:r>
      <w:r w:rsidR="00D671D7" w:rsidRPr="00982FB0">
        <w:rPr>
          <w:rFonts w:cs="Arial"/>
          <w:iCs w:val="0"/>
          <w:szCs w:val="24"/>
          <w:lang w:val="en-ZA" w:eastAsia="en-US"/>
        </w:rPr>
        <w:t>The Second Applicant underwent a name change and was previously</w:t>
      </w:r>
      <w:r w:rsidR="00F9157C" w:rsidRPr="00982FB0">
        <w:rPr>
          <w:rFonts w:cs="Arial"/>
          <w:iCs w:val="0"/>
          <w:szCs w:val="24"/>
          <w:lang w:val="en-ZA" w:eastAsia="en-US"/>
        </w:rPr>
        <w:t xml:space="preserve"> </w:t>
      </w:r>
      <w:r w:rsidR="00D671D7" w:rsidRPr="00982FB0">
        <w:rPr>
          <w:rFonts w:cs="Arial"/>
          <w:szCs w:val="24"/>
          <w:lang w:val="en-ZA" w:eastAsia="en-US"/>
        </w:rPr>
        <w:t xml:space="preserve">known and registered as Raubex Property Investments (Pty) Ltd. </w:t>
      </w:r>
      <w:r w:rsidR="00C61B12" w:rsidRPr="00982FB0">
        <w:rPr>
          <w:rFonts w:cs="Arial"/>
          <w:szCs w:val="24"/>
          <w:lang w:val="en-ZA" w:eastAsia="en-US"/>
        </w:rPr>
        <w:t xml:space="preserve"> </w:t>
      </w:r>
      <w:r w:rsidR="00D671D7" w:rsidRPr="00982FB0">
        <w:rPr>
          <w:rFonts w:cs="Arial"/>
          <w:szCs w:val="24"/>
          <w:lang w:val="en-ZA" w:eastAsia="en-US"/>
        </w:rPr>
        <w:t>This name has since been changed to Acorn Properties (Pty) Ltd.</w:t>
      </w:r>
    </w:p>
    <w:p w14:paraId="7F63010F" w14:textId="77B7D6D6" w:rsidR="00D671D7"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[6]</w:t>
      </w:r>
      <w:r w:rsidRPr="00982FB0">
        <w:rPr>
          <w:rFonts w:cs="Arial"/>
          <w:szCs w:val="24"/>
        </w:rPr>
        <w:tab/>
      </w:r>
      <w:r w:rsidR="00D671D7" w:rsidRPr="00982FB0">
        <w:rPr>
          <w:rFonts w:cs="Arial"/>
          <w:szCs w:val="24"/>
        </w:rPr>
        <w:t xml:space="preserve">The Third Applicant is Raubex Roads and Earthworks Holdings (Pty) Ltd with a registration number 2006/023666/06, a company duly registered and incorporated in terms of the laws of the Republic of South Africa and whose main place of business is at Building 1, Highrove Office Park, 50 Tegel Avenue, Highveld, centurion, Gauteng Province. </w:t>
      </w:r>
    </w:p>
    <w:p w14:paraId="08CC7FAE" w14:textId="60F2A474" w:rsidR="007E31E3" w:rsidRPr="00982FB0" w:rsidRDefault="00FF1890" w:rsidP="00612572">
      <w:pPr>
        <w:pStyle w:val="1"/>
        <w:numPr>
          <w:ilvl w:val="0"/>
          <w:numId w:val="0"/>
        </w:numPr>
        <w:tabs>
          <w:tab w:val="left" w:pos="1276"/>
        </w:tabs>
        <w:spacing w:before="0"/>
        <w:ind w:left="2157" w:hanging="1590"/>
        <w:rPr>
          <w:rFonts w:cs="Arial"/>
          <w:szCs w:val="24"/>
        </w:rPr>
      </w:pPr>
      <w:r w:rsidRPr="00982FB0">
        <w:rPr>
          <w:rFonts w:cs="Arial"/>
          <w:szCs w:val="24"/>
        </w:rPr>
        <w:t>[</w:t>
      </w:r>
      <w:r w:rsidR="007E31E3" w:rsidRPr="00982FB0">
        <w:rPr>
          <w:rFonts w:cs="Arial"/>
          <w:szCs w:val="24"/>
        </w:rPr>
        <w:t>6</w:t>
      </w:r>
      <w:r w:rsidRPr="00982FB0">
        <w:rPr>
          <w:rFonts w:cs="Arial"/>
          <w:szCs w:val="24"/>
        </w:rPr>
        <w:t>.1]</w:t>
      </w:r>
      <w:r w:rsidR="006E67BC" w:rsidRPr="00982FB0">
        <w:rPr>
          <w:rFonts w:cs="Arial"/>
          <w:szCs w:val="24"/>
        </w:rPr>
        <w:tab/>
      </w:r>
      <w:r w:rsidRPr="00982FB0">
        <w:rPr>
          <w:rFonts w:cs="Arial"/>
          <w:szCs w:val="24"/>
        </w:rPr>
        <w:t xml:space="preserve">The Third Applicant is a wholly owned subsidiary of Raubex Group Ltd, a </w:t>
      </w:r>
    </w:p>
    <w:p w14:paraId="379E878E" w14:textId="23635D14" w:rsidR="00FF1890" w:rsidRPr="00982FB0" w:rsidRDefault="00C61B12" w:rsidP="00612572">
      <w:pPr>
        <w:pStyle w:val="1"/>
        <w:numPr>
          <w:ilvl w:val="0"/>
          <w:numId w:val="0"/>
        </w:numPr>
        <w:spacing w:before="0"/>
        <w:ind w:left="1276"/>
        <w:rPr>
          <w:rFonts w:cs="Arial"/>
          <w:szCs w:val="24"/>
        </w:rPr>
      </w:pPr>
      <w:r w:rsidRPr="00982FB0">
        <w:rPr>
          <w:rFonts w:cs="Arial"/>
          <w:szCs w:val="24"/>
        </w:rPr>
        <w:t>Public</w:t>
      </w:r>
      <w:r w:rsidR="00FF1890" w:rsidRPr="00982FB0">
        <w:rPr>
          <w:rFonts w:cs="Arial"/>
          <w:szCs w:val="24"/>
        </w:rPr>
        <w:t xml:space="preserve"> company listed on the Johannesburg Stock Exchange since March 2007.</w:t>
      </w:r>
    </w:p>
    <w:p w14:paraId="40AC783C" w14:textId="5A0B1F2D" w:rsidR="00FF1890" w:rsidRPr="00982FB0" w:rsidRDefault="00F0006B" w:rsidP="00F0006B">
      <w:pPr>
        <w:pStyle w:val="1"/>
        <w:numPr>
          <w:ilvl w:val="0"/>
          <w:numId w:val="0"/>
        </w:numPr>
        <w:tabs>
          <w:tab w:val="left" w:pos="567"/>
        </w:tabs>
        <w:ind w:left="567" w:hanging="567"/>
        <w:rPr>
          <w:rFonts w:cs="Arial"/>
          <w:szCs w:val="24"/>
        </w:rPr>
      </w:pPr>
      <w:r w:rsidRPr="00982FB0">
        <w:rPr>
          <w:rFonts w:cs="Arial"/>
          <w:szCs w:val="24"/>
        </w:rPr>
        <w:lastRenderedPageBreak/>
        <w:t>[7]</w:t>
      </w:r>
      <w:r w:rsidRPr="00982FB0">
        <w:rPr>
          <w:rFonts w:cs="Arial"/>
          <w:szCs w:val="24"/>
        </w:rPr>
        <w:tab/>
      </w:r>
      <w:r w:rsidR="00D671D7" w:rsidRPr="00982FB0">
        <w:rPr>
          <w:rFonts w:cs="Arial"/>
          <w:szCs w:val="24"/>
        </w:rPr>
        <w:t>The Second and Third Applicants are said to have a direct and substantial interest in this matter as they will be severely affected if the property</w:t>
      </w:r>
      <w:r w:rsidR="00FF1890" w:rsidRPr="00982FB0">
        <w:rPr>
          <w:rFonts w:cs="Arial"/>
          <w:szCs w:val="24"/>
        </w:rPr>
        <w:t xml:space="preserve"> transaction</w:t>
      </w:r>
      <w:r w:rsidR="00D671D7" w:rsidRPr="00982FB0">
        <w:rPr>
          <w:rFonts w:cs="Arial"/>
          <w:szCs w:val="24"/>
        </w:rPr>
        <w:t xml:space="preserve"> </w:t>
      </w:r>
      <w:r w:rsidR="00FF1890" w:rsidRPr="00982FB0">
        <w:rPr>
          <w:rFonts w:cs="Arial"/>
          <w:szCs w:val="24"/>
        </w:rPr>
        <w:t xml:space="preserve">is not finalized. </w:t>
      </w:r>
    </w:p>
    <w:p w14:paraId="79783F6B" w14:textId="73D8AA53" w:rsidR="008A2A1D"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[8]</w:t>
      </w:r>
      <w:r w:rsidRPr="00982FB0">
        <w:rPr>
          <w:rFonts w:cs="Arial"/>
          <w:szCs w:val="24"/>
        </w:rPr>
        <w:tab/>
      </w:r>
      <w:r w:rsidR="00C310F2" w:rsidRPr="00982FB0">
        <w:rPr>
          <w:rFonts w:cs="Arial"/>
          <w:szCs w:val="24"/>
        </w:rPr>
        <w:t>The Respondent is the City of Tshwane Metropolitan Municipality</w:t>
      </w:r>
      <w:r w:rsidR="007E31E3" w:rsidRPr="00982FB0">
        <w:rPr>
          <w:rFonts w:cs="Arial"/>
          <w:szCs w:val="24"/>
        </w:rPr>
        <w:t xml:space="preserve"> which is</w:t>
      </w:r>
      <w:r w:rsidR="008A2A1D" w:rsidRPr="00982FB0">
        <w:rPr>
          <w:rFonts w:cs="Arial"/>
          <w:szCs w:val="24"/>
        </w:rPr>
        <w:t xml:space="preserve"> </w:t>
      </w:r>
      <w:r w:rsidR="00C310F2" w:rsidRPr="00982FB0">
        <w:rPr>
          <w:rFonts w:cs="Arial"/>
          <w:szCs w:val="24"/>
        </w:rPr>
        <w:t>a Metropolitan Municipality with a separate legal personality duly established in terms of the Gauteng Provincial Notice 6770 of 2000, issued in terms of Section 12 of the Local Government:</w:t>
      </w:r>
      <w:r w:rsidR="00A2433C" w:rsidRPr="00982FB0">
        <w:rPr>
          <w:rFonts w:cs="Arial"/>
          <w:szCs w:val="24"/>
        </w:rPr>
        <w:t xml:space="preserve"> </w:t>
      </w:r>
      <w:r w:rsidR="00C310F2" w:rsidRPr="00982FB0">
        <w:rPr>
          <w:rFonts w:cs="Arial"/>
          <w:szCs w:val="24"/>
        </w:rPr>
        <w:t xml:space="preserve"> Municipal Structures Act</w:t>
      </w:r>
      <w:r w:rsidR="00A2433C" w:rsidRPr="00982FB0">
        <w:rPr>
          <w:rStyle w:val="FootnoteReference"/>
          <w:rFonts w:cs="Arial"/>
          <w:szCs w:val="24"/>
        </w:rPr>
        <w:footnoteReference w:id="2"/>
      </w:r>
      <w:r w:rsidR="00C310F2" w:rsidRPr="00982FB0">
        <w:rPr>
          <w:rFonts w:cs="Arial"/>
          <w:szCs w:val="24"/>
        </w:rPr>
        <w:t xml:space="preserve"> with its office and/or principal place of business situated at office of the City Manager,</w:t>
      </w:r>
      <w:r w:rsidR="008A2A1D" w:rsidRPr="00982FB0">
        <w:rPr>
          <w:rFonts w:cs="Arial"/>
          <w:szCs w:val="24"/>
        </w:rPr>
        <w:t xml:space="preserve"> </w:t>
      </w:r>
      <w:r w:rsidR="00C310F2" w:rsidRPr="00982FB0">
        <w:rPr>
          <w:rFonts w:cs="Arial"/>
          <w:szCs w:val="24"/>
        </w:rPr>
        <w:t>Tshwane House East Wing, 2</w:t>
      </w:r>
      <w:r w:rsidR="00C310F2" w:rsidRPr="00982FB0">
        <w:rPr>
          <w:rFonts w:cs="Arial"/>
          <w:szCs w:val="24"/>
          <w:vertAlign w:val="superscript"/>
        </w:rPr>
        <w:t>nd</w:t>
      </w:r>
      <w:r w:rsidR="00C310F2" w:rsidRPr="00982FB0">
        <w:rPr>
          <w:rFonts w:cs="Arial"/>
          <w:szCs w:val="24"/>
        </w:rPr>
        <w:t xml:space="preserve"> Floor, 320 Madiba Street, Pretoria, Gauteng Province. </w:t>
      </w:r>
    </w:p>
    <w:p w14:paraId="264A52A2" w14:textId="01D21768" w:rsidR="00D671D7"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[9]</w:t>
      </w:r>
      <w:r w:rsidRPr="00982FB0">
        <w:rPr>
          <w:rFonts w:cs="Arial"/>
          <w:szCs w:val="24"/>
        </w:rPr>
        <w:tab/>
      </w:r>
      <w:r w:rsidR="003921CB" w:rsidRPr="00982FB0">
        <w:rPr>
          <w:rFonts w:cs="Arial"/>
          <w:szCs w:val="24"/>
        </w:rPr>
        <w:t xml:space="preserve">The </w:t>
      </w:r>
      <w:r w:rsidR="008A2A1D" w:rsidRPr="00982FB0">
        <w:rPr>
          <w:rFonts w:cs="Arial"/>
          <w:szCs w:val="24"/>
        </w:rPr>
        <w:t xml:space="preserve">City of Tshwane </w:t>
      </w:r>
      <w:r w:rsidR="003921CB" w:rsidRPr="00982FB0">
        <w:rPr>
          <w:rFonts w:cs="Arial"/>
          <w:szCs w:val="24"/>
        </w:rPr>
        <w:t>is vested with the power and authority by virtue of Chapter 7 of the Constitution of the Republic of South Africa</w:t>
      </w:r>
      <w:r w:rsidR="000258FE" w:rsidRPr="00982FB0">
        <w:rPr>
          <w:rFonts w:cs="Arial"/>
          <w:szCs w:val="24"/>
        </w:rPr>
        <w:t>, 1996</w:t>
      </w:r>
      <w:r w:rsidR="008A2A1D" w:rsidRPr="00982FB0">
        <w:rPr>
          <w:rFonts w:cs="Arial"/>
          <w:szCs w:val="24"/>
        </w:rPr>
        <w:t xml:space="preserve"> (the Constitution)</w:t>
      </w:r>
      <w:r w:rsidR="003921CB" w:rsidRPr="00982FB0">
        <w:rPr>
          <w:rFonts w:cs="Arial"/>
          <w:szCs w:val="24"/>
        </w:rPr>
        <w:t xml:space="preserve"> to </w:t>
      </w:r>
      <w:r w:rsidR="003921CB" w:rsidRPr="001B4B65">
        <w:rPr>
          <w:rFonts w:cs="Arial"/>
          <w:i/>
          <w:szCs w:val="24"/>
        </w:rPr>
        <w:t>inter alia</w:t>
      </w:r>
      <w:r w:rsidR="003921CB" w:rsidRPr="00982FB0">
        <w:rPr>
          <w:rFonts w:cs="Arial"/>
          <w:szCs w:val="24"/>
        </w:rPr>
        <w:t xml:space="preserve"> oversee and enforce, the Constitution, the </w:t>
      </w:r>
      <w:r w:rsidR="000258FE" w:rsidRPr="00982FB0">
        <w:rPr>
          <w:rFonts w:cs="Arial"/>
          <w:szCs w:val="24"/>
        </w:rPr>
        <w:t>Systems Act</w:t>
      </w:r>
      <w:r w:rsidR="003921CB" w:rsidRPr="00982FB0">
        <w:rPr>
          <w:rFonts w:cs="Arial"/>
          <w:szCs w:val="24"/>
        </w:rPr>
        <w:t xml:space="preserve">, and its By-Laws relating to </w:t>
      </w:r>
      <w:r w:rsidR="006F7963" w:rsidRPr="00982FB0">
        <w:rPr>
          <w:rFonts w:cs="Arial"/>
          <w:szCs w:val="24"/>
        </w:rPr>
        <w:t>c</w:t>
      </w:r>
      <w:r w:rsidR="003921CB" w:rsidRPr="00982FB0">
        <w:rPr>
          <w:rFonts w:cs="Arial"/>
          <w:szCs w:val="24"/>
        </w:rPr>
        <w:t xml:space="preserve">redit </w:t>
      </w:r>
      <w:r w:rsidR="006F7963" w:rsidRPr="00982FB0">
        <w:rPr>
          <w:rFonts w:cs="Arial"/>
          <w:szCs w:val="24"/>
        </w:rPr>
        <w:t>c</w:t>
      </w:r>
      <w:r w:rsidR="003921CB" w:rsidRPr="00982FB0">
        <w:rPr>
          <w:rFonts w:cs="Arial"/>
          <w:szCs w:val="24"/>
        </w:rPr>
        <w:t xml:space="preserve">ontrol and </w:t>
      </w:r>
      <w:r w:rsidR="006F7963" w:rsidRPr="00982FB0">
        <w:rPr>
          <w:rFonts w:cs="Arial"/>
          <w:szCs w:val="24"/>
        </w:rPr>
        <w:t>d</w:t>
      </w:r>
      <w:r w:rsidR="003921CB" w:rsidRPr="00982FB0">
        <w:rPr>
          <w:rFonts w:cs="Arial"/>
          <w:szCs w:val="24"/>
        </w:rPr>
        <w:t xml:space="preserve">ebt </w:t>
      </w:r>
      <w:r w:rsidR="006F7963" w:rsidRPr="00982FB0">
        <w:rPr>
          <w:rFonts w:cs="Arial"/>
          <w:szCs w:val="24"/>
        </w:rPr>
        <w:t>c</w:t>
      </w:r>
      <w:r w:rsidR="003921CB" w:rsidRPr="00982FB0">
        <w:rPr>
          <w:rFonts w:cs="Arial"/>
          <w:szCs w:val="24"/>
        </w:rPr>
        <w:t xml:space="preserve">ollection. </w:t>
      </w:r>
      <w:r w:rsidR="000B0548" w:rsidRPr="00982FB0">
        <w:rPr>
          <w:rFonts w:cs="Arial"/>
          <w:szCs w:val="24"/>
        </w:rPr>
        <w:t xml:space="preserve"> </w:t>
      </w:r>
    </w:p>
    <w:bookmarkEnd w:id="2"/>
    <w:p w14:paraId="53DF9445" w14:textId="3EC09A98" w:rsidR="00946152" w:rsidRPr="00982FB0" w:rsidRDefault="00946152" w:rsidP="00023A8D">
      <w:pPr>
        <w:pStyle w:val="1"/>
        <w:numPr>
          <w:ilvl w:val="0"/>
          <w:numId w:val="0"/>
        </w:numPr>
        <w:spacing w:line="360" w:lineRule="auto"/>
        <w:rPr>
          <w:rFonts w:cs="Arial"/>
          <w:b/>
          <w:bCs/>
          <w:szCs w:val="24"/>
          <w:lang w:val="en-ZA"/>
        </w:rPr>
      </w:pPr>
      <w:r w:rsidRPr="00982FB0">
        <w:rPr>
          <w:rFonts w:cs="Arial"/>
          <w:b/>
          <w:bCs/>
          <w:szCs w:val="24"/>
          <w:lang w:val="en-ZA"/>
        </w:rPr>
        <w:t>THE ISSU</w:t>
      </w:r>
      <w:r w:rsidR="00F47B58" w:rsidRPr="00982FB0">
        <w:rPr>
          <w:rFonts w:cs="Arial"/>
          <w:b/>
          <w:bCs/>
          <w:szCs w:val="24"/>
          <w:lang w:val="en-ZA"/>
        </w:rPr>
        <w:t>ES</w:t>
      </w:r>
    </w:p>
    <w:p w14:paraId="43480610" w14:textId="059A0C2F" w:rsidR="002F6982"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[10]</w:t>
      </w:r>
      <w:r w:rsidRPr="00982FB0">
        <w:rPr>
          <w:rFonts w:cs="Arial"/>
          <w:szCs w:val="24"/>
        </w:rPr>
        <w:tab/>
      </w:r>
      <w:r w:rsidR="002F6982" w:rsidRPr="00982FB0">
        <w:rPr>
          <w:lang w:val="en-ZA"/>
        </w:rPr>
        <w:t xml:space="preserve">The </w:t>
      </w:r>
      <w:r w:rsidR="00F47B58" w:rsidRPr="00982FB0">
        <w:rPr>
          <w:lang w:val="en-ZA"/>
        </w:rPr>
        <w:t xml:space="preserve">issues to be determined by this </w:t>
      </w:r>
      <w:r w:rsidR="00612572">
        <w:rPr>
          <w:lang w:val="en-ZA"/>
        </w:rPr>
        <w:t>C</w:t>
      </w:r>
      <w:r w:rsidR="00F47B58" w:rsidRPr="00982FB0">
        <w:rPr>
          <w:lang w:val="en-ZA"/>
        </w:rPr>
        <w:t>ourt are:</w:t>
      </w:r>
    </w:p>
    <w:p w14:paraId="48AB97C7" w14:textId="0B097241" w:rsidR="00F47B58" w:rsidRPr="00982FB0" w:rsidRDefault="00F47B58" w:rsidP="00D307B6">
      <w:pPr>
        <w:pStyle w:val="1"/>
        <w:numPr>
          <w:ilvl w:val="0"/>
          <w:numId w:val="0"/>
        </w:numPr>
        <w:tabs>
          <w:tab w:val="left" w:pos="1276"/>
        </w:tabs>
        <w:ind w:left="1276" w:hanging="709"/>
        <w:rPr>
          <w:lang w:val="en-ZA"/>
        </w:rPr>
      </w:pPr>
      <w:r w:rsidRPr="00982FB0">
        <w:rPr>
          <w:lang w:val="en-ZA"/>
        </w:rPr>
        <w:t>[1</w:t>
      </w:r>
      <w:r w:rsidR="00FD55C3">
        <w:rPr>
          <w:lang w:val="en-ZA"/>
        </w:rPr>
        <w:t>0</w:t>
      </w:r>
      <w:r w:rsidRPr="00982FB0">
        <w:rPr>
          <w:lang w:val="en-ZA"/>
        </w:rPr>
        <w:t>.1]</w:t>
      </w:r>
      <w:r w:rsidR="009F440A" w:rsidRPr="00982FB0">
        <w:rPr>
          <w:lang w:val="en-ZA"/>
        </w:rPr>
        <w:tab/>
      </w:r>
      <w:r w:rsidRPr="00982FB0">
        <w:rPr>
          <w:lang w:val="en-ZA"/>
        </w:rPr>
        <w:t>whether the relief sought by the Applicants is competent.</w:t>
      </w:r>
    </w:p>
    <w:p w14:paraId="4566871D" w14:textId="77853F1A" w:rsidR="000258FE" w:rsidRPr="00982FB0" w:rsidRDefault="00F47B58" w:rsidP="00D307B6">
      <w:pPr>
        <w:pStyle w:val="1"/>
        <w:numPr>
          <w:ilvl w:val="0"/>
          <w:numId w:val="0"/>
        </w:numPr>
        <w:tabs>
          <w:tab w:val="left" w:pos="1276"/>
        </w:tabs>
        <w:ind w:left="1276" w:hanging="709"/>
        <w:rPr>
          <w:rFonts w:cs="Arial"/>
          <w:szCs w:val="24"/>
        </w:rPr>
      </w:pPr>
      <w:r w:rsidRPr="00982FB0">
        <w:rPr>
          <w:rFonts w:cs="Arial"/>
          <w:iCs w:val="0"/>
          <w:szCs w:val="24"/>
        </w:rPr>
        <w:t>[1</w:t>
      </w:r>
      <w:r w:rsidR="00FD55C3">
        <w:rPr>
          <w:rFonts w:cs="Arial"/>
          <w:iCs w:val="0"/>
          <w:szCs w:val="24"/>
        </w:rPr>
        <w:t>0</w:t>
      </w:r>
      <w:r w:rsidRPr="00982FB0">
        <w:rPr>
          <w:rFonts w:cs="Arial"/>
          <w:iCs w:val="0"/>
          <w:szCs w:val="24"/>
        </w:rPr>
        <w:t>.2]</w:t>
      </w:r>
      <w:r w:rsidR="009F440A" w:rsidRPr="00982FB0">
        <w:rPr>
          <w:rFonts w:cs="Arial"/>
          <w:iCs w:val="0"/>
          <w:szCs w:val="24"/>
        </w:rPr>
        <w:tab/>
      </w:r>
      <w:r w:rsidRPr="00982FB0">
        <w:rPr>
          <w:rFonts w:cs="Arial"/>
          <w:iCs w:val="0"/>
          <w:szCs w:val="24"/>
        </w:rPr>
        <w:t>whether this Court ought to grant an order declaring the outstanding</w:t>
      </w:r>
      <w:r w:rsidR="009F440A" w:rsidRPr="00982FB0">
        <w:rPr>
          <w:rFonts w:cs="Arial"/>
          <w:iCs w:val="0"/>
          <w:szCs w:val="24"/>
        </w:rPr>
        <w:t xml:space="preserve"> </w:t>
      </w:r>
      <w:r w:rsidRPr="00982FB0">
        <w:rPr>
          <w:rFonts w:cs="Arial"/>
          <w:szCs w:val="24"/>
        </w:rPr>
        <w:t>municipal debt in respect of the properties name</w:t>
      </w:r>
      <w:r w:rsidR="00675D9F" w:rsidRPr="00982FB0">
        <w:rPr>
          <w:rFonts w:cs="Arial"/>
          <w:szCs w:val="24"/>
        </w:rPr>
        <w:t>,</w:t>
      </w:r>
      <w:r w:rsidRPr="00982FB0">
        <w:rPr>
          <w:rFonts w:cs="Arial"/>
          <w:szCs w:val="24"/>
        </w:rPr>
        <w:t xml:space="preserve"> R2 454 297.91, as not due for the purposes of the clearance figures in terms of section 118(1) of the Systems Act</w:t>
      </w:r>
      <w:r w:rsidR="000258FE" w:rsidRPr="00982FB0">
        <w:rPr>
          <w:rFonts w:cs="Arial"/>
          <w:szCs w:val="24"/>
        </w:rPr>
        <w:t>.</w:t>
      </w:r>
      <w:r w:rsidR="00675D9F" w:rsidRPr="00982FB0">
        <w:rPr>
          <w:rFonts w:cs="Arial"/>
          <w:szCs w:val="24"/>
        </w:rPr>
        <w:t xml:space="preserve">  </w:t>
      </w:r>
    </w:p>
    <w:p w14:paraId="1137CC3A" w14:textId="4DD2CFC4" w:rsidR="000258FE" w:rsidRPr="00982FB0" w:rsidRDefault="00F47B58" w:rsidP="00D307B6">
      <w:pPr>
        <w:pStyle w:val="1"/>
        <w:numPr>
          <w:ilvl w:val="0"/>
          <w:numId w:val="0"/>
        </w:numPr>
        <w:tabs>
          <w:tab w:val="left" w:pos="1276"/>
        </w:tabs>
        <w:ind w:left="1276" w:hanging="709"/>
        <w:rPr>
          <w:rFonts w:cs="Arial"/>
          <w:szCs w:val="24"/>
        </w:rPr>
      </w:pPr>
      <w:r w:rsidRPr="00982FB0">
        <w:rPr>
          <w:rFonts w:cs="Arial"/>
          <w:iCs w:val="0"/>
          <w:szCs w:val="24"/>
        </w:rPr>
        <w:lastRenderedPageBreak/>
        <w:t>[1</w:t>
      </w:r>
      <w:r w:rsidR="00FD55C3">
        <w:rPr>
          <w:rFonts w:cs="Arial"/>
          <w:iCs w:val="0"/>
          <w:szCs w:val="24"/>
        </w:rPr>
        <w:t>0</w:t>
      </w:r>
      <w:r w:rsidRPr="00982FB0">
        <w:rPr>
          <w:rFonts w:cs="Arial"/>
          <w:iCs w:val="0"/>
          <w:szCs w:val="24"/>
        </w:rPr>
        <w:t>.3]</w:t>
      </w:r>
      <w:r w:rsidR="009F440A" w:rsidRPr="00982FB0">
        <w:rPr>
          <w:rFonts w:cs="Arial"/>
          <w:iCs w:val="0"/>
          <w:szCs w:val="24"/>
        </w:rPr>
        <w:tab/>
      </w:r>
      <w:r w:rsidRPr="00982FB0">
        <w:rPr>
          <w:rFonts w:cs="Arial"/>
          <w:iCs w:val="0"/>
          <w:szCs w:val="24"/>
        </w:rPr>
        <w:t xml:space="preserve">whether the First Applicant is entitled to clearance certificates to be </w:t>
      </w:r>
      <w:r w:rsidRPr="00982FB0">
        <w:rPr>
          <w:rFonts w:cs="Arial"/>
          <w:szCs w:val="24"/>
        </w:rPr>
        <w:t xml:space="preserve">issued by the Respondent in terms of s 118(1) of the Systems </w:t>
      </w:r>
      <w:r w:rsidR="00095505" w:rsidRPr="00982FB0">
        <w:rPr>
          <w:rFonts w:cs="Arial"/>
          <w:szCs w:val="24"/>
        </w:rPr>
        <w:t>Act, excluding</w:t>
      </w:r>
      <w:r w:rsidRPr="00982FB0">
        <w:rPr>
          <w:rFonts w:cs="Arial"/>
          <w:szCs w:val="24"/>
        </w:rPr>
        <w:t xml:space="preserve"> the amount of R 2 454 297.91.</w:t>
      </w:r>
    </w:p>
    <w:p w14:paraId="679CDB9F" w14:textId="2FBEB46C" w:rsidR="00F47B58" w:rsidRPr="00982FB0" w:rsidRDefault="00F47B58" w:rsidP="00D307B6">
      <w:pPr>
        <w:pStyle w:val="1"/>
        <w:numPr>
          <w:ilvl w:val="0"/>
          <w:numId w:val="0"/>
        </w:numPr>
        <w:tabs>
          <w:tab w:val="left" w:pos="1276"/>
        </w:tabs>
        <w:ind w:left="1276" w:hanging="709"/>
        <w:rPr>
          <w:rFonts w:cs="Arial"/>
          <w:szCs w:val="24"/>
        </w:rPr>
      </w:pPr>
      <w:r w:rsidRPr="00982FB0">
        <w:rPr>
          <w:rFonts w:cs="Arial"/>
          <w:iCs w:val="0"/>
          <w:szCs w:val="24"/>
        </w:rPr>
        <w:t>[1</w:t>
      </w:r>
      <w:r w:rsidR="00FD55C3">
        <w:rPr>
          <w:rFonts w:cs="Arial"/>
          <w:iCs w:val="0"/>
          <w:szCs w:val="24"/>
        </w:rPr>
        <w:t>0</w:t>
      </w:r>
      <w:r w:rsidRPr="00982FB0">
        <w:rPr>
          <w:rFonts w:cs="Arial"/>
          <w:iCs w:val="0"/>
          <w:szCs w:val="24"/>
        </w:rPr>
        <w:t>.4]</w:t>
      </w:r>
      <w:r w:rsidR="00675D9F" w:rsidRPr="00982FB0">
        <w:rPr>
          <w:rFonts w:cs="Arial"/>
          <w:iCs w:val="0"/>
          <w:szCs w:val="24"/>
        </w:rPr>
        <w:tab/>
      </w:r>
      <w:r w:rsidR="000258FE" w:rsidRPr="00982FB0">
        <w:rPr>
          <w:rFonts w:cs="Arial"/>
          <w:iCs w:val="0"/>
          <w:szCs w:val="24"/>
        </w:rPr>
        <w:t>a</w:t>
      </w:r>
      <w:r w:rsidRPr="00982FB0">
        <w:rPr>
          <w:rFonts w:cs="Arial"/>
          <w:iCs w:val="0"/>
          <w:szCs w:val="24"/>
        </w:rPr>
        <w:t xml:space="preserve">lternatively, whether the First Applicant is entitled to interim relief </w:t>
      </w:r>
      <w:r w:rsidRPr="00982FB0">
        <w:rPr>
          <w:rFonts w:cs="Arial"/>
          <w:szCs w:val="24"/>
        </w:rPr>
        <w:t>pending the finalisation of the disputes lodged by the First Applicant.</w:t>
      </w:r>
    </w:p>
    <w:p w14:paraId="7BD3B8EE" w14:textId="77777777" w:rsidR="00F47B58" w:rsidRPr="00982FB0" w:rsidRDefault="00F47B58" w:rsidP="00F47B58">
      <w:pPr>
        <w:pStyle w:val="1"/>
        <w:numPr>
          <w:ilvl w:val="0"/>
          <w:numId w:val="0"/>
        </w:numPr>
        <w:spacing w:before="240" w:line="360" w:lineRule="auto"/>
        <w:rPr>
          <w:rFonts w:cs="Arial"/>
          <w:b/>
          <w:bCs/>
          <w:szCs w:val="24"/>
        </w:rPr>
      </w:pPr>
      <w:r w:rsidRPr="00982FB0">
        <w:rPr>
          <w:rFonts w:cs="Arial"/>
          <w:b/>
          <w:bCs/>
          <w:szCs w:val="24"/>
        </w:rPr>
        <w:t>FACTUAL BACKGROUND</w:t>
      </w:r>
    </w:p>
    <w:p w14:paraId="737893B5" w14:textId="050756D0" w:rsidR="00F47B58" w:rsidRPr="00982FB0" w:rsidRDefault="00F0006B" w:rsidP="00F0006B">
      <w:pPr>
        <w:pStyle w:val="1"/>
        <w:numPr>
          <w:ilvl w:val="0"/>
          <w:numId w:val="0"/>
        </w:numPr>
        <w:tabs>
          <w:tab w:val="left" w:pos="567"/>
        </w:tabs>
        <w:spacing w:before="240"/>
        <w:ind w:left="567" w:hanging="567"/>
        <w:rPr>
          <w:rFonts w:cs="Arial"/>
          <w:szCs w:val="24"/>
        </w:rPr>
      </w:pPr>
      <w:r w:rsidRPr="00982FB0">
        <w:rPr>
          <w:rFonts w:cs="Arial"/>
          <w:szCs w:val="24"/>
        </w:rPr>
        <w:t>[11]</w:t>
      </w:r>
      <w:r w:rsidRPr="00982FB0">
        <w:rPr>
          <w:rFonts w:cs="Arial"/>
          <w:szCs w:val="24"/>
        </w:rPr>
        <w:tab/>
      </w:r>
      <w:r w:rsidR="00F47B58" w:rsidRPr="00982FB0">
        <w:rPr>
          <w:rFonts w:cs="Arial"/>
          <w:szCs w:val="24"/>
          <w:lang w:val="en-ZA" w:eastAsia="en-US"/>
        </w:rPr>
        <w:t xml:space="preserve">The </w:t>
      </w:r>
      <w:r w:rsidR="006F6229" w:rsidRPr="00982FB0">
        <w:rPr>
          <w:rFonts w:cs="Arial"/>
          <w:szCs w:val="24"/>
          <w:lang w:val="en-ZA" w:eastAsia="en-US"/>
        </w:rPr>
        <w:t xml:space="preserve">First </w:t>
      </w:r>
      <w:r w:rsidR="00F47B58" w:rsidRPr="00982FB0">
        <w:rPr>
          <w:rFonts w:cs="Arial"/>
          <w:szCs w:val="24"/>
          <w:lang w:val="en-ZA" w:eastAsia="en-US"/>
        </w:rPr>
        <w:t>Applicant</w:t>
      </w:r>
      <w:r w:rsidR="006F6229" w:rsidRPr="00982FB0">
        <w:rPr>
          <w:rFonts w:cs="Arial"/>
          <w:szCs w:val="24"/>
          <w:lang w:val="en-ZA" w:eastAsia="en-US"/>
        </w:rPr>
        <w:t xml:space="preserve"> is the registered owner of various properties including Portion 47 of the Farm Onderstepoort 33, Registration Division JR, Gauteng </w:t>
      </w:r>
      <w:r w:rsidR="009F5A00" w:rsidRPr="00982FB0">
        <w:rPr>
          <w:rFonts w:cs="Arial"/>
          <w:szCs w:val="24"/>
          <w:lang w:val="en-ZA" w:eastAsia="en-US"/>
        </w:rPr>
        <w:t xml:space="preserve">(Portion 47) </w:t>
      </w:r>
      <w:r w:rsidR="006F6229" w:rsidRPr="00982FB0">
        <w:rPr>
          <w:rFonts w:cs="Arial"/>
          <w:szCs w:val="24"/>
          <w:lang w:val="en-ZA" w:eastAsia="en-US"/>
        </w:rPr>
        <w:t>and Portion 50 of the Farm Onderstepoort 300, Registration Division JR, Gauteng</w:t>
      </w:r>
      <w:r w:rsidR="009F5A00" w:rsidRPr="00982FB0">
        <w:rPr>
          <w:rFonts w:cs="Arial"/>
          <w:szCs w:val="24"/>
          <w:lang w:val="en-ZA" w:eastAsia="en-US"/>
        </w:rPr>
        <w:t xml:space="preserve"> (Portion 50)</w:t>
      </w:r>
      <w:r w:rsidR="006F6229" w:rsidRPr="00982FB0">
        <w:rPr>
          <w:rFonts w:cs="Arial"/>
          <w:szCs w:val="24"/>
          <w:lang w:val="en-ZA" w:eastAsia="en-US"/>
        </w:rPr>
        <w:t xml:space="preserve"> which are part of the dispute relating to outstanding rates and taxes. </w:t>
      </w:r>
      <w:r w:rsidR="0074647C" w:rsidRPr="00982FB0">
        <w:rPr>
          <w:rFonts w:cs="Arial"/>
          <w:szCs w:val="24"/>
          <w:lang w:val="en-ZA" w:eastAsia="en-US"/>
        </w:rPr>
        <w:t xml:space="preserve"> </w:t>
      </w:r>
    </w:p>
    <w:p w14:paraId="61222A0C" w14:textId="4E469678" w:rsidR="006F6229" w:rsidRPr="00982FB0" w:rsidRDefault="00F0006B" w:rsidP="00F0006B">
      <w:pPr>
        <w:pStyle w:val="1"/>
        <w:numPr>
          <w:ilvl w:val="0"/>
          <w:numId w:val="0"/>
        </w:numPr>
        <w:tabs>
          <w:tab w:val="left" w:pos="567"/>
        </w:tabs>
        <w:spacing w:before="240"/>
        <w:ind w:left="567" w:hanging="567"/>
        <w:rPr>
          <w:rFonts w:cs="Arial"/>
          <w:szCs w:val="24"/>
        </w:rPr>
      </w:pPr>
      <w:r w:rsidRPr="00982FB0">
        <w:rPr>
          <w:rFonts w:cs="Arial"/>
          <w:szCs w:val="24"/>
        </w:rPr>
        <w:t>[12]</w:t>
      </w:r>
      <w:r w:rsidRPr="00982FB0">
        <w:rPr>
          <w:rFonts w:cs="Arial"/>
          <w:szCs w:val="24"/>
        </w:rPr>
        <w:tab/>
      </w:r>
      <w:r w:rsidR="009F5A00" w:rsidRPr="00982FB0">
        <w:rPr>
          <w:rFonts w:cs="Arial"/>
          <w:szCs w:val="24"/>
          <w:lang w:val="en-ZA" w:eastAsia="en-US"/>
        </w:rPr>
        <w:t>The aforesaid properties have various municipal accounts for utilities and/or levies linked to them in the following manner,</w:t>
      </w:r>
    </w:p>
    <w:p w14:paraId="35B6D506" w14:textId="6945B7ED" w:rsidR="009F5A00" w:rsidRPr="00982FB0" w:rsidRDefault="009F5A00" w:rsidP="0074647C">
      <w:pPr>
        <w:pStyle w:val="1"/>
        <w:numPr>
          <w:ilvl w:val="0"/>
          <w:numId w:val="0"/>
        </w:numPr>
        <w:tabs>
          <w:tab w:val="left" w:pos="1276"/>
        </w:tabs>
        <w:spacing w:before="240" w:line="360" w:lineRule="auto"/>
        <w:ind w:left="1276" w:hanging="709"/>
        <w:rPr>
          <w:rFonts w:cs="Arial"/>
          <w:szCs w:val="24"/>
          <w:lang w:val="en-ZA" w:eastAsia="en-US"/>
        </w:rPr>
      </w:pPr>
      <w:r w:rsidRPr="00982FB0">
        <w:rPr>
          <w:rFonts w:cs="Arial"/>
          <w:szCs w:val="24"/>
          <w:lang w:val="en-ZA" w:eastAsia="en-US"/>
        </w:rPr>
        <w:t>[12.1]</w:t>
      </w:r>
      <w:r w:rsidR="0074647C" w:rsidRPr="00982FB0">
        <w:rPr>
          <w:rFonts w:cs="Arial"/>
          <w:szCs w:val="24"/>
          <w:lang w:val="en-ZA" w:eastAsia="en-US"/>
        </w:rPr>
        <w:tab/>
      </w:r>
      <w:r w:rsidRPr="00982FB0">
        <w:rPr>
          <w:rFonts w:cs="Arial"/>
          <w:szCs w:val="24"/>
          <w:lang w:val="en-ZA" w:eastAsia="en-US"/>
        </w:rPr>
        <w:t>Accounts 5003804893</w:t>
      </w:r>
      <w:r w:rsidR="00A130A4" w:rsidRPr="00982FB0">
        <w:rPr>
          <w:rFonts w:cs="Arial"/>
          <w:szCs w:val="24"/>
          <w:lang w:val="en-ZA" w:eastAsia="en-US"/>
        </w:rPr>
        <w:t xml:space="preserve"> and 5015417194 are linked to Portion 47.</w:t>
      </w:r>
    </w:p>
    <w:p w14:paraId="368CD851" w14:textId="32ADEA8C" w:rsidR="009F5A00" w:rsidRPr="00982FB0" w:rsidRDefault="009F5A00" w:rsidP="0074647C">
      <w:pPr>
        <w:pStyle w:val="1"/>
        <w:numPr>
          <w:ilvl w:val="0"/>
          <w:numId w:val="0"/>
        </w:numPr>
        <w:tabs>
          <w:tab w:val="left" w:pos="1276"/>
        </w:tabs>
        <w:spacing w:before="240" w:line="360" w:lineRule="auto"/>
        <w:ind w:left="1276" w:hanging="709"/>
        <w:rPr>
          <w:rFonts w:cs="Arial"/>
          <w:szCs w:val="24"/>
        </w:rPr>
      </w:pPr>
      <w:r w:rsidRPr="00982FB0">
        <w:rPr>
          <w:rFonts w:cs="Arial"/>
          <w:szCs w:val="24"/>
          <w:lang w:val="en-ZA" w:eastAsia="en-US"/>
        </w:rPr>
        <w:t>[12.2]</w:t>
      </w:r>
      <w:r w:rsidR="0074647C" w:rsidRPr="00982FB0">
        <w:rPr>
          <w:rFonts w:cs="Arial"/>
          <w:szCs w:val="24"/>
          <w:lang w:val="en-ZA" w:eastAsia="en-US"/>
        </w:rPr>
        <w:tab/>
      </w:r>
      <w:r w:rsidRPr="00982FB0">
        <w:rPr>
          <w:rFonts w:cs="Arial"/>
          <w:szCs w:val="24"/>
          <w:lang w:val="en-ZA" w:eastAsia="en-US"/>
        </w:rPr>
        <w:t>Accounts 50003804877 and 5015417216 are linked to Portion 50.</w:t>
      </w:r>
    </w:p>
    <w:p w14:paraId="4C053E12" w14:textId="01D472D9" w:rsidR="00FD6110" w:rsidRPr="00982FB0" w:rsidRDefault="00F0006B" w:rsidP="00F0006B">
      <w:pPr>
        <w:pStyle w:val="1"/>
        <w:numPr>
          <w:ilvl w:val="0"/>
          <w:numId w:val="0"/>
        </w:numPr>
        <w:tabs>
          <w:tab w:val="left" w:pos="567"/>
        </w:tabs>
        <w:ind w:left="567" w:hanging="567"/>
      </w:pPr>
      <w:r w:rsidRPr="00982FB0">
        <w:rPr>
          <w:rFonts w:cs="Arial"/>
          <w:szCs w:val="24"/>
        </w:rPr>
        <w:t>[13]</w:t>
      </w:r>
      <w:r w:rsidRPr="00982FB0">
        <w:rPr>
          <w:rFonts w:cs="Arial"/>
          <w:szCs w:val="24"/>
        </w:rPr>
        <w:tab/>
      </w:r>
      <w:r w:rsidR="00C962EB" w:rsidRPr="00982FB0">
        <w:t>During February/March 2014, a dispute arose between the First Applicant and</w:t>
      </w:r>
      <w:r w:rsidR="006E7837" w:rsidRPr="00982FB0">
        <w:t xml:space="preserve"> </w:t>
      </w:r>
      <w:r w:rsidR="00C962EB" w:rsidRPr="00982FB0">
        <w:t xml:space="preserve">the Respondent wherein the Respondent had levied and charged the First Applicant an amount of R 1 119 811.80 for rates and taxes </w:t>
      </w:r>
      <w:r w:rsidR="002F5E15" w:rsidRPr="00982FB0">
        <w:t>as well as</w:t>
      </w:r>
      <w:r w:rsidR="00C962EB" w:rsidRPr="00982FB0">
        <w:t xml:space="preserve"> consumption of water and electricity on account number </w:t>
      </w:r>
      <w:r w:rsidR="00C962EB" w:rsidRPr="00982FB0">
        <w:rPr>
          <w:rFonts w:cs="Arial"/>
          <w:szCs w:val="24"/>
          <w:lang w:val="en-ZA" w:eastAsia="en-US"/>
        </w:rPr>
        <w:t xml:space="preserve">50003804877 </w:t>
      </w:r>
      <w:r w:rsidR="000258FE" w:rsidRPr="00982FB0">
        <w:rPr>
          <w:rFonts w:cs="Arial"/>
          <w:szCs w:val="24"/>
          <w:lang w:val="en-ZA" w:eastAsia="en-US"/>
        </w:rPr>
        <w:t xml:space="preserve">and/or </w:t>
      </w:r>
      <w:r w:rsidR="000258FE" w:rsidRPr="001B4B65">
        <w:rPr>
          <w:rFonts w:cs="Arial"/>
          <w:szCs w:val="24"/>
          <w:lang w:val="en-ZA"/>
        </w:rPr>
        <w:t xml:space="preserve">5015417216 </w:t>
      </w:r>
      <w:r w:rsidR="00C962EB" w:rsidRPr="00982FB0">
        <w:rPr>
          <w:rFonts w:cs="Arial"/>
          <w:szCs w:val="24"/>
          <w:lang w:val="en-ZA" w:eastAsia="en-US"/>
        </w:rPr>
        <w:t>of Portion 50.</w:t>
      </w:r>
    </w:p>
    <w:p w14:paraId="03F12DF5" w14:textId="3DF52D37" w:rsidR="00C962EB" w:rsidRPr="00982FB0" w:rsidRDefault="00F0006B" w:rsidP="00F0006B">
      <w:pPr>
        <w:pStyle w:val="1"/>
        <w:numPr>
          <w:ilvl w:val="0"/>
          <w:numId w:val="0"/>
        </w:numPr>
        <w:tabs>
          <w:tab w:val="left" w:pos="567"/>
        </w:tabs>
        <w:ind w:left="567" w:hanging="567"/>
      </w:pPr>
      <w:r w:rsidRPr="00982FB0">
        <w:rPr>
          <w:rFonts w:cs="Arial"/>
          <w:szCs w:val="24"/>
        </w:rPr>
        <w:t>[14]</w:t>
      </w:r>
      <w:r w:rsidRPr="00982FB0">
        <w:rPr>
          <w:rFonts w:cs="Arial"/>
          <w:szCs w:val="24"/>
        </w:rPr>
        <w:tab/>
      </w:r>
      <w:r w:rsidR="00C962EB" w:rsidRPr="00982FB0">
        <w:t xml:space="preserve">According to the First Applicant, the attempts to resolve the </w:t>
      </w:r>
      <w:r w:rsidR="000258FE" w:rsidRPr="00982FB0">
        <w:t>dispute</w:t>
      </w:r>
      <w:r w:rsidR="00C962EB" w:rsidRPr="00982FB0">
        <w:t xml:space="preserve"> with the employees of the Respondent after </w:t>
      </w:r>
      <w:r w:rsidR="000258FE" w:rsidRPr="00982FB0">
        <w:t xml:space="preserve">the </w:t>
      </w:r>
      <w:r w:rsidR="00C962EB" w:rsidRPr="00982FB0">
        <w:t xml:space="preserve">receipt of the </w:t>
      </w:r>
      <w:r w:rsidR="000258FE" w:rsidRPr="00982FB0">
        <w:t>outstanding rates and taxes</w:t>
      </w:r>
      <w:r w:rsidR="00C962EB" w:rsidRPr="00982FB0">
        <w:t xml:space="preserve"> </w:t>
      </w:r>
      <w:r w:rsidR="00C962EB" w:rsidRPr="00982FB0">
        <w:lastRenderedPageBreak/>
        <w:t>for the period of March 2014</w:t>
      </w:r>
      <w:r w:rsidR="000258FE" w:rsidRPr="00982FB0">
        <w:t xml:space="preserve"> have yielded no positive results</w:t>
      </w:r>
      <w:r w:rsidR="00C962EB" w:rsidRPr="00982FB0">
        <w:t>.</w:t>
      </w:r>
    </w:p>
    <w:p w14:paraId="7350110F" w14:textId="0DF9A9D6" w:rsidR="00821EC4" w:rsidRPr="00982FB0" w:rsidRDefault="00F0006B" w:rsidP="00F0006B">
      <w:pPr>
        <w:pStyle w:val="1"/>
        <w:numPr>
          <w:ilvl w:val="0"/>
          <w:numId w:val="0"/>
        </w:numPr>
        <w:tabs>
          <w:tab w:val="left" w:pos="567"/>
        </w:tabs>
        <w:ind w:left="567" w:hanging="567"/>
      </w:pPr>
      <w:r w:rsidRPr="00982FB0">
        <w:rPr>
          <w:rFonts w:cs="Arial"/>
          <w:szCs w:val="24"/>
        </w:rPr>
        <w:t>[15]</w:t>
      </w:r>
      <w:r w:rsidRPr="00982FB0">
        <w:rPr>
          <w:rFonts w:cs="Arial"/>
          <w:szCs w:val="24"/>
        </w:rPr>
        <w:tab/>
      </w:r>
      <w:r w:rsidR="00821EC4" w:rsidRPr="00982FB0">
        <w:t>On 10 September 2014</w:t>
      </w:r>
      <w:r w:rsidR="00E7209E" w:rsidRPr="00982FB0">
        <w:t>,</w:t>
      </w:r>
      <w:r w:rsidR="00821EC4" w:rsidRPr="00982FB0">
        <w:t xml:space="preserve"> the First Applicant’s former attorneys wrote to the Respondent and inter alia stated that they had not received a computation of figures linked to Portion 50 and that </w:t>
      </w:r>
      <w:r w:rsidR="00E7209E" w:rsidRPr="00982FB0">
        <w:t xml:space="preserve">as of December 2013, the First Applicant did not owe the Respondent, and that on March 2014 amounts of R227 135.64, </w:t>
      </w:r>
      <w:r w:rsidR="004C7940" w:rsidRPr="00982FB0">
        <w:t>R</w:t>
      </w:r>
      <w:r w:rsidR="00E7209E" w:rsidRPr="00982FB0">
        <w:t xml:space="preserve">68, 879.50, R1, 119, 8111.80 and R66, 810.82 were added to the First Applicant’s account without explanation. </w:t>
      </w:r>
      <w:r w:rsidR="00295A5D" w:rsidRPr="00982FB0">
        <w:t xml:space="preserve"> </w:t>
      </w:r>
      <w:r w:rsidR="00E7209E" w:rsidRPr="00982FB0">
        <w:t xml:space="preserve">Consequently, on 10 September 2014, the First Applicant raised another dispute in terms of section 95(f) read together with section 102(2) of the Systems Act. </w:t>
      </w:r>
    </w:p>
    <w:p w14:paraId="0EAB4B0E" w14:textId="0BD88F2F" w:rsidR="007D10B2" w:rsidRPr="00982FB0" w:rsidRDefault="00F0006B" w:rsidP="00F0006B">
      <w:pPr>
        <w:pStyle w:val="1"/>
        <w:numPr>
          <w:ilvl w:val="0"/>
          <w:numId w:val="0"/>
        </w:numPr>
        <w:tabs>
          <w:tab w:val="left" w:pos="567"/>
        </w:tabs>
        <w:ind w:left="567" w:hanging="567"/>
      </w:pPr>
      <w:r w:rsidRPr="00982FB0">
        <w:rPr>
          <w:rFonts w:cs="Arial"/>
          <w:szCs w:val="24"/>
        </w:rPr>
        <w:t>[16]</w:t>
      </w:r>
      <w:r w:rsidRPr="00982FB0">
        <w:rPr>
          <w:rFonts w:cs="Arial"/>
          <w:szCs w:val="24"/>
        </w:rPr>
        <w:tab/>
      </w:r>
      <w:r w:rsidR="007D10B2" w:rsidRPr="00982FB0">
        <w:t>According to the First Applicant, on 3 November 20</w:t>
      </w:r>
      <w:r w:rsidR="0081527D" w:rsidRPr="00982FB0">
        <w:t>16</w:t>
      </w:r>
      <w:r w:rsidR="007D10B2" w:rsidRPr="00982FB0">
        <w:t xml:space="preserve">, the </w:t>
      </w:r>
      <w:r w:rsidR="00A028F3" w:rsidRPr="00982FB0">
        <w:t>Respondent's</w:t>
      </w:r>
      <w:r w:rsidR="007D10B2" w:rsidRPr="00982FB0">
        <w:t xml:space="preserve"> rights, title</w:t>
      </w:r>
      <w:r w:rsidR="00A028F3" w:rsidRPr="00982FB0">
        <w:t>,</w:t>
      </w:r>
      <w:r w:rsidR="007D10B2" w:rsidRPr="00982FB0">
        <w:t xml:space="preserve"> and interest under case numbers 73276/2014 and 89809/2015 were sold in execution </w:t>
      </w:r>
      <w:r w:rsidR="00A028F3" w:rsidRPr="00982FB0">
        <w:t xml:space="preserve">because of the Respondent’s failure to pay the First Applicant’s cost orders under the aforesaid case numbers. </w:t>
      </w:r>
      <w:r w:rsidR="00295A5D" w:rsidRPr="00982FB0">
        <w:t xml:space="preserve"> </w:t>
      </w:r>
      <w:r w:rsidR="001B6533" w:rsidRPr="00982FB0">
        <w:t xml:space="preserve"> </w:t>
      </w:r>
      <w:r w:rsidR="00A028F3" w:rsidRPr="00982FB0">
        <w:t>According to the First Applicant, the sale in execution extinguished the Respondent’s claim for debts allegedly owed by the First Applicant under account 5003804877 of Portion 50.</w:t>
      </w:r>
    </w:p>
    <w:p w14:paraId="107F7AA3" w14:textId="37F34CDD" w:rsidR="00A028F3" w:rsidRPr="00982FB0" w:rsidRDefault="00F0006B" w:rsidP="00F0006B">
      <w:pPr>
        <w:pStyle w:val="1"/>
        <w:numPr>
          <w:ilvl w:val="0"/>
          <w:numId w:val="0"/>
        </w:numPr>
        <w:tabs>
          <w:tab w:val="left" w:pos="567"/>
        </w:tabs>
        <w:ind w:left="567" w:hanging="567"/>
      </w:pPr>
      <w:r w:rsidRPr="00982FB0">
        <w:rPr>
          <w:rFonts w:cs="Arial"/>
          <w:szCs w:val="24"/>
        </w:rPr>
        <w:t>[17]</w:t>
      </w:r>
      <w:r w:rsidRPr="00982FB0">
        <w:rPr>
          <w:rFonts w:cs="Arial"/>
          <w:szCs w:val="24"/>
        </w:rPr>
        <w:tab/>
      </w:r>
      <w:r w:rsidR="00A028F3" w:rsidRPr="00982FB0">
        <w:t>On 26 July 2017</w:t>
      </w:r>
      <w:r w:rsidR="00275CB3" w:rsidRPr="00982FB0">
        <w:t>,</w:t>
      </w:r>
      <w:r w:rsidR="00A028F3" w:rsidRPr="00982FB0">
        <w:t xml:space="preserve"> the First Applicant received a final demand </w:t>
      </w:r>
      <w:r w:rsidR="00275CB3" w:rsidRPr="00982FB0">
        <w:t>from</w:t>
      </w:r>
      <w:r w:rsidR="00A028F3" w:rsidRPr="00982FB0">
        <w:t xml:space="preserve"> the Respondent about an amount of R 1608 905.79 that was due and payable under account 5003804877. However, the First Applicant </w:t>
      </w:r>
      <w:r w:rsidR="00275CB3" w:rsidRPr="00982FB0">
        <w:t xml:space="preserve">replied to the effect that the matter was resolved through litigations and that the debt was no longer outstanding. </w:t>
      </w:r>
    </w:p>
    <w:p w14:paraId="0E6D5FAA" w14:textId="0C29BAE3" w:rsidR="002A0784" w:rsidRPr="00982FB0" w:rsidRDefault="00F0006B" w:rsidP="00F0006B">
      <w:pPr>
        <w:pStyle w:val="1"/>
        <w:numPr>
          <w:ilvl w:val="0"/>
          <w:numId w:val="0"/>
        </w:numPr>
        <w:tabs>
          <w:tab w:val="left" w:pos="567"/>
        </w:tabs>
        <w:ind w:left="567" w:hanging="567"/>
      </w:pPr>
      <w:r w:rsidRPr="00982FB0">
        <w:rPr>
          <w:rFonts w:cs="Arial"/>
          <w:szCs w:val="24"/>
        </w:rPr>
        <w:t>[18]</w:t>
      </w:r>
      <w:r w:rsidRPr="00982FB0">
        <w:rPr>
          <w:rFonts w:cs="Arial"/>
          <w:szCs w:val="24"/>
        </w:rPr>
        <w:tab/>
      </w:r>
      <w:r w:rsidR="002A0784" w:rsidRPr="00982FB0">
        <w:t>On or about 4 February 2020, the First Applicant sold the properties to Raubex Property Investments (Pty) Ltd (Raubex Property), and Raubex Property took occupation on 28 February 2020.</w:t>
      </w:r>
      <w:r w:rsidR="001E2A81" w:rsidRPr="00982FB0">
        <w:t xml:space="preserve"> </w:t>
      </w:r>
      <w:r w:rsidR="001B6533" w:rsidRPr="00982FB0">
        <w:t xml:space="preserve"> </w:t>
      </w:r>
      <w:r w:rsidR="001E2A81" w:rsidRPr="00982FB0">
        <w:t xml:space="preserve">According to the First Applicant, the aforesaid </w:t>
      </w:r>
      <w:r w:rsidR="001E2A81" w:rsidRPr="00982FB0">
        <w:lastRenderedPageBreak/>
        <w:t>properties form part of a Broad-Based Black Empowerment transaction.</w:t>
      </w:r>
      <w:r w:rsidR="001E2A81" w:rsidRPr="00982FB0">
        <w:rPr>
          <w:rStyle w:val="FootnoteReference"/>
        </w:rPr>
        <w:footnoteReference w:id="3"/>
      </w:r>
      <w:r w:rsidR="001E2A81" w:rsidRPr="00982FB0">
        <w:t xml:space="preserve"> </w:t>
      </w:r>
    </w:p>
    <w:p w14:paraId="324ECB3B" w14:textId="5ED428AF" w:rsidR="002A0784" w:rsidRPr="00982FB0" w:rsidRDefault="00F0006B" w:rsidP="00F0006B">
      <w:pPr>
        <w:pStyle w:val="1"/>
        <w:numPr>
          <w:ilvl w:val="0"/>
          <w:numId w:val="0"/>
        </w:numPr>
        <w:tabs>
          <w:tab w:val="left" w:pos="567"/>
        </w:tabs>
        <w:ind w:left="567" w:hanging="567"/>
      </w:pPr>
      <w:r w:rsidRPr="00982FB0">
        <w:rPr>
          <w:rFonts w:cs="Arial"/>
          <w:szCs w:val="24"/>
        </w:rPr>
        <w:t>[19]</w:t>
      </w:r>
      <w:r w:rsidRPr="00982FB0">
        <w:rPr>
          <w:rFonts w:cs="Arial"/>
          <w:szCs w:val="24"/>
        </w:rPr>
        <w:tab/>
      </w:r>
      <w:r w:rsidR="009A3CA8" w:rsidRPr="00982FB0">
        <w:t>On 18 May 2021, t</w:t>
      </w:r>
      <w:r w:rsidR="002A0784" w:rsidRPr="00982FB0">
        <w:t xml:space="preserve">he First Applicant applied for </w:t>
      </w:r>
      <w:r w:rsidR="009A3CA8" w:rsidRPr="00982FB0">
        <w:t>clearance figures</w:t>
      </w:r>
      <w:r w:rsidR="002A0784" w:rsidRPr="00982FB0">
        <w:t xml:space="preserve"> from the </w:t>
      </w:r>
      <w:r w:rsidR="009A3CA8" w:rsidRPr="00982FB0">
        <w:t>Respondent</w:t>
      </w:r>
      <w:r w:rsidR="002A0784" w:rsidRPr="00982FB0">
        <w:t xml:space="preserve"> and received </w:t>
      </w:r>
      <w:r w:rsidR="009A3CA8" w:rsidRPr="00982FB0">
        <w:t>them</w:t>
      </w:r>
      <w:r w:rsidR="002A0784" w:rsidRPr="00982FB0">
        <w:t xml:space="preserve"> </w:t>
      </w:r>
      <w:r w:rsidR="009A3CA8" w:rsidRPr="00982FB0">
        <w:t>on 1</w:t>
      </w:r>
      <w:r w:rsidR="00F736E8" w:rsidRPr="00982FB0">
        <w:t>5</w:t>
      </w:r>
      <w:r w:rsidR="009A3CA8" w:rsidRPr="00982FB0">
        <w:t xml:space="preserve"> June 2021.</w:t>
      </w:r>
      <w:r w:rsidR="00F736E8" w:rsidRPr="00982FB0">
        <w:rPr>
          <w:rStyle w:val="FootnoteReference"/>
        </w:rPr>
        <w:footnoteReference w:id="4"/>
      </w:r>
    </w:p>
    <w:p w14:paraId="15CA839B" w14:textId="6A51CA8B" w:rsidR="009D56AE" w:rsidRPr="00982FB0" w:rsidRDefault="00F0006B" w:rsidP="00F0006B">
      <w:pPr>
        <w:pStyle w:val="1"/>
        <w:numPr>
          <w:ilvl w:val="0"/>
          <w:numId w:val="0"/>
        </w:numPr>
        <w:tabs>
          <w:tab w:val="left" w:pos="567"/>
        </w:tabs>
        <w:ind w:left="567" w:hanging="567"/>
      </w:pPr>
      <w:r w:rsidRPr="00982FB0">
        <w:rPr>
          <w:rFonts w:cs="Arial"/>
          <w:szCs w:val="24"/>
        </w:rPr>
        <w:t>[20]</w:t>
      </w:r>
      <w:r w:rsidRPr="00982FB0">
        <w:rPr>
          <w:rFonts w:cs="Arial"/>
          <w:szCs w:val="24"/>
        </w:rPr>
        <w:tab/>
      </w:r>
      <w:r w:rsidR="009D56AE" w:rsidRPr="00982FB0">
        <w:t>As of 22 July 2022, the closing balance on account number 5015417216 was R2</w:t>
      </w:r>
      <w:r w:rsidR="001B6533" w:rsidRPr="00982FB0">
        <w:t> </w:t>
      </w:r>
      <w:r w:rsidR="009D56AE" w:rsidRPr="00982FB0">
        <w:t xml:space="preserve">454 209.00 which is R88.91 less than the balance provided to the First Applicant as the clearance figure of R 2 454 297.91 issued on 11 July 2022 by the Respondent. </w:t>
      </w:r>
    </w:p>
    <w:p w14:paraId="22B59FF3" w14:textId="567F3CF1" w:rsidR="009D56AE" w:rsidRPr="00982FB0" w:rsidRDefault="00F0006B" w:rsidP="00F0006B">
      <w:pPr>
        <w:pStyle w:val="1"/>
        <w:numPr>
          <w:ilvl w:val="0"/>
          <w:numId w:val="0"/>
        </w:numPr>
        <w:tabs>
          <w:tab w:val="left" w:pos="567"/>
        </w:tabs>
        <w:ind w:left="567" w:hanging="567"/>
      </w:pPr>
      <w:r w:rsidRPr="00982FB0">
        <w:rPr>
          <w:rFonts w:cs="Arial"/>
          <w:szCs w:val="24"/>
        </w:rPr>
        <w:t>[21]</w:t>
      </w:r>
      <w:r w:rsidRPr="00982FB0">
        <w:rPr>
          <w:rFonts w:cs="Arial"/>
          <w:szCs w:val="24"/>
        </w:rPr>
        <w:tab/>
      </w:r>
      <w:r w:rsidR="009D56AE" w:rsidRPr="00982FB0">
        <w:rPr>
          <w:lang w:val="en-ZA"/>
        </w:rPr>
        <w:t>The First Applicant lodged a dispute in terms of section 102</w:t>
      </w:r>
      <w:r w:rsidR="00095505" w:rsidRPr="00982FB0">
        <w:rPr>
          <w:lang w:val="en-ZA"/>
        </w:rPr>
        <w:t>(2)</w:t>
      </w:r>
      <w:r w:rsidR="009D56AE" w:rsidRPr="00982FB0">
        <w:rPr>
          <w:lang w:val="en-ZA"/>
        </w:rPr>
        <w:t xml:space="preserve"> of the Systems Act relating to inter alia account number 50</w:t>
      </w:r>
      <w:r w:rsidR="00095505" w:rsidRPr="00982FB0">
        <w:rPr>
          <w:lang w:val="en-ZA"/>
        </w:rPr>
        <w:t>03804877</w:t>
      </w:r>
      <w:r w:rsidR="009D56AE" w:rsidRPr="00982FB0">
        <w:rPr>
          <w:lang w:val="en-ZA"/>
        </w:rPr>
        <w:t xml:space="preserve"> which is linked to Portion 50.</w:t>
      </w:r>
    </w:p>
    <w:p w14:paraId="7146E0C4" w14:textId="2D3B497E" w:rsidR="00452110" w:rsidRPr="00982FB0" w:rsidRDefault="00F0006B" w:rsidP="00F0006B">
      <w:pPr>
        <w:pStyle w:val="1"/>
        <w:numPr>
          <w:ilvl w:val="0"/>
          <w:numId w:val="0"/>
        </w:numPr>
        <w:tabs>
          <w:tab w:val="left" w:pos="567"/>
        </w:tabs>
        <w:ind w:left="567" w:hanging="567"/>
      </w:pPr>
      <w:r w:rsidRPr="00982FB0">
        <w:rPr>
          <w:rFonts w:cs="Arial"/>
          <w:szCs w:val="24"/>
        </w:rPr>
        <w:t>[22]</w:t>
      </w:r>
      <w:r w:rsidRPr="00982FB0">
        <w:rPr>
          <w:rFonts w:cs="Arial"/>
          <w:szCs w:val="24"/>
        </w:rPr>
        <w:tab/>
      </w:r>
      <w:r w:rsidR="00452110" w:rsidRPr="00982FB0">
        <w:t xml:space="preserve">The Respondent declined to provide the First </w:t>
      </w:r>
      <w:r w:rsidR="009D56AE" w:rsidRPr="00982FB0">
        <w:t>Applicant</w:t>
      </w:r>
      <w:r w:rsidR="00452110" w:rsidRPr="00982FB0">
        <w:t xml:space="preserve"> with the rate clearance certificate until all the debts relating to rates and tax</w:t>
      </w:r>
      <w:r w:rsidR="0003093D" w:rsidRPr="00982FB0">
        <w:t>e</w:t>
      </w:r>
      <w:r w:rsidR="00452110" w:rsidRPr="00982FB0">
        <w:t xml:space="preserve">s as indicated </w:t>
      </w:r>
      <w:r w:rsidR="009D56AE" w:rsidRPr="00982FB0">
        <w:t>in the</w:t>
      </w:r>
      <w:r w:rsidR="00452110" w:rsidRPr="00982FB0">
        <w:t xml:space="preserve"> clearance figures have been settled.</w:t>
      </w:r>
    </w:p>
    <w:p w14:paraId="7D4F9DAE" w14:textId="016F7DD7" w:rsidR="00275CB3" w:rsidRPr="00982FB0" w:rsidRDefault="00F0006B" w:rsidP="00F0006B">
      <w:pPr>
        <w:pStyle w:val="1"/>
        <w:numPr>
          <w:ilvl w:val="0"/>
          <w:numId w:val="0"/>
        </w:numPr>
        <w:tabs>
          <w:tab w:val="left" w:pos="567"/>
        </w:tabs>
        <w:ind w:left="567" w:hanging="567"/>
      </w:pPr>
      <w:r w:rsidRPr="00982FB0">
        <w:rPr>
          <w:rFonts w:cs="Arial"/>
          <w:szCs w:val="24"/>
        </w:rPr>
        <w:t>[23]</w:t>
      </w:r>
      <w:r w:rsidRPr="00982FB0">
        <w:rPr>
          <w:rFonts w:cs="Arial"/>
          <w:szCs w:val="24"/>
        </w:rPr>
        <w:tab/>
      </w:r>
      <w:r w:rsidR="007A13FF" w:rsidRPr="00982FB0">
        <w:t>T</w:t>
      </w:r>
      <w:r w:rsidR="00700457" w:rsidRPr="00982FB0">
        <w:t xml:space="preserve">he First Applicant’s case is that the amount of </w:t>
      </w:r>
      <w:r w:rsidR="009D56AE" w:rsidRPr="00982FB0">
        <w:t>R 2 454 297.91</w:t>
      </w:r>
      <w:r w:rsidR="00700457" w:rsidRPr="00982FB0">
        <w:t xml:space="preserve"> </w:t>
      </w:r>
      <w:r w:rsidR="009D56AE" w:rsidRPr="00982FB0">
        <w:t>which is</w:t>
      </w:r>
      <w:r w:rsidR="00700457" w:rsidRPr="00982FB0">
        <w:t xml:space="preserve"> linked to </w:t>
      </w:r>
      <w:r w:rsidR="0003093D" w:rsidRPr="00982FB0">
        <w:t xml:space="preserve">account number 5003804877 and/or 5015417216 </w:t>
      </w:r>
      <w:r w:rsidR="009D56AE" w:rsidRPr="00982FB0">
        <w:t>is</w:t>
      </w:r>
      <w:r w:rsidR="00700457" w:rsidRPr="00982FB0">
        <w:t xml:space="preserve"> older than 2 years preceding the date </w:t>
      </w:r>
      <w:r w:rsidR="009D56AE" w:rsidRPr="00982FB0">
        <w:t xml:space="preserve">that </w:t>
      </w:r>
      <w:r w:rsidR="00700457" w:rsidRPr="00982FB0">
        <w:t>the First Applicant applied for clearance figures in terms of section 118</w:t>
      </w:r>
      <w:r w:rsidR="009D56AE" w:rsidRPr="00982FB0">
        <w:t>(1)</w:t>
      </w:r>
      <w:r w:rsidR="00700457" w:rsidRPr="00982FB0">
        <w:t xml:space="preserve"> of the Systems Act</w:t>
      </w:r>
      <w:r w:rsidR="00507624" w:rsidRPr="00982FB0">
        <w:t xml:space="preserve"> and therefore should be excluded from the rate clearance figures that have been </w:t>
      </w:r>
      <w:r w:rsidR="000C0C88" w:rsidRPr="00982FB0">
        <w:t>furnished to the First Applicant by the Respondent</w:t>
      </w:r>
      <w:r w:rsidR="00507624" w:rsidRPr="00982FB0">
        <w:t xml:space="preserve">. </w:t>
      </w:r>
    </w:p>
    <w:p w14:paraId="0625F99C" w14:textId="0B354E5F" w:rsidR="00A130A4" w:rsidRPr="00982FB0" w:rsidRDefault="00A130A4" w:rsidP="00A130A4">
      <w:pPr>
        <w:pStyle w:val="1"/>
        <w:numPr>
          <w:ilvl w:val="0"/>
          <w:numId w:val="0"/>
        </w:numPr>
        <w:rPr>
          <w:b/>
          <w:bCs/>
          <w:lang w:val="en-ZA" w:eastAsia="en-US"/>
        </w:rPr>
      </w:pPr>
      <w:r w:rsidRPr="00982FB0">
        <w:rPr>
          <w:b/>
          <w:bCs/>
        </w:rPr>
        <w:lastRenderedPageBreak/>
        <w:t>APPLICABLE LEGAL PRINCIPLE</w:t>
      </w:r>
      <w:r w:rsidRPr="00982FB0">
        <w:rPr>
          <w:b/>
          <w:bCs/>
          <w:lang w:val="en-ZA" w:eastAsia="en-US"/>
        </w:rPr>
        <w:t xml:space="preserve"> </w:t>
      </w:r>
    </w:p>
    <w:p w14:paraId="6AC6AF6C" w14:textId="758B70B3" w:rsidR="007A13FF" w:rsidRPr="00982FB0" w:rsidRDefault="00F0006B" w:rsidP="00F0006B">
      <w:pPr>
        <w:pStyle w:val="1"/>
        <w:numPr>
          <w:ilvl w:val="0"/>
          <w:numId w:val="0"/>
        </w:numPr>
        <w:tabs>
          <w:tab w:val="left" w:pos="567"/>
        </w:tabs>
        <w:ind w:left="567" w:hanging="567"/>
      </w:pPr>
      <w:r w:rsidRPr="00982FB0">
        <w:rPr>
          <w:rFonts w:cs="Arial"/>
          <w:szCs w:val="24"/>
        </w:rPr>
        <w:t>[24]</w:t>
      </w:r>
      <w:r w:rsidRPr="00982FB0">
        <w:rPr>
          <w:rFonts w:cs="Arial"/>
          <w:szCs w:val="24"/>
        </w:rPr>
        <w:tab/>
      </w:r>
      <w:r w:rsidR="007A13FF" w:rsidRPr="00982FB0">
        <w:t>The Systems Act provides a framework for the registration of immovable property, issuance of rates and taxes certificate, and collection of municipal services fees including property rates. Section 118(1) provides that:</w:t>
      </w:r>
    </w:p>
    <w:p w14:paraId="6ABB2EB7" w14:textId="26A757B7" w:rsidR="007A13FF" w:rsidRPr="00DE69B4" w:rsidRDefault="007A13FF" w:rsidP="007A13FF">
      <w:pPr>
        <w:pStyle w:val="1"/>
        <w:numPr>
          <w:ilvl w:val="0"/>
          <w:numId w:val="0"/>
        </w:numPr>
        <w:spacing w:before="0" w:line="360" w:lineRule="auto"/>
        <w:ind w:left="851" w:right="851"/>
        <w:rPr>
          <w:sz w:val="22"/>
        </w:rPr>
      </w:pPr>
      <w:r w:rsidRPr="00DE69B4">
        <w:t>“</w:t>
      </w:r>
      <w:r w:rsidRPr="00DE69B4">
        <w:rPr>
          <w:sz w:val="22"/>
        </w:rPr>
        <w:t>A registrar of deeds may not register the transfer of property except on production to that registration officer of a prescribed certificate</w:t>
      </w:r>
      <w:r w:rsidR="008073A6" w:rsidRPr="00DE69B4">
        <w:rPr>
          <w:sz w:val="22"/>
        </w:rPr>
        <w:t xml:space="preserve"> - </w:t>
      </w:r>
    </w:p>
    <w:p w14:paraId="7EE362B6" w14:textId="77777777" w:rsidR="007A13FF" w:rsidRPr="00DE69B4" w:rsidRDefault="007A13FF" w:rsidP="007A13FF">
      <w:pPr>
        <w:pStyle w:val="1"/>
        <w:numPr>
          <w:ilvl w:val="0"/>
          <w:numId w:val="0"/>
        </w:numPr>
        <w:spacing w:before="0" w:line="360" w:lineRule="auto"/>
        <w:ind w:left="851" w:right="851"/>
        <w:rPr>
          <w:sz w:val="22"/>
        </w:rPr>
      </w:pPr>
    </w:p>
    <w:p w14:paraId="43CC3ECC" w14:textId="715C1B2D" w:rsidR="007A13FF" w:rsidRPr="00DE69B4" w:rsidRDefault="00F0006B" w:rsidP="00F0006B">
      <w:pPr>
        <w:pStyle w:val="4"/>
        <w:numPr>
          <w:ilvl w:val="0"/>
          <w:numId w:val="0"/>
        </w:numPr>
        <w:tabs>
          <w:tab w:val="left" w:pos="2155"/>
        </w:tabs>
        <w:spacing w:before="0" w:line="360" w:lineRule="auto"/>
        <w:ind w:left="2155" w:hanging="794"/>
        <w:rPr>
          <w:color w:val="auto"/>
          <w:sz w:val="22"/>
          <w:szCs w:val="22"/>
        </w:rPr>
      </w:pPr>
      <w:r w:rsidRPr="00DE69B4">
        <w:rPr>
          <w:rFonts w:cs="Arial"/>
          <w:color w:val="auto"/>
          <w:szCs w:val="24"/>
        </w:rPr>
        <w:t>(a)</w:t>
      </w:r>
      <w:r w:rsidRPr="00DE69B4">
        <w:rPr>
          <w:rFonts w:cs="Arial"/>
          <w:color w:val="auto"/>
          <w:szCs w:val="24"/>
        </w:rPr>
        <w:tab/>
      </w:r>
      <w:r w:rsidR="007A13FF" w:rsidRPr="00DE69B4">
        <w:rPr>
          <w:color w:val="auto"/>
          <w:sz w:val="22"/>
          <w:szCs w:val="22"/>
        </w:rPr>
        <w:t xml:space="preserve">issued by the </w:t>
      </w:r>
      <w:r w:rsidR="008073A6" w:rsidRPr="00DE69B4">
        <w:rPr>
          <w:color w:val="auto"/>
          <w:sz w:val="22"/>
          <w:szCs w:val="22"/>
        </w:rPr>
        <w:t xml:space="preserve">municipality or </w:t>
      </w:r>
      <w:r w:rsidR="007A13FF" w:rsidRPr="00DE69B4">
        <w:rPr>
          <w:color w:val="auto"/>
          <w:sz w:val="22"/>
          <w:szCs w:val="22"/>
        </w:rPr>
        <w:t>municipalit</w:t>
      </w:r>
      <w:r w:rsidR="008073A6" w:rsidRPr="00DE69B4">
        <w:rPr>
          <w:color w:val="auto"/>
          <w:sz w:val="22"/>
          <w:szCs w:val="22"/>
        </w:rPr>
        <w:t>ies</w:t>
      </w:r>
      <w:r w:rsidR="007A13FF" w:rsidRPr="00DE69B4">
        <w:rPr>
          <w:color w:val="auto"/>
          <w:sz w:val="22"/>
          <w:szCs w:val="22"/>
        </w:rPr>
        <w:t xml:space="preserve"> in which that property is situated; and </w:t>
      </w:r>
    </w:p>
    <w:p w14:paraId="610A8443" w14:textId="3E80E19D" w:rsidR="007A13FF" w:rsidRPr="00DE69B4" w:rsidRDefault="00F0006B" w:rsidP="00F0006B">
      <w:pPr>
        <w:pStyle w:val="4"/>
        <w:numPr>
          <w:ilvl w:val="0"/>
          <w:numId w:val="0"/>
        </w:numPr>
        <w:tabs>
          <w:tab w:val="left" w:pos="2155"/>
        </w:tabs>
        <w:spacing w:before="0" w:line="360" w:lineRule="auto"/>
        <w:ind w:left="2155" w:hanging="794"/>
        <w:rPr>
          <w:color w:val="auto"/>
          <w:sz w:val="22"/>
          <w:szCs w:val="22"/>
        </w:rPr>
      </w:pPr>
      <w:r w:rsidRPr="00DE69B4">
        <w:rPr>
          <w:rFonts w:cs="Arial"/>
          <w:color w:val="auto"/>
          <w:szCs w:val="24"/>
        </w:rPr>
        <w:t>(b)</w:t>
      </w:r>
      <w:r w:rsidRPr="00DE69B4">
        <w:rPr>
          <w:rFonts w:cs="Arial"/>
          <w:color w:val="auto"/>
          <w:szCs w:val="24"/>
        </w:rPr>
        <w:tab/>
      </w:r>
      <w:r w:rsidR="007A13FF" w:rsidRPr="00DE69B4">
        <w:rPr>
          <w:color w:val="auto"/>
          <w:sz w:val="22"/>
          <w:szCs w:val="22"/>
        </w:rPr>
        <w:t xml:space="preserve">which certifies that all amounts due in connection with that </w:t>
      </w:r>
    </w:p>
    <w:p w14:paraId="68EAA95D" w14:textId="6A275287" w:rsidR="007A13FF" w:rsidRPr="00DE69B4" w:rsidRDefault="007A13FF" w:rsidP="001B4B65">
      <w:pPr>
        <w:pStyle w:val="4"/>
        <w:numPr>
          <w:ilvl w:val="0"/>
          <w:numId w:val="0"/>
        </w:numPr>
        <w:spacing w:before="0" w:line="360" w:lineRule="auto"/>
        <w:ind w:left="2155"/>
      </w:pPr>
      <w:r w:rsidRPr="00DE69B4">
        <w:rPr>
          <w:color w:val="auto"/>
          <w:sz w:val="22"/>
          <w:szCs w:val="22"/>
        </w:rPr>
        <w:t xml:space="preserve">property for municipal service fees, surcharges on fees, property rates and other municipal taxes, levies and duties </w:t>
      </w:r>
      <w:r w:rsidRPr="00DE69B4">
        <w:rPr>
          <w:color w:val="auto"/>
          <w:sz w:val="22"/>
          <w:szCs w:val="22"/>
          <w:u w:val="single"/>
        </w:rPr>
        <w:t>during the two years preceding the date of application for the certificate have been fully paid</w:t>
      </w:r>
      <w:r w:rsidRPr="00DE69B4">
        <w:rPr>
          <w:color w:val="auto"/>
          <w:sz w:val="22"/>
          <w:szCs w:val="22"/>
        </w:rPr>
        <w:t>” (own emphasis added).</w:t>
      </w:r>
    </w:p>
    <w:p w14:paraId="7048580B" w14:textId="26BD12A4" w:rsidR="00FB04AA" w:rsidRPr="00982FB0" w:rsidRDefault="00F0006B" w:rsidP="00F0006B">
      <w:pPr>
        <w:pStyle w:val="1"/>
        <w:numPr>
          <w:ilvl w:val="0"/>
          <w:numId w:val="0"/>
        </w:numPr>
        <w:tabs>
          <w:tab w:val="left" w:pos="567"/>
        </w:tabs>
        <w:ind w:left="567" w:hanging="567"/>
      </w:pPr>
      <w:r w:rsidRPr="00982FB0">
        <w:rPr>
          <w:rFonts w:cs="Arial"/>
          <w:szCs w:val="24"/>
        </w:rPr>
        <w:t>[25]</w:t>
      </w:r>
      <w:r w:rsidRPr="00982FB0">
        <w:rPr>
          <w:rFonts w:cs="Arial"/>
          <w:szCs w:val="24"/>
        </w:rPr>
        <w:tab/>
      </w:r>
      <w:r w:rsidR="00FB04AA" w:rsidRPr="00982FB0">
        <w:t xml:space="preserve">A simple reading of the aforesaid provision entails that the Respondent is in law entitled to recover any current debt owed to it by the First Applicant and that debt should not be older than two years preceding the date of the application for the certificate. </w:t>
      </w:r>
      <w:r w:rsidR="00903073" w:rsidRPr="00982FB0">
        <w:t xml:space="preserve"> </w:t>
      </w:r>
      <w:r w:rsidR="00FB04AA" w:rsidRPr="00982FB0">
        <w:t>However, a debt that falls outside the scope of two years preceding the two years</w:t>
      </w:r>
      <w:r w:rsidR="00A363CD" w:rsidRPr="00982FB0">
        <w:t xml:space="preserve"> of</w:t>
      </w:r>
      <w:r w:rsidR="00FB04AA" w:rsidRPr="00982FB0">
        <w:t xml:space="preserve"> the date of application for the certificate is not covered by the aforesaid provision.</w:t>
      </w:r>
      <w:r w:rsidR="00903073" w:rsidRPr="00982FB0">
        <w:t xml:space="preserve"> </w:t>
      </w:r>
      <w:r w:rsidR="00FB04AA" w:rsidRPr="00982FB0">
        <w:t xml:space="preserve"> In other words, a historical debt cannot be included in the two years preceding the date of the application for the certificate.</w:t>
      </w:r>
    </w:p>
    <w:p w14:paraId="5AE6C4FF" w14:textId="340B0B4B" w:rsidR="00836FD8" w:rsidRPr="00982FB0" w:rsidRDefault="00F0006B" w:rsidP="00F0006B">
      <w:pPr>
        <w:pStyle w:val="1"/>
        <w:numPr>
          <w:ilvl w:val="0"/>
          <w:numId w:val="0"/>
        </w:numPr>
        <w:tabs>
          <w:tab w:val="left" w:pos="567"/>
        </w:tabs>
        <w:ind w:left="567" w:hanging="567"/>
      </w:pPr>
      <w:r w:rsidRPr="00982FB0">
        <w:rPr>
          <w:rFonts w:cs="Arial"/>
          <w:szCs w:val="24"/>
        </w:rPr>
        <w:t>[26]</w:t>
      </w:r>
      <w:r w:rsidRPr="00982FB0">
        <w:rPr>
          <w:rFonts w:cs="Arial"/>
          <w:szCs w:val="24"/>
        </w:rPr>
        <w:tab/>
      </w:r>
      <w:r w:rsidR="00826BCD" w:rsidRPr="00982FB0">
        <w:t>Does it mean that the Respondent has no other mechanisms to recover a historic</w:t>
      </w:r>
      <w:r w:rsidR="00A363CD" w:rsidRPr="00982FB0">
        <w:t>al</w:t>
      </w:r>
      <w:r w:rsidR="00826BCD" w:rsidRPr="00982FB0">
        <w:t xml:space="preserve"> debt that is not covered by </w:t>
      </w:r>
      <w:r w:rsidR="00A363CD" w:rsidRPr="00982FB0">
        <w:t xml:space="preserve">the provisions of </w:t>
      </w:r>
      <w:r w:rsidR="00826BCD" w:rsidRPr="00982FB0">
        <w:t>section 118(1) of the Systems Act? The quick answer is no.</w:t>
      </w:r>
      <w:r w:rsidR="00836FD8" w:rsidRPr="00982FB0">
        <w:t xml:space="preserve"> </w:t>
      </w:r>
      <w:r w:rsidR="00826BCD" w:rsidRPr="00982FB0">
        <w:t xml:space="preserve">The Systems Act provides a mechanism for the Respondent to recover </w:t>
      </w:r>
      <w:r w:rsidR="00836FD8" w:rsidRPr="00982FB0">
        <w:t>any of its</w:t>
      </w:r>
      <w:r w:rsidR="00A363CD" w:rsidRPr="00982FB0">
        <w:t xml:space="preserve"> outstanding</w:t>
      </w:r>
      <w:r w:rsidR="00836FD8" w:rsidRPr="00982FB0">
        <w:t xml:space="preserve"> debt. As was correctly found </w:t>
      </w:r>
      <w:r w:rsidR="00836FD8" w:rsidRPr="00982FB0">
        <w:lastRenderedPageBreak/>
        <w:t xml:space="preserve">in </w:t>
      </w:r>
      <w:r w:rsidR="00836FD8" w:rsidRPr="00982FB0">
        <w:rPr>
          <w:i/>
          <w:iCs w:val="0"/>
        </w:rPr>
        <w:t>Jordaan and Others v City of Tshwane Metropolitan Municipality and Others</w:t>
      </w:r>
      <w:r w:rsidR="00A363CD" w:rsidRPr="00982FB0">
        <w:rPr>
          <w:rStyle w:val="FootnoteReference"/>
        </w:rPr>
        <w:footnoteReference w:id="5"/>
      </w:r>
      <w:r w:rsidR="00836FD8" w:rsidRPr="00982FB0">
        <w:rPr>
          <w:i/>
          <w:iCs w:val="0"/>
        </w:rPr>
        <w:t xml:space="preserve"> </w:t>
      </w:r>
      <w:r w:rsidR="00836FD8" w:rsidRPr="00982FB0">
        <w:t>where the Constitutional Court held that:</w:t>
      </w:r>
    </w:p>
    <w:p w14:paraId="1385EBA2" w14:textId="6FEBD2EC" w:rsidR="00836FD8" w:rsidRPr="00DE69B4" w:rsidRDefault="00836FD8" w:rsidP="001B4B65">
      <w:pPr>
        <w:pStyle w:val="1"/>
        <w:numPr>
          <w:ilvl w:val="0"/>
          <w:numId w:val="0"/>
        </w:numPr>
        <w:spacing w:before="0" w:line="360" w:lineRule="auto"/>
        <w:ind w:left="851" w:right="851"/>
        <w:rPr>
          <w:sz w:val="22"/>
        </w:rPr>
      </w:pPr>
      <w:r w:rsidRPr="00DE69B4">
        <w:rPr>
          <w:sz w:val="22"/>
        </w:rPr>
        <w:t xml:space="preserve">“And the statute does indeed provide a full-plated panoply of mechanisms enabling efficient debt recovery in the cause of collecting publicly vital revenue. </w:t>
      </w:r>
      <w:r w:rsidR="006E432E" w:rsidRPr="00DE69B4">
        <w:rPr>
          <w:sz w:val="22"/>
        </w:rPr>
        <w:t xml:space="preserve"> </w:t>
      </w:r>
      <w:r w:rsidRPr="00DE69B4">
        <w:rPr>
          <w:sz w:val="22"/>
        </w:rPr>
        <w:t xml:space="preserve">Here the parts of section 118(3) that are uncontested are integral. </w:t>
      </w:r>
      <w:r w:rsidR="006E432E" w:rsidRPr="00DE69B4">
        <w:rPr>
          <w:sz w:val="22"/>
        </w:rPr>
        <w:t xml:space="preserve"> </w:t>
      </w:r>
      <w:r w:rsidRPr="00DE69B4">
        <w:rPr>
          <w:sz w:val="22"/>
        </w:rPr>
        <w:t>These are the charge on the property against the existing owner, and the municipality’s preference over registered mortgagees.</w:t>
      </w:r>
      <w:r w:rsidR="000027B3" w:rsidRPr="00DE69B4">
        <w:rPr>
          <w:sz w:val="22"/>
        </w:rPr>
        <w:t xml:space="preserve"> </w:t>
      </w:r>
      <w:r w:rsidR="006E432E" w:rsidRPr="00DE69B4">
        <w:rPr>
          <w:sz w:val="22"/>
        </w:rPr>
        <w:t xml:space="preserve"> </w:t>
      </w:r>
      <w:r w:rsidRPr="00DE69B4">
        <w:rPr>
          <w:sz w:val="22"/>
        </w:rPr>
        <w:t>During argument the municipalities conceded, correctly, that the provision enables them to enforce the charge against the existing owner up to the moment of transfer – and to do so above and before any registered mortgagees.</w:t>
      </w:r>
      <w:r w:rsidR="006E432E" w:rsidRPr="00DE69B4">
        <w:rPr>
          <w:sz w:val="22"/>
        </w:rPr>
        <w:t xml:space="preserve"> </w:t>
      </w:r>
      <w:r w:rsidRPr="00DE69B4">
        <w:rPr>
          <w:sz w:val="22"/>
        </w:rPr>
        <w:t xml:space="preserve"> And they were constrained to concede, also correctly, where there are unpaid municipal debts, that the charge enables them to slam the legal brake on any impending transfer by obtaining an interdict against transfer”.</w:t>
      </w:r>
    </w:p>
    <w:p w14:paraId="34F67A7A" w14:textId="7312D1E4" w:rsidR="000027B3" w:rsidRPr="00982FB0" w:rsidRDefault="00F0006B" w:rsidP="00F0006B">
      <w:pPr>
        <w:pStyle w:val="1"/>
        <w:numPr>
          <w:ilvl w:val="0"/>
          <w:numId w:val="0"/>
        </w:numPr>
        <w:tabs>
          <w:tab w:val="left" w:pos="567"/>
        </w:tabs>
        <w:ind w:left="567" w:hanging="567"/>
      </w:pPr>
      <w:r w:rsidRPr="00982FB0">
        <w:rPr>
          <w:rFonts w:cs="Arial"/>
          <w:szCs w:val="24"/>
        </w:rPr>
        <w:t>[27]</w:t>
      </w:r>
      <w:r w:rsidRPr="00982FB0">
        <w:rPr>
          <w:rFonts w:cs="Arial"/>
          <w:szCs w:val="24"/>
        </w:rPr>
        <w:tab/>
      </w:r>
      <w:r w:rsidR="000027B3" w:rsidRPr="00982FB0">
        <w:t xml:space="preserve">The above paragraph reveals that there are legal channels that are available to the Respondent to recover </w:t>
      </w:r>
      <w:r w:rsidR="00783FDF" w:rsidRPr="00982FB0">
        <w:t xml:space="preserve">any </w:t>
      </w:r>
      <w:r w:rsidR="000027B3" w:rsidRPr="00982FB0">
        <w:t xml:space="preserve">debt </w:t>
      </w:r>
      <w:r w:rsidR="00783FDF" w:rsidRPr="00982FB0">
        <w:t>that has not prescribed</w:t>
      </w:r>
      <w:r w:rsidR="00893642" w:rsidRPr="00982FB0">
        <w:t xml:space="preserve"> against a consumer of municipal services</w:t>
      </w:r>
      <w:r w:rsidR="000027B3" w:rsidRPr="00982FB0">
        <w:t xml:space="preserve"> as per section 118(3) of the Systems Act</w:t>
      </w:r>
      <w:r w:rsidR="00537585" w:rsidRPr="00982FB0">
        <w:t>.</w:t>
      </w:r>
    </w:p>
    <w:p w14:paraId="2F37D7FE" w14:textId="122A1275" w:rsidR="002F6982" w:rsidRPr="00982FB0" w:rsidRDefault="00F0006B" w:rsidP="00F0006B">
      <w:pPr>
        <w:pStyle w:val="1"/>
        <w:numPr>
          <w:ilvl w:val="0"/>
          <w:numId w:val="0"/>
        </w:numPr>
        <w:tabs>
          <w:tab w:val="left" w:pos="567"/>
        </w:tabs>
        <w:ind w:left="567" w:hanging="567"/>
      </w:pPr>
      <w:r w:rsidRPr="00982FB0">
        <w:rPr>
          <w:rFonts w:cs="Arial"/>
          <w:szCs w:val="24"/>
        </w:rPr>
        <w:t>[28]</w:t>
      </w:r>
      <w:r w:rsidRPr="00982FB0">
        <w:rPr>
          <w:rFonts w:cs="Arial"/>
          <w:szCs w:val="24"/>
        </w:rPr>
        <w:tab/>
      </w:r>
      <w:r w:rsidR="00783FDF" w:rsidRPr="00982FB0">
        <w:t xml:space="preserve">Similarly, it is now </w:t>
      </w:r>
      <w:r w:rsidR="00783FDF" w:rsidRPr="00982FB0">
        <w:rPr>
          <w:rFonts w:cs="Arial"/>
          <w:szCs w:val="24"/>
        </w:rPr>
        <w:t>settled that “</w:t>
      </w:r>
      <w:r w:rsidR="00783FDF" w:rsidRPr="00DE69B4">
        <w:rPr>
          <w:rFonts w:cs="Arial"/>
          <w:i/>
          <w:szCs w:val="24"/>
          <w:shd w:val="clear" w:color="auto" w:fill="FFFFFF"/>
        </w:rPr>
        <w:t>upon transfer of a property, a new owner is not liable for debts arising before transfer from the charge upon the property under</w:t>
      </w:r>
      <w:r w:rsidR="00783FDF" w:rsidRPr="001B4B65">
        <w:rPr>
          <w:rFonts w:cs="Arial"/>
          <w:szCs w:val="24"/>
          <w:shd w:val="clear" w:color="auto" w:fill="FFFFFF"/>
        </w:rPr>
        <w:t>”</w:t>
      </w:r>
      <w:r w:rsidR="00FD55C3">
        <w:rPr>
          <w:rStyle w:val="FootnoteReference"/>
          <w:rFonts w:cs="Arial"/>
          <w:szCs w:val="24"/>
          <w:shd w:val="clear" w:color="auto" w:fill="FFFFFF"/>
        </w:rPr>
        <w:footnoteReference w:id="6"/>
      </w:r>
      <w:r w:rsidR="00783FDF" w:rsidRPr="001B4B65">
        <w:rPr>
          <w:rFonts w:cs="Arial"/>
          <w:szCs w:val="24"/>
          <w:shd w:val="clear" w:color="auto" w:fill="FFFFFF"/>
        </w:rPr>
        <w:t xml:space="preserve"> section 118(3) of the Systems Act. </w:t>
      </w:r>
    </w:p>
    <w:p w14:paraId="0029BD34" w14:textId="31BBF170" w:rsidR="00201D22" w:rsidRPr="00982FB0" w:rsidRDefault="00F0006B" w:rsidP="00F0006B">
      <w:pPr>
        <w:pStyle w:val="1"/>
        <w:numPr>
          <w:ilvl w:val="0"/>
          <w:numId w:val="0"/>
        </w:numPr>
        <w:tabs>
          <w:tab w:val="left" w:pos="567"/>
        </w:tabs>
        <w:ind w:left="567" w:hanging="567"/>
        <w:rPr>
          <w:rFonts w:cs="Arial"/>
          <w:b/>
          <w:bCs/>
          <w:szCs w:val="24"/>
        </w:rPr>
      </w:pPr>
      <w:r w:rsidRPr="00982FB0">
        <w:rPr>
          <w:rFonts w:cs="Arial"/>
          <w:szCs w:val="24"/>
        </w:rPr>
        <w:t>[29]</w:t>
      </w:r>
      <w:r w:rsidRPr="00982FB0">
        <w:rPr>
          <w:rFonts w:cs="Arial"/>
          <w:szCs w:val="24"/>
        </w:rPr>
        <w:tab/>
      </w:r>
      <w:r w:rsidR="00201D22" w:rsidRPr="00982FB0">
        <w:rPr>
          <w:rFonts w:cs="Arial"/>
          <w:szCs w:val="24"/>
          <w:lang w:val="en-US" w:eastAsia="en-US"/>
        </w:rPr>
        <w:t xml:space="preserve">I now turn to consider the circumstances of this case taking into consideration the written and oral submissions of the parties including evidence before this Court to ascertain whether the First Applicant has made out a case for the relief sought. </w:t>
      </w:r>
    </w:p>
    <w:p w14:paraId="1FFDE95D" w14:textId="31C6D848" w:rsidR="00756BBF" w:rsidRPr="00982FB0" w:rsidRDefault="00201D22" w:rsidP="00201D22">
      <w:pPr>
        <w:pStyle w:val="1"/>
        <w:numPr>
          <w:ilvl w:val="0"/>
          <w:numId w:val="0"/>
        </w:numPr>
        <w:rPr>
          <w:rFonts w:cs="Arial"/>
          <w:b/>
          <w:bCs/>
          <w:szCs w:val="24"/>
        </w:rPr>
      </w:pPr>
      <w:r w:rsidRPr="00982FB0">
        <w:rPr>
          <w:rFonts w:cs="Arial"/>
          <w:b/>
          <w:bCs/>
          <w:szCs w:val="24"/>
        </w:rPr>
        <w:t xml:space="preserve">FIRST </w:t>
      </w:r>
      <w:r w:rsidR="000B7A7B" w:rsidRPr="00982FB0">
        <w:rPr>
          <w:rFonts w:cs="Arial"/>
          <w:b/>
          <w:bCs/>
          <w:szCs w:val="24"/>
        </w:rPr>
        <w:t>APPLICANT’S SUBMISSIONS</w:t>
      </w:r>
    </w:p>
    <w:p w14:paraId="6AEE5645" w14:textId="62B415FA" w:rsidR="003C2A48" w:rsidRPr="00982FB0" w:rsidRDefault="00F0006B" w:rsidP="00F0006B">
      <w:pPr>
        <w:pStyle w:val="1"/>
        <w:numPr>
          <w:ilvl w:val="0"/>
          <w:numId w:val="0"/>
        </w:numPr>
        <w:tabs>
          <w:tab w:val="left" w:pos="567"/>
        </w:tabs>
        <w:ind w:left="567" w:hanging="567"/>
        <w:rPr>
          <w:rFonts w:cs="Arial"/>
          <w:i/>
          <w:szCs w:val="24"/>
          <w:lang w:val="en-US"/>
        </w:rPr>
      </w:pPr>
      <w:r w:rsidRPr="00982FB0">
        <w:rPr>
          <w:rFonts w:cs="Arial"/>
          <w:szCs w:val="24"/>
          <w:lang w:val="en-US"/>
        </w:rPr>
        <w:lastRenderedPageBreak/>
        <w:t>[30]</w:t>
      </w:r>
      <w:r w:rsidRPr="00982FB0">
        <w:rPr>
          <w:rFonts w:cs="Arial"/>
          <w:szCs w:val="24"/>
          <w:lang w:val="en-US"/>
        </w:rPr>
        <w:tab/>
      </w:r>
      <w:r w:rsidR="000835EC" w:rsidRPr="001B4B65">
        <w:rPr>
          <w:rFonts w:cs="Arial"/>
          <w:szCs w:val="24"/>
          <w:lang w:val="en-ZA"/>
        </w:rPr>
        <w:t xml:space="preserve">The </w:t>
      </w:r>
      <w:r w:rsidR="00201D22" w:rsidRPr="001B4B65">
        <w:rPr>
          <w:rFonts w:cs="Arial"/>
          <w:szCs w:val="24"/>
          <w:lang w:val="en-ZA"/>
        </w:rPr>
        <w:t xml:space="preserve">First </w:t>
      </w:r>
      <w:r w:rsidR="000B7A7B" w:rsidRPr="001B4B65">
        <w:rPr>
          <w:rFonts w:cs="Arial"/>
          <w:szCs w:val="24"/>
          <w:lang w:val="en-ZA"/>
        </w:rPr>
        <w:t>Applicant</w:t>
      </w:r>
      <w:r w:rsidR="00E4740D" w:rsidRPr="001B4B65">
        <w:rPr>
          <w:rFonts w:cs="Arial"/>
          <w:szCs w:val="24"/>
          <w:lang w:val="en-ZA"/>
        </w:rPr>
        <w:t xml:space="preserve">’s submissions </w:t>
      </w:r>
      <w:r w:rsidR="00201D22" w:rsidRPr="001B4B65">
        <w:rPr>
          <w:rFonts w:cs="Arial"/>
          <w:szCs w:val="24"/>
          <w:lang w:val="en-ZA"/>
        </w:rPr>
        <w:t xml:space="preserve">were brief and </w:t>
      </w:r>
      <w:r w:rsidR="00E4740D" w:rsidRPr="001B4B65">
        <w:rPr>
          <w:rFonts w:cs="Arial"/>
          <w:szCs w:val="24"/>
          <w:lang w:val="en-ZA"/>
        </w:rPr>
        <w:t>could be s</w:t>
      </w:r>
      <w:r w:rsidR="003C2A48" w:rsidRPr="001B4B65">
        <w:rPr>
          <w:rFonts w:cs="Arial"/>
          <w:szCs w:val="24"/>
          <w:lang w:val="en-ZA"/>
        </w:rPr>
        <w:t>ummarized as follows:</w:t>
      </w:r>
    </w:p>
    <w:p w14:paraId="5620FD2B" w14:textId="0195EF72" w:rsidR="002B5166" w:rsidRPr="00982FB0" w:rsidRDefault="002B5166" w:rsidP="00D307B6">
      <w:pPr>
        <w:pStyle w:val="1"/>
        <w:numPr>
          <w:ilvl w:val="0"/>
          <w:numId w:val="0"/>
        </w:numPr>
        <w:tabs>
          <w:tab w:val="left" w:pos="1418"/>
        </w:tabs>
        <w:ind w:left="1418" w:hanging="851"/>
      </w:pPr>
      <w:r w:rsidRPr="001B4B65">
        <w:rPr>
          <w:rFonts w:cs="Arial"/>
          <w:szCs w:val="24"/>
          <w:lang w:val="en-ZA"/>
        </w:rPr>
        <w:t>[30.1]</w:t>
      </w:r>
      <w:r w:rsidR="00835EE5" w:rsidRPr="001B4B65">
        <w:rPr>
          <w:rFonts w:cs="Arial"/>
          <w:szCs w:val="24"/>
          <w:lang w:val="en-ZA"/>
        </w:rPr>
        <w:tab/>
      </w:r>
      <w:r w:rsidRPr="001B4B65">
        <w:rPr>
          <w:rFonts w:cs="Arial"/>
          <w:szCs w:val="24"/>
          <w:lang w:val="en-ZA"/>
        </w:rPr>
        <w:t xml:space="preserve">Section 102(1)(c) of the Systems Act authorises a municipality to </w:t>
      </w:r>
      <w:r w:rsidRPr="00982FB0">
        <w:t xml:space="preserve">implement any of the debt collection and credit control measures for recovery of any arrears on any of the accounts. </w:t>
      </w:r>
      <w:r w:rsidR="00364B9B" w:rsidRPr="00982FB0">
        <w:t xml:space="preserve"> </w:t>
      </w:r>
      <w:r w:rsidRPr="00982FB0">
        <w:t>However, section 102(2) of the System Act further provides that section 102(1)(c) does not apply where there is a dispute between the municipality and a consumer of services about any specific amount claimed by the municipality from</w:t>
      </w:r>
      <w:r w:rsidR="009D37D3" w:rsidRPr="00982FB0">
        <w:t xml:space="preserve"> that person.</w:t>
      </w:r>
    </w:p>
    <w:p w14:paraId="0E2E6ACE" w14:textId="700F9931" w:rsidR="002B5166" w:rsidRPr="001B4B65" w:rsidRDefault="009D37D3" w:rsidP="00D307B6">
      <w:pPr>
        <w:pStyle w:val="1"/>
        <w:numPr>
          <w:ilvl w:val="0"/>
          <w:numId w:val="0"/>
        </w:numPr>
        <w:tabs>
          <w:tab w:val="left" w:pos="1418"/>
        </w:tabs>
        <w:ind w:left="1418" w:hanging="851"/>
        <w:rPr>
          <w:rFonts w:cs="Arial"/>
          <w:szCs w:val="24"/>
          <w:lang w:val="en-ZA"/>
        </w:rPr>
      </w:pPr>
      <w:r w:rsidRPr="001B4B65">
        <w:rPr>
          <w:rFonts w:cs="Arial"/>
          <w:szCs w:val="24"/>
          <w:lang w:val="en-ZA"/>
        </w:rPr>
        <w:t>[30.2]</w:t>
      </w:r>
      <w:r w:rsidR="00364B9B" w:rsidRPr="001B4B65">
        <w:rPr>
          <w:rFonts w:cs="Arial"/>
          <w:szCs w:val="24"/>
          <w:lang w:val="en-ZA"/>
        </w:rPr>
        <w:tab/>
      </w:r>
      <w:r w:rsidRPr="001B4B65">
        <w:rPr>
          <w:rFonts w:cs="Arial"/>
          <w:szCs w:val="24"/>
          <w:lang w:val="en-ZA"/>
        </w:rPr>
        <w:t xml:space="preserve">Relying on </w:t>
      </w:r>
      <w:r w:rsidRPr="001B4B65">
        <w:rPr>
          <w:rFonts w:cs="Arial"/>
          <w:i/>
          <w:iCs w:val="0"/>
          <w:szCs w:val="24"/>
          <w:lang w:val="en-ZA"/>
        </w:rPr>
        <w:t>Real People Housing (Pty) Ltd v City of Cape Town</w:t>
      </w:r>
      <w:r w:rsidRPr="001B4B65">
        <w:rPr>
          <w:rStyle w:val="FootnoteReference"/>
          <w:rFonts w:cs="Arial"/>
          <w:szCs w:val="24"/>
        </w:rPr>
        <w:footnoteReference w:id="7"/>
      </w:r>
      <w:r w:rsidRPr="001B4B65">
        <w:rPr>
          <w:rFonts w:cs="Arial"/>
          <w:szCs w:val="24"/>
          <w:lang w:val="en-ZA"/>
        </w:rPr>
        <w:t xml:space="preserve">, the First Applicant inter alia contended that the amount which the applicant for a clearance certificate had to pay to be issued with a clearance certificate was limited to a period of two years preceding the date of application for the said clearance certificate. </w:t>
      </w:r>
      <w:r w:rsidR="00364B9B" w:rsidRPr="001B4B65">
        <w:rPr>
          <w:rFonts w:cs="Arial"/>
          <w:szCs w:val="24"/>
          <w:lang w:val="en-ZA"/>
        </w:rPr>
        <w:t xml:space="preserve"> </w:t>
      </w:r>
      <w:r w:rsidRPr="001B4B65">
        <w:rPr>
          <w:rFonts w:cs="Arial"/>
          <w:szCs w:val="24"/>
          <w:lang w:val="en-ZA"/>
        </w:rPr>
        <w:t xml:space="preserve">Furthermore, the First Applicant argued that the Respondent was obliged, on request, to provide the First Applicant with such itemised billing for municipal fees due for payment during the </w:t>
      </w:r>
      <w:r w:rsidR="007B062B" w:rsidRPr="001B4B65">
        <w:rPr>
          <w:rFonts w:cs="Arial"/>
          <w:szCs w:val="24"/>
          <w:lang w:val="en-ZA"/>
        </w:rPr>
        <w:t>two-year</w:t>
      </w:r>
      <w:r w:rsidRPr="001B4B65">
        <w:rPr>
          <w:rFonts w:cs="Arial"/>
          <w:szCs w:val="24"/>
          <w:lang w:val="en-ZA"/>
        </w:rPr>
        <w:t xml:space="preserve"> period preceding the date of application for the required certificate, and to issue the </w:t>
      </w:r>
      <w:r w:rsidR="007B062B" w:rsidRPr="001B4B65">
        <w:rPr>
          <w:rFonts w:cs="Arial"/>
          <w:szCs w:val="24"/>
          <w:lang w:val="en-ZA"/>
        </w:rPr>
        <w:t>First Applicant</w:t>
      </w:r>
      <w:r w:rsidRPr="001B4B65">
        <w:rPr>
          <w:rFonts w:cs="Arial"/>
          <w:szCs w:val="24"/>
          <w:lang w:val="en-ZA"/>
        </w:rPr>
        <w:t xml:space="preserve"> with the required clearance certificate when the amount due had been paid.</w:t>
      </w:r>
    </w:p>
    <w:p w14:paraId="56AD1FD7" w14:textId="2174D029" w:rsidR="005768EC" w:rsidRPr="001B4B65" w:rsidRDefault="005768EC" w:rsidP="00D307B6">
      <w:pPr>
        <w:pStyle w:val="1"/>
        <w:numPr>
          <w:ilvl w:val="0"/>
          <w:numId w:val="0"/>
        </w:numPr>
        <w:tabs>
          <w:tab w:val="left" w:pos="1418"/>
        </w:tabs>
        <w:ind w:left="1418" w:hanging="851"/>
        <w:rPr>
          <w:rFonts w:cs="Arial"/>
          <w:szCs w:val="24"/>
          <w:lang w:val="en-ZA"/>
        </w:rPr>
      </w:pPr>
      <w:r w:rsidRPr="001B4B65">
        <w:rPr>
          <w:rFonts w:cs="Arial"/>
          <w:szCs w:val="24"/>
          <w:lang w:val="en-ZA"/>
        </w:rPr>
        <w:t>[30.3]</w:t>
      </w:r>
      <w:r w:rsidR="00EE75D2" w:rsidRPr="001B4B65">
        <w:rPr>
          <w:rFonts w:cs="Arial"/>
          <w:szCs w:val="24"/>
          <w:lang w:val="en-ZA"/>
        </w:rPr>
        <w:tab/>
      </w:r>
      <w:r w:rsidR="00893642" w:rsidRPr="001B4B65">
        <w:rPr>
          <w:rFonts w:cs="Arial"/>
          <w:szCs w:val="24"/>
          <w:lang w:val="en-ZA"/>
        </w:rPr>
        <w:t xml:space="preserve">Additionally, the </w:t>
      </w:r>
      <w:r w:rsidRPr="001B4B65">
        <w:rPr>
          <w:rFonts w:cs="Arial"/>
          <w:szCs w:val="24"/>
          <w:lang w:val="en-ZA"/>
        </w:rPr>
        <w:t>First Applicant argued that section 118(1)(b) of the Systems Act prohibits the Respondent from including historic</w:t>
      </w:r>
      <w:r w:rsidR="00893642" w:rsidRPr="001B4B65">
        <w:rPr>
          <w:rFonts w:cs="Arial"/>
          <w:szCs w:val="24"/>
          <w:lang w:val="en-ZA"/>
        </w:rPr>
        <w:t>al</w:t>
      </w:r>
      <w:r w:rsidRPr="001B4B65">
        <w:rPr>
          <w:rFonts w:cs="Arial"/>
          <w:szCs w:val="24"/>
          <w:lang w:val="en-ZA"/>
        </w:rPr>
        <w:t xml:space="preserve"> amounts older than two years preceding the date the application for clearance </w:t>
      </w:r>
      <w:r w:rsidRPr="001B4B65">
        <w:rPr>
          <w:rFonts w:cs="Arial"/>
          <w:szCs w:val="24"/>
          <w:lang w:val="en-ZA"/>
        </w:rPr>
        <w:lastRenderedPageBreak/>
        <w:t xml:space="preserve">figures was made for the purposes of obtaining a clearance certificate.  </w:t>
      </w:r>
    </w:p>
    <w:p w14:paraId="5F69ACB2" w14:textId="19626E5E" w:rsidR="005768EC" w:rsidRPr="001B4B65" w:rsidRDefault="005768EC" w:rsidP="00D307B6">
      <w:pPr>
        <w:pStyle w:val="1"/>
        <w:numPr>
          <w:ilvl w:val="0"/>
          <w:numId w:val="0"/>
        </w:numPr>
        <w:tabs>
          <w:tab w:val="left" w:pos="1418"/>
        </w:tabs>
        <w:ind w:left="1418" w:hanging="851"/>
        <w:rPr>
          <w:rFonts w:cs="Arial"/>
          <w:szCs w:val="24"/>
          <w:lang w:val="en-ZA"/>
        </w:rPr>
      </w:pPr>
      <w:r w:rsidRPr="001B4B65">
        <w:rPr>
          <w:rFonts w:cs="Arial"/>
          <w:szCs w:val="24"/>
          <w:lang w:val="en-ZA"/>
        </w:rPr>
        <w:t>[30.4]</w:t>
      </w:r>
      <w:r w:rsidR="00A12843" w:rsidRPr="001B4B65">
        <w:rPr>
          <w:rFonts w:cs="Arial"/>
          <w:szCs w:val="24"/>
          <w:lang w:val="en-ZA"/>
        </w:rPr>
        <w:tab/>
      </w:r>
      <w:r w:rsidRPr="001B4B65">
        <w:rPr>
          <w:rFonts w:cs="Arial"/>
          <w:szCs w:val="24"/>
          <w:lang w:val="en-ZA"/>
        </w:rPr>
        <w:t>The First Applicant argued that the statements provided by the Respondents resulted in the First Applicant seeking a detailed computation of the outstanding balance and several disputes that were lodged by the First Applicant.</w:t>
      </w:r>
      <w:r w:rsidR="00EE75D2" w:rsidRPr="001B4B65">
        <w:rPr>
          <w:rFonts w:cs="Arial"/>
          <w:szCs w:val="24"/>
          <w:lang w:val="en-ZA"/>
        </w:rPr>
        <w:t xml:space="preserve"> </w:t>
      </w:r>
      <w:r w:rsidRPr="001B4B65">
        <w:rPr>
          <w:rFonts w:cs="Arial"/>
          <w:szCs w:val="24"/>
          <w:lang w:val="en-ZA"/>
        </w:rPr>
        <w:t xml:space="preserve"> For example, </w:t>
      </w:r>
      <w:r w:rsidR="008B0A75" w:rsidRPr="001B4B65">
        <w:rPr>
          <w:rFonts w:cs="Arial"/>
          <w:szCs w:val="24"/>
          <w:lang w:val="en-ZA"/>
        </w:rPr>
        <w:t>the First Applicant contended that account number “</w:t>
      </w:r>
      <w:r w:rsidR="008B0A75" w:rsidRPr="001B4B65">
        <w:rPr>
          <w:rFonts w:cs="Arial"/>
          <w:i/>
          <w:szCs w:val="24"/>
          <w:lang w:val="en-ZA"/>
        </w:rPr>
        <w:t>5015417216 outstanding balance increased from R651 220.61 to R2 452 297.91</w:t>
      </w:r>
      <w:r w:rsidR="008B0A75" w:rsidRPr="001B4B65">
        <w:rPr>
          <w:rFonts w:cs="Arial"/>
          <w:szCs w:val="24"/>
          <w:lang w:val="en-ZA"/>
        </w:rPr>
        <w:t>”.</w:t>
      </w:r>
    </w:p>
    <w:p w14:paraId="74E9A797" w14:textId="7030CBD6" w:rsidR="00966CBD" w:rsidRPr="001B4B65" w:rsidRDefault="007B062B" w:rsidP="00D307B6">
      <w:pPr>
        <w:pStyle w:val="1"/>
        <w:numPr>
          <w:ilvl w:val="0"/>
          <w:numId w:val="0"/>
        </w:numPr>
        <w:tabs>
          <w:tab w:val="left" w:pos="1418"/>
        </w:tabs>
        <w:ind w:left="1418" w:hanging="851"/>
        <w:rPr>
          <w:rFonts w:cs="Arial"/>
          <w:szCs w:val="24"/>
          <w:lang w:val="en-ZA"/>
        </w:rPr>
      </w:pPr>
      <w:r w:rsidRPr="001B4B65">
        <w:rPr>
          <w:rFonts w:cs="Arial"/>
          <w:szCs w:val="24"/>
          <w:lang w:val="en-ZA"/>
        </w:rPr>
        <w:t>[30.5]</w:t>
      </w:r>
      <w:r w:rsidR="00A12843" w:rsidRPr="001B4B65">
        <w:rPr>
          <w:rFonts w:cs="Arial"/>
          <w:szCs w:val="24"/>
          <w:lang w:val="en-ZA"/>
        </w:rPr>
        <w:tab/>
      </w:r>
      <w:r w:rsidR="00893642" w:rsidRPr="001B4B65">
        <w:rPr>
          <w:rFonts w:cs="Arial"/>
          <w:szCs w:val="24"/>
          <w:lang w:val="en-ZA"/>
        </w:rPr>
        <w:t>Furthermore, t</w:t>
      </w:r>
      <w:r w:rsidRPr="001B4B65">
        <w:rPr>
          <w:rFonts w:cs="Arial"/>
          <w:szCs w:val="24"/>
          <w:lang w:val="en-ZA"/>
        </w:rPr>
        <w:t xml:space="preserve">he First Applicant argued that the disputed amounts date </w:t>
      </w:r>
      <w:r w:rsidR="00893642" w:rsidRPr="001B4B65">
        <w:rPr>
          <w:rFonts w:cs="Arial"/>
          <w:szCs w:val="24"/>
          <w:lang w:val="en-ZA"/>
        </w:rPr>
        <w:t xml:space="preserve">back </w:t>
      </w:r>
      <w:r w:rsidRPr="001B4B65">
        <w:rPr>
          <w:rFonts w:cs="Arial"/>
          <w:szCs w:val="24"/>
          <w:lang w:val="en-ZA"/>
        </w:rPr>
        <w:t>as far as February/March 2014.</w:t>
      </w:r>
    </w:p>
    <w:p w14:paraId="42133D5E" w14:textId="1B08B9B8" w:rsidR="00966CBD" w:rsidRPr="001B4B65" w:rsidRDefault="00966CBD" w:rsidP="00D307B6">
      <w:pPr>
        <w:pStyle w:val="1"/>
        <w:numPr>
          <w:ilvl w:val="0"/>
          <w:numId w:val="0"/>
        </w:numPr>
        <w:tabs>
          <w:tab w:val="left" w:pos="1418"/>
        </w:tabs>
        <w:ind w:left="1418" w:hanging="851"/>
        <w:rPr>
          <w:rFonts w:cs="Arial"/>
          <w:szCs w:val="24"/>
          <w:lang w:val="en-ZA"/>
        </w:rPr>
      </w:pPr>
      <w:r w:rsidRPr="001B4B65">
        <w:rPr>
          <w:rFonts w:cs="Arial"/>
          <w:szCs w:val="24"/>
          <w:lang w:val="en-ZA"/>
        </w:rPr>
        <w:t>[30.6]</w:t>
      </w:r>
      <w:r w:rsidR="00A12843" w:rsidRPr="001B4B65">
        <w:rPr>
          <w:rFonts w:cs="Arial"/>
          <w:szCs w:val="24"/>
          <w:lang w:val="en-ZA"/>
        </w:rPr>
        <w:tab/>
      </w:r>
      <w:r w:rsidRPr="001B4B65">
        <w:rPr>
          <w:rFonts w:cs="Arial"/>
          <w:szCs w:val="24"/>
          <w:lang w:val="en-ZA"/>
        </w:rPr>
        <w:t xml:space="preserve">The </w:t>
      </w:r>
      <w:r w:rsidRPr="00982FB0">
        <w:t xml:space="preserve">First Applicant contended that the Respondent's rights, title, and were sold in execution because of the Respondent’s failure to pay the First Applicant’s cost orders. </w:t>
      </w:r>
      <w:r w:rsidR="00A12843" w:rsidRPr="00982FB0">
        <w:t xml:space="preserve"> </w:t>
      </w:r>
      <w:r w:rsidRPr="00982FB0">
        <w:t>Consequently, the Fi</w:t>
      </w:r>
      <w:r w:rsidR="00893642" w:rsidRPr="00982FB0">
        <w:t>rst</w:t>
      </w:r>
      <w:r w:rsidRPr="00982FB0">
        <w:t xml:space="preserve"> Applicant </w:t>
      </w:r>
      <w:r w:rsidR="00893642" w:rsidRPr="00982FB0">
        <w:t>submitted</w:t>
      </w:r>
      <w:r w:rsidRPr="00982FB0">
        <w:t xml:space="preserve"> that the sale in execution extinguished the Respondent’s claim for debts allegedly owed by the First Applicant.</w:t>
      </w:r>
    </w:p>
    <w:p w14:paraId="0393FE4B" w14:textId="35178773" w:rsidR="003C2A48" w:rsidRPr="00982FB0" w:rsidRDefault="00F0006B" w:rsidP="00F0006B">
      <w:pPr>
        <w:pStyle w:val="1"/>
        <w:numPr>
          <w:ilvl w:val="0"/>
          <w:numId w:val="0"/>
        </w:numPr>
        <w:tabs>
          <w:tab w:val="left" w:pos="567"/>
        </w:tabs>
        <w:ind w:left="567" w:hanging="567"/>
        <w:rPr>
          <w:rFonts w:cs="Arial"/>
          <w:b/>
          <w:bCs/>
          <w:szCs w:val="24"/>
        </w:rPr>
      </w:pPr>
      <w:r w:rsidRPr="00982FB0">
        <w:rPr>
          <w:rFonts w:cs="Arial"/>
          <w:szCs w:val="24"/>
        </w:rPr>
        <w:t>[31]</w:t>
      </w:r>
      <w:r w:rsidRPr="00982FB0">
        <w:rPr>
          <w:rFonts w:cs="Arial"/>
          <w:szCs w:val="24"/>
        </w:rPr>
        <w:tab/>
      </w:r>
      <w:r w:rsidR="003C2A48" w:rsidRPr="001B4B65">
        <w:rPr>
          <w:rFonts w:cs="Arial"/>
          <w:szCs w:val="24"/>
          <w:lang w:val="en-ZA" w:eastAsia="en-US"/>
        </w:rPr>
        <w:t xml:space="preserve">Based on the above, the </w:t>
      </w:r>
      <w:r w:rsidR="007B062B" w:rsidRPr="001B4B65">
        <w:rPr>
          <w:rFonts w:cs="Arial"/>
          <w:szCs w:val="24"/>
          <w:lang w:val="en-ZA" w:eastAsia="en-US"/>
        </w:rPr>
        <w:t xml:space="preserve">First </w:t>
      </w:r>
      <w:r w:rsidR="003C2A48" w:rsidRPr="001B4B65">
        <w:rPr>
          <w:rFonts w:cs="Arial"/>
          <w:szCs w:val="24"/>
          <w:lang w:val="en-ZA" w:eastAsia="en-US"/>
        </w:rPr>
        <w:t xml:space="preserve">Applicant submitted that </w:t>
      </w:r>
      <w:r w:rsidR="007B062B" w:rsidRPr="001B4B65">
        <w:rPr>
          <w:rFonts w:cs="Arial"/>
          <w:szCs w:val="24"/>
          <w:lang w:val="en-ZA" w:eastAsia="en-US"/>
        </w:rPr>
        <w:t xml:space="preserve">a proper case was made out for the relief sought as per the notice of motion. </w:t>
      </w:r>
      <w:r w:rsidR="003C2A48" w:rsidRPr="001B4B65">
        <w:rPr>
          <w:rFonts w:cs="Arial"/>
          <w:szCs w:val="24"/>
          <w:lang w:val="en-ZA" w:eastAsia="en-US"/>
        </w:rPr>
        <w:t xml:space="preserve"> </w:t>
      </w:r>
    </w:p>
    <w:p w14:paraId="5F8F3EBD" w14:textId="77777777" w:rsidR="00FB04CC" w:rsidRPr="00982FB0" w:rsidRDefault="004E5E59" w:rsidP="000B7A7B">
      <w:pPr>
        <w:pStyle w:val="1"/>
        <w:numPr>
          <w:ilvl w:val="0"/>
          <w:numId w:val="0"/>
        </w:numPr>
        <w:spacing w:line="360" w:lineRule="auto"/>
        <w:rPr>
          <w:rFonts w:cs="Arial"/>
          <w:b/>
          <w:bCs/>
          <w:szCs w:val="24"/>
        </w:rPr>
      </w:pPr>
      <w:r w:rsidRPr="00982FB0">
        <w:rPr>
          <w:rFonts w:cs="Arial"/>
          <w:b/>
          <w:bCs/>
          <w:szCs w:val="24"/>
        </w:rPr>
        <w:t>RESPONDENT</w:t>
      </w:r>
      <w:r w:rsidR="00FB04CC" w:rsidRPr="00982FB0">
        <w:rPr>
          <w:rFonts w:cs="Arial"/>
          <w:b/>
          <w:bCs/>
          <w:szCs w:val="24"/>
        </w:rPr>
        <w:t xml:space="preserve">’S SUBMISSIONS  </w:t>
      </w:r>
    </w:p>
    <w:p w14:paraId="4AE9A0FB" w14:textId="45CBC37E" w:rsidR="000450BB" w:rsidRPr="00982FB0" w:rsidRDefault="00F0006B" w:rsidP="00F0006B">
      <w:pPr>
        <w:pStyle w:val="1"/>
        <w:numPr>
          <w:ilvl w:val="0"/>
          <w:numId w:val="0"/>
        </w:numPr>
        <w:tabs>
          <w:tab w:val="left" w:pos="567"/>
        </w:tabs>
        <w:ind w:left="567" w:hanging="567"/>
        <w:rPr>
          <w:rFonts w:cs="Arial"/>
          <w:szCs w:val="24"/>
          <w:lang w:val="en-ZA" w:eastAsia="en-US"/>
        </w:rPr>
      </w:pPr>
      <w:r w:rsidRPr="00982FB0">
        <w:rPr>
          <w:rFonts w:cs="Arial"/>
          <w:szCs w:val="24"/>
          <w:lang w:val="en-ZA" w:eastAsia="en-US"/>
        </w:rPr>
        <w:t>[32]</w:t>
      </w:r>
      <w:r w:rsidRPr="00982FB0">
        <w:rPr>
          <w:rFonts w:cs="Arial"/>
          <w:szCs w:val="24"/>
          <w:lang w:val="en-ZA" w:eastAsia="en-US"/>
        </w:rPr>
        <w:tab/>
      </w:r>
      <w:r w:rsidR="00D36DFD" w:rsidRPr="00982FB0">
        <w:rPr>
          <w:rFonts w:cs="Arial"/>
          <w:szCs w:val="24"/>
          <w:lang w:val="en-ZA"/>
        </w:rPr>
        <w:t xml:space="preserve">Counsel </w:t>
      </w:r>
      <w:r w:rsidR="00FB17B9" w:rsidRPr="00982FB0">
        <w:rPr>
          <w:rFonts w:cs="Arial"/>
          <w:szCs w:val="24"/>
          <w:lang w:val="en-ZA"/>
        </w:rPr>
        <w:t xml:space="preserve">for the Respondent </w:t>
      </w:r>
      <w:r w:rsidR="000450BB" w:rsidRPr="00982FB0">
        <w:rPr>
          <w:rFonts w:cs="Arial"/>
          <w:szCs w:val="24"/>
          <w:lang w:val="en-ZA"/>
        </w:rPr>
        <w:t>submitted that the relief sought by the First Applicant was incompetent as the requirements for declaratory relief were</w:t>
      </w:r>
      <w:r w:rsidR="00893642" w:rsidRPr="00982FB0">
        <w:rPr>
          <w:rFonts w:cs="Arial"/>
          <w:szCs w:val="24"/>
          <w:lang w:val="en-ZA"/>
        </w:rPr>
        <w:t xml:space="preserve"> not</w:t>
      </w:r>
      <w:r w:rsidR="000450BB" w:rsidRPr="00982FB0">
        <w:rPr>
          <w:rFonts w:cs="Arial"/>
          <w:szCs w:val="24"/>
          <w:lang w:val="en-ZA"/>
        </w:rPr>
        <w:t xml:space="preserve"> m</w:t>
      </w:r>
      <w:r w:rsidR="00893642" w:rsidRPr="00982FB0">
        <w:rPr>
          <w:rFonts w:cs="Arial"/>
          <w:szCs w:val="24"/>
          <w:lang w:val="en-ZA"/>
        </w:rPr>
        <w:t>et</w:t>
      </w:r>
      <w:r w:rsidR="000450BB" w:rsidRPr="00982FB0">
        <w:rPr>
          <w:rFonts w:cs="Arial"/>
          <w:szCs w:val="24"/>
          <w:lang w:val="en-ZA"/>
        </w:rPr>
        <w:t>.</w:t>
      </w:r>
    </w:p>
    <w:p w14:paraId="1566BB0B" w14:textId="3AA4227C" w:rsidR="001F2ED6" w:rsidRPr="00982FB0" w:rsidRDefault="00F0006B" w:rsidP="00F0006B">
      <w:pPr>
        <w:pStyle w:val="1"/>
        <w:numPr>
          <w:ilvl w:val="0"/>
          <w:numId w:val="0"/>
        </w:numPr>
        <w:tabs>
          <w:tab w:val="left" w:pos="567"/>
        </w:tabs>
        <w:ind w:left="567" w:hanging="567"/>
        <w:rPr>
          <w:rFonts w:cs="Arial"/>
          <w:szCs w:val="24"/>
          <w:lang w:val="en-ZA" w:eastAsia="en-US"/>
        </w:rPr>
      </w:pPr>
      <w:r w:rsidRPr="00982FB0">
        <w:rPr>
          <w:rFonts w:cs="Arial"/>
          <w:szCs w:val="24"/>
          <w:lang w:val="en-ZA" w:eastAsia="en-US"/>
        </w:rPr>
        <w:t>[33]</w:t>
      </w:r>
      <w:r w:rsidRPr="00982FB0">
        <w:rPr>
          <w:rFonts w:cs="Arial"/>
          <w:szCs w:val="24"/>
          <w:lang w:val="en-ZA" w:eastAsia="en-US"/>
        </w:rPr>
        <w:tab/>
      </w:r>
      <w:r w:rsidR="000450BB" w:rsidRPr="00982FB0">
        <w:rPr>
          <w:rFonts w:cs="Arial"/>
          <w:szCs w:val="24"/>
          <w:lang w:val="en-ZA"/>
        </w:rPr>
        <w:t xml:space="preserve">Further, counsel </w:t>
      </w:r>
      <w:r w:rsidR="00FB17B9" w:rsidRPr="00982FB0">
        <w:rPr>
          <w:rFonts w:cs="Arial"/>
          <w:szCs w:val="24"/>
          <w:lang w:val="en-ZA"/>
        </w:rPr>
        <w:t xml:space="preserve">argued that the </w:t>
      </w:r>
      <w:r w:rsidR="007A7973" w:rsidRPr="00982FB0">
        <w:rPr>
          <w:rFonts w:cs="Arial"/>
          <w:szCs w:val="24"/>
          <w:lang w:val="en-ZA"/>
        </w:rPr>
        <w:t>Respondent, as part of its administrative role, conducted various “</w:t>
      </w:r>
      <w:r w:rsidR="007A7973" w:rsidRPr="001B4B65">
        <w:rPr>
          <w:rFonts w:cs="Arial"/>
          <w:i/>
          <w:szCs w:val="24"/>
          <w:lang w:val="en-ZA"/>
        </w:rPr>
        <w:t>investigations,</w:t>
      </w:r>
      <w:r w:rsidR="00853953" w:rsidRPr="001B4B65">
        <w:rPr>
          <w:rFonts w:cs="Arial"/>
          <w:i/>
          <w:szCs w:val="24"/>
          <w:lang w:val="en-ZA"/>
        </w:rPr>
        <w:t xml:space="preserve"> </w:t>
      </w:r>
      <w:r w:rsidR="007A7973" w:rsidRPr="001B4B65">
        <w:rPr>
          <w:rFonts w:cs="Arial"/>
          <w:i/>
          <w:szCs w:val="24"/>
          <w:lang w:val="en-ZA"/>
        </w:rPr>
        <w:t xml:space="preserve">made decisions and provided detailed </w:t>
      </w:r>
      <w:r w:rsidR="007A7973" w:rsidRPr="001B4B65">
        <w:rPr>
          <w:rFonts w:cs="Arial"/>
          <w:i/>
          <w:szCs w:val="24"/>
          <w:lang w:val="en-ZA"/>
        </w:rPr>
        <w:lastRenderedPageBreak/>
        <w:t>feedback and figures to the First Applicant</w:t>
      </w:r>
      <w:r w:rsidR="007A7973" w:rsidRPr="00982FB0">
        <w:rPr>
          <w:rFonts w:cs="Arial"/>
          <w:szCs w:val="24"/>
          <w:lang w:val="en-ZA"/>
        </w:rPr>
        <w:t xml:space="preserve">” regarding the outstanding debt. </w:t>
      </w:r>
      <w:r w:rsidR="007A7FFA" w:rsidRPr="00982FB0">
        <w:rPr>
          <w:rFonts w:cs="Arial"/>
          <w:szCs w:val="24"/>
          <w:lang w:val="en-ZA"/>
        </w:rPr>
        <w:t xml:space="preserve"> </w:t>
      </w:r>
      <w:r w:rsidR="007A7973" w:rsidRPr="00982FB0">
        <w:rPr>
          <w:rFonts w:cs="Arial"/>
          <w:szCs w:val="24"/>
          <w:lang w:val="en-ZA"/>
        </w:rPr>
        <w:t xml:space="preserve">As a result, counsel argued that this was the basis for withholding a clearance certificate. </w:t>
      </w:r>
    </w:p>
    <w:p w14:paraId="21225B6E" w14:textId="7C3FE794" w:rsidR="008C2EF1" w:rsidRPr="00982FB0" w:rsidRDefault="00F0006B" w:rsidP="00F0006B">
      <w:pPr>
        <w:pStyle w:val="1"/>
        <w:numPr>
          <w:ilvl w:val="0"/>
          <w:numId w:val="0"/>
        </w:numPr>
        <w:tabs>
          <w:tab w:val="left" w:pos="567"/>
        </w:tabs>
        <w:ind w:left="567" w:hanging="567"/>
        <w:rPr>
          <w:rFonts w:cs="Arial"/>
          <w:szCs w:val="24"/>
          <w:lang w:val="en-ZA" w:eastAsia="en-US"/>
        </w:rPr>
      </w:pPr>
      <w:r w:rsidRPr="00982FB0">
        <w:rPr>
          <w:rFonts w:cs="Arial"/>
          <w:szCs w:val="24"/>
          <w:lang w:val="en-ZA" w:eastAsia="en-US"/>
        </w:rPr>
        <w:t>[34]</w:t>
      </w:r>
      <w:r w:rsidRPr="00982FB0">
        <w:rPr>
          <w:rFonts w:cs="Arial"/>
          <w:szCs w:val="24"/>
          <w:lang w:val="en-ZA" w:eastAsia="en-US"/>
        </w:rPr>
        <w:tab/>
      </w:r>
      <w:r w:rsidR="007A7973" w:rsidRPr="00982FB0">
        <w:rPr>
          <w:rFonts w:cs="Arial"/>
          <w:szCs w:val="24"/>
          <w:lang w:val="en-ZA"/>
        </w:rPr>
        <w:t xml:space="preserve">Counsel further submitted that this court was not in a position to </w:t>
      </w:r>
      <w:r w:rsidR="00893642" w:rsidRPr="00982FB0">
        <w:rPr>
          <w:rFonts w:cs="Arial"/>
          <w:szCs w:val="24"/>
          <w:lang w:val="en-ZA"/>
        </w:rPr>
        <w:t xml:space="preserve">declare </w:t>
      </w:r>
      <w:r w:rsidR="007A7973" w:rsidRPr="00982FB0">
        <w:rPr>
          <w:rFonts w:cs="Arial"/>
          <w:szCs w:val="24"/>
          <w:lang w:val="en-ZA"/>
        </w:rPr>
        <w:t>the debt not due as sought by the First Applicant.</w:t>
      </w:r>
      <w:r w:rsidR="00127A60" w:rsidRPr="00982FB0">
        <w:rPr>
          <w:rFonts w:cs="Arial"/>
          <w:szCs w:val="24"/>
          <w:lang w:val="en-ZA"/>
        </w:rPr>
        <w:t xml:space="preserve"> In addition, counsel for the Respondent submitted </w:t>
      </w:r>
      <w:r w:rsidR="00893642" w:rsidRPr="00982FB0">
        <w:rPr>
          <w:rFonts w:cs="Arial"/>
          <w:szCs w:val="24"/>
          <w:lang w:val="en-ZA"/>
        </w:rPr>
        <w:t xml:space="preserve">that </w:t>
      </w:r>
      <w:r w:rsidR="00127A60" w:rsidRPr="00982FB0">
        <w:rPr>
          <w:rFonts w:cs="Arial"/>
          <w:szCs w:val="24"/>
          <w:lang w:val="en-ZA"/>
        </w:rPr>
        <w:t>there was an “unfounded assumption that section 118</w:t>
      </w:r>
      <w:r w:rsidR="00893642" w:rsidRPr="00982FB0">
        <w:rPr>
          <w:rFonts w:cs="Arial"/>
          <w:szCs w:val="24"/>
          <w:lang w:val="en-ZA"/>
        </w:rPr>
        <w:t>(1) of the Systems Act</w:t>
      </w:r>
      <w:r w:rsidR="00127A60" w:rsidRPr="00982FB0">
        <w:rPr>
          <w:rFonts w:cs="Arial"/>
          <w:szCs w:val="24"/>
          <w:lang w:val="en-ZA"/>
        </w:rPr>
        <w:t xml:space="preserve"> somehow expunges the outstanding debt preceding the two years to transfer of the property; alternatively, that the debt has been extinguished by the sale in execution”.</w:t>
      </w:r>
    </w:p>
    <w:p w14:paraId="2FDB9220" w14:textId="31614925" w:rsidR="007A7973" w:rsidRPr="00982FB0" w:rsidRDefault="00F0006B" w:rsidP="00F0006B">
      <w:pPr>
        <w:pStyle w:val="1"/>
        <w:numPr>
          <w:ilvl w:val="0"/>
          <w:numId w:val="0"/>
        </w:numPr>
        <w:tabs>
          <w:tab w:val="left" w:pos="567"/>
        </w:tabs>
        <w:ind w:left="567" w:hanging="567"/>
        <w:rPr>
          <w:rFonts w:cs="Arial"/>
          <w:szCs w:val="24"/>
          <w:lang w:val="en-ZA" w:eastAsia="en-US"/>
        </w:rPr>
      </w:pPr>
      <w:r w:rsidRPr="00982FB0">
        <w:rPr>
          <w:rFonts w:cs="Arial"/>
          <w:szCs w:val="24"/>
          <w:lang w:val="en-ZA" w:eastAsia="en-US"/>
        </w:rPr>
        <w:t>[35]</w:t>
      </w:r>
      <w:r w:rsidRPr="00982FB0">
        <w:rPr>
          <w:rFonts w:cs="Arial"/>
          <w:szCs w:val="24"/>
          <w:lang w:val="en-ZA" w:eastAsia="en-US"/>
        </w:rPr>
        <w:tab/>
      </w:r>
      <w:r w:rsidR="00127A60" w:rsidRPr="00982FB0">
        <w:rPr>
          <w:rFonts w:cs="Arial"/>
          <w:szCs w:val="24"/>
          <w:lang w:val="en-ZA" w:eastAsia="en-US"/>
        </w:rPr>
        <w:t xml:space="preserve">The Respondent confirmed that this case is “an old matter going back to 2014”. Furthermore, counsel for the Respondent submitted that the First Applicant was “attempting to resolve a 2014 dispute through a February 2020 transaction” in that they sought clearance figures </w:t>
      </w:r>
      <w:r w:rsidR="00893642" w:rsidRPr="00982FB0">
        <w:rPr>
          <w:rFonts w:cs="Arial"/>
          <w:szCs w:val="24"/>
          <w:lang w:val="en-ZA" w:eastAsia="en-US"/>
        </w:rPr>
        <w:t>almost</w:t>
      </w:r>
      <w:r w:rsidR="00127A60" w:rsidRPr="00982FB0">
        <w:rPr>
          <w:rFonts w:cs="Arial"/>
          <w:szCs w:val="24"/>
          <w:lang w:val="en-ZA" w:eastAsia="en-US"/>
        </w:rPr>
        <w:t xml:space="preserve"> 18 months after the alleged sale of the property. </w:t>
      </w:r>
    </w:p>
    <w:p w14:paraId="087DC676" w14:textId="67688FCB" w:rsidR="00097115" w:rsidRPr="00982FB0" w:rsidRDefault="00F0006B" w:rsidP="00F0006B">
      <w:pPr>
        <w:pStyle w:val="1"/>
        <w:numPr>
          <w:ilvl w:val="0"/>
          <w:numId w:val="0"/>
        </w:numPr>
        <w:tabs>
          <w:tab w:val="left" w:pos="567"/>
        </w:tabs>
        <w:ind w:left="567" w:hanging="567"/>
        <w:rPr>
          <w:rFonts w:cs="Arial"/>
          <w:szCs w:val="24"/>
          <w:lang w:val="en-ZA" w:eastAsia="en-US"/>
        </w:rPr>
      </w:pPr>
      <w:r w:rsidRPr="00982FB0">
        <w:rPr>
          <w:rFonts w:cs="Arial"/>
          <w:szCs w:val="24"/>
          <w:lang w:val="en-ZA" w:eastAsia="en-US"/>
        </w:rPr>
        <w:t>[36]</w:t>
      </w:r>
      <w:r w:rsidRPr="00982FB0">
        <w:rPr>
          <w:rFonts w:cs="Arial"/>
          <w:szCs w:val="24"/>
          <w:lang w:val="en-ZA" w:eastAsia="en-US"/>
        </w:rPr>
        <w:tab/>
      </w:r>
      <w:r w:rsidR="00127A60" w:rsidRPr="00982FB0">
        <w:rPr>
          <w:rFonts w:cs="Arial"/>
          <w:szCs w:val="24"/>
          <w:lang w:val="en-ZA" w:eastAsia="en-US"/>
        </w:rPr>
        <w:t xml:space="preserve">Relying </w:t>
      </w:r>
      <w:r w:rsidR="00966CBD" w:rsidRPr="00982FB0">
        <w:rPr>
          <w:rFonts w:cs="Arial"/>
          <w:szCs w:val="24"/>
          <w:lang w:val="en-ZA" w:eastAsia="en-US"/>
        </w:rPr>
        <w:t>on</w:t>
      </w:r>
      <w:r w:rsidR="00127A60" w:rsidRPr="00982FB0">
        <w:rPr>
          <w:rFonts w:cs="Arial"/>
          <w:szCs w:val="24"/>
          <w:lang w:val="en-ZA" w:eastAsia="en-US"/>
        </w:rPr>
        <w:t xml:space="preserve"> </w:t>
      </w:r>
      <w:r w:rsidR="00127A60" w:rsidRPr="00982FB0">
        <w:rPr>
          <w:i/>
          <w:iCs w:val="0"/>
        </w:rPr>
        <w:t xml:space="preserve">Jordaan and Others v City of Tshwane Metropolitan Municipality and Others, </w:t>
      </w:r>
      <w:r w:rsidR="00127A60" w:rsidRPr="00982FB0">
        <w:t>counsel submitted that municipalities are entitled by the provisions of section 118(3) to legally stop the transfer of property where there are unpaid municipal debts.</w:t>
      </w:r>
      <w:r w:rsidR="00127A60" w:rsidRPr="00982FB0">
        <w:rPr>
          <w:rStyle w:val="FootnoteReference"/>
        </w:rPr>
        <w:footnoteReference w:id="8"/>
      </w:r>
    </w:p>
    <w:p w14:paraId="36D15E7A" w14:textId="1B5D5A94" w:rsidR="00097115" w:rsidRPr="00982FB0" w:rsidRDefault="00F0006B" w:rsidP="00F0006B">
      <w:pPr>
        <w:pStyle w:val="1"/>
        <w:numPr>
          <w:ilvl w:val="0"/>
          <w:numId w:val="0"/>
        </w:numPr>
        <w:tabs>
          <w:tab w:val="left" w:pos="567"/>
        </w:tabs>
        <w:ind w:left="567" w:hanging="567"/>
        <w:rPr>
          <w:rFonts w:cs="Arial"/>
          <w:szCs w:val="24"/>
          <w:lang w:val="en-ZA" w:eastAsia="en-US"/>
        </w:rPr>
      </w:pPr>
      <w:r w:rsidRPr="00982FB0">
        <w:rPr>
          <w:rFonts w:cs="Arial"/>
          <w:szCs w:val="24"/>
          <w:lang w:val="en-ZA" w:eastAsia="en-US"/>
        </w:rPr>
        <w:t>[37]</w:t>
      </w:r>
      <w:r w:rsidRPr="00982FB0">
        <w:rPr>
          <w:rFonts w:cs="Arial"/>
          <w:szCs w:val="24"/>
          <w:lang w:val="en-ZA" w:eastAsia="en-US"/>
        </w:rPr>
        <w:tab/>
      </w:r>
      <w:r w:rsidR="00097115" w:rsidRPr="00982FB0">
        <w:rPr>
          <w:rFonts w:cs="Arial"/>
        </w:rPr>
        <w:t xml:space="preserve">Ultimately, counsel advanced a </w:t>
      </w:r>
      <w:r w:rsidR="00097115" w:rsidRPr="001B4B65">
        <w:rPr>
          <w:rFonts w:cs="Arial"/>
          <w:shd w:val="clear" w:color="auto" w:fill="FFFFFF"/>
        </w:rPr>
        <w:t xml:space="preserve">tax law argument to the effect that the First Applicant must “pay now, argue later”. </w:t>
      </w:r>
    </w:p>
    <w:p w14:paraId="02141FF7" w14:textId="0CBBCABD" w:rsidR="00966CBD" w:rsidRPr="00982FB0" w:rsidRDefault="00F0006B" w:rsidP="00F0006B">
      <w:pPr>
        <w:pStyle w:val="1"/>
        <w:numPr>
          <w:ilvl w:val="0"/>
          <w:numId w:val="0"/>
        </w:numPr>
        <w:tabs>
          <w:tab w:val="left" w:pos="567"/>
        </w:tabs>
        <w:ind w:left="567" w:hanging="567"/>
        <w:rPr>
          <w:rFonts w:cs="Arial"/>
          <w:szCs w:val="24"/>
          <w:lang w:val="en-ZA" w:eastAsia="en-US"/>
        </w:rPr>
      </w:pPr>
      <w:r w:rsidRPr="00982FB0">
        <w:rPr>
          <w:rFonts w:cs="Arial"/>
          <w:szCs w:val="24"/>
          <w:lang w:val="en-ZA" w:eastAsia="en-US"/>
        </w:rPr>
        <w:t>[38]</w:t>
      </w:r>
      <w:r w:rsidRPr="00982FB0">
        <w:rPr>
          <w:rFonts w:cs="Arial"/>
          <w:szCs w:val="24"/>
          <w:lang w:val="en-ZA" w:eastAsia="en-US"/>
        </w:rPr>
        <w:tab/>
      </w:r>
      <w:r w:rsidR="00966CBD" w:rsidRPr="001B4B65">
        <w:rPr>
          <w:rFonts w:cs="Arial"/>
          <w:shd w:val="clear" w:color="auto" w:fill="FFFFFF"/>
        </w:rPr>
        <w:t xml:space="preserve">Therefore, the Respondent argued that the First Applicant’s case had no merit </w:t>
      </w:r>
      <w:r w:rsidR="00966CBD" w:rsidRPr="001B4B65">
        <w:rPr>
          <w:rFonts w:cs="Arial"/>
          <w:shd w:val="clear" w:color="auto" w:fill="FFFFFF"/>
        </w:rPr>
        <w:lastRenderedPageBreak/>
        <w:t>and ought to be dismissed.</w:t>
      </w:r>
    </w:p>
    <w:p w14:paraId="3E1A5AE9" w14:textId="77777777" w:rsidR="00283FAE" w:rsidRPr="00982FB0" w:rsidRDefault="00D366EF" w:rsidP="00023A8D">
      <w:pPr>
        <w:pStyle w:val="1"/>
        <w:numPr>
          <w:ilvl w:val="0"/>
          <w:numId w:val="0"/>
        </w:numPr>
        <w:spacing w:line="360" w:lineRule="auto"/>
        <w:rPr>
          <w:rFonts w:cs="Arial"/>
          <w:b/>
          <w:bCs/>
          <w:szCs w:val="24"/>
        </w:rPr>
      </w:pPr>
      <w:r w:rsidRPr="00982FB0">
        <w:rPr>
          <w:rFonts w:cs="Arial"/>
          <w:b/>
          <w:bCs/>
          <w:szCs w:val="24"/>
        </w:rPr>
        <w:t xml:space="preserve">EVALUATION OF </w:t>
      </w:r>
      <w:r w:rsidR="00621B72" w:rsidRPr="00982FB0">
        <w:rPr>
          <w:rFonts w:cs="Arial"/>
          <w:b/>
          <w:bCs/>
          <w:szCs w:val="24"/>
        </w:rPr>
        <w:t xml:space="preserve">EVIDENCE AND </w:t>
      </w:r>
      <w:r w:rsidR="0037314D" w:rsidRPr="00982FB0">
        <w:rPr>
          <w:rFonts w:cs="Arial"/>
          <w:b/>
          <w:bCs/>
          <w:szCs w:val="24"/>
        </w:rPr>
        <w:t>SUBMISSIONS</w:t>
      </w:r>
    </w:p>
    <w:p w14:paraId="7A8E52FE" w14:textId="66DB78F2" w:rsidR="00B63D4F" w:rsidRPr="00982FB0" w:rsidRDefault="00F0006B" w:rsidP="00F0006B">
      <w:pPr>
        <w:pStyle w:val="1"/>
        <w:numPr>
          <w:ilvl w:val="0"/>
          <w:numId w:val="0"/>
        </w:numPr>
        <w:tabs>
          <w:tab w:val="left" w:pos="567"/>
        </w:tabs>
        <w:ind w:left="567" w:hanging="567"/>
        <w:rPr>
          <w:rFonts w:cs="Arial"/>
          <w:i/>
          <w:iCs w:val="0"/>
          <w:szCs w:val="24"/>
        </w:rPr>
      </w:pPr>
      <w:r w:rsidRPr="00982FB0">
        <w:rPr>
          <w:rFonts w:cs="Arial"/>
          <w:szCs w:val="24"/>
        </w:rPr>
        <w:t>[39]</w:t>
      </w:r>
      <w:r w:rsidRPr="00982FB0">
        <w:rPr>
          <w:rFonts w:cs="Arial"/>
          <w:szCs w:val="24"/>
        </w:rPr>
        <w:tab/>
      </w:r>
      <w:r w:rsidR="00C60461" w:rsidRPr="00982FB0">
        <w:rPr>
          <w:rFonts w:cs="Arial"/>
          <w:szCs w:val="24"/>
        </w:rPr>
        <w:t xml:space="preserve"> </w:t>
      </w:r>
      <w:r w:rsidR="000450BB" w:rsidRPr="00982FB0">
        <w:rPr>
          <w:rFonts w:cs="Arial"/>
          <w:szCs w:val="24"/>
        </w:rPr>
        <w:t xml:space="preserve">The First Applicant and the Respondent in unambiguous </w:t>
      </w:r>
      <w:r w:rsidR="005204BF" w:rsidRPr="00982FB0">
        <w:rPr>
          <w:rFonts w:cs="Arial"/>
          <w:szCs w:val="24"/>
        </w:rPr>
        <w:t>terms</w:t>
      </w:r>
      <w:r w:rsidR="000450BB" w:rsidRPr="00982FB0">
        <w:rPr>
          <w:rFonts w:cs="Arial"/>
          <w:szCs w:val="24"/>
        </w:rPr>
        <w:t xml:space="preserve"> </w:t>
      </w:r>
      <w:r w:rsidR="00B63D4F" w:rsidRPr="00982FB0">
        <w:rPr>
          <w:rFonts w:cs="Arial"/>
          <w:szCs w:val="24"/>
        </w:rPr>
        <w:t>admitted</w:t>
      </w:r>
      <w:r w:rsidR="000450BB" w:rsidRPr="00982FB0">
        <w:rPr>
          <w:rFonts w:cs="Arial"/>
          <w:szCs w:val="24"/>
        </w:rPr>
        <w:t xml:space="preserve"> that the dispute in respect of the amount allegedly owed by the First Applicant originates from February/March 2014.</w:t>
      </w:r>
      <w:r w:rsidR="00B63D4F" w:rsidRPr="00982FB0">
        <w:rPr>
          <w:rFonts w:cs="Arial"/>
          <w:szCs w:val="24"/>
        </w:rPr>
        <w:t xml:space="preserve"> </w:t>
      </w:r>
      <w:r w:rsidR="000450BB" w:rsidRPr="00982FB0">
        <w:rPr>
          <w:rFonts w:cs="Arial"/>
          <w:szCs w:val="24"/>
        </w:rPr>
        <w:t>This alone settles t</w:t>
      </w:r>
      <w:r w:rsidR="005204BF" w:rsidRPr="00982FB0">
        <w:rPr>
          <w:rFonts w:cs="Arial"/>
          <w:szCs w:val="24"/>
        </w:rPr>
        <w:t>his case</w:t>
      </w:r>
      <w:r w:rsidR="00B63D4F" w:rsidRPr="00982FB0">
        <w:rPr>
          <w:rFonts w:cs="Arial"/>
          <w:szCs w:val="24"/>
        </w:rPr>
        <w:t xml:space="preserve">. Accordingly, there is no need to venture into an interpretative exercise about what section 118(1) of the System Act entails save to cite with approval the decision of the </w:t>
      </w:r>
      <w:r w:rsidR="00B63D4F" w:rsidRPr="00982FB0">
        <w:rPr>
          <w:rFonts w:cs="Arial"/>
          <w:iCs w:val="0"/>
          <w:szCs w:val="24"/>
        </w:rPr>
        <w:t>Supreme Court of Appeal in</w:t>
      </w:r>
      <w:r w:rsidR="00B63D4F" w:rsidRPr="00982FB0">
        <w:rPr>
          <w:rFonts w:cs="Arial"/>
          <w:i/>
          <w:szCs w:val="24"/>
        </w:rPr>
        <w:t xml:space="preserve"> </w:t>
      </w:r>
      <w:r w:rsidR="00B63D4F" w:rsidRPr="00982FB0">
        <w:rPr>
          <w:i/>
          <w:iCs w:val="0"/>
        </w:rPr>
        <w:t>City of Cape Town v Real People Housing (Pty) Ltd (77/09)</w:t>
      </w:r>
      <w:r w:rsidR="00B63D4F" w:rsidRPr="001B4B65">
        <w:rPr>
          <w:rStyle w:val="FootnoteReference"/>
          <w:rFonts w:cs="Arial"/>
          <w:sz w:val="22"/>
          <w:shd w:val="clear" w:color="auto" w:fill="FFFFFF"/>
        </w:rPr>
        <w:footnoteReference w:id="9"/>
      </w:r>
      <w:r w:rsidR="00B63D4F" w:rsidRPr="00982FB0">
        <w:t xml:space="preserve"> where the court held that:</w:t>
      </w:r>
    </w:p>
    <w:p w14:paraId="08D6D62C" w14:textId="77777777" w:rsidR="00B63D4F" w:rsidRPr="001B4B65" w:rsidRDefault="00B63D4F" w:rsidP="001B4B65">
      <w:pPr>
        <w:pStyle w:val="1"/>
        <w:numPr>
          <w:ilvl w:val="0"/>
          <w:numId w:val="0"/>
        </w:numPr>
        <w:spacing w:before="0" w:line="360" w:lineRule="auto"/>
        <w:ind w:left="567" w:hanging="567"/>
        <w:rPr>
          <w:rFonts w:cs="Arial"/>
          <w:szCs w:val="36"/>
          <w:shd w:val="clear" w:color="auto" w:fill="FFFFFF"/>
        </w:rPr>
      </w:pPr>
    </w:p>
    <w:p w14:paraId="56C816FD" w14:textId="4DF75B19" w:rsidR="00F77BE7" w:rsidRPr="00DE69B4" w:rsidRDefault="00B63D4F" w:rsidP="001B4B65">
      <w:pPr>
        <w:pStyle w:val="1"/>
        <w:numPr>
          <w:ilvl w:val="0"/>
          <w:numId w:val="0"/>
        </w:numPr>
        <w:spacing w:before="0" w:line="360" w:lineRule="auto"/>
        <w:ind w:left="851" w:right="851"/>
        <w:rPr>
          <w:rFonts w:cs="Arial"/>
          <w:iCs w:val="0"/>
          <w:sz w:val="22"/>
        </w:rPr>
      </w:pPr>
      <w:r w:rsidRPr="00DE69B4">
        <w:rPr>
          <w:rFonts w:cs="Arial"/>
          <w:iCs w:val="0"/>
          <w:sz w:val="22"/>
          <w:shd w:val="clear" w:color="auto" w:fill="FFFFFF"/>
        </w:rPr>
        <w:t xml:space="preserve">“…indeed, </w:t>
      </w:r>
      <w:r w:rsidRPr="00DE69B4">
        <w:rPr>
          <w:rFonts w:cs="Arial"/>
          <w:iCs w:val="0"/>
          <w:sz w:val="22"/>
          <w:u w:val="single"/>
          <w:shd w:val="clear" w:color="auto" w:fill="FFFFFF"/>
        </w:rPr>
        <w:t>any proviso that would have the effect of entitling the City to withhold a certificate until all debts were paid – would nullify the express language of the section and it might just as well not be there</w:t>
      </w:r>
      <w:r w:rsidRPr="00DE69B4">
        <w:rPr>
          <w:rFonts w:cs="Arial"/>
          <w:iCs w:val="0"/>
          <w:sz w:val="22"/>
          <w:shd w:val="clear" w:color="auto" w:fill="FFFFFF"/>
        </w:rPr>
        <w:t xml:space="preserve">. I do not think it is necessary to cite authority for the trite proposition that a term cannot be implied in a statute if it would contradict its express terms. </w:t>
      </w:r>
      <w:r w:rsidRPr="00DE69B4">
        <w:rPr>
          <w:rFonts w:cs="Arial"/>
          <w:iCs w:val="0"/>
          <w:sz w:val="22"/>
          <w:u w:val="single"/>
          <w:shd w:val="clear" w:color="auto" w:fill="FFFFFF"/>
        </w:rPr>
        <w:t>Had it been intended not to limit the period to two years then the words would not have appeared at all</w:t>
      </w:r>
      <w:r w:rsidRPr="00DE69B4">
        <w:rPr>
          <w:rFonts w:cs="Arial"/>
          <w:iCs w:val="0"/>
          <w:sz w:val="22"/>
          <w:shd w:val="clear" w:color="auto" w:fill="FFFFFF"/>
        </w:rPr>
        <w:t xml:space="preserve">” (own emphasis added). </w:t>
      </w:r>
    </w:p>
    <w:p w14:paraId="1A296382" w14:textId="728EAEF9" w:rsidR="00175C98" w:rsidRPr="00175C98" w:rsidRDefault="00F0006B" w:rsidP="00F0006B">
      <w:pPr>
        <w:pStyle w:val="1"/>
        <w:numPr>
          <w:ilvl w:val="0"/>
          <w:numId w:val="0"/>
        </w:numPr>
        <w:tabs>
          <w:tab w:val="left" w:pos="567"/>
        </w:tabs>
        <w:ind w:left="567" w:hanging="567"/>
      </w:pPr>
      <w:r w:rsidRPr="00175C98">
        <w:rPr>
          <w:rFonts w:cs="Arial"/>
          <w:szCs w:val="24"/>
        </w:rPr>
        <w:t>[40]</w:t>
      </w:r>
      <w:r w:rsidRPr="00175C98">
        <w:rPr>
          <w:rFonts w:cs="Arial"/>
          <w:szCs w:val="24"/>
        </w:rPr>
        <w:tab/>
      </w:r>
      <w:r w:rsidR="00B63D4F" w:rsidRPr="00982FB0">
        <w:t>The fact of the matter is</w:t>
      </w:r>
      <w:r w:rsidR="002D4467" w:rsidRPr="00982FB0">
        <w:t>,</w:t>
      </w:r>
      <w:r w:rsidR="00B63D4F" w:rsidRPr="00982FB0">
        <w:t xml:space="preserve"> that the debt claimed by the Respondent is older than 2 years preceding the date of application for clearance figures and therefore the amount </w:t>
      </w:r>
      <w:r w:rsidR="0063165D" w:rsidRPr="00982FB0">
        <w:t xml:space="preserve">of </w:t>
      </w:r>
      <w:r w:rsidR="0063165D" w:rsidRPr="00982FB0">
        <w:rPr>
          <w:rFonts w:cs="Arial"/>
          <w:szCs w:val="24"/>
          <w:lang w:val="en-ZA" w:eastAsia="en-US"/>
        </w:rPr>
        <w:t xml:space="preserve">R2 454 297.91 </w:t>
      </w:r>
      <w:r w:rsidR="00B63D4F" w:rsidRPr="00982FB0">
        <w:t xml:space="preserve">should be </w:t>
      </w:r>
      <w:r w:rsidR="0063165D" w:rsidRPr="00982FB0">
        <w:t>excluded</w:t>
      </w:r>
      <w:r w:rsidR="00B63D4F" w:rsidRPr="00982FB0">
        <w:t xml:space="preserve"> when computing the correct clearance figures</w:t>
      </w:r>
      <w:r w:rsidR="0063165D" w:rsidRPr="00982FB0">
        <w:t>.</w:t>
      </w:r>
      <w:r w:rsidR="002D4467" w:rsidRPr="00982FB0">
        <w:t xml:space="preserve"> </w:t>
      </w:r>
      <w:r w:rsidR="0063165D" w:rsidRPr="00982FB0">
        <w:t xml:space="preserve"> </w:t>
      </w:r>
      <w:r w:rsidR="00011E1C" w:rsidRPr="00982FB0">
        <w:t>In other words, the said amount is not due only for the purposes of the two 2 years preceding the date of application for clearance figures</w:t>
      </w:r>
      <w:r w:rsidR="005204BF" w:rsidRPr="00982FB0">
        <w:t xml:space="preserve"> as per section 118(1)(b)</w:t>
      </w:r>
      <w:r w:rsidR="00011E1C" w:rsidRPr="00982FB0">
        <w:t>.</w:t>
      </w:r>
      <w:r w:rsidR="002D4467" w:rsidRPr="00982FB0">
        <w:t xml:space="preserve"> </w:t>
      </w:r>
      <w:r w:rsidR="00175C98" w:rsidRPr="00175C98">
        <w:t xml:space="preserve">Anything beyond the two-year time frame remains a pending dispute between the parties. In my view, this cannot be regarded as an unjustified intrusion into the terrain of the Respondent. As was </w:t>
      </w:r>
      <w:r w:rsidR="00175C98" w:rsidRPr="00175C98">
        <w:lastRenderedPageBreak/>
        <w:t xml:space="preserve">correctly held in </w:t>
      </w:r>
      <w:r w:rsidR="00175C98" w:rsidRPr="00175C98">
        <w:rPr>
          <w:rFonts w:cs="Arial"/>
          <w:i/>
          <w:lang w:val="en-ZA"/>
        </w:rPr>
        <w:t>National Treasury and Others v Opposition to Urban Tolling Alliance and Others</w:t>
      </w:r>
      <w:r w:rsidR="00175C98" w:rsidRPr="00175C98">
        <w:rPr>
          <w:rStyle w:val="FootnoteReference"/>
          <w:rFonts w:cs="Arial"/>
          <w:iCs w:val="0"/>
          <w:lang w:val="en-ZA"/>
        </w:rPr>
        <w:footnoteReference w:id="10"/>
      </w:r>
      <w:r w:rsidR="00175C98" w:rsidRPr="00175C98">
        <w:rPr>
          <w:rFonts w:cs="Arial"/>
          <w:i/>
          <w:lang w:val="en-ZA"/>
        </w:rPr>
        <w:t xml:space="preserve"> </w:t>
      </w:r>
      <w:r w:rsidR="00175C98" w:rsidRPr="00175C98">
        <w:rPr>
          <w:rFonts w:cs="Arial"/>
          <w:iCs w:val="0"/>
          <w:lang w:val="en-ZA"/>
        </w:rPr>
        <w:t>albeit in a different context</w:t>
      </w:r>
      <w:r w:rsidR="00175C98" w:rsidRPr="00175C98">
        <w:rPr>
          <w:rFonts w:cs="Arial"/>
          <w:i/>
          <w:lang w:val="en-ZA"/>
        </w:rPr>
        <w:t xml:space="preserve"> </w:t>
      </w:r>
      <w:r w:rsidR="00175C98" w:rsidRPr="00175C98">
        <w:rPr>
          <w:rFonts w:cs="Arial"/>
          <w:iCs w:val="0"/>
          <w:lang w:val="en-ZA"/>
        </w:rPr>
        <w:t xml:space="preserve">that: </w:t>
      </w:r>
    </w:p>
    <w:p w14:paraId="66ED0E06" w14:textId="654A5212" w:rsidR="00175C98" w:rsidRPr="00DE69B4" w:rsidRDefault="00175C98" w:rsidP="00175C98">
      <w:pPr>
        <w:pStyle w:val="1"/>
        <w:numPr>
          <w:ilvl w:val="0"/>
          <w:numId w:val="0"/>
        </w:numPr>
        <w:spacing w:before="0" w:line="240" w:lineRule="auto"/>
        <w:ind w:left="851" w:right="851"/>
        <w:rPr>
          <w:rFonts w:cs="Arial"/>
          <w:sz w:val="22"/>
        </w:rPr>
      </w:pPr>
      <w:r w:rsidRPr="00DE69B4">
        <w:rPr>
          <w:rFonts w:cs="Arial"/>
          <w:sz w:val="22"/>
        </w:rPr>
        <w:t>“in a dispute as the present one, this does not mean that an organ of state is immunised from judicial review only on account of separation of powers.…”</w:t>
      </w:r>
    </w:p>
    <w:p w14:paraId="0F1728D8" w14:textId="56E38C6A" w:rsidR="00B63D4F" w:rsidRPr="00982FB0" w:rsidRDefault="00F0006B" w:rsidP="00F0006B">
      <w:pPr>
        <w:pStyle w:val="1"/>
        <w:numPr>
          <w:ilvl w:val="0"/>
          <w:numId w:val="0"/>
        </w:numPr>
        <w:tabs>
          <w:tab w:val="left" w:pos="567"/>
        </w:tabs>
        <w:ind w:left="567" w:hanging="567"/>
      </w:pPr>
      <w:r w:rsidRPr="00982FB0">
        <w:rPr>
          <w:rFonts w:cs="Arial"/>
          <w:szCs w:val="24"/>
        </w:rPr>
        <w:t>[41]</w:t>
      </w:r>
      <w:r w:rsidRPr="00982FB0">
        <w:rPr>
          <w:rFonts w:cs="Arial"/>
          <w:szCs w:val="24"/>
        </w:rPr>
        <w:tab/>
      </w:r>
      <w:r w:rsidR="0063165D" w:rsidRPr="00982FB0">
        <w:t>In addition, a simple reading of section 118(1) and (3) do</w:t>
      </w:r>
      <w:r w:rsidR="005204BF" w:rsidRPr="00982FB0">
        <w:t>es</w:t>
      </w:r>
      <w:r w:rsidR="0063165D" w:rsidRPr="00982FB0">
        <w:t xml:space="preserve"> not reveal any statutory power </w:t>
      </w:r>
      <w:r w:rsidR="00011E1C" w:rsidRPr="00982FB0">
        <w:t xml:space="preserve">whatsoever </w:t>
      </w:r>
      <w:r w:rsidR="0063165D" w:rsidRPr="00982FB0">
        <w:t>conferred on the Responde</w:t>
      </w:r>
      <w:r w:rsidR="00011E1C" w:rsidRPr="00982FB0">
        <w:t>nt</w:t>
      </w:r>
      <w:r w:rsidR="0063165D" w:rsidRPr="00982FB0">
        <w:t xml:space="preserve"> to withhold the clearance certificate. </w:t>
      </w:r>
      <w:r w:rsidR="002D4467" w:rsidRPr="00982FB0">
        <w:t xml:space="preserve"> </w:t>
      </w:r>
      <w:r w:rsidR="0063165D" w:rsidRPr="00982FB0">
        <w:t xml:space="preserve">The Respondent is resorting to self-help something that is impermissible in our constitutional </w:t>
      </w:r>
      <w:r w:rsidR="005204BF" w:rsidRPr="00982FB0">
        <w:t>democracy</w:t>
      </w:r>
      <w:r w:rsidR="0063165D" w:rsidRPr="00982FB0">
        <w:t>.</w:t>
      </w:r>
    </w:p>
    <w:p w14:paraId="74FBE388" w14:textId="2D2A9D5C" w:rsidR="005204BF" w:rsidRPr="00982FB0" w:rsidRDefault="00F0006B" w:rsidP="00F0006B">
      <w:pPr>
        <w:pStyle w:val="1"/>
        <w:numPr>
          <w:ilvl w:val="0"/>
          <w:numId w:val="0"/>
        </w:numPr>
        <w:tabs>
          <w:tab w:val="left" w:pos="567"/>
        </w:tabs>
        <w:ind w:left="567" w:hanging="567"/>
      </w:pPr>
      <w:r w:rsidRPr="00982FB0">
        <w:rPr>
          <w:rFonts w:cs="Arial"/>
          <w:szCs w:val="24"/>
        </w:rPr>
        <w:t>[42]</w:t>
      </w:r>
      <w:r w:rsidRPr="00982FB0">
        <w:rPr>
          <w:rFonts w:cs="Arial"/>
          <w:szCs w:val="24"/>
        </w:rPr>
        <w:tab/>
      </w:r>
      <w:r w:rsidR="005204BF" w:rsidRPr="00982FB0">
        <w:t xml:space="preserve">I also fail </w:t>
      </w:r>
      <w:r w:rsidR="00B61A38">
        <w:t xml:space="preserve">to understand </w:t>
      </w:r>
      <w:r w:rsidR="005204BF" w:rsidRPr="00982FB0">
        <w:t xml:space="preserve">the basis </w:t>
      </w:r>
      <w:r w:rsidR="00B61A38">
        <w:t>for</w:t>
      </w:r>
      <w:r w:rsidR="005204BF" w:rsidRPr="00982FB0">
        <w:t xml:space="preserve"> withholding the clearance certificate because there were disputes lodged regarding the amount in dispute. </w:t>
      </w:r>
      <w:r w:rsidR="004A6469" w:rsidRPr="00982FB0">
        <w:t xml:space="preserve"> </w:t>
      </w:r>
      <w:r w:rsidR="005204BF" w:rsidRPr="00982FB0">
        <w:t xml:space="preserve">This is contrary to section 102(1)(c) of the Systems Act which provides that section 102(1)(b) of the </w:t>
      </w:r>
      <w:r w:rsidR="00B61A38">
        <w:t xml:space="preserve">Systems Act </w:t>
      </w:r>
      <w:r w:rsidR="005204BF" w:rsidRPr="00982FB0">
        <w:t>does not apply where there is a dispute between the municipality and a consumer of services about any specific amount claimed by the municipality from that person.</w:t>
      </w:r>
    </w:p>
    <w:p w14:paraId="3088E71E" w14:textId="1765884D" w:rsidR="00B63D4F"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[43]</w:t>
      </w:r>
      <w:r w:rsidRPr="00982FB0">
        <w:rPr>
          <w:rFonts w:cs="Arial"/>
          <w:szCs w:val="24"/>
        </w:rPr>
        <w:tab/>
      </w:r>
      <w:r w:rsidR="00011E1C" w:rsidRPr="001B4B65">
        <w:rPr>
          <w:rFonts w:cs="Arial"/>
          <w:shd w:val="clear" w:color="auto" w:fill="FFFFFF"/>
        </w:rPr>
        <w:t>Concerning the “</w:t>
      </w:r>
      <w:r w:rsidR="00011E1C" w:rsidRPr="001B4B65">
        <w:rPr>
          <w:rFonts w:cs="Arial"/>
          <w:i/>
          <w:shd w:val="clear" w:color="auto" w:fill="FFFFFF"/>
        </w:rPr>
        <w:t>pay now, argue later</w:t>
      </w:r>
      <w:r w:rsidR="00011E1C" w:rsidRPr="001B4B65">
        <w:rPr>
          <w:rFonts w:cs="Arial"/>
          <w:shd w:val="clear" w:color="auto" w:fill="FFFFFF"/>
        </w:rPr>
        <w:t xml:space="preserve">” principle, </w:t>
      </w:r>
      <w:r w:rsidR="005204BF" w:rsidRPr="001B4B65">
        <w:rPr>
          <w:rFonts w:cs="Arial"/>
          <w:shd w:val="clear" w:color="auto" w:fill="FFFFFF"/>
        </w:rPr>
        <w:t xml:space="preserve">it is difficult </w:t>
      </w:r>
      <w:r w:rsidR="00011E1C" w:rsidRPr="001B4B65">
        <w:rPr>
          <w:rFonts w:cs="Arial"/>
          <w:shd w:val="clear" w:color="auto" w:fill="FFFFFF"/>
        </w:rPr>
        <w:t xml:space="preserve">to </w:t>
      </w:r>
      <w:r w:rsidR="00B61A38" w:rsidRPr="001B4B65">
        <w:rPr>
          <w:rFonts w:cs="Arial"/>
          <w:shd w:val="clear" w:color="auto" w:fill="FFFFFF"/>
        </w:rPr>
        <w:t>appreciate</w:t>
      </w:r>
      <w:r w:rsidR="00011E1C" w:rsidRPr="001B4B65">
        <w:rPr>
          <w:rFonts w:cs="Arial"/>
          <w:shd w:val="clear" w:color="auto" w:fill="FFFFFF"/>
        </w:rPr>
        <w:t xml:space="preserve"> how </w:t>
      </w:r>
      <w:r w:rsidR="00E72163" w:rsidRPr="001B4B65">
        <w:rPr>
          <w:rFonts w:cs="Arial"/>
          <w:shd w:val="clear" w:color="auto" w:fill="FFFFFF"/>
        </w:rPr>
        <w:t>a principle that is applicable in tax disputes</w:t>
      </w:r>
      <w:r w:rsidR="00011E1C" w:rsidRPr="001B4B65">
        <w:rPr>
          <w:rFonts w:cs="Arial"/>
          <w:shd w:val="clear" w:color="auto" w:fill="FFFFFF"/>
        </w:rPr>
        <w:t xml:space="preserve"> found its way </w:t>
      </w:r>
      <w:r w:rsidR="00584E3A" w:rsidRPr="001B4B65">
        <w:rPr>
          <w:rFonts w:cs="Arial"/>
          <w:shd w:val="clear" w:color="auto" w:fill="FFFFFF"/>
        </w:rPr>
        <w:t>into</w:t>
      </w:r>
      <w:r w:rsidR="00011E1C" w:rsidRPr="001B4B65">
        <w:rPr>
          <w:rFonts w:cs="Arial"/>
          <w:shd w:val="clear" w:color="auto" w:fill="FFFFFF"/>
        </w:rPr>
        <w:t xml:space="preserve"> the current dispute. </w:t>
      </w:r>
      <w:r w:rsidR="00584E3A" w:rsidRPr="001B4B65">
        <w:rPr>
          <w:rFonts w:cs="Arial"/>
          <w:shd w:val="clear" w:color="auto" w:fill="FFFFFF"/>
        </w:rPr>
        <w:t xml:space="preserve">Regrettably, counsel for the Respondent did not refer this Court to any authority to substantiate this submission. </w:t>
      </w:r>
      <w:r w:rsidR="004A6469" w:rsidRPr="001B4B65">
        <w:rPr>
          <w:rFonts w:cs="Arial"/>
          <w:shd w:val="clear" w:color="auto" w:fill="FFFFFF"/>
        </w:rPr>
        <w:t xml:space="preserve"> </w:t>
      </w:r>
      <w:r w:rsidR="00584E3A" w:rsidRPr="001B4B65">
        <w:rPr>
          <w:rFonts w:cs="Arial"/>
          <w:shd w:val="clear" w:color="auto" w:fill="FFFFFF"/>
        </w:rPr>
        <w:t xml:space="preserve">Therefore, I agree with counsel for the First Applicant in that this submission is misplaced. </w:t>
      </w:r>
    </w:p>
    <w:p w14:paraId="50A107D4" w14:textId="7678E7E7" w:rsidR="00584E3A"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[44]</w:t>
      </w:r>
      <w:r w:rsidRPr="00982FB0">
        <w:rPr>
          <w:rFonts w:cs="Arial"/>
          <w:szCs w:val="24"/>
        </w:rPr>
        <w:tab/>
      </w:r>
      <w:r w:rsidR="00584E3A" w:rsidRPr="00982FB0">
        <w:t xml:space="preserve">Concerning the Respondent's contention that municipalities are entitled by the provisions of section 118(3) to legally stop the transfer of property where there are unpaid municipal debts, I agree with this submission. </w:t>
      </w:r>
      <w:r w:rsidR="00537520" w:rsidRPr="00982FB0">
        <w:t xml:space="preserve"> </w:t>
      </w:r>
      <w:r w:rsidR="00584E3A" w:rsidRPr="00982FB0">
        <w:t xml:space="preserve">If this was not the case, </w:t>
      </w:r>
      <w:r w:rsidR="00584E3A" w:rsidRPr="00982FB0">
        <w:lastRenderedPageBreak/>
        <w:t>municipalities would be crippled and thereafter unable to render municipal services within their jurisdictions. The Respondent, if it so wished, had an opportunity of obtaining an interdict</w:t>
      </w:r>
      <w:r w:rsidR="00584E3A" w:rsidRPr="00982FB0">
        <w:rPr>
          <w:rStyle w:val="FootnoteReference"/>
        </w:rPr>
        <w:footnoteReference w:id="11"/>
      </w:r>
      <w:r w:rsidR="00584E3A" w:rsidRPr="00982FB0">
        <w:t xml:space="preserve"> against the intended transfer</w:t>
      </w:r>
      <w:r w:rsidR="00E72163" w:rsidRPr="00982FB0">
        <w:t>or</w:t>
      </w:r>
      <w:r w:rsidR="00584E3A" w:rsidRPr="00982FB0">
        <w:t xml:space="preserve"> but did not do so. </w:t>
      </w:r>
      <w:r w:rsidR="000C6CA0" w:rsidRPr="00982FB0">
        <w:t xml:space="preserve"> </w:t>
      </w:r>
      <w:r w:rsidR="00584E3A" w:rsidRPr="00982FB0">
        <w:t>Instead, it resorted to self-help.</w:t>
      </w:r>
      <w:r w:rsidR="000C6CA0" w:rsidRPr="00982FB0">
        <w:t xml:space="preserve"> </w:t>
      </w:r>
      <w:r w:rsidR="00584E3A" w:rsidRPr="00982FB0">
        <w:t xml:space="preserve"> I need not say more about self-help. </w:t>
      </w:r>
    </w:p>
    <w:p w14:paraId="511BA31B" w14:textId="1C8D5EC2" w:rsidR="00FE10B4"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[45]</w:t>
      </w:r>
      <w:r w:rsidRPr="00982FB0">
        <w:rPr>
          <w:rFonts w:cs="Arial"/>
          <w:szCs w:val="24"/>
        </w:rPr>
        <w:tab/>
      </w:r>
      <w:r w:rsidR="00FE10B4" w:rsidRPr="00982FB0">
        <w:t>Concerning the sale in execution that supposedly extinguished</w:t>
      </w:r>
      <w:r w:rsidR="00E72163" w:rsidRPr="00982FB0">
        <w:t xml:space="preserve"> </w:t>
      </w:r>
      <w:r w:rsidR="00FE10B4" w:rsidRPr="00982FB0">
        <w:t>the Respondent’s claim for debts allegedly owed by the First Applicant, again the Respondent presumably knows the avenues that are available to them to challenge that judgment if they are not satisfied with it.</w:t>
      </w:r>
      <w:r w:rsidR="000C6CA0" w:rsidRPr="00982FB0">
        <w:t xml:space="preserve"> </w:t>
      </w:r>
      <w:r w:rsidR="00FE10B4" w:rsidRPr="00982FB0">
        <w:t xml:space="preserve"> But for reasons known to</w:t>
      </w:r>
      <w:r w:rsidR="00E72163" w:rsidRPr="00982FB0">
        <w:t xml:space="preserve"> this Court</w:t>
      </w:r>
      <w:r w:rsidR="00FE10B4" w:rsidRPr="00982FB0">
        <w:t>, they have not done</w:t>
      </w:r>
      <w:r w:rsidR="00E72163" w:rsidRPr="00982FB0">
        <w:t xml:space="preserve"> anything</w:t>
      </w:r>
      <w:r w:rsidR="00FE10B4" w:rsidRPr="00982FB0">
        <w:t>.</w:t>
      </w:r>
    </w:p>
    <w:p w14:paraId="74E3867A" w14:textId="7D40085A" w:rsidR="00A04550"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[46]</w:t>
      </w:r>
      <w:r w:rsidRPr="00982FB0">
        <w:rPr>
          <w:rFonts w:cs="Arial"/>
          <w:szCs w:val="24"/>
        </w:rPr>
        <w:tab/>
      </w:r>
      <w:r w:rsidR="00A04550" w:rsidRPr="00982FB0">
        <w:t xml:space="preserve">About the </w:t>
      </w:r>
      <w:r w:rsidR="00197C38">
        <w:t>First Applicant being entitled to a declaratory order</w:t>
      </w:r>
      <w:r w:rsidR="00A04550" w:rsidRPr="00982FB0">
        <w:t xml:space="preserve">, the First Applicant correctly submitted that this argument was not raised in the Respondent’s answering affidavit, and therefore should not stand. </w:t>
      </w:r>
      <w:r w:rsidR="000C6CA0" w:rsidRPr="00982FB0">
        <w:t xml:space="preserve"> </w:t>
      </w:r>
      <w:r w:rsidR="00A04550" w:rsidRPr="00982FB0">
        <w:t>I agree.</w:t>
      </w:r>
      <w:r w:rsidR="00964431" w:rsidRPr="00982FB0">
        <w:t xml:space="preserve"> </w:t>
      </w:r>
      <w:r w:rsidR="000C6CA0" w:rsidRPr="00982FB0">
        <w:t xml:space="preserve"> </w:t>
      </w:r>
      <w:r w:rsidR="00E72163" w:rsidRPr="00982FB0">
        <w:t>The argument</w:t>
      </w:r>
      <w:r w:rsidR="00964431" w:rsidRPr="00982FB0">
        <w:t xml:space="preserve"> is not evidence, and it is not given under oath.</w:t>
      </w:r>
      <w:r w:rsidR="00964431" w:rsidRPr="00982FB0">
        <w:rPr>
          <w:rStyle w:val="FootnoteReference"/>
        </w:rPr>
        <w:footnoteReference w:id="12"/>
      </w:r>
      <w:r w:rsidR="00964431" w:rsidRPr="00982FB0">
        <w:t xml:space="preserve"> </w:t>
      </w:r>
      <w:r w:rsidR="005E4C1E" w:rsidRPr="00982FB0">
        <w:t xml:space="preserve"> </w:t>
      </w:r>
      <w:r w:rsidR="00E72163" w:rsidRPr="00982FB0">
        <w:t>The h</w:t>
      </w:r>
      <w:r w:rsidR="00964431" w:rsidRPr="00982FB0">
        <w:t>eads of argument do not serve as answering affidavits.</w:t>
      </w:r>
      <w:r w:rsidR="002E4D99" w:rsidRPr="00982FB0">
        <w:t xml:space="preserve"> </w:t>
      </w:r>
      <w:r w:rsidR="00964431" w:rsidRPr="00982FB0">
        <w:t xml:space="preserve">Therefore, the Respondent must stand or fall by averments made in its answering affidavit.  </w:t>
      </w:r>
      <w:r w:rsidR="002E4D99" w:rsidRPr="00982FB0">
        <w:t>Furthermore, “an owner cannot be expected to tender payment if he or she has no knowledge of what is due”.</w:t>
      </w:r>
      <w:r w:rsidR="002E4D99" w:rsidRPr="00982FB0">
        <w:rPr>
          <w:rStyle w:val="FootnoteReference"/>
        </w:rPr>
        <w:footnoteReference w:id="13"/>
      </w:r>
      <w:r w:rsidR="002E4D99" w:rsidRPr="00982FB0">
        <w:t xml:space="preserve"> </w:t>
      </w:r>
      <w:r w:rsidR="00EA3B61" w:rsidRPr="00982FB0">
        <w:t xml:space="preserve"> </w:t>
      </w:r>
      <w:r w:rsidR="002E4D99" w:rsidRPr="00982FB0">
        <w:t>In my view, the Applicant is entitled to the relief that i</w:t>
      </w:r>
      <w:r w:rsidR="00982FB0">
        <w:t>t</w:t>
      </w:r>
      <w:r w:rsidR="002E4D99" w:rsidRPr="00982FB0">
        <w:t xml:space="preserve"> seeks.</w:t>
      </w:r>
    </w:p>
    <w:p w14:paraId="440F7F41" w14:textId="0D93E189" w:rsidR="00B61A38" w:rsidRDefault="00F0006B" w:rsidP="00F0006B">
      <w:pPr>
        <w:pStyle w:val="1"/>
        <w:numPr>
          <w:ilvl w:val="0"/>
          <w:numId w:val="0"/>
        </w:numPr>
        <w:tabs>
          <w:tab w:val="left" w:pos="567"/>
        </w:tabs>
        <w:ind w:left="567" w:hanging="567"/>
      </w:pPr>
      <w:r>
        <w:rPr>
          <w:rFonts w:cs="Arial"/>
          <w:szCs w:val="24"/>
        </w:rPr>
        <w:t>[47]</w:t>
      </w:r>
      <w:r>
        <w:rPr>
          <w:rFonts w:cs="Arial"/>
          <w:szCs w:val="24"/>
        </w:rPr>
        <w:tab/>
      </w:r>
      <w:r w:rsidR="007033A3" w:rsidRPr="00982FB0">
        <w:t xml:space="preserve">Regarding the </w:t>
      </w:r>
      <w:r w:rsidR="00175C98">
        <w:t xml:space="preserve">granting of the </w:t>
      </w:r>
      <w:r w:rsidR="007033A3" w:rsidRPr="00982FB0">
        <w:t>relief</w:t>
      </w:r>
      <w:r w:rsidR="00982FB0">
        <w:t>,</w:t>
      </w:r>
      <w:r w:rsidR="007033A3" w:rsidRPr="00982FB0">
        <w:t xml:space="preserve"> to order the Respondent to issue the clearance certificate pending the finalisation of the pending dispute, this </w:t>
      </w:r>
      <w:r w:rsidR="005C58A2" w:rsidRPr="00982FB0">
        <w:t>C</w:t>
      </w:r>
      <w:r w:rsidR="007033A3" w:rsidRPr="00982FB0">
        <w:t>ourt should exercise a degree of caution and be careful not</w:t>
      </w:r>
      <w:r w:rsidR="00537585" w:rsidRPr="00982FB0">
        <w:t xml:space="preserve"> to unjustly venture in</w:t>
      </w:r>
      <w:r w:rsidR="007033A3" w:rsidRPr="00982FB0">
        <w:t>to</w:t>
      </w:r>
      <w:r w:rsidR="00537585" w:rsidRPr="00982FB0">
        <w:t xml:space="preserve"> the terrain of the Respondent.</w:t>
      </w:r>
      <w:r w:rsidR="00691BAD">
        <w:t xml:space="preserve"> </w:t>
      </w:r>
      <w:r w:rsidR="00537585" w:rsidRPr="00982FB0">
        <w:t xml:space="preserve"> To do so may have unintended</w:t>
      </w:r>
      <w:r w:rsidR="007033A3" w:rsidRPr="00982FB0">
        <w:t xml:space="preserve"> </w:t>
      </w:r>
      <w:r w:rsidR="00537585" w:rsidRPr="00982FB0">
        <w:t>consequences</w:t>
      </w:r>
      <w:r w:rsidR="007033A3" w:rsidRPr="00982FB0">
        <w:t xml:space="preserve"> </w:t>
      </w:r>
      <w:r w:rsidR="007033A3" w:rsidRPr="00982FB0">
        <w:lastRenderedPageBreak/>
        <w:t xml:space="preserve">that will </w:t>
      </w:r>
      <w:r w:rsidR="00537585" w:rsidRPr="00982FB0">
        <w:t>limit the powers of</w:t>
      </w:r>
      <w:r w:rsidR="007033A3" w:rsidRPr="00982FB0">
        <w:t xml:space="preserve"> municipalities in recovering debt.</w:t>
      </w:r>
      <w:r w:rsidR="00691BAD">
        <w:t xml:space="preserve"> </w:t>
      </w:r>
      <w:r w:rsidR="007033A3" w:rsidRPr="00982FB0">
        <w:t xml:space="preserve"> I am aware that the First Applicant has tendered security </w:t>
      </w:r>
      <w:r w:rsidR="00537585" w:rsidRPr="00982FB0">
        <w:t>that was paid</w:t>
      </w:r>
      <w:r w:rsidR="00537585" w:rsidRPr="00982FB0">
        <w:rPr>
          <w:rStyle w:val="FootnoteReference"/>
          <w:rFonts w:cs="Arial"/>
          <w:szCs w:val="24"/>
        </w:rPr>
        <w:footnoteReference w:id="14"/>
      </w:r>
      <w:r w:rsidR="00537585" w:rsidRPr="00982FB0">
        <w:t xml:space="preserve"> into the </w:t>
      </w:r>
      <w:r w:rsidR="002E4D99" w:rsidRPr="00982FB0">
        <w:t>t</w:t>
      </w:r>
      <w:r w:rsidR="00537585" w:rsidRPr="00982FB0">
        <w:t xml:space="preserve">rust </w:t>
      </w:r>
      <w:r w:rsidR="002E4D99" w:rsidRPr="00982FB0">
        <w:t>a</w:t>
      </w:r>
      <w:r w:rsidR="00537585" w:rsidRPr="00982FB0">
        <w:t xml:space="preserve">ccount of </w:t>
      </w:r>
      <w:r w:rsidR="002E4D99" w:rsidRPr="00982FB0">
        <w:t>their</w:t>
      </w:r>
      <w:r w:rsidR="007033A3" w:rsidRPr="00982FB0">
        <w:t xml:space="preserve"> attorneys in the amount of R </w:t>
      </w:r>
      <w:r w:rsidR="00537585" w:rsidRPr="00982FB0">
        <w:t>2 454, 297.91.</w:t>
      </w:r>
      <w:r w:rsidR="00F41ABA">
        <w:t xml:space="preserve"> </w:t>
      </w:r>
      <w:r w:rsidR="002E4D99" w:rsidRPr="00982FB0">
        <w:t xml:space="preserve"> Consequently, they seek this Court to order the</w:t>
      </w:r>
      <w:r w:rsidR="000F3AC0" w:rsidRPr="00982FB0">
        <w:t xml:space="preserve"> Respondent to</w:t>
      </w:r>
      <w:r w:rsidR="002E4D99" w:rsidRPr="00982FB0">
        <w:t xml:space="preserve"> issu</w:t>
      </w:r>
      <w:r w:rsidR="000F3AC0" w:rsidRPr="00982FB0">
        <w:t>e</w:t>
      </w:r>
      <w:r w:rsidR="002E4D99" w:rsidRPr="00982FB0">
        <w:t xml:space="preserve"> the clearance certificate. </w:t>
      </w:r>
      <w:r w:rsidR="00F41ABA">
        <w:t xml:space="preserve"> </w:t>
      </w:r>
      <w:r w:rsidR="002E4D99" w:rsidRPr="00982FB0">
        <w:t xml:space="preserve">The Respondent had sought such security to be paid into their attorneys’ trust account too. </w:t>
      </w:r>
      <w:r w:rsidR="00764671">
        <w:t xml:space="preserve"> </w:t>
      </w:r>
      <w:r w:rsidR="00537585" w:rsidRPr="00982FB0">
        <w:t xml:space="preserve">I am of the view that this Court is not </w:t>
      </w:r>
      <w:r w:rsidR="005C58A2" w:rsidRPr="00982FB0">
        <w:t>able</w:t>
      </w:r>
      <w:r w:rsidR="00537585" w:rsidRPr="00982FB0">
        <w:t xml:space="preserve"> to </w:t>
      </w:r>
      <w:r w:rsidR="002E4D99" w:rsidRPr="00982FB0">
        <w:t>grant such a relief</w:t>
      </w:r>
      <w:r w:rsidR="005C58A2" w:rsidRPr="00982FB0">
        <w:t xml:space="preserve"> </w:t>
      </w:r>
      <w:r w:rsidR="00537585" w:rsidRPr="00982FB0">
        <w:t xml:space="preserve">when the current </w:t>
      </w:r>
      <w:r w:rsidR="005C58A2" w:rsidRPr="00982FB0">
        <w:t xml:space="preserve">and unclear debt </w:t>
      </w:r>
      <w:r w:rsidR="000F3AC0" w:rsidRPr="00982FB0">
        <w:rPr>
          <w:u w:val="single"/>
        </w:rPr>
        <w:t xml:space="preserve">during the </w:t>
      </w:r>
      <w:r w:rsidR="005C58A2" w:rsidRPr="00982FB0">
        <w:rPr>
          <w:u w:val="single"/>
        </w:rPr>
        <w:t>two years preceding the date of application for the certificate ha</w:t>
      </w:r>
      <w:r w:rsidR="000F3AC0" w:rsidRPr="00982FB0">
        <w:rPr>
          <w:u w:val="single"/>
        </w:rPr>
        <w:t>ve</w:t>
      </w:r>
      <w:r w:rsidR="005C58A2" w:rsidRPr="00982FB0">
        <w:rPr>
          <w:u w:val="single"/>
        </w:rPr>
        <w:t xml:space="preserve"> not been fully paid</w:t>
      </w:r>
      <w:r w:rsidR="005C58A2" w:rsidRPr="00982FB0">
        <w:t xml:space="preserve"> as per the provisions of section 118(1)</w:t>
      </w:r>
      <w:r w:rsidR="002E4D99" w:rsidRPr="00982FB0">
        <w:t>(b)</w:t>
      </w:r>
      <w:r w:rsidR="005C58A2" w:rsidRPr="00982FB0">
        <w:t xml:space="preserve"> of the Systems Act. </w:t>
      </w:r>
      <w:r w:rsidR="00764671">
        <w:t xml:space="preserve"> </w:t>
      </w:r>
    </w:p>
    <w:p w14:paraId="105649A5" w14:textId="538417DA" w:rsidR="005C58A2" w:rsidRPr="00982FB0" w:rsidRDefault="00F0006B" w:rsidP="00F0006B">
      <w:pPr>
        <w:pStyle w:val="1"/>
        <w:numPr>
          <w:ilvl w:val="0"/>
          <w:numId w:val="0"/>
        </w:numPr>
        <w:tabs>
          <w:tab w:val="left" w:pos="567"/>
        </w:tabs>
        <w:ind w:left="567" w:hanging="567"/>
      </w:pPr>
      <w:r w:rsidRPr="00982FB0">
        <w:rPr>
          <w:rFonts w:cs="Arial"/>
          <w:szCs w:val="24"/>
        </w:rPr>
        <w:t>[48]</w:t>
      </w:r>
      <w:r w:rsidRPr="00982FB0">
        <w:rPr>
          <w:rFonts w:cs="Arial"/>
          <w:szCs w:val="24"/>
        </w:rPr>
        <w:tab/>
      </w:r>
      <w:r w:rsidR="005C58A2" w:rsidRPr="00982FB0">
        <w:t>The First Applicant and the Respondent are at liberty to revisit a possibility of an arrangement</w:t>
      </w:r>
      <w:r w:rsidR="002E4D99" w:rsidRPr="00982FB0">
        <w:t xml:space="preserve"> about to whom security should be </w:t>
      </w:r>
      <w:r w:rsidR="00485DB7" w:rsidRPr="00982FB0">
        <w:t>furnished</w:t>
      </w:r>
      <w:r w:rsidR="000F3AC0" w:rsidRPr="00982FB0">
        <w:t xml:space="preserve"> </w:t>
      </w:r>
      <w:r w:rsidR="005C58A2" w:rsidRPr="00982FB0">
        <w:t>if they so wish</w:t>
      </w:r>
      <w:r w:rsidR="000F3AC0" w:rsidRPr="00982FB0">
        <w:t xml:space="preserve"> to enable the transfer to unfold pending the finalization of the dispute</w:t>
      </w:r>
      <w:r w:rsidR="005C58A2" w:rsidRPr="00982FB0">
        <w:t xml:space="preserve">. </w:t>
      </w:r>
      <w:r w:rsidR="00764671">
        <w:t xml:space="preserve"> </w:t>
      </w:r>
      <w:r w:rsidR="005C58A2" w:rsidRPr="00982FB0">
        <w:t>It is not for this Court to decide</w:t>
      </w:r>
      <w:r w:rsidR="000F3AC0" w:rsidRPr="00982FB0">
        <w:t xml:space="preserve"> </w:t>
      </w:r>
      <w:r w:rsidR="005C58A2" w:rsidRPr="00982FB0">
        <w:t xml:space="preserve">whose </w:t>
      </w:r>
      <w:r w:rsidR="00485DB7" w:rsidRPr="00982FB0">
        <w:t>t</w:t>
      </w:r>
      <w:r w:rsidR="005C58A2" w:rsidRPr="00982FB0">
        <w:t xml:space="preserve">rust </w:t>
      </w:r>
      <w:r w:rsidR="00485DB7" w:rsidRPr="00982FB0">
        <w:t>a</w:t>
      </w:r>
      <w:r w:rsidR="005C58A2" w:rsidRPr="00982FB0">
        <w:t xml:space="preserve">ccount </w:t>
      </w:r>
      <w:r w:rsidR="000F3AC0" w:rsidRPr="00982FB0">
        <w:t>is best suited to keep security</w:t>
      </w:r>
      <w:r w:rsidR="005C58A2" w:rsidRPr="00982FB0">
        <w:t xml:space="preserve">. </w:t>
      </w:r>
    </w:p>
    <w:p w14:paraId="15D0F2AA" w14:textId="2C6C584C" w:rsidR="0086571E" w:rsidRPr="00982FB0" w:rsidRDefault="00F0006B" w:rsidP="00F0006B">
      <w:pPr>
        <w:pStyle w:val="1"/>
        <w:numPr>
          <w:ilvl w:val="0"/>
          <w:numId w:val="0"/>
        </w:numPr>
        <w:tabs>
          <w:tab w:val="left" w:pos="567"/>
        </w:tabs>
        <w:ind w:left="567" w:hanging="567"/>
        <w:rPr>
          <w:iCs w:val="0"/>
        </w:rPr>
      </w:pPr>
      <w:r w:rsidRPr="00982FB0">
        <w:rPr>
          <w:rFonts w:cs="Arial"/>
          <w:szCs w:val="24"/>
        </w:rPr>
        <w:t>[49]</w:t>
      </w:r>
      <w:r w:rsidRPr="00982FB0">
        <w:rPr>
          <w:rFonts w:cs="Arial"/>
          <w:szCs w:val="24"/>
        </w:rPr>
        <w:tab/>
      </w:r>
      <w:r w:rsidR="00B849F6" w:rsidRPr="00982FB0">
        <w:t xml:space="preserve">To </w:t>
      </w:r>
      <w:r w:rsidR="004E1A5E">
        <w:t xml:space="preserve">grant an </w:t>
      </w:r>
      <w:r w:rsidR="004E1A5E" w:rsidRPr="00982FB0">
        <w:t xml:space="preserve">order </w:t>
      </w:r>
      <w:r w:rsidR="004E1A5E">
        <w:t>against the</w:t>
      </w:r>
      <w:r w:rsidR="004E1A5E" w:rsidRPr="00982FB0">
        <w:t xml:space="preserve"> Respondent to issue the clearance certificate</w:t>
      </w:r>
      <w:r w:rsidR="004E1A5E">
        <w:t xml:space="preserve"> </w:t>
      </w:r>
      <w:r w:rsidR="008B776E" w:rsidRPr="00982FB0">
        <w:t>will</w:t>
      </w:r>
      <w:r w:rsidR="004E1A5E">
        <w:t xml:space="preserve"> in my view</w:t>
      </w:r>
      <w:r w:rsidR="00B849F6" w:rsidRPr="00982FB0">
        <w:t xml:space="preserve"> amount to judicial overreach</w:t>
      </w:r>
      <w:r w:rsidR="008B776E" w:rsidRPr="00982FB0">
        <w:t xml:space="preserve"> as this court will delve into debt-collecting measures that fall in the purview of the Respondent.</w:t>
      </w:r>
      <w:r w:rsidR="003A01E8">
        <w:t xml:space="preserve"> </w:t>
      </w:r>
      <w:r w:rsidR="0086571E" w:rsidRPr="00982FB0">
        <w:t>In</w:t>
      </w:r>
      <w:r w:rsidR="00B849F6" w:rsidRPr="00982FB0">
        <w:t xml:space="preserve"> </w:t>
      </w:r>
      <w:r w:rsidR="0086571E" w:rsidRPr="00982FB0">
        <w:rPr>
          <w:rFonts w:cs="Arial"/>
          <w:i/>
          <w:lang w:val="en-ZA"/>
        </w:rPr>
        <w:t xml:space="preserve">City of </w:t>
      </w:r>
      <w:r w:rsidR="0086571E" w:rsidRPr="004F6788">
        <w:rPr>
          <w:rFonts w:cs="Arial"/>
          <w:i/>
          <w:lang w:val="en-ZA"/>
        </w:rPr>
        <w:t>Tshwane Metropolitan Municipality v Afriforum and Another</w:t>
      </w:r>
      <w:r w:rsidR="0086571E" w:rsidRPr="00982FB0">
        <w:rPr>
          <w:rStyle w:val="FootnoteReference"/>
          <w:rFonts w:cs="Arial"/>
          <w:i/>
        </w:rPr>
        <w:footnoteReference w:id="15"/>
      </w:r>
      <w:r w:rsidR="0086571E" w:rsidRPr="00982FB0">
        <w:rPr>
          <w:rFonts w:cs="Arial"/>
          <w:iCs w:val="0"/>
          <w:lang w:val="en-ZA"/>
        </w:rPr>
        <w:t>, the Constitutional Court held that:</w:t>
      </w:r>
    </w:p>
    <w:p w14:paraId="417FEC32" w14:textId="1B3D7041" w:rsidR="0086571E" w:rsidRPr="00DE69B4" w:rsidRDefault="0086571E" w:rsidP="001B4B65">
      <w:pPr>
        <w:pStyle w:val="1"/>
        <w:numPr>
          <w:ilvl w:val="0"/>
          <w:numId w:val="0"/>
        </w:numPr>
        <w:spacing w:before="0" w:line="360" w:lineRule="auto"/>
        <w:ind w:left="851" w:right="851"/>
      </w:pPr>
      <w:r w:rsidRPr="00DE69B4">
        <w:rPr>
          <w:rFonts w:cs="Arial"/>
          <w:sz w:val="22"/>
        </w:rPr>
        <w:t>“…Intrusion into the sphere of operation reserved only for the other arms of State is an exercise not to be unreflectingly or over-zealously carried out by a court of law.  It calls for deeper reflection and caution.  The State operates better when due deference is shown by one branch to another, obviously without approaching its obligations so timidly as to incorrectly suggest that there is an undue measure of self</w:t>
      </w:r>
      <w:r w:rsidR="001A15F0" w:rsidRPr="00DE69B4">
        <w:rPr>
          <w:rFonts w:cs="Arial"/>
          <w:sz w:val="22"/>
        </w:rPr>
        <w:t xml:space="preserve"> </w:t>
      </w:r>
      <w:r w:rsidRPr="00DE69B4">
        <w:rPr>
          <w:rFonts w:cs="Arial"/>
          <w:sz w:val="22"/>
        </w:rPr>
        <w:t xml:space="preserve">restraint.  That said, an attitude that is dismissive of the constitutional fire-wall around the powers of other arms of State is not conducive to the proper observance of separation of powers and </w:t>
      </w:r>
      <w:r w:rsidRPr="00DE69B4">
        <w:rPr>
          <w:rFonts w:cs="Arial"/>
          <w:sz w:val="22"/>
        </w:rPr>
        <w:lastRenderedPageBreak/>
        <w:t>exhibits disregard for comity among the branches of Government”.</w:t>
      </w:r>
    </w:p>
    <w:p w14:paraId="619FF979" w14:textId="5B88DBFD" w:rsidR="00B849F6" w:rsidRPr="00982FB0" w:rsidRDefault="00F0006B" w:rsidP="00F0006B">
      <w:pPr>
        <w:pStyle w:val="1"/>
        <w:numPr>
          <w:ilvl w:val="0"/>
          <w:numId w:val="0"/>
        </w:numPr>
        <w:tabs>
          <w:tab w:val="left" w:pos="567"/>
        </w:tabs>
        <w:ind w:left="567" w:hanging="567"/>
      </w:pPr>
      <w:r w:rsidRPr="00982FB0">
        <w:rPr>
          <w:rFonts w:cs="Arial"/>
          <w:szCs w:val="24"/>
        </w:rPr>
        <w:t>[50]</w:t>
      </w:r>
      <w:r w:rsidRPr="00982FB0">
        <w:rPr>
          <w:rFonts w:cs="Arial"/>
          <w:szCs w:val="24"/>
        </w:rPr>
        <w:tab/>
      </w:r>
      <w:r w:rsidR="0086571E" w:rsidRPr="00982FB0">
        <w:t>Consequently, t</w:t>
      </w:r>
      <w:r w:rsidR="008B776E" w:rsidRPr="00982FB0">
        <w:t xml:space="preserve">his </w:t>
      </w:r>
      <w:r w:rsidR="0086571E" w:rsidRPr="00982FB0">
        <w:t>Court will be slow to condone issuing of clearance certificates outside the prescripts of the Systems Act</w:t>
      </w:r>
      <w:r w:rsidR="00175C98">
        <w:t xml:space="preserve"> </w:t>
      </w:r>
      <w:r w:rsidR="00175C98" w:rsidRPr="00175C98">
        <w:t>and pending the issuance of clearance figures</w:t>
      </w:r>
      <w:r w:rsidR="00175C98" w:rsidRPr="00175C98">
        <w:rPr>
          <w:u w:val="single"/>
        </w:rPr>
        <w:t xml:space="preserve"> for the two years preceding the date of application for the certificate</w:t>
      </w:r>
      <w:r w:rsidR="00175C98" w:rsidRPr="00175C98">
        <w:t xml:space="preserve"> excluding the historical debt of R 2 454, 297.91.</w:t>
      </w:r>
      <w:r w:rsidR="00175C98">
        <w:t xml:space="preserve"> </w:t>
      </w:r>
      <w:r w:rsidR="0086571E" w:rsidRPr="00982FB0">
        <w:t xml:space="preserve">This </w:t>
      </w:r>
      <w:r w:rsidR="008B776E" w:rsidRPr="00982FB0">
        <w:t>may</w:t>
      </w:r>
      <w:r w:rsidR="00B849F6" w:rsidRPr="00982FB0">
        <w:t xml:space="preserve"> open floodgates for litigants to seek </w:t>
      </w:r>
      <w:r w:rsidR="008B776E" w:rsidRPr="00982FB0">
        <w:t xml:space="preserve">clearance certificates </w:t>
      </w:r>
      <w:r w:rsidR="00B849F6" w:rsidRPr="00982FB0">
        <w:t>when outstanding debts have not been paid as per section 118(1)(b) of the Systems Act.</w:t>
      </w:r>
      <w:r w:rsidR="008B776E" w:rsidRPr="00982FB0">
        <w:t xml:space="preserve"> </w:t>
      </w:r>
    </w:p>
    <w:p w14:paraId="38B3AC6D" w14:textId="1CEA1734" w:rsidR="00D307B6" w:rsidRPr="004E1A5E" w:rsidRDefault="00F0006B" w:rsidP="00F0006B">
      <w:pPr>
        <w:pStyle w:val="1"/>
        <w:numPr>
          <w:ilvl w:val="0"/>
          <w:numId w:val="0"/>
        </w:numPr>
        <w:tabs>
          <w:tab w:val="left" w:pos="567"/>
        </w:tabs>
        <w:ind w:left="567" w:hanging="567"/>
        <w:rPr>
          <w:rFonts w:cs="Arial"/>
          <w:i/>
          <w:iCs w:val="0"/>
          <w:szCs w:val="24"/>
        </w:rPr>
      </w:pPr>
      <w:r w:rsidRPr="004E1A5E">
        <w:rPr>
          <w:rFonts w:cs="Arial"/>
          <w:szCs w:val="24"/>
        </w:rPr>
        <w:t>[51]</w:t>
      </w:r>
      <w:r w:rsidRPr="004E1A5E">
        <w:rPr>
          <w:rFonts w:cs="Arial"/>
          <w:szCs w:val="24"/>
        </w:rPr>
        <w:tab/>
      </w:r>
      <w:r w:rsidR="0086571E" w:rsidRPr="00982FB0">
        <w:rPr>
          <w:rFonts w:cs="Arial"/>
          <w:szCs w:val="24"/>
        </w:rPr>
        <w:t xml:space="preserve">Notwithstanding the above, </w:t>
      </w:r>
      <w:r w:rsidR="00C90F67" w:rsidRPr="00982FB0">
        <w:rPr>
          <w:rFonts w:cs="Arial"/>
          <w:szCs w:val="24"/>
        </w:rPr>
        <w:t>I am of the view that the First Applicant has made out a case for the</w:t>
      </w:r>
      <w:r w:rsidR="00175C98">
        <w:rPr>
          <w:rFonts w:cs="Arial"/>
          <w:szCs w:val="24"/>
        </w:rPr>
        <w:t xml:space="preserve"> other forms of</w:t>
      </w:r>
      <w:r w:rsidR="00C90F67" w:rsidRPr="00982FB0">
        <w:rPr>
          <w:rFonts w:cs="Arial"/>
          <w:szCs w:val="24"/>
        </w:rPr>
        <w:t xml:space="preserve"> relief mentioned </w:t>
      </w:r>
      <w:r w:rsidR="00485DB7" w:rsidRPr="00982FB0">
        <w:rPr>
          <w:rFonts w:cs="Arial"/>
          <w:szCs w:val="24"/>
        </w:rPr>
        <w:t>at the end of this judgment</w:t>
      </w:r>
      <w:r w:rsidR="00C90F67" w:rsidRPr="00982FB0">
        <w:rPr>
          <w:rFonts w:cs="Arial"/>
          <w:szCs w:val="24"/>
        </w:rPr>
        <w:t xml:space="preserve">. </w:t>
      </w:r>
    </w:p>
    <w:p w14:paraId="4C26E103" w14:textId="670B6102" w:rsidR="00C90F67" w:rsidRPr="00982FB0" w:rsidRDefault="00C90F67" w:rsidP="00C90F67">
      <w:pPr>
        <w:pStyle w:val="1"/>
        <w:numPr>
          <w:ilvl w:val="0"/>
          <w:numId w:val="0"/>
        </w:numPr>
        <w:spacing w:line="360" w:lineRule="auto"/>
        <w:rPr>
          <w:rFonts w:cs="Arial"/>
          <w:b/>
          <w:bCs/>
          <w:i/>
          <w:iCs w:val="0"/>
          <w:szCs w:val="24"/>
        </w:rPr>
      </w:pPr>
      <w:r w:rsidRPr="00982FB0">
        <w:rPr>
          <w:rFonts w:cs="Arial"/>
          <w:b/>
          <w:bCs/>
          <w:szCs w:val="24"/>
        </w:rPr>
        <w:t>COSTS</w:t>
      </w:r>
    </w:p>
    <w:p w14:paraId="48ADF80B" w14:textId="5027AB79" w:rsidR="005D4124"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[52]</w:t>
      </w:r>
      <w:r w:rsidRPr="00982FB0">
        <w:rPr>
          <w:rFonts w:cs="Arial"/>
          <w:szCs w:val="24"/>
        </w:rPr>
        <w:tab/>
      </w:r>
      <w:r w:rsidR="005D4124" w:rsidRPr="00982FB0">
        <w:rPr>
          <w:rFonts w:cs="Arial"/>
          <w:szCs w:val="24"/>
        </w:rPr>
        <w:t xml:space="preserve">From the onset, it was clear that the amount in dispute originated from February/March 2014. </w:t>
      </w:r>
      <w:r w:rsidR="001A15F0">
        <w:rPr>
          <w:rFonts w:cs="Arial"/>
          <w:szCs w:val="24"/>
        </w:rPr>
        <w:t xml:space="preserve"> </w:t>
      </w:r>
      <w:r w:rsidR="005D4124" w:rsidRPr="00982FB0">
        <w:rPr>
          <w:rFonts w:cs="Arial"/>
          <w:szCs w:val="24"/>
        </w:rPr>
        <w:t>This is something that is known</w:t>
      </w:r>
      <w:r w:rsidR="00485DB7" w:rsidRPr="00982FB0">
        <w:rPr>
          <w:rFonts w:cs="Arial"/>
          <w:szCs w:val="24"/>
        </w:rPr>
        <w:t xml:space="preserve"> to</w:t>
      </w:r>
      <w:r w:rsidR="005D4124" w:rsidRPr="00982FB0">
        <w:rPr>
          <w:rFonts w:cs="Arial"/>
          <w:szCs w:val="24"/>
        </w:rPr>
        <w:t xml:space="preserve"> both the First Applicant and the Respondent.</w:t>
      </w:r>
      <w:r w:rsidR="001A15F0">
        <w:rPr>
          <w:rFonts w:cs="Arial"/>
          <w:szCs w:val="24"/>
        </w:rPr>
        <w:t xml:space="preserve"> </w:t>
      </w:r>
      <w:r w:rsidR="005D4124" w:rsidRPr="00982FB0">
        <w:rPr>
          <w:rFonts w:cs="Arial"/>
          <w:szCs w:val="24"/>
        </w:rPr>
        <w:t xml:space="preserve"> However, for unknown reasons, the Respondent persisted with the inclusion of </w:t>
      </w:r>
      <w:r w:rsidR="000F1B25" w:rsidRPr="00982FB0">
        <w:rPr>
          <w:rFonts w:cs="Arial"/>
          <w:szCs w:val="24"/>
        </w:rPr>
        <w:t>a</w:t>
      </w:r>
      <w:r w:rsidR="005D4124" w:rsidRPr="00982FB0">
        <w:rPr>
          <w:rFonts w:cs="Arial"/>
          <w:szCs w:val="24"/>
        </w:rPr>
        <w:t xml:space="preserve"> debt falling outside the parameters of section 118(1)</w:t>
      </w:r>
      <w:r w:rsidR="00485DB7" w:rsidRPr="00982FB0">
        <w:rPr>
          <w:rFonts w:cs="Arial"/>
          <w:szCs w:val="24"/>
        </w:rPr>
        <w:t xml:space="preserve">(b) </w:t>
      </w:r>
      <w:r w:rsidR="005D4124" w:rsidRPr="00982FB0">
        <w:rPr>
          <w:rFonts w:cs="Arial"/>
          <w:szCs w:val="24"/>
        </w:rPr>
        <w:t xml:space="preserve">of the Systems Act when </w:t>
      </w:r>
      <w:r w:rsidR="00C33D5E">
        <w:rPr>
          <w:rFonts w:cs="Arial"/>
          <w:szCs w:val="24"/>
        </w:rPr>
        <w:t xml:space="preserve">the current </w:t>
      </w:r>
      <w:r w:rsidR="005D4124" w:rsidRPr="00982FB0">
        <w:rPr>
          <w:rFonts w:cs="Arial"/>
          <w:szCs w:val="24"/>
        </w:rPr>
        <w:t>clearance figures were sought.</w:t>
      </w:r>
      <w:r w:rsidR="00390D6C">
        <w:rPr>
          <w:rFonts w:cs="Arial"/>
          <w:szCs w:val="24"/>
        </w:rPr>
        <w:t xml:space="preserve">  </w:t>
      </w:r>
    </w:p>
    <w:p w14:paraId="4301A62B" w14:textId="7CD9F20C" w:rsidR="005D4124"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[53]</w:t>
      </w:r>
      <w:r w:rsidRPr="00982FB0">
        <w:rPr>
          <w:rFonts w:cs="Arial"/>
          <w:szCs w:val="24"/>
        </w:rPr>
        <w:tab/>
      </w:r>
      <w:r w:rsidR="005D4124" w:rsidRPr="00982FB0">
        <w:rPr>
          <w:rFonts w:cs="Arial"/>
          <w:szCs w:val="24"/>
        </w:rPr>
        <w:t>The Respondent also on more than one occasion failed to provide an explanation of how the outstanding balance</w:t>
      </w:r>
      <w:r w:rsidR="00485DB7" w:rsidRPr="00982FB0">
        <w:rPr>
          <w:rFonts w:cs="Arial"/>
          <w:szCs w:val="24"/>
        </w:rPr>
        <w:t xml:space="preserve"> on rates and taxes</w:t>
      </w:r>
      <w:r w:rsidR="005D4124" w:rsidRPr="00982FB0">
        <w:rPr>
          <w:rFonts w:cs="Arial"/>
          <w:szCs w:val="24"/>
        </w:rPr>
        <w:t xml:space="preserve"> was arrived at. </w:t>
      </w:r>
      <w:r w:rsidR="00390D6C">
        <w:rPr>
          <w:rFonts w:cs="Arial"/>
          <w:szCs w:val="24"/>
        </w:rPr>
        <w:t xml:space="preserve"> </w:t>
      </w:r>
      <w:r w:rsidR="005D4124" w:rsidRPr="00982FB0">
        <w:rPr>
          <w:rFonts w:cs="Arial"/>
          <w:szCs w:val="24"/>
        </w:rPr>
        <w:t xml:space="preserve">Different figures were provided and </w:t>
      </w:r>
      <w:r w:rsidR="000F1B25" w:rsidRPr="00982FB0">
        <w:rPr>
          <w:rFonts w:cs="Arial"/>
          <w:szCs w:val="24"/>
        </w:rPr>
        <w:t xml:space="preserve">later </w:t>
      </w:r>
      <w:r w:rsidR="005D4124" w:rsidRPr="00982FB0">
        <w:rPr>
          <w:rFonts w:cs="Arial"/>
          <w:szCs w:val="24"/>
        </w:rPr>
        <w:t>changed.</w:t>
      </w:r>
      <w:r w:rsidR="00740DD1">
        <w:rPr>
          <w:rFonts w:cs="Arial"/>
          <w:szCs w:val="24"/>
        </w:rPr>
        <w:t>  </w:t>
      </w:r>
      <w:r w:rsidR="00713F8E" w:rsidRPr="00982FB0">
        <w:rPr>
          <w:rFonts w:cs="Arial"/>
          <w:szCs w:val="24"/>
        </w:rPr>
        <w:t xml:space="preserve">There were </w:t>
      </w:r>
      <w:r w:rsidR="000F1B25" w:rsidRPr="00982FB0">
        <w:rPr>
          <w:rFonts w:cs="Arial"/>
          <w:szCs w:val="24"/>
        </w:rPr>
        <w:t xml:space="preserve">also </w:t>
      </w:r>
      <w:r w:rsidR="00713F8E" w:rsidRPr="00982FB0">
        <w:rPr>
          <w:rFonts w:cs="Arial"/>
          <w:szCs w:val="24"/>
        </w:rPr>
        <w:t>countless discrepancies with the figures.</w:t>
      </w:r>
      <w:r w:rsidR="00390D6C">
        <w:rPr>
          <w:rFonts w:cs="Arial"/>
          <w:szCs w:val="24"/>
        </w:rPr>
        <w:t xml:space="preserve"> </w:t>
      </w:r>
      <w:r w:rsidR="00713F8E" w:rsidRPr="00982FB0">
        <w:rPr>
          <w:rFonts w:cs="Arial"/>
          <w:szCs w:val="24"/>
        </w:rPr>
        <w:t xml:space="preserve"> For example, on 14 October 2015, the First Applicant owed the Respondent an amount of R73.06 but there was an interest charged in the amount of R 9 579.48 on that balance.</w:t>
      </w:r>
      <w:r w:rsidR="00713F8E" w:rsidRPr="00982FB0">
        <w:rPr>
          <w:rStyle w:val="FootnoteReference"/>
          <w:rFonts w:cs="Arial"/>
          <w:szCs w:val="24"/>
        </w:rPr>
        <w:footnoteReference w:id="16"/>
      </w:r>
      <w:r w:rsidR="00485DB7" w:rsidRPr="00982FB0">
        <w:rPr>
          <w:rFonts w:cs="Arial"/>
          <w:szCs w:val="24"/>
        </w:rPr>
        <w:t xml:space="preserve"> </w:t>
      </w:r>
      <w:r w:rsidR="00390D6C">
        <w:rPr>
          <w:rFonts w:cs="Arial"/>
          <w:szCs w:val="24"/>
        </w:rPr>
        <w:t xml:space="preserve"> </w:t>
      </w:r>
      <w:r w:rsidR="00485DB7" w:rsidRPr="00982FB0">
        <w:rPr>
          <w:rFonts w:cs="Arial"/>
          <w:szCs w:val="24"/>
        </w:rPr>
        <w:t xml:space="preserve">Again, there was no </w:t>
      </w:r>
      <w:r w:rsidR="00485DB7" w:rsidRPr="00982FB0">
        <w:rPr>
          <w:rFonts w:cs="Arial"/>
          <w:szCs w:val="24"/>
        </w:rPr>
        <w:lastRenderedPageBreak/>
        <w:t>explanation for this exorbitant interest on a mere debt of R73.06.</w:t>
      </w:r>
      <w:r w:rsidR="000F1B25" w:rsidRPr="00982FB0">
        <w:rPr>
          <w:rFonts w:cs="Arial"/>
          <w:szCs w:val="24"/>
        </w:rPr>
        <w:t xml:space="preserve"> </w:t>
      </w:r>
      <w:r w:rsidR="00390D6C">
        <w:rPr>
          <w:rFonts w:cs="Arial"/>
          <w:szCs w:val="24"/>
        </w:rPr>
        <w:t xml:space="preserve"> </w:t>
      </w:r>
      <w:r w:rsidR="000F1B25" w:rsidRPr="00982FB0">
        <w:rPr>
          <w:rFonts w:cs="Arial"/>
          <w:szCs w:val="24"/>
        </w:rPr>
        <w:t xml:space="preserve">There has been an inexcusable failure by the Respondent to provide an explanation of its </w:t>
      </w:r>
      <w:r w:rsidR="00485DB7" w:rsidRPr="00982FB0">
        <w:rPr>
          <w:rFonts w:cs="Arial"/>
          <w:szCs w:val="24"/>
        </w:rPr>
        <w:t xml:space="preserve">outstanding </w:t>
      </w:r>
      <w:r w:rsidR="000F1B25" w:rsidRPr="00982FB0">
        <w:rPr>
          <w:rFonts w:cs="Arial"/>
          <w:szCs w:val="24"/>
        </w:rPr>
        <w:t xml:space="preserve">charges. </w:t>
      </w:r>
      <w:r w:rsidR="00740DD1">
        <w:rPr>
          <w:rFonts w:cs="Arial"/>
          <w:szCs w:val="24"/>
        </w:rPr>
        <w:t xml:space="preserve"> </w:t>
      </w:r>
    </w:p>
    <w:p w14:paraId="3FA0085B" w14:textId="72172456" w:rsidR="002D5E0C" w:rsidRPr="00982FB0" w:rsidRDefault="00F0006B" w:rsidP="00F0006B">
      <w:pPr>
        <w:pStyle w:val="1"/>
        <w:numPr>
          <w:ilvl w:val="0"/>
          <w:numId w:val="0"/>
        </w:numPr>
        <w:tabs>
          <w:tab w:val="left" w:pos="567"/>
        </w:tabs>
        <w:ind w:left="567" w:hanging="567"/>
        <w:rPr>
          <w:rFonts w:cs="Arial"/>
          <w:szCs w:val="24"/>
        </w:rPr>
      </w:pPr>
      <w:r w:rsidRPr="00982FB0">
        <w:rPr>
          <w:rFonts w:cs="Arial"/>
          <w:szCs w:val="24"/>
        </w:rPr>
        <w:t>[54]</w:t>
      </w:r>
      <w:r w:rsidRPr="00982FB0">
        <w:rPr>
          <w:rFonts w:cs="Arial"/>
          <w:szCs w:val="24"/>
        </w:rPr>
        <w:tab/>
      </w:r>
      <w:r w:rsidR="000F1B25" w:rsidRPr="00982FB0">
        <w:rPr>
          <w:rFonts w:cs="Arial"/>
          <w:szCs w:val="24"/>
        </w:rPr>
        <w:t xml:space="preserve">It must also be noted that the First Applicant has never disputed that he owes the Respondent. </w:t>
      </w:r>
      <w:r w:rsidR="00943B73">
        <w:rPr>
          <w:rFonts w:cs="Arial"/>
          <w:szCs w:val="24"/>
        </w:rPr>
        <w:t xml:space="preserve"> </w:t>
      </w:r>
      <w:r w:rsidR="000F1B25" w:rsidRPr="00982FB0">
        <w:rPr>
          <w:rFonts w:cs="Arial"/>
          <w:szCs w:val="24"/>
        </w:rPr>
        <w:t xml:space="preserve">The concern has been how the figures </w:t>
      </w:r>
      <w:r w:rsidR="00485DB7" w:rsidRPr="00982FB0">
        <w:rPr>
          <w:rFonts w:cs="Arial"/>
          <w:szCs w:val="24"/>
        </w:rPr>
        <w:t>were</w:t>
      </w:r>
      <w:r w:rsidR="000F1B25" w:rsidRPr="00982FB0">
        <w:rPr>
          <w:rFonts w:cs="Arial"/>
          <w:szCs w:val="24"/>
        </w:rPr>
        <w:t xml:space="preserve"> calculated. </w:t>
      </w:r>
      <w:r w:rsidR="00943B73">
        <w:rPr>
          <w:rFonts w:cs="Arial"/>
          <w:szCs w:val="24"/>
        </w:rPr>
        <w:t xml:space="preserve"> </w:t>
      </w:r>
      <w:r w:rsidR="000F1B25" w:rsidRPr="00982FB0">
        <w:rPr>
          <w:rFonts w:cs="Arial"/>
          <w:szCs w:val="24"/>
        </w:rPr>
        <w:t>I do not think that the First Applicant should be out of pocket because of the Respondent’s inability to explain its computation methods.</w:t>
      </w:r>
      <w:r w:rsidR="00943B73">
        <w:rPr>
          <w:rFonts w:cs="Arial"/>
          <w:szCs w:val="24"/>
        </w:rPr>
        <w:t xml:space="preserve"> </w:t>
      </w:r>
      <w:r w:rsidR="000F1B25" w:rsidRPr="00982FB0">
        <w:rPr>
          <w:rFonts w:cs="Arial"/>
          <w:szCs w:val="24"/>
        </w:rPr>
        <w:t xml:space="preserve"> In any case, t</w:t>
      </w:r>
      <w:r w:rsidR="005D4124" w:rsidRPr="00982FB0">
        <w:rPr>
          <w:rFonts w:cs="Arial"/>
          <w:szCs w:val="24"/>
        </w:rPr>
        <w:t xml:space="preserve">he First Applicant has been to a large extent </w:t>
      </w:r>
      <w:r w:rsidR="00485DB7" w:rsidRPr="00982FB0">
        <w:rPr>
          <w:rFonts w:cs="Arial"/>
          <w:szCs w:val="24"/>
        </w:rPr>
        <w:t xml:space="preserve">been </w:t>
      </w:r>
      <w:r w:rsidR="005D4124" w:rsidRPr="00982FB0">
        <w:rPr>
          <w:rFonts w:cs="Arial"/>
          <w:szCs w:val="24"/>
        </w:rPr>
        <w:t>a successful party in these proceedings.</w:t>
      </w:r>
      <w:r w:rsidR="00943B73">
        <w:rPr>
          <w:rFonts w:cs="Arial"/>
          <w:szCs w:val="24"/>
        </w:rPr>
        <w:t xml:space="preserve"> </w:t>
      </w:r>
      <w:r w:rsidR="005D4124" w:rsidRPr="00982FB0">
        <w:rPr>
          <w:rFonts w:cs="Arial"/>
          <w:szCs w:val="24"/>
        </w:rPr>
        <w:t xml:space="preserve"> </w:t>
      </w:r>
      <w:r w:rsidR="00485DB7" w:rsidRPr="00982FB0">
        <w:rPr>
          <w:rFonts w:cs="Arial"/>
          <w:szCs w:val="24"/>
        </w:rPr>
        <w:t>Accordingly, t</w:t>
      </w:r>
      <w:r w:rsidR="004E3F1C" w:rsidRPr="00982FB0">
        <w:rPr>
          <w:rFonts w:cs="Arial"/>
          <w:szCs w:val="24"/>
        </w:rPr>
        <w:t>he</w:t>
      </w:r>
      <w:r w:rsidR="00F246D6" w:rsidRPr="00982FB0">
        <w:rPr>
          <w:rFonts w:cs="Arial"/>
          <w:szCs w:val="24"/>
        </w:rPr>
        <w:t>re</w:t>
      </w:r>
      <w:r w:rsidR="004E3F1C" w:rsidRPr="00982FB0">
        <w:rPr>
          <w:rFonts w:cs="Arial"/>
          <w:szCs w:val="24"/>
        </w:rPr>
        <w:t xml:space="preserve"> is no basis </w:t>
      </w:r>
      <w:r w:rsidR="00485DB7" w:rsidRPr="00982FB0">
        <w:rPr>
          <w:rFonts w:cs="Arial"/>
          <w:szCs w:val="24"/>
        </w:rPr>
        <w:t>as to why</w:t>
      </w:r>
      <w:r w:rsidR="004E3F1C" w:rsidRPr="00982FB0">
        <w:rPr>
          <w:rFonts w:cs="Arial"/>
          <w:szCs w:val="24"/>
        </w:rPr>
        <w:t xml:space="preserve"> the costs should not follow the </w:t>
      </w:r>
      <w:r w:rsidR="008D0965" w:rsidRPr="00982FB0">
        <w:rPr>
          <w:rFonts w:cs="Arial"/>
          <w:szCs w:val="24"/>
        </w:rPr>
        <w:t>results</w:t>
      </w:r>
      <w:r w:rsidR="004E3F1C" w:rsidRPr="00982FB0">
        <w:rPr>
          <w:rFonts w:cs="Arial"/>
          <w:szCs w:val="24"/>
        </w:rPr>
        <w:t>.</w:t>
      </w:r>
      <w:r w:rsidR="00BA3B30" w:rsidRPr="00982FB0">
        <w:rPr>
          <w:rStyle w:val="FootnoteReference"/>
          <w:rFonts w:cs="Arial"/>
          <w:szCs w:val="24"/>
          <w:lang w:eastAsia="en-US"/>
        </w:rPr>
        <w:footnoteReference w:id="17"/>
      </w:r>
    </w:p>
    <w:p w14:paraId="796D5323" w14:textId="77777777" w:rsidR="00CE06A8" w:rsidRPr="00982FB0" w:rsidRDefault="00CE06A8" w:rsidP="00023A8D">
      <w:pPr>
        <w:pStyle w:val="1"/>
        <w:numPr>
          <w:ilvl w:val="0"/>
          <w:numId w:val="0"/>
        </w:numPr>
        <w:spacing w:line="360" w:lineRule="auto"/>
        <w:rPr>
          <w:rFonts w:cs="Arial"/>
          <w:b/>
          <w:szCs w:val="24"/>
        </w:rPr>
      </w:pPr>
      <w:r w:rsidRPr="00982FB0">
        <w:rPr>
          <w:rFonts w:cs="Arial"/>
          <w:b/>
          <w:szCs w:val="24"/>
        </w:rPr>
        <w:t>ORDER</w:t>
      </w:r>
    </w:p>
    <w:p w14:paraId="721B5BE0" w14:textId="3945EED6" w:rsidR="00A5058B" w:rsidRPr="00982FB0" w:rsidRDefault="00F0006B" w:rsidP="00F0006B">
      <w:pPr>
        <w:pStyle w:val="1"/>
        <w:numPr>
          <w:ilvl w:val="0"/>
          <w:numId w:val="0"/>
        </w:numPr>
        <w:tabs>
          <w:tab w:val="left" w:pos="567"/>
        </w:tabs>
        <w:spacing w:line="360" w:lineRule="auto"/>
        <w:ind w:left="567" w:hanging="567"/>
        <w:rPr>
          <w:rFonts w:cs="Arial"/>
          <w:szCs w:val="24"/>
        </w:rPr>
      </w:pPr>
      <w:r w:rsidRPr="00982FB0">
        <w:rPr>
          <w:rFonts w:cs="Arial"/>
          <w:szCs w:val="24"/>
        </w:rPr>
        <w:t>[55]</w:t>
      </w:r>
      <w:r w:rsidRPr="00982FB0">
        <w:rPr>
          <w:rFonts w:cs="Arial"/>
          <w:szCs w:val="24"/>
        </w:rPr>
        <w:tab/>
      </w:r>
      <w:r w:rsidR="00A5058B" w:rsidRPr="00982FB0">
        <w:rPr>
          <w:rFonts w:cs="Arial"/>
          <w:szCs w:val="24"/>
        </w:rPr>
        <w:t>I</w:t>
      </w:r>
      <w:r w:rsidR="00EF70DC" w:rsidRPr="00982FB0">
        <w:rPr>
          <w:rFonts w:cs="Arial"/>
          <w:szCs w:val="24"/>
        </w:rPr>
        <w:t>, therefore, make</w:t>
      </w:r>
      <w:r w:rsidR="00270D4F" w:rsidRPr="00982FB0">
        <w:rPr>
          <w:rFonts w:cs="Arial"/>
          <w:szCs w:val="24"/>
          <w:lang w:val="en-ZA" w:eastAsia="en-US"/>
        </w:rPr>
        <w:t xml:space="preserve"> </w:t>
      </w:r>
      <w:r w:rsidR="00A5058B" w:rsidRPr="00982FB0">
        <w:rPr>
          <w:rFonts w:cs="Arial"/>
          <w:szCs w:val="24"/>
          <w:lang w:val="en-ZA" w:eastAsia="en-US"/>
        </w:rPr>
        <w:t>the following orde</w:t>
      </w:r>
      <w:r w:rsidR="00417D9F" w:rsidRPr="00982FB0">
        <w:rPr>
          <w:rFonts w:cs="Arial"/>
          <w:szCs w:val="24"/>
          <w:lang w:val="en-ZA" w:eastAsia="en-US"/>
        </w:rPr>
        <w:t>r</w:t>
      </w:r>
      <w:r w:rsidR="00A5058B" w:rsidRPr="00982FB0">
        <w:rPr>
          <w:rFonts w:cs="Arial"/>
          <w:szCs w:val="24"/>
          <w:lang w:val="en-ZA" w:eastAsia="en-US"/>
        </w:rPr>
        <w:t>:</w:t>
      </w:r>
    </w:p>
    <w:p w14:paraId="1EA08B73" w14:textId="263ACFE3" w:rsidR="00B73B4B" w:rsidRPr="00982FB0" w:rsidRDefault="00F0006B" w:rsidP="00F0006B">
      <w:pPr>
        <w:pStyle w:val="2"/>
        <w:numPr>
          <w:ilvl w:val="0"/>
          <w:numId w:val="0"/>
        </w:numPr>
        <w:ind w:left="714" w:hanging="357"/>
        <w:rPr>
          <w:rFonts w:cs="Arial"/>
          <w:szCs w:val="24"/>
        </w:rPr>
      </w:pPr>
      <w:r w:rsidRPr="00982FB0">
        <w:rPr>
          <w:szCs w:val="24"/>
        </w:rPr>
        <w:t>(a)</w:t>
      </w:r>
      <w:r w:rsidRPr="00982FB0">
        <w:rPr>
          <w:szCs w:val="24"/>
        </w:rPr>
        <w:tab/>
      </w:r>
      <w:r w:rsidR="003A29B7" w:rsidRPr="00982FB0">
        <w:rPr>
          <w:rFonts w:cs="Arial"/>
          <w:szCs w:val="24"/>
        </w:rPr>
        <w:t xml:space="preserve">The </w:t>
      </w:r>
      <w:r w:rsidR="00C90F67" w:rsidRPr="00982FB0">
        <w:rPr>
          <w:rFonts w:cs="Arial"/>
          <w:szCs w:val="24"/>
        </w:rPr>
        <w:t>amount of R2 454 297.91 reflected as “Outstanding Amounts” on the Written Statement issued in terms of section 118(1) of the System Act dated 11 July 2022 in relation to account number 5015417216 is declared not due in con</w:t>
      </w:r>
      <w:r w:rsidR="00C90F67" w:rsidRPr="003D6800">
        <w:rPr>
          <w:rFonts w:cs="Arial"/>
          <w:szCs w:val="24"/>
        </w:rPr>
        <w:t xml:space="preserve">nection with the property </w:t>
      </w:r>
      <w:r w:rsidR="00560966">
        <w:rPr>
          <w:rFonts w:cs="Arial"/>
          <w:szCs w:val="24"/>
        </w:rPr>
        <w:t xml:space="preserve">only </w:t>
      </w:r>
      <w:r w:rsidR="00C90F67" w:rsidRPr="003D6800">
        <w:rPr>
          <w:rFonts w:cs="Arial"/>
          <w:szCs w:val="24"/>
        </w:rPr>
        <w:t>for purposes of section 118(1) of the Systems Act.</w:t>
      </w:r>
    </w:p>
    <w:p w14:paraId="12E26347" w14:textId="4E6F7DD2" w:rsidR="00C90F67" w:rsidRPr="00982FB0" w:rsidRDefault="00F0006B" w:rsidP="00F0006B">
      <w:pPr>
        <w:pStyle w:val="2"/>
        <w:numPr>
          <w:ilvl w:val="0"/>
          <w:numId w:val="0"/>
        </w:numPr>
        <w:ind w:left="714" w:hanging="357"/>
        <w:rPr>
          <w:rFonts w:cs="Arial"/>
          <w:szCs w:val="24"/>
        </w:rPr>
      </w:pPr>
      <w:r w:rsidRPr="00982FB0">
        <w:rPr>
          <w:szCs w:val="24"/>
        </w:rPr>
        <w:t>(b)</w:t>
      </w:r>
      <w:r w:rsidRPr="00982FB0">
        <w:rPr>
          <w:szCs w:val="24"/>
        </w:rPr>
        <w:tab/>
      </w:r>
      <w:r w:rsidR="00C90F67" w:rsidRPr="001B4B65">
        <w:rPr>
          <w:rFonts w:cs="Arial"/>
          <w:szCs w:val="24"/>
          <w:shd w:val="clear" w:color="auto" w:fill="FFFFFF"/>
        </w:rPr>
        <w:t>The Respondent is ordered and directed to issue the</w:t>
      </w:r>
      <w:r w:rsidR="00560966">
        <w:rPr>
          <w:rFonts w:cs="Arial"/>
          <w:szCs w:val="24"/>
          <w:shd w:val="clear" w:color="auto" w:fill="FFFFFF"/>
        </w:rPr>
        <w:t xml:space="preserve"> First </w:t>
      </w:r>
      <w:r w:rsidR="00C90F67" w:rsidRPr="001B4B65">
        <w:rPr>
          <w:rFonts w:cs="Arial"/>
          <w:szCs w:val="24"/>
          <w:shd w:val="clear" w:color="auto" w:fill="FFFFFF"/>
        </w:rPr>
        <w:t xml:space="preserve"> </w:t>
      </w:r>
      <w:r w:rsidR="00560966">
        <w:rPr>
          <w:rFonts w:cs="Arial"/>
          <w:szCs w:val="24"/>
          <w:shd w:val="clear" w:color="auto" w:fill="FFFFFF"/>
        </w:rPr>
        <w:t>A</w:t>
      </w:r>
      <w:r w:rsidR="00C90F67" w:rsidRPr="001B4B65">
        <w:rPr>
          <w:rFonts w:cs="Arial"/>
          <w:szCs w:val="24"/>
          <w:shd w:val="clear" w:color="auto" w:fill="FFFFFF"/>
        </w:rPr>
        <w:t>pplicant with full and itemised particulars of the amounts which became due for payment in respect of municipal service fees, surcharges on fees, property rates</w:t>
      </w:r>
      <w:r w:rsidR="008C63A2" w:rsidRPr="001B4B65">
        <w:rPr>
          <w:rFonts w:cs="Arial"/>
          <w:szCs w:val="24"/>
          <w:shd w:val="clear" w:color="auto" w:fill="FFFFFF"/>
        </w:rPr>
        <w:t>,</w:t>
      </w:r>
      <w:r w:rsidR="00C90F67" w:rsidRPr="001B4B65">
        <w:rPr>
          <w:rFonts w:cs="Arial"/>
          <w:szCs w:val="24"/>
          <w:shd w:val="clear" w:color="auto" w:fill="FFFFFF"/>
        </w:rPr>
        <w:t xml:space="preserve"> and other municipal taxes, levies</w:t>
      </w:r>
      <w:r w:rsidR="008C63A2" w:rsidRPr="001B4B65">
        <w:rPr>
          <w:rFonts w:cs="Arial"/>
          <w:szCs w:val="24"/>
          <w:shd w:val="clear" w:color="auto" w:fill="FFFFFF"/>
        </w:rPr>
        <w:t>,</w:t>
      </w:r>
      <w:r w:rsidR="00C90F67" w:rsidRPr="001B4B65">
        <w:rPr>
          <w:rFonts w:cs="Arial"/>
          <w:szCs w:val="24"/>
          <w:shd w:val="clear" w:color="auto" w:fill="FFFFFF"/>
        </w:rPr>
        <w:t xml:space="preserve"> and duties (and which remain unpaid) for a period of </w:t>
      </w:r>
      <w:r w:rsidR="00C90F67" w:rsidRPr="001B4B65">
        <w:rPr>
          <w:rFonts w:cs="Arial"/>
          <w:szCs w:val="24"/>
          <w:shd w:val="clear" w:color="auto" w:fill="FFFFFF"/>
        </w:rPr>
        <w:lastRenderedPageBreak/>
        <w:t xml:space="preserve">two years prior to the date of the request in respect of </w:t>
      </w:r>
      <w:r w:rsidR="002B6E16" w:rsidRPr="001B4B65">
        <w:rPr>
          <w:rFonts w:cs="Arial"/>
          <w:szCs w:val="24"/>
          <w:shd w:val="clear" w:color="auto" w:fill="FFFFFF"/>
        </w:rPr>
        <w:t>account numbers(s) 5003804877 and/or 5015417216</w:t>
      </w:r>
      <w:r w:rsidR="00C90F67" w:rsidRPr="001B4B65">
        <w:rPr>
          <w:rFonts w:cs="Arial"/>
          <w:szCs w:val="24"/>
          <w:shd w:val="clear" w:color="auto" w:fill="FFFFFF"/>
        </w:rPr>
        <w:t xml:space="preserve"> ow</w:t>
      </w:r>
      <w:r w:rsidR="00197C38">
        <w:rPr>
          <w:rFonts w:cs="Arial"/>
          <w:szCs w:val="24"/>
          <w:shd w:val="clear" w:color="auto" w:fill="FFFFFF"/>
        </w:rPr>
        <w:t>ed</w:t>
      </w:r>
      <w:r w:rsidR="00C90F67" w:rsidRPr="001B4B65">
        <w:rPr>
          <w:rFonts w:cs="Arial"/>
          <w:szCs w:val="24"/>
          <w:shd w:val="clear" w:color="auto" w:fill="FFFFFF"/>
        </w:rPr>
        <w:t xml:space="preserve"> by the </w:t>
      </w:r>
      <w:r w:rsidR="00360870" w:rsidRPr="001B4B65">
        <w:rPr>
          <w:rFonts w:cs="Arial"/>
          <w:szCs w:val="24"/>
          <w:shd w:val="clear" w:color="auto" w:fill="FFFFFF"/>
        </w:rPr>
        <w:t>First A</w:t>
      </w:r>
      <w:r w:rsidR="00C90F67" w:rsidRPr="001B4B65">
        <w:rPr>
          <w:rFonts w:cs="Arial"/>
          <w:szCs w:val="24"/>
          <w:shd w:val="clear" w:color="auto" w:fill="FFFFFF"/>
        </w:rPr>
        <w:t>pplicant</w:t>
      </w:r>
      <w:r w:rsidR="002B6E16" w:rsidRPr="001B4B65">
        <w:rPr>
          <w:rFonts w:cs="Arial"/>
          <w:szCs w:val="24"/>
          <w:shd w:val="clear" w:color="auto" w:fill="FFFFFF"/>
        </w:rPr>
        <w:t xml:space="preserve"> excluding the </w:t>
      </w:r>
      <w:r w:rsidR="00197C38">
        <w:rPr>
          <w:rFonts w:cs="Arial"/>
          <w:szCs w:val="24"/>
          <w:shd w:val="clear" w:color="auto" w:fill="FFFFFF"/>
        </w:rPr>
        <w:t>historical debt</w:t>
      </w:r>
      <w:r w:rsidR="002B6E16" w:rsidRPr="001B4B65">
        <w:rPr>
          <w:rFonts w:cs="Arial"/>
          <w:szCs w:val="24"/>
          <w:shd w:val="clear" w:color="auto" w:fill="FFFFFF"/>
        </w:rPr>
        <w:t xml:space="preserve"> of R2 454 297.91 within 30 (thirty) days of the order granted by this Court.</w:t>
      </w:r>
    </w:p>
    <w:p w14:paraId="5302A90A" w14:textId="5ACEE68C" w:rsidR="002B6E16" w:rsidRPr="00982FB0" w:rsidRDefault="00F0006B" w:rsidP="00F0006B">
      <w:pPr>
        <w:pStyle w:val="2"/>
        <w:numPr>
          <w:ilvl w:val="0"/>
          <w:numId w:val="0"/>
        </w:numPr>
        <w:ind w:left="714" w:hanging="357"/>
        <w:rPr>
          <w:rFonts w:cs="Arial"/>
          <w:szCs w:val="24"/>
        </w:rPr>
      </w:pPr>
      <w:r w:rsidRPr="00982FB0">
        <w:rPr>
          <w:szCs w:val="24"/>
        </w:rPr>
        <w:t>(c)</w:t>
      </w:r>
      <w:r w:rsidRPr="00982FB0">
        <w:rPr>
          <w:szCs w:val="24"/>
        </w:rPr>
        <w:tab/>
      </w:r>
      <w:r w:rsidR="002B6E16" w:rsidRPr="001B4B65">
        <w:rPr>
          <w:rFonts w:eastAsia="Times New Roman" w:cs="Arial"/>
          <w:iCs w:val="0"/>
          <w:szCs w:val="24"/>
          <w:shd w:val="clear" w:color="auto" w:fill="FFFFFF"/>
          <w:lang w:eastAsia="en-ZA" w:bidi="ar-SA"/>
        </w:rPr>
        <w:t>The Respondent is ordered and directed, on receipt of payment of such sum tendered specifically for the purpose of discharging that indebtedness, to issue to the applicant a certificate as contemplated in section 118(1) of the systems Act within 7 (seven) days of the order granted by this Court.</w:t>
      </w:r>
    </w:p>
    <w:p w14:paraId="68A66514" w14:textId="72C3C0F8" w:rsidR="002B6E16" w:rsidRPr="00982FB0" w:rsidRDefault="00F0006B" w:rsidP="00F0006B">
      <w:pPr>
        <w:pStyle w:val="2"/>
        <w:numPr>
          <w:ilvl w:val="0"/>
          <w:numId w:val="0"/>
        </w:numPr>
        <w:ind w:left="714" w:hanging="357"/>
        <w:rPr>
          <w:rFonts w:cs="Arial"/>
          <w:szCs w:val="24"/>
        </w:rPr>
      </w:pPr>
      <w:r w:rsidRPr="00982FB0">
        <w:rPr>
          <w:szCs w:val="24"/>
        </w:rPr>
        <w:t>(d)</w:t>
      </w:r>
      <w:r w:rsidRPr="00982FB0">
        <w:rPr>
          <w:szCs w:val="24"/>
        </w:rPr>
        <w:tab/>
      </w:r>
      <w:r w:rsidR="002B6E16" w:rsidRPr="001B4B65">
        <w:rPr>
          <w:rFonts w:eastAsia="Times New Roman" w:cs="Arial"/>
          <w:iCs w:val="0"/>
          <w:szCs w:val="24"/>
          <w:shd w:val="clear" w:color="auto" w:fill="FFFFFF"/>
          <w:lang w:eastAsia="en-ZA" w:bidi="ar-SA"/>
        </w:rPr>
        <w:t xml:space="preserve">The Respondent is ordered and directed to resolve the dispute(s) which form(s) the subject of this application within 60 (sixty) </w:t>
      </w:r>
      <w:r w:rsidR="008C63A2" w:rsidRPr="001B4B65">
        <w:rPr>
          <w:rFonts w:eastAsia="Times New Roman" w:cs="Arial"/>
          <w:iCs w:val="0"/>
          <w:szCs w:val="24"/>
          <w:shd w:val="clear" w:color="auto" w:fill="FFFFFF"/>
          <w:lang w:eastAsia="en-ZA" w:bidi="ar-SA"/>
        </w:rPr>
        <w:t>calendar</w:t>
      </w:r>
      <w:r w:rsidR="002B6E16" w:rsidRPr="001B4B65">
        <w:rPr>
          <w:rFonts w:eastAsia="Times New Roman" w:cs="Arial"/>
          <w:iCs w:val="0"/>
          <w:szCs w:val="24"/>
          <w:shd w:val="clear" w:color="auto" w:fill="FFFFFF"/>
          <w:lang w:eastAsia="en-ZA" w:bidi="ar-SA"/>
        </w:rPr>
        <w:t xml:space="preserve"> </w:t>
      </w:r>
      <w:r w:rsidR="008C63A2" w:rsidRPr="001B4B65">
        <w:rPr>
          <w:rFonts w:eastAsia="Times New Roman" w:cs="Arial"/>
          <w:iCs w:val="0"/>
          <w:szCs w:val="24"/>
          <w:shd w:val="clear" w:color="auto" w:fill="FFFFFF"/>
          <w:lang w:eastAsia="en-ZA" w:bidi="ar-SA"/>
        </w:rPr>
        <w:t xml:space="preserve">days of the date of granting this order, and to provide such resolution by way of </w:t>
      </w:r>
      <w:r w:rsidR="00485DB7" w:rsidRPr="001B4B65">
        <w:rPr>
          <w:rFonts w:eastAsia="Times New Roman" w:cs="Arial"/>
          <w:iCs w:val="0"/>
          <w:szCs w:val="24"/>
          <w:shd w:val="clear" w:color="auto" w:fill="FFFFFF"/>
          <w:lang w:eastAsia="en-ZA" w:bidi="ar-SA"/>
        </w:rPr>
        <w:t xml:space="preserve">an </w:t>
      </w:r>
      <w:r w:rsidR="008C63A2" w:rsidRPr="001B4B65">
        <w:rPr>
          <w:rFonts w:eastAsia="Times New Roman" w:cs="Arial"/>
          <w:iCs w:val="0"/>
          <w:szCs w:val="24"/>
          <w:shd w:val="clear" w:color="auto" w:fill="FFFFFF"/>
          <w:lang w:eastAsia="en-ZA" w:bidi="ar-SA"/>
        </w:rPr>
        <w:t>affidavit to be transmitted to the First Applicant’s attorneys of record.</w:t>
      </w:r>
    </w:p>
    <w:p w14:paraId="0C4724DC" w14:textId="1D20149E" w:rsidR="008C63A2" w:rsidRPr="00982FB0" w:rsidRDefault="00F0006B" w:rsidP="00F0006B">
      <w:pPr>
        <w:pStyle w:val="2"/>
        <w:numPr>
          <w:ilvl w:val="0"/>
          <w:numId w:val="0"/>
        </w:numPr>
        <w:ind w:left="714" w:hanging="357"/>
        <w:rPr>
          <w:rFonts w:cs="Arial"/>
          <w:szCs w:val="24"/>
        </w:rPr>
      </w:pPr>
      <w:r w:rsidRPr="00982FB0">
        <w:rPr>
          <w:szCs w:val="24"/>
        </w:rPr>
        <w:t>(e)</w:t>
      </w:r>
      <w:r w:rsidRPr="00982FB0">
        <w:rPr>
          <w:szCs w:val="24"/>
        </w:rPr>
        <w:tab/>
      </w:r>
      <w:r w:rsidR="008C63A2" w:rsidRPr="001B4B65">
        <w:rPr>
          <w:rFonts w:eastAsia="Times New Roman" w:cs="Arial"/>
          <w:iCs w:val="0"/>
          <w:szCs w:val="24"/>
          <w:shd w:val="clear" w:color="auto" w:fill="FFFFFF"/>
          <w:lang w:eastAsia="en-ZA" w:bidi="ar-SA"/>
        </w:rPr>
        <w:t xml:space="preserve">That, upon receipt of the resolution of the dispute, the First Applicant </w:t>
      </w:r>
      <w:r w:rsidR="00485DB7" w:rsidRPr="001B4B65">
        <w:rPr>
          <w:rFonts w:eastAsia="Times New Roman" w:cs="Arial"/>
          <w:iCs w:val="0"/>
          <w:szCs w:val="24"/>
          <w:shd w:val="clear" w:color="auto" w:fill="FFFFFF"/>
          <w:lang w:eastAsia="en-ZA" w:bidi="ar-SA"/>
        </w:rPr>
        <w:t xml:space="preserve">is </w:t>
      </w:r>
      <w:r w:rsidR="008C63A2" w:rsidRPr="001B4B65">
        <w:rPr>
          <w:rFonts w:eastAsia="Times New Roman" w:cs="Arial"/>
          <w:iCs w:val="0"/>
          <w:szCs w:val="24"/>
          <w:shd w:val="clear" w:color="auto" w:fill="FFFFFF"/>
          <w:lang w:eastAsia="en-ZA" w:bidi="ar-SA"/>
        </w:rPr>
        <w:t xml:space="preserve">afforded 30 (thirty) calendar days within which to launch appropriate legal proceedings to impugn the resolution, if necessary. </w:t>
      </w:r>
    </w:p>
    <w:p w14:paraId="24C599F2" w14:textId="59E0B8D8" w:rsidR="008C63A2" w:rsidRPr="00982FB0" w:rsidRDefault="00F0006B" w:rsidP="00F0006B">
      <w:pPr>
        <w:pStyle w:val="2"/>
        <w:numPr>
          <w:ilvl w:val="0"/>
          <w:numId w:val="0"/>
        </w:numPr>
        <w:ind w:left="714" w:hanging="357"/>
        <w:rPr>
          <w:rFonts w:cs="Arial"/>
          <w:szCs w:val="24"/>
        </w:rPr>
      </w:pPr>
      <w:r w:rsidRPr="00982FB0">
        <w:rPr>
          <w:szCs w:val="24"/>
        </w:rPr>
        <w:t>(f)</w:t>
      </w:r>
      <w:r w:rsidRPr="00982FB0">
        <w:rPr>
          <w:szCs w:val="24"/>
        </w:rPr>
        <w:tab/>
      </w:r>
      <w:r w:rsidR="008C63A2" w:rsidRPr="001B4B65">
        <w:rPr>
          <w:rFonts w:eastAsia="Times New Roman" w:cs="Arial"/>
          <w:iCs w:val="0"/>
          <w:szCs w:val="24"/>
          <w:shd w:val="clear" w:color="auto" w:fill="FFFFFF"/>
          <w:lang w:eastAsia="en-ZA" w:bidi="ar-SA"/>
        </w:rPr>
        <w:t xml:space="preserve">Should the First Applicant fail to launch legal proceedings as contemplated in paragraph (e), the amount found to be due in the resolution is to be paid over to the Respondent within 7 (seven) days of the expiry of </w:t>
      </w:r>
      <w:r w:rsidR="00485DB7" w:rsidRPr="001B4B65">
        <w:rPr>
          <w:rFonts w:eastAsia="Times New Roman" w:cs="Arial"/>
          <w:iCs w:val="0"/>
          <w:szCs w:val="24"/>
          <w:shd w:val="clear" w:color="auto" w:fill="FFFFFF"/>
          <w:lang w:eastAsia="en-ZA" w:bidi="ar-SA"/>
        </w:rPr>
        <w:t xml:space="preserve">the </w:t>
      </w:r>
      <w:r w:rsidR="008C63A2" w:rsidRPr="001B4B65">
        <w:rPr>
          <w:rFonts w:eastAsia="Times New Roman" w:cs="Arial"/>
          <w:iCs w:val="0"/>
          <w:szCs w:val="24"/>
          <w:shd w:val="clear" w:color="auto" w:fill="FFFFFF"/>
          <w:lang w:eastAsia="en-ZA" w:bidi="ar-SA"/>
        </w:rPr>
        <w:t>period in paragraph (d).</w:t>
      </w:r>
    </w:p>
    <w:p w14:paraId="315E1FC8" w14:textId="244A8518" w:rsidR="00943484" w:rsidRPr="00982FB0" w:rsidRDefault="00F0006B" w:rsidP="00F0006B">
      <w:pPr>
        <w:pStyle w:val="2"/>
        <w:numPr>
          <w:ilvl w:val="0"/>
          <w:numId w:val="0"/>
        </w:numPr>
        <w:ind w:left="714" w:hanging="357"/>
        <w:rPr>
          <w:rFonts w:cs="Arial"/>
          <w:szCs w:val="24"/>
        </w:rPr>
      </w:pPr>
      <w:r w:rsidRPr="00982FB0">
        <w:rPr>
          <w:szCs w:val="24"/>
        </w:rPr>
        <w:t>(g)</w:t>
      </w:r>
      <w:r w:rsidRPr="00982FB0">
        <w:rPr>
          <w:szCs w:val="24"/>
        </w:rPr>
        <w:tab/>
      </w:r>
      <w:r w:rsidR="003A29B7" w:rsidRPr="00982FB0">
        <w:rPr>
          <w:rFonts w:cs="Arial"/>
          <w:szCs w:val="24"/>
        </w:rPr>
        <w:t xml:space="preserve">The </w:t>
      </w:r>
      <w:r w:rsidR="008C63A2" w:rsidRPr="00982FB0">
        <w:rPr>
          <w:rFonts w:cs="Arial"/>
          <w:szCs w:val="24"/>
        </w:rPr>
        <w:t>Respondent</w:t>
      </w:r>
      <w:r w:rsidR="007F0E72" w:rsidRPr="00982FB0">
        <w:rPr>
          <w:rFonts w:cs="Arial"/>
          <w:szCs w:val="24"/>
        </w:rPr>
        <w:t xml:space="preserve"> </w:t>
      </w:r>
      <w:r w:rsidR="003A29B7" w:rsidRPr="00982FB0">
        <w:rPr>
          <w:rFonts w:cs="Arial"/>
          <w:szCs w:val="24"/>
        </w:rPr>
        <w:t>is ordered to pay</w:t>
      </w:r>
      <w:r w:rsidR="000A65EF" w:rsidRPr="00982FB0">
        <w:rPr>
          <w:rFonts w:cs="Arial"/>
          <w:szCs w:val="24"/>
        </w:rPr>
        <w:t xml:space="preserve"> the costs of this application</w:t>
      </w:r>
      <w:r w:rsidR="008C63A2" w:rsidRPr="00982FB0">
        <w:rPr>
          <w:rFonts w:cs="Arial"/>
          <w:szCs w:val="24"/>
        </w:rPr>
        <w:t xml:space="preserve"> on an attorney and client scale</w:t>
      </w:r>
      <w:r w:rsidR="004E3F1C" w:rsidRPr="00982FB0">
        <w:rPr>
          <w:rFonts w:cs="Arial"/>
          <w:szCs w:val="24"/>
        </w:rPr>
        <w:t>.</w:t>
      </w:r>
    </w:p>
    <w:p w14:paraId="7C6057B2" w14:textId="77777777" w:rsidR="00DB1349" w:rsidRDefault="00DB1349" w:rsidP="008D0965">
      <w:pPr>
        <w:spacing w:line="360" w:lineRule="auto"/>
        <w:rPr>
          <w:rFonts w:cs="Arial"/>
          <w:bCs/>
          <w:szCs w:val="24"/>
        </w:rPr>
      </w:pPr>
    </w:p>
    <w:p w14:paraId="02F60F35" w14:textId="1AAF8E57" w:rsidR="00F35C80" w:rsidRPr="001B4B65" w:rsidRDefault="00F35C80" w:rsidP="008D0965">
      <w:pPr>
        <w:spacing w:line="360" w:lineRule="auto"/>
        <w:rPr>
          <w:rFonts w:cs="Arial"/>
          <w:bCs/>
          <w:szCs w:val="24"/>
        </w:rPr>
      </w:pPr>
    </w:p>
    <w:p w14:paraId="34B205AC" w14:textId="11E1C168" w:rsidR="00F35C80" w:rsidRPr="001B4B65" w:rsidRDefault="00F35C80" w:rsidP="00802CEA">
      <w:pPr>
        <w:rPr>
          <w:rFonts w:cs="Arial"/>
          <w:bCs/>
          <w:szCs w:val="24"/>
        </w:rPr>
      </w:pPr>
    </w:p>
    <w:p w14:paraId="2C9071C7" w14:textId="6901C6AD" w:rsidR="00715DD7" w:rsidRPr="00982FB0" w:rsidRDefault="00E72F07" w:rsidP="001B4B65">
      <w:pPr>
        <w:jc w:val="right"/>
        <w:rPr>
          <w:rFonts w:cs="Arial"/>
          <w:b/>
          <w:bCs/>
          <w:szCs w:val="24"/>
        </w:rPr>
      </w:pPr>
      <w:r w:rsidRPr="00982FB0">
        <w:rPr>
          <w:rFonts w:cs="Arial"/>
          <w:b/>
          <w:bCs/>
          <w:szCs w:val="24"/>
        </w:rPr>
        <w:t>_____________</w:t>
      </w:r>
      <w:r w:rsidR="003D6800">
        <w:rPr>
          <w:rFonts w:cs="Arial"/>
          <w:b/>
          <w:bCs/>
          <w:szCs w:val="24"/>
        </w:rPr>
        <w:t>_</w:t>
      </w:r>
      <w:r w:rsidR="00014741">
        <w:rPr>
          <w:rFonts w:cs="Arial"/>
          <w:b/>
          <w:bCs/>
          <w:szCs w:val="24"/>
        </w:rPr>
        <w:t>_______</w:t>
      </w:r>
    </w:p>
    <w:p w14:paraId="3BEDC1AF" w14:textId="147920D3" w:rsidR="00450A5A" w:rsidRPr="00982FB0" w:rsidRDefault="003D6800" w:rsidP="00DB1349">
      <w:pPr>
        <w:tabs>
          <w:tab w:val="right" w:pos="9026"/>
        </w:tabs>
        <w:spacing w:line="360" w:lineRule="auto"/>
        <w:rPr>
          <w:rFonts w:cs="Arial"/>
          <w:b/>
          <w:bCs/>
          <w:szCs w:val="24"/>
        </w:rPr>
      </w:pPr>
      <w:r>
        <w:rPr>
          <w:rFonts w:cs="Arial"/>
          <w:b/>
          <w:bCs/>
          <w:szCs w:val="24"/>
        </w:rPr>
        <w:tab/>
      </w:r>
      <w:r w:rsidR="009D7C31" w:rsidRPr="00982FB0">
        <w:rPr>
          <w:rFonts w:cs="Arial"/>
          <w:b/>
          <w:bCs/>
          <w:szCs w:val="24"/>
        </w:rPr>
        <w:t xml:space="preserve">M R </w:t>
      </w:r>
      <w:r w:rsidR="0037234E" w:rsidRPr="00982FB0">
        <w:rPr>
          <w:rFonts w:cs="Arial"/>
          <w:b/>
          <w:bCs/>
          <w:szCs w:val="24"/>
        </w:rPr>
        <w:t>PHOOKO</w:t>
      </w:r>
    </w:p>
    <w:p w14:paraId="70FFAA90" w14:textId="7F6ED72E" w:rsidR="002D6816" w:rsidRPr="00DB1349" w:rsidRDefault="00E72F07" w:rsidP="00DB1349">
      <w:pPr>
        <w:tabs>
          <w:tab w:val="right" w:pos="9026"/>
        </w:tabs>
        <w:spacing w:line="360" w:lineRule="auto"/>
        <w:ind w:left="6521" w:hanging="1843"/>
        <w:rPr>
          <w:rFonts w:cs="Arial"/>
          <w:bCs/>
          <w:szCs w:val="24"/>
        </w:rPr>
      </w:pPr>
      <w:r w:rsidRPr="00DB1349">
        <w:rPr>
          <w:rFonts w:cs="Arial"/>
          <w:bCs/>
          <w:szCs w:val="24"/>
        </w:rPr>
        <w:t xml:space="preserve">ACTING JUDGE </w:t>
      </w:r>
      <w:r w:rsidR="00DB1349" w:rsidRPr="00DB1349">
        <w:rPr>
          <w:rFonts w:cs="Arial"/>
          <w:bCs/>
          <w:szCs w:val="24"/>
        </w:rPr>
        <w:t xml:space="preserve">OF THE HIGH </w:t>
      </w:r>
      <w:r w:rsidRPr="00DB1349">
        <w:rPr>
          <w:rFonts w:cs="Arial"/>
          <w:bCs/>
          <w:szCs w:val="24"/>
        </w:rPr>
        <w:t>COURT</w:t>
      </w:r>
      <w:r w:rsidR="009D2E0D" w:rsidRPr="00DB1349">
        <w:rPr>
          <w:rFonts w:cs="Arial"/>
          <w:bCs/>
          <w:szCs w:val="24"/>
        </w:rPr>
        <w:t xml:space="preserve">, </w:t>
      </w:r>
      <w:r w:rsidR="009D7C31" w:rsidRPr="00DB1349">
        <w:rPr>
          <w:rFonts w:cs="Arial"/>
          <w:bCs/>
        </w:rPr>
        <w:t xml:space="preserve">DIVISION, </w:t>
      </w:r>
      <w:r w:rsidR="009D2E0D" w:rsidRPr="00DB1349">
        <w:rPr>
          <w:rFonts w:cs="Arial"/>
          <w:bCs/>
        </w:rPr>
        <w:t>PRETORIA</w:t>
      </w:r>
    </w:p>
    <w:p w14:paraId="1B3F468F" w14:textId="77777777" w:rsidR="002D6816" w:rsidRPr="00982FB0" w:rsidRDefault="002D6816" w:rsidP="0094103D">
      <w:pPr>
        <w:spacing w:line="360" w:lineRule="auto"/>
        <w:contextualSpacing/>
        <w:rPr>
          <w:rFonts w:cs="Arial"/>
          <w:b/>
          <w:bCs/>
        </w:rPr>
      </w:pPr>
    </w:p>
    <w:p w14:paraId="65829352" w14:textId="2C2603B7" w:rsidR="00BD277D" w:rsidRPr="00982FB0" w:rsidRDefault="00BD277D" w:rsidP="00BD277D">
      <w:pPr>
        <w:spacing w:after="200" w:line="360" w:lineRule="auto"/>
        <w:contextualSpacing/>
        <w:rPr>
          <w:rFonts w:eastAsia="Arial Unicode MS" w:cs="Arial"/>
          <w:bCs/>
          <w:szCs w:val="24"/>
          <w:lang w:eastAsia="zh-CN"/>
        </w:rPr>
      </w:pPr>
      <w:r w:rsidRPr="00982FB0">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w:t>
      </w:r>
      <w:r w:rsidR="004E19FE" w:rsidRPr="00982FB0">
        <w:rPr>
          <w:rFonts w:eastAsia="Arial Unicode MS" w:cs="Arial"/>
          <w:bCs/>
          <w:szCs w:val="24"/>
          <w:lang w:eastAsia="zh-CN"/>
        </w:rPr>
        <w:t>da</w:t>
      </w:r>
      <w:r w:rsidR="0069259A" w:rsidRPr="00982FB0">
        <w:rPr>
          <w:rFonts w:eastAsia="Arial Unicode MS" w:cs="Arial"/>
          <w:bCs/>
          <w:szCs w:val="24"/>
          <w:lang w:eastAsia="zh-CN"/>
        </w:rPr>
        <w:t xml:space="preserve">te for hand-down is deemed to </w:t>
      </w:r>
      <w:r w:rsidR="00F35C80" w:rsidRPr="00982FB0">
        <w:rPr>
          <w:rFonts w:eastAsia="Arial Unicode MS" w:cs="Arial"/>
          <w:bCs/>
          <w:szCs w:val="24"/>
          <w:lang w:eastAsia="zh-CN"/>
        </w:rPr>
        <w:t>be</w:t>
      </w:r>
      <w:r w:rsidR="004E3F1C" w:rsidRPr="00982FB0">
        <w:rPr>
          <w:rFonts w:eastAsia="Arial Unicode MS" w:cs="Arial"/>
          <w:bCs/>
          <w:szCs w:val="24"/>
          <w:lang w:eastAsia="zh-CN"/>
        </w:rPr>
        <w:t xml:space="preserve"> </w:t>
      </w:r>
      <w:r w:rsidR="00B43253">
        <w:rPr>
          <w:rFonts w:eastAsia="Arial Unicode MS" w:cs="Arial"/>
          <w:bCs/>
          <w:szCs w:val="24"/>
          <w:lang w:eastAsia="zh-CN"/>
        </w:rPr>
        <w:t>1</w:t>
      </w:r>
      <w:r w:rsidR="00B61A38">
        <w:rPr>
          <w:rFonts w:eastAsia="Arial Unicode MS" w:cs="Arial"/>
          <w:bCs/>
          <w:szCs w:val="24"/>
          <w:lang w:eastAsia="zh-CN"/>
        </w:rPr>
        <w:t>0</w:t>
      </w:r>
      <w:r w:rsidR="000A65EF" w:rsidRPr="00982FB0">
        <w:rPr>
          <w:rFonts w:eastAsia="Arial Unicode MS" w:cs="Arial"/>
          <w:bCs/>
          <w:szCs w:val="24"/>
          <w:lang w:eastAsia="zh-CN"/>
        </w:rPr>
        <w:t xml:space="preserve"> </w:t>
      </w:r>
      <w:r w:rsidR="000A7D0E" w:rsidRPr="00982FB0">
        <w:rPr>
          <w:rFonts w:eastAsia="Arial Unicode MS" w:cs="Arial"/>
          <w:bCs/>
          <w:szCs w:val="24"/>
          <w:lang w:eastAsia="zh-CN"/>
        </w:rPr>
        <w:t>August</w:t>
      </w:r>
      <w:r w:rsidR="00D95433" w:rsidRPr="00982FB0">
        <w:rPr>
          <w:rFonts w:eastAsia="Arial Unicode MS" w:cs="Arial"/>
          <w:bCs/>
          <w:szCs w:val="24"/>
          <w:lang w:eastAsia="zh-CN"/>
        </w:rPr>
        <w:t xml:space="preserve"> </w:t>
      </w:r>
      <w:r w:rsidRPr="00982FB0">
        <w:rPr>
          <w:rFonts w:eastAsia="Arial Unicode MS" w:cs="Arial"/>
          <w:bCs/>
          <w:szCs w:val="24"/>
          <w:lang w:eastAsia="zh-CN"/>
        </w:rPr>
        <w:t>202</w:t>
      </w:r>
      <w:r w:rsidR="00103419" w:rsidRPr="00982FB0">
        <w:rPr>
          <w:rFonts w:eastAsia="Arial Unicode MS" w:cs="Arial"/>
          <w:bCs/>
          <w:szCs w:val="24"/>
          <w:lang w:eastAsia="zh-CN"/>
        </w:rPr>
        <w:t>3</w:t>
      </w:r>
      <w:r w:rsidRPr="00982FB0">
        <w:rPr>
          <w:rFonts w:eastAsia="Arial Unicode MS" w:cs="Arial"/>
          <w:bCs/>
          <w:szCs w:val="24"/>
          <w:lang w:eastAsia="zh-CN"/>
        </w:rPr>
        <w:t>.</w:t>
      </w:r>
    </w:p>
    <w:p w14:paraId="0503BAC7" w14:textId="77777777" w:rsidR="006E26D4" w:rsidRPr="00982FB0" w:rsidRDefault="006E26D4" w:rsidP="00BD277D">
      <w:pPr>
        <w:spacing w:after="200" w:line="360" w:lineRule="auto"/>
        <w:contextualSpacing/>
        <w:rPr>
          <w:rFonts w:eastAsia="Arial Unicode MS" w:cs="Arial"/>
          <w:bCs/>
          <w:szCs w:val="24"/>
          <w:lang w:eastAsia="zh-CN"/>
        </w:rPr>
      </w:pPr>
    </w:p>
    <w:p w14:paraId="76DB24C4" w14:textId="77777777" w:rsidR="00FA1702" w:rsidRPr="00982FB0" w:rsidRDefault="00FA1702" w:rsidP="00972022">
      <w:pPr>
        <w:rPr>
          <w:rFonts w:cs="Arial"/>
          <w:b/>
        </w:rPr>
      </w:pPr>
      <w:r w:rsidRPr="00982FB0">
        <w:rPr>
          <w:rFonts w:cs="Arial"/>
          <w:b/>
        </w:rPr>
        <w:t>APPEARANCES:</w:t>
      </w:r>
    </w:p>
    <w:p w14:paraId="501E7B46" w14:textId="77777777" w:rsidR="00FA1702" w:rsidRPr="00982FB0" w:rsidRDefault="00FA1702" w:rsidP="00972022">
      <w:pPr>
        <w:rPr>
          <w:rFonts w:cs="Arial"/>
        </w:rPr>
      </w:pPr>
    </w:p>
    <w:p w14:paraId="3C6C00E0" w14:textId="0FB16564" w:rsidR="00136023" w:rsidRPr="00982FB0" w:rsidRDefault="00AF2EE8" w:rsidP="0024263E">
      <w:pPr>
        <w:rPr>
          <w:rFonts w:cs="Arial"/>
        </w:rPr>
      </w:pPr>
      <w:r w:rsidRPr="00982FB0">
        <w:rPr>
          <w:rFonts w:cs="Arial"/>
        </w:rPr>
        <w:t>Counsel for the</w:t>
      </w:r>
      <w:r w:rsidR="00E130E0" w:rsidRPr="00982FB0">
        <w:rPr>
          <w:rFonts w:cs="Arial"/>
        </w:rPr>
        <w:t xml:space="preserve"> </w:t>
      </w:r>
      <w:r w:rsidR="004D74CF" w:rsidRPr="00982FB0">
        <w:rPr>
          <w:rFonts w:cs="Arial"/>
        </w:rPr>
        <w:t>Applicants</w:t>
      </w:r>
      <w:r w:rsidRPr="00982FB0">
        <w:rPr>
          <w:rFonts w:cs="Arial"/>
        </w:rPr>
        <w:t xml:space="preserve">:  </w:t>
      </w:r>
      <w:r w:rsidRPr="00982FB0">
        <w:rPr>
          <w:rFonts w:cs="Arial"/>
        </w:rPr>
        <w:tab/>
      </w:r>
      <w:r w:rsidR="00426B22" w:rsidRPr="00982FB0">
        <w:rPr>
          <w:rFonts w:cs="Arial"/>
        </w:rPr>
        <w:tab/>
      </w:r>
      <w:r w:rsidR="00942377" w:rsidRPr="00982FB0">
        <w:rPr>
          <w:rFonts w:cs="Arial"/>
        </w:rPr>
        <w:t>A</w:t>
      </w:r>
      <w:r w:rsidR="002C222A" w:rsidRPr="00982FB0">
        <w:rPr>
          <w:rFonts w:cs="Arial"/>
        </w:rPr>
        <w:t>dv</w:t>
      </w:r>
      <w:r w:rsidR="00327C69" w:rsidRPr="00982FB0">
        <w:rPr>
          <w:rFonts w:cs="Arial"/>
        </w:rPr>
        <w:t xml:space="preserve"> </w:t>
      </w:r>
      <w:r w:rsidR="004D74CF" w:rsidRPr="00982FB0">
        <w:rPr>
          <w:rFonts w:cs="Arial"/>
        </w:rPr>
        <w:t>N. Snellenburg SC &amp; Adv J.J. Buys</w:t>
      </w:r>
      <w:r w:rsidR="00426B22" w:rsidRPr="00982FB0">
        <w:rPr>
          <w:rFonts w:cs="Arial"/>
        </w:rPr>
        <w:t xml:space="preserve"> </w:t>
      </w:r>
    </w:p>
    <w:p w14:paraId="166A600D" w14:textId="77777777" w:rsidR="001B39AE" w:rsidRPr="00982FB0" w:rsidRDefault="001B39AE" w:rsidP="0024263E">
      <w:pPr>
        <w:rPr>
          <w:rFonts w:cs="Arial"/>
        </w:rPr>
      </w:pPr>
      <w:r w:rsidRPr="00982FB0">
        <w:rPr>
          <w:rFonts w:cs="Arial"/>
        </w:rPr>
        <w:tab/>
      </w:r>
      <w:r w:rsidRPr="00982FB0">
        <w:rPr>
          <w:rFonts w:cs="Arial"/>
        </w:rPr>
        <w:tab/>
      </w:r>
      <w:r w:rsidRPr="00982FB0">
        <w:rPr>
          <w:rFonts w:cs="Arial"/>
        </w:rPr>
        <w:tab/>
      </w:r>
      <w:r w:rsidRPr="00982FB0">
        <w:rPr>
          <w:rFonts w:cs="Arial"/>
        </w:rPr>
        <w:tab/>
      </w:r>
      <w:r w:rsidR="00024510" w:rsidRPr="00982FB0">
        <w:rPr>
          <w:rFonts w:cs="Arial"/>
        </w:rPr>
        <w:t xml:space="preserve"> </w:t>
      </w:r>
    </w:p>
    <w:p w14:paraId="09F3A1ED" w14:textId="3667434A" w:rsidR="00AF2EE8" w:rsidRPr="00982FB0" w:rsidRDefault="00F671BB" w:rsidP="00972022">
      <w:pPr>
        <w:rPr>
          <w:rFonts w:cs="Arial"/>
        </w:rPr>
      </w:pPr>
      <w:r w:rsidRPr="00982FB0">
        <w:rPr>
          <w:rFonts w:cs="Arial"/>
        </w:rPr>
        <w:t xml:space="preserve">Instructed by: </w:t>
      </w:r>
      <w:r w:rsidRPr="00982FB0">
        <w:rPr>
          <w:rFonts w:cs="Arial"/>
        </w:rPr>
        <w:tab/>
      </w:r>
      <w:r w:rsidR="0019727E" w:rsidRPr="00982FB0">
        <w:rPr>
          <w:rFonts w:cs="Arial"/>
        </w:rPr>
        <w:tab/>
      </w:r>
      <w:r w:rsidR="0019727E" w:rsidRPr="00982FB0">
        <w:rPr>
          <w:rFonts w:cs="Arial"/>
        </w:rPr>
        <w:tab/>
      </w:r>
      <w:r w:rsidR="005C6EFD" w:rsidRPr="00982FB0">
        <w:rPr>
          <w:rFonts w:cs="Arial"/>
        </w:rPr>
        <w:tab/>
      </w:r>
      <w:r w:rsidR="00CC415B" w:rsidRPr="00982FB0">
        <w:rPr>
          <w:rFonts w:cs="Arial"/>
        </w:rPr>
        <w:t xml:space="preserve">York </w:t>
      </w:r>
      <w:r w:rsidR="00303FC3" w:rsidRPr="00982FB0">
        <w:rPr>
          <w:rFonts w:cs="Arial"/>
        </w:rPr>
        <w:t>Attorneys</w:t>
      </w:r>
      <w:r w:rsidR="008A266D" w:rsidRPr="00982FB0">
        <w:rPr>
          <w:rFonts w:cs="Arial"/>
        </w:rPr>
        <w:t>’ INC</w:t>
      </w:r>
      <w:r w:rsidR="00303FC3" w:rsidRPr="00982FB0">
        <w:rPr>
          <w:rFonts w:cs="Arial"/>
        </w:rPr>
        <w:t xml:space="preserve"> </w:t>
      </w:r>
      <w:r w:rsidR="00426B22" w:rsidRPr="00982FB0">
        <w:rPr>
          <w:rFonts w:cs="Arial"/>
        </w:rPr>
        <w:t xml:space="preserve"> </w:t>
      </w:r>
    </w:p>
    <w:p w14:paraId="6297B459" w14:textId="77777777" w:rsidR="00614519" w:rsidRPr="00982FB0" w:rsidRDefault="00614519" w:rsidP="00972022">
      <w:pPr>
        <w:rPr>
          <w:rFonts w:cs="Arial"/>
        </w:rPr>
      </w:pPr>
      <w:r w:rsidRPr="00982FB0">
        <w:rPr>
          <w:rFonts w:cs="Arial"/>
        </w:rPr>
        <w:tab/>
      </w:r>
      <w:r w:rsidRPr="00982FB0">
        <w:rPr>
          <w:rFonts w:cs="Arial"/>
        </w:rPr>
        <w:tab/>
      </w:r>
      <w:r w:rsidRPr="00982FB0">
        <w:rPr>
          <w:rFonts w:cs="Arial"/>
        </w:rPr>
        <w:tab/>
      </w:r>
      <w:r w:rsidRPr="00982FB0">
        <w:rPr>
          <w:rFonts w:cs="Arial"/>
        </w:rPr>
        <w:tab/>
      </w:r>
      <w:r w:rsidRPr="00982FB0">
        <w:rPr>
          <w:rFonts w:cs="Arial"/>
        </w:rPr>
        <w:tab/>
      </w:r>
      <w:r w:rsidR="0019727E" w:rsidRPr="00982FB0">
        <w:rPr>
          <w:rFonts w:cs="Arial"/>
        </w:rPr>
        <w:t xml:space="preserve"> </w:t>
      </w:r>
    </w:p>
    <w:p w14:paraId="70EE9D76" w14:textId="77777777" w:rsidR="00942377" w:rsidRPr="00982FB0" w:rsidRDefault="001B39AE" w:rsidP="00972022">
      <w:pPr>
        <w:rPr>
          <w:rFonts w:cs="Arial"/>
        </w:rPr>
      </w:pPr>
      <w:r w:rsidRPr="00982FB0">
        <w:rPr>
          <w:rFonts w:cs="Arial"/>
        </w:rPr>
        <w:tab/>
      </w:r>
      <w:r w:rsidRPr="00982FB0">
        <w:rPr>
          <w:rFonts w:cs="Arial"/>
        </w:rPr>
        <w:tab/>
      </w:r>
      <w:r w:rsidRPr="00982FB0">
        <w:rPr>
          <w:rFonts w:cs="Arial"/>
        </w:rPr>
        <w:tab/>
      </w:r>
      <w:r w:rsidRPr="00982FB0">
        <w:rPr>
          <w:rFonts w:cs="Arial"/>
        </w:rPr>
        <w:tab/>
      </w:r>
    </w:p>
    <w:p w14:paraId="0D1B9DA0" w14:textId="66C750A5" w:rsidR="00AF2EE8" w:rsidRPr="00982FB0" w:rsidRDefault="00AF2EE8" w:rsidP="00972022">
      <w:pPr>
        <w:rPr>
          <w:rFonts w:cs="Arial"/>
        </w:rPr>
      </w:pPr>
      <w:r w:rsidRPr="00982FB0">
        <w:rPr>
          <w:rFonts w:cs="Arial"/>
        </w:rPr>
        <w:t>Counsel for t</w:t>
      </w:r>
      <w:r w:rsidR="00EA3C59" w:rsidRPr="00982FB0">
        <w:rPr>
          <w:rFonts w:cs="Arial"/>
        </w:rPr>
        <w:t xml:space="preserve">he </w:t>
      </w:r>
      <w:r w:rsidR="004D74CF" w:rsidRPr="00982FB0">
        <w:rPr>
          <w:rFonts w:cs="Arial"/>
        </w:rPr>
        <w:t>Respondent</w:t>
      </w:r>
      <w:r w:rsidRPr="00982FB0">
        <w:rPr>
          <w:rFonts w:cs="Arial"/>
        </w:rPr>
        <w:t>:</w:t>
      </w:r>
      <w:r w:rsidR="00EA3C59" w:rsidRPr="00982FB0">
        <w:rPr>
          <w:rFonts w:cs="Arial"/>
        </w:rPr>
        <w:tab/>
      </w:r>
      <w:r w:rsidR="00EA3C59" w:rsidRPr="00982FB0">
        <w:rPr>
          <w:rFonts w:cs="Arial"/>
        </w:rPr>
        <w:tab/>
        <w:t xml:space="preserve">Adv </w:t>
      </w:r>
      <w:r w:rsidR="004D74CF" w:rsidRPr="00982FB0">
        <w:rPr>
          <w:rFonts w:cs="Arial"/>
        </w:rPr>
        <w:t>K Mvubu</w:t>
      </w:r>
      <w:r w:rsidR="00BE605C" w:rsidRPr="00982FB0">
        <w:rPr>
          <w:rFonts w:cs="Arial"/>
        </w:rPr>
        <w:tab/>
      </w:r>
    </w:p>
    <w:p w14:paraId="777AAA02" w14:textId="77777777" w:rsidR="00136023" w:rsidRPr="00982FB0" w:rsidRDefault="00136023" w:rsidP="00972022">
      <w:pPr>
        <w:rPr>
          <w:rFonts w:cs="Arial"/>
        </w:rPr>
      </w:pPr>
    </w:p>
    <w:p w14:paraId="37D91958" w14:textId="7DF16ED1" w:rsidR="00D11170" w:rsidRPr="00982FB0" w:rsidRDefault="00F671BB" w:rsidP="00972022">
      <w:pPr>
        <w:rPr>
          <w:rFonts w:cs="Arial"/>
        </w:rPr>
      </w:pPr>
      <w:r w:rsidRPr="00982FB0">
        <w:rPr>
          <w:rFonts w:cs="Arial"/>
        </w:rPr>
        <w:t>Instructed by:</w:t>
      </w:r>
      <w:r w:rsidR="00614519" w:rsidRPr="00982FB0">
        <w:rPr>
          <w:rFonts w:cs="Arial"/>
        </w:rPr>
        <w:tab/>
      </w:r>
      <w:r w:rsidR="00614519" w:rsidRPr="00982FB0">
        <w:rPr>
          <w:rFonts w:cs="Arial"/>
        </w:rPr>
        <w:tab/>
      </w:r>
      <w:r w:rsidR="00614519" w:rsidRPr="00982FB0">
        <w:rPr>
          <w:rFonts w:cs="Arial"/>
        </w:rPr>
        <w:tab/>
      </w:r>
      <w:r w:rsidR="005C6EFD" w:rsidRPr="00982FB0">
        <w:rPr>
          <w:rFonts w:cs="Arial"/>
        </w:rPr>
        <w:tab/>
      </w:r>
      <w:r w:rsidR="008A266D" w:rsidRPr="00982FB0">
        <w:rPr>
          <w:rFonts w:cs="Arial"/>
        </w:rPr>
        <w:t>Lekhu Pilson</w:t>
      </w:r>
      <w:r w:rsidR="00EA3C59" w:rsidRPr="00982FB0">
        <w:rPr>
          <w:rFonts w:cs="Arial"/>
        </w:rPr>
        <w:t xml:space="preserve"> Attorneys</w:t>
      </w:r>
      <w:r w:rsidR="005C6EFD" w:rsidRPr="00982FB0">
        <w:rPr>
          <w:rFonts w:cs="Arial"/>
        </w:rPr>
        <w:t xml:space="preserve"> </w:t>
      </w:r>
    </w:p>
    <w:p w14:paraId="1EAE204F" w14:textId="77777777" w:rsidR="00614519" w:rsidRPr="00982FB0" w:rsidRDefault="00614519" w:rsidP="00E3375F">
      <w:pPr>
        <w:rPr>
          <w:rFonts w:cs="Arial"/>
        </w:rPr>
      </w:pPr>
    </w:p>
    <w:p w14:paraId="191A3A4A" w14:textId="77777777" w:rsidR="002C222A" w:rsidRPr="00982FB0" w:rsidRDefault="00024510" w:rsidP="0094103D">
      <w:pPr>
        <w:rPr>
          <w:rFonts w:cs="Arial"/>
        </w:rPr>
      </w:pPr>
      <w:r w:rsidRPr="00982FB0">
        <w:rPr>
          <w:rFonts w:cs="Arial"/>
        </w:rPr>
        <w:tab/>
      </w:r>
      <w:r w:rsidRPr="00982FB0">
        <w:rPr>
          <w:rFonts w:cs="Arial"/>
        </w:rPr>
        <w:tab/>
      </w:r>
      <w:r w:rsidRPr="00982FB0">
        <w:rPr>
          <w:rFonts w:cs="Arial"/>
        </w:rPr>
        <w:tab/>
      </w:r>
      <w:r w:rsidRPr="00982FB0">
        <w:rPr>
          <w:rFonts w:cs="Arial"/>
        </w:rPr>
        <w:tab/>
      </w:r>
      <w:r w:rsidRPr="00982FB0">
        <w:rPr>
          <w:rFonts w:cs="Arial"/>
        </w:rPr>
        <w:tab/>
        <w:t xml:space="preserve"> </w:t>
      </w:r>
      <w:r w:rsidR="0019727E" w:rsidRPr="00982FB0">
        <w:rPr>
          <w:rFonts w:cs="Arial"/>
        </w:rPr>
        <w:tab/>
      </w:r>
      <w:r w:rsidR="0019727E" w:rsidRPr="00982FB0">
        <w:rPr>
          <w:rFonts w:cs="Arial"/>
        </w:rPr>
        <w:tab/>
      </w:r>
      <w:r w:rsidR="0019727E" w:rsidRPr="00982FB0">
        <w:rPr>
          <w:rFonts w:cs="Arial"/>
        </w:rPr>
        <w:tab/>
      </w:r>
      <w:r w:rsidR="0019727E" w:rsidRPr="00982FB0">
        <w:rPr>
          <w:rFonts w:cs="Arial"/>
        </w:rPr>
        <w:tab/>
        <w:t xml:space="preserve"> </w:t>
      </w:r>
      <w:r w:rsidR="00614519" w:rsidRPr="00982FB0">
        <w:rPr>
          <w:rFonts w:cs="Arial"/>
        </w:rPr>
        <w:tab/>
      </w:r>
      <w:r w:rsidR="00614519" w:rsidRPr="00982FB0">
        <w:rPr>
          <w:rFonts w:cs="Arial"/>
        </w:rPr>
        <w:tab/>
      </w:r>
      <w:r w:rsidR="00614519" w:rsidRPr="00982FB0">
        <w:rPr>
          <w:rFonts w:cs="Arial"/>
        </w:rPr>
        <w:tab/>
      </w:r>
    </w:p>
    <w:p w14:paraId="1E3AD638" w14:textId="32E99D39" w:rsidR="002C222A" w:rsidRPr="00982FB0" w:rsidRDefault="002C222A" w:rsidP="00972022">
      <w:pPr>
        <w:rPr>
          <w:rFonts w:cs="Arial"/>
        </w:rPr>
      </w:pPr>
      <w:r w:rsidRPr="00982FB0">
        <w:rPr>
          <w:rFonts w:cs="Arial"/>
        </w:rPr>
        <w:t>Date of Hearing:</w:t>
      </w:r>
      <w:r w:rsidRPr="00982FB0">
        <w:rPr>
          <w:rFonts w:cs="Arial"/>
        </w:rPr>
        <w:tab/>
      </w:r>
      <w:r w:rsidRPr="00982FB0">
        <w:rPr>
          <w:rFonts w:cs="Arial"/>
        </w:rPr>
        <w:tab/>
      </w:r>
      <w:r w:rsidRPr="00982FB0">
        <w:rPr>
          <w:rFonts w:cs="Arial"/>
        </w:rPr>
        <w:tab/>
      </w:r>
      <w:r w:rsidR="005C6EFD" w:rsidRPr="00982FB0">
        <w:rPr>
          <w:rFonts w:cs="Arial"/>
        </w:rPr>
        <w:tab/>
      </w:r>
      <w:r w:rsidR="00474239" w:rsidRPr="00982FB0">
        <w:rPr>
          <w:rFonts w:cs="Arial"/>
        </w:rPr>
        <w:t>2</w:t>
      </w:r>
      <w:r w:rsidR="000A65EF" w:rsidRPr="00982FB0">
        <w:rPr>
          <w:rFonts w:cs="Arial"/>
        </w:rPr>
        <w:t xml:space="preserve"> May</w:t>
      </w:r>
      <w:r w:rsidRPr="00982FB0">
        <w:rPr>
          <w:rFonts w:cs="Arial"/>
        </w:rPr>
        <w:t xml:space="preserve"> 202</w:t>
      </w:r>
      <w:r w:rsidR="003815AF" w:rsidRPr="00982FB0">
        <w:rPr>
          <w:rFonts w:cs="Arial"/>
        </w:rPr>
        <w:t>3</w:t>
      </w:r>
    </w:p>
    <w:p w14:paraId="5238D1B3" w14:textId="77777777" w:rsidR="00536778" w:rsidRPr="00982FB0" w:rsidRDefault="00536778" w:rsidP="00972022">
      <w:pPr>
        <w:rPr>
          <w:rFonts w:cs="Arial"/>
        </w:rPr>
      </w:pPr>
    </w:p>
    <w:p w14:paraId="68D19212" w14:textId="3602542E" w:rsidR="00F51C90" w:rsidRPr="00982FB0" w:rsidRDefault="002C222A" w:rsidP="0024263E">
      <w:pPr>
        <w:rPr>
          <w:rFonts w:cs="Arial"/>
        </w:rPr>
      </w:pPr>
      <w:r w:rsidRPr="00982FB0">
        <w:rPr>
          <w:rFonts w:cs="Arial"/>
        </w:rPr>
        <w:t xml:space="preserve">Date of Judgment: </w:t>
      </w:r>
      <w:r w:rsidRPr="00982FB0">
        <w:rPr>
          <w:rFonts w:cs="Arial"/>
        </w:rPr>
        <w:tab/>
      </w:r>
      <w:r w:rsidRPr="00982FB0">
        <w:rPr>
          <w:rFonts w:cs="Arial"/>
        </w:rPr>
        <w:tab/>
      </w:r>
      <w:r w:rsidRPr="00982FB0">
        <w:rPr>
          <w:rFonts w:cs="Arial"/>
        </w:rPr>
        <w:tab/>
      </w:r>
      <w:r w:rsidR="005C6EFD" w:rsidRPr="00982FB0">
        <w:rPr>
          <w:rFonts w:cs="Arial"/>
        </w:rPr>
        <w:tab/>
      </w:r>
      <w:r w:rsidR="00B61A38">
        <w:rPr>
          <w:rFonts w:cs="Arial"/>
        </w:rPr>
        <w:t>10</w:t>
      </w:r>
      <w:r w:rsidR="00452110" w:rsidRPr="00982FB0">
        <w:rPr>
          <w:rFonts w:cs="Arial"/>
        </w:rPr>
        <w:t xml:space="preserve"> </w:t>
      </w:r>
      <w:r w:rsidR="000A7D0E" w:rsidRPr="00982FB0">
        <w:rPr>
          <w:rFonts w:cs="Arial"/>
        </w:rPr>
        <w:t>August</w:t>
      </w:r>
      <w:r w:rsidR="004608FB" w:rsidRPr="00982FB0">
        <w:rPr>
          <w:rFonts w:cs="Arial"/>
        </w:rPr>
        <w:t xml:space="preserve"> 202</w:t>
      </w:r>
      <w:r w:rsidR="00103419" w:rsidRPr="00982FB0">
        <w:rPr>
          <w:rFonts w:cs="Arial"/>
        </w:rPr>
        <w:t>3</w:t>
      </w:r>
      <w:r w:rsidRPr="00982FB0">
        <w:rPr>
          <w:rFonts w:cs="Arial"/>
        </w:rPr>
        <w:tab/>
      </w:r>
      <w:r w:rsidRPr="00982FB0">
        <w:rPr>
          <w:rFonts w:cs="Arial"/>
        </w:rPr>
        <w:tab/>
      </w:r>
      <w:r w:rsidRPr="00982FB0">
        <w:rPr>
          <w:rFonts w:cs="Arial"/>
        </w:rPr>
        <w:tab/>
      </w:r>
      <w:r w:rsidRPr="00982FB0">
        <w:rPr>
          <w:rFonts w:cs="Arial"/>
        </w:rPr>
        <w:tab/>
      </w:r>
      <w:r w:rsidR="00F51C90" w:rsidRPr="00982FB0">
        <w:rPr>
          <w:rFonts w:cs="Arial"/>
        </w:rPr>
        <w:tab/>
      </w:r>
    </w:p>
    <w:sectPr w:rsidR="00F51C90" w:rsidRPr="00982FB0" w:rsidSect="003C46C0">
      <w:headerReference w:type="default" r:id="rId13"/>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ED894" w14:textId="77777777" w:rsidR="00892228" w:rsidRDefault="00892228" w:rsidP="00115245">
      <w:r>
        <w:separator/>
      </w:r>
    </w:p>
  </w:endnote>
  <w:endnote w:type="continuationSeparator" w:id="0">
    <w:p w14:paraId="55EF7792" w14:textId="77777777" w:rsidR="00892228" w:rsidRDefault="00892228"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0D75"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CDFED" w14:textId="77777777" w:rsidR="00B209F5" w:rsidRDefault="00B209F5" w:rsidP="00C211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0523" w14:textId="77777777"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F41B" w14:textId="77777777" w:rsidR="00892228" w:rsidRDefault="00892228" w:rsidP="00115245">
      <w:r>
        <w:separator/>
      </w:r>
    </w:p>
  </w:footnote>
  <w:footnote w:type="continuationSeparator" w:id="0">
    <w:p w14:paraId="5D296343" w14:textId="77777777" w:rsidR="00892228" w:rsidRDefault="00892228" w:rsidP="00115245">
      <w:r>
        <w:continuationSeparator/>
      </w:r>
    </w:p>
  </w:footnote>
  <w:footnote w:id="1">
    <w:p w14:paraId="6B49E102" w14:textId="22B57624" w:rsidR="006D2CA9" w:rsidRDefault="006D2CA9" w:rsidP="00FD55C3">
      <w:pPr>
        <w:pStyle w:val="FootnoteText"/>
        <w:spacing w:before="0"/>
      </w:pPr>
      <w:r>
        <w:rPr>
          <w:rStyle w:val="FootnoteReference"/>
        </w:rPr>
        <w:footnoteRef/>
      </w:r>
      <w:r>
        <w:t xml:space="preserve"> </w:t>
      </w:r>
      <w:r w:rsidRPr="006D2CA9">
        <w:t>32 of 2000</w:t>
      </w:r>
      <w:r>
        <w:t xml:space="preserve">.  </w:t>
      </w:r>
    </w:p>
  </w:footnote>
  <w:footnote w:id="2">
    <w:p w14:paraId="684E7527" w14:textId="1CD9C615" w:rsidR="00A2433C" w:rsidRDefault="00A2433C" w:rsidP="00FD55C3">
      <w:pPr>
        <w:pStyle w:val="FootnoteText"/>
        <w:spacing w:before="0"/>
      </w:pPr>
      <w:r>
        <w:rPr>
          <w:rStyle w:val="FootnoteReference"/>
        </w:rPr>
        <w:footnoteRef/>
      </w:r>
      <w:r>
        <w:t xml:space="preserve"> Act </w:t>
      </w:r>
      <w:r w:rsidRPr="00A2433C">
        <w:t>117 of 1998</w:t>
      </w:r>
      <w:r>
        <w:t xml:space="preserve">.  </w:t>
      </w:r>
    </w:p>
  </w:footnote>
  <w:footnote w:id="3">
    <w:p w14:paraId="2E8EB1FB" w14:textId="479085A9" w:rsidR="001E2A81" w:rsidRPr="001E2A81" w:rsidRDefault="001E2A81" w:rsidP="00FD55C3">
      <w:pPr>
        <w:pStyle w:val="FootnoteText"/>
        <w:spacing w:before="0"/>
        <w:ind w:left="0" w:firstLine="0"/>
        <w:rPr>
          <w:lang w:val="en-ZA"/>
        </w:rPr>
      </w:pPr>
      <w:r>
        <w:rPr>
          <w:rStyle w:val="FootnoteReference"/>
        </w:rPr>
        <w:footnoteRef/>
      </w:r>
      <w:r>
        <w:t xml:space="preserve"> </w:t>
      </w:r>
      <w:r w:rsidR="00612572">
        <w:rPr>
          <w:lang w:val="en-ZA"/>
        </w:rPr>
        <w:t>Some of</w:t>
      </w:r>
      <w:r>
        <w:rPr>
          <w:lang w:val="en-ZA"/>
        </w:rPr>
        <w:t xml:space="preserve"> the </w:t>
      </w:r>
      <w:r w:rsidR="00612572">
        <w:rPr>
          <w:lang w:val="en-ZA"/>
        </w:rPr>
        <w:t>issues</w:t>
      </w:r>
      <w:r>
        <w:rPr>
          <w:lang w:val="en-ZA"/>
        </w:rPr>
        <w:t xml:space="preserve">, such as the </w:t>
      </w:r>
      <w:r>
        <w:t>Broad-Based Black Empowerment ha</w:t>
      </w:r>
      <w:r w:rsidR="00C8258B">
        <w:t>s</w:t>
      </w:r>
      <w:r>
        <w:t xml:space="preserve"> become moot due to the passage of time</w:t>
      </w:r>
      <w:r w:rsidR="00C8258B">
        <w:t xml:space="preserve"> which required the property sale to be completed before 28 February 2023</w:t>
      </w:r>
      <w:r>
        <w:t xml:space="preserve">. Consequently, they will not be dealt with in this judgment. </w:t>
      </w:r>
    </w:p>
  </w:footnote>
  <w:footnote w:id="4">
    <w:p w14:paraId="738A329B" w14:textId="27AB7FCE" w:rsidR="00F736E8" w:rsidRPr="00F736E8" w:rsidRDefault="00F736E8" w:rsidP="00FD55C3">
      <w:pPr>
        <w:pStyle w:val="FootnoteText"/>
        <w:spacing w:before="0"/>
        <w:rPr>
          <w:lang w:val="en-ZA"/>
        </w:rPr>
      </w:pPr>
      <w:r>
        <w:rPr>
          <w:rStyle w:val="FootnoteReference"/>
        </w:rPr>
        <w:footnoteRef/>
      </w:r>
      <w:r>
        <w:t xml:space="preserve"> </w:t>
      </w:r>
      <w:r w:rsidR="007A7973">
        <w:rPr>
          <w:lang w:val="en-ZA"/>
        </w:rPr>
        <w:t xml:space="preserve">CaseLines: 003 at </w:t>
      </w:r>
      <w:r w:rsidR="00387BE5">
        <w:rPr>
          <w:lang w:val="en-ZA"/>
        </w:rPr>
        <w:t>i</w:t>
      </w:r>
      <w:r w:rsidR="007A7973">
        <w:rPr>
          <w:lang w:val="en-ZA"/>
        </w:rPr>
        <w:t>tem 10.</w:t>
      </w:r>
    </w:p>
  </w:footnote>
  <w:footnote w:id="5">
    <w:p w14:paraId="390FED5F" w14:textId="5072322C" w:rsidR="00A363CD" w:rsidRPr="001B4B65" w:rsidRDefault="00A363CD" w:rsidP="00FD55C3">
      <w:pPr>
        <w:pStyle w:val="Heading2"/>
        <w:shd w:val="clear" w:color="auto" w:fill="FFFFFF"/>
        <w:spacing w:before="0"/>
        <w:rPr>
          <w:rFonts w:cs="Arial"/>
          <w:b w:val="0"/>
          <w:bCs w:val="0"/>
          <w:i w:val="0"/>
          <w:iCs/>
          <w:sz w:val="20"/>
          <w:szCs w:val="20"/>
          <w:lang w:val="en-ZA"/>
        </w:rPr>
      </w:pPr>
      <w:r w:rsidRPr="00836FD8">
        <w:rPr>
          <w:rStyle w:val="FootnoteReference"/>
          <w:b w:val="0"/>
          <w:bCs w:val="0"/>
          <w:i w:val="0"/>
          <w:iCs/>
          <w:sz w:val="20"/>
          <w:szCs w:val="20"/>
        </w:rPr>
        <w:footnoteRef/>
      </w:r>
      <w:r w:rsidRPr="00836FD8">
        <w:rPr>
          <w:b w:val="0"/>
          <w:bCs w:val="0"/>
          <w:i w:val="0"/>
          <w:iCs/>
          <w:sz w:val="20"/>
          <w:szCs w:val="20"/>
        </w:rPr>
        <w:t xml:space="preserve"> </w:t>
      </w:r>
      <w:r w:rsidRPr="001B4B65">
        <w:rPr>
          <w:rFonts w:cs="Arial"/>
          <w:b w:val="0"/>
          <w:bCs w:val="0"/>
          <w:i w:val="0"/>
          <w:iCs/>
          <w:sz w:val="20"/>
          <w:szCs w:val="20"/>
          <w:lang w:val="en-ZA"/>
        </w:rPr>
        <w:t xml:space="preserve">2017 (11) BCLR 1370 (CC) </w:t>
      </w:r>
      <w:r w:rsidR="00560966">
        <w:rPr>
          <w:rFonts w:cs="Arial"/>
          <w:b w:val="0"/>
          <w:bCs w:val="0"/>
          <w:i w:val="0"/>
          <w:iCs/>
          <w:sz w:val="20"/>
          <w:szCs w:val="20"/>
          <w:lang w:val="en-ZA"/>
        </w:rPr>
        <w:t xml:space="preserve">at </w:t>
      </w:r>
      <w:r w:rsidRPr="00903073">
        <w:rPr>
          <w:b w:val="0"/>
          <w:bCs w:val="0"/>
          <w:i w:val="0"/>
          <w:iCs/>
          <w:sz w:val="20"/>
          <w:szCs w:val="20"/>
          <w:lang w:val="en-ZA"/>
        </w:rPr>
        <w:t>para 54.</w:t>
      </w:r>
    </w:p>
  </w:footnote>
  <w:footnote w:id="6">
    <w:p w14:paraId="4C588611" w14:textId="5DD6F121" w:rsidR="00FD55C3" w:rsidRPr="00FD55C3" w:rsidRDefault="00FD55C3" w:rsidP="00FD55C3">
      <w:pPr>
        <w:pStyle w:val="FootnoteText"/>
        <w:spacing w:before="0"/>
        <w:rPr>
          <w:iCs/>
          <w:lang w:val="en-ZA"/>
        </w:rPr>
      </w:pPr>
      <w:r>
        <w:rPr>
          <w:rStyle w:val="FootnoteReference"/>
        </w:rPr>
        <w:footnoteRef/>
      </w:r>
      <w:r>
        <w:t xml:space="preserve"> </w:t>
      </w:r>
      <w:r w:rsidRPr="00982FB0">
        <w:rPr>
          <w:i/>
        </w:rPr>
        <w:t>Jordaan and Others v City of Tshwane Metropolitan Municipality and Others</w:t>
      </w:r>
      <w:r>
        <w:rPr>
          <w:iCs/>
        </w:rPr>
        <w:t xml:space="preserve"> </w:t>
      </w:r>
      <w:r w:rsidR="00560966">
        <w:rPr>
          <w:iCs/>
        </w:rPr>
        <w:t xml:space="preserve">at </w:t>
      </w:r>
      <w:r>
        <w:rPr>
          <w:iCs/>
        </w:rPr>
        <w:t>para 81.</w:t>
      </w:r>
    </w:p>
  </w:footnote>
  <w:footnote w:id="7">
    <w:p w14:paraId="731E00EE" w14:textId="15151202" w:rsidR="009D37D3" w:rsidRPr="009D37D3" w:rsidRDefault="009D37D3" w:rsidP="00FD55C3">
      <w:pPr>
        <w:pStyle w:val="FootnoteText"/>
        <w:spacing w:before="0"/>
        <w:rPr>
          <w:lang w:val="en-ZA"/>
        </w:rPr>
      </w:pPr>
      <w:r>
        <w:rPr>
          <w:rStyle w:val="FootnoteReference"/>
        </w:rPr>
        <w:footnoteRef/>
      </w:r>
      <w:r>
        <w:t xml:space="preserve"> </w:t>
      </w:r>
      <w:r w:rsidR="005768EC">
        <w:rPr>
          <w:lang w:val="en-ZA"/>
        </w:rPr>
        <w:t>2010 (1) SA 411 (C) AT p</w:t>
      </w:r>
      <w:r>
        <w:rPr>
          <w:lang w:val="en-ZA"/>
        </w:rPr>
        <w:t>aras 30 and 31.</w:t>
      </w:r>
    </w:p>
  </w:footnote>
  <w:footnote w:id="8">
    <w:p w14:paraId="3CF14F1F" w14:textId="7952D78D" w:rsidR="00127A60" w:rsidRPr="00127A60" w:rsidRDefault="00127A60" w:rsidP="00FD55C3">
      <w:pPr>
        <w:pStyle w:val="FootnoteText"/>
        <w:spacing w:before="0"/>
        <w:rPr>
          <w:lang w:val="en-ZA"/>
        </w:rPr>
      </w:pPr>
      <w:r>
        <w:rPr>
          <w:rStyle w:val="FootnoteReference"/>
        </w:rPr>
        <w:footnoteRef/>
      </w:r>
      <w:r>
        <w:t xml:space="preserve"> </w:t>
      </w:r>
      <w:r w:rsidR="0063551A">
        <w:t xml:space="preserve">See above fn. 5 at </w:t>
      </w:r>
      <w:r w:rsidR="0063551A">
        <w:rPr>
          <w:lang w:val="en-ZA"/>
        </w:rPr>
        <w:t>p</w:t>
      </w:r>
      <w:r w:rsidR="00097115">
        <w:rPr>
          <w:lang w:val="en-ZA"/>
        </w:rPr>
        <w:t>ara 54.</w:t>
      </w:r>
    </w:p>
  </w:footnote>
  <w:footnote w:id="9">
    <w:p w14:paraId="1024D174" w14:textId="77777777" w:rsidR="00B63D4F" w:rsidRPr="001B4B65" w:rsidRDefault="00B63D4F" w:rsidP="00FD55C3">
      <w:pPr>
        <w:pStyle w:val="Heading2"/>
        <w:shd w:val="clear" w:color="auto" w:fill="FFFFFF"/>
        <w:spacing w:before="0"/>
        <w:rPr>
          <w:rFonts w:cs="Arial"/>
          <w:b w:val="0"/>
          <w:bCs w:val="0"/>
          <w:i w:val="0"/>
          <w:iCs/>
          <w:sz w:val="20"/>
          <w:szCs w:val="20"/>
          <w:lang w:val="en-ZA"/>
        </w:rPr>
      </w:pPr>
      <w:r w:rsidRPr="00982FB0">
        <w:rPr>
          <w:rStyle w:val="FootnoteReference"/>
          <w:b w:val="0"/>
          <w:bCs w:val="0"/>
          <w:i w:val="0"/>
          <w:iCs/>
          <w:sz w:val="20"/>
          <w:szCs w:val="20"/>
        </w:rPr>
        <w:footnoteRef/>
      </w:r>
      <w:r w:rsidRPr="00982FB0">
        <w:rPr>
          <w:b w:val="0"/>
          <w:bCs w:val="0"/>
          <w:i w:val="0"/>
          <w:iCs/>
          <w:sz w:val="20"/>
          <w:szCs w:val="20"/>
        </w:rPr>
        <w:t xml:space="preserve"> </w:t>
      </w:r>
      <w:r w:rsidRPr="001B4B65">
        <w:rPr>
          <w:rFonts w:cs="Arial"/>
          <w:b w:val="0"/>
          <w:bCs w:val="0"/>
          <w:i w:val="0"/>
          <w:iCs/>
          <w:sz w:val="20"/>
          <w:szCs w:val="20"/>
          <w:lang w:val="en-ZA"/>
        </w:rPr>
        <w:t xml:space="preserve">[2010] 2 All SA 305 (SCA) at </w:t>
      </w:r>
      <w:r w:rsidRPr="00982FB0">
        <w:rPr>
          <w:b w:val="0"/>
          <w:bCs w:val="0"/>
          <w:i w:val="0"/>
          <w:iCs/>
          <w:sz w:val="20"/>
          <w:szCs w:val="20"/>
          <w:lang w:val="en-ZA"/>
        </w:rPr>
        <w:t>para 14.</w:t>
      </w:r>
    </w:p>
  </w:footnote>
  <w:footnote w:id="10">
    <w:p w14:paraId="3261DAA4" w14:textId="77777777" w:rsidR="00175C98" w:rsidRPr="003B2A7C" w:rsidRDefault="00175C98" w:rsidP="00175C98">
      <w:pPr>
        <w:pStyle w:val="FootnoteText"/>
        <w:rPr>
          <w:lang w:val="en-ZA"/>
        </w:rPr>
      </w:pPr>
      <w:r>
        <w:rPr>
          <w:rStyle w:val="FootnoteReference"/>
        </w:rPr>
        <w:footnoteRef/>
      </w:r>
      <w:r w:rsidRPr="003B2A7C">
        <w:rPr>
          <w:lang w:val="en-ZA"/>
        </w:rPr>
        <w:t>2012 (6) SA 223 (CC)</w:t>
      </w:r>
      <w:r>
        <w:rPr>
          <w:lang w:val="en-ZA"/>
        </w:rPr>
        <w:t xml:space="preserve"> at paras 63-64. </w:t>
      </w:r>
      <w:r>
        <w:t xml:space="preserve"> </w:t>
      </w:r>
    </w:p>
  </w:footnote>
  <w:footnote w:id="11">
    <w:p w14:paraId="35076E45" w14:textId="176B8AC7" w:rsidR="00584E3A" w:rsidRPr="00964431" w:rsidRDefault="00584E3A" w:rsidP="00FD55C3">
      <w:pPr>
        <w:pStyle w:val="FootnoteText"/>
        <w:spacing w:before="0"/>
        <w:rPr>
          <w:szCs w:val="20"/>
          <w:lang w:val="en-ZA"/>
        </w:rPr>
      </w:pPr>
      <w:r w:rsidRPr="00964431">
        <w:rPr>
          <w:rStyle w:val="FootnoteReference"/>
          <w:szCs w:val="20"/>
        </w:rPr>
        <w:footnoteRef/>
      </w:r>
      <w:r w:rsidRPr="00964431">
        <w:rPr>
          <w:szCs w:val="20"/>
        </w:rPr>
        <w:t xml:space="preserve"> </w:t>
      </w:r>
      <w:r w:rsidRPr="00964431">
        <w:rPr>
          <w:i/>
          <w:iCs/>
          <w:szCs w:val="20"/>
        </w:rPr>
        <w:t xml:space="preserve">Jordaan and Others v City of Tshwane Metropolitan Municipality and Others </w:t>
      </w:r>
      <w:r w:rsidRPr="00964431">
        <w:rPr>
          <w:szCs w:val="20"/>
        </w:rPr>
        <w:t>at para 54.</w:t>
      </w:r>
    </w:p>
  </w:footnote>
  <w:footnote w:id="12">
    <w:p w14:paraId="6727D398" w14:textId="2C5BF213" w:rsidR="00964431" w:rsidRPr="001B4B65" w:rsidRDefault="00964431" w:rsidP="00FD55C3">
      <w:pPr>
        <w:pStyle w:val="Heading2"/>
        <w:shd w:val="clear" w:color="auto" w:fill="FFFFFF"/>
        <w:spacing w:before="0"/>
        <w:rPr>
          <w:rFonts w:cs="Arial"/>
          <w:b w:val="0"/>
          <w:bCs w:val="0"/>
          <w:i w:val="0"/>
          <w:sz w:val="22"/>
          <w:szCs w:val="36"/>
          <w:lang w:val="en-ZA"/>
        </w:rPr>
      </w:pPr>
      <w:r w:rsidRPr="00964431">
        <w:rPr>
          <w:rStyle w:val="FootnoteReference"/>
          <w:b w:val="0"/>
          <w:bCs w:val="0"/>
          <w:sz w:val="20"/>
          <w:szCs w:val="20"/>
        </w:rPr>
        <w:footnoteRef/>
      </w:r>
      <w:r w:rsidRPr="00964431">
        <w:rPr>
          <w:b w:val="0"/>
          <w:bCs w:val="0"/>
          <w:sz w:val="20"/>
          <w:szCs w:val="20"/>
        </w:rPr>
        <w:t xml:space="preserve"> </w:t>
      </w:r>
      <w:r w:rsidRPr="00964431">
        <w:rPr>
          <w:rFonts w:cs="Arial"/>
          <w:b w:val="0"/>
          <w:bCs w:val="0"/>
          <w:iCs/>
          <w:sz w:val="20"/>
          <w:szCs w:val="20"/>
          <w:lang w:val="en-ZA"/>
        </w:rPr>
        <w:t>Maboho and Others v Minister of Home Affairs</w:t>
      </w:r>
      <w:r w:rsidRPr="00964431">
        <w:rPr>
          <w:rFonts w:cs="Arial"/>
          <w:b w:val="0"/>
          <w:bCs w:val="0"/>
          <w:i w:val="0"/>
          <w:sz w:val="20"/>
          <w:szCs w:val="20"/>
          <w:lang w:val="en-ZA"/>
        </w:rPr>
        <w:t xml:space="preserve"> (833/2007, 1128/2007) [2011] ZALMPHC 4 at p</w:t>
      </w:r>
      <w:r w:rsidRPr="00964431">
        <w:rPr>
          <w:b w:val="0"/>
          <w:bCs w:val="0"/>
          <w:i w:val="0"/>
          <w:sz w:val="20"/>
          <w:szCs w:val="20"/>
          <w:lang w:val="en-ZA"/>
        </w:rPr>
        <w:t>ara 13.</w:t>
      </w:r>
    </w:p>
  </w:footnote>
  <w:footnote w:id="13">
    <w:p w14:paraId="067DCB9E" w14:textId="51A0B0BE" w:rsidR="002E4D99" w:rsidRPr="002E4D99" w:rsidRDefault="002E4D99" w:rsidP="00FD55C3">
      <w:pPr>
        <w:pStyle w:val="FootnoteText"/>
        <w:spacing w:before="0"/>
        <w:rPr>
          <w:lang w:val="en-ZA"/>
        </w:rPr>
      </w:pPr>
      <w:r>
        <w:rPr>
          <w:rStyle w:val="FootnoteReference"/>
        </w:rPr>
        <w:footnoteRef/>
      </w:r>
      <w:r>
        <w:t xml:space="preserve"> </w:t>
      </w:r>
      <w:r w:rsidRPr="009D37D3">
        <w:rPr>
          <w:rFonts w:cs="Arial"/>
          <w:i/>
          <w:iCs/>
          <w:color w:val="242121"/>
          <w:lang w:val="en-ZA"/>
        </w:rPr>
        <w:t>Real People Housing (Pty) Ltd v City of Cape Town</w:t>
      </w:r>
      <w:r>
        <w:rPr>
          <w:lang w:val="en-ZA"/>
        </w:rPr>
        <w:t xml:space="preserve"> at para 17.</w:t>
      </w:r>
    </w:p>
  </w:footnote>
  <w:footnote w:id="14">
    <w:p w14:paraId="71A7FEE9" w14:textId="77777777" w:rsidR="00537585" w:rsidRPr="00537585" w:rsidRDefault="00537585" w:rsidP="00FD55C3">
      <w:pPr>
        <w:pStyle w:val="FootnoteText"/>
        <w:spacing w:before="0"/>
        <w:rPr>
          <w:lang w:val="en-ZA"/>
        </w:rPr>
      </w:pPr>
      <w:r>
        <w:rPr>
          <w:rStyle w:val="FootnoteReference"/>
        </w:rPr>
        <w:footnoteRef/>
      </w:r>
      <w:r>
        <w:t xml:space="preserve"> </w:t>
      </w:r>
      <w:r>
        <w:rPr>
          <w:lang w:val="en-ZA"/>
        </w:rPr>
        <w:t>Caselines: 003 at Item 73.</w:t>
      </w:r>
    </w:p>
  </w:footnote>
  <w:footnote w:id="15">
    <w:p w14:paraId="5EF3F421" w14:textId="4B35A8BE" w:rsidR="0086571E" w:rsidRPr="0086571E" w:rsidRDefault="0086571E" w:rsidP="00FD55C3">
      <w:pPr>
        <w:pStyle w:val="FootnoteText"/>
        <w:spacing w:before="0"/>
        <w:rPr>
          <w:lang w:val="en-ZA"/>
        </w:rPr>
      </w:pPr>
      <w:r>
        <w:rPr>
          <w:rStyle w:val="FootnoteReference"/>
        </w:rPr>
        <w:footnoteRef/>
      </w:r>
      <w:r>
        <w:t xml:space="preserve"> </w:t>
      </w:r>
      <w:r w:rsidRPr="00745410">
        <w:rPr>
          <w:lang w:val="en-ZA"/>
        </w:rPr>
        <w:t>ZACC 19; 2016 (9) BCLR 1133 (CC)</w:t>
      </w:r>
      <w:r>
        <w:rPr>
          <w:lang w:val="en-ZA"/>
        </w:rPr>
        <w:t xml:space="preserve"> at para 70.</w:t>
      </w:r>
    </w:p>
  </w:footnote>
  <w:footnote w:id="16">
    <w:p w14:paraId="22D32F8F" w14:textId="55C1DC3F" w:rsidR="00713F8E" w:rsidRPr="00713F8E" w:rsidRDefault="00713F8E" w:rsidP="00FD55C3">
      <w:pPr>
        <w:pStyle w:val="FootnoteText"/>
        <w:spacing w:before="0"/>
        <w:rPr>
          <w:lang w:val="en-ZA"/>
        </w:rPr>
      </w:pPr>
      <w:r>
        <w:rPr>
          <w:rStyle w:val="FootnoteReference"/>
        </w:rPr>
        <w:footnoteRef/>
      </w:r>
      <w:r>
        <w:t xml:space="preserve"> </w:t>
      </w:r>
      <w:r>
        <w:rPr>
          <w:lang w:val="en-ZA"/>
        </w:rPr>
        <w:t>Caselines:</w:t>
      </w:r>
      <w:r w:rsidR="008C0F99">
        <w:rPr>
          <w:lang w:val="en-ZA"/>
        </w:rPr>
        <w:t xml:space="preserve"> </w:t>
      </w:r>
      <w:r>
        <w:rPr>
          <w:lang w:val="en-ZA"/>
        </w:rPr>
        <w:t>003, Item 32 at page 003-242.</w:t>
      </w:r>
    </w:p>
  </w:footnote>
  <w:footnote w:id="17">
    <w:p w14:paraId="4BC7DF37" w14:textId="77777777" w:rsidR="00BA3B30" w:rsidRPr="00575F29" w:rsidRDefault="00BA3B30" w:rsidP="00FD55C3">
      <w:pPr>
        <w:pStyle w:val="FootnoteText"/>
        <w:spacing w:before="0"/>
        <w:ind w:left="0" w:firstLine="0"/>
        <w:rPr>
          <w:rFonts w:cs="Arial"/>
          <w:szCs w:val="20"/>
          <w:lang w:val="en-US"/>
        </w:rPr>
      </w:pPr>
      <w:r w:rsidRPr="00575F29">
        <w:rPr>
          <w:rStyle w:val="FootnoteReference"/>
          <w:rFonts w:cs="Arial"/>
          <w:szCs w:val="20"/>
        </w:rPr>
        <w:footnoteRef/>
      </w:r>
      <w:r w:rsidRPr="00575F29">
        <w:rPr>
          <w:rFonts w:cs="Arial"/>
          <w:szCs w:val="20"/>
        </w:rPr>
        <w:t xml:space="preserve"> </w:t>
      </w:r>
      <w:r w:rsidRPr="00575F29">
        <w:rPr>
          <w:rFonts w:cs="Arial"/>
          <w:i/>
          <w:iCs/>
          <w:szCs w:val="20"/>
          <w:lang w:val="en-US"/>
        </w:rPr>
        <w:t>Neuhoff v York Timbers Ltd</w:t>
      </w:r>
      <w:r w:rsidRPr="00575F29">
        <w:rPr>
          <w:rFonts w:cs="Arial"/>
          <w:szCs w:val="20"/>
          <w:lang w:val="en-US"/>
        </w:rPr>
        <w:t xml:space="preserve"> 1981 (1) SA 666 (T).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4879"/>
      <w:docPartObj>
        <w:docPartGallery w:val="Page Numbers (Top of Page)"/>
        <w:docPartUnique/>
      </w:docPartObj>
    </w:sdtPr>
    <w:sdtEndPr>
      <w:rPr>
        <w:noProof/>
      </w:rPr>
    </w:sdtEndPr>
    <w:sdtContent>
      <w:p w14:paraId="1D29E667" w14:textId="56C8F38B" w:rsidR="00B209F5" w:rsidRDefault="00B209F5">
        <w:pPr>
          <w:pStyle w:val="Header"/>
          <w:jc w:val="right"/>
        </w:pPr>
        <w:r>
          <w:fldChar w:fldCharType="begin"/>
        </w:r>
        <w:r>
          <w:instrText xml:space="preserve"> PAGE   \* MERGEFORMAT </w:instrText>
        </w:r>
        <w:r>
          <w:fldChar w:fldCharType="separate"/>
        </w:r>
        <w:r w:rsidR="00F0006B">
          <w:rPr>
            <w:noProof/>
          </w:rPr>
          <w:t>2</w:t>
        </w:r>
        <w:r>
          <w:rPr>
            <w:noProof/>
          </w:rPr>
          <w:fldChar w:fldCharType="end"/>
        </w:r>
      </w:p>
    </w:sdtContent>
  </w:sdt>
  <w:p w14:paraId="6B78B3E3" w14:textId="77777777" w:rsidR="00B209F5" w:rsidRDefault="00B20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BC5F9A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E33664"/>
    <w:multiLevelType w:val="multilevel"/>
    <w:tmpl w:val="8F0093AA"/>
    <w:lvl w:ilvl="0">
      <w:start w:val="9"/>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6">
    <w:nsid w:val="0FDA5499"/>
    <w:multiLevelType w:val="multilevel"/>
    <w:tmpl w:val="893A0FE6"/>
    <w:lvl w:ilvl="0">
      <w:start w:val="9"/>
      <w:numFmt w:val="decimal"/>
      <w:lvlText w:val="%1"/>
      <w:lvlJc w:val="left"/>
      <w:pPr>
        <w:ind w:left="360" w:hanging="360"/>
      </w:pPr>
      <w:rPr>
        <w:rFonts w:hint="default"/>
        <w:i w:val="0"/>
        <w:color w:val="242121"/>
      </w:rPr>
    </w:lvl>
    <w:lvl w:ilvl="1">
      <w:start w:val="1"/>
      <w:numFmt w:val="decimal"/>
      <w:lvlText w:val="%1.%2"/>
      <w:lvlJc w:val="left"/>
      <w:pPr>
        <w:ind w:left="1287" w:hanging="360"/>
      </w:pPr>
      <w:rPr>
        <w:rFonts w:hint="default"/>
        <w:i w:val="0"/>
        <w:color w:val="242121"/>
      </w:rPr>
    </w:lvl>
    <w:lvl w:ilvl="2">
      <w:start w:val="1"/>
      <w:numFmt w:val="decimal"/>
      <w:lvlText w:val="%1.%2.%3"/>
      <w:lvlJc w:val="left"/>
      <w:pPr>
        <w:ind w:left="2574" w:hanging="720"/>
      </w:pPr>
      <w:rPr>
        <w:rFonts w:hint="default"/>
        <w:i w:val="0"/>
        <w:color w:val="242121"/>
      </w:rPr>
    </w:lvl>
    <w:lvl w:ilvl="3">
      <w:start w:val="1"/>
      <w:numFmt w:val="decimal"/>
      <w:lvlText w:val="%1.%2.%3.%4"/>
      <w:lvlJc w:val="left"/>
      <w:pPr>
        <w:ind w:left="3861" w:hanging="1080"/>
      </w:pPr>
      <w:rPr>
        <w:rFonts w:hint="default"/>
        <w:i w:val="0"/>
        <w:color w:val="242121"/>
      </w:rPr>
    </w:lvl>
    <w:lvl w:ilvl="4">
      <w:start w:val="1"/>
      <w:numFmt w:val="decimal"/>
      <w:lvlText w:val="%1.%2.%3.%4.%5"/>
      <w:lvlJc w:val="left"/>
      <w:pPr>
        <w:ind w:left="4788" w:hanging="1080"/>
      </w:pPr>
      <w:rPr>
        <w:rFonts w:hint="default"/>
        <w:i w:val="0"/>
        <w:color w:val="242121"/>
      </w:rPr>
    </w:lvl>
    <w:lvl w:ilvl="5">
      <w:start w:val="1"/>
      <w:numFmt w:val="decimal"/>
      <w:lvlText w:val="%1.%2.%3.%4.%5.%6"/>
      <w:lvlJc w:val="left"/>
      <w:pPr>
        <w:ind w:left="6075" w:hanging="1440"/>
      </w:pPr>
      <w:rPr>
        <w:rFonts w:hint="default"/>
        <w:i w:val="0"/>
        <w:color w:val="242121"/>
      </w:rPr>
    </w:lvl>
    <w:lvl w:ilvl="6">
      <w:start w:val="1"/>
      <w:numFmt w:val="decimal"/>
      <w:lvlText w:val="%1.%2.%3.%4.%5.%6.%7"/>
      <w:lvlJc w:val="left"/>
      <w:pPr>
        <w:ind w:left="7002" w:hanging="1440"/>
      </w:pPr>
      <w:rPr>
        <w:rFonts w:hint="default"/>
        <w:i w:val="0"/>
        <w:color w:val="242121"/>
      </w:rPr>
    </w:lvl>
    <w:lvl w:ilvl="7">
      <w:start w:val="1"/>
      <w:numFmt w:val="decimal"/>
      <w:lvlText w:val="%1.%2.%3.%4.%5.%6.%7.%8"/>
      <w:lvlJc w:val="left"/>
      <w:pPr>
        <w:ind w:left="8289" w:hanging="1800"/>
      </w:pPr>
      <w:rPr>
        <w:rFonts w:hint="default"/>
        <w:i w:val="0"/>
        <w:color w:val="242121"/>
      </w:rPr>
    </w:lvl>
    <w:lvl w:ilvl="8">
      <w:start w:val="1"/>
      <w:numFmt w:val="decimal"/>
      <w:lvlText w:val="%1.%2.%3.%4.%5.%6.%7.%8.%9"/>
      <w:lvlJc w:val="left"/>
      <w:pPr>
        <w:ind w:left="9216" w:hanging="1800"/>
      </w:pPr>
      <w:rPr>
        <w:rFonts w:hint="default"/>
        <w:i w:val="0"/>
        <w:color w:val="242121"/>
      </w:rPr>
    </w:lvl>
  </w:abstractNum>
  <w:abstractNum w:abstractNumId="7">
    <w:nsid w:val="1502300A"/>
    <w:multiLevelType w:val="multilevel"/>
    <w:tmpl w:val="38628834"/>
    <w:lvl w:ilvl="0">
      <w:start w:val="8"/>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8">
    <w:nsid w:val="15522F49"/>
    <w:multiLevelType w:val="multilevel"/>
    <w:tmpl w:val="A26A3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0BAC315A"/>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ascii="Arial" w:hAnsi="Arial" w:cs="Arial" w:hint="default"/>
        <w:sz w:val="24"/>
        <w:szCs w:val="24"/>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1F95CC9"/>
    <w:multiLevelType w:val="multilevel"/>
    <w:tmpl w:val="54BC26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0514155"/>
    <w:multiLevelType w:val="multilevel"/>
    <w:tmpl w:val="44B07B0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71D011A3"/>
    <w:multiLevelType w:val="multilevel"/>
    <w:tmpl w:val="810E82AE"/>
    <w:lvl w:ilvl="0">
      <w:start w:val="4"/>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5">
    <w:nsid w:val="7D98797E"/>
    <w:multiLevelType w:val="multilevel"/>
    <w:tmpl w:val="54BC264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3"/>
  </w:num>
  <w:num w:numId="3">
    <w:abstractNumId w:val="0"/>
  </w:num>
  <w:num w:numId="4">
    <w:abstractNumId w:val="12"/>
  </w:num>
  <w:num w:numId="5">
    <w:abstractNumId w:val="9"/>
  </w:num>
  <w:num w:numId="6">
    <w:abstractNumId w:val="4"/>
  </w:num>
  <w:num w:numId="7">
    <w:abstractNumId w:val="13"/>
  </w:num>
  <w:num w:numId="8">
    <w:abstractNumId w:val="15"/>
  </w:num>
  <w:num w:numId="9">
    <w:abstractNumId w:val="7"/>
  </w:num>
  <w:num w:numId="10">
    <w:abstractNumId w:val="8"/>
  </w:num>
  <w:num w:numId="11">
    <w:abstractNumId w:val="11"/>
  </w:num>
  <w:num w:numId="12">
    <w:abstractNumId w:val="14"/>
  </w:num>
  <w:num w:numId="13">
    <w:abstractNumId w:val="6"/>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7B5"/>
    <w:rsid w:val="0000092D"/>
    <w:rsid w:val="00000EF5"/>
    <w:rsid w:val="00000EF9"/>
    <w:rsid w:val="000015B3"/>
    <w:rsid w:val="00001F2D"/>
    <w:rsid w:val="000025D3"/>
    <w:rsid w:val="000026D9"/>
    <w:rsid w:val="000027B3"/>
    <w:rsid w:val="00002E04"/>
    <w:rsid w:val="000031F1"/>
    <w:rsid w:val="00003D4F"/>
    <w:rsid w:val="000043C3"/>
    <w:rsid w:val="00004C50"/>
    <w:rsid w:val="00004FF5"/>
    <w:rsid w:val="00005022"/>
    <w:rsid w:val="00005393"/>
    <w:rsid w:val="000064E0"/>
    <w:rsid w:val="00006D89"/>
    <w:rsid w:val="0000721E"/>
    <w:rsid w:val="00007A1E"/>
    <w:rsid w:val="00007AFB"/>
    <w:rsid w:val="00010468"/>
    <w:rsid w:val="000107E5"/>
    <w:rsid w:val="00010AF1"/>
    <w:rsid w:val="00011E1C"/>
    <w:rsid w:val="00012678"/>
    <w:rsid w:val="00012BC9"/>
    <w:rsid w:val="0001304A"/>
    <w:rsid w:val="00013956"/>
    <w:rsid w:val="00013988"/>
    <w:rsid w:val="00013FB3"/>
    <w:rsid w:val="00014741"/>
    <w:rsid w:val="0001479D"/>
    <w:rsid w:val="00015055"/>
    <w:rsid w:val="00015194"/>
    <w:rsid w:val="0001663B"/>
    <w:rsid w:val="00016B15"/>
    <w:rsid w:val="00016D7D"/>
    <w:rsid w:val="00017051"/>
    <w:rsid w:val="000174A9"/>
    <w:rsid w:val="00020216"/>
    <w:rsid w:val="000205BB"/>
    <w:rsid w:val="00020C06"/>
    <w:rsid w:val="00020C9D"/>
    <w:rsid w:val="00021839"/>
    <w:rsid w:val="00021FED"/>
    <w:rsid w:val="000223BA"/>
    <w:rsid w:val="000234BC"/>
    <w:rsid w:val="00023A8D"/>
    <w:rsid w:val="00024510"/>
    <w:rsid w:val="00024B45"/>
    <w:rsid w:val="00024C6F"/>
    <w:rsid w:val="000258FE"/>
    <w:rsid w:val="00025AAC"/>
    <w:rsid w:val="00025AB9"/>
    <w:rsid w:val="00026013"/>
    <w:rsid w:val="0002644E"/>
    <w:rsid w:val="000267B0"/>
    <w:rsid w:val="00026EF4"/>
    <w:rsid w:val="00027E31"/>
    <w:rsid w:val="00027E97"/>
    <w:rsid w:val="00027F99"/>
    <w:rsid w:val="0003093D"/>
    <w:rsid w:val="00032191"/>
    <w:rsid w:val="0003277C"/>
    <w:rsid w:val="000327C4"/>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770"/>
    <w:rsid w:val="00042883"/>
    <w:rsid w:val="00042AB7"/>
    <w:rsid w:val="00043330"/>
    <w:rsid w:val="00043B8D"/>
    <w:rsid w:val="00043CA9"/>
    <w:rsid w:val="00043D2C"/>
    <w:rsid w:val="00044524"/>
    <w:rsid w:val="00044986"/>
    <w:rsid w:val="00044CB9"/>
    <w:rsid w:val="00044D43"/>
    <w:rsid w:val="0004504E"/>
    <w:rsid w:val="000450BB"/>
    <w:rsid w:val="00045426"/>
    <w:rsid w:val="00046726"/>
    <w:rsid w:val="0004700B"/>
    <w:rsid w:val="000471C4"/>
    <w:rsid w:val="0004726E"/>
    <w:rsid w:val="00047380"/>
    <w:rsid w:val="00047864"/>
    <w:rsid w:val="00047964"/>
    <w:rsid w:val="00047B31"/>
    <w:rsid w:val="00051201"/>
    <w:rsid w:val="000526FC"/>
    <w:rsid w:val="00052C29"/>
    <w:rsid w:val="00052CE2"/>
    <w:rsid w:val="00053DD2"/>
    <w:rsid w:val="000541F4"/>
    <w:rsid w:val="000552C4"/>
    <w:rsid w:val="000554AC"/>
    <w:rsid w:val="000566B1"/>
    <w:rsid w:val="000569B1"/>
    <w:rsid w:val="0005747E"/>
    <w:rsid w:val="00057FE1"/>
    <w:rsid w:val="000603D2"/>
    <w:rsid w:val="0006055D"/>
    <w:rsid w:val="000606C4"/>
    <w:rsid w:val="00060B0C"/>
    <w:rsid w:val="0006122D"/>
    <w:rsid w:val="000614DC"/>
    <w:rsid w:val="00061632"/>
    <w:rsid w:val="0006281D"/>
    <w:rsid w:val="00062AC4"/>
    <w:rsid w:val="00063299"/>
    <w:rsid w:val="000632D1"/>
    <w:rsid w:val="00063586"/>
    <w:rsid w:val="00064037"/>
    <w:rsid w:val="000643EE"/>
    <w:rsid w:val="00064417"/>
    <w:rsid w:val="000648C6"/>
    <w:rsid w:val="00064934"/>
    <w:rsid w:val="00065D25"/>
    <w:rsid w:val="00065DBA"/>
    <w:rsid w:val="0006685D"/>
    <w:rsid w:val="0006722D"/>
    <w:rsid w:val="00067403"/>
    <w:rsid w:val="000713C6"/>
    <w:rsid w:val="000715B5"/>
    <w:rsid w:val="00071C04"/>
    <w:rsid w:val="0007238B"/>
    <w:rsid w:val="00073213"/>
    <w:rsid w:val="0007439A"/>
    <w:rsid w:val="000743C1"/>
    <w:rsid w:val="00074490"/>
    <w:rsid w:val="00074E67"/>
    <w:rsid w:val="0007533B"/>
    <w:rsid w:val="00075A7B"/>
    <w:rsid w:val="000768B7"/>
    <w:rsid w:val="000769A3"/>
    <w:rsid w:val="00076AEB"/>
    <w:rsid w:val="00076C32"/>
    <w:rsid w:val="00081B44"/>
    <w:rsid w:val="000821DD"/>
    <w:rsid w:val="000835EC"/>
    <w:rsid w:val="00083DA8"/>
    <w:rsid w:val="00083FCF"/>
    <w:rsid w:val="00084337"/>
    <w:rsid w:val="0008478E"/>
    <w:rsid w:val="00084A85"/>
    <w:rsid w:val="00087F0F"/>
    <w:rsid w:val="00090D1E"/>
    <w:rsid w:val="00090E6B"/>
    <w:rsid w:val="00091EF1"/>
    <w:rsid w:val="000922C8"/>
    <w:rsid w:val="00094423"/>
    <w:rsid w:val="00094488"/>
    <w:rsid w:val="0009492C"/>
    <w:rsid w:val="00095505"/>
    <w:rsid w:val="00095CA6"/>
    <w:rsid w:val="00095F1C"/>
    <w:rsid w:val="0009617B"/>
    <w:rsid w:val="000968A2"/>
    <w:rsid w:val="00096CAD"/>
    <w:rsid w:val="00096CAE"/>
    <w:rsid w:val="00097115"/>
    <w:rsid w:val="000975B2"/>
    <w:rsid w:val="00097C41"/>
    <w:rsid w:val="00097ECB"/>
    <w:rsid w:val="000A0181"/>
    <w:rsid w:val="000A0398"/>
    <w:rsid w:val="000A1B6E"/>
    <w:rsid w:val="000A1C84"/>
    <w:rsid w:val="000A1CF7"/>
    <w:rsid w:val="000A2515"/>
    <w:rsid w:val="000A2A21"/>
    <w:rsid w:val="000A3989"/>
    <w:rsid w:val="000A45E1"/>
    <w:rsid w:val="000A463E"/>
    <w:rsid w:val="000A5992"/>
    <w:rsid w:val="000A6115"/>
    <w:rsid w:val="000A65EF"/>
    <w:rsid w:val="000A7D0E"/>
    <w:rsid w:val="000B0497"/>
    <w:rsid w:val="000B0548"/>
    <w:rsid w:val="000B0977"/>
    <w:rsid w:val="000B1905"/>
    <w:rsid w:val="000B1B70"/>
    <w:rsid w:val="000B1DC3"/>
    <w:rsid w:val="000B2E1A"/>
    <w:rsid w:val="000B2EA2"/>
    <w:rsid w:val="000B3C84"/>
    <w:rsid w:val="000B3F6B"/>
    <w:rsid w:val="000B4A7E"/>
    <w:rsid w:val="000B4E9C"/>
    <w:rsid w:val="000B66A1"/>
    <w:rsid w:val="000B708F"/>
    <w:rsid w:val="000B7A7B"/>
    <w:rsid w:val="000B7B10"/>
    <w:rsid w:val="000B7F3F"/>
    <w:rsid w:val="000C03C5"/>
    <w:rsid w:val="000C0C88"/>
    <w:rsid w:val="000C0E29"/>
    <w:rsid w:val="000C12AC"/>
    <w:rsid w:val="000C15AC"/>
    <w:rsid w:val="000C2D83"/>
    <w:rsid w:val="000C2E2C"/>
    <w:rsid w:val="000C3186"/>
    <w:rsid w:val="000C325E"/>
    <w:rsid w:val="000C4114"/>
    <w:rsid w:val="000C4EA2"/>
    <w:rsid w:val="000C5B14"/>
    <w:rsid w:val="000C6CA0"/>
    <w:rsid w:val="000C726A"/>
    <w:rsid w:val="000C7C5F"/>
    <w:rsid w:val="000C7D3C"/>
    <w:rsid w:val="000D0618"/>
    <w:rsid w:val="000D0A14"/>
    <w:rsid w:val="000D1047"/>
    <w:rsid w:val="000D1DE1"/>
    <w:rsid w:val="000D2129"/>
    <w:rsid w:val="000D22FD"/>
    <w:rsid w:val="000D26DF"/>
    <w:rsid w:val="000D2A1D"/>
    <w:rsid w:val="000D3345"/>
    <w:rsid w:val="000D3490"/>
    <w:rsid w:val="000D437D"/>
    <w:rsid w:val="000D43CC"/>
    <w:rsid w:val="000D4F96"/>
    <w:rsid w:val="000D531E"/>
    <w:rsid w:val="000D5E07"/>
    <w:rsid w:val="000D7CFD"/>
    <w:rsid w:val="000E0006"/>
    <w:rsid w:val="000E0C2D"/>
    <w:rsid w:val="000E0F39"/>
    <w:rsid w:val="000E139F"/>
    <w:rsid w:val="000E14B4"/>
    <w:rsid w:val="000E1C17"/>
    <w:rsid w:val="000E1D43"/>
    <w:rsid w:val="000E22BE"/>
    <w:rsid w:val="000E292A"/>
    <w:rsid w:val="000E3453"/>
    <w:rsid w:val="000E3CC6"/>
    <w:rsid w:val="000E3F6A"/>
    <w:rsid w:val="000E43C6"/>
    <w:rsid w:val="000E4996"/>
    <w:rsid w:val="000E4B30"/>
    <w:rsid w:val="000E5267"/>
    <w:rsid w:val="000E5EE7"/>
    <w:rsid w:val="000E6876"/>
    <w:rsid w:val="000E6B24"/>
    <w:rsid w:val="000E6E03"/>
    <w:rsid w:val="000E6EA6"/>
    <w:rsid w:val="000E7913"/>
    <w:rsid w:val="000F0069"/>
    <w:rsid w:val="000F0338"/>
    <w:rsid w:val="000F04AB"/>
    <w:rsid w:val="000F12F3"/>
    <w:rsid w:val="000F15DC"/>
    <w:rsid w:val="000F1B25"/>
    <w:rsid w:val="000F1B35"/>
    <w:rsid w:val="000F1FCB"/>
    <w:rsid w:val="000F2BD9"/>
    <w:rsid w:val="000F390B"/>
    <w:rsid w:val="000F3AC0"/>
    <w:rsid w:val="000F42BE"/>
    <w:rsid w:val="000F4FE4"/>
    <w:rsid w:val="000F5253"/>
    <w:rsid w:val="000F58E7"/>
    <w:rsid w:val="000F5FEA"/>
    <w:rsid w:val="000F6E19"/>
    <w:rsid w:val="000F71BA"/>
    <w:rsid w:val="000F79EC"/>
    <w:rsid w:val="000F7D41"/>
    <w:rsid w:val="001012BE"/>
    <w:rsid w:val="00101A4E"/>
    <w:rsid w:val="00103024"/>
    <w:rsid w:val="00103419"/>
    <w:rsid w:val="00105258"/>
    <w:rsid w:val="001059FB"/>
    <w:rsid w:val="001060C1"/>
    <w:rsid w:val="00106882"/>
    <w:rsid w:val="00107844"/>
    <w:rsid w:val="00107DAE"/>
    <w:rsid w:val="001103DF"/>
    <w:rsid w:val="00110900"/>
    <w:rsid w:val="001112EE"/>
    <w:rsid w:val="00111BE6"/>
    <w:rsid w:val="00112F70"/>
    <w:rsid w:val="00115245"/>
    <w:rsid w:val="00115898"/>
    <w:rsid w:val="00116524"/>
    <w:rsid w:val="001172B2"/>
    <w:rsid w:val="001173C1"/>
    <w:rsid w:val="0011783C"/>
    <w:rsid w:val="0011794B"/>
    <w:rsid w:val="00120DB7"/>
    <w:rsid w:val="001210C6"/>
    <w:rsid w:val="00121310"/>
    <w:rsid w:val="001214B2"/>
    <w:rsid w:val="00121EB8"/>
    <w:rsid w:val="001221DD"/>
    <w:rsid w:val="00122778"/>
    <w:rsid w:val="0012290C"/>
    <w:rsid w:val="0012364D"/>
    <w:rsid w:val="00123AEA"/>
    <w:rsid w:val="00123DC2"/>
    <w:rsid w:val="0012426D"/>
    <w:rsid w:val="00124662"/>
    <w:rsid w:val="00125BDA"/>
    <w:rsid w:val="00125E52"/>
    <w:rsid w:val="00125F72"/>
    <w:rsid w:val="00126A19"/>
    <w:rsid w:val="00126F99"/>
    <w:rsid w:val="00127A60"/>
    <w:rsid w:val="00127ADA"/>
    <w:rsid w:val="001309F1"/>
    <w:rsid w:val="00130AAD"/>
    <w:rsid w:val="00130D1F"/>
    <w:rsid w:val="00130F92"/>
    <w:rsid w:val="00131007"/>
    <w:rsid w:val="00132013"/>
    <w:rsid w:val="00132588"/>
    <w:rsid w:val="00133466"/>
    <w:rsid w:val="00134036"/>
    <w:rsid w:val="0013417C"/>
    <w:rsid w:val="00134B79"/>
    <w:rsid w:val="00135C1E"/>
    <w:rsid w:val="00135C25"/>
    <w:rsid w:val="00135C79"/>
    <w:rsid w:val="00136023"/>
    <w:rsid w:val="00137B70"/>
    <w:rsid w:val="00140B02"/>
    <w:rsid w:val="00140C98"/>
    <w:rsid w:val="00141AF1"/>
    <w:rsid w:val="0014208E"/>
    <w:rsid w:val="00142BD3"/>
    <w:rsid w:val="00143E0F"/>
    <w:rsid w:val="001441DA"/>
    <w:rsid w:val="0014445A"/>
    <w:rsid w:val="001447D5"/>
    <w:rsid w:val="00145B6A"/>
    <w:rsid w:val="0014616E"/>
    <w:rsid w:val="001468BA"/>
    <w:rsid w:val="00146DDD"/>
    <w:rsid w:val="0014766D"/>
    <w:rsid w:val="0015010C"/>
    <w:rsid w:val="0015089E"/>
    <w:rsid w:val="00150C6C"/>
    <w:rsid w:val="0015121B"/>
    <w:rsid w:val="00151489"/>
    <w:rsid w:val="00151D69"/>
    <w:rsid w:val="0015272F"/>
    <w:rsid w:val="00153BCD"/>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7BB4"/>
    <w:rsid w:val="00170B6E"/>
    <w:rsid w:val="0017100E"/>
    <w:rsid w:val="001710CB"/>
    <w:rsid w:val="0017129E"/>
    <w:rsid w:val="001721A2"/>
    <w:rsid w:val="00172F5D"/>
    <w:rsid w:val="00173523"/>
    <w:rsid w:val="00173B17"/>
    <w:rsid w:val="00173C62"/>
    <w:rsid w:val="00173DFC"/>
    <w:rsid w:val="001744A6"/>
    <w:rsid w:val="001750DB"/>
    <w:rsid w:val="0017518A"/>
    <w:rsid w:val="00175265"/>
    <w:rsid w:val="00175449"/>
    <w:rsid w:val="001754F4"/>
    <w:rsid w:val="00175C98"/>
    <w:rsid w:val="00175D58"/>
    <w:rsid w:val="001764EA"/>
    <w:rsid w:val="001779BC"/>
    <w:rsid w:val="00177DFE"/>
    <w:rsid w:val="001807BA"/>
    <w:rsid w:val="00180B60"/>
    <w:rsid w:val="00180CC0"/>
    <w:rsid w:val="001812DE"/>
    <w:rsid w:val="001822E1"/>
    <w:rsid w:val="00182C6A"/>
    <w:rsid w:val="00183192"/>
    <w:rsid w:val="00183E73"/>
    <w:rsid w:val="001852B1"/>
    <w:rsid w:val="001856D5"/>
    <w:rsid w:val="00185C84"/>
    <w:rsid w:val="00186DF1"/>
    <w:rsid w:val="0019046A"/>
    <w:rsid w:val="00190EE7"/>
    <w:rsid w:val="00191127"/>
    <w:rsid w:val="00191CD5"/>
    <w:rsid w:val="00192693"/>
    <w:rsid w:val="001929FC"/>
    <w:rsid w:val="00192AD9"/>
    <w:rsid w:val="00193169"/>
    <w:rsid w:val="0019325C"/>
    <w:rsid w:val="00193F31"/>
    <w:rsid w:val="00194234"/>
    <w:rsid w:val="0019451B"/>
    <w:rsid w:val="0019568E"/>
    <w:rsid w:val="00196AFF"/>
    <w:rsid w:val="001971B9"/>
    <w:rsid w:val="0019727E"/>
    <w:rsid w:val="00197791"/>
    <w:rsid w:val="00197982"/>
    <w:rsid w:val="00197B69"/>
    <w:rsid w:val="00197C38"/>
    <w:rsid w:val="00197C67"/>
    <w:rsid w:val="00197C81"/>
    <w:rsid w:val="00197F5E"/>
    <w:rsid w:val="00197FC6"/>
    <w:rsid w:val="001A00C1"/>
    <w:rsid w:val="001A0282"/>
    <w:rsid w:val="001A0391"/>
    <w:rsid w:val="001A1211"/>
    <w:rsid w:val="001A15F0"/>
    <w:rsid w:val="001A19B0"/>
    <w:rsid w:val="001A1B0B"/>
    <w:rsid w:val="001A2212"/>
    <w:rsid w:val="001A3E89"/>
    <w:rsid w:val="001A5E78"/>
    <w:rsid w:val="001A6457"/>
    <w:rsid w:val="001A7558"/>
    <w:rsid w:val="001A7D24"/>
    <w:rsid w:val="001A7FEA"/>
    <w:rsid w:val="001B0765"/>
    <w:rsid w:val="001B091A"/>
    <w:rsid w:val="001B09A6"/>
    <w:rsid w:val="001B0E3A"/>
    <w:rsid w:val="001B2D50"/>
    <w:rsid w:val="001B39AE"/>
    <w:rsid w:val="001B4530"/>
    <w:rsid w:val="001B4B65"/>
    <w:rsid w:val="001B5233"/>
    <w:rsid w:val="001B58A2"/>
    <w:rsid w:val="001B6298"/>
    <w:rsid w:val="001B6533"/>
    <w:rsid w:val="001B65A6"/>
    <w:rsid w:val="001B7559"/>
    <w:rsid w:val="001B7939"/>
    <w:rsid w:val="001C057A"/>
    <w:rsid w:val="001C067F"/>
    <w:rsid w:val="001C0BDD"/>
    <w:rsid w:val="001C15CE"/>
    <w:rsid w:val="001C16D7"/>
    <w:rsid w:val="001C3037"/>
    <w:rsid w:val="001C318A"/>
    <w:rsid w:val="001C38A1"/>
    <w:rsid w:val="001C3D99"/>
    <w:rsid w:val="001C447E"/>
    <w:rsid w:val="001C4FCF"/>
    <w:rsid w:val="001C58CC"/>
    <w:rsid w:val="001C5BE4"/>
    <w:rsid w:val="001C5EF4"/>
    <w:rsid w:val="001C5FF8"/>
    <w:rsid w:val="001C61FF"/>
    <w:rsid w:val="001C77DD"/>
    <w:rsid w:val="001C7A88"/>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974"/>
    <w:rsid w:val="001E2A81"/>
    <w:rsid w:val="001E3179"/>
    <w:rsid w:val="001E3931"/>
    <w:rsid w:val="001E3990"/>
    <w:rsid w:val="001E5131"/>
    <w:rsid w:val="001E6252"/>
    <w:rsid w:val="001E6B20"/>
    <w:rsid w:val="001E7001"/>
    <w:rsid w:val="001E77C7"/>
    <w:rsid w:val="001E7DA7"/>
    <w:rsid w:val="001F0581"/>
    <w:rsid w:val="001F05C0"/>
    <w:rsid w:val="001F1468"/>
    <w:rsid w:val="001F1477"/>
    <w:rsid w:val="001F1531"/>
    <w:rsid w:val="001F2977"/>
    <w:rsid w:val="001F2D04"/>
    <w:rsid w:val="001F2ED6"/>
    <w:rsid w:val="001F3CAE"/>
    <w:rsid w:val="001F459B"/>
    <w:rsid w:val="001F6F2B"/>
    <w:rsid w:val="001F7FC2"/>
    <w:rsid w:val="0020161E"/>
    <w:rsid w:val="00201B0E"/>
    <w:rsid w:val="00201D22"/>
    <w:rsid w:val="0020229A"/>
    <w:rsid w:val="0020258E"/>
    <w:rsid w:val="00202C55"/>
    <w:rsid w:val="00202F97"/>
    <w:rsid w:val="00203048"/>
    <w:rsid w:val="002053DD"/>
    <w:rsid w:val="002055A9"/>
    <w:rsid w:val="00206DBE"/>
    <w:rsid w:val="00207AFE"/>
    <w:rsid w:val="00207F92"/>
    <w:rsid w:val="002101BB"/>
    <w:rsid w:val="00210A60"/>
    <w:rsid w:val="00211176"/>
    <w:rsid w:val="00211828"/>
    <w:rsid w:val="00211E3E"/>
    <w:rsid w:val="002125FE"/>
    <w:rsid w:val="00212B52"/>
    <w:rsid w:val="00213794"/>
    <w:rsid w:val="00213914"/>
    <w:rsid w:val="00213BDE"/>
    <w:rsid w:val="0021475B"/>
    <w:rsid w:val="00214D52"/>
    <w:rsid w:val="0021586F"/>
    <w:rsid w:val="002169E8"/>
    <w:rsid w:val="00216E31"/>
    <w:rsid w:val="002172D6"/>
    <w:rsid w:val="00217A1B"/>
    <w:rsid w:val="00217C83"/>
    <w:rsid w:val="002204A3"/>
    <w:rsid w:val="0022105A"/>
    <w:rsid w:val="00221470"/>
    <w:rsid w:val="00221801"/>
    <w:rsid w:val="00221808"/>
    <w:rsid w:val="00222244"/>
    <w:rsid w:val="0022241E"/>
    <w:rsid w:val="00222D24"/>
    <w:rsid w:val="00223928"/>
    <w:rsid w:val="00223968"/>
    <w:rsid w:val="00223AC3"/>
    <w:rsid w:val="0022426E"/>
    <w:rsid w:val="002248E4"/>
    <w:rsid w:val="00226D8E"/>
    <w:rsid w:val="00226ECB"/>
    <w:rsid w:val="00227325"/>
    <w:rsid w:val="002305B6"/>
    <w:rsid w:val="0023066F"/>
    <w:rsid w:val="00230D61"/>
    <w:rsid w:val="00231437"/>
    <w:rsid w:val="00231A6B"/>
    <w:rsid w:val="00233364"/>
    <w:rsid w:val="00234558"/>
    <w:rsid w:val="002346DB"/>
    <w:rsid w:val="0023474C"/>
    <w:rsid w:val="00234C6F"/>
    <w:rsid w:val="00234E67"/>
    <w:rsid w:val="00234EFB"/>
    <w:rsid w:val="00234F48"/>
    <w:rsid w:val="0023526C"/>
    <w:rsid w:val="002360DB"/>
    <w:rsid w:val="0023795E"/>
    <w:rsid w:val="00237B60"/>
    <w:rsid w:val="002400E6"/>
    <w:rsid w:val="0024073F"/>
    <w:rsid w:val="002409BF"/>
    <w:rsid w:val="002409E9"/>
    <w:rsid w:val="0024140A"/>
    <w:rsid w:val="00241917"/>
    <w:rsid w:val="00242380"/>
    <w:rsid w:val="0024263E"/>
    <w:rsid w:val="00242846"/>
    <w:rsid w:val="00242CFB"/>
    <w:rsid w:val="00243294"/>
    <w:rsid w:val="002437F9"/>
    <w:rsid w:val="00244B00"/>
    <w:rsid w:val="00245933"/>
    <w:rsid w:val="00245A32"/>
    <w:rsid w:val="00245E63"/>
    <w:rsid w:val="00246473"/>
    <w:rsid w:val="00247A69"/>
    <w:rsid w:val="00247EC2"/>
    <w:rsid w:val="00247EEB"/>
    <w:rsid w:val="00250296"/>
    <w:rsid w:val="00250394"/>
    <w:rsid w:val="00250507"/>
    <w:rsid w:val="00250982"/>
    <w:rsid w:val="00251183"/>
    <w:rsid w:val="00251A5F"/>
    <w:rsid w:val="00251D3D"/>
    <w:rsid w:val="00253193"/>
    <w:rsid w:val="002532D6"/>
    <w:rsid w:val="002536BF"/>
    <w:rsid w:val="00253B4E"/>
    <w:rsid w:val="00253ED0"/>
    <w:rsid w:val="00254018"/>
    <w:rsid w:val="002543D0"/>
    <w:rsid w:val="0025455D"/>
    <w:rsid w:val="00254988"/>
    <w:rsid w:val="00254E57"/>
    <w:rsid w:val="00254EFF"/>
    <w:rsid w:val="00255E47"/>
    <w:rsid w:val="00256747"/>
    <w:rsid w:val="0025707E"/>
    <w:rsid w:val="00257F9F"/>
    <w:rsid w:val="002606B8"/>
    <w:rsid w:val="0026073B"/>
    <w:rsid w:val="0026229C"/>
    <w:rsid w:val="00262464"/>
    <w:rsid w:val="00263395"/>
    <w:rsid w:val="00263E02"/>
    <w:rsid w:val="0026449D"/>
    <w:rsid w:val="00264DCB"/>
    <w:rsid w:val="00265254"/>
    <w:rsid w:val="00266A57"/>
    <w:rsid w:val="00266C60"/>
    <w:rsid w:val="00266D99"/>
    <w:rsid w:val="0026703D"/>
    <w:rsid w:val="00270D4F"/>
    <w:rsid w:val="00270F2A"/>
    <w:rsid w:val="00271CD2"/>
    <w:rsid w:val="00271D4E"/>
    <w:rsid w:val="00272701"/>
    <w:rsid w:val="00272723"/>
    <w:rsid w:val="002738C6"/>
    <w:rsid w:val="00273E45"/>
    <w:rsid w:val="00273FB9"/>
    <w:rsid w:val="00274568"/>
    <w:rsid w:val="002749DA"/>
    <w:rsid w:val="00275010"/>
    <w:rsid w:val="0027593C"/>
    <w:rsid w:val="00275CB3"/>
    <w:rsid w:val="00276A99"/>
    <w:rsid w:val="00276AA7"/>
    <w:rsid w:val="00276B6F"/>
    <w:rsid w:val="00276BAB"/>
    <w:rsid w:val="00277188"/>
    <w:rsid w:val="0027781A"/>
    <w:rsid w:val="0027791B"/>
    <w:rsid w:val="00277E90"/>
    <w:rsid w:val="00280B6C"/>
    <w:rsid w:val="002811FE"/>
    <w:rsid w:val="00281FBF"/>
    <w:rsid w:val="00282000"/>
    <w:rsid w:val="00283497"/>
    <w:rsid w:val="0028385F"/>
    <w:rsid w:val="00283DF8"/>
    <w:rsid w:val="00283FAE"/>
    <w:rsid w:val="0028471A"/>
    <w:rsid w:val="00286E0F"/>
    <w:rsid w:val="00287E8B"/>
    <w:rsid w:val="00290AF6"/>
    <w:rsid w:val="002919F1"/>
    <w:rsid w:val="0029271F"/>
    <w:rsid w:val="00292736"/>
    <w:rsid w:val="0029318B"/>
    <w:rsid w:val="002936C5"/>
    <w:rsid w:val="002938FA"/>
    <w:rsid w:val="00293CC6"/>
    <w:rsid w:val="00293ED6"/>
    <w:rsid w:val="002945C4"/>
    <w:rsid w:val="00295412"/>
    <w:rsid w:val="0029546D"/>
    <w:rsid w:val="002959E7"/>
    <w:rsid w:val="00295A5D"/>
    <w:rsid w:val="002964EC"/>
    <w:rsid w:val="002969E6"/>
    <w:rsid w:val="002978BD"/>
    <w:rsid w:val="00297B28"/>
    <w:rsid w:val="00297CD4"/>
    <w:rsid w:val="002A033E"/>
    <w:rsid w:val="002A05D9"/>
    <w:rsid w:val="002A0784"/>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B04FF"/>
    <w:rsid w:val="002B060C"/>
    <w:rsid w:val="002B1672"/>
    <w:rsid w:val="002B3426"/>
    <w:rsid w:val="002B39BC"/>
    <w:rsid w:val="002B3AD5"/>
    <w:rsid w:val="002B3C2E"/>
    <w:rsid w:val="002B4223"/>
    <w:rsid w:val="002B5166"/>
    <w:rsid w:val="002B5B9F"/>
    <w:rsid w:val="002B6034"/>
    <w:rsid w:val="002B6E16"/>
    <w:rsid w:val="002C0251"/>
    <w:rsid w:val="002C0292"/>
    <w:rsid w:val="002C0D8E"/>
    <w:rsid w:val="002C149A"/>
    <w:rsid w:val="002C2084"/>
    <w:rsid w:val="002C21EF"/>
    <w:rsid w:val="002C222A"/>
    <w:rsid w:val="002C25D2"/>
    <w:rsid w:val="002C32D9"/>
    <w:rsid w:val="002C3595"/>
    <w:rsid w:val="002C3D20"/>
    <w:rsid w:val="002C3D8A"/>
    <w:rsid w:val="002C3E50"/>
    <w:rsid w:val="002C4854"/>
    <w:rsid w:val="002C4AE6"/>
    <w:rsid w:val="002C4E67"/>
    <w:rsid w:val="002C72C1"/>
    <w:rsid w:val="002C73F7"/>
    <w:rsid w:val="002C7B9F"/>
    <w:rsid w:val="002C7E8F"/>
    <w:rsid w:val="002D0463"/>
    <w:rsid w:val="002D06B4"/>
    <w:rsid w:val="002D084A"/>
    <w:rsid w:val="002D1A05"/>
    <w:rsid w:val="002D307B"/>
    <w:rsid w:val="002D3335"/>
    <w:rsid w:val="002D34CB"/>
    <w:rsid w:val="002D383A"/>
    <w:rsid w:val="002D4178"/>
    <w:rsid w:val="002D4467"/>
    <w:rsid w:val="002D47D8"/>
    <w:rsid w:val="002D54F2"/>
    <w:rsid w:val="002D5E0C"/>
    <w:rsid w:val="002D6260"/>
    <w:rsid w:val="002D635F"/>
    <w:rsid w:val="002D64B9"/>
    <w:rsid w:val="002D654C"/>
    <w:rsid w:val="002D66F2"/>
    <w:rsid w:val="002D6816"/>
    <w:rsid w:val="002D6A5F"/>
    <w:rsid w:val="002E064E"/>
    <w:rsid w:val="002E0ACC"/>
    <w:rsid w:val="002E1E8E"/>
    <w:rsid w:val="002E30D6"/>
    <w:rsid w:val="002E3118"/>
    <w:rsid w:val="002E3223"/>
    <w:rsid w:val="002E3860"/>
    <w:rsid w:val="002E3F05"/>
    <w:rsid w:val="002E48E8"/>
    <w:rsid w:val="002E4B25"/>
    <w:rsid w:val="002E4D99"/>
    <w:rsid w:val="002E59C3"/>
    <w:rsid w:val="002E60D1"/>
    <w:rsid w:val="002E614E"/>
    <w:rsid w:val="002E6C8A"/>
    <w:rsid w:val="002F0AB9"/>
    <w:rsid w:val="002F10A4"/>
    <w:rsid w:val="002F12CF"/>
    <w:rsid w:val="002F179E"/>
    <w:rsid w:val="002F194D"/>
    <w:rsid w:val="002F1D84"/>
    <w:rsid w:val="002F23AD"/>
    <w:rsid w:val="002F297D"/>
    <w:rsid w:val="002F30D3"/>
    <w:rsid w:val="002F3265"/>
    <w:rsid w:val="002F3ACC"/>
    <w:rsid w:val="002F4438"/>
    <w:rsid w:val="002F450F"/>
    <w:rsid w:val="002F47E5"/>
    <w:rsid w:val="002F5701"/>
    <w:rsid w:val="002F5E15"/>
    <w:rsid w:val="002F5E51"/>
    <w:rsid w:val="002F5F2D"/>
    <w:rsid w:val="002F6982"/>
    <w:rsid w:val="002F6A67"/>
    <w:rsid w:val="002F7E5A"/>
    <w:rsid w:val="00301A32"/>
    <w:rsid w:val="003027FB"/>
    <w:rsid w:val="00302F6F"/>
    <w:rsid w:val="00303FC3"/>
    <w:rsid w:val="0030423E"/>
    <w:rsid w:val="003044C6"/>
    <w:rsid w:val="003049ED"/>
    <w:rsid w:val="00306E8B"/>
    <w:rsid w:val="003074CD"/>
    <w:rsid w:val="0030786B"/>
    <w:rsid w:val="0030786F"/>
    <w:rsid w:val="0031001C"/>
    <w:rsid w:val="0031072D"/>
    <w:rsid w:val="00310E3A"/>
    <w:rsid w:val="00311B3A"/>
    <w:rsid w:val="003142CB"/>
    <w:rsid w:val="00314652"/>
    <w:rsid w:val="00314713"/>
    <w:rsid w:val="0031485B"/>
    <w:rsid w:val="00314B3E"/>
    <w:rsid w:val="00315BEE"/>
    <w:rsid w:val="00316CD8"/>
    <w:rsid w:val="00317735"/>
    <w:rsid w:val="00317900"/>
    <w:rsid w:val="00320434"/>
    <w:rsid w:val="0032085D"/>
    <w:rsid w:val="00320976"/>
    <w:rsid w:val="003210CC"/>
    <w:rsid w:val="00321700"/>
    <w:rsid w:val="00321AF2"/>
    <w:rsid w:val="003233E5"/>
    <w:rsid w:val="003236F5"/>
    <w:rsid w:val="003237DC"/>
    <w:rsid w:val="00323848"/>
    <w:rsid w:val="00323B14"/>
    <w:rsid w:val="00323BE9"/>
    <w:rsid w:val="00323E57"/>
    <w:rsid w:val="003243A3"/>
    <w:rsid w:val="00324CE5"/>
    <w:rsid w:val="0032529A"/>
    <w:rsid w:val="00326267"/>
    <w:rsid w:val="00326E0D"/>
    <w:rsid w:val="00327290"/>
    <w:rsid w:val="00327717"/>
    <w:rsid w:val="003277DB"/>
    <w:rsid w:val="00327C69"/>
    <w:rsid w:val="00327F53"/>
    <w:rsid w:val="0033038E"/>
    <w:rsid w:val="00330578"/>
    <w:rsid w:val="00332113"/>
    <w:rsid w:val="0033242B"/>
    <w:rsid w:val="00332969"/>
    <w:rsid w:val="00332E2C"/>
    <w:rsid w:val="00333EAB"/>
    <w:rsid w:val="00334529"/>
    <w:rsid w:val="0033464B"/>
    <w:rsid w:val="00334DDA"/>
    <w:rsid w:val="00334E25"/>
    <w:rsid w:val="0033663E"/>
    <w:rsid w:val="00337520"/>
    <w:rsid w:val="003377E4"/>
    <w:rsid w:val="0033792D"/>
    <w:rsid w:val="003379B6"/>
    <w:rsid w:val="00337E8D"/>
    <w:rsid w:val="0034022B"/>
    <w:rsid w:val="003402BE"/>
    <w:rsid w:val="00340833"/>
    <w:rsid w:val="00340D11"/>
    <w:rsid w:val="003411B4"/>
    <w:rsid w:val="00341F0B"/>
    <w:rsid w:val="0034200E"/>
    <w:rsid w:val="003423FB"/>
    <w:rsid w:val="00342C29"/>
    <w:rsid w:val="00343B51"/>
    <w:rsid w:val="00343D1C"/>
    <w:rsid w:val="00344380"/>
    <w:rsid w:val="00345162"/>
    <w:rsid w:val="00345E35"/>
    <w:rsid w:val="00345E57"/>
    <w:rsid w:val="00346597"/>
    <w:rsid w:val="00347644"/>
    <w:rsid w:val="00347A57"/>
    <w:rsid w:val="00347AD6"/>
    <w:rsid w:val="00347D50"/>
    <w:rsid w:val="003506F1"/>
    <w:rsid w:val="00350E9F"/>
    <w:rsid w:val="00351EB9"/>
    <w:rsid w:val="0035298A"/>
    <w:rsid w:val="00353582"/>
    <w:rsid w:val="00354E97"/>
    <w:rsid w:val="00355250"/>
    <w:rsid w:val="0035551B"/>
    <w:rsid w:val="00355B81"/>
    <w:rsid w:val="0035666A"/>
    <w:rsid w:val="00356865"/>
    <w:rsid w:val="00356B7C"/>
    <w:rsid w:val="003574FA"/>
    <w:rsid w:val="003578CC"/>
    <w:rsid w:val="00357F59"/>
    <w:rsid w:val="00360870"/>
    <w:rsid w:val="00360CBD"/>
    <w:rsid w:val="00361726"/>
    <w:rsid w:val="00361B40"/>
    <w:rsid w:val="00361D3F"/>
    <w:rsid w:val="0036200C"/>
    <w:rsid w:val="00362150"/>
    <w:rsid w:val="003621C4"/>
    <w:rsid w:val="00362405"/>
    <w:rsid w:val="00362780"/>
    <w:rsid w:val="00362A67"/>
    <w:rsid w:val="00362F60"/>
    <w:rsid w:val="003631D1"/>
    <w:rsid w:val="00363775"/>
    <w:rsid w:val="00364101"/>
    <w:rsid w:val="0036456E"/>
    <w:rsid w:val="00364971"/>
    <w:rsid w:val="00364B9B"/>
    <w:rsid w:val="00364FE1"/>
    <w:rsid w:val="0036570B"/>
    <w:rsid w:val="00365917"/>
    <w:rsid w:val="00365A12"/>
    <w:rsid w:val="003663D8"/>
    <w:rsid w:val="003675A8"/>
    <w:rsid w:val="00367714"/>
    <w:rsid w:val="00367AE9"/>
    <w:rsid w:val="0037030F"/>
    <w:rsid w:val="00370D8B"/>
    <w:rsid w:val="0037234E"/>
    <w:rsid w:val="0037314D"/>
    <w:rsid w:val="00373160"/>
    <w:rsid w:val="00373547"/>
    <w:rsid w:val="0037375D"/>
    <w:rsid w:val="00373855"/>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5AF"/>
    <w:rsid w:val="00381DE5"/>
    <w:rsid w:val="00381E79"/>
    <w:rsid w:val="00382669"/>
    <w:rsid w:val="003848B1"/>
    <w:rsid w:val="00384B63"/>
    <w:rsid w:val="00384ED6"/>
    <w:rsid w:val="00386437"/>
    <w:rsid w:val="0038758B"/>
    <w:rsid w:val="003876E6"/>
    <w:rsid w:val="00387BE5"/>
    <w:rsid w:val="00387DE2"/>
    <w:rsid w:val="0039031B"/>
    <w:rsid w:val="00390810"/>
    <w:rsid w:val="00390B8B"/>
    <w:rsid w:val="00390D6C"/>
    <w:rsid w:val="0039102C"/>
    <w:rsid w:val="003911D5"/>
    <w:rsid w:val="00391307"/>
    <w:rsid w:val="0039138F"/>
    <w:rsid w:val="00391A75"/>
    <w:rsid w:val="00391C92"/>
    <w:rsid w:val="003921CB"/>
    <w:rsid w:val="00392844"/>
    <w:rsid w:val="00393BB6"/>
    <w:rsid w:val="0039448F"/>
    <w:rsid w:val="00394779"/>
    <w:rsid w:val="003950AA"/>
    <w:rsid w:val="0039615F"/>
    <w:rsid w:val="00396313"/>
    <w:rsid w:val="00396697"/>
    <w:rsid w:val="0039673B"/>
    <w:rsid w:val="00396FE4"/>
    <w:rsid w:val="00397D1B"/>
    <w:rsid w:val="00397E04"/>
    <w:rsid w:val="003A01E8"/>
    <w:rsid w:val="003A0790"/>
    <w:rsid w:val="003A0E19"/>
    <w:rsid w:val="003A1665"/>
    <w:rsid w:val="003A23F9"/>
    <w:rsid w:val="003A2561"/>
    <w:rsid w:val="003A269B"/>
    <w:rsid w:val="003A2807"/>
    <w:rsid w:val="003A29B7"/>
    <w:rsid w:val="003A3344"/>
    <w:rsid w:val="003A348E"/>
    <w:rsid w:val="003A367D"/>
    <w:rsid w:val="003A3A10"/>
    <w:rsid w:val="003A463D"/>
    <w:rsid w:val="003A5026"/>
    <w:rsid w:val="003A54CA"/>
    <w:rsid w:val="003A54EC"/>
    <w:rsid w:val="003A56C5"/>
    <w:rsid w:val="003A64C9"/>
    <w:rsid w:val="003A6DF0"/>
    <w:rsid w:val="003A74CE"/>
    <w:rsid w:val="003A776A"/>
    <w:rsid w:val="003B0110"/>
    <w:rsid w:val="003B05D7"/>
    <w:rsid w:val="003B0687"/>
    <w:rsid w:val="003B07DE"/>
    <w:rsid w:val="003B0CD6"/>
    <w:rsid w:val="003B1034"/>
    <w:rsid w:val="003B1DD8"/>
    <w:rsid w:val="003B1EFC"/>
    <w:rsid w:val="003B2C36"/>
    <w:rsid w:val="003B2D29"/>
    <w:rsid w:val="003B2DCF"/>
    <w:rsid w:val="003B3ACE"/>
    <w:rsid w:val="003B43E8"/>
    <w:rsid w:val="003B4431"/>
    <w:rsid w:val="003B49E4"/>
    <w:rsid w:val="003B4CD6"/>
    <w:rsid w:val="003B520D"/>
    <w:rsid w:val="003B54C7"/>
    <w:rsid w:val="003B5608"/>
    <w:rsid w:val="003B5A31"/>
    <w:rsid w:val="003B68CE"/>
    <w:rsid w:val="003B6F8B"/>
    <w:rsid w:val="003B7156"/>
    <w:rsid w:val="003B7524"/>
    <w:rsid w:val="003B7FF7"/>
    <w:rsid w:val="003C00EC"/>
    <w:rsid w:val="003C060F"/>
    <w:rsid w:val="003C075C"/>
    <w:rsid w:val="003C0D92"/>
    <w:rsid w:val="003C0DF1"/>
    <w:rsid w:val="003C0F9F"/>
    <w:rsid w:val="003C1A87"/>
    <w:rsid w:val="003C2A48"/>
    <w:rsid w:val="003C4298"/>
    <w:rsid w:val="003C42BE"/>
    <w:rsid w:val="003C46C0"/>
    <w:rsid w:val="003C4D81"/>
    <w:rsid w:val="003C4E9C"/>
    <w:rsid w:val="003C53AC"/>
    <w:rsid w:val="003C5679"/>
    <w:rsid w:val="003C7290"/>
    <w:rsid w:val="003C746F"/>
    <w:rsid w:val="003C785A"/>
    <w:rsid w:val="003C7EF1"/>
    <w:rsid w:val="003D07C6"/>
    <w:rsid w:val="003D0BC4"/>
    <w:rsid w:val="003D130B"/>
    <w:rsid w:val="003D139F"/>
    <w:rsid w:val="003D14B2"/>
    <w:rsid w:val="003D2986"/>
    <w:rsid w:val="003D3B24"/>
    <w:rsid w:val="003D3B55"/>
    <w:rsid w:val="003D3BB0"/>
    <w:rsid w:val="003D3D85"/>
    <w:rsid w:val="003D4EFC"/>
    <w:rsid w:val="003D5332"/>
    <w:rsid w:val="003D58BA"/>
    <w:rsid w:val="003D6800"/>
    <w:rsid w:val="003D6C2F"/>
    <w:rsid w:val="003D6C72"/>
    <w:rsid w:val="003D6D58"/>
    <w:rsid w:val="003D71E0"/>
    <w:rsid w:val="003D7FD0"/>
    <w:rsid w:val="003E0545"/>
    <w:rsid w:val="003E0F70"/>
    <w:rsid w:val="003E1FF2"/>
    <w:rsid w:val="003E24EA"/>
    <w:rsid w:val="003E2D2C"/>
    <w:rsid w:val="003E34D6"/>
    <w:rsid w:val="003E3ADD"/>
    <w:rsid w:val="003E4764"/>
    <w:rsid w:val="003E4A0B"/>
    <w:rsid w:val="003E4BDB"/>
    <w:rsid w:val="003E50E3"/>
    <w:rsid w:val="003E5EA7"/>
    <w:rsid w:val="003E5FA6"/>
    <w:rsid w:val="003E63AC"/>
    <w:rsid w:val="003E63C2"/>
    <w:rsid w:val="003E6788"/>
    <w:rsid w:val="003F0100"/>
    <w:rsid w:val="003F09BA"/>
    <w:rsid w:val="003F462F"/>
    <w:rsid w:val="003F5A3B"/>
    <w:rsid w:val="003F5B4E"/>
    <w:rsid w:val="003F5F1F"/>
    <w:rsid w:val="003F6BE7"/>
    <w:rsid w:val="003F7525"/>
    <w:rsid w:val="003F7FBE"/>
    <w:rsid w:val="003F7FC7"/>
    <w:rsid w:val="00400A31"/>
    <w:rsid w:val="004012BF"/>
    <w:rsid w:val="00401578"/>
    <w:rsid w:val="00403234"/>
    <w:rsid w:val="004035D4"/>
    <w:rsid w:val="004037BA"/>
    <w:rsid w:val="004039C1"/>
    <w:rsid w:val="00404F05"/>
    <w:rsid w:val="00404F42"/>
    <w:rsid w:val="00405E30"/>
    <w:rsid w:val="0040676E"/>
    <w:rsid w:val="00406923"/>
    <w:rsid w:val="00406BC0"/>
    <w:rsid w:val="004070B1"/>
    <w:rsid w:val="00407776"/>
    <w:rsid w:val="004102F8"/>
    <w:rsid w:val="0041032D"/>
    <w:rsid w:val="00411184"/>
    <w:rsid w:val="004112E3"/>
    <w:rsid w:val="00412A52"/>
    <w:rsid w:val="00412D3E"/>
    <w:rsid w:val="004138A7"/>
    <w:rsid w:val="00413A73"/>
    <w:rsid w:val="00414F15"/>
    <w:rsid w:val="004158AA"/>
    <w:rsid w:val="004159A7"/>
    <w:rsid w:val="00415E78"/>
    <w:rsid w:val="00416940"/>
    <w:rsid w:val="00417D9F"/>
    <w:rsid w:val="0042067C"/>
    <w:rsid w:val="004225C0"/>
    <w:rsid w:val="004227CE"/>
    <w:rsid w:val="0042328F"/>
    <w:rsid w:val="0042348C"/>
    <w:rsid w:val="004236B7"/>
    <w:rsid w:val="00424E19"/>
    <w:rsid w:val="0042517A"/>
    <w:rsid w:val="00425366"/>
    <w:rsid w:val="004263DD"/>
    <w:rsid w:val="004266C6"/>
    <w:rsid w:val="00426755"/>
    <w:rsid w:val="00426B22"/>
    <w:rsid w:val="00427140"/>
    <w:rsid w:val="00427A9D"/>
    <w:rsid w:val="004303CC"/>
    <w:rsid w:val="004307F0"/>
    <w:rsid w:val="00430E10"/>
    <w:rsid w:val="00431021"/>
    <w:rsid w:val="0043126A"/>
    <w:rsid w:val="004315FB"/>
    <w:rsid w:val="00432B1E"/>
    <w:rsid w:val="00432C83"/>
    <w:rsid w:val="00432ED3"/>
    <w:rsid w:val="00433693"/>
    <w:rsid w:val="00434260"/>
    <w:rsid w:val="00434375"/>
    <w:rsid w:val="004343C6"/>
    <w:rsid w:val="00434400"/>
    <w:rsid w:val="00434441"/>
    <w:rsid w:val="0043494A"/>
    <w:rsid w:val="0043552E"/>
    <w:rsid w:val="004370E8"/>
    <w:rsid w:val="00437849"/>
    <w:rsid w:val="00437CC8"/>
    <w:rsid w:val="0044029D"/>
    <w:rsid w:val="00440831"/>
    <w:rsid w:val="00440D55"/>
    <w:rsid w:val="00441696"/>
    <w:rsid w:val="00441F27"/>
    <w:rsid w:val="0044236C"/>
    <w:rsid w:val="00442C23"/>
    <w:rsid w:val="00443A4A"/>
    <w:rsid w:val="004447B1"/>
    <w:rsid w:val="004448D8"/>
    <w:rsid w:val="00445E91"/>
    <w:rsid w:val="004462A3"/>
    <w:rsid w:val="004469AE"/>
    <w:rsid w:val="00446E44"/>
    <w:rsid w:val="004472C4"/>
    <w:rsid w:val="0044775E"/>
    <w:rsid w:val="004500C8"/>
    <w:rsid w:val="0045091A"/>
    <w:rsid w:val="00450988"/>
    <w:rsid w:val="00450A43"/>
    <w:rsid w:val="00450A5A"/>
    <w:rsid w:val="00451B01"/>
    <w:rsid w:val="00452110"/>
    <w:rsid w:val="00452EDC"/>
    <w:rsid w:val="00452F24"/>
    <w:rsid w:val="00453152"/>
    <w:rsid w:val="004537D1"/>
    <w:rsid w:val="00454018"/>
    <w:rsid w:val="004548DF"/>
    <w:rsid w:val="004548FA"/>
    <w:rsid w:val="00454F88"/>
    <w:rsid w:val="00455969"/>
    <w:rsid w:val="00456C13"/>
    <w:rsid w:val="00456FFD"/>
    <w:rsid w:val="0045741A"/>
    <w:rsid w:val="00457466"/>
    <w:rsid w:val="00457D24"/>
    <w:rsid w:val="00457DD8"/>
    <w:rsid w:val="004602DF"/>
    <w:rsid w:val="00460566"/>
    <w:rsid w:val="004608FB"/>
    <w:rsid w:val="004609DA"/>
    <w:rsid w:val="0046101D"/>
    <w:rsid w:val="00461699"/>
    <w:rsid w:val="00461849"/>
    <w:rsid w:val="00461CBF"/>
    <w:rsid w:val="00462590"/>
    <w:rsid w:val="004630CB"/>
    <w:rsid w:val="00463FE2"/>
    <w:rsid w:val="004641F2"/>
    <w:rsid w:val="004643C0"/>
    <w:rsid w:val="00464948"/>
    <w:rsid w:val="00465206"/>
    <w:rsid w:val="0046532C"/>
    <w:rsid w:val="00465BC2"/>
    <w:rsid w:val="004661F8"/>
    <w:rsid w:val="00466EED"/>
    <w:rsid w:val="00466F7F"/>
    <w:rsid w:val="00467E72"/>
    <w:rsid w:val="0047035C"/>
    <w:rsid w:val="00470636"/>
    <w:rsid w:val="004711BE"/>
    <w:rsid w:val="00471CD6"/>
    <w:rsid w:val="00471DAE"/>
    <w:rsid w:val="004724C4"/>
    <w:rsid w:val="00474025"/>
    <w:rsid w:val="0047411E"/>
    <w:rsid w:val="00474239"/>
    <w:rsid w:val="004742B6"/>
    <w:rsid w:val="0047447E"/>
    <w:rsid w:val="00474F6B"/>
    <w:rsid w:val="00475159"/>
    <w:rsid w:val="00475509"/>
    <w:rsid w:val="0047571C"/>
    <w:rsid w:val="0047571E"/>
    <w:rsid w:val="00475CB5"/>
    <w:rsid w:val="004763AB"/>
    <w:rsid w:val="004766CB"/>
    <w:rsid w:val="00476820"/>
    <w:rsid w:val="00476EC1"/>
    <w:rsid w:val="004776BE"/>
    <w:rsid w:val="0048029A"/>
    <w:rsid w:val="004814E7"/>
    <w:rsid w:val="004815AE"/>
    <w:rsid w:val="0048276D"/>
    <w:rsid w:val="00483E05"/>
    <w:rsid w:val="0048472E"/>
    <w:rsid w:val="00484FBA"/>
    <w:rsid w:val="00485DB7"/>
    <w:rsid w:val="004868D6"/>
    <w:rsid w:val="0048727C"/>
    <w:rsid w:val="00487843"/>
    <w:rsid w:val="00487939"/>
    <w:rsid w:val="004907DD"/>
    <w:rsid w:val="00491347"/>
    <w:rsid w:val="0049143A"/>
    <w:rsid w:val="0049176E"/>
    <w:rsid w:val="004917FE"/>
    <w:rsid w:val="00491EAD"/>
    <w:rsid w:val="00491EE2"/>
    <w:rsid w:val="004922F0"/>
    <w:rsid w:val="004927FF"/>
    <w:rsid w:val="004928D9"/>
    <w:rsid w:val="00493426"/>
    <w:rsid w:val="004937E8"/>
    <w:rsid w:val="00493877"/>
    <w:rsid w:val="004956AD"/>
    <w:rsid w:val="00495C19"/>
    <w:rsid w:val="004962E9"/>
    <w:rsid w:val="004964A9"/>
    <w:rsid w:val="00497981"/>
    <w:rsid w:val="004A0111"/>
    <w:rsid w:val="004A02B0"/>
    <w:rsid w:val="004A0DED"/>
    <w:rsid w:val="004A0FE1"/>
    <w:rsid w:val="004A1021"/>
    <w:rsid w:val="004A1968"/>
    <w:rsid w:val="004A1EA1"/>
    <w:rsid w:val="004A25BC"/>
    <w:rsid w:val="004A383D"/>
    <w:rsid w:val="004A4459"/>
    <w:rsid w:val="004A468E"/>
    <w:rsid w:val="004A4FD8"/>
    <w:rsid w:val="004A56C3"/>
    <w:rsid w:val="004A5A06"/>
    <w:rsid w:val="004A5D26"/>
    <w:rsid w:val="004A63CC"/>
    <w:rsid w:val="004A6469"/>
    <w:rsid w:val="004A7D3C"/>
    <w:rsid w:val="004B02B7"/>
    <w:rsid w:val="004B0E80"/>
    <w:rsid w:val="004B1421"/>
    <w:rsid w:val="004B176D"/>
    <w:rsid w:val="004B1DEA"/>
    <w:rsid w:val="004B259A"/>
    <w:rsid w:val="004B25DE"/>
    <w:rsid w:val="004B2BDB"/>
    <w:rsid w:val="004B2E08"/>
    <w:rsid w:val="004B4530"/>
    <w:rsid w:val="004B45BF"/>
    <w:rsid w:val="004B51BB"/>
    <w:rsid w:val="004B5658"/>
    <w:rsid w:val="004B5A1F"/>
    <w:rsid w:val="004B5C5F"/>
    <w:rsid w:val="004B62F5"/>
    <w:rsid w:val="004B63B0"/>
    <w:rsid w:val="004B6E2D"/>
    <w:rsid w:val="004C0755"/>
    <w:rsid w:val="004C0BEF"/>
    <w:rsid w:val="004C39F9"/>
    <w:rsid w:val="004C3C81"/>
    <w:rsid w:val="004C45CA"/>
    <w:rsid w:val="004C5160"/>
    <w:rsid w:val="004C5CD9"/>
    <w:rsid w:val="004C6336"/>
    <w:rsid w:val="004C69D8"/>
    <w:rsid w:val="004C75A4"/>
    <w:rsid w:val="004C7940"/>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14C"/>
    <w:rsid w:val="004D452A"/>
    <w:rsid w:val="004D457C"/>
    <w:rsid w:val="004D4F9F"/>
    <w:rsid w:val="004D5112"/>
    <w:rsid w:val="004D551D"/>
    <w:rsid w:val="004D5549"/>
    <w:rsid w:val="004D5A73"/>
    <w:rsid w:val="004D6D56"/>
    <w:rsid w:val="004D74CF"/>
    <w:rsid w:val="004D757C"/>
    <w:rsid w:val="004D7A4A"/>
    <w:rsid w:val="004D7BD2"/>
    <w:rsid w:val="004E0260"/>
    <w:rsid w:val="004E06EC"/>
    <w:rsid w:val="004E06FF"/>
    <w:rsid w:val="004E0B33"/>
    <w:rsid w:val="004E17AF"/>
    <w:rsid w:val="004E1908"/>
    <w:rsid w:val="004E1941"/>
    <w:rsid w:val="004E19FE"/>
    <w:rsid w:val="004E1A5E"/>
    <w:rsid w:val="004E1D23"/>
    <w:rsid w:val="004E2560"/>
    <w:rsid w:val="004E27BC"/>
    <w:rsid w:val="004E3F1C"/>
    <w:rsid w:val="004E4CBA"/>
    <w:rsid w:val="004E4E71"/>
    <w:rsid w:val="004E4FE3"/>
    <w:rsid w:val="004E5804"/>
    <w:rsid w:val="004E596A"/>
    <w:rsid w:val="004E5E59"/>
    <w:rsid w:val="004E5EEE"/>
    <w:rsid w:val="004E687A"/>
    <w:rsid w:val="004E7445"/>
    <w:rsid w:val="004E756C"/>
    <w:rsid w:val="004E7749"/>
    <w:rsid w:val="004E7CA6"/>
    <w:rsid w:val="004E7D18"/>
    <w:rsid w:val="004F0181"/>
    <w:rsid w:val="004F054E"/>
    <w:rsid w:val="004F195A"/>
    <w:rsid w:val="004F1B26"/>
    <w:rsid w:val="004F31FC"/>
    <w:rsid w:val="004F42BF"/>
    <w:rsid w:val="004F4A02"/>
    <w:rsid w:val="004F4F72"/>
    <w:rsid w:val="004F530C"/>
    <w:rsid w:val="004F6227"/>
    <w:rsid w:val="004F6613"/>
    <w:rsid w:val="004F6788"/>
    <w:rsid w:val="004F68B9"/>
    <w:rsid w:val="004F6A3A"/>
    <w:rsid w:val="004F7339"/>
    <w:rsid w:val="005011FA"/>
    <w:rsid w:val="00501732"/>
    <w:rsid w:val="005017C8"/>
    <w:rsid w:val="005028B8"/>
    <w:rsid w:val="00502CA4"/>
    <w:rsid w:val="0050338C"/>
    <w:rsid w:val="005034A1"/>
    <w:rsid w:val="005035D5"/>
    <w:rsid w:val="00503CDE"/>
    <w:rsid w:val="005044F3"/>
    <w:rsid w:val="00504CC9"/>
    <w:rsid w:val="005052C4"/>
    <w:rsid w:val="00505D97"/>
    <w:rsid w:val="00506144"/>
    <w:rsid w:val="00506303"/>
    <w:rsid w:val="00506492"/>
    <w:rsid w:val="00506A7E"/>
    <w:rsid w:val="00507624"/>
    <w:rsid w:val="00510489"/>
    <w:rsid w:val="0051064B"/>
    <w:rsid w:val="005109B3"/>
    <w:rsid w:val="00510B05"/>
    <w:rsid w:val="005114A5"/>
    <w:rsid w:val="00513291"/>
    <w:rsid w:val="00513544"/>
    <w:rsid w:val="0051369A"/>
    <w:rsid w:val="00513836"/>
    <w:rsid w:val="00513D36"/>
    <w:rsid w:val="0051406F"/>
    <w:rsid w:val="00514CAD"/>
    <w:rsid w:val="00514CC8"/>
    <w:rsid w:val="00514FFB"/>
    <w:rsid w:val="0051516F"/>
    <w:rsid w:val="00515268"/>
    <w:rsid w:val="005154BB"/>
    <w:rsid w:val="005156AA"/>
    <w:rsid w:val="005157E7"/>
    <w:rsid w:val="00517ABC"/>
    <w:rsid w:val="00517D1E"/>
    <w:rsid w:val="005203C2"/>
    <w:rsid w:val="005204BF"/>
    <w:rsid w:val="00520868"/>
    <w:rsid w:val="00520E50"/>
    <w:rsid w:val="005211F2"/>
    <w:rsid w:val="005214BF"/>
    <w:rsid w:val="00522162"/>
    <w:rsid w:val="00523E25"/>
    <w:rsid w:val="005245D2"/>
    <w:rsid w:val="005252B6"/>
    <w:rsid w:val="005253AC"/>
    <w:rsid w:val="00525816"/>
    <w:rsid w:val="005274C8"/>
    <w:rsid w:val="0052756B"/>
    <w:rsid w:val="0053074A"/>
    <w:rsid w:val="00530A4C"/>
    <w:rsid w:val="00530D60"/>
    <w:rsid w:val="0053146C"/>
    <w:rsid w:val="00531925"/>
    <w:rsid w:val="00532D77"/>
    <w:rsid w:val="00533082"/>
    <w:rsid w:val="005332D4"/>
    <w:rsid w:val="005332EF"/>
    <w:rsid w:val="005344E4"/>
    <w:rsid w:val="00534716"/>
    <w:rsid w:val="0053560F"/>
    <w:rsid w:val="00536778"/>
    <w:rsid w:val="005372FC"/>
    <w:rsid w:val="005373A1"/>
    <w:rsid w:val="00537520"/>
    <w:rsid w:val="00537585"/>
    <w:rsid w:val="00542493"/>
    <w:rsid w:val="0054290D"/>
    <w:rsid w:val="005439CF"/>
    <w:rsid w:val="00543D3A"/>
    <w:rsid w:val="005442E4"/>
    <w:rsid w:val="0054531E"/>
    <w:rsid w:val="00546262"/>
    <w:rsid w:val="00546717"/>
    <w:rsid w:val="0054731B"/>
    <w:rsid w:val="00547FD4"/>
    <w:rsid w:val="005504D3"/>
    <w:rsid w:val="00550EAC"/>
    <w:rsid w:val="00551A73"/>
    <w:rsid w:val="005527F8"/>
    <w:rsid w:val="00552C4B"/>
    <w:rsid w:val="00552FD0"/>
    <w:rsid w:val="005532EC"/>
    <w:rsid w:val="00553EB2"/>
    <w:rsid w:val="00554224"/>
    <w:rsid w:val="00554CD7"/>
    <w:rsid w:val="00555F21"/>
    <w:rsid w:val="00556938"/>
    <w:rsid w:val="00557439"/>
    <w:rsid w:val="0056074E"/>
    <w:rsid w:val="00560966"/>
    <w:rsid w:val="00560DD0"/>
    <w:rsid w:val="00561227"/>
    <w:rsid w:val="00561C6F"/>
    <w:rsid w:val="00562707"/>
    <w:rsid w:val="00562A40"/>
    <w:rsid w:val="005637A2"/>
    <w:rsid w:val="00563923"/>
    <w:rsid w:val="00564495"/>
    <w:rsid w:val="0056551E"/>
    <w:rsid w:val="0056552B"/>
    <w:rsid w:val="00565D72"/>
    <w:rsid w:val="00565FE5"/>
    <w:rsid w:val="00566246"/>
    <w:rsid w:val="00566D9B"/>
    <w:rsid w:val="00567620"/>
    <w:rsid w:val="00567967"/>
    <w:rsid w:val="00570362"/>
    <w:rsid w:val="00570F1E"/>
    <w:rsid w:val="005718E1"/>
    <w:rsid w:val="00571C4F"/>
    <w:rsid w:val="00571F3E"/>
    <w:rsid w:val="00572176"/>
    <w:rsid w:val="00572633"/>
    <w:rsid w:val="0057274A"/>
    <w:rsid w:val="00573270"/>
    <w:rsid w:val="005741C7"/>
    <w:rsid w:val="0057450D"/>
    <w:rsid w:val="00574DBE"/>
    <w:rsid w:val="00574DFF"/>
    <w:rsid w:val="0057585E"/>
    <w:rsid w:val="00575C36"/>
    <w:rsid w:val="00575F29"/>
    <w:rsid w:val="00575F5B"/>
    <w:rsid w:val="005768EC"/>
    <w:rsid w:val="00576BEF"/>
    <w:rsid w:val="00577105"/>
    <w:rsid w:val="0057755A"/>
    <w:rsid w:val="0058041C"/>
    <w:rsid w:val="0058061B"/>
    <w:rsid w:val="00580837"/>
    <w:rsid w:val="00580FA7"/>
    <w:rsid w:val="005812AB"/>
    <w:rsid w:val="00581451"/>
    <w:rsid w:val="0058281E"/>
    <w:rsid w:val="0058288F"/>
    <w:rsid w:val="00584275"/>
    <w:rsid w:val="005843B7"/>
    <w:rsid w:val="00584BD6"/>
    <w:rsid w:val="00584E3A"/>
    <w:rsid w:val="00585275"/>
    <w:rsid w:val="00585B6F"/>
    <w:rsid w:val="00585F96"/>
    <w:rsid w:val="00586E01"/>
    <w:rsid w:val="0059041D"/>
    <w:rsid w:val="00590D69"/>
    <w:rsid w:val="0059103F"/>
    <w:rsid w:val="0059144E"/>
    <w:rsid w:val="00591472"/>
    <w:rsid w:val="0059309B"/>
    <w:rsid w:val="00593F07"/>
    <w:rsid w:val="00594751"/>
    <w:rsid w:val="00594841"/>
    <w:rsid w:val="005950A4"/>
    <w:rsid w:val="00595908"/>
    <w:rsid w:val="00595AAE"/>
    <w:rsid w:val="00596215"/>
    <w:rsid w:val="00596222"/>
    <w:rsid w:val="005976FA"/>
    <w:rsid w:val="005A01D5"/>
    <w:rsid w:val="005A0650"/>
    <w:rsid w:val="005A1955"/>
    <w:rsid w:val="005A210B"/>
    <w:rsid w:val="005A32FD"/>
    <w:rsid w:val="005A33A3"/>
    <w:rsid w:val="005A3500"/>
    <w:rsid w:val="005A3D8D"/>
    <w:rsid w:val="005A4303"/>
    <w:rsid w:val="005A486A"/>
    <w:rsid w:val="005A4E6B"/>
    <w:rsid w:val="005A4F6A"/>
    <w:rsid w:val="005A5949"/>
    <w:rsid w:val="005A5D07"/>
    <w:rsid w:val="005A659A"/>
    <w:rsid w:val="005A69D9"/>
    <w:rsid w:val="005A6AC1"/>
    <w:rsid w:val="005A6E70"/>
    <w:rsid w:val="005B0196"/>
    <w:rsid w:val="005B08D3"/>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699E"/>
    <w:rsid w:val="005B6A29"/>
    <w:rsid w:val="005B7188"/>
    <w:rsid w:val="005B78AA"/>
    <w:rsid w:val="005C0075"/>
    <w:rsid w:val="005C032E"/>
    <w:rsid w:val="005C078A"/>
    <w:rsid w:val="005C0A86"/>
    <w:rsid w:val="005C131F"/>
    <w:rsid w:val="005C1DFC"/>
    <w:rsid w:val="005C2295"/>
    <w:rsid w:val="005C2C8B"/>
    <w:rsid w:val="005C2D99"/>
    <w:rsid w:val="005C3F98"/>
    <w:rsid w:val="005C4AA6"/>
    <w:rsid w:val="005C58A2"/>
    <w:rsid w:val="005C608A"/>
    <w:rsid w:val="005C6570"/>
    <w:rsid w:val="005C6D9F"/>
    <w:rsid w:val="005C6EFD"/>
    <w:rsid w:val="005C7C32"/>
    <w:rsid w:val="005C7DAA"/>
    <w:rsid w:val="005D0375"/>
    <w:rsid w:val="005D12BD"/>
    <w:rsid w:val="005D171D"/>
    <w:rsid w:val="005D1ECB"/>
    <w:rsid w:val="005D23F7"/>
    <w:rsid w:val="005D3D10"/>
    <w:rsid w:val="005D4124"/>
    <w:rsid w:val="005D44FB"/>
    <w:rsid w:val="005D5988"/>
    <w:rsid w:val="005D5BCA"/>
    <w:rsid w:val="005D60D6"/>
    <w:rsid w:val="005D6456"/>
    <w:rsid w:val="005D689D"/>
    <w:rsid w:val="005D7AD9"/>
    <w:rsid w:val="005E02A8"/>
    <w:rsid w:val="005E036E"/>
    <w:rsid w:val="005E04CB"/>
    <w:rsid w:val="005E0682"/>
    <w:rsid w:val="005E07B1"/>
    <w:rsid w:val="005E08C8"/>
    <w:rsid w:val="005E12BE"/>
    <w:rsid w:val="005E2689"/>
    <w:rsid w:val="005E2D0C"/>
    <w:rsid w:val="005E2D47"/>
    <w:rsid w:val="005E352B"/>
    <w:rsid w:val="005E380E"/>
    <w:rsid w:val="005E4870"/>
    <w:rsid w:val="005E490F"/>
    <w:rsid w:val="005E4C1E"/>
    <w:rsid w:val="005E6E48"/>
    <w:rsid w:val="005E6F74"/>
    <w:rsid w:val="005E7875"/>
    <w:rsid w:val="005F0A5B"/>
    <w:rsid w:val="005F0D5D"/>
    <w:rsid w:val="005F11AB"/>
    <w:rsid w:val="005F137A"/>
    <w:rsid w:val="005F15F6"/>
    <w:rsid w:val="005F28FC"/>
    <w:rsid w:val="005F32A2"/>
    <w:rsid w:val="005F34A5"/>
    <w:rsid w:val="005F3F0C"/>
    <w:rsid w:val="005F445F"/>
    <w:rsid w:val="005F44AE"/>
    <w:rsid w:val="005F6FC0"/>
    <w:rsid w:val="005F7082"/>
    <w:rsid w:val="005F7245"/>
    <w:rsid w:val="005F778B"/>
    <w:rsid w:val="005F7919"/>
    <w:rsid w:val="00600B0A"/>
    <w:rsid w:val="006011F7"/>
    <w:rsid w:val="00601317"/>
    <w:rsid w:val="00601661"/>
    <w:rsid w:val="006018C7"/>
    <w:rsid w:val="00602A19"/>
    <w:rsid w:val="00603007"/>
    <w:rsid w:val="0060305F"/>
    <w:rsid w:val="0060322E"/>
    <w:rsid w:val="00603A0A"/>
    <w:rsid w:val="00603B35"/>
    <w:rsid w:val="00605450"/>
    <w:rsid w:val="006056DC"/>
    <w:rsid w:val="00606C62"/>
    <w:rsid w:val="00606DD4"/>
    <w:rsid w:val="00606FBE"/>
    <w:rsid w:val="00607CC5"/>
    <w:rsid w:val="0061002B"/>
    <w:rsid w:val="00611C6B"/>
    <w:rsid w:val="0061204F"/>
    <w:rsid w:val="00612572"/>
    <w:rsid w:val="00612C5B"/>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48C"/>
    <w:rsid w:val="00617810"/>
    <w:rsid w:val="0062005F"/>
    <w:rsid w:val="006201EB"/>
    <w:rsid w:val="00620BC4"/>
    <w:rsid w:val="00620DB6"/>
    <w:rsid w:val="00621B72"/>
    <w:rsid w:val="006225D4"/>
    <w:rsid w:val="006227A5"/>
    <w:rsid w:val="006228AE"/>
    <w:rsid w:val="00623974"/>
    <w:rsid w:val="00624244"/>
    <w:rsid w:val="006243CA"/>
    <w:rsid w:val="00624549"/>
    <w:rsid w:val="006257CC"/>
    <w:rsid w:val="00625859"/>
    <w:rsid w:val="00625971"/>
    <w:rsid w:val="0062607D"/>
    <w:rsid w:val="00626111"/>
    <w:rsid w:val="0062619F"/>
    <w:rsid w:val="00626420"/>
    <w:rsid w:val="00626EE7"/>
    <w:rsid w:val="006272A6"/>
    <w:rsid w:val="00627488"/>
    <w:rsid w:val="006278F6"/>
    <w:rsid w:val="006302C0"/>
    <w:rsid w:val="00630C21"/>
    <w:rsid w:val="0063165D"/>
    <w:rsid w:val="006319F7"/>
    <w:rsid w:val="00632663"/>
    <w:rsid w:val="00632AC5"/>
    <w:rsid w:val="00632C80"/>
    <w:rsid w:val="006350B9"/>
    <w:rsid w:val="00635408"/>
    <w:rsid w:val="0063551A"/>
    <w:rsid w:val="00635B97"/>
    <w:rsid w:val="00636258"/>
    <w:rsid w:val="00636267"/>
    <w:rsid w:val="0063684F"/>
    <w:rsid w:val="00636BB7"/>
    <w:rsid w:val="006379C7"/>
    <w:rsid w:val="0064072C"/>
    <w:rsid w:val="00641C8D"/>
    <w:rsid w:val="00643734"/>
    <w:rsid w:val="006437E7"/>
    <w:rsid w:val="006437EC"/>
    <w:rsid w:val="0064465A"/>
    <w:rsid w:val="00644CFB"/>
    <w:rsid w:val="00644E64"/>
    <w:rsid w:val="00644EAE"/>
    <w:rsid w:val="0064511D"/>
    <w:rsid w:val="00645ADF"/>
    <w:rsid w:val="00645CAF"/>
    <w:rsid w:val="00646A56"/>
    <w:rsid w:val="00646B84"/>
    <w:rsid w:val="00647518"/>
    <w:rsid w:val="00647F50"/>
    <w:rsid w:val="006503F2"/>
    <w:rsid w:val="00651239"/>
    <w:rsid w:val="0065297C"/>
    <w:rsid w:val="00652AC7"/>
    <w:rsid w:val="00652D48"/>
    <w:rsid w:val="00653292"/>
    <w:rsid w:val="00653B9F"/>
    <w:rsid w:val="0065480C"/>
    <w:rsid w:val="00654C02"/>
    <w:rsid w:val="00654E38"/>
    <w:rsid w:val="00655A7B"/>
    <w:rsid w:val="0065693F"/>
    <w:rsid w:val="00656E40"/>
    <w:rsid w:val="00657E4C"/>
    <w:rsid w:val="00660459"/>
    <w:rsid w:val="00661FC4"/>
    <w:rsid w:val="0066240C"/>
    <w:rsid w:val="00662B17"/>
    <w:rsid w:val="006635B3"/>
    <w:rsid w:val="0066468B"/>
    <w:rsid w:val="00664FF7"/>
    <w:rsid w:val="00665496"/>
    <w:rsid w:val="006657F4"/>
    <w:rsid w:val="00665CAD"/>
    <w:rsid w:val="00666A0C"/>
    <w:rsid w:val="00673703"/>
    <w:rsid w:val="006737B5"/>
    <w:rsid w:val="00673D00"/>
    <w:rsid w:val="0067533F"/>
    <w:rsid w:val="00675363"/>
    <w:rsid w:val="00675AEF"/>
    <w:rsid w:val="00675D9F"/>
    <w:rsid w:val="00675EC0"/>
    <w:rsid w:val="006762C6"/>
    <w:rsid w:val="00676B91"/>
    <w:rsid w:val="00677432"/>
    <w:rsid w:val="00677A92"/>
    <w:rsid w:val="00677C45"/>
    <w:rsid w:val="00677D95"/>
    <w:rsid w:val="006802E6"/>
    <w:rsid w:val="0068039F"/>
    <w:rsid w:val="00681898"/>
    <w:rsid w:val="00681FA4"/>
    <w:rsid w:val="0068236E"/>
    <w:rsid w:val="0068254C"/>
    <w:rsid w:val="006825DC"/>
    <w:rsid w:val="006829E9"/>
    <w:rsid w:val="006832AD"/>
    <w:rsid w:val="00683827"/>
    <w:rsid w:val="00683AD5"/>
    <w:rsid w:val="006848ED"/>
    <w:rsid w:val="00687B22"/>
    <w:rsid w:val="00690A17"/>
    <w:rsid w:val="00690E83"/>
    <w:rsid w:val="00690E99"/>
    <w:rsid w:val="00691323"/>
    <w:rsid w:val="00691A84"/>
    <w:rsid w:val="00691BAD"/>
    <w:rsid w:val="0069259A"/>
    <w:rsid w:val="00692E50"/>
    <w:rsid w:val="006930F0"/>
    <w:rsid w:val="006946E9"/>
    <w:rsid w:val="00694BF1"/>
    <w:rsid w:val="00694F2E"/>
    <w:rsid w:val="0069614B"/>
    <w:rsid w:val="0069654D"/>
    <w:rsid w:val="00696913"/>
    <w:rsid w:val="00696963"/>
    <w:rsid w:val="006971E5"/>
    <w:rsid w:val="006975D3"/>
    <w:rsid w:val="00697DB8"/>
    <w:rsid w:val="006A03BD"/>
    <w:rsid w:val="006A0705"/>
    <w:rsid w:val="006A07EA"/>
    <w:rsid w:val="006A132F"/>
    <w:rsid w:val="006A1839"/>
    <w:rsid w:val="006A2680"/>
    <w:rsid w:val="006A2951"/>
    <w:rsid w:val="006A3476"/>
    <w:rsid w:val="006A51B7"/>
    <w:rsid w:val="006A5ADF"/>
    <w:rsid w:val="006A5B0B"/>
    <w:rsid w:val="006A620A"/>
    <w:rsid w:val="006A62CC"/>
    <w:rsid w:val="006A661B"/>
    <w:rsid w:val="006A6C14"/>
    <w:rsid w:val="006A79E4"/>
    <w:rsid w:val="006A7D57"/>
    <w:rsid w:val="006B04A8"/>
    <w:rsid w:val="006B05C9"/>
    <w:rsid w:val="006B11CF"/>
    <w:rsid w:val="006B12E6"/>
    <w:rsid w:val="006B14A8"/>
    <w:rsid w:val="006B2BB6"/>
    <w:rsid w:val="006B371E"/>
    <w:rsid w:val="006B3E27"/>
    <w:rsid w:val="006B3E48"/>
    <w:rsid w:val="006B409E"/>
    <w:rsid w:val="006B448A"/>
    <w:rsid w:val="006B54B3"/>
    <w:rsid w:val="006B5FF7"/>
    <w:rsid w:val="006B633B"/>
    <w:rsid w:val="006B6F49"/>
    <w:rsid w:val="006B7238"/>
    <w:rsid w:val="006B7635"/>
    <w:rsid w:val="006B7A6F"/>
    <w:rsid w:val="006B7FF0"/>
    <w:rsid w:val="006C04A6"/>
    <w:rsid w:val="006C0608"/>
    <w:rsid w:val="006C08B5"/>
    <w:rsid w:val="006C0C3F"/>
    <w:rsid w:val="006C1344"/>
    <w:rsid w:val="006C171D"/>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2CE"/>
    <w:rsid w:val="006C65F6"/>
    <w:rsid w:val="006C67B4"/>
    <w:rsid w:val="006C728F"/>
    <w:rsid w:val="006C74DC"/>
    <w:rsid w:val="006C7E80"/>
    <w:rsid w:val="006D06C8"/>
    <w:rsid w:val="006D07E7"/>
    <w:rsid w:val="006D0932"/>
    <w:rsid w:val="006D0D8B"/>
    <w:rsid w:val="006D1607"/>
    <w:rsid w:val="006D2119"/>
    <w:rsid w:val="006D283C"/>
    <w:rsid w:val="006D2CA9"/>
    <w:rsid w:val="006D2E69"/>
    <w:rsid w:val="006D37D9"/>
    <w:rsid w:val="006D3DBA"/>
    <w:rsid w:val="006D3E4B"/>
    <w:rsid w:val="006D4089"/>
    <w:rsid w:val="006D420D"/>
    <w:rsid w:val="006D4568"/>
    <w:rsid w:val="006D4D8A"/>
    <w:rsid w:val="006D4F85"/>
    <w:rsid w:val="006D5F06"/>
    <w:rsid w:val="006D607F"/>
    <w:rsid w:val="006D66EA"/>
    <w:rsid w:val="006D6A12"/>
    <w:rsid w:val="006D6C0F"/>
    <w:rsid w:val="006D7476"/>
    <w:rsid w:val="006D76D3"/>
    <w:rsid w:val="006D7F36"/>
    <w:rsid w:val="006E041D"/>
    <w:rsid w:val="006E0447"/>
    <w:rsid w:val="006E0556"/>
    <w:rsid w:val="006E05FA"/>
    <w:rsid w:val="006E0D36"/>
    <w:rsid w:val="006E0D59"/>
    <w:rsid w:val="006E1923"/>
    <w:rsid w:val="006E2643"/>
    <w:rsid w:val="006E26D4"/>
    <w:rsid w:val="006E28E5"/>
    <w:rsid w:val="006E2DEB"/>
    <w:rsid w:val="006E3828"/>
    <w:rsid w:val="006E3BAF"/>
    <w:rsid w:val="006E3DD8"/>
    <w:rsid w:val="006E432E"/>
    <w:rsid w:val="006E46A0"/>
    <w:rsid w:val="006E510B"/>
    <w:rsid w:val="006E5254"/>
    <w:rsid w:val="006E545F"/>
    <w:rsid w:val="006E66C6"/>
    <w:rsid w:val="006E67BC"/>
    <w:rsid w:val="006E69D3"/>
    <w:rsid w:val="006E6AC0"/>
    <w:rsid w:val="006E6CFA"/>
    <w:rsid w:val="006E6DBD"/>
    <w:rsid w:val="006E7837"/>
    <w:rsid w:val="006E7B8F"/>
    <w:rsid w:val="006F06A4"/>
    <w:rsid w:val="006F08D8"/>
    <w:rsid w:val="006F19D7"/>
    <w:rsid w:val="006F1B61"/>
    <w:rsid w:val="006F2503"/>
    <w:rsid w:val="006F2ECC"/>
    <w:rsid w:val="006F42C5"/>
    <w:rsid w:val="006F58A2"/>
    <w:rsid w:val="006F60E8"/>
    <w:rsid w:val="006F6229"/>
    <w:rsid w:val="006F6775"/>
    <w:rsid w:val="006F7898"/>
    <w:rsid w:val="006F7949"/>
    <w:rsid w:val="006F7963"/>
    <w:rsid w:val="00700457"/>
    <w:rsid w:val="00700942"/>
    <w:rsid w:val="00701423"/>
    <w:rsid w:val="007014D6"/>
    <w:rsid w:val="00701632"/>
    <w:rsid w:val="00701889"/>
    <w:rsid w:val="00701E1F"/>
    <w:rsid w:val="00702114"/>
    <w:rsid w:val="00702242"/>
    <w:rsid w:val="00702934"/>
    <w:rsid w:val="007033A3"/>
    <w:rsid w:val="007037FE"/>
    <w:rsid w:val="00703E40"/>
    <w:rsid w:val="00703FE7"/>
    <w:rsid w:val="007040AC"/>
    <w:rsid w:val="0070488C"/>
    <w:rsid w:val="00704D22"/>
    <w:rsid w:val="007053CD"/>
    <w:rsid w:val="00705B46"/>
    <w:rsid w:val="00705C94"/>
    <w:rsid w:val="00706140"/>
    <w:rsid w:val="00706962"/>
    <w:rsid w:val="00707087"/>
    <w:rsid w:val="007073F8"/>
    <w:rsid w:val="00707995"/>
    <w:rsid w:val="00707DB5"/>
    <w:rsid w:val="007102E2"/>
    <w:rsid w:val="0071125E"/>
    <w:rsid w:val="00713272"/>
    <w:rsid w:val="007137C8"/>
    <w:rsid w:val="00713B23"/>
    <w:rsid w:val="00713BD4"/>
    <w:rsid w:val="00713CA1"/>
    <w:rsid w:val="00713E77"/>
    <w:rsid w:val="00713F8E"/>
    <w:rsid w:val="00714501"/>
    <w:rsid w:val="007151C4"/>
    <w:rsid w:val="00715DD7"/>
    <w:rsid w:val="00716002"/>
    <w:rsid w:val="007169AA"/>
    <w:rsid w:val="00716B87"/>
    <w:rsid w:val="007170E9"/>
    <w:rsid w:val="00717976"/>
    <w:rsid w:val="00717D57"/>
    <w:rsid w:val="00720ADD"/>
    <w:rsid w:val="00720D09"/>
    <w:rsid w:val="00721116"/>
    <w:rsid w:val="0072121E"/>
    <w:rsid w:val="0072136B"/>
    <w:rsid w:val="007220C0"/>
    <w:rsid w:val="00722666"/>
    <w:rsid w:val="00722E91"/>
    <w:rsid w:val="007237D8"/>
    <w:rsid w:val="0072431A"/>
    <w:rsid w:val="00726980"/>
    <w:rsid w:val="0072758D"/>
    <w:rsid w:val="007277E3"/>
    <w:rsid w:val="007300A3"/>
    <w:rsid w:val="00730D43"/>
    <w:rsid w:val="007319C3"/>
    <w:rsid w:val="00731F51"/>
    <w:rsid w:val="00732DA4"/>
    <w:rsid w:val="00733185"/>
    <w:rsid w:val="00733A4D"/>
    <w:rsid w:val="00734157"/>
    <w:rsid w:val="00734401"/>
    <w:rsid w:val="00734865"/>
    <w:rsid w:val="00735525"/>
    <w:rsid w:val="007358AF"/>
    <w:rsid w:val="00735C5A"/>
    <w:rsid w:val="0073666E"/>
    <w:rsid w:val="00737D83"/>
    <w:rsid w:val="00740030"/>
    <w:rsid w:val="0074035A"/>
    <w:rsid w:val="00740DD1"/>
    <w:rsid w:val="00742FA2"/>
    <w:rsid w:val="00743235"/>
    <w:rsid w:val="007433CC"/>
    <w:rsid w:val="00744098"/>
    <w:rsid w:val="007443F6"/>
    <w:rsid w:val="007447AD"/>
    <w:rsid w:val="00744A19"/>
    <w:rsid w:val="00744F0D"/>
    <w:rsid w:val="00744F0E"/>
    <w:rsid w:val="0074543E"/>
    <w:rsid w:val="00745768"/>
    <w:rsid w:val="007458E2"/>
    <w:rsid w:val="0074647C"/>
    <w:rsid w:val="0074679E"/>
    <w:rsid w:val="00746C60"/>
    <w:rsid w:val="007503A3"/>
    <w:rsid w:val="00751715"/>
    <w:rsid w:val="00751C88"/>
    <w:rsid w:val="00752181"/>
    <w:rsid w:val="007522A3"/>
    <w:rsid w:val="0075241B"/>
    <w:rsid w:val="00752481"/>
    <w:rsid w:val="0075271B"/>
    <w:rsid w:val="00752873"/>
    <w:rsid w:val="00753006"/>
    <w:rsid w:val="0075329F"/>
    <w:rsid w:val="00753438"/>
    <w:rsid w:val="007545DE"/>
    <w:rsid w:val="00755863"/>
    <w:rsid w:val="0075595F"/>
    <w:rsid w:val="007565A8"/>
    <w:rsid w:val="00756BBF"/>
    <w:rsid w:val="00756F57"/>
    <w:rsid w:val="00756F9A"/>
    <w:rsid w:val="00757B35"/>
    <w:rsid w:val="00757FCD"/>
    <w:rsid w:val="0076049F"/>
    <w:rsid w:val="00760643"/>
    <w:rsid w:val="00760718"/>
    <w:rsid w:val="0076079C"/>
    <w:rsid w:val="007613CF"/>
    <w:rsid w:val="007617EB"/>
    <w:rsid w:val="00762563"/>
    <w:rsid w:val="00762A8F"/>
    <w:rsid w:val="00762B49"/>
    <w:rsid w:val="00762BDD"/>
    <w:rsid w:val="007631D4"/>
    <w:rsid w:val="00763E1F"/>
    <w:rsid w:val="00763EF5"/>
    <w:rsid w:val="00763F63"/>
    <w:rsid w:val="0076445E"/>
    <w:rsid w:val="00764671"/>
    <w:rsid w:val="00764957"/>
    <w:rsid w:val="007650E4"/>
    <w:rsid w:val="0076510E"/>
    <w:rsid w:val="00765D6C"/>
    <w:rsid w:val="00767692"/>
    <w:rsid w:val="0077002A"/>
    <w:rsid w:val="00770D88"/>
    <w:rsid w:val="007711E9"/>
    <w:rsid w:val="00771382"/>
    <w:rsid w:val="00771DED"/>
    <w:rsid w:val="00772095"/>
    <w:rsid w:val="00772615"/>
    <w:rsid w:val="00772C04"/>
    <w:rsid w:val="00773259"/>
    <w:rsid w:val="00773303"/>
    <w:rsid w:val="00773941"/>
    <w:rsid w:val="00773F00"/>
    <w:rsid w:val="0077446E"/>
    <w:rsid w:val="007744C6"/>
    <w:rsid w:val="00774613"/>
    <w:rsid w:val="007754AE"/>
    <w:rsid w:val="00775B6C"/>
    <w:rsid w:val="00776F85"/>
    <w:rsid w:val="00777335"/>
    <w:rsid w:val="007774CD"/>
    <w:rsid w:val="00777B30"/>
    <w:rsid w:val="0078013D"/>
    <w:rsid w:val="0078019A"/>
    <w:rsid w:val="00780F93"/>
    <w:rsid w:val="00781041"/>
    <w:rsid w:val="00781091"/>
    <w:rsid w:val="0078122A"/>
    <w:rsid w:val="007818EE"/>
    <w:rsid w:val="00781A58"/>
    <w:rsid w:val="00782914"/>
    <w:rsid w:val="00782F2A"/>
    <w:rsid w:val="00783721"/>
    <w:rsid w:val="00783FDF"/>
    <w:rsid w:val="007843B4"/>
    <w:rsid w:val="007850B2"/>
    <w:rsid w:val="00785450"/>
    <w:rsid w:val="00785920"/>
    <w:rsid w:val="00785A50"/>
    <w:rsid w:val="00786275"/>
    <w:rsid w:val="00786AF7"/>
    <w:rsid w:val="00786DB2"/>
    <w:rsid w:val="00786F58"/>
    <w:rsid w:val="00787113"/>
    <w:rsid w:val="0079015D"/>
    <w:rsid w:val="007904D2"/>
    <w:rsid w:val="007906AA"/>
    <w:rsid w:val="007909EE"/>
    <w:rsid w:val="00790FC5"/>
    <w:rsid w:val="007911A4"/>
    <w:rsid w:val="007920D3"/>
    <w:rsid w:val="007929DC"/>
    <w:rsid w:val="007944D9"/>
    <w:rsid w:val="00794BBA"/>
    <w:rsid w:val="00794CC2"/>
    <w:rsid w:val="007951BF"/>
    <w:rsid w:val="007953D6"/>
    <w:rsid w:val="00796425"/>
    <w:rsid w:val="0079646F"/>
    <w:rsid w:val="007965AD"/>
    <w:rsid w:val="00796DAC"/>
    <w:rsid w:val="007A014D"/>
    <w:rsid w:val="007A13FF"/>
    <w:rsid w:val="007A1ECE"/>
    <w:rsid w:val="007A1F80"/>
    <w:rsid w:val="007A22BE"/>
    <w:rsid w:val="007A2891"/>
    <w:rsid w:val="007A3964"/>
    <w:rsid w:val="007A55A8"/>
    <w:rsid w:val="007A6486"/>
    <w:rsid w:val="007A65FA"/>
    <w:rsid w:val="007A689E"/>
    <w:rsid w:val="007A739D"/>
    <w:rsid w:val="007A7966"/>
    <w:rsid w:val="007A7973"/>
    <w:rsid w:val="007A7B28"/>
    <w:rsid w:val="007A7FFA"/>
    <w:rsid w:val="007B02C5"/>
    <w:rsid w:val="007B062B"/>
    <w:rsid w:val="007B0E54"/>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8CB"/>
    <w:rsid w:val="007C39F2"/>
    <w:rsid w:val="007C3A70"/>
    <w:rsid w:val="007C4370"/>
    <w:rsid w:val="007C5B4E"/>
    <w:rsid w:val="007C5CE6"/>
    <w:rsid w:val="007C5DC8"/>
    <w:rsid w:val="007C5E58"/>
    <w:rsid w:val="007C6854"/>
    <w:rsid w:val="007C7F64"/>
    <w:rsid w:val="007D10B2"/>
    <w:rsid w:val="007D1F48"/>
    <w:rsid w:val="007D243A"/>
    <w:rsid w:val="007D2F77"/>
    <w:rsid w:val="007D3DEA"/>
    <w:rsid w:val="007D3E38"/>
    <w:rsid w:val="007D5FE2"/>
    <w:rsid w:val="007D653E"/>
    <w:rsid w:val="007D66A8"/>
    <w:rsid w:val="007D6C8E"/>
    <w:rsid w:val="007D6E06"/>
    <w:rsid w:val="007D6EC1"/>
    <w:rsid w:val="007D70CC"/>
    <w:rsid w:val="007D79CB"/>
    <w:rsid w:val="007E01AE"/>
    <w:rsid w:val="007E05E8"/>
    <w:rsid w:val="007E0FA8"/>
    <w:rsid w:val="007E10D5"/>
    <w:rsid w:val="007E2713"/>
    <w:rsid w:val="007E31E3"/>
    <w:rsid w:val="007E3A9B"/>
    <w:rsid w:val="007E41A5"/>
    <w:rsid w:val="007E48FF"/>
    <w:rsid w:val="007E4A64"/>
    <w:rsid w:val="007E5101"/>
    <w:rsid w:val="007E5C89"/>
    <w:rsid w:val="007E60F1"/>
    <w:rsid w:val="007E6C31"/>
    <w:rsid w:val="007E71AC"/>
    <w:rsid w:val="007E7E37"/>
    <w:rsid w:val="007F00FA"/>
    <w:rsid w:val="007F021E"/>
    <w:rsid w:val="007F0AE2"/>
    <w:rsid w:val="007F0E72"/>
    <w:rsid w:val="007F1748"/>
    <w:rsid w:val="007F1A45"/>
    <w:rsid w:val="007F1CA7"/>
    <w:rsid w:val="007F2A01"/>
    <w:rsid w:val="007F3342"/>
    <w:rsid w:val="007F37D9"/>
    <w:rsid w:val="007F3D78"/>
    <w:rsid w:val="007F4619"/>
    <w:rsid w:val="007F499D"/>
    <w:rsid w:val="007F5CCA"/>
    <w:rsid w:val="007F60B8"/>
    <w:rsid w:val="007F6412"/>
    <w:rsid w:val="007F75D3"/>
    <w:rsid w:val="007F7E8B"/>
    <w:rsid w:val="00800525"/>
    <w:rsid w:val="00800C33"/>
    <w:rsid w:val="00800F34"/>
    <w:rsid w:val="0080165E"/>
    <w:rsid w:val="00801F26"/>
    <w:rsid w:val="0080214C"/>
    <w:rsid w:val="008027CE"/>
    <w:rsid w:val="00802958"/>
    <w:rsid w:val="00802CEA"/>
    <w:rsid w:val="00803114"/>
    <w:rsid w:val="008038F5"/>
    <w:rsid w:val="00803A24"/>
    <w:rsid w:val="00803C5E"/>
    <w:rsid w:val="00804017"/>
    <w:rsid w:val="008045FB"/>
    <w:rsid w:val="00804D2D"/>
    <w:rsid w:val="00804E77"/>
    <w:rsid w:val="0080535F"/>
    <w:rsid w:val="008061A4"/>
    <w:rsid w:val="008064BE"/>
    <w:rsid w:val="008073A6"/>
    <w:rsid w:val="00807CB9"/>
    <w:rsid w:val="00810E43"/>
    <w:rsid w:val="00811359"/>
    <w:rsid w:val="008119F1"/>
    <w:rsid w:val="00811EA1"/>
    <w:rsid w:val="00812080"/>
    <w:rsid w:val="00812B00"/>
    <w:rsid w:val="00812C54"/>
    <w:rsid w:val="00812ED0"/>
    <w:rsid w:val="00812FB2"/>
    <w:rsid w:val="008137A5"/>
    <w:rsid w:val="008142B9"/>
    <w:rsid w:val="008142EA"/>
    <w:rsid w:val="00814625"/>
    <w:rsid w:val="0081504C"/>
    <w:rsid w:val="0081527D"/>
    <w:rsid w:val="008159FC"/>
    <w:rsid w:val="0081609D"/>
    <w:rsid w:val="00816560"/>
    <w:rsid w:val="008166DB"/>
    <w:rsid w:val="0081678C"/>
    <w:rsid w:val="00817040"/>
    <w:rsid w:val="00820DAC"/>
    <w:rsid w:val="008210C1"/>
    <w:rsid w:val="00821EC4"/>
    <w:rsid w:val="00822054"/>
    <w:rsid w:val="00822BBA"/>
    <w:rsid w:val="00822EB1"/>
    <w:rsid w:val="00823010"/>
    <w:rsid w:val="00824735"/>
    <w:rsid w:val="00824892"/>
    <w:rsid w:val="00824D2D"/>
    <w:rsid w:val="00825390"/>
    <w:rsid w:val="008253AC"/>
    <w:rsid w:val="00825AC0"/>
    <w:rsid w:val="00825FE0"/>
    <w:rsid w:val="00826BCD"/>
    <w:rsid w:val="00827368"/>
    <w:rsid w:val="00830B4C"/>
    <w:rsid w:val="008315C6"/>
    <w:rsid w:val="0083174C"/>
    <w:rsid w:val="00831AA1"/>
    <w:rsid w:val="008327F7"/>
    <w:rsid w:val="00832BE3"/>
    <w:rsid w:val="00833285"/>
    <w:rsid w:val="008338AF"/>
    <w:rsid w:val="00833C0B"/>
    <w:rsid w:val="0083553E"/>
    <w:rsid w:val="008357F0"/>
    <w:rsid w:val="00835EE5"/>
    <w:rsid w:val="008362A6"/>
    <w:rsid w:val="008363C8"/>
    <w:rsid w:val="00836F39"/>
    <w:rsid w:val="00836FD8"/>
    <w:rsid w:val="008372E0"/>
    <w:rsid w:val="0083758F"/>
    <w:rsid w:val="00840379"/>
    <w:rsid w:val="00840BE7"/>
    <w:rsid w:val="00841484"/>
    <w:rsid w:val="00842AAE"/>
    <w:rsid w:val="00843A42"/>
    <w:rsid w:val="00843B31"/>
    <w:rsid w:val="00844108"/>
    <w:rsid w:val="0084446F"/>
    <w:rsid w:val="008445F5"/>
    <w:rsid w:val="00844F2D"/>
    <w:rsid w:val="008450D2"/>
    <w:rsid w:val="00845547"/>
    <w:rsid w:val="0084601C"/>
    <w:rsid w:val="00846031"/>
    <w:rsid w:val="00847780"/>
    <w:rsid w:val="00851D1F"/>
    <w:rsid w:val="00852559"/>
    <w:rsid w:val="00853953"/>
    <w:rsid w:val="00853F73"/>
    <w:rsid w:val="008546F8"/>
    <w:rsid w:val="00854FCB"/>
    <w:rsid w:val="0085620A"/>
    <w:rsid w:val="00856A9E"/>
    <w:rsid w:val="00856D5E"/>
    <w:rsid w:val="00856DAB"/>
    <w:rsid w:val="00857976"/>
    <w:rsid w:val="00860C30"/>
    <w:rsid w:val="00862109"/>
    <w:rsid w:val="00862519"/>
    <w:rsid w:val="00862F60"/>
    <w:rsid w:val="008634B0"/>
    <w:rsid w:val="008638BB"/>
    <w:rsid w:val="00863980"/>
    <w:rsid w:val="00864E48"/>
    <w:rsid w:val="00865124"/>
    <w:rsid w:val="008651CC"/>
    <w:rsid w:val="0086535A"/>
    <w:rsid w:val="008656BE"/>
    <w:rsid w:val="0086571E"/>
    <w:rsid w:val="00865B22"/>
    <w:rsid w:val="00865DFF"/>
    <w:rsid w:val="00866C03"/>
    <w:rsid w:val="0086727D"/>
    <w:rsid w:val="00867CF3"/>
    <w:rsid w:val="00870024"/>
    <w:rsid w:val="0087115F"/>
    <w:rsid w:val="00871248"/>
    <w:rsid w:val="00872D6B"/>
    <w:rsid w:val="00873332"/>
    <w:rsid w:val="00874B70"/>
    <w:rsid w:val="00875056"/>
    <w:rsid w:val="008750D3"/>
    <w:rsid w:val="00875FDB"/>
    <w:rsid w:val="00876471"/>
    <w:rsid w:val="00876DD7"/>
    <w:rsid w:val="008777EB"/>
    <w:rsid w:val="00877A07"/>
    <w:rsid w:val="008814F4"/>
    <w:rsid w:val="008821AD"/>
    <w:rsid w:val="00883803"/>
    <w:rsid w:val="00883B52"/>
    <w:rsid w:val="00884004"/>
    <w:rsid w:val="008842FC"/>
    <w:rsid w:val="0088586C"/>
    <w:rsid w:val="00885A5C"/>
    <w:rsid w:val="00886B20"/>
    <w:rsid w:val="00886B7E"/>
    <w:rsid w:val="00886CBE"/>
    <w:rsid w:val="00886F76"/>
    <w:rsid w:val="008870EB"/>
    <w:rsid w:val="00890541"/>
    <w:rsid w:val="00890FB1"/>
    <w:rsid w:val="008910DB"/>
    <w:rsid w:val="008912BF"/>
    <w:rsid w:val="00891699"/>
    <w:rsid w:val="008918E8"/>
    <w:rsid w:val="00891EA3"/>
    <w:rsid w:val="00892228"/>
    <w:rsid w:val="008926CC"/>
    <w:rsid w:val="00892BE1"/>
    <w:rsid w:val="00893049"/>
    <w:rsid w:val="00893168"/>
    <w:rsid w:val="00893642"/>
    <w:rsid w:val="008936D8"/>
    <w:rsid w:val="008959C6"/>
    <w:rsid w:val="00895B8D"/>
    <w:rsid w:val="008960A8"/>
    <w:rsid w:val="00896CAB"/>
    <w:rsid w:val="00896CEF"/>
    <w:rsid w:val="00896D17"/>
    <w:rsid w:val="00896D9E"/>
    <w:rsid w:val="0089766E"/>
    <w:rsid w:val="00897978"/>
    <w:rsid w:val="00897F04"/>
    <w:rsid w:val="008A0762"/>
    <w:rsid w:val="008A0D07"/>
    <w:rsid w:val="008A0E6C"/>
    <w:rsid w:val="008A19A5"/>
    <w:rsid w:val="008A266D"/>
    <w:rsid w:val="008A2A1D"/>
    <w:rsid w:val="008A2AF1"/>
    <w:rsid w:val="008A32BD"/>
    <w:rsid w:val="008A3843"/>
    <w:rsid w:val="008A3F8C"/>
    <w:rsid w:val="008A4065"/>
    <w:rsid w:val="008A49ED"/>
    <w:rsid w:val="008A4B81"/>
    <w:rsid w:val="008A5CAB"/>
    <w:rsid w:val="008B0A75"/>
    <w:rsid w:val="008B0B4A"/>
    <w:rsid w:val="008B0D97"/>
    <w:rsid w:val="008B1AA3"/>
    <w:rsid w:val="008B1B52"/>
    <w:rsid w:val="008B234F"/>
    <w:rsid w:val="008B2EAF"/>
    <w:rsid w:val="008B30AA"/>
    <w:rsid w:val="008B368E"/>
    <w:rsid w:val="008B3DF3"/>
    <w:rsid w:val="008B483D"/>
    <w:rsid w:val="008B5955"/>
    <w:rsid w:val="008B5C0F"/>
    <w:rsid w:val="008B5C87"/>
    <w:rsid w:val="008B6D68"/>
    <w:rsid w:val="008B725B"/>
    <w:rsid w:val="008B757A"/>
    <w:rsid w:val="008B772F"/>
    <w:rsid w:val="008B776E"/>
    <w:rsid w:val="008B7969"/>
    <w:rsid w:val="008B7F1A"/>
    <w:rsid w:val="008C0099"/>
    <w:rsid w:val="008C0C9F"/>
    <w:rsid w:val="008C0F99"/>
    <w:rsid w:val="008C1033"/>
    <w:rsid w:val="008C16F9"/>
    <w:rsid w:val="008C1E83"/>
    <w:rsid w:val="008C2EF1"/>
    <w:rsid w:val="008C304F"/>
    <w:rsid w:val="008C3074"/>
    <w:rsid w:val="008C3359"/>
    <w:rsid w:val="008C3899"/>
    <w:rsid w:val="008C3BEE"/>
    <w:rsid w:val="008C63A2"/>
    <w:rsid w:val="008C6659"/>
    <w:rsid w:val="008C74CE"/>
    <w:rsid w:val="008D0010"/>
    <w:rsid w:val="008D0049"/>
    <w:rsid w:val="008D0965"/>
    <w:rsid w:val="008D1231"/>
    <w:rsid w:val="008D143D"/>
    <w:rsid w:val="008D2338"/>
    <w:rsid w:val="008D24C1"/>
    <w:rsid w:val="008D24E7"/>
    <w:rsid w:val="008D2C10"/>
    <w:rsid w:val="008D2DEF"/>
    <w:rsid w:val="008D3B67"/>
    <w:rsid w:val="008D4069"/>
    <w:rsid w:val="008D469C"/>
    <w:rsid w:val="008D4DED"/>
    <w:rsid w:val="008D5E87"/>
    <w:rsid w:val="008D6BD8"/>
    <w:rsid w:val="008D7460"/>
    <w:rsid w:val="008D7DFE"/>
    <w:rsid w:val="008E02ED"/>
    <w:rsid w:val="008E0664"/>
    <w:rsid w:val="008E0885"/>
    <w:rsid w:val="008E0C98"/>
    <w:rsid w:val="008E0CEC"/>
    <w:rsid w:val="008E1216"/>
    <w:rsid w:val="008E1986"/>
    <w:rsid w:val="008E26B2"/>
    <w:rsid w:val="008E35F0"/>
    <w:rsid w:val="008E3EBB"/>
    <w:rsid w:val="008E44B7"/>
    <w:rsid w:val="008E49F1"/>
    <w:rsid w:val="008E4ADD"/>
    <w:rsid w:val="008E54FF"/>
    <w:rsid w:val="008E61BD"/>
    <w:rsid w:val="008E62F6"/>
    <w:rsid w:val="008E6F91"/>
    <w:rsid w:val="008E718A"/>
    <w:rsid w:val="008F0155"/>
    <w:rsid w:val="008F077D"/>
    <w:rsid w:val="008F1679"/>
    <w:rsid w:val="008F19A2"/>
    <w:rsid w:val="008F301A"/>
    <w:rsid w:val="008F3BDF"/>
    <w:rsid w:val="008F487F"/>
    <w:rsid w:val="008F572D"/>
    <w:rsid w:val="008F6B7A"/>
    <w:rsid w:val="008F761B"/>
    <w:rsid w:val="008F7CAD"/>
    <w:rsid w:val="00900293"/>
    <w:rsid w:val="00900526"/>
    <w:rsid w:val="0090089F"/>
    <w:rsid w:val="009009A9"/>
    <w:rsid w:val="0090244B"/>
    <w:rsid w:val="00902884"/>
    <w:rsid w:val="00903073"/>
    <w:rsid w:val="009032E4"/>
    <w:rsid w:val="009033EB"/>
    <w:rsid w:val="00903D22"/>
    <w:rsid w:val="00903ED9"/>
    <w:rsid w:val="00904145"/>
    <w:rsid w:val="00904298"/>
    <w:rsid w:val="00905B11"/>
    <w:rsid w:val="00906649"/>
    <w:rsid w:val="00906D64"/>
    <w:rsid w:val="00906F9E"/>
    <w:rsid w:val="009071D0"/>
    <w:rsid w:val="00907883"/>
    <w:rsid w:val="0091085D"/>
    <w:rsid w:val="00910908"/>
    <w:rsid w:val="00912559"/>
    <w:rsid w:val="00912ED8"/>
    <w:rsid w:val="00912F9A"/>
    <w:rsid w:val="00916416"/>
    <w:rsid w:val="00917287"/>
    <w:rsid w:val="00917EF7"/>
    <w:rsid w:val="009205B0"/>
    <w:rsid w:val="0092134B"/>
    <w:rsid w:val="009221AC"/>
    <w:rsid w:val="00922348"/>
    <w:rsid w:val="009225B3"/>
    <w:rsid w:val="00922A15"/>
    <w:rsid w:val="0092456D"/>
    <w:rsid w:val="00925590"/>
    <w:rsid w:val="00925C68"/>
    <w:rsid w:val="0092657F"/>
    <w:rsid w:val="00926967"/>
    <w:rsid w:val="00927518"/>
    <w:rsid w:val="00927AF3"/>
    <w:rsid w:val="00927FC3"/>
    <w:rsid w:val="0093074D"/>
    <w:rsid w:val="009312C7"/>
    <w:rsid w:val="009317F5"/>
    <w:rsid w:val="00933397"/>
    <w:rsid w:val="00933706"/>
    <w:rsid w:val="00933754"/>
    <w:rsid w:val="00933B94"/>
    <w:rsid w:val="00934A8F"/>
    <w:rsid w:val="009350BF"/>
    <w:rsid w:val="009359A1"/>
    <w:rsid w:val="00937F3B"/>
    <w:rsid w:val="0094103D"/>
    <w:rsid w:val="00941430"/>
    <w:rsid w:val="00941909"/>
    <w:rsid w:val="00941D6E"/>
    <w:rsid w:val="00942258"/>
    <w:rsid w:val="00942293"/>
    <w:rsid w:val="00942377"/>
    <w:rsid w:val="00943484"/>
    <w:rsid w:val="009435CD"/>
    <w:rsid w:val="0094379A"/>
    <w:rsid w:val="0094396D"/>
    <w:rsid w:val="00943B73"/>
    <w:rsid w:val="0094420F"/>
    <w:rsid w:val="00944846"/>
    <w:rsid w:val="0094512A"/>
    <w:rsid w:val="009453B9"/>
    <w:rsid w:val="009459CA"/>
    <w:rsid w:val="00945EA1"/>
    <w:rsid w:val="00946152"/>
    <w:rsid w:val="009469B5"/>
    <w:rsid w:val="009471B8"/>
    <w:rsid w:val="009473CE"/>
    <w:rsid w:val="00947563"/>
    <w:rsid w:val="00947A5C"/>
    <w:rsid w:val="009508D4"/>
    <w:rsid w:val="00950D10"/>
    <w:rsid w:val="00950F84"/>
    <w:rsid w:val="00952B7A"/>
    <w:rsid w:val="00952E72"/>
    <w:rsid w:val="00953265"/>
    <w:rsid w:val="0095382A"/>
    <w:rsid w:val="009557D5"/>
    <w:rsid w:val="00955978"/>
    <w:rsid w:val="009561B3"/>
    <w:rsid w:val="009566EF"/>
    <w:rsid w:val="00957B1D"/>
    <w:rsid w:val="00957D03"/>
    <w:rsid w:val="009606D9"/>
    <w:rsid w:val="00960EC8"/>
    <w:rsid w:val="00961EC9"/>
    <w:rsid w:val="00963148"/>
    <w:rsid w:val="009637F9"/>
    <w:rsid w:val="00963AA1"/>
    <w:rsid w:val="00963E79"/>
    <w:rsid w:val="00964431"/>
    <w:rsid w:val="009646D8"/>
    <w:rsid w:val="00964897"/>
    <w:rsid w:val="009658B2"/>
    <w:rsid w:val="009659E0"/>
    <w:rsid w:val="00966566"/>
    <w:rsid w:val="00966CBD"/>
    <w:rsid w:val="0096755E"/>
    <w:rsid w:val="00967B54"/>
    <w:rsid w:val="00967D8E"/>
    <w:rsid w:val="00970720"/>
    <w:rsid w:val="0097098F"/>
    <w:rsid w:val="0097113C"/>
    <w:rsid w:val="00971C7B"/>
    <w:rsid w:val="00971DA8"/>
    <w:rsid w:val="00972022"/>
    <w:rsid w:val="0097213C"/>
    <w:rsid w:val="00972193"/>
    <w:rsid w:val="00972753"/>
    <w:rsid w:val="00973026"/>
    <w:rsid w:val="00974119"/>
    <w:rsid w:val="009741CB"/>
    <w:rsid w:val="00974E3E"/>
    <w:rsid w:val="00975246"/>
    <w:rsid w:val="00975262"/>
    <w:rsid w:val="00975675"/>
    <w:rsid w:val="00975DA6"/>
    <w:rsid w:val="00976A8C"/>
    <w:rsid w:val="0097721C"/>
    <w:rsid w:val="00977B6B"/>
    <w:rsid w:val="00980647"/>
    <w:rsid w:val="00981C72"/>
    <w:rsid w:val="00982307"/>
    <w:rsid w:val="00982912"/>
    <w:rsid w:val="00982AEF"/>
    <w:rsid w:val="00982BD2"/>
    <w:rsid w:val="00982E37"/>
    <w:rsid w:val="00982FB0"/>
    <w:rsid w:val="009839A3"/>
    <w:rsid w:val="00983AAA"/>
    <w:rsid w:val="00983F4B"/>
    <w:rsid w:val="0098418F"/>
    <w:rsid w:val="00984851"/>
    <w:rsid w:val="00984A6F"/>
    <w:rsid w:val="009875D2"/>
    <w:rsid w:val="00987BDE"/>
    <w:rsid w:val="00990DA1"/>
    <w:rsid w:val="00990FFB"/>
    <w:rsid w:val="00991BBA"/>
    <w:rsid w:val="009920C1"/>
    <w:rsid w:val="009922DF"/>
    <w:rsid w:val="00992EA9"/>
    <w:rsid w:val="00992F31"/>
    <w:rsid w:val="00993083"/>
    <w:rsid w:val="00995141"/>
    <w:rsid w:val="00995AB4"/>
    <w:rsid w:val="009960C8"/>
    <w:rsid w:val="00996DF6"/>
    <w:rsid w:val="009A0846"/>
    <w:rsid w:val="009A1561"/>
    <w:rsid w:val="009A1BFB"/>
    <w:rsid w:val="009A1DD2"/>
    <w:rsid w:val="009A313A"/>
    <w:rsid w:val="009A32DF"/>
    <w:rsid w:val="009A3CA8"/>
    <w:rsid w:val="009A3FAC"/>
    <w:rsid w:val="009A42CF"/>
    <w:rsid w:val="009A4792"/>
    <w:rsid w:val="009A4886"/>
    <w:rsid w:val="009A48FD"/>
    <w:rsid w:val="009A4A03"/>
    <w:rsid w:val="009A4A88"/>
    <w:rsid w:val="009A5A3F"/>
    <w:rsid w:val="009A63E8"/>
    <w:rsid w:val="009A6516"/>
    <w:rsid w:val="009A6AFB"/>
    <w:rsid w:val="009A6F33"/>
    <w:rsid w:val="009A70B1"/>
    <w:rsid w:val="009A7EAC"/>
    <w:rsid w:val="009B037C"/>
    <w:rsid w:val="009B07A9"/>
    <w:rsid w:val="009B08D9"/>
    <w:rsid w:val="009B08DD"/>
    <w:rsid w:val="009B1528"/>
    <w:rsid w:val="009B16A0"/>
    <w:rsid w:val="009B179E"/>
    <w:rsid w:val="009B1CF9"/>
    <w:rsid w:val="009B270A"/>
    <w:rsid w:val="009B34C8"/>
    <w:rsid w:val="009B470A"/>
    <w:rsid w:val="009B4D01"/>
    <w:rsid w:val="009B4DCE"/>
    <w:rsid w:val="009B5261"/>
    <w:rsid w:val="009B546B"/>
    <w:rsid w:val="009B60C4"/>
    <w:rsid w:val="009B6538"/>
    <w:rsid w:val="009B7AFD"/>
    <w:rsid w:val="009C00C5"/>
    <w:rsid w:val="009C012D"/>
    <w:rsid w:val="009C08DC"/>
    <w:rsid w:val="009C0B76"/>
    <w:rsid w:val="009C1126"/>
    <w:rsid w:val="009C1522"/>
    <w:rsid w:val="009C1B8F"/>
    <w:rsid w:val="009C1F07"/>
    <w:rsid w:val="009C242A"/>
    <w:rsid w:val="009C292C"/>
    <w:rsid w:val="009C2FF3"/>
    <w:rsid w:val="009C3DCC"/>
    <w:rsid w:val="009C3F60"/>
    <w:rsid w:val="009C3FD4"/>
    <w:rsid w:val="009C4425"/>
    <w:rsid w:val="009C5176"/>
    <w:rsid w:val="009C6C8F"/>
    <w:rsid w:val="009C7480"/>
    <w:rsid w:val="009C78F2"/>
    <w:rsid w:val="009C79AD"/>
    <w:rsid w:val="009C7A03"/>
    <w:rsid w:val="009D0335"/>
    <w:rsid w:val="009D2508"/>
    <w:rsid w:val="009D2E0D"/>
    <w:rsid w:val="009D363A"/>
    <w:rsid w:val="009D37D2"/>
    <w:rsid w:val="009D37D3"/>
    <w:rsid w:val="009D3DA2"/>
    <w:rsid w:val="009D41C6"/>
    <w:rsid w:val="009D4E2D"/>
    <w:rsid w:val="009D51E8"/>
    <w:rsid w:val="009D56AE"/>
    <w:rsid w:val="009D5C39"/>
    <w:rsid w:val="009D69E1"/>
    <w:rsid w:val="009D6C16"/>
    <w:rsid w:val="009D7263"/>
    <w:rsid w:val="009D745C"/>
    <w:rsid w:val="009D7C31"/>
    <w:rsid w:val="009D7E53"/>
    <w:rsid w:val="009E0074"/>
    <w:rsid w:val="009E0395"/>
    <w:rsid w:val="009E1F33"/>
    <w:rsid w:val="009E2355"/>
    <w:rsid w:val="009E3E9C"/>
    <w:rsid w:val="009E3EFB"/>
    <w:rsid w:val="009E4BD3"/>
    <w:rsid w:val="009E6065"/>
    <w:rsid w:val="009E62F4"/>
    <w:rsid w:val="009E69EF"/>
    <w:rsid w:val="009E6B90"/>
    <w:rsid w:val="009E74F5"/>
    <w:rsid w:val="009E762B"/>
    <w:rsid w:val="009E7720"/>
    <w:rsid w:val="009F0BFE"/>
    <w:rsid w:val="009F138A"/>
    <w:rsid w:val="009F238C"/>
    <w:rsid w:val="009F24F8"/>
    <w:rsid w:val="009F262A"/>
    <w:rsid w:val="009F2D01"/>
    <w:rsid w:val="009F2D60"/>
    <w:rsid w:val="009F301C"/>
    <w:rsid w:val="009F39A9"/>
    <w:rsid w:val="009F4299"/>
    <w:rsid w:val="009F438A"/>
    <w:rsid w:val="009F440A"/>
    <w:rsid w:val="009F4566"/>
    <w:rsid w:val="009F49BC"/>
    <w:rsid w:val="009F50E2"/>
    <w:rsid w:val="009F5A00"/>
    <w:rsid w:val="009F6121"/>
    <w:rsid w:val="009F65CA"/>
    <w:rsid w:val="009F687A"/>
    <w:rsid w:val="009F6F3C"/>
    <w:rsid w:val="009F7160"/>
    <w:rsid w:val="00A00199"/>
    <w:rsid w:val="00A007F4"/>
    <w:rsid w:val="00A0109E"/>
    <w:rsid w:val="00A01EB1"/>
    <w:rsid w:val="00A025B8"/>
    <w:rsid w:val="00A02857"/>
    <w:rsid w:val="00A028F3"/>
    <w:rsid w:val="00A02C66"/>
    <w:rsid w:val="00A02E79"/>
    <w:rsid w:val="00A033BB"/>
    <w:rsid w:val="00A03437"/>
    <w:rsid w:val="00A03961"/>
    <w:rsid w:val="00A03D1A"/>
    <w:rsid w:val="00A03E79"/>
    <w:rsid w:val="00A03E8F"/>
    <w:rsid w:val="00A040B6"/>
    <w:rsid w:val="00A04550"/>
    <w:rsid w:val="00A04589"/>
    <w:rsid w:val="00A046F1"/>
    <w:rsid w:val="00A04956"/>
    <w:rsid w:val="00A0549E"/>
    <w:rsid w:val="00A06472"/>
    <w:rsid w:val="00A06780"/>
    <w:rsid w:val="00A06CAC"/>
    <w:rsid w:val="00A06EC5"/>
    <w:rsid w:val="00A076CA"/>
    <w:rsid w:val="00A110D0"/>
    <w:rsid w:val="00A115D7"/>
    <w:rsid w:val="00A119CF"/>
    <w:rsid w:val="00A11F9F"/>
    <w:rsid w:val="00A12843"/>
    <w:rsid w:val="00A130A4"/>
    <w:rsid w:val="00A13979"/>
    <w:rsid w:val="00A13DFB"/>
    <w:rsid w:val="00A13FE8"/>
    <w:rsid w:val="00A14452"/>
    <w:rsid w:val="00A145B9"/>
    <w:rsid w:val="00A14634"/>
    <w:rsid w:val="00A15266"/>
    <w:rsid w:val="00A15343"/>
    <w:rsid w:val="00A15754"/>
    <w:rsid w:val="00A15A95"/>
    <w:rsid w:val="00A15B83"/>
    <w:rsid w:val="00A16480"/>
    <w:rsid w:val="00A16A32"/>
    <w:rsid w:val="00A173FC"/>
    <w:rsid w:val="00A1749E"/>
    <w:rsid w:val="00A17DAD"/>
    <w:rsid w:val="00A17F10"/>
    <w:rsid w:val="00A20784"/>
    <w:rsid w:val="00A207E2"/>
    <w:rsid w:val="00A20856"/>
    <w:rsid w:val="00A20CD2"/>
    <w:rsid w:val="00A20FC6"/>
    <w:rsid w:val="00A21616"/>
    <w:rsid w:val="00A21C40"/>
    <w:rsid w:val="00A21DA5"/>
    <w:rsid w:val="00A22558"/>
    <w:rsid w:val="00A22B48"/>
    <w:rsid w:val="00A22E58"/>
    <w:rsid w:val="00A23448"/>
    <w:rsid w:val="00A23AD6"/>
    <w:rsid w:val="00A2426D"/>
    <w:rsid w:val="00A2433C"/>
    <w:rsid w:val="00A244D1"/>
    <w:rsid w:val="00A24F8F"/>
    <w:rsid w:val="00A24FB8"/>
    <w:rsid w:val="00A250CF"/>
    <w:rsid w:val="00A30051"/>
    <w:rsid w:val="00A32998"/>
    <w:rsid w:val="00A32BC1"/>
    <w:rsid w:val="00A32CC3"/>
    <w:rsid w:val="00A33502"/>
    <w:rsid w:val="00A337A9"/>
    <w:rsid w:val="00A33B53"/>
    <w:rsid w:val="00A33F87"/>
    <w:rsid w:val="00A341FD"/>
    <w:rsid w:val="00A35947"/>
    <w:rsid w:val="00A359BF"/>
    <w:rsid w:val="00A363CD"/>
    <w:rsid w:val="00A37299"/>
    <w:rsid w:val="00A37B47"/>
    <w:rsid w:val="00A37EE1"/>
    <w:rsid w:val="00A4180C"/>
    <w:rsid w:val="00A43546"/>
    <w:rsid w:val="00A43F39"/>
    <w:rsid w:val="00A44477"/>
    <w:rsid w:val="00A448E4"/>
    <w:rsid w:val="00A4563A"/>
    <w:rsid w:val="00A459DC"/>
    <w:rsid w:val="00A462E3"/>
    <w:rsid w:val="00A463E4"/>
    <w:rsid w:val="00A4777D"/>
    <w:rsid w:val="00A47A26"/>
    <w:rsid w:val="00A47AF6"/>
    <w:rsid w:val="00A50362"/>
    <w:rsid w:val="00A50383"/>
    <w:rsid w:val="00A5058B"/>
    <w:rsid w:val="00A51D06"/>
    <w:rsid w:val="00A52252"/>
    <w:rsid w:val="00A52E3A"/>
    <w:rsid w:val="00A54B30"/>
    <w:rsid w:val="00A54C58"/>
    <w:rsid w:val="00A54DDA"/>
    <w:rsid w:val="00A56278"/>
    <w:rsid w:val="00A56A25"/>
    <w:rsid w:val="00A56EFE"/>
    <w:rsid w:val="00A56F8A"/>
    <w:rsid w:val="00A570FA"/>
    <w:rsid w:val="00A57432"/>
    <w:rsid w:val="00A57955"/>
    <w:rsid w:val="00A6026F"/>
    <w:rsid w:val="00A60E51"/>
    <w:rsid w:val="00A61B38"/>
    <w:rsid w:val="00A61DF7"/>
    <w:rsid w:val="00A62CE3"/>
    <w:rsid w:val="00A62D09"/>
    <w:rsid w:val="00A6341D"/>
    <w:rsid w:val="00A63A59"/>
    <w:rsid w:val="00A64AB2"/>
    <w:rsid w:val="00A65CF6"/>
    <w:rsid w:val="00A65FDE"/>
    <w:rsid w:val="00A66E36"/>
    <w:rsid w:val="00A71309"/>
    <w:rsid w:val="00A72319"/>
    <w:rsid w:val="00A7270E"/>
    <w:rsid w:val="00A72AA3"/>
    <w:rsid w:val="00A73822"/>
    <w:rsid w:val="00A73C51"/>
    <w:rsid w:val="00A750B4"/>
    <w:rsid w:val="00A766F3"/>
    <w:rsid w:val="00A773AB"/>
    <w:rsid w:val="00A77D81"/>
    <w:rsid w:val="00A77E1A"/>
    <w:rsid w:val="00A8043B"/>
    <w:rsid w:val="00A805BC"/>
    <w:rsid w:val="00A80682"/>
    <w:rsid w:val="00A80F60"/>
    <w:rsid w:val="00A81B01"/>
    <w:rsid w:val="00A8289E"/>
    <w:rsid w:val="00A82D49"/>
    <w:rsid w:val="00A832D7"/>
    <w:rsid w:val="00A8358C"/>
    <w:rsid w:val="00A83592"/>
    <w:rsid w:val="00A83993"/>
    <w:rsid w:val="00A84595"/>
    <w:rsid w:val="00A84B94"/>
    <w:rsid w:val="00A86059"/>
    <w:rsid w:val="00A87089"/>
    <w:rsid w:val="00A8753B"/>
    <w:rsid w:val="00A876B9"/>
    <w:rsid w:val="00A877B8"/>
    <w:rsid w:val="00A877D4"/>
    <w:rsid w:val="00A9023D"/>
    <w:rsid w:val="00A911C6"/>
    <w:rsid w:val="00A9137B"/>
    <w:rsid w:val="00A91780"/>
    <w:rsid w:val="00A91AA7"/>
    <w:rsid w:val="00A928FE"/>
    <w:rsid w:val="00A92CAD"/>
    <w:rsid w:val="00A945AC"/>
    <w:rsid w:val="00A948E2"/>
    <w:rsid w:val="00A9519E"/>
    <w:rsid w:val="00A959DD"/>
    <w:rsid w:val="00A95DDE"/>
    <w:rsid w:val="00A96857"/>
    <w:rsid w:val="00A9685E"/>
    <w:rsid w:val="00A96896"/>
    <w:rsid w:val="00A970CB"/>
    <w:rsid w:val="00A972E6"/>
    <w:rsid w:val="00A97441"/>
    <w:rsid w:val="00A97746"/>
    <w:rsid w:val="00AA00FD"/>
    <w:rsid w:val="00AA01EC"/>
    <w:rsid w:val="00AA0343"/>
    <w:rsid w:val="00AA197C"/>
    <w:rsid w:val="00AA1C2A"/>
    <w:rsid w:val="00AA38F5"/>
    <w:rsid w:val="00AA3A2C"/>
    <w:rsid w:val="00AA480F"/>
    <w:rsid w:val="00AA5121"/>
    <w:rsid w:val="00AA5994"/>
    <w:rsid w:val="00AA5B6C"/>
    <w:rsid w:val="00AA70D2"/>
    <w:rsid w:val="00AA73D3"/>
    <w:rsid w:val="00AA795A"/>
    <w:rsid w:val="00AB0424"/>
    <w:rsid w:val="00AB0892"/>
    <w:rsid w:val="00AB0DFF"/>
    <w:rsid w:val="00AB1D00"/>
    <w:rsid w:val="00AB3FB3"/>
    <w:rsid w:val="00AB4AA7"/>
    <w:rsid w:val="00AB4AB2"/>
    <w:rsid w:val="00AB4EF7"/>
    <w:rsid w:val="00AB6078"/>
    <w:rsid w:val="00AB6C36"/>
    <w:rsid w:val="00AB6EE2"/>
    <w:rsid w:val="00AB6EEA"/>
    <w:rsid w:val="00AB7937"/>
    <w:rsid w:val="00AC1611"/>
    <w:rsid w:val="00AC2208"/>
    <w:rsid w:val="00AC24B0"/>
    <w:rsid w:val="00AC2D2F"/>
    <w:rsid w:val="00AC2D7A"/>
    <w:rsid w:val="00AC306F"/>
    <w:rsid w:val="00AC47DD"/>
    <w:rsid w:val="00AC4D76"/>
    <w:rsid w:val="00AC5773"/>
    <w:rsid w:val="00AC6021"/>
    <w:rsid w:val="00AC614B"/>
    <w:rsid w:val="00AC7442"/>
    <w:rsid w:val="00AC79F2"/>
    <w:rsid w:val="00AC7B02"/>
    <w:rsid w:val="00AD0180"/>
    <w:rsid w:val="00AD01AC"/>
    <w:rsid w:val="00AD0446"/>
    <w:rsid w:val="00AD1D70"/>
    <w:rsid w:val="00AD230B"/>
    <w:rsid w:val="00AD2776"/>
    <w:rsid w:val="00AD2C2D"/>
    <w:rsid w:val="00AD46C8"/>
    <w:rsid w:val="00AD6705"/>
    <w:rsid w:val="00AD6FCE"/>
    <w:rsid w:val="00AD7476"/>
    <w:rsid w:val="00AD7F4C"/>
    <w:rsid w:val="00AE04D7"/>
    <w:rsid w:val="00AE06EC"/>
    <w:rsid w:val="00AE0E85"/>
    <w:rsid w:val="00AE1024"/>
    <w:rsid w:val="00AE1ED9"/>
    <w:rsid w:val="00AE2106"/>
    <w:rsid w:val="00AE301D"/>
    <w:rsid w:val="00AE38AB"/>
    <w:rsid w:val="00AE3A60"/>
    <w:rsid w:val="00AE44DF"/>
    <w:rsid w:val="00AE4C31"/>
    <w:rsid w:val="00AE4CE5"/>
    <w:rsid w:val="00AE4F82"/>
    <w:rsid w:val="00AE53D5"/>
    <w:rsid w:val="00AE5D03"/>
    <w:rsid w:val="00AE6041"/>
    <w:rsid w:val="00AE75EF"/>
    <w:rsid w:val="00AE768E"/>
    <w:rsid w:val="00AE78F3"/>
    <w:rsid w:val="00AF113D"/>
    <w:rsid w:val="00AF1484"/>
    <w:rsid w:val="00AF1A00"/>
    <w:rsid w:val="00AF27E8"/>
    <w:rsid w:val="00AF2B09"/>
    <w:rsid w:val="00AF2EE8"/>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4C38"/>
    <w:rsid w:val="00B05251"/>
    <w:rsid w:val="00B05306"/>
    <w:rsid w:val="00B05335"/>
    <w:rsid w:val="00B056E4"/>
    <w:rsid w:val="00B05B94"/>
    <w:rsid w:val="00B06003"/>
    <w:rsid w:val="00B0760F"/>
    <w:rsid w:val="00B076ED"/>
    <w:rsid w:val="00B07D80"/>
    <w:rsid w:val="00B10B00"/>
    <w:rsid w:val="00B10DA6"/>
    <w:rsid w:val="00B11C80"/>
    <w:rsid w:val="00B11D60"/>
    <w:rsid w:val="00B12194"/>
    <w:rsid w:val="00B1401B"/>
    <w:rsid w:val="00B14837"/>
    <w:rsid w:val="00B14B3C"/>
    <w:rsid w:val="00B1568E"/>
    <w:rsid w:val="00B16B0B"/>
    <w:rsid w:val="00B17B9C"/>
    <w:rsid w:val="00B20781"/>
    <w:rsid w:val="00B209F5"/>
    <w:rsid w:val="00B20EED"/>
    <w:rsid w:val="00B20F0D"/>
    <w:rsid w:val="00B20FD1"/>
    <w:rsid w:val="00B21FDA"/>
    <w:rsid w:val="00B22017"/>
    <w:rsid w:val="00B22FCF"/>
    <w:rsid w:val="00B235A8"/>
    <w:rsid w:val="00B23A6A"/>
    <w:rsid w:val="00B23E19"/>
    <w:rsid w:val="00B2420A"/>
    <w:rsid w:val="00B25F79"/>
    <w:rsid w:val="00B260D1"/>
    <w:rsid w:val="00B26929"/>
    <w:rsid w:val="00B26DE5"/>
    <w:rsid w:val="00B26E73"/>
    <w:rsid w:val="00B27154"/>
    <w:rsid w:val="00B27628"/>
    <w:rsid w:val="00B315A1"/>
    <w:rsid w:val="00B316CB"/>
    <w:rsid w:val="00B31E4B"/>
    <w:rsid w:val="00B32437"/>
    <w:rsid w:val="00B328F5"/>
    <w:rsid w:val="00B32991"/>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554"/>
    <w:rsid w:val="00B40A59"/>
    <w:rsid w:val="00B40B99"/>
    <w:rsid w:val="00B4160D"/>
    <w:rsid w:val="00B41923"/>
    <w:rsid w:val="00B41ACC"/>
    <w:rsid w:val="00B42339"/>
    <w:rsid w:val="00B424C7"/>
    <w:rsid w:val="00B4275E"/>
    <w:rsid w:val="00B42C26"/>
    <w:rsid w:val="00B43253"/>
    <w:rsid w:val="00B43DFF"/>
    <w:rsid w:val="00B43EBB"/>
    <w:rsid w:val="00B45664"/>
    <w:rsid w:val="00B45A37"/>
    <w:rsid w:val="00B45C59"/>
    <w:rsid w:val="00B46154"/>
    <w:rsid w:val="00B46537"/>
    <w:rsid w:val="00B46C7E"/>
    <w:rsid w:val="00B4780D"/>
    <w:rsid w:val="00B5029A"/>
    <w:rsid w:val="00B50556"/>
    <w:rsid w:val="00B507B2"/>
    <w:rsid w:val="00B51E2D"/>
    <w:rsid w:val="00B52BD8"/>
    <w:rsid w:val="00B52FD6"/>
    <w:rsid w:val="00B53BDD"/>
    <w:rsid w:val="00B542A6"/>
    <w:rsid w:val="00B55942"/>
    <w:rsid w:val="00B55BA1"/>
    <w:rsid w:val="00B55C52"/>
    <w:rsid w:val="00B55ECE"/>
    <w:rsid w:val="00B55F4C"/>
    <w:rsid w:val="00B55F90"/>
    <w:rsid w:val="00B5601E"/>
    <w:rsid w:val="00B564D4"/>
    <w:rsid w:val="00B57B53"/>
    <w:rsid w:val="00B600E6"/>
    <w:rsid w:val="00B60F2B"/>
    <w:rsid w:val="00B60FB6"/>
    <w:rsid w:val="00B612DF"/>
    <w:rsid w:val="00B61A38"/>
    <w:rsid w:val="00B61DBC"/>
    <w:rsid w:val="00B61DC2"/>
    <w:rsid w:val="00B622EE"/>
    <w:rsid w:val="00B6266E"/>
    <w:rsid w:val="00B62A91"/>
    <w:rsid w:val="00B62D98"/>
    <w:rsid w:val="00B63257"/>
    <w:rsid w:val="00B6364D"/>
    <w:rsid w:val="00B63D4F"/>
    <w:rsid w:val="00B65848"/>
    <w:rsid w:val="00B66974"/>
    <w:rsid w:val="00B67790"/>
    <w:rsid w:val="00B7094C"/>
    <w:rsid w:val="00B709BB"/>
    <w:rsid w:val="00B71102"/>
    <w:rsid w:val="00B7225A"/>
    <w:rsid w:val="00B72285"/>
    <w:rsid w:val="00B73330"/>
    <w:rsid w:val="00B73588"/>
    <w:rsid w:val="00B73B4B"/>
    <w:rsid w:val="00B73EEB"/>
    <w:rsid w:val="00B7408F"/>
    <w:rsid w:val="00B755FE"/>
    <w:rsid w:val="00B75A6A"/>
    <w:rsid w:val="00B75B7C"/>
    <w:rsid w:val="00B76565"/>
    <w:rsid w:val="00B803EE"/>
    <w:rsid w:val="00B80BB0"/>
    <w:rsid w:val="00B810A6"/>
    <w:rsid w:val="00B813A3"/>
    <w:rsid w:val="00B82A2C"/>
    <w:rsid w:val="00B82ADE"/>
    <w:rsid w:val="00B83B0D"/>
    <w:rsid w:val="00B83B3E"/>
    <w:rsid w:val="00B8429E"/>
    <w:rsid w:val="00B8496B"/>
    <w:rsid w:val="00B849F6"/>
    <w:rsid w:val="00B860AD"/>
    <w:rsid w:val="00B8751E"/>
    <w:rsid w:val="00B87F9D"/>
    <w:rsid w:val="00B87FAA"/>
    <w:rsid w:val="00B903E3"/>
    <w:rsid w:val="00B90439"/>
    <w:rsid w:val="00B92E14"/>
    <w:rsid w:val="00B93E3A"/>
    <w:rsid w:val="00B94600"/>
    <w:rsid w:val="00B949F0"/>
    <w:rsid w:val="00B94BB4"/>
    <w:rsid w:val="00B96532"/>
    <w:rsid w:val="00B96E7C"/>
    <w:rsid w:val="00B97157"/>
    <w:rsid w:val="00B9770A"/>
    <w:rsid w:val="00B97F58"/>
    <w:rsid w:val="00BA0588"/>
    <w:rsid w:val="00BA0903"/>
    <w:rsid w:val="00BA1483"/>
    <w:rsid w:val="00BA184E"/>
    <w:rsid w:val="00BA1FFF"/>
    <w:rsid w:val="00BA2022"/>
    <w:rsid w:val="00BA206C"/>
    <w:rsid w:val="00BA221F"/>
    <w:rsid w:val="00BA2F49"/>
    <w:rsid w:val="00BA3196"/>
    <w:rsid w:val="00BA327F"/>
    <w:rsid w:val="00BA38F2"/>
    <w:rsid w:val="00BA3B30"/>
    <w:rsid w:val="00BA401C"/>
    <w:rsid w:val="00BA4070"/>
    <w:rsid w:val="00BA448A"/>
    <w:rsid w:val="00BA574E"/>
    <w:rsid w:val="00BA59B2"/>
    <w:rsid w:val="00BA5E62"/>
    <w:rsid w:val="00BA607B"/>
    <w:rsid w:val="00BA6266"/>
    <w:rsid w:val="00BA7927"/>
    <w:rsid w:val="00BA7AE5"/>
    <w:rsid w:val="00BA7C35"/>
    <w:rsid w:val="00BB0495"/>
    <w:rsid w:val="00BB0E80"/>
    <w:rsid w:val="00BB1344"/>
    <w:rsid w:val="00BB13CE"/>
    <w:rsid w:val="00BB1D4A"/>
    <w:rsid w:val="00BB2DB7"/>
    <w:rsid w:val="00BB2F5A"/>
    <w:rsid w:val="00BB353C"/>
    <w:rsid w:val="00BB3724"/>
    <w:rsid w:val="00BB56FA"/>
    <w:rsid w:val="00BB69C8"/>
    <w:rsid w:val="00BB7BAA"/>
    <w:rsid w:val="00BB7BF1"/>
    <w:rsid w:val="00BB7C4B"/>
    <w:rsid w:val="00BC0808"/>
    <w:rsid w:val="00BC1041"/>
    <w:rsid w:val="00BC1ED0"/>
    <w:rsid w:val="00BC29DD"/>
    <w:rsid w:val="00BC32AE"/>
    <w:rsid w:val="00BC369B"/>
    <w:rsid w:val="00BC3880"/>
    <w:rsid w:val="00BC39D5"/>
    <w:rsid w:val="00BC486B"/>
    <w:rsid w:val="00BC5363"/>
    <w:rsid w:val="00BC5655"/>
    <w:rsid w:val="00BC57CF"/>
    <w:rsid w:val="00BC71CA"/>
    <w:rsid w:val="00BC73AB"/>
    <w:rsid w:val="00BC748E"/>
    <w:rsid w:val="00BD02FD"/>
    <w:rsid w:val="00BD052A"/>
    <w:rsid w:val="00BD0833"/>
    <w:rsid w:val="00BD138A"/>
    <w:rsid w:val="00BD1F42"/>
    <w:rsid w:val="00BD20DD"/>
    <w:rsid w:val="00BD277D"/>
    <w:rsid w:val="00BD2907"/>
    <w:rsid w:val="00BD2F90"/>
    <w:rsid w:val="00BD379A"/>
    <w:rsid w:val="00BD3A5E"/>
    <w:rsid w:val="00BD45CD"/>
    <w:rsid w:val="00BD4744"/>
    <w:rsid w:val="00BD5326"/>
    <w:rsid w:val="00BD5BC3"/>
    <w:rsid w:val="00BD6168"/>
    <w:rsid w:val="00BD61A3"/>
    <w:rsid w:val="00BD67F8"/>
    <w:rsid w:val="00BD6B8C"/>
    <w:rsid w:val="00BE00C5"/>
    <w:rsid w:val="00BE1489"/>
    <w:rsid w:val="00BE2C83"/>
    <w:rsid w:val="00BE3AAF"/>
    <w:rsid w:val="00BE3C7F"/>
    <w:rsid w:val="00BE5066"/>
    <w:rsid w:val="00BE605C"/>
    <w:rsid w:val="00BE6D19"/>
    <w:rsid w:val="00BE7360"/>
    <w:rsid w:val="00BE7551"/>
    <w:rsid w:val="00BE7ABE"/>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2C2"/>
    <w:rsid w:val="00BF5426"/>
    <w:rsid w:val="00BF596E"/>
    <w:rsid w:val="00BF5EEE"/>
    <w:rsid w:val="00BF61F4"/>
    <w:rsid w:val="00BF73BF"/>
    <w:rsid w:val="00BF758A"/>
    <w:rsid w:val="00BF7779"/>
    <w:rsid w:val="00BF7CCF"/>
    <w:rsid w:val="00C01FAE"/>
    <w:rsid w:val="00C02A93"/>
    <w:rsid w:val="00C04C13"/>
    <w:rsid w:val="00C04FF7"/>
    <w:rsid w:val="00C05755"/>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3A1"/>
    <w:rsid w:val="00C12A1C"/>
    <w:rsid w:val="00C12D89"/>
    <w:rsid w:val="00C141AF"/>
    <w:rsid w:val="00C142C3"/>
    <w:rsid w:val="00C14F69"/>
    <w:rsid w:val="00C15505"/>
    <w:rsid w:val="00C16A2E"/>
    <w:rsid w:val="00C16C0F"/>
    <w:rsid w:val="00C16CAD"/>
    <w:rsid w:val="00C1778F"/>
    <w:rsid w:val="00C211A8"/>
    <w:rsid w:val="00C22718"/>
    <w:rsid w:val="00C22D7D"/>
    <w:rsid w:val="00C2463A"/>
    <w:rsid w:val="00C24CBA"/>
    <w:rsid w:val="00C252D9"/>
    <w:rsid w:val="00C2593E"/>
    <w:rsid w:val="00C2596A"/>
    <w:rsid w:val="00C263D3"/>
    <w:rsid w:val="00C2678D"/>
    <w:rsid w:val="00C26887"/>
    <w:rsid w:val="00C27053"/>
    <w:rsid w:val="00C276F0"/>
    <w:rsid w:val="00C30875"/>
    <w:rsid w:val="00C30B78"/>
    <w:rsid w:val="00C30BEC"/>
    <w:rsid w:val="00C310F2"/>
    <w:rsid w:val="00C327C9"/>
    <w:rsid w:val="00C32A79"/>
    <w:rsid w:val="00C32E15"/>
    <w:rsid w:val="00C33D5E"/>
    <w:rsid w:val="00C37011"/>
    <w:rsid w:val="00C403B7"/>
    <w:rsid w:val="00C40C52"/>
    <w:rsid w:val="00C40DE5"/>
    <w:rsid w:val="00C411B6"/>
    <w:rsid w:val="00C4122A"/>
    <w:rsid w:val="00C427A5"/>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50205"/>
    <w:rsid w:val="00C5024C"/>
    <w:rsid w:val="00C51740"/>
    <w:rsid w:val="00C51992"/>
    <w:rsid w:val="00C52D4A"/>
    <w:rsid w:val="00C52DEE"/>
    <w:rsid w:val="00C53106"/>
    <w:rsid w:val="00C54158"/>
    <w:rsid w:val="00C54327"/>
    <w:rsid w:val="00C543C1"/>
    <w:rsid w:val="00C54751"/>
    <w:rsid w:val="00C54A12"/>
    <w:rsid w:val="00C54E73"/>
    <w:rsid w:val="00C556FD"/>
    <w:rsid w:val="00C55AC7"/>
    <w:rsid w:val="00C56662"/>
    <w:rsid w:val="00C56742"/>
    <w:rsid w:val="00C56B8E"/>
    <w:rsid w:val="00C56FF6"/>
    <w:rsid w:val="00C5744D"/>
    <w:rsid w:val="00C575F0"/>
    <w:rsid w:val="00C602AB"/>
    <w:rsid w:val="00C60461"/>
    <w:rsid w:val="00C60BDA"/>
    <w:rsid w:val="00C61100"/>
    <w:rsid w:val="00C61B12"/>
    <w:rsid w:val="00C61CE5"/>
    <w:rsid w:val="00C62853"/>
    <w:rsid w:val="00C62EFC"/>
    <w:rsid w:val="00C635FC"/>
    <w:rsid w:val="00C63AFE"/>
    <w:rsid w:val="00C63EEE"/>
    <w:rsid w:val="00C64264"/>
    <w:rsid w:val="00C64350"/>
    <w:rsid w:val="00C651C1"/>
    <w:rsid w:val="00C66D9C"/>
    <w:rsid w:val="00C67384"/>
    <w:rsid w:val="00C678BA"/>
    <w:rsid w:val="00C714B0"/>
    <w:rsid w:val="00C71F60"/>
    <w:rsid w:val="00C72161"/>
    <w:rsid w:val="00C72AC2"/>
    <w:rsid w:val="00C72BC5"/>
    <w:rsid w:val="00C7406B"/>
    <w:rsid w:val="00C7426C"/>
    <w:rsid w:val="00C74539"/>
    <w:rsid w:val="00C7489B"/>
    <w:rsid w:val="00C74CFA"/>
    <w:rsid w:val="00C74DD5"/>
    <w:rsid w:val="00C75627"/>
    <w:rsid w:val="00C76864"/>
    <w:rsid w:val="00C775F9"/>
    <w:rsid w:val="00C77E56"/>
    <w:rsid w:val="00C77F6C"/>
    <w:rsid w:val="00C803D9"/>
    <w:rsid w:val="00C81152"/>
    <w:rsid w:val="00C81894"/>
    <w:rsid w:val="00C81AC4"/>
    <w:rsid w:val="00C8258B"/>
    <w:rsid w:val="00C827D8"/>
    <w:rsid w:val="00C829D0"/>
    <w:rsid w:val="00C83018"/>
    <w:rsid w:val="00C839D8"/>
    <w:rsid w:val="00C8409A"/>
    <w:rsid w:val="00C842F0"/>
    <w:rsid w:val="00C84545"/>
    <w:rsid w:val="00C85592"/>
    <w:rsid w:val="00C861C4"/>
    <w:rsid w:val="00C86959"/>
    <w:rsid w:val="00C87F3D"/>
    <w:rsid w:val="00C902DE"/>
    <w:rsid w:val="00C9058F"/>
    <w:rsid w:val="00C90F67"/>
    <w:rsid w:val="00C9235D"/>
    <w:rsid w:val="00C923E9"/>
    <w:rsid w:val="00C93095"/>
    <w:rsid w:val="00C938CF"/>
    <w:rsid w:val="00C95742"/>
    <w:rsid w:val="00C95A13"/>
    <w:rsid w:val="00C95B24"/>
    <w:rsid w:val="00C962EB"/>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C38"/>
    <w:rsid w:val="00CA1E2F"/>
    <w:rsid w:val="00CA1EFC"/>
    <w:rsid w:val="00CA29EC"/>
    <w:rsid w:val="00CA2FE6"/>
    <w:rsid w:val="00CA46CA"/>
    <w:rsid w:val="00CA5217"/>
    <w:rsid w:val="00CA60F4"/>
    <w:rsid w:val="00CA61C9"/>
    <w:rsid w:val="00CA680B"/>
    <w:rsid w:val="00CA6D0E"/>
    <w:rsid w:val="00CA70EF"/>
    <w:rsid w:val="00CA72DC"/>
    <w:rsid w:val="00CA7C91"/>
    <w:rsid w:val="00CB0891"/>
    <w:rsid w:val="00CB0E8D"/>
    <w:rsid w:val="00CB1840"/>
    <w:rsid w:val="00CB2501"/>
    <w:rsid w:val="00CB284D"/>
    <w:rsid w:val="00CB39E0"/>
    <w:rsid w:val="00CB3BA5"/>
    <w:rsid w:val="00CB4D0E"/>
    <w:rsid w:val="00CB4E0E"/>
    <w:rsid w:val="00CB5AD8"/>
    <w:rsid w:val="00CB5B21"/>
    <w:rsid w:val="00CB5C55"/>
    <w:rsid w:val="00CB68A7"/>
    <w:rsid w:val="00CB7438"/>
    <w:rsid w:val="00CB7462"/>
    <w:rsid w:val="00CB7710"/>
    <w:rsid w:val="00CB7765"/>
    <w:rsid w:val="00CC0B78"/>
    <w:rsid w:val="00CC1E29"/>
    <w:rsid w:val="00CC2172"/>
    <w:rsid w:val="00CC22D8"/>
    <w:rsid w:val="00CC2D00"/>
    <w:rsid w:val="00CC415B"/>
    <w:rsid w:val="00CC4311"/>
    <w:rsid w:val="00CC4676"/>
    <w:rsid w:val="00CC4A86"/>
    <w:rsid w:val="00CC51F0"/>
    <w:rsid w:val="00CC5B6E"/>
    <w:rsid w:val="00CC5C2A"/>
    <w:rsid w:val="00CC5CEF"/>
    <w:rsid w:val="00CC5E36"/>
    <w:rsid w:val="00CC6D00"/>
    <w:rsid w:val="00CC78F3"/>
    <w:rsid w:val="00CD1344"/>
    <w:rsid w:val="00CD173B"/>
    <w:rsid w:val="00CD2F77"/>
    <w:rsid w:val="00CD3399"/>
    <w:rsid w:val="00CD446B"/>
    <w:rsid w:val="00CD5DE7"/>
    <w:rsid w:val="00CD67F5"/>
    <w:rsid w:val="00CD6D5A"/>
    <w:rsid w:val="00CE002E"/>
    <w:rsid w:val="00CE00A5"/>
    <w:rsid w:val="00CE0174"/>
    <w:rsid w:val="00CE025E"/>
    <w:rsid w:val="00CE0287"/>
    <w:rsid w:val="00CE06A8"/>
    <w:rsid w:val="00CE1C99"/>
    <w:rsid w:val="00CE1CFC"/>
    <w:rsid w:val="00CE2117"/>
    <w:rsid w:val="00CE2714"/>
    <w:rsid w:val="00CE2859"/>
    <w:rsid w:val="00CE2862"/>
    <w:rsid w:val="00CE2CBD"/>
    <w:rsid w:val="00CE301D"/>
    <w:rsid w:val="00CE3139"/>
    <w:rsid w:val="00CE3DF0"/>
    <w:rsid w:val="00CE3ED3"/>
    <w:rsid w:val="00CE4CBC"/>
    <w:rsid w:val="00CE4F1D"/>
    <w:rsid w:val="00CE5298"/>
    <w:rsid w:val="00CE5995"/>
    <w:rsid w:val="00CE6EC7"/>
    <w:rsid w:val="00CE71D7"/>
    <w:rsid w:val="00CE7703"/>
    <w:rsid w:val="00CE7AA0"/>
    <w:rsid w:val="00CE7EB8"/>
    <w:rsid w:val="00CF00B3"/>
    <w:rsid w:val="00CF14F0"/>
    <w:rsid w:val="00CF17EF"/>
    <w:rsid w:val="00CF233D"/>
    <w:rsid w:val="00CF296C"/>
    <w:rsid w:val="00CF29A3"/>
    <w:rsid w:val="00CF2B39"/>
    <w:rsid w:val="00CF3971"/>
    <w:rsid w:val="00CF442D"/>
    <w:rsid w:val="00CF45DE"/>
    <w:rsid w:val="00CF4B41"/>
    <w:rsid w:val="00CF5366"/>
    <w:rsid w:val="00CF6FC2"/>
    <w:rsid w:val="00CF73FA"/>
    <w:rsid w:val="00CF755F"/>
    <w:rsid w:val="00CF7C5A"/>
    <w:rsid w:val="00CF7D0A"/>
    <w:rsid w:val="00D00042"/>
    <w:rsid w:val="00D00748"/>
    <w:rsid w:val="00D00CFF"/>
    <w:rsid w:val="00D00D65"/>
    <w:rsid w:val="00D00F2A"/>
    <w:rsid w:val="00D01967"/>
    <w:rsid w:val="00D02048"/>
    <w:rsid w:val="00D031C9"/>
    <w:rsid w:val="00D0376A"/>
    <w:rsid w:val="00D0399A"/>
    <w:rsid w:val="00D0464E"/>
    <w:rsid w:val="00D04F8D"/>
    <w:rsid w:val="00D05020"/>
    <w:rsid w:val="00D051FC"/>
    <w:rsid w:val="00D05A66"/>
    <w:rsid w:val="00D05BBC"/>
    <w:rsid w:val="00D05F22"/>
    <w:rsid w:val="00D06D33"/>
    <w:rsid w:val="00D07143"/>
    <w:rsid w:val="00D076E6"/>
    <w:rsid w:val="00D07C3B"/>
    <w:rsid w:val="00D10D24"/>
    <w:rsid w:val="00D11170"/>
    <w:rsid w:val="00D11FA9"/>
    <w:rsid w:val="00D12307"/>
    <w:rsid w:val="00D12CEC"/>
    <w:rsid w:val="00D13012"/>
    <w:rsid w:val="00D13B5D"/>
    <w:rsid w:val="00D13BEA"/>
    <w:rsid w:val="00D1440D"/>
    <w:rsid w:val="00D17E00"/>
    <w:rsid w:val="00D207D4"/>
    <w:rsid w:val="00D20FA6"/>
    <w:rsid w:val="00D21AE4"/>
    <w:rsid w:val="00D21C3F"/>
    <w:rsid w:val="00D2202E"/>
    <w:rsid w:val="00D22FD5"/>
    <w:rsid w:val="00D2369D"/>
    <w:rsid w:val="00D23769"/>
    <w:rsid w:val="00D237F1"/>
    <w:rsid w:val="00D23DDA"/>
    <w:rsid w:val="00D245D4"/>
    <w:rsid w:val="00D24A35"/>
    <w:rsid w:val="00D24DE6"/>
    <w:rsid w:val="00D25E30"/>
    <w:rsid w:val="00D26C53"/>
    <w:rsid w:val="00D26E45"/>
    <w:rsid w:val="00D26F58"/>
    <w:rsid w:val="00D26F86"/>
    <w:rsid w:val="00D30380"/>
    <w:rsid w:val="00D307B6"/>
    <w:rsid w:val="00D323C7"/>
    <w:rsid w:val="00D32E03"/>
    <w:rsid w:val="00D3382F"/>
    <w:rsid w:val="00D33EE7"/>
    <w:rsid w:val="00D34164"/>
    <w:rsid w:val="00D34D92"/>
    <w:rsid w:val="00D35637"/>
    <w:rsid w:val="00D35B9C"/>
    <w:rsid w:val="00D35D47"/>
    <w:rsid w:val="00D35DA0"/>
    <w:rsid w:val="00D35DF4"/>
    <w:rsid w:val="00D3649E"/>
    <w:rsid w:val="00D366EF"/>
    <w:rsid w:val="00D36BBE"/>
    <w:rsid w:val="00D36DFD"/>
    <w:rsid w:val="00D376C0"/>
    <w:rsid w:val="00D37993"/>
    <w:rsid w:val="00D4002D"/>
    <w:rsid w:val="00D412BD"/>
    <w:rsid w:val="00D41495"/>
    <w:rsid w:val="00D41A8B"/>
    <w:rsid w:val="00D41B55"/>
    <w:rsid w:val="00D41E66"/>
    <w:rsid w:val="00D44B9B"/>
    <w:rsid w:val="00D44CDB"/>
    <w:rsid w:val="00D45D66"/>
    <w:rsid w:val="00D46968"/>
    <w:rsid w:val="00D4729C"/>
    <w:rsid w:val="00D4790C"/>
    <w:rsid w:val="00D501DD"/>
    <w:rsid w:val="00D503A1"/>
    <w:rsid w:val="00D51393"/>
    <w:rsid w:val="00D51672"/>
    <w:rsid w:val="00D51A92"/>
    <w:rsid w:val="00D52EF1"/>
    <w:rsid w:val="00D5324B"/>
    <w:rsid w:val="00D53A52"/>
    <w:rsid w:val="00D546EE"/>
    <w:rsid w:val="00D54F99"/>
    <w:rsid w:val="00D553B3"/>
    <w:rsid w:val="00D55B97"/>
    <w:rsid w:val="00D55C3F"/>
    <w:rsid w:val="00D55E23"/>
    <w:rsid w:val="00D56109"/>
    <w:rsid w:val="00D568CB"/>
    <w:rsid w:val="00D568DC"/>
    <w:rsid w:val="00D57375"/>
    <w:rsid w:val="00D57693"/>
    <w:rsid w:val="00D576AA"/>
    <w:rsid w:val="00D57DF0"/>
    <w:rsid w:val="00D57E34"/>
    <w:rsid w:val="00D60327"/>
    <w:rsid w:val="00D60AD5"/>
    <w:rsid w:val="00D60ED2"/>
    <w:rsid w:val="00D61149"/>
    <w:rsid w:val="00D6148A"/>
    <w:rsid w:val="00D63AD6"/>
    <w:rsid w:val="00D6400F"/>
    <w:rsid w:val="00D651E5"/>
    <w:rsid w:val="00D65294"/>
    <w:rsid w:val="00D6608B"/>
    <w:rsid w:val="00D6627E"/>
    <w:rsid w:val="00D663C7"/>
    <w:rsid w:val="00D66FFB"/>
    <w:rsid w:val="00D671D7"/>
    <w:rsid w:val="00D67994"/>
    <w:rsid w:val="00D704AF"/>
    <w:rsid w:val="00D70BAA"/>
    <w:rsid w:val="00D70C2A"/>
    <w:rsid w:val="00D70D50"/>
    <w:rsid w:val="00D70F1C"/>
    <w:rsid w:val="00D70F76"/>
    <w:rsid w:val="00D716D2"/>
    <w:rsid w:val="00D71C18"/>
    <w:rsid w:val="00D72791"/>
    <w:rsid w:val="00D738B5"/>
    <w:rsid w:val="00D73A6A"/>
    <w:rsid w:val="00D73F6E"/>
    <w:rsid w:val="00D75B15"/>
    <w:rsid w:val="00D75B21"/>
    <w:rsid w:val="00D75F01"/>
    <w:rsid w:val="00D7638F"/>
    <w:rsid w:val="00D767A2"/>
    <w:rsid w:val="00D767DB"/>
    <w:rsid w:val="00D76E8C"/>
    <w:rsid w:val="00D775CF"/>
    <w:rsid w:val="00D80209"/>
    <w:rsid w:val="00D80430"/>
    <w:rsid w:val="00D8088B"/>
    <w:rsid w:val="00D80BCF"/>
    <w:rsid w:val="00D80D4F"/>
    <w:rsid w:val="00D80F11"/>
    <w:rsid w:val="00D81D75"/>
    <w:rsid w:val="00D81F8C"/>
    <w:rsid w:val="00D82A5E"/>
    <w:rsid w:val="00D82B9D"/>
    <w:rsid w:val="00D834CD"/>
    <w:rsid w:val="00D83B83"/>
    <w:rsid w:val="00D84579"/>
    <w:rsid w:val="00D845F9"/>
    <w:rsid w:val="00D84BBF"/>
    <w:rsid w:val="00D85454"/>
    <w:rsid w:val="00D861A9"/>
    <w:rsid w:val="00D878AE"/>
    <w:rsid w:val="00D90666"/>
    <w:rsid w:val="00D909E6"/>
    <w:rsid w:val="00D915EE"/>
    <w:rsid w:val="00D91726"/>
    <w:rsid w:val="00D91836"/>
    <w:rsid w:val="00D9185D"/>
    <w:rsid w:val="00D922C4"/>
    <w:rsid w:val="00D9238D"/>
    <w:rsid w:val="00D9380C"/>
    <w:rsid w:val="00D942E4"/>
    <w:rsid w:val="00D944DC"/>
    <w:rsid w:val="00D9488E"/>
    <w:rsid w:val="00D95159"/>
    <w:rsid w:val="00D9528F"/>
    <w:rsid w:val="00D95433"/>
    <w:rsid w:val="00D95662"/>
    <w:rsid w:val="00D957F8"/>
    <w:rsid w:val="00D96BE5"/>
    <w:rsid w:val="00D9718A"/>
    <w:rsid w:val="00D975F5"/>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349"/>
    <w:rsid w:val="00DB16A2"/>
    <w:rsid w:val="00DB2646"/>
    <w:rsid w:val="00DB2A40"/>
    <w:rsid w:val="00DB3894"/>
    <w:rsid w:val="00DB3A0B"/>
    <w:rsid w:val="00DB3B77"/>
    <w:rsid w:val="00DB3E39"/>
    <w:rsid w:val="00DB4C26"/>
    <w:rsid w:val="00DB5497"/>
    <w:rsid w:val="00DB5C05"/>
    <w:rsid w:val="00DB722A"/>
    <w:rsid w:val="00DB7AD3"/>
    <w:rsid w:val="00DB7C6B"/>
    <w:rsid w:val="00DB7CFF"/>
    <w:rsid w:val="00DB7E20"/>
    <w:rsid w:val="00DC0EED"/>
    <w:rsid w:val="00DC1037"/>
    <w:rsid w:val="00DC1372"/>
    <w:rsid w:val="00DC13DC"/>
    <w:rsid w:val="00DC186D"/>
    <w:rsid w:val="00DC1CCD"/>
    <w:rsid w:val="00DC1E0D"/>
    <w:rsid w:val="00DC2895"/>
    <w:rsid w:val="00DC321B"/>
    <w:rsid w:val="00DC34D0"/>
    <w:rsid w:val="00DC3E3C"/>
    <w:rsid w:val="00DC41FC"/>
    <w:rsid w:val="00DC4462"/>
    <w:rsid w:val="00DC45AD"/>
    <w:rsid w:val="00DC48AE"/>
    <w:rsid w:val="00DC4CD4"/>
    <w:rsid w:val="00DC4E2E"/>
    <w:rsid w:val="00DC4E9A"/>
    <w:rsid w:val="00DC50BC"/>
    <w:rsid w:val="00DC5D66"/>
    <w:rsid w:val="00DC6C2C"/>
    <w:rsid w:val="00DC7052"/>
    <w:rsid w:val="00DC7E32"/>
    <w:rsid w:val="00DD04B7"/>
    <w:rsid w:val="00DD1301"/>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69B4"/>
    <w:rsid w:val="00DE7019"/>
    <w:rsid w:val="00DF10A4"/>
    <w:rsid w:val="00DF1343"/>
    <w:rsid w:val="00DF1DE4"/>
    <w:rsid w:val="00DF2C5C"/>
    <w:rsid w:val="00DF4572"/>
    <w:rsid w:val="00DF4FDD"/>
    <w:rsid w:val="00DF591E"/>
    <w:rsid w:val="00DF60BC"/>
    <w:rsid w:val="00DF614A"/>
    <w:rsid w:val="00DF6F83"/>
    <w:rsid w:val="00DF7D60"/>
    <w:rsid w:val="00E01599"/>
    <w:rsid w:val="00E01E79"/>
    <w:rsid w:val="00E0204C"/>
    <w:rsid w:val="00E03A22"/>
    <w:rsid w:val="00E04926"/>
    <w:rsid w:val="00E04A3E"/>
    <w:rsid w:val="00E053AE"/>
    <w:rsid w:val="00E0590D"/>
    <w:rsid w:val="00E06493"/>
    <w:rsid w:val="00E06745"/>
    <w:rsid w:val="00E0691B"/>
    <w:rsid w:val="00E074F0"/>
    <w:rsid w:val="00E07634"/>
    <w:rsid w:val="00E0789E"/>
    <w:rsid w:val="00E07B2F"/>
    <w:rsid w:val="00E07FFD"/>
    <w:rsid w:val="00E1088B"/>
    <w:rsid w:val="00E10D7F"/>
    <w:rsid w:val="00E10EA4"/>
    <w:rsid w:val="00E11E8B"/>
    <w:rsid w:val="00E12179"/>
    <w:rsid w:val="00E12519"/>
    <w:rsid w:val="00E130E0"/>
    <w:rsid w:val="00E138DB"/>
    <w:rsid w:val="00E13C60"/>
    <w:rsid w:val="00E13EF4"/>
    <w:rsid w:val="00E14205"/>
    <w:rsid w:val="00E14CF1"/>
    <w:rsid w:val="00E14E04"/>
    <w:rsid w:val="00E16401"/>
    <w:rsid w:val="00E16C8D"/>
    <w:rsid w:val="00E17582"/>
    <w:rsid w:val="00E177A0"/>
    <w:rsid w:val="00E177CB"/>
    <w:rsid w:val="00E17DA5"/>
    <w:rsid w:val="00E20852"/>
    <w:rsid w:val="00E2088B"/>
    <w:rsid w:val="00E209F3"/>
    <w:rsid w:val="00E20B08"/>
    <w:rsid w:val="00E21156"/>
    <w:rsid w:val="00E21533"/>
    <w:rsid w:val="00E21675"/>
    <w:rsid w:val="00E216D0"/>
    <w:rsid w:val="00E21F6A"/>
    <w:rsid w:val="00E221A1"/>
    <w:rsid w:val="00E23955"/>
    <w:rsid w:val="00E23F15"/>
    <w:rsid w:val="00E249F3"/>
    <w:rsid w:val="00E24E2B"/>
    <w:rsid w:val="00E25339"/>
    <w:rsid w:val="00E25833"/>
    <w:rsid w:val="00E25C4D"/>
    <w:rsid w:val="00E25CA1"/>
    <w:rsid w:val="00E25F2D"/>
    <w:rsid w:val="00E267CE"/>
    <w:rsid w:val="00E26817"/>
    <w:rsid w:val="00E27BE9"/>
    <w:rsid w:val="00E27D53"/>
    <w:rsid w:val="00E27DBD"/>
    <w:rsid w:val="00E3087F"/>
    <w:rsid w:val="00E30A0D"/>
    <w:rsid w:val="00E30AA8"/>
    <w:rsid w:val="00E31247"/>
    <w:rsid w:val="00E32342"/>
    <w:rsid w:val="00E336BB"/>
    <w:rsid w:val="00E3375F"/>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5666"/>
    <w:rsid w:val="00E45773"/>
    <w:rsid w:val="00E464DF"/>
    <w:rsid w:val="00E467EA"/>
    <w:rsid w:val="00E472A8"/>
    <w:rsid w:val="00E4740D"/>
    <w:rsid w:val="00E47EB6"/>
    <w:rsid w:val="00E47ECA"/>
    <w:rsid w:val="00E504AD"/>
    <w:rsid w:val="00E507D1"/>
    <w:rsid w:val="00E50B1C"/>
    <w:rsid w:val="00E50E29"/>
    <w:rsid w:val="00E5144F"/>
    <w:rsid w:val="00E51A96"/>
    <w:rsid w:val="00E52CE8"/>
    <w:rsid w:val="00E531EB"/>
    <w:rsid w:val="00E535DF"/>
    <w:rsid w:val="00E54D3C"/>
    <w:rsid w:val="00E5529B"/>
    <w:rsid w:val="00E5571B"/>
    <w:rsid w:val="00E55AD4"/>
    <w:rsid w:val="00E5704C"/>
    <w:rsid w:val="00E5724A"/>
    <w:rsid w:val="00E57D2A"/>
    <w:rsid w:val="00E60BF7"/>
    <w:rsid w:val="00E61A39"/>
    <w:rsid w:val="00E61BBA"/>
    <w:rsid w:val="00E61BBC"/>
    <w:rsid w:val="00E62435"/>
    <w:rsid w:val="00E62519"/>
    <w:rsid w:val="00E62FE6"/>
    <w:rsid w:val="00E6322B"/>
    <w:rsid w:val="00E6329E"/>
    <w:rsid w:val="00E63C89"/>
    <w:rsid w:val="00E6492A"/>
    <w:rsid w:val="00E65980"/>
    <w:rsid w:val="00E66922"/>
    <w:rsid w:val="00E66EA9"/>
    <w:rsid w:val="00E677BE"/>
    <w:rsid w:val="00E67E88"/>
    <w:rsid w:val="00E70CB5"/>
    <w:rsid w:val="00E71586"/>
    <w:rsid w:val="00E71FAB"/>
    <w:rsid w:val="00E72056"/>
    <w:rsid w:val="00E7209E"/>
    <w:rsid w:val="00E72163"/>
    <w:rsid w:val="00E7242C"/>
    <w:rsid w:val="00E729BB"/>
    <w:rsid w:val="00E72F07"/>
    <w:rsid w:val="00E73288"/>
    <w:rsid w:val="00E75135"/>
    <w:rsid w:val="00E756DF"/>
    <w:rsid w:val="00E7641E"/>
    <w:rsid w:val="00E76712"/>
    <w:rsid w:val="00E76CA3"/>
    <w:rsid w:val="00E801C4"/>
    <w:rsid w:val="00E8039D"/>
    <w:rsid w:val="00E8148D"/>
    <w:rsid w:val="00E81518"/>
    <w:rsid w:val="00E81F46"/>
    <w:rsid w:val="00E824B1"/>
    <w:rsid w:val="00E8299C"/>
    <w:rsid w:val="00E83CF5"/>
    <w:rsid w:val="00E83E8D"/>
    <w:rsid w:val="00E8412A"/>
    <w:rsid w:val="00E856C3"/>
    <w:rsid w:val="00E85970"/>
    <w:rsid w:val="00E85ED1"/>
    <w:rsid w:val="00E8695D"/>
    <w:rsid w:val="00E86DA8"/>
    <w:rsid w:val="00E86E87"/>
    <w:rsid w:val="00E87129"/>
    <w:rsid w:val="00E87449"/>
    <w:rsid w:val="00E9037C"/>
    <w:rsid w:val="00E90458"/>
    <w:rsid w:val="00E91199"/>
    <w:rsid w:val="00E9139E"/>
    <w:rsid w:val="00E91C53"/>
    <w:rsid w:val="00E9288B"/>
    <w:rsid w:val="00E93F57"/>
    <w:rsid w:val="00E94ABC"/>
    <w:rsid w:val="00E95202"/>
    <w:rsid w:val="00E9526F"/>
    <w:rsid w:val="00E952A7"/>
    <w:rsid w:val="00E95E1B"/>
    <w:rsid w:val="00E9661F"/>
    <w:rsid w:val="00E96872"/>
    <w:rsid w:val="00E972E4"/>
    <w:rsid w:val="00E974E0"/>
    <w:rsid w:val="00E97538"/>
    <w:rsid w:val="00E97622"/>
    <w:rsid w:val="00E978D8"/>
    <w:rsid w:val="00E97FA5"/>
    <w:rsid w:val="00EA06E1"/>
    <w:rsid w:val="00EA088F"/>
    <w:rsid w:val="00EA0D78"/>
    <w:rsid w:val="00EA1161"/>
    <w:rsid w:val="00EA11A9"/>
    <w:rsid w:val="00EA1879"/>
    <w:rsid w:val="00EA19DF"/>
    <w:rsid w:val="00EA2B5B"/>
    <w:rsid w:val="00EA3B61"/>
    <w:rsid w:val="00EA3C59"/>
    <w:rsid w:val="00EA4EF5"/>
    <w:rsid w:val="00EA5083"/>
    <w:rsid w:val="00EA556B"/>
    <w:rsid w:val="00EA562D"/>
    <w:rsid w:val="00EA563F"/>
    <w:rsid w:val="00EA5900"/>
    <w:rsid w:val="00EA5B72"/>
    <w:rsid w:val="00EA5F06"/>
    <w:rsid w:val="00EA60D6"/>
    <w:rsid w:val="00EA6405"/>
    <w:rsid w:val="00EA6992"/>
    <w:rsid w:val="00EA6E75"/>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5792"/>
    <w:rsid w:val="00EB6036"/>
    <w:rsid w:val="00EB625C"/>
    <w:rsid w:val="00EB66BC"/>
    <w:rsid w:val="00EB69B0"/>
    <w:rsid w:val="00EB6F5F"/>
    <w:rsid w:val="00EB70CC"/>
    <w:rsid w:val="00EB75D2"/>
    <w:rsid w:val="00EC0D88"/>
    <w:rsid w:val="00EC0E99"/>
    <w:rsid w:val="00EC0FAD"/>
    <w:rsid w:val="00EC1440"/>
    <w:rsid w:val="00EC1905"/>
    <w:rsid w:val="00EC2110"/>
    <w:rsid w:val="00EC2AE8"/>
    <w:rsid w:val="00EC2BF7"/>
    <w:rsid w:val="00EC2C46"/>
    <w:rsid w:val="00EC307B"/>
    <w:rsid w:val="00EC3389"/>
    <w:rsid w:val="00EC381B"/>
    <w:rsid w:val="00EC50A6"/>
    <w:rsid w:val="00EC52F3"/>
    <w:rsid w:val="00EC6135"/>
    <w:rsid w:val="00EC6750"/>
    <w:rsid w:val="00EC6DA5"/>
    <w:rsid w:val="00EC727A"/>
    <w:rsid w:val="00EC75C9"/>
    <w:rsid w:val="00EC7857"/>
    <w:rsid w:val="00ED1706"/>
    <w:rsid w:val="00ED2528"/>
    <w:rsid w:val="00ED25D4"/>
    <w:rsid w:val="00ED26F0"/>
    <w:rsid w:val="00ED2D30"/>
    <w:rsid w:val="00ED35AC"/>
    <w:rsid w:val="00ED3634"/>
    <w:rsid w:val="00ED4223"/>
    <w:rsid w:val="00ED4A99"/>
    <w:rsid w:val="00ED5045"/>
    <w:rsid w:val="00ED5C5F"/>
    <w:rsid w:val="00ED65F5"/>
    <w:rsid w:val="00ED6676"/>
    <w:rsid w:val="00ED674B"/>
    <w:rsid w:val="00ED67A7"/>
    <w:rsid w:val="00ED6E72"/>
    <w:rsid w:val="00ED7B55"/>
    <w:rsid w:val="00EE0620"/>
    <w:rsid w:val="00EE0952"/>
    <w:rsid w:val="00EE0DBA"/>
    <w:rsid w:val="00EE1D70"/>
    <w:rsid w:val="00EE2537"/>
    <w:rsid w:val="00EE26AD"/>
    <w:rsid w:val="00EE26C3"/>
    <w:rsid w:val="00EE289E"/>
    <w:rsid w:val="00EE33D5"/>
    <w:rsid w:val="00EE43AE"/>
    <w:rsid w:val="00EE4CFD"/>
    <w:rsid w:val="00EE4DBF"/>
    <w:rsid w:val="00EE5485"/>
    <w:rsid w:val="00EE5583"/>
    <w:rsid w:val="00EE5E9B"/>
    <w:rsid w:val="00EE66CF"/>
    <w:rsid w:val="00EE6D73"/>
    <w:rsid w:val="00EE72F8"/>
    <w:rsid w:val="00EE75D2"/>
    <w:rsid w:val="00EF1B56"/>
    <w:rsid w:val="00EF1EB3"/>
    <w:rsid w:val="00EF2305"/>
    <w:rsid w:val="00EF2B75"/>
    <w:rsid w:val="00EF336F"/>
    <w:rsid w:val="00EF3832"/>
    <w:rsid w:val="00EF3FB5"/>
    <w:rsid w:val="00EF4193"/>
    <w:rsid w:val="00EF4199"/>
    <w:rsid w:val="00EF4CAC"/>
    <w:rsid w:val="00EF4DB0"/>
    <w:rsid w:val="00EF5054"/>
    <w:rsid w:val="00EF6B09"/>
    <w:rsid w:val="00EF70DC"/>
    <w:rsid w:val="00EF723F"/>
    <w:rsid w:val="00EF7346"/>
    <w:rsid w:val="00EF7348"/>
    <w:rsid w:val="00EF7991"/>
    <w:rsid w:val="00F0006B"/>
    <w:rsid w:val="00F00C41"/>
    <w:rsid w:val="00F00EE5"/>
    <w:rsid w:val="00F0146A"/>
    <w:rsid w:val="00F01AFA"/>
    <w:rsid w:val="00F01BDF"/>
    <w:rsid w:val="00F01BE0"/>
    <w:rsid w:val="00F02014"/>
    <w:rsid w:val="00F02255"/>
    <w:rsid w:val="00F023F4"/>
    <w:rsid w:val="00F025B9"/>
    <w:rsid w:val="00F02BE7"/>
    <w:rsid w:val="00F02E4E"/>
    <w:rsid w:val="00F02F2F"/>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2BA1"/>
    <w:rsid w:val="00F12DA4"/>
    <w:rsid w:val="00F1398A"/>
    <w:rsid w:val="00F14830"/>
    <w:rsid w:val="00F15789"/>
    <w:rsid w:val="00F165B2"/>
    <w:rsid w:val="00F168F6"/>
    <w:rsid w:val="00F16D33"/>
    <w:rsid w:val="00F16E3A"/>
    <w:rsid w:val="00F1731A"/>
    <w:rsid w:val="00F203DB"/>
    <w:rsid w:val="00F20BA3"/>
    <w:rsid w:val="00F20BBA"/>
    <w:rsid w:val="00F211F2"/>
    <w:rsid w:val="00F214A2"/>
    <w:rsid w:val="00F21AC4"/>
    <w:rsid w:val="00F221E6"/>
    <w:rsid w:val="00F2265B"/>
    <w:rsid w:val="00F2266D"/>
    <w:rsid w:val="00F2296A"/>
    <w:rsid w:val="00F22ECE"/>
    <w:rsid w:val="00F22EE6"/>
    <w:rsid w:val="00F232A5"/>
    <w:rsid w:val="00F23697"/>
    <w:rsid w:val="00F246D6"/>
    <w:rsid w:val="00F24761"/>
    <w:rsid w:val="00F24ED6"/>
    <w:rsid w:val="00F24FAA"/>
    <w:rsid w:val="00F25353"/>
    <w:rsid w:val="00F255C6"/>
    <w:rsid w:val="00F25AC3"/>
    <w:rsid w:val="00F25AEB"/>
    <w:rsid w:val="00F26610"/>
    <w:rsid w:val="00F27153"/>
    <w:rsid w:val="00F27B63"/>
    <w:rsid w:val="00F27CE9"/>
    <w:rsid w:val="00F3067B"/>
    <w:rsid w:val="00F317CF"/>
    <w:rsid w:val="00F319D2"/>
    <w:rsid w:val="00F31C25"/>
    <w:rsid w:val="00F31DA7"/>
    <w:rsid w:val="00F31F35"/>
    <w:rsid w:val="00F31FF5"/>
    <w:rsid w:val="00F32365"/>
    <w:rsid w:val="00F34772"/>
    <w:rsid w:val="00F35BF5"/>
    <w:rsid w:val="00F35C80"/>
    <w:rsid w:val="00F35ED4"/>
    <w:rsid w:val="00F35EDB"/>
    <w:rsid w:val="00F36064"/>
    <w:rsid w:val="00F36201"/>
    <w:rsid w:val="00F368A4"/>
    <w:rsid w:val="00F36CAF"/>
    <w:rsid w:val="00F36CB0"/>
    <w:rsid w:val="00F36F1E"/>
    <w:rsid w:val="00F37437"/>
    <w:rsid w:val="00F37B0F"/>
    <w:rsid w:val="00F4005A"/>
    <w:rsid w:val="00F4039A"/>
    <w:rsid w:val="00F405EF"/>
    <w:rsid w:val="00F40E13"/>
    <w:rsid w:val="00F40E83"/>
    <w:rsid w:val="00F414CE"/>
    <w:rsid w:val="00F41688"/>
    <w:rsid w:val="00F41ABA"/>
    <w:rsid w:val="00F42033"/>
    <w:rsid w:val="00F42E1A"/>
    <w:rsid w:val="00F4372E"/>
    <w:rsid w:val="00F442BA"/>
    <w:rsid w:val="00F44374"/>
    <w:rsid w:val="00F445C9"/>
    <w:rsid w:val="00F44A1C"/>
    <w:rsid w:val="00F4529B"/>
    <w:rsid w:val="00F45347"/>
    <w:rsid w:val="00F453FC"/>
    <w:rsid w:val="00F46586"/>
    <w:rsid w:val="00F46C65"/>
    <w:rsid w:val="00F473CD"/>
    <w:rsid w:val="00F47562"/>
    <w:rsid w:val="00F47B58"/>
    <w:rsid w:val="00F47EE5"/>
    <w:rsid w:val="00F509A4"/>
    <w:rsid w:val="00F51491"/>
    <w:rsid w:val="00F51B8E"/>
    <w:rsid w:val="00F51C90"/>
    <w:rsid w:val="00F5220C"/>
    <w:rsid w:val="00F52BE6"/>
    <w:rsid w:val="00F53995"/>
    <w:rsid w:val="00F53A2C"/>
    <w:rsid w:val="00F546AE"/>
    <w:rsid w:val="00F5557B"/>
    <w:rsid w:val="00F55A27"/>
    <w:rsid w:val="00F567F4"/>
    <w:rsid w:val="00F56BF7"/>
    <w:rsid w:val="00F56CAF"/>
    <w:rsid w:val="00F60804"/>
    <w:rsid w:val="00F60C31"/>
    <w:rsid w:val="00F60F89"/>
    <w:rsid w:val="00F61531"/>
    <w:rsid w:val="00F6285D"/>
    <w:rsid w:val="00F636D2"/>
    <w:rsid w:val="00F644C2"/>
    <w:rsid w:val="00F645F5"/>
    <w:rsid w:val="00F648D6"/>
    <w:rsid w:val="00F64B26"/>
    <w:rsid w:val="00F66213"/>
    <w:rsid w:val="00F669C8"/>
    <w:rsid w:val="00F66A6D"/>
    <w:rsid w:val="00F66EF3"/>
    <w:rsid w:val="00F66F44"/>
    <w:rsid w:val="00F67090"/>
    <w:rsid w:val="00F671BB"/>
    <w:rsid w:val="00F70954"/>
    <w:rsid w:val="00F71131"/>
    <w:rsid w:val="00F7154D"/>
    <w:rsid w:val="00F71B31"/>
    <w:rsid w:val="00F72258"/>
    <w:rsid w:val="00F736E8"/>
    <w:rsid w:val="00F739E4"/>
    <w:rsid w:val="00F742C5"/>
    <w:rsid w:val="00F75882"/>
    <w:rsid w:val="00F7665C"/>
    <w:rsid w:val="00F76A03"/>
    <w:rsid w:val="00F76C5B"/>
    <w:rsid w:val="00F77BE7"/>
    <w:rsid w:val="00F8011A"/>
    <w:rsid w:val="00F8053A"/>
    <w:rsid w:val="00F80C06"/>
    <w:rsid w:val="00F80E32"/>
    <w:rsid w:val="00F81C6F"/>
    <w:rsid w:val="00F82F0A"/>
    <w:rsid w:val="00F8356F"/>
    <w:rsid w:val="00F83AF7"/>
    <w:rsid w:val="00F844B8"/>
    <w:rsid w:val="00F846B8"/>
    <w:rsid w:val="00F84882"/>
    <w:rsid w:val="00F84A87"/>
    <w:rsid w:val="00F84F60"/>
    <w:rsid w:val="00F8532C"/>
    <w:rsid w:val="00F85B29"/>
    <w:rsid w:val="00F8649E"/>
    <w:rsid w:val="00F865DE"/>
    <w:rsid w:val="00F86939"/>
    <w:rsid w:val="00F86985"/>
    <w:rsid w:val="00F86CD5"/>
    <w:rsid w:val="00F87807"/>
    <w:rsid w:val="00F87CF3"/>
    <w:rsid w:val="00F9042E"/>
    <w:rsid w:val="00F90464"/>
    <w:rsid w:val="00F90ED0"/>
    <w:rsid w:val="00F9140D"/>
    <w:rsid w:val="00F9157C"/>
    <w:rsid w:val="00F9161C"/>
    <w:rsid w:val="00F918DF"/>
    <w:rsid w:val="00F91A03"/>
    <w:rsid w:val="00F91A66"/>
    <w:rsid w:val="00F92818"/>
    <w:rsid w:val="00F92828"/>
    <w:rsid w:val="00F92A92"/>
    <w:rsid w:val="00F92AF5"/>
    <w:rsid w:val="00F92CE8"/>
    <w:rsid w:val="00F939AE"/>
    <w:rsid w:val="00F93B1D"/>
    <w:rsid w:val="00F93EA8"/>
    <w:rsid w:val="00F940AD"/>
    <w:rsid w:val="00F94907"/>
    <w:rsid w:val="00F9499F"/>
    <w:rsid w:val="00F94E8C"/>
    <w:rsid w:val="00F967B0"/>
    <w:rsid w:val="00F96A33"/>
    <w:rsid w:val="00F97221"/>
    <w:rsid w:val="00F975B0"/>
    <w:rsid w:val="00F97F31"/>
    <w:rsid w:val="00FA055D"/>
    <w:rsid w:val="00FA089C"/>
    <w:rsid w:val="00FA153E"/>
    <w:rsid w:val="00FA1702"/>
    <w:rsid w:val="00FA1820"/>
    <w:rsid w:val="00FA198B"/>
    <w:rsid w:val="00FA26B4"/>
    <w:rsid w:val="00FA35D2"/>
    <w:rsid w:val="00FA3BF1"/>
    <w:rsid w:val="00FA5917"/>
    <w:rsid w:val="00FA647D"/>
    <w:rsid w:val="00FA722B"/>
    <w:rsid w:val="00FA7360"/>
    <w:rsid w:val="00FA738F"/>
    <w:rsid w:val="00FA73A5"/>
    <w:rsid w:val="00FB04AA"/>
    <w:rsid w:val="00FB04CC"/>
    <w:rsid w:val="00FB0689"/>
    <w:rsid w:val="00FB17B9"/>
    <w:rsid w:val="00FB2364"/>
    <w:rsid w:val="00FB28D0"/>
    <w:rsid w:val="00FB2D63"/>
    <w:rsid w:val="00FB3053"/>
    <w:rsid w:val="00FB372E"/>
    <w:rsid w:val="00FB3BA3"/>
    <w:rsid w:val="00FB4099"/>
    <w:rsid w:val="00FB4520"/>
    <w:rsid w:val="00FB4CAC"/>
    <w:rsid w:val="00FB4CCC"/>
    <w:rsid w:val="00FB4FCD"/>
    <w:rsid w:val="00FB6031"/>
    <w:rsid w:val="00FB61BD"/>
    <w:rsid w:val="00FB628B"/>
    <w:rsid w:val="00FB6BE4"/>
    <w:rsid w:val="00FB6F32"/>
    <w:rsid w:val="00FB784A"/>
    <w:rsid w:val="00FC1E0D"/>
    <w:rsid w:val="00FC24BB"/>
    <w:rsid w:val="00FC2575"/>
    <w:rsid w:val="00FC416C"/>
    <w:rsid w:val="00FC4CEE"/>
    <w:rsid w:val="00FC5508"/>
    <w:rsid w:val="00FC5BF0"/>
    <w:rsid w:val="00FC5DD8"/>
    <w:rsid w:val="00FC6030"/>
    <w:rsid w:val="00FC61FF"/>
    <w:rsid w:val="00FC6260"/>
    <w:rsid w:val="00FC67A2"/>
    <w:rsid w:val="00FC7AFA"/>
    <w:rsid w:val="00FD00EC"/>
    <w:rsid w:val="00FD03F8"/>
    <w:rsid w:val="00FD049B"/>
    <w:rsid w:val="00FD156F"/>
    <w:rsid w:val="00FD2793"/>
    <w:rsid w:val="00FD2E38"/>
    <w:rsid w:val="00FD2E9B"/>
    <w:rsid w:val="00FD3534"/>
    <w:rsid w:val="00FD361B"/>
    <w:rsid w:val="00FD42D6"/>
    <w:rsid w:val="00FD49E4"/>
    <w:rsid w:val="00FD53C3"/>
    <w:rsid w:val="00FD55C3"/>
    <w:rsid w:val="00FD5CCF"/>
    <w:rsid w:val="00FD6110"/>
    <w:rsid w:val="00FD62AD"/>
    <w:rsid w:val="00FD64FD"/>
    <w:rsid w:val="00FD6A78"/>
    <w:rsid w:val="00FD7195"/>
    <w:rsid w:val="00FD7270"/>
    <w:rsid w:val="00FD764A"/>
    <w:rsid w:val="00FD7BD2"/>
    <w:rsid w:val="00FE00D5"/>
    <w:rsid w:val="00FE10B4"/>
    <w:rsid w:val="00FE17DC"/>
    <w:rsid w:val="00FE224F"/>
    <w:rsid w:val="00FE2820"/>
    <w:rsid w:val="00FE37B9"/>
    <w:rsid w:val="00FE3B76"/>
    <w:rsid w:val="00FE41E3"/>
    <w:rsid w:val="00FE4447"/>
    <w:rsid w:val="00FE4F1A"/>
    <w:rsid w:val="00FE51D1"/>
    <w:rsid w:val="00FE5640"/>
    <w:rsid w:val="00FE5658"/>
    <w:rsid w:val="00FE60A8"/>
    <w:rsid w:val="00FE68ED"/>
    <w:rsid w:val="00FE7B1A"/>
    <w:rsid w:val="00FE7F62"/>
    <w:rsid w:val="00FE7FA1"/>
    <w:rsid w:val="00FF0804"/>
    <w:rsid w:val="00FF1890"/>
    <w:rsid w:val="00FF18DE"/>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E73F2"/>
  <w15:docId w15:val="{577B5E0B-2F3C-4B41-AAFA-74174EFC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38069866">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0462076">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55638754">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78781408">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11350339">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637192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9084825">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6011141">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3288388">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6298611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17465856">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365343">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9" ma:contentTypeDescription="Create a new document." ma:contentTypeScope="" ma:versionID="d4e5837a2c71fcfbcbd4d93c2a0b4656">
  <xsd:schema xmlns:xsd="http://www.w3.org/2001/XMLSchema" xmlns:xs="http://www.w3.org/2001/XMLSchema" xmlns:p="http://schemas.microsoft.com/office/2006/metadata/properties" xmlns:ns3="2e06e03d-ad7a-4737-9701-16ae5d90b44a" targetNamespace="http://schemas.microsoft.com/office/2006/metadata/properties" ma:root="true" ma:fieldsID="8ed7de58befedfe02ac1011bb4013886"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3316-658E-4437-9848-D47A5A81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F9F7E-E28C-4819-8D1E-DB3806F6BCBB}">
  <ds:schemaRefs>
    <ds:schemaRef ds:uri="http://schemas.microsoft.com/sharepoint/v3/contenttype/forms"/>
  </ds:schemaRefs>
</ds:datastoreItem>
</file>

<file path=customXml/itemProps3.xml><?xml version="1.0" encoding="utf-8"?>
<ds:datastoreItem xmlns:ds="http://schemas.openxmlformats.org/officeDocument/2006/customXml" ds:itemID="{98CDA29C-12BF-44CE-8170-794049627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8E0971-A958-4254-BACE-3B540A1E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Mokone</cp:lastModifiedBy>
  <cp:revision>3</cp:revision>
  <cp:lastPrinted>2023-08-10T13:57:00Z</cp:lastPrinted>
  <dcterms:created xsi:type="dcterms:W3CDTF">2023-08-14T09:46:00Z</dcterms:created>
  <dcterms:modified xsi:type="dcterms:W3CDTF">2023-08-14T09:47:00Z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y fmtid="{D5CDD505-2E9C-101B-9397-08002B2CF9AE}" pid="3" name="ContentTypeId">
    <vt:lpwstr>0x0101008571AB20B9F1134987F59BE3E1FCB97A</vt:lpwstr>
  </property>
</Properties>
</file>