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9263" w14:textId="77777777" w:rsidR="00B5626B" w:rsidRDefault="00B5626B" w:rsidP="006008AE">
      <w:pPr>
        <w:spacing w:before="120" w:after="120" w:line="360" w:lineRule="auto"/>
        <w:ind w:left="661" w:hangingChars="236" w:hanging="661"/>
        <w:jc w:val="center"/>
        <w:rPr>
          <w:rFonts w:ascii="Arial" w:eastAsia="Times New Roman" w:hAnsi="Arial" w:cs="Arial"/>
          <w:sz w:val="28"/>
          <w:szCs w:val="28"/>
          <w:lang w:eastAsia="en-GB"/>
        </w:rPr>
      </w:pPr>
    </w:p>
    <w:p w14:paraId="6234D5FA" w14:textId="77777777" w:rsidR="00ED2FC5" w:rsidRPr="00B93312" w:rsidRDefault="00F47863" w:rsidP="006008AE">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2001B4F5" w14:textId="77777777" w:rsidR="00ED2FC5" w:rsidRPr="00B93312" w:rsidRDefault="00F47863"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77334D7A" wp14:editId="0630499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7C87EC5F" w14:textId="77777777" w:rsidR="00ED2FC5" w:rsidRPr="00B93312" w:rsidRDefault="00F47863"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058402C2" w14:textId="77777777" w:rsidR="00ED2FC5" w:rsidRPr="00B93312" w:rsidRDefault="00F47863"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GAUTENG DIVISION, PRETORIA</w:t>
      </w:r>
    </w:p>
    <w:p w14:paraId="346A84E6" w14:textId="14AC3A73" w:rsidR="006704E0" w:rsidRPr="006704E0" w:rsidRDefault="00F47863"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20249F">
        <w:rPr>
          <w:rFonts w:ascii="Arial" w:hAnsi="Arial" w:cs="Arial"/>
          <w:b/>
          <w:bCs/>
          <w:lang w:eastAsia="en-GB"/>
        </w:rPr>
        <w:t>1237</w:t>
      </w:r>
      <w:r w:rsidR="00324020">
        <w:rPr>
          <w:rFonts w:ascii="Arial" w:hAnsi="Arial" w:cs="Arial"/>
          <w:b/>
          <w:bCs/>
          <w:lang w:eastAsia="en-GB"/>
        </w:rPr>
        <w:t>9</w:t>
      </w:r>
      <w:r w:rsidR="00FD50CE">
        <w:rPr>
          <w:rFonts w:ascii="Arial" w:hAnsi="Arial" w:cs="Arial"/>
          <w:b/>
          <w:bCs/>
          <w:lang w:eastAsia="en-GB"/>
        </w:rPr>
        <w:t>/</w:t>
      </w:r>
      <w:r w:rsidR="005F26F1">
        <w:rPr>
          <w:rFonts w:ascii="Arial" w:hAnsi="Arial" w:cs="Arial"/>
          <w:b/>
          <w:bCs/>
          <w:lang w:eastAsia="en-GB"/>
        </w:rPr>
        <w:t>202</w:t>
      </w:r>
      <w:r w:rsidR="00324020">
        <w:rPr>
          <w:rFonts w:ascii="Arial" w:hAnsi="Arial" w:cs="Arial"/>
          <w:b/>
          <w:bCs/>
          <w:lang w:eastAsia="en-GB"/>
        </w:rPr>
        <w:t>1</w:t>
      </w:r>
    </w:p>
    <w:p w14:paraId="75793CC6" w14:textId="77777777" w:rsidR="00665539" w:rsidRPr="00B93312"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471D743C"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500108D3" w14:textId="77777777" w:rsidR="00C160A1" w:rsidRPr="00B93312" w:rsidRDefault="00F47863" w:rsidP="00C160A1">
      <w:pPr>
        <w:spacing w:before="120" w:after="120" w:line="360" w:lineRule="auto"/>
        <w:jc w:val="center"/>
        <w:rPr>
          <w:rFonts w:ascii="Arial" w:hAnsi="Arial" w:cs="Arial"/>
          <w:sz w:val="24"/>
          <w:szCs w:val="24"/>
        </w:rPr>
      </w:pPr>
      <w:r w:rsidRPr="00B9331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058503D9" wp14:editId="5AF16051">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5847C6AF" w14:textId="77777777" w:rsidR="000E009C" w:rsidRDefault="000E009C" w:rsidP="00ED2FC5">
                            <w:pPr>
                              <w:jc w:val="center"/>
                              <w:rPr>
                                <w:rFonts w:ascii="Century Gothic" w:hAnsi="Century Gothic"/>
                                <w:b/>
                                <w:sz w:val="20"/>
                                <w:szCs w:val="20"/>
                              </w:rPr>
                            </w:pPr>
                          </w:p>
                          <w:p w14:paraId="549E00E3" w14:textId="32436588"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47863">
                              <w:rPr>
                                <w:rFonts w:ascii="Century Gothic" w:hAnsi="Century Gothic"/>
                                <w:sz w:val="20"/>
                                <w:szCs w:val="20"/>
                              </w:rPr>
                              <w:t>REPORTABLE: NO</w:t>
                            </w:r>
                          </w:p>
                          <w:p w14:paraId="4C94F216" w14:textId="7B9C3252"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47863">
                              <w:rPr>
                                <w:rFonts w:ascii="Century Gothic" w:hAnsi="Century Gothic"/>
                                <w:sz w:val="20"/>
                                <w:szCs w:val="20"/>
                              </w:rPr>
                              <w:t>OF INTEREST TO OTHER JUDGES: NO</w:t>
                            </w:r>
                          </w:p>
                          <w:p w14:paraId="091805DF" w14:textId="17CBAC43"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47863">
                              <w:rPr>
                                <w:rFonts w:ascii="Century Gothic" w:hAnsi="Century Gothic"/>
                                <w:sz w:val="20"/>
                                <w:szCs w:val="20"/>
                              </w:rPr>
                              <w:t>REVISED: NO</w:t>
                            </w:r>
                          </w:p>
                          <w:p w14:paraId="79A5E13F" w14:textId="77777777" w:rsidR="000E009C" w:rsidRDefault="00F4786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BBF38A7" w14:textId="6DAC6437" w:rsidR="000E009C" w:rsidRDefault="00F47863"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E96378">
                              <w:rPr>
                                <w:rFonts w:ascii="Arial" w:eastAsia="Times New Roman" w:hAnsi="Arial" w:cs="Arial"/>
                                <w:sz w:val="24"/>
                                <w:szCs w:val="24"/>
                                <w:lang w:eastAsia="en-GB"/>
                              </w:rPr>
                              <w:t>8</w:t>
                            </w:r>
                            <w:r w:rsidR="005344F8">
                              <w:rPr>
                                <w:rFonts w:ascii="Arial" w:eastAsia="Times New Roman" w:hAnsi="Arial" w:cs="Arial"/>
                                <w:sz w:val="24"/>
                                <w:szCs w:val="24"/>
                                <w:lang w:eastAsia="en-GB"/>
                              </w:rPr>
                              <w:t xml:space="preserve"> August 2023</w:t>
                            </w:r>
                          </w:p>
                          <w:p w14:paraId="21ED47CB" w14:textId="77777777" w:rsidR="000E009C" w:rsidRDefault="00F47863"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58503D9"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">
                <v:textbox>
                  <w:txbxContent>
                    <w:p w14:paraId="5847C6AF" w14:textId="77777777" w:rsidR="000E009C" w:rsidRDefault="000E009C" w:rsidP="00ED2FC5">
                      <w:pPr>
                        <w:jc w:val="center"/>
                        <w:rPr>
                          <w:rFonts w:ascii="Century Gothic" w:hAnsi="Century Gothic"/>
                          <w:b/>
                          <w:sz w:val="20"/>
                          <w:szCs w:val="20"/>
                        </w:rPr>
                      </w:pPr>
                    </w:p>
                    <w:p w14:paraId="549E00E3" w14:textId="32436588"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47863">
                        <w:rPr>
                          <w:rFonts w:ascii="Century Gothic" w:hAnsi="Century Gothic"/>
                          <w:sz w:val="20"/>
                          <w:szCs w:val="20"/>
                        </w:rPr>
                        <w:t>REPORTABLE: NO</w:t>
                      </w:r>
                    </w:p>
                    <w:p w14:paraId="4C94F216" w14:textId="7B9C3252"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47863">
                        <w:rPr>
                          <w:rFonts w:ascii="Century Gothic" w:hAnsi="Century Gothic"/>
                          <w:sz w:val="20"/>
                          <w:szCs w:val="20"/>
                        </w:rPr>
                        <w:t>OF INTEREST TO OTHER JUDGES: NO</w:t>
                      </w:r>
                    </w:p>
                    <w:p w14:paraId="091805DF" w14:textId="17CBAC43" w:rsidR="000E009C" w:rsidRDefault="002956AB" w:rsidP="00295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47863">
                        <w:rPr>
                          <w:rFonts w:ascii="Century Gothic" w:hAnsi="Century Gothic"/>
                          <w:sz w:val="20"/>
                          <w:szCs w:val="20"/>
                        </w:rPr>
                        <w:t>REVISED: NO</w:t>
                      </w:r>
                    </w:p>
                    <w:p w14:paraId="79A5E13F" w14:textId="77777777" w:rsidR="000E009C" w:rsidRDefault="00F4786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BBF38A7" w14:textId="6DAC6437" w:rsidR="000E009C" w:rsidRDefault="00F47863"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E96378">
                        <w:rPr>
                          <w:rFonts w:ascii="Arial" w:eastAsia="Times New Roman" w:hAnsi="Arial" w:cs="Arial"/>
                          <w:sz w:val="24"/>
                          <w:szCs w:val="24"/>
                          <w:lang w:eastAsia="en-GB"/>
                        </w:rPr>
                        <w:t>8</w:t>
                      </w:r>
                      <w:r w:rsidR="005344F8">
                        <w:rPr>
                          <w:rFonts w:ascii="Arial" w:eastAsia="Times New Roman" w:hAnsi="Arial" w:cs="Arial"/>
                          <w:sz w:val="24"/>
                          <w:szCs w:val="24"/>
                          <w:lang w:eastAsia="en-GB"/>
                        </w:rPr>
                        <w:t xml:space="preserve"> August 2023</w:t>
                      </w:r>
                    </w:p>
                    <w:p w14:paraId="21ED47CB" w14:textId="77777777" w:rsidR="000E009C" w:rsidRDefault="00F47863"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52BC5720"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1E67439D"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7A99A178" w14:textId="77777777" w:rsidR="00C17911" w:rsidRPr="00B93312" w:rsidRDefault="00C17911" w:rsidP="00C85D57">
      <w:pPr>
        <w:tabs>
          <w:tab w:val="left" w:pos="4917"/>
        </w:tabs>
        <w:spacing w:before="120" w:after="120" w:line="360" w:lineRule="auto"/>
        <w:rPr>
          <w:rFonts w:ascii="Arial" w:hAnsi="Arial" w:cs="Arial"/>
          <w:sz w:val="24"/>
          <w:szCs w:val="24"/>
        </w:rPr>
      </w:pPr>
    </w:p>
    <w:p w14:paraId="72D464B6" w14:textId="77777777" w:rsidR="009C6780" w:rsidRPr="00B93312" w:rsidRDefault="00F47863"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59289E84" w14:textId="77777777" w:rsidR="00BB506C" w:rsidRPr="001E75E8" w:rsidRDefault="00F47863" w:rsidP="009C6780">
      <w:pPr>
        <w:tabs>
          <w:tab w:val="left" w:pos="4917"/>
        </w:tabs>
        <w:spacing w:before="120" w:after="120" w:line="360" w:lineRule="auto"/>
        <w:rPr>
          <w:rFonts w:ascii="Arial" w:hAnsi="Arial" w:cs="Arial"/>
          <w:sz w:val="24"/>
          <w:szCs w:val="24"/>
        </w:rPr>
      </w:pPr>
      <w:r>
        <w:rPr>
          <w:rFonts w:ascii="Arial" w:hAnsi="Arial" w:cs="Arial"/>
          <w:b/>
          <w:sz w:val="24"/>
          <w:szCs w:val="24"/>
        </w:rPr>
        <w:t>LEGAL PRACTICE COUNCIL</w:t>
      </w:r>
      <w:r w:rsidR="00B1142A">
        <w:rPr>
          <w:rFonts w:ascii="Arial" w:hAnsi="Arial" w:cs="Arial"/>
          <w:b/>
          <w:sz w:val="24"/>
          <w:szCs w:val="24"/>
        </w:rPr>
        <w:t xml:space="preserve"> </w:t>
      </w:r>
      <w:r w:rsidR="00C02154" w:rsidRPr="001E75E8">
        <w:rPr>
          <w:rFonts w:ascii="Arial" w:hAnsi="Arial" w:cs="Arial"/>
          <w:sz w:val="24"/>
          <w:szCs w:val="24"/>
        </w:rPr>
        <w:tab/>
      </w:r>
      <w:r w:rsidR="00C02154" w:rsidRPr="001E75E8">
        <w:rPr>
          <w:rFonts w:ascii="Arial" w:hAnsi="Arial" w:cs="Arial"/>
          <w:sz w:val="24"/>
          <w:szCs w:val="24"/>
        </w:rPr>
        <w:tab/>
      </w:r>
      <w:r w:rsidR="00C02154" w:rsidRPr="001E75E8">
        <w:rPr>
          <w:rFonts w:ascii="Arial" w:hAnsi="Arial" w:cs="Arial"/>
          <w:sz w:val="24"/>
          <w:szCs w:val="24"/>
        </w:rPr>
        <w:tab/>
      </w:r>
      <w:r w:rsidR="00C02154" w:rsidRPr="001E75E8">
        <w:rPr>
          <w:rFonts w:ascii="Arial" w:hAnsi="Arial" w:cs="Arial"/>
          <w:sz w:val="24"/>
          <w:szCs w:val="24"/>
        </w:rPr>
        <w:tab/>
      </w:r>
      <w:r w:rsidR="001E75E8" w:rsidRPr="001E75E8">
        <w:rPr>
          <w:rFonts w:ascii="Arial" w:hAnsi="Arial" w:cs="Arial"/>
          <w:sz w:val="24"/>
          <w:szCs w:val="24"/>
        </w:rPr>
        <w:t xml:space="preserve">              </w:t>
      </w:r>
      <w:r w:rsidR="00E3397C">
        <w:rPr>
          <w:rFonts w:ascii="Arial" w:hAnsi="Arial" w:cs="Arial"/>
          <w:sz w:val="24"/>
          <w:szCs w:val="24"/>
        </w:rPr>
        <w:tab/>
      </w:r>
      <w:r w:rsidR="00EF0CDB">
        <w:rPr>
          <w:rFonts w:ascii="Arial" w:hAnsi="Arial" w:cs="Arial"/>
          <w:sz w:val="24"/>
          <w:szCs w:val="24"/>
        </w:rPr>
        <w:t>App</w:t>
      </w:r>
      <w:r w:rsidR="00C02154">
        <w:rPr>
          <w:rFonts w:ascii="Arial" w:hAnsi="Arial" w:cs="Arial"/>
          <w:sz w:val="24"/>
          <w:szCs w:val="24"/>
        </w:rPr>
        <w:t>licant</w:t>
      </w:r>
    </w:p>
    <w:p w14:paraId="0656064C" w14:textId="77777777" w:rsidR="00BB506C" w:rsidRPr="001E75E8" w:rsidRDefault="00F47863"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2D3C4B02" w14:textId="77777777" w:rsidR="00EF0CDB" w:rsidRDefault="00F47863" w:rsidP="00F93331">
      <w:pPr>
        <w:spacing w:before="100" w:beforeAutospacing="1" w:after="100" w:afterAutospacing="1" w:line="240" w:lineRule="auto"/>
        <w:rPr>
          <w:rFonts w:ascii="Arial" w:hAnsi="Arial" w:cs="Arial"/>
          <w:sz w:val="24"/>
          <w:szCs w:val="24"/>
        </w:rPr>
      </w:pPr>
      <w:r>
        <w:rPr>
          <w:rFonts w:ascii="Arial" w:hAnsi="Arial" w:cs="Arial"/>
          <w:b/>
          <w:sz w:val="24"/>
          <w:szCs w:val="24"/>
        </w:rPr>
        <w:t>KGETSEPE REVENGE KGAPHOLA</w:t>
      </w:r>
      <w:r w:rsidR="000823F2">
        <w:tab/>
      </w:r>
      <w:r w:rsidR="00C02154">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Pr>
          <w:rFonts w:ascii="Arial" w:hAnsi="Arial" w:cs="Arial"/>
          <w:sz w:val="24"/>
          <w:szCs w:val="24"/>
        </w:rPr>
        <w:tab/>
        <w:t xml:space="preserve">     First </w:t>
      </w:r>
      <w:r w:rsidR="00C02154" w:rsidRPr="00EF0CDB">
        <w:rPr>
          <w:rFonts w:ascii="Arial" w:hAnsi="Arial" w:cs="Arial"/>
          <w:sz w:val="24"/>
          <w:szCs w:val="24"/>
        </w:rPr>
        <w:t>Respondent</w:t>
      </w:r>
    </w:p>
    <w:p w14:paraId="7D164472" w14:textId="77777777" w:rsidR="00C61C19" w:rsidRDefault="00F47863" w:rsidP="00F93331">
      <w:pPr>
        <w:spacing w:before="100" w:beforeAutospacing="1" w:after="100" w:afterAutospacing="1" w:line="240" w:lineRule="auto"/>
        <w:rPr>
          <w:rFonts w:ascii="Arial" w:hAnsi="Arial" w:cs="Arial"/>
          <w:sz w:val="24"/>
          <w:szCs w:val="24"/>
        </w:rPr>
      </w:pPr>
      <w:r w:rsidRPr="00C61C19">
        <w:rPr>
          <w:rFonts w:ascii="Arial" w:hAnsi="Arial" w:cs="Arial"/>
          <w:b/>
          <w:bCs/>
          <w:sz w:val="24"/>
          <w:szCs w:val="24"/>
        </w:rPr>
        <w:t>KGAPHOLA INCORPORATED ATTORNEYS</w:t>
      </w:r>
      <w:r w:rsidRPr="00C61C19">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5A4CB682"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4C02850C" w14:textId="77777777" w:rsidR="00194A07" w:rsidRPr="00B93312" w:rsidRDefault="00F47863"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Pr>
          <w:rFonts w:ascii="Arial" w:hAnsi="Arial" w:cs="Arial"/>
          <w:b/>
          <w:bCs/>
          <w:sz w:val="24"/>
          <w:szCs w:val="24"/>
        </w:rPr>
        <w:t>JUDGMENT</w:t>
      </w:r>
    </w:p>
    <w:p w14:paraId="17B705D0" w14:textId="77777777" w:rsidR="000D5F15" w:rsidRPr="000D5F15" w:rsidRDefault="00F47863" w:rsidP="000D5F15">
      <w:pPr>
        <w:pStyle w:val="Heading1"/>
      </w:pPr>
      <w:r>
        <w:t>DE VOS AJ</w:t>
      </w:r>
      <w:r w:rsidRPr="000D5F15">
        <w:rPr>
          <w:bCs/>
        </w:rPr>
        <w:t xml:space="preserve"> </w:t>
      </w:r>
    </w:p>
    <w:p w14:paraId="6366B7FB" w14:textId="7BCA37CD" w:rsidR="00C927DE" w:rsidRDefault="002956AB" w:rsidP="002956AB">
      <w:pPr>
        <w:pStyle w:val="Judgmentparagraph"/>
        <w:numPr>
          <w:ilvl w:val="0"/>
          <w:numId w:val="0"/>
        </w:numPr>
        <w:ind w:left="567" w:hanging="567"/>
      </w:pPr>
      <w:r>
        <w:t>[1]</w:t>
      </w:r>
      <w:r>
        <w:tab/>
      </w:r>
      <w:r w:rsidR="00F47863">
        <w:t>This is an application for leave to appeal against the order of the honourable Mngqibisa-Thusi J and  Nqumse AJ of 22 July 2022. The order dismissed the L</w:t>
      </w:r>
      <w:r w:rsidR="00A21F35">
        <w:t xml:space="preserve">egal </w:t>
      </w:r>
      <w:r w:rsidR="00F47863">
        <w:lastRenderedPageBreak/>
        <w:t>P</w:t>
      </w:r>
      <w:r w:rsidR="00A21F35">
        <w:t xml:space="preserve">ractice </w:t>
      </w:r>
      <w:r w:rsidR="00F47863">
        <w:t>C</w:t>
      </w:r>
      <w:r w:rsidR="00A21F35">
        <w:t>ouncil</w:t>
      </w:r>
      <w:r w:rsidR="00F47863">
        <w:t>’s</w:t>
      </w:r>
      <w:r w:rsidR="00A21F35">
        <w:t xml:space="preserve"> (“the </w:t>
      </w:r>
      <w:r w:rsidR="007B06F0">
        <w:t>LPC</w:t>
      </w:r>
      <w:r w:rsidR="00A21F35">
        <w:t>”)</w:t>
      </w:r>
      <w:r w:rsidR="00F47863">
        <w:t xml:space="preserve"> application to have Mr Kgaphola struck from the roll of attorneys. </w:t>
      </w:r>
      <w:r w:rsidR="00603ADD">
        <w:t>H</w:t>
      </w:r>
      <w:r w:rsidR="00F47863">
        <w:t>onourable Mngqibisa-Thusi J and Nqumse AJ are unavailable to hear the application for leave to appeal. The present Bench has been reconstituted to hear the application for leave to appeal. The parties have not objected to th</w:t>
      </w:r>
      <w:r w:rsidR="00FD50CE">
        <w:t>e</w:t>
      </w:r>
      <w:r w:rsidR="00F47863">
        <w:t xml:space="preserve"> reconstitution</w:t>
      </w:r>
      <w:r w:rsidR="00FD50CE">
        <w:t xml:space="preserve"> of the Bench</w:t>
      </w:r>
      <w:r w:rsidR="00F47863">
        <w:t>.</w:t>
      </w:r>
    </w:p>
    <w:p w14:paraId="76ACF398" w14:textId="1A1391B9" w:rsidR="00D36E49" w:rsidRDefault="002956AB" w:rsidP="002956AB">
      <w:pPr>
        <w:pStyle w:val="Judgmentparagraph"/>
        <w:numPr>
          <w:ilvl w:val="0"/>
          <w:numId w:val="0"/>
        </w:numPr>
        <w:ind w:left="567" w:hanging="567"/>
      </w:pPr>
      <w:r>
        <w:t>[2]</w:t>
      </w:r>
      <w:r>
        <w:tab/>
      </w:r>
      <w:r w:rsidR="00F47863">
        <w:t xml:space="preserve">The Court a quo was confronted with several alleged breaches of the </w:t>
      </w:r>
      <w:r w:rsidR="00FD50CE">
        <w:t xml:space="preserve">Legal Practice </w:t>
      </w:r>
      <w:r w:rsidR="00F47863">
        <w:t>Act and its Rules. The Cou</w:t>
      </w:r>
      <w:r w:rsidR="003E0BF9">
        <w:t>r</w:t>
      </w:r>
      <w:r w:rsidR="00F47863">
        <w:t>t a quo found that most of these breaches were not, in fact, breaches but instead categorised the non-compliance as belated compliance. The Court a quo also did not find many of the breaches as having been established or severe enough to attract a suspension or striking from the roll.</w:t>
      </w:r>
    </w:p>
    <w:p w14:paraId="6409FF22" w14:textId="7B7A336B" w:rsidR="00C927DE" w:rsidRDefault="002956AB" w:rsidP="002956AB">
      <w:pPr>
        <w:pStyle w:val="Judgmentparagraph"/>
        <w:numPr>
          <w:ilvl w:val="0"/>
          <w:numId w:val="0"/>
        </w:numPr>
        <w:ind w:left="567" w:hanging="567"/>
      </w:pPr>
      <w:r>
        <w:t>[3]</w:t>
      </w:r>
      <w:r>
        <w:tab/>
      </w:r>
      <w:r w:rsidR="00F47863">
        <w:t xml:space="preserve">The </w:t>
      </w:r>
      <w:r w:rsidR="007B06F0">
        <w:t>LPC</w:t>
      </w:r>
      <w:r w:rsidR="00F47863">
        <w:t xml:space="preserve"> seeks leave to appeal to the Supreme Court of Appeal in terms o</w:t>
      </w:r>
      <w:r w:rsidR="00B83E6B">
        <w:t>f</w:t>
      </w:r>
      <w:r w:rsidR="00F47863">
        <w:t xml:space="preserve"> sections </w:t>
      </w:r>
      <w:r w:rsidR="00A21F35">
        <w:t>1</w:t>
      </w:r>
      <w:r w:rsidR="00F47863" w:rsidRPr="00C927DE">
        <w:t>6(1)(a) read with section 17 of the Superior Courts Act, 10 of 2013 ("the Act").</w:t>
      </w:r>
      <w:r w:rsidR="00F47863">
        <w:rPr>
          <w:rStyle w:val="FootnoteReference"/>
        </w:rPr>
        <w:footnoteReference w:id="2"/>
      </w:r>
      <w:r w:rsidR="00F47863" w:rsidRPr="00C927DE">
        <w:t xml:space="preserve"> </w:t>
      </w:r>
      <w:r w:rsidR="00F47863">
        <w:t xml:space="preserve">The </w:t>
      </w:r>
      <w:r w:rsidR="007B06F0">
        <w:t>LPC</w:t>
      </w:r>
      <w:r w:rsidR="00A21F35">
        <w:t xml:space="preserve"> seeks to leave on two grounds. Firstly, they contend the appeal holds </w:t>
      </w:r>
      <w:r w:rsidR="00F47863" w:rsidRPr="00C927DE">
        <w:t>reasonable prospects of success on appeal</w:t>
      </w:r>
      <w:r w:rsidR="00A21F35">
        <w:t xml:space="preserve">. Secondly, </w:t>
      </w:r>
      <w:r w:rsidR="00F47863" w:rsidRPr="00C927DE">
        <w:t xml:space="preserve">this matter presents compelling reasons for an appeal to be granted under section 17(1)(a)(ii) of the </w:t>
      </w:r>
      <w:r w:rsidR="00A21F35">
        <w:t xml:space="preserve">Superior Courts </w:t>
      </w:r>
      <w:r w:rsidR="00F47863" w:rsidRPr="00C927DE">
        <w:t>Act</w:t>
      </w:r>
      <w:r w:rsidR="00F47863">
        <w:t>.</w:t>
      </w:r>
    </w:p>
    <w:p w14:paraId="6E8DB15C" w14:textId="3867A6E3" w:rsidR="00D36E49" w:rsidRDefault="002956AB" w:rsidP="002956AB">
      <w:pPr>
        <w:pStyle w:val="Judgmentparagraph"/>
        <w:numPr>
          <w:ilvl w:val="0"/>
          <w:numId w:val="0"/>
        </w:numPr>
        <w:ind w:left="567" w:hanging="567"/>
      </w:pPr>
      <w:r>
        <w:t>[4]</w:t>
      </w:r>
      <w:r>
        <w:tab/>
      </w:r>
      <w:r w:rsidR="00F47863">
        <w:t xml:space="preserve">At its core, the </w:t>
      </w:r>
      <w:r w:rsidR="007B06F0">
        <w:t>LPC</w:t>
      </w:r>
      <w:r w:rsidR="00F47863">
        <w:t xml:space="preserve"> contends that Mr Kgaphola committed severe breaches of the L</w:t>
      </w:r>
      <w:r w:rsidR="00A21F35">
        <w:t>egal Practice Council</w:t>
      </w:r>
      <w:r w:rsidR="00F47863">
        <w:t xml:space="preserve"> Act and </w:t>
      </w:r>
      <w:r w:rsidR="00A21F35">
        <w:t xml:space="preserve">its </w:t>
      </w:r>
      <w:r w:rsidR="00F47863">
        <w:t xml:space="preserve">Rules. The appropriate sanction in these matters, especially when viewed cumulatively, is to strike Mr Kgaphola from the roll. Or, at a minimum, to suspend him from practice. The </w:t>
      </w:r>
      <w:r w:rsidR="00DB6DE8">
        <w:t>serious</w:t>
      </w:r>
      <w:r w:rsidR="00F47863">
        <w:t xml:space="preserve"> allegations</w:t>
      </w:r>
      <w:r w:rsidR="00DB6DE8">
        <w:t xml:space="preserve"> </w:t>
      </w:r>
      <w:r w:rsidR="00F47863">
        <w:t xml:space="preserve">the </w:t>
      </w:r>
      <w:r w:rsidR="007B06F0">
        <w:t>LPC</w:t>
      </w:r>
      <w:r w:rsidR="00F47863">
        <w:t xml:space="preserve"> refer to are</w:t>
      </w:r>
      <w:r w:rsidR="00A21F35">
        <w:t xml:space="preserve"> that Mr Kgaphola</w:t>
      </w:r>
      <w:r w:rsidR="00F47863">
        <w:t xml:space="preserve"> practis</w:t>
      </w:r>
      <w:r w:rsidR="00A21F35">
        <w:t>ed</w:t>
      </w:r>
      <w:r w:rsidR="00F47863">
        <w:t xml:space="preserve"> without a F</w:t>
      </w:r>
      <w:r w:rsidR="00A21F35">
        <w:t>idelity Fund Certificate</w:t>
      </w:r>
      <w:r w:rsidR="00FD50CE">
        <w:t>,</w:t>
      </w:r>
      <w:r w:rsidR="00F47863">
        <w:t xml:space="preserve"> </w:t>
      </w:r>
      <w:r w:rsidR="00A21F35">
        <w:t>failed to</w:t>
      </w:r>
      <w:r w:rsidR="00F47863">
        <w:t xml:space="preserve"> pay membership fees, </w:t>
      </w:r>
      <w:r w:rsidR="00A21F35">
        <w:t>failed to comply</w:t>
      </w:r>
      <w:r w:rsidR="00F47863">
        <w:t xml:space="preserve"> with the mandatory management course, fai</w:t>
      </w:r>
      <w:r w:rsidR="003E0BF9">
        <w:t>led</w:t>
      </w:r>
      <w:r w:rsidR="00F47863">
        <w:t xml:space="preserve"> </w:t>
      </w:r>
      <w:r w:rsidR="00DB6DE8">
        <w:t>to</w:t>
      </w:r>
      <w:r w:rsidR="00F47863">
        <w:t xml:space="preserve"> respond to correspondence</w:t>
      </w:r>
      <w:r w:rsidR="00A21F35">
        <w:t xml:space="preserve"> from the </w:t>
      </w:r>
      <w:r w:rsidR="007B06F0">
        <w:t>LPC</w:t>
      </w:r>
      <w:r w:rsidR="00FD50CE">
        <w:t xml:space="preserve">, </w:t>
      </w:r>
      <w:r w:rsidR="00F47863">
        <w:t>fai</w:t>
      </w:r>
      <w:r w:rsidR="003E0BF9">
        <w:t>led</w:t>
      </w:r>
      <w:r w:rsidR="00F47863">
        <w:t xml:space="preserve"> to inform the</w:t>
      </w:r>
      <w:r w:rsidR="00A21F35">
        <w:t xml:space="preserve"> </w:t>
      </w:r>
      <w:r w:rsidR="007B06F0">
        <w:t>LPC</w:t>
      </w:r>
      <w:r w:rsidR="00F47863">
        <w:t xml:space="preserve"> of the opening of a bank </w:t>
      </w:r>
      <w:r w:rsidR="00DB6DE8">
        <w:t>account</w:t>
      </w:r>
      <w:r w:rsidR="00FD50CE">
        <w:t xml:space="preserve">, </w:t>
      </w:r>
      <w:r w:rsidR="00F47863">
        <w:t xml:space="preserve">opening </w:t>
      </w:r>
      <w:r w:rsidR="00A21F35">
        <w:t>a bank account</w:t>
      </w:r>
      <w:r w:rsidR="00F47863">
        <w:t xml:space="preserve"> in </w:t>
      </w:r>
      <w:r w:rsidR="00DB6DE8">
        <w:t>another</w:t>
      </w:r>
      <w:r w:rsidR="00F47863">
        <w:t xml:space="preserve"> </w:t>
      </w:r>
      <w:r w:rsidR="00DB6DE8">
        <w:t>province</w:t>
      </w:r>
      <w:r w:rsidR="00A21F35">
        <w:t xml:space="preserve"> (as where Mr Kgaphola</w:t>
      </w:r>
      <w:r w:rsidR="00F47863">
        <w:t xml:space="preserve"> </w:t>
      </w:r>
      <w:r w:rsidR="00A21F35">
        <w:t xml:space="preserve">was practising in) </w:t>
      </w:r>
      <w:r w:rsidR="00F47863">
        <w:t xml:space="preserve">and non-compliance with FICA. The </w:t>
      </w:r>
      <w:r w:rsidR="007B06F0">
        <w:t>LPC</w:t>
      </w:r>
      <w:r w:rsidR="00F47863">
        <w:t xml:space="preserve"> also pointed to how Mr Kgaphola had approached these proceedings as indicative of him not being fit and proper.  </w:t>
      </w:r>
    </w:p>
    <w:p w14:paraId="4CDA19D8" w14:textId="1BE196EC" w:rsidR="00AF50E7" w:rsidRDefault="002956AB" w:rsidP="002956AB">
      <w:pPr>
        <w:pStyle w:val="Judgmentparagraph"/>
        <w:numPr>
          <w:ilvl w:val="0"/>
          <w:numId w:val="0"/>
        </w:numPr>
        <w:ind w:left="567" w:hanging="567"/>
      </w:pPr>
      <w:r>
        <w:lastRenderedPageBreak/>
        <w:t>[5]</w:t>
      </w:r>
      <w:r>
        <w:tab/>
      </w:r>
      <w:r w:rsidR="00F47863">
        <w:t xml:space="preserve">The </w:t>
      </w:r>
      <w:r w:rsidR="007B06F0">
        <w:t>LPC</w:t>
      </w:r>
      <w:r w:rsidR="00F47863">
        <w:t xml:space="preserve"> contends that the Court a quo failed to make findings concerning each of these alleged transgressions and also failed to view these breaches as serious breaches. </w:t>
      </w:r>
    </w:p>
    <w:p w14:paraId="661E6462" w14:textId="7E0834E1" w:rsidR="00603ADD" w:rsidRDefault="002956AB" w:rsidP="002956AB">
      <w:pPr>
        <w:pStyle w:val="Judgmentparagraph"/>
        <w:numPr>
          <w:ilvl w:val="0"/>
          <w:numId w:val="0"/>
        </w:numPr>
        <w:ind w:left="567" w:hanging="567"/>
      </w:pPr>
      <w:r>
        <w:t>[6]</w:t>
      </w:r>
      <w:r>
        <w:tab/>
      </w:r>
      <w:r w:rsidR="00F47863">
        <w:t>Mr Kgaphola</w:t>
      </w:r>
      <w:r w:rsidR="003E0BF9">
        <w:t>, in turn,</w:t>
      </w:r>
      <w:r w:rsidR="00F47863">
        <w:t xml:space="preserve"> </w:t>
      </w:r>
      <w:r w:rsidR="00BA6DC6">
        <w:t>submits</w:t>
      </w:r>
      <w:r w:rsidR="00F47863">
        <w:t xml:space="preserve"> this </w:t>
      </w:r>
      <w:r w:rsidR="00DB6DE8">
        <w:t>Court</w:t>
      </w:r>
      <w:r w:rsidR="00F47863">
        <w:t xml:space="preserve"> that there is a discretion to be exercised by </w:t>
      </w:r>
      <w:r w:rsidR="00DB6DE8">
        <w:t>a court</w:t>
      </w:r>
      <w:r w:rsidR="00F47863">
        <w:t xml:space="preserve"> when deciding whether </w:t>
      </w:r>
      <w:r w:rsidR="00DB6DE8">
        <w:t>or not to discipline</w:t>
      </w:r>
      <w:r w:rsidR="00F47863">
        <w:t xml:space="preserve"> a member. And in that discretion is very little room to interfere with th</w:t>
      </w:r>
      <w:r w:rsidR="00DB6DE8">
        <w:t>e</w:t>
      </w:r>
      <w:r w:rsidR="00F47863">
        <w:t xml:space="preserve"> finding of a court. </w:t>
      </w:r>
      <w:r w:rsidR="00A21F35">
        <w:t>Th</w:t>
      </w:r>
      <w:r w:rsidR="00BA6DC6">
        <w:t>is</w:t>
      </w:r>
      <w:r w:rsidR="00A21F35">
        <w:t xml:space="preserve"> Court is invited to consider the limited grounds of interference combined with the stricter leave to appeal. Relying on a combination of these principles,</w:t>
      </w:r>
      <w:r w:rsidR="00F47863">
        <w:t xml:space="preserve"> Mr Kgaphola submi</w:t>
      </w:r>
      <w:r w:rsidR="00DB6DE8">
        <w:t>t</w:t>
      </w:r>
      <w:r w:rsidR="00F47863">
        <w:t>s that leave to appeal</w:t>
      </w:r>
      <w:r w:rsidR="00DB6DE8">
        <w:t xml:space="preserve"> </w:t>
      </w:r>
      <w:r w:rsidR="00F47863">
        <w:t>should not be gran</w:t>
      </w:r>
      <w:r w:rsidR="00DB6DE8">
        <w:t>t</w:t>
      </w:r>
      <w:r w:rsidR="00F47863">
        <w:t xml:space="preserve">ed.  </w:t>
      </w:r>
    </w:p>
    <w:p w14:paraId="36FDF98A" w14:textId="12B327BD" w:rsidR="003E0BF9" w:rsidRDefault="002956AB" w:rsidP="002956AB">
      <w:pPr>
        <w:pStyle w:val="Judgmentparagraph"/>
        <w:numPr>
          <w:ilvl w:val="0"/>
          <w:numId w:val="0"/>
        </w:numPr>
        <w:ind w:left="567" w:hanging="567"/>
      </w:pPr>
      <w:r>
        <w:t>[7]</w:t>
      </w:r>
      <w:r>
        <w:tab/>
      </w:r>
      <w:r w:rsidR="00F47863">
        <w:t xml:space="preserve">We have considered the papers and the submissions and believe the matter justifies the attention of the Supreme Court of Appeal. </w:t>
      </w:r>
      <w:r w:rsidR="00FD50CE">
        <w:t>In what follows we set out our reasons</w:t>
      </w:r>
      <w:r w:rsidR="00F47863">
        <w:t>.</w:t>
      </w:r>
    </w:p>
    <w:p w14:paraId="485AF93A" w14:textId="1FB8E197" w:rsidR="003E0BF9" w:rsidRDefault="002956AB" w:rsidP="002956AB">
      <w:pPr>
        <w:pStyle w:val="Judgmentparagraph"/>
        <w:numPr>
          <w:ilvl w:val="0"/>
          <w:numId w:val="0"/>
        </w:numPr>
        <w:ind w:left="567" w:hanging="567"/>
      </w:pPr>
      <w:r>
        <w:t>[8]</w:t>
      </w:r>
      <w:r>
        <w:tab/>
      </w:r>
      <w:r w:rsidR="00F47863">
        <w:t xml:space="preserve">We are persuaded that another Court would come to different factual conclusions whether Mr Kgaphola practised without a </w:t>
      </w:r>
      <w:r w:rsidR="00C927DE">
        <w:t xml:space="preserve">Fidelity Fund </w:t>
      </w:r>
      <w:r w:rsidR="00A21F35">
        <w:t>C</w:t>
      </w:r>
      <w:r w:rsidR="00C927DE">
        <w:t xml:space="preserve">ertificate from 9 October 2020 to 31 December 2020, 1 January 2021 to 15 March 2021, and from 30 April 2021 onwards. </w:t>
      </w:r>
      <w:r w:rsidR="00F47863">
        <w:t xml:space="preserve">Similarly, we conclude that the </w:t>
      </w:r>
      <w:r w:rsidR="007B06F0">
        <w:t>LPC</w:t>
      </w:r>
      <w:r w:rsidR="00F47863">
        <w:t xml:space="preserve">’s submissions that </w:t>
      </w:r>
      <w:r w:rsidR="000326FA">
        <w:t xml:space="preserve">Mr Kgaphola </w:t>
      </w:r>
      <w:r w:rsidR="00F47863">
        <w:t xml:space="preserve">breached Rule 43 by </w:t>
      </w:r>
      <w:r w:rsidR="000326FA">
        <w:t>fai</w:t>
      </w:r>
      <w:r w:rsidR="00F47863">
        <w:t>ling</w:t>
      </w:r>
      <w:r w:rsidR="000326FA">
        <w:t xml:space="preserve"> to respond to communications from the </w:t>
      </w:r>
      <w:r w:rsidR="007B06F0">
        <w:t>LPC</w:t>
      </w:r>
      <w:r w:rsidR="000326FA">
        <w:t xml:space="preserve">, failed to open a bank account in the province of his practice and failed to inform the </w:t>
      </w:r>
      <w:r w:rsidR="007B06F0">
        <w:t>LPC</w:t>
      </w:r>
      <w:r w:rsidR="000326FA">
        <w:t xml:space="preserve"> of the opening of this account</w:t>
      </w:r>
      <w:r w:rsidR="00F47863">
        <w:t xml:space="preserve"> timeously, bears </w:t>
      </w:r>
      <w:r w:rsidR="00BA6DC6">
        <w:t xml:space="preserve">reasonable </w:t>
      </w:r>
      <w:r w:rsidR="00F47863">
        <w:t>prospects of success.</w:t>
      </w:r>
      <w:r w:rsidR="000326FA">
        <w:t xml:space="preserve"> </w:t>
      </w:r>
      <w:r w:rsidR="00F47863">
        <w:t xml:space="preserve">It appears that Mr Kgapholo did not dispute much of these allegations and that the Court a quo did not make factual findings in relation to all of these alleged contraventions.  </w:t>
      </w:r>
    </w:p>
    <w:p w14:paraId="6517F498" w14:textId="420A49AA" w:rsidR="000B4FA4" w:rsidRPr="003E0BF9" w:rsidRDefault="002956AB" w:rsidP="002956AB">
      <w:pPr>
        <w:pStyle w:val="Judgmentparagraph"/>
        <w:numPr>
          <w:ilvl w:val="0"/>
          <w:numId w:val="0"/>
        </w:numPr>
        <w:ind w:left="567" w:hanging="567"/>
      </w:pPr>
      <w:r w:rsidRPr="003E0BF9">
        <w:t>[9]</w:t>
      </w:r>
      <w:r w:rsidRPr="003E0BF9">
        <w:tab/>
      </w:r>
      <w:r w:rsidR="00F47863" w:rsidRPr="003E0BF9">
        <w:t xml:space="preserve">In addition to these factual findings, </w:t>
      </w:r>
      <w:r w:rsidR="00FD50CE">
        <w:t xml:space="preserve">there are reasonable prospects of success that </w:t>
      </w:r>
      <w:r w:rsidR="003E0BF9" w:rsidRPr="003E0BF9">
        <w:t xml:space="preserve">another Court </w:t>
      </w:r>
      <w:r w:rsidR="00FD50CE">
        <w:t>would</w:t>
      </w:r>
      <w:r w:rsidR="003E0BF9" w:rsidRPr="003E0BF9">
        <w:t xml:space="preserve"> come to a different conclusion regarding </w:t>
      </w:r>
      <w:r w:rsidR="00F47863" w:rsidRPr="003E0BF9">
        <w:t>Court a quo’s approach to whether Mr Kgaphola’s conduct fell short of a fit and proper person. The Court</w:t>
      </w:r>
      <w:r w:rsidR="00FD50CE">
        <w:t xml:space="preserve"> a quo</w:t>
      </w:r>
      <w:r w:rsidR="00F47863" w:rsidRPr="003E0BF9">
        <w:t xml:space="preserve"> was to compare Mr Kgaphola’s conduct to that expected of a practitioner. </w:t>
      </w:r>
      <w:r w:rsidR="00FD50CE">
        <w:t>There are prospects that a</w:t>
      </w:r>
      <w:r w:rsidR="00F47863" w:rsidRPr="003E0BF9">
        <w:t xml:space="preserve">nother Court </w:t>
      </w:r>
      <w:r w:rsidR="00FD50CE">
        <w:t>would</w:t>
      </w:r>
      <w:r w:rsidR="00F47863" w:rsidRPr="003E0BF9">
        <w:t xml:space="preserve"> come to a different conclusion in its approach and application of the test.</w:t>
      </w:r>
    </w:p>
    <w:p w14:paraId="630F52D8" w14:textId="3BFBB2E2" w:rsidR="002B555B" w:rsidRDefault="002956AB" w:rsidP="002956AB">
      <w:pPr>
        <w:pStyle w:val="Judgmentparagraph"/>
        <w:numPr>
          <w:ilvl w:val="0"/>
          <w:numId w:val="0"/>
        </w:numPr>
        <w:ind w:left="567" w:hanging="567"/>
      </w:pPr>
      <w:r>
        <w:t>[10]</w:t>
      </w:r>
      <w:r>
        <w:tab/>
      </w:r>
      <w:r w:rsidR="00244C6A">
        <w:t>Having weighed these considerations,</w:t>
      </w:r>
      <w:r w:rsidR="00F47863">
        <w:t xml:space="preserve"> leave to appeal ought to be granted as the application bears reasonable prospects of success.</w:t>
      </w:r>
    </w:p>
    <w:p w14:paraId="5DEA0A53" w14:textId="0165DDD4" w:rsidR="00F204C1" w:rsidRDefault="002956AB" w:rsidP="002956AB">
      <w:pPr>
        <w:pStyle w:val="Judgmentparagraph"/>
        <w:numPr>
          <w:ilvl w:val="0"/>
          <w:numId w:val="0"/>
        </w:numPr>
        <w:ind w:left="567" w:hanging="567"/>
      </w:pPr>
      <w:r>
        <w:t>[11]</w:t>
      </w:r>
      <w:r>
        <w:tab/>
      </w:r>
      <w:r w:rsidR="00F47863">
        <w:t>In addition</w:t>
      </w:r>
      <w:r w:rsidR="006D4688">
        <w:t>,</w:t>
      </w:r>
      <w:r w:rsidR="00F47863">
        <w:t xml:space="preserve"> leave to appeal ought to be granted </w:t>
      </w:r>
      <w:r w:rsidR="00640A88">
        <w:t xml:space="preserve">because </w:t>
      </w:r>
      <w:r w:rsidR="006D4688">
        <w:t xml:space="preserve">the </w:t>
      </w:r>
      <w:r w:rsidR="007B06F0">
        <w:t xml:space="preserve">alleged </w:t>
      </w:r>
      <w:r w:rsidR="006D4688">
        <w:t>existence of conflict in jurisprudence is a</w:t>
      </w:r>
      <w:r w:rsidR="00640A88">
        <w:t xml:space="preserve"> compelling reason to grant leave to appeal. The conflict is that our courts have held that </w:t>
      </w:r>
      <w:r w:rsidR="00640A88" w:rsidRPr="00640A88">
        <w:t xml:space="preserve">from the instant a practice is opened, all of the </w:t>
      </w:r>
      <w:r w:rsidR="00640A88" w:rsidRPr="00640A88">
        <w:lastRenderedPageBreak/>
        <w:t>consequences for being in practice follow</w:t>
      </w:r>
      <w:r w:rsidR="00FD50CE">
        <w:t>.</w:t>
      </w:r>
      <w:r w:rsidR="006D4688">
        <w:rPr>
          <w:vertAlign w:val="superscript"/>
        </w:rPr>
        <w:t>.</w:t>
      </w:r>
      <w:r w:rsidR="00F47863">
        <w:rPr>
          <w:vertAlign w:val="superscript"/>
        </w:rPr>
        <w:footnoteReference w:id="3"/>
      </w:r>
      <w:r w:rsidR="00640A88" w:rsidRPr="00640A88">
        <w:t xml:space="preserve"> Th</w:t>
      </w:r>
      <w:r w:rsidR="00FD50CE">
        <w:t>e requirement of immediate compliance,</w:t>
      </w:r>
      <w:r w:rsidR="00640A88" w:rsidRPr="00640A88">
        <w:t xml:space="preserve"> is the consistent position adopted in this Division for which other legal practitioners are </w:t>
      </w:r>
      <w:r w:rsidR="00FD50CE">
        <w:t>regularly</w:t>
      </w:r>
      <w:r w:rsidR="00640A88" w:rsidRPr="00640A88">
        <w:t xml:space="preserve"> sanctioned. </w:t>
      </w:r>
      <w:r w:rsidR="00C61C19">
        <w:t xml:space="preserve">The Court </w:t>
      </w:r>
      <w:r w:rsidR="00BA6DC6">
        <w:t xml:space="preserve">a quo </w:t>
      </w:r>
      <w:r w:rsidR="00C61C19">
        <w:t>factually found instances of non-</w:t>
      </w:r>
      <w:r w:rsidR="00F47863">
        <w:t>compliance</w:t>
      </w:r>
      <w:r w:rsidR="00C61C19">
        <w:t xml:space="preserve"> with the rules but accepted these as mild and </w:t>
      </w:r>
      <w:r w:rsidR="00F47863">
        <w:t>held</w:t>
      </w:r>
      <w:r w:rsidR="00C61C19">
        <w:t xml:space="preserve"> that Mr Kgaphola was only delayed in his </w:t>
      </w:r>
      <w:r w:rsidR="00F47863">
        <w:t>compliance</w:t>
      </w:r>
      <w:r w:rsidR="00C61C19">
        <w:t xml:space="preserve">. The </w:t>
      </w:r>
      <w:r w:rsidR="00F47863">
        <w:t>dissonance</w:t>
      </w:r>
      <w:r w:rsidR="00C61C19">
        <w:t xml:space="preserve"> between these judgments requires </w:t>
      </w:r>
      <w:r w:rsidR="006D4688">
        <w:t>a resolution</w:t>
      </w:r>
      <w:r w:rsidR="00C61C19">
        <w:t xml:space="preserve"> </w:t>
      </w:r>
      <w:r w:rsidR="006D4688">
        <w:t>from</w:t>
      </w:r>
      <w:r w:rsidR="00C61C19">
        <w:t xml:space="preserve"> the S</w:t>
      </w:r>
      <w:r w:rsidR="00F47863">
        <w:t>upreme Court of Appeal</w:t>
      </w:r>
      <w:r w:rsidR="00C61C19">
        <w:t>.</w:t>
      </w:r>
    </w:p>
    <w:p w14:paraId="769AF488" w14:textId="30066BE4" w:rsidR="003E0BF9" w:rsidRDefault="002956AB" w:rsidP="002956AB">
      <w:pPr>
        <w:pStyle w:val="Judgmentparagraph"/>
        <w:numPr>
          <w:ilvl w:val="0"/>
          <w:numId w:val="0"/>
        </w:numPr>
        <w:ind w:left="567" w:hanging="567"/>
      </w:pPr>
      <w:r>
        <w:t>[12]</w:t>
      </w:r>
      <w:r>
        <w:tab/>
      </w:r>
      <w:r w:rsidR="00F47863">
        <w:t xml:space="preserve">The </w:t>
      </w:r>
      <w:r w:rsidR="007B06F0">
        <w:t>LPC</w:t>
      </w:r>
      <w:r w:rsidR="00F47863">
        <w:t xml:space="preserve"> also contends that </w:t>
      </w:r>
      <w:r w:rsidR="00F47863" w:rsidRPr="00C61C19">
        <w:t>the honourable Court</w:t>
      </w:r>
      <w:r w:rsidR="00FD50CE">
        <w:t xml:space="preserve"> a quo’s</w:t>
      </w:r>
      <w:r w:rsidR="00F47863" w:rsidRPr="00C61C19">
        <w:t xml:space="preserve"> judgment leads to an inconsistency </w:t>
      </w:r>
      <w:r w:rsidR="00C61C19" w:rsidRPr="00C61C19">
        <w:t xml:space="preserve">between </w:t>
      </w:r>
      <w:r w:rsidR="00F204C1" w:rsidRPr="00C61C19">
        <w:t>judgements</w:t>
      </w:r>
      <w:r w:rsidR="00C61C19" w:rsidRPr="00C61C19">
        <w:t xml:space="preserve"> </w:t>
      </w:r>
      <w:r w:rsidR="00F204C1">
        <w:t>that</w:t>
      </w:r>
      <w:r w:rsidR="00C61C19" w:rsidRPr="00C61C19">
        <w:t xml:space="preserve"> have held similar conduct was serious. I</w:t>
      </w:r>
      <w:r w:rsidR="00F204C1">
        <w:t>n</w:t>
      </w:r>
      <w:r w:rsidR="00C61C19" w:rsidRPr="00C61C19">
        <w:t xml:space="preserve"> particular, in </w:t>
      </w:r>
      <w:r w:rsidR="00C61C19" w:rsidRPr="00F204C1">
        <w:rPr>
          <w:i/>
          <w:iCs/>
        </w:rPr>
        <w:t>Law Society of the Northern Provinces v Mamatho</w:t>
      </w:r>
      <w:r w:rsidR="00F47863">
        <w:rPr>
          <w:rStyle w:val="FootnoteReference"/>
        </w:rPr>
        <w:footnoteReference w:id="4"/>
      </w:r>
      <w:r w:rsidR="00C61C19" w:rsidRPr="00C61C19">
        <w:t xml:space="preserve"> it was held that </w:t>
      </w:r>
      <w:r w:rsidR="00F47863" w:rsidRPr="00C61C19">
        <w:t>not having a fidelity fund certificate alone is considered a serious offence</w:t>
      </w:r>
      <w:r w:rsidR="00C61C19" w:rsidRPr="00C61C19">
        <w:t xml:space="preserve">.  The approach of this Court in this matter </w:t>
      </w:r>
      <w:r w:rsidR="00F47863">
        <w:t>is opposed to this finding.</w:t>
      </w:r>
      <w:r w:rsidR="006D4688">
        <w:t xml:space="preserve"> </w:t>
      </w:r>
      <w:r w:rsidR="00C61C19" w:rsidRPr="00C61C19">
        <w:t xml:space="preserve">Furthermore, in </w:t>
      </w:r>
      <w:r w:rsidR="00C61C19" w:rsidRPr="006D4688">
        <w:rPr>
          <w:i/>
          <w:iCs/>
        </w:rPr>
        <w:t>Hewetson v Law Society of the Free State</w:t>
      </w:r>
      <w:r w:rsidR="00F47863">
        <w:rPr>
          <w:rStyle w:val="FootnoteReference"/>
        </w:rPr>
        <w:footnoteReference w:id="5"/>
      </w:r>
      <w:r w:rsidR="00C61C19" w:rsidRPr="00C61C19">
        <w:t xml:space="preserve"> it was held that </w:t>
      </w:r>
      <w:r w:rsidR="00F47863" w:rsidRPr="00C61C19">
        <w:t>the failure to respond to correspondence is considered a serious offence</w:t>
      </w:r>
      <w:r w:rsidR="006D4688">
        <w:t xml:space="preserve">. </w:t>
      </w:r>
      <w:r w:rsidR="00BA6DC6">
        <w:t>The LPC contends that this</w:t>
      </w:r>
      <w:r w:rsidR="006D4688">
        <w:t xml:space="preserve"> dissonance requires an authoritative position from the Supreme Court of Appeal.</w:t>
      </w:r>
    </w:p>
    <w:p w14:paraId="31A3F234" w14:textId="4B3ED084" w:rsidR="00C927DE" w:rsidRDefault="002956AB" w:rsidP="002956AB">
      <w:pPr>
        <w:pStyle w:val="Judgmentparagraph"/>
        <w:numPr>
          <w:ilvl w:val="0"/>
          <w:numId w:val="0"/>
        </w:numPr>
        <w:ind w:left="567" w:hanging="567"/>
      </w:pPr>
      <w:r>
        <w:t>[13]</w:t>
      </w:r>
      <w:r>
        <w:tab/>
      </w:r>
      <w:r w:rsidR="00F47863">
        <w:t>For all these reasons,</w:t>
      </w:r>
      <w:r w:rsidR="00244C6A" w:rsidRPr="00A829AA">
        <w:t xml:space="preserve"> the application for leave to appeal deserves the attention </w:t>
      </w:r>
      <w:r w:rsidR="00F204C1">
        <w:t>of</w:t>
      </w:r>
      <w:r w:rsidR="00244C6A" w:rsidRPr="00A829AA">
        <w:t xml:space="preserve"> the S</w:t>
      </w:r>
      <w:r w:rsidR="00F204C1">
        <w:t xml:space="preserve">upreme </w:t>
      </w:r>
      <w:r w:rsidR="00244C6A" w:rsidRPr="00A829AA">
        <w:t>C</w:t>
      </w:r>
      <w:r w:rsidR="00F204C1">
        <w:t xml:space="preserve">ourt of </w:t>
      </w:r>
      <w:r w:rsidR="00244C6A" w:rsidRPr="00A829AA">
        <w:t>A</w:t>
      </w:r>
      <w:r w:rsidR="00F204C1">
        <w:t>ppeal</w:t>
      </w:r>
      <w:r w:rsidR="00244C6A" w:rsidRPr="00A829AA">
        <w:t xml:space="preserve">. </w:t>
      </w:r>
    </w:p>
    <w:p w14:paraId="798F84D6" w14:textId="77777777" w:rsidR="00C6475C" w:rsidRPr="00180053" w:rsidRDefault="00F47863" w:rsidP="00C6475C">
      <w:pPr>
        <w:pStyle w:val="Judgmentparagraph"/>
        <w:numPr>
          <w:ilvl w:val="0"/>
          <w:numId w:val="0"/>
        </w:numPr>
        <w:rPr>
          <w:u w:val="single"/>
        </w:rPr>
      </w:pPr>
      <w:r w:rsidRPr="0021121F">
        <w:rPr>
          <w:u w:val="single"/>
        </w:rPr>
        <w:t xml:space="preserve">Order </w:t>
      </w:r>
    </w:p>
    <w:p w14:paraId="11E7FEAE" w14:textId="34A579CF" w:rsidR="00C6475C" w:rsidRDefault="002956AB" w:rsidP="002956AB">
      <w:pPr>
        <w:pStyle w:val="Judgmentparagraph"/>
        <w:numPr>
          <w:ilvl w:val="0"/>
          <w:numId w:val="0"/>
        </w:numPr>
        <w:ind w:left="567" w:hanging="567"/>
      </w:pPr>
      <w:r>
        <w:t>[1</w:t>
      </w:r>
      <w:bookmarkStart w:id="0" w:name="_GoBack"/>
      <w:bookmarkEnd w:id="0"/>
      <w:r>
        <w:t>4]</w:t>
      </w:r>
      <w:r>
        <w:tab/>
      </w:r>
      <w:r w:rsidR="00F47863" w:rsidRPr="00B93312">
        <w:t>In the result, the following order is granted:</w:t>
      </w:r>
    </w:p>
    <w:p w14:paraId="0C221349" w14:textId="464A8A39" w:rsidR="00202EE5" w:rsidRDefault="002956AB" w:rsidP="002956AB">
      <w:pPr>
        <w:pStyle w:val="Judgmentparagraph"/>
        <w:numPr>
          <w:ilvl w:val="0"/>
          <w:numId w:val="0"/>
        </w:numPr>
        <w:ind w:left="720" w:hanging="360"/>
      </w:pPr>
      <w:r>
        <w:t>a)</w:t>
      </w:r>
      <w:r>
        <w:tab/>
      </w:r>
      <w:r w:rsidR="00F47863">
        <w:t xml:space="preserve">Leave to appeal is </w:t>
      </w:r>
      <w:r w:rsidR="00F204C1">
        <w:t>granted</w:t>
      </w:r>
      <w:r w:rsidR="00F47863">
        <w:t xml:space="preserve"> to the </w:t>
      </w:r>
      <w:r w:rsidR="00F204C1">
        <w:t>Supreme</w:t>
      </w:r>
      <w:r w:rsidR="00F47863">
        <w:t xml:space="preserve"> Court of Appeal.</w:t>
      </w:r>
    </w:p>
    <w:p w14:paraId="124A823B" w14:textId="6B480DE9" w:rsidR="00C6475C" w:rsidRPr="00791D33" w:rsidRDefault="002956AB" w:rsidP="002956AB">
      <w:pPr>
        <w:pStyle w:val="Judgmentparagraph"/>
        <w:numPr>
          <w:ilvl w:val="0"/>
          <w:numId w:val="0"/>
        </w:numPr>
        <w:ind w:left="720" w:hanging="360"/>
      </w:pPr>
      <w:r w:rsidRPr="00791D33">
        <w:t>b)</w:t>
      </w:r>
      <w:r w:rsidRPr="00791D33">
        <w:tab/>
      </w:r>
      <w:r w:rsidR="00F47863" w:rsidRPr="00791D33">
        <w:t xml:space="preserve">The </w:t>
      </w:r>
      <w:r w:rsidR="00DB6DE8">
        <w:t>cos</w:t>
      </w:r>
      <w:r w:rsidR="00F204C1">
        <w:t>t</w:t>
      </w:r>
      <w:r w:rsidR="00DB6DE8">
        <w:t xml:space="preserve">s of the application for </w:t>
      </w:r>
      <w:r w:rsidR="00F204C1">
        <w:t>leave</w:t>
      </w:r>
      <w:r w:rsidR="00DB6DE8">
        <w:t xml:space="preserve"> to appeal are in the appeal. </w:t>
      </w:r>
    </w:p>
    <w:p w14:paraId="07AD15C8" w14:textId="77777777" w:rsidR="00C830AC" w:rsidRDefault="00F47863"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p>
    <w:p w14:paraId="2B4BBC47"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3A664E50"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793C443E"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37E613FE"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508D77A3"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26CE0D02" w14:textId="77777777" w:rsidR="00C830AC" w:rsidRDefault="00C830AC" w:rsidP="00E80311">
      <w:pPr>
        <w:tabs>
          <w:tab w:val="left" w:pos="4917"/>
        </w:tabs>
        <w:spacing w:before="120" w:after="120" w:line="240" w:lineRule="auto"/>
        <w:ind w:left="397" w:hanging="397"/>
        <w:jc w:val="right"/>
        <w:rPr>
          <w:rFonts w:ascii="Arial" w:hAnsi="Arial" w:cs="Arial"/>
          <w:sz w:val="24"/>
          <w:szCs w:val="24"/>
        </w:rPr>
      </w:pPr>
    </w:p>
    <w:p w14:paraId="4F72D970" w14:textId="7DB93FF2" w:rsidR="004F3075" w:rsidRPr="00B93312" w:rsidRDefault="00F47863"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lastRenderedPageBreak/>
        <w:t>____________________________</w:t>
      </w:r>
    </w:p>
    <w:p w14:paraId="040C8CE3" w14:textId="77777777" w:rsidR="009C6441" w:rsidRPr="00B93312" w:rsidRDefault="00F47863"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de Vos</w:t>
      </w:r>
    </w:p>
    <w:p w14:paraId="708582DB" w14:textId="77777777" w:rsidR="009C6441" w:rsidRDefault="00F47863"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Pr="00B93312">
        <w:rPr>
          <w:rFonts w:ascii="Arial" w:hAnsi="Arial" w:cs="Arial"/>
          <w:sz w:val="24"/>
          <w:szCs w:val="24"/>
        </w:rPr>
        <w:t>Judge of t</w:t>
      </w:r>
      <w:r w:rsidR="00B7783F" w:rsidRPr="00B93312">
        <w:rPr>
          <w:rFonts w:ascii="Arial" w:hAnsi="Arial" w:cs="Arial"/>
          <w:sz w:val="24"/>
          <w:szCs w:val="24"/>
        </w:rPr>
        <w:t>he High Court</w:t>
      </w:r>
    </w:p>
    <w:p w14:paraId="4CF9F3B5" w14:textId="77777777" w:rsidR="00783F15" w:rsidRDefault="00783F15" w:rsidP="00783F15">
      <w:pPr>
        <w:tabs>
          <w:tab w:val="left" w:pos="4917"/>
        </w:tabs>
        <w:spacing w:before="120" w:after="120" w:line="240" w:lineRule="auto"/>
        <w:ind w:left="397" w:hanging="397"/>
        <w:jc w:val="right"/>
        <w:rPr>
          <w:rFonts w:ascii="Arial" w:hAnsi="Arial" w:cs="Arial"/>
          <w:sz w:val="24"/>
          <w:szCs w:val="24"/>
        </w:rPr>
      </w:pPr>
    </w:p>
    <w:p w14:paraId="2C07532D" w14:textId="77777777" w:rsidR="00783F15" w:rsidRDefault="00783F15" w:rsidP="00783F15">
      <w:pPr>
        <w:tabs>
          <w:tab w:val="left" w:pos="4917"/>
        </w:tabs>
        <w:spacing w:before="120" w:after="120" w:line="240" w:lineRule="auto"/>
        <w:ind w:left="397" w:hanging="397"/>
        <w:jc w:val="right"/>
        <w:rPr>
          <w:rFonts w:ascii="Arial" w:hAnsi="Arial" w:cs="Arial"/>
          <w:sz w:val="24"/>
          <w:szCs w:val="24"/>
        </w:rPr>
      </w:pPr>
    </w:p>
    <w:p w14:paraId="300EB8D2" w14:textId="77777777" w:rsidR="00783F15" w:rsidRPr="00F204C1" w:rsidRDefault="00F47863" w:rsidP="00783F15">
      <w:pPr>
        <w:tabs>
          <w:tab w:val="left" w:pos="4917"/>
        </w:tabs>
        <w:spacing w:before="120" w:after="120" w:line="240" w:lineRule="auto"/>
        <w:ind w:left="397" w:hanging="397"/>
        <w:jc w:val="right"/>
        <w:rPr>
          <w:rFonts w:ascii="Arial" w:hAnsi="Arial" w:cs="Arial"/>
          <w:sz w:val="24"/>
          <w:szCs w:val="24"/>
        </w:rPr>
      </w:pPr>
      <w:r w:rsidRPr="00F204C1">
        <w:rPr>
          <w:rFonts w:ascii="Arial" w:hAnsi="Arial" w:cs="Arial"/>
          <w:sz w:val="24"/>
          <w:szCs w:val="24"/>
        </w:rPr>
        <w:t>____________________________</w:t>
      </w:r>
    </w:p>
    <w:p w14:paraId="3FD5111A" w14:textId="77777777" w:rsidR="00783F15" w:rsidRPr="00F204C1" w:rsidRDefault="00F47863" w:rsidP="00783F15">
      <w:pPr>
        <w:tabs>
          <w:tab w:val="left" w:pos="4917"/>
        </w:tabs>
        <w:spacing w:before="120" w:after="120" w:line="240" w:lineRule="auto"/>
        <w:ind w:left="397" w:hanging="397"/>
        <w:rPr>
          <w:rFonts w:ascii="Arial" w:hAnsi="Arial" w:cs="Arial"/>
          <w:sz w:val="24"/>
          <w:szCs w:val="24"/>
        </w:rPr>
      </w:pPr>
      <w:r w:rsidRPr="00F204C1">
        <w:rPr>
          <w:rFonts w:ascii="Arial" w:hAnsi="Arial" w:cs="Arial"/>
          <w:sz w:val="24"/>
          <w:szCs w:val="24"/>
        </w:rPr>
        <w:tab/>
      </w:r>
      <w:r w:rsidRPr="00F204C1">
        <w:rPr>
          <w:rFonts w:ascii="Arial" w:hAnsi="Arial" w:cs="Arial"/>
          <w:sz w:val="24"/>
          <w:szCs w:val="24"/>
        </w:rPr>
        <w:tab/>
      </w:r>
      <w:r w:rsidRPr="00F204C1">
        <w:rPr>
          <w:rFonts w:ascii="Arial" w:hAnsi="Arial" w:cs="Arial"/>
          <w:sz w:val="24"/>
          <w:szCs w:val="24"/>
        </w:rPr>
        <w:tab/>
      </w:r>
      <w:r w:rsidRPr="00F204C1">
        <w:rPr>
          <w:rFonts w:ascii="Arial" w:hAnsi="Arial" w:cs="Arial"/>
          <w:sz w:val="24"/>
          <w:szCs w:val="24"/>
        </w:rPr>
        <w:tab/>
        <w:t>AP Ledwaba DJP</w:t>
      </w:r>
    </w:p>
    <w:p w14:paraId="6BFDF0DA" w14:textId="77777777" w:rsidR="00783F15" w:rsidRDefault="00F47863" w:rsidP="00783F15">
      <w:pPr>
        <w:tabs>
          <w:tab w:val="left" w:pos="4917"/>
        </w:tabs>
        <w:spacing w:before="120" w:after="120" w:line="240" w:lineRule="auto"/>
        <w:ind w:left="357"/>
        <w:rPr>
          <w:rFonts w:ascii="Arial" w:hAnsi="Arial" w:cs="Arial"/>
          <w:sz w:val="24"/>
          <w:szCs w:val="24"/>
        </w:rPr>
      </w:pPr>
      <w:r w:rsidRPr="00F204C1">
        <w:rPr>
          <w:rFonts w:ascii="Arial" w:hAnsi="Arial" w:cs="Arial"/>
          <w:sz w:val="24"/>
          <w:szCs w:val="24"/>
        </w:rPr>
        <w:tab/>
      </w:r>
      <w:r w:rsidRPr="00F204C1">
        <w:rPr>
          <w:rFonts w:ascii="Arial" w:hAnsi="Arial" w:cs="Arial"/>
          <w:sz w:val="24"/>
          <w:szCs w:val="24"/>
        </w:rPr>
        <w:tab/>
      </w:r>
      <w:r w:rsidRPr="00F204C1">
        <w:rPr>
          <w:rFonts w:ascii="Arial" w:hAnsi="Arial" w:cs="Arial"/>
          <w:sz w:val="24"/>
          <w:szCs w:val="24"/>
        </w:rPr>
        <w:tab/>
        <w:t>Deputy Judge President</w:t>
      </w:r>
    </w:p>
    <w:p w14:paraId="080DD64E" w14:textId="77777777" w:rsidR="00783F15" w:rsidRDefault="00783F15" w:rsidP="00940E1B">
      <w:pPr>
        <w:tabs>
          <w:tab w:val="left" w:pos="4917"/>
        </w:tabs>
        <w:spacing w:before="120" w:after="120" w:line="240" w:lineRule="auto"/>
        <w:ind w:left="357"/>
        <w:rPr>
          <w:rFonts w:ascii="Arial" w:hAnsi="Arial" w:cs="Arial"/>
          <w:sz w:val="24"/>
          <w:szCs w:val="24"/>
        </w:rPr>
      </w:pPr>
    </w:p>
    <w:p w14:paraId="15E33299" w14:textId="77777777" w:rsidR="00E80311" w:rsidRPr="00B93312" w:rsidRDefault="00E80311" w:rsidP="00940E1B">
      <w:pPr>
        <w:tabs>
          <w:tab w:val="left" w:pos="4917"/>
        </w:tabs>
        <w:spacing w:before="120" w:after="120" w:line="240" w:lineRule="auto"/>
        <w:ind w:left="357"/>
        <w:rPr>
          <w:rFonts w:ascii="Arial" w:hAnsi="Arial" w:cs="Arial"/>
          <w:sz w:val="24"/>
          <w:szCs w:val="24"/>
        </w:rPr>
      </w:pPr>
    </w:p>
    <w:p w14:paraId="4818DD44" w14:textId="77777777" w:rsidR="00A42BDA" w:rsidRPr="00B93312" w:rsidRDefault="00A42BDA" w:rsidP="003649CD">
      <w:pPr>
        <w:tabs>
          <w:tab w:val="left" w:pos="4917"/>
        </w:tabs>
        <w:spacing w:after="0" w:line="360" w:lineRule="auto"/>
        <w:ind w:left="357"/>
        <w:rPr>
          <w:rFonts w:ascii="Arial" w:hAnsi="Arial" w:cs="Arial"/>
          <w:sz w:val="24"/>
          <w:szCs w:val="24"/>
        </w:rPr>
      </w:pPr>
    </w:p>
    <w:p w14:paraId="7CED50B1" w14:textId="77777777" w:rsidR="002B0D1E" w:rsidRPr="00B93312" w:rsidRDefault="00F47863"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373D9215" w14:textId="77777777" w:rsidR="00A42BDA" w:rsidRPr="00B93312" w:rsidRDefault="00A42BDA" w:rsidP="003649CD">
      <w:pPr>
        <w:tabs>
          <w:tab w:val="left" w:pos="4917"/>
        </w:tabs>
        <w:spacing w:after="0" w:line="360" w:lineRule="auto"/>
        <w:ind w:left="357"/>
        <w:rPr>
          <w:rFonts w:ascii="Arial" w:hAnsi="Arial" w:cs="Arial"/>
          <w:sz w:val="24"/>
          <w:szCs w:val="24"/>
        </w:rPr>
      </w:pPr>
    </w:p>
    <w:p w14:paraId="501A0C2A" w14:textId="03E51233" w:rsidR="00E80311" w:rsidRPr="00E80311" w:rsidRDefault="00F47863" w:rsidP="00D324F0">
      <w:pPr>
        <w:tabs>
          <w:tab w:val="left" w:pos="4917"/>
        </w:tabs>
        <w:spacing w:after="0" w:line="360" w:lineRule="auto"/>
        <w:ind w:left="357"/>
        <w:rPr>
          <w:rFonts w:ascii="Arial" w:hAnsi="Arial" w:cs="Arial"/>
          <w:b/>
          <w:bCs/>
          <w:lang w:eastAsia="en-GB"/>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 xml:space="preserve">r the </w:t>
      </w:r>
      <w:r w:rsidR="00791D33">
        <w:rPr>
          <w:rFonts w:ascii="Arial" w:hAnsi="Arial" w:cs="Arial"/>
          <w:sz w:val="24"/>
          <w:szCs w:val="24"/>
        </w:rPr>
        <w:t>app</w:t>
      </w:r>
      <w:r>
        <w:rPr>
          <w:rFonts w:ascii="Arial" w:hAnsi="Arial" w:cs="Arial"/>
          <w:sz w:val="24"/>
          <w:szCs w:val="24"/>
        </w:rPr>
        <w:t>ellant</w:t>
      </w:r>
      <w:r w:rsidR="004716A2" w:rsidRPr="00EF2C17">
        <w:rPr>
          <w:rFonts w:ascii="Arial" w:hAnsi="Arial" w:cs="Arial"/>
          <w:sz w:val="24"/>
          <w:szCs w:val="24"/>
        </w:rPr>
        <w:t>:</w:t>
      </w:r>
      <w:r w:rsidR="00BB506C" w:rsidRPr="00EF2C17">
        <w:rPr>
          <w:rFonts w:ascii="Arial" w:hAnsi="Arial" w:cs="Arial"/>
          <w:sz w:val="24"/>
          <w:szCs w:val="24"/>
        </w:rPr>
        <w:t xml:space="preserve"> </w:t>
      </w:r>
      <w:r w:rsidR="00F67537" w:rsidRPr="00EF2C17">
        <w:rPr>
          <w:rFonts w:ascii="Arial" w:hAnsi="Arial" w:cs="Arial"/>
          <w:sz w:val="24"/>
          <w:szCs w:val="24"/>
        </w:rPr>
        <w:tab/>
      </w:r>
      <w:r w:rsidR="00B1142A">
        <w:rPr>
          <w:rFonts w:ascii="Arial" w:hAnsi="Arial" w:cs="Arial"/>
          <w:b/>
          <w:bCs/>
          <w:lang w:eastAsia="en-GB"/>
        </w:rPr>
        <w:t xml:space="preserve">Mr </w:t>
      </w:r>
      <w:r w:rsidR="00FD50CE">
        <w:rPr>
          <w:rFonts w:ascii="Arial" w:hAnsi="Arial" w:cs="Arial"/>
          <w:b/>
          <w:bCs/>
          <w:lang w:eastAsia="en-GB"/>
        </w:rPr>
        <w:t>Maphutha</w:t>
      </w:r>
    </w:p>
    <w:p w14:paraId="12518D9D" w14:textId="5E587DF5" w:rsidR="006704E0" w:rsidRPr="00E80311" w:rsidRDefault="00F47863" w:rsidP="00BE500B">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hAnsi="Arial" w:cs="Arial"/>
          <w:sz w:val="24"/>
          <w:szCs w:val="24"/>
        </w:rPr>
        <w:t>I</w:t>
      </w:r>
      <w:r w:rsidR="003649CD" w:rsidRPr="00E80311">
        <w:rPr>
          <w:rFonts w:ascii="Arial" w:hAnsi="Arial" w:cs="Arial"/>
          <w:sz w:val="24"/>
          <w:szCs w:val="24"/>
        </w:rPr>
        <w:t xml:space="preserve">nstructed by: </w:t>
      </w:r>
      <w:r w:rsidR="00BB506C" w:rsidRPr="00E80311">
        <w:rPr>
          <w:rFonts w:ascii="Arial" w:hAnsi="Arial" w:cs="Arial"/>
          <w:sz w:val="24"/>
          <w:szCs w:val="24"/>
        </w:rPr>
        <w:t xml:space="preserve"> </w:t>
      </w:r>
      <w:r w:rsidR="00F67537" w:rsidRPr="00E80311">
        <w:rPr>
          <w:rFonts w:ascii="Arial" w:hAnsi="Arial" w:cs="Arial"/>
          <w:sz w:val="24"/>
          <w:szCs w:val="24"/>
        </w:rPr>
        <w:tab/>
      </w:r>
      <w:r w:rsidR="00FD50CE">
        <w:rPr>
          <w:rFonts w:ascii="Arial" w:eastAsia="Times New Roman" w:hAnsi="Arial" w:cs="Arial"/>
          <w:sz w:val="24"/>
          <w:szCs w:val="24"/>
          <w:lang w:eastAsia="en-GB"/>
        </w:rPr>
        <w:t>Rapetsa Attorneys Inc</w:t>
      </w:r>
    </w:p>
    <w:p w14:paraId="5DB27828" w14:textId="77777777" w:rsidR="006704E0" w:rsidRPr="00B1142A" w:rsidRDefault="00F47863" w:rsidP="006704E0">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eastAsia="Times New Roman" w:hAnsi="Arial" w:cs="Arial"/>
          <w:sz w:val="24"/>
          <w:szCs w:val="24"/>
          <w:lang w:eastAsia="en-GB"/>
        </w:rPr>
        <w:t>Counsel for the Respondent:</w:t>
      </w:r>
      <w:r w:rsidR="000D5F15">
        <w:rPr>
          <w:rFonts w:ascii="Arial" w:eastAsia="Times New Roman" w:hAnsi="Arial" w:cs="Arial"/>
          <w:sz w:val="24"/>
          <w:szCs w:val="24"/>
          <w:lang w:eastAsia="en-GB"/>
        </w:rPr>
        <w:tab/>
      </w:r>
      <w:r w:rsidR="00783F15">
        <w:rPr>
          <w:rFonts w:ascii="Arial" w:eastAsia="Times New Roman" w:hAnsi="Arial" w:cs="Arial"/>
          <w:b/>
          <w:bCs/>
          <w:sz w:val="24"/>
          <w:szCs w:val="24"/>
          <w:lang w:eastAsia="en-GB"/>
        </w:rPr>
        <w:t>L Groome</w:t>
      </w:r>
      <w:r w:rsidR="000D5F15" w:rsidRPr="00E80311">
        <w:rPr>
          <w:rFonts w:ascii="Arial" w:hAnsi="Arial" w:cs="Arial"/>
          <w:b/>
          <w:bCs/>
          <w:lang w:eastAsia="en-GB"/>
        </w:rPr>
        <w:t xml:space="preserve"> </w:t>
      </w:r>
    </w:p>
    <w:p w14:paraId="22B8723F" w14:textId="77777777" w:rsidR="00E20004" w:rsidRPr="00E80311" w:rsidRDefault="00F47863" w:rsidP="00BE500B">
      <w:pPr>
        <w:tabs>
          <w:tab w:val="left" w:pos="4917"/>
        </w:tabs>
        <w:spacing w:after="0" w:line="360" w:lineRule="auto"/>
        <w:ind w:left="4917" w:hanging="4557"/>
        <w:rPr>
          <w:rFonts w:ascii="Arial" w:hAnsi="Arial" w:cs="Arial"/>
          <w:sz w:val="24"/>
          <w:szCs w:val="24"/>
        </w:rPr>
      </w:pPr>
      <w:r w:rsidRPr="00E80311">
        <w:rPr>
          <w:rFonts w:ascii="Arial" w:hAnsi="Arial" w:cs="Arial"/>
          <w:sz w:val="24"/>
          <w:szCs w:val="24"/>
        </w:rPr>
        <w:t xml:space="preserve">Instructed by: </w:t>
      </w:r>
      <w:r w:rsidR="00377FDC" w:rsidRPr="00E80311">
        <w:rPr>
          <w:rFonts w:ascii="Arial" w:hAnsi="Arial" w:cs="Arial"/>
          <w:sz w:val="24"/>
          <w:szCs w:val="24"/>
        </w:rPr>
        <w:tab/>
      </w:r>
      <w:r w:rsidR="00783F15">
        <w:rPr>
          <w:rFonts w:ascii="Arial" w:hAnsi="Arial" w:cs="Arial"/>
          <w:sz w:val="24"/>
          <w:szCs w:val="24"/>
        </w:rPr>
        <w:t>RW Attorneys</w:t>
      </w:r>
      <w:r w:rsidR="00E80311" w:rsidRPr="00E80311">
        <w:rPr>
          <w:rFonts w:ascii="Arial" w:hAnsi="Arial" w:cs="Arial"/>
          <w:sz w:val="24"/>
          <w:szCs w:val="24"/>
        </w:rPr>
        <w:t xml:space="preserve"> </w:t>
      </w:r>
    </w:p>
    <w:p w14:paraId="19039AF4" w14:textId="77777777" w:rsidR="004F3075" w:rsidRPr="00E80311" w:rsidRDefault="00F47863" w:rsidP="003649CD">
      <w:pPr>
        <w:tabs>
          <w:tab w:val="left" w:pos="4917"/>
        </w:tabs>
        <w:spacing w:after="0" w:line="360" w:lineRule="auto"/>
        <w:ind w:left="360"/>
        <w:rPr>
          <w:rFonts w:ascii="Arial" w:hAnsi="Arial" w:cs="Arial"/>
          <w:sz w:val="24"/>
          <w:szCs w:val="24"/>
        </w:rPr>
      </w:pPr>
      <w:r w:rsidRPr="00E80311">
        <w:rPr>
          <w:rFonts w:ascii="Arial" w:hAnsi="Arial" w:cs="Arial"/>
          <w:sz w:val="24"/>
          <w:szCs w:val="24"/>
        </w:rPr>
        <w:t>D</w:t>
      </w:r>
      <w:r w:rsidR="002F1742" w:rsidRPr="00E80311">
        <w:rPr>
          <w:rFonts w:ascii="Arial" w:hAnsi="Arial" w:cs="Arial"/>
          <w:sz w:val="24"/>
          <w:szCs w:val="24"/>
        </w:rPr>
        <w:t>ate of the hearing:</w:t>
      </w:r>
      <w:r w:rsidR="00F03EE2" w:rsidRPr="00E80311">
        <w:rPr>
          <w:rFonts w:ascii="Arial" w:hAnsi="Arial" w:cs="Arial"/>
          <w:sz w:val="24"/>
          <w:szCs w:val="24"/>
        </w:rPr>
        <w:tab/>
      </w:r>
      <w:r w:rsidR="00DB6DE8">
        <w:rPr>
          <w:rFonts w:ascii="Arial" w:eastAsia="Times New Roman" w:hAnsi="Arial" w:cs="Arial"/>
          <w:sz w:val="24"/>
          <w:szCs w:val="24"/>
          <w:lang w:eastAsia="en-GB"/>
        </w:rPr>
        <w:t>3 August</w:t>
      </w:r>
      <w:r w:rsidR="00B1142A">
        <w:rPr>
          <w:rFonts w:ascii="Arial" w:eastAsia="Times New Roman" w:hAnsi="Arial" w:cs="Arial"/>
          <w:sz w:val="24"/>
          <w:szCs w:val="24"/>
          <w:lang w:eastAsia="en-GB"/>
        </w:rPr>
        <w:t xml:space="preserve"> 2023</w:t>
      </w:r>
    </w:p>
    <w:p w14:paraId="3A5C41BB" w14:textId="60DFCD4D" w:rsidR="00AB30C9" w:rsidRDefault="00F47863" w:rsidP="006A65A6">
      <w:pPr>
        <w:tabs>
          <w:tab w:val="left" w:pos="4917"/>
        </w:tabs>
        <w:spacing w:after="0" w:line="360" w:lineRule="auto"/>
        <w:ind w:left="360"/>
        <w:rPr>
          <w:rFonts w:ascii="Arial" w:eastAsia="Times New Roman" w:hAnsi="Arial" w:cs="Arial"/>
          <w:sz w:val="24"/>
          <w:szCs w:val="24"/>
          <w:lang w:eastAsia="en-GB"/>
        </w:rPr>
      </w:pPr>
      <w:r w:rsidRPr="000D5F15">
        <w:rPr>
          <w:rFonts w:ascii="Arial" w:hAnsi="Arial" w:cs="Arial"/>
          <w:sz w:val="24"/>
          <w:szCs w:val="24"/>
        </w:rPr>
        <w:t>Da</w:t>
      </w:r>
      <w:r w:rsidR="004F3075" w:rsidRPr="000D5F15">
        <w:rPr>
          <w:rFonts w:ascii="Arial" w:hAnsi="Arial" w:cs="Arial"/>
          <w:sz w:val="24"/>
          <w:szCs w:val="24"/>
        </w:rPr>
        <w:t>te of judgment:</w:t>
      </w:r>
      <w:r w:rsidR="00BE029D" w:rsidRPr="000D5F15">
        <w:rPr>
          <w:rFonts w:ascii="Arial" w:hAnsi="Arial" w:cs="Arial"/>
          <w:sz w:val="24"/>
          <w:szCs w:val="24"/>
        </w:rPr>
        <w:tab/>
      </w:r>
      <w:r w:rsidR="00BA6DC6">
        <w:rPr>
          <w:rFonts w:ascii="Arial" w:eastAsia="Times New Roman" w:hAnsi="Arial" w:cs="Arial"/>
          <w:sz w:val="24"/>
          <w:szCs w:val="24"/>
          <w:lang w:eastAsia="en-GB"/>
        </w:rPr>
        <w:t>8</w:t>
      </w:r>
      <w:r w:rsidR="00F204C1">
        <w:rPr>
          <w:rFonts w:ascii="Arial" w:eastAsia="Times New Roman" w:hAnsi="Arial" w:cs="Arial"/>
          <w:sz w:val="24"/>
          <w:szCs w:val="24"/>
          <w:lang w:eastAsia="en-GB"/>
        </w:rPr>
        <w:t xml:space="preserve"> August</w:t>
      </w:r>
      <w:r w:rsidR="000D5F15">
        <w:rPr>
          <w:rFonts w:ascii="Arial" w:eastAsia="Times New Roman" w:hAnsi="Arial" w:cs="Arial"/>
          <w:sz w:val="24"/>
          <w:szCs w:val="24"/>
          <w:lang w:eastAsia="en-GB"/>
        </w:rPr>
        <w:t xml:space="preserve"> 2023</w:t>
      </w:r>
    </w:p>
    <w:p w14:paraId="00527A87" w14:textId="77777777" w:rsidR="000D5F15" w:rsidRPr="001510B0" w:rsidRDefault="000D5F15" w:rsidP="006A65A6">
      <w:pPr>
        <w:tabs>
          <w:tab w:val="left" w:pos="4917"/>
        </w:tabs>
        <w:spacing w:after="0" w:line="360" w:lineRule="auto"/>
        <w:ind w:left="360"/>
        <w:rPr>
          <w:rFonts w:ascii="Arial" w:eastAsia="Times New Roman" w:hAnsi="Arial" w:cs="Arial"/>
          <w:sz w:val="24"/>
          <w:szCs w:val="24"/>
          <w:lang w:eastAsia="en-GB"/>
        </w:rPr>
      </w:pPr>
    </w:p>
    <w:sectPr w:rsidR="000D5F15" w:rsidRPr="001510B0" w:rsidSect="00065E8F">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C3FE3" w14:textId="77777777" w:rsidR="00CA20F1" w:rsidRDefault="00CA20F1">
      <w:pPr>
        <w:spacing w:after="0" w:line="240" w:lineRule="auto"/>
      </w:pPr>
      <w:r>
        <w:separator/>
      </w:r>
    </w:p>
  </w:endnote>
  <w:endnote w:type="continuationSeparator" w:id="0">
    <w:p w14:paraId="79953540" w14:textId="77777777" w:rsidR="00CA20F1" w:rsidRDefault="00CA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66BA4EF9" w14:textId="206DDB39" w:rsidR="000E009C" w:rsidRDefault="00F47863">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4152A4">
          <w:rPr>
            <w:rFonts w:ascii="Arial" w:hAnsi="Arial" w:cs="Arial"/>
            <w:noProof/>
            <w:sz w:val="24"/>
            <w:szCs w:val="24"/>
          </w:rPr>
          <w:t>5</w:t>
        </w:r>
        <w:r w:rsidRPr="00CD0D31">
          <w:rPr>
            <w:rFonts w:ascii="Arial" w:hAnsi="Arial" w:cs="Arial"/>
            <w:noProof/>
            <w:sz w:val="24"/>
            <w:szCs w:val="24"/>
          </w:rPr>
          <w:fldChar w:fldCharType="end"/>
        </w:r>
      </w:p>
    </w:sdtContent>
  </w:sdt>
  <w:p w14:paraId="14749056" w14:textId="77777777" w:rsidR="000E009C" w:rsidRDefault="000E0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4F086172" w14:textId="092D39FF" w:rsidR="005F074E" w:rsidRPr="005F074E" w:rsidRDefault="00F47863">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2956AB" w:rsidRPr="002956AB">
          <w:rPr>
            <w:rFonts w:ascii="Arial" w:hAnsi="Arial" w:cs="Arial"/>
            <w:noProof/>
            <w:sz w:val="24"/>
            <w:szCs w:val="24"/>
            <w:lang w:val="af-ZA"/>
          </w:rPr>
          <w:t>1</w:t>
        </w:r>
        <w:r w:rsidRPr="005F074E">
          <w:rPr>
            <w:rFonts w:ascii="Arial" w:hAnsi="Arial" w:cs="Arial"/>
            <w:sz w:val="24"/>
            <w:szCs w:val="24"/>
          </w:rPr>
          <w:fldChar w:fldCharType="end"/>
        </w:r>
      </w:p>
    </w:sdtContent>
  </w:sdt>
  <w:p w14:paraId="0F8F24EA"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66D7" w14:textId="77777777" w:rsidR="00CA20F1" w:rsidRDefault="00CA20F1">
      <w:pPr>
        <w:spacing w:after="0" w:line="240" w:lineRule="auto"/>
      </w:pPr>
      <w:r>
        <w:separator/>
      </w:r>
    </w:p>
  </w:footnote>
  <w:footnote w:type="continuationSeparator" w:id="0">
    <w:p w14:paraId="53FD4D34" w14:textId="77777777" w:rsidR="00CA20F1" w:rsidRDefault="00CA20F1">
      <w:pPr>
        <w:spacing w:after="0" w:line="240" w:lineRule="auto"/>
      </w:pPr>
      <w:r>
        <w:continuationSeparator/>
      </w:r>
    </w:p>
  </w:footnote>
  <w:footnote w:type="continuationNotice" w:id="1">
    <w:p w14:paraId="6BCE7D2B" w14:textId="77777777" w:rsidR="00CA20F1" w:rsidRDefault="00CA20F1">
      <w:pPr>
        <w:spacing w:after="0" w:line="240" w:lineRule="auto"/>
      </w:pPr>
    </w:p>
  </w:footnote>
  <w:footnote w:id="2">
    <w:p w14:paraId="40E82D00" w14:textId="77777777" w:rsidR="00C927DE" w:rsidRPr="00C927DE" w:rsidRDefault="00F47863" w:rsidP="00C927DE">
      <w:pPr>
        <w:pStyle w:val="FootnoteText"/>
        <w:rPr>
          <w:lang w:val="en-ZA"/>
        </w:rPr>
      </w:pPr>
      <w:r>
        <w:rPr>
          <w:rStyle w:val="FootnoteReference"/>
        </w:rPr>
        <w:footnoteRef/>
      </w:r>
      <w:r>
        <w:t xml:space="preserve"> </w:t>
      </w:r>
      <w:r w:rsidRPr="00C927DE">
        <w:rPr>
          <w:lang w:val="en-ZA"/>
        </w:rPr>
        <w:t xml:space="preserve">In terms of Section 17 Act: </w:t>
      </w:r>
    </w:p>
    <w:p w14:paraId="26133012" w14:textId="77777777" w:rsidR="00C927DE" w:rsidRPr="00C927DE" w:rsidRDefault="00F47863" w:rsidP="00FD50CE">
      <w:pPr>
        <w:pStyle w:val="FootnoteText"/>
        <w:ind w:left="720"/>
        <w:rPr>
          <w:lang w:val="en-ZA"/>
        </w:rPr>
      </w:pPr>
      <w:r w:rsidRPr="00C927DE">
        <w:rPr>
          <w:lang w:val="en-ZA"/>
        </w:rPr>
        <w:t xml:space="preserve">(1)(a) Leave to appeal may only be given where the judge or judges concerned are of the opinion that — </w:t>
      </w:r>
    </w:p>
    <w:p w14:paraId="4927D890" w14:textId="77777777" w:rsidR="00C927DE" w:rsidRPr="00C927DE" w:rsidRDefault="00F47863" w:rsidP="00FD50CE">
      <w:pPr>
        <w:pStyle w:val="FootnoteText"/>
        <w:ind w:left="720"/>
        <w:rPr>
          <w:lang w:val="en-ZA"/>
        </w:rPr>
      </w:pPr>
      <w:r w:rsidRPr="00C927DE">
        <w:rPr>
          <w:lang w:val="en-ZA"/>
        </w:rPr>
        <w:t xml:space="preserve">(i) the appeal would have a reasonable prospect of success; or </w:t>
      </w:r>
    </w:p>
    <w:p w14:paraId="18ABE4BB" w14:textId="77777777" w:rsidR="00C927DE" w:rsidRPr="00C927DE" w:rsidRDefault="00F47863" w:rsidP="00FD50CE">
      <w:pPr>
        <w:pStyle w:val="FootnoteText"/>
        <w:ind w:left="720"/>
        <w:rPr>
          <w:lang w:val="en-ZA"/>
        </w:rPr>
      </w:pPr>
      <w:r w:rsidRPr="00C927DE">
        <w:rPr>
          <w:lang w:val="en-ZA"/>
        </w:rPr>
        <w:t xml:space="preserve">(ii) there is some other compelling reason why the appeal should be heard, including conflicting judgments on the matter under consideration... </w:t>
      </w:r>
    </w:p>
  </w:footnote>
  <w:footnote w:id="3">
    <w:p w14:paraId="64D23E82" w14:textId="77777777" w:rsidR="00640A88" w:rsidRPr="00640A88" w:rsidRDefault="00F47863">
      <w:pPr>
        <w:pStyle w:val="FootnoteText"/>
        <w:rPr>
          <w:lang w:val="en-ZA"/>
        </w:rPr>
      </w:pPr>
      <w:r>
        <w:rPr>
          <w:rStyle w:val="FootnoteReference"/>
        </w:rPr>
        <w:footnoteRef/>
      </w:r>
      <w:r>
        <w:t xml:space="preserve"> </w:t>
      </w:r>
      <w:r w:rsidRPr="00640A88">
        <w:rPr>
          <w:lang w:val="en-ZA"/>
        </w:rPr>
        <w:t xml:space="preserve">See examples of this in: South African Legal Practice Council v Siphesihle Mchunu (unreported) 66711/2020; and South African Legal Practice Council v Tarquin Jonathan Bishop &amp; Another 417/2021 (unreported) (this judgment is also the subject of an application for leave to appeal. </w:t>
      </w:r>
    </w:p>
  </w:footnote>
  <w:footnote w:id="4">
    <w:p w14:paraId="70B4E986" w14:textId="77777777" w:rsidR="00C61C19" w:rsidRPr="00640A88" w:rsidRDefault="00F47863" w:rsidP="00C61C19">
      <w:pPr>
        <w:pStyle w:val="FootnoteText"/>
        <w:rPr>
          <w:lang w:val="en-ZA"/>
        </w:rPr>
      </w:pPr>
      <w:r>
        <w:rPr>
          <w:rStyle w:val="FootnoteReference"/>
        </w:rPr>
        <w:footnoteRef/>
      </w:r>
      <w:r>
        <w:t xml:space="preserve"> </w:t>
      </w:r>
      <w:r w:rsidRPr="00640A88">
        <w:rPr>
          <w:lang w:val="en-ZA"/>
        </w:rPr>
        <w:t xml:space="preserve">Law Society of the Northern Provinces v Mamatho 2003 (6) SA 467 (SCA) par 1 </w:t>
      </w:r>
    </w:p>
  </w:footnote>
  <w:footnote w:id="5">
    <w:p w14:paraId="4354EF32" w14:textId="77777777" w:rsidR="00C61C19" w:rsidRPr="00640A88" w:rsidRDefault="00F47863" w:rsidP="00C61C19">
      <w:pPr>
        <w:pStyle w:val="FootnoteText"/>
        <w:rPr>
          <w:lang w:val="en-ZA"/>
        </w:rPr>
      </w:pPr>
      <w:r>
        <w:rPr>
          <w:rStyle w:val="FootnoteReference"/>
        </w:rPr>
        <w:footnoteRef/>
      </w:r>
      <w:r>
        <w:t xml:space="preserve"> </w:t>
      </w:r>
      <w:r w:rsidRPr="00640A88">
        <w:rPr>
          <w:lang w:val="en-ZA"/>
        </w:rPr>
        <w:t xml:space="preserve">Hewetson v Law Society of the Free State 2020 (5) SA 86 (SCA) par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F1A8" w14:textId="77777777" w:rsidR="000E009C" w:rsidRDefault="000E009C">
    <w:pPr>
      <w:pStyle w:val="Header"/>
      <w:jc w:val="center"/>
    </w:pPr>
  </w:p>
  <w:p w14:paraId="1890B13F" w14:textId="77777777" w:rsidR="000E009C" w:rsidRDefault="000E0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32429"/>
    <w:multiLevelType w:val="hybridMultilevel"/>
    <w:tmpl w:val="5DDAEADE"/>
    <w:lvl w:ilvl="0" w:tplc="0FD6EEE6">
      <w:start w:val="1"/>
      <w:numFmt w:val="decimal"/>
      <w:lvlText w:val="(%1)"/>
      <w:lvlJc w:val="left"/>
      <w:pPr>
        <w:tabs>
          <w:tab w:val="num" w:pos="900"/>
        </w:tabs>
        <w:ind w:left="900" w:hanging="720"/>
      </w:pPr>
      <w:rPr>
        <w:rFonts w:cs="Times New Roman"/>
      </w:rPr>
    </w:lvl>
    <w:lvl w:ilvl="1" w:tplc="76B47BCA">
      <w:start w:val="1"/>
      <w:numFmt w:val="lowerLetter"/>
      <w:lvlText w:val="%2."/>
      <w:lvlJc w:val="left"/>
      <w:pPr>
        <w:tabs>
          <w:tab w:val="num" w:pos="1260"/>
        </w:tabs>
        <w:ind w:left="1260" w:hanging="360"/>
      </w:pPr>
      <w:rPr>
        <w:rFonts w:cs="Times New Roman"/>
      </w:rPr>
    </w:lvl>
    <w:lvl w:ilvl="2" w:tplc="97F4F22A">
      <w:start w:val="1"/>
      <w:numFmt w:val="lowerRoman"/>
      <w:lvlText w:val="%3."/>
      <w:lvlJc w:val="right"/>
      <w:pPr>
        <w:tabs>
          <w:tab w:val="num" w:pos="1980"/>
        </w:tabs>
        <w:ind w:left="1980" w:hanging="180"/>
      </w:pPr>
      <w:rPr>
        <w:rFonts w:cs="Times New Roman"/>
      </w:rPr>
    </w:lvl>
    <w:lvl w:ilvl="3" w:tplc="CDBAEEE2">
      <w:start w:val="1"/>
      <w:numFmt w:val="decimal"/>
      <w:lvlText w:val="%4."/>
      <w:lvlJc w:val="left"/>
      <w:pPr>
        <w:tabs>
          <w:tab w:val="num" w:pos="2700"/>
        </w:tabs>
        <w:ind w:left="2700" w:hanging="360"/>
      </w:pPr>
      <w:rPr>
        <w:rFonts w:cs="Times New Roman"/>
      </w:rPr>
    </w:lvl>
    <w:lvl w:ilvl="4" w:tplc="EF30BDA0">
      <w:start w:val="1"/>
      <w:numFmt w:val="lowerLetter"/>
      <w:lvlText w:val="%5."/>
      <w:lvlJc w:val="left"/>
      <w:pPr>
        <w:tabs>
          <w:tab w:val="num" w:pos="3420"/>
        </w:tabs>
        <w:ind w:left="3420" w:hanging="360"/>
      </w:pPr>
      <w:rPr>
        <w:rFonts w:cs="Times New Roman"/>
      </w:rPr>
    </w:lvl>
    <w:lvl w:ilvl="5" w:tplc="2BA00B62">
      <w:start w:val="1"/>
      <w:numFmt w:val="lowerRoman"/>
      <w:lvlText w:val="%6."/>
      <w:lvlJc w:val="right"/>
      <w:pPr>
        <w:tabs>
          <w:tab w:val="num" w:pos="4140"/>
        </w:tabs>
        <w:ind w:left="4140" w:hanging="180"/>
      </w:pPr>
      <w:rPr>
        <w:rFonts w:cs="Times New Roman"/>
      </w:rPr>
    </w:lvl>
    <w:lvl w:ilvl="6" w:tplc="F30A8316">
      <w:start w:val="1"/>
      <w:numFmt w:val="decimal"/>
      <w:lvlText w:val="%7."/>
      <w:lvlJc w:val="left"/>
      <w:pPr>
        <w:tabs>
          <w:tab w:val="num" w:pos="4860"/>
        </w:tabs>
        <w:ind w:left="4860" w:hanging="360"/>
      </w:pPr>
      <w:rPr>
        <w:rFonts w:cs="Times New Roman"/>
      </w:rPr>
    </w:lvl>
    <w:lvl w:ilvl="7" w:tplc="707A8152">
      <w:start w:val="1"/>
      <w:numFmt w:val="lowerLetter"/>
      <w:lvlText w:val="%8."/>
      <w:lvlJc w:val="left"/>
      <w:pPr>
        <w:tabs>
          <w:tab w:val="num" w:pos="5580"/>
        </w:tabs>
        <w:ind w:left="5580" w:hanging="360"/>
      </w:pPr>
      <w:rPr>
        <w:rFonts w:cs="Times New Roman"/>
      </w:rPr>
    </w:lvl>
    <w:lvl w:ilvl="8" w:tplc="A8DCA886">
      <w:start w:val="1"/>
      <w:numFmt w:val="lowerRoman"/>
      <w:lvlText w:val="%9."/>
      <w:lvlJc w:val="right"/>
      <w:pPr>
        <w:tabs>
          <w:tab w:val="num" w:pos="6300"/>
        </w:tabs>
        <w:ind w:left="6300" w:hanging="180"/>
      </w:pPr>
      <w:rPr>
        <w:rFonts w:cs="Times New Roman"/>
      </w:rPr>
    </w:lvl>
  </w:abstractNum>
  <w:abstractNum w:abstractNumId="2">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882767"/>
    <w:multiLevelType w:val="hybridMultilevel"/>
    <w:tmpl w:val="ED92AC92"/>
    <w:lvl w:ilvl="0" w:tplc="D004A930">
      <w:start w:val="1"/>
      <w:numFmt w:val="lowerRoman"/>
      <w:pStyle w:val="Heading2"/>
      <w:lvlText w:val="(%1)"/>
      <w:lvlJc w:val="left"/>
      <w:pPr>
        <w:ind w:left="1080" w:hanging="720"/>
      </w:pPr>
      <w:rPr>
        <w:rFonts w:hint="default"/>
      </w:rPr>
    </w:lvl>
    <w:lvl w:ilvl="1" w:tplc="0322B276" w:tentative="1">
      <w:start w:val="1"/>
      <w:numFmt w:val="lowerLetter"/>
      <w:lvlText w:val="%2."/>
      <w:lvlJc w:val="left"/>
      <w:pPr>
        <w:ind w:left="1440" w:hanging="360"/>
      </w:pPr>
    </w:lvl>
    <w:lvl w:ilvl="2" w:tplc="D21CF2D6" w:tentative="1">
      <w:start w:val="1"/>
      <w:numFmt w:val="lowerRoman"/>
      <w:lvlText w:val="%3."/>
      <w:lvlJc w:val="right"/>
      <w:pPr>
        <w:ind w:left="2160" w:hanging="180"/>
      </w:pPr>
    </w:lvl>
    <w:lvl w:ilvl="3" w:tplc="7EACFCD4" w:tentative="1">
      <w:start w:val="1"/>
      <w:numFmt w:val="decimal"/>
      <w:lvlText w:val="%4."/>
      <w:lvlJc w:val="left"/>
      <w:pPr>
        <w:ind w:left="2880" w:hanging="360"/>
      </w:pPr>
    </w:lvl>
    <w:lvl w:ilvl="4" w:tplc="D31457CC" w:tentative="1">
      <w:start w:val="1"/>
      <w:numFmt w:val="lowerLetter"/>
      <w:lvlText w:val="%5."/>
      <w:lvlJc w:val="left"/>
      <w:pPr>
        <w:ind w:left="3600" w:hanging="360"/>
      </w:pPr>
    </w:lvl>
    <w:lvl w:ilvl="5" w:tplc="91F4C528" w:tentative="1">
      <w:start w:val="1"/>
      <w:numFmt w:val="lowerRoman"/>
      <w:lvlText w:val="%6."/>
      <w:lvlJc w:val="right"/>
      <w:pPr>
        <w:ind w:left="4320" w:hanging="180"/>
      </w:pPr>
    </w:lvl>
    <w:lvl w:ilvl="6" w:tplc="278CAD82" w:tentative="1">
      <w:start w:val="1"/>
      <w:numFmt w:val="decimal"/>
      <w:lvlText w:val="%7."/>
      <w:lvlJc w:val="left"/>
      <w:pPr>
        <w:ind w:left="5040" w:hanging="360"/>
      </w:pPr>
    </w:lvl>
    <w:lvl w:ilvl="7" w:tplc="C42C6B60" w:tentative="1">
      <w:start w:val="1"/>
      <w:numFmt w:val="lowerLetter"/>
      <w:lvlText w:val="%8."/>
      <w:lvlJc w:val="left"/>
      <w:pPr>
        <w:ind w:left="5760" w:hanging="360"/>
      </w:pPr>
    </w:lvl>
    <w:lvl w:ilvl="8" w:tplc="A600D79C" w:tentative="1">
      <w:start w:val="1"/>
      <w:numFmt w:val="lowerRoman"/>
      <w:lvlText w:val="%9."/>
      <w:lvlJc w:val="right"/>
      <w:pPr>
        <w:ind w:left="6480" w:hanging="180"/>
      </w:pPr>
    </w:lvl>
  </w:abstractNum>
  <w:abstractNum w:abstractNumId="7">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1B2B6E"/>
    <w:multiLevelType w:val="hybridMultilevel"/>
    <w:tmpl w:val="98384100"/>
    <w:lvl w:ilvl="0" w:tplc="6A22F374">
      <w:start w:val="1"/>
      <w:numFmt w:val="bullet"/>
      <w:pStyle w:val="Heading4"/>
      <w:lvlText w:val=""/>
      <w:lvlJc w:val="left"/>
      <w:pPr>
        <w:ind w:left="360" w:hanging="360"/>
      </w:pPr>
      <w:rPr>
        <w:rFonts w:ascii="Symbol" w:hAnsi="Symbol" w:hint="default"/>
      </w:rPr>
    </w:lvl>
    <w:lvl w:ilvl="1" w:tplc="73D07084" w:tentative="1">
      <w:start w:val="1"/>
      <w:numFmt w:val="bullet"/>
      <w:lvlText w:val="o"/>
      <w:lvlJc w:val="left"/>
      <w:pPr>
        <w:ind w:left="1080" w:hanging="360"/>
      </w:pPr>
      <w:rPr>
        <w:rFonts w:ascii="Courier New" w:hAnsi="Courier New" w:cs="Courier New" w:hint="default"/>
      </w:rPr>
    </w:lvl>
    <w:lvl w:ilvl="2" w:tplc="FA4A9F04" w:tentative="1">
      <w:start w:val="1"/>
      <w:numFmt w:val="bullet"/>
      <w:lvlText w:val=""/>
      <w:lvlJc w:val="left"/>
      <w:pPr>
        <w:ind w:left="1800" w:hanging="360"/>
      </w:pPr>
      <w:rPr>
        <w:rFonts w:ascii="Wingdings" w:hAnsi="Wingdings" w:hint="default"/>
      </w:rPr>
    </w:lvl>
    <w:lvl w:ilvl="3" w:tplc="D368C2E4" w:tentative="1">
      <w:start w:val="1"/>
      <w:numFmt w:val="bullet"/>
      <w:lvlText w:val=""/>
      <w:lvlJc w:val="left"/>
      <w:pPr>
        <w:ind w:left="2520" w:hanging="360"/>
      </w:pPr>
      <w:rPr>
        <w:rFonts w:ascii="Symbol" w:hAnsi="Symbol" w:hint="default"/>
      </w:rPr>
    </w:lvl>
    <w:lvl w:ilvl="4" w:tplc="40A458D4" w:tentative="1">
      <w:start w:val="1"/>
      <w:numFmt w:val="bullet"/>
      <w:lvlText w:val="o"/>
      <w:lvlJc w:val="left"/>
      <w:pPr>
        <w:ind w:left="3240" w:hanging="360"/>
      </w:pPr>
      <w:rPr>
        <w:rFonts w:ascii="Courier New" w:hAnsi="Courier New" w:cs="Courier New" w:hint="default"/>
      </w:rPr>
    </w:lvl>
    <w:lvl w:ilvl="5" w:tplc="3446BB16" w:tentative="1">
      <w:start w:val="1"/>
      <w:numFmt w:val="bullet"/>
      <w:lvlText w:val=""/>
      <w:lvlJc w:val="left"/>
      <w:pPr>
        <w:ind w:left="3960" w:hanging="360"/>
      </w:pPr>
      <w:rPr>
        <w:rFonts w:ascii="Wingdings" w:hAnsi="Wingdings" w:hint="default"/>
      </w:rPr>
    </w:lvl>
    <w:lvl w:ilvl="6" w:tplc="E5160950" w:tentative="1">
      <w:start w:val="1"/>
      <w:numFmt w:val="bullet"/>
      <w:lvlText w:val=""/>
      <w:lvlJc w:val="left"/>
      <w:pPr>
        <w:ind w:left="4680" w:hanging="360"/>
      </w:pPr>
      <w:rPr>
        <w:rFonts w:ascii="Symbol" w:hAnsi="Symbol" w:hint="default"/>
      </w:rPr>
    </w:lvl>
    <w:lvl w:ilvl="7" w:tplc="7D98C89E" w:tentative="1">
      <w:start w:val="1"/>
      <w:numFmt w:val="bullet"/>
      <w:lvlText w:val="o"/>
      <w:lvlJc w:val="left"/>
      <w:pPr>
        <w:ind w:left="5400" w:hanging="360"/>
      </w:pPr>
      <w:rPr>
        <w:rFonts w:ascii="Courier New" w:hAnsi="Courier New" w:cs="Courier New" w:hint="default"/>
      </w:rPr>
    </w:lvl>
    <w:lvl w:ilvl="8" w:tplc="CB8A08D2" w:tentative="1">
      <w:start w:val="1"/>
      <w:numFmt w:val="bullet"/>
      <w:lvlText w:val=""/>
      <w:lvlJc w:val="left"/>
      <w:pPr>
        <w:ind w:left="6120" w:hanging="360"/>
      </w:pPr>
      <w:rPr>
        <w:rFonts w:ascii="Wingdings" w:hAnsi="Wingdings" w:hint="default"/>
      </w:rPr>
    </w:lvl>
  </w:abstractNum>
  <w:abstractNum w:abstractNumId="12">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8B21DB0"/>
    <w:multiLevelType w:val="hybridMultilevel"/>
    <w:tmpl w:val="CDBC2CB4"/>
    <w:lvl w:ilvl="0" w:tplc="BCB886B6">
      <w:start w:val="1"/>
      <w:numFmt w:val="decimal"/>
      <w:pStyle w:val="ListParagraph"/>
      <w:lvlText w:val="[%1]"/>
      <w:lvlJc w:val="left"/>
      <w:pPr>
        <w:ind w:left="785" w:hanging="360"/>
      </w:pPr>
      <w:rPr>
        <w:rFonts w:hint="default"/>
      </w:rPr>
    </w:lvl>
    <w:lvl w:ilvl="1" w:tplc="9F282A88">
      <w:start w:val="1"/>
      <w:numFmt w:val="lowerRoman"/>
      <w:lvlText w:val="%2."/>
      <w:lvlJc w:val="right"/>
      <w:pPr>
        <w:ind w:left="1440" w:hanging="360"/>
      </w:pPr>
    </w:lvl>
    <w:lvl w:ilvl="2" w:tplc="0166EDDE">
      <w:start w:val="1"/>
      <w:numFmt w:val="lowerLetter"/>
      <w:lvlText w:val="%3."/>
      <w:lvlJc w:val="left"/>
      <w:pPr>
        <w:ind w:left="2160" w:hanging="180"/>
      </w:pPr>
    </w:lvl>
    <w:lvl w:ilvl="3" w:tplc="1C7AEA24" w:tentative="1">
      <w:start w:val="1"/>
      <w:numFmt w:val="decimal"/>
      <w:lvlText w:val="%4."/>
      <w:lvlJc w:val="left"/>
      <w:pPr>
        <w:ind w:left="2880" w:hanging="360"/>
      </w:pPr>
    </w:lvl>
    <w:lvl w:ilvl="4" w:tplc="29A04DA8" w:tentative="1">
      <w:start w:val="1"/>
      <w:numFmt w:val="lowerLetter"/>
      <w:lvlText w:val="%5."/>
      <w:lvlJc w:val="left"/>
      <w:pPr>
        <w:ind w:left="3600" w:hanging="360"/>
      </w:pPr>
    </w:lvl>
    <w:lvl w:ilvl="5" w:tplc="BC1C2E38" w:tentative="1">
      <w:start w:val="1"/>
      <w:numFmt w:val="lowerRoman"/>
      <w:lvlText w:val="%6."/>
      <w:lvlJc w:val="right"/>
      <w:pPr>
        <w:ind w:left="4320" w:hanging="180"/>
      </w:pPr>
    </w:lvl>
    <w:lvl w:ilvl="6" w:tplc="81B46814" w:tentative="1">
      <w:start w:val="1"/>
      <w:numFmt w:val="decimal"/>
      <w:lvlText w:val="%7."/>
      <w:lvlJc w:val="left"/>
      <w:pPr>
        <w:ind w:left="5040" w:hanging="360"/>
      </w:pPr>
    </w:lvl>
    <w:lvl w:ilvl="7" w:tplc="25CEA18E" w:tentative="1">
      <w:start w:val="1"/>
      <w:numFmt w:val="lowerLetter"/>
      <w:lvlText w:val="%8."/>
      <w:lvlJc w:val="left"/>
      <w:pPr>
        <w:ind w:left="5760" w:hanging="360"/>
      </w:pPr>
    </w:lvl>
    <w:lvl w:ilvl="8" w:tplc="6362322E" w:tentative="1">
      <w:start w:val="1"/>
      <w:numFmt w:val="lowerRoman"/>
      <w:lvlText w:val="%9."/>
      <w:lvlJc w:val="right"/>
      <w:pPr>
        <w:ind w:left="6480" w:hanging="180"/>
      </w:pPr>
    </w:lvl>
  </w:abstractNum>
  <w:abstractNum w:abstractNumId="28">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27DC7"/>
    <w:rsid w:val="0003083D"/>
    <w:rsid w:val="00031143"/>
    <w:rsid w:val="000317A3"/>
    <w:rsid w:val="000317E8"/>
    <w:rsid w:val="00032013"/>
    <w:rsid w:val="0003256C"/>
    <w:rsid w:val="000326FA"/>
    <w:rsid w:val="00032C78"/>
    <w:rsid w:val="00032FC2"/>
    <w:rsid w:val="00033501"/>
    <w:rsid w:val="00034E27"/>
    <w:rsid w:val="00035538"/>
    <w:rsid w:val="00035BF5"/>
    <w:rsid w:val="00035F94"/>
    <w:rsid w:val="000367C1"/>
    <w:rsid w:val="00036BF1"/>
    <w:rsid w:val="00036C11"/>
    <w:rsid w:val="00036DF7"/>
    <w:rsid w:val="00037CA8"/>
    <w:rsid w:val="000406C2"/>
    <w:rsid w:val="00041D2B"/>
    <w:rsid w:val="000422BC"/>
    <w:rsid w:val="00044554"/>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BD3"/>
    <w:rsid w:val="00085CA1"/>
    <w:rsid w:val="0008603D"/>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B0D59"/>
    <w:rsid w:val="000B1AFB"/>
    <w:rsid w:val="000B1DAC"/>
    <w:rsid w:val="000B2058"/>
    <w:rsid w:val="000B2E75"/>
    <w:rsid w:val="000B36CC"/>
    <w:rsid w:val="000B3C6D"/>
    <w:rsid w:val="000B3F5A"/>
    <w:rsid w:val="000B4025"/>
    <w:rsid w:val="000B4FA4"/>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853"/>
    <w:rsid w:val="000C69AB"/>
    <w:rsid w:val="000C6A50"/>
    <w:rsid w:val="000C6AC9"/>
    <w:rsid w:val="000C7964"/>
    <w:rsid w:val="000C7ED3"/>
    <w:rsid w:val="000D085B"/>
    <w:rsid w:val="000D1433"/>
    <w:rsid w:val="000D205D"/>
    <w:rsid w:val="000D397F"/>
    <w:rsid w:val="000D5CB8"/>
    <w:rsid w:val="000D5F15"/>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1A"/>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2C54"/>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40E0"/>
    <w:rsid w:val="001152C2"/>
    <w:rsid w:val="0011543E"/>
    <w:rsid w:val="00115E3E"/>
    <w:rsid w:val="00116537"/>
    <w:rsid w:val="001167B4"/>
    <w:rsid w:val="001168EC"/>
    <w:rsid w:val="001176BA"/>
    <w:rsid w:val="0012079B"/>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6E96"/>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FEC"/>
    <w:rsid w:val="001933F8"/>
    <w:rsid w:val="00193443"/>
    <w:rsid w:val="00194A07"/>
    <w:rsid w:val="00194CC3"/>
    <w:rsid w:val="001964FD"/>
    <w:rsid w:val="00196F99"/>
    <w:rsid w:val="00197841"/>
    <w:rsid w:val="001A090F"/>
    <w:rsid w:val="001A1AF2"/>
    <w:rsid w:val="001A256F"/>
    <w:rsid w:val="001A2AA5"/>
    <w:rsid w:val="001A2B12"/>
    <w:rsid w:val="001A31CC"/>
    <w:rsid w:val="001A32B7"/>
    <w:rsid w:val="001A378D"/>
    <w:rsid w:val="001A3B2C"/>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476"/>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828"/>
    <w:rsid w:val="001D7FDC"/>
    <w:rsid w:val="001E1A37"/>
    <w:rsid w:val="001E1B80"/>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200569"/>
    <w:rsid w:val="00200B9D"/>
    <w:rsid w:val="002010BD"/>
    <w:rsid w:val="002018BC"/>
    <w:rsid w:val="00201ABE"/>
    <w:rsid w:val="0020249F"/>
    <w:rsid w:val="002026A5"/>
    <w:rsid w:val="00202998"/>
    <w:rsid w:val="00202EE5"/>
    <w:rsid w:val="002033C4"/>
    <w:rsid w:val="00203BD1"/>
    <w:rsid w:val="00203BE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E92"/>
    <w:rsid w:val="00226635"/>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4C6A"/>
    <w:rsid w:val="0024604F"/>
    <w:rsid w:val="002464C8"/>
    <w:rsid w:val="0024660E"/>
    <w:rsid w:val="00246AFF"/>
    <w:rsid w:val="00247716"/>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27"/>
    <w:rsid w:val="002751D7"/>
    <w:rsid w:val="0027529F"/>
    <w:rsid w:val="002759C1"/>
    <w:rsid w:val="00276EF5"/>
    <w:rsid w:val="002778E6"/>
    <w:rsid w:val="00280483"/>
    <w:rsid w:val="0028061C"/>
    <w:rsid w:val="002806B4"/>
    <w:rsid w:val="00280AF4"/>
    <w:rsid w:val="00280CBB"/>
    <w:rsid w:val="002818B8"/>
    <w:rsid w:val="00281CC6"/>
    <w:rsid w:val="00281F02"/>
    <w:rsid w:val="00282392"/>
    <w:rsid w:val="00282904"/>
    <w:rsid w:val="00282A32"/>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6AB"/>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55B"/>
    <w:rsid w:val="002B5D63"/>
    <w:rsid w:val="002B5F54"/>
    <w:rsid w:val="002B635C"/>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F91"/>
    <w:rsid w:val="002D7FE5"/>
    <w:rsid w:val="002E02B3"/>
    <w:rsid w:val="002E040F"/>
    <w:rsid w:val="002E080F"/>
    <w:rsid w:val="002E2E1B"/>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020"/>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903"/>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087"/>
    <w:rsid w:val="0038522C"/>
    <w:rsid w:val="003858FF"/>
    <w:rsid w:val="00386296"/>
    <w:rsid w:val="003865C5"/>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B7984"/>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0BF9"/>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52A4"/>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3FA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D1F"/>
    <w:rsid w:val="00472DD4"/>
    <w:rsid w:val="0047368E"/>
    <w:rsid w:val="00474244"/>
    <w:rsid w:val="004747D2"/>
    <w:rsid w:val="00474816"/>
    <w:rsid w:val="00474CD8"/>
    <w:rsid w:val="00474E07"/>
    <w:rsid w:val="00474F65"/>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1510"/>
    <w:rsid w:val="0049255B"/>
    <w:rsid w:val="00492898"/>
    <w:rsid w:val="00492C00"/>
    <w:rsid w:val="004952B8"/>
    <w:rsid w:val="0049637A"/>
    <w:rsid w:val="00496658"/>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2B4"/>
    <w:rsid w:val="004B48EF"/>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2D9"/>
    <w:rsid w:val="00507617"/>
    <w:rsid w:val="0051104C"/>
    <w:rsid w:val="005116DB"/>
    <w:rsid w:val="00511F5F"/>
    <w:rsid w:val="00512196"/>
    <w:rsid w:val="0051264E"/>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4F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F73"/>
    <w:rsid w:val="00552301"/>
    <w:rsid w:val="0055269F"/>
    <w:rsid w:val="00553046"/>
    <w:rsid w:val="00553E62"/>
    <w:rsid w:val="005542D3"/>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57"/>
    <w:rsid w:val="005A0C98"/>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93A"/>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3E00"/>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3B3"/>
    <w:rsid w:val="005F2527"/>
    <w:rsid w:val="005F26F1"/>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3ADD"/>
    <w:rsid w:val="006043B4"/>
    <w:rsid w:val="006044F8"/>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7FA"/>
    <w:rsid w:val="006225F0"/>
    <w:rsid w:val="00622DB5"/>
    <w:rsid w:val="00623AD0"/>
    <w:rsid w:val="0062486B"/>
    <w:rsid w:val="00624CE5"/>
    <w:rsid w:val="00624DB9"/>
    <w:rsid w:val="00625C02"/>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A88"/>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0769"/>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4D2"/>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2E7"/>
    <w:rsid w:val="006D1CA6"/>
    <w:rsid w:val="006D1D47"/>
    <w:rsid w:val="006D30E8"/>
    <w:rsid w:val="006D3D42"/>
    <w:rsid w:val="006D4688"/>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16C"/>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350"/>
    <w:rsid w:val="00713537"/>
    <w:rsid w:val="0071383C"/>
    <w:rsid w:val="0071385B"/>
    <w:rsid w:val="00713998"/>
    <w:rsid w:val="00713E3C"/>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3F15"/>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6F0"/>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07982"/>
    <w:rsid w:val="008100D5"/>
    <w:rsid w:val="00810D76"/>
    <w:rsid w:val="00811809"/>
    <w:rsid w:val="00811A3B"/>
    <w:rsid w:val="00811BCB"/>
    <w:rsid w:val="00811EFF"/>
    <w:rsid w:val="00813019"/>
    <w:rsid w:val="00813027"/>
    <w:rsid w:val="008135BC"/>
    <w:rsid w:val="00813636"/>
    <w:rsid w:val="0081399D"/>
    <w:rsid w:val="00814828"/>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07C6"/>
    <w:rsid w:val="00831A23"/>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86B"/>
    <w:rsid w:val="00855557"/>
    <w:rsid w:val="00855F2F"/>
    <w:rsid w:val="008562F3"/>
    <w:rsid w:val="0085654E"/>
    <w:rsid w:val="00857940"/>
    <w:rsid w:val="008608C8"/>
    <w:rsid w:val="00860963"/>
    <w:rsid w:val="00861FB8"/>
    <w:rsid w:val="00862166"/>
    <w:rsid w:val="00862ECD"/>
    <w:rsid w:val="00862F23"/>
    <w:rsid w:val="00863747"/>
    <w:rsid w:val="00863CD7"/>
    <w:rsid w:val="00864245"/>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4BF"/>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3B"/>
    <w:rsid w:val="008A6FE2"/>
    <w:rsid w:val="008B09B3"/>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776"/>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6F03"/>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42E"/>
    <w:rsid w:val="009468F8"/>
    <w:rsid w:val="00946A7B"/>
    <w:rsid w:val="00950554"/>
    <w:rsid w:val="009509B0"/>
    <w:rsid w:val="00951056"/>
    <w:rsid w:val="009515A7"/>
    <w:rsid w:val="009515DF"/>
    <w:rsid w:val="0095188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6012C"/>
    <w:rsid w:val="00960F48"/>
    <w:rsid w:val="00961B6F"/>
    <w:rsid w:val="00961F5A"/>
    <w:rsid w:val="00962B73"/>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5A0"/>
    <w:rsid w:val="00991788"/>
    <w:rsid w:val="00993284"/>
    <w:rsid w:val="009935BC"/>
    <w:rsid w:val="009942C8"/>
    <w:rsid w:val="00994782"/>
    <w:rsid w:val="00994F86"/>
    <w:rsid w:val="00996241"/>
    <w:rsid w:val="009A0084"/>
    <w:rsid w:val="009A0714"/>
    <w:rsid w:val="009A1B74"/>
    <w:rsid w:val="009A31B5"/>
    <w:rsid w:val="009A3590"/>
    <w:rsid w:val="009A3C0C"/>
    <w:rsid w:val="009A42B1"/>
    <w:rsid w:val="009A494F"/>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181"/>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33BE"/>
    <w:rsid w:val="00A14016"/>
    <w:rsid w:val="00A15373"/>
    <w:rsid w:val="00A156D4"/>
    <w:rsid w:val="00A16AC7"/>
    <w:rsid w:val="00A16AFB"/>
    <w:rsid w:val="00A17BE4"/>
    <w:rsid w:val="00A2083F"/>
    <w:rsid w:val="00A2172C"/>
    <w:rsid w:val="00A2199D"/>
    <w:rsid w:val="00A21AD0"/>
    <w:rsid w:val="00A21D10"/>
    <w:rsid w:val="00A21F35"/>
    <w:rsid w:val="00A21F97"/>
    <w:rsid w:val="00A21FF0"/>
    <w:rsid w:val="00A231B4"/>
    <w:rsid w:val="00A231B8"/>
    <w:rsid w:val="00A234DC"/>
    <w:rsid w:val="00A23C60"/>
    <w:rsid w:val="00A23D06"/>
    <w:rsid w:val="00A23F16"/>
    <w:rsid w:val="00A24788"/>
    <w:rsid w:val="00A258C9"/>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D7"/>
    <w:rsid w:val="00A3352A"/>
    <w:rsid w:val="00A33AB0"/>
    <w:rsid w:val="00A3441D"/>
    <w:rsid w:val="00A34A5F"/>
    <w:rsid w:val="00A3542D"/>
    <w:rsid w:val="00A35ADC"/>
    <w:rsid w:val="00A35D9C"/>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3B5D"/>
    <w:rsid w:val="00A63B87"/>
    <w:rsid w:val="00A65B37"/>
    <w:rsid w:val="00A65F4B"/>
    <w:rsid w:val="00A66064"/>
    <w:rsid w:val="00A66AA6"/>
    <w:rsid w:val="00A67D95"/>
    <w:rsid w:val="00A70939"/>
    <w:rsid w:val="00A71042"/>
    <w:rsid w:val="00A7213A"/>
    <w:rsid w:val="00A722EE"/>
    <w:rsid w:val="00A72827"/>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9AA"/>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2F2C"/>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493"/>
    <w:rsid w:val="00AF47BF"/>
    <w:rsid w:val="00AF50E7"/>
    <w:rsid w:val="00AF5BC0"/>
    <w:rsid w:val="00AF5CD3"/>
    <w:rsid w:val="00AF5DC3"/>
    <w:rsid w:val="00AF609D"/>
    <w:rsid w:val="00AF610B"/>
    <w:rsid w:val="00AF7688"/>
    <w:rsid w:val="00B0025E"/>
    <w:rsid w:val="00B004CF"/>
    <w:rsid w:val="00B01458"/>
    <w:rsid w:val="00B01887"/>
    <w:rsid w:val="00B019C7"/>
    <w:rsid w:val="00B02205"/>
    <w:rsid w:val="00B02683"/>
    <w:rsid w:val="00B02807"/>
    <w:rsid w:val="00B0288D"/>
    <w:rsid w:val="00B033C9"/>
    <w:rsid w:val="00B03873"/>
    <w:rsid w:val="00B0392C"/>
    <w:rsid w:val="00B06160"/>
    <w:rsid w:val="00B065AF"/>
    <w:rsid w:val="00B06E92"/>
    <w:rsid w:val="00B07001"/>
    <w:rsid w:val="00B0728E"/>
    <w:rsid w:val="00B07AD5"/>
    <w:rsid w:val="00B10206"/>
    <w:rsid w:val="00B107A6"/>
    <w:rsid w:val="00B10E5F"/>
    <w:rsid w:val="00B11338"/>
    <w:rsid w:val="00B1142A"/>
    <w:rsid w:val="00B12050"/>
    <w:rsid w:val="00B1242A"/>
    <w:rsid w:val="00B1259A"/>
    <w:rsid w:val="00B125F6"/>
    <w:rsid w:val="00B132F9"/>
    <w:rsid w:val="00B13350"/>
    <w:rsid w:val="00B13372"/>
    <w:rsid w:val="00B135BA"/>
    <w:rsid w:val="00B141D9"/>
    <w:rsid w:val="00B1535F"/>
    <w:rsid w:val="00B153EA"/>
    <w:rsid w:val="00B154B4"/>
    <w:rsid w:val="00B156EB"/>
    <w:rsid w:val="00B16070"/>
    <w:rsid w:val="00B161A4"/>
    <w:rsid w:val="00B171DC"/>
    <w:rsid w:val="00B17BC2"/>
    <w:rsid w:val="00B2159F"/>
    <w:rsid w:val="00B22812"/>
    <w:rsid w:val="00B22A5D"/>
    <w:rsid w:val="00B235C8"/>
    <w:rsid w:val="00B23EEE"/>
    <w:rsid w:val="00B24099"/>
    <w:rsid w:val="00B25456"/>
    <w:rsid w:val="00B2547F"/>
    <w:rsid w:val="00B25D54"/>
    <w:rsid w:val="00B279BE"/>
    <w:rsid w:val="00B30021"/>
    <w:rsid w:val="00B31348"/>
    <w:rsid w:val="00B3155A"/>
    <w:rsid w:val="00B33C5F"/>
    <w:rsid w:val="00B34B68"/>
    <w:rsid w:val="00B3529A"/>
    <w:rsid w:val="00B3588B"/>
    <w:rsid w:val="00B358D0"/>
    <w:rsid w:val="00B362DD"/>
    <w:rsid w:val="00B36472"/>
    <w:rsid w:val="00B366A9"/>
    <w:rsid w:val="00B36C5E"/>
    <w:rsid w:val="00B36F7F"/>
    <w:rsid w:val="00B40239"/>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26B"/>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191"/>
    <w:rsid w:val="00B67332"/>
    <w:rsid w:val="00B67737"/>
    <w:rsid w:val="00B67A42"/>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3E6B"/>
    <w:rsid w:val="00B856C8"/>
    <w:rsid w:val="00B8596A"/>
    <w:rsid w:val="00B859FB"/>
    <w:rsid w:val="00B85B7E"/>
    <w:rsid w:val="00B85CBA"/>
    <w:rsid w:val="00B8612A"/>
    <w:rsid w:val="00B86648"/>
    <w:rsid w:val="00B86863"/>
    <w:rsid w:val="00B86A40"/>
    <w:rsid w:val="00B8776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6DC6"/>
    <w:rsid w:val="00BA71ED"/>
    <w:rsid w:val="00BA73A2"/>
    <w:rsid w:val="00BA760F"/>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2154"/>
    <w:rsid w:val="00C03A93"/>
    <w:rsid w:val="00C03B97"/>
    <w:rsid w:val="00C040AA"/>
    <w:rsid w:val="00C04C1E"/>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971"/>
    <w:rsid w:val="00C50791"/>
    <w:rsid w:val="00C512B8"/>
    <w:rsid w:val="00C513DC"/>
    <w:rsid w:val="00C5149B"/>
    <w:rsid w:val="00C51CAF"/>
    <w:rsid w:val="00C51E28"/>
    <w:rsid w:val="00C52413"/>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C19"/>
    <w:rsid w:val="00C623B2"/>
    <w:rsid w:val="00C623FA"/>
    <w:rsid w:val="00C62472"/>
    <w:rsid w:val="00C62CE8"/>
    <w:rsid w:val="00C6401B"/>
    <w:rsid w:val="00C643E5"/>
    <w:rsid w:val="00C6475C"/>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0AC"/>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27DE"/>
    <w:rsid w:val="00C9368F"/>
    <w:rsid w:val="00C937C7"/>
    <w:rsid w:val="00C93EC5"/>
    <w:rsid w:val="00C9428D"/>
    <w:rsid w:val="00C95080"/>
    <w:rsid w:val="00C9608A"/>
    <w:rsid w:val="00C969FF"/>
    <w:rsid w:val="00C96C9A"/>
    <w:rsid w:val="00C96F9A"/>
    <w:rsid w:val="00C97578"/>
    <w:rsid w:val="00CA040E"/>
    <w:rsid w:val="00CA0CBB"/>
    <w:rsid w:val="00CA102C"/>
    <w:rsid w:val="00CA115E"/>
    <w:rsid w:val="00CA1519"/>
    <w:rsid w:val="00CA1B89"/>
    <w:rsid w:val="00CA20F1"/>
    <w:rsid w:val="00CA25AD"/>
    <w:rsid w:val="00CA26A1"/>
    <w:rsid w:val="00CA308B"/>
    <w:rsid w:val="00CA336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AEB"/>
    <w:rsid w:val="00CC0C5E"/>
    <w:rsid w:val="00CC1387"/>
    <w:rsid w:val="00CC144C"/>
    <w:rsid w:val="00CC148A"/>
    <w:rsid w:val="00CC2105"/>
    <w:rsid w:val="00CC2946"/>
    <w:rsid w:val="00CC2FA4"/>
    <w:rsid w:val="00CC325E"/>
    <w:rsid w:val="00CC469C"/>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6647"/>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0FE2"/>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36E49"/>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70821"/>
    <w:rsid w:val="00D70922"/>
    <w:rsid w:val="00D70F2A"/>
    <w:rsid w:val="00D713BE"/>
    <w:rsid w:val="00D71FAA"/>
    <w:rsid w:val="00D7220E"/>
    <w:rsid w:val="00D724E1"/>
    <w:rsid w:val="00D72B25"/>
    <w:rsid w:val="00D72C0C"/>
    <w:rsid w:val="00D72C27"/>
    <w:rsid w:val="00D732E4"/>
    <w:rsid w:val="00D7435A"/>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6D9"/>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0E2"/>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6DE8"/>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5C68"/>
    <w:rsid w:val="00DC7126"/>
    <w:rsid w:val="00DC71DF"/>
    <w:rsid w:val="00DC7645"/>
    <w:rsid w:val="00DC7A82"/>
    <w:rsid w:val="00DD05AB"/>
    <w:rsid w:val="00DD0721"/>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BE7"/>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9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69D2"/>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368"/>
    <w:rsid w:val="00E937ED"/>
    <w:rsid w:val="00E946B0"/>
    <w:rsid w:val="00E94B16"/>
    <w:rsid w:val="00E94BC0"/>
    <w:rsid w:val="00E95F8E"/>
    <w:rsid w:val="00E96154"/>
    <w:rsid w:val="00E962FF"/>
    <w:rsid w:val="00E96378"/>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92C"/>
    <w:rsid w:val="00EE4AD2"/>
    <w:rsid w:val="00EE5650"/>
    <w:rsid w:val="00EE5916"/>
    <w:rsid w:val="00EE5938"/>
    <w:rsid w:val="00EE6198"/>
    <w:rsid w:val="00EE67CD"/>
    <w:rsid w:val="00EE67D4"/>
    <w:rsid w:val="00EE6920"/>
    <w:rsid w:val="00EE70B1"/>
    <w:rsid w:val="00EF04ED"/>
    <w:rsid w:val="00EF0B99"/>
    <w:rsid w:val="00EF0CDB"/>
    <w:rsid w:val="00EF0ED8"/>
    <w:rsid w:val="00EF2C17"/>
    <w:rsid w:val="00EF2FE1"/>
    <w:rsid w:val="00EF3095"/>
    <w:rsid w:val="00EF3454"/>
    <w:rsid w:val="00EF38F3"/>
    <w:rsid w:val="00EF46B6"/>
    <w:rsid w:val="00EF51D1"/>
    <w:rsid w:val="00EF53BF"/>
    <w:rsid w:val="00EF5FD5"/>
    <w:rsid w:val="00EF7C3E"/>
    <w:rsid w:val="00EF7E36"/>
    <w:rsid w:val="00F0022D"/>
    <w:rsid w:val="00F0022E"/>
    <w:rsid w:val="00F00A47"/>
    <w:rsid w:val="00F018A4"/>
    <w:rsid w:val="00F01B76"/>
    <w:rsid w:val="00F029E0"/>
    <w:rsid w:val="00F0376A"/>
    <w:rsid w:val="00F03C7D"/>
    <w:rsid w:val="00F03EE2"/>
    <w:rsid w:val="00F03FDC"/>
    <w:rsid w:val="00F03FE1"/>
    <w:rsid w:val="00F0416B"/>
    <w:rsid w:val="00F0446B"/>
    <w:rsid w:val="00F04785"/>
    <w:rsid w:val="00F060B7"/>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4C1"/>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8F0"/>
    <w:rsid w:val="00F25AB1"/>
    <w:rsid w:val="00F26673"/>
    <w:rsid w:val="00F309AF"/>
    <w:rsid w:val="00F30F61"/>
    <w:rsid w:val="00F30F82"/>
    <w:rsid w:val="00F311A7"/>
    <w:rsid w:val="00F3148C"/>
    <w:rsid w:val="00F31E74"/>
    <w:rsid w:val="00F32515"/>
    <w:rsid w:val="00F32548"/>
    <w:rsid w:val="00F32DA0"/>
    <w:rsid w:val="00F339E1"/>
    <w:rsid w:val="00F33C82"/>
    <w:rsid w:val="00F34380"/>
    <w:rsid w:val="00F3452B"/>
    <w:rsid w:val="00F348E1"/>
    <w:rsid w:val="00F349BE"/>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863"/>
    <w:rsid w:val="00F47A94"/>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C0B"/>
    <w:rsid w:val="00F96C08"/>
    <w:rsid w:val="00F973EF"/>
    <w:rsid w:val="00F97AB2"/>
    <w:rsid w:val="00F97EF0"/>
    <w:rsid w:val="00FA00F3"/>
    <w:rsid w:val="00FA0C78"/>
    <w:rsid w:val="00FA120D"/>
    <w:rsid w:val="00FA1222"/>
    <w:rsid w:val="00FA1428"/>
    <w:rsid w:val="00FA1689"/>
    <w:rsid w:val="00FA1C20"/>
    <w:rsid w:val="00FA2864"/>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0C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FC3"/>
    <w:rsid w:val="00FF034F"/>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E50"/>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DE487-DE3B-4BA8-A43D-58159DC1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Mokone</cp:lastModifiedBy>
  <cp:revision>2</cp:revision>
  <cp:lastPrinted>2023-08-08T13:40:00Z</cp:lastPrinted>
  <dcterms:created xsi:type="dcterms:W3CDTF">2023-08-14T11:35:00Z</dcterms:created>
  <dcterms:modified xsi:type="dcterms:W3CDTF">2023-08-14T11:35:00Z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