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20C89" w14:textId="77777777" w:rsidR="00EE4EBC" w:rsidRPr="003C2D73" w:rsidRDefault="00EE4EBC" w:rsidP="00EE4EBC">
      <w:pPr>
        <w:spacing w:line="480" w:lineRule="auto"/>
        <w:jc w:val="both"/>
        <w:rPr>
          <w:rFonts w:cs="Arial"/>
          <w:lang w:val="en-US"/>
        </w:rPr>
      </w:pPr>
      <w:bookmarkStart w:id="0" w:name="_GoBack"/>
      <w:bookmarkEnd w:id="0"/>
    </w:p>
    <w:p w14:paraId="0D775914" w14:textId="77777777" w:rsidR="00A1646A" w:rsidRPr="006B04C9" w:rsidRDefault="00A1646A" w:rsidP="00A1646A">
      <w:pPr>
        <w:spacing w:after="160" w:line="240" w:lineRule="auto"/>
        <w:jc w:val="center"/>
        <w:outlineLvl w:val="0"/>
        <w:rPr>
          <w:rFonts w:cs="Arial"/>
          <w:b/>
          <w:bCs/>
          <w:kern w:val="32"/>
          <w:szCs w:val="22"/>
          <w:lang w:val="en-GB"/>
        </w:rPr>
      </w:pPr>
      <w:bookmarkStart w:id="1" w:name="_Hlk138190755"/>
      <w:r w:rsidRPr="006B04C9">
        <w:rPr>
          <w:rFonts w:ascii="Times New Roman" w:hAnsi="Times New Roman"/>
          <w:noProof/>
          <w:sz w:val="28"/>
          <w:szCs w:val="28"/>
          <w:lang w:val="en-US"/>
        </w:rPr>
        <w:drawing>
          <wp:inline distT="0" distB="0" distL="0" distR="0" wp14:anchorId="719AC158" wp14:editId="58F84A66">
            <wp:extent cx="1924050" cy="1454150"/>
            <wp:effectExtent l="0" t="0" r="0" b="0"/>
            <wp:docPr id="2" name="Picture 2"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36A11B39" w14:textId="77777777" w:rsidR="00A1646A" w:rsidRPr="006B04C9" w:rsidRDefault="00A1646A" w:rsidP="00A1646A">
      <w:pPr>
        <w:spacing w:after="160" w:line="240" w:lineRule="auto"/>
        <w:jc w:val="center"/>
        <w:outlineLvl w:val="0"/>
        <w:rPr>
          <w:rFonts w:cs="Arial"/>
          <w:b/>
          <w:bCs/>
          <w:kern w:val="32"/>
          <w:szCs w:val="22"/>
          <w:lang w:val="en-GB"/>
        </w:rPr>
      </w:pPr>
      <w:r w:rsidRPr="006B04C9">
        <w:rPr>
          <w:rFonts w:cs="Arial"/>
          <w:b/>
          <w:bCs/>
          <w:kern w:val="32"/>
          <w:szCs w:val="22"/>
          <w:lang w:val="en-GB"/>
        </w:rPr>
        <w:t>IN THE HIGH COURT OF SOUTH AFRICA</w:t>
      </w:r>
    </w:p>
    <w:p w14:paraId="5D9E3412" w14:textId="77777777" w:rsidR="00A1646A" w:rsidRPr="006B04C9" w:rsidRDefault="00A1646A" w:rsidP="00A1646A">
      <w:pPr>
        <w:spacing w:after="160" w:line="240" w:lineRule="auto"/>
        <w:jc w:val="center"/>
        <w:outlineLvl w:val="0"/>
        <w:rPr>
          <w:rFonts w:cs="Arial"/>
          <w:b/>
          <w:bCs/>
          <w:kern w:val="32"/>
          <w:szCs w:val="22"/>
          <w:lang w:val="en-GB"/>
        </w:rPr>
      </w:pPr>
      <w:r w:rsidRPr="006B04C9">
        <w:rPr>
          <w:rFonts w:cs="Arial"/>
          <w:b/>
          <w:bCs/>
          <w:kern w:val="32"/>
          <w:szCs w:val="22"/>
          <w:lang w:val="en-GB"/>
        </w:rPr>
        <w:t>(GAUTENG DIVISION, PRETORIA)</w:t>
      </w:r>
    </w:p>
    <w:p w14:paraId="194072A1" w14:textId="77777777" w:rsidR="00A1646A" w:rsidRPr="006B04C9" w:rsidRDefault="00A1646A" w:rsidP="00A1646A">
      <w:pPr>
        <w:spacing w:after="160" w:line="240" w:lineRule="auto"/>
        <w:outlineLvl w:val="0"/>
        <w:rPr>
          <w:rFonts w:cs="Arial"/>
          <w:kern w:val="32"/>
          <w:szCs w:val="22"/>
          <w:lang w:val="en-GB"/>
        </w:rPr>
      </w:pPr>
    </w:p>
    <w:p w14:paraId="587A4707" w14:textId="7FBA0C36" w:rsidR="00A1646A" w:rsidRPr="006B04C9" w:rsidRDefault="00A1646A" w:rsidP="00A1646A">
      <w:pPr>
        <w:spacing w:after="160" w:line="240" w:lineRule="auto"/>
        <w:jc w:val="right"/>
        <w:outlineLvl w:val="0"/>
        <w:rPr>
          <w:rFonts w:cs="Arial"/>
          <w:b/>
          <w:bCs/>
          <w:kern w:val="32"/>
          <w:szCs w:val="22"/>
          <w:lang w:val="en-GB"/>
        </w:rPr>
      </w:pPr>
      <w:r w:rsidRPr="006B04C9">
        <w:rPr>
          <w:rFonts w:cs="Arial"/>
          <w:kern w:val="32"/>
          <w:szCs w:val="22"/>
          <w:lang w:val="en-GB"/>
        </w:rPr>
        <w:t xml:space="preserve">Case No. </w:t>
      </w:r>
      <w:r w:rsidR="007A0C3A">
        <w:rPr>
          <w:rFonts w:cs="Arial"/>
          <w:b/>
          <w:bCs/>
          <w:kern w:val="32"/>
          <w:szCs w:val="22"/>
          <w:lang w:val="en-GB"/>
        </w:rPr>
        <w:t>51998</w:t>
      </w:r>
      <w:r w:rsidRPr="006B04C9">
        <w:rPr>
          <w:rFonts w:cs="Arial"/>
          <w:b/>
          <w:bCs/>
          <w:kern w:val="32"/>
          <w:szCs w:val="22"/>
          <w:lang w:val="en-GB"/>
        </w:rPr>
        <w:t>/2021</w:t>
      </w:r>
    </w:p>
    <w:p w14:paraId="6603CEC0" w14:textId="77777777" w:rsidR="00A1646A" w:rsidRPr="006B04C9" w:rsidRDefault="00A1646A" w:rsidP="00A1646A">
      <w:pPr>
        <w:spacing w:after="160" w:line="240" w:lineRule="auto"/>
        <w:outlineLvl w:val="0"/>
        <w:rPr>
          <w:rFonts w:cs="Arial"/>
          <w:b/>
          <w:bCs/>
          <w:color w:val="FF0000"/>
          <w:kern w:val="32"/>
          <w:szCs w:val="22"/>
          <w:lang w:val="en-GB"/>
        </w:rPr>
      </w:pPr>
      <w:r w:rsidRPr="006B04C9">
        <w:rPr>
          <w:rFonts w:eastAsia="Calibri" w:cs="Arial"/>
          <w:noProof/>
          <w:lang w:val="en-US"/>
        </w:rPr>
        <mc:AlternateContent>
          <mc:Choice Requires="wps">
            <w:drawing>
              <wp:anchor distT="0" distB="0" distL="114300" distR="114300" simplePos="0" relativeHeight="251661312" behindDoc="0" locked="0" layoutInCell="1" allowOverlap="1" wp14:anchorId="484B0797" wp14:editId="016F1236">
                <wp:simplePos x="0" y="0"/>
                <wp:positionH relativeFrom="margin">
                  <wp:posOffset>18415</wp:posOffset>
                </wp:positionH>
                <wp:positionV relativeFrom="paragraph">
                  <wp:posOffset>79375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07BC8A4B" w14:textId="77777777" w:rsidR="00A1646A" w:rsidRPr="007C20F4" w:rsidRDefault="00A1646A" w:rsidP="00A1646A">
                            <w:pPr>
                              <w:widowControl w:val="0"/>
                              <w:numPr>
                                <w:ilvl w:val="0"/>
                                <w:numId w:val="4"/>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67120934" w14:textId="77777777" w:rsidR="00A1646A" w:rsidRPr="007C20F4" w:rsidRDefault="00A1646A" w:rsidP="00A1646A">
                            <w:pPr>
                              <w:widowControl w:val="0"/>
                              <w:numPr>
                                <w:ilvl w:val="0"/>
                                <w:numId w:val="4"/>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OTHERS JUDGES: NO</w:t>
                            </w:r>
                          </w:p>
                          <w:p w14:paraId="39F8054E" w14:textId="127A9800" w:rsidR="00A1646A" w:rsidRPr="007C20F4" w:rsidRDefault="00A1646A" w:rsidP="00A1646A">
                            <w:pPr>
                              <w:widowControl w:val="0"/>
                              <w:numPr>
                                <w:ilvl w:val="0"/>
                                <w:numId w:val="4"/>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0C59A6">
                              <w:rPr>
                                <w:rFonts w:ascii="Calibri" w:hAnsi="Calibri"/>
                                <w:sz w:val="20"/>
                                <w:lang w:val="af-ZA"/>
                              </w:rPr>
                              <w:t>7</w:t>
                            </w:r>
                            <w:r w:rsidR="009A086F">
                              <w:rPr>
                                <w:rFonts w:ascii="Calibri" w:hAnsi="Calibri"/>
                                <w:sz w:val="20"/>
                                <w:lang w:val="af-ZA"/>
                              </w:rPr>
                              <w:t>/</w:t>
                            </w:r>
                            <w:r w:rsidR="000C59A6">
                              <w:rPr>
                                <w:rFonts w:ascii="Calibri" w:hAnsi="Calibri"/>
                                <w:sz w:val="20"/>
                                <w:lang w:val="af-ZA"/>
                              </w:rPr>
                              <w:t>8</w:t>
                            </w:r>
                            <w:r w:rsidR="009A086F">
                              <w:rPr>
                                <w:rFonts w:ascii="Calibri" w:hAnsi="Calibri"/>
                                <w:sz w:val="20"/>
                                <w:lang w:val="af-ZA"/>
                              </w:rPr>
                              <w:t>/2023</w:t>
                            </w:r>
                          </w:p>
                          <w:p w14:paraId="7AF04D03" w14:textId="77777777" w:rsidR="00A1646A" w:rsidRDefault="00A1646A" w:rsidP="00A1646A">
                            <w:pPr>
                              <w:tabs>
                                <w:tab w:val="center" w:pos="4320"/>
                                <w:tab w:val="right" w:pos="8640"/>
                              </w:tabs>
                              <w:spacing w:after="200" w:line="276" w:lineRule="auto"/>
                              <w:ind w:left="720"/>
                              <w:contextualSpacing/>
                              <w:rPr>
                                <w:rFonts w:ascii="Calibri" w:hAnsi="Calibri"/>
                                <w:sz w:val="20"/>
                                <w:lang w:val="af-ZA"/>
                              </w:rPr>
                            </w:pPr>
                          </w:p>
                          <w:p w14:paraId="6FC75776" w14:textId="48772431" w:rsidR="00A1646A" w:rsidRPr="00C7029A" w:rsidRDefault="00A1646A" w:rsidP="00A1646A">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Pr>
                                <w:rFonts w:ascii="Calibri" w:eastAsia="Calibri" w:hAnsi="Calibri"/>
                                <w:b/>
                                <w:bCs/>
                                <w:noProof/>
                                <w:lang w:eastAsia="en-ZA"/>
                              </w:rPr>
                              <w:tab/>
                            </w:r>
                            <w:r w:rsidRPr="00C7029A">
                              <w:rPr>
                                <w:rFonts w:ascii="Calibri" w:hAnsi="Calibri"/>
                                <w:sz w:val="20"/>
                                <w:lang w:val="af-ZA"/>
                              </w:rPr>
                              <w:t xml:space="preserve"> </w:t>
                            </w:r>
                            <w:r w:rsidR="0086489B">
                              <w:rPr>
                                <w:rFonts w:ascii="Calibri" w:hAnsi="Calibri"/>
                                <w:sz w:val="20"/>
                                <w:lang w:val="af-ZA"/>
                              </w:rPr>
                              <w:t xml:space="preserve">8 August </w:t>
                            </w:r>
                            <w:r w:rsidRPr="009A086F">
                              <w:rPr>
                                <w:rFonts w:ascii="Calibri" w:hAnsi="Calibri"/>
                                <w:sz w:val="20"/>
                                <w:lang w:val="af-ZA"/>
                              </w:rPr>
                              <w:t>2023</w:t>
                            </w:r>
                          </w:p>
                          <w:p w14:paraId="4D732EF2" w14:textId="77777777" w:rsidR="00A1646A" w:rsidRPr="007C20F4" w:rsidRDefault="00A1646A" w:rsidP="00A1646A">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4B0797" id="_x0000_t202" coordsize="21600,21600" o:spt="202" path="m,l,21600r21600,l21600,xe">
                <v:stroke joinstyle="miter"/>
                <v:path gradientshapeok="t" o:connecttype="rect"/>
              </v:shapetype>
              <v:shape id="Text Box 6" o:spid="_x0000_s1026" type="#_x0000_t202" style="position:absolute;margin-left:1.45pt;margin-top:6.25pt;width:244pt;height: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">
                <v:textbox>
                  <w:txbxContent>
                    <w:p w14:paraId="07BC8A4B" w14:textId="77777777" w:rsidR="00A1646A" w:rsidRPr="007C20F4" w:rsidRDefault="00A1646A" w:rsidP="00A1646A">
                      <w:pPr>
                        <w:widowControl w:val="0"/>
                        <w:numPr>
                          <w:ilvl w:val="0"/>
                          <w:numId w:val="4"/>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67120934" w14:textId="77777777" w:rsidR="00A1646A" w:rsidRPr="007C20F4" w:rsidRDefault="00A1646A" w:rsidP="00A1646A">
                      <w:pPr>
                        <w:widowControl w:val="0"/>
                        <w:numPr>
                          <w:ilvl w:val="0"/>
                          <w:numId w:val="4"/>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OTHERS JUDGES: NO</w:t>
                      </w:r>
                    </w:p>
                    <w:p w14:paraId="39F8054E" w14:textId="127A9800" w:rsidR="00A1646A" w:rsidRPr="007C20F4" w:rsidRDefault="00A1646A" w:rsidP="00A1646A">
                      <w:pPr>
                        <w:widowControl w:val="0"/>
                        <w:numPr>
                          <w:ilvl w:val="0"/>
                          <w:numId w:val="4"/>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0C59A6">
                        <w:rPr>
                          <w:rFonts w:ascii="Calibri" w:hAnsi="Calibri"/>
                          <w:sz w:val="20"/>
                          <w:lang w:val="af-ZA"/>
                        </w:rPr>
                        <w:t>7</w:t>
                      </w:r>
                      <w:r w:rsidR="009A086F">
                        <w:rPr>
                          <w:rFonts w:ascii="Calibri" w:hAnsi="Calibri"/>
                          <w:sz w:val="20"/>
                          <w:lang w:val="af-ZA"/>
                        </w:rPr>
                        <w:t>/</w:t>
                      </w:r>
                      <w:r w:rsidR="000C59A6">
                        <w:rPr>
                          <w:rFonts w:ascii="Calibri" w:hAnsi="Calibri"/>
                          <w:sz w:val="20"/>
                          <w:lang w:val="af-ZA"/>
                        </w:rPr>
                        <w:t>8</w:t>
                      </w:r>
                      <w:r w:rsidR="009A086F">
                        <w:rPr>
                          <w:rFonts w:ascii="Calibri" w:hAnsi="Calibri"/>
                          <w:sz w:val="20"/>
                          <w:lang w:val="af-ZA"/>
                        </w:rPr>
                        <w:t>/2023</w:t>
                      </w:r>
                    </w:p>
                    <w:p w14:paraId="7AF04D03" w14:textId="77777777" w:rsidR="00A1646A" w:rsidRDefault="00A1646A" w:rsidP="00A1646A">
                      <w:pPr>
                        <w:tabs>
                          <w:tab w:val="center" w:pos="4320"/>
                          <w:tab w:val="right" w:pos="8640"/>
                        </w:tabs>
                        <w:spacing w:after="200" w:line="276" w:lineRule="auto"/>
                        <w:ind w:left="720"/>
                        <w:contextualSpacing/>
                        <w:rPr>
                          <w:rFonts w:ascii="Calibri" w:hAnsi="Calibri"/>
                          <w:sz w:val="20"/>
                          <w:lang w:val="af-ZA"/>
                        </w:rPr>
                      </w:pPr>
                    </w:p>
                    <w:p w14:paraId="6FC75776" w14:textId="48772431" w:rsidR="00A1646A" w:rsidRPr="00C7029A" w:rsidRDefault="00A1646A" w:rsidP="00A1646A">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Pr>
                          <w:rFonts w:ascii="Calibri" w:eastAsia="Calibri" w:hAnsi="Calibri"/>
                          <w:b/>
                          <w:bCs/>
                          <w:noProof/>
                          <w:lang w:eastAsia="en-ZA"/>
                        </w:rPr>
                        <w:tab/>
                      </w:r>
                      <w:r w:rsidRPr="00C7029A">
                        <w:rPr>
                          <w:rFonts w:ascii="Calibri" w:hAnsi="Calibri"/>
                          <w:sz w:val="20"/>
                          <w:lang w:val="af-ZA"/>
                        </w:rPr>
                        <w:t xml:space="preserve"> </w:t>
                      </w:r>
                      <w:r w:rsidR="0086489B">
                        <w:rPr>
                          <w:rFonts w:ascii="Calibri" w:hAnsi="Calibri"/>
                          <w:sz w:val="20"/>
                          <w:lang w:val="af-ZA"/>
                        </w:rPr>
                        <w:t xml:space="preserve">8 August </w:t>
                      </w:r>
                      <w:r w:rsidRPr="009A086F">
                        <w:rPr>
                          <w:rFonts w:ascii="Calibri" w:hAnsi="Calibri"/>
                          <w:sz w:val="20"/>
                          <w:lang w:val="af-ZA"/>
                        </w:rPr>
                        <w:t>2023</w:t>
                      </w:r>
                    </w:p>
                    <w:p w14:paraId="4D732EF2" w14:textId="77777777" w:rsidR="00A1646A" w:rsidRPr="007C20F4" w:rsidRDefault="00A1646A" w:rsidP="00A1646A">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3B1F9B94" w14:textId="77777777" w:rsidR="00A1646A" w:rsidRPr="006B04C9" w:rsidRDefault="00A1646A" w:rsidP="00A1646A">
      <w:pPr>
        <w:spacing w:after="160" w:line="240" w:lineRule="auto"/>
        <w:outlineLvl w:val="0"/>
        <w:rPr>
          <w:rFonts w:cs="Arial"/>
          <w:kern w:val="32"/>
          <w:szCs w:val="22"/>
          <w:lang w:val="en-GB"/>
        </w:rPr>
      </w:pPr>
    </w:p>
    <w:p w14:paraId="46A051F6" w14:textId="77777777" w:rsidR="00A1646A" w:rsidRPr="006B04C9" w:rsidRDefault="00A1646A" w:rsidP="00A1646A">
      <w:pPr>
        <w:spacing w:after="160" w:line="240" w:lineRule="auto"/>
        <w:outlineLvl w:val="0"/>
        <w:rPr>
          <w:rFonts w:cs="Arial"/>
          <w:kern w:val="32"/>
          <w:szCs w:val="22"/>
          <w:lang w:val="en-GB"/>
        </w:rPr>
      </w:pPr>
      <w:r w:rsidRPr="006B04C9">
        <w:rPr>
          <w:rFonts w:cs="Arial"/>
          <w:kern w:val="32"/>
          <w:szCs w:val="22"/>
          <w:lang w:val="en-GB"/>
        </w:rPr>
        <w:t>In the matter between:</w:t>
      </w:r>
    </w:p>
    <w:p w14:paraId="0F751200" w14:textId="77777777" w:rsidR="00A1646A" w:rsidRPr="006B04C9" w:rsidRDefault="00A1646A" w:rsidP="00A1646A">
      <w:pPr>
        <w:tabs>
          <w:tab w:val="left" w:pos="7690"/>
        </w:tabs>
        <w:spacing w:after="160" w:line="240" w:lineRule="auto"/>
        <w:outlineLvl w:val="0"/>
        <w:rPr>
          <w:rFonts w:cs="Arial"/>
          <w:kern w:val="32"/>
          <w:szCs w:val="22"/>
          <w:lang w:val="en-GB"/>
        </w:rPr>
      </w:pPr>
      <w:r w:rsidRPr="006B04C9">
        <w:rPr>
          <w:rFonts w:cs="Arial"/>
          <w:kern w:val="32"/>
          <w:szCs w:val="22"/>
          <w:lang w:val="en-GB"/>
        </w:rPr>
        <w:tab/>
      </w:r>
    </w:p>
    <w:p w14:paraId="1940565B" w14:textId="77777777" w:rsidR="00A1646A" w:rsidRPr="006B04C9" w:rsidRDefault="00A1646A" w:rsidP="00A1646A">
      <w:pPr>
        <w:tabs>
          <w:tab w:val="left" w:pos="7690"/>
        </w:tabs>
        <w:spacing w:after="160" w:line="240" w:lineRule="auto"/>
        <w:outlineLvl w:val="0"/>
        <w:rPr>
          <w:rFonts w:cs="Arial"/>
          <w:kern w:val="32"/>
          <w:szCs w:val="22"/>
          <w:lang w:val="en-GB"/>
        </w:rPr>
      </w:pPr>
    </w:p>
    <w:p w14:paraId="543D980E" w14:textId="77777777" w:rsidR="00A1646A" w:rsidRPr="006B04C9" w:rsidRDefault="00A1646A" w:rsidP="00A1646A">
      <w:pPr>
        <w:tabs>
          <w:tab w:val="left" w:pos="7690"/>
        </w:tabs>
        <w:spacing w:after="160" w:line="240" w:lineRule="auto"/>
        <w:outlineLvl w:val="0"/>
        <w:rPr>
          <w:rFonts w:cs="Arial"/>
          <w:kern w:val="32"/>
          <w:szCs w:val="22"/>
          <w:lang w:val="en-GB"/>
        </w:rPr>
      </w:pPr>
      <w:r w:rsidRPr="006B04C9">
        <w:rPr>
          <w:rFonts w:cs="Arial"/>
          <w:kern w:val="32"/>
          <w:szCs w:val="22"/>
          <w:lang w:val="en-GB"/>
        </w:rPr>
        <w:t>In the matter between:</w:t>
      </w:r>
    </w:p>
    <w:p w14:paraId="59FF375D" w14:textId="77777777" w:rsidR="00A1646A" w:rsidRPr="006B04C9" w:rsidRDefault="00A1646A" w:rsidP="00A1646A">
      <w:pPr>
        <w:tabs>
          <w:tab w:val="left" w:pos="7690"/>
        </w:tabs>
        <w:spacing w:after="160" w:line="240" w:lineRule="auto"/>
        <w:outlineLvl w:val="0"/>
        <w:rPr>
          <w:rFonts w:cs="Arial"/>
          <w:kern w:val="32"/>
          <w:szCs w:val="22"/>
          <w:lang w:val="en-GB"/>
        </w:rPr>
      </w:pPr>
      <w:r>
        <w:rPr>
          <w:rFonts w:cs="Arial"/>
          <w:noProof/>
          <w:kern w:val="32"/>
          <w:szCs w:val="22"/>
          <w:lang w:val="en-US"/>
        </w:rPr>
        <mc:AlternateContent>
          <mc:Choice Requires="wps">
            <w:drawing>
              <wp:anchor distT="0" distB="0" distL="114300" distR="114300" simplePos="0" relativeHeight="251663360" behindDoc="0" locked="0" layoutInCell="1" allowOverlap="1" wp14:anchorId="1D1A59BE" wp14:editId="16F18360">
                <wp:simplePos x="0" y="0"/>
                <wp:positionH relativeFrom="column">
                  <wp:posOffset>-160020</wp:posOffset>
                </wp:positionH>
                <wp:positionV relativeFrom="paragraph">
                  <wp:posOffset>2762250</wp:posOffset>
                </wp:positionV>
                <wp:extent cx="5981700" cy="449580"/>
                <wp:effectExtent l="0" t="0" r="0" b="7620"/>
                <wp:wrapNone/>
                <wp:docPr id="1028187198" name="Rectangle 2"/>
                <wp:cNvGraphicFramePr/>
                <a:graphic xmlns:a="http://schemas.openxmlformats.org/drawingml/2006/main">
                  <a:graphicData uri="http://schemas.microsoft.com/office/word/2010/wordprocessingShape">
                    <wps:wsp>
                      <wps:cNvSpPr/>
                      <wps:spPr>
                        <a:xfrm>
                          <a:off x="0" y="0"/>
                          <a:ext cx="5981700" cy="44958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FA402" id="Rectangle 2" o:spid="_x0000_s1026" style="position:absolute;margin-left:-12.6pt;margin-top:217.5pt;width:471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" fillcolor="white [3212]" stroked="f" strokeweight="1pt"/>
            </w:pict>
          </mc:Fallback>
        </mc:AlternateContent>
      </w:r>
    </w:p>
    <w:tbl>
      <w:tblPr>
        <w:tblStyle w:val="TableGrid"/>
        <w:tblW w:w="91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2"/>
        <w:gridCol w:w="3579"/>
      </w:tblGrid>
      <w:tr w:rsidR="00A1646A" w:rsidRPr="006B04C9" w14:paraId="12853BE4" w14:textId="77777777" w:rsidTr="00B92BFA">
        <w:trPr>
          <w:trHeight w:val="374"/>
        </w:trPr>
        <w:tc>
          <w:tcPr>
            <w:tcW w:w="5572" w:type="dxa"/>
          </w:tcPr>
          <w:p w14:paraId="2EFBC24E" w14:textId="4F87DA3E" w:rsidR="00A1646A" w:rsidRPr="006B04C9" w:rsidRDefault="007A0C3A" w:rsidP="00B92BFA">
            <w:pPr>
              <w:spacing w:line="240" w:lineRule="auto"/>
              <w:outlineLvl w:val="0"/>
              <w:rPr>
                <w:rFonts w:cs="Arial"/>
                <w:b/>
                <w:bCs/>
                <w:kern w:val="32"/>
                <w:szCs w:val="22"/>
                <w:lang w:val="en-GB"/>
              </w:rPr>
            </w:pPr>
            <w:r>
              <w:rPr>
                <w:rFonts w:cs="Arial"/>
                <w:b/>
                <w:bCs/>
                <w:kern w:val="32"/>
                <w:szCs w:val="22"/>
                <w:lang w:val="en-GB"/>
              </w:rPr>
              <w:t>MABRA CONSTRUCTION (PTY) LIMITED</w:t>
            </w:r>
            <w:r w:rsidR="00A1646A" w:rsidRPr="006B04C9">
              <w:rPr>
                <w:rFonts w:cs="Arial"/>
                <w:b/>
                <w:bCs/>
                <w:kern w:val="32"/>
                <w:szCs w:val="22"/>
                <w:lang w:val="en-GB"/>
              </w:rPr>
              <w:t xml:space="preserve"> </w:t>
            </w:r>
          </w:p>
        </w:tc>
        <w:tc>
          <w:tcPr>
            <w:tcW w:w="3579" w:type="dxa"/>
          </w:tcPr>
          <w:p w14:paraId="0B59E3CF" w14:textId="1E074049" w:rsidR="00A1646A" w:rsidRPr="006B04C9" w:rsidRDefault="007A0C3A" w:rsidP="00B92BFA">
            <w:pPr>
              <w:spacing w:line="240" w:lineRule="auto"/>
              <w:jc w:val="right"/>
              <w:outlineLvl w:val="0"/>
              <w:rPr>
                <w:rFonts w:cs="Arial"/>
                <w:kern w:val="32"/>
                <w:szCs w:val="22"/>
                <w:lang w:val="en-GB"/>
              </w:rPr>
            </w:pPr>
            <w:r>
              <w:rPr>
                <w:rFonts w:cs="Arial"/>
                <w:kern w:val="32"/>
                <w:szCs w:val="22"/>
                <w:lang w:val="en-GB"/>
              </w:rPr>
              <w:t>APPLICANT</w:t>
            </w:r>
          </w:p>
        </w:tc>
      </w:tr>
      <w:tr w:rsidR="00A1646A" w:rsidRPr="006B04C9" w14:paraId="41346308" w14:textId="77777777" w:rsidTr="00B92BFA">
        <w:trPr>
          <w:trHeight w:val="365"/>
        </w:trPr>
        <w:tc>
          <w:tcPr>
            <w:tcW w:w="5572" w:type="dxa"/>
          </w:tcPr>
          <w:p w14:paraId="1C575C71" w14:textId="77777777" w:rsidR="00A1646A" w:rsidRPr="006B04C9" w:rsidRDefault="00A1646A" w:rsidP="00B92BFA">
            <w:pPr>
              <w:spacing w:line="240" w:lineRule="auto"/>
              <w:outlineLvl w:val="0"/>
              <w:rPr>
                <w:rFonts w:cs="Arial"/>
                <w:kern w:val="32"/>
                <w:szCs w:val="22"/>
                <w:lang w:val="en-GB"/>
              </w:rPr>
            </w:pPr>
          </w:p>
        </w:tc>
        <w:tc>
          <w:tcPr>
            <w:tcW w:w="3579" w:type="dxa"/>
          </w:tcPr>
          <w:p w14:paraId="5E8220E2" w14:textId="77777777" w:rsidR="00A1646A" w:rsidRPr="006B04C9" w:rsidRDefault="00A1646A" w:rsidP="00B92BFA">
            <w:pPr>
              <w:spacing w:line="240" w:lineRule="auto"/>
              <w:jc w:val="right"/>
              <w:outlineLvl w:val="0"/>
              <w:rPr>
                <w:rFonts w:cs="Arial"/>
                <w:kern w:val="32"/>
                <w:szCs w:val="22"/>
                <w:lang w:val="en-GB"/>
              </w:rPr>
            </w:pPr>
          </w:p>
        </w:tc>
      </w:tr>
      <w:tr w:rsidR="00A1646A" w:rsidRPr="006B04C9" w14:paraId="30A89951" w14:textId="77777777" w:rsidTr="00B92BFA">
        <w:trPr>
          <w:trHeight w:val="374"/>
        </w:trPr>
        <w:tc>
          <w:tcPr>
            <w:tcW w:w="5572" w:type="dxa"/>
          </w:tcPr>
          <w:p w14:paraId="11C7F716" w14:textId="77777777" w:rsidR="00A1646A" w:rsidRPr="006B04C9" w:rsidRDefault="00A1646A" w:rsidP="00B92BFA">
            <w:pPr>
              <w:spacing w:line="240" w:lineRule="auto"/>
              <w:outlineLvl w:val="0"/>
              <w:rPr>
                <w:rFonts w:cs="Arial"/>
                <w:kern w:val="32"/>
                <w:szCs w:val="22"/>
                <w:lang w:val="en-GB"/>
              </w:rPr>
            </w:pPr>
            <w:r w:rsidRPr="006B04C9">
              <w:rPr>
                <w:rFonts w:cs="Arial"/>
                <w:kern w:val="32"/>
                <w:szCs w:val="22"/>
                <w:lang w:val="en-GB"/>
              </w:rPr>
              <w:t>and</w:t>
            </w:r>
          </w:p>
        </w:tc>
        <w:tc>
          <w:tcPr>
            <w:tcW w:w="3579" w:type="dxa"/>
          </w:tcPr>
          <w:p w14:paraId="3F5EBDEA" w14:textId="77777777" w:rsidR="00A1646A" w:rsidRPr="006B04C9" w:rsidRDefault="00A1646A" w:rsidP="00B92BFA">
            <w:pPr>
              <w:spacing w:line="240" w:lineRule="auto"/>
              <w:jc w:val="right"/>
              <w:outlineLvl w:val="0"/>
              <w:rPr>
                <w:rFonts w:cs="Arial"/>
                <w:kern w:val="32"/>
                <w:szCs w:val="22"/>
                <w:lang w:val="en-GB"/>
              </w:rPr>
            </w:pPr>
          </w:p>
        </w:tc>
      </w:tr>
      <w:tr w:rsidR="00A1646A" w:rsidRPr="006B04C9" w14:paraId="759785A3" w14:textId="77777777" w:rsidTr="00B92BFA">
        <w:trPr>
          <w:trHeight w:val="365"/>
        </w:trPr>
        <w:tc>
          <w:tcPr>
            <w:tcW w:w="5572" w:type="dxa"/>
          </w:tcPr>
          <w:p w14:paraId="4F0E9410" w14:textId="77777777" w:rsidR="00A1646A" w:rsidRPr="006B04C9" w:rsidRDefault="00A1646A" w:rsidP="00B92BFA">
            <w:pPr>
              <w:spacing w:line="240" w:lineRule="auto"/>
              <w:outlineLvl w:val="0"/>
              <w:rPr>
                <w:rFonts w:cs="Arial"/>
                <w:kern w:val="32"/>
                <w:szCs w:val="22"/>
                <w:lang w:val="en-GB"/>
              </w:rPr>
            </w:pPr>
          </w:p>
        </w:tc>
        <w:tc>
          <w:tcPr>
            <w:tcW w:w="3579" w:type="dxa"/>
          </w:tcPr>
          <w:p w14:paraId="7D530945" w14:textId="77777777" w:rsidR="00A1646A" w:rsidRPr="006B04C9" w:rsidRDefault="00A1646A" w:rsidP="00B92BFA">
            <w:pPr>
              <w:spacing w:line="240" w:lineRule="auto"/>
              <w:jc w:val="right"/>
              <w:outlineLvl w:val="0"/>
              <w:rPr>
                <w:rFonts w:cs="Arial"/>
                <w:kern w:val="32"/>
                <w:szCs w:val="22"/>
                <w:lang w:val="en-GB"/>
              </w:rPr>
            </w:pPr>
          </w:p>
        </w:tc>
      </w:tr>
      <w:tr w:rsidR="00A1646A" w:rsidRPr="006B04C9" w14:paraId="2F81C75C" w14:textId="77777777" w:rsidTr="00B92BFA">
        <w:trPr>
          <w:trHeight w:val="374"/>
        </w:trPr>
        <w:tc>
          <w:tcPr>
            <w:tcW w:w="5572" w:type="dxa"/>
          </w:tcPr>
          <w:p w14:paraId="50EEBBDE" w14:textId="41DB199F" w:rsidR="00A1646A" w:rsidRDefault="007A0C3A" w:rsidP="00B92BFA">
            <w:pPr>
              <w:spacing w:line="240" w:lineRule="auto"/>
              <w:outlineLvl w:val="0"/>
              <w:rPr>
                <w:rFonts w:cs="Arial"/>
                <w:b/>
                <w:bCs/>
                <w:kern w:val="32"/>
                <w:szCs w:val="22"/>
                <w:lang w:val="en-GB"/>
              </w:rPr>
            </w:pPr>
            <w:r>
              <w:rPr>
                <w:rFonts w:cs="Arial"/>
                <w:b/>
                <w:bCs/>
                <w:kern w:val="32"/>
                <w:szCs w:val="22"/>
                <w:lang w:val="en-GB"/>
              </w:rPr>
              <w:t>ECOLAB (PTY) LIMITED</w:t>
            </w:r>
          </w:p>
          <w:p w14:paraId="71AA2503" w14:textId="77777777" w:rsidR="00A1646A" w:rsidRDefault="00A1646A" w:rsidP="00B92BFA">
            <w:pPr>
              <w:spacing w:line="240" w:lineRule="auto"/>
              <w:outlineLvl w:val="0"/>
              <w:rPr>
                <w:rFonts w:cs="Arial"/>
                <w:b/>
                <w:bCs/>
                <w:kern w:val="32"/>
                <w:szCs w:val="22"/>
                <w:lang w:val="en-GB"/>
              </w:rPr>
            </w:pPr>
          </w:p>
          <w:p w14:paraId="275ADD7A" w14:textId="77777777" w:rsidR="00A1646A" w:rsidRDefault="00A1646A" w:rsidP="00B92BFA">
            <w:pPr>
              <w:spacing w:line="240" w:lineRule="auto"/>
              <w:outlineLvl w:val="0"/>
              <w:rPr>
                <w:rFonts w:cs="Arial"/>
                <w:b/>
                <w:bCs/>
                <w:kern w:val="32"/>
                <w:szCs w:val="22"/>
                <w:lang w:val="en-GB"/>
              </w:rPr>
            </w:pPr>
            <w:r>
              <w:rPr>
                <w:rFonts w:cs="Arial"/>
                <w:b/>
                <w:bCs/>
                <w:noProof/>
                <w:kern w:val="32"/>
                <w:szCs w:val="22"/>
                <w:lang w:val="en-US"/>
              </w:rPr>
              <mc:AlternateContent>
                <mc:Choice Requires="wps">
                  <w:drawing>
                    <wp:anchor distT="0" distB="0" distL="114300" distR="114300" simplePos="0" relativeHeight="251662336" behindDoc="0" locked="0" layoutInCell="1" allowOverlap="1" wp14:anchorId="4A49C571" wp14:editId="0B284DCB">
                      <wp:simplePos x="0" y="0"/>
                      <wp:positionH relativeFrom="column">
                        <wp:posOffset>21590</wp:posOffset>
                      </wp:positionH>
                      <wp:positionV relativeFrom="paragraph">
                        <wp:posOffset>76200</wp:posOffset>
                      </wp:positionV>
                      <wp:extent cx="5532120" cy="1173480"/>
                      <wp:effectExtent l="0" t="0" r="0" b="7620"/>
                      <wp:wrapNone/>
                      <wp:docPr id="1310259272" name="Text Box 1"/>
                      <wp:cNvGraphicFramePr/>
                      <a:graphic xmlns:a="http://schemas.openxmlformats.org/drawingml/2006/main">
                        <a:graphicData uri="http://schemas.microsoft.com/office/word/2010/wordprocessingShape">
                          <wps:wsp>
                            <wps:cNvSpPr txBox="1"/>
                            <wps:spPr>
                              <a:xfrm>
                                <a:off x="0" y="0"/>
                                <a:ext cx="5532120" cy="1173480"/>
                              </a:xfrm>
                              <a:prstGeom prst="rect">
                                <a:avLst/>
                              </a:prstGeom>
                              <a:solidFill>
                                <a:schemeClr val="lt1"/>
                              </a:solidFill>
                              <a:ln w="6350">
                                <a:noFill/>
                              </a:ln>
                            </wps:spPr>
                            <wps:txbx>
                              <w:txbxContent>
                                <w:p w14:paraId="70E82274" w14:textId="77777777" w:rsidR="00A1646A" w:rsidRPr="003B012F" w:rsidRDefault="00A1646A" w:rsidP="00A1646A">
                                  <w:pPr>
                                    <w:pStyle w:val="PlainText"/>
                                    <w:spacing w:line="240" w:lineRule="auto"/>
                                    <w:rPr>
                                      <w:rFonts w:ascii="Arial" w:hAnsi="Arial" w:cs="Arial"/>
                                      <w:iCs/>
                                      <w:sz w:val="24"/>
                                      <w:szCs w:val="24"/>
                                    </w:rPr>
                                  </w:pPr>
                                </w:p>
                                <w:p w14:paraId="147EBE72" w14:textId="4D945FD4" w:rsidR="00A1646A" w:rsidRPr="003B012F" w:rsidRDefault="00A1646A" w:rsidP="00672A20">
                                  <w:pPr>
                                    <w:pStyle w:val="PlainText"/>
                                    <w:spacing w:line="240" w:lineRule="auto"/>
                                    <w:rPr>
                                      <w:rFonts w:ascii="Arial" w:hAnsi="Arial" w:cs="Arial"/>
                                      <w:iCs/>
                                      <w:sz w:val="24"/>
                                      <w:szCs w:val="24"/>
                                    </w:rPr>
                                  </w:pPr>
                                  <w:r w:rsidRPr="003B012F">
                                    <w:rPr>
                                      <w:rFonts w:ascii="Arial" w:hAnsi="Arial" w:cs="Arial"/>
                                      <w:b/>
                                      <w:bCs/>
                                      <w:iCs/>
                                      <w:sz w:val="24"/>
                                      <w:szCs w:val="24"/>
                                    </w:rPr>
                                    <w:t>Delivered</w:t>
                                  </w:r>
                                  <w:r w:rsidRPr="003B012F">
                                    <w:rPr>
                                      <w:rFonts w:ascii="Arial" w:hAnsi="Arial" w:cs="Arial"/>
                                      <w:iCs/>
                                      <w:sz w:val="24"/>
                                      <w:szCs w:val="24"/>
                                    </w:rPr>
                                    <w:t xml:space="preserve"> :This judgment </w:t>
                                  </w:r>
                                  <w:r>
                                    <w:rPr>
                                      <w:rFonts w:ascii="Arial" w:hAnsi="Arial" w:cs="Arial"/>
                                      <w:iCs/>
                                      <w:sz w:val="24"/>
                                      <w:szCs w:val="24"/>
                                    </w:rPr>
                                    <w:t>was handed down electronically by circulation to the parties’ legal representatives</w:t>
                                  </w:r>
                                  <w:r w:rsidRPr="003B012F">
                                    <w:rPr>
                                      <w:rFonts w:ascii="Arial" w:hAnsi="Arial" w:cs="Arial"/>
                                      <w:iCs/>
                                      <w:sz w:val="24"/>
                                      <w:szCs w:val="24"/>
                                    </w:rPr>
                                    <w:t xml:space="preserve"> by e-mail</w:t>
                                  </w:r>
                                  <w:r>
                                    <w:rPr>
                                      <w:rFonts w:ascii="Arial" w:hAnsi="Arial" w:cs="Arial"/>
                                      <w:iCs/>
                                      <w:sz w:val="24"/>
                                      <w:szCs w:val="24"/>
                                    </w:rPr>
                                    <w:t xml:space="preserve"> and</w:t>
                                  </w:r>
                                  <w:r w:rsidRPr="003B012F">
                                    <w:rPr>
                                      <w:rFonts w:ascii="Arial" w:hAnsi="Arial" w:cs="Arial"/>
                                      <w:iCs/>
                                      <w:sz w:val="24"/>
                                      <w:szCs w:val="24"/>
                                    </w:rPr>
                                    <w:t xml:space="preserve"> uploaded on </w:t>
                                  </w:r>
                                  <w:r>
                                    <w:rPr>
                                      <w:rFonts w:ascii="Arial" w:hAnsi="Arial" w:cs="Arial"/>
                                      <w:iCs/>
                                      <w:sz w:val="24"/>
                                      <w:szCs w:val="24"/>
                                    </w:rPr>
                                    <w:t>c</w:t>
                                  </w:r>
                                  <w:r w:rsidRPr="003B012F">
                                    <w:rPr>
                                      <w:rFonts w:ascii="Arial" w:hAnsi="Arial" w:cs="Arial"/>
                                      <w:iCs/>
                                      <w:sz w:val="24"/>
                                      <w:szCs w:val="24"/>
                                    </w:rPr>
                                    <w:t xml:space="preserve">aselines </w:t>
                                  </w:r>
                                  <w:r>
                                    <w:rPr>
                                      <w:rFonts w:ascii="Arial" w:hAnsi="Arial" w:cs="Arial"/>
                                      <w:iCs/>
                                      <w:sz w:val="24"/>
                                      <w:szCs w:val="24"/>
                                    </w:rPr>
                                    <w:t>electronic platform.</w:t>
                                  </w:r>
                                  <w:r w:rsidRPr="003B012F">
                                    <w:rPr>
                                      <w:rFonts w:ascii="Arial" w:hAnsi="Arial" w:cs="Arial"/>
                                      <w:iCs/>
                                      <w:sz w:val="24"/>
                                      <w:szCs w:val="24"/>
                                    </w:rPr>
                                    <w:t xml:space="preserve"> The date </w:t>
                                  </w:r>
                                  <w:r>
                                    <w:rPr>
                                      <w:rFonts w:ascii="Arial" w:hAnsi="Arial" w:cs="Arial"/>
                                      <w:iCs/>
                                      <w:sz w:val="24"/>
                                      <w:szCs w:val="24"/>
                                    </w:rPr>
                                    <w:t>for hand-down is</w:t>
                                  </w:r>
                                  <w:r w:rsidRPr="003B012F">
                                    <w:rPr>
                                      <w:rFonts w:ascii="Arial" w:hAnsi="Arial" w:cs="Arial"/>
                                      <w:iCs/>
                                      <w:sz w:val="24"/>
                                      <w:szCs w:val="24"/>
                                    </w:rPr>
                                    <w:t xml:space="preserve"> deemed to </w:t>
                                  </w:r>
                                  <w:r w:rsidRPr="009A086F">
                                    <w:rPr>
                                      <w:rFonts w:ascii="Arial" w:hAnsi="Arial" w:cs="Arial"/>
                                      <w:iCs/>
                                      <w:sz w:val="24"/>
                                      <w:szCs w:val="24"/>
                                    </w:rPr>
                                    <w:t xml:space="preserve">be </w:t>
                                  </w:r>
                                  <w:r w:rsidR="000C59A6">
                                    <w:rPr>
                                      <w:rFonts w:ascii="Arial" w:hAnsi="Arial" w:cs="Arial"/>
                                      <w:iCs/>
                                      <w:sz w:val="24"/>
                                      <w:szCs w:val="24"/>
                                    </w:rPr>
                                    <w:t>8 August</w:t>
                                  </w:r>
                                  <w:r w:rsidRPr="009A086F">
                                    <w:rPr>
                                      <w:rFonts w:ascii="Arial" w:hAnsi="Arial" w:cs="Arial"/>
                                      <w:iCs/>
                                      <w:sz w:val="24"/>
                                      <w:szCs w:val="24"/>
                                    </w:rPr>
                                    <w:t xml:space="preserve"> 2023.</w:t>
                                  </w:r>
                                </w:p>
                                <w:p w14:paraId="5D5CCA18" w14:textId="77777777" w:rsidR="00A1646A" w:rsidRPr="003B012F" w:rsidRDefault="00A1646A" w:rsidP="00A1646A">
                                  <w:pPr>
                                    <w:pStyle w:val="PlainText"/>
                                    <w:spacing w:line="240" w:lineRule="auto"/>
                                    <w:rPr>
                                      <w:rFonts w:ascii="Arial" w:hAnsi="Arial" w:cs="Arial"/>
                                      <w:iCs/>
                                      <w:sz w:val="24"/>
                                      <w:szCs w:val="24"/>
                                    </w:rPr>
                                  </w:pPr>
                                </w:p>
                                <w:p w14:paraId="4BC1DAC7" w14:textId="77777777" w:rsidR="00A1646A" w:rsidRPr="003B012F" w:rsidRDefault="00A1646A" w:rsidP="00A1646A">
                                  <w:pP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9C571" id="Text Box 1" o:spid="_x0000_s1027" type="#_x0000_t202" style="position:absolute;margin-left:1.7pt;margin-top:6pt;width:435.6pt;height:9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" fillcolor="white [3201]" stroked="f" strokeweight=".5pt">
                      <v:textbox>
                        <w:txbxContent>
                          <w:p w14:paraId="70E82274" w14:textId="77777777" w:rsidR="00A1646A" w:rsidRPr="003B012F" w:rsidRDefault="00A1646A" w:rsidP="00A1646A">
                            <w:pPr>
                              <w:pStyle w:val="PlainText"/>
                              <w:spacing w:line="240" w:lineRule="auto"/>
                              <w:rPr>
                                <w:rFonts w:ascii="Arial" w:hAnsi="Arial" w:cs="Arial"/>
                                <w:iCs/>
                                <w:sz w:val="24"/>
                                <w:szCs w:val="24"/>
                              </w:rPr>
                            </w:pPr>
                          </w:p>
                          <w:p w14:paraId="147EBE72" w14:textId="4D945FD4" w:rsidR="00A1646A" w:rsidRPr="003B012F" w:rsidRDefault="00A1646A" w:rsidP="00672A20">
                            <w:pPr>
                              <w:pStyle w:val="PlainText"/>
                              <w:spacing w:line="240" w:lineRule="auto"/>
                              <w:rPr>
                                <w:rFonts w:ascii="Arial" w:hAnsi="Arial" w:cs="Arial"/>
                                <w:iCs/>
                                <w:sz w:val="24"/>
                                <w:szCs w:val="24"/>
                              </w:rPr>
                            </w:pPr>
                            <w:r w:rsidRPr="003B012F">
                              <w:rPr>
                                <w:rFonts w:ascii="Arial" w:hAnsi="Arial" w:cs="Arial"/>
                                <w:b/>
                                <w:bCs/>
                                <w:iCs/>
                                <w:sz w:val="24"/>
                                <w:szCs w:val="24"/>
                              </w:rPr>
                              <w:t>Delivered</w:t>
                            </w:r>
                            <w:r w:rsidRPr="003B012F">
                              <w:rPr>
                                <w:rFonts w:ascii="Arial" w:hAnsi="Arial" w:cs="Arial"/>
                                <w:iCs/>
                                <w:sz w:val="24"/>
                                <w:szCs w:val="24"/>
                              </w:rPr>
                              <w:t xml:space="preserve"> :This judgment </w:t>
                            </w:r>
                            <w:r>
                              <w:rPr>
                                <w:rFonts w:ascii="Arial" w:hAnsi="Arial" w:cs="Arial"/>
                                <w:iCs/>
                                <w:sz w:val="24"/>
                                <w:szCs w:val="24"/>
                              </w:rPr>
                              <w:t>was handed down electronically by circulation to the parties’ legal representatives</w:t>
                            </w:r>
                            <w:r w:rsidRPr="003B012F">
                              <w:rPr>
                                <w:rFonts w:ascii="Arial" w:hAnsi="Arial" w:cs="Arial"/>
                                <w:iCs/>
                                <w:sz w:val="24"/>
                                <w:szCs w:val="24"/>
                              </w:rPr>
                              <w:t xml:space="preserve"> by e-mail</w:t>
                            </w:r>
                            <w:r>
                              <w:rPr>
                                <w:rFonts w:ascii="Arial" w:hAnsi="Arial" w:cs="Arial"/>
                                <w:iCs/>
                                <w:sz w:val="24"/>
                                <w:szCs w:val="24"/>
                              </w:rPr>
                              <w:t xml:space="preserve"> and</w:t>
                            </w:r>
                            <w:r w:rsidRPr="003B012F">
                              <w:rPr>
                                <w:rFonts w:ascii="Arial" w:hAnsi="Arial" w:cs="Arial"/>
                                <w:iCs/>
                                <w:sz w:val="24"/>
                                <w:szCs w:val="24"/>
                              </w:rPr>
                              <w:t xml:space="preserve"> uploaded on </w:t>
                            </w:r>
                            <w:r>
                              <w:rPr>
                                <w:rFonts w:ascii="Arial" w:hAnsi="Arial" w:cs="Arial"/>
                                <w:iCs/>
                                <w:sz w:val="24"/>
                                <w:szCs w:val="24"/>
                              </w:rPr>
                              <w:t>c</w:t>
                            </w:r>
                            <w:r w:rsidRPr="003B012F">
                              <w:rPr>
                                <w:rFonts w:ascii="Arial" w:hAnsi="Arial" w:cs="Arial"/>
                                <w:iCs/>
                                <w:sz w:val="24"/>
                                <w:szCs w:val="24"/>
                              </w:rPr>
                              <w:t xml:space="preserve">aselines </w:t>
                            </w:r>
                            <w:r>
                              <w:rPr>
                                <w:rFonts w:ascii="Arial" w:hAnsi="Arial" w:cs="Arial"/>
                                <w:iCs/>
                                <w:sz w:val="24"/>
                                <w:szCs w:val="24"/>
                              </w:rPr>
                              <w:t>electronic platform.</w:t>
                            </w:r>
                            <w:r w:rsidRPr="003B012F">
                              <w:rPr>
                                <w:rFonts w:ascii="Arial" w:hAnsi="Arial" w:cs="Arial"/>
                                <w:iCs/>
                                <w:sz w:val="24"/>
                                <w:szCs w:val="24"/>
                              </w:rPr>
                              <w:t xml:space="preserve"> The date </w:t>
                            </w:r>
                            <w:r>
                              <w:rPr>
                                <w:rFonts w:ascii="Arial" w:hAnsi="Arial" w:cs="Arial"/>
                                <w:iCs/>
                                <w:sz w:val="24"/>
                                <w:szCs w:val="24"/>
                              </w:rPr>
                              <w:t>for hand-down is</w:t>
                            </w:r>
                            <w:r w:rsidRPr="003B012F">
                              <w:rPr>
                                <w:rFonts w:ascii="Arial" w:hAnsi="Arial" w:cs="Arial"/>
                                <w:iCs/>
                                <w:sz w:val="24"/>
                                <w:szCs w:val="24"/>
                              </w:rPr>
                              <w:t xml:space="preserve"> deemed to </w:t>
                            </w:r>
                            <w:r w:rsidRPr="009A086F">
                              <w:rPr>
                                <w:rFonts w:ascii="Arial" w:hAnsi="Arial" w:cs="Arial"/>
                                <w:iCs/>
                                <w:sz w:val="24"/>
                                <w:szCs w:val="24"/>
                              </w:rPr>
                              <w:t xml:space="preserve">be </w:t>
                            </w:r>
                            <w:r w:rsidR="000C59A6">
                              <w:rPr>
                                <w:rFonts w:ascii="Arial" w:hAnsi="Arial" w:cs="Arial"/>
                                <w:iCs/>
                                <w:sz w:val="24"/>
                                <w:szCs w:val="24"/>
                              </w:rPr>
                              <w:t>8 August</w:t>
                            </w:r>
                            <w:r w:rsidRPr="009A086F">
                              <w:rPr>
                                <w:rFonts w:ascii="Arial" w:hAnsi="Arial" w:cs="Arial"/>
                                <w:iCs/>
                                <w:sz w:val="24"/>
                                <w:szCs w:val="24"/>
                              </w:rPr>
                              <w:t xml:space="preserve"> 2023.</w:t>
                            </w:r>
                          </w:p>
                          <w:p w14:paraId="5D5CCA18" w14:textId="77777777" w:rsidR="00A1646A" w:rsidRPr="003B012F" w:rsidRDefault="00A1646A" w:rsidP="00A1646A">
                            <w:pPr>
                              <w:pStyle w:val="PlainText"/>
                              <w:spacing w:line="240" w:lineRule="auto"/>
                              <w:rPr>
                                <w:rFonts w:ascii="Arial" w:hAnsi="Arial" w:cs="Arial"/>
                                <w:iCs/>
                                <w:sz w:val="24"/>
                                <w:szCs w:val="24"/>
                              </w:rPr>
                            </w:pPr>
                          </w:p>
                          <w:p w14:paraId="4BC1DAC7" w14:textId="77777777" w:rsidR="00A1646A" w:rsidRPr="003B012F" w:rsidRDefault="00A1646A" w:rsidP="00A1646A">
                            <w:pPr>
                              <w:rPr>
                                <w:iCs/>
                              </w:rPr>
                            </w:pPr>
                          </w:p>
                        </w:txbxContent>
                      </v:textbox>
                    </v:shape>
                  </w:pict>
                </mc:Fallback>
              </mc:AlternateContent>
            </w:r>
            <w:r>
              <w:rPr>
                <w:rFonts w:cs="Arial"/>
                <w:b/>
                <w:bCs/>
                <w:kern w:val="32"/>
                <w:szCs w:val="22"/>
                <w:lang w:val="en-GB"/>
              </w:rPr>
              <w:t xml:space="preserve"> </w:t>
            </w:r>
          </w:p>
          <w:p w14:paraId="63EF4EAF" w14:textId="77777777" w:rsidR="00A1646A" w:rsidRDefault="00A1646A" w:rsidP="00B92BFA">
            <w:pPr>
              <w:spacing w:line="240" w:lineRule="auto"/>
              <w:outlineLvl w:val="0"/>
              <w:rPr>
                <w:rFonts w:cs="Arial"/>
                <w:b/>
                <w:bCs/>
                <w:kern w:val="32"/>
                <w:szCs w:val="22"/>
                <w:lang w:val="en-GB"/>
              </w:rPr>
            </w:pPr>
          </w:p>
          <w:p w14:paraId="6EAA86B5" w14:textId="77777777" w:rsidR="00A1646A" w:rsidRDefault="00A1646A" w:rsidP="00B92BFA">
            <w:pPr>
              <w:spacing w:line="240" w:lineRule="auto"/>
              <w:outlineLvl w:val="0"/>
              <w:rPr>
                <w:rFonts w:cs="Arial"/>
                <w:b/>
                <w:bCs/>
                <w:kern w:val="32"/>
                <w:szCs w:val="22"/>
                <w:lang w:val="en-GB"/>
              </w:rPr>
            </w:pPr>
          </w:p>
          <w:p w14:paraId="1EFEC69E" w14:textId="77777777" w:rsidR="00A1646A" w:rsidRDefault="00A1646A" w:rsidP="00B92BFA">
            <w:pPr>
              <w:spacing w:line="240" w:lineRule="auto"/>
              <w:outlineLvl w:val="0"/>
              <w:rPr>
                <w:rFonts w:cs="Arial"/>
                <w:b/>
                <w:bCs/>
                <w:kern w:val="32"/>
                <w:szCs w:val="22"/>
                <w:lang w:val="en-GB"/>
              </w:rPr>
            </w:pPr>
          </w:p>
          <w:p w14:paraId="2F164E6D" w14:textId="77777777" w:rsidR="00A1646A" w:rsidRDefault="00A1646A" w:rsidP="00B92BFA">
            <w:pPr>
              <w:spacing w:line="240" w:lineRule="auto"/>
              <w:outlineLvl w:val="0"/>
              <w:rPr>
                <w:rFonts w:cs="Arial"/>
                <w:b/>
                <w:bCs/>
                <w:kern w:val="32"/>
                <w:szCs w:val="22"/>
                <w:lang w:val="en-GB"/>
              </w:rPr>
            </w:pPr>
          </w:p>
          <w:p w14:paraId="05CB79D4" w14:textId="77777777" w:rsidR="00A1646A" w:rsidRDefault="00A1646A" w:rsidP="00B92BFA">
            <w:pPr>
              <w:spacing w:line="240" w:lineRule="auto"/>
              <w:outlineLvl w:val="0"/>
              <w:rPr>
                <w:rFonts w:cs="Arial"/>
                <w:b/>
                <w:bCs/>
                <w:kern w:val="32"/>
                <w:szCs w:val="22"/>
                <w:lang w:val="en-GB"/>
              </w:rPr>
            </w:pPr>
          </w:p>
          <w:p w14:paraId="6A0D5F67" w14:textId="77777777" w:rsidR="00A1646A" w:rsidRPr="006B04C9" w:rsidRDefault="00A1646A" w:rsidP="00B92BFA">
            <w:pPr>
              <w:spacing w:line="240" w:lineRule="auto"/>
              <w:outlineLvl w:val="0"/>
              <w:rPr>
                <w:rFonts w:cs="Arial"/>
                <w:b/>
                <w:bCs/>
                <w:kern w:val="32"/>
                <w:szCs w:val="22"/>
                <w:lang w:val="en-GB"/>
              </w:rPr>
            </w:pPr>
          </w:p>
        </w:tc>
        <w:tc>
          <w:tcPr>
            <w:tcW w:w="3579" w:type="dxa"/>
          </w:tcPr>
          <w:p w14:paraId="1E11E4C3" w14:textId="19EED7A0" w:rsidR="00A1646A" w:rsidRPr="006B04C9" w:rsidRDefault="007A0C3A" w:rsidP="00B92BFA">
            <w:pPr>
              <w:spacing w:line="240" w:lineRule="auto"/>
              <w:jc w:val="right"/>
              <w:outlineLvl w:val="0"/>
              <w:rPr>
                <w:rFonts w:cs="Arial"/>
                <w:kern w:val="32"/>
                <w:szCs w:val="22"/>
                <w:lang w:val="en-GB"/>
              </w:rPr>
            </w:pPr>
            <w:r>
              <w:rPr>
                <w:rFonts w:cs="Arial"/>
                <w:kern w:val="32"/>
                <w:szCs w:val="22"/>
                <w:lang w:val="en-GB"/>
              </w:rPr>
              <w:t>RESPONDENT</w:t>
            </w:r>
          </w:p>
        </w:tc>
      </w:tr>
      <w:tr w:rsidR="00A1646A" w:rsidRPr="006B04C9" w14:paraId="26BDB83E" w14:textId="77777777" w:rsidTr="00B92BFA">
        <w:trPr>
          <w:trHeight w:val="60"/>
        </w:trPr>
        <w:tc>
          <w:tcPr>
            <w:tcW w:w="5572" w:type="dxa"/>
          </w:tcPr>
          <w:p w14:paraId="20C9E8F1" w14:textId="77777777" w:rsidR="00A1646A" w:rsidRPr="006B04C9" w:rsidRDefault="00A1646A" w:rsidP="00B92BFA">
            <w:pPr>
              <w:spacing w:line="240" w:lineRule="auto"/>
              <w:outlineLvl w:val="0"/>
              <w:rPr>
                <w:rFonts w:cs="Arial"/>
                <w:b/>
                <w:bCs/>
                <w:kern w:val="32"/>
                <w:szCs w:val="22"/>
                <w:lang w:val="en-GB"/>
              </w:rPr>
            </w:pPr>
          </w:p>
        </w:tc>
        <w:tc>
          <w:tcPr>
            <w:tcW w:w="3579" w:type="dxa"/>
          </w:tcPr>
          <w:p w14:paraId="7CFA3B31" w14:textId="77777777" w:rsidR="00A1646A" w:rsidRPr="006B04C9" w:rsidRDefault="00A1646A" w:rsidP="00B92BFA">
            <w:pPr>
              <w:spacing w:line="240" w:lineRule="auto"/>
              <w:outlineLvl w:val="0"/>
              <w:rPr>
                <w:rFonts w:cs="Arial"/>
                <w:kern w:val="32"/>
                <w:szCs w:val="22"/>
                <w:lang w:val="en-GB"/>
              </w:rPr>
            </w:pPr>
          </w:p>
        </w:tc>
      </w:tr>
    </w:tbl>
    <w:p w14:paraId="5751FCA9" w14:textId="3E006052" w:rsidR="00A1646A" w:rsidRDefault="007A0C3A" w:rsidP="00B420DB">
      <w:pPr>
        <w:pBdr>
          <w:top w:val="single" w:sz="12" w:space="31" w:color="auto"/>
          <w:bottom w:val="single" w:sz="12" w:space="1" w:color="auto"/>
        </w:pBdr>
        <w:tabs>
          <w:tab w:val="left" w:pos="1980"/>
          <w:tab w:val="center" w:pos="4513"/>
        </w:tabs>
        <w:jc w:val="center"/>
        <w:rPr>
          <w:rFonts w:eastAsia="Calibri" w:cs="Arial"/>
          <w:b/>
        </w:rPr>
      </w:pPr>
      <w:r>
        <w:rPr>
          <w:rFonts w:cs="Arial"/>
          <w:noProof/>
          <w:kern w:val="32"/>
          <w:szCs w:val="22"/>
          <w:lang w:val="en-US"/>
        </w:rPr>
        <w:lastRenderedPageBreak/>
        <mc:AlternateContent>
          <mc:Choice Requires="wps">
            <w:drawing>
              <wp:anchor distT="0" distB="0" distL="114300" distR="114300" simplePos="0" relativeHeight="251664384" behindDoc="0" locked="0" layoutInCell="1" allowOverlap="1" wp14:anchorId="243D165A" wp14:editId="43A6E908">
                <wp:simplePos x="0" y="0"/>
                <wp:positionH relativeFrom="margin">
                  <wp:align>right</wp:align>
                </wp:positionH>
                <wp:positionV relativeFrom="paragraph">
                  <wp:posOffset>0</wp:posOffset>
                </wp:positionV>
                <wp:extent cx="6118860" cy="1028700"/>
                <wp:effectExtent l="0" t="0" r="0" b="0"/>
                <wp:wrapNone/>
                <wp:docPr id="2059132230" name="Rectangle 2"/>
                <wp:cNvGraphicFramePr/>
                <a:graphic xmlns:a="http://schemas.openxmlformats.org/drawingml/2006/main">
                  <a:graphicData uri="http://schemas.microsoft.com/office/word/2010/wordprocessingShape">
                    <wps:wsp>
                      <wps:cNvSpPr/>
                      <wps:spPr>
                        <a:xfrm>
                          <a:off x="0" y="0"/>
                          <a:ext cx="6118860" cy="1028700"/>
                        </a:xfrm>
                        <a:prstGeom prst="rect">
                          <a:avLst/>
                        </a:prstGeom>
                        <a:solidFill>
                          <a:sysClr val="window" lastClr="FFFFFF"/>
                        </a:solidFill>
                        <a:ln w="12700" cap="flat" cmpd="sng" algn="ctr">
                          <a:noFill/>
                          <a:prstDash val="solid"/>
                          <a:miter lim="800000"/>
                        </a:ln>
                        <a:effectLst/>
                      </wps:spPr>
                      <wps:txbx>
                        <w:txbxContent>
                          <w:p w14:paraId="1B5AFBD3" w14:textId="77A46E96" w:rsidR="007A0C3A" w:rsidRPr="006B1001" w:rsidRDefault="007A0C3A" w:rsidP="006B1001">
                            <w:pPr>
                              <w:jc w:val="center"/>
                              <w:rPr>
                                <w:b/>
                                <w:bCs/>
                              </w:rPr>
                            </w:pPr>
                            <w:r w:rsidRPr="006B1001">
                              <w:rPr>
                                <w:b/>
                                <w:bCs/>
                              </w:rPr>
                              <w:t>JUDGMENT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3D165A" id="Rectangle 2" o:spid="_x0000_s1028" style="position:absolute;left:0;text-align:left;margin-left:430.6pt;margin-top:0;width:481.8pt;height:8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" fillcolor="window" stroked="f" strokeweight="1pt">
                <v:textbox>
                  <w:txbxContent>
                    <w:p w14:paraId="1B5AFBD3" w14:textId="77A46E96" w:rsidR="007A0C3A" w:rsidRPr="006B1001" w:rsidRDefault="007A0C3A" w:rsidP="006B1001">
                      <w:pPr>
                        <w:jc w:val="center"/>
                        <w:rPr>
                          <w:b/>
                          <w:bCs/>
                        </w:rPr>
                      </w:pPr>
                      <w:r w:rsidRPr="006B1001">
                        <w:rPr>
                          <w:b/>
                          <w:bCs/>
                        </w:rPr>
                        <w:t>JUDGMENT</w:t>
                      </w:r>
                    </w:p>
                  </w:txbxContent>
                </v:textbox>
                <w10:wrap anchorx="margin"/>
              </v:rect>
            </w:pict>
          </mc:Fallback>
        </mc:AlternateContent>
      </w:r>
      <w:r w:rsidR="00A1646A">
        <w:rPr>
          <w:rFonts w:eastAsia="Calibri" w:cs="Arial"/>
          <w:b/>
        </w:rPr>
        <w:t>JUDGMENT</w:t>
      </w:r>
    </w:p>
    <w:p w14:paraId="7F56CCF0" w14:textId="2B273FB4" w:rsidR="00A1646A" w:rsidRPr="006B04C9" w:rsidRDefault="00A1646A" w:rsidP="00B420DB">
      <w:pPr>
        <w:pBdr>
          <w:top w:val="single" w:sz="12" w:space="31" w:color="auto"/>
          <w:bottom w:val="single" w:sz="12" w:space="1" w:color="auto"/>
        </w:pBdr>
        <w:tabs>
          <w:tab w:val="left" w:pos="1980"/>
          <w:tab w:val="center" w:pos="4513"/>
        </w:tabs>
        <w:rPr>
          <w:rFonts w:eastAsia="Calibri" w:cs="Arial"/>
          <w:b/>
        </w:rPr>
      </w:pPr>
    </w:p>
    <w:p w14:paraId="40010275" w14:textId="5D486966" w:rsidR="00A1646A" w:rsidRDefault="00A1646A" w:rsidP="00B420DB">
      <w:pPr>
        <w:pStyle w:val="WLGLevel1"/>
        <w:numPr>
          <w:ilvl w:val="0"/>
          <w:numId w:val="0"/>
        </w:numPr>
        <w:spacing w:before="0" w:after="0" w:line="360" w:lineRule="auto"/>
        <w:rPr>
          <w:b/>
          <w:bCs/>
          <w:u w:val="single"/>
        </w:rPr>
      </w:pPr>
    </w:p>
    <w:p w14:paraId="7CF1B87D" w14:textId="603F8108" w:rsidR="00B11BD1" w:rsidRDefault="00A1646A" w:rsidP="00B420DB">
      <w:pPr>
        <w:pStyle w:val="WLGLevel1"/>
        <w:numPr>
          <w:ilvl w:val="0"/>
          <w:numId w:val="0"/>
        </w:numPr>
        <w:spacing w:before="0" w:after="0" w:line="360" w:lineRule="auto"/>
        <w:rPr>
          <w:b/>
          <w:bCs/>
          <w:u w:val="single"/>
        </w:rPr>
      </w:pPr>
      <w:r>
        <w:rPr>
          <w:b/>
          <w:bCs/>
          <w:u w:val="single"/>
        </w:rPr>
        <w:t>YENDE AJ</w:t>
      </w:r>
    </w:p>
    <w:p w14:paraId="7ED4715A" w14:textId="77777777" w:rsidR="009A086F" w:rsidRDefault="009A086F" w:rsidP="00B420DB">
      <w:pPr>
        <w:pStyle w:val="WLGLevel1"/>
        <w:numPr>
          <w:ilvl w:val="0"/>
          <w:numId w:val="0"/>
        </w:numPr>
        <w:spacing w:before="0" w:after="0" w:line="360" w:lineRule="auto"/>
        <w:rPr>
          <w:b/>
          <w:bCs/>
          <w:u w:val="single"/>
        </w:rPr>
      </w:pPr>
    </w:p>
    <w:p w14:paraId="3A193F8E" w14:textId="77777777" w:rsidR="00B11BD1" w:rsidRDefault="00B11BD1" w:rsidP="00B420DB">
      <w:pPr>
        <w:pStyle w:val="WLGLevel1"/>
        <w:numPr>
          <w:ilvl w:val="0"/>
          <w:numId w:val="0"/>
        </w:numPr>
        <w:spacing w:before="0" w:after="0" w:line="360" w:lineRule="auto"/>
        <w:rPr>
          <w:b/>
          <w:bCs/>
          <w:u w:val="single"/>
        </w:rPr>
      </w:pPr>
    </w:p>
    <w:p w14:paraId="7372FEF8" w14:textId="06D3DA81" w:rsidR="00A1646A" w:rsidRDefault="00E34DD8" w:rsidP="00B420DB">
      <w:pPr>
        <w:pStyle w:val="WLGLevel1"/>
        <w:numPr>
          <w:ilvl w:val="0"/>
          <w:numId w:val="0"/>
        </w:numPr>
        <w:spacing w:before="0" w:after="0" w:line="360" w:lineRule="auto"/>
        <w:rPr>
          <w:b/>
          <w:bCs/>
          <w:u w:val="single"/>
        </w:rPr>
      </w:pPr>
      <w:r>
        <w:rPr>
          <w:b/>
          <w:bCs/>
          <w:u w:val="single"/>
        </w:rPr>
        <w:t xml:space="preserve">Nature of the Proceedings </w:t>
      </w:r>
    </w:p>
    <w:p w14:paraId="4B73879D" w14:textId="77777777" w:rsidR="00B11BD1" w:rsidRDefault="00B11BD1" w:rsidP="00B420DB">
      <w:pPr>
        <w:pStyle w:val="WLGLevel1"/>
        <w:numPr>
          <w:ilvl w:val="0"/>
          <w:numId w:val="0"/>
        </w:numPr>
        <w:spacing w:line="360" w:lineRule="auto"/>
        <w:rPr>
          <w:b/>
          <w:bCs/>
          <w:u w:val="single"/>
        </w:rPr>
      </w:pPr>
    </w:p>
    <w:p w14:paraId="1DAC58A0" w14:textId="342501C6" w:rsidR="00A1646A" w:rsidRDefault="00A1646A" w:rsidP="00B420DB">
      <w:pPr>
        <w:pStyle w:val="WLGLevel1"/>
        <w:numPr>
          <w:ilvl w:val="0"/>
          <w:numId w:val="0"/>
        </w:numPr>
        <w:spacing w:line="360" w:lineRule="auto"/>
      </w:pPr>
      <w:r w:rsidRPr="008047F7">
        <w:t>[1]</w:t>
      </w:r>
      <w:r w:rsidR="00D63B3D">
        <w:t xml:space="preserve"> This is an opposed application for an order to declare an arbitration </w:t>
      </w:r>
      <w:r w:rsidR="006B1001">
        <w:t>a</w:t>
      </w:r>
      <w:r w:rsidR="00D63B3D">
        <w:t xml:space="preserve">ward in recently concluded arbitration proceedings between the applicant and the respondent an order of court in terms of section 31 of the Arbitration Act 42 of 1965, the </w:t>
      </w:r>
      <w:r w:rsidR="006B1001">
        <w:t>a</w:t>
      </w:r>
      <w:r w:rsidR="00D63B3D">
        <w:t>ward was granted in favour of the applicant on 12 May 2021</w:t>
      </w:r>
      <w:r w:rsidR="00B11BD1">
        <w:rPr>
          <w:rStyle w:val="FootnoteReference"/>
        </w:rPr>
        <w:footnoteReference w:id="1"/>
      </w:r>
      <w:r w:rsidR="00D63B3D">
        <w:t xml:space="preserve">. </w:t>
      </w:r>
      <w:r w:rsidR="00A908D8">
        <w:t xml:space="preserve">The respondent opposes this application and raises Points </w:t>
      </w:r>
      <w:r w:rsidR="00A908D8" w:rsidRPr="00A908D8">
        <w:rPr>
          <w:i/>
          <w:iCs/>
        </w:rPr>
        <w:t>In Limine</w:t>
      </w:r>
      <w:r w:rsidR="00A908D8">
        <w:t>.</w:t>
      </w:r>
    </w:p>
    <w:p w14:paraId="794051E0" w14:textId="036A28C8" w:rsidR="00D63B3D" w:rsidRDefault="00D63B3D" w:rsidP="00B420DB">
      <w:pPr>
        <w:pStyle w:val="WLGLevel1"/>
        <w:numPr>
          <w:ilvl w:val="0"/>
          <w:numId w:val="0"/>
        </w:numPr>
        <w:spacing w:line="360" w:lineRule="auto"/>
      </w:pPr>
      <w:r>
        <w:t xml:space="preserve">[2] </w:t>
      </w:r>
      <w:r w:rsidR="0026439B">
        <w:t xml:space="preserve">The applicant is </w:t>
      </w:r>
      <w:r w:rsidR="0026439B" w:rsidRPr="0026439B">
        <w:rPr>
          <w:b/>
          <w:bCs/>
        </w:rPr>
        <w:t>MABRA CONSTRUCTION (PTY) LIMITED</w:t>
      </w:r>
      <w:r w:rsidR="0026439B" w:rsidRPr="0026439B">
        <w:t>, a</w:t>
      </w:r>
      <w:r w:rsidR="0026439B">
        <w:t xml:space="preserve"> private company registered with limited liability in accordance with the company laws of the Republic of South Africa with registration number</w:t>
      </w:r>
      <w:r w:rsidR="0026439B" w:rsidRPr="00B11BD1">
        <w:rPr>
          <w:b/>
          <w:bCs/>
        </w:rPr>
        <w:t xml:space="preserve"> [</w:t>
      </w:r>
      <w:r w:rsidR="00B11BD1">
        <w:rPr>
          <w:b/>
          <w:bCs/>
        </w:rPr>
        <w:t>..</w:t>
      </w:r>
      <w:r w:rsidR="0026439B" w:rsidRPr="00B11BD1">
        <w:rPr>
          <w:b/>
          <w:bCs/>
        </w:rPr>
        <w:t xml:space="preserve">.] </w:t>
      </w:r>
      <w:r w:rsidR="0026439B">
        <w:t xml:space="preserve">and having its principal place of business within the jurisdiction of this Honourable Court at </w:t>
      </w:r>
      <w:r w:rsidR="0026439B" w:rsidRPr="00B11BD1">
        <w:rPr>
          <w:b/>
          <w:bCs/>
        </w:rPr>
        <w:t>[…</w:t>
      </w:r>
      <w:r w:rsidR="0026439B">
        <w:t>] Pony Street, Tyger Valley, Pretoria.</w:t>
      </w:r>
    </w:p>
    <w:p w14:paraId="5C323325" w14:textId="370D97FC" w:rsidR="009A086F" w:rsidRDefault="00B11BD1" w:rsidP="00B420DB">
      <w:pPr>
        <w:pStyle w:val="WLGLevel1"/>
        <w:numPr>
          <w:ilvl w:val="0"/>
          <w:numId w:val="0"/>
        </w:numPr>
        <w:spacing w:line="360" w:lineRule="auto"/>
      </w:pPr>
      <w:r>
        <w:t xml:space="preserve">[3]  The respondent is </w:t>
      </w:r>
      <w:r w:rsidRPr="00B11BD1">
        <w:rPr>
          <w:b/>
          <w:bCs/>
        </w:rPr>
        <w:t>ECOLAB (PTY) LIMITED</w:t>
      </w:r>
      <w:r>
        <w:t xml:space="preserve">, </w:t>
      </w:r>
      <w:r w:rsidRPr="0026439B">
        <w:t>a</w:t>
      </w:r>
      <w:r>
        <w:t xml:space="preserve"> private company registered with limited liability in accordance with the company laws of the Republic of South Africa with registration number</w:t>
      </w:r>
      <w:r w:rsidRPr="00B11BD1">
        <w:rPr>
          <w:b/>
          <w:bCs/>
        </w:rPr>
        <w:t xml:space="preserve"> [</w:t>
      </w:r>
      <w:r>
        <w:rPr>
          <w:b/>
          <w:bCs/>
        </w:rPr>
        <w:t>..</w:t>
      </w:r>
      <w:r w:rsidRPr="00B11BD1">
        <w:rPr>
          <w:b/>
          <w:bCs/>
        </w:rPr>
        <w:t xml:space="preserve">.] </w:t>
      </w:r>
      <w:r>
        <w:t xml:space="preserve">and having its principal place of business within the jurisdiction of this Honourable Court at </w:t>
      </w:r>
      <w:r w:rsidRPr="00B11BD1">
        <w:rPr>
          <w:b/>
          <w:bCs/>
        </w:rPr>
        <w:t>[…</w:t>
      </w:r>
      <w:r>
        <w:t>] Ampere Road,</w:t>
      </w:r>
      <w:r w:rsidR="00A908D8">
        <w:t xml:space="preserve"> </w:t>
      </w:r>
      <w:r>
        <w:t>Chloorkop.</w:t>
      </w:r>
    </w:p>
    <w:p w14:paraId="2E115E18" w14:textId="77777777" w:rsidR="009A086F" w:rsidRDefault="009A086F" w:rsidP="00B420DB">
      <w:pPr>
        <w:pStyle w:val="WLGLevel1"/>
        <w:numPr>
          <w:ilvl w:val="0"/>
          <w:numId w:val="0"/>
        </w:numPr>
        <w:spacing w:line="360" w:lineRule="auto"/>
      </w:pPr>
    </w:p>
    <w:p w14:paraId="54F04AAA" w14:textId="50FB0583" w:rsidR="00B11BD1" w:rsidRDefault="00E34DD8" w:rsidP="00B420DB">
      <w:pPr>
        <w:pStyle w:val="WLGLevel1"/>
        <w:numPr>
          <w:ilvl w:val="0"/>
          <w:numId w:val="0"/>
        </w:numPr>
        <w:spacing w:line="360" w:lineRule="auto"/>
        <w:rPr>
          <w:b/>
          <w:bCs/>
        </w:rPr>
      </w:pPr>
      <w:r>
        <w:rPr>
          <w:b/>
          <w:bCs/>
        </w:rPr>
        <w:lastRenderedPageBreak/>
        <w:t>Ephemeral</w:t>
      </w:r>
      <w:r w:rsidRPr="005F3E19">
        <w:rPr>
          <w:b/>
          <w:bCs/>
        </w:rPr>
        <w:t xml:space="preserve"> </w:t>
      </w:r>
      <w:r>
        <w:rPr>
          <w:b/>
          <w:bCs/>
        </w:rPr>
        <w:t>F</w:t>
      </w:r>
      <w:r w:rsidRPr="005F3E19">
        <w:rPr>
          <w:b/>
          <w:bCs/>
        </w:rPr>
        <w:t xml:space="preserve">actual </w:t>
      </w:r>
      <w:r>
        <w:rPr>
          <w:b/>
          <w:bCs/>
        </w:rPr>
        <w:t>M</w:t>
      </w:r>
      <w:r w:rsidRPr="005F3E19">
        <w:rPr>
          <w:b/>
          <w:bCs/>
        </w:rPr>
        <w:t xml:space="preserve">atrix </w:t>
      </w:r>
    </w:p>
    <w:p w14:paraId="2E350F75" w14:textId="58E20691" w:rsidR="005F3E19" w:rsidRDefault="004E10E6" w:rsidP="00B420DB">
      <w:pPr>
        <w:pStyle w:val="WLGLevel1"/>
        <w:numPr>
          <w:ilvl w:val="0"/>
          <w:numId w:val="0"/>
        </w:numPr>
        <w:spacing w:line="360" w:lineRule="auto"/>
      </w:pPr>
      <w:r>
        <w:t>[4] The respondent appointed the applicant to undertake construction in respect of infrastructure upgrade on</w:t>
      </w:r>
      <w:r w:rsidR="00B53A2C">
        <w:t xml:space="preserve"> 21 August</w:t>
      </w:r>
      <w:r>
        <w:t xml:space="preserve"> 2019</w:t>
      </w:r>
      <w:r w:rsidR="00B53A2C">
        <w:rPr>
          <w:rStyle w:val="FootnoteReference"/>
        </w:rPr>
        <w:footnoteReference w:id="2"/>
      </w:r>
      <w:r>
        <w:t>. The applicant suspended operations on site on 27</w:t>
      </w:r>
      <w:r w:rsidR="00E34DD8">
        <w:t xml:space="preserve"> </w:t>
      </w:r>
      <w:r>
        <w:t>March 2020. A pre-mediation meeting took place between the parties on 26 November 2020. On</w:t>
      </w:r>
      <w:r w:rsidR="00141547">
        <w:t xml:space="preserve"> </w:t>
      </w:r>
      <w:r>
        <w:t xml:space="preserve">14 April 2021 parties held a virtual meeting and agreed on </w:t>
      </w:r>
      <w:r w:rsidR="00141547">
        <w:t>a</w:t>
      </w:r>
      <w:r>
        <w:t xml:space="preserve">rbitration, resulting in an </w:t>
      </w:r>
      <w:r w:rsidR="00141547">
        <w:t>A</w:t>
      </w:r>
      <w:r>
        <w:t>rbitration Agreement concluded on the 16 April 2021</w:t>
      </w:r>
      <w:r w:rsidR="001A5C3A">
        <w:rPr>
          <w:rStyle w:val="FootnoteReference"/>
        </w:rPr>
        <w:footnoteReference w:id="3"/>
      </w:r>
      <w:r>
        <w:t>.</w:t>
      </w:r>
    </w:p>
    <w:p w14:paraId="6B416151" w14:textId="396DA08F" w:rsidR="004E10E6" w:rsidRDefault="004E10E6" w:rsidP="00B420DB">
      <w:pPr>
        <w:pStyle w:val="WLGLevel1"/>
        <w:numPr>
          <w:ilvl w:val="0"/>
          <w:numId w:val="0"/>
        </w:numPr>
        <w:spacing w:line="360" w:lineRule="auto"/>
      </w:pPr>
      <w:r>
        <w:t xml:space="preserve">[5]  The parties having delivered the head of argument  on 28 April 2021 the arbitration was heard  and on 12 May 2021 the arbitrator delivered the </w:t>
      </w:r>
      <w:r w:rsidR="00395C65">
        <w:t>Arbitration</w:t>
      </w:r>
      <w:r>
        <w:t xml:space="preserve"> </w:t>
      </w:r>
      <w:r w:rsidR="00141547">
        <w:t>A</w:t>
      </w:r>
      <w:r>
        <w:t xml:space="preserve">ward </w:t>
      </w:r>
      <w:r w:rsidR="00395C65">
        <w:t>in favour of the applicant.</w:t>
      </w:r>
      <w:r>
        <w:t xml:space="preserve"> </w:t>
      </w:r>
    </w:p>
    <w:p w14:paraId="765E4D98" w14:textId="738EAB87" w:rsidR="00395C65" w:rsidRDefault="00395C65" w:rsidP="00B420DB">
      <w:pPr>
        <w:pStyle w:val="WLGLevel1"/>
        <w:numPr>
          <w:ilvl w:val="0"/>
          <w:numId w:val="0"/>
        </w:numPr>
        <w:spacing w:line="360" w:lineRule="auto"/>
      </w:pPr>
      <w:r>
        <w:t xml:space="preserve">[6]  Armed with the </w:t>
      </w:r>
      <w:r w:rsidR="00141547">
        <w:t>A</w:t>
      </w:r>
      <w:r>
        <w:t xml:space="preserve">rbitration </w:t>
      </w:r>
      <w:r w:rsidR="00141547">
        <w:t>A</w:t>
      </w:r>
      <w:r>
        <w:t>ward, the applicant terminated the JBCC PDA on the 24 June 2021</w:t>
      </w:r>
      <w:r w:rsidR="008F1D71">
        <w:rPr>
          <w:rStyle w:val="FootnoteReference"/>
        </w:rPr>
        <w:footnoteReference w:id="4"/>
      </w:r>
      <w:r>
        <w:t xml:space="preserve">. On the same day the respondent served a </w:t>
      </w:r>
      <w:r w:rsidR="00141547">
        <w:t>N</w:t>
      </w:r>
      <w:r>
        <w:t xml:space="preserve">otice of </w:t>
      </w:r>
      <w:r w:rsidR="00141547">
        <w:t>R</w:t>
      </w:r>
      <w:r>
        <w:t xml:space="preserve">eview / </w:t>
      </w:r>
      <w:r w:rsidR="00141547">
        <w:t>A</w:t>
      </w:r>
      <w:r>
        <w:t>ppeal request</w:t>
      </w:r>
      <w:r w:rsidR="00141547">
        <w:t>ing</w:t>
      </w:r>
      <w:r>
        <w:t xml:space="preserve"> reasons for the award from the Arbitrator. On  31 December 2021 the Arbitrator responded and informed the parties that the </w:t>
      </w:r>
      <w:r w:rsidR="00141547">
        <w:t>A</w:t>
      </w:r>
      <w:r>
        <w:t xml:space="preserve">rbitration </w:t>
      </w:r>
      <w:r w:rsidR="00141547">
        <w:t>A</w:t>
      </w:r>
      <w:r>
        <w:t>ward sufficiently sets out his reasons for the award</w:t>
      </w:r>
      <w:r w:rsidR="008F1D71">
        <w:rPr>
          <w:rStyle w:val="FootnoteReference"/>
        </w:rPr>
        <w:footnoteReference w:id="5"/>
      </w:r>
      <w:r>
        <w:t>.</w:t>
      </w:r>
    </w:p>
    <w:p w14:paraId="25AF6E93" w14:textId="7638DB3C" w:rsidR="008F1D71" w:rsidRDefault="008F1D71" w:rsidP="00B420DB">
      <w:pPr>
        <w:pStyle w:val="WLGLevel1"/>
        <w:numPr>
          <w:ilvl w:val="0"/>
          <w:numId w:val="0"/>
        </w:numPr>
        <w:spacing w:line="360" w:lineRule="auto"/>
      </w:pPr>
      <w:r>
        <w:t>[7]</w:t>
      </w:r>
      <w:r w:rsidR="001A5C3A">
        <w:t xml:space="preserve">  The respondent aggrieved by the decision of the Arbitrator, on 24</w:t>
      </w:r>
      <w:r w:rsidR="00B53A2C">
        <w:t xml:space="preserve"> </w:t>
      </w:r>
      <w:r w:rsidR="001A5C3A">
        <w:t>June 2021</w:t>
      </w:r>
      <w:r w:rsidR="00381EE7">
        <w:t xml:space="preserve"> it launched a Notice of Review / Appeal in this Court</w:t>
      </w:r>
      <w:r w:rsidR="00381EE7">
        <w:rPr>
          <w:rStyle w:val="FootnoteReference"/>
        </w:rPr>
        <w:footnoteReference w:id="6"/>
      </w:r>
      <w:r w:rsidR="00381EE7">
        <w:t xml:space="preserve"> against the Arbitral award.</w:t>
      </w:r>
    </w:p>
    <w:p w14:paraId="0DCE928E" w14:textId="014CAAFB" w:rsidR="00D932C6" w:rsidRDefault="00D932C6" w:rsidP="00B420DB">
      <w:pPr>
        <w:pStyle w:val="WLGLevel1"/>
        <w:numPr>
          <w:ilvl w:val="0"/>
          <w:numId w:val="0"/>
        </w:numPr>
        <w:spacing w:line="360" w:lineRule="auto"/>
      </w:pPr>
      <w:r>
        <w:t>[8] On 15 October 2021 the applicant launched the present application seeking relief from the Court that;</w:t>
      </w:r>
    </w:p>
    <w:p w14:paraId="23C14F4E" w14:textId="7AFE0E0F" w:rsidR="00D932C6" w:rsidRDefault="00D932C6" w:rsidP="00B420DB">
      <w:pPr>
        <w:pStyle w:val="WLGLevel1"/>
        <w:numPr>
          <w:ilvl w:val="0"/>
          <w:numId w:val="0"/>
        </w:numPr>
        <w:spacing w:line="360" w:lineRule="auto"/>
      </w:pPr>
      <w:r>
        <w:t>[8.1] the Arbitration Award dated the 12 May 2021 be made an order of Court;</w:t>
      </w:r>
    </w:p>
    <w:p w14:paraId="46296161" w14:textId="4B79FF0A" w:rsidR="00D932C6" w:rsidRDefault="00D932C6" w:rsidP="00B420DB">
      <w:pPr>
        <w:pStyle w:val="WLGLevel1"/>
        <w:numPr>
          <w:ilvl w:val="0"/>
          <w:numId w:val="0"/>
        </w:numPr>
        <w:spacing w:line="360" w:lineRule="auto"/>
      </w:pPr>
      <w:r>
        <w:t>[8.2] there shall be no order as to costs, save in the event of opposition, in which case the respondent shall pay the costs of this Application</w:t>
      </w:r>
      <w:r>
        <w:rPr>
          <w:rStyle w:val="FootnoteReference"/>
        </w:rPr>
        <w:footnoteReference w:id="7"/>
      </w:r>
      <w:r>
        <w:t>.</w:t>
      </w:r>
    </w:p>
    <w:p w14:paraId="6094839E" w14:textId="7C920E38" w:rsidR="00843817" w:rsidRPr="00843817" w:rsidRDefault="005B6899" w:rsidP="00B420DB">
      <w:pPr>
        <w:pStyle w:val="WLGLevel1"/>
        <w:numPr>
          <w:ilvl w:val="0"/>
          <w:numId w:val="0"/>
        </w:numPr>
        <w:spacing w:line="360" w:lineRule="auto"/>
        <w:rPr>
          <w:b/>
          <w:bCs/>
        </w:rPr>
      </w:pPr>
      <w:r>
        <w:rPr>
          <w:b/>
          <w:bCs/>
        </w:rPr>
        <w:lastRenderedPageBreak/>
        <w:t>Evidence</w:t>
      </w:r>
      <w:r w:rsidR="00843817" w:rsidRPr="00843817">
        <w:rPr>
          <w:b/>
          <w:bCs/>
        </w:rPr>
        <w:t>.</w:t>
      </w:r>
    </w:p>
    <w:p w14:paraId="507D45D9" w14:textId="50985FD5" w:rsidR="002C0E7B" w:rsidRDefault="002C0E7B" w:rsidP="00B420DB">
      <w:pPr>
        <w:pStyle w:val="WLGLevel1"/>
        <w:numPr>
          <w:ilvl w:val="0"/>
          <w:numId w:val="0"/>
        </w:numPr>
        <w:spacing w:line="360" w:lineRule="auto"/>
      </w:pPr>
      <w:r>
        <w:t xml:space="preserve">[9]  The Respondent opposes the relief sought on the following basis, inter alia with </w:t>
      </w:r>
      <w:r w:rsidR="00843817">
        <w:t>three</w:t>
      </w:r>
      <w:r>
        <w:t xml:space="preserve"> points </w:t>
      </w:r>
      <w:r w:rsidR="003A18CB">
        <w:rPr>
          <w:i/>
          <w:iCs/>
        </w:rPr>
        <w:t>I</w:t>
      </w:r>
      <w:r w:rsidRPr="003A18CB">
        <w:rPr>
          <w:i/>
          <w:iCs/>
        </w:rPr>
        <w:t>n limine</w:t>
      </w:r>
      <w:r>
        <w:t>, but not limited thereto</w:t>
      </w:r>
      <w:r w:rsidR="00B27864">
        <w:rPr>
          <w:rStyle w:val="FootnoteReference"/>
        </w:rPr>
        <w:footnoteReference w:id="8"/>
      </w:r>
      <w:r>
        <w:t>:</w:t>
      </w:r>
    </w:p>
    <w:p w14:paraId="61323C06" w14:textId="77777777" w:rsidR="002C0E7B" w:rsidRDefault="002C0E7B" w:rsidP="00B420DB">
      <w:pPr>
        <w:pStyle w:val="WLGLevel1"/>
        <w:numPr>
          <w:ilvl w:val="0"/>
          <w:numId w:val="0"/>
        </w:numPr>
        <w:spacing w:before="0" w:line="360" w:lineRule="auto"/>
      </w:pPr>
      <w:r>
        <w:t xml:space="preserve"> a. RES JUDICATA </w:t>
      </w:r>
    </w:p>
    <w:p w14:paraId="26B6518E" w14:textId="77777777" w:rsidR="002C0E7B" w:rsidRDefault="002C0E7B" w:rsidP="00B420DB">
      <w:pPr>
        <w:pStyle w:val="WLGLevel1"/>
        <w:numPr>
          <w:ilvl w:val="0"/>
          <w:numId w:val="0"/>
        </w:numPr>
        <w:spacing w:before="0" w:line="360" w:lineRule="auto"/>
      </w:pPr>
      <w:r>
        <w:t xml:space="preserve">b. LIS PENDENSE </w:t>
      </w:r>
    </w:p>
    <w:p w14:paraId="5D9AFF7A" w14:textId="25690017" w:rsidR="002C0E7B" w:rsidRDefault="002C0E7B" w:rsidP="00B420DB">
      <w:pPr>
        <w:pStyle w:val="WLGLevel1"/>
        <w:numPr>
          <w:ilvl w:val="0"/>
          <w:numId w:val="0"/>
        </w:numPr>
        <w:spacing w:before="0" w:line="360" w:lineRule="auto"/>
      </w:pPr>
      <w:r>
        <w:t xml:space="preserve">c. LOCUS STANDI </w:t>
      </w:r>
    </w:p>
    <w:p w14:paraId="41C8649F" w14:textId="0B1FF8E2" w:rsidR="00F94AF5" w:rsidRDefault="00F94AF5" w:rsidP="00B420DB">
      <w:pPr>
        <w:pStyle w:val="WLGLevel1"/>
        <w:numPr>
          <w:ilvl w:val="0"/>
          <w:numId w:val="0"/>
        </w:numPr>
        <w:spacing w:before="0" w:line="360" w:lineRule="auto"/>
      </w:pPr>
      <w:r>
        <w:t xml:space="preserve">d. JURISDICTION </w:t>
      </w:r>
    </w:p>
    <w:p w14:paraId="78BD0DAE" w14:textId="77777777" w:rsidR="004C1DA9" w:rsidRDefault="004C1DA9" w:rsidP="00B420DB">
      <w:pPr>
        <w:pStyle w:val="WLGLevel1"/>
        <w:numPr>
          <w:ilvl w:val="0"/>
          <w:numId w:val="0"/>
        </w:numPr>
        <w:spacing w:before="0" w:line="360" w:lineRule="auto"/>
      </w:pPr>
    </w:p>
    <w:p w14:paraId="28EC9EDF" w14:textId="773F3495" w:rsidR="007F594E" w:rsidRDefault="007F594E" w:rsidP="00B420DB">
      <w:pPr>
        <w:pStyle w:val="WLGLevel1"/>
        <w:numPr>
          <w:ilvl w:val="0"/>
          <w:numId w:val="0"/>
        </w:numPr>
        <w:spacing w:before="0" w:line="360" w:lineRule="auto"/>
        <w:rPr>
          <w:i/>
          <w:iCs/>
        </w:rPr>
      </w:pPr>
      <w:r>
        <w:t xml:space="preserve">[10] The respondent proceeded to examine the three Points </w:t>
      </w:r>
      <w:r>
        <w:rPr>
          <w:i/>
          <w:iCs/>
        </w:rPr>
        <w:t>I</w:t>
      </w:r>
      <w:r w:rsidRPr="007F594E">
        <w:rPr>
          <w:i/>
          <w:iCs/>
        </w:rPr>
        <w:t>n limine</w:t>
      </w:r>
      <w:r>
        <w:t xml:space="preserve"> addressing same  separately </w:t>
      </w:r>
      <w:r w:rsidRPr="007F594E">
        <w:rPr>
          <w:i/>
          <w:iCs/>
        </w:rPr>
        <w:t xml:space="preserve">seriatim </w:t>
      </w:r>
      <w:r>
        <w:rPr>
          <w:i/>
          <w:iCs/>
        </w:rPr>
        <w:t>;</w:t>
      </w:r>
    </w:p>
    <w:p w14:paraId="6A9743C6" w14:textId="77777777" w:rsidR="009A086F" w:rsidRDefault="009A086F" w:rsidP="00B420DB">
      <w:pPr>
        <w:pStyle w:val="WLGLevel1"/>
        <w:numPr>
          <w:ilvl w:val="0"/>
          <w:numId w:val="0"/>
        </w:numPr>
        <w:spacing w:before="0" w:line="360" w:lineRule="auto"/>
      </w:pPr>
    </w:p>
    <w:p w14:paraId="1BD4DFCC" w14:textId="0BB47BFA" w:rsidR="007F594E" w:rsidRPr="005F3E19" w:rsidRDefault="007F594E" w:rsidP="00B420DB">
      <w:pPr>
        <w:pStyle w:val="WLGLevel1"/>
        <w:numPr>
          <w:ilvl w:val="0"/>
          <w:numId w:val="0"/>
        </w:numPr>
        <w:spacing w:before="0" w:line="360" w:lineRule="auto"/>
      </w:pPr>
      <w:r>
        <w:t>[11] RES JUDICATA</w:t>
      </w:r>
    </w:p>
    <w:p w14:paraId="15F61EF5" w14:textId="77777777" w:rsidR="00672A20" w:rsidRDefault="007F594E" w:rsidP="00B420DB">
      <w:pPr>
        <w:pStyle w:val="WLGLevel1"/>
        <w:numPr>
          <w:ilvl w:val="0"/>
          <w:numId w:val="0"/>
        </w:numPr>
        <w:spacing w:before="0" w:after="0" w:line="360" w:lineRule="auto"/>
      </w:pPr>
      <w:r>
        <w:rPr>
          <w:lang w:val="en-US"/>
        </w:rPr>
        <w:t xml:space="preserve">        </w:t>
      </w:r>
      <w:r>
        <w:t xml:space="preserve">a. The Respondent’s view is that the Applicant seek to broaden the scope of the </w:t>
      </w:r>
    </w:p>
    <w:p w14:paraId="048BDBF1" w14:textId="77777777" w:rsidR="00672A20" w:rsidRDefault="00672A20" w:rsidP="00B420DB">
      <w:pPr>
        <w:pStyle w:val="WLGLevel1"/>
        <w:numPr>
          <w:ilvl w:val="0"/>
          <w:numId w:val="0"/>
        </w:numPr>
        <w:spacing w:before="0" w:after="0" w:line="360" w:lineRule="auto"/>
      </w:pPr>
      <w:r>
        <w:t xml:space="preserve">          </w:t>
      </w:r>
      <w:r w:rsidR="00B27864">
        <w:t xml:space="preserve">  </w:t>
      </w:r>
      <w:r w:rsidR="007F594E">
        <w:t xml:space="preserve">application by bringing certain facts and information before the court which has </w:t>
      </w:r>
    </w:p>
    <w:p w14:paraId="43189A91" w14:textId="6CAB0C96" w:rsidR="007F594E" w:rsidRDefault="00672A20" w:rsidP="00B420DB">
      <w:pPr>
        <w:pStyle w:val="WLGLevel1"/>
        <w:numPr>
          <w:ilvl w:val="0"/>
          <w:numId w:val="0"/>
        </w:numPr>
        <w:spacing w:before="0" w:after="0" w:line="360" w:lineRule="auto"/>
      </w:pPr>
      <w:r>
        <w:t xml:space="preserve">            </w:t>
      </w:r>
      <w:r w:rsidR="007F594E">
        <w:t>already been deliberated on by the appointed Arbitrator.</w:t>
      </w:r>
    </w:p>
    <w:p w14:paraId="532DA4C7" w14:textId="77777777" w:rsidR="00B420DB" w:rsidRDefault="00B420DB" w:rsidP="00B420DB">
      <w:pPr>
        <w:pStyle w:val="WLGLevel1"/>
        <w:numPr>
          <w:ilvl w:val="0"/>
          <w:numId w:val="0"/>
        </w:numPr>
        <w:spacing w:before="0" w:after="0" w:line="360" w:lineRule="auto"/>
      </w:pPr>
    </w:p>
    <w:p w14:paraId="2F4B4E5F" w14:textId="77777777" w:rsidR="00672A20" w:rsidRDefault="007F594E" w:rsidP="00B420DB">
      <w:pPr>
        <w:pStyle w:val="WLGLevel1"/>
        <w:numPr>
          <w:ilvl w:val="0"/>
          <w:numId w:val="0"/>
        </w:numPr>
        <w:spacing w:before="0" w:after="0" w:line="360" w:lineRule="auto"/>
      </w:pPr>
      <w:r>
        <w:t xml:space="preserve">       b. The view of the Respondent is that the Applicant is attempting to retry issues that </w:t>
      </w:r>
    </w:p>
    <w:p w14:paraId="64CD3025" w14:textId="77777777" w:rsidR="00672A20" w:rsidRDefault="00672A20" w:rsidP="00B420DB">
      <w:pPr>
        <w:pStyle w:val="WLGLevel1"/>
        <w:numPr>
          <w:ilvl w:val="0"/>
          <w:numId w:val="0"/>
        </w:numPr>
        <w:spacing w:before="0" w:after="0" w:line="360" w:lineRule="auto"/>
      </w:pPr>
      <w:r>
        <w:t xml:space="preserve">            </w:t>
      </w:r>
      <w:r w:rsidR="007F594E">
        <w:t>was already deliberated on in the court, while the issues are no longer open for</w:t>
      </w:r>
    </w:p>
    <w:p w14:paraId="52F28778" w14:textId="10D13C82" w:rsidR="003A18CB" w:rsidRDefault="00672A20" w:rsidP="00B420DB">
      <w:pPr>
        <w:pStyle w:val="WLGLevel1"/>
        <w:numPr>
          <w:ilvl w:val="0"/>
          <w:numId w:val="0"/>
        </w:numPr>
        <w:spacing w:before="0" w:after="0" w:line="360" w:lineRule="auto"/>
      </w:pPr>
      <w:r>
        <w:t xml:space="preserve">           </w:t>
      </w:r>
      <w:r w:rsidR="007F594E">
        <w:t xml:space="preserve"> deliberation.</w:t>
      </w:r>
    </w:p>
    <w:p w14:paraId="2574BC2A" w14:textId="215BBBC2" w:rsidR="00B420DB" w:rsidRDefault="00B420DB" w:rsidP="00B420DB">
      <w:pPr>
        <w:pStyle w:val="WLGLevel1"/>
        <w:numPr>
          <w:ilvl w:val="0"/>
          <w:numId w:val="0"/>
        </w:numPr>
        <w:spacing w:before="0" w:after="0" w:line="360" w:lineRule="auto"/>
      </w:pPr>
      <w:r>
        <w:t xml:space="preserve">  </w:t>
      </w:r>
    </w:p>
    <w:p w14:paraId="7D6FFC8A" w14:textId="77777777" w:rsidR="00B420DB" w:rsidRDefault="00B420DB" w:rsidP="00B420DB">
      <w:pPr>
        <w:pStyle w:val="WLGLevel1"/>
        <w:numPr>
          <w:ilvl w:val="0"/>
          <w:numId w:val="0"/>
        </w:numPr>
        <w:spacing w:before="0" w:after="0" w:line="360" w:lineRule="auto"/>
      </w:pPr>
    </w:p>
    <w:p w14:paraId="21692F95" w14:textId="69039608" w:rsidR="00B420DB" w:rsidRDefault="007F594E" w:rsidP="00B420DB">
      <w:pPr>
        <w:pStyle w:val="WLGLevel1"/>
        <w:numPr>
          <w:ilvl w:val="0"/>
          <w:numId w:val="0"/>
        </w:numPr>
        <w:spacing w:before="0" w:after="0" w:line="360" w:lineRule="auto"/>
      </w:pPr>
      <w:r>
        <w:lastRenderedPageBreak/>
        <w:t xml:space="preserve"> c. </w:t>
      </w:r>
      <w:r w:rsidRPr="00B27864">
        <w:rPr>
          <w:i/>
          <w:iCs/>
        </w:rPr>
        <w:t>In Ascendis Animal Health (Pty) Ltd v Merck Sharpe Dohme Corporation</w:t>
      </w:r>
      <w:r w:rsidR="00B27864">
        <w:rPr>
          <w:rStyle w:val="FootnoteReference"/>
          <w:i/>
          <w:iCs/>
        </w:rPr>
        <w:footnoteReference w:id="9"/>
      </w:r>
      <w:r w:rsidR="00B420DB">
        <w:rPr>
          <w:i/>
          <w:iCs/>
        </w:rPr>
        <w:t xml:space="preserve"> </w:t>
      </w:r>
      <w:r>
        <w:t>the</w:t>
      </w:r>
    </w:p>
    <w:p w14:paraId="1E9C3FDB" w14:textId="08459371" w:rsidR="00B420DB" w:rsidRDefault="00B420DB" w:rsidP="00B420DB">
      <w:pPr>
        <w:pStyle w:val="WLGLevel1"/>
        <w:numPr>
          <w:ilvl w:val="0"/>
          <w:numId w:val="0"/>
        </w:numPr>
        <w:spacing w:before="0" w:after="0" w:line="360" w:lineRule="auto"/>
      </w:pPr>
      <w:r>
        <w:t xml:space="preserve">     </w:t>
      </w:r>
      <w:r w:rsidR="007F594E">
        <w:t xml:space="preserve">Constitutional Court by Khampepe (J) confirmed that the test for res judicata is </w:t>
      </w:r>
    </w:p>
    <w:p w14:paraId="2D319294" w14:textId="19154590" w:rsidR="00B27864" w:rsidRDefault="00B420DB" w:rsidP="00B420DB">
      <w:pPr>
        <w:pStyle w:val="WLGLevel1"/>
        <w:numPr>
          <w:ilvl w:val="0"/>
          <w:numId w:val="0"/>
        </w:numPr>
        <w:spacing w:before="0" w:after="0" w:line="360" w:lineRule="auto"/>
      </w:pPr>
      <w:r>
        <w:t xml:space="preserve">     </w:t>
      </w:r>
      <w:r w:rsidR="007F594E">
        <w:t>standing on four legs:</w:t>
      </w:r>
      <w:r>
        <w:t xml:space="preserve"> </w:t>
      </w:r>
    </w:p>
    <w:p w14:paraId="22CF9640" w14:textId="133B836A" w:rsidR="00B420DB" w:rsidRDefault="007F594E" w:rsidP="00B420DB">
      <w:pPr>
        <w:pStyle w:val="WLGLevel1"/>
        <w:numPr>
          <w:ilvl w:val="0"/>
          <w:numId w:val="6"/>
        </w:numPr>
        <w:spacing w:line="360" w:lineRule="auto"/>
      </w:pPr>
      <w:r>
        <w:t>Same parties (which in this matter is indeed the case),</w:t>
      </w:r>
    </w:p>
    <w:p w14:paraId="347A73D8" w14:textId="13C3E07F" w:rsidR="00B11BD1" w:rsidRDefault="00B27864" w:rsidP="00B420DB">
      <w:pPr>
        <w:pStyle w:val="WLGLevel1"/>
        <w:numPr>
          <w:ilvl w:val="0"/>
          <w:numId w:val="0"/>
        </w:numPr>
        <w:spacing w:line="360" w:lineRule="auto"/>
      </w:pPr>
      <w:r>
        <w:t xml:space="preserve">      </w:t>
      </w:r>
      <w:r w:rsidR="007F594E">
        <w:t xml:space="preserve"> ii. Same cause of action (which again is the case)</w:t>
      </w:r>
      <w:r>
        <w:t>,</w:t>
      </w:r>
    </w:p>
    <w:p w14:paraId="46589537" w14:textId="676FD18F" w:rsidR="00B27864" w:rsidRDefault="00B27864" w:rsidP="00B420DB">
      <w:pPr>
        <w:pStyle w:val="WLGLevel1"/>
        <w:numPr>
          <w:ilvl w:val="0"/>
          <w:numId w:val="0"/>
        </w:numPr>
        <w:spacing w:line="360" w:lineRule="auto"/>
      </w:pPr>
      <w:r>
        <w:t xml:space="preserve">       iii. Same relief (in bringing all the same issues before court, it is again the case),</w:t>
      </w:r>
    </w:p>
    <w:p w14:paraId="4DE656ED" w14:textId="0D7DA621" w:rsidR="00B27864" w:rsidRDefault="00B27864" w:rsidP="00B420DB">
      <w:pPr>
        <w:pStyle w:val="WLGLevel1"/>
        <w:numPr>
          <w:ilvl w:val="0"/>
          <w:numId w:val="0"/>
        </w:numPr>
        <w:spacing w:line="360" w:lineRule="auto"/>
      </w:pPr>
      <w:r>
        <w:t xml:space="preserve">       iv. And a final judgment (the arbitrator’s judgment) </w:t>
      </w:r>
    </w:p>
    <w:p w14:paraId="47889EFB" w14:textId="670166D1" w:rsidR="00B420DB" w:rsidRDefault="00B27864" w:rsidP="00B420DB">
      <w:pPr>
        <w:pStyle w:val="WLGLevel1"/>
        <w:numPr>
          <w:ilvl w:val="0"/>
          <w:numId w:val="0"/>
        </w:numPr>
        <w:spacing w:before="0" w:after="0" w:line="360" w:lineRule="auto"/>
      </w:pPr>
      <w:r>
        <w:t>d. In the reading of the affidavit filed by the Applicant herein, it is thus clear that the</w:t>
      </w:r>
    </w:p>
    <w:p w14:paraId="61C08ED1" w14:textId="3333D865" w:rsidR="00B420DB" w:rsidRDefault="00B27864" w:rsidP="00B420DB">
      <w:pPr>
        <w:pStyle w:val="WLGLevel1"/>
        <w:numPr>
          <w:ilvl w:val="0"/>
          <w:numId w:val="0"/>
        </w:numPr>
        <w:spacing w:before="0" w:after="0" w:line="360" w:lineRule="auto"/>
      </w:pPr>
      <w:r>
        <w:t xml:space="preserve"> </w:t>
      </w:r>
      <w:r w:rsidR="00B420DB">
        <w:t xml:space="preserve">    </w:t>
      </w:r>
      <w:r>
        <w:t xml:space="preserve">requirements for successful reliance on the doctrine of res judicata by the Respondent </w:t>
      </w:r>
    </w:p>
    <w:p w14:paraId="476B492C" w14:textId="400414C8" w:rsidR="00B27864" w:rsidRDefault="00B420DB" w:rsidP="00B420DB">
      <w:pPr>
        <w:pStyle w:val="WLGLevel1"/>
        <w:numPr>
          <w:ilvl w:val="0"/>
          <w:numId w:val="0"/>
        </w:numPr>
        <w:spacing w:before="0" w:after="0" w:line="360" w:lineRule="auto"/>
      </w:pPr>
      <w:r>
        <w:t xml:space="preserve">     </w:t>
      </w:r>
      <w:r w:rsidR="00B27864">
        <w:t xml:space="preserve">is indeed fulfilled. </w:t>
      </w:r>
    </w:p>
    <w:p w14:paraId="609A5409" w14:textId="77777777" w:rsidR="00B420DB" w:rsidRDefault="00B420DB" w:rsidP="00B420DB">
      <w:pPr>
        <w:pStyle w:val="WLGLevel1"/>
        <w:numPr>
          <w:ilvl w:val="0"/>
          <w:numId w:val="0"/>
        </w:numPr>
        <w:spacing w:before="0" w:after="0" w:line="360" w:lineRule="auto"/>
      </w:pPr>
    </w:p>
    <w:p w14:paraId="0CC96D27" w14:textId="77777777" w:rsidR="00B420DB" w:rsidRDefault="00B27864" w:rsidP="00B420DB">
      <w:pPr>
        <w:pStyle w:val="WLGLevel1"/>
        <w:numPr>
          <w:ilvl w:val="0"/>
          <w:numId w:val="0"/>
        </w:numPr>
        <w:spacing w:before="0" w:after="0" w:line="360" w:lineRule="auto"/>
      </w:pPr>
      <w:r>
        <w:t>e. Where the application should have been a simple application to make the arbitration</w:t>
      </w:r>
    </w:p>
    <w:p w14:paraId="23D017A3" w14:textId="77777777" w:rsidR="00B420DB" w:rsidRDefault="00B420DB" w:rsidP="00B420DB">
      <w:pPr>
        <w:pStyle w:val="WLGLevel1"/>
        <w:numPr>
          <w:ilvl w:val="0"/>
          <w:numId w:val="0"/>
        </w:numPr>
        <w:spacing w:before="0" w:after="0" w:line="360" w:lineRule="auto"/>
      </w:pPr>
      <w:r>
        <w:t xml:space="preserve">  </w:t>
      </w:r>
      <w:r w:rsidR="00B27864">
        <w:t xml:space="preserve"> </w:t>
      </w:r>
      <w:r>
        <w:t xml:space="preserve"> </w:t>
      </w:r>
      <w:r w:rsidR="00B27864">
        <w:t xml:space="preserve">award an order of court, the Applicant chose to mention and state all facts again and </w:t>
      </w:r>
    </w:p>
    <w:p w14:paraId="308171CB" w14:textId="28D152DF" w:rsidR="00B27864" w:rsidRDefault="00B420DB" w:rsidP="00B420DB">
      <w:pPr>
        <w:pStyle w:val="WLGLevel1"/>
        <w:numPr>
          <w:ilvl w:val="0"/>
          <w:numId w:val="0"/>
        </w:numPr>
        <w:spacing w:before="0" w:after="0" w:line="360" w:lineRule="auto"/>
      </w:pPr>
      <w:r>
        <w:t xml:space="preserve">    therefore,</w:t>
      </w:r>
      <w:r w:rsidR="00B27864">
        <w:t xml:space="preserve"> the Respondent took issue herewith.</w:t>
      </w:r>
    </w:p>
    <w:p w14:paraId="7D6CB083" w14:textId="2086478F" w:rsidR="00FE4B9C" w:rsidRDefault="00FE4B9C" w:rsidP="00B420DB">
      <w:pPr>
        <w:pStyle w:val="WLGLevel1"/>
        <w:numPr>
          <w:ilvl w:val="0"/>
          <w:numId w:val="0"/>
        </w:numPr>
        <w:spacing w:line="360" w:lineRule="auto"/>
      </w:pPr>
      <w:r>
        <w:t>[12]</w:t>
      </w:r>
      <w:r w:rsidR="00630D48">
        <w:t xml:space="preserve"> </w:t>
      </w:r>
      <w:r>
        <w:t xml:space="preserve"> </w:t>
      </w:r>
      <w:r w:rsidRPr="009E53ED">
        <w:rPr>
          <w:i/>
          <w:iCs/>
        </w:rPr>
        <w:t>LIS PENDENSE</w:t>
      </w:r>
      <w:r>
        <w:t xml:space="preserve"> </w:t>
      </w:r>
    </w:p>
    <w:p w14:paraId="63E7D0BD" w14:textId="01D9C0BB" w:rsidR="00FE4B9C" w:rsidRDefault="00FE4B9C" w:rsidP="00B420DB">
      <w:pPr>
        <w:pStyle w:val="WLGLevel1"/>
        <w:numPr>
          <w:ilvl w:val="0"/>
          <w:numId w:val="0"/>
        </w:numPr>
        <w:spacing w:line="360" w:lineRule="auto"/>
      </w:pPr>
      <w:r>
        <w:t xml:space="preserve">        a. The view of the Respondent is that the application before court, brings various  aspects before court which has already been decided and ran its course in the arbitration proceedings.</w:t>
      </w:r>
    </w:p>
    <w:p w14:paraId="4C1D965B" w14:textId="40647EF1" w:rsidR="00FE4B9C" w:rsidRDefault="00FE4B9C" w:rsidP="00B420DB">
      <w:pPr>
        <w:pStyle w:val="WLGLevel1"/>
        <w:numPr>
          <w:ilvl w:val="0"/>
          <w:numId w:val="0"/>
        </w:numPr>
        <w:spacing w:line="360" w:lineRule="auto"/>
      </w:pPr>
      <w:r>
        <w:t xml:space="preserve">     </w:t>
      </w:r>
      <w:r w:rsidR="00630D48">
        <w:t xml:space="preserve">  </w:t>
      </w:r>
      <w:r>
        <w:t>b. This</w:t>
      </w:r>
      <w:r w:rsidR="007E34AC">
        <w:t xml:space="preserve"> </w:t>
      </w:r>
      <w:r>
        <w:t>is exactly where the prematurity of this application finds its feet. The Respondent filed a Notice of Appeal/Review on the 24th of June 2021 on the appointed Arbitrator, which result in the Arbitrator to give reasons for his award as granted.</w:t>
      </w:r>
    </w:p>
    <w:p w14:paraId="56C7CF01" w14:textId="63B2041F" w:rsidR="00FE4B9C" w:rsidRDefault="00630D48" w:rsidP="00B420DB">
      <w:pPr>
        <w:pStyle w:val="WLGLevel1"/>
        <w:numPr>
          <w:ilvl w:val="0"/>
          <w:numId w:val="0"/>
        </w:numPr>
        <w:spacing w:line="360" w:lineRule="auto"/>
      </w:pPr>
      <w:r>
        <w:lastRenderedPageBreak/>
        <w:t xml:space="preserve">   </w:t>
      </w:r>
      <w:r w:rsidR="00FE4B9C">
        <w:t xml:space="preserve"> </w:t>
      </w:r>
      <w:r>
        <w:t xml:space="preserve">   </w:t>
      </w:r>
      <w:r w:rsidR="00FE4B9C">
        <w:t xml:space="preserve">c. </w:t>
      </w:r>
      <w:r>
        <w:t xml:space="preserve"> </w:t>
      </w:r>
      <w:r w:rsidR="00FE4B9C">
        <w:t xml:space="preserve">Whilst the Respondent still waited for the Arbitrator to supply his reasons, the Applicant proceeded on the 13th of October 2021 to give notice of the main application by serving a Notice of Motion praying that the arbitration award be made an order of court. </w:t>
      </w:r>
    </w:p>
    <w:p w14:paraId="2BF24577" w14:textId="1AFA2C54" w:rsidR="00FE4B9C" w:rsidRDefault="00630D48" w:rsidP="00B420DB">
      <w:pPr>
        <w:pStyle w:val="WLGLevel1"/>
        <w:numPr>
          <w:ilvl w:val="0"/>
          <w:numId w:val="0"/>
        </w:numPr>
        <w:spacing w:line="360" w:lineRule="auto"/>
      </w:pPr>
      <w:r>
        <w:t xml:space="preserve">       </w:t>
      </w:r>
      <w:r w:rsidR="00FE4B9C">
        <w:t>d. The Arbitrator only gave his reasons for his reward in December 2021.</w:t>
      </w:r>
    </w:p>
    <w:p w14:paraId="02BF970B" w14:textId="6436AC8B" w:rsidR="00FE4B9C" w:rsidRDefault="00630D48" w:rsidP="00B420DB">
      <w:pPr>
        <w:pStyle w:val="WLGLevel1"/>
        <w:numPr>
          <w:ilvl w:val="0"/>
          <w:numId w:val="0"/>
        </w:numPr>
        <w:spacing w:line="360" w:lineRule="auto"/>
      </w:pPr>
      <w:r>
        <w:t xml:space="preserve">       </w:t>
      </w:r>
      <w:r w:rsidR="00FE4B9C">
        <w:t xml:space="preserve">e. This ultimately result in the application being pre-maturely set down for an order which is still subject to the process of appeal/review. </w:t>
      </w:r>
    </w:p>
    <w:p w14:paraId="629FD945" w14:textId="579F5A95" w:rsidR="00FE4B9C" w:rsidRDefault="00630D48" w:rsidP="00B420DB">
      <w:pPr>
        <w:pStyle w:val="WLGLevel1"/>
        <w:numPr>
          <w:ilvl w:val="0"/>
          <w:numId w:val="0"/>
        </w:numPr>
        <w:spacing w:line="360" w:lineRule="auto"/>
      </w:pPr>
      <w:r>
        <w:t xml:space="preserve">       </w:t>
      </w:r>
      <w:r w:rsidR="00FE4B9C">
        <w:t>f. In Khum MK Investments and Bie Joint Venture (Pty) ltd v Eskom Holdings Soc</w:t>
      </w:r>
      <w:r>
        <w:rPr>
          <w:rStyle w:val="FootnoteReference"/>
        </w:rPr>
        <w:footnoteReference w:id="10"/>
      </w:r>
      <w:r w:rsidR="00FE4B9C">
        <w:t xml:space="preserve"> the court recognized that there are two grounds for the review of an arbitration award under Section 33(1)(b). </w:t>
      </w:r>
    </w:p>
    <w:p w14:paraId="3D079655" w14:textId="21E81D52" w:rsidR="00FE4B9C" w:rsidRDefault="00FE4B9C" w:rsidP="00B420DB">
      <w:pPr>
        <w:pStyle w:val="WLGLevel1"/>
        <w:numPr>
          <w:ilvl w:val="0"/>
          <w:numId w:val="0"/>
        </w:numPr>
        <w:spacing w:line="360" w:lineRule="auto"/>
      </w:pPr>
      <w:r>
        <w:t xml:space="preserve">         i. Gross irregularity by the arbitrator in conduct of arbitration proceedings.</w:t>
      </w:r>
    </w:p>
    <w:p w14:paraId="6D6F65C0" w14:textId="34310E42" w:rsidR="00FE4B9C" w:rsidRDefault="00FE4B9C" w:rsidP="00B420DB">
      <w:pPr>
        <w:pStyle w:val="WLGLevel1"/>
        <w:numPr>
          <w:ilvl w:val="0"/>
          <w:numId w:val="0"/>
        </w:numPr>
        <w:spacing w:line="360" w:lineRule="auto"/>
      </w:pPr>
      <w:r>
        <w:t xml:space="preserve">          ii. Arbitrator has exceeded his powers. </w:t>
      </w:r>
    </w:p>
    <w:p w14:paraId="083F832A" w14:textId="282C4195" w:rsidR="00FE4B9C" w:rsidRDefault="00FE4B9C" w:rsidP="00B420DB">
      <w:pPr>
        <w:pStyle w:val="WLGLevel1"/>
        <w:numPr>
          <w:ilvl w:val="0"/>
          <w:numId w:val="0"/>
        </w:numPr>
        <w:spacing w:line="360" w:lineRule="auto"/>
      </w:pPr>
      <w:r>
        <w:t xml:space="preserve"> </w:t>
      </w:r>
      <w:r w:rsidR="00630D48">
        <w:t xml:space="preserve">      </w:t>
      </w:r>
      <w:r>
        <w:t xml:space="preserve">g. It is also submitted that if parties want a right of appeal, such right must be set out in the arbitration agreement. </w:t>
      </w:r>
    </w:p>
    <w:p w14:paraId="0BD8D204" w14:textId="7AE0D84E" w:rsidR="00FE4B9C" w:rsidRDefault="00630D48" w:rsidP="00B420DB">
      <w:pPr>
        <w:pStyle w:val="WLGLevel1"/>
        <w:numPr>
          <w:ilvl w:val="0"/>
          <w:numId w:val="0"/>
        </w:numPr>
        <w:spacing w:line="360" w:lineRule="auto"/>
      </w:pPr>
      <w:r>
        <w:t xml:space="preserve">        </w:t>
      </w:r>
      <w:r w:rsidR="00FE4B9C">
        <w:t>h. This was then also the case, so the Respondent are entitled to take the arbitration award on appeal</w:t>
      </w:r>
      <w:r w:rsidR="00BB2D17">
        <w:rPr>
          <w:rStyle w:val="FootnoteReference"/>
        </w:rPr>
        <w:footnoteReference w:id="11"/>
      </w:r>
      <w:r w:rsidR="00FE4B9C">
        <w:t>.</w:t>
      </w:r>
    </w:p>
    <w:p w14:paraId="35C32DF3" w14:textId="7D0E1196" w:rsidR="00630D48" w:rsidRDefault="00630D48" w:rsidP="00B420DB">
      <w:pPr>
        <w:pStyle w:val="WLGLevel1"/>
        <w:numPr>
          <w:ilvl w:val="0"/>
          <w:numId w:val="0"/>
        </w:numPr>
        <w:spacing w:line="360" w:lineRule="auto"/>
      </w:pPr>
      <w:r>
        <w:t xml:space="preserve">[13]  </w:t>
      </w:r>
      <w:r w:rsidRPr="009E53ED">
        <w:rPr>
          <w:i/>
          <w:iCs/>
        </w:rPr>
        <w:t>LOCUS STANDI</w:t>
      </w:r>
    </w:p>
    <w:p w14:paraId="2716A59F" w14:textId="1ECE5AB3" w:rsidR="00630D48" w:rsidRDefault="00630D48" w:rsidP="00B420DB">
      <w:pPr>
        <w:pStyle w:val="WLGLevel1"/>
        <w:numPr>
          <w:ilvl w:val="0"/>
          <w:numId w:val="0"/>
        </w:numPr>
        <w:spacing w:line="360" w:lineRule="auto"/>
      </w:pPr>
      <w:r>
        <w:t xml:space="preserve">         a. The submission is that ‘Smit’ do not have the necessary locus standi to depose </w:t>
      </w:r>
      <w:r w:rsidR="00BB2D17">
        <w:t xml:space="preserve">  </w:t>
      </w:r>
      <w:r>
        <w:t>of the affidavit (Founding Affidavit).</w:t>
      </w:r>
    </w:p>
    <w:p w14:paraId="3491C954" w14:textId="4A446930" w:rsidR="00630D48" w:rsidRDefault="00630D48" w:rsidP="00B420DB">
      <w:pPr>
        <w:pStyle w:val="WLGLevel1"/>
        <w:numPr>
          <w:ilvl w:val="0"/>
          <w:numId w:val="0"/>
        </w:numPr>
        <w:spacing w:line="360" w:lineRule="auto"/>
      </w:pPr>
      <w:r>
        <w:t xml:space="preserve">        b. The resolution attached to the founding papers does not constitute a proper resolution as same is undated and the signature on the bottom thereof do not indicate whom signed same. </w:t>
      </w:r>
    </w:p>
    <w:p w14:paraId="265F707A" w14:textId="3750B513" w:rsidR="00B27864" w:rsidRDefault="00630D48" w:rsidP="00B420DB">
      <w:pPr>
        <w:pStyle w:val="WLGLevel1"/>
        <w:numPr>
          <w:ilvl w:val="0"/>
          <w:numId w:val="0"/>
        </w:numPr>
        <w:spacing w:line="360" w:lineRule="auto"/>
      </w:pPr>
      <w:r>
        <w:lastRenderedPageBreak/>
        <w:t xml:space="preserve">      c. According to the Applicant, in its Replying Affidavit, the lack of signatures and the date was a mere oversight</w:t>
      </w:r>
      <w:r w:rsidR="00BB2D17">
        <w:rPr>
          <w:rStyle w:val="FootnoteReference"/>
        </w:rPr>
        <w:footnoteReference w:id="12"/>
      </w:r>
      <w:r>
        <w:t>.</w:t>
      </w:r>
    </w:p>
    <w:p w14:paraId="1E967BB4" w14:textId="77777777" w:rsidR="00BB2D17" w:rsidRDefault="00BB2D17" w:rsidP="00B420DB">
      <w:pPr>
        <w:pStyle w:val="WLGLevel1"/>
        <w:numPr>
          <w:ilvl w:val="0"/>
          <w:numId w:val="0"/>
        </w:numPr>
        <w:spacing w:line="360" w:lineRule="auto"/>
      </w:pPr>
      <w:r>
        <w:t xml:space="preserve">d. They accordingly rectified same by supplying a ‘new’ resolution which is dated 06 October 2021 and now suddenly signed by two directors. </w:t>
      </w:r>
    </w:p>
    <w:p w14:paraId="3DF586BE" w14:textId="77777777" w:rsidR="00BB2D17" w:rsidRDefault="00BB2D17" w:rsidP="00B420DB">
      <w:pPr>
        <w:pStyle w:val="WLGLevel1"/>
        <w:numPr>
          <w:ilvl w:val="0"/>
          <w:numId w:val="0"/>
        </w:numPr>
        <w:spacing w:line="360" w:lineRule="auto"/>
      </w:pPr>
      <w:r>
        <w:t xml:space="preserve">e. This is not the same document as was uploaded and served with the original Notice of Motion. </w:t>
      </w:r>
    </w:p>
    <w:p w14:paraId="000B04B6" w14:textId="77777777" w:rsidR="00BB2D17" w:rsidRDefault="00BB2D17" w:rsidP="00B420DB">
      <w:pPr>
        <w:pStyle w:val="WLGLevel1"/>
        <w:numPr>
          <w:ilvl w:val="0"/>
          <w:numId w:val="0"/>
        </w:numPr>
        <w:spacing w:before="0" w:after="0" w:line="360" w:lineRule="auto"/>
      </w:pPr>
      <w:r>
        <w:t xml:space="preserve">f. Comparing the two ‘resolutions’ it is abundantly clear that the resolutions are an afterthought and does not even remotely correspond with each other and could not be compared as such. </w:t>
      </w:r>
    </w:p>
    <w:p w14:paraId="428BCB98" w14:textId="77777777" w:rsidR="00B420DB" w:rsidRDefault="00B420DB" w:rsidP="00B420DB">
      <w:pPr>
        <w:pStyle w:val="WLGLevel1"/>
        <w:numPr>
          <w:ilvl w:val="0"/>
          <w:numId w:val="0"/>
        </w:numPr>
        <w:spacing w:before="0" w:after="0" w:line="360" w:lineRule="auto"/>
      </w:pPr>
    </w:p>
    <w:p w14:paraId="720BC875" w14:textId="49163341" w:rsidR="00B420DB" w:rsidRDefault="00BB2D17" w:rsidP="00B420DB">
      <w:pPr>
        <w:pStyle w:val="WLGLevel1"/>
        <w:numPr>
          <w:ilvl w:val="0"/>
          <w:numId w:val="0"/>
        </w:numPr>
        <w:spacing w:before="0" w:after="0" w:line="360" w:lineRule="auto"/>
      </w:pPr>
      <w:r>
        <w:t>g. “Except to the extent that the company’s MOI provides otherwise, a decision that could</w:t>
      </w:r>
    </w:p>
    <w:p w14:paraId="27C246C0" w14:textId="77777777" w:rsidR="00B420DB" w:rsidRDefault="00BB2D17" w:rsidP="00B420DB">
      <w:pPr>
        <w:pStyle w:val="WLGLevel1"/>
        <w:numPr>
          <w:ilvl w:val="0"/>
          <w:numId w:val="0"/>
        </w:numPr>
        <w:spacing w:before="0" w:after="0" w:line="360" w:lineRule="auto"/>
      </w:pPr>
      <w:r>
        <w:t xml:space="preserve"> </w:t>
      </w:r>
      <w:r w:rsidR="00B420DB">
        <w:t xml:space="preserve">    </w:t>
      </w:r>
      <w:r>
        <w:t xml:space="preserve">have been voted on at a meeting of the board of that company, may instead be </w:t>
      </w:r>
    </w:p>
    <w:p w14:paraId="0F53F2EE" w14:textId="3E4CBFE1" w:rsidR="00BB2D17" w:rsidRDefault="00B420DB" w:rsidP="00B420DB">
      <w:pPr>
        <w:pStyle w:val="WLGLevel1"/>
        <w:numPr>
          <w:ilvl w:val="0"/>
          <w:numId w:val="0"/>
        </w:numPr>
        <w:spacing w:before="0" w:after="0" w:line="360" w:lineRule="auto"/>
      </w:pPr>
      <w:r>
        <w:t xml:space="preserve">      </w:t>
      </w:r>
      <w:r w:rsidR="00BB2D17">
        <w:t>adopted by written consent of a majority of the directors</w:t>
      </w:r>
      <w:r w:rsidR="00BB2D17">
        <w:rPr>
          <w:rStyle w:val="FootnoteReference"/>
        </w:rPr>
        <w:footnoteReference w:id="13"/>
      </w:r>
      <w:r w:rsidR="00BB2D17">
        <w:t>….”</w:t>
      </w:r>
    </w:p>
    <w:p w14:paraId="1ABF318F" w14:textId="77777777" w:rsidR="00B420DB" w:rsidRDefault="00BB2D17" w:rsidP="00B420DB">
      <w:pPr>
        <w:pStyle w:val="WLGLevel1"/>
        <w:numPr>
          <w:ilvl w:val="0"/>
          <w:numId w:val="0"/>
        </w:numPr>
        <w:spacing w:line="360" w:lineRule="auto"/>
      </w:pPr>
      <w:r>
        <w:t xml:space="preserve"> h. This section is self-explanatory and clearly shows that the original resolution falls far</w:t>
      </w:r>
    </w:p>
    <w:p w14:paraId="42C6696F" w14:textId="33DCEC8E" w:rsidR="00BB2D17" w:rsidRDefault="00B420DB" w:rsidP="00B420DB">
      <w:pPr>
        <w:pStyle w:val="WLGLevel1"/>
        <w:numPr>
          <w:ilvl w:val="0"/>
          <w:numId w:val="0"/>
        </w:numPr>
        <w:spacing w:line="360" w:lineRule="auto"/>
      </w:pPr>
      <w:r>
        <w:t xml:space="preserve"> </w:t>
      </w:r>
      <w:r w:rsidR="00BB2D17">
        <w:t xml:space="preserve"> </w:t>
      </w:r>
      <w:r>
        <w:t xml:space="preserve">  </w:t>
      </w:r>
      <w:r w:rsidR="00BB2D17">
        <w:t>short of what is required by the act.</w:t>
      </w:r>
    </w:p>
    <w:p w14:paraId="401A59D8" w14:textId="18427E86" w:rsidR="00BB2D17" w:rsidRDefault="00432BAC" w:rsidP="00B420DB">
      <w:pPr>
        <w:pStyle w:val="WLGLevel1"/>
        <w:numPr>
          <w:ilvl w:val="0"/>
          <w:numId w:val="0"/>
        </w:numPr>
        <w:spacing w:line="360" w:lineRule="auto"/>
      </w:pPr>
      <w:r>
        <w:t xml:space="preserve">[14] The respondent contend that this application by the applicant is premature, a waste of time and resources in that the respondent’s review/ appeal has not been finalized.  </w:t>
      </w:r>
      <w:r w:rsidR="002242E9">
        <w:t>According to the respondent until the review or the appeal is heard, the applicant cannot approach this Court for the relief sought. This</w:t>
      </w:r>
      <w:r w:rsidR="003A18CB">
        <w:t xml:space="preserve"> the respondent argued that it is against the bedrock that it was always the </w:t>
      </w:r>
      <w:r w:rsidR="00B420DB">
        <w:t>intention, and</w:t>
      </w:r>
      <w:r w:rsidR="003A18CB">
        <w:t xml:space="preserve"> agreement, between the parties hereto that the matter, once being arbitrated ,can be taken on review or appeal by either party</w:t>
      </w:r>
      <w:r w:rsidR="003A18CB">
        <w:rPr>
          <w:rStyle w:val="FootnoteReference"/>
        </w:rPr>
        <w:footnoteReference w:id="14"/>
      </w:r>
      <w:r w:rsidR="003A18CB">
        <w:t xml:space="preserve">. </w:t>
      </w:r>
    </w:p>
    <w:p w14:paraId="39DC3F59" w14:textId="6F55DF34" w:rsidR="002242E9" w:rsidRPr="005B6899" w:rsidRDefault="002242E9" w:rsidP="00B420DB">
      <w:pPr>
        <w:pStyle w:val="WLGLevel1"/>
        <w:numPr>
          <w:ilvl w:val="0"/>
          <w:numId w:val="0"/>
        </w:numPr>
        <w:spacing w:line="360" w:lineRule="auto"/>
      </w:pPr>
      <w:r>
        <w:t xml:space="preserve">[15] The respondent further contend that any averments to the effect that the respondent is out of time </w:t>
      </w:r>
      <w:r w:rsidR="00605C3D">
        <w:t xml:space="preserve">in taking the Arbitral Award on review / appeal </w:t>
      </w:r>
      <w:r>
        <w:t xml:space="preserve">is wrong as the alleged AFSA </w:t>
      </w:r>
      <w:r>
        <w:lastRenderedPageBreak/>
        <w:t>did not apply</w:t>
      </w:r>
      <w:r w:rsidR="00605C3D">
        <w:t>. According to the respondent the reason for delay was as a result of the arbitrator furnishing his reasons for the award only on the 1 December 2021 this informed the respondent’s intention to oppose this application as the parties waited for the arbitrator to supply his reasons for the award. Thus, the respondent submitted that as the result of the delay both parties suffered a lot financially due to unforeseen circumstances ,each party should pay its own costs no matter what the outcome are</w:t>
      </w:r>
      <w:r w:rsidR="00605C3D">
        <w:rPr>
          <w:rStyle w:val="FootnoteReference"/>
        </w:rPr>
        <w:footnoteReference w:id="15"/>
      </w:r>
      <w:r w:rsidR="00605C3D">
        <w:t>.</w:t>
      </w:r>
    </w:p>
    <w:p w14:paraId="3E09C430" w14:textId="3E524C1C" w:rsidR="00261AE0" w:rsidRDefault="00261AE0" w:rsidP="00B420DB">
      <w:pPr>
        <w:pStyle w:val="WLGLevel1"/>
        <w:numPr>
          <w:ilvl w:val="0"/>
          <w:numId w:val="0"/>
        </w:numPr>
        <w:spacing w:line="360" w:lineRule="auto"/>
      </w:pPr>
      <w:r w:rsidRPr="00261AE0">
        <w:t>[16]</w:t>
      </w:r>
      <w:r>
        <w:t xml:space="preserve"> The applicant averred that its application is premised on section 31 of the Arbitration Act that elevates the arbitral award to an order of Court .</w:t>
      </w:r>
    </w:p>
    <w:p w14:paraId="5C2531EB" w14:textId="77777777" w:rsidR="00A376B6" w:rsidRDefault="00261AE0" w:rsidP="00B420DB">
      <w:pPr>
        <w:pStyle w:val="WLGLevel1"/>
        <w:numPr>
          <w:ilvl w:val="0"/>
          <w:numId w:val="0"/>
        </w:numPr>
        <w:spacing w:line="360" w:lineRule="auto"/>
      </w:pPr>
      <w:r>
        <w:t xml:space="preserve">[17] </w:t>
      </w:r>
      <w:r w:rsidR="00A376B6">
        <w:t>Section 31 of the Act rads as follows:</w:t>
      </w:r>
    </w:p>
    <w:p w14:paraId="70C42B56" w14:textId="77777777" w:rsidR="005B6899" w:rsidRDefault="00A376B6" w:rsidP="00B420DB">
      <w:pPr>
        <w:pStyle w:val="WLGLevel1"/>
        <w:numPr>
          <w:ilvl w:val="0"/>
          <w:numId w:val="0"/>
        </w:numPr>
        <w:spacing w:line="360" w:lineRule="auto"/>
      </w:pPr>
      <w:r>
        <w:t xml:space="preserve">       “ 31. Award may be made an order of court- </w:t>
      </w:r>
    </w:p>
    <w:p w14:paraId="5EDCB472" w14:textId="3DD9A2B7" w:rsidR="00261AE0" w:rsidRDefault="00A376B6" w:rsidP="00B420DB">
      <w:pPr>
        <w:pStyle w:val="WLGLevel1"/>
        <w:numPr>
          <w:ilvl w:val="0"/>
          <w:numId w:val="0"/>
        </w:numPr>
        <w:spacing w:line="360" w:lineRule="auto"/>
      </w:pPr>
      <w:r>
        <w:t>(1) an award may on the application to  a court of competent jurisdiction by any party to the reference after due notice by the other party or parties be made an order of court.</w:t>
      </w:r>
    </w:p>
    <w:p w14:paraId="126F11CB" w14:textId="33461890" w:rsidR="00A376B6" w:rsidRDefault="00A376B6" w:rsidP="00B420DB">
      <w:pPr>
        <w:pStyle w:val="WLGLevel1"/>
        <w:numPr>
          <w:ilvl w:val="0"/>
          <w:numId w:val="0"/>
        </w:numPr>
        <w:spacing w:line="360" w:lineRule="auto"/>
      </w:pPr>
      <w:r>
        <w:t xml:space="preserve">(2) The court to which application is to be made, may before making the award an order of court, correct in the award any clerical mistake </w:t>
      </w:r>
      <w:r w:rsidR="008146F8">
        <w:t>or any blatant error arising from any accident slip or omission.</w:t>
      </w:r>
    </w:p>
    <w:p w14:paraId="7BD4C168" w14:textId="0D1D6281" w:rsidR="008146F8" w:rsidRDefault="008146F8" w:rsidP="00B420DB">
      <w:pPr>
        <w:pStyle w:val="WLGLevel1"/>
        <w:numPr>
          <w:ilvl w:val="0"/>
          <w:numId w:val="0"/>
        </w:numPr>
        <w:spacing w:line="360" w:lineRule="auto"/>
      </w:pPr>
      <w:r>
        <w:t>(3) An award which has been made an order of court may be enforced in the same manner as any judgment or order as to the same effect ”.</w:t>
      </w:r>
    </w:p>
    <w:p w14:paraId="557D9111" w14:textId="3E8CBF03" w:rsidR="008146F8" w:rsidRPr="00261AE0" w:rsidRDefault="008146F8" w:rsidP="00B420DB">
      <w:pPr>
        <w:pStyle w:val="WLGLevel1"/>
        <w:numPr>
          <w:ilvl w:val="0"/>
          <w:numId w:val="0"/>
        </w:numPr>
        <w:spacing w:line="360" w:lineRule="auto"/>
      </w:pPr>
      <w:r>
        <w:t>[18] The applicant further averred that the provisions of section 31 of the Arbitration Act grant this court a general discretion to make an arbitrator’s award an order of court and the applicant only has to prove to the court that there is</w:t>
      </w:r>
      <w:r w:rsidR="00EA45E1">
        <w:t xml:space="preserve"> </w:t>
      </w:r>
      <w:r>
        <w:t>or was a valid arbitration agreement covering the award that the arbitrator was duly appointed and that there was</w:t>
      </w:r>
      <w:r w:rsidR="00EA45E1">
        <w:t xml:space="preserve"> a valid award in terms of the reference therein</w:t>
      </w:r>
      <w:r w:rsidR="00EA45E1">
        <w:rPr>
          <w:rStyle w:val="FootnoteReference"/>
        </w:rPr>
        <w:footnoteReference w:id="16"/>
      </w:r>
      <w:r w:rsidR="00EA45E1">
        <w:t>.</w:t>
      </w:r>
      <w:r w:rsidR="00F1215C">
        <w:t xml:space="preserve"> The filing of a notice of appeal is not a bar to the granting of an order in terms of section 31 of the Arbitration Act, as the High </w:t>
      </w:r>
      <w:r w:rsidR="00F1215C">
        <w:lastRenderedPageBreak/>
        <w:t>Court does not have the requisite jurisdiction to entertain the appeal against an arbitration award</w:t>
      </w:r>
      <w:r w:rsidR="00F1215C">
        <w:rPr>
          <w:rStyle w:val="FootnoteReference"/>
        </w:rPr>
        <w:footnoteReference w:id="17"/>
      </w:r>
      <w:r w:rsidR="00F1215C">
        <w:t xml:space="preserve">. </w:t>
      </w:r>
    </w:p>
    <w:p w14:paraId="7748F40A" w14:textId="330D076E" w:rsidR="00BB5A9D" w:rsidRDefault="00EA45E1" w:rsidP="00B420DB">
      <w:pPr>
        <w:pStyle w:val="WLGLevel1"/>
        <w:numPr>
          <w:ilvl w:val="0"/>
          <w:numId w:val="0"/>
        </w:numPr>
        <w:spacing w:line="360" w:lineRule="auto"/>
      </w:pPr>
      <w:r w:rsidRPr="00EA45E1">
        <w:t>[19]</w:t>
      </w:r>
      <w:r>
        <w:t xml:space="preserve"> In response to the Points </w:t>
      </w:r>
      <w:r w:rsidRPr="00EA45E1">
        <w:rPr>
          <w:i/>
          <w:iCs/>
        </w:rPr>
        <w:t>in Limine</w:t>
      </w:r>
      <w:r>
        <w:t xml:space="preserve"> raised </w:t>
      </w:r>
      <w:r w:rsidR="00BB5A9D" w:rsidRPr="00BB5A9D">
        <w:rPr>
          <w:i/>
          <w:iCs/>
        </w:rPr>
        <w:t>ad Res judicata</w:t>
      </w:r>
      <w:r w:rsidR="00BB5A9D">
        <w:t xml:space="preserve"> :</w:t>
      </w:r>
    </w:p>
    <w:p w14:paraId="2DED6F92" w14:textId="6A9E958E" w:rsidR="00543C19" w:rsidRDefault="00543C19" w:rsidP="00B420DB">
      <w:pPr>
        <w:pStyle w:val="WLGLevel1"/>
        <w:numPr>
          <w:ilvl w:val="0"/>
          <w:numId w:val="0"/>
        </w:numPr>
        <w:spacing w:line="360" w:lineRule="auto"/>
      </w:pPr>
      <w:r>
        <w:t>[19.</w:t>
      </w:r>
      <w:r w:rsidR="009E53ED">
        <w:t>1</w:t>
      </w:r>
      <w:r>
        <w:t xml:space="preserve">] The applicant contend that this point has no merits, as in its Notice of Motion it is only seeking to make the arbitral award an order of court </w:t>
      </w:r>
      <w:r w:rsidR="00761429">
        <w:t>,</w:t>
      </w:r>
      <w:r>
        <w:t>any facts so reiterated  in its founding affidavit is merely done so, to give the Honourable Court a background in the matter .</w:t>
      </w:r>
    </w:p>
    <w:p w14:paraId="423C1272" w14:textId="726DD28D" w:rsidR="00543C19" w:rsidRDefault="00543C19" w:rsidP="00B420DB">
      <w:pPr>
        <w:pStyle w:val="WLGLevel1"/>
        <w:numPr>
          <w:ilvl w:val="0"/>
          <w:numId w:val="0"/>
        </w:numPr>
        <w:spacing w:line="360" w:lineRule="auto"/>
        <w:rPr>
          <w:i/>
          <w:iCs/>
        </w:rPr>
      </w:pPr>
      <w:r>
        <w:t>[20] In re</w:t>
      </w:r>
      <w:r w:rsidR="00F94AF5">
        <w:t>ply</w:t>
      </w:r>
      <w:r>
        <w:t xml:space="preserve"> to the Points </w:t>
      </w:r>
      <w:r w:rsidRPr="00EA45E1">
        <w:rPr>
          <w:i/>
          <w:iCs/>
        </w:rPr>
        <w:t>in Limine</w:t>
      </w:r>
      <w:r>
        <w:t xml:space="preserve"> raised </w:t>
      </w:r>
      <w:r w:rsidRPr="00BB5A9D">
        <w:rPr>
          <w:i/>
          <w:iCs/>
        </w:rPr>
        <w:t xml:space="preserve">ad </w:t>
      </w:r>
      <w:r>
        <w:rPr>
          <w:i/>
          <w:iCs/>
        </w:rPr>
        <w:t>Lis pendens:</w:t>
      </w:r>
    </w:p>
    <w:p w14:paraId="55890FDD" w14:textId="7D68BBB4" w:rsidR="009E53ED" w:rsidRDefault="009E53ED" w:rsidP="00B420DB">
      <w:pPr>
        <w:pStyle w:val="WLGLevel1"/>
        <w:numPr>
          <w:ilvl w:val="0"/>
          <w:numId w:val="0"/>
        </w:numPr>
        <w:spacing w:line="360" w:lineRule="auto"/>
      </w:pPr>
      <w:r>
        <w:t>[20.1] The applicant contend that the arbitration proceedings are not subject to review or appeal procedure. According to the applicant, the respondent’s notice of appeal or review and/or reasons for the arbitrator to furnish reasons does not comply with Rule 10.3 of AFSA’s Expedited Rules</w:t>
      </w:r>
      <w:r w:rsidR="00761429">
        <w:t xml:space="preserve"> </w:t>
      </w:r>
      <w:r>
        <w:t xml:space="preserve">and with Article 22.2 of AFSA’s Rules for commercial </w:t>
      </w:r>
      <w:r w:rsidR="007E34AC">
        <w:t>arbitrations. The</w:t>
      </w:r>
      <w:r>
        <w:t xml:space="preserve"> applicant further contend that the respondent is time barred from proceeding with its purported appeal or review application as it was not instituted within 7 </w:t>
      </w:r>
      <w:r w:rsidR="001C4A2C">
        <w:t>(seven) days after the arbitration was delivered .</w:t>
      </w:r>
    </w:p>
    <w:p w14:paraId="2B75179F" w14:textId="175A50EB" w:rsidR="001C4A2C" w:rsidRDefault="001C4A2C" w:rsidP="00B420DB">
      <w:pPr>
        <w:pStyle w:val="WLGLevel1"/>
        <w:numPr>
          <w:ilvl w:val="0"/>
          <w:numId w:val="0"/>
        </w:numPr>
        <w:spacing w:line="360" w:lineRule="auto"/>
      </w:pPr>
      <w:r>
        <w:t>[20.2] The applicant further contend</w:t>
      </w:r>
      <w:r w:rsidR="0036641E">
        <w:t xml:space="preserve"> that</w:t>
      </w:r>
      <w:r>
        <w:t xml:space="preserve"> </w:t>
      </w:r>
      <w:r w:rsidR="0036641E">
        <w:t>since</w:t>
      </w:r>
      <w:r>
        <w:t xml:space="preserve"> the parties have agreed that the AFSA Rules to be applicable to their arbitration agreement and specifically in terms of Article 2</w:t>
      </w:r>
      <w:r w:rsidR="0036641E">
        <w:t>2</w:t>
      </w:r>
      <w:r>
        <w:t xml:space="preserve">.2 of the Commercial Rules  the respondent is time barred from instituting </w:t>
      </w:r>
      <w:r w:rsidR="0067389C">
        <w:t>the review and/or appeal application. Article 22.2 provides that -: “</w:t>
      </w:r>
      <w:r w:rsidR="0067389C" w:rsidRPr="0036641E">
        <w:rPr>
          <w:i/>
          <w:iCs/>
        </w:rPr>
        <w:t xml:space="preserve">A notice of appeal should be delivered by the appellant, within 7 calendar days of publication of the award, failing which the interim award or final award shall not be appealable. If there is a cross appeal, a notice of cross appeal shall be delivered within 7 </w:t>
      </w:r>
      <w:r w:rsidR="0036641E" w:rsidRPr="0036641E">
        <w:rPr>
          <w:i/>
          <w:iCs/>
        </w:rPr>
        <w:t>calendar</w:t>
      </w:r>
      <w:r w:rsidR="0067389C" w:rsidRPr="0036641E">
        <w:rPr>
          <w:i/>
          <w:iCs/>
        </w:rPr>
        <w:t xml:space="preserve"> days of delivery of the notice of appeal, </w:t>
      </w:r>
      <w:r w:rsidR="0036641E" w:rsidRPr="0036641E">
        <w:rPr>
          <w:i/>
          <w:iCs/>
        </w:rPr>
        <w:t>failing which a cross appeal shall be precluded ”.</w:t>
      </w:r>
      <w:r w:rsidR="0067389C">
        <w:t xml:space="preserve"> </w:t>
      </w:r>
    </w:p>
    <w:p w14:paraId="40713D4D" w14:textId="2C04918E" w:rsidR="0036641E" w:rsidRDefault="0036641E" w:rsidP="00B420DB">
      <w:pPr>
        <w:pStyle w:val="WLGLevel1"/>
        <w:numPr>
          <w:ilvl w:val="0"/>
          <w:numId w:val="0"/>
        </w:numPr>
        <w:spacing w:line="360" w:lineRule="auto"/>
      </w:pPr>
      <w:r>
        <w:t xml:space="preserve">[20.3] </w:t>
      </w:r>
      <w:r w:rsidR="00066046">
        <w:t>T</w:t>
      </w:r>
      <w:r>
        <w:t xml:space="preserve">he applicant contend further that </w:t>
      </w:r>
      <w:r w:rsidR="00066046">
        <w:t>the arbitration agreement entered between the parties is bind</w:t>
      </w:r>
      <w:r w:rsidR="00761429">
        <w:t>ing</w:t>
      </w:r>
      <w:r w:rsidR="00066046">
        <w:t xml:space="preserve"> and where there has got to be a departure from the AFSA Rules which </w:t>
      </w:r>
      <w:r w:rsidR="00066046">
        <w:lastRenderedPageBreak/>
        <w:t xml:space="preserve">are applicable to the parties arbitration agreement </w:t>
      </w:r>
      <w:r w:rsidR="00066046" w:rsidRPr="00066046">
        <w:rPr>
          <w:i/>
          <w:iCs/>
        </w:rPr>
        <w:t>in casu</w:t>
      </w:r>
      <w:r w:rsidR="00066046">
        <w:t>, such departure must be consensual, otherwise it would be non-sensical for the parties to agree on a guide which will be departed from, as and when any of the parties wishes to, and as and when it suit him</w:t>
      </w:r>
      <w:r w:rsidR="00066046">
        <w:rPr>
          <w:rStyle w:val="FootnoteReference"/>
        </w:rPr>
        <w:footnoteReference w:id="18"/>
      </w:r>
      <w:r w:rsidR="0080518E">
        <w:t xml:space="preserve">. Accordingly, the applicant averred a party to a consensual arbitration under the Arbitration Act cannot review the decision of an arbitrator on administrative or common law grounds. The party seeking to review the decision of an arbitrator is limited to the grounds of review listed in section 33 of the arbitration Act. Even on the perfunctory reading of the </w:t>
      </w:r>
      <w:r w:rsidR="001B452A">
        <w:t xml:space="preserve">respondent </w:t>
      </w:r>
      <w:r w:rsidR="0080518E">
        <w:t xml:space="preserve">purported </w:t>
      </w:r>
      <w:r w:rsidR="001B452A">
        <w:t>application for review or appeal no such grounds are listed.</w:t>
      </w:r>
    </w:p>
    <w:p w14:paraId="3F3CA99E" w14:textId="4A0836FD" w:rsidR="001B452A" w:rsidRDefault="001B452A" w:rsidP="00B420DB">
      <w:pPr>
        <w:pStyle w:val="WLGLevel1"/>
        <w:numPr>
          <w:ilvl w:val="0"/>
          <w:numId w:val="0"/>
        </w:numPr>
        <w:spacing w:line="360" w:lineRule="auto"/>
      </w:pPr>
      <w:r>
        <w:t>[20.4] The applicant contend further that despite the fact that the respondent is</w:t>
      </w:r>
      <w:r w:rsidR="00677E00">
        <w:t xml:space="preserve"> time</w:t>
      </w:r>
      <w:r>
        <w:t xml:space="preserve"> barred </w:t>
      </w:r>
      <w:r w:rsidR="00677E00">
        <w:t>and precluded</w:t>
      </w:r>
      <w:r w:rsidR="00DE0BD1">
        <w:rPr>
          <w:rStyle w:val="FootnoteReference"/>
        </w:rPr>
        <w:footnoteReference w:id="19"/>
      </w:r>
      <w:r w:rsidR="00677E00">
        <w:t xml:space="preserve"> from approaching this Court</w:t>
      </w:r>
      <w:r>
        <w:t xml:space="preserve"> for appeal or review, the purported  application was never issued by the Registrar of this Court and was only uploaded on caselines without a case number</w:t>
      </w:r>
      <w:r w:rsidR="00677E00">
        <w:t xml:space="preserve">. The respondent </w:t>
      </w:r>
      <w:r>
        <w:t>never proceeded with</w:t>
      </w:r>
      <w:r w:rsidR="00677E00">
        <w:t xml:space="preserve"> its application</w:t>
      </w:r>
      <w:r>
        <w:t xml:space="preserve"> since the date of the award being the 12 May 2021</w:t>
      </w:r>
      <w:r w:rsidR="00677E00">
        <w:t xml:space="preserve"> including the date on which the arbitrator’s reasons for the award was furnished</w:t>
      </w:r>
      <w:r w:rsidR="000A3459">
        <w:t xml:space="preserve"> (1 December 2021)</w:t>
      </w:r>
      <w:r w:rsidR="00677E00">
        <w:t xml:space="preserve"> </w:t>
      </w:r>
      <w:r>
        <w:t xml:space="preserve"> </w:t>
      </w:r>
      <w:r w:rsidR="00677E00">
        <w:t xml:space="preserve">until </w:t>
      </w:r>
      <w:r>
        <w:t>the date of  hearing of th</w:t>
      </w:r>
      <w:r w:rsidR="00677E00">
        <w:t>e</w:t>
      </w:r>
      <w:r>
        <w:t xml:space="preserve"> main application. </w:t>
      </w:r>
    </w:p>
    <w:p w14:paraId="1F402248" w14:textId="372AC786" w:rsidR="00F94AF5" w:rsidRPr="000A3459" w:rsidRDefault="00677E00" w:rsidP="00B420DB">
      <w:pPr>
        <w:pStyle w:val="WLGLevel1"/>
        <w:numPr>
          <w:ilvl w:val="0"/>
          <w:numId w:val="0"/>
        </w:numPr>
        <w:spacing w:line="360" w:lineRule="auto"/>
        <w:rPr>
          <w:i/>
          <w:iCs/>
        </w:rPr>
      </w:pPr>
      <w:r>
        <w:t xml:space="preserve">[21] </w:t>
      </w:r>
      <w:r w:rsidR="00FD29F8">
        <w:t xml:space="preserve">In response to the Points </w:t>
      </w:r>
      <w:r w:rsidR="00FD29F8" w:rsidRPr="00EA45E1">
        <w:rPr>
          <w:i/>
          <w:iCs/>
        </w:rPr>
        <w:t>in Limine</w:t>
      </w:r>
      <w:r w:rsidR="00FD29F8">
        <w:t xml:space="preserve"> raised </w:t>
      </w:r>
      <w:r w:rsidR="00FD29F8" w:rsidRPr="00BB5A9D">
        <w:rPr>
          <w:i/>
          <w:iCs/>
        </w:rPr>
        <w:t xml:space="preserve">ad </w:t>
      </w:r>
      <w:r w:rsidR="00FD29F8">
        <w:rPr>
          <w:i/>
          <w:iCs/>
        </w:rPr>
        <w:t>Locus standi :</w:t>
      </w:r>
    </w:p>
    <w:p w14:paraId="6CF4E499" w14:textId="0BA34F0B" w:rsidR="00F1215C" w:rsidRDefault="00B97E65" w:rsidP="00B420DB">
      <w:pPr>
        <w:pStyle w:val="WLGLevel1"/>
        <w:numPr>
          <w:ilvl w:val="0"/>
          <w:numId w:val="0"/>
        </w:numPr>
        <w:spacing w:line="360" w:lineRule="auto"/>
      </w:pPr>
      <w:r>
        <w:t>[21.</w:t>
      </w:r>
      <w:r w:rsidR="00700D90">
        <w:t>1]</w:t>
      </w:r>
      <w:r>
        <w:t xml:space="preserve"> The applicant proffers an explanation in that in its replying affidavit the correct resolution was attached as annexure “WJS1” thereto with the explanation that the wrong document was attached due to an oversight there being challenge therein</w:t>
      </w:r>
      <w:r w:rsidR="001B60E0">
        <w:rPr>
          <w:rStyle w:val="FootnoteReference"/>
        </w:rPr>
        <w:footnoteReference w:id="20"/>
      </w:r>
      <w:r>
        <w:t xml:space="preserve">, this point </w:t>
      </w:r>
      <w:r w:rsidRPr="00761429">
        <w:rPr>
          <w:i/>
          <w:iCs/>
        </w:rPr>
        <w:t>in limine</w:t>
      </w:r>
      <w:r>
        <w:t xml:space="preserve"> is meritless and stands to be dismissed.</w:t>
      </w:r>
      <w:r w:rsidR="00F94AF5">
        <w:t xml:space="preserve"> With regards to the fourth point </w:t>
      </w:r>
      <w:r w:rsidR="00F94AF5" w:rsidRPr="00761429">
        <w:rPr>
          <w:i/>
          <w:iCs/>
        </w:rPr>
        <w:t>in limine</w:t>
      </w:r>
      <w:r w:rsidR="002D0518">
        <w:t xml:space="preserve"> </w:t>
      </w:r>
      <w:r w:rsidR="002D0518" w:rsidRPr="00761429">
        <w:rPr>
          <w:i/>
          <w:iCs/>
        </w:rPr>
        <w:t>ad</w:t>
      </w:r>
      <w:r w:rsidR="00700D90">
        <w:t xml:space="preserve"> </w:t>
      </w:r>
      <w:r w:rsidR="002D0518">
        <w:t>Jurisdiction,</w:t>
      </w:r>
      <w:r w:rsidR="00F94AF5">
        <w:t xml:space="preserve"> </w:t>
      </w:r>
      <w:r w:rsidR="000A3459">
        <w:t>the respondent abandoned this point</w:t>
      </w:r>
      <w:r w:rsidR="002D0518">
        <w:t xml:space="preserve"> as the issue</w:t>
      </w:r>
      <w:r w:rsidR="00700D90">
        <w:t xml:space="preserve"> </w:t>
      </w:r>
      <w:r w:rsidR="00761429">
        <w:t xml:space="preserve">of </w:t>
      </w:r>
      <w:r w:rsidR="00700D90">
        <w:t>jurisdiction</w:t>
      </w:r>
      <w:r w:rsidR="002D0518">
        <w:t xml:space="preserve"> was properly  adjudicated by the Supreme Court of Appeal</w:t>
      </w:r>
      <w:r w:rsidR="002D0518">
        <w:rPr>
          <w:rStyle w:val="FootnoteReference"/>
        </w:rPr>
        <w:footnoteReference w:id="21"/>
      </w:r>
      <w:r w:rsidR="002D0518">
        <w:t>.</w:t>
      </w:r>
    </w:p>
    <w:p w14:paraId="4304A198" w14:textId="4EE14A72" w:rsidR="00F94AF5" w:rsidRPr="00700D90" w:rsidRDefault="00700D90" w:rsidP="00B420DB">
      <w:pPr>
        <w:pStyle w:val="WLGLevel1"/>
        <w:numPr>
          <w:ilvl w:val="0"/>
          <w:numId w:val="0"/>
        </w:numPr>
        <w:spacing w:line="360" w:lineRule="auto"/>
        <w:rPr>
          <w:b/>
          <w:bCs/>
        </w:rPr>
      </w:pPr>
      <w:r w:rsidRPr="00700D90">
        <w:rPr>
          <w:b/>
          <w:bCs/>
        </w:rPr>
        <w:lastRenderedPageBreak/>
        <w:t xml:space="preserve">Legal framework </w:t>
      </w:r>
      <w:r w:rsidR="009D739B">
        <w:rPr>
          <w:b/>
          <w:bCs/>
        </w:rPr>
        <w:t>.</w:t>
      </w:r>
      <w:r w:rsidRPr="00700D90">
        <w:rPr>
          <w:b/>
          <w:bCs/>
        </w:rPr>
        <w:t xml:space="preserve"> </w:t>
      </w:r>
    </w:p>
    <w:p w14:paraId="70CBBF8A" w14:textId="14304A51" w:rsidR="00275DC2" w:rsidRDefault="00700D90" w:rsidP="00B420DB">
      <w:pPr>
        <w:pStyle w:val="WLGLevel1"/>
        <w:numPr>
          <w:ilvl w:val="0"/>
          <w:numId w:val="0"/>
        </w:numPr>
        <w:spacing w:line="360" w:lineRule="auto"/>
      </w:pPr>
      <w:r>
        <w:t xml:space="preserve">[22]  Section 31 of the Arbitration Act 42 of 1965 </w:t>
      </w:r>
      <w:r w:rsidR="00275DC2">
        <w:t>reads as follows :- Award may be made an order of court- (1) an award may on the application to  a court of competent jurisdiction by any party to the reference after due notice by the other party or parties be made an order of court.</w:t>
      </w:r>
    </w:p>
    <w:p w14:paraId="538017C7" w14:textId="77777777" w:rsidR="00275DC2" w:rsidRDefault="00275DC2" w:rsidP="00B420DB">
      <w:pPr>
        <w:pStyle w:val="WLGLevel1"/>
        <w:numPr>
          <w:ilvl w:val="0"/>
          <w:numId w:val="0"/>
        </w:numPr>
        <w:spacing w:line="360" w:lineRule="auto"/>
      </w:pPr>
      <w:r>
        <w:t>(2) The court to which application is to be made, may before making the award an order of court, correct in the award any clerical mistake or any blatant error arising from any accident slip or omission.</w:t>
      </w:r>
    </w:p>
    <w:p w14:paraId="741D16DD" w14:textId="77777777" w:rsidR="00275DC2" w:rsidRDefault="00275DC2" w:rsidP="00B420DB">
      <w:pPr>
        <w:pStyle w:val="WLGLevel1"/>
        <w:numPr>
          <w:ilvl w:val="0"/>
          <w:numId w:val="0"/>
        </w:numPr>
        <w:spacing w:line="360" w:lineRule="auto"/>
      </w:pPr>
      <w:r>
        <w:t>(3) An award which has been made an order of court may be enforced in the same manner as any judgment or order as to the same effect ”.</w:t>
      </w:r>
    </w:p>
    <w:p w14:paraId="73B361F0" w14:textId="356E914B" w:rsidR="00275DC2" w:rsidRDefault="00275DC2" w:rsidP="00B420DB">
      <w:pPr>
        <w:pStyle w:val="WLGLevel1"/>
        <w:numPr>
          <w:ilvl w:val="0"/>
          <w:numId w:val="0"/>
        </w:numPr>
        <w:spacing w:line="360" w:lineRule="auto"/>
      </w:pPr>
      <w:r>
        <w:t xml:space="preserve">[23] As mentioned </w:t>
      </w:r>
      <w:r w:rsidRPr="00275DC2">
        <w:rPr>
          <w:i/>
          <w:iCs/>
        </w:rPr>
        <w:t xml:space="preserve">supra </w:t>
      </w:r>
      <w:r>
        <w:t xml:space="preserve">in this judgment the parties had entered into an Arbitration Agreement, which agreement incorporated the </w:t>
      </w:r>
      <w:r w:rsidR="0041319E">
        <w:t>Expedited Rules-</w:t>
      </w:r>
      <w:r>
        <w:t xml:space="preserve">AFSA  to be applicable to their arbitration agreement and specifically in terms of Article 22.2 of the Commercial Rules. Article 22.2 provides that -: “ </w:t>
      </w:r>
      <w:r w:rsidRPr="0036641E">
        <w:rPr>
          <w:i/>
          <w:iCs/>
        </w:rPr>
        <w:t>A notice of appeal should be delivered by the appellant, within 7 calendar days of publication of the award, failing which the interim award or final award shall not be appealable. If there is a cross appeal, a notice of cross appeal shall be delivered within 7 calendar days of delivery of the notice of appeal, failing which a cross appeal shall be precluded ”.</w:t>
      </w:r>
      <w:r>
        <w:t xml:space="preserve"> </w:t>
      </w:r>
    </w:p>
    <w:p w14:paraId="3C420AB6" w14:textId="61B61F66" w:rsidR="0041319E" w:rsidRDefault="008B0800" w:rsidP="00B420DB">
      <w:pPr>
        <w:pStyle w:val="WLGLevel1"/>
        <w:numPr>
          <w:ilvl w:val="0"/>
          <w:numId w:val="0"/>
        </w:numPr>
        <w:spacing w:line="360" w:lineRule="auto"/>
      </w:pPr>
      <w:r>
        <w:t>[2</w:t>
      </w:r>
      <w:r w:rsidR="00826F05">
        <w:t>3</w:t>
      </w:r>
      <w:r>
        <w:t>]</w:t>
      </w:r>
      <w:r w:rsidR="00025C43">
        <w:t xml:space="preserve">  In terms of the Expedited Rule – AFSA point 10 same reads as follows</w:t>
      </w:r>
      <w:r w:rsidR="00025C43">
        <w:rPr>
          <w:rStyle w:val="FootnoteReference"/>
        </w:rPr>
        <w:footnoteReference w:id="22"/>
      </w:r>
      <w:r w:rsidR="00025C43">
        <w:t xml:space="preserve"> </w:t>
      </w:r>
    </w:p>
    <w:p w14:paraId="0FEE7733" w14:textId="10788BDB" w:rsidR="0041319E" w:rsidRDefault="0041319E" w:rsidP="00B420DB">
      <w:pPr>
        <w:pStyle w:val="WLGLevel1"/>
        <w:numPr>
          <w:ilvl w:val="0"/>
          <w:numId w:val="0"/>
        </w:numPr>
        <w:spacing w:before="0" w:after="0" w:line="360" w:lineRule="auto"/>
      </w:pPr>
      <w:r>
        <w:t xml:space="preserve">     </w:t>
      </w:r>
      <w:r w:rsidR="00025C43">
        <w:t>“10.1 The Arbitrator must give his\her award within (30) days after finalisation of the</w:t>
      </w:r>
    </w:p>
    <w:p w14:paraId="0E8D5F9A" w14:textId="187F9950" w:rsidR="0041319E" w:rsidRDefault="0041319E" w:rsidP="00B420DB">
      <w:pPr>
        <w:pStyle w:val="WLGLevel1"/>
        <w:numPr>
          <w:ilvl w:val="0"/>
          <w:numId w:val="0"/>
        </w:numPr>
        <w:spacing w:before="0" w:after="0" w:line="360" w:lineRule="auto"/>
      </w:pPr>
      <w:r>
        <w:t xml:space="preserve">    </w:t>
      </w:r>
      <w:r w:rsidR="00025C43">
        <w:t xml:space="preserve"> </w:t>
      </w:r>
      <w:r>
        <w:t xml:space="preserve"> </w:t>
      </w:r>
      <w:r w:rsidR="00761429">
        <w:t xml:space="preserve">     </w:t>
      </w:r>
      <w:r>
        <w:t xml:space="preserve"> </w:t>
      </w:r>
      <w:r w:rsidR="00025C43">
        <w:t>proceedings unless the parties otherwise agree or unless the AFSA Secretariat</w:t>
      </w:r>
    </w:p>
    <w:p w14:paraId="1284C58D" w14:textId="2E1E3191" w:rsidR="008B0800" w:rsidRDefault="0041319E" w:rsidP="00B420DB">
      <w:pPr>
        <w:pStyle w:val="WLGLevel1"/>
        <w:numPr>
          <w:ilvl w:val="0"/>
          <w:numId w:val="0"/>
        </w:numPr>
        <w:spacing w:before="0" w:after="0" w:line="360" w:lineRule="auto"/>
      </w:pPr>
      <w:r>
        <w:t xml:space="preserve">      </w:t>
      </w:r>
      <w:r w:rsidR="00761429">
        <w:t xml:space="preserve">     </w:t>
      </w:r>
      <w:r>
        <w:t xml:space="preserve"> permits an extension of that time.</w:t>
      </w:r>
      <w:r w:rsidR="00025C43">
        <w:t xml:space="preserve"> </w:t>
      </w:r>
    </w:p>
    <w:p w14:paraId="3875D458" w14:textId="77777777" w:rsidR="00761429" w:rsidRDefault="00761429" w:rsidP="00B420DB">
      <w:pPr>
        <w:pStyle w:val="WLGLevel1"/>
        <w:numPr>
          <w:ilvl w:val="0"/>
          <w:numId w:val="0"/>
        </w:numPr>
        <w:spacing w:before="0" w:after="0" w:line="360" w:lineRule="auto"/>
      </w:pPr>
    </w:p>
    <w:p w14:paraId="79AF7147" w14:textId="3401FD04" w:rsidR="00672A20" w:rsidRDefault="0041319E" w:rsidP="00B420DB">
      <w:pPr>
        <w:pStyle w:val="WLGLevel1"/>
        <w:numPr>
          <w:ilvl w:val="0"/>
          <w:numId w:val="0"/>
        </w:numPr>
        <w:spacing w:before="0" w:after="0" w:line="360" w:lineRule="auto"/>
      </w:pPr>
      <w:r>
        <w:t xml:space="preserve">    </w:t>
      </w:r>
      <w:r w:rsidR="00672A20">
        <w:t xml:space="preserve">   </w:t>
      </w:r>
      <w:r>
        <w:t>10.2 The  Arbitrator’s award must be published to the parties in an appropriate</w:t>
      </w:r>
    </w:p>
    <w:p w14:paraId="63BBB4B2" w14:textId="77886CE8" w:rsidR="0041319E" w:rsidRDefault="00672A20" w:rsidP="00B420DB">
      <w:pPr>
        <w:pStyle w:val="WLGLevel1"/>
        <w:numPr>
          <w:ilvl w:val="0"/>
          <w:numId w:val="0"/>
        </w:numPr>
        <w:spacing w:before="0" w:after="0" w:line="360" w:lineRule="auto"/>
      </w:pPr>
      <w:r>
        <w:t xml:space="preserve">       </w:t>
      </w:r>
      <w:r w:rsidR="00761429">
        <w:t xml:space="preserve">     </w:t>
      </w:r>
      <w:r w:rsidR="0041319E">
        <w:t>fashion</w:t>
      </w:r>
      <w:r>
        <w:t xml:space="preserve"> </w:t>
      </w:r>
      <w:r w:rsidR="0041319E">
        <w:t>as determined by the AFSA Secretariat.</w:t>
      </w:r>
    </w:p>
    <w:p w14:paraId="69192A25" w14:textId="30A6B089" w:rsidR="0041319E" w:rsidRDefault="0041319E" w:rsidP="00B420DB">
      <w:pPr>
        <w:pStyle w:val="WLGLevel1"/>
        <w:numPr>
          <w:ilvl w:val="0"/>
          <w:numId w:val="0"/>
        </w:numPr>
        <w:spacing w:before="0" w:after="0" w:line="360" w:lineRule="auto"/>
      </w:pPr>
      <w:r>
        <w:lastRenderedPageBreak/>
        <w:t xml:space="preserve">     </w:t>
      </w:r>
      <w:r w:rsidR="00672A20">
        <w:t xml:space="preserve"> </w:t>
      </w:r>
      <w:r>
        <w:t>10.3 Unless  the parties have in writing instructed the AFSA Secretariat otherwise at</w:t>
      </w:r>
    </w:p>
    <w:p w14:paraId="748EC5BE" w14:textId="3A723E35" w:rsidR="0041319E" w:rsidRDefault="0041319E" w:rsidP="00B420DB">
      <w:pPr>
        <w:pStyle w:val="WLGLevel1"/>
        <w:numPr>
          <w:ilvl w:val="0"/>
          <w:numId w:val="0"/>
        </w:numPr>
        <w:spacing w:before="0" w:after="0" w:line="360" w:lineRule="auto"/>
      </w:pPr>
      <w:r>
        <w:t xml:space="preserve">     </w:t>
      </w:r>
      <w:r w:rsidR="00672A20">
        <w:t xml:space="preserve"> </w:t>
      </w:r>
      <w:r w:rsidR="00761429">
        <w:t xml:space="preserve">   </w:t>
      </w:r>
      <w:r w:rsidR="00B420DB">
        <w:t xml:space="preserve"> </w:t>
      </w:r>
      <w:r>
        <w:t>any time before the final award is given, there shall be no right of appeal  from the</w:t>
      </w:r>
    </w:p>
    <w:p w14:paraId="7F43B427" w14:textId="53F75810" w:rsidR="0041319E" w:rsidRDefault="0041319E" w:rsidP="00B420DB">
      <w:pPr>
        <w:pStyle w:val="WLGLevel1"/>
        <w:numPr>
          <w:ilvl w:val="0"/>
          <w:numId w:val="0"/>
        </w:numPr>
        <w:spacing w:before="0" w:after="0" w:line="360" w:lineRule="auto"/>
      </w:pPr>
      <w:r>
        <w:t xml:space="preserve">     </w:t>
      </w:r>
      <w:r w:rsidR="00672A20">
        <w:t xml:space="preserve"> </w:t>
      </w:r>
      <w:r w:rsidR="00B420DB">
        <w:t xml:space="preserve"> </w:t>
      </w:r>
      <w:r w:rsidR="00761429">
        <w:t xml:space="preserve">   </w:t>
      </w:r>
      <w:r>
        <w:t>award. In cases where the AFSA Secretariat has been instructed otherwise, the</w:t>
      </w:r>
    </w:p>
    <w:p w14:paraId="77A0B744" w14:textId="11931E1F" w:rsidR="00672A20" w:rsidRDefault="0041319E" w:rsidP="00B420DB">
      <w:pPr>
        <w:pStyle w:val="WLGLevel1"/>
        <w:numPr>
          <w:ilvl w:val="0"/>
          <w:numId w:val="0"/>
        </w:numPr>
        <w:spacing w:before="0" w:after="0" w:line="360" w:lineRule="auto"/>
      </w:pPr>
      <w:r>
        <w:t xml:space="preserve">    </w:t>
      </w:r>
      <w:r w:rsidR="00672A20">
        <w:t xml:space="preserve">  </w:t>
      </w:r>
      <w:r w:rsidR="00761429">
        <w:t xml:space="preserve">   </w:t>
      </w:r>
      <w:r w:rsidR="00B420DB">
        <w:t xml:space="preserve"> </w:t>
      </w:r>
      <w:r>
        <w:t>appeal provisions contained in Article 22 of the AFSA Rules for Commercial</w:t>
      </w:r>
    </w:p>
    <w:p w14:paraId="70B6B95A" w14:textId="5760652F" w:rsidR="000415AA" w:rsidRDefault="00672A20" w:rsidP="00B420DB">
      <w:pPr>
        <w:pStyle w:val="WLGLevel1"/>
        <w:numPr>
          <w:ilvl w:val="0"/>
          <w:numId w:val="0"/>
        </w:numPr>
        <w:spacing w:before="0" w:after="0" w:line="360" w:lineRule="auto"/>
      </w:pPr>
      <w:r>
        <w:t xml:space="preserve">      </w:t>
      </w:r>
      <w:r w:rsidR="00761429">
        <w:t xml:space="preserve">  </w:t>
      </w:r>
      <w:r w:rsidR="00B420DB">
        <w:t xml:space="preserve"> </w:t>
      </w:r>
      <w:r w:rsidR="00761429">
        <w:t xml:space="preserve"> </w:t>
      </w:r>
      <w:r w:rsidR="0041319E">
        <w:t>Arbitration</w:t>
      </w:r>
      <w:r>
        <w:t xml:space="preserve"> </w:t>
      </w:r>
      <w:r w:rsidR="0041319E">
        <w:t>will apply.”</w:t>
      </w:r>
    </w:p>
    <w:p w14:paraId="0C4B9966" w14:textId="77777777" w:rsidR="00B420DB" w:rsidRDefault="00B420DB" w:rsidP="00B420DB">
      <w:pPr>
        <w:pStyle w:val="WLGLevel1"/>
        <w:numPr>
          <w:ilvl w:val="0"/>
          <w:numId w:val="0"/>
        </w:numPr>
        <w:spacing w:before="0" w:after="0" w:line="360" w:lineRule="auto"/>
      </w:pPr>
    </w:p>
    <w:p w14:paraId="46C477F2" w14:textId="3D354D64" w:rsidR="0041319E" w:rsidRDefault="000415AA" w:rsidP="00B420DB">
      <w:pPr>
        <w:pStyle w:val="WLGLevel1"/>
        <w:numPr>
          <w:ilvl w:val="0"/>
          <w:numId w:val="0"/>
        </w:numPr>
        <w:spacing w:before="0" w:after="0" w:line="360" w:lineRule="auto"/>
      </w:pPr>
      <w:r>
        <w:t>[2</w:t>
      </w:r>
      <w:r w:rsidR="00826F05">
        <w:t>4</w:t>
      </w:r>
      <w:r>
        <w:t>]  The High Court has no jurisdiction to hear an appeal against an arbitration award</w:t>
      </w:r>
      <w:r w:rsidR="000F3440">
        <w:t>.</w:t>
      </w:r>
      <w:r>
        <w:rPr>
          <w:rStyle w:val="FootnoteReference"/>
        </w:rPr>
        <w:footnoteReference w:id="23"/>
      </w:r>
      <w:r w:rsidR="001F4ED1">
        <w:t xml:space="preserve">A party to a consensual arbitration under the Arbitration Act as is the case </w:t>
      </w:r>
      <w:r w:rsidR="001F4ED1" w:rsidRPr="001F4ED1">
        <w:rPr>
          <w:i/>
          <w:iCs/>
        </w:rPr>
        <w:t>in casu</w:t>
      </w:r>
      <w:r w:rsidR="001F4ED1">
        <w:t xml:space="preserve">, cannot review the decision of an arbitrator on administrative or common law grounds.  The party aggrieved by the arbitral award may review such decision on the limited grounds </w:t>
      </w:r>
      <w:r>
        <w:t xml:space="preserve"> </w:t>
      </w:r>
      <w:r w:rsidR="001F4ED1">
        <w:t>of review listed in section 33 of the Arbitration Act.</w:t>
      </w:r>
    </w:p>
    <w:p w14:paraId="5F29A390" w14:textId="2923AA79" w:rsidR="009D739B" w:rsidRDefault="009D739B" w:rsidP="00B420DB">
      <w:pPr>
        <w:pStyle w:val="WLGLevel1"/>
        <w:numPr>
          <w:ilvl w:val="0"/>
          <w:numId w:val="0"/>
        </w:numPr>
        <w:spacing w:line="360" w:lineRule="auto"/>
      </w:pPr>
      <w:r>
        <w:rPr>
          <w:b/>
          <w:bCs/>
        </w:rPr>
        <w:t>A</w:t>
      </w:r>
      <w:r w:rsidRPr="00700D90">
        <w:rPr>
          <w:b/>
          <w:bCs/>
        </w:rPr>
        <w:t>pplication of the law</w:t>
      </w:r>
    </w:p>
    <w:p w14:paraId="08B15386" w14:textId="713C1B13" w:rsidR="00275DC2" w:rsidRDefault="000F3440" w:rsidP="00B420DB">
      <w:pPr>
        <w:pStyle w:val="WLGLevel1"/>
        <w:numPr>
          <w:ilvl w:val="0"/>
          <w:numId w:val="0"/>
        </w:numPr>
        <w:spacing w:line="360" w:lineRule="auto"/>
      </w:pPr>
      <w:r>
        <w:t>[2</w:t>
      </w:r>
      <w:r w:rsidR="00826F05">
        <w:t>5</w:t>
      </w:r>
      <w:r>
        <w:t>]</w:t>
      </w:r>
      <w:r w:rsidR="001F4ED1">
        <w:t xml:space="preserve"> </w:t>
      </w:r>
      <w:r w:rsidR="009D739B">
        <w:t>The</w:t>
      </w:r>
      <w:r w:rsidR="001F4ED1">
        <w:t xml:space="preserve"> Arbitral award was made on 12 May 202</w:t>
      </w:r>
      <w:r w:rsidR="007E34AC">
        <w:t>1</w:t>
      </w:r>
      <w:r w:rsidR="00E5413D">
        <w:t xml:space="preserve">. The respondent on 24 June 2021 made an application for review/ appeal apparently requesting </w:t>
      </w:r>
      <w:r w:rsidR="001F4ED1">
        <w:t xml:space="preserve"> the  reasons for the arbitral award</w:t>
      </w:r>
      <w:r w:rsidR="00E5413D">
        <w:t>. On 8 October 2021 the applicant launched the current application for an order to declare an Arbitration Award an order of court in terms of section 31 of the Arbitration Act 42 of 1965.</w:t>
      </w:r>
    </w:p>
    <w:p w14:paraId="5FD39F9E" w14:textId="27D0CFF3" w:rsidR="00E5413D" w:rsidRDefault="00E5413D" w:rsidP="00B420DB">
      <w:pPr>
        <w:pStyle w:val="WLGLevel1"/>
        <w:numPr>
          <w:ilvl w:val="0"/>
          <w:numId w:val="0"/>
        </w:numPr>
        <w:spacing w:line="360" w:lineRule="auto"/>
      </w:pPr>
      <w:r>
        <w:t xml:space="preserve">[26] </w:t>
      </w:r>
      <w:r w:rsidR="00011F33">
        <w:t xml:space="preserve"> A perfunctory </w:t>
      </w:r>
      <w:r>
        <w:t xml:space="preserve"> </w:t>
      </w:r>
      <w:r w:rsidR="00011F33">
        <w:t>read of the documents filed of record including the submissions from both counsel</w:t>
      </w:r>
      <w:r w:rsidR="0086489B">
        <w:t>s</w:t>
      </w:r>
      <w:r w:rsidR="00011F33">
        <w:t xml:space="preserve"> it is evident that the respondent is out of time with his purported review</w:t>
      </w:r>
      <w:r w:rsidR="0086489B">
        <w:t xml:space="preserve"> </w:t>
      </w:r>
      <w:r w:rsidR="00011F33">
        <w:t xml:space="preserve">/ </w:t>
      </w:r>
      <w:r w:rsidR="00011F33">
        <w:lastRenderedPageBreak/>
        <w:t>appeal application to the Arbitrator in terms of the consensual arbitration agreement between the parties.</w:t>
      </w:r>
    </w:p>
    <w:p w14:paraId="25B85D2E" w14:textId="6974E50E" w:rsidR="00011F33" w:rsidRDefault="00011F33" w:rsidP="00B420DB">
      <w:pPr>
        <w:pStyle w:val="WLGLevel1"/>
        <w:numPr>
          <w:ilvl w:val="0"/>
          <w:numId w:val="0"/>
        </w:numPr>
        <w:spacing w:line="360" w:lineRule="auto"/>
      </w:pPr>
      <w:r>
        <w:t xml:space="preserve">[27] The </w:t>
      </w:r>
      <w:r w:rsidR="00B339EC">
        <w:t xml:space="preserve">respondent’s </w:t>
      </w:r>
      <w:r>
        <w:t>purported</w:t>
      </w:r>
      <w:r w:rsidR="00B339EC">
        <w:t xml:space="preserve"> notice of</w:t>
      </w:r>
      <w:r>
        <w:t xml:space="preserve"> review </w:t>
      </w:r>
      <w:r w:rsidR="00B339EC">
        <w:t xml:space="preserve">or </w:t>
      </w:r>
      <w:r>
        <w:t xml:space="preserve">/ appeal application is flawed and invalid in law for reasons mentioned </w:t>
      </w:r>
      <w:r w:rsidRPr="00011F33">
        <w:rPr>
          <w:i/>
          <w:iCs/>
        </w:rPr>
        <w:t>supra</w:t>
      </w:r>
      <w:r>
        <w:rPr>
          <w:i/>
          <w:iCs/>
        </w:rPr>
        <w:t xml:space="preserve"> </w:t>
      </w:r>
      <w:r>
        <w:t>in this judgment.</w:t>
      </w:r>
      <w:r w:rsidR="00B339EC">
        <w:t xml:space="preserve"> Same does not even co</w:t>
      </w:r>
      <w:r w:rsidR="00DD481A">
        <w:t>nform</w:t>
      </w:r>
      <w:r w:rsidR="00B339EC">
        <w:t xml:space="preserve"> </w:t>
      </w:r>
      <w:r w:rsidR="00DD481A">
        <w:t>to</w:t>
      </w:r>
      <w:r w:rsidR="00B339EC">
        <w:t xml:space="preserve"> the parties own arbitration agreement including the incorporated terms of reference being the AFSA</w:t>
      </w:r>
      <w:r w:rsidR="00B339EC" w:rsidRPr="00B339EC">
        <w:t xml:space="preserve"> </w:t>
      </w:r>
      <w:r w:rsidR="00B339EC">
        <w:t>Expedited Commercial Rules- mentioned supra in this judgment.</w:t>
      </w:r>
    </w:p>
    <w:p w14:paraId="0DB991BA" w14:textId="6C7750E1" w:rsidR="00DD481A" w:rsidRDefault="00DD481A" w:rsidP="00B420DB">
      <w:pPr>
        <w:pStyle w:val="WLGLevel1"/>
        <w:numPr>
          <w:ilvl w:val="0"/>
          <w:numId w:val="0"/>
        </w:numPr>
        <w:spacing w:line="360" w:lineRule="auto"/>
      </w:pPr>
      <w:r>
        <w:t>[28] As mentioned</w:t>
      </w:r>
      <w:r w:rsidR="007E34AC">
        <w:t xml:space="preserve"> </w:t>
      </w:r>
      <w:r w:rsidRPr="00DD481A">
        <w:rPr>
          <w:i/>
          <w:iCs/>
        </w:rPr>
        <w:t xml:space="preserve">supra </w:t>
      </w:r>
      <w:r w:rsidRPr="00DD481A">
        <w:t>the</w:t>
      </w:r>
      <w:r>
        <w:t xml:space="preserve"> </w:t>
      </w:r>
      <w:r w:rsidRPr="00DD481A">
        <w:t>respon</w:t>
      </w:r>
      <w:r>
        <w:t xml:space="preserve">dent’s purported notice of </w:t>
      </w:r>
      <w:r w:rsidR="007E34AC">
        <w:t>review or</w:t>
      </w:r>
      <w:r>
        <w:t>/</w:t>
      </w:r>
      <w:r w:rsidR="007E34AC">
        <w:t xml:space="preserve"> </w:t>
      </w:r>
      <w:r>
        <w:t xml:space="preserve">appeal application is time barred and in effect well out of time having seriously considered the documents filed of record I </w:t>
      </w:r>
      <w:r w:rsidR="009B4B29">
        <w:t>believe that there is nothing that preclude this court from granting the order sought by the applicant.</w:t>
      </w:r>
    </w:p>
    <w:p w14:paraId="31E4579E" w14:textId="12D44C4D" w:rsidR="009A086F" w:rsidRDefault="009B4B29" w:rsidP="00B420DB">
      <w:pPr>
        <w:pStyle w:val="WLGLevel1"/>
        <w:numPr>
          <w:ilvl w:val="0"/>
          <w:numId w:val="0"/>
        </w:numPr>
        <w:spacing w:line="360" w:lineRule="auto"/>
      </w:pPr>
      <w:r>
        <w:t xml:space="preserve">[29] The Court is satisfied that the </w:t>
      </w:r>
      <w:r w:rsidR="009A086F">
        <w:t>a</w:t>
      </w:r>
      <w:r>
        <w:t xml:space="preserve">pplicant’s application before </w:t>
      </w:r>
      <w:r w:rsidR="009A086F">
        <w:t xml:space="preserve">court for an order that the Arbitration award dated the 12 May 2021 be made an order of court is proper before court </w:t>
      </w:r>
      <w:r w:rsidR="007E34AC">
        <w:t>and there is nothing to gainsay same in law ,</w:t>
      </w:r>
      <w:r w:rsidR="009A086F">
        <w:t>as a consequence the following order is made;</w:t>
      </w:r>
    </w:p>
    <w:p w14:paraId="1821FD1E" w14:textId="5C104C90" w:rsidR="009B4B29" w:rsidRDefault="009A086F" w:rsidP="00B420DB">
      <w:pPr>
        <w:pStyle w:val="WLGLevel1"/>
        <w:numPr>
          <w:ilvl w:val="0"/>
          <w:numId w:val="0"/>
        </w:numPr>
        <w:spacing w:line="360" w:lineRule="auto"/>
      </w:pPr>
      <w:r>
        <w:t>[1]</w:t>
      </w:r>
      <w:r w:rsidR="009B4B29">
        <w:t xml:space="preserve"> </w:t>
      </w:r>
      <w:r>
        <w:t>The Arbitration Award dated 12 May 2021 is made an order of Court;</w:t>
      </w:r>
    </w:p>
    <w:p w14:paraId="2CD2B6F8" w14:textId="12C78624" w:rsidR="00A1646A" w:rsidRPr="00826F05" w:rsidRDefault="009A086F" w:rsidP="00B420DB">
      <w:pPr>
        <w:pStyle w:val="WLGLevel1"/>
        <w:numPr>
          <w:ilvl w:val="0"/>
          <w:numId w:val="0"/>
        </w:numPr>
        <w:spacing w:line="360" w:lineRule="auto"/>
        <w:rPr>
          <w:i/>
          <w:iCs/>
        </w:rPr>
      </w:pPr>
      <w:r>
        <w:t>[2] The respondent is ordered to pay the costs of this application, including the opposed application for filling of a further affidavit by the respondent dated the 16 May 2022.</w:t>
      </w:r>
    </w:p>
    <w:p w14:paraId="2AC20D7B" w14:textId="77777777" w:rsidR="00A1646A" w:rsidRPr="00DC4B26" w:rsidRDefault="00A1646A" w:rsidP="00B420DB">
      <w:pPr>
        <w:pStyle w:val="WLGLevel1"/>
        <w:numPr>
          <w:ilvl w:val="0"/>
          <w:numId w:val="0"/>
        </w:numPr>
        <w:spacing w:before="0" w:after="0" w:line="360" w:lineRule="auto"/>
        <w:jc w:val="right"/>
      </w:pPr>
      <w:r>
        <w:rPr>
          <w:u w:val="thick"/>
        </w:rPr>
        <w:tab/>
      </w:r>
      <w:r>
        <w:rPr>
          <w:u w:val="thick"/>
        </w:rPr>
        <w:tab/>
      </w:r>
      <w:r>
        <w:rPr>
          <w:u w:val="thick"/>
        </w:rPr>
        <w:tab/>
      </w:r>
      <w:r>
        <w:rPr>
          <w:u w:val="thick"/>
        </w:rPr>
        <w:tab/>
      </w:r>
      <w:r>
        <w:rPr>
          <w:u w:val="thick"/>
        </w:rPr>
        <w:tab/>
      </w:r>
      <w:r>
        <w:rPr>
          <w:u w:val="thick"/>
        </w:rPr>
        <w:tab/>
      </w:r>
      <w:r>
        <w:t xml:space="preserve"> </w:t>
      </w:r>
    </w:p>
    <w:p w14:paraId="718BE2CD" w14:textId="77777777" w:rsidR="00A1646A" w:rsidRDefault="00A1646A" w:rsidP="00B420DB">
      <w:pPr>
        <w:widowControl w:val="0"/>
        <w:autoSpaceDE w:val="0"/>
        <w:autoSpaceDN w:val="0"/>
        <w:jc w:val="right"/>
        <w:rPr>
          <w:rFonts w:eastAsia="Arial" w:cs="Arial"/>
          <w:b/>
          <w:color w:val="000000" w:themeColor="text1"/>
          <w:szCs w:val="22"/>
          <w:lang w:val="en-US"/>
        </w:rPr>
      </w:pPr>
      <w:r>
        <w:rPr>
          <w:rFonts w:eastAsia="Arial" w:cs="Arial"/>
          <w:b/>
          <w:color w:val="000000" w:themeColor="text1"/>
          <w:szCs w:val="22"/>
          <w:lang w:val="en-US"/>
        </w:rPr>
        <w:t xml:space="preserve">J  YENDE </w:t>
      </w:r>
    </w:p>
    <w:p w14:paraId="1E88B861" w14:textId="77777777" w:rsidR="00A1646A" w:rsidRPr="00E16471" w:rsidRDefault="00A1646A" w:rsidP="00B420DB">
      <w:pPr>
        <w:widowControl w:val="0"/>
        <w:autoSpaceDE w:val="0"/>
        <w:autoSpaceDN w:val="0"/>
        <w:jc w:val="right"/>
        <w:rPr>
          <w:rFonts w:eastAsia="Arial" w:cs="Arial"/>
          <w:b/>
          <w:color w:val="000000" w:themeColor="text1"/>
          <w:spacing w:val="-2"/>
          <w:szCs w:val="22"/>
          <w:lang w:val="en-US"/>
        </w:rPr>
      </w:pPr>
      <w:r>
        <w:rPr>
          <w:rFonts w:eastAsia="Arial" w:cs="Arial"/>
          <w:b/>
          <w:color w:val="000000" w:themeColor="text1"/>
          <w:szCs w:val="22"/>
          <w:lang w:val="en-US"/>
        </w:rPr>
        <w:t xml:space="preserve">ACTING JUDGE OF THE </w:t>
      </w:r>
      <w:r w:rsidRPr="00E16471">
        <w:rPr>
          <w:rFonts w:eastAsia="Arial" w:cs="Arial"/>
          <w:b/>
          <w:color w:val="000000" w:themeColor="text1"/>
          <w:szCs w:val="22"/>
          <w:lang w:val="en-US"/>
        </w:rPr>
        <w:t>HIGH</w:t>
      </w:r>
      <w:r w:rsidRPr="00E16471">
        <w:rPr>
          <w:rFonts w:eastAsia="Arial" w:cs="Arial"/>
          <w:b/>
          <w:color w:val="000000" w:themeColor="text1"/>
          <w:spacing w:val="-4"/>
          <w:szCs w:val="22"/>
          <w:lang w:val="en-US"/>
        </w:rPr>
        <w:t xml:space="preserve"> </w:t>
      </w:r>
      <w:r w:rsidRPr="00E16471">
        <w:rPr>
          <w:rFonts w:eastAsia="Arial" w:cs="Arial"/>
          <w:b/>
          <w:color w:val="000000" w:themeColor="text1"/>
          <w:szCs w:val="22"/>
          <w:lang w:val="en-US"/>
        </w:rPr>
        <w:t>COURT</w:t>
      </w:r>
    </w:p>
    <w:p w14:paraId="7E1615E9" w14:textId="77777777" w:rsidR="00A1646A" w:rsidRDefault="00A1646A" w:rsidP="00B420DB">
      <w:pPr>
        <w:ind w:left="720" w:hanging="720"/>
        <w:jc w:val="right"/>
        <w:rPr>
          <w:rFonts w:eastAsia="Arial Unicode MS" w:cs="Arial"/>
          <w:b/>
          <w:u w:val="single"/>
        </w:rPr>
      </w:pPr>
      <w:r w:rsidRPr="00E16471">
        <w:rPr>
          <w:rFonts w:eastAsia="Arial" w:cs="Arial"/>
          <w:b/>
          <w:color w:val="000000" w:themeColor="text1"/>
          <w:spacing w:val="-2"/>
          <w:szCs w:val="22"/>
          <w:lang w:val="en-US"/>
        </w:rPr>
        <w:t xml:space="preserve">  GAUTENG DIVISION, </w:t>
      </w:r>
      <w:r>
        <w:rPr>
          <w:rFonts w:eastAsia="Arial" w:cs="Arial"/>
          <w:b/>
          <w:color w:val="000000" w:themeColor="text1"/>
          <w:spacing w:val="-2"/>
          <w:szCs w:val="22"/>
          <w:lang w:val="en-US"/>
        </w:rPr>
        <w:t xml:space="preserve">PRETORIA </w:t>
      </w:r>
    </w:p>
    <w:p w14:paraId="76816608" w14:textId="77777777" w:rsidR="00826F05" w:rsidRDefault="00826F05" w:rsidP="00B420DB">
      <w:pPr>
        <w:pBdr>
          <w:top w:val="nil"/>
          <w:left w:val="nil"/>
          <w:bottom w:val="nil"/>
          <w:right w:val="nil"/>
          <w:between w:val="nil"/>
        </w:pBdr>
        <w:jc w:val="both"/>
        <w:rPr>
          <w:color w:val="000000"/>
        </w:rPr>
      </w:pPr>
    </w:p>
    <w:p w14:paraId="243FC056" w14:textId="77777777" w:rsidR="0086489B" w:rsidRDefault="0086489B" w:rsidP="00B420DB">
      <w:pPr>
        <w:pBdr>
          <w:top w:val="nil"/>
          <w:left w:val="nil"/>
          <w:bottom w:val="nil"/>
          <w:right w:val="nil"/>
          <w:between w:val="nil"/>
        </w:pBdr>
        <w:jc w:val="both"/>
        <w:rPr>
          <w:color w:val="000000"/>
        </w:rPr>
      </w:pPr>
    </w:p>
    <w:p w14:paraId="0B372C76" w14:textId="77777777" w:rsidR="0086489B" w:rsidRDefault="0086489B" w:rsidP="00B420DB">
      <w:pPr>
        <w:pBdr>
          <w:top w:val="nil"/>
          <w:left w:val="nil"/>
          <w:bottom w:val="nil"/>
          <w:right w:val="nil"/>
          <w:between w:val="nil"/>
        </w:pBdr>
        <w:jc w:val="both"/>
        <w:rPr>
          <w:color w:val="000000"/>
        </w:rPr>
      </w:pPr>
    </w:p>
    <w:p w14:paraId="55FBA1F3" w14:textId="77777777" w:rsidR="0086489B" w:rsidRPr="002F13AF" w:rsidRDefault="0086489B" w:rsidP="00B420DB">
      <w:pPr>
        <w:pBdr>
          <w:top w:val="nil"/>
          <w:left w:val="nil"/>
          <w:bottom w:val="nil"/>
          <w:right w:val="nil"/>
          <w:between w:val="nil"/>
        </w:pBdr>
        <w:jc w:val="both"/>
        <w:rPr>
          <w:color w:val="000000"/>
        </w:rPr>
      </w:pPr>
    </w:p>
    <w:p w14:paraId="5D34477A" w14:textId="77777777" w:rsidR="00826F05" w:rsidRPr="002F13AF" w:rsidRDefault="00826F05" w:rsidP="00B420DB">
      <w:pPr>
        <w:spacing w:after="160"/>
        <w:rPr>
          <w:b/>
          <w:color w:val="000000"/>
          <w:u w:val="single"/>
        </w:rPr>
      </w:pPr>
    </w:p>
    <w:p w14:paraId="39A6F5DA" w14:textId="77777777" w:rsidR="00826F05" w:rsidRPr="002F13AF" w:rsidRDefault="00826F05" w:rsidP="00B420DB">
      <w:pPr>
        <w:pBdr>
          <w:top w:val="nil"/>
          <w:left w:val="nil"/>
          <w:bottom w:val="nil"/>
          <w:right w:val="nil"/>
          <w:between w:val="nil"/>
        </w:pBdr>
        <w:jc w:val="both"/>
        <w:rPr>
          <w:b/>
          <w:color w:val="000000"/>
          <w:u w:val="single"/>
        </w:rPr>
      </w:pPr>
      <w:r w:rsidRPr="002F13AF">
        <w:rPr>
          <w:b/>
          <w:color w:val="000000"/>
          <w:u w:val="single"/>
        </w:rPr>
        <w:lastRenderedPageBreak/>
        <w:t>APPEARANCES:</w:t>
      </w:r>
    </w:p>
    <w:p w14:paraId="55328090" w14:textId="77777777" w:rsidR="00826F05" w:rsidRPr="002F13AF" w:rsidRDefault="00826F05" w:rsidP="00B420DB">
      <w:pPr>
        <w:pBdr>
          <w:top w:val="nil"/>
          <w:left w:val="nil"/>
          <w:bottom w:val="nil"/>
          <w:right w:val="nil"/>
          <w:between w:val="nil"/>
        </w:pBdr>
        <w:jc w:val="both"/>
        <w:rPr>
          <w:b/>
          <w:color w:val="000000"/>
        </w:rPr>
      </w:pPr>
    </w:p>
    <w:p w14:paraId="0D7B0263" w14:textId="52E7DB2C" w:rsidR="00826F05" w:rsidRPr="00826F05" w:rsidRDefault="00826F05" w:rsidP="00B420DB">
      <w:pPr>
        <w:pBdr>
          <w:top w:val="nil"/>
          <w:left w:val="nil"/>
          <w:bottom w:val="nil"/>
          <w:right w:val="nil"/>
          <w:between w:val="nil"/>
        </w:pBdr>
        <w:jc w:val="both"/>
        <w:rPr>
          <w:b/>
          <w:color w:val="000000"/>
        </w:rPr>
      </w:pPr>
      <w:r w:rsidRPr="002F13AF">
        <w:rPr>
          <w:b/>
          <w:color w:val="000000"/>
          <w:u w:val="single"/>
        </w:rPr>
        <w:t>Advocate for Applicant</w:t>
      </w:r>
      <w:r w:rsidRPr="00826F05">
        <w:rPr>
          <w:b/>
          <w:color w:val="000000"/>
        </w:rPr>
        <w:t>:                                 J van der Merwe</w:t>
      </w:r>
    </w:p>
    <w:p w14:paraId="43173CEC" w14:textId="105FF76E" w:rsidR="00826F05" w:rsidRPr="00826F05" w:rsidRDefault="00826F05" w:rsidP="00B420DB">
      <w:pPr>
        <w:pBdr>
          <w:top w:val="nil"/>
          <w:left w:val="nil"/>
          <w:bottom w:val="nil"/>
          <w:right w:val="nil"/>
          <w:between w:val="nil"/>
        </w:pBdr>
        <w:jc w:val="both"/>
        <w:rPr>
          <w:b/>
          <w:color w:val="000000"/>
        </w:rPr>
      </w:pPr>
      <w:r w:rsidRPr="00826F05">
        <w:rPr>
          <w:b/>
          <w:color w:val="000000"/>
        </w:rPr>
        <w:t xml:space="preserve">                                                                         </w:t>
      </w:r>
      <w:r w:rsidRPr="00826F05">
        <w:rPr>
          <w:b/>
        </w:rPr>
        <w:t>jana@gkchambers.co.za</w:t>
      </w:r>
    </w:p>
    <w:p w14:paraId="6D8902F9" w14:textId="77777777" w:rsidR="00826F05" w:rsidRPr="00826F05" w:rsidRDefault="00826F05" w:rsidP="00B420DB">
      <w:pPr>
        <w:pBdr>
          <w:top w:val="nil"/>
          <w:left w:val="nil"/>
          <w:bottom w:val="nil"/>
          <w:right w:val="nil"/>
          <w:between w:val="nil"/>
        </w:pBdr>
        <w:jc w:val="both"/>
        <w:rPr>
          <w:b/>
          <w:color w:val="000000"/>
        </w:rPr>
      </w:pPr>
    </w:p>
    <w:p w14:paraId="3C43F11C" w14:textId="77777777" w:rsidR="00826F05" w:rsidRPr="002F13AF" w:rsidRDefault="00826F05" w:rsidP="00B420DB">
      <w:pPr>
        <w:pBdr>
          <w:top w:val="nil"/>
          <w:left w:val="nil"/>
          <w:bottom w:val="nil"/>
          <w:right w:val="nil"/>
          <w:between w:val="nil"/>
        </w:pBdr>
        <w:jc w:val="both"/>
        <w:rPr>
          <w:b/>
          <w:color w:val="000000"/>
        </w:rPr>
      </w:pPr>
    </w:p>
    <w:p w14:paraId="15859352" w14:textId="5B512000" w:rsidR="00826F05" w:rsidRPr="002F13AF" w:rsidRDefault="00826F05" w:rsidP="00B420DB">
      <w:pPr>
        <w:pBdr>
          <w:top w:val="nil"/>
          <w:left w:val="nil"/>
          <w:bottom w:val="nil"/>
          <w:right w:val="nil"/>
          <w:between w:val="nil"/>
        </w:pBdr>
        <w:jc w:val="both"/>
        <w:rPr>
          <w:b/>
          <w:color w:val="000000"/>
        </w:rPr>
      </w:pPr>
      <w:r w:rsidRPr="002F13AF">
        <w:rPr>
          <w:b/>
          <w:color w:val="000000"/>
          <w:u w:val="single"/>
        </w:rPr>
        <w:t>Instructed by</w:t>
      </w:r>
      <w:r w:rsidRPr="002F13AF">
        <w:rPr>
          <w:b/>
          <w:color w:val="000000"/>
        </w:rPr>
        <w:t xml:space="preserve">:                                                  </w:t>
      </w:r>
      <w:r>
        <w:rPr>
          <w:b/>
          <w:color w:val="000000"/>
        </w:rPr>
        <w:t>Couzyn</w:t>
      </w:r>
      <w:r w:rsidRPr="002F13AF">
        <w:rPr>
          <w:b/>
          <w:color w:val="000000"/>
        </w:rPr>
        <w:t xml:space="preserve"> Attorneys </w:t>
      </w:r>
      <w:r>
        <w:rPr>
          <w:b/>
          <w:color w:val="000000"/>
        </w:rPr>
        <w:t xml:space="preserve"> Hertzog &amp;Horak</w:t>
      </w:r>
    </w:p>
    <w:p w14:paraId="40716397" w14:textId="1D6E68C1" w:rsidR="00826F05" w:rsidRPr="002F13AF" w:rsidRDefault="00826F05" w:rsidP="00B420DB">
      <w:pPr>
        <w:pBdr>
          <w:top w:val="nil"/>
          <w:left w:val="nil"/>
          <w:bottom w:val="nil"/>
          <w:right w:val="nil"/>
          <w:between w:val="nil"/>
        </w:pBdr>
        <w:jc w:val="both"/>
        <w:rPr>
          <w:b/>
          <w:color w:val="000000"/>
        </w:rPr>
      </w:pPr>
      <w:r w:rsidRPr="002F13AF">
        <w:rPr>
          <w:b/>
          <w:color w:val="000000"/>
        </w:rPr>
        <w:t xml:space="preserve">                                                                          </w:t>
      </w:r>
      <w:r>
        <w:rPr>
          <w:b/>
          <w:color w:val="000000"/>
        </w:rPr>
        <w:t>petridc@couzyn.co.za</w:t>
      </w:r>
    </w:p>
    <w:p w14:paraId="65167F1A" w14:textId="77777777" w:rsidR="00826F05" w:rsidRPr="002F13AF" w:rsidRDefault="00826F05" w:rsidP="00B420DB">
      <w:pPr>
        <w:pBdr>
          <w:top w:val="nil"/>
          <w:left w:val="nil"/>
          <w:bottom w:val="nil"/>
          <w:right w:val="nil"/>
          <w:between w:val="nil"/>
        </w:pBdr>
        <w:jc w:val="both"/>
        <w:rPr>
          <w:b/>
          <w:color w:val="000000"/>
        </w:rPr>
      </w:pPr>
    </w:p>
    <w:p w14:paraId="2B16F3E5" w14:textId="4081277A" w:rsidR="00826F05" w:rsidRPr="00826F05" w:rsidRDefault="00826F05" w:rsidP="00B420DB">
      <w:pPr>
        <w:pBdr>
          <w:top w:val="nil"/>
          <w:left w:val="nil"/>
          <w:bottom w:val="nil"/>
          <w:right w:val="nil"/>
          <w:between w:val="nil"/>
        </w:pBdr>
        <w:jc w:val="both"/>
        <w:rPr>
          <w:b/>
          <w:color w:val="000000"/>
        </w:rPr>
      </w:pPr>
      <w:r w:rsidRPr="002F13AF">
        <w:rPr>
          <w:b/>
          <w:color w:val="000000"/>
          <w:u w:val="single"/>
        </w:rPr>
        <w:t>Advocate for Respondent</w:t>
      </w:r>
      <w:r w:rsidRPr="002F13AF">
        <w:rPr>
          <w:b/>
          <w:color w:val="000000"/>
        </w:rPr>
        <w:t xml:space="preserve">: </w:t>
      </w:r>
      <w:r w:rsidRPr="002F13AF">
        <w:rPr>
          <w:b/>
          <w:color w:val="000000"/>
        </w:rPr>
        <w:tab/>
      </w:r>
      <w:r w:rsidRPr="002F13AF">
        <w:rPr>
          <w:b/>
          <w:color w:val="000000"/>
        </w:rPr>
        <w:tab/>
      </w:r>
      <w:r w:rsidRPr="00826F05">
        <w:rPr>
          <w:b/>
          <w:color w:val="000000"/>
        </w:rPr>
        <w:t xml:space="preserve">        W P Steyn</w:t>
      </w:r>
      <w:r w:rsidRPr="00826F05">
        <w:rPr>
          <w:b/>
          <w:color w:val="000000"/>
        </w:rPr>
        <w:tab/>
      </w:r>
    </w:p>
    <w:p w14:paraId="2A975DCD" w14:textId="6D216D62" w:rsidR="00826F05" w:rsidRPr="00826F05" w:rsidRDefault="00826F05" w:rsidP="00B420DB">
      <w:pPr>
        <w:pBdr>
          <w:top w:val="nil"/>
          <w:left w:val="nil"/>
          <w:bottom w:val="nil"/>
          <w:right w:val="nil"/>
          <w:between w:val="nil"/>
        </w:pBdr>
        <w:jc w:val="both"/>
        <w:rPr>
          <w:b/>
          <w:color w:val="000000"/>
        </w:rPr>
      </w:pPr>
      <w:r w:rsidRPr="00826F05">
        <w:rPr>
          <w:b/>
          <w:color w:val="000000"/>
        </w:rPr>
        <w:t xml:space="preserve">                                                                         </w:t>
      </w:r>
      <w:r w:rsidRPr="00826F05">
        <w:rPr>
          <w:b/>
        </w:rPr>
        <w:t>wpsteyn@icloud.com</w:t>
      </w:r>
    </w:p>
    <w:p w14:paraId="0BF65180" w14:textId="77777777" w:rsidR="00826F05" w:rsidRPr="00826F05" w:rsidRDefault="00826F05" w:rsidP="00B420DB">
      <w:pPr>
        <w:pBdr>
          <w:top w:val="nil"/>
          <w:left w:val="nil"/>
          <w:bottom w:val="nil"/>
          <w:right w:val="nil"/>
          <w:between w:val="nil"/>
        </w:pBdr>
        <w:jc w:val="both"/>
        <w:rPr>
          <w:b/>
          <w:color w:val="000000"/>
        </w:rPr>
      </w:pPr>
    </w:p>
    <w:p w14:paraId="03A14EAE" w14:textId="77777777" w:rsidR="00826F05" w:rsidRPr="002F13AF" w:rsidRDefault="00826F05" w:rsidP="00B420DB">
      <w:pPr>
        <w:pBdr>
          <w:top w:val="nil"/>
          <w:left w:val="nil"/>
          <w:bottom w:val="nil"/>
          <w:right w:val="nil"/>
          <w:between w:val="nil"/>
        </w:pBdr>
        <w:jc w:val="both"/>
        <w:rPr>
          <w:b/>
          <w:color w:val="000000"/>
        </w:rPr>
      </w:pPr>
    </w:p>
    <w:p w14:paraId="5E541F02" w14:textId="506719D3" w:rsidR="00826F05" w:rsidRPr="002F13AF" w:rsidRDefault="00826F05" w:rsidP="00B420DB">
      <w:pPr>
        <w:pBdr>
          <w:top w:val="nil"/>
          <w:left w:val="nil"/>
          <w:bottom w:val="nil"/>
          <w:right w:val="nil"/>
          <w:between w:val="nil"/>
        </w:pBdr>
        <w:jc w:val="both"/>
        <w:rPr>
          <w:b/>
          <w:color w:val="000000"/>
        </w:rPr>
      </w:pPr>
      <w:r w:rsidRPr="002F13AF">
        <w:rPr>
          <w:b/>
          <w:color w:val="000000"/>
        </w:rPr>
        <w:t xml:space="preserve"> Instructed by:                                                </w:t>
      </w:r>
      <w:r>
        <w:rPr>
          <w:b/>
          <w:color w:val="000000"/>
        </w:rPr>
        <w:t>HJV Attorneys</w:t>
      </w:r>
      <w:r w:rsidRPr="002F13AF">
        <w:rPr>
          <w:b/>
          <w:color w:val="000000"/>
        </w:rPr>
        <w:t xml:space="preserve"> </w:t>
      </w:r>
    </w:p>
    <w:p w14:paraId="5C367999" w14:textId="598D0AA0" w:rsidR="00826F05" w:rsidRPr="002F13AF" w:rsidRDefault="00826F05" w:rsidP="00B420DB">
      <w:pPr>
        <w:pBdr>
          <w:top w:val="nil"/>
          <w:left w:val="nil"/>
          <w:bottom w:val="nil"/>
          <w:right w:val="nil"/>
          <w:between w:val="nil"/>
        </w:pBdr>
        <w:jc w:val="both"/>
        <w:rPr>
          <w:b/>
          <w:color w:val="000000"/>
        </w:rPr>
      </w:pPr>
      <w:r w:rsidRPr="002F13AF">
        <w:rPr>
          <w:b/>
          <w:color w:val="000000"/>
        </w:rPr>
        <w:t xml:space="preserve">                                                                    </w:t>
      </w:r>
      <w:r>
        <w:rPr>
          <w:b/>
          <w:color w:val="000000"/>
        </w:rPr>
        <w:t xml:space="preserve">     clerk@hjvattorneys.co.za</w:t>
      </w:r>
    </w:p>
    <w:p w14:paraId="30E3D5AC" w14:textId="77777777" w:rsidR="00826F05" w:rsidRPr="002F13AF" w:rsidRDefault="00826F05" w:rsidP="00B420DB">
      <w:pPr>
        <w:pBdr>
          <w:top w:val="nil"/>
          <w:left w:val="nil"/>
          <w:bottom w:val="nil"/>
          <w:right w:val="nil"/>
          <w:between w:val="nil"/>
        </w:pBdr>
        <w:jc w:val="both"/>
        <w:rPr>
          <w:b/>
          <w:color w:val="000000"/>
        </w:rPr>
      </w:pPr>
    </w:p>
    <w:p w14:paraId="484C1A39" w14:textId="757FE2E3" w:rsidR="00826F05" w:rsidRPr="002F13AF" w:rsidRDefault="00826F05" w:rsidP="00B420DB">
      <w:pPr>
        <w:pBdr>
          <w:top w:val="nil"/>
          <w:left w:val="nil"/>
          <w:bottom w:val="nil"/>
          <w:right w:val="nil"/>
          <w:between w:val="nil"/>
        </w:pBdr>
        <w:jc w:val="both"/>
        <w:rPr>
          <w:b/>
          <w:color w:val="000000"/>
        </w:rPr>
      </w:pPr>
      <w:r w:rsidRPr="002F13AF">
        <w:rPr>
          <w:b/>
          <w:color w:val="000000"/>
        </w:rPr>
        <w:t xml:space="preserve">                                                                         </w:t>
      </w:r>
    </w:p>
    <w:p w14:paraId="2A96C876" w14:textId="77777777" w:rsidR="00826F05" w:rsidRPr="002F13AF" w:rsidRDefault="00826F05" w:rsidP="00B420DB">
      <w:pPr>
        <w:pBdr>
          <w:top w:val="nil"/>
          <w:left w:val="nil"/>
          <w:bottom w:val="nil"/>
          <w:right w:val="nil"/>
          <w:between w:val="nil"/>
        </w:pBdr>
        <w:jc w:val="both"/>
        <w:rPr>
          <w:b/>
          <w:color w:val="000000"/>
        </w:rPr>
      </w:pPr>
    </w:p>
    <w:p w14:paraId="759522D7" w14:textId="77777777" w:rsidR="00826F05" w:rsidRPr="002F13AF" w:rsidRDefault="00826F05" w:rsidP="00B420DB">
      <w:pPr>
        <w:pBdr>
          <w:top w:val="nil"/>
          <w:left w:val="nil"/>
          <w:bottom w:val="nil"/>
          <w:right w:val="nil"/>
          <w:between w:val="nil"/>
        </w:pBdr>
        <w:jc w:val="both"/>
        <w:rPr>
          <w:b/>
          <w:color w:val="000000"/>
        </w:rPr>
      </w:pPr>
    </w:p>
    <w:p w14:paraId="75669959" w14:textId="7131FE39" w:rsidR="00826F05" w:rsidRPr="007E34AC" w:rsidRDefault="007E34AC" w:rsidP="00B420DB">
      <w:pPr>
        <w:pBdr>
          <w:top w:val="nil"/>
          <w:left w:val="nil"/>
          <w:bottom w:val="nil"/>
          <w:right w:val="nil"/>
          <w:between w:val="nil"/>
        </w:pBdr>
        <w:jc w:val="both"/>
        <w:rPr>
          <w:b/>
          <w:bCs/>
          <w:color w:val="000000"/>
        </w:rPr>
      </w:pPr>
      <w:r>
        <w:rPr>
          <w:b/>
          <w:bCs/>
          <w:color w:val="000000"/>
        </w:rPr>
        <w:t>H</w:t>
      </w:r>
      <w:r w:rsidR="00826F05" w:rsidRPr="007E34AC">
        <w:rPr>
          <w:b/>
          <w:bCs/>
          <w:color w:val="000000"/>
        </w:rPr>
        <w:t xml:space="preserve">eard: </w:t>
      </w:r>
      <w:r w:rsidR="00826F05" w:rsidRPr="007E34AC">
        <w:rPr>
          <w:b/>
          <w:bCs/>
          <w:color w:val="000000"/>
        </w:rPr>
        <w:tab/>
      </w:r>
      <w:r w:rsidR="00826F05" w:rsidRPr="007E34AC">
        <w:rPr>
          <w:b/>
          <w:bCs/>
          <w:color w:val="000000"/>
        </w:rPr>
        <w:tab/>
      </w:r>
      <w:r w:rsidR="00826F05" w:rsidRPr="007E34AC">
        <w:rPr>
          <w:b/>
          <w:bCs/>
          <w:color w:val="000000"/>
        </w:rPr>
        <w:tab/>
      </w:r>
      <w:r w:rsidR="00826F05" w:rsidRPr="007E34AC">
        <w:rPr>
          <w:b/>
          <w:bCs/>
          <w:color w:val="000000"/>
        </w:rPr>
        <w:tab/>
        <w:t xml:space="preserve">  29 May 2023</w:t>
      </w:r>
    </w:p>
    <w:p w14:paraId="7C15E649" w14:textId="77777777" w:rsidR="00826F05" w:rsidRPr="007E34AC" w:rsidRDefault="00826F05" w:rsidP="00B420DB">
      <w:pPr>
        <w:pBdr>
          <w:top w:val="nil"/>
          <w:left w:val="nil"/>
          <w:bottom w:val="nil"/>
          <w:right w:val="nil"/>
          <w:between w:val="nil"/>
        </w:pBdr>
        <w:jc w:val="both"/>
        <w:rPr>
          <w:b/>
          <w:bCs/>
          <w:color w:val="000000"/>
        </w:rPr>
      </w:pPr>
      <w:r w:rsidRPr="007E34AC">
        <w:rPr>
          <w:b/>
          <w:bCs/>
          <w:color w:val="000000"/>
        </w:rPr>
        <w:tab/>
      </w:r>
    </w:p>
    <w:p w14:paraId="6F308191" w14:textId="0498CABD" w:rsidR="00826F05" w:rsidRPr="007E34AC" w:rsidRDefault="00826F05" w:rsidP="00B420DB">
      <w:pPr>
        <w:pBdr>
          <w:top w:val="nil"/>
          <w:left w:val="nil"/>
          <w:bottom w:val="nil"/>
          <w:right w:val="nil"/>
          <w:between w:val="nil"/>
        </w:pBdr>
        <w:jc w:val="both"/>
        <w:rPr>
          <w:b/>
          <w:bCs/>
          <w:color w:val="000000"/>
        </w:rPr>
      </w:pPr>
      <w:r w:rsidRPr="007E34AC">
        <w:rPr>
          <w:b/>
          <w:bCs/>
          <w:color w:val="000000"/>
        </w:rPr>
        <w:t xml:space="preserve">Judgment: </w:t>
      </w:r>
      <w:r w:rsidRPr="007E34AC">
        <w:rPr>
          <w:b/>
          <w:bCs/>
          <w:color w:val="000000"/>
        </w:rPr>
        <w:tab/>
      </w:r>
      <w:r w:rsidRPr="007E34AC">
        <w:rPr>
          <w:b/>
          <w:bCs/>
          <w:color w:val="000000"/>
        </w:rPr>
        <w:tab/>
      </w:r>
      <w:r w:rsidRPr="007E34AC">
        <w:rPr>
          <w:b/>
          <w:bCs/>
          <w:color w:val="000000"/>
        </w:rPr>
        <w:tab/>
      </w:r>
      <w:r w:rsidRPr="00D76CB8">
        <w:rPr>
          <w:b/>
          <w:bCs/>
          <w:color w:val="FF0000"/>
        </w:rPr>
        <w:t xml:space="preserve"> </w:t>
      </w:r>
      <w:r w:rsidR="007E34AC" w:rsidRPr="00D76CB8">
        <w:rPr>
          <w:b/>
          <w:bCs/>
          <w:color w:val="FF0000"/>
        </w:rPr>
        <w:t xml:space="preserve">       </w:t>
      </w:r>
      <w:r w:rsidR="007E34AC" w:rsidRPr="0086489B">
        <w:rPr>
          <w:b/>
          <w:bCs/>
        </w:rPr>
        <w:t xml:space="preserve">    </w:t>
      </w:r>
      <w:r w:rsidRPr="0086489B">
        <w:rPr>
          <w:b/>
          <w:bCs/>
        </w:rPr>
        <w:t xml:space="preserve"> </w:t>
      </w:r>
      <w:r w:rsidR="0086489B">
        <w:rPr>
          <w:b/>
          <w:bCs/>
        </w:rPr>
        <w:t>8 August</w:t>
      </w:r>
      <w:r w:rsidRPr="0086489B">
        <w:rPr>
          <w:b/>
          <w:bCs/>
        </w:rPr>
        <w:t xml:space="preserve"> 2023</w:t>
      </w:r>
      <w:r w:rsidRPr="007E34AC">
        <w:rPr>
          <w:b/>
          <w:bCs/>
          <w:color w:val="000000"/>
        </w:rPr>
        <w:tab/>
      </w:r>
      <w:r w:rsidRPr="007E34AC">
        <w:rPr>
          <w:b/>
          <w:bCs/>
          <w:color w:val="000000"/>
        </w:rPr>
        <w:tab/>
      </w:r>
    </w:p>
    <w:p w14:paraId="32E78C0A" w14:textId="77777777" w:rsidR="00826F05" w:rsidRPr="007E34AC" w:rsidRDefault="00826F05" w:rsidP="00B420DB">
      <w:pPr>
        <w:pBdr>
          <w:top w:val="nil"/>
          <w:left w:val="nil"/>
          <w:bottom w:val="nil"/>
          <w:right w:val="nil"/>
          <w:between w:val="nil"/>
        </w:pBdr>
        <w:jc w:val="both"/>
        <w:rPr>
          <w:b/>
          <w:bCs/>
          <w:color w:val="000000"/>
        </w:rPr>
      </w:pPr>
    </w:p>
    <w:p w14:paraId="102EB45A" w14:textId="1A8F133B" w:rsidR="00EE4EBC" w:rsidRDefault="00826F05" w:rsidP="00B420DB">
      <w:pPr>
        <w:jc w:val="both"/>
        <w:rPr>
          <w:lang w:val="en-US"/>
        </w:rPr>
      </w:pPr>
      <w:r w:rsidRPr="002F13AF">
        <w:tab/>
      </w:r>
    </w:p>
    <w:p w14:paraId="6AC99BBD" w14:textId="77777777" w:rsidR="00EE4EBC" w:rsidRPr="00203DD1" w:rsidRDefault="00EE4EBC" w:rsidP="00B420DB">
      <w:pPr>
        <w:jc w:val="both"/>
        <w:rPr>
          <w:lang w:val="en-US"/>
        </w:rPr>
      </w:pPr>
    </w:p>
    <w:p w14:paraId="53688098" w14:textId="77777777" w:rsidR="00EE4EBC" w:rsidRPr="00203DD1" w:rsidRDefault="00EE4EBC" w:rsidP="00B420DB">
      <w:pPr>
        <w:jc w:val="both"/>
        <w:rPr>
          <w:lang w:val="en-US"/>
        </w:rPr>
      </w:pPr>
    </w:p>
    <w:p w14:paraId="6B1A2673" w14:textId="77777777" w:rsidR="00EE4EBC" w:rsidRPr="00203DD1" w:rsidRDefault="00EE4EBC" w:rsidP="00B420DB">
      <w:pPr>
        <w:jc w:val="both"/>
        <w:rPr>
          <w:lang w:val="en-US"/>
        </w:rPr>
      </w:pPr>
    </w:p>
    <w:p w14:paraId="654204CF" w14:textId="77777777" w:rsidR="00EE4EBC" w:rsidRDefault="00EE4EBC" w:rsidP="00B420DB"/>
    <w:bookmarkEnd w:id="1"/>
    <w:p w14:paraId="30BF5CEE" w14:textId="77777777" w:rsidR="002E4499" w:rsidRDefault="002E4499"/>
    <w:sectPr w:rsidR="002E4499" w:rsidSect="008F29A4">
      <w:headerReference w:type="even" r:id="rId9"/>
      <w:headerReference w:type="defaul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F2E3" w14:textId="77777777" w:rsidR="00A57EDE" w:rsidRDefault="00A57EDE">
      <w:pPr>
        <w:spacing w:line="240" w:lineRule="auto"/>
      </w:pPr>
      <w:r>
        <w:separator/>
      </w:r>
    </w:p>
  </w:endnote>
  <w:endnote w:type="continuationSeparator" w:id="0">
    <w:p w14:paraId="1FCCEBE1" w14:textId="77777777" w:rsidR="00A57EDE" w:rsidRDefault="00A57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3196" w14:textId="77777777" w:rsidR="00A57EDE" w:rsidRDefault="00A57EDE">
      <w:pPr>
        <w:spacing w:line="240" w:lineRule="auto"/>
      </w:pPr>
      <w:r>
        <w:separator/>
      </w:r>
    </w:p>
  </w:footnote>
  <w:footnote w:type="continuationSeparator" w:id="0">
    <w:p w14:paraId="738171AF" w14:textId="77777777" w:rsidR="00A57EDE" w:rsidRDefault="00A57EDE">
      <w:pPr>
        <w:spacing w:line="240" w:lineRule="auto"/>
      </w:pPr>
      <w:r>
        <w:continuationSeparator/>
      </w:r>
    </w:p>
  </w:footnote>
  <w:footnote w:id="1">
    <w:p w14:paraId="02CF173A" w14:textId="6575135B" w:rsidR="00B11BD1" w:rsidRDefault="00B11BD1">
      <w:pPr>
        <w:pStyle w:val="FootnoteText"/>
      </w:pPr>
      <w:r>
        <w:rPr>
          <w:rStyle w:val="FootnoteReference"/>
        </w:rPr>
        <w:footnoteRef/>
      </w:r>
      <w:r>
        <w:t xml:space="preserve"> Caselines paginated </w:t>
      </w:r>
      <w:r w:rsidR="00B53A2C">
        <w:t>pgs.</w:t>
      </w:r>
      <w:r>
        <w:t xml:space="preserve"> 001-33 to 001-58. </w:t>
      </w:r>
    </w:p>
  </w:footnote>
  <w:footnote w:id="2">
    <w:p w14:paraId="1E6D15F2" w14:textId="46D420F4" w:rsidR="00B53A2C" w:rsidRDefault="00B53A2C">
      <w:pPr>
        <w:pStyle w:val="FootnoteText"/>
      </w:pPr>
      <w:r>
        <w:rPr>
          <w:rStyle w:val="FootnoteReference"/>
        </w:rPr>
        <w:footnoteRef/>
      </w:r>
      <w:r>
        <w:t xml:space="preserve"> Caselines paginated pgs. 007-3 to 007-6.</w:t>
      </w:r>
    </w:p>
  </w:footnote>
  <w:footnote w:id="3">
    <w:p w14:paraId="0EF79628" w14:textId="18AA6D35" w:rsidR="001A5C3A" w:rsidRDefault="001A5C3A">
      <w:pPr>
        <w:pStyle w:val="FootnoteText"/>
      </w:pPr>
      <w:r>
        <w:rPr>
          <w:rStyle w:val="FootnoteReference"/>
        </w:rPr>
        <w:footnoteRef/>
      </w:r>
      <w:r>
        <w:t xml:space="preserve"> See caselines paginated pgs. 014-39 to 014-41</w:t>
      </w:r>
    </w:p>
  </w:footnote>
  <w:footnote w:id="4">
    <w:p w14:paraId="281730BE" w14:textId="3C33B873" w:rsidR="008F1D71" w:rsidRDefault="008F1D71">
      <w:pPr>
        <w:pStyle w:val="FootnoteText"/>
      </w:pPr>
      <w:r>
        <w:rPr>
          <w:rStyle w:val="FootnoteReference"/>
        </w:rPr>
        <w:footnoteRef/>
      </w:r>
      <w:r>
        <w:t xml:space="preserve"> See caselines paginated pgs. 007-4 to 007-5</w:t>
      </w:r>
    </w:p>
  </w:footnote>
  <w:footnote w:id="5">
    <w:p w14:paraId="0B4144D0" w14:textId="3EF8C944" w:rsidR="008F1D71" w:rsidRDefault="008F1D71">
      <w:pPr>
        <w:pStyle w:val="FootnoteText"/>
      </w:pPr>
      <w:r>
        <w:rPr>
          <w:rStyle w:val="FootnoteReference"/>
        </w:rPr>
        <w:footnoteRef/>
      </w:r>
      <w:r>
        <w:t xml:space="preserve"> See caselines paginated pgs. 008-9</w:t>
      </w:r>
    </w:p>
  </w:footnote>
  <w:footnote w:id="6">
    <w:p w14:paraId="29784F68" w14:textId="2CC8101A" w:rsidR="00381EE7" w:rsidRDefault="00381EE7">
      <w:pPr>
        <w:pStyle w:val="FootnoteText"/>
      </w:pPr>
      <w:r>
        <w:rPr>
          <w:rStyle w:val="FootnoteReference"/>
        </w:rPr>
        <w:footnoteRef/>
      </w:r>
      <w:r>
        <w:t xml:space="preserve"> See caselines paginated pgs. 014-99 to 014-112</w:t>
      </w:r>
    </w:p>
  </w:footnote>
  <w:footnote w:id="7">
    <w:p w14:paraId="223A00E5" w14:textId="5758E0A5" w:rsidR="00D932C6" w:rsidRDefault="00D932C6">
      <w:pPr>
        <w:pStyle w:val="FootnoteText"/>
      </w:pPr>
      <w:r>
        <w:rPr>
          <w:rStyle w:val="FootnoteReference"/>
        </w:rPr>
        <w:footnoteRef/>
      </w:r>
      <w:r>
        <w:t xml:space="preserve"> See caselines paginated </w:t>
      </w:r>
      <w:r w:rsidR="00B27864">
        <w:t>pgs.</w:t>
      </w:r>
      <w:r>
        <w:t xml:space="preserve"> 001-1 to </w:t>
      </w:r>
      <w:r w:rsidR="002C0E7B">
        <w:t>001-83</w:t>
      </w:r>
    </w:p>
  </w:footnote>
  <w:footnote w:id="8">
    <w:p w14:paraId="5E5DAABB" w14:textId="0F24915C" w:rsidR="00B27864" w:rsidRDefault="00B27864">
      <w:pPr>
        <w:pStyle w:val="FootnoteText"/>
      </w:pPr>
      <w:r>
        <w:rPr>
          <w:rStyle w:val="FootnoteReference"/>
        </w:rPr>
        <w:footnoteRef/>
      </w:r>
      <w:r>
        <w:t xml:space="preserve"> See caselines paginated </w:t>
      </w:r>
      <w:r w:rsidR="003A18CB">
        <w:t>pgs.</w:t>
      </w:r>
      <w:r>
        <w:t xml:space="preserve"> 007-22 to 007-25</w:t>
      </w:r>
    </w:p>
  </w:footnote>
  <w:footnote w:id="9">
    <w:p w14:paraId="508AF88F" w14:textId="50A04814" w:rsidR="00B27864" w:rsidRDefault="00B27864">
      <w:pPr>
        <w:pStyle w:val="FootnoteText"/>
      </w:pPr>
      <w:r>
        <w:rPr>
          <w:rStyle w:val="FootnoteReference"/>
        </w:rPr>
        <w:footnoteRef/>
      </w:r>
      <w:r>
        <w:t xml:space="preserve"> </w:t>
      </w:r>
      <w:r w:rsidR="00367CEE">
        <w:t xml:space="preserve"> Ascendis Animal Health (Pty) Ltd v Merck Sharpe Dohme Corporation and Others [2019] ZACC 41</w:t>
      </w:r>
    </w:p>
  </w:footnote>
  <w:footnote w:id="10">
    <w:p w14:paraId="1762DBA0" w14:textId="6E83073C" w:rsidR="00630D48" w:rsidRPr="00630D48" w:rsidRDefault="00630D48">
      <w:pPr>
        <w:pStyle w:val="FootnoteText"/>
        <w:rPr>
          <w:i/>
          <w:iCs/>
        </w:rPr>
      </w:pPr>
      <w:r w:rsidRPr="00630D48">
        <w:rPr>
          <w:rStyle w:val="FootnoteReference"/>
          <w:i/>
          <w:iCs/>
        </w:rPr>
        <w:footnoteRef/>
      </w:r>
      <w:r w:rsidRPr="00630D48">
        <w:rPr>
          <w:i/>
          <w:iCs/>
        </w:rPr>
        <w:t xml:space="preserve"> Khum MK Investments and Bie Joint Venture (Pty) ltd v Eskom Holdings Soc 2020 JDR 0187 (GJ</w:t>
      </w:r>
    </w:p>
  </w:footnote>
  <w:footnote w:id="11">
    <w:p w14:paraId="1ED73068" w14:textId="587A7668" w:rsidR="00BB2D17" w:rsidRPr="00BB2D17" w:rsidRDefault="00BB2D17">
      <w:pPr>
        <w:pStyle w:val="FootnoteText"/>
        <w:rPr>
          <w:sz w:val="18"/>
          <w:szCs w:val="18"/>
        </w:rPr>
      </w:pPr>
      <w:r>
        <w:rPr>
          <w:rStyle w:val="FootnoteReference"/>
        </w:rPr>
        <w:footnoteRef/>
      </w:r>
      <w:r>
        <w:t xml:space="preserve"> </w:t>
      </w:r>
      <w:r w:rsidRPr="00BB2D17">
        <w:rPr>
          <w:sz w:val="18"/>
          <w:szCs w:val="18"/>
        </w:rPr>
        <w:t>Par. 6, page 001-</w:t>
      </w:r>
      <w:r w:rsidR="004C1DA9">
        <w:rPr>
          <w:sz w:val="18"/>
          <w:szCs w:val="18"/>
        </w:rPr>
        <w:t>30 to 001-31</w:t>
      </w:r>
      <w:r w:rsidRPr="00BB2D17">
        <w:rPr>
          <w:sz w:val="18"/>
          <w:szCs w:val="18"/>
        </w:rPr>
        <w:t xml:space="preserve"> of Arbitration Agreement</w:t>
      </w:r>
    </w:p>
  </w:footnote>
  <w:footnote w:id="12">
    <w:p w14:paraId="2E3F6714" w14:textId="0555AE4B" w:rsidR="00BB2D17" w:rsidRDefault="00BB2D17">
      <w:pPr>
        <w:pStyle w:val="FootnoteText"/>
      </w:pPr>
      <w:r>
        <w:rPr>
          <w:rStyle w:val="FootnoteReference"/>
        </w:rPr>
        <w:footnoteRef/>
      </w:r>
      <w:r>
        <w:t xml:space="preserve"> See caselines paginated pgs. 007-22 to 007-25</w:t>
      </w:r>
    </w:p>
  </w:footnote>
  <w:footnote w:id="13">
    <w:p w14:paraId="39771B9F" w14:textId="0A169FC8" w:rsidR="00BB2D17" w:rsidRDefault="00BB2D17">
      <w:pPr>
        <w:pStyle w:val="FootnoteText"/>
      </w:pPr>
      <w:r>
        <w:rPr>
          <w:rStyle w:val="FootnoteReference"/>
        </w:rPr>
        <w:footnoteRef/>
      </w:r>
      <w:r>
        <w:t xml:space="preserve"> </w:t>
      </w:r>
      <w:r w:rsidRPr="00BB2D17">
        <w:rPr>
          <w:sz w:val="18"/>
          <w:szCs w:val="18"/>
        </w:rPr>
        <w:t>Section 74 of Companies Act, Act 71 of 2008</w:t>
      </w:r>
    </w:p>
  </w:footnote>
  <w:footnote w:id="14">
    <w:p w14:paraId="0EC4AF13" w14:textId="5452D386" w:rsidR="003A18CB" w:rsidRDefault="003A18CB">
      <w:pPr>
        <w:pStyle w:val="FootnoteText"/>
      </w:pPr>
      <w:r>
        <w:rPr>
          <w:rStyle w:val="FootnoteReference"/>
        </w:rPr>
        <w:footnoteRef/>
      </w:r>
      <w:r>
        <w:t xml:space="preserve"> See footnote 11 vide.</w:t>
      </w:r>
    </w:p>
  </w:footnote>
  <w:footnote w:id="15">
    <w:p w14:paraId="0924A536" w14:textId="2CF3A031" w:rsidR="00605C3D" w:rsidRDefault="00605C3D">
      <w:pPr>
        <w:pStyle w:val="FootnoteText"/>
      </w:pPr>
      <w:r>
        <w:rPr>
          <w:rStyle w:val="FootnoteReference"/>
        </w:rPr>
        <w:footnoteRef/>
      </w:r>
      <w:r>
        <w:t xml:space="preserve"> See caselines paginated pgs. 007-27.</w:t>
      </w:r>
    </w:p>
  </w:footnote>
  <w:footnote w:id="16">
    <w:p w14:paraId="0A1FE174" w14:textId="0834D75E" w:rsidR="00EA45E1" w:rsidRDefault="00EA45E1">
      <w:pPr>
        <w:pStyle w:val="FootnoteText"/>
      </w:pPr>
      <w:r>
        <w:rPr>
          <w:rStyle w:val="FootnoteReference"/>
        </w:rPr>
        <w:footnoteRef/>
      </w:r>
      <w:r>
        <w:t xml:space="preserve"> See DALJOSAPHAT RESTORATIONS (PTY) Ltd KASTEELHOF CC 2006(6)SA 91 (C) at par 27.</w:t>
      </w:r>
    </w:p>
  </w:footnote>
  <w:footnote w:id="17">
    <w:p w14:paraId="3D80C89A" w14:textId="3D92A9E6" w:rsidR="00F1215C" w:rsidRDefault="00F1215C">
      <w:pPr>
        <w:pStyle w:val="FootnoteText"/>
      </w:pPr>
      <w:r>
        <w:rPr>
          <w:rStyle w:val="FootnoteReference"/>
        </w:rPr>
        <w:footnoteRef/>
      </w:r>
      <w:r>
        <w:t xml:space="preserve"> See DALJOSAPHAT RESTORATIONS (PTY) Ltd KASTEELHOF CC 2006(6)SA 91 (C) at par 29.</w:t>
      </w:r>
    </w:p>
  </w:footnote>
  <w:footnote w:id="18">
    <w:p w14:paraId="1F88018B" w14:textId="3D3240BA" w:rsidR="00066046" w:rsidRPr="00F1215C" w:rsidRDefault="00066046">
      <w:pPr>
        <w:pStyle w:val="FootnoteText"/>
      </w:pPr>
      <w:r w:rsidRPr="0080518E">
        <w:rPr>
          <w:rStyle w:val="FootnoteReference"/>
          <w:b/>
          <w:bCs/>
        </w:rPr>
        <w:footnoteRef/>
      </w:r>
      <w:r w:rsidRPr="0080518E">
        <w:rPr>
          <w:b/>
          <w:bCs/>
        </w:rPr>
        <w:t xml:space="preserve"> </w:t>
      </w:r>
      <w:r w:rsidRPr="00F1215C">
        <w:t xml:space="preserve">See </w:t>
      </w:r>
      <w:r w:rsidR="00F1215C" w:rsidRPr="00F1215C">
        <w:t xml:space="preserve">Yunnan Engineering CC and Another v  Chater and Others </w:t>
      </w:r>
      <w:r w:rsidR="002D0518" w:rsidRPr="00F1215C">
        <w:t xml:space="preserve">2006 (5) </w:t>
      </w:r>
      <w:r w:rsidR="00F1215C" w:rsidRPr="00F1215C">
        <w:t xml:space="preserve">SA </w:t>
      </w:r>
      <w:r w:rsidR="002D0518" w:rsidRPr="00F1215C">
        <w:t>571 (</w:t>
      </w:r>
      <w:r w:rsidR="00F1215C" w:rsidRPr="00F1215C">
        <w:t>t</w:t>
      </w:r>
      <w:r w:rsidR="002D0518" w:rsidRPr="00F1215C">
        <w:t>).</w:t>
      </w:r>
    </w:p>
  </w:footnote>
  <w:footnote w:id="19">
    <w:p w14:paraId="2257558A" w14:textId="3E3DC73E" w:rsidR="00DE0BD1" w:rsidRDefault="00DE0BD1">
      <w:pPr>
        <w:pStyle w:val="FootnoteText"/>
      </w:pPr>
      <w:r w:rsidRPr="00F1215C">
        <w:rPr>
          <w:rStyle w:val="FootnoteReference"/>
        </w:rPr>
        <w:footnoteRef/>
      </w:r>
      <w:r w:rsidRPr="00F1215C">
        <w:t xml:space="preserve"> </w:t>
      </w:r>
      <w:r w:rsidR="00F94AF5" w:rsidRPr="00F1215C">
        <w:t xml:space="preserve">See Goldschmidt and Another v Folb and Another 1974 (1) SA 576(T) at 577A-D </w:t>
      </w:r>
    </w:p>
  </w:footnote>
  <w:footnote w:id="20">
    <w:p w14:paraId="425B1693" w14:textId="204492EB" w:rsidR="001B60E0" w:rsidRDefault="001B60E0">
      <w:pPr>
        <w:pStyle w:val="FootnoteText"/>
      </w:pPr>
      <w:r>
        <w:rPr>
          <w:rStyle w:val="FootnoteReference"/>
        </w:rPr>
        <w:footnoteRef/>
      </w:r>
      <w:r>
        <w:t xml:space="preserve"> See caselines paginated pgs. 004-3 to 004-15</w:t>
      </w:r>
    </w:p>
  </w:footnote>
  <w:footnote w:id="21">
    <w:p w14:paraId="2DF304C0" w14:textId="17A3D283" w:rsidR="002D0518" w:rsidRDefault="002D0518">
      <w:pPr>
        <w:pStyle w:val="FootnoteText"/>
      </w:pPr>
      <w:r>
        <w:rPr>
          <w:rStyle w:val="FootnoteReference"/>
        </w:rPr>
        <w:footnoteRef/>
      </w:r>
      <w:r>
        <w:t xml:space="preserve"> See Standard Bank of South Africa Limited and Others v Mphongo and Others 2021 (6) SA 403 (ZASCA)</w:t>
      </w:r>
    </w:p>
  </w:footnote>
  <w:footnote w:id="22">
    <w:p w14:paraId="24575CC4" w14:textId="2985EF99" w:rsidR="00025C43" w:rsidRDefault="00025C43">
      <w:pPr>
        <w:pStyle w:val="FootnoteText"/>
      </w:pPr>
      <w:r>
        <w:rPr>
          <w:rStyle w:val="FootnoteReference"/>
        </w:rPr>
        <w:footnoteRef/>
      </w:r>
      <w:r>
        <w:t xml:space="preserve"> See caselines paginated </w:t>
      </w:r>
      <w:r w:rsidR="0041319E">
        <w:t>pgs.</w:t>
      </w:r>
      <w:r>
        <w:t xml:space="preserve"> 001-68 to 001-69.</w:t>
      </w:r>
    </w:p>
  </w:footnote>
  <w:footnote w:id="23">
    <w:p w14:paraId="149314E5" w14:textId="225961BA" w:rsidR="000415AA" w:rsidRDefault="000415AA">
      <w:pPr>
        <w:pStyle w:val="FootnoteText"/>
      </w:pPr>
      <w:r>
        <w:rPr>
          <w:rStyle w:val="FootnoteReference"/>
        </w:rPr>
        <w:footnoteRef/>
      </w:r>
      <w:r>
        <w:t xml:space="preserve">  In Goldschmidt and Another v Folb and Another 1974 (1) SA 576 (T) at  557A-D Hiemstra J stated “ </w:t>
      </w:r>
      <w:r w:rsidR="004C68D1">
        <w:t xml:space="preserve"> </w:t>
      </w:r>
      <w:r>
        <w:t xml:space="preserve">The appellant labours under an erroneous reading of section 28. This section is unfortunately phrased and can prima facie raise the impression that a right of appeal can be created by agreement. The appeal there meant can however within the context only mean an appeal to </w:t>
      </w:r>
      <w:r w:rsidR="004C68D1">
        <w:t>an umpire or an arbitration or tribunal. The common law on arbitration has always been that there is no appeal. Voet says so at 4.8.25…the only functions of the court in regard to the arbitration was to enforce an award to give an opinion on a question of law in a stated case to set  aside an award because of some  illegality or generally to regulate the proceedings. The court will not take the place of the arbitrator and decide the disputes on the merits”</w:t>
      </w:r>
    </w:p>
    <w:p w14:paraId="5578EAB9" w14:textId="6AF15B4E" w:rsidR="004C68D1" w:rsidRDefault="004C68D1">
      <w:pPr>
        <w:pStyle w:val="FootnoteText"/>
      </w:pPr>
      <w:r>
        <w:t>In Blaas v Athanassio 1991 (1) SA 723 (W) Hartzenberg J states at 724H: “ I know of no legislation or rule of any court which creates a right or an opportunity for a party to arbitration to appeal directly to the Appeal Court. I think it can safely be accepted that the parties were wrong and they thought that the Appeal Court would entertain an appeal against the arbitrator’s award”.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1270789"/>
      <w:docPartObj>
        <w:docPartGallery w:val="Page Numbers (Top of Page)"/>
        <w:docPartUnique/>
      </w:docPartObj>
    </w:sdtPr>
    <w:sdtEndPr>
      <w:rPr>
        <w:rStyle w:val="PageNumber"/>
      </w:rPr>
    </w:sdtEndPr>
    <w:sdtContent>
      <w:p w14:paraId="72A065AC" w14:textId="77777777" w:rsidR="005A2123" w:rsidRDefault="00A57EDE" w:rsidP="000D222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96170" w14:textId="77777777" w:rsidR="005A2123" w:rsidRDefault="005A2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0491526"/>
      <w:docPartObj>
        <w:docPartGallery w:val="Page Numbers (Top of Page)"/>
        <w:docPartUnique/>
      </w:docPartObj>
    </w:sdtPr>
    <w:sdtEndPr>
      <w:rPr>
        <w:rStyle w:val="PageNumber"/>
      </w:rPr>
    </w:sdtEndPr>
    <w:sdtContent>
      <w:p w14:paraId="50A55C46" w14:textId="77777777" w:rsidR="005A2123" w:rsidRDefault="00A57EDE" w:rsidP="000D222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0AB4">
          <w:rPr>
            <w:rStyle w:val="PageNumber"/>
            <w:noProof/>
          </w:rPr>
          <w:t>2</w:t>
        </w:r>
        <w:r>
          <w:rPr>
            <w:rStyle w:val="PageNumber"/>
          </w:rPr>
          <w:fldChar w:fldCharType="end"/>
        </w:r>
      </w:p>
    </w:sdtContent>
  </w:sdt>
  <w:p w14:paraId="72D1D9BF" w14:textId="77777777" w:rsidR="005A2123" w:rsidRDefault="005A2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FFFFFFFF"/>
    <w:lvl w:ilvl="0">
      <w:start w:val="11"/>
      <w:numFmt w:val="decimal"/>
      <w:lvlText w:val="[%1]"/>
      <w:lvlJc w:val="left"/>
      <w:pPr>
        <w:ind w:left="278" w:hanging="644"/>
      </w:pPr>
      <w:rPr>
        <w:rFonts w:cs="Times New Roman"/>
        <w:b w:val="0"/>
        <w:bCs w:val="0"/>
        <w:w w:val="102"/>
      </w:rPr>
    </w:lvl>
    <w:lvl w:ilvl="1">
      <w:start w:val="1"/>
      <w:numFmt w:val="lowerLetter"/>
      <w:lvlText w:val="(%2)"/>
      <w:lvlJc w:val="left"/>
      <w:pPr>
        <w:ind w:left="1183" w:hanging="315"/>
      </w:pPr>
      <w:rPr>
        <w:rFonts w:cs="Times New Roman"/>
        <w:b w:val="0"/>
        <w:bCs w:val="0"/>
        <w:w w:val="98"/>
      </w:rPr>
    </w:lvl>
    <w:lvl w:ilvl="2">
      <w:start w:val="1"/>
      <w:numFmt w:val="lowerRoman"/>
      <w:lvlText w:val="(%3)"/>
      <w:lvlJc w:val="left"/>
      <w:pPr>
        <w:ind w:left="1578" w:hanging="315"/>
      </w:pPr>
      <w:rPr>
        <w:rFonts w:cs="Times New Roman"/>
        <w:b w:val="0"/>
        <w:bCs w:val="0"/>
        <w:w w:val="97"/>
      </w:rPr>
    </w:lvl>
    <w:lvl w:ilvl="3">
      <w:numFmt w:val="bullet"/>
      <w:lvlText w:val="•"/>
      <w:lvlJc w:val="left"/>
      <w:pPr>
        <w:ind w:left="1180" w:hanging="315"/>
      </w:pPr>
    </w:lvl>
    <w:lvl w:ilvl="4">
      <w:numFmt w:val="bullet"/>
      <w:lvlText w:val="•"/>
      <w:lvlJc w:val="left"/>
      <w:pPr>
        <w:ind w:left="1580" w:hanging="315"/>
      </w:pPr>
    </w:lvl>
    <w:lvl w:ilvl="5">
      <w:numFmt w:val="bullet"/>
      <w:lvlText w:val="•"/>
      <w:lvlJc w:val="left"/>
      <w:pPr>
        <w:ind w:left="2898" w:hanging="315"/>
      </w:pPr>
    </w:lvl>
    <w:lvl w:ilvl="6">
      <w:numFmt w:val="bullet"/>
      <w:lvlText w:val="•"/>
      <w:lvlJc w:val="left"/>
      <w:pPr>
        <w:ind w:left="4216" w:hanging="315"/>
      </w:pPr>
    </w:lvl>
    <w:lvl w:ilvl="7">
      <w:numFmt w:val="bullet"/>
      <w:lvlText w:val="•"/>
      <w:lvlJc w:val="left"/>
      <w:pPr>
        <w:ind w:left="5534" w:hanging="315"/>
      </w:pPr>
    </w:lvl>
    <w:lvl w:ilvl="8">
      <w:numFmt w:val="bullet"/>
      <w:lvlText w:val="•"/>
      <w:lvlJc w:val="left"/>
      <w:pPr>
        <w:ind w:left="6852" w:hanging="315"/>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59F2645"/>
    <w:multiLevelType w:val="hybridMultilevel"/>
    <w:tmpl w:val="2286F1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8DF589C"/>
    <w:multiLevelType w:val="hybridMultilevel"/>
    <w:tmpl w:val="EAB8442E"/>
    <w:lvl w:ilvl="0" w:tplc="AF026076">
      <w:start w:val="1"/>
      <w:numFmt w:val="lowerRoman"/>
      <w:lvlText w:val="%1."/>
      <w:lvlJc w:val="left"/>
      <w:pPr>
        <w:ind w:left="1185" w:hanging="720"/>
      </w:pPr>
      <w:rPr>
        <w:rFonts w:hint="default"/>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5">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BC"/>
    <w:rsid w:val="00011F33"/>
    <w:rsid w:val="00025C43"/>
    <w:rsid w:val="000415AA"/>
    <w:rsid w:val="00066046"/>
    <w:rsid w:val="000A3459"/>
    <w:rsid w:val="000C0AB4"/>
    <w:rsid w:val="000C59A6"/>
    <w:rsid w:val="000F3440"/>
    <w:rsid w:val="00141547"/>
    <w:rsid w:val="001A5C3A"/>
    <w:rsid w:val="001B452A"/>
    <w:rsid w:val="001B60E0"/>
    <w:rsid w:val="001C4A2C"/>
    <w:rsid w:val="001F4ED1"/>
    <w:rsid w:val="00204F88"/>
    <w:rsid w:val="002242E9"/>
    <w:rsid w:val="00261AE0"/>
    <w:rsid w:val="0026439B"/>
    <w:rsid w:val="00275DC2"/>
    <w:rsid w:val="002A221B"/>
    <w:rsid w:val="002A67DA"/>
    <w:rsid w:val="002C0E7B"/>
    <w:rsid w:val="002D0518"/>
    <w:rsid w:val="002E4499"/>
    <w:rsid w:val="0033138D"/>
    <w:rsid w:val="0036641E"/>
    <w:rsid w:val="00367CEE"/>
    <w:rsid w:val="003806EF"/>
    <w:rsid w:val="00381EE7"/>
    <w:rsid w:val="00395C65"/>
    <w:rsid w:val="003A18CB"/>
    <w:rsid w:val="003E7643"/>
    <w:rsid w:val="0041319E"/>
    <w:rsid w:val="00432BAC"/>
    <w:rsid w:val="004C1DA9"/>
    <w:rsid w:val="004C68D1"/>
    <w:rsid w:val="004E10E6"/>
    <w:rsid w:val="00543C19"/>
    <w:rsid w:val="005705C3"/>
    <w:rsid w:val="00583334"/>
    <w:rsid w:val="005A2123"/>
    <w:rsid w:val="005B6899"/>
    <w:rsid w:val="005F3E19"/>
    <w:rsid w:val="00605C3D"/>
    <w:rsid w:val="00630D48"/>
    <w:rsid w:val="00650141"/>
    <w:rsid w:val="00657182"/>
    <w:rsid w:val="00670A2D"/>
    <w:rsid w:val="00672A20"/>
    <w:rsid w:val="0067389C"/>
    <w:rsid w:val="00677E00"/>
    <w:rsid w:val="006B1001"/>
    <w:rsid w:val="00700D90"/>
    <w:rsid w:val="00703524"/>
    <w:rsid w:val="00761429"/>
    <w:rsid w:val="007A0C3A"/>
    <w:rsid w:val="007E34AC"/>
    <w:rsid w:val="007F594E"/>
    <w:rsid w:val="00800F3A"/>
    <w:rsid w:val="0080518E"/>
    <w:rsid w:val="008146F8"/>
    <w:rsid w:val="00817BDE"/>
    <w:rsid w:val="00826F05"/>
    <w:rsid w:val="00843817"/>
    <w:rsid w:val="00851289"/>
    <w:rsid w:val="0086489B"/>
    <w:rsid w:val="008A3969"/>
    <w:rsid w:val="008B0800"/>
    <w:rsid w:val="008F1D71"/>
    <w:rsid w:val="00953FA3"/>
    <w:rsid w:val="00991E10"/>
    <w:rsid w:val="009A086F"/>
    <w:rsid w:val="009B4B29"/>
    <w:rsid w:val="009D739B"/>
    <w:rsid w:val="009E53ED"/>
    <w:rsid w:val="00A1646A"/>
    <w:rsid w:val="00A376B6"/>
    <w:rsid w:val="00A57EDE"/>
    <w:rsid w:val="00A908D8"/>
    <w:rsid w:val="00B11BD1"/>
    <w:rsid w:val="00B16A59"/>
    <w:rsid w:val="00B27864"/>
    <w:rsid w:val="00B339EC"/>
    <w:rsid w:val="00B420DB"/>
    <w:rsid w:val="00B53A2C"/>
    <w:rsid w:val="00B97E65"/>
    <w:rsid w:val="00BB2D17"/>
    <w:rsid w:val="00BB5A9D"/>
    <w:rsid w:val="00BE6134"/>
    <w:rsid w:val="00C76DA5"/>
    <w:rsid w:val="00CC2177"/>
    <w:rsid w:val="00CD214E"/>
    <w:rsid w:val="00D17512"/>
    <w:rsid w:val="00D63B3D"/>
    <w:rsid w:val="00D76CB8"/>
    <w:rsid w:val="00D861EB"/>
    <w:rsid w:val="00D932C6"/>
    <w:rsid w:val="00DD481A"/>
    <w:rsid w:val="00DE0BD1"/>
    <w:rsid w:val="00E34DD8"/>
    <w:rsid w:val="00E5413D"/>
    <w:rsid w:val="00E65AC4"/>
    <w:rsid w:val="00E67EF9"/>
    <w:rsid w:val="00EA45E1"/>
    <w:rsid w:val="00EE4EBC"/>
    <w:rsid w:val="00F1215C"/>
    <w:rsid w:val="00F90C77"/>
    <w:rsid w:val="00F94AF5"/>
    <w:rsid w:val="00FD29F8"/>
    <w:rsid w:val="00FE4B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275E"/>
  <w15:chartTrackingRefBased/>
  <w15:docId w15:val="{7F0723E6-29FE-40BB-A375-A8D5C2EB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BC"/>
    <w:pPr>
      <w:spacing w:after="0" w:line="360" w:lineRule="auto"/>
    </w:pPr>
    <w:rPr>
      <w:rFonts w:ascii="Arial" w:hAnsi="Arial" w:cs="Times New Roman (Body 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EBC"/>
    <w:pPr>
      <w:tabs>
        <w:tab w:val="center" w:pos="4513"/>
        <w:tab w:val="right" w:pos="9026"/>
      </w:tabs>
      <w:spacing w:line="240" w:lineRule="auto"/>
    </w:pPr>
  </w:style>
  <w:style w:type="character" w:customStyle="1" w:styleId="HeaderChar">
    <w:name w:val="Header Char"/>
    <w:basedOn w:val="DefaultParagraphFont"/>
    <w:link w:val="Header"/>
    <w:uiPriority w:val="99"/>
    <w:rsid w:val="00EE4EBC"/>
    <w:rPr>
      <w:rFonts w:ascii="Arial" w:hAnsi="Arial" w:cs="Times New Roman (Body CS)"/>
      <w:kern w:val="0"/>
      <w:sz w:val="24"/>
      <w:szCs w:val="24"/>
      <w14:ligatures w14:val="none"/>
    </w:rPr>
  </w:style>
  <w:style w:type="character" w:styleId="PageNumber">
    <w:name w:val="page number"/>
    <w:basedOn w:val="DefaultParagraphFont"/>
    <w:uiPriority w:val="99"/>
    <w:semiHidden/>
    <w:unhideWhenUsed/>
    <w:rsid w:val="00EE4EBC"/>
  </w:style>
  <w:style w:type="paragraph" w:styleId="ListParagraph">
    <w:name w:val="List Paragraph"/>
    <w:basedOn w:val="Normal"/>
    <w:uiPriority w:val="1"/>
    <w:qFormat/>
    <w:rsid w:val="002A221B"/>
    <w:pPr>
      <w:ind w:left="720"/>
      <w:contextualSpacing/>
    </w:pPr>
  </w:style>
  <w:style w:type="paragraph" w:customStyle="1" w:styleId="WLGLevel1">
    <w:name w:val="WLGLevel1"/>
    <w:basedOn w:val="Normal"/>
    <w:link w:val="WLGLevel1Char"/>
    <w:qFormat/>
    <w:rsid w:val="00A1646A"/>
    <w:pPr>
      <w:numPr>
        <w:numId w:val="3"/>
      </w:numPr>
      <w:suppressAutoHyphens/>
      <w:spacing w:before="320" w:after="320" w:line="480" w:lineRule="auto"/>
      <w:jc w:val="both"/>
      <w:outlineLvl w:val="0"/>
    </w:pPr>
    <w:rPr>
      <w:rFonts w:eastAsia="Times New Roman" w:cs="Times New Roman"/>
      <w:szCs w:val="20"/>
    </w:rPr>
  </w:style>
  <w:style w:type="paragraph" w:customStyle="1" w:styleId="WLGLevel2">
    <w:name w:val="WLGLevel2"/>
    <w:basedOn w:val="Normal"/>
    <w:qFormat/>
    <w:rsid w:val="00A1646A"/>
    <w:pPr>
      <w:numPr>
        <w:ilvl w:val="1"/>
        <w:numId w:val="3"/>
      </w:numPr>
      <w:tabs>
        <w:tab w:val="clear" w:pos="4480"/>
        <w:tab w:val="num" w:pos="1361"/>
      </w:tabs>
      <w:suppressAutoHyphens/>
      <w:spacing w:after="320" w:line="480" w:lineRule="auto"/>
      <w:ind w:left="1361"/>
      <w:jc w:val="both"/>
      <w:outlineLvl w:val="1"/>
    </w:pPr>
    <w:rPr>
      <w:rFonts w:eastAsia="Times New Roman" w:cs="Times New Roman"/>
      <w:szCs w:val="20"/>
    </w:rPr>
  </w:style>
  <w:style w:type="paragraph" w:customStyle="1" w:styleId="WLGLevel3">
    <w:name w:val="WLGLevel3"/>
    <w:basedOn w:val="Normal"/>
    <w:qFormat/>
    <w:rsid w:val="00A1646A"/>
    <w:pPr>
      <w:numPr>
        <w:ilvl w:val="2"/>
        <w:numId w:val="3"/>
      </w:numPr>
      <w:suppressAutoHyphens/>
      <w:spacing w:after="320" w:line="480" w:lineRule="auto"/>
      <w:jc w:val="both"/>
      <w:outlineLvl w:val="2"/>
    </w:pPr>
    <w:rPr>
      <w:rFonts w:eastAsia="Times New Roman" w:cs="Times New Roman"/>
      <w:szCs w:val="20"/>
    </w:rPr>
  </w:style>
  <w:style w:type="paragraph" w:customStyle="1" w:styleId="WLGLevel4">
    <w:name w:val="WLGLevel4"/>
    <w:basedOn w:val="Normal"/>
    <w:qFormat/>
    <w:rsid w:val="00A1646A"/>
    <w:pPr>
      <w:numPr>
        <w:ilvl w:val="3"/>
        <w:numId w:val="3"/>
      </w:numPr>
      <w:suppressAutoHyphens/>
      <w:spacing w:after="320" w:line="480" w:lineRule="auto"/>
      <w:jc w:val="both"/>
      <w:outlineLvl w:val="3"/>
    </w:pPr>
    <w:rPr>
      <w:rFonts w:eastAsia="Times New Roman" w:cs="Times New Roman"/>
      <w:szCs w:val="20"/>
    </w:rPr>
  </w:style>
  <w:style w:type="paragraph" w:customStyle="1" w:styleId="WLGLevel5">
    <w:name w:val="WLGLevel5"/>
    <w:basedOn w:val="Normal"/>
    <w:qFormat/>
    <w:rsid w:val="00A1646A"/>
    <w:pPr>
      <w:numPr>
        <w:ilvl w:val="4"/>
        <w:numId w:val="3"/>
      </w:numPr>
      <w:suppressAutoHyphens/>
      <w:spacing w:after="320" w:line="480" w:lineRule="auto"/>
      <w:jc w:val="both"/>
      <w:outlineLvl w:val="4"/>
    </w:pPr>
    <w:rPr>
      <w:rFonts w:eastAsia="Times New Roman" w:cs="Times New Roman"/>
      <w:szCs w:val="20"/>
    </w:rPr>
  </w:style>
  <w:style w:type="character" w:customStyle="1" w:styleId="WLGLevel1Char">
    <w:name w:val="WLGLevel1 Char"/>
    <w:basedOn w:val="DefaultParagraphFont"/>
    <w:link w:val="WLGLevel1"/>
    <w:rsid w:val="00A1646A"/>
    <w:rPr>
      <w:rFonts w:ascii="Arial" w:eastAsia="Times New Roman" w:hAnsi="Arial" w:cs="Times New Roman"/>
      <w:kern w:val="0"/>
      <w:sz w:val="24"/>
      <w:szCs w:val="20"/>
      <w14:ligatures w14:val="none"/>
    </w:rPr>
  </w:style>
  <w:style w:type="paragraph" w:styleId="PlainText">
    <w:name w:val="Plain Text"/>
    <w:link w:val="PlainTextChar"/>
    <w:uiPriority w:val="99"/>
    <w:unhideWhenUsed/>
    <w:rsid w:val="00A1646A"/>
    <w:pPr>
      <w:spacing w:after="0" w:line="276" w:lineRule="auto"/>
      <w:jc w:val="both"/>
    </w:pPr>
    <w:rPr>
      <w:rFonts w:ascii="Courier New" w:eastAsia="Arial Unicode MS" w:hAnsi="Courier New" w:cs="Arial Unicode MS"/>
      <w:color w:val="000000"/>
      <w:kern w:val="0"/>
      <w:u w:color="000000"/>
      <w:lang w:val="en-US"/>
      <w14:ligatures w14:val="none"/>
    </w:rPr>
  </w:style>
  <w:style w:type="character" w:customStyle="1" w:styleId="PlainTextChar">
    <w:name w:val="Plain Text Char"/>
    <w:basedOn w:val="DefaultParagraphFont"/>
    <w:link w:val="PlainText"/>
    <w:uiPriority w:val="99"/>
    <w:rsid w:val="00A1646A"/>
    <w:rPr>
      <w:rFonts w:ascii="Courier New" w:eastAsia="Arial Unicode MS" w:hAnsi="Courier New" w:cs="Arial Unicode MS"/>
      <w:color w:val="000000"/>
      <w:kern w:val="0"/>
      <w:u w:color="000000"/>
      <w:lang w:val="en-US"/>
      <w14:ligatures w14:val="none"/>
    </w:rPr>
  </w:style>
  <w:style w:type="table" w:styleId="TableGrid">
    <w:name w:val="Table Grid"/>
    <w:basedOn w:val="TableNormal"/>
    <w:uiPriority w:val="39"/>
    <w:rsid w:val="00A1646A"/>
    <w:pPr>
      <w:spacing w:after="0" w:line="240" w:lineRule="auto"/>
    </w:pPr>
    <w:rPr>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1646A"/>
    <w:pPr>
      <w:widowControl w:val="0"/>
      <w:autoSpaceDE w:val="0"/>
      <w:autoSpaceDN w:val="0"/>
      <w:adjustRightInd w:val="0"/>
      <w:spacing w:line="240" w:lineRule="auto"/>
    </w:pPr>
    <w:rPr>
      <w:rFonts w:eastAsiaTheme="minorEastAsia" w:cs="Arial"/>
      <w:sz w:val="19"/>
      <w:szCs w:val="19"/>
      <w:lang w:eastAsia="en-ZA"/>
    </w:rPr>
  </w:style>
  <w:style w:type="character" w:customStyle="1" w:styleId="BodyTextChar">
    <w:name w:val="Body Text Char"/>
    <w:basedOn w:val="DefaultParagraphFont"/>
    <w:link w:val="BodyText"/>
    <w:uiPriority w:val="1"/>
    <w:rsid w:val="00A1646A"/>
    <w:rPr>
      <w:rFonts w:ascii="Arial" w:eastAsiaTheme="minorEastAsia" w:hAnsi="Arial" w:cs="Arial"/>
      <w:kern w:val="0"/>
      <w:sz w:val="19"/>
      <w:szCs w:val="19"/>
      <w:lang w:eastAsia="en-ZA"/>
      <w14:ligatures w14:val="none"/>
    </w:rPr>
  </w:style>
  <w:style w:type="paragraph" w:styleId="FootnoteText">
    <w:name w:val="footnote text"/>
    <w:basedOn w:val="Normal"/>
    <w:link w:val="FootnoteTextChar"/>
    <w:uiPriority w:val="99"/>
    <w:semiHidden/>
    <w:unhideWhenUsed/>
    <w:rsid w:val="00B11BD1"/>
    <w:pPr>
      <w:spacing w:line="240" w:lineRule="auto"/>
    </w:pPr>
    <w:rPr>
      <w:sz w:val="20"/>
      <w:szCs w:val="20"/>
    </w:rPr>
  </w:style>
  <w:style w:type="character" w:customStyle="1" w:styleId="FootnoteTextChar">
    <w:name w:val="Footnote Text Char"/>
    <w:basedOn w:val="DefaultParagraphFont"/>
    <w:link w:val="FootnoteText"/>
    <w:uiPriority w:val="99"/>
    <w:semiHidden/>
    <w:rsid w:val="00B11BD1"/>
    <w:rPr>
      <w:rFonts w:ascii="Arial" w:hAnsi="Arial" w:cs="Times New Roman (Body CS)"/>
      <w:kern w:val="0"/>
      <w:sz w:val="20"/>
      <w:szCs w:val="20"/>
      <w14:ligatures w14:val="none"/>
    </w:rPr>
  </w:style>
  <w:style w:type="character" w:styleId="FootnoteReference">
    <w:name w:val="footnote reference"/>
    <w:basedOn w:val="DefaultParagraphFont"/>
    <w:uiPriority w:val="99"/>
    <w:semiHidden/>
    <w:unhideWhenUsed/>
    <w:rsid w:val="00B11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0594F-9ACD-4749-A2BD-B687BCFC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Yende Julian</dc:creator>
  <cp:keywords/>
  <dc:description/>
  <cp:lastModifiedBy>Mokone</cp:lastModifiedBy>
  <cp:revision>2</cp:revision>
  <cp:lastPrinted>2023-08-08T10:12:00Z</cp:lastPrinted>
  <dcterms:created xsi:type="dcterms:W3CDTF">2023-08-14T11:38:00Z</dcterms:created>
  <dcterms:modified xsi:type="dcterms:W3CDTF">2023-08-14T11:38:00Z</dcterms:modified>
</cp:coreProperties>
</file>