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B2E3A" w14:textId="77777777" w:rsidR="00965FC6" w:rsidRDefault="00965FC6" w:rsidP="00965FC6">
      <w:pPr>
        <w:pStyle w:val="BodyText"/>
        <w:kinsoku w:val="0"/>
        <w:overflowPunct w:val="0"/>
        <w:spacing w:line="360" w:lineRule="auto"/>
        <w:ind w:right="23"/>
        <w:jc w:val="center"/>
        <w:rPr>
          <w:b/>
          <w:bCs/>
          <w:color w:val="000000" w:themeColor="text1"/>
          <w:sz w:val="24"/>
          <w:szCs w:val="24"/>
        </w:rPr>
      </w:pPr>
      <w:bookmarkStart w:id="0" w:name="_GoBack"/>
      <w:bookmarkEnd w:id="0"/>
    </w:p>
    <w:p w14:paraId="2F791A9F" w14:textId="77777777" w:rsidR="00965FC6" w:rsidRDefault="00965FC6" w:rsidP="00965FC6">
      <w:pPr>
        <w:pStyle w:val="BodyText"/>
        <w:kinsoku w:val="0"/>
        <w:overflowPunct w:val="0"/>
        <w:spacing w:line="360" w:lineRule="auto"/>
        <w:ind w:right="23"/>
        <w:jc w:val="center"/>
        <w:rPr>
          <w:b/>
          <w:bCs/>
          <w:color w:val="000000" w:themeColor="text1"/>
          <w:sz w:val="24"/>
          <w:szCs w:val="24"/>
        </w:rPr>
      </w:pPr>
      <w:r>
        <w:rPr>
          <w:noProof/>
          <w:lang w:val="en-US" w:eastAsia="en-US"/>
        </w:rPr>
        <w:drawing>
          <wp:inline distT="0" distB="0" distL="0" distR="0" wp14:anchorId="1D958996" wp14:editId="0CCBFF56">
            <wp:extent cx="13525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solidFill>
                      <a:srgbClr val="FFFFFF"/>
                    </a:solidFill>
                    <a:ln>
                      <a:noFill/>
                    </a:ln>
                  </pic:spPr>
                </pic:pic>
              </a:graphicData>
            </a:graphic>
          </wp:inline>
        </w:drawing>
      </w:r>
    </w:p>
    <w:p w14:paraId="53FF1E67" w14:textId="77777777" w:rsidR="00965FC6" w:rsidRDefault="00965FC6" w:rsidP="00965FC6">
      <w:pPr>
        <w:pStyle w:val="BodyText"/>
        <w:kinsoku w:val="0"/>
        <w:overflowPunct w:val="0"/>
        <w:spacing w:line="360" w:lineRule="auto"/>
        <w:ind w:right="23"/>
        <w:jc w:val="center"/>
        <w:rPr>
          <w:b/>
          <w:bCs/>
          <w:color w:val="000000" w:themeColor="text1"/>
          <w:sz w:val="24"/>
          <w:szCs w:val="24"/>
        </w:rPr>
      </w:pPr>
    </w:p>
    <w:p w14:paraId="7D3E2AAF" w14:textId="77777777" w:rsidR="00965FC6" w:rsidRDefault="00965FC6" w:rsidP="00965FC6">
      <w:pPr>
        <w:tabs>
          <w:tab w:val="left" w:pos="2403"/>
        </w:tabs>
        <w:kinsoku w:val="0"/>
        <w:overflowPunct w:val="0"/>
        <w:spacing w:before="74" w:line="288" w:lineRule="auto"/>
        <w:ind w:right="194"/>
        <w:rPr>
          <w:w w:val="105"/>
        </w:rPr>
      </w:pPr>
    </w:p>
    <w:p w14:paraId="54F87089" w14:textId="77777777" w:rsidR="00965FC6" w:rsidRDefault="00965FC6" w:rsidP="00965FC6">
      <w:pPr>
        <w:tabs>
          <w:tab w:val="left" w:pos="2403"/>
        </w:tabs>
        <w:kinsoku w:val="0"/>
        <w:overflowPunct w:val="0"/>
        <w:spacing w:before="74" w:line="288" w:lineRule="auto"/>
        <w:ind w:right="194"/>
        <w:jc w:val="center"/>
        <w:rPr>
          <w:w w:val="105"/>
        </w:rPr>
      </w:pPr>
      <w:r>
        <w:rPr>
          <w:w w:val="105"/>
        </w:rPr>
        <w:t>IN THE HIGH COURT OF SOUTH AFRICA</w:t>
      </w:r>
    </w:p>
    <w:p w14:paraId="5A022670" w14:textId="4FDAA833" w:rsidR="00965FC6" w:rsidRDefault="00196B76" w:rsidP="00965FC6">
      <w:pPr>
        <w:tabs>
          <w:tab w:val="left" w:pos="2403"/>
        </w:tabs>
        <w:kinsoku w:val="0"/>
        <w:overflowPunct w:val="0"/>
        <w:spacing w:before="74" w:line="288" w:lineRule="auto"/>
        <w:ind w:right="194"/>
        <w:jc w:val="center"/>
        <w:rPr>
          <w:w w:val="105"/>
        </w:rPr>
      </w:pPr>
      <w:r>
        <w:rPr>
          <w:w w:val="105"/>
        </w:rPr>
        <w:t>GAUTENG</w:t>
      </w:r>
      <w:r w:rsidR="00965FC6">
        <w:rPr>
          <w:w w:val="105"/>
        </w:rPr>
        <w:t xml:space="preserve"> DIVISON</w:t>
      </w:r>
      <w:r w:rsidR="002060D5">
        <w:rPr>
          <w:w w:val="105"/>
        </w:rPr>
        <w:t>, PRETORIA</w:t>
      </w:r>
    </w:p>
    <w:p w14:paraId="1F897B65" w14:textId="77777777" w:rsidR="00965FC6" w:rsidRDefault="00965FC6" w:rsidP="00965FC6">
      <w:pPr>
        <w:pStyle w:val="BodyText"/>
        <w:kinsoku w:val="0"/>
        <w:overflowPunct w:val="0"/>
        <w:spacing w:line="360" w:lineRule="auto"/>
        <w:ind w:right="23"/>
        <w:jc w:val="center"/>
        <w:rPr>
          <w:b/>
          <w:bCs/>
          <w:color w:val="000000" w:themeColor="text1"/>
          <w:sz w:val="24"/>
          <w:szCs w:val="24"/>
        </w:rPr>
      </w:pPr>
    </w:p>
    <w:p w14:paraId="784F89F6" w14:textId="77777777" w:rsidR="00965FC6" w:rsidRDefault="00965FC6" w:rsidP="00965FC6">
      <w:pPr>
        <w:pStyle w:val="BodyText"/>
        <w:kinsoku w:val="0"/>
        <w:overflowPunct w:val="0"/>
        <w:spacing w:before="25" w:line="360" w:lineRule="auto"/>
        <w:ind w:right="23"/>
        <w:jc w:val="right"/>
        <w:rPr>
          <w:b/>
          <w:bCs/>
          <w:color w:val="000000" w:themeColor="text1"/>
          <w:sz w:val="24"/>
          <w:szCs w:val="24"/>
        </w:rPr>
      </w:pPr>
    </w:p>
    <w:p w14:paraId="1E6C8C05" w14:textId="16D2D1A8" w:rsidR="00965FC6" w:rsidRDefault="00965FC6" w:rsidP="00965FC6">
      <w:pPr>
        <w:pStyle w:val="BodyText"/>
        <w:kinsoku w:val="0"/>
        <w:overflowPunct w:val="0"/>
        <w:spacing w:before="25" w:line="360" w:lineRule="auto"/>
        <w:ind w:left="5040" w:right="23" w:firstLine="720"/>
        <w:jc w:val="both"/>
        <w:rPr>
          <w:b/>
          <w:bCs/>
          <w:color w:val="000000" w:themeColor="text1"/>
          <w:sz w:val="24"/>
          <w:szCs w:val="24"/>
        </w:rPr>
      </w:pPr>
      <w:r>
        <w:rPr>
          <w:b/>
          <w:bCs/>
          <w:color w:val="000000" w:themeColor="text1"/>
          <w:sz w:val="24"/>
          <w:szCs w:val="24"/>
        </w:rPr>
        <w:t xml:space="preserve">CASE NO.: </w:t>
      </w:r>
      <w:r w:rsidR="00B6635B">
        <w:rPr>
          <w:b/>
          <w:bCs/>
          <w:color w:val="000000" w:themeColor="text1"/>
          <w:sz w:val="24"/>
          <w:szCs w:val="24"/>
        </w:rPr>
        <w:t>46358</w:t>
      </w:r>
      <w:r>
        <w:rPr>
          <w:b/>
          <w:bCs/>
          <w:color w:val="000000" w:themeColor="text1"/>
          <w:sz w:val="24"/>
          <w:szCs w:val="24"/>
        </w:rPr>
        <w:t>/20</w:t>
      </w:r>
      <w:r w:rsidR="00B6635B">
        <w:rPr>
          <w:b/>
          <w:bCs/>
          <w:color w:val="000000" w:themeColor="text1"/>
          <w:sz w:val="24"/>
          <w:szCs w:val="24"/>
        </w:rPr>
        <w:t>21</w:t>
      </w:r>
    </w:p>
    <w:p w14:paraId="454453CA" w14:textId="1E719C72" w:rsidR="00965FC6" w:rsidRDefault="002060D5" w:rsidP="00965FC6">
      <w:pPr>
        <w:pStyle w:val="BodyText"/>
        <w:kinsoku w:val="0"/>
        <w:overflowPunct w:val="0"/>
        <w:spacing w:before="25" w:line="360" w:lineRule="auto"/>
        <w:ind w:right="23"/>
        <w:jc w:val="both"/>
        <w:rPr>
          <w:b/>
          <w:bCs/>
          <w:color w:val="000000" w:themeColor="text1"/>
          <w:sz w:val="24"/>
          <w:szCs w:val="24"/>
        </w:rPr>
      </w:pPr>
      <w:r>
        <w:rPr>
          <w:b/>
          <w:bCs/>
          <w:noProof/>
          <w:color w:val="000000" w:themeColor="text1"/>
          <w:sz w:val="24"/>
          <w:szCs w:val="24"/>
          <w:lang w:val="en-US" w:eastAsia="en-US"/>
        </w:rPr>
        <w:drawing>
          <wp:inline distT="0" distB="0" distL="0" distR="0" wp14:anchorId="6CAE5431" wp14:editId="2CA0588B">
            <wp:extent cx="2780030" cy="11220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694F3A28" w14:textId="77777777" w:rsidR="00965FC6" w:rsidRDefault="00965FC6" w:rsidP="00965FC6">
      <w:pPr>
        <w:pStyle w:val="BodyText"/>
        <w:kinsoku w:val="0"/>
        <w:overflowPunct w:val="0"/>
        <w:spacing w:line="360" w:lineRule="auto"/>
        <w:jc w:val="both"/>
        <w:rPr>
          <w:b/>
          <w:bCs/>
          <w:color w:val="000000" w:themeColor="text1"/>
          <w:sz w:val="24"/>
          <w:szCs w:val="24"/>
        </w:rPr>
      </w:pPr>
    </w:p>
    <w:p w14:paraId="1F76FF34" w14:textId="77777777" w:rsidR="00965FC6" w:rsidRDefault="00965FC6" w:rsidP="00965FC6">
      <w:pPr>
        <w:pStyle w:val="BodyText"/>
        <w:kinsoku w:val="0"/>
        <w:overflowPunct w:val="0"/>
        <w:spacing w:before="12" w:line="360" w:lineRule="auto"/>
        <w:jc w:val="both"/>
        <w:rPr>
          <w:color w:val="000000" w:themeColor="text1"/>
          <w:sz w:val="24"/>
          <w:szCs w:val="24"/>
        </w:rPr>
      </w:pPr>
      <w:r>
        <w:rPr>
          <w:color w:val="000000" w:themeColor="text1"/>
          <w:sz w:val="24"/>
          <w:szCs w:val="24"/>
        </w:rPr>
        <w:t>In the matter between:</w:t>
      </w:r>
    </w:p>
    <w:p w14:paraId="33292C3B" w14:textId="77777777" w:rsidR="00965FC6" w:rsidRDefault="00965FC6" w:rsidP="00965FC6">
      <w:pPr>
        <w:pStyle w:val="BodyText"/>
        <w:kinsoku w:val="0"/>
        <w:overflowPunct w:val="0"/>
        <w:spacing w:before="8" w:line="360" w:lineRule="auto"/>
        <w:jc w:val="both"/>
        <w:rPr>
          <w:color w:val="000000" w:themeColor="text1"/>
          <w:sz w:val="24"/>
          <w:szCs w:val="24"/>
        </w:rPr>
      </w:pPr>
    </w:p>
    <w:p w14:paraId="4D92B211" w14:textId="155317BF" w:rsidR="00965FC6" w:rsidRPr="00135763" w:rsidRDefault="00135763" w:rsidP="00965FC6">
      <w:pPr>
        <w:pStyle w:val="BodyText"/>
        <w:kinsoku w:val="0"/>
        <w:overflowPunct w:val="0"/>
        <w:spacing w:before="93" w:line="360" w:lineRule="auto"/>
        <w:jc w:val="both"/>
        <w:rPr>
          <w:color w:val="000000" w:themeColor="text1"/>
          <w:sz w:val="24"/>
          <w:szCs w:val="24"/>
        </w:rPr>
      </w:pPr>
      <w:r>
        <w:rPr>
          <w:b/>
          <w:bCs/>
          <w:color w:val="000000" w:themeColor="text1"/>
          <w:sz w:val="24"/>
          <w:szCs w:val="24"/>
        </w:rPr>
        <w:t>Lesiba Jeremiah Mailula</w:t>
      </w:r>
      <w:r w:rsidR="00965FC6">
        <w:rPr>
          <w:b/>
          <w:bCs/>
          <w:color w:val="000000" w:themeColor="text1"/>
          <w:sz w:val="24"/>
          <w:szCs w:val="24"/>
        </w:rPr>
        <w:tab/>
      </w:r>
      <w:r w:rsidR="00965FC6">
        <w:rPr>
          <w:b/>
          <w:bCs/>
          <w:color w:val="000000" w:themeColor="text1"/>
          <w:sz w:val="24"/>
          <w:szCs w:val="24"/>
        </w:rPr>
        <w:tab/>
      </w:r>
      <w:r w:rsidR="00965FC6">
        <w:rPr>
          <w:b/>
          <w:bCs/>
          <w:color w:val="000000" w:themeColor="text1"/>
          <w:sz w:val="24"/>
          <w:szCs w:val="24"/>
        </w:rPr>
        <w:tab/>
      </w:r>
      <w:r w:rsidR="00965FC6">
        <w:rPr>
          <w:b/>
          <w:bCs/>
          <w:color w:val="000000" w:themeColor="text1"/>
          <w:sz w:val="24"/>
          <w:szCs w:val="24"/>
        </w:rPr>
        <w:tab/>
      </w:r>
      <w:r w:rsidR="00965FC6">
        <w:rPr>
          <w:b/>
          <w:bCs/>
          <w:color w:val="000000" w:themeColor="text1"/>
          <w:sz w:val="24"/>
          <w:szCs w:val="24"/>
        </w:rPr>
        <w:tab/>
      </w:r>
      <w:r w:rsidR="00965FC6">
        <w:rPr>
          <w:b/>
          <w:bCs/>
          <w:color w:val="000000" w:themeColor="text1"/>
          <w:sz w:val="24"/>
          <w:szCs w:val="24"/>
        </w:rPr>
        <w:tab/>
      </w:r>
      <w:r w:rsidRPr="00135763">
        <w:rPr>
          <w:color w:val="000000" w:themeColor="text1"/>
          <w:sz w:val="24"/>
          <w:szCs w:val="24"/>
        </w:rPr>
        <w:t xml:space="preserve">First Applicant </w:t>
      </w:r>
    </w:p>
    <w:p w14:paraId="2FC2C012" w14:textId="3443E801" w:rsidR="00135763" w:rsidRDefault="00135763" w:rsidP="00965FC6">
      <w:pPr>
        <w:pStyle w:val="BodyText"/>
        <w:kinsoku w:val="0"/>
        <w:overflowPunct w:val="0"/>
        <w:spacing w:before="93" w:line="360" w:lineRule="auto"/>
        <w:jc w:val="both"/>
        <w:rPr>
          <w:color w:val="000000" w:themeColor="text1"/>
          <w:sz w:val="24"/>
          <w:szCs w:val="24"/>
        </w:rPr>
      </w:pPr>
      <w:r w:rsidRPr="00135763">
        <w:rPr>
          <w:color w:val="000000" w:themeColor="text1"/>
          <w:sz w:val="24"/>
          <w:szCs w:val="24"/>
        </w:rPr>
        <w:t xml:space="preserve">Lesiba Mailula Attorneys Inc </w:t>
      </w:r>
      <w:r w:rsidRPr="00135763">
        <w:rPr>
          <w:color w:val="000000" w:themeColor="text1"/>
          <w:sz w:val="24"/>
          <w:szCs w:val="24"/>
        </w:rPr>
        <w:tab/>
      </w:r>
      <w:r w:rsidRPr="00135763">
        <w:rPr>
          <w:color w:val="000000" w:themeColor="text1"/>
          <w:sz w:val="24"/>
          <w:szCs w:val="24"/>
        </w:rPr>
        <w:tab/>
      </w:r>
      <w:r w:rsidRPr="00135763">
        <w:rPr>
          <w:color w:val="000000" w:themeColor="text1"/>
          <w:sz w:val="24"/>
          <w:szCs w:val="24"/>
        </w:rPr>
        <w:tab/>
      </w:r>
      <w:r w:rsidRPr="00135763">
        <w:rPr>
          <w:color w:val="000000" w:themeColor="text1"/>
          <w:sz w:val="24"/>
          <w:szCs w:val="24"/>
        </w:rPr>
        <w:tab/>
      </w:r>
      <w:r w:rsidRPr="00135763">
        <w:rPr>
          <w:color w:val="000000" w:themeColor="text1"/>
          <w:sz w:val="24"/>
          <w:szCs w:val="24"/>
        </w:rPr>
        <w:tab/>
      </w:r>
      <w:r>
        <w:rPr>
          <w:color w:val="000000" w:themeColor="text1"/>
          <w:sz w:val="24"/>
          <w:szCs w:val="24"/>
        </w:rPr>
        <w:t>Second Applicant</w:t>
      </w:r>
    </w:p>
    <w:p w14:paraId="0FC61FD4" w14:textId="77777777" w:rsidR="00965FC6" w:rsidRDefault="00965FC6" w:rsidP="00965FC6">
      <w:pPr>
        <w:pStyle w:val="BodyText"/>
        <w:kinsoku w:val="0"/>
        <w:overflowPunct w:val="0"/>
        <w:spacing w:before="93" w:line="360" w:lineRule="auto"/>
        <w:jc w:val="both"/>
        <w:rPr>
          <w:b/>
          <w:color w:val="000000" w:themeColor="text1"/>
          <w:sz w:val="24"/>
          <w:szCs w:val="24"/>
        </w:rPr>
      </w:pPr>
    </w:p>
    <w:p w14:paraId="3EBFBFD6" w14:textId="77777777" w:rsidR="00965FC6" w:rsidRDefault="00965FC6" w:rsidP="00965FC6">
      <w:pPr>
        <w:pStyle w:val="BodyText"/>
        <w:kinsoku w:val="0"/>
        <w:overflowPunct w:val="0"/>
        <w:spacing w:before="9" w:line="360" w:lineRule="auto"/>
        <w:jc w:val="both"/>
        <w:rPr>
          <w:color w:val="000000" w:themeColor="text1"/>
          <w:sz w:val="24"/>
          <w:szCs w:val="24"/>
        </w:rPr>
      </w:pPr>
    </w:p>
    <w:p w14:paraId="5D2F5AF1" w14:textId="77777777" w:rsidR="00965FC6" w:rsidRDefault="00965FC6" w:rsidP="00965FC6">
      <w:pPr>
        <w:pStyle w:val="BodyText"/>
        <w:kinsoku w:val="0"/>
        <w:overflowPunct w:val="0"/>
        <w:spacing w:line="360" w:lineRule="auto"/>
        <w:jc w:val="both"/>
        <w:rPr>
          <w:color w:val="000000" w:themeColor="text1"/>
          <w:sz w:val="24"/>
          <w:szCs w:val="24"/>
        </w:rPr>
      </w:pPr>
      <w:r>
        <w:rPr>
          <w:color w:val="000000" w:themeColor="text1"/>
          <w:sz w:val="24"/>
          <w:szCs w:val="24"/>
        </w:rPr>
        <w:t>and</w:t>
      </w:r>
    </w:p>
    <w:p w14:paraId="7CC0C675" w14:textId="77777777" w:rsidR="00965FC6" w:rsidRDefault="00965FC6" w:rsidP="00965FC6">
      <w:pPr>
        <w:pStyle w:val="BodyText"/>
        <w:kinsoku w:val="0"/>
        <w:overflowPunct w:val="0"/>
        <w:spacing w:line="360" w:lineRule="auto"/>
        <w:jc w:val="both"/>
        <w:rPr>
          <w:color w:val="000000" w:themeColor="text1"/>
          <w:sz w:val="24"/>
          <w:szCs w:val="24"/>
        </w:rPr>
      </w:pPr>
      <w:r>
        <w:rPr>
          <w:b/>
          <w:bCs/>
          <w:color w:val="000000" w:themeColor="text1"/>
          <w:sz w:val="24"/>
          <w:szCs w:val="24"/>
        </w:rPr>
        <w:tab/>
      </w:r>
      <w:r>
        <w:rPr>
          <w:b/>
          <w:bCs/>
          <w:color w:val="000000" w:themeColor="text1"/>
          <w:sz w:val="24"/>
          <w:szCs w:val="24"/>
        </w:rPr>
        <w:tab/>
      </w:r>
    </w:p>
    <w:p w14:paraId="0A8A80D3" w14:textId="5834B075" w:rsidR="00965FC6" w:rsidRDefault="00135763" w:rsidP="00965FC6">
      <w:pPr>
        <w:pStyle w:val="BodyText"/>
        <w:kinsoku w:val="0"/>
        <w:overflowPunct w:val="0"/>
        <w:spacing w:line="360" w:lineRule="auto"/>
        <w:jc w:val="both"/>
        <w:rPr>
          <w:color w:val="000000"/>
          <w:sz w:val="24"/>
          <w:szCs w:val="24"/>
        </w:rPr>
      </w:pPr>
      <w:r>
        <w:rPr>
          <w:b/>
          <w:color w:val="000000" w:themeColor="text1"/>
          <w:sz w:val="24"/>
          <w:szCs w:val="24"/>
        </w:rPr>
        <w:t>Matsi Law Chambers Inc</w:t>
      </w:r>
      <w:r>
        <w:rPr>
          <w:b/>
          <w:color w:val="000000" w:themeColor="text1"/>
          <w:sz w:val="24"/>
          <w:szCs w:val="24"/>
        </w:rPr>
        <w:tab/>
      </w:r>
      <w:r>
        <w:rPr>
          <w:b/>
          <w:color w:val="000000" w:themeColor="text1"/>
          <w:sz w:val="24"/>
          <w:szCs w:val="24"/>
        </w:rPr>
        <w:tab/>
      </w:r>
      <w:r w:rsidR="00965FC6">
        <w:rPr>
          <w:b/>
          <w:color w:val="000000" w:themeColor="text1"/>
          <w:sz w:val="24"/>
          <w:szCs w:val="24"/>
        </w:rPr>
        <w:tab/>
      </w:r>
      <w:r w:rsidR="00965FC6">
        <w:rPr>
          <w:b/>
          <w:color w:val="000000" w:themeColor="text1"/>
          <w:sz w:val="24"/>
          <w:szCs w:val="24"/>
        </w:rPr>
        <w:tab/>
      </w:r>
      <w:r w:rsidR="00965FC6">
        <w:rPr>
          <w:b/>
          <w:color w:val="000000" w:themeColor="text1"/>
          <w:sz w:val="24"/>
          <w:szCs w:val="24"/>
        </w:rPr>
        <w:tab/>
      </w:r>
      <w:r>
        <w:rPr>
          <w:b/>
          <w:color w:val="000000" w:themeColor="text1"/>
          <w:sz w:val="24"/>
          <w:szCs w:val="24"/>
        </w:rPr>
        <w:t xml:space="preserve">          </w:t>
      </w:r>
      <w:r w:rsidR="00965FC6">
        <w:rPr>
          <w:b/>
          <w:color w:val="000000" w:themeColor="text1"/>
          <w:sz w:val="24"/>
          <w:szCs w:val="24"/>
        </w:rPr>
        <w:t xml:space="preserve"> </w:t>
      </w:r>
      <w:r w:rsidR="00965FC6">
        <w:rPr>
          <w:color w:val="000000"/>
          <w:sz w:val="24"/>
          <w:szCs w:val="24"/>
        </w:rPr>
        <w:t>Respondent</w:t>
      </w:r>
    </w:p>
    <w:p w14:paraId="11997317" w14:textId="6221FBC4" w:rsidR="00135763" w:rsidRDefault="00135763" w:rsidP="00965FC6">
      <w:pPr>
        <w:pStyle w:val="BodyText"/>
        <w:kinsoku w:val="0"/>
        <w:overflowPunct w:val="0"/>
        <w:spacing w:line="360" w:lineRule="auto"/>
        <w:jc w:val="both"/>
        <w:rPr>
          <w:color w:val="000000"/>
          <w:sz w:val="24"/>
          <w:szCs w:val="24"/>
        </w:rPr>
      </w:pPr>
      <w:r>
        <w:rPr>
          <w:color w:val="000000"/>
          <w:sz w:val="24"/>
          <w:szCs w:val="24"/>
        </w:rPr>
        <w:t>(Old name: Matsi Mailula Inc Attorneys)</w:t>
      </w:r>
    </w:p>
    <w:p w14:paraId="4CC473A8" w14:textId="2E6B9E02" w:rsidR="00135763" w:rsidRDefault="00135763" w:rsidP="00965FC6">
      <w:pPr>
        <w:pStyle w:val="BodyText"/>
        <w:kinsoku w:val="0"/>
        <w:overflowPunct w:val="0"/>
        <w:spacing w:line="360" w:lineRule="auto"/>
        <w:jc w:val="both"/>
        <w:rPr>
          <w:color w:val="000000"/>
          <w:sz w:val="24"/>
          <w:szCs w:val="24"/>
        </w:rPr>
      </w:pPr>
    </w:p>
    <w:p w14:paraId="719977E2" w14:textId="52F0C716" w:rsidR="00135763" w:rsidRDefault="00135763" w:rsidP="00965FC6">
      <w:pPr>
        <w:pStyle w:val="BodyText"/>
        <w:kinsoku w:val="0"/>
        <w:overflowPunct w:val="0"/>
        <w:spacing w:line="360" w:lineRule="auto"/>
        <w:jc w:val="both"/>
        <w:rPr>
          <w:color w:val="000000"/>
          <w:sz w:val="24"/>
          <w:szCs w:val="24"/>
        </w:rPr>
      </w:pPr>
      <w:r>
        <w:rPr>
          <w:color w:val="000000"/>
          <w:sz w:val="24"/>
          <w:szCs w:val="24"/>
        </w:rPr>
        <w:t>In Re</w:t>
      </w:r>
    </w:p>
    <w:p w14:paraId="669FF592" w14:textId="507003A6" w:rsidR="00135763" w:rsidRPr="00135763" w:rsidRDefault="00135763" w:rsidP="00135763">
      <w:pPr>
        <w:pStyle w:val="BodyText"/>
        <w:kinsoku w:val="0"/>
        <w:overflowPunct w:val="0"/>
        <w:spacing w:line="360" w:lineRule="auto"/>
        <w:jc w:val="both"/>
        <w:rPr>
          <w:bCs/>
          <w:color w:val="000000"/>
          <w:sz w:val="24"/>
          <w:szCs w:val="24"/>
        </w:rPr>
      </w:pPr>
      <w:r>
        <w:rPr>
          <w:b/>
          <w:color w:val="000000" w:themeColor="text1"/>
          <w:sz w:val="24"/>
          <w:szCs w:val="24"/>
        </w:rPr>
        <w:t>Matsi Law Chambers Inc</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           </w:t>
      </w:r>
      <w:r w:rsidRPr="00135763">
        <w:rPr>
          <w:bCs/>
          <w:color w:val="000000" w:themeColor="text1"/>
          <w:sz w:val="24"/>
          <w:szCs w:val="24"/>
        </w:rPr>
        <w:t>Applicant</w:t>
      </w:r>
    </w:p>
    <w:p w14:paraId="219CC818" w14:textId="77777777" w:rsidR="00135763" w:rsidRPr="00135763" w:rsidRDefault="00135763" w:rsidP="00135763">
      <w:pPr>
        <w:pStyle w:val="BodyText"/>
        <w:kinsoku w:val="0"/>
        <w:overflowPunct w:val="0"/>
        <w:spacing w:line="360" w:lineRule="auto"/>
        <w:jc w:val="both"/>
        <w:rPr>
          <w:bCs/>
          <w:color w:val="000000"/>
          <w:sz w:val="24"/>
          <w:szCs w:val="24"/>
        </w:rPr>
      </w:pPr>
      <w:r w:rsidRPr="00135763">
        <w:rPr>
          <w:bCs/>
          <w:color w:val="000000"/>
          <w:sz w:val="24"/>
          <w:szCs w:val="24"/>
        </w:rPr>
        <w:t>(Old name: Matsi Mailula Inc Attorneys)</w:t>
      </w:r>
    </w:p>
    <w:p w14:paraId="38B17990" w14:textId="0B916B3F" w:rsidR="00135763" w:rsidRDefault="00135763" w:rsidP="00965FC6">
      <w:pPr>
        <w:pStyle w:val="BodyText"/>
        <w:kinsoku w:val="0"/>
        <w:overflowPunct w:val="0"/>
        <w:spacing w:line="360" w:lineRule="auto"/>
        <w:jc w:val="both"/>
        <w:rPr>
          <w:color w:val="000000"/>
          <w:sz w:val="24"/>
          <w:szCs w:val="24"/>
        </w:rPr>
      </w:pPr>
    </w:p>
    <w:p w14:paraId="03FCDDB1" w14:textId="2C4642DA" w:rsidR="00135763" w:rsidRDefault="00135763" w:rsidP="00135763">
      <w:pPr>
        <w:pStyle w:val="BodyText"/>
        <w:kinsoku w:val="0"/>
        <w:overflowPunct w:val="0"/>
        <w:spacing w:before="93" w:line="360" w:lineRule="auto"/>
        <w:jc w:val="both"/>
        <w:rPr>
          <w:color w:val="000000" w:themeColor="text1"/>
          <w:sz w:val="24"/>
          <w:szCs w:val="24"/>
        </w:rPr>
      </w:pPr>
      <w:r>
        <w:rPr>
          <w:b/>
          <w:bCs/>
          <w:color w:val="000000" w:themeColor="text1"/>
          <w:sz w:val="24"/>
          <w:szCs w:val="24"/>
        </w:rPr>
        <w:t>Lesiba Jeremiah Mailula</w:t>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Pr>
          <w:b/>
          <w:bCs/>
          <w:color w:val="000000" w:themeColor="text1"/>
          <w:sz w:val="24"/>
          <w:szCs w:val="24"/>
        </w:rPr>
        <w:tab/>
      </w:r>
      <w:r w:rsidRPr="00135763">
        <w:rPr>
          <w:color w:val="000000" w:themeColor="text1"/>
          <w:sz w:val="24"/>
          <w:szCs w:val="24"/>
        </w:rPr>
        <w:t xml:space="preserve">First </w:t>
      </w:r>
      <w:r>
        <w:rPr>
          <w:color w:val="000000" w:themeColor="text1"/>
          <w:sz w:val="24"/>
          <w:szCs w:val="24"/>
        </w:rPr>
        <w:t xml:space="preserve">Respondent </w:t>
      </w:r>
    </w:p>
    <w:p w14:paraId="16D17943" w14:textId="40082EE5" w:rsidR="00135763" w:rsidRDefault="00135763" w:rsidP="00135763">
      <w:pPr>
        <w:pStyle w:val="BodyText"/>
        <w:kinsoku w:val="0"/>
        <w:overflowPunct w:val="0"/>
        <w:spacing w:before="93" w:line="360" w:lineRule="auto"/>
        <w:jc w:val="both"/>
        <w:rPr>
          <w:color w:val="000000" w:themeColor="text1"/>
          <w:sz w:val="24"/>
          <w:szCs w:val="24"/>
        </w:rPr>
      </w:pPr>
      <w:r>
        <w:rPr>
          <w:color w:val="000000" w:themeColor="text1"/>
          <w:sz w:val="24"/>
          <w:szCs w:val="24"/>
        </w:rPr>
        <w:t xml:space="preserve">Lesiba Mailula Attorneys Inc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Second Respondent</w:t>
      </w:r>
    </w:p>
    <w:p w14:paraId="3A88E6F1" w14:textId="31108744" w:rsidR="00135763" w:rsidRDefault="00965FC6" w:rsidP="00965FC6">
      <w:pPr>
        <w:pStyle w:val="BodyText"/>
        <w:kinsoku w:val="0"/>
        <w:overflowPunct w:val="0"/>
        <w:spacing w:line="360" w:lineRule="auto"/>
        <w:jc w:val="both"/>
        <w:rPr>
          <w:color w:val="000000" w:themeColor="text1"/>
          <w:sz w:val="24"/>
          <w:szCs w:val="24"/>
        </w:rPr>
      </w:pPr>
      <w:r>
        <w:rPr>
          <w:noProof/>
          <w:lang w:val="en-US" w:eastAsia="en-US"/>
        </w:rPr>
        <mc:AlternateContent>
          <mc:Choice Requires="wps">
            <w:drawing>
              <wp:anchor distT="0" distB="0" distL="0" distR="0" simplePos="0" relativeHeight="251659264" behindDoc="0" locked="0" layoutInCell="0" allowOverlap="1" wp14:anchorId="090F306E" wp14:editId="26C1A98E">
                <wp:simplePos x="0" y="0"/>
                <wp:positionH relativeFrom="page">
                  <wp:posOffset>880745</wp:posOffset>
                </wp:positionH>
                <wp:positionV relativeFrom="paragraph">
                  <wp:posOffset>190500</wp:posOffset>
                </wp:positionV>
                <wp:extent cx="5528945" cy="0"/>
                <wp:effectExtent l="0" t="0" r="14605" b="190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0342798" id="Freeform 3" o:spid="_x0000_s1026" style="position:absolute;margin-left:69.35pt;margin-top:15pt;width:435.35pt;height: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" o:allowincell="f" path="m,l8707,e" filled="f" strokecolor="#676767" strokeweight=".23811mm">
                <v:path arrowok="t" o:connecttype="custom" o:connectlocs="0,0;5528945,0" o:connectangles="0,0"/>
                <w10:wrap type="topAndBottom" anchorx="page"/>
              </v:shape>
            </w:pict>
          </mc:Fallback>
        </mc:AlternateContent>
      </w:r>
    </w:p>
    <w:p w14:paraId="24991471" w14:textId="77777777" w:rsidR="00965FC6" w:rsidRDefault="00965FC6" w:rsidP="00965FC6">
      <w:pPr>
        <w:pStyle w:val="BodyText"/>
        <w:kinsoku w:val="0"/>
        <w:overflowPunct w:val="0"/>
        <w:spacing w:before="5" w:line="360" w:lineRule="auto"/>
        <w:jc w:val="both"/>
        <w:rPr>
          <w:color w:val="000000" w:themeColor="text1"/>
          <w:sz w:val="24"/>
          <w:szCs w:val="24"/>
        </w:rPr>
      </w:pPr>
    </w:p>
    <w:p w14:paraId="1FB1FE6E" w14:textId="77777777" w:rsidR="00965FC6" w:rsidRDefault="00965FC6" w:rsidP="00965FC6">
      <w:pPr>
        <w:pStyle w:val="Heading1"/>
        <w:kinsoku w:val="0"/>
        <w:overflowPunct w:val="0"/>
        <w:spacing w:line="360" w:lineRule="auto"/>
        <w:ind w:left="0"/>
        <w:rPr>
          <w:rFonts w:eastAsiaTheme="minorEastAsia"/>
          <w:color w:val="000000" w:themeColor="text1"/>
          <w:sz w:val="24"/>
          <w:szCs w:val="24"/>
        </w:rPr>
      </w:pPr>
      <w:r>
        <w:rPr>
          <w:noProof/>
          <w:lang w:val="en-US" w:eastAsia="en-US"/>
        </w:rPr>
        <mc:AlternateContent>
          <mc:Choice Requires="wps">
            <w:drawing>
              <wp:anchor distT="0" distB="0" distL="0" distR="0" simplePos="0" relativeHeight="251660288" behindDoc="0" locked="0" layoutInCell="0" allowOverlap="1" wp14:anchorId="6E926BE6" wp14:editId="0242430E">
                <wp:simplePos x="0" y="0"/>
                <wp:positionH relativeFrom="page">
                  <wp:posOffset>928370</wp:posOffset>
                </wp:positionH>
                <wp:positionV relativeFrom="paragraph">
                  <wp:posOffset>368935</wp:posOffset>
                </wp:positionV>
                <wp:extent cx="5528945" cy="0"/>
                <wp:effectExtent l="0" t="0" r="14605" b="1905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BEEFE3D" id="Freeform 2" o:spid="_x0000_s1026" style="position:absolute;margin-left:73.1pt;margin-top:29.05pt;width:435.35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" o:allowincell="f" path="m,l8707,e" filled="f" strokecolor="#606060" strokeweight=".23811mm">
                <v:path arrowok="t" o:connecttype="custom" o:connectlocs="0,0;5528945,0" o:connectangles="0,0"/>
                <w10:wrap type="topAndBottom" anchorx="page"/>
              </v:shape>
            </w:pict>
          </mc:Fallback>
        </mc:AlternateContent>
      </w:r>
      <w:r>
        <w:rPr>
          <w:rFonts w:eastAsiaTheme="minorEastAsia"/>
          <w:color w:val="000000" w:themeColor="text1"/>
          <w:sz w:val="24"/>
          <w:szCs w:val="24"/>
        </w:rPr>
        <w:t>JUDGMENT</w:t>
      </w:r>
    </w:p>
    <w:p w14:paraId="0A7A9177" w14:textId="77777777" w:rsidR="00965FC6" w:rsidRDefault="00965FC6" w:rsidP="00965FC6"/>
    <w:p w14:paraId="1B2B2AFE" w14:textId="77777777" w:rsidR="00965FC6" w:rsidRDefault="00965FC6" w:rsidP="00965FC6">
      <w:pPr>
        <w:pStyle w:val="BodyText"/>
        <w:kinsoku w:val="0"/>
        <w:overflowPunct w:val="0"/>
        <w:spacing w:before="4" w:line="360" w:lineRule="auto"/>
        <w:jc w:val="both"/>
        <w:rPr>
          <w:b/>
          <w:bCs/>
          <w:color w:val="000000" w:themeColor="text1"/>
          <w:sz w:val="24"/>
          <w:szCs w:val="24"/>
        </w:rPr>
      </w:pPr>
    </w:p>
    <w:p w14:paraId="621D24EB" w14:textId="77777777" w:rsidR="00965FC6" w:rsidRDefault="00965FC6" w:rsidP="00965FC6">
      <w:pPr>
        <w:pStyle w:val="BodyText"/>
        <w:kinsoku w:val="0"/>
        <w:overflowPunct w:val="0"/>
        <w:spacing w:line="360" w:lineRule="auto"/>
        <w:jc w:val="both"/>
        <w:rPr>
          <w:b/>
          <w:bCs/>
          <w:color w:val="000000" w:themeColor="text1"/>
          <w:sz w:val="24"/>
          <w:szCs w:val="24"/>
        </w:rPr>
      </w:pPr>
      <w:r>
        <w:rPr>
          <w:b/>
          <w:bCs/>
          <w:color w:val="000000" w:themeColor="text1"/>
          <w:sz w:val="24"/>
          <w:szCs w:val="24"/>
        </w:rPr>
        <w:t>SARDIWALLA J:</w:t>
      </w:r>
    </w:p>
    <w:p w14:paraId="63575D91" w14:textId="77777777" w:rsidR="00CA5277" w:rsidRDefault="00CA5277" w:rsidP="00965FC6">
      <w:pPr>
        <w:tabs>
          <w:tab w:val="right" w:pos="0"/>
        </w:tabs>
        <w:spacing w:line="480" w:lineRule="auto"/>
        <w:jc w:val="both"/>
        <w:rPr>
          <w:u w:val="single"/>
          <w:lang w:eastAsia="en-GB"/>
        </w:rPr>
      </w:pPr>
    </w:p>
    <w:p w14:paraId="131E32A0" w14:textId="660EDD94" w:rsidR="00965FC6" w:rsidRPr="009F10A1" w:rsidRDefault="00965FC6" w:rsidP="00965FC6">
      <w:pPr>
        <w:tabs>
          <w:tab w:val="right" w:pos="0"/>
        </w:tabs>
        <w:spacing w:line="480" w:lineRule="auto"/>
        <w:jc w:val="both"/>
        <w:rPr>
          <w:b/>
          <w:bCs/>
          <w:lang w:eastAsia="en-GB"/>
        </w:rPr>
      </w:pPr>
      <w:r w:rsidRPr="009F10A1">
        <w:rPr>
          <w:b/>
          <w:bCs/>
          <w:lang w:eastAsia="en-GB"/>
        </w:rPr>
        <w:t>Introduction</w:t>
      </w:r>
    </w:p>
    <w:p w14:paraId="0888E325" w14:textId="50173653" w:rsidR="00965FC6" w:rsidRPr="00611255" w:rsidRDefault="00CA5277" w:rsidP="00CA5277">
      <w:pPr>
        <w:widowControl/>
        <w:tabs>
          <w:tab w:val="right" w:pos="0"/>
        </w:tabs>
        <w:autoSpaceDE/>
        <w:adjustRightInd/>
        <w:spacing w:line="480" w:lineRule="auto"/>
        <w:jc w:val="both"/>
        <w:rPr>
          <w:b/>
          <w:lang w:eastAsia="en-GB"/>
        </w:rPr>
      </w:pPr>
      <w:r>
        <w:rPr>
          <w:lang w:eastAsia="en-GB"/>
        </w:rPr>
        <w:t xml:space="preserve">[1] </w:t>
      </w:r>
      <w:r w:rsidR="00965FC6">
        <w:rPr>
          <w:lang w:eastAsia="en-GB"/>
        </w:rPr>
        <w:t xml:space="preserve">This is an application for leave to appeal </w:t>
      </w:r>
      <w:r w:rsidR="00135763">
        <w:rPr>
          <w:lang w:eastAsia="en-GB"/>
        </w:rPr>
        <w:t xml:space="preserve">in terms of section 17(1)(a) read with section 17(2) </w:t>
      </w:r>
      <w:r w:rsidR="001D6A73">
        <w:rPr>
          <w:lang w:eastAsia="en-GB"/>
        </w:rPr>
        <w:t xml:space="preserve">of the Superior Courts Act 10 of 2013 (“the Superior Courts Act”) </w:t>
      </w:r>
      <w:r w:rsidR="00965FC6">
        <w:rPr>
          <w:lang w:eastAsia="en-GB"/>
        </w:rPr>
        <w:t xml:space="preserve">against the whole order </w:t>
      </w:r>
      <w:r w:rsidR="00135763">
        <w:rPr>
          <w:lang w:eastAsia="en-GB"/>
        </w:rPr>
        <w:t xml:space="preserve">handed down on 8 September 2022 </w:t>
      </w:r>
      <w:r w:rsidR="00965FC6">
        <w:rPr>
          <w:lang w:eastAsia="en-GB"/>
        </w:rPr>
        <w:t xml:space="preserve">by </w:t>
      </w:r>
      <w:r w:rsidR="00135763">
        <w:rPr>
          <w:lang w:eastAsia="en-GB"/>
        </w:rPr>
        <w:t>me</w:t>
      </w:r>
      <w:r w:rsidR="00965FC6">
        <w:rPr>
          <w:lang w:eastAsia="en-GB"/>
        </w:rPr>
        <w:t xml:space="preserve">. </w:t>
      </w:r>
    </w:p>
    <w:p w14:paraId="067EACB4" w14:textId="77777777" w:rsidR="00965FC6" w:rsidRDefault="00965FC6" w:rsidP="00965FC6">
      <w:pPr>
        <w:tabs>
          <w:tab w:val="right" w:pos="0"/>
        </w:tabs>
        <w:spacing w:line="480" w:lineRule="auto"/>
        <w:ind w:left="709"/>
        <w:jc w:val="both"/>
        <w:rPr>
          <w:b/>
          <w:lang w:eastAsia="en-GB"/>
        </w:rPr>
      </w:pPr>
    </w:p>
    <w:p w14:paraId="27976E4E" w14:textId="42181D8C" w:rsidR="001D6A73" w:rsidRPr="001D6A73" w:rsidRDefault="00CA5277" w:rsidP="00CA5277">
      <w:pPr>
        <w:widowControl/>
        <w:tabs>
          <w:tab w:val="right" w:pos="0"/>
        </w:tabs>
        <w:autoSpaceDE/>
        <w:adjustRightInd/>
        <w:spacing w:line="480" w:lineRule="auto"/>
        <w:jc w:val="both"/>
        <w:rPr>
          <w:u w:val="single"/>
          <w:lang w:eastAsia="en-GB"/>
        </w:rPr>
      </w:pPr>
      <w:r>
        <w:rPr>
          <w:lang w:eastAsia="en-GB"/>
        </w:rPr>
        <w:t xml:space="preserve">[2] </w:t>
      </w:r>
      <w:r w:rsidR="00965FC6">
        <w:rPr>
          <w:lang w:eastAsia="en-GB"/>
        </w:rPr>
        <w:t xml:space="preserve">On </w:t>
      </w:r>
      <w:r w:rsidR="00135763">
        <w:rPr>
          <w:lang w:eastAsia="en-GB"/>
        </w:rPr>
        <w:t>14 March</w:t>
      </w:r>
      <w:r w:rsidR="00965FC6">
        <w:rPr>
          <w:lang w:eastAsia="en-GB"/>
        </w:rPr>
        <w:t xml:space="preserve"> 202</w:t>
      </w:r>
      <w:r w:rsidR="00135763">
        <w:rPr>
          <w:lang w:eastAsia="en-GB"/>
        </w:rPr>
        <w:t>2</w:t>
      </w:r>
      <w:r w:rsidR="00965FC6">
        <w:rPr>
          <w:lang w:eastAsia="en-GB"/>
        </w:rPr>
        <w:t>, an application was before me brought by the app</w:t>
      </w:r>
      <w:r>
        <w:rPr>
          <w:lang w:eastAsia="en-GB"/>
        </w:rPr>
        <w:t>licants</w:t>
      </w:r>
      <w:r w:rsidR="00965FC6">
        <w:rPr>
          <w:lang w:eastAsia="en-GB"/>
        </w:rPr>
        <w:t xml:space="preserve"> against the respondent, seeking leave to appeal to the full bench of this court against the </w:t>
      </w:r>
      <w:r w:rsidR="001D6A73">
        <w:rPr>
          <w:lang w:eastAsia="en-GB"/>
        </w:rPr>
        <w:t>order of 17 March 2022</w:t>
      </w:r>
      <w:r w:rsidR="00965FC6">
        <w:rPr>
          <w:lang w:eastAsia="en-GB"/>
        </w:rPr>
        <w:t xml:space="preserve"> dismissing the a</w:t>
      </w:r>
      <w:r w:rsidR="00135763">
        <w:rPr>
          <w:lang w:eastAsia="en-GB"/>
        </w:rPr>
        <w:t>pplication</w:t>
      </w:r>
      <w:r w:rsidR="00965FC6">
        <w:rPr>
          <w:lang w:eastAsia="en-GB"/>
        </w:rPr>
        <w:t xml:space="preserve"> with costs finding that </w:t>
      </w:r>
      <w:r w:rsidR="001D6A73">
        <w:rPr>
          <w:lang w:eastAsia="en-GB"/>
        </w:rPr>
        <w:t xml:space="preserve">since there was no direct appeal against the order of Baqwa J that was made on 18 December 2020 between the parties, that the order remains effective and executable, and that there is no need for this Court to grant any leave for its execution. </w:t>
      </w:r>
    </w:p>
    <w:p w14:paraId="776F69D8" w14:textId="77777777" w:rsidR="001D6A73" w:rsidRDefault="001D6A73" w:rsidP="001D6A73">
      <w:pPr>
        <w:pStyle w:val="ListParagraph"/>
        <w:rPr>
          <w:u w:val="single"/>
          <w:lang w:eastAsia="en-GB"/>
        </w:rPr>
      </w:pPr>
    </w:p>
    <w:p w14:paraId="7FF603D4" w14:textId="77777777" w:rsidR="0051273B" w:rsidRPr="009F10A1" w:rsidRDefault="00965FC6" w:rsidP="00CA5277">
      <w:pPr>
        <w:tabs>
          <w:tab w:val="right" w:pos="0"/>
        </w:tabs>
        <w:spacing w:line="480" w:lineRule="auto"/>
        <w:jc w:val="both"/>
        <w:rPr>
          <w:b/>
          <w:bCs/>
          <w:lang w:eastAsia="en-GB"/>
        </w:rPr>
      </w:pPr>
      <w:r w:rsidRPr="009F10A1">
        <w:rPr>
          <w:b/>
          <w:bCs/>
          <w:lang w:eastAsia="en-GB"/>
        </w:rPr>
        <w:t>Grounds of appeal</w:t>
      </w:r>
    </w:p>
    <w:p w14:paraId="02135D0B" w14:textId="46532D19" w:rsidR="00965FC6" w:rsidRPr="00CA5277" w:rsidRDefault="00965FC6" w:rsidP="00CA5277">
      <w:pPr>
        <w:tabs>
          <w:tab w:val="right" w:pos="0"/>
        </w:tabs>
        <w:spacing w:line="480" w:lineRule="auto"/>
        <w:jc w:val="both"/>
        <w:rPr>
          <w:u w:val="single"/>
          <w:lang w:eastAsia="en-GB"/>
        </w:rPr>
      </w:pPr>
      <w:r>
        <w:rPr>
          <w:lang w:eastAsia="en-GB"/>
        </w:rPr>
        <w:t>[</w:t>
      </w:r>
      <w:r w:rsidR="00CA5277">
        <w:rPr>
          <w:lang w:eastAsia="en-GB"/>
        </w:rPr>
        <w:t>3</w:t>
      </w:r>
      <w:r>
        <w:rPr>
          <w:lang w:eastAsia="en-GB"/>
        </w:rPr>
        <w:t xml:space="preserve">] </w:t>
      </w:r>
      <w:r w:rsidR="00CA5277">
        <w:rPr>
          <w:lang w:eastAsia="en-GB"/>
        </w:rPr>
        <w:t xml:space="preserve"> </w:t>
      </w:r>
      <w:r>
        <w:rPr>
          <w:lang w:eastAsia="en-GB"/>
        </w:rPr>
        <w:t>The app</w:t>
      </w:r>
      <w:r w:rsidR="00CA5277">
        <w:rPr>
          <w:lang w:eastAsia="en-GB"/>
        </w:rPr>
        <w:t>licant</w:t>
      </w:r>
      <w:r>
        <w:rPr>
          <w:lang w:eastAsia="en-GB"/>
        </w:rPr>
        <w:t xml:space="preserve"> disputes the findings and the grounds of appeal in essence are: -</w:t>
      </w:r>
    </w:p>
    <w:p w14:paraId="676D6C23" w14:textId="0AA1A21C" w:rsidR="008D3405" w:rsidRDefault="008D3405" w:rsidP="008D3405">
      <w:pPr>
        <w:spacing w:line="480" w:lineRule="auto"/>
        <w:ind w:left="568" w:hanging="568"/>
        <w:contextualSpacing/>
        <w:jc w:val="both"/>
        <w:rPr>
          <w:bCs/>
          <w:color w:val="000000"/>
        </w:rPr>
      </w:pPr>
      <w:r w:rsidRPr="008D3405">
        <w:rPr>
          <w:bCs/>
          <w:color w:val="000000"/>
        </w:rPr>
        <w:t>1.</w:t>
      </w:r>
      <w:r w:rsidRPr="008D3405">
        <w:rPr>
          <w:bCs/>
          <w:color w:val="000000"/>
        </w:rPr>
        <w:tab/>
        <w:t>The learned Judge erred in pronouncing that Baqwa J’s order remains</w:t>
      </w:r>
      <w:r>
        <w:rPr>
          <w:bCs/>
          <w:color w:val="000000"/>
        </w:rPr>
        <w:t xml:space="preserve"> </w:t>
      </w:r>
      <w:r w:rsidRPr="008D3405">
        <w:rPr>
          <w:bCs/>
          <w:color w:val="000000"/>
        </w:rPr>
        <w:t>effective and executable despite the fact that the Respondent’s Second</w:t>
      </w:r>
      <w:r>
        <w:rPr>
          <w:bCs/>
          <w:color w:val="000000"/>
        </w:rPr>
        <w:t xml:space="preserve"> </w:t>
      </w:r>
      <w:r w:rsidRPr="008D3405">
        <w:rPr>
          <w:bCs/>
          <w:color w:val="000000"/>
        </w:rPr>
        <w:t xml:space="preserve">Section 18 Application was postponed </w:t>
      </w:r>
      <w:r w:rsidRPr="008D3405">
        <w:rPr>
          <w:bCs/>
          <w:i/>
          <w:iCs/>
          <w:color w:val="000000"/>
        </w:rPr>
        <w:t>sine die</w:t>
      </w:r>
      <w:r w:rsidRPr="008D3405">
        <w:rPr>
          <w:bCs/>
          <w:color w:val="000000"/>
        </w:rPr>
        <w:t xml:space="preserve"> on 14 March 2022 and</w:t>
      </w:r>
      <w:r>
        <w:rPr>
          <w:bCs/>
          <w:color w:val="000000"/>
        </w:rPr>
        <w:t xml:space="preserve"> </w:t>
      </w:r>
      <w:r w:rsidRPr="008D3405">
        <w:rPr>
          <w:bCs/>
          <w:color w:val="000000"/>
        </w:rPr>
        <w:t>has never been re-</w:t>
      </w:r>
      <w:r w:rsidRPr="008D3405">
        <w:rPr>
          <w:bCs/>
          <w:color w:val="000000"/>
        </w:rPr>
        <w:lastRenderedPageBreak/>
        <w:t>enrolled by either of the parties to the proceedings,</w:t>
      </w:r>
      <w:r>
        <w:rPr>
          <w:bCs/>
          <w:color w:val="000000"/>
        </w:rPr>
        <w:t xml:space="preserve"> </w:t>
      </w:r>
      <w:r w:rsidRPr="008D3405">
        <w:rPr>
          <w:bCs/>
          <w:color w:val="000000"/>
        </w:rPr>
        <w:t>and as such the learned Judge erroneously or inadvertently determine</w:t>
      </w:r>
      <w:r>
        <w:rPr>
          <w:bCs/>
          <w:color w:val="000000"/>
        </w:rPr>
        <w:t xml:space="preserve">d </w:t>
      </w:r>
      <w:r w:rsidRPr="008D3405">
        <w:rPr>
          <w:bCs/>
          <w:color w:val="000000"/>
        </w:rPr>
        <w:t>the Second Section 18 Application prior to making a ruling on the</w:t>
      </w:r>
      <w:r>
        <w:rPr>
          <w:bCs/>
          <w:color w:val="000000"/>
        </w:rPr>
        <w:t xml:space="preserve"> </w:t>
      </w:r>
      <w:r w:rsidRPr="008D3405">
        <w:rPr>
          <w:bCs/>
          <w:color w:val="000000"/>
        </w:rPr>
        <w:t xml:space="preserve">preliminary issues and point </w:t>
      </w:r>
      <w:r w:rsidRPr="008D3405">
        <w:rPr>
          <w:bCs/>
          <w:i/>
          <w:iCs/>
          <w:color w:val="000000"/>
        </w:rPr>
        <w:t>in limine</w:t>
      </w:r>
      <w:r w:rsidRPr="008D3405">
        <w:rPr>
          <w:bCs/>
          <w:color w:val="000000"/>
        </w:rPr>
        <w:t xml:space="preserve"> that were raised upfront at the</w:t>
      </w:r>
      <w:r>
        <w:rPr>
          <w:bCs/>
          <w:color w:val="000000"/>
        </w:rPr>
        <w:t xml:space="preserve"> </w:t>
      </w:r>
      <w:r w:rsidRPr="008D3405">
        <w:rPr>
          <w:bCs/>
          <w:color w:val="000000"/>
        </w:rPr>
        <w:t>commencement of the hearing.</w:t>
      </w:r>
    </w:p>
    <w:p w14:paraId="09802716" w14:textId="77777777" w:rsidR="00CA5277" w:rsidRDefault="00CA5277" w:rsidP="00CA5277">
      <w:pPr>
        <w:spacing w:line="480" w:lineRule="auto"/>
        <w:contextualSpacing/>
        <w:jc w:val="both"/>
        <w:rPr>
          <w:bCs/>
          <w:color w:val="000000"/>
        </w:rPr>
      </w:pPr>
    </w:p>
    <w:p w14:paraId="5F8EB080" w14:textId="0C7F9115" w:rsidR="00CA5277" w:rsidRDefault="008D3405" w:rsidP="00CA5277">
      <w:pPr>
        <w:spacing w:line="480" w:lineRule="auto"/>
        <w:ind w:left="720" w:hanging="720"/>
        <w:contextualSpacing/>
        <w:jc w:val="both"/>
        <w:rPr>
          <w:bCs/>
          <w:color w:val="000000"/>
        </w:rPr>
      </w:pPr>
      <w:r>
        <w:rPr>
          <w:bCs/>
          <w:color w:val="000000"/>
        </w:rPr>
        <w:t xml:space="preserve">2. </w:t>
      </w:r>
      <w:r>
        <w:rPr>
          <w:bCs/>
          <w:color w:val="000000"/>
        </w:rPr>
        <w:tab/>
      </w:r>
      <w:r w:rsidRPr="008D3405">
        <w:rPr>
          <w:bCs/>
          <w:color w:val="000000"/>
        </w:rPr>
        <w:t>The learned Judge, ought to have decided or ruled on the preliminary</w:t>
      </w:r>
      <w:r>
        <w:rPr>
          <w:bCs/>
          <w:color w:val="000000"/>
        </w:rPr>
        <w:t xml:space="preserve"> </w:t>
      </w:r>
      <w:r w:rsidRPr="008D3405">
        <w:rPr>
          <w:bCs/>
          <w:color w:val="000000"/>
        </w:rPr>
        <w:t xml:space="preserve">issues and/or alternatively on the point </w:t>
      </w:r>
      <w:r w:rsidRPr="008D3405">
        <w:rPr>
          <w:bCs/>
          <w:i/>
          <w:iCs/>
          <w:color w:val="000000"/>
        </w:rPr>
        <w:t>in limine</w:t>
      </w:r>
      <w:r w:rsidRPr="008D3405">
        <w:rPr>
          <w:bCs/>
          <w:color w:val="000000"/>
        </w:rPr>
        <w:t xml:space="preserve"> that were raised by bot</w:t>
      </w:r>
      <w:r>
        <w:rPr>
          <w:bCs/>
          <w:color w:val="000000"/>
        </w:rPr>
        <w:t xml:space="preserve">h </w:t>
      </w:r>
      <w:r w:rsidRPr="008D3405">
        <w:rPr>
          <w:bCs/>
          <w:color w:val="000000"/>
        </w:rPr>
        <w:t xml:space="preserve">the </w:t>
      </w:r>
      <w:r w:rsidR="00CA5277">
        <w:rPr>
          <w:bCs/>
          <w:color w:val="000000"/>
        </w:rPr>
        <w:t>a</w:t>
      </w:r>
      <w:r w:rsidRPr="008D3405">
        <w:rPr>
          <w:bCs/>
          <w:color w:val="000000"/>
        </w:rPr>
        <w:t xml:space="preserve">pplicants and the </w:t>
      </w:r>
      <w:r w:rsidR="00CA5277">
        <w:rPr>
          <w:bCs/>
          <w:color w:val="000000"/>
        </w:rPr>
        <w:t>r</w:t>
      </w:r>
      <w:r w:rsidRPr="008D3405">
        <w:rPr>
          <w:bCs/>
          <w:color w:val="000000"/>
        </w:rPr>
        <w:t>espondent at the commencement of the</w:t>
      </w:r>
      <w:r>
        <w:rPr>
          <w:bCs/>
          <w:color w:val="000000"/>
        </w:rPr>
        <w:t xml:space="preserve"> </w:t>
      </w:r>
      <w:r w:rsidRPr="008D3405">
        <w:rPr>
          <w:bCs/>
          <w:color w:val="000000"/>
        </w:rPr>
        <w:t>hearing prior to disposing off the Second Section 18 Application.</w:t>
      </w:r>
    </w:p>
    <w:p w14:paraId="767783F0" w14:textId="771C0D08" w:rsidR="008D3405" w:rsidRPr="008D3405" w:rsidRDefault="008D3405" w:rsidP="00CA5277">
      <w:pPr>
        <w:spacing w:line="480" w:lineRule="auto"/>
        <w:ind w:left="720" w:hanging="720"/>
        <w:contextualSpacing/>
        <w:jc w:val="both"/>
        <w:rPr>
          <w:bCs/>
          <w:color w:val="000000"/>
        </w:rPr>
      </w:pPr>
      <w:r>
        <w:rPr>
          <w:bCs/>
          <w:color w:val="000000"/>
        </w:rPr>
        <w:t xml:space="preserve">3. </w:t>
      </w:r>
      <w:r w:rsidR="00CA5277">
        <w:rPr>
          <w:bCs/>
          <w:color w:val="000000"/>
        </w:rPr>
        <w:tab/>
      </w:r>
      <w:r w:rsidRPr="008D3405">
        <w:rPr>
          <w:bCs/>
          <w:color w:val="000000"/>
        </w:rPr>
        <w:t>It is submitted that, the learned Judge ought to have taken into account</w:t>
      </w:r>
      <w:r>
        <w:rPr>
          <w:bCs/>
          <w:color w:val="000000"/>
        </w:rPr>
        <w:t xml:space="preserve"> </w:t>
      </w:r>
      <w:r w:rsidRPr="008D3405">
        <w:rPr>
          <w:bCs/>
          <w:color w:val="000000"/>
        </w:rPr>
        <w:t>the fact that, during the hearing of Second Section 18 Application on 14</w:t>
      </w:r>
      <w:r>
        <w:rPr>
          <w:bCs/>
          <w:color w:val="000000"/>
        </w:rPr>
        <w:t xml:space="preserve"> </w:t>
      </w:r>
      <w:r w:rsidRPr="008D3405">
        <w:rPr>
          <w:bCs/>
          <w:color w:val="000000"/>
        </w:rPr>
        <w:t xml:space="preserve">March 2022, the </w:t>
      </w:r>
      <w:r w:rsidR="00CA5277">
        <w:rPr>
          <w:bCs/>
          <w:color w:val="000000"/>
        </w:rPr>
        <w:t>a</w:t>
      </w:r>
      <w:r w:rsidRPr="008D3405">
        <w:rPr>
          <w:bCs/>
          <w:color w:val="000000"/>
        </w:rPr>
        <w:t xml:space="preserve">pplicants raised preliminary issues and point </w:t>
      </w:r>
      <w:r w:rsidRPr="008D3405">
        <w:rPr>
          <w:bCs/>
          <w:i/>
          <w:iCs/>
          <w:color w:val="000000"/>
        </w:rPr>
        <w:t>in limine</w:t>
      </w:r>
      <w:r w:rsidRPr="008D3405">
        <w:rPr>
          <w:bCs/>
          <w:color w:val="000000"/>
        </w:rPr>
        <w:t xml:space="preserve"> which were dispositive of the whole Second Section 18</w:t>
      </w:r>
      <w:r>
        <w:rPr>
          <w:bCs/>
          <w:color w:val="000000"/>
        </w:rPr>
        <w:t xml:space="preserve"> </w:t>
      </w:r>
      <w:r w:rsidRPr="008D3405">
        <w:rPr>
          <w:bCs/>
          <w:color w:val="000000"/>
        </w:rPr>
        <w:t>Application, after Mr Matsi addressed that the parties could not reach</w:t>
      </w:r>
      <w:r>
        <w:rPr>
          <w:bCs/>
          <w:color w:val="000000"/>
        </w:rPr>
        <w:t xml:space="preserve"> </w:t>
      </w:r>
      <w:r w:rsidRPr="008D3405">
        <w:rPr>
          <w:bCs/>
          <w:color w:val="000000"/>
        </w:rPr>
        <w:t>settlement during the adjournment wherein the learned Judge requested</w:t>
      </w:r>
      <w:r>
        <w:rPr>
          <w:bCs/>
          <w:color w:val="000000"/>
        </w:rPr>
        <w:t xml:space="preserve"> </w:t>
      </w:r>
      <w:r w:rsidRPr="008D3405">
        <w:rPr>
          <w:bCs/>
          <w:color w:val="000000"/>
        </w:rPr>
        <w:t>the parties to utilize adjournment to try and explore possible settlement</w:t>
      </w:r>
    </w:p>
    <w:p w14:paraId="0F692262" w14:textId="77777777" w:rsidR="00CA5277" w:rsidRDefault="00CA5277" w:rsidP="008D3405">
      <w:pPr>
        <w:spacing w:line="480" w:lineRule="auto"/>
        <w:contextualSpacing/>
        <w:jc w:val="both"/>
        <w:rPr>
          <w:bCs/>
          <w:color w:val="000000"/>
          <w:u w:val="single"/>
        </w:rPr>
      </w:pPr>
    </w:p>
    <w:p w14:paraId="662FEC77" w14:textId="64C4A0CC" w:rsidR="008D3405" w:rsidRPr="00196B76" w:rsidRDefault="008D3405" w:rsidP="008D3405">
      <w:pPr>
        <w:spacing w:line="480" w:lineRule="auto"/>
        <w:contextualSpacing/>
        <w:jc w:val="both"/>
        <w:rPr>
          <w:b/>
          <w:color w:val="000000"/>
        </w:rPr>
      </w:pPr>
      <w:r w:rsidRPr="009F10A1">
        <w:rPr>
          <w:b/>
          <w:color w:val="000000"/>
        </w:rPr>
        <w:t>App</w:t>
      </w:r>
      <w:r w:rsidR="00997B66" w:rsidRPr="009F10A1">
        <w:rPr>
          <w:b/>
          <w:color w:val="000000"/>
        </w:rPr>
        <w:t>lica</w:t>
      </w:r>
      <w:r w:rsidRPr="009F10A1">
        <w:rPr>
          <w:b/>
          <w:color w:val="000000"/>
        </w:rPr>
        <w:t>nt’s case</w:t>
      </w:r>
    </w:p>
    <w:p w14:paraId="1D8CF9F3" w14:textId="72837E48" w:rsidR="00A47A72" w:rsidRPr="00A47A72" w:rsidRDefault="00A47A72" w:rsidP="00A47A72">
      <w:pPr>
        <w:spacing w:line="480" w:lineRule="auto"/>
        <w:contextualSpacing/>
        <w:jc w:val="both"/>
        <w:rPr>
          <w:bCs/>
          <w:color w:val="000000"/>
          <w:u w:val="single"/>
        </w:rPr>
      </w:pPr>
      <w:r w:rsidRPr="00A47A72">
        <w:rPr>
          <w:bCs/>
          <w:color w:val="000000"/>
        </w:rPr>
        <w:t>[</w:t>
      </w:r>
      <w:r w:rsidR="0051273B">
        <w:rPr>
          <w:bCs/>
          <w:color w:val="000000"/>
        </w:rPr>
        <w:t>4</w:t>
      </w:r>
      <w:r w:rsidRPr="00A47A72">
        <w:rPr>
          <w:bCs/>
          <w:color w:val="000000"/>
        </w:rPr>
        <w:t xml:space="preserve">] </w:t>
      </w:r>
      <w:r w:rsidR="00CA5277">
        <w:rPr>
          <w:bCs/>
          <w:color w:val="000000"/>
        </w:rPr>
        <w:t xml:space="preserve">It is the </w:t>
      </w:r>
      <w:r w:rsidR="00997B66">
        <w:rPr>
          <w:bCs/>
          <w:color w:val="000000"/>
        </w:rPr>
        <w:t>a</w:t>
      </w:r>
      <w:r w:rsidR="00CA5277">
        <w:rPr>
          <w:bCs/>
          <w:color w:val="000000"/>
        </w:rPr>
        <w:t>pplicants submission that at the hearing on 14 March 2022 i</w:t>
      </w:r>
      <w:r w:rsidRPr="00A47A72">
        <w:rPr>
          <w:bCs/>
          <w:color w:val="000000"/>
        </w:rPr>
        <w:t xml:space="preserve">n </w:t>
      </w:r>
      <w:r>
        <w:rPr>
          <w:bCs/>
          <w:color w:val="000000"/>
        </w:rPr>
        <w:t>relation</w:t>
      </w:r>
      <w:r w:rsidRPr="00A47A72">
        <w:rPr>
          <w:bCs/>
          <w:color w:val="000000"/>
        </w:rPr>
        <w:t xml:space="preserve"> to the preliminary issues and/or point </w:t>
      </w:r>
      <w:r w:rsidRPr="00A47A72">
        <w:rPr>
          <w:bCs/>
          <w:i/>
          <w:iCs/>
          <w:color w:val="000000"/>
        </w:rPr>
        <w:t>in limine</w:t>
      </w:r>
      <w:r w:rsidRPr="00A47A72">
        <w:rPr>
          <w:bCs/>
          <w:color w:val="000000"/>
        </w:rPr>
        <w:t xml:space="preserve">, the Applicants challenged the validity of the </w:t>
      </w:r>
      <w:r w:rsidR="00997B66">
        <w:rPr>
          <w:bCs/>
          <w:color w:val="000000"/>
        </w:rPr>
        <w:t>r</w:t>
      </w:r>
      <w:r w:rsidRPr="00A47A72">
        <w:rPr>
          <w:bCs/>
          <w:color w:val="000000"/>
        </w:rPr>
        <w:t xml:space="preserve">espondent's Founding Affidavit and the Replying Affidavit, and sought a ruling that they ought not to be accepted by this honourable court in their current form. There were a variety of submissions that were made by the </w:t>
      </w:r>
      <w:r w:rsidR="00997B66">
        <w:rPr>
          <w:bCs/>
          <w:color w:val="000000"/>
        </w:rPr>
        <w:t>a</w:t>
      </w:r>
      <w:r w:rsidRPr="00A47A72">
        <w:rPr>
          <w:bCs/>
          <w:color w:val="000000"/>
        </w:rPr>
        <w:t xml:space="preserve">pplicants on whether or not the </w:t>
      </w:r>
      <w:r w:rsidR="00997B66">
        <w:rPr>
          <w:bCs/>
          <w:color w:val="000000"/>
        </w:rPr>
        <w:t>r</w:t>
      </w:r>
      <w:r w:rsidRPr="00A47A72">
        <w:rPr>
          <w:bCs/>
          <w:color w:val="000000"/>
        </w:rPr>
        <w:t xml:space="preserve">espondent’s Founding Affidavit and Replying Affidavit deserved serious legal scrutiny by this honourable court or whether they should be rejected. the </w:t>
      </w:r>
      <w:r w:rsidR="00997B66">
        <w:rPr>
          <w:bCs/>
          <w:color w:val="000000"/>
        </w:rPr>
        <w:t>a</w:t>
      </w:r>
      <w:r w:rsidRPr="00A47A72">
        <w:rPr>
          <w:bCs/>
          <w:color w:val="000000"/>
        </w:rPr>
        <w:t xml:space="preserve">pplicants submitted </w:t>
      </w:r>
      <w:r w:rsidRPr="00A47A72">
        <w:rPr>
          <w:bCs/>
          <w:color w:val="000000"/>
        </w:rPr>
        <w:lastRenderedPageBreak/>
        <w:t xml:space="preserve">during the hearing for preliminary issues that, the </w:t>
      </w:r>
      <w:r w:rsidR="00997B66">
        <w:rPr>
          <w:bCs/>
          <w:color w:val="000000"/>
        </w:rPr>
        <w:t>r</w:t>
      </w:r>
      <w:r w:rsidRPr="00A47A72">
        <w:rPr>
          <w:bCs/>
          <w:color w:val="000000"/>
        </w:rPr>
        <w:t>espondent's Founding Affidavit and Replying Affidavits were both irregular and fatally defective because they did not comply with the provisions of the Justice Peace Commissioner of Oaths Act, 16 of 1963 (“the Act”) and Regulation 4 in terms of section 10 of the Act.</w:t>
      </w:r>
    </w:p>
    <w:p w14:paraId="440B84C8" w14:textId="77777777" w:rsidR="00A47A72" w:rsidRPr="00A47A72" w:rsidRDefault="00A47A72" w:rsidP="00A47A72">
      <w:pPr>
        <w:spacing w:line="480" w:lineRule="auto"/>
        <w:contextualSpacing/>
        <w:jc w:val="both"/>
        <w:rPr>
          <w:bCs/>
          <w:color w:val="000000"/>
        </w:rPr>
      </w:pPr>
    </w:p>
    <w:p w14:paraId="4DCF3AB2" w14:textId="77A06661" w:rsidR="00A47A72" w:rsidRPr="00A47A72" w:rsidRDefault="00A47A72" w:rsidP="00A47A72">
      <w:pPr>
        <w:spacing w:line="480" w:lineRule="auto"/>
        <w:contextualSpacing/>
        <w:jc w:val="both"/>
        <w:rPr>
          <w:bCs/>
          <w:color w:val="000000"/>
        </w:rPr>
      </w:pPr>
      <w:r w:rsidRPr="00670153">
        <w:rPr>
          <w:bCs/>
          <w:color w:val="000000"/>
        </w:rPr>
        <w:t>[</w:t>
      </w:r>
      <w:r w:rsidR="0051273B">
        <w:rPr>
          <w:bCs/>
          <w:color w:val="000000"/>
        </w:rPr>
        <w:t>5</w:t>
      </w:r>
      <w:r w:rsidRPr="00670153">
        <w:rPr>
          <w:bCs/>
          <w:color w:val="000000"/>
        </w:rPr>
        <w:t xml:space="preserve">] </w:t>
      </w:r>
      <w:r w:rsidRPr="00A47A72">
        <w:rPr>
          <w:bCs/>
          <w:color w:val="000000"/>
        </w:rPr>
        <w:t xml:space="preserve">In support of the </w:t>
      </w:r>
      <w:r w:rsidR="00CA5277">
        <w:rPr>
          <w:bCs/>
          <w:color w:val="000000"/>
        </w:rPr>
        <w:t>a</w:t>
      </w:r>
      <w:r w:rsidRPr="00A47A72">
        <w:rPr>
          <w:bCs/>
          <w:color w:val="000000"/>
        </w:rPr>
        <w:t xml:space="preserve">pplicants’ preliminary issues and point </w:t>
      </w:r>
      <w:r w:rsidRPr="00A47A72">
        <w:rPr>
          <w:bCs/>
          <w:i/>
          <w:iCs/>
          <w:color w:val="000000"/>
        </w:rPr>
        <w:t>in limine</w:t>
      </w:r>
      <w:r w:rsidRPr="00A47A72">
        <w:rPr>
          <w:bCs/>
          <w:color w:val="000000"/>
        </w:rPr>
        <w:t>, the</w:t>
      </w:r>
      <w:r w:rsidRPr="00670153">
        <w:rPr>
          <w:bCs/>
          <w:color w:val="000000"/>
        </w:rPr>
        <w:t xml:space="preserve"> </w:t>
      </w:r>
      <w:r w:rsidRPr="00A47A72">
        <w:rPr>
          <w:bCs/>
          <w:color w:val="000000"/>
        </w:rPr>
        <w:t>Applicants argued that the Respondent’s Founding Affidavit and the</w:t>
      </w:r>
      <w:r w:rsidRPr="00670153">
        <w:rPr>
          <w:bCs/>
          <w:color w:val="000000"/>
        </w:rPr>
        <w:t xml:space="preserve"> </w:t>
      </w:r>
      <w:r w:rsidRPr="00A47A72">
        <w:rPr>
          <w:bCs/>
          <w:color w:val="000000"/>
        </w:rPr>
        <w:t>Replying Affidavit were not properly before Court because they were</w:t>
      </w:r>
      <w:r w:rsidRPr="00670153">
        <w:rPr>
          <w:bCs/>
          <w:color w:val="000000"/>
        </w:rPr>
        <w:t xml:space="preserve"> </w:t>
      </w:r>
      <w:r w:rsidRPr="00A47A72">
        <w:rPr>
          <w:bCs/>
          <w:color w:val="000000"/>
        </w:rPr>
        <w:t>not commissioned in accordance with the Act and that they should not</w:t>
      </w:r>
      <w:r w:rsidRPr="00670153">
        <w:rPr>
          <w:bCs/>
          <w:color w:val="000000"/>
        </w:rPr>
        <w:t xml:space="preserve"> </w:t>
      </w:r>
      <w:r w:rsidRPr="00A47A72">
        <w:rPr>
          <w:bCs/>
          <w:color w:val="000000"/>
        </w:rPr>
        <w:t>be accepted in their current form.</w:t>
      </w:r>
    </w:p>
    <w:p w14:paraId="220BAACA" w14:textId="77777777" w:rsidR="00A47A72" w:rsidRPr="00A47A72" w:rsidRDefault="00A47A72" w:rsidP="00A47A72">
      <w:pPr>
        <w:spacing w:line="480" w:lineRule="auto"/>
        <w:contextualSpacing/>
        <w:jc w:val="both"/>
        <w:rPr>
          <w:bCs/>
          <w:color w:val="000000"/>
        </w:rPr>
      </w:pPr>
    </w:p>
    <w:p w14:paraId="77D2B997" w14:textId="7AB5D2C3" w:rsidR="00670153" w:rsidRPr="00670153" w:rsidRDefault="00A47A72" w:rsidP="00A47A72">
      <w:pPr>
        <w:spacing w:line="480" w:lineRule="auto"/>
        <w:contextualSpacing/>
        <w:jc w:val="both"/>
        <w:rPr>
          <w:bCs/>
          <w:color w:val="000000"/>
        </w:rPr>
      </w:pPr>
      <w:r w:rsidRPr="00670153">
        <w:rPr>
          <w:bCs/>
          <w:color w:val="000000"/>
        </w:rPr>
        <w:t>[</w:t>
      </w:r>
      <w:r w:rsidR="0051273B">
        <w:rPr>
          <w:bCs/>
          <w:color w:val="000000"/>
        </w:rPr>
        <w:t>6</w:t>
      </w:r>
      <w:r w:rsidRPr="00670153">
        <w:rPr>
          <w:bCs/>
          <w:color w:val="000000"/>
        </w:rPr>
        <w:t xml:space="preserve">] </w:t>
      </w:r>
      <w:r w:rsidRPr="00A47A72">
        <w:rPr>
          <w:bCs/>
          <w:color w:val="000000"/>
        </w:rPr>
        <w:t xml:space="preserve">During the hearing for preliminary issues, the </w:t>
      </w:r>
      <w:r w:rsidR="00997B66">
        <w:rPr>
          <w:bCs/>
          <w:color w:val="000000"/>
        </w:rPr>
        <w:t>a</w:t>
      </w:r>
      <w:r w:rsidRPr="00A47A72">
        <w:rPr>
          <w:bCs/>
          <w:color w:val="000000"/>
        </w:rPr>
        <w:t>pplicants through their</w:t>
      </w:r>
      <w:r w:rsidRPr="00670153">
        <w:rPr>
          <w:bCs/>
          <w:color w:val="000000"/>
        </w:rPr>
        <w:t xml:space="preserve"> </w:t>
      </w:r>
      <w:r w:rsidRPr="00A47A72">
        <w:rPr>
          <w:bCs/>
          <w:color w:val="000000"/>
        </w:rPr>
        <w:t>Counsel (“Adv Ngoako Moropene”) argued and raised objections that</w:t>
      </w:r>
      <w:r w:rsidRPr="00670153">
        <w:rPr>
          <w:bCs/>
          <w:color w:val="000000"/>
        </w:rPr>
        <w:t xml:space="preserve"> </w:t>
      </w:r>
      <w:r w:rsidRPr="00A47A72">
        <w:rPr>
          <w:bCs/>
          <w:color w:val="000000"/>
        </w:rPr>
        <w:t xml:space="preserve">the </w:t>
      </w:r>
      <w:r w:rsidR="00997B66">
        <w:rPr>
          <w:bCs/>
          <w:color w:val="000000"/>
        </w:rPr>
        <w:t>r</w:t>
      </w:r>
      <w:r w:rsidRPr="00A47A72">
        <w:rPr>
          <w:bCs/>
          <w:color w:val="000000"/>
        </w:rPr>
        <w:t>espondent's Founding Affidavit and the Replying Affidavit were</w:t>
      </w:r>
      <w:r w:rsidRPr="00670153">
        <w:rPr>
          <w:bCs/>
          <w:color w:val="000000"/>
        </w:rPr>
        <w:t xml:space="preserve"> </w:t>
      </w:r>
      <w:r w:rsidRPr="00A47A72">
        <w:rPr>
          <w:bCs/>
          <w:color w:val="000000"/>
        </w:rPr>
        <w:t>fatally defective because only the deponent and the Commissioner of</w:t>
      </w:r>
      <w:r w:rsidRPr="00670153">
        <w:rPr>
          <w:bCs/>
          <w:color w:val="000000"/>
        </w:rPr>
        <w:t xml:space="preserve"> </w:t>
      </w:r>
      <w:r w:rsidRPr="00A47A72">
        <w:rPr>
          <w:bCs/>
          <w:color w:val="000000"/>
        </w:rPr>
        <w:t>Oath parts where signed in the entire Founding Affidavit and th</w:t>
      </w:r>
      <w:r w:rsidRPr="00670153">
        <w:rPr>
          <w:bCs/>
          <w:color w:val="000000"/>
        </w:rPr>
        <w:t xml:space="preserve">e  </w:t>
      </w:r>
      <w:r w:rsidRPr="00A47A72">
        <w:rPr>
          <w:bCs/>
          <w:color w:val="000000"/>
        </w:rPr>
        <w:t>Regulations.</w:t>
      </w:r>
      <w:bookmarkStart w:id="1" w:name="_page_13_0"/>
      <w:r w:rsidRPr="00670153">
        <w:rPr>
          <w:bCs/>
          <w:color w:val="000000"/>
        </w:rPr>
        <w:t xml:space="preserve"> </w:t>
      </w:r>
    </w:p>
    <w:bookmarkEnd w:id="1"/>
    <w:p w14:paraId="4BF9AE90" w14:textId="77777777" w:rsidR="00A47A72" w:rsidRPr="00A47A72" w:rsidRDefault="00A47A72" w:rsidP="00A47A72">
      <w:pPr>
        <w:spacing w:line="480" w:lineRule="auto"/>
        <w:contextualSpacing/>
        <w:jc w:val="both"/>
        <w:rPr>
          <w:bCs/>
          <w:color w:val="000000"/>
          <w:sz w:val="22"/>
          <w:szCs w:val="22"/>
        </w:rPr>
      </w:pPr>
    </w:p>
    <w:p w14:paraId="0BD08CE4" w14:textId="7161DEA5" w:rsidR="00A47A72" w:rsidRPr="00A47A72" w:rsidRDefault="00997B66" w:rsidP="00A47A72">
      <w:pPr>
        <w:spacing w:line="480" w:lineRule="auto"/>
        <w:contextualSpacing/>
        <w:jc w:val="both"/>
        <w:rPr>
          <w:bCs/>
          <w:color w:val="000000"/>
        </w:rPr>
      </w:pPr>
      <w:r>
        <w:rPr>
          <w:bCs/>
          <w:color w:val="000000"/>
        </w:rPr>
        <w:t>[</w:t>
      </w:r>
      <w:r w:rsidR="0051273B">
        <w:rPr>
          <w:bCs/>
          <w:color w:val="000000"/>
        </w:rPr>
        <w:t>7</w:t>
      </w:r>
      <w:r>
        <w:rPr>
          <w:bCs/>
          <w:color w:val="000000"/>
        </w:rPr>
        <w:t xml:space="preserve">] </w:t>
      </w:r>
      <w:r w:rsidR="00A47A72" w:rsidRPr="00A47A72">
        <w:rPr>
          <w:bCs/>
          <w:color w:val="000000"/>
        </w:rPr>
        <w:t xml:space="preserve">It </w:t>
      </w:r>
      <w:r w:rsidR="00670153" w:rsidRPr="00670153">
        <w:rPr>
          <w:bCs/>
          <w:color w:val="000000"/>
        </w:rPr>
        <w:t>wa</w:t>
      </w:r>
      <w:r w:rsidR="00A47A72" w:rsidRPr="00A47A72">
        <w:rPr>
          <w:bCs/>
          <w:color w:val="000000"/>
        </w:rPr>
        <w:t xml:space="preserve">s submitted that, based on the Regulations, the </w:t>
      </w:r>
      <w:r>
        <w:rPr>
          <w:bCs/>
          <w:color w:val="000000"/>
        </w:rPr>
        <w:t>r</w:t>
      </w:r>
      <w:r w:rsidR="00A47A72" w:rsidRPr="00A47A72">
        <w:rPr>
          <w:bCs/>
          <w:color w:val="000000"/>
        </w:rPr>
        <w:t>espondent's Founding Affidavit and Replying</w:t>
      </w:r>
      <w:r w:rsidR="00670153" w:rsidRPr="00670153">
        <w:rPr>
          <w:bCs/>
          <w:color w:val="000000"/>
        </w:rPr>
        <w:t xml:space="preserve"> </w:t>
      </w:r>
      <w:r w:rsidR="00A47A72" w:rsidRPr="00A47A72">
        <w:rPr>
          <w:bCs/>
          <w:color w:val="000000"/>
        </w:rPr>
        <w:t>Affidavit were fatally defective, irregular and ought not to be accepted by</w:t>
      </w:r>
      <w:r w:rsidR="00670153" w:rsidRPr="00670153">
        <w:rPr>
          <w:bCs/>
          <w:color w:val="000000"/>
        </w:rPr>
        <w:t xml:space="preserve"> </w:t>
      </w:r>
      <w:r w:rsidR="00A47A72" w:rsidRPr="00A47A72">
        <w:rPr>
          <w:bCs/>
          <w:color w:val="000000"/>
        </w:rPr>
        <w:t>this honourable court, the implications thereof, would have been the</w:t>
      </w:r>
      <w:r w:rsidR="00670153" w:rsidRPr="00670153">
        <w:rPr>
          <w:bCs/>
          <w:color w:val="000000"/>
        </w:rPr>
        <w:t xml:space="preserve"> </w:t>
      </w:r>
      <w:r w:rsidR="00A47A72" w:rsidRPr="00A47A72">
        <w:rPr>
          <w:bCs/>
          <w:color w:val="000000"/>
        </w:rPr>
        <w:t>dismissal of the entire Second Section 18 Application because non</w:t>
      </w:r>
      <w:r>
        <w:rPr>
          <w:bCs/>
          <w:color w:val="000000"/>
        </w:rPr>
        <w:t>e</w:t>
      </w:r>
      <w:r w:rsidR="00A47A72" w:rsidRPr="00A47A72">
        <w:rPr>
          <w:bCs/>
          <w:color w:val="000000"/>
        </w:rPr>
        <w:t xml:space="preserve"> of</w:t>
      </w:r>
      <w:r w:rsidR="00670153" w:rsidRPr="00670153">
        <w:rPr>
          <w:bCs/>
          <w:color w:val="000000"/>
        </w:rPr>
        <w:t xml:space="preserve"> </w:t>
      </w:r>
      <w:r w:rsidR="00A47A72" w:rsidRPr="00A47A72">
        <w:rPr>
          <w:bCs/>
          <w:color w:val="000000"/>
        </w:rPr>
        <w:t xml:space="preserve">the </w:t>
      </w:r>
      <w:r>
        <w:rPr>
          <w:bCs/>
          <w:color w:val="000000"/>
        </w:rPr>
        <w:t>r</w:t>
      </w:r>
      <w:r w:rsidR="00A47A72" w:rsidRPr="00A47A72">
        <w:rPr>
          <w:bCs/>
          <w:color w:val="000000"/>
        </w:rPr>
        <w:t>espondent's affidavits were properly before this honourable court.</w:t>
      </w:r>
    </w:p>
    <w:p w14:paraId="2B930953" w14:textId="77777777" w:rsidR="00670153" w:rsidRPr="00670153" w:rsidRDefault="00670153" w:rsidP="00670153">
      <w:pPr>
        <w:spacing w:line="480" w:lineRule="auto"/>
        <w:contextualSpacing/>
        <w:jc w:val="both"/>
        <w:rPr>
          <w:bCs/>
          <w:color w:val="000000"/>
        </w:rPr>
      </w:pPr>
    </w:p>
    <w:p w14:paraId="6655E45A" w14:textId="6FC6C430" w:rsidR="00670153" w:rsidRPr="00670153" w:rsidRDefault="00997B66" w:rsidP="00670153">
      <w:pPr>
        <w:spacing w:line="480" w:lineRule="auto"/>
        <w:contextualSpacing/>
        <w:jc w:val="both"/>
        <w:rPr>
          <w:bCs/>
          <w:color w:val="000000"/>
        </w:rPr>
      </w:pPr>
      <w:r>
        <w:rPr>
          <w:bCs/>
          <w:color w:val="000000"/>
        </w:rPr>
        <w:t>[</w:t>
      </w:r>
      <w:r w:rsidR="0051273B">
        <w:rPr>
          <w:bCs/>
          <w:color w:val="000000"/>
        </w:rPr>
        <w:t>8</w:t>
      </w:r>
      <w:r>
        <w:rPr>
          <w:bCs/>
          <w:color w:val="000000"/>
        </w:rPr>
        <w:t xml:space="preserve">] </w:t>
      </w:r>
      <w:r w:rsidR="00670153" w:rsidRPr="00670153">
        <w:rPr>
          <w:bCs/>
          <w:color w:val="000000"/>
        </w:rPr>
        <w:t xml:space="preserve">It is submitted that, </w:t>
      </w:r>
      <w:r>
        <w:rPr>
          <w:bCs/>
          <w:color w:val="000000"/>
        </w:rPr>
        <w:t xml:space="preserve">the learned judge </w:t>
      </w:r>
      <w:r w:rsidR="00670153" w:rsidRPr="00670153">
        <w:rPr>
          <w:bCs/>
          <w:color w:val="000000"/>
        </w:rPr>
        <w:t xml:space="preserve">ought to have considered the </w:t>
      </w:r>
      <w:r>
        <w:rPr>
          <w:bCs/>
          <w:color w:val="000000"/>
        </w:rPr>
        <w:t>r</w:t>
      </w:r>
      <w:r w:rsidR="00670153" w:rsidRPr="00670153">
        <w:rPr>
          <w:bCs/>
          <w:color w:val="000000"/>
        </w:rPr>
        <w:t xml:space="preserve">espondent’s submissions during the hearing on 14 March 2022 wherein Mr Matsi for the </w:t>
      </w:r>
      <w:r>
        <w:rPr>
          <w:bCs/>
          <w:color w:val="000000"/>
        </w:rPr>
        <w:t>r</w:t>
      </w:r>
      <w:r w:rsidR="00670153" w:rsidRPr="00670153">
        <w:rPr>
          <w:bCs/>
          <w:color w:val="000000"/>
        </w:rPr>
        <w:t xml:space="preserve">espondent realizing that the </w:t>
      </w:r>
      <w:r>
        <w:rPr>
          <w:bCs/>
          <w:color w:val="000000"/>
        </w:rPr>
        <w:t>r</w:t>
      </w:r>
      <w:r w:rsidR="00670153" w:rsidRPr="00670153">
        <w:rPr>
          <w:bCs/>
          <w:color w:val="000000"/>
        </w:rPr>
        <w:t xml:space="preserve">espondent's affidavits were fatally defective and irregular addressed </w:t>
      </w:r>
      <w:r w:rsidR="00670153" w:rsidRPr="00670153">
        <w:rPr>
          <w:bCs/>
          <w:color w:val="000000"/>
        </w:rPr>
        <w:lastRenderedPageBreak/>
        <w:t>the Court that, the parties can waive the irregular affidavits in order to proceed with the matter, as the preliminary issues pertaining to the contention that the affidavits were bad, irregular and fatally defective was a waste of time.</w:t>
      </w:r>
    </w:p>
    <w:p w14:paraId="7F468818" w14:textId="6659A652" w:rsidR="0051273B" w:rsidRDefault="0051273B" w:rsidP="00670153">
      <w:pPr>
        <w:spacing w:line="480" w:lineRule="auto"/>
        <w:contextualSpacing/>
        <w:jc w:val="both"/>
        <w:rPr>
          <w:bCs/>
          <w:color w:val="000000"/>
        </w:rPr>
      </w:pPr>
    </w:p>
    <w:p w14:paraId="538531F2" w14:textId="747673D4" w:rsidR="00670153" w:rsidRDefault="00997B66" w:rsidP="00670153">
      <w:pPr>
        <w:spacing w:line="480" w:lineRule="auto"/>
        <w:contextualSpacing/>
        <w:jc w:val="both"/>
        <w:rPr>
          <w:bCs/>
          <w:color w:val="000000"/>
        </w:rPr>
      </w:pPr>
      <w:r>
        <w:rPr>
          <w:bCs/>
          <w:color w:val="000000"/>
        </w:rPr>
        <w:t>[</w:t>
      </w:r>
      <w:r w:rsidR="0051273B">
        <w:rPr>
          <w:bCs/>
          <w:color w:val="000000"/>
        </w:rPr>
        <w:t>9</w:t>
      </w:r>
      <w:r>
        <w:rPr>
          <w:bCs/>
          <w:color w:val="000000"/>
        </w:rPr>
        <w:t xml:space="preserve">] </w:t>
      </w:r>
      <w:r w:rsidR="00670153" w:rsidRPr="00670153">
        <w:rPr>
          <w:bCs/>
          <w:color w:val="000000"/>
        </w:rPr>
        <w:t xml:space="preserve">It is submitted that, </w:t>
      </w:r>
      <w:r>
        <w:rPr>
          <w:bCs/>
          <w:color w:val="000000"/>
        </w:rPr>
        <w:t>the learned judge</w:t>
      </w:r>
      <w:r w:rsidR="00670153">
        <w:rPr>
          <w:bCs/>
          <w:color w:val="000000"/>
        </w:rPr>
        <w:t xml:space="preserve"> </w:t>
      </w:r>
      <w:r w:rsidR="00670153" w:rsidRPr="00670153">
        <w:rPr>
          <w:bCs/>
          <w:color w:val="000000"/>
        </w:rPr>
        <w:t xml:space="preserve">ought to have taken into account the fact that, the </w:t>
      </w:r>
      <w:r>
        <w:rPr>
          <w:bCs/>
          <w:color w:val="000000"/>
        </w:rPr>
        <w:t>a</w:t>
      </w:r>
      <w:r w:rsidR="00670153" w:rsidRPr="00670153">
        <w:rPr>
          <w:bCs/>
          <w:color w:val="000000"/>
        </w:rPr>
        <w:t xml:space="preserve">pplicants’ Counsel in turn objected to the </w:t>
      </w:r>
      <w:r>
        <w:rPr>
          <w:bCs/>
          <w:color w:val="000000"/>
        </w:rPr>
        <w:t>r</w:t>
      </w:r>
      <w:r w:rsidR="00670153" w:rsidRPr="00670153">
        <w:rPr>
          <w:bCs/>
          <w:color w:val="000000"/>
        </w:rPr>
        <w:t>espondent's proposal for the waiver of the affidavits and argued that the parties have no right and/or are not legally enjoined with the powers in terms of the Act to waive irregular affidavit(s) neither do this honourable court have the power</w:t>
      </w:r>
      <w:r w:rsidR="00670153">
        <w:rPr>
          <w:bCs/>
          <w:color w:val="000000"/>
        </w:rPr>
        <w:t xml:space="preserve"> </w:t>
      </w:r>
      <w:r w:rsidR="00670153" w:rsidRPr="00670153">
        <w:rPr>
          <w:bCs/>
          <w:color w:val="000000"/>
        </w:rPr>
        <w:t>or jurisdiction to condone the defective and irregular affidavit.</w:t>
      </w:r>
    </w:p>
    <w:p w14:paraId="09652B56" w14:textId="77777777" w:rsidR="00670153" w:rsidRDefault="00670153" w:rsidP="00670153">
      <w:pPr>
        <w:spacing w:line="480" w:lineRule="auto"/>
        <w:contextualSpacing/>
        <w:jc w:val="both"/>
        <w:rPr>
          <w:bCs/>
          <w:color w:val="000000"/>
        </w:rPr>
      </w:pPr>
    </w:p>
    <w:p w14:paraId="37D9FAB7" w14:textId="5E653CEE" w:rsidR="00670153" w:rsidRPr="00670153" w:rsidRDefault="00997B66" w:rsidP="00670153">
      <w:pPr>
        <w:spacing w:line="480" w:lineRule="auto"/>
        <w:contextualSpacing/>
        <w:jc w:val="both"/>
        <w:rPr>
          <w:bCs/>
          <w:color w:val="000000"/>
          <w:u w:val="single"/>
        </w:rPr>
      </w:pPr>
      <w:r>
        <w:rPr>
          <w:bCs/>
          <w:color w:val="000000"/>
        </w:rPr>
        <w:t>[1</w:t>
      </w:r>
      <w:r w:rsidR="0051273B">
        <w:rPr>
          <w:bCs/>
          <w:color w:val="000000"/>
        </w:rPr>
        <w:t>0</w:t>
      </w:r>
      <w:r>
        <w:rPr>
          <w:bCs/>
          <w:color w:val="000000"/>
        </w:rPr>
        <w:t>]</w:t>
      </w:r>
      <w:r w:rsidR="00670153">
        <w:rPr>
          <w:bCs/>
          <w:color w:val="000000"/>
        </w:rPr>
        <w:t xml:space="preserve"> It is also submitted that </w:t>
      </w:r>
      <w:r>
        <w:rPr>
          <w:bCs/>
          <w:color w:val="000000"/>
        </w:rPr>
        <w:t xml:space="preserve">the learned judge </w:t>
      </w:r>
      <w:r w:rsidR="00670153">
        <w:rPr>
          <w:bCs/>
          <w:color w:val="000000"/>
        </w:rPr>
        <w:t>erred</w:t>
      </w:r>
      <w:r w:rsidR="0062487D">
        <w:rPr>
          <w:bCs/>
          <w:color w:val="000000"/>
        </w:rPr>
        <w:t xml:space="preserve"> and or misdirected myself</w:t>
      </w:r>
      <w:r w:rsidR="00670153">
        <w:rPr>
          <w:bCs/>
          <w:color w:val="000000"/>
        </w:rPr>
        <w:t xml:space="preserve"> in handing down a ruling disposing of the section 18 application</w:t>
      </w:r>
      <w:r w:rsidR="0062487D">
        <w:rPr>
          <w:bCs/>
          <w:color w:val="000000"/>
        </w:rPr>
        <w:t xml:space="preserve">, which was postponed </w:t>
      </w:r>
      <w:r w:rsidR="0062487D" w:rsidRPr="0062487D">
        <w:rPr>
          <w:bCs/>
          <w:i/>
          <w:iCs/>
          <w:color w:val="000000"/>
        </w:rPr>
        <w:t>sine die</w:t>
      </w:r>
      <w:r w:rsidR="0062487D">
        <w:rPr>
          <w:bCs/>
          <w:color w:val="000000"/>
        </w:rPr>
        <w:t xml:space="preserve"> on 14 March 2022,</w:t>
      </w:r>
      <w:r w:rsidR="00670153">
        <w:rPr>
          <w:bCs/>
          <w:color w:val="000000"/>
        </w:rPr>
        <w:t xml:space="preserve"> </w:t>
      </w:r>
      <w:r w:rsidR="0062487D">
        <w:rPr>
          <w:bCs/>
          <w:color w:val="000000"/>
        </w:rPr>
        <w:t>and</w:t>
      </w:r>
      <w:r>
        <w:rPr>
          <w:bCs/>
          <w:color w:val="000000"/>
        </w:rPr>
        <w:t xml:space="preserve"> </w:t>
      </w:r>
      <w:r w:rsidR="00670153">
        <w:rPr>
          <w:bCs/>
          <w:color w:val="000000"/>
        </w:rPr>
        <w:t xml:space="preserve">ought to have handed down a ruling on this preliminary issue. </w:t>
      </w:r>
      <w:r w:rsidR="0062487D">
        <w:rPr>
          <w:bCs/>
          <w:color w:val="000000"/>
        </w:rPr>
        <w:t xml:space="preserve">Further that there was procedural irregularities in handing down an order that was not sought in the Notice of Motion and that </w:t>
      </w:r>
      <w:r>
        <w:rPr>
          <w:bCs/>
          <w:color w:val="000000"/>
        </w:rPr>
        <w:t xml:space="preserve">the court </w:t>
      </w:r>
      <w:r w:rsidR="0062487D">
        <w:rPr>
          <w:bCs/>
          <w:color w:val="000000"/>
        </w:rPr>
        <w:t xml:space="preserve">had become </w:t>
      </w:r>
      <w:r w:rsidR="0062487D" w:rsidRPr="00997B66">
        <w:rPr>
          <w:bCs/>
          <w:i/>
          <w:iCs/>
          <w:color w:val="000000"/>
        </w:rPr>
        <w:t>functus officio</w:t>
      </w:r>
      <w:r w:rsidR="0062487D">
        <w:rPr>
          <w:bCs/>
          <w:color w:val="000000"/>
        </w:rPr>
        <w:t xml:space="preserve"> after handing down the order on 17 March 2022 and therefore erred in inviting the parties to reargue the case. </w:t>
      </w:r>
    </w:p>
    <w:p w14:paraId="1B3DB0A4" w14:textId="77777777" w:rsidR="00965FC6" w:rsidRDefault="00965FC6" w:rsidP="00965FC6">
      <w:pPr>
        <w:spacing w:line="480" w:lineRule="auto"/>
        <w:contextualSpacing/>
        <w:jc w:val="both"/>
        <w:rPr>
          <w:bCs/>
          <w:color w:val="000000"/>
          <w:u w:val="single"/>
        </w:rPr>
      </w:pPr>
    </w:p>
    <w:p w14:paraId="4106DFCB" w14:textId="18946F2F" w:rsidR="00965FC6" w:rsidRPr="00196B76" w:rsidRDefault="00965FC6" w:rsidP="00965FC6">
      <w:pPr>
        <w:spacing w:line="480" w:lineRule="auto"/>
        <w:contextualSpacing/>
        <w:jc w:val="both"/>
        <w:rPr>
          <w:b/>
          <w:color w:val="000000"/>
        </w:rPr>
      </w:pPr>
      <w:r w:rsidRPr="009F10A1">
        <w:rPr>
          <w:b/>
          <w:color w:val="000000"/>
        </w:rPr>
        <w:t>Respondent’s case</w:t>
      </w:r>
    </w:p>
    <w:p w14:paraId="510211EF" w14:textId="500F7503" w:rsidR="00B877A2" w:rsidRDefault="00B877A2" w:rsidP="00B877A2">
      <w:pPr>
        <w:spacing w:line="480" w:lineRule="auto"/>
        <w:contextualSpacing/>
        <w:jc w:val="both"/>
        <w:rPr>
          <w:bCs/>
          <w:color w:val="000000"/>
        </w:rPr>
      </w:pPr>
      <w:r>
        <w:rPr>
          <w:bCs/>
          <w:color w:val="000000"/>
        </w:rPr>
        <w:t>[</w:t>
      </w:r>
      <w:r w:rsidR="00997B66">
        <w:rPr>
          <w:bCs/>
          <w:color w:val="000000"/>
        </w:rPr>
        <w:t>1</w:t>
      </w:r>
      <w:r w:rsidR="0051273B">
        <w:rPr>
          <w:bCs/>
          <w:color w:val="000000"/>
        </w:rPr>
        <w:t>1</w:t>
      </w:r>
      <w:r>
        <w:rPr>
          <w:bCs/>
          <w:color w:val="000000"/>
        </w:rPr>
        <w:t xml:space="preserve">] The </w:t>
      </w:r>
      <w:r w:rsidR="00997B66">
        <w:rPr>
          <w:bCs/>
          <w:color w:val="000000"/>
        </w:rPr>
        <w:t>r</w:t>
      </w:r>
      <w:r>
        <w:rPr>
          <w:bCs/>
          <w:color w:val="000000"/>
        </w:rPr>
        <w:t>espondent submitted that t</w:t>
      </w:r>
      <w:r w:rsidRPr="00B877A2">
        <w:rPr>
          <w:bCs/>
          <w:color w:val="000000"/>
        </w:rPr>
        <w:t xml:space="preserve">he parties are aware of the </w:t>
      </w:r>
      <w:r w:rsidRPr="00B877A2">
        <w:rPr>
          <w:bCs/>
          <w:i/>
          <w:iCs/>
          <w:color w:val="000000"/>
        </w:rPr>
        <w:t>Louw</w:t>
      </w:r>
      <w:r>
        <w:rPr>
          <w:rStyle w:val="FootnoteReference"/>
          <w:bCs/>
          <w:i/>
          <w:iCs/>
          <w:color w:val="000000"/>
        </w:rPr>
        <w:footnoteReference w:id="1"/>
      </w:r>
      <w:r w:rsidRPr="00B877A2">
        <w:rPr>
          <w:bCs/>
          <w:color w:val="000000"/>
        </w:rPr>
        <w:t xml:space="preserve"> decision, where it was decided that in motion court a party‘s cases rises and falls on the papers. </w:t>
      </w:r>
      <w:r>
        <w:rPr>
          <w:bCs/>
          <w:color w:val="000000"/>
        </w:rPr>
        <w:t>T</w:t>
      </w:r>
      <w:r w:rsidRPr="00B877A2">
        <w:rPr>
          <w:bCs/>
          <w:color w:val="000000"/>
        </w:rPr>
        <w:t xml:space="preserve">he entire points </w:t>
      </w:r>
      <w:r w:rsidRPr="00B877A2">
        <w:rPr>
          <w:bCs/>
          <w:i/>
          <w:iCs/>
          <w:color w:val="000000"/>
        </w:rPr>
        <w:t>in</w:t>
      </w:r>
      <w:r w:rsidRPr="00B877A2">
        <w:rPr>
          <w:bCs/>
          <w:color w:val="000000"/>
        </w:rPr>
        <w:t xml:space="preserve"> </w:t>
      </w:r>
      <w:r w:rsidRPr="00B877A2">
        <w:rPr>
          <w:bCs/>
          <w:i/>
          <w:iCs/>
          <w:color w:val="000000"/>
        </w:rPr>
        <w:t>limine</w:t>
      </w:r>
      <w:r w:rsidRPr="00B877A2">
        <w:rPr>
          <w:bCs/>
          <w:color w:val="000000"/>
        </w:rPr>
        <w:t xml:space="preserve"> raised by the applicants, is based on foreign law that is not </w:t>
      </w:r>
      <w:r w:rsidRPr="00B877A2">
        <w:rPr>
          <w:bCs/>
          <w:color w:val="000000"/>
        </w:rPr>
        <w:lastRenderedPageBreak/>
        <w:t>applicable in South Africa</w:t>
      </w:r>
      <w:r>
        <w:rPr>
          <w:bCs/>
          <w:color w:val="000000"/>
        </w:rPr>
        <w:t xml:space="preserve"> </w:t>
      </w:r>
      <w:r w:rsidRPr="00B877A2">
        <w:rPr>
          <w:bCs/>
          <w:color w:val="000000"/>
        </w:rPr>
        <w:t>the</w:t>
      </w:r>
      <w:r>
        <w:rPr>
          <w:bCs/>
          <w:color w:val="000000"/>
        </w:rPr>
        <w:t>refore the</w:t>
      </w:r>
      <w:r w:rsidRPr="00B877A2">
        <w:rPr>
          <w:bCs/>
          <w:color w:val="000000"/>
        </w:rPr>
        <w:t xml:space="preserve"> court had no obligation to even comment thereon but rather to look at the case that was before the court. </w:t>
      </w:r>
    </w:p>
    <w:p w14:paraId="56CB44E8" w14:textId="77777777" w:rsidR="00B877A2" w:rsidRDefault="00B877A2" w:rsidP="00B877A2">
      <w:pPr>
        <w:spacing w:line="480" w:lineRule="auto"/>
        <w:contextualSpacing/>
        <w:jc w:val="both"/>
        <w:rPr>
          <w:bCs/>
          <w:color w:val="000000"/>
        </w:rPr>
      </w:pPr>
    </w:p>
    <w:p w14:paraId="6021A477" w14:textId="79EAA875" w:rsidR="00B877A2" w:rsidRPr="00B877A2" w:rsidRDefault="00B877A2" w:rsidP="00B877A2">
      <w:pPr>
        <w:spacing w:line="480" w:lineRule="auto"/>
        <w:contextualSpacing/>
        <w:jc w:val="both"/>
        <w:rPr>
          <w:bCs/>
          <w:color w:val="000000"/>
        </w:rPr>
      </w:pPr>
      <w:r>
        <w:rPr>
          <w:bCs/>
          <w:color w:val="000000"/>
        </w:rPr>
        <w:t>[</w:t>
      </w:r>
      <w:r w:rsidR="00997B66">
        <w:rPr>
          <w:bCs/>
          <w:color w:val="000000"/>
        </w:rPr>
        <w:t>1</w:t>
      </w:r>
      <w:r w:rsidR="0051273B">
        <w:rPr>
          <w:bCs/>
          <w:color w:val="000000"/>
        </w:rPr>
        <w:t>2</w:t>
      </w:r>
      <w:r>
        <w:rPr>
          <w:bCs/>
          <w:color w:val="000000"/>
        </w:rPr>
        <w:t xml:space="preserve">] </w:t>
      </w:r>
      <w:r w:rsidRPr="00B877A2">
        <w:rPr>
          <w:bCs/>
          <w:color w:val="000000"/>
        </w:rPr>
        <w:t xml:space="preserve">The </w:t>
      </w:r>
      <w:r>
        <w:rPr>
          <w:bCs/>
          <w:color w:val="000000"/>
        </w:rPr>
        <w:t xml:space="preserve">respondent submitted that the only issue that the applicants have raised are  that </w:t>
      </w:r>
      <w:r w:rsidRPr="00B877A2">
        <w:rPr>
          <w:bCs/>
          <w:color w:val="000000"/>
        </w:rPr>
        <w:t xml:space="preserve">their </w:t>
      </w:r>
      <w:r w:rsidRPr="00B877A2">
        <w:rPr>
          <w:bCs/>
          <w:i/>
          <w:iCs/>
          <w:color w:val="000000"/>
        </w:rPr>
        <w:t>in</w:t>
      </w:r>
      <w:r w:rsidRPr="00B877A2">
        <w:rPr>
          <w:bCs/>
          <w:color w:val="000000"/>
        </w:rPr>
        <w:t xml:space="preserve"> </w:t>
      </w:r>
      <w:r w:rsidRPr="00B877A2">
        <w:rPr>
          <w:bCs/>
          <w:i/>
          <w:iCs/>
          <w:color w:val="000000"/>
        </w:rPr>
        <w:t>limine</w:t>
      </w:r>
      <w:r w:rsidRPr="00B877A2">
        <w:rPr>
          <w:bCs/>
          <w:color w:val="000000"/>
        </w:rPr>
        <w:t xml:space="preserve"> points were not</w:t>
      </w:r>
      <w:r>
        <w:rPr>
          <w:bCs/>
          <w:color w:val="000000"/>
        </w:rPr>
        <w:t xml:space="preserve"> </w:t>
      </w:r>
      <w:r w:rsidRPr="00B877A2">
        <w:rPr>
          <w:bCs/>
          <w:color w:val="000000"/>
        </w:rPr>
        <w:t xml:space="preserve">considered. </w:t>
      </w:r>
      <w:r>
        <w:rPr>
          <w:bCs/>
          <w:color w:val="000000"/>
        </w:rPr>
        <w:t xml:space="preserve">They submitted that </w:t>
      </w:r>
      <w:r w:rsidRPr="00B877A2">
        <w:rPr>
          <w:bCs/>
          <w:color w:val="000000"/>
        </w:rPr>
        <w:t>the court knows the la</w:t>
      </w:r>
      <w:r>
        <w:rPr>
          <w:bCs/>
          <w:color w:val="000000"/>
        </w:rPr>
        <w:t xml:space="preserve">w, </w:t>
      </w:r>
      <w:r w:rsidRPr="00B877A2">
        <w:rPr>
          <w:bCs/>
          <w:color w:val="000000"/>
        </w:rPr>
        <w:t>reads</w:t>
      </w:r>
      <w:r>
        <w:rPr>
          <w:bCs/>
          <w:color w:val="000000"/>
        </w:rPr>
        <w:t xml:space="preserve"> </w:t>
      </w:r>
      <w:r w:rsidRPr="00B877A2">
        <w:rPr>
          <w:bCs/>
          <w:color w:val="000000"/>
        </w:rPr>
        <w:t xml:space="preserve">the papers before the hearing, and that the </w:t>
      </w:r>
      <w:r w:rsidRPr="00B877A2">
        <w:rPr>
          <w:bCs/>
          <w:i/>
          <w:iCs/>
          <w:color w:val="000000"/>
        </w:rPr>
        <w:t>in</w:t>
      </w:r>
      <w:r w:rsidRPr="00B877A2">
        <w:rPr>
          <w:bCs/>
          <w:color w:val="000000"/>
        </w:rPr>
        <w:t xml:space="preserve"> </w:t>
      </w:r>
      <w:r w:rsidRPr="00B877A2">
        <w:rPr>
          <w:bCs/>
          <w:i/>
          <w:iCs/>
          <w:color w:val="000000"/>
        </w:rPr>
        <w:t>limine</w:t>
      </w:r>
      <w:r w:rsidRPr="00B877A2">
        <w:rPr>
          <w:bCs/>
          <w:color w:val="000000"/>
        </w:rPr>
        <w:t xml:space="preserve"> points were raised</w:t>
      </w:r>
      <w:r>
        <w:rPr>
          <w:bCs/>
          <w:color w:val="000000"/>
        </w:rPr>
        <w:t xml:space="preserve"> </w:t>
      </w:r>
      <w:r w:rsidRPr="00B877A2">
        <w:rPr>
          <w:bCs/>
          <w:color w:val="000000"/>
        </w:rPr>
        <w:t>based on foreign law that is not applicable in South Africa</w:t>
      </w:r>
      <w:r>
        <w:rPr>
          <w:bCs/>
          <w:color w:val="000000"/>
        </w:rPr>
        <w:t xml:space="preserve">. That the applicants have failed to establish the elements necessary for a leave to appeal to succeed. </w:t>
      </w:r>
      <w:r w:rsidR="00E0782C">
        <w:rPr>
          <w:bCs/>
          <w:color w:val="000000"/>
        </w:rPr>
        <w:t xml:space="preserve">The application should be dismissed and costs order on an attorney and client scale with the counsel paying 20% of that cost for bringing a baseless application.  </w:t>
      </w:r>
    </w:p>
    <w:p w14:paraId="1FE015F3" w14:textId="77777777" w:rsidR="0051273B" w:rsidRPr="009F10A1" w:rsidRDefault="0051273B" w:rsidP="00965FC6">
      <w:pPr>
        <w:spacing w:line="360" w:lineRule="auto"/>
        <w:jc w:val="both"/>
        <w:rPr>
          <w:b/>
          <w:bCs/>
          <w:lang w:eastAsia="en-GB"/>
        </w:rPr>
      </w:pPr>
    </w:p>
    <w:p w14:paraId="0507C029" w14:textId="13C676F9" w:rsidR="00965FC6" w:rsidRPr="00196B76" w:rsidRDefault="00965FC6" w:rsidP="00965FC6">
      <w:pPr>
        <w:spacing w:line="360" w:lineRule="auto"/>
        <w:jc w:val="both"/>
        <w:rPr>
          <w:b/>
          <w:bCs/>
          <w:lang w:eastAsia="en-GB"/>
        </w:rPr>
      </w:pPr>
      <w:r w:rsidRPr="009F10A1">
        <w:rPr>
          <w:b/>
          <w:bCs/>
          <w:lang w:eastAsia="en-GB"/>
        </w:rPr>
        <w:t>Leave to appeal</w:t>
      </w:r>
    </w:p>
    <w:p w14:paraId="15638B7C" w14:textId="499BE532" w:rsidR="00965FC6" w:rsidRDefault="0051273B" w:rsidP="0051273B">
      <w:pPr>
        <w:spacing w:line="360" w:lineRule="auto"/>
        <w:jc w:val="both"/>
      </w:pPr>
      <w:r>
        <w:t xml:space="preserve">[13] </w:t>
      </w:r>
      <w:r w:rsidR="00965FC6">
        <w:t>With that background it is app</w:t>
      </w:r>
      <w:r w:rsidR="00965FC6" w:rsidRPr="00680640">
        <w:t xml:space="preserve">ropriate now to consider </w:t>
      </w:r>
      <w:hyperlink r:id="rId10" w:anchor="s17" w:history="1">
        <w:r w:rsidR="00965FC6" w:rsidRPr="00680640">
          <w:rPr>
            <w:rStyle w:val="Hyperlink"/>
            <w:rFonts w:ascii="Arial" w:hAnsi="Arial" w:cs="Arial"/>
            <w:bCs/>
            <w:color w:val="auto"/>
            <w:u w:val="none"/>
          </w:rPr>
          <w:t>Section 17(1)</w:t>
        </w:r>
      </w:hyperlink>
      <w:r w:rsidR="00965FC6" w:rsidRPr="00680640">
        <w:rPr>
          <w:rStyle w:val="apple-converted-space"/>
        </w:rPr>
        <w:t> </w:t>
      </w:r>
      <w:r w:rsidR="00965FC6" w:rsidRPr="00680640">
        <w:t>of the</w:t>
      </w:r>
      <w:r w:rsidR="00965FC6" w:rsidRPr="00680640">
        <w:rPr>
          <w:rStyle w:val="apple-converted-space"/>
        </w:rPr>
        <w:t> </w:t>
      </w:r>
      <w:hyperlink r:id="rId11" w:history="1">
        <w:r w:rsidR="00965FC6" w:rsidRPr="00680640">
          <w:rPr>
            <w:rStyle w:val="Hyperlink"/>
            <w:rFonts w:ascii="Arial" w:hAnsi="Arial" w:cs="Arial"/>
            <w:bCs/>
            <w:color w:val="auto"/>
            <w:u w:val="none"/>
          </w:rPr>
          <w:t>Superior Courts Act 10 of</w:t>
        </w:r>
        <w:r w:rsidR="00965FC6" w:rsidRPr="00680640">
          <w:rPr>
            <w:rStyle w:val="apple-converted-space"/>
            <w:bCs/>
          </w:rPr>
          <w:t> </w:t>
        </w:r>
      </w:hyperlink>
      <w:hyperlink r:id="rId12" w:history="1">
        <w:r w:rsidR="00965FC6" w:rsidRPr="00680640">
          <w:rPr>
            <w:rStyle w:val="Hyperlink"/>
            <w:rFonts w:ascii="Arial" w:hAnsi="Arial" w:cs="Arial"/>
            <w:bCs/>
            <w:color w:val="auto"/>
            <w:u w:val="none"/>
          </w:rPr>
          <w:t>2013</w:t>
        </w:r>
      </w:hyperlink>
      <w:r w:rsidR="00965FC6">
        <w:t>,which provides the test for an appeal as follows:</w:t>
      </w:r>
    </w:p>
    <w:p w14:paraId="26EADC6E" w14:textId="77777777" w:rsidR="00965FC6" w:rsidRPr="00997B66" w:rsidRDefault="00965FC6" w:rsidP="00965FC6">
      <w:pPr>
        <w:pStyle w:val="NormalWeb"/>
        <w:spacing w:before="144" w:beforeAutospacing="0" w:after="0" w:afterAutospacing="0" w:line="360" w:lineRule="auto"/>
        <w:ind w:left="1985" w:hanging="774"/>
        <w:jc w:val="both"/>
        <w:rPr>
          <w:rFonts w:ascii="Arial" w:hAnsi="Arial" w:cs="Arial"/>
          <w:color w:val="242121"/>
          <w:sz w:val="22"/>
          <w:szCs w:val="22"/>
        </w:rPr>
      </w:pPr>
      <w:r>
        <w:rPr>
          <w:rFonts w:ascii="Arial" w:hAnsi="Arial" w:cs="Arial"/>
          <w:i/>
          <w:iCs/>
          <w:color w:val="242121"/>
          <w:sz w:val="22"/>
          <w:szCs w:val="22"/>
        </w:rPr>
        <w:t>“</w:t>
      </w:r>
      <w:r w:rsidRPr="00997B66">
        <w:rPr>
          <w:rFonts w:ascii="Arial" w:hAnsi="Arial" w:cs="Arial"/>
          <w:color w:val="242121"/>
          <w:sz w:val="22"/>
          <w:szCs w:val="22"/>
        </w:rPr>
        <w:t>(1)      Leave to appeal may only be given where the judge or judges concerned are of the opinion that-</w:t>
      </w:r>
    </w:p>
    <w:p w14:paraId="1B172D46" w14:textId="77777777" w:rsidR="00965FC6" w:rsidRPr="00997B66" w:rsidRDefault="00965FC6" w:rsidP="00965FC6">
      <w:pPr>
        <w:pStyle w:val="NormalWeb"/>
        <w:spacing w:before="144" w:beforeAutospacing="0" w:after="0" w:afterAutospacing="0" w:line="360" w:lineRule="auto"/>
        <w:ind w:left="720" w:firstLine="491"/>
        <w:jc w:val="both"/>
        <w:rPr>
          <w:rFonts w:ascii="Arial" w:hAnsi="Arial" w:cs="Arial"/>
          <w:color w:val="242121"/>
          <w:sz w:val="22"/>
          <w:szCs w:val="22"/>
        </w:rPr>
      </w:pPr>
      <w:r w:rsidRPr="00997B66">
        <w:rPr>
          <w:rFonts w:ascii="Arial" w:hAnsi="Arial" w:cs="Arial"/>
          <w:color w:val="242121"/>
          <w:sz w:val="22"/>
          <w:szCs w:val="22"/>
        </w:rPr>
        <w:t xml:space="preserve">             (a)</w:t>
      </w:r>
    </w:p>
    <w:p w14:paraId="63308A94" w14:textId="77777777" w:rsidR="00965FC6" w:rsidRPr="00997B66" w:rsidRDefault="00965FC6" w:rsidP="00965FC6">
      <w:pPr>
        <w:pStyle w:val="NormalWeb"/>
        <w:spacing w:before="144" w:beforeAutospacing="0" w:after="0" w:afterAutospacing="0" w:line="360" w:lineRule="auto"/>
        <w:ind w:left="3600" w:hanging="720"/>
        <w:jc w:val="both"/>
        <w:rPr>
          <w:rFonts w:ascii="Arial" w:hAnsi="Arial" w:cs="Arial"/>
          <w:color w:val="242121"/>
          <w:sz w:val="22"/>
          <w:szCs w:val="22"/>
        </w:rPr>
      </w:pPr>
      <w:r w:rsidRPr="00997B66">
        <w:rPr>
          <w:rFonts w:ascii="Arial" w:hAnsi="Arial" w:cs="Arial"/>
          <w:color w:val="242121"/>
          <w:sz w:val="22"/>
          <w:szCs w:val="22"/>
        </w:rPr>
        <w:t xml:space="preserve">(i) </w:t>
      </w:r>
      <w:r w:rsidRPr="00997B66">
        <w:rPr>
          <w:rFonts w:ascii="Arial" w:hAnsi="Arial" w:cs="Arial"/>
          <w:color w:val="242121"/>
          <w:sz w:val="22"/>
          <w:szCs w:val="22"/>
        </w:rPr>
        <w:tab/>
        <w:t xml:space="preserve">the appeal </w:t>
      </w:r>
      <w:r w:rsidRPr="00997B66">
        <w:rPr>
          <w:rFonts w:ascii="Arial" w:hAnsi="Arial" w:cs="Arial"/>
          <w:color w:val="242121"/>
          <w:sz w:val="22"/>
          <w:szCs w:val="22"/>
          <w:u w:val="single"/>
        </w:rPr>
        <w:t>would have</w:t>
      </w:r>
      <w:r w:rsidRPr="00997B66">
        <w:rPr>
          <w:rStyle w:val="apple-converted-space"/>
          <w:color w:val="242121"/>
          <w:sz w:val="22"/>
          <w:szCs w:val="22"/>
        </w:rPr>
        <w:t> </w:t>
      </w:r>
      <w:r w:rsidRPr="00997B66">
        <w:rPr>
          <w:rFonts w:ascii="Arial" w:hAnsi="Arial" w:cs="Arial"/>
          <w:color w:val="242121"/>
          <w:sz w:val="22"/>
          <w:szCs w:val="22"/>
          <w:u w:val="single"/>
        </w:rPr>
        <w:t>a</w:t>
      </w:r>
      <w:r w:rsidRPr="00997B66">
        <w:rPr>
          <w:rStyle w:val="apple-converted-space"/>
          <w:color w:val="242121"/>
          <w:sz w:val="22"/>
          <w:szCs w:val="22"/>
        </w:rPr>
        <w:t> </w:t>
      </w:r>
      <w:r w:rsidRPr="00997B66">
        <w:rPr>
          <w:rFonts w:ascii="Arial" w:hAnsi="Arial" w:cs="Arial"/>
          <w:color w:val="242121"/>
          <w:sz w:val="22"/>
          <w:szCs w:val="22"/>
          <w:u w:val="single"/>
        </w:rPr>
        <w:t>reasonable prospect of</w:t>
      </w:r>
      <w:r w:rsidRPr="00997B66">
        <w:rPr>
          <w:rStyle w:val="apple-converted-space"/>
          <w:color w:val="242121"/>
          <w:sz w:val="22"/>
          <w:szCs w:val="22"/>
        </w:rPr>
        <w:t> </w:t>
      </w:r>
      <w:r w:rsidRPr="00997B66">
        <w:rPr>
          <w:rFonts w:ascii="Arial" w:hAnsi="Arial" w:cs="Arial"/>
          <w:color w:val="242121"/>
          <w:sz w:val="22"/>
          <w:szCs w:val="22"/>
          <w:u w:val="single"/>
        </w:rPr>
        <w:t>success</w:t>
      </w:r>
      <w:r w:rsidRPr="00997B66">
        <w:rPr>
          <w:rFonts w:ascii="Arial" w:hAnsi="Arial" w:cs="Arial"/>
          <w:color w:val="242121"/>
          <w:sz w:val="22"/>
          <w:szCs w:val="22"/>
        </w:rPr>
        <w:t>;</w:t>
      </w:r>
      <w:r w:rsidRPr="00997B66">
        <w:rPr>
          <w:rStyle w:val="apple-converted-space"/>
          <w:color w:val="242121"/>
          <w:sz w:val="22"/>
          <w:szCs w:val="22"/>
        </w:rPr>
        <w:t> </w:t>
      </w:r>
      <w:r w:rsidRPr="00997B66">
        <w:rPr>
          <w:rFonts w:ascii="Arial" w:hAnsi="Arial" w:cs="Arial"/>
          <w:color w:val="242121"/>
          <w:sz w:val="22"/>
          <w:szCs w:val="22"/>
        </w:rPr>
        <w:t>or</w:t>
      </w:r>
    </w:p>
    <w:p w14:paraId="584139CA" w14:textId="77777777" w:rsidR="00965FC6" w:rsidRPr="00997B66" w:rsidRDefault="00965FC6" w:rsidP="00965FC6">
      <w:pPr>
        <w:pStyle w:val="NormalWeb"/>
        <w:spacing w:before="144" w:beforeAutospacing="0" w:after="0" w:afterAutospacing="0" w:line="360" w:lineRule="auto"/>
        <w:ind w:left="3600" w:hanging="720"/>
        <w:jc w:val="both"/>
        <w:rPr>
          <w:rFonts w:ascii="Arial" w:hAnsi="Arial" w:cs="Arial"/>
          <w:color w:val="242121"/>
          <w:sz w:val="22"/>
          <w:szCs w:val="22"/>
        </w:rPr>
      </w:pPr>
      <w:r w:rsidRPr="00997B66">
        <w:rPr>
          <w:rFonts w:ascii="Arial" w:hAnsi="Arial" w:cs="Arial"/>
          <w:color w:val="242121"/>
          <w:sz w:val="22"/>
          <w:szCs w:val="22"/>
        </w:rPr>
        <w:t>(ii)</w:t>
      </w:r>
      <w:r w:rsidRPr="00997B66">
        <w:rPr>
          <w:rFonts w:ascii="Arial" w:hAnsi="Arial" w:cs="Arial"/>
          <w:color w:val="242121"/>
          <w:sz w:val="22"/>
          <w:szCs w:val="22"/>
        </w:rPr>
        <w:tab/>
        <w:t>there is some</w:t>
      </w:r>
      <w:r w:rsidRPr="00997B66">
        <w:rPr>
          <w:rStyle w:val="apple-converted-space"/>
          <w:color w:val="242121"/>
          <w:sz w:val="22"/>
          <w:szCs w:val="22"/>
        </w:rPr>
        <w:t> </w:t>
      </w:r>
      <w:r w:rsidRPr="00997B66">
        <w:rPr>
          <w:rFonts w:ascii="Arial" w:hAnsi="Arial" w:cs="Arial"/>
          <w:color w:val="242121"/>
          <w:sz w:val="22"/>
          <w:szCs w:val="22"/>
        </w:rPr>
        <w:t>other compelling reason why the appeal should be heard...”</w:t>
      </w:r>
    </w:p>
    <w:p w14:paraId="5952D50B" w14:textId="77777777" w:rsidR="00965FC6" w:rsidRDefault="00965FC6" w:rsidP="00965FC6">
      <w:pPr>
        <w:pStyle w:val="ListParagraph"/>
        <w:tabs>
          <w:tab w:val="right" w:pos="0"/>
        </w:tabs>
        <w:spacing w:line="480" w:lineRule="auto"/>
        <w:ind w:left="930"/>
        <w:jc w:val="both"/>
        <w:rPr>
          <w:rFonts w:ascii="Arial" w:hAnsi="Arial" w:cs="Arial"/>
          <w:sz w:val="24"/>
          <w:szCs w:val="24"/>
        </w:rPr>
      </w:pPr>
    </w:p>
    <w:p w14:paraId="59C3FEF4" w14:textId="33ED6910" w:rsidR="00965FC6" w:rsidRDefault="0051273B" w:rsidP="0051273B">
      <w:pPr>
        <w:tabs>
          <w:tab w:val="right" w:pos="0"/>
        </w:tabs>
        <w:spacing w:line="480" w:lineRule="auto"/>
        <w:jc w:val="both"/>
        <w:rPr>
          <w:lang w:val="en-GB"/>
        </w:rPr>
      </w:pPr>
      <w:r>
        <w:t xml:space="preserve">[14] </w:t>
      </w:r>
      <w:r w:rsidR="00965FC6">
        <w:t>In considering the provisions of s 17(1)</w:t>
      </w:r>
      <w:r w:rsidR="00965FC6">
        <w:rPr>
          <w:i/>
        </w:rPr>
        <w:t>(a)</w:t>
      </w:r>
      <w:r w:rsidR="00965FC6">
        <w:t xml:space="preserve">(ii) of the Superior Courts Act which provide that leave to appeal may be granted, notwithstanding the Court’s view of the prospects of success, where there are nonetheless compelling reasons why an appeal should be heard. There is established jurisprudence in this Court that where an appeal has become moot the Court has a discretion to hear and dispose of it on its merits. </w:t>
      </w:r>
    </w:p>
    <w:p w14:paraId="4F18CF6D" w14:textId="77777777" w:rsidR="00965FC6" w:rsidRDefault="00965FC6" w:rsidP="00965FC6">
      <w:pPr>
        <w:spacing w:line="480" w:lineRule="auto"/>
        <w:ind w:left="720" w:hanging="720"/>
        <w:jc w:val="both"/>
      </w:pPr>
    </w:p>
    <w:p w14:paraId="7AEF88D5" w14:textId="3BF18AD6" w:rsidR="0051273B" w:rsidRDefault="0051273B" w:rsidP="00196B76">
      <w:pPr>
        <w:spacing w:line="480" w:lineRule="auto"/>
        <w:jc w:val="both"/>
      </w:pPr>
      <w:r>
        <w:t xml:space="preserve">[15] </w:t>
      </w:r>
      <w:r w:rsidR="00965FC6">
        <w:t>The merits of the appeal remain vitally important and will often be decisive. Furthermore, where the purpose of the appeal is to raise fresh arguments that have not been canvassed previously before the Court, consideration must be given to whether the interests of justice favour the grant of leave to appeal. It has frequently been said by the Constitutional Court that it is undesirable for it as the highest court of appeal in South Africa to be asked to decide legal issues as a court of both first and last instance. That is equally true of this Court. But there is another consideration. It is that if a point of law emerges from the undisputed facts before the court it is undesirable that the case be determined without considering that point of law. The reason is that it may lead to the case being decided on the basis of a legal error on the part of one of the parties in failing to identify and raise the point at an appropriate earlier stage.</w:t>
      </w:r>
      <w:r w:rsidR="00965FC6">
        <w:rPr>
          <w:rStyle w:val="FootnoteReference"/>
        </w:rPr>
        <w:footnoteReference w:id="2"/>
      </w:r>
      <w:r w:rsidR="00965FC6">
        <w:t xml:space="preserve"> But the court must be satisfied that the point truly emerges on the papers, that the facts relevant to the legal point have been fully canvassed and that no prejudice will be occasioned to the other parties by permitting the point to be raised and argued.</w:t>
      </w:r>
      <w:r w:rsidR="00965FC6">
        <w:rPr>
          <w:rStyle w:val="FootnoteReference"/>
        </w:rPr>
        <w:footnoteReference w:id="3"/>
      </w:r>
      <w:r w:rsidR="00965FC6">
        <w:t xml:space="preserve"> </w:t>
      </w:r>
    </w:p>
    <w:p w14:paraId="3C67FD53" w14:textId="77777777" w:rsidR="00196B76" w:rsidRPr="00196B76" w:rsidRDefault="00196B76" w:rsidP="00196B76">
      <w:pPr>
        <w:spacing w:line="480" w:lineRule="auto"/>
        <w:jc w:val="both"/>
      </w:pPr>
    </w:p>
    <w:p w14:paraId="24DFC14B" w14:textId="514FBC16" w:rsidR="00965FC6" w:rsidRPr="00153E41" w:rsidRDefault="00965FC6" w:rsidP="00965FC6">
      <w:pPr>
        <w:widowControl/>
        <w:shd w:val="clear" w:color="auto" w:fill="FFFFFF"/>
        <w:autoSpaceDE/>
        <w:autoSpaceDN/>
        <w:adjustRightInd/>
        <w:spacing w:before="144" w:after="288" w:line="480" w:lineRule="auto"/>
        <w:jc w:val="both"/>
        <w:rPr>
          <w:rFonts w:eastAsia="Times New Roman"/>
          <w:color w:val="242121"/>
          <w:sz w:val="27"/>
          <w:szCs w:val="27"/>
        </w:rPr>
      </w:pPr>
      <w:r w:rsidRPr="00153E41">
        <w:rPr>
          <w:rFonts w:eastAsia="Times New Roman"/>
          <w:b/>
          <w:bCs/>
          <w:color w:val="242121"/>
        </w:rPr>
        <w:t>Legal Principles</w:t>
      </w:r>
      <w:r w:rsidR="0051273B">
        <w:rPr>
          <w:rFonts w:eastAsia="Times New Roman"/>
          <w:b/>
          <w:bCs/>
          <w:color w:val="242121"/>
        </w:rPr>
        <w:t xml:space="preserve"> and analysis</w:t>
      </w:r>
    </w:p>
    <w:p w14:paraId="2885DEBA" w14:textId="28ED9D7E" w:rsidR="0051273B" w:rsidRPr="0051273B" w:rsidRDefault="0051273B" w:rsidP="0051273B">
      <w:pPr>
        <w:widowControl/>
        <w:shd w:val="clear" w:color="auto" w:fill="FFFFFF"/>
        <w:autoSpaceDE/>
        <w:autoSpaceDN/>
        <w:adjustRightInd/>
        <w:spacing w:before="144" w:after="288" w:line="480" w:lineRule="auto"/>
        <w:jc w:val="both"/>
        <w:rPr>
          <w:rFonts w:eastAsia="Times New Roman"/>
          <w:color w:val="242121"/>
          <w:lang w:val="en-US"/>
        </w:rPr>
      </w:pPr>
      <w:r w:rsidRPr="0051273B">
        <w:rPr>
          <w:rFonts w:eastAsia="Times New Roman"/>
          <w:noProof/>
          <w:color w:val="242121"/>
          <w:lang w:val="en-US" w:eastAsia="en-US"/>
        </w:rPr>
        <mc:AlternateContent>
          <mc:Choice Requires="wpg">
            <w:drawing>
              <wp:anchor distT="0" distB="0" distL="114300" distR="114300" simplePos="0" relativeHeight="251658240" behindDoc="1" locked="0" layoutInCell="1" allowOverlap="1" wp14:anchorId="448190C3" wp14:editId="399B68E6">
                <wp:simplePos x="0" y="0"/>
                <wp:positionH relativeFrom="page">
                  <wp:posOffset>914400</wp:posOffset>
                </wp:positionH>
                <wp:positionV relativeFrom="paragraph">
                  <wp:posOffset>2194560</wp:posOffset>
                </wp:positionV>
                <wp:extent cx="1828800" cy="0"/>
                <wp:effectExtent l="0" t="0" r="12700" b="1270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3456"/>
                          <a:chExt cx="2880" cy="0"/>
                        </a:xfrm>
                      </wpg:grpSpPr>
                      <wps:wsp>
                        <wps:cNvPr id="16" name="Freeform 15"/>
                        <wps:cNvSpPr>
                          <a:spLocks/>
                        </wps:cNvSpPr>
                        <wps:spPr bwMode="auto">
                          <a:xfrm>
                            <a:off x="1440" y="3456"/>
                            <a:ext cx="2880" cy="0"/>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5C37F8E6" id="Group 14" o:spid="_x0000_s1026" style="position:absolute;margin-left:1in;margin-top:172.8pt;width:2in;height:0;z-index:-251658240;mso-position-horizontal-relative:page" coordorigin="1440,3456"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">
                <v:shape id="Freeform 15" o:spid="_x0000_s1027" style="position:absolute;left:1440;top:3456;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" path="m,l2881,e" filled="f" strokeweight=".82pt">
                  <v:path arrowok="t" o:connecttype="custom" o:connectlocs="0,0;2881,0" o:connectangles="0,0"/>
                </v:shape>
                <w10:wrap anchorx="page"/>
              </v:group>
            </w:pict>
          </mc:Fallback>
        </mc:AlternateContent>
      </w:r>
      <w:r>
        <w:rPr>
          <w:rFonts w:eastAsia="Times New Roman"/>
          <w:color w:val="242121"/>
        </w:rPr>
        <w:t xml:space="preserve">[16] </w:t>
      </w:r>
      <w:r w:rsidRPr="0051273B">
        <w:rPr>
          <w:rFonts w:eastAsia="Times New Roman"/>
          <w:color w:val="242121"/>
          <w:lang w:val="en-US"/>
        </w:rPr>
        <w:t xml:space="preserve">The first issue which this court will determine is whether the ruling of the court </w:t>
      </w:r>
      <w:r w:rsidRPr="0051273B">
        <w:rPr>
          <w:rFonts w:eastAsia="Times New Roman"/>
          <w:i/>
          <w:color w:val="242121"/>
          <w:lang w:val="en-US"/>
        </w:rPr>
        <w:t>a quo</w:t>
      </w:r>
      <w:r>
        <w:rPr>
          <w:rFonts w:eastAsia="Times New Roman"/>
          <w:i/>
          <w:color w:val="242121"/>
          <w:lang w:val="en-US"/>
        </w:rPr>
        <w:t xml:space="preserve"> </w:t>
      </w:r>
      <w:r>
        <w:rPr>
          <w:rFonts w:eastAsia="Times New Roman"/>
          <w:color w:val="242121"/>
          <w:lang w:val="en-US"/>
        </w:rPr>
        <w:t>order of 17 March 2022</w:t>
      </w:r>
      <w:r w:rsidRPr="0051273B">
        <w:rPr>
          <w:rFonts w:eastAsia="Times New Roman"/>
          <w:color w:val="242121"/>
          <w:lang w:val="en-US"/>
        </w:rPr>
        <w:t xml:space="preserve"> is  appealable.  In </w:t>
      </w:r>
      <w:r w:rsidRPr="0051273B">
        <w:rPr>
          <w:rFonts w:eastAsia="Times New Roman"/>
          <w:i/>
          <w:color w:val="242121"/>
          <w:lang w:val="en-US"/>
        </w:rPr>
        <w:t>Crockery Gladstone Farm v Rainbow Farms (Pty) Ltd</w:t>
      </w:r>
      <w:r>
        <w:rPr>
          <w:rStyle w:val="FootnoteReference"/>
          <w:rFonts w:eastAsia="Times New Roman"/>
          <w:i/>
          <w:color w:val="242121"/>
          <w:lang w:val="en-US"/>
        </w:rPr>
        <w:footnoteReference w:id="4"/>
      </w:r>
      <w:r w:rsidRPr="0051273B">
        <w:rPr>
          <w:rFonts w:eastAsia="Times New Roman"/>
          <w:color w:val="242121"/>
          <w:lang w:val="en-US"/>
        </w:rPr>
        <w:t xml:space="preserve">  the court in relation to the appealability of an order held that on the </w:t>
      </w:r>
      <w:r w:rsidRPr="0051273B">
        <w:rPr>
          <w:rFonts w:eastAsia="Times New Roman"/>
          <w:color w:val="242121"/>
          <w:lang w:val="en-US"/>
        </w:rPr>
        <w:lastRenderedPageBreak/>
        <w:t xml:space="preserve">test articulated in </w:t>
      </w:r>
      <w:r w:rsidRPr="0051273B">
        <w:rPr>
          <w:rFonts w:eastAsia="Times New Roman"/>
          <w:i/>
          <w:color w:val="242121"/>
          <w:lang w:val="en-US"/>
        </w:rPr>
        <w:t>Zweni v The Minister of Law and Order</w:t>
      </w:r>
      <w:r>
        <w:rPr>
          <w:rStyle w:val="FootnoteReference"/>
          <w:rFonts w:eastAsia="Times New Roman"/>
          <w:i/>
          <w:color w:val="242121"/>
          <w:lang w:val="en-US"/>
        </w:rPr>
        <w:footnoteReference w:id="5"/>
      </w:r>
      <w:r w:rsidRPr="0051273B">
        <w:rPr>
          <w:rFonts w:eastAsia="Times New Roman"/>
          <w:i/>
          <w:color w:val="242121"/>
          <w:lang w:val="en-US"/>
        </w:rPr>
        <w:t xml:space="preserve">, </w:t>
      </w:r>
      <w:r w:rsidRPr="0051273B">
        <w:rPr>
          <w:rFonts w:eastAsia="Times New Roman"/>
          <w:color w:val="242121"/>
          <w:lang w:val="en-US"/>
        </w:rPr>
        <w:t>the order is not appealable if it has the</w:t>
      </w:r>
      <w:r>
        <w:rPr>
          <w:rFonts w:eastAsia="Times New Roman"/>
          <w:color w:val="242121"/>
          <w:lang w:val="en-US"/>
        </w:rPr>
        <w:t xml:space="preserve"> </w:t>
      </w:r>
      <w:r w:rsidRPr="0051273B">
        <w:rPr>
          <w:rFonts w:eastAsia="Times New Roman"/>
          <w:color w:val="242121"/>
          <w:lang w:val="en-US"/>
        </w:rPr>
        <w:t>following attributes (a) not final in effect and is not open to alteration by the court</w:t>
      </w:r>
      <w:r>
        <w:rPr>
          <w:rFonts w:eastAsia="Times New Roman"/>
          <w:color w:val="242121"/>
          <w:lang w:val="en-US"/>
        </w:rPr>
        <w:t xml:space="preserve"> </w:t>
      </w:r>
      <w:r w:rsidRPr="0051273B">
        <w:rPr>
          <w:rFonts w:eastAsia="Times New Roman"/>
          <w:color w:val="242121"/>
          <w:lang w:val="en-US"/>
        </w:rPr>
        <w:t>;  (b)  not  definitive  of  the  rights  of  the  parties;  and  (c)  does  not  have  the effect of disposing of a substantial portion of the relief claimed.</w:t>
      </w:r>
      <w:r>
        <w:rPr>
          <w:rFonts w:eastAsia="Times New Roman"/>
          <w:color w:val="242121"/>
          <w:lang w:val="en-US"/>
        </w:rPr>
        <w:t xml:space="preserve"> The order is not final or definitive of the rights of the applicant’s in that there is no reason why the applicants cannot or did not directly appeal the decision of Baqwa J on 18 December 2020. The order handed down essentially dismissed the respondent’s application for leave to have that order of Baqwa J </w:t>
      </w:r>
      <w:r w:rsidR="009F10A1">
        <w:rPr>
          <w:rFonts w:eastAsia="Times New Roman"/>
          <w:color w:val="242121"/>
          <w:lang w:val="en-US"/>
        </w:rPr>
        <w:t xml:space="preserve">is still valid and </w:t>
      </w:r>
      <w:r>
        <w:rPr>
          <w:rFonts w:eastAsia="Times New Roman"/>
          <w:color w:val="242121"/>
          <w:lang w:val="en-US"/>
        </w:rPr>
        <w:t xml:space="preserve">executable, the effect of which it did not need to bring the section 18 application at all as the applicants in this matter did not appeal that decision and therefore such decision remained valid. Therefore, the applicant’s still have the right to directly appeal that decision and the order of 17 March 2022 does not affect its right and therefore is not final nor is it definitive in respect of the applicant’s rights and it is for this reason that the order is not appealable. </w:t>
      </w:r>
    </w:p>
    <w:p w14:paraId="5D00B8D1" w14:textId="1816D704" w:rsidR="0051273B" w:rsidRPr="0051273B" w:rsidRDefault="0051273B" w:rsidP="0051273B">
      <w:pPr>
        <w:widowControl/>
        <w:shd w:val="clear" w:color="auto" w:fill="FFFFFF"/>
        <w:autoSpaceDE/>
        <w:autoSpaceDN/>
        <w:adjustRightInd/>
        <w:spacing w:before="144" w:after="288" w:line="480" w:lineRule="auto"/>
        <w:jc w:val="both"/>
        <w:rPr>
          <w:rFonts w:eastAsia="Times New Roman"/>
          <w:color w:val="242121"/>
          <w:lang w:val="en-US"/>
        </w:rPr>
      </w:pPr>
      <w:r>
        <w:rPr>
          <w:rFonts w:eastAsia="Times New Roman"/>
          <w:color w:val="242121"/>
          <w:lang w:val="en-US"/>
        </w:rPr>
        <w:t>[17]</w:t>
      </w:r>
      <w:r w:rsidRPr="0051273B">
        <w:rPr>
          <w:rFonts w:eastAsia="Times New Roman"/>
          <w:color w:val="242121"/>
          <w:lang w:val="en-US"/>
        </w:rPr>
        <w:t xml:space="preserve">  In motion proceedings  affidavits constitute evidence. By holding that there is no proper application before court which is as a result of an alleged defective founding affidavit, imply that there is no evidence to substantiate the orders which the appellant was praying for in its notice of motion. The affidavit</w:t>
      </w:r>
      <w:r>
        <w:rPr>
          <w:rFonts w:eastAsia="Times New Roman"/>
          <w:color w:val="242121"/>
          <w:lang w:val="en-US"/>
        </w:rPr>
        <w:t xml:space="preserve">s </w:t>
      </w:r>
      <w:r w:rsidRPr="0051273B">
        <w:rPr>
          <w:rFonts w:eastAsia="Times New Roman"/>
          <w:color w:val="242121"/>
          <w:lang w:val="en-US"/>
        </w:rPr>
        <w:t>at issue is the founding affidavit</w:t>
      </w:r>
      <w:r>
        <w:rPr>
          <w:rFonts w:eastAsia="Times New Roman"/>
          <w:color w:val="242121"/>
          <w:lang w:val="en-US"/>
        </w:rPr>
        <w:t xml:space="preserve"> and replying affidavit</w:t>
      </w:r>
      <w:r w:rsidRPr="0051273B">
        <w:rPr>
          <w:rFonts w:eastAsia="Times New Roman"/>
          <w:color w:val="242121"/>
          <w:lang w:val="en-US"/>
        </w:rPr>
        <w:t xml:space="preserve"> upon which the </w:t>
      </w:r>
      <w:r>
        <w:rPr>
          <w:rFonts w:eastAsia="Times New Roman"/>
          <w:color w:val="242121"/>
          <w:lang w:val="en-US"/>
        </w:rPr>
        <w:t>respondent</w:t>
      </w:r>
      <w:r w:rsidRPr="0051273B">
        <w:rPr>
          <w:rFonts w:eastAsia="Times New Roman"/>
          <w:color w:val="242121"/>
          <w:lang w:val="en-US"/>
        </w:rPr>
        <w:t>’s case w</w:t>
      </w:r>
      <w:r>
        <w:rPr>
          <w:rFonts w:eastAsia="Times New Roman"/>
          <w:color w:val="242121"/>
          <w:lang w:val="en-US"/>
        </w:rPr>
        <w:t>as</w:t>
      </w:r>
      <w:r w:rsidRPr="0051273B">
        <w:rPr>
          <w:rFonts w:eastAsia="Times New Roman"/>
          <w:color w:val="242121"/>
          <w:lang w:val="en-US"/>
        </w:rPr>
        <w:t xml:space="preserve"> made. </w:t>
      </w:r>
    </w:p>
    <w:p w14:paraId="6DD305F8" w14:textId="189FCB95" w:rsidR="0051273B" w:rsidRPr="0051273B" w:rsidRDefault="0051273B" w:rsidP="0051273B">
      <w:pPr>
        <w:widowControl/>
        <w:shd w:val="clear" w:color="auto" w:fill="FFFFFF"/>
        <w:autoSpaceDE/>
        <w:autoSpaceDN/>
        <w:adjustRightInd/>
        <w:spacing w:before="144" w:after="288" w:line="480" w:lineRule="auto"/>
        <w:jc w:val="both"/>
        <w:rPr>
          <w:rFonts w:eastAsia="Times New Roman"/>
          <w:color w:val="242121"/>
          <w:lang w:val="en-US"/>
        </w:rPr>
      </w:pPr>
      <w:r>
        <w:rPr>
          <w:rFonts w:eastAsia="Times New Roman"/>
          <w:color w:val="242121"/>
          <w:lang w:val="en-US"/>
        </w:rPr>
        <w:t xml:space="preserve">[18] </w:t>
      </w:r>
      <w:r w:rsidRPr="0051273B">
        <w:rPr>
          <w:rFonts w:eastAsia="Times New Roman"/>
          <w:color w:val="242121"/>
          <w:lang w:val="en-US"/>
        </w:rPr>
        <w:t xml:space="preserve">The issues whether the Regulations Governing the Administering of an Oath or Affirmation are peremptory or directory, and whether there was compliance with the  Regulations  by  the  </w:t>
      </w:r>
      <w:r>
        <w:rPr>
          <w:rFonts w:eastAsia="Times New Roman"/>
          <w:color w:val="242121"/>
          <w:lang w:val="en-US"/>
        </w:rPr>
        <w:t>respondent</w:t>
      </w:r>
      <w:r w:rsidRPr="0051273B">
        <w:rPr>
          <w:rFonts w:eastAsia="Times New Roman"/>
          <w:color w:val="242121"/>
          <w:lang w:val="en-US"/>
        </w:rPr>
        <w:t xml:space="preserve">  in  commissioning  its  founding  affidavit  </w:t>
      </w:r>
      <w:r>
        <w:rPr>
          <w:rFonts w:eastAsia="Times New Roman"/>
          <w:color w:val="242121"/>
          <w:lang w:val="en-US"/>
        </w:rPr>
        <w:t xml:space="preserve">and replying </w:t>
      </w:r>
      <w:r>
        <w:rPr>
          <w:rFonts w:eastAsia="Times New Roman"/>
          <w:color w:val="242121"/>
          <w:lang w:val="en-US"/>
        </w:rPr>
        <w:lastRenderedPageBreak/>
        <w:t xml:space="preserve">affidavit </w:t>
      </w:r>
      <w:r w:rsidRPr="0051273B">
        <w:rPr>
          <w:rFonts w:eastAsia="Times New Roman"/>
          <w:color w:val="242121"/>
          <w:lang w:val="en-US"/>
        </w:rPr>
        <w:t>will be dealt with at the same time. Regulation 4(2) of the Regulations Governing the Administering of an Oath or</w:t>
      </w:r>
      <w:r>
        <w:rPr>
          <w:rFonts w:eastAsia="Times New Roman"/>
          <w:color w:val="242121"/>
          <w:lang w:val="en-US"/>
        </w:rPr>
        <w:t xml:space="preserve"> </w:t>
      </w:r>
      <w:r w:rsidRPr="0051273B">
        <w:rPr>
          <w:rFonts w:eastAsia="Times New Roman"/>
          <w:color w:val="242121"/>
          <w:lang w:val="en-US"/>
        </w:rPr>
        <w:t>Affirmation provides that:</w:t>
      </w:r>
    </w:p>
    <w:p w14:paraId="729AF9B2" w14:textId="77777777" w:rsidR="0051273B" w:rsidRPr="0051273B" w:rsidRDefault="0051273B" w:rsidP="0051273B">
      <w:pPr>
        <w:widowControl/>
        <w:shd w:val="clear" w:color="auto" w:fill="FFFFFF"/>
        <w:autoSpaceDE/>
        <w:autoSpaceDN/>
        <w:adjustRightInd/>
        <w:spacing w:before="144" w:after="288" w:line="480" w:lineRule="auto"/>
        <w:ind w:firstLine="720"/>
        <w:jc w:val="both"/>
        <w:rPr>
          <w:rFonts w:eastAsia="Times New Roman"/>
          <w:color w:val="242121"/>
          <w:sz w:val="22"/>
          <w:szCs w:val="22"/>
          <w:lang w:val="en-US"/>
        </w:rPr>
      </w:pPr>
      <w:r w:rsidRPr="0051273B">
        <w:rPr>
          <w:rFonts w:eastAsia="Times New Roman"/>
          <w:color w:val="242121"/>
          <w:sz w:val="22"/>
          <w:szCs w:val="22"/>
          <w:lang w:val="en-US"/>
        </w:rPr>
        <w:t>“(2)The commissioner of oaths shall-</w:t>
      </w:r>
    </w:p>
    <w:p w14:paraId="131B1FC3" w14:textId="2CA5F21A" w:rsidR="0051273B" w:rsidRPr="0051273B" w:rsidRDefault="0051273B" w:rsidP="0051273B">
      <w:pPr>
        <w:widowControl/>
        <w:shd w:val="clear" w:color="auto" w:fill="FFFFFF"/>
        <w:autoSpaceDE/>
        <w:autoSpaceDN/>
        <w:adjustRightInd/>
        <w:spacing w:before="144" w:after="288" w:line="480" w:lineRule="auto"/>
        <w:ind w:left="720"/>
        <w:jc w:val="both"/>
        <w:rPr>
          <w:rFonts w:eastAsia="Times New Roman"/>
          <w:color w:val="242121"/>
          <w:sz w:val="22"/>
          <w:szCs w:val="22"/>
          <w:lang w:val="en-US"/>
        </w:rPr>
      </w:pPr>
      <w:r w:rsidRPr="0051273B">
        <w:rPr>
          <w:rFonts w:eastAsia="Times New Roman"/>
          <w:color w:val="242121"/>
          <w:sz w:val="22"/>
          <w:szCs w:val="22"/>
          <w:lang w:val="en-US"/>
        </w:rPr>
        <w:t>(a)sign the declaration and print his full name and business address below his signature; and</w:t>
      </w:r>
    </w:p>
    <w:p w14:paraId="3FB8DFCC" w14:textId="77777777" w:rsidR="0051273B" w:rsidRDefault="0051273B" w:rsidP="0051273B">
      <w:pPr>
        <w:widowControl/>
        <w:shd w:val="clear" w:color="auto" w:fill="FFFFFF"/>
        <w:autoSpaceDE/>
        <w:autoSpaceDN/>
        <w:adjustRightInd/>
        <w:spacing w:before="144" w:after="288" w:line="480" w:lineRule="auto"/>
        <w:ind w:left="720"/>
        <w:jc w:val="both"/>
        <w:rPr>
          <w:rFonts w:eastAsia="Times New Roman"/>
          <w:color w:val="242121"/>
          <w:sz w:val="22"/>
          <w:szCs w:val="22"/>
          <w:lang w:val="en-US"/>
        </w:rPr>
      </w:pPr>
      <w:r w:rsidRPr="0051273B">
        <w:rPr>
          <w:rFonts w:eastAsia="Times New Roman"/>
          <w:color w:val="242121"/>
          <w:sz w:val="22"/>
          <w:szCs w:val="22"/>
          <w:lang w:val="en-US"/>
        </w:rPr>
        <w:t xml:space="preserve">(b)state his designation and the area for which he holds his appointment or the office held by him if he holds his appointment </w:t>
      </w:r>
      <w:r w:rsidRPr="0051273B">
        <w:rPr>
          <w:rFonts w:eastAsia="Times New Roman"/>
          <w:i/>
          <w:color w:val="242121"/>
          <w:sz w:val="22"/>
          <w:szCs w:val="22"/>
          <w:lang w:val="en-US"/>
        </w:rPr>
        <w:t>ex officio</w:t>
      </w:r>
      <w:r w:rsidRPr="0051273B">
        <w:rPr>
          <w:rFonts w:eastAsia="Times New Roman"/>
          <w:color w:val="242121"/>
          <w:sz w:val="22"/>
          <w:szCs w:val="22"/>
          <w:lang w:val="en-US"/>
        </w:rPr>
        <w:t>.”</w:t>
      </w:r>
    </w:p>
    <w:p w14:paraId="0CD11122" w14:textId="120B13FC" w:rsidR="0051273B" w:rsidRPr="0051273B" w:rsidRDefault="0051273B" w:rsidP="0051273B">
      <w:pPr>
        <w:widowControl/>
        <w:shd w:val="clear" w:color="auto" w:fill="FFFFFF"/>
        <w:autoSpaceDE/>
        <w:autoSpaceDN/>
        <w:adjustRightInd/>
        <w:spacing w:before="144" w:after="288" w:line="480" w:lineRule="auto"/>
        <w:jc w:val="both"/>
        <w:rPr>
          <w:rFonts w:eastAsia="Times New Roman"/>
          <w:color w:val="242121"/>
          <w:sz w:val="22"/>
          <w:szCs w:val="22"/>
          <w:lang w:val="en-US"/>
        </w:rPr>
      </w:pPr>
      <w:r>
        <w:rPr>
          <w:rFonts w:eastAsia="Times New Roman"/>
          <w:color w:val="242121"/>
          <w:lang w:val="en-US"/>
        </w:rPr>
        <w:t xml:space="preserve">[19] </w:t>
      </w:r>
      <w:r w:rsidRPr="0051273B">
        <w:rPr>
          <w:rFonts w:eastAsia="Times New Roman"/>
          <w:color w:val="242121"/>
          <w:lang w:val="en-US"/>
        </w:rPr>
        <w:t xml:space="preserve">Turning to the question whether the Regulations Governing The Administering of Oath or Affirmation are peremptory or directory, it was held in </w:t>
      </w:r>
      <w:r w:rsidRPr="0051273B">
        <w:rPr>
          <w:rFonts w:eastAsia="Times New Roman"/>
          <w:i/>
          <w:color w:val="242121"/>
          <w:lang w:val="en-US"/>
        </w:rPr>
        <w:t>S v Msibi</w:t>
      </w:r>
      <w:r>
        <w:rPr>
          <w:rStyle w:val="FootnoteReference"/>
          <w:rFonts w:eastAsia="Times New Roman"/>
          <w:i/>
          <w:color w:val="242121"/>
          <w:lang w:val="en-US"/>
        </w:rPr>
        <w:footnoteReference w:id="6"/>
      </w:r>
      <w:r>
        <w:rPr>
          <w:rFonts w:eastAsia="Times New Roman"/>
          <w:i/>
          <w:color w:val="242121"/>
          <w:lang w:val="en-US"/>
        </w:rPr>
        <w:t xml:space="preserve"> </w:t>
      </w:r>
      <w:r w:rsidRPr="0051273B">
        <w:rPr>
          <w:rFonts w:eastAsia="Times New Roman"/>
          <w:color w:val="242121"/>
          <w:lang w:val="en-US"/>
        </w:rPr>
        <w:t>that the requirements as contained in the Regulations are not peremptory but merely</w:t>
      </w:r>
      <w:r>
        <w:rPr>
          <w:rFonts w:eastAsia="Times New Roman"/>
          <w:color w:val="242121"/>
          <w:lang w:val="en-US"/>
        </w:rPr>
        <w:t xml:space="preserve"> </w:t>
      </w:r>
      <w:r w:rsidRPr="0051273B">
        <w:rPr>
          <w:rFonts w:eastAsia="Times New Roman"/>
          <w:color w:val="242121"/>
          <w:lang w:val="en-US"/>
        </w:rPr>
        <w:t xml:space="preserve">directory.   The   court   in   </w:t>
      </w:r>
      <w:r w:rsidRPr="0051273B">
        <w:rPr>
          <w:rFonts w:eastAsia="Times New Roman"/>
          <w:i/>
          <w:color w:val="242121"/>
          <w:lang w:val="en-US"/>
        </w:rPr>
        <w:t xml:space="preserve">Msibi   </w:t>
      </w:r>
      <w:r w:rsidRPr="0051273B">
        <w:rPr>
          <w:rFonts w:eastAsia="Times New Roman"/>
          <w:color w:val="242121"/>
          <w:lang w:val="en-US"/>
        </w:rPr>
        <w:t xml:space="preserve">further   held   that   where   the requirements  of  the  Regulations  have  not  been  complied  with,  the  court may refuse to accept the affidavit concerned as such or give effect to it, but the question should in each case be whether there has been a substantial compliance  with  the  requirements.  </w:t>
      </w:r>
      <w:r w:rsidR="00196B76">
        <w:rPr>
          <w:rFonts w:eastAsia="Times New Roman"/>
          <w:color w:val="242121"/>
          <w:lang w:val="en-US"/>
        </w:rPr>
        <w:t xml:space="preserve">In </w:t>
      </w:r>
      <w:r w:rsidR="00196B76" w:rsidRPr="0051273B">
        <w:rPr>
          <w:rFonts w:eastAsia="Times New Roman"/>
          <w:color w:val="242121"/>
          <w:lang w:val="en-US"/>
        </w:rPr>
        <w:t>my view</w:t>
      </w:r>
      <w:r w:rsidR="00196B76">
        <w:rPr>
          <w:rFonts w:eastAsia="Times New Roman"/>
          <w:color w:val="242121"/>
          <w:lang w:val="en-US"/>
        </w:rPr>
        <w:t xml:space="preserve">, </w:t>
      </w:r>
      <w:r w:rsidR="00196B76">
        <w:rPr>
          <w:rFonts w:eastAsia="Times New Roman"/>
          <w:i/>
          <w:color w:val="242121"/>
          <w:lang w:val="en-US"/>
        </w:rPr>
        <w:t xml:space="preserve">Msibi’s </w:t>
      </w:r>
      <w:r w:rsidR="00196B76">
        <w:rPr>
          <w:rFonts w:eastAsia="Times New Roman"/>
          <w:color w:val="242121"/>
          <w:lang w:val="en-US"/>
        </w:rPr>
        <w:t xml:space="preserve">case has </w:t>
      </w:r>
      <w:r w:rsidRPr="0051273B">
        <w:rPr>
          <w:rFonts w:eastAsia="Times New Roman"/>
          <w:color w:val="242121"/>
          <w:lang w:val="en-US"/>
        </w:rPr>
        <w:t>been correctly decided in relation to whether the Regulations are peremptory or directly, and I therefore align myself with that decision.</w:t>
      </w:r>
    </w:p>
    <w:p w14:paraId="00A473FA" w14:textId="0A5CBA2D" w:rsidR="0051273B" w:rsidRDefault="0051273B" w:rsidP="0051273B">
      <w:pPr>
        <w:widowControl/>
        <w:shd w:val="clear" w:color="auto" w:fill="FFFFFF"/>
        <w:autoSpaceDE/>
        <w:autoSpaceDN/>
        <w:adjustRightInd/>
        <w:spacing w:before="144" w:after="288" w:line="480" w:lineRule="auto"/>
        <w:jc w:val="both"/>
        <w:rPr>
          <w:rFonts w:eastAsia="Times New Roman"/>
          <w:color w:val="242121"/>
          <w:lang w:val="en-US"/>
        </w:rPr>
      </w:pPr>
      <w:r>
        <w:rPr>
          <w:rFonts w:eastAsia="Times New Roman"/>
          <w:color w:val="242121"/>
          <w:lang w:val="en-US"/>
        </w:rPr>
        <w:t xml:space="preserve">[20] </w:t>
      </w:r>
      <w:r w:rsidR="00196B76">
        <w:rPr>
          <w:rFonts w:eastAsia="Times New Roman"/>
          <w:color w:val="242121"/>
          <w:lang w:val="en-US"/>
        </w:rPr>
        <w:t xml:space="preserve">The commissioner of oath </w:t>
      </w:r>
      <w:r w:rsidRPr="0051273B">
        <w:rPr>
          <w:rFonts w:eastAsia="Times New Roman"/>
          <w:color w:val="242121"/>
          <w:lang w:val="en-US"/>
        </w:rPr>
        <w:t xml:space="preserve">had </w:t>
      </w:r>
      <w:r w:rsidR="00196B76">
        <w:rPr>
          <w:rFonts w:eastAsia="Times New Roman"/>
          <w:color w:val="242121"/>
          <w:lang w:val="en-US"/>
        </w:rPr>
        <w:t>duly signed</w:t>
      </w:r>
      <w:r w:rsidRPr="0051273B">
        <w:rPr>
          <w:rFonts w:eastAsia="Times New Roman"/>
          <w:color w:val="242121"/>
          <w:lang w:val="en-US"/>
        </w:rPr>
        <w:t xml:space="preserve"> </w:t>
      </w:r>
      <w:r w:rsidR="00196B76" w:rsidRPr="0051273B">
        <w:rPr>
          <w:rFonts w:eastAsia="Times New Roman"/>
          <w:color w:val="242121"/>
          <w:lang w:val="en-US"/>
        </w:rPr>
        <w:t>the respondent’s founding</w:t>
      </w:r>
      <w:r w:rsidRPr="0051273B">
        <w:rPr>
          <w:rFonts w:eastAsia="Times New Roman"/>
          <w:color w:val="242121"/>
          <w:lang w:val="en-US"/>
        </w:rPr>
        <w:t xml:space="preserve"> affidavit</w:t>
      </w:r>
      <w:r>
        <w:rPr>
          <w:rFonts w:eastAsia="Times New Roman"/>
          <w:color w:val="242121"/>
          <w:lang w:val="en-US"/>
        </w:rPr>
        <w:t xml:space="preserve"> </w:t>
      </w:r>
      <w:r w:rsidRPr="0051273B">
        <w:rPr>
          <w:rFonts w:eastAsia="Times New Roman"/>
          <w:color w:val="242121"/>
          <w:lang w:val="en-US"/>
        </w:rPr>
        <w:t xml:space="preserve">and   </w:t>
      </w:r>
      <w:r>
        <w:rPr>
          <w:rFonts w:eastAsia="Times New Roman"/>
          <w:color w:val="242121"/>
          <w:lang w:val="en-US"/>
        </w:rPr>
        <w:t xml:space="preserve">replying affidavit but that each of the pages and annexures were not initialed. </w:t>
      </w:r>
      <w:r w:rsidRPr="0051273B">
        <w:rPr>
          <w:rFonts w:eastAsia="Times New Roman"/>
          <w:color w:val="242121"/>
          <w:lang w:val="en-US"/>
        </w:rPr>
        <w:t xml:space="preserve">In   terms   of   the Regulations, the details of the commissioner of oaths must appear strictly below the signature of the commissioner of oaths. </w:t>
      </w:r>
      <w:r w:rsidR="00196B76">
        <w:rPr>
          <w:rFonts w:eastAsia="Times New Roman"/>
          <w:color w:val="242121"/>
          <w:lang w:val="en-US"/>
        </w:rPr>
        <w:t xml:space="preserve">In view, whether the full names and </w:t>
      </w:r>
      <w:r w:rsidR="00196B76" w:rsidRPr="0051273B">
        <w:rPr>
          <w:rFonts w:eastAsia="Times New Roman"/>
          <w:color w:val="242121"/>
          <w:lang w:val="en-US"/>
        </w:rPr>
        <w:t>business address</w:t>
      </w:r>
      <w:r w:rsidRPr="0051273B">
        <w:rPr>
          <w:rFonts w:eastAsia="Times New Roman"/>
          <w:color w:val="242121"/>
          <w:lang w:val="en-US"/>
        </w:rPr>
        <w:t xml:space="preserve"> has  been  printed  or  affixed below the signature or next to signature</w:t>
      </w:r>
      <w:r>
        <w:rPr>
          <w:rFonts w:eastAsia="Times New Roman"/>
          <w:color w:val="242121"/>
          <w:lang w:val="en-US"/>
        </w:rPr>
        <w:t xml:space="preserve"> and the fact that each page was not initialed</w:t>
      </w:r>
      <w:r w:rsidRPr="0051273B">
        <w:rPr>
          <w:rFonts w:eastAsia="Times New Roman"/>
          <w:color w:val="242121"/>
          <w:lang w:val="en-US"/>
        </w:rPr>
        <w:t xml:space="preserve"> is immaterial. In relation to the </w:t>
      </w:r>
      <w:r w:rsidRPr="0051273B">
        <w:rPr>
          <w:rFonts w:eastAsia="Times New Roman"/>
          <w:color w:val="242121"/>
          <w:lang w:val="en-US"/>
        </w:rPr>
        <w:lastRenderedPageBreak/>
        <w:t xml:space="preserve">point </w:t>
      </w:r>
      <w:r w:rsidRPr="0051273B">
        <w:rPr>
          <w:rFonts w:eastAsia="Times New Roman"/>
          <w:i/>
          <w:color w:val="242121"/>
          <w:lang w:val="en-US"/>
        </w:rPr>
        <w:t xml:space="preserve">in limine </w:t>
      </w:r>
      <w:r w:rsidRPr="0051273B">
        <w:rPr>
          <w:rFonts w:eastAsia="Times New Roman"/>
          <w:color w:val="242121"/>
          <w:lang w:val="en-US"/>
        </w:rPr>
        <w:t xml:space="preserve">the only issue that the </w:t>
      </w:r>
      <w:r>
        <w:rPr>
          <w:rFonts w:eastAsia="Times New Roman"/>
          <w:color w:val="242121"/>
          <w:lang w:val="en-US"/>
        </w:rPr>
        <w:t>applicants</w:t>
      </w:r>
      <w:r w:rsidRPr="0051273B">
        <w:rPr>
          <w:rFonts w:eastAsia="Times New Roman"/>
          <w:color w:val="242121"/>
          <w:lang w:val="en-US"/>
        </w:rPr>
        <w:t xml:space="preserve"> have pursued is that the annexures </w:t>
      </w:r>
      <w:r>
        <w:rPr>
          <w:rFonts w:eastAsia="Times New Roman"/>
          <w:color w:val="242121"/>
          <w:lang w:val="en-US"/>
        </w:rPr>
        <w:t xml:space="preserve">and each page </w:t>
      </w:r>
      <w:r w:rsidRPr="0051273B">
        <w:rPr>
          <w:rFonts w:eastAsia="Times New Roman"/>
          <w:color w:val="242121"/>
          <w:lang w:val="en-US"/>
        </w:rPr>
        <w:t xml:space="preserve">to the </w:t>
      </w:r>
      <w:r>
        <w:rPr>
          <w:rFonts w:eastAsia="Times New Roman"/>
          <w:color w:val="242121"/>
          <w:lang w:val="en-US"/>
        </w:rPr>
        <w:t xml:space="preserve">respondents </w:t>
      </w:r>
      <w:r w:rsidRPr="0051273B">
        <w:rPr>
          <w:rFonts w:eastAsia="Times New Roman"/>
          <w:color w:val="242121"/>
          <w:lang w:val="en-US"/>
        </w:rPr>
        <w:t>affidavit</w:t>
      </w:r>
      <w:r>
        <w:rPr>
          <w:rFonts w:eastAsia="Times New Roman"/>
          <w:color w:val="242121"/>
          <w:lang w:val="en-US"/>
        </w:rPr>
        <w:t>s</w:t>
      </w:r>
      <w:r w:rsidRPr="0051273B">
        <w:rPr>
          <w:rFonts w:eastAsia="Times New Roman"/>
          <w:color w:val="242121"/>
          <w:lang w:val="en-US"/>
        </w:rPr>
        <w:t xml:space="preserve"> ha</w:t>
      </w:r>
      <w:r>
        <w:rPr>
          <w:rFonts w:eastAsia="Times New Roman"/>
          <w:color w:val="242121"/>
          <w:lang w:val="en-US"/>
        </w:rPr>
        <w:t>d</w:t>
      </w:r>
      <w:r w:rsidRPr="0051273B">
        <w:rPr>
          <w:rFonts w:eastAsia="Times New Roman"/>
          <w:color w:val="242121"/>
          <w:lang w:val="en-US"/>
        </w:rPr>
        <w:t xml:space="preserve"> not been initialed  or  signed  by  either  the  deponent  or  commissioner  of  oaths.  In terms  of  Regulation  3(1)  what  is  required  of  the  deponent  is  to  sign  a declaration in the presence of the commissioner of oaths. Regulation 3(2) provides that if the deponent cannot write, he shall affix his mark at the foot of the declaration. Regulation 4(1) provides that the commissioner of oaths shall certify below deponents’ signature or mark. There is nowhere in the Regulations  where  it  makes  provision  for  signing  or  initialing  of  the annexures  to  the  affidavit  by  the  deponent  and  commissioner  of  oaths. Although it is desirable and advisable for the deponent</w:t>
      </w:r>
      <w:r>
        <w:rPr>
          <w:rFonts w:eastAsia="Times New Roman"/>
          <w:color w:val="242121"/>
          <w:lang w:val="en-US"/>
        </w:rPr>
        <w:t xml:space="preserve"> </w:t>
      </w:r>
      <w:r w:rsidRPr="0051273B">
        <w:rPr>
          <w:rFonts w:eastAsia="Times New Roman"/>
          <w:color w:val="242121"/>
          <w:lang w:val="en-US"/>
        </w:rPr>
        <w:t>and commissioner</w:t>
      </w:r>
      <w:r>
        <w:rPr>
          <w:rFonts w:eastAsia="Times New Roman"/>
          <w:color w:val="242121"/>
          <w:lang w:val="en-US"/>
        </w:rPr>
        <w:t xml:space="preserve"> </w:t>
      </w:r>
      <w:r w:rsidRPr="0051273B">
        <w:rPr>
          <w:rFonts w:eastAsia="Times New Roman"/>
          <w:color w:val="242121"/>
          <w:lang w:val="en-US"/>
        </w:rPr>
        <w:t>of oaths to sign or initial the annexures to show that they form part of the affidavit, it is not a requirement in terms of the Regulations.</w:t>
      </w:r>
    </w:p>
    <w:p w14:paraId="1FEFE6F4" w14:textId="5572E3F1" w:rsidR="0051273B" w:rsidRPr="0051273B" w:rsidRDefault="0051273B" w:rsidP="0051273B">
      <w:pPr>
        <w:widowControl/>
        <w:shd w:val="clear" w:color="auto" w:fill="FFFFFF"/>
        <w:autoSpaceDE/>
        <w:autoSpaceDN/>
        <w:adjustRightInd/>
        <w:spacing w:before="144" w:after="288" w:line="480" w:lineRule="auto"/>
        <w:jc w:val="both"/>
        <w:rPr>
          <w:rFonts w:eastAsia="Times New Roman"/>
          <w:color w:val="242121"/>
          <w:sz w:val="27"/>
          <w:szCs w:val="27"/>
        </w:rPr>
      </w:pPr>
      <w:r>
        <w:rPr>
          <w:rFonts w:eastAsia="Times New Roman"/>
          <w:color w:val="242121"/>
          <w:lang w:val="en-US"/>
        </w:rPr>
        <w:t xml:space="preserve">[21] </w:t>
      </w:r>
      <w:r w:rsidRPr="0051273B">
        <w:rPr>
          <w:rFonts w:eastAsia="Times New Roman"/>
          <w:color w:val="242121"/>
          <w:lang w:val="en-US"/>
        </w:rPr>
        <w:t>What must be looked at is whether the full names, designati</w:t>
      </w:r>
      <w:r w:rsidR="00196B76">
        <w:rPr>
          <w:rFonts w:eastAsia="Times New Roman"/>
          <w:color w:val="242121"/>
          <w:lang w:val="en-US"/>
        </w:rPr>
        <w:t>on and business address of the commissioner of</w:t>
      </w:r>
      <w:r w:rsidRPr="0051273B">
        <w:rPr>
          <w:rFonts w:eastAsia="Times New Roman"/>
          <w:color w:val="242121"/>
          <w:lang w:val="en-US"/>
        </w:rPr>
        <w:t xml:space="preserve"> </w:t>
      </w:r>
      <w:r w:rsidR="00196B76" w:rsidRPr="0051273B">
        <w:rPr>
          <w:rFonts w:eastAsia="Times New Roman"/>
          <w:color w:val="242121"/>
          <w:lang w:val="en-US"/>
        </w:rPr>
        <w:t>oaths appears on the certificate</w:t>
      </w:r>
      <w:r w:rsidRPr="0051273B">
        <w:rPr>
          <w:rFonts w:eastAsia="Times New Roman"/>
          <w:color w:val="242121"/>
          <w:lang w:val="en-US"/>
        </w:rPr>
        <w:t xml:space="preserve">.  Even if  there  are certain  deficiencies  like  in  the  case  at  hand,  the  court  must  look  at  the information  as  a  whole  and  determine  whether  the  deficiencies  are  that material  to  render  the  whole  affidavit  defective,  what  prejudice  will  that cause to the affected party and the interest of justice. If the deficiencies are not that material, in my view, there is substantial compliance. In the case at hand failure to </w:t>
      </w:r>
      <w:r>
        <w:rPr>
          <w:rFonts w:eastAsia="Times New Roman"/>
          <w:color w:val="242121"/>
          <w:lang w:val="en-US"/>
        </w:rPr>
        <w:t>initial each page</w:t>
      </w:r>
      <w:r w:rsidRPr="0051273B">
        <w:rPr>
          <w:rFonts w:eastAsia="Times New Roman"/>
          <w:color w:val="242121"/>
          <w:lang w:val="en-US"/>
        </w:rPr>
        <w:t xml:space="preserve"> </w:t>
      </w:r>
      <w:r>
        <w:rPr>
          <w:rFonts w:eastAsia="Times New Roman"/>
          <w:color w:val="242121"/>
          <w:lang w:val="en-US"/>
        </w:rPr>
        <w:t>wa</w:t>
      </w:r>
      <w:r w:rsidR="00196B76">
        <w:rPr>
          <w:rFonts w:eastAsia="Times New Roman"/>
          <w:color w:val="242121"/>
          <w:lang w:val="en-US"/>
        </w:rPr>
        <w:t xml:space="preserve">s not that material </w:t>
      </w:r>
      <w:r w:rsidR="00196B76" w:rsidRPr="0051273B">
        <w:rPr>
          <w:rFonts w:eastAsia="Times New Roman"/>
          <w:color w:val="242121"/>
          <w:lang w:val="en-US"/>
        </w:rPr>
        <w:t>under the circumstances, and there was substantial</w:t>
      </w:r>
      <w:r w:rsidRPr="0051273B">
        <w:rPr>
          <w:rFonts w:eastAsia="Times New Roman"/>
          <w:color w:val="242121"/>
          <w:lang w:val="en-US"/>
        </w:rPr>
        <w:t xml:space="preserve"> compliance. If there is doubt as to whether the details that appears on that certificate is not that of the commissioner of oaths, it is for the party who</w:t>
      </w:r>
      <w:r>
        <w:rPr>
          <w:rFonts w:eastAsia="Times New Roman"/>
          <w:color w:val="242121"/>
          <w:lang w:val="en-US"/>
        </w:rPr>
        <w:t xml:space="preserve"> </w:t>
      </w:r>
      <w:r w:rsidR="00196B76" w:rsidRPr="0051273B">
        <w:rPr>
          <w:rFonts w:eastAsia="Times New Roman"/>
          <w:color w:val="242121"/>
          <w:lang w:val="en-US"/>
        </w:rPr>
        <w:t>had the doubt</w:t>
      </w:r>
      <w:r w:rsidRPr="0051273B">
        <w:rPr>
          <w:rFonts w:eastAsia="Times New Roman"/>
          <w:color w:val="242121"/>
          <w:lang w:val="en-US"/>
        </w:rPr>
        <w:t xml:space="preserve">   to   </w:t>
      </w:r>
      <w:r w:rsidR="00196B76" w:rsidRPr="0051273B">
        <w:rPr>
          <w:rFonts w:eastAsia="Times New Roman"/>
          <w:color w:val="242121"/>
          <w:lang w:val="en-US"/>
        </w:rPr>
        <w:t>challenge and</w:t>
      </w:r>
      <w:r w:rsidRPr="0051273B">
        <w:rPr>
          <w:rFonts w:eastAsia="Times New Roman"/>
          <w:color w:val="242121"/>
          <w:lang w:val="en-US"/>
        </w:rPr>
        <w:t xml:space="preserve">   </w:t>
      </w:r>
      <w:r w:rsidR="00196B76" w:rsidRPr="0051273B">
        <w:rPr>
          <w:rFonts w:eastAsia="Times New Roman"/>
          <w:color w:val="242121"/>
          <w:lang w:val="en-US"/>
        </w:rPr>
        <w:t>substantiate that</w:t>
      </w:r>
      <w:r w:rsidRPr="0051273B">
        <w:rPr>
          <w:rFonts w:eastAsia="Times New Roman"/>
          <w:color w:val="242121"/>
          <w:lang w:val="en-US"/>
        </w:rPr>
        <w:t xml:space="preserve">.  In this  case  </w:t>
      </w:r>
      <w:r>
        <w:rPr>
          <w:rFonts w:eastAsia="Times New Roman"/>
          <w:color w:val="242121"/>
          <w:lang w:val="en-US"/>
        </w:rPr>
        <w:t xml:space="preserve">that was not the question at all and therefore the point </w:t>
      </w:r>
      <w:r w:rsidRPr="0051273B">
        <w:rPr>
          <w:rFonts w:eastAsia="Times New Roman"/>
          <w:i/>
          <w:iCs/>
          <w:color w:val="242121"/>
          <w:lang w:val="en-US"/>
        </w:rPr>
        <w:t>in limine</w:t>
      </w:r>
      <w:r>
        <w:rPr>
          <w:rFonts w:eastAsia="Times New Roman"/>
          <w:color w:val="242121"/>
          <w:lang w:val="en-US"/>
        </w:rPr>
        <w:t xml:space="preserve"> had to fail. </w:t>
      </w:r>
    </w:p>
    <w:p w14:paraId="65463489" w14:textId="1CEBC012" w:rsidR="00084A18" w:rsidRPr="00084A18" w:rsidRDefault="00084A18" w:rsidP="00084A18">
      <w:pPr>
        <w:tabs>
          <w:tab w:val="left" w:pos="880"/>
        </w:tabs>
        <w:spacing w:line="479" w:lineRule="auto"/>
        <w:ind w:left="120" w:right="74"/>
        <w:jc w:val="both"/>
        <w:rPr>
          <w:rFonts w:eastAsia="Times New Roman"/>
          <w:color w:val="242121"/>
        </w:rPr>
      </w:pPr>
      <w:r>
        <w:rPr>
          <w:rFonts w:eastAsia="Times New Roman"/>
          <w:color w:val="242121"/>
        </w:rPr>
        <w:lastRenderedPageBreak/>
        <w:t xml:space="preserve">[22] </w:t>
      </w:r>
      <w:r w:rsidRPr="00084A18">
        <w:rPr>
          <w:rFonts w:eastAsia="Times New Roman"/>
          <w:color w:val="242121"/>
        </w:rPr>
        <w:t xml:space="preserve">The question  whether the court  </w:t>
      </w:r>
      <w:r w:rsidRPr="00084A18">
        <w:rPr>
          <w:rFonts w:eastAsia="Times New Roman"/>
          <w:i/>
          <w:color w:val="242121"/>
        </w:rPr>
        <w:t xml:space="preserve">a quo </w:t>
      </w:r>
      <w:r w:rsidRPr="00084A18">
        <w:rPr>
          <w:rFonts w:eastAsia="Times New Roman"/>
          <w:color w:val="242121"/>
        </w:rPr>
        <w:t xml:space="preserve">did not go beyond what the respondents were seeking in </w:t>
      </w:r>
      <w:r w:rsidRPr="00084A18">
        <w:rPr>
          <w:rFonts w:eastAsia="Times New Roman"/>
          <w:i/>
          <w:color w:val="242121"/>
        </w:rPr>
        <w:t>Fischer Supra</w:t>
      </w:r>
      <w:r w:rsidRPr="00084A18">
        <w:rPr>
          <w:rFonts w:eastAsia="Times New Roman"/>
          <w:color w:val="242121"/>
        </w:rPr>
        <w:t xml:space="preserve">  Theron JA and Wallis JA said:</w:t>
      </w:r>
    </w:p>
    <w:p w14:paraId="515A69CC" w14:textId="77777777" w:rsidR="00084A18" w:rsidRPr="00084A18" w:rsidRDefault="00084A18" w:rsidP="00084A18">
      <w:pPr>
        <w:tabs>
          <w:tab w:val="left" w:pos="880"/>
        </w:tabs>
        <w:spacing w:line="479" w:lineRule="auto"/>
        <w:ind w:left="120" w:right="74"/>
        <w:jc w:val="both"/>
        <w:rPr>
          <w:rFonts w:eastAsia="Times New Roman"/>
          <w:color w:val="242121"/>
        </w:rPr>
      </w:pPr>
    </w:p>
    <w:p w14:paraId="1499A4E2" w14:textId="2E9CE481" w:rsidR="00084A18" w:rsidRPr="00084A18" w:rsidRDefault="00084A18" w:rsidP="00084A18">
      <w:pPr>
        <w:tabs>
          <w:tab w:val="left" w:pos="880"/>
        </w:tabs>
        <w:spacing w:line="479" w:lineRule="auto"/>
        <w:ind w:left="720" w:right="74"/>
        <w:jc w:val="both"/>
        <w:rPr>
          <w:rFonts w:eastAsia="Times New Roman"/>
          <w:color w:val="242121"/>
          <w:sz w:val="22"/>
          <w:szCs w:val="22"/>
        </w:rPr>
      </w:pPr>
      <w:r w:rsidRPr="00084A18">
        <w:rPr>
          <w:rFonts w:eastAsia="Times New Roman"/>
          <w:color w:val="242121"/>
          <w:sz w:val="22"/>
          <w:szCs w:val="22"/>
        </w:rPr>
        <w:t xml:space="preserve">“[13] 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 That is so even where the dispute involves an issue pertaining to the basic human rights guaranteed  by  our  Constitution,  for  ‘(i)t  is  impermissible  for  a  party  to  rely  on  a  constitutional complaint that was not pleaded’. There are cases where the parties may expand those issues by the way  in which they conduct the proceedings. There may be instances where the court may </w:t>
      </w:r>
      <w:r w:rsidRPr="00084A18">
        <w:rPr>
          <w:rFonts w:eastAsia="Times New Roman"/>
          <w:i/>
          <w:color w:val="242121"/>
          <w:sz w:val="22"/>
          <w:szCs w:val="22"/>
        </w:rPr>
        <w:t xml:space="preserve">mero  motu  </w:t>
      </w:r>
      <w:r w:rsidRPr="00084A18">
        <w:rPr>
          <w:rFonts w:eastAsia="Times New Roman"/>
          <w:color w:val="242121"/>
          <w:sz w:val="22"/>
          <w:szCs w:val="22"/>
        </w:rPr>
        <w:t>raise  a  question  of  law  that  emerges  from  the  evidence  and  is  necessary  for  the decision of the case. That is subject to the proviso that no prejudice will be caused to any party by its  being  decided.  Beyond  that  it  is  for  the  parties  to  identify  the  dispute  and  for  the  court  to determine that dispute and that dispute alone.</w:t>
      </w:r>
    </w:p>
    <w:p w14:paraId="6557298C" w14:textId="77777777" w:rsidR="00084A18" w:rsidRPr="00084A18" w:rsidRDefault="00084A18" w:rsidP="00084A18">
      <w:pPr>
        <w:tabs>
          <w:tab w:val="left" w:pos="880"/>
        </w:tabs>
        <w:spacing w:line="479" w:lineRule="auto"/>
        <w:ind w:left="120" w:right="74"/>
        <w:jc w:val="both"/>
        <w:rPr>
          <w:rFonts w:eastAsia="Times New Roman"/>
          <w:color w:val="242121"/>
          <w:sz w:val="22"/>
          <w:szCs w:val="22"/>
        </w:rPr>
      </w:pPr>
    </w:p>
    <w:p w14:paraId="5FCBC0AC" w14:textId="3ABB7D0E" w:rsidR="00C163EF" w:rsidRDefault="00C163EF" w:rsidP="00C163EF">
      <w:pPr>
        <w:tabs>
          <w:tab w:val="left" w:pos="880"/>
        </w:tabs>
        <w:spacing w:line="479" w:lineRule="auto"/>
        <w:ind w:left="720" w:right="74"/>
        <w:jc w:val="both"/>
        <w:rPr>
          <w:rFonts w:eastAsia="Arial"/>
          <w:w w:val="99"/>
          <w:sz w:val="22"/>
          <w:szCs w:val="22"/>
        </w:rPr>
      </w:pPr>
      <w:r>
        <w:rPr>
          <w:rFonts w:eastAsia="Times New Roman"/>
          <w:color w:val="242121"/>
          <w:sz w:val="22"/>
          <w:szCs w:val="22"/>
        </w:rPr>
        <w:tab/>
      </w:r>
      <w:r w:rsidR="00084A18" w:rsidRPr="00084A18">
        <w:rPr>
          <w:rFonts w:eastAsia="Times New Roman"/>
          <w:color w:val="242121"/>
          <w:sz w:val="22"/>
          <w:szCs w:val="22"/>
        </w:rPr>
        <w:t>[14] It is not for the court to raise new issues not traversed in the pleadings or affidavits, however, interesting or important they may seem to it, and to insist that the parties deal with them. A court may  sometimes  suggest  a  line  of  argument  or  an  approach  to  a  case  that  has  not  previously occurred to the parties. However, it is then for the parties to determine whether they wish to adopt the new point. They may choose not to do so because of its implications for the further conduct of</w:t>
      </w:r>
      <w:r w:rsidR="00084A18" w:rsidRPr="00084A18">
        <w:rPr>
          <w:rFonts w:eastAsia="Times New Roman"/>
          <w:noProof/>
          <w:color w:val="242121"/>
          <w:sz w:val="22"/>
          <w:szCs w:val="22"/>
          <w:lang w:val="en-US" w:eastAsia="en-US"/>
        </w:rPr>
        <mc:AlternateContent>
          <mc:Choice Requires="wpg">
            <w:drawing>
              <wp:anchor distT="0" distB="0" distL="114300" distR="114300" simplePos="0" relativeHeight="251667456" behindDoc="1" locked="0" layoutInCell="1" allowOverlap="1" wp14:anchorId="08807591" wp14:editId="432B015C">
                <wp:simplePos x="0" y="0"/>
                <wp:positionH relativeFrom="page">
                  <wp:posOffset>914400</wp:posOffset>
                </wp:positionH>
                <wp:positionV relativeFrom="paragraph">
                  <wp:posOffset>373380</wp:posOffset>
                </wp:positionV>
                <wp:extent cx="1828800" cy="0"/>
                <wp:effectExtent l="0" t="0" r="12700" b="1270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588"/>
                          <a:chExt cx="2880" cy="0"/>
                        </a:xfrm>
                      </wpg:grpSpPr>
                      <wps:wsp>
                        <wps:cNvPr id="12" name="Freeform 11"/>
                        <wps:cNvSpPr>
                          <a:spLocks/>
                        </wps:cNvSpPr>
                        <wps:spPr bwMode="auto">
                          <a:xfrm>
                            <a:off x="1440" y="588"/>
                            <a:ext cx="2880" cy="0"/>
                          </a:xfrm>
                          <a:custGeom>
                            <a:avLst/>
                            <a:gdLst>
                              <a:gd name="T0" fmla="+- 0 1440 1440"/>
                              <a:gd name="T1" fmla="*/ T0 w 2880"/>
                              <a:gd name="T2" fmla="+- 0 4321 1440"/>
                              <a:gd name="T3" fmla="*/ T2 w 2880"/>
                            </a:gdLst>
                            <a:ahLst/>
                            <a:cxnLst>
                              <a:cxn ang="0">
                                <a:pos x="T1" y="0"/>
                              </a:cxn>
                              <a:cxn ang="0">
                                <a:pos x="T3" y="0"/>
                              </a:cxn>
                            </a:cxnLst>
                            <a:rect l="0" t="0" r="r" b="b"/>
                            <a:pathLst>
                              <a:path w="2880">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group w14:anchorId="59716B23" id="Group 10" o:spid="_x0000_s1026" style="position:absolute;margin-left:1in;margin-top:29.4pt;width:2in;height:0;z-index:-251649024;mso-position-horizontal-relative:page" coordorigin="1440,588"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">
                <v:shape id="Freeform 11" o:spid="_x0000_s1027" style="position:absolute;left:1440;top:588;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" path="m,l2881,e" filled="f" strokeweight=".82pt">
                  <v:path arrowok="t" o:connecttype="custom" o:connectlocs="0,0;2881,0" o:connectangles="0,0"/>
                </v:shape>
                <w10:wrap anchorx="page"/>
              </v:group>
            </w:pict>
          </mc:Fallback>
        </mc:AlternateContent>
      </w:r>
      <w:r>
        <w:rPr>
          <w:rFonts w:eastAsia="Times New Roman"/>
          <w:color w:val="242121"/>
          <w:sz w:val="22"/>
          <w:szCs w:val="22"/>
        </w:rPr>
        <w:t xml:space="preserve"> </w:t>
      </w:r>
      <w:r w:rsidR="00084A18" w:rsidRPr="00084A18">
        <w:rPr>
          <w:rFonts w:eastAsia="Times New Roman"/>
          <w:color w:val="242121"/>
          <w:sz w:val="22"/>
          <w:szCs w:val="22"/>
        </w:rPr>
        <w:t>the  proceedings,  such  as  an  adjournment  or  the  need  to  amend  pleadings  or  call  additional</w:t>
      </w:r>
      <w:r w:rsidRPr="00C163EF">
        <w:rPr>
          <w:rFonts w:eastAsia="Times New Roman"/>
          <w:color w:val="242121"/>
          <w:sz w:val="22"/>
          <w:szCs w:val="22"/>
        </w:rPr>
        <w:t xml:space="preserve"> </w:t>
      </w:r>
      <w:r w:rsidRPr="00084A18">
        <w:rPr>
          <w:rFonts w:eastAsia="Times New Roman"/>
          <w:color w:val="242121"/>
          <w:sz w:val="22"/>
          <w:szCs w:val="22"/>
        </w:rPr>
        <w:t xml:space="preserve">evidence.  They  may  feel  that  their  case  is  sufficiently  strong  as  it  stands  to  require  no supplementation. They may simply wish the issues identified to be determined because they are relevant to future matters and relationship between </w:t>
      </w:r>
      <w:r w:rsidRPr="00084A18">
        <w:rPr>
          <w:rFonts w:eastAsia="Times New Roman"/>
          <w:color w:val="242121"/>
          <w:sz w:val="22"/>
          <w:szCs w:val="22"/>
        </w:rPr>
        <w:lastRenderedPageBreak/>
        <w:t>the parties. That is for them to decide and not for the court. If they wish to stand by the issues they have formulated, the court may not raise new  ones  and compel them to deal with matters other than those  they have  formulated in the pleadings or affidavits.</w:t>
      </w:r>
      <w:r w:rsidRPr="00084A18">
        <w:rPr>
          <w:rFonts w:eastAsia="Arial"/>
          <w:w w:val="99"/>
          <w:sz w:val="22"/>
          <w:szCs w:val="22"/>
        </w:rPr>
        <w:t>”</w:t>
      </w:r>
      <w:r>
        <w:rPr>
          <w:rStyle w:val="FootnoteReference"/>
          <w:rFonts w:eastAsia="Arial"/>
          <w:w w:val="99"/>
          <w:sz w:val="22"/>
          <w:szCs w:val="22"/>
        </w:rPr>
        <w:footnoteReference w:id="7"/>
      </w:r>
    </w:p>
    <w:p w14:paraId="7FFF3E47" w14:textId="26AB6DD0" w:rsidR="00084A18" w:rsidRPr="00084A18" w:rsidRDefault="00084A18" w:rsidP="00084A18">
      <w:pPr>
        <w:tabs>
          <w:tab w:val="left" w:pos="880"/>
        </w:tabs>
        <w:spacing w:line="479" w:lineRule="auto"/>
        <w:ind w:left="720" w:right="74"/>
        <w:jc w:val="both"/>
        <w:rPr>
          <w:rFonts w:eastAsia="Times New Roman"/>
          <w:color w:val="242121"/>
          <w:sz w:val="22"/>
          <w:szCs w:val="22"/>
        </w:rPr>
      </w:pPr>
    </w:p>
    <w:p w14:paraId="243E4773" w14:textId="32E9B0D6" w:rsidR="00C163EF" w:rsidRPr="00084A18" w:rsidRDefault="00C163EF" w:rsidP="00C163EF">
      <w:pPr>
        <w:tabs>
          <w:tab w:val="left" w:pos="880"/>
        </w:tabs>
        <w:spacing w:line="479" w:lineRule="auto"/>
        <w:ind w:left="120" w:right="74"/>
        <w:jc w:val="both"/>
        <w:rPr>
          <w:rFonts w:eastAsia="Arial"/>
          <w:w w:val="99"/>
          <w:sz w:val="22"/>
          <w:szCs w:val="22"/>
        </w:rPr>
      </w:pPr>
      <w:r>
        <w:rPr>
          <w:rFonts w:eastAsia="Times New Roman"/>
          <w:color w:val="242121"/>
        </w:rPr>
        <w:t>[23] Following the dicta in</w:t>
      </w:r>
      <w:r w:rsidRPr="00084A18">
        <w:rPr>
          <w:rFonts w:eastAsia="Times New Roman"/>
          <w:i/>
          <w:iCs/>
          <w:color w:val="242121"/>
        </w:rPr>
        <w:t xml:space="preserve"> Vanrensburg and Fischer Supra </w:t>
      </w:r>
      <w:r>
        <w:rPr>
          <w:rFonts w:eastAsia="Times New Roman"/>
          <w:color w:val="242121"/>
        </w:rPr>
        <w:t xml:space="preserve"> I was of the view that although the issue regarding the fact that there was no direct appeal against Bawqa J’s </w:t>
      </w:r>
      <w:r w:rsidR="009F10A1">
        <w:rPr>
          <w:rFonts w:eastAsia="Times New Roman"/>
          <w:color w:val="242121"/>
        </w:rPr>
        <w:t>order,</w:t>
      </w:r>
      <w:r>
        <w:rPr>
          <w:rFonts w:eastAsia="Times New Roman"/>
          <w:color w:val="242121"/>
        </w:rPr>
        <w:t xml:space="preserve"> that to not consider the point of law due to the parties failure to raise the issue </w:t>
      </w:r>
      <w:r w:rsidR="009F10A1">
        <w:rPr>
          <w:rFonts w:eastAsia="Times New Roman"/>
          <w:color w:val="242121"/>
        </w:rPr>
        <w:t xml:space="preserve"> being </w:t>
      </w:r>
      <w:r>
        <w:rPr>
          <w:rFonts w:eastAsia="Times New Roman"/>
          <w:color w:val="242121"/>
        </w:rPr>
        <w:t>that there was no direct appeal</w:t>
      </w:r>
      <w:r w:rsidR="009F10A1">
        <w:rPr>
          <w:rFonts w:eastAsia="Times New Roman"/>
          <w:color w:val="242121"/>
        </w:rPr>
        <w:t>,</w:t>
      </w:r>
      <w:r>
        <w:rPr>
          <w:rFonts w:eastAsia="Times New Roman"/>
          <w:color w:val="242121"/>
        </w:rPr>
        <w:t xml:space="preserve"> would lead to determining the matter on a legal error. I was of the view that there was no prejudice which is why the parties were reinvited to argue the matter before me. The applicants did not object to the proceedings and accordingly the matter was dealt with. </w:t>
      </w:r>
    </w:p>
    <w:p w14:paraId="28651F29" w14:textId="339F8B17" w:rsidR="00084A18" w:rsidRPr="00084A18" w:rsidRDefault="00084A18" w:rsidP="00196B76">
      <w:pPr>
        <w:tabs>
          <w:tab w:val="left" w:pos="880"/>
        </w:tabs>
        <w:spacing w:line="479" w:lineRule="auto"/>
        <w:ind w:right="74"/>
        <w:jc w:val="both"/>
        <w:rPr>
          <w:rFonts w:eastAsia="Times New Roman"/>
          <w:color w:val="242121"/>
          <w:sz w:val="22"/>
          <w:szCs w:val="22"/>
        </w:rPr>
      </w:pPr>
    </w:p>
    <w:p w14:paraId="00C73EA8" w14:textId="4A31C58D" w:rsidR="00C163EF" w:rsidRPr="009F10A1" w:rsidRDefault="00C163EF" w:rsidP="00C163EF">
      <w:pPr>
        <w:widowControl/>
        <w:shd w:val="clear" w:color="auto" w:fill="FFFFFF"/>
        <w:autoSpaceDE/>
        <w:autoSpaceDN/>
        <w:adjustRightInd/>
        <w:spacing w:before="144" w:after="288" w:line="480" w:lineRule="auto"/>
        <w:jc w:val="both"/>
        <w:rPr>
          <w:rFonts w:eastAsia="Times New Roman"/>
          <w:b/>
          <w:color w:val="242121"/>
        </w:rPr>
      </w:pPr>
      <w:r w:rsidRPr="009F10A1">
        <w:rPr>
          <w:rFonts w:eastAsia="Times New Roman"/>
          <w:b/>
          <w:color w:val="242121"/>
        </w:rPr>
        <w:t>Conclusion</w:t>
      </w:r>
    </w:p>
    <w:p w14:paraId="72749AD2" w14:textId="5812DAC1" w:rsidR="009F10A1" w:rsidRPr="009F10A1" w:rsidRDefault="009F10A1" w:rsidP="00C163EF">
      <w:pPr>
        <w:widowControl/>
        <w:shd w:val="clear" w:color="auto" w:fill="FFFFFF"/>
        <w:autoSpaceDE/>
        <w:autoSpaceDN/>
        <w:adjustRightInd/>
        <w:spacing w:before="144" w:after="288" w:line="480" w:lineRule="auto"/>
        <w:jc w:val="both"/>
        <w:rPr>
          <w:rFonts w:eastAsia="Times New Roman"/>
          <w:color w:val="242121"/>
          <w:sz w:val="27"/>
          <w:szCs w:val="27"/>
        </w:rPr>
      </w:pPr>
      <w:r>
        <w:rPr>
          <w:rFonts w:eastAsia="Times New Roman"/>
          <w:bCs/>
          <w:color w:val="242121"/>
        </w:rPr>
        <w:t xml:space="preserve">[24] </w:t>
      </w:r>
      <w:r w:rsidRPr="009F10A1">
        <w:rPr>
          <w:rFonts w:eastAsia="Times New Roman"/>
          <w:bCs/>
          <w:color w:val="242121"/>
        </w:rPr>
        <w:t xml:space="preserve">For the reasons set outs above I am of the view that there are no prospects of success on appeal and that a another court would not come to a different conclusion. </w:t>
      </w:r>
    </w:p>
    <w:p w14:paraId="76BB5E69" w14:textId="67A8374A" w:rsidR="00C163EF" w:rsidRPr="00196B76" w:rsidRDefault="00C163EF" w:rsidP="00C163EF">
      <w:pPr>
        <w:widowControl/>
        <w:shd w:val="clear" w:color="auto" w:fill="FFFFFF"/>
        <w:autoSpaceDE/>
        <w:autoSpaceDN/>
        <w:adjustRightInd/>
        <w:spacing w:before="144" w:after="288" w:line="480" w:lineRule="auto"/>
        <w:ind w:left="562" w:hanging="562"/>
        <w:jc w:val="both"/>
        <w:rPr>
          <w:rFonts w:eastAsia="Times New Roman"/>
          <w:b/>
          <w:color w:val="242121"/>
          <w:sz w:val="27"/>
          <w:szCs w:val="27"/>
        </w:rPr>
      </w:pPr>
      <w:r w:rsidRPr="00196B76">
        <w:rPr>
          <w:rFonts w:eastAsia="Times New Roman"/>
          <w:b/>
          <w:color w:val="242121"/>
        </w:rPr>
        <w:t>[2</w:t>
      </w:r>
      <w:r w:rsidR="009F10A1" w:rsidRPr="00196B76">
        <w:rPr>
          <w:rFonts w:eastAsia="Times New Roman"/>
          <w:b/>
          <w:color w:val="242121"/>
        </w:rPr>
        <w:t>5</w:t>
      </w:r>
      <w:r w:rsidRPr="00196B76">
        <w:rPr>
          <w:rFonts w:eastAsia="Times New Roman"/>
          <w:b/>
          <w:color w:val="242121"/>
        </w:rPr>
        <w:t xml:space="preserve">] </w:t>
      </w:r>
      <w:r w:rsidRPr="00196B76">
        <w:rPr>
          <w:rFonts w:eastAsia="Times New Roman"/>
          <w:b/>
          <w:color w:val="242121"/>
        </w:rPr>
        <w:tab/>
        <w:t>In the result the order we make is the following:</w:t>
      </w:r>
    </w:p>
    <w:p w14:paraId="0D21E8DF" w14:textId="2EB1DCAF" w:rsidR="00C163EF" w:rsidRDefault="00C163EF" w:rsidP="00C163EF">
      <w:pPr>
        <w:widowControl/>
        <w:shd w:val="clear" w:color="auto" w:fill="FFFFFF"/>
        <w:autoSpaceDE/>
        <w:autoSpaceDN/>
        <w:adjustRightInd/>
        <w:spacing w:before="144" w:after="288" w:line="480" w:lineRule="auto"/>
        <w:jc w:val="both"/>
        <w:rPr>
          <w:rFonts w:eastAsia="Times New Roman"/>
          <w:b/>
          <w:color w:val="242121"/>
        </w:rPr>
      </w:pPr>
      <w:r w:rsidRPr="00196B76">
        <w:rPr>
          <w:rFonts w:eastAsia="Times New Roman"/>
          <w:b/>
          <w:color w:val="242121"/>
        </w:rPr>
        <w:t>1. The application for leave to appeal is dismissed with costs.</w:t>
      </w:r>
    </w:p>
    <w:p w14:paraId="76E93CA0" w14:textId="12A44AD8" w:rsidR="00196B76" w:rsidRDefault="00196B76" w:rsidP="00C163EF">
      <w:pPr>
        <w:widowControl/>
        <w:shd w:val="clear" w:color="auto" w:fill="FFFFFF"/>
        <w:autoSpaceDE/>
        <w:autoSpaceDN/>
        <w:adjustRightInd/>
        <w:spacing w:before="144" w:after="288" w:line="480" w:lineRule="auto"/>
        <w:jc w:val="both"/>
        <w:rPr>
          <w:rFonts w:eastAsia="Times New Roman"/>
          <w:b/>
          <w:color w:val="242121"/>
        </w:rPr>
      </w:pPr>
    </w:p>
    <w:p w14:paraId="43D80388" w14:textId="510C41AF" w:rsidR="002060D5" w:rsidRDefault="002060D5" w:rsidP="00C163EF">
      <w:pPr>
        <w:widowControl/>
        <w:shd w:val="clear" w:color="auto" w:fill="FFFFFF"/>
        <w:autoSpaceDE/>
        <w:autoSpaceDN/>
        <w:adjustRightInd/>
        <w:spacing w:before="144" w:after="288" w:line="480" w:lineRule="auto"/>
        <w:jc w:val="both"/>
        <w:rPr>
          <w:rFonts w:eastAsia="Times New Roman"/>
          <w:b/>
          <w:color w:val="242121"/>
        </w:rPr>
      </w:pPr>
    </w:p>
    <w:p w14:paraId="5E40C923" w14:textId="76713980" w:rsidR="002060D5" w:rsidRDefault="002060D5" w:rsidP="00C163EF">
      <w:pPr>
        <w:widowControl/>
        <w:shd w:val="clear" w:color="auto" w:fill="FFFFFF"/>
        <w:autoSpaceDE/>
        <w:autoSpaceDN/>
        <w:adjustRightInd/>
        <w:spacing w:before="144" w:after="288" w:line="480" w:lineRule="auto"/>
        <w:jc w:val="both"/>
        <w:rPr>
          <w:rFonts w:eastAsia="Times New Roman"/>
          <w:b/>
          <w:color w:val="242121"/>
        </w:rPr>
      </w:pPr>
    </w:p>
    <w:p w14:paraId="70B7D204" w14:textId="5700E0A8" w:rsidR="002060D5" w:rsidRDefault="002060D5" w:rsidP="00C163EF">
      <w:pPr>
        <w:widowControl/>
        <w:shd w:val="clear" w:color="auto" w:fill="FFFFFF"/>
        <w:autoSpaceDE/>
        <w:autoSpaceDN/>
        <w:adjustRightInd/>
        <w:spacing w:before="144" w:after="288" w:line="480" w:lineRule="auto"/>
        <w:jc w:val="both"/>
        <w:rPr>
          <w:rFonts w:eastAsia="Times New Roman"/>
          <w:b/>
          <w:color w:val="242121"/>
        </w:rPr>
      </w:pPr>
    </w:p>
    <w:p w14:paraId="57B77AF3" w14:textId="34F4A806" w:rsidR="002060D5" w:rsidRDefault="002060D5" w:rsidP="00C163EF">
      <w:pPr>
        <w:widowControl/>
        <w:shd w:val="clear" w:color="auto" w:fill="FFFFFF"/>
        <w:autoSpaceDE/>
        <w:autoSpaceDN/>
        <w:adjustRightInd/>
        <w:spacing w:before="144" w:after="288" w:line="480" w:lineRule="auto"/>
        <w:jc w:val="both"/>
        <w:rPr>
          <w:rFonts w:eastAsia="Times New Roman"/>
          <w:b/>
          <w:color w:val="242121"/>
        </w:rPr>
      </w:pPr>
    </w:p>
    <w:p w14:paraId="28DECFAA" w14:textId="77777777" w:rsidR="002060D5" w:rsidRDefault="002060D5" w:rsidP="00C163EF">
      <w:pPr>
        <w:widowControl/>
        <w:shd w:val="clear" w:color="auto" w:fill="FFFFFF"/>
        <w:autoSpaceDE/>
        <w:autoSpaceDN/>
        <w:adjustRightInd/>
        <w:spacing w:before="144" w:after="288" w:line="480" w:lineRule="auto"/>
        <w:jc w:val="both"/>
        <w:rPr>
          <w:rFonts w:eastAsia="Times New Roman"/>
          <w:b/>
          <w:color w:val="242121"/>
        </w:rPr>
      </w:pPr>
    </w:p>
    <w:p w14:paraId="7300EC5B" w14:textId="3250EB14" w:rsidR="00CB20CF" w:rsidRDefault="00196B76">
      <w:r>
        <w:t>_______________</w:t>
      </w:r>
    </w:p>
    <w:p w14:paraId="655722C0" w14:textId="50D8426E" w:rsidR="00196B76" w:rsidRDefault="00196B76">
      <w:r>
        <w:t xml:space="preserve">SARDIWALLA J </w:t>
      </w:r>
    </w:p>
    <w:p w14:paraId="137964EF" w14:textId="06D16C4D" w:rsidR="00196B76" w:rsidRDefault="00196B76">
      <w:r>
        <w:t xml:space="preserve">JUDGE OF THE HIGH COURT </w:t>
      </w:r>
    </w:p>
    <w:p w14:paraId="2B347AA6" w14:textId="17520062" w:rsidR="002060D5" w:rsidRDefault="002060D5"/>
    <w:p w14:paraId="3FE56D6B" w14:textId="5FA37617" w:rsidR="002060D5" w:rsidRDefault="002060D5"/>
    <w:p w14:paraId="1CF6307E" w14:textId="2BAF06F9" w:rsidR="002060D5" w:rsidRDefault="002060D5"/>
    <w:p w14:paraId="74AB56F2" w14:textId="6C336F9B" w:rsidR="002060D5" w:rsidRDefault="002060D5"/>
    <w:p w14:paraId="0C4D8A84" w14:textId="15C7B183" w:rsidR="002060D5" w:rsidRDefault="002060D5"/>
    <w:p w14:paraId="52A11EE4" w14:textId="77777777" w:rsidR="002060D5" w:rsidRPr="002060D5" w:rsidRDefault="002060D5" w:rsidP="002060D5">
      <w:pPr>
        <w:rPr>
          <w:b/>
        </w:rPr>
      </w:pPr>
      <w:r w:rsidRPr="002060D5">
        <w:rPr>
          <w:b/>
        </w:rPr>
        <w:t xml:space="preserve">Appearances: </w:t>
      </w:r>
    </w:p>
    <w:p w14:paraId="0A2AE0B5" w14:textId="18B302B2" w:rsidR="002060D5" w:rsidRDefault="002060D5" w:rsidP="002060D5">
      <w:r>
        <w:t>For t</w:t>
      </w:r>
      <w:r w:rsidR="00A3776C">
        <w:t>he Applicant:</w:t>
      </w:r>
      <w:r w:rsidR="00A3776C">
        <w:tab/>
      </w:r>
      <w:r w:rsidR="00A3776C">
        <w:tab/>
      </w:r>
      <w:r w:rsidR="00A3776C">
        <w:tab/>
        <w:t xml:space="preserve">Adv </w:t>
      </w:r>
      <w:r w:rsidR="00A3776C" w:rsidRPr="00A3776C">
        <w:t>M L MATSI</w:t>
      </w:r>
    </w:p>
    <w:p w14:paraId="29FB24FF" w14:textId="0D5337F3" w:rsidR="002060D5" w:rsidRDefault="002060D5" w:rsidP="00A3776C">
      <w:r>
        <w:t>Inst</w:t>
      </w:r>
      <w:r w:rsidR="00A3776C">
        <w:t>ructed by:</w:t>
      </w:r>
      <w:r w:rsidR="00A3776C">
        <w:tab/>
      </w:r>
      <w:r w:rsidR="00A3776C">
        <w:tab/>
      </w:r>
      <w:r w:rsidR="00A3776C">
        <w:tab/>
      </w:r>
      <w:r w:rsidR="00A3776C" w:rsidRPr="00A3776C">
        <w:t>Matsi Law Chambers Inc</w:t>
      </w:r>
      <w:r w:rsidR="00A3776C" w:rsidRPr="00A3776C">
        <w:tab/>
      </w:r>
      <w:r w:rsidR="00A3776C">
        <w:t xml:space="preserve">     </w:t>
      </w:r>
    </w:p>
    <w:p w14:paraId="4C962830" w14:textId="37909B25" w:rsidR="00A3776C" w:rsidRDefault="00A3776C" w:rsidP="00A3776C"/>
    <w:p w14:paraId="419CAEE3" w14:textId="77777777" w:rsidR="00A3776C" w:rsidRDefault="00A3776C" w:rsidP="00A3776C"/>
    <w:p w14:paraId="22C708AE" w14:textId="1DA72533" w:rsidR="002060D5" w:rsidRDefault="002060D5" w:rsidP="002060D5">
      <w:r>
        <w:t>For the Respondent:</w:t>
      </w:r>
      <w:r>
        <w:tab/>
      </w:r>
      <w:r>
        <w:tab/>
        <w:t>Adv.</w:t>
      </w:r>
      <w:r w:rsidR="00A3776C" w:rsidRPr="00A3776C">
        <w:t xml:space="preserve"> </w:t>
      </w:r>
      <w:r w:rsidR="00A3776C">
        <w:t>N</w:t>
      </w:r>
      <w:r w:rsidR="00A3776C" w:rsidRPr="00A3776C">
        <w:t xml:space="preserve"> MOROPENE</w:t>
      </w:r>
      <w:r>
        <w:t xml:space="preserve"> </w:t>
      </w:r>
    </w:p>
    <w:p w14:paraId="4EB42003" w14:textId="77777777" w:rsidR="00A3776C" w:rsidRDefault="002060D5" w:rsidP="00A3776C">
      <w:r>
        <w:t xml:space="preserve">Instructed by: </w:t>
      </w:r>
      <w:r>
        <w:tab/>
      </w:r>
      <w:r>
        <w:tab/>
      </w:r>
      <w:r>
        <w:tab/>
      </w:r>
      <w:r w:rsidR="00A3776C">
        <w:t>Lesiba Mailula Attorneys Inc</w:t>
      </w:r>
    </w:p>
    <w:p w14:paraId="28F1B3FA" w14:textId="6F3CFC5D" w:rsidR="002060D5" w:rsidRDefault="00A3776C" w:rsidP="00A3776C">
      <w:r>
        <w:tab/>
      </w:r>
      <w:r>
        <w:tab/>
      </w:r>
    </w:p>
    <w:sectPr w:rsidR="00206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47698" w14:textId="77777777" w:rsidR="00482A2B" w:rsidRDefault="00482A2B" w:rsidP="00965FC6">
      <w:r>
        <w:separator/>
      </w:r>
    </w:p>
  </w:endnote>
  <w:endnote w:type="continuationSeparator" w:id="0">
    <w:p w14:paraId="6D4382EB" w14:textId="77777777" w:rsidR="00482A2B" w:rsidRDefault="00482A2B" w:rsidP="0096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72742" w14:textId="77777777" w:rsidR="00482A2B" w:rsidRDefault="00482A2B" w:rsidP="00965FC6">
      <w:r>
        <w:separator/>
      </w:r>
    </w:p>
  </w:footnote>
  <w:footnote w:type="continuationSeparator" w:id="0">
    <w:p w14:paraId="4F0A3CFC" w14:textId="77777777" w:rsidR="00482A2B" w:rsidRDefault="00482A2B" w:rsidP="00965FC6">
      <w:r>
        <w:continuationSeparator/>
      </w:r>
    </w:p>
  </w:footnote>
  <w:footnote w:id="1">
    <w:p w14:paraId="36914B6F" w14:textId="77777777" w:rsidR="00B877A2" w:rsidRDefault="00B877A2" w:rsidP="00B877A2">
      <w:pPr>
        <w:ind w:right="-20"/>
        <w:rPr>
          <w:rFonts w:ascii="Calibri" w:eastAsia="Calibri" w:hAnsi="Calibri" w:cs="Calibri"/>
          <w:color w:val="000000"/>
          <w:w w:val="99"/>
          <w:sz w:val="20"/>
          <w:szCs w:val="20"/>
        </w:rPr>
      </w:pPr>
      <w:r>
        <w:rPr>
          <w:rStyle w:val="FootnoteReference"/>
        </w:rPr>
        <w:footnoteRef/>
      </w:r>
      <w:r>
        <w:t xml:space="preserve"> </w:t>
      </w:r>
      <w:r>
        <w:rPr>
          <w:rFonts w:ascii="Calibri" w:eastAsia="Calibri" w:hAnsi="Calibri" w:cs="Calibri"/>
          <w:color w:val="000000"/>
          <w:sz w:val="20"/>
          <w:szCs w:val="20"/>
        </w:rPr>
        <w:t>L</w:t>
      </w:r>
      <w:r>
        <w:rPr>
          <w:rFonts w:ascii="Calibri" w:eastAsia="Calibri" w:hAnsi="Calibri" w:cs="Calibri"/>
          <w:color w:val="000000"/>
          <w:spacing w:val="1"/>
          <w:sz w:val="20"/>
          <w:szCs w:val="20"/>
        </w:rPr>
        <w:t>o</w:t>
      </w:r>
      <w:r>
        <w:rPr>
          <w:rFonts w:ascii="Calibri" w:eastAsia="Calibri" w:hAnsi="Calibri" w:cs="Calibri"/>
          <w:color w:val="000000"/>
          <w:sz w:val="20"/>
          <w:szCs w:val="20"/>
        </w:rPr>
        <w:t>uw a</w:t>
      </w:r>
      <w:r>
        <w:rPr>
          <w:rFonts w:ascii="Calibri" w:eastAsia="Calibri" w:hAnsi="Calibri" w:cs="Calibri"/>
          <w:color w:val="000000"/>
          <w:spacing w:val="1"/>
          <w:sz w:val="20"/>
          <w:szCs w:val="20"/>
        </w:rPr>
        <w:t>n</w:t>
      </w:r>
      <w:r>
        <w:rPr>
          <w:rFonts w:ascii="Calibri" w:eastAsia="Calibri" w:hAnsi="Calibri" w:cs="Calibri"/>
          <w:color w:val="000000"/>
          <w:sz w:val="20"/>
          <w:szCs w:val="20"/>
        </w:rPr>
        <w:t>d</w:t>
      </w:r>
      <w:r>
        <w:rPr>
          <w:rFonts w:ascii="Calibri" w:eastAsia="Calibri" w:hAnsi="Calibri" w:cs="Calibri"/>
          <w:color w:val="000000"/>
          <w:spacing w:val="1"/>
          <w:sz w:val="20"/>
          <w:szCs w:val="20"/>
        </w:rPr>
        <w:t xml:space="preserve"> o</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ers vs</w:t>
      </w:r>
      <w:r>
        <w:rPr>
          <w:rFonts w:ascii="Calibri" w:eastAsia="Calibri" w:hAnsi="Calibri" w:cs="Calibri"/>
          <w:color w:val="000000"/>
          <w:spacing w:val="1"/>
          <w:sz w:val="20"/>
          <w:szCs w:val="20"/>
        </w:rPr>
        <w:t xml:space="preserve"> N</w:t>
      </w:r>
      <w:r>
        <w:rPr>
          <w:rFonts w:ascii="Calibri" w:eastAsia="Calibri" w:hAnsi="Calibri" w:cs="Calibri"/>
          <w:color w:val="000000"/>
          <w:sz w:val="20"/>
          <w:szCs w:val="20"/>
        </w:rPr>
        <w:t xml:space="preserve">el </w:t>
      </w:r>
      <w:r>
        <w:rPr>
          <w:rFonts w:ascii="Calibri" w:eastAsia="Calibri" w:hAnsi="Calibri" w:cs="Calibri"/>
          <w:color w:val="000000"/>
          <w:spacing w:val="-1"/>
          <w:sz w:val="20"/>
          <w:szCs w:val="20"/>
        </w:rPr>
        <w:t>[</w:t>
      </w:r>
      <w:r>
        <w:rPr>
          <w:rFonts w:ascii="Calibri" w:eastAsia="Calibri" w:hAnsi="Calibri" w:cs="Calibri"/>
          <w:color w:val="000000"/>
          <w:sz w:val="20"/>
          <w:szCs w:val="20"/>
        </w:rPr>
        <w:t>201</w:t>
      </w:r>
      <w:r>
        <w:rPr>
          <w:rFonts w:ascii="Calibri" w:eastAsia="Calibri" w:hAnsi="Calibri" w:cs="Calibri"/>
          <w:color w:val="000000"/>
          <w:spacing w:val="1"/>
          <w:sz w:val="20"/>
          <w:szCs w:val="20"/>
        </w:rPr>
        <w:t>1</w:t>
      </w:r>
      <w:r>
        <w:rPr>
          <w:rFonts w:ascii="Calibri" w:eastAsia="Calibri" w:hAnsi="Calibri" w:cs="Calibri"/>
          <w:color w:val="000000"/>
          <w:sz w:val="20"/>
          <w:szCs w:val="20"/>
        </w:rPr>
        <w:t>]</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 xml:space="preserve">2 All </w:t>
      </w:r>
      <w:r>
        <w:rPr>
          <w:rFonts w:ascii="Calibri" w:eastAsia="Calibri" w:hAnsi="Calibri" w:cs="Calibri"/>
          <w:color w:val="000000"/>
          <w:w w:val="99"/>
          <w:sz w:val="20"/>
          <w:szCs w:val="20"/>
        </w:rPr>
        <w:t>S</w:t>
      </w:r>
      <w:r>
        <w:rPr>
          <w:rFonts w:ascii="Calibri" w:eastAsia="Calibri" w:hAnsi="Calibri" w:cs="Calibri"/>
          <w:color w:val="000000"/>
          <w:sz w:val="20"/>
          <w:szCs w:val="20"/>
        </w:rPr>
        <w:t xml:space="preserve">A </w:t>
      </w:r>
      <w:r>
        <w:rPr>
          <w:rFonts w:ascii="Calibri" w:eastAsia="Calibri" w:hAnsi="Calibri" w:cs="Calibri"/>
          <w:color w:val="000000"/>
          <w:spacing w:val="2"/>
          <w:sz w:val="20"/>
          <w:szCs w:val="20"/>
        </w:rPr>
        <w:t>4</w:t>
      </w:r>
      <w:r>
        <w:rPr>
          <w:rFonts w:ascii="Calibri" w:eastAsia="Calibri" w:hAnsi="Calibri" w:cs="Calibri"/>
          <w:color w:val="000000"/>
          <w:sz w:val="20"/>
          <w:szCs w:val="20"/>
        </w:rPr>
        <w:t>95 (</w:t>
      </w:r>
      <w:r>
        <w:rPr>
          <w:rFonts w:ascii="Calibri" w:eastAsia="Calibri" w:hAnsi="Calibri" w:cs="Calibri"/>
          <w:color w:val="000000"/>
          <w:spacing w:val="1"/>
          <w:w w:val="99"/>
          <w:sz w:val="20"/>
          <w:szCs w:val="20"/>
        </w:rPr>
        <w:t>S</w:t>
      </w:r>
      <w:r>
        <w:rPr>
          <w:rFonts w:ascii="Calibri" w:eastAsia="Calibri" w:hAnsi="Calibri" w:cs="Calibri"/>
          <w:color w:val="000000"/>
          <w:sz w:val="20"/>
          <w:szCs w:val="20"/>
        </w:rPr>
        <w:t>CA)</w:t>
      </w:r>
      <w:r>
        <w:rPr>
          <w:rFonts w:ascii="Calibri" w:eastAsia="Calibri" w:hAnsi="Calibri" w:cs="Calibri"/>
          <w:color w:val="000000"/>
          <w:w w:val="99"/>
          <w:sz w:val="20"/>
          <w:szCs w:val="20"/>
        </w:rPr>
        <w:t>.</w:t>
      </w:r>
    </w:p>
    <w:p w14:paraId="7F07A5BB" w14:textId="77777777" w:rsidR="00B877A2" w:rsidRDefault="00B877A2" w:rsidP="00B877A2">
      <w:pPr>
        <w:spacing w:line="180" w:lineRule="exact"/>
        <w:rPr>
          <w:rFonts w:ascii="Calibri" w:eastAsia="Calibri" w:hAnsi="Calibri" w:cs="Calibri"/>
          <w:w w:val="99"/>
          <w:sz w:val="18"/>
          <w:szCs w:val="18"/>
        </w:rPr>
      </w:pPr>
    </w:p>
    <w:p w14:paraId="32A57E13" w14:textId="636DF0EA" w:rsidR="00B877A2" w:rsidRPr="00B877A2" w:rsidRDefault="00B877A2">
      <w:pPr>
        <w:pStyle w:val="FootnoteText"/>
        <w:rPr>
          <w:lang w:val="en-US"/>
        </w:rPr>
      </w:pPr>
    </w:p>
  </w:footnote>
  <w:footnote w:id="2">
    <w:p w14:paraId="46DA6755" w14:textId="77777777" w:rsidR="00965FC6" w:rsidRPr="0002176D" w:rsidRDefault="00965FC6" w:rsidP="00965FC6">
      <w:pPr>
        <w:pStyle w:val="FootnoteText"/>
        <w:rPr>
          <w:rFonts w:ascii="Times New Roman" w:hAnsi="Times New Roman"/>
          <w:i/>
        </w:rPr>
      </w:pPr>
      <w:r w:rsidRPr="0002176D">
        <w:rPr>
          <w:rStyle w:val="FootnoteReference"/>
          <w:i/>
        </w:rPr>
        <w:footnoteRef/>
      </w:r>
      <w:r w:rsidRPr="0002176D">
        <w:rPr>
          <w:rFonts w:ascii="Times New Roman" w:hAnsi="Times New Roman"/>
          <w:i/>
        </w:rPr>
        <w:t xml:space="preserve"> Van Rensburg v Van Rensburg &amp; andere 1963 (1) SA 505 (A) at 510 A-C. The approach has been endorsed by the Constitutional Court. CUSA v Tao Ying Metal Industries &amp; others (CCT 40/07) [2008] ZACC 15; 2009 (2) SA 204 (CC) para 68.</w:t>
      </w:r>
    </w:p>
  </w:footnote>
  <w:footnote w:id="3">
    <w:p w14:paraId="43BAFEB9" w14:textId="77777777" w:rsidR="00965FC6" w:rsidRPr="0002176D" w:rsidRDefault="00965FC6" w:rsidP="00965FC6">
      <w:pPr>
        <w:pStyle w:val="FootnoteText"/>
        <w:rPr>
          <w:rFonts w:ascii="Times New Roman" w:hAnsi="Times New Roman"/>
          <w:i/>
        </w:rPr>
      </w:pPr>
      <w:r w:rsidRPr="0002176D">
        <w:rPr>
          <w:rStyle w:val="FootnoteReference"/>
          <w:i/>
        </w:rPr>
        <w:footnoteRef/>
      </w:r>
      <w:r w:rsidRPr="0002176D">
        <w:rPr>
          <w:rFonts w:ascii="Times New Roman" w:hAnsi="Times New Roman"/>
          <w:i/>
        </w:rPr>
        <w:t xml:space="preserve"> Fischer &amp; another v Ramahlele &amp; others (203/2014) [2014] ZASCA 88; 2014 (4) SA 614 (SCA) paras 13 and 14. </w:t>
      </w:r>
    </w:p>
  </w:footnote>
  <w:footnote w:id="4">
    <w:p w14:paraId="11E51E40" w14:textId="1521F011" w:rsidR="0051273B" w:rsidRPr="0051273B" w:rsidRDefault="0051273B">
      <w:pPr>
        <w:pStyle w:val="FootnoteText"/>
        <w:rPr>
          <w:lang w:val="en-US"/>
        </w:rPr>
      </w:pPr>
      <w:r>
        <w:rPr>
          <w:rStyle w:val="FootnoteReference"/>
        </w:rPr>
        <w:footnoteRef/>
      </w:r>
      <w:r>
        <w:t xml:space="preserve"> </w:t>
      </w:r>
      <w:r>
        <w:rPr>
          <w:rFonts w:ascii="Calibri" w:eastAsia="Calibri" w:hAnsi="Calibri" w:cs="Calibri"/>
          <w:w w:val="99"/>
        </w:rPr>
        <w:t>[2019]</w:t>
      </w:r>
      <w:r>
        <w:rPr>
          <w:rFonts w:ascii="Calibri" w:eastAsia="Calibri" w:hAnsi="Calibri" w:cs="Calibri"/>
        </w:rPr>
        <w:t xml:space="preserve"> </w:t>
      </w:r>
      <w:r>
        <w:rPr>
          <w:rFonts w:ascii="Calibri" w:eastAsia="Calibri" w:hAnsi="Calibri" w:cs="Calibri"/>
          <w:w w:val="99"/>
        </w:rPr>
        <w:t>ZASCA</w:t>
      </w:r>
      <w:r>
        <w:rPr>
          <w:rFonts w:ascii="Calibri" w:eastAsia="Calibri" w:hAnsi="Calibri" w:cs="Calibri"/>
        </w:rPr>
        <w:t xml:space="preserve"> </w:t>
      </w:r>
      <w:r>
        <w:rPr>
          <w:rFonts w:ascii="Calibri" w:eastAsia="Calibri" w:hAnsi="Calibri" w:cs="Calibri"/>
          <w:w w:val="99"/>
        </w:rPr>
        <w:t>61</w:t>
      </w:r>
      <w:r>
        <w:rPr>
          <w:rFonts w:ascii="Calibri" w:eastAsia="Calibri" w:hAnsi="Calibri" w:cs="Calibri"/>
        </w:rPr>
        <w:t xml:space="preserve"> </w:t>
      </w:r>
      <w:r>
        <w:rPr>
          <w:rFonts w:ascii="Calibri" w:eastAsia="Calibri" w:hAnsi="Calibri" w:cs="Calibri"/>
          <w:w w:val="99"/>
        </w:rPr>
        <w:t>(20</w:t>
      </w:r>
      <w:r>
        <w:rPr>
          <w:rFonts w:ascii="Calibri" w:eastAsia="Calibri" w:hAnsi="Calibri" w:cs="Calibri"/>
        </w:rPr>
        <w:t xml:space="preserve"> </w:t>
      </w:r>
      <w:r>
        <w:rPr>
          <w:rFonts w:ascii="Calibri" w:eastAsia="Calibri" w:hAnsi="Calibri" w:cs="Calibri"/>
          <w:w w:val="99"/>
        </w:rPr>
        <w:t>May</w:t>
      </w:r>
      <w:r>
        <w:rPr>
          <w:rFonts w:ascii="Calibri" w:eastAsia="Calibri" w:hAnsi="Calibri" w:cs="Calibri"/>
        </w:rPr>
        <w:t xml:space="preserve"> </w:t>
      </w:r>
      <w:r>
        <w:rPr>
          <w:rFonts w:ascii="Calibri" w:eastAsia="Calibri" w:hAnsi="Calibri" w:cs="Calibri"/>
          <w:w w:val="99"/>
        </w:rPr>
        <w:t>2019)</w:t>
      </w:r>
      <w:r>
        <w:rPr>
          <w:rFonts w:ascii="Calibri" w:eastAsia="Calibri" w:hAnsi="Calibri" w:cs="Calibri"/>
        </w:rPr>
        <w:t xml:space="preserve"> </w:t>
      </w:r>
      <w:r>
        <w:rPr>
          <w:rFonts w:ascii="Calibri" w:eastAsia="Calibri" w:hAnsi="Calibri" w:cs="Calibri"/>
          <w:w w:val="99"/>
        </w:rPr>
        <w:t>at</w:t>
      </w:r>
      <w:r>
        <w:rPr>
          <w:rFonts w:ascii="Calibri" w:eastAsia="Calibri" w:hAnsi="Calibri" w:cs="Calibri"/>
        </w:rPr>
        <w:t xml:space="preserve"> </w:t>
      </w:r>
      <w:r>
        <w:rPr>
          <w:rFonts w:ascii="Calibri" w:eastAsia="Calibri" w:hAnsi="Calibri" w:cs="Calibri"/>
          <w:w w:val="99"/>
        </w:rPr>
        <w:t>para</w:t>
      </w:r>
      <w:r>
        <w:rPr>
          <w:rFonts w:ascii="Calibri" w:eastAsia="Calibri" w:hAnsi="Calibri" w:cs="Calibri"/>
        </w:rPr>
        <w:t xml:space="preserve"> </w:t>
      </w:r>
      <w:r>
        <w:rPr>
          <w:rFonts w:ascii="Calibri" w:eastAsia="Calibri" w:hAnsi="Calibri" w:cs="Calibri"/>
          <w:w w:val="99"/>
        </w:rPr>
        <w:t>4</w:t>
      </w:r>
    </w:p>
  </w:footnote>
  <w:footnote w:id="5">
    <w:p w14:paraId="22DCCF6F" w14:textId="399778B5" w:rsidR="0051273B" w:rsidRPr="0051273B" w:rsidRDefault="0051273B">
      <w:pPr>
        <w:pStyle w:val="FootnoteText"/>
        <w:rPr>
          <w:lang w:val="en-US"/>
        </w:rPr>
      </w:pPr>
      <w:r>
        <w:rPr>
          <w:rStyle w:val="FootnoteReference"/>
        </w:rPr>
        <w:footnoteRef/>
      </w:r>
      <w:r>
        <w:t xml:space="preserve"> </w:t>
      </w:r>
      <w:r w:rsidRPr="0051273B">
        <w:rPr>
          <w:i/>
          <w:color w:val="242121"/>
          <w:lang w:val="en-US"/>
        </w:rPr>
        <w:t>1993 (1) SA 523 (A)</w:t>
      </w:r>
    </w:p>
  </w:footnote>
  <w:footnote w:id="6">
    <w:p w14:paraId="28587CBB" w14:textId="1081500E" w:rsidR="0051273B" w:rsidRPr="0051273B" w:rsidRDefault="0051273B">
      <w:pPr>
        <w:pStyle w:val="FootnoteText"/>
        <w:rPr>
          <w:lang w:val="en-US"/>
        </w:rPr>
      </w:pPr>
      <w:r>
        <w:rPr>
          <w:rStyle w:val="FootnoteReference"/>
        </w:rPr>
        <w:footnoteRef/>
      </w:r>
      <w:r>
        <w:t xml:space="preserve"> </w:t>
      </w:r>
      <w:r>
        <w:rPr>
          <w:rFonts w:ascii="Calibri" w:eastAsia="Calibri" w:hAnsi="Calibri" w:cs="Calibri"/>
          <w:w w:val="99"/>
        </w:rPr>
        <w:t>1974</w:t>
      </w:r>
      <w:r>
        <w:rPr>
          <w:rFonts w:ascii="Calibri" w:eastAsia="Calibri" w:hAnsi="Calibri" w:cs="Calibri"/>
        </w:rPr>
        <w:t xml:space="preserve"> </w:t>
      </w:r>
      <w:r>
        <w:rPr>
          <w:rFonts w:ascii="Calibri" w:eastAsia="Calibri" w:hAnsi="Calibri" w:cs="Calibri"/>
          <w:w w:val="99"/>
        </w:rPr>
        <w:t>(4)</w:t>
      </w:r>
      <w:r>
        <w:rPr>
          <w:rFonts w:ascii="Calibri" w:eastAsia="Calibri" w:hAnsi="Calibri" w:cs="Calibri"/>
        </w:rPr>
        <w:t xml:space="preserve"> </w:t>
      </w:r>
      <w:r>
        <w:rPr>
          <w:rFonts w:ascii="Calibri" w:eastAsia="Calibri" w:hAnsi="Calibri" w:cs="Calibri"/>
          <w:w w:val="99"/>
        </w:rPr>
        <w:t>821</w:t>
      </w:r>
      <w:r>
        <w:rPr>
          <w:rFonts w:ascii="Calibri" w:eastAsia="Calibri" w:hAnsi="Calibri" w:cs="Calibri"/>
        </w:rPr>
        <w:t xml:space="preserve"> </w:t>
      </w:r>
      <w:r>
        <w:rPr>
          <w:rFonts w:ascii="Calibri" w:eastAsia="Calibri" w:hAnsi="Calibri" w:cs="Calibri"/>
          <w:w w:val="99"/>
        </w:rPr>
        <w:t>(T)</w:t>
      </w:r>
    </w:p>
  </w:footnote>
  <w:footnote w:id="7">
    <w:p w14:paraId="45B944C6" w14:textId="67D76092" w:rsidR="00C163EF" w:rsidRPr="00C163EF" w:rsidRDefault="00C163EF">
      <w:pPr>
        <w:pStyle w:val="FootnoteText"/>
        <w:rPr>
          <w:lang w:val="en-US"/>
        </w:rPr>
      </w:pPr>
      <w:r>
        <w:rPr>
          <w:rStyle w:val="FootnoteReference"/>
        </w:rPr>
        <w:footnoteRef/>
      </w:r>
      <w:r>
        <w:t xml:space="preserve"> </w:t>
      </w:r>
      <w:r w:rsidRPr="00084A18">
        <w:rPr>
          <w:color w:val="242121"/>
          <w:sz w:val="22"/>
          <w:szCs w:val="22"/>
        </w:rPr>
        <w:t>2014 (4) SA 614 (SCA) at para 13 and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572EC"/>
    <w:multiLevelType w:val="hybridMultilevel"/>
    <w:tmpl w:val="F42CE854"/>
    <w:lvl w:ilvl="0" w:tplc="4EEE6C24">
      <w:start w:val="1"/>
      <w:numFmt w:val="decimal"/>
      <w:lvlText w:val="[%1]"/>
      <w:lvlJc w:val="left"/>
      <w:pPr>
        <w:ind w:left="928" w:hanging="360"/>
      </w:pPr>
      <w:rPr>
        <w:rFonts w:cs="Times New Roman"/>
        <w:b w:val="0"/>
      </w:rPr>
    </w:lvl>
    <w:lvl w:ilvl="1" w:tplc="1C090019">
      <w:start w:val="1"/>
      <w:numFmt w:val="lowerLetter"/>
      <w:lvlText w:val="%2."/>
      <w:lvlJc w:val="left"/>
      <w:pPr>
        <w:ind w:left="1648" w:hanging="360"/>
      </w:pPr>
      <w:rPr>
        <w:rFonts w:cs="Times New Roman"/>
      </w:rPr>
    </w:lvl>
    <w:lvl w:ilvl="2" w:tplc="1C09001B">
      <w:start w:val="1"/>
      <w:numFmt w:val="lowerRoman"/>
      <w:lvlText w:val="%3."/>
      <w:lvlJc w:val="right"/>
      <w:pPr>
        <w:ind w:left="2368" w:hanging="180"/>
      </w:pPr>
      <w:rPr>
        <w:rFonts w:cs="Times New Roman"/>
      </w:rPr>
    </w:lvl>
    <w:lvl w:ilvl="3" w:tplc="1C09000F">
      <w:start w:val="1"/>
      <w:numFmt w:val="decimal"/>
      <w:lvlText w:val="%4."/>
      <w:lvlJc w:val="left"/>
      <w:pPr>
        <w:ind w:left="3088" w:hanging="360"/>
      </w:pPr>
      <w:rPr>
        <w:rFonts w:cs="Times New Roman"/>
      </w:rPr>
    </w:lvl>
    <w:lvl w:ilvl="4" w:tplc="1C090019">
      <w:start w:val="1"/>
      <w:numFmt w:val="lowerLetter"/>
      <w:lvlText w:val="%5."/>
      <w:lvlJc w:val="left"/>
      <w:pPr>
        <w:ind w:left="3808" w:hanging="360"/>
      </w:pPr>
      <w:rPr>
        <w:rFonts w:cs="Times New Roman"/>
      </w:rPr>
    </w:lvl>
    <w:lvl w:ilvl="5" w:tplc="1C09001B">
      <w:start w:val="1"/>
      <w:numFmt w:val="lowerRoman"/>
      <w:lvlText w:val="%6."/>
      <w:lvlJc w:val="right"/>
      <w:pPr>
        <w:ind w:left="4528" w:hanging="180"/>
      </w:pPr>
      <w:rPr>
        <w:rFonts w:cs="Times New Roman"/>
      </w:rPr>
    </w:lvl>
    <w:lvl w:ilvl="6" w:tplc="1C09000F">
      <w:start w:val="1"/>
      <w:numFmt w:val="decimal"/>
      <w:lvlText w:val="%7."/>
      <w:lvlJc w:val="left"/>
      <w:pPr>
        <w:ind w:left="5248" w:hanging="360"/>
      </w:pPr>
      <w:rPr>
        <w:rFonts w:cs="Times New Roman"/>
      </w:rPr>
    </w:lvl>
    <w:lvl w:ilvl="7" w:tplc="1C090019">
      <w:start w:val="1"/>
      <w:numFmt w:val="lowerLetter"/>
      <w:lvlText w:val="%8."/>
      <w:lvlJc w:val="left"/>
      <w:pPr>
        <w:ind w:left="5968" w:hanging="360"/>
      </w:pPr>
      <w:rPr>
        <w:rFonts w:cs="Times New Roman"/>
      </w:rPr>
    </w:lvl>
    <w:lvl w:ilvl="8" w:tplc="1C09001B">
      <w:start w:val="1"/>
      <w:numFmt w:val="lowerRoman"/>
      <w:lvlText w:val="%9."/>
      <w:lvlJc w:val="right"/>
      <w:pPr>
        <w:ind w:left="6688" w:hanging="180"/>
      </w:pPr>
      <w:rPr>
        <w:rFonts w:cs="Times New Roman"/>
      </w:rPr>
    </w:lvl>
  </w:abstractNum>
  <w:abstractNum w:abstractNumId="1">
    <w:nsid w:val="73903698"/>
    <w:multiLevelType w:val="hybridMultilevel"/>
    <w:tmpl w:val="C1324982"/>
    <w:lvl w:ilvl="0" w:tplc="4950FA24">
      <w:start w:val="1"/>
      <w:numFmt w:val="decimal"/>
      <w:lvlText w:val="%1."/>
      <w:lvlJc w:val="left"/>
      <w:pPr>
        <w:ind w:left="930" w:hanging="360"/>
      </w:pPr>
      <w:rPr>
        <w:rFonts w:cs="Times New Roman"/>
      </w:rPr>
    </w:lvl>
    <w:lvl w:ilvl="1" w:tplc="1C090019">
      <w:start w:val="1"/>
      <w:numFmt w:val="lowerLetter"/>
      <w:lvlText w:val="%2."/>
      <w:lvlJc w:val="left"/>
      <w:pPr>
        <w:ind w:left="1650" w:hanging="360"/>
      </w:pPr>
      <w:rPr>
        <w:rFonts w:cs="Times New Roman"/>
      </w:rPr>
    </w:lvl>
    <w:lvl w:ilvl="2" w:tplc="1C09001B">
      <w:start w:val="1"/>
      <w:numFmt w:val="lowerRoman"/>
      <w:lvlText w:val="%3."/>
      <w:lvlJc w:val="right"/>
      <w:pPr>
        <w:ind w:left="2370" w:hanging="180"/>
      </w:pPr>
      <w:rPr>
        <w:rFonts w:cs="Times New Roman"/>
      </w:rPr>
    </w:lvl>
    <w:lvl w:ilvl="3" w:tplc="1C09000F">
      <w:start w:val="1"/>
      <w:numFmt w:val="decimal"/>
      <w:lvlText w:val="%4."/>
      <w:lvlJc w:val="left"/>
      <w:pPr>
        <w:ind w:left="3090" w:hanging="360"/>
      </w:pPr>
      <w:rPr>
        <w:rFonts w:cs="Times New Roman"/>
      </w:rPr>
    </w:lvl>
    <w:lvl w:ilvl="4" w:tplc="1C090019">
      <w:start w:val="1"/>
      <w:numFmt w:val="lowerLetter"/>
      <w:lvlText w:val="%5."/>
      <w:lvlJc w:val="left"/>
      <w:pPr>
        <w:ind w:left="3810" w:hanging="360"/>
      </w:pPr>
      <w:rPr>
        <w:rFonts w:cs="Times New Roman"/>
      </w:rPr>
    </w:lvl>
    <w:lvl w:ilvl="5" w:tplc="1C09001B">
      <w:start w:val="1"/>
      <w:numFmt w:val="lowerRoman"/>
      <w:lvlText w:val="%6."/>
      <w:lvlJc w:val="right"/>
      <w:pPr>
        <w:ind w:left="4530" w:hanging="180"/>
      </w:pPr>
      <w:rPr>
        <w:rFonts w:cs="Times New Roman"/>
      </w:rPr>
    </w:lvl>
    <w:lvl w:ilvl="6" w:tplc="1C09000F">
      <w:start w:val="1"/>
      <w:numFmt w:val="decimal"/>
      <w:lvlText w:val="%7."/>
      <w:lvlJc w:val="left"/>
      <w:pPr>
        <w:ind w:left="5250" w:hanging="360"/>
      </w:pPr>
      <w:rPr>
        <w:rFonts w:cs="Times New Roman"/>
      </w:rPr>
    </w:lvl>
    <w:lvl w:ilvl="7" w:tplc="1C090019">
      <w:start w:val="1"/>
      <w:numFmt w:val="lowerLetter"/>
      <w:lvlText w:val="%8."/>
      <w:lvlJc w:val="left"/>
      <w:pPr>
        <w:ind w:left="5970" w:hanging="360"/>
      </w:pPr>
      <w:rPr>
        <w:rFonts w:cs="Times New Roman"/>
      </w:rPr>
    </w:lvl>
    <w:lvl w:ilvl="8" w:tplc="1C09001B">
      <w:start w:val="1"/>
      <w:numFmt w:val="lowerRoman"/>
      <w:lvlText w:val="%9."/>
      <w:lvlJc w:val="right"/>
      <w:pPr>
        <w:ind w:left="669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C6"/>
    <w:rsid w:val="0001631D"/>
    <w:rsid w:val="00084A18"/>
    <w:rsid w:val="00135763"/>
    <w:rsid w:val="00196B76"/>
    <w:rsid w:val="001D6A73"/>
    <w:rsid w:val="002060D5"/>
    <w:rsid w:val="002156E9"/>
    <w:rsid w:val="00273380"/>
    <w:rsid w:val="00482A2B"/>
    <w:rsid w:val="004C09AA"/>
    <w:rsid w:val="0051273B"/>
    <w:rsid w:val="0062487D"/>
    <w:rsid w:val="00670153"/>
    <w:rsid w:val="0084540C"/>
    <w:rsid w:val="008D3405"/>
    <w:rsid w:val="00965FC6"/>
    <w:rsid w:val="00997B66"/>
    <w:rsid w:val="009F10A1"/>
    <w:rsid w:val="00A3776C"/>
    <w:rsid w:val="00A47A72"/>
    <w:rsid w:val="00A8490A"/>
    <w:rsid w:val="00B6635B"/>
    <w:rsid w:val="00B877A2"/>
    <w:rsid w:val="00C163EF"/>
    <w:rsid w:val="00CA5277"/>
    <w:rsid w:val="00CB20CF"/>
    <w:rsid w:val="00DF1F00"/>
    <w:rsid w:val="00E078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0C38"/>
  <w15:docId w15:val="{46E17A03-9F15-2B45-8EBC-387CE8D0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5FC6"/>
    <w:pPr>
      <w:widowControl w:val="0"/>
      <w:autoSpaceDE w:val="0"/>
      <w:autoSpaceDN w:val="0"/>
      <w:adjustRightInd w:val="0"/>
    </w:pPr>
    <w:rPr>
      <w:rFonts w:ascii="Arial" w:eastAsiaTheme="minorEastAsia" w:hAnsi="Arial" w:cs="Arial"/>
      <w:lang w:eastAsia="en-ZA"/>
    </w:rPr>
  </w:style>
  <w:style w:type="paragraph" w:styleId="Heading1">
    <w:name w:val="heading 1"/>
    <w:basedOn w:val="Normal"/>
    <w:next w:val="Normal"/>
    <w:link w:val="Heading1Char"/>
    <w:uiPriority w:val="1"/>
    <w:qFormat/>
    <w:rsid w:val="00965FC6"/>
    <w:pPr>
      <w:ind w:left="2848"/>
      <w:jc w:val="center"/>
      <w:outlineLvl w:val="0"/>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5FC6"/>
    <w:rPr>
      <w:rFonts w:ascii="Arial" w:eastAsia="Times New Roman" w:hAnsi="Arial" w:cs="Arial"/>
      <w:b/>
      <w:bCs/>
      <w:sz w:val="23"/>
      <w:szCs w:val="23"/>
      <w:lang w:eastAsia="en-ZA"/>
    </w:rPr>
  </w:style>
  <w:style w:type="character" w:styleId="Hyperlink">
    <w:name w:val="Hyperlink"/>
    <w:basedOn w:val="DefaultParagraphFont"/>
    <w:uiPriority w:val="99"/>
    <w:semiHidden/>
    <w:unhideWhenUsed/>
    <w:rsid w:val="00965FC6"/>
    <w:rPr>
      <w:rFonts w:ascii="Times New Roman" w:hAnsi="Times New Roman" w:cs="Times New Roman" w:hint="default"/>
      <w:color w:val="0000FF"/>
      <w:u w:val="single"/>
    </w:rPr>
  </w:style>
  <w:style w:type="paragraph" w:styleId="NormalWeb">
    <w:name w:val="Normal (Web)"/>
    <w:basedOn w:val="Normal"/>
    <w:uiPriority w:val="99"/>
    <w:semiHidden/>
    <w:unhideWhenUsed/>
    <w:rsid w:val="00965FC6"/>
    <w:pPr>
      <w:widowControl/>
      <w:autoSpaceDE/>
      <w:autoSpaceDN/>
      <w:adjustRightInd/>
      <w:spacing w:before="100" w:beforeAutospacing="1" w:after="100" w:afterAutospacing="1"/>
    </w:pPr>
    <w:rPr>
      <w:rFonts w:ascii="Times New Roman" w:hAnsi="Times New Roman" w:cs="Times New Roman"/>
      <w:sz w:val="20"/>
      <w:szCs w:val="20"/>
      <w:lang w:eastAsia="en-US"/>
    </w:rPr>
  </w:style>
  <w:style w:type="paragraph" w:styleId="FootnoteText">
    <w:name w:val="footnote text"/>
    <w:basedOn w:val="Normal"/>
    <w:link w:val="FootnoteTextChar"/>
    <w:uiPriority w:val="99"/>
    <w:semiHidden/>
    <w:unhideWhenUsed/>
    <w:rsid w:val="00965FC6"/>
    <w:pPr>
      <w:widowControl/>
      <w:autoSpaceDE/>
      <w:autoSpaceDN/>
      <w:adjustRightInd/>
    </w:pPr>
    <w:rPr>
      <w:rFonts w:asciiTheme="minorHAnsi" w:eastAsia="Times New Roman" w:hAnsiTheme="minorHAnsi" w:cs="Times New Roman"/>
      <w:sz w:val="20"/>
      <w:szCs w:val="20"/>
      <w:lang w:eastAsia="en-US"/>
    </w:rPr>
  </w:style>
  <w:style w:type="character" w:customStyle="1" w:styleId="FootnoteTextChar">
    <w:name w:val="Footnote Text Char"/>
    <w:basedOn w:val="DefaultParagraphFont"/>
    <w:link w:val="FootnoteText"/>
    <w:uiPriority w:val="99"/>
    <w:semiHidden/>
    <w:rsid w:val="00965FC6"/>
    <w:rPr>
      <w:rFonts w:eastAsia="Times New Roman" w:cs="Times New Roman"/>
      <w:sz w:val="20"/>
      <w:szCs w:val="20"/>
    </w:rPr>
  </w:style>
  <w:style w:type="paragraph" w:styleId="BodyText">
    <w:name w:val="Body Text"/>
    <w:basedOn w:val="Normal"/>
    <w:link w:val="BodyTextChar"/>
    <w:uiPriority w:val="1"/>
    <w:unhideWhenUsed/>
    <w:qFormat/>
    <w:rsid w:val="00965FC6"/>
    <w:rPr>
      <w:sz w:val="23"/>
      <w:szCs w:val="23"/>
    </w:rPr>
  </w:style>
  <w:style w:type="character" w:customStyle="1" w:styleId="BodyTextChar">
    <w:name w:val="Body Text Char"/>
    <w:basedOn w:val="DefaultParagraphFont"/>
    <w:link w:val="BodyText"/>
    <w:uiPriority w:val="1"/>
    <w:rsid w:val="00965FC6"/>
    <w:rPr>
      <w:rFonts w:ascii="Arial" w:eastAsiaTheme="minorEastAsia" w:hAnsi="Arial" w:cs="Arial"/>
      <w:sz w:val="23"/>
      <w:szCs w:val="23"/>
      <w:lang w:eastAsia="en-ZA"/>
    </w:rPr>
  </w:style>
  <w:style w:type="paragraph" w:styleId="ListParagraph">
    <w:name w:val="List Paragraph"/>
    <w:basedOn w:val="Normal"/>
    <w:uiPriority w:val="34"/>
    <w:qFormat/>
    <w:rsid w:val="00965FC6"/>
    <w:pPr>
      <w:widowControl/>
      <w:autoSpaceDE/>
      <w:autoSpaceDN/>
      <w:adjustRightInd/>
      <w:spacing w:after="200" w:line="276" w:lineRule="auto"/>
      <w:ind w:left="720"/>
      <w:contextualSpacing/>
    </w:pPr>
    <w:rPr>
      <w:rFonts w:asciiTheme="minorHAnsi" w:eastAsia="Times New Roman" w:hAnsiTheme="minorHAnsi" w:cs="Times New Roman"/>
      <w:sz w:val="22"/>
      <w:szCs w:val="22"/>
      <w:lang w:eastAsia="en-US"/>
    </w:rPr>
  </w:style>
  <w:style w:type="character" w:styleId="FootnoteReference">
    <w:name w:val="footnote reference"/>
    <w:aliases w:val="(NECG) Footnote Reference"/>
    <w:basedOn w:val="DefaultParagraphFont"/>
    <w:uiPriority w:val="99"/>
    <w:semiHidden/>
    <w:unhideWhenUsed/>
    <w:rsid w:val="00965FC6"/>
    <w:rPr>
      <w:rFonts w:ascii="Times New Roman" w:hAnsi="Times New Roman" w:cs="Times New Roman" w:hint="default"/>
      <w:vertAlign w:val="superscript"/>
    </w:rPr>
  </w:style>
  <w:style w:type="character" w:customStyle="1" w:styleId="apple-converted-space">
    <w:name w:val="apple-converted-space"/>
    <w:basedOn w:val="DefaultParagraphFont"/>
    <w:rsid w:val="00965FC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num_act/sca2013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num_act/sca2013224/" TargetMode="External"/><Relationship Id="rId5" Type="http://schemas.openxmlformats.org/officeDocument/2006/relationships/webSettings" Target="webSettings.xml"/><Relationship Id="rId10" Type="http://schemas.openxmlformats.org/officeDocument/2006/relationships/hyperlink" Target="http://www.saflii.org/za/legis/num_act/sca2013224/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A2DE-D22D-48D6-A933-17548679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dcterms:created xsi:type="dcterms:W3CDTF">2023-08-14T12:27:00Z</dcterms:created>
  <dcterms:modified xsi:type="dcterms:W3CDTF">2023-08-14T12:27:00Z</dcterms:modified>
  <cp:category/>
</cp:coreProperties>
</file>